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FCD4" w14:textId="77777777" w:rsidR="000F4A3A" w:rsidRPr="005B0C98" w:rsidRDefault="000F4A3A" w:rsidP="00494493">
      <w:pPr>
        <w:spacing w:line="240" w:lineRule="auto"/>
        <w:rPr>
          <w:rFonts w:ascii="Arial" w:hAnsi="Arial" w:cs="Arial"/>
          <w:b/>
          <w:sz w:val="22"/>
          <w:szCs w:val="22"/>
          <w:lang w:val="es-ES_tradnl"/>
        </w:rPr>
      </w:pPr>
      <w:r w:rsidRPr="005B0C98">
        <w:rPr>
          <w:rFonts w:ascii="Arial" w:hAnsi="Arial" w:cs="Arial"/>
          <w:b/>
          <w:sz w:val="22"/>
          <w:szCs w:val="22"/>
          <w:lang w:val="es-ES_tradnl"/>
        </w:rPr>
        <w:t xml:space="preserve">ANTICIPO – Regulación normativa </w:t>
      </w:r>
    </w:p>
    <w:p w14:paraId="5177C3F4" w14:textId="77777777" w:rsidR="000F4A3A" w:rsidRPr="00257F4F" w:rsidRDefault="000F4A3A" w:rsidP="00494493">
      <w:pPr>
        <w:spacing w:line="240" w:lineRule="auto"/>
        <w:rPr>
          <w:rFonts w:ascii="Arial" w:hAnsi="Arial" w:cs="Arial"/>
          <w:sz w:val="20"/>
          <w:szCs w:val="20"/>
          <w:lang w:val="es-ES_tradnl"/>
        </w:rPr>
      </w:pPr>
      <w:r w:rsidRPr="00257F4F">
        <w:rPr>
          <w:rFonts w:ascii="Arial" w:hAnsi="Arial" w:cs="Arial"/>
          <w:sz w:val="20"/>
          <w:szCs w:val="20"/>
          <w:lang w:val="es-ES_tradnl"/>
        </w:rPr>
        <w:t xml:space="preserve">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Por su parte, el artículo 91 de la Ley 1474 de 2011 consagra una regla especial para el manejo del anticipo. </w:t>
      </w:r>
    </w:p>
    <w:p w14:paraId="314F3789" w14:textId="77777777" w:rsidR="000F4A3A" w:rsidRPr="005B0C98" w:rsidRDefault="000F4A3A" w:rsidP="00494493">
      <w:pPr>
        <w:spacing w:line="240" w:lineRule="auto"/>
        <w:rPr>
          <w:rFonts w:ascii="Arial" w:hAnsi="Arial" w:cs="Arial"/>
          <w:b/>
          <w:sz w:val="22"/>
          <w:szCs w:val="22"/>
        </w:rPr>
      </w:pPr>
      <w:r w:rsidRPr="005B0C98">
        <w:rPr>
          <w:rFonts w:ascii="Arial" w:hAnsi="Arial" w:cs="Arial"/>
          <w:b/>
          <w:sz w:val="22"/>
          <w:szCs w:val="22"/>
        </w:rPr>
        <w:t>ANTICIPO – Definición jurisprudencial</w:t>
      </w:r>
    </w:p>
    <w:p w14:paraId="275D9400" w14:textId="77777777" w:rsidR="000F4A3A" w:rsidRPr="00257F4F" w:rsidRDefault="000F4A3A" w:rsidP="00494493">
      <w:pPr>
        <w:spacing w:line="240" w:lineRule="auto"/>
        <w:rPr>
          <w:rFonts w:ascii="Arial" w:hAnsi="Arial" w:cs="Arial"/>
          <w:sz w:val="20"/>
          <w:szCs w:val="20"/>
          <w:lang w:val="es-ES_tradnl"/>
        </w:rPr>
      </w:pPr>
      <w:r w:rsidRPr="00257F4F">
        <w:rPr>
          <w:rFonts w:ascii="Arial" w:hAnsi="Arial" w:cs="Arial"/>
          <w:sz w:val="20"/>
          <w:szCs w:val="20"/>
          <w:lang w:val="es-ES_tradnl"/>
        </w:rPr>
        <w:t>[…], el Consejo de Estado se refirió a la noción de anticipo como «un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p>
    <w:p w14:paraId="3E4FFADE" w14:textId="77777777" w:rsidR="000F4A3A" w:rsidRPr="004E5CF6" w:rsidRDefault="000F4A3A" w:rsidP="00494493">
      <w:pPr>
        <w:spacing w:line="240" w:lineRule="auto"/>
        <w:rPr>
          <w:rFonts w:ascii="Arial" w:hAnsi="Arial" w:cs="Arial"/>
          <w:b/>
          <w:bCs/>
          <w:color w:val="000000" w:themeColor="text1"/>
          <w:sz w:val="22"/>
          <w:szCs w:val="22"/>
        </w:rPr>
      </w:pPr>
      <w:r w:rsidRPr="004E5CF6">
        <w:rPr>
          <w:rFonts w:ascii="Arial" w:hAnsi="Arial" w:cs="Arial"/>
          <w:b/>
          <w:bCs/>
          <w:color w:val="000000" w:themeColor="text1"/>
          <w:sz w:val="22"/>
          <w:szCs w:val="22"/>
        </w:rPr>
        <w:t xml:space="preserve">ANTICIPO – Autonomía de la voluntad – Derechos y obligaciones recíprocas </w:t>
      </w:r>
    </w:p>
    <w:p w14:paraId="535B29F1" w14:textId="77777777" w:rsidR="000F4A3A" w:rsidRPr="00257F4F" w:rsidRDefault="000F4A3A" w:rsidP="00494493">
      <w:pPr>
        <w:spacing w:line="240" w:lineRule="auto"/>
        <w:rPr>
          <w:rFonts w:ascii="Arial" w:hAnsi="Arial" w:cs="Arial"/>
          <w:sz w:val="20"/>
          <w:szCs w:val="20"/>
          <w:lang w:val="es-ES_tradnl"/>
        </w:rPr>
      </w:pPr>
      <w:r w:rsidRPr="00257F4F">
        <w:rPr>
          <w:rFonts w:ascii="Arial" w:hAnsi="Arial" w:cs="Arial"/>
          <w:sz w:val="20"/>
          <w:szCs w:val="20"/>
          <w:lang w:val="es-ES_tradnl"/>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w:t>
      </w:r>
    </w:p>
    <w:p w14:paraId="17EBF40E" w14:textId="77777777" w:rsidR="000F4A3A" w:rsidRPr="004E5CF6" w:rsidRDefault="000F4A3A" w:rsidP="00494493">
      <w:pPr>
        <w:spacing w:line="240" w:lineRule="auto"/>
        <w:rPr>
          <w:rFonts w:ascii="Arial" w:hAnsi="Arial" w:cs="Arial"/>
          <w:b/>
          <w:bCs/>
          <w:color w:val="000000" w:themeColor="text1"/>
          <w:sz w:val="22"/>
          <w:szCs w:val="22"/>
        </w:rPr>
      </w:pPr>
      <w:r w:rsidRPr="004E5CF6">
        <w:rPr>
          <w:rFonts w:ascii="Arial" w:hAnsi="Arial" w:cs="Arial"/>
          <w:b/>
          <w:bCs/>
          <w:color w:val="000000" w:themeColor="text1"/>
          <w:sz w:val="22"/>
          <w:szCs w:val="22"/>
        </w:rPr>
        <w:t xml:space="preserve">ANTICIPO – Contrato adicional </w:t>
      </w:r>
    </w:p>
    <w:p w14:paraId="297612E2" w14:textId="362DBB78" w:rsidR="000F4A3A" w:rsidRPr="00257F4F" w:rsidRDefault="000F4A3A" w:rsidP="00494493">
      <w:pPr>
        <w:spacing w:after="120" w:line="240" w:lineRule="auto"/>
        <w:rPr>
          <w:rFonts w:ascii="Arial" w:hAnsi="Arial" w:cs="Arial"/>
          <w:i/>
          <w:iCs/>
          <w:sz w:val="20"/>
          <w:szCs w:val="20"/>
        </w:rPr>
      </w:pPr>
      <w:r w:rsidRPr="00257F4F">
        <w:rPr>
          <w:rFonts w:ascii="Arial" w:hAnsi="Arial" w:cs="Arial"/>
          <w:sz w:val="20"/>
          <w:szCs w:val="20"/>
        </w:rPr>
        <w:t>Teniendo en cuenta las consideraciones desarrolladas con anterioridad, esta Agencia considera que como la norma −</w:t>
      </w:r>
      <w:r w:rsidRPr="00257F4F">
        <w:rPr>
          <w:rFonts w:ascii="Arial" w:eastAsiaTheme="minorHAnsi" w:hAnsi="Arial" w:cs="Arial"/>
          <w:color w:val="000000" w:themeColor="text1"/>
          <w:sz w:val="20"/>
          <w:szCs w:val="20"/>
        </w:rPr>
        <w:t xml:space="preserve">inciso primero del parágrafo del artículo 40 de la Ley 80 de 1993−, al referirse a la entrega de anticipos, </w:t>
      </w:r>
      <w:r w:rsidRPr="00257F4F">
        <w:rPr>
          <w:rFonts w:ascii="Arial" w:hAnsi="Arial" w:cs="Arial"/>
          <w:sz w:val="20"/>
          <w:szCs w:val="20"/>
        </w:rPr>
        <w:t xml:space="preserve">no se refiere a valor inicial del contrato, como si lo menciona el inciso segundo del mismo parágrafo, jurídicamente se puede concluir que sobre un contrato adicional se puede pactar el pago de anticipo limitado al valor adicional. No obstante, es pertinente mencionar que no resulta razonable desde la perspectiva de la necesidad </w:t>
      </w:r>
      <w:r w:rsidR="00A31550" w:rsidRPr="00257F4F">
        <w:rPr>
          <w:rFonts w:ascii="Arial" w:hAnsi="Arial" w:cs="Arial"/>
          <w:sz w:val="20"/>
          <w:szCs w:val="20"/>
        </w:rPr>
        <w:t>de este</w:t>
      </w:r>
      <w:r w:rsidRPr="00257F4F">
        <w:rPr>
          <w:rFonts w:ascii="Arial" w:hAnsi="Arial" w:cs="Arial"/>
          <w:sz w:val="20"/>
          <w:szCs w:val="20"/>
        </w:rPr>
        <w:t xml:space="preserve">, pues como se mencionó con anterioridad, la finalidad del anticipo es apalancar financieramente al contratista, para </w:t>
      </w:r>
      <w:r w:rsidRPr="00257F4F">
        <w:rPr>
          <w:rFonts w:ascii="Arial" w:hAnsi="Arial" w:cs="Arial"/>
          <w:i/>
          <w:iCs/>
          <w:sz w:val="20"/>
          <w:szCs w:val="20"/>
        </w:rPr>
        <w:t>solventar los costos iniciales de la ejecución del contrato.</w:t>
      </w:r>
    </w:p>
    <w:p w14:paraId="31BF2B50" w14:textId="77777777" w:rsidR="000F4A3A" w:rsidRPr="00257F4F" w:rsidRDefault="000F4A3A" w:rsidP="00494493">
      <w:pPr>
        <w:tabs>
          <w:tab w:val="left" w:pos="0"/>
        </w:tabs>
        <w:spacing w:line="240" w:lineRule="auto"/>
        <w:rPr>
          <w:rFonts w:ascii="Arial" w:hAnsi="Arial" w:cs="Arial"/>
          <w:sz w:val="20"/>
          <w:szCs w:val="20"/>
        </w:rPr>
      </w:pPr>
      <w:r w:rsidRPr="00257F4F">
        <w:rPr>
          <w:rFonts w:ascii="Arial" w:hAnsi="Arial" w:cs="Arial"/>
          <w:sz w:val="20"/>
          <w:szCs w:val="20"/>
        </w:rPr>
        <w:t xml:space="preserve">En todo caso, </w:t>
      </w:r>
      <w:r w:rsidRPr="00257F4F">
        <w:rPr>
          <w:rFonts w:ascii="Arial" w:eastAsiaTheme="minorHAnsi" w:hAnsi="Arial" w:cs="Arial"/>
          <w:color w:val="000000" w:themeColor="text1"/>
          <w:sz w:val="20"/>
          <w:szCs w:val="20"/>
        </w:rPr>
        <w:t xml:space="preserve">la entidad y el contratista podrán disponer, en ejercicio de la autonomía de la voluntad, las condiciones que consideren convenientes para otorgar el anticipo de acuerdo con las normas civiles, siempre que no contraríen los parámetros normativos y los principios de la actividad contractual. No obstante, se reitera la importancia de analizar y justificar en cada caso la pertinencia y conveniencia de entregar al contratista recursos en calidad de anticipo. De esta forma, </w:t>
      </w:r>
      <w:r w:rsidRPr="00257F4F">
        <w:rPr>
          <w:rFonts w:ascii="Arial" w:hAnsi="Arial" w:cs="Arial"/>
          <w:sz w:val="20"/>
          <w:szCs w:val="20"/>
        </w:rPr>
        <w:t>debe ser la administración quien determine la viabilidad o no, de la entrega de un nuevo anticipó sobre el valor que se pretende adicionar al contrato original.</w:t>
      </w:r>
    </w:p>
    <w:p w14:paraId="696C551D" w14:textId="6E66CF0B" w:rsidR="000F4A3A" w:rsidRPr="004E5CF6" w:rsidRDefault="000F4A3A" w:rsidP="00494493">
      <w:pPr>
        <w:spacing w:line="240" w:lineRule="auto"/>
        <w:rPr>
          <w:rFonts w:ascii="Arial" w:hAnsi="Arial" w:cs="Arial"/>
          <w:b/>
          <w:bCs/>
          <w:color w:val="000000" w:themeColor="text1"/>
          <w:sz w:val="22"/>
          <w:szCs w:val="22"/>
        </w:rPr>
      </w:pPr>
      <w:r w:rsidRPr="004E5CF6">
        <w:rPr>
          <w:rFonts w:ascii="Arial" w:hAnsi="Arial" w:cs="Arial"/>
          <w:b/>
          <w:bCs/>
          <w:color w:val="000000" w:themeColor="text1"/>
          <w:sz w:val="22"/>
          <w:szCs w:val="22"/>
        </w:rPr>
        <w:t>CONSTITUCIÓN DE FIDUCIA O PATRIMONIO AUTÓNOMO IRREVOCABLE – Artículo 91 ley 1474 de 2011</w:t>
      </w:r>
      <w:r w:rsidR="004E5CF6">
        <w:rPr>
          <w:rFonts w:ascii="Arial" w:hAnsi="Arial" w:cs="Arial"/>
          <w:b/>
          <w:bCs/>
          <w:color w:val="000000" w:themeColor="text1"/>
          <w:sz w:val="22"/>
          <w:szCs w:val="22"/>
        </w:rPr>
        <w:t xml:space="preserve"> </w:t>
      </w:r>
    </w:p>
    <w:p w14:paraId="7C0A3012" w14:textId="77777777" w:rsidR="000F4A3A" w:rsidRPr="00257F4F" w:rsidRDefault="000F4A3A" w:rsidP="00494493">
      <w:pPr>
        <w:spacing w:line="240" w:lineRule="auto"/>
        <w:outlineLvl w:val="0"/>
        <w:rPr>
          <w:rFonts w:ascii="Arial" w:hAnsi="Arial" w:cs="Arial"/>
          <w:b/>
          <w:color w:val="000000" w:themeColor="text1"/>
          <w:sz w:val="20"/>
          <w:szCs w:val="20"/>
          <w:lang w:val="es-ES_tradnl"/>
        </w:rPr>
      </w:pPr>
    </w:p>
    <w:p w14:paraId="2DE30A04" w14:textId="77777777" w:rsidR="000F4A3A" w:rsidRPr="00257F4F" w:rsidRDefault="000F4A3A" w:rsidP="00494493">
      <w:pPr>
        <w:spacing w:line="240" w:lineRule="auto"/>
        <w:outlineLvl w:val="0"/>
        <w:rPr>
          <w:rFonts w:ascii="Arial" w:hAnsi="Arial" w:cs="Arial"/>
          <w:bCs/>
          <w:color w:val="000000" w:themeColor="text1"/>
          <w:sz w:val="20"/>
          <w:szCs w:val="20"/>
        </w:rPr>
      </w:pPr>
      <w:r w:rsidRPr="00257F4F">
        <w:rPr>
          <w:rFonts w:ascii="Arial" w:hAnsi="Arial" w:cs="Arial"/>
          <w:bCs/>
          <w:color w:val="000000" w:themeColor="text1"/>
          <w:sz w:val="20"/>
          <w:szCs w:val="20"/>
        </w:rPr>
        <w:lastRenderedPageBreak/>
        <w:t>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08D17A02" w14:textId="2AA347C1" w:rsidR="000F4A3A" w:rsidRPr="00267E2B" w:rsidRDefault="000F4A3A" w:rsidP="00494493">
      <w:pPr>
        <w:spacing w:line="240" w:lineRule="auto"/>
        <w:outlineLvl w:val="0"/>
        <w:rPr>
          <w:rFonts w:ascii="Arial" w:hAnsi="Arial" w:cs="Arial"/>
          <w:b/>
          <w:bCs/>
          <w:color w:val="000000" w:themeColor="text1"/>
          <w:sz w:val="22"/>
          <w:szCs w:val="22"/>
        </w:rPr>
      </w:pPr>
      <w:r w:rsidRPr="00267E2B">
        <w:rPr>
          <w:rFonts w:ascii="Arial" w:hAnsi="Arial" w:cs="Arial"/>
          <w:b/>
          <w:bCs/>
          <w:color w:val="000000" w:themeColor="text1"/>
          <w:sz w:val="22"/>
          <w:szCs w:val="22"/>
        </w:rPr>
        <w:t xml:space="preserve">CONSTITUCIÓN DE FIDUCIA O PATRIMONIO AUTÓNOMO IRREVOCABLE – </w:t>
      </w:r>
      <w:r w:rsidR="00267E2B" w:rsidRPr="00EB7199">
        <w:rPr>
          <w:rFonts w:ascii="Arial" w:hAnsi="Arial" w:cs="Arial"/>
          <w:b/>
          <w:bCs/>
          <w:color w:val="000000" w:themeColor="text1"/>
          <w:sz w:val="22"/>
          <w:szCs w:val="22"/>
        </w:rPr>
        <w:t>Á</w:t>
      </w:r>
      <w:r w:rsidRPr="00EB7199">
        <w:rPr>
          <w:rFonts w:ascii="Arial" w:hAnsi="Arial" w:cs="Arial"/>
          <w:b/>
          <w:bCs/>
          <w:color w:val="000000" w:themeColor="text1"/>
          <w:sz w:val="22"/>
          <w:szCs w:val="22"/>
        </w:rPr>
        <w:t>mbito de aplicación</w:t>
      </w:r>
      <w:r w:rsidRPr="00267E2B">
        <w:rPr>
          <w:rFonts w:ascii="Arial" w:hAnsi="Arial" w:cs="Arial"/>
          <w:b/>
          <w:bCs/>
          <w:color w:val="000000" w:themeColor="text1"/>
          <w:sz w:val="22"/>
          <w:szCs w:val="22"/>
        </w:rPr>
        <w:t xml:space="preserve"> – Contratos aplicables</w:t>
      </w:r>
    </w:p>
    <w:p w14:paraId="7874CE3F" w14:textId="77777777" w:rsidR="000F4A3A" w:rsidRPr="00257F4F" w:rsidRDefault="000F4A3A" w:rsidP="00494493">
      <w:pPr>
        <w:spacing w:after="120" w:line="240" w:lineRule="auto"/>
        <w:outlineLvl w:val="0"/>
        <w:rPr>
          <w:rFonts w:ascii="Arial" w:hAnsi="Arial" w:cs="Arial"/>
          <w:bCs/>
          <w:color w:val="000000" w:themeColor="text1"/>
          <w:sz w:val="20"/>
          <w:szCs w:val="20"/>
        </w:rPr>
      </w:pPr>
      <w:r w:rsidRPr="00257F4F">
        <w:rPr>
          <w:rFonts w:ascii="Arial" w:hAnsi="Arial" w:cs="Arial"/>
          <w:bCs/>
          <w:color w:val="000000" w:themeColor="text1"/>
          <w:sz w:val="20"/>
          <w:szCs w:val="20"/>
        </w:rPr>
        <w:t xml:space="preserve">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257F4F">
        <w:rPr>
          <w:rFonts w:ascii="Arial" w:hAnsi="Arial" w:cs="Arial"/>
          <w:bCs/>
          <w:color w:val="000000" w:themeColor="text1"/>
          <w:sz w:val="20"/>
          <w:szCs w:val="20"/>
        </w:rPr>
        <w:t>ii</w:t>
      </w:r>
      <w:proofErr w:type="spellEnd"/>
      <w:r w:rsidRPr="00257F4F">
        <w:rPr>
          <w:rFonts w:ascii="Arial" w:hAnsi="Arial" w:cs="Arial"/>
          <w:bCs/>
          <w:color w:val="000000" w:themeColor="text1"/>
          <w:sz w:val="20"/>
          <w:szCs w:val="20"/>
        </w:rPr>
        <w:t xml:space="preserve">) concesión, </w:t>
      </w:r>
      <w:proofErr w:type="spellStart"/>
      <w:r w:rsidRPr="00257F4F">
        <w:rPr>
          <w:rFonts w:ascii="Arial" w:hAnsi="Arial" w:cs="Arial"/>
          <w:bCs/>
          <w:color w:val="000000" w:themeColor="text1"/>
          <w:sz w:val="20"/>
          <w:szCs w:val="20"/>
        </w:rPr>
        <w:t>iii</w:t>
      </w:r>
      <w:proofErr w:type="spellEnd"/>
      <w:r w:rsidRPr="00257F4F">
        <w:rPr>
          <w:rFonts w:ascii="Arial" w:hAnsi="Arial" w:cs="Arial"/>
          <w:bCs/>
          <w:color w:val="000000" w:themeColor="text1"/>
          <w:sz w:val="20"/>
          <w:szCs w:val="20"/>
        </w:rPr>
        <w:t xml:space="preserve">) salud y </w:t>
      </w:r>
      <w:proofErr w:type="spellStart"/>
      <w:r w:rsidRPr="00257F4F">
        <w:rPr>
          <w:rFonts w:ascii="Arial" w:hAnsi="Arial" w:cs="Arial"/>
          <w:bCs/>
          <w:color w:val="000000" w:themeColor="text1"/>
          <w:sz w:val="20"/>
          <w:szCs w:val="20"/>
        </w:rPr>
        <w:t>iv</w:t>
      </w:r>
      <w:proofErr w:type="spellEnd"/>
      <w:r w:rsidRPr="00257F4F">
        <w:rPr>
          <w:rFonts w:ascii="Arial" w:hAnsi="Arial" w:cs="Arial"/>
          <w:bCs/>
          <w:color w:val="000000" w:themeColor="text1"/>
          <w:sz w:val="20"/>
          <w:szCs w:val="20"/>
        </w:rPr>
        <w:t xml:space="preserve">) los contratos derivados de un proceso de Licitación Pública. </w:t>
      </w:r>
    </w:p>
    <w:p w14:paraId="34193F26" w14:textId="57E56ACC" w:rsidR="000F4A3A" w:rsidRPr="00257F4F" w:rsidRDefault="000F4A3A" w:rsidP="00494493">
      <w:pPr>
        <w:spacing w:line="240" w:lineRule="auto"/>
        <w:outlineLvl w:val="0"/>
        <w:rPr>
          <w:rFonts w:ascii="Arial" w:hAnsi="Arial" w:cs="Arial"/>
          <w:bCs/>
          <w:color w:val="000000" w:themeColor="text1"/>
          <w:sz w:val="20"/>
          <w:szCs w:val="20"/>
        </w:rPr>
      </w:pPr>
      <w:r w:rsidRPr="00257F4F">
        <w:rPr>
          <w:rFonts w:ascii="Arial" w:hAnsi="Arial" w:cs="Arial"/>
          <w:bCs/>
          <w:color w:val="000000" w:themeColor="text1"/>
          <w:sz w:val="20"/>
          <w:szCs w:val="20"/>
        </w:rPr>
        <w:t>Es importante precisar que el artículo 91 de la Ley 1474 de 2011 excluye de su ámbito de aplicación a los contratos de obra, concesión y salud, siempre que estos sean adelantados mediante las modalidades de selección abreviada de menor cuantía y mínima cuantía. Sin embargo, cuando hay entrega de anticipo en estas modalidades de selección, tiene la obligación de adoptar las medidas necesarias y razonables para asegurar el buen manejo y la correcta inversión del anticipo, entre las que se encuentra la constitución de una garantía.</w:t>
      </w:r>
    </w:p>
    <w:p w14:paraId="47985CD0" w14:textId="77777777" w:rsidR="000F4A3A" w:rsidRPr="00257F4F" w:rsidRDefault="000F4A3A" w:rsidP="000F4A3A">
      <w:pPr>
        <w:outlineLvl w:val="0"/>
        <w:rPr>
          <w:rFonts w:ascii="Arial" w:hAnsi="Arial" w:cs="Arial"/>
          <w:bCs/>
          <w:color w:val="000000" w:themeColor="text1"/>
          <w:sz w:val="20"/>
          <w:szCs w:val="20"/>
        </w:rPr>
      </w:pPr>
    </w:p>
    <w:p w14:paraId="3B2D6065" w14:textId="77777777" w:rsidR="000F4A3A" w:rsidRPr="00257F4F" w:rsidRDefault="000F4A3A" w:rsidP="000F4A3A">
      <w:pPr>
        <w:outlineLvl w:val="0"/>
        <w:rPr>
          <w:rFonts w:ascii="Arial" w:hAnsi="Arial" w:cs="Arial"/>
          <w:bCs/>
          <w:color w:val="000000" w:themeColor="text1"/>
          <w:sz w:val="20"/>
          <w:szCs w:val="20"/>
        </w:rPr>
      </w:pPr>
    </w:p>
    <w:p w14:paraId="56D7CB72" w14:textId="77777777" w:rsidR="000F4A3A" w:rsidRPr="000F4A3A" w:rsidRDefault="000F4A3A" w:rsidP="000F4A3A">
      <w:pPr>
        <w:outlineLvl w:val="0"/>
        <w:rPr>
          <w:rFonts w:ascii="Arial" w:hAnsi="Arial" w:cs="Arial"/>
          <w:bCs/>
          <w:color w:val="000000" w:themeColor="text1"/>
          <w:sz w:val="22"/>
          <w:szCs w:val="22"/>
        </w:rPr>
      </w:pPr>
    </w:p>
    <w:p w14:paraId="2FA4BC91" w14:textId="77777777" w:rsidR="000F4A3A" w:rsidRPr="000F4A3A" w:rsidRDefault="000F4A3A" w:rsidP="000F4A3A">
      <w:pPr>
        <w:spacing w:after="160"/>
        <w:rPr>
          <w:rFonts w:ascii="Arial" w:hAnsi="Arial" w:cs="Arial"/>
          <w:bCs/>
          <w:color w:val="000000" w:themeColor="text1"/>
          <w:sz w:val="22"/>
          <w:szCs w:val="22"/>
        </w:rPr>
      </w:pPr>
      <w:r w:rsidRPr="000F4A3A">
        <w:rPr>
          <w:rFonts w:ascii="Arial" w:hAnsi="Arial" w:cs="Arial"/>
          <w:bCs/>
          <w:color w:val="000000" w:themeColor="text1"/>
          <w:sz w:val="22"/>
          <w:szCs w:val="22"/>
        </w:rPr>
        <w:br w:type="page"/>
      </w:r>
    </w:p>
    <w:p w14:paraId="0D252A77" w14:textId="1173B8B4" w:rsidR="00A31550" w:rsidRDefault="00477961" w:rsidP="00640AA2">
      <w:pPr>
        <w:jc w:val="center"/>
        <w:outlineLvl w:val="0"/>
        <w:rPr>
          <w:rFonts w:ascii="Arial" w:hAnsi="Arial" w:cs="Arial"/>
          <w:color w:val="000000" w:themeColor="text1"/>
          <w:sz w:val="22"/>
          <w:szCs w:val="22"/>
        </w:rPr>
      </w:pPr>
      <w:r>
        <w:rPr>
          <w:noProof/>
        </w:rPr>
        <w:lastRenderedPageBreak/>
        <w:drawing>
          <wp:anchor distT="0" distB="0" distL="114300" distR="114300" simplePos="0" relativeHeight="251660288" behindDoc="0" locked="0" layoutInCell="1" allowOverlap="1" wp14:anchorId="1F817A01" wp14:editId="02848408">
            <wp:simplePos x="0" y="0"/>
            <wp:positionH relativeFrom="column">
              <wp:posOffset>3090545</wp:posOffset>
            </wp:positionH>
            <wp:positionV relativeFrom="paragraph">
              <wp:posOffset>55245</wp:posOffset>
            </wp:positionV>
            <wp:extent cx="3058538" cy="93345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1570" t="46246" r="13866" b="40420"/>
                    <a:stretch/>
                  </pic:blipFill>
                  <pic:spPr bwMode="auto">
                    <a:xfrm>
                      <a:off x="0" y="0"/>
                      <a:ext cx="3058538"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15D5A6" w14:textId="072646DE" w:rsidR="00A31550" w:rsidRPr="00640AA2" w:rsidRDefault="00640AA2" w:rsidP="000F4A3A">
      <w:pPr>
        <w:outlineLvl w:val="0"/>
        <w:rPr>
          <w:rFonts w:ascii="Arial" w:hAnsi="Arial" w:cs="Arial"/>
          <w:color w:val="000000" w:themeColor="text1"/>
          <w:sz w:val="22"/>
          <w:szCs w:val="22"/>
        </w:rPr>
      </w:pPr>
      <w:r w:rsidRPr="00640AA2">
        <w:rPr>
          <w:rFonts w:ascii="Arial" w:hAnsi="Arial" w:cs="Arial"/>
          <w:sz w:val="22"/>
          <w:szCs w:val="22"/>
        </w:rPr>
        <w:t xml:space="preserve">Bogotá D.C., 07 de </w:t>
      </w:r>
      <w:proofErr w:type="gramStart"/>
      <w:r w:rsidRPr="00640AA2">
        <w:rPr>
          <w:rFonts w:ascii="Arial" w:hAnsi="Arial" w:cs="Arial"/>
          <w:sz w:val="22"/>
          <w:szCs w:val="22"/>
        </w:rPr>
        <w:t>Diciembre</w:t>
      </w:r>
      <w:proofErr w:type="gramEnd"/>
      <w:r w:rsidRPr="00640AA2">
        <w:rPr>
          <w:rFonts w:ascii="Arial" w:hAnsi="Arial" w:cs="Arial"/>
          <w:sz w:val="22"/>
          <w:szCs w:val="22"/>
        </w:rPr>
        <w:t xml:space="preserve"> de 2022</w:t>
      </w:r>
    </w:p>
    <w:p w14:paraId="68D7E546" w14:textId="77777777" w:rsidR="00A31550" w:rsidRDefault="00A31550" w:rsidP="000F4A3A">
      <w:pPr>
        <w:outlineLvl w:val="0"/>
        <w:rPr>
          <w:rFonts w:ascii="Arial" w:hAnsi="Arial" w:cs="Arial"/>
          <w:color w:val="000000" w:themeColor="text1"/>
          <w:sz w:val="22"/>
          <w:szCs w:val="22"/>
        </w:rPr>
      </w:pPr>
    </w:p>
    <w:p w14:paraId="5DE2CC95" w14:textId="34CF3B5D" w:rsidR="000F4A3A" w:rsidRPr="000F4A3A" w:rsidRDefault="000F4A3A" w:rsidP="00477961">
      <w:pPr>
        <w:spacing w:after="0" w:line="240" w:lineRule="auto"/>
        <w:outlineLvl w:val="0"/>
        <w:rPr>
          <w:rFonts w:ascii="Arial" w:hAnsi="Arial" w:cs="Arial"/>
          <w:color w:val="000000" w:themeColor="text1"/>
          <w:sz w:val="22"/>
          <w:szCs w:val="22"/>
        </w:rPr>
      </w:pPr>
      <w:r w:rsidRPr="000F4A3A">
        <w:rPr>
          <w:rFonts w:ascii="Arial" w:hAnsi="Arial" w:cs="Arial"/>
          <w:color w:val="000000" w:themeColor="text1"/>
          <w:sz w:val="22"/>
          <w:szCs w:val="22"/>
        </w:rPr>
        <w:t>Señora</w:t>
      </w:r>
    </w:p>
    <w:p w14:paraId="60CF5C06" w14:textId="7B0239B7" w:rsidR="000F4A3A" w:rsidRDefault="000F4A3A" w:rsidP="00A31550">
      <w:pPr>
        <w:spacing w:after="0" w:line="240" w:lineRule="auto"/>
        <w:rPr>
          <w:rFonts w:ascii="Arial" w:eastAsiaTheme="minorHAnsi" w:hAnsi="Arial" w:cs="Arial"/>
          <w:b/>
          <w:bCs/>
          <w:sz w:val="22"/>
          <w:szCs w:val="22"/>
          <w:lang w:val="es-CO"/>
        </w:rPr>
      </w:pPr>
      <w:r w:rsidRPr="000F4A3A">
        <w:rPr>
          <w:rFonts w:ascii="Arial" w:eastAsiaTheme="minorHAnsi" w:hAnsi="Arial" w:cs="Arial"/>
          <w:b/>
          <w:bCs/>
          <w:sz w:val="22"/>
          <w:szCs w:val="22"/>
          <w:lang w:val="es-CO"/>
        </w:rPr>
        <w:t>Sara Marcela López Vesga</w:t>
      </w:r>
    </w:p>
    <w:p w14:paraId="1F6D0A02" w14:textId="31ED2ADF" w:rsidR="00A31550" w:rsidRPr="000F4A3A" w:rsidRDefault="00EB7199" w:rsidP="00477961">
      <w:pPr>
        <w:spacing w:after="0" w:line="240" w:lineRule="auto"/>
        <w:rPr>
          <w:rFonts w:ascii="Arial" w:eastAsiaTheme="minorHAnsi" w:hAnsi="Arial" w:cs="Arial"/>
          <w:b/>
          <w:bCs/>
          <w:sz w:val="22"/>
          <w:szCs w:val="22"/>
          <w:lang w:val="es-CO"/>
        </w:rPr>
      </w:pPr>
      <w:hyperlink r:id="rId12" w:history="1">
        <w:r w:rsidR="00A31550" w:rsidRPr="004C782E">
          <w:rPr>
            <w:rStyle w:val="Hipervnculo"/>
            <w:rFonts w:ascii="Arial" w:eastAsiaTheme="minorHAnsi" w:hAnsi="Arial" w:cs="Arial"/>
            <w:b/>
            <w:bCs/>
            <w:sz w:val="22"/>
            <w:szCs w:val="22"/>
            <w:lang w:val="es-CO"/>
          </w:rPr>
          <w:t>saramarcelalopezvesga@gmail.com</w:t>
        </w:r>
      </w:hyperlink>
      <w:r w:rsidR="00A31550">
        <w:rPr>
          <w:rFonts w:ascii="Arial" w:eastAsiaTheme="minorHAnsi" w:hAnsi="Arial" w:cs="Arial"/>
          <w:b/>
          <w:bCs/>
          <w:sz w:val="22"/>
          <w:szCs w:val="22"/>
          <w:lang w:val="es-CO"/>
        </w:rPr>
        <w:t xml:space="preserve"> </w:t>
      </w:r>
    </w:p>
    <w:p w14:paraId="0E0A419A" w14:textId="77777777" w:rsidR="000F4A3A" w:rsidRPr="000F4A3A" w:rsidRDefault="000F4A3A" w:rsidP="00477961">
      <w:pPr>
        <w:spacing w:after="0" w:line="240" w:lineRule="auto"/>
        <w:rPr>
          <w:rFonts w:ascii="Arial" w:hAnsi="Arial" w:cs="Arial"/>
          <w:color w:val="000000" w:themeColor="text1"/>
          <w:sz w:val="22"/>
          <w:szCs w:val="22"/>
        </w:rPr>
      </w:pPr>
      <w:r w:rsidRPr="000F4A3A">
        <w:rPr>
          <w:rFonts w:ascii="Arial" w:hAnsi="Arial" w:cs="Arial"/>
          <w:color w:val="000000" w:themeColor="text1"/>
          <w:sz w:val="22"/>
          <w:szCs w:val="22"/>
        </w:rPr>
        <w:t>San Gil, Santander</w:t>
      </w:r>
    </w:p>
    <w:p w14:paraId="3A83683E" w14:textId="77777777" w:rsidR="000F4A3A" w:rsidRPr="000F4A3A" w:rsidRDefault="000F4A3A" w:rsidP="000F4A3A">
      <w:pPr>
        <w:rPr>
          <w:rFonts w:ascii="Arial" w:hAnsi="Arial" w:cs="Arial"/>
          <w:color w:val="000000" w:themeColor="text1"/>
          <w:sz w:val="22"/>
          <w:szCs w:val="22"/>
        </w:rPr>
      </w:pPr>
    </w:p>
    <w:p w14:paraId="5E42EE4F" w14:textId="77777777" w:rsidR="000F4A3A" w:rsidRPr="000D1127" w:rsidRDefault="000F4A3A" w:rsidP="000F4A3A">
      <w:pPr>
        <w:ind w:firstLine="2694"/>
        <w:outlineLvl w:val="0"/>
        <w:rPr>
          <w:rFonts w:ascii="Arial" w:hAnsi="Arial" w:cs="Arial"/>
          <w:b/>
          <w:sz w:val="22"/>
          <w:szCs w:val="22"/>
        </w:rPr>
      </w:pPr>
      <w:r w:rsidRPr="000D1127">
        <w:rPr>
          <w:rFonts w:ascii="Arial" w:hAnsi="Arial" w:cs="Arial"/>
          <w:b/>
          <w:sz w:val="22"/>
          <w:szCs w:val="22"/>
        </w:rPr>
        <w:t>Concepto C – 842 de 2022</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D1127" w:rsidRPr="000D1127" w14:paraId="657DDEBE" w14:textId="77777777" w:rsidTr="001C231C">
        <w:tc>
          <w:tcPr>
            <w:tcW w:w="2689" w:type="dxa"/>
            <w:hideMark/>
          </w:tcPr>
          <w:p w14:paraId="1E6A8C0E" w14:textId="77777777" w:rsidR="000F4A3A" w:rsidRPr="000D1127" w:rsidRDefault="000F4A3A" w:rsidP="000F4A3A">
            <w:pPr>
              <w:rPr>
                <w:rFonts w:ascii="Arial" w:hAnsi="Arial" w:cs="Arial"/>
                <w:sz w:val="22"/>
                <w:szCs w:val="22"/>
              </w:rPr>
            </w:pPr>
            <w:r w:rsidRPr="000D1127">
              <w:rPr>
                <w:rFonts w:ascii="Arial" w:hAnsi="Arial" w:cs="Arial"/>
                <w:b/>
                <w:sz w:val="22"/>
                <w:szCs w:val="22"/>
              </w:rPr>
              <w:t>Temas:</w:t>
            </w:r>
            <w:r w:rsidRPr="000D1127">
              <w:rPr>
                <w:rFonts w:ascii="Arial" w:hAnsi="Arial" w:cs="Arial"/>
                <w:sz w:val="22"/>
                <w:szCs w:val="22"/>
              </w:rPr>
              <w:t xml:space="preserve">           </w:t>
            </w:r>
          </w:p>
          <w:p w14:paraId="788BA6AF" w14:textId="77777777" w:rsidR="000F4A3A" w:rsidRPr="000D1127" w:rsidRDefault="000F4A3A" w:rsidP="000F4A3A">
            <w:pPr>
              <w:rPr>
                <w:rFonts w:ascii="Arial" w:hAnsi="Arial" w:cs="Arial"/>
                <w:sz w:val="22"/>
                <w:szCs w:val="22"/>
              </w:rPr>
            </w:pPr>
            <w:r w:rsidRPr="000D1127">
              <w:rPr>
                <w:rFonts w:ascii="Arial" w:hAnsi="Arial" w:cs="Arial"/>
                <w:sz w:val="22"/>
                <w:szCs w:val="22"/>
              </w:rPr>
              <w:t xml:space="preserve">                           </w:t>
            </w:r>
          </w:p>
        </w:tc>
        <w:tc>
          <w:tcPr>
            <w:tcW w:w="6237" w:type="dxa"/>
            <w:hideMark/>
          </w:tcPr>
          <w:p w14:paraId="20869138" w14:textId="77777777" w:rsidR="000F4A3A" w:rsidRPr="000D1127" w:rsidRDefault="000F4A3A" w:rsidP="000F4A3A">
            <w:pPr>
              <w:outlineLvl w:val="0"/>
              <w:rPr>
                <w:rFonts w:ascii="Arial" w:hAnsi="Arial" w:cs="Arial"/>
                <w:bCs/>
                <w:sz w:val="22"/>
                <w:szCs w:val="22"/>
              </w:rPr>
            </w:pPr>
            <w:r w:rsidRPr="000D1127">
              <w:rPr>
                <w:rFonts w:ascii="Arial" w:hAnsi="Arial" w:cs="Arial"/>
                <w:bCs/>
                <w:sz w:val="22"/>
                <w:szCs w:val="22"/>
                <w:lang w:val="es-ES_tradnl"/>
              </w:rPr>
              <w:t xml:space="preserve">ANTICIPO – Regulación normativa </w:t>
            </w:r>
            <w:r w:rsidRPr="000D1127">
              <w:rPr>
                <w:rFonts w:ascii="Arial" w:hAnsi="Arial" w:cs="Arial"/>
                <w:bCs/>
                <w:sz w:val="22"/>
                <w:szCs w:val="22"/>
              </w:rPr>
              <w:t xml:space="preserve">/ ANTICIPO – Definición jurisprudencial / ANTICIPO – Autonomía de la voluntad – Derechos y obligaciones recíprocos / CONSTITUCIÓN DE FIDUCIA O PATRIMONIO AUTÓNOMO IRREVOCABLE – Artículo 91 ley 1474 de 2011 / CONSTITUCIÓN DE FIDUCIA O PATRIMONIO AUTÓNOMO IRREVOCABLE –– ámbito de aplicación - Contratos aplicables </w:t>
            </w:r>
          </w:p>
        </w:tc>
      </w:tr>
      <w:tr w:rsidR="000D1127" w:rsidRPr="000D1127" w14:paraId="19A089DD" w14:textId="77777777" w:rsidTr="001C231C">
        <w:trPr>
          <w:trHeight w:val="215"/>
        </w:trPr>
        <w:tc>
          <w:tcPr>
            <w:tcW w:w="2689" w:type="dxa"/>
          </w:tcPr>
          <w:p w14:paraId="28D71137" w14:textId="77777777" w:rsidR="000F4A3A" w:rsidRPr="000D1127" w:rsidRDefault="000F4A3A" w:rsidP="000F4A3A">
            <w:pPr>
              <w:spacing w:before="120"/>
              <w:rPr>
                <w:rFonts w:ascii="Arial" w:hAnsi="Arial" w:cs="Arial"/>
                <w:b/>
                <w:sz w:val="22"/>
                <w:szCs w:val="22"/>
              </w:rPr>
            </w:pPr>
            <w:r w:rsidRPr="000D1127">
              <w:rPr>
                <w:rFonts w:ascii="Arial" w:hAnsi="Arial" w:cs="Arial"/>
                <w:b/>
                <w:sz w:val="22"/>
                <w:szCs w:val="22"/>
              </w:rPr>
              <w:t>Radicación:</w:t>
            </w:r>
            <w:r w:rsidRPr="000D1127">
              <w:rPr>
                <w:rFonts w:ascii="Arial" w:hAnsi="Arial" w:cs="Arial"/>
                <w:sz w:val="22"/>
                <w:szCs w:val="22"/>
              </w:rPr>
              <w:t xml:space="preserve">                              </w:t>
            </w:r>
          </w:p>
        </w:tc>
        <w:tc>
          <w:tcPr>
            <w:tcW w:w="6237" w:type="dxa"/>
          </w:tcPr>
          <w:p w14:paraId="5DBC3DED" w14:textId="77777777" w:rsidR="000F4A3A" w:rsidRPr="000D1127" w:rsidRDefault="000F4A3A" w:rsidP="000F4A3A">
            <w:pPr>
              <w:spacing w:before="120"/>
              <w:rPr>
                <w:rFonts w:ascii="Arial" w:hAnsi="Arial" w:cs="Arial"/>
                <w:sz w:val="22"/>
                <w:szCs w:val="22"/>
              </w:rPr>
            </w:pPr>
            <w:r w:rsidRPr="000D1127">
              <w:rPr>
                <w:rFonts w:ascii="Arial" w:hAnsi="Arial" w:cs="Arial"/>
                <w:sz w:val="22"/>
                <w:szCs w:val="22"/>
              </w:rPr>
              <w:t>Respuesta a consulta P20221024010706</w:t>
            </w:r>
          </w:p>
        </w:tc>
      </w:tr>
    </w:tbl>
    <w:p w14:paraId="2247D10D" w14:textId="77777777" w:rsidR="000F4A3A" w:rsidRPr="000F4A3A" w:rsidRDefault="000F4A3A" w:rsidP="000F4A3A">
      <w:pPr>
        <w:pStyle w:val="Textoindependiente"/>
        <w:spacing w:before="7" w:line="276" w:lineRule="auto"/>
        <w:rPr>
          <w:rFonts w:ascii="Arial" w:eastAsiaTheme="minorHAnsi" w:hAnsi="Arial" w:cs="Arial"/>
          <w:sz w:val="22"/>
          <w:szCs w:val="22"/>
        </w:rPr>
      </w:pPr>
      <w:r w:rsidRPr="000F4A3A">
        <w:rPr>
          <w:rFonts w:ascii="Arial" w:hAnsi="Arial" w:cs="Arial"/>
          <w:sz w:val="22"/>
          <w:szCs w:val="22"/>
        </w:rPr>
        <w:t xml:space="preserve">Estimada señora </w:t>
      </w:r>
      <w:r w:rsidRPr="000F4A3A">
        <w:rPr>
          <w:rFonts w:ascii="Arial" w:eastAsiaTheme="minorHAnsi" w:hAnsi="Arial" w:cs="Arial"/>
          <w:sz w:val="22"/>
          <w:szCs w:val="22"/>
        </w:rPr>
        <w:t xml:space="preserve">López Vesga, </w:t>
      </w:r>
    </w:p>
    <w:p w14:paraId="7B2DD806" w14:textId="77777777" w:rsidR="000F4A3A" w:rsidRPr="000F4A3A" w:rsidRDefault="000F4A3A" w:rsidP="000F4A3A">
      <w:pPr>
        <w:rPr>
          <w:rFonts w:ascii="Arial" w:hAnsi="Arial" w:cs="Arial"/>
          <w:sz w:val="22"/>
          <w:szCs w:val="22"/>
        </w:rPr>
      </w:pPr>
      <w:r w:rsidRPr="000F4A3A">
        <w:rPr>
          <w:rFonts w:ascii="Arial" w:hAnsi="Arial" w:cs="Arial"/>
          <w:sz w:val="22"/>
          <w:szCs w:val="22"/>
        </w:rPr>
        <w:t>En ejercicio de la competencia otorgada por el numeral 8 del artículo 11 y el numeral 5 del artículo 3 del Decreto Ley 4170 de 2011, la Agencia Nacional de Contratación Pública− Colombia Compra Eficiente responde su consulta de fecha 24 de octubre de 2022.</w:t>
      </w:r>
    </w:p>
    <w:p w14:paraId="34FC7BC8" w14:textId="77777777" w:rsidR="000F4A3A" w:rsidRPr="000F4A3A" w:rsidRDefault="000F4A3A" w:rsidP="00477961">
      <w:pPr>
        <w:pStyle w:val="Ttulo1"/>
        <w:numPr>
          <w:ilvl w:val="0"/>
          <w:numId w:val="6"/>
        </w:numPr>
        <w:tabs>
          <w:tab w:val="left" w:pos="586"/>
        </w:tabs>
        <w:spacing w:before="0" w:line="276" w:lineRule="auto"/>
        <w:ind w:left="286" w:hanging="286"/>
      </w:pPr>
      <w:r w:rsidRPr="000F4A3A">
        <w:t>Problema</w:t>
      </w:r>
      <w:r w:rsidRPr="000F4A3A">
        <w:rPr>
          <w:spacing w:val="-2"/>
        </w:rPr>
        <w:t xml:space="preserve"> </w:t>
      </w:r>
      <w:r w:rsidRPr="000F4A3A">
        <w:t>planteado</w:t>
      </w:r>
    </w:p>
    <w:p w14:paraId="0F7F2DAD" w14:textId="77777777" w:rsidR="00A31550" w:rsidRDefault="00A31550" w:rsidP="00477961">
      <w:pPr>
        <w:adjustRightInd w:val="0"/>
        <w:spacing w:after="0"/>
        <w:rPr>
          <w:rFonts w:ascii="Arial" w:hAnsi="Arial" w:cs="Arial"/>
          <w:sz w:val="22"/>
          <w:szCs w:val="22"/>
        </w:rPr>
      </w:pPr>
    </w:p>
    <w:p w14:paraId="5973285A" w14:textId="2194867D" w:rsidR="00A31550" w:rsidRDefault="000F4A3A" w:rsidP="00A31550">
      <w:pPr>
        <w:adjustRightInd w:val="0"/>
        <w:spacing w:after="0"/>
        <w:rPr>
          <w:rFonts w:ascii="Arial" w:hAnsi="Arial" w:cs="Arial"/>
          <w:sz w:val="22"/>
          <w:szCs w:val="22"/>
        </w:rPr>
      </w:pPr>
      <w:r w:rsidRPr="000F4A3A">
        <w:rPr>
          <w:rFonts w:ascii="Arial" w:hAnsi="Arial" w:cs="Arial"/>
          <w:sz w:val="22"/>
          <w:szCs w:val="22"/>
        </w:rPr>
        <w:t xml:space="preserve">Usted formula la siguiente pregunta: </w:t>
      </w:r>
    </w:p>
    <w:p w14:paraId="59F837A2" w14:textId="77777777" w:rsidR="00A31550" w:rsidRDefault="00A31550" w:rsidP="00477961">
      <w:pPr>
        <w:adjustRightInd w:val="0"/>
        <w:spacing w:after="0"/>
        <w:rPr>
          <w:rFonts w:ascii="Arial" w:hAnsi="Arial" w:cs="Arial"/>
          <w:sz w:val="22"/>
          <w:szCs w:val="22"/>
        </w:rPr>
      </w:pPr>
    </w:p>
    <w:p w14:paraId="1BB78D5F" w14:textId="1319A247" w:rsidR="000F4A3A" w:rsidRPr="00477961" w:rsidRDefault="000F4A3A" w:rsidP="00477961">
      <w:pPr>
        <w:adjustRightInd w:val="0"/>
        <w:spacing w:line="240" w:lineRule="auto"/>
        <w:ind w:left="709" w:right="709"/>
        <w:rPr>
          <w:rFonts w:ascii="Arial" w:eastAsiaTheme="minorHAnsi" w:hAnsi="Arial" w:cs="Arial"/>
          <w:sz w:val="21"/>
          <w:szCs w:val="21"/>
          <w:lang w:val="es-CO"/>
        </w:rPr>
      </w:pPr>
      <w:r w:rsidRPr="00477961">
        <w:rPr>
          <w:rFonts w:ascii="Arial" w:hAnsi="Arial" w:cs="Arial"/>
          <w:sz w:val="21"/>
          <w:szCs w:val="21"/>
        </w:rPr>
        <w:t>«</w:t>
      </w:r>
      <w:r w:rsidRPr="00477961">
        <w:rPr>
          <w:rFonts w:ascii="Arial" w:eastAsiaTheme="minorHAnsi" w:hAnsi="Arial" w:cs="Arial"/>
          <w:sz w:val="21"/>
          <w:szCs w:val="21"/>
          <w:lang w:val="es-CO"/>
        </w:rPr>
        <w:t xml:space="preserve">EN UN CONTRATO DE OBRA, SE PACTO ANTICIPO POR VALOR DEL 50%, </w:t>
      </w:r>
      <w:proofErr w:type="gramStart"/>
      <w:r w:rsidRPr="00477961">
        <w:rPr>
          <w:rFonts w:ascii="Arial" w:eastAsiaTheme="minorHAnsi" w:hAnsi="Arial" w:cs="Arial"/>
          <w:sz w:val="21"/>
          <w:szCs w:val="21"/>
          <w:lang w:val="es-CO"/>
        </w:rPr>
        <w:t>EN VIRTUD DE LA EJECUCION DEL CONTRATO SE ESTABLECIÓ LA NECESIDAD DE REALIZAR UN ADICIONAL PARA AGREGAR ITEMS Y VALOR, ES VIABLE QUE EN EL CONTRATO ADICIONAL SE ESTIPULE ANTICIPO?</w:t>
      </w:r>
      <w:proofErr w:type="gramEnd"/>
      <w:r w:rsidRPr="00477961">
        <w:rPr>
          <w:rFonts w:ascii="Arial" w:eastAsiaTheme="minorHAnsi" w:hAnsi="Arial" w:cs="Arial"/>
          <w:sz w:val="21"/>
          <w:szCs w:val="21"/>
          <w:lang w:val="es-CO"/>
        </w:rPr>
        <w:t xml:space="preserve">». </w:t>
      </w:r>
    </w:p>
    <w:p w14:paraId="6BB72E9B" w14:textId="77777777" w:rsidR="000F4A3A" w:rsidRPr="000F4A3A" w:rsidRDefault="000F4A3A" w:rsidP="000F4A3A">
      <w:pPr>
        <w:adjustRightInd w:val="0"/>
        <w:rPr>
          <w:rFonts w:ascii="Arial" w:hAnsi="Arial" w:cs="Arial"/>
          <w:sz w:val="22"/>
          <w:szCs w:val="22"/>
        </w:rPr>
      </w:pPr>
    </w:p>
    <w:p w14:paraId="6D83D9E1" w14:textId="77777777" w:rsidR="000F4A3A" w:rsidRPr="000F4A3A" w:rsidRDefault="000F4A3A" w:rsidP="00477961">
      <w:pPr>
        <w:pStyle w:val="Ttulo1"/>
        <w:numPr>
          <w:ilvl w:val="0"/>
          <w:numId w:val="6"/>
        </w:numPr>
        <w:tabs>
          <w:tab w:val="left" w:pos="586"/>
        </w:tabs>
        <w:spacing w:before="0" w:after="240" w:line="276" w:lineRule="auto"/>
        <w:ind w:left="286" w:hanging="286"/>
      </w:pPr>
      <w:r w:rsidRPr="000F4A3A">
        <w:lastRenderedPageBreak/>
        <w:t>Consideraciones</w:t>
      </w:r>
    </w:p>
    <w:p w14:paraId="24AC0FB2" w14:textId="13BFB78B" w:rsidR="000F4A3A" w:rsidRPr="000F4A3A" w:rsidRDefault="000F4A3A" w:rsidP="00477961">
      <w:pPr>
        <w:spacing w:after="240"/>
        <w:rPr>
          <w:rFonts w:ascii="Arial" w:hAnsi="Arial" w:cs="Arial"/>
          <w:color w:val="000000" w:themeColor="text1"/>
          <w:sz w:val="22"/>
          <w:szCs w:val="22"/>
          <w:u w:val="single"/>
          <w:lang w:val="es-CO"/>
        </w:rPr>
      </w:pPr>
      <w:r w:rsidRPr="000F4A3A">
        <w:rPr>
          <w:rFonts w:ascii="Arial" w:hAnsi="Arial" w:cs="Arial"/>
          <w:color w:val="000000" w:themeColor="text1"/>
          <w:sz w:val="22"/>
          <w:szCs w:val="22"/>
          <w:lang w:val="es-ES_tradnl"/>
        </w:rPr>
        <w:t>La Subdirección de Gestión Contractual responderá la consulta, luego de analizar los siguientes temas:</w:t>
      </w:r>
      <w:r w:rsidRPr="000F4A3A">
        <w:rPr>
          <w:rFonts w:ascii="Arial" w:eastAsia="Times New Roman" w:hAnsi="Arial" w:cs="Arial"/>
          <w:color w:val="000000" w:themeColor="text1"/>
          <w:sz w:val="22"/>
          <w:szCs w:val="22"/>
        </w:rPr>
        <w:t xml:space="preserve"> i) la </w:t>
      </w:r>
      <w:r w:rsidRPr="000F4A3A">
        <w:rPr>
          <w:rFonts w:ascii="Arial" w:hAnsi="Arial" w:cs="Arial"/>
          <w:color w:val="000000" w:themeColor="text1"/>
          <w:sz w:val="22"/>
          <w:szCs w:val="22"/>
          <w:lang w:val="es-CO"/>
        </w:rPr>
        <w:t xml:space="preserve">naturaleza jurídica del anticipo y </w:t>
      </w:r>
      <w:proofErr w:type="spellStart"/>
      <w:r w:rsidRPr="000F4A3A">
        <w:rPr>
          <w:rFonts w:ascii="Arial" w:hAnsi="Arial" w:cs="Arial"/>
          <w:color w:val="000000" w:themeColor="text1"/>
          <w:sz w:val="22"/>
          <w:szCs w:val="22"/>
          <w:lang w:val="es-CO"/>
        </w:rPr>
        <w:t>ii</w:t>
      </w:r>
      <w:proofErr w:type="spellEnd"/>
      <w:r w:rsidRPr="000F4A3A">
        <w:rPr>
          <w:rFonts w:ascii="Arial" w:hAnsi="Arial" w:cs="Arial"/>
          <w:color w:val="000000" w:themeColor="text1"/>
          <w:sz w:val="22"/>
          <w:szCs w:val="22"/>
          <w:lang w:val="es-CO"/>
        </w:rPr>
        <w:t>) el ámbito de aplicación del artículo 91 de la Ley 1474 de 2011.</w:t>
      </w:r>
    </w:p>
    <w:p w14:paraId="77E2F2C2" w14:textId="77777777" w:rsidR="000F4A3A" w:rsidRPr="000F4A3A" w:rsidRDefault="000F4A3A" w:rsidP="000F4A3A">
      <w:pPr>
        <w:spacing w:before="120"/>
        <w:ind w:firstLine="851"/>
        <w:rPr>
          <w:rFonts w:ascii="Arial" w:hAnsi="Arial" w:cs="Arial"/>
          <w:sz w:val="22"/>
          <w:szCs w:val="22"/>
        </w:rPr>
      </w:pPr>
      <w:r w:rsidRPr="000F4A3A">
        <w:rPr>
          <w:rFonts w:ascii="Arial" w:hAnsi="Arial" w:cs="Arial"/>
          <w:sz w:val="22"/>
          <w:szCs w:val="22"/>
        </w:rPr>
        <w:t>La Agencia Nacional de Contratación Pública – Colombia Compra Eficiente 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2020, C-693 del 25 de noviembre de 2020, C-731 del 14 de diciembre de 2020, y C-154 del 18 de mayo de 2021, abordó el análisis y estudio de la facultad de las entidades estatales para pactar la entrega de anticipos en los contratos estatales</w:t>
      </w:r>
      <w:r w:rsidRPr="000F4A3A">
        <w:rPr>
          <w:rFonts w:ascii="Arial" w:hAnsi="Arial" w:cs="Arial"/>
          <w:color w:val="000000" w:themeColor="text1"/>
          <w:sz w:val="22"/>
          <w:szCs w:val="22"/>
        </w:rPr>
        <w:t>. La tesis propuesta se expone a continuación y se complementa en lo pertinente:</w:t>
      </w:r>
    </w:p>
    <w:p w14:paraId="70BC75FF" w14:textId="77777777" w:rsidR="000F4A3A" w:rsidRPr="000F4A3A" w:rsidRDefault="000F4A3A" w:rsidP="000F4A3A">
      <w:pPr>
        <w:tabs>
          <w:tab w:val="left" w:pos="0"/>
        </w:tabs>
        <w:rPr>
          <w:rFonts w:ascii="Arial" w:hAnsi="Arial" w:cs="Arial"/>
          <w:b/>
          <w:bCs/>
          <w:color w:val="000000"/>
          <w:sz w:val="22"/>
          <w:szCs w:val="22"/>
          <w:lang w:eastAsia="en-GB"/>
        </w:rPr>
      </w:pPr>
      <w:r w:rsidRPr="000F4A3A">
        <w:rPr>
          <w:rFonts w:ascii="Arial" w:hAnsi="Arial" w:cs="Arial"/>
          <w:b/>
          <w:color w:val="000000"/>
          <w:sz w:val="22"/>
          <w:szCs w:val="22"/>
          <w:lang w:eastAsia="en-GB"/>
        </w:rPr>
        <w:t xml:space="preserve">2.1. </w:t>
      </w:r>
      <w:r w:rsidRPr="000F4A3A">
        <w:rPr>
          <w:rFonts w:ascii="Arial" w:eastAsiaTheme="minorHAnsi" w:hAnsi="Arial" w:cs="Arial"/>
          <w:b/>
          <w:color w:val="000000" w:themeColor="text1"/>
          <w:sz w:val="22"/>
          <w:szCs w:val="22"/>
          <w:lang w:val="es-CO"/>
        </w:rPr>
        <w:t>Naturaleza jurídica del anticipo</w:t>
      </w:r>
    </w:p>
    <w:p w14:paraId="071930F5" w14:textId="73AB7A0C" w:rsidR="000F4A3A" w:rsidRPr="000F4A3A" w:rsidRDefault="000F4A3A" w:rsidP="000F4A3A">
      <w:pPr>
        <w:tabs>
          <w:tab w:val="left" w:pos="0"/>
        </w:tabs>
        <w:rPr>
          <w:rFonts w:ascii="Arial" w:eastAsiaTheme="minorHAnsi" w:hAnsi="Arial" w:cs="Arial"/>
          <w:color w:val="000000" w:themeColor="text1"/>
          <w:sz w:val="22"/>
          <w:szCs w:val="22"/>
        </w:rPr>
      </w:pPr>
      <w:r w:rsidRPr="000F4A3A">
        <w:rPr>
          <w:rFonts w:ascii="Arial" w:hAnsi="Arial" w:cs="Arial"/>
          <w:b/>
          <w:bCs/>
          <w:color w:val="000000"/>
          <w:sz w:val="22"/>
          <w:szCs w:val="22"/>
          <w:lang w:eastAsia="en-GB"/>
        </w:rPr>
        <w:t xml:space="preserve"> </w:t>
      </w:r>
      <w:r w:rsidRPr="000F4A3A">
        <w:rPr>
          <w:rFonts w:ascii="Arial" w:hAnsi="Arial" w:cs="Arial"/>
          <w:color w:val="000000"/>
          <w:sz w:val="22"/>
          <w:szCs w:val="22"/>
          <w:lang w:eastAsia="en-GB"/>
        </w:rPr>
        <w:t>En materia de contratación pública, la figura del anticipo está prevista en dos (2) normas: el</w:t>
      </w:r>
      <w:r w:rsidRPr="000F4A3A">
        <w:rPr>
          <w:rFonts w:ascii="Arial" w:eastAsiaTheme="minorHAnsi" w:hAnsi="Arial" w:cs="Arial"/>
          <w:color w:val="000000" w:themeColor="text1"/>
          <w:sz w:val="22"/>
          <w:szCs w:val="22"/>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w:t>
      </w:r>
      <w:r w:rsidRPr="000F4A3A">
        <w:rPr>
          <w:rFonts w:ascii="Arial" w:hAnsi="Arial" w:cs="Arial"/>
          <w:color w:val="000000" w:themeColor="text1"/>
          <w:sz w:val="22"/>
          <w:szCs w:val="22"/>
        </w:rPr>
        <w:t>«</w:t>
      </w:r>
      <w:r w:rsidRPr="000F4A3A">
        <w:rPr>
          <w:rFonts w:ascii="Arial" w:eastAsiaTheme="minorHAnsi" w:hAnsi="Arial" w:cs="Arial"/>
          <w:color w:val="000000" w:themeColor="text1"/>
          <w:sz w:val="22"/>
          <w:szCs w:val="22"/>
        </w:rPr>
        <w:t>En los contratos que celebren las entidades estatales se podrá pactar el pago anticipado y la entrega de anticipos, pero su monto no podrá exceder del cincuenta por ciento (50%) del valor del respectivo contrato</w:t>
      </w:r>
      <w:r w:rsidRPr="000F4A3A">
        <w:rPr>
          <w:rFonts w:ascii="Arial" w:hAnsi="Arial" w:cs="Arial"/>
          <w:color w:val="000000" w:themeColor="text1"/>
          <w:sz w:val="22"/>
          <w:szCs w:val="22"/>
        </w:rPr>
        <w:t>»</w:t>
      </w:r>
      <w:r w:rsidRPr="000F4A3A">
        <w:rPr>
          <w:rFonts w:ascii="Arial" w:eastAsiaTheme="minorHAnsi" w:hAnsi="Arial" w:cs="Arial"/>
          <w:color w:val="000000" w:themeColor="text1"/>
          <w:sz w:val="22"/>
          <w:szCs w:val="22"/>
        </w:rPr>
        <w:t xml:space="preserve">. </w:t>
      </w:r>
    </w:p>
    <w:p w14:paraId="6C77E797" w14:textId="77777777" w:rsidR="000F4A3A" w:rsidRPr="000F4A3A" w:rsidRDefault="000F4A3A" w:rsidP="000F4A3A">
      <w:pPr>
        <w:tabs>
          <w:tab w:val="left" w:pos="0"/>
        </w:tabs>
        <w:spacing w:before="120"/>
        <w:ind w:firstLine="709"/>
        <w:rPr>
          <w:rFonts w:ascii="Arial" w:eastAsiaTheme="minorHAnsi" w:hAnsi="Arial" w:cs="Arial"/>
          <w:color w:val="000000" w:themeColor="text1"/>
          <w:sz w:val="22"/>
          <w:szCs w:val="22"/>
        </w:rPr>
      </w:pPr>
      <w:r w:rsidRPr="000F4A3A">
        <w:rPr>
          <w:rFonts w:ascii="Arial" w:eastAsiaTheme="minorHAnsi" w:hAnsi="Arial" w:cs="Arial"/>
          <w:color w:val="000000" w:themeColor="text1"/>
          <w:sz w:val="22"/>
          <w:szCs w:val="22"/>
        </w:rPr>
        <w:t>Por su parte, 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4EFC7BB9" w14:textId="77777777" w:rsidR="000F4A3A" w:rsidRPr="000F4A3A" w:rsidRDefault="000F4A3A" w:rsidP="000F4A3A">
      <w:pPr>
        <w:tabs>
          <w:tab w:val="left" w:pos="0"/>
        </w:tabs>
        <w:spacing w:before="120"/>
        <w:ind w:firstLine="709"/>
        <w:rPr>
          <w:rFonts w:ascii="Arial" w:hAnsi="Arial" w:cs="Arial"/>
          <w:sz w:val="22"/>
          <w:szCs w:val="22"/>
          <w:vertAlign w:val="superscript"/>
        </w:rPr>
      </w:pPr>
      <w:r w:rsidRPr="000F4A3A">
        <w:rPr>
          <w:rFonts w:ascii="Arial" w:hAnsi="Arial" w:cs="Arial"/>
          <w:sz w:val="22"/>
          <w:szCs w:val="22"/>
        </w:rPr>
        <w:t>Aunque las normas citadas no definen el anticipo, el Consejo de Estado ha precisado su naturaleza jurídica fijando parámetros para su aplicación</w:t>
      </w:r>
      <w:r w:rsidRPr="000F4A3A">
        <w:rPr>
          <w:rFonts w:ascii="Arial" w:hAnsi="Arial" w:cs="Arial"/>
          <w:sz w:val="22"/>
          <w:szCs w:val="22"/>
          <w:vertAlign w:val="superscript"/>
        </w:rPr>
        <w:footnoteReference w:id="2"/>
      </w:r>
      <w:r w:rsidRPr="000F4A3A">
        <w:rPr>
          <w:rFonts w:ascii="Arial" w:hAnsi="Arial" w:cs="Arial"/>
          <w:sz w:val="22"/>
          <w:szCs w:val="22"/>
        </w:rPr>
        <w:t xml:space="preserve">. En uno de sus pronunciamientos más </w:t>
      </w:r>
      <w:r w:rsidRPr="000F4A3A">
        <w:rPr>
          <w:rFonts w:ascii="Arial" w:hAnsi="Arial" w:cs="Arial"/>
          <w:sz w:val="22"/>
          <w:szCs w:val="22"/>
        </w:rPr>
        <w:lastRenderedPageBreak/>
        <w:t xml:space="preserve">recientes, el Consejo de Estado se refirió al anticipo como </w:t>
      </w:r>
      <w:r w:rsidRPr="000F4A3A">
        <w:rPr>
          <w:rFonts w:ascii="Arial" w:hAnsi="Arial" w:cs="Arial"/>
          <w:color w:val="000000" w:themeColor="text1"/>
          <w:sz w:val="22"/>
          <w:szCs w:val="22"/>
        </w:rPr>
        <w:t>«</w:t>
      </w:r>
      <w:r w:rsidRPr="000F4A3A">
        <w:rPr>
          <w:rFonts w:ascii="Arial" w:hAnsi="Arial" w:cs="Arial"/>
          <w:sz w:val="22"/>
          <w:szCs w:val="22"/>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0F4A3A">
        <w:rPr>
          <w:rFonts w:ascii="Arial" w:hAnsi="Arial" w:cs="Arial"/>
          <w:color w:val="000000" w:themeColor="text1"/>
          <w:sz w:val="22"/>
          <w:szCs w:val="22"/>
        </w:rPr>
        <w:t>»</w:t>
      </w:r>
      <w:r w:rsidRPr="000F4A3A">
        <w:rPr>
          <w:rFonts w:ascii="Arial" w:hAnsi="Arial" w:cs="Arial"/>
          <w:sz w:val="22"/>
          <w:szCs w:val="22"/>
          <w:vertAlign w:val="superscript"/>
        </w:rPr>
        <w:footnoteReference w:id="3"/>
      </w:r>
      <w:r w:rsidRPr="000F4A3A">
        <w:rPr>
          <w:rFonts w:ascii="Arial" w:hAnsi="Arial" w:cs="Arial"/>
          <w:color w:val="000000" w:themeColor="text1"/>
          <w:sz w:val="22"/>
          <w:szCs w:val="22"/>
        </w:rPr>
        <w:t>.</w:t>
      </w:r>
    </w:p>
    <w:p w14:paraId="47234964" w14:textId="77777777" w:rsidR="000F4A3A" w:rsidRPr="000F4A3A" w:rsidRDefault="000F4A3A" w:rsidP="000F4A3A">
      <w:pPr>
        <w:spacing w:before="120"/>
        <w:ind w:firstLine="708"/>
        <w:rPr>
          <w:rFonts w:ascii="Arial" w:hAnsi="Arial" w:cs="Arial"/>
          <w:sz w:val="22"/>
          <w:szCs w:val="22"/>
        </w:rPr>
      </w:pPr>
      <w:r w:rsidRPr="000F4A3A">
        <w:rPr>
          <w:rFonts w:ascii="Arial" w:hAnsi="Arial" w:cs="Arial"/>
          <w:sz w:val="22"/>
          <w:szCs w:val="22"/>
        </w:rPr>
        <w:t xml:space="preserve">Sobre la calidad de recurso público del anticipo, la jurisprudencia ha reiterado que </w:t>
      </w:r>
      <w:r w:rsidRPr="000F4A3A">
        <w:rPr>
          <w:rFonts w:ascii="Arial" w:hAnsi="Arial" w:cs="Arial"/>
          <w:color w:val="000000" w:themeColor="text1"/>
          <w:sz w:val="22"/>
          <w:szCs w:val="22"/>
        </w:rPr>
        <w:t>«</w:t>
      </w:r>
      <w:r w:rsidRPr="000F4A3A">
        <w:rPr>
          <w:rFonts w:ascii="Arial" w:hAnsi="Arial" w:cs="Arial"/>
          <w:sz w:val="22"/>
          <w:szCs w:val="22"/>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Pr="000F4A3A">
        <w:rPr>
          <w:rFonts w:ascii="Arial" w:hAnsi="Arial" w:cs="Arial"/>
          <w:color w:val="000000" w:themeColor="text1"/>
          <w:sz w:val="22"/>
          <w:szCs w:val="22"/>
        </w:rPr>
        <w:t>»</w:t>
      </w:r>
      <w:r w:rsidRPr="000F4A3A">
        <w:rPr>
          <w:rFonts w:ascii="Arial" w:hAnsi="Arial" w:cs="Arial"/>
          <w:sz w:val="22"/>
          <w:szCs w:val="22"/>
          <w:vertAlign w:val="superscript"/>
        </w:rPr>
        <w:footnoteReference w:id="4"/>
      </w:r>
      <w:r w:rsidRPr="000F4A3A">
        <w:rPr>
          <w:rFonts w:ascii="Arial" w:hAnsi="Arial" w:cs="Arial"/>
          <w:sz w:val="22"/>
          <w:szCs w:val="22"/>
        </w:rPr>
        <w:t>. Igualmente, explica que el anticipo, al facilitar al contratista la financiación de los bienes y servicios que se le han encargado, es un factor determinante para impulsar la ejecución del contrato</w:t>
      </w:r>
      <w:r w:rsidRPr="000F4A3A">
        <w:rPr>
          <w:rFonts w:ascii="Arial" w:hAnsi="Arial" w:cs="Arial"/>
          <w:sz w:val="22"/>
          <w:szCs w:val="22"/>
          <w:vertAlign w:val="superscript"/>
        </w:rPr>
        <w:footnoteReference w:id="5"/>
      </w:r>
      <w:r w:rsidRPr="000F4A3A">
        <w:rPr>
          <w:rFonts w:ascii="Arial" w:hAnsi="Arial" w:cs="Arial"/>
          <w:sz w:val="22"/>
          <w:szCs w:val="22"/>
        </w:rPr>
        <w:t>. Este también es el entendimiento de la doctrina</w:t>
      </w:r>
      <w:r w:rsidRPr="000F4A3A">
        <w:rPr>
          <w:rFonts w:ascii="Arial" w:hAnsi="Arial" w:cs="Arial"/>
          <w:color w:val="000000" w:themeColor="text1"/>
          <w:sz w:val="22"/>
          <w:szCs w:val="22"/>
        </w:rPr>
        <w:t>,</w:t>
      </w:r>
      <w:r w:rsidRPr="000F4A3A">
        <w:rPr>
          <w:rFonts w:ascii="Arial" w:hAnsi="Arial" w:cs="Arial"/>
          <w:sz w:val="22"/>
          <w:szCs w:val="22"/>
        </w:rPr>
        <w:t xml:space="preserve"> que ha considerado el anticipo como un dinero entregado al contratista que debe cancelarse mediante descuentos parciales, siendo una práctica común que permite impulsar la ejecución del contrato</w:t>
      </w:r>
      <w:r w:rsidRPr="000F4A3A">
        <w:rPr>
          <w:rFonts w:ascii="Arial" w:hAnsi="Arial" w:cs="Arial"/>
          <w:sz w:val="22"/>
          <w:szCs w:val="22"/>
          <w:vertAlign w:val="superscript"/>
        </w:rPr>
        <w:footnoteReference w:id="6"/>
      </w:r>
      <w:r w:rsidRPr="000F4A3A">
        <w:rPr>
          <w:rFonts w:ascii="Arial" w:hAnsi="Arial" w:cs="Arial"/>
          <w:sz w:val="22"/>
          <w:szCs w:val="22"/>
        </w:rPr>
        <w:t xml:space="preserve">. </w:t>
      </w:r>
    </w:p>
    <w:p w14:paraId="2FC34B5C" w14:textId="4F5E0705" w:rsidR="000F4A3A" w:rsidRPr="000F4A3A" w:rsidRDefault="000F4A3A" w:rsidP="000F4A3A">
      <w:pPr>
        <w:spacing w:before="120"/>
        <w:ind w:firstLine="708"/>
        <w:rPr>
          <w:rFonts w:ascii="Arial" w:hAnsi="Arial" w:cs="Arial"/>
          <w:color w:val="000000" w:themeColor="text1"/>
          <w:sz w:val="22"/>
          <w:szCs w:val="22"/>
          <w:lang w:val="es-CO"/>
        </w:rPr>
      </w:pPr>
      <w:r w:rsidRPr="000F4A3A">
        <w:rPr>
          <w:rFonts w:ascii="Arial" w:hAnsi="Arial" w:cs="Arial"/>
          <w:color w:val="000000" w:themeColor="text1"/>
          <w:sz w:val="22"/>
          <w:szCs w:val="22"/>
          <w:lang w:val="es-CO"/>
        </w:rPr>
        <w:lastRenderedPageBreak/>
        <w:t xml:space="preserve">Así, de acuerdo con las consideraciones de la jurisprudencia y la doctrina, el anticipo es </w:t>
      </w:r>
      <w:r w:rsidRPr="000F4A3A">
        <w:rPr>
          <w:rFonts w:ascii="Arial" w:hAnsi="Arial" w:cs="Arial"/>
          <w:sz w:val="22"/>
          <w:szCs w:val="22"/>
        </w:rPr>
        <w:t xml:space="preserve">aquella suma de dinero entregada al contratista con la finalidad de apalancarlo financieramente para solventar los costos de la ejecución del contrato. Este dinero debe amortizarse </w:t>
      </w:r>
      <w:r w:rsidR="00E67DF9" w:rsidRPr="000F4A3A">
        <w:rPr>
          <w:rFonts w:ascii="Arial" w:hAnsi="Arial" w:cs="Arial"/>
          <w:sz w:val="22"/>
          <w:szCs w:val="22"/>
        </w:rPr>
        <w:t>de acuerdo con el</w:t>
      </w:r>
      <w:r w:rsidRPr="000F4A3A">
        <w:rPr>
          <w:rFonts w:ascii="Arial" w:hAnsi="Arial" w:cs="Arial"/>
          <w:sz w:val="22"/>
          <w:szCs w:val="22"/>
        </w:rPr>
        <w:t xml:space="preserve"> avance en la ejecución. De esta forma, los recursos entregados a título de anticipo son del erario, razón por la que debe garantizarse su buen manejo y correcta inversión.</w:t>
      </w:r>
    </w:p>
    <w:p w14:paraId="722ECD94" w14:textId="77777777" w:rsidR="000F4A3A" w:rsidRPr="000F4A3A" w:rsidRDefault="000F4A3A" w:rsidP="000F4A3A">
      <w:pPr>
        <w:spacing w:before="120"/>
        <w:ind w:firstLine="709"/>
        <w:rPr>
          <w:rFonts w:ascii="Arial" w:hAnsi="Arial" w:cs="Arial"/>
          <w:sz w:val="22"/>
          <w:szCs w:val="22"/>
        </w:rPr>
      </w:pPr>
      <w:r w:rsidRPr="000F4A3A">
        <w:rPr>
          <w:rFonts w:ascii="Arial" w:hAnsi="Arial" w:cs="Arial"/>
          <w:color w:val="000000" w:themeColor="text1"/>
          <w:sz w:val="22"/>
          <w:szCs w:val="22"/>
          <w:lang w:val="es-CO"/>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 </w:t>
      </w:r>
    </w:p>
    <w:p w14:paraId="54C280CE" w14:textId="77777777" w:rsidR="000F4A3A" w:rsidRPr="00477961" w:rsidRDefault="000F4A3A" w:rsidP="00477961">
      <w:pPr>
        <w:spacing w:line="240" w:lineRule="auto"/>
        <w:ind w:left="709" w:right="709"/>
        <w:rPr>
          <w:rFonts w:ascii="Arial" w:hAnsi="Arial" w:cs="Arial"/>
          <w:sz w:val="21"/>
          <w:szCs w:val="21"/>
        </w:rPr>
      </w:pPr>
      <w:r w:rsidRPr="00477961">
        <w:rPr>
          <w:rFonts w:ascii="Arial" w:hAnsi="Arial" w:cs="Arial"/>
          <w:sz w:val="21"/>
          <w:szCs w:val="21"/>
        </w:rPr>
        <w:t xml:space="preserve">[…]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477961">
        <w:rPr>
          <w:rFonts w:ascii="Arial" w:hAnsi="Arial" w:cs="Arial"/>
          <w:sz w:val="21"/>
          <w:szCs w:val="21"/>
        </w:rPr>
        <w:t>etc</w:t>
      </w:r>
      <w:proofErr w:type="spellEnd"/>
      <w:r w:rsidRPr="00477961">
        <w:rPr>
          <w:rFonts w:ascii="Arial" w:hAnsi="Arial" w:cs="Arial"/>
          <w:sz w:val="21"/>
          <w:szCs w:val="21"/>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477961">
        <w:rPr>
          <w:rFonts w:ascii="Arial" w:hAnsi="Arial" w:cs="Arial"/>
          <w:b/>
          <w:bCs/>
          <w:sz w:val="21"/>
          <w:szCs w:val="21"/>
        </w:rPr>
        <w:t xml:space="preserve">, </w:t>
      </w:r>
      <w:r w:rsidRPr="00477961">
        <w:rPr>
          <w:rFonts w:ascii="Arial" w:hAnsi="Arial" w:cs="Arial"/>
          <w:sz w:val="21"/>
          <w:szCs w:val="21"/>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477961">
        <w:rPr>
          <w:rFonts w:ascii="Arial" w:hAnsi="Arial" w:cs="Arial"/>
          <w:sz w:val="21"/>
          <w:szCs w:val="21"/>
          <w:vertAlign w:val="superscript"/>
        </w:rPr>
        <w:footnoteReference w:id="7"/>
      </w:r>
      <w:r w:rsidRPr="00477961">
        <w:rPr>
          <w:rFonts w:ascii="Arial" w:hAnsi="Arial" w:cs="Arial"/>
          <w:sz w:val="21"/>
          <w:szCs w:val="21"/>
        </w:rPr>
        <w:t>.</w:t>
      </w:r>
    </w:p>
    <w:p w14:paraId="1EA89E57" w14:textId="77777777" w:rsidR="000F4A3A" w:rsidRPr="000F4A3A" w:rsidRDefault="000F4A3A" w:rsidP="000F4A3A">
      <w:pPr>
        <w:tabs>
          <w:tab w:val="left" w:pos="0"/>
        </w:tabs>
        <w:ind w:firstLine="709"/>
        <w:rPr>
          <w:rFonts w:ascii="Arial" w:hAnsi="Arial" w:cs="Arial"/>
          <w:sz w:val="22"/>
          <w:szCs w:val="22"/>
        </w:rPr>
      </w:pPr>
      <w:r w:rsidRPr="000F4A3A">
        <w:rPr>
          <w:rFonts w:ascii="Arial" w:hAnsi="Arial" w:cs="Arial"/>
          <w:sz w:val="22"/>
          <w:szCs w:val="22"/>
        </w:rPr>
        <w:t>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50% del valor del contrato–, el plazo de amortización, las condiciones necesarias para su exigibilidad, así como todas las obligaciones para su correcta inversión.</w:t>
      </w:r>
    </w:p>
    <w:p w14:paraId="45CF1F43" w14:textId="77777777" w:rsidR="000F4A3A" w:rsidRPr="000F4A3A" w:rsidRDefault="000F4A3A" w:rsidP="000F4A3A">
      <w:pPr>
        <w:tabs>
          <w:tab w:val="left" w:pos="0"/>
        </w:tabs>
        <w:spacing w:before="120"/>
        <w:ind w:firstLine="709"/>
        <w:rPr>
          <w:rFonts w:ascii="Arial" w:eastAsiaTheme="minorHAnsi" w:hAnsi="Arial" w:cs="Arial"/>
          <w:color w:val="000000" w:themeColor="text1"/>
          <w:sz w:val="22"/>
          <w:szCs w:val="22"/>
        </w:rPr>
      </w:pPr>
      <w:r w:rsidRPr="000F4A3A">
        <w:rPr>
          <w:rFonts w:ascii="Arial" w:hAnsi="Arial" w:cs="Arial"/>
          <w:sz w:val="22"/>
          <w:szCs w:val="22"/>
        </w:rPr>
        <w:lastRenderedPageBreak/>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0F4A3A">
        <w:rPr>
          <w:rFonts w:ascii="Arial" w:eastAsiaTheme="minorHAnsi" w:hAnsi="Arial" w:cs="Arial"/>
          <w:color w:val="000000" w:themeColor="text1"/>
          <w:sz w:val="22"/>
          <w:szCs w:val="22"/>
        </w:rPr>
        <w:t xml:space="preserve">De hecho, el Estatuto General de Contratación de la Administración Pública dispone como única limitación el valor máximo que puede desembolsar la entidad para pactar el anticipo. </w:t>
      </w:r>
    </w:p>
    <w:p w14:paraId="35EF14E6" w14:textId="77777777" w:rsidR="000F4A3A" w:rsidRPr="000F4A3A" w:rsidRDefault="000F4A3A" w:rsidP="000F4A3A">
      <w:pPr>
        <w:spacing w:before="120" w:after="120"/>
        <w:ind w:firstLine="709"/>
        <w:rPr>
          <w:rFonts w:ascii="Arial" w:hAnsi="Arial" w:cs="Arial"/>
          <w:sz w:val="22"/>
          <w:szCs w:val="22"/>
        </w:rPr>
      </w:pPr>
      <w:r w:rsidRPr="000F4A3A">
        <w:rPr>
          <w:rFonts w:ascii="Arial" w:eastAsiaTheme="minorHAnsi" w:hAnsi="Arial" w:cs="Arial"/>
          <w:color w:val="000000" w:themeColor="text1"/>
          <w:sz w:val="22"/>
          <w:szCs w:val="22"/>
        </w:rPr>
        <w:t xml:space="preserve">Del análisis realizado se desprende que los recursos entregados al contratista en calidad de anticipo son recursos públicos. Por tanto, corresponde a la entidad </w:t>
      </w:r>
      <w:r w:rsidRPr="000F4A3A">
        <w:rPr>
          <w:rFonts w:ascii="Arial" w:hAnsi="Arial" w:cs="Arial"/>
          <w:sz w:val="22"/>
          <w:szCs w:val="22"/>
        </w:rPr>
        <w:t xml:space="preserve">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w:t>
      </w:r>
      <w:proofErr w:type="spellStart"/>
      <w:r w:rsidRPr="000F4A3A">
        <w:rPr>
          <w:rFonts w:ascii="Arial" w:hAnsi="Arial" w:cs="Arial"/>
          <w:sz w:val="22"/>
          <w:szCs w:val="22"/>
        </w:rPr>
        <w:t>ii</w:t>
      </w:r>
      <w:proofErr w:type="spellEnd"/>
      <w:r w:rsidRPr="000F4A3A">
        <w:rPr>
          <w:rFonts w:ascii="Arial" w:hAnsi="Arial" w:cs="Arial"/>
          <w:sz w:val="22"/>
          <w:szCs w:val="22"/>
        </w:rPr>
        <w:t xml:space="preserve">) el uso indebido del anticipo; y </w:t>
      </w:r>
      <w:proofErr w:type="spellStart"/>
      <w:r w:rsidRPr="000F4A3A">
        <w:rPr>
          <w:rFonts w:ascii="Arial" w:hAnsi="Arial" w:cs="Arial"/>
          <w:sz w:val="22"/>
          <w:szCs w:val="22"/>
        </w:rPr>
        <w:t>iii</w:t>
      </w:r>
      <w:proofErr w:type="spellEnd"/>
      <w:r w:rsidRPr="000F4A3A">
        <w:rPr>
          <w:rFonts w:ascii="Arial" w:hAnsi="Arial" w:cs="Arial"/>
          <w:sz w:val="22"/>
          <w:szCs w:val="22"/>
        </w:rPr>
        <w:t>) la apropiación indebida de los recursos recibidos en calidad de anticipo</w:t>
      </w:r>
      <w:r w:rsidRPr="000F4A3A">
        <w:rPr>
          <w:rFonts w:ascii="Arial" w:hAnsi="Arial" w:cs="Arial"/>
          <w:sz w:val="22"/>
          <w:szCs w:val="22"/>
          <w:vertAlign w:val="superscript"/>
        </w:rPr>
        <w:footnoteReference w:id="8"/>
      </w:r>
      <w:r w:rsidRPr="000F4A3A">
        <w:rPr>
          <w:rFonts w:ascii="Arial" w:hAnsi="Arial" w:cs="Arial"/>
          <w:sz w:val="22"/>
          <w:szCs w:val="22"/>
        </w:rPr>
        <w:t xml:space="preserve">. </w:t>
      </w:r>
    </w:p>
    <w:p w14:paraId="300180F1" w14:textId="77777777" w:rsidR="000F4A3A" w:rsidRPr="00640AA2" w:rsidRDefault="000F4A3A" w:rsidP="000F4A3A">
      <w:pPr>
        <w:ind w:firstLine="709"/>
        <w:rPr>
          <w:rFonts w:ascii="Arial" w:hAnsi="Arial" w:cs="Arial"/>
          <w:sz w:val="22"/>
          <w:szCs w:val="22"/>
        </w:rPr>
      </w:pPr>
      <w:r w:rsidRPr="00640AA2">
        <w:rPr>
          <w:rFonts w:ascii="Arial" w:hAnsi="Arial" w:cs="Arial"/>
          <w:sz w:val="22"/>
          <w:szCs w:val="22"/>
        </w:rPr>
        <w:lastRenderedPageBreak/>
        <w:t>Teniendo en cuenta las consideraciones desarrolladas en relación con la naturaleza del anticipo, en relación la pregunta planteada en la solicitud es pertinente mencionar que la Agencia Nacional de Contratación Pública – Colombia Compra Eficiente en la consulta con radicado No. 4201814000003526 del 20 de abril de 2018, sobre la posibilidad de pactar anticipo en un contrato adicional, se pronunció en los siguientes términos:</w:t>
      </w:r>
    </w:p>
    <w:p w14:paraId="08A27E07" w14:textId="77777777" w:rsidR="000F4A3A" w:rsidRPr="00640AA2" w:rsidRDefault="000F4A3A" w:rsidP="000F4A3A">
      <w:pPr>
        <w:spacing w:after="120"/>
        <w:ind w:left="709" w:right="709"/>
        <w:rPr>
          <w:rFonts w:ascii="Arial" w:hAnsi="Arial" w:cs="Arial"/>
          <w:sz w:val="21"/>
          <w:szCs w:val="21"/>
        </w:rPr>
      </w:pPr>
      <w:r w:rsidRPr="00640AA2">
        <w:rPr>
          <w:rFonts w:ascii="Arial" w:hAnsi="Arial" w:cs="Arial"/>
          <w:sz w:val="21"/>
          <w:szCs w:val="21"/>
        </w:rPr>
        <w:t>«Sí. Las Entidades Estatales pueden pactar en los contratos que celebren la entrega de un anticipo al contratista, siempre y cuando, su monto no supere el 50% del valor del respectivo contrato. En este sentido, se puede pactar el anticipo como forma de pago dentro de un contrato adicional si el mismo no supera el valor establecido previamente.</w:t>
      </w:r>
    </w:p>
    <w:p w14:paraId="5CC98737" w14:textId="77777777" w:rsidR="000F4A3A" w:rsidRPr="00640AA2" w:rsidRDefault="000F4A3A" w:rsidP="000F4A3A">
      <w:pPr>
        <w:ind w:left="708" w:right="709"/>
        <w:rPr>
          <w:rFonts w:ascii="Arial" w:hAnsi="Arial" w:cs="Arial"/>
          <w:sz w:val="21"/>
          <w:szCs w:val="21"/>
        </w:rPr>
      </w:pPr>
      <w:r w:rsidRPr="00640AA2">
        <w:rPr>
          <w:rFonts w:ascii="Arial" w:hAnsi="Arial" w:cs="Arial"/>
          <w:sz w:val="21"/>
          <w:szCs w:val="21"/>
        </w:rPr>
        <w:t>Lo anterior en el entendido que el contrato adicional es sin duda una modificación al objeto del contrato, y como quiera se está en presencia de un nuevo objeto, debe existir un nuevo acuerdo de voluntades que lo determine, esta circunstancia sólo se da por medio del nacimiento de un nuevo contrato, en el cual es posible por la voluntad de las partes establecer un anticipo conforme las restricciones de ley sobre la materia».</w:t>
      </w:r>
    </w:p>
    <w:p w14:paraId="7322160C" w14:textId="0762AB12" w:rsidR="000F4A3A" w:rsidRPr="00640AA2" w:rsidRDefault="000F4A3A" w:rsidP="000F4A3A">
      <w:pPr>
        <w:rPr>
          <w:rFonts w:ascii="Arial" w:hAnsi="Arial" w:cs="Arial"/>
          <w:sz w:val="22"/>
          <w:szCs w:val="22"/>
        </w:rPr>
      </w:pPr>
      <w:r w:rsidRPr="00640AA2">
        <w:rPr>
          <w:rFonts w:ascii="Arial" w:hAnsi="Arial" w:cs="Arial"/>
          <w:sz w:val="22"/>
          <w:szCs w:val="22"/>
        </w:rPr>
        <w:t xml:space="preserve">De acuerdo con la postura adoptada por esta Agencia en el radicado mencionado de forma precedente, en un contrato adicional las entidades estatales pueden pactar anticipos cuando su monto no supere el 50% del valor de este contrato. No obstante, esta Agencia mediante el radicado No. 4201813000006412 del 02 de agosto de 2018, en relación con la pregunta </w:t>
      </w:r>
      <w:r w:rsidRPr="00640AA2">
        <w:rPr>
          <w:rFonts w:ascii="Arial" w:hAnsi="Arial" w:cs="Arial"/>
          <w:i/>
          <w:iCs/>
          <w:sz w:val="22"/>
          <w:szCs w:val="22"/>
        </w:rPr>
        <w:t>«¿Es posible pactar anticipo, dentro de Otrosí en valor, en un contrato de obra, por presentarse mayores actividades a las previstas inicialmente?»</w:t>
      </w:r>
      <w:r w:rsidRPr="00640AA2">
        <w:rPr>
          <w:rFonts w:ascii="Arial" w:hAnsi="Arial" w:cs="Arial"/>
          <w:sz w:val="22"/>
          <w:szCs w:val="22"/>
        </w:rPr>
        <w:t xml:space="preserve"> señalo lo siguiente:</w:t>
      </w:r>
    </w:p>
    <w:p w14:paraId="1AF431B0" w14:textId="77777777" w:rsidR="000F4A3A" w:rsidRPr="00640AA2" w:rsidRDefault="000F4A3A" w:rsidP="00477961">
      <w:pPr>
        <w:spacing w:after="120" w:line="240" w:lineRule="auto"/>
        <w:ind w:left="709" w:right="709"/>
        <w:rPr>
          <w:rFonts w:ascii="Arial" w:hAnsi="Arial" w:cs="Arial"/>
          <w:sz w:val="21"/>
          <w:szCs w:val="21"/>
        </w:rPr>
      </w:pPr>
      <w:r w:rsidRPr="00640AA2">
        <w:rPr>
          <w:rFonts w:ascii="Arial" w:hAnsi="Arial" w:cs="Arial"/>
          <w:sz w:val="21"/>
          <w:szCs w:val="21"/>
        </w:rPr>
        <w:t xml:space="preserve">«Si bien la normativa del Sistema de Compra Pública no prohíbe la fijación de un anticipo en una modificación del contrato, su estipulación no se justificaría ya que se desnaturalizaría su fin primordial que no es otro sino impulsar el inicio de la ejecución de un contrato. Por su parte, en razón a que el límite del anticipo es un valor que no supere el 50% del valor del respectivo contrato, si ya se </w:t>
      </w:r>
      <w:proofErr w:type="gramStart"/>
      <w:r w:rsidRPr="00640AA2">
        <w:rPr>
          <w:rFonts w:ascii="Arial" w:hAnsi="Arial" w:cs="Arial"/>
          <w:sz w:val="21"/>
          <w:szCs w:val="21"/>
        </w:rPr>
        <w:t>dio inicio a</w:t>
      </w:r>
      <w:proofErr w:type="gramEnd"/>
      <w:r w:rsidRPr="00640AA2">
        <w:rPr>
          <w:rFonts w:ascii="Arial" w:hAnsi="Arial" w:cs="Arial"/>
          <w:sz w:val="21"/>
          <w:szCs w:val="21"/>
        </w:rPr>
        <w:t xml:space="preserve"> la ejecución del contrato se entiende que ya se realizó el pago de una parte del valor total del contrato, y, por lo tanto, no se puede tener como referencia ese valor para establecer el límite del anticipo. </w:t>
      </w:r>
    </w:p>
    <w:p w14:paraId="2522E237" w14:textId="77777777" w:rsidR="000F4A3A" w:rsidRPr="00640AA2" w:rsidRDefault="000F4A3A" w:rsidP="00477961">
      <w:pPr>
        <w:spacing w:line="240" w:lineRule="auto"/>
        <w:ind w:left="709" w:right="709"/>
        <w:rPr>
          <w:rFonts w:ascii="Arial" w:hAnsi="Arial" w:cs="Arial"/>
          <w:sz w:val="21"/>
          <w:szCs w:val="21"/>
        </w:rPr>
      </w:pPr>
      <w:r w:rsidRPr="00640AA2">
        <w:rPr>
          <w:rFonts w:ascii="Arial" w:hAnsi="Arial" w:cs="Arial"/>
          <w:sz w:val="21"/>
          <w:szCs w:val="21"/>
        </w:rPr>
        <w:t xml:space="preserve">Así mismo, a pesar de presentarse mayores actividades a las previstas en el contrato, teniendo en cuenta que la ejecución y pago de las obligaciones que sí se previeron, ya ocurrió, se entendería que el contratista cuenta con los recursos suficientes para continuar con el desarrollo del Proceso». </w:t>
      </w:r>
    </w:p>
    <w:p w14:paraId="40F55119" w14:textId="5CB5F22E" w:rsidR="006A2BE4" w:rsidRPr="00640AA2" w:rsidRDefault="000F4A3A" w:rsidP="000F4A3A">
      <w:pPr>
        <w:spacing w:after="120"/>
        <w:ind w:firstLine="708"/>
        <w:rPr>
          <w:rFonts w:ascii="Arial" w:hAnsi="Arial" w:cs="Arial"/>
          <w:sz w:val="22"/>
          <w:szCs w:val="22"/>
        </w:rPr>
      </w:pPr>
      <w:r w:rsidRPr="00640AA2">
        <w:rPr>
          <w:rFonts w:ascii="Arial" w:hAnsi="Arial" w:cs="Arial"/>
          <w:sz w:val="22"/>
          <w:szCs w:val="22"/>
        </w:rPr>
        <w:t xml:space="preserve">Teniendo en cuenta los pronunciamientos mencionados con anterioridad, y en orden a responder la pregunta planteada en la solicitud, </w:t>
      </w:r>
      <w:r w:rsidR="00E55343" w:rsidRPr="00640AA2">
        <w:rPr>
          <w:rFonts w:ascii="Arial" w:hAnsi="Arial" w:cs="Arial"/>
          <w:sz w:val="22"/>
          <w:szCs w:val="22"/>
        </w:rPr>
        <w:t>se</w:t>
      </w:r>
      <w:r w:rsidRPr="00640AA2">
        <w:rPr>
          <w:rFonts w:ascii="Arial" w:hAnsi="Arial" w:cs="Arial"/>
          <w:sz w:val="22"/>
          <w:szCs w:val="22"/>
        </w:rPr>
        <w:t xml:space="preserve"> considera</w:t>
      </w:r>
      <w:r w:rsidR="00E55343" w:rsidRPr="00640AA2">
        <w:rPr>
          <w:rFonts w:ascii="Arial" w:hAnsi="Arial" w:cs="Arial"/>
          <w:sz w:val="22"/>
          <w:szCs w:val="22"/>
        </w:rPr>
        <w:t xml:space="preserve"> pertinente reiterar la postura de unificación sobre la modificación de contratos estatales que se adoptó por parte de esta entidad mediante el concepto C-794 del 21 de noviembre de 2022</w:t>
      </w:r>
      <w:r w:rsidR="002A6D38" w:rsidRPr="00640AA2">
        <w:rPr>
          <w:rFonts w:ascii="Arial" w:hAnsi="Arial" w:cs="Arial"/>
          <w:sz w:val="22"/>
          <w:szCs w:val="22"/>
        </w:rPr>
        <w:t>, que se anexa al presente documento</w:t>
      </w:r>
      <w:r w:rsidR="00E55343" w:rsidRPr="00640AA2">
        <w:rPr>
          <w:rFonts w:ascii="Arial" w:hAnsi="Arial" w:cs="Arial"/>
          <w:sz w:val="22"/>
          <w:szCs w:val="22"/>
        </w:rPr>
        <w:t>.</w:t>
      </w:r>
      <w:r w:rsidR="001E7C83" w:rsidRPr="00640AA2">
        <w:rPr>
          <w:rFonts w:ascii="Arial" w:hAnsi="Arial" w:cs="Arial"/>
          <w:sz w:val="22"/>
          <w:szCs w:val="22"/>
        </w:rPr>
        <w:t xml:space="preserve"> </w:t>
      </w:r>
    </w:p>
    <w:p w14:paraId="6F622B37" w14:textId="77777777" w:rsidR="00E55343" w:rsidRPr="00640AA2" w:rsidRDefault="00E55343" w:rsidP="000F4A3A">
      <w:pPr>
        <w:spacing w:after="120"/>
        <w:ind w:firstLine="708"/>
        <w:rPr>
          <w:rFonts w:ascii="Arial" w:hAnsi="Arial" w:cs="Arial"/>
          <w:bCs/>
          <w:sz w:val="22"/>
          <w:szCs w:val="22"/>
        </w:rPr>
      </w:pPr>
      <w:r w:rsidRPr="00640AA2">
        <w:rPr>
          <w:rFonts w:ascii="Arial" w:hAnsi="Arial" w:cs="Arial"/>
          <w:bCs/>
          <w:sz w:val="22"/>
          <w:szCs w:val="22"/>
        </w:rPr>
        <w:lastRenderedPageBreak/>
        <w:t>En dicha oportunidad, el concepto en mención señaló que d</w:t>
      </w:r>
      <w:r w:rsidR="006A2BE4" w:rsidRPr="00640AA2">
        <w:rPr>
          <w:rFonts w:ascii="Arial" w:hAnsi="Arial" w:cs="Arial"/>
          <w:bCs/>
          <w:sz w:val="22"/>
          <w:szCs w:val="22"/>
        </w:rPr>
        <w:t xml:space="preserve">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w:t>
      </w:r>
      <w:proofErr w:type="spellStart"/>
      <w:r w:rsidR="006A2BE4" w:rsidRPr="00640AA2">
        <w:rPr>
          <w:rFonts w:ascii="Arial" w:hAnsi="Arial" w:cs="Arial"/>
          <w:bCs/>
          <w:sz w:val="22"/>
          <w:szCs w:val="22"/>
        </w:rPr>
        <w:t>ii</w:t>
      </w:r>
      <w:proofErr w:type="spellEnd"/>
      <w:r w:rsidR="006A2BE4" w:rsidRPr="00640AA2">
        <w:rPr>
          <w:rFonts w:ascii="Arial" w:hAnsi="Arial" w:cs="Arial"/>
          <w:bCs/>
          <w:sz w:val="22"/>
          <w:szCs w:val="22"/>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7162E754" w14:textId="6409A55E" w:rsidR="006A2BE4" w:rsidRPr="00640AA2" w:rsidRDefault="00E55343" w:rsidP="000F4A3A">
      <w:pPr>
        <w:spacing w:after="120"/>
        <w:ind w:firstLine="708"/>
        <w:rPr>
          <w:rFonts w:ascii="Arial" w:hAnsi="Arial" w:cs="Arial"/>
          <w:sz w:val="22"/>
          <w:szCs w:val="22"/>
        </w:rPr>
      </w:pPr>
      <w:r w:rsidRPr="00640AA2">
        <w:rPr>
          <w:rFonts w:ascii="Arial" w:hAnsi="Arial" w:cs="Arial"/>
          <w:bCs/>
          <w:sz w:val="22"/>
          <w:szCs w:val="22"/>
        </w:rPr>
        <w:t xml:space="preserve">Frente a este </w:t>
      </w:r>
      <w:r w:rsidR="006A2BE4" w:rsidRPr="00640AA2">
        <w:rPr>
          <w:rFonts w:ascii="Arial" w:hAnsi="Arial" w:cs="Arial"/>
          <w:bCs/>
          <w:sz w:val="22"/>
          <w:szCs w:val="22"/>
        </w:rPr>
        <w:t>último término</w:t>
      </w:r>
      <w:r w:rsidRPr="00640AA2">
        <w:rPr>
          <w:rFonts w:ascii="Arial" w:hAnsi="Arial" w:cs="Arial"/>
          <w:bCs/>
          <w:sz w:val="22"/>
          <w:szCs w:val="22"/>
        </w:rPr>
        <w:t xml:space="preserve"> señaló, </w:t>
      </w:r>
      <w:r w:rsidR="006A2BE4" w:rsidRPr="00640AA2">
        <w:rPr>
          <w:rFonts w:ascii="Arial" w:hAnsi="Arial" w:cs="Arial"/>
          <w:bCs/>
          <w:sz w:val="22"/>
          <w:szCs w:val="22"/>
        </w:rPr>
        <w:t xml:space="preserve">al igual que los señalados entre comillas ―algunos de ellos usualmente empleados en contratos de obra― </w:t>
      </w:r>
      <w:r w:rsidRPr="00640AA2">
        <w:rPr>
          <w:rFonts w:ascii="Arial" w:hAnsi="Arial" w:cs="Arial"/>
          <w:bCs/>
          <w:sz w:val="22"/>
          <w:szCs w:val="22"/>
        </w:rPr>
        <w:t>que eran</w:t>
      </w:r>
      <w:r w:rsidR="006A2BE4" w:rsidRPr="00640AA2">
        <w:rPr>
          <w:rFonts w:ascii="Arial" w:hAnsi="Arial" w:cs="Arial"/>
          <w:bCs/>
          <w:sz w:val="22"/>
          <w:szCs w:val="22"/>
        </w:rPr>
        <w:t xml:space="preserve"> nociones doctrinarias y empleadas en la práctica por las entidades estatales, que actualmente no tienen un fundamento particular en el ordenamiento jurídico, </w:t>
      </w:r>
      <w:r w:rsidR="006A2BE4" w:rsidRPr="00640AA2">
        <w:rPr>
          <w:rFonts w:ascii="Arial" w:hAnsi="Arial" w:cs="Arial"/>
          <w:b/>
          <w:sz w:val="22"/>
          <w:szCs w:val="22"/>
        </w:rPr>
        <w:t>el cual no le asigna efectos específicos a cada uno de ellos</w:t>
      </w:r>
      <w:r w:rsidR="006A2BE4" w:rsidRPr="00640AA2">
        <w:rPr>
          <w:rFonts w:ascii="Arial" w:hAnsi="Arial" w:cs="Arial"/>
          <w:bCs/>
          <w:sz w:val="22"/>
          <w:szCs w:val="22"/>
        </w:rPr>
        <w:t xml:space="preserve">. Lo importante, y que se reiteró en distintos lugares de </w:t>
      </w:r>
      <w:r w:rsidRPr="00640AA2">
        <w:rPr>
          <w:rFonts w:ascii="Arial" w:hAnsi="Arial" w:cs="Arial"/>
          <w:bCs/>
          <w:sz w:val="22"/>
          <w:szCs w:val="22"/>
        </w:rPr>
        <w:t>dicho</w:t>
      </w:r>
      <w:r w:rsidR="006A2BE4" w:rsidRPr="00640AA2">
        <w:rPr>
          <w:rFonts w:ascii="Arial" w:hAnsi="Arial" w:cs="Arial"/>
          <w:bCs/>
          <w:sz w:val="22"/>
          <w:szCs w:val="22"/>
        </w:rPr>
        <w:t xml:space="preserve"> concepto es que frente a cualquier incremento del valor inicial del contrato, que es lo que implica una </w:t>
      </w:r>
      <w:r w:rsidRPr="00640AA2">
        <w:rPr>
          <w:rFonts w:ascii="Arial" w:hAnsi="Arial" w:cs="Arial"/>
          <w:bCs/>
          <w:sz w:val="22"/>
          <w:szCs w:val="22"/>
        </w:rPr>
        <w:t xml:space="preserve">modificación del contrato estatal por </w:t>
      </w:r>
      <w:r w:rsidR="006A2BE4" w:rsidRPr="00640AA2">
        <w:rPr>
          <w:rFonts w:ascii="Arial" w:hAnsi="Arial" w:cs="Arial"/>
          <w:bCs/>
          <w:sz w:val="22"/>
          <w:szCs w:val="22"/>
        </w:rPr>
        <w:t xml:space="preserve">adición, </w:t>
      </w:r>
      <w:r w:rsidRPr="00640AA2">
        <w:rPr>
          <w:rFonts w:ascii="Arial" w:hAnsi="Arial" w:cs="Arial"/>
          <w:bCs/>
          <w:sz w:val="22"/>
          <w:szCs w:val="22"/>
        </w:rPr>
        <w:t>a causa de cualquiera</w:t>
      </w:r>
      <w:r w:rsidR="006A2BE4" w:rsidRPr="00640AA2">
        <w:rPr>
          <w:rFonts w:ascii="Arial" w:hAnsi="Arial" w:cs="Arial"/>
          <w:bCs/>
          <w:sz w:val="22"/>
          <w:szCs w:val="22"/>
        </w:rPr>
        <w:t xml:space="preserve"> de los dos supuesto señalados previamente, e independientemente del nombre que se le dé al acuerdo, </w:t>
      </w:r>
      <w:r w:rsidRPr="00640AA2">
        <w:rPr>
          <w:rFonts w:ascii="Arial" w:hAnsi="Arial" w:cs="Arial"/>
          <w:bCs/>
          <w:sz w:val="22"/>
          <w:szCs w:val="22"/>
        </w:rPr>
        <w:t>debe aplicarse</w:t>
      </w:r>
      <w:r w:rsidR="006A2BE4" w:rsidRPr="00640AA2">
        <w:rPr>
          <w:rFonts w:ascii="Arial" w:hAnsi="Arial" w:cs="Arial"/>
          <w:bCs/>
          <w:sz w:val="22"/>
          <w:szCs w:val="22"/>
        </w:rPr>
        <w:t xml:space="preserve"> el límite previsto en el parágrafo del artículo 40 de la Ley 80 de 1993</w:t>
      </w:r>
      <w:r w:rsidRPr="00640AA2">
        <w:rPr>
          <w:rFonts w:ascii="Arial" w:hAnsi="Arial" w:cs="Arial"/>
          <w:bCs/>
          <w:sz w:val="22"/>
          <w:szCs w:val="22"/>
        </w:rPr>
        <w:t>, esto es del</w:t>
      </w:r>
      <w:r w:rsidR="006A2BE4" w:rsidRPr="00640AA2">
        <w:rPr>
          <w:rFonts w:ascii="Arial" w:hAnsi="Arial" w:cs="Arial"/>
          <w:bCs/>
          <w:sz w:val="22"/>
          <w:szCs w:val="22"/>
        </w:rPr>
        <w:t xml:space="preserve"> cincuenta por ciento (50%) de su valor inicial, expresado éste en salarios mínimos legales mensuales</w:t>
      </w:r>
      <w:r w:rsidR="002A6D38" w:rsidRPr="00640AA2">
        <w:rPr>
          <w:rFonts w:ascii="Arial" w:hAnsi="Arial" w:cs="Arial"/>
          <w:bCs/>
          <w:sz w:val="22"/>
          <w:szCs w:val="22"/>
        </w:rPr>
        <w:t>.</w:t>
      </w:r>
    </w:p>
    <w:p w14:paraId="1594EF7B" w14:textId="1FF7B8F5" w:rsidR="000F4A3A" w:rsidRPr="000F4A3A" w:rsidRDefault="002A6D38" w:rsidP="000F4A3A">
      <w:pPr>
        <w:spacing w:after="120"/>
        <w:ind w:firstLine="708"/>
        <w:rPr>
          <w:rFonts w:ascii="Arial" w:hAnsi="Arial" w:cs="Arial"/>
          <w:i/>
          <w:iCs/>
          <w:sz w:val="22"/>
          <w:szCs w:val="22"/>
        </w:rPr>
      </w:pPr>
      <w:r w:rsidRPr="00640AA2">
        <w:rPr>
          <w:rFonts w:ascii="Arial" w:hAnsi="Arial" w:cs="Arial"/>
          <w:sz w:val="22"/>
          <w:szCs w:val="22"/>
        </w:rPr>
        <w:t>En ese orden de ideas, y teniendo en cuenta que en la actualidad para esta agencia, la distinción entre contrato adicional o modificatorio</w:t>
      </w:r>
      <w:r w:rsidR="002F4A98" w:rsidRPr="00640AA2">
        <w:rPr>
          <w:rFonts w:ascii="Arial" w:hAnsi="Arial" w:cs="Arial"/>
          <w:sz w:val="22"/>
          <w:szCs w:val="22"/>
        </w:rPr>
        <w:t>- otro si</w:t>
      </w:r>
      <w:r w:rsidRPr="00640AA2">
        <w:rPr>
          <w:rFonts w:ascii="Arial" w:hAnsi="Arial" w:cs="Arial"/>
          <w:sz w:val="22"/>
          <w:szCs w:val="22"/>
        </w:rPr>
        <w:t xml:space="preserve">, no encuentra sustento normativo, sino distinciones meramente doctrinarias, </w:t>
      </w:r>
      <w:r w:rsidR="002F4A98" w:rsidRPr="00640AA2">
        <w:rPr>
          <w:rFonts w:ascii="Arial" w:hAnsi="Arial" w:cs="Arial"/>
          <w:sz w:val="22"/>
          <w:szCs w:val="22"/>
        </w:rPr>
        <w:t xml:space="preserve">no es posible reiterar las apreciaciones realizadas por esta Agencia sobre la procedencia del anticipo en los dos conceptos de 2018, anteriormente citados, en su lugar, considera pertinente enunciar que el </w:t>
      </w:r>
      <w:r w:rsidR="000F4A3A" w:rsidRPr="00640AA2">
        <w:rPr>
          <w:rFonts w:ascii="Arial" w:eastAsiaTheme="minorHAnsi" w:hAnsi="Arial" w:cs="Arial"/>
          <w:color w:val="000000" w:themeColor="text1"/>
          <w:sz w:val="22"/>
          <w:szCs w:val="22"/>
        </w:rPr>
        <w:t xml:space="preserve">inciso primero del parágrafo del artículo 40 de la Ley 80 de 1993−, al referirse a la entrega de anticipos, </w:t>
      </w:r>
      <w:r w:rsidR="000F4A3A" w:rsidRPr="00640AA2">
        <w:rPr>
          <w:rFonts w:ascii="Arial" w:hAnsi="Arial" w:cs="Arial"/>
          <w:sz w:val="22"/>
          <w:szCs w:val="22"/>
        </w:rPr>
        <w:t xml:space="preserve">no se refiere a valor inicial del contrato, como si lo menciona el inciso segundo del mismo parágrafo, jurídicamente se puede concluir que sobre un </w:t>
      </w:r>
      <w:r w:rsidR="002F4A98" w:rsidRPr="00640AA2">
        <w:rPr>
          <w:rFonts w:ascii="Arial" w:hAnsi="Arial" w:cs="Arial"/>
          <w:sz w:val="22"/>
          <w:szCs w:val="22"/>
        </w:rPr>
        <w:t>modificatorio que incluye adición</w:t>
      </w:r>
      <w:r w:rsidR="000F4A3A" w:rsidRPr="00640AA2">
        <w:rPr>
          <w:rFonts w:ascii="Arial" w:hAnsi="Arial" w:cs="Arial"/>
          <w:sz w:val="22"/>
          <w:szCs w:val="22"/>
        </w:rPr>
        <w:t xml:space="preserve"> se puede pactar el pago de anticipo limitado al valor adicional. No obstante, es pertinente mencionar </w:t>
      </w:r>
      <w:r w:rsidR="002F4A98" w:rsidRPr="00640AA2">
        <w:rPr>
          <w:rFonts w:ascii="Arial" w:hAnsi="Arial" w:cs="Arial"/>
          <w:sz w:val="22"/>
          <w:szCs w:val="22"/>
        </w:rPr>
        <w:t xml:space="preserve">que su procedencia o no depende de </w:t>
      </w:r>
      <w:r w:rsidR="000F4A3A" w:rsidRPr="00640AA2">
        <w:rPr>
          <w:rFonts w:ascii="Arial" w:hAnsi="Arial" w:cs="Arial"/>
          <w:sz w:val="22"/>
          <w:szCs w:val="22"/>
        </w:rPr>
        <w:t xml:space="preserve">la perspectiva de la necesidad de este, pues como se mencionó con anterioridad, la finalidad del anticipo es apalancar financieramente al contratista, para </w:t>
      </w:r>
      <w:r w:rsidR="000F4A3A" w:rsidRPr="00640AA2">
        <w:rPr>
          <w:rFonts w:ascii="Arial" w:hAnsi="Arial" w:cs="Arial"/>
          <w:i/>
          <w:iCs/>
          <w:sz w:val="22"/>
          <w:szCs w:val="22"/>
        </w:rPr>
        <w:t>solventar los costos iniciales de la ejecución del contrato.</w:t>
      </w:r>
    </w:p>
    <w:p w14:paraId="0DB3F28A" w14:textId="77777777" w:rsidR="000F4A3A" w:rsidRPr="000F4A3A" w:rsidRDefault="000F4A3A" w:rsidP="000F4A3A">
      <w:pPr>
        <w:tabs>
          <w:tab w:val="left" w:pos="0"/>
        </w:tabs>
        <w:spacing w:before="120" w:after="120"/>
        <w:ind w:firstLine="709"/>
        <w:rPr>
          <w:rFonts w:ascii="Arial" w:hAnsi="Arial" w:cs="Arial"/>
          <w:sz w:val="22"/>
          <w:szCs w:val="22"/>
        </w:rPr>
      </w:pPr>
      <w:r w:rsidRPr="000F4A3A">
        <w:rPr>
          <w:rFonts w:ascii="Arial" w:hAnsi="Arial" w:cs="Arial"/>
          <w:sz w:val="22"/>
          <w:szCs w:val="22"/>
        </w:rPr>
        <w:t xml:space="preserve"> En todo caso, </w:t>
      </w:r>
      <w:r w:rsidRPr="000F4A3A">
        <w:rPr>
          <w:rFonts w:ascii="Arial" w:eastAsiaTheme="minorHAnsi" w:hAnsi="Arial" w:cs="Arial"/>
          <w:color w:val="000000" w:themeColor="text1"/>
          <w:sz w:val="22"/>
          <w:szCs w:val="22"/>
        </w:rPr>
        <w:t xml:space="preserve">la entidad y el contratista podrán disponer, en ejercicio de la autonomía de la voluntad, las condiciones que consideren convenientes para otorgar el anticipo de acuerdo con las normas civiles, siempre que no contraríen los parámetros normativos y los principios de la actividad contractual. No obstante, se reitera la importancia de analizar y justificar en cada caso la pertinencia y conveniencia de entregar al contratista recursos en calidad de anticipo. De esta </w:t>
      </w:r>
      <w:r w:rsidRPr="000F4A3A">
        <w:rPr>
          <w:rFonts w:ascii="Arial" w:eastAsiaTheme="minorHAnsi" w:hAnsi="Arial" w:cs="Arial"/>
          <w:color w:val="000000" w:themeColor="text1"/>
          <w:sz w:val="22"/>
          <w:szCs w:val="22"/>
        </w:rPr>
        <w:lastRenderedPageBreak/>
        <w:t xml:space="preserve">forma, </w:t>
      </w:r>
      <w:r w:rsidRPr="000F4A3A">
        <w:rPr>
          <w:rFonts w:ascii="Arial" w:hAnsi="Arial" w:cs="Arial"/>
          <w:sz w:val="22"/>
          <w:szCs w:val="22"/>
        </w:rPr>
        <w:t>debe ser la administración quien determine la viabilidad o no, de la entrega de un nuevo anticipó sobre el valor que se pretende adicional al contrato original.</w:t>
      </w:r>
    </w:p>
    <w:p w14:paraId="4B6C5C18" w14:textId="77777777" w:rsidR="000F4A3A" w:rsidRPr="000F4A3A" w:rsidRDefault="000F4A3A" w:rsidP="000F4A3A">
      <w:pPr>
        <w:ind w:firstLine="709"/>
        <w:rPr>
          <w:rFonts w:ascii="Arial" w:hAnsi="Arial" w:cs="Arial"/>
          <w:sz w:val="22"/>
          <w:szCs w:val="22"/>
        </w:rPr>
      </w:pPr>
      <w:r w:rsidRPr="000F4A3A">
        <w:rPr>
          <w:rFonts w:ascii="Arial" w:hAnsi="Arial" w:cs="Arial"/>
          <w:sz w:val="22"/>
          <w:szCs w:val="22"/>
        </w:rPr>
        <w:t xml:space="preserve">Adicionalmente, conforme al citado </w:t>
      </w:r>
      <w:r w:rsidRPr="000F4A3A">
        <w:rPr>
          <w:rFonts w:ascii="Arial" w:eastAsiaTheme="minorHAnsi" w:hAnsi="Arial" w:cs="Arial"/>
          <w:color w:val="000000" w:themeColor="text1"/>
          <w:sz w:val="22"/>
          <w:szCs w:val="22"/>
        </w:rPr>
        <w:t xml:space="preserve">artículo 91 de la Ley 1474 de 2011, </w:t>
      </w:r>
      <w:r w:rsidRPr="000F4A3A">
        <w:rPr>
          <w:rFonts w:ascii="Arial" w:hAnsi="Arial" w:cs="Arial"/>
          <w:sz w:val="22"/>
          <w:szCs w:val="22"/>
        </w:rPr>
        <w:t xml:space="preserve">existen algunos contratos respecto de los cuales la ley obliga al contratista de constituir una fiducia mercantil para el manejo de los recursos entregados a título de anticipo. Este punto se analizará en el siguiente apartado. </w:t>
      </w:r>
    </w:p>
    <w:p w14:paraId="3B95164E" w14:textId="77777777" w:rsidR="000F4A3A" w:rsidRPr="000F4A3A" w:rsidRDefault="000F4A3A" w:rsidP="000F4A3A">
      <w:pPr>
        <w:rPr>
          <w:rFonts w:ascii="Arial" w:eastAsiaTheme="minorHAnsi" w:hAnsi="Arial" w:cs="Arial"/>
          <w:b/>
          <w:bCs/>
          <w:color w:val="000000" w:themeColor="text1"/>
          <w:sz w:val="22"/>
          <w:szCs w:val="22"/>
          <w:u w:val="single"/>
          <w:lang w:val="es-CO"/>
        </w:rPr>
      </w:pPr>
      <w:r w:rsidRPr="000F4A3A">
        <w:rPr>
          <w:rFonts w:ascii="Arial" w:eastAsia="Times New Roman" w:hAnsi="Arial" w:cs="Arial"/>
          <w:b/>
          <w:bCs/>
          <w:color w:val="000000" w:themeColor="text1"/>
          <w:sz w:val="22"/>
          <w:szCs w:val="22"/>
        </w:rPr>
        <w:t xml:space="preserve">2.2. </w:t>
      </w:r>
      <w:r w:rsidRPr="000F4A3A">
        <w:rPr>
          <w:rFonts w:ascii="Arial" w:eastAsiaTheme="minorHAnsi" w:hAnsi="Arial" w:cs="Arial"/>
          <w:b/>
          <w:bCs/>
          <w:color w:val="000000" w:themeColor="text1"/>
          <w:sz w:val="22"/>
          <w:szCs w:val="22"/>
          <w:lang w:val="es-CO"/>
        </w:rPr>
        <w:t>Ámbito de aplicación del artículo 91 de la Ley 1474 de 2011</w:t>
      </w:r>
    </w:p>
    <w:p w14:paraId="59E2E23C" w14:textId="77777777" w:rsidR="000F4A3A" w:rsidRPr="000F4A3A" w:rsidRDefault="000F4A3A" w:rsidP="000F4A3A">
      <w:pPr>
        <w:rPr>
          <w:rFonts w:ascii="Arial" w:hAnsi="Arial" w:cs="Arial"/>
          <w:bCs/>
          <w:color w:val="000000" w:themeColor="text1"/>
          <w:sz w:val="22"/>
          <w:szCs w:val="22"/>
          <w:lang w:val="es-ES_tradnl"/>
        </w:rPr>
      </w:pPr>
      <w:r w:rsidRPr="000F4A3A">
        <w:rPr>
          <w:rFonts w:ascii="Arial" w:hAnsi="Arial" w:cs="Arial"/>
          <w:bCs/>
          <w:color w:val="000000" w:themeColor="text1"/>
          <w:sz w:val="22"/>
          <w:szCs w:val="22"/>
          <w:lang w:val="es-ES_tradnl"/>
        </w:rPr>
        <w:t xml:space="preserve">Como se expuso en el acápite anterior, una de las normas que regula el anticipo en materia de contratación estatal es el artículo 91 de la Ley 1474 de 2011. Esta norma dispone lo siguiente: </w:t>
      </w:r>
    </w:p>
    <w:p w14:paraId="64B64C75" w14:textId="51733A00" w:rsidR="000F4A3A" w:rsidRPr="00477961" w:rsidRDefault="002F4A98" w:rsidP="00477961">
      <w:pPr>
        <w:spacing w:after="120" w:line="240" w:lineRule="auto"/>
        <w:ind w:left="709" w:right="709"/>
        <w:rPr>
          <w:rFonts w:ascii="Arial" w:hAnsi="Arial" w:cs="Arial"/>
          <w:sz w:val="21"/>
          <w:szCs w:val="21"/>
        </w:rPr>
      </w:pPr>
      <w:r w:rsidRPr="001C231C">
        <w:rPr>
          <w:rFonts w:ascii="Arial" w:hAnsi="Arial" w:cs="Arial"/>
          <w:sz w:val="21"/>
          <w:szCs w:val="21"/>
        </w:rPr>
        <w:t>«</w:t>
      </w:r>
      <w:r w:rsidR="000F4A3A" w:rsidRPr="00477961">
        <w:rPr>
          <w:rFonts w:ascii="Arial" w:hAnsi="Arial" w:cs="Arial"/>
          <w:sz w:val="21"/>
          <w:szCs w:val="21"/>
        </w:rPr>
        <w:t>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40A0205C" w14:textId="5FB290A9" w:rsidR="000F4A3A" w:rsidRPr="00477961" w:rsidRDefault="000F4A3A" w:rsidP="00477961">
      <w:pPr>
        <w:spacing w:line="240" w:lineRule="auto"/>
        <w:ind w:left="709" w:right="709"/>
        <w:rPr>
          <w:rFonts w:ascii="Arial" w:hAnsi="Arial" w:cs="Arial"/>
          <w:sz w:val="21"/>
          <w:szCs w:val="21"/>
        </w:rPr>
      </w:pPr>
      <w:r w:rsidRPr="00477961">
        <w:rPr>
          <w:rFonts w:ascii="Arial" w:hAnsi="Arial" w:cs="Arial"/>
          <w:sz w:val="21"/>
          <w:szCs w:val="21"/>
        </w:rPr>
        <w:t>El costo de la comisión fiduciaria será cubierto directamente por el contratista.</w:t>
      </w:r>
      <w:r w:rsidR="002F4A98" w:rsidRPr="00477961">
        <w:rPr>
          <w:rFonts w:ascii="Arial" w:hAnsi="Arial" w:cs="Arial"/>
          <w:sz w:val="21"/>
          <w:szCs w:val="21"/>
        </w:rPr>
        <w:t>»</w:t>
      </w:r>
    </w:p>
    <w:p w14:paraId="3EC20254" w14:textId="77777777" w:rsidR="000F4A3A" w:rsidRPr="000F4A3A" w:rsidRDefault="000F4A3A" w:rsidP="000F4A3A">
      <w:pPr>
        <w:ind w:firstLine="709"/>
        <w:rPr>
          <w:rFonts w:ascii="Arial" w:hAnsi="Arial" w:cs="Arial"/>
          <w:bCs/>
          <w:color w:val="000000" w:themeColor="text1"/>
          <w:sz w:val="22"/>
          <w:szCs w:val="22"/>
          <w:lang w:val="es-ES_tradnl"/>
        </w:rPr>
      </w:pPr>
      <w:r w:rsidRPr="000F4A3A">
        <w:rPr>
          <w:rFonts w:ascii="Arial" w:hAnsi="Arial" w:cs="Arial"/>
          <w:bCs/>
          <w:color w:val="000000" w:themeColor="text1"/>
          <w:sz w:val="22"/>
          <w:szCs w:val="22"/>
          <w:lang w:val="es-ES_tradnl"/>
        </w:rPr>
        <w:t>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mercantil</w:t>
      </w:r>
      <w:r w:rsidRPr="000F4A3A">
        <w:rPr>
          <w:rFonts w:ascii="Arial" w:hAnsi="Arial" w:cs="Arial"/>
          <w:bCs/>
          <w:color w:val="000000" w:themeColor="text1"/>
          <w:sz w:val="22"/>
          <w:szCs w:val="22"/>
          <w:vertAlign w:val="superscript"/>
          <w:lang w:val="es-ES_tradnl"/>
        </w:rPr>
        <w:footnoteReference w:id="9"/>
      </w:r>
      <w:r w:rsidRPr="000F4A3A">
        <w:rPr>
          <w:rFonts w:ascii="Arial" w:hAnsi="Arial" w:cs="Arial"/>
          <w:bCs/>
          <w:color w:val="000000" w:themeColor="text1"/>
          <w:sz w:val="22"/>
          <w:szCs w:val="22"/>
          <w:lang w:val="es-ES_tradnl"/>
        </w:rPr>
        <w:t xml:space="preserve">. </w:t>
      </w:r>
    </w:p>
    <w:p w14:paraId="33E02F60" w14:textId="3E2C38BC" w:rsidR="000F4A3A" w:rsidRPr="000F4A3A" w:rsidRDefault="000F4A3A" w:rsidP="000F4A3A">
      <w:pPr>
        <w:spacing w:before="120"/>
        <w:ind w:firstLine="709"/>
        <w:rPr>
          <w:rFonts w:ascii="Arial" w:hAnsi="Arial" w:cs="Arial"/>
          <w:bCs/>
          <w:color w:val="000000" w:themeColor="text1"/>
          <w:sz w:val="22"/>
          <w:szCs w:val="22"/>
          <w:lang w:val="es-ES_tradnl"/>
        </w:rPr>
      </w:pPr>
      <w:r w:rsidRPr="000F4A3A">
        <w:rPr>
          <w:rFonts w:ascii="Arial" w:hAnsi="Arial" w:cs="Arial"/>
          <w:bCs/>
          <w:color w:val="000000" w:themeColor="text1"/>
          <w:sz w:val="22"/>
          <w:szCs w:val="22"/>
          <w:lang w:val="es-ES_tradnl"/>
        </w:rPr>
        <w:lastRenderedPageBreak/>
        <w:t>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contrato</w:t>
      </w:r>
      <w:r w:rsidRPr="000F4A3A">
        <w:rPr>
          <w:rFonts w:ascii="Arial" w:hAnsi="Arial" w:cs="Arial"/>
          <w:bCs/>
          <w:color w:val="000000" w:themeColor="text1"/>
          <w:sz w:val="22"/>
          <w:szCs w:val="22"/>
          <w:vertAlign w:val="superscript"/>
          <w:lang w:val="es-ES_tradnl"/>
        </w:rPr>
        <w:footnoteReference w:id="10"/>
      </w:r>
      <w:r w:rsidRPr="000F4A3A">
        <w:rPr>
          <w:rFonts w:ascii="Arial" w:hAnsi="Arial" w:cs="Arial"/>
          <w:bCs/>
          <w:color w:val="000000" w:themeColor="text1"/>
          <w:sz w:val="22"/>
          <w:szCs w:val="22"/>
          <w:lang w:val="es-ES_tradnl"/>
        </w:rPr>
        <w:t>. De esta manera, mediante estas disposiciones se busca realizar un seguimiento a la entrega de recursos que se otorgan en calidad de anticipo, a través de la constitución de una fiducia irrevocable. Esto con la finalidad de garantizar la adecuada inversión y administración de los recursos, así como su reintegro a la</w:t>
      </w:r>
      <w:r w:rsidR="00385856">
        <w:rPr>
          <w:rFonts w:ascii="Arial" w:hAnsi="Arial" w:cs="Arial"/>
          <w:bCs/>
          <w:color w:val="000000" w:themeColor="text1"/>
          <w:sz w:val="22"/>
          <w:szCs w:val="22"/>
          <w:lang w:val="es-ES_tradnl"/>
        </w:rPr>
        <w:t xml:space="preserve"> Entidad </w:t>
      </w:r>
      <w:proofErr w:type="gramStart"/>
      <w:r w:rsidR="00385856">
        <w:rPr>
          <w:rFonts w:ascii="Arial" w:hAnsi="Arial" w:cs="Arial"/>
          <w:bCs/>
          <w:color w:val="000000" w:themeColor="text1"/>
          <w:sz w:val="22"/>
          <w:szCs w:val="22"/>
          <w:lang w:val="es-ES_tradnl"/>
        </w:rPr>
        <w:t>Estatal</w:t>
      </w:r>
      <w:r w:rsidRPr="000F4A3A">
        <w:rPr>
          <w:rFonts w:ascii="Arial" w:hAnsi="Arial" w:cs="Arial"/>
          <w:bCs/>
          <w:color w:val="000000" w:themeColor="text1"/>
          <w:sz w:val="22"/>
          <w:szCs w:val="22"/>
          <w:lang w:val="es-ES_tradnl"/>
        </w:rPr>
        <w:t xml:space="preserve"> .</w:t>
      </w:r>
      <w:proofErr w:type="gramEnd"/>
      <w:r w:rsidRPr="000F4A3A">
        <w:rPr>
          <w:rFonts w:ascii="Arial" w:hAnsi="Arial" w:cs="Arial"/>
          <w:bCs/>
          <w:color w:val="000000" w:themeColor="text1"/>
          <w:sz w:val="22"/>
          <w:szCs w:val="22"/>
          <w:lang w:val="es-ES_tradnl"/>
        </w:rPr>
        <w:t xml:space="preserve"> </w:t>
      </w:r>
    </w:p>
    <w:p w14:paraId="3A864E11" w14:textId="77777777" w:rsidR="000F4A3A" w:rsidRPr="000F4A3A" w:rsidRDefault="000F4A3A" w:rsidP="000F4A3A">
      <w:pPr>
        <w:spacing w:before="120"/>
        <w:ind w:firstLine="709"/>
        <w:rPr>
          <w:rFonts w:ascii="Arial" w:hAnsi="Arial" w:cs="Arial"/>
          <w:color w:val="000000" w:themeColor="text1"/>
          <w:sz w:val="22"/>
          <w:szCs w:val="22"/>
        </w:rPr>
      </w:pPr>
      <w:r w:rsidRPr="000F4A3A">
        <w:rPr>
          <w:rFonts w:ascii="Arial" w:hAnsi="Arial" w:cs="Arial"/>
          <w:bCs/>
          <w:color w:val="000000" w:themeColor="text1"/>
          <w:sz w:val="22"/>
          <w:szCs w:val="22"/>
          <w:lang w:val="es-ES_tradnl"/>
        </w:rPr>
        <w:t xml:space="preserve">Por su parte, Colombia Compra Eficiente expide la </w:t>
      </w:r>
      <w:r w:rsidRPr="000F4A3A">
        <w:rPr>
          <w:rFonts w:ascii="Arial" w:hAnsi="Arial" w:cs="Arial"/>
          <w:color w:val="000000" w:themeColor="text1"/>
          <w:sz w:val="22"/>
          <w:szCs w:val="22"/>
        </w:rPr>
        <w:t>«</w:t>
      </w:r>
      <w:r w:rsidRPr="00477961">
        <w:rPr>
          <w:rFonts w:ascii="Arial" w:hAnsi="Arial" w:cs="Arial"/>
          <w:bCs/>
          <w:i/>
          <w:iCs/>
          <w:color w:val="000000" w:themeColor="text1"/>
          <w:sz w:val="22"/>
          <w:szCs w:val="22"/>
          <w:lang w:val="es-ES_tradnl"/>
        </w:rPr>
        <w:t>Guía para el manejo de anticipos mediante contrato de fiducia irrevocable</w:t>
      </w:r>
      <w:bookmarkStart w:id="0" w:name="_Hlk69032549"/>
      <w:r w:rsidRPr="00477961">
        <w:rPr>
          <w:rFonts w:ascii="Arial" w:hAnsi="Arial" w:cs="Arial"/>
          <w:i/>
          <w:iCs/>
          <w:color w:val="000000" w:themeColor="text1"/>
          <w:sz w:val="22"/>
          <w:szCs w:val="22"/>
        </w:rPr>
        <w:t>»</w:t>
      </w:r>
      <w:bookmarkEnd w:id="0"/>
      <w:r w:rsidRPr="00477961">
        <w:rPr>
          <w:rFonts w:ascii="Arial" w:hAnsi="Arial" w:cs="Arial"/>
          <w:i/>
          <w:iCs/>
          <w:color w:val="000000" w:themeColor="text1"/>
          <w:sz w:val="22"/>
          <w:szCs w:val="22"/>
          <w:vertAlign w:val="superscript"/>
        </w:rPr>
        <w:footnoteReference w:id="11"/>
      </w:r>
      <w:r w:rsidRPr="00477961">
        <w:rPr>
          <w:rFonts w:ascii="Arial" w:hAnsi="Arial" w:cs="Arial"/>
          <w:i/>
          <w:iCs/>
          <w:color w:val="000000" w:themeColor="text1"/>
          <w:sz w:val="22"/>
          <w:szCs w:val="22"/>
        </w:rPr>
        <w:t>,</w:t>
      </w:r>
      <w:r w:rsidRPr="000F4A3A">
        <w:rPr>
          <w:rFonts w:ascii="Arial" w:hAnsi="Arial" w:cs="Arial"/>
          <w:color w:val="000000" w:themeColor="text1"/>
          <w:sz w:val="22"/>
          <w:szCs w:val="22"/>
        </w:rPr>
        <w:t xml:space="preserve"> que </w:t>
      </w:r>
      <w:r w:rsidRPr="000F4A3A">
        <w:rPr>
          <w:rFonts w:ascii="Arial" w:hAnsi="Arial" w:cs="Arial"/>
          <w:bCs/>
          <w:color w:val="000000" w:themeColor="text1"/>
          <w:sz w:val="22"/>
          <w:szCs w:val="22"/>
          <w:lang w:val="es-ES_tradnl"/>
        </w:rPr>
        <w:t xml:space="preserve">tiene como objetivo establecer lineamientos sobre el contrato de fiducia para el manejo de anticipos. En esta se explica que </w:t>
      </w:r>
      <w:r w:rsidRPr="000F4A3A">
        <w:rPr>
          <w:rFonts w:ascii="Arial" w:hAnsi="Arial" w:cs="Arial"/>
          <w:color w:val="000000" w:themeColor="text1"/>
          <w:sz w:val="22"/>
          <w:szCs w:val="22"/>
        </w:rPr>
        <w:t>«</w:t>
      </w:r>
      <w:r w:rsidRPr="000F4A3A">
        <w:rPr>
          <w:rFonts w:ascii="Arial" w:hAnsi="Arial" w:cs="Arial"/>
          <w:bCs/>
          <w:color w:val="000000" w:themeColor="text1"/>
          <w:sz w:val="22"/>
          <w:szCs w:val="22"/>
        </w:rPr>
        <w:t>el patrimonio autónomo para manejo de anticipos tiene como finalidad: (i) la correcta y adecuada inversión y administración del anticipo y, (</w:t>
      </w:r>
      <w:proofErr w:type="spellStart"/>
      <w:r w:rsidRPr="000F4A3A">
        <w:rPr>
          <w:rFonts w:ascii="Arial" w:hAnsi="Arial" w:cs="Arial"/>
          <w:bCs/>
          <w:color w:val="000000" w:themeColor="text1"/>
          <w:sz w:val="22"/>
          <w:szCs w:val="22"/>
        </w:rPr>
        <w:t>ii</w:t>
      </w:r>
      <w:proofErr w:type="spellEnd"/>
      <w:r w:rsidRPr="000F4A3A">
        <w:rPr>
          <w:rFonts w:ascii="Arial" w:hAnsi="Arial" w:cs="Arial"/>
          <w:bCs/>
          <w:color w:val="000000" w:themeColor="text1"/>
          <w:sz w:val="22"/>
          <w:szCs w:val="22"/>
        </w:rPr>
        <w:t>) el reintegro de los recursos del anticipo a la Entidad Estatal cuando declara la caducidad, incumplimiento o terminación del contrato estatal o cuando se presenta la nulidad del contrato estatal</w:t>
      </w:r>
      <w:r w:rsidRPr="000F4A3A">
        <w:rPr>
          <w:rFonts w:ascii="Arial" w:hAnsi="Arial" w:cs="Arial"/>
          <w:color w:val="000000" w:themeColor="text1"/>
          <w:sz w:val="22"/>
          <w:szCs w:val="22"/>
        </w:rPr>
        <w:t xml:space="preserve">». Además, indica que, en los contratos de obra, concesión, salud y los que se realicen por licitación pública, siempre que no sean de menor o mínima cuantía, el contratista debe constituir un contrato de fiducia mercantil irrevocable para el manejo de los recursos que recibe a título de anticipo. Igualmente, expone las condiciones para administrar los recursos del patrimonio autónomo, las obligaciones principales de la fiduciaria, el manejo de los excedentes, entre otros. </w:t>
      </w:r>
    </w:p>
    <w:p w14:paraId="4D6DB3FF" w14:textId="77777777" w:rsidR="000F4A3A" w:rsidRPr="000F4A3A" w:rsidRDefault="000F4A3A" w:rsidP="000F4A3A">
      <w:pPr>
        <w:spacing w:before="120"/>
        <w:ind w:firstLine="709"/>
        <w:rPr>
          <w:rFonts w:ascii="Arial" w:hAnsi="Arial" w:cs="Arial"/>
          <w:sz w:val="22"/>
          <w:szCs w:val="22"/>
        </w:rPr>
      </w:pPr>
      <w:r w:rsidRPr="000F4A3A">
        <w:rPr>
          <w:rFonts w:ascii="Arial" w:hAnsi="Arial" w:cs="Arial"/>
          <w:bCs/>
          <w:color w:val="000000" w:themeColor="text1"/>
          <w:sz w:val="22"/>
          <w:szCs w:val="22"/>
          <w:lang w:val="es-ES_tradnl"/>
        </w:rPr>
        <w:t xml:space="preserve">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w:t>
      </w:r>
      <w:r w:rsidRPr="000F4A3A">
        <w:rPr>
          <w:rFonts w:ascii="Arial" w:hAnsi="Arial" w:cs="Arial"/>
          <w:sz w:val="22"/>
          <w:szCs w:val="22"/>
        </w:rPr>
        <w:t xml:space="preserve">solventar los costos iniciales de la ejecución, de acuerdo con las condiciones pactadas. </w:t>
      </w:r>
    </w:p>
    <w:p w14:paraId="049F24F7" w14:textId="77777777" w:rsidR="000F4A3A" w:rsidRPr="000F4A3A" w:rsidRDefault="000F4A3A" w:rsidP="000F4A3A">
      <w:pPr>
        <w:spacing w:before="120"/>
        <w:ind w:firstLine="709"/>
        <w:rPr>
          <w:rFonts w:ascii="Arial" w:hAnsi="Arial" w:cs="Arial"/>
          <w:sz w:val="22"/>
          <w:szCs w:val="22"/>
          <w:lang w:val="es-CO"/>
        </w:rPr>
      </w:pPr>
      <w:r w:rsidRPr="000F4A3A">
        <w:rPr>
          <w:rFonts w:ascii="Arial" w:hAnsi="Arial" w:cs="Arial"/>
          <w:sz w:val="22"/>
          <w:szCs w:val="22"/>
        </w:rPr>
        <w:t xml:space="preserve">El artículo 91 de la Ley 1474 de 2011 determina </w:t>
      </w:r>
      <w:r w:rsidRPr="000F4A3A">
        <w:rPr>
          <w:rFonts w:ascii="Arial" w:hAnsi="Arial" w:cs="Arial"/>
          <w:sz w:val="22"/>
          <w:szCs w:val="22"/>
          <w:lang w:val="es-CO"/>
        </w:rPr>
        <w:t xml:space="preserve">el ámbito de aplicación, al enumerar los casos en los cuales es deber del contratista constituir un patrimonio autónomo o una fiducia para </w:t>
      </w:r>
      <w:r w:rsidRPr="000F4A3A">
        <w:rPr>
          <w:rFonts w:ascii="Arial" w:hAnsi="Arial" w:cs="Arial"/>
          <w:sz w:val="22"/>
          <w:szCs w:val="22"/>
          <w:lang w:val="es-CO"/>
        </w:rPr>
        <w:lastRenderedPageBreak/>
        <w:t xml:space="preserve">administrar los recursos del anticipo. Para tales efectos, se establecen los siguientes contratos: i) obra, </w:t>
      </w:r>
      <w:proofErr w:type="spellStart"/>
      <w:r w:rsidRPr="000F4A3A">
        <w:rPr>
          <w:rFonts w:ascii="Arial" w:hAnsi="Arial" w:cs="Arial"/>
          <w:sz w:val="22"/>
          <w:szCs w:val="22"/>
          <w:lang w:val="es-CO"/>
        </w:rPr>
        <w:t>ii</w:t>
      </w:r>
      <w:proofErr w:type="spellEnd"/>
      <w:r w:rsidRPr="000F4A3A">
        <w:rPr>
          <w:rFonts w:ascii="Arial" w:hAnsi="Arial" w:cs="Arial"/>
          <w:sz w:val="22"/>
          <w:szCs w:val="22"/>
          <w:lang w:val="es-CO"/>
        </w:rPr>
        <w:t xml:space="preserve">) concesión, </w:t>
      </w:r>
      <w:proofErr w:type="spellStart"/>
      <w:r w:rsidRPr="000F4A3A">
        <w:rPr>
          <w:rFonts w:ascii="Arial" w:hAnsi="Arial" w:cs="Arial"/>
          <w:sz w:val="22"/>
          <w:szCs w:val="22"/>
          <w:lang w:val="es-CO"/>
        </w:rPr>
        <w:t>iii</w:t>
      </w:r>
      <w:proofErr w:type="spellEnd"/>
      <w:r w:rsidRPr="000F4A3A">
        <w:rPr>
          <w:rFonts w:ascii="Arial" w:hAnsi="Arial" w:cs="Arial"/>
          <w:sz w:val="22"/>
          <w:szCs w:val="22"/>
          <w:lang w:val="es-CO"/>
        </w:rPr>
        <w:t xml:space="preserve">) salud y </w:t>
      </w:r>
      <w:proofErr w:type="spellStart"/>
      <w:r w:rsidRPr="000F4A3A">
        <w:rPr>
          <w:rFonts w:ascii="Arial" w:hAnsi="Arial" w:cs="Arial"/>
          <w:sz w:val="22"/>
          <w:szCs w:val="22"/>
          <w:lang w:val="es-CO"/>
        </w:rPr>
        <w:t>iv</w:t>
      </w:r>
      <w:proofErr w:type="spellEnd"/>
      <w:r w:rsidRPr="000F4A3A">
        <w:rPr>
          <w:rFonts w:ascii="Arial" w:hAnsi="Arial" w:cs="Arial"/>
          <w:sz w:val="22"/>
          <w:szCs w:val="22"/>
          <w:lang w:val="es-CO"/>
        </w:rPr>
        <w:t xml:space="preserve">) los contratos derivados de un proceso de licitación pública. </w:t>
      </w:r>
    </w:p>
    <w:p w14:paraId="6859DDB6" w14:textId="4EC952BF" w:rsidR="000F4A3A" w:rsidRPr="000F4A3A" w:rsidRDefault="000F4A3A" w:rsidP="000F4A3A">
      <w:pPr>
        <w:spacing w:before="120"/>
        <w:ind w:firstLine="709"/>
        <w:rPr>
          <w:rFonts w:ascii="Arial" w:hAnsi="Arial" w:cs="Arial"/>
          <w:sz w:val="22"/>
          <w:szCs w:val="22"/>
          <w:lang w:val="es-CO"/>
        </w:rPr>
      </w:pPr>
      <w:r w:rsidRPr="000F4A3A">
        <w:rPr>
          <w:rFonts w:ascii="Arial" w:hAnsi="Arial" w:cs="Arial"/>
          <w:sz w:val="22"/>
          <w:szCs w:val="22"/>
          <w:lang w:val="es-CO"/>
        </w:rPr>
        <w:t xml:space="preserve">Aunque la norma menciona la modalidad de selección de licitación pública, su referencia también determina los contratos a los aplica la disposición citada. Ello es así, por cuanto la expresión </w:t>
      </w:r>
      <w:r w:rsidRPr="000F4A3A">
        <w:rPr>
          <w:rFonts w:ascii="Arial" w:hAnsi="Arial" w:cs="Arial"/>
          <w:color w:val="000000" w:themeColor="text1"/>
          <w:sz w:val="22"/>
          <w:szCs w:val="22"/>
        </w:rPr>
        <w:t>«</w:t>
      </w:r>
      <w:r w:rsidRPr="000F4A3A">
        <w:rPr>
          <w:rFonts w:ascii="Arial" w:hAnsi="Arial" w:cs="Arial"/>
          <w:sz w:val="22"/>
          <w:szCs w:val="22"/>
          <w:lang w:val="es-CO"/>
        </w:rPr>
        <w:t>o los que se realicen por licitación pública</w:t>
      </w:r>
      <w:r w:rsidRPr="000F4A3A">
        <w:rPr>
          <w:rFonts w:ascii="Arial" w:hAnsi="Arial" w:cs="Arial"/>
          <w:color w:val="000000" w:themeColor="text1"/>
          <w:sz w:val="22"/>
          <w:szCs w:val="22"/>
        </w:rPr>
        <w:t xml:space="preserve">», describe que, además de los anteriores, también para estos contratos aplica el supuesto de hecho. </w:t>
      </w:r>
    </w:p>
    <w:p w14:paraId="5A9B81FB" w14:textId="1C7848EC" w:rsidR="000F4A3A" w:rsidRPr="000F4A3A" w:rsidRDefault="000F4A3A" w:rsidP="000F4A3A">
      <w:pPr>
        <w:spacing w:before="120"/>
        <w:ind w:firstLine="709"/>
        <w:rPr>
          <w:rFonts w:ascii="Arial" w:hAnsi="Arial" w:cs="Arial"/>
          <w:sz w:val="22"/>
          <w:szCs w:val="22"/>
          <w:lang w:val="es-CO"/>
        </w:rPr>
      </w:pPr>
      <w:r w:rsidRPr="000F4A3A">
        <w:rPr>
          <w:rFonts w:ascii="Arial" w:hAnsi="Arial" w:cs="Arial"/>
          <w:sz w:val="22"/>
          <w:szCs w:val="22"/>
          <w:lang w:val="es-CO"/>
        </w:rPr>
        <w:t>En tal sentido, respecto a los contratos de obra, concesión y salud, así como en relación con los contratos derivados de licitación pública cualquiera que sea su tipología contractual, el contratista deberá obligatoriamente constituir una fiducia mercantil para el manejo de los recursos que se entreguen en calidad de anticipo. Se aclara que la constitución del patrimonio autónomo para el manejo del anticipo no releva a la de exigir la garantía de buen manejo y correcta inversión.</w:t>
      </w:r>
    </w:p>
    <w:p w14:paraId="1AD6657C" w14:textId="0110971C" w:rsidR="000F4A3A" w:rsidRPr="000F4A3A" w:rsidRDefault="000F4A3A" w:rsidP="000F4A3A">
      <w:pPr>
        <w:spacing w:before="120"/>
        <w:ind w:firstLine="709"/>
        <w:rPr>
          <w:rFonts w:ascii="Arial" w:hAnsi="Arial" w:cs="Arial"/>
          <w:sz w:val="22"/>
          <w:szCs w:val="22"/>
          <w:lang w:val="es-CO"/>
        </w:rPr>
      </w:pPr>
      <w:r w:rsidRPr="000F4A3A">
        <w:rPr>
          <w:rFonts w:ascii="Arial" w:hAnsi="Arial" w:cs="Arial"/>
          <w:sz w:val="22"/>
          <w:szCs w:val="22"/>
          <w:lang w:val="es-CO"/>
        </w:rPr>
        <w:t>Es importante precisar que el artículo 91 de la Ley 1474 de 2011 excluye de su ámbito de aplicación a los contratos de obra, concesión y salud, siempre que estos sean adelantados mediante las modalidades de selección abreviada de menor cuantía y mínima cuantía. Sin embargo, cuando hay entrega de anticipo en estas modalidades de selección, la</w:t>
      </w:r>
      <w:r w:rsidR="00385856">
        <w:rPr>
          <w:rFonts w:ascii="Arial" w:hAnsi="Arial" w:cs="Arial"/>
          <w:sz w:val="22"/>
          <w:szCs w:val="22"/>
          <w:lang w:val="es-CO"/>
        </w:rPr>
        <w:t xml:space="preserve"> Entidad Estatal</w:t>
      </w:r>
      <w:r w:rsidRPr="000F4A3A">
        <w:rPr>
          <w:rFonts w:ascii="Arial" w:hAnsi="Arial" w:cs="Arial"/>
          <w:sz w:val="22"/>
          <w:szCs w:val="22"/>
          <w:lang w:val="es-CO"/>
        </w:rPr>
        <w:t xml:space="preserve"> tiene la obligación de adoptar las medidas necesarias y razonables para asegurar el buen manejo y la correcta inversión del anticipo, entre las que se encuentra la constitución </w:t>
      </w:r>
      <w:r w:rsidR="00385856">
        <w:rPr>
          <w:rFonts w:ascii="Arial" w:hAnsi="Arial" w:cs="Arial"/>
          <w:sz w:val="22"/>
          <w:szCs w:val="22"/>
          <w:lang w:val="es-CO"/>
        </w:rPr>
        <w:t>l</w:t>
      </w:r>
      <w:r w:rsidRPr="000F4A3A">
        <w:rPr>
          <w:rFonts w:ascii="Arial" w:hAnsi="Arial" w:cs="Arial"/>
          <w:sz w:val="22"/>
          <w:szCs w:val="22"/>
          <w:lang w:val="es-CO"/>
        </w:rPr>
        <w:t>a garantía</w:t>
      </w:r>
      <w:r w:rsidR="00385856">
        <w:rPr>
          <w:rFonts w:ascii="Arial" w:hAnsi="Arial" w:cs="Arial"/>
          <w:sz w:val="22"/>
          <w:szCs w:val="22"/>
          <w:lang w:val="es-CO"/>
        </w:rPr>
        <w:t xml:space="preserve"> respectiva</w:t>
      </w:r>
      <w:r w:rsidRPr="000F4A3A">
        <w:rPr>
          <w:rFonts w:ascii="Arial" w:hAnsi="Arial" w:cs="Arial"/>
          <w:sz w:val="22"/>
          <w:szCs w:val="22"/>
          <w:lang w:val="es-CO"/>
        </w:rPr>
        <w:t xml:space="preserve">. </w:t>
      </w:r>
      <w:r w:rsidRPr="000F4A3A">
        <w:rPr>
          <w:rFonts w:ascii="Arial" w:hAnsi="Arial" w:cs="Arial"/>
          <w:sz w:val="22"/>
          <w:szCs w:val="22"/>
        </w:rPr>
        <w:t xml:space="preserve"> </w:t>
      </w:r>
    </w:p>
    <w:p w14:paraId="50B5541C" w14:textId="77777777" w:rsidR="000F4A3A" w:rsidRPr="000F4A3A" w:rsidRDefault="000F4A3A" w:rsidP="000F4A3A">
      <w:pPr>
        <w:rPr>
          <w:rFonts w:ascii="Arial" w:eastAsiaTheme="minorHAnsi" w:hAnsi="Arial" w:cs="Arial"/>
          <w:b/>
          <w:bCs/>
          <w:color w:val="000000" w:themeColor="text1"/>
          <w:sz w:val="22"/>
          <w:szCs w:val="22"/>
          <w:lang w:val="es-CO"/>
        </w:rPr>
      </w:pPr>
      <w:r w:rsidRPr="000F4A3A">
        <w:rPr>
          <w:rFonts w:ascii="Arial" w:eastAsiaTheme="minorHAnsi" w:hAnsi="Arial" w:cs="Arial"/>
          <w:b/>
          <w:bCs/>
          <w:color w:val="000000" w:themeColor="text1"/>
          <w:sz w:val="22"/>
          <w:szCs w:val="22"/>
          <w:lang w:val="es-CO"/>
        </w:rPr>
        <w:t>3. Respuesta</w:t>
      </w:r>
    </w:p>
    <w:p w14:paraId="61415692" w14:textId="77777777" w:rsidR="000F4A3A" w:rsidRPr="00477961" w:rsidRDefault="000F4A3A" w:rsidP="00477961">
      <w:pPr>
        <w:adjustRightInd w:val="0"/>
        <w:spacing w:line="240" w:lineRule="auto"/>
        <w:ind w:left="709" w:right="709"/>
        <w:rPr>
          <w:rFonts w:ascii="Arial" w:eastAsiaTheme="minorHAnsi" w:hAnsi="Arial" w:cs="Arial"/>
          <w:sz w:val="21"/>
          <w:szCs w:val="21"/>
          <w:lang w:val="es-CO"/>
        </w:rPr>
      </w:pPr>
      <w:r w:rsidRPr="00477961">
        <w:rPr>
          <w:rFonts w:ascii="Arial" w:hAnsi="Arial" w:cs="Arial"/>
          <w:sz w:val="21"/>
          <w:szCs w:val="21"/>
        </w:rPr>
        <w:t>«</w:t>
      </w:r>
      <w:r w:rsidRPr="00477961">
        <w:rPr>
          <w:rFonts w:ascii="Arial" w:eastAsiaTheme="minorHAnsi" w:hAnsi="Arial" w:cs="Arial"/>
          <w:sz w:val="21"/>
          <w:szCs w:val="21"/>
          <w:lang w:val="es-CO"/>
        </w:rPr>
        <w:t xml:space="preserve">EN UN CONTRATO DE OBRA, SE PACTO ANTICIPO POR VALOR DEL 50%, </w:t>
      </w:r>
      <w:proofErr w:type="gramStart"/>
      <w:r w:rsidRPr="00477961">
        <w:rPr>
          <w:rFonts w:ascii="Arial" w:eastAsiaTheme="minorHAnsi" w:hAnsi="Arial" w:cs="Arial"/>
          <w:sz w:val="21"/>
          <w:szCs w:val="21"/>
          <w:lang w:val="es-CO"/>
        </w:rPr>
        <w:t>EN VIRTUD DE LA EJECUCION DEL CONTRATO SE ESTABLECIÓ LA NECESIDAD DE REALIZAR UN ADICIONAL PARA AGREGAR ITEMS Y VALOR, ES VIABLE QUE EN EL CONTRATO ADICIONAL SE ESTIPULE ANTICIPO?</w:t>
      </w:r>
      <w:proofErr w:type="gramEnd"/>
      <w:r w:rsidRPr="00477961">
        <w:rPr>
          <w:rFonts w:ascii="Arial" w:eastAsiaTheme="minorHAnsi" w:hAnsi="Arial" w:cs="Arial"/>
          <w:sz w:val="21"/>
          <w:szCs w:val="21"/>
          <w:lang w:val="es-CO"/>
        </w:rPr>
        <w:t xml:space="preserve">». </w:t>
      </w:r>
    </w:p>
    <w:p w14:paraId="640700D1" w14:textId="0B5FDAAB" w:rsidR="000F4A3A" w:rsidRPr="000F4A3A" w:rsidRDefault="000F4A3A" w:rsidP="000F4A3A">
      <w:pPr>
        <w:spacing w:after="120"/>
        <w:rPr>
          <w:rFonts w:ascii="Arial" w:hAnsi="Arial" w:cs="Arial"/>
          <w:i/>
          <w:iCs/>
          <w:sz w:val="22"/>
          <w:szCs w:val="22"/>
        </w:rPr>
      </w:pPr>
      <w:r w:rsidRPr="000F4A3A">
        <w:rPr>
          <w:rFonts w:ascii="Arial" w:hAnsi="Arial" w:cs="Arial"/>
          <w:sz w:val="22"/>
          <w:szCs w:val="22"/>
        </w:rPr>
        <w:t>Teniendo en cuenta las consideraciones desarrolladas con anterioridad, esta Agencia considera que como la norma −</w:t>
      </w:r>
      <w:r w:rsidRPr="000F4A3A">
        <w:rPr>
          <w:rFonts w:ascii="Arial" w:eastAsiaTheme="minorHAnsi" w:hAnsi="Arial" w:cs="Arial"/>
          <w:color w:val="000000" w:themeColor="text1"/>
          <w:sz w:val="22"/>
          <w:szCs w:val="22"/>
        </w:rPr>
        <w:t xml:space="preserve">inciso primero del parágrafo del artículo 40 de la Ley 80 de 1993−, al referirse a la entrega de anticipos, </w:t>
      </w:r>
      <w:r w:rsidRPr="000F4A3A">
        <w:rPr>
          <w:rFonts w:ascii="Arial" w:hAnsi="Arial" w:cs="Arial"/>
          <w:sz w:val="22"/>
          <w:szCs w:val="22"/>
        </w:rPr>
        <w:t>no se refiere a valor inicial del contrato, como si lo menciona el inciso segundo del mismo parágrafo, jurídicamente se puede concluir que sobre un</w:t>
      </w:r>
      <w:r w:rsidR="00385856">
        <w:rPr>
          <w:rFonts w:ascii="Arial" w:hAnsi="Arial" w:cs="Arial"/>
          <w:sz w:val="22"/>
          <w:szCs w:val="22"/>
        </w:rPr>
        <w:t xml:space="preserve">a adición del contrato estatal </w:t>
      </w:r>
      <w:r w:rsidRPr="000F4A3A">
        <w:rPr>
          <w:rFonts w:ascii="Arial" w:hAnsi="Arial" w:cs="Arial"/>
          <w:sz w:val="22"/>
          <w:szCs w:val="22"/>
        </w:rPr>
        <w:t xml:space="preserve">se puede pactar el pago de anticipo limitado al valor adicional. No obstante, es pertinente mencionar que </w:t>
      </w:r>
      <w:r w:rsidR="00385856">
        <w:rPr>
          <w:rFonts w:ascii="Arial" w:hAnsi="Arial" w:cs="Arial"/>
          <w:sz w:val="22"/>
          <w:szCs w:val="22"/>
        </w:rPr>
        <w:t xml:space="preserve">su procedencia resultara </w:t>
      </w:r>
      <w:r w:rsidRPr="000F4A3A">
        <w:rPr>
          <w:rFonts w:ascii="Arial" w:hAnsi="Arial" w:cs="Arial"/>
          <w:sz w:val="22"/>
          <w:szCs w:val="22"/>
        </w:rPr>
        <w:t>razonable</w:t>
      </w:r>
      <w:r w:rsidR="00385856">
        <w:rPr>
          <w:rFonts w:ascii="Arial" w:hAnsi="Arial" w:cs="Arial"/>
          <w:sz w:val="22"/>
          <w:szCs w:val="22"/>
        </w:rPr>
        <w:t xml:space="preserve"> o no</w:t>
      </w:r>
      <w:r w:rsidRPr="000F4A3A">
        <w:rPr>
          <w:rFonts w:ascii="Arial" w:hAnsi="Arial" w:cs="Arial"/>
          <w:sz w:val="22"/>
          <w:szCs w:val="22"/>
        </w:rPr>
        <w:t xml:space="preserve"> desde la perspectiva de la necesidad </w:t>
      </w:r>
      <w:proofErr w:type="gramStart"/>
      <w:r w:rsidRPr="000F4A3A">
        <w:rPr>
          <w:rFonts w:ascii="Arial" w:hAnsi="Arial" w:cs="Arial"/>
          <w:sz w:val="22"/>
          <w:szCs w:val="22"/>
        </w:rPr>
        <w:t>del mismo</w:t>
      </w:r>
      <w:proofErr w:type="gramEnd"/>
      <w:r w:rsidRPr="000F4A3A">
        <w:rPr>
          <w:rFonts w:ascii="Arial" w:hAnsi="Arial" w:cs="Arial"/>
          <w:sz w:val="22"/>
          <w:szCs w:val="22"/>
        </w:rPr>
        <w:t xml:space="preserve">, pues como se mencionó con anterioridad, la finalidad del anticipo es apalancar financieramente al contratista, para </w:t>
      </w:r>
      <w:r w:rsidRPr="000F4A3A">
        <w:rPr>
          <w:rFonts w:ascii="Arial" w:hAnsi="Arial" w:cs="Arial"/>
          <w:i/>
          <w:iCs/>
          <w:sz w:val="22"/>
          <w:szCs w:val="22"/>
        </w:rPr>
        <w:t>solventar los costos iniciales de la ejecución del contrato.</w:t>
      </w:r>
    </w:p>
    <w:p w14:paraId="7BB74EFA" w14:textId="77777777" w:rsidR="000F4A3A" w:rsidRPr="000F4A3A" w:rsidRDefault="000F4A3A" w:rsidP="000F4A3A">
      <w:pPr>
        <w:tabs>
          <w:tab w:val="left" w:pos="0"/>
        </w:tabs>
        <w:spacing w:before="120" w:after="120"/>
        <w:ind w:firstLine="709"/>
        <w:rPr>
          <w:rFonts w:ascii="Arial" w:hAnsi="Arial" w:cs="Arial"/>
          <w:sz w:val="22"/>
          <w:szCs w:val="22"/>
        </w:rPr>
      </w:pPr>
      <w:r w:rsidRPr="000F4A3A">
        <w:rPr>
          <w:rFonts w:ascii="Arial" w:hAnsi="Arial" w:cs="Arial"/>
          <w:sz w:val="22"/>
          <w:szCs w:val="22"/>
        </w:rPr>
        <w:t xml:space="preserve"> En todo caso, </w:t>
      </w:r>
      <w:r w:rsidRPr="000F4A3A">
        <w:rPr>
          <w:rFonts w:ascii="Arial" w:eastAsiaTheme="minorHAnsi" w:hAnsi="Arial" w:cs="Arial"/>
          <w:color w:val="000000" w:themeColor="text1"/>
          <w:sz w:val="22"/>
          <w:szCs w:val="22"/>
        </w:rPr>
        <w:t xml:space="preserve">la entidad y el contratista podrán disponer, en ejercicio de la autonomía de la voluntad, las condiciones que consideren convenientes para otorgar el anticipo de acuerdo con las normas civiles, siempre que no contraríen los parámetros normativos y los principios de la </w:t>
      </w:r>
      <w:r w:rsidRPr="000F4A3A">
        <w:rPr>
          <w:rFonts w:ascii="Arial" w:eastAsiaTheme="minorHAnsi" w:hAnsi="Arial" w:cs="Arial"/>
          <w:color w:val="000000" w:themeColor="text1"/>
          <w:sz w:val="22"/>
          <w:szCs w:val="22"/>
        </w:rPr>
        <w:lastRenderedPageBreak/>
        <w:t xml:space="preserve">actividad contractual. No obstante, se reitera la importancia de analizar y justificar en cada caso la pertinencia y conveniencia de entregar al contratista recursos en calidad de anticipo. De esta forma, </w:t>
      </w:r>
      <w:r w:rsidRPr="000F4A3A">
        <w:rPr>
          <w:rFonts w:ascii="Arial" w:hAnsi="Arial" w:cs="Arial"/>
          <w:sz w:val="22"/>
          <w:szCs w:val="22"/>
        </w:rPr>
        <w:t>debe ser la administración quien determine la viabilidad o no, de la entrega de un nuevo anticipó sobre el valor que se pretende adicional al contrato original.</w:t>
      </w:r>
    </w:p>
    <w:p w14:paraId="425DD318" w14:textId="77777777" w:rsidR="000F4A3A" w:rsidRPr="000F4A3A" w:rsidRDefault="000F4A3A" w:rsidP="000F4A3A">
      <w:pPr>
        <w:pStyle w:val="Textoindependiente"/>
        <w:spacing w:before="10" w:line="276" w:lineRule="auto"/>
        <w:rPr>
          <w:rFonts w:ascii="Arial" w:hAnsi="Arial" w:cs="Arial"/>
          <w:sz w:val="22"/>
          <w:szCs w:val="22"/>
        </w:rPr>
      </w:pPr>
      <w:r w:rsidRPr="000F4A3A">
        <w:rPr>
          <w:rFonts w:ascii="Arial" w:hAnsi="Arial" w:cs="Arial"/>
          <w:noProof/>
          <w:sz w:val="22"/>
          <w:szCs w:val="22"/>
          <w:lang w:val="en-US"/>
        </w:rPr>
        <mc:AlternateContent>
          <mc:Choice Requires="wps">
            <w:drawing>
              <wp:anchor distT="0" distB="0" distL="0" distR="0" simplePos="0" relativeHeight="251659264" behindDoc="1" locked="0" layoutInCell="1" allowOverlap="1" wp14:anchorId="3F1EB4F0" wp14:editId="18102931">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0FC09" id="Freeform 2" o:spid="_x0000_s1026" style="position:absolute;margin-left:119.25pt;margin-top:15.5pt;width:3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u3mwIAAJcFAAAOAAAAZHJzL2Uyb0RvYy54bWysVNuO0zAQfUfiHyw/grZJ03u06Qq2LEJa&#10;LtKWD3Adp4lwbGO7TcvXM54k3VDgBaFIlp0ZnzlzZjy3d6dakqOwrtIqo+NRTIlQXOeV2mf06/bh&#10;ZkmJ80zlTGolMnoWjt6tX764bUwqEl1qmQtLAES5tDEZLb03aRQ5XoqauZE2QoGx0LZmHo52H+WW&#10;NYBeyyiJ43nUaJsbq7lwDv5uWiNdI35RCO4/F4UTnsiMAjePq8V1F9ZofcvSvWWmrHhHg/0Di5pV&#10;CoJeoDbMM3Kw1W9QdcWtdrrwI67rSBdFxQXmANmM46tsnkpmBOYC4jhzkcn9P1j+6fhkvthA3ZlH&#10;zb85UCRqjEsvlnBw4EN2zUedQw3ZwWtM9lTYOtyENMgJNT1fNBUnTzj8nM6X80kM0nOwjZMFSh6x&#10;tL/LD86/Fxpx2PHR+bYiOexQz5woVkPQLUAUtYTivL4hMUkmyxkuXQUvbuPe7VVEtjFpyGKy7Mt8&#10;cUp6J8RaLeZ/xpr0bgErGWAB/33PkJU9aX5SHWvYERZeQIw6Ge2CPlvg1gsECOAUMvyLL8S+9m3v&#10;dCEstPZ1U1tKoKl3rSSG+cAshAhb0mQUpQg/an0UW40mf1U5CPJslWrohdeHrFoz3AgBoG3aDQYN&#10;XAeVVfqhkhJLK1WgspolM9TGaVnlwRjYOLvf3UtLjgye6+Zt+EIyAPaLm7HOb5grWz80tTlbfVA5&#10;RikFy991e88q2e4BSILo2N+hpcOYcOlO52dob6vb6QDTDDaltj8oaWAyZNR9PzArKJEfFDy91Xg6&#10;DaMED9PZIoGDHVp2QwtTHKAy6il0RNje+3b8HIyt9iVEGqMOSr+BZ1VUof+RX8uqO8DrRxm6SRXG&#10;y/CMXs/zdP0TAAD//wMAUEsDBBQABgAIAAAAIQAIbsOT4AAAAAkBAAAPAAAAZHJzL2Rvd25yZXYu&#10;eG1sTI9NS8NAEIbvgv9hGcGLtJumWGvMpoilIEiRfgh622THJDQ7G7KbNP57pyc9zjsP70e6Gm0j&#10;Bux87UjBbBqBQCqcqalUcDxsJksQPmgyunGECn7Qwyq7vkp1YtyZdjjsQynYhHyiFVQhtImUvqjQ&#10;aj91LRL/vl1ndeCzK6Xp9JnNbSPjKFpIq2vihEq3+FJhcdr3VsH6tXz/+Mxpvd31w+FUv7Ubd/el&#10;1O3N+PwEIuAY/mC41OfqkHGn3PVkvGgUxPPlPaMK5jPexMDjw4KF/CLEILNU/l+Q/QIAAP//AwBQ&#10;SwECLQAUAAYACAAAACEAtoM4kv4AAADhAQAAEwAAAAAAAAAAAAAAAAAAAAAAW0NvbnRlbnRfVHlw&#10;ZXNdLnhtbFBLAQItABQABgAIAAAAIQA4/SH/1gAAAJQBAAALAAAAAAAAAAAAAAAAAC8BAABfcmVs&#10;cy8ucmVsc1BLAQItABQABgAIAAAAIQBxBIu3mwIAAJcFAAAOAAAAAAAAAAAAAAAAAC4CAABkcnMv&#10;ZTJvRG9jLnhtbFBLAQItABQABgAIAAAAIQAIbsOT4AAAAAkBAAAPAAAAAAAAAAAAAAAAAPUEAABk&#10;cnMvZG93bnJldi54bWxQSwUGAAAAAAQABADzAAAAAgYAAAAA&#10;" path="m,l7380,e" filled="f" strokecolor="#dbdbdb">
                <v:path arrowok="t" o:connecttype="custom" o:connectlocs="0,0;4686300,0" o:connectangles="0,0"/>
                <w10:wrap type="topAndBottom" anchorx="page"/>
              </v:shape>
            </w:pict>
          </mc:Fallback>
        </mc:AlternateContent>
      </w:r>
    </w:p>
    <w:p w14:paraId="2B9975BB" w14:textId="2D438B1A" w:rsidR="000F4A3A" w:rsidRPr="000F4A3A" w:rsidRDefault="000F4A3A" w:rsidP="00477961">
      <w:pPr>
        <w:shd w:val="clear" w:color="auto" w:fill="FFFFFF"/>
        <w:spacing w:before="120"/>
        <w:ind w:firstLine="708"/>
        <w:rPr>
          <w:rFonts w:ascii="Arial" w:eastAsia="Times New Roman" w:hAnsi="Arial" w:cs="Arial"/>
          <w:color w:val="000000" w:themeColor="text1"/>
          <w:sz w:val="22"/>
          <w:szCs w:val="22"/>
        </w:rPr>
      </w:pPr>
      <w:r w:rsidRPr="000F4A3A">
        <w:rPr>
          <w:rFonts w:ascii="Arial" w:eastAsia="Times New Roman" w:hAnsi="Arial" w:cs="Arial"/>
          <w:color w:val="000000" w:themeColor="text1"/>
          <w:sz w:val="22"/>
          <w:szCs w:val="22"/>
        </w:rPr>
        <w:t>Este concepto tiene el alcance previsto en el artículo 28 del Código de Procedimiento Administrativo y de lo Contencioso Administrativo</w:t>
      </w:r>
      <w:r w:rsidR="00385856">
        <w:rPr>
          <w:rFonts w:ascii="Arial" w:eastAsia="Times New Roman" w:hAnsi="Arial" w:cs="Arial"/>
          <w:color w:val="000000" w:themeColor="text1"/>
          <w:sz w:val="22"/>
          <w:szCs w:val="22"/>
        </w:rPr>
        <w:t xml:space="preserve"> </w:t>
      </w:r>
      <w:r w:rsidR="00385856">
        <w:rPr>
          <w:rFonts w:ascii="Arial" w:hAnsi="Arial" w:cs="Arial"/>
          <w:sz w:val="22"/>
          <w:szCs w:val="22"/>
        </w:rPr>
        <w:t xml:space="preserve">y </w:t>
      </w:r>
      <w:r w:rsidR="00385856">
        <w:rPr>
          <w:rFonts w:ascii="Arial" w:hAnsi="Arial" w:cs="Arial"/>
          <w:sz w:val="22"/>
          <w:szCs w:val="22"/>
          <w:lang w:eastAsia="en-US"/>
        </w:rPr>
        <w:t>l</w:t>
      </w:r>
      <w:r w:rsidR="00385856" w:rsidRPr="00301C53">
        <w:rPr>
          <w:rFonts w:ascii="Arial" w:hAnsi="Arial" w:cs="Arial"/>
          <w:sz w:val="22"/>
          <w:szCs w:val="22"/>
          <w:lang w:eastAsia="en-US"/>
        </w:rPr>
        <w:t xml:space="preserve">as expresiones aquí utilizadas con mayúscula inicial deben ser entendidas con el significado que </w:t>
      </w:r>
      <w:r w:rsidR="00385856">
        <w:rPr>
          <w:rFonts w:ascii="Arial" w:hAnsi="Arial" w:cs="Arial"/>
          <w:sz w:val="22"/>
          <w:szCs w:val="22"/>
          <w:lang w:eastAsia="en-US"/>
        </w:rPr>
        <w:t xml:space="preserve">les otorga el artículo </w:t>
      </w:r>
      <w:r w:rsidR="00385856" w:rsidRPr="00301C53">
        <w:rPr>
          <w:rFonts w:ascii="Arial" w:hAnsi="Arial" w:cs="Arial"/>
          <w:sz w:val="22"/>
          <w:szCs w:val="22"/>
          <w:lang w:eastAsia="en-US"/>
        </w:rPr>
        <w:t>2.2.1.1.1.3.1.</w:t>
      </w:r>
      <w:r w:rsidR="00385856">
        <w:rPr>
          <w:rFonts w:ascii="Arial" w:hAnsi="Arial" w:cs="Arial"/>
          <w:sz w:val="22"/>
          <w:szCs w:val="22"/>
          <w:lang w:eastAsia="en-US"/>
        </w:rPr>
        <w:t xml:space="preserve"> del Decreto 1082 de 2015.</w:t>
      </w:r>
    </w:p>
    <w:p w14:paraId="590A3F7C" w14:textId="77777777" w:rsidR="000F4A3A" w:rsidRPr="000F4A3A" w:rsidRDefault="000F4A3A" w:rsidP="000F4A3A">
      <w:pPr>
        <w:tabs>
          <w:tab w:val="left" w:pos="426"/>
        </w:tabs>
        <w:spacing w:before="120"/>
        <w:rPr>
          <w:rFonts w:ascii="Arial" w:eastAsia="Times New Roman" w:hAnsi="Arial" w:cs="Arial"/>
          <w:color w:val="000000" w:themeColor="text1"/>
          <w:sz w:val="22"/>
          <w:szCs w:val="22"/>
        </w:rPr>
      </w:pPr>
      <w:r w:rsidRPr="000F4A3A">
        <w:rPr>
          <w:rFonts w:ascii="Arial" w:eastAsia="Times New Roman" w:hAnsi="Arial" w:cs="Arial"/>
          <w:color w:val="000000" w:themeColor="text1"/>
          <w:sz w:val="22"/>
          <w:szCs w:val="22"/>
        </w:rPr>
        <w:t>Atentamente,</w:t>
      </w:r>
    </w:p>
    <w:p w14:paraId="1B3FBA58" w14:textId="055181A8" w:rsidR="000F4A3A" w:rsidRPr="000F4A3A" w:rsidRDefault="000D1127" w:rsidP="000F4A3A">
      <w:pPr>
        <w:spacing w:after="120"/>
        <w:jc w:val="center"/>
        <w:rPr>
          <w:rFonts w:ascii="Arial" w:hAnsi="Arial" w:cs="Arial"/>
          <w:sz w:val="22"/>
          <w:szCs w:val="22"/>
        </w:rPr>
      </w:pPr>
      <w:r>
        <w:rPr>
          <w:noProof/>
        </w:rPr>
        <w:drawing>
          <wp:inline distT="0" distB="0" distL="0" distR="0" wp14:anchorId="22E7B7E4" wp14:editId="2E865F9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F4A3A" w:rsidRPr="00385856" w14:paraId="6E86046F" w14:textId="77777777" w:rsidTr="001C231C">
        <w:trPr>
          <w:trHeight w:val="286"/>
        </w:trPr>
        <w:tc>
          <w:tcPr>
            <w:tcW w:w="817" w:type="dxa"/>
            <w:vAlign w:val="center"/>
          </w:tcPr>
          <w:p w14:paraId="76DC8FD1"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Elaboró:</w:t>
            </w:r>
          </w:p>
        </w:tc>
        <w:tc>
          <w:tcPr>
            <w:tcW w:w="4445" w:type="dxa"/>
            <w:tcBorders>
              <w:bottom w:val="dotted" w:sz="4" w:space="0" w:color="7F7F7F"/>
            </w:tcBorders>
            <w:vAlign w:val="center"/>
          </w:tcPr>
          <w:p w14:paraId="06863A91" w14:textId="77777777" w:rsidR="000F4A3A" w:rsidRPr="00477961" w:rsidRDefault="000F4A3A" w:rsidP="00477961">
            <w:pPr>
              <w:spacing w:after="0" w:line="240" w:lineRule="auto"/>
              <w:rPr>
                <w:rFonts w:ascii="Arial" w:hAnsi="Arial" w:cs="Arial"/>
                <w:sz w:val="14"/>
                <w:szCs w:val="14"/>
              </w:rPr>
            </w:pPr>
          </w:p>
          <w:p w14:paraId="6681870B"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Carlos Mario Castrillón Endo</w:t>
            </w:r>
          </w:p>
          <w:p w14:paraId="12269DF2"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Contratista de la Subdirección de Gestión Contractual</w:t>
            </w:r>
          </w:p>
        </w:tc>
      </w:tr>
      <w:tr w:rsidR="000F4A3A" w:rsidRPr="00385856" w14:paraId="4A504A44" w14:textId="77777777" w:rsidTr="001C231C">
        <w:trPr>
          <w:trHeight w:val="286"/>
        </w:trPr>
        <w:tc>
          <w:tcPr>
            <w:tcW w:w="817" w:type="dxa"/>
            <w:vAlign w:val="center"/>
          </w:tcPr>
          <w:p w14:paraId="26650705"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Revisó:</w:t>
            </w:r>
          </w:p>
        </w:tc>
        <w:tc>
          <w:tcPr>
            <w:tcW w:w="4445" w:type="dxa"/>
            <w:tcBorders>
              <w:bottom w:val="dotted" w:sz="4" w:space="0" w:color="7F7F7F"/>
            </w:tcBorders>
            <w:vAlign w:val="center"/>
          </w:tcPr>
          <w:p w14:paraId="0CCB057D"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Any Alejandra Tovar Castillo</w:t>
            </w:r>
          </w:p>
          <w:p w14:paraId="639E4880"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Contratista de la Subdirección de Gestión Contractual</w:t>
            </w:r>
          </w:p>
        </w:tc>
      </w:tr>
      <w:tr w:rsidR="000F4A3A" w:rsidRPr="00385856" w14:paraId="6301DC65" w14:textId="77777777" w:rsidTr="001C231C">
        <w:trPr>
          <w:trHeight w:val="299"/>
        </w:trPr>
        <w:tc>
          <w:tcPr>
            <w:tcW w:w="817" w:type="dxa"/>
            <w:vAlign w:val="center"/>
          </w:tcPr>
          <w:p w14:paraId="053DDE89"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Aprobó:</w:t>
            </w:r>
          </w:p>
        </w:tc>
        <w:tc>
          <w:tcPr>
            <w:tcW w:w="4445" w:type="dxa"/>
            <w:tcBorders>
              <w:top w:val="dotted" w:sz="4" w:space="0" w:color="7F7F7F"/>
              <w:bottom w:val="dotted" w:sz="4" w:space="0" w:color="7F7F7F"/>
            </w:tcBorders>
            <w:vAlign w:val="center"/>
          </w:tcPr>
          <w:p w14:paraId="318EDA5A"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 xml:space="preserve"> Nohelia del Carmen Zawady Palacio</w:t>
            </w:r>
          </w:p>
          <w:p w14:paraId="505B8B75" w14:textId="77777777" w:rsidR="000F4A3A" w:rsidRPr="00477961" w:rsidRDefault="000F4A3A" w:rsidP="00477961">
            <w:pPr>
              <w:spacing w:after="0" w:line="240" w:lineRule="auto"/>
              <w:rPr>
                <w:rFonts w:ascii="Arial" w:hAnsi="Arial" w:cs="Arial"/>
                <w:sz w:val="14"/>
                <w:szCs w:val="14"/>
              </w:rPr>
            </w:pPr>
            <w:r w:rsidRPr="00477961">
              <w:rPr>
                <w:rFonts w:ascii="Arial" w:hAnsi="Arial" w:cs="Arial"/>
                <w:sz w:val="14"/>
                <w:szCs w:val="14"/>
              </w:rPr>
              <w:t>Subdirectora de Gestión Contractual ANCP - CCE</w:t>
            </w:r>
          </w:p>
        </w:tc>
      </w:tr>
    </w:tbl>
    <w:p w14:paraId="5971072D" w14:textId="77777777" w:rsidR="000F4A3A" w:rsidRPr="000F4A3A" w:rsidRDefault="000F4A3A" w:rsidP="000F4A3A">
      <w:pPr>
        <w:rPr>
          <w:rFonts w:ascii="Arial" w:hAnsi="Arial" w:cs="Arial"/>
          <w:sz w:val="22"/>
          <w:szCs w:val="22"/>
        </w:rPr>
      </w:pPr>
    </w:p>
    <w:p w14:paraId="602D262F" w14:textId="77777777" w:rsidR="000F4A3A" w:rsidRPr="000F4A3A" w:rsidRDefault="000F4A3A" w:rsidP="000F4A3A">
      <w:pPr>
        <w:rPr>
          <w:rFonts w:ascii="Arial" w:hAnsi="Arial" w:cs="Arial"/>
          <w:sz w:val="22"/>
          <w:szCs w:val="22"/>
        </w:rPr>
      </w:pPr>
    </w:p>
    <w:p w14:paraId="0F293BF4" w14:textId="0F6FB6C1" w:rsidR="00127233" w:rsidRPr="000F4A3A" w:rsidRDefault="00127233" w:rsidP="000F4A3A">
      <w:pPr>
        <w:rPr>
          <w:rFonts w:ascii="Arial" w:hAnsi="Arial" w:cs="Arial"/>
          <w:sz w:val="22"/>
          <w:szCs w:val="22"/>
        </w:rPr>
      </w:pPr>
    </w:p>
    <w:sectPr w:rsidR="00127233" w:rsidRPr="000F4A3A"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09BA" w14:textId="77777777" w:rsidR="004816D5" w:rsidRDefault="004816D5" w:rsidP="004A1847">
      <w:pPr>
        <w:spacing w:after="0" w:line="240" w:lineRule="auto"/>
      </w:pPr>
      <w:r>
        <w:separator/>
      </w:r>
    </w:p>
  </w:endnote>
  <w:endnote w:type="continuationSeparator" w:id="0">
    <w:p w14:paraId="0EE4C24C" w14:textId="77777777" w:rsidR="004816D5" w:rsidRDefault="004816D5" w:rsidP="004A1847">
      <w:pPr>
        <w:spacing w:after="0" w:line="240" w:lineRule="auto"/>
      </w:pPr>
      <w:r>
        <w:continuationSeparator/>
      </w:r>
    </w:p>
  </w:endnote>
  <w:endnote w:type="continuationNotice" w:id="1">
    <w:p w14:paraId="582AD502" w14:textId="77777777" w:rsidR="004816D5" w:rsidRDefault="00481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0D1127">
    <w:pPr>
      <w:pStyle w:val="Piedepgina"/>
      <w:jc w:val="center"/>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1D0AB3AB" w:rsidR="006219F8" w:rsidRDefault="006219F8" w:rsidP="00A07532">
    <w:pPr>
      <w:pStyle w:val="Piedepgina"/>
      <w:jc w:val="center"/>
    </w:pPr>
  </w:p>
  <w:p w14:paraId="3E9B75B9" w14:textId="77777777" w:rsidR="000D1127" w:rsidRDefault="000D1127"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EDD7" w14:textId="77777777" w:rsidR="004816D5" w:rsidRDefault="004816D5" w:rsidP="004A1847">
      <w:pPr>
        <w:spacing w:after="0" w:line="240" w:lineRule="auto"/>
      </w:pPr>
      <w:r>
        <w:separator/>
      </w:r>
    </w:p>
  </w:footnote>
  <w:footnote w:type="continuationSeparator" w:id="0">
    <w:p w14:paraId="3D181007" w14:textId="77777777" w:rsidR="004816D5" w:rsidRDefault="004816D5" w:rsidP="004A1847">
      <w:pPr>
        <w:spacing w:after="0" w:line="240" w:lineRule="auto"/>
      </w:pPr>
      <w:r>
        <w:continuationSeparator/>
      </w:r>
    </w:p>
  </w:footnote>
  <w:footnote w:type="continuationNotice" w:id="1">
    <w:p w14:paraId="2CACEC01" w14:textId="77777777" w:rsidR="004816D5" w:rsidRDefault="004816D5">
      <w:pPr>
        <w:spacing w:after="0" w:line="240" w:lineRule="auto"/>
      </w:pPr>
    </w:p>
  </w:footnote>
  <w:footnote w:id="2">
    <w:p w14:paraId="00007E1E" w14:textId="44DBB0EC" w:rsidR="000F4A3A" w:rsidRPr="00477961" w:rsidRDefault="000F4A3A" w:rsidP="00477961">
      <w:pPr>
        <w:pStyle w:val="Textonotapie"/>
        <w:ind w:firstLine="709"/>
        <w:jc w:val="both"/>
        <w:rPr>
          <w:sz w:val="19"/>
          <w:szCs w:val="19"/>
        </w:rPr>
      </w:pPr>
      <w:r w:rsidRPr="00477961">
        <w:rPr>
          <w:rStyle w:val="Refdenotaalpie"/>
          <w:sz w:val="19"/>
          <w:szCs w:val="19"/>
        </w:rPr>
        <w:footnoteRef/>
      </w:r>
      <w:r w:rsidRPr="00477961">
        <w:rPr>
          <w:color w:val="000000" w:themeColor="text1"/>
          <w:sz w:val="19"/>
          <w:szCs w:val="19"/>
        </w:rPr>
        <w:t>«</w:t>
      </w:r>
      <w:r w:rsidRPr="00E67DF9">
        <w:rPr>
          <w:sz w:val="19"/>
          <w:szCs w:val="19"/>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477961">
        <w:rPr>
          <w:color w:val="000000" w:themeColor="text1"/>
          <w:sz w:val="19"/>
          <w:szCs w:val="19"/>
        </w:rPr>
        <w:t>».</w:t>
      </w:r>
      <w:r w:rsidRPr="00E67DF9">
        <w:rPr>
          <w:sz w:val="19"/>
          <w:szCs w:val="19"/>
        </w:rPr>
        <w:t xml:space="preserve"> Citado en CONSEJO DE ESTADO. Sala de lo Contencioso Administrativo. Sección Tercera – Subsección A. Sentencia del 16 de mayo de 2019. Rad. (40102). C.P: María Adriana Marín [cita No. 35]. </w:t>
      </w:r>
    </w:p>
  </w:footnote>
  <w:footnote w:id="3">
    <w:p w14:paraId="5A552D65" w14:textId="6C0F7D8E" w:rsidR="000F4A3A" w:rsidRPr="00477961" w:rsidRDefault="000F4A3A" w:rsidP="00477961">
      <w:pPr>
        <w:pStyle w:val="Textonotapie"/>
        <w:ind w:firstLine="709"/>
        <w:jc w:val="both"/>
        <w:rPr>
          <w:sz w:val="19"/>
          <w:szCs w:val="19"/>
        </w:rPr>
      </w:pPr>
      <w:r w:rsidRPr="00477961">
        <w:rPr>
          <w:rStyle w:val="Refdenotaalpie"/>
          <w:sz w:val="19"/>
          <w:szCs w:val="19"/>
        </w:rPr>
        <w:footnoteRef/>
      </w:r>
      <w:r w:rsidRPr="00477961">
        <w:rPr>
          <w:sz w:val="19"/>
          <w:szCs w:val="19"/>
        </w:rPr>
        <w:t xml:space="preserve"> </w:t>
      </w:r>
      <w:r w:rsidRPr="00E67DF9">
        <w:rPr>
          <w:sz w:val="19"/>
          <w:szCs w:val="19"/>
        </w:rPr>
        <w:t>CONSEJO DE ESTADO. Sala de lo Contencioso Administrativo. Sección Tercera – Subsección A. Sentencia del 16 de mayo de 2019. Rad. (40102). C.P: María Adriana Marín</w:t>
      </w:r>
    </w:p>
  </w:footnote>
  <w:footnote w:id="4">
    <w:p w14:paraId="01706A2E" w14:textId="452CF4A0" w:rsidR="000F4A3A" w:rsidRPr="00477961" w:rsidRDefault="000F4A3A" w:rsidP="00477961">
      <w:pPr>
        <w:pStyle w:val="Textonotapie"/>
        <w:ind w:firstLine="709"/>
        <w:jc w:val="both"/>
        <w:rPr>
          <w:sz w:val="19"/>
          <w:szCs w:val="19"/>
          <w:lang w:val="es-CO"/>
        </w:rPr>
      </w:pPr>
      <w:r w:rsidRPr="00477961">
        <w:rPr>
          <w:rStyle w:val="Refdenotaalpie"/>
          <w:sz w:val="19"/>
          <w:szCs w:val="19"/>
        </w:rPr>
        <w:footnoteRef/>
      </w:r>
      <w:r w:rsidRPr="00477961">
        <w:rPr>
          <w:sz w:val="19"/>
          <w:szCs w:val="19"/>
        </w:rPr>
        <w:t xml:space="preserve"> </w:t>
      </w:r>
      <w:r w:rsidRPr="00E67DF9">
        <w:rPr>
          <w:sz w:val="19"/>
          <w:szCs w:val="19"/>
        </w:rPr>
        <w:t xml:space="preserve">CONSEJO DE ESTADO. Sala de lo Contencioso Administrativo. Sección Tercera – Subsección C. Sentencia del 2 de octubre del 2020. Rad. 63644. CP. Jaime Enrique Rodríguez Nava. </w:t>
      </w:r>
    </w:p>
  </w:footnote>
  <w:footnote w:id="5">
    <w:p w14:paraId="1055A8F5" w14:textId="5CD4F830" w:rsidR="000F4A3A" w:rsidRPr="00477961" w:rsidRDefault="000F4A3A" w:rsidP="00E67DF9">
      <w:pPr>
        <w:pStyle w:val="Textonotapie"/>
        <w:ind w:firstLine="709"/>
        <w:rPr>
          <w:sz w:val="19"/>
          <w:szCs w:val="19"/>
        </w:rPr>
      </w:pPr>
      <w:r w:rsidRPr="00477961">
        <w:rPr>
          <w:rStyle w:val="Refdenotaalpie"/>
          <w:sz w:val="19"/>
          <w:szCs w:val="19"/>
        </w:rPr>
        <w:footnoteRef/>
      </w:r>
      <w:r w:rsidRPr="00477961">
        <w:rPr>
          <w:sz w:val="19"/>
          <w:szCs w:val="19"/>
        </w:rPr>
        <w:t xml:space="preserve"> </w:t>
      </w:r>
      <w:r w:rsidRPr="00E67DF9">
        <w:rPr>
          <w:color w:val="000000" w:themeColor="text1"/>
          <w:sz w:val="19"/>
          <w:szCs w:val="19"/>
        </w:rPr>
        <w:t xml:space="preserve">CONSEJO DE ESTADO. Sección Tercera. Sentencia de 22 de junio de 2001. </w:t>
      </w:r>
      <w:proofErr w:type="spellStart"/>
      <w:r w:rsidRPr="00E67DF9">
        <w:rPr>
          <w:color w:val="000000" w:themeColor="text1"/>
          <w:sz w:val="19"/>
          <w:szCs w:val="19"/>
        </w:rPr>
        <w:t>Exp</w:t>
      </w:r>
      <w:proofErr w:type="spellEnd"/>
      <w:r w:rsidRPr="00E67DF9">
        <w:rPr>
          <w:color w:val="000000" w:themeColor="text1"/>
          <w:sz w:val="19"/>
          <w:szCs w:val="19"/>
        </w:rPr>
        <w:t>. 13436, C.P. Ricardo Hoyos Duque</w:t>
      </w:r>
    </w:p>
  </w:footnote>
  <w:footnote w:id="6">
    <w:p w14:paraId="413F79BF" w14:textId="77777777" w:rsidR="000F4A3A" w:rsidRPr="00E67DF9" w:rsidRDefault="000F4A3A" w:rsidP="00E67DF9">
      <w:pPr>
        <w:pStyle w:val="Textonotapie"/>
        <w:ind w:firstLine="709"/>
        <w:jc w:val="both"/>
        <w:rPr>
          <w:sz w:val="19"/>
          <w:szCs w:val="19"/>
        </w:rPr>
      </w:pPr>
      <w:r w:rsidRPr="00477961">
        <w:rPr>
          <w:rStyle w:val="Refdenotaalpie"/>
          <w:sz w:val="19"/>
          <w:szCs w:val="19"/>
        </w:rPr>
        <w:footnoteRef/>
      </w:r>
      <w:r w:rsidRPr="00477961">
        <w:rPr>
          <w:sz w:val="19"/>
          <w:szCs w:val="19"/>
        </w:rPr>
        <w:t>«</w:t>
      </w:r>
      <w:r w:rsidRPr="00E67DF9">
        <w:rPr>
          <w:sz w:val="19"/>
          <w:szCs w:val="19"/>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477961">
        <w:rPr>
          <w:rFonts w:eastAsia="Calibri"/>
          <w:color w:val="000000" w:themeColor="text1"/>
          <w:sz w:val="19"/>
          <w:szCs w:val="19"/>
        </w:rPr>
        <w:t>» (</w:t>
      </w:r>
      <w:r w:rsidRPr="00E67DF9">
        <w:rPr>
          <w:sz w:val="19"/>
          <w:szCs w:val="19"/>
        </w:rPr>
        <w:t>EXPÓSITO VÉLEZ, Juan Carlos. Forma y contenido del contrato estatal.</w:t>
      </w:r>
      <w:r w:rsidRPr="00477961">
        <w:rPr>
          <w:sz w:val="19"/>
          <w:szCs w:val="19"/>
        </w:rPr>
        <w:t xml:space="preserve"> </w:t>
      </w:r>
      <w:r w:rsidRPr="00E67DF9">
        <w:rPr>
          <w:sz w:val="19"/>
          <w:szCs w:val="19"/>
        </w:rPr>
        <w:t xml:space="preserve">Bogotá: Universidad Externado de Colombia, 2013, p. 165-166). De igual manera, se ha expuesto que </w:t>
      </w:r>
      <w:r w:rsidRPr="00477961">
        <w:rPr>
          <w:sz w:val="19"/>
          <w:szCs w:val="19"/>
        </w:rPr>
        <w:t>«</w:t>
      </w:r>
      <w:r w:rsidRPr="00E67DF9">
        <w:rPr>
          <w:sz w:val="19"/>
          <w:szCs w:val="19"/>
        </w:rPr>
        <w:t>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477961">
        <w:rPr>
          <w:rFonts w:eastAsia="Calibri"/>
          <w:color w:val="000000" w:themeColor="text1"/>
          <w:sz w:val="19"/>
          <w:szCs w:val="19"/>
        </w:rPr>
        <w:t>»</w:t>
      </w:r>
      <w:r w:rsidRPr="00E67DF9">
        <w:rPr>
          <w:sz w:val="19"/>
          <w:szCs w:val="19"/>
        </w:rPr>
        <w:t xml:space="preserve"> (MATALLANA CAMACHO, Ernesto. Manual de Contratación de la Administración Pública. Reforma de la Ley 80 de 1993. Bogotá: Universidad Externado de Colombia, 4 ed., 2015, p. 921 y </w:t>
      </w:r>
      <w:proofErr w:type="spellStart"/>
      <w:r w:rsidRPr="00E67DF9">
        <w:rPr>
          <w:sz w:val="19"/>
          <w:szCs w:val="19"/>
        </w:rPr>
        <w:t>ss</w:t>
      </w:r>
      <w:proofErr w:type="spellEnd"/>
      <w:r w:rsidRPr="00E67DF9">
        <w:rPr>
          <w:sz w:val="19"/>
          <w:szCs w:val="19"/>
        </w:rPr>
        <w:t>).</w:t>
      </w:r>
    </w:p>
  </w:footnote>
  <w:footnote w:id="7">
    <w:p w14:paraId="3B2E7DD0" w14:textId="77777777" w:rsidR="000F4A3A" w:rsidRPr="00E67DF9" w:rsidRDefault="000F4A3A" w:rsidP="00477961">
      <w:pPr>
        <w:spacing w:line="240" w:lineRule="auto"/>
        <w:ind w:firstLine="709"/>
        <w:rPr>
          <w:sz w:val="19"/>
          <w:szCs w:val="19"/>
        </w:rPr>
      </w:pPr>
      <w:r w:rsidRPr="00E67DF9">
        <w:rPr>
          <w:rStyle w:val="Refdenotaalpie"/>
          <w:sz w:val="19"/>
          <w:szCs w:val="19"/>
        </w:rPr>
        <w:footnoteRef/>
      </w:r>
      <w:r w:rsidRPr="00E67DF9">
        <w:rPr>
          <w:sz w:val="19"/>
          <w:szCs w:val="19"/>
        </w:rPr>
        <w:t xml:space="preserve"> Consejo de Estado. Sala Plena de lo Contencioso Administrativo. Sentencia del 8 de agosto de 2001. </w:t>
      </w:r>
      <w:proofErr w:type="spellStart"/>
      <w:r w:rsidRPr="00E67DF9">
        <w:rPr>
          <w:sz w:val="19"/>
          <w:szCs w:val="19"/>
        </w:rPr>
        <w:t>Exp</w:t>
      </w:r>
      <w:proofErr w:type="spellEnd"/>
      <w:r w:rsidRPr="00E67DF9">
        <w:rPr>
          <w:sz w:val="19"/>
          <w:szCs w:val="19"/>
        </w:rPr>
        <w:t>. AC-10966 - AC-11274. Consejero Ponente: Reinaldo Chavarro Buriticá.</w:t>
      </w:r>
    </w:p>
    <w:p w14:paraId="019D5DD9" w14:textId="77777777" w:rsidR="000F4A3A" w:rsidRPr="00E67DF9" w:rsidRDefault="000F4A3A" w:rsidP="00477961">
      <w:pPr>
        <w:spacing w:line="240" w:lineRule="auto"/>
        <w:ind w:firstLine="709"/>
        <w:rPr>
          <w:sz w:val="19"/>
          <w:szCs w:val="19"/>
          <w:lang w:val="es-CO"/>
        </w:rPr>
      </w:pPr>
    </w:p>
  </w:footnote>
  <w:footnote w:id="8">
    <w:p w14:paraId="0D25F3AD" w14:textId="77777777" w:rsidR="000F4A3A" w:rsidRPr="00E67DF9" w:rsidRDefault="000F4A3A" w:rsidP="00E67DF9">
      <w:pPr>
        <w:pStyle w:val="Sinespaciado"/>
        <w:ind w:firstLine="708"/>
        <w:jc w:val="both"/>
        <w:rPr>
          <w:rFonts w:ascii="Arial" w:hAnsi="Arial" w:cs="Arial"/>
          <w:sz w:val="19"/>
          <w:szCs w:val="19"/>
        </w:rPr>
      </w:pPr>
      <w:r w:rsidRPr="00E67DF9">
        <w:rPr>
          <w:rStyle w:val="Refdenotaalpie"/>
          <w:rFonts w:ascii="Arial" w:hAnsi="Arial" w:cs="Arial"/>
          <w:sz w:val="19"/>
          <w:szCs w:val="19"/>
        </w:rPr>
        <w:footnoteRef/>
      </w:r>
      <w:r w:rsidRPr="00477961">
        <w:rPr>
          <w:sz w:val="19"/>
          <w:szCs w:val="19"/>
        </w:rPr>
        <w:t xml:space="preserve"> </w:t>
      </w:r>
      <w:r w:rsidRPr="00E67DF9">
        <w:rPr>
          <w:rFonts w:ascii="Arial" w:hAnsi="Arial" w:cs="Arial"/>
          <w:sz w:val="19"/>
          <w:szCs w:val="19"/>
        </w:rPr>
        <w:t>ARTÍCULO 2.2.1.2.3.1.7. Garantía de cumplimiento. La garantía de cumplimiento del contrato debe cubrir:</w:t>
      </w:r>
    </w:p>
    <w:p w14:paraId="0401DCEA"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1. Buen manejo y correcta inversión del anticipo. Este amparo cubre los perjuicios sufridos por la Entidad Estatal con ocasión de: (i) la no inversión del anticipo; (</w:t>
      </w:r>
      <w:proofErr w:type="spellStart"/>
      <w:r w:rsidRPr="00E67DF9">
        <w:rPr>
          <w:rFonts w:ascii="Arial" w:hAnsi="Arial" w:cs="Arial"/>
          <w:sz w:val="19"/>
          <w:szCs w:val="19"/>
        </w:rPr>
        <w:t>ii</w:t>
      </w:r>
      <w:proofErr w:type="spellEnd"/>
      <w:r w:rsidRPr="00E67DF9">
        <w:rPr>
          <w:rFonts w:ascii="Arial" w:hAnsi="Arial" w:cs="Arial"/>
          <w:sz w:val="19"/>
          <w:szCs w:val="19"/>
        </w:rPr>
        <w:t>) el uso indebido del anticipo; y (</w:t>
      </w:r>
      <w:proofErr w:type="spellStart"/>
      <w:r w:rsidRPr="00E67DF9">
        <w:rPr>
          <w:rFonts w:ascii="Arial" w:hAnsi="Arial" w:cs="Arial"/>
          <w:sz w:val="19"/>
          <w:szCs w:val="19"/>
        </w:rPr>
        <w:t>iii</w:t>
      </w:r>
      <w:proofErr w:type="spellEnd"/>
      <w:r w:rsidRPr="00E67DF9">
        <w:rPr>
          <w:rFonts w:ascii="Arial" w:hAnsi="Arial" w:cs="Arial"/>
          <w:sz w:val="19"/>
          <w:szCs w:val="19"/>
        </w:rPr>
        <w:t>) la apropiación indebida de los recursos recibidos en calidad de anticipo.</w:t>
      </w:r>
    </w:p>
    <w:p w14:paraId="5684AA4D"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3A863164"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3. Cumplimiento del contrato. Este amparo cubre a la Entidad Estatal de los perjuicios derivados de:</w:t>
      </w:r>
    </w:p>
    <w:p w14:paraId="49218A37"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3.1. El incumplimiento total o parcial del contrato, cuando el incumplimiento es imputable al contratista;</w:t>
      </w:r>
    </w:p>
    <w:p w14:paraId="26C0455C"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3.2. El cumplimiento tardío o defectuoso del contrato, cuando el incumplimiento es imputable al contratista;</w:t>
      </w:r>
    </w:p>
    <w:p w14:paraId="3931AB0C"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3.3. Los daños imputables al contratista por entregas parciales de la obra, cuando el contrato no prevé entregas parciales; y</w:t>
      </w:r>
    </w:p>
    <w:p w14:paraId="417BAFEB"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3.4. El pago del valor de las multas y de la cláusula penal pecuniaria.</w:t>
      </w:r>
    </w:p>
    <w:p w14:paraId="4118ABEE"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6A888FF7"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La Entidad Estatal no debe exigir una garantía para cubrir este Riesgo en los contratos que se ejecuten fuera del territorio nacional con personal contratado bajo un régimen jurídico distinto al colombiano.</w:t>
      </w:r>
    </w:p>
    <w:p w14:paraId="1407F403"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5. Estabilidad y calidad de la obra. Este amparo cubre a la Entidad Estatal de los perjuicios ocasionados por cualquier tipo de daño o deterioro, imputable al contratista, sufrido por la obra entregada a satisfacción.</w:t>
      </w:r>
    </w:p>
    <w:p w14:paraId="1028E58B"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6. Calidad del servicio. Este amparo cubre a la Entidad Estatal por los perjuicios derivados de la deficiente calidad del servicio prestado.</w:t>
      </w:r>
    </w:p>
    <w:p w14:paraId="0BFABFCB" w14:textId="77777777" w:rsidR="000F4A3A" w:rsidRPr="00E67DF9" w:rsidRDefault="000F4A3A" w:rsidP="00E67DF9">
      <w:pPr>
        <w:pStyle w:val="Sinespaciado"/>
        <w:ind w:firstLine="708"/>
        <w:jc w:val="both"/>
        <w:rPr>
          <w:rFonts w:ascii="Arial" w:hAnsi="Arial" w:cs="Arial"/>
          <w:sz w:val="19"/>
          <w:szCs w:val="19"/>
        </w:rPr>
      </w:pPr>
      <w:r w:rsidRPr="00E67DF9">
        <w:rPr>
          <w:rFonts w:ascii="Arial" w:eastAsia="Calibri" w:hAnsi="Arial" w:cs="Arial"/>
          <w:sz w:val="19"/>
          <w:szCs w:val="19"/>
          <w:lang w:val="es-ES"/>
        </w:rPr>
        <w:t>«</w:t>
      </w:r>
      <w:r w:rsidRPr="00E67DF9">
        <w:rPr>
          <w:rFonts w:ascii="Arial" w:hAnsi="Arial" w:cs="Arial"/>
          <w:sz w:val="19"/>
          <w:szCs w:val="19"/>
        </w:rPr>
        <w:t>7. Calidad y correcto funcionamiento de los bienes. Este amparo debe cubrir la calidad y el correcto funcionamiento de los bienes que recibe la Entidad Estatal en cumplimiento de un contrato.</w:t>
      </w:r>
    </w:p>
    <w:p w14:paraId="2D9C8E5D" w14:textId="77777777" w:rsidR="000F4A3A" w:rsidRPr="00E67DF9" w:rsidRDefault="000F4A3A" w:rsidP="00E67DF9">
      <w:pPr>
        <w:pStyle w:val="Sinespaciado"/>
        <w:ind w:firstLine="708"/>
        <w:jc w:val="both"/>
        <w:rPr>
          <w:rFonts w:ascii="Arial" w:hAnsi="Arial" w:cs="Arial"/>
          <w:sz w:val="19"/>
          <w:szCs w:val="19"/>
          <w:lang w:val="es-CO"/>
        </w:rPr>
      </w:pPr>
      <w:r w:rsidRPr="00E67DF9">
        <w:rPr>
          <w:rFonts w:ascii="Arial" w:eastAsia="Calibri" w:hAnsi="Arial" w:cs="Arial"/>
          <w:sz w:val="19"/>
          <w:szCs w:val="19"/>
          <w:lang w:val="es-ES"/>
        </w:rPr>
        <w:t>«</w:t>
      </w:r>
      <w:r w:rsidRPr="00E67DF9">
        <w:rPr>
          <w:rFonts w:ascii="Arial" w:hAnsi="Arial" w:cs="Arial"/>
          <w:sz w:val="19"/>
          <w:szCs w:val="19"/>
        </w:rPr>
        <w:t>8. Los demás incumplimientos de obligaciones que la Entidad Estatal considere deben ser amparados de manera proporcional y acorde a la naturaleza del contrato.</w:t>
      </w:r>
    </w:p>
  </w:footnote>
  <w:footnote w:id="9">
    <w:p w14:paraId="6A0E416D" w14:textId="77777777" w:rsidR="000F4A3A" w:rsidRPr="00E67DF9" w:rsidRDefault="000F4A3A" w:rsidP="00E67DF9">
      <w:pPr>
        <w:pStyle w:val="NormalWeb"/>
        <w:shd w:val="clear" w:color="auto" w:fill="FFFFFF"/>
        <w:ind w:firstLine="709"/>
        <w:jc w:val="both"/>
        <w:rPr>
          <w:rFonts w:ascii="Arial" w:hAnsi="Arial" w:cs="Arial"/>
          <w:sz w:val="19"/>
          <w:szCs w:val="19"/>
        </w:rPr>
      </w:pPr>
      <w:r w:rsidRPr="00477961">
        <w:rPr>
          <w:rStyle w:val="Refdenotaalpie"/>
          <w:sz w:val="19"/>
          <w:szCs w:val="19"/>
        </w:rPr>
        <w:footnoteRef/>
      </w:r>
      <w:r w:rsidRPr="00E67DF9">
        <w:rPr>
          <w:rFonts w:ascii="Arial" w:eastAsia="Calibri" w:hAnsi="Arial" w:cs="Arial"/>
          <w:sz w:val="19"/>
          <w:szCs w:val="19"/>
        </w:rPr>
        <w:t>«</w:t>
      </w:r>
      <w:r w:rsidRPr="00E67DF9">
        <w:rPr>
          <w:rFonts w:ascii="Arial" w:hAnsi="Arial" w:cs="Arial"/>
          <w:sz w:val="19"/>
          <w:szCs w:val="19"/>
        </w:rPr>
        <w:t>Artículo 2.2.1.1.2.4.1.</w:t>
      </w:r>
      <w:r w:rsidRPr="00E67DF9">
        <w:rPr>
          <w:rFonts w:ascii="Arial" w:hAnsi="Arial" w:cs="Arial"/>
          <w:i/>
          <w:iCs/>
          <w:sz w:val="19"/>
          <w:szCs w:val="19"/>
        </w:rPr>
        <w:t> </w:t>
      </w:r>
      <w:r w:rsidRPr="00E67DF9">
        <w:rPr>
          <w:rFonts w:ascii="Arial" w:hAnsi="Arial" w:cs="Arial"/>
          <w:sz w:val="19"/>
          <w:szCs w:val="19"/>
        </w:rPr>
        <w:t>Patrimonio autónomo para el manejo de anticipos.</w:t>
      </w:r>
      <w:r w:rsidRPr="00E67DF9">
        <w:rPr>
          <w:rFonts w:ascii="Arial" w:hAnsi="Arial" w:cs="Arial"/>
          <w:i/>
          <w:iCs/>
          <w:sz w:val="19"/>
          <w:szCs w:val="19"/>
        </w:rPr>
        <w:t> </w:t>
      </w:r>
      <w:r w:rsidRPr="00E67DF9">
        <w:rPr>
          <w:rFonts w:ascii="Arial" w:hAnsi="Arial" w:cs="Arial"/>
          <w:sz w:val="19"/>
          <w:szCs w:val="19"/>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3FF0E2EA" w14:textId="77777777" w:rsidR="000F4A3A" w:rsidRPr="00E67DF9" w:rsidRDefault="000F4A3A" w:rsidP="00E67DF9">
      <w:pPr>
        <w:pStyle w:val="NormalWeb"/>
        <w:shd w:val="clear" w:color="auto" w:fill="FFFFFF"/>
        <w:ind w:firstLine="709"/>
        <w:jc w:val="both"/>
        <w:rPr>
          <w:rFonts w:ascii="Arial" w:hAnsi="Arial" w:cs="Arial"/>
          <w:sz w:val="19"/>
          <w:szCs w:val="19"/>
        </w:rPr>
      </w:pPr>
      <w:r w:rsidRPr="00E67DF9">
        <w:rPr>
          <w:rFonts w:ascii="Arial" w:eastAsia="Calibri" w:hAnsi="Arial" w:cs="Arial"/>
          <w:sz w:val="19"/>
          <w:szCs w:val="19"/>
        </w:rPr>
        <w:t>«</w:t>
      </w:r>
      <w:r w:rsidRPr="00E67DF9">
        <w:rPr>
          <w:rFonts w:ascii="Arial" w:hAnsi="Arial" w:cs="Arial"/>
          <w:sz w:val="19"/>
          <w:szCs w:val="19"/>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173E0F90" w14:textId="77777777" w:rsidR="000F4A3A" w:rsidRPr="00E67DF9" w:rsidRDefault="000F4A3A" w:rsidP="00E67DF9">
      <w:pPr>
        <w:pStyle w:val="NormalWeb"/>
        <w:shd w:val="clear" w:color="auto" w:fill="FFFFFF"/>
        <w:ind w:firstLine="709"/>
        <w:jc w:val="both"/>
        <w:rPr>
          <w:rFonts w:ascii="Arial" w:hAnsi="Arial" w:cs="Arial"/>
          <w:sz w:val="19"/>
          <w:szCs w:val="19"/>
        </w:rPr>
      </w:pPr>
      <w:r w:rsidRPr="00E67DF9">
        <w:rPr>
          <w:rFonts w:ascii="Arial" w:eastAsia="Calibri" w:hAnsi="Arial" w:cs="Arial"/>
          <w:sz w:val="19"/>
          <w:szCs w:val="19"/>
        </w:rPr>
        <w:t>«</w:t>
      </w:r>
      <w:r w:rsidRPr="00E67DF9">
        <w:rPr>
          <w:rFonts w:ascii="Arial" w:hAnsi="Arial" w:cs="Arial"/>
          <w:sz w:val="19"/>
          <w:szCs w:val="19"/>
        </w:rPr>
        <w:t>En los pliegos de condiciones, la Entidad Estatal debe establecer los términos y condiciones de la administración del anticipo a través del patrimonio autónomo.</w:t>
      </w:r>
    </w:p>
    <w:p w14:paraId="42E7D803" w14:textId="77777777" w:rsidR="000F4A3A" w:rsidRPr="00E67DF9" w:rsidRDefault="000F4A3A" w:rsidP="00E67DF9">
      <w:pPr>
        <w:pStyle w:val="NormalWeb"/>
        <w:shd w:val="clear" w:color="auto" w:fill="FFFFFF"/>
        <w:ind w:firstLine="709"/>
        <w:jc w:val="both"/>
        <w:rPr>
          <w:rFonts w:ascii="Arial" w:eastAsia="Calibri" w:hAnsi="Arial" w:cs="Arial"/>
          <w:sz w:val="19"/>
          <w:szCs w:val="19"/>
        </w:rPr>
      </w:pPr>
      <w:r w:rsidRPr="00E67DF9">
        <w:rPr>
          <w:rFonts w:ascii="Arial" w:eastAsia="Calibri" w:hAnsi="Arial" w:cs="Arial"/>
          <w:sz w:val="19"/>
          <w:szCs w:val="19"/>
        </w:rPr>
        <w:t>«</w:t>
      </w:r>
      <w:r w:rsidRPr="00E67DF9">
        <w:rPr>
          <w:rFonts w:ascii="Arial" w:hAnsi="Arial" w:cs="Arial"/>
          <w:sz w:val="19"/>
          <w:szCs w:val="19"/>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Pr="00E67DF9">
        <w:rPr>
          <w:rFonts w:ascii="Arial" w:eastAsia="Calibri" w:hAnsi="Arial" w:cs="Arial"/>
          <w:sz w:val="19"/>
          <w:szCs w:val="19"/>
        </w:rPr>
        <w:t>».</w:t>
      </w:r>
    </w:p>
    <w:p w14:paraId="5356B69E" w14:textId="77777777" w:rsidR="000F4A3A" w:rsidRPr="00E67DF9" w:rsidRDefault="000F4A3A" w:rsidP="00E67DF9">
      <w:pPr>
        <w:pStyle w:val="NormalWeb"/>
        <w:shd w:val="clear" w:color="auto" w:fill="FFFFFF"/>
        <w:ind w:firstLine="709"/>
        <w:jc w:val="both"/>
        <w:rPr>
          <w:rFonts w:ascii="Arial" w:hAnsi="Arial" w:cs="Arial"/>
          <w:sz w:val="19"/>
          <w:szCs w:val="19"/>
        </w:rPr>
      </w:pPr>
    </w:p>
  </w:footnote>
  <w:footnote w:id="10">
    <w:p w14:paraId="40A8A8D6" w14:textId="77777777" w:rsidR="000F4A3A" w:rsidRPr="00477961" w:rsidRDefault="000F4A3A" w:rsidP="00E67DF9">
      <w:pPr>
        <w:pStyle w:val="Textonotapie"/>
        <w:ind w:firstLine="709"/>
        <w:jc w:val="both"/>
        <w:rPr>
          <w:sz w:val="19"/>
          <w:szCs w:val="19"/>
        </w:rPr>
      </w:pPr>
      <w:r w:rsidRPr="00477961">
        <w:rPr>
          <w:rStyle w:val="Refdenotaalpie"/>
          <w:sz w:val="19"/>
          <w:szCs w:val="19"/>
        </w:rPr>
        <w:footnoteRef/>
      </w:r>
      <w:r w:rsidRPr="00477961">
        <w:rPr>
          <w:sz w:val="19"/>
          <w:szCs w:val="19"/>
        </w:rPr>
        <w:t xml:space="preserve"> </w:t>
      </w:r>
      <w:r w:rsidRPr="00E67DF9">
        <w:rPr>
          <w:sz w:val="19"/>
          <w:szCs w:val="19"/>
        </w:rPr>
        <w:t xml:space="preserve">Sobre el particular, se puede consultar la exposición de motivos de la Ley 1474 de 2011, Gaceta 607 del 2010, disponible en:  </w:t>
      </w:r>
      <w:hyperlink r:id="rId1" w:history="1">
        <w:r w:rsidRPr="00E67DF9">
          <w:rPr>
            <w:rStyle w:val="Hipervnculo"/>
            <w:sz w:val="19"/>
            <w:szCs w:val="19"/>
          </w:rPr>
          <w:t>http://svrpubindc.imprenta.gov.co/senado/index.xhtml;jsessionid=b3ba7213a248bacd37376ffcedca</w:t>
        </w:r>
      </w:hyperlink>
      <w:r w:rsidRPr="00E67DF9">
        <w:rPr>
          <w:sz w:val="19"/>
          <w:szCs w:val="19"/>
        </w:rPr>
        <w:t xml:space="preserve"> </w:t>
      </w:r>
    </w:p>
  </w:footnote>
  <w:footnote w:id="11">
    <w:p w14:paraId="2161E0A0" w14:textId="77777777" w:rsidR="000F4A3A" w:rsidRPr="00E67DF9" w:rsidRDefault="000F4A3A" w:rsidP="00E67DF9">
      <w:pPr>
        <w:pStyle w:val="Sinespaciado"/>
        <w:ind w:firstLine="708"/>
        <w:jc w:val="both"/>
        <w:rPr>
          <w:rFonts w:ascii="Arial" w:hAnsi="Arial" w:cs="Arial"/>
          <w:sz w:val="19"/>
          <w:szCs w:val="19"/>
          <w:lang w:val="es-ES"/>
        </w:rPr>
      </w:pPr>
      <w:r w:rsidRPr="00E67DF9">
        <w:rPr>
          <w:rStyle w:val="Refdenotaalpie"/>
          <w:rFonts w:ascii="Arial" w:hAnsi="Arial" w:cs="Arial"/>
          <w:sz w:val="19"/>
          <w:szCs w:val="19"/>
        </w:rPr>
        <w:footnoteRef/>
      </w:r>
      <w:r w:rsidRPr="00E67DF9">
        <w:rPr>
          <w:rFonts w:ascii="Arial" w:hAnsi="Arial" w:cs="Arial"/>
          <w:sz w:val="19"/>
          <w:szCs w:val="19"/>
        </w:rPr>
        <w:t xml:space="preserve"> </w:t>
      </w:r>
      <w:r w:rsidRPr="00E67DF9">
        <w:rPr>
          <w:rFonts w:ascii="Arial" w:hAnsi="Arial" w:cs="Arial"/>
          <w:sz w:val="19"/>
          <w:szCs w:val="19"/>
          <w:lang w:val="es-ES"/>
        </w:rPr>
        <w:t xml:space="preserve">La Guía para el manejo de anticipos mediante contrato de fiducia irrevocable puede ser consultada en: https://colombiacompra.gov.co/sites/cce_public/files/cce_documents/cce_guia_manejo_anticipos.pdf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E421B4"/>
    <w:multiLevelType w:val="hybridMultilevel"/>
    <w:tmpl w:val="59CA0510"/>
    <w:lvl w:ilvl="0" w:tplc="5400E04C">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AE016A"/>
    <w:multiLevelType w:val="multilevel"/>
    <w:tmpl w:val="96C69084"/>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725" w:hanging="425"/>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16cid:durableId="1232538717">
    <w:abstractNumId w:val="2"/>
  </w:num>
  <w:num w:numId="2" w16cid:durableId="278100749">
    <w:abstractNumId w:val="0"/>
  </w:num>
  <w:num w:numId="3" w16cid:durableId="1371952515">
    <w:abstractNumId w:val="1"/>
  </w:num>
  <w:num w:numId="4" w16cid:durableId="1624077397">
    <w:abstractNumId w:val="4"/>
  </w:num>
  <w:num w:numId="5" w16cid:durableId="446507595">
    <w:abstractNumId w:val="3"/>
  </w:num>
  <w:num w:numId="6" w16cid:durableId="542911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B63"/>
    <w:rsid w:val="00083334"/>
    <w:rsid w:val="000956CF"/>
    <w:rsid w:val="000A683E"/>
    <w:rsid w:val="000B492F"/>
    <w:rsid w:val="000C291E"/>
    <w:rsid w:val="000D1127"/>
    <w:rsid w:val="000F4A3A"/>
    <w:rsid w:val="000F4BDD"/>
    <w:rsid w:val="0011595A"/>
    <w:rsid w:val="001220C5"/>
    <w:rsid w:val="001267F7"/>
    <w:rsid w:val="00127233"/>
    <w:rsid w:val="00130999"/>
    <w:rsid w:val="0016269C"/>
    <w:rsid w:val="00164D81"/>
    <w:rsid w:val="00175EB9"/>
    <w:rsid w:val="00180DA2"/>
    <w:rsid w:val="001964D2"/>
    <w:rsid w:val="001A1011"/>
    <w:rsid w:val="001A48D0"/>
    <w:rsid w:val="001B0E9B"/>
    <w:rsid w:val="001E7C83"/>
    <w:rsid w:val="00222BDC"/>
    <w:rsid w:val="00226E86"/>
    <w:rsid w:val="00257F4F"/>
    <w:rsid w:val="002653C1"/>
    <w:rsid w:val="0026611D"/>
    <w:rsid w:val="00267E2B"/>
    <w:rsid w:val="00273083"/>
    <w:rsid w:val="00281D61"/>
    <w:rsid w:val="00293F16"/>
    <w:rsid w:val="002951A0"/>
    <w:rsid w:val="002A64FD"/>
    <w:rsid w:val="002A6D38"/>
    <w:rsid w:val="002B5C17"/>
    <w:rsid w:val="002B7D4A"/>
    <w:rsid w:val="002C4F7C"/>
    <w:rsid w:val="002F0839"/>
    <w:rsid w:val="002F4A98"/>
    <w:rsid w:val="00301469"/>
    <w:rsid w:val="00306EE1"/>
    <w:rsid w:val="00310B9B"/>
    <w:rsid w:val="00344F89"/>
    <w:rsid w:val="0036461C"/>
    <w:rsid w:val="00367884"/>
    <w:rsid w:val="00385856"/>
    <w:rsid w:val="0039439C"/>
    <w:rsid w:val="0039546A"/>
    <w:rsid w:val="003A34DF"/>
    <w:rsid w:val="003B69E7"/>
    <w:rsid w:val="003C013B"/>
    <w:rsid w:val="003D0F4D"/>
    <w:rsid w:val="003D47BD"/>
    <w:rsid w:val="003E5184"/>
    <w:rsid w:val="003F58A1"/>
    <w:rsid w:val="00404C2C"/>
    <w:rsid w:val="00410DD6"/>
    <w:rsid w:val="004134C9"/>
    <w:rsid w:val="00416B75"/>
    <w:rsid w:val="0043138C"/>
    <w:rsid w:val="00443A20"/>
    <w:rsid w:val="004474D0"/>
    <w:rsid w:val="00450703"/>
    <w:rsid w:val="00454B9C"/>
    <w:rsid w:val="00462A59"/>
    <w:rsid w:val="00477961"/>
    <w:rsid w:val="004816D5"/>
    <w:rsid w:val="00494493"/>
    <w:rsid w:val="004A0FD0"/>
    <w:rsid w:val="004A1847"/>
    <w:rsid w:val="004A5028"/>
    <w:rsid w:val="004B6B0E"/>
    <w:rsid w:val="004D25B3"/>
    <w:rsid w:val="004D4142"/>
    <w:rsid w:val="004E0A06"/>
    <w:rsid w:val="004E5CF6"/>
    <w:rsid w:val="00507A25"/>
    <w:rsid w:val="00511405"/>
    <w:rsid w:val="00526E9D"/>
    <w:rsid w:val="005401A6"/>
    <w:rsid w:val="00547856"/>
    <w:rsid w:val="00547A74"/>
    <w:rsid w:val="00554F8C"/>
    <w:rsid w:val="005566E8"/>
    <w:rsid w:val="005641DE"/>
    <w:rsid w:val="005746AB"/>
    <w:rsid w:val="005875C6"/>
    <w:rsid w:val="0059357F"/>
    <w:rsid w:val="005A1130"/>
    <w:rsid w:val="005B0C98"/>
    <w:rsid w:val="005D0305"/>
    <w:rsid w:val="005D65C8"/>
    <w:rsid w:val="006011E9"/>
    <w:rsid w:val="00607DDE"/>
    <w:rsid w:val="006219F8"/>
    <w:rsid w:val="00640AA2"/>
    <w:rsid w:val="006709C4"/>
    <w:rsid w:val="00681FDB"/>
    <w:rsid w:val="006A0B04"/>
    <w:rsid w:val="006A2BE4"/>
    <w:rsid w:val="006A51F9"/>
    <w:rsid w:val="006A7DAD"/>
    <w:rsid w:val="006D70BA"/>
    <w:rsid w:val="006F3884"/>
    <w:rsid w:val="007004DE"/>
    <w:rsid w:val="007566FE"/>
    <w:rsid w:val="0076726F"/>
    <w:rsid w:val="0077144B"/>
    <w:rsid w:val="007778FE"/>
    <w:rsid w:val="00777D2C"/>
    <w:rsid w:val="0079049F"/>
    <w:rsid w:val="00793403"/>
    <w:rsid w:val="007C0CDF"/>
    <w:rsid w:val="007D46CB"/>
    <w:rsid w:val="007E2A2F"/>
    <w:rsid w:val="007F2B7C"/>
    <w:rsid w:val="007F657F"/>
    <w:rsid w:val="00811651"/>
    <w:rsid w:val="00811DE3"/>
    <w:rsid w:val="00820F5B"/>
    <w:rsid w:val="0082263E"/>
    <w:rsid w:val="00833452"/>
    <w:rsid w:val="008614E5"/>
    <w:rsid w:val="008678EB"/>
    <w:rsid w:val="00871A09"/>
    <w:rsid w:val="00875894"/>
    <w:rsid w:val="00881C10"/>
    <w:rsid w:val="00890411"/>
    <w:rsid w:val="008973EE"/>
    <w:rsid w:val="008C55C1"/>
    <w:rsid w:val="008D5C70"/>
    <w:rsid w:val="008D6B13"/>
    <w:rsid w:val="009025AF"/>
    <w:rsid w:val="00904F23"/>
    <w:rsid w:val="009065A5"/>
    <w:rsid w:val="00906B3C"/>
    <w:rsid w:val="00921D2D"/>
    <w:rsid w:val="0095342C"/>
    <w:rsid w:val="0098628D"/>
    <w:rsid w:val="009A1D59"/>
    <w:rsid w:val="009A22EF"/>
    <w:rsid w:val="009A5C21"/>
    <w:rsid w:val="009C0D2B"/>
    <w:rsid w:val="009C0ED2"/>
    <w:rsid w:val="009F33F2"/>
    <w:rsid w:val="009F6C77"/>
    <w:rsid w:val="00A05209"/>
    <w:rsid w:val="00A07532"/>
    <w:rsid w:val="00A1085C"/>
    <w:rsid w:val="00A15AED"/>
    <w:rsid w:val="00A175CD"/>
    <w:rsid w:val="00A309E2"/>
    <w:rsid w:val="00A31550"/>
    <w:rsid w:val="00A8066E"/>
    <w:rsid w:val="00A87D25"/>
    <w:rsid w:val="00AA0362"/>
    <w:rsid w:val="00AA4B8A"/>
    <w:rsid w:val="00AA6BF7"/>
    <w:rsid w:val="00B01ED6"/>
    <w:rsid w:val="00B06D09"/>
    <w:rsid w:val="00B10E34"/>
    <w:rsid w:val="00B1278B"/>
    <w:rsid w:val="00B21901"/>
    <w:rsid w:val="00B267B9"/>
    <w:rsid w:val="00B44298"/>
    <w:rsid w:val="00B45120"/>
    <w:rsid w:val="00B511C6"/>
    <w:rsid w:val="00B730F0"/>
    <w:rsid w:val="00B771A9"/>
    <w:rsid w:val="00B809BB"/>
    <w:rsid w:val="00B8248A"/>
    <w:rsid w:val="00BB7726"/>
    <w:rsid w:val="00C13C38"/>
    <w:rsid w:val="00C14759"/>
    <w:rsid w:val="00C211FF"/>
    <w:rsid w:val="00C2329E"/>
    <w:rsid w:val="00C30461"/>
    <w:rsid w:val="00C754BE"/>
    <w:rsid w:val="00C87572"/>
    <w:rsid w:val="00C9405D"/>
    <w:rsid w:val="00CC1B26"/>
    <w:rsid w:val="00CC5761"/>
    <w:rsid w:val="00CD284F"/>
    <w:rsid w:val="00CF23AA"/>
    <w:rsid w:val="00D01921"/>
    <w:rsid w:val="00D33CC1"/>
    <w:rsid w:val="00D44BF2"/>
    <w:rsid w:val="00D66E64"/>
    <w:rsid w:val="00D752B7"/>
    <w:rsid w:val="00DA1854"/>
    <w:rsid w:val="00DB0887"/>
    <w:rsid w:val="00DD52F3"/>
    <w:rsid w:val="00DF1E43"/>
    <w:rsid w:val="00DF7862"/>
    <w:rsid w:val="00E20894"/>
    <w:rsid w:val="00E264E0"/>
    <w:rsid w:val="00E26B7C"/>
    <w:rsid w:val="00E55343"/>
    <w:rsid w:val="00E67DF9"/>
    <w:rsid w:val="00EA3003"/>
    <w:rsid w:val="00EB3C91"/>
    <w:rsid w:val="00EB66DA"/>
    <w:rsid w:val="00EB7199"/>
    <w:rsid w:val="00F5288D"/>
    <w:rsid w:val="00F605F2"/>
    <w:rsid w:val="00F76AFC"/>
    <w:rsid w:val="00F8319B"/>
    <w:rsid w:val="00F97B56"/>
    <w:rsid w:val="00FA5516"/>
    <w:rsid w:val="00FB700F"/>
    <w:rsid w:val="00FC0EC3"/>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DE"/>
    <w:pPr>
      <w:spacing w:after="200" w:line="276" w:lineRule="auto"/>
      <w:jc w:val="both"/>
    </w:pPr>
    <w:rPr>
      <w:rFonts w:ascii="Calibri" w:eastAsia="Calibri" w:hAnsi="Calibri" w:cs="Calibri"/>
      <w:sz w:val="24"/>
      <w:szCs w:val="24"/>
      <w:lang w:val="es-MX" w:eastAsia="es-ES_tradnl"/>
    </w:rPr>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jc w:val="left"/>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jc w:val="left"/>
    </w:pPr>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spacing w:after="160" w:line="259" w:lineRule="auto"/>
      <w:ind w:left="720"/>
      <w:contextualSpacing/>
      <w:jc w:val="left"/>
    </w:pPr>
    <w:rPr>
      <w:rFonts w:ascii="Geomanist Light" w:eastAsiaTheme="minorHAnsi" w:hAnsi="Geomanist Light" w:cstheme="minorBidi"/>
      <w:sz w:val="22"/>
      <w:szCs w:val="22"/>
      <w:lang w:val="es-ES" w:eastAsia="en-US"/>
    </w:rPr>
  </w:style>
  <w:style w:type="paragraph" w:styleId="Ttulo">
    <w:name w:val="Title"/>
    <w:basedOn w:val="Normal"/>
    <w:next w:val="Normal"/>
    <w:link w:val="TtuloCar"/>
    <w:uiPriority w:val="10"/>
    <w:qFormat/>
    <w:rsid w:val="005566E8"/>
    <w:pPr>
      <w:spacing w:after="0" w:line="240" w:lineRule="auto"/>
      <w:contextualSpacing/>
      <w:jc w:val="left"/>
    </w:pPr>
    <w:rPr>
      <w:rFonts w:ascii="Geomanist" w:eastAsiaTheme="majorEastAsia" w:hAnsi="Geomanist" w:cstheme="majorBidi"/>
      <w:spacing w:val="-10"/>
      <w:kern w:val="28"/>
      <w:sz w:val="22"/>
      <w:szCs w:val="56"/>
      <w:lang w:val="es-ES"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after="160" w:line="240" w:lineRule="auto"/>
      <w:jc w:val="left"/>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rsid w:val="003D47BD"/>
    <w:pPr>
      <w:spacing w:after="160" w:line="240" w:lineRule="exact"/>
    </w:pPr>
    <w:rPr>
      <w:rFonts w:asciiTheme="minorHAnsi" w:eastAsiaTheme="minorHAnsi" w:hAnsiTheme="minorHAnsi" w:cstheme="minorBidi"/>
      <w:sz w:val="22"/>
      <w:szCs w:val="22"/>
      <w:vertAlign w:val="superscript"/>
      <w:lang w:val="es-CO" w:eastAsia="en-US"/>
    </w:rPr>
  </w:style>
  <w:style w:type="table" w:customStyle="1" w:styleId="Tablaconcuadrcula11">
    <w:name w:val="Tabla con cuadrícula11"/>
    <w:basedOn w:val="Tablanormal"/>
    <w:next w:val="Tablaconcuadrcula"/>
    <w:uiPriority w:val="5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Textoindependiente">
    <w:name w:val="Body Text"/>
    <w:basedOn w:val="Normal"/>
    <w:link w:val="TextoindependienteCar"/>
    <w:uiPriority w:val="99"/>
    <w:semiHidden/>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TextoindependienteCar">
    <w:name w:val="Texto independiente Car"/>
    <w:basedOn w:val="Fuentedeprrafopredeter"/>
    <w:link w:val="Textoindependiente"/>
    <w:uiPriority w:val="99"/>
    <w:semiHidden/>
    <w:rsid w:val="005875C6"/>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NormalWebCar">
    <w:name w:val="Normal (Web) Car"/>
    <w:link w:val="NormalWeb"/>
    <w:uiPriority w:val="99"/>
    <w:rsid w:val="005875C6"/>
    <w:rPr>
      <w:rFonts w:ascii="Times New Roman" w:eastAsia="Times New Roman" w:hAnsi="Times New Roman" w:cs="Times New Roman"/>
      <w:sz w:val="24"/>
      <w:szCs w:val="24"/>
      <w:lang w:eastAsia="es-CO"/>
    </w:rPr>
  </w:style>
  <w:style w:type="paragraph" w:customStyle="1" w:styleId="Car1">
    <w:name w:val="Car1"/>
    <w:basedOn w:val="Normal"/>
    <w:next w:val="Textonotapie"/>
    <w:uiPriority w:val="99"/>
    <w:unhideWhenUsed/>
    <w:qFormat/>
    <w:rsid w:val="005875C6"/>
    <w:pPr>
      <w:spacing w:after="0" w:line="240" w:lineRule="auto"/>
      <w:jc w:val="left"/>
    </w:pPr>
    <w:rPr>
      <w:rFonts w:asciiTheme="minorHAnsi" w:eastAsiaTheme="minorHAnsi" w:hAnsiTheme="minorHAnsi" w:cstheme="minorBidi"/>
      <w:sz w:val="20"/>
      <w:szCs w:val="20"/>
      <w:lang w:eastAsia="en-US"/>
    </w:rPr>
  </w:style>
  <w:style w:type="character" w:styleId="Mencinsinresolver">
    <w:name w:val="Unresolved Mention"/>
    <w:basedOn w:val="Fuentedeprrafopredeter"/>
    <w:uiPriority w:val="99"/>
    <w:semiHidden/>
    <w:unhideWhenUsed/>
    <w:rsid w:val="00F97B56"/>
    <w:rPr>
      <w:color w:val="605E5C"/>
      <w:shd w:val="clear" w:color="auto" w:fill="E1DFDD"/>
    </w:rPr>
  </w:style>
  <w:style w:type="character" w:styleId="Hipervnculovisitado">
    <w:name w:val="FollowedHyperlink"/>
    <w:basedOn w:val="Fuentedeprrafopredeter"/>
    <w:uiPriority w:val="99"/>
    <w:semiHidden/>
    <w:unhideWhenUsed/>
    <w:rsid w:val="00554F8C"/>
    <w:rPr>
      <w:color w:val="954F72" w:themeColor="followedHyperlink"/>
      <w:u w:val="single"/>
    </w:rPr>
  </w:style>
  <w:style w:type="table" w:customStyle="1" w:styleId="2">
    <w:name w:val="2"/>
    <w:basedOn w:val="Tablanormal"/>
    <w:rsid w:val="007004DE"/>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styleId="Sinespaciado">
    <w:name w:val="No Spacing"/>
    <w:aliases w:val="No Indent"/>
    <w:link w:val="SinespaciadoCar"/>
    <w:uiPriority w:val="1"/>
    <w:qFormat/>
    <w:rsid w:val="004A5028"/>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5028"/>
    <w:rPr>
      <w:rFonts w:ascii="Geomanist Light" w:hAnsi="Geomanist Light"/>
      <w:lang w:val="es-ES"/>
    </w:rPr>
  </w:style>
  <w:style w:type="character" w:customStyle="1" w:styleId="SinespaciadoCar">
    <w:name w:val="Sin espaciado Car"/>
    <w:aliases w:val="No Indent Car"/>
    <w:link w:val="Sinespaciado"/>
    <w:uiPriority w:val="3"/>
    <w:rsid w:val="004A5028"/>
    <w:rPr>
      <w:sz w:val="24"/>
      <w:lang w:val="es-MX"/>
    </w:rPr>
  </w:style>
  <w:style w:type="paragraph" w:customStyle="1" w:styleId="paragraph">
    <w:name w:val="paragraph"/>
    <w:basedOn w:val="Normal"/>
    <w:rsid w:val="004A5028"/>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eop">
    <w:name w:val="eop"/>
    <w:basedOn w:val="Fuentedeprrafopredeter"/>
    <w:rsid w:val="004A5028"/>
  </w:style>
  <w:style w:type="character" w:customStyle="1" w:styleId="markedcontent">
    <w:name w:val="markedcontent"/>
    <w:basedOn w:val="Fuentedeprrafopredeter"/>
    <w:rsid w:val="00DF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63379">
      <w:bodyDiv w:val="1"/>
      <w:marLeft w:val="0"/>
      <w:marRight w:val="0"/>
      <w:marTop w:val="0"/>
      <w:marBottom w:val="0"/>
      <w:divBdr>
        <w:top w:val="none" w:sz="0" w:space="0" w:color="auto"/>
        <w:left w:val="none" w:sz="0" w:space="0" w:color="auto"/>
        <w:bottom w:val="none" w:sz="0" w:space="0" w:color="auto"/>
        <w:right w:val="none" w:sz="0" w:space="0" w:color="auto"/>
      </w:divBdr>
    </w:div>
    <w:div w:id="12554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marcelalopezvesg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9d85dbaf-23eb-4e57-a637-93dcacc8b1a1"/>
    <ds:schemaRef ds:uri="a6cb9e4b-f1d1-4245-83ec-6cad768d538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A27C0FDA-39CF-434E-A827-A3490EE5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4361</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28293</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4</cp:revision>
  <dcterms:created xsi:type="dcterms:W3CDTF">2023-03-02T14:24:00Z</dcterms:created>
  <dcterms:modified xsi:type="dcterms:W3CDTF">2023-03-02T14:32:00Z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