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487A" w14:textId="77777777" w:rsidR="000166C5" w:rsidRPr="00C842D4" w:rsidRDefault="000166C5" w:rsidP="000166C5">
      <w:pPr>
        <w:spacing w:after="0" w:line="276" w:lineRule="auto"/>
        <w:jc w:val="right"/>
        <w:rPr>
          <w:rFonts w:ascii="Arial" w:eastAsia="Times New Roman" w:hAnsi="Arial" w:cs="Arial"/>
          <w:sz w:val="16"/>
          <w:szCs w:val="16"/>
          <w:lang w:eastAsia="es-ES"/>
        </w:rPr>
      </w:pPr>
      <w:bookmarkStart w:id="0" w:name="_Hlk72942111"/>
      <w:r w:rsidRPr="00C842D4">
        <w:rPr>
          <w:rFonts w:ascii="Arial" w:eastAsia="Times New Roman" w:hAnsi="Arial" w:cs="Arial"/>
          <w:sz w:val="16"/>
          <w:szCs w:val="16"/>
          <w:lang w:eastAsia="es-ES"/>
        </w:rPr>
        <w:t>CCE-DES-FM-17</w:t>
      </w:r>
    </w:p>
    <w:p w14:paraId="4AD26AE7" w14:textId="77777777" w:rsidR="000166C5" w:rsidRPr="00E66E97" w:rsidRDefault="000166C5" w:rsidP="000166C5">
      <w:pPr>
        <w:spacing w:after="0" w:line="240" w:lineRule="auto"/>
        <w:jc w:val="both"/>
        <w:rPr>
          <w:rFonts w:ascii="Arial" w:eastAsia="Calibri" w:hAnsi="Arial" w:cs="Arial"/>
          <w:color w:val="000000" w:themeColor="text1"/>
          <w:lang w:val="es-ES_tradnl" w:eastAsia="es-ES_tradnl"/>
        </w:rPr>
      </w:pPr>
      <w:r w:rsidRPr="00E66E97">
        <w:rPr>
          <w:rFonts w:ascii="Arial" w:eastAsia="Calibri" w:hAnsi="Arial" w:cs="Arial"/>
          <w:b/>
          <w:color w:val="000000" w:themeColor="text1"/>
          <w:lang w:val="es-ES_tradnl" w:eastAsia="es-ES_tradnl"/>
        </w:rPr>
        <w:t>REQUISITOS HABILITANTES – Contenido</w:t>
      </w:r>
    </w:p>
    <w:p w14:paraId="055C000E" w14:textId="77777777" w:rsidR="000166C5" w:rsidRPr="00E66E97" w:rsidRDefault="000166C5" w:rsidP="000166C5">
      <w:pPr>
        <w:spacing w:after="0" w:line="240" w:lineRule="auto"/>
        <w:jc w:val="both"/>
        <w:rPr>
          <w:rFonts w:ascii="Arial" w:eastAsia="Calibri" w:hAnsi="Arial" w:cs="Arial"/>
          <w:color w:val="000000" w:themeColor="text1"/>
          <w:lang w:val="es-ES_tradnl" w:eastAsia="es-ES_tradnl"/>
        </w:rPr>
      </w:pPr>
    </w:p>
    <w:p w14:paraId="357ACE49" w14:textId="77777777" w:rsidR="000166C5" w:rsidRPr="00E66E97" w:rsidRDefault="000166C5" w:rsidP="000166C5">
      <w:pPr>
        <w:spacing w:after="0" w:line="240" w:lineRule="auto"/>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 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que dichos requisitos, no se refieren a la oferta misma sino a la idoneidad del oferente para asumir adecuadamente la ejecución del contrato. […]</w:t>
      </w:r>
      <w:r w:rsidRPr="00E66E97">
        <w:rPr>
          <w:rFonts w:ascii="Arial" w:eastAsia="Calibri" w:hAnsi="Arial" w:cs="Arial"/>
          <w:color w:val="000000" w:themeColor="text1"/>
          <w:lang w:val="es-ES_tradnl" w:eastAsia="es-ES_tradnl"/>
        </w:rPr>
        <w:tab/>
      </w:r>
    </w:p>
    <w:p w14:paraId="43489F03" w14:textId="77777777" w:rsidR="000166C5" w:rsidRPr="00E66E97" w:rsidRDefault="000166C5" w:rsidP="000166C5">
      <w:pPr>
        <w:spacing w:after="0" w:line="240" w:lineRule="auto"/>
        <w:jc w:val="both"/>
        <w:rPr>
          <w:rFonts w:ascii="Arial" w:eastAsia="Times New Roman" w:hAnsi="Arial" w:cs="Arial"/>
          <w:b/>
          <w:bCs/>
          <w:lang w:eastAsia="es-ES_tradnl"/>
        </w:rPr>
      </w:pPr>
    </w:p>
    <w:p w14:paraId="5408FD6C" w14:textId="27623D37" w:rsidR="000166C5" w:rsidRPr="00E25177" w:rsidRDefault="000166C5" w:rsidP="000166C5">
      <w:pPr>
        <w:spacing w:after="0" w:line="240" w:lineRule="auto"/>
        <w:jc w:val="both"/>
        <w:rPr>
          <w:rFonts w:ascii="Arial" w:eastAsia="Times New Roman" w:hAnsi="Arial" w:cs="Arial"/>
          <w:b/>
          <w:bCs/>
          <w:color w:val="000000" w:themeColor="text1"/>
          <w:lang w:val="es-ES_tradnl" w:eastAsia="es-ES_tradnl"/>
        </w:rPr>
      </w:pPr>
      <w:r w:rsidRPr="00E66E97">
        <w:rPr>
          <w:rFonts w:ascii="Arial" w:eastAsia="Times New Roman" w:hAnsi="Arial" w:cs="Arial"/>
          <w:b/>
          <w:bCs/>
          <w:lang w:eastAsia="es-ES_tradnl"/>
        </w:rPr>
        <w:t xml:space="preserve">REQUISITOS HABILITANTES </w:t>
      </w:r>
      <w:r w:rsidR="00E25177">
        <w:rPr>
          <w:rFonts w:ascii="Arial" w:eastAsia="Times New Roman" w:hAnsi="Arial" w:cs="Arial"/>
          <w:b/>
          <w:bCs/>
          <w:lang w:eastAsia="es-ES_tradnl"/>
        </w:rPr>
        <w:t xml:space="preserve">– </w:t>
      </w:r>
      <w:r w:rsidR="00E25177">
        <w:rPr>
          <w:rFonts w:ascii="Arial" w:eastAsia="Times New Roman" w:hAnsi="Arial" w:cs="Arial"/>
          <w:b/>
          <w:bCs/>
          <w:color w:val="000000" w:themeColor="text1"/>
          <w:lang w:val="es-ES_tradnl" w:eastAsia="es-ES_tradnl"/>
        </w:rPr>
        <w:t>Procesos de selección</w:t>
      </w:r>
      <w:r w:rsidR="00E25177" w:rsidRPr="00E66E97">
        <w:rPr>
          <w:rFonts w:ascii="Arial" w:eastAsia="Times New Roman" w:hAnsi="Arial" w:cs="Arial"/>
          <w:b/>
          <w:bCs/>
          <w:color w:val="000000" w:themeColor="text1"/>
          <w:lang w:val="es-ES_tradnl" w:eastAsia="es-ES_tradnl"/>
        </w:rPr>
        <w:t xml:space="preserve"> </w:t>
      </w:r>
      <w:r w:rsidR="00E25177">
        <w:rPr>
          <w:rFonts w:ascii="Arial" w:eastAsia="Times New Roman" w:hAnsi="Arial" w:cs="Arial"/>
          <w:b/>
          <w:bCs/>
          <w:color w:val="000000" w:themeColor="text1"/>
          <w:lang w:val="es-ES_tradnl" w:eastAsia="es-ES_tradnl"/>
        </w:rPr>
        <w:t xml:space="preserve">– </w:t>
      </w:r>
      <w:r w:rsidRPr="00E66E97">
        <w:rPr>
          <w:rFonts w:ascii="Arial" w:eastAsia="Times New Roman" w:hAnsi="Arial" w:cs="Arial"/>
          <w:b/>
          <w:bCs/>
          <w:lang w:eastAsia="es-ES_tradnl"/>
        </w:rPr>
        <w:t>Criterios</w:t>
      </w:r>
      <w:r w:rsidRPr="00E66E97">
        <w:rPr>
          <w:rFonts w:ascii="Arial" w:eastAsia="Times New Roman" w:hAnsi="Arial" w:cs="Arial"/>
          <w:b/>
          <w:bCs/>
          <w:color w:val="000000" w:themeColor="text1"/>
          <w:lang w:val="es-ES_tradnl" w:eastAsia="es-ES_tradnl"/>
        </w:rPr>
        <w:t xml:space="preserve"> obligatorios </w:t>
      </w:r>
      <w:r w:rsidR="00E25177">
        <w:rPr>
          <w:rFonts w:ascii="Arial" w:eastAsia="Times New Roman" w:hAnsi="Arial" w:cs="Arial"/>
          <w:b/>
          <w:bCs/>
          <w:color w:val="000000" w:themeColor="text1"/>
          <w:lang w:val="es-ES_tradnl" w:eastAsia="es-ES_tradnl"/>
        </w:rPr>
        <w:t xml:space="preserve">– Participación </w:t>
      </w:r>
    </w:p>
    <w:p w14:paraId="77EEEF13" w14:textId="77777777" w:rsidR="000166C5" w:rsidRPr="00E66E97" w:rsidRDefault="000166C5" w:rsidP="000166C5">
      <w:pPr>
        <w:spacing w:after="0" w:line="240" w:lineRule="auto"/>
        <w:jc w:val="both"/>
        <w:rPr>
          <w:rFonts w:ascii="Arial" w:eastAsia="Calibri" w:hAnsi="Arial" w:cs="Arial"/>
          <w:color w:val="000000" w:themeColor="text1"/>
          <w:lang w:val="es-ES_tradnl" w:eastAsia="es-ES_tradnl"/>
        </w:rPr>
      </w:pPr>
    </w:p>
    <w:p w14:paraId="245699C0" w14:textId="77777777" w:rsidR="000166C5" w:rsidRPr="00E66E97" w:rsidRDefault="000166C5" w:rsidP="000166C5">
      <w:pPr>
        <w:spacing w:after="0" w:line="240" w:lineRule="auto"/>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 xml:space="preserve">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habilitantes 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 </w:t>
      </w:r>
    </w:p>
    <w:p w14:paraId="29551951" w14:textId="77777777" w:rsidR="000166C5" w:rsidRPr="00E66E97" w:rsidRDefault="000166C5" w:rsidP="000166C5">
      <w:pPr>
        <w:spacing w:after="0" w:line="240" w:lineRule="auto"/>
        <w:jc w:val="both"/>
        <w:rPr>
          <w:rFonts w:ascii="Arial" w:eastAsia="Calibri" w:hAnsi="Arial" w:cs="Arial"/>
          <w:color w:val="000000" w:themeColor="text1"/>
          <w:lang w:val="es-ES_tradnl" w:eastAsia="es-ES_tradnl"/>
        </w:rPr>
      </w:pPr>
    </w:p>
    <w:p w14:paraId="40B9059A" w14:textId="77777777" w:rsidR="000166C5" w:rsidRPr="00E66E97" w:rsidRDefault="000166C5" w:rsidP="000166C5">
      <w:pPr>
        <w:spacing w:after="0" w:line="240" w:lineRule="auto"/>
        <w:rPr>
          <w:rFonts w:ascii="Arial" w:eastAsia="Calibri" w:hAnsi="Arial" w:cs="Arial"/>
          <w:b/>
          <w:bCs/>
          <w:color w:val="000000" w:themeColor="text1"/>
          <w:lang w:val="es-ES" w:eastAsia="es-ES_tradnl"/>
        </w:rPr>
      </w:pPr>
      <w:r w:rsidRPr="00E66E97">
        <w:rPr>
          <w:rFonts w:ascii="Arial" w:eastAsia="Calibri" w:hAnsi="Arial" w:cs="Arial"/>
          <w:b/>
          <w:bCs/>
          <w:color w:val="000000" w:themeColor="text1"/>
          <w:lang w:val="es-ES" w:eastAsia="es-ES_tradnl"/>
        </w:rPr>
        <w:t xml:space="preserve">CONSORCIOS Y UNIONES TEMPORALES – Capacidad jurídica – Concepto </w:t>
      </w:r>
    </w:p>
    <w:p w14:paraId="1518C23C" w14:textId="77777777" w:rsidR="000166C5" w:rsidRPr="00E66E97" w:rsidRDefault="000166C5" w:rsidP="000166C5">
      <w:pPr>
        <w:spacing w:after="0" w:line="240" w:lineRule="auto"/>
        <w:rPr>
          <w:rFonts w:ascii="Arial" w:eastAsia="Calibri" w:hAnsi="Arial" w:cs="Arial"/>
          <w:lang w:eastAsia="es-ES_tradnl"/>
        </w:rPr>
      </w:pPr>
    </w:p>
    <w:p w14:paraId="71E030BD" w14:textId="77777777" w:rsidR="000166C5" w:rsidRPr="00E66E97" w:rsidRDefault="000166C5" w:rsidP="000166C5">
      <w:pPr>
        <w:spacing w:after="0" w:line="240" w:lineRule="auto"/>
        <w:jc w:val="both"/>
        <w:rPr>
          <w:rFonts w:ascii="Arial" w:eastAsia="Calibri" w:hAnsi="Arial" w:cs="Arial"/>
          <w:bCs/>
          <w:color w:val="000000"/>
          <w:lang w:val="es-ES_tradnl" w:eastAsia="es-ES_tradnl"/>
        </w:rPr>
      </w:pPr>
      <w:r w:rsidRPr="00E66E97">
        <w:rPr>
          <w:rFonts w:ascii="Arial" w:eastAsia="Calibri" w:hAnsi="Arial" w:cs="Arial"/>
          <w:bCs/>
          <w:color w:val="000000"/>
          <w:lang w:val="es-ES_tradnl" w:eastAsia="es-ES_tradnl"/>
        </w:rPr>
        <w:t xml:space="preserve">En consecuencia, por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el marco de una contratación administrativa. […] 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 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w:t>
      </w:r>
      <w:r w:rsidRPr="00E66E97">
        <w:rPr>
          <w:rFonts w:ascii="Arial" w:eastAsia="Calibri" w:hAnsi="Arial" w:cs="Arial"/>
          <w:bCs/>
          <w:color w:val="000000"/>
          <w:lang w:val="es-ES_tradnl" w:eastAsia="es-ES_tradnl"/>
        </w:rPr>
        <w:lastRenderedPageBreak/>
        <w:t>constitución del consorcio o unión temporal tenga vocación de resultar el adjudicatario del contrato estatal.</w:t>
      </w:r>
    </w:p>
    <w:p w14:paraId="40BAC4A9" w14:textId="77777777" w:rsidR="000166C5" w:rsidRPr="00E66E97" w:rsidRDefault="000166C5" w:rsidP="000166C5">
      <w:pPr>
        <w:tabs>
          <w:tab w:val="left" w:pos="3374"/>
        </w:tabs>
        <w:spacing w:after="0" w:line="240" w:lineRule="auto"/>
        <w:rPr>
          <w:rFonts w:ascii="Arial" w:eastAsia="Calibri" w:hAnsi="Arial" w:cs="Arial"/>
          <w:lang w:val="es-ES_tradnl" w:eastAsia="es-ES_tradnl"/>
        </w:rPr>
      </w:pPr>
    </w:p>
    <w:p w14:paraId="581766ED" w14:textId="77777777" w:rsidR="000166C5" w:rsidRPr="00E66E97" w:rsidRDefault="000166C5" w:rsidP="000166C5">
      <w:pPr>
        <w:spacing w:after="0" w:line="240" w:lineRule="auto"/>
        <w:jc w:val="both"/>
        <w:rPr>
          <w:rFonts w:ascii="Arial" w:eastAsia="Times New Roman" w:hAnsi="Arial" w:cs="Arial"/>
          <w:b/>
        </w:rPr>
      </w:pPr>
      <w:r w:rsidRPr="00E66E97">
        <w:rPr>
          <w:rFonts w:ascii="Arial" w:eastAsia="Times New Roman" w:hAnsi="Arial" w:cs="Arial"/>
          <w:b/>
        </w:rPr>
        <w:t xml:space="preserve">SUBSANABILIDAD – Alcance – procedencia </w:t>
      </w:r>
    </w:p>
    <w:p w14:paraId="14D482A5" w14:textId="77777777" w:rsidR="000166C5" w:rsidRPr="00E66E97" w:rsidRDefault="000166C5" w:rsidP="000166C5">
      <w:pPr>
        <w:spacing w:after="0" w:line="240" w:lineRule="auto"/>
        <w:jc w:val="both"/>
        <w:rPr>
          <w:rFonts w:ascii="Arial" w:eastAsia="Times New Roman" w:hAnsi="Arial" w:cs="Arial"/>
          <w:lang w:val="es-ES_tradnl"/>
        </w:rPr>
      </w:pPr>
    </w:p>
    <w:p w14:paraId="37A4A0AD" w14:textId="77777777" w:rsidR="000166C5" w:rsidRPr="00E66E97" w:rsidRDefault="000166C5" w:rsidP="000166C5">
      <w:pPr>
        <w:spacing w:after="0" w:line="240" w:lineRule="auto"/>
        <w:jc w:val="both"/>
        <w:rPr>
          <w:rFonts w:ascii="Arial" w:eastAsia="Times New Roman" w:hAnsi="Arial" w:cs="Arial"/>
          <w:bCs/>
        </w:rPr>
      </w:pPr>
      <w:r w:rsidRPr="00E66E97">
        <w:rPr>
          <w:rFonts w:ascii="Arial" w:eastAsia="Times New Roman" w:hAnsi="Arial" w:cs="Arial"/>
          <w:bCs/>
        </w:rPr>
        <w:t xml:space="preserve">Por regla general, i) la falta de entrega o </w:t>
      </w:r>
      <w:proofErr w:type="spellStart"/>
      <w:r w:rsidRPr="00E66E97">
        <w:rPr>
          <w:rFonts w:ascii="Arial" w:eastAsia="Times New Roman" w:hAnsi="Arial" w:cs="Arial"/>
          <w:bCs/>
        </w:rPr>
        <w:t>ii</w:t>
      </w:r>
      <w:proofErr w:type="spellEnd"/>
      <w:r w:rsidRPr="00E66E97">
        <w:rPr>
          <w:rFonts w:ascii="Arial" w:eastAsia="Times New Roman" w:hAnsi="Arial" w:cs="Arial"/>
          <w:bCs/>
        </w:rPr>
        <w:t xml:space="preserve">) los defectos, de los requisitos habilitantes, son subsanables. La excepción se encuentra en los casos, previstos en la ley, que limitan la </w:t>
      </w:r>
      <w:proofErr w:type="spellStart"/>
      <w:r w:rsidRPr="00E66E97">
        <w:rPr>
          <w:rFonts w:ascii="Arial" w:eastAsia="Times New Roman" w:hAnsi="Arial" w:cs="Arial"/>
          <w:bCs/>
        </w:rPr>
        <w:t>subsanabilidad</w:t>
      </w:r>
      <w:proofErr w:type="spellEnd"/>
      <w:r w:rsidRPr="00E66E97">
        <w:rPr>
          <w:rFonts w:ascii="Arial" w:eastAsia="Times New Roman" w:hAnsi="Arial" w:cs="Arial"/>
          <w:bCs/>
        </w:rPr>
        <w:t xml:space="preserve">,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 […] la </w:t>
      </w:r>
      <w:proofErr w:type="spellStart"/>
      <w:r w:rsidRPr="00E66E97">
        <w:rPr>
          <w:rFonts w:ascii="Arial" w:eastAsia="Times New Roman" w:hAnsi="Arial" w:cs="Arial"/>
          <w:bCs/>
        </w:rPr>
        <w:t>subsanabilidad</w:t>
      </w:r>
      <w:proofErr w:type="spellEnd"/>
      <w:r w:rsidRPr="00E66E97">
        <w:rPr>
          <w:rFonts w:ascii="Arial" w:eastAsia="Times New Roman" w:hAnsi="Arial" w:cs="Arial"/>
          <w:bCs/>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w:t>
      </w:r>
    </w:p>
    <w:p w14:paraId="41B4D12F" w14:textId="77777777" w:rsidR="000166C5" w:rsidRPr="00E66E97" w:rsidRDefault="000166C5" w:rsidP="000166C5">
      <w:pPr>
        <w:tabs>
          <w:tab w:val="left" w:pos="3374"/>
        </w:tabs>
        <w:spacing w:after="0" w:line="276" w:lineRule="auto"/>
        <w:rPr>
          <w:rFonts w:ascii="Arial" w:eastAsia="Calibri" w:hAnsi="Arial" w:cs="Arial"/>
          <w:lang w:eastAsia="es-ES_tradnl"/>
        </w:rPr>
      </w:pPr>
    </w:p>
    <w:p w14:paraId="50C9C4BA" w14:textId="77777777" w:rsidR="000166C5" w:rsidRPr="00E66E97" w:rsidRDefault="000166C5" w:rsidP="000166C5">
      <w:pPr>
        <w:spacing w:after="0" w:line="240" w:lineRule="auto"/>
        <w:jc w:val="both"/>
        <w:rPr>
          <w:rFonts w:ascii="Arial" w:eastAsia="Calibri" w:hAnsi="Arial" w:cs="Arial"/>
          <w:b/>
          <w:color w:val="000000" w:themeColor="text1"/>
          <w:lang w:eastAsia="es-ES_tradnl"/>
        </w:rPr>
      </w:pPr>
      <w:r w:rsidRPr="00E66E97">
        <w:rPr>
          <w:rFonts w:ascii="Arial" w:eastAsia="Calibri" w:hAnsi="Arial" w:cs="Arial"/>
          <w:b/>
          <w:color w:val="000000" w:themeColor="text1"/>
          <w:lang w:eastAsia="es-ES_tradnl"/>
        </w:rPr>
        <w:t xml:space="preserve">ADENDAS – Modificación al cronograma </w:t>
      </w:r>
    </w:p>
    <w:p w14:paraId="678CE670" w14:textId="77777777" w:rsidR="000166C5" w:rsidRPr="00E66E97" w:rsidRDefault="000166C5" w:rsidP="000166C5">
      <w:pPr>
        <w:spacing w:after="0" w:line="240" w:lineRule="auto"/>
        <w:jc w:val="both"/>
        <w:rPr>
          <w:rFonts w:ascii="Arial" w:eastAsia="Calibri" w:hAnsi="Arial" w:cs="Arial"/>
          <w:b/>
          <w:color w:val="000000" w:themeColor="text1"/>
          <w:lang w:eastAsia="es-ES_tradnl"/>
        </w:rPr>
      </w:pPr>
    </w:p>
    <w:p w14:paraId="237152D9" w14:textId="77777777" w:rsidR="000166C5" w:rsidRPr="00E66E97" w:rsidRDefault="000166C5" w:rsidP="000166C5">
      <w:pPr>
        <w:widowControl w:val="0"/>
        <w:autoSpaceDE w:val="0"/>
        <w:autoSpaceDN w:val="0"/>
        <w:spacing w:after="0" w:line="240" w:lineRule="auto"/>
        <w:ind w:right="49"/>
        <w:jc w:val="both"/>
        <w:rPr>
          <w:rFonts w:ascii="Arial" w:eastAsia="Times New Roman" w:hAnsi="Arial" w:cs="Arial"/>
          <w:bCs/>
        </w:rPr>
      </w:pPr>
      <w:r w:rsidRPr="00E66E97">
        <w:rPr>
          <w:rFonts w:ascii="Arial" w:eastAsia="Times New Roman" w:hAnsi="Arial" w:cs="Arial"/>
          <w:bCs/>
        </w:rPr>
        <w:t>[…]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4D84017C" w14:textId="77777777" w:rsidR="000166C5" w:rsidRPr="00E66E97" w:rsidRDefault="000166C5" w:rsidP="000166C5">
      <w:pPr>
        <w:widowControl w:val="0"/>
        <w:autoSpaceDE w:val="0"/>
        <w:autoSpaceDN w:val="0"/>
        <w:spacing w:after="0" w:line="240" w:lineRule="auto"/>
        <w:ind w:right="49"/>
        <w:jc w:val="both"/>
        <w:rPr>
          <w:rFonts w:ascii="Arial" w:eastAsia="Times New Roman" w:hAnsi="Arial" w:cs="Arial"/>
          <w:bCs/>
        </w:rPr>
      </w:pPr>
    </w:p>
    <w:p w14:paraId="5C39C3CB" w14:textId="77777777" w:rsidR="000166C5" w:rsidRPr="00E66E97" w:rsidRDefault="000166C5" w:rsidP="000166C5">
      <w:pPr>
        <w:widowControl w:val="0"/>
        <w:autoSpaceDE w:val="0"/>
        <w:autoSpaceDN w:val="0"/>
        <w:spacing w:after="0" w:line="240" w:lineRule="auto"/>
        <w:ind w:right="49"/>
        <w:jc w:val="both"/>
        <w:rPr>
          <w:rFonts w:ascii="Arial" w:eastAsia="Times New Roman" w:hAnsi="Arial" w:cs="Arial"/>
          <w:bCs/>
        </w:rPr>
      </w:pPr>
      <w:r w:rsidRPr="00E66E97">
        <w:rPr>
          <w:rFonts w:ascii="Arial" w:eastAsia="Times New Roman" w:hAnsi="Arial" w:cs="Arial"/>
          <w:bCs/>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E66E97">
        <w:rPr>
          <w:rFonts w:ascii="Arial" w:eastAsia="Times New Roman" w:hAnsi="Arial" w:cs="Arial"/>
          <w:bCs/>
        </w:rPr>
        <w:t>ii</w:t>
      </w:r>
      <w:proofErr w:type="spellEnd"/>
      <w:r w:rsidRPr="00E66E97">
        <w:rPr>
          <w:rFonts w:ascii="Arial" w:eastAsia="Times New Roman" w:hAnsi="Arial" w:cs="Arial"/>
          <w:bCs/>
        </w:rPr>
        <w:t>)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dependerá de cada modalidad de selección. Por ejemplo, en la mínima cuantía el acto por medio del cual se escoge al futuro contratista es la comunicación de aceptación de la oferta.</w:t>
      </w:r>
    </w:p>
    <w:p w14:paraId="2F19231B" w14:textId="77777777" w:rsidR="000166C5" w:rsidRPr="00E66E97" w:rsidRDefault="000166C5" w:rsidP="000166C5">
      <w:pPr>
        <w:widowControl w:val="0"/>
        <w:autoSpaceDE w:val="0"/>
        <w:autoSpaceDN w:val="0"/>
        <w:spacing w:after="0" w:line="240" w:lineRule="auto"/>
        <w:ind w:right="49"/>
        <w:jc w:val="both"/>
        <w:rPr>
          <w:rFonts w:ascii="Arial" w:eastAsia="Times New Roman" w:hAnsi="Arial" w:cs="Arial"/>
          <w:bCs/>
        </w:rPr>
      </w:pPr>
    </w:p>
    <w:p w14:paraId="72648CE9" w14:textId="77777777" w:rsidR="000166C5" w:rsidRPr="00E66E97" w:rsidRDefault="000166C5" w:rsidP="000166C5">
      <w:pPr>
        <w:tabs>
          <w:tab w:val="left" w:pos="3374"/>
        </w:tabs>
        <w:spacing w:after="0" w:line="276" w:lineRule="auto"/>
        <w:rPr>
          <w:rFonts w:ascii="Arial" w:eastAsia="Calibri" w:hAnsi="Arial" w:cs="Arial"/>
          <w:lang w:eastAsia="es-ES_tradnl"/>
        </w:rPr>
      </w:pPr>
    </w:p>
    <w:p w14:paraId="167EB923" w14:textId="77777777" w:rsidR="000166C5" w:rsidRPr="00E66E97" w:rsidRDefault="000166C5" w:rsidP="000166C5">
      <w:pPr>
        <w:rPr>
          <w:rFonts w:ascii="Arial" w:eastAsia="Calibri" w:hAnsi="Arial" w:cs="Arial"/>
          <w:lang w:eastAsia="es-ES_tradnl"/>
        </w:rPr>
      </w:pPr>
      <w:r w:rsidRPr="00E66E97">
        <w:rPr>
          <w:rFonts w:ascii="Arial" w:eastAsia="Calibri" w:hAnsi="Arial" w:cs="Arial"/>
          <w:lang w:eastAsia="es-ES_tradnl"/>
        </w:rPr>
        <w:br w:type="page"/>
      </w:r>
    </w:p>
    <w:p w14:paraId="46D2AC6C" w14:textId="35602124" w:rsidR="00BC5F13" w:rsidRDefault="00BC5F13" w:rsidP="00BC5F13">
      <w:pPr>
        <w:tabs>
          <w:tab w:val="left" w:pos="3374"/>
        </w:tabs>
        <w:spacing w:after="0" w:line="240" w:lineRule="auto"/>
        <w:rPr>
          <w:rFonts w:ascii="Arial" w:eastAsia="Calibri" w:hAnsi="Arial" w:cs="Arial"/>
          <w:lang w:eastAsia="es-ES_tradnl"/>
        </w:rPr>
      </w:pPr>
      <w:r>
        <w:rPr>
          <w:rFonts w:ascii="Arial" w:eastAsia="Calibri" w:hAnsi="Arial" w:cs="Arial"/>
          <w:lang w:eastAsia="es-ES_tradnl"/>
        </w:rPr>
        <w:t xml:space="preserve">Bogotá D.C., 21 de </w:t>
      </w:r>
      <w:proofErr w:type="gramStart"/>
      <w:r>
        <w:rPr>
          <w:rFonts w:ascii="Arial" w:eastAsia="Calibri" w:hAnsi="Arial" w:cs="Arial"/>
          <w:lang w:eastAsia="es-ES_tradnl"/>
        </w:rPr>
        <w:t>Diciembre</w:t>
      </w:r>
      <w:proofErr w:type="gramEnd"/>
      <w:r>
        <w:rPr>
          <w:rFonts w:ascii="Arial" w:eastAsia="Calibri" w:hAnsi="Arial" w:cs="Arial"/>
          <w:lang w:eastAsia="es-ES_tradnl"/>
        </w:rPr>
        <w:t xml:space="preserve"> de 2022</w:t>
      </w:r>
    </w:p>
    <w:p w14:paraId="18AA0136" w14:textId="77777777" w:rsidR="00BC5F13" w:rsidRPr="00E66E97" w:rsidRDefault="00BC5F13" w:rsidP="00BC5F13">
      <w:pPr>
        <w:tabs>
          <w:tab w:val="left" w:pos="3374"/>
        </w:tabs>
        <w:spacing w:after="0" w:line="240" w:lineRule="auto"/>
        <w:rPr>
          <w:rFonts w:ascii="Arial" w:eastAsia="Calibri" w:hAnsi="Arial" w:cs="Arial"/>
          <w:lang w:eastAsia="es-ES_tradnl"/>
        </w:rPr>
      </w:pPr>
    </w:p>
    <w:p w14:paraId="5CBE3043" w14:textId="5F221DE9" w:rsidR="000166C5" w:rsidRDefault="00BC5F13" w:rsidP="00BC5F13">
      <w:pPr>
        <w:tabs>
          <w:tab w:val="left" w:pos="3374"/>
        </w:tabs>
        <w:spacing w:after="0" w:line="240" w:lineRule="auto"/>
        <w:jc w:val="right"/>
        <w:rPr>
          <w:rFonts w:ascii="Arial" w:eastAsia="Calibri" w:hAnsi="Arial" w:cs="Arial"/>
          <w:lang w:eastAsia="es-ES_tradnl"/>
        </w:rPr>
      </w:pPr>
      <w:r>
        <w:rPr>
          <w:noProof/>
          <w:lang w:val="en-US"/>
        </w:rPr>
        <w:drawing>
          <wp:inline distT="0" distB="0" distL="0" distR="0" wp14:anchorId="3AE258CC" wp14:editId="457A1CF6">
            <wp:extent cx="2686050" cy="647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367" t="68375" r="18652" b="12332"/>
                    <a:stretch/>
                  </pic:blipFill>
                  <pic:spPr bwMode="auto">
                    <a:xfrm>
                      <a:off x="0" y="0"/>
                      <a:ext cx="2686050" cy="647700"/>
                    </a:xfrm>
                    <a:prstGeom prst="rect">
                      <a:avLst/>
                    </a:prstGeom>
                    <a:ln>
                      <a:noFill/>
                    </a:ln>
                    <a:extLst>
                      <a:ext uri="{53640926-AAD7-44D8-BBD7-CCE9431645EC}">
                        <a14:shadowObscured xmlns:a14="http://schemas.microsoft.com/office/drawing/2010/main"/>
                      </a:ext>
                    </a:extLst>
                  </pic:spPr>
                </pic:pic>
              </a:graphicData>
            </a:graphic>
          </wp:inline>
        </w:drawing>
      </w:r>
    </w:p>
    <w:p w14:paraId="635A9B98" w14:textId="77777777" w:rsidR="00BC5F13" w:rsidRPr="00E66E97" w:rsidRDefault="00BC5F13" w:rsidP="000166C5">
      <w:pPr>
        <w:tabs>
          <w:tab w:val="left" w:pos="3374"/>
        </w:tabs>
        <w:spacing w:after="0" w:line="240" w:lineRule="auto"/>
        <w:rPr>
          <w:rFonts w:ascii="Arial" w:eastAsia="Calibri" w:hAnsi="Arial" w:cs="Arial"/>
          <w:lang w:eastAsia="es-ES_tradnl"/>
        </w:rPr>
      </w:pPr>
    </w:p>
    <w:p w14:paraId="074E50BC" w14:textId="77777777" w:rsidR="000166C5" w:rsidRPr="00E66E97" w:rsidRDefault="000166C5" w:rsidP="000166C5">
      <w:pPr>
        <w:tabs>
          <w:tab w:val="left" w:pos="3374"/>
        </w:tabs>
        <w:spacing w:after="0" w:line="240" w:lineRule="auto"/>
        <w:rPr>
          <w:rFonts w:ascii="Arial" w:eastAsia="Calibri" w:hAnsi="Arial" w:cs="Arial"/>
          <w:lang w:eastAsia="es-ES_tradnl"/>
        </w:rPr>
      </w:pPr>
      <w:r w:rsidRPr="00E66E97">
        <w:rPr>
          <w:rFonts w:ascii="Arial" w:eastAsia="Calibri" w:hAnsi="Arial" w:cs="Arial"/>
          <w:lang w:eastAsia="es-ES_tradnl"/>
        </w:rPr>
        <w:t>Señor</w:t>
      </w:r>
    </w:p>
    <w:p w14:paraId="627C0054" w14:textId="77777777" w:rsidR="000166C5" w:rsidRPr="00E66E97" w:rsidRDefault="000166C5" w:rsidP="000166C5">
      <w:pPr>
        <w:spacing w:after="0" w:line="240" w:lineRule="auto"/>
        <w:rPr>
          <w:rFonts w:ascii="Arial" w:eastAsia="Times New Roman" w:hAnsi="Arial" w:cs="Arial"/>
          <w:b/>
          <w:bCs/>
          <w:lang w:val="es-ES" w:eastAsia="es-ES_tradnl"/>
        </w:rPr>
      </w:pPr>
      <w:r w:rsidRPr="00E66E97">
        <w:rPr>
          <w:rFonts w:ascii="Arial" w:eastAsia="Times New Roman" w:hAnsi="Arial" w:cs="Arial"/>
          <w:b/>
          <w:bCs/>
          <w:lang w:val="es-ES" w:eastAsia="es-ES_tradnl"/>
        </w:rPr>
        <w:t xml:space="preserve">Oscar Fernando Cárdenas Parra </w:t>
      </w:r>
    </w:p>
    <w:p w14:paraId="4A259405" w14:textId="742663A5" w:rsidR="000166C5" w:rsidRPr="00E66E97" w:rsidRDefault="000166C5" w:rsidP="000166C5">
      <w:pPr>
        <w:tabs>
          <w:tab w:val="left" w:pos="3374"/>
        </w:tabs>
        <w:spacing w:after="0" w:line="240" w:lineRule="auto"/>
        <w:rPr>
          <w:rFonts w:ascii="Arial" w:eastAsia="Calibri" w:hAnsi="Arial" w:cs="Arial"/>
          <w:lang w:eastAsia="es-ES_tradnl"/>
        </w:rPr>
      </w:pPr>
      <w:r w:rsidRPr="00E66E97">
        <w:rPr>
          <w:rFonts w:ascii="Arial" w:eastAsia="Calibri" w:hAnsi="Arial" w:cs="Arial"/>
          <w:lang w:eastAsia="es-ES_tradnl"/>
        </w:rPr>
        <w:t>Chía</w:t>
      </w:r>
      <w:r w:rsidR="00407BC9">
        <w:rPr>
          <w:rFonts w:ascii="Arial" w:eastAsia="Calibri" w:hAnsi="Arial" w:cs="Arial"/>
          <w:lang w:eastAsia="es-ES_tradnl"/>
        </w:rPr>
        <w:t xml:space="preserve">, Cundinamarca </w:t>
      </w:r>
    </w:p>
    <w:p w14:paraId="1EAC672C" w14:textId="77777777" w:rsidR="000166C5" w:rsidRPr="00E66E97" w:rsidRDefault="000166C5" w:rsidP="000166C5">
      <w:pPr>
        <w:spacing w:after="0" w:line="276" w:lineRule="auto"/>
        <w:ind w:left="2116" w:firstLine="708"/>
        <w:rPr>
          <w:rFonts w:ascii="Arial" w:eastAsia="Calibri" w:hAnsi="Arial" w:cs="Arial"/>
          <w:b/>
          <w:lang w:eastAsia="es-ES_tradnl"/>
        </w:rPr>
      </w:pPr>
    </w:p>
    <w:p w14:paraId="56FED747" w14:textId="77777777" w:rsidR="000166C5" w:rsidRPr="00E66E97" w:rsidRDefault="000166C5" w:rsidP="000166C5">
      <w:pPr>
        <w:spacing w:after="0" w:line="276" w:lineRule="auto"/>
        <w:ind w:left="2116" w:firstLine="708"/>
        <w:rPr>
          <w:rFonts w:ascii="Arial" w:eastAsia="Calibri" w:hAnsi="Arial" w:cs="Arial"/>
          <w:b/>
          <w:lang w:eastAsia="es-ES_tradnl"/>
        </w:rPr>
      </w:pPr>
      <w:r w:rsidRPr="00E66E97">
        <w:rPr>
          <w:rFonts w:ascii="Arial" w:eastAsia="Calibri" w:hAnsi="Arial" w:cs="Arial"/>
          <w:b/>
          <w:lang w:eastAsia="es-ES_tradnl"/>
        </w:rPr>
        <w:t>Concepto C – 882 de 2022</w:t>
      </w:r>
    </w:p>
    <w:p w14:paraId="0995A5E6" w14:textId="77777777" w:rsidR="000166C5" w:rsidRPr="00E66E97" w:rsidRDefault="000166C5" w:rsidP="000166C5">
      <w:pPr>
        <w:spacing w:after="0" w:line="240" w:lineRule="auto"/>
        <w:ind w:left="2835" w:hanging="2835"/>
        <w:jc w:val="both"/>
        <w:rPr>
          <w:rFonts w:ascii="Arial" w:eastAsia="Calibri" w:hAnsi="Arial" w:cs="Arial"/>
          <w:b/>
          <w:noProof/>
          <w:color w:val="1A1A1A" w:themeColor="background1" w:themeShade="1A"/>
          <w:lang w:val="es-ES_tradnl" w:eastAsia="es-ES_tradnl"/>
        </w:rPr>
      </w:pPr>
    </w:p>
    <w:p w14:paraId="4D0A19A2" w14:textId="77777777" w:rsidR="000166C5" w:rsidRPr="00E66E97" w:rsidRDefault="000166C5" w:rsidP="000166C5">
      <w:pPr>
        <w:spacing w:after="0" w:line="240" w:lineRule="auto"/>
        <w:ind w:left="2835" w:hanging="2835"/>
        <w:jc w:val="both"/>
        <w:rPr>
          <w:rFonts w:ascii="Arial" w:eastAsia="Calibri" w:hAnsi="Arial" w:cs="Arial"/>
          <w:bCs/>
          <w:color w:val="000000" w:themeColor="text1"/>
          <w:lang w:val="es-ES" w:eastAsia="es-ES_tradnl"/>
        </w:rPr>
      </w:pPr>
      <w:r w:rsidRPr="00E66E97">
        <w:rPr>
          <w:rFonts w:ascii="Arial" w:eastAsia="Calibri" w:hAnsi="Arial" w:cs="Arial"/>
          <w:b/>
          <w:noProof/>
          <w:color w:val="1A1A1A" w:themeColor="background1" w:themeShade="1A"/>
          <w:lang w:val="es-ES_tradnl" w:eastAsia="es-ES_tradnl"/>
        </w:rPr>
        <w:t>Temas</w:t>
      </w:r>
      <w:r w:rsidRPr="00E66E97">
        <w:rPr>
          <w:rFonts w:ascii="Arial" w:eastAsia="Calibri" w:hAnsi="Arial" w:cs="Arial"/>
          <w:bCs/>
          <w:noProof/>
          <w:color w:val="1A1A1A" w:themeColor="background1" w:themeShade="1A"/>
          <w:lang w:val="es-ES_tradnl" w:eastAsia="es-ES_tradnl"/>
        </w:rPr>
        <w:t xml:space="preserve">: </w:t>
      </w:r>
      <w:r w:rsidRPr="00E66E97">
        <w:rPr>
          <w:rFonts w:ascii="Arial" w:eastAsia="Calibri" w:hAnsi="Arial" w:cs="Arial"/>
          <w:bCs/>
          <w:noProof/>
          <w:color w:val="1A1A1A" w:themeColor="background1" w:themeShade="1A"/>
          <w:lang w:val="es-ES_tradnl" w:eastAsia="es-ES_tradnl"/>
        </w:rPr>
        <w:tab/>
        <w:t xml:space="preserve">REQUISITOS HABILITANTES – Contenido / REQUISITOS HABILITANTES – Criterios obligatorios para participar en los procedimientos de selección contractual / </w:t>
      </w:r>
      <w:r w:rsidRPr="00E66E97">
        <w:rPr>
          <w:rFonts w:ascii="Arial" w:eastAsia="Calibri" w:hAnsi="Arial" w:cs="Arial"/>
          <w:bCs/>
          <w:color w:val="000000" w:themeColor="text1"/>
          <w:lang w:val="es-ES" w:eastAsia="es-ES_tradnl"/>
        </w:rPr>
        <w:t xml:space="preserve">CONSORCIOS Y UNIONES TEMPORALES – Capacidad jurídica – Concepto / </w:t>
      </w:r>
      <w:r w:rsidRPr="00E66E97">
        <w:rPr>
          <w:rFonts w:ascii="Arial" w:eastAsia="Times New Roman" w:hAnsi="Arial" w:cs="Arial"/>
        </w:rPr>
        <w:t xml:space="preserve">SUBSANABILIDAD – Alcance – procedencia </w:t>
      </w:r>
      <w:r w:rsidRPr="00E66E97">
        <w:rPr>
          <w:rFonts w:ascii="Arial" w:eastAsia="Calibri" w:hAnsi="Arial" w:cs="Arial"/>
          <w:bCs/>
          <w:color w:val="000000" w:themeColor="text1"/>
          <w:lang w:val="es-ES" w:eastAsia="es-ES_tradnl"/>
        </w:rPr>
        <w:t>/ ADENDAS – Modificación al cronograma</w:t>
      </w:r>
    </w:p>
    <w:p w14:paraId="178634B8" w14:textId="77777777" w:rsidR="000166C5" w:rsidRPr="00E66E97" w:rsidRDefault="000166C5" w:rsidP="000166C5">
      <w:pPr>
        <w:spacing w:after="0" w:line="276" w:lineRule="auto"/>
        <w:ind w:left="2835" w:hanging="2835"/>
        <w:jc w:val="both"/>
        <w:rPr>
          <w:rFonts w:ascii="Arial" w:eastAsia="Calibri" w:hAnsi="Arial" w:cs="Arial"/>
          <w:bCs/>
          <w:color w:val="000000" w:themeColor="text1"/>
          <w:lang w:val="es-ES" w:eastAsia="es-ES_tradnl"/>
        </w:rPr>
      </w:pPr>
    </w:p>
    <w:p w14:paraId="12A13AA8" w14:textId="77777777" w:rsidR="000166C5" w:rsidRPr="00E66E97" w:rsidRDefault="000166C5" w:rsidP="000166C5">
      <w:pPr>
        <w:spacing w:after="0" w:line="276" w:lineRule="auto"/>
        <w:ind w:left="2835" w:hanging="2835"/>
        <w:jc w:val="both"/>
        <w:rPr>
          <w:rFonts w:ascii="Arial" w:eastAsia="Calibri" w:hAnsi="Arial" w:cs="Arial"/>
          <w:bCs/>
          <w:noProof/>
          <w:color w:val="1A1A1A" w:themeColor="background1" w:themeShade="1A"/>
          <w:lang w:val="es-ES_tradnl" w:eastAsia="es-ES_tradnl"/>
        </w:rPr>
      </w:pPr>
      <w:r w:rsidRPr="00E66E97">
        <w:rPr>
          <w:rFonts w:ascii="Arial" w:eastAsia="Calibri" w:hAnsi="Arial" w:cs="Arial"/>
          <w:b/>
          <w:noProof/>
          <w:color w:val="1A1A1A" w:themeColor="background1" w:themeShade="1A"/>
          <w:lang w:val="es-ES_tradnl" w:eastAsia="es-ES_tradnl"/>
        </w:rPr>
        <w:t>Radicación</w:t>
      </w:r>
      <w:r w:rsidRPr="00E66E97">
        <w:rPr>
          <w:rFonts w:ascii="Arial" w:eastAsia="Calibri" w:hAnsi="Arial" w:cs="Arial"/>
          <w:bCs/>
          <w:noProof/>
          <w:color w:val="1A1A1A" w:themeColor="background1" w:themeShade="1A"/>
          <w:lang w:val="es-ES_tradnl" w:eastAsia="es-ES_tradnl"/>
        </w:rPr>
        <w:t>:</w:t>
      </w:r>
      <w:r w:rsidRPr="00E66E97">
        <w:rPr>
          <w:rFonts w:ascii="Arial" w:eastAsia="Calibri" w:hAnsi="Arial" w:cs="Arial"/>
          <w:bCs/>
          <w:noProof/>
          <w:color w:val="1A1A1A" w:themeColor="background1" w:themeShade="1A"/>
          <w:lang w:val="es-ES_tradnl" w:eastAsia="es-ES_tradnl"/>
        </w:rPr>
        <w:tab/>
        <w:t>Respuesta a consulta</w:t>
      </w:r>
      <w:r w:rsidRPr="00E66E97">
        <w:rPr>
          <w:rFonts w:ascii="Arial" w:eastAsia="Calibri" w:hAnsi="Arial" w:cs="Arial"/>
          <w:b/>
          <w:lang w:val="es-MX" w:eastAsia="es-ES_tradnl"/>
        </w:rPr>
        <w:t xml:space="preserve"> </w:t>
      </w:r>
      <w:r w:rsidRPr="00E66E97">
        <w:rPr>
          <w:rFonts w:ascii="Arial" w:eastAsia="Calibri" w:hAnsi="Arial" w:cs="Arial"/>
          <w:bCs/>
          <w:lang w:val="es-MX" w:eastAsia="es-ES_tradnl"/>
        </w:rPr>
        <w:t xml:space="preserve">P20221111011314 </w:t>
      </w:r>
    </w:p>
    <w:p w14:paraId="4E540144" w14:textId="77777777" w:rsidR="000166C5" w:rsidRPr="00E66E97" w:rsidRDefault="000166C5" w:rsidP="000166C5">
      <w:pPr>
        <w:tabs>
          <w:tab w:val="left" w:pos="3374"/>
        </w:tabs>
        <w:spacing w:after="0" w:line="276" w:lineRule="auto"/>
        <w:rPr>
          <w:rFonts w:ascii="Arial" w:eastAsia="Calibri" w:hAnsi="Arial" w:cs="Arial"/>
          <w:lang w:eastAsia="es-ES_tradnl"/>
        </w:rPr>
      </w:pPr>
    </w:p>
    <w:p w14:paraId="07C17D6D" w14:textId="77777777" w:rsidR="000166C5" w:rsidRPr="00E66E97" w:rsidRDefault="000166C5" w:rsidP="000166C5">
      <w:pPr>
        <w:tabs>
          <w:tab w:val="left" w:pos="3374"/>
        </w:tabs>
        <w:spacing w:after="0" w:line="276" w:lineRule="auto"/>
        <w:rPr>
          <w:rFonts w:ascii="Arial" w:eastAsia="Calibri" w:hAnsi="Arial" w:cs="Arial"/>
          <w:lang w:eastAsia="es-ES_tradnl"/>
        </w:rPr>
      </w:pPr>
      <w:r w:rsidRPr="00E66E97">
        <w:rPr>
          <w:rFonts w:ascii="Arial" w:eastAsia="Calibri" w:hAnsi="Arial" w:cs="Arial"/>
          <w:lang w:eastAsia="es-ES_tradnl"/>
        </w:rPr>
        <w:t xml:space="preserve">Estimado señor Cárdenas,  </w:t>
      </w:r>
    </w:p>
    <w:p w14:paraId="24F56B68" w14:textId="77777777" w:rsidR="000166C5" w:rsidRPr="00E66E97" w:rsidRDefault="000166C5" w:rsidP="000166C5">
      <w:pPr>
        <w:tabs>
          <w:tab w:val="left" w:pos="3374"/>
        </w:tabs>
        <w:spacing w:after="0" w:line="276" w:lineRule="auto"/>
        <w:jc w:val="both"/>
        <w:rPr>
          <w:rFonts w:ascii="Arial" w:eastAsia="Calibri" w:hAnsi="Arial" w:cs="Arial"/>
          <w:lang w:eastAsia="es-ES_tradnl"/>
        </w:rPr>
      </w:pPr>
    </w:p>
    <w:p w14:paraId="76264015" w14:textId="77777777" w:rsidR="000166C5" w:rsidRPr="00E66E97" w:rsidRDefault="000166C5" w:rsidP="000166C5">
      <w:pPr>
        <w:tabs>
          <w:tab w:val="left" w:pos="3374"/>
        </w:tabs>
        <w:spacing w:after="0" w:line="276" w:lineRule="auto"/>
        <w:jc w:val="both"/>
        <w:rPr>
          <w:rFonts w:ascii="Arial" w:eastAsia="Calibri" w:hAnsi="Arial" w:cs="Arial"/>
          <w:lang w:eastAsia="es-ES_tradnl"/>
        </w:rPr>
      </w:pPr>
      <w:r w:rsidRPr="00E66E97">
        <w:rPr>
          <w:rFonts w:ascii="Arial" w:eastAsia="Calibri" w:hAnsi="Arial" w:cs="Arial"/>
          <w:lang w:eastAsia="es-ES_tradnl"/>
        </w:rPr>
        <w:t xml:space="preserve">En ejercicio de la competencia otorgada por el numeral 8 del artículo 11 y el numeral 5 del artículo 3 del Decreto Ley 4170 de 2011, la Agencia Nacional de Contratación Pública− Colombia Compra Eficiente responde su consulta de fecha 11 de noviembre de 2022. </w:t>
      </w:r>
    </w:p>
    <w:p w14:paraId="34755486" w14:textId="77777777" w:rsidR="000166C5" w:rsidRPr="00E66E97" w:rsidRDefault="000166C5" w:rsidP="000166C5">
      <w:pPr>
        <w:tabs>
          <w:tab w:val="left" w:pos="284"/>
        </w:tabs>
        <w:spacing w:after="0" w:line="276" w:lineRule="auto"/>
        <w:jc w:val="both"/>
        <w:rPr>
          <w:rFonts w:ascii="Arial" w:eastAsia="Calibri" w:hAnsi="Arial" w:cs="Arial"/>
          <w:b/>
          <w:lang w:eastAsia="es-ES_tradnl"/>
        </w:rPr>
      </w:pPr>
    </w:p>
    <w:p w14:paraId="14386BEE" w14:textId="77777777" w:rsidR="000166C5" w:rsidRPr="00E66E97" w:rsidRDefault="000166C5" w:rsidP="000166C5">
      <w:pPr>
        <w:tabs>
          <w:tab w:val="left" w:pos="284"/>
        </w:tabs>
        <w:spacing w:after="240" w:line="276" w:lineRule="auto"/>
        <w:jc w:val="both"/>
        <w:rPr>
          <w:rFonts w:ascii="Arial" w:eastAsia="Calibri" w:hAnsi="Arial" w:cs="Arial"/>
          <w:b/>
          <w:lang w:eastAsia="es-ES_tradnl"/>
        </w:rPr>
      </w:pPr>
      <w:r w:rsidRPr="00E66E97">
        <w:rPr>
          <w:rFonts w:ascii="Arial" w:eastAsia="Calibri" w:hAnsi="Arial" w:cs="Arial"/>
          <w:b/>
          <w:lang w:eastAsia="es-ES_tradnl"/>
        </w:rPr>
        <w:t xml:space="preserve">1. Problema planteado </w:t>
      </w:r>
    </w:p>
    <w:p w14:paraId="5391355E" w14:textId="77777777" w:rsidR="000166C5" w:rsidRPr="00E66E97" w:rsidRDefault="000166C5" w:rsidP="000166C5">
      <w:pPr>
        <w:spacing w:after="240" w:line="276" w:lineRule="auto"/>
        <w:jc w:val="both"/>
        <w:rPr>
          <w:rFonts w:ascii="Arial" w:eastAsia="Times New Roman" w:hAnsi="Arial" w:cs="Arial"/>
          <w:color w:val="1A1A1A" w:themeColor="background1" w:themeShade="1A"/>
          <w:lang w:val="es-ES_tradnl" w:eastAsia="es-ES_tradnl"/>
        </w:rPr>
      </w:pPr>
      <w:r w:rsidRPr="00E66E97">
        <w:rPr>
          <w:rFonts w:ascii="Arial" w:eastAsia="Times New Roman" w:hAnsi="Arial" w:cs="Arial"/>
          <w:color w:val="1A1A1A" w:themeColor="background1" w:themeShade="1A"/>
          <w:lang w:val="es-ES_tradnl" w:eastAsia="es-ES_tradnl"/>
        </w:rPr>
        <w:t xml:space="preserve">Usted formula la siguiente consulta: </w:t>
      </w:r>
    </w:p>
    <w:p w14:paraId="04B941ED" w14:textId="77777777" w:rsidR="000166C5" w:rsidRPr="00E66E97" w:rsidRDefault="000166C5" w:rsidP="000166C5">
      <w:pPr>
        <w:spacing w:after="240" w:line="240" w:lineRule="auto"/>
        <w:ind w:left="567" w:right="851"/>
        <w:jc w:val="both"/>
        <w:rPr>
          <w:rFonts w:ascii="Arial" w:eastAsia="Times New Roman" w:hAnsi="Arial" w:cs="Arial"/>
          <w:iCs/>
          <w:color w:val="1A1A1A" w:themeColor="background1" w:themeShade="1A"/>
          <w:lang w:eastAsia="es-ES_tradnl"/>
        </w:rPr>
      </w:pPr>
      <w:bookmarkStart w:id="1" w:name="_Hlk106025682"/>
      <w:r w:rsidRPr="00E66E97">
        <w:rPr>
          <w:rFonts w:ascii="Arial" w:eastAsia="Times New Roman" w:hAnsi="Arial" w:cs="Arial"/>
          <w:iCs/>
          <w:color w:val="1A1A1A" w:themeColor="background1" w:themeShade="1A"/>
          <w:lang w:eastAsia="es-ES_tradnl"/>
        </w:rPr>
        <w:t xml:space="preserve">«1. </w:t>
      </w:r>
      <w:proofErr w:type="gramStart"/>
      <w:r w:rsidRPr="00E66E97">
        <w:rPr>
          <w:rFonts w:ascii="Arial" w:eastAsia="Times New Roman" w:hAnsi="Arial" w:cs="Arial"/>
          <w:iCs/>
          <w:color w:val="1A1A1A" w:themeColor="background1" w:themeShade="1A"/>
          <w:lang w:eastAsia="es-ES_tradnl"/>
        </w:rPr>
        <w:t>La no presentación del documento consorcial o de unión temporal es objeto de subsanación o es causal de rechazo de plano por falta de capacidad jurídica?</w:t>
      </w:r>
      <w:proofErr w:type="gramEnd"/>
      <w:r w:rsidRPr="00E66E97">
        <w:rPr>
          <w:rFonts w:ascii="Arial" w:eastAsia="Times New Roman" w:hAnsi="Arial" w:cs="Arial"/>
          <w:iCs/>
          <w:color w:val="1A1A1A" w:themeColor="background1" w:themeShade="1A"/>
          <w:lang w:eastAsia="es-ES_tradnl"/>
        </w:rPr>
        <w:t xml:space="preserve"> </w:t>
      </w:r>
    </w:p>
    <w:p w14:paraId="5222CE5B" w14:textId="1F7B722E" w:rsidR="000166C5" w:rsidRPr="00E66E97" w:rsidRDefault="000166C5" w:rsidP="000166C5">
      <w:pPr>
        <w:spacing w:after="240" w:line="240" w:lineRule="auto"/>
        <w:ind w:left="567" w:right="851"/>
        <w:jc w:val="both"/>
        <w:rPr>
          <w:rFonts w:ascii="Arial" w:eastAsia="Times New Roman" w:hAnsi="Arial" w:cs="Arial"/>
          <w:iCs/>
          <w:color w:val="1A1A1A" w:themeColor="background1" w:themeShade="1A"/>
          <w:lang w:eastAsia="es-ES_tradnl"/>
        </w:rPr>
      </w:pPr>
      <w:r w:rsidRPr="00E66E97">
        <w:rPr>
          <w:rFonts w:ascii="Arial" w:eastAsia="Times New Roman" w:hAnsi="Arial" w:cs="Arial"/>
          <w:iCs/>
          <w:color w:val="1A1A1A" w:themeColor="background1" w:themeShade="1A"/>
          <w:lang w:eastAsia="es-ES_tradnl"/>
        </w:rPr>
        <w:t xml:space="preserve">2. Después del cierre del proceso, se permite generar adendas para modificar el </w:t>
      </w:r>
      <w:proofErr w:type="gramStart"/>
      <w:r w:rsidRPr="00E66E97">
        <w:rPr>
          <w:rFonts w:ascii="Arial" w:eastAsia="Times New Roman" w:hAnsi="Arial" w:cs="Arial"/>
          <w:iCs/>
          <w:color w:val="1A1A1A" w:themeColor="background1" w:themeShade="1A"/>
          <w:lang w:eastAsia="es-ES_tradnl"/>
        </w:rPr>
        <w:t>cronograma .</w:t>
      </w:r>
      <w:proofErr w:type="gramEnd"/>
      <w:r w:rsidRPr="00E66E97">
        <w:rPr>
          <w:rFonts w:ascii="Arial" w:eastAsia="Times New Roman" w:hAnsi="Arial" w:cs="Arial"/>
          <w:iCs/>
          <w:color w:val="1A1A1A" w:themeColor="background1" w:themeShade="1A"/>
          <w:lang w:eastAsia="es-ES_tradnl"/>
        </w:rPr>
        <w:t xml:space="preserve"> </w:t>
      </w:r>
      <w:proofErr w:type="gramStart"/>
      <w:r w:rsidRPr="00E66E97">
        <w:rPr>
          <w:rFonts w:ascii="Arial" w:eastAsia="Times New Roman" w:hAnsi="Arial" w:cs="Arial"/>
          <w:iCs/>
          <w:color w:val="1A1A1A" w:themeColor="background1" w:themeShade="1A"/>
          <w:lang w:eastAsia="es-ES_tradnl"/>
        </w:rPr>
        <w:t>Existe un límite de días o tiempo para modificar el cronograma en esta etapa exceptuando el consagrado el del artículo 30 numeral 9o?</w:t>
      </w:r>
      <w:proofErr w:type="gramEnd"/>
      <w:r w:rsidRPr="00E66E97">
        <w:rPr>
          <w:rFonts w:ascii="Arial" w:eastAsia="Times New Roman" w:hAnsi="Arial" w:cs="Arial"/>
          <w:iCs/>
          <w:color w:val="1A1A1A" w:themeColor="background1" w:themeShade="1A"/>
          <w:lang w:eastAsia="es-ES_tradnl"/>
        </w:rPr>
        <w:t xml:space="preserve">:» </w:t>
      </w:r>
      <w:r w:rsidR="00B7701C">
        <w:rPr>
          <w:rFonts w:ascii="Arial" w:eastAsia="Times New Roman" w:hAnsi="Arial" w:cs="Arial"/>
          <w:iCs/>
          <w:color w:val="1A1A1A" w:themeColor="background1" w:themeShade="1A"/>
          <w:lang w:eastAsia="es-ES_tradnl"/>
        </w:rPr>
        <w:t>[</w:t>
      </w:r>
      <w:r w:rsidRPr="00E66E97">
        <w:rPr>
          <w:rFonts w:ascii="Arial" w:eastAsia="Times New Roman" w:hAnsi="Arial" w:cs="Arial"/>
          <w:iCs/>
          <w:color w:val="1A1A1A" w:themeColor="background1" w:themeShade="1A"/>
          <w:lang w:eastAsia="es-ES_tradnl"/>
        </w:rPr>
        <w:t>Sic</w:t>
      </w:r>
      <w:r w:rsidR="00B7701C">
        <w:rPr>
          <w:rFonts w:ascii="Arial" w:eastAsia="Times New Roman" w:hAnsi="Arial" w:cs="Arial"/>
          <w:iCs/>
          <w:color w:val="1A1A1A" w:themeColor="background1" w:themeShade="1A"/>
          <w:lang w:eastAsia="es-ES_tradnl"/>
        </w:rPr>
        <w:t>]</w:t>
      </w:r>
      <w:bookmarkEnd w:id="1"/>
    </w:p>
    <w:p w14:paraId="1C5347D0" w14:textId="77777777" w:rsidR="000166C5" w:rsidRPr="00E66E97" w:rsidRDefault="000166C5" w:rsidP="000166C5">
      <w:pPr>
        <w:tabs>
          <w:tab w:val="left" w:pos="426"/>
        </w:tabs>
        <w:spacing w:after="240" w:line="276" w:lineRule="auto"/>
        <w:jc w:val="both"/>
        <w:rPr>
          <w:rFonts w:ascii="Arial" w:eastAsia="Calibri" w:hAnsi="Arial" w:cs="Arial"/>
          <w:b/>
          <w:lang w:eastAsia="es-ES_tradnl"/>
        </w:rPr>
      </w:pPr>
      <w:r w:rsidRPr="00E66E97">
        <w:rPr>
          <w:rFonts w:ascii="Arial" w:eastAsia="Calibri" w:hAnsi="Arial" w:cs="Arial"/>
          <w:b/>
          <w:lang w:eastAsia="es-ES_tradnl"/>
        </w:rPr>
        <w:t>2. Consideraciones</w:t>
      </w:r>
    </w:p>
    <w:p w14:paraId="41F6A65E" w14:textId="77777777" w:rsidR="000166C5" w:rsidRPr="00E66E97" w:rsidRDefault="000166C5" w:rsidP="0073219D">
      <w:pPr>
        <w:tabs>
          <w:tab w:val="left" w:pos="426"/>
        </w:tabs>
        <w:spacing w:after="120" w:line="276" w:lineRule="auto"/>
        <w:jc w:val="both"/>
        <w:rPr>
          <w:rFonts w:ascii="Arial" w:eastAsia="Calibri" w:hAnsi="Arial" w:cs="Arial"/>
          <w:color w:val="000000" w:themeColor="text1"/>
          <w:lang w:val="es-ES"/>
        </w:rPr>
      </w:pPr>
      <w:r w:rsidRPr="00E66E97">
        <w:rPr>
          <w:rFonts w:ascii="Arial" w:eastAsia="Calibri" w:hAnsi="Arial" w:cs="Arial"/>
          <w:color w:val="000000" w:themeColor="text1"/>
          <w:lang w:val="es-ES"/>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w:t>
      </w:r>
    </w:p>
    <w:p w14:paraId="2E5939A5" w14:textId="77777777" w:rsidR="000166C5" w:rsidRPr="00E66E97" w:rsidRDefault="000166C5" w:rsidP="0073219D">
      <w:pPr>
        <w:widowControl w:val="0"/>
        <w:autoSpaceDE w:val="0"/>
        <w:autoSpaceDN w:val="0"/>
        <w:spacing w:after="120" w:line="276" w:lineRule="auto"/>
        <w:ind w:firstLine="709"/>
        <w:jc w:val="both"/>
        <w:rPr>
          <w:rFonts w:ascii="Arial" w:eastAsia="Calibri" w:hAnsi="Arial" w:cs="Arial"/>
          <w:color w:val="000000" w:themeColor="text1"/>
          <w:lang w:val="es-ES"/>
        </w:rPr>
      </w:pPr>
      <w:r w:rsidRPr="00E66E97">
        <w:rPr>
          <w:rFonts w:ascii="Arial" w:eastAsia="Calibri" w:hAnsi="Arial" w:cs="Arial"/>
          <w:color w:val="000000" w:themeColor="text1"/>
          <w:lang w:val="es-ES"/>
        </w:rPr>
        <w:t xml:space="preserve">Por lo anterior, la Subdirección de Gestión Contractual, dentro de los límites de sus atribuciones, resolverá la consulta conforme a las normas generales en materia de contratación estatal. Para responder sus interrogantes, se analizarán los siguientes temas: i) requisitos habilitantes en procesos de selección; </w:t>
      </w:r>
      <w:proofErr w:type="spellStart"/>
      <w:r w:rsidRPr="00E66E97">
        <w:rPr>
          <w:rFonts w:ascii="Arial" w:eastAsia="Calibri" w:hAnsi="Arial" w:cs="Arial"/>
          <w:color w:val="000000" w:themeColor="text1"/>
          <w:lang w:val="es-ES"/>
        </w:rPr>
        <w:t>ii</w:t>
      </w:r>
      <w:proofErr w:type="spellEnd"/>
      <w:r w:rsidRPr="00E66E97">
        <w:rPr>
          <w:rFonts w:ascii="Arial" w:eastAsia="Calibri" w:hAnsi="Arial" w:cs="Arial"/>
          <w:color w:val="000000" w:themeColor="text1"/>
          <w:lang w:val="es-ES"/>
        </w:rPr>
        <w:t xml:space="preserve">) naturaleza y capacidad jurídica de los consorcios y uniones temporales; </w:t>
      </w:r>
      <w:proofErr w:type="spellStart"/>
      <w:r w:rsidRPr="00E66E97">
        <w:rPr>
          <w:rFonts w:ascii="Arial" w:eastAsia="Calibri" w:hAnsi="Arial" w:cs="Arial"/>
          <w:color w:val="000000" w:themeColor="text1"/>
          <w:lang w:val="es-ES"/>
        </w:rPr>
        <w:t>iii</w:t>
      </w:r>
      <w:proofErr w:type="spellEnd"/>
      <w:r w:rsidRPr="00E66E97">
        <w:rPr>
          <w:rFonts w:ascii="Arial" w:eastAsia="Calibri" w:hAnsi="Arial" w:cs="Arial"/>
          <w:color w:val="000000" w:themeColor="text1"/>
          <w:lang w:val="es-ES"/>
        </w:rPr>
        <w:t xml:space="preserve">) reglas de </w:t>
      </w:r>
      <w:proofErr w:type="spellStart"/>
      <w:r w:rsidRPr="00E66E97">
        <w:rPr>
          <w:rFonts w:ascii="Arial" w:eastAsia="Calibri" w:hAnsi="Arial" w:cs="Arial"/>
          <w:color w:val="000000" w:themeColor="text1"/>
          <w:lang w:val="es-ES"/>
        </w:rPr>
        <w:t>subanabilidad</w:t>
      </w:r>
      <w:proofErr w:type="spellEnd"/>
      <w:r w:rsidRPr="00E66E97">
        <w:rPr>
          <w:rFonts w:ascii="Arial" w:eastAsia="Calibri" w:hAnsi="Arial" w:cs="Arial"/>
          <w:color w:val="000000" w:themeColor="text1"/>
          <w:lang w:val="es-ES"/>
        </w:rPr>
        <w:t xml:space="preserve"> y su alcance; y </w:t>
      </w:r>
      <w:proofErr w:type="spellStart"/>
      <w:r w:rsidRPr="00E66E97">
        <w:rPr>
          <w:rFonts w:ascii="Arial" w:eastAsia="Calibri" w:hAnsi="Arial" w:cs="Arial"/>
          <w:color w:val="000000" w:themeColor="text1"/>
          <w:lang w:val="es-ES"/>
        </w:rPr>
        <w:t>iv</w:t>
      </w:r>
      <w:proofErr w:type="spellEnd"/>
      <w:r w:rsidRPr="00E66E97">
        <w:rPr>
          <w:rFonts w:ascii="Arial" w:eastAsia="Calibri" w:hAnsi="Arial" w:cs="Arial"/>
          <w:color w:val="000000" w:themeColor="text1"/>
          <w:lang w:val="es-ES"/>
        </w:rPr>
        <w:t>) modificaciones al cronograma en los procesos de selección y su temporalidad.</w:t>
      </w:r>
    </w:p>
    <w:p w14:paraId="30052C16" w14:textId="77777777" w:rsidR="000166C5" w:rsidRPr="00E66E97" w:rsidRDefault="000166C5" w:rsidP="0073219D">
      <w:pPr>
        <w:widowControl w:val="0"/>
        <w:autoSpaceDE w:val="0"/>
        <w:autoSpaceDN w:val="0"/>
        <w:spacing w:after="120" w:line="276" w:lineRule="auto"/>
        <w:ind w:firstLine="709"/>
        <w:jc w:val="both"/>
        <w:rPr>
          <w:rFonts w:ascii="Arial" w:eastAsia="Arial" w:hAnsi="Arial" w:cs="Arial"/>
          <w:color w:val="000000" w:themeColor="text1"/>
          <w:lang w:val="es-MX"/>
        </w:rPr>
      </w:pPr>
      <w:r w:rsidRPr="00E66E97">
        <w:rPr>
          <w:rFonts w:ascii="Arial" w:eastAsia="Calibri" w:hAnsi="Arial" w:cs="Arial"/>
          <w:color w:val="000000" w:themeColor="text1"/>
          <w:lang w:val="es-ES"/>
        </w:rPr>
        <w:t xml:space="preserve">La Agencia Nacional de Contratación Pública − Colombia Compra Eficiente se pronunció sobre el principio de selección objetiva en los conceptos </w:t>
      </w:r>
      <w:r w:rsidRPr="00E66E97">
        <w:rPr>
          <w:rFonts w:ascii="Arial" w:eastAsia="Arial" w:hAnsi="Arial" w:cs="Arial"/>
          <w:color w:val="000000" w:themeColor="text1"/>
          <w:lang w:val="es-MX"/>
        </w:rPr>
        <w:t>con radicado No: 4201913000006471 del 28 de octubre de 2019, 4201912000006711 del 12 de noviembre de 2019 y 4201912000006496 del 15 de noviembre de 2019, las cuales se unificaron en el Concepto CU–060 del 24 de febrero de 2020, que se reitera,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C-728 de 26 de enero de 2022, C-285 del 20 de mayo de 2022 y C-785 del 21 de noviembre de 2022. Igualmente, se pronunció sobre la naturaleza y obligaciones de los proponentes plurales, en los Conceptos 4201913000007643 del 26 de diciembre de 2019, C-343 del 17 de junio de 2020, C-099 del 6 de abril de 2020, C-518 del 9 de septiembre de 2020, C-701 del 7 de enero de 2022, C-714 del 5 de octubre de 2022 y C-621 del 28 de septiembre de 2022, entre otros</w:t>
      </w:r>
      <w:r w:rsidRPr="00E66E97">
        <w:rPr>
          <w:rFonts w:ascii="Arial" w:eastAsia="Arial" w:hAnsi="Arial" w:cs="Arial"/>
          <w:color w:val="000000" w:themeColor="text1"/>
        </w:rPr>
        <w:t xml:space="preserve">. </w:t>
      </w:r>
    </w:p>
    <w:p w14:paraId="2A95EDC8" w14:textId="59B86834" w:rsidR="000166C5" w:rsidRDefault="000166C5" w:rsidP="0073219D">
      <w:pPr>
        <w:widowControl w:val="0"/>
        <w:autoSpaceDE w:val="0"/>
        <w:autoSpaceDN w:val="0"/>
        <w:spacing w:after="0" w:line="276" w:lineRule="auto"/>
        <w:ind w:firstLine="709"/>
        <w:jc w:val="both"/>
        <w:rPr>
          <w:rFonts w:ascii="Arial" w:eastAsia="Calibri" w:hAnsi="Arial" w:cs="Arial"/>
          <w:color w:val="000000" w:themeColor="text1"/>
          <w:lang w:val="es-ES"/>
        </w:rPr>
      </w:pPr>
      <w:r w:rsidRPr="00E66E97">
        <w:rPr>
          <w:rFonts w:ascii="Arial" w:eastAsia="Arial" w:hAnsi="Arial" w:cs="Arial"/>
          <w:color w:val="000000" w:themeColor="text1"/>
          <w:lang w:val="es-MX"/>
        </w:rPr>
        <w:t>Finalmente, la Agencia Nacional de Contratación Pública – Colombia Compra Eficiente, en los conceptos con radicado No. 2201913000006236 de 26 de agosto de 2019, C–465 del 27 de julio de 2020, C–500 del 3 de agosto de 2020, C–557 del 21 de agosto de 2020, C-674 del 18 de noviembre de 2020, C-419 del 12 de agosto de 2021, C-744 del 4 de febrero de 2022 y C-647 del 5 de octubre de 2022 se pronunció sobre la facultad que tienen las entidades estatales para modificar los pliegos de condiciones o documentos equivalentes.</w:t>
      </w:r>
      <w:r w:rsidR="0073219D">
        <w:rPr>
          <w:rFonts w:ascii="Arial" w:eastAsia="Arial" w:hAnsi="Arial" w:cs="Arial"/>
          <w:color w:val="000000" w:themeColor="text1"/>
          <w:lang w:val="es-MX"/>
        </w:rPr>
        <w:t xml:space="preserve"> </w:t>
      </w:r>
      <w:r w:rsidRPr="00E66E97">
        <w:rPr>
          <w:rFonts w:ascii="Arial" w:eastAsia="Calibri" w:hAnsi="Arial" w:cs="Arial"/>
          <w:color w:val="000000" w:themeColor="text1"/>
          <w:lang w:val="es-ES"/>
        </w:rPr>
        <w:t xml:space="preserve">Las tesis propuestas en dichos conceptos se reiteran y, en lo necesario, se complementan conforme a las siguientes consideraciones. </w:t>
      </w:r>
    </w:p>
    <w:p w14:paraId="11D9542C" w14:textId="77777777" w:rsidR="0073219D" w:rsidRPr="00E66E97" w:rsidRDefault="0073219D" w:rsidP="0073219D">
      <w:pPr>
        <w:widowControl w:val="0"/>
        <w:autoSpaceDE w:val="0"/>
        <w:autoSpaceDN w:val="0"/>
        <w:spacing w:after="0" w:line="276" w:lineRule="auto"/>
        <w:ind w:firstLine="709"/>
        <w:jc w:val="both"/>
        <w:rPr>
          <w:rFonts w:ascii="Arial" w:eastAsia="Calibri" w:hAnsi="Arial" w:cs="Arial"/>
          <w:color w:val="000000" w:themeColor="text1"/>
          <w:lang w:val="es-ES"/>
        </w:rPr>
      </w:pPr>
    </w:p>
    <w:p w14:paraId="54CFE9D9" w14:textId="77777777" w:rsidR="000166C5" w:rsidRPr="00E66E97" w:rsidRDefault="000166C5" w:rsidP="000166C5">
      <w:pPr>
        <w:spacing w:after="240" w:line="276" w:lineRule="auto"/>
        <w:jc w:val="both"/>
        <w:rPr>
          <w:rFonts w:ascii="Arial" w:eastAsia="Calibri" w:hAnsi="Arial" w:cs="Arial"/>
          <w:b/>
          <w:bCs/>
          <w:color w:val="000000" w:themeColor="text1"/>
          <w:lang w:val="es-ES_tradnl" w:eastAsia="es-ES_tradnl"/>
        </w:rPr>
      </w:pPr>
      <w:r w:rsidRPr="00E66E97">
        <w:rPr>
          <w:rFonts w:ascii="Arial" w:eastAsia="Times New Roman" w:hAnsi="Arial" w:cs="Arial"/>
          <w:b/>
          <w:bCs/>
          <w:lang w:eastAsia="es-ES_tradnl"/>
        </w:rPr>
        <w:t xml:space="preserve">2.1 </w:t>
      </w:r>
      <w:r w:rsidRPr="00E66E97">
        <w:rPr>
          <w:rFonts w:ascii="Arial" w:eastAsia="Calibri" w:hAnsi="Arial" w:cs="Arial"/>
          <w:b/>
          <w:bCs/>
          <w:color w:val="000000" w:themeColor="text1"/>
          <w:lang w:val="es-ES_tradnl" w:eastAsia="es-ES_tradnl"/>
        </w:rPr>
        <w:t>Principio de selección objetiva en la contratación estatal y requisitos habilitantes</w:t>
      </w:r>
    </w:p>
    <w:p w14:paraId="474AFBA7" w14:textId="77777777" w:rsidR="000166C5" w:rsidRPr="00E66E97" w:rsidRDefault="000166C5" w:rsidP="000166C5">
      <w:pPr>
        <w:spacing w:after="240" w:line="276" w:lineRule="auto"/>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 xml:space="preserve">Uno de los principios transversales de los procedimientos de selección es el de </w:t>
      </w:r>
      <w:r w:rsidRPr="00E66E97">
        <w:rPr>
          <w:rFonts w:ascii="Arial" w:eastAsia="Calibri" w:hAnsi="Arial" w:cs="Arial"/>
          <w:i/>
          <w:iCs/>
          <w:color w:val="000000" w:themeColor="text1"/>
          <w:lang w:val="es-ES_tradnl" w:eastAsia="es-ES_tradnl"/>
        </w:rPr>
        <w:t>selección objetiva</w:t>
      </w:r>
      <w:r w:rsidRPr="00E66E97">
        <w:rPr>
          <w:rFonts w:ascii="Arial" w:eastAsia="Calibri" w:hAnsi="Arial" w:cs="Arial"/>
          <w:color w:val="000000" w:themeColor="text1"/>
          <w:lang w:val="es-ES_tradnl" w:eastAsia="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22A51CFF" w14:textId="77777777" w:rsidR="000166C5" w:rsidRPr="00E66E97" w:rsidRDefault="000166C5" w:rsidP="000166C5">
      <w:pPr>
        <w:spacing w:after="240" w:line="276" w:lineRule="auto"/>
        <w:ind w:firstLine="708"/>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Si bien dentro de la historia de la contratación pública en Colombia, se vislumbran antecedentes normativos que consagraban dicho principio</w:t>
      </w:r>
      <w:r w:rsidRPr="00E66E97">
        <w:rPr>
          <w:rFonts w:ascii="Arial" w:eastAsia="Calibri" w:hAnsi="Arial" w:cs="Arial"/>
          <w:color w:val="000000" w:themeColor="text1"/>
          <w:vertAlign w:val="superscript"/>
          <w:lang w:val="es-ES_tradnl" w:eastAsia="es-ES_tradnl"/>
        </w:rPr>
        <w:footnoteReference w:id="2"/>
      </w:r>
      <w:r w:rsidRPr="00E66E97">
        <w:rPr>
          <w:rFonts w:ascii="Arial" w:eastAsia="Calibri" w:hAnsi="Arial" w:cs="Arial"/>
          <w:color w:val="000000" w:themeColor="text1"/>
          <w:lang w:val="es-ES_tradnl" w:eastAsia="es-ES_tradnl"/>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14:paraId="3356289F"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Times New Roman" w:hAnsi="Arial" w:cs="Arial"/>
          <w:i/>
          <w:iCs/>
          <w:color w:val="1A1A1A" w:themeColor="background1" w:themeShade="1A"/>
          <w:lang w:eastAsia="es-ES_tradnl"/>
        </w:rPr>
        <w:t>«</w:t>
      </w:r>
      <w:r w:rsidRPr="00E66E97">
        <w:rPr>
          <w:rFonts w:ascii="Arial" w:eastAsia="Calibri" w:hAnsi="Arial" w:cs="Arial"/>
          <w:color w:val="000000" w:themeColor="text1"/>
          <w:lang w:val="es-ES_tradnl" w:eastAsia="es-ES_tradnl"/>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B612844"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9527DA4"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CAAB440"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En los procesos de selección en los que se tenga en cuenta los factores técnicos y económicos, la oferta más ventajosa será la que resulte de aplicar alguna de las siguientes alternativas:</w:t>
      </w:r>
    </w:p>
    <w:p w14:paraId="1BD1D385"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a) La ponderación de los elementos de calidad y precio soportados en puntajes o fórmulas señaladas en el pliego de condiciones; o</w:t>
      </w:r>
    </w:p>
    <w:p w14:paraId="5BAC47BE"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b) La ponderación de los elementos de calidad y precio que representen la mejor relación de costo-beneficio para la entidad.</w:t>
      </w:r>
    </w:p>
    <w:p w14:paraId="7B49273A"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4072C8CB"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0E8DDCCE"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En ningún caso se podrá incluir el precio, como factor de escogencia para la selección de consultores.</w:t>
      </w:r>
    </w:p>
    <w:p w14:paraId="735C8221"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 xml:space="preserve">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E66E97">
        <w:rPr>
          <w:rFonts w:ascii="Arial" w:eastAsia="Calibri" w:hAnsi="Arial" w:cs="Arial"/>
          <w:color w:val="000000" w:themeColor="text1"/>
          <w:lang w:val="es-ES_tradnl" w:eastAsia="es-ES_tradnl"/>
        </w:rPr>
        <w:t>puntaje,</w:t>
      </w:r>
      <w:proofErr w:type="gramEnd"/>
      <w:r w:rsidRPr="00E66E97">
        <w:rPr>
          <w:rFonts w:ascii="Arial" w:eastAsia="Calibri" w:hAnsi="Arial" w:cs="Arial"/>
          <w:color w:val="000000" w:themeColor="text1"/>
          <w:lang w:val="es-ES_tradnl" w:eastAsia="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3EF92E24"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Durante el término otorgado para subsanar las ofertas, los proponentes no podrán acreditar circunstancias ocurridas con posterioridad al cierre del proceso.</w:t>
      </w:r>
    </w:p>
    <w:p w14:paraId="786BE22F"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PARÁGRAFO 2o. Las certificaciones de sistemas de gestión de calidad no serán objeto de calificación, ni podrán establecerse como documento habilitante para participar en licitaciones o concursos.</w:t>
      </w:r>
    </w:p>
    <w:p w14:paraId="5DD10D5F"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 xml:space="preserve">PARÁGRAFO 3o. &lt;Parágrafo adicionado por el artículo 5 de la Ley 1882 de 2018. El nuevo texto es el siguiente:&gt; La no entrega de la garantía de seriedad junto con la propuesta no será subsanable y será causal de rechazo de </w:t>
      </w:r>
      <w:proofErr w:type="gramStart"/>
      <w:r w:rsidRPr="00E66E97">
        <w:rPr>
          <w:rFonts w:ascii="Arial" w:eastAsia="Calibri" w:hAnsi="Arial" w:cs="Arial"/>
          <w:color w:val="000000" w:themeColor="text1"/>
          <w:lang w:val="es-ES_tradnl" w:eastAsia="es-ES_tradnl"/>
        </w:rPr>
        <w:t>la misma</w:t>
      </w:r>
      <w:proofErr w:type="gramEnd"/>
      <w:r w:rsidRPr="00E66E97">
        <w:rPr>
          <w:rFonts w:ascii="Arial" w:eastAsia="Calibri" w:hAnsi="Arial" w:cs="Arial"/>
          <w:color w:val="000000" w:themeColor="text1"/>
          <w:lang w:val="es-ES_tradnl" w:eastAsia="es-ES_tradnl"/>
        </w:rPr>
        <w:t>.</w:t>
      </w:r>
    </w:p>
    <w:p w14:paraId="37FAEFB8" w14:textId="77777777"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30CB4980" w14:textId="66084B9E" w:rsidR="000166C5" w:rsidRPr="00E66E97" w:rsidRDefault="000166C5" w:rsidP="000166C5">
      <w:pPr>
        <w:spacing w:after="240" w:line="240" w:lineRule="auto"/>
        <w:ind w:left="709" w:right="709"/>
        <w:jc w:val="both"/>
        <w:rPr>
          <w:rFonts w:ascii="Arial" w:eastAsia="Calibri" w:hAnsi="Arial" w:cs="Arial"/>
          <w:color w:val="000000" w:themeColor="text1"/>
          <w:lang w:val="es-ES_tradnl" w:eastAsia="es-ES_tradnl"/>
        </w:rPr>
      </w:pPr>
      <w:r w:rsidRPr="00E66E97">
        <w:rPr>
          <w:rFonts w:ascii="Arial" w:eastAsia="Calibri" w:hAnsi="Arial" w:cs="Arial"/>
          <w:color w:val="000000" w:themeColor="text1"/>
          <w:lang w:val="es-ES_tradnl" w:eastAsia="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D06C0C">
        <w:rPr>
          <w:rFonts w:ascii="Arial" w:eastAsia="Times New Roman" w:hAnsi="Arial" w:cs="Arial"/>
          <w:color w:val="1A1A1A" w:themeColor="background1" w:themeShade="1A"/>
          <w:lang w:eastAsia="es-ES_tradnl"/>
        </w:rPr>
        <w:t>»</w:t>
      </w:r>
      <w:r w:rsidR="00D06C0C" w:rsidRPr="00D06C0C">
        <w:rPr>
          <w:rFonts w:ascii="Arial" w:eastAsia="Times New Roman" w:hAnsi="Arial" w:cs="Arial"/>
          <w:color w:val="1A1A1A" w:themeColor="background1" w:themeShade="1A"/>
          <w:lang w:eastAsia="es-ES_tradnl"/>
        </w:rPr>
        <w:t>.</w:t>
      </w:r>
      <w:r w:rsidRPr="00E66E97">
        <w:rPr>
          <w:rFonts w:ascii="Arial" w:eastAsia="Calibri" w:hAnsi="Arial" w:cs="Arial"/>
          <w:color w:val="000000" w:themeColor="text1"/>
          <w:lang w:val="es-ES_tradnl" w:eastAsia="es-ES_tradnl"/>
        </w:rPr>
        <w:t xml:space="preserve"> </w:t>
      </w:r>
    </w:p>
    <w:p w14:paraId="01CF7D4F" w14:textId="77777777" w:rsidR="000166C5" w:rsidRPr="00E66E97" w:rsidRDefault="000166C5" w:rsidP="00BD6322">
      <w:pPr>
        <w:tabs>
          <w:tab w:val="left" w:pos="0"/>
        </w:tabs>
        <w:spacing w:after="120" w:line="276" w:lineRule="auto"/>
        <w:jc w:val="both"/>
        <w:rPr>
          <w:rFonts w:ascii="Arial" w:eastAsia="Calibri" w:hAnsi="Arial" w:cs="Arial"/>
          <w:bCs/>
          <w:lang w:eastAsia="es-ES_tradnl"/>
        </w:rPr>
      </w:pPr>
      <w:r w:rsidRPr="00E66E97">
        <w:rPr>
          <w:rFonts w:ascii="Arial" w:eastAsia="Calibri" w:hAnsi="Arial" w:cs="Arial"/>
          <w:bCs/>
          <w:lang w:eastAsia="es-ES_tradnl"/>
        </w:rPr>
        <w:tab/>
        <w:t xml:space="preserve">De acuerdo con el artículo 5 de la Ley 1150 de 2007, y conforme con lo expresado en el concepto C–166 del 23 de abril de 2021, para esta entidad el deber de selección objetiva supone que las entidades escojan en los procesos de selección el </w:t>
      </w:r>
      <w:r w:rsidRPr="00E66E97">
        <w:rPr>
          <w:rFonts w:ascii="Arial" w:eastAsia="Calibri" w:hAnsi="Arial" w:cs="Arial"/>
          <w:bCs/>
          <w:i/>
          <w:iCs/>
          <w:lang w:eastAsia="es-ES_tradnl"/>
        </w:rPr>
        <w:t xml:space="preserve">«[…] ofrecimiento más favorable a la entidad y a los fines que ella busca </w:t>
      </w:r>
      <w:r w:rsidRPr="00E66E97">
        <w:rPr>
          <w:rFonts w:ascii="Arial" w:eastAsia="Times New Roman" w:hAnsi="Arial" w:cs="Arial"/>
          <w:i/>
          <w:iCs/>
          <w:lang w:eastAsia="es-ES_tradnl"/>
        </w:rPr>
        <w:t>[…]</w:t>
      </w:r>
      <w:r w:rsidRPr="00E66E97">
        <w:rPr>
          <w:rFonts w:ascii="Arial" w:eastAsia="Calibri" w:hAnsi="Arial" w:cs="Arial"/>
          <w:bCs/>
          <w:i/>
          <w:iCs/>
          <w:lang w:eastAsia="es-ES_tradnl"/>
        </w:rPr>
        <w:t>».</w:t>
      </w:r>
      <w:r w:rsidRPr="00E66E97">
        <w:rPr>
          <w:rFonts w:ascii="Arial" w:eastAsia="Calibri" w:hAnsi="Arial" w:cs="Arial"/>
          <w:bCs/>
          <w:lang w:eastAsia="es-ES_tradnl"/>
        </w:rPr>
        <w:t xml:space="preserve">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1006EFF5" w14:textId="77777777" w:rsidR="000166C5" w:rsidRPr="00E66E97" w:rsidRDefault="000166C5" w:rsidP="00BD6322">
      <w:pPr>
        <w:tabs>
          <w:tab w:val="left" w:pos="0"/>
        </w:tabs>
        <w:spacing w:after="120" w:line="276" w:lineRule="auto"/>
        <w:jc w:val="both"/>
        <w:rPr>
          <w:rFonts w:ascii="Arial" w:eastAsia="Calibri" w:hAnsi="Arial" w:cs="Arial"/>
          <w:bCs/>
          <w:lang w:eastAsia="es-ES_tradnl"/>
        </w:rPr>
      </w:pPr>
      <w:r w:rsidRPr="00E66E97">
        <w:rPr>
          <w:rFonts w:ascii="Arial" w:eastAsia="Calibri" w:hAnsi="Arial" w:cs="Arial"/>
          <w:bCs/>
          <w:lang w:eastAsia="es-ES_tradnl"/>
        </w:rPr>
        <w:tab/>
        <w:t xml:space="preserve">Al respecto, </w:t>
      </w:r>
      <w:bookmarkStart w:id="2" w:name="_Hlk75296202"/>
      <w:r w:rsidRPr="00E66E97">
        <w:rPr>
          <w:rFonts w:ascii="Arial" w:eastAsia="Calibri" w:hAnsi="Arial" w:cs="Arial"/>
          <w:bCs/>
          <w:lang w:eastAsia="es-ES_tradnl"/>
        </w:rPr>
        <w:t>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 Esto comoquiera dichos requisitos no se refieren a la oferta misma sino a la idoneidad del oferente para asumir adecuadamente la ejecución del contrato</w:t>
      </w:r>
      <w:r w:rsidRPr="00E66E97">
        <w:rPr>
          <w:rFonts w:ascii="Arial" w:eastAsia="Calibri" w:hAnsi="Arial" w:cs="Arial"/>
          <w:bCs/>
          <w:vertAlign w:val="superscript"/>
          <w:lang w:eastAsia="es-ES_tradnl"/>
        </w:rPr>
        <w:footnoteReference w:id="3"/>
      </w:r>
      <w:r w:rsidRPr="00E66E97">
        <w:rPr>
          <w:rFonts w:ascii="Arial" w:eastAsia="Calibri" w:hAnsi="Arial" w:cs="Arial"/>
          <w:bCs/>
          <w:lang w:eastAsia="es-ES_tradnl"/>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E66E97">
        <w:rPr>
          <w:rFonts w:ascii="Arial" w:eastAsia="Calibri" w:hAnsi="Arial" w:cs="Arial"/>
          <w:bCs/>
          <w:i/>
          <w:iCs/>
          <w:lang w:eastAsia="es-ES_tradnl"/>
        </w:rPr>
        <w:t xml:space="preserve">habilitantes </w:t>
      </w:r>
      <w:r w:rsidRPr="00E66E97">
        <w:rPr>
          <w:rFonts w:ascii="Arial" w:eastAsia="Calibri" w:hAnsi="Arial" w:cs="Arial"/>
          <w:bCs/>
          <w:lang w:eastAsia="es-ES_tradnl"/>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bookmarkEnd w:id="2"/>
    </w:p>
    <w:p w14:paraId="75303C94" w14:textId="77777777" w:rsidR="000166C5" w:rsidRPr="00E66E97" w:rsidRDefault="000166C5" w:rsidP="000166C5">
      <w:pPr>
        <w:spacing w:after="240" w:line="276" w:lineRule="auto"/>
        <w:ind w:firstLine="709"/>
        <w:jc w:val="both"/>
        <w:rPr>
          <w:rFonts w:ascii="Arial" w:eastAsia="Calibri" w:hAnsi="Arial" w:cs="Arial"/>
          <w:color w:val="000000" w:themeColor="text1"/>
          <w:lang w:eastAsia="es-ES_tradnl"/>
        </w:rPr>
      </w:pPr>
      <w:r w:rsidRPr="00E66E97">
        <w:rPr>
          <w:rFonts w:ascii="Arial" w:eastAsia="Calibri" w:hAnsi="Arial" w:cs="Arial"/>
          <w:color w:val="000000" w:themeColor="text1"/>
          <w:lang w:val="es-ES_tradnl" w:eastAsia="es-ES_tradnl"/>
        </w:rPr>
        <w:t xml:space="preserve">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w:t>
      </w:r>
    </w:p>
    <w:p w14:paraId="569101E9" w14:textId="77777777" w:rsidR="000166C5" w:rsidRPr="00C842D4" w:rsidRDefault="000166C5" w:rsidP="000166C5">
      <w:pPr>
        <w:spacing w:after="240" w:line="240" w:lineRule="auto"/>
        <w:rPr>
          <w:rFonts w:ascii="Arial" w:eastAsia="Calibri" w:hAnsi="Arial" w:cs="Arial"/>
          <w:color w:val="000000"/>
          <w:lang w:eastAsia="es-ES_tradnl"/>
        </w:rPr>
      </w:pPr>
      <w:r w:rsidRPr="00C842D4">
        <w:rPr>
          <w:rFonts w:ascii="Arial" w:eastAsia="Calibri" w:hAnsi="Arial" w:cs="Arial"/>
          <w:b/>
          <w:bCs/>
          <w:color w:val="000000"/>
          <w:lang w:eastAsia="en-GB"/>
        </w:rPr>
        <w:t>2.2. Naturaleza y capacidad jurídica de los consorcios y uniones temporales</w:t>
      </w:r>
    </w:p>
    <w:p w14:paraId="14032323" w14:textId="77777777" w:rsidR="000166C5" w:rsidRPr="00E66E97" w:rsidRDefault="000166C5" w:rsidP="00C842D4">
      <w:pPr>
        <w:tabs>
          <w:tab w:val="left" w:pos="0"/>
        </w:tabs>
        <w:spacing w:after="120" w:line="276" w:lineRule="auto"/>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w:t>
      </w:r>
      <w:r w:rsidRPr="00E66E97">
        <w:rPr>
          <w:rFonts w:ascii="Arial" w:eastAsia="Calibri" w:hAnsi="Arial" w:cs="Arial"/>
          <w:bCs/>
          <w:color w:val="000000"/>
          <w:vertAlign w:val="superscript"/>
          <w:lang w:val="es-ES_tradnl" w:eastAsia="es-ES_tradnl" w:bidi="es-ES"/>
        </w:rPr>
        <w:footnoteReference w:id="4"/>
      </w:r>
      <w:r w:rsidRPr="00E66E97">
        <w:rPr>
          <w:rFonts w:ascii="Arial" w:eastAsia="Calibri" w:hAnsi="Arial" w:cs="Arial"/>
          <w:bCs/>
          <w:color w:val="000000"/>
          <w:lang w:val="es-ES_tradnl" w:eastAsia="es-ES_tradnl" w:bidi="es-ES"/>
        </w:rPr>
        <w:t xml:space="preserve">. </w:t>
      </w:r>
    </w:p>
    <w:p w14:paraId="5767A0DF" w14:textId="77777777" w:rsidR="000166C5" w:rsidRPr="00E66E97" w:rsidRDefault="000166C5" w:rsidP="00C842D4">
      <w:pPr>
        <w:tabs>
          <w:tab w:val="left" w:pos="0"/>
        </w:tabs>
        <w:spacing w:after="12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 xml:space="preserve">La capacidad jurídica permite crear, modificar o extinguir relaciones jurídicas de forma voluntaria y autónoma. De manera que, de acuerdo con lo establecido en el Código Civil, se refiere a la facultad que la ley le confiere a un sujeto para ejercer derechos y contraer obligaciones, partiendo del supuesto de que todas las personas naturales mayores de edad son capaces, con excepción de aquellas que la ley expresamente excluye de tal presunción </w:t>
      </w:r>
      <w:r w:rsidRPr="00E66E97">
        <w:rPr>
          <w:rFonts w:ascii="Arial" w:eastAsia="Calibri" w:hAnsi="Arial" w:cs="Arial"/>
          <w:b/>
          <w:bCs/>
          <w:color w:val="000000" w:themeColor="text1"/>
          <w:lang w:val="es-ES" w:eastAsia="es-ES_tradnl"/>
        </w:rPr>
        <w:t>–</w:t>
      </w:r>
      <w:r w:rsidRPr="00E66E97">
        <w:rPr>
          <w:rFonts w:ascii="Arial" w:eastAsia="Calibri" w:hAnsi="Arial" w:cs="Arial"/>
          <w:bCs/>
          <w:color w:val="000000"/>
          <w:lang w:val="es-ES_tradnl" w:eastAsia="es-ES_tradnl" w:bidi="es-ES"/>
        </w:rPr>
        <w:t>artículos 1502, 1503 y 1504</w:t>
      </w:r>
      <w:r w:rsidRPr="00E66E97">
        <w:rPr>
          <w:rFonts w:ascii="Arial" w:eastAsia="Calibri" w:hAnsi="Arial" w:cs="Arial"/>
          <w:b/>
          <w:bCs/>
          <w:color w:val="000000" w:themeColor="text1"/>
          <w:lang w:val="es-ES" w:eastAsia="es-ES_tradnl"/>
        </w:rPr>
        <w:t>–</w:t>
      </w:r>
      <w:r w:rsidRPr="00E66E97">
        <w:rPr>
          <w:rFonts w:ascii="Arial" w:eastAsia="Calibri" w:hAnsi="Arial" w:cs="Arial"/>
          <w:bCs/>
          <w:color w:val="000000"/>
          <w:lang w:val="es-ES_tradnl" w:eastAsia="es-ES_tradnl" w:bidi="es-ES"/>
        </w:rPr>
        <w:t>, y de que la capacidad de las personas jurídicas se circunscribe a lo expresado en su objeto social y su forma de creación</w:t>
      </w:r>
      <w:r w:rsidRPr="00E66E97">
        <w:rPr>
          <w:rFonts w:ascii="Arial" w:eastAsia="Calibri" w:hAnsi="Arial" w:cs="Arial"/>
          <w:bCs/>
          <w:color w:val="000000"/>
          <w:vertAlign w:val="superscript"/>
          <w:lang w:val="es-ES_tradnl" w:eastAsia="es-ES_tradnl" w:bidi="es-ES"/>
        </w:rPr>
        <w:footnoteReference w:id="5"/>
      </w:r>
      <w:r w:rsidRPr="00E66E97">
        <w:rPr>
          <w:rFonts w:ascii="Arial" w:eastAsia="Calibri" w:hAnsi="Arial" w:cs="Arial"/>
          <w:bCs/>
          <w:color w:val="000000"/>
          <w:lang w:val="es-ES_tradnl" w:eastAsia="es-ES_tradnl" w:bidi="es-ES"/>
        </w:rPr>
        <w:t>.</w:t>
      </w:r>
    </w:p>
    <w:p w14:paraId="3D937CD4" w14:textId="77777777" w:rsidR="000166C5" w:rsidRPr="00E66E97" w:rsidRDefault="000166C5" w:rsidP="000166C5">
      <w:pPr>
        <w:tabs>
          <w:tab w:val="left" w:pos="0"/>
        </w:tabs>
        <w:spacing w:after="240" w:line="240"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 xml:space="preserve">El Estatuto General de Contratación de la Administración Pública </w:t>
      </w:r>
      <w:r w:rsidRPr="00E66E97">
        <w:rPr>
          <w:rFonts w:ascii="Arial" w:eastAsia="Calibri" w:hAnsi="Arial" w:cs="Arial"/>
          <w:b/>
          <w:bCs/>
          <w:color w:val="000000" w:themeColor="text1"/>
          <w:lang w:val="es-ES" w:eastAsia="es-ES_tradnl"/>
        </w:rPr>
        <w:t>–</w:t>
      </w:r>
      <w:r w:rsidRPr="00E66E97">
        <w:rPr>
          <w:rFonts w:ascii="Arial" w:eastAsia="Calibri" w:hAnsi="Arial" w:cs="Arial"/>
          <w:bCs/>
          <w:color w:val="000000"/>
          <w:lang w:val="es-ES_tradnl" w:eastAsia="es-ES_tradnl" w:bidi="es-ES"/>
        </w:rPr>
        <w:t>artículo 6 Ley 80 de 1993</w:t>
      </w:r>
      <w:r w:rsidRPr="00E66E97">
        <w:rPr>
          <w:rFonts w:ascii="Arial" w:eastAsia="Calibri" w:hAnsi="Arial" w:cs="Arial"/>
          <w:b/>
          <w:bCs/>
          <w:color w:val="000000" w:themeColor="text1"/>
          <w:lang w:val="es-ES" w:eastAsia="es-ES_tradnl"/>
        </w:rPr>
        <w:t>–</w:t>
      </w:r>
      <w:r w:rsidRPr="00E66E97">
        <w:rPr>
          <w:rFonts w:ascii="Arial" w:eastAsia="Calibri" w:hAnsi="Arial" w:cs="Arial"/>
          <w:bCs/>
          <w:color w:val="000000"/>
          <w:lang w:val="es-ES_tradnl" w:eastAsia="es-ES_tradnl" w:bidi="es-ES"/>
        </w:rPr>
        <w:t xml:space="preserve">, define lo siguiente respecto de quienes pueden celebrar contratos con las entidades estatales: </w:t>
      </w:r>
    </w:p>
    <w:p w14:paraId="5E28A77B" w14:textId="64E0113F" w:rsidR="000166C5" w:rsidRPr="00C842D4" w:rsidRDefault="008F65AA" w:rsidP="000166C5">
      <w:pPr>
        <w:tabs>
          <w:tab w:val="left" w:pos="0"/>
        </w:tabs>
        <w:spacing w:after="240" w:line="240" w:lineRule="auto"/>
        <w:ind w:left="708" w:right="709"/>
        <w:jc w:val="both"/>
        <w:rPr>
          <w:rFonts w:ascii="Arial" w:eastAsia="Calibri" w:hAnsi="Arial" w:cs="Arial"/>
          <w:bCs/>
          <w:color w:val="000000"/>
          <w:sz w:val="21"/>
          <w:szCs w:val="21"/>
          <w:lang w:val="es-ES_tradnl" w:eastAsia="es-ES_tradnl" w:bidi="es-ES"/>
        </w:rPr>
      </w:pPr>
      <w:r w:rsidRPr="00C842D4">
        <w:rPr>
          <w:rFonts w:ascii="Arial" w:eastAsia="Calibri" w:hAnsi="Arial" w:cs="Arial"/>
          <w:bCs/>
          <w:color w:val="000000"/>
          <w:sz w:val="21"/>
          <w:szCs w:val="21"/>
          <w:lang w:val="es-ES_tradnl" w:eastAsia="es-ES_tradnl" w:bidi="es-ES"/>
        </w:rPr>
        <w:t>«</w:t>
      </w:r>
      <w:r w:rsidR="000166C5" w:rsidRPr="00C842D4">
        <w:rPr>
          <w:rFonts w:ascii="Arial" w:eastAsia="Calibri" w:hAnsi="Arial" w:cs="Arial"/>
          <w:bCs/>
          <w:color w:val="000000"/>
          <w:sz w:val="21"/>
          <w:szCs w:val="21"/>
          <w:lang w:val="es-ES_tradnl" w:eastAsia="es-ES_tradnl" w:bidi="es-ES"/>
        </w:rPr>
        <w:t xml:space="preserve">Artículo 6o. De la capacidad para contratar.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70 de 1993. </w:t>
      </w:r>
    </w:p>
    <w:p w14:paraId="58AE0B0D" w14:textId="77777777" w:rsidR="000166C5" w:rsidRPr="00C842D4" w:rsidRDefault="000166C5" w:rsidP="000166C5">
      <w:pPr>
        <w:tabs>
          <w:tab w:val="left" w:pos="0"/>
        </w:tabs>
        <w:spacing w:after="240" w:line="240" w:lineRule="auto"/>
        <w:ind w:left="708" w:right="709"/>
        <w:jc w:val="both"/>
        <w:rPr>
          <w:rFonts w:ascii="Arial" w:eastAsia="Calibri" w:hAnsi="Arial" w:cs="Arial"/>
          <w:bCs/>
          <w:color w:val="000000"/>
          <w:sz w:val="21"/>
          <w:szCs w:val="21"/>
          <w:lang w:val="es-ES_tradnl" w:eastAsia="es-ES_tradnl" w:bidi="es-ES"/>
        </w:rPr>
      </w:pPr>
      <w:r w:rsidRPr="00C842D4">
        <w:rPr>
          <w:rFonts w:ascii="Arial" w:eastAsia="Calibri" w:hAnsi="Arial" w:cs="Arial"/>
          <w:bCs/>
          <w:color w:val="000000"/>
          <w:sz w:val="21"/>
          <w:szCs w:val="21"/>
          <w:lang w:val="es-ES_tradnl" w:eastAsia="es-ES_tradnl" w:bidi="es-ES"/>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w:t>
      </w:r>
      <w:r w:rsidRPr="00C842D4">
        <w:rPr>
          <w:rFonts w:ascii="Arial" w:eastAsia="Calibri" w:hAnsi="Arial" w:cs="Arial"/>
          <w:bCs/>
          <w:i/>
          <w:iCs/>
          <w:color w:val="000000"/>
          <w:sz w:val="21"/>
          <w:szCs w:val="21"/>
          <w:lang w:val="es-ES_tradnl" w:eastAsia="es-ES_tradnl" w:bidi="es-ES"/>
        </w:rPr>
        <w:t>los consorcios y uniones temporales</w:t>
      </w:r>
      <w:r w:rsidRPr="00C842D4">
        <w:rPr>
          <w:rFonts w:ascii="Arial" w:eastAsia="Calibri" w:hAnsi="Arial" w:cs="Arial"/>
          <w:bCs/>
          <w:color w:val="000000"/>
          <w:sz w:val="21"/>
          <w:szCs w:val="21"/>
          <w:lang w:val="es-ES_tradnl" w:eastAsia="es-ES_tradnl" w:bidi="es-ES"/>
        </w:rPr>
        <w:t>.</w:t>
      </w:r>
    </w:p>
    <w:p w14:paraId="27EAC4BF" w14:textId="5BC4FE0C" w:rsidR="000166C5" w:rsidRPr="00E66E97" w:rsidRDefault="000166C5" w:rsidP="000166C5">
      <w:pPr>
        <w:tabs>
          <w:tab w:val="left" w:pos="0"/>
        </w:tabs>
        <w:spacing w:after="240" w:line="240" w:lineRule="auto"/>
        <w:ind w:left="708" w:right="709"/>
        <w:jc w:val="both"/>
        <w:rPr>
          <w:rFonts w:ascii="Arial" w:eastAsia="Calibri" w:hAnsi="Arial" w:cs="Arial"/>
          <w:bCs/>
          <w:color w:val="000000"/>
          <w:lang w:val="es-ES_tradnl" w:eastAsia="es-ES_tradnl" w:bidi="es-ES"/>
        </w:rPr>
      </w:pPr>
      <w:r w:rsidRPr="00C842D4">
        <w:rPr>
          <w:rFonts w:ascii="Arial" w:eastAsia="Calibri" w:hAnsi="Arial" w:cs="Arial"/>
          <w:bCs/>
          <w:color w:val="000000"/>
          <w:sz w:val="21"/>
          <w:szCs w:val="21"/>
          <w:lang w:val="es-ES_tradnl" w:eastAsia="es-ES_tradnl" w:bidi="es-ES"/>
        </w:rPr>
        <w:t>Las personas jurídicas nacionales y extranjeras deberán acreditar que su duración no será inferior a la del plazo del contrato y un año más</w:t>
      </w:r>
      <w:r w:rsidR="008F65AA" w:rsidRPr="00C842D4">
        <w:rPr>
          <w:rFonts w:ascii="Arial" w:eastAsia="Calibri" w:hAnsi="Arial" w:cs="Arial"/>
          <w:bCs/>
          <w:color w:val="000000"/>
          <w:sz w:val="21"/>
          <w:szCs w:val="21"/>
          <w:lang w:val="es-ES_tradnl" w:eastAsia="es-ES_tradnl" w:bidi="es-ES"/>
        </w:rPr>
        <w:t>»</w:t>
      </w:r>
      <w:r w:rsidRPr="00C842D4">
        <w:rPr>
          <w:rFonts w:ascii="Arial" w:eastAsia="Calibri" w:hAnsi="Arial" w:cs="Arial"/>
          <w:bCs/>
          <w:color w:val="000000"/>
          <w:sz w:val="21"/>
          <w:szCs w:val="21"/>
          <w:lang w:val="es-ES_tradnl" w:eastAsia="es-ES_tradnl" w:bidi="es-ES"/>
        </w:rPr>
        <w:t>.</w:t>
      </w:r>
      <w:r w:rsidRPr="00E66E97">
        <w:rPr>
          <w:rFonts w:ascii="Arial" w:eastAsia="Calibri" w:hAnsi="Arial" w:cs="Arial"/>
          <w:bCs/>
          <w:color w:val="000000"/>
          <w:lang w:val="es-ES_tradnl" w:eastAsia="es-ES_tradnl" w:bidi="es-ES"/>
        </w:rPr>
        <w:t xml:space="preserve"> (Cursiva fuera del original) </w:t>
      </w:r>
    </w:p>
    <w:p w14:paraId="748A90C0" w14:textId="77777777" w:rsidR="000166C5" w:rsidRDefault="000166C5" w:rsidP="00097095">
      <w:pPr>
        <w:tabs>
          <w:tab w:val="left" w:pos="0"/>
        </w:tabs>
        <w:spacing w:after="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Conforme a la anterior descripción normativa,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w:t>
      </w:r>
      <w:r w:rsidRPr="00E66E97" w:rsidDel="00C8511F">
        <w:rPr>
          <w:rFonts w:ascii="Arial" w:eastAsia="Calibri" w:hAnsi="Arial" w:cs="Arial"/>
          <w:bCs/>
          <w:color w:val="000000"/>
          <w:lang w:val="es-ES_tradnl" w:eastAsia="es-ES_tradnl" w:bidi="es-ES"/>
        </w:rPr>
        <w:t xml:space="preserve"> </w:t>
      </w:r>
      <w:r w:rsidRPr="00E66E97">
        <w:rPr>
          <w:rFonts w:ascii="Arial" w:eastAsia="Calibri" w:hAnsi="Arial" w:cs="Arial"/>
          <w:bCs/>
          <w:color w:val="000000"/>
          <w:lang w:val="es-ES_tradnl" w:eastAsia="es-ES_tradnl" w:bidi="es-ES"/>
        </w:rPr>
        <w:t>estatal:</w:t>
      </w:r>
    </w:p>
    <w:p w14:paraId="2B36A7A0" w14:textId="77777777" w:rsidR="00097095" w:rsidRPr="00E66E97" w:rsidRDefault="00097095" w:rsidP="00C842D4">
      <w:pPr>
        <w:tabs>
          <w:tab w:val="left" w:pos="0"/>
        </w:tabs>
        <w:spacing w:after="0" w:line="276" w:lineRule="auto"/>
        <w:ind w:firstLine="709"/>
        <w:jc w:val="both"/>
        <w:rPr>
          <w:rFonts w:ascii="Arial" w:eastAsia="Calibri" w:hAnsi="Arial" w:cs="Arial"/>
          <w:bCs/>
          <w:color w:val="000000"/>
          <w:lang w:val="es-ES_tradnl" w:eastAsia="es-ES_tradnl" w:bidi="es-ES"/>
        </w:rPr>
      </w:pPr>
    </w:p>
    <w:p w14:paraId="02E00CE4" w14:textId="136538DB" w:rsidR="000166C5" w:rsidRPr="00E66E97" w:rsidRDefault="000166C5" w:rsidP="000166C5">
      <w:pPr>
        <w:tabs>
          <w:tab w:val="left" w:pos="0"/>
        </w:tabs>
        <w:spacing w:after="240" w:line="240" w:lineRule="auto"/>
        <w:ind w:left="708" w:right="709"/>
        <w:jc w:val="both"/>
        <w:rPr>
          <w:rFonts w:ascii="Arial" w:eastAsia="Calibri" w:hAnsi="Arial" w:cs="Arial"/>
          <w:bCs/>
          <w:iCs/>
          <w:color w:val="000000"/>
          <w:lang w:val="es-ES_tradnl" w:eastAsia="es-ES_tradnl" w:bidi="es-ES"/>
        </w:rPr>
      </w:pPr>
      <w:r w:rsidRPr="00E66E97">
        <w:rPr>
          <w:rFonts w:ascii="Arial" w:eastAsia="Calibri" w:hAnsi="Arial" w:cs="Arial"/>
          <w:bCs/>
          <w:color w:val="000000"/>
          <w:lang w:val="es-ES_tradnl" w:eastAsia="es-ES_tradnl" w:bidi="es-ES"/>
        </w:rPr>
        <w:t>«</w:t>
      </w:r>
      <w:r w:rsidRPr="00E66E97">
        <w:rPr>
          <w:rFonts w:ascii="Arial" w:eastAsia="Calibri" w:hAnsi="Arial" w:cs="Arial"/>
          <w:bCs/>
          <w:iCs/>
          <w:color w:val="000000"/>
          <w:lang w:val="es-ES_tradnl" w:eastAsia="es-ES_tradnl" w:bidi="es-ES"/>
        </w:rPr>
        <w:t xml:space="preserve">Artículo 7o. </w:t>
      </w:r>
      <w:r w:rsidR="00480ACA" w:rsidRPr="00480ACA">
        <w:rPr>
          <w:rFonts w:ascii="Arial" w:eastAsia="Calibri" w:hAnsi="Arial" w:cs="Arial"/>
          <w:bCs/>
          <w:iCs/>
          <w:color w:val="000000"/>
          <w:lang w:val="es-ES_tradnl" w:eastAsia="es-ES_tradnl" w:bidi="es-ES"/>
        </w:rPr>
        <w:t>E</w:t>
      </w:r>
      <w:r w:rsidR="009D29D6" w:rsidRPr="00480ACA">
        <w:rPr>
          <w:rFonts w:ascii="Arial" w:eastAsia="Calibri" w:hAnsi="Arial" w:cs="Arial"/>
          <w:bCs/>
          <w:iCs/>
          <w:color w:val="000000"/>
          <w:lang w:val="es-ES_tradnl" w:eastAsia="es-ES_tradnl" w:bidi="es-ES"/>
        </w:rPr>
        <w:t>ntidades a contratar</w:t>
      </w:r>
      <w:r w:rsidR="00480ACA" w:rsidRPr="00480ACA">
        <w:rPr>
          <w:rFonts w:ascii="Arial" w:eastAsia="Calibri" w:hAnsi="Arial" w:cs="Arial"/>
          <w:bCs/>
          <w:iCs/>
          <w:color w:val="000000"/>
          <w:lang w:val="es-ES_tradnl" w:eastAsia="es-ES_tradnl" w:bidi="es-ES"/>
        </w:rPr>
        <w:t xml:space="preserve">. Para los efectos de esta ley se entiende por:  </w:t>
      </w:r>
    </w:p>
    <w:p w14:paraId="4DC5F389" w14:textId="7C9BCC1B" w:rsidR="00EA0B7D" w:rsidRDefault="00EA0B7D" w:rsidP="000166C5">
      <w:pPr>
        <w:tabs>
          <w:tab w:val="left" w:pos="0"/>
        </w:tabs>
        <w:spacing w:after="240" w:line="240" w:lineRule="auto"/>
        <w:ind w:left="708" w:right="709"/>
        <w:jc w:val="both"/>
        <w:rPr>
          <w:rFonts w:ascii="Arial" w:eastAsia="Calibri" w:hAnsi="Arial" w:cs="Arial"/>
          <w:bCs/>
          <w:iCs/>
          <w:color w:val="000000"/>
          <w:lang w:val="es-ES_tradnl" w:eastAsia="es-ES_tradnl" w:bidi="es-ES"/>
        </w:rPr>
      </w:pPr>
      <w:r>
        <w:rPr>
          <w:rFonts w:ascii="Arial" w:eastAsia="Calibri" w:hAnsi="Arial" w:cs="Arial"/>
          <w:bCs/>
          <w:iCs/>
          <w:color w:val="000000"/>
          <w:lang w:val="es-ES_tradnl" w:eastAsia="es-ES_tradnl" w:bidi="es-ES"/>
        </w:rPr>
        <w:t>[...]</w:t>
      </w:r>
    </w:p>
    <w:p w14:paraId="60074B4D" w14:textId="77777777" w:rsidR="00EA0B7D" w:rsidRPr="00EA0B7D" w:rsidRDefault="00EA0B7D" w:rsidP="00EA0B7D">
      <w:pPr>
        <w:tabs>
          <w:tab w:val="left" w:pos="0"/>
        </w:tabs>
        <w:spacing w:after="240" w:line="240" w:lineRule="auto"/>
        <w:ind w:left="708" w:right="709"/>
        <w:jc w:val="both"/>
        <w:rPr>
          <w:rFonts w:ascii="Arial" w:eastAsia="Calibri" w:hAnsi="Arial" w:cs="Arial"/>
          <w:bCs/>
          <w:iCs/>
          <w:color w:val="000000"/>
          <w:lang w:val="es-ES_tradnl" w:eastAsia="es-ES_tradnl" w:bidi="es-ES"/>
        </w:rPr>
      </w:pPr>
      <w:r w:rsidRPr="00EA0B7D">
        <w:rPr>
          <w:rFonts w:ascii="Arial" w:eastAsia="Calibri" w:hAnsi="Arial" w:cs="Arial"/>
          <w:bCs/>
          <w:iCs/>
          <w:color w:val="000000"/>
          <w:lang w:val="es-ES_tradnl" w:eastAsia="es-ES_tradnl" w:bidi="es-ES"/>
        </w:rPr>
        <w:t xml:space="preserve">6.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021076F3" w14:textId="21BB60CC" w:rsidR="00EA0B7D" w:rsidRPr="00E66E97" w:rsidRDefault="00EA0B7D" w:rsidP="00EA0B7D">
      <w:pPr>
        <w:tabs>
          <w:tab w:val="left" w:pos="0"/>
        </w:tabs>
        <w:spacing w:after="240" w:line="240" w:lineRule="auto"/>
        <w:ind w:left="708" w:right="709"/>
        <w:jc w:val="both"/>
        <w:rPr>
          <w:rFonts w:ascii="Arial" w:eastAsia="Calibri" w:hAnsi="Arial" w:cs="Arial"/>
          <w:bCs/>
          <w:iCs/>
          <w:color w:val="000000"/>
          <w:lang w:val="es-ES_tradnl" w:eastAsia="es-ES_tradnl" w:bidi="es-ES"/>
        </w:rPr>
      </w:pPr>
      <w:r w:rsidRPr="00EA0B7D">
        <w:rPr>
          <w:rFonts w:ascii="Arial" w:eastAsia="Calibri" w:hAnsi="Arial" w:cs="Arial"/>
          <w:bCs/>
          <w:iCs/>
          <w:color w:val="000000"/>
          <w:lang w:val="es-ES_tradnl" w:eastAsia="es-ES_tradnl" w:bidi="es-ES"/>
        </w:rPr>
        <w:t xml:space="preserve">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5C86FF4E" w14:textId="72B5C70D" w:rsidR="00EA0B7D" w:rsidRDefault="001014DE" w:rsidP="000166C5">
      <w:pPr>
        <w:tabs>
          <w:tab w:val="left" w:pos="0"/>
        </w:tabs>
        <w:spacing w:after="240" w:line="240" w:lineRule="auto"/>
        <w:ind w:left="708" w:right="709"/>
        <w:jc w:val="both"/>
        <w:rPr>
          <w:rFonts w:ascii="Arial" w:eastAsia="Calibri" w:hAnsi="Arial" w:cs="Arial"/>
          <w:bCs/>
          <w:iCs/>
          <w:color w:val="000000"/>
          <w:lang w:val="es-ES_tradnl" w:eastAsia="es-ES_tradnl" w:bidi="es-ES"/>
        </w:rPr>
      </w:pPr>
      <w:r>
        <w:rPr>
          <w:rFonts w:ascii="Arial" w:eastAsia="Calibri" w:hAnsi="Arial" w:cs="Arial"/>
          <w:bCs/>
          <w:iCs/>
          <w:color w:val="000000"/>
          <w:lang w:val="es-ES_tradnl" w:eastAsia="es-ES_tradnl" w:bidi="es-ES"/>
        </w:rPr>
        <w:t>[…]</w:t>
      </w:r>
    </w:p>
    <w:p w14:paraId="0672E8D3" w14:textId="77777777" w:rsidR="001014DE" w:rsidRPr="001014DE" w:rsidRDefault="001014DE" w:rsidP="001014DE">
      <w:pPr>
        <w:tabs>
          <w:tab w:val="left" w:pos="0"/>
        </w:tabs>
        <w:spacing w:after="240" w:line="240" w:lineRule="auto"/>
        <w:ind w:left="708" w:right="709"/>
        <w:jc w:val="both"/>
        <w:rPr>
          <w:rFonts w:ascii="Arial" w:eastAsia="Calibri" w:hAnsi="Arial" w:cs="Arial"/>
          <w:bCs/>
          <w:iCs/>
          <w:color w:val="000000"/>
          <w:lang w:val="es-ES_tradnl" w:eastAsia="es-ES_tradnl" w:bidi="es-ES"/>
        </w:rPr>
      </w:pPr>
      <w:r w:rsidRPr="001014DE">
        <w:rPr>
          <w:rFonts w:ascii="Arial" w:eastAsia="Calibri" w:hAnsi="Arial" w:cs="Arial"/>
          <w:bCs/>
          <w:iCs/>
          <w:color w:val="000000"/>
          <w:lang w:val="es-ES_tradnl" w:eastAsia="es-ES_tradnl" w:bidi="es-ES"/>
        </w:rPr>
        <w:t xml:space="preserve">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14:paraId="6C7CC408" w14:textId="77777777" w:rsidR="001014DE" w:rsidRPr="001014DE" w:rsidRDefault="001014DE" w:rsidP="001014DE">
      <w:pPr>
        <w:tabs>
          <w:tab w:val="left" w:pos="0"/>
        </w:tabs>
        <w:spacing w:after="240" w:line="240" w:lineRule="auto"/>
        <w:ind w:left="708" w:right="709"/>
        <w:jc w:val="both"/>
        <w:rPr>
          <w:rFonts w:ascii="Arial" w:eastAsia="Calibri" w:hAnsi="Arial" w:cs="Arial"/>
          <w:bCs/>
          <w:iCs/>
          <w:color w:val="000000"/>
          <w:lang w:val="es-ES_tradnl" w:eastAsia="es-ES_tradnl" w:bidi="es-ES"/>
        </w:rPr>
      </w:pPr>
      <w:r w:rsidRPr="001014DE">
        <w:rPr>
          <w:rFonts w:ascii="Arial" w:eastAsia="Calibri" w:hAnsi="Arial" w:cs="Arial"/>
          <w:bCs/>
          <w:iCs/>
          <w:color w:val="000000"/>
          <w:lang w:val="es-ES_tradnl" w:eastAsia="es-ES_tradnl" w:bidi="es-ES"/>
        </w:rPr>
        <w:t xml:space="preserve">Los miembros del consorcio y de la unión temporal deberán designar la persona que, para todos los efectos, representará al consorcio o unión temporal y señalarán las reglas básicas que regulen las relaciones entre ellos y su responsabilidad.  </w:t>
      </w:r>
    </w:p>
    <w:p w14:paraId="10F654DE" w14:textId="77777777" w:rsidR="001014DE" w:rsidRPr="001014DE" w:rsidRDefault="001014DE" w:rsidP="001014DE">
      <w:pPr>
        <w:tabs>
          <w:tab w:val="left" w:pos="0"/>
        </w:tabs>
        <w:spacing w:after="240" w:line="240" w:lineRule="auto"/>
        <w:ind w:left="708" w:right="709"/>
        <w:jc w:val="both"/>
        <w:rPr>
          <w:rFonts w:ascii="Arial" w:eastAsia="Calibri" w:hAnsi="Arial" w:cs="Arial"/>
          <w:bCs/>
          <w:iCs/>
          <w:color w:val="000000"/>
          <w:lang w:val="es-ES_tradnl" w:eastAsia="es-ES_tradnl" w:bidi="es-ES"/>
        </w:rPr>
      </w:pPr>
      <w:r w:rsidRPr="001014DE">
        <w:rPr>
          <w:rFonts w:ascii="Arial" w:eastAsia="Calibri" w:hAnsi="Arial" w:cs="Arial"/>
          <w:bCs/>
          <w:iCs/>
          <w:color w:val="000000"/>
          <w:lang w:val="es-ES_tradnl" w:eastAsia="es-ES_tradnl" w:bidi="es-ES"/>
        </w:rPr>
        <w:t xml:space="preserve">Parágrafo 2. 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  </w:t>
      </w:r>
    </w:p>
    <w:p w14:paraId="35D14E73" w14:textId="6053C139" w:rsidR="000166C5" w:rsidRPr="00E66E97" w:rsidRDefault="001014DE" w:rsidP="000166C5">
      <w:pPr>
        <w:tabs>
          <w:tab w:val="left" w:pos="0"/>
        </w:tabs>
        <w:spacing w:after="240" w:line="240" w:lineRule="auto"/>
        <w:ind w:left="708" w:right="709"/>
        <w:jc w:val="both"/>
        <w:rPr>
          <w:rFonts w:ascii="Arial" w:eastAsia="Calibri" w:hAnsi="Arial" w:cs="Arial"/>
          <w:bCs/>
          <w:color w:val="000000"/>
          <w:lang w:val="es-ES_tradnl" w:eastAsia="es-ES_tradnl" w:bidi="es-ES"/>
        </w:rPr>
      </w:pPr>
      <w:r w:rsidRPr="001014DE">
        <w:rPr>
          <w:rFonts w:ascii="Arial" w:eastAsia="Calibri" w:hAnsi="Arial" w:cs="Arial"/>
          <w:bCs/>
          <w:iCs/>
          <w:color w:val="000000"/>
          <w:lang w:val="es-ES_tradnl" w:eastAsia="es-ES_tradnl" w:bidi="es-ES"/>
        </w:rPr>
        <w:t>Parágrafo 3. Los miembros que hagan parte de los consorcios o uniones temporales no podrán contratar acorde con lo previsto en la presente ley cuando hayan sido sancionados disciplinaria, fiscal o penalmente</w:t>
      </w:r>
      <w:r w:rsidR="000166C5" w:rsidRPr="00E66E97">
        <w:rPr>
          <w:rFonts w:ascii="Arial" w:eastAsia="Calibri" w:hAnsi="Arial" w:cs="Arial"/>
          <w:b/>
          <w:bCs/>
          <w:color w:val="000000"/>
          <w:lang w:val="es-ES_tradnl" w:eastAsia="es-ES_tradnl" w:bidi="es-ES"/>
        </w:rPr>
        <w:t>»</w:t>
      </w:r>
      <w:r>
        <w:rPr>
          <w:rFonts w:ascii="Arial" w:eastAsia="Calibri" w:hAnsi="Arial" w:cs="Arial"/>
          <w:b/>
          <w:bCs/>
          <w:color w:val="000000"/>
          <w:lang w:val="es-ES_tradnl" w:eastAsia="es-ES_tradnl" w:bidi="es-ES"/>
        </w:rPr>
        <w:t>.</w:t>
      </w:r>
    </w:p>
    <w:p w14:paraId="39BB5151" w14:textId="77777777" w:rsidR="000166C5" w:rsidRPr="00E66E97" w:rsidRDefault="000166C5" w:rsidP="00C842D4">
      <w:pPr>
        <w:tabs>
          <w:tab w:val="left" w:pos="0"/>
        </w:tabs>
        <w:spacing w:after="12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Así pues, los consorcios</w:t>
      </w:r>
      <w:r w:rsidRPr="00E66E97">
        <w:rPr>
          <w:rFonts w:ascii="Arial" w:eastAsia="Calibri" w:hAnsi="Arial" w:cs="Arial"/>
          <w:bCs/>
          <w:color w:val="000000"/>
          <w:vertAlign w:val="superscript"/>
          <w:lang w:val="es-ES_tradnl" w:eastAsia="es-ES_tradnl" w:bidi="es-ES"/>
        </w:rPr>
        <w:footnoteReference w:id="6"/>
      </w:r>
      <w:r w:rsidRPr="00E66E97">
        <w:rPr>
          <w:rFonts w:ascii="Arial" w:eastAsia="Calibri" w:hAnsi="Arial" w:cs="Arial"/>
          <w:bCs/>
          <w:color w:val="000000"/>
          <w:lang w:val="es-ES_tradnl" w:eastAsia="es-ES_tradnl" w:bidi="es-ES"/>
        </w:rPr>
        <w:t xml:space="preserve">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 </w:t>
      </w:r>
    </w:p>
    <w:p w14:paraId="622B6B76" w14:textId="77777777" w:rsidR="000166C5" w:rsidRDefault="000166C5" w:rsidP="00F83557">
      <w:pPr>
        <w:tabs>
          <w:tab w:val="left" w:pos="0"/>
        </w:tabs>
        <w:spacing w:after="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La diferencia entre los consorcios y las uniones temporales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Sobre el particular la Corte Constitucional en sentencia C – 949 de 2001</w:t>
      </w:r>
      <w:r w:rsidRPr="00E66E97">
        <w:rPr>
          <w:rFonts w:ascii="Arial" w:eastAsia="Calibri" w:hAnsi="Arial" w:cs="Arial"/>
          <w:bCs/>
          <w:color w:val="000000"/>
          <w:vertAlign w:val="superscript"/>
          <w:lang w:val="es-ES_tradnl" w:eastAsia="es-ES_tradnl" w:bidi="es-ES"/>
        </w:rPr>
        <w:footnoteReference w:id="7"/>
      </w:r>
      <w:r w:rsidRPr="00E66E97">
        <w:rPr>
          <w:rFonts w:ascii="Arial" w:eastAsia="Calibri" w:hAnsi="Arial" w:cs="Arial"/>
          <w:bCs/>
          <w:color w:val="000000"/>
          <w:lang w:val="es-ES_tradnl" w:eastAsia="es-ES_tradnl" w:bidi="es-ES"/>
        </w:rPr>
        <w:t xml:space="preserve"> consideró lo siguiente:</w:t>
      </w:r>
    </w:p>
    <w:p w14:paraId="0974D295" w14:textId="77777777" w:rsidR="00F83557" w:rsidRPr="00E66E97" w:rsidRDefault="00F83557" w:rsidP="00C842D4">
      <w:pPr>
        <w:tabs>
          <w:tab w:val="left" w:pos="0"/>
        </w:tabs>
        <w:spacing w:after="0" w:line="276" w:lineRule="auto"/>
        <w:ind w:firstLine="709"/>
        <w:jc w:val="both"/>
        <w:rPr>
          <w:rFonts w:ascii="Arial" w:eastAsia="Calibri" w:hAnsi="Arial" w:cs="Arial"/>
          <w:bCs/>
          <w:color w:val="000000"/>
          <w:lang w:val="es-ES_tradnl" w:eastAsia="es-ES_tradnl" w:bidi="es-ES"/>
        </w:rPr>
      </w:pPr>
    </w:p>
    <w:p w14:paraId="36C6824E" w14:textId="5FEC2A67" w:rsidR="000166C5" w:rsidRPr="00C842D4" w:rsidRDefault="00EC2F4A" w:rsidP="000166C5">
      <w:pPr>
        <w:tabs>
          <w:tab w:val="left" w:pos="0"/>
        </w:tabs>
        <w:spacing w:after="240" w:line="240" w:lineRule="auto"/>
        <w:ind w:left="708" w:right="709"/>
        <w:jc w:val="both"/>
        <w:rPr>
          <w:rFonts w:ascii="Arial" w:eastAsia="Calibri" w:hAnsi="Arial" w:cs="Arial"/>
          <w:b/>
          <w:bCs/>
          <w:color w:val="000000"/>
          <w:sz w:val="21"/>
          <w:szCs w:val="21"/>
          <w:lang w:val="es-ES_tradnl" w:eastAsia="es-ES_tradnl" w:bidi="es-ES"/>
        </w:rPr>
      </w:pPr>
      <w:r w:rsidRPr="00C842D4">
        <w:rPr>
          <w:rFonts w:ascii="Arial" w:eastAsia="Calibri" w:hAnsi="Arial" w:cs="Arial"/>
          <w:bCs/>
          <w:color w:val="000000"/>
          <w:sz w:val="21"/>
          <w:szCs w:val="21"/>
          <w:lang w:val="es-ES_tradnl" w:eastAsia="es-ES_tradnl" w:bidi="es-ES"/>
        </w:rPr>
        <w:t>«</w:t>
      </w:r>
      <w:r w:rsidR="000166C5" w:rsidRPr="00C842D4">
        <w:rPr>
          <w:rFonts w:ascii="Arial" w:eastAsia="Calibri" w:hAnsi="Arial" w:cs="Arial"/>
          <w:bCs/>
          <w:color w:val="000000"/>
          <w:sz w:val="21"/>
          <w:szCs w:val="21"/>
          <w:lang w:val="es-ES_tradnl" w:eastAsia="es-ES_tradnl" w:bidi="es-ES"/>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000166C5" w:rsidRPr="00C842D4">
        <w:rPr>
          <w:rFonts w:ascii="Arial" w:eastAsia="Calibri" w:hAnsi="Arial" w:cs="Arial"/>
          <w:color w:val="000000"/>
          <w:sz w:val="21"/>
          <w:szCs w:val="21"/>
          <w:lang w:val="es-ES_tradnl" w:eastAsia="es-ES_tradnl" w:bidi="es-ES"/>
        </w:rPr>
        <w:t xml:space="preserve"> […]</w:t>
      </w:r>
    </w:p>
    <w:p w14:paraId="7881CE83" w14:textId="77777777" w:rsidR="000166C5" w:rsidRPr="00C842D4" w:rsidRDefault="000166C5" w:rsidP="000166C5">
      <w:pPr>
        <w:tabs>
          <w:tab w:val="left" w:pos="0"/>
        </w:tabs>
        <w:spacing w:after="240" w:line="240" w:lineRule="auto"/>
        <w:ind w:left="708" w:right="709"/>
        <w:jc w:val="both"/>
        <w:rPr>
          <w:rFonts w:ascii="Arial" w:eastAsia="Calibri" w:hAnsi="Arial" w:cs="Arial"/>
          <w:bCs/>
          <w:color w:val="000000"/>
          <w:sz w:val="21"/>
          <w:szCs w:val="21"/>
          <w:lang w:val="es-ES_tradnl" w:eastAsia="es-ES_tradnl" w:bidi="es-ES"/>
        </w:rPr>
      </w:pPr>
      <w:r w:rsidRPr="00C842D4">
        <w:rPr>
          <w:rFonts w:ascii="Arial" w:eastAsia="Calibri" w:hAnsi="Arial" w:cs="Arial"/>
          <w:bCs/>
          <w:color w:val="000000"/>
          <w:sz w:val="21"/>
          <w:szCs w:val="21"/>
          <w:lang w:val="es-ES_tradnl" w:eastAsia="es-ES_tradnl" w:bidi="es-ES"/>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 […]</w:t>
      </w:r>
    </w:p>
    <w:p w14:paraId="26DC722D" w14:textId="342BC94B" w:rsidR="000166C5" w:rsidRPr="00C842D4" w:rsidRDefault="000166C5" w:rsidP="000166C5">
      <w:pPr>
        <w:tabs>
          <w:tab w:val="left" w:pos="0"/>
        </w:tabs>
        <w:spacing w:after="240" w:line="240" w:lineRule="auto"/>
        <w:ind w:left="708" w:right="709"/>
        <w:jc w:val="both"/>
        <w:rPr>
          <w:rFonts w:ascii="Arial" w:eastAsia="Calibri" w:hAnsi="Arial" w:cs="Arial"/>
          <w:bCs/>
          <w:color w:val="000000"/>
          <w:sz w:val="21"/>
          <w:szCs w:val="21"/>
          <w:lang w:val="es-ES_tradnl" w:eastAsia="es-ES_tradnl" w:bidi="es-ES"/>
        </w:rPr>
      </w:pPr>
      <w:r w:rsidRPr="00C842D4">
        <w:rPr>
          <w:rFonts w:ascii="Arial" w:eastAsia="Calibri" w:hAnsi="Arial" w:cs="Arial"/>
          <w:bCs/>
          <w:color w:val="000000"/>
          <w:sz w:val="21"/>
          <w:szCs w:val="21"/>
          <w:lang w:val="es-ES_tradnl" w:eastAsia="es-ES_tradnl" w:bidi="es-ES"/>
        </w:rPr>
        <w:t>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1o. y 2o. Superiores)</w:t>
      </w:r>
      <w:r w:rsidR="008F68EB">
        <w:rPr>
          <w:rFonts w:ascii="Arial" w:eastAsia="Calibri" w:hAnsi="Arial" w:cs="Arial"/>
          <w:bCs/>
          <w:color w:val="000000"/>
          <w:sz w:val="21"/>
          <w:szCs w:val="21"/>
          <w:lang w:val="es-ES_tradnl" w:eastAsia="es-ES_tradnl" w:bidi="es-ES"/>
        </w:rPr>
        <w:t>»</w:t>
      </w:r>
      <w:r w:rsidRPr="00C842D4">
        <w:rPr>
          <w:rFonts w:ascii="Arial" w:eastAsia="Calibri" w:hAnsi="Arial" w:cs="Arial"/>
          <w:bCs/>
          <w:color w:val="000000"/>
          <w:sz w:val="21"/>
          <w:szCs w:val="21"/>
          <w:lang w:val="es-ES_tradnl" w:eastAsia="es-ES_tradnl" w:bidi="es-ES"/>
        </w:rPr>
        <w:t>.</w:t>
      </w:r>
    </w:p>
    <w:p w14:paraId="7214E21D" w14:textId="77777777" w:rsidR="000166C5" w:rsidRPr="00E66E97" w:rsidRDefault="000166C5" w:rsidP="00C842D4">
      <w:pPr>
        <w:tabs>
          <w:tab w:val="left" w:pos="0"/>
        </w:tabs>
        <w:spacing w:after="12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 xml:space="preserve">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14:paraId="26337476" w14:textId="77777777" w:rsidR="000166C5" w:rsidRPr="00E66E97" w:rsidRDefault="000166C5" w:rsidP="00C842D4">
      <w:pPr>
        <w:tabs>
          <w:tab w:val="left" w:pos="0"/>
        </w:tabs>
        <w:spacing w:after="12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Por lo anterior, cabe mencionar que el contrato de constitución del consorcio o unión temporal debe designar las facultades del «representante</w:t>
      </w:r>
      <w:r w:rsidRPr="00505F44">
        <w:rPr>
          <w:rFonts w:ascii="Arial" w:eastAsia="Calibri" w:hAnsi="Arial" w:cs="Arial"/>
          <w:bCs/>
          <w:color w:val="000000"/>
          <w:lang w:val="es-ES_tradnl" w:eastAsia="es-ES_tradnl" w:bidi="es-ES"/>
        </w:rPr>
        <w:t>»</w:t>
      </w:r>
      <w:r w:rsidRPr="00E66E97">
        <w:rPr>
          <w:rFonts w:ascii="Arial" w:eastAsia="Calibri" w:hAnsi="Arial" w:cs="Arial"/>
          <w:bCs/>
          <w:color w:val="000000"/>
          <w:lang w:val="es-ES_tradnl" w:eastAsia="es-ES_tradnl" w:bidi="es-ES"/>
        </w:rPr>
        <w:t xml:space="preserve"> del ente asociado, designación que tendrá los efectos de la representación previstos en el artículo 1505 del Código Civil</w:t>
      </w:r>
      <w:r w:rsidRPr="00505F44">
        <w:rPr>
          <w:rFonts w:ascii="Arial" w:eastAsia="Calibri" w:hAnsi="Arial" w:cs="Arial"/>
          <w:bCs/>
          <w:color w:val="000000"/>
          <w:vertAlign w:val="superscript"/>
          <w:lang w:val="es-ES_tradnl" w:eastAsia="es-ES_tradnl" w:bidi="es-ES"/>
        </w:rPr>
        <w:footnoteReference w:id="8"/>
      </w:r>
      <w:r w:rsidRPr="00E66E97">
        <w:rPr>
          <w:rFonts w:ascii="Arial" w:eastAsia="Calibri" w:hAnsi="Arial" w:cs="Arial"/>
          <w:bCs/>
          <w:color w:val="000000"/>
          <w:lang w:val="es-ES_tradnl" w:eastAsia="es-ES_tradnl" w:bidi="es-ES"/>
        </w:rPr>
        <w:t>: «Lo que una persona ejecuta a nombre de otra, estando facultada por ella o por la ley para representarla, produce respecto del representado iguales efectos que si hubiese contratado él mismo».</w:t>
      </w:r>
    </w:p>
    <w:p w14:paraId="1F07AB82" w14:textId="77777777" w:rsidR="000166C5" w:rsidRDefault="000166C5" w:rsidP="00970FAF">
      <w:pPr>
        <w:tabs>
          <w:tab w:val="left" w:pos="0"/>
        </w:tabs>
        <w:spacing w:after="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El acuerdo de voluntades que constituye el consorcio o unión temporal se reconoce doctrinalmente como contrato consorcial o de «</w:t>
      </w:r>
      <w:proofErr w:type="spellStart"/>
      <w:proofErr w:type="gramStart"/>
      <w:r w:rsidRPr="00E66E97">
        <w:rPr>
          <w:rFonts w:ascii="Arial" w:eastAsia="Calibri" w:hAnsi="Arial" w:cs="Arial"/>
          <w:bCs/>
          <w:i/>
          <w:iCs/>
          <w:color w:val="000000"/>
          <w:lang w:val="es-ES_tradnl" w:eastAsia="es-ES_tradnl" w:bidi="es-ES"/>
        </w:rPr>
        <w:t>joint</w:t>
      </w:r>
      <w:proofErr w:type="spellEnd"/>
      <w:r w:rsidRPr="00E66E97">
        <w:rPr>
          <w:rFonts w:ascii="Arial" w:eastAsia="Calibri" w:hAnsi="Arial" w:cs="Arial"/>
          <w:bCs/>
          <w:i/>
          <w:iCs/>
          <w:color w:val="000000"/>
          <w:lang w:val="es-ES_tradnl" w:eastAsia="es-ES_tradnl" w:bidi="es-ES"/>
        </w:rPr>
        <w:t xml:space="preserve"> venture</w:t>
      </w:r>
      <w:proofErr w:type="gramEnd"/>
      <w:r w:rsidRPr="00E66E97">
        <w:rPr>
          <w:rFonts w:ascii="Arial" w:eastAsia="Calibri" w:hAnsi="Arial" w:cs="Arial"/>
          <w:color w:val="000000"/>
          <w:lang w:val="es-ES_tradnl" w:eastAsia="es-ES_tradnl" w:bidi="es-ES"/>
        </w:rPr>
        <w:t>»</w:t>
      </w:r>
      <w:r w:rsidRPr="00E66E97">
        <w:rPr>
          <w:rFonts w:ascii="Arial" w:eastAsia="Calibri" w:hAnsi="Arial" w:cs="Arial"/>
          <w:bCs/>
          <w:color w:val="000000"/>
          <w:lang w:val="es-ES_tradnl" w:eastAsia="es-ES_tradnl" w:bidi="es-ES"/>
        </w:rPr>
        <w:t>, que se reconoce como un contrato principal, oneroso, conmutativo, bilateral o plurilateral</w:t>
      </w:r>
      <w:r w:rsidRPr="00E66E97">
        <w:rPr>
          <w:rFonts w:ascii="Arial" w:eastAsia="Calibri" w:hAnsi="Arial" w:cs="Arial"/>
          <w:bCs/>
          <w:color w:val="000000"/>
          <w:vertAlign w:val="superscript"/>
          <w:lang w:val="es-ES_tradnl" w:eastAsia="es-ES_tradnl" w:bidi="es-ES"/>
        </w:rPr>
        <w:footnoteReference w:id="9"/>
      </w:r>
      <w:r w:rsidRPr="00E66E97">
        <w:rPr>
          <w:rFonts w:ascii="Arial" w:eastAsia="Calibri" w:hAnsi="Arial" w:cs="Arial"/>
          <w:bCs/>
          <w:color w:val="000000"/>
          <w:lang w:val="es-ES_tradnl" w:eastAsia="es-ES_tradnl" w:bidi="es-ES"/>
        </w:rPr>
        <w:t>.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de su representante, tienen capacidad y están legitimados para comparecer al proceso, con el fin de hacer valer sus derechos o responder por el incumplimiento de sus obligaciones, en lo relacionado con el procedimiento de selección y el contrato estatal</w:t>
      </w:r>
      <w:r w:rsidRPr="00E66E97">
        <w:rPr>
          <w:rFonts w:ascii="Arial" w:eastAsia="Calibri" w:hAnsi="Arial" w:cs="Arial"/>
          <w:bCs/>
          <w:color w:val="000000"/>
          <w:vertAlign w:val="superscript"/>
          <w:lang w:val="es-ES_tradnl" w:eastAsia="es-ES_tradnl" w:bidi="es-ES"/>
        </w:rPr>
        <w:footnoteReference w:id="10"/>
      </w:r>
      <w:r w:rsidRPr="00E66E97">
        <w:rPr>
          <w:rFonts w:ascii="Arial" w:eastAsia="Calibri" w:hAnsi="Arial" w:cs="Arial"/>
          <w:bCs/>
          <w:color w:val="000000"/>
          <w:lang w:val="es-ES_tradnl" w:eastAsia="es-ES_tradnl" w:bidi="es-ES"/>
        </w:rPr>
        <w:t>. Así lo ha reconocido la jurisprudencia del Consejo de Estado</w:t>
      </w:r>
      <w:r w:rsidRPr="00E66E97">
        <w:rPr>
          <w:rFonts w:ascii="Arial" w:eastAsia="Calibri" w:hAnsi="Arial" w:cs="Arial"/>
          <w:bCs/>
          <w:color w:val="000000"/>
          <w:vertAlign w:val="superscript"/>
          <w:lang w:val="es-ES_tradnl" w:eastAsia="es-ES_tradnl" w:bidi="es-ES"/>
        </w:rPr>
        <w:footnoteReference w:id="11"/>
      </w:r>
      <w:r w:rsidRPr="00E66E97">
        <w:rPr>
          <w:rFonts w:ascii="Arial" w:eastAsia="Calibri" w:hAnsi="Arial" w:cs="Arial"/>
          <w:bCs/>
          <w:color w:val="000000"/>
          <w:lang w:val="es-ES_tradnl" w:eastAsia="es-ES_tradnl" w:bidi="es-ES"/>
        </w:rPr>
        <w:t>:</w:t>
      </w:r>
    </w:p>
    <w:p w14:paraId="01899E50" w14:textId="77777777" w:rsidR="002774A5" w:rsidRPr="00E66E97" w:rsidRDefault="002774A5" w:rsidP="00C842D4">
      <w:pPr>
        <w:tabs>
          <w:tab w:val="left" w:pos="0"/>
        </w:tabs>
        <w:spacing w:after="0" w:line="276" w:lineRule="auto"/>
        <w:ind w:firstLine="709"/>
        <w:jc w:val="both"/>
        <w:rPr>
          <w:rFonts w:ascii="Arial" w:eastAsia="Calibri" w:hAnsi="Arial" w:cs="Arial"/>
          <w:bCs/>
          <w:color w:val="000000"/>
          <w:lang w:val="es-ES_tradnl" w:eastAsia="es-ES_tradnl" w:bidi="es-ES"/>
        </w:rPr>
      </w:pPr>
    </w:p>
    <w:p w14:paraId="044B6F80" w14:textId="77777777" w:rsidR="000166C5" w:rsidRPr="00E66E97" w:rsidRDefault="000166C5" w:rsidP="000166C5">
      <w:pPr>
        <w:tabs>
          <w:tab w:val="left" w:pos="0"/>
        </w:tabs>
        <w:spacing w:after="240" w:line="240" w:lineRule="auto"/>
        <w:ind w:left="708" w:right="709"/>
        <w:jc w:val="both"/>
        <w:rPr>
          <w:rFonts w:ascii="Arial" w:eastAsia="Calibri" w:hAnsi="Arial" w:cs="Arial"/>
          <w:bCs/>
          <w:iCs/>
          <w:color w:val="000000"/>
          <w:lang w:val="es-ES_tradnl" w:eastAsia="es-ES_tradnl" w:bidi="es-ES"/>
        </w:rPr>
      </w:pPr>
      <w:r w:rsidRPr="00E66E97">
        <w:rPr>
          <w:rFonts w:ascii="Arial" w:eastAsia="Calibri" w:hAnsi="Arial" w:cs="Arial"/>
          <w:bCs/>
          <w:iCs/>
          <w:color w:val="000000"/>
          <w:lang w:val="es-ES_tradnl" w:eastAsia="es-ES_tradnl" w:bidi="es-ES"/>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E66E97">
        <w:rPr>
          <w:rFonts w:ascii="Arial" w:eastAsia="Calibri" w:hAnsi="Arial" w:cs="Arial"/>
          <w:bCs/>
          <w:iCs/>
          <w:color w:val="000000"/>
          <w:lang w:val="es-ES_tradnl" w:eastAsia="es-ES_tradnl" w:bidi="es-ES"/>
        </w:rPr>
        <w:t>legitimatio</w:t>
      </w:r>
      <w:proofErr w:type="spellEnd"/>
      <w:r w:rsidRPr="00E66E97">
        <w:rPr>
          <w:rFonts w:ascii="Arial" w:eastAsia="Calibri" w:hAnsi="Arial" w:cs="Arial"/>
          <w:bCs/>
          <w:iCs/>
          <w:color w:val="000000"/>
          <w:lang w:val="es-ES_tradnl" w:eastAsia="es-ES_tradnl" w:bidi="es-ES"/>
        </w:rPr>
        <w:t xml:space="preserve"> ad processum-, por intermedio de su representante.</w:t>
      </w:r>
    </w:p>
    <w:p w14:paraId="5D0129BC" w14:textId="77777777" w:rsidR="000166C5" w:rsidRPr="00E66E97" w:rsidRDefault="000166C5" w:rsidP="00C842D4">
      <w:pPr>
        <w:tabs>
          <w:tab w:val="left" w:pos="0"/>
        </w:tabs>
        <w:spacing w:after="240" w:line="276" w:lineRule="auto"/>
        <w:ind w:firstLine="709"/>
        <w:jc w:val="both"/>
        <w:rPr>
          <w:rFonts w:ascii="Arial" w:eastAsia="Calibri" w:hAnsi="Arial" w:cs="Arial"/>
          <w:bCs/>
          <w:color w:val="000000"/>
          <w:lang w:val="es-ES_tradnl" w:eastAsia="es-ES_tradnl" w:bidi="es-ES"/>
        </w:rPr>
      </w:pPr>
      <w:r w:rsidRPr="00E66E97">
        <w:rPr>
          <w:rFonts w:ascii="Arial" w:eastAsia="Calibri" w:hAnsi="Arial" w:cs="Arial"/>
          <w:bCs/>
          <w:color w:val="000000"/>
          <w:lang w:val="es-ES_tradnl" w:eastAsia="es-ES_tradnl" w:bidi="es-ES"/>
        </w:rPr>
        <w:t xml:space="preserve">En conclusión, y para efectos de la consulta se precisa que los consorcios y uniones temporales no son personas jurídicas, pero son entes creados por el acuerdo de voluntades de sus miembros, los cuales están facultados, en virtud de la ley y del contrato consorcial, para celebrar y ejecutar contratos con entidades estatales. Así pues,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y en tal virtud, en atención a su creación convencional, el acuerdo de voluntades que constituye el consorcio o unión temporal o contrato consorcial se convierte en el documento idóneo para verificar su capacidad jurídica, como quiera que regula su objeto, la participación de los miembros, las obligaciones frente al proyecto que los une, la responsabilidad de los miembros y la forma en que regirán sus relaciones internas y el relacionamiento con la entidad contratante, mediante la designación de un representante.  </w:t>
      </w:r>
    </w:p>
    <w:p w14:paraId="10AAFFE5" w14:textId="77777777" w:rsidR="000166C5" w:rsidRPr="00E66E97" w:rsidRDefault="000166C5" w:rsidP="000166C5">
      <w:pPr>
        <w:spacing w:after="240" w:line="240" w:lineRule="auto"/>
        <w:ind w:right="49"/>
        <w:jc w:val="both"/>
        <w:rPr>
          <w:rFonts w:ascii="Arial" w:eastAsia="Times New Roman" w:hAnsi="Arial" w:cs="Arial"/>
          <w:bCs/>
        </w:rPr>
      </w:pPr>
      <w:r w:rsidRPr="00E66E97">
        <w:rPr>
          <w:rFonts w:ascii="Arial" w:eastAsia="Times New Roman" w:hAnsi="Arial" w:cs="Arial"/>
          <w:b/>
          <w:bCs/>
        </w:rPr>
        <w:t xml:space="preserve">2.3. Alcance de la regla de la </w:t>
      </w:r>
      <w:proofErr w:type="spellStart"/>
      <w:r w:rsidRPr="00E66E97">
        <w:rPr>
          <w:rFonts w:ascii="Arial" w:eastAsia="Times New Roman" w:hAnsi="Arial" w:cs="Arial"/>
          <w:b/>
          <w:bCs/>
        </w:rPr>
        <w:t>subsanabilidad</w:t>
      </w:r>
      <w:proofErr w:type="spellEnd"/>
      <w:r w:rsidRPr="00E66E97">
        <w:rPr>
          <w:rFonts w:ascii="Arial" w:eastAsia="Times New Roman" w:hAnsi="Arial" w:cs="Arial"/>
          <w:b/>
          <w:bCs/>
        </w:rPr>
        <w:t xml:space="preserve"> de las ofertas en los procedimientos de selección </w:t>
      </w:r>
    </w:p>
    <w:p w14:paraId="0BED9612" w14:textId="77777777" w:rsidR="000166C5" w:rsidRPr="00E66E97" w:rsidRDefault="000166C5" w:rsidP="00C842D4">
      <w:pPr>
        <w:spacing w:after="120" w:line="276" w:lineRule="auto"/>
        <w:jc w:val="both"/>
        <w:rPr>
          <w:rFonts w:ascii="Arial" w:eastAsia="Times New Roman" w:hAnsi="Arial" w:cs="Arial"/>
          <w:lang w:val="es-ES_tradnl" w:eastAsia="es-ES_tradnl"/>
        </w:rPr>
      </w:pPr>
      <w:r w:rsidRPr="00E66E97">
        <w:rPr>
          <w:rFonts w:ascii="Arial" w:eastAsia="Times New Roman" w:hAnsi="Arial" w:cs="Arial"/>
          <w:bCs/>
        </w:rPr>
        <w:t xml:space="preserve"> </w:t>
      </w:r>
      <w:r w:rsidRPr="00E66E97">
        <w:rPr>
          <w:rFonts w:ascii="Arial" w:eastAsia="Times New Roman" w:hAnsi="Arial" w:cs="Arial"/>
          <w:lang w:val="es-ES_tradnl" w:eastAsia="es-ES_tradnl"/>
        </w:rPr>
        <w:t xml:space="preserve">La referida postura indica que, por regla general, la falta de entrega y los defectos, en la acreditación de los requisitos habilitantes son aspectos subsanables. La excepción se encuentra en los casos, previstos en la ley, que limitan la </w:t>
      </w:r>
      <w:proofErr w:type="spellStart"/>
      <w:r w:rsidRPr="00E66E97">
        <w:rPr>
          <w:rFonts w:ascii="Arial" w:eastAsia="Times New Roman" w:hAnsi="Arial" w:cs="Arial"/>
          <w:lang w:val="es-ES_tradnl" w:eastAsia="es-ES_tradnl"/>
        </w:rPr>
        <w:t>subsanabilidad</w:t>
      </w:r>
      <w:proofErr w:type="spellEnd"/>
      <w:r w:rsidRPr="00E66E97">
        <w:rPr>
          <w:rFonts w:ascii="Arial" w:eastAsia="Times New Roman" w:hAnsi="Arial" w:cs="Arial"/>
          <w:lang w:val="es-ES_tradnl" w:eastAsia="es-ES_tradnl"/>
        </w:rPr>
        <w:t xml:space="preserve">,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p>
    <w:p w14:paraId="34A2F373"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Sin perjuicio de lo anterior, a continuación, se hará referencia en forma general a los antecedentes de las diferentes posturas en torno a la </w:t>
      </w:r>
      <w:proofErr w:type="spellStart"/>
      <w:r w:rsidRPr="00E66E97">
        <w:rPr>
          <w:rFonts w:ascii="Arial" w:eastAsia="Times New Roman" w:hAnsi="Arial" w:cs="Arial"/>
          <w:lang w:val="es-ES_tradnl" w:eastAsia="es-ES_tradnl"/>
        </w:rPr>
        <w:t>subsanabilidad</w:t>
      </w:r>
      <w:proofErr w:type="spellEnd"/>
      <w:r w:rsidRPr="00E66E97">
        <w:rPr>
          <w:rFonts w:ascii="Arial" w:eastAsia="Times New Roman" w:hAnsi="Arial" w:cs="Arial"/>
          <w:lang w:val="es-ES_tradnl" w:eastAsia="es-ES_tradnl"/>
        </w:rPr>
        <w:t xml:space="preserve">. En un </w:t>
      </w:r>
      <w:r w:rsidRPr="00E66E97">
        <w:rPr>
          <w:rFonts w:ascii="Arial" w:eastAsia="Times New Roman" w:hAnsi="Arial" w:cs="Arial"/>
          <w:i/>
          <w:lang w:val="es-ES_tradnl" w:eastAsia="es-ES_tradnl"/>
        </w:rPr>
        <w:t>primer momento</w:t>
      </w:r>
      <w:r w:rsidRPr="00E66E97">
        <w:rPr>
          <w:rFonts w:ascii="Arial" w:eastAsia="Times New Roman" w:hAnsi="Arial" w:cs="Arial"/>
          <w:lang w:val="es-ES_tradnl" w:eastAsia="es-ES_tradnl"/>
        </w:rPr>
        <w:t xml:space="preserve">, antes de la entrada en vigor de la Constitución Política de 1991, el régimen jurídico de la </w:t>
      </w:r>
      <w:proofErr w:type="spellStart"/>
      <w:r w:rsidRPr="00E66E97">
        <w:rPr>
          <w:rFonts w:ascii="Arial" w:eastAsia="Times New Roman" w:hAnsi="Arial" w:cs="Arial"/>
          <w:lang w:val="es-ES_tradnl" w:eastAsia="es-ES_tradnl"/>
        </w:rPr>
        <w:t>subsanabilidad</w:t>
      </w:r>
      <w:proofErr w:type="spellEnd"/>
      <w:r w:rsidRPr="00E66E97">
        <w:rPr>
          <w:rFonts w:ascii="Arial" w:eastAsia="Times New Roman" w:hAnsi="Arial" w:cs="Arial"/>
          <w:lang w:val="es-ES_tradnl" w:eastAsia="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6A62647B" w14:textId="77777777" w:rsidR="000166C5" w:rsidRDefault="000166C5" w:rsidP="004B64C0">
      <w:pPr>
        <w:spacing w:after="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En un </w:t>
      </w:r>
      <w:r w:rsidRPr="00E66E97">
        <w:rPr>
          <w:rFonts w:ascii="Arial" w:eastAsia="Times New Roman" w:hAnsi="Arial" w:cs="Arial"/>
          <w:i/>
          <w:lang w:val="es-ES_tradnl" w:eastAsia="es-ES_tradnl"/>
        </w:rPr>
        <w:t>segundo momento</w:t>
      </w:r>
      <w:r w:rsidRPr="00E66E97">
        <w:rPr>
          <w:rFonts w:ascii="Arial" w:eastAsia="Times New Roman" w:hAnsi="Arial" w:cs="Arial"/>
          <w:lang w:val="es-ES_tradnl" w:eastAsia="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366AC1EF" w14:textId="77777777" w:rsidR="004B64C0" w:rsidRPr="00E66E97" w:rsidRDefault="004B64C0" w:rsidP="00C842D4">
      <w:pPr>
        <w:spacing w:after="0" w:line="276" w:lineRule="auto"/>
        <w:ind w:firstLine="709"/>
        <w:jc w:val="both"/>
        <w:rPr>
          <w:rFonts w:ascii="Arial" w:eastAsia="Times New Roman" w:hAnsi="Arial" w:cs="Arial"/>
          <w:lang w:val="es-ES_tradnl" w:eastAsia="es-ES_tradnl"/>
        </w:rPr>
      </w:pPr>
    </w:p>
    <w:p w14:paraId="5BB5BD7D" w14:textId="77777777" w:rsidR="000166C5" w:rsidRDefault="000166C5" w:rsidP="00756E9A">
      <w:pPr>
        <w:spacing w:after="0" w:line="240" w:lineRule="auto"/>
        <w:ind w:left="709" w:right="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3F2E73B" w14:textId="77777777" w:rsidR="00756E9A" w:rsidRPr="00E66E97" w:rsidRDefault="00756E9A" w:rsidP="00C842D4">
      <w:pPr>
        <w:spacing w:after="0" w:line="240" w:lineRule="auto"/>
        <w:ind w:left="709" w:right="709"/>
        <w:jc w:val="both"/>
        <w:rPr>
          <w:rFonts w:ascii="Arial" w:eastAsia="Times New Roman" w:hAnsi="Arial" w:cs="Arial"/>
          <w:lang w:val="es-ES_tradnl" w:eastAsia="es-ES_tradnl"/>
        </w:rPr>
      </w:pPr>
    </w:p>
    <w:p w14:paraId="66335972" w14:textId="2F51F947" w:rsidR="000166C5" w:rsidRDefault="000166C5" w:rsidP="00756E9A">
      <w:pPr>
        <w:spacing w:after="0" w:line="240" w:lineRule="auto"/>
        <w:ind w:left="709" w:right="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La ausencia de requisitos o la falta de documentos referentes a la futura contratación o al proponente, no necesarios para la comparación de propuestas, no servirá de título suficiente para el rechazo de los ofrecimientos hechos»</w:t>
      </w:r>
      <w:r w:rsidR="00756E9A">
        <w:rPr>
          <w:rFonts w:ascii="Arial" w:eastAsia="Times New Roman" w:hAnsi="Arial" w:cs="Arial"/>
          <w:lang w:val="es-ES_tradnl" w:eastAsia="es-ES_tradnl"/>
        </w:rPr>
        <w:t>.</w:t>
      </w:r>
      <w:r w:rsidRPr="00E66E97">
        <w:rPr>
          <w:rFonts w:ascii="Arial" w:eastAsia="Times New Roman" w:hAnsi="Arial" w:cs="Arial"/>
          <w:lang w:val="es-ES_tradnl" w:eastAsia="es-ES_tradnl"/>
        </w:rPr>
        <w:t xml:space="preserve"> </w:t>
      </w:r>
    </w:p>
    <w:p w14:paraId="2D7BDA2B" w14:textId="77777777" w:rsidR="00756E9A" w:rsidRPr="00E66E97" w:rsidRDefault="00756E9A" w:rsidP="00C842D4">
      <w:pPr>
        <w:spacing w:after="0" w:line="240" w:lineRule="auto"/>
        <w:ind w:left="709" w:right="709"/>
        <w:jc w:val="both"/>
        <w:rPr>
          <w:rFonts w:ascii="Arial" w:eastAsia="Times New Roman" w:hAnsi="Arial" w:cs="Arial"/>
          <w:lang w:val="es-ES_tradnl" w:eastAsia="es-ES_tradnl"/>
        </w:rPr>
      </w:pPr>
    </w:p>
    <w:p w14:paraId="5AFB5FFA"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Bajo el amparo de esta norma, el régimen jurídico de </w:t>
      </w:r>
      <w:proofErr w:type="spellStart"/>
      <w:r w:rsidRPr="00E66E97">
        <w:rPr>
          <w:rFonts w:ascii="Arial" w:eastAsia="Times New Roman" w:hAnsi="Arial" w:cs="Arial"/>
          <w:lang w:val="es-ES_tradnl" w:eastAsia="es-ES_tradnl"/>
        </w:rPr>
        <w:t>subsanabilidad</w:t>
      </w:r>
      <w:proofErr w:type="spellEnd"/>
      <w:r w:rsidRPr="00E66E97">
        <w:rPr>
          <w:rFonts w:ascii="Arial" w:eastAsia="Times New Roman" w:hAnsi="Arial" w:cs="Arial"/>
          <w:lang w:val="es-ES_tradnl" w:eastAsia="es-ES_tradnl"/>
        </w:rPr>
        <w:t xml:space="preserve"> de las ofertas sufre un cambio fundamental, pues ya no era posible rechazar las ofertas por falta de requisitos o documentos que no fueran «</w:t>
      </w:r>
      <w:r w:rsidRPr="00E66E97">
        <w:rPr>
          <w:rFonts w:ascii="Arial" w:eastAsia="Times New Roman" w:hAnsi="Arial" w:cs="Arial"/>
          <w:i/>
          <w:iCs/>
          <w:lang w:val="es-ES_tradnl" w:eastAsia="es-ES_tradnl"/>
        </w:rPr>
        <w:t>necesarios para la comparación de propuestas».</w:t>
      </w:r>
      <w:r w:rsidRPr="00E66E97">
        <w:rPr>
          <w:rFonts w:ascii="Arial" w:eastAsia="Times New Roman" w:hAnsi="Arial" w:cs="Arial"/>
          <w:lang w:val="es-ES_tradnl" w:eastAsia="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789DD36E"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Esta norma debía leerse en conjunto con otras de la Ley 80 de 1993, particularmente con el artículo 30.7</w:t>
      </w:r>
      <w:r w:rsidRPr="00E66E97">
        <w:rPr>
          <w:rFonts w:ascii="Arial" w:eastAsia="Times New Roman" w:hAnsi="Arial" w:cs="Arial"/>
          <w:vertAlign w:val="superscript"/>
          <w:lang w:val="es-ES_tradnl" w:eastAsia="es-ES_tradnl"/>
        </w:rPr>
        <w:footnoteReference w:id="12"/>
      </w:r>
      <w:r w:rsidRPr="00E66E97">
        <w:rPr>
          <w:rFonts w:ascii="Arial" w:eastAsia="Times New Roman" w:hAnsi="Arial" w:cs="Arial"/>
          <w:lang w:val="es-ES_tradnl" w:eastAsia="es-ES_tradn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E66E97">
        <w:rPr>
          <w:rFonts w:ascii="Arial" w:eastAsia="Times New Roman" w:hAnsi="Arial" w:cs="Arial"/>
          <w:vertAlign w:val="superscript"/>
          <w:lang w:val="es-ES_tradnl" w:eastAsia="es-ES_tradnl"/>
        </w:rPr>
        <w:footnoteReference w:id="13"/>
      </w:r>
      <w:r w:rsidRPr="00E66E97">
        <w:rPr>
          <w:rFonts w:ascii="Arial" w:eastAsia="Times New Roman" w:hAnsi="Arial" w:cs="Arial"/>
          <w:lang w:val="es-ES_tradnl" w:eastAsia="es-ES_tradnl"/>
        </w:rPr>
        <w:t xml:space="preserve">, que consagró el término de 5 días hábiles para que los oferentes presenten observaciones al informe de evaluación de las propuestas, sin que sea posible completar, adicionar, modificar o mejorar su oferta.  </w:t>
      </w:r>
    </w:p>
    <w:p w14:paraId="59C52C74"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7C4743F7" w14:textId="77777777" w:rsidR="000166C5" w:rsidRPr="00E66E97" w:rsidRDefault="000166C5" w:rsidP="000166C5">
      <w:pPr>
        <w:spacing w:after="240" w:line="240"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En un </w:t>
      </w:r>
      <w:r w:rsidRPr="00E66E97">
        <w:rPr>
          <w:rFonts w:ascii="Arial" w:eastAsia="Times New Roman" w:hAnsi="Arial" w:cs="Arial"/>
          <w:i/>
          <w:lang w:val="es-ES_tradnl" w:eastAsia="es-ES_tradnl"/>
        </w:rPr>
        <w:t>tercer momento</w:t>
      </w:r>
      <w:r w:rsidRPr="00E66E97">
        <w:rPr>
          <w:rFonts w:ascii="Arial" w:eastAsia="Times New Roman" w:hAnsi="Arial" w:cs="Arial"/>
          <w:lang w:val="es-ES_tradnl" w:eastAsia="es-ES_tradnl"/>
        </w:rPr>
        <w:t xml:space="preserve">, siguiendo la línea trazada por la Ley 80 de 1993, el legislador expidió la Ley 1150 de 2007, que, en el parágrafo 1º del artículo 5, determinó lo siguiente: </w:t>
      </w:r>
    </w:p>
    <w:p w14:paraId="5507552A" w14:textId="77777777" w:rsidR="000166C5" w:rsidRPr="00E66E97" w:rsidRDefault="000166C5" w:rsidP="000166C5">
      <w:pPr>
        <w:spacing w:after="240" w:line="240" w:lineRule="auto"/>
        <w:ind w:left="709" w:right="709"/>
        <w:jc w:val="both"/>
        <w:rPr>
          <w:rFonts w:ascii="Arial" w:eastAsia="Times New Roman" w:hAnsi="Arial" w:cs="Arial"/>
          <w:lang w:val="es-ES_tradnl" w:eastAsia="es-ES_tradnl"/>
        </w:rPr>
      </w:pPr>
      <w:r w:rsidRPr="00E66E97">
        <w:rPr>
          <w:rFonts w:ascii="Arial" w:eastAsia="Arial" w:hAnsi="Arial" w:cs="Arial"/>
          <w:color w:val="000000"/>
          <w:lang w:eastAsia="es-ES_tradnl"/>
        </w:rPr>
        <w:t>«</w:t>
      </w:r>
      <w:r w:rsidRPr="00E66E97">
        <w:rPr>
          <w:rFonts w:ascii="Arial" w:eastAsia="Times New Roman" w:hAnsi="Arial" w:cs="Arial"/>
          <w:lang w:val="es-ES_tradnl"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E66E97">
        <w:rPr>
          <w:rFonts w:ascii="Arial" w:eastAsia="Times New Roman" w:hAnsi="Arial" w:cs="Arial"/>
          <w:lang w:val="es-ES_tradnl" w:eastAsia="es-ES_tradnl"/>
        </w:rPr>
        <w:t>puntaje,</w:t>
      </w:r>
      <w:proofErr w:type="gramEnd"/>
      <w:r w:rsidRPr="00E66E97">
        <w:rPr>
          <w:rFonts w:ascii="Arial" w:eastAsia="Times New Roman" w:hAnsi="Arial" w:cs="Arial"/>
          <w:lang w:val="es-ES_tradnl" w:eastAsia="es-ES_tradnl"/>
        </w:rPr>
        <w:t xml:space="preserve"> podrán ser solicitados por las entidades en cualquier momento, hasta la adjudicación. No </w:t>
      </w:r>
      <w:proofErr w:type="gramStart"/>
      <w:r w:rsidRPr="00E66E97">
        <w:rPr>
          <w:rFonts w:ascii="Arial" w:eastAsia="Times New Roman" w:hAnsi="Arial" w:cs="Arial"/>
          <w:lang w:val="es-ES_tradnl" w:eastAsia="es-ES_tradnl"/>
        </w:rPr>
        <w:t>obstante</w:t>
      </w:r>
      <w:proofErr w:type="gramEnd"/>
      <w:r w:rsidRPr="00E66E97">
        <w:rPr>
          <w:rFonts w:ascii="Arial" w:eastAsia="Times New Roman" w:hAnsi="Arial" w:cs="Arial"/>
          <w:lang w:val="es-ES_tradnl" w:eastAsia="es-ES_tradnl"/>
        </w:rPr>
        <w:t xml:space="preserve"> lo anterior, en aquellos procesos de selección en los que se utilice el mecanismo de subasta, deberán ser solicitados hasta el momento previo a su realización.</w:t>
      </w:r>
      <w:r w:rsidRPr="00E66E97">
        <w:rPr>
          <w:rFonts w:ascii="Arial" w:eastAsia="Arial" w:hAnsi="Arial" w:cs="Arial"/>
          <w:i/>
          <w:iCs/>
          <w:color w:val="000000"/>
          <w:lang w:eastAsia="es-ES_tradnl"/>
        </w:rPr>
        <w:t>»</w:t>
      </w:r>
      <w:r w:rsidRPr="00E66E97">
        <w:rPr>
          <w:rFonts w:ascii="Arial" w:eastAsia="Times New Roman" w:hAnsi="Arial" w:cs="Arial"/>
          <w:lang w:val="es-ES_tradnl" w:eastAsia="es-ES_tradnl"/>
        </w:rPr>
        <w:t xml:space="preserve"> </w:t>
      </w:r>
    </w:p>
    <w:p w14:paraId="155AFE9B"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5EE64BAF"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43F26E70" w14:textId="77777777" w:rsidR="000166C5" w:rsidRDefault="000166C5" w:rsidP="00B70DF3">
      <w:pPr>
        <w:spacing w:after="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0C307966" w14:textId="77777777" w:rsidR="00B70DF3" w:rsidRPr="00E66E97" w:rsidRDefault="00B70DF3" w:rsidP="00C842D4">
      <w:pPr>
        <w:spacing w:after="0" w:line="276" w:lineRule="auto"/>
        <w:ind w:firstLine="709"/>
        <w:jc w:val="both"/>
        <w:rPr>
          <w:rFonts w:ascii="Arial" w:eastAsia="Times New Roman" w:hAnsi="Arial" w:cs="Arial"/>
          <w:lang w:val="es-ES_tradnl" w:eastAsia="es-ES_tradnl"/>
        </w:rPr>
      </w:pPr>
    </w:p>
    <w:p w14:paraId="46838DD0" w14:textId="6005DE33" w:rsidR="000166C5" w:rsidRDefault="000166C5" w:rsidP="00E502CF">
      <w:pPr>
        <w:spacing w:after="0" w:line="240" w:lineRule="auto"/>
        <w:ind w:left="709" w:right="709"/>
        <w:jc w:val="both"/>
        <w:rPr>
          <w:rFonts w:ascii="Arial" w:eastAsia="Times New Roman" w:hAnsi="Arial" w:cs="Arial"/>
          <w:sz w:val="21"/>
          <w:szCs w:val="21"/>
          <w:lang w:val="es-ES_tradnl" w:eastAsia="es-ES_tradnl"/>
        </w:rPr>
      </w:pPr>
      <w:r w:rsidRPr="00C842D4">
        <w:rPr>
          <w:rFonts w:ascii="Arial" w:eastAsia="Arial" w:hAnsi="Arial" w:cs="Arial"/>
          <w:color w:val="000000"/>
          <w:sz w:val="21"/>
          <w:szCs w:val="21"/>
          <w:lang w:eastAsia="es-ES_tradnl"/>
        </w:rPr>
        <w:t>«</w:t>
      </w:r>
      <w:r w:rsidRPr="00C842D4">
        <w:rPr>
          <w:rFonts w:ascii="Arial" w:eastAsia="Times New Roman" w:hAnsi="Arial" w:cs="Arial"/>
          <w:sz w:val="21"/>
          <w:szCs w:val="21"/>
          <w:lang w:val="es-ES_tradnl" w:eastAsia="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00B70DF3" w:rsidRPr="00C842D4">
        <w:rPr>
          <w:rFonts w:ascii="Arial" w:eastAsia="Times New Roman" w:hAnsi="Arial" w:cs="Arial"/>
          <w:sz w:val="21"/>
          <w:szCs w:val="21"/>
          <w:lang w:val="es-ES_tradnl" w:eastAsia="es-ES_tradnl"/>
        </w:rPr>
        <w:t>»</w:t>
      </w:r>
      <w:r w:rsidRPr="00C842D4">
        <w:rPr>
          <w:rFonts w:ascii="Arial" w:eastAsia="Times New Roman" w:hAnsi="Arial" w:cs="Arial"/>
          <w:sz w:val="21"/>
          <w:szCs w:val="21"/>
          <w:vertAlign w:val="superscript"/>
          <w:lang w:val="es-ES_tradnl" w:eastAsia="es-ES_tradnl"/>
        </w:rPr>
        <w:footnoteReference w:id="14"/>
      </w:r>
      <w:r w:rsidR="00E502CF" w:rsidRPr="00C842D4">
        <w:rPr>
          <w:rFonts w:ascii="Arial" w:eastAsia="Times New Roman" w:hAnsi="Arial" w:cs="Arial"/>
          <w:sz w:val="21"/>
          <w:szCs w:val="21"/>
          <w:lang w:val="es-ES_tradnl" w:eastAsia="es-ES_tradnl"/>
        </w:rPr>
        <w:t>.</w:t>
      </w:r>
    </w:p>
    <w:p w14:paraId="116A665B" w14:textId="77777777" w:rsidR="00E502CF" w:rsidRPr="00C842D4" w:rsidRDefault="00E502CF" w:rsidP="00C842D4">
      <w:pPr>
        <w:spacing w:after="0" w:line="240" w:lineRule="auto"/>
        <w:ind w:left="709" w:right="709"/>
        <w:jc w:val="both"/>
        <w:rPr>
          <w:rFonts w:ascii="Arial" w:eastAsia="Times New Roman" w:hAnsi="Arial" w:cs="Arial"/>
          <w:sz w:val="21"/>
          <w:szCs w:val="21"/>
          <w:lang w:val="es-ES_tradnl" w:eastAsia="es-ES_tradnl"/>
        </w:rPr>
      </w:pPr>
    </w:p>
    <w:p w14:paraId="3FE43735" w14:textId="77777777" w:rsidR="000166C5" w:rsidRPr="00E66E97" w:rsidRDefault="000166C5" w:rsidP="00C842D4">
      <w:pPr>
        <w:tabs>
          <w:tab w:val="left" w:pos="284"/>
        </w:tabs>
        <w:spacing w:after="24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Esa interpretación fue compartida por la </w:t>
      </w:r>
      <w:r w:rsidRPr="00E66E97">
        <w:rPr>
          <w:rFonts w:ascii="Arial" w:eastAsia="Times New Roman" w:hAnsi="Arial" w:cs="Arial"/>
          <w:lang w:val="es-ES_tradnl" w:eastAsia="es-CO"/>
        </w:rPr>
        <w:t>Agencia Nacional de Contratación Pública – Colombia Compra Eficiente</w:t>
      </w:r>
      <w:r w:rsidRPr="00E66E97">
        <w:rPr>
          <w:rFonts w:ascii="Arial" w:eastAsia="Times New Roman" w:hAnsi="Arial" w:cs="Arial"/>
          <w:lang w:val="es-ES_tradnl" w:eastAsia="es-ES_tradnl"/>
        </w:rPr>
        <w:t xml:space="preserve">, pues en la Circular Externa Única se precisó </w:t>
      </w:r>
      <w:proofErr w:type="gramStart"/>
      <w:r w:rsidRPr="00E66E97">
        <w:rPr>
          <w:rFonts w:ascii="Arial" w:eastAsia="Times New Roman" w:hAnsi="Arial" w:cs="Arial"/>
          <w:lang w:val="es-ES_tradnl" w:eastAsia="es-ES_tradnl"/>
        </w:rPr>
        <w:t>que</w:t>
      </w:r>
      <w:proofErr w:type="gramEnd"/>
      <w:r w:rsidRPr="00E66E97">
        <w:rPr>
          <w:rFonts w:ascii="Arial" w:eastAsia="Times New Roman" w:hAnsi="Arial" w:cs="Arial"/>
          <w:lang w:val="es-ES_tradnl" w:eastAsia="es-ES_tradnl"/>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puede ser subsanada.</w:t>
      </w:r>
    </w:p>
    <w:p w14:paraId="3126D382" w14:textId="77777777" w:rsidR="000166C5" w:rsidRPr="00E66E97" w:rsidRDefault="000166C5" w:rsidP="00C842D4">
      <w:pPr>
        <w:tabs>
          <w:tab w:val="left" w:pos="284"/>
        </w:tabs>
        <w:spacing w:after="240" w:line="276" w:lineRule="auto"/>
        <w:ind w:firstLine="709"/>
        <w:jc w:val="both"/>
        <w:rPr>
          <w:rFonts w:ascii="Arial" w:eastAsia="Times New Roman" w:hAnsi="Arial" w:cs="Arial"/>
          <w:lang w:val="es-ES_tradnl" w:eastAsia="es-CO"/>
        </w:rPr>
      </w:pPr>
      <w:r w:rsidRPr="00E66E97">
        <w:rPr>
          <w:rFonts w:ascii="Arial" w:eastAsia="Times New Roman" w:hAnsi="Arial" w:cs="Arial"/>
          <w:lang w:val="es-ES_tradnl" w:eastAsia="es-CO"/>
        </w:rPr>
        <w:t xml:space="preserve">Finalmente, en un </w:t>
      </w:r>
      <w:r w:rsidRPr="00E66E97">
        <w:rPr>
          <w:rFonts w:ascii="Arial" w:eastAsia="Times New Roman" w:hAnsi="Arial" w:cs="Arial"/>
          <w:i/>
          <w:lang w:val="es-ES_tradnl" w:eastAsia="es-CO"/>
        </w:rPr>
        <w:t>cuarto momento</w:t>
      </w:r>
      <w:r w:rsidRPr="00E66E97">
        <w:rPr>
          <w:rFonts w:ascii="Arial" w:eastAsia="Times New Roman" w:hAnsi="Arial"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398CE13E" w14:textId="77777777" w:rsidR="000166C5" w:rsidRPr="00C842D4" w:rsidRDefault="000166C5" w:rsidP="00C842D4">
      <w:pPr>
        <w:spacing w:after="0" w:line="240" w:lineRule="auto"/>
        <w:ind w:left="709" w:right="709"/>
        <w:jc w:val="both"/>
        <w:rPr>
          <w:rFonts w:ascii="Arial" w:eastAsia="Times New Roman" w:hAnsi="Arial" w:cs="Arial"/>
          <w:sz w:val="21"/>
          <w:szCs w:val="21"/>
          <w:lang w:val="es-ES_tradnl" w:eastAsia="es-CO"/>
        </w:rPr>
      </w:pPr>
      <w:r w:rsidRPr="00C842D4">
        <w:rPr>
          <w:rFonts w:ascii="Arial" w:eastAsia="Arial" w:hAnsi="Arial" w:cs="Arial"/>
          <w:color w:val="000000"/>
          <w:sz w:val="21"/>
          <w:szCs w:val="21"/>
          <w:lang w:eastAsia="es-ES_tradnl"/>
        </w:rPr>
        <w:t>«</w:t>
      </w:r>
      <w:r w:rsidRPr="00C842D4">
        <w:rPr>
          <w:rFonts w:ascii="Arial" w:eastAsia="Times New Roman" w:hAnsi="Arial" w:cs="Arial"/>
          <w:sz w:val="21"/>
          <w:szCs w:val="21"/>
          <w:lang w:val="es-ES_tradnl" w:eastAsia="es-CO"/>
        </w:rPr>
        <w:t xml:space="preserve">Artículo 5°. De la selección objetiva. </w:t>
      </w:r>
    </w:p>
    <w:p w14:paraId="6CA9D825" w14:textId="77777777" w:rsidR="000166C5" w:rsidRPr="00C842D4" w:rsidRDefault="000166C5" w:rsidP="00C842D4">
      <w:pPr>
        <w:spacing w:after="0" w:line="240" w:lineRule="auto"/>
        <w:ind w:left="709" w:right="709"/>
        <w:jc w:val="both"/>
        <w:rPr>
          <w:rFonts w:ascii="Arial" w:eastAsia="Times New Roman" w:hAnsi="Arial" w:cs="Arial"/>
          <w:sz w:val="21"/>
          <w:szCs w:val="21"/>
          <w:lang w:val="es-ES_tradnl" w:eastAsia="es-CO"/>
        </w:rPr>
      </w:pPr>
      <w:r w:rsidRPr="00C842D4">
        <w:rPr>
          <w:rFonts w:ascii="Arial" w:eastAsia="Times New Roman" w:hAnsi="Arial" w:cs="Arial"/>
          <w:sz w:val="21"/>
          <w:szCs w:val="21"/>
          <w:lang w:val="es-ES_tradnl" w:eastAsia="es-CO"/>
        </w:rPr>
        <w:t>[... ]</w:t>
      </w:r>
    </w:p>
    <w:p w14:paraId="4AD5EE5D" w14:textId="5C2A2377" w:rsidR="000166C5" w:rsidRDefault="000166C5" w:rsidP="00E502CF">
      <w:pPr>
        <w:spacing w:after="0" w:line="240" w:lineRule="auto"/>
        <w:ind w:left="709" w:right="709"/>
        <w:jc w:val="both"/>
        <w:rPr>
          <w:rFonts w:ascii="Arial" w:eastAsia="Times New Roman" w:hAnsi="Arial" w:cs="Arial"/>
          <w:sz w:val="21"/>
          <w:szCs w:val="21"/>
          <w:lang w:val="es-ES_tradnl" w:eastAsia="es-CO"/>
        </w:rPr>
      </w:pPr>
      <w:r w:rsidRPr="00C842D4">
        <w:rPr>
          <w:rFonts w:ascii="Arial" w:eastAsia="Times New Roman" w:hAnsi="Arial" w:cs="Arial"/>
          <w:sz w:val="21"/>
          <w:szCs w:val="21"/>
          <w:lang w:val="es-ES_tradnl" w:eastAsia="es-CO"/>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C842D4">
        <w:rPr>
          <w:rFonts w:ascii="Arial" w:eastAsia="Times New Roman" w:hAnsi="Arial" w:cs="Arial"/>
          <w:sz w:val="21"/>
          <w:szCs w:val="21"/>
          <w:lang w:val="es-ES_tradnl" w:eastAsia="es-CO"/>
        </w:rPr>
        <w:t>puntaje,</w:t>
      </w:r>
      <w:proofErr w:type="gramEnd"/>
      <w:r w:rsidRPr="00C842D4">
        <w:rPr>
          <w:rFonts w:ascii="Arial" w:eastAsia="Times New Roman" w:hAnsi="Arial" w:cs="Arial"/>
          <w:sz w:val="21"/>
          <w:szCs w:val="21"/>
          <w:lang w:val="es-ES_tradnl" w:eastAsia="es-CO"/>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00E502CF" w:rsidRPr="00C842D4">
        <w:rPr>
          <w:rFonts w:ascii="Arial" w:eastAsia="Times New Roman" w:hAnsi="Arial" w:cs="Arial"/>
          <w:sz w:val="21"/>
          <w:szCs w:val="21"/>
          <w:lang w:val="es-ES_tradnl" w:eastAsia="es-CO"/>
        </w:rPr>
        <w:t>.</w:t>
      </w:r>
      <w:r w:rsidRPr="00C842D4">
        <w:rPr>
          <w:rFonts w:ascii="Arial" w:eastAsia="Times New Roman" w:hAnsi="Arial" w:cs="Arial"/>
          <w:sz w:val="21"/>
          <w:szCs w:val="21"/>
          <w:lang w:val="es-ES_tradnl" w:eastAsia="es-CO"/>
        </w:rPr>
        <w:t xml:space="preserve"> </w:t>
      </w:r>
    </w:p>
    <w:p w14:paraId="17EF82FF" w14:textId="77777777" w:rsidR="00E502CF" w:rsidRPr="00C842D4" w:rsidRDefault="00E502CF" w:rsidP="00C842D4">
      <w:pPr>
        <w:spacing w:after="0" w:line="240" w:lineRule="auto"/>
        <w:ind w:left="709" w:right="709"/>
        <w:jc w:val="both"/>
        <w:rPr>
          <w:rFonts w:ascii="Arial" w:eastAsia="Times New Roman" w:hAnsi="Arial" w:cs="Arial"/>
          <w:sz w:val="21"/>
          <w:szCs w:val="21"/>
          <w:lang w:val="es-ES_tradnl" w:eastAsia="es-CO"/>
        </w:rPr>
      </w:pPr>
    </w:p>
    <w:p w14:paraId="0C26476C" w14:textId="6FD44E09"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Como puede observarse, la Ley 1882 de 2018: i) mantiene el criterio de la Ley 80 de 1993, relativo a que todo lo que no sea necesario para la comparación de propuestas no es título suficiente para su rechazo; </w:t>
      </w:r>
      <w:proofErr w:type="spellStart"/>
      <w:r w:rsidRPr="00E66E97">
        <w:rPr>
          <w:rFonts w:ascii="Arial" w:eastAsia="Times New Roman" w:hAnsi="Arial" w:cs="Arial"/>
          <w:lang w:val="es-ES_tradnl" w:eastAsia="es-ES_tradnl"/>
        </w:rPr>
        <w:t>ii</w:t>
      </w:r>
      <w:proofErr w:type="spellEnd"/>
      <w:r w:rsidRPr="00E66E97">
        <w:rPr>
          <w:rFonts w:ascii="Arial" w:eastAsia="Times New Roman" w:hAnsi="Arial" w:cs="Arial"/>
          <w:lang w:val="es-ES_tradnl" w:eastAsia="es-ES_tradnl"/>
        </w:rPr>
        <w:t xml:space="preserve">) mantiene el criterio aclaratorio de la Ley 1150 de 2007, según el cual todo lo que no afecte la asignación de puntaje puede subsanarse; y, </w:t>
      </w:r>
      <w:proofErr w:type="spellStart"/>
      <w:r w:rsidRPr="00E66E97">
        <w:rPr>
          <w:rFonts w:ascii="Arial" w:eastAsia="Times New Roman" w:hAnsi="Arial" w:cs="Arial"/>
          <w:lang w:val="es-ES_tradnl" w:eastAsia="es-ES_tradnl"/>
        </w:rPr>
        <w:t>iii</w:t>
      </w:r>
      <w:proofErr w:type="spellEnd"/>
      <w:r w:rsidRPr="00E66E97">
        <w:rPr>
          <w:rFonts w:ascii="Arial" w:eastAsia="Times New Roman" w:hAnsi="Arial" w:cs="Arial"/>
          <w:lang w:val="es-ES_tradnl" w:eastAsia="es-ES_tradnl"/>
        </w:rPr>
        <w:t xml:space="preserve">) introduce modificaciones en relación con algunos aspectos que se analizarán a continuación. </w:t>
      </w:r>
    </w:p>
    <w:p w14:paraId="338EA159" w14:textId="77777777" w:rsidR="000166C5" w:rsidRPr="00E66E97" w:rsidRDefault="000166C5" w:rsidP="00C842D4">
      <w:pPr>
        <w:spacing w:after="120" w:line="276" w:lineRule="auto"/>
        <w:ind w:right="51" w:firstLine="709"/>
        <w:jc w:val="both"/>
        <w:rPr>
          <w:rFonts w:ascii="Arial" w:eastAsia="Times New Roman" w:hAnsi="Arial" w:cs="Arial"/>
          <w:lang w:val="es-ES_tradnl" w:eastAsia="es-ES_tradnl"/>
        </w:rPr>
      </w:pPr>
      <w:r w:rsidRPr="00E66E97">
        <w:rPr>
          <w:rFonts w:ascii="Arial" w:eastAsia="Times New Roman" w:hAnsi="Arial" w:cs="Arial"/>
          <w:i/>
          <w:iCs/>
          <w:lang w:val="es-ES_tradnl" w:eastAsia="es-ES_tradnl"/>
        </w:rPr>
        <w:t>El primero</w:t>
      </w:r>
      <w:r w:rsidRPr="00E66E97">
        <w:rPr>
          <w:rFonts w:ascii="Arial" w:eastAsia="Times New Roman" w:hAnsi="Arial" w:cs="Arial"/>
          <w:lang w:val="es-ES_tradnl" w:eastAsia="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E66E97">
        <w:rPr>
          <w:rFonts w:ascii="Arial" w:eastAsia="Times New Roman" w:hAnsi="Arial" w:cs="Arial"/>
          <w:vertAlign w:val="superscript"/>
          <w:lang w:val="es-ES_tradnl" w:eastAsia="es-ES_tradnl"/>
        </w:rPr>
        <w:footnoteReference w:id="15"/>
      </w:r>
      <w:r w:rsidRPr="00E66E97">
        <w:rPr>
          <w:rFonts w:ascii="Arial" w:eastAsia="Times New Roman" w:hAnsi="Arial" w:cs="Arial"/>
          <w:lang w:val="es-ES_tradnl" w:eastAsia="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E66E97">
        <w:rPr>
          <w:rFonts w:ascii="Arial" w:eastAsia="Times New Roman" w:hAnsi="Arial" w:cs="Arial"/>
          <w:vertAlign w:val="superscript"/>
          <w:lang w:val="es-ES_tradnl" w:eastAsia="es-ES_tradnl"/>
        </w:rPr>
        <w:footnoteReference w:id="16"/>
      </w:r>
      <w:r w:rsidRPr="00E66E97">
        <w:rPr>
          <w:rFonts w:ascii="Arial" w:eastAsia="Times New Roman" w:hAnsi="Arial" w:cs="Arial"/>
          <w:lang w:val="es-ES_tradnl" w:eastAsia="es-ES_tradnl"/>
        </w:rPr>
        <w:t xml:space="preserve">. </w:t>
      </w:r>
    </w:p>
    <w:p w14:paraId="01D0A622"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E66E97">
        <w:rPr>
          <w:rFonts w:ascii="Arial" w:eastAsia="Times New Roman" w:hAnsi="Arial" w:cs="Arial"/>
          <w:i/>
          <w:iCs/>
          <w:lang w:val="es-ES_tradnl" w:eastAsia="es-ES_tradnl"/>
        </w:rPr>
        <w:t>deberán ser solicitados por las entidades estatales y deberán ser entregados por los proponentes hasta el término de traslado del informe de evaluación que corresponda a cada modalidad de selección».</w:t>
      </w:r>
      <w:r w:rsidRPr="00E66E97">
        <w:rPr>
          <w:rFonts w:ascii="Arial" w:eastAsia="Times New Roman" w:hAnsi="Arial" w:cs="Arial"/>
          <w:lang w:val="es-ES_tradnl" w:eastAsia="es-ES_tradnl"/>
        </w:rPr>
        <w:t xml:space="preserve"> </w:t>
      </w:r>
    </w:p>
    <w:p w14:paraId="3C820ED0"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No obstante, de la lectura de este aparte podrían, en la práctica, darse dos interpretaciones que dan lugar a dos formas de proceder en los procesos de selección, en lo que a la </w:t>
      </w:r>
      <w:proofErr w:type="spellStart"/>
      <w:r w:rsidRPr="00E66E97">
        <w:rPr>
          <w:rFonts w:ascii="Arial" w:eastAsia="Times New Roman" w:hAnsi="Arial" w:cs="Arial"/>
          <w:lang w:val="es-ES_tradnl" w:eastAsia="es-ES_tradnl"/>
        </w:rPr>
        <w:t>subsanabilidad</w:t>
      </w:r>
      <w:proofErr w:type="spellEnd"/>
      <w:r w:rsidRPr="00E66E97">
        <w:rPr>
          <w:rFonts w:ascii="Arial" w:eastAsia="Times New Roman" w:hAnsi="Arial" w:cs="Arial"/>
          <w:lang w:val="es-ES_tradnl" w:eastAsia="es-ES_tradnl"/>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E66E97">
        <w:rPr>
          <w:rFonts w:ascii="Arial" w:eastAsia="Times New Roman" w:hAnsi="Arial" w:cs="Arial"/>
          <w:i/>
          <w:iCs/>
          <w:lang w:val="es-ES_tradnl" w:eastAsia="es-ES_tradnl"/>
        </w:rPr>
        <w:t>límite</w:t>
      </w:r>
      <w:r w:rsidRPr="00E66E97">
        <w:rPr>
          <w:rFonts w:ascii="Arial" w:eastAsia="Times New Roman" w:hAnsi="Arial" w:cs="Arial"/>
          <w:lang w:val="es-ES_tradnl" w:eastAsia="es-ES_tradnl"/>
        </w:rPr>
        <w:t xml:space="preserve"> para la subsanación de ofertas, pero no el único momento para hacerlo. </w:t>
      </w:r>
    </w:p>
    <w:p w14:paraId="647F1EB3"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7BC9A166"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0141C73C"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538501F7"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El segundo cambio importante de la Ley 1882 de 2018 fue la introducción de un criterio material, directamente relacionado con los aspectos subsanables: </w:t>
      </w:r>
      <w:r w:rsidRPr="00E66E97">
        <w:rPr>
          <w:rFonts w:ascii="Arial" w:eastAsia="Times New Roman" w:hAnsi="Arial" w:cs="Arial"/>
          <w:i/>
          <w:iCs/>
          <w:lang w:val="es-ES_tradnl" w:eastAsia="es-ES_tradnl"/>
        </w:rPr>
        <w:t>«los proponentes no podrán acreditar circunstancias ocurridas con posterioridad al cierre del proceso».</w:t>
      </w:r>
      <w:r w:rsidRPr="00E66E97">
        <w:rPr>
          <w:rFonts w:ascii="Arial" w:eastAsia="Times New Roman" w:hAnsi="Arial" w:cs="Arial"/>
          <w:lang w:val="es-ES_tradnl" w:eastAsia="es-ES_tradnl"/>
        </w:rPr>
        <w:t xml:space="preserve"> Lo anterior ofrece dos aspectos que merecen clarificación; primero, qué debe entenderse por circunstancias ocurridas con posterioridad; y segundo, qué es el cierre del proceso. </w:t>
      </w:r>
    </w:p>
    <w:p w14:paraId="30A95146"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E66E97">
        <w:rPr>
          <w:rFonts w:ascii="Arial" w:eastAsia="Times New Roman" w:hAnsi="Arial" w:cs="Arial"/>
          <w:vertAlign w:val="superscript"/>
          <w:lang w:val="es-ES_tradnl" w:eastAsia="es-ES_tradnl"/>
        </w:rPr>
        <w:footnoteReference w:id="17"/>
      </w:r>
      <w:r w:rsidRPr="00E66E97">
        <w:rPr>
          <w:rFonts w:ascii="Arial" w:eastAsia="Times New Roman" w:hAnsi="Arial" w:cs="Arial"/>
          <w:lang w:val="es-ES_tradnl" w:eastAsia="es-ES_tradnl"/>
        </w:rPr>
        <w:t>.</w:t>
      </w:r>
    </w:p>
    <w:p w14:paraId="6A9FC8FD"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0EEE7498"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Un mejor entendimiento del significado de la expresión </w:t>
      </w:r>
      <w:r w:rsidRPr="00E66E97">
        <w:rPr>
          <w:rFonts w:ascii="Arial" w:eastAsia="Times New Roman" w:hAnsi="Arial" w:cs="Arial"/>
          <w:i/>
          <w:iCs/>
          <w:lang w:val="es-ES_tradnl" w:eastAsia="es-ES_tradnl"/>
        </w:rPr>
        <w:t>«circunstancias ocurridas con posterioridad al cierre del proceso»</w:t>
      </w:r>
      <w:r w:rsidRPr="00E66E97">
        <w:rPr>
          <w:rFonts w:ascii="Arial" w:eastAsia="Times New Roman" w:hAnsi="Arial" w:cs="Arial"/>
          <w:lang w:val="es-ES_tradnl" w:eastAsia="es-ES_tradnl"/>
        </w:rPr>
        <w:t xml:space="preserve"> implica distinguir entre la prueba de un hecho y el hecho mismo. En el caso de la </w:t>
      </w:r>
      <w:proofErr w:type="spellStart"/>
      <w:r w:rsidRPr="00E66E97">
        <w:rPr>
          <w:rFonts w:ascii="Arial" w:eastAsia="Times New Roman" w:hAnsi="Arial" w:cs="Arial"/>
          <w:lang w:val="es-ES_tradnl" w:eastAsia="es-ES_tradnl"/>
        </w:rPr>
        <w:t>subsanabilidad</w:t>
      </w:r>
      <w:proofErr w:type="spellEnd"/>
      <w:r w:rsidRPr="00E66E97">
        <w:rPr>
          <w:rFonts w:ascii="Arial" w:eastAsia="Times New Roman" w:hAnsi="Arial" w:cs="Arial"/>
          <w:lang w:val="es-ES_tradnl" w:eastAsia="es-ES_tradnl"/>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E66E97">
        <w:rPr>
          <w:rFonts w:ascii="Arial" w:eastAsia="Times New Roman" w:hAnsi="Arial" w:cs="Arial"/>
          <w:vertAlign w:val="superscript"/>
          <w:lang w:val="es-ES_tradnl" w:eastAsia="es-ES_tradnl"/>
        </w:rPr>
        <w:footnoteReference w:id="18"/>
      </w:r>
      <w:r w:rsidRPr="00E66E97">
        <w:rPr>
          <w:rFonts w:ascii="Arial" w:eastAsia="Times New Roman" w:hAnsi="Arial" w:cs="Arial"/>
          <w:lang w:val="es-ES_tradnl" w:eastAsia="es-ES_tradnl"/>
        </w:rPr>
        <w:t xml:space="preserve">. </w:t>
      </w:r>
    </w:p>
    <w:p w14:paraId="6CFBA729"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w:t>
      </w:r>
      <w:proofErr w:type="spellStart"/>
      <w:r w:rsidRPr="00E66E97">
        <w:rPr>
          <w:rFonts w:ascii="Arial" w:eastAsia="Times New Roman" w:hAnsi="Arial" w:cs="Arial"/>
          <w:lang w:val="es-ES_tradnl" w:eastAsia="es-ES_tradnl"/>
        </w:rPr>
        <w:t>ii</w:t>
      </w:r>
      <w:proofErr w:type="spellEnd"/>
      <w:r w:rsidRPr="00E66E97">
        <w:rPr>
          <w:rFonts w:ascii="Arial" w:eastAsia="Times New Roman" w:hAnsi="Arial" w:cs="Arial"/>
          <w:lang w:val="es-ES_tradnl" w:eastAsia="es-ES_tradn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E66E97">
        <w:rPr>
          <w:rFonts w:ascii="Arial" w:eastAsia="Times New Roman" w:hAnsi="Arial" w:cs="Arial"/>
          <w:vertAlign w:val="superscript"/>
          <w:lang w:val="es-ES_tradnl" w:eastAsia="es-ES_tradnl"/>
        </w:rPr>
        <w:footnoteReference w:id="19"/>
      </w:r>
      <w:r w:rsidRPr="00E66E97">
        <w:rPr>
          <w:rFonts w:ascii="Arial" w:eastAsia="Times New Roman" w:hAnsi="Arial" w:cs="Arial"/>
          <w:lang w:val="es-ES_tradnl" w:eastAsia="es-ES_tradnl"/>
        </w:rPr>
        <w:t xml:space="preserve">; </w:t>
      </w:r>
      <w:proofErr w:type="spellStart"/>
      <w:r w:rsidRPr="00E66E97">
        <w:rPr>
          <w:rFonts w:ascii="Arial" w:eastAsia="Times New Roman" w:hAnsi="Arial" w:cs="Arial"/>
          <w:lang w:val="es-ES_tradnl" w:eastAsia="es-ES_tradnl"/>
        </w:rPr>
        <w:t>iii</w:t>
      </w:r>
      <w:proofErr w:type="spellEnd"/>
      <w:r w:rsidRPr="00E66E97">
        <w:rPr>
          <w:rFonts w:ascii="Arial" w:eastAsia="Times New Roman" w:hAnsi="Arial" w:cs="Arial"/>
          <w:lang w:val="es-ES_tradnl" w:eastAsia="es-ES_tradnl"/>
        </w:rPr>
        <w:t>) si un oferente no anexó el Certificado de existencia y representación legal, el documento aportado con posterioridad debe dar cuenta de que la sociedad existía antes del cierre del proceso</w:t>
      </w:r>
      <w:r w:rsidRPr="00E66E97">
        <w:rPr>
          <w:rFonts w:ascii="Arial" w:eastAsia="Times New Roman" w:hAnsi="Arial" w:cs="Arial"/>
          <w:vertAlign w:val="superscript"/>
          <w:lang w:val="es-ES_tradnl" w:eastAsia="es-ES_tradnl"/>
        </w:rPr>
        <w:footnoteReference w:id="20"/>
      </w:r>
      <w:r w:rsidRPr="00E66E97">
        <w:rPr>
          <w:rFonts w:ascii="Arial" w:eastAsia="Times New Roman" w:hAnsi="Arial" w:cs="Arial"/>
          <w:lang w:val="es-ES_tradnl" w:eastAsia="es-ES_tradnl"/>
        </w:rPr>
        <w:t xml:space="preserve">; </w:t>
      </w:r>
      <w:proofErr w:type="spellStart"/>
      <w:r w:rsidRPr="00E66E97">
        <w:rPr>
          <w:rFonts w:ascii="Arial" w:eastAsia="Times New Roman" w:hAnsi="Arial" w:cs="Arial"/>
          <w:lang w:val="es-ES_tradnl" w:eastAsia="es-ES_tradnl"/>
        </w:rPr>
        <w:t>iv</w:t>
      </w:r>
      <w:proofErr w:type="spellEnd"/>
      <w:r w:rsidRPr="00E66E97">
        <w:rPr>
          <w:rFonts w:ascii="Arial" w:eastAsia="Times New Roman" w:hAnsi="Arial" w:cs="Arial"/>
          <w:lang w:val="es-ES_tradnl" w:eastAsia="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0D48B5BA" w14:textId="77777777" w:rsidR="000166C5" w:rsidRPr="00E66E97" w:rsidRDefault="000166C5" w:rsidP="00C842D4">
      <w:pPr>
        <w:spacing w:after="120" w:line="276" w:lineRule="auto"/>
        <w:ind w:firstLine="709"/>
        <w:jc w:val="both"/>
        <w:rPr>
          <w:rFonts w:ascii="Arial" w:eastAsia="Times New Roman" w:hAnsi="Arial" w:cs="Arial"/>
          <w:i/>
          <w:iCs/>
          <w:lang w:val="es-ES_tradnl" w:eastAsia="es-ES_tradnl"/>
        </w:rPr>
      </w:pPr>
      <w:r w:rsidRPr="00E66E97">
        <w:rPr>
          <w:rFonts w:ascii="Arial" w:eastAsia="Times New Roman" w:hAnsi="Arial" w:cs="Arial"/>
          <w:lang w:val="es-ES_tradnl" w:eastAsia="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00E66E97">
        <w:rPr>
          <w:rFonts w:ascii="Arial" w:eastAsia="Times New Roman" w:hAnsi="Arial" w:cs="Arial"/>
          <w:lang w:val="es-ES_tradnl" w:eastAsia="es-ES_tradnl"/>
        </w:rPr>
        <w:t>que</w:t>
      </w:r>
      <w:proofErr w:type="gramEnd"/>
      <w:r w:rsidRPr="00E66E97">
        <w:rPr>
          <w:rFonts w:ascii="Arial" w:eastAsia="Times New Roman" w:hAnsi="Arial" w:cs="Arial"/>
          <w:lang w:val="es-ES_tradnl" w:eastAsia="es-ES_tradnl"/>
        </w:rPr>
        <w:t xml:space="preserve"> el Consejo de Estado sostiene que </w:t>
      </w:r>
      <w:r w:rsidRPr="008B6324">
        <w:rPr>
          <w:rFonts w:ascii="Arial" w:eastAsia="Times New Roman" w:hAnsi="Arial" w:cs="Arial"/>
          <w:lang w:val="es-ES_tradnl" w:eastAsia="es-ES_tradnl"/>
        </w:rPr>
        <w:t>«</w:t>
      </w:r>
      <w:r w:rsidRPr="00C842D4">
        <w:rPr>
          <w:rFonts w:ascii="Arial" w:eastAsia="Times New Roman" w:hAnsi="Arial" w:cs="Arial"/>
          <w:lang w:val="es-ES_tradnl" w:eastAsia="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C842D4">
        <w:rPr>
          <w:rFonts w:ascii="Arial" w:eastAsia="Times New Roman" w:hAnsi="Arial" w:cs="Arial"/>
          <w:vertAlign w:val="superscript"/>
          <w:lang w:val="es-ES_tradnl" w:eastAsia="es-ES_tradnl"/>
        </w:rPr>
        <w:footnoteReference w:id="21"/>
      </w:r>
      <w:r w:rsidRPr="00C842D4">
        <w:rPr>
          <w:rFonts w:ascii="Arial" w:eastAsia="Times New Roman" w:hAnsi="Arial" w:cs="Arial"/>
          <w:lang w:val="es-ES_tradnl" w:eastAsia="es-ES_tradnl"/>
        </w:rPr>
        <w:t>.</w:t>
      </w:r>
      <w:r w:rsidRPr="00E66E97">
        <w:rPr>
          <w:rFonts w:ascii="Arial" w:eastAsia="Times New Roman" w:hAnsi="Arial" w:cs="Arial"/>
          <w:i/>
          <w:iCs/>
          <w:lang w:val="es-ES_tradnl" w:eastAsia="es-ES_tradnl"/>
        </w:rPr>
        <w:t xml:space="preserve"> </w:t>
      </w:r>
    </w:p>
    <w:p w14:paraId="39704E5A" w14:textId="77777777" w:rsidR="000166C5" w:rsidRDefault="000166C5" w:rsidP="00616E60">
      <w:pPr>
        <w:spacing w:after="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12EDA79E" w14:textId="77777777" w:rsidR="00616E60" w:rsidRPr="00E66E97" w:rsidRDefault="00616E60" w:rsidP="00C842D4">
      <w:pPr>
        <w:spacing w:after="0" w:line="276" w:lineRule="auto"/>
        <w:ind w:firstLine="709"/>
        <w:jc w:val="both"/>
        <w:rPr>
          <w:rFonts w:ascii="Arial" w:eastAsia="Times New Roman" w:hAnsi="Arial" w:cs="Arial"/>
          <w:lang w:val="es-ES_tradnl" w:eastAsia="es-ES_tradnl"/>
        </w:rPr>
      </w:pPr>
    </w:p>
    <w:p w14:paraId="247AABDD" w14:textId="77777777" w:rsidR="000166C5" w:rsidRPr="00E66E97" w:rsidRDefault="000166C5" w:rsidP="000166C5">
      <w:pPr>
        <w:tabs>
          <w:tab w:val="left" w:pos="709"/>
        </w:tabs>
        <w:spacing w:after="240" w:line="276" w:lineRule="auto"/>
        <w:jc w:val="both"/>
        <w:rPr>
          <w:rFonts w:ascii="Arial" w:eastAsia="Calibri" w:hAnsi="Arial" w:cs="Arial"/>
          <w:b/>
          <w:color w:val="000000"/>
          <w:lang w:val="es-ES_tradnl"/>
        </w:rPr>
      </w:pPr>
      <w:r w:rsidRPr="00E66E97">
        <w:rPr>
          <w:rFonts w:ascii="Arial" w:eastAsia="Calibri" w:hAnsi="Arial" w:cs="Arial"/>
          <w:b/>
          <w:color w:val="000000"/>
          <w:lang w:val="es-ES_tradnl"/>
        </w:rPr>
        <w:t>2.4. Adendas de modificación al cronograma</w:t>
      </w:r>
    </w:p>
    <w:p w14:paraId="111FF69C" w14:textId="77777777" w:rsidR="000166C5" w:rsidRPr="00E66E97" w:rsidRDefault="000166C5" w:rsidP="00C842D4">
      <w:pPr>
        <w:spacing w:after="120" w:line="276" w:lineRule="auto"/>
        <w:jc w:val="both"/>
        <w:rPr>
          <w:rFonts w:ascii="Arial" w:eastAsia="Calibri" w:hAnsi="Arial" w:cs="Arial"/>
          <w:color w:val="000000"/>
          <w:lang w:val="es-ES_tradnl"/>
        </w:rPr>
      </w:pPr>
      <w:r w:rsidRPr="00E66E97">
        <w:rPr>
          <w:rFonts w:ascii="Arial" w:eastAsia="Calibri" w:hAnsi="Arial" w:cs="Arial"/>
          <w:color w:val="000000"/>
          <w:lang w:val="es-ES_tradnl"/>
        </w:rPr>
        <w:t>Las entidades estatales, una vez publicados los pliegos de condiciones definitivos o la invitación pública para los procesos de mínima cuantía,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1244706D" w14:textId="77777777" w:rsidR="000166C5" w:rsidRPr="00E66E97" w:rsidRDefault="000166C5" w:rsidP="00C842D4">
      <w:pPr>
        <w:widowControl w:val="0"/>
        <w:autoSpaceDE w:val="0"/>
        <w:autoSpaceDN w:val="0"/>
        <w:spacing w:after="120" w:line="276" w:lineRule="auto"/>
        <w:ind w:firstLine="709"/>
        <w:jc w:val="both"/>
        <w:rPr>
          <w:rFonts w:ascii="Arial" w:eastAsia="Times New Roman" w:hAnsi="Arial" w:cs="Arial"/>
          <w:lang w:val="es-ES" w:eastAsia="es-ES_tradnl"/>
        </w:rPr>
      </w:pPr>
      <w:r w:rsidRPr="00E66E97">
        <w:rPr>
          <w:rFonts w:ascii="Arial" w:eastAsia="Times New Roman" w:hAnsi="Arial" w:cs="Arial"/>
          <w:lang w:val="es-ES" w:eastAsia="es-ES_tradnl"/>
        </w:rPr>
        <w:t>Estas modificaciones deben realizarse a través de adendas o como lo ha reconocido la jurisprudencia del Consejo de Estado, por medio de cualquier otro documento que contenga la manifestación de voluntad de la entidad de aclarar, añadir, adicionar, reemplazar o cambiar un aspecto o condición incluida en los documentos del procedimiento de contratación</w:t>
      </w:r>
      <w:r w:rsidRPr="00E66E97">
        <w:rPr>
          <w:rFonts w:ascii="Arial" w:eastAsia="Times New Roman" w:hAnsi="Arial" w:cs="Arial"/>
          <w:vertAlign w:val="superscript"/>
          <w:lang w:val="es-ES" w:eastAsia="es-ES_tradnl"/>
        </w:rPr>
        <w:footnoteReference w:id="22"/>
      </w:r>
      <w:r w:rsidRPr="00E66E97">
        <w:rPr>
          <w:rFonts w:ascii="Arial" w:eastAsia="Times New Roman" w:hAnsi="Arial" w:cs="Arial"/>
          <w:lang w:val="es-ES" w:eastAsia="es-ES_tradnl"/>
        </w:rPr>
        <w:t>.</w:t>
      </w:r>
    </w:p>
    <w:p w14:paraId="6699D073" w14:textId="77777777" w:rsidR="000166C5" w:rsidRPr="00E66E97" w:rsidRDefault="000166C5" w:rsidP="00C842D4">
      <w:pPr>
        <w:widowControl w:val="0"/>
        <w:autoSpaceDE w:val="0"/>
        <w:autoSpaceDN w:val="0"/>
        <w:spacing w:after="120" w:line="276" w:lineRule="auto"/>
        <w:ind w:firstLine="709"/>
        <w:jc w:val="both"/>
        <w:rPr>
          <w:rFonts w:ascii="Arial" w:eastAsia="Times New Roman" w:hAnsi="Arial" w:cs="Arial"/>
          <w:lang w:val="es-ES" w:eastAsia="es-ES_tradnl"/>
        </w:rPr>
      </w:pPr>
      <w:r w:rsidRPr="00E66E97">
        <w:rPr>
          <w:rFonts w:ascii="Arial" w:eastAsia="Times New Roman" w:hAnsi="Arial" w:cs="Arial"/>
          <w:lang w:val="es-ES" w:eastAsia="es-ES_tradnl"/>
        </w:rPr>
        <w:t>La adenda o modificación, al contener la voluntad de la Administración de variar, ajustar o aclarar algún aspecto o condición de los pliegos de condiciones</w:t>
      </w:r>
      <w:r w:rsidRPr="00E66E97">
        <w:rPr>
          <w:rFonts w:ascii="Arial" w:eastAsia="Calibri" w:hAnsi="Arial" w:cs="Arial"/>
          <w:color w:val="000000"/>
          <w:lang w:val="es-ES_tradnl"/>
        </w:rPr>
        <w:t xml:space="preserve"> o la invitación pública para procesos de mínima cuantía</w:t>
      </w:r>
      <w:r w:rsidRPr="00E66E97">
        <w:rPr>
          <w:rFonts w:ascii="Arial" w:eastAsia="Times New Roman" w:hAnsi="Arial" w:cs="Arial"/>
          <w:lang w:val="es-ES" w:eastAsia="es-ES_tradnl"/>
        </w:rPr>
        <w:t xml:space="preserve">, tiene la naturaleza de acto administrativo de contenido general, que, al ser incorporado al contenido de los pliegos de condiciones </w:t>
      </w:r>
      <w:r w:rsidRPr="00E66E97">
        <w:rPr>
          <w:rFonts w:ascii="Arial" w:eastAsia="Calibri" w:hAnsi="Arial" w:cs="Arial"/>
          <w:color w:val="000000"/>
          <w:lang w:val="es-ES_tradnl"/>
        </w:rPr>
        <w:t>o a la invitación pública para procesos de mínima cuantía</w:t>
      </w:r>
      <w:r w:rsidRPr="00E66E97">
        <w:rPr>
          <w:rFonts w:ascii="Arial" w:eastAsia="Times New Roman" w:hAnsi="Arial" w:cs="Arial"/>
          <w:lang w:val="es-ES" w:eastAsia="es-ES_tradnl"/>
        </w:rPr>
        <w:t xml:space="preserve"> tiene, al igual que estos, la posibilidad de transformarse en parte del texto del negocio jurídico</w:t>
      </w:r>
      <w:r w:rsidRPr="00E66E97">
        <w:rPr>
          <w:rFonts w:ascii="Arial" w:eastAsia="Times New Roman" w:hAnsi="Arial" w:cs="Arial"/>
          <w:vertAlign w:val="superscript"/>
          <w:lang w:val="es-ES" w:eastAsia="es-ES_tradnl"/>
        </w:rPr>
        <w:footnoteReference w:id="23"/>
      </w:r>
      <w:r w:rsidRPr="00E66E97">
        <w:rPr>
          <w:rFonts w:ascii="Arial" w:eastAsia="Times New Roman" w:hAnsi="Arial" w:cs="Arial"/>
          <w:lang w:val="es-ES" w:eastAsia="es-ES_tradnl"/>
        </w:rPr>
        <w:t>. Por lo tanto, las adendas, al ser actos administrativos de contenido general, deben ser publicadas para que sean obligatorias, esto es para que sus efectos sean vinculantes a los interesados en el procedimiento de contratación.</w:t>
      </w:r>
    </w:p>
    <w:p w14:paraId="35DEB73A" w14:textId="77777777" w:rsidR="000166C5" w:rsidRDefault="000166C5" w:rsidP="00204716">
      <w:pPr>
        <w:widowControl w:val="0"/>
        <w:autoSpaceDE w:val="0"/>
        <w:autoSpaceDN w:val="0"/>
        <w:spacing w:after="0" w:line="276" w:lineRule="auto"/>
        <w:ind w:firstLine="709"/>
        <w:jc w:val="both"/>
        <w:rPr>
          <w:rFonts w:ascii="Arial" w:eastAsia="Times New Roman" w:hAnsi="Arial" w:cs="Arial"/>
          <w:lang w:val="es-ES" w:eastAsia="es-ES_tradnl"/>
        </w:rPr>
      </w:pPr>
      <w:r w:rsidRPr="00E66E97">
        <w:rPr>
          <w:rFonts w:ascii="Arial" w:eastAsia="Times New Roman" w:hAnsi="Arial" w:cs="Arial"/>
          <w:lang w:val="es-ES" w:eastAsia="es-ES_tradnl"/>
        </w:rPr>
        <w:t>El artículo 2.2.1.1.2.2.1 del Decreto 1082 de 2015, 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Al respecto señala la norma:</w:t>
      </w:r>
    </w:p>
    <w:p w14:paraId="658388C8" w14:textId="77777777" w:rsidR="00204716" w:rsidRPr="00E66E97" w:rsidRDefault="00204716" w:rsidP="00C842D4">
      <w:pPr>
        <w:widowControl w:val="0"/>
        <w:autoSpaceDE w:val="0"/>
        <w:autoSpaceDN w:val="0"/>
        <w:spacing w:after="0" w:line="240" w:lineRule="auto"/>
        <w:ind w:firstLine="709"/>
        <w:jc w:val="both"/>
        <w:rPr>
          <w:rFonts w:ascii="Arial" w:eastAsia="Times New Roman" w:hAnsi="Arial" w:cs="Arial"/>
          <w:lang w:val="es-ES" w:eastAsia="es-ES_tradnl"/>
        </w:rPr>
      </w:pPr>
    </w:p>
    <w:p w14:paraId="3C27F1AE" w14:textId="1C35D715" w:rsidR="000166C5" w:rsidRDefault="00204716" w:rsidP="00204716">
      <w:pPr>
        <w:spacing w:after="0" w:line="240" w:lineRule="auto"/>
        <w:ind w:left="709" w:right="900"/>
        <w:jc w:val="both"/>
        <w:rPr>
          <w:rFonts w:ascii="Arial" w:eastAsia="Times New Roman" w:hAnsi="Arial" w:cs="Arial"/>
          <w:sz w:val="21"/>
          <w:szCs w:val="21"/>
          <w:lang w:eastAsia="es-ES_tradnl"/>
        </w:rPr>
      </w:pPr>
      <w:r w:rsidRPr="00C842D4">
        <w:rPr>
          <w:rFonts w:ascii="Arial" w:eastAsia="Times New Roman" w:hAnsi="Arial" w:cs="Arial"/>
          <w:sz w:val="21"/>
          <w:szCs w:val="21"/>
          <w:lang w:eastAsia="es-ES_tradnl"/>
        </w:rPr>
        <w:t>«</w:t>
      </w:r>
      <w:r w:rsidR="000166C5" w:rsidRPr="00C842D4">
        <w:rPr>
          <w:rFonts w:ascii="Arial" w:eastAsia="Times New Roman" w:hAnsi="Arial" w:cs="Arial"/>
          <w:sz w:val="21"/>
          <w:szCs w:val="21"/>
          <w:lang w:eastAsia="es-ES_tradnl"/>
        </w:rPr>
        <w:t>Artículo 2.2.1.1.2.2.1. Modificación de los pliegos de condiciones. La Entidad Estatal puede modificar los pliegos de condiciones a través de Adendas expedidas antes del vencimiento del plazo para presentar ofertas.</w:t>
      </w:r>
    </w:p>
    <w:p w14:paraId="276AED7E" w14:textId="77777777" w:rsidR="00204716" w:rsidRPr="00C842D4" w:rsidRDefault="00204716" w:rsidP="00C842D4">
      <w:pPr>
        <w:spacing w:after="0" w:line="240" w:lineRule="auto"/>
        <w:ind w:left="709" w:right="900"/>
        <w:jc w:val="both"/>
        <w:rPr>
          <w:rFonts w:ascii="Arial" w:eastAsia="Times New Roman" w:hAnsi="Arial" w:cs="Arial"/>
          <w:sz w:val="21"/>
          <w:szCs w:val="21"/>
          <w:lang w:eastAsia="es-ES_tradnl"/>
        </w:rPr>
      </w:pPr>
    </w:p>
    <w:p w14:paraId="636F703C" w14:textId="77777777" w:rsidR="000166C5" w:rsidRPr="00C842D4" w:rsidRDefault="000166C5" w:rsidP="00C842D4">
      <w:pPr>
        <w:spacing w:after="0" w:line="240" w:lineRule="auto"/>
        <w:ind w:left="709" w:right="900"/>
        <w:jc w:val="both"/>
        <w:rPr>
          <w:rFonts w:ascii="Arial" w:eastAsia="Times New Roman" w:hAnsi="Arial" w:cs="Arial"/>
          <w:sz w:val="21"/>
          <w:szCs w:val="21"/>
          <w:lang w:eastAsia="es-ES_tradnl"/>
        </w:rPr>
      </w:pPr>
      <w:r w:rsidRPr="00C842D4">
        <w:rPr>
          <w:rFonts w:ascii="Arial" w:eastAsia="Times New Roman" w:hAnsi="Arial" w:cs="Arial"/>
          <w:sz w:val="21"/>
          <w:szCs w:val="21"/>
          <w:lang w:eastAsia="es-ES_tradnl"/>
        </w:rPr>
        <w:t>La Entidad Estatal puede expedir Adendas para modificar el Cronograma una vez vencido el término para la presentación de las ofertas y antes de la adjudicación del contrato.</w:t>
      </w:r>
    </w:p>
    <w:p w14:paraId="6CAD6928" w14:textId="77777777" w:rsidR="00204716" w:rsidRDefault="00204716" w:rsidP="00204716">
      <w:pPr>
        <w:widowControl w:val="0"/>
        <w:autoSpaceDE w:val="0"/>
        <w:autoSpaceDN w:val="0"/>
        <w:spacing w:after="0" w:line="240" w:lineRule="auto"/>
        <w:ind w:left="709" w:right="900"/>
        <w:jc w:val="both"/>
        <w:rPr>
          <w:rFonts w:ascii="Arial" w:eastAsia="Times New Roman" w:hAnsi="Arial" w:cs="Arial"/>
          <w:sz w:val="21"/>
          <w:szCs w:val="21"/>
          <w:lang w:val="es-ES" w:eastAsia="es-ES_tradnl"/>
        </w:rPr>
      </w:pPr>
    </w:p>
    <w:p w14:paraId="45318756" w14:textId="66BC9BAF" w:rsidR="000166C5" w:rsidRPr="00C842D4" w:rsidRDefault="000166C5" w:rsidP="00C842D4">
      <w:pPr>
        <w:widowControl w:val="0"/>
        <w:autoSpaceDE w:val="0"/>
        <w:autoSpaceDN w:val="0"/>
        <w:spacing w:after="0" w:line="240" w:lineRule="auto"/>
        <w:ind w:left="709" w:right="900"/>
        <w:jc w:val="both"/>
        <w:rPr>
          <w:rFonts w:ascii="Arial" w:eastAsia="Times New Roman" w:hAnsi="Arial" w:cs="Arial"/>
          <w:sz w:val="21"/>
          <w:szCs w:val="21"/>
          <w:lang w:val="es-ES" w:eastAsia="es-ES_tradnl"/>
        </w:rPr>
      </w:pPr>
      <w:r w:rsidRPr="00C842D4">
        <w:rPr>
          <w:rFonts w:ascii="Arial" w:eastAsia="Times New Roman" w:hAnsi="Arial" w:cs="Arial"/>
          <w:sz w:val="21"/>
          <w:szCs w:val="21"/>
          <w:lang w:val="es-ES" w:eastAsia="es-ES_tradnl"/>
        </w:rPr>
        <w:t>La Entidad Estatal debe publicar las Adendas en los días hábiles, entre las 7:00 a.m. y las 7:00 p. m., a más tardar el día hábil anterior al vencimiento del plazo para presentar ofertas a la hora fijada para tal presentación, salvo en la licitación pública pues de conformidad con la ley la publicación debe hacerse con tres (3) días de anticipación</w:t>
      </w:r>
      <w:r w:rsidR="00204716" w:rsidRPr="00C842D4">
        <w:rPr>
          <w:rFonts w:ascii="Arial" w:eastAsia="Times New Roman" w:hAnsi="Arial" w:cs="Arial"/>
          <w:sz w:val="21"/>
          <w:szCs w:val="21"/>
          <w:lang w:val="es-ES" w:eastAsia="es-ES_tradnl"/>
        </w:rPr>
        <w:t>»</w:t>
      </w:r>
      <w:r w:rsidRPr="00C842D4">
        <w:rPr>
          <w:rFonts w:ascii="Arial" w:eastAsia="Times New Roman" w:hAnsi="Arial" w:cs="Arial"/>
          <w:sz w:val="21"/>
          <w:szCs w:val="21"/>
          <w:lang w:val="es-ES" w:eastAsia="es-ES_tradnl"/>
        </w:rPr>
        <w:t>.</w:t>
      </w:r>
    </w:p>
    <w:p w14:paraId="3F21733E" w14:textId="77777777" w:rsidR="00204716" w:rsidRDefault="00204716" w:rsidP="00C842D4">
      <w:pPr>
        <w:widowControl w:val="0"/>
        <w:autoSpaceDE w:val="0"/>
        <w:autoSpaceDN w:val="0"/>
        <w:spacing w:after="0" w:line="240" w:lineRule="auto"/>
        <w:ind w:right="49" w:firstLine="709"/>
        <w:jc w:val="both"/>
        <w:rPr>
          <w:rFonts w:ascii="Arial" w:eastAsia="Times New Roman" w:hAnsi="Arial" w:cs="Arial"/>
          <w:lang w:val="es-ES" w:eastAsia="es-ES_tradnl"/>
        </w:rPr>
      </w:pPr>
    </w:p>
    <w:p w14:paraId="1821CA68" w14:textId="7C03F6D6" w:rsidR="000166C5" w:rsidRPr="00E66E97" w:rsidRDefault="000166C5" w:rsidP="00C842D4">
      <w:pPr>
        <w:widowControl w:val="0"/>
        <w:autoSpaceDE w:val="0"/>
        <w:autoSpaceDN w:val="0"/>
        <w:spacing w:after="120" w:line="276" w:lineRule="auto"/>
        <w:ind w:right="51" w:firstLine="709"/>
        <w:jc w:val="both"/>
        <w:rPr>
          <w:rFonts w:ascii="Arial" w:eastAsia="Times New Roman" w:hAnsi="Arial" w:cs="Arial"/>
          <w:lang w:val="es-ES" w:eastAsia="es-ES_tradnl"/>
        </w:rPr>
      </w:pPr>
      <w:r w:rsidRPr="00E66E97">
        <w:rPr>
          <w:rFonts w:ascii="Arial" w:eastAsia="Times New Roman" w:hAnsi="Arial" w:cs="Arial"/>
          <w:lang w:val="es-ES" w:eastAsia="es-ES_tradnl"/>
        </w:rPr>
        <w:t>De lo anterior se observa que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635EBB4A" w14:textId="77777777" w:rsidR="000166C5" w:rsidRPr="00E66E97" w:rsidRDefault="000166C5" w:rsidP="00C842D4">
      <w:pPr>
        <w:widowControl w:val="0"/>
        <w:autoSpaceDE w:val="0"/>
        <w:autoSpaceDN w:val="0"/>
        <w:spacing w:after="120" w:line="276" w:lineRule="auto"/>
        <w:ind w:firstLine="709"/>
        <w:jc w:val="both"/>
        <w:rPr>
          <w:rFonts w:ascii="Arial" w:eastAsia="Times New Roman" w:hAnsi="Arial" w:cs="Arial"/>
          <w:lang w:val="es-ES" w:eastAsia="es-ES_tradnl"/>
        </w:rPr>
      </w:pPr>
      <w:r w:rsidRPr="00E66E97">
        <w:rPr>
          <w:rFonts w:ascii="Arial" w:eastAsia="Times New Roman" w:hAnsi="Arial" w:cs="Arial"/>
          <w:lang w:val="es-ES" w:eastAsia="es-ES_tradnl"/>
        </w:rPr>
        <w:t xml:space="preserve">Así las cosas,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E66E97">
        <w:rPr>
          <w:rFonts w:ascii="Arial" w:eastAsia="Times New Roman" w:hAnsi="Arial" w:cs="Arial"/>
          <w:lang w:val="es-ES" w:eastAsia="es-ES_tradnl"/>
        </w:rPr>
        <w:t>ii</w:t>
      </w:r>
      <w:proofErr w:type="spellEnd"/>
      <w:r w:rsidRPr="00E66E97">
        <w:rPr>
          <w:rFonts w:ascii="Arial" w:eastAsia="Times New Roman" w:hAnsi="Arial" w:cs="Arial"/>
          <w:lang w:val="es-ES" w:eastAsia="es-ES_tradnl"/>
        </w:rPr>
        <w:t xml:space="preserve">) una vez vencido el término para la presentación de ofertas y antes de la adjudicación del contrato. </w:t>
      </w:r>
      <w:r w:rsidRPr="00E66E97">
        <w:rPr>
          <w:rFonts w:ascii="Arial" w:eastAsia="Calibri" w:hAnsi="Arial" w:cs="Arial"/>
          <w:color w:val="000000"/>
          <w:lang w:val="es-ES_tradnl"/>
        </w:rPr>
        <w:t>Al respecto, resulta del caso precisar que cada modalidad de selección tiene establecido un procedimiento propio que rige su estructuración y, en este sentido, las etapas y el acto final del proceso de selección dependerá de cada modalidad de selección. De este modo, por ejemplo, en la mínima cuantía el acto por medio del cual se escoge al futuro contratista es la comunicación de aceptación de la oferta.</w:t>
      </w:r>
    </w:p>
    <w:p w14:paraId="4443F8F9" w14:textId="77777777" w:rsidR="000166C5" w:rsidRDefault="000166C5" w:rsidP="00877940">
      <w:pPr>
        <w:shd w:val="clear" w:color="auto" w:fill="FFFFFF"/>
        <w:spacing w:after="0" w:line="276" w:lineRule="auto"/>
        <w:ind w:firstLine="709"/>
        <w:jc w:val="both"/>
        <w:rPr>
          <w:rFonts w:ascii="Arial" w:hAnsi="Arial" w:cs="Arial"/>
          <w:lang w:eastAsia="es-ES_tradnl"/>
        </w:rPr>
      </w:pPr>
      <w:r w:rsidRPr="00E66E97">
        <w:rPr>
          <w:rFonts w:ascii="Arial" w:hAnsi="Arial" w:cs="Arial"/>
          <w:lang w:eastAsia="es-ES_tradnl"/>
        </w:rPr>
        <w:t>Ahora bien, el artículo 2.2.1.2.1.5.2. del Decreto 1082 de 2015 –«Procedimiento para la contratación de mínima cuantía»–, modificado por el artículo segundo del Decreto 1860 de 2021, establece las reglas son aplicables a la contratación cuyo valor no excede del diez por ciento (10%) de la menor cuantía de la Entidad Estatal, independientemente de su objeto:​</w:t>
      </w:r>
    </w:p>
    <w:p w14:paraId="5910D78A" w14:textId="77777777" w:rsidR="00877940" w:rsidRPr="00E66E97" w:rsidRDefault="00877940" w:rsidP="00C842D4">
      <w:pPr>
        <w:shd w:val="clear" w:color="auto" w:fill="FFFFFF"/>
        <w:spacing w:after="0" w:line="276" w:lineRule="auto"/>
        <w:ind w:firstLine="709"/>
        <w:jc w:val="both"/>
        <w:rPr>
          <w:rFonts w:ascii="Arial" w:hAnsi="Arial" w:cs="Arial"/>
          <w:lang w:eastAsia="es-ES_tradnl"/>
        </w:rPr>
      </w:pPr>
    </w:p>
    <w:p w14:paraId="7EB3424B" w14:textId="579F7D5F" w:rsidR="000166C5" w:rsidRDefault="004E02F9" w:rsidP="004E02F9">
      <w:pPr>
        <w:shd w:val="clear" w:color="auto" w:fill="FFFFFF"/>
        <w:spacing w:after="0" w:line="240" w:lineRule="auto"/>
        <w:ind w:left="709" w:right="900"/>
        <w:jc w:val="both"/>
        <w:rPr>
          <w:rFonts w:ascii="Arial" w:hAnsi="Arial" w:cs="Arial"/>
          <w:sz w:val="21"/>
          <w:szCs w:val="21"/>
          <w:lang w:eastAsia="es-ES_tradnl"/>
        </w:rPr>
      </w:pPr>
      <w:r w:rsidRPr="00C842D4">
        <w:rPr>
          <w:rFonts w:ascii="Arial" w:hAnsi="Arial" w:cs="Arial"/>
          <w:color w:val="000000"/>
          <w:sz w:val="21"/>
          <w:szCs w:val="21"/>
        </w:rPr>
        <w:t>«</w:t>
      </w:r>
      <w:r w:rsidR="000166C5" w:rsidRPr="00C842D4">
        <w:rPr>
          <w:rFonts w:ascii="Arial" w:hAnsi="Arial" w:cs="Arial"/>
          <w:color w:val="000000"/>
          <w:sz w:val="21"/>
          <w:szCs w:val="21"/>
        </w:rPr>
        <w:t xml:space="preserve">[…] </w:t>
      </w:r>
      <w:r w:rsidR="000166C5" w:rsidRPr="00C842D4">
        <w:rPr>
          <w:rFonts w:ascii="Arial" w:hAnsi="Arial" w:cs="Arial"/>
          <w:sz w:val="21"/>
          <w:szCs w:val="21"/>
          <w:lang w:eastAsia="es-ES_tradnl"/>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w:t>
      </w:r>
      <w:proofErr w:type="spellStart"/>
      <w:r w:rsidR="000166C5" w:rsidRPr="00C842D4">
        <w:rPr>
          <w:rFonts w:ascii="Arial" w:hAnsi="Arial" w:cs="Arial"/>
          <w:sz w:val="21"/>
          <w:szCs w:val="21"/>
          <w:lang w:eastAsia="es-ES_tradnl"/>
        </w:rPr>
        <w:t>ii</w:t>
      </w:r>
      <w:proofErr w:type="spellEnd"/>
      <w:r w:rsidR="000166C5" w:rsidRPr="00C842D4">
        <w:rPr>
          <w:rFonts w:ascii="Arial" w:hAnsi="Arial" w:cs="Arial"/>
          <w:sz w:val="21"/>
          <w:szCs w:val="21"/>
          <w:lang w:eastAsia="es-ES_tradnl"/>
        </w:rPr>
        <w:t xml:space="preserve">)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w:t>
      </w:r>
      <w:proofErr w:type="spellStart"/>
      <w:r w:rsidR="000166C5" w:rsidRPr="00C842D4">
        <w:rPr>
          <w:rFonts w:ascii="Arial" w:hAnsi="Arial" w:cs="Arial"/>
          <w:sz w:val="21"/>
          <w:szCs w:val="21"/>
          <w:lang w:eastAsia="es-ES_tradnl"/>
        </w:rPr>
        <w:t>iii</w:t>
      </w:r>
      <w:proofErr w:type="spellEnd"/>
      <w:r w:rsidR="000166C5" w:rsidRPr="00C842D4">
        <w:rPr>
          <w:rFonts w:ascii="Arial" w:hAnsi="Arial" w:cs="Arial"/>
          <w:sz w:val="21"/>
          <w:szCs w:val="21"/>
          <w:lang w:eastAsia="es-ES_tradnl"/>
        </w:rPr>
        <w:t xml:space="preserve">) El momento en que publicará un aviso en el SECOP precisando si el proceso efectivamente se limitó a Mipyme o si podrá participar cualquier otro interesado. </w:t>
      </w:r>
      <w:proofErr w:type="spellStart"/>
      <w:r w:rsidR="000166C5" w:rsidRPr="00C842D4">
        <w:rPr>
          <w:rFonts w:ascii="Arial" w:hAnsi="Arial" w:cs="Arial"/>
          <w:sz w:val="21"/>
          <w:szCs w:val="21"/>
          <w:lang w:eastAsia="es-ES_tradnl"/>
        </w:rPr>
        <w:t>iv</w:t>
      </w:r>
      <w:proofErr w:type="spellEnd"/>
      <w:r w:rsidR="000166C5" w:rsidRPr="00C842D4">
        <w:rPr>
          <w:rFonts w:ascii="Arial" w:hAnsi="Arial" w:cs="Arial"/>
          <w:sz w:val="21"/>
          <w:szCs w:val="21"/>
          <w:lang w:eastAsia="es-ES_tradnl"/>
        </w:rPr>
        <w:t>) Finalmente, se dispondrá un término adicional dentro del cual los proponentes podrán presentar sus ofertas, el cual será de mínimo un (1) día hábil luego de publicado el aviso en que se informe si el proceso se limita o no a Mipyme</w:t>
      </w:r>
      <w:r w:rsidRPr="00C842D4">
        <w:rPr>
          <w:rFonts w:ascii="Arial" w:hAnsi="Arial" w:cs="Arial"/>
          <w:sz w:val="21"/>
          <w:szCs w:val="21"/>
          <w:lang w:eastAsia="es-ES_tradnl"/>
        </w:rPr>
        <w:t>».</w:t>
      </w:r>
    </w:p>
    <w:p w14:paraId="1E553F07" w14:textId="77777777" w:rsidR="004E02F9" w:rsidRPr="00C842D4" w:rsidRDefault="004E02F9" w:rsidP="00C842D4">
      <w:pPr>
        <w:shd w:val="clear" w:color="auto" w:fill="FFFFFF"/>
        <w:spacing w:after="0" w:line="240" w:lineRule="auto"/>
        <w:ind w:left="709" w:right="900"/>
        <w:jc w:val="both"/>
        <w:rPr>
          <w:rFonts w:ascii="Arial" w:hAnsi="Arial" w:cs="Arial"/>
          <w:sz w:val="21"/>
          <w:szCs w:val="21"/>
          <w:lang w:eastAsia="es-ES_tradnl"/>
        </w:rPr>
      </w:pPr>
    </w:p>
    <w:p w14:paraId="3E032F48" w14:textId="1C9989FE" w:rsidR="000166C5" w:rsidRPr="00E66E97" w:rsidRDefault="000166C5" w:rsidP="00C842D4">
      <w:pPr>
        <w:shd w:val="clear" w:color="auto" w:fill="FFFFFF"/>
        <w:spacing w:after="120" w:line="276" w:lineRule="auto"/>
        <w:ind w:firstLine="709"/>
        <w:jc w:val="both"/>
        <w:rPr>
          <w:rFonts w:ascii="Arial" w:eastAsia="Times New Roman" w:hAnsi="Arial" w:cs="Arial"/>
          <w:lang w:eastAsia="es-ES_tradnl"/>
        </w:rPr>
      </w:pPr>
      <w:r w:rsidRPr="00E66E97">
        <w:rPr>
          <w:rFonts w:ascii="Arial" w:eastAsia="Times New Roman" w:hAnsi="Arial" w:cs="Arial"/>
          <w:lang w:eastAsia="es-ES_tradnl"/>
        </w:rPr>
        <w:t>Bajo este contexto, 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w:t>
      </w:r>
    </w:p>
    <w:p w14:paraId="1B39B6B3" w14:textId="77777777" w:rsidR="000166C5" w:rsidRPr="00E66E97" w:rsidRDefault="000166C5" w:rsidP="000166C5">
      <w:pPr>
        <w:shd w:val="clear" w:color="auto" w:fill="FFFFFF"/>
        <w:spacing w:after="240" w:line="276" w:lineRule="auto"/>
        <w:ind w:firstLine="709"/>
        <w:jc w:val="both"/>
        <w:rPr>
          <w:rFonts w:ascii="Arial" w:eastAsia="Times New Roman" w:hAnsi="Arial" w:cs="Arial"/>
          <w:lang w:eastAsia="es-ES_tradnl"/>
        </w:rPr>
      </w:pPr>
      <w:r w:rsidRPr="00E66E97">
        <w:rPr>
          <w:rFonts w:ascii="Arial" w:eastAsia="Times New Roman" w:hAnsi="Arial" w:cs="Arial"/>
          <w:lang w:eastAsia="es-ES_tradnl"/>
        </w:rPr>
        <w:t xml:space="preserve">Por otra parte, habrá lugar a la expedición de adendas al cronograma del proceso de selección una vez vencido el plazo para la recepción de ofertas y antes de la expedición de la aceptación de oferta. </w:t>
      </w:r>
    </w:p>
    <w:p w14:paraId="1022A6D4" w14:textId="77777777" w:rsidR="000166C5" w:rsidRPr="00E66E97" w:rsidRDefault="000166C5" w:rsidP="000166C5">
      <w:pPr>
        <w:tabs>
          <w:tab w:val="left" w:pos="284"/>
        </w:tabs>
        <w:spacing w:after="0" w:line="276" w:lineRule="auto"/>
        <w:contextualSpacing/>
        <w:jc w:val="both"/>
        <w:rPr>
          <w:rFonts w:ascii="Arial" w:hAnsi="Arial" w:cs="Arial"/>
          <w:b/>
        </w:rPr>
      </w:pPr>
      <w:r w:rsidRPr="00E66E97">
        <w:rPr>
          <w:rFonts w:ascii="Arial" w:hAnsi="Arial" w:cs="Arial"/>
          <w:b/>
        </w:rPr>
        <w:t>3. Respuesta</w:t>
      </w:r>
    </w:p>
    <w:p w14:paraId="1C66D687" w14:textId="77777777" w:rsidR="000166C5" w:rsidRPr="00E66E97" w:rsidRDefault="000166C5" w:rsidP="000166C5">
      <w:pPr>
        <w:tabs>
          <w:tab w:val="left" w:pos="284"/>
        </w:tabs>
        <w:spacing w:after="0" w:line="276" w:lineRule="auto"/>
        <w:contextualSpacing/>
        <w:jc w:val="both"/>
        <w:rPr>
          <w:rFonts w:ascii="Arial" w:eastAsia="Calibri" w:hAnsi="Arial" w:cs="Arial"/>
          <w:b/>
        </w:rPr>
      </w:pPr>
    </w:p>
    <w:p w14:paraId="3040C5C5" w14:textId="77777777" w:rsidR="000166C5" w:rsidRDefault="000166C5" w:rsidP="00FA2F0A">
      <w:pPr>
        <w:spacing w:after="0" w:line="240" w:lineRule="auto"/>
        <w:ind w:left="567" w:right="851"/>
        <w:jc w:val="both"/>
        <w:rPr>
          <w:rFonts w:ascii="Arial" w:eastAsia="Times New Roman" w:hAnsi="Arial" w:cs="Arial"/>
          <w:iCs/>
          <w:color w:val="1A1A1A" w:themeColor="background1" w:themeShade="1A"/>
          <w:sz w:val="21"/>
          <w:szCs w:val="21"/>
          <w:lang w:eastAsia="es-ES_tradnl"/>
        </w:rPr>
      </w:pPr>
      <w:r w:rsidRPr="00C842D4">
        <w:rPr>
          <w:rFonts w:ascii="Arial" w:eastAsia="Times New Roman" w:hAnsi="Arial" w:cs="Arial"/>
          <w:iCs/>
          <w:color w:val="1A1A1A" w:themeColor="background1" w:themeShade="1A"/>
          <w:sz w:val="21"/>
          <w:szCs w:val="21"/>
          <w:lang w:eastAsia="es-ES_tradnl"/>
        </w:rPr>
        <w:t xml:space="preserve">«1. </w:t>
      </w:r>
      <w:proofErr w:type="gramStart"/>
      <w:r w:rsidRPr="00C842D4">
        <w:rPr>
          <w:rFonts w:ascii="Arial" w:eastAsia="Times New Roman" w:hAnsi="Arial" w:cs="Arial"/>
          <w:iCs/>
          <w:color w:val="1A1A1A" w:themeColor="background1" w:themeShade="1A"/>
          <w:sz w:val="21"/>
          <w:szCs w:val="21"/>
          <w:lang w:eastAsia="es-ES_tradnl"/>
        </w:rPr>
        <w:t>La no presentación del documento consorcial o de unión temporal es objeto de subsanación o es causal de rechazo de plano por falta de capacidad jurídica?</w:t>
      </w:r>
      <w:proofErr w:type="gramEnd"/>
      <w:r w:rsidRPr="00C842D4">
        <w:rPr>
          <w:rFonts w:ascii="Arial" w:eastAsia="Times New Roman" w:hAnsi="Arial" w:cs="Arial"/>
          <w:iCs/>
          <w:color w:val="1A1A1A" w:themeColor="background1" w:themeShade="1A"/>
          <w:sz w:val="21"/>
          <w:szCs w:val="21"/>
          <w:lang w:eastAsia="es-ES_tradnl"/>
        </w:rPr>
        <w:t>»</w:t>
      </w:r>
    </w:p>
    <w:p w14:paraId="07F532E1" w14:textId="77777777" w:rsidR="00FA2F0A" w:rsidRDefault="00FA2F0A" w:rsidP="00FA2F0A">
      <w:pPr>
        <w:spacing w:after="0" w:line="240" w:lineRule="auto"/>
        <w:ind w:left="567" w:right="851"/>
        <w:jc w:val="both"/>
        <w:rPr>
          <w:rFonts w:ascii="Arial" w:eastAsia="Times New Roman" w:hAnsi="Arial" w:cs="Arial"/>
          <w:iCs/>
          <w:color w:val="1A1A1A" w:themeColor="background1" w:themeShade="1A"/>
          <w:sz w:val="21"/>
          <w:szCs w:val="21"/>
          <w:lang w:eastAsia="es-ES_tradnl"/>
        </w:rPr>
      </w:pPr>
    </w:p>
    <w:p w14:paraId="47E866E5" w14:textId="77777777" w:rsidR="00FA2F0A" w:rsidRPr="00C842D4" w:rsidRDefault="00FA2F0A" w:rsidP="00C842D4">
      <w:pPr>
        <w:spacing w:after="0" w:line="240" w:lineRule="auto"/>
        <w:ind w:left="567" w:right="851"/>
        <w:jc w:val="both"/>
        <w:rPr>
          <w:rFonts w:ascii="Arial" w:eastAsia="Times New Roman" w:hAnsi="Arial" w:cs="Arial"/>
          <w:i/>
          <w:iCs/>
          <w:color w:val="1A1A1A" w:themeColor="background1" w:themeShade="1A"/>
          <w:sz w:val="21"/>
          <w:szCs w:val="21"/>
          <w:lang w:eastAsia="es-ES_tradnl"/>
        </w:rPr>
      </w:pPr>
    </w:p>
    <w:p w14:paraId="3FEFF068" w14:textId="77777777" w:rsidR="000166C5" w:rsidRPr="00E66E97" w:rsidRDefault="000166C5" w:rsidP="00C842D4">
      <w:pPr>
        <w:spacing w:after="120" w:line="276" w:lineRule="auto"/>
        <w:jc w:val="both"/>
        <w:rPr>
          <w:rFonts w:ascii="Arial" w:eastAsia="Calibri" w:hAnsi="Arial" w:cs="Arial"/>
          <w:bCs/>
          <w:lang w:eastAsia="es-ES_tradnl"/>
        </w:rPr>
      </w:pPr>
      <w:r w:rsidRPr="00E66E97">
        <w:rPr>
          <w:rFonts w:ascii="Arial" w:eastAsia="Calibri" w:hAnsi="Arial" w:cs="Arial"/>
          <w:bCs/>
          <w:color w:val="000000" w:themeColor="text1"/>
        </w:rPr>
        <w:t xml:space="preserve">De acuerdo con las consideraciones de este concepto, </w:t>
      </w:r>
      <w:r w:rsidRPr="00E66E97">
        <w:rPr>
          <w:rFonts w:ascii="Arial" w:eastAsia="Calibri" w:hAnsi="Arial" w:cs="Arial"/>
          <w:bCs/>
          <w:lang w:eastAsia="es-ES_tradnl"/>
        </w:rPr>
        <w:t>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salvo que excepcionalmente se permita lo contrario.</w:t>
      </w:r>
    </w:p>
    <w:p w14:paraId="72E69773" w14:textId="77777777" w:rsidR="000166C5" w:rsidRPr="00E66E97" w:rsidRDefault="000166C5" w:rsidP="00C842D4">
      <w:pPr>
        <w:spacing w:after="120" w:line="276" w:lineRule="auto"/>
        <w:ind w:firstLine="709"/>
        <w:jc w:val="both"/>
        <w:rPr>
          <w:rFonts w:ascii="Arial" w:eastAsia="Calibri" w:hAnsi="Arial" w:cs="Arial"/>
          <w:bCs/>
          <w:lang w:eastAsia="es-ES_tradnl"/>
        </w:rPr>
      </w:pPr>
      <w:r w:rsidRPr="00E66E97">
        <w:rPr>
          <w:rFonts w:ascii="Arial" w:eastAsia="Calibri" w:hAnsi="Arial" w:cs="Arial"/>
          <w:bCs/>
          <w:lang w:eastAsia="es-ES_tradnl"/>
        </w:rPr>
        <w:t xml:space="preserve">Así pues,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oferentes que cumplan estos requisitos habilitantes, dentro de los cuales se encuentra contar con la capacidad jurídica, son considerados idóneos para ejecutar el objeto contractual, de manera que sus ofertas pueden ser consideradas en la evaluación dirigida a determinar cuál es la más favorable para la entidad y los fines de la contratación. </w:t>
      </w:r>
    </w:p>
    <w:p w14:paraId="134D1688" w14:textId="77777777" w:rsidR="000166C5" w:rsidRPr="00E66E97" w:rsidRDefault="000166C5" w:rsidP="00C842D4">
      <w:pPr>
        <w:spacing w:after="120" w:line="276" w:lineRule="auto"/>
        <w:ind w:firstLine="709"/>
        <w:jc w:val="both"/>
        <w:rPr>
          <w:rFonts w:ascii="Arial" w:eastAsia="Calibri" w:hAnsi="Arial" w:cs="Arial"/>
          <w:bCs/>
          <w:lang w:eastAsia="es-ES_tradnl"/>
        </w:rPr>
      </w:pPr>
      <w:r w:rsidRPr="00E66E97">
        <w:rPr>
          <w:rFonts w:ascii="Arial" w:eastAsia="Calibri" w:hAnsi="Arial" w:cs="Arial"/>
          <w:bCs/>
          <w:lang w:eastAsia="es-ES_tradnl"/>
        </w:rPr>
        <w:t xml:space="preserve">En tal medida, </w:t>
      </w:r>
      <w:r w:rsidRPr="00E66E97">
        <w:rPr>
          <w:rFonts w:ascii="Arial" w:eastAsia="Calibri" w:hAnsi="Arial" w:cs="Arial"/>
          <w:bCs/>
          <w:color w:val="000000"/>
          <w:lang w:val="es-ES_tradnl" w:eastAsia="es-ES_tradnl" w:bidi="es-ES"/>
        </w:rPr>
        <w:t xml:space="preserve">para efectos de la consulta se precisa que los consorcios y uniones temporales son entes creados por el acuerdo de voluntades de sus miembros, los cuales están facultados, en virtud de la ley y del contrato consorcial, para celebrar y ejecutar contratos con entidades estatales. Así pues, el acuerdo de voluntades que constituye el consorcio o unión temporal o contrato consorcial se convierte en el documento idóneo para verificar su capacidad jurídica, como quiera que </w:t>
      </w:r>
      <w:proofErr w:type="gramStart"/>
      <w:r w:rsidRPr="00E66E97">
        <w:rPr>
          <w:rFonts w:ascii="Arial" w:eastAsia="Calibri" w:hAnsi="Arial" w:cs="Arial"/>
          <w:bCs/>
          <w:color w:val="000000"/>
          <w:lang w:val="es-ES_tradnl" w:eastAsia="es-ES_tradnl" w:bidi="es-ES"/>
        </w:rPr>
        <w:t>regula</w:t>
      </w:r>
      <w:proofErr w:type="gramEnd"/>
      <w:r w:rsidRPr="00E66E97">
        <w:rPr>
          <w:rFonts w:ascii="Arial" w:eastAsia="Calibri" w:hAnsi="Arial" w:cs="Arial"/>
          <w:bCs/>
          <w:color w:val="000000"/>
          <w:lang w:val="es-ES_tradnl" w:eastAsia="es-ES_tradnl" w:bidi="es-ES"/>
        </w:rPr>
        <w:t xml:space="preserve"> su objeto, la participación de los miembros, las obligaciones frente al proyecto que los une, la responsabilidad de los miembros y la forma en que regirán sus relaciones internas y el relacionamiento con la entidad contratante, mediante la designación de un representante.</w:t>
      </w:r>
    </w:p>
    <w:p w14:paraId="0F662DB6" w14:textId="77777777" w:rsidR="000166C5" w:rsidRPr="00E66E97" w:rsidRDefault="000166C5" w:rsidP="00C842D4">
      <w:pPr>
        <w:spacing w:after="120" w:line="276" w:lineRule="auto"/>
        <w:ind w:firstLine="709"/>
        <w:jc w:val="both"/>
        <w:rPr>
          <w:rFonts w:ascii="Arial" w:eastAsia="Times New Roman" w:hAnsi="Arial" w:cs="Arial"/>
          <w:lang w:val="es-ES_tradnl" w:eastAsia="es-ES_tradnl"/>
        </w:rPr>
      </w:pPr>
      <w:r w:rsidRPr="00E66E97">
        <w:rPr>
          <w:rFonts w:ascii="Arial" w:eastAsia="Calibri" w:hAnsi="Arial" w:cs="Arial"/>
          <w:bCs/>
          <w:color w:val="000000" w:themeColor="text1"/>
        </w:rPr>
        <w:t xml:space="preserve">Bajo este contexto, conforme a las reglas </w:t>
      </w:r>
      <w:proofErr w:type="spellStart"/>
      <w:r w:rsidRPr="00E66E97">
        <w:rPr>
          <w:rFonts w:ascii="Arial" w:eastAsia="Calibri" w:hAnsi="Arial" w:cs="Arial"/>
          <w:bCs/>
          <w:color w:val="000000" w:themeColor="text1"/>
        </w:rPr>
        <w:t>subsanabilidad</w:t>
      </w:r>
      <w:proofErr w:type="spellEnd"/>
      <w:r w:rsidRPr="00E66E97">
        <w:rPr>
          <w:rFonts w:ascii="Arial" w:eastAsia="Calibri" w:hAnsi="Arial" w:cs="Arial"/>
          <w:bCs/>
          <w:color w:val="000000" w:themeColor="text1"/>
        </w:rPr>
        <w:t xml:space="preserve"> ya expuestas en este documento y a la postura de esta Agencia, </w:t>
      </w:r>
      <w:r w:rsidRPr="00E66E97">
        <w:rPr>
          <w:rFonts w:ascii="Arial" w:eastAsia="Times New Roman" w:hAnsi="Arial" w:cs="Arial"/>
          <w:lang w:val="es-ES_tradnl" w:eastAsia="es-ES_tradnl"/>
        </w:rPr>
        <w:t xml:space="preserve">los requisitos o documentos que no sean necesarios para la comparación de las ofertas pueden subsanarse y todo lo que no sea necesario para la comparación de propuestas no es título suficiente para su rechazo; de manera que, si un oferente no anexó el documento de constitución del consorcio o unión temporal, </w:t>
      </w:r>
      <w:r w:rsidRPr="00E66E97">
        <w:rPr>
          <w:rFonts w:ascii="Arial" w:eastAsia="Calibri" w:hAnsi="Arial" w:cs="Arial"/>
          <w:bCs/>
          <w:color w:val="000000"/>
          <w:lang w:val="es-ES_tradnl" w:eastAsia="es-ES_tradnl" w:bidi="es-ES"/>
        </w:rPr>
        <w:t>podrá subsanar su entrega, siempre y cuando</w:t>
      </w:r>
      <w:r w:rsidRPr="00E66E97">
        <w:rPr>
          <w:rFonts w:ascii="Arial" w:eastAsia="Times New Roman" w:hAnsi="Arial" w:cs="Arial"/>
          <w:lang w:val="es-ES_tradnl" w:eastAsia="es-ES_tradnl"/>
        </w:rPr>
        <w:t>, el documento aportado con posterioridad de cuenta de que el consorcio o unión temporal existía antes del cierre del proceso.</w:t>
      </w:r>
    </w:p>
    <w:p w14:paraId="5DF44B79" w14:textId="77777777" w:rsidR="000166C5" w:rsidRDefault="000166C5" w:rsidP="000009AE">
      <w:pPr>
        <w:spacing w:after="0" w:line="276" w:lineRule="auto"/>
        <w:ind w:firstLine="709"/>
        <w:jc w:val="both"/>
        <w:rPr>
          <w:rFonts w:ascii="Arial" w:eastAsia="Times New Roman" w:hAnsi="Arial" w:cs="Arial"/>
          <w:lang w:val="es-ES_tradnl" w:eastAsia="es-ES_tradnl"/>
        </w:rPr>
      </w:pPr>
      <w:r w:rsidRPr="00E66E97">
        <w:rPr>
          <w:rFonts w:ascii="Arial" w:eastAsia="Times New Roman" w:hAnsi="Arial" w:cs="Arial"/>
          <w:lang w:val="es-ES_tradnl" w:eastAsia="es-ES_tradnl"/>
        </w:rPr>
        <w:t xml:space="preserve">Lo anterior, como quiera que a la luz del artículo 5 de la Ley 1882 de 2018, lo subsanable es la prueba de todas las circunstancias ocurridas antes del vencimiento del término para presentar las ofertas, pues una cosa es el requisito habilitante o el elemento de la propuesta y otra su prueba. De tal modo que lo que prohíbe la norma es que se subsanen requisitos que no estaban materialmente cumplidos al momento de presentación de la oferta, o en palabras de la ley, que se acrediten hechos que ocurrieron después del cierre del proceso. </w:t>
      </w:r>
    </w:p>
    <w:p w14:paraId="1CE5F716" w14:textId="77777777" w:rsidR="000009AE" w:rsidRPr="00E66E97" w:rsidRDefault="000009AE" w:rsidP="00C842D4">
      <w:pPr>
        <w:spacing w:after="0" w:line="276" w:lineRule="auto"/>
        <w:ind w:firstLine="709"/>
        <w:jc w:val="both"/>
        <w:rPr>
          <w:rFonts w:ascii="Arial" w:eastAsia="Times New Roman" w:hAnsi="Arial" w:cs="Arial"/>
          <w:lang w:val="es-ES_tradnl" w:eastAsia="es-ES_tradnl"/>
        </w:rPr>
      </w:pPr>
    </w:p>
    <w:p w14:paraId="00004F2E" w14:textId="0E93B904" w:rsidR="000166C5" w:rsidRPr="00C842D4" w:rsidRDefault="000166C5" w:rsidP="000009AE">
      <w:pPr>
        <w:spacing w:after="0" w:line="240" w:lineRule="auto"/>
        <w:ind w:left="567" w:right="851"/>
        <w:jc w:val="both"/>
        <w:rPr>
          <w:rFonts w:ascii="Arial" w:eastAsia="Times New Roman" w:hAnsi="Arial" w:cs="Arial"/>
          <w:iCs/>
          <w:color w:val="1A1A1A" w:themeColor="background1" w:themeShade="1A"/>
          <w:sz w:val="21"/>
          <w:szCs w:val="21"/>
          <w:lang w:eastAsia="es-ES_tradnl"/>
        </w:rPr>
      </w:pPr>
      <w:r w:rsidRPr="00C842D4">
        <w:rPr>
          <w:rFonts w:ascii="Arial" w:eastAsia="Times New Roman" w:hAnsi="Arial" w:cs="Arial"/>
          <w:iCs/>
          <w:color w:val="1A1A1A" w:themeColor="background1" w:themeShade="1A"/>
          <w:sz w:val="21"/>
          <w:szCs w:val="21"/>
          <w:lang w:eastAsia="es-ES_tradnl"/>
        </w:rPr>
        <w:t xml:space="preserve">«2. Después del cierre del proceso, se permite generar adendas para modificar el </w:t>
      </w:r>
      <w:proofErr w:type="gramStart"/>
      <w:r w:rsidRPr="00C842D4">
        <w:rPr>
          <w:rFonts w:ascii="Arial" w:eastAsia="Times New Roman" w:hAnsi="Arial" w:cs="Arial"/>
          <w:iCs/>
          <w:color w:val="1A1A1A" w:themeColor="background1" w:themeShade="1A"/>
          <w:sz w:val="21"/>
          <w:szCs w:val="21"/>
          <w:lang w:eastAsia="es-ES_tradnl"/>
        </w:rPr>
        <w:t>cronograma .</w:t>
      </w:r>
      <w:proofErr w:type="gramEnd"/>
      <w:r w:rsidRPr="00C842D4">
        <w:rPr>
          <w:rFonts w:ascii="Arial" w:eastAsia="Times New Roman" w:hAnsi="Arial" w:cs="Arial"/>
          <w:iCs/>
          <w:color w:val="1A1A1A" w:themeColor="background1" w:themeShade="1A"/>
          <w:sz w:val="21"/>
          <w:szCs w:val="21"/>
          <w:lang w:eastAsia="es-ES_tradnl"/>
        </w:rPr>
        <w:t xml:space="preserve"> </w:t>
      </w:r>
      <w:proofErr w:type="gramStart"/>
      <w:r w:rsidRPr="00C842D4">
        <w:rPr>
          <w:rFonts w:ascii="Arial" w:eastAsia="Times New Roman" w:hAnsi="Arial" w:cs="Arial"/>
          <w:iCs/>
          <w:color w:val="1A1A1A" w:themeColor="background1" w:themeShade="1A"/>
          <w:sz w:val="21"/>
          <w:szCs w:val="21"/>
          <w:lang w:eastAsia="es-ES_tradnl"/>
        </w:rPr>
        <w:t>Existe un límite de días o tiempo para modificar el cronograma en esta etapa exceptuando el consagrado el del artículo 30 numeral 9o?</w:t>
      </w:r>
      <w:proofErr w:type="gramEnd"/>
      <w:r w:rsidRPr="00C842D4">
        <w:rPr>
          <w:rFonts w:ascii="Arial" w:eastAsia="Times New Roman" w:hAnsi="Arial" w:cs="Arial"/>
          <w:iCs/>
          <w:color w:val="1A1A1A" w:themeColor="background1" w:themeShade="1A"/>
          <w:sz w:val="21"/>
          <w:szCs w:val="21"/>
          <w:lang w:eastAsia="es-ES_tradnl"/>
        </w:rPr>
        <w:t xml:space="preserve">:» </w:t>
      </w:r>
      <w:r w:rsidR="000009AE" w:rsidRPr="00C842D4">
        <w:rPr>
          <w:rFonts w:ascii="Arial" w:eastAsia="Times New Roman" w:hAnsi="Arial" w:cs="Arial"/>
          <w:iCs/>
          <w:color w:val="1A1A1A" w:themeColor="background1" w:themeShade="1A"/>
          <w:sz w:val="21"/>
          <w:szCs w:val="21"/>
          <w:lang w:eastAsia="es-ES_tradnl"/>
        </w:rPr>
        <w:t>[</w:t>
      </w:r>
      <w:r w:rsidRPr="00C842D4">
        <w:rPr>
          <w:rFonts w:ascii="Arial" w:eastAsia="Times New Roman" w:hAnsi="Arial" w:cs="Arial"/>
          <w:iCs/>
          <w:color w:val="1A1A1A" w:themeColor="background1" w:themeShade="1A"/>
          <w:sz w:val="21"/>
          <w:szCs w:val="21"/>
          <w:lang w:eastAsia="es-ES_tradnl"/>
        </w:rPr>
        <w:t>Sic</w:t>
      </w:r>
      <w:r w:rsidR="000009AE" w:rsidRPr="00C842D4">
        <w:rPr>
          <w:rFonts w:ascii="Arial" w:eastAsia="Times New Roman" w:hAnsi="Arial" w:cs="Arial"/>
          <w:iCs/>
          <w:color w:val="1A1A1A" w:themeColor="background1" w:themeShade="1A"/>
          <w:sz w:val="21"/>
          <w:szCs w:val="21"/>
          <w:lang w:eastAsia="es-ES_tradnl"/>
        </w:rPr>
        <w:t>]</w:t>
      </w:r>
    </w:p>
    <w:p w14:paraId="4BB201FD" w14:textId="77777777" w:rsidR="000009AE" w:rsidRPr="00E66E97" w:rsidRDefault="000009AE" w:rsidP="00C842D4">
      <w:pPr>
        <w:spacing w:after="0" w:line="240" w:lineRule="auto"/>
        <w:ind w:left="567" w:right="851"/>
        <w:jc w:val="both"/>
        <w:rPr>
          <w:rFonts w:ascii="Arial" w:eastAsia="Times New Roman" w:hAnsi="Arial" w:cs="Arial"/>
          <w:iCs/>
          <w:color w:val="1A1A1A" w:themeColor="background1" w:themeShade="1A"/>
          <w:lang w:eastAsia="es-ES_tradnl"/>
        </w:rPr>
      </w:pPr>
    </w:p>
    <w:p w14:paraId="26EA529B" w14:textId="542D8526" w:rsidR="000166C5" w:rsidRPr="00E66E97" w:rsidRDefault="00A91FA6" w:rsidP="00C842D4">
      <w:pPr>
        <w:widowControl w:val="0"/>
        <w:autoSpaceDE w:val="0"/>
        <w:autoSpaceDN w:val="0"/>
        <w:spacing w:after="120" w:line="276" w:lineRule="auto"/>
        <w:ind w:firstLine="567"/>
        <w:jc w:val="both"/>
        <w:rPr>
          <w:rFonts w:ascii="Arial" w:eastAsia="Times New Roman" w:hAnsi="Arial" w:cs="Arial"/>
          <w:lang w:val="es-ES" w:eastAsia="es-ES_tradnl"/>
        </w:rPr>
      </w:pPr>
      <w:r>
        <w:rPr>
          <w:rFonts w:ascii="Arial" w:eastAsia="Times New Roman" w:hAnsi="Arial" w:cs="Arial"/>
          <w:lang w:val="es-ES" w:eastAsia="es-ES_tradnl"/>
        </w:rPr>
        <w:t>Conforme a lo expuesto, e</w:t>
      </w:r>
      <w:r w:rsidR="000166C5" w:rsidRPr="00E66E97">
        <w:rPr>
          <w:rFonts w:ascii="Arial" w:eastAsia="Times New Roman" w:hAnsi="Arial" w:cs="Arial"/>
          <w:lang w:val="es-ES" w:eastAsia="es-ES_tradnl"/>
        </w:rPr>
        <w:t xml:space="preserve">l artículo 2.2.1.1.2.2.1 del Decreto 1082 de 2015, 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w:t>
      </w:r>
    </w:p>
    <w:p w14:paraId="066FD550" w14:textId="77777777" w:rsidR="000166C5" w:rsidRPr="00E66E97" w:rsidRDefault="000166C5" w:rsidP="00C842D4">
      <w:pPr>
        <w:widowControl w:val="0"/>
        <w:autoSpaceDE w:val="0"/>
        <w:autoSpaceDN w:val="0"/>
        <w:spacing w:after="120" w:line="276" w:lineRule="auto"/>
        <w:ind w:firstLine="709"/>
        <w:jc w:val="both"/>
        <w:rPr>
          <w:rFonts w:ascii="Arial" w:eastAsia="Times New Roman" w:hAnsi="Arial" w:cs="Arial"/>
          <w:lang w:val="es-ES" w:eastAsia="es-ES_tradnl"/>
        </w:rPr>
      </w:pPr>
      <w:r w:rsidRPr="00E66E97">
        <w:rPr>
          <w:rFonts w:ascii="Arial" w:eastAsia="Times New Roman" w:hAnsi="Arial" w:cs="Arial"/>
          <w:lang w:val="es-ES" w:eastAsia="es-ES_tradnl"/>
        </w:rPr>
        <w:t>Así mismo, dispone que la entidad estatal puede expedir adendas para modificar el cronograma una vez vencido el término para la presentación de las ofertas y antes de la adjudicación del contrato.; de tal suerte que se puede dar la expedición de adendas al cronograma del proceso de selección una vez vencido el plazo para la recepción de ofertas y antes de la adjudicación del contrato, en las que solo se permite modificar los plazos de las etapas siguientes.</w:t>
      </w:r>
    </w:p>
    <w:p w14:paraId="0B570687" w14:textId="77777777" w:rsidR="000166C5" w:rsidRDefault="000166C5" w:rsidP="00C842D4">
      <w:pPr>
        <w:widowControl w:val="0"/>
        <w:autoSpaceDE w:val="0"/>
        <w:autoSpaceDN w:val="0"/>
        <w:spacing w:after="0" w:line="276" w:lineRule="auto"/>
        <w:ind w:firstLine="709"/>
        <w:jc w:val="both"/>
        <w:rPr>
          <w:rFonts w:ascii="Arial" w:eastAsia="Calibri" w:hAnsi="Arial" w:cs="Arial"/>
          <w:color w:val="000000"/>
          <w:lang w:val="es-ES_tradnl"/>
        </w:rPr>
      </w:pPr>
      <w:r w:rsidRPr="00E66E97">
        <w:rPr>
          <w:rFonts w:ascii="Arial" w:eastAsia="Times New Roman" w:hAnsi="Arial" w:cs="Arial"/>
          <w:lang w:val="es-ES" w:eastAsia="es-ES_tradnl"/>
        </w:rPr>
        <w:t xml:space="preserve">Por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E66E97">
        <w:rPr>
          <w:rFonts w:ascii="Arial" w:eastAsia="Times New Roman" w:hAnsi="Arial" w:cs="Arial"/>
          <w:lang w:val="es-ES" w:eastAsia="es-ES_tradnl"/>
        </w:rPr>
        <w:t>ii</w:t>
      </w:r>
      <w:proofErr w:type="spellEnd"/>
      <w:r w:rsidRPr="00E66E97">
        <w:rPr>
          <w:rFonts w:ascii="Arial" w:eastAsia="Times New Roman" w:hAnsi="Arial" w:cs="Arial"/>
          <w:lang w:val="es-ES" w:eastAsia="es-ES_tradnl"/>
        </w:rPr>
        <w:t xml:space="preserve">) una vez vencido el término para la presentación de ofertas y antes de la adjudicación del contrato. </w:t>
      </w:r>
      <w:r w:rsidRPr="00E66E97">
        <w:rPr>
          <w:rFonts w:ascii="Arial" w:eastAsia="Calibri" w:hAnsi="Arial" w:cs="Arial"/>
          <w:color w:val="000000"/>
          <w:lang w:val="es-ES_tradnl"/>
        </w:rPr>
        <w:t xml:space="preserve">Al respecto, resulta del caso precisar que cada modalidad de selección tiene establecido un procedimiento propio que rige su estructuración y, en este sentido, las etapas y el acto final del proceso de selección dependerá de cada modalidad de selección. </w:t>
      </w:r>
      <w:proofErr w:type="gramStart"/>
      <w:r w:rsidRPr="00E66E97">
        <w:rPr>
          <w:rFonts w:ascii="Arial" w:eastAsia="Calibri" w:hAnsi="Arial" w:cs="Arial"/>
          <w:color w:val="000000"/>
          <w:lang w:val="es-ES_tradnl"/>
        </w:rPr>
        <w:t>Así</w:t>
      </w:r>
      <w:proofErr w:type="gramEnd"/>
      <w:r w:rsidRPr="00E66E97">
        <w:rPr>
          <w:rFonts w:ascii="Arial" w:eastAsia="Calibri" w:hAnsi="Arial" w:cs="Arial"/>
          <w:color w:val="000000"/>
          <w:lang w:val="es-ES_tradnl"/>
        </w:rPr>
        <w:t xml:space="preserve"> por ejemplo, en la mínima cuantía el acto por medio del cual se escoge al futuro contratista es la comunicación de aceptación de la oferta.</w:t>
      </w:r>
    </w:p>
    <w:p w14:paraId="20D56435" w14:textId="77777777" w:rsidR="00431E2E" w:rsidRPr="00E66E97" w:rsidRDefault="00431E2E" w:rsidP="00C842D4">
      <w:pPr>
        <w:widowControl w:val="0"/>
        <w:autoSpaceDE w:val="0"/>
        <w:autoSpaceDN w:val="0"/>
        <w:spacing w:after="0" w:line="276" w:lineRule="auto"/>
        <w:ind w:right="49"/>
        <w:jc w:val="both"/>
        <w:rPr>
          <w:rFonts w:ascii="Arial" w:eastAsia="Times New Roman" w:hAnsi="Arial" w:cs="Arial"/>
          <w:lang w:val="es-ES" w:eastAsia="es-ES_tradnl"/>
        </w:rPr>
      </w:pPr>
    </w:p>
    <w:p w14:paraId="24A21FD1" w14:textId="77777777" w:rsidR="000166C5" w:rsidRPr="00E66E97" w:rsidRDefault="000166C5" w:rsidP="000166C5">
      <w:pPr>
        <w:spacing w:after="0" w:line="276" w:lineRule="auto"/>
        <w:jc w:val="both"/>
        <w:rPr>
          <w:rFonts w:ascii="Arial" w:eastAsia="Calibri" w:hAnsi="Arial" w:cs="Arial"/>
          <w:bCs/>
          <w:color w:val="000000" w:themeColor="text1"/>
        </w:rPr>
      </w:pPr>
      <w:r w:rsidRPr="00E66E97">
        <w:rPr>
          <w:rFonts w:ascii="Arial" w:eastAsia="Calibri" w:hAnsi="Arial" w:cs="Arial"/>
          <w:bCs/>
          <w:color w:val="000000" w:themeColor="text1"/>
        </w:rPr>
        <w:t xml:space="preserve">Este concepto tiene el alcance previsto en el artículo 28 del Código de Procedimiento Administrativo y de lo Contencioso Administrativo y </w:t>
      </w:r>
      <w:r w:rsidRPr="00E66E97">
        <w:rPr>
          <w:rFonts w:ascii="Arial" w:eastAsia="Calibri" w:hAnsi="Arial" w:cs="Arial"/>
          <w:lang w:val="es-MX"/>
        </w:rPr>
        <w:t>las expresiones aquí utilizadas con mayúscula inicial deben ser entendidas con el significado que les otorga el artículo 2.2.1.1.1.3.1. del Decreto 1082 de 2015</w:t>
      </w:r>
    </w:p>
    <w:p w14:paraId="7AAB664B" w14:textId="77777777" w:rsidR="000166C5" w:rsidRPr="00E66E97" w:rsidRDefault="000166C5" w:rsidP="000166C5">
      <w:pPr>
        <w:spacing w:after="0" w:line="276" w:lineRule="auto"/>
        <w:jc w:val="both"/>
        <w:rPr>
          <w:rFonts w:ascii="Arial" w:eastAsia="Calibri" w:hAnsi="Arial" w:cs="Arial"/>
          <w:bCs/>
          <w:color w:val="000000" w:themeColor="text1"/>
        </w:rPr>
      </w:pPr>
    </w:p>
    <w:p w14:paraId="1C80557E" w14:textId="77777777" w:rsidR="000166C5" w:rsidRPr="00E66E97" w:rsidRDefault="000166C5" w:rsidP="000166C5">
      <w:pPr>
        <w:spacing w:after="0" w:line="276" w:lineRule="auto"/>
        <w:jc w:val="both"/>
        <w:rPr>
          <w:rFonts w:ascii="Arial" w:eastAsia="Calibri" w:hAnsi="Arial" w:cs="Arial"/>
          <w:bCs/>
          <w:color w:val="000000" w:themeColor="text1"/>
        </w:rPr>
      </w:pPr>
      <w:r w:rsidRPr="00E66E97">
        <w:rPr>
          <w:rFonts w:ascii="Arial" w:eastAsia="Calibri" w:hAnsi="Arial" w:cs="Arial"/>
          <w:bCs/>
          <w:color w:val="000000" w:themeColor="text1"/>
        </w:rPr>
        <w:t>Atentamente,</w:t>
      </w:r>
    </w:p>
    <w:bookmarkEnd w:id="0"/>
    <w:p w14:paraId="025C7B33" w14:textId="3064472A" w:rsidR="000166C5" w:rsidRPr="00E66E97" w:rsidRDefault="00BC5F13" w:rsidP="000166C5">
      <w:pPr>
        <w:spacing w:after="0" w:line="240" w:lineRule="auto"/>
        <w:jc w:val="center"/>
        <w:rPr>
          <w:rFonts w:ascii="Arial" w:eastAsia="Calibri" w:hAnsi="Arial" w:cs="Arial"/>
          <w:b/>
          <w:bCs/>
          <w:lang w:val="es-MX" w:eastAsia="es-ES_tradnl"/>
        </w:rPr>
      </w:pPr>
      <w:r>
        <w:rPr>
          <w:noProof/>
          <w:lang w:val="en-US"/>
        </w:rPr>
        <w:drawing>
          <wp:inline distT="0" distB="0" distL="0" distR="0" wp14:anchorId="120AF2F2" wp14:editId="4916FBD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30EEFE63" w14:textId="77777777" w:rsidR="000166C5" w:rsidRPr="00E66E97" w:rsidRDefault="000166C5" w:rsidP="000166C5">
      <w:pPr>
        <w:spacing w:after="0" w:line="240" w:lineRule="auto"/>
        <w:jc w:val="both"/>
        <w:rPr>
          <w:rFonts w:ascii="Arial" w:eastAsia="Calibri" w:hAnsi="Arial" w:cs="Arial"/>
          <w:b/>
          <w:bCs/>
          <w:lang w:val="es-MX" w:eastAsia="es-ES_tradn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0166C5" w:rsidRPr="00E66E97" w14:paraId="7C1AAA83" w14:textId="77777777" w:rsidTr="00FC77C9">
        <w:trPr>
          <w:trHeight w:val="286"/>
        </w:trPr>
        <w:tc>
          <w:tcPr>
            <w:tcW w:w="817" w:type="dxa"/>
            <w:vAlign w:val="center"/>
          </w:tcPr>
          <w:p w14:paraId="5BA1F1E9"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Elaboró:</w:t>
            </w:r>
          </w:p>
        </w:tc>
        <w:tc>
          <w:tcPr>
            <w:tcW w:w="4445" w:type="dxa"/>
            <w:tcBorders>
              <w:bottom w:val="dotted" w:sz="4" w:space="0" w:color="7F7F7F"/>
            </w:tcBorders>
            <w:vAlign w:val="center"/>
          </w:tcPr>
          <w:p w14:paraId="6ECA4F3C"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 xml:space="preserve">Diana Fabiola Herrera Hernández </w:t>
            </w:r>
          </w:p>
          <w:p w14:paraId="624E9799"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Contratista de la Subdirección de Gestión Contractual</w:t>
            </w:r>
          </w:p>
        </w:tc>
      </w:tr>
      <w:tr w:rsidR="000166C5" w:rsidRPr="00E66E97" w14:paraId="75540C80" w14:textId="77777777" w:rsidTr="00FC77C9">
        <w:trPr>
          <w:trHeight w:val="286"/>
        </w:trPr>
        <w:tc>
          <w:tcPr>
            <w:tcW w:w="817" w:type="dxa"/>
            <w:vAlign w:val="center"/>
          </w:tcPr>
          <w:p w14:paraId="260C4CF1"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Revisó:</w:t>
            </w:r>
          </w:p>
        </w:tc>
        <w:tc>
          <w:tcPr>
            <w:tcW w:w="4445" w:type="dxa"/>
            <w:tcBorders>
              <w:bottom w:val="dotted" w:sz="4" w:space="0" w:color="7F7F7F"/>
            </w:tcBorders>
            <w:vAlign w:val="center"/>
          </w:tcPr>
          <w:p w14:paraId="40F07C03"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Alejandro Sarmiento Cantillo</w:t>
            </w:r>
          </w:p>
          <w:p w14:paraId="64D25D59"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Gestor T1-15 de la Subdirección de Gestión Contractual</w:t>
            </w:r>
          </w:p>
        </w:tc>
      </w:tr>
      <w:tr w:rsidR="000166C5" w:rsidRPr="00E66E97" w14:paraId="3CBC7CD2" w14:textId="77777777" w:rsidTr="00FC77C9">
        <w:trPr>
          <w:trHeight w:val="299"/>
        </w:trPr>
        <w:tc>
          <w:tcPr>
            <w:tcW w:w="817" w:type="dxa"/>
            <w:vAlign w:val="center"/>
          </w:tcPr>
          <w:p w14:paraId="34707D4B"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Aprobó:</w:t>
            </w:r>
          </w:p>
        </w:tc>
        <w:tc>
          <w:tcPr>
            <w:tcW w:w="4445" w:type="dxa"/>
            <w:tcBorders>
              <w:top w:val="dotted" w:sz="4" w:space="0" w:color="7F7F7F"/>
              <w:bottom w:val="dotted" w:sz="4" w:space="0" w:color="7F7F7F"/>
            </w:tcBorders>
            <w:vAlign w:val="center"/>
          </w:tcPr>
          <w:p w14:paraId="5A836436"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 xml:space="preserve">Nohelia del </w:t>
            </w:r>
            <w:proofErr w:type="spellStart"/>
            <w:r w:rsidRPr="00C842D4">
              <w:rPr>
                <w:rFonts w:ascii="Arial" w:eastAsia="Times New Roman" w:hAnsi="Arial" w:cs="Arial"/>
                <w:sz w:val="16"/>
                <w:szCs w:val="16"/>
                <w:lang w:eastAsia="es-ES_tradnl"/>
              </w:rPr>
              <w:t>Cármen</w:t>
            </w:r>
            <w:proofErr w:type="spellEnd"/>
            <w:r w:rsidRPr="00C842D4">
              <w:rPr>
                <w:rFonts w:ascii="Arial" w:eastAsia="Times New Roman" w:hAnsi="Arial" w:cs="Arial"/>
                <w:sz w:val="16"/>
                <w:szCs w:val="16"/>
                <w:lang w:eastAsia="es-ES_tradnl"/>
              </w:rPr>
              <w:t xml:space="preserve"> Zawady Palacio</w:t>
            </w:r>
          </w:p>
          <w:p w14:paraId="7DA84DC5" w14:textId="77777777" w:rsidR="000166C5" w:rsidRPr="00C842D4" w:rsidRDefault="000166C5" w:rsidP="000166C5">
            <w:pPr>
              <w:spacing w:before="0"/>
              <w:rPr>
                <w:rFonts w:ascii="Arial" w:eastAsia="Times New Roman" w:hAnsi="Arial" w:cs="Arial"/>
                <w:sz w:val="16"/>
                <w:szCs w:val="16"/>
                <w:lang w:eastAsia="es-ES_tradnl"/>
              </w:rPr>
            </w:pPr>
            <w:r w:rsidRPr="00C842D4">
              <w:rPr>
                <w:rFonts w:ascii="Arial" w:eastAsia="Times New Roman" w:hAnsi="Arial" w:cs="Arial"/>
                <w:sz w:val="16"/>
                <w:szCs w:val="16"/>
                <w:lang w:eastAsia="es-ES_tradnl"/>
              </w:rPr>
              <w:t xml:space="preserve">Subdirectora de Gestión Contractual ANCP – CCE </w:t>
            </w:r>
          </w:p>
        </w:tc>
      </w:tr>
    </w:tbl>
    <w:p w14:paraId="260D60AD" w14:textId="77777777" w:rsidR="000166C5" w:rsidRPr="00E66E97" w:rsidRDefault="000166C5" w:rsidP="000166C5">
      <w:pPr>
        <w:spacing w:after="0" w:line="240" w:lineRule="auto"/>
        <w:jc w:val="both"/>
        <w:rPr>
          <w:rFonts w:ascii="Arial" w:eastAsia="Calibri" w:hAnsi="Arial" w:cs="Arial"/>
          <w:b/>
          <w:bCs/>
          <w:lang w:val="es-MX" w:eastAsia="es-ES_tradnl"/>
        </w:rPr>
      </w:pPr>
    </w:p>
    <w:p w14:paraId="6A42A543" w14:textId="77777777" w:rsidR="000166C5" w:rsidRPr="00E66E97" w:rsidRDefault="000166C5" w:rsidP="000166C5">
      <w:pPr>
        <w:spacing w:after="0" w:line="240" w:lineRule="auto"/>
        <w:rPr>
          <w:rFonts w:ascii="Arial" w:eastAsia="Times New Roman" w:hAnsi="Arial" w:cs="Arial"/>
          <w:b/>
          <w:color w:val="404040" w:themeColor="text1" w:themeTint="BF"/>
          <w:lang w:val="es-ES" w:eastAsia="es-ES_tradnl"/>
        </w:rPr>
      </w:pPr>
    </w:p>
    <w:p w14:paraId="19CAE212" w14:textId="77777777" w:rsidR="000166C5" w:rsidRPr="00E66E97" w:rsidRDefault="000166C5" w:rsidP="000166C5">
      <w:pPr>
        <w:spacing w:before="120" w:after="120" w:line="276" w:lineRule="auto"/>
        <w:jc w:val="center"/>
        <w:rPr>
          <w:rFonts w:ascii="Arial" w:eastAsia="Calibri" w:hAnsi="Arial" w:cs="Arial"/>
          <w:lang w:val="es-ES" w:eastAsia="es-ES_tradnl"/>
        </w:rPr>
      </w:pPr>
    </w:p>
    <w:p w14:paraId="174F8124" w14:textId="77777777" w:rsidR="000166C5" w:rsidRPr="00E66E97" w:rsidRDefault="000166C5" w:rsidP="000166C5">
      <w:pPr>
        <w:spacing w:before="120" w:after="120" w:line="276" w:lineRule="auto"/>
        <w:jc w:val="center"/>
        <w:rPr>
          <w:rFonts w:ascii="Arial" w:eastAsia="Calibri" w:hAnsi="Arial" w:cs="Arial"/>
          <w:lang w:eastAsia="es-ES_tradnl"/>
        </w:rPr>
      </w:pPr>
    </w:p>
    <w:p w14:paraId="601A092F" w14:textId="77777777" w:rsidR="000166C5" w:rsidRPr="00E66E97" w:rsidRDefault="000166C5" w:rsidP="000166C5">
      <w:pPr>
        <w:spacing w:before="120" w:after="120" w:line="276" w:lineRule="auto"/>
        <w:jc w:val="center"/>
        <w:rPr>
          <w:rFonts w:ascii="Arial" w:eastAsia="Calibri" w:hAnsi="Arial" w:cs="Arial"/>
          <w:lang w:eastAsia="es-ES_tradnl"/>
        </w:rPr>
      </w:pPr>
    </w:p>
    <w:p w14:paraId="61DF385F" w14:textId="77777777" w:rsidR="000166C5" w:rsidRPr="00E66E97" w:rsidRDefault="000166C5" w:rsidP="000166C5">
      <w:pPr>
        <w:spacing w:before="120" w:after="120" w:line="276" w:lineRule="auto"/>
        <w:jc w:val="center"/>
        <w:rPr>
          <w:rFonts w:ascii="Arial" w:eastAsia="Calibri" w:hAnsi="Arial" w:cs="Arial"/>
          <w:lang w:eastAsia="es-ES_tradnl"/>
        </w:rPr>
      </w:pPr>
    </w:p>
    <w:p w14:paraId="4B828EB8" w14:textId="77777777" w:rsidR="000166C5" w:rsidRPr="00E66E97" w:rsidRDefault="000166C5" w:rsidP="000166C5">
      <w:pPr>
        <w:spacing w:before="120" w:after="120" w:line="276" w:lineRule="auto"/>
        <w:jc w:val="center"/>
        <w:rPr>
          <w:rFonts w:ascii="Arial" w:eastAsia="Times New Roman" w:hAnsi="Arial" w:cs="Arial"/>
          <w:lang w:eastAsia="es-ES_tradnl"/>
        </w:rPr>
      </w:pPr>
    </w:p>
    <w:p w14:paraId="0F293BF4" w14:textId="0F6FB6C1" w:rsidR="00127233" w:rsidRPr="00E66E97" w:rsidRDefault="00127233" w:rsidP="000166C5">
      <w:pPr>
        <w:rPr>
          <w:rFonts w:ascii="Arial" w:hAnsi="Arial" w:cs="Arial"/>
        </w:rPr>
      </w:pPr>
    </w:p>
    <w:sectPr w:rsidR="00127233" w:rsidRPr="00E66E97"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4AA9" w14:textId="77777777" w:rsidR="003F0FA8" w:rsidRDefault="003F0FA8" w:rsidP="004A1847">
      <w:pPr>
        <w:spacing w:after="0" w:line="240" w:lineRule="auto"/>
      </w:pPr>
      <w:r>
        <w:separator/>
      </w:r>
    </w:p>
  </w:endnote>
  <w:endnote w:type="continuationSeparator" w:id="0">
    <w:p w14:paraId="0F0DA605" w14:textId="77777777" w:rsidR="003F0FA8" w:rsidRDefault="003F0FA8" w:rsidP="004A1847">
      <w:pPr>
        <w:spacing w:after="0" w:line="240" w:lineRule="auto"/>
      </w:pPr>
      <w:r>
        <w:continuationSeparator/>
      </w:r>
    </w:p>
  </w:endnote>
  <w:endnote w:type="continuationNotice" w:id="1">
    <w:p w14:paraId="2F5D5462" w14:textId="77777777" w:rsidR="003F0FA8" w:rsidRDefault="003F0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19C4593E"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BC5F13">
            <w:rPr>
              <w:rFonts w:ascii="Geomanist Light" w:hAnsi="Geomanist Light"/>
              <w:b/>
              <w:bCs/>
              <w:noProof/>
              <w:sz w:val="18"/>
              <w:szCs w:val="18"/>
            </w:rPr>
            <w:t>23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BC5F13">
            <w:rPr>
              <w:rFonts w:ascii="Geomanist Light" w:hAnsi="Geomanist Light"/>
              <w:b/>
              <w:bCs/>
              <w:noProof/>
              <w:sz w:val="18"/>
              <w:szCs w:val="18"/>
            </w:rPr>
            <w:t>25</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40A3" w14:textId="77777777" w:rsidR="003F0FA8" w:rsidRDefault="003F0FA8" w:rsidP="004A1847">
      <w:pPr>
        <w:spacing w:after="0" w:line="240" w:lineRule="auto"/>
      </w:pPr>
      <w:r>
        <w:separator/>
      </w:r>
    </w:p>
  </w:footnote>
  <w:footnote w:type="continuationSeparator" w:id="0">
    <w:p w14:paraId="68822FCE" w14:textId="77777777" w:rsidR="003F0FA8" w:rsidRDefault="003F0FA8" w:rsidP="004A1847">
      <w:pPr>
        <w:spacing w:after="0" w:line="240" w:lineRule="auto"/>
      </w:pPr>
      <w:r>
        <w:continuationSeparator/>
      </w:r>
    </w:p>
  </w:footnote>
  <w:footnote w:type="continuationNotice" w:id="1">
    <w:p w14:paraId="39473834" w14:textId="77777777" w:rsidR="003F0FA8" w:rsidRDefault="003F0FA8">
      <w:pPr>
        <w:spacing w:after="0" w:line="240" w:lineRule="auto"/>
      </w:pPr>
    </w:p>
  </w:footnote>
  <w:footnote w:id="2">
    <w:p w14:paraId="72E50AF3" w14:textId="77777777" w:rsidR="000166C5" w:rsidRPr="0073219D" w:rsidRDefault="000166C5" w:rsidP="000166C5">
      <w:pPr>
        <w:pStyle w:val="Textonotapie"/>
        <w:ind w:firstLine="709"/>
        <w:jc w:val="both"/>
        <w:rPr>
          <w:rFonts w:ascii="Arial" w:eastAsia="Calibri" w:hAnsi="Arial" w:cs="Arial"/>
          <w:color w:val="000000" w:themeColor="text1"/>
          <w:sz w:val="18"/>
          <w:szCs w:val="18"/>
          <w:lang w:val="es-ES"/>
        </w:rPr>
      </w:pPr>
      <w:r w:rsidRPr="0073219D">
        <w:rPr>
          <w:rStyle w:val="Refdenotaalpie"/>
          <w:rFonts w:ascii="Arial" w:hAnsi="Arial" w:cs="Arial"/>
          <w:color w:val="000000" w:themeColor="text1"/>
          <w:sz w:val="18"/>
          <w:szCs w:val="18"/>
        </w:rPr>
        <w:footnoteRef/>
      </w:r>
      <w:r w:rsidRPr="0073219D">
        <w:rPr>
          <w:rFonts w:ascii="Arial" w:hAnsi="Arial" w:cs="Arial"/>
          <w:color w:val="000000" w:themeColor="text1"/>
          <w:sz w:val="18"/>
          <w:szCs w:val="18"/>
        </w:rPr>
        <w:t xml:space="preserve"> </w:t>
      </w:r>
      <w:r w:rsidRPr="0073219D">
        <w:rPr>
          <w:rFonts w:ascii="Arial" w:hAnsi="Arial" w:cs="Arial"/>
          <w:color w:val="000000" w:themeColor="text1"/>
          <w:sz w:val="18"/>
          <w:szCs w:val="18"/>
          <w:lang w:val="es-ES"/>
        </w:rPr>
        <w:t>Al respecto, conviene recordar el artículo 29 de la Ley 80 de 1993, derogado por el artículo 32 de la Ley 1150 de 2007, que establecía: «La selección de contratistas será objetiva.</w:t>
      </w:r>
    </w:p>
    <w:p w14:paraId="57E20B94" w14:textId="77777777" w:rsidR="000166C5" w:rsidRPr="0073219D" w:rsidRDefault="000166C5" w:rsidP="000166C5">
      <w:pPr>
        <w:pStyle w:val="Textonotapie"/>
        <w:ind w:firstLine="709"/>
        <w:jc w:val="both"/>
        <w:rPr>
          <w:rFonts w:ascii="Arial" w:hAnsi="Arial" w:cs="Arial"/>
          <w:color w:val="000000" w:themeColor="text1"/>
          <w:sz w:val="18"/>
          <w:szCs w:val="18"/>
          <w:lang w:val="es-ES"/>
        </w:rPr>
      </w:pPr>
      <w:r w:rsidRPr="0073219D">
        <w:rPr>
          <w:rFonts w:ascii="Arial" w:hAnsi="Arial" w:cs="Arial"/>
          <w:color w:val="000000" w:themeColor="text1"/>
          <w:sz w:val="18"/>
          <w:szCs w:val="18"/>
          <w:lang w:val="es-ES"/>
        </w:rPr>
        <w:t>» Es objetiva la selección en la cual la escogencia se hace al ofrecimiento más favorable a la entidad y a los fines que ella busca, sin tener en consideración factores de afecto o de interés y, en general, cualquier clase de motivación subjetiva.</w:t>
      </w:r>
    </w:p>
    <w:p w14:paraId="15E31DFC" w14:textId="77777777" w:rsidR="000166C5" w:rsidRPr="0073219D" w:rsidRDefault="000166C5" w:rsidP="000166C5">
      <w:pPr>
        <w:pStyle w:val="Textonotapie"/>
        <w:ind w:firstLine="709"/>
        <w:jc w:val="both"/>
        <w:rPr>
          <w:rFonts w:ascii="Arial" w:hAnsi="Arial" w:cs="Arial"/>
          <w:color w:val="000000" w:themeColor="text1"/>
          <w:sz w:val="18"/>
          <w:szCs w:val="18"/>
          <w:lang w:val="es-ES"/>
        </w:rPr>
      </w:pPr>
      <w:r w:rsidRPr="0073219D">
        <w:rPr>
          <w:rFonts w:ascii="Arial" w:hAnsi="Arial" w:cs="Arial"/>
          <w:color w:val="000000" w:themeColor="text1"/>
          <w:sz w:val="18"/>
          <w:szCs w:val="18"/>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450211A1" w14:textId="77777777" w:rsidR="000166C5" w:rsidRPr="0073219D" w:rsidRDefault="000166C5" w:rsidP="000166C5">
      <w:pPr>
        <w:pStyle w:val="Textonotapie"/>
        <w:ind w:firstLine="709"/>
        <w:jc w:val="both"/>
        <w:rPr>
          <w:rFonts w:ascii="Arial" w:hAnsi="Arial" w:cs="Arial"/>
          <w:color w:val="000000" w:themeColor="text1"/>
          <w:sz w:val="18"/>
          <w:szCs w:val="18"/>
          <w:lang w:val="es-ES"/>
        </w:rPr>
      </w:pPr>
      <w:r w:rsidRPr="0073219D">
        <w:rPr>
          <w:rFonts w:ascii="Arial" w:hAnsi="Arial" w:cs="Arial"/>
          <w:color w:val="000000" w:themeColor="text1"/>
          <w:sz w:val="18"/>
          <w:szCs w:val="18"/>
          <w:lang w:val="es-ES"/>
        </w:rPr>
        <w:t>» 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7B6B3975" w14:textId="77777777" w:rsidR="000166C5" w:rsidRPr="0073219D" w:rsidRDefault="000166C5" w:rsidP="000166C5">
      <w:pPr>
        <w:pStyle w:val="Textonotapie"/>
        <w:ind w:firstLine="709"/>
        <w:jc w:val="both"/>
        <w:rPr>
          <w:rFonts w:ascii="Arial" w:hAnsi="Arial" w:cs="Arial"/>
          <w:color w:val="000000" w:themeColor="text1"/>
          <w:sz w:val="18"/>
          <w:szCs w:val="18"/>
          <w:lang w:val="es-ES"/>
        </w:rPr>
      </w:pPr>
      <w:r w:rsidRPr="0073219D">
        <w:rPr>
          <w:rFonts w:ascii="Arial" w:hAnsi="Arial" w:cs="Arial"/>
          <w:color w:val="000000" w:themeColor="text1"/>
          <w:sz w:val="18"/>
          <w:szCs w:val="18"/>
          <w:lang w:val="es-ES"/>
        </w:rPr>
        <w:t>» En caso de comparación de propuestas nacionales y extranjeras, se incluirán los costos necesarios para la entrega del producto terminado en el lugar de su utilización».</w:t>
      </w:r>
    </w:p>
  </w:footnote>
  <w:footnote w:id="3">
    <w:p w14:paraId="133B8B5F" w14:textId="47D35D7C" w:rsidR="000166C5" w:rsidRPr="0073219D" w:rsidRDefault="000166C5" w:rsidP="000166C5">
      <w:pPr>
        <w:pStyle w:val="Textonotapie"/>
        <w:ind w:firstLine="708"/>
        <w:jc w:val="both"/>
        <w:rPr>
          <w:rFonts w:ascii="Arial" w:hAnsi="Arial" w:cs="Arial"/>
          <w:sz w:val="18"/>
          <w:szCs w:val="18"/>
          <w:lang w:val="es-CO"/>
        </w:rPr>
      </w:pPr>
      <w:r w:rsidRPr="0073219D">
        <w:rPr>
          <w:rStyle w:val="Refdenotaalpie"/>
          <w:rFonts w:ascii="Arial" w:hAnsi="Arial" w:cs="Arial"/>
          <w:sz w:val="18"/>
          <w:szCs w:val="18"/>
        </w:rPr>
        <w:footnoteRef/>
      </w:r>
      <w:r w:rsidRPr="0073219D">
        <w:rPr>
          <w:rFonts w:ascii="Arial" w:hAnsi="Arial" w:cs="Arial"/>
          <w:sz w:val="18"/>
          <w:szCs w:val="18"/>
        </w:rPr>
        <w:t xml:space="preserve"> </w:t>
      </w:r>
      <w:r w:rsidRPr="0073219D">
        <w:rPr>
          <w:rFonts w:ascii="Arial" w:hAnsi="Arial" w:cs="Arial"/>
          <w:sz w:val="18"/>
          <w:szCs w:val="18"/>
          <w:lang w:val="es-CO"/>
        </w:rPr>
        <w:t>DÁVILA VINUEZA, Luis Guillermo. Régimen jurídico de la contratación estatal. Tercera edición, Bogotá: Legis, 2016. p. 355.</w:t>
      </w:r>
    </w:p>
  </w:footnote>
  <w:footnote w:id="4">
    <w:p w14:paraId="382DCD93" w14:textId="66DF7504" w:rsidR="000166C5" w:rsidRDefault="000166C5" w:rsidP="000166C5">
      <w:pPr>
        <w:spacing w:after="0" w:line="240" w:lineRule="auto"/>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 (Corte Constitucional, sentencia C-414 de 1994, M.P. Antonio Barrera</w:t>
      </w:r>
      <w:r w:rsidRPr="0073219D">
        <w:rPr>
          <w:rFonts w:ascii="Arial" w:hAnsi="Arial" w:cs="Arial"/>
          <w:spacing w:val="-20"/>
          <w:sz w:val="18"/>
          <w:szCs w:val="18"/>
        </w:rPr>
        <w:t xml:space="preserve"> </w:t>
      </w:r>
      <w:r w:rsidRPr="0073219D">
        <w:rPr>
          <w:rFonts w:ascii="Arial" w:hAnsi="Arial" w:cs="Arial"/>
          <w:sz w:val="18"/>
          <w:szCs w:val="18"/>
        </w:rPr>
        <w:t>Carbonell).</w:t>
      </w:r>
    </w:p>
    <w:p w14:paraId="21B9DE93" w14:textId="77777777" w:rsidR="008F65AA" w:rsidRPr="0073219D" w:rsidRDefault="008F65AA" w:rsidP="000166C5">
      <w:pPr>
        <w:spacing w:after="0" w:line="240" w:lineRule="auto"/>
        <w:ind w:firstLine="708"/>
        <w:jc w:val="both"/>
        <w:rPr>
          <w:rFonts w:ascii="Arial" w:hAnsi="Arial" w:cs="Arial"/>
          <w:sz w:val="18"/>
          <w:szCs w:val="18"/>
        </w:rPr>
      </w:pPr>
    </w:p>
  </w:footnote>
  <w:footnote w:id="5">
    <w:p w14:paraId="50344D34" w14:textId="77777777" w:rsidR="000166C5" w:rsidRPr="0073219D" w:rsidRDefault="000166C5" w:rsidP="000166C5">
      <w:pPr>
        <w:spacing w:after="0" w:line="240" w:lineRule="auto"/>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EXPOSITO VÉLEZ, Juan Carlos. Forma y contenido del contrato estatal. Universidad Externado de Colombia, Bogotá, 2013, 1ra Ed., p.112.</w:t>
      </w:r>
    </w:p>
  </w:footnote>
  <w:footnote w:id="6">
    <w:p w14:paraId="0BF53495" w14:textId="04F0DC06" w:rsidR="000166C5" w:rsidRDefault="000166C5" w:rsidP="000166C5">
      <w:pPr>
        <w:pStyle w:val="Textonotapie"/>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 (Corte Constitucional, </w:t>
      </w:r>
      <w:r w:rsidR="00F83557">
        <w:rPr>
          <w:rFonts w:ascii="Arial" w:hAnsi="Arial" w:cs="Arial"/>
          <w:sz w:val="18"/>
          <w:szCs w:val="18"/>
        </w:rPr>
        <w:t>S</w:t>
      </w:r>
      <w:r w:rsidRPr="0073219D">
        <w:rPr>
          <w:rFonts w:ascii="Arial" w:hAnsi="Arial" w:cs="Arial"/>
          <w:sz w:val="18"/>
          <w:szCs w:val="18"/>
        </w:rPr>
        <w:t>entencia C-414 de 1994, M.P. Antonio Barrera</w:t>
      </w:r>
      <w:r w:rsidRPr="0073219D">
        <w:rPr>
          <w:rFonts w:ascii="Arial" w:hAnsi="Arial" w:cs="Arial"/>
          <w:spacing w:val="-2"/>
          <w:sz w:val="18"/>
          <w:szCs w:val="18"/>
        </w:rPr>
        <w:t xml:space="preserve"> </w:t>
      </w:r>
      <w:r w:rsidRPr="0073219D">
        <w:rPr>
          <w:rFonts w:ascii="Arial" w:hAnsi="Arial" w:cs="Arial"/>
          <w:sz w:val="18"/>
          <w:szCs w:val="18"/>
        </w:rPr>
        <w:t>Carbonell).</w:t>
      </w:r>
    </w:p>
    <w:p w14:paraId="5C188B00" w14:textId="77777777" w:rsidR="00F83557" w:rsidRPr="0073219D" w:rsidRDefault="00F83557" w:rsidP="000166C5">
      <w:pPr>
        <w:pStyle w:val="Textonotapie"/>
        <w:ind w:firstLine="708"/>
        <w:jc w:val="both"/>
        <w:rPr>
          <w:rFonts w:ascii="Arial" w:hAnsi="Arial" w:cs="Arial"/>
          <w:sz w:val="18"/>
          <w:szCs w:val="18"/>
        </w:rPr>
      </w:pPr>
    </w:p>
  </w:footnote>
  <w:footnote w:id="7">
    <w:p w14:paraId="58EEEB88" w14:textId="77777777" w:rsidR="000166C5" w:rsidRPr="0073219D" w:rsidRDefault="000166C5" w:rsidP="000166C5">
      <w:pPr>
        <w:spacing w:after="0" w:line="240" w:lineRule="auto"/>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Sentencia del 5 de septiembre de 2001. M.P. Clara Inés Vargas Hernández. </w:t>
      </w:r>
    </w:p>
  </w:footnote>
  <w:footnote w:id="8">
    <w:p w14:paraId="60CE969C" w14:textId="77777777" w:rsidR="000166C5" w:rsidRDefault="000166C5" w:rsidP="000166C5">
      <w:pPr>
        <w:pStyle w:val="Textonotapie"/>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Sin perjuicio de lo también dispuesto en el artículo 832 y siguientes del Código de Comercio.</w:t>
      </w:r>
    </w:p>
    <w:p w14:paraId="360AEF62" w14:textId="77777777" w:rsidR="00970FAF" w:rsidRPr="0073219D" w:rsidRDefault="00970FAF" w:rsidP="000166C5">
      <w:pPr>
        <w:pStyle w:val="Textonotapie"/>
        <w:ind w:firstLine="708"/>
        <w:jc w:val="both"/>
        <w:rPr>
          <w:rFonts w:ascii="Arial" w:hAnsi="Arial" w:cs="Arial"/>
          <w:sz w:val="18"/>
          <w:szCs w:val="18"/>
        </w:rPr>
      </w:pPr>
    </w:p>
  </w:footnote>
  <w:footnote w:id="9">
    <w:p w14:paraId="7074CADE" w14:textId="77777777" w:rsidR="000166C5" w:rsidRPr="0073219D" w:rsidRDefault="000166C5" w:rsidP="000166C5">
      <w:pPr>
        <w:spacing w:after="0" w:line="240" w:lineRule="auto"/>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LAFONT PIANETTA, Pedro. Manual de contratos, Tomo I, Ediciones Librería del Profesional, 1 Ed, 2001, p.508.</w:t>
      </w:r>
    </w:p>
  </w:footnote>
  <w:footnote w:id="10">
    <w:p w14:paraId="0FD27A05" w14:textId="5A7ABC40" w:rsidR="000166C5" w:rsidRPr="0073219D" w:rsidRDefault="000166C5" w:rsidP="000166C5">
      <w:pPr>
        <w:pStyle w:val="Textonotapie"/>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La Corte Constitucional ha reconocido a los consorcios y uniones temporales como titulares de derechos fundamentales, tales como el debido proceso, de forma que están legitimados para ejercer la acción de tutela. En otras palabras, gozan de capacidad jurídica para comparecer en procesos judiciales ya sea como demandantes o como demandados. Sentencia T-150/16 del 31 de marzo de 2016. M.P. Gabriel Eduardo Mendoza Martelo.</w:t>
      </w:r>
    </w:p>
  </w:footnote>
  <w:footnote w:id="11">
    <w:p w14:paraId="45F02DF1" w14:textId="6159C0BA" w:rsidR="000166C5" w:rsidRPr="0073219D" w:rsidRDefault="000166C5" w:rsidP="000166C5">
      <w:pPr>
        <w:spacing w:after="0" w:line="240" w:lineRule="auto"/>
        <w:ind w:firstLine="708"/>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Consejo de Estado, Sala Plena Sección 3ª, sentencia de unificación de 25 de septiembre de 2013, M.P. Mauricio Fajardo Gómez, rad. 19.933.</w:t>
      </w:r>
    </w:p>
  </w:footnote>
  <w:footnote w:id="12">
    <w:p w14:paraId="0EAF3A41" w14:textId="2A7540EA"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Fonts w:ascii="Arial" w:hAnsi="Arial" w:cs="Arial"/>
          <w:color w:val="000000"/>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footnote>
  <w:footnote w:id="13">
    <w:p w14:paraId="735A7E37" w14:textId="77777777"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Fonts w:ascii="Arial" w:hAnsi="Arial" w:cs="Arial"/>
          <w:color w:val="000000"/>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4">
    <w:p w14:paraId="71A9036E" w14:textId="77777777"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Fonts w:ascii="Arial" w:hAnsi="Arial" w:cs="Arial"/>
          <w:color w:val="000000"/>
          <w:sz w:val="18"/>
          <w:szCs w:val="18"/>
        </w:rPr>
        <w:t xml:space="preserve"> CONSEJO DE ESTADO. Sección Tercera. Subsección C. Sentencia del 26 de febrero de 2014. Expediente: 25.804. Consejero Ponente: Enrique Gil Botero.</w:t>
      </w:r>
    </w:p>
  </w:footnote>
  <w:footnote w:id="15">
    <w:p w14:paraId="16F345D1" w14:textId="2F7E783D"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Style w:val="Refdenotaalpie"/>
          <w:rFonts w:ascii="Arial" w:hAnsi="Arial" w:cs="Arial"/>
          <w:color w:val="000000"/>
          <w:sz w:val="18"/>
          <w:szCs w:val="18"/>
        </w:rPr>
        <w:t xml:space="preserve"> </w:t>
      </w:r>
      <w:r w:rsidRPr="0073219D">
        <w:rPr>
          <w:rFonts w:ascii="Arial" w:hAnsi="Arial"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6">
    <w:p w14:paraId="0DCA3055" w14:textId="77777777" w:rsidR="000166C5" w:rsidRPr="0073219D" w:rsidRDefault="000166C5" w:rsidP="000166C5">
      <w:pPr>
        <w:pStyle w:val="NormalWeb"/>
        <w:shd w:val="clear" w:color="auto" w:fill="FFFFFF"/>
        <w:spacing w:after="0" w:line="240" w:lineRule="auto"/>
        <w:ind w:firstLine="708"/>
        <w:jc w:val="both"/>
        <w:rPr>
          <w:rFonts w:ascii="Arial" w:hAnsi="Arial" w:cs="Arial"/>
          <w:sz w:val="18"/>
          <w:szCs w:val="18"/>
          <w:lang w:val="es-ES"/>
        </w:rPr>
      </w:pPr>
      <w:r w:rsidRPr="0073219D">
        <w:rPr>
          <w:rStyle w:val="Refdenotaalpie"/>
          <w:rFonts w:ascii="Arial" w:eastAsia="Arial" w:hAnsi="Arial" w:cs="Arial"/>
          <w:sz w:val="18"/>
          <w:szCs w:val="18"/>
        </w:rPr>
        <w:footnoteRef/>
      </w:r>
      <w:r w:rsidRPr="0073219D">
        <w:rPr>
          <w:rFonts w:ascii="Arial" w:hAnsi="Arial" w:cs="Arial"/>
          <w:sz w:val="18"/>
          <w:szCs w:val="18"/>
        </w:rPr>
        <w:t xml:space="preserve"> «</w:t>
      </w:r>
      <w:r w:rsidRPr="0073219D">
        <w:rPr>
          <w:rFonts w:ascii="Arial" w:hAnsi="Arial" w:cs="Arial"/>
          <w:bCs/>
          <w:sz w:val="18"/>
          <w:szCs w:val="18"/>
          <w:shd w:val="clear" w:color="auto" w:fill="FFFFFF"/>
        </w:rPr>
        <w:t>2.2.1.2.1.5.2</w:t>
      </w:r>
      <w:r w:rsidRPr="0073219D">
        <w:rPr>
          <w:rFonts w:ascii="Arial" w:hAnsi="Arial" w:cs="Arial"/>
          <w:sz w:val="18"/>
          <w:szCs w:val="18"/>
          <w:lang w:val="es-ES"/>
        </w:rPr>
        <w:t xml:space="preserve">5. </w:t>
      </w:r>
      <w:r w:rsidRPr="0073219D">
        <w:rPr>
          <w:rFonts w:ascii="Arial" w:hAnsi="Arial" w:cs="Arial"/>
          <w:bCs/>
          <w:sz w:val="18"/>
          <w:szCs w:val="18"/>
          <w:lang w:val="es-ES"/>
        </w:rPr>
        <w:t>Procedimiento para la contratación de mínima cuantía.</w:t>
      </w:r>
      <w:r w:rsidRPr="0073219D">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20ACD258" w14:textId="77777777" w:rsidR="000166C5" w:rsidRPr="0073219D" w:rsidRDefault="000166C5" w:rsidP="000166C5">
      <w:pPr>
        <w:pStyle w:val="NormalWeb"/>
        <w:shd w:val="clear" w:color="auto" w:fill="FFFFFF"/>
        <w:spacing w:after="0" w:line="240" w:lineRule="auto"/>
        <w:ind w:firstLine="708"/>
        <w:jc w:val="both"/>
        <w:rPr>
          <w:rFonts w:ascii="Arial" w:hAnsi="Arial" w:cs="Arial"/>
          <w:sz w:val="18"/>
          <w:szCs w:val="18"/>
          <w:lang w:val="es-ES"/>
        </w:rPr>
      </w:pPr>
      <w:r w:rsidRPr="0073219D">
        <w:rPr>
          <w:rFonts w:ascii="Arial" w:hAnsi="Arial" w:cs="Arial"/>
          <w:sz w:val="18"/>
          <w:szCs w:val="18"/>
          <w:lang w:val="es-ES"/>
        </w:rPr>
        <w:t>[…]</w:t>
      </w:r>
    </w:p>
    <w:p w14:paraId="3CA989C5" w14:textId="0B001A8A" w:rsidR="000166C5" w:rsidRPr="0073219D" w:rsidRDefault="000166C5" w:rsidP="000166C5">
      <w:pPr>
        <w:pStyle w:val="NormalWeb"/>
        <w:shd w:val="clear" w:color="auto" w:fill="FFFFFF"/>
        <w:spacing w:after="0" w:line="240" w:lineRule="auto"/>
        <w:ind w:firstLine="708"/>
        <w:jc w:val="both"/>
        <w:rPr>
          <w:rFonts w:ascii="Arial" w:hAnsi="Arial" w:cs="Arial"/>
          <w:sz w:val="18"/>
          <w:szCs w:val="18"/>
          <w:lang w:val="es-ES"/>
        </w:rPr>
      </w:pPr>
      <w:r w:rsidRPr="0073219D">
        <w:rPr>
          <w:rFonts w:ascii="Arial" w:hAnsi="Arial" w:cs="Arial"/>
          <w:sz w:val="18"/>
          <w:szCs w:val="18"/>
        </w:rPr>
        <w:t>»</w:t>
      </w:r>
      <w:r w:rsidRPr="0073219D">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 w:anchor="5" w:history="1">
        <w:r w:rsidRPr="0073219D">
          <w:rPr>
            <w:rFonts w:ascii="Arial" w:hAnsi="Arial" w:cs="Arial"/>
            <w:sz w:val="18"/>
            <w:szCs w:val="18"/>
            <w:u w:val="single"/>
            <w:lang w:val="es-ES"/>
          </w:rPr>
          <w:t>5 </w:t>
        </w:r>
      </w:hyperlink>
      <w:r w:rsidRPr="0073219D">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73219D">
        <w:rPr>
          <w:rFonts w:ascii="Arial" w:hAnsi="Arial" w:cs="Arial"/>
          <w:sz w:val="18"/>
          <w:szCs w:val="18"/>
        </w:rPr>
        <w:t>»</w:t>
      </w:r>
      <w:r w:rsidRPr="0073219D">
        <w:rPr>
          <w:rFonts w:ascii="Arial" w:hAnsi="Arial" w:cs="Arial"/>
          <w:sz w:val="18"/>
          <w:szCs w:val="18"/>
          <w:lang w:val="es-ES"/>
        </w:rPr>
        <w:t>.</w:t>
      </w:r>
    </w:p>
  </w:footnote>
  <w:footnote w:id="17">
    <w:p w14:paraId="4F171F76" w14:textId="77777777"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Fonts w:ascii="Arial" w:hAnsi="Arial" w:cs="Arial"/>
          <w:color w:val="000000"/>
          <w:sz w:val="18"/>
          <w:szCs w:val="18"/>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48519DBF" w14:textId="4C53D602" w:rsidR="000166C5" w:rsidRPr="0073219D" w:rsidRDefault="000166C5" w:rsidP="000166C5">
      <w:pPr>
        <w:pStyle w:val="Textonotapie"/>
        <w:ind w:firstLine="709"/>
        <w:jc w:val="both"/>
        <w:rPr>
          <w:rFonts w:ascii="Arial" w:hAnsi="Arial" w:cs="Arial"/>
          <w:color w:val="000000"/>
          <w:sz w:val="18"/>
          <w:szCs w:val="18"/>
        </w:rPr>
      </w:pPr>
      <w:r w:rsidRPr="0073219D">
        <w:rPr>
          <w:rFonts w:ascii="Arial" w:hAnsi="Arial" w:cs="Arial"/>
          <w:color w:val="000000"/>
          <w:sz w:val="18"/>
          <w:szCs w:val="18"/>
        </w:rPr>
        <w:t>»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18">
    <w:p w14:paraId="7E1D843F" w14:textId="77777777"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w:t>
      </w:r>
      <w:r w:rsidRPr="0073219D">
        <w:rPr>
          <w:rFonts w:ascii="Arial" w:hAnsi="Arial" w:cs="Arial"/>
          <w:color w:val="000000"/>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10D7C98A" w14:textId="6964C947" w:rsidR="000166C5" w:rsidRDefault="000166C5" w:rsidP="000166C5">
      <w:pPr>
        <w:pStyle w:val="Textonotapie"/>
        <w:ind w:firstLine="709"/>
        <w:jc w:val="both"/>
        <w:rPr>
          <w:rFonts w:ascii="Arial" w:hAnsi="Arial" w:cs="Arial"/>
          <w:color w:val="000000"/>
          <w:sz w:val="18"/>
          <w:szCs w:val="18"/>
        </w:rPr>
      </w:pPr>
      <w:r w:rsidRPr="0073219D">
        <w:rPr>
          <w:rFonts w:ascii="Arial" w:hAnsi="Arial" w:cs="Arial"/>
          <w:color w:val="000000"/>
          <w:sz w:val="18"/>
          <w:szCs w:val="18"/>
        </w:rPr>
        <w:t xml:space="preserve">» 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2" w:history="1">
        <w:r w:rsidRPr="0073219D">
          <w:rPr>
            <w:rStyle w:val="Hipervnculo"/>
            <w:rFonts w:ascii="Arial" w:hAnsi="Arial" w:cs="Arial"/>
            <w:color w:val="000000"/>
            <w:sz w:val="18"/>
            <w:szCs w:val="18"/>
          </w:rPr>
          <w:t>https://www.colombiacompra.gov.co/content/circular-unica-externa</w:t>
        </w:r>
      </w:hyperlink>
      <w:r w:rsidRPr="0073219D">
        <w:rPr>
          <w:rFonts w:ascii="Arial" w:hAnsi="Arial" w:cs="Arial"/>
          <w:color w:val="000000"/>
          <w:sz w:val="18"/>
          <w:szCs w:val="18"/>
        </w:rPr>
        <w:t>.</w:t>
      </w:r>
    </w:p>
    <w:p w14:paraId="454EB436" w14:textId="77777777" w:rsidR="008B79F4" w:rsidRPr="0073219D" w:rsidRDefault="008B79F4" w:rsidP="000166C5">
      <w:pPr>
        <w:pStyle w:val="Textonotapie"/>
        <w:ind w:firstLine="709"/>
        <w:jc w:val="both"/>
        <w:rPr>
          <w:rFonts w:ascii="Arial" w:hAnsi="Arial" w:cs="Arial"/>
          <w:color w:val="000000"/>
          <w:sz w:val="18"/>
          <w:szCs w:val="18"/>
        </w:rPr>
      </w:pPr>
    </w:p>
  </w:footnote>
  <w:footnote w:id="19">
    <w:p w14:paraId="6B4E16E7" w14:textId="1265696B"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Fonts w:ascii="Arial" w:hAnsi="Arial" w:cs="Arial"/>
          <w:color w:val="000000"/>
          <w:sz w:val="18"/>
          <w:szCs w:val="18"/>
        </w:rPr>
        <w:t xml:space="preserve"> Ver CONSEJO DE ESTADO, Sección Tercera, Subsección C. Sentencia del 26 de febrero de 2011. C.P. Jaime Orlando Santofimio. Rad. 36.408. </w:t>
      </w:r>
    </w:p>
  </w:footnote>
  <w:footnote w:id="20">
    <w:p w14:paraId="611F63C4" w14:textId="77777777" w:rsidR="008B79F4" w:rsidRDefault="008B79F4" w:rsidP="000166C5">
      <w:pPr>
        <w:pStyle w:val="Textonotapie"/>
        <w:ind w:firstLine="709"/>
        <w:jc w:val="both"/>
        <w:rPr>
          <w:rFonts w:ascii="Arial" w:hAnsi="Arial" w:cs="Arial"/>
          <w:color w:val="000000"/>
          <w:sz w:val="18"/>
          <w:szCs w:val="18"/>
        </w:rPr>
      </w:pPr>
    </w:p>
    <w:p w14:paraId="5876FB99" w14:textId="01A63A83"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Fonts w:ascii="Arial" w:hAnsi="Arial" w:cs="Arial"/>
          <w:color w:val="000000"/>
          <w:sz w:val="18"/>
          <w:szCs w:val="18"/>
        </w:rPr>
        <w:t xml:space="preserve"> Ver CONSEJO DE ESTADO, Sección Tercera, Subsección C. Sentencia del 26 de febrero de 2014. C.P. Enrique Gil Botero. Rad. 25.804. </w:t>
      </w:r>
    </w:p>
  </w:footnote>
  <w:footnote w:id="21">
    <w:p w14:paraId="679F01BC" w14:textId="77777777" w:rsidR="000166C5" w:rsidRPr="0073219D" w:rsidRDefault="000166C5" w:rsidP="000166C5">
      <w:pPr>
        <w:pStyle w:val="Textonotapie"/>
        <w:ind w:firstLine="709"/>
        <w:jc w:val="both"/>
        <w:rPr>
          <w:rFonts w:ascii="Arial" w:hAnsi="Arial" w:cs="Arial"/>
          <w:color w:val="000000"/>
          <w:sz w:val="18"/>
          <w:szCs w:val="18"/>
        </w:rPr>
      </w:pPr>
      <w:r w:rsidRPr="0073219D">
        <w:rPr>
          <w:rStyle w:val="Refdenotaalpie"/>
          <w:rFonts w:ascii="Arial" w:hAnsi="Arial" w:cs="Arial"/>
          <w:color w:val="000000"/>
          <w:sz w:val="18"/>
          <w:szCs w:val="18"/>
        </w:rPr>
        <w:footnoteRef/>
      </w:r>
      <w:r w:rsidRPr="0073219D">
        <w:rPr>
          <w:rFonts w:ascii="Arial" w:hAnsi="Arial" w:cs="Arial"/>
          <w:color w:val="000000"/>
          <w:sz w:val="18"/>
          <w:szCs w:val="18"/>
        </w:rPr>
        <w:t xml:space="preserve"> CONSEJO DE ESTADO. Sala de Consulta y Servicio Civil. Concepto del 20 de mayo de 2010. Expediente: 1992. Consejero Ponente: Enrique José Arboleda Perdomo.</w:t>
      </w:r>
    </w:p>
  </w:footnote>
  <w:footnote w:id="22">
    <w:p w14:paraId="0FAE392A" w14:textId="3DA9641C" w:rsidR="000166C5" w:rsidRPr="0073219D" w:rsidRDefault="000166C5" w:rsidP="000166C5">
      <w:pPr>
        <w:spacing w:after="0" w:line="240" w:lineRule="auto"/>
        <w:ind w:right="306" w:firstLine="707"/>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29D3BA54" w14:textId="77777777" w:rsidR="000166C5" w:rsidRPr="0073219D" w:rsidRDefault="000166C5" w:rsidP="000166C5">
      <w:pPr>
        <w:spacing w:after="0" w:line="240" w:lineRule="auto"/>
        <w:ind w:left="300" w:right="306"/>
        <w:jc w:val="both"/>
        <w:rPr>
          <w:rFonts w:ascii="Arial" w:hAnsi="Arial" w:cs="Arial"/>
          <w:sz w:val="18"/>
          <w:szCs w:val="18"/>
        </w:rPr>
      </w:pPr>
      <w:r w:rsidRPr="0073219D">
        <w:rPr>
          <w:rFonts w:ascii="Arial" w:hAnsi="Arial" w:cs="Arial"/>
          <w:sz w:val="18"/>
          <w:szCs w:val="18"/>
          <w:u w:val="single" w:color="4E4D4D"/>
        </w:rPr>
        <w:t xml:space="preserve"> “5.2. De la fuerza vinculante de las respuestas a las solicitudes de aclaraciones en relación con los términos de</w:t>
      </w:r>
      <w:r w:rsidRPr="0073219D">
        <w:rPr>
          <w:rFonts w:ascii="Arial" w:hAnsi="Arial" w:cs="Arial"/>
          <w:sz w:val="18"/>
          <w:szCs w:val="18"/>
        </w:rPr>
        <w:t xml:space="preserve"> </w:t>
      </w:r>
      <w:r w:rsidRPr="0073219D">
        <w:rPr>
          <w:rFonts w:ascii="Arial" w:hAnsi="Arial" w:cs="Arial"/>
          <w:sz w:val="18"/>
          <w:szCs w:val="18"/>
          <w:u w:val="single" w:color="4E4D4D"/>
        </w:rPr>
        <w:t>referencia.</w:t>
      </w:r>
    </w:p>
    <w:p w14:paraId="2636DDDD" w14:textId="3E172A52" w:rsidR="000166C5" w:rsidRPr="0073219D" w:rsidRDefault="000166C5" w:rsidP="000166C5">
      <w:pPr>
        <w:spacing w:after="0" w:line="240" w:lineRule="auto"/>
        <w:ind w:left="300" w:right="306"/>
        <w:jc w:val="both"/>
        <w:rPr>
          <w:rFonts w:ascii="Arial" w:hAnsi="Arial" w:cs="Arial"/>
          <w:sz w:val="18"/>
          <w:szCs w:val="18"/>
        </w:rPr>
      </w:pPr>
      <w:r w:rsidRPr="0073219D">
        <w:rPr>
          <w:rFonts w:ascii="Arial" w:hAnsi="Arial" w:cs="Arial"/>
          <w:sz w:val="18"/>
          <w:szCs w:val="18"/>
        </w:rPr>
        <w:t>(…).</w:t>
      </w:r>
    </w:p>
    <w:p w14:paraId="3044B7A8" w14:textId="1F1A2C0D" w:rsidR="000166C5" w:rsidRPr="0073219D" w:rsidRDefault="000166C5" w:rsidP="000166C5">
      <w:pPr>
        <w:spacing w:after="0" w:line="240" w:lineRule="auto"/>
        <w:ind w:left="300" w:right="306"/>
        <w:jc w:val="both"/>
        <w:rPr>
          <w:rFonts w:ascii="Arial" w:hAnsi="Arial" w:cs="Arial"/>
          <w:sz w:val="18"/>
          <w:szCs w:val="18"/>
        </w:rPr>
      </w:pPr>
      <w:r w:rsidRPr="0073219D">
        <w:rPr>
          <w:rFonts w:ascii="Arial" w:hAnsi="Arial" w:cs="Arial"/>
          <w:sz w:val="18"/>
          <w:szCs w:val="18"/>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w:t>
      </w:r>
      <w:r w:rsidRPr="0073219D">
        <w:rPr>
          <w:rFonts w:ascii="Arial" w:hAnsi="Arial" w:cs="Arial"/>
          <w:spacing w:val="-11"/>
          <w:sz w:val="18"/>
          <w:szCs w:val="18"/>
        </w:rPr>
        <w:t xml:space="preserve"> </w:t>
      </w:r>
      <w:r w:rsidRPr="0073219D">
        <w:rPr>
          <w:rFonts w:ascii="Arial" w:hAnsi="Arial" w:cs="Arial"/>
          <w:sz w:val="18"/>
          <w:szCs w:val="18"/>
        </w:rPr>
        <w:t>oferentes.</w:t>
      </w:r>
    </w:p>
    <w:p w14:paraId="43566333" w14:textId="024F5DD8" w:rsidR="000166C5" w:rsidRDefault="000166C5" w:rsidP="000166C5">
      <w:pPr>
        <w:spacing w:after="0" w:line="240" w:lineRule="auto"/>
        <w:ind w:left="300" w:right="306"/>
        <w:jc w:val="both"/>
        <w:rPr>
          <w:rFonts w:ascii="Arial" w:hAnsi="Arial" w:cs="Arial"/>
          <w:sz w:val="18"/>
          <w:szCs w:val="18"/>
        </w:rPr>
      </w:pPr>
      <w:r w:rsidRPr="0073219D">
        <w:rPr>
          <w:rFonts w:ascii="Arial" w:hAnsi="Arial" w:cs="Arial"/>
          <w:sz w:val="18"/>
          <w:szCs w:val="18"/>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w:t>
      </w:r>
      <w:r w:rsidRPr="0073219D">
        <w:rPr>
          <w:rFonts w:ascii="Arial" w:hAnsi="Arial" w:cs="Arial"/>
          <w:spacing w:val="-19"/>
          <w:sz w:val="18"/>
          <w:szCs w:val="18"/>
        </w:rPr>
        <w:t xml:space="preserve"> </w:t>
      </w:r>
      <w:r w:rsidRPr="0073219D">
        <w:rPr>
          <w:rFonts w:ascii="Arial" w:hAnsi="Arial" w:cs="Arial"/>
          <w:sz w:val="18"/>
          <w:szCs w:val="18"/>
        </w:rPr>
        <w:t>condiciones”.</w:t>
      </w:r>
    </w:p>
    <w:p w14:paraId="2EE02AA4" w14:textId="77777777" w:rsidR="00204716" w:rsidRPr="0073219D" w:rsidRDefault="00204716" w:rsidP="000166C5">
      <w:pPr>
        <w:spacing w:after="0" w:line="240" w:lineRule="auto"/>
        <w:ind w:left="300" w:right="306"/>
        <w:jc w:val="both"/>
        <w:rPr>
          <w:rFonts w:ascii="Arial" w:hAnsi="Arial" w:cs="Arial"/>
          <w:sz w:val="18"/>
          <w:szCs w:val="18"/>
        </w:rPr>
      </w:pPr>
    </w:p>
  </w:footnote>
  <w:footnote w:id="23">
    <w:p w14:paraId="6428610F" w14:textId="77777777" w:rsidR="000166C5" w:rsidRPr="0073219D" w:rsidRDefault="000166C5" w:rsidP="000166C5">
      <w:pPr>
        <w:spacing w:after="0" w:line="240" w:lineRule="auto"/>
        <w:ind w:left="300" w:right="306" w:firstLine="707"/>
        <w:jc w:val="both"/>
        <w:rPr>
          <w:rFonts w:ascii="Arial" w:hAnsi="Arial" w:cs="Arial"/>
          <w:sz w:val="18"/>
          <w:szCs w:val="18"/>
        </w:rPr>
      </w:pPr>
      <w:r w:rsidRPr="0073219D">
        <w:rPr>
          <w:rStyle w:val="Refdenotaalpie"/>
          <w:rFonts w:ascii="Arial" w:hAnsi="Arial" w:cs="Arial"/>
          <w:sz w:val="18"/>
          <w:szCs w:val="18"/>
        </w:rPr>
        <w:footnoteRef/>
      </w:r>
      <w:r w:rsidRPr="0073219D">
        <w:rPr>
          <w:rFonts w:ascii="Arial" w:hAnsi="Arial" w:cs="Arial"/>
          <w:sz w:val="18"/>
          <w:szCs w:val="18"/>
        </w:rPr>
        <w:t xml:space="preserve"> En la sentencia de la Sección Tercera, Subsección C, del 24 de julio de 2013, expediente No. 25.642, C.P. Enrique Gil Botero, el Consejo de Estado se refirió a la naturaleza jurídica de los pliegos de condiciones: “los pliegos de condiciones han sido definidos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w:t>
      </w:r>
      <w:r w:rsidRPr="0073219D">
        <w:rPr>
          <w:rFonts w:ascii="Arial" w:hAnsi="Arial" w:cs="Arial"/>
          <w:spacing w:val="-3"/>
          <w:sz w:val="18"/>
          <w:szCs w:val="18"/>
        </w:rPr>
        <w:t xml:space="preserve"> </w:t>
      </w:r>
      <w:r w:rsidRPr="0073219D">
        <w:rPr>
          <w:rFonts w:ascii="Arial" w:hAnsi="Arial" w:cs="Arial"/>
          <w:sz w:val="18"/>
          <w:szCs w:val="18"/>
        </w:rPr>
        <w:t>mismo”.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67286233">
    <w:abstractNumId w:val="2"/>
  </w:num>
  <w:num w:numId="2" w16cid:durableId="1801804790">
    <w:abstractNumId w:val="0"/>
  </w:num>
  <w:num w:numId="3" w16cid:durableId="26576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09AE"/>
    <w:rsid w:val="000166C5"/>
    <w:rsid w:val="00083334"/>
    <w:rsid w:val="000956CF"/>
    <w:rsid w:val="00097095"/>
    <w:rsid w:val="000A683E"/>
    <w:rsid w:val="001014DE"/>
    <w:rsid w:val="0011595A"/>
    <w:rsid w:val="001220C5"/>
    <w:rsid w:val="001267F7"/>
    <w:rsid w:val="00127233"/>
    <w:rsid w:val="00130999"/>
    <w:rsid w:val="001377D7"/>
    <w:rsid w:val="00164D81"/>
    <w:rsid w:val="001A1011"/>
    <w:rsid w:val="001A48D0"/>
    <w:rsid w:val="00204716"/>
    <w:rsid w:val="00221D60"/>
    <w:rsid w:val="002653C1"/>
    <w:rsid w:val="0026611D"/>
    <w:rsid w:val="002774A5"/>
    <w:rsid w:val="00294633"/>
    <w:rsid w:val="002951A0"/>
    <w:rsid w:val="002A64FD"/>
    <w:rsid w:val="002C0180"/>
    <w:rsid w:val="002F0839"/>
    <w:rsid w:val="00301469"/>
    <w:rsid w:val="00306EE1"/>
    <w:rsid w:val="00310B9B"/>
    <w:rsid w:val="0036461C"/>
    <w:rsid w:val="00367884"/>
    <w:rsid w:val="0039439C"/>
    <w:rsid w:val="003B69E7"/>
    <w:rsid w:val="003C013B"/>
    <w:rsid w:val="003D0F4D"/>
    <w:rsid w:val="003E78D6"/>
    <w:rsid w:val="003F0FA8"/>
    <w:rsid w:val="003F58A1"/>
    <w:rsid w:val="00407BC9"/>
    <w:rsid w:val="00410DD6"/>
    <w:rsid w:val="004134C9"/>
    <w:rsid w:val="0043138C"/>
    <w:rsid w:val="00431E2E"/>
    <w:rsid w:val="00462A59"/>
    <w:rsid w:val="00480ACA"/>
    <w:rsid w:val="004A1847"/>
    <w:rsid w:val="004B64C0"/>
    <w:rsid w:val="004B6B0E"/>
    <w:rsid w:val="004D25B3"/>
    <w:rsid w:val="004E02F9"/>
    <w:rsid w:val="00505F44"/>
    <w:rsid w:val="00511405"/>
    <w:rsid w:val="00526E9D"/>
    <w:rsid w:val="00547856"/>
    <w:rsid w:val="00547A74"/>
    <w:rsid w:val="005566E8"/>
    <w:rsid w:val="005746AB"/>
    <w:rsid w:val="0059357F"/>
    <w:rsid w:val="005A1130"/>
    <w:rsid w:val="005D65C8"/>
    <w:rsid w:val="00616E60"/>
    <w:rsid w:val="006219F8"/>
    <w:rsid w:val="00675093"/>
    <w:rsid w:val="00681FDB"/>
    <w:rsid w:val="006A7DAD"/>
    <w:rsid w:val="006D70BA"/>
    <w:rsid w:val="0073219D"/>
    <w:rsid w:val="007566FE"/>
    <w:rsid w:val="00756D5C"/>
    <w:rsid w:val="00756E9A"/>
    <w:rsid w:val="0076726F"/>
    <w:rsid w:val="0077144B"/>
    <w:rsid w:val="00793403"/>
    <w:rsid w:val="007C0CDF"/>
    <w:rsid w:val="007E2A2F"/>
    <w:rsid w:val="007F2B7C"/>
    <w:rsid w:val="00811651"/>
    <w:rsid w:val="00820F5B"/>
    <w:rsid w:val="00833452"/>
    <w:rsid w:val="008614E5"/>
    <w:rsid w:val="008678EB"/>
    <w:rsid w:val="00875894"/>
    <w:rsid w:val="00877940"/>
    <w:rsid w:val="00881C10"/>
    <w:rsid w:val="00890411"/>
    <w:rsid w:val="008A7437"/>
    <w:rsid w:val="008B6324"/>
    <w:rsid w:val="008B79F4"/>
    <w:rsid w:val="008D5C70"/>
    <w:rsid w:val="008F65AA"/>
    <w:rsid w:val="008F68EB"/>
    <w:rsid w:val="009025AF"/>
    <w:rsid w:val="00904F23"/>
    <w:rsid w:val="00906B3C"/>
    <w:rsid w:val="00934BC8"/>
    <w:rsid w:val="00944F76"/>
    <w:rsid w:val="0095342C"/>
    <w:rsid w:val="00970FAF"/>
    <w:rsid w:val="009D29D6"/>
    <w:rsid w:val="009F33F2"/>
    <w:rsid w:val="009F6C77"/>
    <w:rsid w:val="00A07532"/>
    <w:rsid w:val="00A1085C"/>
    <w:rsid w:val="00A309E2"/>
    <w:rsid w:val="00A8066E"/>
    <w:rsid w:val="00A91FA6"/>
    <w:rsid w:val="00AA4B8A"/>
    <w:rsid w:val="00AA6BF7"/>
    <w:rsid w:val="00AE06F8"/>
    <w:rsid w:val="00AE3F2A"/>
    <w:rsid w:val="00AF6E0B"/>
    <w:rsid w:val="00B01ED6"/>
    <w:rsid w:val="00B06D09"/>
    <w:rsid w:val="00B70DF3"/>
    <w:rsid w:val="00B7701C"/>
    <w:rsid w:val="00B771A9"/>
    <w:rsid w:val="00B809BB"/>
    <w:rsid w:val="00B8248A"/>
    <w:rsid w:val="00BA1456"/>
    <w:rsid w:val="00BB7726"/>
    <w:rsid w:val="00BC5F13"/>
    <w:rsid w:val="00BD6322"/>
    <w:rsid w:val="00C05071"/>
    <w:rsid w:val="00C2329E"/>
    <w:rsid w:val="00C30461"/>
    <w:rsid w:val="00C308B5"/>
    <w:rsid w:val="00C754BE"/>
    <w:rsid w:val="00C770A1"/>
    <w:rsid w:val="00C842D4"/>
    <w:rsid w:val="00C87572"/>
    <w:rsid w:val="00C9405D"/>
    <w:rsid w:val="00CC1B26"/>
    <w:rsid w:val="00CD284F"/>
    <w:rsid w:val="00CF23AA"/>
    <w:rsid w:val="00D01921"/>
    <w:rsid w:val="00D06C0C"/>
    <w:rsid w:val="00D752B7"/>
    <w:rsid w:val="00DA1854"/>
    <w:rsid w:val="00DB0887"/>
    <w:rsid w:val="00DF1E43"/>
    <w:rsid w:val="00E20894"/>
    <w:rsid w:val="00E25177"/>
    <w:rsid w:val="00E26B7C"/>
    <w:rsid w:val="00E502CF"/>
    <w:rsid w:val="00E66E97"/>
    <w:rsid w:val="00EA0B7D"/>
    <w:rsid w:val="00EA3003"/>
    <w:rsid w:val="00EA754D"/>
    <w:rsid w:val="00EB3C91"/>
    <w:rsid w:val="00EB66DA"/>
    <w:rsid w:val="00EC2F4A"/>
    <w:rsid w:val="00F04FF6"/>
    <w:rsid w:val="00F05DB5"/>
    <w:rsid w:val="00F605F2"/>
    <w:rsid w:val="00F76AFC"/>
    <w:rsid w:val="00F8319B"/>
    <w:rsid w:val="00F83557"/>
    <w:rsid w:val="00FA2F0A"/>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unhideWhenUsed/>
    <w:rsid w:val="000166C5"/>
    <w:rPr>
      <w:rFonts w:ascii="Times New Roman" w:hAnsi="Times New Roman" w:cs="Times New Roman"/>
      <w:sz w:val="24"/>
      <w:szCs w:val="24"/>
    </w:rPr>
  </w:style>
  <w:style w:type="paragraph" w:styleId="Textoindependiente">
    <w:name w:val="Body Text"/>
    <w:basedOn w:val="Normal"/>
    <w:link w:val="TextoindependienteCar"/>
    <w:uiPriority w:val="99"/>
    <w:semiHidden/>
    <w:unhideWhenUsed/>
    <w:rsid w:val="000166C5"/>
    <w:pPr>
      <w:spacing w:after="120"/>
    </w:pPr>
  </w:style>
  <w:style w:type="character" w:customStyle="1" w:styleId="TextoindependienteCar">
    <w:name w:val="Texto independiente Car"/>
    <w:basedOn w:val="Fuentedeprrafopredeter"/>
    <w:link w:val="Textoindependiente"/>
    <w:uiPriority w:val="99"/>
    <w:semiHidden/>
    <w:rsid w:val="000166C5"/>
  </w:style>
  <w:style w:type="table" w:customStyle="1" w:styleId="Tablaconcuadrcula1">
    <w:name w:val="Tabla con cuadrícula1"/>
    <w:basedOn w:val="Tablanormal"/>
    <w:next w:val="Tablaconcuadrcula"/>
    <w:uiPriority w:val="59"/>
    <w:rsid w:val="000166C5"/>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166C5"/>
    <w:rPr>
      <w:color w:val="0563C1" w:themeColor="hyperlink"/>
      <w:u w:val="single"/>
    </w:rPr>
  </w:style>
  <w:style w:type="paragraph" w:customStyle="1" w:styleId="Appelnotedebasde">
    <w:name w:val="Appel note de bas de..."/>
    <w:basedOn w:val="Normal"/>
    <w:link w:val="Refdenotaalpie"/>
    <w:uiPriority w:val="99"/>
    <w:rsid w:val="000166C5"/>
    <w:pPr>
      <w:spacing w:line="240" w:lineRule="exact"/>
    </w:pPr>
    <w:rPr>
      <w:vertAlign w:val="superscript"/>
    </w:rPr>
  </w:style>
  <w:style w:type="paragraph" w:styleId="Textodeglobo">
    <w:name w:val="Balloon Text"/>
    <w:basedOn w:val="Normal"/>
    <w:link w:val="TextodegloboCar"/>
    <w:uiPriority w:val="99"/>
    <w:semiHidden/>
    <w:unhideWhenUsed/>
    <w:rsid w:val="002C01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0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163429">
      <w:bodyDiv w:val="1"/>
      <w:marLeft w:val="0"/>
      <w:marRight w:val="0"/>
      <w:marTop w:val="0"/>
      <w:marBottom w:val="0"/>
      <w:divBdr>
        <w:top w:val="none" w:sz="0" w:space="0" w:color="auto"/>
        <w:left w:val="none" w:sz="0" w:space="0" w:color="auto"/>
        <w:bottom w:val="none" w:sz="0" w:space="0" w:color="auto"/>
        <w:right w:val="none" w:sz="0" w:space="0" w:color="auto"/>
      </w:divBdr>
    </w:div>
    <w:div w:id="18522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ontent/circular-unica-externa" TargetMode="External"/><Relationship Id="rId1" Type="http://schemas.openxmlformats.org/officeDocument/2006/relationships/hyperlink" Target="https://www.funcionpublica.gov.co/eva/gestornormativo/norma.php?i=256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FBE62819-2F4F-4EF9-A999-7DFF658A87B2}">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178F773-765A-4291-9036-8BE2CF16E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9591</Words>
  <Characters>52753</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María Padrón</cp:lastModifiedBy>
  <cp:revision>4</cp:revision>
  <dcterms:created xsi:type="dcterms:W3CDTF">2022-12-26T19:39:00Z</dcterms:created>
  <dcterms:modified xsi:type="dcterms:W3CDTF">2023-03-02T14:55:00Z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