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B258" w14:textId="77777777" w:rsidR="00096BCE" w:rsidRPr="000F3698" w:rsidRDefault="00096BCE" w:rsidP="00096BCE">
      <w:pPr>
        <w:pStyle w:val="paragraph"/>
        <w:spacing w:after="0"/>
        <w:textAlignment w:val="baseline"/>
        <w:rPr>
          <w:rStyle w:val="normaltextrun"/>
          <w:rFonts w:ascii="Arial" w:hAnsi="Arial" w:cs="Arial"/>
          <w:b/>
          <w:bCs/>
          <w:sz w:val="22"/>
        </w:rPr>
      </w:pPr>
      <w:bookmarkStart w:id="0" w:name="_Hlk96417464"/>
      <w:r w:rsidRPr="000F3698">
        <w:rPr>
          <w:rStyle w:val="normaltextrun"/>
          <w:rFonts w:ascii="Arial" w:hAnsi="Arial" w:cs="Arial"/>
          <w:b/>
          <w:bCs/>
          <w:sz w:val="22"/>
        </w:rPr>
        <w:t xml:space="preserve">CONTRATO ESTATAL DE PRESTACIÓN DE SERVICIOS – Régimen jurídico </w:t>
      </w:r>
    </w:p>
    <w:p w14:paraId="6F58AA23" w14:textId="2294EBBB" w:rsidR="00096BCE" w:rsidRPr="00490B05" w:rsidRDefault="00096BCE" w:rsidP="00490B05">
      <w:pPr>
        <w:pStyle w:val="paragraph"/>
        <w:spacing w:after="0"/>
        <w:jc w:val="both"/>
        <w:textAlignment w:val="baseline"/>
        <w:rPr>
          <w:rStyle w:val="normaltextrun"/>
          <w:rFonts w:ascii="Arial" w:hAnsi="Arial" w:cs="Arial"/>
          <w:sz w:val="20"/>
          <w:szCs w:val="20"/>
          <w:lang w:val="es-MX"/>
        </w:rPr>
      </w:pPr>
      <w:r w:rsidRPr="00130CD5">
        <w:rPr>
          <w:rFonts w:ascii="Arial" w:hAnsi="Arial" w:cs="Arial"/>
          <w:sz w:val="20"/>
          <w:szCs w:val="20"/>
          <w:lang w:val="es-MX"/>
        </w:rPr>
        <w:t xml:space="preserve">El contrato de prestación de servicios es un contrato estatal típico, regulado en el numeral 3 del artículo 32 de la Ley 80 de 1993, definido como el suscrito por las entidades del Estado con el objeto de apoyar y desarrollar actividades propias del funcionamiento y la administración de las entidades estatales. </w:t>
      </w:r>
      <w:r w:rsidRPr="000F3698">
        <w:rPr>
          <w:rFonts w:ascii="Arial" w:hAnsi="Arial" w:cs="Arial"/>
          <w:sz w:val="20"/>
          <w:szCs w:val="20"/>
          <w:lang w:val="es-MX"/>
        </w:rPr>
        <w:t>[…]</w:t>
      </w:r>
      <w:r w:rsidRPr="000F3698">
        <w:rPr>
          <w:rFonts w:ascii="Arial" w:hAnsi="Arial" w:cs="Arial"/>
          <w:i/>
          <w:iCs/>
          <w:sz w:val="20"/>
          <w:szCs w:val="20"/>
          <w:lang w:val="es-ES"/>
        </w:rPr>
        <w:t xml:space="preserve"> </w:t>
      </w:r>
      <w:r w:rsidRPr="00130CD5">
        <w:rPr>
          <w:rFonts w:ascii="Arial" w:hAnsi="Arial" w:cs="Arial"/>
          <w:sz w:val="20"/>
          <w:szCs w:val="20"/>
          <w:lang w:val="es-ES_tradnl"/>
        </w:rPr>
        <w:t>La celebración de dicho contrato debe efectuarse a través de la modalidad de contratación directa</w:t>
      </w:r>
      <w:r w:rsidRPr="000F3698">
        <w:rPr>
          <w:rFonts w:ascii="Arial" w:hAnsi="Arial" w:cs="Arial"/>
          <w:sz w:val="20"/>
          <w:szCs w:val="20"/>
          <w:lang w:val="es-ES_tradnl"/>
        </w:rPr>
        <w:t xml:space="preserve"> según </w:t>
      </w:r>
      <w:r w:rsidRPr="00130CD5">
        <w:rPr>
          <w:rFonts w:ascii="Arial" w:hAnsi="Arial" w:cs="Arial"/>
          <w:sz w:val="20"/>
          <w:szCs w:val="20"/>
          <w:lang w:val="es-ES_tradnl"/>
        </w:rPr>
        <w:t>lo dispone el artículo 2, numeral 4º, literal h), de la Ley 1150 de 2007</w:t>
      </w:r>
      <w:r w:rsidRPr="000F3698">
        <w:rPr>
          <w:rFonts w:ascii="Arial" w:hAnsi="Arial" w:cs="Arial"/>
          <w:sz w:val="20"/>
          <w:szCs w:val="20"/>
          <w:lang w:val="es-ES_tradnl"/>
        </w:rPr>
        <w:t xml:space="preserve"> […]</w:t>
      </w:r>
      <w:r w:rsidRPr="000F3698">
        <w:rPr>
          <w:rFonts w:ascii="Arial" w:hAnsi="Arial" w:cs="Arial"/>
          <w:sz w:val="20"/>
          <w:szCs w:val="20"/>
          <w:lang w:val="es-MX"/>
        </w:rPr>
        <w:t xml:space="preserve"> </w:t>
      </w:r>
      <w:r w:rsidRPr="00130CD5">
        <w:rPr>
          <w:rFonts w:ascii="Arial" w:hAnsi="Arial" w:cs="Arial"/>
          <w:sz w:val="20"/>
          <w:szCs w:val="20"/>
          <w:lang w:val="es-ES_tradnl"/>
        </w:rPr>
        <w:t>En tal sentido, el Decreto 1082 de 2015 en su artículo 2.2.1.2.1.4.9. reglamenta la contratación directa para los contratos de servicios profesionales y de apoyo a la gestión, o para la ejecución de trabajos artísticos que solo puedan encomendarse a determinadas personas naturales</w:t>
      </w:r>
      <w:r w:rsidRPr="000F3698">
        <w:rPr>
          <w:rFonts w:ascii="Arial" w:hAnsi="Arial" w:cs="Arial"/>
          <w:sz w:val="20"/>
          <w:szCs w:val="20"/>
          <w:lang w:val="es-ES_tradnl"/>
        </w:rPr>
        <w:t xml:space="preserve"> […].</w:t>
      </w:r>
    </w:p>
    <w:p w14:paraId="378401AB" w14:textId="77777777" w:rsidR="00096BCE" w:rsidRPr="000F3698" w:rsidRDefault="00096BCE" w:rsidP="00096BCE">
      <w:pPr>
        <w:pStyle w:val="paragraph"/>
        <w:spacing w:after="0"/>
        <w:textAlignment w:val="baseline"/>
        <w:rPr>
          <w:rFonts w:ascii="Arial" w:hAnsi="Arial" w:cs="Arial"/>
          <w:b/>
          <w:bCs/>
          <w:sz w:val="22"/>
        </w:rPr>
      </w:pPr>
      <w:r w:rsidRPr="000F3698">
        <w:rPr>
          <w:rStyle w:val="normaltextrun"/>
          <w:rFonts w:ascii="Arial" w:hAnsi="Arial" w:cs="Arial"/>
          <w:b/>
          <w:bCs/>
          <w:sz w:val="22"/>
        </w:rPr>
        <w:t>CONTRATO ESTATAL DE PRESTACIÓN DE SERVICIOS – Características generales</w:t>
      </w:r>
    </w:p>
    <w:p w14:paraId="5E40DEC0" w14:textId="77777777" w:rsidR="00096BCE" w:rsidRPr="000F3698" w:rsidRDefault="00096BCE" w:rsidP="00096BCE">
      <w:pPr>
        <w:pStyle w:val="paragraph"/>
        <w:spacing w:after="0"/>
        <w:jc w:val="both"/>
        <w:textAlignment w:val="baseline"/>
        <w:rPr>
          <w:rFonts w:ascii="Arial" w:hAnsi="Arial" w:cs="Arial"/>
          <w:sz w:val="20"/>
          <w:szCs w:val="20"/>
          <w:lang w:val="es-ES_tradnl"/>
        </w:rPr>
      </w:pPr>
      <w:r w:rsidRPr="00130CD5">
        <w:rPr>
          <w:rFonts w:ascii="Arial" w:hAnsi="Arial" w:cs="Arial"/>
          <w:sz w:val="20"/>
          <w:szCs w:val="20"/>
          <w:lang w:val="es-ES_tradnl"/>
        </w:rPr>
        <w:t>A partir de las disposiciones citadas, así como de la reciente Sentencia de Unificación de Jurisprudencial del 9 de septiembre de 2021, proferida por el Consejo de Estado, es posible señalar las siguientes características del contrato de prestación de servicios:</w:t>
      </w:r>
      <w:r w:rsidRPr="000F3698">
        <w:rPr>
          <w:rFonts w:ascii="Arial" w:hAnsi="Arial" w:cs="Arial"/>
          <w:sz w:val="20"/>
          <w:szCs w:val="20"/>
          <w:lang w:val="es-ES_tradnl"/>
        </w:rPr>
        <w:t xml:space="preserve"> </w:t>
      </w:r>
    </w:p>
    <w:p w14:paraId="79AE5F96" w14:textId="77777777" w:rsidR="00096BCE" w:rsidRPr="00130CD5" w:rsidRDefault="00096BCE" w:rsidP="00096BCE">
      <w:pPr>
        <w:pStyle w:val="paragraph"/>
        <w:spacing w:after="0"/>
        <w:jc w:val="both"/>
        <w:textAlignment w:val="baseline"/>
        <w:rPr>
          <w:rFonts w:ascii="Arial" w:hAnsi="Arial" w:cs="Arial"/>
          <w:sz w:val="20"/>
          <w:szCs w:val="20"/>
          <w:lang w:val="es-ES_tradnl"/>
        </w:rPr>
      </w:pPr>
      <w:r w:rsidRPr="00130CD5">
        <w:rPr>
          <w:rFonts w:ascii="Arial" w:hAnsi="Arial" w:cs="Arial"/>
          <w:sz w:val="20"/>
          <w:szCs w:val="20"/>
          <w:lang w:val="es-ES_tradnl"/>
        </w:rPr>
        <w:t>i) Solo puede celebrarse para realizar «actividades relacionadas con la administración o funcionamiento de la entidad», es decir, que hagan parte de su giro ordinario o quehacer cotidiano.</w:t>
      </w:r>
      <w:r w:rsidRPr="000F3698">
        <w:rPr>
          <w:rFonts w:ascii="Arial" w:hAnsi="Arial" w:cs="Arial"/>
          <w:sz w:val="20"/>
          <w:szCs w:val="20"/>
          <w:lang w:val="es-ES_tradnl"/>
        </w:rPr>
        <w:t xml:space="preserve"> </w:t>
      </w:r>
      <w:r w:rsidRPr="000F3698">
        <w:rPr>
          <w:rFonts w:ascii="Arial" w:hAnsi="Arial" w:cs="Arial"/>
          <w:sz w:val="20"/>
          <w:szCs w:val="20"/>
          <w:lang w:val="es-ES_tradnl"/>
        </w:rPr>
        <w:br/>
      </w:r>
      <w:proofErr w:type="spellStart"/>
      <w:r w:rsidRPr="00130CD5">
        <w:rPr>
          <w:rFonts w:ascii="Arial" w:hAnsi="Arial" w:cs="Arial"/>
          <w:sz w:val="20"/>
          <w:szCs w:val="20"/>
          <w:lang w:val="es-ES_tradnl"/>
        </w:rPr>
        <w:t>ii</w:t>
      </w:r>
      <w:proofErr w:type="spellEnd"/>
      <w:r w:rsidRPr="00130CD5">
        <w:rPr>
          <w:rFonts w:ascii="Arial" w:hAnsi="Arial" w:cs="Arial"/>
          <w:sz w:val="20"/>
          <w:szCs w:val="20"/>
          <w:lang w:val="es-ES_tradnl"/>
        </w:rPr>
        <w:t>)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w:t>
      </w:r>
      <w:r w:rsidRPr="000F3698">
        <w:rPr>
          <w:rFonts w:ascii="Arial" w:hAnsi="Arial" w:cs="Arial"/>
          <w:sz w:val="20"/>
          <w:szCs w:val="20"/>
          <w:lang w:val="es-ES_tradnl"/>
        </w:rPr>
        <w:t xml:space="preserve"> </w:t>
      </w:r>
      <w:r w:rsidRPr="00130CD5">
        <w:rPr>
          <w:rFonts w:ascii="Arial" w:hAnsi="Arial" w:cs="Arial"/>
          <w:sz w:val="20"/>
          <w:szCs w:val="20"/>
          <w:lang w:val="es-ES_tradnl"/>
        </w:rPr>
        <w:t xml:space="preserve">Sobre este último punto resulta importante resaltar que el </w:t>
      </w:r>
      <w:r w:rsidRPr="00130CD5">
        <w:rPr>
          <w:rFonts w:ascii="Arial" w:hAnsi="Arial" w:cs="Arial"/>
          <w:sz w:val="20"/>
          <w:szCs w:val="20"/>
          <w:lang w:val="es-MX"/>
        </w:rPr>
        <w:t xml:space="preserve">Consejo de Estado ha reconocido como una de las características del contrato de prestación de servicios, la posibilidad de ser celebrado con personas naturales o con personas jurídicas, siempre que se cuente con capacidad para contratar en los términos del artículo 2, numeral 1º, de la Ley 80 de 1993. Con las personas jurídicas, por disposición del artículo 24, numeral 1º, literal d de la Ley 80 de 1993, así como del artículo 2, numeral 4º, literal h, de la Ley 1150 de 2007 y del artículo 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Sin embargo, esta disposición no exime a la entidad contratante del deber de certificar la insuficiencia de su planta de personal, de manera que, en todo caso se podrá celebrar contrato de prestación de servicios para desarrollar actividades relacionadas con la administración o el funcionamiento de la entidad, siempre que estas no puedan realizarse con personal de planta o requieran conocimientos especializados. </w:t>
      </w:r>
      <w:r w:rsidRPr="00130CD5">
        <w:rPr>
          <w:rFonts w:ascii="Arial" w:hAnsi="Arial" w:cs="Arial"/>
          <w:sz w:val="20"/>
          <w:szCs w:val="20"/>
          <w:lang w:val="es-ES_tradnl"/>
        </w:rPr>
        <w:t xml:space="preserve"> </w:t>
      </w:r>
      <w:r w:rsidRPr="000F3698">
        <w:rPr>
          <w:rFonts w:ascii="Arial" w:hAnsi="Arial" w:cs="Arial"/>
          <w:sz w:val="20"/>
          <w:szCs w:val="20"/>
          <w:lang w:val="es-ES_tradnl"/>
        </w:rPr>
        <w:tab/>
      </w:r>
      <w:r w:rsidRPr="000F3698">
        <w:rPr>
          <w:rFonts w:ascii="Arial" w:hAnsi="Arial" w:cs="Arial"/>
          <w:sz w:val="20"/>
          <w:szCs w:val="20"/>
          <w:lang w:val="es-ES_tradnl"/>
        </w:rPr>
        <w:br/>
      </w:r>
      <w:proofErr w:type="spellStart"/>
      <w:r w:rsidRPr="00130CD5">
        <w:rPr>
          <w:rFonts w:ascii="Arial" w:hAnsi="Arial" w:cs="Arial"/>
          <w:sz w:val="20"/>
          <w:szCs w:val="20"/>
          <w:lang w:val="es-ES_tradnl"/>
        </w:rPr>
        <w:t>iii</w:t>
      </w:r>
      <w:proofErr w:type="spellEnd"/>
      <w:r w:rsidRPr="00130CD5">
        <w:rPr>
          <w:rFonts w:ascii="Arial" w:hAnsi="Arial" w:cs="Arial"/>
          <w:sz w:val="20"/>
          <w:szCs w:val="20"/>
          <w:lang w:val="es-ES_tradnl"/>
        </w:rPr>
        <w:t xml:space="preserve">)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130CD5">
        <w:rPr>
          <w:rFonts w:ascii="Arial" w:hAnsi="Arial" w:cs="Arial"/>
          <w:i/>
          <w:sz w:val="20"/>
          <w:szCs w:val="20"/>
          <w:lang w:val="es-ES_tradnl"/>
        </w:rPr>
        <w:t xml:space="preserve">subordinación </w:t>
      </w:r>
      <w:r w:rsidRPr="00130CD5">
        <w:rPr>
          <w:rFonts w:ascii="Arial" w:hAnsi="Arial" w:cs="Arial"/>
          <w:iCs/>
          <w:sz w:val="20"/>
          <w:szCs w:val="20"/>
          <w:lang w:val="es-ES_tradnl"/>
        </w:rPr>
        <w:t>ni</w:t>
      </w:r>
      <w:r w:rsidRPr="00130CD5">
        <w:rPr>
          <w:rFonts w:ascii="Arial" w:hAnsi="Arial" w:cs="Arial"/>
          <w:i/>
          <w:sz w:val="20"/>
          <w:szCs w:val="20"/>
          <w:lang w:val="es-ES_tradnl"/>
        </w:rPr>
        <w:t xml:space="preserve"> dependencia</w:t>
      </w:r>
      <w:r w:rsidRPr="00130CD5">
        <w:rPr>
          <w:rFonts w:ascii="Arial" w:hAnsi="Arial" w:cs="Arial"/>
          <w:iCs/>
          <w:sz w:val="20"/>
          <w:szCs w:val="20"/>
          <w:lang w:val="es-ES_tradnl"/>
        </w:rPr>
        <w:t>,</w:t>
      </w:r>
      <w:r w:rsidRPr="00130CD5">
        <w:rPr>
          <w:rFonts w:ascii="Arial" w:hAnsi="Arial" w:cs="Arial"/>
          <w:sz w:val="20"/>
          <w:szCs w:val="20"/>
          <w:lang w:val="es-ES_tradnl"/>
        </w:rPr>
        <w:t xml:space="preserve"> que es uno de los elementos constitutivos del vínculo laboral. Por eso, el artículo 32, numeral 3º, de la Ley 80 de 1993 establece que «En ningún caso estos contratos generan relación laboral ni prestaciones sociales». La Corte Constitucional declaró la </w:t>
      </w:r>
      <w:proofErr w:type="spellStart"/>
      <w:r w:rsidRPr="00130CD5">
        <w:rPr>
          <w:rFonts w:ascii="Arial" w:hAnsi="Arial" w:cs="Arial"/>
          <w:sz w:val="20"/>
          <w:szCs w:val="20"/>
          <w:lang w:val="es-ES_tradnl"/>
        </w:rPr>
        <w:t>exequibilidad</w:t>
      </w:r>
      <w:proofErr w:type="spellEnd"/>
      <w:r w:rsidRPr="00130CD5">
        <w:rPr>
          <w:rFonts w:ascii="Arial" w:hAnsi="Arial" w:cs="Arial"/>
          <w:sz w:val="20"/>
          <w:szCs w:val="20"/>
          <w:lang w:val="es-ES_tradnl"/>
        </w:rPr>
        <w:t xml:space="preserve"> condicionada de este inciso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0F3698">
        <w:rPr>
          <w:rFonts w:ascii="Arial" w:hAnsi="Arial" w:cs="Arial"/>
          <w:sz w:val="20"/>
          <w:szCs w:val="20"/>
          <w:lang w:val="es-ES_tradnl"/>
        </w:rPr>
        <w:br/>
      </w:r>
      <w:proofErr w:type="spellStart"/>
      <w:r w:rsidRPr="00130CD5">
        <w:rPr>
          <w:rFonts w:ascii="Arial" w:hAnsi="Arial" w:cs="Arial"/>
          <w:sz w:val="20"/>
          <w:szCs w:val="20"/>
          <w:lang w:val="es-ES_tradnl"/>
        </w:rPr>
        <w:t>iv</w:t>
      </w:r>
      <w:proofErr w:type="spellEnd"/>
      <w:r w:rsidRPr="00130CD5">
        <w:rPr>
          <w:rFonts w:ascii="Arial" w:hAnsi="Arial" w:cs="Arial"/>
          <w:sz w:val="20"/>
          <w:szCs w:val="20"/>
          <w:lang w:val="es-ES_tradnl"/>
        </w:rPr>
        <w:t xml:space="preserve">) Deben ser temporales. La sentencia de </w:t>
      </w:r>
      <w:proofErr w:type="spellStart"/>
      <w:r w:rsidRPr="00130CD5">
        <w:rPr>
          <w:rFonts w:ascii="Arial" w:hAnsi="Arial" w:cs="Arial"/>
          <w:sz w:val="20"/>
          <w:szCs w:val="20"/>
          <w:lang w:val="es-ES_tradnl"/>
        </w:rPr>
        <w:t>unificacion</w:t>
      </w:r>
      <w:proofErr w:type="spellEnd"/>
      <w:r w:rsidRPr="00130CD5">
        <w:rPr>
          <w:rFonts w:ascii="Arial" w:hAnsi="Arial" w:cs="Arial"/>
          <w:sz w:val="20"/>
          <w:szCs w:val="20"/>
          <w:lang w:val="es-ES_tradnl"/>
        </w:rPr>
        <w:t xml:space="preserve"> jurisprudencial del Consejo de Estado mencionada, frente a la duración del contrato de prestación de servicios señaló que solo puede celebrarse por término definido, lo cual es «estrictamente indispensable». En ese entendido, unificó </w:t>
      </w:r>
      <w:r w:rsidRPr="00130CD5">
        <w:rPr>
          <w:rFonts w:ascii="Arial" w:hAnsi="Arial" w:cs="Arial"/>
          <w:sz w:val="20"/>
          <w:szCs w:val="20"/>
          <w:lang w:val="es-ES_tradnl"/>
        </w:rPr>
        <w:lastRenderedPageBreak/>
        <w:t>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Pr="000F3698">
        <w:rPr>
          <w:rFonts w:ascii="Arial" w:hAnsi="Arial" w:cs="Arial"/>
          <w:sz w:val="20"/>
          <w:szCs w:val="20"/>
          <w:lang w:val="es-ES_tradnl"/>
        </w:rPr>
        <w:t xml:space="preserve"> </w:t>
      </w:r>
      <w:r w:rsidRPr="00130CD5">
        <w:rPr>
          <w:rFonts w:ascii="Arial" w:hAnsi="Arial" w:cs="Arial"/>
          <w:sz w:val="20"/>
          <w:szCs w:val="20"/>
          <w:lang w:val="es-MX"/>
        </w:rPr>
        <w:t xml:space="preserve">De igual manera, señaló que «no cabe su empleo para la cobertura indefinida de necesidades permanentes o recurrentes». </w:t>
      </w:r>
      <w:r w:rsidRPr="00130CD5">
        <w:rPr>
          <w:rFonts w:ascii="Arial" w:hAnsi="Arial" w:cs="Arial"/>
          <w:sz w:val="20"/>
          <w:szCs w:val="20"/>
          <w:lang w:val="es-ES_tradnl"/>
        </w:rPr>
        <w:t xml:space="preserve">En idéntico sentido se </w:t>
      </w:r>
      <w:proofErr w:type="spellStart"/>
      <w:r w:rsidRPr="00130CD5">
        <w:rPr>
          <w:rFonts w:ascii="Arial" w:hAnsi="Arial" w:cs="Arial"/>
          <w:sz w:val="20"/>
          <w:szCs w:val="20"/>
          <w:lang w:val="es-ES_tradnl"/>
        </w:rPr>
        <w:t>pronunió</w:t>
      </w:r>
      <w:proofErr w:type="spellEnd"/>
      <w:r w:rsidRPr="00130CD5">
        <w:rPr>
          <w:rFonts w:ascii="Arial" w:hAnsi="Arial" w:cs="Arial"/>
          <w:sz w:val="20"/>
          <w:szCs w:val="20"/>
          <w:lang w:val="es-ES_tradnl"/>
        </w:rPr>
        <w:t xml:space="preserve"> la Corte Constitucional en la sentencia C-154 de 1997, </w:t>
      </w:r>
      <w:proofErr w:type="spellStart"/>
      <w:r w:rsidRPr="00130CD5">
        <w:rPr>
          <w:rFonts w:ascii="Arial" w:hAnsi="Arial" w:cs="Arial"/>
          <w:sz w:val="20"/>
          <w:szCs w:val="20"/>
          <w:lang w:val="es-ES_tradnl"/>
        </w:rPr>
        <w:t>añandiendo</w:t>
      </w:r>
      <w:proofErr w:type="spellEnd"/>
      <w:r w:rsidRPr="00130CD5">
        <w:rPr>
          <w:rFonts w:ascii="Arial" w:hAnsi="Arial" w:cs="Arial"/>
          <w:sz w:val="20"/>
          <w:szCs w:val="20"/>
          <w:lang w:val="es-ES_tradnl"/>
        </w:rPr>
        <w:t xml:space="preserve"> que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0F3698">
        <w:rPr>
          <w:rFonts w:ascii="Arial" w:hAnsi="Arial" w:cs="Arial"/>
          <w:sz w:val="20"/>
          <w:szCs w:val="20"/>
          <w:lang w:val="es-ES_tradnl"/>
        </w:rPr>
        <w:br/>
      </w:r>
      <w:r w:rsidRPr="00130CD5">
        <w:rPr>
          <w:rFonts w:ascii="Arial" w:hAnsi="Arial" w:cs="Arial"/>
          <w:sz w:val="20"/>
          <w:szCs w:val="20"/>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 Esto también se deriva del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r w:rsidRPr="000F3698">
        <w:rPr>
          <w:rFonts w:ascii="Arial" w:hAnsi="Arial" w:cs="Arial"/>
          <w:sz w:val="20"/>
          <w:szCs w:val="20"/>
          <w:lang w:val="es-ES_tradnl"/>
        </w:rPr>
        <w:br/>
      </w:r>
      <w:r w:rsidRPr="00130CD5">
        <w:rPr>
          <w:rFonts w:ascii="Arial" w:hAnsi="Arial" w:cs="Arial"/>
          <w:sz w:val="20"/>
          <w:szCs w:val="20"/>
          <w:lang w:val="es-ES_tradnl"/>
        </w:rPr>
        <w:t>vi) Para su celebración no se requiere expedir un acto administrativo de justificación de la contratación directa.</w:t>
      </w:r>
      <w:r w:rsidRPr="000F3698">
        <w:rPr>
          <w:rFonts w:ascii="Arial" w:hAnsi="Arial" w:cs="Arial"/>
          <w:sz w:val="20"/>
          <w:szCs w:val="20"/>
          <w:lang w:val="es-ES_tradnl"/>
        </w:rPr>
        <w:tab/>
      </w:r>
      <w:r w:rsidRPr="000F3698">
        <w:rPr>
          <w:rFonts w:ascii="Arial" w:hAnsi="Arial" w:cs="Arial"/>
          <w:sz w:val="20"/>
          <w:szCs w:val="20"/>
          <w:lang w:val="es-ES_tradnl"/>
        </w:rPr>
        <w:br/>
      </w:r>
      <w:proofErr w:type="spellStart"/>
      <w:r w:rsidRPr="00130CD5">
        <w:rPr>
          <w:rFonts w:ascii="Arial" w:hAnsi="Arial" w:cs="Arial"/>
          <w:sz w:val="20"/>
          <w:szCs w:val="20"/>
          <w:lang w:val="es-ES_tradnl"/>
        </w:rPr>
        <w:t>vii</w:t>
      </w:r>
      <w:proofErr w:type="spellEnd"/>
      <w:r w:rsidRPr="00130CD5">
        <w:rPr>
          <w:rFonts w:ascii="Arial" w:hAnsi="Arial" w:cs="Arial"/>
          <w:sz w:val="20"/>
          <w:szCs w:val="20"/>
          <w:lang w:val="es-ES_tradnl"/>
        </w:rPr>
        <w:t>)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0F3698">
        <w:rPr>
          <w:rFonts w:ascii="Arial" w:hAnsi="Arial" w:cs="Arial"/>
          <w:sz w:val="20"/>
          <w:szCs w:val="20"/>
          <w:lang w:val="es-ES_tradnl"/>
        </w:rPr>
        <w:tab/>
      </w:r>
      <w:r w:rsidRPr="000F3698">
        <w:rPr>
          <w:rFonts w:ascii="Arial" w:hAnsi="Arial" w:cs="Arial"/>
          <w:sz w:val="20"/>
          <w:szCs w:val="20"/>
          <w:lang w:val="es-ES_tradnl"/>
        </w:rPr>
        <w:br/>
      </w:r>
      <w:proofErr w:type="spellStart"/>
      <w:r w:rsidRPr="00130CD5">
        <w:rPr>
          <w:rFonts w:ascii="Arial" w:hAnsi="Arial" w:cs="Arial"/>
          <w:sz w:val="20"/>
          <w:szCs w:val="20"/>
          <w:lang w:val="es-ES_tradnl"/>
        </w:rPr>
        <w:t>viii</w:t>
      </w:r>
      <w:proofErr w:type="spellEnd"/>
      <w:r w:rsidRPr="00130CD5">
        <w:rPr>
          <w:rFonts w:ascii="Arial" w:hAnsi="Arial" w:cs="Arial"/>
          <w:sz w:val="20"/>
          <w:szCs w:val="20"/>
          <w:lang w:val="es-ES_tradnl"/>
        </w:rPr>
        <w:t>) No es obligatoria la liquidación de estos contratos, como lo establece el artículo 217 del Decreto 019 de 2012, que modificó el artículo 60 de la Ley 80 de 1993.</w:t>
      </w:r>
      <w:r w:rsidRPr="000F3698">
        <w:rPr>
          <w:rFonts w:ascii="Arial" w:hAnsi="Arial" w:cs="Arial"/>
          <w:sz w:val="20"/>
          <w:szCs w:val="20"/>
          <w:lang w:val="es-ES_tradnl"/>
        </w:rPr>
        <w:tab/>
      </w:r>
      <w:r w:rsidRPr="000F3698">
        <w:rPr>
          <w:rFonts w:ascii="Arial" w:hAnsi="Arial" w:cs="Arial"/>
          <w:sz w:val="20"/>
          <w:szCs w:val="20"/>
          <w:lang w:val="es-ES_tradnl"/>
        </w:rPr>
        <w:br/>
      </w:r>
      <w:proofErr w:type="spellStart"/>
      <w:r w:rsidRPr="00130CD5">
        <w:rPr>
          <w:rFonts w:ascii="Arial" w:hAnsi="Arial" w:cs="Arial"/>
          <w:sz w:val="20"/>
          <w:szCs w:val="20"/>
          <w:lang w:val="es-ES_tradnl"/>
        </w:rPr>
        <w:t>ix</w:t>
      </w:r>
      <w:proofErr w:type="spellEnd"/>
      <w:r w:rsidRPr="00130CD5">
        <w:rPr>
          <w:rFonts w:ascii="Arial" w:hAnsi="Arial" w:cs="Arial"/>
          <w:sz w:val="20"/>
          <w:szCs w:val="20"/>
          <w:lang w:val="es-ES_tradnl"/>
        </w:rPr>
        <w:t>) Para su celebración el contratista no requiere estar inscrito en el Registro Único de Proponentes –RUP–, como lo señala el artículo 6 de la Ley 1150 de 2007.</w:t>
      </w:r>
      <w:r w:rsidRPr="000F3698">
        <w:rPr>
          <w:rFonts w:ascii="Arial" w:hAnsi="Arial" w:cs="Arial"/>
          <w:sz w:val="20"/>
          <w:szCs w:val="20"/>
          <w:lang w:val="es-ES_tradnl"/>
        </w:rPr>
        <w:tab/>
      </w:r>
      <w:r w:rsidRPr="000F3698">
        <w:rPr>
          <w:rFonts w:ascii="Arial" w:hAnsi="Arial" w:cs="Arial"/>
          <w:sz w:val="20"/>
          <w:szCs w:val="20"/>
          <w:lang w:val="es-ES_tradnl"/>
        </w:rPr>
        <w:br/>
      </w:r>
      <w:r w:rsidRPr="00130CD5">
        <w:rPr>
          <w:rFonts w:ascii="Arial" w:hAnsi="Arial" w:cs="Arial"/>
          <w:sz w:val="20"/>
          <w:szCs w:val="20"/>
          <w:lang w:val="es-ES_tradnl"/>
        </w:rPr>
        <w:t xml:space="preserve">x) No es </w:t>
      </w:r>
      <w:proofErr w:type="spellStart"/>
      <w:r w:rsidRPr="00130CD5">
        <w:rPr>
          <w:rFonts w:ascii="Arial" w:hAnsi="Arial" w:cs="Arial"/>
          <w:sz w:val="20"/>
          <w:szCs w:val="20"/>
          <w:lang w:val="es-ES_tradnl"/>
        </w:rPr>
        <w:t>obligtoria</w:t>
      </w:r>
      <w:proofErr w:type="spellEnd"/>
      <w:r w:rsidRPr="00130CD5">
        <w:rPr>
          <w:rFonts w:ascii="Arial" w:hAnsi="Arial" w:cs="Arial"/>
          <w:sz w:val="20"/>
          <w:szCs w:val="20"/>
          <w:lang w:val="es-ES_tradnl"/>
        </w:rPr>
        <w:t xml:space="preserve"> la exigencia de garantías</w:t>
      </w:r>
      <w:r w:rsidRPr="000F3698">
        <w:rPr>
          <w:rFonts w:ascii="Arial" w:hAnsi="Arial" w:cs="Arial"/>
          <w:sz w:val="20"/>
          <w:szCs w:val="20"/>
          <w:lang w:val="es-ES_tradnl"/>
        </w:rPr>
        <w:t>.</w:t>
      </w:r>
      <w:r w:rsidRPr="000F3698">
        <w:rPr>
          <w:rFonts w:ascii="Arial" w:hAnsi="Arial" w:cs="Arial"/>
          <w:sz w:val="20"/>
          <w:szCs w:val="20"/>
          <w:lang w:val="es-ES_tradnl"/>
        </w:rPr>
        <w:tab/>
      </w:r>
      <w:r w:rsidRPr="000F3698">
        <w:rPr>
          <w:rFonts w:ascii="Arial" w:hAnsi="Arial" w:cs="Arial"/>
          <w:sz w:val="20"/>
          <w:szCs w:val="20"/>
          <w:lang w:val="es-ES_tradnl"/>
        </w:rPr>
        <w:br/>
      </w:r>
      <w:r w:rsidRPr="00130CD5">
        <w:rPr>
          <w:rFonts w:ascii="Arial" w:hAnsi="Arial" w:cs="Arial"/>
          <w:sz w:val="20"/>
          <w:szCs w:val="20"/>
          <w:lang w:val="es-ES_tradnl"/>
        </w:rPr>
        <w:t>xi) Como los demás contratos estatales, se trata de un contrato solemne que debe constar por escrito y debe ser publicado en el SECOP.</w:t>
      </w:r>
      <w:r w:rsidRPr="000F3698">
        <w:rPr>
          <w:rFonts w:ascii="Arial" w:hAnsi="Arial" w:cs="Arial"/>
          <w:sz w:val="20"/>
          <w:szCs w:val="20"/>
          <w:lang w:val="es-ES_tradnl"/>
        </w:rPr>
        <w:tab/>
      </w:r>
      <w:r w:rsidRPr="000F3698">
        <w:rPr>
          <w:rFonts w:ascii="Arial" w:hAnsi="Arial" w:cs="Arial"/>
          <w:sz w:val="20"/>
          <w:szCs w:val="20"/>
          <w:lang w:val="es-ES_tradnl"/>
        </w:rPr>
        <w:br/>
      </w:r>
      <w:proofErr w:type="spellStart"/>
      <w:r w:rsidRPr="00130CD5">
        <w:rPr>
          <w:rFonts w:ascii="Arial" w:hAnsi="Arial" w:cs="Arial"/>
          <w:sz w:val="20"/>
          <w:szCs w:val="20"/>
          <w:lang w:val="es-ES"/>
        </w:rPr>
        <w:t>xii</w:t>
      </w:r>
      <w:proofErr w:type="spellEnd"/>
      <w:r w:rsidRPr="00130CD5">
        <w:rPr>
          <w:rFonts w:ascii="Arial" w:hAnsi="Arial" w:cs="Arial"/>
          <w:sz w:val="20"/>
          <w:szCs w:val="20"/>
          <w:lang w:val="es-ES"/>
        </w:rPr>
        <w:t>) C</w:t>
      </w:r>
      <w:r w:rsidRPr="00130CD5">
        <w:rPr>
          <w:rFonts w:ascii="Arial" w:hAnsi="Arial" w:cs="Arial"/>
          <w:sz w:val="20"/>
          <w:szCs w:val="20"/>
          <w:lang w:val="es-MX"/>
        </w:rPr>
        <w:t xml:space="preserve">omo especies del género </w:t>
      </w:r>
      <w:r w:rsidRPr="00130CD5">
        <w:rPr>
          <w:rFonts w:ascii="Arial" w:hAnsi="Arial" w:cs="Arial"/>
          <w:i/>
          <w:sz w:val="20"/>
          <w:szCs w:val="20"/>
          <w:lang w:val="es-MX"/>
        </w:rPr>
        <w:t>prestación de servicios,</w:t>
      </w:r>
      <w:r w:rsidRPr="00130CD5">
        <w:rPr>
          <w:rFonts w:ascii="Arial" w:hAnsi="Arial" w:cs="Arial"/>
          <w:sz w:val="20"/>
          <w:szCs w:val="20"/>
          <w:lang w:val="es-MX"/>
        </w:rPr>
        <w:t xml:space="preserve"> se incluyen </w:t>
      </w:r>
      <w:r w:rsidRPr="00130CD5">
        <w:rPr>
          <w:rFonts w:ascii="Arial" w:hAnsi="Arial" w:cs="Arial"/>
          <w:sz w:val="20"/>
          <w:szCs w:val="20"/>
          <w:lang w:val="es-ES_tradnl"/>
        </w:rPr>
        <w:t xml:space="preserve">los </w:t>
      </w:r>
      <w:r w:rsidRPr="00130CD5">
        <w:rPr>
          <w:rFonts w:ascii="Arial" w:hAnsi="Arial" w:cs="Arial"/>
          <w:i/>
          <w:iCs/>
          <w:sz w:val="20"/>
          <w:szCs w:val="20"/>
          <w:lang w:val="es-ES_tradnl"/>
        </w:rPr>
        <w:t>contratos de prestación de servicios profesionales, los contratos de prestación de servicios de apoyo a la gestión</w:t>
      </w:r>
      <w:r w:rsidRPr="00130CD5">
        <w:rPr>
          <w:rFonts w:ascii="Arial" w:hAnsi="Arial" w:cs="Arial"/>
          <w:sz w:val="20"/>
          <w:szCs w:val="20"/>
          <w:lang w:val="es-ES_tradnl"/>
        </w:rPr>
        <w:t xml:space="preserve"> y los </w:t>
      </w:r>
      <w:r w:rsidRPr="00130CD5">
        <w:rPr>
          <w:rFonts w:ascii="Arial" w:hAnsi="Arial" w:cs="Arial"/>
          <w:i/>
          <w:iCs/>
          <w:sz w:val="20"/>
          <w:szCs w:val="20"/>
          <w:lang w:val="es-ES_tradnl"/>
        </w:rPr>
        <w:t>contratos de prestación de servicios artísticos que solo pueden encomendarse a determinadas personas naturales</w:t>
      </w:r>
      <w:r w:rsidRPr="00130CD5">
        <w:rPr>
          <w:rFonts w:ascii="Arial" w:hAnsi="Arial" w:cs="Arial"/>
          <w:sz w:val="20"/>
          <w:szCs w:val="20"/>
          <w:lang w:val="es-MX"/>
        </w:rPr>
        <w:t xml:space="preserve">. </w:t>
      </w:r>
    </w:p>
    <w:p w14:paraId="3195F6A7" w14:textId="77777777" w:rsidR="00096BCE" w:rsidRPr="000F3698" w:rsidRDefault="00096BCE" w:rsidP="00096BCE">
      <w:pPr>
        <w:pStyle w:val="paragraph"/>
        <w:spacing w:before="0" w:beforeAutospacing="0" w:after="0" w:afterAutospacing="0"/>
        <w:jc w:val="both"/>
        <w:textAlignment w:val="baseline"/>
        <w:rPr>
          <w:rStyle w:val="normaltextrun"/>
          <w:rFonts w:ascii="Arial" w:hAnsi="Arial" w:cs="Arial"/>
          <w:b/>
          <w:bCs/>
          <w:sz w:val="22"/>
        </w:rPr>
      </w:pPr>
      <w:r w:rsidRPr="000F3698">
        <w:rPr>
          <w:rStyle w:val="normaltextrun"/>
          <w:rFonts w:ascii="Arial" w:hAnsi="Arial" w:cs="Arial"/>
          <w:b/>
          <w:bCs/>
          <w:sz w:val="22"/>
        </w:rPr>
        <w:t>CONTRATO ESTATAL DE PRESTACIÓN DE SERVICIOS – Tipologías</w:t>
      </w:r>
    </w:p>
    <w:p w14:paraId="61243391" w14:textId="77777777" w:rsidR="00096BCE" w:rsidRPr="000F3698" w:rsidRDefault="00096BCE" w:rsidP="00096BCE">
      <w:pPr>
        <w:pStyle w:val="paragraph"/>
        <w:spacing w:before="0" w:after="0"/>
        <w:jc w:val="both"/>
        <w:textAlignment w:val="baseline"/>
        <w:rPr>
          <w:rFonts w:ascii="Arial" w:hAnsi="Arial" w:cs="Arial"/>
          <w:sz w:val="20"/>
          <w:szCs w:val="20"/>
          <w:lang w:val="es-MX"/>
        </w:rPr>
      </w:pPr>
      <w:r w:rsidRPr="008C7048">
        <w:rPr>
          <w:rFonts w:ascii="Arial" w:hAnsi="Arial" w:cs="Arial"/>
          <w:sz w:val="20"/>
          <w:szCs w:val="20"/>
          <w:lang w:val="es-ES_tradnl"/>
        </w:rPr>
        <w:t xml:space="preserve">La diferencia entre el contrato de prestación de servicios </w:t>
      </w:r>
      <w:r w:rsidRPr="008C7048">
        <w:rPr>
          <w:rFonts w:ascii="Arial" w:hAnsi="Arial" w:cs="Arial"/>
          <w:i/>
          <w:sz w:val="20"/>
          <w:szCs w:val="20"/>
          <w:lang w:val="es-ES_tradnl"/>
        </w:rPr>
        <w:t>profesionales</w:t>
      </w:r>
      <w:r w:rsidRPr="008C7048">
        <w:rPr>
          <w:rFonts w:ascii="Arial" w:hAnsi="Arial" w:cs="Arial"/>
          <w:sz w:val="20"/>
          <w:szCs w:val="20"/>
          <w:lang w:val="es-ES_tradnl"/>
        </w:rPr>
        <w:t xml:space="preserve"> con las otras dos especies del género en el cual se </w:t>
      </w:r>
      <w:proofErr w:type="gramStart"/>
      <w:r w:rsidRPr="008C7048">
        <w:rPr>
          <w:rFonts w:ascii="Arial" w:hAnsi="Arial" w:cs="Arial"/>
          <w:sz w:val="20"/>
          <w:szCs w:val="20"/>
          <w:lang w:val="es-ES_tradnl"/>
        </w:rPr>
        <w:t>ubican,</w:t>
      </w:r>
      <w:proofErr w:type="gramEnd"/>
      <w:r w:rsidRPr="008C7048">
        <w:rPr>
          <w:rFonts w:ascii="Arial" w:hAnsi="Arial" w:cs="Arial"/>
          <w:sz w:val="20"/>
          <w:szCs w:val="20"/>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r w:rsidRPr="000F3698">
        <w:rPr>
          <w:rFonts w:ascii="Arial" w:hAnsi="Arial" w:cs="Arial"/>
          <w:sz w:val="20"/>
          <w:szCs w:val="20"/>
          <w:lang w:val="es-MX"/>
        </w:rPr>
        <w:t xml:space="preserve"> </w:t>
      </w:r>
      <w:r w:rsidRPr="00130CD5">
        <w:rPr>
          <w:rFonts w:ascii="Arial" w:hAnsi="Arial" w:cs="Arial"/>
          <w:sz w:val="20"/>
          <w:szCs w:val="20"/>
          <w:lang w:val="es-ES_tradnl"/>
        </w:rPr>
        <w:t>«</w:t>
      </w:r>
      <w:r w:rsidRPr="008C7048">
        <w:rPr>
          <w:rFonts w:ascii="Arial" w:hAnsi="Arial" w:cs="Arial"/>
          <w:sz w:val="20"/>
          <w:szCs w:val="20"/>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w:t>
      </w:r>
      <w:r w:rsidRPr="008C7048">
        <w:rPr>
          <w:rFonts w:ascii="Arial" w:hAnsi="Arial" w:cs="Arial"/>
          <w:sz w:val="20"/>
          <w:szCs w:val="20"/>
          <w:lang w:val="es-ES_tradnl"/>
        </w:rPr>
        <w:lastRenderedPageBreak/>
        <w:t>cuando dichos objetos estén encomendados a personas consideradas legalmente como profesionales. Se caracteriza por demandar un conocimiento intelectivo cualificado: el saber profesional.</w:t>
      </w:r>
      <w:r w:rsidRPr="00130CD5">
        <w:rPr>
          <w:rFonts w:ascii="Arial" w:hAnsi="Arial" w:cs="Arial"/>
          <w:sz w:val="20"/>
          <w:szCs w:val="20"/>
          <w:lang w:val="es-ES_tradnl"/>
        </w:rPr>
        <w:t>»</w:t>
      </w:r>
    </w:p>
    <w:p w14:paraId="44DB25C8" w14:textId="77777777" w:rsidR="00096BCE" w:rsidRPr="008C7048" w:rsidRDefault="00096BCE" w:rsidP="00096BCE">
      <w:pPr>
        <w:pStyle w:val="paragraph"/>
        <w:spacing w:after="0"/>
        <w:jc w:val="both"/>
        <w:textAlignment w:val="baseline"/>
        <w:rPr>
          <w:rFonts w:ascii="Arial" w:hAnsi="Arial" w:cs="Arial"/>
          <w:sz w:val="20"/>
          <w:szCs w:val="20"/>
          <w:lang w:val="es-ES_tradnl"/>
        </w:rPr>
      </w:pPr>
      <w:r w:rsidRPr="008C7048">
        <w:rPr>
          <w:rFonts w:ascii="Arial" w:hAnsi="Arial" w:cs="Arial"/>
          <w:sz w:val="20"/>
          <w:szCs w:val="20"/>
          <w:lang w:val="es-ES_tradnl"/>
        </w:rPr>
        <w:t xml:space="preserve">Lo expuesto, según la jurisprudencia citada, se diferencia del objeto del </w:t>
      </w:r>
      <w:r w:rsidRPr="008C7048">
        <w:rPr>
          <w:rFonts w:ascii="Arial" w:hAnsi="Arial" w:cs="Arial"/>
          <w:i/>
          <w:iCs/>
          <w:sz w:val="20"/>
          <w:szCs w:val="20"/>
          <w:lang w:val="es-ES_tradnl"/>
        </w:rPr>
        <w:t>contrato de prestación de servicios de apoyo a la gestión</w:t>
      </w:r>
      <w:r w:rsidRPr="008C7048">
        <w:rPr>
          <w:rFonts w:ascii="Arial" w:hAnsi="Arial" w:cs="Arial"/>
          <w:sz w:val="20"/>
          <w:szCs w:val="20"/>
          <w:lang w:val="es-ES_tradnl"/>
        </w:rPr>
        <w:t>, en los siguientes aspectos:</w:t>
      </w:r>
      <w:r w:rsidRPr="000F3698">
        <w:rPr>
          <w:rFonts w:ascii="Arial" w:hAnsi="Arial" w:cs="Arial"/>
          <w:sz w:val="20"/>
          <w:szCs w:val="20"/>
          <w:lang w:val="es-ES_tradnl"/>
        </w:rPr>
        <w:t xml:space="preserve"> </w:t>
      </w:r>
      <w:r w:rsidRPr="00130CD5">
        <w:rPr>
          <w:rFonts w:ascii="Arial" w:hAnsi="Arial" w:cs="Arial"/>
          <w:sz w:val="20"/>
          <w:szCs w:val="20"/>
          <w:lang w:val="es-ES_tradnl"/>
        </w:rPr>
        <w:t>«</w:t>
      </w:r>
      <w:r w:rsidRPr="008C7048">
        <w:rPr>
          <w:rFonts w:ascii="Arial" w:hAnsi="Arial" w:cs="Arial"/>
          <w:sz w:val="20"/>
          <w:szCs w:val="20"/>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r w:rsidRPr="00130CD5">
        <w:rPr>
          <w:rFonts w:ascii="Arial" w:hAnsi="Arial" w:cs="Arial"/>
          <w:sz w:val="20"/>
          <w:szCs w:val="20"/>
          <w:lang w:val="es-ES_tradnl"/>
        </w:rPr>
        <w:t>»</w:t>
      </w:r>
      <w:r w:rsidRPr="000F3698">
        <w:rPr>
          <w:rFonts w:ascii="Arial" w:hAnsi="Arial" w:cs="Arial"/>
          <w:sz w:val="20"/>
          <w:szCs w:val="20"/>
          <w:lang w:val="es-ES_tradnl"/>
        </w:rPr>
        <w:t xml:space="preserve"> </w:t>
      </w:r>
      <w:r w:rsidRPr="008C7048">
        <w:rPr>
          <w:rFonts w:ascii="Arial" w:hAnsi="Arial" w:cs="Arial"/>
          <w:sz w:val="20"/>
          <w:szCs w:val="20"/>
          <w:lang w:val="es-ES_tradnl"/>
        </w:rPr>
        <w:t xml:space="preserve">Aunque también se caracteriza por el desempeño de actividad intelectiva, ésta </w:t>
      </w:r>
      <w:proofErr w:type="gramStart"/>
      <w:r w:rsidRPr="008C7048">
        <w:rPr>
          <w:rFonts w:ascii="Arial" w:hAnsi="Arial" w:cs="Arial"/>
          <w:sz w:val="20"/>
          <w:szCs w:val="20"/>
          <w:lang w:val="es-ES_tradnl"/>
        </w:rPr>
        <w:t>se enmarca dentro de</w:t>
      </w:r>
      <w:proofErr w:type="gramEnd"/>
      <w:r w:rsidRPr="008C7048">
        <w:rPr>
          <w:rFonts w:ascii="Arial" w:hAnsi="Arial" w:cs="Arial"/>
          <w:sz w:val="20"/>
          <w:szCs w:val="20"/>
          <w:lang w:val="es-ES_tradnl"/>
        </w:rPr>
        <w:t xml:space="preserve"> un saber propiamente técnico; igualmente involucra actividades en donde prima el esfuerzo físico o mecánico, en donde no se requiere de personal profesional.</w:t>
      </w:r>
      <w:r w:rsidRPr="000F3698">
        <w:rPr>
          <w:rFonts w:ascii="Arial" w:hAnsi="Arial" w:cs="Arial"/>
          <w:sz w:val="20"/>
          <w:szCs w:val="20"/>
          <w:lang w:val="es-ES_tradnl"/>
        </w:rPr>
        <w:t xml:space="preserve"> </w:t>
      </w:r>
      <w:r w:rsidRPr="008C7048">
        <w:rPr>
          <w:rFonts w:ascii="Arial" w:hAnsi="Arial" w:cs="Arial"/>
          <w:sz w:val="20"/>
          <w:szCs w:val="20"/>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264536E9" w14:textId="77777777" w:rsidR="00096BCE" w:rsidRPr="008C7048" w:rsidRDefault="00096BCE" w:rsidP="00096BCE">
      <w:pPr>
        <w:pStyle w:val="paragraph"/>
        <w:spacing w:after="0"/>
        <w:jc w:val="both"/>
        <w:textAlignment w:val="baseline"/>
        <w:rPr>
          <w:rFonts w:ascii="Arial" w:hAnsi="Arial" w:cs="Arial"/>
          <w:sz w:val="20"/>
          <w:szCs w:val="20"/>
          <w:lang w:val="es-ES_tradnl"/>
        </w:rPr>
      </w:pPr>
      <w:r w:rsidRPr="008C7048">
        <w:rPr>
          <w:rFonts w:ascii="Arial" w:hAnsi="Arial" w:cs="Arial"/>
          <w:sz w:val="20"/>
          <w:szCs w:val="20"/>
          <w:lang w:val="es-ES_tradnl"/>
        </w:rPr>
        <w:t xml:space="preserve">En relación con el </w:t>
      </w:r>
      <w:r w:rsidRPr="008C7048">
        <w:rPr>
          <w:rFonts w:ascii="Arial" w:hAnsi="Arial" w:cs="Arial"/>
          <w:i/>
          <w:iCs/>
          <w:sz w:val="20"/>
          <w:szCs w:val="20"/>
          <w:lang w:val="es-ES_tradnl"/>
        </w:rPr>
        <w:t>contrato de prestación de servicios artísticos que solo pueden encomendarse a determinadas personas naturales</w:t>
      </w:r>
      <w:r w:rsidRPr="008C7048">
        <w:rPr>
          <w:rFonts w:ascii="Arial" w:hAnsi="Arial" w:cs="Arial"/>
          <w:sz w:val="20"/>
          <w:szCs w:val="20"/>
          <w:lang w:val="es-ES_tradnl"/>
        </w:rPr>
        <w:t>, señala la mencionada decisión judicial lo siguiente:</w:t>
      </w:r>
      <w:r w:rsidRPr="000F3698">
        <w:rPr>
          <w:rFonts w:ascii="Arial" w:hAnsi="Arial" w:cs="Arial"/>
          <w:sz w:val="20"/>
          <w:szCs w:val="20"/>
          <w:lang w:val="es-ES_tradnl"/>
        </w:rPr>
        <w:t xml:space="preserve"> </w:t>
      </w:r>
      <w:r w:rsidRPr="00130CD5">
        <w:rPr>
          <w:rFonts w:ascii="Arial" w:hAnsi="Arial" w:cs="Arial"/>
          <w:sz w:val="20"/>
          <w:szCs w:val="20"/>
          <w:lang w:val="es-ES_tradnl"/>
        </w:rPr>
        <w:t>«</w:t>
      </w:r>
      <w:r w:rsidRPr="008C7048">
        <w:rPr>
          <w:rFonts w:ascii="Arial" w:hAnsi="Arial" w:cs="Arial"/>
          <w:sz w:val="20"/>
          <w:szCs w:val="20"/>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130CD5">
        <w:rPr>
          <w:rFonts w:ascii="Arial" w:hAnsi="Arial" w:cs="Arial"/>
          <w:sz w:val="20"/>
          <w:szCs w:val="20"/>
          <w:lang w:val="es-ES_tradnl"/>
        </w:rPr>
        <w:t>»</w:t>
      </w:r>
    </w:p>
    <w:p w14:paraId="48584689" w14:textId="77777777" w:rsidR="00096BCE" w:rsidRPr="000F3698" w:rsidRDefault="00096BCE" w:rsidP="00096BCE">
      <w:pPr>
        <w:pStyle w:val="paragraph"/>
        <w:spacing w:after="0"/>
        <w:jc w:val="both"/>
        <w:textAlignment w:val="baseline"/>
        <w:rPr>
          <w:rFonts w:ascii="Arial" w:hAnsi="Arial" w:cs="Arial"/>
          <w:sz w:val="20"/>
          <w:szCs w:val="20"/>
          <w:lang w:val="es-MX"/>
        </w:rPr>
      </w:pPr>
      <w:r w:rsidRPr="008C7048">
        <w:rPr>
          <w:rFonts w:ascii="Arial" w:hAnsi="Arial" w:cs="Arial"/>
          <w:sz w:val="20"/>
          <w:szCs w:val="20"/>
          <w:lang w:val="es-ES_tradnl"/>
        </w:rPr>
        <w:t xml:space="preserve">En este sentido, el contrato de prestación de servicios </w:t>
      </w:r>
      <w:r w:rsidRPr="008C7048">
        <w:rPr>
          <w:rFonts w:ascii="Arial" w:hAnsi="Arial" w:cs="Arial"/>
          <w:i/>
          <w:iCs/>
          <w:sz w:val="20"/>
          <w:szCs w:val="20"/>
          <w:lang w:val="es-ES_tradnl"/>
        </w:rPr>
        <w:t>profesionales</w:t>
      </w:r>
      <w:r w:rsidRPr="008C7048">
        <w:rPr>
          <w:rFonts w:ascii="Arial" w:hAnsi="Arial" w:cs="Arial"/>
          <w:sz w:val="20"/>
          <w:szCs w:val="20"/>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8C7048">
        <w:rPr>
          <w:rFonts w:ascii="Arial" w:hAnsi="Arial" w:cs="Arial"/>
          <w:i/>
          <w:iCs/>
          <w:sz w:val="20"/>
          <w:szCs w:val="20"/>
          <w:lang w:val="es-ES_tradnl"/>
        </w:rPr>
        <w:t>saber intelectivo cualificado.</w:t>
      </w:r>
      <w:r w:rsidRPr="008C7048">
        <w:rPr>
          <w:rFonts w:ascii="Arial" w:hAnsi="Arial" w:cs="Arial"/>
          <w:sz w:val="20"/>
          <w:szCs w:val="20"/>
          <w:lang w:val="es-ES_tradnl"/>
        </w:rPr>
        <w:t xml:space="preserve"> En cambio, los contratos de prestación de servicios de </w:t>
      </w:r>
      <w:r w:rsidRPr="008C7048">
        <w:rPr>
          <w:rFonts w:ascii="Arial" w:hAnsi="Arial" w:cs="Arial"/>
          <w:i/>
          <w:iCs/>
          <w:sz w:val="20"/>
          <w:szCs w:val="20"/>
          <w:lang w:val="es-ES_tradnl"/>
        </w:rPr>
        <w:t>apoyo a la gestión</w:t>
      </w:r>
      <w:r w:rsidRPr="008C7048">
        <w:rPr>
          <w:rFonts w:ascii="Arial" w:hAnsi="Arial" w:cs="Arial"/>
          <w:sz w:val="20"/>
          <w:szCs w:val="20"/>
          <w:lang w:val="es-ES_tradnl"/>
        </w:rPr>
        <w:t xml:space="preserve"> y de </w:t>
      </w:r>
      <w:r w:rsidRPr="008C7048">
        <w:rPr>
          <w:rFonts w:ascii="Arial" w:hAnsi="Arial" w:cs="Arial"/>
          <w:i/>
          <w:iCs/>
          <w:sz w:val="20"/>
          <w:szCs w:val="20"/>
          <w:lang w:val="es-ES_tradnl"/>
        </w:rPr>
        <w:t>servicios artísticos</w:t>
      </w:r>
      <w:r w:rsidRPr="008C7048">
        <w:rPr>
          <w:rFonts w:ascii="Arial" w:hAnsi="Arial" w:cs="Arial"/>
          <w:sz w:val="20"/>
          <w:szCs w:val="20"/>
          <w:lang w:val="es-ES_tradnl"/>
        </w:rPr>
        <w:t xml:space="preserve"> no involucran ese conocimiento profesional </w:t>
      </w:r>
      <w:r w:rsidRPr="008C7048">
        <w:rPr>
          <w:rFonts w:ascii="Arial" w:hAnsi="Arial" w:cs="Arial"/>
          <w:sz w:val="20"/>
          <w:szCs w:val="20"/>
          <w:lang w:val="es-MX"/>
        </w:rPr>
        <w:t xml:space="preserve">o especializados para su ejecución. En los contratos de apoyo a la gestión </w:t>
      </w:r>
      <w:r w:rsidRPr="008C7048">
        <w:rPr>
          <w:rFonts w:ascii="Arial" w:hAnsi="Arial" w:cs="Arial"/>
          <w:sz w:val="20"/>
          <w:szCs w:val="20"/>
          <w:lang w:val="es-ES_tradnl"/>
        </w:rPr>
        <w:t xml:space="preserve">el contratista desempeña un esfuerzo o actividad de apoyo, acompañamiento, o soporte, </w:t>
      </w:r>
      <w:r w:rsidRPr="008C7048">
        <w:rPr>
          <w:rFonts w:ascii="Arial" w:hAnsi="Arial" w:cs="Arial"/>
          <w:sz w:val="20"/>
          <w:szCs w:val="20"/>
          <w:lang w:val="es-MX"/>
        </w:rPr>
        <w:t xml:space="preserve">donde </w:t>
      </w:r>
      <w:r w:rsidRPr="008C7048">
        <w:rPr>
          <w:rFonts w:ascii="Arial" w:hAnsi="Arial" w:cs="Arial"/>
          <w:sz w:val="20"/>
          <w:szCs w:val="20"/>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para lo cual es indiferente el carácter de profesional.</w:t>
      </w:r>
    </w:p>
    <w:p w14:paraId="7D96D0F4" w14:textId="77777777" w:rsidR="00096BCE" w:rsidRPr="000F3698" w:rsidRDefault="00096BCE" w:rsidP="00096BCE">
      <w:pPr>
        <w:pStyle w:val="paragraph"/>
        <w:spacing w:after="0"/>
        <w:textAlignment w:val="baseline"/>
        <w:rPr>
          <w:rStyle w:val="normaltextrun"/>
          <w:rFonts w:ascii="Arial" w:hAnsi="Arial" w:cs="Arial"/>
          <w:b/>
          <w:bCs/>
          <w:sz w:val="22"/>
        </w:rPr>
      </w:pPr>
      <w:r w:rsidRPr="000F3698">
        <w:rPr>
          <w:rStyle w:val="normaltextrun"/>
          <w:rFonts w:ascii="Arial" w:hAnsi="Arial" w:cs="Arial"/>
          <w:b/>
          <w:bCs/>
          <w:sz w:val="22"/>
        </w:rPr>
        <w:t xml:space="preserve">INSUFICIENCIA DE PLANTA DE PERSONAL – Procedencia </w:t>
      </w:r>
    </w:p>
    <w:p w14:paraId="1DDB2305"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Las entidades contratantes solo pueden celebrar contratos para la prestación de servicios profesionales, de apoyo a la gestión o artísticos «[…] cuando dichas actividades no puedan realizarse con personal de planta o requieran conocimientos especializados», conforme lo establece el numeral 3 del artículo 32 de la Ley 80 de 1993. De acuerdo con lo establecido en esta disposición, para contratar la prestación de los servicios, en general, la entidad debe certificar que no cuenta con el personal de planta suficiente, o que teniéndolo requieren conocimientos especializados para cumplir sus funciones. Además, debe verificar la idoneidad o experiencia de la persona natural o jurídica y la capacidad de ésta para ejecutar el objeto del contrato. </w:t>
      </w:r>
    </w:p>
    <w:p w14:paraId="7ADB2C63"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De aquí que en desarrollo del deber de planeación el artículo 2.2.1.1.2.1.1. del Decreto 1082 de 2015 exija que todo proceso de contratación parta de estudios y documentos previos que den soporte a la </w:t>
      </w:r>
      <w:r w:rsidRPr="000F3698">
        <w:rPr>
          <w:rStyle w:val="normaltextrun"/>
          <w:rFonts w:ascii="Arial" w:hAnsi="Arial" w:cs="Arial"/>
          <w:sz w:val="20"/>
          <w:szCs w:val="20"/>
        </w:rPr>
        <w:lastRenderedPageBreak/>
        <w:t>actuación, y establezca como primer elemento de estos estudios previos «La descripción de la necesidad que la Entidad Estatal pretende satisfacer con el Proceso de Contratación». De manera que, tratándose del contrato de prestación de servicios, teniendo en cuenta que por esencia se celebra para llevar a cabo actividades propias de la administración o funcionamiento de la entidad, la necesidad de justificar en los estudios previos recae en que su propio personal no es suficiente para llevar a cabo estas actividades, ya sea por exceso de trabajo o porque se requieren conocimientos especializados. […] Contrario sensu, cuando la entidad contratante cuente con personal suficiente o con los servicios profesionales especializados para atender la necesidad respectiva, contratar la prestación de esos servicios -al margen de la calidad del contratista en tanto persona jurídica o natural- carecería de motivación suficiente. Contratar en este supuesto implicaría una mayor onerosidad para la entidad sin justificación razonable.</w:t>
      </w:r>
    </w:p>
    <w:p w14:paraId="4542CD4C"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b/>
          <w:bCs/>
          <w:sz w:val="22"/>
        </w:rPr>
        <w:t xml:space="preserve">INSUFICIENCIA DE PLANTA DE PERSONAL – Procedencia – Directiva Presidencial </w:t>
      </w:r>
      <w:proofErr w:type="spellStart"/>
      <w:r w:rsidRPr="000F3698">
        <w:rPr>
          <w:rStyle w:val="normaltextrun"/>
          <w:rFonts w:ascii="Arial" w:hAnsi="Arial" w:cs="Arial"/>
          <w:b/>
          <w:bCs/>
          <w:sz w:val="22"/>
        </w:rPr>
        <w:t>Nº</w:t>
      </w:r>
      <w:proofErr w:type="spellEnd"/>
      <w:r w:rsidRPr="000F3698">
        <w:rPr>
          <w:rStyle w:val="normaltextrun"/>
          <w:rFonts w:ascii="Arial" w:hAnsi="Arial" w:cs="Arial"/>
          <w:b/>
          <w:bCs/>
          <w:sz w:val="22"/>
        </w:rPr>
        <w:t xml:space="preserve"> 08 de 2022</w:t>
      </w:r>
    </w:p>
    <w:p w14:paraId="2ECAB5DA"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En esta misma línea, la reciente Directiva Presidencial </w:t>
      </w:r>
      <w:proofErr w:type="spellStart"/>
      <w:r w:rsidRPr="000F3698">
        <w:rPr>
          <w:rStyle w:val="normaltextrun"/>
          <w:rFonts w:ascii="Arial" w:hAnsi="Arial" w:cs="Arial"/>
          <w:sz w:val="20"/>
          <w:szCs w:val="20"/>
        </w:rPr>
        <w:t>Nº</w:t>
      </w:r>
      <w:proofErr w:type="spellEnd"/>
      <w:r w:rsidRPr="000F3698">
        <w:rPr>
          <w:rStyle w:val="normaltextrun"/>
          <w:rFonts w:ascii="Arial" w:hAnsi="Arial" w:cs="Arial"/>
          <w:sz w:val="20"/>
          <w:szCs w:val="20"/>
        </w:rPr>
        <w:t xml:space="preserve"> 08 de 2022, por medio de la cual «se imparten medidas para fortalecer la racionalización, la probidad y la eficiencia del gasto público, en desarrollo de los principios que rigen la función pública, consagrados en el artículo 209 de la Constitución Política», establece lo siguiente en su numeral primero: </w:t>
      </w:r>
    </w:p>
    <w:p w14:paraId="31AF2C7C"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«1. MEDIDAS PARA LA </w:t>
      </w:r>
      <w:proofErr w:type="spellStart"/>
      <w:r w:rsidRPr="000F3698">
        <w:rPr>
          <w:rStyle w:val="normaltextrun"/>
          <w:rFonts w:ascii="Arial" w:hAnsi="Arial" w:cs="Arial"/>
          <w:sz w:val="20"/>
          <w:szCs w:val="20"/>
        </w:rPr>
        <w:t>OPTIMIZACiÓN</w:t>
      </w:r>
      <w:proofErr w:type="spellEnd"/>
      <w:r w:rsidRPr="000F3698">
        <w:rPr>
          <w:rStyle w:val="normaltextrun"/>
          <w:rFonts w:ascii="Arial" w:hAnsi="Arial" w:cs="Arial"/>
          <w:sz w:val="20"/>
          <w:szCs w:val="20"/>
        </w:rPr>
        <w:t xml:space="preserve"> DE RECURSOS EN LA </w:t>
      </w:r>
      <w:proofErr w:type="spellStart"/>
      <w:r w:rsidRPr="000F3698">
        <w:rPr>
          <w:rStyle w:val="normaltextrun"/>
          <w:rFonts w:ascii="Arial" w:hAnsi="Arial" w:cs="Arial"/>
          <w:sz w:val="20"/>
          <w:szCs w:val="20"/>
        </w:rPr>
        <w:t>CONTRATACiÓN</w:t>
      </w:r>
      <w:proofErr w:type="spellEnd"/>
      <w:r w:rsidRPr="000F3698">
        <w:rPr>
          <w:rStyle w:val="normaltextrun"/>
          <w:rFonts w:ascii="Arial" w:hAnsi="Arial" w:cs="Arial"/>
          <w:sz w:val="20"/>
          <w:szCs w:val="20"/>
        </w:rPr>
        <w:t xml:space="preserve"> PÚBLICA. </w:t>
      </w:r>
    </w:p>
    <w:p w14:paraId="284A650B"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1.1. CONTRATOS DE </w:t>
      </w:r>
      <w:proofErr w:type="spellStart"/>
      <w:r w:rsidRPr="000F3698">
        <w:rPr>
          <w:rStyle w:val="normaltextrun"/>
          <w:rFonts w:ascii="Arial" w:hAnsi="Arial" w:cs="Arial"/>
          <w:sz w:val="20"/>
          <w:szCs w:val="20"/>
        </w:rPr>
        <w:t>PRESTACiÓN</w:t>
      </w:r>
      <w:proofErr w:type="spellEnd"/>
      <w:r w:rsidRPr="000F3698">
        <w:rPr>
          <w:rStyle w:val="normaltextrun"/>
          <w:rFonts w:ascii="Arial" w:hAnsi="Arial" w:cs="Arial"/>
          <w:sz w:val="20"/>
          <w:szCs w:val="20"/>
        </w:rPr>
        <w:t xml:space="preserve"> DE SERVICIOS DE APOYO A LA </w:t>
      </w:r>
      <w:proofErr w:type="spellStart"/>
      <w:r w:rsidRPr="000F3698">
        <w:rPr>
          <w:rStyle w:val="normaltextrun"/>
          <w:rFonts w:ascii="Arial" w:hAnsi="Arial" w:cs="Arial"/>
          <w:sz w:val="20"/>
          <w:szCs w:val="20"/>
        </w:rPr>
        <w:t>GESTiÓN</w:t>
      </w:r>
      <w:proofErr w:type="spellEnd"/>
      <w:r w:rsidRPr="000F3698">
        <w:rPr>
          <w:rStyle w:val="normaltextrun"/>
          <w:rFonts w:ascii="Arial" w:hAnsi="Arial" w:cs="Arial"/>
          <w:sz w:val="20"/>
          <w:szCs w:val="20"/>
        </w:rPr>
        <w:t xml:space="preserve">. Las entidades públicas solo podrán celebrar contratos de prestación de servicios de apoyo a la gestión cuando estos sean estrictamente necesarios por el volumen de trabajo que tenga a su cargo su personal de planta, o por la necesidad de conocimientos 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 </w:t>
      </w:r>
    </w:p>
    <w:p w14:paraId="49132239"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  </w:t>
      </w:r>
    </w:p>
    <w:p w14:paraId="7E14CCA1" w14:textId="77777777" w:rsidR="00096BCE" w:rsidRPr="000F3698" w:rsidRDefault="00096BCE" w:rsidP="00096BCE">
      <w:pPr>
        <w:pStyle w:val="paragraph"/>
        <w:spacing w:after="0"/>
        <w:jc w:val="both"/>
        <w:textAlignment w:val="baseline"/>
        <w:rPr>
          <w:rStyle w:val="normaltextrun"/>
          <w:rFonts w:ascii="Arial" w:hAnsi="Arial" w:cs="Arial"/>
          <w:sz w:val="20"/>
          <w:szCs w:val="20"/>
        </w:rPr>
      </w:pPr>
      <w:r w:rsidRPr="000F3698">
        <w:rPr>
          <w:rStyle w:val="normaltextrun"/>
          <w:rFonts w:ascii="Arial" w:hAnsi="Arial" w:cs="Arial"/>
          <w:sz w:val="20"/>
          <w:szCs w:val="20"/>
        </w:rPr>
        <w:t xml:space="preserve">El anterior mandato presidencial solicita a todas las entidades públicas del nivel central y descentralizado justificar detalladamente la necesidad del servicio a contratar a partir del alto volumen de trabajo de la planta de personal o de la necesidad de contar con conocimientos especializados. Este requisito reitera, aunque con mayor ahínco, la necesidad de demostrar la </w:t>
      </w:r>
      <w:r w:rsidRPr="000F3698">
        <w:rPr>
          <w:rStyle w:val="normaltextrun"/>
          <w:rFonts w:ascii="Arial" w:hAnsi="Arial" w:cs="Arial"/>
          <w:sz w:val="20"/>
          <w:szCs w:val="20"/>
        </w:rPr>
        <w:lastRenderedPageBreak/>
        <w:t xml:space="preserve">insuficiencia de la planta de personal establecida en la normativa mencionada y, de igual manera, no distingue entre si el sujeto a contratar es una persona jurídica o natural. Esta medida, conforme lo establece la Directiva Presidencial, busca fortalecer la racionalización, probidad y eficiencia del gasto público, en desarrollo de los principios de igualdad, moralidad, eficacia, economía, celeridad, imparcialidad y publicidad que guían la función administrativa a partir de lo dispuesto en el artículo 209 de la Constitución Política. </w:t>
      </w:r>
    </w:p>
    <w:p w14:paraId="7EFB3A37" w14:textId="77777777" w:rsidR="00096BCE" w:rsidRPr="000F3698" w:rsidRDefault="00096BCE" w:rsidP="00096BCE">
      <w:pPr>
        <w:pStyle w:val="paragraph"/>
        <w:spacing w:before="0" w:beforeAutospacing="0" w:after="0" w:afterAutospacing="0"/>
        <w:jc w:val="both"/>
        <w:textAlignment w:val="baseline"/>
        <w:rPr>
          <w:rStyle w:val="normaltextrun"/>
          <w:rFonts w:ascii="Arial" w:hAnsi="Arial" w:cs="Arial"/>
          <w:sz w:val="20"/>
          <w:szCs w:val="20"/>
        </w:rPr>
      </w:pPr>
    </w:p>
    <w:p w14:paraId="06F54865" w14:textId="77777777" w:rsidR="00096BCE" w:rsidRPr="000F3698" w:rsidRDefault="00096BCE" w:rsidP="00096BCE">
      <w:pPr>
        <w:spacing w:after="0" w:line="240" w:lineRule="auto"/>
        <w:rPr>
          <w:rFonts w:ascii="Arial" w:eastAsia="Calibri" w:hAnsi="Arial" w:cs="Arial"/>
          <w:sz w:val="22"/>
          <w:lang w:val="es-CO"/>
        </w:rPr>
      </w:pPr>
    </w:p>
    <w:p w14:paraId="0AE6FA46" w14:textId="77777777" w:rsidR="00096BCE" w:rsidRPr="000F3698" w:rsidRDefault="00096BCE" w:rsidP="00096BCE">
      <w:pPr>
        <w:spacing w:after="0" w:line="240" w:lineRule="auto"/>
        <w:rPr>
          <w:rFonts w:ascii="Arial" w:eastAsia="Calibri" w:hAnsi="Arial" w:cs="Arial"/>
          <w:sz w:val="22"/>
          <w:lang w:val="es-CO"/>
        </w:rPr>
      </w:pPr>
    </w:p>
    <w:p w14:paraId="5A1C1004" w14:textId="77777777" w:rsidR="00096BCE" w:rsidRPr="000F3698" w:rsidRDefault="00096BCE" w:rsidP="00096BCE">
      <w:pPr>
        <w:spacing w:after="0" w:line="240" w:lineRule="auto"/>
        <w:rPr>
          <w:rFonts w:ascii="Arial" w:eastAsia="Calibri" w:hAnsi="Arial" w:cs="Arial"/>
          <w:sz w:val="22"/>
          <w:lang w:val="es-CO"/>
        </w:rPr>
      </w:pPr>
    </w:p>
    <w:p w14:paraId="019F5953" w14:textId="77777777" w:rsidR="00096BCE" w:rsidRPr="000F3698" w:rsidRDefault="00096BCE" w:rsidP="00096BCE">
      <w:pPr>
        <w:spacing w:after="0" w:line="240" w:lineRule="auto"/>
        <w:rPr>
          <w:rFonts w:ascii="Arial" w:eastAsia="Calibri" w:hAnsi="Arial" w:cs="Arial"/>
          <w:sz w:val="22"/>
          <w:lang w:val="es-CO"/>
        </w:rPr>
      </w:pPr>
    </w:p>
    <w:p w14:paraId="59327FE5" w14:textId="77777777" w:rsidR="00096BCE" w:rsidRPr="000F3698" w:rsidRDefault="00096BCE" w:rsidP="00096BCE">
      <w:pPr>
        <w:spacing w:after="0" w:line="240" w:lineRule="auto"/>
        <w:rPr>
          <w:rFonts w:ascii="Arial" w:eastAsia="Calibri" w:hAnsi="Arial" w:cs="Arial"/>
          <w:sz w:val="22"/>
          <w:lang w:val="es-CO"/>
        </w:rPr>
      </w:pPr>
    </w:p>
    <w:p w14:paraId="01615D9F" w14:textId="77777777" w:rsidR="00096BCE" w:rsidRPr="000F3698" w:rsidRDefault="00096BCE" w:rsidP="00096BCE">
      <w:pPr>
        <w:spacing w:after="0" w:line="240" w:lineRule="auto"/>
        <w:rPr>
          <w:rFonts w:ascii="Arial" w:eastAsia="Calibri" w:hAnsi="Arial" w:cs="Arial"/>
          <w:sz w:val="22"/>
          <w:lang w:val="es-CO"/>
        </w:rPr>
      </w:pPr>
    </w:p>
    <w:p w14:paraId="0F514B25" w14:textId="77777777" w:rsidR="00096BCE" w:rsidRPr="000F3698" w:rsidRDefault="00096BCE" w:rsidP="00096BCE">
      <w:pPr>
        <w:spacing w:after="0" w:line="240" w:lineRule="auto"/>
        <w:rPr>
          <w:rFonts w:ascii="Arial" w:eastAsia="Calibri" w:hAnsi="Arial" w:cs="Arial"/>
          <w:sz w:val="22"/>
          <w:lang w:val="es-CO"/>
        </w:rPr>
      </w:pPr>
    </w:p>
    <w:p w14:paraId="3CBC8EA1" w14:textId="77777777" w:rsidR="00096BCE" w:rsidRPr="000F3698" w:rsidRDefault="00096BCE" w:rsidP="00096BCE">
      <w:pPr>
        <w:spacing w:after="0" w:line="240" w:lineRule="auto"/>
        <w:rPr>
          <w:rFonts w:ascii="Arial" w:eastAsia="Calibri" w:hAnsi="Arial" w:cs="Arial"/>
          <w:sz w:val="22"/>
          <w:lang w:val="es-CO"/>
        </w:rPr>
      </w:pPr>
    </w:p>
    <w:p w14:paraId="28B880B5" w14:textId="77777777" w:rsidR="00096BCE" w:rsidRPr="000F3698" w:rsidRDefault="00096BCE" w:rsidP="00096BCE">
      <w:pPr>
        <w:spacing w:after="0" w:line="240" w:lineRule="auto"/>
        <w:rPr>
          <w:rFonts w:ascii="Arial" w:eastAsia="Calibri" w:hAnsi="Arial" w:cs="Arial"/>
          <w:sz w:val="22"/>
          <w:lang w:val="es-CO"/>
        </w:rPr>
      </w:pPr>
    </w:p>
    <w:p w14:paraId="492E6330" w14:textId="77777777" w:rsidR="00096BCE" w:rsidRPr="000F3698" w:rsidRDefault="00096BCE" w:rsidP="00096BCE">
      <w:pPr>
        <w:spacing w:after="0" w:line="240" w:lineRule="auto"/>
        <w:rPr>
          <w:rFonts w:ascii="Arial" w:eastAsia="Calibri" w:hAnsi="Arial" w:cs="Arial"/>
          <w:sz w:val="22"/>
          <w:lang w:val="es-CO"/>
        </w:rPr>
      </w:pPr>
    </w:p>
    <w:p w14:paraId="13A01490" w14:textId="77777777" w:rsidR="00096BCE" w:rsidRPr="000F3698" w:rsidRDefault="00096BCE" w:rsidP="00096BCE">
      <w:pPr>
        <w:spacing w:after="0" w:line="240" w:lineRule="auto"/>
        <w:rPr>
          <w:rFonts w:ascii="Arial" w:eastAsia="Calibri" w:hAnsi="Arial" w:cs="Arial"/>
          <w:sz w:val="22"/>
          <w:lang w:val="es-CO"/>
        </w:rPr>
      </w:pPr>
    </w:p>
    <w:p w14:paraId="7F418FE8" w14:textId="77777777" w:rsidR="00096BCE" w:rsidRPr="000F3698" w:rsidRDefault="00096BCE" w:rsidP="00096BCE">
      <w:pPr>
        <w:spacing w:after="0" w:line="240" w:lineRule="auto"/>
        <w:rPr>
          <w:rFonts w:ascii="Arial" w:eastAsia="Calibri" w:hAnsi="Arial" w:cs="Arial"/>
          <w:sz w:val="22"/>
          <w:lang w:val="es-CO"/>
        </w:rPr>
      </w:pPr>
    </w:p>
    <w:p w14:paraId="113AAEF2" w14:textId="77777777" w:rsidR="00096BCE" w:rsidRPr="000F3698" w:rsidRDefault="00096BCE" w:rsidP="00096BCE">
      <w:pPr>
        <w:spacing w:after="0" w:line="240" w:lineRule="auto"/>
        <w:rPr>
          <w:rFonts w:ascii="Arial" w:eastAsia="Calibri" w:hAnsi="Arial" w:cs="Arial"/>
          <w:sz w:val="22"/>
          <w:lang w:val="es-CO"/>
        </w:rPr>
      </w:pPr>
    </w:p>
    <w:p w14:paraId="1356308A" w14:textId="77777777" w:rsidR="00096BCE" w:rsidRPr="000F3698" w:rsidRDefault="00096BCE" w:rsidP="00096BCE">
      <w:pPr>
        <w:spacing w:after="0" w:line="240" w:lineRule="auto"/>
        <w:rPr>
          <w:rFonts w:ascii="Arial" w:eastAsia="Calibri" w:hAnsi="Arial" w:cs="Arial"/>
          <w:sz w:val="22"/>
          <w:lang w:val="es-CO"/>
        </w:rPr>
      </w:pPr>
    </w:p>
    <w:p w14:paraId="6C90E191" w14:textId="77777777" w:rsidR="00096BCE" w:rsidRPr="000F3698" w:rsidRDefault="00096BCE" w:rsidP="00096BCE">
      <w:pPr>
        <w:spacing w:after="0" w:line="240" w:lineRule="auto"/>
        <w:rPr>
          <w:rFonts w:ascii="Arial" w:eastAsia="Calibri" w:hAnsi="Arial" w:cs="Arial"/>
          <w:sz w:val="22"/>
          <w:lang w:val="es-CO"/>
        </w:rPr>
      </w:pPr>
    </w:p>
    <w:p w14:paraId="0D2A63CD" w14:textId="77777777" w:rsidR="00096BCE" w:rsidRPr="000F3698" w:rsidRDefault="00096BCE" w:rsidP="00096BCE">
      <w:pPr>
        <w:spacing w:after="0" w:line="240" w:lineRule="auto"/>
        <w:rPr>
          <w:rFonts w:ascii="Arial" w:eastAsia="Calibri" w:hAnsi="Arial" w:cs="Arial"/>
          <w:sz w:val="22"/>
          <w:lang w:val="es-CO"/>
        </w:rPr>
      </w:pPr>
    </w:p>
    <w:p w14:paraId="2E436725" w14:textId="77777777" w:rsidR="00096BCE" w:rsidRPr="000F3698" w:rsidRDefault="00096BCE" w:rsidP="00096BCE">
      <w:pPr>
        <w:spacing w:after="0" w:line="240" w:lineRule="auto"/>
        <w:rPr>
          <w:rFonts w:ascii="Arial" w:eastAsia="Calibri" w:hAnsi="Arial" w:cs="Arial"/>
          <w:sz w:val="22"/>
          <w:lang w:val="es-CO"/>
        </w:rPr>
      </w:pPr>
    </w:p>
    <w:p w14:paraId="6AD8CEB4" w14:textId="77777777" w:rsidR="00096BCE" w:rsidRPr="000F3698" w:rsidRDefault="00096BCE" w:rsidP="00096BCE">
      <w:pPr>
        <w:spacing w:after="0" w:line="240" w:lineRule="auto"/>
        <w:rPr>
          <w:rFonts w:ascii="Arial" w:eastAsia="Calibri" w:hAnsi="Arial" w:cs="Arial"/>
          <w:sz w:val="22"/>
          <w:lang w:val="es-CO"/>
        </w:rPr>
      </w:pPr>
    </w:p>
    <w:p w14:paraId="1A7ECE8C" w14:textId="77777777" w:rsidR="00096BCE" w:rsidRPr="000F3698" w:rsidRDefault="00096BCE" w:rsidP="00096BCE">
      <w:pPr>
        <w:spacing w:after="0" w:line="240" w:lineRule="auto"/>
        <w:rPr>
          <w:rFonts w:ascii="Arial" w:eastAsia="Calibri" w:hAnsi="Arial" w:cs="Arial"/>
          <w:sz w:val="22"/>
          <w:lang w:val="es-CO"/>
        </w:rPr>
      </w:pPr>
    </w:p>
    <w:p w14:paraId="0DC68DC8" w14:textId="77777777" w:rsidR="00096BCE" w:rsidRPr="000F3698" w:rsidRDefault="00096BCE" w:rsidP="00096BCE">
      <w:pPr>
        <w:spacing w:after="0" w:line="240" w:lineRule="auto"/>
        <w:rPr>
          <w:rFonts w:ascii="Arial" w:eastAsia="Calibri" w:hAnsi="Arial" w:cs="Arial"/>
          <w:sz w:val="22"/>
          <w:lang w:val="es-CO"/>
        </w:rPr>
      </w:pPr>
    </w:p>
    <w:p w14:paraId="1539D89F" w14:textId="77777777" w:rsidR="00096BCE" w:rsidRPr="000F3698" w:rsidRDefault="00096BCE" w:rsidP="00096BCE">
      <w:pPr>
        <w:spacing w:after="0" w:line="240" w:lineRule="auto"/>
        <w:rPr>
          <w:rFonts w:ascii="Arial" w:eastAsia="Calibri" w:hAnsi="Arial" w:cs="Arial"/>
          <w:sz w:val="22"/>
          <w:lang w:val="es-CO"/>
        </w:rPr>
      </w:pPr>
    </w:p>
    <w:p w14:paraId="6738109E" w14:textId="77777777" w:rsidR="00096BCE" w:rsidRPr="000F3698" w:rsidRDefault="00096BCE" w:rsidP="00096BCE">
      <w:pPr>
        <w:spacing w:after="0" w:line="240" w:lineRule="auto"/>
        <w:rPr>
          <w:rFonts w:ascii="Arial" w:eastAsia="Calibri" w:hAnsi="Arial" w:cs="Arial"/>
          <w:sz w:val="22"/>
          <w:lang w:val="es-CO"/>
        </w:rPr>
      </w:pPr>
    </w:p>
    <w:p w14:paraId="6CE27AD3" w14:textId="77777777" w:rsidR="00096BCE" w:rsidRPr="000F3698" w:rsidRDefault="00096BCE" w:rsidP="00096BCE">
      <w:pPr>
        <w:spacing w:after="0" w:line="240" w:lineRule="auto"/>
        <w:rPr>
          <w:rFonts w:ascii="Arial" w:eastAsia="Calibri" w:hAnsi="Arial" w:cs="Arial"/>
          <w:sz w:val="22"/>
          <w:lang w:val="es-CO"/>
        </w:rPr>
      </w:pPr>
    </w:p>
    <w:p w14:paraId="478EF367" w14:textId="77777777" w:rsidR="00096BCE" w:rsidRPr="000F3698" w:rsidRDefault="00096BCE" w:rsidP="00096BCE">
      <w:pPr>
        <w:spacing w:after="0" w:line="240" w:lineRule="auto"/>
        <w:rPr>
          <w:rFonts w:ascii="Arial" w:eastAsia="Calibri" w:hAnsi="Arial" w:cs="Arial"/>
          <w:sz w:val="22"/>
          <w:lang w:val="es-CO"/>
        </w:rPr>
      </w:pPr>
    </w:p>
    <w:p w14:paraId="521C8EE8" w14:textId="77777777" w:rsidR="00096BCE" w:rsidRPr="000F3698" w:rsidRDefault="00096BCE" w:rsidP="00096BCE">
      <w:pPr>
        <w:spacing w:after="0" w:line="240" w:lineRule="auto"/>
        <w:rPr>
          <w:rFonts w:ascii="Arial" w:eastAsia="Calibri" w:hAnsi="Arial" w:cs="Arial"/>
          <w:sz w:val="22"/>
          <w:lang w:val="es-CO"/>
        </w:rPr>
      </w:pPr>
    </w:p>
    <w:p w14:paraId="2CA347FA" w14:textId="77777777" w:rsidR="00096BCE" w:rsidRPr="000F3698" w:rsidRDefault="00096BCE" w:rsidP="00096BCE">
      <w:pPr>
        <w:spacing w:after="0" w:line="240" w:lineRule="auto"/>
        <w:rPr>
          <w:rFonts w:ascii="Arial" w:eastAsia="Calibri" w:hAnsi="Arial" w:cs="Arial"/>
          <w:sz w:val="22"/>
          <w:lang w:val="es-CO"/>
        </w:rPr>
      </w:pPr>
    </w:p>
    <w:p w14:paraId="0F0D18AA" w14:textId="77777777" w:rsidR="00096BCE" w:rsidRPr="000F3698" w:rsidRDefault="00096BCE" w:rsidP="00096BCE">
      <w:pPr>
        <w:spacing w:after="0" w:line="240" w:lineRule="auto"/>
        <w:rPr>
          <w:rFonts w:ascii="Arial" w:eastAsia="Calibri" w:hAnsi="Arial" w:cs="Arial"/>
          <w:sz w:val="22"/>
          <w:lang w:val="es-CO"/>
        </w:rPr>
      </w:pPr>
    </w:p>
    <w:p w14:paraId="0477F93E" w14:textId="77777777" w:rsidR="00096BCE" w:rsidRPr="000F3698" w:rsidRDefault="00096BCE" w:rsidP="00096BCE">
      <w:pPr>
        <w:spacing w:after="0" w:line="240" w:lineRule="auto"/>
        <w:rPr>
          <w:rFonts w:ascii="Arial" w:eastAsia="Calibri" w:hAnsi="Arial" w:cs="Arial"/>
          <w:sz w:val="22"/>
          <w:lang w:val="es-CO"/>
        </w:rPr>
      </w:pPr>
    </w:p>
    <w:p w14:paraId="09A17DF1" w14:textId="77777777" w:rsidR="00096BCE" w:rsidRPr="000F3698" w:rsidRDefault="00096BCE" w:rsidP="00096BCE">
      <w:pPr>
        <w:spacing w:after="0" w:line="240" w:lineRule="auto"/>
        <w:rPr>
          <w:rFonts w:ascii="Arial" w:eastAsia="Calibri" w:hAnsi="Arial" w:cs="Arial"/>
          <w:sz w:val="22"/>
          <w:lang w:val="es-CO"/>
        </w:rPr>
      </w:pPr>
    </w:p>
    <w:p w14:paraId="136945CB" w14:textId="77777777" w:rsidR="00096BCE" w:rsidRPr="000F3698" w:rsidRDefault="00096BCE" w:rsidP="00096BCE">
      <w:pPr>
        <w:spacing w:after="0" w:line="240" w:lineRule="auto"/>
        <w:rPr>
          <w:rFonts w:ascii="Arial" w:eastAsia="Calibri" w:hAnsi="Arial" w:cs="Arial"/>
          <w:sz w:val="22"/>
          <w:lang w:val="es-CO"/>
        </w:rPr>
      </w:pPr>
    </w:p>
    <w:p w14:paraId="48A73BE9" w14:textId="77777777" w:rsidR="00096BCE" w:rsidRPr="000F3698" w:rsidRDefault="00096BCE" w:rsidP="00096BCE">
      <w:pPr>
        <w:spacing w:after="0" w:line="240" w:lineRule="auto"/>
        <w:rPr>
          <w:rFonts w:ascii="Arial" w:eastAsia="Calibri" w:hAnsi="Arial" w:cs="Arial"/>
          <w:sz w:val="22"/>
          <w:lang w:val="es-CO"/>
        </w:rPr>
      </w:pPr>
    </w:p>
    <w:p w14:paraId="52B23834" w14:textId="77777777" w:rsidR="00096BCE" w:rsidRPr="000F3698" w:rsidRDefault="00096BCE" w:rsidP="00096BCE">
      <w:pPr>
        <w:spacing w:after="0" w:line="240" w:lineRule="auto"/>
        <w:rPr>
          <w:rFonts w:ascii="Arial" w:eastAsia="Calibri" w:hAnsi="Arial" w:cs="Arial"/>
          <w:sz w:val="22"/>
          <w:lang w:val="es-CO"/>
        </w:rPr>
      </w:pPr>
    </w:p>
    <w:p w14:paraId="1A230593" w14:textId="77777777" w:rsidR="00096BCE" w:rsidRPr="000F3698" w:rsidRDefault="00096BCE" w:rsidP="00096BCE">
      <w:pPr>
        <w:spacing w:after="0" w:line="240" w:lineRule="auto"/>
        <w:rPr>
          <w:rFonts w:ascii="Arial" w:eastAsia="Calibri" w:hAnsi="Arial" w:cs="Arial"/>
          <w:sz w:val="22"/>
          <w:lang w:val="es-CO"/>
        </w:rPr>
      </w:pPr>
    </w:p>
    <w:p w14:paraId="4C999458" w14:textId="77777777" w:rsidR="00096BCE" w:rsidRPr="000F3698" w:rsidRDefault="00096BCE" w:rsidP="00096BCE">
      <w:pPr>
        <w:spacing w:after="0" w:line="240" w:lineRule="auto"/>
        <w:rPr>
          <w:rFonts w:ascii="Arial" w:eastAsia="Calibri" w:hAnsi="Arial" w:cs="Arial"/>
          <w:sz w:val="22"/>
          <w:lang w:val="es-CO"/>
        </w:rPr>
      </w:pPr>
    </w:p>
    <w:p w14:paraId="3ADCD9CC" w14:textId="77777777" w:rsidR="00096BCE" w:rsidRPr="000F3698" w:rsidRDefault="00096BCE" w:rsidP="00096BCE">
      <w:pPr>
        <w:spacing w:after="0" w:line="240" w:lineRule="auto"/>
        <w:rPr>
          <w:rFonts w:ascii="Arial" w:eastAsia="Calibri" w:hAnsi="Arial" w:cs="Arial"/>
          <w:sz w:val="22"/>
          <w:lang w:val="es-CO"/>
        </w:rPr>
      </w:pPr>
    </w:p>
    <w:p w14:paraId="459C3B2E" w14:textId="4624364E" w:rsidR="00096BCE" w:rsidRDefault="00096BCE" w:rsidP="00096BCE">
      <w:pPr>
        <w:spacing w:after="0" w:line="240" w:lineRule="auto"/>
        <w:rPr>
          <w:rFonts w:ascii="Arial" w:eastAsia="Calibri" w:hAnsi="Arial" w:cs="Arial"/>
          <w:sz w:val="22"/>
          <w:lang w:val="es-CO"/>
        </w:rPr>
      </w:pPr>
    </w:p>
    <w:p w14:paraId="76443236" w14:textId="314746B1" w:rsidR="00490B05" w:rsidRDefault="00490B05" w:rsidP="00096BCE">
      <w:pPr>
        <w:spacing w:after="0" w:line="240" w:lineRule="auto"/>
        <w:rPr>
          <w:rFonts w:ascii="Arial" w:eastAsia="Calibri" w:hAnsi="Arial" w:cs="Arial"/>
          <w:sz w:val="22"/>
          <w:lang w:val="es-CO"/>
        </w:rPr>
      </w:pPr>
    </w:p>
    <w:p w14:paraId="166FBE8F" w14:textId="77777777" w:rsidR="00490B05" w:rsidRPr="000F3698" w:rsidRDefault="00490B05" w:rsidP="00096BCE">
      <w:pPr>
        <w:spacing w:after="0" w:line="240" w:lineRule="auto"/>
        <w:rPr>
          <w:rFonts w:ascii="Arial" w:eastAsia="Calibri" w:hAnsi="Arial" w:cs="Arial"/>
          <w:sz w:val="22"/>
          <w:lang w:val="es-CO"/>
        </w:rPr>
      </w:pPr>
    </w:p>
    <w:p w14:paraId="159725E9" w14:textId="77777777" w:rsidR="00096BCE" w:rsidRPr="000F3698" w:rsidRDefault="00096BCE" w:rsidP="00096BCE">
      <w:pPr>
        <w:spacing w:after="0" w:line="240" w:lineRule="auto"/>
        <w:rPr>
          <w:rFonts w:ascii="Arial" w:eastAsia="Calibri" w:hAnsi="Arial" w:cs="Arial"/>
          <w:sz w:val="22"/>
          <w:lang w:val="es-CO"/>
        </w:rPr>
      </w:pPr>
    </w:p>
    <w:p w14:paraId="62961915" w14:textId="77777777" w:rsidR="00096BCE" w:rsidRPr="000F3698" w:rsidRDefault="00096BCE" w:rsidP="00096BCE">
      <w:pPr>
        <w:spacing w:after="0" w:line="240" w:lineRule="auto"/>
        <w:rPr>
          <w:rFonts w:ascii="Arial" w:eastAsia="Calibri" w:hAnsi="Arial" w:cs="Arial"/>
          <w:sz w:val="22"/>
          <w:lang w:val="es-CO"/>
        </w:rPr>
      </w:pPr>
    </w:p>
    <w:p w14:paraId="03188704" w14:textId="72064F2E" w:rsidR="00A26B59" w:rsidRDefault="00A26B59" w:rsidP="00096BCE">
      <w:pPr>
        <w:spacing w:after="0" w:line="240" w:lineRule="auto"/>
        <w:rPr>
          <w:rFonts w:ascii="Arial" w:eastAsia="Calibri" w:hAnsi="Arial" w:cs="Arial"/>
          <w:sz w:val="22"/>
          <w:lang w:val="es-CO"/>
        </w:rPr>
      </w:pPr>
      <w:r>
        <w:rPr>
          <w:rFonts w:ascii="Arial" w:eastAsia="Calibri" w:hAnsi="Arial" w:cs="Arial"/>
          <w:noProof/>
          <w:sz w:val="22"/>
          <w:lang w:val="es-CO"/>
        </w:rPr>
        <w:drawing>
          <wp:anchor distT="0" distB="0" distL="114300" distR="114300" simplePos="0" relativeHeight="251658240" behindDoc="0" locked="0" layoutInCell="1" allowOverlap="1" wp14:anchorId="2FBF4D53" wp14:editId="52165590">
            <wp:simplePos x="0" y="0"/>
            <wp:positionH relativeFrom="column">
              <wp:posOffset>2752829</wp:posOffset>
            </wp:positionH>
            <wp:positionV relativeFrom="paragraph">
              <wp:posOffset>-109281</wp:posOffset>
            </wp:positionV>
            <wp:extent cx="3542044" cy="951978"/>
            <wp:effectExtent l="0" t="0" r="127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5026" cy="958155"/>
                    </a:xfrm>
                    <a:prstGeom prst="rect">
                      <a:avLst/>
                    </a:prstGeom>
                  </pic:spPr>
                </pic:pic>
              </a:graphicData>
            </a:graphic>
            <wp14:sizeRelH relativeFrom="page">
              <wp14:pctWidth>0</wp14:pctWidth>
            </wp14:sizeRelH>
            <wp14:sizeRelV relativeFrom="page">
              <wp14:pctHeight>0</wp14:pctHeight>
            </wp14:sizeRelV>
          </wp:anchor>
        </w:drawing>
      </w:r>
    </w:p>
    <w:p w14:paraId="3C06B46C" w14:textId="77777777" w:rsidR="00A26B59" w:rsidRDefault="00A26B59" w:rsidP="00096BCE">
      <w:pPr>
        <w:spacing w:after="0" w:line="240" w:lineRule="auto"/>
        <w:rPr>
          <w:rFonts w:ascii="Arial" w:eastAsia="Calibri" w:hAnsi="Arial" w:cs="Arial"/>
          <w:sz w:val="22"/>
          <w:lang w:val="es-CO"/>
        </w:rPr>
      </w:pPr>
    </w:p>
    <w:p w14:paraId="44CA4AE2" w14:textId="4741A293" w:rsidR="00A26B59" w:rsidRDefault="00A26B59" w:rsidP="00096BCE">
      <w:pPr>
        <w:spacing w:after="0" w:line="240" w:lineRule="auto"/>
        <w:rPr>
          <w:rFonts w:ascii="Arial" w:eastAsia="Calibri" w:hAnsi="Arial" w:cs="Arial"/>
          <w:sz w:val="22"/>
          <w:lang w:val="es-CO"/>
        </w:rPr>
      </w:pPr>
      <w:r>
        <w:rPr>
          <w:rFonts w:ascii="Arial" w:eastAsia="Calibri" w:hAnsi="Arial" w:cs="Arial"/>
          <w:sz w:val="22"/>
          <w:lang w:val="es-CO"/>
        </w:rPr>
        <w:t>Bogotá, 26 de Diciembre de 2022</w:t>
      </w:r>
    </w:p>
    <w:p w14:paraId="7A3FB5F0" w14:textId="335D6B97" w:rsidR="00A26B59" w:rsidRDefault="00A26B59" w:rsidP="00096BCE">
      <w:pPr>
        <w:spacing w:after="0" w:line="240" w:lineRule="auto"/>
        <w:rPr>
          <w:rFonts w:ascii="Arial" w:eastAsia="Calibri" w:hAnsi="Arial" w:cs="Arial"/>
          <w:sz w:val="22"/>
          <w:lang w:val="es-CO"/>
        </w:rPr>
      </w:pPr>
    </w:p>
    <w:p w14:paraId="21F556A0" w14:textId="77777777" w:rsidR="00A26B59" w:rsidRDefault="00A26B59" w:rsidP="00096BCE">
      <w:pPr>
        <w:spacing w:after="0" w:line="240" w:lineRule="auto"/>
        <w:rPr>
          <w:rFonts w:ascii="Arial" w:eastAsia="Calibri" w:hAnsi="Arial" w:cs="Arial"/>
          <w:sz w:val="22"/>
          <w:lang w:val="es-CO"/>
        </w:rPr>
      </w:pPr>
    </w:p>
    <w:p w14:paraId="4E839987" w14:textId="77777777" w:rsidR="00A26B59" w:rsidRDefault="00A26B59" w:rsidP="00096BCE">
      <w:pPr>
        <w:spacing w:after="0" w:line="240" w:lineRule="auto"/>
        <w:rPr>
          <w:rFonts w:ascii="Arial" w:eastAsia="Calibri" w:hAnsi="Arial" w:cs="Arial"/>
          <w:sz w:val="22"/>
          <w:lang w:val="es-CO"/>
        </w:rPr>
      </w:pPr>
    </w:p>
    <w:p w14:paraId="49DC0415" w14:textId="7BC30636" w:rsidR="00096BCE" w:rsidRPr="000F3698" w:rsidRDefault="00096BCE" w:rsidP="00096BCE">
      <w:pPr>
        <w:spacing w:after="0" w:line="240" w:lineRule="auto"/>
        <w:rPr>
          <w:rFonts w:ascii="Arial" w:eastAsia="Calibri" w:hAnsi="Arial" w:cs="Arial"/>
          <w:sz w:val="22"/>
          <w:lang w:val="es-CO"/>
        </w:rPr>
      </w:pPr>
      <w:r w:rsidRPr="000F3698">
        <w:rPr>
          <w:rFonts w:ascii="Arial" w:eastAsia="Calibri" w:hAnsi="Arial" w:cs="Arial"/>
          <w:sz w:val="22"/>
          <w:lang w:val="es-CO"/>
        </w:rPr>
        <w:t>Señor</w:t>
      </w:r>
      <w:r>
        <w:rPr>
          <w:rFonts w:ascii="Arial" w:eastAsia="Calibri" w:hAnsi="Arial" w:cs="Arial"/>
          <w:sz w:val="22"/>
          <w:lang w:val="es-CO"/>
        </w:rPr>
        <w:t>es</w:t>
      </w:r>
    </w:p>
    <w:p w14:paraId="18957B43" w14:textId="60D43D59" w:rsidR="00096BCE" w:rsidRPr="000F3698" w:rsidRDefault="00096BCE" w:rsidP="00096BCE">
      <w:pPr>
        <w:spacing w:after="0" w:line="240" w:lineRule="auto"/>
        <w:rPr>
          <w:rFonts w:ascii="Arial" w:eastAsia="Calibri" w:hAnsi="Arial" w:cs="Arial"/>
          <w:b/>
          <w:bCs/>
          <w:sz w:val="22"/>
          <w:lang w:val="es-CO"/>
        </w:rPr>
      </w:pPr>
      <w:r>
        <w:rPr>
          <w:rFonts w:ascii="Arial" w:eastAsia="Calibri" w:hAnsi="Arial" w:cs="Arial"/>
          <w:b/>
          <w:bCs/>
          <w:sz w:val="22"/>
          <w:lang w:val="es-CO"/>
        </w:rPr>
        <w:t>Consejo Profesional de Administración de Empresas</w:t>
      </w:r>
    </w:p>
    <w:p w14:paraId="39A686D1" w14:textId="77777777" w:rsidR="00096BCE" w:rsidRPr="000F3698" w:rsidRDefault="00096BCE" w:rsidP="00096BCE">
      <w:pPr>
        <w:spacing w:after="0" w:line="240" w:lineRule="auto"/>
        <w:rPr>
          <w:rFonts w:ascii="Arial" w:eastAsia="Calibri" w:hAnsi="Arial" w:cs="Arial"/>
          <w:sz w:val="22"/>
          <w:lang w:val="es-CO"/>
        </w:rPr>
      </w:pPr>
      <w:r w:rsidRPr="000F3698">
        <w:rPr>
          <w:rFonts w:ascii="Arial" w:eastAsia="Calibri" w:hAnsi="Arial" w:cs="Arial"/>
          <w:sz w:val="22"/>
          <w:lang w:val="es-CO"/>
        </w:rPr>
        <w:t>Bogotá D.C.</w:t>
      </w:r>
    </w:p>
    <w:p w14:paraId="7B8408BD" w14:textId="2791A55B" w:rsidR="00A26B59" w:rsidRDefault="00A26B59" w:rsidP="00096BCE">
      <w:pPr>
        <w:spacing w:after="0" w:line="240" w:lineRule="auto"/>
        <w:rPr>
          <w:rFonts w:ascii="Arial" w:eastAsia="Calibri" w:hAnsi="Arial" w:cs="Arial"/>
          <w:sz w:val="22"/>
          <w:lang w:val="es-CO"/>
        </w:rPr>
      </w:pPr>
    </w:p>
    <w:p w14:paraId="19815421" w14:textId="684476F6" w:rsidR="00A26B59" w:rsidRDefault="00A26B59" w:rsidP="00096BCE">
      <w:pPr>
        <w:spacing w:after="0" w:line="240" w:lineRule="auto"/>
        <w:rPr>
          <w:rFonts w:ascii="Arial" w:eastAsia="Calibri" w:hAnsi="Arial" w:cs="Arial"/>
          <w:sz w:val="22"/>
          <w:lang w:val="es-CO"/>
        </w:rPr>
      </w:pPr>
    </w:p>
    <w:p w14:paraId="2594B281" w14:textId="77777777" w:rsidR="00A26B59" w:rsidRDefault="00A26B59" w:rsidP="00096BCE">
      <w:pPr>
        <w:spacing w:after="0" w:line="240" w:lineRule="auto"/>
        <w:rPr>
          <w:rFonts w:ascii="Arial" w:eastAsia="Calibri" w:hAnsi="Arial" w:cs="Arial"/>
          <w:sz w:val="22"/>
          <w:lang w:val="es-CO"/>
        </w:rPr>
      </w:pPr>
    </w:p>
    <w:p w14:paraId="3C04D25F" w14:textId="77777777" w:rsidR="00A26B59" w:rsidRPr="000F3698" w:rsidRDefault="00A26B59" w:rsidP="00096BCE">
      <w:pPr>
        <w:spacing w:after="0" w:line="240" w:lineRule="auto"/>
        <w:rPr>
          <w:rFonts w:ascii="Arial" w:eastAsia="Calibri" w:hAnsi="Arial" w:cs="Arial"/>
          <w:sz w:val="22"/>
          <w:lang w:val="es-CO"/>
        </w:rPr>
      </w:pPr>
    </w:p>
    <w:p w14:paraId="3636D208" w14:textId="3FBF8E58" w:rsidR="00096BCE" w:rsidRPr="000F3698" w:rsidRDefault="00096BCE" w:rsidP="00096BCE">
      <w:pPr>
        <w:spacing w:after="0" w:line="240" w:lineRule="auto"/>
        <w:jc w:val="center"/>
        <w:rPr>
          <w:rFonts w:ascii="Arial" w:hAnsi="Arial" w:cs="Arial"/>
          <w:sz w:val="22"/>
          <w:lang w:val="es-CO"/>
        </w:rPr>
      </w:pPr>
      <w:r w:rsidRPr="000F3698">
        <w:rPr>
          <w:rFonts w:ascii="Arial" w:eastAsia="Calibri" w:hAnsi="Arial" w:cs="Arial"/>
          <w:b/>
          <w:sz w:val="22"/>
          <w:lang w:val="es-CO"/>
        </w:rPr>
        <w:t xml:space="preserve">Concepto C – </w:t>
      </w:r>
      <w:r>
        <w:rPr>
          <w:rFonts w:ascii="Arial" w:eastAsia="Calibri" w:hAnsi="Arial" w:cs="Arial"/>
          <w:b/>
          <w:sz w:val="22"/>
          <w:lang w:val="es-CO"/>
        </w:rPr>
        <w:t>847</w:t>
      </w:r>
      <w:r w:rsidRPr="000F3698">
        <w:rPr>
          <w:rFonts w:ascii="Arial" w:eastAsia="Calibri" w:hAnsi="Arial" w:cs="Arial"/>
          <w:b/>
          <w:sz w:val="22"/>
          <w:lang w:val="es-CO"/>
        </w:rPr>
        <w:t xml:space="preserve"> de 2022</w:t>
      </w:r>
    </w:p>
    <w:p w14:paraId="70245A0A" w14:textId="77777777" w:rsidR="00096BCE" w:rsidRPr="000F3698" w:rsidRDefault="00096BCE" w:rsidP="00096BC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96BCE" w:rsidRPr="000F3698" w14:paraId="6F38ADFE" w14:textId="77777777" w:rsidTr="00C221E8">
        <w:trPr>
          <w:trHeight w:val="485"/>
        </w:trPr>
        <w:tc>
          <w:tcPr>
            <w:tcW w:w="2689" w:type="dxa"/>
            <w:hideMark/>
          </w:tcPr>
          <w:p w14:paraId="3D9F295E" w14:textId="77777777" w:rsidR="00096BCE" w:rsidRPr="000F3698" w:rsidRDefault="00096BCE" w:rsidP="00C221E8">
            <w:pPr>
              <w:contextualSpacing/>
              <w:rPr>
                <w:rFonts w:ascii="Arial" w:eastAsia="Calibri" w:hAnsi="Arial" w:cs="Arial"/>
                <w:noProof/>
                <w:lang w:val="es-ES_tradnl"/>
              </w:rPr>
            </w:pPr>
            <w:r w:rsidRPr="000F3698">
              <w:rPr>
                <w:rFonts w:ascii="Arial" w:eastAsia="Calibri" w:hAnsi="Arial" w:cs="Arial"/>
                <w:b/>
                <w:noProof/>
                <w:lang w:val="es-ES_tradnl"/>
              </w:rPr>
              <w:t>Temas:</w:t>
            </w:r>
            <w:r w:rsidRPr="000F3698">
              <w:rPr>
                <w:rFonts w:ascii="Arial" w:eastAsia="Calibri" w:hAnsi="Arial" w:cs="Arial"/>
                <w:noProof/>
                <w:lang w:val="es-ES_tradnl"/>
              </w:rPr>
              <w:t xml:space="preserve">    </w:t>
            </w:r>
          </w:p>
        </w:tc>
        <w:tc>
          <w:tcPr>
            <w:tcW w:w="6237" w:type="dxa"/>
            <w:hideMark/>
          </w:tcPr>
          <w:p w14:paraId="1E02DF2E" w14:textId="77777777" w:rsidR="00096BCE" w:rsidRPr="000F3698" w:rsidRDefault="00096BCE" w:rsidP="00C221E8">
            <w:pPr>
              <w:spacing w:after="120"/>
              <w:ind w:right="703"/>
              <w:rPr>
                <w:rFonts w:ascii="Arial" w:eastAsia="Calibri" w:hAnsi="Arial" w:cs="Arial"/>
                <w:bCs/>
                <w:lang w:val="es-ES_tradnl"/>
              </w:rPr>
            </w:pPr>
            <w:r w:rsidRPr="000F3698">
              <w:rPr>
                <w:rFonts w:ascii="Arial" w:eastAsia="Calibri" w:hAnsi="Arial" w:cs="Arial"/>
                <w:bCs/>
                <w:lang w:val="es-ES_tradnl"/>
              </w:rPr>
              <w:t xml:space="preserve">CONTRATO ESTATAL DE PRESTACIÓN DE SERVICIOS </w:t>
            </w:r>
            <w:r w:rsidRPr="000F3698">
              <w:rPr>
                <w:rFonts w:ascii="Arial" w:eastAsia="Calibri" w:hAnsi="Arial" w:cs="Arial"/>
                <w:bCs/>
                <w:lang w:val="es-CO"/>
              </w:rPr>
              <w:t xml:space="preserve">– Régimen jurídico – Características generales – </w:t>
            </w:r>
            <w:r w:rsidRPr="000F3698">
              <w:rPr>
                <w:rFonts w:ascii="Arial" w:eastAsia="Calibri" w:hAnsi="Arial" w:cs="Arial"/>
                <w:bCs/>
                <w:lang w:val="es-ES_tradnl"/>
              </w:rPr>
              <w:t xml:space="preserve">Tipologías // INSUFICIENCIA DE PLANTA DE PERSONAL </w:t>
            </w:r>
            <w:r w:rsidRPr="000F3698">
              <w:rPr>
                <w:rFonts w:ascii="Arial" w:eastAsia="Calibri" w:hAnsi="Arial" w:cs="Arial"/>
                <w:bCs/>
                <w:lang w:val="es-CO"/>
              </w:rPr>
              <w:t xml:space="preserve">– </w:t>
            </w:r>
            <w:r w:rsidRPr="000F3698">
              <w:rPr>
                <w:rFonts w:ascii="Arial" w:eastAsia="Calibri" w:hAnsi="Arial" w:cs="Arial"/>
                <w:bCs/>
                <w:lang w:val="es-ES_tradnl"/>
              </w:rPr>
              <w:t>P</w:t>
            </w:r>
            <w:r w:rsidRPr="00C86B97">
              <w:rPr>
                <w:rFonts w:ascii="Arial" w:eastAsia="Calibri" w:hAnsi="Arial" w:cs="Arial"/>
                <w:bCs/>
                <w:lang w:val="es-ES_tradnl"/>
              </w:rPr>
              <w:t>rocedencia</w:t>
            </w:r>
            <w:r w:rsidRPr="000F3698">
              <w:rPr>
                <w:rFonts w:ascii="Arial" w:eastAsia="Calibri" w:hAnsi="Arial" w:cs="Arial"/>
                <w:bCs/>
                <w:lang w:val="es-ES_tradnl"/>
              </w:rPr>
              <w:t xml:space="preserve"> </w:t>
            </w:r>
            <w:r w:rsidRPr="000F3698">
              <w:rPr>
                <w:rFonts w:ascii="Arial" w:eastAsia="Calibri" w:hAnsi="Arial" w:cs="Arial"/>
                <w:bCs/>
                <w:lang w:val="es-CO"/>
              </w:rPr>
              <w:t xml:space="preserve">– Directiva Presidencial </w:t>
            </w:r>
            <w:proofErr w:type="spellStart"/>
            <w:r w:rsidRPr="000F3698">
              <w:rPr>
                <w:rFonts w:ascii="Arial" w:eastAsia="Calibri" w:hAnsi="Arial" w:cs="Arial"/>
                <w:bCs/>
                <w:lang w:val="es-CO"/>
              </w:rPr>
              <w:t>Nº</w:t>
            </w:r>
            <w:proofErr w:type="spellEnd"/>
            <w:r w:rsidRPr="000F3698">
              <w:rPr>
                <w:rFonts w:ascii="Arial" w:eastAsia="Calibri" w:hAnsi="Arial" w:cs="Arial"/>
                <w:bCs/>
                <w:lang w:val="es-CO"/>
              </w:rPr>
              <w:t xml:space="preserve"> 08 de 2022</w:t>
            </w:r>
          </w:p>
        </w:tc>
      </w:tr>
      <w:tr w:rsidR="00096BCE" w:rsidRPr="000F3698" w14:paraId="1FF7C444" w14:textId="77777777" w:rsidTr="00C221E8">
        <w:tc>
          <w:tcPr>
            <w:tcW w:w="2689" w:type="dxa"/>
          </w:tcPr>
          <w:p w14:paraId="6C77D1A5" w14:textId="1A9FA947" w:rsidR="00096BCE" w:rsidRPr="000F3698" w:rsidRDefault="00096BCE" w:rsidP="00C221E8">
            <w:pPr>
              <w:contextualSpacing/>
              <w:rPr>
                <w:rFonts w:ascii="Arial" w:eastAsia="Calibri" w:hAnsi="Arial" w:cs="Arial"/>
                <w:b/>
                <w:noProof/>
                <w:lang w:val="es-ES_tradnl"/>
              </w:rPr>
            </w:pPr>
            <w:r w:rsidRPr="000F3698">
              <w:rPr>
                <w:rFonts w:ascii="Arial" w:eastAsia="Calibri" w:hAnsi="Arial" w:cs="Arial"/>
                <w:b/>
                <w:noProof/>
                <w:lang w:val="es-ES_tradnl"/>
              </w:rPr>
              <w:t>Radicación:</w:t>
            </w:r>
            <w:r w:rsidRPr="000F3698">
              <w:rPr>
                <w:rFonts w:ascii="Arial" w:eastAsia="Calibri" w:hAnsi="Arial" w:cs="Arial"/>
                <w:noProof/>
                <w:lang w:val="es-ES_tradnl"/>
              </w:rPr>
              <w:t xml:space="preserve">               </w:t>
            </w:r>
          </w:p>
        </w:tc>
        <w:tc>
          <w:tcPr>
            <w:tcW w:w="6237" w:type="dxa"/>
          </w:tcPr>
          <w:p w14:paraId="4BB2A831" w14:textId="37345888" w:rsidR="00096BCE" w:rsidRPr="000F3698" w:rsidRDefault="00096BCE" w:rsidP="00C221E8">
            <w:pPr>
              <w:contextualSpacing/>
              <w:rPr>
                <w:rFonts w:ascii="Arial" w:eastAsia="Calibri" w:hAnsi="Arial" w:cs="Arial"/>
                <w:noProof/>
                <w:lang w:val="es-ES_tradnl"/>
              </w:rPr>
            </w:pPr>
            <w:r w:rsidRPr="000F3698">
              <w:rPr>
                <w:rFonts w:ascii="Arial" w:eastAsia="Calibri" w:hAnsi="Arial" w:cs="Arial"/>
                <w:noProof/>
                <w:lang w:val="es-ES_tradnl"/>
              </w:rPr>
              <w:t xml:space="preserve">Respuesta a consulta </w:t>
            </w:r>
            <w:r w:rsidRPr="00096BCE">
              <w:rPr>
                <w:rFonts w:ascii="Arial" w:eastAsia="Calibri" w:hAnsi="Arial" w:cs="Arial"/>
                <w:noProof/>
                <w:lang w:val="es-ES_tradnl"/>
              </w:rPr>
              <w:t>P20221111011306</w:t>
            </w:r>
          </w:p>
          <w:p w14:paraId="1FEB4661" w14:textId="77777777" w:rsidR="00096BCE" w:rsidRPr="000F3698" w:rsidRDefault="00096BCE" w:rsidP="00C221E8">
            <w:pPr>
              <w:contextualSpacing/>
              <w:rPr>
                <w:rFonts w:ascii="Arial" w:eastAsia="Calibri" w:hAnsi="Arial" w:cs="Arial"/>
                <w:noProof/>
                <w:lang w:val="es-ES_tradnl"/>
              </w:rPr>
            </w:pPr>
            <w:r w:rsidRPr="000F3698">
              <w:rPr>
                <w:rFonts w:ascii="Arial" w:eastAsia="Calibri" w:hAnsi="Arial" w:cs="Arial"/>
                <w:noProof/>
                <w:lang w:val="es-ES_tradnl"/>
              </w:rPr>
              <w:t xml:space="preserve">                  </w:t>
            </w:r>
          </w:p>
        </w:tc>
      </w:tr>
    </w:tbl>
    <w:p w14:paraId="7F31340C" w14:textId="200747C7" w:rsidR="00096BCE" w:rsidRDefault="00096BCE" w:rsidP="00096BCE">
      <w:pPr>
        <w:spacing w:after="0" w:line="240" w:lineRule="auto"/>
        <w:rPr>
          <w:rFonts w:ascii="Arial" w:eastAsia="Calibri" w:hAnsi="Arial" w:cs="Arial"/>
          <w:sz w:val="22"/>
          <w:lang w:val="es-CO"/>
        </w:rPr>
      </w:pPr>
    </w:p>
    <w:p w14:paraId="525958C9" w14:textId="48AFF966" w:rsidR="00A26B59" w:rsidRDefault="00A26B59" w:rsidP="00096BCE">
      <w:pPr>
        <w:spacing w:after="0" w:line="240" w:lineRule="auto"/>
        <w:rPr>
          <w:rFonts w:ascii="Arial" w:eastAsia="Calibri" w:hAnsi="Arial" w:cs="Arial"/>
          <w:sz w:val="22"/>
          <w:lang w:val="es-CO"/>
        </w:rPr>
      </w:pPr>
    </w:p>
    <w:p w14:paraId="21FFAADA" w14:textId="77777777" w:rsidR="00A26B59" w:rsidRPr="000F3698" w:rsidRDefault="00A26B59" w:rsidP="00096BCE">
      <w:pPr>
        <w:spacing w:after="0" w:line="240" w:lineRule="auto"/>
        <w:rPr>
          <w:rFonts w:ascii="Arial" w:eastAsia="Calibri" w:hAnsi="Arial" w:cs="Arial"/>
          <w:sz w:val="22"/>
          <w:lang w:val="es-CO"/>
        </w:rPr>
      </w:pPr>
    </w:p>
    <w:p w14:paraId="1DA6BE47" w14:textId="5490D15C" w:rsidR="00096BCE" w:rsidRDefault="00096BCE" w:rsidP="00096BCE">
      <w:pPr>
        <w:spacing w:after="0"/>
        <w:rPr>
          <w:rFonts w:ascii="Arial" w:eastAsia="Calibri" w:hAnsi="Arial" w:cs="Arial"/>
          <w:sz w:val="22"/>
          <w:lang w:val="es-CO"/>
        </w:rPr>
      </w:pPr>
      <w:r w:rsidRPr="000F3698">
        <w:rPr>
          <w:rFonts w:ascii="Arial" w:eastAsia="Calibri" w:hAnsi="Arial" w:cs="Arial"/>
          <w:sz w:val="22"/>
          <w:lang w:val="es-CO"/>
        </w:rPr>
        <w:t>Estimad</w:t>
      </w:r>
      <w:r>
        <w:rPr>
          <w:rFonts w:ascii="Arial" w:eastAsia="Calibri" w:hAnsi="Arial" w:cs="Arial"/>
          <w:sz w:val="22"/>
          <w:lang w:val="es-CO"/>
        </w:rPr>
        <w:t>os</w:t>
      </w:r>
      <w:r w:rsidRPr="000F3698">
        <w:rPr>
          <w:rFonts w:ascii="Arial" w:eastAsia="Calibri" w:hAnsi="Arial" w:cs="Arial"/>
          <w:sz w:val="22"/>
          <w:lang w:val="es-CO"/>
        </w:rPr>
        <w:t xml:space="preserve"> Seño</w:t>
      </w:r>
      <w:r>
        <w:rPr>
          <w:rFonts w:ascii="Arial" w:eastAsia="Calibri" w:hAnsi="Arial" w:cs="Arial"/>
          <w:sz w:val="22"/>
          <w:lang w:val="es-CO"/>
        </w:rPr>
        <w:t>res</w:t>
      </w:r>
      <w:r w:rsidRPr="000F3698">
        <w:rPr>
          <w:rFonts w:ascii="Arial" w:eastAsia="Calibri" w:hAnsi="Arial" w:cs="Arial"/>
          <w:sz w:val="22"/>
          <w:lang w:val="es-CO"/>
        </w:rPr>
        <w:t xml:space="preserve">: </w:t>
      </w:r>
    </w:p>
    <w:p w14:paraId="52BC8FBC" w14:textId="77777777" w:rsidR="00A26B59" w:rsidRPr="000F3698" w:rsidRDefault="00A26B59" w:rsidP="00096BCE">
      <w:pPr>
        <w:spacing w:after="0"/>
        <w:rPr>
          <w:rFonts w:ascii="Arial" w:eastAsia="Calibri" w:hAnsi="Arial" w:cs="Arial"/>
          <w:sz w:val="22"/>
          <w:lang w:val="es-CO"/>
        </w:rPr>
      </w:pPr>
    </w:p>
    <w:p w14:paraId="20DE5E78" w14:textId="77777777" w:rsidR="00096BCE" w:rsidRPr="000F3698" w:rsidRDefault="00096BCE" w:rsidP="00096BCE">
      <w:pPr>
        <w:spacing w:after="0"/>
        <w:ind w:firstLine="709"/>
        <w:rPr>
          <w:rFonts w:ascii="Arial" w:eastAsia="Calibri" w:hAnsi="Arial" w:cs="Arial"/>
          <w:sz w:val="22"/>
          <w:lang w:val="es-CO"/>
        </w:rPr>
      </w:pPr>
    </w:p>
    <w:p w14:paraId="0DDAEFAC" w14:textId="12EAAD12" w:rsidR="00096BCE" w:rsidRPr="000F3698" w:rsidRDefault="00096BCE" w:rsidP="00096BCE">
      <w:pPr>
        <w:spacing w:after="0"/>
        <w:ind w:right="51"/>
        <w:rPr>
          <w:rFonts w:ascii="Arial" w:eastAsia="Calibri" w:hAnsi="Arial" w:cs="Arial"/>
          <w:sz w:val="22"/>
          <w:lang w:val="es-CO"/>
        </w:rPr>
      </w:pPr>
      <w:r w:rsidRPr="000F3698">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Pr>
          <w:rFonts w:ascii="Arial" w:eastAsia="Calibri" w:hAnsi="Arial" w:cs="Arial"/>
          <w:sz w:val="22"/>
          <w:lang w:val="es-CO"/>
        </w:rPr>
        <w:t>11</w:t>
      </w:r>
      <w:r w:rsidRPr="000F3698">
        <w:rPr>
          <w:rFonts w:ascii="Arial" w:eastAsia="Calibri" w:hAnsi="Arial" w:cs="Arial"/>
          <w:sz w:val="22"/>
          <w:lang w:val="es-CO"/>
        </w:rPr>
        <w:t xml:space="preserve"> de </w:t>
      </w:r>
      <w:r>
        <w:rPr>
          <w:rFonts w:ascii="Arial" w:eastAsia="Calibri" w:hAnsi="Arial" w:cs="Arial"/>
          <w:sz w:val="22"/>
          <w:lang w:val="es-CO"/>
        </w:rPr>
        <w:t>noviembre</w:t>
      </w:r>
      <w:r w:rsidRPr="000F3698">
        <w:rPr>
          <w:rFonts w:ascii="Arial" w:eastAsia="Calibri" w:hAnsi="Arial" w:cs="Arial"/>
          <w:sz w:val="22"/>
          <w:lang w:val="es-CO"/>
        </w:rPr>
        <w:t xml:space="preserve"> de 2022. </w:t>
      </w:r>
    </w:p>
    <w:p w14:paraId="2329574D" w14:textId="77777777" w:rsidR="00096BCE" w:rsidRPr="000F3698" w:rsidRDefault="00096BCE" w:rsidP="00096BCE">
      <w:pPr>
        <w:spacing w:after="0"/>
        <w:ind w:right="51"/>
        <w:rPr>
          <w:rFonts w:ascii="Arial" w:eastAsia="Calibri" w:hAnsi="Arial" w:cs="Arial"/>
          <w:sz w:val="22"/>
          <w:lang w:val="es-CO"/>
        </w:rPr>
      </w:pPr>
    </w:p>
    <w:p w14:paraId="0406F932" w14:textId="77777777" w:rsidR="00096BCE" w:rsidRPr="000F3698" w:rsidRDefault="00096BCE" w:rsidP="00096BCE">
      <w:pPr>
        <w:pStyle w:val="Prrafodelista"/>
        <w:numPr>
          <w:ilvl w:val="0"/>
          <w:numId w:val="1"/>
        </w:numPr>
        <w:tabs>
          <w:tab w:val="left" w:pos="284"/>
        </w:tabs>
        <w:ind w:left="426"/>
        <w:rPr>
          <w:rFonts w:ascii="Arial" w:eastAsia="Calibri" w:hAnsi="Arial" w:cs="Arial"/>
          <w:b/>
          <w:sz w:val="22"/>
        </w:rPr>
      </w:pPr>
      <w:r w:rsidRPr="000F3698">
        <w:rPr>
          <w:rFonts w:ascii="Arial" w:eastAsia="Calibri" w:hAnsi="Arial" w:cs="Arial"/>
          <w:b/>
          <w:sz w:val="22"/>
        </w:rPr>
        <w:t xml:space="preserve">Problema planteado </w:t>
      </w:r>
    </w:p>
    <w:p w14:paraId="1A92ACF0" w14:textId="77777777" w:rsidR="00096BCE" w:rsidRPr="000F3698" w:rsidRDefault="00096BCE" w:rsidP="00096BCE">
      <w:pPr>
        <w:pStyle w:val="Prrafodelista"/>
        <w:tabs>
          <w:tab w:val="left" w:pos="284"/>
        </w:tabs>
        <w:rPr>
          <w:rFonts w:ascii="Arial" w:eastAsia="Calibri" w:hAnsi="Arial" w:cs="Arial"/>
          <w:b/>
          <w:sz w:val="22"/>
        </w:rPr>
      </w:pPr>
    </w:p>
    <w:p w14:paraId="2F773675" w14:textId="16C59F27" w:rsidR="00096BCE" w:rsidRPr="000F3698" w:rsidRDefault="00096BCE" w:rsidP="00096BCE">
      <w:pPr>
        <w:pStyle w:val="NormalWeb"/>
        <w:spacing w:before="0" w:beforeAutospacing="0" w:after="0" w:afterAutospacing="0"/>
        <w:ind w:right="49"/>
        <w:rPr>
          <w:rFonts w:ascii="Arial" w:hAnsi="Arial" w:cs="Arial"/>
          <w:sz w:val="22"/>
          <w:szCs w:val="22"/>
        </w:rPr>
      </w:pPr>
      <w:bookmarkStart w:id="1" w:name="_Hlk103091300"/>
      <w:r w:rsidRPr="000F3698">
        <w:rPr>
          <w:rFonts w:ascii="Arial" w:hAnsi="Arial" w:cs="Arial"/>
          <w:sz w:val="22"/>
          <w:szCs w:val="22"/>
        </w:rPr>
        <w:t>Usted formula solicitud de consulta:</w:t>
      </w:r>
    </w:p>
    <w:p w14:paraId="00C840C2" w14:textId="2B99FBE9" w:rsidR="00096BCE" w:rsidRPr="00096BCE" w:rsidRDefault="00096BCE" w:rsidP="00096BCE">
      <w:pPr>
        <w:pStyle w:val="NormalWeb"/>
        <w:spacing w:after="0" w:line="240" w:lineRule="auto"/>
        <w:ind w:left="709" w:right="709"/>
        <w:rPr>
          <w:rFonts w:ascii="Arial" w:hAnsi="Arial" w:cs="Arial"/>
          <w:sz w:val="21"/>
          <w:szCs w:val="21"/>
        </w:rPr>
      </w:pPr>
      <w:r w:rsidRPr="000F3698">
        <w:rPr>
          <w:rFonts w:ascii="Arial" w:hAnsi="Arial" w:cs="Arial"/>
          <w:sz w:val="21"/>
          <w:szCs w:val="21"/>
        </w:rPr>
        <w:t>«1.</w:t>
      </w:r>
      <w:r>
        <w:rPr>
          <w:rFonts w:ascii="Arial" w:hAnsi="Arial" w:cs="Arial"/>
          <w:sz w:val="21"/>
          <w:szCs w:val="21"/>
        </w:rPr>
        <w:t xml:space="preserve"> </w:t>
      </w:r>
      <w:r w:rsidRPr="00096BCE">
        <w:rPr>
          <w:rFonts w:ascii="Arial" w:hAnsi="Arial" w:cs="Arial"/>
          <w:sz w:val="21"/>
          <w:szCs w:val="21"/>
        </w:rPr>
        <w:t>¿La certificación de no disponibilidad o insuficiencia de personal es un requisito en que modalidad de contratación?</w:t>
      </w:r>
    </w:p>
    <w:p w14:paraId="1D68F698" w14:textId="4108F641" w:rsidR="00096BCE" w:rsidRPr="00096BCE" w:rsidRDefault="00096BCE" w:rsidP="00096BCE">
      <w:pPr>
        <w:pStyle w:val="NormalWeb"/>
        <w:spacing w:after="0" w:line="240" w:lineRule="auto"/>
        <w:ind w:left="709" w:right="709"/>
        <w:rPr>
          <w:rFonts w:ascii="Arial" w:hAnsi="Arial" w:cs="Arial"/>
          <w:sz w:val="21"/>
          <w:szCs w:val="21"/>
        </w:rPr>
      </w:pPr>
      <w:r w:rsidRPr="00096BCE">
        <w:rPr>
          <w:rFonts w:ascii="Arial" w:hAnsi="Arial" w:cs="Arial"/>
          <w:sz w:val="21"/>
          <w:szCs w:val="21"/>
        </w:rPr>
        <w:t>2.</w:t>
      </w:r>
      <w:r>
        <w:rPr>
          <w:rFonts w:ascii="Arial" w:hAnsi="Arial" w:cs="Arial"/>
          <w:sz w:val="21"/>
          <w:szCs w:val="21"/>
        </w:rPr>
        <w:t xml:space="preserve"> </w:t>
      </w:r>
      <w:r w:rsidRPr="00096BCE">
        <w:rPr>
          <w:rFonts w:ascii="Arial" w:hAnsi="Arial" w:cs="Arial"/>
          <w:sz w:val="21"/>
          <w:szCs w:val="21"/>
        </w:rPr>
        <w:t>¿La certificación de no disponibilidad o insuficiencia de personal es un requisito solo en contratos de prestación de servicios y de apoyo a la gestión?</w:t>
      </w:r>
    </w:p>
    <w:p w14:paraId="01309020" w14:textId="26E30CEB" w:rsidR="00096BCE" w:rsidRDefault="00096BCE" w:rsidP="00096BCE">
      <w:pPr>
        <w:pStyle w:val="NormalWeb"/>
        <w:spacing w:before="0" w:beforeAutospacing="0" w:after="0" w:afterAutospacing="0" w:line="240" w:lineRule="auto"/>
        <w:ind w:left="709" w:right="709"/>
        <w:rPr>
          <w:rFonts w:ascii="Arial" w:hAnsi="Arial" w:cs="Arial"/>
          <w:sz w:val="21"/>
          <w:szCs w:val="21"/>
        </w:rPr>
      </w:pPr>
      <w:r w:rsidRPr="00096BCE">
        <w:rPr>
          <w:rFonts w:ascii="Arial" w:hAnsi="Arial" w:cs="Arial"/>
          <w:sz w:val="21"/>
          <w:szCs w:val="21"/>
        </w:rPr>
        <w:lastRenderedPageBreak/>
        <w:t>3. ¿La certificación de no disponibilidad o insuficiencia de personal es un requisito cuando el contratista es persona natural o jurídica o se aplica en ambos casos?</w:t>
      </w:r>
      <w:r w:rsidRPr="000F3698">
        <w:rPr>
          <w:rFonts w:ascii="Arial" w:hAnsi="Arial" w:cs="Arial"/>
          <w:sz w:val="21"/>
          <w:szCs w:val="21"/>
        </w:rPr>
        <w:t>»</w:t>
      </w:r>
      <w:bookmarkEnd w:id="1"/>
      <w:r w:rsidRPr="000F3698">
        <w:rPr>
          <w:rFonts w:ascii="Arial" w:hAnsi="Arial" w:cs="Arial"/>
          <w:sz w:val="21"/>
          <w:szCs w:val="21"/>
        </w:rPr>
        <w:t>.</w:t>
      </w:r>
    </w:p>
    <w:p w14:paraId="6F73633E" w14:textId="77777777" w:rsidR="00A26B59" w:rsidRDefault="00A26B59" w:rsidP="00096BCE">
      <w:pPr>
        <w:pStyle w:val="NormalWeb"/>
        <w:spacing w:before="0" w:beforeAutospacing="0" w:after="0" w:afterAutospacing="0" w:line="240" w:lineRule="auto"/>
        <w:ind w:left="709" w:right="709"/>
        <w:rPr>
          <w:rFonts w:ascii="Arial" w:hAnsi="Arial" w:cs="Arial"/>
          <w:sz w:val="21"/>
          <w:szCs w:val="21"/>
        </w:rPr>
      </w:pPr>
    </w:p>
    <w:p w14:paraId="3F15BFDA" w14:textId="77777777" w:rsidR="00096BCE" w:rsidRPr="000F3698" w:rsidRDefault="00096BCE" w:rsidP="00096BCE">
      <w:pPr>
        <w:pStyle w:val="NormalWeb"/>
        <w:spacing w:after="0" w:afterAutospacing="0" w:line="240" w:lineRule="auto"/>
        <w:ind w:right="709"/>
        <w:rPr>
          <w:rFonts w:ascii="Arial" w:eastAsia="Calibri" w:hAnsi="Arial" w:cs="Arial"/>
          <w:b/>
          <w:sz w:val="22"/>
        </w:rPr>
      </w:pPr>
      <w:r w:rsidRPr="000F3698">
        <w:rPr>
          <w:rFonts w:ascii="Arial" w:eastAsia="Calibri" w:hAnsi="Arial" w:cs="Arial"/>
          <w:b/>
          <w:sz w:val="22"/>
        </w:rPr>
        <w:t>2. Consideraciones</w:t>
      </w:r>
    </w:p>
    <w:p w14:paraId="406DF470" w14:textId="77777777" w:rsidR="00096BCE" w:rsidRPr="000F3698" w:rsidRDefault="00096BCE" w:rsidP="00096BCE">
      <w:pPr>
        <w:spacing w:after="0"/>
        <w:rPr>
          <w:rFonts w:ascii="Arial" w:hAnsi="Arial" w:cs="Arial"/>
          <w:bCs/>
          <w:sz w:val="22"/>
        </w:rPr>
      </w:pPr>
      <w:bookmarkStart w:id="2" w:name="_Hlk96420298"/>
    </w:p>
    <w:p w14:paraId="5547390A" w14:textId="77777777" w:rsidR="00096BCE" w:rsidRPr="00523997" w:rsidRDefault="00096BCE" w:rsidP="00096BCE">
      <w:pPr>
        <w:spacing w:after="120"/>
        <w:rPr>
          <w:rFonts w:ascii="Arial" w:hAnsi="Arial" w:cs="Arial"/>
          <w:bCs/>
          <w:sz w:val="22"/>
        </w:rPr>
      </w:pPr>
      <w:r w:rsidRPr="00523997">
        <w:rPr>
          <w:rFonts w:ascii="Arial" w:hAnsi="Arial" w:cs="Arial"/>
          <w:bCs/>
          <w:sz w:val="22"/>
        </w:rPr>
        <w:t xml:space="preserve">En ejercicio de las competencias establecidas en los artículos 3.5 y 11.8 del Decreto 4170 de 2011, la Agencia Nacional de Contratación Pública </w:t>
      </w:r>
      <w:bookmarkStart w:id="3" w:name="_Hlk99611965"/>
      <w:r w:rsidRPr="00523997">
        <w:rPr>
          <w:rFonts w:ascii="Arial" w:hAnsi="Arial" w:cs="Arial"/>
          <w:bCs/>
          <w:sz w:val="22"/>
        </w:rPr>
        <w:t>–</w:t>
      </w:r>
      <w:bookmarkEnd w:id="3"/>
      <w:r w:rsidRPr="00523997">
        <w:rPr>
          <w:rFonts w:ascii="Arial" w:hAnsi="Arial" w:cs="Arial"/>
          <w:bCs/>
          <w:sz w:val="22"/>
        </w:rPr>
        <w:t xml:space="preserve"> Colombia Compra Eficiente resuelve consultas sobre </w:t>
      </w:r>
      <w:bookmarkStart w:id="4" w:name="_Hlk61026958"/>
      <w:bookmarkStart w:id="5" w:name="_Hlk61701014"/>
      <w:bookmarkStart w:id="6" w:name="_Hlk62136649"/>
      <w:r w:rsidRPr="00523997">
        <w:rPr>
          <w:rFonts w:ascii="Arial" w:hAnsi="Arial"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523997">
        <w:rPr>
          <w:rFonts w:ascii="Arial" w:hAnsi="Arial" w:cs="Arial"/>
          <w:bCs/>
          <w:sz w:val="22"/>
        </w:rPr>
        <w:t xml:space="preserve"> de todos los partícipes de la contratación estatal ni para interpretar el alcance de cualquier norma vigente en el ordenamiento jurídico.</w:t>
      </w:r>
    </w:p>
    <w:bookmarkEnd w:id="2"/>
    <w:bookmarkEnd w:id="4"/>
    <w:bookmarkEnd w:id="5"/>
    <w:bookmarkEnd w:id="6"/>
    <w:p w14:paraId="286411FF" w14:textId="0FDBF874" w:rsidR="00096BCE" w:rsidRPr="00523997" w:rsidRDefault="00096BCE" w:rsidP="00096BCE">
      <w:pPr>
        <w:spacing w:after="120"/>
        <w:ind w:firstLine="708"/>
        <w:rPr>
          <w:rFonts w:ascii="Arial" w:eastAsia="Calibri" w:hAnsi="Arial" w:cs="Arial"/>
          <w:color w:val="000000" w:themeColor="text1"/>
          <w:sz w:val="22"/>
          <w:lang w:val="es-ES_tradnl"/>
        </w:rPr>
      </w:pPr>
      <w:r w:rsidRPr="00523997">
        <w:rPr>
          <w:rFonts w:ascii="Arial" w:eastAsia="Calibri" w:hAnsi="Arial" w:cs="Arial"/>
          <w:color w:val="000000" w:themeColor="text1"/>
          <w:sz w:val="22"/>
          <w:lang w:val="es-ES_tradnl"/>
        </w:rPr>
        <w:t xml:space="preserve">Sin perjuicio de lo anterior, se resolverá la consulta planteada dentro los límites de la competencia consultiva atribuida a esta Agencia, abordando los siguientes temas: i) las características generales del contrato estatal de prestación de servicios; y </w:t>
      </w:r>
      <w:proofErr w:type="spellStart"/>
      <w:r w:rsidRPr="00523997">
        <w:rPr>
          <w:rFonts w:ascii="Arial" w:eastAsia="Calibri" w:hAnsi="Arial" w:cs="Arial"/>
          <w:color w:val="000000" w:themeColor="text1"/>
          <w:sz w:val="22"/>
          <w:lang w:val="es-ES_tradnl"/>
        </w:rPr>
        <w:t>ii</w:t>
      </w:r>
      <w:proofErr w:type="spellEnd"/>
      <w:r w:rsidRPr="00523997">
        <w:rPr>
          <w:rFonts w:ascii="Arial" w:eastAsia="Calibri" w:hAnsi="Arial" w:cs="Arial"/>
          <w:color w:val="000000" w:themeColor="text1"/>
          <w:sz w:val="22"/>
          <w:lang w:val="es-ES_tradnl"/>
        </w:rPr>
        <w:t xml:space="preserve">) </w:t>
      </w:r>
      <w:r w:rsidRPr="00523997">
        <w:rPr>
          <w:rFonts w:ascii="Arial" w:eastAsia="Calibri" w:hAnsi="Arial" w:cs="Arial"/>
          <w:color w:val="000000" w:themeColor="text1"/>
          <w:sz w:val="22"/>
        </w:rPr>
        <w:t>la obligación de certificar la insuficiencia de la planta de personal de la entidad o la necesidad de contar con conocimientos especializados</w:t>
      </w:r>
      <w:r w:rsidRPr="00523997">
        <w:rPr>
          <w:rFonts w:ascii="Arial" w:eastAsia="Calibri" w:hAnsi="Arial" w:cs="Arial"/>
          <w:color w:val="000000" w:themeColor="text1"/>
          <w:sz w:val="22"/>
          <w:lang w:val="es-ES_tradnl"/>
        </w:rPr>
        <w:t>.</w:t>
      </w:r>
      <w:r w:rsidRPr="00523997">
        <w:rPr>
          <w:rFonts w:ascii="Arial" w:eastAsia="Calibri" w:hAnsi="Arial" w:cs="Arial"/>
          <w:color w:val="000000" w:themeColor="text1"/>
          <w:sz w:val="22"/>
          <w:lang w:val="es-ES_tradnl"/>
        </w:rPr>
        <w:tab/>
      </w:r>
    </w:p>
    <w:p w14:paraId="2213238D" w14:textId="349371B7" w:rsidR="00096BCE" w:rsidRPr="00523997" w:rsidRDefault="00096BCE" w:rsidP="00096BCE">
      <w:pPr>
        <w:spacing w:after="0"/>
        <w:ind w:firstLine="708"/>
        <w:rPr>
          <w:rFonts w:ascii="Arial" w:eastAsia="Calibri" w:hAnsi="Arial" w:cs="Arial"/>
          <w:sz w:val="22"/>
        </w:rPr>
      </w:pPr>
      <w:r w:rsidRPr="00523997">
        <w:rPr>
          <w:rFonts w:ascii="Arial" w:eastAsia="Calibri" w:hAnsi="Arial" w:cs="Arial"/>
          <w:color w:val="000000" w:themeColor="text1"/>
          <w:sz w:val="22"/>
          <w:lang w:val="es-ES_tradnl"/>
        </w:rPr>
        <w:t xml:space="preserve">La Agencia Nacional de Contratación Pública – Colombia Compra Eficiente se pronunció sobre el concepto y límites del contrato de prestación de servicios profesionales y de apoyo a la gestión en los conceptos C-090 del </w:t>
      </w:r>
      <w:r w:rsidRPr="00523997">
        <w:rPr>
          <w:rFonts w:ascii="Arial" w:hAnsi="Arial" w:cs="Arial"/>
          <w:color w:val="000000" w:themeColor="text1"/>
          <w:sz w:val="22"/>
        </w:rPr>
        <w:t xml:space="preserve">24 de febrero de 2020, </w:t>
      </w:r>
      <w:r w:rsidRPr="00523997">
        <w:rPr>
          <w:rFonts w:ascii="Arial" w:hAnsi="Arial" w:cs="Arial"/>
          <w:sz w:val="22"/>
        </w:rPr>
        <w:t xml:space="preserve">C-105 del </w:t>
      </w:r>
      <w:r w:rsidRPr="00523997">
        <w:rPr>
          <w:rFonts w:ascii="Arial" w:eastAsia="Arial" w:hAnsi="Arial" w:cs="Arial"/>
          <w:sz w:val="22"/>
          <w:lang w:val="es-ES"/>
        </w:rPr>
        <w:t xml:space="preserve">12 de marzo 03 de 2020, C-156 del 3 de abril de 2020, </w:t>
      </w:r>
      <w:r w:rsidRPr="00523997">
        <w:rPr>
          <w:rFonts w:ascii="Arial" w:hAnsi="Arial" w:cs="Arial"/>
          <w:sz w:val="22"/>
        </w:rPr>
        <w:t xml:space="preserve">C-188 del </w:t>
      </w:r>
      <w:r w:rsidRPr="00523997">
        <w:rPr>
          <w:rFonts w:ascii="Arial" w:hAnsi="Arial" w:cs="Arial"/>
          <w:color w:val="000000" w:themeColor="text1"/>
          <w:sz w:val="22"/>
        </w:rPr>
        <w:t xml:space="preserve">13 de abril de 2020, </w:t>
      </w:r>
      <w:r w:rsidRPr="00523997">
        <w:rPr>
          <w:rFonts w:ascii="Arial" w:hAnsi="Arial" w:cs="Arial"/>
          <w:sz w:val="22"/>
        </w:rPr>
        <w:t xml:space="preserve">C-208 del </w:t>
      </w:r>
      <w:r w:rsidRPr="00523997">
        <w:rPr>
          <w:rFonts w:ascii="Arial" w:hAnsi="Arial" w:cs="Arial"/>
          <w:color w:val="000000" w:themeColor="text1"/>
          <w:sz w:val="22"/>
        </w:rPr>
        <w:t xml:space="preserve">24 de abril de 2020; </w:t>
      </w:r>
      <w:r w:rsidRPr="00523997">
        <w:rPr>
          <w:rFonts w:ascii="Arial" w:hAnsi="Arial" w:cs="Arial"/>
          <w:noProof/>
          <w:sz w:val="22"/>
          <w:lang w:val="es-ES_tradnl"/>
        </w:rPr>
        <w:t>C-138, C-005, C-006 y C-018 del 11 de mayo de 2020; C-175, C-320, C-053, C-255, C-282 y C-293 del 12 de mayo de 2020, C-288 del 27 de mayo de 2020, C-345 del 13 de mayo de 2020</w:t>
      </w:r>
      <w:r w:rsidRPr="00523997">
        <w:rPr>
          <w:rFonts w:ascii="Arial" w:hAnsi="Arial" w:cs="Arial"/>
          <w:color w:val="000000" w:themeColor="text1"/>
          <w:sz w:val="22"/>
        </w:rPr>
        <w:t xml:space="preserve">, </w:t>
      </w:r>
      <w:r w:rsidRPr="00523997">
        <w:rPr>
          <w:rFonts w:ascii="Arial" w:hAnsi="Arial" w:cs="Arial"/>
          <w:color w:val="212529"/>
          <w:sz w:val="22"/>
        </w:rPr>
        <w:t xml:space="preserve">C-414 </w:t>
      </w:r>
      <w:r w:rsidRPr="00523997">
        <w:rPr>
          <w:rFonts w:ascii="Arial" w:hAnsi="Arial" w:cs="Arial"/>
          <w:sz w:val="22"/>
        </w:rPr>
        <w:t xml:space="preserve">del 30 de junio de 2020, </w:t>
      </w:r>
      <w:r w:rsidRPr="00523997">
        <w:rPr>
          <w:rFonts w:ascii="Arial" w:hAnsi="Arial" w:cs="Arial"/>
          <w:noProof/>
          <w:sz w:val="22"/>
          <w:lang w:val="es-ES_tradnl"/>
        </w:rPr>
        <w:t>C-484 del 6 de agosto de 2020, C-608 del 1 de octubre de 2020,</w:t>
      </w:r>
      <w:r w:rsidRPr="00523997">
        <w:rPr>
          <w:rFonts w:ascii="Arial" w:hAnsi="Arial" w:cs="Arial"/>
          <w:sz w:val="22"/>
        </w:rPr>
        <w:t xml:space="preserve"> C-739 del 16 de diciembre de 2020, C-106 de 07 de abril de 2021, C-145 de 8 de abril de 2021, C-491 del 14 de septiembre de 2021, C- 517 del 30 de septiembre de 2021, C-019 del 21 de febrero de 2022</w:t>
      </w:r>
      <w:r>
        <w:rPr>
          <w:rFonts w:ascii="Arial" w:hAnsi="Arial" w:cs="Arial"/>
          <w:sz w:val="22"/>
        </w:rPr>
        <w:t xml:space="preserve"> y C-689 de 2022</w:t>
      </w:r>
      <w:r w:rsidRPr="00523997">
        <w:rPr>
          <w:rFonts w:ascii="Arial" w:hAnsi="Arial" w:cs="Arial"/>
          <w:sz w:val="22"/>
        </w:rPr>
        <w:t xml:space="preserve">, entre otros. </w:t>
      </w:r>
      <w:r w:rsidRPr="00523997">
        <w:rPr>
          <w:rFonts w:ascii="Arial" w:eastAsia="Calibri" w:hAnsi="Arial" w:cs="Arial"/>
          <w:sz w:val="22"/>
        </w:rPr>
        <w:t>Las tesis expuestas en estos conceptos se reiteran a continuación y se complementan en lo pertinente.</w:t>
      </w:r>
    </w:p>
    <w:p w14:paraId="5347AFBD" w14:textId="77777777" w:rsidR="00096BCE" w:rsidRPr="000F3698" w:rsidRDefault="00096BCE" w:rsidP="00096BCE">
      <w:pPr>
        <w:spacing w:after="0"/>
        <w:ind w:firstLine="708"/>
        <w:rPr>
          <w:rFonts w:ascii="Arial" w:eastAsia="Calibri" w:hAnsi="Arial" w:cs="Arial"/>
          <w:color w:val="000000" w:themeColor="text1"/>
          <w:sz w:val="22"/>
          <w:lang w:val="es-ES_tradnl"/>
        </w:rPr>
      </w:pPr>
    </w:p>
    <w:p w14:paraId="002DC57F" w14:textId="77777777" w:rsidR="00096BCE" w:rsidRPr="000F3698" w:rsidRDefault="00096BCE" w:rsidP="00096BCE">
      <w:pPr>
        <w:rPr>
          <w:rFonts w:ascii="Arial" w:eastAsia="Calibri" w:hAnsi="Arial" w:cs="Arial"/>
          <w:b/>
          <w:bCs/>
          <w:color w:val="000000" w:themeColor="text1"/>
          <w:sz w:val="22"/>
          <w:lang w:val="es-ES_tradnl"/>
        </w:rPr>
      </w:pPr>
      <w:bookmarkStart w:id="7" w:name="_Hlk57650395"/>
      <w:r w:rsidRPr="000F3698">
        <w:rPr>
          <w:rFonts w:ascii="Arial" w:eastAsia="Calibri" w:hAnsi="Arial" w:cs="Arial"/>
          <w:b/>
          <w:bCs/>
          <w:color w:val="000000" w:themeColor="text1"/>
          <w:sz w:val="22"/>
          <w:lang w:val="es-ES_tradnl"/>
        </w:rPr>
        <w:t>2.1. Características generales del contrato estatal de prestación de servicios</w:t>
      </w:r>
    </w:p>
    <w:p w14:paraId="76FE58D3" w14:textId="77777777" w:rsidR="00096BCE" w:rsidRPr="000F3698" w:rsidRDefault="00096BCE" w:rsidP="00096BCE">
      <w:pPr>
        <w:rPr>
          <w:rFonts w:ascii="Arial" w:eastAsia="Calibri" w:hAnsi="Arial" w:cs="Arial"/>
          <w:sz w:val="22"/>
        </w:rPr>
      </w:pPr>
      <w:r w:rsidRPr="00096BCE">
        <w:rPr>
          <w:rFonts w:ascii="Arial" w:hAnsi="Arial" w:cs="Arial"/>
          <w:color w:val="000000" w:themeColor="text1"/>
          <w:sz w:val="22"/>
        </w:rPr>
        <w:t xml:space="preserve">El contrato de prestación de servicios es un contrato estatal típico, regulado en el numeral 3 del artículo 32 de la Ley 80 de 1993, definido como </w:t>
      </w:r>
      <w:r w:rsidRPr="00096BCE">
        <w:rPr>
          <w:rFonts w:ascii="Arial" w:hAnsi="Arial" w:cs="Arial"/>
          <w:sz w:val="22"/>
        </w:rPr>
        <w:t>el suscrito por las entidades del Estado con el objeto de apoyar y desarrollar actividades propias del funcionamiento y la administración de las entidades estatales. La norma</w:t>
      </w:r>
      <w:r w:rsidRPr="00096BCE">
        <w:rPr>
          <w:rFonts w:ascii="Arial" w:hAnsi="Arial" w:cs="Arial"/>
          <w:spacing w:val="-6"/>
          <w:sz w:val="22"/>
        </w:rPr>
        <w:t xml:space="preserve"> </w:t>
      </w:r>
      <w:r w:rsidRPr="00096BCE">
        <w:rPr>
          <w:rFonts w:ascii="Arial" w:hAnsi="Arial" w:cs="Arial"/>
          <w:sz w:val="22"/>
        </w:rPr>
        <w:t>señala:</w:t>
      </w:r>
    </w:p>
    <w:p w14:paraId="16A27FA2" w14:textId="77777777" w:rsidR="00096BCE" w:rsidRPr="00E87606" w:rsidRDefault="00096BCE" w:rsidP="00096BCE">
      <w:pPr>
        <w:pStyle w:val="Textoindependiente"/>
        <w:ind w:right="709" w:firstLine="708"/>
        <w:jc w:val="both"/>
        <w:rPr>
          <w:sz w:val="21"/>
          <w:szCs w:val="21"/>
        </w:rPr>
      </w:pPr>
      <w:r w:rsidRPr="00E87606">
        <w:rPr>
          <w:sz w:val="21"/>
          <w:szCs w:val="21"/>
        </w:rPr>
        <w:lastRenderedPageBreak/>
        <w:t xml:space="preserve">Artículo 32. De los Contratos Estatales. </w:t>
      </w:r>
    </w:p>
    <w:p w14:paraId="730717C8" w14:textId="77777777" w:rsidR="00096BCE" w:rsidRPr="00A9289D" w:rsidRDefault="00096BCE" w:rsidP="00096BCE">
      <w:pPr>
        <w:pStyle w:val="Textoindependiente"/>
        <w:ind w:right="709" w:firstLine="708"/>
        <w:jc w:val="both"/>
        <w:rPr>
          <w:sz w:val="21"/>
          <w:szCs w:val="21"/>
        </w:rPr>
      </w:pPr>
      <w:r w:rsidRPr="00A9289D">
        <w:rPr>
          <w:sz w:val="21"/>
          <w:szCs w:val="21"/>
        </w:rPr>
        <w:t>[…]</w:t>
      </w:r>
    </w:p>
    <w:p w14:paraId="72283AC1" w14:textId="77777777" w:rsidR="00096BCE" w:rsidRPr="000F3698" w:rsidRDefault="00096BCE" w:rsidP="00096BCE">
      <w:pPr>
        <w:pStyle w:val="Textoindependiente"/>
        <w:ind w:right="709" w:firstLine="708"/>
        <w:jc w:val="both"/>
        <w:rPr>
          <w:i/>
          <w:iCs/>
          <w:sz w:val="21"/>
          <w:szCs w:val="21"/>
        </w:rPr>
      </w:pPr>
      <w:r w:rsidRPr="000F3698">
        <w:rPr>
          <w:i/>
          <w:iCs/>
          <w:sz w:val="21"/>
          <w:szCs w:val="21"/>
        </w:rPr>
        <w:t>3. Contrato de Prestación de</w:t>
      </w:r>
      <w:r w:rsidRPr="000F3698">
        <w:rPr>
          <w:i/>
          <w:iCs/>
          <w:spacing w:val="-5"/>
          <w:sz w:val="21"/>
          <w:szCs w:val="21"/>
        </w:rPr>
        <w:t xml:space="preserve"> </w:t>
      </w:r>
      <w:r w:rsidRPr="000F3698">
        <w:rPr>
          <w:i/>
          <w:iCs/>
          <w:sz w:val="21"/>
          <w:szCs w:val="21"/>
        </w:rPr>
        <w:t>Servicios.</w:t>
      </w:r>
    </w:p>
    <w:p w14:paraId="0C62FBEC" w14:textId="77777777" w:rsidR="00096BCE" w:rsidRPr="000F3698" w:rsidRDefault="00096BCE" w:rsidP="00096BCE">
      <w:pPr>
        <w:pStyle w:val="Textoindependiente"/>
        <w:ind w:left="709" w:right="709"/>
        <w:jc w:val="both"/>
        <w:rPr>
          <w:i/>
          <w:iCs/>
          <w:sz w:val="21"/>
          <w:szCs w:val="21"/>
        </w:rPr>
      </w:pPr>
      <w:r w:rsidRPr="000F3698">
        <w:rPr>
          <w:i/>
          <w:iCs/>
          <w:sz w:val="21"/>
          <w:szCs w:val="21"/>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0F3698">
        <w:rPr>
          <w:i/>
          <w:iCs/>
          <w:sz w:val="21"/>
          <w:szCs w:val="21"/>
          <w:u w:val="single"/>
        </w:rPr>
        <w:t>no puedan realizarse con personal de planta o requieran conocimientos especializados</w:t>
      </w:r>
      <w:r w:rsidRPr="000F3698">
        <w:rPr>
          <w:i/>
          <w:iCs/>
          <w:sz w:val="21"/>
          <w:szCs w:val="21"/>
        </w:rPr>
        <w:t>.</w:t>
      </w:r>
    </w:p>
    <w:p w14:paraId="4C673F4F" w14:textId="77777777" w:rsidR="00096BCE" w:rsidRPr="000F3698" w:rsidRDefault="00096BCE" w:rsidP="00096BCE">
      <w:pPr>
        <w:pStyle w:val="Textoindependiente"/>
        <w:ind w:left="709" w:right="709"/>
        <w:jc w:val="both"/>
        <w:rPr>
          <w:i/>
          <w:iCs/>
          <w:sz w:val="21"/>
          <w:szCs w:val="21"/>
        </w:rPr>
      </w:pPr>
    </w:p>
    <w:p w14:paraId="2FF4AAD8" w14:textId="77777777" w:rsidR="00096BCE" w:rsidRPr="00E87606" w:rsidRDefault="00096BCE" w:rsidP="00096BCE">
      <w:pPr>
        <w:pStyle w:val="Textoindependiente"/>
        <w:ind w:left="709" w:right="709"/>
        <w:jc w:val="both"/>
        <w:rPr>
          <w:sz w:val="21"/>
          <w:szCs w:val="21"/>
        </w:rPr>
      </w:pPr>
      <w:r w:rsidRPr="000F3698">
        <w:rPr>
          <w:i/>
          <w:iCs/>
          <w:sz w:val="21"/>
          <w:szCs w:val="21"/>
        </w:rPr>
        <w:t>En ningún caso estos contratos generan relación laboral ni prestaciones sociales y se celebrarán por el término estrictamente</w:t>
      </w:r>
      <w:r w:rsidRPr="000F3698">
        <w:rPr>
          <w:i/>
          <w:iCs/>
          <w:spacing w:val="-15"/>
          <w:sz w:val="21"/>
          <w:szCs w:val="21"/>
        </w:rPr>
        <w:t xml:space="preserve"> </w:t>
      </w:r>
      <w:r w:rsidRPr="000F3698">
        <w:rPr>
          <w:i/>
          <w:iCs/>
          <w:sz w:val="21"/>
          <w:szCs w:val="21"/>
        </w:rPr>
        <w:t>indispensable.</w:t>
      </w:r>
      <w:r>
        <w:rPr>
          <w:i/>
          <w:iCs/>
          <w:sz w:val="21"/>
          <w:szCs w:val="21"/>
        </w:rPr>
        <w:t xml:space="preserve"> </w:t>
      </w:r>
      <w:r>
        <w:rPr>
          <w:sz w:val="21"/>
          <w:szCs w:val="21"/>
        </w:rPr>
        <w:t>(Énfasis fuera de texto)</w:t>
      </w:r>
    </w:p>
    <w:p w14:paraId="584ADE95" w14:textId="77777777" w:rsidR="00096BCE" w:rsidRPr="000F3698" w:rsidRDefault="00096BCE" w:rsidP="00096BCE">
      <w:pPr>
        <w:pStyle w:val="Textoindependiente"/>
        <w:spacing w:before="3"/>
        <w:rPr>
          <w:sz w:val="25"/>
        </w:rPr>
      </w:pPr>
    </w:p>
    <w:p w14:paraId="4B49EA39" w14:textId="77777777" w:rsidR="00096BCE" w:rsidRPr="000F3698" w:rsidRDefault="00096BCE" w:rsidP="00096BCE">
      <w:pPr>
        <w:tabs>
          <w:tab w:val="left" w:pos="0"/>
        </w:tabs>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r w:rsidRPr="000F3698">
        <w:rPr>
          <w:rFonts w:ascii="Arial" w:eastAsia="Calibri" w:hAnsi="Arial" w:cs="Arial"/>
          <w:color w:val="000000" w:themeColor="text1"/>
          <w:sz w:val="22"/>
          <w:lang w:val="es-ES_tradnl"/>
        </w:rPr>
        <w:t>La celebración de dicho contrato debe efectuarse a través de la modalidad de contratación directa. Así lo dispone el artículo 2, numeral 4º, literal h), de la Ley 1150 de 2007:</w:t>
      </w:r>
    </w:p>
    <w:p w14:paraId="6DAB5C5A" w14:textId="6166C3F4" w:rsidR="00096BCE" w:rsidRDefault="00096BCE" w:rsidP="00096BCE">
      <w:pPr>
        <w:spacing w:line="240" w:lineRule="auto"/>
        <w:ind w:left="709" w:right="758"/>
        <w:rPr>
          <w:rFonts w:ascii="Arial" w:eastAsia="Calibri" w:hAnsi="Arial" w:cs="Arial"/>
          <w:color w:val="000000" w:themeColor="text1"/>
          <w:sz w:val="21"/>
          <w:szCs w:val="21"/>
        </w:rPr>
      </w:pPr>
      <w:r w:rsidRPr="000F3698">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r w:rsidRPr="000F3698">
        <w:rPr>
          <w:rFonts w:ascii="Arial" w:eastAsia="Calibri" w:hAnsi="Arial" w:cs="Arial"/>
          <w:color w:val="000000" w:themeColor="text1"/>
          <w:sz w:val="21"/>
          <w:szCs w:val="21"/>
        </w:rPr>
        <w:tab/>
      </w:r>
      <w:r w:rsidRPr="000F3698">
        <w:rPr>
          <w:rFonts w:ascii="Arial" w:eastAsia="Calibri" w:hAnsi="Arial" w:cs="Arial"/>
          <w:color w:val="000000" w:themeColor="text1"/>
          <w:sz w:val="21"/>
          <w:szCs w:val="21"/>
        </w:rPr>
        <w:br/>
        <w:t>[…]</w:t>
      </w:r>
    </w:p>
    <w:p w14:paraId="6202EC1E" w14:textId="177E3FEA" w:rsidR="00096BCE" w:rsidRDefault="00096BCE" w:rsidP="00096BCE">
      <w:pPr>
        <w:spacing w:line="240" w:lineRule="auto"/>
        <w:ind w:left="709" w:right="758"/>
        <w:rPr>
          <w:rFonts w:ascii="Arial" w:eastAsia="Calibri" w:hAnsi="Arial" w:cs="Arial"/>
          <w:color w:val="000000" w:themeColor="text1"/>
          <w:sz w:val="21"/>
          <w:szCs w:val="21"/>
        </w:rPr>
      </w:pPr>
      <w:r w:rsidRPr="000F3698">
        <w:rPr>
          <w:rFonts w:ascii="Arial" w:eastAsia="Calibri" w:hAnsi="Arial" w:cs="Arial"/>
          <w:color w:val="000000" w:themeColor="text1"/>
          <w:sz w:val="21"/>
          <w:szCs w:val="21"/>
        </w:rPr>
        <w:t>4. Contratación directa. La modalidad de selección de contratación directa, solamente procederá en los siguientes casos:</w:t>
      </w:r>
      <w:r w:rsidRPr="000F3698">
        <w:rPr>
          <w:rFonts w:ascii="Arial" w:eastAsia="Calibri" w:hAnsi="Arial" w:cs="Arial"/>
          <w:color w:val="000000" w:themeColor="text1"/>
          <w:sz w:val="21"/>
          <w:szCs w:val="21"/>
        </w:rPr>
        <w:tab/>
      </w:r>
      <w:r w:rsidRPr="000F3698">
        <w:rPr>
          <w:rFonts w:ascii="Arial" w:eastAsia="Calibri" w:hAnsi="Arial" w:cs="Arial"/>
          <w:color w:val="000000" w:themeColor="text1"/>
          <w:sz w:val="21"/>
          <w:szCs w:val="21"/>
        </w:rPr>
        <w:br/>
        <w:t>[…]</w:t>
      </w:r>
    </w:p>
    <w:p w14:paraId="25292BD1" w14:textId="77777777" w:rsidR="00096BCE" w:rsidRPr="000F3698" w:rsidRDefault="00096BCE" w:rsidP="00096BCE">
      <w:pPr>
        <w:spacing w:line="240" w:lineRule="auto"/>
        <w:ind w:left="709" w:right="758"/>
        <w:rPr>
          <w:rFonts w:ascii="Arial" w:eastAsia="Calibri" w:hAnsi="Arial" w:cs="Arial"/>
          <w:color w:val="000000" w:themeColor="text1"/>
          <w:sz w:val="21"/>
          <w:szCs w:val="21"/>
        </w:rPr>
      </w:pPr>
      <w:r w:rsidRPr="000F3698">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3782C080" w14:textId="77777777" w:rsidR="00096BCE" w:rsidRPr="000F3698" w:rsidRDefault="00096BCE" w:rsidP="00096BCE">
      <w:pPr>
        <w:tabs>
          <w:tab w:val="left" w:pos="0"/>
        </w:tabs>
        <w:rPr>
          <w:rFonts w:ascii="Arial" w:hAnsi="Arial" w:cs="Arial"/>
          <w:noProof/>
          <w:sz w:val="22"/>
          <w:lang w:val="es-ES_tradnl"/>
        </w:rPr>
      </w:pPr>
      <w:r w:rsidRPr="000F3698">
        <w:rPr>
          <w:rFonts w:ascii="Arial" w:hAnsi="Arial" w:cs="Arial"/>
          <w:noProof/>
          <w:sz w:val="22"/>
          <w:lang w:val="es-ES_tradnl"/>
        </w:rPr>
        <w:tab/>
        <w:t>En tal sentido, el Decreto 1082 de 2015 en su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2E1FC498" w14:textId="77777777" w:rsidR="00096BCE" w:rsidRDefault="00096BCE" w:rsidP="00096BCE">
      <w:pPr>
        <w:spacing w:after="0" w:line="240" w:lineRule="auto"/>
        <w:ind w:left="708" w:right="709"/>
        <w:rPr>
          <w:rFonts w:ascii="Arial" w:hAnsi="Arial" w:cs="Arial"/>
          <w:sz w:val="21"/>
          <w:szCs w:val="21"/>
        </w:rPr>
      </w:pPr>
      <w:r w:rsidRPr="000F3698">
        <w:rPr>
          <w:rFonts w:ascii="Arial" w:hAnsi="Arial" w:cs="Arial"/>
          <w:sz w:val="21"/>
          <w:szCs w:val="21"/>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3C5C9BF" w14:textId="77777777" w:rsidR="00096BCE" w:rsidRPr="000F3698" w:rsidRDefault="00096BCE" w:rsidP="00096BCE">
      <w:pPr>
        <w:spacing w:after="0" w:line="240" w:lineRule="auto"/>
        <w:ind w:left="708" w:right="709"/>
        <w:rPr>
          <w:rFonts w:ascii="Arial" w:hAnsi="Arial" w:cs="Arial"/>
          <w:sz w:val="21"/>
          <w:szCs w:val="21"/>
        </w:rPr>
      </w:pPr>
    </w:p>
    <w:p w14:paraId="25D965A7" w14:textId="77777777" w:rsidR="00096BCE" w:rsidRPr="000F3698" w:rsidRDefault="00096BCE" w:rsidP="00096BCE">
      <w:pPr>
        <w:spacing w:after="0" w:line="240" w:lineRule="auto"/>
        <w:ind w:left="708" w:right="709"/>
        <w:rPr>
          <w:rFonts w:ascii="Arial" w:hAnsi="Arial" w:cs="Arial"/>
          <w:sz w:val="21"/>
          <w:szCs w:val="21"/>
        </w:rPr>
      </w:pPr>
      <w:r w:rsidRPr="000F3698">
        <w:rPr>
          <w:rFonts w:ascii="Arial" w:hAnsi="Arial" w:cs="Arial"/>
          <w:sz w:val="21"/>
          <w:szCs w:val="21"/>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01D732A" w14:textId="77777777" w:rsidR="00096BCE" w:rsidRDefault="00096BCE" w:rsidP="00096BCE">
      <w:pPr>
        <w:spacing w:after="0" w:line="240" w:lineRule="auto"/>
        <w:ind w:left="708" w:right="709"/>
        <w:rPr>
          <w:rFonts w:ascii="Arial" w:hAnsi="Arial" w:cs="Arial"/>
          <w:sz w:val="21"/>
          <w:szCs w:val="21"/>
        </w:rPr>
      </w:pPr>
    </w:p>
    <w:p w14:paraId="24D7CE47" w14:textId="77777777" w:rsidR="00096BCE" w:rsidRPr="000F3698" w:rsidRDefault="00096BCE" w:rsidP="00096BCE">
      <w:pPr>
        <w:spacing w:after="0" w:line="240" w:lineRule="auto"/>
        <w:ind w:left="708" w:right="709"/>
        <w:rPr>
          <w:rFonts w:ascii="Arial" w:hAnsi="Arial" w:cs="Arial"/>
          <w:sz w:val="21"/>
          <w:szCs w:val="21"/>
        </w:rPr>
      </w:pPr>
      <w:r w:rsidRPr="000F3698">
        <w:rPr>
          <w:rFonts w:ascii="Arial" w:hAnsi="Arial" w:cs="Arial"/>
          <w:sz w:val="21"/>
          <w:szCs w:val="21"/>
        </w:rPr>
        <w:lastRenderedPageBreak/>
        <w:t>La Entidad Estatal, para la contratación de trabajos artísticos que solamente puedan en</w:t>
      </w:r>
      <w:r w:rsidRPr="000F3698">
        <w:rPr>
          <w:rFonts w:ascii="Arial" w:hAnsi="Arial" w:cs="Arial"/>
          <w:sz w:val="21"/>
          <w:szCs w:val="21"/>
        </w:rPr>
        <w:softHyphen/>
        <w:t>comendarse a determinadas personas naturales, debe justificar esta situación en los estudios y documentos previos.</w:t>
      </w:r>
    </w:p>
    <w:p w14:paraId="0611403B" w14:textId="77777777" w:rsidR="00096BCE" w:rsidRDefault="00096BCE" w:rsidP="00096BCE">
      <w:pPr>
        <w:tabs>
          <w:tab w:val="left" w:pos="0"/>
        </w:tabs>
        <w:spacing w:after="0"/>
        <w:rPr>
          <w:rFonts w:ascii="Arial" w:hAnsi="Arial" w:cs="Arial"/>
          <w:color w:val="000000" w:themeColor="text1"/>
          <w:sz w:val="22"/>
          <w:lang w:val="es-ES_tradnl"/>
        </w:rPr>
      </w:pPr>
      <w:r w:rsidRPr="000F3698">
        <w:rPr>
          <w:rFonts w:ascii="Arial" w:hAnsi="Arial" w:cs="Arial"/>
          <w:color w:val="000000" w:themeColor="text1"/>
          <w:sz w:val="22"/>
          <w:lang w:val="es-ES_tradnl"/>
        </w:rPr>
        <w:tab/>
      </w:r>
    </w:p>
    <w:p w14:paraId="5ED9C104" w14:textId="77777777" w:rsidR="00096BCE" w:rsidRPr="000F3698" w:rsidRDefault="00096BCE" w:rsidP="00096BCE">
      <w:pPr>
        <w:tabs>
          <w:tab w:val="left" w:pos="0"/>
        </w:tabs>
        <w:spacing w:after="120"/>
        <w:rPr>
          <w:rFonts w:ascii="Arial" w:hAnsi="Arial" w:cs="Arial"/>
          <w:color w:val="000000" w:themeColor="text1"/>
          <w:sz w:val="22"/>
          <w:lang w:val="es-ES_tradnl"/>
        </w:rPr>
      </w:pPr>
      <w:r>
        <w:rPr>
          <w:rFonts w:ascii="Arial" w:hAnsi="Arial" w:cs="Arial"/>
          <w:color w:val="000000" w:themeColor="text1"/>
          <w:sz w:val="22"/>
          <w:lang w:val="es-ES_tradnl"/>
        </w:rPr>
        <w:tab/>
      </w:r>
      <w:r w:rsidRPr="000F3698">
        <w:rPr>
          <w:rFonts w:ascii="Arial" w:hAnsi="Arial" w:cs="Arial"/>
          <w:color w:val="000000" w:themeColor="text1"/>
          <w:sz w:val="22"/>
          <w:lang w:val="es-ES_tradnl"/>
        </w:rPr>
        <w:t>A partir de las disposiciones citadas, así como de la reciente Sentencia de Unificación de Jurisprudencial del 9 de septiembre de 2021, proferida por el Consejo de Estado</w:t>
      </w:r>
      <w:r w:rsidRPr="000F3698">
        <w:rPr>
          <w:rStyle w:val="Refdenotaalpie"/>
          <w:rFonts w:ascii="Arial" w:hAnsi="Arial" w:cs="Arial"/>
          <w:bCs/>
          <w:lang w:val="es-ES"/>
        </w:rPr>
        <w:footnoteReference w:id="1"/>
      </w:r>
      <w:r w:rsidRPr="000F3698">
        <w:rPr>
          <w:rFonts w:ascii="Arial" w:hAnsi="Arial" w:cs="Arial"/>
          <w:color w:val="000000" w:themeColor="text1"/>
          <w:sz w:val="22"/>
          <w:lang w:val="es-ES_tradnl"/>
        </w:rPr>
        <w:t>, es posible señalar las siguientes características del contrato de prestación de servicios</w:t>
      </w:r>
      <w:r w:rsidRPr="000F3698">
        <w:rPr>
          <w:rFonts w:ascii="Arial" w:hAnsi="Arial" w:cs="Arial"/>
          <w:noProof/>
          <w:sz w:val="22"/>
          <w:lang w:val="es-ES_tradnl"/>
        </w:rPr>
        <w:t>:</w:t>
      </w:r>
    </w:p>
    <w:p w14:paraId="62CEAF63"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i) Solo puede celebrarse para realizar «actividades relacionadas con la administración o funcionamiento de la entidad», es decir, que hagan parte de su giro ordinario o quehacer cotidiano</w:t>
      </w:r>
      <w:r w:rsidRPr="000F3698">
        <w:rPr>
          <w:rStyle w:val="Refdenotaalpie"/>
          <w:rFonts w:ascii="Arial" w:hAnsi="Arial" w:cs="Arial"/>
          <w:noProof/>
          <w:sz w:val="22"/>
          <w:lang w:val="es-ES_tradnl"/>
        </w:rPr>
        <w:footnoteReference w:id="2"/>
      </w:r>
      <w:r w:rsidRPr="000F3698">
        <w:rPr>
          <w:rFonts w:ascii="Arial" w:hAnsi="Arial" w:cs="Arial"/>
          <w:noProof/>
          <w:sz w:val="22"/>
          <w:lang w:val="es-ES_tradnl"/>
        </w:rPr>
        <w:t>.</w:t>
      </w:r>
    </w:p>
    <w:p w14:paraId="2E2B4940"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ii)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w:t>
      </w:r>
      <w:r w:rsidRPr="000F3698">
        <w:rPr>
          <w:rStyle w:val="Refdenotaalpie"/>
          <w:rFonts w:ascii="Arial" w:hAnsi="Arial" w:cs="Arial"/>
          <w:noProof/>
          <w:sz w:val="22"/>
          <w:lang w:val="es-ES_tradnl"/>
        </w:rPr>
        <w:footnoteReference w:id="3"/>
      </w:r>
      <w:r w:rsidRPr="000F3698">
        <w:rPr>
          <w:rFonts w:ascii="Arial" w:hAnsi="Arial" w:cs="Arial"/>
          <w:noProof/>
          <w:sz w:val="22"/>
          <w:lang w:val="es-ES_tradnl"/>
        </w:rPr>
        <w:t xml:space="preserve"> </w:t>
      </w:r>
    </w:p>
    <w:p w14:paraId="4DA5DF63" w14:textId="77777777" w:rsidR="00096BCE" w:rsidRPr="000F3698" w:rsidRDefault="00096BCE" w:rsidP="00096BCE">
      <w:pPr>
        <w:spacing w:before="120"/>
        <w:ind w:firstLine="709"/>
        <w:rPr>
          <w:rFonts w:ascii="Arial" w:hAnsi="Arial" w:cs="Arial"/>
          <w:noProof/>
          <w:sz w:val="22"/>
        </w:rPr>
      </w:pPr>
      <w:r w:rsidRPr="000F3698">
        <w:rPr>
          <w:rFonts w:ascii="Arial" w:hAnsi="Arial" w:cs="Arial"/>
          <w:noProof/>
          <w:sz w:val="22"/>
          <w:lang w:val="es-ES_tradnl"/>
        </w:rPr>
        <w:t xml:space="preserve">Sobre este último punto resulta importante resaltar que el </w:t>
      </w:r>
      <w:r w:rsidRPr="000F3698">
        <w:rPr>
          <w:rFonts w:ascii="Arial" w:hAnsi="Arial" w:cs="Arial"/>
          <w:noProof/>
          <w:sz w:val="22"/>
        </w:rPr>
        <w:t xml:space="preserve">Consejo de Estado ha reconocido como una de las características del contrato de prestación de servicios, la posibilidad de ser celebrado con personas naturales o con personas jurídicas, siempre que se cuente con capacidad para contratar en los términos del artículo 2, numeral 1º, de la Ley 80 de 1993. Con las personas jurídicas, por disposición del artículo 24, numeral 1º, literal d de la Ley 80 de 1993, así como del artículo 2, numeral 4º, literal h, de la Ley 1150 de 2007 y del artículo 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w:t>
      </w:r>
    </w:p>
    <w:p w14:paraId="6F77A936"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rPr>
        <w:t>Sin embargo, esta disposición no exime a la entidad contratante del deber de certificar la insuficiencia de su planta de personal, de manera que, en todo caso se podrá celebrar contrato de prestación de servicios para desarrollar actividades relacionadas con la administración o el funcionamiento de la entidad, siempre que estas no puedan realizarse con personal de planta o requieran conocimientos especializados.</w:t>
      </w:r>
      <w:r w:rsidRPr="000F3698">
        <w:rPr>
          <w:rStyle w:val="Refdenotaalpie"/>
          <w:rFonts w:ascii="Arial" w:hAnsi="Arial" w:cs="Arial"/>
          <w:noProof/>
          <w:sz w:val="22"/>
        </w:rPr>
        <w:footnoteReference w:id="4"/>
      </w:r>
      <w:r w:rsidRPr="000F3698">
        <w:rPr>
          <w:rFonts w:ascii="Arial" w:hAnsi="Arial" w:cs="Arial"/>
          <w:noProof/>
          <w:sz w:val="22"/>
        </w:rPr>
        <w:t xml:space="preserve"> </w:t>
      </w:r>
      <w:r w:rsidRPr="000F3698">
        <w:rPr>
          <w:rFonts w:ascii="Arial" w:hAnsi="Arial" w:cs="Arial"/>
          <w:noProof/>
          <w:sz w:val="22"/>
          <w:lang w:val="es-ES_tradnl"/>
        </w:rPr>
        <w:t xml:space="preserve"> </w:t>
      </w:r>
    </w:p>
    <w:p w14:paraId="5CA36B0F"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lastRenderedPageBreak/>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0F3698">
        <w:rPr>
          <w:rFonts w:ascii="Arial" w:hAnsi="Arial" w:cs="Arial"/>
          <w:i/>
          <w:noProof/>
          <w:sz w:val="22"/>
          <w:lang w:val="es-ES_tradnl"/>
        </w:rPr>
        <w:t xml:space="preserve">subordinación </w:t>
      </w:r>
      <w:r w:rsidRPr="000F3698">
        <w:rPr>
          <w:rFonts w:ascii="Arial" w:hAnsi="Arial" w:cs="Arial"/>
          <w:iCs/>
          <w:noProof/>
          <w:sz w:val="22"/>
          <w:lang w:val="es-ES_tradnl"/>
        </w:rPr>
        <w:t>ni</w:t>
      </w:r>
      <w:r w:rsidRPr="000F3698">
        <w:rPr>
          <w:rFonts w:ascii="Arial" w:hAnsi="Arial" w:cs="Arial"/>
          <w:i/>
          <w:noProof/>
          <w:sz w:val="22"/>
          <w:lang w:val="es-ES_tradnl"/>
        </w:rPr>
        <w:t xml:space="preserve"> dependencia</w:t>
      </w:r>
      <w:r w:rsidRPr="000F3698">
        <w:rPr>
          <w:rFonts w:ascii="Arial" w:hAnsi="Arial" w:cs="Arial"/>
          <w:iCs/>
          <w:noProof/>
          <w:sz w:val="22"/>
          <w:lang w:val="es-ES_tradnl"/>
        </w:rPr>
        <w:t>,</w:t>
      </w:r>
      <w:r w:rsidRPr="000F3698">
        <w:rPr>
          <w:rFonts w:ascii="Arial" w:hAnsi="Arial" w:cs="Arial"/>
          <w:noProof/>
          <w:sz w:val="22"/>
          <w:lang w:val="es-ES_tradnl"/>
        </w:rPr>
        <w:t xml:space="preserve"> que es uno de los elementos constitutivos del vínculo laboral</w:t>
      </w:r>
      <w:r w:rsidRPr="000F3698">
        <w:rPr>
          <w:rStyle w:val="Refdenotaalpie"/>
          <w:rFonts w:ascii="Arial" w:hAnsi="Arial" w:cs="Arial"/>
          <w:noProof/>
          <w:sz w:val="22"/>
          <w:lang w:val="es-ES_tradnl"/>
        </w:rPr>
        <w:footnoteReference w:id="5"/>
      </w:r>
      <w:r w:rsidRPr="000F3698">
        <w:rPr>
          <w:rFonts w:ascii="Arial" w:hAnsi="Arial" w:cs="Arial"/>
          <w:noProof/>
          <w:sz w:val="22"/>
          <w:lang w:val="es-ES_tradnl"/>
        </w:rPr>
        <w:t>. Por eso, el artículo 32, numeral 3º, de la Ley 80 de 1993 establece que «En ningún caso estos contratos generan relación laboral ni prestaciones sociales»</w:t>
      </w:r>
      <w:r w:rsidRPr="000F3698">
        <w:rPr>
          <w:rStyle w:val="Refdenotaalpie"/>
          <w:rFonts w:ascii="Arial" w:hAnsi="Arial" w:cs="Arial"/>
          <w:noProof/>
          <w:sz w:val="22"/>
          <w:lang w:val="es-ES_tradnl"/>
        </w:rPr>
        <w:footnoteReference w:id="6"/>
      </w:r>
      <w:r w:rsidRPr="000F3698">
        <w:rPr>
          <w:rFonts w:ascii="Arial" w:hAnsi="Arial" w:cs="Arial"/>
          <w:noProof/>
          <w:sz w:val="22"/>
          <w:lang w:val="es-ES_tradnl"/>
        </w:rPr>
        <w:t>. La Corte Constitucional declaró la exequibilidad condicionada de este inciso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0F3698">
        <w:rPr>
          <w:rStyle w:val="Refdenotaalpie"/>
          <w:rFonts w:ascii="Arial" w:hAnsi="Arial" w:cs="Arial"/>
          <w:noProof/>
          <w:sz w:val="22"/>
          <w:lang w:val="es-ES_tradnl"/>
        </w:rPr>
        <w:footnoteReference w:id="7"/>
      </w:r>
      <w:r w:rsidRPr="000F3698">
        <w:rPr>
          <w:rFonts w:ascii="Arial" w:hAnsi="Arial" w:cs="Arial"/>
          <w:noProof/>
          <w:sz w:val="22"/>
          <w:lang w:val="es-ES_tradnl"/>
        </w:rPr>
        <w:t>.</w:t>
      </w:r>
    </w:p>
    <w:p w14:paraId="044F14C4"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iv) Deben ser temporales. La sentencia de unificacion jurisprudencial del Consejo de Estado mencionada, frente a la duración del contrato de prestación de servicios señaló que solo puede celebrarse por término definido, lo cual es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68DC4F69"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sz w:val="22"/>
        </w:rPr>
        <w:t xml:space="preserve">De igual manera, señaló que «no cabe su empleo para la cobertura indefinida de necesidades permanentes o recurrentes». </w:t>
      </w:r>
      <w:r w:rsidRPr="000F3698">
        <w:rPr>
          <w:rFonts w:ascii="Arial" w:hAnsi="Arial" w:cs="Arial"/>
          <w:noProof/>
          <w:sz w:val="22"/>
          <w:lang w:val="es-ES_tradnl"/>
        </w:rPr>
        <w:t xml:space="preserve">En idéntico sentido se pronunió la Corte </w:t>
      </w:r>
      <w:r w:rsidRPr="000F3698">
        <w:rPr>
          <w:rFonts w:ascii="Arial" w:hAnsi="Arial" w:cs="Arial"/>
          <w:noProof/>
          <w:sz w:val="22"/>
          <w:lang w:val="es-ES_tradnl"/>
        </w:rPr>
        <w:lastRenderedPageBreak/>
        <w:t>Constitucional en la sentencia C-154 de 1997, añandiendo que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0F3698">
        <w:rPr>
          <w:rStyle w:val="Refdenotaalpie"/>
          <w:rFonts w:ascii="Arial" w:hAnsi="Arial" w:cs="Arial"/>
          <w:noProof/>
          <w:sz w:val="22"/>
          <w:lang w:val="es-ES_tradnl"/>
        </w:rPr>
        <w:footnoteReference w:id="8"/>
      </w:r>
      <w:r w:rsidRPr="000F3698">
        <w:rPr>
          <w:rFonts w:ascii="Arial" w:hAnsi="Arial" w:cs="Arial"/>
          <w:noProof/>
          <w:sz w:val="22"/>
          <w:lang w:val="es-ES_tradnl"/>
        </w:rPr>
        <w:t>.</w:t>
      </w:r>
    </w:p>
    <w:p w14:paraId="66DF4F6D"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0F3698">
        <w:rPr>
          <w:rStyle w:val="Refdenotaalpie"/>
          <w:rFonts w:ascii="Arial" w:hAnsi="Arial" w:cs="Arial"/>
          <w:noProof/>
          <w:sz w:val="22"/>
          <w:lang w:val="es-ES_tradnl"/>
        </w:rPr>
        <w:footnoteReference w:id="9"/>
      </w:r>
      <w:r w:rsidRPr="000F3698">
        <w:rPr>
          <w:rFonts w:ascii="Arial" w:hAnsi="Arial" w:cs="Arial"/>
          <w:noProof/>
          <w:sz w:val="22"/>
          <w:lang w:val="es-ES_tradnl"/>
        </w:rPr>
        <w:t>. Esto también se deriva d</w:t>
      </w:r>
      <w:r w:rsidRPr="000F3698">
        <w:rPr>
          <w:rFonts w:ascii="Arial" w:eastAsia="Calibri" w:hAnsi="Arial" w:cs="Arial"/>
          <w:color w:val="000000" w:themeColor="text1"/>
          <w:sz w:val="22"/>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1FF6F219"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vi) Para su celebración no se requiere expedir un acto administrativo de justificación de la contratación directa</w:t>
      </w:r>
      <w:r w:rsidRPr="000F3698">
        <w:rPr>
          <w:rStyle w:val="Refdenotaalpie"/>
          <w:rFonts w:ascii="Arial" w:hAnsi="Arial" w:cs="Arial"/>
          <w:noProof/>
          <w:sz w:val="22"/>
          <w:lang w:val="es-ES_tradnl"/>
        </w:rPr>
        <w:footnoteReference w:id="10"/>
      </w:r>
      <w:r w:rsidRPr="000F3698">
        <w:rPr>
          <w:rFonts w:ascii="Arial" w:hAnsi="Arial" w:cs="Arial"/>
          <w:noProof/>
          <w:sz w:val="22"/>
          <w:lang w:val="es-ES_tradnl"/>
        </w:rPr>
        <w:t>.</w:t>
      </w:r>
    </w:p>
    <w:p w14:paraId="5FB27954"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w:t>
      </w:r>
      <w:r w:rsidRPr="000F3698">
        <w:rPr>
          <w:rFonts w:ascii="Arial" w:hAnsi="Arial" w:cs="Arial"/>
          <w:noProof/>
          <w:sz w:val="22"/>
          <w:lang w:val="es-ES_tradnl"/>
        </w:rPr>
        <w:lastRenderedPageBreak/>
        <w:t>exorbitancias deben incluirse expresamente, porque no se entienden pactadas como cláusula de la naturaleza. Así se infiere del artículo 14, numeral 2º, de la Ley 80 de 1993</w:t>
      </w:r>
      <w:r w:rsidRPr="000F3698">
        <w:rPr>
          <w:rStyle w:val="Refdenotaalpie"/>
          <w:rFonts w:ascii="Arial" w:hAnsi="Arial" w:cs="Arial"/>
          <w:noProof/>
          <w:sz w:val="22"/>
          <w:lang w:val="es-ES_tradnl"/>
        </w:rPr>
        <w:footnoteReference w:id="11"/>
      </w:r>
      <w:r w:rsidRPr="000F3698">
        <w:rPr>
          <w:rFonts w:ascii="Arial" w:hAnsi="Arial" w:cs="Arial"/>
          <w:noProof/>
          <w:sz w:val="22"/>
          <w:lang w:val="es-ES_tradnl"/>
        </w:rPr>
        <w:t>.</w:t>
      </w:r>
    </w:p>
    <w:p w14:paraId="5CE579F5"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viii) No es obligatoria la liquidación de estos contratos, como lo establece el artículo 217 del Decreto 019 de 2012, que modificó el artículo 60 de la Ley 80 de 1993</w:t>
      </w:r>
      <w:r w:rsidRPr="000F3698">
        <w:rPr>
          <w:rStyle w:val="Refdenotaalpie"/>
          <w:rFonts w:ascii="Arial" w:hAnsi="Arial" w:cs="Arial"/>
          <w:noProof/>
          <w:sz w:val="22"/>
          <w:lang w:val="es-ES_tradnl"/>
        </w:rPr>
        <w:footnoteReference w:id="12"/>
      </w:r>
      <w:r w:rsidRPr="000F3698">
        <w:rPr>
          <w:rFonts w:ascii="Arial" w:hAnsi="Arial" w:cs="Arial"/>
          <w:noProof/>
          <w:sz w:val="22"/>
          <w:lang w:val="es-ES_tradnl"/>
        </w:rPr>
        <w:t>.</w:t>
      </w:r>
    </w:p>
    <w:p w14:paraId="6A84A22A" w14:textId="77777777" w:rsidR="00096BCE" w:rsidRPr="000F3698" w:rsidRDefault="00096BCE" w:rsidP="00096BCE">
      <w:pPr>
        <w:spacing w:after="120"/>
        <w:ind w:firstLine="709"/>
        <w:rPr>
          <w:rFonts w:ascii="Arial" w:hAnsi="Arial" w:cs="Arial"/>
          <w:noProof/>
          <w:sz w:val="22"/>
          <w:lang w:val="es-ES_tradnl"/>
        </w:rPr>
      </w:pPr>
      <w:r w:rsidRPr="000F3698">
        <w:rPr>
          <w:rFonts w:ascii="Arial" w:hAnsi="Arial" w:cs="Arial"/>
          <w:noProof/>
          <w:sz w:val="22"/>
          <w:lang w:val="es-ES_tradnl"/>
        </w:rPr>
        <w:t>ix) Para su celebración el contratista no requiere estar inscrito en el Registro Único de Proponentes –RUP–, como lo señala el artículo 6 de la Ley 1150 de 2007</w:t>
      </w:r>
      <w:r w:rsidRPr="000F3698">
        <w:rPr>
          <w:rStyle w:val="Refdenotaalpie"/>
          <w:rFonts w:ascii="Arial" w:hAnsi="Arial" w:cs="Arial"/>
          <w:noProof/>
          <w:sz w:val="22"/>
          <w:lang w:val="es-ES_tradnl"/>
        </w:rPr>
        <w:footnoteReference w:id="13"/>
      </w:r>
      <w:r w:rsidRPr="000F3698">
        <w:rPr>
          <w:rFonts w:ascii="Arial" w:hAnsi="Arial" w:cs="Arial"/>
          <w:noProof/>
          <w:sz w:val="22"/>
          <w:lang w:val="es-ES_tradnl"/>
        </w:rPr>
        <w:t>.</w:t>
      </w:r>
    </w:p>
    <w:p w14:paraId="7D4E1041" w14:textId="77777777" w:rsidR="00096BCE" w:rsidRPr="000F3698" w:rsidRDefault="00096BCE" w:rsidP="00096BCE">
      <w:pPr>
        <w:spacing w:after="120"/>
        <w:ind w:firstLine="708"/>
        <w:rPr>
          <w:rFonts w:ascii="Arial" w:hAnsi="Arial" w:cs="Arial"/>
          <w:noProof/>
          <w:sz w:val="22"/>
          <w:lang w:val="es-ES_tradnl"/>
        </w:rPr>
      </w:pPr>
      <w:r w:rsidRPr="000F3698">
        <w:rPr>
          <w:rFonts w:ascii="Arial" w:hAnsi="Arial" w:cs="Arial"/>
          <w:noProof/>
          <w:sz w:val="22"/>
          <w:lang w:val="es-ES_tradnl"/>
        </w:rPr>
        <w:t>x) No es obligtoria la exigencia de garantías</w:t>
      </w:r>
      <w:r w:rsidRPr="000F3698">
        <w:rPr>
          <w:rStyle w:val="Refdenotaalpie"/>
          <w:rFonts w:ascii="Arial" w:hAnsi="Arial" w:cs="Arial"/>
          <w:noProof/>
          <w:sz w:val="22"/>
          <w:lang w:val="es-ES_tradnl"/>
        </w:rPr>
        <w:footnoteReference w:id="14"/>
      </w:r>
      <w:r w:rsidRPr="000F3698">
        <w:rPr>
          <w:rFonts w:ascii="Arial" w:hAnsi="Arial" w:cs="Arial"/>
          <w:noProof/>
          <w:sz w:val="22"/>
          <w:lang w:val="es-ES_tradnl"/>
        </w:rPr>
        <w:t>.</w:t>
      </w:r>
    </w:p>
    <w:p w14:paraId="36D27624" w14:textId="77777777" w:rsidR="00096BCE" w:rsidRPr="000F3698" w:rsidRDefault="00096BCE" w:rsidP="00096BCE">
      <w:pPr>
        <w:spacing w:after="120"/>
        <w:ind w:firstLine="708"/>
        <w:rPr>
          <w:rFonts w:ascii="Arial" w:hAnsi="Arial" w:cs="Arial"/>
          <w:noProof/>
          <w:sz w:val="22"/>
          <w:lang w:val="es-ES"/>
        </w:rPr>
      </w:pPr>
      <w:r w:rsidRPr="000F3698">
        <w:rPr>
          <w:rFonts w:ascii="Arial" w:hAnsi="Arial" w:cs="Arial"/>
          <w:noProof/>
          <w:sz w:val="22"/>
          <w:lang w:val="es-ES_tradnl"/>
        </w:rPr>
        <w:t>xi) Como los demás contratos estatales, se trata de un contrato solemne que debe constar por escrito y debe ser publicado en el SECOP.</w:t>
      </w:r>
    </w:p>
    <w:p w14:paraId="430B058A" w14:textId="77777777" w:rsidR="00096BCE" w:rsidRPr="000F3698" w:rsidRDefault="00096BCE" w:rsidP="00096BCE">
      <w:pPr>
        <w:tabs>
          <w:tab w:val="left" w:pos="0"/>
        </w:tabs>
        <w:spacing w:after="120"/>
        <w:ind w:firstLine="709"/>
        <w:rPr>
          <w:rFonts w:ascii="Arial" w:hAnsi="Arial" w:cs="Arial"/>
          <w:color w:val="000000" w:themeColor="text1"/>
          <w:sz w:val="22"/>
        </w:rPr>
      </w:pPr>
      <w:proofErr w:type="spellStart"/>
      <w:r w:rsidRPr="000F3698">
        <w:rPr>
          <w:rFonts w:ascii="Arial" w:hAnsi="Arial" w:cs="Arial"/>
          <w:color w:val="000000" w:themeColor="text1"/>
          <w:sz w:val="22"/>
          <w:lang w:val="es-ES"/>
        </w:rPr>
        <w:t>xii</w:t>
      </w:r>
      <w:proofErr w:type="spellEnd"/>
      <w:r w:rsidRPr="000F3698">
        <w:rPr>
          <w:rFonts w:ascii="Arial" w:hAnsi="Arial" w:cs="Arial"/>
          <w:color w:val="000000" w:themeColor="text1"/>
          <w:sz w:val="22"/>
          <w:lang w:val="es-ES"/>
        </w:rPr>
        <w:t>) C</w:t>
      </w:r>
      <w:r w:rsidRPr="000F3698">
        <w:rPr>
          <w:rFonts w:ascii="Arial" w:hAnsi="Arial" w:cs="Arial"/>
          <w:color w:val="000000" w:themeColor="text1"/>
          <w:sz w:val="22"/>
        </w:rPr>
        <w:t xml:space="preserve">omo especies del género </w:t>
      </w:r>
      <w:r w:rsidRPr="000F3698">
        <w:rPr>
          <w:rFonts w:ascii="Arial" w:hAnsi="Arial" w:cs="Arial"/>
          <w:i/>
          <w:color w:val="000000" w:themeColor="text1"/>
          <w:sz w:val="22"/>
        </w:rPr>
        <w:t>prestación de servicios,</w:t>
      </w:r>
      <w:r w:rsidRPr="000F3698">
        <w:rPr>
          <w:rFonts w:ascii="Arial" w:hAnsi="Arial" w:cs="Arial"/>
          <w:color w:val="000000" w:themeColor="text1"/>
          <w:sz w:val="22"/>
        </w:rPr>
        <w:t xml:space="preserve"> se incluyen </w:t>
      </w:r>
      <w:r w:rsidRPr="000F3698">
        <w:rPr>
          <w:rFonts w:ascii="Arial" w:hAnsi="Arial" w:cs="Arial"/>
          <w:color w:val="000000" w:themeColor="text1"/>
          <w:sz w:val="22"/>
          <w:lang w:val="es-ES_tradnl"/>
        </w:rPr>
        <w:t xml:space="preserve">los </w:t>
      </w:r>
      <w:r w:rsidRPr="000F3698">
        <w:rPr>
          <w:rFonts w:ascii="Arial" w:hAnsi="Arial" w:cs="Arial"/>
          <w:i/>
          <w:iCs/>
          <w:color w:val="000000" w:themeColor="text1"/>
          <w:sz w:val="22"/>
          <w:lang w:val="es-ES_tradnl"/>
        </w:rPr>
        <w:t>contratos de prestación de servicios profesionales, los contratos de prestación de servicios de apoyo a la gestión</w:t>
      </w:r>
      <w:r w:rsidRPr="000F3698">
        <w:rPr>
          <w:rFonts w:ascii="Arial" w:hAnsi="Arial" w:cs="Arial"/>
          <w:color w:val="000000" w:themeColor="text1"/>
          <w:sz w:val="22"/>
          <w:lang w:val="es-ES_tradnl"/>
        </w:rPr>
        <w:t xml:space="preserve"> y los </w:t>
      </w:r>
      <w:r w:rsidRPr="000F3698">
        <w:rPr>
          <w:rFonts w:ascii="Arial" w:hAnsi="Arial" w:cs="Arial"/>
          <w:i/>
          <w:iCs/>
          <w:color w:val="000000" w:themeColor="text1"/>
          <w:sz w:val="22"/>
          <w:lang w:val="es-ES_tradnl"/>
        </w:rPr>
        <w:t>contratos de prestación de servicios artísticos que solo pueden encomendarse a determinadas personas naturales</w:t>
      </w:r>
      <w:r w:rsidRPr="000F3698">
        <w:rPr>
          <w:rFonts w:ascii="Arial" w:hAnsi="Arial" w:cs="Arial"/>
          <w:color w:val="000000" w:themeColor="text1"/>
          <w:sz w:val="22"/>
          <w:vertAlign w:val="superscript"/>
          <w:lang w:val="es-ES_tradnl"/>
        </w:rPr>
        <w:footnoteReference w:id="15"/>
      </w:r>
      <w:r w:rsidRPr="000F3698">
        <w:rPr>
          <w:rFonts w:ascii="Arial" w:hAnsi="Arial" w:cs="Arial"/>
          <w:color w:val="000000" w:themeColor="text1"/>
          <w:sz w:val="22"/>
        </w:rPr>
        <w:t xml:space="preserve">. </w:t>
      </w:r>
    </w:p>
    <w:p w14:paraId="18E05D65" w14:textId="77777777" w:rsidR="00096BCE" w:rsidRPr="000F3698" w:rsidRDefault="00096BCE" w:rsidP="00096BCE">
      <w:pPr>
        <w:tabs>
          <w:tab w:val="left" w:pos="0"/>
        </w:tabs>
        <w:spacing w:before="120"/>
        <w:ind w:firstLine="709"/>
        <w:rPr>
          <w:rFonts w:ascii="Arial" w:hAnsi="Arial" w:cs="Arial"/>
          <w:color w:val="000000" w:themeColor="text1"/>
          <w:sz w:val="21"/>
          <w:szCs w:val="21"/>
        </w:rPr>
      </w:pPr>
      <w:r w:rsidRPr="000F3698">
        <w:rPr>
          <w:rFonts w:ascii="Arial" w:hAnsi="Arial" w:cs="Arial"/>
          <w:color w:val="000000" w:themeColor="text1"/>
          <w:sz w:val="22"/>
          <w:lang w:val="es-ES_tradnl"/>
        </w:rPr>
        <w:lastRenderedPageBreak/>
        <w:t xml:space="preserve">La diferencia entre el contrato de prestación de servicios </w:t>
      </w:r>
      <w:r w:rsidRPr="000F3698">
        <w:rPr>
          <w:rFonts w:ascii="Arial" w:hAnsi="Arial" w:cs="Arial"/>
          <w:i/>
          <w:color w:val="000000" w:themeColor="text1"/>
          <w:sz w:val="22"/>
          <w:lang w:val="es-ES_tradnl"/>
        </w:rPr>
        <w:t>profesionales</w:t>
      </w:r>
      <w:r w:rsidRPr="000F3698">
        <w:rPr>
          <w:rFonts w:ascii="Arial" w:hAnsi="Arial" w:cs="Arial"/>
          <w:color w:val="000000" w:themeColor="text1"/>
          <w:sz w:val="22"/>
          <w:lang w:val="es-ES_tradnl"/>
        </w:rPr>
        <w:t xml:space="preserve"> con las otras dos especies del género en el cual se </w:t>
      </w:r>
      <w:proofErr w:type="gramStart"/>
      <w:r w:rsidRPr="000F3698">
        <w:rPr>
          <w:rFonts w:ascii="Arial" w:hAnsi="Arial" w:cs="Arial"/>
          <w:color w:val="000000" w:themeColor="text1"/>
          <w:sz w:val="22"/>
          <w:lang w:val="es-ES_tradnl"/>
        </w:rPr>
        <w:t>ubican,</w:t>
      </w:r>
      <w:proofErr w:type="gramEnd"/>
      <w:r w:rsidRPr="000F3698">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726BB27F" w14:textId="77777777" w:rsidR="00096BCE" w:rsidRDefault="00096BCE" w:rsidP="00096BCE">
      <w:pPr>
        <w:spacing w:after="0" w:line="240" w:lineRule="auto"/>
        <w:ind w:left="709" w:right="709"/>
        <w:rPr>
          <w:rFonts w:ascii="Arial" w:hAnsi="Arial" w:cs="Arial"/>
          <w:color w:val="000000" w:themeColor="text1"/>
          <w:sz w:val="21"/>
          <w:szCs w:val="21"/>
          <w:lang w:val="es-ES_tradnl"/>
        </w:rPr>
      </w:pPr>
      <w:r w:rsidRPr="000F3698">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0F3698">
        <w:rPr>
          <w:rStyle w:val="Refdenotaalpie"/>
          <w:rFonts w:ascii="Arial" w:hAnsi="Arial" w:cs="Arial"/>
          <w:color w:val="000000" w:themeColor="text1"/>
          <w:sz w:val="21"/>
          <w:szCs w:val="21"/>
          <w:lang w:val="es-ES_tradnl"/>
        </w:rPr>
        <w:footnoteReference w:id="16"/>
      </w:r>
      <w:r w:rsidRPr="000F3698">
        <w:rPr>
          <w:rFonts w:ascii="Arial" w:hAnsi="Arial" w:cs="Arial"/>
          <w:color w:val="000000" w:themeColor="text1"/>
          <w:sz w:val="21"/>
          <w:szCs w:val="21"/>
          <w:lang w:val="es-ES_tradnl"/>
        </w:rPr>
        <w:t>.</w:t>
      </w:r>
    </w:p>
    <w:p w14:paraId="28ABA4EE" w14:textId="77777777" w:rsidR="00096BCE" w:rsidRPr="000F3698" w:rsidRDefault="00096BCE" w:rsidP="00096BCE">
      <w:pPr>
        <w:spacing w:after="0" w:line="240" w:lineRule="auto"/>
        <w:ind w:left="709" w:right="709"/>
        <w:rPr>
          <w:rFonts w:ascii="Arial" w:hAnsi="Arial" w:cs="Arial"/>
          <w:color w:val="000000" w:themeColor="text1"/>
          <w:sz w:val="21"/>
          <w:szCs w:val="21"/>
          <w:lang w:val="es-ES_tradnl"/>
        </w:rPr>
      </w:pPr>
    </w:p>
    <w:p w14:paraId="5BE2FC6D" w14:textId="77777777" w:rsidR="00096BCE" w:rsidRPr="000F3698" w:rsidRDefault="00096BCE" w:rsidP="00096BCE">
      <w:pPr>
        <w:ind w:firstLine="709"/>
        <w:rPr>
          <w:rFonts w:ascii="Arial" w:hAnsi="Arial" w:cs="Arial"/>
          <w:color w:val="000000" w:themeColor="text1"/>
          <w:sz w:val="22"/>
          <w:lang w:val="es-ES_tradnl"/>
        </w:rPr>
      </w:pPr>
      <w:r w:rsidRPr="000F3698">
        <w:rPr>
          <w:rFonts w:ascii="Arial" w:hAnsi="Arial" w:cs="Arial"/>
          <w:color w:val="000000" w:themeColor="text1"/>
          <w:sz w:val="22"/>
          <w:lang w:val="es-ES_tradnl"/>
        </w:rPr>
        <w:t xml:space="preserve">Lo expuesto, según la jurisprudencia citada, se diferencia del objeto del </w:t>
      </w:r>
      <w:r w:rsidRPr="000F3698">
        <w:rPr>
          <w:rFonts w:ascii="Arial" w:hAnsi="Arial" w:cs="Arial"/>
          <w:i/>
          <w:iCs/>
          <w:color w:val="000000" w:themeColor="text1"/>
          <w:sz w:val="22"/>
          <w:lang w:val="es-ES_tradnl"/>
        </w:rPr>
        <w:t>contrato de prestación de servicios de apoyo a la gestión</w:t>
      </w:r>
      <w:r w:rsidRPr="000F3698">
        <w:rPr>
          <w:rFonts w:ascii="Arial" w:hAnsi="Arial" w:cs="Arial"/>
          <w:color w:val="000000" w:themeColor="text1"/>
          <w:sz w:val="22"/>
          <w:lang w:val="es-ES_tradnl"/>
        </w:rPr>
        <w:t>, en los siguientes aspectos:</w:t>
      </w:r>
    </w:p>
    <w:p w14:paraId="2DFAC3C1" w14:textId="77777777" w:rsidR="00096BCE" w:rsidRPr="000F3698" w:rsidRDefault="00096BCE" w:rsidP="00096BCE">
      <w:pPr>
        <w:spacing w:after="120" w:line="240" w:lineRule="auto"/>
        <w:ind w:left="709" w:right="709"/>
        <w:rPr>
          <w:rFonts w:ascii="Arial" w:hAnsi="Arial" w:cs="Arial"/>
          <w:color w:val="000000" w:themeColor="text1"/>
          <w:sz w:val="21"/>
          <w:szCs w:val="21"/>
          <w:lang w:val="es-ES_tradnl"/>
        </w:rPr>
      </w:pPr>
      <w:r w:rsidRPr="000F3698">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8349B02" w14:textId="77777777" w:rsidR="00096BCE" w:rsidRPr="000F3698" w:rsidRDefault="00096BCE" w:rsidP="00096BCE">
      <w:pPr>
        <w:spacing w:after="120" w:line="240" w:lineRule="auto"/>
        <w:ind w:left="709" w:right="709"/>
        <w:rPr>
          <w:rFonts w:ascii="Arial" w:hAnsi="Arial" w:cs="Arial"/>
          <w:color w:val="000000" w:themeColor="text1"/>
          <w:sz w:val="21"/>
          <w:szCs w:val="21"/>
          <w:lang w:val="es-ES_tradnl"/>
        </w:rPr>
      </w:pPr>
      <w:r w:rsidRPr="000F3698">
        <w:rPr>
          <w:rFonts w:ascii="Arial" w:hAnsi="Arial" w:cs="Arial"/>
          <w:color w:val="000000" w:themeColor="text1"/>
          <w:sz w:val="21"/>
          <w:szCs w:val="21"/>
          <w:lang w:val="es-ES_tradnl"/>
        </w:rPr>
        <w:t xml:space="preserve">Aunque también se caracteriza por el desempeño de actividad intelectiva, ésta </w:t>
      </w:r>
      <w:proofErr w:type="gramStart"/>
      <w:r w:rsidRPr="000F3698">
        <w:rPr>
          <w:rFonts w:ascii="Arial" w:hAnsi="Arial" w:cs="Arial"/>
          <w:color w:val="000000" w:themeColor="text1"/>
          <w:sz w:val="21"/>
          <w:szCs w:val="21"/>
          <w:lang w:val="es-ES_tradnl"/>
        </w:rPr>
        <w:t>se enmarca dentro de</w:t>
      </w:r>
      <w:proofErr w:type="gramEnd"/>
      <w:r w:rsidRPr="000F3698">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52B51AC" w14:textId="77777777" w:rsidR="00096BCE" w:rsidRPr="000F3698" w:rsidRDefault="00096BCE" w:rsidP="00096BCE">
      <w:pPr>
        <w:spacing w:line="240" w:lineRule="auto"/>
        <w:ind w:left="709" w:right="709"/>
        <w:rPr>
          <w:rFonts w:ascii="Arial" w:hAnsi="Arial" w:cs="Arial"/>
          <w:color w:val="000000" w:themeColor="text1"/>
          <w:sz w:val="21"/>
          <w:szCs w:val="21"/>
          <w:lang w:val="es-ES_tradnl"/>
        </w:rPr>
      </w:pPr>
      <w:r w:rsidRPr="000F3698">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0F3698">
        <w:rPr>
          <w:rStyle w:val="Refdenotaalpie"/>
          <w:rFonts w:ascii="Arial" w:hAnsi="Arial" w:cs="Arial"/>
          <w:color w:val="000000" w:themeColor="text1"/>
          <w:sz w:val="21"/>
          <w:szCs w:val="21"/>
          <w:lang w:val="es-ES_tradnl"/>
        </w:rPr>
        <w:footnoteReference w:id="17"/>
      </w:r>
      <w:r w:rsidRPr="000F3698">
        <w:rPr>
          <w:rFonts w:ascii="Arial" w:hAnsi="Arial" w:cs="Arial"/>
          <w:color w:val="000000" w:themeColor="text1"/>
          <w:sz w:val="21"/>
          <w:szCs w:val="21"/>
          <w:lang w:val="es-ES_tradnl"/>
        </w:rPr>
        <w:t>.</w:t>
      </w:r>
    </w:p>
    <w:p w14:paraId="49E92B4B" w14:textId="77777777" w:rsidR="00096BCE" w:rsidRDefault="00096BCE" w:rsidP="00096BCE">
      <w:pPr>
        <w:spacing w:after="0"/>
        <w:ind w:firstLine="709"/>
        <w:rPr>
          <w:rFonts w:ascii="Arial" w:hAnsi="Arial" w:cs="Arial"/>
          <w:color w:val="000000" w:themeColor="text1"/>
          <w:sz w:val="22"/>
          <w:lang w:val="es-ES_tradnl"/>
        </w:rPr>
      </w:pPr>
      <w:r w:rsidRPr="000F3698">
        <w:rPr>
          <w:rFonts w:ascii="Arial" w:hAnsi="Arial" w:cs="Arial"/>
          <w:color w:val="000000" w:themeColor="text1"/>
          <w:sz w:val="22"/>
          <w:lang w:val="es-ES_tradnl"/>
        </w:rPr>
        <w:lastRenderedPageBreak/>
        <w:t xml:space="preserve">En relación con el </w:t>
      </w:r>
      <w:r w:rsidRPr="000F3698">
        <w:rPr>
          <w:rFonts w:ascii="Arial" w:hAnsi="Arial" w:cs="Arial"/>
          <w:i/>
          <w:iCs/>
          <w:color w:val="000000" w:themeColor="text1"/>
          <w:sz w:val="22"/>
          <w:lang w:val="es-ES_tradnl"/>
        </w:rPr>
        <w:t>contrato de prestación de servicios artísticos que solo pueden encomendarse a determinadas personas naturales</w:t>
      </w:r>
      <w:r w:rsidRPr="000F3698">
        <w:rPr>
          <w:rFonts w:ascii="Arial" w:hAnsi="Arial" w:cs="Arial"/>
          <w:color w:val="000000" w:themeColor="text1"/>
          <w:sz w:val="22"/>
          <w:lang w:val="es-ES_tradnl"/>
        </w:rPr>
        <w:t>, señala la mencionada decisión judicial lo siguiente:</w:t>
      </w:r>
    </w:p>
    <w:p w14:paraId="112EC719" w14:textId="77777777" w:rsidR="00096BCE" w:rsidRPr="000F3698" w:rsidRDefault="00096BCE" w:rsidP="00096BCE">
      <w:pPr>
        <w:spacing w:after="0"/>
        <w:ind w:firstLine="709"/>
        <w:rPr>
          <w:rFonts w:ascii="Arial" w:hAnsi="Arial" w:cs="Arial"/>
          <w:color w:val="000000" w:themeColor="text1"/>
          <w:sz w:val="22"/>
          <w:lang w:val="es-ES_tradnl"/>
        </w:rPr>
      </w:pPr>
    </w:p>
    <w:p w14:paraId="4A98BE4F" w14:textId="77777777" w:rsidR="00096BCE" w:rsidRPr="000F3698" w:rsidRDefault="00096BCE" w:rsidP="00096BCE">
      <w:pPr>
        <w:spacing w:line="240" w:lineRule="auto"/>
        <w:ind w:left="709" w:right="709"/>
        <w:rPr>
          <w:rFonts w:ascii="Arial" w:hAnsi="Arial" w:cs="Arial"/>
          <w:color w:val="000000" w:themeColor="text1"/>
          <w:sz w:val="21"/>
          <w:szCs w:val="21"/>
          <w:lang w:val="es-ES_tradnl"/>
        </w:rPr>
      </w:pPr>
      <w:r w:rsidRPr="000F3698">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0F3698">
        <w:rPr>
          <w:rStyle w:val="Refdenotaalpie"/>
          <w:rFonts w:ascii="Arial" w:hAnsi="Arial" w:cs="Arial"/>
          <w:color w:val="000000" w:themeColor="text1"/>
          <w:sz w:val="21"/>
          <w:szCs w:val="21"/>
          <w:lang w:val="es-ES_tradnl"/>
        </w:rPr>
        <w:footnoteReference w:id="18"/>
      </w:r>
      <w:r w:rsidRPr="000F3698">
        <w:rPr>
          <w:rFonts w:ascii="Arial" w:hAnsi="Arial" w:cs="Arial"/>
          <w:color w:val="000000" w:themeColor="text1"/>
          <w:sz w:val="21"/>
          <w:szCs w:val="21"/>
          <w:lang w:val="es-ES_tradnl"/>
        </w:rPr>
        <w:t>.</w:t>
      </w:r>
    </w:p>
    <w:p w14:paraId="60C9A753" w14:textId="77777777" w:rsidR="00096BCE" w:rsidRPr="000F3698" w:rsidRDefault="00096BCE" w:rsidP="00096BCE">
      <w:pPr>
        <w:ind w:firstLine="709"/>
        <w:rPr>
          <w:rFonts w:ascii="Arial" w:hAnsi="Arial" w:cs="Arial"/>
          <w:color w:val="000000" w:themeColor="text1"/>
          <w:sz w:val="22"/>
        </w:rPr>
      </w:pPr>
      <w:r w:rsidRPr="000F3698">
        <w:rPr>
          <w:rFonts w:ascii="Arial" w:hAnsi="Arial" w:cs="Arial"/>
          <w:color w:val="000000" w:themeColor="text1"/>
          <w:sz w:val="22"/>
          <w:lang w:val="es-ES_tradnl"/>
        </w:rPr>
        <w:t xml:space="preserve">En este sentido, el contrato de prestación de servicios </w:t>
      </w:r>
      <w:r w:rsidRPr="000F3698">
        <w:rPr>
          <w:rFonts w:ascii="Arial" w:hAnsi="Arial" w:cs="Arial"/>
          <w:i/>
          <w:iCs/>
          <w:color w:val="000000" w:themeColor="text1"/>
          <w:sz w:val="22"/>
          <w:lang w:val="es-ES_tradnl"/>
        </w:rPr>
        <w:t>profesionales</w:t>
      </w:r>
      <w:r w:rsidRPr="000F3698">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0F3698">
        <w:rPr>
          <w:rFonts w:ascii="Arial" w:hAnsi="Arial" w:cs="Arial"/>
          <w:i/>
          <w:iCs/>
          <w:color w:val="000000" w:themeColor="text1"/>
          <w:sz w:val="22"/>
          <w:lang w:val="es-ES_tradnl"/>
        </w:rPr>
        <w:t>saber intelectivo cualificado.</w:t>
      </w:r>
      <w:r w:rsidRPr="000F3698">
        <w:rPr>
          <w:rFonts w:ascii="Arial" w:hAnsi="Arial" w:cs="Arial"/>
          <w:color w:val="000000" w:themeColor="text1"/>
          <w:sz w:val="22"/>
          <w:lang w:val="es-ES_tradnl"/>
        </w:rPr>
        <w:t xml:space="preserve"> En cambio, los contratos de prestación de servicios de </w:t>
      </w:r>
      <w:r w:rsidRPr="000F3698">
        <w:rPr>
          <w:rFonts w:ascii="Arial" w:hAnsi="Arial" w:cs="Arial"/>
          <w:i/>
          <w:iCs/>
          <w:color w:val="000000" w:themeColor="text1"/>
          <w:sz w:val="22"/>
          <w:lang w:val="es-ES_tradnl"/>
        </w:rPr>
        <w:t>apoyo a la gestión</w:t>
      </w:r>
      <w:r w:rsidRPr="000F3698">
        <w:rPr>
          <w:rFonts w:ascii="Arial" w:hAnsi="Arial" w:cs="Arial"/>
          <w:color w:val="000000" w:themeColor="text1"/>
          <w:sz w:val="22"/>
          <w:lang w:val="es-ES_tradnl"/>
        </w:rPr>
        <w:t xml:space="preserve"> y de </w:t>
      </w:r>
      <w:r w:rsidRPr="000F3698">
        <w:rPr>
          <w:rFonts w:ascii="Arial" w:hAnsi="Arial" w:cs="Arial"/>
          <w:i/>
          <w:iCs/>
          <w:color w:val="000000" w:themeColor="text1"/>
          <w:sz w:val="22"/>
          <w:lang w:val="es-ES_tradnl"/>
        </w:rPr>
        <w:t>servicios artísticos</w:t>
      </w:r>
      <w:r w:rsidRPr="000F3698">
        <w:rPr>
          <w:rFonts w:ascii="Arial" w:hAnsi="Arial" w:cs="Arial"/>
          <w:color w:val="000000" w:themeColor="text1"/>
          <w:sz w:val="22"/>
          <w:lang w:val="es-ES_tradnl"/>
        </w:rPr>
        <w:t xml:space="preserve"> no involucran ese conocimiento profesional </w:t>
      </w:r>
      <w:r w:rsidRPr="000F3698">
        <w:rPr>
          <w:rFonts w:ascii="Arial" w:hAnsi="Arial" w:cs="Arial"/>
          <w:color w:val="000000" w:themeColor="text1"/>
          <w:sz w:val="22"/>
        </w:rPr>
        <w:t xml:space="preserve">o especializados para su ejecución. En los contratos de apoyo a la gestión </w:t>
      </w:r>
      <w:r w:rsidRPr="000F3698">
        <w:rPr>
          <w:rFonts w:ascii="Arial" w:hAnsi="Arial" w:cs="Arial"/>
          <w:color w:val="000000" w:themeColor="text1"/>
          <w:sz w:val="22"/>
          <w:lang w:val="es-ES_tradnl"/>
        </w:rPr>
        <w:t xml:space="preserve">el contratista desempeña un esfuerzo o actividad de apoyo, acompañamiento, o soporte, </w:t>
      </w:r>
      <w:r w:rsidRPr="000F3698">
        <w:rPr>
          <w:rFonts w:ascii="Arial" w:hAnsi="Arial" w:cs="Arial"/>
          <w:color w:val="000000" w:themeColor="text1"/>
          <w:sz w:val="22"/>
        </w:rPr>
        <w:t xml:space="preserve">donde </w:t>
      </w:r>
      <w:r w:rsidRPr="000F3698">
        <w:rPr>
          <w:rFonts w:ascii="Arial" w:hAnsi="Arial" w:cs="Arial"/>
          <w:color w:val="000000" w:themeColor="text1"/>
          <w:sz w:val="22"/>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8" w:name="_Hlk80118732"/>
      <w:r w:rsidRPr="000F3698">
        <w:rPr>
          <w:rFonts w:ascii="Arial" w:hAnsi="Arial" w:cs="Arial"/>
          <w:color w:val="000000" w:themeColor="text1"/>
          <w:sz w:val="22"/>
          <w:lang w:val="es-ES_tradnl"/>
        </w:rPr>
        <w:t>»</w:t>
      </w:r>
      <w:bookmarkEnd w:id="8"/>
      <w:r w:rsidRPr="000F3698">
        <w:rPr>
          <w:rFonts w:ascii="Arial" w:hAnsi="Arial" w:cs="Arial"/>
          <w:color w:val="000000" w:themeColor="text1"/>
          <w:sz w:val="22"/>
          <w:lang w:val="es-ES_tradnl"/>
        </w:rPr>
        <w:t>, para lo cual es indiferente el carácter de profesional.</w:t>
      </w:r>
    </w:p>
    <w:p w14:paraId="3325180F" w14:textId="77777777" w:rsidR="00096BCE" w:rsidRPr="000F3698" w:rsidRDefault="00096BCE" w:rsidP="00096BCE">
      <w:pPr>
        <w:tabs>
          <w:tab w:val="left" w:pos="709"/>
        </w:tabs>
        <w:rPr>
          <w:rFonts w:ascii="Arial" w:hAnsi="Arial" w:cs="Arial"/>
          <w:b/>
          <w:bCs/>
          <w:color w:val="000000" w:themeColor="text1"/>
          <w:sz w:val="22"/>
        </w:rPr>
      </w:pPr>
      <w:r w:rsidRPr="000F3698">
        <w:rPr>
          <w:rFonts w:ascii="Arial" w:hAnsi="Arial" w:cs="Arial"/>
          <w:b/>
          <w:bCs/>
          <w:color w:val="000000" w:themeColor="text1"/>
          <w:sz w:val="22"/>
        </w:rPr>
        <w:t>2.2. Obligación de certificar la insuficiencia de la planta de personal de la entidad o la necesidad de contar con conocimientos especializados</w:t>
      </w:r>
    </w:p>
    <w:p w14:paraId="3118C96C" w14:textId="2B1DC7B0" w:rsidR="00096BCE" w:rsidRDefault="00096BCE" w:rsidP="00096BCE">
      <w:pPr>
        <w:tabs>
          <w:tab w:val="left" w:pos="709"/>
        </w:tabs>
        <w:spacing w:after="120"/>
        <w:rPr>
          <w:rFonts w:ascii="Arial" w:hAnsi="Arial" w:cs="Arial"/>
          <w:sz w:val="22"/>
        </w:rPr>
      </w:pPr>
      <w:r>
        <w:rPr>
          <w:rFonts w:ascii="Arial" w:hAnsi="Arial" w:cs="Arial"/>
          <w:color w:val="000000" w:themeColor="text1"/>
          <w:sz w:val="22"/>
        </w:rPr>
        <w:tab/>
      </w:r>
      <w:r w:rsidRPr="000F3698">
        <w:rPr>
          <w:rFonts w:ascii="Arial" w:hAnsi="Arial" w:cs="Arial"/>
          <w:color w:val="000000" w:themeColor="text1"/>
          <w:sz w:val="22"/>
        </w:rPr>
        <w:t>Las entidades contratantes solo pueden celebrar contratos para la prestación de servicios profesionales, de apoyo a la gestión o artísticos «[…] cuando dichas actividades no puedan realizarse con personal de planta o requieran conocimientos especializados», conforme lo establece el numeral 3 del artículo 32 de la Ley 80 de 1993.</w:t>
      </w:r>
      <w:r>
        <w:rPr>
          <w:rFonts w:ascii="Arial" w:hAnsi="Arial" w:cs="Arial"/>
          <w:color w:val="000000" w:themeColor="text1"/>
          <w:sz w:val="22"/>
        </w:rPr>
        <w:t xml:space="preserve">  </w:t>
      </w:r>
      <w:r w:rsidRPr="000F3698">
        <w:rPr>
          <w:rFonts w:ascii="Arial" w:hAnsi="Arial" w:cs="Arial"/>
          <w:sz w:val="22"/>
        </w:rPr>
        <w:t>De acuerdo con lo establecido en esta disposición, para contratar la prestación de los servicios, en general, la entidad debe certificar que no cuenta con el personal de planta suficiente, o que teniéndolo requieren conocimientos especializados para cumplir sus funciones. Además, debe verificar la idoneidad o experiencia de la persona natural o jurídica y la capacidad de ésta para ejecutar el objeto del contrato.</w:t>
      </w:r>
    </w:p>
    <w:p w14:paraId="1EF40323" w14:textId="77777777" w:rsidR="00096BCE" w:rsidRPr="000F3698" w:rsidRDefault="00096BCE" w:rsidP="00096BCE">
      <w:pPr>
        <w:tabs>
          <w:tab w:val="left" w:pos="709"/>
        </w:tabs>
        <w:rPr>
          <w:rFonts w:ascii="Arial" w:hAnsi="Arial" w:cs="Arial"/>
          <w:sz w:val="22"/>
        </w:rPr>
      </w:pPr>
      <w:r w:rsidRPr="000F3698">
        <w:rPr>
          <w:rFonts w:ascii="Arial" w:hAnsi="Arial" w:cs="Arial"/>
          <w:sz w:val="22"/>
        </w:rPr>
        <w:lastRenderedPageBreak/>
        <w:tab/>
        <w:t xml:space="preserve">En el mismo sentido, el artículo 1 del Decreto 2209 de 1998 que modifica el artículo 3 del Decreto 1737 de 1998, establece lo siguiente: </w:t>
      </w:r>
    </w:p>
    <w:p w14:paraId="12291375" w14:textId="77777777" w:rsidR="00096BCE" w:rsidRPr="000F3698" w:rsidRDefault="00096BCE" w:rsidP="00096BCE">
      <w:pPr>
        <w:tabs>
          <w:tab w:val="left" w:pos="709"/>
        </w:tabs>
        <w:spacing w:line="240" w:lineRule="auto"/>
        <w:ind w:left="708" w:right="709"/>
        <w:rPr>
          <w:rFonts w:ascii="Arial" w:hAnsi="Arial" w:cs="Arial"/>
          <w:color w:val="000000" w:themeColor="text1"/>
          <w:sz w:val="21"/>
          <w:szCs w:val="21"/>
        </w:rPr>
      </w:pPr>
      <w:r w:rsidRPr="000F3698">
        <w:rPr>
          <w:rFonts w:ascii="Arial" w:hAnsi="Arial" w:cs="Arial"/>
          <w:color w:val="000000" w:themeColor="text1"/>
          <w:sz w:val="21"/>
          <w:szCs w:val="21"/>
        </w:rPr>
        <w:t>Los contratos de prestación de servicios con personas naturales o jurídicas, sólo se podrán celebrar cuando no exista personal de planta con capacidad para realizar las actividades que se contratarán.</w:t>
      </w:r>
    </w:p>
    <w:p w14:paraId="4CDC3CC1" w14:textId="77777777" w:rsidR="00096BCE" w:rsidRPr="000F3698" w:rsidRDefault="00096BCE" w:rsidP="00096BCE">
      <w:pPr>
        <w:tabs>
          <w:tab w:val="left" w:pos="709"/>
        </w:tabs>
        <w:spacing w:line="240" w:lineRule="auto"/>
        <w:ind w:left="708" w:right="709"/>
        <w:rPr>
          <w:rFonts w:ascii="Arial" w:hAnsi="Arial" w:cs="Arial"/>
          <w:color w:val="000000" w:themeColor="text1"/>
          <w:sz w:val="21"/>
          <w:szCs w:val="21"/>
        </w:rPr>
      </w:pPr>
      <w:r w:rsidRPr="000F3698">
        <w:rPr>
          <w:rFonts w:ascii="Arial" w:hAnsi="Arial" w:cs="Arial"/>
          <w:color w:val="000000" w:themeColor="text1"/>
          <w:sz w:val="21"/>
          <w:szCs w:val="21"/>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38139C5E" w14:textId="77777777" w:rsidR="00096BCE" w:rsidRPr="000F3698" w:rsidRDefault="00096BCE" w:rsidP="00096BCE">
      <w:pPr>
        <w:tabs>
          <w:tab w:val="left" w:pos="709"/>
        </w:tabs>
        <w:spacing w:line="240" w:lineRule="auto"/>
        <w:ind w:left="708" w:right="709"/>
        <w:rPr>
          <w:rFonts w:ascii="Arial" w:hAnsi="Arial" w:cs="Arial"/>
          <w:color w:val="000000" w:themeColor="text1"/>
          <w:sz w:val="22"/>
        </w:rPr>
      </w:pPr>
      <w:r w:rsidRPr="000F3698">
        <w:rPr>
          <w:rFonts w:ascii="Arial" w:hAnsi="Arial" w:cs="Arial"/>
          <w:color w:val="000000" w:themeColor="text1"/>
          <w:sz w:val="21"/>
          <w:szCs w:val="21"/>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63629D56" w14:textId="77777777" w:rsidR="00096BCE" w:rsidRPr="000F3698" w:rsidRDefault="00096BCE" w:rsidP="00096BCE">
      <w:pPr>
        <w:spacing w:before="120" w:after="120"/>
        <w:ind w:firstLine="709"/>
        <w:rPr>
          <w:rFonts w:ascii="Arial" w:hAnsi="Arial" w:cs="Arial"/>
          <w:color w:val="000000" w:themeColor="text1"/>
          <w:sz w:val="22"/>
        </w:rPr>
      </w:pPr>
      <w:r w:rsidRPr="000F3698">
        <w:rPr>
          <w:rFonts w:ascii="Arial" w:hAnsi="Arial" w:cs="Arial"/>
          <w:color w:val="000000" w:themeColor="text1"/>
          <w:sz w:val="22"/>
        </w:rPr>
        <w:t>A la luz de esta disposici</w:t>
      </w:r>
      <w:r>
        <w:rPr>
          <w:rFonts w:ascii="Arial" w:hAnsi="Arial" w:cs="Arial"/>
          <w:color w:val="000000" w:themeColor="text1"/>
          <w:sz w:val="22"/>
        </w:rPr>
        <w:t>ón</w:t>
      </w:r>
      <w:r w:rsidRPr="000F3698">
        <w:rPr>
          <w:rFonts w:ascii="Arial" w:hAnsi="Arial" w:cs="Arial"/>
          <w:color w:val="000000" w:themeColor="text1"/>
          <w:sz w:val="22"/>
        </w:rPr>
        <w:t>,</w:t>
      </w:r>
      <w:r>
        <w:rPr>
          <w:rFonts w:ascii="Arial" w:hAnsi="Arial" w:cs="Arial"/>
          <w:color w:val="000000" w:themeColor="text1"/>
          <w:sz w:val="22"/>
        </w:rPr>
        <w:t xml:space="preserve"> compilada en el artículo </w:t>
      </w:r>
      <w:r w:rsidRPr="00FE3DE8">
        <w:rPr>
          <w:rFonts w:ascii="Arial" w:hAnsi="Arial" w:cs="Arial"/>
          <w:color w:val="000000" w:themeColor="text1"/>
          <w:sz w:val="22"/>
        </w:rPr>
        <w:t>2.8.4.4.5.</w:t>
      </w:r>
      <w:r>
        <w:rPr>
          <w:rFonts w:ascii="Arial" w:hAnsi="Arial" w:cs="Arial"/>
          <w:color w:val="000000" w:themeColor="text1"/>
          <w:sz w:val="22"/>
        </w:rPr>
        <w:t xml:space="preserve"> del Decreto 1068 de 2015, </w:t>
      </w:r>
      <w:r w:rsidRPr="00E87606">
        <w:rPr>
          <w:rFonts w:ascii="Arial" w:hAnsi="Arial" w:cs="Arial"/>
          <w:i/>
          <w:iCs/>
          <w:color w:val="000000" w:themeColor="text1"/>
          <w:sz w:val="22"/>
        </w:rPr>
        <w:t>Decreto Único Reglamentario del Sector Hacienda y Crédito Público</w:t>
      </w:r>
      <w:r>
        <w:rPr>
          <w:rFonts w:ascii="Arial" w:hAnsi="Arial" w:cs="Arial"/>
          <w:color w:val="000000" w:themeColor="text1"/>
          <w:sz w:val="22"/>
        </w:rPr>
        <w:t>,</w:t>
      </w:r>
      <w:r w:rsidRPr="000F3698">
        <w:rPr>
          <w:rFonts w:ascii="Arial" w:hAnsi="Arial" w:cs="Arial"/>
          <w:color w:val="000000" w:themeColor="text1"/>
          <w:sz w:val="22"/>
        </w:rPr>
        <w:t xml:space="preserve"> el uso de esta figura contractual está directamente relacionad</w:t>
      </w:r>
      <w:r>
        <w:rPr>
          <w:rFonts w:ascii="Arial" w:hAnsi="Arial" w:cs="Arial"/>
          <w:color w:val="000000" w:themeColor="text1"/>
          <w:sz w:val="22"/>
        </w:rPr>
        <w:t>a</w:t>
      </w:r>
      <w:r w:rsidRPr="000F3698">
        <w:rPr>
          <w:rFonts w:ascii="Arial" w:hAnsi="Arial" w:cs="Arial"/>
          <w:color w:val="000000" w:themeColor="text1"/>
          <w:sz w:val="22"/>
        </w:rPr>
        <w:t xml:space="preserve"> con las necesidades a satisfacer por parte de la entidad y, en cierta medida, con el principio de planeación, pues los estudios y documentos previos deben consignar con suficiencia las razones que justifican celebrar un contrato de prestación de servicios profesionales. El hecho de que se requiera la certificación de insuficiencia de personal o de la necesidad de contar con conocimientos especializados está relacionado con el deber en cabeza de la administración de justificar y dar soporte a la contratación de manera razonable y suficiente.</w:t>
      </w:r>
    </w:p>
    <w:p w14:paraId="593AC841" w14:textId="77777777" w:rsidR="00096BCE" w:rsidRPr="000F3698" w:rsidRDefault="00096BCE" w:rsidP="00096BCE">
      <w:pPr>
        <w:spacing w:before="120" w:after="120"/>
        <w:ind w:firstLine="709"/>
        <w:rPr>
          <w:rFonts w:ascii="Arial" w:hAnsi="Arial" w:cs="Arial"/>
          <w:color w:val="000000" w:themeColor="text1"/>
          <w:sz w:val="22"/>
        </w:rPr>
      </w:pPr>
      <w:r w:rsidRPr="000F3698">
        <w:rPr>
          <w:rFonts w:ascii="Arial" w:hAnsi="Arial" w:cs="Arial"/>
          <w:color w:val="000000" w:themeColor="text1"/>
          <w:sz w:val="22"/>
        </w:rPr>
        <w:t>De aquí que en desarrollo del deber de planeación el artículo 2.2.1.1.2.1.1. del Decreto 1082 de 2015 exija que todo proceso de contratación parta de estudios y documentos previos que den soporte a la actuación, y establezca como primer elemento de estos estudios previos «La descripción de la necesidad que la Entidad Estatal pretende satisfacer con el Proceso de Contratación».</w:t>
      </w:r>
    </w:p>
    <w:p w14:paraId="3F21418D" w14:textId="77777777" w:rsidR="00096BCE" w:rsidRPr="000F3698" w:rsidRDefault="00096BCE" w:rsidP="00096BCE">
      <w:pPr>
        <w:spacing w:before="120" w:after="120"/>
        <w:ind w:firstLine="709"/>
        <w:rPr>
          <w:rFonts w:ascii="Arial" w:hAnsi="Arial" w:cs="Arial"/>
          <w:noProof/>
          <w:sz w:val="22"/>
          <w:lang w:val="es-ES_tradnl"/>
        </w:rPr>
      </w:pPr>
      <w:r w:rsidRPr="000F3698">
        <w:rPr>
          <w:rFonts w:ascii="Arial" w:hAnsi="Arial" w:cs="Arial"/>
          <w:color w:val="000000" w:themeColor="text1"/>
          <w:sz w:val="22"/>
        </w:rPr>
        <w:t xml:space="preserve">De manera que, tratándose del contrato de prestación de servicios, teniendo en cuenta que por esencia se celebra para llevar a cabo actividades propias de la </w:t>
      </w:r>
      <w:r w:rsidRPr="000F3698">
        <w:rPr>
          <w:rFonts w:ascii="Arial" w:hAnsi="Arial" w:cs="Arial"/>
          <w:noProof/>
          <w:sz w:val="22"/>
          <w:lang w:val="es-ES_tradnl"/>
        </w:rPr>
        <w:t>administración o funcionamiento de la entidad, la necesidad de justificar en los estudios previos recae en que su propio personal no es suficiente para llevar a cabo estas actividades, ya sea por exceso de trabajo o porque se requieren conocimientos especializados.</w:t>
      </w:r>
      <w:r>
        <w:rPr>
          <w:rFonts w:ascii="Arial" w:hAnsi="Arial" w:cs="Arial"/>
          <w:noProof/>
          <w:sz w:val="22"/>
          <w:lang w:val="es-ES_tradnl"/>
        </w:rPr>
        <w:t xml:space="preserve"> </w:t>
      </w:r>
      <w:r w:rsidRPr="000F3698">
        <w:rPr>
          <w:rFonts w:ascii="Arial" w:hAnsi="Arial" w:cs="Arial"/>
          <w:noProof/>
          <w:sz w:val="22"/>
          <w:lang w:val="es-ES_tradnl"/>
        </w:rPr>
        <w:t xml:space="preserve">Sobre el particular cabe resaltar que la regla general con respecto al desarrollo de actividades que estan dentro del </w:t>
      </w:r>
      <w:r w:rsidRPr="00E87606">
        <w:rPr>
          <w:rFonts w:ascii="Arial" w:hAnsi="Arial" w:cs="Arial"/>
          <w:i/>
          <w:iCs/>
          <w:noProof/>
          <w:sz w:val="22"/>
          <w:lang w:val="es-ES_tradnl"/>
        </w:rPr>
        <w:t>giro ordinario</w:t>
      </w:r>
      <w:r w:rsidRPr="000F3698">
        <w:rPr>
          <w:rFonts w:ascii="Arial" w:hAnsi="Arial" w:cs="Arial"/>
          <w:noProof/>
          <w:sz w:val="22"/>
          <w:lang w:val="es-ES_tradnl"/>
        </w:rPr>
        <w:t xml:space="preserve"> de la entidad consiste en que </w:t>
      </w:r>
      <w:r w:rsidRPr="000F3698">
        <w:rPr>
          <w:rFonts w:ascii="Arial" w:hAnsi="Arial" w:cs="Arial"/>
          <w:noProof/>
          <w:sz w:val="22"/>
          <w:lang w:val="es-ES_tradnl"/>
        </w:rPr>
        <w:lastRenderedPageBreak/>
        <w:t>es su propio personal quien debe atender estos servicios. De manera excepcional y temporal, cuando las necesidades así lo requieran, la entidad puede celebrar contratos de prestación de servicios pero bajo un término definido y, según lo dispuesto en el citado artículo 32, cuando no cuente con personal suficiente.</w:t>
      </w:r>
    </w:p>
    <w:p w14:paraId="79DC9330" w14:textId="77777777" w:rsidR="00096BCE" w:rsidRDefault="00096BCE" w:rsidP="00096BCE">
      <w:pPr>
        <w:spacing w:before="120"/>
        <w:ind w:firstLine="708"/>
        <w:rPr>
          <w:rFonts w:ascii="Arial" w:hAnsi="Arial" w:cs="Arial"/>
          <w:noProof/>
          <w:sz w:val="22"/>
          <w:lang w:val="es-ES_tradnl"/>
        </w:rPr>
      </w:pPr>
      <w:r w:rsidRPr="000F3698">
        <w:rPr>
          <w:rFonts w:ascii="Arial" w:hAnsi="Arial" w:cs="Arial"/>
          <w:noProof/>
          <w:sz w:val="22"/>
          <w:lang w:val="es-ES_tradnl"/>
        </w:rPr>
        <w:t xml:space="preserve">De aquí que la Corte Constitucional en sentencia C-614 de 2009 haya entendido que el contrato de prestación de servicios es una modalidad de vinculación con el Estado de tipo excepcional que solo se justifica constitucionalmente si es concebida como un instrumento para atender funciones ocasionales, que son aquellas que no hacen parte del </w:t>
      </w:r>
      <w:r w:rsidRPr="00E87606">
        <w:rPr>
          <w:rFonts w:ascii="Arial" w:hAnsi="Arial" w:cs="Arial"/>
          <w:i/>
          <w:iCs/>
          <w:noProof/>
          <w:sz w:val="22"/>
          <w:lang w:val="es-ES_tradnl"/>
        </w:rPr>
        <w:t>giro ordinario</w:t>
      </w:r>
      <w:r w:rsidRPr="000F3698">
        <w:rPr>
          <w:rFonts w:ascii="Arial" w:hAnsi="Arial" w:cs="Arial"/>
          <w:noProof/>
          <w:sz w:val="22"/>
          <w:lang w:val="es-ES_tradnl"/>
        </w:rPr>
        <w:t xml:space="preserve"> de las labores encomendadas a la entidad, o que, siendo parte de ellas, no pueden ejecutarse con empleados de planta o requieren de conocimientos especializados.</w:t>
      </w:r>
      <w:r>
        <w:rPr>
          <w:rFonts w:ascii="Arial" w:hAnsi="Arial" w:cs="Arial"/>
          <w:noProof/>
          <w:sz w:val="22"/>
          <w:lang w:val="es-ES_tradnl"/>
        </w:rPr>
        <w:t xml:space="preserve"> </w:t>
      </w:r>
    </w:p>
    <w:p w14:paraId="1E0797E5" w14:textId="77777777" w:rsidR="00096BCE" w:rsidRPr="000F3698" w:rsidRDefault="00096BCE" w:rsidP="00096BCE">
      <w:pPr>
        <w:spacing w:before="120"/>
        <w:ind w:firstLine="708"/>
        <w:rPr>
          <w:rFonts w:ascii="Arial" w:hAnsi="Arial" w:cs="Arial"/>
          <w:noProof/>
          <w:sz w:val="22"/>
          <w:lang w:val="es-ES_tradnl"/>
        </w:rPr>
      </w:pPr>
      <w:r w:rsidRPr="000F3698">
        <w:rPr>
          <w:rFonts w:ascii="Arial" w:hAnsi="Arial" w:cs="Arial"/>
          <w:noProof/>
          <w:sz w:val="22"/>
          <w:lang w:val="es-ES_tradnl"/>
        </w:rPr>
        <w:t>Contrario sensu, cuando la entidad contratante cuente con personal suficiente o con los servicios profesionales especializados para atender la necesidad respectiva, contratar la prestación de esos servicios -al margen de la calidad del contratista en tanto persona jurídica o natural- carecería de motivación suficiente. Contratar en este supuesto implicaría una mayor onerosidad para la entidad sin justificación razonable.</w:t>
      </w:r>
    </w:p>
    <w:p w14:paraId="245ADE9F" w14:textId="77777777" w:rsidR="00096BCE" w:rsidRPr="000F3698" w:rsidRDefault="00096BCE" w:rsidP="00096BCE">
      <w:pPr>
        <w:spacing w:before="120"/>
        <w:ind w:firstLine="708"/>
        <w:rPr>
          <w:rFonts w:ascii="Arial" w:hAnsi="Arial" w:cs="Arial"/>
          <w:noProof/>
          <w:sz w:val="22"/>
        </w:rPr>
      </w:pPr>
      <w:r w:rsidRPr="000F3698">
        <w:rPr>
          <w:rFonts w:ascii="Arial" w:hAnsi="Arial" w:cs="Arial"/>
          <w:noProof/>
          <w:sz w:val="22"/>
          <w:lang w:val="es-ES_tradnl"/>
        </w:rPr>
        <w:t>En esta misma línea, la reciente Directiva Presidencial Nº 08 de 2022, por medio de la cual «</w:t>
      </w:r>
      <w:r w:rsidRPr="000F3698">
        <w:rPr>
          <w:rFonts w:ascii="Arial" w:hAnsi="Arial" w:cs="Arial"/>
          <w:noProof/>
          <w:sz w:val="22"/>
        </w:rPr>
        <w:t>se imparten medidas para fortalecer la racionalización, la probidad y la eficiencia del gasto público, en desarrollo de los principios que rigen la función pública, consagrados en el artículo 209 de la Constitución Política»</w:t>
      </w:r>
      <w:r w:rsidRPr="000F3698">
        <w:rPr>
          <w:rFonts w:ascii="Arial" w:hAnsi="Arial" w:cs="Arial"/>
          <w:noProof/>
          <w:sz w:val="22"/>
          <w:lang w:val="es-ES_tradnl"/>
        </w:rPr>
        <w:t xml:space="preserve">, establece lo siguiente en su numeral primero: </w:t>
      </w:r>
    </w:p>
    <w:p w14:paraId="4D1B369A" w14:textId="77777777" w:rsidR="00096BCE" w:rsidRPr="000F3698" w:rsidRDefault="00096BCE" w:rsidP="00096BCE">
      <w:pPr>
        <w:spacing w:after="0" w:line="240" w:lineRule="auto"/>
        <w:ind w:left="709" w:right="709"/>
        <w:rPr>
          <w:rFonts w:ascii="Arial" w:hAnsi="Arial" w:cs="Arial"/>
          <w:noProof/>
          <w:sz w:val="21"/>
        </w:rPr>
      </w:pPr>
      <w:r w:rsidRPr="000F3698">
        <w:rPr>
          <w:rFonts w:ascii="Arial" w:hAnsi="Arial" w:cs="Arial"/>
          <w:noProof/>
          <w:sz w:val="21"/>
        </w:rPr>
        <w:t xml:space="preserve">1. MEDIDAS PARA LA OPTIMIZACiÓN DE RECURSOS EN LA CONTRATACiÓN PÚBLICA. </w:t>
      </w:r>
    </w:p>
    <w:p w14:paraId="280A9EAB" w14:textId="77777777" w:rsidR="00096BCE" w:rsidRDefault="00096BCE" w:rsidP="00096BCE">
      <w:pPr>
        <w:spacing w:after="0" w:line="240" w:lineRule="auto"/>
        <w:ind w:left="709" w:right="709"/>
        <w:rPr>
          <w:rFonts w:ascii="Arial" w:hAnsi="Arial" w:cs="Arial"/>
          <w:noProof/>
          <w:sz w:val="21"/>
        </w:rPr>
      </w:pPr>
    </w:p>
    <w:p w14:paraId="3A75CF1A" w14:textId="77777777" w:rsidR="00096BCE" w:rsidRDefault="00096BCE" w:rsidP="00096BCE">
      <w:pPr>
        <w:spacing w:after="0" w:line="240" w:lineRule="auto"/>
        <w:ind w:left="709" w:right="709"/>
        <w:rPr>
          <w:rFonts w:ascii="Arial" w:hAnsi="Arial" w:cs="Arial"/>
          <w:noProof/>
          <w:sz w:val="21"/>
        </w:rPr>
      </w:pPr>
      <w:r w:rsidRPr="000F3698">
        <w:rPr>
          <w:rFonts w:ascii="Arial" w:hAnsi="Arial" w:cs="Arial"/>
          <w:noProof/>
          <w:sz w:val="21"/>
        </w:rPr>
        <w:t xml:space="preserve">1.1. CONTRATOS DE PRESTACiÓN DE SERVICIOS DE APOYO A LA GESTiÓN. Las entidades públicas </w:t>
      </w:r>
      <w:r w:rsidRPr="00E87606">
        <w:rPr>
          <w:rFonts w:ascii="Arial" w:hAnsi="Arial" w:cs="Arial"/>
          <w:i/>
          <w:iCs/>
          <w:noProof/>
          <w:sz w:val="21"/>
        </w:rPr>
        <w:t>solo podrán celebrar contratos de prestación de servicios de apoyo a la gestión cuando estos sean estrictamente necesarios por el volumen de trabajo que tenga a su cargo su personal de planta, o por la necesidad de conocimientos especializados. La necesidad de estos contratos deberá justificarse detalladamente,</w:t>
      </w:r>
      <w:r w:rsidRPr="000F3698">
        <w:rPr>
          <w:rFonts w:ascii="Arial" w:hAnsi="Arial" w:cs="Arial"/>
          <w:noProof/>
          <w:sz w:val="21"/>
        </w:rPr>
        <w:t xml:space="preserv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 </w:t>
      </w:r>
    </w:p>
    <w:p w14:paraId="5496EF23" w14:textId="77777777" w:rsidR="00096BCE" w:rsidRPr="000F3698" w:rsidRDefault="00096BCE" w:rsidP="00096BCE">
      <w:pPr>
        <w:spacing w:after="0" w:line="240" w:lineRule="auto"/>
        <w:ind w:left="709" w:right="709"/>
        <w:rPr>
          <w:rFonts w:ascii="Arial" w:hAnsi="Arial" w:cs="Arial"/>
          <w:noProof/>
          <w:sz w:val="21"/>
        </w:rPr>
      </w:pPr>
    </w:p>
    <w:p w14:paraId="3D60F1A0" w14:textId="77777777" w:rsidR="00096BCE" w:rsidRDefault="00096BCE" w:rsidP="00096BCE">
      <w:pPr>
        <w:spacing w:after="0" w:line="240" w:lineRule="auto"/>
        <w:ind w:left="709" w:right="709"/>
        <w:rPr>
          <w:rFonts w:ascii="Arial" w:hAnsi="Arial" w:cs="Arial"/>
          <w:noProof/>
          <w:sz w:val="21"/>
        </w:rPr>
      </w:pPr>
      <w:r w:rsidRPr="000F3698">
        <w:rPr>
          <w:rFonts w:ascii="Arial" w:hAnsi="Arial" w:cs="Arial"/>
          <w:noProof/>
          <w:sz w:val="21"/>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w:t>
      </w:r>
      <w:r w:rsidRPr="000F3698">
        <w:rPr>
          <w:rFonts w:ascii="Arial" w:hAnsi="Arial" w:cs="Arial"/>
          <w:noProof/>
          <w:sz w:val="21"/>
        </w:rPr>
        <w:lastRenderedPageBreak/>
        <w:t xml:space="preserve">Gerencia del proyecto.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  </w:t>
      </w:r>
      <w:r>
        <w:rPr>
          <w:rFonts w:ascii="Arial" w:hAnsi="Arial" w:cs="Arial"/>
          <w:noProof/>
          <w:sz w:val="21"/>
        </w:rPr>
        <w:t>(Énfasis fuera de texto)</w:t>
      </w:r>
    </w:p>
    <w:p w14:paraId="4B224DC8" w14:textId="77777777" w:rsidR="00096BCE" w:rsidRPr="000F3698" w:rsidRDefault="00096BCE" w:rsidP="00096BCE">
      <w:pPr>
        <w:spacing w:after="0"/>
        <w:ind w:left="709" w:right="709"/>
        <w:rPr>
          <w:rFonts w:ascii="Arial" w:hAnsi="Arial" w:cs="Arial"/>
          <w:noProof/>
          <w:sz w:val="22"/>
        </w:rPr>
      </w:pPr>
    </w:p>
    <w:p w14:paraId="7E0ED682" w14:textId="77777777" w:rsidR="00096BCE" w:rsidRPr="000F3698" w:rsidRDefault="00096BCE" w:rsidP="00096BCE">
      <w:pPr>
        <w:tabs>
          <w:tab w:val="left" w:pos="709"/>
        </w:tabs>
        <w:spacing w:after="120"/>
        <w:rPr>
          <w:rFonts w:ascii="Arial" w:hAnsi="Arial" w:cs="Arial"/>
          <w:color w:val="000000" w:themeColor="text1"/>
          <w:sz w:val="22"/>
          <w:lang w:val="es-ES_tradnl"/>
        </w:rPr>
      </w:pPr>
      <w:r>
        <w:rPr>
          <w:rFonts w:ascii="Arial" w:hAnsi="Arial" w:cs="Arial"/>
          <w:color w:val="000000" w:themeColor="text1"/>
          <w:sz w:val="22"/>
          <w:lang w:val="es-ES_tradnl"/>
        </w:rPr>
        <w:tab/>
      </w:r>
      <w:r w:rsidRPr="000F3698">
        <w:rPr>
          <w:rFonts w:ascii="Arial" w:hAnsi="Arial" w:cs="Arial"/>
          <w:color w:val="000000" w:themeColor="text1"/>
          <w:sz w:val="22"/>
          <w:lang w:val="es-ES_tradnl"/>
        </w:rPr>
        <w:t>El anterior mandato presidencial solicita a todas las entidades públicas del nivel central y descentralizado justificar detalladamente la necesidad del servicio a contratar a partir del alto volumen de trabajo de la planta de personal o de la necesidad de contar con conocimientos especializados. Este requisito reitera, aunque con mayor ahínco, la necesidad de demostrar la insuficiencia de la planta de personal establecida en la normativa mencionada y, de igual manera, no distingue entre si el sujeto a contratar es una persona jurídica o natural.</w:t>
      </w:r>
    </w:p>
    <w:p w14:paraId="22A03218" w14:textId="7AE9E330" w:rsidR="00096BCE" w:rsidRDefault="00096BCE" w:rsidP="00490B05">
      <w:pPr>
        <w:tabs>
          <w:tab w:val="left" w:pos="709"/>
        </w:tabs>
        <w:rPr>
          <w:rFonts w:ascii="Arial" w:hAnsi="Arial" w:cs="Arial"/>
          <w:color w:val="000000" w:themeColor="text1"/>
          <w:sz w:val="22"/>
        </w:rPr>
      </w:pPr>
      <w:r>
        <w:rPr>
          <w:rFonts w:ascii="Arial" w:hAnsi="Arial" w:cs="Arial"/>
          <w:color w:val="000000" w:themeColor="text1"/>
          <w:sz w:val="22"/>
          <w:lang w:val="es-ES_tradnl"/>
        </w:rPr>
        <w:tab/>
      </w:r>
      <w:r w:rsidRPr="000F3698">
        <w:rPr>
          <w:rFonts w:ascii="Arial" w:hAnsi="Arial" w:cs="Arial"/>
          <w:color w:val="000000" w:themeColor="text1"/>
          <w:sz w:val="22"/>
          <w:lang w:val="es-ES_tradnl"/>
        </w:rPr>
        <w:t xml:space="preserve">Esta medida, conforme lo establece la Directiva Presidencial, busca </w:t>
      </w:r>
      <w:r w:rsidRPr="000F3698">
        <w:rPr>
          <w:rFonts w:ascii="Arial" w:hAnsi="Arial" w:cs="Arial"/>
          <w:color w:val="000000" w:themeColor="text1"/>
          <w:sz w:val="22"/>
        </w:rPr>
        <w:t xml:space="preserve">fortalecer la racionalización, probidad y eficiencia del gasto público, en desarrollo de los principios de igualdad, moralidad, eficacia, economía, celeridad, imparcialidad y publicidad que guían la función administrativa a partir de lo dispuesto en el artículo 209 de la Constitución Política. </w:t>
      </w:r>
    </w:p>
    <w:p w14:paraId="79BDA903" w14:textId="77777777" w:rsidR="00A26B59" w:rsidRPr="00490B05" w:rsidRDefault="00A26B59" w:rsidP="00490B05">
      <w:pPr>
        <w:tabs>
          <w:tab w:val="left" w:pos="709"/>
        </w:tabs>
        <w:rPr>
          <w:rFonts w:ascii="Arial" w:hAnsi="Arial" w:cs="Arial"/>
          <w:color w:val="000000" w:themeColor="text1"/>
          <w:sz w:val="22"/>
        </w:rPr>
      </w:pPr>
    </w:p>
    <w:p w14:paraId="6DF45AC1" w14:textId="66E6A89A" w:rsidR="00096BCE" w:rsidRDefault="00096BCE" w:rsidP="00096BCE">
      <w:pPr>
        <w:pStyle w:val="Textoindependiente"/>
        <w:ind w:right="107"/>
        <w:jc w:val="both"/>
        <w:rPr>
          <w:rFonts w:eastAsia="Times New Roman"/>
          <w:bCs/>
          <w:color w:val="000000" w:themeColor="text1"/>
          <w:lang w:eastAsia="es-ES_tradnl"/>
        </w:rPr>
      </w:pPr>
      <w:r w:rsidRPr="000F3698">
        <w:rPr>
          <w:b/>
          <w:color w:val="000000" w:themeColor="text1"/>
        </w:rPr>
        <w:t>3. Respuesta</w:t>
      </w:r>
      <w:r w:rsidRPr="000F3698">
        <w:rPr>
          <w:rFonts w:eastAsia="Times New Roman"/>
          <w:bCs/>
          <w:color w:val="000000" w:themeColor="text1"/>
          <w:lang w:eastAsia="es-ES_tradnl"/>
        </w:rPr>
        <w:t xml:space="preserve"> </w:t>
      </w:r>
    </w:p>
    <w:p w14:paraId="39DF19C0" w14:textId="77777777" w:rsidR="00A26B59" w:rsidRPr="000F3698" w:rsidRDefault="00A26B59" w:rsidP="00096BCE">
      <w:pPr>
        <w:pStyle w:val="Textoindependiente"/>
        <w:ind w:right="107"/>
        <w:jc w:val="both"/>
        <w:rPr>
          <w:rFonts w:eastAsia="Times New Roman"/>
          <w:bCs/>
          <w:color w:val="000000" w:themeColor="text1"/>
          <w:lang w:eastAsia="es-ES_tradnl"/>
        </w:rPr>
      </w:pPr>
    </w:p>
    <w:p w14:paraId="564740E1" w14:textId="77777777" w:rsidR="00096BCE" w:rsidRPr="00096BCE" w:rsidRDefault="00096BCE" w:rsidP="00096BCE">
      <w:pPr>
        <w:pStyle w:val="NormalWeb"/>
        <w:spacing w:after="0" w:line="240" w:lineRule="auto"/>
        <w:ind w:left="709" w:right="709"/>
        <w:rPr>
          <w:rFonts w:ascii="Arial" w:hAnsi="Arial" w:cs="Arial"/>
          <w:sz w:val="21"/>
          <w:szCs w:val="21"/>
        </w:rPr>
      </w:pPr>
      <w:r w:rsidRPr="000F3698">
        <w:rPr>
          <w:rFonts w:ascii="Arial" w:hAnsi="Arial" w:cs="Arial"/>
          <w:sz w:val="21"/>
          <w:szCs w:val="21"/>
        </w:rPr>
        <w:t>«1.</w:t>
      </w:r>
      <w:r>
        <w:rPr>
          <w:rFonts w:ascii="Arial" w:hAnsi="Arial" w:cs="Arial"/>
          <w:sz w:val="21"/>
          <w:szCs w:val="21"/>
        </w:rPr>
        <w:t xml:space="preserve"> </w:t>
      </w:r>
      <w:r w:rsidRPr="00096BCE">
        <w:rPr>
          <w:rFonts w:ascii="Arial" w:hAnsi="Arial" w:cs="Arial"/>
          <w:sz w:val="21"/>
          <w:szCs w:val="21"/>
        </w:rPr>
        <w:t>¿La certificación de no disponibilidad o insuficiencia de personal es un requisito en que modalidad de contratación?</w:t>
      </w:r>
    </w:p>
    <w:p w14:paraId="0690CF09" w14:textId="4942A04D" w:rsidR="00096BCE" w:rsidRDefault="00096BCE" w:rsidP="00096BCE">
      <w:pPr>
        <w:pStyle w:val="NormalWeb"/>
        <w:spacing w:after="0" w:line="240" w:lineRule="auto"/>
        <w:ind w:left="709" w:right="709"/>
        <w:rPr>
          <w:rFonts w:ascii="Arial" w:hAnsi="Arial" w:cs="Arial"/>
          <w:sz w:val="21"/>
          <w:szCs w:val="21"/>
        </w:rPr>
      </w:pPr>
      <w:r w:rsidRPr="00096BCE">
        <w:rPr>
          <w:rFonts w:ascii="Arial" w:hAnsi="Arial" w:cs="Arial"/>
          <w:sz w:val="21"/>
          <w:szCs w:val="21"/>
        </w:rPr>
        <w:t>2.</w:t>
      </w:r>
      <w:r>
        <w:rPr>
          <w:rFonts w:ascii="Arial" w:hAnsi="Arial" w:cs="Arial"/>
          <w:sz w:val="21"/>
          <w:szCs w:val="21"/>
        </w:rPr>
        <w:t xml:space="preserve"> </w:t>
      </w:r>
      <w:r w:rsidRPr="00096BCE">
        <w:rPr>
          <w:rFonts w:ascii="Arial" w:hAnsi="Arial" w:cs="Arial"/>
          <w:sz w:val="21"/>
          <w:szCs w:val="21"/>
        </w:rPr>
        <w:t>¿La certificación de no disponibilidad o insuficiencia de personal es un requisito solo en contratos de prestación de servicios y de apoyo a la gestión?</w:t>
      </w:r>
    </w:p>
    <w:p w14:paraId="270C2204" w14:textId="7772A7E9" w:rsidR="00096BCE" w:rsidRDefault="00096BCE" w:rsidP="00096BCE">
      <w:pPr>
        <w:tabs>
          <w:tab w:val="left" w:pos="709"/>
        </w:tabs>
        <w:spacing w:after="120"/>
        <w:rPr>
          <w:rFonts w:ascii="Arial" w:hAnsi="Arial" w:cs="Arial"/>
          <w:sz w:val="22"/>
        </w:rPr>
      </w:pPr>
      <w:r>
        <w:rPr>
          <w:rFonts w:ascii="Arial" w:hAnsi="Arial" w:cs="Arial"/>
          <w:color w:val="000000" w:themeColor="text1"/>
          <w:sz w:val="22"/>
        </w:rPr>
        <w:t xml:space="preserve">Conforme </w:t>
      </w:r>
      <w:r w:rsidRPr="000F3698">
        <w:rPr>
          <w:rFonts w:ascii="Arial" w:hAnsi="Arial" w:cs="Arial"/>
          <w:color w:val="000000" w:themeColor="text1"/>
          <w:sz w:val="22"/>
        </w:rPr>
        <w:t xml:space="preserve">lo establece </w:t>
      </w:r>
      <w:r>
        <w:rPr>
          <w:rFonts w:ascii="Arial" w:hAnsi="Arial" w:cs="Arial"/>
          <w:color w:val="000000" w:themeColor="text1"/>
          <w:sz w:val="22"/>
        </w:rPr>
        <w:t>el</w:t>
      </w:r>
      <w:r w:rsidRPr="000F3698">
        <w:rPr>
          <w:rFonts w:ascii="Arial" w:hAnsi="Arial" w:cs="Arial"/>
          <w:color w:val="000000" w:themeColor="text1"/>
          <w:sz w:val="22"/>
        </w:rPr>
        <w:t xml:space="preserve"> artículo 32 de la Ley 80 de 1993,</w:t>
      </w:r>
      <w:r>
        <w:rPr>
          <w:rFonts w:ascii="Arial" w:hAnsi="Arial" w:cs="Arial"/>
          <w:color w:val="000000" w:themeColor="text1"/>
          <w:sz w:val="22"/>
        </w:rPr>
        <w:t xml:space="preserve"> solo en el caso de contratos de prestación de servicios es necesario contar con la certificación </w:t>
      </w:r>
      <w:r w:rsidRPr="00096BCE">
        <w:rPr>
          <w:rFonts w:ascii="Arial" w:hAnsi="Arial" w:cs="Arial"/>
          <w:color w:val="000000" w:themeColor="text1"/>
          <w:sz w:val="22"/>
        </w:rPr>
        <w:t>de no disponibilidad o insuficiencia de personal</w:t>
      </w:r>
      <w:r>
        <w:rPr>
          <w:rFonts w:ascii="Arial" w:hAnsi="Arial" w:cs="Arial"/>
          <w:color w:val="000000" w:themeColor="text1"/>
          <w:sz w:val="22"/>
        </w:rPr>
        <w:t xml:space="preserve">, en la medida en que la norma condiciona la contratación a aquellos eventos en los que </w:t>
      </w:r>
      <w:r w:rsidRPr="000F3698">
        <w:rPr>
          <w:rFonts w:ascii="Arial" w:hAnsi="Arial" w:cs="Arial"/>
          <w:color w:val="000000" w:themeColor="text1"/>
          <w:sz w:val="22"/>
        </w:rPr>
        <w:t xml:space="preserve"> «[…] dichas actividades no puedan realizarse con personal de planta o requieran conocimientos especializados».</w:t>
      </w:r>
      <w:r>
        <w:rPr>
          <w:rFonts w:ascii="Arial" w:hAnsi="Arial" w:cs="Arial"/>
          <w:color w:val="000000" w:themeColor="text1"/>
          <w:sz w:val="22"/>
        </w:rPr>
        <w:t xml:space="preserve"> </w:t>
      </w:r>
      <w:r w:rsidRPr="000F3698">
        <w:rPr>
          <w:rFonts w:ascii="Arial" w:hAnsi="Arial" w:cs="Arial"/>
          <w:sz w:val="22"/>
        </w:rPr>
        <w:t xml:space="preserve">Así mismo lo establece </w:t>
      </w:r>
      <w:r>
        <w:rPr>
          <w:rFonts w:ascii="Arial" w:hAnsi="Arial" w:cs="Arial"/>
          <w:color w:val="000000" w:themeColor="text1"/>
          <w:sz w:val="22"/>
        </w:rPr>
        <w:t xml:space="preserve">el artículo </w:t>
      </w:r>
      <w:r w:rsidRPr="00FE3DE8">
        <w:rPr>
          <w:rFonts w:ascii="Arial" w:hAnsi="Arial" w:cs="Arial"/>
          <w:color w:val="000000" w:themeColor="text1"/>
          <w:sz w:val="22"/>
        </w:rPr>
        <w:t>2.8.4.4.5.</w:t>
      </w:r>
      <w:r>
        <w:rPr>
          <w:rFonts w:ascii="Arial" w:hAnsi="Arial" w:cs="Arial"/>
          <w:color w:val="000000" w:themeColor="text1"/>
          <w:sz w:val="22"/>
        </w:rPr>
        <w:t xml:space="preserve"> del Decreto 1068 de 2015,</w:t>
      </w:r>
      <w:r w:rsidRPr="00E87606">
        <w:rPr>
          <w:rFonts w:ascii="Arial" w:hAnsi="Arial" w:cs="Arial"/>
          <w:i/>
          <w:iCs/>
          <w:color w:val="000000" w:themeColor="text1"/>
          <w:sz w:val="22"/>
        </w:rPr>
        <w:t xml:space="preserve"> Decreto Único Reglamentario del Sector Hacienda y Crédito Público</w:t>
      </w:r>
      <w:r w:rsidRPr="000F3698">
        <w:rPr>
          <w:rFonts w:ascii="Arial" w:hAnsi="Arial" w:cs="Arial"/>
          <w:sz w:val="22"/>
        </w:rPr>
        <w:t>, en consonancia con la garantía del principio de planeación y el deber de contar con estudios y documentos previos que den soporte al proceso de contratación.</w:t>
      </w:r>
    </w:p>
    <w:p w14:paraId="04A08F2F" w14:textId="77777777" w:rsidR="00A26B59" w:rsidRPr="000F3698" w:rsidRDefault="00A26B59" w:rsidP="00096BCE">
      <w:pPr>
        <w:tabs>
          <w:tab w:val="left" w:pos="709"/>
        </w:tabs>
        <w:spacing w:after="120"/>
        <w:rPr>
          <w:rFonts w:ascii="Arial" w:hAnsi="Arial" w:cs="Arial"/>
          <w:sz w:val="22"/>
        </w:rPr>
      </w:pPr>
    </w:p>
    <w:p w14:paraId="7C6330D5" w14:textId="256487B4" w:rsidR="00096BCE" w:rsidRDefault="00096BCE" w:rsidP="00096BCE">
      <w:pPr>
        <w:pStyle w:val="NormalWeb"/>
        <w:spacing w:before="0" w:beforeAutospacing="0" w:after="0" w:afterAutospacing="0" w:line="240" w:lineRule="auto"/>
        <w:ind w:left="709" w:right="709"/>
        <w:rPr>
          <w:rFonts w:ascii="Arial" w:hAnsi="Arial" w:cs="Arial"/>
          <w:sz w:val="21"/>
          <w:szCs w:val="21"/>
        </w:rPr>
      </w:pPr>
      <w:r w:rsidRPr="000F3698">
        <w:rPr>
          <w:rFonts w:ascii="Arial" w:hAnsi="Arial" w:cs="Arial"/>
          <w:sz w:val="21"/>
          <w:szCs w:val="21"/>
        </w:rPr>
        <w:lastRenderedPageBreak/>
        <w:t>«</w:t>
      </w:r>
      <w:r w:rsidRPr="00096BCE">
        <w:rPr>
          <w:rFonts w:ascii="Arial" w:hAnsi="Arial" w:cs="Arial"/>
          <w:sz w:val="21"/>
          <w:szCs w:val="21"/>
        </w:rPr>
        <w:t>3. ¿La certificación de no disponibilidad o insuficiencia de personal es un requisito cuando el contratista es persona natural o jurídica o se aplica en ambos casos?</w:t>
      </w:r>
      <w:r w:rsidRPr="000F3698">
        <w:rPr>
          <w:rFonts w:ascii="Arial" w:hAnsi="Arial" w:cs="Arial"/>
          <w:sz w:val="21"/>
          <w:szCs w:val="21"/>
        </w:rPr>
        <w:t>».</w:t>
      </w:r>
    </w:p>
    <w:p w14:paraId="13D6591B" w14:textId="77777777" w:rsidR="00096BCE" w:rsidRPr="00E87606" w:rsidRDefault="00096BCE" w:rsidP="00096BCE">
      <w:pPr>
        <w:shd w:val="clear" w:color="auto" w:fill="FFFFFF"/>
        <w:spacing w:after="0" w:line="240" w:lineRule="auto"/>
        <w:ind w:left="708" w:right="709"/>
        <w:rPr>
          <w:rFonts w:ascii="Arial" w:hAnsi="Arial" w:cs="Arial"/>
          <w:sz w:val="21"/>
          <w:szCs w:val="21"/>
          <w:lang w:val="es-ES"/>
        </w:rPr>
      </w:pPr>
    </w:p>
    <w:p w14:paraId="059FC290" w14:textId="30BB9559" w:rsidR="00A26B59" w:rsidRPr="00096BCE" w:rsidRDefault="00096BCE" w:rsidP="00096BCE">
      <w:pPr>
        <w:tabs>
          <w:tab w:val="left" w:pos="709"/>
        </w:tabs>
        <w:rPr>
          <w:rFonts w:ascii="Arial" w:hAnsi="Arial" w:cs="Arial"/>
          <w:color w:val="000000" w:themeColor="text1"/>
          <w:sz w:val="22"/>
          <w:lang w:val="es-ES_tradnl"/>
        </w:rPr>
      </w:pPr>
      <w:r>
        <w:rPr>
          <w:rFonts w:ascii="Arial" w:hAnsi="Arial" w:cs="Arial"/>
          <w:color w:val="000000" w:themeColor="text1"/>
          <w:sz w:val="22"/>
        </w:rPr>
        <w:tab/>
      </w:r>
      <w:r w:rsidRPr="000F3698">
        <w:rPr>
          <w:rFonts w:ascii="Arial" w:hAnsi="Arial" w:cs="Arial"/>
          <w:sz w:val="22"/>
        </w:rPr>
        <w:tab/>
      </w:r>
      <w:r>
        <w:rPr>
          <w:rFonts w:ascii="Arial" w:hAnsi="Arial" w:cs="Arial"/>
          <w:color w:val="000000" w:themeColor="text1"/>
          <w:sz w:val="22"/>
          <w:lang w:val="es-ES_tradnl"/>
        </w:rPr>
        <w:t xml:space="preserve">El </w:t>
      </w:r>
      <w:r w:rsidRPr="000F3698">
        <w:rPr>
          <w:rFonts w:ascii="Arial" w:hAnsi="Arial" w:cs="Arial"/>
          <w:color w:val="000000" w:themeColor="text1"/>
          <w:sz w:val="22"/>
        </w:rPr>
        <w:t>artículo 32 de la Ley 80 de 1993</w:t>
      </w:r>
      <w:r>
        <w:rPr>
          <w:rFonts w:ascii="Arial" w:hAnsi="Arial" w:cs="Arial"/>
          <w:color w:val="000000" w:themeColor="text1"/>
          <w:sz w:val="22"/>
        </w:rPr>
        <w:t xml:space="preserve">, el artículo </w:t>
      </w:r>
      <w:r w:rsidRPr="00FE3DE8">
        <w:rPr>
          <w:rFonts w:ascii="Arial" w:hAnsi="Arial" w:cs="Arial"/>
          <w:color w:val="000000" w:themeColor="text1"/>
          <w:sz w:val="22"/>
        </w:rPr>
        <w:t>2.8.4.4.5.</w:t>
      </w:r>
      <w:r>
        <w:rPr>
          <w:rFonts w:ascii="Arial" w:hAnsi="Arial" w:cs="Arial"/>
          <w:color w:val="000000" w:themeColor="text1"/>
          <w:sz w:val="22"/>
        </w:rPr>
        <w:t xml:space="preserve"> del Decreto 1068 de 2015 y </w:t>
      </w:r>
      <w:r w:rsidRPr="000F3698">
        <w:rPr>
          <w:rFonts w:ascii="Arial" w:hAnsi="Arial" w:cs="Arial"/>
          <w:noProof/>
          <w:sz w:val="22"/>
          <w:lang w:val="es-ES_tradnl"/>
        </w:rPr>
        <w:t>la reciente Directiva Presidencial Nº 08 de 2022</w:t>
      </w:r>
      <w:r>
        <w:rPr>
          <w:rFonts w:ascii="Arial" w:hAnsi="Arial" w:cs="Arial"/>
          <w:noProof/>
          <w:sz w:val="22"/>
          <w:lang w:val="es-ES_tradnl"/>
        </w:rPr>
        <w:t xml:space="preserve"> </w:t>
      </w:r>
      <w:r>
        <w:rPr>
          <w:rFonts w:ascii="Arial" w:hAnsi="Arial" w:cs="Arial"/>
          <w:color w:val="000000" w:themeColor="text1"/>
          <w:sz w:val="22"/>
          <w:lang w:val="es-ES_tradnl"/>
        </w:rPr>
        <w:t xml:space="preserve">establecen que </w:t>
      </w:r>
      <w:r w:rsidRPr="000F3698">
        <w:rPr>
          <w:rFonts w:ascii="Arial" w:hAnsi="Arial" w:cs="Arial"/>
          <w:color w:val="000000" w:themeColor="text1"/>
          <w:sz w:val="22"/>
          <w:lang w:val="es-ES_tradnl"/>
        </w:rPr>
        <w:t>las entidades públicas</w:t>
      </w:r>
      <w:r>
        <w:rPr>
          <w:rFonts w:ascii="Arial" w:hAnsi="Arial" w:cs="Arial"/>
          <w:color w:val="000000" w:themeColor="text1"/>
          <w:sz w:val="22"/>
          <w:lang w:val="es-ES_tradnl"/>
        </w:rPr>
        <w:t xml:space="preserve"> deben</w:t>
      </w:r>
      <w:r w:rsidRPr="000F3698">
        <w:rPr>
          <w:rFonts w:ascii="Arial" w:hAnsi="Arial" w:cs="Arial"/>
          <w:color w:val="000000" w:themeColor="text1"/>
          <w:sz w:val="22"/>
          <w:lang w:val="es-ES_tradnl"/>
        </w:rPr>
        <w:t xml:space="preserve"> justificar la necesidad del servicio a contratar</w:t>
      </w:r>
      <w:r>
        <w:rPr>
          <w:rFonts w:ascii="Arial" w:hAnsi="Arial" w:cs="Arial"/>
          <w:color w:val="000000" w:themeColor="text1"/>
          <w:sz w:val="22"/>
          <w:lang w:val="es-ES_tradnl"/>
        </w:rPr>
        <w:t xml:space="preserve"> sin distinción de</w:t>
      </w:r>
      <w:r w:rsidRPr="000F3698">
        <w:rPr>
          <w:rFonts w:ascii="Arial" w:hAnsi="Arial" w:cs="Arial"/>
          <w:color w:val="000000" w:themeColor="text1"/>
          <w:sz w:val="22"/>
          <w:lang w:val="es-ES_tradnl"/>
        </w:rPr>
        <w:t xml:space="preserve"> si el sujeto a contratar es una persona jurídica o natural</w:t>
      </w:r>
      <w:r>
        <w:rPr>
          <w:rFonts w:ascii="Arial" w:hAnsi="Arial" w:cs="Arial"/>
          <w:color w:val="000000" w:themeColor="text1"/>
          <w:sz w:val="22"/>
          <w:lang w:val="es-ES_tradnl"/>
        </w:rPr>
        <w:t>.</w:t>
      </w:r>
      <w:r w:rsidR="00A26B59">
        <w:rPr>
          <w:rFonts w:ascii="Arial" w:hAnsi="Arial" w:cs="Arial"/>
          <w:color w:val="000000" w:themeColor="text1"/>
          <w:sz w:val="22"/>
          <w:lang w:val="es-ES_tradnl"/>
        </w:rPr>
        <w:tab/>
      </w:r>
      <w:r w:rsidR="00A26B59">
        <w:rPr>
          <w:rFonts w:ascii="Arial" w:hAnsi="Arial" w:cs="Arial"/>
          <w:color w:val="000000" w:themeColor="text1"/>
          <w:sz w:val="22"/>
          <w:lang w:val="es-ES_tradnl"/>
        </w:rPr>
        <w:br/>
      </w:r>
    </w:p>
    <w:p w14:paraId="2C049DA1" w14:textId="1EA1A32B" w:rsidR="00096BCE" w:rsidRDefault="00096BCE" w:rsidP="00096BCE">
      <w:pPr>
        <w:spacing w:after="0"/>
        <w:rPr>
          <w:rFonts w:ascii="Arial" w:eastAsia="Calibri" w:hAnsi="Arial" w:cs="Arial"/>
          <w:sz w:val="22"/>
          <w:lang w:val="es-CO"/>
        </w:rPr>
      </w:pPr>
      <w:r w:rsidRPr="000F3698">
        <w:rPr>
          <w:rFonts w:ascii="Arial" w:eastAsia="Calibri" w:hAnsi="Arial" w:cs="Arial"/>
          <w:sz w:val="22"/>
          <w:lang w:val="es-CO"/>
        </w:rPr>
        <w:t>Este concepto tiene el alcance previsto en el artículo 28 del Código de Procedimiento Administrativo y de lo Contencioso Administrativo.</w:t>
      </w:r>
    </w:p>
    <w:p w14:paraId="39FD58BA" w14:textId="77777777" w:rsidR="00A26B59" w:rsidRPr="000F3698" w:rsidRDefault="00A26B59" w:rsidP="00096BCE">
      <w:pPr>
        <w:spacing w:after="0"/>
        <w:rPr>
          <w:rFonts w:ascii="Times New Roman" w:eastAsia="Times New Roman" w:hAnsi="Times New Roman" w:cs="Times New Roman"/>
          <w:szCs w:val="24"/>
          <w:lang w:val="es-CO" w:eastAsia="es-ES_tradnl"/>
        </w:rPr>
      </w:pPr>
    </w:p>
    <w:p w14:paraId="1A106B2E" w14:textId="13D7FCBF" w:rsidR="00096BCE" w:rsidRPr="00085D03" w:rsidRDefault="00096BCE" w:rsidP="00096BCE">
      <w:pPr>
        <w:tabs>
          <w:tab w:val="left" w:pos="426"/>
        </w:tabs>
        <w:spacing w:before="120" w:after="0"/>
        <w:rPr>
          <w:rFonts w:ascii="Arial" w:eastAsia="Times New Roman" w:hAnsi="Arial" w:cs="Arial"/>
          <w:color w:val="000000" w:themeColor="text1"/>
          <w:lang w:val="es-ES" w:eastAsia="es-ES"/>
        </w:rPr>
      </w:pPr>
      <w:r w:rsidRPr="000F3698">
        <w:rPr>
          <w:rFonts w:ascii="Arial" w:eastAsia="Times New Roman" w:hAnsi="Arial" w:cs="Arial"/>
          <w:sz w:val="22"/>
          <w:lang w:val="es-CO" w:eastAsia="es-CO"/>
        </w:rPr>
        <w:t>Atentamente</w:t>
      </w:r>
      <w:bookmarkEnd w:id="0"/>
      <w:bookmarkEnd w:id="7"/>
      <w:r>
        <w:rPr>
          <w:rFonts w:ascii="Arial" w:eastAsia="Times New Roman" w:hAnsi="Arial" w:cs="Arial"/>
          <w:sz w:val="22"/>
          <w:lang w:val="es-CO" w:eastAsia="es-CO"/>
        </w:rPr>
        <w:t>,</w:t>
      </w:r>
    </w:p>
    <w:p w14:paraId="02EC8CC5" w14:textId="7F154A11" w:rsidR="00096BCE" w:rsidRPr="00085D03" w:rsidRDefault="00490B05" w:rsidP="00096BCE">
      <w:pPr>
        <w:jc w:val="center"/>
        <w:rPr>
          <w:rFonts w:ascii="Geomanist Light" w:eastAsia="Times New Roman" w:hAnsi="Geomanist Light" w:cs="Arial"/>
          <w:lang w:eastAsia="es-CO"/>
        </w:rPr>
      </w:pPr>
      <w:r>
        <w:rPr>
          <w:noProof/>
        </w:rPr>
        <w:drawing>
          <wp:inline distT="0" distB="0" distL="0" distR="0" wp14:anchorId="6EC76F20" wp14:editId="73FF0FB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96BCE" w:rsidRPr="00085D03" w14:paraId="1DBAAF75" w14:textId="77777777" w:rsidTr="00C221E8">
        <w:trPr>
          <w:trHeight w:val="315"/>
        </w:trPr>
        <w:tc>
          <w:tcPr>
            <w:tcW w:w="812" w:type="dxa"/>
            <w:vAlign w:val="center"/>
          </w:tcPr>
          <w:p w14:paraId="47E118DD" w14:textId="77777777" w:rsidR="00096BCE" w:rsidRPr="00085D03" w:rsidRDefault="00096BCE" w:rsidP="00C221E8">
            <w:pPr>
              <w:spacing w:after="0"/>
              <w:rPr>
                <w:rFonts w:ascii="Geomanist Light" w:eastAsia="Times New Roman" w:hAnsi="Geomanist Light" w:cs="Arial"/>
                <w:sz w:val="16"/>
                <w:szCs w:val="16"/>
                <w:lang w:eastAsia="es-ES"/>
              </w:rPr>
            </w:pPr>
            <w:r w:rsidRPr="00085D03">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2183B214" w14:textId="77777777" w:rsidR="00096BCE" w:rsidRPr="00085D03" w:rsidRDefault="00096BCE" w:rsidP="00C221E8">
            <w:pPr>
              <w:spacing w:after="0"/>
              <w:rPr>
                <w:rFonts w:ascii="Geomanist Light" w:eastAsia="Times New Roman" w:hAnsi="Geomanist Light" w:cs="Arial"/>
                <w:sz w:val="16"/>
                <w:szCs w:val="16"/>
                <w:lang w:eastAsia="es-ES"/>
              </w:rPr>
            </w:pPr>
            <w:r w:rsidRPr="00085D03">
              <w:rPr>
                <w:rFonts w:ascii="Geomanist Light" w:eastAsia="Times New Roman" w:hAnsi="Geomanist Light" w:cs="Arial"/>
                <w:sz w:val="16"/>
                <w:szCs w:val="16"/>
                <w:lang w:eastAsia="es-ES"/>
              </w:rPr>
              <w:t>Juan Carlos Covilla Martínez</w:t>
            </w:r>
          </w:p>
          <w:p w14:paraId="545360F0" w14:textId="77777777" w:rsidR="00096BCE" w:rsidRPr="00085D03" w:rsidRDefault="00096BCE" w:rsidP="00C221E8">
            <w:pPr>
              <w:spacing w:after="0"/>
              <w:rPr>
                <w:rFonts w:ascii="Geomanist Light" w:eastAsia="Times New Roman" w:hAnsi="Geomanist Light" w:cs="Arial"/>
                <w:sz w:val="16"/>
                <w:szCs w:val="16"/>
                <w:lang w:eastAsia="es-ES"/>
              </w:rPr>
            </w:pPr>
            <w:r w:rsidRPr="00085D03">
              <w:rPr>
                <w:rFonts w:ascii="Geomanist Light" w:eastAsia="Times New Roman" w:hAnsi="Geomanist Light" w:cs="Arial"/>
                <w:sz w:val="16"/>
                <w:szCs w:val="16"/>
                <w:lang w:eastAsia="es-ES"/>
              </w:rPr>
              <w:t xml:space="preserve">Contratista de la Subdirección de Gestión Contractual </w:t>
            </w:r>
          </w:p>
        </w:tc>
      </w:tr>
      <w:tr w:rsidR="00096BCE" w:rsidRPr="00085D03" w14:paraId="4426FBAA" w14:textId="77777777" w:rsidTr="00C221E8">
        <w:trPr>
          <w:trHeight w:val="330"/>
        </w:trPr>
        <w:tc>
          <w:tcPr>
            <w:tcW w:w="812" w:type="dxa"/>
            <w:vAlign w:val="center"/>
          </w:tcPr>
          <w:p w14:paraId="1DE9CDEF" w14:textId="77777777" w:rsidR="00096BCE" w:rsidRPr="00085D03" w:rsidRDefault="00096BCE" w:rsidP="00C221E8">
            <w:pPr>
              <w:spacing w:after="0"/>
              <w:rPr>
                <w:rFonts w:ascii="Geomanist Light" w:eastAsia="Times New Roman" w:hAnsi="Geomanist Light" w:cs="Arial"/>
                <w:sz w:val="16"/>
                <w:szCs w:val="16"/>
                <w:lang w:eastAsia="es-ES"/>
              </w:rPr>
            </w:pPr>
            <w:r w:rsidRPr="00085D03">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D8E06AB" w14:textId="77777777" w:rsidR="00096BCE" w:rsidRPr="00085D03" w:rsidRDefault="00096BCE" w:rsidP="00C221E8">
            <w:pPr>
              <w:spacing w:after="0"/>
              <w:rPr>
                <w:rFonts w:ascii="Geomanist Light" w:hAnsi="Geomanist Light" w:cs="Arial"/>
                <w:sz w:val="16"/>
                <w:szCs w:val="16"/>
                <w:lang w:eastAsia="es-ES"/>
              </w:rPr>
            </w:pPr>
            <w:r w:rsidRPr="00085D03">
              <w:rPr>
                <w:rFonts w:ascii="Geomanist Light" w:hAnsi="Geomanist Light" w:cs="Arial"/>
                <w:sz w:val="16"/>
                <w:szCs w:val="16"/>
                <w:lang w:eastAsia="es-ES"/>
              </w:rPr>
              <w:t>Alejandro Sarmiento Cantillo</w:t>
            </w:r>
          </w:p>
          <w:p w14:paraId="3CA2947B" w14:textId="77777777" w:rsidR="00096BCE" w:rsidRPr="00085D03" w:rsidRDefault="00096BCE" w:rsidP="00C221E8">
            <w:pPr>
              <w:spacing w:after="0"/>
              <w:rPr>
                <w:rFonts w:ascii="Geomanist Light" w:eastAsia="Times New Roman" w:hAnsi="Geomanist Light" w:cs="Arial"/>
                <w:sz w:val="16"/>
                <w:szCs w:val="16"/>
                <w:lang w:eastAsia="es-ES"/>
              </w:rPr>
            </w:pPr>
            <w:r w:rsidRPr="00085D03">
              <w:rPr>
                <w:rFonts w:ascii="Geomanist Light" w:hAnsi="Geomanist Light" w:cs="Arial"/>
                <w:sz w:val="16"/>
                <w:szCs w:val="16"/>
                <w:lang w:eastAsia="es-ES"/>
              </w:rPr>
              <w:t>Gestor T1-15 de la Subdirección de Gestión Contractual</w:t>
            </w:r>
          </w:p>
        </w:tc>
      </w:tr>
      <w:tr w:rsidR="00096BCE" w:rsidRPr="000829C1" w14:paraId="0AA22813" w14:textId="77777777" w:rsidTr="00C221E8">
        <w:trPr>
          <w:trHeight w:val="300"/>
        </w:trPr>
        <w:tc>
          <w:tcPr>
            <w:tcW w:w="812" w:type="dxa"/>
            <w:vAlign w:val="center"/>
          </w:tcPr>
          <w:p w14:paraId="26917F74" w14:textId="77777777" w:rsidR="00096BCE" w:rsidRPr="00085D03" w:rsidRDefault="00096BCE" w:rsidP="00C221E8">
            <w:pPr>
              <w:spacing w:after="0"/>
              <w:rPr>
                <w:rFonts w:ascii="Geomanist Light" w:eastAsia="Times New Roman" w:hAnsi="Geomanist Light" w:cs="Arial"/>
                <w:sz w:val="16"/>
                <w:szCs w:val="16"/>
                <w:lang w:eastAsia="es-ES"/>
              </w:rPr>
            </w:pPr>
            <w:r w:rsidRPr="00085D03">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36D33EB0" w14:textId="77777777" w:rsidR="00096BCE" w:rsidRPr="00085D03" w:rsidRDefault="00096BCE" w:rsidP="00C221E8">
            <w:pPr>
              <w:spacing w:after="0"/>
              <w:rPr>
                <w:rFonts w:ascii="Geomanist Light" w:eastAsia="Calibri" w:hAnsi="Geomanist Light" w:cs="Arial"/>
                <w:sz w:val="16"/>
                <w:szCs w:val="16"/>
                <w:lang w:val="pt-BR" w:eastAsia="es-ES"/>
              </w:rPr>
            </w:pPr>
            <w:proofErr w:type="spellStart"/>
            <w:r w:rsidRPr="00085D03">
              <w:rPr>
                <w:rFonts w:ascii="Geomanist Light" w:eastAsia="Calibri" w:hAnsi="Geomanist Light" w:cs="Arial"/>
                <w:sz w:val="16"/>
                <w:szCs w:val="16"/>
                <w:lang w:val="pt-BR" w:eastAsia="es-ES"/>
              </w:rPr>
              <w:t>Nohelia</w:t>
            </w:r>
            <w:proofErr w:type="spellEnd"/>
            <w:r w:rsidRPr="00085D03">
              <w:rPr>
                <w:rFonts w:ascii="Geomanist Light" w:eastAsia="Calibri" w:hAnsi="Geomanist Light" w:cs="Arial"/>
                <w:sz w:val="16"/>
                <w:szCs w:val="16"/>
                <w:lang w:val="pt-BR" w:eastAsia="es-ES"/>
              </w:rPr>
              <w:t xml:space="preserve"> </w:t>
            </w:r>
            <w:proofErr w:type="spellStart"/>
            <w:r w:rsidRPr="00085D03">
              <w:rPr>
                <w:rFonts w:ascii="Geomanist Light" w:eastAsia="Calibri" w:hAnsi="Geomanist Light" w:cs="Arial"/>
                <w:sz w:val="16"/>
                <w:szCs w:val="16"/>
                <w:lang w:val="pt-BR" w:eastAsia="es-ES"/>
              </w:rPr>
              <w:t>del</w:t>
            </w:r>
            <w:proofErr w:type="spellEnd"/>
            <w:r w:rsidRPr="00085D03">
              <w:rPr>
                <w:rFonts w:ascii="Geomanist Light" w:eastAsia="Calibri" w:hAnsi="Geomanist Light" w:cs="Arial"/>
                <w:sz w:val="16"/>
                <w:szCs w:val="16"/>
                <w:lang w:val="pt-BR" w:eastAsia="es-ES"/>
              </w:rPr>
              <w:t xml:space="preserve"> Carmen </w:t>
            </w:r>
            <w:proofErr w:type="spellStart"/>
            <w:r w:rsidRPr="00085D03">
              <w:rPr>
                <w:rFonts w:ascii="Geomanist Light" w:eastAsia="Calibri" w:hAnsi="Geomanist Light" w:cs="Arial"/>
                <w:sz w:val="16"/>
                <w:szCs w:val="16"/>
                <w:lang w:val="pt-BR" w:eastAsia="es-ES"/>
              </w:rPr>
              <w:t>Zawady</w:t>
            </w:r>
            <w:proofErr w:type="spellEnd"/>
            <w:r w:rsidRPr="00085D03">
              <w:rPr>
                <w:rFonts w:ascii="Geomanist Light" w:eastAsia="Calibri" w:hAnsi="Geomanist Light" w:cs="Arial"/>
                <w:sz w:val="16"/>
                <w:szCs w:val="16"/>
                <w:lang w:val="pt-BR" w:eastAsia="es-ES"/>
              </w:rPr>
              <w:t xml:space="preserve"> Palacio</w:t>
            </w:r>
          </w:p>
          <w:p w14:paraId="6118AC98" w14:textId="77777777" w:rsidR="00096BCE" w:rsidRPr="003C281F" w:rsidRDefault="00096BCE" w:rsidP="00C221E8">
            <w:pPr>
              <w:spacing w:after="0"/>
              <w:rPr>
                <w:rFonts w:ascii="Geomanist Light" w:eastAsia="Times New Roman" w:hAnsi="Geomanist Light" w:cs="Arial"/>
                <w:sz w:val="16"/>
                <w:szCs w:val="16"/>
                <w:lang w:eastAsia="es-ES"/>
              </w:rPr>
            </w:pPr>
            <w:r w:rsidRPr="00085D03">
              <w:rPr>
                <w:rFonts w:ascii="Geomanist Light" w:eastAsia="Calibri" w:hAnsi="Geomanist Light" w:cs="Arial"/>
                <w:sz w:val="16"/>
                <w:szCs w:val="16"/>
                <w:lang w:eastAsia="es-ES"/>
              </w:rPr>
              <w:t>Subdirectora de Gestión Contractual</w:t>
            </w:r>
            <w:r w:rsidRPr="003C281F">
              <w:rPr>
                <w:rFonts w:ascii="Geomanist Light" w:eastAsia="Calibri" w:hAnsi="Geomanist Light" w:cs="Arial"/>
                <w:sz w:val="16"/>
                <w:szCs w:val="16"/>
                <w:lang w:eastAsia="es-ES"/>
              </w:rPr>
              <w:t xml:space="preserve"> </w:t>
            </w:r>
          </w:p>
        </w:tc>
      </w:tr>
    </w:tbl>
    <w:p w14:paraId="09E8271D" w14:textId="77777777" w:rsidR="00096BCE" w:rsidRPr="00085D03" w:rsidRDefault="00096BCE" w:rsidP="00096BCE">
      <w:pPr>
        <w:spacing w:before="120" w:after="0"/>
        <w:jc w:val="center"/>
        <w:rPr>
          <w:rFonts w:ascii="Arial" w:eastAsia="Times New Roman" w:hAnsi="Arial" w:cs="Arial"/>
          <w:color w:val="000000" w:themeColor="text1"/>
          <w:sz w:val="18"/>
          <w:szCs w:val="20"/>
          <w:lang w:eastAsia="es-CO"/>
        </w:rPr>
      </w:pPr>
    </w:p>
    <w:p w14:paraId="2A313E95" w14:textId="77777777" w:rsidR="00096BCE" w:rsidRPr="00725332" w:rsidRDefault="00096BCE" w:rsidP="00096BCE">
      <w:pPr>
        <w:spacing w:after="0" w:line="240" w:lineRule="auto"/>
        <w:jc w:val="center"/>
        <w:rPr>
          <w:rFonts w:ascii="Arial" w:eastAsia="Times New Roman" w:hAnsi="Arial" w:cs="Arial"/>
          <w:color w:val="000000" w:themeColor="text1"/>
          <w:sz w:val="18"/>
          <w:szCs w:val="20"/>
          <w:lang w:val="es-ES" w:eastAsia="es-CO"/>
        </w:rPr>
      </w:pPr>
    </w:p>
    <w:p w14:paraId="3E3A92B3" w14:textId="77777777" w:rsidR="00096BCE" w:rsidRPr="00085D03" w:rsidRDefault="00096BCE" w:rsidP="00096BCE">
      <w:pPr>
        <w:rPr>
          <w:lang w:val="es-ES"/>
        </w:rPr>
      </w:pPr>
    </w:p>
    <w:p w14:paraId="0231FEA9" w14:textId="681ABC2F" w:rsidR="00651A7A" w:rsidRPr="00096BCE" w:rsidRDefault="00651A7A" w:rsidP="00096BCE">
      <w:pPr>
        <w:rPr>
          <w:lang w:val="es-ES"/>
        </w:rPr>
      </w:pPr>
    </w:p>
    <w:sectPr w:rsidR="00651A7A" w:rsidRPr="00096BCE" w:rsidSect="00491E2D">
      <w:headerReference w:type="default" r:id="rId12"/>
      <w:footerReference w:type="default" r:id="rId13"/>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F5BC" w14:textId="77777777" w:rsidR="00D75128" w:rsidRDefault="00D75128" w:rsidP="00096BCE">
      <w:pPr>
        <w:spacing w:after="0" w:line="240" w:lineRule="auto"/>
      </w:pPr>
      <w:r>
        <w:separator/>
      </w:r>
    </w:p>
  </w:endnote>
  <w:endnote w:type="continuationSeparator" w:id="0">
    <w:p w14:paraId="7B685C0C" w14:textId="77777777" w:rsidR="00D75128" w:rsidRDefault="00D75128" w:rsidP="0009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85FB" w14:textId="77777777" w:rsidR="00993A2A" w:rsidRDefault="00286FE5" w:rsidP="00993A2A">
    <w:pPr>
      <w:pStyle w:val="Piedepgina"/>
      <w:spacing w:after="0"/>
    </w:pPr>
    <w:r>
      <w:rPr>
        <w:noProof/>
        <w:lang w:val="en-US"/>
      </w:rPr>
      <w:drawing>
        <wp:inline distT="0" distB="0" distL="0" distR="0" wp14:anchorId="5C8BC66B" wp14:editId="7947EF5A">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64CF5322"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C4E912" w14:textId="77777777" w:rsidR="00993A2A" w:rsidRPr="00080DA3" w:rsidRDefault="00286FE5"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72E06D2" w14:textId="77777777" w:rsidR="00993A2A" w:rsidRPr="00080DA3" w:rsidRDefault="00286FE5"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BC8715E" w14:textId="77777777" w:rsidR="00993A2A" w:rsidRPr="00080DA3" w:rsidRDefault="00286FE5"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3B1FD23" w14:textId="77777777" w:rsidR="00993A2A" w:rsidRPr="004B6B0E" w:rsidRDefault="00286FE5"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490753" w14:textId="77777777" w:rsidR="00993A2A" w:rsidRPr="00080DA3" w:rsidRDefault="00286FE5"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AACC4C" w14:textId="77777777" w:rsidR="00993A2A" w:rsidRPr="00080DA3" w:rsidRDefault="00286FE5"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6C74F3" w14:textId="77777777" w:rsidR="00993A2A" w:rsidRPr="00080DA3" w:rsidRDefault="00286FE5"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 xml:space="preserve">PAGE  \* </w:instrText>
          </w:r>
          <w:r w:rsidRPr="00080DA3">
            <w:rPr>
              <w:rFonts w:ascii="Geomanist Light" w:hAnsi="Geomanist Light"/>
              <w:b/>
              <w:bCs/>
              <w:sz w:val="18"/>
              <w:szCs w:val="18"/>
            </w:rPr>
            <w:instrText>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00B53CC9" w14:textId="77777777" w:rsidR="00412132" w:rsidRPr="007B0854" w:rsidRDefault="00286FE5"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D7C4" w14:textId="77777777" w:rsidR="00D75128" w:rsidRDefault="00D75128" w:rsidP="00096BCE">
      <w:pPr>
        <w:spacing w:after="0" w:line="240" w:lineRule="auto"/>
      </w:pPr>
      <w:r>
        <w:separator/>
      </w:r>
    </w:p>
  </w:footnote>
  <w:footnote w:type="continuationSeparator" w:id="0">
    <w:p w14:paraId="4161CD0E" w14:textId="77777777" w:rsidR="00D75128" w:rsidRDefault="00D75128" w:rsidP="00096BCE">
      <w:pPr>
        <w:spacing w:after="0" w:line="240" w:lineRule="auto"/>
      </w:pPr>
      <w:r>
        <w:continuationSeparator/>
      </w:r>
    </w:p>
  </w:footnote>
  <w:footnote w:id="1">
    <w:p w14:paraId="6C8A0B99" w14:textId="77777777" w:rsidR="00096BCE" w:rsidRPr="00490B05" w:rsidRDefault="00096BCE" w:rsidP="00096BCE">
      <w:pPr>
        <w:pStyle w:val="Textonotapie"/>
        <w:ind w:firstLine="708"/>
        <w:jc w:val="both"/>
        <w:rPr>
          <w:sz w:val="18"/>
          <w:szCs w:val="18"/>
        </w:rPr>
      </w:pPr>
      <w:r w:rsidRPr="00490B05">
        <w:rPr>
          <w:rStyle w:val="Refdenotaalpie"/>
          <w:sz w:val="18"/>
          <w:szCs w:val="18"/>
        </w:rPr>
        <w:footnoteRef/>
      </w:r>
      <w:r w:rsidRPr="00490B05">
        <w:rPr>
          <w:sz w:val="18"/>
          <w:szCs w:val="18"/>
        </w:rPr>
        <w:t xml:space="preserve"> Consejo de Estado. Sección Segunda. Sentencia del 9 de septiembre de 2021. Expediente No. 05001-23-33-000-2013-01143-01(1317-16). M.P. Dra. Sandra Lisset Ibarra Vélez.</w:t>
      </w:r>
    </w:p>
  </w:footnote>
  <w:footnote w:id="2">
    <w:p w14:paraId="06EBD51C" w14:textId="77777777" w:rsidR="00096BCE" w:rsidRPr="00490B05" w:rsidRDefault="00096BCE" w:rsidP="00096BCE">
      <w:pPr>
        <w:pStyle w:val="Textonotapie"/>
        <w:ind w:firstLine="708"/>
        <w:jc w:val="both"/>
        <w:rPr>
          <w:sz w:val="18"/>
          <w:szCs w:val="18"/>
          <w:lang w:val="es-ES_tradnl"/>
        </w:rPr>
      </w:pPr>
      <w:r w:rsidRPr="00490B05">
        <w:rPr>
          <w:rStyle w:val="Refdenotaalpie"/>
          <w:sz w:val="18"/>
          <w:szCs w:val="18"/>
        </w:rPr>
        <w:footnoteRef/>
      </w:r>
      <w:r w:rsidRPr="00490B05">
        <w:rPr>
          <w:sz w:val="18"/>
          <w:szCs w:val="18"/>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3">
    <w:p w14:paraId="205B55A3" w14:textId="77777777" w:rsidR="00096BCE" w:rsidRPr="00490B05" w:rsidRDefault="00096BCE" w:rsidP="00096BCE">
      <w:pPr>
        <w:pStyle w:val="Textonotapie"/>
        <w:ind w:firstLine="708"/>
        <w:jc w:val="both"/>
        <w:rPr>
          <w:sz w:val="18"/>
          <w:szCs w:val="18"/>
        </w:rPr>
      </w:pPr>
      <w:r w:rsidRPr="00490B05">
        <w:rPr>
          <w:rStyle w:val="Refdenotaalpie"/>
          <w:sz w:val="18"/>
          <w:szCs w:val="18"/>
        </w:rPr>
        <w:footnoteRef/>
      </w:r>
      <w:r w:rsidRPr="00490B05">
        <w:rPr>
          <w:sz w:val="18"/>
          <w:szCs w:val="18"/>
        </w:rPr>
        <w:t xml:space="preserve"> Consejo de Estado. Sentencia del diciembre 3 de 2007, expediente No. 11001-03-26-000-2003-00014-01(24715), M.P. Dra. Ruth Stella Correa Palacio ─acción de nulidad en contra del Decreto 2170 de 2002.</w:t>
      </w:r>
    </w:p>
  </w:footnote>
  <w:footnote w:id="4">
    <w:p w14:paraId="6AF1061C" w14:textId="77777777" w:rsidR="00096BCE" w:rsidRPr="00490B05" w:rsidRDefault="00096BCE" w:rsidP="00096BCE">
      <w:pPr>
        <w:pStyle w:val="Textonotapie"/>
        <w:ind w:firstLine="708"/>
        <w:rPr>
          <w:sz w:val="18"/>
          <w:szCs w:val="18"/>
        </w:rPr>
      </w:pPr>
      <w:r w:rsidRPr="00490B05">
        <w:rPr>
          <w:rStyle w:val="Refdenotaalpie"/>
          <w:sz w:val="18"/>
          <w:szCs w:val="18"/>
        </w:rPr>
        <w:footnoteRef/>
      </w:r>
      <w:r w:rsidRPr="00490B05">
        <w:rPr>
          <w:sz w:val="18"/>
          <w:szCs w:val="18"/>
        </w:rPr>
        <w:t xml:space="preserve"> </w:t>
      </w:r>
      <w:r w:rsidRPr="00490B05">
        <w:rPr>
          <w:i/>
          <w:iCs/>
          <w:sz w:val="18"/>
          <w:szCs w:val="18"/>
        </w:rPr>
        <w:t>Ididem</w:t>
      </w:r>
      <w:r w:rsidRPr="00490B05">
        <w:rPr>
          <w:sz w:val="18"/>
          <w:szCs w:val="18"/>
        </w:rPr>
        <w:t>.</w:t>
      </w:r>
    </w:p>
  </w:footnote>
  <w:footnote w:id="5">
    <w:p w14:paraId="3B844D58" w14:textId="77777777" w:rsidR="00096BCE" w:rsidRPr="00490B05" w:rsidRDefault="00096BCE" w:rsidP="00096BCE">
      <w:pPr>
        <w:pStyle w:val="Textonotapie"/>
        <w:ind w:firstLine="708"/>
        <w:jc w:val="both"/>
        <w:rPr>
          <w:sz w:val="18"/>
          <w:szCs w:val="18"/>
        </w:rPr>
      </w:pPr>
    </w:p>
    <w:p w14:paraId="5D97F578" w14:textId="77777777" w:rsidR="00096BCE" w:rsidRPr="00490B05" w:rsidRDefault="00096BCE" w:rsidP="00096BCE">
      <w:pPr>
        <w:pStyle w:val="Textonotapie"/>
        <w:ind w:firstLine="708"/>
        <w:jc w:val="both"/>
        <w:rPr>
          <w:sz w:val="18"/>
          <w:szCs w:val="18"/>
        </w:rPr>
      </w:pPr>
      <w:r w:rsidRPr="00490B05">
        <w:rPr>
          <w:rStyle w:val="Refdenotaalpie"/>
          <w:sz w:val="18"/>
          <w:szCs w:val="18"/>
        </w:rPr>
        <w:footnoteRef/>
      </w:r>
      <w:r w:rsidRPr="00490B05">
        <w:rPr>
          <w:sz w:val="18"/>
          <w:szCs w:val="18"/>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29B0E7E5" w14:textId="77777777" w:rsidR="00096BCE" w:rsidRPr="00490B05" w:rsidRDefault="00096BCE" w:rsidP="00096BCE">
      <w:pPr>
        <w:pStyle w:val="Textonotapie"/>
        <w:ind w:firstLine="709"/>
        <w:jc w:val="both"/>
        <w:rPr>
          <w:sz w:val="18"/>
          <w:szCs w:val="18"/>
        </w:rPr>
      </w:pPr>
    </w:p>
  </w:footnote>
  <w:footnote w:id="6">
    <w:p w14:paraId="02BCF3DE"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5E43D8D" w14:textId="77777777" w:rsidR="00096BCE" w:rsidRPr="00490B05" w:rsidRDefault="00096BCE" w:rsidP="00096BCE">
      <w:pPr>
        <w:pStyle w:val="Textonotapie"/>
        <w:ind w:firstLine="709"/>
        <w:jc w:val="both"/>
        <w:rPr>
          <w:sz w:val="18"/>
          <w:szCs w:val="18"/>
        </w:rPr>
      </w:pPr>
      <w:r w:rsidRPr="00490B05">
        <w:rPr>
          <w:sz w:val="18"/>
          <w:szCs w:val="18"/>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01A2304" w14:textId="77777777" w:rsidR="00096BCE" w:rsidRPr="00490B05" w:rsidRDefault="00096BCE" w:rsidP="00096BCE">
      <w:pPr>
        <w:pStyle w:val="Textonotapie"/>
        <w:jc w:val="both"/>
        <w:rPr>
          <w:sz w:val="18"/>
          <w:szCs w:val="18"/>
          <w:lang w:val="pt-BR"/>
        </w:rPr>
      </w:pPr>
      <w:r w:rsidRPr="00490B05">
        <w:rPr>
          <w:sz w:val="18"/>
          <w:szCs w:val="18"/>
        </w:rPr>
        <w:t xml:space="preserve">El Gobierno nacional reglamentará el mecanismo para realizar la mensualización de que trata el presente </w:t>
      </w:r>
      <w:r w:rsidRPr="00490B05">
        <w:rPr>
          <w:sz w:val="18"/>
          <w:szCs w:val="18"/>
        </w:rPr>
        <w:t>artículo.</w:t>
      </w:r>
      <w:r w:rsidRPr="00490B05">
        <w:rPr>
          <w:sz w:val="18"/>
          <w:szCs w:val="18"/>
          <w:lang w:val="pt-BR"/>
        </w:rPr>
        <w:t>[…]».</w:t>
      </w:r>
    </w:p>
    <w:p w14:paraId="45BE244C" w14:textId="77777777" w:rsidR="00096BCE" w:rsidRPr="00490B05" w:rsidRDefault="00096BCE" w:rsidP="00096BCE">
      <w:pPr>
        <w:pStyle w:val="Textonotapie"/>
        <w:ind w:firstLine="709"/>
        <w:jc w:val="both"/>
        <w:rPr>
          <w:sz w:val="18"/>
          <w:szCs w:val="18"/>
          <w:lang w:val="pt-BR"/>
        </w:rPr>
      </w:pPr>
    </w:p>
  </w:footnote>
  <w:footnote w:id="7">
    <w:p w14:paraId="2A835B44"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lang w:val="pt-BR"/>
        </w:rPr>
        <w:t xml:space="preserve"> Corte Constitucional. Sentencia C-154 de 1997. </w:t>
      </w:r>
      <w:r w:rsidRPr="00490B05">
        <w:rPr>
          <w:sz w:val="18"/>
          <w:szCs w:val="18"/>
        </w:rPr>
        <w:t>MP: Hernando Herrera Vergara.</w:t>
      </w:r>
    </w:p>
    <w:p w14:paraId="0C510983" w14:textId="77777777" w:rsidR="00096BCE" w:rsidRPr="00490B05" w:rsidRDefault="00096BCE" w:rsidP="00096BCE">
      <w:pPr>
        <w:pStyle w:val="Textonotapie"/>
        <w:ind w:firstLine="709"/>
        <w:jc w:val="both"/>
        <w:rPr>
          <w:sz w:val="18"/>
          <w:szCs w:val="18"/>
        </w:rPr>
      </w:pPr>
    </w:p>
  </w:footnote>
  <w:footnote w:id="8">
    <w:p w14:paraId="1BE696D9"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w:t>
      </w:r>
      <w:r w:rsidRPr="00490B05">
        <w:rPr>
          <w:sz w:val="18"/>
          <w:szCs w:val="18"/>
        </w:rPr>
        <w:t>Ibíd.</w:t>
      </w:r>
    </w:p>
    <w:p w14:paraId="7835B568" w14:textId="77777777" w:rsidR="00096BCE" w:rsidRPr="00490B05" w:rsidRDefault="00096BCE" w:rsidP="00096BCE">
      <w:pPr>
        <w:pStyle w:val="Textonotapie"/>
        <w:ind w:firstLine="709"/>
        <w:jc w:val="both"/>
        <w:rPr>
          <w:sz w:val="18"/>
          <w:szCs w:val="18"/>
        </w:rPr>
      </w:pPr>
    </w:p>
  </w:footnote>
  <w:footnote w:id="9">
    <w:p w14:paraId="3F7D47EC"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w:t>
      </w:r>
      <w:r w:rsidRPr="00490B05">
        <w:rPr>
          <w:color w:val="000000" w:themeColor="text1"/>
          <w:sz w:val="18"/>
          <w:szCs w:val="18"/>
        </w:rPr>
        <w:t xml:space="preserve">CONSEJO DE ESTADO. Sección Tercera. Subsección C. Sentencia de Unificación del 2 de diciembre de 2013. </w:t>
      </w:r>
      <w:r w:rsidRPr="00490B05">
        <w:rPr>
          <w:color w:val="000000" w:themeColor="text1"/>
          <w:sz w:val="18"/>
          <w:szCs w:val="18"/>
        </w:rPr>
        <w:t>Exp. 41.719. C.P. Jaime Orlando Santofimio Gamboa.</w:t>
      </w:r>
      <w:r w:rsidRPr="00490B05">
        <w:rPr>
          <w:sz w:val="18"/>
          <w:szCs w:val="18"/>
        </w:rPr>
        <w:t xml:space="preserve"> </w:t>
      </w:r>
    </w:p>
    <w:p w14:paraId="443D0D5D" w14:textId="77777777" w:rsidR="00096BCE" w:rsidRPr="00490B05" w:rsidRDefault="00096BCE" w:rsidP="00096BCE">
      <w:pPr>
        <w:pStyle w:val="Textonotapie"/>
        <w:ind w:firstLine="709"/>
        <w:jc w:val="both"/>
        <w:rPr>
          <w:sz w:val="18"/>
          <w:szCs w:val="18"/>
        </w:rPr>
      </w:pPr>
    </w:p>
    <w:p w14:paraId="75368073" w14:textId="77777777" w:rsidR="00096BCE" w:rsidRPr="00490B05" w:rsidRDefault="00096BCE" w:rsidP="00096BCE">
      <w:pPr>
        <w:pStyle w:val="Textonotapie"/>
        <w:ind w:firstLine="709"/>
        <w:jc w:val="both"/>
        <w:rPr>
          <w:sz w:val="18"/>
          <w:szCs w:val="18"/>
        </w:rPr>
      </w:pPr>
      <w:r w:rsidRPr="00490B05">
        <w:rPr>
          <w:sz w:val="18"/>
          <w:szCs w:val="18"/>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6EAA98C" w14:textId="77777777" w:rsidR="00096BCE" w:rsidRPr="00490B05" w:rsidRDefault="00096BCE" w:rsidP="00096BCE">
      <w:pPr>
        <w:pStyle w:val="Textonotapie"/>
        <w:ind w:firstLine="709"/>
        <w:jc w:val="both"/>
        <w:rPr>
          <w:sz w:val="18"/>
          <w:szCs w:val="18"/>
        </w:rPr>
      </w:pPr>
      <w:r w:rsidRPr="00490B05">
        <w:rPr>
          <w:sz w:val="18"/>
          <w:szCs w:val="18"/>
        </w:rPr>
        <w:t>»Son también contratos de consultoría los que tienen por objeto la interventoría, asesoría, gerencia de obra o de proyectos, dirección, programación y la ejecución de diseños, planos, anteproyectos y proyectos.</w:t>
      </w:r>
    </w:p>
    <w:p w14:paraId="33773DBF" w14:textId="77777777" w:rsidR="00096BCE" w:rsidRPr="00490B05" w:rsidRDefault="00096BCE" w:rsidP="00096BCE">
      <w:pPr>
        <w:pStyle w:val="Textonotapie"/>
        <w:ind w:firstLine="709"/>
        <w:jc w:val="both"/>
        <w:rPr>
          <w:sz w:val="18"/>
          <w:szCs w:val="18"/>
        </w:rPr>
      </w:pPr>
      <w:r w:rsidRPr="00490B05">
        <w:rPr>
          <w:sz w:val="18"/>
          <w:szCs w:val="18"/>
        </w:rPr>
        <w:t>»Ninguna orden del interventor de una obra podrá darse verbalmente. Es obligatorio para el interventor entregar por escrito sus órdenes o sugerencias y ellas deben enmarcarse dentro de los términos del respectivo contrato».</w:t>
      </w:r>
    </w:p>
  </w:footnote>
  <w:footnote w:id="10">
    <w:p w14:paraId="008892B8"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Así lo dispone el artículo 2.2.1.2.1.4.1. del Decreto 1082 de 2015: «La Entidad Estatal debe señalar en un acto administrativo la justificación para contratar bajo la modalidad de contratación directa, el cual debe contener:</w:t>
      </w:r>
    </w:p>
    <w:p w14:paraId="12715784" w14:textId="77777777" w:rsidR="00096BCE" w:rsidRPr="00490B05" w:rsidRDefault="00096BCE" w:rsidP="00096BCE">
      <w:pPr>
        <w:pStyle w:val="Textonotapie"/>
        <w:ind w:firstLine="709"/>
        <w:jc w:val="both"/>
        <w:rPr>
          <w:sz w:val="18"/>
          <w:szCs w:val="18"/>
        </w:rPr>
      </w:pPr>
      <w:r w:rsidRPr="00490B05">
        <w:rPr>
          <w:sz w:val="18"/>
          <w:szCs w:val="18"/>
        </w:rPr>
        <w:t>»1. La causal que invoca para contratar directamente.</w:t>
      </w:r>
    </w:p>
    <w:p w14:paraId="21371F0D" w14:textId="77777777" w:rsidR="00096BCE" w:rsidRPr="00490B05" w:rsidRDefault="00096BCE" w:rsidP="00096BCE">
      <w:pPr>
        <w:pStyle w:val="Textonotapie"/>
        <w:ind w:firstLine="709"/>
        <w:jc w:val="both"/>
        <w:rPr>
          <w:sz w:val="18"/>
          <w:szCs w:val="18"/>
        </w:rPr>
      </w:pPr>
      <w:r w:rsidRPr="00490B05">
        <w:rPr>
          <w:sz w:val="18"/>
          <w:szCs w:val="18"/>
        </w:rPr>
        <w:t>»2. El objeto del contrato.</w:t>
      </w:r>
    </w:p>
    <w:p w14:paraId="5AAEE843" w14:textId="77777777" w:rsidR="00096BCE" w:rsidRPr="00490B05" w:rsidRDefault="00096BCE" w:rsidP="00096BCE">
      <w:pPr>
        <w:pStyle w:val="Textonotapie"/>
        <w:ind w:firstLine="709"/>
        <w:jc w:val="both"/>
        <w:rPr>
          <w:sz w:val="18"/>
          <w:szCs w:val="18"/>
        </w:rPr>
      </w:pPr>
      <w:r w:rsidRPr="00490B05">
        <w:rPr>
          <w:sz w:val="18"/>
          <w:szCs w:val="18"/>
        </w:rPr>
        <w:t>»3. El presupuesto para la contratación y las condiciones que exigirá al contratista.</w:t>
      </w:r>
    </w:p>
    <w:p w14:paraId="03112CD2" w14:textId="77777777" w:rsidR="00096BCE" w:rsidRPr="00490B05" w:rsidRDefault="00096BCE" w:rsidP="00096BCE">
      <w:pPr>
        <w:pStyle w:val="Textonotapie"/>
        <w:ind w:firstLine="709"/>
        <w:jc w:val="both"/>
        <w:rPr>
          <w:sz w:val="18"/>
          <w:szCs w:val="18"/>
        </w:rPr>
      </w:pPr>
      <w:r w:rsidRPr="00490B05">
        <w:rPr>
          <w:sz w:val="18"/>
          <w:szCs w:val="18"/>
        </w:rPr>
        <w:t>»4. El lugar en el cual los interesados pueden consultar los estudios y documentos previos.</w:t>
      </w:r>
    </w:p>
    <w:p w14:paraId="44F1213F" w14:textId="77777777" w:rsidR="00096BCE" w:rsidRPr="00490B05" w:rsidRDefault="00096BCE" w:rsidP="00096BCE">
      <w:pPr>
        <w:pStyle w:val="Textonotapie"/>
        <w:ind w:firstLine="709"/>
        <w:jc w:val="both"/>
        <w:rPr>
          <w:sz w:val="18"/>
          <w:szCs w:val="18"/>
        </w:rPr>
      </w:pPr>
      <w:r w:rsidRPr="00490B05">
        <w:rPr>
          <w:sz w:val="18"/>
          <w:szCs w:val="18"/>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71954720" w14:textId="77777777" w:rsidR="00096BCE" w:rsidRPr="00490B05" w:rsidRDefault="00096BCE" w:rsidP="00096BCE">
      <w:pPr>
        <w:pStyle w:val="Textonotapie"/>
        <w:jc w:val="both"/>
        <w:rPr>
          <w:sz w:val="18"/>
          <w:szCs w:val="18"/>
        </w:rPr>
      </w:pPr>
    </w:p>
    <w:p w14:paraId="06D69449"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La norma expresa: «Art. 14. Para el cumplimiento de los fines de la contratación, las entidades estatales al celebrar un contrato:</w:t>
      </w:r>
    </w:p>
    <w:p w14:paraId="71035928" w14:textId="77777777" w:rsidR="00096BCE" w:rsidRPr="00490B05" w:rsidRDefault="00096BCE" w:rsidP="00096BCE">
      <w:pPr>
        <w:pStyle w:val="Textonotapie"/>
        <w:ind w:firstLine="709"/>
        <w:jc w:val="both"/>
        <w:rPr>
          <w:sz w:val="18"/>
          <w:szCs w:val="18"/>
        </w:rPr>
      </w:pPr>
      <w:r w:rsidRPr="00490B05">
        <w:rPr>
          <w:sz w:val="18"/>
          <w:szCs w:val="18"/>
        </w:rPr>
        <w:t>[…]</w:t>
      </w:r>
    </w:p>
    <w:p w14:paraId="28804CEB" w14:textId="77777777" w:rsidR="00096BCE" w:rsidRPr="00490B05" w:rsidRDefault="00096BCE" w:rsidP="00096BCE">
      <w:pPr>
        <w:pStyle w:val="Textonotapie"/>
        <w:ind w:firstLine="709"/>
        <w:jc w:val="both"/>
        <w:rPr>
          <w:sz w:val="18"/>
          <w:szCs w:val="18"/>
        </w:rPr>
      </w:pPr>
      <w:r w:rsidRPr="00490B05">
        <w:rPr>
          <w:sz w:val="18"/>
          <w:szCs w:val="18"/>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D1390BC" w14:textId="77777777" w:rsidR="00096BCE" w:rsidRPr="00490B05" w:rsidRDefault="00096BCE" w:rsidP="00096BCE">
      <w:pPr>
        <w:pStyle w:val="Textonotapie"/>
        <w:ind w:firstLine="709"/>
        <w:jc w:val="both"/>
        <w:rPr>
          <w:sz w:val="18"/>
          <w:szCs w:val="18"/>
        </w:rPr>
      </w:pPr>
      <w:r w:rsidRPr="00490B05">
        <w:rPr>
          <w:sz w:val="18"/>
          <w:szCs w:val="18"/>
        </w:rPr>
        <w:t>Las entidades estatales podrán pactar estas cláusulas en los contratos de suministro y de prestación de servicios.</w:t>
      </w:r>
    </w:p>
    <w:p w14:paraId="52A4736F" w14:textId="77777777" w:rsidR="00096BCE" w:rsidRPr="00490B05" w:rsidRDefault="00096BCE" w:rsidP="00096BCE">
      <w:pPr>
        <w:pStyle w:val="Textonotapie"/>
        <w:ind w:firstLine="709"/>
        <w:jc w:val="both"/>
        <w:rPr>
          <w:sz w:val="18"/>
          <w:szCs w:val="18"/>
        </w:rPr>
      </w:pPr>
      <w:r w:rsidRPr="00490B05">
        <w:rPr>
          <w:sz w:val="18"/>
          <w:szCs w:val="18"/>
        </w:rPr>
        <w:t>[…]».</w:t>
      </w:r>
    </w:p>
  </w:footnote>
  <w:footnote w:id="12">
    <w:p w14:paraId="09ED3BD3"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La norma dispone: «La liquidación a que se refiere el presente artículo no será obligatoria en los contratos de prestación de servicios profesionales y de apoyo a la gestión».</w:t>
      </w:r>
    </w:p>
  </w:footnote>
  <w:footnote w:id="13">
    <w:p w14:paraId="6D1CC09A"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315C192" w14:textId="77777777" w:rsidR="00096BCE" w:rsidRPr="00490B05" w:rsidRDefault="00096BCE" w:rsidP="00096BCE">
      <w:pPr>
        <w:pStyle w:val="Textonotapie"/>
        <w:ind w:firstLine="709"/>
        <w:jc w:val="both"/>
        <w:rPr>
          <w:sz w:val="18"/>
          <w:szCs w:val="18"/>
        </w:rPr>
      </w:pPr>
      <w:r w:rsidRPr="00490B05">
        <w:rPr>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4AFA79F" w14:textId="77777777" w:rsidR="00096BCE" w:rsidRPr="00490B05" w:rsidRDefault="00096BCE" w:rsidP="00096BCE">
      <w:pPr>
        <w:pStyle w:val="Textonotapie"/>
        <w:ind w:firstLine="709"/>
        <w:jc w:val="both"/>
        <w:rPr>
          <w:sz w:val="18"/>
          <w:szCs w:val="18"/>
        </w:rPr>
      </w:pPr>
      <w:r w:rsidRPr="00490B05">
        <w:rPr>
          <w:sz w:val="18"/>
          <w:szCs w:val="18"/>
        </w:rPr>
        <w:t>[…]».</w:t>
      </w:r>
    </w:p>
  </w:footnote>
  <w:footnote w:id="14">
    <w:p w14:paraId="11BE77B4" w14:textId="77777777" w:rsidR="00096BCE" w:rsidRPr="00490B05" w:rsidRDefault="00096BCE" w:rsidP="00096BCE">
      <w:pPr>
        <w:pStyle w:val="Textonotapie"/>
        <w:ind w:firstLine="709"/>
        <w:jc w:val="both"/>
        <w:rPr>
          <w:sz w:val="18"/>
          <w:szCs w:val="18"/>
        </w:rPr>
      </w:pPr>
      <w:r w:rsidRPr="00490B05">
        <w:rPr>
          <w:rStyle w:val="Refdenotaalpie"/>
          <w:sz w:val="18"/>
          <w:szCs w:val="18"/>
        </w:rPr>
        <w:footnoteRef/>
      </w:r>
      <w:r w:rsidRPr="00490B05">
        <w:rPr>
          <w:sz w:val="18"/>
          <w:szCs w:val="18"/>
        </w:rPr>
        <w:t xml:space="preserve"> 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5302DF06" w14:textId="77777777" w:rsidR="00096BCE" w:rsidRPr="00490B05" w:rsidRDefault="00096BCE" w:rsidP="00096BCE">
      <w:pPr>
        <w:pStyle w:val="Textonotapie"/>
        <w:ind w:firstLine="709"/>
        <w:jc w:val="both"/>
        <w:rPr>
          <w:sz w:val="18"/>
          <w:szCs w:val="18"/>
        </w:rPr>
      </w:pPr>
    </w:p>
  </w:footnote>
  <w:footnote w:id="15">
    <w:p w14:paraId="3032D095" w14:textId="77777777" w:rsidR="00096BCE" w:rsidRPr="00490B05" w:rsidRDefault="00096BCE" w:rsidP="00096BCE">
      <w:pPr>
        <w:pStyle w:val="Textonotapie"/>
        <w:ind w:firstLine="709"/>
        <w:jc w:val="both"/>
        <w:rPr>
          <w:color w:val="000000" w:themeColor="text1"/>
          <w:sz w:val="18"/>
          <w:szCs w:val="18"/>
        </w:rPr>
      </w:pPr>
      <w:r w:rsidRPr="00490B05">
        <w:rPr>
          <w:rStyle w:val="Refdenotaalpie"/>
          <w:color w:val="000000" w:themeColor="text1"/>
          <w:sz w:val="18"/>
          <w:szCs w:val="18"/>
        </w:rPr>
        <w:footnoteRef/>
      </w:r>
      <w:r w:rsidRPr="00490B05">
        <w:rPr>
          <w:color w:val="000000" w:themeColor="text1"/>
          <w:sz w:val="18"/>
          <w:szCs w:val="18"/>
        </w:rPr>
        <w:t xml:space="preserve"> 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878B115" w14:textId="77777777" w:rsidR="00096BCE" w:rsidRPr="00490B05" w:rsidRDefault="00096BCE" w:rsidP="00096BCE">
      <w:pPr>
        <w:pStyle w:val="Textonotapie"/>
        <w:ind w:firstLine="709"/>
        <w:jc w:val="both"/>
        <w:rPr>
          <w:color w:val="000000" w:themeColor="text1"/>
          <w:sz w:val="18"/>
          <w:szCs w:val="18"/>
        </w:rPr>
      </w:pPr>
      <w:r w:rsidRPr="00490B05">
        <w:rPr>
          <w:color w:val="000000" w:themeColor="text1"/>
          <w:sz w:val="18"/>
          <w:szCs w:val="18"/>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92E3B03" w14:textId="77777777" w:rsidR="00096BCE" w:rsidRPr="00490B05" w:rsidRDefault="00096BCE" w:rsidP="00096BCE">
      <w:pPr>
        <w:pStyle w:val="Textonotapie"/>
        <w:ind w:firstLine="709"/>
        <w:jc w:val="both"/>
        <w:rPr>
          <w:color w:val="000000" w:themeColor="text1"/>
          <w:sz w:val="18"/>
          <w:szCs w:val="18"/>
        </w:rPr>
      </w:pPr>
      <w:r w:rsidRPr="00490B05">
        <w:rPr>
          <w:color w:val="000000" w:themeColor="text1"/>
          <w:sz w:val="18"/>
          <w:szCs w:val="18"/>
        </w:rPr>
        <w:t>»La Entidad Estatal, para la contratación de trabajos artísticos que solamente puedan en</w:t>
      </w:r>
      <w:r w:rsidRPr="00490B05">
        <w:rPr>
          <w:color w:val="000000" w:themeColor="text1"/>
          <w:sz w:val="18"/>
          <w:szCs w:val="18"/>
        </w:rPr>
        <w:softHyphen/>
        <w:t>comendarse a determinadas personas naturales, debe justificar esta situación en los estudios y documentos previos».</w:t>
      </w:r>
    </w:p>
    <w:p w14:paraId="3D9AA766" w14:textId="77777777" w:rsidR="00096BCE" w:rsidRPr="00490B05" w:rsidRDefault="00096BCE" w:rsidP="00096BCE">
      <w:pPr>
        <w:pStyle w:val="Textonotapie"/>
        <w:ind w:firstLine="709"/>
        <w:jc w:val="both"/>
        <w:rPr>
          <w:color w:val="000000" w:themeColor="text1"/>
          <w:sz w:val="18"/>
          <w:szCs w:val="18"/>
        </w:rPr>
      </w:pPr>
    </w:p>
  </w:footnote>
  <w:footnote w:id="16">
    <w:p w14:paraId="7114CE91" w14:textId="77777777" w:rsidR="00096BCE" w:rsidRPr="00490B05" w:rsidRDefault="00096BCE" w:rsidP="00096BCE">
      <w:pPr>
        <w:pStyle w:val="Textonotapie"/>
        <w:ind w:firstLine="709"/>
        <w:jc w:val="both"/>
        <w:rPr>
          <w:color w:val="000000" w:themeColor="text1"/>
          <w:sz w:val="18"/>
          <w:szCs w:val="18"/>
        </w:rPr>
      </w:pPr>
      <w:r w:rsidRPr="00490B05">
        <w:rPr>
          <w:rStyle w:val="Refdenotaalpie"/>
          <w:color w:val="000000" w:themeColor="text1"/>
          <w:sz w:val="18"/>
          <w:szCs w:val="18"/>
        </w:rPr>
        <w:footnoteRef/>
      </w:r>
      <w:r w:rsidRPr="00490B05">
        <w:rPr>
          <w:color w:val="000000" w:themeColor="text1"/>
          <w:sz w:val="18"/>
          <w:szCs w:val="18"/>
        </w:rPr>
        <w:t xml:space="preserve"> CONSEJO DE ESTADO. Sección Tercera. Subsección C. Sentencia de Unificación del 2 de diciembre de 2013. </w:t>
      </w:r>
      <w:r w:rsidRPr="00490B05">
        <w:rPr>
          <w:color w:val="000000" w:themeColor="text1"/>
          <w:sz w:val="18"/>
          <w:szCs w:val="18"/>
        </w:rPr>
        <w:t>Exp. 41.719. C.P. Jaime Orlando Santofimio Gamboa.</w:t>
      </w:r>
    </w:p>
    <w:p w14:paraId="46457AB3" w14:textId="77777777" w:rsidR="00096BCE" w:rsidRPr="00490B05" w:rsidRDefault="00096BCE" w:rsidP="00096BCE">
      <w:pPr>
        <w:pStyle w:val="Textonotapie"/>
        <w:ind w:firstLine="709"/>
        <w:jc w:val="both"/>
        <w:rPr>
          <w:color w:val="000000" w:themeColor="text1"/>
          <w:sz w:val="18"/>
          <w:szCs w:val="18"/>
        </w:rPr>
      </w:pPr>
    </w:p>
  </w:footnote>
  <w:footnote w:id="17">
    <w:p w14:paraId="7280FFC3" w14:textId="77777777" w:rsidR="00096BCE" w:rsidRPr="00490B05" w:rsidRDefault="00096BCE" w:rsidP="00096BCE">
      <w:pPr>
        <w:pStyle w:val="Textonotapie"/>
        <w:ind w:firstLine="709"/>
        <w:jc w:val="both"/>
        <w:rPr>
          <w:color w:val="000000" w:themeColor="text1"/>
          <w:sz w:val="18"/>
          <w:szCs w:val="18"/>
        </w:rPr>
      </w:pPr>
      <w:r w:rsidRPr="00490B05">
        <w:rPr>
          <w:rStyle w:val="Refdenotaalpie"/>
          <w:color w:val="000000" w:themeColor="text1"/>
          <w:sz w:val="18"/>
          <w:szCs w:val="18"/>
        </w:rPr>
        <w:footnoteRef/>
      </w:r>
      <w:r w:rsidRPr="00490B05">
        <w:rPr>
          <w:color w:val="000000" w:themeColor="text1"/>
          <w:sz w:val="18"/>
          <w:szCs w:val="18"/>
        </w:rPr>
        <w:t xml:space="preserve"> </w:t>
      </w:r>
      <w:r w:rsidRPr="00490B05">
        <w:rPr>
          <w:i/>
          <w:iCs/>
          <w:color w:val="000000" w:themeColor="text1"/>
          <w:sz w:val="18"/>
          <w:szCs w:val="18"/>
        </w:rPr>
        <w:t>Ibíd</w:t>
      </w:r>
      <w:r w:rsidRPr="00490B05">
        <w:rPr>
          <w:color w:val="000000" w:themeColor="text1"/>
          <w:sz w:val="18"/>
          <w:szCs w:val="18"/>
        </w:rPr>
        <w:t>.</w:t>
      </w:r>
    </w:p>
    <w:p w14:paraId="59E0DAC4" w14:textId="77777777" w:rsidR="00096BCE" w:rsidRPr="00490B05" w:rsidRDefault="00096BCE" w:rsidP="00096BCE">
      <w:pPr>
        <w:pStyle w:val="Textonotapie"/>
        <w:ind w:firstLine="709"/>
        <w:jc w:val="both"/>
        <w:rPr>
          <w:color w:val="000000" w:themeColor="text1"/>
          <w:sz w:val="18"/>
          <w:szCs w:val="18"/>
        </w:rPr>
      </w:pPr>
    </w:p>
  </w:footnote>
  <w:footnote w:id="18">
    <w:p w14:paraId="22358605" w14:textId="77777777" w:rsidR="00096BCE" w:rsidRPr="00490B05" w:rsidRDefault="00096BCE" w:rsidP="00096BCE">
      <w:pPr>
        <w:pStyle w:val="Textonotapie"/>
        <w:ind w:firstLine="709"/>
        <w:jc w:val="both"/>
        <w:rPr>
          <w:color w:val="000000" w:themeColor="text1"/>
          <w:sz w:val="18"/>
          <w:szCs w:val="18"/>
        </w:rPr>
      </w:pPr>
      <w:r w:rsidRPr="00490B05">
        <w:rPr>
          <w:rStyle w:val="Refdenotaalpie"/>
          <w:color w:val="000000" w:themeColor="text1"/>
          <w:sz w:val="18"/>
          <w:szCs w:val="18"/>
        </w:rPr>
        <w:footnoteRef/>
      </w:r>
      <w:r w:rsidRPr="00490B05">
        <w:rPr>
          <w:color w:val="000000" w:themeColor="text1"/>
          <w:sz w:val="18"/>
          <w:szCs w:val="18"/>
        </w:rPr>
        <w:t xml:space="preserve"> </w:t>
      </w:r>
      <w:r w:rsidRPr="00490B05">
        <w:rPr>
          <w:i/>
          <w:iCs/>
          <w:color w:val="000000" w:themeColor="text1"/>
          <w:sz w:val="18"/>
          <w:szCs w:val="18"/>
        </w:rPr>
        <w:t>Ibíd</w:t>
      </w:r>
      <w:r w:rsidRPr="00490B05">
        <w:rPr>
          <w:color w:val="000000" w:themeColor="text1"/>
          <w:sz w:val="18"/>
          <w:szCs w:val="18"/>
        </w:rPr>
        <w:t>.</w:t>
      </w:r>
    </w:p>
    <w:p w14:paraId="7A63281B" w14:textId="77777777" w:rsidR="00096BCE" w:rsidRPr="00490B05" w:rsidRDefault="00096BCE" w:rsidP="00096BCE">
      <w:pPr>
        <w:pStyle w:val="Textonotapie"/>
        <w:ind w:firstLine="709"/>
        <w:jc w:val="both"/>
        <w:rPr>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A026" w14:textId="77777777" w:rsidR="00993A2A" w:rsidRPr="003F58A1" w:rsidRDefault="00286FE5"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74D3FB69" wp14:editId="0360DD5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01865E00" w14:textId="77777777" w:rsidTr="00B53489">
      <w:tc>
        <w:tcPr>
          <w:tcW w:w="6756" w:type="dxa"/>
        </w:tcPr>
        <w:p w14:paraId="1E3AB3E3" w14:textId="77777777" w:rsidR="00993A2A" w:rsidRPr="006478E3" w:rsidRDefault="00286FE5"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D13DC63" w14:textId="77777777" w:rsidR="00993A2A" w:rsidRPr="0057618A" w:rsidRDefault="00286FE5"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0DFAA267" w14:textId="77777777" w:rsidR="00993A2A" w:rsidRPr="00367110" w:rsidRDefault="00286FE5" w:rsidP="00993A2A">
          <w:pPr>
            <w:jc w:val="right"/>
            <w:rPr>
              <w:rFonts w:eastAsia="Arial Nova" w:cs="Arial Nova"/>
              <w:lang w:eastAsia="es-CO"/>
            </w:rPr>
          </w:pPr>
        </w:p>
      </w:tc>
      <w:tc>
        <w:tcPr>
          <w:tcW w:w="1324" w:type="dxa"/>
        </w:tcPr>
        <w:p w14:paraId="6334F420" w14:textId="77777777" w:rsidR="00993A2A" w:rsidRPr="00367110" w:rsidRDefault="00286FE5" w:rsidP="00993A2A">
          <w:pPr>
            <w:jc w:val="right"/>
            <w:rPr>
              <w:rFonts w:eastAsia="Arial Nova" w:cs="Arial Nova"/>
              <w:lang w:eastAsia="es-CO"/>
            </w:rPr>
          </w:pPr>
        </w:p>
      </w:tc>
    </w:tr>
  </w:tbl>
  <w:p w14:paraId="1AD0C878" w14:textId="77777777" w:rsidR="00993A2A" w:rsidRPr="00906B3C" w:rsidRDefault="00286FE5"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3617FF30" wp14:editId="51A5B133">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7148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CE"/>
    <w:rsid w:val="00096BCE"/>
    <w:rsid w:val="00286FE5"/>
    <w:rsid w:val="00490B05"/>
    <w:rsid w:val="00634A67"/>
    <w:rsid w:val="00651A7A"/>
    <w:rsid w:val="009633F9"/>
    <w:rsid w:val="00A26B59"/>
    <w:rsid w:val="00CE04D9"/>
    <w:rsid w:val="00D75128"/>
    <w:rsid w:val="00ED2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7B58"/>
  <w15:chartTrackingRefBased/>
  <w15:docId w15:val="{0647F3C7-AEE1-A34E-AC2F-098EE6EC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CE"/>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96BCE"/>
    <w:pPr>
      <w:tabs>
        <w:tab w:val="center" w:pos="4419"/>
        <w:tab w:val="right" w:pos="8838"/>
      </w:tabs>
    </w:pPr>
  </w:style>
  <w:style w:type="character" w:customStyle="1" w:styleId="PiedepginaCar">
    <w:name w:val="Pie de página Car"/>
    <w:basedOn w:val="Fuentedeprrafopredeter"/>
    <w:link w:val="Piedepgina"/>
    <w:uiPriority w:val="99"/>
    <w:rsid w:val="00096BCE"/>
    <w:rPr>
      <w:szCs w:val="22"/>
      <w:lang w:val="es-MX"/>
    </w:rPr>
  </w:style>
  <w:style w:type="paragraph" w:styleId="Encabezado">
    <w:name w:val="header"/>
    <w:basedOn w:val="Normal"/>
    <w:link w:val="EncabezadoCar"/>
    <w:uiPriority w:val="99"/>
    <w:unhideWhenUsed/>
    <w:rsid w:val="00096BCE"/>
    <w:pPr>
      <w:tabs>
        <w:tab w:val="center" w:pos="4252"/>
        <w:tab w:val="right" w:pos="8504"/>
      </w:tabs>
    </w:pPr>
  </w:style>
  <w:style w:type="character" w:customStyle="1" w:styleId="EncabezadoCar">
    <w:name w:val="Encabezado Car"/>
    <w:basedOn w:val="Fuentedeprrafopredeter"/>
    <w:link w:val="Encabezado"/>
    <w:uiPriority w:val="99"/>
    <w:rsid w:val="00096BCE"/>
    <w:rPr>
      <w:szCs w:val="22"/>
      <w:lang w:val="es-MX"/>
    </w:rPr>
  </w:style>
  <w:style w:type="table" w:styleId="Tablaconcuadrcula">
    <w:name w:val="Table Grid"/>
    <w:basedOn w:val="Tablanormal"/>
    <w:uiPriority w:val="59"/>
    <w:qFormat/>
    <w:rsid w:val="00096BCE"/>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096BCE"/>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096BCE"/>
    <w:rPr>
      <w:vertAlign w:val="superscript"/>
    </w:rPr>
  </w:style>
  <w:style w:type="paragraph" w:customStyle="1" w:styleId="Appelnotedebasde">
    <w:name w:val="Appel note de bas de..."/>
    <w:basedOn w:val="Normal"/>
    <w:link w:val="Refdenotaalpie"/>
    <w:uiPriority w:val="99"/>
    <w:rsid w:val="00096BCE"/>
    <w:pPr>
      <w:spacing w:after="160" w:line="240" w:lineRule="exact"/>
    </w:pPr>
    <w:rPr>
      <w:szCs w:val="24"/>
      <w:vertAlign w:val="superscript"/>
      <w:lang w:val="es-CO"/>
    </w:rPr>
  </w:style>
  <w:style w:type="character" w:customStyle="1" w:styleId="NormalWebCar">
    <w:name w:val="Normal (Web) Car"/>
    <w:link w:val="NormalWeb"/>
    <w:uiPriority w:val="99"/>
    <w:locked/>
    <w:rsid w:val="00096BCE"/>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096B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6BCE"/>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096BCE"/>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096BCE"/>
    <w:rPr>
      <w:rFonts w:ascii="Arial" w:eastAsia="Arial" w:hAnsi="Arial" w:cs="Arial"/>
      <w:sz w:val="20"/>
      <w:szCs w:val="20"/>
      <w:lang w:val="es-ES"/>
    </w:rPr>
  </w:style>
  <w:style w:type="paragraph" w:customStyle="1" w:styleId="paragraph">
    <w:name w:val="paragraph"/>
    <w:basedOn w:val="Normal"/>
    <w:rsid w:val="00096BCE"/>
    <w:pPr>
      <w:spacing w:before="100" w:beforeAutospacing="1" w:after="100" w:afterAutospacing="1" w:line="240" w:lineRule="auto"/>
      <w:jc w:val="left"/>
    </w:pPr>
    <w:rPr>
      <w:rFonts w:ascii="Times New Roman" w:eastAsia="Times New Roman" w:hAnsi="Times New Roman" w:cs="Times New Roman"/>
      <w:szCs w:val="24"/>
      <w:lang w:val="es-CO" w:eastAsia="es-MX"/>
    </w:rPr>
  </w:style>
  <w:style w:type="character" w:customStyle="1" w:styleId="normaltextrun">
    <w:name w:val="normaltextrun"/>
    <w:basedOn w:val="Fuentedeprrafopredeter"/>
    <w:rsid w:val="00096BCE"/>
  </w:style>
  <w:style w:type="paragraph" w:styleId="Textoindependiente">
    <w:name w:val="Body Text"/>
    <w:basedOn w:val="Normal"/>
    <w:link w:val="TextoindependienteCar"/>
    <w:uiPriority w:val="1"/>
    <w:qFormat/>
    <w:rsid w:val="00096BCE"/>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96BCE"/>
    <w:rPr>
      <w:rFonts w:ascii="Arial" w:eastAsia="Arial" w:hAnsi="Arial" w:cs="Arial"/>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69B68-A295-4A3B-B1BE-0B775666D034}">
  <ds:schemaRef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a6cb9e4b-f1d1-4245-83ec-6cad768d538a"/>
    <ds:schemaRef ds:uri="9d85dbaf-23eb-4e57-a637-93dcacc8b1a1"/>
    <ds:schemaRef ds:uri="http://purl.org/dc/terms/"/>
  </ds:schemaRefs>
</ds:datastoreItem>
</file>

<file path=customXml/itemProps2.xml><?xml version="1.0" encoding="utf-8"?>
<ds:datastoreItem xmlns:ds="http://schemas.openxmlformats.org/officeDocument/2006/customXml" ds:itemID="{978480EA-CC29-4655-9E63-6E9A0338024D}">
  <ds:schemaRefs>
    <ds:schemaRef ds:uri="http://schemas.microsoft.com/sharepoint/v3/contenttype/forms"/>
  </ds:schemaRefs>
</ds:datastoreItem>
</file>

<file path=customXml/itemProps3.xml><?xml version="1.0" encoding="utf-8"?>
<ds:datastoreItem xmlns:ds="http://schemas.openxmlformats.org/officeDocument/2006/customXml" ds:itemID="{6BD8E08F-894E-4169-A0DC-2CDE09B8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6870</Words>
  <Characters>37791</Characters>
  <Application>Microsoft Office Word</Application>
  <DocSecurity>0</DocSecurity>
  <Lines>314</Lines>
  <Paragraphs>89</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Ana Maria Velez Arteaga</cp:lastModifiedBy>
  <cp:revision>2</cp:revision>
  <dcterms:created xsi:type="dcterms:W3CDTF">2023-03-02T15:09:00Z</dcterms:created>
  <dcterms:modified xsi:type="dcterms:W3CDTF">2023-03-02T15:09:00Z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