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7FF6" w14:textId="77777777" w:rsidR="004E406E" w:rsidRPr="003355EC" w:rsidRDefault="004E406E" w:rsidP="003355EC">
      <w:pPr>
        <w:autoSpaceDE w:val="0"/>
        <w:autoSpaceDN w:val="0"/>
        <w:adjustRightInd w:val="0"/>
        <w:contextualSpacing/>
        <w:jc w:val="both"/>
        <w:rPr>
          <w:rFonts w:ascii="Arial" w:eastAsia="Calibri" w:hAnsi="Arial" w:cs="Arial"/>
          <w:b/>
          <w:bCs/>
          <w:sz w:val="22"/>
        </w:rPr>
      </w:pPr>
      <w:bookmarkStart w:id="0" w:name="_Hlk112395290"/>
      <w:r w:rsidRPr="003355EC">
        <w:rPr>
          <w:rFonts w:ascii="Arial" w:eastAsia="Calibri" w:hAnsi="Arial" w:cs="Arial"/>
          <w:b/>
          <w:bCs/>
          <w:sz w:val="22"/>
        </w:rPr>
        <w:t>CAPACIDAD RESIDUAL – Saldos – Contratos en ejecución</w:t>
      </w:r>
      <w:r w:rsidRPr="003355EC">
        <w:rPr>
          <w:rFonts w:ascii="Arial" w:eastAsia="Calibri" w:hAnsi="Arial" w:cs="Arial"/>
          <w:b/>
          <w:sz w:val="22"/>
        </w:rPr>
        <w:t xml:space="preserve"> </w:t>
      </w:r>
    </w:p>
    <w:p w14:paraId="41F3FEEC" w14:textId="77777777" w:rsidR="004E406E" w:rsidRPr="0081560D" w:rsidRDefault="004E406E" w:rsidP="003355EC">
      <w:pPr>
        <w:contextualSpacing/>
        <w:jc w:val="both"/>
        <w:rPr>
          <w:rFonts w:ascii="Arial" w:eastAsia="Calibri" w:hAnsi="Arial" w:cs="Arial"/>
          <w:sz w:val="20"/>
          <w:szCs w:val="20"/>
        </w:rPr>
      </w:pPr>
    </w:p>
    <w:p w14:paraId="488775A1" w14:textId="77777777" w:rsidR="004E406E" w:rsidRPr="0081560D" w:rsidRDefault="004E406E" w:rsidP="003355EC">
      <w:pPr>
        <w:contextualSpacing/>
        <w:jc w:val="both"/>
        <w:rPr>
          <w:rFonts w:ascii="Arial" w:eastAsia="Calibri" w:hAnsi="Arial" w:cs="Arial"/>
          <w:bCs/>
          <w:sz w:val="20"/>
          <w:szCs w:val="20"/>
        </w:rPr>
      </w:pPr>
      <w:r w:rsidRPr="0081560D">
        <w:rPr>
          <w:rFonts w:ascii="Arial" w:eastAsia="Calibri" w:hAnsi="Arial" w:cs="Arial"/>
          <w:bCs/>
          <w:sz w:val="20"/>
          <w:szCs w:val="20"/>
        </w:rPr>
        <w:t>[…] 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para efectos de calcular la capacidad residual, no lo determina el acta, sino que el mismo contrato obligue al proponente. Además, los saldos pendientes por ejecutar de los contratos afectados por una suspensión constituyen, también, información relevante para calcular la capacidad residual del proponente «CRP». Lo anterior,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w:t>
      </w:r>
    </w:p>
    <w:p w14:paraId="0FB88FC9" w14:textId="77777777" w:rsidR="004E406E" w:rsidRPr="0081560D" w:rsidRDefault="004E406E" w:rsidP="003355EC">
      <w:pPr>
        <w:contextualSpacing/>
        <w:jc w:val="both"/>
        <w:rPr>
          <w:rFonts w:ascii="Arial" w:eastAsia="Calibri" w:hAnsi="Arial" w:cs="Arial"/>
          <w:bCs/>
          <w:sz w:val="20"/>
          <w:szCs w:val="20"/>
          <w:lang w:val="es-ES"/>
        </w:rPr>
      </w:pPr>
    </w:p>
    <w:p w14:paraId="41DD2B3B" w14:textId="1190EA4B" w:rsidR="004E406E" w:rsidRPr="003355EC" w:rsidRDefault="004E406E" w:rsidP="003355EC">
      <w:pPr>
        <w:contextualSpacing/>
        <w:jc w:val="both"/>
        <w:rPr>
          <w:rFonts w:ascii="Arial" w:eastAsia="Calibri" w:hAnsi="Arial" w:cs="Arial"/>
          <w:b/>
          <w:sz w:val="22"/>
          <w:lang w:val="es-ES_tradnl"/>
        </w:rPr>
      </w:pPr>
      <w:bookmarkStart w:id="1" w:name="_Hlk70510939"/>
      <w:r w:rsidRPr="003355EC">
        <w:rPr>
          <w:rFonts w:ascii="Arial" w:eastAsia="Calibri" w:hAnsi="Arial" w:cs="Arial"/>
          <w:b/>
          <w:sz w:val="22"/>
          <w:lang w:val="es-ES_tradnl"/>
        </w:rPr>
        <w:t xml:space="preserve">CAPACIDAD RESIDUAL – Deber de reportar la totalidad de contratos – </w:t>
      </w:r>
      <w:r w:rsidRPr="009A42B2">
        <w:rPr>
          <w:rFonts w:ascii="Arial" w:eastAsia="Calibri" w:hAnsi="Arial" w:cs="Arial"/>
          <w:b/>
          <w:sz w:val="22"/>
          <w:lang w:val="es-ES_tradnl"/>
        </w:rPr>
        <w:t>Carga</w:t>
      </w:r>
      <w:r w:rsidRPr="003355EC">
        <w:rPr>
          <w:rFonts w:ascii="Arial" w:eastAsia="Calibri" w:hAnsi="Arial" w:cs="Arial"/>
          <w:b/>
          <w:sz w:val="22"/>
          <w:lang w:val="es-ES_tradnl"/>
        </w:rPr>
        <w:t xml:space="preserve"> </w:t>
      </w:r>
      <w:proofErr w:type="gramStart"/>
      <w:r w:rsidR="00323DF4" w:rsidRPr="003355EC">
        <w:rPr>
          <w:rFonts w:ascii="Arial" w:eastAsia="Calibri" w:hAnsi="Arial" w:cs="Arial"/>
          <w:b/>
          <w:sz w:val="22"/>
          <w:lang w:val="es-ES_tradnl"/>
        </w:rPr>
        <w:t xml:space="preserve">– </w:t>
      </w:r>
      <w:r w:rsidRPr="003355EC">
        <w:rPr>
          <w:rFonts w:ascii="Arial" w:eastAsia="Calibri" w:hAnsi="Arial" w:cs="Arial"/>
          <w:b/>
          <w:sz w:val="22"/>
          <w:lang w:val="es-ES_tradnl"/>
        </w:rPr>
        <w:t xml:space="preserve"> </w:t>
      </w:r>
      <w:r w:rsidRPr="00212B08">
        <w:rPr>
          <w:rFonts w:ascii="Arial" w:eastAsia="Calibri" w:hAnsi="Arial" w:cs="Arial"/>
          <w:b/>
          <w:sz w:val="22"/>
          <w:lang w:val="es-ES_tradnl"/>
        </w:rPr>
        <w:t>Proponente</w:t>
      </w:r>
      <w:r w:rsidR="00212B08" w:rsidRPr="00212B08">
        <w:rPr>
          <w:rFonts w:ascii="Arial" w:eastAsia="Calibri" w:hAnsi="Arial" w:cs="Arial"/>
          <w:b/>
          <w:sz w:val="22"/>
          <w:lang w:val="es-ES_tradnl"/>
        </w:rPr>
        <w:t>s</w:t>
      </w:r>
      <w:proofErr w:type="gramEnd"/>
    </w:p>
    <w:p w14:paraId="5CD03D9D" w14:textId="77777777" w:rsidR="004E406E" w:rsidRPr="0081560D" w:rsidRDefault="004E406E" w:rsidP="003355EC">
      <w:pPr>
        <w:contextualSpacing/>
        <w:jc w:val="both"/>
        <w:rPr>
          <w:rFonts w:ascii="Arial" w:eastAsia="Calibri" w:hAnsi="Arial" w:cs="Arial"/>
          <w:b/>
          <w:sz w:val="20"/>
          <w:szCs w:val="20"/>
          <w:lang w:val="es-ES_tradnl"/>
        </w:rPr>
      </w:pPr>
    </w:p>
    <w:p w14:paraId="3BD89F4E" w14:textId="42F12A18" w:rsidR="004E406E" w:rsidRPr="0081560D" w:rsidRDefault="004E406E" w:rsidP="003355EC">
      <w:pPr>
        <w:contextualSpacing/>
        <w:jc w:val="both"/>
        <w:rPr>
          <w:rFonts w:ascii="Arial" w:hAnsi="Arial" w:cs="Arial"/>
          <w:sz w:val="20"/>
          <w:szCs w:val="20"/>
        </w:rPr>
      </w:pPr>
      <w:r w:rsidRPr="0081560D">
        <w:rPr>
          <w:rFonts w:ascii="Arial" w:hAnsi="Arial" w:cs="Arial"/>
          <w:sz w:val="20"/>
          <w:szCs w:val="20"/>
        </w:rPr>
        <w:t>De conformidad con lo expuesto, el «Saldo de Contratos en Ejecución» corresponde a la sumatoria de los saldos de la totalidad de los «Contratos en ejecución» que obligan al proponente a la ejecución de obras civiles, en los que el proponente tiene obligaciones pendientes de ejecutar, bien sea con entidades estatales o entidades privadas. De lo anterior se deduce que el proponente debe presentar todos los contratos, incluidos aquellos que se encuentren en ejecución con la entidad que está desarrollando el proceso de selección.</w:t>
      </w:r>
    </w:p>
    <w:p w14:paraId="38E8BC5A" w14:textId="77777777" w:rsidR="00DE1799" w:rsidRPr="0081560D" w:rsidRDefault="00DE1799" w:rsidP="003355EC">
      <w:pPr>
        <w:contextualSpacing/>
        <w:jc w:val="both"/>
        <w:rPr>
          <w:rFonts w:ascii="Arial" w:hAnsi="Arial" w:cs="Arial"/>
          <w:sz w:val="20"/>
          <w:szCs w:val="20"/>
        </w:rPr>
      </w:pPr>
    </w:p>
    <w:p w14:paraId="00644310" w14:textId="1657D421" w:rsidR="004E406E" w:rsidRPr="0081560D" w:rsidRDefault="004E406E" w:rsidP="003355EC">
      <w:pPr>
        <w:contextualSpacing/>
        <w:jc w:val="both"/>
        <w:rPr>
          <w:rFonts w:ascii="Arial" w:hAnsi="Arial" w:cs="Arial"/>
          <w:sz w:val="20"/>
          <w:szCs w:val="20"/>
        </w:rPr>
      </w:pPr>
      <w:r w:rsidRPr="0081560D">
        <w:rPr>
          <w:rFonts w:ascii="Arial" w:hAnsi="Arial" w:cs="Arial"/>
          <w:sz w:val="20"/>
          <w:szCs w:val="20"/>
        </w:rPr>
        <w:t xml:space="preserve">En efecto, tanto la Guía para Determinar y Verificar la Capacidad Residual del Proponente en los Procesos de Contratación de Obra Pública, como el Decreto 1082 de 2015 y las demás normas mencionadas en las consideraciones, no establecen excepción alguna frente al reporte que debe realizar el proponente para la determinación de la capacidad de residual; al contrario, establecen, de manera general, que el proponente debe reportar la totalidad de contratos, lo que conlleva a entender que existe una carga de relacionar los contratos en ejecución, sin importar si el contratante es la misma entidad titular del </w:t>
      </w:r>
      <w:r w:rsidR="008C48A8" w:rsidRPr="0081560D">
        <w:rPr>
          <w:rFonts w:ascii="Arial" w:hAnsi="Arial" w:cs="Arial"/>
          <w:sz w:val="20"/>
          <w:szCs w:val="20"/>
        </w:rPr>
        <w:t>Proceso de Contratación</w:t>
      </w:r>
      <w:r w:rsidRPr="0081560D">
        <w:rPr>
          <w:rFonts w:ascii="Arial" w:hAnsi="Arial" w:cs="Arial"/>
          <w:sz w:val="20"/>
          <w:szCs w:val="20"/>
        </w:rPr>
        <w:t>.</w:t>
      </w:r>
    </w:p>
    <w:p w14:paraId="38F0BE77" w14:textId="3B8C4BCD" w:rsidR="00583AC4" w:rsidRPr="0081560D" w:rsidRDefault="00583AC4" w:rsidP="003355EC">
      <w:pPr>
        <w:contextualSpacing/>
        <w:jc w:val="both"/>
        <w:rPr>
          <w:rFonts w:ascii="Arial" w:hAnsi="Arial" w:cs="Arial"/>
          <w:sz w:val="20"/>
          <w:szCs w:val="20"/>
        </w:rPr>
      </w:pPr>
    </w:p>
    <w:p w14:paraId="1044D643" w14:textId="229E9A0C" w:rsidR="00583AC4" w:rsidRPr="003355EC" w:rsidRDefault="00583AC4" w:rsidP="003355EC">
      <w:pPr>
        <w:contextualSpacing/>
        <w:jc w:val="both"/>
        <w:rPr>
          <w:rFonts w:ascii="Arial" w:hAnsi="Arial" w:cs="Arial"/>
          <w:b/>
          <w:bCs/>
          <w:sz w:val="22"/>
        </w:rPr>
      </w:pPr>
      <w:r w:rsidRPr="003355EC">
        <w:rPr>
          <w:rFonts w:ascii="Arial" w:hAnsi="Arial" w:cs="Arial"/>
          <w:b/>
          <w:bCs/>
          <w:sz w:val="22"/>
        </w:rPr>
        <w:t xml:space="preserve">CAPACIDAD RESIDUAL- Requisito Habilitante – Subsanabilidad </w:t>
      </w:r>
      <w:r w:rsidR="00BE5997" w:rsidRPr="003355EC">
        <w:rPr>
          <w:rFonts w:ascii="Arial" w:hAnsi="Arial" w:cs="Arial"/>
          <w:b/>
          <w:bCs/>
          <w:sz w:val="22"/>
        </w:rPr>
        <w:t>–</w:t>
      </w:r>
      <w:r w:rsidRPr="003355EC">
        <w:rPr>
          <w:rFonts w:ascii="Arial" w:hAnsi="Arial" w:cs="Arial"/>
          <w:b/>
          <w:bCs/>
          <w:sz w:val="22"/>
        </w:rPr>
        <w:t xml:space="preserve"> Aclaración</w:t>
      </w:r>
    </w:p>
    <w:p w14:paraId="67ECDA40" w14:textId="290FD6D1" w:rsidR="00BE5997" w:rsidRPr="0081560D" w:rsidRDefault="00BE5997" w:rsidP="003355EC">
      <w:pPr>
        <w:contextualSpacing/>
        <w:jc w:val="both"/>
        <w:rPr>
          <w:rFonts w:ascii="Arial" w:hAnsi="Arial" w:cs="Arial"/>
          <w:b/>
          <w:bCs/>
          <w:sz w:val="20"/>
          <w:szCs w:val="20"/>
        </w:rPr>
      </w:pPr>
    </w:p>
    <w:p w14:paraId="5FB0E4D1" w14:textId="310B8295" w:rsidR="00BE5997" w:rsidRPr="0081560D" w:rsidRDefault="00BE5997" w:rsidP="003355EC">
      <w:pPr>
        <w:contextualSpacing/>
        <w:jc w:val="both"/>
        <w:rPr>
          <w:rFonts w:ascii="Arial" w:hAnsi="Arial" w:cs="Arial"/>
          <w:sz w:val="20"/>
          <w:szCs w:val="20"/>
          <w:lang w:val="es-ES"/>
        </w:rPr>
      </w:pPr>
      <w:r w:rsidRPr="0081560D">
        <w:rPr>
          <w:rFonts w:ascii="Arial" w:eastAsia="Calibri" w:hAnsi="Arial" w:cs="Arial"/>
          <w:sz w:val="20"/>
          <w:szCs w:val="20"/>
        </w:rPr>
        <w:t xml:space="preserve">De conformidad con lo expuesto y teniendo en cuenta que </w:t>
      </w:r>
      <w:r w:rsidRPr="0081560D">
        <w:rPr>
          <w:rFonts w:ascii="Arial" w:hAnsi="Arial" w:cs="Arial"/>
          <w:i/>
          <w:iCs/>
          <w:sz w:val="20"/>
          <w:szCs w:val="20"/>
        </w:rPr>
        <w:t>la Capacidad Residual es un requisito habilitante</w:t>
      </w:r>
      <w:r w:rsidRPr="0081560D">
        <w:rPr>
          <w:rFonts w:ascii="Arial" w:hAnsi="Arial" w:cs="Arial"/>
          <w:sz w:val="20"/>
          <w:szCs w:val="20"/>
        </w:rPr>
        <w:t xml:space="preserve"> está sujeta a la posibilidad de subsanar la ausencia de requisitos, siempre que se cumpla con los límites temporales y materiales descritos en el presente concepto o de aclarar, con es el fin de esclarecer dudas sobre aspectos de la información presentada por el proponente.</w:t>
      </w:r>
    </w:p>
    <w:p w14:paraId="216D7A7B" w14:textId="01B71F15" w:rsidR="004E406E" w:rsidRPr="0081560D" w:rsidRDefault="004E406E" w:rsidP="00A6264B">
      <w:pPr>
        <w:contextualSpacing/>
        <w:rPr>
          <w:rFonts w:ascii="Arial" w:hAnsi="Arial" w:cs="Arial"/>
          <w:sz w:val="20"/>
          <w:szCs w:val="20"/>
        </w:rPr>
      </w:pPr>
      <w:r w:rsidRPr="0081560D">
        <w:rPr>
          <w:rFonts w:ascii="Arial" w:hAnsi="Arial" w:cs="Arial"/>
          <w:noProof/>
          <w:sz w:val="20"/>
          <w:szCs w:val="20"/>
          <w:lang w:val="es-ES"/>
        </w:rPr>
        <w:br w:type="page"/>
      </w:r>
      <w:r w:rsidRPr="0081560D">
        <w:rPr>
          <w:rFonts w:ascii="Arial" w:hAnsi="Arial" w:cs="Arial"/>
          <w:sz w:val="20"/>
          <w:szCs w:val="20"/>
        </w:rPr>
        <w:lastRenderedPageBreak/>
        <w:tab/>
        <w:t xml:space="preserve">  </w:t>
      </w:r>
      <w:r w:rsidRPr="0081560D">
        <w:rPr>
          <w:rFonts w:ascii="Arial" w:hAnsi="Arial" w:cs="Arial"/>
          <w:sz w:val="20"/>
          <w:szCs w:val="20"/>
        </w:rPr>
        <w:tab/>
        <w:t xml:space="preserve">  </w:t>
      </w:r>
      <w:r w:rsidRPr="0081560D">
        <w:rPr>
          <w:rFonts w:ascii="Arial" w:hAnsi="Arial" w:cs="Arial"/>
          <w:sz w:val="20"/>
          <w:szCs w:val="20"/>
        </w:rPr>
        <w:tab/>
        <w:t xml:space="preserve"> </w:t>
      </w:r>
    </w:p>
    <w:p w14:paraId="6F3FB904" w14:textId="4F0A50CB" w:rsidR="00872D12" w:rsidRDefault="00872D12" w:rsidP="00872D12">
      <w:pPr>
        <w:contextualSpacing/>
        <w:jc w:val="right"/>
        <w:rPr>
          <w:rFonts w:ascii="Arial" w:hAnsi="Arial" w:cs="Arial"/>
          <w:sz w:val="22"/>
          <w:lang w:val="es-ES"/>
        </w:rPr>
      </w:pPr>
      <w:r w:rsidRPr="00E15CCE">
        <w:rPr>
          <w:noProof/>
          <w:lang w:val="es-ES"/>
        </w:rPr>
        <w:drawing>
          <wp:inline distT="0" distB="0" distL="0" distR="0" wp14:anchorId="35E3CFCB" wp14:editId="6F7449A4">
            <wp:extent cx="3307488" cy="695325"/>
            <wp:effectExtent l="0" t="0" r="7620" b="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1"/>
                    <a:stretch>
                      <a:fillRect/>
                    </a:stretch>
                  </pic:blipFill>
                  <pic:spPr>
                    <a:xfrm>
                      <a:off x="0" y="0"/>
                      <a:ext cx="3445042" cy="724243"/>
                    </a:xfrm>
                    <a:prstGeom prst="rect">
                      <a:avLst/>
                    </a:prstGeom>
                  </pic:spPr>
                </pic:pic>
              </a:graphicData>
            </a:graphic>
          </wp:inline>
        </w:drawing>
      </w:r>
    </w:p>
    <w:p w14:paraId="1C60069A" w14:textId="1983B3E8" w:rsidR="0081560D" w:rsidRDefault="008238D6" w:rsidP="00872D12">
      <w:pPr>
        <w:contextualSpacing/>
        <w:jc w:val="right"/>
        <w:rPr>
          <w:rFonts w:ascii="Arial" w:hAnsi="Arial" w:cs="Arial"/>
          <w:sz w:val="22"/>
          <w:lang w:val="es-ES"/>
        </w:rPr>
      </w:pPr>
      <w:r>
        <w:rPr>
          <w:noProof/>
        </w:rPr>
        <w:drawing>
          <wp:inline distT="0" distB="0" distL="0" distR="0" wp14:anchorId="76572000" wp14:editId="789C26A6">
            <wp:extent cx="3902075" cy="1158875"/>
            <wp:effectExtent l="0" t="0" r="3175" b="3175"/>
            <wp:docPr id="7" name="Imagen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2075" cy="1158875"/>
                    </a:xfrm>
                    <a:prstGeom prst="rect">
                      <a:avLst/>
                    </a:prstGeom>
                    <a:noFill/>
                    <a:ln>
                      <a:noFill/>
                    </a:ln>
                  </pic:spPr>
                </pic:pic>
              </a:graphicData>
            </a:graphic>
          </wp:inline>
        </w:drawing>
      </w:r>
    </w:p>
    <w:p w14:paraId="6F5DA4E0" w14:textId="77777777" w:rsidR="00872D12" w:rsidRDefault="00872D12" w:rsidP="00872D12">
      <w:pPr>
        <w:contextualSpacing/>
        <w:rPr>
          <w:rFonts w:ascii="Arial" w:hAnsi="Arial" w:cs="Arial"/>
          <w:sz w:val="22"/>
          <w:lang w:val="es-ES"/>
        </w:rPr>
      </w:pPr>
    </w:p>
    <w:p w14:paraId="715B69A6" w14:textId="23D64D3B" w:rsidR="0081560D" w:rsidRDefault="00872D12" w:rsidP="00872D12">
      <w:pPr>
        <w:contextualSpacing/>
        <w:rPr>
          <w:rFonts w:ascii="Arial" w:hAnsi="Arial" w:cs="Arial"/>
          <w:sz w:val="20"/>
          <w:szCs w:val="20"/>
        </w:rPr>
      </w:pPr>
      <w:r w:rsidRPr="0081560D">
        <w:rPr>
          <w:rFonts w:ascii="Arial" w:hAnsi="Arial" w:cs="Arial"/>
          <w:sz w:val="22"/>
          <w:lang w:val="es-ES"/>
        </w:rPr>
        <w:t>Bogotá D.C., 7 de diciembre de 2022</w:t>
      </w:r>
      <w:r w:rsidRPr="0081560D">
        <w:rPr>
          <w:rFonts w:ascii="Arial" w:hAnsi="Arial" w:cs="Arial"/>
          <w:sz w:val="20"/>
          <w:szCs w:val="20"/>
        </w:rPr>
        <w:t xml:space="preserve">  </w:t>
      </w:r>
    </w:p>
    <w:p w14:paraId="7C082E3C" w14:textId="60E2AFCD" w:rsidR="00872D12" w:rsidRDefault="00872D12" w:rsidP="00872D12">
      <w:pPr>
        <w:contextualSpacing/>
        <w:jc w:val="right"/>
        <w:rPr>
          <w:rFonts w:ascii="Arial" w:hAnsi="Arial" w:cs="Arial"/>
          <w:sz w:val="20"/>
          <w:szCs w:val="20"/>
        </w:rPr>
      </w:pPr>
    </w:p>
    <w:p w14:paraId="737F3CFC" w14:textId="77777777" w:rsidR="00872D12" w:rsidRPr="0081560D" w:rsidRDefault="00872D12" w:rsidP="00872D12">
      <w:pPr>
        <w:contextualSpacing/>
        <w:jc w:val="right"/>
        <w:rPr>
          <w:rFonts w:ascii="Arial" w:hAnsi="Arial" w:cs="Arial"/>
          <w:sz w:val="22"/>
          <w:lang w:val="es-ES"/>
        </w:rPr>
      </w:pPr>
    </w:p>
    <w:p w14:paraId="6870EA5D" w14:textId="77777777" w:rsidR="004E406E" w:rsidRPr="0081560D" w:rsidRDefault="004E406E" w:rsidP="00A6264B">
      <w:pPr>
        <w:contextualSpacing/>
        <w:jc w:val="both"/>
        <w:rPr>
          <w:rFonts w:ascii="Arial" w:hAnsi="Arial" w:cs="Arial"/>
          <w:i/>
          <w:iCs/>
          <w:sz w:val="20"/>
          <w:szCs w:val="20"/>
        </w:rPr>
      </w:pPr>
      <w:r w:rsidRPr="0081560D">
        <w:rPr>
          <w:rFonts w:ascii="Arial" w:hAnsi="Arial" w:cs="Arial"/>
          <w:sz w:val="22"/>
          <w:lang w:val="es-ES"/>
        </w:rPr>
        <w:t>Señora</w:t>
      </w:r>
    </w:p>
    <w:p w14:paraId="4EDBD105" w14:textId="312772C6" w:rsidR="004E406E" w:rsidRPr="0081560D" w:rsidRDefault="004E406E" w:rsidP="00A6264B">
      <w:pPr>
        <w:contextualSpacing/>
        <w:jc w:val="both"/>
        <w:rPr>
          <w:rFonts w:ascii="Arial" w:hAnsi="Arial" w:cs="Arial"/>
          <w:b/>
          <w:bCs/>
          <w:sz w:val="22"/>
        </w:rPr>
      </w:pPr>
      <w:r w:rsidRPr="0081560D">
        <w:rPr>
          <w:rFonts w:ascii="Arial" w:hAnsi="Arial" w:cs="Arial"/>
          <w:b/>
          <w:bCs/>
          <w:sz w:val="22"/>
        </w:rPr>
        <w:t>Andrea Orjuela Melo</w:t>
      </w:r>
    </w:p>
    <w:p w14:paraId="516AE594" w14:textId="2D88C8E1" w:rsidR="00DE1799" w:rsidRPr="0081560D" w:rsidRDefault="00D16C4B" w:rsidP="00A6264B">
      <w:pPr>
        <w:contextualSpacing/>
        <w:jc w:val="both"/>
        <w:rPr>
          <w:rFonts w:ascii="Arial" w:hAnsi="Arial" w:cs="Arial"/>
          <w:b/>
          <w:bCs/>
          <w:sz w:val="22"/>
        </w:rPr>
      </w:pPr>
      <w:hyperlink r:id="rId13" w:history="1">
        <w:r w:rsidR="00DE1799" w:rsidRPr="0081560D">
          <w:rPr>
            <w:rStyle w:val="Hipervnculo"/>
            <w:rFonts w:ascii="Arial" w:hAnsi="Arial" w:cs="Arial"/>
            <w:b/>
            <w:bCs/>
            <w:color w:val="auto"/>
            <w:sz w:val="22"/>
          </w:rPr>
          <w:t>ing.andrea.orjuela@gmail.com</w:t>
        </w:r>
      </w:hyperlink>
      <w:r w:rsidR="00DE1799" w:rsidRPr="0081560D">
        <w:rPr>
          <w:rFonts w:ascii="Arial" w:hAnsi="Arial" w:cs="Arial"/>
          <w:b/>
          <w:bCs/>
          <w:sz w:val="22"/>
        </w:rPr>
        <w:t xml:space="preserve"> </w:t>
      </w:r>
    </w:p>
    <w:p w14:paraId="61EE817C" w14:textId="77777777" w:rsidR="004E406E" w:rsidRPr="0081560D" w:rsidRDefault="004E406E" w:rsidP="00A6264B">
      <w:pPr>
        <w:contextualSpacing/>
        <w:jc w:val="both"/>
        <w:rPr>
          <w:rFonts w:ascii="Arial" w:hAnsi="Arial" w:cs="Arial"/>
          <w:sz w:val="22"/>
          <w:lang w:val="es-ES_tradnl"/>
        </w:rPr>
      </w:pPr>
      <w:r w:rsidRPr="0081560D">
        <w:rPr>
          <w:rFonts w:ascii="Arial" w:hAnsi="Arial" w:cs="Arial"/>
          <w:sz w:val="22"/>
        </w:rPr>
        <w:t>Villavicencio, Meta</w:t>
      </w:r>
    </w:p>
    <w:p w14:paraId="15EA55A1" w14:textId="77777777" w:rsidR="004E406E" w:rsidRPr="0081560D" w:rsidRDefault="004E406E" w:rsidP="00A6264B">
      <w:pPr>
        <w:contextualSpacing/>
        <w:rPr>
          <w:rFonts w:ascii="Arial" w:hAnsi="Arial" w:cs="Arial"/>
          <w:b/>
          <w:bCs/>
          <w:sz w:val="22"/>
          <w:lang w:val="es-ES_tradnl"/>
        </w:rPr>
      </w:pPr>
    </w:p>
    <w:p w14:paraId="59E3C453" w14:textId="77777777" w:rsidR="004E406E" w:rsidRPr="0081560D" w:rsidRDefault="004E406E" w:rsidP="00A6264B">
      <w:pPr>
        <w:contextualSpacing/>
        <w:rPr>
          <w:rFonts w:ascii="Arial" w:hAnsi="Arial" w:cs="Arial"/>
          <w:b/>
          <w:bCs/>
          <w:sz w:val="22"/>
          <w:lang w:val="es-ES_tradnl"/>
        </w:rPr>
      </w:pPr>
    </w:p>
    <w:p w14:paraId="11EF7EE5" w14:textId="77777777" w:rsidR="004E406E" w:rsidRPr="0081560D" w:rsidRDefault="004E406E" w:rsidP="00A6264B">
      <w:pPr>
        <w:ind w:left="2124" w:firstLine="708"/>
        <w:contextualSpacing/>
        <w:rPr>
          <w:rFonts w:ascii="Arial" w:hAnsi="Arial" w:cs="Arial"/>
          <w:b/>
          <w:bCs/>
          <w:sz w:val="22"/>
          <w:lang w:val="es-ES_tradnl"/>
        </w:rPr>
      </w:pPr>
      <w:r w:rsidRPr="0081560D">
        <w:rPr>
          <w:rFonts w:ascii="Arial" w:hAnsi="Arial" w:cs="Arial"/>
          <w:b/>
          <w:bCs/>
          <w:sz w:val="22"/>
          <w:lang w:val="es-ES_tradnl"/>
        </w:rPr>
        <w:t>Concepto C – 849 de 2022</w:t>
      </w:r>
    </w:p>
    <w:p w14:paraId="2BE3C965" w14:textId="77777777" w:rsidR="004E406E" w:rsidRPr="0081560D" w:rsidRDefault="004E406E" w:rsidP="00A6264B">
      <w:pPr>
        <w:ind w:left="2824" w:hanging="2818"/>
        <w:contextualSpacing/>
        <w:jc w:val="both"/>
        <w:rPr>
          <w:rFonts w:ascii="Arial" w:eastAsia="Calibri" w:hAnsi="Arial" w:cs="Arial"/>
          <w:b/>
          <w:noProof/>
          <w:sz w:val="22"/>
          <w:lang w:val="es-ES_tradnl"/>
        </w:rPr>
      </w:pPr>
    </w:p>
    <w:p w14:paraId="68E00520" w14:textId="20B416F7" w:rsidR="003355EC" w:rsidRPr="003355EC" w:rsidRDefault="004E406E" w:rsidP="003355EC">
      <w:pPr>
        <w:ind w:left="2824" w:hanging="2818"/>
        <w:contextualSpacing/>
        <w:jc w:val="both"/>
        <w:rPr>
          <w:rFonts w:ascii="Arial" w:eastAsia="Calibri" w:hAnsi="Arial" w:cs="Arial"/>
          <w:bCs/>
          <w:sz w:val="22"/>
          <w:lang w:val="es-ES_tradnl"/>
        </w:rPr>
      </w:pPr>
      <w:r w:rsidRPr="0081560D">
        <w:rPr>
          <w:rFonts w:ascii="Arial" w:eastAsia="Calibri" w:hAnsi="Arial" w:cs="Arial"/>
          <w:b/>
          <w:noProof/>
          <w:sz w:val="22"/>
          <w:lang w:val="es-ES_tradnl"/>
        </w:rPr>
        <w:t>Temas</w:t>
      </w:r>
      <w:r w:rsidRPr="0081560D">
        <w:rPr>
          <w:rFonts w:ascii="Arial" w:eastAsia="Calibri" w:hAnsi="Arial" w:cs="Arial"/>
          <w:bCs/>
          <w:noProof/>
          <w:sz w:val="22"/>
          <w:lang w:val="es-ES_tradnl"/>
        </w:rPr>
        <w:t xml:space="preserve">: </w:t>
      </w:r>
      <w:r w:rsidRPr="0081560D">
        <w:rPr>
          <w:rFonts w:ascii="Arial" w:eastAsia="Calibri" w:hAnsi="Arial" w:cs="Arial"/>
          <w:bCs/>
          <w:noProof/>
          <w:sz w:val="22"/>
          <w:lang w:val="es-ES_tradnl"/>
        </w:rPr>
        <w:tab/>
      </w:r>
      <w:r w:rsidR="003355EC" w:rsidRPr="003355EC">
        <w:rPr>
          <w:rFonts w:ascii="Arial" w:eastAsia="Calibri" w:hAnsi="Arial" w:cs="Arial"/>
          <w:sz w:val="22"/>
        </w:rPr>
        <w:t xml:space="preserve">CAPACIDAD RESIDUAL – Saldos – Contratos en ejecución / </w:t>
      </w:r>
      <w:r w:rsidR="003355EC" w:rsidRPr="003355EC">
        <w:rPr>
          <w:rFonts w:ascii="Arial" w:eastAsia="Calibri" w:hAnsi="Arial" w:cs="Arial"/>
          <w:sz w:val="22"/>
          <w:lang w:val="es-ES_tradnl"/>
        </w:rPr>
        <w:t xml:space="preserve">CAPACIDAD RESIDUAL – Deber de reportar la totalidad de contratos – Cargas – Proponente / </w:t>
      </w:r>
      <w:r w:rsidR="003355EC" w:rsidRPr="003355EC">
        <w:rPr>
          <w:rFonts w:ascii="Arial" w:hAnsi="Arial" w:cs="Arial"/>
          <w:sz w:val="22"/>
        </w:rPr>
        <w:t>CAPACIDAD RESIDUAL- Requisito Habilitante – Subsanabilidad – Aclaración</w:t>
      </w:r>
    </w:p>
    <w:p w14:paraId="3236E3FF" w14:textId="77777777" w:rsidR="004E406E" w:rsidRPr="0081560D" w:rsidRDefault="004E406E" w:rsidP="00A6264B">
      <w:pPr>
        <w:ind w:left="2824" w:hanging="2818"/>
        <w:contextualSpacing/>
        <w:jc w:val="both"/>
        <w:rPr>
          <w:rFonts w:ascii="Arial" w:eastAsia="Calibri" w:hAnsi="Arial" w:cs="Arial"/>
          <w:bCs/>
          <w:sz w:val="22"/>
        </w:rPr>
      </w:pPr>
    </w:p>
    <w:p w14:paraId="7ED5757D" w14:textId="77777777" w:rsidR="004E406E" w:rsidRPr="0081560D" w:rsidRDefault="004E406E" w:rsidP="00A6264B">
      <w:pPr>
        <w:ind w:left="2835" w:hanging="2835"/>
        <w:contextualSpacing/>
        <w:jc w:val="both"/>
        <w:rPr>
          <w:rFonts w:ascii="Arial" w:hAnsi="Arial" w:cs="Arial"/>
          <w:sz w:val="22"/>
          <w:lang w:val="es-ES_tradnl"/>
        </w:rPr>
      </w:pPr>
      <w:r w:rsidRPr="0081560D">
        <w:rPr>
          <w:rFonts w:ascii="Arial" w:eastAsia="Calibri" w:hAnsi="Arial" w:cs="Arial"/>
          <w:b/>
          <w:noProof/>
          <w:sz w:val="22"/>
          <w:lang w:val="es-ES_tradnl"/>
        </w:rPr>
        <w:t>Radicación</w:t>
      </w:r>
      <w:r w:rsidRPr="0081560D">
        <w:rPr>
          <w:rFonts w:ascii="Arial" w:eastAsia="Calibri" w:hAnsi="Arial" w:cs="Arial"/>
          <w:bCs/>
          <w:noProof/>
          <w:sz w:val="22"/>
          <w:lang w:val="es-ES_tradnl"/>
        </w:rPr>
        <w:t>:</w:t>
      </w:r>
      <w:r w:rsidRPr="0081560D">
        <w:rPr>
          <w:rFonts w:ascii="Arial" w:eastAsia="Calibri" w:hAnsi="Arial" w:cs="Arial"/>
          <w:bCs/>
          <w:noProof/>
          <w:sz w:val="22"/>
          <w:lang w:val="es-ES_tradnl"/>
        </w:rPr>
        <w:tab/>
        <w:t xml:space="preserve">Respuesta a consulta P20221024010742 </w:t>
      </w:r>
    </w:p>
    <w:p w14:paraId="5E094407" w14:textId="77777777" w:rsidR="004E406E" w:rsidRPr="0081560D" w:rsidRDefault="004E406E" w:rsidP="00A6264B">
      <w:pPr>
        <w:contextualSpacing/>
        <w:rPr>
          <w:rFonts w:ascii="Arial" w:hAnsi="Arial" w:cs="Arial"/>
          <w:sz w:val="22"/>
          <w:lang w:val="es-ES_tradnl"/>
        </w:rPr>
      </w:pPr>
    </w:p>
    <w:p w14:paraId="4FC6B5E6" w14:textId="77777777" w:rsidR="002550CF" w:rsidRPr="0081560D" w:rsidRDefault="002550CF" w:rsidP="00A6264B">
      <w:pPr>
        <w:contextualSpacing/>
        <w:rPr>
          <w:rFonts w:ascii="Arial" w:hAnsi="Arial" w:cs="Arial"/>
          <w:sz w:val="22"/>
          <w:lang w:val="es-ES_tradnl"/>
        </w:rPr>
      </w:pPr>
    </w:p>
    <w:p w14:paraId="6C38C00F" w14:textId="77777777" w:rsidR="004E406E" w:rsidRPr="0081560D" w:rsidRDefault="004E406E" w:rsidP="00A6264B">
      <w:pPr>
        <w:spacing w:line="276" w:lineRule="auto"/>
        <w:contextualSpacing/>
        <w:rPr>
          <w:rFonts w:ascii="Arial" w:hAnsi="Arial" w:cs="Arial"/>
          <w:sz w:val="22"/>
          <w:lang w:val="es-ES_tradnl"/>
        </w:rPr>
      </w:pPr>
      <w:r w:rsidRPr="0081560D">
        <w:rPr>
          <w:rFonts w:ascii="Arial" w:hAnsi="Arial" w:cs="Arial"/>
          <w:sz w:val="22"/>
          <w:lang w:val="es-ES_tradnl"/>
        </w:rPr>
        <w:t xml:space="preserve">Estimada señora Orjuela Melo: </w:t>
      </w:r>
    </w:p>
    <w:p w14:paraId="582CEA85" w14:textId="77777777" w:rsidR="004E406E" w:rsidRPr="0081560D" w:rsidRDefault="004E406E" w:rsidP="00A6264B">
      <w:pPr>
        <w:spacing w:line="276" w:lineRule="auto"/>
        <w:contextualSpacing/>
        <w:rPr>
          <w:rFonts w:ascii="Arial" w:hAnsi="Arial" w:cs="Arial"/>
          <w:sz w:val="22"/>
          <w:lang w:val="es-ES_tradnl"/>
        </w:rPr>
      </w:pPr>
    </w:p>
    <w:p w14:paraId="4E2DDFE2" w14:textId="77777777" w:rsidR="004E406E" w:rsidRPr="0081560D" w:rsidRDefault="004E406E" w:rsidP="00A6264B">
      <w:pPr>
        <w:spacing w:line="276" w:lineRule="auto"/>
        <w:contextualSpacing/>
        <w:jc w:val="both"/>
        <w:rPr>
          <w:rFonts w:ascii="Arial" w:hAnsi="Arial" w:cs="Arial"/>
          <w:sz w:val="22"/>
          <w:lang w:val="es-ES_tradnl"/>
        </w:rPr>
      </w:pPr>
      <w:r w:rsidRPr="0081560D">
        <w:rPr>
          <w:rFonts w:ascii="Arial" w:hAnsi="Arial" w:cs="Arial"/>
          <w:sz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remitida el 24 de octubre de 2022. </w:t>
      </w:r>
    </w:p>
    <w:p w14:paraId="50F2CCB3" w14:textId="77777777" w:rsidR="004E406E" w:rsidRPr="0081560D" w:rsidRDefault="004E406E" w:rsidP="00A6264B">
      <w:pPr>
        <w:spacing w:line="276" w:lineRule="auto"/>
        <w:contextualSpacing/>
        <w:jc w:val="both"/>
        <w:rPr>
          <w:rFonts w:ascii="Arial" w:hAnsi="Arial" w:cs="Arial"/>
          <w:sz w:val="22"/>
          <w:lang w:val="es-ES_tradnl"/>
        </w:rPr>
      </w:pPr>
    </w:p>
    <w:p w14:paraId="0DA3C293" w14:textId="77777777" w:rsidR="004E406E" w:rsidRPr="0081560D" w:rsidRDefault="004E406E" w:rsidP="00A6264B">
      <w:pPr>
        <w:spacing w:line="276" w:lineRule="auto"/>
        <w:contextualSpacing/>
        <w:rPr>
          <w:rFonts w:ascii="Arial" w:hAnsi="Arial" w:cs="Arial"/>
          <w:b/>
          <w:sz w:val="22"/>
          <w:lang w:val="es-ES_tradnl"/>
        </w:rPr>
      </w:pPr>
      <w:r w:rsidRPr="0081560D">
        <w:rPr>
          <w:rFonts w:ascii="Arial" w:hAnsi="Arial" w:cs="Arial"/>
          <w:b/>
          <w:sz w:val="22"/>
          <w:lang w:val="es-ES_tradnl"/>
        </w:rPr>
        <w:t xml:space="preserve">1. Problema planteado </w:t>
      </w:r>
    </w:p>
    <w:p w14:paraId="5E6C492F" w14:textId="77777777" w:rsidR="004E406E" w:rsidRPr="0081560D" w:rsidRDefault="004E406E" w:rsidP="00A6264B">
      <w:pPr>
        <w:spacing w:line="276" w:lineRule="auto"/>
        <w:contextualSpacing/>
        <w:jc w:val="both"/>
        <w:rPr>
          <w:rFonts w:ascii="Arial" w:hAnsi="Arial" w:cs="Arial"/>
          <w:sz w:val="22"/>
          <w:lang w:val="es-ES_tradnl"/>
        </w:rPr>
      </w:pPr>
    </w:p>
    <w:p w14:paraId="7B406A5C" w14:textId="77777777" w:rsidR="004E406E" w:rsidRPr="0081560D" w:rsidRDefault="004E406E" w:rsidP="00A6264B">
      <w:pPr>
        <w:spacing w:line="276" w:lineRule="auto"/>
        <w:contextualSpacing/>
        <w:jc w:val="both"/>
        <w:rPr>
          <w:rFonts w:ascii="Arial" w:hAnsi="Arial" w:cs="Arial"/>
          <w:sz w:val="22"/>
          <w:lang w:val="es-ES_tradnl"/>
        </w:rPr>
      </w:pPr>
      <w:r w:rsidRPr="0081560D">
        <w:rPr>
          <w:rFonts w:ascii="Arial" w:hAnsi="Arial" w:cs="Arial"/>
          <w:sz w:val="22"/>
          <w:lang w:val="es-ES_tradnl"/>
        </w:rPr>
        <w:t>En relación con la Capacidad Residual y su forma de acreditación, usted formula las siguientes preguntas:</w:t>
      </w:r>
    </w:p>
    <w:p w14:paraId="713D46E7" w14:textId="77777777" w:rsidR="004E406E" w:rsidRPr="0081560D" w:rsidRDefault="004E406E" w:rsidP="00A6264B">
      <w:pPr>
        <w:spacing w:line="276" w:lineRule="auto"/>
        <w:contextualSpacing/>
        <w:jc w:val="both"/>
        <w:rPr>
          <w:rFonts w:ascii="Arial" w:hAnsi="Arial" w:cs="Arial"/>
          <w:sz w:val="22"/>
          <w:lang w:val="es-ES_tradnl"/>
        </w:rPr>
      </w:pPr>
    </w:p>
    <w:p w14:paraId="3C1EE02C" w14:textId="1F7569ED" w:rsidR="004E406E" w:rsidRPr="0081560D" w:rsidRDefault="004E406E" w:rsidP="008C48A8">
      <w:pPr>
        <w:ind w:left="709" w:right="709"/>
        <w:contextualSpacing/>
        <w:jc w:val="both"/>
        <w:rPr>
          <w:rFonts w:ascii="Arial" w:hAnsi="Arial" w:cs="Arial"/>
          <w:sz w:val="21"/>
          <w:szCs w:val="21"/>
        </w:rPr>
      </w:pPr>
      <w:bookmarkStart w:id="2" w:name="_Hlk111709464"/>
      <w:r w:rsidRPr="0081560D">
        <w:rPr>
          <w:rFonts w:ascii="Arial" w:hAnsi="Arial" w:cs="Arial"/>
          <w:sz w:val="21"/>
          <w:szCs w:val="21"/>
          <w:lang w:val="es-ES_tradnl"/>
        </w:rPr>
        <w:lastRenderedPageBreak/>
        <w:t>«</w:t>
      </w:r>
      <w:r w:rsidRPr="0081560D">
        <w:rPr>
          <w:rFonts w:ascii="Arial" w:hAnsi="Arial" w:cs="Arial"/>
          <w:sz w:val="21"/>
          <w:szCs w:val="21"/>
        </w:rPr>
        <w:t xml:space="preserve">1. </w:t>
      </w:r>
      <w:proofErr w:type="gramStart"/>
      <w:r w:rsidRPr="0081560D">
        <w:rPr>
          <w:rFonts w:ascii="Arial" w:hAnsi="Arial" w:cs="Arial"/>
          <w:sz w:val="21"/>
          <w:szCs w:val="21"/>
        </w:rPr>
        <w:t>ES OBLIGACIÓN PRESENTAR LOS FORMATOS PARA HALLAR LA CAPACIDAD RESIDUAL QUE LA ENTIDAD PUBLICA EN EL PROCESO DE CONTRATACIÓN?</w:t>
      </w:r>
      <w:proofErr w:type="gramEnd"/>
      <w:r w:rsidRPr="0081560D">
        <w:rPr>
          <w:rFonts w:ascii="Arial" w:hAnsi="Arial" w:cs="Arial"/>
          <w:sz w:val="21"/>
          <w:szCs w:val="21"/>
        </w:rPr>
        <w:t xml:space="preserve"> DE ACUERDO A LA PREGUNTA 1, SI LA ENTIDAD PUBLICA LA CERTIFICACIÓN DE LOS CONTRATOS EN EJECUCIÓN SOLICITANDO LA INFORMACIÓN BÁSICA (VALOR DEL CONTRATO, PLAZO, FECHA INICIAL, % PARTICIPACIÓN, SI EL CTO SE ENCUENTRA SUSPENDIDO, FECHA DE SUSPENSIÓN), PERO COMO OFERENTE PRESENTO MÁS INFORMACIÓN, COMO LO ES EL OBJETO, # DE CONTRATO, ENTIDAD CONTRATANTE, SALDOS DIARIOS Y SALDOS TOTALES DE EJECUCIÓN; LA ENTIDAD PUEDE EVALUARME COMO NO CUMPLE?</w:t>
      </w:r>
    </w:p>
    <w:p w14:paraId="078AD726" w14:textId="77777777" w:rsidR="004E406E" w:rsidRPr="0081560D" w:rsidRDefault="004E406E" w:rsidP="008C48A8">
      <w:pPr>
        <w:ind w:left="709" w:right="709"/>
        <w:contextualSpacing/>
        <w:jc w:val="both"/>
        <w:rPr>
          <w:rFonts w:ascii="Arial" w:hAnsi="Arial" w:cs="Arial"/>
          <w:sz w:val="21"/>
          <w:szCs w:val="21"/>
          <w:lang w:val="es-ES_tradnl"/>
        </w:rPr>
      </w:pPr>
    </w:p>
    <w:p w14:paraId="746C7424" w14:textId="77777777" w:rsidR="004E406E" w:rsidRPr="0081560D" w:rsidRDefault="004E406E" w:rsidP="008C48A8">
      <w:pPr>
        <w:ind w:left="709" w:right="709"/>
        <w:contextualSpacing/>
        <w:jc w:val="both"/>
        <w:rPr>
          <w:rFonts w:ascii="Arial" w:hAnsi="Arial" w:cs="Arial"/>
          <w:sz w:val="21"/>
          <w:szCs w:val="21"/>
        </w:rPr>
      </w:pPr>
      <w:proofErr w:type="gramStart"/>
      <w:r w:rsidRPr="0081560D">
        <w:rPr>
          <w:rFonts w:ascii="Arial" w:hAnsi="Arial" w:cs="Arial"/>
          <w:sz w:val="21"/>
          <w:szCs w:val="21"/>
        </w:rPr>
        <w:t>TENIENDO EN CUENTA QUE PRESENTO MÁS INFORMACIÓN DE LA SOLICITADA LA ENTIDAD PUEDE EVALUARME COMO NO CUMPLE?</w:t>
      </w:r>
      <w:proofErr w:type="gramEnd"/>
      <w:r w:rsidRPr="0081560D">
        <w:rPr>
          <w:rFonts w:ascii="Arial" w:hAnsi="Arial" w:cs="Arial"/>
          <w:sz w:val="21"/>
          <w:szCs w:val="21"/>
        </w:rPr>
        <w:t xml:space="preserve"> </w:t>
      </w:r>
    </w:p>
    <w:p w14:paraId="7FB070C6" w14:textId="77777777" w:rsidR="004E406E" w:rsidRPr="0081560D" w:rsidRDefault="004E406E" w:rsidP="008C48A8">
      <w:pPr>
        <w:ind w:left="709" w:right="709"/>
        <w:contextualSpacing/>
        <w:jc w:val="both"/>
        <w:rPr>
          <w:rFonts w:ascii="Arial" w:hAnsi="Arial" w:cs="Arial"/>
          <w:sz w:val="21"/>
          <w:szCs w:val="21"/>
        </w:rPr>
      </w:pPr>
    </w:p>
    <w:p w14:paraId="2EE36B1E" w14:textId="77777777" w:rsidR="004E406E" w:rsidRPr="0081560D" w:rsidRDefault="004E406E" w:rsidP="008C48A8">
      <w:pPr>
        <w:ind w:left="709" w:right="709"/>
        <w:contextualSpacing/>
        <w:jc w:val="both"/>
        <w:rPr>
          <w:rFonts w:ascii="Arial" w:hAnsi="Arial" w:cs="Arial"/>
          <w:sz w:val="21"/>
          <w:szCs w:val="21"/>
        </w:rPr>
      </w:pPr>
      <w:r w:rsidRPr="0081560D">
        <w:rPr>
          <w:rFonts w:ascii="Arial" w:hAnsi="Arial" w:cs="Arial"/>
          <w:sz w:val="21"/>
          <w:szCs w:val="21"/>
        </w:rPr>
        <w:t xml:space="preserve">2. </w:t>
      </w:r>
      <w:proofErr w:type="gramStart"/>
      <w:r w:rsidRPr="0081560D">
        <w:rPr>
          <w:rFonts w:ascii="Arial" w:hAnsi="Arial" w:cs="Arial"/>
          <w:sz w:val="21"/>
          <w:szCs w:val="21"/>
        </w:rPr>
        <w:t>SI TENGO ERORRES EN EL DILIGENCIAMIENTO DE LA CERTIFICACIÓN COMO LO ES SI ES OFERENTE PLURAL, PERO CON EL PORCENTAJE CORRECTO LA ENTIDAD PUEDE RECHAZARME?</w:t>
      </w:r>
      <w:proofErr w:type="gramEnd"/>
      <w:r w:rsidRPr="0081560D">
        <w:rPr>
          <w:rFonts w:ascii="Arial" w:hAnsi="Arial" w:cs="Arial"/>
          <w:sz w:val="21"/>
          <w:szCs w:val="21"/>
        </w:rPr>
        <w:t xml:space="preserve"> </w:t>
      </w:r>
    </w:p>
    <w:p w14:paraId="65913C3B" w14:textId="77777777" w:rsidR="004E406E" w:rsidRPr="0081560D" w:rsidRDefault="004E406E" w:rsidP="008C48A8">
      <w:pPr>
        <w:ind w:left="709" w:right="709"/>
        <w:contextualSpacing/>
        <w:jc w:val="both"/>
        <w:rPr>
          <w:rFonts w:ascii="Arial" w:hAnsi="Arial" w:cs="Arial"/>
          <w:sz w:val="21"/>
          <w:szCs w:val="21"/>
        </w:rPr>
      </w:pPr>
    </w:p>
    <w:p w14:paraId="0FC09793" w14:textId="77777777" w:rsidR="004E406E" w:rsidRPr="0081560D" w:rsidRDefault="004E406E" w:rsidP="008C48A8">
      <w:pPr>
        <w:ind w:left="709" w:right="709"/>
        <w:contextualSpacing/>
        <w:jc w:val="both"/>
        <w:rPr>
          <w:rFonts w:ascii="Arial" w:hAnsi="Arial" w:cs="Arial"/>
          <w:sz w:val="21"/>
          <w:szCs w:val="21"/>
          <w:lang w:val="es-ES_tradnl"/>
        </w:rPr>
      </w:pPr>
      <w:r w:rsidRPr="0081560D">
        <w:rPr>
          <w:rFonts w:ascii="Arial" w:hAnsi="Arial" w:cs="Arial"/>
          <w:sz w:val="21"/>
          <w:szCs w:val="21"/>
        </w:rPr>
        <w:t xml:space="preserve">3. </w:t>
      </w:r>
      <w:proofErr w:type="gramStart"/>
      <w:r w:rsidRPr="0081560D">
        <w:rPr>
          <w:rFonts w:ascii="Arial" w:hAnsi="Arial" w:cs="Arial"/>
          <w:sz w:val="21"/>
          <w:szCs w:val="21"/>
        </w:rPr>
        <w:t>SI EN VEZ DE PONER QUE EL CONTRATO ESTA SUSPENDIDO, DILIGENCIO EL SALDO FALTANTE POR EJECUTAR, LA ENTIDAD PUEDE RECHAZARME?</w:t>
      </w:r>
      <w:proofErr w:type="gramEnd"/>
      <w:r w:rsidRPr="0081560D">
        <w:rPr>
          <w:rFonts w:ascii="Arial" w:hAnsi="Arial" w:cs="Arial"/>
          <w:sz w:val="21"/>
          <w:szCs w:val="21"/>
          <w:lang w:val="es-ES_tradnl"/>
        </w:rPr>
        <w:t>» [SIC]</w:t>
      </w:r>
    </w:p>
    <w:p w14:paraId="6A83AAB5" w14:textId="61EACF78" w:rsidR="004E406E" w:rsidRPr="0081560D" w:rsidRDefault="004E406E" w:rsidP="00A6264B">
      <w:pPr>
        <w:spacing w:line="276" w:lineRule="auto"/>
        <w:ind w:left="709" w:right="709"/>
        <w:contextualSpacing/>
        <w:jc w:val="both"/>
        <w:rPr>
          <w:rFonts w:ascii="Arial" w:hAnsi="Arial" w:cs="Arial"/>
          <w:sz w:val="22"/>
          <w:lang w:val="es-ES_tradnl"/>
        </w:rPr>
      </w:pPr>
    </w:p>
    <w:bookmarkEnd w:id="2"/>
    <w:p w14:paraId="5838C675" w14:textId="77777777" w:rsidR="004E406E" w:rsidRPr="0081560D" w:rsidRDefault="004E406E" w:rsidP="00A6264B">
      <w:pPr>
        <w:spacing w:line="276" w:lineRule="auto"/>
        <w:contextualSpacing/>
        <w:jc w:val="both"/>
        <w:rPr>
          <w:rFonts w:ascii="Arial" w:hAnsi="Arial" w:cs="Arial"/>
          <w:b/>
          <w:sz w:val="22"/>
          <w:lang w:val="es-ES_tradnl"/>
        </w:rPr>
      </w:pPr>
      <w:r w:rsidRPr="0081560D">
        <w:rPr>
          <w:rFonts w:ascii="Arial" w:hAnsi="Arial" w:cs="Arial"/>
          <w:b/>
          <w:sz w:val="22"/>
          <w:lang w:val="es-ES_tradnl"/>
        </w:rPr>
        <w:t xml:space="preserve">2. Consideraciones </w:t>
      </w:r>
    </w:p>
    <w:p w14:paraId="15225524" w14:textId="77777777" w:rsidR="004E406E" w:rsidRPr="0081560D" w:rsidRDefault="004E406E" w:rsidP="00A6264B">
      <w:pPr>
        <w:spacing w:line="276" w:lineRule="auto"/>
        <w:contextualSpacing/>
        <w:jc w:val="both"/>
        <w:rPr>
          <w:rFonts w:ascii="Arial" w:hAnsi="Arial" w:cs="Arial"/>
          <w:bCs/>
          <w:sz w:val="22"/>
        </w:rPr>
      </w:pPr>
    </w:p>
    <w:p w14:paraId="6129095D" w14:textId="77777777" w:rsidR="004E406E" w:rsidRPr="0081560D" w:rsidRDefault="004E406E" w:rsidP="00A6264B">
      <w:pPr>
        <w:tabs>
          <w:tab w:val="left" w:pos="426"/>
        </w:tabs>
        <w:spacing w:after="120" w:line="276" w:lineRule="auto"/>
        <w:jc w:val="both"/>
        <w:rPr>
          <w:rFonts w:ascii="Arial" w:eastAsia="Calibri" w:hAnsi="Arial" w:cs="Arial"/>
          <w:sz w:val="22"/>
          <w:lang w:val="es-ES"/>
        </w:rPr>
      </w:pPr>
      <w:r w:rsidRPr="0081560D">
        <w:rPr>
          <w:rFonts w:ascii="Arial" w:eastAsia="Calibri" w:hAnsi="Arial" w:cs="Arial"/>
          <w:sz w:val="22"/>
          <w:lang w:val="es-ES"/>
        </w:rPr>
        <w:t>En ejercicio de las competencias establecidas en el numeral 5 del artículo 3 y el numeral 8 del artículo 11 del Decreto Ley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concretos de todos los partícipes de la contratación estatal ni para asesorar Procesos de Contratación.</w:t>
      </w:r>
    </w:p>
    <w:p w14:paraId="7E5912F7" w14:textId="77777777" w:rsidR="004E406E" w:rsidRPr="0081560D" w:rsidRDefault="004E406E" w:rsidP="00A6264B">
      <w:pPr>
        <w:tabs>
          <w:tab w:val="left" w:pos="426"/>
        </w:tabs>
        <w:spacing w:after="120" w:line="276" w:lineRule="auto"/>
        <w:ind w:firstLine="425"/>
        <w:jc w:val="both"/>
        <w:rPr>
          <w:rFonts w:ascii="Arial" w:eastAsia="Calibri" w:hAnsi="Arial" w:cs="Arial"/>
          <w:sz w:val="22"/>
          <w:lang w:val="es-ES"/>
        </w:rPr>
      </w:pPr>
      <w:r w:rsidRPr="0081560D">
        <w:rPr>
          <w:rFonts w:ascii="Arial" w:eastAsia="Calibri" w:hAnsi="Arial" w:cs="Arial"/>
          <w:sz w:val="22"/>
          <w:lang w:val="es-ES"/>
        </w:rPr>
        <w:tab/>
      </w:r>
      <w:r w:rsidRPr="0081560D">
        <w:rPr>
          <w:rFonts w:ascii="Arial" w:eastAsia="Calibri" w:hAnsi="Arial" w:cs="Arial"/>
          <w:sz w:val="22"/>
          <w:lang w:val="es-ES"/>
        </w:rPr>
        <w:tab/>
        <w:t>La competencia de esta entidad se fija con límites claros, con el objeto de evitar que actúe como una instancia de validación de las actuaciones de las entidades sujetas a la Ley 80 de 1993 o de los demás participantes de la contratación pública</w:t>
      </w:r>
      <w:r w:rsidRPr="0081560D">
        <w:rPr>
          <w:rFonts w:ascii="Arial" w:hAnsi="Arial" w:cs="Arial"/>
          <w:sz w:val="22"/>
          <w:vertAlign w:val="superscript"/>
        </w:rPr>
        <w:footnoteReference w:id="2"/>
      </w:r>
      <w:r w:rsidRPr="0081560D">
        <w:rPr>
          <w:rFonts w:ascii="Arial" w:eastAsia="Calibri" w:hAnsi="Arial" w:cs="Arial"/>
          <w:sz w:val="22"/>
          <w:lang w:val="es-ES"/>
        </w:rPr>
        <w:t xml:space="preserve">. Esta competencia de interpretación de </w:t>
      </w:r>
      <w:r w:rsidRPr="0081560D">
        <w:rPr>
          <w:rFonts w:ascii="Arial" w:eastAsia="Calibri" w:hAnsi="Arial" w:cs="Arial"/>
          <w:sz w:val="22"/>
          <w:lang w:val="es-ES"/>
        </w:rPr>
        <w:lastRenderedPageBreak/>
        <w:t xml:space="preserve">normas generales, por definición, no puede extenderse a la resolución de controversias, ni a brindar asesorías sobre casos puntuales. Por lo anterior, previo concepto de sus órganos asesores, la solución de estos temas corresponde a cada entidad y, en caso de conflicto, a las autoridades judiciales, fiscales y disciplinarias. </w:t>
      </w:r>
    </w:p>
    <w:p w14:paraId="3A399A4C" w14:textId="766D7B37" w:rsidR="004E406E" w:rsidRPr="0081560D" w:rsidRDefault="004E406E" w:rsidP="00A6264B">
      <w:pPr>
        <w:spacing w:after="120" w:line="276" w:lineRule="auto"/>
        <w:ind w:firstLine="708"/>
        <w:jc w:val="both"/>
        <w:rPr>
          <w:rFonts w:ascii="Arial" w:eastAsia="Calibri" w:hAnsi="Arial" w:cs="Arial"/>
          <w:sz w:val="22"/>
          <w:lang w:val="es-ES_tradnl"/>
        </w:rPr>
      </w:pPr>
      <w:r w:rsidRPr="0081560D">
        <w:rPr>
          <w:rFonts w:ascii="Arial" w:eastAsia="Calibri" w:hAnsi="Arial" w:cs="Arial"/>
          <w:sz w:val="22"/>
          <w:lang w:val="es-ES_tradnl"/>
        </w:rPr>
        <w:t xml:space="preserve">En atención a lo anterior, la Subdirección de Gestión Contractual, dentro de los </w:t>
      </w:r>
      <w:r w:rsidR="008C48A8" w:rsidRPr="0081560D">
        <w:rPr>
          <w:rFonts w:ascii="Arial" w:eastAsia="Calibri" w:hAnsi="Arial" w:cs="Arial"/>
          <w:sz w:val="22"/>
          <w:lang w:val="es-ES_tradnl"/>
        </w:rPr>
        <w:t>límites</w:t>
      </w:r>
      <w:r w:rsidRPr="0081560D">
        <w:rPr>
          <w:rFonts w:ascii="Arial" w:eastAsia="Calibri" w:hAnsi="Arial" w:cs="Arial"/>
          <w:sz w:val="22"/>
          <w:lang w:val="es-ES_tradnl"/>
        </w:rPr>
        <w:t xml:space="preserve"> de sus atribuciones, esto es, haciendo abstracción del caso particular expuesto por el peticionario, resolverá la consulta conforme a las normas generales en materia de contratación estatal, para tal efecto se analizarán los siguientes temas: </w:t>
      </w:r>
      <w:r w:rsidRPr="0081560D">
        <w:rPr>
          <w:rFonts w:ascii="Arial" w:eastAsia="Calibri" w:hAnsi="Arial" w:cs="Arial"/>
          <w:sz w:val="22"/>
        </w:rPr>
        <w:t xml:space="preserve">i)  Generalidades de la Capacidad Residual o K de contratación como requisito habilitante; </w:t>
      </w:r>
      <w:proofErr w:type="spellStart"/>
      <w:r w:rsidRPr="0081560D">
        <w:rPr>
          <w:rFonts w:ascii="Arial" w:eastAsia="Calibri" w:hAnsi="Arial" w:cs="Arial"/>
          <w:sz w:val="22"/>
        </w:rPr>
        <w:t>ii</w:t>
      </w:r>
      <w:proofErr w:type="spellEnd"/>
      <w:r w:rsidRPr="0081560D">
        <w:rPr>
          <w:rFonts w:ascii="Arial" w:eastAsia="Calibri" w:hAnsi="Arial" w:cs="Arial"/>
          <w:sz w:val="22"/>
        </w:rPr>
        <w:t>)</w:t>
      </w:r>
      <w:r w:rsidRPr="0081560D">
        <w:rPr>
          <w:rFonts w:ascii="Arial" w:eastAsia="Arial" w:hAnsi="Arial" w:cs="Arial"/>
          <w:sz w:val="22"/>
        </w:rPr>
        <w:t xml:space="preserve"> Saldo de contratos en ejecución – SCE; </w:t>
      </w:r>
      <w:proofErr w:type="spellStart"/>
      <w:r w:rsidRPr="0081560D">
        <w:rPr>
          <w:rFonts w:ascii="Arial" w:eastAsia="Arial" w:hAnsi="Arial" w:cs="Arial"/>
          <w:sz w:val="22"/>
        </w:rPr>
        <w:t>iii</w:t>
      </w:r>
      <w:proofErr w:type="spellEnd"/>
      <w:r w:rsidRPr="0081560D">
        <w:rPr>
          <w:rFonts w:ascii="Arial" w:eastAsia="Arial" w:hAnsi="Arial" w:cs="Arial"/>
          <w:sz w:val="22"/>
        </w:rPr>
        <w:t>) f</w:t>
      </w:r>
      <w:r w:rsidRPr="0081560D">
        <w:rPr>
          <w:rFonts w:ascii="Arial" w:eastAsia="Calibri" w:hAnsi="Arial" w:cs="Arial"/>
          <w:sz w:val="22"/>
        </w:rPr>
        <w:t xml:space="preserve">orma de acreditación de la Capacidad Residual por parte del Proponente; </w:t>
      </w:r>
      <w:proofErr w:type="spellStart"/>
      <w:r w:rsidRPr="0081560D">
        <w:rPr>
          <w:rFonts w:ascii="Arial" w:eastAsia="Calibri" w:hAnsi="Arial" w:cs="Arial"/>
          <w:sz w:val="22"/>
        </w:rPr>
        <w:t>iv</w:t>
      </w:r>
      <w:proofErr w:type="spellEnd"/>
      <w:r w:rsidRPr="0081560D">
        <w:rPr>
          <w:rFonts w:ascii="Arial" w:eastAsia="Calibri" w:hAnsi="Arial" w:cs="Arial"/>
          <w:sz w:val="22"/>
        </w:rPr>
        <w:t>) a</w:t>
      </w:r>
      <w:r w:rsidRPr="0081560D">
        <w:rPr>
          <w:rFonts w:ascii="Arial" w:hAnsi="Arial" w:cs="Arial"/>
          <w:sz w:val="22"/>
        </w:rPr>
        <w:t xml:space="preserve">nálisis frente al alcance de la regla de la </w:t>
      </w:r>
      <w:proofErr w:type="spellStart"/>
      <w:r w:rsidRPr="0081560D">
        <w:rPr>
          <w:rFonts w:ascii="Arial" w:hAnsi="Arial" w:cs="Arial"/>
          <w:sz w:val="22"/>
        </w:rPr>
        <w:t>subsanabilidad</w:t>
      </w:r>
      <w:proofErr w:type="spellEnd"/>
      <w:r w:rsidRPr="0081560D">
        <w:rPr>
          <w:rFonts w:ascii="Arial" w:hAnsi="Arial" w:cs="Arial"/>
          <w:sz w:val="22"/>
        </w:rPr>
        <w:t xml:space="preserve">, la figura de la aclaración de ofertas y el rechazo de ofertas respecto a la información solicitada para el cálculo de la Capacidad Residual; v) </w:t>
      </w:r>
      <w:r w:rsidRPr="0081560D">
        <w:rPr>
          <w:rFonts w:ascii="Arial" w:eastAsia="Calibri" w:hAnsi="Arial" w:cs="Arial"/>
          <w:sz w:val="22"/>
        </w:rPr>
        <w:t xml:space="preserve">Capacidad residual </w:t>
      </w:r>
      <w:r w:rsidRPr="0081560D">
        <w:rPr>
          <w:rFonts w:ascii="Arial" w:hAnsi="Arial" w:cs="Arial"/>
          <w:sz w:val="22"/>
        </w:rPr>
        <w:t>y rechazo de la oferta</w:t>
      </w:r>
      <w:r w:rsidRPr="0081560D">
        <w:rPr>
          <w:rFonts w:ascii="Arial" w:eastAsia="Calibri" w:hAnsi="Arial" w:cs="Arial"/>
          <w:sz w:val="22"/>
        </w:rPr>
        <w:t xml:space="preserve"> en procesos regidos por documentos tipo. Documentos Tipo </w:t>
      </w:r>
      <w:r w:rsidRPr="0081560D">
        <w:rPr>
          <w:rFonts w:ascii="Arial" w:hAnsi="Arial" w:cs="Arial"/>
          <w:sz w:val="22"/>
        </w:rPr>
        <w:t>de licitación para obra pública de infraestructura de transporte</w:t>
      </w:r>
      <w:r w:rsidRPr="0081560D">
        <w:rPr>
          <w:rFonts w:ascii="Arial" w:eastAsia="Calibri" w:hAnsi="Arial" w:cs="Arial"/>
          <w:sz w:val="22"/>
        </w:rPr>
        <w:t xml:space="preserve"> – Versión 3.</w:t>
      </w:r>
    </w:p>
    <w:p w14:paraId="4EE12628" w14:textId="77777777" w:rsidR="004E406E" w:rsidRPr="0081560D" w:rsidRDefault="004E406E" w:rsidP="00A6264B">
      <w:pPr>
        <w:spacing w:before="120" w:line="276" w:lineRule="auto"/>
        <w:ind w:firstLine="709"/>
        <w:jc w:val="both"/>
        <w:rPr>
          <w:rFonts w:ascii="Arial" w:hAnsi="Arial" w:cs="Arial"/>
          <w:b/>
          <w:bCs/>
          <w:sz w:val="22"/>
          <w:lang w:val="es-ES"/>
        </w:rPr>
      </w:pPr>
      <w:r w:rsidRPr="0081560D">
        <w:rPr>
          <w:rFonts w:ascii="Arial" w:hAnsi="Arial" w:cs="Arial"/>
          <w:bCs/>
          <w:sz w:val="22"/>
        </w:rPr>
        <w:t xml:space="preserve">La Agencia Nacional de Contratación Pública − Colombia Compra Eficiente se ha pronunciado sobre la Capacidad Residual, y la forma como esta se debe acreditar, en los conceptos </w:t>
      </w:r>
      <w:r w:rsidRPr="0081560D">
        <w:rPr>
          <w:rStyle w:val="normaltextrun"/>
          <w:rFonts w:ascii="Arial" w:hAnsi="Arial" w:cs="Arial"/>
          <w:sz w:val="22"/>
        </w:rPr>
        <w:t xml:space="preserve">2201913000006275 del 27 de agosto de 2019, 2201913000009465 del 20 de diciembre de 2019, 2201913000009642 y 2201913000009640 del 26 de diciembre de 2019; así como en los conceptos C–022 del 20 de febrero de 2020, C–089 del 4 de marzo de 2020, C–112 del 16 de marzo de 2020, C–133 del 25 de marzo de 2020, C–194 del 21 de abril de 2020, C–326 del 9 de junio de 2020, C–446 del 6 de julio de 2020, 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0081560D">
        <w:rPr>
          <w:rFonts w:ascii="Arial" w:hAnsi="Arial" w:cs="Arial"/>
          <w:bCs/>
          <w:sz w:val="22"/>
        </w:rPr>
        <w:t xml:space="preserve">C-068 del 9 de marzo de 2022, </w:t>
      </w:r>
      <w:r w:rsidRPr="0081560D">
        <w:rPr>
          <w:rFonts w:ascii="Arial" w:eastAsia="Calibri" w:hAnsi="Arial" w:cs="Arial"/>
          <w:bCs/>
          <w:sz w:val="22"/>
          <w:lang w:val="es-ES"/>
        </w:rPr>
        <w:t>C-220 del 22 de abril de 2022, C-306 de 16 de mayo de 2022, , C-351 de 23 de mayo de 2022, C-392 del 16 de junio de 2022, C-512 del 10 de agosto de 2022, C-536 del 22 de agosto de 2022, C-538 del 28 de agosto de 2022, C-567 del 2 de septiembre de 2022, C-549 del 31 de agosto de 2022, C-601 del 22 de septiembre de 2022, C-606 del 23 de septiembre de 2022, C-615 del 19 de agosto de 2022, C-656 del 10 de octubre de 2022. Así mismo, esta</w:t>
      </w:r>
      <w:r w:rsidRPr="0081560D">
        <w:rPr>
          <w:rStyle w:val="normaltextrun"/>
          <w:rFonts w:ascii="Arial" w:hAnsi="Arial" w:cs="Arial"/>
          <w:sz w:val="22"/>
        </w:rPr>
        <w:t xml:space="preserve"> Agencia,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12 de agosto de 2020, C- 663 del 30 de noviembre de 2021, C-692 del 28 de diciembre de 2021, C-306 de 16 de mayo de 2022, </w:t>
      </w:r>
      <w:r w:rsidRPr="0081560D">
        <w:rPr>
          <w:rFonts w:ascii="Arial" w:eastAsia="Calibri" w:hAnsi="Arial" w:cs="Arial"/>
          <w:bCs/>
          <w:sz w:val="22"/>
          <w:lang w:val="es-ES"/>
        </w:rPr>
        <w:lastRenderedPageBreak/>
        <w:t>C-512 del 10 de agosto de 2022, C-615 del 19 de agosto de 2020 y C-536 del 22 de agosto de 2022</w:t>
      </w:r>
      <w:r w:rsidRPr="0081560D">
        <w:rPr>
          <w:rStyle w:val="normaltextrun"/>
          <w:rFonts w:ascii="Arial" w:hAnsi="Arial" w:cs="Arial"/>
          <w:sz w:val="22"/>
        </w:rPr>
        <w:t xml:space="preserve"> analizó el rechazo de propuestas por falta de acreditación del requisito de capacidad residual en Procesos de Contratación adelantados con documentos tipo.</w:t>
      </w:r>
      <w:r w:rsidRPr="0081560D">
        <w:rPr>
          <w:rStyle w:val="Refdenotaalpie"/>
          <w:rFonts w:ascii="Arial" w:eastAsia="Calibri" w:hAnsi="Arial" w:cs="Arial"/>
          <w:sz w:val="22"/>
          <w:lang w:val="es-ES_tradnl"/>
        </w:rPr>
        <w:footnoteReference w:id="3"/>
      </w:r>
      <w:r w:rsidRPr="0081560D">
        <w:rPr>
          <w:rFonts w:ascii="Arial" w:hAnsi="Arial" w:cs="Arial"/>
          <w:bCs/>
          <w:sz w:val="22"/>
          <w:lang w:val="es-ES"/>
        </w:rPr>
        <w:t xml:space="preserve">. </w:t>
      </w:r>
      <w:r w:rsidRPr="0081560D">
        <w:rPr>
          <w:rFonts w:ascii="Arial" w:hAnsi="Arial" w:cs="Arial"/>
          <w:bCs/>
          <w:sz w:val="22"/>
        </w:rPr>
        <w:t>Las tesis expuestas en dichos conceptos se exponen y, en lo pertinente, se complementa a continuación.</w:t>
      </w:r>
    </w:p>
    <w:p w14:paraId="2E81B07D" w14:textId="77777777" w:rsidR="004E406E" w:rsidRPr="0081560D" w:rsidRDefault="004E406E" w:rsidP="00A6264B">
      <w:pPr>
        <w:spacing w:line="276" w:lineRule="auto"/>
        <w:contextualSpacing/>
        <w:jc w:val="both"/>
        <w:rPr>
          <w:rFonts w:ascii="Arial" w:eastAsia="Calibri" w:hAnsi="Arial" w:cs="Arial"/>
          <w:b/>
          <w:bCs/>
          <w:sz w:val="22"/>
        </w:rPr>
      </w:pPr>
    </w:p>
    <w:p w14:paraId="405C6ABA" w14:textId="77777777" w:rsidR="004E406E" w:rsidRPr="0081560D" w:rsidRDefault="004E406E" w:rsidP="00A6264B">
      <w:pPr>
        <w:spacing w:line="276" w:lineRule="auto"/>
        <w:contextualSpacing/>
        <w:jc w:val="both"/>
        <w:rPr>
          <w:rFonts w:ascii="Arial" w:eastAsia="Calibri" w:hAnsi="Arial" w:cs="Arial"/>
          <w:b/>
          <w:bCs/>
          <w:sz w:val="22"/>
        </w:rPr>
      </w:pPr>
      <w:bookmarkStart w:id="3" w:name="_Hlk121298041"/>
      <w:r w:rsidRPr="0081560D">
        <w:rPr>
          <w:rFonts w:ascii="Arial" w:eastAsia="Calibri" w:hAnsi="Arial" w:cs="Arial"/>
          <w:b/>
          <w:bCs/>
          <w:sz w:val="22"/>
        </w:rPr>
        <w:t>2.1. Generalidades de la Capacidad Residual o K de contratación como requisito habilitante</w:t>
      </w:r>
    </w:p>
    <w:bookmarkEnd w:id="3"/>
    <w:p w14:paraId="347727B4" w14:textId="77777777" w:rsidR="004E406E" w:rsidRPr="0081560D" w:rsidRDefault="004E406E" w:rsidP="00A6264B">
      <w:pPr>
        <w:spacing w:line="276" w:lineRule="auto"/>
        <w:contextualSpacing/>
        <w:jc w:val="both"/>
        <w:rPr>
          <w:rFonts w:ascii="Arial" w:hAnsi="Arial" w:cs="Arial"/>
          <w:sz w:val="22"/>
        </w:rPr>
      </w:pPr>
    </w:p>
    <w:p w14:paraId="5A3AFED4" w14:textId="77777777" w:rsidR="004E406E" w:rsidRPr="0081560D" w:rsidRDefault="004E406E" w:rsidP="00A6264B">
      <w:pPr>
        <w:pStyle w:val="Textoindependiente"/>
        <w:spacing w:after="120" w:line="276" w:lineRule="auto"/>
        <w:jc w:val="both"/>
        <w:rPr>
          <w:sz w:val="22"/>
          <w:szCs w:val="22"/>
          <w:lang w:val="es-MX"/>
        </w:rPr>
      </w:pPr>
      <w:r w:rsidRPr="0081560D">
        <w:rPr>
          <w:rFonts w:eastAsiaTheme="minorHAnsi"/>
          <w:sz w:val="22"/>
          <w:szCs w:val="22"/>
          <w:lang w:val="es-MX"/>
        </w:rPr>
        <w:t>De acuerdo con la definición dispuesta en el artículo 2.2.1.1.1.3.1. del Decreto 1082 de 2015, la Capacidad Residual es la aptitud de los oferentes para cumplir de manera oportuna y a cabalidad el objeto de un contrato de obra, sin que los demás compromisos contractuales que han adquirido afecten su habilidad para cumplir el objeto del contrato que está en proceso de selección</w:t>
      </w:r>
      <w:r w:rsidRPr="0081560D">
        <w:rPr>
          <w:rFonts w:eastAsiaTheme="minorHAnsi"/>
          <w:sz w:val="22"/>
          <w:szCs w:val="22"/>
          <w:vertAlign w:val="superscript"/>
          <w:lang w:val="es-MX"/>
        </w:rPr>
        <w:footnoteReference w:id="4"/>
      </w:r>
      <w:r w:rsidRPr="0081560D">
        <w:rPr>
          <w:rFonts w:eastAsiaTheme="minorHAnsi"/>
          <w:sz w:val="22"/>
          <w:szCs w:val="22"/>
          <w:lang w:val="es-MX"/>
        </w:rPr>
        <w:t xml:space="preserve">. </w:t>
      </w:r>
      <w:r w:rsidRPr="0081560D">
        <w:rPr>
          <w:sz w:val="22"/>
          <w:szCs w:val="22"/>
          <w:lang w:val="es-MX"/>
        </w:rPr>
        <w:t xml:space="preserve">Por su parte, el Consejo de Estado ha definido la Capacidad Residual como </w:t>
      </w:r>
      <w:r w:rsidRPr="0081560D">
        <w:rPr>
          <w:i/>
          <w:iCs/>
          <w:sz w:val="22"/>
          <w:szCs w:val="22"/>
          <w:lang w:val="es-MX"/>
        </w:rPr>
        <w:t>«la diferencia que existe entre el potencial de contratación que se tiene y los compromisos que haya adquirido y que se encuentren en ejecución, para la fecha de presentación de la oferta»</w:t>
      </w:r>
      <w:r w:rsidRPr="0081560D">
        <w:rPr>
          <w:rFonts w:eastAsia="Calibri"/>
          <w:sz w:val="22"/>
          <w:szCs w:val="22"/>
          <w:vertAlign w:val="superscript"/>
          <w:lang w:val="es-MX"/>
        </w:rPr>
        <w:footnoteReference w:id="5"/>
      </w:r>
      <w:r w:rsidRPr="0081560D">
        <w:rPr>
          <w:i/>
          <w:iCs/>
          <w:sz w:val="22"/>
          <w:szCs w:val="22"/>
          <w:lang w:val="es-MX"/>
        </w:rPr>
        <w:t>.</w:t>
      </w:r>
    </w:p>
    <w:p w14:paraId="244EEE13" w14:textId="611CF02E" w:rsidR="004E406E" w:rsidRPr="0081560D" w:rsidRDefault="004E406E" w:rsidP="00A6264B">
      <w:pPr>
        <w:spacing w:after="120" w:line="276" w:lineRule="auto"/>
        <w:ind w:firstLine="708"/>
        <w:jc w:val="both"/>
        <w:rPr>
          <w:rFonts w:ascii="Arial" w:hAnsi="Arial" w:cs="Arial"/>
          <w:sz w:val="22"/>
        </w:rPr>
      </w:pPr>
      <w:r w:rsidRPr="0081560D">
        <w:rPr>
          <w:rFonts w:ascii="Arial" w:hAnsi="Arial" w:cs="Arial"/>
          <w:sz w:val="22"/>
        </w:rPr>
        <w:t xml:space="preserve">De esta manera, la Capacidad Residual se refiere a la suficiencia que tiene el proponente para asumir nuevas obligaciones que se derivan del contrato objeto del </w:t>
      </w:r>
      <w:r w:rsidR="008C48A8" w:rsidRPr="0081560D">
        <w:rPr>
          <w:rFonts w:ascii="Arial" w:hAnsi="Arial" w:cs="Arial"/>
          <w:sz w:val="22"/>
        </w:rPr>
        <w:t>Proceso de Contratación</w:t>
      </w:r>
      <w:r w:rsidRPr="0081560D">
        <w:rPr>
          <w:rFonts w:ascii="Arial" w:hAnsi="Arial" w:cs="Arial"/>
          <w:sz w:val="22"/>
        </w:rPr>
        <w:t xml:space="preserve">, en relación con las obligaciones que ya adquirió frente a otros contratos. </w:t>
      </w:r>
    </w:p>
    <w:p w14:paraId="03100754" w14:textId="77777777" w:rsidR="004E406E" w:rsidRPr="0081560D" w:rsidRDefault="004E406E" w:rsidP="00A6264B">
      <w:pPr>
        <w:spacing w:line="276" w:lineRule="auto"/>
        <w:ind w:firstLine="709"/>
        <w:jc w:val="both"/>
        <w:rPr>
          <w:rFonts w:ascii="Arial" w:hAnsi="Arial" w:cs="Arial"/>
          <w:sz w:val="22"/>
        </w:rPr>
      </w:pPr>
      <w:r w:rsidRPr="0081560D">
        <w:rPr>
          <w:rFonts w:ascii="Arial" w:hAnsi="Arial" w:cs="Arial"/>
          <w:sz w:val="22"/>
        </w:rPr>
        <w:t xml:space="preserve">Por su parte, el parágrafo 1° del artículo 6 de la Ley 1150 de 2007 dispone que la Capacidad Residual o K de contratación de los interesados en participar en procesos de selección para contratos de obra deberá ser igual o superior al que la entidad ha establecido en los pliegos de condiciones, en los siguientes términos: </w:t>
      </w:r>
    </w:p>
    <w:p w14:paraId="18F5CC61" w14:textId="77777777" w:rsidR="004E406E" w:rsidRPr="0081560D" w:rsidRDefault="004E406E" w:rsidP="00A6264B">
      <w:pPr>
        <w:spacing w:line="276" w:lineRule="auto"/>
        <w:ind w:firstLine="709"/>
        <w:contextualSpacing/>
        <w:jc w:val="both"/>
        <w:rPr>
          <w:rFonts w:ascii="Arial" w:hAnsi="Arial" w:cs="Arial"/>
          <w:sz w:val="22"/>
        </w:rPr>
      </w:pPr>
    </w:p>
    <w:p w14:paraId="28AE54D2" w14:textId="77777777" w:rsidR="004E406E" w:rsidRPr="0081560D" w:rsidRDefault="004E406E" w:rsidP="004E406E">
      <w:pPr>
        <w:ind w:left="709" w:right="709"/>
        <w:contextualSpacing/>
        <w:jc w:val="both"/>
        <w:rPr>
          <w:rFonts w:ascii="Arial" w:eastAsia="Calibri" w:hAnsi="Arial" w:cs="Arial"/>
          <w:sz w:val="21"/>
          <w:szCs w:val="21"/>
        </w:rPr>
      </w:pPr>
      <w:r w:rsidRPr="0081560D">
        <w:rPr>
          <w:rFonts w:ascii="Arial" w:eastAsia="Calibri" w:hAnsi="Arial" w:cs="Arial"/>
          <w:bCs/>
          <w:sz w:val="21"/>
          <w:szCs w:val="21"/>
          <w:lang w:eastAsia="en-GB"/>
        </w:rPr>
        <w:t>«</w:t>
      </w:r>
      <w:r w:rsidRPr="0081560D">
        <w:rPr>
          <w:rFonts w:ascii="Arial" w:eastAsia="Calibri" w:hAnsi="Arial" w:cs="Arial"/>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42F8D3E1" w14:textId="77777777" w:rsidR="004E406E" w:rsidRPr="0081560D" w:rsidRDefault="004E406E" w:rsidP="004E406E">
      <w:pPr>
        <w:ind w:left="709" w:right="709"/>
        <w:contextualSpacing/>
        <w:jc w:val="both"/>
        <w:rPr>
          <w:rFonts w:ascii="Arial" w:eastAsia="Calibri" w:hAnsi="Arial" w:cs="Arial"/>
          <w:sz w:val="21"/>
          <w:szCs w:val="21"/>
        </w:rPr>
      </w:pPr>
    </w:p>
    <w:p w14:paraId="5EE5458A" w14:textId="77777777" w:rsidR="004E406E" w:rsidRPr="0081560D" w:rsidRDefault="004E406E" w:rsidP="004E406E">
      <w:pPr>
        <w:ind w:left="709" w:right="709"/>
        <w:contextualSpacing/>
        <w:jc w:val="both"/>
        <w:rPr>
          <w:rFonts w:ascii="Arial" w:eastAsia="Calibri" w:hAnsi="Arial" w:cs="Arial"/>
          <w:sz w:val="21"/>
          <w:szCs w:val="21"/>
        </w:rPr>
      </w:pPr>
      <w:r w:rsidRPr="0081560D">
        <w:rPr>
          <w:rFonts w:ascii="Arial" w:eastAsia="Calibri" w:hAnsi="Arial" w:cs="Arial"/>
          <w:i/>
          <w:iCs/>
          <w:sz w:val="21"/>
          <w:szCs w:val="21"/>
        </w:rPr>
        <w:t xml:space="preserve">Para establecer la capacidad residual del proponente o K de contratación, se deberán considerar todos los contratos que tenga en ejecución el proponente al momento de </w:t>
      </w:r>
      <w:r w:rsidRPr="0081560D">
        <w:rPr>
          <w:rFonts w:ascii="Arial" w:eastAsia="Calibri" w:hAnsi="Arial" w:cs="Arial"/>
          <w:i/>
          <w:iCs/>
          <w:sz w:val="21"/>
          <w:szCs w:val="21"/>
        </w:rPr>
        <w:lastRenderedPageBreak/>
        <w:t>presentar la oferta. El desarrollo y ejecución del contrato podrá dar lugar a que los valores que sean cancelados al contratista se consideren para establecer el real K de contratación, en cada oportunidad. El Gobierno Nacional reglamentará la materia</w:t>
      </w:r>
      <w:r w:rsidRPr="0081560D">
        <w:rPr>
          <w:rFonts w:ascii="Arial" w:eastAsia="Calibri" w:hAnsi="Arial" w:cs="Arial"/>
          <w:bCs/>
          <w:sz w:val="21"/>
          <w:szCs w:val="21"/>
          <w:lang w:eastAsia="en-GB"/>
        </w:rPr>
        <w:t>»</w:t>
      </w:r>
      <w:r w:rsidRPr="0081560D">
        <w:rPr>
          <w:rFonts w:ascii="Arial" w:eastAsia="Calibri" w:hAnsi="Arial" w:cs="Arial"/>
          <w:i/>
          <w:iCs/>
          <w:sz w:val="21"/>
          <w:szCs w:val="21"/>
        </w:rPr>
        <w:t xml:space="preserve">. </w:t>
      </w:r>
      <w:r w:rsidRPr="0081560D">
        <w:rPr>
          <w:rFonts w:ascii="Arial" w:eastAsia="Calibri" w:hAnsi="Arial" w:cs="Arial"/>
          <w:sz w:val="21"/>
          <w:szCs w:val="21"/>
        </w:rPr>
        <w:t>[Énfasis fuera del texto]</w:t>
      </w:r>
    </w:p>
    <w:p w14:paraId="1CA9A111" w14:textId="77777777" w:rsidR="004E406E" w:rsidRPr="0081560D" w:rsidRDefault="004E406E" w:rsidP="004E406E">
      <w:pPr>
        <w:spacing w:line="276" w:lineRule="auto"/>
        <w:ind w:right="709"/>
        <w:contextualSpacing/>
        <w:jc w:val="both"/>
        <w:rPr>
          <w:rFonts w:ascii="Arial" w:eastAsia="Calibri" w:hAnsi="Arial" w:cs="Arial"/>
          <w:sz w:val="22"/>
        </w:rPr>
      </w:pPr>
    </w:p>
    <w:p w14:paraId="3294CC2A" w14:textId="77777777" w:rsidR="004E406E" w:rsidRPr="0081560D" w:rsidRDefault="004E406E" w:rsidP="00A6264B">
      <w:pPr>
        <w:spacing w:after="120" w:line="276" w:lineRule="auto"/>
        <w:ind w:firstLine="709"/>
        <w:jc w:val="both"/>
        <w:rPr>
          <w:rFonts w:ascii="Arial" w:eastAsia="Calibri" w:hAnsi="Arial" w:cs="Arial"/>
          <w:sz w:val="22"/>
        </w:rPr>
      </w:pPr>
      <w:r w:rsidRPr="0081560D">
        <w:rPr>
          <w:rFonts w:ascii="Arial" w:eastAsia="Calibri" w:hAnsi="Arial" w:cs="Arial"/>
          <w:sz w:val="22"/>
        </w:rPr>
        <w:t xml:space="preserve">De acuerdo con el artículo 72 de la Ley 1682 de 2013, </w:t>
      </w:r>
      <w:r w:rsidRPr="0081560D">
        <w:rPr>
          <w:rFonts w:ascii="Arial" w:hAnsi="Arial" w:cs="Arial"/>
          <w:sz w:val="22"/>
        </w:rPr>
        <w:t xml:space="preserve">por la cual se adoptan medidas y disposiciones para los proyectos de infraestructura de transporte, </w:t>
      </w:r>
      <w:r w:rsidRPr="0081560D">
        <w:rPr>
          <w:rFonts w:ascii="Arial" w:eastAsia="Calibri" w:hAnsi="Arial" w:cs="Arial"/>
          <w:sz w:val="22"/>
        </w:rPr>
        <w:t xml:space="preserve">la </w:t>
      </w:r>
      <w:r w:rsidRPr="0081560D">
        <w:rPr>
          <w:rFonts w:ascii="Arial" w:eastAsia="Calibri" w:hAnsi="Arial" w:cs="Arial"/>
          <w:i/>
          <w:iCs/>
          <w:sz w:val="22"/>
        </w:rPr>
        <w:t>«capacidad residual de contratación cuando se realicen contratos de obra pública se obtendrá de sustraer de la capacidad de contratación, el saldo del valor de los contratos en ejecución».</w:t>
      </w:r>
      <w:r w:rsidRPr="0081560D">
        <w:rPr>
          <w:rFonts w:ascii="Arial" w:eastAsia="Calibri" w:hAnsi="Arial" w:cs="Arial"/>
          <w:sz w:val="22"/>
        </w:rPr>
        <w:t xml:space="preserve"> La «capacidad de contratación», según se desprende de la misma disposición, «[…] se deberá calcular mediante la evaluación de los siguientes factores: Experiencia (E), Capacidad Financiera (CF), Capacidad Técnica (CT), y Capacidad de Organización (CO)».</w:t>
      </w:r>
    </w:p>
    <w:p w14:paraId="11692993" w14:textId="77777777" w:rsidR="004E406E" w:rsidRPr="0081560D" w:rsidRDefault="004E406E" w:rsidP="00A6264B">
      <w:pPr>
        <w:spacing w:after="120" w:line="276" w:lineRule="auto"/>
        <w:ind w:firstLine="709"/>
        <w:jc w:val="both"/>
        <w:rPr>
          <w:rFonts w:ascii="Arial" w:eastAsia="Calibri" w:hAnsi="Arial" w:cs="Arial"/>
          <w:sz w:val="22"/>
        </w:rPr>
      </w:pPr>
      <w:bookmarkStart w:id="4" w:name="_Hlk103608376"/>
      <w:r w:rsidRPr="0081560D">
        <w:rPr>
          <w:rFonts w:ascii="Arial" w:eastAsia="Calibri" w:hAnsi="Arial" w:cs="Arial"/>
          <w:sz w:val="22"/>
        </w:rPr>
        <w:t xml:space="preserve">Igualmente, el artículo 2.2.1.1.1.6.4 del Decreto 1082 de 2015 indica que las entidades estatales deberán calcular la Capacidad Residual conforme a la metodología definida por la Agencia Nacional de Contratación – Colombia Compre Eficiente. Para tale fines, resulta necesario tener en cuenta los factores de: i) Experiencia –E–, </w:t>
      </w:r>
      <w:proofErr w:type="spellStart"/>
      <w:r w:rsidRPr="0081560D">
        <w:rPr>
          <w:rFonts w:ascii="Arial" w:eastAsia="Calibri" w:hAnsi="Arial" w:cs="Arial"/>
          <w:sz w:val="22"/>
        </w:rPr>
        <w:t>ii</w:t>
      </w:r>
      <w:proofErr w:type="spellEnd"/>
      <w:r w:rsidRPr="0081560D">
        <w:rPr>
          <w:rFonts w:ascii="Arial" w:eastAsia="Calibri" w:hAnsi="Arial" w:cs="Arial"/>
          <w:sz w:val="22"/>
        </w:rPr>
        <w:t xml:space="preserve">) Capacidad Financiera –CF–, </w:t>
      </w:r>
      <w:proofErr w:type="spellStart"/>
      <w:r w:rsidRPr="0081560D">
        <w:rPr>
          <w:rFonts w:ascii="Arial" w:eastAsia="Calibri" w:hAnsi="Arial" w:cs="Arial"/>
          <w:sz w:val="22"/>
        </w:rPr>
        <w:t>iii</w:t>
      </w:r>
      <w:proofErr w:type="spellEnd"/>
      <w:r w:rsidRPr="0081560D">
        <w:rPr>
          <w:rFonts w:ascii="Arial" w:eastAsia="Calibri" w:hAnsi="Arial" w:cs="Arial"/>
          <w:sz w:val="22"/>
        </w:rPr>
        <w:t xml:space="preserve">) Capacidad Técnica –CT–, </w:t>
      </w:r>
      <w:proofErr w:type="spellStart"/>
      <w:r w:rsidRPr="0081560D">
        <w:rPr>
          <w:rFonts w:ascii="Arial" w:eastAsia="Calibri" w:hAnsi="Arial" w:cs="Arial"/>
          <w:sz w:val="22"/>
        </w:rPr>
        <w:t>iv</w:t>
      </w:r>
      <w:proofErr w:type="spellEnd"/>
      <w:r w:rsidRPr="0081560D">
        <w:rPr>
          <w:rFonts w:ascii="Arial" w:eastAsia="Calibri" w:hAnsi="Arial" w:cs="Arial"/>
          <w:sz w:val="22"/>
        </w:rPr>
        <w:t>) Capacidad de Organización y v) los Saldos de los Contratos en Ejecución –SCE–.</w:t>
      </w:r>
    </w:p>
    <w:p w14:paraId="0A6C965E" w14:textId="77777777" w:rsidR="004E406E" w:rsidRPr="0081560D" w:rsidRDefault="004E406E" w:rsidP="00A6264B">
      <w:pPr>
        <w:spacing w:after="120" w:line="276" w:lineRule="auto"/>
        <w:ind w:firstLine="709"/>
        <w:jc w:val="both"/>
        <w:rPr>
          <w:rFonts w:ascii="Arial" w:hAnsi="Arial" w:cs="Arial"/>
          <w:sz w:val="22"/>
        </w:rPr>
      </w:pPr>
      <w:r w:rsidRPr="0081560D">
        <w:rPr>
          <w:rFonts w:ascii="Arial" w:eastAsia="Calibri" w:hAnsi="Arial" w:cs="Arial"/>
          <w:sz w:val="22"/>
        </w:rPr>
        <w:t xml:space="preserve">De igual manera, el precitado artículo </w:t>
      </w:r>
      <w:r w:rsidRPr="0081560D">
        <w:rPr>
          <w:rFonts w:ascii="Arial" w:hAnsi="Arial" w:cs="Arial"/>
          <w:sz w:val="22"/>
        </w:rPr>
        <w:t xml:space="preserve">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81560D">
        <w:rPr>
          <w:rFonts w:ascii="Arial" w:hAnsi="Arial" w:cs="Arial"/>
          <w:sz w:val="22"/>
        </w:rPr>
        <w:t>ii</w:t>
      </w:r>
      <w:proofErr w:type="spellEnd"/>
      <w:r w:rsidRPr="0081560D">
        <w:rPr>
          <w:rFonts w:ascii="Arial" w:hAnsi="Arial" w:cs="Arial"/>
          <w:sz w:val="22"/>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81560D">
        <w:rPr>
          <w:rFonts w:ascii="Arial" w:hAnsi="Arial" w:cs="Arial"/>
          <w:sz w:val="22"/>
        </w:rPr>
        <w:t>iii</w:t>
      </w:r>
      <w:proofErr w:type="spellEnd"/>
      <w:r w:rsidRPr="0081560D">
        <w:rPr>
          <w:rFonts w:ascii="Arial" w:hAnsi="Arial" w:cs="Arial"/>
          <w:sz w:val="22"/>
        </w:rPr>
        <w:t>) el balance general auditado del año inmediatamente anterior y estado de resultados auditado del año en que haya obtenido el mayor ingreso operacional en los últimos cinco (5) años</w:t>
      </w:r>
      <w:bookmarkEnd w:id="4"/>
      <w:r w:rsidRPr="0081560D">
        <w:rPr>
          <w:rFonts w:ascii="Arial" w:hAnsi="Arial" w:cs="Arial"/>
          <w:sz w:val="22"/>
          <w:vertAlign w:val="superscript"/>
        </w:rPr>
        <w:footnoteReference w:id="6"/>
      </w:r>
      <w:r w:rsidRPr="0081560D">
        <w:rPr>
          <w:rFonts w:ascii="Arial" w:hAnsi="Arial" w:cs="Arial"/>
          <w:sz w:val="22"/>
        </w:rPr>
        <w:t xml:space="preserve">. </w:t>
      </w:r>
    </w:p>
    <w:p w14:paraId="02D13CD7" w14:textId="0CBAE547" w:rsidR="004E406E" w:rsidRPr="0081560D" w:rsidRDefault="004E406E" w:rsidP="00A6264B">
      <w:pPr>
        <w:spacing w:after="120" w:line="276" w:lineRule="auto"/>
        <w:ind w:firstLine="709"/>
        <w:jc w:val="both"/>
        <w:rPr>
          <w:rFonts w:ascii="Arial" w:eastAsia="Calibri" w:hAnsi="Arial" w:cs="Arial"/>
          <w:bCs/>
          <w:sz w:val="22"/>
        </w:rPr>
      </w:pPr>
      <w:r w:rsidRPr="0081560D">
        <w:rPr>
          <w:rFonts w:ascii="Arial" w:hAnsi="Arial" w:cs="Arial"/>
          <w:sz w:val="22"/>
        </w:rPr>
        <w:lastRenderedPageBreak/>
        <w:t xml:space="preserve">De conformidad con lo expuesto, la Agencia Nacional de Contratación Pública – Colombia Compra Eficiente expidió la </w:t>
      </w:r>
      <w:r w:rsidRPr="0081560D">
        <w:rPr>
          <w:rFonts w:ascii="Arial" w:hAnsi="Arial" w:cs="Arial"/>
          <w:i/>
          <w:iCs/>
          <w:sz w:val="22"/>
          <w:lang w:val="es-CO"/>
        </w:rPr>
        <w:t>«</w:t>
      </w:r>
      <w:r w:rsidRPr="0081560D">
        <w:rPr>
          <w:rFonts w:ascii="Arial" w:hAnsi="Arial" w:cs="Arial"/>
          <w:i/>
          <w:iCs/>
          <w:sz w:val="22"/>
        </w:rPr>
        <w:t>Guía para Determinar y Verificar la Capacidad Residual del Proponente en los Procesos de Contratación de Obra Pública</w:t>
      </w:r>
      <w:r w:rsidRPr="0081560D">
        <w:rPr>
          <w:rFonts w:ascii="Arial" w:hAnsi="Arial" w:cs="Arial"/>
          <w:i/>
          <w:iCs/>
          <w:sz w:val="22"/>
          <w:lang w:val="es-CO"/>
        </w:rPr>
        <w:t>»</w:t>
      </w:r>
      <w:r w:rsidRPr="0081560D">
        <w:rPr>
          <w:rStyle w:val="Refdenotaalpie"/>
          <w:rFonts w:ascii="Arial" w:hAnsi="Arial" w:cs="Arial"/>
          <w:i/>
          <w:iCs/>
          <w:sz w:val="22"/>
          <w:lang w:val="es-CO"/>
        </w:rPr>
        <w:footnoteReference w:id="7"/>
      </w:r>
      <w:r w:rsidRPr="0081560D">
        <w:rPr>
          <w:rFonts w:ascii="Arial" w:hAnsi="Arial" w:cs="Arial"/>
          <w:i/>
          <w:iCs/>
          <w:sz w:val="22"/>
        </w:rPr>
        <w:t>.</w:t>
      </w:r>
      <w:r w:rsidRPr="0081560D">
        <w:rPr>
          <w:rFonts w:ascii="Arial" w:hAnsi="Arial" w:cs="Arial"/>
          <w:sz w:val="22"/>
        </w:rPr>
        <w:t xml:space="preserve"> Este documento establece, entre otras cuestiones, que a la entidad contratante le corresponde, primero, establecer la Capacidad Residual del </w:t>
      </w:r>
      <w:r w:rsidR="008C48A8" w:rsidRPr="0081560D">
        <w:rPr>
          <w:rFonts w:ascii="Arial" w:hAnsi="Arial" w:cs="Arial"/>
          <w:sz w:val="22"/>
        </w:rPr>
        <w:t>Proceso de Contratación</w:t>
      </w:r>
      <w:r w:rsidRPr="0081560D">
        <w:rPr>
          <w:rFonts w:ascii="Arial" w:hAnsi="Arial" w:cs="Arial"/>
          <w:sz w:val="22"/>
        </w:rPr>
        <w:t xml:space="preserve"> «CRPC» y, segundo, determinar si los proponentes cumplen con la capacidad residual del </w:t>
      </w:r>
      <w:r w:rsidR="008C48A8" w:rsidRPr="0081560D">
        <w:rPr>
          <w:rFonts w:ascii="Arial" w:hAnsi="Arial" w:cs="Arial"/>
          <w:sz w:val="22"/>
        </w:rPr>
        <w:t>Proceso de Contratación</w:t>
      </w:r>
      <w:r w:rsidRPr="0081560D">
        <w:rPr>
          <w:rFonts w:ascii="Arial" w:hAnsi="Arial" w:cs="Arial"/>
          <w:sz w:val="22"/>
        </w:rPr>
        <w:t>, teniendo en cuenta la información mencionada en el párrafo precedente.</w:t>
      </w:r>
    </w:p>
    <w:p w14:paraId="3017A96C" w14:textId="77777777" w:rsidR="004E406E" w:rsidRPr="0081560D" w:rsidRDefault="004E406E" w:rsidP="00A6264B">
      <w:pPr>
        <w:spacing w:after="120" w:line="276" w:lineRule="auto"/>
        <w:ind w:firstLine="709"/>
        <w:jc w:val="both"/>
        <w:rPr>
          <w:rFonts w:ascii="Arial" w:eastAsia="Calibri" w:hAnsi="Arial" w:cs="Arial"/>
          <w:bCs/>
          <w:sz w:val="22"/>
        </w:rPr>
      </w:pPr>
      <w:r w:rsidRPr="0081560D">
        <w:rPr>
          <w:rFonts w:ascii="Arial" w:eastAsia="Calibri" w:hAnsi="Arial" w:cs="Arial"/>
          <w:bCs/>
          <w:sz w:val="22"/>
        </w:rPr>
        <w:t>En relación con el primer aspecto, sobre la determinación de la Capacidad Residual del Proceso de Contratación «CRPC», debe determinarse si el plazo del contrato es superior a doce (12) meses. Si no lo es, la «CRPC» equivale al presupuesto oficial estimado del Proceso de Contratación menos el anticipo o pago anticipado cuando haya lugar. Si lo es, equivale a la proporción lineal de doce (12) meses del presupuesto oficial estimado menos el anticipo o pago anticipado.</w:t>
      </w:r>
    </w:p>
    <w:p w14:paraId="16CB5940" w14:textId="0D83CA74" w:rsidR="004E406E" w:rsidRPr="0081560D" w:rsidRDefault="004E406E" w:rsidP="004E406E">
      <w:pPr>
        <w:spacing w:before="120" w:line="276" w:lineRule="auto"/>
        <w:ind w:firstLine="709"/>
        <w:jc w:val="both"/>
        <w:rPr>
          <w:rFonts w:ascii="Arial" w:eastAsia="Calibri" w:hAnsi="Arial" w:cs="Arial"/>
          <w:bCs/>
          <w:sz w:val="22"/>
        </w:rPr>
      </w:pPr>
      <w:r w:rsidRPr="0081560D">
        <w:rPr>
          <w:rFonts w:ascii="Arial" w:eastAsia="Calibri" w:hAnsi="Arial" w:cs="Arial"/>
          <w:bCs/>
          <w:noProof/>
          <w:sz w:val="22"/>
        </w:rPr>
        <w:drawing>
          <wp:anchor distT="0" distB="0" distL="0" distR="0" simplePos="0" relativeHeight="251658240" behindDoc="0" locked="0" layoutInCell="1" allowOverlap="1" wp14:anchorId="6B926F3D" wp14:editId="424FE151">
            <wp:simplePos x="0" y="0"/>
            <wp:positionH relativeFrom="margin">
              <wp:posOffset>652780</wp:posOffset>
            </wp:positionH>
            <wp:positionV relativeFrom="paragraph">
              <wp:posOffset>1216025</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4"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r w:rsidRPr="0081560D">
        <w:rPr>
          <w:rFonts w:ascii="Arial" w:eastAsia="Calibri" w:hAnsi="Arial" w:cs="Arial"/>
          <w:bCs/>
          <w:sz w:val="22"/>
        </w:rPr>
        <w:t xml:space="preserve">En cuanto al segundo aspecto, es decir, para verificar </w:t>
      </w:r>
      <w:bookmarkStart w:id="5" w:name="_Hlk68683272"/>
      <w:r w:rsidRPr="0081560D">
        <w:rPr>
          <w:rFonts w:ascii="Arial" w:eastAsia="Calibri" w:hAnsi="Arial" w:cs="Arial"/>
          <w:bCs/>
          <w:sz w:val="22"/>
        </w:rPr>
        <w:t xml:space="preserve">que cada proponente cumpla con la </w:t>
      </w:r>
      <w:bookmarkEnd w:id="5"/>
      <w:r w:rsidRPr="0081560D">
        <w:rPr>
          <w:rFonts w:ascii="Arial" w:eastAsia="Calibri" w:hAnsi="Arial" w:cs="Arial"/>
          <w:bCs/>
          <w:sz w:val="22"/>
        </w:rPr>
        <w:t xml:space="preserve">«CRPC», la Entidad Estatal debe verificar que aquella sea igual o superior a la capacidad referida en el párrafo precedente. De todas formas, previamente debe establecer la Capacidad Residual del proponente, con fundamento en los siguientes factores: i) experiencia «E»; </w:t>
      </w:r>
      <w:proofErr w:type="spellStart"/>
      <w:r w:rsidRPr="0081560D">
        <w:rPr>
          <w:rFonts w:ascii="Arial" w:eastAsia="Calibri" w:hAnsi="Arial" w:cs="Arial"/>
          <w:bCs/>
          <w:sz w:val="22"/>
        </w:rPr>
        <w:t>ii</w:t>
      </w:r>
      <w:proofErr w:type="spellEnd"/>
      <w:r w:rsidRPr="0081560D">
        <w:rPr>
          <w:rFonts w:ascii="Arial" w:eastAsia="Calibri" w:hAnsi="Arial" w:cs="Arial"/>
          <w:bCs/>
          <w:sz w:val="22"/>
        </w:rPr>
        <w:t xml:space="preserve">) capacidad financiera «CF»; </w:t>
      </w:r>
      <w:proofErr w:type="spellStart"/>
      <w:r w:rsidRPr="0081560D">
        <w:rPr>
          <w:rFonts w:ascii="Arial" w:eastAsia="Calibri" w:hAnsi="Arial" w:cs="Arial"/>
          <w:bCs/>
          <w:sz w:val="22"/>
        </w:rPr>
        <w:t>iii</w:t>
      </w:r>
      <w:proofErr w:type="spellEnd"/>
      <w:r w:rsidRPr="0081560D">
        <w:rPr>
          <w:rFonts w:ascii="Arial" w:eastAsia="Calibri" w:hAnsi="Arial" w:cs="Arial"/>
          <w:bCs/>
          <w:sz w:val="22"/>
        </w:rPr>
        <w:t xml:space="preserve">) capacidad técnica «CT», </w:t>
      </w:r>
      <w:proofErr w:type="spellStart"/>
      <w:r w:rsidRPr="0081560D">
        <w:rPr>
          <w:rFonts w:ascii="Arial" w:eastAsia="Calibri" w:hAnsi="Arial" w:cs="Arial"/>
          <w:bCs/>
          <w:sz w:val="22"/>
        </w:rPr>
        <w:t>iv</w:t>
      </w:r>
      <w:proofErr w:type="spellEnd"/>
      <w:r w:rsidRPr="0081560D">
        <w:rPr>
          <w:rFonts w:ascii="Arial" w:eastAsia="Calibri" w:hAnsi="Arial" w:cs="Arial"/>
          <w:bCs/>
          <w:sz w:val="22"/>
        </w:rPr>
        <w:t>) capacidad de organización «CO»; y v) los saldos de los contratos en ejecución «SCE», según la siguiente formula:</w:t>
      </w:r>
    </w:p>
    <w:p w14:paraId="122B9B88" w14:textId="77777777" w:rsidR="004E406E" w:rsidRPr="0081560D" w:rsidRDefault="004E406E" w:rsidP="004E406E">
      <w:pPr>
        <w:spacing w:line="276" w:lineRule="auto"/>
        <w:ind w:firstLine="709"/>
        <w:jc w:val="both"/>
        <w:rPr>
          <w:rFonts w:ascii="Arial" w:eastAsia="Calibri" w:hAnsi="Arial" w:cs="Arial"/>
          <w:bCs/>
          <w:sz w:val="22"/>
        </w:rPr>
      </w:pPr>
    </w:p>
    <w:p w14:paraId="2DFA7B7C" w14:textId="77777777" w:rsidR="004E406E" w:rsidRPr="0081560D" w:rsidRDefault="004E406E" w:rsidP="004E406E">
      <w:pPr>
        <w:pStyle w:val="Textoindependiente"/>
        <w:spacing w:after="120" w:line="276" w:lineRule="auto"/>
        <w:ind w:firstLine="709"/>
        <w:jc w:val="both"/>
        <w:rPr>
          <w:sz w:val="22"/>
          <w:szCs w:val="22"/>
          <w:lang w:val="es-CO"/>
        </w:rPr>
      </w:pPr>
      <w:r w:rsidRPr="0081560D">
        <w:rPr>
          <w:sz w:val="22"/>
          <w:szCs w:val="22"/>
          <w:lang w:val="es-CO"/>
        </w:rPr>
        <w:t xml:space="preserve">A cada uno de estos factores se les debe asignar el siguiente puntaje máximo: i) «E» 120; </w:t>
      </w:r>
      <w:proofErr w:type="spellStart"/>
      <w:r w:rsidRPr="0081560D">
        <w:rPr>
          <w:sz w:val="22"/>
          <w:szCs w:val="22"/>
          <w:lang w:val="es-CO"/>
        </w:rPr>
        <w:t>ii</w:t>
      </w:r>
      <w:proofErr w:type="spellEnd"/>
      <w:r w:rsidRPr="0081560D">
        <w:rPr>
          <w:sz w:val="22"/>
          <w:szCs w:val="22"/>
          <w:lang w:val="es-CO"/>
        </w:rPr>
        <w:t xml:space="preserve">) «CF» 40; y </w:t>
      </w:r>
      <w:proofErr w:type="spellStart"/>
      <w:r w:rsidRPr="0081560D">
        <w:rPr>
          <w:sz w:val="22"/>
          <w:szCs w:val="22"/>
          <w:lang w:val="es-CO"/>
        </w:rPr>
        <w:t>iii</w:t>
      </w:r>
      <w:proofErr w:type="spellEnd"/>
      <w:r w:rsidRPr="0081560D">
        <w:rPr>
          <w:sz w:val="22"/>
          <w:szCs w:val="22"/>
          <w:lang w:val="es-CO"/>
        </w:rPr>
        <w:t>) «CT» 40. La «CO» no tiene asignación de puntaje en la fórmula, por un lado, porque su unidad de medida es en pesos colombianos «COP» y, por el otro, debido a que el mismo constituye un factor multiplicador de los demás factores en la fórmula. A continuación, se explicará, en términos generales, cómo calcular cada factor:</w:t>
      </w:r>
    </w:p>
    <w:p w14:paraId="7D601E08" w14:textId="77777777" w:rsidR="004E406E" w:rsidRPr="0081560D" w:rsidRDefault="004E406E" w:rsidP="004E406E">
      <w:pPr>
        <w:pStyle w:val="Textoindependiente"/>
        <w:numPr>
          <w:ilvl w:val="0"/>
          <w:numId w:val="5"/>
        </w:numPr>
        <w:tabs>
          <w:tab w:val="left" w:pos="993"/>
        </w:tabs>
        <w:spacing w:after="120" w:line="276" w:lineRule="auto"/>
        <w:ind w:left="0" w:firstLine="709"/>
        <w:jc w:val="both"/>
        <w:rPr>
          <w:i/>
          <w:iCs/>
          <w:sz w:val="22"/>
          <w:szCs w:val="22"/>
          <w:lang w:val="es-CO"/>
        </w:rPr>
      </w:pPr>
      <w:r w:rsidRPr="0081560D">
        <w:rPr>
          <w:b/>
          <w:bCs/>
          <w:sz w:val="22"/>
          <w:szCs w:val="22"/>
          <w:lang w:val="es-CO"/>
        </w:rPr>
        <w:t>Capacidad financiera (CF).</w:t>
      </w:r>
      <w:r w:rsidRPr="0081560D">
        <w:rPr>
          <w:sz w:val="22"/>
          <w:szCs w:val="22"/>
          <w:lang w:val="es-CO"/>
        </w:rPr>
        <w:t xml:space="preserve"> Se mide por el </w:t>
      </w:r>
      <w:r w:rsidRPr="0081560D">
        <w:rPr>
          <w:i/>
          <w:iCs/>
          <w:sz w:val="22"/>
          <w:szCs w:val="22"/>
          <w:lang w:val="es-CO"/>
        </w:rPr>
        <w:t>«índice de liquidez»</w:t>
      </w:r>
      <w:r w:rsidRPr="0081560D">
        <w:rPr>
          <w:sz w:val="22"/>
          <w:szCs w:val="22"/>
          <w:lang w:val="es-CO"/>
        </w:rPr>
        <w:t xml:space="preserve"> y este, a su vez, corresponde al resultado de dividir el </w:t>
      </w:r>
      <w:r w:rsidRPr="0081560D">
        <w:rPr>
          <w:i/>
          <w:iCs/>
          <w:sz w:val="22"/>
          <w:szCs w:val="22"/>
          <w:lang w:val="es-CO"/>
        </w:rPr>
        <w:t>«activo corriente»</w:t>
      </w:r>
      <w:r w:rsidRPr="0081560D">
        <w:rPr>
          <w:sz w:val="22"/>
          <w:szCs w:val="22"/>
          <w:lang w:val="es-CO"/>
        </w:rPr>
        <w:t xml:space="preserve"> sobre el «</w:t>
      </w:r>
      <w:r w:rsidRPr="0081560D">
        <w:rPr>
          <w:i/>
          <w:iCs/>
          <w:sz w:val="22"/>
          <w:szCs w:val="22"/>
          <w:lang w:val="es-CO"/>
        </w:rPr>
        <w:t>pasivo corriente».</w:t>
      </w:r>
      <w:r w:rsidRPr="0081560D">
        <w:rPr>
          <w:sz w:val="22"/>
          <w:szCs w:val="22"/>
          <w:lang w:val="es-CO"/>
        </w:rPr>
        <w:t xml:space="preserve"> El resultado puede ser calificado entre veinte (20) y cuarenta (40) puntos, según se explica en la Guía.</w:t>
      </w:r>
    </w:p>
    <w:p w14:paraId="6B6D1EE0" w14:textId="77777777" w:rsidR="004E406E" w:rsidRPr="0081560D" w:rsidRDefault="004E406E" w:rsidP="004E406E">
      <w:pPr>
        <w:pStyle w:val="Textoindependiente"/>
        <w:numPr>
          <w:ilvl w:val="0"/>
          <w:numId w:val="5"/>
        </w:numPr>
        <w:tabs>
          <w:tab w:val="left" w:pos="993"/>
        </w:tabs>
        <w:spacing w:after="120" w:line="276" w:lineRule="auto"/>
        <w:ind w:left="0" w:firstLine="709"/>
        <w:jc w:val="both"/>
        <w:rPr>
          <w:i/>
          <w:iCs/>
          <w:sz w:val="22"/>
          <w:szCs w:val="22"/>
          <w:lang w:val="es-CO"/>
        </w:rPr>
      </w:pPr>
      <w:r w:rsidRPr="0081560D">
        <w:rPr>
          <w:b/>
          <w:bCs/>
          <w:sz w:val="22"/>
          <w:szCs w:val="22"/>
          <w:lang w:val="es-CO"/>
        </w:rPr>
        <w:t>Capacidad técnica (CT).</w:t>
      </w:r>
      <w:r w:rsidRPr="0081560D">
        <w:rPr>
          <w:sz w:val="22"/>
          <w:szCs w:val="22"/>
          <w:lang w:val="es-CO"/>
        </w:rPr>
        <w:t xml:space="preserve"> Se determina teniendo en cuenta el número de socios y profesionales de la arquitectura, ingeniería y geología vinculados mediante una relación laboral o contractual. El puntaje por asignar, según la Guía, oscila entre veinte (20) y cuarenta (40) puntos. </w:t>
      </w:r>
      <w:r w:rsidRPr="0081560D">
        <w:rPr>
          <w:sz w:val="22"/>
          <w:szCs w:val="22"/>
          <w:lang w:val="es-CO"/>
        </w:rPr>
        <w:lastRenderedPageBreak/>
        <w:t>Para tales fines, se aclara, el proponente debe diligenciar el Anexo 2 de la «Guía para Determinar y Verificar la Capacidad Residual del Proponente en los Procesos de Contratación de Obra Pública».</w:t>
      </w:r>
    </w:p>
    <w:p w14:paraId="54466EE2" w14:textId="36742B0C" w:rsidR="004E406E" w:rsidRPr="0081560D" w:rsidRDefault="004E406E" w:rsidP="00A6264B">
      <w:pPr>
        <w:pStyle w:val="Textoindependiente"/>
        <w:numPr>
          <w:ilvl w:val="0"/>
          <w:numId w:val="5"/>
        </w:numPr>
        <w:tabs>
          <w:tab w:val="left" w:pos="993"/>
        </w:tabs>
        <w:spacing w:line="276" w:lineRule="auto"/>
        <w:ind w:left="0" w:firstLine="709"/>
        <w:jc w:val="both"/>
        <w:rPr>
          <w:i/>
          <w:iCs/>
          <w:sz w:val="22"/>
          <w:szCs w:val="22"/>
          <w:lang w:val="es-CO"/>
        </w:rPr>
      </w:pPr>
      <w:r w:rsidRPr="0081560D">
        <w:rPr>
          <w:b/>
          <w:bCs/>
          <w:sz w:val="22"/>
          <w:szCs w:val="22"/>
          <w:lang w:val="es-CO"/>
        </w:rPr>
        <w:t>Capacidad de organización (CO).</w:t>
      </w:r>
      <w:r w:rsidRPr="0081560D">
        <w:rPr>
          <w:sz w:val="22"/>
          <w:szCs w:val="22"/>
          <w:lang w:val="es-CO"/>
        </w:rPr>
        <w:t xml:space="preserve"> Corresponde a los ingresos operacionales, según el siguiente cuadro:</w:t>
      </w:r>
    </w:p>
    <w:p w14:paraId="21A44055" w14:textId="77777777" w:rsidR="00A6264B" w:rsidRPr="0081560D" w:rsidRDefault="00A6264B" w:rsidP="00A6264B">
      <w:pPr>
        <w:pStyle w:val="Textoindependiente"/>
        <w:tabs>
          <w:tab w:val="left" w:pos="993"/>
        </w:tabs>
        <w:spacing w:line="276" w:lineRule="auto"/>
        <w:ind w:left="709"/>
        <w:jc w:val="both"/>
        <w:rPr>
          <w:i/>
          <w:iCs/>
          <w:sz w:val="22"/>
          <w:szCs w:val="22"/>
          <w:lang w:val="es-CO"/>
        </w:rPr>
      </w:pPr>
    </w:p>
    <w:tbl>
      <w:tblPr>
        <w:tblStyle w:val="Tablaconcuadrcula"/>
        <w:tblW w:w="7366" w:type="dxa"/>
        <w:jc w:val="center"/>
        <w:tblLook w:val="04A0" w:firstRow="1" w:lastRow="0" w:firstColumn="1" w:lastColumn="0" w:noHBand="0" w:noVBand="1"/>
      </w:tblPr>
      <w:tblGrid>
        <w:gridCol w:w="4053"/>
        <w:gridCol w:w="3313"/>
      </w:tblGrid>
      <w:tr w:rsidR="0081560D" w:rsidRPr="0081560D" w14:paraId="77A743DC" w14:textId="77777777" w:rsidTr="00BD401D">
        <w:trPr>
          <w:jc w:val="center"/>
        </w:trPr>
        <w:tc>
          <w:tcPr>
            <w:tcW w:w="4053" w:type="dxa"/>
            <w:shd w:val="clear" w:color="auto" w:fill="D9D9D9" w:themeFill="background1" w:themeFillShade="D9"/>
          </w:tcPr>
          <w:p w14:paraId="2D18C984" w14:textId="77777777" w:rsidR="004E406E" w:rsidRPr="0081560D" w:rsidRDefault="004E406E" w:rsidP="00BD401D">
            <w:pPr>
              <w:pStyle w:val="Textoindependiente"/>
              <w:tabs>
                <w:tab w:val="left" w:pos="993"/>
              </w:tabs>
              <w:ind w:right="51"/>
              <w:contextualSpacing/>
              <w:jc w:val="center"/>
              <w:rPr>
                <w:b/>
                <w:bCs/>
                <w:sz w:val="22"/>
                <w:szCs w:val="22"/>
                <w:lang w:val="es-CO"/>
              </w:rPr>
            </w:pPr>
            <w:r w:rsidRPr="0081560D">
              <w:rPr>
                <w:b/>
                <w:bCs/>
                <w:sz w:val="22"/>
                <w:szCs w:val="22"/>
                <w:lang w:val="es-CO"/>
              </w:rPr>
              <w:t>Años de información financiera</w:t>
            </w:r>
          </w:p>
        </w:tc>
        <w:tc>
          <w:tcPr>
            <w:tcW w:w="3313" w:type="dxa"/>
            <w:shd w:val="clear" w:color="auto" w:fill="D9D9D9" w:themeFill="background1" w:themeFillShade="D9"/>
          </w:tcPr>
          <w:p w14:paraId="2AF798A2" w14:textId="77777777" w:rsidR="004E406E" w:rsidRPr="0081560D" w:rsidRDefault="004E406E" w:rsidP="00BD401D">
            <w:pPr>
              <w:pStyle w:val="Textoindependiente"/>
              <w:tabs>
                <w:tab w:val="left" w:pos="993"/>
              </w:tabs>
              <w:ind w:right="51"/>
              <w:contextualSpacing/>
              <w:jc w:val="center"/>
              <w:rPr>
                <w:b/>
                <w:bCs/>
                <w:sz w:val="22"/>
                <w:szCs w:val="22"/>
                <w:lang w:val="es-CO"/>
              </w:rPr>
            </w:pPr>
            <w:r w:rsidRPr="0081560D">
              <w:rPr>
                <w:b/>
                <w:bCs/>
                <w:sz w:val="22"/>
                <w:szCs w:val="22"/>
                <w:lang w:val="es-CO"/>
              </w:rPr>
              <w:t>Capacidad de organización</w:t>
            </w:r>
          </w:p>
        </w:tc>
      </w:tr>
      <w:tr w:rsidR="0081560D" w:rsidRPr="0081560D" w14:paraId="3AC026B0" w14:textId="77777777" w:rsidTr="00BD401D">
        <w:trPr>
          <w:jc w:val="center"/>
        </w:trPr>
        <w:tc>
          <w:tcPr>
            <w:tcW w:w="4053" w:type="dxa"/>
          </w:tcPr>
          <w:p w14:paraId="66E333EC" w14:textId="77777777" w:rsidR="004E406E" w:rsidRPr="0081560D" w:rsidRDefault="004E406E" w:rsidP="00BD401D">
            <w:pPr>
              <w:pStyle w:val="Textoindependiente"/>
              <w:tabs>
                <w:tab w:val="left" w:pos="993"/>
              </w:tabs>
              <w:ind w:right="51"/>
              <w:contextualSpacing/>
              <w:jc w:val="both"/>
              <w:rPr>
                <w:sz w:val="22"/>
                <w:szCs w:val="22"/>
                <w:lang w:val="es-CO"/>
              </w:rPr>
            </w:pPr>
            <w:r w:rsidRPr="0081560D">
              <w:rPr>
                <w:sz w:val="22"/>
                <w:szCs w:val="22"/>
                <w:lang w:val="es-CO"/>
              </w:rPr>
              <w:t>Cinco (5) años o más</w:t>
            </w:r>
          </w:p>
        </w:tc>
        <w:tc>
          <w:tcPr>
            <w:tcW w:w="3313" w:type="dxa"/>
          </w:tcPr>
          <w:p w14:paraId="354BDF3E" w14:textId="77777777" w:rsidR="004E406E" w:rsidRPr="0081560D" w:rsidRDefault="004E406E" w:rsidP="00BD401D">
            <w:pPr>
              <w:pStyle w:val="Textoindependiente"/>
              <w:tabs>
                <w:tab w:val="left" w:pos="993"/>
              </w:tabs>
              <w:ind w:right="51"/>
              <w:contextualSpacing/>
              <w:jc w:val="both"/>
              <w:rPr>
                <w:sz w:val="22"/>
                <w:szCs w:val="22"/>
                <w:lang w:val="es-CO"/>
              </w:rPr>
            </w:pPr>
            <w:r w:rsidRPr="0081560D">
              <w:rPr>
                <w:sz w:val="22"/>
                <w:szCs w:val="22"/>
                <w:lang w:val="es-CO"/>
              </w:rPr>
              <w:t>Mayor ingreso operacional de los últimos cinco años</w:t>
            </w:r>
          </w:p>
        </w:tc>
      </w:tr>
      <w:tr w:rsidR="0081560D" w:rsidRPr="0081560D" w14:paraId="4AA6D697" w14:textId="77777777" w:rsidTr="00BD401D">
        <w:trPr>
          <w:jc w:val="center"/>
        </w:trPr>
        <w:tc>
          <w:tcPr>
            <w:tcW w:w="4053" w:type="dxa"/>
          </w:tcPr>
          <w:p w14:paraId="78990D9E" w14:textId="77777777" w:rsidR="004E406E" w:rsidRPr="0081560D" w:rsidRDefault="004E406E" w:rsidP="00BD401D">
            <w:pPr>
              <w:pStyle w:val="Textoindependiente"/>
              <w:tabs>
                <w:tab w:val="left" w:pos="993"/>
              </w:tabs>
              <w:ind w:right="51"/>
              <w:contextualSpacing/>
              <w:jc w:val="both"/>
              <w:rPr>
                <w:sz w:val="22"/>
                <w:szCs w:val="22"/>
                <w:lang w:val="es-CO"/>
              </w:rPr>
            </w:pPr>
            <w:r w:rsidRPr="0081560D">
              <w:rPr>
                <w:sz w:val="22"/>
                <w:szCs w:val="22"/>
                <w:lang w:val="es-CO"/>
              </w:rPr>
              <w:t>Entre uno (1) y cinco (5) años</w:t>
            </w:r>
          </w:p>
        </w:tc>
        <w:tc>
          <w:tcPr>
            <w:tcW w:w="3313" w:type="dxa"/>
          </w:tcPr>
          <w:p w14:paraId="22AC64E1" w14:textId="77777777" w:rsidR="004E406E" w:rsidRPr="0081560D" w:rsidRDefault="004E406E" w:rsidP="00BD401D">
            <w:pPr>
              <w:pStyle w:val="Textoindependiente"/>
              <w:tabs>
                <w:tab w:val="left" w:pos="993"/>
              </w:tabs>
              <w:ind w:right="51"/>
              <w:contextualSpacing/>
              <w:jc w:val="both"/>
              <w:rPr>
                <w:sz w:val="22"/>
                <w:szCs w:val="22"/>
                <w:lang w:val="es-CO"/>
              </w:rPr>
            </w:pPr>
            <w:r w:rsidRPr="0081560D">
              <w:rPr>
                <w:sz w:val="22"/>
                <w:szCs w:val="22"/>
                <w:lang w:val="es-CO"/>
              </w:rPr>
              <w:t>Mayor ingreso operacional de los años de vida del oferente</w:t>
            </w:r>
          </w:p>
        </w:tc>
      </w:tr>
      <w:tr w:rsidR="0081560D" w:rsidRPr="0081560D" w14:paraId="4428AF03" w14:textId="77777777" w:rsidTr="00BD401D">
        <w:trPr>
          <w:jc w:val="center"/>
        </w:trPr>
        <w:tc>
          <w:tcPr>
            <w:tcW w:w="4053" w:type="dxa"/>
          </w:tcPr>
          <w:p w14:paraId="7D834A4D" w14:textId="77777777" w:rsidR="004E406E" w:rsidRPr="0081560D" w:rsidRDefault="004E406E" w:rsidP="00BD401D">
            <w:pPr>
              <w:pStyle w:val="Textoindependiente"/>
              <w:tabs>
                <w:tab w:val="left" w:pos="993"/>
              </w:tabs>
              <w:ind w:right="51"/>
              <w:contextualSpacing/>
              <w:jc w:val="both"/>
              <w:rPr>
                <w:sz w:val="22"/>
                <w:szCs w:val="22"/>
                <w:lang w:val="es-CO"/>
              </w:rPr>
            </w:pPr>
            <w:r w:rsidRPr="0081560D">
              <w:rPr>
                <w:sz w:val="22"/>
                <w:szCs w:val="22"/>
                <w:lang w:val="es-CO"/>
              </w:rPr>
              <w:t>Menos de un (1) año</w:t>
            </w:r>
          </w:p>
        </w:tc>
        <w:tc>
          <w:tcPr>
            <w:tcW w:w="3313" w:type="dxa"/>
          </w:tcPr>
          <w:p w14:paraId="30C657F2" w14:textId="77777777" w:rsidR="004E406E" w:rsidRPr="0081560D" w:rsidRDefault="004E406E" w:rsidP="00BD401D">
            <w:pPr>
              <w:pStyle w:val="Textoindependiente"/>
              <w:tabs>
                <w:tab w:val="left" w:pos="993"/>
              </w:tabs>
              <w:ind w:right="51"/>
              <w:contextualSpacing/>
              <w:jc w:val="both"/>
              <w:rPr>
                <w:sz w:val="22"/>
                <w:szCs w:val="22"/>
                <w:lang w:val="es-CO"/>
              </w:rPr>
            </w:pPr>
            <w:r w:rsidRPr="0081560D">
              <w:rPr>
                <w:sz w:val="22"/>
                <w:szCs w:val="22"/>
                <w:lang w:val="es-CO"/>
              </w:rPr>
              <w:t>USD 125.000</w:t>
            </w:r>
          </w:p>
        </w:tc>
      </w:tr>
    </w:tbl>
    <w:p w14:paraId="67CEE698" w14:textId="77777777" w:rsidR="004E406E" w:rsidRPr="0081560D" w:rsidRDefault="004E406E" w:rsidP="00A6264B">
      <w:pPr>
        <w:pStyle w:val="Textoindependiente"/>
        <w:tabs>
          <w:tab w:val="left" w:pos="993"/>
        </w:tabs>
        <w:spacing w:line="276" w:lineRule="auto"/>
        <w:ind w:left="709"/>
        <w:jc w:val="both"/>
        <w:rPr>
          <w:sz w:val="22"/>
          <w:szCs w:val="22"/>
          <w:lang w:val="es-CO"/>
        </w:rPr>
      </w:pPr>
    </w:p>
    <w:p w14:paraId="077153A0" w14:textId="77777777" w:rsidR="004E406E" w:rsidRPr="0081560D" w:rsidRDefault="004E406E" w:rsidP="00A6264B">
      <w:pPr>
        <w:pStyle w:val="Textoindependiente"/>
        <w:tabs>
          <w:tab w:val="left" w:pos="993"/>
        </w:tabs>
        <w:spacing w:after="120" w:line="276" w:lineRule="auto"/>
        <w:jc w:val="both"/>
        <w:rPr>
          <w:sz w:val="22"/>
          <w:szCs w:val="22"/>
          <w:lang w:val="es-CO"/>
        </w:rPr>
      </w:pPr>
      <w:r w:rsidRPr="0081560D">
        <w:rPr>
          <w:sz w:val="22"/>
          <w:szCs w:val="22"/>
          <w:lang w:val="es-CO"/>
        </w:rPr>
        <w:tab/>
        <w:t>Si los ingresos operacionales del proponente con uno (1) o más años de información financiera es menor a USD125.000, la Capacidad de organización (CO) del proponente es igual a USD125.000.</w:t>
      </w:r>
    </w:p>
    <w:p w14:paraId="21A1E503" w14:textId="77777777" w:rsidR="004E406E" w:rsidRPr="0081560D" w:rsidRDefault="004E406E" w:rsidP="00A6264B">
      <w:pPr>
        <w:pStyle w:val="Textoindependiente"/>
        <w:numPr>
          <w:ilvl w:val="0"/>
          <w:numId w:val="5"/>
        </w:numPr>
        <w:tabs>
          <w:tab w:val="left" w:pos="993"/>
        </w:tabs>
        <w:spacing w:after="120" w:line="276" w:lineRule="auto"/>
        <w:ind w:left="0" w:firstLine="709"/>
        <w:jc w:val="both"/>
        <w:rPr>
          <w:sz w:val="22"/>
          <w:szCs w:val="22"/>
          <w:lang w:val="es-CO"/>
        </w:rPr>
      </w:pPr>
      <w:r w:rsidRPr="0081560D">
        <w:rPr>
          <w:b/>
          <w:bCs/>
          <w:sz w:val="22"/>
          <w:szCs w:val="22"/>
          <w:lang w:val="es-CO"/>
        </w:rPr>
        <w:t>Saldos de los contratos en ejecución (SCE).</w:t>
      </w:r>
      <w:r w:rsidRPr="0081560D">
        <w:rPr>
          <w:sz w:val="22"/>
          <w:szCs w:val="22"/>
          <w:lang w:val="es-CO"/>
        </w:rPr>
        <w:t xml:space="preserve"> Debe hacerse linealmente y calculando una </w:t>
      </w:r>
      <w:r w:rsidRPr="0081560D">
        <w:rPr>
          <w:i/>
          <w:iCs/>
          <w:sz w:val="22"/>
          <w:szCs w:val="22"/>
          <w:lang w:val="es-CO"/>
        </w:rPr>
        <w:t xml:space="preserve">«ejecución diaria equivalente al valor del contrato dividido por el plazo del contrato expresado en días». </w:t>
      </w:r>
      <w:r w:rsidRPr="0081560D">
        <w:rPr>
          <w:sz w:val="22"/>
          <w:szCs w:val="22"/>
          <w:lang w:val="es-CO"/>
        </w:rPr>
        <w:t>El resultado obtenido se debe multiplicar por el número de días pendientes para cumplir el plazo del contrato. Si el número de días por ejecutar un contrato es superior a trecientos sesenta (360) días, solo se tendrá en cuenta la proporción lineal de doce (12) meses.</w:t>
      </w:r>
    </w:p>
    <w:p w14:paraId="5ADB6D4B" w14:textId="77777777" w:rsidR="004E406E" w:rsidRPr="0081560D" w:rsidRDefault="004E406E" w:rsidP="00A6264B">
      <w:pPr>
        <w:pStyle w:val="Textoindependiente"/>
        <w:numPr>
          <w:ilvl w:val="0"/>
          <w:numId w:val="5"/>
        </w:numPr>
        <w:tabs>
          <w:tab w:val="left" w:pos="993"/>
        </w:tabs>
        <w:spacing w:after="120" w:line="276" w:lineRule="auto"/>
        <w:ind w:left="0" w:firstLine="709"/>
        <w:jc w:val="both"/>
        <w:rPr>
          <w:sz w:val="22"/>
          <w:szCs w:val="22"/>
          <w:lang w:val="es-CO"/>
        </w:rPr>
      </w:pPr>
      <w:r w:rsidRPr="0081560D">
        <w:rPr>
          <w:b/>
          <w:bCs/>
          <w:sz w:val="22"/>
          <w:szCs w:val="22"/>
          <w:lang w:val="es-CO"/>
        </w:rPr>
        <w:t>Experiencia (E).</w:t>
      </w:r>
      <w:r w:rsidRPr="0081560D">
        <w:rPr>
          <w:sz w:val="22"/>
          <w:szCs w:val="22"/>
          <w:lang w:val="es-CO"/>
        </w:rPr>
        <w:t xml:space="preserve"> Para los efectos de la Capacidad Residual, corresponde de un lado, a la relación entre «</w:t>
      </w:r>
      <w:r w:rsidRPr="0081560D">
        <w:rPr>
          <w:i/>
          <w:iCs/>
          <w:sz w:val="22"/>
          <w:szCs w:val="22"/>
          <w:lang w:val="es-CO"/>
        </w:rPr>
        <w:t>el valor total en pesos de los contratos relacionados con la actividad de la construcción inscritos por el proponente en el Registro Único de Proponentes “RUP” en el segmento 72 […] del Clasificador de Bienes y Servicios»,</w:t>
      </w:r>
      <w:r w:rsidRPr="0081560D">
        <w:rPr>
          <w:sz w:val="22"/>
          <w:szCs w:val="22"/>
          <w:lang w:val="es-CO"/>
        </w:rPr>
        <w:t xml:space="preserve"> y del otro, al presupuesto oficial estimado del Proceso de Contratación. La relación indica el número de veces que el proponente ha ejecutado contratos equivalentes a la cuantía del Proceso de Contratación.  </w:t>
      </w:r>
    </w:p>
    <w:p w14:paraId="2EFCC1D8" w14:textId="77777777" w:rsidR="004E406E" w:rsidRPr="0081560D" w:rsidRDefault="004E406E" w:rsidP="00A6264B">
      <w:pPr>
        <w:widowControl w:val="0"/>
        <w:autoSpaceDE w:val="0"/>
        <w:autoSpaceDN w:val="0"/>
        <w:spacing w:after="120" w:line="276" w:lineRule="auto"/>
        <w:ind w:firstLine="708"/>
        <w:jc w:val="both"/>
        <w:rPr>
          <w:rFonts w:ascii="Arial" w:eastAsia="Arial" w:hAnsi="Arial" w:cs="Arial"/>
          <w:bCs/>
          <w:sz w:val="22"/>
          <w:lang w:eastAsia="x-none"/>
        </w:rPr>
      </w:pPr>
      <w:r w:rsidRPr="0081560D">
        <w:rPr>
          <w:rFonts w:ascii="Arial" w:eastAsia="Arial" w:hAnsi="Arial" w:cs="Arial"/>
          <w:bCs/>
          <w:sz w:val="22"/>
          <w:lang w:eastAsia="x-none"/>
        </w:rPr>
        <w:t>En este contexto, resulta oportuno precisar que, si bien es cierto la Entidad Estatal es la que debe calcular la Capacidad Residual de los proponentes, también lo es que estos últimos, como se referenció, tienen la carga de aportar los documentos exigidos para acreditar su Capacidad Residual</w:t>
      </w:r>
      <w:r w:rsidRPr="0081560D">
        <w:rPr>
          <w:rFonts w:ascii="Arial" w:eastAsia="Arial" w:hAnsi="Arial" w:cs="Arial"/>
          <w:bCs/>
          <w:sz w:val="22"/>
          <w:vertAlign w:val="superscript"/>
          <w:lang w:eastAsia="x-none"/>
        </w:rPr>
        <w:footnoteReference w:id="8"/>
      </w:r>
      <w:r w:rsidRPr="0081560D">
        <w:rPr>
          <w:rFonts w:ascii="Arial" w:eastAsia="Arial" w:hAnsi="Arial" w:cs="Arial"/>
          <w:bCs/>
          <w:sz w:val="22"/>
          <w:lang w:eastAsia="x-none"/>
        </w:rPr>
        <w:t xml:space="preserve">. </w:t>
      </w:r>
    </w:p>
    <w:p w14:paraId="31A54F04" w14:textId="77777777" w:rsidR="004E406E" w:rsidRPr="0081560D" w:rsidRDefault="004E406E" w:rsidP="00A6264B">
      <w:pPr>
        <w:spacing w:line="276" w:lineRule="auto"/>
        <w:ind w:firstLine="709"/>
        <w:contextualSpacing/>
        <w:jc w:val="both"/>
        <w:rPr>
          <w:rFonts w:ascii="Arial" w:eastAsia="Times New Roman" w:hAnsi="Arial" w:cs="Arial"/>
          <w:bCs/>
          <w:sz w:val="22"/>
          <w:lang w:eastAsia="x-none"/>
        </w:rPr>
      </w:pPr>
      <w:r w:rsidRPr="0081560D">
        <w:rPr>
          <w:rFonts w:ascii="Arial" w:eastAsia="Times New Roman" w:hAnsi="Arial" w:cs="Arial"/>
          <w:bCs/>
          <w:sz w:val="22"/>
          <w:lang w:eastAsia="x-none"/>
        </w:rPr>
        <w:lastRenderedPageBreak/>
        <w:t>Para acreditar el factor (SCE) «Saldos contratos en ejecución»</w:t>
      </w:r>
      <w:r w:rsidRPr="0081560D">
        <w:rPr>
          <w:rFonts w:ascii="Arial" w:eastAsia="Times New Roman" w:hAnsi="Arial" w:cs="Arial"/>
          <w:bCs/>
          <w:i/>
          <w:iCs/>
          <w:sz w:val="22"/>
          <w:lang w:eastAsia="x-none"/>
        </w:rPr>
        <w:t>,</w:t>
      </w:r>
      <w:r w:rsidRPr="0081560D">
        <w:rPr>
          <w:rFonts w:ascii="Arial" w:eastAsia="Times New Roman" w:hAnsi="Arial" w:cs="Arial"/>
          <w:bCs/>
          <w:sz w:val="22"/>
          <w:lang w:eastAsia="x-none"/>
        </w:rPr>
        <w:t xml:space="preserve"> como lo establece la «Guía para determinar y verificar la Capacidad Residual del proponente en los Procesos de Contratación de obra pública»</w:t>
      </w:r>
      <w:r w:rsidRPr="0081560D">
        <w:rPr>
          <w:rFonts w:ascii="Arial" w:eastAsia="Times New Roman" w:hAnsi="Arial" w:cs="Arial"/>
          <w:bCs/>
          <w:i/>
          <w:iCs/>
          <w:sz w:val="22"/>
          <w:lang w:eastAsia="x-none"/>
        </w:rPr>
        <w:t>,</w:t>
      </w:r>
      <w:r w:rsidRPr="0081560D">
        <w:rPr>
          <w:rFonts w:ascii="Arial" w:eastAsia="Times New Roman" w:hAnsi="Arial" w:cs="Arial"/>
          <w:bCs/>
          <w:sz w:val="22"/>
          <w:lang w:eastAsia="x-none"/>
        </w:rPr>
        <w:t xml:space="preserve"> el proponente debe presentar la lista de contratos en ejecución, públicos o privados, tanto a nivel nacional como internacional, señalando: (i) el valor del contrato; (</w:t>
      </w:r>
      <w:proofErr w:type="spellStart"/>
      <w:r w:rsidRPr="0081560D">
        <w:rPr>
          <w:rFonts w:ascii="Arial" w:eastAsia="Times New Roman" w:hAnsi="Arial" w:cs="Arial"/>
          <w:bCs/>
          <w:sz w:val="22"/>
          <w:lang w:eastAsia="x-none"/>
        </w:rPr>
        <w:t>ii</w:t>
      </w:r>
      <w:proofErr w:type="spellEnd"/>
      <w:r w:rsidRPr="0081560D">
        <w:rPr>
          <w:rFonts w:ascii="Arial" w:eastAsia="Times New Roman" w:hAnsi="Arial" w:cs="Arial"/>
          <w:bCs/>
          <w:sz w:val="22"/>
          <w:lang w:eastAsia="x-none"/>
        </w:rPr>
        <w:t>) el plazo del contrato en meses; (</w:t>
      </w:r>
      <w:proofErr w:type="spellStart"/>
      <w:r w:rsidRPr="0081560D">
        <w:rPr>
          <w:rFonts w:ascii="Arial" w:eastAsia="Times New Roman" w:hAnsi="Arial" w:cs="Arial"/>
          <w:bCs/>
          <w:sz w:val="22"/>
          <w:lang w:eastAsia="x-none"/>
        </w:rPr>
        <w:t>iii</w:t>
      </w:r>
      <w:proofErr w:type="spellEnd"/>
      <w:r w:rsidRPr="0081560D">
        <w:rPr>
          <w:rFonts w:ascii="Arial" w:eastAsia="Times New Roman" w:hAnsi="Arial" w:cs="Arial"/>
          <w:bCs/>
          <w:sz w:val="22"/>
          <w:lang w:eastAsia="x-none"/>
        </w:rPr>
        <w:t>) la fecha de inicio de las obras objeto del contrato, día, mes, año; (</w:t>
      </w:r>
      <w:proofErr w:type="spellStart"/>
      <w:r w:rsidRPr="0081560D">
        <w:rPr>
          <w:rFonts w:ascii="Arial" w:eastAsia="Times New Roman" w:hAnsi="Arial" w:cs="Arial"/>
          <w:bCs/>
          <w:sz w:val="22"/>
          <w:lang w:eastAsia="x-none"/>
        </w:rPr>
        <w:t>iv</w:t>
      </w:r>
      <w:proofErr w:type="spellEnd"/>
      <w:r w:rsidRPr="0081560D">
        <w:rPr>
          <w:rFonts w:ascii="Arial" w:eastAsia="Times New Roman" w:hAnsi="Arial" w:cs="Arial"/>
          <w:bCs/>
          <w:sz w:val="22"/>
          <w:lang w:eastAsia="x-none"/>
        </w:rPr>
        <w:t>)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2DD5143C" w14:textId="77777777" w:rsidR="004E406E" w:rsidRPr="0081560D" w:rsidRDefault="004E406E" w:rsidP="00A6264B">
      <w:pPr>
        <w:spacing w:line="276" w:lineRule="auto"/>
        <w:ind w:firstLine="709"/>
        <w:contextualSpacing/>
        <w:jc w:val="both"/>
        <w:rPr>
          <w:rFonts w:ascii="Arial" w:eastAsia="Calibri" w:hAnsi="Arial" w:cs="Arial"/>
          <w:bCs/>
          <w:sz w:val="22"/>
        </w:rPr>
      </w:pPr>
    </w:p>
    <w:p w14:paraId="62761C15" w14:textId="77777777" w:rsidR="004E406E" w:rsidRPr="0081560D" w:rsidRDefault="004E406E" w:rsidP="00A6264B">
      <w:pPr>
        <w:widowControl w:val="0"/>
        <w:autoSpaceDE w:val="0"/>
        <w:autoSpaceDN w:val="0"/>
        <w:spacing w:line="276" w:lineRule="auto"/>
        <w:contextualSpacing/>
        <w:rPr>
          <w:rFonts w:ascii="Arial" w:eastAsia="Arial" w:hAnsi="Arial" w:cs="Arial"/>
          <w:b/>
          <w:bCs/>
          <w:sz w:val="22"/>
        </w:rPr>
      </w:pPr>
      <w:bookmarkStart w:id="6" w:name="_Hlk121298052"/>
      <w:r w:rsidRPr="0081560D">
        <w:rPr>
          <w:rFonts w:ascii="Arial" w:eastAsia="Arial" w:hAnsi="Arial" w:cs="Arial"/>
          <w:b/>
          <w:bCs/>
          <w:sz w:val="22"/>
        </w:rPr>
        <w:t>2.2. Saldo de contratos en ejecución – SCE</w:t>
      </w:r>
    </w:p>
    <w:bookmarkEnd w:id="6"/>
    <w:p w14:paraId="68204D1C" w14:textId="77777777" w:rsidR="004E406E" w:rsidRPr="0081560D" w:rsidRDefault="004E406E" w:rsidP="00A6264B">
      <w:pPr>
        <w:spacing w:line="276" w:lineRule="auto"/>
        <w:ind w:firstLine="709"/>
        <w:contextualSpacing/>
        <w:jc w:val="both"/>
        <w:rPr>
          <w:rFonts w:ascii="Arial" w:eastAsia="Calibri" w:hAnsi="Arial" w:cs="Arial"/>
          <w:bCs/>
          <w:sz w:val="22"/>
        </w:rPr>
      </w:pPr>
    </w:p>
    <w:p w14:paraId="3A3B1233" w14:textId="77777777" w:rsidR="004E406E" w:rsidRPr="0081560D" w:rsidRDefault="004E406E" w:rsidP="00A6264B">
      <w:pPr>
        <w:spacing w:line="276" w:lineRule="auto"/>
        <w:contextualSpacing/>
        <w:jc w:val="both"/>
        <w:rPr>
          <w:rFonts w:ascii="Arial" w:hAnsi="Arial" w:cs="Arial"/>
          <w:i/>
          <w:iCs/>
          <w:sz w:val="22"/>
        </w:rPr>
      </w:pPr>
      <w:bookmarkStart w:id="7" w:name="_Hlk100139879"/>
      <w:r w:rsidRPr="0081560D">
        <w:rPr>
          <w:rFonts w:ascii="Arial" w:eastAsia="Calibri" w:hAnsi="Arial" w:cs="Arial"/>
          <w:bCs/>
          <w:sz w:val="22"/>
        </w:rPr>
        <w:t>Respecto del factor de saldos de los contratos en ejecución «SCE»,</w:t>
      </w:r>
      <w:r w:rsidRPr="0081560D">
        <w:rPr>
          <w:rFonts w:ascii="Arial" w:hAnsi="Arial" w:cs="Arial"/>
          <w:sz w:val="22"/>
        </w:rPr>
        <w:t xml:space="preserve"> es necesario tener en cuenta que la </w:t>
      </w:r>
      <w:r w:rsidRPr="0081560D">
        <w:rPr>
          <w:rFonts w:ascii="Arial" w:eastAsia="Calibri" w:hAnsi="Arial" w:cs="Arial"/>
          <w:bCs/>
          <w:sz w:val="22"/>
          <w:lang w:eastAsia="en-GB"/>
        </w:rPr>
        <w:t>«</w:t>
      </w:r>
      <w:r w:rsidRPr="0081560D">
        <w:rPr>
          <w:rFonts w:ascii="Arial" w:hAnsi="Arial" w:cs="Arial"/>
          <w:i/>
          <w:iCs/>
          <w:sz w:val="22"/>
        </w:rPr>
        <w:t>Guía para Determinar y Verificar la Capacidad Residual del Proponente en los Procesos de Contratación de Obra Pública</w:t>
      </w:r>
      <w:r w:rsidRPr="0081560D">
        <w:rPr>
          <w:rFonts w:ascii="Arial" w:eastAsia="Calibri" w:hAnsi="Arial" w:cs="Arial"/>
          <w:bCs/>
          <w:i/>
          <w:iCs/>
          <w:sz w:val="22"/>
        </w:rPr>
        <w:t>»</w:t>
      </w:r>
      <w:r w:rsidRPr="0081560D">
        <w:rPr>
          <w:rFonts w:ascii="Arial" w:hAnsi="Arial" w:cs="Arial"/>
          <w:i/>
          <w:iCs/>
          <w:sz w:val="22"/>
        </w:rPr>
        <w:t xml:space="preserve">, </w:t>
      </w:r>
      <w:r w:rsidRPr="0081560D">
        <w:rPr>
          <w:rFonts w:ascii="Arial" w:hAnsi="Arial" w:cs="Arial"/>
          <w:sz w:val="22"/>
        </w:rPr>
        <w:t xml:space="preserve">define a este factor </w:t>
      </w:r>
      <w:r w:rsidRPr="0081560D">
        <w:rPr>
          <w:rFonts w:ascii="Arial" w:eastAsia="Calibri" w:hAnsi="Arial" w:cs="Arial"/>
          <w:bCs/>
          <w:sz w:val="22"/>
        </w:rPr>
        <w:t>como «la suma de los montos por ejecutar de los contratos en ejecución durante los 12 meses siguientes»</w:t>
      </w:r>
      <w:bookmarkEnd w:id="7"/>
      <w:r w:rsidRPr="0081560D">
        <w:rPr>
          <w:rFonts w:ascii="Arial" w:eastAsia="Calibri" w:hAnsi="Arial" w:cs="Arial"/>
          <w:bCs/>
          <w:sz w:val="22"/>
        </w:rPr>
        <w:t>. Así mismo, define los</w:t>
      </w:r>
      <w:r w:rsidRPr="0081560D">
        <w:rPr>
          <w:rFonts w:ascii="Arial" w:hAnsi="Arial" w:cs="Arial"/>
          <w:sz w:val="22"/>
        </w:rPr>
        <w:t xml:space="preserve"> </w:t>
      </w:r>
      <w:bookmarkStart w:id="8" w:name="_Hlk78819022"/>
      <w:r w:rsidRPr="0081560D">
        <w:rPr>
          <w:rFonts w:ascii="Arial" w:hAnsi="Arial" w:cs="Arial"/>
          <w:i/>
          <w:iCs/>
          <w:sz w:val="22"/>
        </w:rPr>
        <w:t>Contratos en Ejecución</w:t>
      </w:r>
      <w:r w:rsidRPr="0081560D">
        <w:rPr>
          <w:rFonts w:ascii="Arial" w:hAnsi="Arial" w:cs="Arial"/>
          <w:sz w:val="22"/>
        </w:rPr>
        <w:t xml:space="preserve"> </w:t>
      </w:r>
      <w:bookmarkEnd w:id="8"/>
      <w:r w:rsidRPr="0081560D">
        <w:rPr>
          <w:rFonts w:ascii="Arial" w:hAnsi="Arial" w:cs="Arial"/>
          <w:sz w:val="22"/>
        </w:rPr>
        <w:t xml:space="preserve">de la siguiente manera: </w:t>
      </w:r>
      <w:r w:rsidRPr="0081560D">
        <w:rPr>
          <w:rFonts w:ascii="Arial" w:hAnsi="Arial" w:cs="Arial"/>
          <w:i/>
          <w:iCs/>
          <w:sz w:val="22"/>
        </w:rPr>
        <w:t xml:space="preserve"> </w:t>
      </w:r>
    </w:p>
    <w:p w14:paraId="0735FF01" w14:textId="77777777" w:rsidR="004E406E" w:rsidRPr="0081560D" w:rsidRDefault="004E406E" w:rsidP="00A6264B">
      <w:pPr>
        <w:spacing w:line="276" w:lineRule="auto"/>
        <w:ind w:firstLine="709"/>
        <w:contextualSpacing/>
        <w:jc w:val="both"/>
        <w:rPr>
          <w:rFonts w:ascii="Arial" w:hAnsi="Arial" w:cs="Arial"/>
          <w:sz w:val="22"/>
        </w:rPr>
      </w:pPr>
    </w:p>
    <w:p w14:paraId="3D847FFD" w14:textId="77777777" w:rsidR="004E406E" w:rsidRPr="0081560D" w:rsidRDefault="004E406E" w:rsidP="00A6264B">
      <w:pPr>
        <w:ind w:left="709" w:right="709"/>
        <w:contextualSpacing/>
        <w:jc w:val="both"/>
        <w:rPr>
          <w:rFonts w:ascii="Arial" w:hAnsi="Arial" w:cs="Arial"/>
          <w:sz w:val="21"/>
          <w:szCs w:val="21"/>
        </w:rPr>
      </w:pPr>
      <w:r w:rsidRPr="0081560D">
        <w:rPr>
          <w:rFonts w:ascii="Arial" w:eastAsia="Calibri" w:hAnsi="Arial" w:cs="Arial"/>
          <w:bCs/>
          <w:sz w:val="21"/>
          <w:szCs w:val="21"/>
          <w:lang w:eastAsia="en-GB"/>
        </w:rPr>
        <w:t>«</w:t>
      </w:r>
      <w:r w:rsidRPr="0081560D">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sidRPr="0081560D">
        <w:rPr>
          <w:rFonts w:ascii="Arial" w:eastAsia="Calibri" w:hAnsi="Arial" w:cs="Arial"/>
          <w:bCs/>
          <w:sz w:val="21"/>
          <w:szCs w:val="21"/>
        </w:rPr>
        <w:t>»</w:t>
      </w:r>
      <w:r w:rsidRPr="0081560D">
        <w:rPr>
          <w:rFonts w:ascii="Arial" w:hAnsi="Arial" w:cs="Arial"/>
          <w:sz w:val="21"/>
          <w:szCs w:val="21"/>
        </w:rPr>
        <w:t>.</w:t>
      </w:r>
    </w:p>
    <w:p w14:paraId="1F2ED059" w14:textId="77777777" w:rsidR="004E406E" w:rsidRPr="0081560D" w:rsidRDefault="004E406E" w:rsidP="00A6264B">
      <w:pPr>
        <w:spacing w:line="276" w:lineRule="auto"/>
        <w:ind w:right="709"/>
        <w:contextualSpacing/>
        <w:jc w:val="both"/>
        <w:rPr>
          <w:rFonts w:ascii="Arial" w:hAnsi="Arial" w:cs="Arial"/>
          <w:sz w:val="22"/>
        </w:rPr>
      </w:pPr>
    </w:p>
    <w:p w14:paraId="61FBAC17" w14:textId="77777777" w:rsidR="004E406E" w:rsidRPr="0081560D" w:rsidRDefault="004E406E" w:rsidP="00A6264B">
      <w:pPr>
        <w:spacing w:after="120" w:line="276" w:lineRule="auto"/>
        <w:ind w:firstLine="709"/>
        <w:jc w:val="both"/>
        <w:rPr>
          <w:rFonts w:ascii="Arial" w:eastAsia="Times New Roman" w:hAnsi="Arial" w:cs="Arial"/>
          <w:bCs/>
          <w:sz w:val="22"/>
          <w:lang w:val="es-ES" w:eastAsia="es-CO"/>
        </w:rPr>
      </w:pPr>
      <w:bookmarkStart w:id="9" w:name="_Hlk100139912"/>
      <w:bookmarkStart w:id="10" w:name="_Hlk103609030"/>
      <w:r w:rsidRPr="0081560D">
        <w:rPr>
          <w:rFonts w:ascii="Arial" w:eastAsia="Times New Roman" w:hAnsi="Arial" w:cs="Arial"/>
          <w:bCs/>
          <w:sz w:val="22"/>
          <w:lang w:val="es-ES" w:eastAsia="es-CO"/>
        </w:rPr>
        <w:t>Conforme a ello, los contratos en ejecución que se deben tener en cuenta para el cálculo del factor «SCE» son aquellos que, al momento de presentarse la oferta, obligan al proponente a ejecutar obras civiles, por consiguiente, lo determinante en dichos contratos es verificar que derive en el proponente un compromiso vinculante de ejecutar obras, incluyendo no sólo los contratos que se encuentren en ejecución sino también aquellos contratos suspendidos y los que no tengan acta de inicio.</w:t>
      </w:r>
    </w:p>
    <w:p w14:paraId="0F05CC52" w14:textId="77777777" w:rsidR="004E406E" w:rsidRPr="0081560D" w:rsidRDefault="004E406E" w:rsidP="00A6264B">
      <w:pPr>
        <w:spacing w:after="120" w:line="276" w:lineRule="auto"/>
        <w:ind w:firstLine="709"/>
        <w:jc w:val="both"/>
        <w:rPr>
          <w:rFonts w:ascii="Arial" w:hAnsi="Arial" w:cs="Arial"/>
          <w:sz w:val="22"/>
        </w:rPr>
      </w:pPr>
      <w:bookmarkStart w:id="11" w:name="_Hlk100139986"/>
      <w:bookmarkEnd w:id="9"/>
      <w:r w:rsidRPr="0081560D">
        <w:rPr>
          <w:rFonts w:ascii="Arial" w:hAnsi="Arial" w:cs="Arial"/>
          <w:sz w:val="22"/>
        </w:rPr>
        <w:lastRenderedPageBreak/>
        <w:t xml:space="preserve">Lo anterior, en la medida en que la ejecución de los contratos, en principio, suspendidos o pendientes de acta de inicio puede, eventualmente, afectar la aptitud del oferente para cumplir con el contrato ofertado, razón por la que, ante la posibilidad de que tales contratos se reanuden o den inicio, la </w:t>
      </w:r>
      <w:r w:rsidRPr="0081560D">
        <w:rPr>
          <w:rFonts w:ascii="Arial" w:eastAsia="Times New Roman" w:hAnsi="Arial" w:cs="Arial"/>
          <w:i/>
          <w:iCs/>
          <w:sz w:val="22"/>
          <w:lang w:eastAsia="en-GB"/>
        </w:rPr>
        <w:t>«Guía para Determinar y Verificar la Capacidad Residual del Proponente en los Procesos de Contratación de Obra Pública»</w:t>
      </w:r>
      <w:r w:rsidRPr="0081560D">
        <w:rPr>
          <w:rFonts w:ascii="Arial" w:eastAsia="Times New Roman" w:hAnsi="Arial" w:cs="Arial"/>
          <w:sz w:val="22"/>
          <w:lang w:eastAsia="en-GB"/>
        </w:rPr>
        <w:t xml:space="preserve"> </w:t>
      </w:r>
      <w:r w:rsidRPr="0081560D">
        <w:rPr>
          <w:rFonts w:ascii="Arial" w:hAnsi="Arial" w:cs="Arial"/>
          <w:sz w:val="22"/>
        </w:rPr>
        <w:t>estimó necesario evaluar los saldos pendientes por ejecutar de tales contratos para determinar si el proponente cumple con la Capacidad Residual requerida</w:t>
      </w:r>
      <w:bookmarkEnd w:id="10"/>
      <w:bookmarkEnd w:id="11"/>
      <w:r w:rsidRPr="0081560D">
        <w:rPr>
          <w:rFonts w:ascii="Arial" w:hAnsi="Arial" w:cs="Arial"/>
          <w:sz w:val="22"/>
        </w:rPr>
        <w:t xml:space="preserve">. </w:t>
      </w:r>
    </w:p>
    <w:p w14:paraId="6C7C10B8" w14:textId="241DED4E" w:rsidR="004E406E" w:rsidRPr="0081560D" w:rsidRDefault="004E406E" w:rsidP="00A6264B">
      <w:pPr>
        <w:spacing w:line="276" w:lineRule="auto"/>
        <w:ind w:firstLine="709"/>
        <w:contextualSpacing/>
        <w:rPr>
          <w:rFonts w:ascii="Arial" w:eastAsia="Times New Roman" w:hAnsi="Arial" w:cs="Arial"/>
          <w:sz w:val="22"/>
          <w:lang w:eastAsia="en-GB"/>
        </w:rPr>
      </w:pPr>
      <w:r w:rsidRPr="0081560D">
        <w:rPr>
          <w:rFonts w:ascii="Arial" w:eastAsia="Times New Roman" w:hAnsi="Arial" w:cs="Arial"/>
          <w:sz w:val="22"/>
          <w:lang w:eastAsia="en-GB"/>
        </w:rPr>
        <w:t>Ahora bien, respecto a la forma de calcularlo, la mencionada guía se precisa que:</w:t>
      </w:r>
    </w:p>
    <w:p w14:paraId="6E9A661E" w14:textId="77777777" w:rsidR="004E406E" w:rsidRPr="0081560D" w:rsidRDefault="004E406E" w:rsidP="00A6264B">
      <w:pPr>
        <w:spacing w:line="276" w:lineRule="auto"/>
        <w:ind w:firstLine="709"/>
        <w:contextualSpacing/>
        <w:jc w:val="both"/>
        <w:rPr>
          <w:rFonts w:ascii="Arial" w:hAnsi="Arial" w:cs="Arial"/>
          <w:sz w:val="22"/>
        </w:rPr>
      </w:pPr>
    </w:p>
    <w:p w14:paraId="344C6FBB" w14:textId="77777777" w:rsidR="004E406E" w:rsidRPr="0081560D" w:rsidRDefault="004E406E" w:rsidP="00A6264B">
      <w:pPr>
        <w:ind w:left="709" w:right="709"/>
        <w:contextualSpacing/>
        <w:jc w:val="both"/>
        <w:rPr>
          <w:rFonts w:ascii="Arial" w:hAnsi="Arial" w:cs="Arial"/>
          <w:sz w:val="21"/>
          <w:szCs w:val="21"/>
        </w:rPr>
      </w:pPr>
      <w:bookmarkStart w:id="12" w:name="_Hlk100140013"/>
      <w:r w:rsidRPr="0081560D">
        <w:rPr>
          <w:rFonts w:ascii="Arial" w:eastAsia="Calibri" w:hAnsi="Arial" w:cs="Arial"/>
          <w:bCs/>
          <w:sz w:val="21"/>
          <w:szCs w:val="21"/>
          <w:lang w:eastAsia="en-GB"/>
        </w:rPr>
        <w:t>«</w:t>
      </w:r>
      <w:r w:rsidRPr="0081560D">
        <w:rPr>
          <w:rFonts w:ascii="Arial" w:hAnsi="Arial" w:cs="Arial"/>
          <w:sz w:val="21"/>
          <w:szCs w:val="21"/>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12"/>
      <w:r w:rsidRPr="0081560D">
        <w:rPr>
          <w:rFonts w:ascii="Arial" w:hAnsi="Arial" w:cs="Arial"/>
          <w:sz w:val="21"/>
          <w:szCs w:val="21"/>
        </w:rPr>
        <w:t>.</w:t>
      </w:r>
    </w:p>
    <w:p w14:paraId="736722E3" w14:textId="77777777" w:rsidR="004E406E" w:rsidRPr="0081560D" w:rsidRDefault="004E406E" w:rsidP="00A6264B">
      <w:pPr>
        <w:ind w:left="709" w:right="709"/>
        <w:contextualSpacing/>
        <w:jc w:val="both"/>
        <w:rPr>
          <w:rFonts w:ascii="Arial" w:hAnsi="Arial" w:cs="Arial"/>
          <w:sz w:val="21"/>
          <w:szCs w:val="21"/>
        </w:rPr>
      </w:pPr>
    </w:p>
    <w:p w14:paraId="56B24304" w14:textId="77777777" w:rsidR="004E406E" w:rsidRPr="0081560D" w:rsidRDefault="004E406E" w:rsidP="00A6264B">
      <w:pPr>
        <w:ind w:left="709" w:right="709"/>
        <w:contextualSpacing/>
        <w:jc w:val="both"/>
        <w:rPr>
          <w:rFonts w:ascii="Arial" w:hAnsi="Arial" w:cs="Arial"/>
          <w:sz w:val="21"/>
          <w:szCs w:val="21"/>
        </w:rPr>
      </w:pPr>
      <w:r w:rsidRPr="0081560D">
        <w:rPr>
          <w:rFonts w:ascii="Arial" w:hAnsi="Arial" w:cs="Arial"/>
          <w:sz w:val="21"/>
          <w:szCs w:val="21"/>
        </w:rPr>
        <w:t>[…]</w:t>
      </w:r>
    </w:p>
    <w:p w14:paraId="0FC1E7AB" w14:textId="77777777" w:rsidR="004E406E" w:rsidRPr="0081560D" w:rsidRDefault="004E406E" w:rsidP="00A6264B">
      <w:pPr>
        <w:ind w:left="709" w:right="709"/>
        <w:contextualSpacing/>
        <w:jc w:val="both"/>
        <w:rPr>
          <w:rFonts w:ascii="Arial" w:hAnsi="Arial" w:cs="Arial"/>
          <w:i/>
          <w:iCs/>
          <w:sz w:val="21"/>
          <w:szCs w:val="21"/>
        </w:rPr>
      </w:pPr>
    </w:p>
    <w:p w14:paraId="1CE13E3A" w14:textId="77777777" w:rsidR="004E406E" w:rsidRPr="0081560D" w:rsidRDefault="004E406E" w:rsidP="00A6264B">
      <w:pPr>
        <w:ind w:left="709" w:right="709"/>
        <w:contextualSpacing/>
        <w:jc w:val="both"/>
        <w:rPr>
          <w:rFonts w:ascii="Arial" w:hAnsi="Arial" w:cs="Arial"/>
          <w:sz w:val="21"/>
          <w:szCs w:val="21"/>
        </w:rPr>
      </w:pPr>
      <w:r w:rsidRPr="0081560D">
        <w:rPr>
          <w:rFonts w:ascii="Arial" w:hAnsi="Arial" w:cs="Arial"/>
          <w:i/>
          <w:iCs/>
          <w:sz w:val="21"/>
          <w:szCs w:val="21"/>
        </w:rPr>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81560D">
        <w:rPr>
          <w:rFonts w:ascii="Arial" w:eastAsia="Calibri" w:hAnsi="Arial" w:cs="Arial"/>
          <w:bCs/>
          <w:sz w:val="21"/>
          <w:szCs w:val="21"/>
        </w:rPr>
        <w:t>»</w:t>
      </w:r>
      <w:r w:rsidRPr="0081560D">
        <w:rPr>
          <w:rFonts w:ascii="Arial" w:hAnsi="Arial" w:cs="Arial"/>
          <w:sz w:val="21"/>
          <w:szCs w:val="21"/>
        </w:rPr>
        <w:t>. [Énfasis fuera de texto]</w:t>
      </w:r>
    </w:p>
    <w:p w14:paraId="081CE5E7" w14:textId="77777777" w:rsidR="004E406E" w:rsidRPr="0081560D" w:rsidRDefault="004E406E" w:rsidP="00A6264B">
      <w:pPr>
        <w:spacing w:line="276" w:lineRule="auto"/>
        <w:ind w:firstLine="709"/>
        <w:contextualSpacing/>
        <w:jc w:val="both"/>
        <w:rPr>
          <w:rFonts w:ascii="Arial" w:hAnsi="Arial" w:cs="Arial"/>
          <w:sz w:val="22"/>
        </w:rPr>
      </w:pPr>
    </w:p>
    <w:p w14:paraId="57AC968C" w14:textId="77777777" w:rsidR="004E406E" w:rsidRPr="0081560D" w:rsidRDefault="004E406E" w:rsidP="00A6264B">
      <w:pPr>
        <w:spacing w:after="120" w:line="276" w:lineRule="auto"/>
        <w:ind w:firstLine="709"/>
        <w:jc w:val="both"/>
        <w:rPr>
          <w:rFonts w:ascii="Arial" w:hAnsi="Arial" w:cs="Arial"/>
          <w:sz w:val="22"/>
        </w:rPr>
      </w:pPr>
      <w:r w:rsidRPr="0081560D">
        <w:rPr>
          <w:rFonts w:ascii="Arial" w:hAnsi="Arial" w:cs="Arial"/>
          <w:sz w:val="22"/>
        </w:rPr>
        <w:t xml:space="preserve">De este modo, para acreditar el factor </w:t>
      </w:r>
      <w:r w:rsidRPr="0081560D">
        <w:rPr>
          <w:rFonts w:ascii="Arial" w:eastAsia="Calibri" w:hAnsi="Arial" w:cs="Arial"/>
          <w:bCs/>
          <w:sz w:val="22"/>
        </w:rPr>
        <w:t>saldos de los contratos en ejecución «SCE»,</w:t>
      </w:r>
      <w:r w:rsidRPr="0081560D">
        <w:rPr>
          <w:rFonts w:ascii="Arial" w:hAnsi="Arial" w:cs="Arial"/>
          <w:sz w:val="22"/>
        </w:rPr>
        <w:t xml:space="preserve">  como lo establece la Guía, el proponente debe presentar la lista de la totalidad de contratos de obras civiles en ejecución, tanto a nivel nacional como internacional, señalando: i) el valor del contrato; </w:t>
      </w:r>
      <w:proofErr w:type="spellStart"/>
      <w:r w:rsidRPr="0081560D">
        <w:rPr>
          <w:rFonts w:ascii="Arial" w:hAnsi="Arial" w:cs="Arial"/>
          <w:sz w:val="22"/>
        </w:rPr>
        <w:t>ii</w:t>
      </w:r>
      <w:proofErr w:type="spellEnd"/>
      <w:r w:rsidRPr="0081560D">
        <w:rPr>
          <w:rFonts w:ascii="Arial" w:hAnsi="Arial" w:cs="Arial"/>
          <w:sz w:val="22"/>
        </w:rPr>
        <w:t xml:space="preserve">) el plazo del contrato en meses; </w:t>
      </w:r>
      <w:proofErr w:type="spellStart"/>
      <w:r w:rsidRPr="0081560D">
        <w:rPr>
          <w:rFonts w:ascii="Arial" w:hAnsi="Arial" w:cs="Arial"/>
          <w:sz w:val="22"/>
        </w:rPr>
        <w:t>iii</w:t>
      </w:r>
      <w:proofErr w:type="spellEnd"/>
      <w:r w:rsidRPr="0081560D">
        <w:rPr>
          <w:rFonts w:ascii="Arial" w:hAnsi="Arial" w:cs="Arial"/>
          <w:sz w:val="22"/>
        </w:rPr>
        <w:t xml:space="preserve">) la fecha de inicio de las obras objeto del contrato (día, mes, año); </w:t>
      </w:r>
      <w:proofErr w:type="spellStart"/>
      <w:r w:rsidRPr="0081560D">
        <w:rPr>
          <w:rFonts w:ascii="Arial" w:hAnsi="Arial" w:cs="Arial"/>
          <w:sz w:val="22"/>
        </w:rPr>
        <w:t>iv</w:t>
      </w:r>
      <w:proofErr w:type="spellEnd"/>
      <w:r w:rsidRPr="0081560D">
        <w:rPr>
          <w:rFonts w:ascii="Arial" w:hAnsi="Arial" w:cs="Arial"/>
          <w:sz w:val="22"/>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w:t>
      </w:r>
    </w:p>
    <w:p w14:paraId="13042BB0" w14:textId="3E2DD208" w:rsidR="004E406E" w:rsidRPr="0081560D" w:rsidRDefault="004E406E" w:rsidP="00A6264B">
      <w:pPr>
        <w:spacing w:line="276" w:lineRule="auto"/>
        <w:ind w:firstLine="709"/>
        <w:contextualSpacing/>
        <w:jc w:val="both"/>
        <w:rPr>
          <w:rFonts w:ascii="Arial" w:hAnsi="Arial" w:cs="Arial"/>
          <w:sz w:val="22"/>
        </w:rPr>
      </w:pPr>
      <w:r w:rsidRPr="0081560D">
        <w:rPr>
          <w:rFonts w:ascii="Arial" w:hAnsi="Arial" w:cs="Arial"/>
          <w:sz w:val="22"/>
        </w:rPr>
        <w:t xml:space="preserve">En efecto, tanto el Decreto 1082 de 2015 y las demás normas mencionadas en párrafos anteriores como la Guía, no establecen excepción alguna frente al reporte que debe realizar el proponente para la determinación de la capacidad de residual; al contrario, establecen, de manera general, que el proponente debe reportar la totalidad de contratos, lo que conlleva a entender que existe una carga de relacionar los contratos en ejecución sin importar si el contratante es la misma entidad que realiza el </w:t>
      </w:r>
      <w:r w:rsidR="008C48A8" w:rsidRPr="0081560D">
        <w:rPr>
          <w:rFonts w:ascii="Arial" w:hAnsi="Arial" w:cs="Arial"/>
          <w:sz w:val="22"/>
        </w:rPr>
        <w:t>Proceso de Contratación</w:t>
      </w:r>
      <w:r w:rsidRPr="0081560D">
        <w:rPr>
          <w:rFonts w:ascii="Arial" w:hAnsi="Arial" w:cs="Arial"/>
          <w:sz w:val="22"/>
        </w:rPr>
        <w:t xml:space="preserve">. </w:t>
      </w:r>
    </w:p>
    <w:p w14:paraId="220CC958" w14:textId="77777777" w:rsidR="004E406E" w:rsidRPr="0081560D" w:rsidRDefault="004E406E" w:rsidP="00A6264B">
      <w:pPr>
        <w:spacing w:line="276" w:lineRule="auto"/>
        <w:contextualSpacing/>
        <w:jc w:val="both"/>
        <w:rPr>
          <w:rFonts w:ascii="Arial" w:hAnsi="Arial" w:cs="Arial"/>
          <w:sz w:val="22"/>
        </w:rPr>
      </w:pPr>
    </w:p>
    <w:p w14:paraId="5F94F69B" w14:textId="77777777" w:rsidR="004E406E" w:rsidRPr="0081560D" w:rsidRDefault="004E406E" w:rsidP="00A6264B">
      <w:pPr>
        <w:tabs>
          <w:tab w:val="left" w:pos="426"/>
        </w:tabs>
        <w:spacing w:line="276" w:lineRule="auto"/>
        <w:contextualSpacing/>
        <w:jc w:val="both"/>
        <w:rPr>
          <w:rFonts w:ascii="Arial" w:eastAsia="Calibri" w:hAnsi="Arial" w:cs="Arial"/>
          <w:b/>
          <w:bCs/>
          <w:sz w:val="22"/>
        </w:rPr>
      </w:pPr>
      <w:r w:rsidRPr="0081560D">
        <w:rPr>
          <w:rFonts w:ascii="Arial" w:eastAsia="Calibri" w:hAnsi="Arial" w:cs="Arial"/>
          <w:b/>
          <w:bCs/>
          <w:sz w:val="22"/>
        </w:rPr>
        <w:t xml:space="preserve">2.3. </w:t>
      </w:r>
      <w:bookmarkStart w:id="13" w:name="_Hlk121298060"/>
      <w:r w:rsidRPr="0081560D">
        <w:rPr>
          <w:rFonts w:ascii="Arial" w:eastAsia="Calibri" w:hAnsi="Arial" w:cs="Arial"/>
          <w:b/>
          <w:bCs/>
          <w:sz w:val="22"/>
        </w:rPr>
        <w:t>Forma de acreditación de la Capacidad Residual por parte del Proponente</w:t>
      </w:r>
      <w:bookmarkEnd w:id="13"/>
    </w:p>
    <w:p w14:paraId="70C576A4" w14:textId="77777777" w:rsidR="004E406E" w:rsidRPr="0081560D" w:rsidRDefault="004E406E" w:rsidP="00A6264B">
      <w:pPr>
        <w:tabs>
          <w:tab w:val="left" w:pos="426"/>
        </w:tabs>
        <w:spacing w:line="276" w:lineRule="auto"/>
        <w:contextualSpacing/>
        <w:jc w:val="both"/>
        <w:rPr>
          <w:rFonts w:ascii="Arial" w:eastAsia="Calibri" w:hAnsi="Arial" w:cs="Arial"/>
          <w:b/>
          <w:bCs/>
          <w:sz w:val="22"/>
        </w:rPr>
      </w:pPr>
    </w:p>
    <w:p w14:paraId="626565B7" w14:textId="77777777" w:rsidR="004E406E" w:rsidRPr="0081560D" w:rsidRDefault="004E406E" w:rsidP="00A6264B">
      <w:pPr>
        <w:pStyle w:val="paragraph"/>
        <w:spacing w:before="0" w:beforeAutospacing="0" w:after="120" w:afterAutospacing="0" w:line="276" w:lineRule="auto"/>
        <w:jc w:val="both"/>
        <w:textAlignment w:val="baseline"/>
        <w:rPr>
          <w:rFonts w:ascii="Arial" w:hAnsi="Arial" w:cs="Arial"/>
          <w:sz w:val="22"/>
          <w:szCs w:val="22"/>
          <w:lang w:eastAsia="es-ES"/>
        </w:rPr>
      </w:pPr>
      <w:r w:rsidRPr="0081560D">
        <w:rPr>
          <w:rStyle w:val="normaltextrun"/>
          <w:rFonts w:ascii="Arial" w:hAnsi="Arial" w:cs="Arial"/>
          <w:sz w:val="22"/>
          <w:szCs w:val="22"/>
        </w:rPr>
        <w:t>El artículo 6 de la Ley 1150 de 2007 establece que todas las personas naturales o jurídicas nacionales o extranjeras domiciliadas o con sucursal en Colombia, que aspiren a celebrar contratos con las entidades estatales, deben estar inscritas en el Registro Único de Proponentes – en adelante RUP–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Estales, en los Procedimientos de Contratación, no podrán exigir, ni los proponentes aportar, documentación que deba utilizarse para efectuar la inscripción en el registro. </w:t>
      </w:r>
      <w:r w:rsidRPr="0081560D">
        <w:rPr>
          <w:rStyle w:val="eop"/>
          <w:rFonts w:ascii="Arial" w:hAnsi="Arial" w:cs="Arial"/>
          <w:sz w:val="22"/>
          <w:szCs w:val="22"/>
        </w:rPr>
        <w:t> </w:t>
      </w:r>
    </w:p>
    <w:p w14:paraId="66FC0C4C" w14:textId="77777777" w:rsidR="004E406E" w:rsidRPr="0081560D" w:rsidRDefault="004E406E" w:rsidP="00A6264B">
      <w:pPr>
        <w:tabs>
          <w:tab w:val="left" w:pos="426"/>
        </w:tabs>
        <w:spacing w:after="120" w:line="276" w:lineRule="auto"/>
        <w:ind w:firstLine="703"/>
        <w:jc w:val="both"/>
        <w:rPr>
          <w:rStyle w:val="normaltextrun"/>
          <w:rFonts w:ascii="Arial" w:hAnsi="Arial" w:cs="Arial"/>
          <w:sz w:val="22"/>
        </w:rPr>
      </w:pPr>
      <w:r w:rsidRPr="0081560D">
        <w:rPr>
          <w:rStyle w:val="normaltextrun"/>
          <w:rFonts w:ascii="Arial" w:hAnsi="Arial" w:cs="Arial"/>
          <w:sz w:val="22"/>
        </w:rPr>
        <w:t>Conforme a lo anterior, la Ley 1150 de 2007 establece que los requisitos habilitantes de experiencia, capacidad jurídica, financiera y de organización se acreditarán conforme a lo contenido en el RUP. Respecto a la acreditación de la Capacidad Residual, como esta no se realiza totalmente conforme al contenido del RUP, las Entidades deben exigir los documentos previstos en el artículo 2.2.1.1.1.6.4. del Decreto 1082 de 2015, relacionados en el numeral 2.1. de este concepto, siempre y cuando no sea información que el proponente haya aportado, con anterioridad, para inscribirse en el RUP.</w:t>
      </w:r>
    </w:p>
    <w:p w14:paraId="6E70B23F" w14:textId="77777777" w:rsidR="004E406E" w:rsidRPr="0081560D" w:rsidRDefault="004E406E" w:rsidP="00A6264B">
      <w:pPr>
        <w:tabs>
          <w:tab w:val="left" w:pos="426"/>
        </w:tabs>
        <w:spacing w:after="120" w:line="276" w:lineRule="auto"/>
        <w:ind w:firstLine="703"/>
        <w:jc w:val="both"/>
        <w:rPr>
          <w:rStyle w:val="normaltextrun"/>
          <w:rFonts w:ascii="Arial" w:hAnsi="Arial" w:cs="Arial"/>
          <w:sz w:val="22"/>
        </w:rPr>
      </w:pPr>
      <w:r w:rsidRPr="0081560D">
        <w:rPr>
          <w:rFonts w:ascii="Arial" w:eastAsia="Times New Roman" w:hAnsi="Arial" w:cs="Arial"/>
          <w:bCs/>
          <w:sz w:val="22"/>
          <w:lang w:eastAsia="x-none"/>
        </w:rPr>
        <w:t xml:space="preserve">Así las cosas, la Entidad Estatal, como directora de los Procesos de Contratación que adelanta, debe señalar en el pliego de condiciones–o en la Invitación– cuál es la información que se debe acreditar para el cálculo de la Capacidad Residual, así como los documentos que tendrá como válidos para tal fin. En consecuencia, el proponente deberá ceñirse a lo dispuesto por la Entidad y allegar toda información ordenada, en los términos y la forma en que hayan sido señalados, con el fin de que la Entidad pueda calcular la Capacidad Residual del proponente y verificar si cumple o no con la requerida en el Proceso de Contratación que adelanta. </w:t>
      </w:r>
    </w:p>
    <w:p w14:paraId="747317A4" w14:textId="77777777" w:rsidR="004E406E" w:rsidRPr="0081560D" w:rsidRDefault="004E406E" w:rsidP="00A6264B">
      <w:pPr>
        <w:tabs>
          <w:tab w:val="left" w:pos="426"/>
        </w:tabs>
        <w:spacing w:after="120" w:line="276" w:lineRule="auto"/>
        <w:ind w:firstLine="703"/>
        <w:jc w:val="both"/>
        <w:rPr>
          <w:rFonts w:ascii="Arial" w:eastAsia="Times New Roman" w:hAnsi="Arial" w:cs="Arial"/>
          <w:sz w:val="22"/>
          <w:lang w:eastAsia="en-GB"/>
        </w:rPr>
      </w:pPr>
      <w:r w:rsidRPr="0081560D">
        <w:rPr>
          <w:rStyle w:val="normaltextrun"/>
          <w:rFonts w:ascii="Arial" w:hAnsi="Arial" w:cs="Arial"/>
          <w:sz w:val="22"/>
        </w:rPr>
        <w:t xml:space="preserve">Ahora bien, teniendo en cuenta que en la consulta se hace referencia a unos formatos, sin hacer precisión a cuales formatos se refiere, esta Agencia debe señalar que en </w:t>
      </w:r>
      <w:r w:rsidRPr="0081560D">
        <w:rPr>
          <w:rStyle w:val="normaltextrun"/>
          <w:rFonts w:ascii="Arial" w:hAnsi="Arial" w:cs="Arial"/>
          <w:i/>
          <w:iCs/>
          <w:sz w:val="22"/>
        </w:rPr>
        <w:t xml:space="preserve">la </w:t>
      </w:r>
      <w:r w:rsidRPr="0081560D">
        <w:rPr>
          <w:rFonts w:ascii="Arial" w:eastAsia="Times New Roman" w:hAnsi="Arial" w:cs="Arial"/>
          <w:i/>
          <w:iCs/>
          <w:sz w:val="22"/>
          <w:lang w:eastAsia="en-GB"/>
        </w:rPr>
        <w:t>«Guía para Determinar y Verificar la Capacidad Residual del Proponente en los Procesos de Contratación de Obra Pública»</w:t>
      </w:r>
      <w:r w:rsidRPr="0081560D">
        <w:rPr>
          <w:rFonts w:ascii="Arial" w:eastAsia="Times New Roman" w:hAnsi="Arial" w:cs="Arial"/>
          <w:sz w:val="22"/>
          <w:lang w:eastAsia="en-GB"/>
        </w:rPr>
        <w:t xml:space="preserve"> se incorporan dos (2) anexos: </w:t>
      </w:r>
      <w:r w:rsidRPr="0081560D">
        <w:rPr>
          <w:rFonts w:ascii="Arial" w:eastAsia="Times New Roman" w:hAnsi="Arial" w:cs="Arial"/>
          <w:i/>
          <w:iCs/>
          <w:sz w:val="22"/>
          <w:lang w:eastAsia="en-GB"/>
        </w:rPr>
        <w:t>«Anexo 1 – Certificación de contratos para acreditar la experiencia»</w:t>
      </w:r>
      <w:r w:rsidRPr="0081560D">
        <w:rPr>
          <w:rFonts w:ascii="Arial" w:eastAsia="Times New Roman" w:hAnsi="Arial" w:cs="Arial"/>
          <w:sz w:val="22"/>
          <w:lang w:eastAsia="en-GB"/>
        </w:rPr>
        <w:t xml:space="preserve"> y </w:t>
      </w:r>
      <w:r w:rsidRPr="0081560D">
        <w:rPr>
          <w:rFonts w:ascii="Arial" w:eastAsia="Times New Roman" w:hAnsi="Arial" w:cs="Arial"/>
          <w:i/>
          <w:iCs/>
          <w:sz w:val="22"/>
          <w:lang w:eastAsia="en-GB"/>
        </w:rPr>
        <w:t>«Anexo 2 – Certificación de Capacidad Técnica»,</w:t>
      </w:r>
      <w:r w:rsidRPr="0081560D">
        <w:rPr>
          <w:rFonts w:ascii="Arial" w:eastAsia="Times New Roman" w:hAnsi="Arial" w:cs="Arial"/>
          <w:sz w:val="22"/>
          <w:lang w:eastAsia="en-GB"/>
        </w:rPr>
        <w:t xml:space="preserve"> a través de los cuales los proponentes pueden certificar la información relacionada con la experiencia y la capacidad técnica y las entidades verificar los aspectos necesarios para el cálculo de estos dos factores. </w:t>
      </w:r>
    </w:p>
    <w:p w14:paraId="7E5ED90C" w14:textId="77777777" w:rsidR="004E406E" w:rsidRPr="0081560D" w:rsidRDefault="004E406E" w:rsidP="0081560D">
      <w:pPr>
        <w:tabs>
          <w:tab w:val="left" w:pos="426"/>
        </w:tabs>
        <w:spacing w:before="120" w:line="276" w:lineRule="auto"/>
        <w:ind w:firstLine="703"/>
        <w:jc w:val="both"/>
        <w:rPr>
          <w:rStyle w:val="normaltextrun"/>
          <w:rFonts w:ascii="Arial" w:hAnsi="Arial" w:cs="Arial"/>
          <w:sz w:val="22"/>
          <w:lang w:eastAsia="es-ES_tradnl"/>
        </w:rPr>
      </w:pPr>
      <w:r w:rsidRPr="0081560D">
        <w:rPr>
          <w:rFonts w:ascii="Arial" w:eastAsia="Times New Roman" w:hAnsi="Arial" w:cs="Arial"/>
          <w:sz w:val="22"/>
          <w:lang w:eastAsia="en-GB"/>
        </w:rPr>
        <w:t xml:space="preserve">Finalmente, en relación con los contratos en ejecución, el literal E) de la mencionada Guía consagra la forma como se debe presentar la lista de contratos en ejecución, señalando que, esta debe indicar la siguiente información: </w:t>
      </w:r>
      <w:r w:rsidRPr="0081560D">
        <w:rPr>
          <w:rFonts w:ascii="Arial" w:hAnsi="Arial" w:cs="Arial"/>
          <w:sz w:val="22"/>
        </w:rPr>
        <w:t>(i) el valor del contrato; (</w:t>
      </w:r>
      <w:proofErr w:type="spellStart"/>
      <w:r w:rsidRPr="0081560D">
        <w:rPr>
          <w:rFonts w:ascii="Arial" w:hAnsi="Arial" w:cs="Arial"/>
          <w:sz w:val="22"/>
        </w:rPr>
        <w:t>ii</w:t>
      </w:r>
      <w:proofErr w:type="spellEnd"/>
      <w:r w:rsidRPr="0081560D">
        <w:rPr>
          <w:rFonts w:ascii="Arial" w:hAnsi="Arial" w:cs="Arial"/>
          <w:sz w:val="22"/>
        </w:rPr>
        <w:t>) el plazo del contrato en meses; (</w:t>
      </w:r>
      <w:proofErr w:type="spellStart"/>
      <w:r w:rsidRPr="0081560D">
        <w:rPr>
          <w:rFonts w:ascii="Arial" w:hAnsi="Arial" w:cs="Arial"/>
          <w:sz w:val="22"/>
        </w:rPr>
        <w:t>iii</w:t>
      </w:r>
      <w:proofErr w:type="spellEnd"/>
      <w:r w:rsidRPr="0081560D">
        <w:rPr>
          <w:rFonts w:ascii="Arial" w:hAnsi="Arial" w:cs="Arial"/>
          <w:sz w:val="22"/>
        </w:rPr>
        <w:t>) la fecha de inicio de las obras objeto del contrato, día, mes, año; (</w:t>
      </w:r>
      <w:proofErr w:type="spellStart"/>
      <w:r w:rsidRPr="0081560D">
        <w:rPr>
          <w:rFonts w:ascii="Arial" w:hAnsi="Arial" w:cs="Arial"/>
          <w:sz w:val="22"/>
        </w:rPr>
        <w:t>iv</w:t>
      </w:r>
      <w:proofErr w:type="spellEnd"/>
      <w:r w:rsidRPr="0081560D">
        <w:rPr>
          <w:rFonts w:ascii="Arial" w:hAnsi="Arial" w:cs="Arial"/>
          <w:sz w:val="22"/>
        </w:rPr>
        <w:t xml:space="preserve">) si la obra la ejecuta un consorcio, unión temporal o sociedad de propósito especial, junto con el porcentaje de </w:t>
      </w:r>
      <w:r w:rsidRPr="0081560D">
        <w:rPr>
          <w:rFonts w:ascii="Arial" w:hAnsi="Arial" w:cs="Arial"/>
          <w:sz w:val="22"/>
        </w:rPr>
        <w:lastRenderedPageBreak/>
        <w:t xml:space="preserve">participación del oferente que presenta el certificado; (v) si el contrato se encuentra suspendido, y si es así, la fecha de suspensión. </w:t>
      </w:r>
      <w:r w:rsidRPr="0081560D">
        <w:rPr>
          <w:rFonts w:ascii="Arial" w:eastAsia="Times New Roman" w:hAnsi="Arial" w:cs="Arial"/>
          <w:sz w:val="22"/>
          <w:lang w:eastAsia="en-GB"/>
        </w:rPr>
        <w:t xml:space="preserve"> A modo de ilustrativo, la Guía incorpora el siguiente cuadro:  </w:t>
      </w:r>
    </w:p>
    <w:p w14:paraId="17B9A5E9" w14:textId="77777777" w:rsidR="004E406E" w:rsidRPr="0081560D" w:rsidRDefault="004E406E" w:rsidP="0081560D">
      <w:pPr>
        <w:tabs>
          <w:tab w:val="left" w:pos="426"/>
        </w:tabs>
        <w:spacing w:line="276" w:lineRule="auto"/>
        <w:contextualSpacing/>
        <w:jc w:val="both"/>
        <w:rPr>
          <w:rFonts w:ascii="Arial" w:eastAsia="Calibri" w:hAnsi="Arial" w:cs="Arial"/>
          <w:b/>
          <w:bCs/>
          <w:sz w:val="22"/>
        </w:rPr>
      </w:pPr>
    </w:p>
    <w:p w14:paraId="481E9B8F" w14:textId="77777777" w:rsidR="004E406E" w:rsidRPr="0081560D" w:rsidRDefault="004E406E" w:rsidP="0081560D">
      <w:pPr>
        <w:tabs>
          <w:tab w:val="left" w:pos="426"/>
        </w:tabs>
        <w:spacing w:line="276" w:lineRule="auto"/>
        <w:contextualSpacing/>
        <w:jc w:val="center"/>
        <w:rPr>
          <w:rFonts w:ascii="Arial" w:eastAsia="Calibri" w:hAnsi="Arial" w:cs="Arial"/>
          <w:b/>
          <w:bCs/>
          <w:sz w:val="22"/>
        </w:rPr>
      </w:pPr>
      <w:r w:rsidRPr="0081560D">
        <w:rPr>
          <w:rFonts w:ascii="Arial" w:eastAsia="Calibri" w:hAnsi="Arial" w:cs="Arial"/>
          <w:b/>
          <w:bCs/>
          <w:noProof/>
          <w:sz w:val="22"/>
        </w:rPr>
        <w:drawing>
          <wp:inline distT="0" distB="0" distL="0" distR="0" wp14:anchorId="1B05E397" wp14:editId="08C665FD">
            <wp:extent cx="4960620" cy="1647825"/>
            <wp:effectExtent l="0" t="0" r="0" b="9525"/>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10;&#10;Descripción generada automáticamente"/>
                    <pic:cNvPicPr/>
                  </pic:nvPicPr>
                  <pic:blipFill rotWithShape="1">
                    <a:blip r:embed="rId15"/>
                    <a:srcRect t="2155" b="4634"/>
                    <a:stretch/>
                  </pic:blipFill>
                  <pic:spPr bwMode="auto">
                    <a:xfrm>
                      <a:off x="0" y="0"/>
                      <a:ext cx="4961050" cy="1647968"/>
                    </a:xfrm>
                    <a:prstGeom prst="rect">
                      <a:avLst/>
                    </a:prstGeom>
                    <a:ln>
                      <a:noFill/>
                    </a:ln>
                    <a:extLst>
                      <a:ext uri="{53640926-AAD7-44D8-BBD7-CCE9431645EC}">
                        <a14:shadowObscured xmlns:a14="http://schemas.microsoft.com/office/drawing/2010/main"/>
                      </a:ext>
                    </a:extLst>
                  </pic:spPr>
                </pic:pic>
              </a:graphicData>
            </a:graphic>
          </wp:inline>
        </w:drawing>
      </w:r>
    </w:p>
    <w:p w14:paraId="59429477" w14:textId="77777777" w:rsidR="004E406E" w:rsidRPr="0081560D" w:rsidRDefault="004E406E" w:rsidP="0081560D">
      <w:pPr>
        <w:tabs>
          <w:tab w:val="left" w:pos="426"/>
        </w:tabs>
        <w:spacing w:line="276" w:lineRule="auto"/>
        <w:contextualSpacing/>
        <w:jc w:val="both"/>
        <w:rPr>
          <w:rFonts w:ascii="Arial" w:hAnsi="Arial" w:cs="Arial"/>
          <w:sz w:val="22"/>
        </w:rPr>
      </w:pPr>
      <w:r w:rsidRPr="0081560D">
        <w:rPr>
          <w:rFonts w:ascii="Arial" w:hAnsi="Arial" w:cs="Arial"/>
          <w:sz w:val="22"/>
        </w:rPr>
        <w:tab/>
      </w:r>
    </w:p>
    <w:p w14:paraId="6A467910" w14:textId="77777777" w:rsidR="004E406E" w:rsidRPr="0081560D" w:rsidRDefault="004E406E" w:rsidP="0081560D">
      <w:pPr>
        <w:tabs>
          <w:tab w:val="left" w:pos="426"/>
        </w:tabs>
        <w:spacing w:line="276" w:lineRule="auto"/>
        <w:contextualSpacing/>
        <w:jc w:val="both"/>
        <w:rPr>
          <w:rFonts w:ascii="Arial" w:hAnsi="Arial" w:cs="Arial"/>
          <w:sz w:val="22"/>
        </w:rPr>
      </w:pPr>
      <w:r w:rsidRPr="0081560D">
        <w:rPr>
          <w:rFonts w:ascii="Arial" w:hAnsi="Arial" w:cs="Arial"/>
          <w:sz w:val="22"/>
        </w:rPr>
        <w:tab/>
        <w:t xml:space="preserve">Es importante resaltar que, resulta necesario que el Proponente allegue toda la información contenida en el cuadro anterior, a fin de que la Entidad pueda calcular su Capacidad Residual y verifique si cumple o no con este requisito habilitante. </w:t>
      </w:r>
    </w:p>
    <w:p w14:paraId="2C9F40DE" w14:textId="77777777" w:rsidR="004E406E" w:rsidRPr="0081560D" w:rsidRDefault="004E406E" w:rsidP="0081560D">
      <w:pPr>
        <w:tabs>
          <w:tab w:val="left" w:pos="426"/>
        </w:tabs>
        <w:spacing w:line="276" w:lineRule="auto"/>
        <w:contextualSpacing/>
        <w:jc w:val="both"/>
        <w:rPr>
          <w:rFonts w:ascii="Arial" w:eastAsia="Calibri" w:hAnsi="Arial" w:cs="Arial"/>
          <w:b/>
          <w:bCs/>
          <w:sz w:val="22"/>
        </w:rPr>
      </w:pPr>
    </w:p>
    <w:p w14:paraId="74884742" w14:textId="77777777" w:rsidR="004E406E" w:rsidRPr="0081560D" w:rsidRDefault="004E406E" w:rsidP="004E406E">
      <w:pPr>
        <w:spacing w:line="276" w:lineRule="auto"/>
        <w:ind w:right="49"/>
        <w:contextualSpacing/>
        <w:jc w:val="both"/>
        <w:rPr>
          <w:rFonts w:ascii="Arial" w:hAnsi="Arial" w:cs="Arial"/>
          <w:bCs/>
          <w:sz w:val="22"/>
        </w:rPr>
      </w:pPr>
      <w:r w:rsidRPr="0081560D">
        <w:rPr>
          <w:rFonts w:ascii="Arial" w:hAnsi="Arial" w:cs="Arial"/>
          <w:b/>
          <w:bCs/>
          <w:sz w:val="22"/>
        </w:rPr>
        <w:t xml:space="preserve">2.4. </w:t>
      </w:r>
      <w:bookmarkStart w:id="14" w:name="_Hlk121298068"/>
      <w:r w:rsidRPr="0081560D">
        <w:rPr>
          <w:rFonts w:ascii="Arial" w:hAnsi="Arial" w:cs="Arial"/>
          <w:b/>
          <w:bCs/>
          <w:sz w:val="22"/>
        </w:rPr>
        <w:t xml:space="preserve">Análisis frente al alcance de la regla de la </w:t>
      </w:r>
      <w:proofErr w:type="spellStart"/>
      <w:r w:rsidRPr="0081560D">
        <w:rPr>
          <w:rFonts w:ascii="Arial" w:hAnsi="Arial" w:cs="Arial"/>
          <w:b/>
          <w:bCs/>
          <w:sz w:val="22"/>
        </w:rPr>
        <w:t>subsanabilidad</w:t>
      </w:r>
      <w:proofErr w:type="spellEnd"/>
      <w:r w:rsidRPr="0081560D">
        <w:rPr>
          <w:rFonts w:ascii="Arial" w:hAnsi="Arial" w:cs="Arial"/>
          <w:b/>
          <w:bCs/>
          <w:sz w:val="22"/>
        </w:rPr>
        <w:t>, la figura de la aclaración de ofertas y el rechazo de ofertas respecto a la información solicitada para el cálculo de la Capacidad Residual</w:t>
      </w:r>
      <w:bookmarkEnd w:id="14"/>
    </w:p>
    <w:p w14:paraId="2B229B2D" w14:textId="77777777" w:rsidR="004E406E" w:rsidRPr="0081560D" w:rsidRDefault="004E406E" w:rsidP="004E406E">
      <w:pPr>
        <w:spacing w:line="276" w:lineRule="auto"/>
        <w:ind w:right="49"/>
        <w:contextualSpacing/>
        <w:jc w:val="both"/>
        <w:rPr>
          <w:rFonts w:ascii="Arial" w:hAnsi="Arial" w:cs="Arial"/>
          <w:b/>
          <w:bCs/>
          <w:sz w:val="22"/>
        </w:rPr>
      </w:pPr>
    </w:p>
    <w:p w14:paraId="69A7CBE9" w14:textId="77777777" w:rsidR="004E406E" w:rsidRPr="0081560D" w:rsidRDefault="004E406E" w:rsidP="0081560D">
      <w:pPr>
        <w:spacing w:after="120" w:line="276" w:lineRule="auto"/>
        <w:jc w:val="both"/>
        <w:rPr>
          <w:rFonts w:ascii="Arial" w:hAnsi="Arial" w:cs="Arial"/>
          <w:sz w:val="22"/>
        </w:rPr>
      </w:pPr>
      <w:r w:rsidRPr="0081560D">
        <w:rPr>
          <w:rFonts w:ascii="Arial" w:hAnsi="Arial" w:cs="Arial"/>
          <w:bCs/>
          <w:sz w:val="22"/>
        </w:rPr>
        <w:t xml:space="preserve">En el concepto CU — 060 de 16 de enero de 2020, se unificó el concepto de la Agencia Nacional de Contratación Pública – Colombia Compra Eficiente en torno al alcance de la regla de la </w:t>
      </w:r>
      <w:proofErr w:type="spellStart"/>
      <w:r w:rsidRPr="0081560D">
        <w:rPr>
          <w:rFonts w:ascii="Arial" w:hAnsi="Arial" w:cs="Arial"/>
          <w:bCs/>
          <w:sz w:val="22"/>
        </w:rPr>
        <w:t>subsanabilidad</w:t>
      </w:r>
      <w:proofErr w:type="spellEnd"/>
      <w:r w:rsidRPr="0081560D">
        <w:rPr>
          <w:rFonts w:ascii="Arial" w:hAnsi="Arial" w:cs="Arial"/>
          <w:bCs/>
          <w:sz w:val="22"/>
        </w:rPr>
        <w:t xml:space="preserve">,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w:t>
      </w:r>
      <w:r w:rsidRPr="0081560D">
        <w:rPr>
          <w:rFonts w:ascii="Arial" w:hAnsi="Arial" w:cs="Arial"/>
          <w:sz w:val="22"/>
        </w:rPr>
        <w:t>C-568 del 11 de octubre de 2021, C-728 del 25 de enero de 2022, C-140 del 28 de marzo de 2022, C-285 del 20 de mayo de 2022, C-416 del 30 de junio de 2022, C-431 del 7 de julio de 2022, C-470 del 25 de julio de 2022, C-505 de 8 de agosto de 2022 y C-681 de 19 de octubre de 2022.</w:t>
      </w:r>
    </w:p>
    <w:p w14:paraId="3B58F680" w14:textId="1F564E8C" w:rsidR="004E406E" w:rsidRPr="0081560D" w:rsidRDefault="004E406E" w:rsidP="0081560D">
      <w:pPr>
        <w:spacing w:after="120" w:line="276" w:lineRule="auto"/>
        <w:ind w:firstLine="708"/>
        <w:jc w:val="both"/>
        <w:rPr>
          <w:rFonts w:ascii="Arial" w:hAnsi="Arial" w:cs="Arial"/>
          <w:sz w:val="22"/>
          <w:lang w:val="es-ES_tradnl"/>
        </w:rPr>
      </w:pPr>
      <w:r w:rsidRPr="0081560D">
        <w:rPr>
          <w:rFonts w:ascii="Arial" w:hAnsi="Arial" w:cs="Arial"/>
          <w:sz w:val="22"/>
          <w:lang w:val="es-ES_tradnl"/>
        </w:rPr>
        <w:t xml:space="preserve">La referida postura indica que, por regla general, la falta de entrega y los defectos, en la acreditación de los requisitos habilitantes son aspectos subsanables. La excepción se encuentra en los casos, previstos en la ley, que limitan la </w:t>
      </w:r>
      <w:proofErr w:type="spellStart"/>
      <w:r w:rsidRPr="0081560D">
        <w:rPr>
          <w:rFonts w:ascii="Arial" w:hAnsi="Arial" w:cs="Arial"/>
          <w:sz w:val="22"/>
          <w:lang w:val="es-ES_tradnl"/>
        </w:rPr>
        <w:t>subsanabilidad</w:t>
      </w:r>
      <w:proofErr w:type="spellEnd"/>
      <w:r w:rsidRPr="0081560D">
        <w:rPr>
          <w:rFonts w:ascii="Arial" w:hAnsi="Arial" w:cs="Arial"/>
          <w:sz w:val="22"/>
          <w:lang w:val="es-ES_tradnl"/>
        </w:rPr>
        <w:t xml:space="preserve">, es decir, en la prohibición de permitir la entrega de la garantía de seriedad de la oferta que no fue aportada con la propuesta y </w:t>
      </w:r>
      <w:r w:rsidRPr="0081560D">
        <w:rPr>
          <w:rFonts w:ascii="Arial" w:hAnsi="Arial" w:cs="Arial"/>
          <w:sz w:val="22"/>
          <w:lang w:val="es-ES_tradnl"/>
        </w:rPr>
        <w:lastRenderedPageBreak/>
        <w:t>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w:t>
      </w:r>
      <w:r w:rsidR="00EB06FF" w:rsidRPr="0081560D">
        <w:rPr>
          <w:rFonts w:ascii="Arial" w:hAnsi="Arial" w:cs="Arial"/>
          <w:sz w:val="22"/>
          <w:lang w:val="es-ES_tradnl"/>
        </w:rPr>
        <w:t xml:space="preserve">, no obstante, en la actualidad, bajo </w:t>
      </w:r>
      <w:r w:rsidRPr="0081560D">
        <w:rPr>
          <w:rFonts w:ascii="Arial" w:hAnsi="Arial" w:cs="Arial"/>
          <w:sz w:val="22"/>
          <w:lang w:val="es-ES_tradnl"/>
        </w:rPr>
        <w:t xml:space="preserve">el numeral 15 del artículo 25 de la Ley 80 de 1993 ya no </w:t>
      </w:r>
      <w:r w:rsidR="00EB06FF" w:rsidRPr="0081560D">
        <w:rPr>
          <w:rFonts w:ascii="Arial" w:hAnsi="Arial" w:cs="Arial"/>
          <w:sz w:val="22"/>
          <w:lang w:val="es-ES_tradnl"/>
        </w:rPr>
        <w:t>es</w:t>
      </w:r>
      <w:r w:rsidRPr="0081560D">
        <w:rPr>
          <w:rFonts w:ascii="Arial" w:hAnsi="Arial" w:cs="Arial"/>
          <w:sz w:val="22"/>
          <w:lang w:val="es-ES_tradnl"/>
        </w:rPr>
        <w:t xml:space="preserve"> posible rechazar las ofertas por falta de requisitos o documentos que no fueran «</w:t>
      </w:r>
      <w:r w:rsidRPr="0081560D">
        <w:rPr>
          <w:rFonts w:ascii="Arial" w:hAnsi="Arial" w:cs="Arial"/>
          <w:i/>
          <w:iCs/>
          <w:sz w:val="22"/>
          <w:lang w:val="es-ES_tradnl"/>
        </w:rPr>
        <w:t>necesarios para la comparación de propuestas».</w:t>
      </w:r>
      <w:r w:rsidRPr="0081560D">
        <w:rPr>
          <w:rFonts w:ascii="Arial" w:hAnsi="Arial" w:cs="Arial"/>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304F43B1" w14:textId="72B41929" w:rsidR="004E406E" w:rsidRPr="0081560D" w:rsidRDefault="00EB06FF" w:rsidP="0081560D">
      <w:pPr>
        <w:spacing w:after="120" w:line="276" w:lineRule="auto"/>
        <w:jc w:val="both"/>
        <w:rPr>
          <w:rFonts w:ascii="Arial" w:hAnsi="Arial" w:cs="Arial"/>
          <w:sz w:val="22"/>
          <w:lang w:val="es-ES_tradnl"/>
        </w:rPr>
      </w:pPr>
      <w:r w:rsidRPr="0081560D">
        <w:rPr>
          <w:rFonts w:ascii="Arial" w:hAnsi="Arial" w:cs="Arial"/>
          <w:sz w:val="22"/>
          <w:lang w:val="es-ES_tradnl"/>
        </w:rPr>
        <w:tab/>
        <w:t xml:space="preserve">Posteriormente, con la expedición de la </w:t>
      </w:r>
      <w:r w:rsidR="004E406E" w:rsidRPr="0081560D">
        <w:rPr>
          <w:rFonts w:ascii="Arial" w:hAnsi="Arial" w:cs="Arial"/>
          <w:sz w:val="22"/>
          <w:lang w:val="es-ES_tradnl"/>
        </w:rPr>
        <w:t>Ley 1150 de 2007, que, en el parágrafo 1º del artículo 5, reite</w:t>
      </w:r>
      <w:r w:rsidRPr="0081560D">
        <w:rPr>
          <w:rFonts w:ascii="Arial" w:hAnsi="Arial" w:cs="Arial"/>
          <w:sz w:val="22"/>
          <w:lang w:val="es-ES_tradnl"/>
        </w:rPr>
        <w:t>ró</w:t>
      </w:r>
      <w:r w:rsidR="004E406E" w:rsidRPr="0081560D">
        <w:rPr>
          <w:rFonts w:ascii="Arial" w:hAnsi="Arial" w:cs="Arial"/>
          <w:sz w:val="22"/>
          <w:lang w:val="es-ES_tradnl"/>
        </w:rPr>
        <w:t xml:space="preserve"> lo que dispuso la Ley 80 de 1993, en el sentido de que los requisitos o documentos que no sean necesarios para la comparación de las ofertas pueden subsanarse, pero además introdujo otro criterio que le dio mayor claridad al tema: la asignación de puntaje. </w:t>
      </w:r>
    </w:p>
    <w:p w14:paraId="6BE4B5DD" w14:textId="77777777" w:rsidR="004E406E" w:rsidRPr="0081560D" w:rsidRDefault="004E406E" w:rsidP="0081560D">
      <w:pPr>
        <w:spacing w:after="120" w:line="276" w:lineRule="auto"/>
        <w:ind w:firstLine="709"/>
        <w:jc w:val="both"/>
        <w:rPr>
          <w:rFonts w:ascii="Arial" w:hAnsi="Arial" w:cs="Arial"/>
          <w:sz w:val="22"/>
          <w:lang w:val="es-ES_tradnl"/>
        </w:rPr>
      </w:pPr>
      <w:r w:rsidRPr="0081560D">
        <w:rPr>
          <w:rFonts w:ascii="Arial" w:hAnsi="Arial" w:cs="Arial"/>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0991D021" w14:textId="2F6D244D" w:rsidR="004E406E" w:rsidRPr="0081560D" w:rsidRDefault="004E406E" w:rsidP="0081560D">
      <w:pPr>
        <w:tabs>
          <w:tab w:val="left" w:pos="284"/>
        </w:tabs>
        <w:spacing w:after="120" w:line="276" w:lineRule="auto"/>
        <w:ind w:firstLine="709"/>
        <w:jc w:val="both"/>
        <w:rPr>
          <w:rFonts w:ascii="Arial" w:hAnsi="Arial" w:cs="Arial"/>
          <w:sz w:val="22"/>
          <w:lang w:val="es-ES_tradnl"/>
        </w:rPr>
      </w:pPr>
      <w:r w:rsidRPr="0081560D">
        <w:rPr>
          <w:rFonts w:ascii="Arial" w:hAnsi="Arial" w:cs="Arial"/>
          <w:sz w:val="22"/>
          <w:lang w:val="es-ES_tradn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Esa interpretación fue compartida por la </w:t>
      </w:r>
      <w:r w:rsidRPr="0081560D">
        <w:rPr>
          <w:rFonts w:ascii="Arial" w:eastAsia="Times New Roman" w:hAnsi="Arial" w:cs="Arial"/>
          <w:sz w:val="22"/>
          <w:lang w:val="es-ES_tradnl" w:eastAsia="es-CO"/>
        </w:rPr>
        <w:t>Agencia Nacional de Contratación Pública – Colombia Compra Eficiente</w:t>
      </w:r>
      <w:r w:rsidRPr="0081560D">
        <w:rPr>
          <w:rFonts w:ascii="Arial" w:hAnsi="Arial" w:cs="Arial"/>
          <w:sz w:val="22"/>
          <w:lang w:val="es-ES_tradnl"/>
        </w:rPr>
        <w:t xml:space="preserve">, pues en la Circular Externa Única se precisó </w:t>
      </w:r>
      <w:r w:rsidR="00EB06FF" w:rsidRPr="0081560D">
        <w:rPr>
          <w:rFonts w:ascii="Arial" w:hAnsi="Arial" w:cs="Arial"/>
          <w:sz w:val="22"/>
          <w:lang w:val="es-ES_tradnl"/>
        </w:rPr>
        <w:t>que,</w:t>
      </w:r>
      <w:r w:rsidRPr="0081560D">
        <w:rPr>
          <w:rFonts w:ascii="Arial" w:hAnsi="Arial" w:cs="Arial"/>
          <w:sz w:val="22"/>
          <w:lang w:val="es-ES_tradnl"/>
        </w:rPr>
        <w:t xml:space="preserve"> si durante un Proceso de Contratación hay proponentes que no acreditaron en sus ofertas requisitos que no afectan la asignación de puntaje o la comparación de </w:t>
      </w:r>
      <w:r w:rsidR="00EB06FF" w:rsidRPr="0081560D">
        <w:rPr>
          <w:rFonts w:ascii="Arial" w:hAnsi="Arial" w:cs="Arial"/>
          <w:sz w:val="22"/>
          <w:lang w:val="es-ES_tradnl"/>
        </w:rPr>
        <w:t>estas</w:t>
      </w:r>
      <w:r w:rsidRPr="0081560D">
        <w:rPr>
          <w:rFonts w:ascii="Arial" w:hAnsi="Arial" w:cs="Arial"/>
          <w:sz w:val="22"/>
          <w:lang w:val="es-ES_tradnl"/>
        </w:rPr>
        <w:t>, la Entidad Estatal deberá indicarlo en el informe de evaluación y advertir que la correspondiente oferta puede ser subsanada.</w:t>
      </w:r>
    </w:p>
    <w:p w14:paraId="39EA3F81" w14:textId="74CB3FB2" w:rsidR="004E406E" w:rsidRPr="0081560D" w:rsidRDefault="00EB06FF" w:rsidP="0081560D">
      <w:pPr>
        <w:tabs>
          <w:tab w:val="left" w:pos="284"/>
        </w:tabs>
        <w:spacing w:line="276" w:lineRule="auto"/>
        <w:ind w:firstLine="709"/>
        <w:contextualSpacing/>
        <w:jc w:val="both"/>
        <w:rPr>
          <w:rFonts w:ascii="Arial" w:eastAsia="Times New Roman" w:hAnsi="Arial" w:cs="Arial"/>
          <w:sz w:val="22"/>
          <w:lang w:val="es-ES_tradnl" w:eastAsia="es-CO"/>
        </w:rPr>
      </w:pPr>
      <w:r w:rsidRPr="0081560D">
        <w:rPr>
          <w:rFonts w:ascii="Arial" w:eastAsia="Times New Roman" w:hAnsi="Arial" w:cs="Arial"/>
          <w:sz w:val="22"/>
          <w:lang w:val="es-ES_tradnl" w:eastAsia="es-CO"/>
        </w:rPr>
        <w:t>Sin embargo, con la</w:t>
      </w:r>
      <w:r w:rsidR="004E406E" w:rsidRPr="0081560D">
        <w:rPr>
          <w:rFonts w:ascii="Arial" w:eastAsia="Times New Roman" w:hAnsi="Arial" w:cs="Arial"/>
          <w:sz w:val="22"/>
          <w:lang w:val="es-ES_tradnl" w:eastAsia="es-CO"/>
        </w:rPr>
        <w:t xml:space="preserve"> exp</w:t>
      </w:r>
      <w:r w:rsidRPr="0081560D">
        <w:rPr>
          <w:rFonts w:ascii="Arial" w:eastAsia="Times New Roman" w:hAnsi="Arial" w:cs="Arial"/>
          <w:sz w:val="22"/>
          <w:lang w:val="es-ES_tradnl" w:eastAsia="es-CO"/>
        </w:rPr>
        <w:t>edición de</w:t>
      </w:r>
      <w:r w:rsidR="004E406E" w:rsidRPr="0081560D">
        <w:rPr>
          <w:rFonts w:ascii="Arial" w:eastAsia="Times New Roman" w:hAnsi="Arial" w:cs="Arial"/>
          <w:sz w:val="22"/>
          <w:lang w:val="es-ES_tradnl" w:eastAsia="es-CO"/>
        </w:rPr>
        <w:t xml:space="preserve"> la Ley 1882 de 2018, con la finalidad de introducir cambios y ajustes para fortalecer la contratación pública</w:t>
      </w:r>
      <w:r w:rsidRPr="0081560D">
        <w:rPr>
          <w:rFonts w:ascii="Arial" w:eastAsia="Times New Roman" w:hAnsi="Arial" w:cs="Arial"/>
          <w:sz w:val="22"/>
          <w:lang w:val="es-ES_tradnl" w:eastAsia="es-CO"/>
        </w:rPr>
        <w:t xml:space="preserve">, su </w:t>
      </w:r>
      <w:r w:rsidR="004E406E" w:rsidRPr="0081560D">
        <w:rPr>
          <w:rFonts w:ascii="Arial" w:eastAsia="Times New Roman" w:hAnsi="Arial" w:cs="Arial"/>
          <w:sz w:val="22"/>
          <w:lang w:val="es-ES_tradnl" w:eastAsia="es-CO"/>
        </w:rPr>
        <w:t xml:space="preserve">artículo 5 modificó el parágrafo 1º </w:t>
      </w:r>
      <w:r w:rsidRPr="0081560D">
        <w:rPr>
          <w:rFonts w:ascii="Arial" w:eastAsia="Times New Roman" w:hAnsi="Arial" w:cs="Arial"/>
          <w:sz w:val="22"/>
          <w:lang w:val="es-ES_tradnl" w:eastAsia="es-CO"/>
        </w:rPr>
        <w:t>del artículo 5 de la Ley 1150 de 2007</w:t>
      </w:r>
      <w:r w:rsidR="0053051D" w:rsidRPr="0081560D">
        <w:rPr>
          <w:rFonts w:ascii="Arial" w:eastAsia="Times New Roman" w:hAnsi="Arial" w:cs="Arial"/>
          <w:sz w:val="22"/>
          <w:lang w:val="es-ES_tradnl" w:eastAsia="es-CO"/>
        </w:rPr>
        <w:t xml:space="preserve"> </w:t>
      </w:r>
      <w:r w:rsidR="004E406E" w:rsidRPr="0081560D">
        <w:rPr>
          <w:rFonts w:ascii="Arial" w:eastAsia="Times New Roman" w:hAnsi="Arial" w:cs="Arial"/>
          <w:sz w:val="22"/>
          <w:lang w:val="es-ES_tradnl" w:eastAsia="es-CO"/>
        </w:rPr>
        <w:t>y</w:t>
      </w:r>
      <w:r w:rsidR="0053051D" w:rsidRPr="0081560D">
        <w:rPr>
          <w:rFonts w:ascii="Arial" w:eastAsia="Times New Roman" w:hAnsi="Arial" w:cs="Arial"/>
          <w:sz w:val="22"/>
          <w:lang w:val="es-ES_tradnl" w:eastAsia="es-CO"/>
        </w:rPr>
        <w:t>,</w:t>
      </w:r>
      <w:r w:rsidR="004E406E" w:rsidRPr="0081560D">
        <w:rPr>
          <w:rFonts w:ascii="Arial" w:eastAsia="Times New Roman" w:hAnsi="Arial" w:cs="Arial"/>
          <w:sz w:val="22"/>
          <w:lang w:val="es-ES_tradnl" w:eastAsia="es-CO"/>
        </w:rPr>
        <w:t xml:space="preserve"> adicionó algunos otros, entre ellos el 4° del artículo 5 de la Ley 1150 de 2007: </w:t>
      </w:r>
    </w:p>
    <w:p w14:paraId="6A931692" w14:textId="77777777" w:rsidR="004E406E" w:rsidRPr="0081560D" w:rsidRDefault="004E406E" w:rsidP="004E406E">
      <w:pPr>
        <w:spacing w:line="276" w:lineRule="auto"/>
        <w:ind w:left="709" w:right="709"/>
        <w:contextualSpacing/>
        <w:jc w:val="both"/>
        <w:rPr>
          <w:rFonts w:ascii="Arial" w:eastAsia="Arial" w:hAnsi="Arial" w:cs="Arial"/>
          <w:sz w:val="22"/>
        </w:rPr>
      </w:pPr>
    </w:p>
    <w:p w14:paraId="27D5CFA8" w14:textId="77777777" w:rsidR="004E406E" w:rsidRPr="0081560D" w:rsidRDefault="004E406E" w:rsidP="0081560D">
      <w:pPr>
        <w:ind w:left="709" w:right="709"/>
        <w:contextualSpacing/>
        <w:jc w:val="both"/>
        <w:rPr>
          <w:rFonts w:ascii="Arial" w:eastAsia="Times New Roman" w:hAnsi="Arial" w:cs="Arial"/>
          <w:sz w:val="21"/>
          <w:szCs w:val="21"/>
          <w:lang w:val="es-ES_tradnl" w:eastAsia="es-CO"/>
        </w:rPr>
      </w:pPr>
      <w:r w:rsidRPr="0081560D">
        <w:rPr>
          <w:rFonts w:ascii="Arial" w:eastAsia="Arial" w:hAnsi="Arial" w:cs="Arial"/>
          <w:sz w:val="21"/>
          <w:szCs w:val="21"/>
        </w:rPr>
        <w:t>«</w:t>
      </w:r>
      <w:r w:rsidRPr="0081560D">
        <w:rPr>
          <w:rFonts w:ascii="Arial" w:eastAsia="Times New Roman" w:hAnsi="Arial" w:cs="Arial"/>
          <w:sz w:val="21"/>
          <w:szCs w:val="21"/>
          <w:lang w:val="es-ES_tradnl" w:eastAsia="es-CO"/>
        </w:rPr>
        <w:t xml:space="preserve">Artículo 5°. De la selección objetiva. </w:t>
      </w:r>
    </w:p>
    <w:p w14:paraId="508C3A18" w14:textId="77777777" w:rsidR="004E406E" w:rsidRPr="0081560D" w:rsidRDefault="004E406E" w:rsidP="0081560D">
      <w:pPr>
        <w:ind w:left="709" w:right="709"/>
        <w:contextualSpacing/>
        <w:jc w:val="both"/>
        <w:rPr>
          <w:rFonts w:ascii="Arial" w:eastAsia="Times New Roman" w:hAnsi="Arial" w:cs="Arial"/>
          <w:sz w:val="21"/>
          <w:szCs w:val="21"/>
          <w:lang w:val="es-ES_tradnl" w:eastAsia="es-CO"/>
        </w:rPr>
      </w:pPr>
    </w:p>
    <w:p w14:paraId="2E9D914C" w14:textId="77777777" w:rsidR="004E406E" w:rsidRPr="0081560D" w:rsidRDefault="004E406E" w:rsidP="0081560D">
      <w:pPr>
        <w:ind w:left="709" w:right="709"/>
        <w:contextualSpacing/>
        <w:jc w:val="both"/>
        <w:rPr>
          <w:rFonts w:ascii="Arial" w:eastAsia="Times New Roman" w:hAnsi="Arial" w:cs="Arial"/>
          <w:sz w:val="21"/>
          <w:szCs w:val="21"/>
          <w:lang w:val="es-ES_tradnl" w:eastAsia="es-CO"/>
        </w:rPr>
      </w:pPr>
      <w:r w:rsidRPr="0081560D">
        <w:rPr>
          <w:rFonts w:ascii="Arial" w:eastAsia="Times New Roman" w:hAnsi="Arial" w:cs="Arial"/>
          <w:sz w:val="21"/>
          <w:szCs w:val="21"/>
          <w:lang w:val="es-ES_tradnl" w:eastAsia="es-CO"/>
        </w:rPr>
        <w:t>[... ]</w:t>
      </w:r>
    </w:p>
    <w:p w14:paraId="6DDBDDA2" w14:textId="77777777" w:rsidR="004E406E" w:rsidRPr="0081560D" w:rsidRDefault="004E406E" w:rsidP="0081560D">
      <w:pPr>
        <w:ind w:left="709" w:right="709"/>
        <w:contextualSpacing/>
        <w:jc w:val="both"/>
        <w:rPr>
          <w:rFonts w:ascii="Arial" w:eastAsia="Times New Roman" w:hAnsi="Arial" w:cs="Arial"/>
          <w:sz w:val="21"/>
          <w:szCs w:val="21"/>
          <w:lang w:val="es-ES_tradnl" w:eastAsia="es-CO"/>
        </w:rPr>
      </w:pPr>
    </w:p>
    <w:p w14:paraId="26D28591" w14:textId="77777777" w:rsidR="004E406E" w:rsidRPr="0081560D" w:rsidRDefault="004E406E" w:rsidP="0081560D">
      <w:pPr>
        <w:ind w:left="709" w:right="709"/>
        <w:contextualSpacing/>
        <w:jc w:val="both"/>
        <w:rPr>
          <w:rFonts w:ascii="Arial" w:eastAsia="Times New Roman" w:hAnsi="Arial" w:cs="Arial"/>
          <w:sz w:val="21"/>
          <w:szCs w:val="21"/>
          <w:lang w:val="es-ES_tradnl" w:eastAsia="es-CO"/>
        </w:rPr>
      </w:pPr>
      <w:r w:rsidRPr="0081560D">
        <w:rPr>
          <w:rFonts w:ascii="Arial" w:eastAsia="Times New Roman" w:hAnsi="Arial" w:cs="Arial"/>
          <w:sz w:val="21"/>
          <w:szCs w:val="21"/>
          <w:lang w:val="es-ES_tradnl" w:eastAsia="es-CO"/>
        </w:rPr>
        <w:lastRenderedPageBreak/>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81560D">
        <w:rPr>
          <w:rFonts w:ascii="Arial" w:eastAsia="Times New Roman" w:hAnsi="Arial" w:cs="Arial"/>
          <w:sz w:val="21"/>
          <w:szCs w:val="21"/>
          <w:lang w:val="es-ES_tradnl" w:eastAsia="es-CO"/>
        </w:rPr>
        <w:t>puntaje,</w:t>
      </w:r>
      <w:proofErr w:type="gramEnd"/>
      <w:r w:rsidRPr="0081560D">
        <w:rPr>
          <w:rFonts w:ascii="Arial" w:eastAsia="Times New Roman" w:hAnsi="Arial" w:cs="Arial"/>
          <w:sz w:val="21"/>
          <w:szCs w:val="21"/>
          <w:lang w:val="es-ES_tradnl" w:eastAsia="es-CO"/>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755ACCEF" w14:textId="77777777" w:rsidR="004E406E" w:rsidRPr="0081560D" w:rsidRDefault="004E406E" w:rsidP="0081560D">
      <w:pPr>
        <w:spacing w:line="276" w:lineRule="auto"/>
        <w:ind w:left="709" w:right="709"/>
        <w:contextualSpacing/>
        <w:jc w:val="both"/>
        <w:rPr>
          <w:rFonts w:ascii="Arial" w:eastAsia="Times New Roman" w:hAnsi="Arial" w:cs="Arial"/>
          <w:sz w:val="22"/>
          <w:lang w:val="es-ES_tradnl" w:eastAsia="es-CO"/>
        </w:rPr>
      </w:pPr>
    </w:p>
    <w:p w14:paraId="3774F50B" w14:textId="77777777" w:rsidR="004E406E" w:rsidRPr="0081560D" w:rsidRDefault="004E406E" w:rsidP="0081560D">
      <w:pPr>
        <w:spacing w:after="120" w:line="276" w:lineRule="auto"/>
        <w:ind w:firstLine="709"/>
        <w:jc w:val="both"/>
        <w:rPr>
          <w:rFonts w:ascii="Arial" w:hAnsi="Arial" w:cs="Arial"/>
          <w:sz w:val="22"/>
          <w:lang w:val="es-ES_tradnl"/>
        </w:rPr>
      </w:pPr>
      <w:r w:rsidRPr="0081560D">
        <w:rPr>
          <w:rFonts w:ascii="Arial" w:hAnsi="Arial" w:cs="Arial"/>
          <w:sz w:val="22"/>
          <w:lang w:val="es-ES_tradnl"/>
        </w:rPr>
        <w:t xml:space="preserve">Como puede observarse, la Ley 1882 de 2018: i) mantiene el criterio de la Ley 80 de 1993, relativo a que todo lo que no sea necesario para la comparación de propuestas no es título suficiente para su rechazo; </w:t>
      </w:r>
      <w:proofErr w:type="spellStart"/>
      <w:r w:rsidRPr="0081560D">
        <w:rPr>
          <w:rFonts w:ascii="Arial" w:hAnsi="Arial" w:cs="Arial"/>
          <w:sz w:val="22"/>
          <w:lang w:val="es-ES_tradnl"/>
        </w:rPr>
        <w:t>ii</w:t>
      </w:r>
      <w:proofErr w:type="spellEnd"/>
      <w:r w:rsidRPr="0081560D">
        <w:rPr>
          <w:rFonts w:ascii="Arial" w:hAnsi="Arial" w:cs="Arial"/>
          <w:sz w:val="22"/>
          <w:lang w:val="es-ES_tradnl"/>
        </w:rPr>
        <w:t xml:space="preserve">) mantiene el criterio aclaratorio de la Ley 1150 de 2007, según el cual todo lo que no afecte la asignación de puntaje puede subsanarse; y, </w:t>
      </w:r>
      <w:proofErr w:type="spellStart"/>
      <w:r w:rsidRPr="0081560D">
        <w:rPr>
          <w:rFonts w:ascii="Arial" w:hAnsi="Arial" w:cs="Arial"/>
          <w:sz w:val="22"/>
          <w:lang w:val="es-ES_tradnl"/>
        </w:rPr>
        <w:t>iii</w:t>
      </w:r>
      <w:proofErr w:type="spellEnd"/>
      <w:r w:rsidRPr="0081560D">
        <w:rPr>
          <w:rFonts w:ascii="Arial" w:hAnsi="Arial" w:cs="Arial"/>
          <w:sz w:val="22"/>
          <w:lang w:val="es-ES_tradnl"/>
        </w:rPr>
        <w:t xml:space="preserve">) introduce modificaciones en relación con algunos aspectos que se analizarán a continuación. </w:t>
      </w:r>
    </w:p>
    <w:p w14:paraId="1CE98987" w14:textId="77777777" w:rsidR="004E406E" w:rsidRPr="0081560D" w:rsidRDefault="004E406E" w:rsidP="0081560D">
      <w:pPr>
        <w:spacing w:after="120" w:line="276" w:lineRule="auto"/>
        <w:ind w:right="51" w:firstLine="709"/>
        <w:jc w:val="both"/>
        <w:rPr>
          <w:rFonts w:ascii="Arial" w:hAnsi="Arial" w:cs="Arial"/>
          <w:sz w:val="22"/>
          <w:lang w:val="es-ES_tradnl"/>
        </w:rPr>
      </w:pPr>
      <w:r w:rsidRPr="0081560D">
        <w:rPr>
          <w:rFonts w:ascii="Arial" w:hAnsi="Arial" w:cs="Arial"/>
          <w:i/>
          <w:iCs/>
          <w:sz w:val="22"/>
          <w:lang w:val="es-ES_tradnl"/>
        </w:rPr>
        <w:t>El primero</w:t>
      </w:r>
      <w:r w:rsidRPr="0081560D">
        <w:rPr>
          <w:rFonts w:ascii="Arial" w:hAnsi="Arial" w:cs="Arial"/>
          <w:sz w:val="22"/>
          <w:lang w:val="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81560D">
        <w:rPr>
          <w:rFonts w:ascii="Arial" w:hAnsi="Arial" w:cs="Arial"/>
          <w:sz w:val="22"/>
          <w:vertAlign w:val="superscript"/>
          <w:lang w:val="es-ES_tradnl"/>
        </w:rPr>
        <w:footnoteReference w:id="9"/>
      </w:r>
      <w:r w:rsidRPr="0081560D">
        <w:rPr>
          <w:rFonts w:ascii="Arial" w:hAnsi="Arial" w:cs="Arial"/>
          <w:sz w:val="22"/>
          <w:lang w:val="es-ES_tradnl"/>
        </w:rPr>
        <w:t>;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81560D">
        <w:rPr>
          <w:rFonts w:ascii="Arial" w:hAnsi="Arial" w:cs="Arial"/>
          <w:sz w:val="22"/>
          <w:vertAlign w:val="superscript"/>
          <w:lang w:val="es-ES_tradnl"/>
        </w:rPr>
        <w:footnoteReference w:id="10"/>
      </w:r>
      <w:r w:rsidRPr="0081560D">
        <w:rPr>
          <w:rFonts w:ascii="Arial" w:hAnsi="Arial" w:cs="Arial"/>
          <w:sz w:val="22"/>
          <w:lang w:val="es-ES_tradnl"/>
        </w:rPr>
        <w:t xml:space="preserve">. </w:t>
      </w:r>
    </w:p>
    <w:p w14:paraId="464DD46A" w14:textId="77777777" w:rsidR="004E406E" w:rsidRPr="0081560D" w:rsidRDefault="004E406E" w:rsidP="0081560D">
      <w:pPr>
        <w:spacing w:after="120" w:line="276" w:lineRule="auto"/>
        <w:ind w:firstLine="709"/>
        <w:jc w:val="both"/>
        <w:rPr>
          <w:rFonts w:ascii="Arial" w:hAnsi="Arial" w:cs="Arial"/>
          <w:sz w:val="22"/>
          <w:lang w:val="es-ES_tradnl"/>
        </w:rPr>
      </w:pPr>
      <w:r w:rsidRPr="0081560D">
        <w:rPr>
          <w:rFonts w:ascii="Arial" w:hAnsi="Arial" w:cs="Arial"/>
          <w:sz w:val="22"/>
          <w:lang w:val="es-ES_tradnl"/>
        </w:rPr>
        <w:lastRenderedPageBreak/>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81560D">
        <w:rPr>
          <w:rFonts w:ascii="Arial" w:hAnsi="Arial" w:cs="Arial"/>
          <w:i/>
          <w:iCs/>
          <w:sz w:val="22"/>
          <w:lang w:val="es-ES_tradnl"/>
        </w:rPr>
        <w:t>deberán ser solicitados por las entidades estatales y deberán ser entregados por los proponentes hasta el término de traslado del informe de evaluación que corresponda a cada modalidad de selección».</w:t>
      </w:r>
      <w:r w:rsidRPr="0081560D">
        <w:rPr>
          <w:rFonts w:ascii="Arial" w:hAnsi="Arial" w:cs="Arial"/>
          <w:sz w:val="22"/>
          <w:lang w:val="es-ES_tradnl"/>
        </w:rPr>
        <w:t xml:space="preserve"> </w:t>
      </w:r>
    </w:p>
    <w:p w14:paraId="32DAAE37" w14:textId="77777777" w:rsidR="004E406E" w:rsidRPr="0081560D" w:rsidRDefault="004E406E" w:rsidP="0081560D">
      <w:pPr>
        <w:spacing w:after="120" w:line="276" w:lineRule="auto"/>
        <w:ind w:firstLine="709"/>
        <w:jc w:val="both"/>
        <w:rPr>
          <w:rFonts w:ascii="Arial" w:hAnsi="Arial" w:cs="Arial"/>
          <w:sz w:val="22"/>
          <w:lang w:val="es-ES_tradnl"/>
        </w:rPr>
      </w:pPr>
      <w:r w:rsidRPr="0081560D">
        <w:rPr>
          <w:rFonts w:ascii="Arial" w:hAnsi="Arial" w:cs="Arial"/>
          <w:sz w:val="22"/>
          <w:lang w:val="es-ES_tradnl"/>
        </w:rPr>
        <w:t xml:space="preserve">No obstante, de la lectura de este aparte podrían, en la práctica, darse dos interpretaciones que dan lugar a dos formas de proceder en los procesos de selección, en lo que a la </w:t>
      </w:r>
      <w:proofErr w:type="spellStart"/>
      <w:r w:rsidRPr="0081560D">
        <w:rPr>
          <w:rFonts w:ascii="Arial" w:hAnsi="Arial" w:cs="Arial"/>
          <w:sz w:val="22"/>
          <w:lang w:val="es-ES_tradnl"/>
        </w:rPr>
        <w:t>subsanabilidad</w:t>
      </w:r>
      <w:proofErr w:type="spellEnd"/>
      <w:r w:rsidRPr="0081560D">
        <w:rPr>
          <w:rFonts w:ascii="Arial" w:hAnsi="Arial" w:cs="Arial"/>
          <w:sz w:val="22"/>
          <w:lang w:val="es-ES_tradnl"/>
        </w:rPr>
        <w:t xml:space="preserve">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81560D">
        <w:rPr>
          <w:rFonts w:ascii="Arial" w:hAnsi="Arial" w:cs="Arial"/>
          <w:i/>
          <w:iCs/>
          <w:sz w:val="22"/>
          <w:lang w:val="es-ES_tradnl"/>
        </w:rPr>
        <w:t>límite</w:t>
      </w:r>
      <w:r w:rsidRPr="0081560D">
        <w:rPr>
          <w:rFonts w:ascii="Arial" w:hAnsi="Arial" w:cs="Arial"/>
          <w:sz w:val="22"/>
          <w:lang w:val="es-ES_tradnl"/>
        </w:rPr>
        <w:t xml:space="preserve"> para la subsanación de ofertas, pero no el único momento para hacerlo. </w:t>
      </w:r>
    </w:p>
    <w:p w14:paraId="0A5A474E" w14:textId="77777777" w:rsidR="004E406E" w:rsidRPr="0081560D" w:rsidRDefault="004E406E" w:rsidP="0081560D">
      <w:pPr>
        <w:spacing w:after="120" w:line="276" w:lineRule="auto"/>
        <w:ind w:firstLine="709"/>
        <w:jc w:val="both"/>
        <w:rPr>
          <w:rFonts w:ascii="Arial" w:hAnsi="Arial" w:cs="Arial"/>
          <w:sz w:val="22"/>
          <w:lang w:val="es-ES_tradnl"/>
        </w:rPr>
      </w:pPr>
      <w:r w:rsidRPr="0081560D">
        <w:rPr>
          <w:rFonts w:ascii="Arial" w:hAnsi="Arial" w:cs="Arial"/>
          <w:sz w:val="22"/>
          <w:lang w:val="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446E2E36" w14:textId="34E4F2B0" w:rsidR="004E406E" w:rsidRPr="0081560D" w:rsidRDefault="004E406E" w:rsidP="0081560D">
      <w:pPr>
        <w:spacing w:after="120" w:line="276" w:lineRule="auto"/>
        <w:ind w:firstLine="709"/>
        <w:jc w:val="both"/>
        <w:rPr>
          <w:rFonts w:ascii="Arial" w:hAnsi="Arial" w:cs="Arial"/>
          <w:sz w:val="22"/>
          <w:lang w:val="es-ES_tradnl"/>
        </w:rPr>
      </w:pPr>
      <w:r w:rsidRPr="0081560D">
        <w:rPr>
          <w:rFonts w:ascii="Arial" w:hAnsi="Arial" w:cs="Arial"/>
          <w:sz w:val="22"/>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r w:rsidR="0053051D" w:rsidRPr="0081560D">
        <w:rPr>
          <w:rFonts w:ascii="Arial" w:hAnsi="Arial" w:cs="Arial"/>
          <w:sz w:val="22"/>
          <w:lang w:val="es-ES_tradnl"/>
        </w:rPr>
        <w:t>.</w:t>
      </w:r>
    </w:p>
    <w:p w14:paraId="51EFB445" w14:textId="77777777" w:rsidR="004E406E" w:rsidRPr="0081560D" w:rsidRDefault="004E406E" w:rsidP="0081560D">
      <w:pPr>
        <w:spacing w:after="120" w:line="276" w:lineRule="auto"/>
        <w:ind w:firstLine="709"/>
        <w:jc w:val="both"/>
        <w:rPr>
          <w:rFonts w:ascii="Arial" w:hAnsi="Arial" w:cs="Arial"/>
          <w:sz w:val="22"/>
          <w:lang w:val="es-ES_tradnl"/>
        </w:rPr>
      </w:pPr>
      <w:r w:rsidRPr="0081560D">
        <w:rPr>
          <w:rFonts w:ascii="Arial" w:hAnsi="Arial" w:cs="Arial"/>
          <w:sz w:val="22"/>
          <w:lang w:val="es-ES_tradnl"/>
        </w:rPr>
        <w:t xml:space="preserve">El segundo cambio importante de la Ley 1882 de 2018 fue la introducción de un criterio material, directamente relacionado con los aspectos subsanables: </w:t>
      </w:r>
      <w:r w:rsidRPr="0081560D">
        <w:rPr>
          <w:rFonts w:ascii="Arial" w:hAnsi="Arial" w:cs="Arial"/>
          <w:i/>
          <w:iCs/>
          <w:sz w:val="22"/>
          <w:lang w:val="es-ES_tradnl"/>
        </w:rPr>
        <w:t>«los proponentes no podrán acreditar circunstancias ocurridas con posterioridad al cierre del proceso».</w:t>
      </w:r>
      <w:r w:rsidRPr="0081560D">
        <w:rPr>
          <w:rFonts w:ascii="Arial" w:hAnsi="Arial" w:cs="Arial"/>
          <w:sz w:val="22"/>
          <w:lang w:val="es-ES_tradnl"/>
        </w:rPr>
        <w:t xml:space="preserve"> Lo anterior ofrece dos </w:t>
      </w:r>
      <w:r w:rsidRPr="0081560D">
        <w:rPr>
          <w:rFonts w:ascii="Arial" w:hAnsi="Arial" w:cs="Arial"/>
          <w:sz w:val="22"/>
          <w:lang w:val="es-ES_tradnl"/>
        </w:rPr>
        <w:lastRenderedPageBreak/>
        <w:t xml:space="preserve">aspectos que merecen clarificación; primero, qué debe entenderse por circunstancias ocurridas con posterioridad; y segundo, qué es el cierre del proceso. </w:t>
      </w:r>
    </w:p>
    <w:p w14:paraId="7BF4240A" w14:textId="77777777" w:rsidR="004E406E" w:rsidRPr="0081560D" w:rsidRDefault="004E406E" w:rsidP="0081560D">
      <w:pPr>
        <w:spacing w:after="120" w:line="276" w:lineRule="auto"/>
        <w:ind w:firstLine="709"/>
        <w:jc w:val="both"/>
        <w:rPr>
          <w:rFonts w:ascii="Arial" w:hAnsi="Arial" w:cs="Arial"/>
          <w:sz w:val="22"/>
          <w:lang w:val="es-ES_tradnl"/>
        </w:rPr>
      </w:pPr>
      <w:r w:rsidRPr="0081560D">
        <w:rPr>
          <w:rFonts w:ascii="Arial" w:hAnsi="Arial" w:cs="Arial"/>
          <w:sz w:val="22"/>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60177B8F" w14:textId="77777777" w:rsidR="004E406E" w:rsidRPr="0081560D" w:rsidRDefault="004E406E" w:rsidP="0081560D">
      <w:pPr>
        <w:spacing w:after="120" w:line="276" w:lineRule="auto"/>
        <w:ind w:firstLine="709"/>
        <w:jc w:val="both"/>
        <w:rPr>
          <w:rFonts w:ascii="Arial" w:hAnsi="Arial" w:cs="Arial"/>
          <w:sz w:val="22"/>
          <w:lang w:val="es-ES_tradnl"/>
        </w:rPr>
      </w:pPr>
      <w:r w:rsidRPr="0081560D">
        <w:rPr>
          <w:rFonts w:ascii="Arial" w:hAnsi="Arial" w:cs="Arial"/>
          <w:sz w:val="22"/>
          <w:lang w:val="es-ES_tradnl"/>
        </w:rPr>
        <w:t xml:space="preserve">Un mejor entendimiento del significado de la expresión </w:t>
      </w:r>
      <w:r w:rsidRPr="0081560D">
        <w:rPr>
          <w:rFonts w:ascii="Arial" w:hAnsi="Arial" w:cs="Arial"/>
          <w:i/>
          <w:iCs/>
          <w:sz w:val="22"/>
          <w:lang w:val="es-ES_tradnl"/>
        </w:rPr>
        <w:t>«circunstancias ocurridas con posterioridad al cierre del proceso»</w:t>
      </w:r>
      <w:r w:rsidRPr="0081560D">
        <w:rPr>
          <w:rFonts w:ascii="Arial" w:hAnsi="Arial" w:cs="Arial"/>
          <w:sz w:val="22"/>
          <w:lang w:val="es-ES_tradnl"/>
        </w:rPr>
        <w:t xml:space="preserve"> implica distinguir entre la prueba de un hecho y el hecho mismo. En el caso de la </w:t>
      </w:r>
      <w:proofErr w:type="spellStart"/>
      <w:r w:rsidRPr="0081560D">
        <w:rPr>
          <w:rFonts w:ascii="Arial" w:hAnsi="Arial" w:cs="Arial"/>
          <w:sz w:val="22"/>
          <w:lang w:val="es-ES_tradnl"/>
        </w:rPr>
        <w:t>subsanabilidad</w:t>
      </w:r>
      <w:proofErr w:type="spellEnd"/>
      <w:r w:rsidRPr="0081560D">
        <w:rPr>
          <w:rFonts w:ascii="Arial" w:hAnsi="Arial" w:cs="Arial"/>
          <w:sz w:val="22"/>
          <w:lang w:val="es-ES_tradnl"/>
        </w:rPr>
        <w:t xml:space="preserve">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81560D">
        <w:rPr>
          <w:rFonts w:ascii="Arial" w:hAnsi="Arial" w:cs="Arial"/>
          <w:sz w:val="22"/>
          <w:vertAlign w:val="superscript"/>
          <w:lang w:val="es-ES_tradnl"/>
        </w:rPr>
        <w:footnoteReference w:id="11"/>
      </w:r>
      <w:r w:rsidRPr="0081560D">
        <w:rPr>
          <w:rFonts w:ascii="Arial" w:hAnsi="Arial" w:cs="Arial"/>
          <w:sz w:val="22"/>
          <w:lang w:val="es-ES_tradnl"/>
        </w:rPr>
        <w:t xml:space="preserve">. </w:t>
      </w:r>
    </w:p>
    <w:p w14:paraId="7FEBF463" w14:textId="77777777" w:rsidR="004E406E" w:rsidRPr="0081560D" w:rsidRDefault="004E406E" w:rsidP="0081560D">
      <w:pPr>
        <w:spacing w:after="120" w:line="276" w:lineRule="auto"/>
        <w:ind w:firstLine="709"/>
        <w:jc w:val="both"/>
        <w:rPr>
          <w:rFonts w:ascii="Arial" w:hAnsi="Arial" w:cs="Arial"/>
          <w:sz w:val="22"/>
          <w:lang w:val="es-ES_tradnl"/>
        </w:rPr>
      </w:pPr>
      <w:r w:rsidRPr="0081560D">
        <w:rPr>
          <w:rFonts w:ascii="Arial" w:hAnsi="Arial" w:cs="Arial"/>
          <w:sz w:val="22"/>
          <w:lang w:val="es-ES_tradn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w:t>
      </w:r>
      <w:proofErr w:type="spellStart"/>
      <w:r w:rsidRPr="0081560D">
        <w:rPr>
          <w:rFonts w:ascii="Arial" w:hAnsi="Arial" w:cs="Arial"/>
          <w:sz w:val="22"/>
          <w:lang w:val="es-ES_tradnl"/>
        </w:rPr>
        <w:t>ii</w:t>
      </w:r>
      <w:proofErr w:type="spellEnd"/>
      <w:r w:rsidRPr="0081560D">
        <w:rPr>
          <w:rFonts w:ascii="Arial" w:hAnsi="Arial" w:cs="Arial"/>
          <w:sz w:val="22"/>
          <w:lang w:val="es-ES_tradnl"/>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81560D">
        <w:rPr>
          <w:rFonts w:ascii="Arial" w:hAnsi="Arial" w:cs="Arial"/>
          <w:sz w:val="22"/>
          <w:vertAlign w:val="superscript"/>
          <w:lang w:val="es-ES_tradnl"/>
        </w:rPr>
        <w:footnoteReference w:id="12"/>
      </w:r>
      <w:r w:rsidRPr="0081560D">
        <w:rPr>
          <w:rFonts w:ascii="Arial" w:hAnsi="Arial" w:cs="Arial"/>
          <w:sz w:val="22"/>
          <w:lang w:val="es-ES_tradnl"/>
        </w:rPr>
        <w:t xml:space="preserve">; </w:t>
      </w:r>
      <w:proofErr w:type="spellStart"/>
      <w:r w:rsidRPr="0081560D">
        <w:rPr>
          <w:rFonts w:ascii="Arial" w:hAnsi="Arial" w:cs="Arial"/>
          <w:sz w:val="22"/>
          <w:lang w:val="es-ES_tradnl"/>
        </w:rPr>
        <w:t>iii</w:t>
      </w:r>
      <w:proofErr w:type="spellEnd"/>
      <w:r w:rsidRPr="0081560D">
        <w:rPr>
          <w:rFonts w:ascii="Arial" w:hAnsi="Arial" w:cs="Arial"/>
          <w:sz w:val="22"/>
          <w:lang w:val="es-ES_tradnl"/>
        </w:rPr>
        <w:t xml:space="preserve">) si un oferente no anexó el Certificado de existencia y representación legal, el documento aportado con </w:t>
      </w:r>
      <w:r w:rsidRPr="0081560D">
        <w:rPr>
          <w:rFonts w:ascii="Arial" w:hAnsi="Arial" w:cs="Arial"/>
          <w:sz w:val="22"/>
          <w:lang w:val="es-ES_tradnl"/>
        </w:rPr>
        <w:lastRenderedPageBreak/>
        <w:t>posterioridad debe dar cuenta de que la sociedad existía antes del cierre del proceso</w:t>
      </w:r>
      <w:r w:rsidRPr="0081560D">
        <w:rPr>
          <w:rFonts w:ascii="Arial" w:hAnsi="Arial" w:cs="Arial"/>
          <w:sz w:val="22"/>
          <w:vertAlign w:val="superscript"/>
          <w:lang w:val="es-ES_tradnl"/>
        </w:rPr>
        <w:footnoteReference w:id="13"/>
      </w:r>
      <w:r w:rsidRPr="0081560D">
        <w:rPr>
          <w:rFonts w:ascii="Arial" w:hAnsi="Arial" w:cs="Arial"/>
          <w:sz w:val="22"/>
          <w:lang w:val="es-ES_tradnl"/>
        </w:rPr>
        <w:t xml:space="preserve">; </w:t>
      </w:r>
      <w:proofErr w:type="spellStart"/>
      <w:r w:rsidRPr="0081560D">
        <w:rPr>
          <w:rFonts w:ascii="Arial" w:hAnsi="Arial" w:cs="Arial"/>
          <w:sz w:val="22"/>
          <w:lang w:val="es-ES_tradnl"/>
        </w:rPr>
        <w:t>iv</w:t>
      </w:r>
      <w:proofErr w:type="spellEnd"/>
      <w:r w:rsidRPr="0081560D">
        <w:rPr>
          <w:rFonts w:ascii="Arial" w:hAnsi="Arial" w:cs="Arial"/>
          <w:sz w:val="22"/>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1A0B7932" w14:textId="77777777" w:rsidR="004E406E" w:rsidRPr="0081560D" w:rsidRDefault="004E406E" w:rsidP="0081560D">
      <w:pPr>
        <w:spacing w:after="120" w:line="276" w:lineRule="auto"/>
        <w:ind w:firstLine="709"/>
        <w:jc w:val="both"/>
        <w:rPr>
          <w:rFonts w:ascii="Arial" w:hAnsi="Arial" w:cs="Arial"/>
          <w:i/>
          <w:iCs/>
          <w:sz w:val="22"/>
          <w:lang w:val="es-ES_tradnl"/>
        </w:rPr>
      </w:pPr>
      <w:r w:rsidRPr="0081560D">
        <w:rPr>
          <w:rFonts w:ascii="Arial" w:hAnsi="Arial" w:cs="Arial"/>
          <w:sz w:val="22"/>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w:t>
      </w:r>
      <w:proofErr w:type="gramStart"/>
      <w:r w:rsidRPr="0081560D">
        <w:rPr>
          <w:rFonts w:ascii="Arial" w:hAnsi="Arial" w:cs="Arial"/>
          <w:sz w:val="22"/>
          <w:lang w:val="es-ES_tradnl"/>
        </w:rPr>
        <w:t>que</w:t>
      </w:r>
      <w:proofErr w:type="gramEnd"/>
      <w:r w:rsidRPr="0081560D">
        <w:rPr>
          <w:rFonts w:ascii="Arial" w:hAnsi="Arial" w:cs="Arial"/>
          <w:sz w:val="22"/>
          <w:lang w:val="es-ES_tradnl"/>
        </w:rPr>
        <w:t xml:space="preserve"> el Consejo de Estado sostiene que «</w:t>
      </w:r>
      <w:r w:rsidRPr="0081560D">
        <w:rPr>
          <w:rFonts w:ascii="Arial" w:hAnsi="Arial" w:cs="Arial"/>
          <w:i/>
          <w:iCs/>
          <w:sz w:val="22"/>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81560D">
        <w:rPr>
          <w:rFonts w:ascii="Arial" w:hAnsi="Arial" w:cs="Arial"/>
          <w:i/>
          <w:iCs/>
          <w:sz w:val="22"/>
          <w:vertAlign w:val="superscript"/>
          <w:lang w:val="es-ES_tradnl"/>
        </w:rPr>
        <w:footnoteReference w:id="14"/>
      </w:r>
      <w:r w:rsidRPr="0081560D">
        <w:rPr>
          <w:rFonts w:ascii="Arial" w:hAnsi="Arial" w:cs="Arial"/>
          <w:i/>
          <w:iCs/>
          <w:sz w:val="22"/>
          <w:lang w:val="es-ES_tradnl"/>
        </w:rPr>
        <w:t xml:space="preserve">. </w:t>
      </w:r>
    </w:p>
    <w:p w14:paraId="45353720" w14:textId="77777777" w:rsidR="004E406E" w:rsidRPr="0081560D" w:rsidRDefault="004E406E" w:rsidP="0081560D">
      <w:pPr>
        <w:spacing w:after="120" w:line="276" w:lineRule="auto"/>
        <w:ind w:firstLine="709"/>
        <w:jc w:val="both"/>
        <w:rPr>
          <w:rFonts w:ascii="Arial" w:hAnsi="Arial" w:cs="Arial"/>
          <w:sz w:val="22"/>
          <w:lang w:val="es-ES_tradnl"/>
        </w:rPr>
      </w:pPr>
      <w:r w:rsidRPr="0081560D">
        <w:rPr>
          <w:rFonts w:ascii="Arial" w:hAnsi="Arial" w:cs="Arial"/>
          <w:sz w:val="22"/>
          <w:lang w:val="es-ES_tradnl"/>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259096CD" w14:textId="77777777" w:rsidR="004E406E" w:rsidRPr="0081560D" w:rsidRDefault="004E406E" w:rsidP="0081560D">
      <w:pPr>
        <w:spacing w:after="120" w:line="276" w:lineRule="auto"/>
        <w:ind w:firstLine="709"/>
        <w:jc w:val="both"/>
        <w:rPr>
          <w:rFonts w:ascii="Arial" w:hAnsi="Arial" w:cs="Arial"/>
          <w:bCs/>
          <w:sz w:val="22"/>
        </w:rPr>
      </w:pPr>
      <w:r w:rsidRPr="0081560D">
        <w:rPr>
          <w:rFonts w:ascii="Arial" w:hAnsi="Arial" w:cs="Arial"/>
          <w:bCs/>
          <w:sz w:val="22"/>
        </w:rPr>
        <w:t xml:space="preserve">Ahora bien, la Agencia debe diferenciar entre la regla sobre subsanación de ofertas en los procedimientos de selección, que acaba de explicarse, por un lado, y por el otro lo referido a la </w:t>
      </w:r>
      <w:r w:rsidRPr="0081560D">
        <w:rPr>
          <w:rFonts w:ascii="Arial" w:hAnsi="Arial" w:cs="Arial"/>
          <w:bCs/>
          <w:i/>
          <w:iCs/>
          <w:sz w:val="22"/>
        </w:rPr>
        <w:t>aclaración de las ofertas</w:t>
      </w:r>
      <w:r w:rsidRPr="0081560D">
        <w:rPr>
          <w:rFonts w:ascii="Arial" w:hAnsi="Arial" w:cs="Arial"/>
          <w:bCs/>
          <w:sz w:val="22"/>
        </w:rPr>
        <w:t xml:space="preserve">, cuestiones que resultan ser distintas, sin perjuicio de que ambas puedan ser considerados como elementos propios del principio de selección objetiva. Así, en aras de que la entidad, al momento de evaluar las ofertas recibidas, pueda realizar tal evaluación de manera adecuada y contando con los elementos de juicio suficientes y necesarios para la comprensión </w:t>
      </w:r>
      <w:r w:rsidRPr="0081560D">
        <w:rPr>
          <w:rFonts w:ascii="Arial" w:hAnsi="Arial" w:cs="Arial"/>
          <w:bCs/>
          <w:sz w:val="22"/>
        </w:rPr>
        <w:lastRenderedPageBreak/>
        <w:t>integral de cada documento contenido en la oferta, puede acudir a la facultad que le otorga expresamente el numeral 7 del artículo 30 de la Ley 80 de 1993. Dicha norma señala que entre los componentes que deberá contener el pliego de condiciones incluye al «</w:t>
      </w:r>
      <w:r w:rsidRPr="0081560D">
        <w:rPr>
          <w:rFonts w:ascii="Arial" w:hAnsi="Arial" w:cs="Arial"/>
          <w:bCs/>
          <w:i/>
          <w:iCs/>
          <w:sz w:val="22"/>
        </w:rPr>
        <w:t>plazo razonable dentro del cual la entidad deberá elaborar los estudios técnicos, económicos y jurídicos necesarios para la evaluación de las propuestas y para solicitar a los proponentes las aclaraciones y explicaciones que se estimen indispensables».</w:t>
      </w:r>
      <w:r w:rsidRPr="0081560D">
        <w:rPr>
          <w:rFonts w:ascii="Arial" w:hAnsi="Arial" w:cs="Arial"/>
          <w:bCs/>
          <w:sz w:val="22"/>
        </w:rPr>
        <w:t xml:space="preserve"> </w:t>
      </w:r>
    </w:p>
    <w:p w14:paraId="36F5F796" w14:textId="77777777" w:rsidR="004E406E" w:rsidRPr="0081560D" w:rsidRDefault="004E406E" w:rsidP="0081560D">
      <w:pPr>
        <w:spacing w:after="120" w:line="276" w:lineRule="auto"/>
        <w:ind w:firstLine="709"/>
        <w:jc w:val="both"/>
        <w:rPr>
          <w:rFonts w:ascii="Arial" w:hAnsi="Arial" w:cs="Arial"/>
          <w:bCs/>
          <w:sz w:val="22"/>
        </w:rPr>
      </w:pPr>
      <w:r w:rsidRPr="0081560D">
        <w:rPr>
          <w:rFonts w:ascii="Arial" w:hAnsi="Arial" w:cs="Arial"/>
          <w:bCs/>
          <w:sz w:val="22"/>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1528096A" w14:textId="77777777" w:rsidR="004E406E" w:rsidRPr="0081560D" w:rsidRDefault="004E406E" w:rsidP="0081560D">
      <w:pPr>
        <w:spacing w:after="120" w:line="276" w:lineRule="auto"/>
        <w:ind w:firstLine="709"/>
        <w:jc w:val="both"/>
        <w:rPr>
          <w:rFonts w:ascii="Arial" w:hAnsi="Arial" w:cs="Arial"/>
          <w:bCs/>
          <w:sz w:val="22"/>
        </w:rPr>
      </w:pPr>
      <w:r w:rsidRPr="0081560D">
        <w:rPr>
          <w:rFonts w:ascii="Arial" w:hAnsi="Arial" w:cs="Arial"/>
          <w:bCs/>
          <w:sz w:val="22"/>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p w14:paraId="3BFDEBC5" w14:textId="77777777" w:rsidR="004E406E" w:rsidRPr="0081560D" w:rsidRDefault="004E406E" w:rsidP="0081560D">
      <w:pPr>
        <w:spacing w:after="120" w:line="276" w:lineRule="auto"/>
        <w:ind w:firstLine="709"/>
        <w:jc w:val="both"/>
        <w:rPr>
          <w:rFonts w:ascii="Arial" w:hAnsi="Arial" w:cs="Arial"/>
          <w:bCs/>
          <w:sz w:val="22"/>
        </w:rPr>
      </w:pPr>
      <w:r w:rsidRPr="0081560D">
        <w:rPr>
          <w:rFonts w:ascii="Arial" w:hAnsi="Arial" w:cs="Arial"/>
          <w:bCs/>
          <w:sz w:val="22"/>
        </w:rPr>
        <w:t>Ahora bien, lo anterior no impide que se puedan hacer aclaraciones a las propuestas bien porque la Entidad Estatal las solicite en la etapa de evaluación de las mismas, o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174AAA41" w14:textId="77777777" w:rsidR="004E406E" w:rsidRPr="0081560D" w:rsidRDefault="004E406E" w:rsidP="0081560D">
      <w:pPr>
        <w:spacing w:before="120" w:line="276" w:lineRule="auto"/>
        <w:ind w:firstLine="709"/>
        <w:jc w:val="both"/>
        <w:rPr>
          <w:rFonts w:ascii="Arial" w:hAnsi="Arial" w:cs="Arial"/>
          <w:bCs/>
          <w:sz w:val="22"/>
        </w:rPr>
      </w:pPr>
      <w:bookmarkStart w:id="15" w:name="_Hlk121294835"/>
      <w:r w:rsidRPr="0081560D">
        <w:rPr>
          <w:rFonts w:ascii="Arial" w:hAnsi="Arial" w:cs="Arial"/>
          <w:bCs/>
          <w:sz w:val="22"/>
        </w:rPr>
        <w:t xml:space="preserve">La solicitud de aclaraciones permite que las entidades requieran a los proponentes esclarecer aspectos de sus propuestas que, en principio, resultan confusos para efectos de la evaluación, diferenciándose de la </w:t>
      </w:r>
      <w:proofErr w:type="spellStart"/>
      <w:r w:rsidRPr="0081560D">
        <w:rPr>
          <w:rFonts w:ascii="Arial" w:hAnsi="Arial" w:cs="Arial"/>
          <w:bCs/>
          <w:sz w:val="22"/>
        </w:rPr>
        <w:t>subsanabilidad</w:t>
      </w:r>
      <w:proofErr w:type="spellEnd"/>
      <w:r w:rsidRPr="0081560D">
        <w:rPr>
          <w:rFonts w:ascii="Arial" w:hAnsi="Arial" w:cs="Arial"/>
          <w:bCs/>
          <w:sz w:val="22"/>
        </w:rPr>
        <w:t xml:space="preserve">, pues no parte del supuesto de la ausencia de </w:t>
      </w:r>
      <w:r w:rsidRPr="0081560D">
        <w:rPr>
          <w:rFonts w:ascii="Arial" w:hAnsi="Arial" w:cs="Arial"/>
          <w:bCs/>
          <w:sz w:val="22"/>
        </w:rPr>
        <w:lastRenderedPageBreak/>
        <w:t xml:space="preserve">requisitos de la oferta sino de la existencia de dudas en la misma, cuya explicación se requiere para la evaluar la propuesta. Esta diferencia es importante, pues </w:t>
      </w:r>
      <w:r w:rsidRPr="0081560D">
        <w:rPr>
          <w:rFonts w:ascii="Arial" w:hAnsi="Arial" w:cs="Arial"/>
          <w:bCs/>
          <w:i/>
          <w:iCs/>
          <w:sz w:val="22"/>
        </w:rPr>
        <w:t>es posible aclarar los requisitos que asignan puntaje</w:t>
      </w:r>
      <w:bookmarkEnd w:id="15"/>
      <w:r w:rsidRPr="0081560D">
        <w:rPr>
          <w:rFonts w:ascii="Arial" w:hAnsi="Arial" w:cs="Arial"/>
          <w:bCs/>
          <w:sz w:val="22"/>
        </w:rPr>
        <w:t>, tal como lo ha señalado la jurisprudencia en los siguientes términos:</w:t>
      </w:r>
    </w:p>
    <w:p w14:paraId="2672303E" w14:textId="77777777" w:rsidR="004E406E" w:rsidRPr="0081560D" w:rsidRDefault="004E406E" w:rsidP="0081560D">
      <w:pPr>
        <w:spacing w:line="276" w:lineRule="auto"/>
        <w:ind w:left="709" w:right="709"/>
        <w:contextualSpacing/>
        <w:jc w:val="both"/>
        <w:rPr>
          <w:rFonts w:ascii="Arial" w:hAnsi="Arial" w:cs="Arial"/>
          <w:bCs/>
          <w:sz w:val="22"/>
        </w:rPr>
      </w:pPr>
    </w:p>
    <w:p w14:paraId="05B18FF2" w14:textId="77777777" w:rsidR="004E406E" w:rsidRPr="0081560D" w:rsidRDefault="004E406E" w:rsidP="0081560D">
      <w:pPr>
        <w:ind w:left="709" w:right="709"/>
        <w:contextualSpacing/>
        <w:jc w:val="both"/>
        <w:rPr>
          <w:rFonts w:ascii="Arial" w:hAnsi="Arial" w:cs="Arial"/>
          <w:bCs/>
          <w:sz w:val="21"/>
          <w:szCs w:val="21"/>
        </w:rPr>
      </w:pPr>
      <w:bookmarkStart w:id="16" w:name="_3znysh7" w:colFirst="0" w:colLast="0"/>
      <w:bookmarkEnd w:id="16"/>
      <w:r w:rsidRPr="0081560D">
        <w:rPr>
          <w:rFonts w:ascii="Arial" w:hAnsi="Arial" w:cs="Arial"/>
          <w:bCs/>
          <w:sz w:val="21"/>
          <w:szCs w:val="21"/>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w:t>
      </w:r>
      <w:proofErr w:type="spellStart"/>
      <w:r w:rsidRPr="0081560D">
        <w:rPr>
          <w:rFonts w:ascii="Arial" w:hAnsi="Arial" w:cs="Arial"/>
          <w:bCs/>
          <w:sz w:val="21"/>
          <w:szCs w:val="21"/>
        </w:rPr>
        <w:t>subsanabilidad</w:t>
      </w:r>
      <w:proofErr w:type="spellEnd"/>
      <w:r w:rsidRPr="0081560D">
        <w:rPr>
          <w:rFonts w:ascii="Arial" w:hAnsi="Arial" w:cs="Arial"/>
          <w:bCs/>
          <w:sz w:val="21"/>
          <w:szCs w:val="21"/>
        </w:rPr>
        <w:t xml:space="preserve">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81560D">
        <w:rPr>
          <w:rFonts w:ascii="Arial" w:hAnsi="Arial" w:cs="Arial"/>
          <w:bCs/>
          <w:sz w:val="21"/>
          <w:szCs w:val="21"/>
          <w:vertAlign w:val="superscript"/>
        </w:rPr>
        <w:footnoteReference w:id="15"/>
      </w:r>
    </w:p>
    <w:p w14:paraId="07EBED17" w14:textId="77777777" w:rsidR="004E406E" w:rsidRPr="0081560D" w:rsidRDefault="004E406E" w:rsidP="0081560D">
      <w:pPr>
        <w:spacing w:line="276" w:lineRule="auto"/>
        <w:ind w:left="709" w:right="709"/>
        <w:contextualSpacing/>
        <w:jc w:val="both"/>
        <w:rPr>
          <w:rFonts w:ascii="Arial" w:hAnsi="Arial" w:cs="Arial"/>
          <w:bCs/>
          <w:sz w:val="22"/>
        </w:rPr>
      </w:pPr>
    </w:p>
    <w:p w14:paraId="00F34B59" w14:textId="77777777" w:rsidR="004E406E" w:rsidRPr="0081560D" w:rsidRDefault="004E406E" w:rsidP="0081560D">
      <w:pPr>
        <w:spacing w:after="120" w:line="276" w:lineRule="auto"/>
        <w:ind w:firstLine="709"/>
        <w:jc w:val="both"/>
        <w:rPr>
          <w:rFonts w:ascii="Arial" w:hAnsi="Arial" w:cs="Arial"/>
          <w:bCs/>
          <w:sz w:val="22"/>
        </w:rPr>
      </w:pPr>
      <w:r w:rsidRPr="0081560D">
        <w:rPr>
          <w:rFonts w:ascii="Arial" w:hAnsi="Arial" w:cs="Arial"/>
          <w:bCs/>
          <w:sz w:val="22"/>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109E4D75" w14:textId="77777777" w:rsidR="004E406E" w:rsidRPr="0081560D" w:rsidRDefault="004E406E" w:rsidP="0081560D">
      <w:pPr>
        <w:spacing w:after="120" w:line="276" w:lineRule="auto"/>
        <w:ind w:firstLine="709"/>
        <w:jc w:val="both"/>
        <w:rPr>
          <w:rFonts w:ascii="Arial" w:hAnsi="Arial" w:cs="Arial"/>
          <w:bCs/>
          <w:i/>
          <w:iCs/>
          <w:sz w:val="22"/>
        </w:rPr>
      </w:pPr>
      <w:r w:rsidRPr="0081560D">
        <w:rPr>
          <w:rFonts w:ascii="Arial" w:hAnsi="Arial" w:cs="Arial"/>
          <w:bCs/>
          <w:sz w:val="22"/>
        </w:rPr>
        <w:t>Ahora bien, como dispone el numeral 7 del artículo 30 de la Ley 80 de 1993, la aclaración de las propuestas se realiza durante la evaluación de estas, pues es necesario esclarecer los aspectos dudosos de las ofertas antes de la adjudicación</w:t>
      </w:r>
      <w:r w:rsidRPr="0081560D">
        <w:rPr>
          <w:rStyle w:val="Refdenotaalpie"/>
          <w:rFonts w:ascii="Arial" w:hAnsi="Arial" w:cs="Arial"/>
          <w:sz w:val="22"/>
        </w:rPr>
        <w:footnoteReference w:id="16"/>
      </w:r>
      <w:r w:rsidRPr="0081560D">
        <w:rPr>
          <w:rFonts w:ascii="Arial" w:hAnsi="Arial" w:cs="Arial"/>
          <w:bCs/>
          <w:sz w:val="22"/>
        </w:rPr>
        <w:t xml:space="preserve">. Por ello, la jurisprudencia también explica que </w:t>
      </w:r>
      <w:r w:rsidRPr="0081560D">
        <w:rPr>
          <w:rFonts w:ascii="Arial" w:hAnsi="Arial" w:cs="Arial"/>
          <w:bCs/>
          <w:i/>
          <w:iCs/>
          <w:sz w:val="22"/>
        </w:rPr>
        <w:t xml:space="preserve">«[…] el proponente debe acogerse al tiempo que le otorga la administración para </w:t>
      </w:r>
      <w:r w:rsidRPr="0081560D">
        <w:rPr>
          <w:rFonts w:ascii="Arial" w:hAnsi="Arial" w:cs="Arial"/>
          <w:bCs/>
          <w:i/>
          <w:iCs/>
          <w:sz w:val="22"/>
        </w:rPr>
        <w:lastRenderedPageBreak/>
        <w:t>subsanar o aclarar la oferta, lapso que la entidad no puede extender más allá de la adjudicación […]</w:t>
      </w:r>
      <w:bookmarkStart w:id="17" w:name="_Hlk120182778"/>
      <w:r w:rsidRPr="0081560D">
        <w:rPr>
          <w:rFonts w:ascii="Arial" w:hAnsi="Arial" w:cs="Arial"/>
          <w:bCs/>
          <w:i/>
          <w:iCs/>
          <w:sz w:val="22"/>
        </w:rPr>
        <w:t>»</w:t>
      </w:r>
      <w:bookmarkEnd w:id="17"/>
      <w:r w:rsidRPr="0081560D">
        <w:rPr>
          <w:rFonts w:ascii="Arial" w:hAnsi="Arial" w:cs="Arial"/>
          <w:bCs/>
          <w:i/>
          <w:iCs/>
          <w:sz w:val="22"/>
          <w:vertAlign w:val="superscript"/>
        </w:rPr>
        <w:footnoteReference w:id="17"/>
      </w:r>
      <w:r w:rsidRPr="0081560D">
        <w:rPr>
          <w:rFonts w:ascii="Arial" w:hAnsi="Arial" w:cs="Arial"/>
          <w:bCs/>
          <w:i/>
          <w:iCs/>
          <w:sz w:val="22"/>
        </w:rPr>
        <w:t>.</w:t>
      </w:r>
      <w:r w:rsidRPr="0081560D">
        <w:rPr>
          <w:rFonts w:ascii="Arial" w:hAnsi="Arial" w:cs="Arial"/>
          <w:bCs/>
          <w:sz w:val="22"/>
        </w:rPr>
        <w:t xml:space="preserve"> De esta manera, «</w:t>
      </w:r>
      <w:r w:rsidRPr="0081560D">
        <w:rPr>
          <w:rFonts w:ascii="Arial" w:hAnsi="Arial" w:cs="Arial"/>
          <w:bCs/>
          <w:i/>
          <w:iCs/>
          <w:sz w:val="22"/>
        </w:rPr>
        <w:t>lo ideal en un proceso de selección es que las aclaraciones y explicaciones se anticipen y soliciten durante la etapa de evaluación, lo más pronto posible, es decir, antes de que la entidad elabore el informe respectivo, de tal manera que las tenga en cuenta para producir ese acto administrativo».</w:t>
      </w:r>
      <w:r w:rsidRPr="0081560D">
        <w:rPr>
          <w:rFonts w:ascii="Arial" w:hAnsi="Arial" w:cs="Arial"/>
          <w:bCs/>
          <w:i/>
          <w:iCs/>
          <w:sz w:val="22"/>
          <w:vertAlign w:val="superscript"/>
        </w:rPr>
        <w:footnoteReference w:id="18"/>
      </w:r>
      <w:r w:rsidRPr="0081560D">
        <w:rPr>
          <w:rFonts w:ascii="Arial" w:hAnsi="Arial" w:cs="Arial"/>
          <w:bCs/>
          <w:i/>
          <w:iCs/>
          <w:sz w:val="22"/>
        </w:rPr>
        <w:t xml:space="preserve"> </w:t>
      </w:r>
    </w:p>
    <w:p w14:paraId="240E36DB" w14:textId="41E203A5" w:rsidR="004E406E" w:rsidRPr="0081560D" w:rsidRDefault="004E406E" w:rsidP="0081560D">
      <w:pPr>
        <w:tabs>
          <w:tab w:val="left" w:pos="426"/>
        </w:tabs>
        <w:spacing w:after="120" w:line="276" w:lineRule="auto"/>
        <w:jc w:val="both"/>
        <w:rPr>
          <w:rFonts w:ascii="Arial" w:hAnsi="Arial" w:cs="Arial"/>
          <w:sz w:val="22"/>
        </w:rPr>
      </w:pPr>
      <w:r w:rsidRPr="0081560D">
        <w:rPr>
          <w:rFonts w:ascii="Arial" w:eastAsia="Calibri" w:hAnsi="Arial" w:cs="Arial"/>
          <w:b/>
          <w:bCs/>
          <w:sz w:val="22"/>
        </w:rPr>
        <w:tab/>
      </w:r>
      <w:r w:rsidRPr="0081560D">
        <w:rPr>
          <w:rFonts w:ascii="Arial" w:eastAsia="Calibri" w:hAnsi="Arial" w:cs="Arial"/>
          <w:b/>
          <w:bCs/>
          <w:sz w:val="22"/>
        </w:rPr>
        <w:tab/>
      </w:r>
      <w:r w:rsidRPr="0081560D">
        <w:rPr>
          <w:rFonts w:ascii="Arial" w:eastAsia="Calibri" w:hAnsi="Arial" w:cs="Arial"/>
          <w:sz w:val="22"/>
        </w:rPr>
        <w:t xml:space="preserve">De conformidad con lo expuesto y teniendo en cuenta que </w:t>
      </w:r>
      <w:r w:rsidRPr="0081560D">
        <w:rPr>
          <w:rFonts w:ascii="Arial" w:hAnsi="Arial" w:cs="Arial"/>
          <w:i/>
          <w:iCs/>
          <w:sz w:val="22"/>
        </w:rPr>
        <w:t>la Capacidad Residual es un requisito habilitante</w:t>
      </w:r>
      <w:r w:rsidRPr="0081560D">
        <w:rPr>
          <w:rFonts w:ascii="Arial" w:hAnsi="Arial" w:cs="Arial"/>
          <w:sz w:val="22"/>
        </w:rPr>
        <w:t xml:space="preserve"> está sujeta a la posibilidad de subsanar la ausencia de requisitos, siempre que se cumpla con los </w:t>
      </w:r>
      <w:r w:rsidR="0053051D" w:rsidRPr="0081560D">
        <w:rPr>
          <w:rFonts w:ascii="Arial" w:hAnsi="Arial" w:cs="Arial"/>
          <w:sz w:val="22"/>
        </w:rPr>
        <w:t>límites</w:t>
      </w:r>
      <w:r w:rsidRPr="0081560D">
        <w:rPr>
          <w:rFonts w:ascii="Arial" w:hAnsi="Arial" w:cs="Arial"/>
          <w:sz w:val="22"/>
        </w:rPr>
        <w:t xml:space="preserve"> temporales y materiales descritos en el presente concepto o de aclarar, con es el fin de esclarecer dudas sobre aspectos de la información presentada por el proponente. </w:t>
      </w:r>
    </w:p>
    <w:p w14:paraId="505B3B20" w14:textId="77777777" w:rsidR="004E406E" w:rsidRPr="0081560D" w:rsidRDefault="004E406E" w:rsidP="0081560D">
      <w:pPr>
        <w:tabs>
          <w:tab w:val="left" w:pos="426"/>
        </w:tabs>
        <w:spacing w:line="276" w:lineRule="auto"/>
        <w:jc w:val="both"/>
        <w:rPr>
          <w:rFonts w:ascii="Arial" w:hAnsi="Arial" w:cs="Arial"/>
          <w:sz w:val="22"/>
        </w:rPr>
      </w:pPr>
      <w:r w:rsidRPr="0081560D">
        <w:rPr>
          <w:rFonts w:ascii="Arial" w:hAnsi="Arial" w:cs="Arial"/>
          <w:sz w:val="22"/>
        </w:rPr>
        <w:tab/>
      </w:r>
      <w:r w:rsidRPr="0081560D">
        <w:rPr>
          <w:rFonts w:ascii="Arial" w:hAnsi="Arial" w:cs="Arial"/>
          <w:sz w:val="22"/>
        </w:rPr>
        <w:tab/>
        <w:t xml:space="preserve">Respecto a la consulta planteada acerca de la posibilidad de que una Entidad Estatal rechace la oferta de un proponente por no haber relacionado en el formato de Capacidad Residual un contrato que se encuentra en la misma Entidad o por no haber allegado toda la información requerida en el formato usado, debe señarse que las Entidades Estatales, como directoras de sus procesos de contratación son autónomas en estipular en sus Pliegos de Condiciones o documentos equivalentes, las causales de rechazo que considere pertinente, siempre que no contradigan la Ley ni los principios que rigen en materia de contratación. Sobre el particular, debe tenerse en cuenta que el parágrafo 1 del artículo 5 de la Ley 1150 de 2011 señala:  </w:t>
      </w:r>
    </w:p>
    <w:p w14:paraId="56F8085D" w14:textId="77777777" w:rsidR="004E406E" w:rsidRPr="0081560D" w:rsidRDefault="004E406E" w:rsidP="0081560D">
      <w:pPr>
        <w:tabs>
          <w:tab w:val="left" w:pos="426"/>
        </w:tabs>
        <w:spacing w:line="276" w:lineRule="auto"/>
        <w:contextualSpacing/>
        <w:jc w:val="both"/>
        <w:rPr>
          <w:rFonts w:ascii="Arial" w:eastAsia="Times New Roman" w:hAnsi="Arial" w:cs="Arial"/>
          <w:spacing w:val="2"/>
          <w:sz w:val="22"/>
          <w:lang w:val="es-CO" w:eastAsia="es-CO"/>
        </w:rPr>
      </w:pPr>
    </w:p>
    <w:p w14:paraId="0465AFC1" w14:textId="77777777" w:rsidR="004E406E" w:rsidRPr="0081560D" w:rsidRDefault="004E406E" w:rsidP="0081560D">
      <w:pPr>
        <w:ind w:left="709" w:right="709"/>
        <w:contextualSpacing/>
        <w:jc w:val="both"/>
        <w:rPr>
          <w:rFonts w:ascii="Arial" w:eastAsia="Times New Roman" w:hAnsi="Arial" w:cs="Arial"/>
          <w:spacing w:val="2"/>
          <w:sz w:val="21"/>
          <w:szCs w:val="21"/>
          <w:lang w:val="es-CO" w:eastAsia="es-CO"/>
        </w:rPr>
      </w:pPr>
      <w:r w:rsidRPr="0081560D">
        <w:rPr>
          <w:rFonts w:ascii="Arial" w:hAnsi="Arial" w:cs="Arial"/>
          <w:bCs/>
          <w:sz w:val="21"/>
          <w:szCs w:val="21"/>
        </w:rPr>
        <w:t>«</w:t>
      </w:r>
      <w:r w:rsidRPr="0081560D">
        <w:rPr>
          <w:rFonts w:ascii="Arial" w:eastAsia="Times New Roman" w:hAnsi="Arial" w:cs="Arial"/>
          <w:spacing w:val="2"/>
          <w:sz w:val="21"/>
          <w:szCs w:val="21"/>
          <w:lang w:val="es-CO" w:eastAsia="es-CO"/>
        </w:rPr>
        <w:t xml:space="preserve">PARÁGRAFO 1o.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81560D">
        <w:rPr>
          <w:rFonts w:ascii="Arial" w:eastAsia="Times New Roman" w:hAnsi="Arial" w:cs="Arial"/>
          <w:spacing w:val="2"/>
          <w:sz w:val="21"/>
          <w:szCs w:val="21"/>
          <w:lang w:val="es-CO" w:eastAsia="es-CO"/>
        </w:rPr>
        <w:t>puntaje,</w:t>
      </w:r>
      <w:proofErr w:type="gramEnd"/>
      <w:r w:rsidRPr="0081560D">
        <w:rPr>
          <w:rFonts w:ascii="Arial" w:eastAsia="Times New Roman" w:hAnsi="Arial" w:cs="Arial"/>
          <w:spacing w:val="2"/>
          <w:sz w:val="21"/>
          <w:szCs w:val="21"/>
          <w:lang w:val="es-CO" w:eastAsia="es-CO"/>
        </w:rPr>
        <w:t xml:space="preserve"> podrán ser solicitados por las entidades en cualquier momento, hasta la adjudicación. No </w:t>
      </w:r>
      <w:proofErr w:type="gramStart"/>
      <w:r w:rsidRPr="0081560D">
        <w:rPr>
          <w:rFonts w:ascii="Arial" w:eastAsia="Times New Roman" w:hAnsi="Arial" w:cs="Arial"/>
          <w:spacing w:val="2"/>
          <w:sz w:val="21"/>
          <w:szCs w:val="21"/>
          <w:lang w:val="es-CO" w:eastAsia="es-CO"/>
        </w:rPr>
        <w:t>obstante</w:t>
      </w:r>
      <w:proofErr w:type="gramEnd"/>
      <w:r w:rsidRPr="0081560D">
        <w:rPr>
          <w:rFonts w:ascii="Arial" w:eastAsia="Times New Roman" w:hAnsi="Arial" w:cs="Arial"/>
          <w:spacing w:val="2"/>
          <w:sz w:val="21"/>
          <w:szCs w:val="21"/>
          <w:lang w:val="es-CO" w:eastAsia="es-CO"/>
        </w:rPr>
        <w:t xml:space="preserve"> lo anterior, en aquellos procesos de selección en los que se utilice el mecanismo de subasta, deberán ser solicitados hasta el momento previo a su realización</w:t>
      </w:r>
      <w:r w:rsidRPr="0081560D">
        <w:rPr>
          <w:rFonts w:ascii="Arial" w:hAnsi="Arial" w:cs="Arial"/>
          <w:bCs/>
          <w:sz w:val="21"/>
          <w:szCs w:val="21"/>
        </w:rPr>
        <w:t>»</w:t>
      </w:r>
      <w:r w:rsidRPr="0081560D">
        <w:rPr>
          <w:rFonts w:ascii="Arial" w:eastAsia="Times New Roman" w:hAnsi="Arial" w:cs="Arial"/>
          <w:spacing w:val="2"/>
          <w:sz w:val="21"/>
          <w:szCs w:val="21"/>
          <w:lang w:val="es-CO" w:eastAsia="es-CO"/>
        </w:rPr>
        <w:t>.</w:t>
      </w:r>
    </w:p>
    <w:p w14:paraId="4C143C08" w14:textId="77777777" w:rsidR="004E406E" w:rsidRPr="0081560D" w:rsidRDefault="004E406E" w:rsidP="0081560D">
      <w:pPr>
        <w:spacing w:line="276" w:lineRule="auto"/>
        <w:contextualSpacing/>
        <w:jc w:val="both"/>
        <w:rPr>
          <w:rFonts w:ascii="Arial" w:eastAsia="Times New Roman" w:hAnsi="Arial" w:cs="Arial"/>
          <w:spacing w:val="2"/>
          <w:sz w:val="22"/>
          <w:lang w:val="es-CO" w:eastAsia="es-CO"/>
        </w:rPr>
      </w:pPr>
    </w:p>
    <w:p w14:paraId="5920C7EF" w14:textId="29F191E0" w:rsidR="0053051D" w:rsidRPr="0081560D" w:rsidRDefault="004E406E" w:rsidP="0081560D">
      <w:pPr>
        <w:spacing w:line="276" w:lineRule="auto"/>
        <w:ind w:firstLine="709"/>
        <w:contextualSpacing/>
        <w:jc w:val="both"/>
        <w:rPr>
          <w:rFonts w:ascii="Arial" w:eastAsia="Times New Roman" w:hAnsi="Arial" w:cs="Arial"/>
          <w:spacing w:val="2"/>
          <w:sz w:val="22"/>
          <w:lang w:val="es-CO" w:eastAsia="es-CO"/>
        </w:rPr>
      </w:pPr>
      <w:r w:rsidRPr="0081560D">
        <w:rPr>
          <w:rFonts w:ascii="Arial" w:eastAsia="Times New Roman" w:hAnsi="Arial" w:cs="Arial"/>
          <w:spacing w:val="2"/>
          <w:sz w:val="22"/>
          <w:lang w:val="es-CO" w:eastAsia="es-CO"/>
        </w:rPr>
        <w:t>Se concluye que, si bien la administración cuenta con un espacio significativo de discrecionalidad al momento de elaborar los pliegos de condiciones, la misma se encuentra delimitada por los fines y principios de la contratación estatal. En este entendimiento, la administración no puede establecer en los pliegos de condiciones causales de rechazo que no tengan un fundamento legal o constitucional, y que carezcan de razonabilidad y proporcionalidad en relación con el objeto a contratar.</w:t>
      </w:r>
    </w:p>
    <w:p w14:paraId="29054F6B" w14:textId="77777777" w:rsidR="002550CF" w:rsidRPr="0081560D" w:rsidRDefault="002550CF" w:rsidP="0081560D">
      <w:pPr>
        <w:spacing w:line="276" w:lineRule="auto"/>
        <w:ind w:firstLine="709"/>
        <w:contextualSpacing/>
        <w:jc w:val="both"/>
        <w:rPr>
          <w:rFonts w:ascii="Arial" w:eastAsia="Times New Roman" w:hAnsi="Arial" w:cs="Arial"/>
          <w:spacing w:val="2"/>
          <w:sz w:val="22"/>
          <w:lang w:val="es-CO" w:eastAsia="es-CO"/>
        </w:rPr>
      </w:pPr>
    </w:p>
    <w:p w14:paraId="7345A700" w14:textId="77777777" w:rsidR="004E406E" w:rsidRPr="0081560D" w:rsidRDefault="004E406E" w:rsidP="0081560D">
      <w:pPr>
        <w:spacing w:line="276" w:lineRule="auto"/>
        <w:ind w:right="79"/>
        <w:contextualSpacing/>
        <w:jc w:val="both"/>
        <w:rPr>
          <w:rFonts w:ascii="Arial" w:eastAsia="Calibri" w:hAnsi="Arial" w:cs="Arial"/>
          <w:b/>
          <w:noProof/>
          <w:sz w:val="22"/>
          <w:lang w:val="es-ES_tradnl"/>
        </w:rPr>
      </w:pPr>
      <w:r w:rsidRPr="0081560D">
        <w:rPr>
          <w:rFonts w:ascii="Arial" w:eastAsia="Calibri" w:hAnsi="Arial" w:cs="Arial"/>
          <w:b/>
          <w:noProof/>
          <w:sz w:val="22"/>
          <w:lang w:val="es-ES_tradnl"/>
        </w:rPr>
        <w:t>3. Respuestas</w:t>
      </w:r>
    </w:p>
    <w:p w14:paraId="5224AD86" w14:textId="77777777" w:rsidR="004E406E" w:rsidRPr="0081560D" w:rsidRDefault="004E406E" w:rsidP="0081560D">
      <w:pPr>
        <w:spacing w:line="276" w:lineRule="auto"/>
        <w:ind w:right="79"/>
        <w:contextualSpacing/>
        <w:jc w:val="both"/>
        <w:rPr>
          <w:rFonts w:ascii="Arial" w:eastAsia="Calibri" w:hAnsi="Arial" w:cs="Arial"/>
          <w:b/>
          <w:noProof/>
          <w:sz w:val="22"/>
          <w:lang w:val="es-ES_tradnl"/>
        </w:rPr>
      </w:pPr>
    </w:p>
    <w:p w14:paraId="7CCA482C" w14:textId="13AF2669" w:rsidR="004E406E" w:rsidRPr="0081560D" w:rsidRDefault="004E406E" w:rsidP="0081560D">
      <w:pPr>
        <w:ind w:left="709" w:right="709"/>
        <w:contextualSpacing/>
        <w:jc w:val="both"/>
        <w:rPr>
          <w:rFonts w:ascii="Arial" w:hAnsi="Arial" w:cs="Arial"/>
          <w:sz w:val="21"/>
          <w:szCs w:val="21"/>
        </w:rPr>
      </w:pPr>
      <w:r w:rsidRPr="0081560D">
        <w:rPr>
          <w:rFonts w:ascii="Arial" w:hAnsi="Arial" w:cs="Arial"/>
          <w:sz w:val="21"/>
          <w:szCs w:val="21"/>
          <w:lang w:val="es-ES_tradnl"/>
        </w:rPr>
        <w:lastRenderedPageBreak/>
        <w:t>«</w:t>
      </w:r>
      <w:r w:rsidRPr="0081560D">
        <w:rPr>
          <w:rFonts w:ascii="Arial" w:hAnsi="Arial" w:cs="Arial"/>
          <w:sz w:val="21"/>
          <w:szCs w:val="21"/>
        </w:rPr>
        <w:t xml:space="preserve">1. </w:t>
      </w:r>
      <w:proofErr w:type="gramStart"/>
      <w:r w:rsidRPr="0081560D">
        <w:rPr>
          <w:rFonts w:ascii="Arial" w:hAnsi="Arial" w:cs="Arial"/>
          <w:sz w:val="21"/>
          <w:szCs w:val="21"/>
        </w:rPr>
        <w:t>ES OBLIGACIÓN PRESENTAR LOS FORMATOS PARA HALLAR LA CAPACIDAD RESIDUAL QUE LA ENTIDAD PUBLICA EN EL PROCESO DE CONTRATACIÓN?</w:t>
      </w:r>
      <w:proofErr w:type="gramEnd"/>
      <w:r w:rsidRPr="0081560D">
        <w:rPr>
          <w:rFonts w:ascii="Arial" w:hAnsi="Arial" w:cs="Arial"/>
          <w:sz w:val="21"/>
          <w:szCs w:val="21"/>
        </w:rPr>
        <w:t xml:space="preserve"> DE ACUERDO A LA PREGUNTA 1, SI LA ENTIDAD PUBLICA LA CERTIFICACIÓN DE LOS CONTRATOS EN EJECUCIÓN SOLICITANDO LA INFORMACIÓN BÁSICA (VALOR DEL CONTRATO, PLAZO, FECHA INICIAL, % PARTICIPACIÓN, SI EL CTO SE ENCUENTRA SUSPENDIDO, FECHA DE SUSPENSIÓN</w:t>
      </w:r>
      <w:proofErr w:type="gramStart"/>
      <w:r w:rsidRPr="0081560D">
        <w:rPr>
          <w:rFonts w:ascii="Arial" w:hAnsi="Arial" w:cs="Arial"/>
          <w:sz w:val="21"/>
          <w:szCs w:val="21"/>
        </w:rPr>
        <w:t>) ,</w:t>
      </w:r>
      <w:proofErr w:type="gramEnd"/>
      <w:r w:rsidRPr="0081560D">
        <w:rPr>
          <w:rFonts w:ascii="Arial" w:hAnsi="Arial" w:cs="Arial"/>
          <w:sz w:val="21"/>
          <w:szCs w:val="21"/>
        </w:rPr>
        <w:t xml:space="preserve"> PERO COMO OFERENTE PRESENTO MÁS INFORMACIÓN, COMO LO ES EL OBJETO, # DE CONTRATO, ENTIDAD CONTRATANTE, SALDOS DIARIOS Y SALDOS TOTALES DE EJECUCIÓN; LA ENTIDAD PUEDE EVALUARME COMO NO CUMPLE?</w:t>
      </w:r>
    </w:p>
    <w:p w14:paraId="773FCD39" w14:textId="77777777" w:rsidR="004E406E" w:rsidRPr="0081560D" w:rsidRDefault="004E406E" w:rsidP="0081560D">
      <w:pPr>
        <w:ind w:left="709" w:right="709"/>
        <w:contextualSpacing/>
        <w:jc w:val="both"/>
        <w:rPr>
          <w:rFonts w:ascii="Arial" w:hAnsi="Arial" w:cs="Arial"/>
          <w:sz w:val="21"/>
          <w:szCs w:val="21"/>
        </w:rPr>
      </w:pPr>
    </w:p>
    <w:p w14:paraId="65B0ECAE" w14:textId="77777777" w:rsidR="004E406E" w:rsidRPr="0081560D" w:rsidRDefault="004E406E" w:rsidP="0081560D">
      <w:pPr>
        <w:ind w:left="709" w:right="709"/>
        <w:contextualSpacing/>
        <w:jc w:val="both"/>
        <w:rPr>
          <w:rFonts w:ascii="Arial" w:hAnsi="Arial" w:cs="Arial"/>
          <w:sz w:val="21"/>
          <w:szCs w:val="21"/>
        </w:rPr>
      </w:pPr>
      <w:proofErr w:type="gramStart"/>
      <w:r w:rsidRPr="0081560D">
        <w:rPr>
          <w:rFonts w:ascii="Arial" w:hAnsi="Arial" w:cs="Arial"/>
          <w:sz w:val="21"/>
          <w:szCs w:val="21"/>
        </w:rPr>
        <w:t>TENIENDO EN CUENTA QUE PRESENTO MÁS INFORMACIÓN DE LA SOLICITADA LA ENTIDAD PUEDE EVALUARME COMO NO CUMPLE?</w:t>
      </w:r>
      <w:proofErr w:type="gramEnd"/>
      <w:r w:rsidRPr="0081560D">
        <w:rPr>
          <w:rFonts w:ascii="Arial" w:hAnsi="Arial" w:cs="Arial"/>
          <w:sz w:val="21"/>
          <w:szCs w:val="21"/>
        </w:rPr>
        <w:t xml:space="preserve"> </w:t>
      </w:r>
    </w:p>
    <w:p w14:paraId="4F74BB7B" w14:textId="77777777" w:rsidR="004E406E" w:rsidRPr="0081560D" w:rsidRDefault="004E406E" w:rsidP="0081560D">
      <w:pPr>
        <w:ind w:left="709" w:right="709"/>
        <w:contextualSpacing/>
        <w:jc w:val="both"/>
        <w:rPr>
          <w:rFonts w:ascii="Arial" w:hAnsi="Arial" w:cs="Arial"/>
          <w:sz w:val="21"/>
          <w:szCs w:val="21"/>
        </w:rPr>
      </w:pPr>
    </w:p>
    <w:p w14:paraId="4CC68E0C" w14:textId="1A55D18C" w:rsidR="0081560D" w:rsidRPr="0081560D" w:rsidRDefault="004E406E" w:rsidP="0081560D">
      <w:pPr>
        <w:ind w:left="709" w:right="709"/>
        <w:contextualSpacing/>
        <w:jc w:val="both"/>
        <w:rPr>
          <w:rFonts w:ascii="Arial" w:hAnsi="Arial" w:cs="Arial"/>
          <w:sz w:val="21"/>
          <w:szCs w:val="21"/>
          <w:lang w:val="es-ES_tradnl"/>
        </w:rPr>
      </w:pPr>
      <w:r w:rsidRPr="0081560D">
        <w:rPr>
          <w:rFonts w:ascii="Arial" w:hAnsi="Arial" w:cs="Arial"/>
          <w:sz w:val="21"/>
          <w:szCs w:val="21"/>
        </w:rPr>
        <w:t xml:space="preserve">2. </w:t>
      </w:r>
      <w:proofErr w:type="gramStart"/>
      <w:r w:rsidRPr="0081560D">
        <w:rPr>
          <w:rFonts w:ascii="Arial" w:hAnsi="Arial" w:cs="Arial"/>
          <w:sz w:val="21"/>
          <w:szCs w:val="21"/>
        </w:rPr>
        <w:t>SI TENGO ERORRES EN EL DILIGENCIAMIENTO DE LA CERTIFICACIÓN COMO LO ES SI ES OFERENTE PLURAL, PERO CON EL PORCENTAJE CORRECTO LA ENTIDAD PUEDE RECHAZARME?</w:t>
      </w:r>
      <w:proofErr w:type="gramEnd"/>
      <w:r w:rsidR="0081560D" w:rsidRPr="0081560D">
        <w:rPr>
          <w:rFonts w:ascii="Arial" w:hAnsi="Arial" w:cs="Arial"/>
          <w:sz w:val="21"/>
          <w:szCs w:val="21"/>
          <w:lang w:val="es-ES_tradnl"/>
        </w:rPr>
        <w:t>» [SIC]</w:t>
      </w:r>
    </w:p>
    <w:p w14:paraId="4C494994" w14:textId="78444A35" w:rsidR="004E406E" w:rsidRPr="0081560D" w:rsidRDefault="004E406E" w:rsidP="0081560D">
      <w:pPr>
        <w:ind w:left="709" w:right="709"/>
        <w:contextualSpacing/>
        <w:jc w:val="both"/>
        <w:rPr>
          <w:rFonts w:ascii="Arial" w:hAnsi="Arial" w:cs="Arial"/>
          <w:sz w:val="21"/>
          <w:szCs w:val="21"/>
        </w:rPr>
      </w:pPr>
    </w:p>
    <w:p w14:paraId="3298A22F" w14:textId="77777777" w:rsidR="004E406E" w:rsidRPr="0081560D" w:rsidRDefault="004E406E" w:rsidP="004E406E">
      <w:pPr>
        <w:ind w:right="709"/>
        <w:contextualSpacing/>
        <w:jc w:val="both"/>
        <w:rPr>
          <w:rFonts w:ascii="Arial" w:hAnsi="Arial" w:cs="Arial"/>
          <w:sz w:val="21"/>
          <w:szCs w:val="21"/>
        </w:rPr>
      </w:pPr>
    </w:p>
    <w:p w14:paraId="2492C2BD" w14:textId="77777777" w:rsidR="004E406E" w:rsidRPr="0081560D" w:rsidRDefault="004E406E" w:rsidP="0081560D">
      <w:pPr>
        <w:tabs>
          <w:tab w:val="left" w:pos="426"/>
        </w:tabs>
        <w:spacing w:after="120" w:line="276" w:lineRule="auto"/>
        <w:jc w:val="both"/>
        <w:rPr>
          <w:rStyle w:val="normaltextrun"/>
          <w:rFonts w:ascii="Arial" w:hAnsi="Arial" w:cs="Arial"/>
          <w:sz w:val="22"/>
        </w:rPr>
      </w:pPr>
      <w:r w:rsidRPr="0081560D">
        <w:rPr>
          <w:rFonts w:ascii="Arial" w:eastAsia="Times New Roman" w:hAnsi="Arial" w:cs="Arial"/>
          <w:bCs/>
          <w:sz w:val="22"/>
          <w:lang w:eastAsia="x-none"/>
        </w:rPr>
        <w:t xml:space="preserve">La Entidad Estatal, como directora de los Procesos de Contratación que adelanta, debe señalar en el pliego de condiciones–o en la Invitación– cuál es la información que se debe acreditar para el cálculo de la Capacidad Residual, así como los documentos que tendrá como válidos para tal fin. En consecuencia, el proponente deberá ceñirse a lo dispuesto por la Entidad y allegar toda información ordenada, en los términos y la forma en que hayan sido señalados, con el fin de que la Entidad pueda calcular la Capacidad Residual del proponente y verificar si cumple o no con la requerida en el Proceso de Contratación que adelanta. </w:t>
      </w:r>
    </w:p>
    <w:p w14:paraId="2D458216" w14:textId="77777777" w:rsidR="004E406E" w:rsidRPr="0081560D" w:rsidRDefault="004E406E" w:rsidP="0081560D">
      <w:pPr>
        <w:tabs>
          <w:tab w:val="left" w:pos="426"/>
        </w:tabs>
        <w:spacing w:after="120" w:line="276" w:lineRule="auto"/>
        <w:ind w:firstLine="703"/>
        <w:jc w:val="both"/>
        <w:rPr>
          <w:rFonts w:ascii="Arial" w:eastAsia="Times New Roman" w:hAnsi="Arial" w:cs="Arial"/>
          <w:sz w:val="22"/>
          <w:lang w:eastAsia="en-GB"/>
        </w:rPr>
      </w:pPr>
      <w:r w:rsidRPr="0081560D">
        <w:rPr>
          <w:rStyle w:val="normaltextrun"/>
          <w:rFonts w:ascii="Arial" w:hAnsi="Arial" w:cs="Arial"/>
          <w:sz w:val="22"/>
        </w:rPr>
        <w:t xml:space="preserve">Ahora bien, teniendo en cuenta que en la consulta se hace referencia a unos formatos, sin hacer precisión a cuales formatos se refiere, esta Agencia debe señalar que en la </w:t>
      </w:r>
      <w:r w:rsidRPr="0081560D">
        <w:rPr>
          <w:rFonts w:ascii="Arial" w:eastAsia="Times New Roman" w:hAnsi="Arial" w:cs="Arial"/>
          <w:sz w:val="22"/>
          <w:lang w:eastAsia="en-GB"/>
        </w:rPr>
        <w:t xml:space="preserve">«Guía para Determinar y Verificar la Capacidad Residual del Proponente en los Procesos de Contratación de Obra Pública» se incorporan dos (2) anexos: «Anexo 1 – Certificación de contratos para acreditar la experiencia» y «Anexo 2 – Certificación de Capacidad Técnica», a través de los cuales los proponentes pueden certificar la información relacionada con la experiencia y la capacidad técnica y las entidades verificar los aspectos necesarios para el cálculo de estos dos factores. </w:t>
      </w:r>
    </w:p>
    <w:p w14:paraId="5E9C4D06" w14:textId="77777777" w:rsidR="004E406E" w:rsidRPr="0081560D" w:rsidRDefault="004E406E" w:rsidP="0081560D">
      <w:pPr>
        <w:tabs>
          <w:tab w:val="left" w:pos="426"/>
        </w:tabs>
        <w:spacing w:after="120" w:line="276" w:lineRule="auto"/>
        <w:ind w:firstLine="703"/>
        <w:jc w:val="both"/>
        <w:rPr>
          <w:rFonts w:ascii="Arial" w:eastAsia="Calibri" w:hAnsi="Arial" w:cs="Arial"/>
          <w:b/>
          <w:bCs/>
          <w:sz w:val="22"/>
        </w:rPr>
      </w:pPr>
      <w:r w:rsidRPr="0081560D">
        <w:rPr>
          <w:rFonts w:ascii="Arial" w:eastAsia="Times New Roman" w:hAnsi="Arial" w:cs="Arial"/>
          <w:sz w:val="22"/>
          <w:lang w:eastAsia="en-GB"/>
        </w:rPr>
        <w:t xml:space="preserve">En relación con los contratos en ejecución, el literal E) de la mencionada Guía consagra la forma como se debe presentar la lista de contratos en ejecución, señalando que, esta debe indicar la siguiente información: </w:t>
      </w:r>
      <w:r w:rsidRPr="0081560D">
        <w:rPr>
          <w:rFonts w:ascii="Arial" w:hAnsi="Arial" w:cs="Arial"/>
          <w:sz w:val="22"/>
        </w:rPr>
        <w:t>(i) el valor del contrato; (</w:t>
      </w:r>
      <w:proofErr w:type="spellStart"/>
      <w:r w:rsidRPr="0081560D">
        <w:rPr>
          <w:rFonts w:ascii="Arial" w:hAnsi="Arial" w:cs="Arial"/>
          <w:sz w:val="22"/>
        </w:rPr>
        <w:t>ii</w:t>
      </w:r>
      <w:proofErr w:type="spellEnd"/>
      <w:r w:rsidRPr="0081560D">
        <w:rPr>
          <w:rFonts w:ascii="Arial" w:hAnsi="Arial" w:cs="Arial"/>
          <w:sz w:val="22"/>
        </w:rPr>
        <w:t>) el plazo del contrato en meses; (</w:t>
      </w:r>
      <w:proofErr w:type="spellStart"/>
      <w:r w:rsidRPr="0081560D">
        <w:rPr>
          <w:rFonts w:ascii="Arial" w:hAnsi="Arial" w:cs="Arial"/>
          <w:sz w:val="22"/>
        </w:rPr>
        <w:t>iii</w:t>
      </w:r>
      <w:proofErr w:type="spellEnd"/>
      <w:r w:rsidRPr="0081560D">
        <w:rPr>
          <w:rFonts w:ascii="Arial" w:hAnsi="Arial" w:cs="Arial"/>
          <w:sz w:val="22"/>
        </w:rPr>
        <w:t>) la fecha de inicio de las obras objeto del contrato, día, mes, año; (</w:t>
      </w:r>
      <w:proofErr w:type="spellStart"/>
      <w:r w:rsidRPr="0081560D">
        <w:rPr>
          <w:rFonts w:ascii="Arial" w:hAnsi="Arial" w:cs="Arial"/>
          <w:sz w:val="22"/>
        </w:rPr>
        <w:t>iv</w:t>
      </w:r>
      <w:proofErr w:type="spellEnd"/>
      <w:r w:rsidRPr="0081560D">
        <w:rPr>
          <w:rFonts w:ascii="Arial" w:hAnsi="Arial" w:cs="Arial"/>
          <w:sz w:val="22"/>
        </w:rPr>
        <w:t xml:space="preserve">) si la obra la ejecuta un consorcio, unión temporal o sociedad de propósito especial, junto con el porcentaje de participación del oferente que presenta el certificado; (v) si el contrato se encuentra suspendido, y si es así, la fecha de suspensión. </w:t>
      </w:r>
      <w:r w:rsidRPr="0081560D">
        <w:rPr>
          <w:rFonts w:ascii="Arial" w:eastAsia="Times New Roman" w:hAnsi="Arial" w:cs="Arial"/>
          <w:sz w:val="22"/>
          <w:lang w:eastAsia="en-GB"/>
        </w:rPr>
        <w:t xml:space="preserve"> </w:t>
      </w:r>
    </w:p>
    <w:p w14:paraId="1B3D398F" w14:textId="41615705" w:rsidR="004E406E" w:rsidRPr="0081560D" w:rsidRDefault="004E406E" w:rsidP="0081560D">
      <w:pPr>
        <w:tabs>
          <w:tab w:val="left" w:pos="426"/>
        </w:tabs>
        <w:spacing w:after="120" w:line="276" w:lineRule="auto"/>
        <w:jc w:val="both"/>
        <w:rPr>
          <w:rFonts w:ascii="Arial" w:hAnsi="Arial" w:cs="Arial"/>
          <w:sz w:val="22"/>
        </w:rPr>
      </w:pPr>
      <w:r w:rsidRPr="0081560D">
        <w:rPr>
          <w:rFonts w:ascii="Arial" w:hAnsi="Arial" w:cs="Arial"/>
          <w:sz w:val="22"/>
        </w:rPr>
        <w:lastRenderedPageBreak/>
        <w:tab/>
      </w:r>
      <w:r w:rsidRPr="0081560D">
        <w:rPr>
          <w:rFonts w:ascii="Arial" w:hAnsi="Arial" w:cs="Arial"/>
          <w:sz w:val="22"/>
        </w:rPr>
        <w:tab/>
        <w:t xml:space="preserve">Es importante resaltar que, resulta necesario que el Proponente allegue toda la información contenida en el cuadro anterior, a fin de que la Entidad pueda calcular su Capacidad Residual y verifique si cumple o no con este requisito habilitante. </w:t>
      </w:r>
    </w:p>
    <w:p w14:paraId="16D5DFDE" w14:textId="118B8AA7" w:rsidR="004E406E" w:rsidRPr="0081560D" w:rsidRDefault="004E406E" w:rsidP="0081560D">
      <w:pPr>
        <w:tabs>
          <w:tab w:val="left" w:pos="426"/>
        </w:tabs>
        <w:spacing w:after="120" w:line="276" w:lineRule="auto"/>
        <w:jc w:val="both"/>
        <w:rPr>
          <w:rFonts w:ascii="Arial" w:hAnsi="Arial" w:cs="Arial"/>
          <w:sz w:val="22"/>
        </w:rPr>
      </w:pPr>
      <w:r w:rsidRPr="0081560D">
        <w:rPr>
          <w:rFonts w:ascii="Arial" w:eastAsia="Calibri" w:hAnsi="Arial" w:cs="Arial"/>
          <w:b/>
          <w:bCs/>
          <w:sz w:val="22"/>
        </w:rPr>
        <w:tab/>
      </w:r>
      <w:r w:rsidR="0053051D" w:rsidRPr="0081560D">
        <w:rPr>
          <w:rFonts w:ascii="Arial" w:eastAsia="Calibri" w:hAnsi="Arial" w:cs="Arial"/>
          <w:b/>
          <w:bCs/>
          <w:sz w:val="22"/>
        </w:rPr>
        <w:tab/>
      </w:r>
      <w:r w:rsidRPr="0081560D">
        <w:rPr>
          <w:rFonts w:ascii="Arial" w:eastAsia="Calibri" w:hAnsi="Arial" w:cs="Arial"/>
          <w:sz w:val="22"/>
        </w:rPr>
        <w:t xml:space="preserve">Ahora </w:t>
      </w:r>
      <w:r w:rsidR="0053051D" w:rsidRPr="0081560D">
        <w:rPr>
          <w:rFonts w:ascii="Arial" w:eastAsia="Calibri" w:hAnsi="Arial" w:cs="Arial"/>
          <w:sz w:val="22"/>
        </w:rPr>
        <w:t>bien, teniendo</w:t>
      </w:r>
      <w:r w:rsidRPr="0081560D">
        <w:rPr>
          <w:rFonts w:ascii="Arial" w:eastAsia="Calibri" w:hAnsi="Arial" w:cs="Arial"/>
          <w:sz w:val="22"/>
        </w:rPr>
        <w:t xml:space="preserve"> en cuenta que </w:t>
      </w:r>
      <w:r w:rsidRPr="0081560D">
        <w:rPr>
          <w:rFonts w:ascii="Arial" w:hAnsi="Arial" w:cs="Arial"/>
          <w:sz w:val="22"/>
        </w:rPr>
        <w:t xml:space="preserve">la Capacidad Residual es un requisito habilitante está sujeta a la posibilidad de subsanar la ausencia de requisitos, siempre que se cumpla con los límites temporales y materiales descritos en el presente concepto o de aclarar, con es el fin de esclarecer dudas sobre aspectos de la información presentada por el proponente. </w:t>
      </w:r>
    </w:p>
    <w:p w14:paraId="25FA14FA" w14:textId="2C6020F1" w:rsidR="004E406E" w:rsidRPr="0081560D" w:rsidRDefault="004E406E" w:rsidP="0081560D">
      <w:pPr>
        <w:tabs>
          <w:tab w:val="left" w:pos="426"/>
        </w:tabs>
        <w:spacing w:after="120" w:line="276" w:lineRule="auto"/>
        <w:jc w:val="both"/>
        <w:rPr>
          <w:rFonts w:ascii="Arial" w:eastAsia="Times New Roman" w:hAnsi="Arial" w:cs="Arial"/>
          <w:spacing w:val="2"/>
          <w:sz w:val="22"/>
          <w:lang w:val="es-CO" w:eastAsia="es-CO"/>
        </w:rPr>
      </w:pPr>
      <w:r w:rsidRPr="0081560D">
        <w:rPr>
          <w:rFonts w:ascii="Arial" w:hAnsi="Arial" w:cs="Arial"/>
          <w:sz w:val="22"/>
        </w:rPr>
        <w:tab/>
      </w:r>
      <w:r w:rsidRPr="0081560D">
        <w:rPr>
          <w:rFonts w:ascii="Arial" w:hAnsi="Arial" w:cs="Arial"/>
          <w:sz w:val="22"/>
        </w:rPr>
        <w:tab/>
        <w:t xml:space="preserve">Respecto a la consulta planteada acerca de la posibilidad de que una Entidad Estatal rechace la oferta de un proponente por no haber relacionado en el formato de Capacidad Residual un contrato que se encuentra en la misma Entidad o por no haber allegado toda la información requerida en el formato usado, debe señarse que las Entidades Estatales, como directoras de sus procesos de contratación son autónomas en estipular en sus Pliegos de Condiciones o documentos equivalentes, las causales de rechazo que considere pertinente, siempre que no contradigan la Ley ni los principios que rigen en materia de contratación. </w:t>
      </w:r>
    </w:p>
    <w:p w14:paraId="06037FAF" w14:textId="77777777" w:rsidR="004E406E" w:rsidRPr="0081560D" w:rsidRDefault="004E406E" w:rsidP="0081560D">
      <w:pPr>
        <w:spacing w:after="120" w:line="276" w:lineRule="auto"/>
        <w:ind w:firstLine="709"/>
        <w:jc w:val="both"/>
        <w:rPr>
          <w:rFonts w:ascii="Arial" w:eastAsia="Times New Roman" w:hAnsi="Arial" w:cs="Arial"/>
          <w:spacing w:val="2"/>
          <w:sz w:val="22"/>
          <w:lang w:val="es-CO" w:eastAsia="es-CO"/>
        </w:rPr>
      </w:pPr>
      <w:r w:rsidRPr="0081560D">
        <w:rPr>
          <w:rFonts w:ascii="Arial" w:eastAsia="Times New Roman" w:hAnsi="Arial" w:cs="Arial"/>
          <w:spacing w:val="2"/>
          <w:sz w:val="22"/>
          <w:lang w:val="es-CO" w:eastAsia="es-CO"/>
        </w:rPr>
        <w:t>Se concluye que, si bien la administración cuenta con un espacio significativo de discrecionalidad al momento de elaborar los pliegos de condiciones, la misma se encuentra delimitada por los fines y principios de la contratación estatal. En este entendimiento, la administración no puede establecer en los pliegos de condiciones causales de rechazo que no tengan un fundamento legal o constitucional, y que carezcan de razonabilidad y proporcionalidad en relación con el objeto a contratar.</w:t>
      </w:r>
    </w:p>
    <w:p w14:paraId="4F460D47" w14:textId="3152DC72" w:rsidR="004E406E" w:rsidRPr="0081560D" w:rsidRDefault="004E406E" w:rsidP="0081560D">
      <w:pPr>
        <w:spacing w:line="276" w:lineRule="auto"/>
        <w:ind w:right="79" w:firstLine="709"/>
        <w:jc w:val="both"/>
        <w:rPr>
          <w:rFonts w:ascii="Arial" w:eastAsia="Arial" w:hAnsi="Arial" w:cs="Arial"/>
          <w:sz w:val="22"/>
        </w:rPr>
      </w:pPr>
      <w:r w:rsidRPr="0081560D">
        <w:rPr>
          <w:rFonts w:ascii="Arial" w:eastAsia="Arial" w:hAnsi="Arial" w:cs="Arial"/>
          <w:sz w:val="22"/>
        </w:rPr>
        <w:t xml:space="preserve">Teniendo en cuenta las consideraciones anteriores, corresponderá a cada </w:t>
      </w:r>
      <w:r w:rsidR="008C48A8" w:rsidRPr="0081560D">
        <w:rPr>
          <w:rFonts w:ascii="Arial" w:eastAsia="Arial" w:hAnsi="Arial" w:cs="Arial"/>
          <w:sz w:val="22"/>
        </w:rPr>
        <w:t>Entidad Estatal</w:t>
      </w:r>
      <w:r w:rsidRPr="0081560D">
        <w:rPr>
          <w:rFonts w:ascii="Arial" w:eastAsia="Arial" w:hAnsi="Arial" w:cs="Arial"/>
          <w:sz w:val="22"/>
        </w:rPr>
        <w:t>, atendiendo a las circunstancias de cada procedimiento de selección, tomar las decisiones que correspondan en el proceso de evaluación de las ofertas.</w:t>
      </w:r>
    </w:p>
    <w:p w14:paraId="4D78392E" w14:textId="77777777" w:rsidR="004E406E" w:rsidRPr="0081560D" w:rsidRDefault="004E406E" w:rsidP="0081560D">
      <w:pPr>
        <w:ind w:right="709"/>
        <w:contextualSpacing/>
        <w:jc w:val="both"/>
        <w:rPr>
          <w:rFonts w:ascii="Arial" w:hAnsi="Arial" w:cs="Arial"/>
          <w:sz w:val="22"/>
        </w:rPr>
      </w:pPr>
    </w:p>
    <w:p w14:paraId="18367221" w14:textId="65597EF3" w:rsidR="004E406E" w:rsidRPr="0081560D" w:rsidRDefault="0081560D" w:rsidP="0081560D">
      <w:pPr>
        <w:ind w:left="709" w:right="709"/>
        <w:contextualSpacing/>
        <w:jc w:val="both"/>
        <w:rPr>
          <w:rFonts w:ascii="Arial" w:hAnsi="Arial" w:cs="Arial"/>
          <w:sz w:val="21"/>
          <w:szCs w:val="21"/>
        </w:rPr>
      </w:pPr>
      <w:r w:rsidRPr="0081560D">
        <w:rPr>
          <w:rFonts w:ascii="Arial" w:hAnsi="Arial" w:cs="Arial"/>
          <w:sz w:val="21"/>
          <w:szCs w:val="21"/>
          <w:lang w:val="es-ES_tradnl"/>
        </w:rPr>
        <w:t>«</w:t>
      </w:r>
      <w:r w:rsidR="004E406E" w:rsidRPr="0081560D">
        <w:rPr>
          <w:rFonts w:ascii="Arial" w:hAnsi="Arial" w:cs="Arial"/>
          <w:sz w:val="21"/>
          <w:szCs w:val="21"/>
        </w:rPr>
        <w:t>3. SI EN VEZ DE PONER QUE EL CONTRATO ESTA SUSPENDIDO, DILIGENCIO EL SALDO FALTANTE POR EJECUTAR, LA ENTIDAD PUEDE RECHAZARME</w:t>
      </w:r>
      <w:proofErr w:type="gramStart"/>
      <w:r w:rsidR="004E406E" w:rsidRPr="0081560D">
        <w:rPr>
          <w:rFonts w:ascii="Arial" w:hAnsi="Arial" w:cs="Arial"/>
          <w:sz w:val="21"/>
          <w:szCs w:val="21"/>
        </w:rPr>
        <w:t>?:</w:t>
      </w:r>
      <w:r w:rsidRPr="0081560D">
        <w:rPr>
          <w:rFonts w:ascii="Arial" w:hAnsi="Arial" w:cs="Arial"/>
          <w:sz w:val="21"/>
          <w:szCs w:val="21"/>
          <w:lang w:val="es-ES_tradnl"/>
        </w:rPr>
        <w:t xml:space="preserve"> »</w:t>
      </w:r>
      <w:proofErr w:type="gramEnd"/>
      <w:r w:rsidRPr="0081560D">
        <w:rPr>
          <w:rFonts w:ascii="Arial" w:hAnsi="Arial" w:cs="Arial"/>
          <w:sz w:val="21"/>
          <w:szCs w:val="21"/>
          <w:lang w:val="es-ES_tradnl"/>
        </w:rPr>
        <w:t xml:space="preserve"> [SIC]</w:t>
      </w:r>
    </w:p>
    <w:p w14:paraId="7BC51C59" w14:textId="77777777" w:rsidR="004E406E" w:rsidRPr="0081560D" w:rsidRDefault="004E406E" w:rsidP="0081560D">
      <w:pPr>
        <w:ind w:left="709" w:right="709"/>
        <w:contextualSpacing/>
        <w:jc w:val="both"/>
        <w:rPr>
          <w:rFonts w:ascii="Arial" w:hAnsi="Arial" w:cs="Arial"/>
          <w:sz w:val="21"/>
          <w:szCs w:val="21"/>
        </w:rPr>
      </w:pPr>
    </w:p>
    <w:p w14:paraId="53DD83A8" w14:textId="2D902678" w:rsidR="004E406E" w:rsidRPr="0081560D" w:rsidRDefault="004E406E" w:rsidP="0081560D">
      <w:pPr>
        <w:spacing w:after="120" w:line="276" w:lineRule="auto"/>
        <w:jc w:val="both"/>
        <w:rPr>
          <w:rFonts w:ascii="Arial" w:hAnsi="Arial" w:cs="Arial"/>
          <w:bCs/>
          <w:sz w:val="22"/>
          <w:lang w:val="es-ES" w:eastAsia="es-CO"/>
        </w:rPr>
      </w:pPr>
      <w:bookmarkStart w:id="18" w:name="_Hlk113291715"/>
      <w:r w:rsidRPr="0081560D">
        <w:rPr>
          <w:rFonts w:ascii="Arial" w:hAnsi="Arial" w:cs="Arial"/>
          <w:sz w:val="22"/>
        </w:rPr>
        <w:t>De conformidad con las consideraciones expuestas, a efectos de calcular la capacidad residual, y tal como lo establece la «</w:t>
      </w:r>
      <w:r w:rsidRPr="0081560D">
        <w:rPr>
          <w:rFonts w:ascii="Arial" w:hAnsi="Arial" w:cs="Arial"/>
          <w:i/>
          <w:iCs/>
          <w:sz w:val="22"/>
        </w:rPr>
        <w:t>Guía para Determinar y Verificar la Capacidad Residual del Proponente en los Procesos de Contratación de Obra Pública»</w:t>
      </w:r>
      <w:r w:rsidRPr="0081560D">
        <w:rPr>
          <w:rFonts w:ascii="Arial" w:hAnsi="Arial" w:cs="Arial"/>
          <w:iCs/>
          <w:sz w:val="22"/>
        </w:rPr>
        <w:t xml:space="preserve">, son contratos en ejecución </w:t>
      </w:r>
      <w:r w:rsidRPr="0081560D">
        <w:rPr>
          <w:rFonts w:ascii="Arial" w:hAnsi="Arial" w:cs="Arial"/>
          <w:sz w:val="22"/>
        </w:rPr>
        <w:t>aquellos que «[…]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bookmarkEnd w:id="18"/>
    </w:p>
    <w:p w14:paraId="7410B1A6" w14:textId="52DFC898" w:rsidR="004E406E" w:rsidRPr="0081560D" w:rsidRDefault="004E406E" w:rsidP="0081560D">
      <w:pPr>
        <w:spacing w:after="120" w:line="276" w:lineRule="auto"/>
        <w:ind w:firstLine="708"/>
        <w:jc w:val="both"/>
        <w:rPr>
          <w:rFonts w:ascii="Arial" w:hAnsi="Arial" w:cs="Arial"/>
          <w:sz w:val="22"/>
        </w:rPr>
      </w:pPr>
      <w:r w:rsidRPr="0081560D">
        <w:rPr>
          <w:rFonts w:ascii="Arial" w:hAnsi="Arial" w:cs="Arial"/>
          <w:bCs/>
          <w:sz w:val="22"/>
          <w:lang w:val="es-ES" w:eastAsia="es-CO"/>
        </w:rPr>
        <w:t xml:space="preserve">Así las cosas, se concluye que, son contratos en ejecución, para efectos de calcular la capacidad residual del proponente, deben incluirse todos los contratos suscritos por el </w:t>
      </w:r>
      <w:r w:rsidRPr="0081560D">
        <w:rPr>
          <w:rFonts w:ascii="Arial" w:hAnsi="Arial" w:cs="Arial"/>
          <w:bCs/>
          <w:sz w:val="22"/>
          <w:lang w:val="es-ES" w:eastAsia="es-CO"/>
        </w:rPr>
        <w:lastRenderedPageBreak/>
        <w:t xml:space="preserve">proponente antes de la fecha de cierre del </w:t>
      </w:r>
      <w:r w:rsidR="008C48A8" w:rsidRPr="0081560D">
        <w:rPr>
          <w:rFonts w:ascii="Arial" w:hAnsi="Arial" w:cs="Arial"/>
          <w:bCs/>
          <w:sz w:val="22"/>
          <w:lang w:val="es-ES" w:eastAsia="es-CO"/>
        </w:rPr>
        <w:t>Proceso de Contratación</w:t>
      </w:r>
      <w:r w:rsidRPr="0081560D">
        <w:rPr>
          <w:rFonts w:ascii="Arial" w:hAnsi="Arial" w:cs="Arial"/>
          <w:bCs/>
          <w:sz w:val="22"/>
          <w:lang w:val="es-ES" w:eastAsia="es-CO"/>
        </w:rPr>
        <w:t>, aun cuando</w:t>
      </w:r>
      <w:r w:rsidRPr="0081560D">
        <w:rPr>
          <w:rFonts w:ascii="Arial" w:hAnsi="Arial" w:cs="Arial"/>
          <w:sz w:val="22"/>
        </w:rPr>
        <w:t xml:space="preserve"> se encuentren suspendidos.</w:t>
      </w:r>
    </w:p>
    <w:p w14:paraId="3F7C238B" w14:textId="6E1F5E7C" w:rsidR="004E406E" w:rsidRPr="0081560D" w:rsidRDefault="004E406E" w:rsidP="004E406E">
      <w:pPr>
        <w:spacing w:line="276" w:lineRule="auto"/>
        <w:ind w:firstLine="709"/>
        <w:contextualSpacing/>
        <w:jc w:val="both"/>
        <w:rPr>
          <w:rFonts w:ascii="Arial" w:hAnsi="Arial" w:cs="Arial"/>
          <w:sz w:val="22"/>
        </w:rPr>
      </w:pPr>
      <w:r w:rsidRPr="0081560D">
        <w:rPr>
          <w:rFonts w:ascii="Arial" w:hAnsi="Arial" w:cs="Arial"/>
          <w:sz w:val="22"/>
        </w:rPr>
        <w:t xml:space="preserve">Lo anterior, en la medida en que la ejecución de los contratos, en principio, suspendidos, eventualmente, pueden afectar la aptitud del oferente para cumplir con el contrato ofertado, razón por la que, ante la posibilidad de que tales contratos se reanuden, la </w:t>
      </w:r>
      <w:r w:rsidRPr="0081560D">
        <w:rPr>
          <w:rFonts w:ascii="Arial" w:eastAsia="Times New Roman" w:hAnsi="Arial" w:cs="Arial"/>
          <w:sz w:val="22"/>
          <w:lang w:eastAsia="en-GB"/>
        </w:rPr>
        <w:t xml:space="preserve">«Guía para Determinar y Verificar la Capacidad Residual del Proponente en los Procesos de Contratación de Obra Pública» </w:t>
      </w:r>
      <w:r w:rsidRPr="0081560D">
        <w:rPr>
          <w:rFonts w:ascii="Arial" w:hAnsi="Arial" w:cs="Arial"/>
          <w:sz w:val="22"/>
        </w:rPr>
        <w:t>estimó necesario evaluar los saldos pendientes por ejecutar de tales contratos para determinar si el proponente cumple con la Capacidad Residual requerida</w:t>
      </w:r>
      <w:r w:rsidR="0053051D" w:rsidRPr="0081560D">
        <w:rPr>
          <w:rFonts w:ascii="Arial" w:hAnsi="Arial" w:cs="Arial"/>
          <w:sz w:val="22"/>
        </w:rPr>
        <w:t xml:space="preserve">. Sin embargo, se vuelve a recordar que </w:t>
      </w:r>
      <w:r w:rsidR="0053051D" w:rsidRPr="0081560D">
        <w:rPr>
          <w:rFonts w:ascii="Arial" w:eastAsia="Arial" w:hAnsi="Arial" w:cs="Arial"/>
          <w:sz w:val="22"/>
        </w:rPr>
        <w:t>corresponderá a cada Entidad Estatal, atendiendo a las circunstancias de cada procedimiento de selección, tomar las decisiones que correspondan en el proceso de evaluación de las ofertas.</w:t>
      </w:r>
    </w:p>
    <w:p w14:paraId="186C5740" w14:textId="77777777" w:rsidR="004E406E" w:rsidRPr="0081560D" w:rsidRDefault="004E406E" w:rsidP="004E406E">
      <w:pPr>
        <w:ind w:right="709" w:firstLine="708"/>
        <w:contextualSpacing/>
        <w:jc w:val="both"/>
        <w:rPr>
          <w:rFonts w:ascii="Arial" w:hAnsi="Arial" w:cs="Arial"/>
          <w:sz w:val="21"/>
          <w:szCs w:val="21"/>
        </w:rPr>
      </w:pPr>
    </w:p>
    <w:p w14:paraId="0F5BFE3B" w14:textId="77777777" w:rsidR="004E406E" w:rsidRPr="0081560D" w:rsidRDefault="004E406E" w:rsidP="0081560D">
      <w:pPr>
        <w:spacing w:line="276" w:lineRule="auto"/>
        <w:contextualSpacing/>
        <w:jc w:val="both"/>
        <w:rPr>
          <w:rFonts w:ascii="Arial" w:eastAsia="Calibri" w:hAnsi="Arial" w:cs="Arial"/>
          <w:sz w:val="22"/>
          <w:lang w:val="es-ES_tradnl"/>
        </w:rPr>
      </w:pPr>
      <w:r w:rsidRPr="0081560D">
        <w:rPr>
          <w:rFonts w:ascii="Arial" w:eastAsia="Calibri" w:hAnsi="Arial" w:cs="Arial"/>
          <w:sz w:val="22"/>
          <w:lang w:val="es-ES_tradnl"/>
        </w:rPr>
        <w:t xml:space="preserve">Este concepto tiene el alcance previsto en el artículo 28 del Código de Procedimiento Administrativo y de lo Contencioso Administrativo </w:t>
      </w:r>
      <w:r w:rsidRPr="0081560D">
        <w:rPr>
          <w:rFonts w:ascii="Arial" w:eastAsia="Calibri" w:hAnsi="Arial" w:cs="Arial"/>
          <w:lang w:val="es-ES_tradnl" w:eastAsia="en-GB"/>
        </w:rPr>
        <w:t xml:space="preserve">y </w:t>
      </w:r>
      <w:r w:rsidRPr="0081560D">
        <w:rPr>
          <w:rFonts w:ascii="Arial" w:eastAsia="Calibri" w:hAnsi="Arial" w:cs="Arial"/>
        </w:rPr>
        <w:t>las expresiones aquí utilizadas con mayúscula inicial deben ser entendidas con el significado que les otorga el artículo 2.2.1.1.1.3.1. del Decreto 1082 de 2015</w:t>
      </w:r>
      <w:r w:rsidRPr="0081560D">
        <w:rPr>
          <w:rFonts w:ascii="Arial" w:eastAsia="Calibri" w:hAnsi="Arial" w:cs="Arial"/>
          <w:sz w:val="22"/>
          <w:lang w:val="es-ES_tradnl"/>
        </w:rPr>
        <w:t>.</w:t>
      </w:r>
    </w:p>
    <w:p w14:paraId="5734D7F4" w14:textId="77777777" w:rsidR="004E406E" w:rsidRPr="0081560D" w:rsidRDefault="004E406E" w:rsidP="004E406E">
      <w:pPr>
        <w:spacing w:line="276" w:lineRule="auto"/>
        <w:contextualSpacing/>
        <w:jc w:val="both"/>
        <w:rPr>
          <w:rFonts w:ascii="Arial" w:hAnsi="Arial" w:cs="Arial"/>
          <w:sz w:val="22"/>
          <w:lang w:val="es-ES_tradnl" w:eastAsia="es-CO"/>
        </w:rPr>
      </w:pPr>
      <w:bookmarkStart w:id="19" w:name="_Hlk50986665"/>
      <w:bookmarkStart w:id="20" w:name="_Hlk52766744"/>
    </w:p>
    <w:p w14:paraId="214D8029" w14:textId="784578A3" w:rsidR="004E406E" w:rsidRDefault="004E406E" w:rsidP="004E406E">
      <w:pPr>
        <w:spacing w:line="276" w:lineRule="auto"/>
        <w:contextualSpacing/>
        <w:jc w:val="both"/>
        <w:rPr>
          <w:rFonts w:ascii="Arial" w:hAnsi="Arial" w:cs="Arial"/>
          <w:sz w:val="22"/>
          <w:lang w:val="es-ES_tradnl" w:eastAsia="es-CO"/>
        </w:rPr>
      </w:pPr>
      <w:r w:rsidRPr="0081560D">
        <w:rPr>
          <w:rFonts w:ascii="Arial" w:hAnsi="Arial" w:cs="Arial"/>
          <w:sz w:val="22"/>
          <w:lang w:val="es-ES_tradnl" w:eastAsia="es-CO"/>
        </w:rPr>
        <w:t>Atentamente</w:t>
      </w:r>
      <w:bookmarkEnd w:id="1"/>
      <w:bookmarkEnd w:id="19"/>
      <w:bookmarkEnd w:id="20"/>
      <w:r w:rsidRPr="0081560D">
        <w:rPr>
          <w:rFonts w:ascii="Arial" w:hAnsi="Arial" w:cs="Arial"/>
          <w:sz w:val="22"/>
          <w:lang w:val="es-ES_tradnl" w:eastAsia="es-CO"/>
        </w:rPr>
        <w:t>,</w:t>
      </w:r>
    </w:p>
    <w:bookmarkEnd w:id="0"/>
    <w:p w14:paraId="353A7A8A" w14:textId="0F9CF412" w:rsidR="004E406E" w:rsidRPr="0081560D" w:rsidRDefault="00872D12" w:rsidP="004E406E">
      <w:pPr>
        <w:spacing w:line="276" w:lineRule="auto"/>
        <w:jc w:val="center"/>
        <w:textAlignment w:val="baseline"/>
        <w:rPr>
          <w:rFonts w:ascii="Arial" w:eastAsia="Times New Roman" w:hAnsi="Arial" w:cs="Arial"/>
          <w:sz w:val="18"/>
          <w:szCs w:val="18"/>
          <w:lang w:val="es-ES_tradnl" w:eastAsia="es-CO"/>
        </w:rPr>
      </w:pPr>
      <w:r>
        <w:rPr>
          <w:rFonts w:ascii="Arial" w:hAnsi="Arial" w:cs="Arial"/>
          <w:noProof/>
          <w:sz w:val="16"/>
          <w:szCs w:val="16"/>
          <w:lang w:val="es-ES"/>
        </w:rPr>
        <w:drawing>
          <wp:inline distT="0" distB="0" distL="0" distR="0" wp14:anchorId="134C1E79" wp14:editId="22E64DDA">
            <wp:extent cx="2752725" cy="1057206"/>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072" cy="1060796"/>
                    </a:xfrm>
                    <a:prstGeom prst="rect">
                      <a:avLst/>
                    </a:prstGeom>
                    <a:noFill/>
                    <a:ln>
                      <a:noFill/>
                    </a:ln>
                  </pic:spPr>
                </pic:pic>
              </a:graphicData>
            </a:graphic>
          </wp:inline>
        </w:drawing>
      </w:r>
      <w:r w:rsidR="004E406E" w:rsidRPr="0081560D">
        <w:rPr>
          <w:rFonts w:ascii="Arial" w:eastAsia="Times New Roman" w:hAnsi="Arial" w:cs="Arial"/>
          <w:sz w:val="18"/>
          <w:szCs w:val="18"/>
          <w:lang w:val="es-ES_tradnl" w:eastAsia="es-CO"/>
        </w:rPr>
        <w: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81560D" w:rsidRPr="0081560D" w14:paraId="22FEB64B" w14:textId="77777777" w:rsidTr="00BD401D">
        <w:trPr>
          <w:trHeight w:val="315"/>
        </w:trPr>
        <w:tc>
          <w:tcPr>
            <w:tcW w:w="812" w:type="dxa"/>
            <w:vAlign w:val="center"/>
            <w:hideMark/>
          </w:tcPr>
          <w:p w14:paraId="6B2FB09B" w14:textId="77777777" w:rsidR="004E406E" w:rsidRPr="0081560D" w:rsidRDefault="004E406E" w:rsidP="00BD401D">
            <w:pPr>
              <w:spacing w:line="276" w:lineRule="auto"/>
              <w:rPr>
                <w:rFonts w:ascii="Arial" w:eastAsia="Times New Roman" w:hAnsi="Arial" w:cs="Arial"/>
                <w:sz w:val="14"/>
                <w:szCs w:val="14"/>
              </w:rPr>
            </w:pPr>
            <w:r w:rsidRPr="0081560D">
              <w:rPr>
                <w:rFonts w:ascii="Arial" w:eastAsia="Times New Roman" w:hAnsi="Arial" w:cs="Arial"/>
                <w:sz w:val="14"/>
                <w:szCs w:val="14"/>
              </w:rPr>
              <w:t>Elaboró:</w:t>
            </w:r>
          </w:p>
        </w:tc>
        <w:tc>
          <w:tcPr>
            <w:tcW w:w="4291" w:type="dxa"/>
            <w:tcBorders>
              <w:top w:val="nil"/>
              <w:left w:val="nil"/>
              <w:bottom w:val="dotted" w:sz="4" w:space="0" w:color="7F7F7F" w:themeColor="text1" w:themeTint="80"/>
              <w:right w:val="nil"/>
            </w:tcBorders>
            <w:vAlign w:val="center"/>
            <w:hideMark/>
          </w:tcPr>
          <w:p w14:paraId="1F9709EB" w14:textId="77777777" w:rsidR="004E406E" w:rsidRPr="0081560D" w:rsidRDefault="004E406E" w:rsidP="00BD401D">
            <w:pPr>
              <w:spacing w:line="276" w:lineRule="auto"/>
              <w:rPr>
                <w:rFonts w:ascii="Arial" w:eastAsia="Times New Roman" w:hAnsi="Arial" w:cs="Arial"/>
                <w:sz w:val="14"/>
                <w:szCs w:val="14"/>
                <w:lang w:val="es-ES_tradnl"/>
              </w:rPr>
            </w:pPr>
            <w:r w:rsidRPr="0081560D">
              <w:rPr>
                <w:rFonts w:ascii="Arial" w:eastAsia="Times New Roman" w:hAnsi="Arial" w:cs="Arial"/>
                <w:sz w:val="14"/>
                <w:szCs w:val="14"/>
                <w:lang w:val="es-ES_tradnl"/>
              </w:rPr>
              <w:t>Diana Lucia Saavedra Castañeda</w:t>
            </w:r>
          </w:p>
          <w:p w14:paraId="00644D86" w14:textId="77777777" w:rsidR="004E406E" w:rsidRPr="0081560D" w:rsidRDefault="004E406E" w:rsidP="00BD401D">
            <w:pPr>
              <w:spacing w:line="276" w:lineRule="auto"/>
              <w:rPr>
                <w:rFonts w:ascii="Arial" w:eastAsia="Times New Roman" w:hAnsi="Arial" w:cs="Arial"/>
                <w:sz w:val="14"/>
                <w:szCs w:val="14"/>
              </w:rPr>
            </w:pPr>
            <w:r w:rsidRPr="0081560D">
              <w:rPr>
                <w:rFonts w:ascii="Arial" w:eastAsia="Times New Roman" w:hAnsi="Arial" w:cs="Arial"/>
                <w:sz w:val="14"/>
                <w:szCs w:val="14"/>
                <w:lang w:val="es-ES_tradnl"/>
              </w:rPr>
              <w:t>Contratista de la Subdirección de Gestión Contractual</w:t>
            </w:r>
          </w:p>
        </w:tc>
      </w:tr>
      <w:tr w:rsidR="0081560D" w:rsidRPr="0081560D" w14:paraId="1EBC86DC" w14:textId="77777777" w:rsidTr="00BD401D">
        <w:trPr>
          <w:trHeight w:val="330"/>
        </w:trPr>
        <w:tc>
          <w:tcPr>
            <w:tcW w:w="812" w:type="dxa"/>
            <w:vAlign w:val="center"/>
            <w:hideMark/>
          </w:tcPr>
          <w:p w14:paraId="20A41FF6" w14:textId="77777777" w:rsidR="004E406E" w:rsidRPr="0081560D" w:rsidRDefault="004E406E" w:rsidP="00BD401D">
            <w:pPr>
              <w:spacing w:line="276" w:lineRule="auto"/>
              <w:rPr>
                <w:rFonts w:ascii="Arial" w:eastAsia="Times New Roman" w:hAnsi="Arial" w:cs="Arial"/>
                <w:sz w:val="14"/>
                <w:szCs w:val="14"/>
              </w:rPr>
            </w:pPr>
            <w:r w:rsidRPr="0081560D">
              <w:rPr>
                <w:rFonts w:ascii="Arial" w:eastAsia="Times New Roman" w:hAnsi="Arial" w:cs="Arial"/>
                <w:sz w:val="14"/>
                <w:szCs w:val="14"/>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536AD185" w14:textId="77777777" w:rsidR="004E406E" w:rsidRPr="0081560D" w:rsidRDefault="004E406E" w:rsidP="00BD401D">
            <w:pPr>
              <w:spacing w:line="276" w:lineRule="auto"/>
              <w:rPr>
                <w:rFonts w:ascii="Arial" w:eastAsia="Times New Roman" w:hAnsi="Arial" w:cs="Arial"/>
                <w:sz w:val="14"/>
                <w:szCs w:val="14"/>
                <w:lang w:val="es-ES_tradnl"/>
              </w:rPr>
            </w:pPr>
            <w:r w:rsidRPr="0081560D">
              <w:rPr>
                <w:rFonts w:ascii="Arial" w:eastAsia="Times New Roman" w:hAnsi="Arial" w:cs="Arial"/>
                <w:sz w:val="14"/>
                <w:szCs w:val="14"/>
                <w:lang w:val="es-ES_tradnl"/>
              </w:rPr>
              <w:t>Any Alejandra Tovar Castillo</w:t>
            </w:r>
          </w:p>
          <w:p w14:paraId="43F4BB26" w14:textId="77777777" w:rsidR="004E406E" w:rsidRPr="0081560D" w:rsidRDefault="004E406E" w:rsidP="00BD401D">
            <w:pPr>
              <w:spacing w:line="276" w:lineRule="auto"/>
              <w:rPr>
                <w:rFonts w:ascii="Arial" w:eastAsia="Times New Roman" w:hAnsi="Arial" w:cs="Arial"/>
                <w:sz w:val="14"/>
                <w:szCs w:val="14"/>
              </w:rPr>
            </w:pPr>
            <w:r w:rsidRPr="0081560D">
              <w:rPr>
                <w:rFonts w:ascii="Arial" w:eastAsia="Times New Roman" w:hAnsi="Arial" w:cs="Arial"/>
                <w:sz w:val="14"/>
                <w:szCs w:val="14"/>
                <w:lang w:val="es-ES_tradnl"/>
              </w:rPr>
              <w:t>Contratista de la Subdirección de Gestión Contractual</w:t>
            </w:r>
          </w:p>
        </w:tc>
      </w:tr>
      <w:tr w:rsidR="004E406E" w:rsidRPr="0081560D" w14:paraId="6515F38D" w14:textId="77777777" w:rsidTr="00BD401D">
        <w:trPr>
          <w:trHeight w:val="300"/>
        </w:trPr>
        <w:tc>
          <w:tcPr>
            <w:tcW w:w="812" w:type="dxa"/>
            <w:vAlign w:val="center"/>
            <w:hideMark/>
          </w:tcPr>
          <w:p w14:paraId="418E6889" w14:textId="77777777" w:rsidR="004E406E" w:rsidRPr="0081560D" w:rsidRDefault="004E406E" w:rsidP="00BD401D">
            <w:pPr>
              <w:spacing w:line="276" w:lineRule="auto"/>
              <w:rPr>
                <w:rFonts w:ascii="Arial" w:eastAsia="Times New Roman" w:hAnsi="Arial" w:cs="Arial"/>
                <w:sz w:val="14"/>
                <w:szCs w:val="14"/>
              </w:rPr>
            </w:pPr>
            <w:r w:rsidRPr="0081560D">
              <w:rPr>
                <w:rFonts w:ascii="Arial" w:eastAsia="Times New Roman" w:hAnsi="Arial" w:cs="Arial"/>
                <w:sz w:val="14"/>
                <w:szCs w:val="14"/>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F4D159B" w14:textId="77777777" w:rsidR="004E406E" w:rsidRPr="0081560D" w:rsidRDefault="004E406E" w:rsidP="00BD401D">
            <w:pPr>
              <w:spacing w:line="276" w:lineRule="auto"/>
              <w:rPr>
                <w:rFonts w:ascii="Arial" w:hAnsi="Arial" w:cs="Arial"/>
                <w:sz w:val="14"/>
                <w:szCs w:val="14"/>
              </w:rPr>
            </w:pPr>
            <w:r w:rsidRPr="0081560D">
              <w:rPr>
                <w:rFonts w:ascii="Arial" w:hAnsi="Arial" w:cs="Arial"/>
                <w:sz w:val="14"/>
                <w:szCs w:val="14"/>
              </w:rPr>
              <w:t>Nohelia del Carmen Zawady Palacio</w:t>
            </w:r>
          </w:p>
          <w:p w14:paraId="1B4299E0" w14:textId="77777777" w:rsidR="004E406E" w:rsidRPr="0081560D" w:rsidRDefault="004E406E" w:rsidP="00BD401D">
            <w:pPr>
              <w:spacing w:line="276" w:lineRule="auto"/>
              <w:rPr>
                <w:rFonts w:ascii="Arial" w:eastAsia="Times New Roman" w:hAnsi="Arial" w:cs="Arial"/>
                <w:sz w:val="14"/>
                <w:szCs w:val="14"/>
              </w:rPr>
            </w:pPr>
            <w:r w:rsidRPr="0081560D">
              <w:rPr>
                <w:rFonts w:ascii="Arial" w:hAnsi="Arial" w:cs="Arial"/>
                <w:sz w:val="14"/>
                <w:szCs w:val="14"/>
              </w:rPr>
              <w:t>Subdirectora de Gestión Contractual ANCP – CCE</w:t>
            </w:r>
          </w:p>
        </w:tc>
      </w:tr>
    </w:tbl>
    <w:p w14:paraId="162D4583" w14:textId="77777777" w:rsidR="004E406E" w:rsidRPr="0081560D" w:rsidRDefault="004E406E" w:rsidP="004E406E">
      <w:pPr>
        <w:spacing w:line="276" w:lineRule="auto"/>
        <w:rPr>
          <w:rFonts w:ascii="Arial" w:hAnsi="Arial" w:cs="Arial"/>
        </w:rPr>
      </w:pPr>
    </w:p>
    <w:p w14:paraId="61D06B89" w14:textId="77777777" w:rsidR="004E406E" w:rsidRPr="0081560D" w:rsidRDefault="004E406E" w:rsidP="004E406E">
      <w:pPr>
        <w:contextualSpacing/>
        <w:jc w:val="center"/>
        <w:rPr>
          <w:rFonts w:ascii="Arial" w:hAnsi="Arial" w:cs="Arial"/>
          <w:sz w:val="22"/>
          <w:lang w:val="es-ES_tradnl"/>
        </w:rPr>
      </w:pPr>
    </w:p>
    <w:p w14:paraId="13BA4269" w14:textId="77777777" w:rsidR="004E406E" w:rsidRPr="0081560D" w:rsidRDefault="004E406E" w:rsidP="004E406E">
      <w:pPr>
        <w:rPr>
          <w:rFonts w:ascii="Arial" w:hAnsi="Arial" w:cs="Arial"/>
        </w:rPr>
      </w:pPr>
    </w:p>
    <w:p w14:paraId="7D54A0D3" w14:textId="77777777" w:rsidR="00833452" w:rsidRPr="0081560D" w:rsidRDefault="00833452" w:rsidP="004E406E">
      <w:pPr>
        <w:rPr>
          <w:rFonts w:ascii="Arial" w:hAnsi="Arial" w:cs="Arial"/>
        </w:rPr>
      </w:pPr>
    </w:p>
    <w:sectPr w:rsidR="00833452" w:rsidRPr="0081560D" w:rsidSect="0039439C">
      <w:headerReference w:type="default" r:id="rId17"/>
      <w:footerReference w:type="default" r:id="rId18"/>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393F" w14:textId="77777777" w:rsidR="006F4C29" w:rsidRDefault="006F4C29" w:rsidP="004A1847">
      <w:r>
        <w:separator/>
      </w:r>
    </w:p>
  </w:endnote>
  <w:endnote w:type="continuationSeparator" w:id="0">
    <w:p w14:paraId="6E068C39" w14:textId="77777777" w:rsidR="006F4C29" w:rsidRDefault="006F4C29" w:rsidP="004A1847">
      <w:r>
        <w:continuationSeparator/>
      </w:r>
    </w:p>
  </w:endnote>
  <w:endnote w:type="continuationNotice" w:id="1">
    <w:p w14:paraId="3558A3AA" w14:textId="77777777" w:rsidR="006C4299" w:rsidRDefault="006C4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DB22" w14:textId="77777777" w:rsidR="006F4C29" w:rsidRDefault="006F4C29" w:rsidP="004A1847">
      <w:r>
        <w:separator/>
      </w:r>
    </w:p>
  </w:footnote>
  <w:footnote w:type="continuationSeparator" w:id="0">
    <w:p w14:paraId="2059F621" w14:textId="77777777" w:rsidR="006F4C29" w:rsidRDefault="006F4C29" w:rsidP="004A1847">
      <w:r>
        <w:continuationSeparator/>
      </w:r>
    </w:p>
  </w:footnote>
  <w:footnote w:type="continuationNotice" w:id="1">
    <w:p w14:paraId="58838571" w14:textId="77777777" w:rsidR="006C4299" w:rsidRDefault="006C4299"/>
  </w:footnote>
  <w:footnote w:id="2">
    <w:p w14:paraId="4F8CFBEE" w14:textId="77777777" w:rsidR="004E406E" w:rsidRPr="002C5485" w:rsidRDefault="004E406E" w:rsidP="004E406E">
      <w:pPr>
        <w:pStyle w:val="Textonotapie"/>
        <w:ind w:firstLine="708"/>
        <w:contextualSpacing/>
        <w:jc w:val="both"/>
        <w:rPr>
          <w:rFonts w:ascii="Arial" w:hAnsi="Arial" w:cs="Arial"/>
          <w:sz w:val="18"/>
          <w:szCs w:val="18"/>
          <w:lang w:val="es-ES"/>
        </w:rPr>
      </w:pPr>
      <w:r w:rsidRPr="002C5485">
        <w:rPr>
          <w:rStyle w:val="Refdenotaalpie"/>
          <w:rFonts w:ascii="Arial" w:hAnsi="Arial" w:cs="Arial"/>
          <w:sz w:val="18"/>
          <w:szCs w:val="18"/>
        </w:rPr>
        <w:footnoteRef/>
      </w:r>
      <w:r w:rsidRPr="002C5485">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C5485">
        <w:rPr>
          <w:rFonts w:ascii="Arial" w:hAnsi="Arial" w:cs="Arial"/>
          <w:i/>
          <w:iCs/>
          <w:sz w:val="18"/>
          <w:szCs w:val="18"/>
        </w:rPr>
        <w:t xml:space="preserve">ibidem </w:t>
      </w:r>
      <w:r w:rsidRPr="002C5485">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EA9ABF4" w14:textId="77777777" w:rsidR="004E406E" w:rsidRPr="002C5485" w:rsidRDefault="004E406E" w:rsidP="004E406E">
      <w:pPr>
        <w:pStyle w:val="Textonotapie"/>
        <w:ind w:firstLine="709"/>
        <w:contextualSpacing/>
        <w:jc w:val="both"/>
        <w:rPr>
          <w:rFonts w:ascii="Arial" w:hAnsi="Arial" w:cs="Arial"/>
          <w:sz w:val="18"/>
          <w:szCs w:val="18"/>
          <w:lang w:val="es-CO"/>
        </w:rPr>
      </w:pPr>
      <w:r w:rsidRPr="002C5485">
        <w:rPr>
          <w:rStyle w:val="Refdenotaalpie"/>
          <w:rFonts w:ascii="Arial" w:hAnsi="Arial" w:cs="Arial"/>
          <w:sz w:val="18"/>
          <w:szCs w:val="18"/>
        </w:rPr>
        <w:footnoteRef/>
      </w:r>
      <w:r w:rsidRPr="002C5485">
        <w:rPr>
          <w:rFonts w:ascii="Arial" w:hAnsi="Arial" w:cs="Arial"/>
          <w:sz w:val="18"/>
          <w:szCs w:val="18"/>
        </w:rPr>
        <w:t xml:space="preserve"> </w:t>
      </w:r>
      <w:r w:rsidRPr="002C5485">
        <w:rPr>
          <w:rFonts w:ascii="Arial" w:hAnsi="Arial" w:cs="Arial"/>
          <w:sz w:val="18"/>
          <w:szCs w:val="18"/>
          <w:lang w:val="es-CO"/>
        </w:rPr>
        <w:t xml:space="preserve">Estos conceptos pueden ser consultados en: </w:t>
      </w:r>
      <w:hyperlink r:id="rId1" w:history="1">
        <w:r w:rsidRPr="002C5485">
          <w:rPr>
            <w:rStyle w:val="Hipervnculo"/>
            <w:sz w:val="18"/>
            <w:szCs w:val="18"/>
          </w:rPr>
          <w:t>https://relatoria.colombiacompra.gov.co/busqueda/conceptos#</w:t>
        </w:r>
      </w:hyperlink>
    </w:p>
    <w:p w14:paraId="7E36AF51" w14:textId="77777777" w:rsidR="004E406E" w:rsidRPr="002C5485" w:rsidRDefault="004E406E" w:rsidP="004E406E">
      <w:pPr>
        <w:pStyle w:val="Textonotapie"/>
        <w:ind w:firstLine="709"/>
        <w:contextualSpacing/>
        <w:jc w:val="both"/>
        <w:rPr>
          <w:rFonts w:ascii="Arial" w:hAnsi="Arial" w:cs="Arial"/>
          <w:sz w:val="18"/>
          <w:szCs w:val="18"/>
          <w:lang w:val="es-CO"/>
        </w:rPr>
      </w:pPr>
    </w:p>
  </w:footnote>
  <w:footnote w:id="4">
    <w:p w14:paraId="12F0A40D" w14:textId="77777777" w:rsidR="004E406E" w:rsidRPr="002C5485" w:rsidRDefault="004E406E" w:rsidP="004E406E">
      <w:pPr>
        <w:pStyle w:val="Textonotapie"/>
        <w:ind w:firstLine="708"/>
        <w:contextualSpacing/>
        <w:jc w:val="both"/>
        <w:rPr>
          <w:rFonts w:ascii="Arial" w:eastAsia="Calibri" w:hAnsi="Arial" w:cs="Arial"/>
          <w:color w:val="000000" w:themeColor="text1"/>
          <w:sz w:val="18"/>
          <w:szCs w:val="18"/>
        </w:rPr>
      </w:pPr>
      <w:r w:rsidRPr="002C5485">
        <w:rPr>
          <w:rStyle w:val="Refdenotaalpie"/>
          <w:rFonts w:ascii="Arial" w:hAnsi="Arial" w:cs="Arial"/>
          <w:color w:val="000000" w:themeColor="text1"/>
          <w:sz w:val="18"/>
          <w:szCs w:val="18"/>
        </w:rPr>
        <w:footnoteRef/>
      </w:r>
      <w:r w:rsidRPr="002C5485">
        <w:rPr>
          <w:rFonts w:ascii="Arial" w:hAnsi="Arial" w:cs="Arial"/>
          <w:color w:val="000000" w:themeColor="text1"/>
          <w:sz w:val="18"/>
          <w:szCs w:val="18"/>
        </w:rPr>
        <w:t xml:space="preserve"> </w:t>
      </w:r>
      <w:r w:rsidRPr="002C5485">
        <w:rPr>
          <w:rFonts w:ascii="Arial" w:eastAsia="Calibri" w:hAnsi="Arial" w:cs="Arial"/>
          <w:color w:val="000000" w:themeColor="text1"/>
          <w:sz w:val="18"/>
          <w:szCs w:val="18"/>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34D2304F" w14:textId="77777777" w:rsidR="004E406E" w:rsidRPr="002C5485" w:rsidRDefault="004E406E" w:rsidP="004E406E">
      <w:pPr>
        <w:pStyle w:val="Textonotapie"/>
        <w:ind w:firstLine="708"/>
        <w:contextualSpacing/>
        <w:jc w:val="both"/>
        <w:rPr>
          <w:rFonts w:ascii="Arial" w:eastAsia="Calibri" w:hAnsi="Arial" w:cs="Arial"/>
          <w:color w:val="000000" w:themeColor="text1"/>
          <w:sz w:val="18"/>
          <w:szCs w:val="18"/>
        </w:rPr>
      </w:pPr>
      <w:r w:rsidRPr="002C5485">
        <w:rPr>
          <w:rFonts w:ascii="Arial" w:eastAsia="Calibri" w:hAnsi="Arial" w:cs="Arial"/>
          <w:color w:val="000000" w:themeColor="text1"/>
          <w:sz w:val="18"/>
          <w:szCs w:val="18"/>
        </w:rPr>
        <w:t>[…]</w:t>
      </w:r>
    </w:p>
    <w:p w14:paraId="7E941944" w14:textId="77777777" w:rsidR="004E406E" w:rsidRPr="002C5485" w:rsidRDefault="004E406E" w:rsidP="004E406E">
      <w:pPr>
        <w:pStyle w:val="Textonotapie"/>
        <w:ind w:firstLine="708"/>
        <w:contextualSpacing/>
        <w:jc w:val="both"/>
        <w:rPr>
          <w:rFonts w:ascii="Arial" w:hAnsi="Arial" w:cs="Arial"/>
          <w:color w:val="000000" w:themeColor="text1"/>
          <w:sz w:val="18"/>
          <w:szCs w:val="18"/>
        </w:rPr>
      </w:pPr>
      <w:r w:rsidRPr="002C5485">
        <w:rPr>
          <w:rFonts w:ascii="Arial" w:eastAsia="Calibri" w:hAnsi="Arial" w:cs="Arial"/>
          <w:color w:val="000000" w:themeColor="text1"/>
          <w:sz w:val="18"/>
          <w:szCs w:val="18"/>
        </w:rPr>
        <w:t>» 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2C5485">
        <w:rPr>
          <w:rFonts w:ascii="Arial" w:hAnsi="Arial" w:cs="Arial"/>
          <w:color w:val="000000" w:themeColor="text1"/>
          <w:sz w:val="18"/>
          <w:szCs w:val="18"/>
        </w:rPr>
        <w:t xml:space="preserve"> </w:t>
      </w:r>
    </w:p>
    <w:p w14:paraId="129A4C5A" w14:textId="77777777" w:rsidR="004E406E" w:rsidRPr="002C5485" w:rsidRDefault="004E406E" w:rsidP="004E406E">
      <w:pPr>
        <w:pStyle w:val="Textonotapie"/>
        <w:contextualSpacing/>
        <w:jc w:val="both"/>
        <w:rPr>
          <w:rFonts w:ascii="Arial" w:hAnsi="Arial" w:cs="Arial"/>
          <w:color w:val="000000" w:themeColor="text1"/>
          <w:sz w:val="18"/>
          <w:szCs w:val="18"/>
        </w:rPr>
      </w:pPr>
    </w:p>
  </w:footnote>
  <w:footnote w:id="5">
    <w:p w14:paraId="446FDBE8" w14:textId="77777777" w:rsidR="004E406E" w:rsidRPr="002C5485" w:rsidRDefault="004E406E" w:rsidP="004E406E">
      <w:pPr>
        <w:pStyle w:val="Textonotapie"/>
        <w:ind w:firstLine="709"/>
        <w:contextualSpacing/>
        <w:jc w:val="both"/>
        <w:rPr>
          <w:rFonts w:ascii="Arial" w:hAnsi="Arial" w:cs="Arial"/>
          <w:color w:val="000000" w:themeColor="text1"/>
          <w:sz w:val="18"/>
          <w:szCs w:val="18"/>
          <w:lang w:val="es-CO"/>
        </w:rPr>
      </w:pPr>
      <w:r w:rsidRPr="002C5485">
        <w:rPr>
          <w:rFonts w:ascii="Arial" w:eastAsia="Calibri" w:hAnsi="Arial" w:cs="Arial"/>
          <w:color w:val="000000" w:themeColor="text1"/>
          <w:sz w:val="18"/>
          <w:szCs w:val="18"/>
          <w:vertAlign w:val="superscript"/>
        </w:rPr>
        <w:footnoteRef/>
      </w:r>
      <w:r w:rsidRPr="002C5485">
        <w:rPr>
          <w:rFonts w:ascii="Arial" w:eastAsia="Calibri" w:hAnsi="Arial" w:cs="Arial"/>
          <w:color w:val="000000" w:themeColor="text1"/>
          <w:sz w:val="18"/>
          <w:szCs w:val="18"/>
          <w:vertAlign w:val="superscript"/>
        </w:rPr>
        <w:t xml:space="preserve"> </w:t>
      </w:r>
      <w:r w:rsidRPr="002C5485">
        <w:rPr>
          <w:rFonts w:ascii="Arial" w:eastAsia="Calibri" w:hAnsi="Arial" w:cs="Arial"/>
          <w:color w:val="000000" w:themeColor="text1"/>
          <w:sz w:val="18"/>
          <w:szCs w:val="18"/>
        </w:rPr>
        <w:t xml:space="preserve">Consejo de Estado. Sección Tercera. Sentencia del 26 de junio de 2003. Rad. 13.354. C.P: María Elena Giraldo Gómez. </w:t>
      </w:r>
    </w:p>
  </w:footnote>
  <w:footnote w:id="6">
    <w:p w14:paraId="12542A80" w14:textId="77777777" w:rsidR="004E406E" w:rsidRPr="002C5485" w:rsidRDefault="004E406E" w:rsidP="004E406E">
      <w:pPr>
        <w:pStyle w:val="NormalWeb"/>
        <w:shd w:val="clear" w:color="auto" w:fill="FFFFFF"/>
        <w:spacing w:before="0" w:beforeAutospacing="0" w:after="0" w:afterAutospacing="0"/>
        <w:ind w:firstLine="709"/>
        <w:contextualSpacing/>
        <w:rPr>
          <w:rFonts w:ascii="Arial" w:hAnsi="Arial" w:cs="Arial"/>
          <w:sz w:val="18"/>
          <w:szCs w:val="18"/>
        </w:rPr>
      </w:pPr>
      <w:r w:rsidRPr="002C5485">
        <w:rPr>
          <w:rStyle w:val="Refdenotaalpie"/>
          <w:rFonts w:ascii="Arial" w:hAnsi="Arial" w:cs="Arial"/>
          <w:sz w:val="18"/>
          <w:szCs w:val="18"/>
          <w:lang w:val="es-MX"/>
        </w:rPr>
        <w:footnoteRef/>
      </w:r>
      <w:r w:rsidRPr="002C5485">
        <w:rPr>
          <w:rStyle w:val="Refdenotaalpie"/>
          <w:rFonts w:ascii="Arial" w:hAnsi="Arial" w:cs="Arial"/>
          <w:sz w:val="18"/>
          <w:szCs w:val="18"/>
          <w:lang w:val="es-MX"/>
        </w:rPr>
        <w:t xml:space="preserve"> </w:t>
      </w:r>
      <w:r w:rsidRPr="002C5485">
        <w:rPr>
          <w:rFonts w:ascii="Arial" w:hAnsi="Arial" w:cs="Arial"/>
          <w:sz w:val="18"/>
          <w:szCs w:val="18"/>
        </w:rPr>
        <w:t>«Artículo 2.2.1.1.1.6.4. Capacidad Residual: El interesado en celebrar contratos de obra pública con Entidades Estatales debe acreditar su Capacidad Residual o K de Contratación con los siguientes documentos:</w:t>
      </w:r>
    </w:p>
    <w:p w14:paraId="41EF3476" w14:textId="77777777" w:rsidR="004E406E" w:rsidRPr="002C5485" w:rsidRDefault="004E406E" w:rsidP="004E406E">
      <w:pPr>
        <w:shd w:val="clear" w:color="auto" w:fill="FFFFFF"/>
        <w:ind w:firstLine="709"/>
        <w:contextualSpacing/>
        <w:jc w:val="both"/>
        <w:rPr>
          <w:rFonts w:ascii="Arial" w:hAnsi="Arial" w:cs="Arial"/>
          <w:sz w:val="18"/>
          <w:szCs w:val="18"/>
        </w:rPr>
      </w:pPr>
      <w:r w:rsidRPr="002C5485">
        <w:rPr>
          <w:rFonts w:ascii="Arial" w:hAnsi="Arial" w:cs="Arial"/>
          <w:sz w:val="18"/>
          <w:szCs w:val="18"/>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0BC630B" w14:textId="77777777" w:rsidR="004E406E" w:rsidRPr="002C5485" w:rsidRDefault="004E406E" w:rsidP="004E406E">
      <w:pPr>
        <w:shd w:val="clear" w:color="auto" w:fill="FFFFFF"/>
        <w:ind w:firstLine="709"/>
        <w:contextualSpacing/>
        <w:jc w:val="both"/>
        <w:rPr>
          <w:rFonts w:ascii="Arial" w:hAnsi="Arial" w:cs="Arial"/>
          <w:sz w:val="18"/>
          <w:szCs w:val="18"/>
        </w:rPr>
      </w:pPr>
      <w:r w:rsidRPr="002C5485">
        <w:rPr>
          <w:rFonts w:ascii="Arial" w:hAnsi="Arial" w:cs="Arial"/>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26305E1C" w14:textId="77777777" w:rsidR="004E406E" w:rsidRPr="002C5485" w:rsidRDefault="004E406E" w:rsidP="004E406E">
      <w:pPr>
        <w:shd w:val="clear" w:color="auto" w:fill="FFFFFF"/>
        <w:ind w:firstLine="709"/>
        <w:contextualSpacing/>
        <w:jc w:val="both"/>
        <w:rPr>
          <w:rFonts w:ascii="Arial" w:hAnsi="Arial" w:cs="Arial"/>
          <w:sz w:val="18"/>
          <w:szCs w:val="18"/>
        </w:rPr>
      </w:pPr>
      <w:r w:rsidRPr="002C5485">
        <w:rPr>
          <w:rFonts w:ascii="Arial" w:hAnsi="Arial" w:cs="Arial"/>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28972C18" w14:textId="77777777" w:rsidR="004E406E" w:rsidRPr="002C5485" w:rsidRDefault="004E406E" w:rsidP="004E406E">
      <w:pPr>
        <w:shd w:val="clear" w:color="auto" w:fill="FFFFFF"/>
        <w:ind w:firstLine="709"/>
        <w:contextualSpacing/>
        <w:jc w:val="both"/>
        <w:rPr>
          <w:rFonts w:ascii="Arial" w:hAnsi="Arial" w:cs="Arial"/>
          <w:sz w:val="18"/>
          <w:szCs w:val="18"/>
        </w:rPr>
      </w:pPr>
    </w:p>
  </w:footnote>
  <w:footnote w:id="7">
    <w:p w14:paraId="4A8358FA" w14:textId="77777777" w:rsidR="004E406E" w:rsidRPr="002C5485" w:rsidRDefault="004E406E" w:rsidP="004E406E">
      <w:pPr>
        <w:pStyle w:val="Textonotapie"/>
        <w:ind w:firstLine="708"/>
        <w:contextualSpacing/>
        <w:jc w:val="both"/>
        <w:rPr>
          <w:rFonts w:ascii="Arial" w:hAnsi="Arial" w:cs="Arial"/>
          <w:sz w:val="18"/>
          <w:szCs w:val="18"/>
          <w:lang w:val="es-ES"/>
        </w:rPr>
      </w:pPr>
      <w:r w:rsidRPr="002C5485">
        <w:rPr>
          <w:rStyle w:val="Refdenotaalpie"/>
          <w:rFonts w:ascii="Arial" w:hAnsi="Arial" w:cs="Arial"/>
          <w:sz w:val="18"/>
          <w:szCs w:val="18"/>
        </w:rPr>
        <w:footnoteRef/>
      </w:r>
      <w:r w:rsidRPr="002C5485">
        <w:rPr>
          <w:rFonts w:ascii="Arial" w:hAnsi="Arial" w:cs="Arial"/>
          <w:sz w:val="18"/>
          <w:szCs w:val="18"/>
        </w:rPr>
        <w:t xml:space="preserve"> La </w:t>
      </w:r>
      <w:r w:rsidRPr="002C5485">
        <w:rPr>
          <w:rFonts w:ascii="Arial" w:hAnsi="Arial" w:cs="Arial"/>
          <w:sz w:val="18"/>
          <w:szCs w:val="18"/>
          <w:lang w:val="es-CO"/>
        </w:rPr>
        <w:t>«</w:t>
      </w:r>
      <w:r w:rsidRPr="002C5485">
        <w:rPr>
          <w:rFonts w:ascii="Arial" w:hAnsi="Arial" w:cs="Arial"/>
          <w:sz w:val="18"/>
          <w:szCs w:val="18"/>
        </w:rPr>
        <w:t>Guía para Determinar y Verificar la Capacidad Residual del Proponente en los Procesos de Contratación de Obra Pública</w:t>
      </w:r>
      <w:r w:rsidRPr="002C5485">
        <w:rPr>
          <w:rFonts w:ascii="Arial" w:hAnsi="Arial" w:cs="Arial"/>
          <w:sz w:val="18"/>
          <w:szCs w:val="18"/>
          <w:lang w:val="es-CO"/>
        </w:rPr>
        <w:t xml:space="preserve">» puede ser consultada en el siguiente enlace: </w:t>
      </w:r>
      <w:hyperlink r:id="rId2" w:history="1">
        <w:r w:rsidRPr="002C5485">
          <w:rPr>
            <w:rStyle w:val="Hipervnculo"/>
            <w:sz w:val="18"/>
            <w:szCs w:val="18"/>
          </w:rPr>
          <w:t>https://www.colombiacompra.gov.co/sites/cce_public/files/cce_documents/cce_guia_capacidad_residual.pdf</w:t>
        </w:r>
      </w:hyperlink>
      <w:r w:rsidRPr="002C5485">
        <w:rPr>
          <w:rFonts w:ascii="Arial" w:hAnsi="Arial" w:cs="Arial"/>
          <w:sz w:val="18"/>
          <w:szCs w:val="18"/>
        </w:rPr>
        <w:t xml:space="preserve"> </w:t>
      </w:r>
    </w:p>
  </w:footnote>
  <w:footnote w:id="8">
    <w:p w14:paraId="2BF95ADE" w14:textId="77777777" w:rsidR="004E406E" w:rsidRPr="002C5485" w:rsidRDefault="004E406E" w:rsidP="004E406E">
      <w:pPr>
        <w:ind w:right="49" w:firstLine="708"/>
        <w:contextualSpacing/>
        <w:jc w:val="both"/>
        <w:rPr>
          <w:rFonts w:ascii="Arial" w:hAnsi="Arial" w:cs="Arial"/>
          <w:color w:val="000000" w:themeColor="text1"/>
          <w:sz w:val="18"/>
          <w:szCs w:val="18"/>
        </w:rPr>
      </w:pPr>
      <w:r w:rsidRPr="002C5485">
        <w:rPr>
          <w:rStyle w:val="Refdenotaalpie"/>
          <w:rFonts w:ascii="Arial" w:hAnsi="Arial" w:cs="Arial"/>
          <w:sz w:val="18"/>
          <w:szCs w:val="18"/>
        </w:rPr>
        <w:footnoteRef/>
      </w:r>
      <w:r w:rsidRPr="002C5485">
        <w:rPr>
          <w:rFonts w:ascii="Arial" w:hAnsi="Arial" w:cs="Arial"/>
          <w:sz w:val="18"/>
          <w:szCs w:val="18"/>
        </w:rPr>
        <w:t xml:space="preserve"> </w:t>
      </w:r>
      <w:r w:rsidRPr="002C5485">
        <w:rPr>
          <w:rFonts w:ascii="Arial" w:hAnsi="Arial" w:cs="Arial"/>
          <w:color w:val="000000" w:themeColor="text1"/>
          <w:sz w:val="18"/>
          <w:szCs w:val="18"/>
        </w:rPr>
        <w:t>Decreto 1082 de 2015. «Artículo 2.2.1.1.1.6.4. Capacidad Residual. El interesado en celebrar contratos de obra pública con Entidades Estatales debe acreditar su Capacidad Residual o K de Contratación con los siguientes</w:t>
      </w:r>
      <w:r w:rsidRPr="002C5485">
        <w:rPr>
          <w:rFonts w:ascii="Arial" w:hAnsi="Arial" w:cs="Arial"/>
          <w:color w:val="000000" w:themeColor="text1"/>
          <w:spacing w:val="-3"/>
          <w:sz w:val="18"/>
          <w:szCs w:val="18"/>
        </w:rPr>
        <w:t xml:space="preserve"> </w:t>
      </w:r>
      <w:r w:rsidRPr="002C5485">
        <w:rPr>
          <w:rFonts w:ascii="Arial" w:hAnsi="Arial" w:cs="Arial"/>
          <w:color w:val="000000" w:themeColor="text1"/>
          <w:sz w:val="18"/>
          <w:szCs w:val="18"/>
        </w:rPr>
        <w:t>documentos:</w:t>
      </w:r>
    </w:p>
    <w:p w14:paraId="181FCDA5" w14:textId="77777777" w:rsidR="004E406E" w:rsidRPr="002C5485" w:rsidRDefault="004E406E" w:rsidP="004E406E">
      <w:pPr>
        <w:ind w:right="49" w:firstLine="708"/>
        <w:contextualSpacing/>
        <w:jc w:val="both"/>
        <w:rPr>
          <w:rFonts w:ascii="Arial" w:hAnsi="Arial" w:cs="Arial"/>
          <w:color w:val="000000" w:themeColor="text1"/>
          <w:sz w:val="18"/>
          <w:szCs w:val="18"/>
        </w:rPr>
      </w:pPr>
      <w:r w:rsidRPr="002C5485">
        <w:rPr>
          <w:rFonts w:ascii="Arial" w:hAnsi="Arial" w:cs="Arial"/>
          <w:color w:val="000000" w:themeColor="text1"/>
          <w:sz w:val="18"/>
          <w:szCs w:val="18"/>
        </w:rPr>
        <w:t>»1. La lista de los contratos de obras civiles en ejecución suscritos con Entidades Estatales y con entidades privadas, así como el valor y plazo de tales contratos, incluyendo contratos de concesión y los contratos de obra suscritos con</w:t>
      </w:r>
      <w:r w:rsidRPr="002C5485">
        <w:rPr>
          <w:rFonts w:ascii="Arial" w:hAnsi="Arial" w:cs="Arial"/>
          <w:color w:val="000000" w:themeColor="text1"/>
          <w:spacing w:val="-4"/>
          <w:sz w:val="18"/>
          <w:szCs w:val="18"/>
        </w:rPr>
        <w:t xml:space="preserve"> </w:t>
      </w:r>
      <w:r w:rsidRPr="002C5485">
        <w:rPr>
          <w:rFonts w:ascii="Arial" w:hAnsi="Arial" w:cs="Arial"/>
          <w:color w:val="000000" w:themeColor="text1"/>
          <w:sz w:val="18"/>
          <w:szCs w:val="18"/>
        </w:rPr>
        <w:t>concesionarios.</w:t>
      </w:r>
    </w:p>
    <w:p w14:paraId="1720E200" w14:textId="77777777" w:rsidR="004E406E" w:rsidRPr="002C5485" w:rsidRDefault="004E406E" w:rsidP="004E406E">
      <w:pPr>
        <w:ind w:right="49" w:firstLine="708"/>
        <w:contextualSpacing/>
        <w:jc w:val="both"/>
        <w:rPr>
          <w:rFonts w:ascii="Arial" w:hAnsi="Arial" w:cs="Arial"/>
          <w:color w:val="000000" w:themeColor="text1"/>
          <w:sz w:val="18"/>
          <w:szCs w:val="18"/>
        </w:rPr>
      </w:pPr>
      <w:r w:rsidRPr="002C5485">
        <w:rPr>
          <w:rFonts w:ascii="Arial" w:hAnsi="Arial" w:cs="Arial"/>
          <w:color w:val="000000" w:themeColor="text1"/>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638AD02C" w14:textId="77777777" w:rsidR="004E406E" w:rsidRPr="002C5485" w:rsidRDefault="004E406E" w:rsidP="004E406E">
      <w:pPr>
        <w:ind w:right="49" w:firstLine="708"/>
        <w:contextualSpacing/>
        <w:jc w:val="both"/>
        <w:rPr>
          <w:rFonts w:ascii="Arial" w:hAnsi="Arial" w:cs="Arial"/>
          <w:color w:val="000000" w:themeColor="text1"/>
          <w:sz w:val="18"/>
          <w:szCs w:val="18"/>
        </w:rPr>
      </w:pPr>
      <w:r w:rsidRPr="002C5485">
        <w:rPr>
          <w:rFonts w:ascii="Arial" w:hAnsi="Arial" w:cs="Arial"/>
          <w:color w:val="000000" w:themeColor="text1"/>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5F610E56" w14:textId="77777777" w:rsidR="004E406E" w:rsidRPr="002C5485" w:rsidRDefault="004E406E" w:rsidP="004E406E">
      <w:pPr>
        <w:pStyle w:val="Textonotapie"/>
        <w:ind w:left="567" w:right="786"/>
        <w:contextualSpacing/>
        <w:jc w:val="both"/>
        <w:rPr>
          <w:rFonts w:ascii="Arial" w:hAnsi="Arial" w:cs="Arial"/>
          <w:sz w:val="18"/>
          <w:szCs w:val="18"/>
        </w:rPr>
      </w:pPr>
    </w:p>
  </w:footnote>
  <w:footnote w:id="9">
    <w:p w14:paraId="72A13EB8" w14:textId="77777777" w:rsidR="004E406E" w:rsidRPr="002C5485" w:rsidRDefault="004E406E" w:rsidP="004E406E">
      <w:pPr>
        <w:pStyle w:val="Textonotapie"/>
        <w:ind w:firstLine="709"/>
        <w:contextualSpacing/>
        <w:jc w:val="both"/>
        <w:rPr>
          <w:rFonts w:ascii="Arial" w:hAnsi="Arial" w:cs="Arial"/>
          <w:color w:val="000000"/>
          <w:sz w:val="18"/>
          <w:szCs w:val="18"/>
        </w:rPr>
      </w:pPr>
      <w:r w:rsidRPr="002C5485">
        <w:rPr>
          <w:rStyle w:val="Refdenotaalpie"/>
          <w:rFonts w:ascii="Arial" w:hAnsi="Arial" w:cs="Arial"/>
          <w:color w:val="000000"/>
          <w:sz w:val="18"/>
          <w:szCs w:val="18"/>
        </w:rPr>
        <w:footnoteRef/>
      </w:r>
      <w:r w:rsidRPr="002C5485">
        <w:rPr>
          <w:rStyle w:val="Refdenotaalpie"/>
          <w:rFonts w:ascii="Arial" w:hAnsi="Arial" w:cs="Arial"/>
          <w:color w:val="000000"/>
          <w:sz w:val="18"/>
          <w:szCs w:val="18"/>
        </w:rPr>
        <w:t xml:space="preserve"> </w:t>
      </w:r>
      <w:r w:rsidRPr="002C5485">
        <w:rPr>
          <w:rFonts w:ascii="Arial" w:hAnsi="Arial" w:cs="Arial"/>
          <w:color w:val="000000"/>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2EEFFFA6" w14:textId="77777777" w:rsidR="004E406E" w:rsidRPr="002C5485" w:rsidRDefault="004E406E" w:rsidP="004E406E">
      <w:pPr>
        <w:pStyle w:val="Textonotapie"/>
        <w:ind w:firstLine="709"/>
        <w:contextualSpacing/>
        <w:jc w:val="both"/>
        <w:rPr>
          <w:rFonts w:ascii="Arial" w:hAnsi="Arial" w:cs="Arial"/>
          <w:color w:val="000000"/>
          <w:sz w:val="18"/>
          <w:szCs w:val="18"/>
        </w:rPr>
      </w:pPr>
    </w:p>
  </w:footnote>
  <w:footnote w:id="10">
    <w:p w14:paraId="482F3EDF" w14:textId="77777777" w:rsidR="004E406E" w:rsidRPr="002C5485" w:rsidRDefault="004E406E" w:rsidP="004E406E">
      <w:pPr>
        <w:pStyle w:val="NormalWeb"/>
        <w:shd w:val="clear" w:color="auto" w:fill="FFFFFF"/>
        <w:spacing w:before="0" w:beforeAutospacing="0" w:after="0" w:afterAutospacing="0"/>
        <w:ind w:firstLine="708"/>
        <w:contextualSpacing/>
        <w:rPr>
          <w:rFonts w:ascii="Arial" w:hAnsi="Arial" w:cs="Arial"/>
          <w:sz w:val="18"/>
          <w:szCs w:val="18"/>
          <w:lang w:val="es-ES"/>
        </w:rPr>
      </w:pPr>
      <w:r w:rsidRPr="002C5485">
        <w:rPr>
          <w:rStyle w:val="Refdenotaalpie"/>
          <w:rFonts w:ascii="Arial" w:eastAsia="Arial" w:hAnsi="Arial" w:cs="Arial"/>
          <w:sz w:val="18"/>
          <w:szCs w:val="18"/>
        </w:rPr>
        <w:footnoteRef/>
      </w:r>
      <w:r w:rsidRPr="002C5485">
        <w:rPr>
          <w:rFonts w:ascii="Arial" w:hAnsi="Arial" w:cs="Arial"/>
          <w:sz w:val="18"/>
          <w:szCs w:val="18"/>
        </w:rPr>
        <w:t xml:space="preserve"> «</w:t>
      </w:r>
      <w:r w:rsidRPr="002C5485">
        <w:rPr>
          <w:rFonts w:ascii="Arial" w:hAnsi="Arial" w:cs="Arial"/>
          <w:bCs/>
          <w:sz w:val="18"/>
          <w:szCs w:val="18"/>
          <w:shd w:val="clear" w:color="auto" w:fill="FFFFFF"/>
        </w:rPr>
        <w:t>2.2.1.2.1.5.2</w:t>
      </w:r>
      <w:r w:rsidRPr="002C5485">
        <w:rPr>
          <w:rFonts w:ascii="Arial" w:hAnsi="Arial" w:cs="Arial"/>
          <w:sz w:val="18"/>
          <w:szCs w:val="18"/>
          <w:lang w:val="es-ES"/>
        </w:rPr>
        <w:t xml:space="preserve">5. </w:t>
      </w:r>
      <w:r w:rsidRPr="002C5485">
        <w:rPr>
          <w:rFonts w:ascii="Arial" w:hAnsi="Arial" w:cs="Arial"/>
          <w:bCs/>
          <w:sz w:val="18"/>
          <w:szCs w:val="18"/>
          <w:lang w:val="es-ES"/>
        </w:rPr>
        <w:t>Procedimiento para la contratación de mínima cuantía.</w:t>
      </w:r>
      <w:r w:rsidRPr="002C5485">
        <w:rPr>
          <w:rFonts w:ascii="Arial" w:hAnsi="Arial" w:cs="Arial"/>
          <w:sz w:val="18"/>
          <w:szCs w:val="18"/>
          <w:lang w:val="es-ES"/>
        </w:rPr>
        <w:t> Las siguientes reglas son aplicables a la contratación cuyo valor no excede del diez por ciento (10%) de la menor cuantía de la Entidad Estatal, independientemente de su objeto:</w:t>
      </w:r>
    </w:p>
    <w:p w14:paraId="578BDA5C" w14:textId="77777777" w:rsidR="004E406E" w:rsidRPr="002C5485" w:rsidRDefault="004E406E" w:rsidP="004E406E">
      <w:pPr>
        <w:pStyle w:val="NormalWeb"/>
        <w:shd w:val="clear" w:color="auto" w:fill="FFFFFF"/>
        <w:spacing w:before="0" w:beforeAutospacing="0" w:after="0" w:afterAutospacing="0"/>
        <w:ind w:firstLine="708"/>
        <w:contextualSpacing/>
        <w:rPr>
          <w:rFonts w:ascii="Arial" w:hAnsi="Arial" w:cs="Arial"/>
          <w:sz w:val="18"/>
          <w:szCs w:val="18"/>
          <w:lang w:val="es-ES"/>
        </w:rPr>
      </w:pPr>
      <w:r w:rsidRPr="002C5485">
        <w:rPr>
          <w:rFonts w:ascii="Arial" w:hAnsi="Arial" w:cs="Arial"/>
          <w:sz w:val="18"/>
          <w:szCs w:val="18"/>
          <w:lang w:val="es-ES"/>
        </w:rPr>
        <w:t>[…]</w:t>
      </w:r>
    </w:p>
    <w:p w14:paraId="2B44E419" w14:textId="77777777" w:rsidR="004E406E" w:rsidRPr="002C5485" w:rsidRDefault="004E406E" w:rsidP="004E406E">
      <w:pPr>
        <w:pStyle w:val="NormalWeb"/>
        <w:shd w:val="clear" w:color="auto" w:fill="FFFFFF"/>
        <w:spacing w:before="0" w:beforeAutospacing="0" w:after="0" w:afterAutospacing="0"/>
        <w:ind w:firstLine="708"/>
        <w:contextualSpacing/>
        <w:rPr>
          <w:rFonts w:ascii="Arial" w:hAnsi="Arial" w:cs="Arial"/>
          <w:sz w:val="18"/>
          <w:szCs w:val="18"/>
          <w:lang w:val="es-ES"/>
        </w:rPr>
      </w:pPr>
      <w:r w:rsidRPr="002C5485">
        <w:rPr>
          <w:rFonts w:ascii="Arial" w:hAnsi="Arial" w:cs="Arial"/>
          <w:sz w:val="18"/>
          <w:szCs w:val="18"/>
        </w:rPr>
        <w:t>»</w:t>
      </w:r>
      <w:r w:rsidRPr="002C5485">
        <w:rPr>
          <w:rFonts w:ascii="Arial" w:hAnsi="Arial" w:cs="Arial"/>
          <w:sz w:val="18"/>
          <w:szCs w:val="18"/>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3" w:anchor="5" w:history="1">
        <w:r w:rsidRPr="002C5485">
          <w:rPr>
            <w:rFonts w:ascii="Arial" w:hAnsi="Arial" w:cs="Arial"/>
            <w:sz w:val="18"/>
            <w:szCs w:val="18"/>
            <w:u w:val="single"/>
            <w:lang w:val="es-ES"/>
          </w:rPr>
          <w:t>5 </w:t>
        </w:r>
      </w:hyperlink>
      <w:r w:rsidRPr="002C5485">
        <w:rPr>
          <w:rFonts w:ascii="Arial" w:hAnsi="Arial" w:cs="Arial"/>
          <w:sz w:val="18"/>
          <w:szCs w:val="18"/>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2C5485">
        <w:rPr>
          <w:rFonts w:ascii="Arial" w:hAnsi="Arial" w:cs="Arial"/>
          <w:sz w:val="18"/>
          <w:szCs w:val="18"/>
        </w:rPr>
        <w:t>»</w:t>
      </w:r>
      <w:r w:rsidRPr="002C5485">
        <w:rPr>
          <w:rFonts w:ascii="Arial" w:hAnsi="Arial" w:cs="Arial"/>
          <w:sz w:val="18"/>
          <w:szCs w:val="18"/>
          <w:lang w:val="es-ES"/>
        </w:rPr>
        <w:t>.</w:t>
      </w:r>
    </w:p>
    <w:p w14:paraId="0CEF6369" w14:textId="77777777" w:rsidR="004E406E" w:rsidRPr="002C5485" w:rsidRDefault="004E406E" w:rsidP="004E406E">
      <w:pPr>
        <w:pStyle w:val="Textonotapie"/>
        <w:contextualSpacing/>
        <w:jc w:val="both"/>
        <w:rPr>
          <w:rFonts w:ascii="Arial" w:hAnsi="Arial" w:cs="Arial"/>
          <w:sz w:val="18"/>
          <w:szCs w:val="18"/>
          <w:lang w:val="es-ES"/>
        </w:rPr>
      </w:pPr>
    </w:p>
  </w:footnote>
  <w:footnote w:id="11">
    <w:p w14:paraId="6E545794" w14:textId="77777777" w:rsidR="004E406E" w:rsidRPr="002C5485" w:rsidRDefault="004E406E" w:rsidP="004E406E">
      <w:pPr>
        <w:pStyle w:val="Textonotapie"/>
        <w:ind w:firstLine="709"/>
        <w:contextualSpacing/>
        <w:jc w:val="both"/>
        <w:rPr>
          <w:rFonts w:ascii="Arial" w:hAnsi="Arial" w:cs="Arial"/>
          <w:color w:val="000000"/>
          <w:sz w:val="18"/>
          <w:szCs w:val="18"/>
        </w:rPr>
      </w:pPr>
      <w:r w:rsidRPr="002C5485">
        <w:rPr>
          <w:rStyle w:val="Refdenotaalpie"/>
          <w:rFonts w:ascii="Arial" w:hAnsi="Arial" w:cs="Arial"/>
          <w:sz w:val="18"/>
          <w:szCs w:val="18"/>
        </w:rPr>
        <w:footnoteRef/>
      </w:r>
      <w:r w:rsidRPr="002C5485">
        <w:rPr>
          <w:rFonts w:ascii="Arial" w:hAnsi="Arial" w:cs="Arial"/>
          <w:sz w:val="18"/>
          <w:szCs w:val="18"/>
        </w:rPr>
        <w:t xml:space="preserve"> </w:t>
      </w:r>
      <w:r w:rsidRPr="002C5485">
        <w:rPr>
          <w:rFonts w:ascii="Arial" w:hAnsi="Arial" w:cs="Arial"/>
          <w:color w:val="000000"/>
          <w:sz w:val="18"/>
          <w:szCs w:val="18"/>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34B0CA3E" w14:textId="77777777" w:rsidR="004E406E" w:rsidRDefault="004E406E" w:rsidP="004E406E">
      <w:pPr>
        <w:pStyle w:val="Textonotapie"/>
        <w:ind w:firstLine="709"/>
        <w:contextualSpacing/>
        <w:jc w:val="both"/>
        <w:rPr>
          <w:rFonts w:ascii="Arial" w:hAnsi="Arial" w:cs="Arial"/>
          <w:color w:val="000000"/>
          <w:sz w:val="18"/>
          <w:szCs w:val="18"/>
        </w:rPr>
      </w:pPr>
      <w:r w:rsidRPr="002C5485">
        <w:rPr>
          <w:rFonts w:ascii="Arial" w:hAnsi="Arial" w:cs="Arial"/>
          <w:color w:val="000000"/>
          <w:sz w:val="18"/>
          <w:szCs w:val="18"/>
        </w:rPr>
        <w:t xml:space="preserve">» 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4" w:history="1">
        <w:r w:rsidRPr="002C5485">
          <w:rPr>
            <w:rStyle w:val="Hipervnculo"/>
            <w:color w:val="000000"/>
            <w:sz w:val="18"/>
            <w:szCs w:val="18"/>
          </w:rPr>
          <w:t>https://www.colombiacompra.gov.co/content/circular-unica-externa</w:t>
        </w:r>
      </w:hyperlink>
      <w:r w:rsidRPr="002C5485">
        <w:rPr>
          <w:rFonts w:ascii="Arial" w:hAnsi="Arial" w:cs="Arial"/>
          <w:color w:val="000000"/>
          <w:sz w:val="18"/>
          <w:szCs w:val="18"/>
        </w:rPr>
        <w:t>.</w:t>
      </w:r>
    </w:p>
    <w:p w14:paraId="7D4B8190" w14:textId="77777777" w:rsidR="004E406E" w:rsidRPr="002C5485" w:rsidRDefault="004E406E" w:rsidP="004E406E">
      <w:pPr>
        <w:pStyle w:val="Textonotapie"/>
        <w:ind w:firstLine="709"/>
        <w:contextualSpacing/>
        <w:jc w:val="both"/>
        <w:rPr>
          <w:rFonts w:ascii="Arial" w:hAnsi="Arial" w:cs="Arial"/>
          <w:sz w:val="18"/>
          <w:szCs w:val="18"/>
        </w:rPr>
      </w:pPr>
    </w:p>
  </w:footnote>
  <w:footnote w:id="12">
    <w:p w14:paraId="54B677BC" w14:textId="77777777" w:rsidR="004E406E" w:rsidRPr="002C5485" w:rsidRDefault="004E406E" w:rsidP="004E406E">
      <w:pPr>
        <w:pStyle w:val="Textonotapie"/>
        <w:ind w:firstLine="709"/>
        <w:contextualSpacing/>
        <w:jc w:val="both"/>
        <w:rPr>
          <w:rFonts w:ascii="Arial" w:hAnsi="Arial" w:cs="Arial"/>
          <w:color w:val="000000"/>
          <w:sz w:val="18"/>
          <w:szCs w:val="18"/>
        </w:rPr>
      </w:pPr>
      <w:r w:rsidRPr="002C5485">
        <w:rPr>
          <w:rStyle w:val="Refdenotaalpie"/>
          <w:rFonts w:ascii="Arial" w:hAnsi="Arial" w:cs="Arial"/>
          <w:color w:val="000000"/>
          <w:sz w:val="18"/>
          <w:szCs w:val="18"/>
        </w:rPr>
        <w:footnoteRef/>
      </w:r>
      <w:r w:rsidRPr="002C5485">
        <w:rPr>
          <w:rFonts w:ascii="Arial" w:hAnsi="Arial" w:cs="Arial"/>
          <w:color w:val="000000"/>
          <w:sz w:val="18"/>
          <w:szCs w:val="18"/>
        </w:rPr>
        <w:t xml:space="preserve"> Ver CONSEJO DE ESTADO, Sección Tercera, Subsección C. Sentencia del 26 de febrero de 2011. C.P. Jaime Orlando Santofimio. Rad. 36.408. </w:t>
      </w:r>
    </w:p>
    <w:p w14:paraId="771C3C0A" w14:textId="77777777" w:rsidR="004E406E" w:rsidRPr="002C5485" w:rsidRDefault="004E406E" w:rsidP="004E406E">
      <w:pPr>
        <w:pStyle w:val="Textonotapie"/>
        <w:ind w:firstLine="709"/>
        <w:contextualSpacing/>
        <w:jc w:val="both"/>
        <w:rPr>
          <w:rFonts w:ascii="Arial" w:hAnsi="Arial" w:cs="Arial"/>
          <w:color w:val="000000"/>
          <w:sz w:val="18"/>
          <w:szCs w:val="18"/>
        </w:rPr>
      </w:pPr>
    </w:p>
  </w:footnote>
  <w:footnote w:id="13">
    <w:p w14:paraId="1138362F" w14:textId="77777777" w:rsidR="004E406E" w:rsidRPr="002C5485" w:rsidRDefault="004E406E" w:rsidP="004E406E">
      <w:pPr>
        <w:pStyle w:val="Textonotapie"/>
        <w:ind w:firstLine="709"/>
        <w:contextualSpacing/>
        <w:jc w:val="both"/>
        <w:rPr>
          <w:rFonts w:ascii="Arial" w:hAnsi="Arial" w:cs="Arial"/>
          <w:color w:val="000000"/>
          <w:sz w:val="18"/>
          <w:szCs w:val="18"/>
        </w:rPr>
      </w:pPr>
      <w:r w:rsidRPr="002C5485">
        <w:rPr>
          <w:rStyle w:val="Refdenotaalpie"/>
          <w:rFonts w:ascii="Arial" w:hAnsi="Arial" w:cs="Arial"/>
          <w:color w:val="000000"/>
          <w:sz w:val="18"/>
          <w:szCs w:val="18"/>
        </w:rPr>
        <w:footnoteRef/>
      </w:r>
      <w:r w:rsidRPr="002C5485">
        <w:rPr>
          <w:rFonts w:ascii="Arial" w:hAnsi="Arial" w:cs="Arial"/>
          <w:color w:val="000000"/>
          <w:sz w:val="18"/>
          <w:szCs w:val="18"/>
        </w:rPr>
        <w:t xml:space="preserve"> Ver CONSEJO DE ESTADO, Sección Tercera, Subsección C. Sentencia del 26 de febrero de 2014. C.P. Enrique Gil Botero. Rad. 25.804. </w:t>
      </w:r>
    </w:p>
    <w:p w14:paraId="348367F1" w14:textId="77777777" w:rsidR="004E406E" w:rsidRPr="002C5485" w:rsidRDefault="004E406E" w:rsidP="004E406E">
      <w:pPr>
        <w:pStyle w:val="Textonotapie"/>
        <w:ind w:firstLine="709"/>
        <w:contextualSpacing/>
        <w:jc w:val="both"/>
        <w:rPr>
          <w:rFonts w:ascii="Arial" w:hAnsi="Arial" w:cs="Arial"/>
          <w:color w:val="000000"/>
          <w:sz w:val="18"/>
          <w:szCs w:val="18"/>
        </w:rPr>
      </w:pPr>
    </w:p>
  </w:footnote>
  <w:footnote w:id="14">
    <w:p w14:paraId="30374B3D" w14:textId="77777777" w:rsidR="004E406E" w:rsidRPr="002C5485" w:rsidRDefault="004E406E" w:rsidP="004E406E">
      <w:pPr>
        <w:pStyle w:val="Textonotapie"/>
        <w:ind w:firstLine="709"/>
        <w:contextualSpacing/>
        <w:jc w:val="both"/>
        <w:rPr>
          <w:rFonts w:ascii="Arial" w:hAnsi="Arial" w:cs="Arial"/>
          <w:color w:val="000000"/>
          <w:sz w:val="18"/>
          <w:szCs w:val="18"/>
        </w:rPr>
      </w:pPr>
      <w:r w:rsidRPr="002C5485">
        <w:rPr>
          <w:rStyle w:val="Refdenotaalpie"/>
          <w:rFonts w:ascii="Arial" w:hAnsi="Arial" w:cs="Arial"/>
          <w:color w:val="000000"/>
          <w:sz w:val="18"/>
          <w:szCs w:val="18"/>
        </w:rPr>
        <w:footnoteRef/>
      </w:r>
      <w:r w:rsidRPr="002C5485">
        <w:rPr>
          <w:rFonts w:ascii="Arial" w:hAnsi="Arial" w:cs="Arial"/>
          <w:color w:val="000000"/>
          <w:sz w:val="18"/>
          <w:szCs w:val="18"/>
        </w:rPr>
        <w:t xml:space="preserve"> CONSEJO DE ESTADO. Sala de Consulta y Servicio Civil. Concepto del 20 de mayo de 2010. Expediente: 1992. Consejero Ponente: Enrique José Arboleda Perdomo.</w:t>
      </w:r>
    </w:p>
  </w:footnote>
  <w:footnote w:id="15">
    <w:p w14:paraId="544E2FF6" w14:textId="77777777" w:rsidR="004E406E" w:rsidRPr="002C5485" w:rsidRDefault="004E406E" w:rsidP="004E406E">
      <w:pPr>
        <w:pBdr>
          <w:top w:val="nil"/>
          <w:left w:val="nil"/>
          <w:bottom w:val="nil"/>
          <w:right w:val="nil"/>
          <w:between w:val="nil"/>
        </w:pBdr>
        <w:ind w:firstLine="709"/>
        <w:contextualSpacing/>
        <w:jc w:val="both"/>
        <w:rPr>
          <w:rFonts w:ascii="Arial" w:eastAsia="Arial" w:hAnsi="Arial" w:cs="Arial"/>
          <w:color w:val="000000"/>
          <w:sz w:val="18"/>
          <w:szCs w:val="18"/>
        </w:rPr>
      </w:pPr>
      <w:r w:rsidRPr="002C5485">
        <w:rPr>
          <w:rFonts w:ascii="Arial" w:hAnsi="Arial" w:cs="Arial"/>
          <w:sz w:val="18"/>
          <w:szCs w:val="18"/>
          <w:vertAlign w:val="superscript"/>
        </w:rPr>
        <w:footnoteRef/>
      </w:r>
      <w:r w:rsidRPr="002C5485">
        <w:rPr>
          <w:rFonts w:ascii="Arial" w:eastAsia="Arial" w:hAnsi="Arial" w:cs="Arial"/>
          <w:color w:val="000000"/>
          <w:sz w:val="18"/>
          <w:szCs w:val="18"/>
        </w:rPr>
        <w:t xml:space="preserve"> CONSEJO DE ESTADO. Sección Tercera. Subsección C. Sentencia del 12 de noviembre de 2014. Exp. 27.986. C.P. Enrique Gil Botero.</w:t>
      </w:r>
    </w:p>
    <w:p w14:paraId="5692D12C" w14:textId="77777777" w:rsidR="004E406E" w:rsidRPr="002C5485" w:rsidRDefault="004E406E" w:rsidP="004E406E">
      <w:pPr>
        <w:pBdr>
          <w:top w:val="nil"/>
          <w:left w:val="nil"/>
          <w:bottom w:val="nil"/>
          <w:right w:val="nil"/>
          <w:between w:val="nil"/>
        </w:pBdr>
        <w:ind w:firstLine="709"/>
        <w:contextualSpacing/>
        <w:jc w:val="both"/>
        <w:rPr>
          <w:rFonts w:ascii="Arial" w:eastAsia="Arial" w:hAnsi="Arial" w:cs="Arial"/>
          <w:color w:val="000000"/>
          <w:sz w:val="18"/>
          <w:szCs w:val="18"/>
        </w:rPr>
      </w:pPr>
    </w:p>
  </w:footnote>
  <w:footnote w:id="16">
    <w:p w14:paraId="596F78E6" w14:textId="77777777" w:rsidR="004E406E" w:rsidRPr="002C5485" w:rsidRDefault="004E406E" w:rsidP="004E406E">
      <w:pPr>
        <w:pStyle w:val="Textonotapie"/>
        <w:ind w:firstLine="709"/>
        <w:contextualSpacing/>
        <w:jc w:val="both"/>
        <w:rPr>
          <w:rFonts w:ascii="Arial" w:hAnsi="Arial" w:cs="Arial"/>
          <w:sz w:val="18"/>
          <w:szCs w:val="18"/>
          <w:lang w:val="es-CO"/>
        </w:rPr>
      </w:pPr>
      <w:r w:rsidRPr="002C5485">
        <w:rPr>
          <w:rStyle w:val="Refdenotaalpie"/>
          <w:rFonts w:ascii="Arial" w:hAnsi="Arial" w:cs="Arial"/>
          <w:sz w:val="18"/>
          <w:szCs w:val="18"/>
        </w:rPr>
        <w:footnoteRef/>
      </w:r>
      <w:r w:rsidRPr="002C5485">
        <w:rPr>
          <w:rFonts w:ascii="Arial" w:hAnsi="Arial" w:cs="Arial"/>
          <w:sz w:val="18"/>
          <w:szCs w:val="18"/>
        </w:rPr>
        <w:t xml:space="preserve"> </w:t>
      </w:r>
      <w:r w:rsidRPr="002C5485">
        <w:rPr>
          <w:rFonts w:ascii="Arial" w:hAnsi="Arial" w:cs="Arial"/>
          <w:bCs/>
          <w:sz w:val="18"/>
          <w:szCs w:val="18"/>
        </w:rPr>
        <w:t xml:space="preserve">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footnote>
  <w:footnote w:id="17">
    <w:p w14:paraId="247DE952" w14:textId="77777777" w:rsidR="004E406E" w:rsidRPr="002C5485" w:rsidRDefault="004E406E" w:rsidP="004E406E">
      <w:pPr>
        <w:pBdr>
          <w:top w:val="nil"/>
          <w:left w:val="nil"/>
          <w:bottom w:val="nil"/>
          <w:right w:val="nil"/>
          <w:between w:val="nil"/>
        </w:pBdr>
        <w:ind w:firstLine="709"/>
        <w:contextualSpacing/>
        <w:jc w:val="both"/>
        <w:rPr>
          <w:rFonts w:ascii="Arial" w:hAnsi="Arial" w:cs="Arial"/>
          <w:color w:val="000000"/>
          <w:sz w:val="18"/>
          <w:szCs w:val="18"/>
        </w:rPr>
      </w:pPr>
      <w:r w:rsidRPr="002C5485">
        <w:rPr>
          <w:rFonts w:ascii="Arial" w:hAnsi="Arial" w:cs="Arial"/>
          <w:sz w:val="18"/>
          <w:szCs w:val="18"/>
          <w:vertAlign w:val="superscript"/>
        </w:rPr>
        <w:footnoteRef/>
      </w:r>
      <w:r w:rsidRPr="002C5485">
        <w:rPr>
          <w:rFonts w:ascii="Arial" w:hAnsi="Arial" w:cs="Arial"/>
          <w:color w:val="000000"/>
          <w:sz w:val="18"/>
          <w:szCs w:val="18"/>
        </w:rPr>
        <w:t xml:space="preserve"> </w:t>
      </w:r>
      <w:r w:rsidRPr="002C5485">
        <w:rPr>
          <w:rFonts w:ascii="Arial" w:eastAsia="Arial" w:hAnsi="Arial" w:cs="Arial"/>
          <w:color w:val="000000"/>
          <w:sz w:val="18"/>
          <w:szCs w:val="18"/>
        </w:rPr>
        <w:t>Ibídem</w:t>
      </w:r>
      <w:r w:rsidRPr="002C5485">
        <w:rPr>
          <w:rFonts w:ascii="Arial" w:eastAsia="Arial" w:hAnsi="Arial" w:cs="Arial"/>
          <w:i/>
          <w:color w:val="000000"/>
          <w:sz w:val="18"/>
          <w:szCs w:val="18"/>
        </w:rPr>
        <w:t>.</w:t>
      </w:r>
    </w:p>
  </w:footnote>
  <w:footnote w:id="18">
    <w:p w14:paraId="0D6CB97F" w14:textId="77777777" w:rsidR="004E406E" w:rsidRPr="002C5485" w:rsidRDefault="004E406E" w:rsidP="004E406E">
      <w:pPr>
        <w:pBdr>
          <w:top w:val="nil"/>
          <w:left w:val="nil"/>
          <w:bottom w:val="nil"/>
          <w:right w:val="nil"/>
          <w:between w:val="nil"/>
        </w:pBdr>
        <w:ind w:firstLine="709"/>
        <w:contextualSpacing/>
        <w:jc w:val="both"/>
        <w:rPr>
          <w:rFonts w:ascii="Arial" w:hAnsi="Arial" w:cs="Arial"/>
          <w:color w:val="000000"/>
          <w:sz w:val="18"/>
          <w:szCs w:val="18"/>
        </w:rPr>
      </w:pPr>
      <w:r w:rsidRPr="002C5485">
        <w:rPr>
          <w:rFonts w:ascii="Arial" w:hAnsi="Arial" w:cs="Arial"/>
          <w:sz w:val="18"/>
          <w:szCs w:val="18"/>
          <w:vertAlign w:val="superscript"/>
        </w:rPr>
        <w:footnoteRef/>
      </w:r>
      <w:r w:rsidRPr="002C5485">
        <w:rPr>
          <w:rFonts w:ascii="Arial" w:hAnsi="Arial" w:cs="Arial"/>
          <w:color w:val="000000"/>
          <w:sz w:val="18"/>
          <w:szCs w:val="18"/>
        </w:rPr>
        <w:t xml:space="preserve"> Ibídem</w:t>
      </w:r>
    </w:p>
    <w:p w14:paraId="1F14F449" w14:textId="77777777" w:rsidR="004E406E" w:rsidRPr="002C5485" w:rsidRDefault="004E406E" w:rsidP="004E406E">
      <w:pPr>
        <w:pBdr>
          <w:top w:val="nil"/>
          <w:left w:val="nil"/>
          <w:bottom w:val="nil"/>
          <w:right w:val="nil"/>
          <w:between w:val="nil"/>
        </w:pBdr>
        <w:ind w:firstLine="709"/>
        <w:contextualSpacing/>
        <w:jc w:val="both"/>
        <w:rPr>
          <w:rFonts w:ascii="Arial" w:hAnsi="Arial" w:cs="Arial"/>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856BAC"/>
    <w:multiLevelType w:val="hybridMultilevel"/>
    <w:tmpl w:val="FE269584"/>
    <w:lvl w:ilvl="0" w:tplc="A4C23EA4">
      <w:start w:val="1"/>
      <w:numFmt w:val="bullet"/>
      <w:lvlText w:val="-"/>
      <w:lvlJc w:val="left"/>
      <w:pPr>
        <w:tabs>
          <w:tab w:val="num" w:pos="720"/>
        </w:tabs>
        <w:ind w:left="720" w:hanging="360"/>
      </w:pPr>
      <w:rPr>
        <w:rFonts w:ascii="Times New Roman" w:eastAsia="Times New Roman" w:hAnsi="Times New Roman" w:cs="Times New Roman" w:hint="default"/>
      </w:rPr>
    </w:lvl>
    <w:lvl w:ilvl="1" w:tplc="24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num w:numId="1" w16cid:durableId="500395951">
    <w:abstractNumId w:val="2"/>
  </w:num>
  <w:num w:numId="2" w16cid:durableId="1408454564">
    <w:abstractNumId w:val="0"/>
  </w:num>
  <w:num w:numId="3" w16cid:durableId="1897622572">
    <w:abstractNumId w:val="1"/>
  </w:num>
  <w:num w:numId="4" w16cid:durableId="888800856">
    <w:abstractNumId w:val="3"/>
  </w:num>
  <w:num w:numId="5" w16cid:durableId="860362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39C0"/>
    <w:rsid w:val="00023BED"/>
    <w:rsid w:val="000766AC"/>
    <w:rsid w:val="00083334"/>
    <w:rsid w:val="000956CF"/>
    <w:rsid w:val="000A683E"/>
    <w:rsid w:val="0011595A"/>
    <w:rsid w:val="001220C5"/>
    <w:rsid w:val="00124339"/>
    <w:rsid w:val="001267F7"/>
    <w:rsid w:val="00127233"/>
    <w:rsid w:val="00130999"/>
    <w:rsid w:val="00164D81"/>
    <w:rsid w:val="001650AF"/>
    <w:rsid w:val="00185094"/>
    <w:rsid w:val="001A1011"/>
    <w:rsid w:val="001A48D0"/>
    <w:rsid w:val="001A63AA"/>
    <w:rsid w:val="00212B08"/>
    <w:rsid w:val="00215EFE"/>
    <w:rsid w:val="00233F3D"/>
    <w:rsid w:val="002550CF"/>
    <w:rsid w:val="00260558"/>
    <w:rsid w:val="002653C1"/>
    <w:rsid w:val="0027292B"/>
    <w:rsid w:val="002951A0"/>
    <w:rsid w:val="002A64FD"/>
    <w:rsid w:val="002B09C0"/>
    <w:rsid w:val="002B4449"/>
    <w:rsid w:val="00310B9B"/>
    <w:rsid w:val="00323DF4"/>
    <w:rsid w:val="003355EC"/>
    <w:rsid w:val="0036461C"/>
    <w:rsid w:val="00367884"/>
    <w:rsid w:val="0039439C"/>
    <w:rsid w:val="003B69E7"/>
    <w:rsid w:val="003C013B"/>
    <w:rsid w:val="003C3A1B"/>
    <w:rsid w:val="003D0F4D"/>
    <w:rsid w:val="003F58A1"/>
    <w:rsid w:val="00410DD6"/>
    <w:rsid w:val="004134C9"/>
    <w:rsid w:val="00433A7D"/>
    <w:rsid w:val="00462A59"/>
    <w:rsid w:val="004973F5"/>
    <w:rsid w:val="004A1847"/>
    <w:rsid w:val="004B6B0E"/>
    <w:rsid w:val="004D25B3"/>
    <w:rsid w:val="004E406E"/>
    <w:rsid w:val="004F10F7"/>
    <w:rsid w:val="00511405"/>
    <w:rsid w:val="00526E9D"/>
    <w:rsid w:val="0053051D"/>
    <w:rsid w:val="005456BF"/>
    <w:rsid w:val="00547A74"/>
    <w:rsid w:val="005566E8"/>
    <w:rsid w:val="005746AB"/>
    <w:rsid w:val="00583AC4"/>
    <w:rsid w:val="005C694F"/>
    <w:rsid w:val="005C7E07"/>
    <w:rsid w:val="005D65C8"/>
    <w:rsid w:val="006219F8"/>
    <w:rsid w:val="00657BFF"/>
    <w:rsid w:val="00671AEF"/>
    <w:rsid w:val="00681FDB"/>
    <w:rsid w:val="00687760"/>
    <w:rsid w:val="006A3E98"/>
    <w:rsid w:val="006A7DAD"/>
    <w:rsid w:val="006B781E"/>
    <w:rsid w:val="006C4299"/>
    <w:rsid w:val="006D70BA"/>
    <w:rsid w:val="006F4C29"/>
    <w:rsid w:val="00712D6E"/>
    <w:rsid w:val="007411FA"/>
    <w:rsid w:val="00743073"/>
    <w:rsid w:val="007566FE"/>
    <w:rsid w:val="0077144B"/>
    <w:rsid w:val="00793403"/>
    <w:rsid w:val="007973FB"/>
    <w:rsid w:val="007B1432"/>
    <w:rsid w:val="007C013A"/>
    <w:rsid w:val="007D6DD0"/>
    <w:rsid w:val="007F2B7C"/>
    <w:rsid w:val="0081560D"/>
    <w:rsid w:val="00820F5B"/>
    <w:rsid w:val="008238D6"/>
    <w:rsid w:val="00833452"/>
    <w:rsid w:val="008614E5"/>
    <w:rsid w:val="008678EB"/>
    <w:rsid w:val="00872D12"/>
    <w:rsid w:val="00881C10"/>
    <w:rsid w:val="008B6646"/>
    <w:rsid w:val="008C48A8"/>
    <w:rsid w:val="008C5047"/>
    <w:rsid w:val="008D5C70"/>
    <w:rsid w:val="009025AF"/>
    <w:rsid w:val="00904F23"/>
    <w:rsid w:val="00906B3C"/>
    <w:rsid w:val="0093171B"/>
    <w:rsid w:val="009A42B2"/>
    <w:rsid w:val="009C4F7A"/>
    <w:rsid w:val="009D3937"/>
    <w:rsid w:val="009F33F2"/>
    <w:rsid w:val="009F6B00"/>
    <w:rsid w:val="00A07532"/>
    <w:rsid w:val="00A1085C"/>
    <w:rsid w:val="00A13505"/>
    <w:rsid w:val="00A20647"/>
    <w:rsid w:val="00A309E2"/>
    <w:rsid w:val="00A35731"/>
    <w:rsid w:val="00A6264B"/>
    <w:rsid w:val="00A8066E"/>
    <w:rsid w:val="00AA4B8A"/>
    <w:rsid w:val="00AA6BF7"/>
    <w:rsid w:val="00AD0280"/>
    <w:rsid w:val="00B01ED6"/>
    <w:rsid w:val="00B05F9E"/>
    <w:rsid w:val="00B06D09"/>
    <w:rsid w:val="00B42C86"/>
    <w:rsid w:val="00B771A9"/>
    <w:rsid w:val="00B809BB"/>
    <w:rsid w:val="00B8248A"/>
    <w:rsid w:val="00BC17E7"/>
    <w:rsid w:val="00BD6248"/>
    <w:rsid w:val="00BE5997"/>
    <w:rsid w:val="00C30461"/>
    <w:rsid w:val="00C754BE"/>
    <w:rsid w:val="00C9405D"/>
    <w:rsid w:val="00C94138"/>
    <w:rsid w:val="00CB6690"/>
    <w:rsid w:val="00CC1B26"/>
    <w:rsid w:val="00CD284F"/>
    <w:rsid w:val="00CD5766"/>
    <w:rsid w:val="00CF23AA"/>
    <w:rsid w:val="00D01921"/>
    <w:rsid w:val="00D16C4B"/>
    <w:rsid w:val="00D752B7"/>
    <w:rsid w:val="00DA1854"/>
    <w:rsid w:val="00DC24CD"/>
    <w:rsid w:val="00DC3A09"/>
    <w:rsid w:val="00DC6B53"/>
    <w:rsid w:val="00DE1799"/>
    <w:rsid w:val="00E20193"/>
    <w:rsid w:val="00E20894"/>
    <w:rsid w:val="00E23270"/>
    <w:rsid w:val="00E26B7C"/>
    <w:rsid w:val="00E36AE8"/>
    <w:rsid w:val="00E72A4D"/>
    <w:rsid w:val="00E90498"/>
    <w:rsid w:val="00EB06FF"/>
    <w:rsid w:val="00EB3C91"/>
    <w:rsid w:val="00EB4475"/>
    <w:rsid w:val="00EB66DA"/>
    <w:rsid w:val="00EC1391"/>
    <w:rsid w:val="00EC6D84"/>
    <w:rsid w:val="00ED4989"/>
    <w:rsid w:val="00EF2EBD"/>
    <w:rsid w:val="00F4436A"/>
    <w:rsid w:val="00F605F2"/>
    <w:rsid w:val="00F76AFC"/>
    <w:rsid w:val="00F80D4A"/>
    <w:rsid w:val="00FA5516"/>
    <w:rsid w:val="00FC3226"/>
    <w:rsid w:val="00FD6F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06E"/>
    <w:pPr>
      <w:spacing w:after="0" w:line="240" w:lineRule="auto"/>
    </w:pPr>
    <w:rPr>
      <w:sz w:val="24"/>
      <w:lang w:val="es-MX"/>
    </w:rPr>
  </w:style>
  <w:style w:type="paragraph" w:styleId="Ttulo1">
    <w:name w:val="heading 1"/>
    <w:basedOn w:val="Normal"/>
    <w:link w:val="Ttulo1Car"/>
    <w:uiPriority w:val="9"/>
    <w:qFormat/>
    <w:rsid w:val="00904F23"/>
    <w:pPr>
      <w:widowControl w:val="0"/>
      <w:autoSpaceDE w:val="0"/>
      <w:autoSpaceDN w:val="0"/>
      <w:spacing w:before="1"/>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aliases w:val="Footnote Text Char Char Char Char Car,texto de nota al pie Car,Footnote Text Char Car,Footnote Text Char Char Char Char Char Char Char Char Car"/>
    <w:basedOn w:val="Fuentedeprrafopredeter"/>
    <w:uiPriority w:val="99"/>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A63AA"/>
    <w:rPr>
      <w:rFonts w:ascii="Geomanist Light" w:hAnsi="Geomanist Light"/>
      <w:lang w:val="es-ES"/>
    </w:rPr>
  </w:style>
  <w:style w:type="paragraph" w:styleId="Textoindependiente">
    <w:name w:val="Body Text"/>
    <w:basedOn w:val="Normal"/>
    <w:link w:val="TextoindependienteCar"/>
    <w:uiPriority w:val="1"/>
    <w:qFormat/>
    <w:rsid w:val="001A63AA"/>
    <w:pPr>
      <w:widowControl w:val="0"/>
      <w:autoSpaceDE w:val="0"/>
      <w:autoSpaceDN w:val="0"/>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1A63AA"/>
    <w:rPr>
      <w:rFonts w:ascii="Arial" w:eastAsia="Arial" w:hAnsi="Arial" w:cs="Arial"/>
      <w:sz w:val="20"/>
      <w:szCs w:val="20"/>
      <w:lang w:val="es-ES"/>
    </w:rPr>
  </w:style>
  <w:style w:type="paragraph" w:customStyle="1" w:styleId="Appelnotedebasde">
    <w:name w:val="Appel note de bas de..."/>
    <w:basedOn w:val="Normal"/>
    <w:link w:val="Refdenotaalpie"/>
    <w:rsid w:val="001A63AA"/>
    <w:pPr>
      <w:spacing w:line="240" w:lineRule="exact"/>
    </w:pPr>
    <w:rPr>
      <w:vertAlign w:val="superscript"/>
    </w:rPr>
  </w:style>
  <w:style w:type="character" w:styleId="Hipervnculo">
    <w:name w:val="Hyperlink"/>
    <w:basedOn w:val="Fuentedeprrafopredeter"/>
    <w:uiPriority w:val="99"/>
    <w:unhideWhenUsed/>
    <w:rsid w:val="001A63AA"/>
    <w:rPr>
      <w:color w:val="0000FF"/>
      <w:u w:val="single"/>
    </w:rPr>
  </w:style>
  <w:style w:type="paragraph" w:styleId="NormalWeb">
    <w:name w:val="Normal (Web)"/>
    <w:basedOn w:val="Normal"/>
    <w:link w:val="NormalWebCar"/>
    <w:uiPriority w:val="99"/>
    <w:unhideWhenUsed/>
    <w:rsid w:val="001A63AA"/>
    <w:pPr>
      <w:spacing w:before="100" w:beforeAutospacing="1" w:after="100" w:afterAutospacing="1"/>
    </w:pPr>
    <w:rPr>
      <w:rFonts w:ascii="Times New Roman" w:eastAsia="Times New Roman" w:hAnsi="Times New Roman" w:cs="Times New Roman"/>
      <w:szCs w:val="24"/>
      <w:lang w:val="es-ES_tradnl" w:eastAsia="es-MX"/>
    </w:rPr>
  </w:style>
  <w:style w:type="character" w:customStyle="1" w:styleId="NormalWebCar">
    <w:name w:val="Normal (Web) Car"/>
    <w:link w:val="NormalWeb"/>
    <w:uiPriority w:val="99"/>
    <w:rsid w:val="001A63AA"/>
    <w:rPr>
      <w:rFonts w:ascii="Times New Roman" w:eastAsia="Times New Roman" w:hAnsi="Times New Roman" w:cs="Times New Roman"/>
      <w:sz w:val="24"/>
      <w:szCs w:val="24"/>
      <w:lang w:val="es-ES_tradnl" w:eastAsia="es-MX"/>
    </w:rPr>
  </w:style>
  <w:style w:type="paragraph" w:customStyle="1" w:styleId="gmail-msonospacing">
    <w:name w:val="gmail-msonospacing"/>
    <w:basedOn w:val="Normal"/>
    <w:rsid w:val="001A63AA"/>
    <w:pPr>
      <w:spacing w:before="100" w:beforeAutospacing="1" w:after="100" w:afterAutospacing="1"/>
    </w:pPr>
    <w:rPr>
      <w:rFonts w:ascii="Calibri" w:hAnsi="Calibri" w:cs="Calibri"/>
      <w:lang w:val="es-ES" w:eastAsia="es-ES"/>
    </w:rPr>
  </w:style>
  <w:style w:type="table" w:customStyle="1" w:styleId="Tablaconcuadrcula1">
    <w:name w:val="Tabla con cuadrícula1"/>
    <w:basedOn w:val="Tablanormal"/>
    <w:next w:val="Tablaconcuadrcula"/>
    <w:uiPriority w:val="59"/>
    <w:qFormat/>
    <w:rsid w:val="001A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A63AA"/>
    <w:rPr>
      <w:b/>
      <w:bCs/>
    </w:rPr>
  </w:style>
  <w:style w:type="character" w:styleId="nfasis">
    <w:name w:val="Emphasis"/>
    <w:basedOn w:val="Fuentedeprrafopredeter"/>
    <w:uiPriority w:val="20"/>
    <w:qFormat/>
    <w:rsid w:val="001A63AA"/>
    <w:rPr>
      <w:i/>
      <w:iCs/>
    </w:rPr>
  </w:style>
  <w:style w:type="character" w:styleId="Hipervnculovisitado">
    <w:name w:val="FollowedHyperlink"/>
    <w:basedOn w:val="Fuentedeprrafopredeter"/>
    <w:uiPriority w:val="99"/>
    <w:semiHidden/>
    <w:unhideWhenUsed/>
    <w:rsid w:val="0027292B"/>
    <w:rPr>
      <w:color w:val="954F72" w:themeColor="followedHyperlink"/>
      <w:u w:val="single"/>
    </w:rPr>
  </w:style>
  <w:style w:type="character" w:styleId="Mencinsinresolver">
    <w:name w:val="Unresolved Mention"/>
    <w:basedOn w:val="Fuentedeprrafopredeter"/>
    <w:uiPriority w:val="99"/>
    <w:semiHidden/>
    <w:unhideWhenUsed/>
    <w:rsid w:val="00ED4989"/>
    <w:rPr>
      <w:color w:val="605E5C"/>
      <w:shd w:val="clear" w:color="auto" w:fill="E1DFDD"/>
    </w:rPr>
  </w:style>
  <w:style w:type="paragraph" w:customStyle="1" w:styleId="paragraph">
    <w:name w:val="paragraph"/>
    <w:basedOn w:val="Normal"/>
    <w:rsid w:val="004E406E"/>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4E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andrea.orjuela@gmail.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25678" TargetMode="External"/><Relationship Id="rId2" Type="http://schemas.openxmlformats.org/officeDocument/2006/relationships/hyperlink" Target="https://www.colombiacompra.gov.co/sites/cce_public/files/cce_documents/cce_guia_capacidad_residual.pdf"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colombiacompra.gov.co/content/circular-unica-exter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90D2EC3C-DF92-42B5-A447-DE521C0ED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a6cb9e4b-f1d1-4245-83ec-6cad768d538a"/>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9d85dbaf-23eb-4e57-a637-93dcacc8b1a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8962</Words>
  <Characters>49293</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58139</CharactersWithSpaces>
  <SharedDoc>false</SharedDoc>
  <HLinks>
    <vt:vector size="30" baseType="variant">
      <vt:variant>
        <vt:i4>4980863</vt:i4>
      </vt:variant>
      <vt:variant>
        <vt:i4>0</vt:i4>
      </vt:variant>
      <vt:variant>
        <vt:i4>0</vt:i4>
      </vt:variant>
      <vt:variant>
        <vt:i4>5</vt:i4>
      </vt:variant>
      <vt:variant>
        <vt:lpwstr>mailto:ing.andrea.orjuela@gmail.com</vt:lpwstr>
      </vt:variant>
      <vt:variant>
        <vt:lpwstr/>
      </vt:variant>
      <vt:variant>
        <vt:i4>5832784</vt:i4>
      </vt:variant>
      <vt:variant>
        <vt:i4>9</vt:i4>
      </vt:variant>
      <vt:variant>
        <vt:i4>0</vt:i4>
      </vt:variant>
      <vt:variant>
        <vt:i4>5</vt:i4>
      </vt:variant>
      <vt:variant>
        <vt:lpwstr>https://www.colombiacompra.gov.co/content/circular-unica-externa</vt:lpwstr>
      </vt:variant>
      <vt:variant>
        <vt:lpwstr/>
      </vt:variant>
      <vt:variant>
        <vt:i4>2555924</vt:i4>
      </vt:variant>
      <vt:variant>
        <vt:i4>6</vt:i4>
      </vt:variant>
      <vt:variant>
        <vt:i4>0</vt:i4>
      </vt:variant>
      <vt:variant>
        <vt:i4>5</vt:i4>
      </vt:variant>
      <vt:variant>
        <vt:lpwstr>https://www.funcionpublica.gov.co/eva/gestornormativo/norma.php?i=25678</vt:lpwstr>
      </vt:variant>
      <vt:variant>
        <vt:lpwstr>5</vt:lpwstr>
      </vt:variant>
      <vt:variant>
        <vt:i4>393276</vt:i4>
      </vt:variant>
      <vt:variant>
        <vt:i4>3</vt:i4>
      </vt:variant>
      <vt:variant>
        <vt:i4>0</vt:i4>
      </vt:variant>
      <vt:variant>
        <vt:i4>5</vt:i4>
      </vt:variant>
      <vt:variant>
        <vt:lpwstr>https://www.colombiacompra.gov.co/sites/cce_public/files/cce_documents/cce_guia_capacidad_residual.pdf</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2023-03-02T15:39:00Z</dcterms:created>
  <dcterms:modified xsi:type="dcterms:W3CDTF">2023-03-02T15:39:00Z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