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0784" w14:textId="77777777" w:rsidR="00C5544B" w:rsidRPr="00C5544B" w:rsidRDefault="00C5544B" w:rsidP="00C5544B">
      <w:pPr>
        <w:spacing w:line="240" w:lineRule="auto"/>
        <w:rPr>
          <w:rFonts w:ascii="Geomanist Light" w:eastAsia="Calibri" w:hAnsi="Geomanist Light" w:cs="Arial"/>
          <w:b/>
          <w:bCs/>
          <w:color w:val="000000" w:themeColor="text1"/>
          <w:sz w:val="22"/>
        </w:rPr>
      </w:pPr>
      <w:r w:rsidRPr="00921943">
        <w:rPr>
          <w:rFonts w:ascii="Geomanist Light" w:eastAsia="Calibri" w:hAnsi="Geomanist Light" w:cs="Arial"/>
          <w:b/>
          <w:bCs/>
          <w:color w:val="000000" w:themeColor="text1"/>
          <w:sz w:val="22"/>
        </w:rPr>
        <w:t>PRINCIPIO DE PLANEACIÓN</w:t>
      </w:r>
      <w:r w:rsidRPr="00C5544B">
        <w:rPr>
          <w:rFonts w:ascii="Geomanist Light" w:eastAsia="Calibri" w:hAnsi="Geomanist Light" w:cs="Arial"/>
          <w:b/>
          <w:bCs/>
          <w:color w:val="000000" w:themeColor="text1"/>
          <w:sz w:val="22"/>
        </w:rPr>
        <w:t xml:space="preserve"> – Estudios previos </w:t>
      </w:r>
    </w:p>
    <w:p w14:paraId="572DCEA0" w14:textId="77777777" w:rsidR="00C5544B" w:rsidRPr="00C5544B" w:rsidRDefault="00C5544B" w:rsidP="00C5544B">
      <w:pPr>
        <w:spacing w:line="240" w:lineRule="auto"/>
        <w:rPr>
          <w:rFonts w:ascii="Geomanist Light" w:eastAsia="Calibri" w:hAnsi="Geomanist Light" w:cs="Arial"/>
          <w:color w:val="000000" w:themeColor="text1"/>
          <w:sz w:val="20"/>
          <w:szCs w:val="20"/>
        </w:rPr>
      </w:pPr>
      <w:r w:rsidRPr="00C5544B">
        <w:rPr>
          <w:rFonts w:ascii="Geomanist Light" w:eastAsia="Calibri" w:hAnsi="Geomanist Light" w:cs="Arial"/>
          <w:color w:val="000000" w:themeColor="text1"/>
          <w:sz w:val="20"/>
          <w:szCs w:val="20"/>
        </w:rPr>
        <w:t>El Estatuto General de Contratación de la Administración Pública contiene disposiciones que exigen a las entidades estatales el deber de realizar actividades de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p>
    <w:p w14:paraId="686C524F" w14:textId="4C0C3703" w:rsidR="00C5544B" w:rsidRPr="00C5544B" w:rsidRDefault="00C5544B" w:rsidP="00C5544B">
      <w:pPr>
        <w:spacing w:line="240" w:lineRule="auto"/>
        <w:rPr>
          <w:rFonts w:ascii="Geomanist Light" w:eastAsia="Calibri" w:hAnsi="Geomanist Light" w:cs="Arial"/>
          <w:color w:val="000000" w:themeColor="text1"/>
          <w:sz w:val="20"/>
          <w:szCs w:val="20"/>
        </w:rPr>
      </w:pPr>
      <w:r w:rsidRPr="00C5544B">
        <w:rPr>
          <w:rFonts w:ascii="Geomanist Light" w:eastAsia="Calibri" w:hAnsi="Geomanist Light" w:cs="Arial"/>
          <w:color w:val="000000" w:themeColor="text1"/>
          <w:sz w:val="20"/>
          <w:szCs w:val="20"/>
        </w:rPr>
        <w:t>[…]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w:t>
      </w:r>
    </w:p>
    <w:p w14:paraId="44C3A448" w14:textId="35219956" w:rsidR="00C5544B" w:rsidRPr="0033016F" w:rsidRDefault="00C5544B" w:rsidP="00C5544B">
      <w:pPr>
        <w:tabs>
          <w:tab w:val="center" w:pos="4394"/>
        </w:tabs>
        <w:spacing w:line="240" w:lineRule="auto"/>
        <w:rPr>
          <w:rFonts w:ascii="Arial" w:eastAsia="Calibri" w:hAnsi="Arial" w:cs="Arial"/>
          <w:b/>
          <w:bCs/>
          <w:sz w:val="20"/>
          <w:szCs w:val="20"/>
          <w:lang w:val="es-ES_tradnl"/>
        </w:rPr>
      </w:pPr>
      <w:r w:rsidRPr="00921943">
        <w:rPr>
          <w:rFonts w:ascii="Geomanist Light" w:eastAsia="Calibri" w:hAnsi="Geomanist Light" w:cs="Arial"/>
          <w:b/>
          <w:bCs/>
          <w:color w:val="000000" w:themeColor="text1"/>
          <w:sz w:val="22"/>
        </w:rPr>
        <w:t>ANÁLISIS DEL SECTOR –</w:t>
      </w:r>
      <w:r w:rsidRPr="00C5544B">
        <w:rPr>
          <w:rFonts w:ascii="Geomanist Light" w:eastAsia="Calibri" w:hAnsi="Geomanist Light" w:cs="Arial"/>
          <w:b/>
          <w:bCs/>
          <w:color w:val="000000" w:themeColor="text1"/>
          <w:sz w:val="22"/>
        </w:rPr>
        <w:t xml:space="preserve"> Perspectiva multidisciplinaria – Estudio de la oferta – Estudio del mercado</w:t>
      </w:r>
    </w:p>
    <w:p w14:paraId="20823EBE" w14:textId="4B2C51EE" w:rsidR="00C5544B" w:rsidRPr="00C5544B" w:rsidRDefault="00B2749C" w:rsidP="00C5544B">
      <w:pPr>
        <w:spacing w:line="240" w:lineRule="auto"/>
        <w:rPr>
          <w:rFonts w:ascii="Geomanist Light" w:eastAsia="Calibri" w:hAnsi="Geomanist Light" w:cs="Arial"/>
          <w:color w:val="000000" w:themeColor="text1"/>
          <w:sz w:val="20"/>
          <w:szCs w:val="20"/>
        </w:rPr>
      </w:pPr>
      <w:r w:rsidRPr="00C5544B">
        <w:rPr>
          <w:rFonts w:ascii="Geomanist Light" w:eastAsia="Calibri" w:hAnsi="Geomanist Light" w:cs="Arial"/>
          <w:color w:val="000000" w:themeColor="text1"/>
          <w:sz w:val="20"/>
          <w:szCs w:val="20"/>
        </w:rPr>
        <w:t>[…]</w:t>
      </w:r>
      <w:r>
        <w:rPr>
          <w:rFonts w:ascii="Geomanist Light" w:eastAsia="Calibri" w:hAnsi="Geomanist Light" w:cs="Arial"/>
          <w:color w:val="000000" w:themeColor="text1"/>
          <w:sz w:val="20"/>
          <w:szCs w:val="20"/>
        </w:rPr>
        <w:t xml:space="preserve"> </w:t>
      </w:r>
      <w:r w:rsidR="00C5544B" w:rsidRPr="00C5544B">
        <w:rPr>
          <w:rFonts w:ascii="Geomanist Light" w:eastAsia="Calibri" w:hAnsi="Geomanist Light" w:cs="Arial"/>
          <w:color w:val="000000" w:themeColor="text1"/>
          <w:sz w:val="20"/>
          <w:szCs w:val="20"/>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665A5334" w14:textId="633CBEEA" w:rsidR="00D92B4A" w:rsidRPr="00C5544B" w:rsidRDefault="00C5544B" w:rsidP="00C5544B">
      <w:pPr>
        <w:spacing w:line="240" w:lineRule="auto"/>
        <w:rPr>
          <w:rFonts w:ascii="Geomanist Light" w:eastAsia="Calibri" w:hAnsi="Geomanist Light" w:cs="Arial"/>
          <w:color w:val="000000" w:themeColor="text1"/>
          <w:sz w:val="20"/>
          <w:szCs w:val="20"/>
        </w:rPr>
      </w:pPr>
      <w:r w:rsidRPr="00C5544B">
        <w:rPr>
          <w:rFonts w:ascii="Geomanist Light" w:eastAsia="Calibri" w:hAnsi="Geomanist Light" w:cs="Arial"/>
          <w:color w:val="000000" w:themeColor="text1"/>
          <w:sz w:val="20"/>
          <w:szCs w:val="20"/>
        </w:rPr>
        <w:t>[…]el análisis del sector parte de un estudio desde una perspectiva multidisciplinaria, que implica los aspectos generales del mercado, el análisis de la demanda y de la oferta, así como el estudio del mercado que le permite a la entidad entender el mercado del bien, obra o servicio que pretenden adquirir, así como identificar los factores que inciden en el valor del contrato, tales como el análisis de precios, las cargas tributarias, la tasa de cambio, las garantías, los gastos de transporte, etc. Este análisis se debe consignar en los Documentos del Proceso, bien sea en los estudios previos o en la información soporte de los mismos.</w:t>
      </w:r>
    </w:p>
    <w:p w14:paraId="41D4FA7E" w14:textId="228C98DF" w:rsidR="000E6DE8" w:rsidRPr="008A40CE" w:rsidRDefault="00B2749C" w:rsidP="008A40CE">
      <w:pPr>
        <w:rPr>
          <w:rFonts w:ascii="Geomanist Light" w:eastAsia="Calibri" w:hAnsi="Geomanist Light" w:cs="Arial"/>
          <w:b/>
          <w:color w:val="000000" w:themeColor="text1"/>
          <w:sz w:val="20"/>
          <w:szCs w:val="20"/>
          <w:highlight w:val="magenta"/>
        </w:rPr>
      </w:pPr>
      <w:r w:rsidRPr="00921943">
        <w:rPr>
          <w:rFonts w:ascii="Geomanist Light" w:eastAsia="Calibri" w:hAnsi="Geomanist Light" w:cs="Arial"/>
          <w:b/>
          <w:bCs/>
          <w:color w:val="000000" w:themeColor="text1"/>
          <w:sz w:val="22"/>
        </w:rPr>
        <w:t>ANÁLISIS DEL SECTOR</w:t>
      </w:r>
      <w:r w:rsidRPr="00C5544B">
        <w:rPr>
          <w:rFonts w:ascii="Geomanist Light" w:eastAsia="Calibri" w:hAnsi="Geomanist Light" w:cs="Arial"/>
          <w:b/>
          <w:bCs/>
          <w:color w:val="000000" w:themeColor="text1"/>
          <w:sz w:val="22"/>
        </w:rPr>
        <w:t xml:space="preserve"> – </w:t>
      </w:r>
      <w:r>
        <w:rPr>
          <w:rFonts w:ascii="Geomanist Light" w:eastAsia="Calibri" w:hAnsi="Geomanist Light" w:cs="Arial"/>
          <w:b/>
          <w:bCs/>
          <w:color w:val="000000" w:themeColor="text1"/>
          <w:sz w:val="22"/>
        </w:rPr>
        <w:t>Contratación Directa</w:t>
      </w:r>
    </w:p>
    <w:p w14:paraId="17F2E991" w14:textId="56A66E44" w:rsidR="008A40CE" w:rsidRPr="008A40CE" w:rsidRDefault="008A40CE" w:rsidP="008A40CE">
      <w:pPr>
        <w:spacing w:line="240" w:lineRule="auto"/>
        <w:rPr>
          <w:rFonts w:ascii="Geomanist Light" w:eastAsia="Calibri" w:hAnsi="Geomanist Light" w:cs="Arial"/>
          <w:color w:val="000000" w:themeColor="text1"/>
          <w:sz w:val="20"/>
          <w:szCs w:val="20"/>
        </w:rPr>
      </w:pPr>
      <w:r w:rsidRPr="00C5544B">
        <w:rPr>
          <w:rFonts w:ascii="Geomanist Light" w:eastAsia="Calibri" w:hAnsi="Geomanist Light" w:cs="Arial"/>
          <w:color w:val="000000" w:themeColor="text1"/>
          <w:sz w:val="20"/>
          <w:szCs w:val="20"/>
        </w:rPr>
        <w:t>[…]</w:t>
      </w:r>
      <w:r w:rsidRPr="008A40CE">
        <w:rPr>
          <w:rFonts w:ascii="Geomanist Light" w:eastAsia="Calibri" w:hAnsi="Geomanist Light" w:cs="Arial"/>
          <w:color w:val="000000" w:themeColor="text1"/>
          <w:sz w:val="20"/>
          <w:szCs w:val="20"/>
        </w:rPr>
        <w:t xml:space="preserve">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w:t>
      </w:r>
      <w:r w:rsidRPr="008A40CE">
        <w:rPr>
          <w:rFonts w:ascii="Geomanist Light" w:eastAsia="Calibri" w:hAnsi="Geomanist Light" w:cs="Arial"/>
          <w:color w:val="000000" w:themeColor="text1"/>
          <w:sz w:val="20"/>
          <w:szCs w:val="20"/>
        </w:rPr>
        <w:lastRenderedPageBreak/>
        <w:t>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Estatal debe consignar en los Documentos del Proceso, bien sea en los estudios previos o en la información de soporte de estos, los aspectos de que trata el artículo 2.2.1.1.1.6.1 del Decreto 1082 de 2015 esto es, el análisis desde la perspectiva legal, comercial, financiera, organizacional, técnica, y de análisis de riesgo».</w:t>
      </w:r>
    </w:p>
    <w:p w14:paraId="5CF73072" w14:textId="77777777" w:rsidR="008A40CE" w:rsidRPr="008A40CE" w:rsidRDefault="008A40CE" w:rsidP="00A87152">
      <w:pPr>
        <w:pStyle w:val="paragraph"/>
        <w:spacing w:before="0" w:beforeAutospacing="0" w:after="200" w:afterAutospacing="0"/>
        <w:jc w:val="both"/>
        <w:textAlignment w:val="baseline"/>
        <w:rPr>
          <w:rFonts w:ascii="Geomanist Light" w:eastAsia="Calibri" w:hAnsi="Geomanist Light" w:cs="Arial"/>
          <w:color w:val="000000" w:themeColor="text1"/>
          <w:sz w:val="20"/>
          <w:szCs w:val="20"/>
          <w:lang w:val="es-MX" w:eastAsia="en-US"/>
        </w:rPr>
      </w:pPr>
      <w:r w:rsidRPr="008A40CE">
        <w:rPr>
          <w:rFonts w:ascii="Geomanist Light" w:eastAsia="Calibri" w:hAnsi="Geomanist Light" w:cs="Arial"/>
          <w:color w:val="000000" w:themeColor="text1"/>
          <w:sz w:val="20"/>
          <w:szCs w:val="20"/>
          <w:lang w:val="es-MX" w:eastAsia="en-US"/>
        </w:rPr>
        <w:t>De esta manera, en la contratación directa también deben existir unos estudios previos para fijar los criterios de escogencia del contratista. Dichos criterios tienen fundamento en el análisis del mercado, en el cual, aunque no es obligatorio, nada obsta para que la entidad identifique a varios proveedores en condiciones de cumplir el objeto del contrato. </w:t>
      </w:r>
    </w:p>
    <w:p w14:paraId="0A50BCE8" w14:textId="120A7E47" w:rsidR="00474929" w:rsidRPr="008A40CE" w:rsidRDefault="008A40CE" w:rsidP="008A40CE">
      <w:pPr>
        <w:spacing w:line="240" w:lineRule="auto"/>
        <w:rPr>
          <w:rFonts w:ascii="Geomanist Light" w:eastAsia="Calibri" w:hAnsi="Geomanist Light" w:cs="Arial"/>
          <w:color w:val="000000" w:themeColor="text1"/>
          <w:sz w:val="20"/>
          <w:szCs w:val="20"/>
        </w:rPr>
      </w:pPr>
      <w:r w:rsidRPr="008A40CE">
        <w:rPr>
          <w:rFonts w:ascii="Geomanist Light" w:eastAsia="Calibri" w:hAnsi="Geomanist Light" w:cs="Arial"/>
          <w:color w:val="000000" w:themeColor="text1"/>
          <w:sz w:val="20"/>
          <w:szCs w:val="20"/>
        </w:rPr>
        <w:t>En conclusión, el análisis del sector debe ser visto desde una perspectiva funcional, como una labor enfocada a situar la adquisición de bienes y servicios por parte de entidades estatales dentro de las condiciones del mercado o del sector en el que serán adquiridos, el cual constituye una manifestación de los principios de planeación y economía. Dicha labor debe evidenciarse de manera palpable en los Documentos del Proceso, ya sea dentro de los estudios previos, como documento autónomo o dentro de alguno de los soportes del proceso de contratación, abarcando los campos legal, comercial, financiero, organizacional, técnico y de riesgos, de conformidad con el artículo 2.2.1.1.1.6.1 del Decreto 1082 del 2015.</w:t>
      </w:r>
    </w:p>
    <w:p w14:paraId="387664A1" w14:textId="0FB11C89" w:rsidR="0088137B" w:rsidRPr="0088137B" w:rsidRDefault="0088137B" w:rsidP="0088137B">
      <w:pPr>
        <w:rPr>
          <w:rFonts w:ascii="Geomanist Light" w:eastAsia="Calibri" w:hAnsi="Geomanist Light" w:cs="Arial"/>
          <w:b/>
          <w:bCs/>
          <w:color w:val="000000" w:themeColor="text1"/>
          <w:sz w:val="22"/>
        </w:rPr>
      </w:pPr>
      <w:r w:rsidRPr="0088137B">
        <w:rPr>
          <w:rFonts w:ascii="Geomanist Light" w:eastAsia="Calibri" w:hAnsi="Geomanist Light" w:cs="Arial"/>
          <w:b/>
          <w:bCs/>
          <w:color w:val="000000" w:themeColor="text1"/>
          <w:sz w:val="22"/>
        </w:rPr>
        <w:t xml:space="preserve">GUÍAS Y MANUALES – </w:t>
      </w:r>
      <w:r w:rsidR="00C27DAF" w:rsidRPr="0088137B">
        <w:rPr>
          <w:rFonts w:ascii="Geomanist Light" w:eastAsia="Calibri" w:hAnsi="Geomanist Light" w:cs="Arial"/>
          <w:b/>
          <w:bCs/>
          <w:color w:val="000000" w:themeColor="text1"/>
          <w:sz w:val="22"/>
        </w:rPr>
        <w:t>Obligatoriedad</w:t>
      </w:r>
      <w:r w:rsidRPr="0088137B">
        <w:rPr>
          <w:rFonts w:ascii="Geomanist Light" w:eastAsia="Calibri" w:hAnsi="Geomanist Light" w:cs="Arial"/>
          <w:b/>
          <w:bCs/>
          <w:color w:val="000000" w:themeColor="text1"/>
          <w:sz w:val="22"/>
        </w:rPr>
        <w:t xml:space="preserve"> </w:t>
      </w:r>
    </w:p>
    <w:p w14:paraId="2A5C6737" w14:textId="77777777" w:rsidR="00793218" w:rsidRDefault="0088137B" w:rsidP="0088137B">
      <w:pPr>
        <w:spacing w:line="240" w:lineRule="auto"/>
        <w:rPr>
          <w:rFonts w:ascii="Geomanist Light" w:eastAsia="Calibri" w:hAnsi="Geomanist Light" w:cs="Arial"/>
          <w:color w:val="000000" w:themeColor="text1"/>
          <w:sz w:val="20"/>
          <w:szCs w:val="20"/>
        </w:rPr>
      </w:pPr>
      <w:r w:rsidRPr="0088137B">
        <w:rPr>
          <w:rFonts w:ascii="Geomanist Light" w:eastAsia="Calibri" w:hAnsi="Geomanist Light" w:cs="Arial"/>
          <w:color w:val="000000" w:themeColor="text1"/>
          <w:sz w:val="20"/>
          <w:szCs w:val="20"/>
        </w:rPr>
        <w:t xml:space="preserve">[…] la obligatoriedad de las herramientas normativas expedidas por Colombia Compra Eficiente depende de si existe una norma de rango legal o de reglamentario, diferente de la general del Decreto Ley 4170 de 2011, que confiera la competencia para regular determinado aspecto de la contratación estatal. Si la competencia no proviene de la ley o el reglamento, sin importar que se trate de una guía o un manual, su función estará limitada a dar orientaciones o a reproducir normas, esto es, no tendrá fuerza obligatoria y, en consecuencia, no será vinculante para sus destinatarios, con independencia del nombre que tenga. […] En suma, las guías previstas en los numerales 1 y 2 del artículo 2.2.1.2.5.2 del Decreto 1082 de 2015 son de obligatorio cumplimiento. </w:t>
      </w:r>
    </w:p>
    <w:p w14:paraId="625F8E6F" w14:textId="487093EF" w:rsidR="00793218" w:rsidRDefault="00793218" w:rsidP="00793218">
      <w:pPr>
        <w:spacing w:line="240" w:lineRule="auto"/>
        <w:rPr>
          <w:rFonts w:ascii="Geomanist Light" w:eastAsia="Calibri" w:hAnsi="Geomanist Light" w:cs="Arial"/>
          <w:color w:val="000000" w:themeColor="text1"/>
          <w:sz w:val="20"/>
          <w:szCs w:val="20"/>
        </w:rPr>
      </w:pPr>
      <w:r w:rsidRPr="00793218">
        <w:rPr>
          <w:rFonts w:ascii="Geomanist Light" w:eastAsia="Calibri" w:hAnsi="Geomanist Light" w:cs="Arial"/>
          <w:color w:val="000000" w:themeColor="text1"/>
          <w:sz w:val="20"/>
          <w:szCs w:val="20"/>
        </w:rPr>
        <w:t>En contraste, las demás guías y manuales expedidos por la Agencia, incluyendo la guía de estudios del sector en los procesos de contratación, son criterios de buenas prácticas y de apoyo a los partícipes de la contratación pública, como se observa en su parte introductoria «[…] Este documento contiene algunas recomendaciones generales de Colombia Compra Eficiente, y no debe ser utilizado de manera mecánica. La profundidad del estudio del sector depende de la complejidad del Proceso de Contratación». Por tanto, para efectos de una planeación adecuada del contrato, la entidad puede acoger las fórmulas que estime pertinentes de acuerdo con el alcance del proyecto.</w:t>
      </w:r>
    </w:p>
    <w:p w14:paraId="1A3DC244" w14:textId="50F8EFAA" w:rsidR="00C27DAF" w:rsidRDefault="00C27DAF" w:rsidP="00C27DAF">
      <w:pPr>
        <w:pStyle w:val="paragraph"/>
        <w:spacing w:before="0" w:beforeAutospacing="0" w:after="0" w:afterAutospacing="0"/>
        <w:jc w:val="both"/>
        <w:textAlignment w:val="baseline"/>
        <w:rPr>
          <w:rFonts w:ascii="Geomanist Light" w:eastAsia="Calibri" w:hAnsi="Geomanist Light"/>
          <w:b/>
          <w:bCs/>
          <w:color w:val="000000" w:themeColor="text1"/>
          <w:sz w:val="22"/>
          <w:szCs w:val="22"/>
          <w:lang w:val="es-MX" w:eastAsia="en-US"/>
        </w:rPr>
      </w:pPr>
      <w:r w:rsidRPr="000A7C70">
        <w:rPr>
          <w:rFonts w:ascii="Geomanist Light" w:eastAsia="Calibri" w:hAnsi="Geomanist Light"/>
          <w:b/>
          <w:bCs/>
          <w:color w:val="000000" w:themeColor="text1"/>
          <w:sz w:val="22"/>
          <w:szCs w:val="22"/>
          <w:lang w:val="es-MX" w:eastAsia="en-US"/>
        </w:rPr>
        <w:t>DOCUMENTOS DEL PROCESO</w:t>
      </w:r>
      <w:r w:rsidRPr="00C27DAF">
        <w:rPr>
          <w:rFonts w:ascii="Geomanist Light" w:eastAsia="Calibri" w:hAnsi="Geomanist Light"/>
          <w:b/>
          <w:bCs/>
          <w:color w:val="000000" w:themeColor="text1"/>
          <w:sz w:val="22"/>
          <w:szCs w:val="22"/>
          <w:lang w:val="es-MX" w:eastAsia="en-US"/>
        </w:rPr>
        <w:t xml:space="preserve"> – Noción </w:t>
      </w:r>
    </w:p>
    <w:p w14:paraId="368541A8" w14:textId="77777777" w:rsidR="00C27DAF" w:rsidRPr="00C27DAF" w:rsidRDefault="00C27DAF" w:rsidP="00C27DAF">
      <w:pPr>
        <w:pStyle w:val="paragraph"/>
        <w:spacing w:before="0" w:beforeAutospacing="0" w:after="0" w:afterAutospacing="0"/>
        <w:jc w:val="both"/>
        <w:textAlignment w:val="baseline"/>
        <w:rPr>
          <w:rFonts w:ascii="Geomanist Light" w:eastAsia="Calibri" w:hAnsi="Geomanist Light" w:cs="Arial"/>
          <w:b/>
          <w:bCs/>
          <w:color w:val="000000" w:themeColor="text1"/>
          <w:sz w:val="22"/>
          <w:szCs w:val="22"/>
          <w:lang w:val="es-MX" w:eastAsia="en-US"/>
        </w:rPr>
      </w:pPr>
    </w:p>
    <w:p w14:paraId="05A50E49" w14:textId="77777777" w:rsidR="006843B5" w:rsidRPr="00D867E2" w:rsidRDefault="00C27DAF" w:rsidP="006843B5">
      <w:pPr>
        <w:spacing w:line="240" w:lineRule="auto"/>
        <w:rPr>
          <w:rFonts w:ascii="Geomanist Light" w:eastAsia="Calibri" w:hAnsi="Geomanist Light" w:cs="Arial"/>
          <w:color w:val="000000" w:themeColor="text1"/>
          <w:sz w:val="20"/>
          <w:szCs w:val="20"/>
        </w:rPr>
      </w:pPr>
      <w:r w:rsidRPr="006843B5">
        <w:rPr>
          <w:rFonts w:ascii="Geomanist Light" w:eastAsia="Calibri" w:hAnsi="Geomanist Light" w:cs="Arial"/>
          <w:color w:val="000000" w:themeColor="text1"/>
          <w:sz w:val="20"/>
          <w:szCs w:val="20"/>
        </w:rPr>
        <w:t xml:space="preserve">[…] </w:t>
      </w:r>
      <w:r w:rsidR="006843B5" w:rsidRPr="00D867E2">
        <w:rPr>
          <w:rFonts w:ascii="Geomanist Light" w:eastAsia="Calibri" w:hAnsi="Geomanist Light" w:cs="Arial"/>
          <w:color w:val="000000" w:themeColor="text1"/>
          <w:sz w:val="20"/>
          <w:szCs w:val="20"/>
        </w:rPr>
        <w:t>La expresión Documentos del Proceso está definida en el artículo 2.2.1.1.1.3.1. del Decreto 1082 de 2015, donde se establece que: «[…]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2821BAE5" w14:textId="77777777" w:rsidR="006843B5" w:rsidRPr="00D867E2" w:rsidRDefault="006843B5" w:rsidP="006843B5">
      <w:pPr>
        <w:spacing w:line="240" w:lineRule="auto"/>
        <w:rPr>
          <w:rFonts w:ascii="Geomanist Light" w:eastAsia="Calibri" w:hAnsi="Geomanist Light" w:cs="Arial"/>
          <w:color w:val="000000" w:themeColor="text1"/>
          <w:sz w:val="20"/>
          <w:szCs w:val="20"/>
        </w:rPr>
      </w:pPr>
      <w:r w:rsidRPr="00D867E2">
        <w:rPr>
          <w:rFonts w:ascii="Geomanist Light" w:eastAsia="Calibri" w:hAnsi="Geomanist Light" w:cs="Arial"/>
          <w:color w:val="000000" w:themeColor="text1"/>
          <w:sz w:val="20"/>
          <w:szCs w:val="20"/>
        </w:rPr>
        <w:lastRenderedPageBreak/>
        <w:t>No obstante, es necesario realizar una interpretación sistemática de las disposiciones del Decreto 1082 del 2015, en razón a que lo ahí previsto no se trata de un listado taxativo, sino enunciativo. En ese sentido, es oportuno aclarar que, además de los documentos enlistados, el artículo 2.2.1.1.1.3.1 Ibídem recoge en la noción de Documentos del Proceso «cualquier otro documento expedido por la Entidad Estatal durante el Proceso de Contratación». E</w:t>
      </w:r>
      <w:r w:rsidRPr="006843B5">
        <w:rPr>
          <w:rFonts w:ascii="Geomanist Light" w:eastAsia="Calibri" w:hAnsi="Geomanist Light" w:cs="Arial"/>
          <w:color w:val="000000" w:themeColor="text1"/>
          <w:sz w:val="20"/>
          <w:szCs w:val="20"/>
        </w:rPr>
        <w:t xml:space="preserve">n este sentido, es importante tener en cuenta que </w:t>
      </w:r>
      <w:r w:rsidRPr="00D867E2">
        <w:rPr>
          <w:rFonts w:ascii="Geomanist Light" w:eastAsia="Calibri" w:hAnsi="Geomanist Light" w:cs="Arial"/>
          <w:color w:val="000000" w:themeColor="text1"/>
          <w:sz w:val="20"/>
          <w:szCs w:val="20"/>
        </w:rPr>
        <w:t xml:space="preserve">la expresión Proceso de Contratación </w:t>
      </w:r>
      <w:r w:rsidRPr="006843B5">
        <w:rPr>
          <w:rFonts w:ascii="Geomanist Light" w:eastAsia="Calibri" w:hAnsi="Geomanist Light" w:cs="Arial"/>
          <w:color w:val="000000" w:themeColor="text1"/>
          <w:sz w:val="20"/>
          <w:szCs w:val="20"/>
        </w:rPr>
        <w:t>corresponde a</w:t>
      </w:r>
      <w:r w:rsidRPr="00D867E2">
        <w:rPr>
          <w:rFonts w:ascii="Geomanist Light" w:eastAsia="Calibri" w:hAnsi="Geomanist Light" w:cs="Arial"/>
          <w:color w:val="000000" w:themeColor="text1"/>
          <w:sz w:val="20"/>
          <w:szCs w:val="20"/>
        </w:rPr>
        <w:t>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310BBBC2" w14:textId="77777777" w:rsidR="006843B5" w:rsidRPr="006843B5" w:rsidRDefault="006843B5" w:rsidP="006843B5">
      <w:pPr>
        <w:spacing w:line="240" w:lineRule="auto"/>
        <w:rPr>
          <w:rFonts w:ascii="Geomanist Light" w:eastAsia="Calibri" w:hAnsi="Geomanist Light" w:cs="Arial"/>
          <w:color w:val="000000" w:themeColor="text1"/>
          <w:sz w:val="20"/>
          <w:szCs w:val="20"/>
        </w:rPr>
      </w:pPr>
      <w:r w:rsidRPr="006843B5">
        <w:rPr>
          <w:rFonts w:ascii="Geomanist Light" w:eastAsia="Calibri" w:hAnsi="Geomanist Light" w:cs="Arial"/>
          <w:color w:val="000000" w:themeColor="text1"/>
          <w:sz w:val="20"/>
          <w:szCs w:val="20"/>
        </w:rPr>
        <w:t xml:space="preserve">De este modo, </w:t>
      </w:r>
      <w:r w:rsidRPr="00D867E2">
        <w:rPr>
          <w:rFonts w:ascii="Geomanist Light" w:eastAsia="Calibri" w:hAnsi="Geomanist Light" w:cs="Arial"/>
          <w:color w:val="000000" w:themeColor="text1"/>
          <w:sz w:val="20"/>
          <w:szCs w:val="20"/>
        </w:rPr>
        <w:t xml:space="preserve">cualquier </w:t>
      </w:r>
      <w:r w:rsidRPr="006843B5">
        <w:rPr>
          <w:rFonts w:ascii="Geomanist Light" w:eastAsia="Calibri" w:hAnsi="Geomanist Light" w:cs="Arial"/>
          <w:color w:val="000000" w:themeColor="text1"/>
          <w:sz w:val="20"/>
          <w:szCs w:val="20"/>
        </w:rPr>
        <w:t xml:space="preserve">documento que surja en virtud de la </w:t>
      </w:r>
      <w:r w:rsidRPr="00D867E2">
        <w:rPr>
          <w:rFonts w:ascii="Geomanist Light" w:eastAsia="Calibri" w:hAnsi="Geomanist Light" w:cs="Arial"/>
          <w:color w:val="000000" w:themeColor="text1"/>
          <w:sz w:val="20"/>
          <w:szCs w:val="20"/>
        </w:rPr>
        <w:t>actuación ocurrida durante el Proceso de Contratación–a pesar de no tener origen en la entidad estatal, ni caber en estricto sentido en lo que se entiende con la expresión Documento del Proceso–, hace parte del desarrollo del procedimiento</w:t>
      </w:r>
      <w:r w:rsidRPr="006843B5">
        <w:rPr>
          <w:rFonts w:ascii="Geomanist Light" w:eastAsia="Calibri" w:hAnsi="Geomanist Light" w:cs="Arial"/>
          <w:color w:val="000000" w:themeColor="text1"/>
          <w:sz w:val="20"/>
          <w:szCs w:val="20"/>
        </w:rPr>
        <w:t>.</w:t>
      </w:r>
    </w:p>
    <w:p w14:paraId="4B4F8139" w14:textId="2A2ECFC7" w:rsidR="00C27DAF" w:rsidRPr="00C27DAF" w:rsidRDefault="00C27DAF" w:rsidP="008D2373">
      <w:pPr>
        <w:pStyle w:val="paragraph"/>
        <w:spacing w:before="0" w:beforeAutospacing="0" w:after="0" w:afterAutospacing="0"/>
        <w:jc w:val="both"/>
        <w:textAlignment w:val="baseline"/>
        <w:rPr>
          <w:rFonts w:ascii="Geomanist Light" w:eastAsia="Calibri" w:hAnsi="Geomanist Light" w:cs="Arial"/>
          <w:color w:val="000000" w:themeColor="text1"/>
          <w:sz w:val="20"/>
          <w:szCs w:val="20"/>
          <w:lang w:val="es-MX" w:eastAsia="en-US"/>
        </w:rPr>
      </w:pPr>
    </w:p>
    <w:p w14:paraId="566BB4C5" w14:textId="77777777" w:rsidR="00474929" w:rsidRPr="00C27DAF" w:rsidRDefault="00474929" w:rsidP="00C27DAF">
      <w:pPr>
        <w:spacing w:line="240" w:lineRule="auto"/>
        <w:rPr>
          <w:rFonts w:ascii="Geomanist Light" w:eastAsia="Calibri" w:hAnsi="Geomanist Light" w:cs="Arial"/>
          <w:color w:val="000000" w:themeColor="text1"/>
          <w:sz w:val="20"/>
          <w:szCs w:val="20"/>
        </w:rPr>
      </w:pPr>
    </w:p>
    <w:p w14:paraId="3F7A80F6" w14:textId="59B2407F" w:rsidR="002105A9" w:rsidRPr="00C27DAF" w:rsidRDefault="002105A9" w:rsidP="00C27DAF">
      <w:pPr>
        <w:spacing w:line="240" w:lineRule="auto"/>
        <w:rPr>
          <w:rFonts w:ascii="Geomanist Light" w:eastAsia="Calibri" w:hAnsi="Geomanist Light" w:cs="Arial"/>
          <w:color w:val="000000" w:themeColor="text1"/>
          <w:sz w:val="20"/>
          <w:szCs w:val="20"/>
        </w:rPr>
      </w:pPr>
    </w:p>
    <w:p w14:paraId="26612DE4" w14:textId="4ECEEB3A" w:rsidR="00A67571" w:rsidRDefault="00A67571" w:rsidP="008A40CE">
      <w:pPr>
        <w:spacing w:line="240" w:lineRule="auto"/>
        <w:jc w:val="left"/>
        <w:rPr>
          <w:rFonts w:ascii="Geomanist Light" w:eastAsia="Calibri" w:hAnsi="Geomanist Light" w:cs="Arial"/>
          <w:b/>
          <w:bCs/>
          <w:color w:val="000000" w:themeColor="text1"/>
          <w:sz w:val="20"/>
          <w:szCs w:val="20"/>
          <w:lang w:val="es-CO"/>
        </w:rPr>
      </w:pPr>
      <w:r>
        <w:rPr>
          <w:rFonts w:ascii="Geomanist Light" w:eastAsia="Calibri" w:hAnsi="Geomanist Light" w:cs="Arial"/>
          <w:b/>
          <w:bCs/>
          <w:color w:val="000000" w:themeColor="text1"/>
          <w:sz w:val="20"/>
          <w:szCs w:val="20"/>
          <w:lang w:val="es-CO"/>
        </w:rPr>
        <w:br w:type="page"/>
      </w:r>
    </w:p>
    <w:p w14:paraId="7322F8BE" w14:textId="77777777" w:rsidR="002105A9" w:rsidRPr="00777192" w:rsidRDefault="002105A9" w:rsidP="00474929">
      <w:pPr>
        <w:spacing w:after="0"/>
        <w:rPr>
          <w:rFonts w:ascii="Geomanist Light" w:eastAsia="Calibri" w:hAnsi="Geomanist Light" w:cs="Arial"/>
          <w:b/>
          <w:bCs/>
          <w:color w:val="000000" w:themeColor="text1"/>
          <w:sz w:val="20"/>
          <w:szCs w:val="20"/>
          <w:lang w:val="es-CO"/>
        </w:rPr>
      </w:pPr>
    </w:p>
    <w:p w14:paraId="0ADE2946" w14:textId="22DFFB45" w:rsidR="00474929" w:rsidRPr="00777192" w:rsidRDefault="00474929" w:rsidP="00474929">
      <w:pPr>
        <w:spacing w:after="0"/>
        <w:jc w:val="right"/>
        <w:rPr>
          <w:rFonts w:ascii="Geomanist Light" w:eastAsia="Calibri" w:hAnsi="Geomanist Light" w:cs="Arial"/>
          <w:b/>
          <w:bCs/>
          <w:sz w:val="16"/>
          <w:szCs w:val="16"/>
          <w:lang w:val="es-CO"/>
        </w:rPr>
      </w:pPr>
      <w:r w:rsidRPr="00777192">
        <w:rPr>
          <w:rFonts w:ascii="Geomanist Light" w:eastAsia="Times New Roman" w:hAnsi="Geomanist Light" w:cs="Arial"/>
          <w:b/>
          <w:bCs/>
          <w:sz w:val="16"/>
          <w:szCs w:val="16"/>
          <w:lang w:val="es-CO" w:eastAsia="es-ES"/>
        </w:rPr>
        <w:t>CCE-DES-FM-17</w:t>
      </w:r>
    </w:p>
    <w:p w14:paraId="06785F86" w14:textId="38710856" w:rsidR="00A159D6" w:rsidRDefault="00A159D6" w:rsidP="00A159D6">
      <w:pPr>
        <w:spacing w:after="0" w:line="240" w:lineRule="auto"/>
        <w:rPr>
          <w:rFonts w:ascii="Geomanist Light" w:eastAsia="Times New Roman" w:hAnsi="Geomanist Light" w:cs="Times New Roman"/>
          <w:szCs w:val="24"/>
          <w:lang w:val="es-CO" w:eastAsia="es-MX"/>
        </w:rPr>
      </w:pPr>
      <w:r>
        <w:rPr>
          <w:rFonts w:ascii="Geomanist Light" w:eastAsia="Times New Roman" w:hAnsi="Geomanist Light" w:cs="Times New Roman"/>
          <w:szCs w:val="24"/>
          <w:lang w:val="es-CO" w:eastAsia="es-MX"/>
        </w:rPr>
        <w:t>Bogotá D.C. 13 de diciembre de 2022</w:t>
      </w:r>
    </w:p>
    <w:p w14:paraId="651BEC4D" w14:textId="5A13B37E" w:rsidR="00A159D6" w:rsidRDefault="00A159D6" w:rsidP="00A159D6">
      <w:pPr>
        <w:spacing w:after="0" w:line="240" w:lineRule="auto"/>
        <w:rPr>
          <w:rFonts w:ascii="Geomanist Light" w:eastAsia="Times New Roman" w:hAnsi="Geomanist Light" w:cs="Times New Roman"/>
          <w:szCs w:val="24"/>
          <w:lang w:val="es-CO" w:eastAsia="es-MX"/>
        </w:rPr>
      </w:pPr>
    </w:p>
    <w:p w14:paraId="40D9DC3D" w14:textId="7FA8D766" w:rsidR="00A159D6" w:rsidRDefault="00A159D6" w:rsidP="00A159D6">
      <w:pPr>
        <w:spacing w:after="0" w:line="240" w:lineRule="auto"/>
        <w:jc w:val="right"/>
        <w:rPr>
          <w:rFonts w:ascii="Geomanist Light" w:eastAsia="Times New Roman" w:hAnsi="Geomanist Light" w:cs="Times New Roman"/>
          <w:szCs w:val="24"/>
          <w:lang w:val="es-CO" w:eastAsia="es-MX"/>
        </w:rPr>
      </w:pPr>
      <w:r>
        <w:rPr>
          <w:noProof/>
          <w:lang w:val="en-US"/>
        </w:rPr>
        <w:drawing>
          <wp:inline distT="0" distB="0" distL="0" distR="0" wp14:anchorId="0B5C5CD8" wp14:editId="5EB056B1">
            <wp:extent cx="2831757" cy="76200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999" t="62789" r="16327" b="14872"/>
                    <a:stretch/>
                  </pic:blipFill>
                  <pic:spPr bwMode="auto">
                    <a:xfrm>
                      <a:off x="0" y="0"/>
                      <a:ext cx="2835568" cy="763026"/>
                    </a:xfrm>
                    <a:prstGeom prst="rect">
                      <a:avLst/>
                    </a:prstGeom>
                    <a:ln>
                      <a:noFill/>
                    </a:ln>
                    <a:extLst>
                      <a:ext uri="{53640926-AAD7-44D8-BBD7-CCE9431645EC}">
                        <a14:shadowObscured xmlns:a14="http://schemas.microsoft.com/office/drawing/2010/main"/>
                      </a:ext>
                    </a:extLst>
                  </pic:spPr>
                </pic:pic>
              </a:graphicData>
            </a:graphic>
          </wp:inline>
        </w:drawing>
      </w:r>
    </w:p>
    <w:p w14:paraId="3F21C8DD" w14:textId="77777777" w:rsidR="00A159D6" w:rsidRPr="00777192" w:rsidRDefault="00A159D6" w:rsidP="00A159D6">
      <w:pPr>
        <w:spacing w:after="0" w:line="240" w:lineRule="auto"/>
        <w:rPr>
          <w:rFonts w:ascii="Geomanist Light" w:eastAsia="Times New Roman" w:hAnsi="Geomanist Light" w:cs="Times New Roman"/>
          <w:szCs w:val="24"/>
          <w:lang w:val="es-CO" w:eastAsia="es-MX"/>
        </w:rPr>
      </w:pPr>
    </w:p>
    <w:p w14:paraId="28DE9F42" w14:textId="429B40AD" w:rsidR="00474929" w:rsidRPr="00777192" w:rsidRDefault="00474929" w:rsidP="00474929">
      <w:pPr>
        <w:spacing w:after="0" w:line="240" w:lineRule="auto"/>
        <w:rPr>
          <w:rFonts w:ascii="Geomanist Light" w:eastAsia="Calibri" w:hAnsi="Geomanist Light" w:cs="Arial"/>
          <w:sz w:val="22"/>
          <w:lang w:val="es-CO"/>
        </w:rPr>
      </w:pPr>
      <w:bookmarkStart w:id="0" w:name="_Hlk96417464"/>
      <w:r w:rsidRPr="00777192">
        <w:rPr>
          <w:rFonts w:ascii="Geomanist Light" w:eastAsia="Calibri" w:hAnsi="Geomanist Light" w:cs="Arial"/>
          <w:sz w:val="22"/>
          <w:lang w:val="es-CO"/>
        </w:rPr>
        <w:t>Señor</w:t>
      </w:r>
      <w:r w:rsidR="00777192">
        <w:rPr>
          <w:rFonts w:ascii="Geomanist Light" w:eastAsia="Calibri" w:hAnsi="Geomanist Light" w:cs="Arial"/>
          <w:sz w:val="22"/>
          <w:lang w:val="es-CO"/>
        </w:rPr>
        <w:t>a</w:t>
      </w:r>
    </w:p>
    <w:p w14:paraId="7F906FA7" w14:textId="00099762" w:rsidR="00474929" w:rsidRPr="00777192" w:rsidRDefault="00C5544B" w:rsidP="00474929">
      <w:pPr>
        <w:spacing w:after="0" w:line="240" w:lineRule="auto"/>
        <w:rPr>
          <w:rFonts w:ascii="Geomanist Light" w:eastAsia="Calibri" w:hAnsi="Geomanist Light" w:cs="Arial"/>
          <w:b/>
          <w:bCs/>
          <w:sz w:val="22"/>
          <w:lang w:val="es-CO"/>
        </w:rPr>
      </w:pPr>
      <w:r>
        <w:rPr>
          <w:rFonts w:ascii="Geomanist Light" w:eastAsia="Calibri" w:hAnsi="Geomanist Light" w:cs="Arial"/>
          <w:b/>
          <w:bCs/>
          <w:sz w:val="22"/>
          <w:lang w:val="es-CO"/>
        </w:rPr>
        <w:t>Paula Andrea Ramírez Hernández</w:t>
      </w:r>
      <w:r w:rsidR="00777192">
        <w:rPr>
          <w:rFonts w:ascii="Geomanist Light" w:eastAsia="Calibri" w:hAnsi="Geomanist Light" w:cs="Arial"/>
          <w:b/>
          <w:bCs/>
          <w:sz w:val="22"/>
          <w:lang w:val="es-CO"/>
        </w:rPr>
        <w:t xml:space="preserve"> </w:t>
      </w:r>
    </w:p>
    <w:p w14:paraId="63186136" w14:textId="77777777" w:rsidR="00474929" w:rsidRPr="00777192" w:rsidRDefault="00474929" w:rsidP="00474929">
      <w:pPr>
        <w:spacing w:after="0" w:line="240" w:lineRule="auto"/>
        <w:rPr>
          <w:rFonts w:ascii="Geomanist Light" w:eastAsia="Calibri" w:hAnsi="Geomanist Light" w:cs="Arial"/>
          <w:sz w:val="22"/>
          <w:lang w:val="es-CO"/>
        </w:rPr>
      </w:pPr>
      <w:r w:rsidRPr="00777192">
        <w:rPr>
          <w:rFonts w:ascii="Geomanist Light" w:eastAsia="Calibri" w:hAnsi="Geomanist Light" w:cs="Arial"/>
          <w:sz w:val="22"/>
          <w:lang w:val="es-CO"/>
        </w:rPr>
        <w:t>Bogotá D.C.</w:t>
      </w:r>
    </w:p>
    <w:p w14:paraId="39564516" w14:textId="77777777" w:rsidR="00474929" w:rsidRPr="00777192" w:rsidRDefault="00474929" w:rsidP="00474929">
      <w:pPr>
        <w:spacing w:after="0" w:line="240" w:lineRule="auto"/>
        <w:rPr>
          <w:rFonts w:ascii="Geomanist Light" w:eastAsia="Calibri" w:hAnsi="Geomanist Light" w:cs="Arial"/>
          <w:sz w:val="22"/>
          <w:lang w:val="es-CO"/>
        </w:rPr>
      </w:pPr>
    </w:p>
    <w:p w14:paraId="042752B9" w14:textId="0A57FBBA" w:rsidR="00474929" w:rsidRPr="00777192" w:rsidRDefault="00474929" w:rsidP="00F368DD">
      <w:pPr>
        <w:spacing w:after="0" w:line="240" w:lineRule="auto"/>
        <w:ind w:left="2694"/>
        <w:rPr>
          <w:rFonts w:ascii="Geomanist Light" w:hAnsi="Geomanist Light" w:cs="Arial"/>
          <w:sz w:val="22"/>
          <w:lang w:val="es-CO"/>
        </w:rPr>
      </w:pPr>
      <w:r w:rsidRPr="00777192">
        <w:rPr>
          <w:rFonts w:ascii="Geomanist Light" w:eastAsia="Calibri" w:hAnsi="Geomanist Light" w:cs="Arial"/>
          <w:b/>
          <w:sz w:val="22"/>
          <w:lang w:val="es-CO"/>
        </w:rPr>
        <w:t xml:space="preserve">Concepto C – </w:t>
      </w:r>
      <w:r w:rsidR="006C18F0">
        <w:rPr>
          <w:rFonts w:ascii="Geomanist Light" w:eastAsia="Calibri" w:hAnsi="Geomanist Light" w:cs="Arial"/>
          <w:b/>
          <w:sz w:val="22"/>
          <w:lang w:val="es-CO"/>
        </w:rPr>
        <w:t>8</w:t>
      </w:r>
      <w:r w:rsidR="00C5544B">
        <w:rPr>
          <w:rFonts w:ascii="Geomanist Light" w:eastAsia="Calibri" w:hAnsi="Geomanist Light" w:cs="Arial"/>
          <w:b/>
          <w:sz w:val="22"/>
          <w:lang w:val="es-CO"/>
        </w:rPr>
        <w:t>56</w:t>
      </w:r>
      <w:r w:rsidRPr="00777192">
        <w:rPr>
          <w:rFonts w:ascii="Geomanist Light" w:eastAsia="Calibri" w:hAnsi="Geomanist Light" w:cs="Arial"/>
          <w:b/>
          <w:sz w:val="22"/>
          <w:lang w:val="es-CO"/>
        </w:rPr>
        <w:t xml:space="preserve"> de 2022</w:t>
      </w:r>
      <w:r w:rsidRPr="00777192">
        <w:rPr>
          <w:rFonts w:ascii="Geomanist Light" w:hAnsi="Geomanist Light" w:cs="Arial"/>
          <w:sz w:val="22"/>
          <w:lang w:val="es-CO"/>
        </w:rPr>
        <w:t xml:space="preserve"> </w:t>
      </w:r>
    </w:p>
    <w:p w14:paraId="739D291E" w14:textId="77777777" w:rsidR="00474929" w:rsidRPr="00777192" w:rsidRDefault="00474929" w:rsidP="00474929">
      <w:pPr>
        <w:spacing w:after="0" w:line="240" w:lineRule="auto"/>
        <w:rPr>
          <w:rFonts w:ascii="Geomanist Light" w:eastAsia="Calibri" w:hAnsi="Geomanist Light"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74929" w:rsidRPr="00777192" w14:paraId="189F609F" w14:textId="77777777" w:rsidTr="00DA0611">
        <w:trPr>
          <w:trHeight w:val="485"/>
        </w:trPr>
        <w:tc>
          <w:tcPr>
            <w:tcW w:w="2689" w:type="dxa"/>
            <w:hideMark/>
          </w:tcPr>
          <w:p w14:paraId="6F3F60A7" w14:textId="3C2980C2" w:rsidR="00474929" w:rsidRPr="00777192" w:rsidRDefault="00474929" w:rsidP="00DA0611">
            <w:pPr>
              <w:contextualSpacing/>
              <w:rPr>
                <w:rFonts w:ascii="Geomanist Light" w:eastAsia="Calibri" w:hAnsi="Geomanist Light" w:cs="Arial"/>
                <w:noProof/>
                <w:lang w:val="es-ES_tradnl"/>
              </w:rPr>
            </w:pPr>
            <w:r w:rsidRPr="00777192">
              <w:rPr>
                <w:rFonts w:ascii="Geomanist Light" w:eastAsia="Calibri" w:hAnsi="Geomanist Light" w:cs="Arial"/>
                <w:b/>
                <w:noProof/>
                <w:lang w:val="es-ES_tradnl"/>
              </w:rPr>
              <w:t>Temas:</w:t>
            </w:r>
            <w:r w:rsidR="004B1796" w:rsidRPr="00777192">
              <w:rPr>
                <w:rFonts w:ascii="Geomanist Light" w:eastAsia="Calibri" w:hAnsi="Geomanist Light" w:cs="Arial"/>
                <w:noProof/>
                <w:lang w:val="es-ES_tradnl"/>
              </w:rPr>
              <w:t xml:space="preserve">    </w:t>
            </w:r>
          </w:p>
        </w:tc>
        <w:tc>
          <w:tcPr>
            <w:tcW w:w="6237" w:type="dxa"/>
            <w:hideMark/>
          </w:tcPr>
          <w:p w14:paraId="5C433043" w14:textId="4913BCBE" w:rsidR="000D5BE0" w:rsidRPr="000D5BE0" w:rsidRDefault="000D5BE0" w:rsidP="00DA0611">
            <w:pPr>
              <w:spacing w:after="120"/>
              <w:ind w:right="703"/>
              <w:rPr>
                <w:rFonts w:ascii="Geomanist Light" w:eastAsia="Calibri" w:hAnsi="Geomanist Light" w:cs="Arial"/>
                <w:lang w:val="es-ES_tradnl"/>
              </w:rPr>
            </w:pPr>
            <w:r w:rsidRPr="000D5BE0">
              <w:rPr>
                <w:rFonts w:ascii="Geomanist Light" w:eastAsia="Calibri" w:hAnsi="Geomanist Light" w:cs="Arial"/>
                <w:color w:val="000000" w:themeColor="text1"/>
              </w:rPr>
              <w:t xml:space="preserve">PRINCIPIO DE PLANEACIÓN – Estudios previos / ANÁLISIS DEL SECTOR – Perspectiva multidisciplinaria – Estudio de la oferta – Estudio del mercado / ANÁLISIS DEL SECTOR – Contratación Directa / GUÍAS Y MANUALES – </w:t>
            </w:r>
            <w:r w:rsidR="006843B5" w:rsidRPr="000D5BE0">
              <w:rPr>
                <w:rFonts w:ascii="Geomanist Light" w:eastAsia="Calibri" w:hAnsi="Geomanist Light" w:cs="Arial"/>
                <w:color w:val="000000" w:themeColor="text1"/>
              </w:rPr>
              <w:t>obligatoriedad</w:t>
            </w:r>
            <w:r w:rsidR="006843B5" w:rsidRPr="006843B5">
              <w:rPr>
                <w:rFonts w:ascii="Geomanist Light" w:eastAsia="Calibri" w:hAnsi="Geomanist Light" w:cs="Arial"/>
                <w:color w:val="000000" w:themeColor="text1"/>
              </w:rPr>
              <w:t xml:space="preserve"> / </w:t>
            </w:r>
            <w:r w:rsidR="006843B5" w:rsidRPr="006843B5">
              <w:rPr>
                <w:rFonts w:ascii="Geomanist Light" w:eastAsia="Calibri" w:hAnsi="Geomanist Light"/>
                <w:color w:val="000000" w:themeColor="text1"/>
              </w:rPr>
              <w:t>DOCUMENTOS DEL PROCESO – Noción</w:t>
            </w:r>
          </w:p>
        </w:tc>
      </w:tr>
      <w:tr w:rsidR="00474929" w:rsidRPr="00777192" w14:paraId="0E523183" w14:textId="77777777" w:rsidTr="00DA0611">
        <w:tc>
          <w:tcPr>
            <w:tcW w:w="2689" w:type="dxa"/>
          </w:tcPr>
          <w:p w14:paraId="354A64EA" w14:textId="20500256" w:rsidR="00474929" w:rsidRPr="00777192" w:rsidRDefault="00474929" w:rsidP="00DA0611">
            <w:pPr>
              <w:contextualSpacing/>
              <w:rPr>
                <w:rFonts w:ascii="Geomanist Light" w:eastAsia="Calibri" w:hAnsi="Geomanist Light" w:cs="Arial"/>
                <w:b/>
                <w:noProof/>
                <w:lang w:val="es-ES_tradnl"/>
              </w:rPr>
            </w:pPr>
            <w:r w:rsidRPr="00777192">
              <w:rPr>
                <w:rFonts w:ascii="Geomanist Light" w:eastAsia="Calibri" w:hAnsi="Geomanist Light" w:cs="Arial"/>
                <w:b/>
                <w:noProof/>
                <w:lang w:val="es-ES_tradnl"/>
              </w:rPr>
              <w:t xml:space="preserve"> Radicación:</w:t>
            </w:r>
            <w:r w:rsidR="004B1796" w:rsidRPr="00777192">
              <w:rPr>
                <w:rFonts w:ascii="Geomanist Light" w:eastAsia="Calibri" w:hAnsi="Geomanist Light" w:cs="Arial"/>
                <w:noProof/>
                <w:lang w:val="es-ES_tradnl"/>
              </w:rPr>
              <w:t xml:space="preserve">               </w:t>
            </w:r>
          </w:p>
        </w:tc>
        <w:tc>
          <w:tcPr>
            <w:tcW w:w="6237" w:type="dxa"/>
          </w:tcPr>
          <w:p w14:paraId="020E44D8" w14:textId="78B4D30C" w:rsidR="00474929" w:rsidRPr="00777192" w:rsidRDefault="00474929" w:rsidP="00DA0611">
            <w:pPr>
              <w:contextualSpacing/>
              <w:rPr>
                <w:rFonts w:ascii="Geomanist Light" w:eastAsia="Calibri" w:hAnsi="Geomanist Light" w:cs="Arial"/>
                <w:noProof/>
                <w:lang w:val="es-ES_tradnl"/>
              </w:rPr>
            </w:pPr>
            <w:r w:rsidRPr="00777192">
              <w:rPr>
                <w:rFonts w:ascii="Geomanist Light" w:eastAsia="Calibri" w:hAnsi="Geomanist Light" w:cs="Arial"/>
                <w:noProof/>
                <w:lang w:val="es-ES_tradnl"/>
              </w:rPr>
              <w:t xml:space="preserve">Respuesta a consulta </w:t>
            </w:r>
            <w:r w:rsidR="00C5544B" w:rsidRPr="00C5544B">
              <w:rPr>
                <w:rFonts w:ascii="Geomanist Light" w:eastAsia="Calibri" w:hAnsi="Geomanist Light" w:cs="Arial"/>
                <w:noProof/>
                <w:lang w:val="es-ES_tradnl"/>
              </w:rPr>
              <w:t>P20221027010842</w:t>
            </w:r>
          </w:p>
          <w:p w14:paraId="7873D228" w14:textId="7676E8AC" w:rsidR="00474929" w:rsidRPr="00777192" w:rsidRDefault="004B1796" w:rsidP="00DA0611">
            <w:pPr>
              <w:contextualSpacing/>
              <w:rPr>
                <w:rFonts w:ascii="Geomanist Light" w:eastAsia="Calibri" w:hAnsi="Geomanist Light" w:cs="Arial"/>
                <w:noProof/>
                <w:lang w:val="es-ES_tradnl"/>
              </w:rPr>
            </w:pPr>
            <w:r w:rsidRPr="00777192">
              <w:rPr>
                <w:rFonts w:ascii="Geomanist Light" w:eastAsia="Calibri" w:hAnsi="Geomanist Light" w:cs="Arial"/>
                <w:noProof/>
                <w:lang w:val="es-ES_tradnl"/>
              </w:rPr>
              <w:t xml:space="preserve">                  </w:t>
            </w:r>
          </w:p>
        </w:tc>
      </w:tr>
    </w:tbl>
    <w:p w14:paraId="3E94B2AD" w14:textId="5F222350" w:rsidR="00474929" w:rsidRPr="00777192" w:rsidRDefault="00474929" w:rsidP="00474929">
      <w:pPr>
        <w:spacing w:after="0"/>
        <w:rPr>
          <w:rFonts w:ascii="Geomanist Light" w:eastAsia="Calibri" w:hAnsi="Geomanist Light" w:cs="Arial"/>
          <w:sz w:val="22"/>
          <w:lang w:val="es-CO"/>
        </w:rPr>
      </w:pPr>
      <w:r w:rsidRPr="00777192">
        <w:rPr>
          <w:rFonts w:ascii="Geomanist Light" w:eastAsia="Calibri" w:hAnsi="Geomanist Light" w:cs="Arial"/>
          <w:sz w:val="22"/>
          <w:lang w:val="es-CO"/>
        </w:rPr>
        <w:t>Estimad</w:t>
      </w:r>
      <w:r w:rsidR="006C18F0">
        <w:rPr>
          <w:rFonts w:ascii="Geomanist Light" w:eastAsia="Calibri" w:hAnsi="Geomanist Light" w:cs="Arial"/>
          <w:sz w:val="22"/>
          <w:lang w:val="es-CO"/>
        </w:rPr>
        <w:t>a</w:t>
      </w:r>
      <w:r w:rsidRPr="00777192">
        <w:rPr>
          <w:rFonts w:ascii="Geomanist Light" w:eastAsia="Calibri" w:hAnsi="Geomanist Light" w:cs="Arial"/>
          <w:sz w:val="22"/>
          <w:lang w:val="es-CO"/>
        </w:rPr>
        <w:t xml:space="preserve"> Señor</w:t>
      </w:r>
      <w:r w:rsidR="00C5544B">
        <w:rPr>
          <w:rFonts w:ascii="Geomanist Light" w:eastAsia="Calibri" w:hAnsi="Geomanist Light" w:cs="Arial"/>
          <w:sz w:val="22"/>
          <w:lang w:val="es-CO"/>
        </w:rPr>
        <w:t>a</w:t>
      </w:r>
      <w:r w:rsidRPr="00777192">
        <w:rPr>
          <w:rFonts w:ascii="Geomanist Light" w:eastAsia="Calibri" w:hAnsi="Geomanist Light" w:cs="Arial"/>
          <w:sz w:val="22"/>
          <w:lang w:val="es-CO"/>
        </w:rPr>
        <w:t xml:space="preserve"> </w:t>
      </w:r>
      <w:r w:rsidR="00C5544B">
        <w:rPr>
          <w:rFonts w:ascii="Geomanist Light" w:eastAsia="Calibri" w:hAnsi="Geomanist Light" w:cs="Arial"/>
          <w:sz w:val="22"/>
          <w:lang w:val="es-CO"/>
        </w:rPr>
        <w:t>Ramírez</w:t>
      </w:r>
      <w:r w:rsidRPr="00777192">
        <w:rPr>
          <w:rFonts w:ascii="Geomanist Light" w:eastAsia="Calibri" w:hAnsi="Geomanist Light" w:cs="Arial"/>
          <w:sz w:val="22"/>
          <w:lang w:val="es-CO"/>
        </w:rPr>
        <w:t xml:space="preserve">: </w:t>
      </w:r>
    </w:p>
    <w:p w14:paraId="699764D9" w14:textId="77777777" w:rsidR="00474929" w:rsidRPr="00777192" w:rsidRDefault="00474929" w:rsidP="00474929">
      <w:pPr>
        <w:spacing w:after="0"/>
        <w:ind w:firstLine="709"/>
        <w:rPr>
          <w:rFonts w:ascii="Geomanist Light" w:eastAsia="Calibri" w:hAnsi="Geomanist Light" w:cs="Arial"/>
          <w:sz w:val="22"/>
          <w:lang w:val="es-CO"/>
        </w:rPr>
      </w:pPr>
    </w:p>
    <w:p w14:paraId="7004CD0B" w14:textId="268B0916" w:rsidR="00474929" w:rsidRPr="00777192" w:rsidRDefault="00474929" w:rsidP="00474929">
      <w:pPr>
        <w:spacing w:after="0"/>
        <w:ind w:right="51"/>
        <w:rPr>
          <w:rFonts w:ascii="Geomanist Light" w:eastAsia="Calibri" w:hAnsi="Geomanist Light" w:cs="Arial"/>
          <w:sz w:val="22"/>
          <w:lang w:val="es-CO"/>
        </w:rPr>
      </w:pPr>
      <w:r w:rsidRPr="00777192">
        <w:rPr>
          <w:rFonts w:ascii="Geomanist Light" w:eastAsia="Calibri" w:hAnsi="Geomanist Light" w:cs="Arial"/>
          <w:sz w:val="22"/>
          <w:lang w:val="es-CO"/>
        </w:rPr>
        <w:t xml:space="preserve">En ejercicio de la competencia otorgada por el numeral 8 del artículo 11 y el numeral 5 del artículo 3 del Decreto Ley 4170 de 2011, la Agencia Nacional de Contratación Pública – Colombia Compra Eficiente responde </w:t>
      </w:r>
      <w:r w:rsidR="0092402D">
        <w:rPr>
          <w:rFonts w:ascii="Geomanist Light" w:eastAsia="Calibri" w:hAnsi="Geomanist Light" w:cs="Arial"/>
          <w:sz w:val="22"/>
          <w:lang w:val="es-CO"/>
        </w:rPr>
        <w:t>su</w:t>
      </w:r>
      <w:r w:rsidRPr="00777192">
        <w:rPr>
          <w:rFonts w:ascii="Geomanist Light" w:eastAsia="Calibri" w:hAnsi="Geomanist Light" w:cs="Arial"/>
          <w:sz w:val="22"/>
          <w:lang w:val="es-CO"/>
        </w:rPr>
        <w:t xml:space="preserve"> consulta radicada el </w:t>
      </w:r>
      <w:r w:rsidR="00C5544B">
        <w:rPr>
          <w:rFonts w:ascii="Geomanist Light" w:eastAsia="Calibri" w:hAnsi="Geomanist Light" w:cs="Arial"/>
          <w:sz w:val="22"/>
          <w:lang w:val="es-CO"/>
        </w:rPr>
        <w:t>27</w:t>
      </w:r>
      <w:r w:rsidR="00381B0F">
        <w:rPr>
          <w:rFonts w:ascii="Geomanist Light" w:eastAsia="Calibri" w:hAnsi="Geomanist Light" w:cs="Arial"/>
          <w:sz w:val="22"/>
          <w:lang w:val="es-CO"/>
        </w:rPr>
        <w:t xml:space="preserve"> </w:t>
      </w:r>
      <w:r w:rsidRPr="00777192">
        <w:rPr>
          <w:rFonts w:ascii="Geomanist Light" w:eastAsia="Calibri" w:hAnsi="Geomanist Light" w:cs="Arial"/>
          <w:sz w:val="22"/>
          <w:lang w:val="es-CO"/>
        </w:rPr>
        <w:t xml:space="preserve">de </w:t>
      </w:r>
      <w:r w:rsidR="00381B0F">
        <w:rPr>
          <w:rFonts w:ascii="Geomanist Light" w:eastAsia="Calibri" w:hAnsi="Geomanist Light" w:cs="Arial"/>
          <w:sz w:val="22"/>
          <w:lang w:val="es-CO"/>
        </w:rPr>
        <w:t>octubre</w:t>
      </w:r>
      <w:r w:rsidRPr="00777192">
        <w:rPr>
          <w:rFonts w:ascii="Geomanist Light" w:eastAsia="Calibri" w:hAnsi="Geomanist Light" w:cs="Arial"/>
          <w:sz w:val="22"/>
          <w:lang w:val="es-CO"/>
        </w:rPr>
        <w:t xml:space="preserve"> de 2022. </w:t>
      </w:r>
    </w:p>
    <w:p w14:paraId="033B14A3" w14:textId="77777777" w:rsidR="00474929" w:rsidRPr="00777192" w:rsidRDefault="00474929" w:rsidP="00474929">
      <w:pPr>
        <w:spacing w:after="0"/>
        <w:ind w:right="51"/>
        <w:rPr>
          <w:rFonts w:ascii="Geomanist Light" w:eastAsia="Calibri" w:hAnsi="Geomanist Light" w:cs="Arial"/>
          <w:sz w:val="22"/>
          <w:lang w:val="es-CO"/>
        </w:rPr>
      </w:pPr>
    </w:p>
    <w:p w14:paraId="0E932015" w14:textId="0EF7851C" w:rsidR="00474929" w:rsidRPr="00ED1C5C" w:rsidRDefault="00474929" w:rsidP="00ED1C5C">
      <w:pPr>
        <w:pStyle w:val="Prrafodelista"/>
        <w:numPr>
          <w:ilvl w:val="0"/>
          <w:numId w:val="1"/>
        </w:numPr>
        <w:tabs>
          <w:tab w:val="left" w:pos="284"/>
        </w:tabs>
        <w:spacing w:after="240"/>
        <w:ind w:left="426"/>
        <w:rPr>
          <w:rFonts w:ascii="Geomanist Light" w:eastAsia="Calibri" w:hAnsi="Geomanist Light" w:cs="Arial"/>
          <w:b/>
          <w:sz w:val="22"/>
        </w:rPr>
      </w:pPr>
      <w:r w:rsidRPr="00777192">
        <w:rPr>
          <w:rFonts w:ascii="Geomanist Light" w:eastAsia="Calibri" w:hAnsi="Geomanist Light" w:cs="Arial"/>
          <w:b/>
          <w:sz w:val="22"/>
        </w:rPr>
        <w:t xml:space="preserve">Problema planteado </w:t>
      </w:r>
    </w:p>
    <w:p w14:paraId="04BB06B3" w14:textId="48BA46D5" w:rsidR="00A51F0F" w:rsidRPr="00777192" w:rsidRDefault="00474929" w:rsidP="00ED1C5C">
      <w:pPr>
        <w:pStyle w:val="NormalWeb"/>
        <w:spacing w:before="0" w:beforeAutospacing="0" w:after="240" w:afterAutospacing="0"/>
        <w:ind w:right="49"/>
        <w:rPr>
          <w:rFonts w:ascii="Geomanist Light" w:hAnsi="Geomanist Light" w:cs="Arial"/>
          <w:sz w:val="22"/>
          <w:szCs w:val="22"/>
        </w:rPr>
      </w:pPr>
      <w:bookmarkStart w:id="1" w:name="_Hlk103091300"/>
      <w:r w:rsidRPr="00777192">
        <w:rPr>
          <w:rFonts w:ascii="Geomanist Light" w:hAnsi="Geomanist Light" w:cs="Arial"/>
          <w:sz w:val="22"/>
          <w:szCs w:val="22"/>
        </w:rPr>
        <w:t>Usted formula solicitud de consulta compuesta por los siguientes interrogantes:</w:t>
      </w:r>
    </w:p>
    <w:p w14:paraId="486ABCC1" w14:textId="1C7632F5" w:rsidR="00C5544B" w:rsidRPr="00C5544B" w:rsidRDefault="00474929" w:rsidP="00C5544B">
      <w:pPr>
        <w:pStyle w:val="NormalWeb"/>
        <w:spacing w:before="0" w:beforeAutospacing="0" w:after="240" w:afterAutospacing="0" w:line="240" w:lineRule="auto"/>
        <w:ind w:left="709" w:right="900"/>
        <w:rPr>
          <w:rFonts w:ascii="Geomanist Light" w:hAnsi="Geomanist Light" w:cs="Arial"/>
          <w:sz w:val="21"/>
          <w:szCs w:val="21"/>
        </w:rPr>
      </w:pPr>
      <w:r w:rsidRPr="00777192">
        <w:rPr>
          <w:rFonts w:ascii="Geomanist Light" w:hAnsi="Geomanist Light" w:cs="Arial"/>
          <w:sz w:val="21"/>
          <w:szCs w:val="21"/>
        </w:rPr>
        <w:t>«</w:t>
      </w:r>
      <w:r w:rsidR="00C5544B" w:rsidRPr="00C5544B">
        <w:rPr>
          <w:rFonts w:ascii="Geomanist Light" w:hAnsi="Geomanist Light" w:cs="Arial"/>
          <w:sz w:val="21"/>
          <w:szCs w:val="21"/>
        </w:rPr>
        <w:t>1. Certificar si:</w:t>
      </w:r>
    </w:p>
    <w:p w14:paraId="07EB44DB" w14:textId="47F99B24" w:rsidR="00C5544B" w:rsidRPr="00C5544B" w:rsidRDefault="00C5544B" w:rsidP="00833090">
      <w:pPr>
        <w:pStyle w:val="NormalWeb"/>
        <w:spacing w:before="0" w:beforeAutospacing="0" w:after="240" w:afterAutospacing="0" w:line="240" w:lineRule="auto"/>
        <w:ind w:left="709" w:right="900"/>
        <w:rPr>
          <w:rFonts w:ascii="Geomanist Light" w:hAnsi="Geomanist Light" w:cs="Arial"/>
          <w:sz w:val="21"/>
          <w:szCs w:val="21"/>
        </w:rPr>
      </w:pPr>
      <w:r w:rsidRPr="00C5544B">
        <w:rPr>
          <w:rFonts w:ascii="Geomanist Light" w:hAnsi="Geomanist Light" w:cs="Arial"/>
          <w:sz w:val="21"/>
          <w:szCs w:val="21"/>
        </w:rPr>
        <w:t>1.1. En materia de contratación estatal, específicamente bajo la modalidad de contratación directa, que una entidad territorial presente una solicitud de cotización a potenciales proveedores, como método de análisis del mercado específico para la adquisición de bienes y servicios, se considera como una buena práctica para la selección del contratista, teniendo en cuenta que es un insumo para la selección objetiva del proveedor, y la consecuente elaboración del documento definitivo de los estudios previos.</w:t>
      </w:r>
    </w:p>
    <w:p w14:paraId="67BD29F9" w14:textId="77777777" w:rsidR="00C5544B" w:rsidRPr="00C5544B" w:rsidRDefault="00C5544B" w:rsidP="00C5544B">
      <w:pPr>
        <w:pStyle w:val="NormalWeb"/>
        <w:spacing w:before="0" w:beforeAutospacing="0" w:after="240" w:afterAutospacing="0" w:line="240" w:lineRule="auto"/>
        <w:ind w:left="709" w:right="900"/>
        <w:rPr>
          <w:rFonts w:ascii="Geomanist Light" w:hAnsi="Geomanist Light" w:cs="Arial"/>
          <w:sz w:val="21"/>
          <w:szCs w:val="21"/>
        </w:rPr>
      </w:pPr>
      <w:r w:rsidRPr="00C5544B">
        <w:rPr>
          <w:rFonts w:ascii="Geomanist Light" w:hAnsi="Geomanist Light" w:cs="Arial"/>
          <w:sz w:val="21"/>
          <w:szCs w:val="21"/>
        </w:rPr>
        <w:lastRenderedPageBreak/>
        <w:t>1.2. De acuerdo con las buenas prácticas en materia de contratación estatal, específicamente bajo la modalidad de contratación directa, se requiere de la elaboración de un documento denominado “estudios previos”, de forma anterior a la solicitud de cotización de bienes y servicios, o, si por el contrario, la elaboración del documento denominado “estudios previos” debe realizarse con posterioridad al estudio y análisis del mercado, de suerte tal, que refleje la selección objetiva del contratista, así como la necesidad y razonabilidad del proceso contractual.</w:t>
      </w:r>
    </w:p>
    <w:p w14:paraId="21EFD5EB" w14:textId="77777777" w:rsidR="00C5544B" w:rsidRPr="00C5544B" w:rsidRDefault="00C5544B" w:rsidP="00C5544B">
      <w:pPr>
        <w:pStyle w:val="NormalWeb"/>
        <w:spacing w:before="0" w:beforeAutospacing="0" w:after="240" w:afterAutospacing="0" w:line="240" w:lineRule="auto"/>
        <w:ind w:left="709" w:right="900"/>
        <w:rPr>
          <w:rFonts w:ascii="Geomanist Light" w:hAnsi="Geomanist Light" w:cs="Arial"/>
          <w:sz w:val="21"/>
          <w:szCs w:val="21"/>
        </w:rPr>
      </w:pPr>
      <w:r w:rsidRPr="00C5544B">
        <w:rPr>
          <w:rFonts w:ascii="Geomanist Light" w:hAnsi="Geomanist Light" w:cs="Arial"/>
          <w:sz w:val="21"/>
          <w:szCs w:val="21"/>
        </w:rPr>
        <w:t>1.3. De acuerdo con las buenas prácticas en materia de contratación estatal, específicamente bajo la modalidad de contratación directa, si las actas de reunión, documentos de deliberación y otros documentos preparatorios, que consignen decisiones relacionadas con en fase precontractual, cuyo contenido se encuentra asociado con los fundamentos o circunstancias que motiven la decisión de adquirir un bien o servicio, sin perjuicio de los documentos que analicen los riesgos asociados con la operación, forman parte de los estudios previos, como parte del proceso de planeación.</w:t>
      </w:r>
    </w:p>
    <w:p w14:paraId="593459ED" w14:textId="03A77623" w:rsidR="00C5544B" w:rsidRDefault="00C5544B" w:rsidP="00C5544B">
      <w:pPr>
        <w:pStyle w:val="NormalWeb"/>
        <w:spacing w:before="0" w:beforeAutospacing="0" w:after="240" w:afterAutospacing="0" w:line="240" w:lineRule="auto"/>
        <w:ind w:left="709" w:right="900"/>
        <w:rPr>
          <w:rFonts w:ascii="Geomanist Light" w:hAnsi="Geomanist Light" w:cs="Arial"/>
          <w:sz w:val="21"/>
          <w:szCs w:val="21"/>
        </w:rPr>
      </w:pPr>
      <w:r w:rsidRPr="00C5544B">
        <w:rPr>
          <w:rFonts w:ascii="Geomanist Light" w:hAnsi="Geomanist Light" w:cs="Arial"/>
          <w:sz w:val="21"/>
          <w:szCs w:val="21"/>
        </w:rPr>
        <w:t>Lo anterior, se pregunta en consideración de lo dispuesto en la Ley 80 de 1993, así como las normas que las adicionan, modifican o complementan, sin perjuicio de lo señalado por la Agencia Nacional de Contratación Colombia Compra Eficiente en sus conceptos, así como en la “guía para la elaboración de estudios del sector»</w:t>
      </w:r>
    </w:p>
    <w:bookmarkEnd w:id="1"/>
    <w:p w14:paraId="40937FFB" w14:textId="03578A08" w:rsidR="00474929" w:rsidRPr="00ED1C5C" w:rsidRDefault="00474929" w:rsidP="00ED1C5C">
      <w:pPr>
        <w:pStyle w:val="NormalWeb"/>
        <w:spacing w:before="0" w:beforeAutospacing="0" w:after="240" w:afterAutospacing="0" w:line="240" w:lineRule="auto"/>
        <w:ind w:right="709"/>
        <w:rPr>
          <w:rFonts w:ascii="Geomanist Light" w:eastAsia="Calibri" w:hAnsi="Geomanist Light" w:cs="Arial"/>
          <w:b/>
          <w:sz w:val="22"/>
        </w:rPr>
      </w:pPr>
      <w:r w:rsidRPr="00777192">
        <w:rPr>
          <w:rFonts w:ascii="Geomanist Light" w:eastAsia="Calibri" w:hAnsi="Geomanist Light" w:cs="Arial"/>
          <w:b/>
          <w:sz w:val="22"/>
        </w:rPr>
        <w:t>2. Consideraciones</w:t>
      </w:r>
      <w:bookmarkStart w:id="2" w:name="_Hlk96420298"/>
    </w:p>
    <w:p w14:paraId="2E8365A7" w14:textId="77777777" w:rsidR="007F60B1" w:rsidRPr="002110E7" w:rsidRDefault="007F60B1" w:rsidP="007F60B1">
      <w:pPr>
        <w:tabs>
          <w:tab w:val="left" w:pos="426"/>
        </w:tabs>
        <w:spacing w:after="240"/>
        <w:rPr>
          <w:rFonts w:ascii="Geomanist Light" w:eastAsia="Calibri" w:hAnsi="Geomanist Light" w:cs="Arial"/>
          <w:color w:val="000000" w:themeColor="text1"/>
          <w:sz w:val="22"/>
          <w:lang w:val="es-ES"/>
        </w:rPr>
      </w:pPr>
      <w:r w:rsidRPr="002110E7">
        <w:rPr>
          <w:rFonts w:ascii="Geomanist Light" w:eastAsia="Calibri" w:hAnsi="Geomanist Light" w:cs="Arial"/>
          <w:color w:val="000000" w:themeColor="text1"/>
          <w:sz w:val="22"/>
          <w:lang w:val="es-E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01DF79C2" w14:textId="77777777" w:rsidR="007F60B1" w:rsidRPr="002110E7" w:rsidRDefault="007F60B1" w:rsidP="007F60B1">
      <w:pPr>
        <w:tabs>
          <w:tab w:val="left" w:pos="426"/>
        </w:tabs>
        <w:spacing w:after="240"/>
        <w:ind w:firstLine="426"/>
        <w:rPr>
          <w:rFonts w:ascii="Geomanist Light" w:eastAsia="Calibri" w:hAnsi="Geomanist Light" w:cs="Arial"/>
          <w:color w:val="000000" w:themeColor="text1"/>
          <w:sz w:val="22"/>
          <w:lang w:val="es-ES"/>
        </w:rPr>
      </w:pPr>
      <w:r w:rsidRPr="002110E7">
        <w:rPr>
          <w:rFonts w:ascii="Geomanist Light" w:eastAsia="Calibri" w:hAnsi="Geomanist Light" w:cs="Arial"/>
          <w:color w:val="000000" w:themeColor="text1"/>
          <w:sz w:val="22"/>
          <w:lang w:val="es-ES"/>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w:t>
      </w:r>
      <w:r w:rsidRPr="002110E7">
        <w:rPr>
          <w:rFonts w:ascii="Geomanist Light" w:eastAsia="Calibri" w:hAnsi="Geomanist Light" w:cs="Arial"/>
          <w:color w:val="000000" w:themeColor="text1"/>
          <w:sz w:val="22"/>
          <w:lang w:val="es-ES"/>
        </w:rPr>
        <w:lastRenderedPageBreak/>
        <w:t xml:space="preserve">de sus órganos asesores, la solución de estos temas corresponde a cada entidad y, en caso de conflicto, a las autoridades judiciales, fiscales y disciplinarias. </w:t>
      </w:r>
    </w:p>
    <w:p w14:paraId="555F57DF" w14:textId="71929E28" w:rsidR="00730923" w:rsidRPr="007F60B1" w:rsidRDefault="007F60B1" w:rsidP="007F60B1">
      <w:pPr>
        <w:widowControl w:val="0"/>
        <w:autoSpaceDE w:val="0"/>
        <w:autoSpaceDN w:val="0"/>
        <w:spacing w:after="240"/>
        <w:ind w:firstLine="709"/>
        <w:rPr>
          <w:rFonts w:ascii="Geomanist Light" w:eastAsia="Calibri" w:hAnsi="Geomanist Light" w:cs="Arial"/>
          <w:color w:val="000000" w:themeColor="text1"/>
          <w:sz w:val="22"/>
          <w:lang w:val="es-ES"/>
        </w:rPr>
      </w:pPr>
      <w:r w:rsidRPr="002110E7">
        <w:rPr>
          <w:rFonts w:ascii="Geomanist Light" w:eastAsia="Calibri" w:hAnsi="Geomanist Light" w:cs="Arial"/>
          <w:color w:val="000000" w:themeColor="text1"/>
          <w:sz w:val="22"/>
          <w:lang w:val="es-ES"/>
        </w:rPr>
        <w:t>Sin perjuicio de lo anterior, la Subdirección de Gestión Contractual, dentro de los límites de sus atribuciones, resolverá la consulta conforme a las normas generales en materia de contratación estatal.</w:t>
      </w:r>
    </w:p>
    <w:p w14:paraId="6CAFE02B" w14:textId="0F2A5B83" w:rsidR="006F1C20" w:rsidRDefault="00A026E5" w:rsidP="00ED1C5C">
      <w:pPr>
        <w:spacing w:after="240"/>
        <w:ind w:firstLine="709"/>
        <w:rPr>
          <w:rFonts w:ascii="Geomanist Light" w:eastAsia="Calibri" w:hAnsi="Geomanist Light" w:cs="Arial"/>
          <w:color w:val="000000" w:themeColor="text1"/>
          <w:sz w:val="22"/>
          <w:lang w:val="es-ES"/>
        </w:rPr>
      </w:pPr>
      <w:r w:rsidRPr="00A026E5">
        <w:rPr>
          <w:rFonts w:ascii="Geomanist Light" w:eastAsia="Calibri" w:hAnsi="Geomanist Light" w:cs="Arial"/>
          <w:color w:val="000000" w:themeColor="text1"/>
          <w:sz w:val="22"/>
          <w:lang w:val="es-ES"/>
        </w:rPr>
        <w:t>La Agencia Nacional de Contratación Pública – Colombia Compra Eficiente se pronunció, en términos generales, sobre el deber de elaborar el análisis del sector frente a los procesos de contratación en los Conceptos 2202013000000037 del 7 de enero de 2020 y C-223 del 29 de abril de 2020 –radicado No. 2202013000003261– y C–148 de 2021. Igualmente, en los Conceptos C-387 del 23 de junio de 2020 –radicado No. 2202013000005289–, C-415 del 7 de julio –radicado No. 2202013000005931–, C-443 del 7 de julio de 2020 –radicado No. 2202013000005933–, C-387 del 23 de junio de 2020 –radicado No. 4202013000004275–, 2202013000000037 del 7 de enero de 2020, C-223 del 29 de abril de 2020, C-671 de 2020 de 23 de noviembre de 2020, C-215 del 12 de mayo de 2021, C-742 de 27 de diciembre de 202</w:t>
      </w:r>
      <w:r>
        <w:rPr>
          <w:rFonts w:ascii="Geomanist Light" w:eastAsia="Calibri" w:hAnsi="Geomanist Light" w:cs="Arial"/>
          <w:color w:val="000000" w:themeColor="text1"/>
          <w:sz w:val="22"/>
          <w:lang w:val="es-ES"/>
        </w:rPr>
        <w:t>,</w:t>
      </w:r>
      <w:r w:rsidRPr="00A026E5">
        <w:rPr>
          <w:rFonts w:ascii="Geomanist Light" w:eastAsia="Calibri" w:hAnsi="Geomanist Light" w:cs="Arial"/>
          <w:color w:val="000000" w:themeColor="text1"/>
          <w:sz w:val="22"/>
          <w:lang w:val="es-ES"/>
        </w:rPr>
        <w:t xml:space="preserve"> C-017 del 22 de febrero de 2022</w:t>
      </w:r>
      <w:r>
        <w:rPr>
          <w:rFonts w:ascii="Geomanist Light" w:eastAsia="Calibri" w:hAnsi="Geomanist Light" w:cs="Arial"/>
          <w:color w:val="000000" w:themeColor="text1"/>
          <w:sz w:val="22"/>
          <w:lang w:val="es-ES"/>
        </w:rPr>
        <w:t xml:space="preserve"> y C-680 del 19 de septiembre de 2022</w:t>
      </w:r>
      <w:r>
        <w:rPr>
          <w:rStyle w:val="Refdenotaalpie"/>
          <w:rFonts w:ascii="Arial" w:eastAsia="Calibri" w:hAnsi="Arial" w:cs="Arial"/>
          <w:sz w:val="22"/>
          <w:lang w:val="es-ES_tradnl"/>
        </w:rPr>
        <w:footnoteReference w:id="1"/>
      </w:r>
      <w:r w:rsidRPr="00A026E5">
        <w:rPr>
          <w:rFonts w:ascii="Geomanist Light" w:eastAsia="Calibri" w:hAnsi="Geomanist Light" w:cs="Arial"/>
          <w:color w:val="000000" w:themeColor="text1"/>
          <w:sz w:val="22"/>
          <w:lang w:val="es-ES"/>
        </w:rPr>
        <w:t xml:space="preserve">, se pronunció sobre la planeación y los estudios previos en el Estatuto General de Contratación de la Administración Pública. </w:t>
      </w:r>
    </w:p>
    <w:p w14:paraId="5747076A" w14:textId="26809469" w:rsidR="00FE2587" w:rsidRPr="005E587A" w:rsidRDefault="00241E8D" w:rsidP="00ED1C5C">
      <w:pPr>
        <w:spacing w:after="240"/>
        <w:ind w:firstLine="709"/>
        <w:rPr>
          <w:rFonts w:ascii="Geomanist Light" w:eastAsia="Calibri" w:hAnsi="Geomanist Light" w:cs="Arial"/>
          <w:color w:val="000000" w:themeColor="text1"/>
          <w:sz w:val="22"/>
        </w:rPr>
      </w:pPr>
      <w:r>
        <w:rPr>
          <w:rFonts w:ascii="Geomanist Light" w:eastAsia="Calibri" w:hAnsi="Geomanist Light"/>
          <w:color w:val="000000" w:themeColor="text1"/>
          <w:sz w:val="22"/>
        </w:rPr>
        <w:t>Así mismo, e</w:t>
      </w:r>
      <w:r w:rsidRPr="00241E8D">
        <w:rPr>
          <w:rFonts w:ascii="Geomanist Light" w:eastAsia="Calibri" w:hAnsi="Geomanist Light"/>
          <w:color w:val="000000" w:themeColor="text1"/>
          <w:sz w:val="22"/>
        </w:rPr>
        <w:t xml:space="preserve">s importante destacar que la Agencia Nacional de Contratación Pública – Colombia Compra Eficiente se pronunció, en términos generales, sobre el deber de elaborar análisis del sector en los Conceptos 2202013000000037 del 7 de enero de 2020, C-387 del 23 de junio de 2020, </w:t>
      </w:r>
      <w:r w:rsidRPr="00241E8D">
        <w:rPr>
          <w:rFonts w:ascii="Geomanist Light" w:eastAsia="Calibri" w:hAnsi="Geomanist Light"/>
          <w:color w:val="000000" w:themeColor="text1"/>
          <w:sz w:val="22"/>
          <w:lang w:val="es-ES"/>
        </w:rPr>
        <w:t>C-415 del 7 de julio, C-387 del 23 de junio de 2020, C-443 del 7 de julio de 2020,</w:t>
      </w:r>
      <w:r w:rsidRPr="00241E8D">
        <w:rPr>
          <w:rFonts w:ascii="Geomanist Light" w:eastAsia="Calibri" w:hAnsi="Geomanist Light"/>
          <w:color w:val="000000" w:themeColor="text1"/>
          <w:sz w:val="22"/>
        </w:rPr>
        <w:t xml:space="preserve"> C-223 del 29 de abril de 2020, C-671 de 23 de noviembre de 2020</w:t>
      </w:r>
      <w:r>
        <w:rPr>
          <w:rFonts w:ascii="Geomanist Light" w:eastAsia="Calibri" w:hAnsi="Geomanist Light"/>
          <w:color w:val="000000" w:themeColor="text1"/>
          <w:sz w:val="22"/>
        </w:rPr>
        <w:t>,</w:t>
      </w:r>
      <w:r w:rsidRPr="00241E8D">
        <w:rPr>
          <w:rFonts w:ascii="Geomanist Light" w:eastAsia="Calibri" w:hAnsi="Geomanist Light"/>
          <w:color w:val="000000" w:themeColor="text1"/>
          <w:sz w:val="22"/>
        </w:rPr>
        <w:t xml:space="preserve"> C-215 del 12 de mayo de 2021</w:t>
      </w:r>
      <w:r>
        <w:rPr>
          <w:rFonts w:ascii="Geomanist Light" w:eastAsia="Calibri" w:hAnsi="Geomanist Light"/>
          <w:color w:val="000000" w:themeColor="text1"/>
          <w:sz w:val="22"/>
        </w:rPr>
        <w:t xml:space="preserve"> y C-294 del 10 de septiembre de 2021</w:t>
      </w:r>
      <w:r w:rsidRPr="00241E8D">
        <w:rPr>
          <w:rFonts w:ascii="Geomanist Light" w:eastAsia="Calibri" w:hAnsi="Geomanist Light"/>
          <w:color w:val="000000" w:themeColor="text1"/>
          <w:sz w:val="22"/>
        </w:rPr>
        <w:t>. Por otra parte, la Agencia también estudió la naturaleza jurídica y fuerza vinculante de las guías y manuales en el Concepto 4201912000007508 del 17 de 12 de 2019. </w:t>
      </w:r>
      <w:r w:rsidR="005D0BDE" w:rsidRPr="00AA0300">
        <w:rPr>
          <w:rFonts w:ascii="Geomanist Light" w:eastAsia="Calibri" w:hAnsi="Geomanist Light" w:cs="Arial"/>
          <w:color w:val="000000" w:themeColor="text1"/>
          <w:sz w:val="22"/>
        </w:rPr>
        <w:t>Los argumentos y consideraciones expuestos en los conceptos mencionados se reiteran y se complementan en lo pertinente.</w:t>
      </w:r>
    </w:p>
    <w:p w14:paraId="35E12BE3" w14:textId="4D146448" w:rsidR="005E587A" w:rsidRPr="005E587A" w:rsidRDefault="005E587A" w:rsidP="00ED1C5C">
      <w:pPr>
        <w:spacing w:after="240"/>
        <w:rPr>
          <w:rFonts w:ascii="Geomanist Light" w:eastAsia="Calibri" w:hAnsi="Geomanist Light" w:cs="Arial"/>
          <w:b/>
          <w:sz w:val="22"/>
        </w:rPr>
      </w:pPr>
      <w:r w:rsidRPr="005E587A">
        <w:rPr>
          <w:rFonts w:ascii="Geomanist Light" w:eastAsia="Calibri" w:hAnsi="Geomanist Light" w:cs="Arial"/>
          <w:b/>
          <w:sz w:val="22"/>
        </w:rPr>
        <w:t xml:space="preserve">2.1. </w:t>
      </w:r>
      <w:r w:rsidR="00A026E5">
        <w:rPr>
          <w:rFonts w:ascii="Geomanist Light" w:eastAsia="Calibri" w:hAnsi="Geomanist Light" w:cs="Arial"/>
          <w:b/>
          <w:sz w:val="22"/>
        </w:rPr>
        <w:t xml:space="preserve">Principio de planeación y estudios previos en </w:t>
      </w:r>
      <w:r w:rsidRPr="005E587A">
        <w:rPr>
          <w:rFonts w:ascii="Geomanist Light" w:eastAsia="Calibri" w:hAnsi="Geomanist Light" w:cs="Arial"/>
          <w:b/>
          <w:sz w:val="22"/>
        </w:rPr>
        <w:t>la contratación pública</w:t>
      </w:r>
    </w:p>
    <w:p w14:paraId="3E0B2F60" w14:textId="77777777" w:rsidR="00A026E5" w:rsidRPr="00A026E5" w:rsidRDefault="00A026E5" w:rsidP="00A026E5">
      <w:pPr>
        <w:rPr>
          <w:rFonts w:ascii="Geomanist Light" w:hAnsi="Geomanist Light"/>
        </w:rPr>
      </w:pPr>
      <w:r w:rsidRPr="00A026E5">
        <w:rPr>
          <w:rFonts w:ascii="Geomanist Light" w:eastAsia="Calibri" w:hAnsi="Geomanist Light" w:cs="Arial"/>
          <w:bCs/>
          <w:sz w:val="22"/>
          <w:lang w:val="es-ES_tradnl"/>
        </w:rPr>
        <w:t xml:space="preserve">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w:t>
      </w:r>
      <w:r w:rsidRPr="00A026E5">
        <w:rPr>
          <w:rFonts w:ascii="Geomanist Light" w:eastAsia="Calibri" w:hAnsi="Geomanist Light" w:cs="Arial"/>
          <w:bCs/>
          <w:sz w:val="22"/>
          <w:lang w:val="es-ES_tradnl"/>
        </w:rPr>
        <w:lastRenderedPageBreak/>
        <w:t>etc. Lo anterior con la finalidad de realizar la escogencia diligente de la mejor oferta, para beneficiar los intereses y fines públicos inmersos en la contratación de las entidades estatales</w:t>
      </w:r>
      <w:r w:rsidRPr="00A026E5">
        <w:rPr>
          <w:rFonts w:ascii="Geomanist Light" w:eastAsia="Calibri" w:hAnsi="Geomanist Light" w:cs="Arial"/>
          <w:bCs/>
          <w:sz w:val="21"/>
          <w:szCs w:val="21"/>
          <w:lang w:val="es-ES_tradnl"/>
        </w:rPr>
        <w:t>.</w:t>
      </w:r>
    </w:p>
    <w:p w14:paraId="07843BC3" w14:textId="5DCEA8BB" w:rsidR="00A026E5" w:rsidRPr="00A026E5" w:rsidRDefault="00A026E5" w:rsidP="002238CF">
      <w:pPr>
        <w:ind w:firstLine="708"/>
        <w:rPr>
          <w:rFonts w:ascii="Geomanist Light" w:eastAsia="Calibri" w:hAnsi="Geomanist Light" w:cs="Arial"/>
          <w:bCs/>
          <w:sz w:val="22"/>
          <w:lang w:val="es-ES"/>
        </w:rPr>
      </w:pPr>
      <w:r w:rsidRPr="00A026E5">
        <w:rPr>
          <w:rFonts w:ascii="Geomanist Light" w:eastAsia="Calibri" w:hAnsi="Geomanist Light" w:cs="Arial"/>
          <w:bCs/>
          <w:sz w:val="22"/>
        </w:rPr>
        <w:t xml:space="preserve">El Estatuto General de Contratación de la Administración Pública contiene disposiciones que exigen a las entidades estatales el deber de realizar actividades de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76F55385" w14:textId="77777777" w:rsidR="00A026E5" w:rsidRPr="00A026E5" w:rsidRDefault="00A026E5" w:rsidP="00A026E5">
      <w:pPr>
        <w:ind w:left="709" w:right="709"/>
        <w:rPr>
          <w:rFonts w:ascii="Geomanist Light" w:eastAsia="Calibri" w:hAnsi="Geomanist Light" w:cs="Arial"/>
          <w:sz w:val="21"/>
          <w:szCs w:val="21"/>
        </w:rPr>
      </w:pPr>
      <w:r w:rsidRPr="00A026E5">
        <w:rPr>
          <w:rFonts w:ascii="Geomanist Light" w:eastAsia="Calibri" w:hAnsi="Geomanist Light"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3C92118C" w14:textId="77777777" w:rsidR="00A026E5" w:rsidRPr="00A026E5" w:rsidRDefault="00A026E5" w:rsidP="00A026E5">
      <w:pPr>
        <w:ind w:left="709" w:right="709"/>
        <w:rPr>
          <w:rFonts w:ascii="Geomanist Light" w:eastAsia="Calibri" w:hAnsi="Geomanist Light" w:cs="Arial"/>
          <w:sz w:val="21"/>
          <w:szCs w:val="21"/>
        </w:rPr>
      </w:pPr>
      <w:r w:rsidRPr="00A026E5">
        <w:rPr>
          <w:rFonts w:ascii="Geomanist Light" w:eastAsia="Calibri" w:hAnsi="Geomanist Light" w:cs="Arial"/>
          <w:sz w:val="21"/>
          <w:szCs w:val="21"/>
        </w:rPr>
        <w:t>[…]</w:t>
      </w:r>
    </w:p>
    <w:p w14:paraId="4AB807FE" w14:textId="77777777" w:rsidR="00A026E5" w:rsidRPr="00A026E5" w:rsidRDefault="00A026E5" w:rsidP="00A026E5">
      <w:pPr>
        <w:ind w:left="709" w:right="709"/>
        <w:rPr>
          <w:rFonts w:ascii="Geomanist Light" w:eastAsia="Calibri" w:hAnsi="Geomanist Light" w:cs="Arial"/>
          <w:sz w:val="21"/>
          <w:szCs w:val="21"/>
        </w:rPr>
      </w:pPr>
      <w:r w:rsidRPr="00A026E5">
        <w:rPr>
          <w:rFonts w:ascii="Geomanist Light" w:eastAsia="Calibri" w:hAnsi="Geomanist Light" w:cs="Arial"/>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111776D7" w14:textId="77777777" w:rsidR="00A026E5" w:rsidRPr="00A026E5" w:rsidRDefault="00A026E5" w:rsidP="00A026E5">
      <w:pPr>
        <w:ind w:left="709" w:right="709"/>
        <w:rPr>
          <w:rFonts w:ascii="Geomanist Light" w:eastAsia="Calibri" w:hAnsi="Geomanist Light" w:cs="Arial"/>
          <w:sz w:val="21"/>
          <w:szCs w:val="21"/>
        </w:rPr>
      </w:pPr>
      <w:r w:rsidRPr="00A026E5">
        <w:rPr>
          <w:rFonts w:ascii="Geomanist Light" w:eastAsia="Calibri" w:hAnsi="Geomanist Light"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4C36C83B" w14:textId="77777777" w:rsidR="00A026E5" w:rsidRPr="00A026E5" w:rsidRDefault="00A026E5" w:rsidP="00A026E5">
      <w:pPr>
        <w:ind w:left="709" w:right="709"/>
        <w:rPr>
          <w:rFonts w:ascii="Geomanist Light" w:hAnsi="Geomanist Light" w:cs="Arial"/>
          <w:sz w:val="21"/>
          <w:szCs w:val="21"/>
        </w:rPr>
      </w:pPr>
      <w:r w:rsidRPr="00A026E5">
        <w:rPr>
          <w:rFonts w:ascii="Geomanist Light" w:hAnsi="Geomanist Light"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6CAC6D20" w14:textId="77777777" w:rsidR="00A026E5" w:rsidRPr="00A026E5" w:rsidRDefault="00A026E5" w:rsidP="00A026E5">
      <w:pPr>
        <w:ind w:left="709" w:right="709"/>
        <w:rPr>
          <w:rFonts w:ascii="Geomanist Light" w:hAnsi="Geomanist Light" w:cs="Arial"/>
          <w:sz w:val="21"/>
          <w:szCs w:val="21"/>
        </w:rPr>
      </w:pPr>
      <w:r w:rsidRPr="00A026E5">
        <w:rPr>
          <w:rFonts w:ascii="Geomanist Light" w:hAnsi="Geomanist Light" w:cs="Arial"/>
          <w:sz w:val="21"/>
          <w:szCs w:val="21"/>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072CEFF0" w14:textId="77777777" w:rsidR="00A026E5" w:rsidRPr="00A026E5" w:rsidRDefault="00A026E5" w:rsidP="00A026E5">
      <w:pPr>
        <w:ind w:firstLine="709"/>
        <w:rPr>
          <w:rFonts w:ascii="Geomanist Light" w:hAnsi="Geomanist Light" w:cs="Arial"/>
          <w:sz w:val="22"/>
        </w:rPr>
      </w:pPr>
      <w:r w:rsidRPr="00A026E5">
        <w:rPr>
          <w:rFonts w:ascii="Geomanist Light" w:hAnsi="Geomanist Light" w:cs="Arial"/>
          <w:sz w:val="22"/>
        </w:rPr>
        <w:t xml:space="preserve">Lo anterior le permitirá a la entidad estatal identificar desde el punto de vista técnico y financiero el objeto del contrato, las particularidades de su ejecución, los potenciales </w:t>
      </w:r>
      <w:r w:rsidRPr="00A026E5">
        <w:rPr>
          <w:rFonts w:ascii="Geomanist Light" w:hAnsi="Geomanist Light" w:cs="Arial"/>
          <w:sz w:val="22"/>
        </w:rPr>
        <w:lastRenderedPageBreak/>
        <w:t>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A026E5">
        <w:rPr>
          <w:rFonts w:ascii="Geomanist Light" w:hAnsi="Geomanist Light" w:cs="Arial"/>
          <w:sz w:val="22"/>
          <w:vertAlign w:val="superscript"/>
        </w:rPr>
        <w:footnoteReference w:id="2"/>
      </w:r>
      <w:r w:rsidRPr="00A026E5">
        <w:rPr>
          <w:rFonts w:ascii="Geomanist Light" w:hAnsi="Geomanist Light" w:cs="Arial"/>
          <w:sz w:val="22"/>
        </w:rPr>
        <w:t>. En congruencia con el artículo 25 de la Ley 80 de 1993, el Decreto Único Reglamentario del Sector Administrativo de Planeación Nacional –Decreto 1082 de 2015–, dispone en el artículo 2.2.1.1.2.1.1 el contenido mínimo de los estudios y documentos previos:</w:t>
      </w:r>
    </w:p>
    <w:p w14:paraId="5779B585" w14:textId="77777777" w:rsidR="00A026E5" w:rsidRPr="00A026E5" w:rsidRDefault="00A026E5" w:rsidP="00A026E5">
      <w:pPr>
        <w:ind w:left="709" w:right="709"/>
        <w:rPr>
          <w:rFonts w:ascii="Geomanist Light" w:hAnsi="Geomanist Light" w:cs="Arial"/>
          <w:sz w:val="21"/>
          <w:szCs w:val="21"/>
        </w:rPr>
      </w:pPr>
      <w:r w:rsidRPr="00A026E5">
        <w:rPr>
          <w:rFonts w:ascii="Geomanist Light" w:hAnsi="Geomanist Light" w:cs="Arial"/>
          <w:sz w:val="21"/>
          <w:szCs w:val="21"/>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73359537" w14:textId="77777777" w:rsidR="00A026E5" w:rsidRPr="00A026E5" w:rsidRDefault="00A026E5" w:rsidP="00A026E5">
      <w:pPr>
        <w:ind w:left="709" w:right="709"/>
        <w:rPr>
          <w:rFonts w:ascii="Geomanist Light" w:hAnsi="Geomanist Light" w:cs="Arial"/>
          <w:sz w:val="21"/>
          <w:szCs w:val="21"/>
        </w:rPr>
      </w:pPr>
      <w:r w:rsidRPr="00A026E5">
        <w:rPr>
          <w:rFonts w:ascii="Geomanist Light" w:hAnsi="Geomanist Light" w:cs="Arial"/>
          <w:sz w:val="21"/>
          <w:szCs w:val="21"/>
        </w:rPr>
        <w:t>1. La descripción de la necesidad que la Entidad Estatal pretende satisfacer con el Proceso de Contratación. ​</w:t>
      </w:r>
    </w:p>
    <w:p w14:paraId="69AA6061" w14:textId="77777777" w:rsidR="00A026E5" w:rsidRPr="00A026E5" w:rsidRDefault="00A026E5" w:rsidP="00A026E5">
      <w:pPr>
        <w:ind w:left="709" w:right="709"/>
        <w:rPr>
          <w:rFonts w:ascii="Geomanist Light" w:hAnsi="Geomanist Light" w:cs="Arial"/>
          <w:sz w:val="21"/>
          <w:szCs w:val="21"/>
        </w:rPr>
      </w:pPr>
      <w:r w:rsidRPr="00A026E5">
        <w:rPr>
          <w:rFonts w:ascii="Geomanist Light" w:hAnsi="Geomanist Light"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48405DC0" w14:textId="77777777" w:rsidR="00A026E5" w:rsidRPr="00A026E5" w:rsidRDefault="00A026E5" w:rsidP="00A026E5">
      <w:pPr>
        <w:ind w:left="709" w:right="709"/>
        <w:rPr>
          <w:rFonts w:ascii="Geomanist Light" w:hAnsi="Geomanist Light" w:cs="Arial"/>
          <w:sz w:val="21"/>
          <w:szCs w:val="21"/>
        </w:rPr>
      </w:pPr>
      <w:r w:rsidRPr="00A026E5">
        <w:rPr>
          <w:rFonts w:ascii="Geomanist Light" w:hAnsi="Geomanist Light" w:cs="Arial"/>
          <w:sz w:val="21"/>
          <w:szCs w:val="21"/>
        </w:rPr>
        <w:t xml:space="preserve">3. La modalidad de selección del contratista y su justificación, incluyendo los fundamentos jurídicos. </w:t>
      </w:r>
    </w:p>
    <w:p w14:paraId="685979E5" w14:textId="77777777" w:rsidR="00A026E5" w:rsidRPr="00A026E5" w:rsidRDefault="00A026E5" w:rsidP="00A026E5">
      <w:pPr>
        <w:ind w:left="709" w:right="709"/>
        <w:rPr>
          <w:rFonts w:ascii="Geomanist Light" w:hAnsi="Geomanist Light" w:cs="Arial"/>
          <w:sz w:val="21"/>
          <w:szCs w:val="21"/>
        </w:rPr>
      </w:pPr>
      <w:r w:rsidRPr="00A026E5">
        <w:rPr>
          <w:rFonts w:ascii="Geomanist Light" w:hAnsi="Geomanist Light" w:cs="Arial"/>
          <w:sz w:val="21"/>
          <w:szCs w:val="21"/>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4BA63CA7" w14:textId="77777777" w:rsidR="00A026E5" w:rsidRPr="00A026E5" w:rsidRDefault="00A026E5" w:rsidP="00A026E5">
      <w:pPr>
        <w:ind w:left="709" w:right="709"/>
        <w:rPr>
          <w:rFonts w:ascii="Geomanist Light" w:hAnsi="Geomanist Light" w:cs="Arial"/>
          <w:sz w:val="21"/>
          <w:szCs w:val="21"/>
        </w:rPr>
      </w:pPr>
      <w:r w:rsidRPr="00A026E5">
        <w:rPr>
          <w:rFonts w:ascii="Geomanist Light" w:hAnsi="Geomanist Light" w:cs="Arial"/>
          <w:sz w:val="21"/>
          <w:szCs w:val="21"/>
        </w:rPr>
        <w:t xml:space="preserve">5. Los criterios para seleccionar la oferta más favorable. </w:t>
      </w:r>
    </w:p>
    <w:p w14:paraId="4371B32D" w14:textId="77777777" w:rsidR="00A026E5" w:rsidRPr="00A026E5" w:rsidRDefault="00A026E5" w:rsidP="00A026E5">
      <w:pPr>
        <w:ind w:left="709" w:right="709"/>
        <w:rPr>
          <w:rFonts w:ascii="Geomanist Light" w:hAnsi="Geomanist Light" w:cs="Arial"/>
          <w:sz w:val="21"/>
          <w:szCs w:val="21"/>
        </w:rPr>
      </w:pPr>
      <w:r w:rsidRPr="00A026E5">
        <w:rPr>
          <w:rFonts w:ascii="Geomanist Light" w:hAnsi="Geomanist Light" w:cs="Arial"/>
          <w:sz w:val="21"/>
          <w:szCs w:val="21"/>
        </w:rPr>
        <w:t xml:space="preserve">6. El análisis de Riesgo y la forma de mitigarlo. </w:t>
      </w:r>
    </w:p>
    <w:p w14:paraId="7BF39D63" w14:textId="77777777" w:rsidR="00A026E5" w:rsidRPr="00A026E5" w:rsidRDefault="00A026E5" w:rsidP="00A026E5">
      <w:pPr>
        <w:ind w:left="709" w:right="709"/>
        <w:rPr>
          <w:rFonts w:ascii="Geomanist Light" w:hAnsi="Geomanist Light" w:cs="Arial"/>
          <w:sz w:val="21"/>
          <w:szCs w:val="21"/>
        </w:rPr>
      </w:pPr>
      <w:r w:rsidRPr="00A026E5">
        <w:rPr>
          <w:rFonts w:ascii="Geomanist Light" w:hAnsi="Geomanist Light" w:cs="Arial"/>
          <w:sz w:val="21"/>
          <w:szCs w:val="21"/>
        </w:rPr>
        <w:t xml:space="preserve">7. Las garantías que la Entidad Estatal contempla exigir en el proceso de contratación. </w:t>
      </w:r>
    </w:p>
    <w:p w14:paraId="4BE9C936" w14:textId="77777777" w:rsidR="00A026E5" w:rsidRPr="00A026E5" w:rsidRDefault="00A026E5" w:rsidP="00A026E5">
      <w:pPr>
        <w:ind w:left="709" w:right="709"/>
        <w:rPr>
          <w:rFonts w:ascii="Geomanist Light" w:hAnsi="Geomanist Light" w:cs="Arial"/>
          <w:sz w:val="21"/>
          <w:szCs w:val="21"/>
        </w:rPr>
      </w:pPr>
      <w:r w:rsidRPr="00A026E5">
        <w:rPr>
          <w:rFonts w:ascii="Geomanist Light" w:hAnsi="Geomanist Light" w:cs="Arial"/>
          <w:sz w:val="21"/>
          <w:szCs w:val="21"/>
        </w:rPr>
        <w:lastRenderedPageBreak/>
        <w:t xml:space="preserve">8. La indicación de si el proceso de contratación está cobijado por un acuerdo comercial. </w:t>
      </w:r>
    </w:p>
    <w:p w14:paraId="3BBB126A" w14:textId="6EE7AD39" w:rsidR="00A026E5" w:rsidRPr="000E2EE6" w:rsidRDefault="00A026E5" w:rsidP="000E2EE6">
      <w:pPr>
        <w:ind w:left="709" w:right="709"/>
        <w:rPr>
          <w:rFonts w:ascii="Geomanist Light" w:hAnsi="Geomanist Light" w:cs="Arial"/>
          <w:sz w:val="21"/>
          <w:szCs w:val="21"/>
        </w:rPr>
      </w:pPr>
      <w:r w:rsidRPr="00A026E5">
        <w:rPr>
          <w:rFonts w:ascii="Geomanist Light" w:hAnsi="Geomanist Light" w:cs="Arial"/>
          <w:sz w:val="21"/>
          <w:szCs w:val="21"/>
        </w:rPr>
        <w:t>El presente artículo no es aplicable a la contratación por mínima cuantía.</w:t>
      </w:r>
    </w:p>
    <w:p w14:paraId="12BE37D0" w14:textId="77777777" w:rsidR="00A026E5" w:rsidRPr="00A026E5" w:rsidRDefault="00A026E5" w:rsidP="00A026E5">
      <w:pPr>
        <w:ind w:firstLine="709"/>
        <w:rPr>
          <w:rFonts w:ascii="Geomanist Light" w:hAnsi="Geomanist Light" w:cs="Arial"/>
          <w:sz w:val="22"/>
        </w:rPr>
      </w:pPr>
      <w:bookmarkStart w:id="3" w:name="_Hlk54011351"/>
      <w:r w:rsidRPr="00A026E5">
        <w:rPr>
          <w:rFonts w:ascii="Geomanist Light" w:hAnsi="Geomanist Light" w:cs="Arial"/>
          <w:sz w:val="22"/>
        </w:rPr>
        <w:t>De esta manera,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w:t>
      </w:r>
    </w:p>
    <w:bookmarkEnd w:id="3"/>
    <w:p w14:paraId="266FEF18" w14:textId="77777777" w:rsidR="00A026E5" w:rsidRPr="00A026E5" w:rsidRDefault="00A026E5" w:rsidP="00A026E5">
      <w:pPr>
        <w:ind w:firstLine="709"/>
        <w:rPr>
          <w:rFonts w:ascii="Geomanist Light" w:hAnsi="Geomanist Light" w:cs="Arial"/>
          <w:sz w:val="22"/>
        </w:rPr>
      </w:pPr>
      <w:r w:rsidRPr="00A026E5">
        <w:rPr>
          <w:rFonts w:ascii="Geomanist Light" w:hAnsi="Geomanist Light" w:cs="Arial"/>
          <w:sz w:val="22"/>
        </w:rPr>
        <w:t xml:space="preserve">Por ello, el hecho que las entidades cumplan con los elementos mínimos establecidos en la norma y aquellos adicionales que identifiquen en la etapa de planeación de los </w:t>
      </w:r>
      <w:r w:rsidRPr="00A026E5">
        <w:rPr>
          <w:rFonts w:ascii="Geomanist Light" w:eastAsia="Calibri" w:hAnsi="Geomanist Light" w:cs="Arial"/>
          <w:bCs/>
          <w:sz w:val="22"/>
          <w:lang w:val="es-ES_tradnl"/>
        </w:rPr>
        <w:t xml:space="preserve">procedimientos de contratación, permite que los contratos resultantes cuenten con el sustento técnico, económico y jurídico que incidirá </w:t>
      </w:r>
      <w:r w:rsidRPr="00A026E5">
        <w:rPr>
          <w:rFonts w:ascii="Geomanist Light" w:hAnsi="Geomanist Light" w:cs="Arial"/>
          <w:sz w:val="22"/>
        </w:rPr>
        <w:t>en una adecuada ejecución.</w:t>
      </w:r>
    </w:p>
    <w:p w14:paraId="2F343EF7" w14:textId="77777777" w:rsidR="00A026E5" w:rsidRPr="00A026E5" w:rsidRDefault="00A026E5" w:rsidP="00A026E5">
      <w:pPr>
        <w:ind w:right="103" w:firstLine="708"/>
        <w:rPr>
          <w:rFonts w:ascii="Geomanist Light" w:hAnsi="Geomanist Light" w:cs="Arial"/>
          <w:sz w:val="22"/>
        </w:rPr>
      </w:pPr>
      <w:r w:rsidRPr="00A026E5">
        <w:rPr>
          <w:rFonts w:ascii="Geomanist Light" w:hAnsi="Geomanist Light" w:cs="Arial"/>
          <w:sz w:val="22"/>
        </w:rPr>
        <w:t>Mas allá del cumplimiento de la normativa, «los estudios y documentos previos son el soporte para elaborar el proyecto de pliegos, los pliegos de condiciones, y el contrato»</w:t>
      </w:r>
      <w:r w:rsidRPr="00A026E5">
        <w:rPr>
          <w:rFonts w:ascii="Geomanist Light" w:hAnsi="Geomanist Light" w:cs="Arial"/>
          <w:sz w:val="22"/>
          <w:vertAlign w:val="superscript"/>
        </w:rPr>
        <w:footnoteReference w:id="3"/>
      </w:r>
      <w:r w:rsidRPr="00A026E5">
        <w:rPr>
          <w:rFonts w:ascii="Geomanist Light" w:hAnsi="Geomanist Light" w:cs="Arial"/>
          <w:sz w:val="22"/>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02605C01" w14:textId="77777777" w:rsidR="00A026E5" w:rsidRPr="00A026E5" w:rsidRDefault="00A026E5" w:rsidP="00A026E5">
      <w:pPr>
        <w:ind w:right="105" w:firstLine="709"/>
        <w:rPr>
          <w:rFonts w:ascii="Geomanist Light" w:hAnsi="Geomanist Light" w:cs="Arial"/>
          <w:sz w:val="22"/>
        </w:rPr>
      </w:pPr>
      <w:bookmarkStart w:id="5" w:name="_Hlk54011438"/>
      <w:r w:rsidRPr="00A026E5">
        <w:rPr>
          <w:rFonts w:ascii="Geomanist Light" w:hAnsi="Geomanist Light" w:cs="Arial"/>
          <w:sz w:val="22"/>
        </w:rPr>
        <w:t xml:space="preserve">De lo explicado se desprende que los estudios y documentos previos son necesarios antes de la celebración del contrato, pues fundamentan las condiciones que la entidad estatal exige en su proceso de contratación. Sin embargo, luego de la suscripción del </w:t>
      </w:r>
      <w:r w:rsidRPr="00A026E5">
        <w:rPr>
          <w:rFonts w:ascii="Geomanist Light" w:hAnsi="Geomanist Light" w:cs="Arial"/>
          <w:sz w:val="22"/>
        </w:rPr>
        <w:lastRenderedPageBreak/>
        <w:t>contrato la entidad no debe actuar unilateralmente, sino que debe respetar la buena fe contractual y proceder de acuerdo con lo pactado</w:t>
      </w:r>
      <w:bookmarkEnd w:id="5"/>
      <w:r w:rsidRPr="00A026E5">
        <w:rPr>
          <w:rFonts w:ascii="Geomanist Light" w:hAnsi="Geomanist Light" w:cs="Arial"/>
          <w:sz w:val="22"/>
          <w:vertAlign w:val="superscript"/>
        </w:rPr>
        <w:footnoteReference w:id="4"/>
      </w:r>
      <w:r w:rsidRPr="00A026E5">
        <w:rPr>
          <w:rFonts w:ascii="Geomanist Light" w:hAnsi="Geomanist Light" w:cs="Arial"/>
          <w:sz w:val="22"/>
        </w:rPr>
        <w:t>.</w:t>
      </w:r>
    </w:p>
    <w:p w14:paraId="45B656C6" w14:textId="77777777" w:rsidR="00A026E5" w:rsidRPr="00A026E5" w:rsidRDefault="00A026E5" w:rsidP="00A026E5">
      <w:pPr>
        <w:ind w:right="104" w:firstLine="709"/>
        <w:rPr>
          <w:rFonts w:ascii="Geomanist Light" w:hAnsi="Geomanist Light" w:cs="Arial"/>
          <w:sz w:val="22"/>
        </w:rPr>
      </w:pPr>
      <w:r w:rsidRPr="00A026E5">
        <w:rPr>
          <w:rFonts w:ascii="Geomanist Light" w:hAnsi="Geomanist Light" w:cs="Arial"/>
          <w:sz w:val="22"/>
        </w:rPr>
        <w:t xml:space="preserve">El numeral 12 del artículo 25 de la Ley 80 de 1993, antes citado, establece el deber de las entidades de realizar estudios previos en dos momentos específicos: i) previo a la apertura de un proceso de selección y ii) previo a la firma del contrato en el caso en que la modalidad de selección sea contratación directa. </w:t>
      </w:r>
    </w:p>
    <w:p w14:paraId="7F2BBD8C" w14:textId="77777777" w:rsidR="00A026E5" w:rsidRPr="00A026E5" w:rsidRDefault="00A026E5" w:rsidP="00A026E5">
      <w:pPr>
        <w:ind w:firstLine="708"/>
        <w:rPr>
          <w:rFonts w:ascii="Geomanist Light" w:eastAsia="Calibri" w:hAnsi="Geomanist Light" w:cs="Arial"/>
          <w:bCs/>
          <w:sz w:val="22"/>
          <w:lang w:val="es-ES_tradnl"/>
        </w:rPr>
      </w:pPr>
      <w:r w:rsidRPr="00A026E5">
        <w:rPr>
          <w:rFonts w:ascii="Geomanist Light" w:hAnsi="Geomanist Light" w:cs="Arial"/>
          <w:sz w:val="22"/>
        </w:rPr>
        <w:t xml:space="preserve">Por otra parte, los numerales 2 y 4 del artículo 2.2.1.1.2.1.1 del Decreto 1082 de 2015 exigen que en los estudios previos se determine el objeto a contratar con sus especificaciones, y se señale el valor estimado del contrato y la justificación del mismo. </w:t>
      </w:r>
      <w:r w:rsidRPr="00A026E5">
        <w:rPr>
          <w:rFonts w:ascii="Geomanist Light" w:eastAsia="Calibri" w:hAnsi="Geomanist Light" w:cs="Arial"/>
          <w:bCs/>
          <w:sz w:val="22"/>
          <w:lang w:val="es-ES_tradnl"/>
        </w:rPr>
        <w:t xml:space="preserve">Para cumplir este objetivo es necesario el análisis del sector económico y de los oferentes, actividad de planeación previa que sirve para identificar aspectos concretos del mercado que pueden afectar el proceso de selección o las condiciones del negocio a realizar mediante el proceso de contratación de bienes, obras o servicios. En este sentido, el artículo </w:t>
      </w:r>
      <w:bookmarkStart w:id="6" w:name="_Hlk36117416"/>
      <w:r w:rsidRPr="00A026E5">
        <w:rPr>
          <w:rFonts w:ascii="Geomanist Light" w:eastAsia="Calibri" w:hAnsi="Geomanist Light" w:cs="Arial"/>
          <w:bCs/>
          <w:sz w:val="22"/>
          <w:lang w:val="es-ES_tradnl"/>
        </w:rPr>
        <w:t>2.2.1.1.1.6.1 del Decreto 1082 de 2015</w:t>
      </w:r>
      <w:bookmarkEnd w:id="6"/>
      <w:r w:rsidRPr="00A026E5">
        <w:rPr>
          <w:rFonts w:ascii="Geomanist Light" w:eastAsia="Calibri" w:hAnsi="Geomanist Light" w:cs="Arial"/>
          <w:bCs/>
          <w:sz w:val="22"/>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4C13AFFA" w14:textId="77777777" w:rsidR="00A026E5" w:rsidRPr="00A026E5" w:rsidRDefault="00A026E5" w:rsidP="00A026E5">
      <w:pPr>
        <w:ind w:firstLine="709"/>
        <w:rPr>
          <w:rFonts w:ascii="Geomanist Light" w:eastAsia="Calibri" w:hAnsi="Geomanist Light" w:cs="Arial"/>
          <w:bCs/>
          <w:sz w:val="22"/>
          <w:lang w:val="es-ES_tradnl"/>
        </w:rPr>
      </w:pPr>
      <w:r w:rsidRPr="00A026E5">
        <w:rPr>
          <w:rFonts w:ascii="Geomanist Light" w:eastAsia="Calibri" w:hAnsi="Geomanist Light" w:cs="Arial"/>
          <w:bCs/>
          <w:sz w:val="22"/>
          <w:lang w:val="es-ES_tradnl"/>
        </w:rPr>
        <w:t xml:space="preserve">De acuerdo con la norma citada, </w:t>
      </w:r>
      <w:bookmarkStart w:id="7" w:name="_Hlk36140682"/>
      <w:r w:rsidRPr="00A026E5">
        <w:rPr>
          <w:rFonts w:ascii="Geomanist Light" w:eastAsia="Calibri" w:hAnsi="Geomanist Light" w:cs="Arial"/>
          <w:bCs/>
          <w:sz w:val="22"/>
          <w:lang w:val="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2A52D713" w14:textId="77777777" w:rsidR="00A026E5" w:rsidRPr="00A026E5" w:rsidRDefault="00A026E5" w:rsidP="00A026E5">
      <w:pPr>
        <w:ind w:firstLine="709"/>
        <w:rPr>
          <w:rFonts w:ascii="Geomanist Light" w:eastAsia="Calibri" w:hAnsi="Geomanist Light" w:cs="Arial"/>
          <w:bCs/>
          <w:sz w:val="22"/>
          <w:lang w:val="es-ES_tradnl"/>
        </w:rPr>
      </w:pPr>
      <w:r w:rsidRPr="00A026E5">
        <w:rPr>
          <w:rFonts w:ascii="Geomanist Light" w:eastAsia="Calibri" w:hAnsi="Geomanist Light" w:cs="Arial"/>
          <w:bCs/>
          <w:sz w:val="22"/>
          <w:lang w:val="es-ES_tradnl"/>
        </w:rPr>
        <w:lastRenderedPageBreak/>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4711B1CB" w14:textId="77777777" w:rsidR="00A026E5" w:rsidRPr="00A026E5" w:rsidRDefault="00A026E5" w:rsidP="00A026E5">
      <w:pPr>
        <w:ind w:firstLine="709"/>
        <w:rPr>
          <w:rFonts w:ascii="Geomanist Light" w:eastAsia="Calibri" w:hAnsi="Geomanist Light" w:cs="Arial"/>
          <w:bCs/>
          <w:sz w:val="22"/>
          <w:lang w:val="es-ES_tradnl"/>
        </w:rPr>
      </w:pPr>
      <w:r w:rsidRPr="00A026E5">
        <w:rPr>
          <w:rFonts w:ascii="Geomanist Light" w:eastAsia="Calibri" w:hAnsi="Geomanist Light" w:cs="Arial"/>
          <w:bCs/>
          <w:sz w:val="22"/>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De igual manera, podrá estudiar la demanda para determinar las entidades estatales y los particulares cómo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0CDE93F0" w14:textId="77777777" w:rsidR="00A026E5" w:rsidRPr="00A026E5" w:rsidRDefault="00A026E5" w:rsidP="00A026E5">
      <w:pPr>
        <w:ind w:firstLine="709"/>
        <w:rPr>
          <w:rFonts w:ascii="Geomanist Light" w:eastAsia="Calibri" w:hAnsi="Geomanist Light" w:cs="Arial"/>
          <w:bCs/>
          <w:sz w:val="22"/>
          <w:lang w:val="es-ES_tradnl"/>
        </w:rPr>
      </w:pPr>
      <w:r w:rsidRPr="00A026E5">
        <w:rPr>
          <w:rFonts w:ascii="Geomanist Light" w:eastAsia="Calibri" w:hAnsi="Geomanist Light" w:cs="Arial"/>
          <w:bCs/>
          <w:sz w:val="22"/>
          <w:lang w:val="es-ES_tradnl"/>
        </w:rPr>
        <w:t xml:space="preserve">Si bien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w:t>
      </w:r>
      <w:r w:rsidRPr="00A026E5">
        <w:rPr>
          <w:rFonts w:ascii="Geomanist Light" w:hAnsi="Geomanist Light" w:cs="Arial"/>
          <w:sz w:val="22"/>
          <w:lang w:eastAsia="es-CO"/>
        </w:rPr>
        <w:t xml:space="preserve">son autónomas para estructurarlo, para lo cual deberán cumplir lo dispuesto en el artículo </w:t>
      </w:r>
      <w:r w:rsidRPr="00A026E5">
        <w:rPr>
          <w:rFonts w:ascii="Geomanist Light" w:eastAsia="Calibri" w:hAnsi="Geomanist Light" w:cs="Arial"/>
          <w:bCs/>
          <w:sz w:val="22"/>
          <w:lang w:val="es-ES_tradnl"/>
        </w:rPr>
        <w:t xml:space="preserve">2.2.1.1.1.6.1 del Decreto 1082 de 2015 y realizar un análisis integral de planeación que </w:t>
      </w:r>
      <w:r w:rsidRPr="00A026E5">
        <w:rPr>
          <w:rFonts w:ascii="Geomanist Light" w:hAnsi="Geomanist Light" w:cs="Arial"/>
          <w:sz w:val="22"/>
        </w:rPr>
        <w:t xml:space="preserve">sirva de sustento a la decisión de </w:t>
      </w:r>
      <w:r w:rsidRPr="00A026E5">
        <w:rPr>
          <w:rFonts w:ascii="Geomanist Light" w:hAnsi="Geomanist Light" w:cs="Arial"/>
          <w:bCs/>
          <w:sz w:val="22"/>
          <w:lang w:val="es-ES_tradnl"/>
        </w:rPr>
        <w:t>realizar un proceso de contratación.</w:t>
      </w:r>
    </w:p>
    <w:bookmarkEnd w:id="7"/>
    <w:p w14:paraId="51DE13D6" w14:textId="77777777" w:rsidR="00A026E5" w:rsidRPr="00A026E5" w:rsidRDefault="00A026E5" w:rsidP="00A026E5">
      <w:pPr>
        <w:ind w:firstLine="709"/>
        <w:rPr>
          <w:rFonts w:ascii="Geomanist Light" w:eastAsia="Calibri" w:hAnsi="Geomanist Light" w:cs="Arial"/>
          <w:bCs/>
          <w:sz w:val="22"/>
          <w:lang w:val="es-ES"/>
        </w:rPr>
      </w:pPr>
      <w:r w:rsidRPr="00A026E5">
        <w:rPr>
          <w:rFonts w:ascii="Geomanist Light" w:eastAsia="Calibri" w:hAnsi="Geomanist Light" w:cs="Arial"/>
          <w:bCs/>
          <w:sz w:val="22"/>
          <w:lang w:val="es-ES_tradnl"/>
        </w:rPr>
        <w:t>La Agencia Nacional de Contratación Pública - Colombia Compra Eficiente dispone de la «Guía de Elaboración del Estudio del Sector», recientemente actualizada, instrumento que sirve de apoyo para entender el mercado del bien, obra o servicio que la entidad estatal pretende adquirir y diseñar el proceso de contratación con la información necesaria para alcanzar los objetivos de eficacia, eficiencia, economía, promoción de la competencia y manejo del riesgo</w:t>
      </w:r>
      <w:r w:rsidRPr="00A026E5">
        <w:rPr>
          <w:rStyle w:val="Refdenotaalpie"/>
          <w:rFonts w:ascii="Geomanist Light" w:eastAsia="Calibri" w:hAnsi="Geomanist Light" w:cs="Arial"/>
          <w:bCs/>
          <w:sz w:val="22"/>
          <w:lang w:val="es-ES_tradnl"/>
        </w:rPr>
        <w:footnoteReference w:id="5"/>
      </w:r>
      <w:r w:rsidRPr="00A026E5">
        <w:rPr>
          <w:rFonts w:ascii="Geomanist Light" w:eastAsia="Calibri" w:hAnsi="Geomanist Light" w:cs="Arial"/>
          <w:bCs/>
          <w:sz w:val="22"/>
          <w:lang w:val="es-ES_tradnl"/>
        </w:rPr>
        <w:t xml:space="preserve">. Esta Guía es un insumo para realizar el estudio del sector relativo al Proceso de Contratación, ya que comprende pautas sobre los aspectos generales del mercado, el análisis de la demanda y de la oferta y constituye un instrumento de orientación, </w:t>
      </w:r>
      <w:r w:rsidRPr="00A026E5">
        <w:rPr>
          <w:rFonts w:ascii="Geomanist Light" w:eastAsia="Calibri" w:hAnsi="Geomanist Light" w:cs="Arial"/>
          <w:bCs/>
          <w:sz w:val="22"/>
          <w:lang w:val="es-ES_tradnl"/>
        </w:rPr>
        <w:lastRenderedPageBreak/>
        <w:t>por lo que –al carecer de fuerza vinculante– su aplicación no exime a las entidades de acatar las normas vigentes. De este modo, la Guía contiene</w:t>
      </w:r>
      <w:r w:rsidRPr="00A026E5">
        <w:rPr>
          <w:rFonts w:ascii="Geomanist Light" w:eastAsia="Calibri" w:hAnsi="Geomanist Light" w:cs="Arial"/>
          <w:bCs/>
          <w:sz w:val="22"/>
          <w:lang w:val="es-ES"/>
        </w:rPr>
        <w:t xml:space="preserve"> recomendaciones generales por lo que no debe aplicarse de manera mecánica, pues la profundidad del estudio del sector depende de la complejidad y particularidades de cada Proceso de Contratación. </w:t>
      </w:r>
    </w:p>
    <w:p w14:paraId="4FABD4AE" w14:textId="77777777" w:rsidR="00A026E5" w:rsidRPr="00A026E5" w:rsidRDefault="00A026E5" w:rsidP="00A026E5">
      <w:pPr>
        <w:ind w:firstLine="709"/>
        <w:rPr>
          <w:rFonts w:ascii="Geomanist Light" w:eastAsia="Calibri" w:hAnsi="Geomanist Light" w:cs="Arial"/>
          <w:bCs/>
          <w:sz w:val="22"/>
          <w:lang w:val="es-ES_tradnl"/>
        </w:rPr>
      </w:pPr>
      <w:r w:rsidRPr="00A026E5">
        <w:rPr>
          <w:rFonts w:ascii="Geomanist Light" w:eastAsia="Calibri" w:hAnsi="Geomanist Light" w:cs="Arial"/>
          <w:bCs/>
          <w:sz w:val="22"/>
          <w:lang w:val="es-ES_tradnl"/>
        </w:rPr>
        <w:t>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0E0AEC2F" w14:textId="77777777" w:rsidR="00A026E5" w:rsidRPr="00A026E5" w:rsidRDefault="00A026E5" w:rsidP="00A026E5">
      <w:pPr>
        <w:ind w:firstLine="709"/>
        <w:rPr>
          <w:rFonts w:ascii="Geomanist Light" w:eastAsia="Calibri" w:hAnsi="Geomanist Light" w:cs="Arial"/>
          <w:bCs/>
          <w:sz w:val="22"/>
          <w:lang w:val="es-ES_tradnl"/>
        </w:rPr>
      </w:pPr>
      <w:r w:rsidRPr="00A026E5">
        <w:rPr>
          <w:rFonts w:ascii="Geomanist Light" w:eastAsia="Calibri" w:hAnsi="Geomanist Light" w:cs="Arial"/>
          <w:bCs/>
          <w:sz w:val="22"/>
          <w:lang w:val="es-ES_tradnl"/>
        </w:rPr>
        <w:t xml:space="preserve">Así mismo, en la Guía se indica que como parte de la estructura del estudio del sector se debe realizar un análisis del comportamiento del gasto histórico, el estudio de la oferta y el estudio del mercado. En </w:t>
      </w:r>
      <w:r w:rsidRPr="00A026E5">
        <w:rPr>
          <w:rFonts w:ascii="Geomanist Light" w:eastAsia="Calibri" w:hAnsi="Geomanist Light" w:cs="Arial"/>
          <w:bCs/>
          <w:sz w:val="22"/>
          <w:lang w:val="es-ES"/>
        </w:rPr>
        <w:t xml:space="preserve">el marco del comportamiento del gasto histórico se recomienda que la entidad analice el comportamiento de sus adquisiciones anteriores del bien, obra o servicio teniendo en cuenta distintas variables como la modalidad de selección, el objeto del contrato, el presupuesto, entre otros. También es importante que se analice la forma en la cual otras entidades o particulares han adquirido bienes y servicios iguales o comparables similares mediante plataformas de información como datos abiertos o las herramientas de visualización </w:t>
      </w:r>
      <w:r w:rsidRPr="00A026E5">
        <w:rPr>
          <w:rFonts w:ascii="Geomanist Light" w:eastAsia="Arial MT" w:hAnsi="Geomanist Light" w:cs="Arial"/>
          <w:sz w:val="22"/>
          <w:lang w:val="es-ES"/>
        </w:rPr>
        <w:t>desarrolladas por esta Agencia en el marco del modelo de abastecimiento estratégico</w:t>
      </w:r>
      <w:r w:rsidRPr="00A026E5">
        <w:rPr>
          <w:rStyle w:val="Refdenotaalpie"/>
          <w:rFonts w:ascii="Geomanist Light" w:eastAsia="Arial MT" w:hAnsi="Geomanist Light" w:cs="Arial"/>
          <w:sz w:val="22"/>
          <w:lang w:val="es-ES"/>
        </w:rPr>
        <w:footnoteReference w:id="6"/>
      </w:r>
      <w:r w:rsidRPr="00A026E5">
        <w:rPr>
          <w:rFonts w:ascii="Geomanist Light" w:eastAsia="Arial MT" w:hAnsi="Geomanist Light" w:cs="Arial"/>
          <w:sz w:val="22"/>
          <w:lang w:val="es-ES"/>
        </w:rPr>
        <w:t xml:space="preserve">. </w:t>
      </w:r>
    </w:p>
    <w:p w14:paraId="4ADD6C6B" w14:textId="77777777" w:rsidR="00241E8D" w:rsidRDefault="00A026E5" w:rsidP="00A026E5">
      <w:pPr>
        <w:ind w:firstLine="709"/>
        <w:rPr>
          <w:rFonts w:ascii="Geomanist Light" w:eastAsia="Calibri" w:hAnsi="Geomanist Light" w:cs="Arial"/>
          <w:color w:val="000000" w:themeColor="text1"/>
          <w:sz w:val="22"/>
          <w:lang w:val="es-ES"/>
        </w:rPr>
      </w:pPr>
      <w:r w:rsidRPr="00A026E5">
        <w:rPr>
          <w:rFonts w:ascii="Geomanist Light" w:eastAsia="Calibri" w:hAnsi="Geomanist Light" w:cs="Arial"/>
          <w:color w:val="000000" w:themeColor="text1"/>
          <w:sz w:val="22"/>
          <w:lang w:val="es-ES"/>
        </w:rPr>
        <w:t xml:space="preserve">Por su parte, según la Guía, el </w:t>
      </w:r>
      <w:r w:rsidRPr="00A026E5">
        <w:rPr>
          <w:rFonts w:ascii="Geomanist Light" w:eastAsia="Calibri" w:hAnsi="Geomanist Light" w:cs="Arial"/>
          <w:i/>
          <w:iCs/>
          <w:color w:val="000000" w:themeColor="text1"/>
          <w:sz w:val="22"/>
          <w:lang w:val="es-ES"/>
        </w:rPr>
        <w:t>estudio de la oferta</w:t>
      </w:r>
      <w:r w:rsidRPr="00A026E5">
        <w:rPr>
          <w:rFonts w:ascii="Geomanist Light" w:eastAsia="Calibri" w:hAnsi="Geomanist Light" w:cs="Arial"/>
          <w:color w:val="000000" w:themeColor="text1"/>
          <w:sz w:val="22"/>
          <w:lang w:val="es-ES"/>
        </w:rPr>
        <w:t xml:space="preserve"> tiene como objetivo </w:t>
      </w:r>
      <w:r w:rsidRPr="00A026E5">
        <w:rPr>
          <w:rFonts w:ascii="Geomanist Light" w:eastAsia="Calibri" w:hAnsi="Geomanist Light" w:cs="Arial"/>
          <w:color w:val="000000" w:themeColor="text1"/>
          <w:sz w:val="22"/>
        </w:rPr>
        <w:t>identificar las opciones de suministro para las categorías de compra definidas, y los posibles proveedores que pueden suministrar los bienes, obras o servicios que requiere para satisfacer su necesidad</w:t>
      </w:r>
      <w:r w:rsidRPr="00A026E5">
        <w:rPr>
          <w:rFonts w:ascii="Geomanist Light" w:eastAsia="Calibri" w:hAnsi="Geomanist Light" w:cs="Arial"/>
          <w:color w:val="000000" w:themeColor="text1"/>
          <w:sz w:val="22"/>
          <w:lang w:val="es-ES"/>
        </w:rPr>
        <w:t xml:space="preserve">. En esta actividad las entidades estatales deben realizar un estudio de la oferta, que responda, entre otras, las siguientes preguntas: i) «¿Cuál es la dinámica de producción, distribución y entrega de bienes, obras o servicios?» –teniendo en cuenta elementos como la producción, la distribución, transporte etc.– y ii) «¿A quién se va a comprar?». En relación con la primera pregunta, la Guía señala que «para la Entidad Estatal es importante conocer, entre otras, el proceso de producción, distribución y entrega de los bienes o servicios que pretende adquirir, así como los costos asociados a tales procesos, cuáles son las formas de distribución y entrega de los bienes o suministros del servicio, y demás criterios que apliquen». </w:t>
      </w:r>
      <w:r w:rsidRPr="00A026E5">
        <w:rPr>
          <w:rFonts w:ascii="Geomanist Light" w:eastAsia="Calibri" w:hAnsi="Geomanist Light" w:cs="Arial"/>
          <w:color w:val="000000" w:themeColor="text1"/>
          <w:sz w:val="22"/>
          <w:lang w:val="es-ES"/>
        </w:rPr>
        <w:lastRenderedPageBreak/>
        <w:t>Para estos efectos, se recomienda a la entidad diseñar e implementar escenarios y procedimientos de consulta de información abiertos e incluyentes con el mercado, en los cuales se defina qué información, cuándo, por qué medio y a quienes se solicitará.</w:t>
      </w:r>
      <w:bookmarkStart w:id="8" w:name="_Hlk78204338"/>
      <w:r w:rsidRPr="00A026E5">
        <w:rPr>
          <w:rFonts w:ascii="Geomanist Light" w:eastAsia="Calibri" w:hAnsi="Geomanist Light" w:cs="Arial"/>
          <w:color w:val="000000" w:themeColor="text1"/>
          <w:sz w:val="22"/>
          <w:lang w:val="es-ES"/>
        </w:rPr>
        <w:t xml:space="preserve"> </w:t>
      </w:r>
    </w:p>
    <w:p w14:paraId="541379CD" w14:textId="3306D80D" w:rsidR="00A026E5" w:rsidRPr="00A026E5" w:rsidRDefault="000E2EE6" w:rsidP="00A026E5">
      <w:pPr>
        <w:ind w:firstLine="709"/>
        <w:rPr>
          <w:rFonts w:ascii="Geomanist Light" w:eastAsia="Calibri" w:hAnsi="Geomanist Light" w:cs="Arial"/>
          <w:color w:val="000000" w:themeColor="text1"/>
          <w:sz w:val="22"/>
          <w:lang w:val="es-ES"/>
        </w:rPr>
      </w:pPr>
      <w:r>
        <w:rPr>
          <w:rFonts w:ascii="Geomanist Light" w:eastAsia="Calibri" w:hAnsi="Geomanist Light" w:cs="Arial"/>
          <w:color w:val="000000" w:themeColor="text1"/>
          <w:sz w:val="22"/>
          <w:lang w:val="es-ES"/>
        </w:rPr>
        <w:t>L</w:t>
      </w:r>
      <w:r w:rsidR="00A026E5" w:rsidRPr="00A026E5">
        <w:rPr>
          <w:rFonts w:ascii="Geomanist Light" w:eastAsia="Calibri" w:hAnsi="Geomanist Light" w:cs="Arial"/>
          <w:color w:val="000000" w:themeColor="text1"/>
          <w:sz w:val="22"/>
          <w:lang w:val="es-ES"/>
        </w:rPr>
        <w:t>a Guía</w:t>
      </w:r>
      <w:r w:rsidR="00A026E5" w:rsidRPr="00A026E5">
        <w:rPr>
          <w:rFonts w:ascii="Geomanist Light" w:eastAsia="Calibri" w:hAnsi="Geomanist Light" w:cs="Arial"/>
          <w:color w:val="000000" w:themeColor="text1"/>
          <w:sz w:val="22"/>
        </w:rPr>
        <w:t xml:space="preserve"> indica que </w:t>
      </w:r>
      <w:r w:rsidR="00A026E5" w:rsidRPr="00A026E5">
        <w:rPr>
          <w:rFonts w:ascii="Geomanist Light" w:eastAsia="Calibri" w:hAnsi="Geomanist Light" w:cs="Arial"/>
          <w:color w:val="000000" w:themeColor="text1"/>
          <w:sz w:val="22"/>
          <w:lang w:val="es-ES"/>
        </w:rPr>
        <w:t>«la Entidad Estatal debe identificar los proveedores en el mercado del bien o servicio, así como sus principales características como tamaño empresarial, ubicación, esquemas de producción y comportamiento financiero»</w:t>
      </w:r>
      <w:r w:rsidR="00A026E5" w:rsidRPr="00A026E5">
        <w:rPr>
          <w:rFonts w:ascii="Geomanist Light" w:eastAsia="Calibri" w:hAnsi="Geomanist Light" w:cs="Arial"/>
          <w:color w:val="000000" w:themeColor="text1"/>
          <w:sz w:val="22"/>
        </w:rPr>
        <w:t>.</w:t>
      </w:r>
      <w:bookmarkEnd w:id="8"/>
      <w:r w:rsidR="00A026E5" w:rsidRPr="00A026E5">
        <w:rPr>
          <w:rFonts w:ascii="Geomanist Light" w:eastAsia="Calibri" w:hAnsi="Geomanist Light" w:cs="Arial"/>
          <w:color w:val="000000" w:themeColor="text1"/>
          <w:sz w:val="22"/>
        </w:rPr>
        <w:t xml:space="preserve"> Para la identificación de los proveedores se propone analizar el listado de los proveedores que participaron en los procesos de contratación iguales o similares que haya realizado la entidad y los que hayan realizado otras entidades con objetos comparables.</w:t>
      </w:r>
    </w:p>
    <w:p w14:paraId="0A348631" w14:textId="77777777" w:rsidR="00A026E5" w:rsidRPr="00A026E5" w:rsidRDefault="00A026E5" w:rsidP="00A026E5">
      <w:pPr>
        <w:ind w:firstLine="709"/>
        <w:rPr>
          <w:rFonts w:ascii="Geomanist Light" w:eastAsia="Calibri" w:hAnsi="Geomanist Light" w:cs="Arial"/>
          <w:color w:val="000000" w:themeColor="text1"/>
          <w:sz w:val="22"/>
          <w:lang w:val="es-ES"/>
        </w:rPr>
      </w:pPr>
      <w:r w:rsidRPr="00A026E5">
        <w:rPr>
          <w:rFonts w:ascii="Geomanist Light" w:eastAsia="Calibri" w:hAnsi="Geomanist Light" w:cs="Arial"/>
          <w:color w:val="000000" w:themeColor="text1"/>
          <w:sz w:val="22"/>
          <w:lang w:val="es-ES"/>
        </w:rPr>
        <w:t xml:space="preserve">Por último, el estudio del mercado permite comprender la dinámica de los precios y establecer el presupuesto oficial de la contratación, el cual comprende la realización de un análisis de los diferentes precios de los bienes o servicios a contratar que se registran en el mercado, los cuales pueden consultarse a través de mecanismos como la solicitud de cotizaciones, la consulta de bases de datos especializadas y el análisis de precios históricos. Este estudio de mercado debe responder claramente cuáles son las dinámicas de precio y, de esta manera, establecer el presupuesto oficial del proceso de contratación. </w:t>
      </w:r>
    </w:p>
    <w:p w14:paraId="1C0CBBAD" w14:textId="5453E0A3" w:rsidR="00A026E5" w:rsidRPr="00A026E5" w:rsidRDefault="00A026E5" w:rsidP="00A026E5">
      <w:pPr>
        <w:ind w:firstLine="709"/>
        <w:rPr>
          <w:rFonts w:ascii="Geomanist Light" w:eastAsia="Calibri" w:hAnsi="Geomanist Light" w:cs="Arial"/>
          <w:color w:val="000000" w:themeColor="text1"/>
          <w:sz w:val="22"/>
          <w:lang w:val="es-ES"/>
        </w:rPr>
      </w:pPr>
      <w:r w:rsidRPr="00A026E5">
        <w:rPr>
          <w:rFonts w:ascii="Geomanist Light" w:eastAsia="Calibri" w:hAnsi="Geomanist Light" w:cs="Arial"/>
          <w:color w:val="000000" w:themeColor="text1"/>
          <w:sz w:val="22"/>
          <w:lang w:val="es-ES"/>
        </w:rPr>
        <w:t>En relación con la revisión de precios por solicitud de cotizaciones, la Guía recomienda requerir a los potenciales proveedores de los bienes o servicios para que remitan la información necesaria para determinar, entre otros aspectos, el valor del servicio o del bien correspondiente. Para estos efectos, se sugiere incluir en la comunicación toda aquella información pertinente del contrato a ejecutar que permita a los potenciales proveedores estructurar una cotización integral y ajustada a las necesidades de la entidad, como, por ejemplo, especificaciones técnicas del bien o servicio a contratar, plazo del contrato, así como toda aquella información relevante que incida en el precio del bien o servicio. As</w:t>
      </w:r>
      <w:r w:rsidR="00ED2991">
        <w:rPr>
          <w:rFonts w:ascii="Geomanist Light" w:eastAsia="Calibri" w:hAnsi="Geomanist Light" w:cs="Arial"/>
          <w:color w:val="000000" w:themeColor="text1"/>
          <w:sz w:val="22"/>
          <w:lang w:val="es-ES"/>
        </w:rPr>
        <w:t xml:space="preserve">í </w:t>
      </w:r>
      <w:r w:rsidRPr="00A026E5">
        <w:rPr>
          <w:rFonts w:ascii="Geomanist Light" w:eastAsia="Calibri" w:hAnsi="Geomanist Light" w:cs="Arial"/>
          <w:color w:val="000000" w:themeColor="text1"/>
          <w:sz w:val="22"/>
          <w:lang w:val="es-ES"/>
        </w:rPr>
        <w:t xml:space="preserve">mismo, se indica </w:t>
      </w:r>
      <w:r w:rsidR="00111892" w:rsidRPr="00A026E5">
        <w:rPr>
          <w:rFonts w:ascii="Geomanist Light" w:eastAsia="Calibri" w:hAnsi="Geomanist Light" w:cs="Arial"/>
          <w:color w:val="000000" w:themeColor="text1"/>
          <w:sz w:val="22"/>
          <w:lang w:val="es-ES"/>
        </w:rPr>
        <w:t>que,</w:t>
      </w:r>
      <w:r w:rsidRPr="00A026E5">
        <w:rPr>
          <w:rFonts w:ascii="Geomanist Light" w:eastAsia="Calibri" w:hAnsi="Geomanist Light" w:cs="Arial"/>
          <w:color w:val="000000" w:themeColor="text1"/>
          <w:sz w:val="22"/>
          <w:lang w:val="es-ES"/>
        </w:rPr>
        <w:t xml:space="preserve"> al recibir las cotizaciones, debe verificarse la ocurrencia de circunstancias que eventualmente pueden distorsionar los precios del mercado, como ofertas especiales de almacenes de cadena, fenómenos de escasez o abundancia del producto, entre otros aspectos. </w:t>
      </w:r>
    </w:p>
    <w:p w14:paraId="2F88A654" w14:textId="77777777" w:rsidR="00A026E5" w:rsidRPr="00A026E5" w:rsidRDefault="00A026E5" w:rsidP="00A026E5">
      <w:pPr>
        <w:ind w:firstLine="709"/>
        <w:rPr>
          <w:rFonts w:ascii="Geomanist Light" w:eastAsia="Calibri" w:hAnsi="Geomanist Light" w:cs="Arial"/>
          <w:bCs/>
          <w:sz w:val="22"/>
          <w:lang w:val="es-ES_tradnl"/>
        </w:rPr>
      </w:pPr>
      <w:r w:rsidRPr="00A026E5">
        <w:rPr>
          <w:rFonts w:ascii="Geomanist Light" w:eastAsia="Calibri" w:hAnsi="Geomanist Light" w:cs="Arial"/>
          <w:color w:val="000000" w:themeColor="text1"/>
          <w:sz w:val="22"/>
          <w:lang w:val="es-ES"/>
        </w:rPr>
        <w:t xml:space="preserve">Al respecto, es pertinente precisar que los mecanismos señalados para realizar el estudio del mercado no están determinados por la ley o el reglamento, por lo que no existen lineamientos obligatorios para su estructuración. De esta manera, </w:t>
      </w:r>
      <w:r w:rsidRPr="00A026E5">
        <w:rPr>
          <w:rFonts w:ascii="Geomanist Light" w:eastAsia="Calibri" w:hAnsi="Geomanist Light" w:cs="Arial"/>
          <w:bCs/>
          <w:sz w:val="22"/>
          <w:lang w:val="es-ES_tradnl"/>
        </w:rPr>
        <w:t xml:space="preserve">las entidades </w:t>
      </w:r>
      <w:r w:rsidRPr="00A026E5">
        <w:rPr>
          <w:rFonts w:ascii="Geomanist Light" w:hAnsi="Geomanist Light" w:cs="Arial"/>
          <w:sz w:val="22"/>
          <w:lang w:eastAsia="es-CO"/>
        </w:rPr>
        <w:t xml:space="preserve">son autónomas para establecer la forma en la cual se recopilará la información que sustente el análisis del sector, así como lo referente a la solicitud de cotizaciones. Como se mencionó, la </w:t>
      </w:r>
      <w:r w:rsidRPr="00A026E5">
        <w:rPr>
          <w:rFonts w:ascii="Geomanist Light" w:eastAsia="Calibri" w:hAnsi="Geomanist Light" w:cs="Arial"/>
          <w:bCs/>
          <w:sz w:val="22"/>
          <w:lang w:val="es-ES_tradnl"/>
        </w:rPr>
        <w:t xml:space="preserve">«Guía de Elaboración del Estudio del Sector» desarrolla recomendaciones y buenas prácticas </w:t>
      </w:r>
      <w:r w:rsidRPr="00A026E5">
        <w:rPr>
          <w:rFonts w:ascii="Geomanist Light" w:eastAsia="Calibri" w:hAnsi="Geomanist Light" w:cs="Arial"/>
          <w:bCs/>
          <w:sz w:val="22"/>
          <w:lang w:val="es-ES_tradnl"/>
        </w:rPr>
        <w:lastRenderedPageBreak/>
        <w:t xml:space="preserve">que servirán a las entidades para entender el mercado del bien, obra o servicio que pretende adquirir, pero no es un instrumento vinculante para la entidad. </w:t>
      </w:r>
    </w:p>
    <w:p w14:paraId="2861AD1F" w14:textId="77777777" w:rsidR="00A026E5" w:rsidRPr="00A026E5" w:rsidRDefault="00A026E5" w:rsidP="00A026E5">
      <w:pPr>
        <w:pStyle w:val="paragraph"/>
        <w:spacing w:before="0" w:beforeAutospacing="0" w:after="200" w:afterAutospacing="0" w:line="276" w:lineRule="auto"/>
        <w:ind w:firstLine="705"/>
        <w:jc w:val="both"/>
        <w:textAlignment w:val="baseline"/>
        <w:rPr>
          <w:rFonts w:ascii="Geomanist Light" w:hAnsi="Geomanist Light" w:cs="Segoe UI"/>
          <w:sz w:val="18"/>
          <w:szCs w:val="18"/>
        </w:rPr>
      </w:pPr>
      <w:r w:rsidRPr="00A026E5">
        <w:rPr>
          <w:rStyle w:val="normaltextrun"/>
          <w:rFonts w:ascii="Geomanist Light" w:hAnsi="Geomanist Light" w:cs="Arial"/>
          <w:sz w:val="22"/>
          <w:szCs w:val="22"/>
          <w:lang w:val="es-ES"/>
        </w:rPr>
        <w:t>El Consejo de Estado, se pronunció sobre la relación existente entre el estudio del sector y la estimación del valor del contrato, indicando que se deben tener en cuenta las diferentes variables del mercado como los costos de la cadena de producción. Pero, con independencia de esto, la entidad debe obtener el menor precio o uno razonable. En todo caso, el valor debe estar justificado para que no corresponda a sobrecostos ni a precios artificialmente bajos, y que con ello la entidad pague un valor adecuado. Esto se logra con el estudio del mercado y sus costos, el cual debe estar a disposición de los participantes del procedimiento contractual</w:t>
      </w:r>
      <w:r w:rsidRPr="00A026E5">
        <w:rPr>
          <w:rStyle w:val="Refdenotaalpie"/>
          <w:rFonts w:ascii="Geomanist Light" w:hAnsi="Geomanist Light" w:cs="Arial"/>
          <w:sz w:val="22"/>
          <w:szCs w:val="22"/>
          <w:lang w:val="es-ES"/>
        </w:rPr>
        <w:footnoteReference w:id="7"/>
      </w:r>
      <w:r w:rsidRPr="00A026E5">
        <w:rPr>
          <w:rStyle w:val="normaltextrun"/>
          <w:rFonts w:ascii="Geomanist Light" w:hAnsi="Geomanist Light" w:cs="Arial"/>
          <w:sz w:val="22"/>
          <w:szCs w:val="22"/>
          <w:lang w:val="es-ES"/>
        </w:rPr>
        <w:t>.</w:t>
      </w:r>
    </w:p>
    <w:p w14:paraId="463B587A" w14:textId="77777777" w:rsidR="00A026E5" w:rsidRPr="00A026E5" w:rsidRDefault="00A026E5" w:rsidP="00A026E5">
      <w:pPr>
        <w:pStyle w:val="paragraph"/>
        <w:spacing w:before="0" w:beforeAutospacing="0" w:after="200" w:afterAutospacing="0" w:line="276" w:lineRule="auto"/>
        <w:ind w:firstLine="705"/>
        <w:jc w:val="both"/>
        <w:textAlignment w:val="baseline"/>
        <w:rPr>
          <w:rFonts w:ascii="Geomanist Light" w:hAnsi="Geomanist Light" w:cs="Segoe UI"/>
          <w:sz w:val="18"/>
          <w:szCs w:val="18"/>
        </w:rPr>
      </w:pPr>
      <w:r w:rsidRPr="00A026E5">
        <w:rPr>
          <w:rStyle w:val="normaltextrun"/>
          <w:rFonts w:ascii="Geomanist Light" w:hAnsi="Geomanist Light" w:cs="Arial"/>
          <w:sz w:val="22"/>
          <w:szCs w:val="22"/>
          <w:lang w:val="es-ES"/>
        </w:rPr>
        <w:t>Así, previo al cumplimiento de las obligaciones de carácter presupuestal, la entidad deberá fijar el presupuesto oficial del proceso, para que los interesados en presentar una oferta no hagan ofrecimientos que superen el valor con el que cuenta la entidad para pagarle al contratista por el respectivo bien o servicio, no solo porque la entidad no cuente con recursos disponibles para cubrir esa diferencia, sino porque fue el valor que arrojó el estudio del mercado.</w:t>
      </w:r>
    </w:p>
    <w:p w14:paraId="6DBE0E78" w14:textId="77777777" w:rsidR="00A026E5" w:rsidRPr="00A026E5" w:rsidRDefault="00A026E5" w:rsidP="00A026E5">
      <w:pPr>
        <w:ind w:firstLine="709"/>
        <w:rPr>
          <w:rFonts w:ascii="Geomanist Light" w:hAnsi="Geomanist Light" w:cs="Arial"/>
          <w:bCs/>
          <w:sz w:val="22"/>
          <w:lang w:val="es-ES_tradnl"/>
        </w:rPr>
      </w:pPr>
      <w:r w:rsidRPr="00A026E5">
        <w:rPr>
          <w:rFonts w:ascii="Geomanist Light" w:eastAsia="Calibri" w:hAnsi="Geomanist Light" w:cs="Arial"/>
          <w:bCs/>
          <w:sz w:val="22"/>
          <w:lang w:val="es-ES_tradnl"/>
        </w:rPr>
        <w:t xml:space="preserve">En este contexto, el análisis del sector </w:t>
      </w:r>
      <w:r w:rsidRPr="00A026E5">
        <w:rPr>
          <w:rFonts w:ascii="Geomanist Light" w:hAnsi="Geomanist Light" w:cs="Arial"/>
          <w:bCs/>
          <w:sz w:val="22"/>
          <w:lang w:val="es-ES_tradnl"/>
        </w:rPr>
        <w:t xml:space="preserve">parte de un estudio desde una perspectiva multidisciplinaria, que implica los aspectos generales del mercado, el análisis de la demanda y de la oferta, así como el estudio del mercado que le permite a la entidad entender el mercado del bien, obra o servicio que pretenden adquirir, así como identificar los factores que inciden en el valor del contrato, tales como el análisis de precios, las cargas tributarias, la tasa de cambio, las garantías, los gastos de transporte, etc. Este análisis se </w:t>
      </w:r>
      <w:r w:rsidRPr="00A026E5">
        <w:rPr>
          <w:rStyle w:val="normaltextrun"/>
          <w:rFonts w:ascii="Geomanist Light" w:hAnsi="Geomanist Light" w:cs="Arial"/>
          <w:sz w:val="22"/>
          <w:lang w:val="es-ES"/>
        </w:rPr>
        <w:t xml:space="preserve">debe consignar en los </w:t>
      </w:r>
      <w:r w:rsidRPr="00A026E5">
        <w:rPr>
          <w:rStyle w:val="normaltextrun"/>
          <w:rFonts w:ascii="Geomanist Light" w:hAnsi="Geomanist Light" w:cs="Arial"/>
          <w:i/>
          <w:iCs/>
          <w:sz w:val="22"/>
          <w:lang w:val="es-ES"/>
        </w:rPr>
        <w:t>Documentos del Proceso</w:t>
      </w:r>
      <w:r w:rsidRPr="00A026E5">
        <w:rPr>
          <w:rStyle w:val="normaltextrun"/>
          <w:rFonts w:ascii="Geomanist Light" w:hAnsi="Geomanist Light" w:cs="Arial"/>
          <w:sz w:val="22"/>
          <w:lang w:val="es-ES"/>
        </w:rPr>
        <w:t xml:space="preserve">, bien sea en los estudios previos o en la información soporte de los mismos. </w:t>
      </w:r>
    </w:p>
    <w:p w14:paraId="2F3DFCBE" w14:textId="77777777" w:rsidR="00A026E5" w:rsidRPr="00A026E5" w:rsidRDefault="00A026E5" w:rsidP="00A026E5">
      <w:pPr>
        <w:ind w:firstLine="709"/>
        <w:rPr>
          <w:rFonts w:ascii="Geomanist Light" w:eastAsia="Calibri" w:hAnsi="Geomanist Light" w:cs="Arial"/>
          <w:bCs/>
          <w:sz w:val="22"/>
          <w:lang w:val="es-ES_tradnl"/>
        </w:rPr>
      </w:pPr>
      <w:r w:rsidRPr="00A026E5">
        <w:rPr>
          <w:rFonts w:ascii="Geomanist Light" w:eastAsia="Calibri" w:hAnsi="Geomanist Light" w:cs="Arial"/>
          <w:bCs/>
          <w:sz w:val="22"/>
          <w:lang w:val="es-ES_tradnl"/>
        </w:rPr>
        <w:t xml:space="preserve">Adicionalmente, vale anotar que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Estatal debe consignar en los Documentos del Proceso, bien sea en los estudios previos o en </w:t>
      </w:r>
      <w:r w:rsidRPr="00A026E5">
        <w:rPr>
          <w:rFonts w:ascii="Geomanist Light" w:eastAsia="Calibri" w:hAnsi="Geomanist Light" w:cs="Arial"/>
          <w:bCs/>
          <w:sz w:val="22"/>
          <w:lang w:val="es-ES_tradnl"/>
        </w:rPr>
        <w:lastRenderedPageBreak/>
        <w:t>la información de soporte de estos, los aspectos de que trata el artículo 2.2.1.1.1.6.1 del Decreto 1082 de 2015</w:t>
      </w:r>
      <w:r w:rsidRPr="00A026E5">
        <w:rPr>
          <w:rFonts w:ascii="Geomanist Light" w:hAnsi="Geomanist Light"/>
        </w:rPr>
        <w:t xml:space="preserve"> </w:t>
      </w:r>
      <w:r w:rsidRPr="00A026E5">
        <w:rPr>
          <w:rFonts w:ascii="Geomanist Light" w:eastAsia="Calibri" w:hAnsi="Geomanist Light" w:cs="Arial"/>
          <w:bCs/>
          <w:sz w:val="22"/>
          <w:lang w:val="es-ES_tradnl"/>
        </w:rPr>
        <w:t>esto es, el análisis desde la perspectiva legal, comercial, financiera, organizacional, técnica, y de análisis de riesgo».</w:t>
      </w:r>
    </w:p>
    <w:p w14:paraId="7815D545" w14:textId="77777777" w:rsidR="00A026E5" w:rsidRPr="00A026E5" w:rsidRDefault="00A026E5" w:rsidP="00A026E5">
      <w:pPr>
        <w:pStyle w:val="paragraph"/>
        <w:spacing w:before="0" w:beforeAutospacing="0" w:after="200" w:afterAutospacing="0" w:line="276" w:lineRule="auto"/>
        <w:ind w:firstLine="705"/>
        <w:jc w:val="both"/>
        <w:textAlignment w:val="baseline"/>
        <w:rPr>
          <w:rFonts w:ascii="Geomanist Light" w:hAnsi="Geomanist Light" w:cs="Segoe UI"/>
          <w:sz w:val="18"/>
          <w:szCs w:val="18"/>
        </w:rPr>
      </w:pPr>
      <w:r w:rsidRPr="00A026E5">
        <w:rPr>
          <w:rStyle w:val="normaltextrun"/>
          <w:rFonts w:ascii="Geomanist Light" w:hAnsi="Geomanist Light" w:cs="Arial"/>
          <w:sz w:val="22"/>
          <w:szCs w:val="22"/>
          <w:lang w:val="es-ES"/>
        </w:rPr>
        <w:t>De esta manera, en la contratación directa también deben existir unos estudios previos para fijar los criterios de escogencia del contratista. Dichos criterios tienen fundamento en el análisis del mercado, en el cual, aunque no es obligatorio, nada obsta para que la entidad identifique a varios proveedores en condiciones de cumplir el objeto del contrato.</w:t>
      </w:r>
      <w:r w:rsidRPr="00A026E5">
        <w:rPr>
          <w:rStyle w:val="eop"/>
          <w:rFonts w:ascii="Geomanist Light" w:hAnsi="Geomanist Light" w:cs="Arial"/>
          <w:sz w:val="22"/>
          <w:szCs w:val="22"/>
        </w:rPr>
        <w:t> </w:t>
      </w:r>
    </w:p>
    <w:p w14:paraId="2C97B706" w14:textId="78A3A682" w:rsidR="005E587A" w:rsidRPr="00A026E5" w:rsidRDefault="00A026E5" w:rsidP="00A026E5">
      <w:pPr>
        <w:ind w:firstLine="709"/>
        <w:rPr>
          <w:rFonts w:ascii="Geomanist Light" w:eastAsia="Calibri" w:hAnsi="Geomanist Light" w:cs="Arial"/>
          <w:sz w:val="22"/>
        </w:rPr>
      </w:pPr>
      <w:r w:rsidRPr="00A026E5">
        <w:rPr>
          <w:rFonts w:ascii="Geomanist Light" w:hAnsi="Geomanist Light" w:cs="Arial"/>
          <w:sz w:val="22"/>
        </w:rPr>
        <w:t xml:space="preserve">En conclusión, el análisis del sector debe ser visto desde una perspectiva funcional, como una labor enfocada a situar la adquisición de bienes y servicios por parte de entidades estatales dentro de las condiciones del mercado o del sector en el que serán adquiridos, el cual constituye una manifestación de los principios de planeación y economía. Dicha labor debe evidenciarse de manera palpable en los </w:t>
      </w:r>
      <w:r w:rsidRPr="00A026E5">
        <w:rPr>
          <w:rFonts w:ascii="Geomanist Light" w:hAnsi="Geomanist Light" w:cs="Arial"/>
          <w:i/>
          <w:iCs/>
          <w:sz w:val="22"/>
        </w:rPr>
        <w:t>Documentos del Proceso</w:t>
      </w:r>
      <w:r w:rsidRPr="00A026E5">
        <w:rPr>
          <w:rFonts w:ascii="Geomanist Light" w:hAnsi="Geomanist Light" w:cs="Arial"/>
          <w:sz w:val="22"/>
        </w:rPr>
        <w:t>, ya sea dentro de los estudios previos, como documento autónomo o dentro de alguno de los soportes del proceso de contratación, abarcando los campos legal, comercial, financiero, organizacional, técnico y de riesgos, de conformidad con el artículo 2.2.1.1.1.6.1 del Decreto 1082 del 2015.</w:t>
      </w:r>
    </w:p>
    <w:p w14:paraId="03D461D7" w14:textId="1DBB356E" w:rsidR="008D6B05" w:rsidRPr="00EC774D" w:rsidRDefault="005E587A" w:rsidP="00ED1C5C">
      <w:pPr>
        <w:spacing w:after="240"/>
        <w:rPr>
          <w:rFonts w:ascii="Geomanist Light" w:hAnsi="Geomanist Light" w:cs="Arial"/>
          <w:b/>
          <w:bCs/>
          <w:sz w:val="22"/>
        </w:rPr>
      </w:pPr>
      <w:r w:rsidRPr="005E587A">
        <w:rPr>
          <w:rFonts w:ascii="Geomanist Light" w:eastAsia="Calibri" w:hAnsi="Geomanist Light" w:cs="Arial"/>
          <w:b/>
          <w:bCs/>
          <w:sz w:val="22"/>
        </w:rPr>
        <w:t xml:space="preserve">2.2. </w:t>
      </w:r>
      <w:r w:rsidR="00EC774D" w:rsidRPr="00EC774D">
        <w:rPr>
          <w:rFonts w:ascii="Geomanist Light" w:hAnsi="Geomanist Light" w:cs="Arial"/>
          <w:b/>
          <w:bCs/>
          <w:sz w:val="22"/>
        </w:rPr>
        <w:t xml:space="preserve">Obligatoriedad </w:t>
      </w:r>
      <w:r w:rsidR="00EC774D">
        <w:rPr>
          <w:rFonts w:ascii="Geomanist Light" w:hAnsi="Geomanist Light" w:cs="Arial"/>
          <w:b/>
          <w:bCs/>
          <w:sz w:val="22"/>
        </w:rPr>
        <w:t>de las g</w:t>
      </w:r>
      <w:r w:rsidR="00EC774D" w:rsidRPr="00EC774D">
        <w:rPr>
          <w:rFonts w:ascii="Geomanist Light" w:hAnsi="Geomanist Light" w:cs="Arial"/>
          <w:b/>
          <w:bCs/>
          <w:sz w:val="22"/>
        </w:rPr>
        <w:t xml:space="preserve">uías </w:t>
      </w:r>
      <w:r w:rsidR="00EC774D">
        <w:rPr>
          <w:rFonts w:ascii="Geomanist Light" w:hAnsi="Geomanist Light" w:cs="Arial"/>
          <w:b/>
          <w:bCs/>
          <w:sz w:val="22"/>
        </w:rPr>
        <w:t>y</w:t>
      </w:r>
      <w:r w:rsidR="00EC774D" w:rsidRPr="00EC774D">
        <w:rPr>
          <w:rFonts w:ascii="Geomanist Light" w:hAnsi="Geomanist Light" w:cs="Arial"/>
          <w:b/>
          <w:bCs/>
          <w:sz w:val="22"/>
        </w:rPr>
        <w:t xml:space="preserve"> </w:t>
      </w:r>
      <w:r w:rsidR="00EC774D">
        <w:rPr>
          <w:rFonts w:ascii="Geomanist Light" w:hAnsi="Geomanist Light" w:cs="Arial"/>
          <w:b/>
          <w:bCs/>
          <w:sz w:val="22"/>
        </w:rPr>
        <w:t>m</w:t>
      </w:r>
      <w:r w:rsidR="00EC774D" w:rsidRPr="00EC774D">
        <w:rPr>
          <w:rFonts w:ascii="Geomanist Light" w:hAnsi="Geomanist Light" w:cs="Arial"/>
          <w:b/>
          <w:bCs/>
          <w:sz w:val="22"/>
        </w:rPr>
        <w:t xml:space="preserve">anuales </w:t>
      </w:r>
      <w:r w:rsidR="00EC774D">
        <w:rPr>
          <w:rFonts w:ascii="Geomanist Light" w:hAnsi="Geomanist Light" w:cs="Arial"/>
          <w:b/>
          <w:bCs/>
          <w:sz w:val="22"/>
        </w:rPr>
        <w:t xml:space="preserve">expedidos por la Agencia </w:t>
      </w:r>
      <w:r w:rsidR="00EC774D" w:rsidRPr="00EC774D">
        <w:rPr>
          <w:rFonts w:ascii="Geomanist Light" w:hAnsi="Geomanist Light" w:cs="Arial"/>
          <w:b/>
          <w:bCs/>
          <w:sz w:val="22"/>
        </w:rPr>
        <w:t xml:space="preserve">Nacional de Contratación Pública – Colombia Compra Eficiente </w:t>
      </w:r>
    </w:p>
    <w:p w14:paraId="679F2E7F" w14:textId="5437A086" w:rsidR="008D6B05" w:rsidRPr="008D6B05" w:rsidRDefault="00EC774D" w:rsidP="00EC774D">
      <w:pPr>
        <w:spacing w:after="120"/>
        <w:rPr>
          <w:rFonts w:ascii="Geomanist Light" w:hAnsi="Geomanist Light" w:cs="Arial"/>
          <w:sz w:val="22"/>
        </w:rPr>
      </w:pPr>
      <w:r>
        <w:rPr>
          <w:rFonts w:ascii="Geomanist Light" w:hAnsi="Geomanist Light" w:cs="Arial"/>
          <w:sz w:val="22"/>
        </w:rPr>
        <w:t>L</w:t>
      </w:r>
      <w:r w:rsidR="008D6B05" w:rsidRPr="008D6B05">
        <w:rPr>
          <w:rFonts w:ascii="Geomanist Light" w:hAnsi="Geomanist Light" w:cs="Arial"/>
          <w:sz w:val="22"/>
        </w:rPr>
        <w:t>a Agencia fue creada por el Decreto Ley 4170 de 2011, como una Unidad Administrativa Especial, descentralizada de la Rama Ejecutiva del orden nacional, adscrita al Departamento Nacional de Planeación. El legislador determinó que su objetivo sería servir como ente rector de la política de compras y contratación del Estado, por la necesidad de contar en la estructura del Estado con un órgano técnico especializado que asumiera la tarea de formular políticas públicas, normas y unificar los procesos de contratación estatal, que lo faculta para «difundir las normas, reglas, procedimientos, medios tecnológicos y mejores prácticas para las compras y la contratación pública», de conformidad con el numeral 10 del artículo 3 del Decreto 4170 de 2011. As</w:t>
      </w:r>
      <w:r>
        <w:rPr>
          <w:rFonts w:ascii="Geomanist Light" w:hAnsi="Geomanist Light" w:cs="Arial"/>
          <w:sz w:val="22"/>
        </w:rPr>
        <w:t xml:space="preserve">í </w:t>
      </w:r>
      <w:r w:rsidR="008D6B05" w:rsidRPr="008D6B05">
        <w:rPr>
          <w:rFonts w:ascii="Geomanist Light" w:hAnsi="Geomanist Light" w:cs="Arial"/>
          <w:sz w:val="22"/>
        </w:rPr>
        <w:t>mismo, a esta entidad se le encomendó preparar y suscribir los acuerdos marco de precios previstos en el artículo 2º de la Ley 1150 de 2007.</w:t>
      </w:r>
    </w:p>
    <w:p w14:paraId="60C7A46A" w14:textId="77777777" w:rsidR="008D6B05" w:rsidRPr="008D6B05" w:rsidRDefault="008D6B05" w:rsidP="008D6B05">
      <w:pPr>
        <w:spacing w:after="120"/>
        <w:ind w:firstLine="709"/>
        <w:rPr>
          <w:rFonts w:ascii="Geomanist Light" w:hAnsi="Geomanist Light" w:cs="Arial"/>
          <w:sz w:val="22"/>
        </w:rPr>
      </w:pPr>
      <w:r w:rsidRPr="008D6B05">
        <w:rPr>
          <w:rFonts w:ascii="Geomanist Light" w:hAnsi="Geomanist Light" w:cs="Arial"/>
          <w:sz w:val="22"/>
        </w:rPr>
        <w:t xml:space="preserve">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Además, el numeral 5 del mismo artículo otorga la facultad para expedir circulares externas en materia de compras y contratación pública. En </w:t>
      </w:r>
      <w:r w:rsidRPr="008D6B05">
        <w:rPr>
          <w:rFonts w:ascii="Geomanist Light" w:hAnsi="Geomanist Light" w:cs="Arial"/>
          <w:sz w:val="22"/>
        </w:rPr>
        <w:lastRenderedPageBreak/>
        <w:t xml:space="preserve">ejercicio de estas competencias conferidas por el Decreto 4170 de 2011, Colombia Compra Eficiente ha expedido guías y manuales, los cuales pueden ser calificados como herramientas de apoyo a los partícipes de la contratación pública. </w:t>
      </w:r>
    </w:p>
    <w:p w14:paraId="65FB4E06" w14:textId="77777777" w:rsidR="008D6B05" w:rsidRPr="008D6B05" w:rsidRDefault="008D6B05" w:rsidP="008D6B05">
      <w:pPr>
        <w:spacing w:after="120"/>
        <w:ind w:firstLine="709"/>
        <w:rPr>
          <w:rFonts w:ascii="Geomanist Light" w:hAnsi="Geomanist Light" w:cs="Arial"/>
          <w:sz w:val="22"/>
        </w:rPr>
      </w:pPr>
      <w:r w:rsidRPr="008D6B05">
        <w:rPr>
          <w:rFonts w:ascii="Geomanist Light" w:hAnsi="Geomanist Light" w:cs="Arial"/>
          <w:sz w:val="22"/>
        </w:rPr>
        <w:t>Respecto de la obligatoriedad de estos instrumentos, la Subdirección de Gestión Contractual acogió un enfoque sustantivo sobre el carácter vinculante de los actos expedidos por la entidad. Esto quiere decir que con independencia de la forma que adopte la directriz, su carácter obligatorio o no está determinado por la existencia de una competencia legal o reglamentaria para regular el asunto en concreto. 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w:t>
      </w:r>
    </w:p>
    <w:p w14:paraId="74ED1C03" w14:textId="36C7D2AE" w:rsidR="008D6B05" w:rsidRPr="008D6B05" w:rsidRDefault="008D6B05" w:rsidP="008D6B05">
      <w:pPr>
        <w:spacing w:after="120"/>
        <w:ind w:firstLine="709"/>
        <w:rPr>
          <w:rFonts w:ascii="Geomanist Light" w:hAnsi="Geomanist Light" w:cs="Arial"/>
          <w:sz w:val="22"/>
        </w:rPr>
      </w:pPr>
      <w:r w:rsidRPr="008D6B05">
        <w:rPr>
          <w:rFonts w:ascii="Geomanist Light" w:hAnsi="Geomanist Light" w:cs="Arial"/>
          <w:sz w:val="22"/>
        </w:rPr>
        <w:t>Así las cosas, el Consejo de Estado estudió la naturaleza jurídica de los Manuales y Guías expedidos por Colombia Compra Eficiente</w:t>
      </w:r>
      <w:r w:rsidR="00EC774D">
        <w:rPr>
          <w:rStyle w:val="Refdenotaalpie"/>
          <w:rFonts w:ascii="Geomanist Light" w:hAnsi="Geomanist Light" w:cs="Arial"/>
          <w:sz w:val="22"/>
        </w:rPr>
        <w:footnoteReference w:id="8"/>
      </w:r>
      <w:r w:rsidRPr="008D6B05">
        <w:rPr>
          <w:rFonts w:ascii="Geomanist Light" w:hAnsi="Geomanist Light" w:cs="Arial"/>
          <w:sz w:val="22"/>
        </w:rPr>
        <w:t xml:space="preserve">. Señaló que se trata de normas de carácter general, impersonal y abstracto, cuya finalidad es dar un mayor nivel de detalle a todas las normas a las que están subordinadas, de forma que sea posible su aplicación. Esa Corporación sostuvo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 Política. </w:t>
      </w:r>
    </w:p>
    <w:p w14:paraId="47588524" w14:textId="77777777" w:rsidR="008D6B05" w:rsidRPr="008D6B05" w:rsidRDefault="008D6B05" w:rsidP="008D6B05">
      <w:pPr>
        <w:spacing w:after="120"/>
        <w:ind w:firstLine="709"/>
        <w:rPr>
          <w:rFonts w:ascii="Geomanist Light" w:hAnsi="Geomanist Light" w:cs="Arial"/>
          <w:sz w:val="22"/>
        </w:rPr>
      </w:pPr>
      <w:r w:rsidRPr="008D6B05">
        <w:rPr>
          <w:rFonts w:ascii="Geomanist Light" w:hAnsi="Geomanist Light" w:cs="Arial"/>
          <w:sz w:val="22"/>
        </w:rPr>
        <w:t>El Consejo de Estado, en consonancia con el criterio sustantivo o material de identificación de los actos administrativos arriba expuesto, reiteró que estos pueden estar revestidos de distintas formas, como decretos, resoluciones, reglamentos, acuerdos, manuales o circulares. En consecuencia, no es el nombre otorgado lo que genera que tenga naturaleza de acto administrativo, sino su contenido reglamentario o normativo de obligatoria aplicación, y ello es predicable, incluso, de los manuales expedidos por las distintas autoridades.</w:t>
      </w:r>
    </w:p>
    <w:p w14:paraId="29F89F34" w14:textId="77777777" w:rsidR="008D6B05" w:rsidRPr="008D6B05" w:rsidRDefault="008D6B05" w:rsidP="008D6B05">
      <w:pPr>
        <w:spacing w:after="120"/>
        <w:ind w:firstLine="709"/>
        <w:rPr>
          <w:rFonts w:ascii="Geomanist Light" w:hAnsi="Geomanist Light" w:cs="Arial"/>
          <w:sz w:val="22"/>
        </w:rPr>
      </w:pPr>
      <w:r w:rsidRPr="008D6B05">
        <w:rPr>
          <w:rFonts w:ascii="Geomanist Light" w:hAnsi="Geomanist Light" w:cs="Arial"/>
          <w:sz w:val="22"/>
        </w:rPr>
        <w:t xml:space="preserve">De esta forma, los manuales o guías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de obligatorio cumplimiento para los partícipes de la contratación pública, como el manual de uso de los acuerdos marco de precios, los manuales y guías para la determinación de la capacidad residual, los manuales y guías para la elaboración y actualización del plan anual de adquisiciones y el manual o guía para el uso del clasificador de bienes y servicios. </w:t>
      </w:r>
    </w:p>
    <w:p w14:paraId="420061A9" w14:textId="77777777" w:rsidR="008D6B05" w:rsidRPr="008D6B05" w:rsidRDefault="008D6B05" w:rsidP="008D6B05">
      <w:pPr>
        <w:spacing w:after="120"/>
        <w:ind w:firstLine="709"/>
        <w:rPr>
          <w:rFonts w:ascii="Geomanist Light" w:hAnsi="Geomanist Light" w:cs="Arial"/>
          <w:sz w:val="22"/>
        </w:rPr>
      </w:pPr>
      <w:r w:rsidRPr="008D6B05">
        <w:rPr>
          <w:rFonts w:ascii="Geomanist Light" w:hAnsi="Geomanist Light" w:cs="Arial"/>
          <w:sz w:val="22"/>
        </w:rPr>
        <w:lastRenderedPageBreak/>
        <w:t xml:space="preserve">Lo contrario ocurre con los Manuales o Guías que se expiden sin una competencia legal o reglamentaria, diferente de la genérica contenida en el Decreto Ley 4170 de 2011, que defiera a esta entidad su adopción, como ocurre con los manuales y guías para la identificación y cobertura del riesgo. Estos instrumentos o herramientas quedan en el ámbito de normas de apoyo y de buenas prácticas para los partícipes del Sistema de Compra Pública, de donde no se puede derivar obligatoriedad. </w:t>
      </w:r>
    </w:p>
    <w:p w14:paraId="23AF6D15" w14:textId="77777777" w:rsidR="008D6B05" w:rsidRPr="008D6B05" w:rsidRDefault="008D6B05" w:rsidP="008D6B05">
      <w:pPr>
        <w:spacing w:after="120"/>
        <w:ind w:firstLine="709"/>
        <w:rPr>
          <w:rFonts w:ascii="Geomanist Light" w:hAnsi="Geomanist Light" w:cs="Arial"/>
          <w:sz w:val="22"/>
        </w:rPr>
      </w:pPr>
      <w:r w:rsidRPr="008D6B05">
        <w:rPr>
          <w:rFonts w:ascii="Geomanist Light" w:hAnsi="Geomanist Light" w:cs="Arial"/>
          <w:sz w:val="22"/>
        </w:rPr>
        <w:t xml:space="preserve">Así las cosas, </w:t>
      </w:r>
      <w:bookmarkStart w:id="9" w:name="_Hlk82533388"/>
      <w:bookmarkStart w:id="10" w:name="_Hlk82078977"/>
      <w:r w:rsidRPr="008D6B05">
        <w:rPr>
          <w:rFonts w:ascii="Geomanist Light" w:hAnsi="Geomanist Light" w:cs="Arial"/>
          <w:sz w:val="22"/>
        </w:rPr>
        <w:t xml:space="preserve">la obligatoriedad de las herramientas normativas expedidas por Colombia Compra Eficiente depende de si existe una norma de rango legal o de reglamentario, diferente de la general del Decreto Ley 4170 de 2011, que confiera la competencia para regular determinado aspecto de la contratación estatal. Si la competencia no proviene de la ley o el reglamento, sin importar que se trate de una guía o un manual, su función estará limitada a dar orientaciones o a reproducir normas, esto es, no tendrá fuerza obligatoria y, en consecuencia, no será vinculante para sus destinatarios, con independencia del nombre que tenga. </w:t>
      </w:r>
    </w:p>
    <w:p w14:paraId="5D430746" w14:textId="780B3FA3" w:rsidR="00DE6F7A" w:rsidRDefault="008D6B05" w:rsidP="002B321F">
      <w:pPr>
        <w:ind w:firstLine="709"/>
        <w:rPr>
          <w:rFonts w:ascii="Geomanist Light" w:hAnsi="Geomanist Light" w:cs="Arial"/>
          <w:sz w:val="22"/>
        </w:rPr>
      </w:pPr>
      <w:bookmarkStart w:id="11" w:name="_Hlk82533412"/>
      <w:bookmarkEnd w:id="9"/>
      <w:r w:rsidRPr="008D6B05">
        <w:rPr>
          <w:rFonts w:ascii="Geomanist Light" w:hAnsi="Geomanist Light" w:cs="Arial"/>
          <w:sz w:val="22"/>
        </w:rPr>
        <w:t>En suma, las guías previstas en los numerales 1 y 2 del artículo 2.2.1.2.5.2 del Decreto 1082 de 2015 son de obligatorio cumplimiento</w:t>
      </w:r>
      <w:r w:rsidR="00954E64">
        <w:rPr>
          <w:rStyle w:val="Refdenotaalpie"/>
          <w:rFonts w:ascii="Geomanist Light" w:hAnsi="Geomanist Light" w:cs="Arial"/>
          <w:sz w:val="22"/>
        </w:rPr>
        <w:footnoteReference w:id="9"/>
      </w:r>
      <w:r w:rsidRPr="008D6B05">
        <w:rPr>
          <w:rFonts w:ascii="Geomanist Light" w:hAnsi="Geomanist Light" w:cs="Arial"/>
          <w:sz w:val="22"/>
        </w:rPr>
        <w:t>. En contraste, las demás guías y manuales expedidos por la Agencia, incluyendo la guía de estudios del sector en los procesos de contratación, son criterios de buenas prácticas y de apoyo a los partícipes de la contratación pública</w:t>
      </w:r>
      <w:r w:rsidR="002B321F">
        <w:rPr>
          <w:rFonts w:ascii="Geomanist Light" w:hAnsi="Geomanist Light" w:cs="Arial"/>
          <w:sz w:val="22"/>
        </w:rPr>
        <w:t>, como se observa en su</w:t>
      </w:r>
      <w:r w:rsidRPr="008D6B05">
        <w:rPr>
          <w:rFonts w:ascii="Geomanist Light" w:hAnsi="Geomanist Light" w:cs="Arial"/>
          <w:sz w:val="22"/>
        </w:rPr>
        <w:t xml:space="preserve"> parte introductoria «[…] Este documento contiene algunas recomendaciones generales de Colombia Compra Eficiente, y no debe ser utilizado de manera mecánica. La profundidad del estudio del sector depende de la complejidad del Proceso de Contratación». Por tanto, para efectos de una planeación adecuada del contrato, la entidad puede acoger las fórmulas que estime pertinentes de acuerdo con el alcance del proyecto.</w:t>
      </w:r>
      <w:bookmarkEnd w:id="2"/>
      <w:bookmarkEnd w:id="10"/>
      <w:bookmarkEnd w:id="11"/>
    </w:p>
    <w:p w14:paraId="6295597B" w14:textId="703E0F93" w:rsidR="00D867E2" w:rsidRPr="00D867E2" w:rsidRDefault="00D867E2" w:rsidP="00D867E2">
      <w:pPr>
        <w:rPr>
          <w:rFonts w:ascii="Geomanist Light" w:hAnsi="Geomanist Light" w:cs="Arial"/>
          <w:b/>
          <w:bCs/>
          <w:sz w:val="22"/>
        </w:rPr>
      </w:pPr>
      <w:r>
        <w:rPr>
          <w:rFonts w:ascii="Geomanist Light" w:hAnsi="Geomanist Light" w:cs="Arial"/>
          <w:b/>
          <w:bCs/>
          <w:sz w:val="22"/>
        </w:rPr>
        <w:t xml:space="preserve">2.3. </w:t>
      </w:r>
      <w:r w:rsidRPr="00D867E2">
        <w:rPr>
          <w:rFonts w:ascii="Geomanist Light" w:hAnsi="Geomanist Light" w:cs="Arial"/>
          <w:b/>
          <w:bCs/>
          <w:sz w:val="22"/>
          <w:lang w:val="es-ES"/>
        </w:rPr>
        <w:t>Documentos del Proceso</w:t>
      </w:r>
      <w:r>
        <w:rPr>
          <w:rFonts w:ascii="Geomanist Light" w:hAnsi="Geomanist Light" w:cs="Arial"/>
          <w:b/>
          <w:bCs/>
          <w:sz w:val="22"/>
          <w:lang w:val="es-ES"/>
        </w:rPr>
        <w:t xml:space="preserve"> y su noción</w:t>
      </w:r>
    </w:p>
    <w:p w14:paraId="780995B1" w14:textId="77777777" w:rsidR="00D867E2" w:rsidRPr="00D867E2" w:rsidRDefault="00D867E2" w:rsidP="00D867E2">
      <w:pPr>
        <w:rPr>
          <w:rFonts w:ascii="Geomanist Light" w:hAnsi="Geomanist Light" w:cs="Arial"/>
          <w:sz w:val="22"/>
          <w:lang w:val="es-CO"/>
        </w:rPr>
      </w:pPr>
      <w:r w:rsidRPr="00D867E2">
        <w:rPr>
          <w:rFonts w:ascii="Geomanist Light" w:hAnsi="Geomanist Light" w:cs="Arial"/>
          <w:sz w:val="22"/>
          <w:lang w:val="es-ES"/>
        </w:rPr>
        <w:t xml:space="preserve">La expresión </w:t>
      </w:r>
      <w:r w:rsidRPr="00D867E2">
        <w:rPr>
          <w:rFonts w:ascii="Geomanist Light" w:hAnsi="Geomanist Light" w:cs="Arial"/>
          <w:i/>
          <w:iCs/>
          <w:sz w:val="22"/>
          <w:lang w:val="es-ES"/>
        </w:rPr>
        <w:t>Documentos del Proceso</w:t>
      </w:r>
      <w:r w:rsidRPr="00D867E2">
        <w:rPr>
          <w:rFonts w:ascii="Geomanist Light" w:hAnsi="Geomanist Light" w:cs="Arial"/>
          <w:sz w:val="22"/>
          <w:lang w:val="es-ES"/>
        </w:rPr>
        <w:t xml:space="preserve"> está definida en el artículo 2.2.1.1.1.3.1. del Decreto 1082 de 2015, donde se establece que: «[…] son: (a) los estudios y documentos previos; (b) el aviso de convocatoria; (c) los pliegos de condiciones o la invitación; (d) las adendas; (e) la oferta; (f) </w:t>
      </w:r>
      <w:r w:rsidRPr="00D867E2">
        <w:rPr>
          <w:rFonts w:ascii="Geomanist Light" w:hAnsi="Geomanist Light" w:cs="Arial"/>
          <w:sz w:val="22"/>
          <w:lang w:val="es-ES"/>
        </w:rPr>
        <w:lastRenderedPageBreak/>
        <w:t>el informe de evaluación; (g) el contrato; y cualquier otro documento expedido por la Entidad Estatal durante el Proceso de Contratación». </w:t>
      </w:r>
      <w:r w:rsidRPr="00D867E2">
        <w:rPr>
          <w:rFonts w:ascii="Geomanist Light" w:hAnsi="Geomanist Light" w:cs="Arial"/>
          <w:sz w:val="22"/>
          <w:lang w:val="es-CO"/>
        </w:rPr>
        <w:t> </w:t>
      </w:r>
    </w:p>
    <w:p w14:paraId="22C0AEA0" w14:textId="17E86ADF" w:rsidR="00D867E2" w:rsidRPr="00D867E2" w:rsidRDefault="00D867E2" w:rsidP="00D867E2">
      <w:pPr>
        <w:ind w:firstLine="709"/>
        <w:rPr>
          <w:rFonts w:ascii="Geomanist Light" w:hAnsi="Geomanist Light" w:cs="Arial"/>
          <w:sz w:val="22"/>
          <w:lang w:val="es-CO"/>
        </w:rPr>
      </w:pPr>
      <w:r w:rsidRPr="00D867E2">
        <w:rPr>
          <w:rFonts w:ascii="Geomanist Light" w:hAnsi="Geomanist Light" w:cs="Arial"/>
          <w:sz w:val="22"/>
          <w:lang w:val="es-ES"/>
        </w:rPr>
        <w:t xml:space="preserve">No obstante, es necesario realizar una interpretación sistemática de las disposiciones del Decreto 1082 del 2015, en razón a que lo ahí previsto no se trata de un listado taxativo, sino enunciativo. En ese sentido, es oportuno aclarar que, además de los documentos enlistados, el artículo 2.2.1.1.1.3.1 </w:t>
      </w:r>
      <w:r w:rsidRPr="00D867E2">
        <w:rPr>
          <w:rFonts w:ascii="Geomanist Light" w:hAnsi="Geomanist Light" w:cs="Arial"/>
          <w:i/>
          <w:iCs/>
          <w:sz w:val="22"/>
          <w:lang w:val="es-ES"/>
        </w:rPr>
        <w:t>Ibídem</w:t>
      </w:r>
      <w:r w:rsidRPr="00D867E2">
        <w:rPr>
          <w:rFonts w:ascii="Geomanist Light" w:hAnsi="Geomanist Light" w:cs="Arial"/>
          <w:sz w:val="22"/>
          <w:lang w:val="es-ES"/>
        </w:rPr>
        <w:t xml:space="preserve"> recoge en la noción de </w:t>
      </w:r>
      <w:r w:rsidRPr="00D867E2">
        <w:rPr>
          <w:rFonts w:ascii="Geomanist Light" w:hAnsi="Geomanist Light" w:cs="Arial"/>
          <w:i/>
          <w:iCs/>
          <w:sz w:val="22"/>
          <w:lang w:val="es-ES"/>
        </w:rPr>
        <w:t>Documentos del Proceso</w:t>
      </w:r>
      <w:r w:rsidRPr="00D867E2">
        <w:rPr>
          <w:rFonts w:ascii="Geomanist Light" w:hAnsi="Geomanist Light" w:cs="Arial"/>
          <w:sz w:val="22"/>
          <w:lang w:val="es-ES"/>
        </w:rPr>
        <w:t xml:space="preserve"> «cualquier otro documento expedido por la Entidad Estatal durante el </w:t>
      </w:r>
      <w:r w:rsidRPr="00D867E2">
        <w:rPr>
          <w:rFonts w:ascii="Geomanist Light" w:hAnsi="Geomanist Light" w:cs="Arial"/>
          <w:i/>
          <w:iCs/>
          <w:sz w:val="22"/>
          <w:lang w:val="es-ES"/>
        </w:rPr>
        <w:t>Proceso de Contratación»</w:t>
      </w:r>
      <w:r w:rsidRPr="00D867E2">
        <w:rPr>
          <w:rFonts w:ascii="Geomanist Light" w:hAnsi="Geomanist Light" w:cs="Arial"/>
          <w:sz w:val="22"/>
          <w:lang w:val="es-ES"/>
        </w:rPr>
        <w:t xml:space="preserve">. Este mismo artículo define la expresión </w:t>
      </w:r>
      <w:r w:rsidRPr="00D867E2">
        <w:rPr>
          <w:rFonts w:ascii="Geomanist Light" w:hAnsi="Geomanist Light" w:cs="Arial"/>
          <w:i/>
          <w:iCs/>
          <w:sz w:val="22"/>
          <w:lang w:val="es-ES"/>
        </w:rPr>
        <w:t>Proceso de Contratación</w:t>
      </w:r>
      <w:r w:rsidRPr="00D867E2">
        <w:rPr>
          <w:rFonts w:ascii="Geomanist Light" w:hAnsi="Geomanist Light"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r w:rsidRPr="00D867E2">
        <w:rPr>
          <w:rFonts w:ascii="Geomanist Light" w:hAnsi="Geomanist Light" w:cs="Arial"/>
          <w:sz w:val="22"/>
          <w:lang w:val="es-CO"/>
        </w:rPr>
        <w:t> </w:t>
      </w:r>
    </w:p>
    <w:p w14:paraId="54F7E566" w14:textId="77777777" w:rsidR="00D867E2" w:rsidRPr="00D867E2" w:rsidRDefault="00D867E2" w:rsidP="00D867E2">
      <w:pPr>
        <w:ind w:firstLine="709"/>
        <w:rPr>
          <w:rFonts w:ascii="Geomanist Light" w:hAnsi="Geomanist Light" w:cs="Arial"/>
          <w:sz w:val="22"/>
          <w:lang w:val="es-CO"/>
        </w:rPr>
      </w:pPr>
      <w:r w:rsidRPr="00D867E2">
        <w:rPr>
          <w:rFonts w:ascii="Geomanist Light" w:hAnsi="Geomanist Light" w:cs="Arial"/>
          <w:sz w:val="22"/>
          <w:lang w:val="es-ES"/>
        </w:rPr>
        <w:t xml:space="preserve">Nótese que la norma hace referencia a los documentos «expedidos por la entidad estatal» durante el proceso de contratación, excluyendo de la noción de </w:t>
      </w:r>
      <w:r w:rsidRPr="00D867E2">
        <w:rPr>
          <w:rFonts w:ascii="Geomanist Light" w:hAnsi="Geomanist Light" w:cs="Arial"/>
          <w:i/>
          <w:iCs/>
          <w:sz w:val="22"/>
          <w:lang w:val="es-ES"/>
        </w:rPr>
        <w:t>Documentos del Proceso</w:t>
      </w:r>
      <w:r w:rsidRPr="00D867E2">
        <w:rPr>
          <w:rFonts w:ascii="Geomanist Light" w:hAnsi="Geomanist Light" w:cs="Arial"/>
          <w:sz w:val="22"/>
          <w:lang w:val="es-ES"/>
        </w:rPr>
        <w:t xml:space="preserve"> los expedidos por un sujeto distinto a la entidad, salvo la oferta, la cual se incluye expresamente en el artículo 2.2.1.1.1.3.1. </w:t>
      </w:r>
      <w:r w:rsidRPr="00D867E2">
        <w:rPr>
          <w:rFonts w:ascii="Geomanist Light" w:hAnsi="Geomanist Light" w:cs="Arial"/>
          <w:sz w:val="22"/>
          <w:lang w:val="es-CO"/>
        </w:rPr>
        <w:t> </w:t>
      </w:r>
    </w:p>
    <w:p w14:paraId="0382C673" w14:textId="6CF2035C" w:rsidR="00D867E2" w:rsidRPr="00D867E2" w:rsidRDefault="00D867E2" w:rsidP="00D867E2">
      <w:pPr>
        <w:ind w:firstLine="709"/>
        <w:rPr>
          <w:rFonts w:ascii="Geomanist Light" w:hAnsi="Geomanist Light" w:cs="Arial"/>
          <w:sz w:val="22"/>
          <w:lang w:val="es-CO"/>
        </w:rPr>
      </w:pPr>
      <w:r w:rsidRPr="00D867E2">
        <w:rPr>
          <w:rFonts w:ascii="Geomanist Light" w:hAnsi="Geomanist Light" w:cs="Arial"/>
          <w:sz w:val="22"/>
          <w:lang w:val="es-ES"/>
        </w:rPr>
        <w:t xml:space="preserve">En general, es posible afirmar que cualquier actuación ocurrida durante el </w:t>
      </w:r>
      <w:r w:rsidRPr="00D867E2">
        <w:rPr>
          <w:rFonts w:ascii="Geomanist Light" w:hAnsi="Geomanist Light" w:cs="Arial"/>
          <w:i/>
          <w:iCs/>
          <w:sz w:val="22"/>
          <w:lang w:val="es-ES"/>
        </w:rPr>
        <w:t>Proceso de Contratación</w:t>
      </w:r>
      <w:r w:rsidRPr="00D867E2">
        <w:rPr>
          <w:rFonts w:ascii="Geomanist Light" w:hAnsi="Geomanist Light" w:cs="Arial"/>
          <w:sz w:val="22"/>
          <w:lang w:val="es-ES"/>
        </w:rPr>
        <w:t>–a pesar de no tener origen en la entidad estatal, ni caber en estricto sentido en lo que se entiende con la expresión</w:t>
      </w:r>
      <w:r w:rsidRPr="00D867E2">
        <w:rPr>
          <w:rFonts w:ascii="Geomanist Light" w:hAnsi="Geomanist Light" w:cs="Arial"/>
          <w:i/>
          <w:iCs/>
          <w:sz w:val="22"/>
          <w:lang w:val="es-ES"/>
        </w:rPr>
        <w:t xml:space="preserve"> Documento del Proceso–, </w:t>
      </w:r>
      <w:r w:rsidRPr="00D867E2">
        <w:rPr>
          <w:rFonts w:ascii="Geomanist Light" w:hAnsi="Geomanist Light" w:cs="Arial"/>
          <w:sz w:val="22"/>
          <w:lang w:val="es-ES"/>
        </w:rPr>
        <w:t>hace parte del desarrollo del procedimiento</w:t>
      </w:r>
      <w:r>
        <w:rPr>
          <w:rFonts w:ascii="Geomanist Light" w:hAnsi="Geomanist Light" w:cs="Arial"/>
          <w:sz w:val="22"/>
          <w:lang w:val="es-ES"/>
        </w:rPr>
        <w:t>.</w:t>
      </w:r>
    </w:p>
    <w:p w14:paraId="3370D223" w14:textId="7519F111" w:rsidR="00474929" w:rsidRPr="00777192" w:rsidRDefault="00474929" w:rsidP="00ED1C5C">
      <w:pPr>
        <w:tabs>
          <w:tab w:val="left" w:pos="426"/>
        </w:tabs>
        <w:spacing w:after="240" w:line="240" w:lineRule="auto"/>
        <w:rPr>
          <w:rFonts w:ascii="Geomanist Light" w:eastAsia="Calibri" w:hAnsi="Geomanist Light" w:cs="Arial"/>
          <w:b/>
          <w:sz w:val="22"/>
          <w:lang w:val="es-CO"/>
        </w:rPr>
      </w:pPr>
      <w:r w:rsidRPr="00777192">
        <w:rPr>
          <w:rFonts w:ascii="Geomanist Light" w:eastAsia="Calibri" w:hAnsi="Geomanist Light" w:cs="Arial"/>
          <w:b/>
          <w:sz w:val="22"/>
          <w:lang w:val="es-CO"/>
        </w:rPr>
        <w:t>3. Respuesta</w:t>
      </w:r>
      <w:bookmarkStart w:id="12" w:name="_Hlk57650395"/>
    </w:p>
    <w:p w14:paraId="05A50726" w14:textId="77777777" w:rsidR="00887EB8" w:rsidRPr="00C5544B" w:rsidRDefault="00887EB8" w:rsidP="00887EB8">
      <w:pPr>
        <w:pStyle w:val="NormalWeb"/>
        <w:spacing w:before="0" w:beforeAutospacing="0" w:after="240" w:afterAutospacing="0" w:line="240" w:lineRule="auto"/>
        <w:ind w:left="709" w:right="900"/>
        <w:rPr>
          <w:rFonts w:ascii="Geomanist Light" w:hAnsi="Geomanist Light" w:cs="Arial"/>
          <w:sz w:val="21"/>
          <w:szCs w:val="21"/>
        </w:rPr>
      </w:pPr>
      <w:r w:rsidRPr="00777192">
        <w:rPr>
          <w:rFonts w:ascii="Geomanist Light" w:hAnsi="Geomanist Light" w:cs="Arial"/>
          <w:sz w:val="21"/>
          <w:szCs w:val="21"/>
        </w:rPr>
        <w:t>«</w:t>
      </w:r>
      <w:r w:rsidRPr="00C5544B">
        <w:rPr>
          <w:rFonts w:ascii="Geomanist Light" w:hAnsi="Geomanist Light" w:cs="Arial"/>
          <w:sz w:val="21"/>
          <w:szCs w:val="21"/>
        </w:rPr>
        <w:t>1. Certificar si:</w:t>
      </w:r>
    </w:p>
    <w:p w14:paraId="272EC69A" w14:textId="49D22E07" w:rsidR="00887EB8" w:rsidRPr="00C5544B" w:rsidRDefault="00887EB8" w:rsidP="00887EB8">
      <w:pPr>
        <w:pStyle w:val="NormalWeb"/>
        <w:spacing w:before="0" w:beforeAutospacing="0" w:after="240" w:afterAutospacing="0" w:line="240" w:lineRule="auto"/>
        <w:ind w:left="709" w:right="900"/>
        <w:rPr>
          <w:rFonts w:ascii="Geomanist Light" w:hAnsi="Geomanist Light" w:cs="Arial"/>
          <w:sz w:val="21"/>
          <w:szCs w:val="21"/>
        </w:rPr>
      </w:pPr>
      <w:r w:rsidRPr="00C5544B">
        <w:rPr>
          <w:rFonts w:ascii="Geomanist Light" w:hAnsi="Geomanist Light" w:cs="Arial"/>
          <w:sz w:val="21"/>
          <w:szCs w:val="21"/>
        </w:rPr>
        <w:t>1.1. En materia de contratación estatal, específicamente bajo la modalidad de contratación directa, que una entidad territorial presente una solicitud de cotización a potenciales proveedores, como método de análisis del mercado específico para la adquisición de bienes y servicios, se considera como una buena práctica para la selección del contratista, teniendo en cuenta que es un insumo para la selección objetiva del proveedor, y la consecuente elaboración del documento definitivo de los estudios previos.</w:t>
      </w:r>
    </w:p>
    <w:p w14:paraId="4885BE0A" w14:textId="664467D3" w:rsidR="00887EB8" w:rsidRDefault="00887EB8" w:rsidP="00887EB8">
      <w:pPr>
        <w:pStyle w:val="NormalWeb"/>
        <w:spacing w:before="0" w:beforeAutospacing="0" w:after="240" w:afterAutospacing="0" w:line="240" w:lineRule="auto"/>
        <w:ind w:left="709" w:right="900"/>
        <w:rPr>
          <w:rFonts w:ascii="Geomanist Light" w:hAnsi="Geomanist Light" w:cs="Arial"/>
          <w:sz w:val="21"/>
          <w:szCs w:val="21"/>
        </w:rPr>
      </w:pPr>
      <w:r w:rsidRPr="00C5544B">
        <w:rPr>
          <w:rFonts w:ascii="Geomanist Light" w:hAnsi="Geomanist Light" w:cs="Arial"/>
          <w:sz w:val="21"/>
          <w:szCs w:val="21"/>
        </w:rPr>
        <w:t xml:space="preserve">1.2. De acuerdo con las buenas prácticas en materia de contratación estatal, específicamente bajo la modalidad de contratación directa, se requiere de la elaboración de un documento denominado “estudios previos”, de forma anterior a la solicitud de cotización de bienes y servicios, o, si por el contrario, la elaboración del documento denominado “estudios previos” debe realizarse con posterioridad al estudio y análisis del mercado, de suerte tal, que refleje la </w:t>
      </w:r>
      <w:r w:rsidRPr="00C5544B">
        <w:rPr>
          <w:rFonts w:ascii="Geomanist Light" w:hAnsi="Geomanist Light" w:cs="Arial"/>
          <w:sz w:val="21"/>
          <w:szCs w:val="21"/>
        </w:rPr>
        <w:lastRenderedPageBreak/>
        <w:t>selección objetiva del contratista, así como la necesidad y razonabilidad del proceso contractual.</w:t>
      </w:r>
    </w:p>
    <w:p w14:paraId="694FFE77" w14:textId="3CE1FBE3" w:rsidR="00D867E2" w:rsidRPr="00C5544B" w:rsidRDefault="00D867E2" w:rsidP="00887EB8">
      <w:pPr>
        <w:pStyle w:val="NormalWeb"/>
        <w:spacing w:before="0" w:beforeAutospacing="0" w:after="240" w:afterAutospacing="0" w:line="240" w:lineRule="auto"/>
        <w:ind w:left="709" w:right="900"/>
        <w:rPr>
          <w:rFonts w:ascii="Geomanist Light" w:hAnsi="Geomanist Light" w:cs="Arial"/>
          <w:sz w:val="21"/>
          <w:szCs w:val="21"/>
        </w:rPr>
      </w:pPr>
      <w:r w:rsidRPr="00C5544B">
        <w:rPr>
          <w:rFonts w:ascii="Geomanist Light" w:eastAsia="Calibri" w:hAnsi="Geomanist Light" w:cs="Arial"/>
          <w:color w:val="000000" w:themeColor="text1"/>
          <w:sz w:val="20"/>
          <w:szCs w:val="20"/>
          <w:lang w:val="es-MX"/>
        </w:rPr>
        <w:t>[…]</w:t>
      </w:r>
    </w:p>
    <w:p w14:paraId="316FFC23" w14:textId="7EF64C18" w:rsidR="00C760C7" w:rsidRPr="00777192" w:rsidRDefault="00887EB8" w:rsidP="00833090">
      <w:pPr>
        <w:spacing w:after="240" w:line="240" w:lineRule="auto"/>
        <w:ind w:left="708" w:right="900"/>
        <w:rPr>
          <w:rFonts w:ascii="Geomanist Light" w:eastAsia="Times New Roman" w:hAnsi="Geomanist Light" w:cs="Arial"/>
          <w:i/>
          <w:iCs/>
          <w:sz w:val="21"/>
          <w:szCs w:val="21"/>
          <w:lang w:val="es-ES" w:eastAsia="es-MX" w:bidi="es-ES"/>
        </w:rPr>
      </w:pPr>
      <w:r w:rsidRPr="00C5544B">
        <w:rPr>
          <w:rFonts w:ascii="Geomanist Light" w:eastAsia="Times New Roman" w:hAnsi="Geomanist Light" w:cs="Arial"/>
          <w:sz w:val="21"/>
          <w:szCs w:val="21"/>
        </w:rPr>
        <w:t>Lo anterior, se pregunta en consideración de lo dispuesto en la Ley 80 de 1993, así como las normas que las adicionan, modifican o complementan, sin perjuicio de lo señalado por la Agencia Nacional de Contratación Colombia Compra Eficiente en sus conceptos, así como en la “guía para la elaboración de estudios del sector»</w:t>
      </w:r>
    </w:p>
    <w:p w14:paraId="5663618B" w14:textId="66C1C058" w:rsidR="00F23CC2" w:rsidRDefault="00942B80" w:rsidP="00F23CC2">
      <w:pPr>
        <w:rPr>
          <w:rFonts w:ascii="Geomanist Light" w:eastAsia="Calibri" w:hAnsi="Geomanist Light" w:cs="Arial"/>
          <w:sz w:val="22"/>
          <w:lang w:val="es-CO"/>
        </w:rPr>
      </w:pPr>
      <w:r w:rsidRPr="00942B80">
        <w:rPr>
          <w:rFonts w:ascii="Geomanist Light" w:eastAsia="Times New Roman" w:hAnsi="Geomanist Light" w:cs="Arial"/>
          <w:color w:val="000000"/>
          <w:sz w:val="22"/>
          <w:lang w:eastAsia="es-ES_tradnl"/>
        </w:rPr>
        <w:t xml:space="preserve">Para efectos prácticos estas preguntas se agrupan por unidad de materia, y para su respuesta se precisa que, </w:t>
      </w:r>
      <w:r w:rsidR="00F23CC2">
        <w:rPr>
          <w:rFonts w:ascii="Geomanist Light" w:eastAsia="Calibri" w:hAnsi="Geomanist Light" w:cs="Arial"/>
          <w:sz w:val="22"/>
          <w:lang w:val="es-CO"/>
        </w:rPr>
        <w:t>d</w:t>
      </w:r>
      <w:r w:rsidR="00F23CC2" w:rsidRPr="00F23CC2">
        <w:rPr>
          <w:rFonts w:ascii="Geomanist Light" w:eastAsia="Calibri" w:hAnsi="Geomanist Light" w:cs="Arial"/>
          <w:sz w:val="22"/>
          <w:lang w:val="es-CO"/>
        </w:rPr>
        <w:t xml:space="preserve">e acuerdo con las consideraciones de este concepto, los numerales 2 y 4 del artículo 2.2.1.1.2.1.1 del Decreto 1082 de 2015 exigen que en los estudios previos se determine el objeto a contratar con sus especificaciones, y se señale el valor estimado del contrato y la justificación del mismo. En concordancia, el artículo 2.2.1.1.1.6.1 del Decreto 1082 de 2015 establece el deber de las entidades de realizar, durante la etapa de planeación, el análisis necesario para conocer el sector relativo al objeto del Proceso de Contratación desde la perspectiva legal, comercial, financiera, organizacional, técnica, y de análisis de Riesgo. La entidad debe dejar constancia de este análisis en los Documentos del Proceso. </w:t>
      </w:r>
    </w:p>
    <w:p w14:paraId="17029923" w14:textId="314864B8" w:rsidR="00ED2991" w:rsidRPr="00A026E5" w:rsidRDefault="00ED2991" w:rsidP="00ED2991">
      <w:pPr>
        <w:ind w:firstLine="709"/>
        <w:rPr>
          <w:rFonts w:ascii="Geomanist Light" w:hAnsi="Geomanist Light" w:cs="Segoe UI"/>
          <w:sz w:val="18"/>
          <w:szCs w:val="18"/>
        </w:rPr>
      </w:pPr>
      <w:r>
        <w:rPr>
          <w:rFonts w:ascii="Geomanist Light" w:eastAsia="Calibri" w:hAnsi="Geomanist Light" w:cs="Arial"/>
          <w:bCs/>
          <w:sz w:val="22"/>
          <w:lang w:val="es-ES_tradnl"/>
        </w:rPr>
        <w:t>V</w:t>
      </w:r>
      <w:r w:rsidRPr="00A026E5">
        <w:rPr>
          <w:rFonts w:ascii="Geomanist Light" w:eastAsia="Calibri" w:hAnsi="Geomanist Light" w:cs="Arial"/>
          <w:bCs/>
          <w:sz w:val="22"/>
          <w:lang w:val="es-ES_tradnl"/>
        </w:rPr>
        <w:t xml:space="preserve">ale anotar que si bien los estudios del sector son de gran relevancia en los procesos de contratación donde existe pluralidad de oferentes, nada obsta para que se elaboren allí donde no existiría competencia. </w:t>
      </w:r>
      <w:r w:rsidRPr="00A026E5">
        <w:rPr>
          <w:rStyle w:val="normaltextrun"/>
          <w:rFonts w:ascii="Geomanist Light" w:hAnsi="Geomanist Light" w:cs="Arial"/>
          <w:sz w:val="22"/>
          <w:lang w:val="es-ES"/>
        </w:rPr>
        <w:t>De esta manera, en la contratación directa también deben existir unos estudios previos para fijar los criterios de escogencia del contratista. Dichos criterios tienen fundamento en el análisis del mercado, en el cual, aunque no es obligatorio, nada obsta para que la entidad identifique a varios proveedores en condiciones de cumplir el objeto del contrato.</w:t>
      </w:r>
      <w:r w:rsidRPr="00A026E5">
        <w:rPr>
          <w:rStyle w:val="eop"/>
          <w:rFonts w:ascii="Geomanist Light" w:hAnsi="Geomanist Light" w:cs="Arial"/>
          <w:sz w:val="22"/>
        </w:rPr>
        <w:t> </w:t>
      </w:r>
    </w:p>
    <w:p w14:paraId="5C18DAD1" w14:textId="77777777" w:rsidR="00ED2991" w:rsidRDefault="00ED2991" w:rsidP="00ED2991">
      <w:pPr>
        <w:ind w:firstLine="709"/>
        <w:rPr>
          <w:rFonts w:ascii="Geomanist Light" w:hAnsi="Geomanist Light" w:cs="Arial"/>
          <w:sz w:val="22"/>
        </w:rPr>
      </w:pPr>
      <w:r w:rsidRPr="00A026E5">
        <w:rPr>
          <w:rFonts w:ascii="Geomanist Light" w:hAnsi="Geomanist Light" w:cs="Arial"/>
          <w:sz w:val="22"/>
        </w:rPr>
        <w:t xml:space="preserve">En conclusión, el análisis del sector debe ser visto desde una perspectiva funcional, como una labor enfocada a situar la adquisición de bienes y servicios por parte de entidades estatales dentro de las condiciones del mercado o del sector en el que serán adquiridos, el cual constituye una manifestación de los principios de planeación y economía. </w:t>
      </w:r>
    </w:p>
    <w:p w14:paraId="18AC49CA" w14:textId="36908C72" w:rsidR="00ED2991" w:rsidRPr="00A026E5" w:rsidRDefault="00ED2991" w:rsidP="00ED2991">
      <w:pPr>
        <w:ind w:firstLine="709"/>
        <w:rPr>
          <w:rFonts w:ascii="Geomanist Light" w:eastAsia="Calibri" w:hAnsi="Geomanist Light" w:cs="Arial"/>
          <w:bCs/>
          <w:sz w:val="22"/>
          <w:lang w:val="es-ES_tradnl"/>
        </w:rPr>
      </w:pPr>
      <w:r w:rsidRPr="00A026E5">
        <w:rPr>
          <w:rFonts w:ascii="Geomanist Light" w:eastAsia="Calibri" w:hAnsi="Geomanist Light" w:cs="Arial"/>
          <w:bCs/>
          <w:sz w:val="22"/>
          <w:lang w:val="es-ES_tradnl"/>
        </w:rPr>
        <w:t xml:space="preserve">Para estos efectos, la «Guía de Elaboración del Estudio del Sector» desarrolla recomendaciones y buenas prácticas que servirán a las entidades para entender el mercado del bien, obra o servicio que pretende adquirir </w:t>
      </w:r>
      <w:r>
        <w:rPr>
          <w:rFonts w:ascii="Geomanist Light" w:eastAsia="Calibri" w:hAnsi="Geomanist Light" w:cs="Arial"/>
          <w:bCs/>
          <w:sz w:val="22"/>
          <w:lang w:val="es-ES_tradnl"/>
        </w:rPr>
        <w:t xml:space="preserve">y específicamente establece que </w:t>
      </w:r>
      <w:r w:rsidRPr="00A026E5">
        <w:rPr>
          <w:rFonts w:ascii="Geomanist Light" w:eastAsia="Calibri" w:hAnsi="Geomanist Light" w:cs="Arial"/>
          <w:bCs/>
          <w:sz w:val="22"/>
          <w:lang w:val="es-ES_tradnl"/>
        </w:rPr>
        <w:t xml:space="preserve">«En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w:t>
      </w:r>
      <w:r w:rsidRPr="00A026E5">
        <w:rPr>
          <w:rFonts w:ascii="Geomanist Light" w:eastAsia="Calibri" w:hAnsi="Geomanist Light" w:cs="Arial"/>
          <w:bCs/>
          <w:sz w:val="22"/>
          <w:lang w:val="es-ES_tradnl"/>
        </w:rPr>
        <w:lastRenderedPageBreak/>
        <w:t>contrato desde el punto de vista de la eficiencia, eficacia y economía. La Entidad Estatal debe consignar en los Documentos del Proceso, bien sea en los estudios previos o en la información de soporte de estos, los aspectos de que trata el artículo 2.2.1.1.1.6.1 del Decreto 1082 de 2015</w:t>
      </w:r>
      <w:r w:rsidRPr="00A026E5">
        <w:rPr>
          <w:rFonts w:ascii="Geomanist Light" w:hAnsi="Geomanist Light"/>
        </w:rPr>
        <w:t xml:space="preserve"> </w:t>
      </w:r>
      <w:r w:rsidRPr="00A026E5">
        <w:rPr>
          <w:rFonts w:ascii="Geomanist Light" w:eastAsia="Calibri" w:hAnsi="Geomanist Light" w:cs="Arial"/>
          <w:bCs/>
          <w:sz w:val="22"/>
          <w:lang w:val="es-ES_tradnl"/>
        </w:rPr>
        <w:t>esto es, el análisis desde la perspectiva legal, comercial, financiera, organizacional, técnica, y de análisis de riesgo».</w:t>
      </w:r>
    </w:p>
    <w:p w14:paraId="3DA1FF7E" w14:textId="75590ECA" w:rsidR="00F23CC2" w:rsidRPr="00D867E2" w:rsidRDefault="00ED2991" w:rsidP="00D867E2">
      <w:pPr>
        <w:ind w:firstLine="709"/>
        <w:rPr>
          <w:rFonts w:ascii="Geomanist Light" w:eastAsia="Calibri" w:hAnsi="Geomanist Light" w:cs="Arial"/>
          <w:sz w:val="22"/>
        </w:rPr>
      </w:pPr>
      <w:r>
        <w:rPr>
          <w:rFonts w:ascii="Geomanist Light" w:hAnsi="Geomanist Light" w:cs="Arial"/>
          <w:sz w:val="22"/>
        </w:rPr>
        <w:t xml:space="preserve">Bajo este contexto, y para efectos de su consulta es importante precisar que </w:t>
      </w:r>
      <w:r>
        <w:rPr>
          <w:rFonts w:ascii="Geomanist Light" w:eastAsia="Calibri" w:hAnsi="Geomanist Light" w:cs="Arial"/>
          <w:sz w:val="22"/>
          <w:lang w:val="es-CO"/>
        </w:rPr>
        <w:t>s</w:t>
      </w:r>
      <w:r w:rsidRPr="00F23CC2">
        <w:rPr>
          <w:rFonts w:ascii="Geomanist Light" w:eastAsia="Calibri" w:hAnsi="Geomanist Light" w:cs="Arial"/>
          <w:sz w:val="22"/>
          <w:lang w:val="es-CO"/>
        </w:rPr>
        <w:t>i bien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son autónomas para estructurarlo, para lo cual deberán cumplir lo establecido en el artículo 2.2.1.1.1.6.1 del Decreto 1082 de 2015 y realizar un análisis integral de planeación que sirva de sustento a la decisión de realizar un proceso de contratación</w:t>
      </w:r>
      <w:r>
        <w:rPr>
          <w:rFonts w:ascii="Geomanist Light" w:eastAsia="Calibri" w:hAnsi="Geomanist Light" w:cs="Arial"/>
          <w:sz w:val="22"/>
          <w:lang w:val="es-CO"/>
        </w:rPr>
        <w:t xml:space="preserve">. Así las cosas, </w:t>
      </w:r>
      <w:r>
        <w:rPr>
          <w:rFonts w:ascii="Geomanist Light" w:hAnsi="Geomanist Light" w:cs="Arial"/>
          <w:sz w:val="22"/>
        </w:rPr>
        <w:t>d</w:t>
      </w:r>
      <w:r w:rsidRPr="00A026E5">
        <w:rPr>
          <w:rFonts w:ascii="Geomanist Light" w:hAnsi="Geomanist Light" w:cs="Arial"/>
          <w:sz w:val="22"/>
        </w:rPr>
        <w:t xml:space="preserve">icha labor debe evidenciarse de manera palpable en los </w:t>
      </w:r>
      <w:r w:rsidRPr="00A026E5">
        <w:rPr>
          <w:rFonts w:ascii="Geomanist Light" w:hAnsi="Geomanist Light" w:cs="Arial"/>
          <w:i/>
          <w:iCs/>
          <w:sz w:val="22"/>
        </w:rPr>
        <w:t>Documentos del Proceso</w:t>
      </w:r>
      <w:r w:rsidRPr="00A026E5">
        <w:rPr>
          <w:rFonts w:ascii="Geomanist Light" w:hAnsi="Geomanist Light" w:cs="Arial"/>
          <w:sz w:val="22"/>
        </w:rPr>
        <w:t>, ya sea dentro de los estudios previos, como documento autónomo o dentro de alguno de los soportes del proceso de contratación, abarcando los campos legal, comercial, financiero, organizacional, técnico y de riesgos, de conformidad con el artículo 2.2.1.1.1.6.1 del Decreto 1082 del 2015.</w:t>
      </w:r>
    </w:p>
    <w:p w14:paraId="1A74373F" w14:textId="74994B19" w:rsidR="00023A4E" w:rsidRDefault="007E1801" w:rsidP="00F23CC2">
      <w:pPr>
        <w:spacing w:before="120"/>
        <w:ind w:firstLine="709"/>
        <w:rPr>
          <w:rFonts w:ascii="Geomanist Light" w:eastAsia="Calibri" w:hAnsi="Geomanist Light" w:cs="Arial"/>
          <w:bCs/>
          <w:sz w:val="22"/>
          <w:lang w:val="es-ES_tradnl"/>
        </w:rPr>
      </w:pPr>
      <w:r>
        <w:rPr>
          <w:rFonts w:ascii="Geomanist Light" w:eastAsia="Calibri" w:hAnsi="Geomanist Light" w:cs="Arial"/>
          <w:sz w:val="22"/>
          <w:lang w:val="es-CO"/>
        </w:rPr>
        <w:t xml:space="preserve">Finalmente, </w:t>
      </w:r>
      <w:r w:rsidR="002E1FE0">
        <w:rPr>
          <w:rFonts w:ascii="Geomanist Light" w:eastAsia="Calibri" w:hAnsi="Geomanist Light" w:cs="Arial"/>
          <w:sz w:val="22"/>
          <w:lang w:val="es-CO"/>
        </w:rPr>
        <w:t xml:space="preserve">es importante tener en cuenta que </w:t>
      </w:r>
      <w:r w:rsidR="002E1FE0" w:rsidRPr="008D6B05">
        <w:rPr>
          <w:rFonts w:ascii="Geomanist Light" w:hAnsi="Geomanist Light" w:cs="Arial"/>
          <w:sz w:val="22"/>
        </w:rPr>
        <w:t xml:space="preserve">la guía de estudios del sector en los procesos de contratación </w:t>
      </w:r>
      <w:r w:rsidR="002E1FE0">
        <w:rPr>
          <w:rFonts w:ascii="Geomanist Light" w:hAnsi="Geomanist Light" w:cs="Arial"/>
          <w:sz w:val="22"/>
        </w:rPr>
        <w:t xml:space="preserve">contiene </w:t>
      </w:r>
      <w:r w:rsidR="002E1FE0" w:rsidRPr="008D6B05">
        <w:rPr>
          <w:rFonts w:ascii="Geomanist Light" w:hAnsi="Geomanist Light" w:cs="Arial"/>
          <w:sz w:val="22"/>
        </w:rPr>
        <w:t>criterios de buenas prácticas y de apoyo a los partícipes de la contratación pública</w:t>
      </w:r>
      <w:r w:rsidR="002E1FE0">
        <w:rPr>
          <w:rFonts w:ascii="Geomanist Light" w:hAnsi="Geomanist Light" w:cs="Arial"/>
          <w:sz w:val="22"/>
        </w:rPr>
        <w:t>, como se observa en su</w:t>
      </w:r>
      <w:r w:rsidR="002E1FE0" w:rsidRPr="008D6B05">
        <w:rPr>
          <w:rFonts w:ascii="Geomanist Light" w:hAnsi="Geomanist Light" w:cs="Arial"/>
          <w:sz w:val="22"/>
        </w:rPr>
        <w:t xml:space="preserve"> parte introductoria «[…] Este documento contiene algunas recomendaciones generales de Colombia Compra Eficiente, y no debe ser utilizado de manera mecánica. La profundidad del estudio del sector depende de la complejidad del Proceso de Contratación»</w:t>
      </w:r>
      <w:r w:rsidR="002E1FE0">
        <w:rPr>
          <w:rFonts w:ascii="Geomanist Light" w:hAnsi="Geomanist Light" w:cs="Arial"/>
          <w:sz w:val="22"/>
        </w:rPr>
        <w:t>, por tanto</w:t>
      </w:r>
      <w:r w:rsidR="00023A4E">
        <w:rPr>
          <w:rFonts w:ascii="Geomanist Light" w:hAnsi="Geomanist Light" w:cs="Arial"/>
          <w:sz w:val="22"/>
        </w:rPr>
        <w:t>,</w:t>
      </w:r>
      <w:r w:rsidR="002E1FE0">
        <w:rPr>
          <w:rFonts w:ascii="Geomanist Light" w:hAnsi="Geomanist Light" w:cs="Arial"/>
          <w:sz w:val="22"/>
        </w:rPr>
        <w:t xml:space="preserve"> corresponde a la </w:t>
      </w:r>
      <w:r w:rsidR="00023A4E">
        <w:rPr>
          <w:rFonts w:ascii="Geomanist Light" w:hAnsi="Geomanist Light" w:cs="Arial"/>
          <w:sz w:val="22"/>
        </w:rPr>
        <w:t xml:space="preserve">autonomía de cada </w:t>
      </w:r>
      <w:r w:rsidR="002E1FE0">
        <w:rPr>
          <w:rFonts w:ascii="Geomanist Light" w:hAnsi="Geomanist Light" w:cs="Arial"/>
          <w:sz w:val="22"/>
        </w:rPr>
        <w:t xml:space="preserve">entidad determinar </w:t>
      </w:r>
      <w:r w:rsidR="00023A4E">
        <w:rPr>
          <w:rFonts w:ascii="Geomanist Light" w:hAnsi="Geomanist Light" w:cs="Arial"/>
          <w:sz w:val="22"/>
        </w:rPr>
        <w:t>la forma más adecuada de estructurar sus e</w:t>
      </w:r>
      <w:proofErr w:type="spellStart"/>
      <w:r w:rsidR="00023A4E" w:rsidRPr="00A026E5">
        <w:rPr>
          <w:rFonts w:ascii="Geomanist Light" w:eastAsia="Calibri" w:hAnsi="Geomanist Light" w:cs="Arial"/>
          <w:bCs/>
          <w:sz w:val="22"/>
          <w:lang w:val="es-ES_tradnl"/>
        </w:rPr>
        <w:t>studio</w:t>
      </w:r>
      <w:r w:rsidR="00023A4E">
        <w:rPr>
          <w:rFonts w:ascii="Geomanist Light" w:eastAsia="Calibri" w:hAnsi="Geomanist Light" w:cs="Arial"/>
          <w:bCs/>
          <w:sz w:val="22"/>
          <w:lang w:val="es-ES_tradnl"/>
        </w:rPr>
        <w:t>s</w:t>
      </w:r>
      <w:proofErr w:type="spellEnd"/>
      <w:r w:rsidR="00023A4E" w:rsidRPr="00A026E5">
        <w:rPr>
          <w:rFonts w:ascii="Geomanist Light" w:eastAsia="Calibri" w:hAnsi="Geomanist Light" w:cs="Arial"/>
          <w:bCs/>
          <w:sz w:val="22"/>
          <w:lang w:val="es-ES_tradnl"/>
        </w:rPr>
        <w:t xml:space="preserve"> del </w:t>
      </w:r>
      <w:r w:rsidR="00023A4E">
        <w:rPr>
          <w:rFonts w:ascii="Geomanist Light" w:eastAsia="Calibri" w:hAnsi="Geomanist Light" w:cs="Arial"/>
          <w:bCs/>
          <w:sz w:val="22"/>
          <w:lang w:val="es-ES_tradnl"/>
        </w:rPr>
        <w:t>s</w:t>
      </w:r>
      <w:r w:rsidR="00023A4E" w:rsidRPr="00A026E5">
        <w:rPr>
          <w:rFonts w:ascii="Geomanist Light" w:eastAsia="Calibri" w:hAnsi="Geomanist Light" w:cs="Arial"/>
          <w:bCs/>
          <w:sz w:val="22"/>
          <w:lang w:val="es-ES_tradnl"/>
        </w:rPr>
        <w:t>ector</w:t>
      </w:r>
      <w:r w:rsidR="00023A4E">
        <w:rPr>
          <w:rFonts w:ascii="Geomanist Light" w:eastAsia="Calibri" w:hAnsi="Geomanist Light" w:cs="Arial"/>
          <w:bCs/>
          <w:sz w:val="22"/>
          <w:lang w:val="es-ES_tradnl"/>
        </w:rPr>
        <w:t xml:space="preserve">, así como </w:t>
      </w:r>
      <w:r w:rsidR="00023A4E" w:rsidRPr="00A026E5">
        <w:rPr>
          <w:rFonts w:ascii="Geomanist Light" w:eastAsia="Calibri" w:hAnsi="Geomanist Light" w:cs="Arial"/>
          <w:bCs/>
          <w:sz w:val="22"/>
          <w:lang w:val="es-ES_tradnl"/>
        </w:rPr>
        <w:t>los Documentos del Proceso</w:t>
      </w:r>
      <w:r w:rsidR="00023A4E">
        <w:rPr>
          <w:rFonts w:ascii="Geomanist Light" w:eastAsia="Calibri" w:hAnsi="Geomanist Light" w:cs="Arial"/>
          <w:bCs/>
          <w:sz w:val="22"/>
          <w:lang w:val="es-ES_tradnl"/>
        </w:rPr>
        <w:t xml:space="preserve"> en donde dejará la constancia de tal verificación</w:t>
      </w:r>
      <w:r w:rsidR="00023A4E" w:rsidRPr="00A026E5">
        <w:rPr>
          <w:rFonts w:ascii="Geomanist Light" w:eastAsia="Calibri" w:hAnsi="Geomanist Light" w:cs="Arial"/>
          <w:bCs/>
          <w:sz w:val="22"/>
          <w:lang w:val="es-ES_tradnl"/>
        </w:rPr>
        <w:t>, bien sea en los estudios previos o en la información de soporte de estos.</w:t>
      </w:r>
    </w:p>
    <w:p w14:paraId="0A0F92B0" w14:textId="283C04F0" w:rsidR="00D867E2" w:rsidRPr="003512FF" w:rsidRDefault="00D867E2" w:rsidP="003512FF">
      <w:pPr>
        <w:pStyle w:val="NormalWeb"/>
        <w:spacing w:before="0" w:beforeAutospacing="0" w:after="240" w:afterAutospacing="0" w:line="240" w:lineRule="auto"/>
        <w:ind w:left="709" w:right="900"/>
        <w:rPr>
          <w:rFonts w:ascii="Geomanist Light" w:hAnsi="Geomanist Light" w:cs="Arial"/>
          <w:sz w:val="21"/>
          <w:szCs w:val="21"/>
        </w:rPr>
      </w:pPr>
      <w:r w:rsidRPr="00C5544B">
        <w:rPr>
          <w:rFonts w:ascii="Geomanist Light" w:hAnsi="Geomanist Light" w:cs="Arial"/>
          <w:sz w:val="21"/>
          <w:szCs w:val="21"/>
        </w:rPr>
        <w:t>1.3. De acuerdo con las buenas prácticas en materia de contratación estatal, específicamente bajo la modalidad de contratación directa, si las actas de reunión, documentos de deliberación y otros documentos preparatorios, que consignen decisiones relacionadas con en fase precontractual, cuyo contenido se encuentra asociado con los fundamentos o circunstancias que motiven la decisión de adquirir un bien o servicio, sin perjuicio de los documentos que analicen los riesgos asociados con la operación, forman parte de los estudios previos, como parte del proceso de planeación.</w:t>
      </w:r>
    </w:p>
    <w:p w14:paraId="4F56D230" w14:textId="77777777" w:rsidR="00D867E2" w:rsidRPr="00D867E2" w:rsidRDefault="00D867E2" w:rsidP="00D867E2">
      <w:pPr>
        <w:rPr>
          <w:rFonts w:ascii="Geomanist Light" w:hAnsi="Geomanist Light" w:cs="Arial"/>
          <w:sz w:val="22"/>
          <w:lang w:val="es-CO"/>
        </w:rPr>
      </w:pPr>
      <w:r w:rsidRPr="00D867E2">
        <w:rPr>
          <w:rFonts w:ascii="Geomanist Light" w:hAnsi="Geomanist Light" w:cs="Arial"/>
          <w:sz w:val="22"/>
          <w:lang w:val="es-ES"/>
        </w:rPr>
        <w:t xml:space="preserve">La expresión </w:t>
      </w:r>
      <w:r w:rsidRPr="00D867E2">
        <w:rPr>
          <w:rFonts w:ascii="Geomanist Light" w:hAnsi="Geomanist Light" w:cs="Arial"/>
          <w:i/>
          <w:iCs/>
          <w:sz w:val="22"/>
          <w:lang w:val="es-ES"/>
        </w:rPr>
        <w:t>Documentos del Proceso</w:t>
      </w:r>
      <w:r w:rsidRPr="00D867E2">
        <w:rPr>
          <w:rFonts w:ascii="Geomanist Light" w:hAnsi="Geomanist Light" w:cs="Arial"/>
          <w:sz w:val="22"/>
          <w:lang w:val="es-ES"/>
        </w:rPr>
        <w:t xml:space="preserve"> está definida en el artículo 2.2.1.1.1.3.1. del Decreto 1082 de 2015, donde se establece que: «[…] son: (a) los estudios y documentos previos; (b) el aviso de convocatoria; (c) los pliegos de condiciones o la invitación; (d) las adendas; (e) la oferta; (f) </w:t>
      </w:r>
      <w:r w:rsidRPr="00D867E2">
        <w:rPr>
          <w:rFonts w:ascii="Geomanist Light" w:hAnsi="Geomanist Light" w:cs="Arial"/>
          <w:sz w:val="22"/>
          <w:lang w:val="es-ES"/>
        </w:rPr>
        <w:lastRenderedPageBreak/>
        <w:t>el informe de evaluación; (g) el contrato; y cualquier otro documento expedido por la Entidad Estatal durante el Proceso de Contratación». </w:t>
      </w:r>
      <w:r w:rsidRPr="00D867E2">
        <w:rPr>
          <w:rFonts w:ascii="Geomanist Light" w:hAnsi="Geomanist Light" w:cs="Arial"/>
          <w:sz w:val="22"/>
          <w:lang w:val="es-CO"/>
        </w:rPr>
        <w:t> </w:t>
      </w:r>
    </w:p>
    <w:p w14:paraId="50CA62B0" w14:textId="02AC1AD1" w:rsidR="00D867E2" w:rsidRPr="00D867E2" w:rsidRDefault="00D867E2" w:rsidP="00D867E2">
      <w:pPr>
        <w:ind w:firstLine="709"/>
        <w:rPr>
          <w:rFonts w:ascii="Geomanist Light" w:hAnsi="Geomanist Light" w:cs="Arial"/>
          <w:sz w:val="22"/>
          <w:lang w:val="es-CO"/>
        </w:rPr>
      </w:pPr>
      <w:r w:rsidRPr="00D867E2">
        <w:rPr>
          <w:rFonts w:ascii="Geomanist Light" w:hAnsi="Geomanist Light" w:cs="Arial"/>
          <w:sz w:val="22"/>
          <w:lang w:val="es-ES"/>
        </w:rPr>
        <w:t xml:space="preserve">No obstante, es necesario realizar una interpretación sistemática de las disposiciones del Decreto 1082 del 2015, en razón a que lo ahí previsto no se trata de un listado taxativo, sino enunciativo. En ese sentido, es oportuno aclarar que, además de los documentos enlistados, el artículo 2.2.1.1.1.3.1 </w:t>
      </w:r>
      <w:r w:rsidRPr="00D867E2">
        <w:rPr>
          <w:rFonts w:ascii="Geomanist Light" w:hAnsi="Geomanist Light" w:cs="Arial"/>
          <w:i/>
          <w:iCs/>
          <w:sz w:val="22"/>
          <w:lang w:val="es-ES"/>
        </w:rPr>
        <w:t>Ibídem</w:t>
      </w:r>
      <w:r w:rsidRPr="00D867E2">
        <w:rPr>
          <w:rFonts w:ascii="Geomanist Light" w:hAnsi="Geomanist Light" w:cs="Arial"/>
          <w:sz w:val="22"/>
          <w:lang w:val="es-ES"/>
        </w:rPr>
        <w:t xml:space="preserve"> recoge en la noción de </w:t>
      </w:r>
      <w:r w:rsidRPr="00D867E2">
        <w:rPr>
          <w:rFonts w:ascii="Geomanist Light" w:hAnsi="Geomanist Light" w:cs="Arial"/>
          <w:i/>
          <w:iCs/>
          <w:sz w:val="22"/>
          <w:lang w:val="es-ES"/>
        </w:rPr>
        <w:t>Documentos del Proceso</w:t>
      </w:r>
      <w:r w:rsidRPr="00D867E2">
        <w:rPr>
          <w:rFonts w:ascii="Geomanist Light" w:hAnsi="Geomanist Light" w:cs="Arial"/>
          <w:sz w:val="22"/>
          <w:lang w:val="es-ES"/>
        </w:rPr>
        <w:t xml:space="preserve"> «cualquier otro documento expedido por la Entidad Estatal durante el </w:t>
      </w:r>
      <w:r w:rsidRPr="00D867E2">
        <w:rPr>
          <w:rFonts w:ascii="Geomanist Light" w:hAnsi="Geomanist Light" w:cs="Arial"/>
          <w:i/>
          <w:iCs/>
          <w:sz w:val="22"/>
          <w:lang w:val="es-ES"/>
        </w:rPr>
        <w:t>Proceso de Contratación»</w:t>
      </w:r>
      <w:r w:rsidRPr="00D867E2">
        <w:rPr>
          <w:rFonts w:ascii="Geomanist Light" w:hAnsi="Geomanist Light" w:cs="Arial"/>
          <w:sz w:val="22"/>
          <w:lang w:val="es-ES"/>
        </w:rPr>
        <w:t>. E</w:t>
      </w:r>
      <w:r>
        <w:rPr>
          <w:rFonts w:ascii="Geomanist Light" w:hAnsi="Geomanist Light" w:cs="Arial"/>
          <w:sz w:val="22"/>
          <w:lang w:val="es-ES"/>
        </w:rPr>
        <w:t xml:space="preserve">n este sentido, es importante tener en cuenta que </w:t>
      </w:r>
      <w:r w:rsidRPr="00D867E2">
        <w:rPr>
          <w:rFonts w:ascii="Geomanist Light" w:hAnsi="Geomanist Light" w:cs="Arial"/>
          <w:sz w:val="22"/>
          <w:lang w:val="es-ES"/>
        </w:rPr>
        <w:t xml:space="preserve">la expresión </w:t>
      </w:r>
      <w:r w:rsidRPr="00D867E2">
        <w:rPr>
          <w:rFonts w:ascii="Geomanist Light" w:hAnsi="Geomanist Light" w:cs="Arial"/>
          <w:i/>
          <w:iCs/>
          <w:sz w:val="22"/>
          <w:lang w:val="es-ES"/>
        </w:rPr>
        <w:t>Proceso de Contratación</w:t>
      </w:r>
      <w:r w:rsidRPr="00D867E2">
        <w:rPr>
          <w:rFonts w:ascii="Geomanist Light" w:hAnsi="Geomanist Light" w:cs="Arial"/>
          <w:sz w:val="22"/>
          <w:lang w:val="es-ES"/>
        </w:rPr>
        <w:t xml:space="preserve"> </w:t>
      </w:r>
      <w:r>
        <w:rPr>
          <w:rFonts w:ascii="Geomanist Light" w:hAnsi="Geomanist Light" w:cs="Arial"/>
          <w:sz w:val="22"/>
          <w:lang w:val="es-ES"/>
        </w:rPr>
        <w:t>corresponde a</w:t>
      </w:r>
      <w:r w:rsidRPr="00D867E2">
        <w:rPr>
          <w:rFonts w:ascii="Geomanist Light" w:hAnsi="Geomanist Light" w:cs="Arial"/>
          <w:sz w:val="22"/>
          <w:lang w:val="es-ES"/>
        </w:rPr>
        <w:t>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r w:rsidRPr="00D867E2">
        <w:rPr>
          <w:rFonts w:ascii="Geomanist Light" w:hAnsi="Geomanist Light" w:cs="Arial"/>
          <w:sz w:val="22"/>
          <w:lang w:val="es-CO"/>
        </w:rPr>
        <w:t> </w:t>
      </w:r>
    </w:p>
    <w:p w14:paraId="43DBF70C" w14:textId="03C8E737" w:rsidR="00D867E2" w:rsidRPr="00D867E2" w:rsidRDefault="00D867E2" w:rsidP="00D867E2">
      <w:pPr>
        <w:rPr>
          <w:rFonts w:ascii="Geomanist Light" w:hAnsi="Geomanist Light" w:cs="Arial"/>
          <w:sz w:val="22"/>
          <w:lang w:val="es-CO"/>
        </w:rPr>
      </w:pPr>
      <w:r>
        <w:rPr>
          <w:rFonts w:ascii="Geomanist Light" w:hAnsi="Geomanist Light" w:cs="Arial"/>
          <w:sz w:val="22"/>
          <w:lang w:val="es-ES"/>
        </w:rPr>
        <w:t xml:space="preserve">De este modo, </w:t>
      </w:r>
      <w:r w:rsidRPr="00D867E2">
        <w:rPr>
          <w:rFonts w:ascii="Geomanist Light" w:hAnsi="Geomanist Light" w:cs="Arial"/>
          <w:sz w:val="22"/>
          <w:lang w:val="es-ES"/>
        </w:rPr>
        <w:t xml:space="preserve">cualquier </w:t>
      </w:r>
      <w:r w:rsidR="00420633">
        <w:rPr>
          <w:rFonts w:ascii="Geomanist Light" w:hAnsi="Geomanist Light" w:cs="Arial"/>
          <w:sz w:val="22"/>
          <w:lang w:val="es-ES"/>
        </w:rPr>
        <w:t xml:space="preserve">documento que surja en virtud de la </w:t>
      </w:r>
      <w:r w:rsidRPr="00D867E2">
        <w:rPr>
          <w:rFonts w:ascii="Geomanist Light" w:hAnsi="Geomanist Light" w:cs="Arial"/>
          <w:sz w:val="22"/>
          <w:lang w:val="es-ES"/>
        </w:rPr>
        <w:t xml:space="preserve">actuación ocurrida durante el </w:t>
      </w:r>
      <w:r w:rsidRPr="00D867E2">
        <w:rPr>
          <w:rFonts w:ascii="Geomanist Light" w:hAnsi="Geomanist Light" w:cs="Arial"/>
          <w:i/>
          <w:iCs/>
          <w:sz w:val="22"/>
          <w:lang w:val="es-ES"/>
        </w:rPr>
        <w:t>Proceso de Contratación</w:t>
      </w:r>
      <w:r w:rsidRPr="00D867E2">
        <w:rPr>
          <w:rFonts w:ascii="Geomanist Light" w:hAnsi="Geomanist Light" w:cs="Arial"/>
          <w:sz w:val="22"/>
          <w:lang w:val="es-ES"/>
        </w:rPr>
        <w:t>–a pesar de no tener origen en la entidad estatal, ni caber en estricto sentido en lo que se entiende con la expresión</w:t>
      </w:r>
      <w:r w:rsidRPr="00D867E2">
        <w:rPr>
          <w:rFonts w:ascii="Geomanist Light" w:hAnsi="Geomanist Light" w:cs="Arial"/>
          <w:i/>
          <w:iCs/>
          <w:sz w:val="22"/>
          <w:lang w:val="es-ES"/>
        </w:rPr>
        <w:t xml:space="preserve"> Documento del Proceso–, </w:t>
      </w:r>
      <w:r w:rsidRPr="00D867E2">
        <w:rPr>
          <w:rFonts w:ascii="Geomanist Light" w:hAnsi="Geomanist Light" w:cs="Arial"/>
          <w:sz w:val="22"/>
          <w:lang w:val="es-ES"/>
        </w:rPr>
        <w:t>hace parte del desarrollo del procedimiento</w:t>
      </w:r>
      <w:r>
        <w:rPr>
          <w:rFonts w:ascii="Geomanist Light" w:hAnsi="Geomanist Light" w:cs="Arial"/>
          <w:sz w:val="22"/>
          <w:lang w:val="es-ES"/>
        </w:rPr>
        <w:t>.</w:t>
      </w:r>
    </w:p>
    <w:p w14:paraId="4A074CA0" w14:textId="2C9FE1CE" w:rsidR="00474929" w:rsidRPr="00777192" w:rsidRDefault="00474929" w:rsidP="00F23CC2">
      <w:pPr>
        <w:spacing w:after="240"/>
        <w:rPr>
          <w:rFonts w:ascii="Geomanist Light" w:eastAsia="Times New Roman" w:hAnsi="Geomanist Light" w:cs="Times New Roman"/>
          <w:szCs w:val="24"/>
          <w:lang w:val="es-CO" w:eastAsia="es-ES_tradnl"/>
        </w:rPr>
      </w:pPr>
      <w:r w:rsidRPr="00777192">
        <w:rPr>
          <w:rFonts w:ascii="Geomanist Light" w:eastAsia="Calibri" w:hAnsi="Geomanist Light" w:cs="Arial"/>
          <w:sz w:val="22"/>
          <w:lang w:val="es-CO"/>
        </w:rPr>
        <w:t>Este concepto tiene el alcance previsto en el artículo 28 del Código de Procedimiento Administrativo y de lo Contencioso Administrativo.</w:t>
      </w:r>
    </w:p>
    <w:p w14:paraId="151370CB" w14:textId="58F27063" w:rsidR="00474929" w:rsidRDefault="00474929" w:rsidP="00474929">
      <w:pPr>
        <w:rPr>
          <w:rFonts w:ascii="Geomanist Light" w:eastAsia="Times New Roman" w:hAnsi="Geomanist Light" w:cs="Arial"/>
          <w:sz w:val="22"/>
          <w:lang w:val="es-CO" w:eastAsia="es-CO"/>
        </w:rPr>
      </w:pPr>
      <w:r w:rsidRPr="00777192">
        <w:rPr>
          <w:rFonts w:ascii="Geomanist Light" w:eastAsia="Times New Roman" w:hAnsi="Geomanist Light" w:cs="Arial"/>
          <w:sz w:val="22"/>
          <w:lang w:val="es-CO" w:eastAsia="es-CO"/>
        </w:rPr>
        <w:t>Atentamente,</w:t>
      </w:r>
      <w:bookmarkEnd w:id="0"/>
      <w:bookmarkEnd w:id="12"/>
    </w:p>
    <w:p w14:paraId="307D137D" w14:textId="46585F82" w:rsidR="00290391" w:rsidRPr="00AE0639" w:rsidRDefault="009B03EF" w:rsidP="00EA2394">
      <w:pPr>
        <w:spacing w:before="120" w:after="120"/>
        <w:jc w:val="center"/>
        <w:rPr>
          <w:rFonts w:ascii="Geomanist Light" w:eastAsia="Calibri" w:hAnsi="Geomanist Light"/>
        </w:rPr>
      </w:pPr>
      <w:r>
        <w:rPr>
          <w:noProof/>
          <w:lang w:val="en-US"/>
        </w:rPr>
        <w:drawing>
          <wp:inline distT="0" distB="0" distL="0" distR="0" wp14:anchorId="4754CC9B" wp14:editId="1B3A20A4">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290391" w:rsidRPr="00346A2B" w14:paraId="504E0872" w14:textId="77777777" w:rsidTr="0018008A">
        <w:trPr>
          <w:trHeight w:val="286"/>
        </w:trPr>
        <w:tc>
          <w:tcPr>
            <w:tcW w:w="817" w:type="dxa"/>
            <w:vAlign w:val="center"/>
          </w:tcPr>
          <w:p w14:paraId="49617C19" w14:textId="77777777" w:rsidR="00290391" w:rsidRPr="00AE0639" w:rsidRDefault="00290391" w:rsidP="003512FF">
            <w:pPr>
              <w:spacing w:after="0" w:line="240" w:lineRule="auto"/>
              <w:rPr>
                <w:rFonts w:ascii="Geomanist Light" w:hAnsi="Geomanist Light" w:cs="Arial"/>
                <w:sz w:val="16"/>
                <w:szCs w:val="16"/>
              </w:rPr>
            </w:pPr>
            <w:r w:rsidRPr="00AE0639">
              <w:rPr>
                <w:rFonts w:ascii="Geomanist Light" w:hAnsi="Geomanist Light" w:cs="Arial"/>
                <w:sz w:val="16"/>
                <w:szCs w:val="16"/>
              </w:rPr>
              <w:t>Elaboró:</w:t>
            </w:r>
          </w:p>
        </w:tc>
        <w:tc>
          <w:tcPr>
            <w:tcW w:w="4445" w:type="dxa"/>
            <w:tcBorders>
              <w:bottom w:val="dotted" w:sz="4" w:space="0" w:color="7F7F7F"/>
            </w:tcBorders>
            <w:vAlign w:val="center"/>
          </w:tcPr>
          <w:p w14:paraId="3BE2B52E" w14:textId="77777777" w:rsidR="00290391" w:rsidRPr="00AE0639" w:rsidRDefault="00290391" w:rsidP="003512FF">
            <w:pPr>
              <w:spacing w:after="0" w:line="240" w:lineRule="auto"/>
              <w:rPr>
                <w:rFonts w:ascii="Geomanist Light" w:hAnsi="Geomanist Light" w:cs="Arial"/>
                <w:sz w:val="16"/>
                <w:szCs w:val="16"/>
              </w:rPr>
            </w:pPr>
            <w:r w:rsidRPr="00AE0639">
              <w:rPr>
                <w:rFonts w:ascii="Geomanist Light" w:hAnsi="Geomanist Light" w:cs="Arial"/>
                <w:sz w:val="16"/>
                <w:szCs w:val="16"/>
              </w:rPr>
              <w:t xml:space="preserve">Diana Fabiola Herrera Hernández </w:t>
            </w:r>
          </w:p>
          <w:p w14:paraId="034D8759" w14:textId="77777777" w:rsidR="00290391" w:rsidRPr="00AE0639" w:rsidRDefault="00290391" w:rsidP="003512FF">
            <w:pPr>
              <w:spacing w:after="0" w:line="240" w:lineRule="auto"/>
              <w:rPr>
                <w:rFonts w:ascii="Geomanist Light" w:hAnsi="Geomanist Light" w:cs="Arial"/>
                <w:sz w:val="16"/>
                <w:szCs w:val="16"/>
              </w:rPr>
            </w:pPr>
            <w:r w:rsidRPr="00AE0639">
              <w:rPr>
                <w:rFonts w:ascii="Geomanist Light" w:hAnsi="Geomanist Light" w:cs="Arial"/>
                <w:sz w:val="16"/>
                <w:szCs w:val="16"/>
              </w:rPr>
              <w:t>Contratista de la Subdirección de Gestión Contractual</w:t>
            </w:r>
          </w:p>
        </w:tc>
      </w:tr>
      <w:tr w:rsidR="00290391" w:rsidRPr="00346A2B" w14:paraId="7C98C13D" w14:textId="77777777" w:rsidTr="0018008A">
        <w:trPr>
          <w:trHeight w:val="286"/>
        </w:trPr>
        <w:tc>
          <w:tcPr>
            <w:tcW w:w="817" w:type="dxa"/>
            <w:vAlign w:val="center"/>
          </w:tcPr>
          <w:p w14:paraId="5CA6D036" w14:textId="77777777" w:rsidR="00290391" w:rsidRPr="00AE0639" w:rsidRDefault="00290391" w:rsidP="003512FF">
            <w:pPr>
              <w:spacing w:after="0" w:line="240" w:lineRule="auto"/>
              <w:rPr>
                <w:rFonts w:ascii="Geomanist Light" w:hAnsi="Geomanist Light" w:cs="Arial"/>
                <w:sz w:val="16"/>
                <w:szCs w:val="16"/>
              </w:rPr>
            </w:pPr>
            <w:r w:rsidRPr="00AE0639">
              <w:rPr>
                <w:rFonts w:ascii="Geomanist Light" w:hAnsi="Geomanist Light" w:cs="Arial"/>
                <w:sz w:val="16"/>
                <w:szCs w:val="16"/>
              </w:rPr>
              <w:t>Revisó:</w:t>
            </w:r>
          </w:p>
        </w:tc>
        <w:tc>
          <w:tcPr>
            <w:tcW w:w="4445" w:type="dxa"/>
            <w:tcBorders>
              <w:bottom w:val="dotted" w:sz="4" w:space="0" w:color="7F7F7F"/>
            </w:tcBorders>
            <w:vAlign w:val="center"/>
          </w:tcPr>
          <w:p w14:paraId="5F7739DB" w14:textId="77777777" w:rsidR="000F0C9F" w:rsidRPr="00C30136" w:rsidRDefault="000F0C9F" w:rsidP="003512FF">
            <w:pPr>
              <w:spacing w:after="0" w:line="240" w:lineRule="auto"/>
              <w:rPr>
                <w:rFonts w:ascii="Geomanist Light" w:hAnsi="Geomanist Light" w:cs="Arial"/>
                <w:sz w:val="16"/>
                <w:szCs w:val="16"/>
              </w:rPr>
            </w:pPr>
            <w:r w:rsidRPr="00C30136">
              <w:rPr>
                <w:rFonts w:ascii="Geomanist Light" w:hAnsi="Geomanist Light" w:cs="Arial"/>
                <w:sz w:val="16"/>
                <w:szCs w:val="16"/>
              </w:rPr>
              <w:t>Any Alejandra Tovar Castillo</w:t>
            </w:r>
          </w:p>
          <w:p w14:paraId="25D5227C" w14:textId="7BF37A2B" w:rsidR="00290391" w:rsidRPr="00AE0639" w:rsidRDefault="000F0C9F" w:rsidP="003512FF">
            <w:pPr>
              <w:spacing w:after="0" w:line="240" w:lineRule="auto"/>
              <w:rPr>
                <w:rFonts w:ascii="Geomanist Light" w:hAnsi="Geomanist Light" w:cs="Arial"/>
                <w:sz w:val="16"/>
                <w:szCs w:val="16"/>
              </w:rPr>
            </w:pPr>
            <w:r w:rsidRPr="00C30136">
              <w:rPr>
                <w:rFonts w:ascii="Geomanist Light" w:hAnsi="Geomanist Light" w:cs="Arial"/>
                <w:sz w:val="16"/>
                <w:szCs w:val="16"/>
              </w:rPr>
              <w:t>Contratista de la Subdirección de Gestión Contractual</w:t>
            </w:r>
          </w:p>
        </w:tc>
      </w:tr>
      <w:tr w:rsidR="00290391" w:rsidRPr="00346A2B" w14:paraId="03ADD563" w14:textId="77777777" w:rsidTr="0018008A">
        <w:trPr>
          <w:trHeight w:val="299"/>
        </w:trPr>
        <w:tc>
          <w:tcPr>
            <w:tcW w:w="817" w:type="dxa"/>
            <w:vAlign w:val="center"/>
          </w:tcPr>
          <w:p w14:paraId="0B3A4B55" w14:textId="77777777" w:rsidR="00290391" w:rsidRPr="00AE0639" w:rsidRDefault="00290391" w:rsidP="003512FF">
            <w:pPr>
              <w:spacing w:after="0" w:line="240" w:lineRule="auto"/>
              <w:rPr>
                <w:rFonts w:ascii="Geomanist Light" w:hAnsi="Geomanist Light" w:cs="Arial"/>
                <w:sz w:val="16"/>
                <w:szCs w:val="16"/>
              </w:rPr>
            </w:pPr>
            <w:r w:rsidRPr="00AE0639">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5668AD41" w14:textId="77777777" w:rsidR="00290391" w:rsidRPr="00AE0639" w:rsidRDefault="00290391" w:rsidP="003512FF">
            <w:pPr>
              <w:spacing w:after="0" w:line="240" w:lineRule="auto"/>
              <w:rPr>
                <w:rFonts w:ascii="Geomanist Light" w:hAnsi="Geomanist Light" w:cs="Arial"/>
                <w:sz w:val="16"/>
                <w:szCs w:val="16"/>
              </w:rPr>
            </w:pPr>
            <w:r w:rsidRPr="00AE0639">
              <w:rPr>
                <w:rFonts w:ascii="Geomanist Light" w:hAnsi="Geomanist Light" w:cs="Arial"/>
                <w:sz w:val="16"/>
                <w:szCs w:val="16"/>
              </w:rPr>
              <w:t xml:space="preserve">Nohelia del </w:t>
            </w:r>
            <w:r w:rsidRPr="006F154D">
              <w:rPr>
                <w:rFonts w:ascii="Geomanist Light" w:hAnsi="Geomanist Light" w:cs="Arial"/>
                <w:sz w:val="16"/>
                <w:szCs w:val="16"/>
              </w:rPr>
              <w:t>Carmen</w:t>
            </w:r>
            <w:r w:rsidRPr="00AE0639">
              <w:rPr>
                <w:rFonts w:ascii="Geomanist Light" w:hAnsi="Geomanist Light" w:cs="Arial"/>
                <w:sz w:val="16"/>
                <w:szCs w:val="16"/>
              </w:rPr>
              <w:t xml:space="preserve"> </w:t>
            </w:r>
            <w:proofErr w:type="spellStart"/>
            <w:r w:rsidRPr="00AE0639">
              <w:rPr>
                <w:rFonts w:ascii="Geomanist Light" w:hAnsi="Geomanist Light" w:cs="Arial"/>
                <w:sz w:val="16"/>
                <w:szCs w:val="16"/>
              </w:rPr>
              <w:t>Zawady</w:t>
            </w:r>
            <w:proofErr w:type="spellEnd"/>
            <w:r w:rsidRPr="00AE0639">
              <w:rPr>
                <w:rFonts w:ascii="Geomanist Light" w:hAnsi="Geomanist Light" w:cs="Arial"/>
                <w:sz w:val="16"/>
                <w:szCs w:val="16"/>
              </w:rPr>
              <w:t xml:space="preserve"> Palacio</w:t>
            </w:r>
          </w:p>
          <w:p w14:paraId="08CB8B5B" w14:textId="77777777" w:rsidR="00290391" w:rsidRPr="00AE0639" w:rsidRDefault="00290391" w:rsidP="003512FF">
            <w:pPr>
              <w:spacing w:after="0" w:line="240" w:lineRule="auto"/>
              <w:rPr>
                <w:rFonts w:ascii="Geomanist Light" w:hAnsi="Geomanist Light" w:cs="Arial"/>
                <w:sz w:val="16"/>
                <w:szCs w:val="16"/>
              </w:rPr>
            </w:pPr>
            <w:r w:rsidRPr="00AE0639">
              <w:rPr>
                <w:rFonts w:ascii="Geomanist Light" w:hAnsi="Geomanist Light" w:cs="Arial"/>
                <w:sz w:val="16"/>
                <w:szCs w:val="16"/>
              </w:rPr>
              <w:t xml:space="preserve">Subdirectora de Gestión Contractual ANCP – CCE </w:t>
            </w:r>
          </w:p>
        </w:tc>
      </w:tr>
    </w:tbl>
    <w:p w14:paraId="67CE5A68" w14:textId="77777777" w:rsidR="00290391" w:rsidRPr="00777192" w:rsidRDefault="00290391" w:rsidP="00474929">
      <w:pPr>
        <w:rPr>
          <w:rFonts w:ascii="Geomanist Light" w:eastAsia="Times New Roman" w:hAnsi="Geomanist Light" w:cs="Arial"/>
          <w:sz w:val="22"/>
          <w:lang w:val="es-CO" w:eastAsia="es-CO"/>
        </w:rPr>
      </w:pPr>
    </w:p>
    <w:p w14:paraId="25DAC6FB" w14:textId="39CBC286" w:rsidR="00474929" w:rsidRPr="00777192" w:rsidRDefault="00474929" w:rsidP="00474929">
      <w:pPr>
        <w:jc w:val="center"/>
        <w:rPr>
          <w:rFonts w:ascii="Geomanist Light" w:eastAsia="Times New Roman" w:hAnsi="Geomanist Light" w:cs="Arial"/>
          <w:color w:val="000000"/>
          <w:lang w:val="es-ES_tradnl" w:eastAsia="es-CO"/>
        </w:rPr>
      </w:pPr>
    </w:p>
    <w:p w14:paraId="7635A2DF" w14:textId="77777777" w:rsidR="00651A7A" w:rsidRPr="00777192" w:rsidRDefault="00651A7A">
      <w:pPr>
        <w:rPr>
          <w:rFonts w:ascii="Geomanist Light" w:hAnsi="Geomanist Light"/>
        </w:rPr>
      </w:pPr>
    </w:p>
    <w:sectPr w:rsidR="00651A7A" w:rsidRPr="00777192" w:rsidSect="00491E2D">
      <w:headerReference w:type="default" r:id="rId13"/>
      <w:footerReference w:type="default" r:id="rId14"/>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993E" w14:textId="77777777" w:rsidR="00081C46" w:rsidRDefault="00081C46" w:rsidP="00474929">
      <w:pPr>
        <w:spacing w:after="0" w:line="240" w:lineRule="auto"/>
      </w:pPr>
      <w:r>
        <w:separator/>
      </w:r>
    </w:p>
  </w:endnote>
  <w:endnote w:type="continuationSeparator" w:id="0">
    <w:p w14:paraId="1D354102" w14:textId="77777777" w:rsidR="00081C46" w:rsidRDefault="00081C46" w:rsidP="0047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D47C" w14:textId="77777777" w:rsidR="00A755BE" w:rsidRDefault="00A755BE" w:rsidP="00A755BE">
    <w:pPr>
      <w:pStyle w:val="Piedepgina"/>
    </w:pPr>
    <w:r>
      <w:rPr>
        <w:noProof/>
        <w:lang w:val="en-US"/>
      </w:rPr>
      <w:drawing>
        <wp:inline distT="0" distB="0" distL="0" distR="0" wp14:anchorId="071E8125" wp14:editId="384D2F06">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A755BE" w:rsidRPr="00080DA3" w14:paraId="2BA2297E" w14:textId="77777777" w:rsidTr="00762A5E">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94F7462" w14:textId="77777777" w:rsidR="00A755BE" w:rsidRPr="00080DA3" w:rsidRDefault="00A755BE" w:rsidP="00A755B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830BD8D" w14:textId="77777777" w:rsidR="00A755BE" w:rsidRPr="00080DA3" w:rsidRDefault="00A755BE" w:rsidP="00A755B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0E49DEA" w14:textId="77777777" w:rsidR="00A755BE" w:rsidRPr="00080DA3" w:rsidRDefault="00A755BE" w:rsidP="00A755B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D8B1618" w14:textId="77777777" w:rsidR="00A755BE" w:rsidRPr="004B6B0E" w:rsidRDefault="00A755BE" w:rsidP="00A755B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BDB4267" w14:textId="77777777" w:rsidR="00A755BE" w:rsidRPr="00080DA3" w:rsidRDefault="00A755BE" w:rsidP="00A755B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58F3F4A" w14:textId="77777777" w:rsidR="00A755BE" w:rsidRPr="00080DA3" w:rsidRDefault="00A755BE" w:rsidP="00A755BE">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37BB381" w14:textId="6227ED0F" w:rsidR="00A755BE" w:rsidRPr="00080DA3" w:rsidRDefault="00A755BE" w:rsidP="00A755B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9B03EF">
            <w:rPr>
              <w:rFonts w:ascii="Geomanist Light" w:hAnsi="Geomanist Light"/>
              <w:b/>
              <w:bCs/>
              <w:noProof/>
              <w:sz w:val="18"/>
              <w:szCs w:val="18"/>
            </w:rPr>
            <w:t>20</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9B03EF">
            <w:rPr>
              <w:rFonts w:ascii="Geomanist Light" w:hAnsi="Geomanist Light"/>
              <w:b/>
              <w:bCs/>
              <w:noProof/>
              <w:sz w:val="18"/>
              <w:szCs w:val="18"/>
            </w:rPr>
            <w:t>20</w:t>
          </w:r>
          <w:r w:rsidRPr="00080DA3">
            <w:rPr>
              <w:rFonts w:ascii="Geomanist Light" w:hAnsi="Geomanist Light"/>
              <w:b/>
              <w:bCs/>
              <w:sz w:val="18"/>
              <w:szCs w:val="18"/>
            </w:rPr>
            <w:fldChar w:fldCharType="end"/>
          </w:r>
        </w:p>
      </w:tc>
    </w:tr>
  </w:tbl>
  <w:p w14:paraId="2FFD125C" w14:textId="77777777" w:rsidR="00412132" w:rsidRPr="007B0854" w:rsidRDefault="008861A2"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0F00" w14:textId="77777777" w:rsidR="00081C46" w:rsidRDefault="00081C46" w:rsidP="00474929">
      <w:pPr>
        <w:spacing w:after="0" w:line="240" w:lineRule="auto"/>
      </w:pPr>
      <w:r>
        <w:separator/>
      </w:r>
    </w:p>
  </w:footnote>
  <w:footnote w:type="continuationSeparator" w:id="0">
    <w:p w14:paraId="7C027832" w14:textId="77777777" w:rsidR="00081C46" w:rsidRDefault="00081C46" w:rsidP="00474929">
      <w:pPr>
        <w:spacing w:after="0" w:line="240" w:lineRule="auto"/>
      </w:pPr>
      <w:r>
        <w:continuationSeparator/>
      </w:r>
    </w:p>
  </w:footnote>
  <w:footnote w:id="1">
    <w:p w14:paraId="0151EE11" w14:textId="1E28C28E" w:rsidR="00A026E5" w:rsidRPr="003512FF" w:rsidRDefault="00A026E5" w:rsidP="003512FF">
      <w:pPr>
        <w:pStyle w:val="Textonotapie"/>
        <w:spacing w:after="0" w:line="240" w:lineRule="auto"/>
        <w:ind w:firstLine="709"/>
        <w:rPr>
          <w:rFonts w:ascii="Geomanist Light" w:hAnsi="Geomanist Light"/>
          <w:sz w:val="18"/>
          <w:szCs w:val="18"/>
          <w:lang w:val="es-CO"/>
        </w:rPr>
      </w:pPr>
      <w:r w:rsidRPr="003512FF">
        <w:rPr>
          <w:rStyle w:val="Refdenotaalpie"/>
          <w:rFonts w:ascii="Geomanist Light" w:hAnsi="Geomanist Light"/>
          <w:sz w:val="18"/>
          <w:szCs w:val="18"/>
        </w:rPr>
        <w:footnoteRef/>
      </w:r>
      <w:r w:rsidRPr="003512FF">
        <w:rPr>
          <w:rFonts w:ascii="Geomanist Light" w:hAnsi="Geomanist Light"/>
          <w:sz w:val="18"/>
          <w:szCs w:val="18"/>
        </w:rPr>
        <w:t xml:space="preserve"> </w:t>
      </w:r>
      <w:r w:rsidRPr="003512FF">
        <w:rPr>
          <w:rFonts w:ascii="Geomanist Light" w:hAnsi="Geomanist Light" w:cs="Arial"/>
          <w:sz w:val="18"/>
          <w:szCs w:val="18"/>
          <w:lang w:val="es-CO"/>
        </w:rPr>
        <w:t xml:space="preserve">Estos conceptos pueden ser consultados en la relatoría de la Agencia en el siguiente enlace: </w:t>
      </w:r>
      <w:hyperlink r:id="rId1" w:history="1">
        <w:r w:rsidRPr="003512FF">
          <w:rPr>
            <w:rStyle w:val="Hipervnculo"/>
            <w:rFonts w:ascii="Geomanist Light" w:hAnsi="Geomanist Light" w:cs="Arial"/>
            <w:color w:val="000000" w:themeColor="text1"/>
            <w:sz w:val="18"/>
            <w:szCs w:val="18"/>
            <w:lang w:val="es-CO"/>
          </w:rPr>
          <w:t>https://relatoria.colombiacompra.gov.co/busqueda/conceptos#</w:t>
        </w:r>
      </w:hyperlink>
    </w:p>
  </w:footnote>
  <w:footnote w:id="2">
    <w:p w14:paraId="2ABBE3C8" w14:textId="08E112D7" w:rsidR="00A026E5" w:rsidRPr="003512FF" w:rsidRDefault="00A026E5" w:rsidP="00EA2394">
      <w:pPr>
        <w:spacing w:after="0" w:line="240" w:lineRule="auto"/>
        <w:ind w:firstLine="707"/>
        <w:rPr>
          <w:rFonts w:ascii="Geomanist Light" w:hAnsi="Geomanist Light" w:cs="Arial"/>
          <w:sz w:val="18"/>
          <w:szCs w:val="18"/>
        </w:rPr>
      </w:pPr>
      <w:r w:rsidRPr="003512FF">
        <w:rPr>
          <w:rStyle w:val="Refdenotaalpie"/>
          <w:rFonts w:ascii="Geomanist Light" w:hAnsi="Geomanist Light" w:cs="Arial"/>
          <w:sz w:val="18"/>
          <w:szCs w:val="18"/>
        </w:rPr>
        <w:footnoteRef/>
      </w:r>
      <w:r w:rsidRPr="003512FF">
        <w:rPr>
          <w:rFonts w:ascii="Geomanist Light" w:hAnsi="Geomanist Light" w:cs="Arial"/>
          <w:position w:val="6"/>
          <w:sz w:val="18"/>
          <w:szCs w:val="18"/>
        </w:rPr>
        <w:t xml:space="preserve"> </w:t>
      </w:r>
      <w:r w:rsidRPr="003512FF">
        <w:rPr>
          <w:rFonts w:ascii="Geomanist Light" w:hAnsi="Geomanist Light" w:cs="Arial"/>
          <w:sz w:val="18"/>
          <w:szCs w:val="18"/>
        </w:rPr>
        <w:t>DEIK ACOSTAMADIEDO, Carolina, Guía de Contratación Estatal: Deber de planeación y modalidades de selección, Buenos Aires, 2015, p. 59.</w:t>
      </w:r>
    </w:p>
  </w:footnote>
  <w:footnote w:id="3">
    <w:p w14:paraId="051E308C" w14:textId="77777777" w:rsidR="00A026E5" w:rsidRPr="003512FF" w:rsidRDefault="00A026E5" w:rsidP="003512FF">
      <w:pPr>
        <w:pStyle w:val="Textoindependiente"/>
        <w:spacing w:after="0" w:line="240" w:lineRule="auto"/>
        <w:ind w:firstLine="709"/>
        <w:jc w:val="both"/>
        <w:rPr>
          <w:rFonts w:ascii="Geomanist Light" w:hAnsi="Geomanist Light" w:cs="Arial"/>
          <w:sz w:val="18"/>
          <w:szCs w:val="18"/>
        </w:rPr>
      </w:pPr>
      <w:r w:rsidRPr="003512FF">
        <w:rPr>
          <w:rStyle w:val="Refdenotaalpie"/>
          <w:rFonts w:ascii="Geomanist Light" w:hAnsi="Geomanist Light" w:cs="Arial"/>
          <w:sz w:val="18"/>
          <w:szCs w:val="18"/>
        </w:rPr>
        <w:footnoteRef/>
      </w:r>
      <w:r w:rsidRPr="003512FF">
        <w:rPr>
          <w:rFonts w:ascii="Geomanist Light" w:hAnsi="Geomanist Light" w:cs="Arial"/>
          <w:sz w:val="18"/>
          <w:szCs w:val="18"/>
        </w:rPr>
        <w:t xml:space="preserve"> </w:t>
      </w:r>
      <w:r w:rsidRPr="003512FF">
        <w:rPr>
          <w:rFonts w:ascii="Geomanist Light" w:hAnsi="Geomanist Light" w:cs="Arial"/>
          <w:position w:val="6"/>
          <w:sz w:val="18"/>
          <w:szCs w:val="18"/>
        </w:rPr>
        <w:t xml:space="preserve"> </w:t>
      </w:r>
      <w:r w:rsidRPr="003512FF">
        <w:rPr>
          <w:rFonts w:ascii="Geomanist Light" w:hAnsi="Geomanist Light" w:cs="Arial"/>
          <w:sz w:val="18"/>
          <w:szCs w:val="18"/>
        </w:rPr>
        <w:t xml:space="preserve">«Artículo </w:t>
      </w:r>
      <w:bookmarkStart w:id="4" w:name="_Hlk54173885"/>
      <w:r w:rsidRPr="003512FF">
        <w:rPr>
          <w:rFonts w:ascii="Geomanist Light" w:hAnsi="Geomanist Light" w:cs="Arial"/>
          <w:sz w:val="18"/>
          <w:szCs w:val="18"/>
        </w:rPr>
        <w:t>2.2.1.1.2.1.1</w:t>
      </w:r>
      <w:bookmarkEnd w:id="4"/>
      <w:r w:rsidRPr="003512FF">
        <w:rPr>
          <w:rFonts w:ascii="Geomanist Light" w:hAnsi="Geomanist Light" w:cs="Arial"/>
          <w:sz w:val="18"/>
          <w:szCs w:val="18"/>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footnote>
  <w:footnote w:id="4">
    <w:p w14:paraId="723929DF" w14:textId="77777777" w:rsidR="00A026E5" w:rsidRPr="003512FF" w:rsidRDefault="00A026E5" w:rsidP="003512FF">
      <w:pPr>
        <w:pStyle w:val="Textoindependiente"/>
        <w:spacing w:after="0" w:line="240" w:lineRule="auto"/>
        <w:ind w:firstLine="709"/>
        <w:jc w:val="both"/>
        <w:rPr>
          <w:rFonts w:ascii="Geomanist Light" w:hAnsi="Geomanist Light" w:cs="Arial"/>
          <w:sz w:val="18"/>
          <w:szCs w:val="18"/>
        </w:rPr>
      </w:pPr>
      <w:r w:rsidRPr="003512FF">
        <w:rPr>
          <w:rStyle w:val="Refdenotaalpie"/>
          <w:rFonts w:ascii="Geomanist Light" w:hAnsi="Geomanist Light" w:cs="Arial"/>
          <w:sz w:val="18"/>
          <w:szCs w:val="18"/>
        </w:rPr>
        <w:footnoteRef/>
      </w:r>
      <w:r w:rsidRPr="003512FF">
        <w:rPr>
          <w:rFonts w:ascii="Geomanist Light" w:hAnsi="Geomanist Light" w:cs="Arial"/>
          <w:sz w:val="18"/>
          <w:szCs w:val="18"/>
        </w:rPr>
        <w:t xml:space="preserve"> Consejo de Estado. Sección Tercera. Subsección B. Sentencia del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footnote>
  <w:footnote w:id="5">
    <w:p w14:paraId="16084700" w14:textId="1CBC9702" w:rsidR="00A026E5" w:rsidRPr="003512FF" w:rsidRDefault="00A026E5" w:rsidP="003512FF">
      <w:pPr>
        <w:pStyle w:val="Textonotapie"/>
        <w:spacing w:after="0" w:line="240" w:lineRule="auto"/>
        <w:ind w:firstLine="709"/>
        <w:rPr>
          <w:rFonts w:ascii="Geomanist Light" w:hAnsi="Geomanist Light" w:cs="Arial"/>
          <w:color w:val="000000" w:themeColor="text1"/>
          <w:sz w:val="18"/>
          <w:szCs w:val="18"/>
        </w:rPr>
      </w:pPr>
      <w:r w:rsidRPr="003512FF">
        <w:rPr>
          <w:rStyle w:val="Refdenotaalpie"/>
          <w:rFonts w:ascii="Geomanist Light" w:hAnsi="Geomanist Light" w:cs="Arial"/>
          <w:sz w:val="18"/>
          <w:szCs w:val="18"/>
        </w:rPr>
        <w:footnoteRef/>
      </w:r>
      <w:r w:rsidRPr="003512FF">
        <w:rPr>
          <w:rFonts w:ascii="Geomanist Light" w:hAnsi="Geomanist Light" w:cs="Arial"/>
          <w:sz w:val="18"/>
          <w:szCs w:val="18"/>
        </w:rPr>
        <w:t xml:space="preserve"> </w:t>
      </w:r>
      <w:r w:rsidRPr="003512FF">
        <w:rPr>
          <w:rFonts w:ascii="Geomanist Light" w:hAnsi="Geomanist Light" w:cs="Arial"/>
          <w:sz w:val="18"/>
          <w:szCs w:val="18"/>
          <w:lang w:val="es-CO"/>
        </w:rPr>
        <w:t xml:space="preserve">La Versión 02 de esta Guía fue adoptada el 24 de junio de 2022. Disponible en </w:t>
      </w:r>
      <w:hyperlink r:id="rId2" w:history="1">
        <w:r w:rsidRPr="003512FF">
          <w:rPr>
            <w:rStyle w:val="Hipervnculo"/>
            <w:rFonts w:ascii="Geomanist Light" w:hAnsi="Geomanist Light" w:cs="Arial"/>
            <w:color w:val="000000" w:themeColor="text1"/>
            <w:sz w:val="18"/>
            <w:szCs w:val="18"/>
          </w:rPr>
          <w:t>https://colombiacompra.gov.co/sites/cce_public/files/cce_documentos/cce-eicp-gi-18._gees_v.2_2.pdf</w:t>
        </w:r>
      </w:hyperlink>
    </w:p>
    <w:p w14:paraId="56988F8F" w14:textId="77777777" w:rsidR="00A026E5" w:rsidRPr="003512FF" w:rsidRDefault="00A026E5" w:rsidP="003512FF">
      <w:pPr>
        <w:pStyle w:val="Textonotapie"/>
        <w:spacing w:after="0" w:line="240" w:lineRule="auto"/>
        <w:ind w:firstLine="709"/>
        <w:rPr>
          <w:rFonts w:ascii="Geomanist Light" w:hAnsi="Geomanist Light" w:cs="Arial"/>
          <w:sz w:val="18"/>
          <w:szCs w:val="18"/>
          <w:lang w:val="es-CO"/>
        </w:rPr>
      </w:pPr>
    </w:p>
  </w:footnote>
  <w:footnote w:id="6">
    <w:p w14:paraId="35C84282" w14:textId="77777777" w:rsidR="00A026E5" w:rsidRPr="003512FF" w:rsidRDefault="00A026E5" w:rsidP="003512FF">
      <w:pPr>
        <w:pStyle w:val="Textonotapie"/>
        <w:spacing w:after="0" w:line="240" w:lineRule="auto"/>
        <w:ind w:firstLine="709"/>
        <w:rPr>
          <w:rFonts w:ascii="Geomanist Light" w:hAnsi="Geomanist Light" w:cs="Arial"/>
          <w:sz w:val="18"/>
          <w:szCs w:val="18"/>
          <w:lang w:val="es-ES"/>
        </w:rPr>
      </w:pPr>
      <w:r w:rsidRPr="003512FF">
        <w:rPr>
          <w:rStyle w:val="Refdenotaalpie"/>
          <w:rFonts w:ascii="Geomanist Light" w:hAnsi="Geomanist Light" w:cs="Arial"/>
          <w:sz w:val="18"/>
          <w:szCs w:val="18"/>
        </w:rPr>
        <w:footnoteRef/>
      </w:r>
      <w:r w:rsidRPr="003512FF">
        <w:rPr>
          <w:rFonts w:ascii="Geomanist Light" w:hAnsi="Geomanist Light" w:cs="Arial"/>
          <w:sz w:val="18"/>
          <w:szCs w:val="18"/>
        </w:rPr>
        <w:t xml:space="preserve"> De conformidad con lo indicado en la Guía, e</w:t>
      </w:r>
      <w:r w:rsidRPr="003512FF">
        <w:rPr>
          <w:rFonts w:ascii="Geomanist Light" w:hAnsi="Geomanist Light" w:cs="Arial"/>
          <w:sz w:val="18"/>
          <w:szCs w:val="18"/>
          <w:lang w:val="es-ES"/>
        </w:rPr>
        <w:t>l MAE hace parte de la Política de Compras y Contratación Pública, enmarcada dentro del Modelo Integrado de Planeación y Gestión- MIPG, y se articula con las demás buenas prácticas y herramientas usadas en los procesos de compra y contratación estatal que han sido desarrolladas por la Agencia Nacional de Contratación Pública – Colombia Compra Eficiente, con el fin de generar una mayor eficiencia, transparencia y optimización de los recursos del Estado.</w:t>
      </w:r>
    </w:p>
  </w:footnote>
  <w:footnote w:id="7">
    <w:p w14:paraId="5EAC3BBC" w14:textId="77777777" w:rsidR="00A026E5" w:rsidRPr="003512FF" w:rsidRDefault="00A026E5" w:rsidP="003512FF">
      <w:pPr>
        <w:pStyle w:val="Textonotapie"/>
        <w:spacing w:after="0" w:line="240" w:lineRule="auto"/>
        <w:ind w:firstLine="708"/>
        <w:rPr>
          <w:rFonts w:ascii="Geomanist Light" w:hAnsi="Geomanist Light" w:cs="Arial"/>
          <w:sz w:val="18"/>
          <w:szCs w:val="18"/>
        </w:rPr>
      </w:pPr>
      <w:r w:rsidRPr="003512FF">
        <w:rPr>
          <w:rStyle w:val="Refdenotaalpie"/>
          <w:rFonts w:ascii="Geomanist Light" w:hAnsi="Geomanist Light" w:cs="Arial"/>
          <w:sz w:val="18"/>
          <w:szCs w:val="18"/>
        </w:rPr>
        <w:footnoteRef/>
      </w:r>
      <w:r w:rsidRPr="003512FF">
        <w:rPr>
          <w:rFonts w:ascii="Geomanist Light" w:hAnsi="Geomanist Light" w:cs="Arial"/>
          <w:sz w:val="18"/>
          <w:szCs w:val="18"/>
        </w:rPr>
        <w:t xml:space="preserve"> Consejo de Estado. Sección Tercera. Sentencia del 27 de abril de 2011. Exp. 18.293. C.P. Ruth Stella Correa Palacio.</w:t>
      </w:r>
    </w:p>
  </w:footnote>
  <w:footnote w:id="8">
    <w:p w14:paraId="2AEA2F69" w14:textId="5311823F" w:rsidR="00EC774D" w:rsidRPr="003512FF" w:rsidRDefault="00EC774D" w:rsidP="003512FF">
      <w:pPr>
        <w:pStyle w:val="Textonotapie"/>
        <w:spacing w:after="0" w:line="240" w:lineRule="auto"/>
        <w:rPr>
          <w:rFonts w:ascii="Geomanist Light" w:hAnsi="Geomanist Light"/>
          <w:sz w:val="18"/>
          <w:szCs w:val="18"/>
          <w:lang w:val="es-CO"/>
        </w:rPr>
      </w:pPr>
      <w:r w:rsidRPr="003512FF">
        <w:rPr>
          <w:rStyle w:val="Refdenotaalpie"/>
          <w:rFonts w:ascii="Geomanist Light" w:hAnsi="Geomanist Light"/>
          <w:sz w:val="18"/>
          <w:szCs w:val="18"/>
        </w:rPr>
        <w:footnoteRef/>
      </w:r>
      <w:r w:rsidRPr="003512FF">
        <w:rPr>
          <w:rFonts w:ascii="Geomanist Light" w:hAnsi="Geomanist Light"/>
          <w:sz w:val="18"/>
          <w:szCs w:val="18"/>
        </w:rPr>
        <w:t xml:space="preserve"> </w:t>
      </w:r>
      <w:r w:rsidRPr="003512FF">
        <w:rPr>
          <w:rFonts w:ascii="Geomanist Light" w:hAnsi="Geomanist Light" w:cs="Arial"/>
          <w:sz w:val="18"/>
          <w:szCs w:val="18"/>
        </w:rPr>
        <w:t>Consejo de Estado, Sección Tercera, Subsección A. Sentencia del 11 de abril de 2019, C.P María Andriana Marín, Rad. 2014-00135-00 (52.055).</w:t>
      </w:r>
    </w:p>
  </w:footnote>
  <w:footnote w:id="9">
    <w:p w14:paraId="41D56DFC" w14:textId="06E1C878" w:rsidR="00954E64" w:rsidRPr="00954E64" w:rsidRDefault="00954E64" w:rsidP="003512FF">
      <w:pPr>
        <w:pStyle w:val="Textonotapie"/>
        <w:spacing w:after="0" w:line="240" w:lineRule="auto"/>
        <w:rPr>
          <w:rFonts w:ascii="Geomanist Light" w:hAnsi="Geomanist Light" w:cs="Arial"/>
          <w:sz w:val="19"/>
          <w:szCs w:val="19"/>
        </w:rPr>
      </w:pPr>
      <w:r w:rsidRPr="003512FF">
        <w:rPr>
          <w:rStyle w:val="Refdenotaalpie"/>
          <w:rFonts w:ascii="Geomanist Light" w:hAnsi="Geomanist Light"/>
          <w:sz w:val="18"/>
          <w:szCs w:val="18"/>
        </w:rPr>
        <w:footnoteRef/>
      </w:r>
      <w:r w:rsidRPr="003512FF">
        <w:rPr>
          <w:rFonts w:ascii="Geomanist Light" w:hAnsi="Geomanist Light"/>
          <w:sz w:val="18"/>
          <w:szCs w:val="18"/>
        </w:rPr>
        <w:t xml:space="preserve"> </w:t>
      </w:r>
      <w:r w:rsidRPr="003512FF">
        <w:rPr>
          <w:rFonts w:ascii="Geomanist Light" w:hAnsi="Geomanist Light" w:cs="Arial"/>
          <w:sz w:val="18"/>
          <w:szCs w:val="18"/>
        </w:rPr>
        <w:t>Compilado en el Decreto 1082 de 2015, artículo 2.2.1.2.5.2: “Artículo 159. Estándares y documentos tipo. Sin perjuicio de la función permanente que el Decreto 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 “1. Manuales para el uso de los Acuerdos Marco de Precios. “2.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 “3. Pliegos de condiciones tipo para la contratación. “4. Minutas tipo de contratos”. (Nota: Las expresiones tachadas fueron declaradas nulas por el Consejo de Estado en la Sentencia del 11 de abril de 2019. Rad. 2014-00135-00 (52055). Sección Tercera. C.P. María Adriana Marín).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A354" w14:textId="77777777" w:rsidR="00A755BE" w:rsidRPr="007566FE" w:rsidRDefault="00A755BE" w:rsidP="00A755BE">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9264" behindDoc="1" locked="0" layoutInCell="1" hidden="0" allowOverlap="1" wp14:anchorId="0BDF1471" wp14:editId="081FD931">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2B3D8FFB" w14:textId="77777777" w:rsidR="00A755BE" w:rsidRPr="007566FE" w:rsidRDefault="00A755BE" w:rsidP="00A755BE">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3C94814" w14:textId="77777777" w:rsidR="00A755BE" w:rsidRDefault="00A755BE" w:rsidP="00A755BE">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60288" behindDoc="1" locked="0" layoutInCell="1" allowOverlap="1" wp14:anchorId="48DBF1BC" wp14:editId="38D59755">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2D0B3918" w14:textId="7430BF31" w:rsidR="00993A2A" w:rsidRPr="00A755BE" w:rsidRDefault="00993A2A" w:rsidP="00A75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63702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29"/>
    <w:rsid w:val="00023A4E"/>
    <w:rsid w:val="00033B78"/>
    <w:rsid w:val="00037D12"/>
    <w:rsid w:val="00081C46"/>
    <w:rsid w:val="00093062"/>
    <w:rsid w:val="000A7C70"/>
    <w:rsid w:val="000B4E53"/>
    <w:rsid w:val="000D5BE0"/>
    <w:rsid w:val="000E09DB"/>
    <w:rsid w:val="000E2EE6"/>
    <w:rsid w:val="000E6DE8"/>
    <w:rsid w:val="000E6EC3"/>
    <w:rsid w:val="000E7E56"/>
    <w:rsid w:val="000F0C9F"/>
    <w:rsid w:val="00111892"/>
    <w:rsid w:val="0016430A"/>
    <w:rsid w:val="00170719"/>
    <w:rsid w:val="00192E70"/>
    <w:rsid w:val="001955A1"/>
    <w:rsid w:val="001A6D2D"/>
    <w:rsid w:val="001D3F4A"/>
    <w:rsid w:val="001E4F7D"/>
    <w:rsid w:val="002105A9"/>
    <w:rsid w:val="002238CF"/>
    <w:rsid w:val="0022636F"/>
    <w:rsid w:val="00241E8D"/>
    <w:rsid w:val="00290391"/>
    <w:rsid w:val="002B321F"/>
    <w:rsid w:val="002C0761"/>
    <w:rsid w:val="002C6514"/>
    <w:rsid w:val="002E1FE0"/>
    <w:rsid w:val="0030643A"/>
    <w:rsid w:val="00310337"/>
    <w:rsid w:val="00311707"/>
    <w:rsid w:val="00347874"/>
    <w:rsid w:val="003512FF"/>
    <w:rsid w:val="003735A6"/>
    <w:rsid w:val="00381B0F"/>
    <w:rsid w:val="003902B4"/>
    <w:rsid w:val="003E5433"/>
    <w:rsid w:val="00400E79"/>
    <w:rsid w:val="00420633"/>
    <w:rsid w:val="00447167"/>
    <w:rsid w:val="00461F52"/>
    <w:rsid w:val="00467FF3"/>
    <w:rsid w:val="00474929"/>
    <w:rsid w:val="00496238"/>
    <w:rsid w:val="004A22F8"/>
    <w:rsid w:val="004B1796"/>
    <w:rsid w:val="004B28FA"/>
    <w:rsid w:val="004B7723"/>
    <w:rsid w:val="004F406A"/>
    <w:rsid w:val="00512A52"/>
    <w:rsid w:val="005449F3"/>
    <w:rsid w:val="00557E14"/>
    <w:rsid w:val="0057661C"/>
    <w:rsid w:val="005A3D47"/>
    <w:rsid w:val="005B6E6A"/>
    <w:rsid w:val="005B7381"/>
    <w:rsid w:val="005D0BDE"/>
    <w:rsid w:val="005E587A"/>
    <w:rsid w:val="00613EDE"/>
    <w:rsid w:val="00623802"/>
    <w:rsid w:val="00632246"/>
    <w:rsid w:val="00637CD8"/>
    <w:rsid w:val="00651A7A"/>
    <w:rsid w:val="00653118"/>
    <w:rsid w:val="00653EC5"/>
    <w:rsid w:val="00676F88"/>
    <w:rsid w:val="006843B5"/>
    <w:rsid w:val="00686456"/>
    <w:rsid w:val="006C18F0"/>
    <w:rsid w:val="006F1C20"/>
    <w:rsid w:val="00702566"/>
    <w:rsid w:val="00730923"/>
    <w:rsid w:val="00732CE6"/>
    <w:rsid w:val="0076166A"/>
    <w:rsid w:val="00771C05"/>
    <w:rsid w:val="0077671B"/>
    <w:rsid w:val="00777192"/>
    <w:rsid w:val="00783598"/>
    <w:rsid w:val="00793218"/>
    <w:rsid w:val="007A2FD2"/>
    <w:rsid w:val="007E1801"/>
    <w:rsid w:val="007F60B1"/>
    <w:rsid w:val="008303FC"/>
    <w:rsid w:val="00833090"/>
    <w:rsid w:val="008412E6"/>
    <w:rsid w:val="00850B29"/>
    <w:rsid w:val="0088137B"/>
    <w:rsid w:val="008861A2"/>
    <w:rsid w:val="00887EB8"/>
    <w:rsid w:val="008A40CE"/>
    <w:rsid w:val="008B2512"/>
    <w:rsid w:val="008D2373"/>
    <w:rsid w:val="008D6B05"/>
    <w:rsid w:val="00914B50"/>
    <w:rsid w:val="00917CA4"/>
    <w:rsid w:val="00921943"/>
    <w:rsid w:val="0092402D"/>
    <w:rsid w:val="00942B80"/>
    <w:rsid w:val="00950D43"/>
    <w:rsid w:val="0095222F"/>
    <w:rsid w:val="00954E64"/>
    <w:rsid w:val="0095641A"/>
    <w:rsid w:val="009569AA"/>
    <w:rsid w:val="009633F9"/>
    <w:rsid w:val="0096477C"/>
    <w:rsid w:val="00976BAD"/>
    <w:rsid w:val="00993A2A"/>
    <w:rsid w:val="009B03EF"/>
    <w:rsid w:val="009C1357"/>
    <w:rsid w:val="00A026E5"/>
    <w:rsid w:val="00A159D6"/>
    <w:rsid w:val="00A51F0F"/>
    <w:rsid w:val="00A67571"/>
    <w:rsid w:val="00A755BE"/>
    <w:rsid w:val="00A80295"/>
    <w:rsid w:val="00A87152"/>
    <w:rsid w:val="00AA0300"/>
    <w:rsid w:val="00AB3BE9"/>
    <w:rsid w:val="00AD47DF"/>
    <w:rsid w:val="00AF314E"/>
    <w:rsid w:val="00B2749C"/>
    <w:rsid w:val="00B547A0"/>
    <w:rsid w:val="00B90D3B"/>
    <w:rsid w:val="00BB220A"/>
    <w:rsid w:val="00C11303"/>
    <w:rsid w:val="00C27DAF"/>
    <w:rsid w:val="00C5544B"/>
    <w:rsid w:val="00C760C7"/>
    <w:rsid w:val="00C82630"/>
    <w:rsid w:val="00C8511F"/>
    <w:rsid w:val="00CA2F97"/>
    <w:rsid w:val="00CE04D9"/>
    <w:rsid w:val="00CF5B1F"/>
    <w:rsid w:val="00D220B3"/>
    <w:rsid w:val="00D430CC"/>
    <w:rsid w:val="00D61F46"/>
    <w:rsid w:val="00D867E2"/>
    <w:rsid w:val="00D92B4A"/>
    <w:rsid w:val="00DA0295"/>
    <w:rsid w:val="00DE396C"/>
    <w:rsid w:val="00DE6F7A"/>
    <w:rsid w:val="00E06E35"/>
    <w:rsid w:val="00E2118A"/>
    <w:rsid w:val="00E601B3"/>
    <w:rsid w:val="00E92FBB"/>
    <w:rsid w:val="00EA2394"/>
    <w:rsid w:val="00EC1365"/>
    <w:rsid w:val="00EC774D"/>
    <w:rsid w:val="00ED1C5C"/>
    <w:rsid w:val="00ED2991"/>
    <w:rsid w:val="00ED2C50"/>
    <w:rsid w:val="00ED6F0E"/>
    <w:rsid w:val="00F11A71"/>
    <w:rsid w:val="00F23CC2"/>
    <w:rsid w:val="00F368DD"/>
    <w:rsid w:val="00F66826"/>
    <w:rsid w:val="00F77B6A"/>
    <w:rsid w:val="00FE2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B0F02"/>
  <w15:chartTrackingRefBased/>
  <w15:docId w15:val="{6BD41FF6-1282-044B-9A5D-706FBACC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929"/>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74929"/>
    <w:pPr>
      <w:tabs>
        <w:tab w:val="center" w:pos="4419"/>
        <w:tab w:val="right" w:pos="8838"/>
      </w:tabs>
    </w:pPr>
  </w:style>
  <w:style w:type="character" w:customStyle="1" w:styleId="PiedepginaCar">
    <w:name w:val="Pie de página Car"/>
    <w:basedOn w:val="Fuentedeprrafopredeter"/>
    <w:link w:val="Piedepgina"/>
    <w:uiPriority w:val="99"/>
    <w:rsid w:val="00474929"/>
    <w:rPr>
      <w:szCs w:val="22"/>
      <w:lang w:val="es-MX"/>
    </w:rPr>
  </w:style>
  <w:style w:type="paragraph" w:styleId="Encabezado">
    <w:name w:val="header"/>
    <w:basedOn w:val="Normal"/>
    <w:link w:val="EncabezadoCar"/>
    <w:uiPriority w:val="99"/>
    <w:unhideWhenUsed/>
    <w:rsid w:val="00474929"/>
    <w:pPr>
      <w:tabs>
        <w:tab w:val="center" w:pos="4252"/>
        <w:tab w:val="right" w:pos="8504"/>
      </w:tabs>
    </w:pPr>
  </w:style>
  <w:style w:type="character" w:customStyle="1" w:styleId="EncabezadoCar">
    <w:name w:val="Encabezado Car"/>
    <w:basedOn w:val="Fuentedeprrafopredeter"/>
    <w:link w:val="Encabezado"/>
    <w:uiPriority w:val="99"/>
    <w:rsid w:val="00474929"/>
    <w:rPr>
      <w:szCs w:val="22"/>
      <w:lang w:val="es-MX"/>
    </w:rPr>
  </w:style>
  <w:style w:type="table" w:styleId="Tablaconcuadrcula">
    <w:name w:val="Table Grid"/>
    <w:basedOn w:val="Tablanormal"/>
    <w:uiPriority w:val="59"/>
    <w:qFormat/>
    <w:rsid w:val="00474929"/>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74929"/>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474929"/>
    <w:pPr>
      <w:jc w:val="both"/>
    </w:pPr>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7492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474929"/>
    <w:rPr>
      <w:sz w:val="20"/>
      <w:szCs w:val="20"/>
    </w:rPr>
  </w:style>
  <w:style w:type="character" w:customStyle="1" w:styleId="TextonotapieCar1">
    <w:name w:val="Texto nota pie Car1"/>
    <w:basedOn w:val="Fuentedeprrafopredeter"/>
    <w:uiPriority w:val="99"/>
    <w:semiHidden/>
    <w:rsid w:val="00474929"/>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74929"/>
    <w:rPr>
      <w:vertAlign w:val="superscript"/>
    </w:rPr>
  </w:style>
  <w:style w:type="paragraph" w:customStyle="1" w:styleId="Appelnotedebasde">
    <w:name w:val="Appel note de bas de..."/>
    <w:basedOn w:val="Normal"/>
    <w:link w:val="Refdenotaalpie"/>
    <w:uiPriority w:val="99"/>
    <w:rsid w:val="00474929"/>
    <w:pPr>
      <w:spacing w:after="160" w:line="240" w:lineRule="exact"/>
    </w:pPr>
    <w:rPr>
      <w:szCs w:val="24"/>
      <w:vertAlign w:val="superscript"/>
      <w:lang w:val="es-CO"/>
    </w:rPr>
  </w:style>
  <w:style w:type="character" w:customStyle="1" w:styleId="NormalWebCar">
    <w:name w:val="Normal (Web) Car"/>
    <w:link w:val="NormalWeb"/>
    <w:uiPriority w:val="99"/>
    <w:locked/>
    <w:rsid w:val="00474929"/>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59"/>
    <w:rsid w:val="00474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474929"/>
    <w:rPr>
      <w:color w:val="F2F2F2"/>
      <w:u w:val="single"/>
    </w:rPr>
  </w:style>
  <w:style w:type="character" w:styleId="Hipervnculo">
    <w:name w:val="Hyperlink"/>
    <w:basedOn w:val="Fuentedeprrafopredeter"/>
    <w:uiPriority w:val="99"/>
    <w:unhideWhenUsed/>
    <w:rsid w:val="00474929"/>
    <w:rPr>
      <w:color w:val="0563C1" w:themeColor="hyperlink"/>
      <w:u w:val="single"/>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74929"/>
    <w:pPr>
      <w:spacing w:after="0" w:line="240" w:lineRule="auto"/>
      <w:ind w:left="720"/>
      <w:contextualSpacing/>
      <w:jc w:val="left"/>
    </w:pPr>
    <w:rPr>
      <w:szCs w:val="24"/>
      <w:lang w:val="es-CO"/>
    </w:rPr>
  </w:style>
  <w:style w:type="paragraph" w:styleId="Revisin">
    <w:name w:val="Revision"/>
    <w:hidden/>
    <w:uiPriority w:val="99"/>
    <w:semiHidden/>
    <w:rsid w:val="00192E70"/>
    <w:rPr>
      <w:szCs w:val="22"/>
      <w:lang w:val="es-MX"/>
    </w:rPr>
  </w:style>
  <w:style w:type="character" w:styleId="Hipervnculovisitado">
    <w:name w:val="FollowedHyperlink"/>
    <w:basedOn w:val="Fuentedeprrafopredeter"/>
    <w:uiPriority w:val="99"/>
    <w:semiHidden/>
    <w:unhideWhenUsed/>
    <w:rsid w:val="00676F88"/>
    <w:rPr>
      <w:color w:val="954F72" w:themeColor="followedHyperlink"/>
      <w:u w:val="single"/>
    </w:rPr>
  </w:style>
  <w:style w:type="character" w:styleId="Refdecomentario">
    <w:name w:val="annotation reference"/>
    <w:basedOn w:val="Fuentedeprrafopredeter"/>
    <w:uiPriority w:val="99"/>
    <w:semiHidden/>
    <w:unhideWhenUsed/>
    <w:rsid w:val="00EC1365"/>
    <w:rPr>
      <w:sz w:val="16"/>
      <w:szCs w:val="16"/>
    </w:rPr>
  </w:style>
  <w:style w:type="paragraph" w:styleId="Textocomentario">
    <w:name w:val="annotation text"/>
    <w:basedOn w:val="Normal"/>
    <w:link w:val="TextocomentarioCar"/>
    <w:uiPriority w:val="99"/>
    <w:unhideWhenUsed/>
    <w:rsid w:val="00EC1365"/>
    <w:pPr>
      <w:spacing w:line="240" w:lineRule="auto"/>
    </w:pPr>
    <w:rPr>
      <w:sz w:val="20"/>
      <w:szCs w:val="20"/>
    </w:rPr>
  </w:style>
  <w:style w:type="character" w:customStyle="1" w:styleId="TextocomentarioCar">
    <w:name w:val="Texto comentario Car"/>
    <w:basedOn w:val="Fuentedeprrafopredeter"/>
    <w:link w:val="Textocomentario"/>
    <w:uiPriority w:val="99"/>
    <w:rsid w:val="00EC136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C1365"/>
    <w:rPr>
      <w:b/>
      <w:bCs/>
    </w:rPr>
  </w:style>
  <w:style w:type="character" w:customStyle="1" w:styleId="AsuntodelcomentarioCar">
    <w:name w:val="Asunto del comentario Car"/>
    <w:basedOn w:val="TextocomentarioCar"/>
    <w:link w:val="Asuntodelcomentario"/>
    <w:uiPriority w:val="99"/>
    <w:semiHidden/>
    <w:rsid w:val="00EC1365"/>
    <w:rPr>
      <w:b/>
      <w:bCs/>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92B4A"/>
  </w:style>
  <w:style w:type="paragraph" w:styleId="Textoindependiente">
    <w:name w:val="Body Text"/>
    <w:basedOn w:val="Normal"/>
    <w:link w:val="TextoindependienteCar"/>
    <w:uiPriority w:val="99"/>
    <w:unhideWhenUsed/>
    <w:rsid w:val="00A026E5"/>
    <w:pPr>
      <w:spacing w:after="120"/>
      <w:jc w:val="left"/>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A026E5"/>
    <w:rPr>
      <w:rFonts w:eastAsiaTheme="minorEastAsia"/>
      <w:sz w:val="22"/>
      <w:szCs w:val="22"/>
      <w:lang w:eastAsia="es-CO"/>
    </w:rPr>
  </w:style>
  <w:style w:type="paragraph" w:customStyle="1" w:styleId="paragraph">
    <w:name w:val="paragraph"/>
    <w:basedOn w:val="Normal"/>
    <w:rsid w:val="00A026E5"/>
    <w:pPr>
      <w:spacing w:before="100" w:beforeAutospacing="1" w:after="100" w:afterAutospacing="1" w:line="240" w:lineRule="auto"/>
      <w:jc w:val="left"/>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A026E5"/>
  </w:style>
  <w:style w:type="character" w:customStyle="1" w:styleId="eop">
    <w:name w:val="eop"/>
    <w:basedOn w:val="Fuentedeprrafopredeter"/>
    <w:rsid w:val="00A02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699">
      <w:bodyDiv w:val="1"/>
      <w:marLeft w:val="0"/>
      <w:marRight w:val="0"/>
      <w:marTop w:val="0"/>
      <w:marBottom w:val="0"/>
      <w:divBdr>
        <w:top w:val="none" w:sz="0" w:space="0" w:color="auto"/>
        <w:left w:val="none" w:sz="0" w:space="0" w:color="auto"/>
        <w:bottom w:val="none" w:sz="0" w:space="0" w:color="auto"/>
        <w:right w:val="none" w:sz="0" w:space="0" w:color="auto"/>
      </w:divBdr>
      <w:divsChild>
        <w:div w:id="570431604">
          <w:marLeft w:val="0"/>
          <w:marRight w:val="0"/>
          <w:marTop w:val="0"/>
          <w:marBottom w:val="0"/>
          <w:divBdr>
            <w:top w:val="none" w:sz="0" w:space="0" w:color="auto"/>
            <w:left w:val="none" w:sz="0" w:space="0" w:color="auto"/>
            <w:bottom w:val="none" w:sz="0" w:space="0" w:color="auto"/>
            <w:right w:val="none" w:sz="0" w:space="0" w:color="auto"/>
          </w:divBdr>
        </w:div>
        <w:div w:id="719749111">
          <w:marLeft w:val="0"/>
          <w:marRight w:val="0"/>
          <w:marTop w:val="0"/>
          <w:marBottom w:val="0"/>
          <w:divBdr>
            <w:top w:val="none" w:sz="0" w:space="0" w:color="auto"/>
            <w:left w:val="none" w:sz="0" w:space="0" w:color="auto"/>
            <w:bottom w:val="none" w:sz="0" w:space="0" w:color="auto"/>
            <w:right w:val="none" w:sz="0" w:space="0" w:color="auto"/>
          </w:divBdr>
        </w:div>
        <w:div w:id="1125932532">
          <w:marLeft w:val="0"/>
          <w:marRight w:val="0"/>
          <w:marTop w:val="0"/>
          <w:marBottom w:val="0"/>
          <w:divBdr>
            <w:top w:val="none" w:sz="0" w:space="0" w:color="auto"/>
            <w:left w:val="none" w:sz="0" w:space="0" w:color="auto"/>
            <w:bottom w:val="none" w:sz="0" w:space="0" w:color="auto"/>
            <w:right w:val="none" w:sz="0" w:space="0" w:color="auto"/>
          </w:divBdr>
        </w:div>
      </w:divsChild>
    </w:div>
    <w:div w:id="2051412024">
      <w:bodyDiv w:val="1"/>
      <w:marLeft w:val="0"/>
      <w:marRight w:val="0"/>
      <w:marTop w:val="0"/>
      <w:marBottom w:val="0"/>
      <w:divBdr>
        <w:top w:val="none" w:sz="0" w:space="0" w:color="auto"/>
        <w:left w:val="none" w:sz="0" w:space="0" w:color="auto"/>
        <w:bottom w:val="none" w:sz="0" w:space="0" w:color="auto"/>
        <w:right w:val="none" w:sz="0" w:space="0" w:color="auto"/>
      </w:divBdr>
      <w:divsChild>
        <w:div w:id="2071608161">
          <w:marLeft w:val="0"/>
          <w:marRight w:val="0"/>
          <w:marTop w:val="0"/>
          <w:marBottom w:val="0"/>
          <w:divBdr>
            <w:top w:val="none" w:sz="0" w:space="0" w:color="auto"/>
            <w:left w:val="none" w:sz="0" w:space="0" w:color="auto"/>
            <w:bottom w:val="none" w:sz="0" w:space="0" w:color="auto"/>
            <w:right w:val="none" w:sz="0" w:space="0" w:color="auto"/>
          </w:divBdr>
        </w:div>
        <w:div w:id="249043860">
          <w:marLeft w:val="0"/>
          <w:marRight w:val="0"/>
          <w:marTop w:val="0"/>
          <w:marBottom w:val="0"/>
          <w:divBdr>
            <w:top w:val="none" w:sz="0" w:space="0" w:color="auto"/>
            <w:left w:val="none" w:sz="0" w:space="0" w:color="auto"/>
            <w:bottom w:val="none" w:sz="0" w:space="0" w:color="auto"/>
            <w:right w:val="none" w:sz="0" w:space="0" w:color="auto"/>
          </w:divBdr>
        </w:div>
        <w:div w:id="240607655">
          <w:marLeft w:val="0"/>
          <w:marRight w:val="0"/>
          <w:marTop w:val="0"/>
          <w:marBottom w:val="0"/>
          <w:divBdr>
            <w:top w:val="none" w:sz="0" w:space="0" w:color="auto"/>
            <w:left w:val="none" w:sz="0" w:space="0" w:color="auto"/>
            <w:bottom w:val="none" w:sz="0" w:space="0" w:color="auto"/>
            <w:right w:val="none" w:sz="0" w:space="0" w:color="auto"/>
          </w:divBdr>
        </w:div>
        <w:div w:id="1829128583">
          <w:marLeft w:val="0"/>
          <w:marRight w:val="0"/>
          <w:marTop w:val="0"/>
          <w:marBottom w:val="0"/>
          <w:divBdr>
            <w:top w:val="none" w:sz="0" w:space="0" w:color="auto"/>
            <w:left w:val="none" w:sz="0" w:space="0" w:color="auto"/>
            <w:bottom w:val="none" w:sz="0" w:space="0" w:color="auto"/>
            <w:right w:val="none" w:sz="0" w:space="0" w:color="auto"/>
          </w:divBdr>
        </w:div>
        <w:div w:id="1457525693">
          <w:marLeft w:val="0"/>
          <w:marRight w:val="0"/>
          <w:marTop w:val="0"/>
          <w:marBottom w:val="0"/>
          <w:divBdr>
            <w:top w:val="none" w:sz="0" w:space="0" w:color="auto"/>
            <w:left w:val="none" w:sz="0" w:space="0" w:color="auto"/>
            <w:bottom w:val="none" w:sz="0" w:space="0" w:color="auto"/>
            <w:right w:val="none" w:sz="0" w:space="0" w:color="auto"/>
          </w:divBdr>
        </w:div>
        <w:div w:id="989479264">
          <w:marLeft w:val="0"/>
          <w:marRight w:val="0"/>
          <w:marTop w:val="0"/>
          <w:marBottom w:val="0"/>
          <w:divBdr>
            <w:top w:val="none" w:sz="0" w:space="0" w:color="auto"/>
            <w:left w:val="none" w:sz="0" w:space="0" w:color="auto"/>
            <w:bottom w:val="none" w:sz="0" w:space="0" w:color="auto"/>
            <w:right w:val="none" w:sz="0" w:space="0" w:color="auto"/>
          </w:divBdr>
        </w:div>
        <w:div w:id="704401844">
          <w:marLeft w:val="0"/>
          <w:marRight w:val="0"/>
          <w:marTop w:val="0"/>
          <w:marBottom w:val="0"/>
          <w:divBdr>
            <w:top w:val="none" w:sz="0" w:space="0" w:color="auto"/>
            <w:left w:val="none" w:sz="0" w:space="0" w:color="auto"/>
            <w:bottom w:val="none" w:sz="0" w:space="0" w:color="auto"/>
            <w:right w:val="none" w:sz="0" w:space="0" w:color="auto"/>
          </w:divBdr>
        </w:div>
        <w:div w:id="195579675">
          <w:marLeft w:val="0"/>
          <w:marRight w:val="0"/>
          <w:marTop w:val="0"/>
          <w:marBottom w:val="0"/>
          <w:divBdr>
            <w:top w:val="none" w:sz="0" w:space="0" w:color="auto"/>
            <w:left w:val="none" w:sz="0" w:space="0" w:color="auto"/>
            <w:bottom w:val="none" w:sz="0" w:space="0" w:color="auto"/>
            <w:right w:val="none" w:sz="0" w:space="0" w:color="auto"/>
          </w:divBdr>
        </w:div>
        <w:div w:id="1844851590">
          <w:marLeft w:val="0"/>
          <w:marRight w:val="0"/>
          <w:marTop w:val="0"/>
          <w:marBottom w:val="0"/>
          <w:divBdr>
            <w:top w:val="none" w:sz="0" w:space="0" w:color="auto"/>
            <w:left w:val="none" w:sz="0" w:space="0" w:color="auto"/>
            <w:bottom w:val="none" w:sz="0" w:space="0" w:color="auto"/>
            <w:right w:val="none" w:sz="0" w:space="0" w:color="auto"/>
          </w:divBdr>
        </w:div>
        <w:div w:id="665014304">
          <w:marLeft w:val="0"/>
          <w:marRight w:val="0"/>
          <w:marTop w:val="0"/>
          <w:marBottom w:val="0"/>
          <w:divBdr>
            <w:top w:val="none" w:sz="0" w:space="0" w:color="auto"/>
            <w:left w:val="none" w:sz="0" w:space="0" w:color="auto"/>
            <w:bottom w:val="none" w:sz="0" w:space="0" w:color="auto"/>
            <w:right w:val="none" w:sz="0" w:space="0" w:color="auto"/>
          </w:divBdr>
        </w:div>
        <w:div w:id="204144732">
          <w:marLeft w:val="0"/>
          <w:marRight w:val="0"/>
          <w:marTop w:val="0"/>
          <w:marBottom w:val="0"/>
          <w:divBdr>
            <w:top w:val="none" w:sz="0" w:space="0" w:color="auto"/>
            <w:left w:val="none" w:sz="0" w:space="0" w:color="auto"/>
            <w:bottom w:val="none" w:sz="0" w:space="0" w:color="auto"/>
            <w:right w:val="none" w:sz="0" w:space="0" w:color="auto"/>
          </w:divBdr>
        </w:div>
        <w:div w:id="1602562586">
          <w:marLeft w:val="0"/>
          <w:marRight w:val="0"/>
          <w:marTop w:val="0"/>
          <w:marBottom w:val="0"/>
          <w:divBdr>
            <w:top w:val="none" w:sz="0" w:space="0" w:color="auto"/>
            <w:left w:val="none" w:sz="0" w:space="0" w:color="auto"/>
            <w:bottom w:val="none" w:sz="0" w:space="0" w:color="auto"/>
            <w:right w:val="none" w:sz="0" w:space="0" w:color="auto"/>
          </w:divBdr>
        </w:div>
        <w:div w:id="689064952">
          <w:marLeft w:val="0"/>
          <w:marRight w:val="0"/>
          <w:marTop w:val="0"/>
          <w:marBottom w:val="0"/>
          <w:divBdr>
            <w:top w:val="none" w:sz="0" w:space="0" w:color="auto"/>
            <w:left w:val="none" w:sz="0" w:space="0" w:color="auto"/>
            <w:bottom w:val="none" w:sz="0" w:space="0" w:color="auto"/>
            <w:right w:val="none" w:sz="0" w:space="0" w:color="auto"/>
          </w:divBdr>
        </w:div>
        <w:div w:id="214046048">
          <w:marLeft w:val="0"/>
          <w:marRight w:val="0"/>
          <w:marTop w:val="0"/>
          <w:marBottom w:val="0"/>
          <w:divBdr>
            <w:top w:val="none" w:sz="0" w:space="0" w:color="auto"/>
            <w:left w:val="none" w:sz="0" w:space="0" w:color="auto"/>
            <w:bottom w:val="none" w:sz="0" w:space="0" w:color="auto"/>
            <w:right w:val="none" w:sz="0" w:space="0" w:color="auto"/>
          </w:divBdr>
        </w:div>
        <w:div w:id="42755534">
          <w:marLeft w:val="0"/>
          <w:marRight w:val="0"/>
          <w:marTop w:val="0"/>
          <w:marBottom w:val="0"/>
          <w:divBdr>
            <w:top w:val="none" w:sz="0" w:space="0" w:color="auto"/>
            <w:left w:val="none" w:sz="0" w:space="0" w:color="auto"/>
            <w:bottom w:val="none" w:sz="0" w:space="0" w:color="auto"/>
            <w:right w:val="none" w:sz="0" w:space="0" w:color="auto"/>
          </w:divBdr>
        </w:div>
        <w:div w:id="1191652563">
          <w:marLeft w:val="0"/>
          <w:marRight w:val="0"/>
          <w:marTop w:val="0"/>
          <w:marBottom w:val="0"/>
          <w:divBdr>
            <w:top w:val="none" w:sz="0" w:space="0" w:color="auto"/>
            <w:left w:val="none" w:sz="0" w:space="0" w:color="auto"/>
            <w:bottom w:val="none" w:sz="0" w:space="0" w:color="auto"/>
            <w:right w:val="none" w:sz="0" w:space="0" w:color="auto"/>
          </w:divBdr>
        </w:div>
        <w:div w:id="587349286">
          <w:marLeft w:val="0"/>
          <w:marRight w:val="0"/>
          <w:marTop w:val="0"/>
          <w:marBottom w:val="0"/>
          <w:divBdr>
            <w:top w:val="none" w:sz="0" w:space="0" w:color="auto"/>
            <w:left w:val="none" w:sz="0" w:space="0" w:color="auto"/>
            <w:bottom w:val="none" w:sz="0" w:space="0" w:color="auto"/>
            <w:right w:val="none" w:sz="0" w:space="0" w:color="auto"/>
          </w:divBdr>
        </w:div>
        <w:div w:id="2128498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cce_public/files/cce_documentos/cce-eicp-gi-18._gees_v.2_2.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BA494-F7B4-4E98-93F6-8C097993FB81}">
  <ds:schemaRefs>
    <ds:schemaRef ds:uri="http://schemas.microsoft.com/sharepoint/v3/contenttype/forms"/>
  </ds:schemaRefs>
</ds:datastoreItem>
</file>

<file path=customXml/itemProps2.xml><?xml version="1.0" encoding="utf-8"?>
<ds:datastoreItem xmlns:ds="http://schemas.openxmlformats.org/officeDocument/2006/customXml" ds:itemID="{465AEC7C-FB7F-4A9F-B2AA-80B446B8176F}">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infopath/2007/PartnerControl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8EF9C154-C055-436A-AC37-AD113FF2AD53}">
  <ds:schemaRefs>
    <ds:schemaRef ds:uri="http://schemas.openxmlformats.org/officeDocument/2006/bibliography"/>
  </ds:schemaRefs>
</ds:datastoreItem>
</file>

<file path=customXml/itemProps4.xml><?xml version="1.0" encoding="utf-8"?>
<ds:datastoreItem xmlns:ds="http://schemas.openxmlformats.org/officeDocument/2006/customXml" ds:itemID="{F60522A6-D2F2-4060-8146-5884F2FA7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8464</Words>
  <Characters>46553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Ana Maria Velez Arteaga</cp:lastModifiedBy>
  <cp:revision>2</cp:revision>
  <dcterms:created xsi:type="dcterms:W3CDTF">2023-03-02T16:14:00Z</dcterms:created>
  <dcterms:modified xsi:type="dcterms:W3CDTF">2023-03-02T16:14:00Z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