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3AB1" w14:textId="77777777" w:rsidR="00085D03" w:rsidRPr="002F1DBA" w:rsidRDefault="00085D03" w:rsidP="00085D03">
      <w:pPr>
        <w:jc w:val="right"/>
        <w:rPr>
          <w:rFonts w:ascii="Arial" w:hAnsi="Arial" w:cs="Arial"/>
          <w:b/>
          <w:color w:val="7F7F7F" w:themeColor="text1" w:themeTint="80"/>
          <w:sz w:val="16"/>
          <w:szCs w:val="16"/>
          <w:lang w:val="es-ES" w:eastAsia="es-ES"/>
        </w:rPr>
      </w:pPr>
      <w:bookmarkStart w:id="0" w:name="_Hlk28946138"/>
      <w:bookmarkStart w:id="1" w:name="_Hlk29548183"/>
      <w:bookmarkStart w:id="2" w:name="_Hlk95205811"/>
      <w:r w:rsidRPr="002F1DBA">
        <w:rPr>
          <w:rFonts w:ascii="Arial" w:hAnsi="Arial" w:cs="Arial"/>
          <w:b/>
          <w:color w:val="7F7F7F" w:themeColor="text1" w:themeTint="80"/>
          <w:sz w:val="16"/>
          <w:szCs w:val="16"/>
          <w:lang w:val="es-ES" w:eastAsia="es-ES"/>
        </w:rPr>
        <w:t>CCE-DES-FM-17</w:t>
      </w:r>
    </w:p>
    <w:p w14:paraId="000B8ABF" w14:textId="77777777" w:rsidR="00085D03" w:rsidRPr="002F1DBA" w:rsidRDefault="00085D03" w:rsidP="00085D03">
      <w:pPr>
        <w:spacing w:after="0" w:line="240" w:lineRule="auto"/>
        <w:jc w:val="both"/>
        <w:rPr>
          <w:rFonts w:ascii="Arial" w:hAnsi="Arial" w:cs="Arial"/>
          <w:b/>
          <w:color w:val="000000" w:themeColor="text1"/>
          <w:lang w:val="es-ES"/>
        </w:rPr>
      </w:pPr>
      <w:r w:rsidRPr="002F1DBA">
        <w:rPr>
          <w:rFonts w:ascii="Arial" w:hAnsi="Arial" w:cs="Arial"/>
          <w:b/>
          <w:color w:val="000000" w:themeColor="text1"/>
          <w:lang w:val="es-ES"/>
        </w:rPr>
        <w:t>PERSONAS EN CONDICIÓN DE DISCAPACIDAD ─ Decreto 392 de 2018 ─ Desarrollo normativo</w:t>
      </w:r>
    </w:p>
    <w:p w14:paraId="55D674C0" w14:textId="77777777" w:rsidR="00085D03" w:rsidRPr="002F1DBA" w:rsidRDefault="00085D03" w:rsidP="00085D03">
      <w:pPr>
        <w:spacing w:after="0" w:line="240" w:lineRule="auto"/>
        <w:jc w:val="both"/>
        <w:rPr>
          <w:rFonts w:ascii="Arial" w:hAnsi="Arial" w:cs="Arial"/>
          <w:b/>
          <w:color w:val="000000" w:themeColor="text1"/>
          <w:sz w:val="20"/>
          <w:szCs w:val="20"/>
          <w:lang w:val="es-ES"/>
        </w:rPr>
      </w:pPr>
    </w:p>
    <w:p w14:paraId="1F49C428" w14:textId="77777777" w:rsidR="00085D03" w:rsidRPr="002F1DBA" w:rsidRDefault="00085D03" w:rsidP="00085D03">
      <w:pPr>
        <w:spacing w:after="120" w:line="240" w:lineRule="auto"/>
        <w:jc w:val="both"/>
        <w:rPr>
          <w:rFonts w:ascii="Arial" w:hAnsi="Arial" w:cs="Arial"/>
          <w:color w:val="000000" w:themeColor="text1"/>
          <w:sz w:val="20"/>
          <w:szCs w:val="20"/>
          <w:lang w:val="es-ES"/>
        </w:rPr>
      </w:pPr>
      <w:r w:rsidRPr="002F1DBA">
        <w:rPr>
          <w:rFonts w:ascii="Arial" w:hAnsi="Arial" w:cs="Arial"/>
          <w:bCs/>
          <w:color w:val="000000" w:themeColor="text1"/>
          <w:sz w:val="20"/>
          <w:szCs w:val="20"/>
          <w:lang w:val="es-ES"/>
        </w:rPr>
        <w:t>En aras de garantizar el derecho al trabajo en términos de igualdad de oportunidades para las personas en condición de discapacidad, el artículo 13 de Ley 1618 de 2013 estableció acciones afirmativas en el marco del sistema de compras públicas y ordenó al Gobierno Nacional expedir el decreto reglamentario que determinara una puntuación adicional y un sistema de preferencias en los procesos de contratación estatal</w:t>
      </w:r>
      <w:r w:rsidRPr="002F1DBA">
        <w:rPr>
          <w:rFonts w:ascii="Arial" w:hAnsi="Arial" w:cs="Arial"/>
          <w:color w:val="000000" w:themeColor="text1"/>
          <w:sz w:val="20"/>
          <w:szCs w:val="20"/>
          <w:lang w:val="es-ES"/>
        </w:rPr>
        <w:t>.</w:t>
      </w:r>
    </w:p>
    <w:p w14:paraId="085AEFBB" w14:textId="3467262A" w:rsidR="00085D03" w:rsidRPr="002F1DBA" w:rsidRDefault="00085D03" w:rsidP="0666639A">
      <w:pPr>
        <w:spacing w:after="0" w:line="240" w:lineRule="auto"/>
        <w:jc w:val="both"/>
        <w:rPr>
          <w:rFonts w:ascii="Arial" w:hAnsi="Arial" w:cs="Arial"/>
          <w:b/>
          <w:bCs/>
          <w:color w:val="000000" w:themeColor="text1"/>
          <w:sz w:val="20"/>
          <w:szCs w:val="20"/>
          <w:lang w:val="es-ES"/>
        </w:rPr>
      </w:pPr>
      <w:r w:rsidRPr="0666639A">
        <w:rPr>
          <w:rFonts w:ascii="Arial" w:hAnsi="Arial" w:cs="Arial"/>
          <w:color w:val="000000" w:themeColor="text1"/>
          <w:sz w:val="20"/>
          <w:szCs w:val="20"/>
          <w:lang w:val="es-ES"/>
        </w:rPr>
        <w:t xml:space="preserve">En cumplimiento de lo anterior, el Gobierno Nacional, ejerciendo su facultad reglamentaria, expidió el Decreto 392 del 2018 […]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w:t>
      </w:r>
    </w:p>
    <w:p w14:paraId="0560BFBC" w14:textId="1F7392CE" w:rsidR="00085D03" w:rsidRPr="002F1DBA" w:rsidRDefault="00085D03" w:rsidP="0666639A">
      <w:pPr>
        <w:spacing w:after="0" w:line="240" w:lineRule="auto"/>
        <w:jc w:val="both"/>
        <w:rPr>
          <w:rFonts w:ascii="Arial" w:hAnsi="Arial" w:cs="Arial"/>
          <w:color w:val="000000" w:themeColor="text1"/>
          <w:sz w:val="20"/>
          <w:szCs w:val="20"/>
          <w:lang w:val="es-ES"/>
        </w:rPr>
      </w:pPr>
    </w:p>
    <w:p w14:paraId="6BF6E63B" w14:textId="2882AA4C" w:rsidR="00085D03" w:rsidRPr="002F1DBA" w:rsidRDefault="00085D03" w:rsidP="0666639A">
      <w:pPr>
        <w:spacing w:after="0" w:line="240" w:lineRule="auto"/>
        <w:jc w:val="both"/>
        <w:rPr>
          <w:rFonts w:ascii="Arial" w:hAnsi="Arial" w:cs="Arial"/>
          <w:b/>
          <w:bCs/>
          <w:color w:val="000000" w:themeColor="text1"/>
          <w:sz w:val="20"/>
          <w:szCs w:val="20"/>
          <w:lang w:val="es-ES"/>
        </w:rPr>
      </w:pPr>
      <w:r w:rsidRPr="0666639A">
        <w:rPr>
          <w:rFonts w:ascii="Arial" w:hAnsi="Arial" w:cs="Arial"/>
          <w:color w:val="000000" w:themeColor="text1"/>
          <w:sz w:val="20"/>
          <w:szCs w:val="20"/>
          <w:lang w:val="es-ES"/>
        </w:rPr>
        <w:t xml:space="preserve"> </w:t>
      </w:r>
    </w:p>
    <w:p w14:paraId="79EB4C02" w14:textId="77777777" w:rsidR="00085D03" w:rsidRPr="002F1DBA" w:rsidRDefault="00085D03" w:rsidP="00085D03">
      <w:pPr>
        <w:shd w:val="clear" w:color="auto" w:fill="FFFFFF"/>
        <w:spacing w:before="100" w:beforeAutospacing="1" w:after="100" w:afterAutospacing="1" w:line="240" w:lineRule="auto"/>
        <w:jc w:val="both"/>
        <w:rPr>
          <w:rFonts w:ascii="Arial" w:eastAsia="Times New Roman" w:hAnsi="Arial" w:cs="Arial"/>
          <w:b/>
          <w:color w:val="000000" w:themeColor="text1"/>
          <w:lang w:val="es-ES" w:eastAsia="es-ES_tradnl"/>
        </w:rPr>
      </w:pPr>
      <w:r w:rsidRPr="002F1DBA">
        <w:rPr>
          <w:rFonts w:ascii="Arial" w:eastAsia="Times New Roman" w:hAnsi="Arial" w:cs="Arial"/>
          <w:b/>
          <w:color w:val="000000" w:themeColor="text1"/>
          <w:lang w:val="es-ES" w:eastAsia="es-ES_tradnl"/>
        </w:rPr>
        <w:t>DOCUMENTOS TIPO DE LICITACIÓN − Personas en condición de discapacidad ─ Proponente plural ─ Documento Base − Numeral 4.4</w:t>
      </w:r>
    </w:p>
    <w:p w14:paraId="52CFDC31" w14:textId="77777777" w:rsidR="00085D03" w:rsidRPr="002F1DBA" w:rsidRDefault="00085D03" w:rsidP="00085D03">
      <w:pPr>
        <w:spacing w:after="120" w:line="240" w:lineRule="auto"/>
        <w:jc w:val="both"/>
        <w:rPr>
          <w:rFonts w:ascii="Arial" w:hAnsi="Arial" w:cs="Arial"/>
          <w:color w:val="000000" w:themeColor="text1"/>
          <w:sz w:val="20"/>
          <w:szCs w:val="20"/>
          <w:lang w:val="es-ES"/>
        </w:rPr>
      </w:pPr>
      <w:r w:rsidRPr="002F1DBA">
        <w:rPr>
          <w:rFonts w:ascii="Arial" w:hAnsi="Arial" w:cs="Arial"/>
          <w:color w:val="000000" w:themeColor="text1"/>
          <w:sz w:val="20"/>
          <w:szCs w:val="20"/>
          <w:lang w:val="es-ES"/>
        </w:rPr>
        <w:t>Es necesario precisar que el parágrafo del artículo 2.2.1.2.4.6 del Decreto 1082 de 2019, adicionado por el artículo primero del Decreto 392 de 2018, prescribió un requisito adicional para el caso de proponentes plurales como los consorcios, las sociedades o las promesas de sociedad futura. En estos escenarios, para que la oferta presentada obtenga el puntaje adicional por vinculación de trabajadores con discapacidad, deberá tomarse en cuenta la acreditación del integrante que aporte como mínimo el cuarenta por ciento (40%) de la experiencia requerida en el proceso de contratación.</w:t>
      </w:r>
    </w:p>
    <w:p w14:paraId="0B3F1A32" w14:textId="77777777" w:rsidR="00085D03" w:rsidRPr="002F1DBA" w:rsidRDefault="00085D03" w:rsidP="00085D03">
      <w:pPr>
        <w:spacing w:after="120" w:line="240" w:lineRule="auto"/>
        <w:jc w:val="both"/>
        <w:rPr>
          <w:rFonts w:ascii="Arial" w:eastAsia="Calibri" w:hAnsi="Arial" w:cs="Arial"/>
          <w:color w:val="000000" w:themeColor="text1"/>
          <w:sz w:val="20"/>
          <w:szCs w:val="20"/>
          <w:lang w:val="es-ES"/>
        </w:rPr>
      </w:pPr>
      <w:r w:rsidRPr="002F1DBA">
        <w:rPr>
          <w:rFonts w:ascii="Arial" w:hAnsi="Arial" w:cs="Arial"/>
          <w:color w:val="000000" w:themeColor="text1"/>
          <w:sz w:val="20"/>
          <w:szCs w:val="20"/>
        </w:rPr>
        <w:t xml:space="preserve">En consideración a que </w:t>
      </w:r>
      <w:r w:rsidRPr="002F1DBA">
        <w:rPr>
          <w:rFonts w:ascii="Arial" w:eastAsia="Calibri" w:hAnsi="Arial" w:cs="Arial"/>
          <w:color w:val="000000" w:themeColor="text1"/>
          <w:sz w:val="20"/>
          <w:szCs w:val="20"/>
          <w:lang w:val="es-ES"/>
        </w:rPr>
        <w:t xml:space="preserve">el artículo 2.2.1.2.4.2.6 del Decreto 1082 de 2015 aplica en los procedimientos de contratación regulados en los numerales 1 y 3 del artículo 2 de la Ley 1150 de 2007, esto es, en </w:t>
      </w:r>
      <w:r w:rsidRPr="002F1DBA">
        <w:rPr>
          <w:rFonts w:ascii="Arial" w:eastAsia="Times New Roman" w:hAnsi="Arial" w:cs="Arial"/>
          <w:color w:val="000000" w:themeColor="text1"/>
          <w:sz w:val="20"/>
          <w:szCs w:val="20"/>
          <w:lang w:val="es-MX" w:eastAsia="es-CO"/>
        </w:rPr>
        <w:t>los procesos de licitaciones públicas y concursos de méritos</w:t>
      </w:r>
      <w:r w:rsidRPr="002F1DBA">
        <w:rPr>
          <w:rFonts w:ascii="Arial" w:eastAsia="Calibri" w:hAnsi="Arial" w:cs="Arial"/>
          <w:color w:val="000000" w:themeColor="text1"/>
          <w:sz w:val="20"/>
          <w:szCs w:val="20"/>
          <w:lang w:val="es-ES"/>
        </w:rPr>
        <w:t>, el puntaje adicional para los proponentes con trabajadores en situación de discapacidad debe evaluarse obligatoriamente en los «Documentos Tipo – Versión 3» de licitación para obras públicas de infraestructura de transporte, adoptados en la Resolución 240 del 27 de noviembre de 2020.</w:t>
      </w:r>
    </w:p>
    <w:p w14:paraId="0EDCB434" w14:textId="77777777" w:rsidR="00085D03" w:rsidRPr="002F1DBA" w:rsidRDefault="00085D03" w:rsidP="00085D03">
      <w:pPr>
        <w:spacing w:after="120" w:line="240" w:lineRule="auto"/>
        <w:jc w:val="both"/>
        <w:rPr>
          <w:rFonts w:ascii="Arial" w:hAnsi="Arial" w:cs="Arial"/>
          <w:color w:val="000000" w:themeColor="text1"/>
          <w:sz w:val="20"/>
          <w:szCs w:val="20"/>
          <w:lang w:val="es-ES"/>
        </w:rPr>
      </w:pPr>
      <w:r w:rsidRPr="002F1DBA">
        <w:rPr>
          <w:rFonts w:ascii="Arial" w:eastAsia="Calibri" w:hAnsi="Arial" w:cs="Arial"/>
          <w:color w:val="000000" w:themeColor="text1"/>
          <w:sz w:val="20"/>
          <w:szCs w:val="20"/>
          <w:lang w:val="es-ES"/>
        </w:rPr>
        <w:t>[…]</w:t>
      </w:r>
    </w:p>
    <w:p w14:paraId="43F9DFAB" w14:textId="77777777" w:rsidR="00085D03" w:rsidRPr="002F1DBA" w:rsidRDefault="00085D03" w:rsidP="00085D03">
      <w:pPr>
        <w:spacing w:after="0" w:line="240" w:lineRule="auto"/>
        <w:jc w:val="both"/>
        <w:rPr>
          <w:rFonts w:ascii="Arial" w:hAnsi="Arial" w:cs="Arial"/>
          <w:color w:val="000000" w:themeColor="text1"/>
          <w:sz w:val="20"/>
          <w:szCs w:val="20"/>
          <w:lang w:val="es-ES"/>
        </w:rPr>
      </w:pPr>
      <w:r w:rsidRPr="002F1DBA">
        <w:rPr>
          <w:rFonts w:ascii="Arial" w:hAnsi="Arial" w:cs="Arial"/>
          <w:color w:val="000000" w:themeColor="text1"/>
          <w:sz w:val="20"/>
          <w:szCs w:val="20"/>
          <w:lang w:val="es-ES"/>
        </w:rPr>
        <w:t xml:space="preserve">Esto significa que el cumplimiento de los requisitos establecidos en el Decreto 392 de 2019 lo acredita el integrante de la estructura plural que aporte mas del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14:paraId="64068679" w14:textId="77777777" w:rsidR="00085D03" w:rsidRPr="002F1DBA" w:rsidRDefault="00085D03" w:rsidP="00085D03">
      <w:pPr>
        <w:spacing w:after="0" w:line="240" w:lineRule="auto"/>
        <w:jc w:val="both"/>
        <w:rPr>
          <w:rFonts w:ascii="Arial" w:hAnsi="Arial" w:cs="Arial"/>
          <w:color w:val="000000" w:themeColor="text1"/>
          <w:sz w:val="20"/>
          <w:szCs w:val="20"/>
          <w:lang w:val="es-ES"/>
        </w:rPr>
      </w:pPr>
    </w:p>
    <w:p w14:paraId="6961CA9D" w14:textId="77777777" w:rsidR="00085D03" w:rsidRDefault="00085D03" w:rsidP="00085D03">
      <w:pPr>
        <w:widowControl w:val="0"/>
        <w:autoSpaceDE w:val="0"/>
        <w:autoSpaceDN w:val="0"/>
        <w:spacing w:after="0" w:line="240" w:lineRule="auto"/>
        <w:ind w:right="303"/>
        <w:jc w:val="both"/>
        <w:rPr>
          <w:rFonts w:ascii="Arial" w:eastAsia="Arial" w:hAnsi="Arial" w:cs="Arial"/>
          <w:b/>
          <w:bCs/>
          <w:color w:val="000000" w:themeColor="text1"/>
          <w:lang w:val="es-ES"/>
        </w:rPr>
      </w:pPr>
      <w:r w:rsidRPr="002F1DBA">
        <w:rPr>
          <w:rFonts w:ascii="Arial" w:eastAsia="Arial" w:hAnsi="Arial" w:cs="Arial"/>
          <w:b/>
          <w:bCs/>
          <w:color w:val="000000" w:themeColor="text1"/>
          <w:lang w:val="es-ES"/>
        </w:rPr>
        <w:t>SELECCIÓN OBJETIVA ─ Ley 1150 de 2007 ─ Alcance ─ Requisitos habilitantes</w:t>
      </w:r>
    </w:p>
    <w:p w14:paraId="5DB62714" w14:textId="77777777" w:rsidR="0041464B" w:rsidRDefault="0041464B" w:rsidP="00085D03">
      <w:pPr>
        <w:widowControl w:val="0"/>
        <w:autoSpaceDE w:val="0"/>
        <w:autoSpaceDN w:val="0"/>
        <w:spacing w:after="0" w:line="240" w:lineRule="auto"/>
        <w:ind w:right="303"/>
        <w:jc w:val="both"/>
        <w:rPr>
          <w:rFonts w:ascii="Arial" w:eastAsia="Arial" w:hAnsi="Arial" w:cs="Arial"/>
          <w:b/>
          <w:bCs/>
          <w:color w:val="000000" w:themeColor="text1"/>
          <w:lang w:val="es-ES"/>
        </w:rPr>
      </w:pPr>
    </w:p>
    <w:p w14:paraId="67DA73AE" w14:textId="77777777" w:rsidR="0041464B" w:rsidRPr="002F1DBA" w:rsidRDefault="0041464B" w:rsidP="00085D03">
      <w:pPr>
        <w:widowControl w:val="0"/>
        <w:autoSpaceDE w:val="0"/>
        <w:autoSpaceDN w:val="0"/>
        <w:spacing w:after="0" w:line="240" w:lineRule="auto"/>
        <w:ind w:right="303"/>
        <w:jc w:val="both"/>
        <w:rPr>
          <w:rFonts w:ascii="Arial" w:eastAsia="Arial" w:hAnsi="Arial" w:cs="Arial"/>
          <w:b/>
          <w:bCs/>
          <w:color w:val="000000" w:themeColor="text1"/>
          <w:lang w:val="es-ES"/>
        </w:rPr>
      </w:pPr>
    </w:p>
    <w:p w14:paraId="67A6D022" w14:textId="77777777" w:rsidR="00085D03" w:rsidRPr="002F1DBA" w:rsidRDefault="00085D03" w:rsidP="00085D03">
      <w:pPr>
        <w:widowControl w:val="0"/>
        <w:autoSpaceDE w:val="0"/>
        <w:autoSpaceDN w:val="0"/>
        <w:spacing w:after="0" w:line="240" w:lineRule="auto"/>
        <w:ind w:right="303"/>
        <w:jc w:val="both"/>
        <w:rPr>
          <w:rFonts w:ascii="Arial" w:hAnsi="Arial" w:cs="Arial"/>
          <w:color w:val="000000" w:themeColor="text1"/>
          <w:sz w:val="20"/>
          <w:szCs w:val="20"/>
          <w:lang w:val="es-ES"/>
        </w:rPr>
      </w:pPr>
    </w:p>
    <w:p w14:paraId="058BA629" w14:textId="77777777" w:rsidR="00085D03" w:rsidRPr="002F1DBA" w:rsidRDefault="00085D03" w:rsidP="00085D03">
      <w:pPr>
        <w:spacing w:after="120" w:line="240" w:lineRule="auto"/>
        <w:jc w:val="both"/>
        <w:rPr>
          <w:rFonts w:ascii="Arial" w:hAnsi="Arial" w:cs="Arial"/>
          <w:color w:val="000000" w:themeColor="text1"/>
          <w:sz w:val="20"/>
          <w:szCs w:val="20"/>
          <w:lang w:val="es-ES"/>
        </w:rPr>
      </w:pPr>
      <w:r w:rsidRPr="002F1DBA">
        <w:rPr>
          <w:rFonts w:ascii="Arial" w:hAnsi="Arial" w:cs="Arial"/>
          <w:color w:val="000000" w:themeColor="text1"/>
          <w:sz w:val="20"/>
          <w:szCs w:val="20"/>
          <w:lang w:val="es-ES"/>
        </w:rPr>
        <w:t>En aras de conferir alcance a la normativa estudiada, resulta pertinente remitirse a la Ley 1150 de 2007, cuyo artículo quinto señala que la selección objetiva en los términos de contratación estatal, es aquella escogencia realizada sin acudir a «factores de afecto o de interés y, en general, cualquier clase de motivación subjetiva». Este criterio de objetividad, debe ser observado por las entidades estatales y plasmado dentro de los pliegos de condiciones o sus equivalentes, los cuales regirán los procesos de selección.</w:t>
      </w:r>
    </w:p>
    <w:p w14:paraId="59722565" w14:textId="77777777" w:rsidR="00085D03" w:rsidRPr="002F1DBA" w:rsidRDefault="00085D03" w:rsidP="00085D03">
      <w:pPr>
        <w:spacing w:after="0" w:line="240" w:lineRule="auto"/>
        <w:jc w:val="both"/>
        <w:rPr>
          <w:rFonts w:ascii="Arial" w:hAnsi="Arial" w:cs="Arial"/>
          <w:color w:val="000000" w:themeColor="text1"/>
          <w:sz w:val="20"/>
          <w:szCs w:val="20"/>
          <w:lang w:val="es-ES"/>
        </w:rPr>
      </w:pPr>
      <w:r w:rsidRPr="002F1DBA">
        <w:rPr>
          <w:rFonts w:ascii="Arial" w:hAnsi="Arial" w:cs="Arial"/>
          <w:color w:val="000000" w:themeColor="text1"/>
          <w:sz w:val="20"/>
          <w:szCs w:val="20"/>
          <w:lang w:val="es-ES"/>
        </w:rPr>
        <w:t>Para tal efecto, la Agencia Nacional de Contratación Pública – Colombia Compra Eficiente, ha señalado que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w:t>
      </w:r>
    </w:p>
    <w:p w14:paraId="0B117DDE" w14:textId="77777777" w:rsidR="00085D03" w:rsidRPr="002F1DBA" w:rsidRDefault="00085D03" w:rsidP="00085D03">
      <w:pPr>
        <w:spacing w:after="0" w:line="240" w:lineRule="auto"/>
        <w:jc w:val="both"/>
        <w:rPr>
          <w:rFonts w:ascii="Arial" w:hAnsi="Arial" w:cs="Arial"/>
          <w:color w:val="000000" w:themeColor="text1"/>
          <w:sz w:val="20"/>
          <w:szCs w:val="20"/>
          <w:lang w:val="es-ES"/>
        </w:rPr>
      </w:pPr>
    </w:p>
    <w:p w14:paraId="000D38D4" w14:textId="1D561708" w:rsidR="0666639A" w:rsidRDefault="0666639A" w:rsidP="0666639A">
      <w:pPr>
        <w:spacing w:after="0" w:line="240" w:lineRule="auto"/>
        <w:jc w:val="both"/>
        <w:rPr>
          <w:rFonts w:ascii="Arial" w:hAnsi="Arial" w:cs="Arial"/>
          <w:color w:val="000000" w:themeColor="text1"/>
          <w:sz w:val="20"/>
          <w:szCs w:val="20"/>
          <w:lang w:val="es-ES"/>
        </w:rPr>
      </w:pPr>
    </w:p>
    <w:p w14:paraId="3BACF96E" w14:textId="2DE68A8C" w:rsidR="0666639A" w:rsidRDefault="0666639A" w:rsidP="0666639A">
      <w:pPr>
        <w:spacing w:after="0" w:line="240" w:lineRule="auto"/>
        <w:jc w:val="both"/>
        <w:rPr>
          <w:rFonts w:ascii="Arial" w:hAnsi="Arial" w:cs="Arial"/>
          <w:color w:val="000000" w:themeColor="text1"/>
          <w:sz w:val="20"/>
          <w:szCs w:val="20"/>
          <w:lang w:val="es-ES"/>
        </w:rPr>
      </w:pPr>
    </w:p>
    <w:p w14:paraId="39166FE3" w14:textId="77777777" w:rsidR="00085D03" w:rsidRPr="002F1DBA" w:rsidRDefault="00085D03" w:rsidP="00085D03">
      <w:pPr>
        <w:spacing w:after="0"/>
        <w:jc w:val="both"/>
        <w:rPr>
          <w:rFonts w:ascii="Arial" w:hAnsi="Arial" w:cs="Arial"/>
          <w:b/>
          <w:color w:val="000000" w:themeColor="text1"/>
        </w:rPr>
      </w:pPr>
      <w:r w:rsidRPr="002F1DBA">
        <w:rPr>
          <w:rFonts w:ascii="Arial" w:hAnsi="Arial" w:cs="Arial"/>
          <w:b/>
          <w:color w:val="000000" w:themeColor="text1"/>
        </w:rPr>
        <w:t xml:space="preserve">DECRETO 392 DE 2018 − Estructuras plurales ─ Acreditación de experiencia </w:t>
      </w:r>
    </w:p>
    <w:p w14:paraId="2CCF20D2" w14:textId="77777777" w:rsidR="00085D03" w:rsidRPr="002F1DBA" w:rsidRDefault="00085D03" w:rsidP="00085D03">
      <w:pPr>
        <w:spacing w:after="0"/>
        <w:jc w:val="both"/>
        <w:rPr>
          <w:rFonts w:ascii="Arial" w:hAnsi="Arial" w:cs="Arial"/>
          <w:bCs/>
          <w:color w:val="000000" w:themeColor="text1"/>
          <w:sz w:val="20"/>
          <w:szCs w:val="20"/>
        </w:rPr>
      </w:pPr>
    </w:p>
    <w:p w14:paraId="212AEB76" w14:textId="77777777" w:rsidR="00085D03" w:rsidRPr="002F1DBA" w:rsidRDefault="00085D03" w:rsidP="00085D03">
      <w:pPr>
        <w:spacing w:after="0"/>
        <w:jc w:val="both"/>
        <w:rPr>
          <w:rFonts w:ascii="Arial" w:hAnsi="Arial" w:cs="Arial"/>
          <w:color w:val="000000" w:themeColor="text1"/>
          <w:sz w:val="20"/>
          <w:szCs w:val="20"/>
          <w:lang w:val="es-ES_tradnl"/>
        </w:rPr>
      </w:pPr>
      <w:r w:rsidRPr="002F1DBA">
        <w:rPr>
          <w:rFonts w:ascii="Arial" w:hAnsi="Arial" w:cs="Arial"/>
          <w:bCs/>
          <w:color w:val="000000" w:themeColor="text1"/>
          <w:sz w:val="20"/>
          <w:szCs w:val="20"/>
          <w:lang w:val="es-ES"/>
        </w:rPr>
        <w:t>A través de la interpretación en conjunto de la normativa aplicable, es posible concluir que: i) las condiciones generales y/o específicas de acreditaci</w:t>
      </w:r>
      <w:r w:rsidRPr="002F1DBA">
        <w:rPr>
          <w:rFonts w:ascii="Arial" w:hAnsi="Arial" w:cs="Arial" w:hint="eastAsia"/>
          <w:bCs/>
          <w:color w:val="000000" w:themeColor="text1"/>
          <w:sz w:val="20"/>
          <w:szCs w:val="20"/>
          <w:lang w:val="es-ES"/>
        </w:rPr>
        <w:t>ó</w:t>
      </w:r>
      <w:r w:rsidRPr="002F1DBA">
        <w:rPr>
          <w:rFonts w:ascii="Arial" w:hAnsi="Arial" w:cs="Arial"/>
          <w:bCs/>
          <w:color w:val="000000" w:themeColor="text1"/>
          <w:sz w:val="20"/>
          <w:szCs w:val="20"/>
          <w:lang w:val="es-ES"/>
        </w:rPr>
        <w:t>n de experiencia y asignaci</w:t>
      </w:r>
      <w:r w:rsidRPr="002F1DBA">
        <w:rPr>
          <w:rFonts w:ascii="Arial" w:hAnsi="Arial" w:cs="Arial" w:hint="eastAsia"/>
          <w:bCs/>
          <w:color w:val="000000" w:themeColor="text1"/>
          <w:sz w:val="20"/>
          <w:szCs w:val="20"/>
          <w:lang w:val="es-ES"/>
        </w:rPr>
        <w:t>ó</w:t>
      </w:r>
      <w:r w:rsidRPr="002F1DBA">
        <w:rPr>
          <w:rFonts w:ascii="Arial" w:hAnsi="Arial" w:cs="Arial"/>
          <w:bCs/>
          <w:color w:val="000000" w:themeColor="text1"/>
          <w:sz w:val="20"/>
          <w:szCs w:val="20"/>
          <w:lang w:val="es-ES"/>
        </w:rPr>
        <w:t xml:space="preserve">n de incentivos deben estar consignadas en el </w:t>
      </w:r>
      <w:r w:rsidRPr="002F1DBA">
        <w:rPr>
          <w:rFonts w:ascii="Arial" w:hAnsi="Arial" w:cs="Arial"/>
          <w:bCs/>
          <w:color w:val="000000" w:themeColor="text1"/>
          <w:sz w:val="20"/>
          <w:szCs w:val="20"/>
          <w:lang w:val="es-ES_tradnl"/>
        </w:rPr>
        <w:t>pliego proferido por la entidad para el respectivo proceso de selecci</w:t>
      </w:r>
      <w:r w:rsidRPr="002F1DBA">
        <w:rPr>
          <w:rFonts w:ascii="Arial" w:hAnsi="Arial" w:cs="Arial" w:hint="eastAsia"/>
          <w:bCs/>
          <w:color w:val="000000" w:themeColor="text1"/>
          <w:sz w:val="20"/>
          <w:szCs w:val="20"/>
          <w:lang w:val="es-ES_tradnl"/>
        </w:rPr>
        <w:t>ó</w:t>
      </w:r>
      <w:r w:rsidRPr="002F1DBA">
        <w:rPr>
          <w:rFonts w:ascii="Arial" w:hAnsi="Arial" w:cs="Arial"/>
          <w:bCs/>
          <w:color w:val="000000" w:themeColor="text1"/>
          <w:sz w:val="20"/>
          <w:szCs w:val="20"/>
          <w:lang w:val="es-ES_tradnl"/>
        </w:rPr>
        <w:t>n, dentro de los requisitos habilitantes</w:t>
      </w:r>
      <w:r w:rsidRPr="002F1DBA">
        <w:rPr>
          <w:rFonts w:ascii="Arial" w:hAnsi="Arial" w:cs="Arial"/>
          <w:bCs/>
          <w:color w:val="000000" w:themeColor="text1"/>
          <w:sz w:val="20"/>
          <w:szCs w:val="20"/>
          <w:lang w:val="es-ES"/>
        </w:rPr>
        <w:t>; y, ii) en cuanto a la experiencia, esta se acreditará mediante los contratos celebrados por el interesado para cada uno de los bienes, obras o servicios que se ofrecerán a las entidades estatales, identificados por el clasificador de bienes y servicios en el tercer nivel y su valor expresado en SMLMV</w:t>
      </w:r>
      <w:r w:rsidRPr="002F1DBA">
        <w:rPr>
          <w:rFonts w:ascii="Arial" w:hAnsi="Arial" w:cs="Arial"/>
          <w:color w:val="000000" w:themeColor="text1"/>
          <w:sz w:val="20"/>
          <w:szCs w:val="20"/>
        </w:rPr>
        <w:t>.</w:t>
      </w:r>
    </w:p>
    <w:p w14:paraId="0697D92D" w14:textId="77777777" w:rsidR="00085D03" w:rsidRPr="002F1DBA" w:rsidRDefault="00085D03" w:rsidP="00085D03">
      <w:pPr>
        <w:spacing w:after="0" w:line="240" w:lineRule="auto"/>
        <w:jc w:val="both"/>
        <w:rPr>
          <w:rFonts w:ascii="Arial" w:hAnsi="Arial" w:cs="Arial"/>
          <w:color w:val="000000" w:themeColor="text1"/>
          <w:sz w:val="20"/>
          <w:szCs w:val="20"/>
          <w:lang w:val="es-ES"/>
        </w:rPr>
      </w:pPr>
    </w:p>
    <w:p w14:paraId="0A733585" w14:textId="77777777" w:rsidR="00085D03" w:rsidRPr="002F1DBA" w:rsidRDefault="00085D03" w:rsidP="00085D03">
      <w:pPr>
        <w:rPr>
          <w:rFonts w:ascii="Arial" w:hAnsi="Arial" w:cs="Arial"/>
          <w:color w:val="000000" w:themeColor="text1"/>
          <w:sz w:val="20"/>
          <w:szCs w:val="20"/>
          <w:lang w:val="es-ES_tradnl"/>
        </w:rPr>
      </w:pPr>
    </w:p>
    <w:p w14:paraId="00D8DC34" w14:textId="77777777" w:rsidR="00085D03" w:rsidRPr="002F1DBA" w:rsidRDefault="00085D03" w:rsidP="00085D03">
      <w:pPr>
        <w:rPr>
          <w:rFonts w:ascii="Arial" w:hAnsi="Arial" w:cs="Arial"/>
          <w:color w:val="000000" w:themeColor="text1"/>
          <w:sz w:val="20"/>
          <w:szCs w:val="20"/>
          <w:lang w:val="es-ES_tradnl"/>
        </w:rPr>
      </w:pPr>
    </w:p>
    <w:p w14:paraId="2BE8E51C" w14:textId="77777777" w:rsidR="00085D03" w:rsidRPr="002F1DBA" w:rsidRDefault="00085D03" w:rsidP="00085D03">
      <w:pPr>
        <w:spacing w:after="0" w:line="240" w:lineRule="auto"/>
        <w:outlineLvl w:val="0"/>
        <w:rPr>
          <w:rFonts w:ascii="Arial" w:hAnsi="Arial" w:cs="Arial"/>
          <w:color w:val="000000" w:themeColor="text1"/>
          <w:sz w:val="20"/>
          <w:szCs w:val="20"/>
          <w:lang w:val="es-ES_tradnl"/>
        </w:rPr>
      </w:pPr>
    </w:p>
    <w:p w14:paraId="3CB73BFD" w14:textId="77777777" w:rsidR="00085D03" w:rsidRPr="002F1DBA" w:rsidRDefault="00085D03" w:rsidP="00085D03">
      <w:pPr>
        <w:spacing w:after="0" w:line="240" w:lineRule="auto"/>
        <w:outlineLvl w:val="0"/>
        <w:rPr>
          <w:rFonts w:ascii="Arial" w:hAnsi="Arial" w:cs="Arial"/>
          <w:color w:val="000000" w:themeColor="text1"/>
          <w:sz w:val="20"/>
          <w:szCs w:val="20"/>
          <w:lang w:val="es-ES"/>
        </w:rPr>
      </w:pPr>
    </w:p>
    <w:p w14:paraId="7EF69F21" w14:textId="241C8F76" w:rsidR="2449AB95" w:rsidRDefault="2449AB95" w:rsidP="2449AB95">
      <w:pPr>
        <w:spacing w:after="0" w:line="240" w:lineRule="auto"/>
        <w:outlineLvl w:val="0"/>
        <w:rPr>
          <w:rFonts w:ascii="Arial" w:hAnsi="Arial" w:cs="Arial"/>
          <w:color w:val="000000" w:themeColor="text1"/>
          <w:sz w:val="20"/>
          <w:szCs w:val="20"/>
          <w:lang w:val="es-ES"/>
        </w:rPr>
      </w:pPr>
    </w:p>
    <w:p w14:paraId="481A0879" w14:textId="3D8F966F" w:rsidR="2449AB95" w:rsidRDefault="2449AB95" w:rsidP="2449AB95">
      <w:pPr>
        <w:spacing w:after="0" w:line="240" w:lineRule="auto"/>
        <w:outlineLvl w:val="0"/>
        <w:rPr>
          <w:rFonts w:ascii="Arial" w:hAnsi="Arial" w:cs="Arial"/>
          <w:color w:val="000000" w:themeColor="text1"/>
          <w:sz w:val="20"/>
          <w:szCs w:val="20"/>
          <w:lang w:val="es-ES"/>
        </w:rPr>
      </w:pPr>
    </w:p>
    <w:p w14:paraId="40AF235A" w14:textId="48172BD1" w:rsidR="2449AB95" w:rsidRDefault="2449AB95" w:rsidP="2449AB95">
      <w:pPr>
        <w:spacing w:after="0" w:line="240" w:lineRule="auto"/>
        <w:outlineLvl w:val="0"/>
        <w:rPr>
          <w:rFonts w:ascii="Arial" w:hAnsi="Arial" w:cs="Arial"/>
          <w:color w:val="000000" w:themeColor="text1"/>
          <w:sz w:val="20"/>
          <w:szCs w:val="20"/>
          <w:lang w:val="es-ES"/>
        </w:rPr>
      </w:pPr>
    </w:p>
    <w:p w14:paraId="1354FF55" w14:textId="02F88ABD" w:rsidR="2449AB95" w:rsidRDefault="2449AB95" w:rsidP="2449AB95">
      <w:pPr>
        <w:spacing w:after="0" w:line="240" w:lineRule="auto"/>
        <w:outlineLvl w:val="0"/>
        <w:rPr>
          <w:rFonts w:ascii="Arial" w:hAnsi="Arial" w:cs="Arial"/>
          <w:color w:val="000000" w:themeColor="text1"/>
          <w:sz w:val="20"/>
          <w:szCs w:val="20"/>
          <w:lang w:val="es-ES"/>
        </w:rPr>
      </w:pPr>
    </w:p>
    <w:p w14:paraId="0B87D4A4" w14:textId="6EA57771" w:rsidR="2449AB95" w:rsidRDefault="2449AB95" w:rsidP="2449AB95">
      <w:pPr>
        <w:spacing w:after="0" w:line="240" w:lineRule="auto"/>
        <w:outlineLvl w:val="0"/>
        <w:rPr>
          <w:rFonts w:ascii="Arial" w:hAnsi="Arial" w:cs="Arial"/>
          <w:color w:val="000000" w:themeColor="text1"/>
          <w:sz w:val="20"/>
          <w:szCs w:val="20"/>
          <w:lang w:val="es-ES"/>
        </w:rPr>
      </w:pPr>
    </w:p>
    <w:p w14:paraId="0D3A4376" w14:textId="58DD9B0E" w:rsidR="2449AB95" w:rsidRDefault="2449AB95" w:rsidP="2449AB95">
      <w:pPr>
        <w:spacing w:after="0" w:line="240" w:lineRule="auto"/>
        <w:outlineLvl w:val="0"/>
        <w:rPr>
          <w:rFonts w:ascii="Arial" w:hAnsi="Arial" w:cs="Arial"/>
          <w:color w:val="000000" w:themeColor="text1"/>
          <w:sz w:val="20"/>
          <w:szCs w:val="20"/>
          <w:lang w:val="es-ES"/>
        </w:rPr>
      </w:pPr>
    </w:p>
    <w:p w14:paraId="58BA4786" w14:textId="1E43C2BF" w:rsidR="2449AB95" w:rsidRDefault="2449AB95" w:rsidP="2449AB95">
      <w:pPr>
        <w:spacing w:after="0" w:line="240" w:lineRule="auto"/>
        <w:outlineLvl w:val="0"/>
        <w:rPr>
          <w:rFonts w:ascii="Arial" w:hAnsi="Arial" w:cs="Arial"/>
          <w:color w:val="000000" w:themeColor="text1"/>
          <w:sz w:val="20"/>
          <w:szCs w:val="20"/>
          <w:lang w:val="es-ES"/>
        </w:rPr>
      </w:pPr>
    </w:p>
    <w:p w14:paraId="375333E7" w14:textId="42A7E71F" w:rsidR="2449AB95" w:rsidRDefault="2449AB95" w:rsidP="2449AB95">
      <w:pPr>
        <w:spacing w:after="0" w:line="240" w:lineRule="auto"/>
        <w:outlineLvl w:val="0"/>
        <w:rPr>
          <w:rFonts w:ascii="Arial" w:hAnsi="Arial" w:cs="Arial"/>
          <w:color w:val="000000" w:themeColor="text1"/>
          <w:sz w:val="20"/>
          <w:szCs w:val="20"/>
          <w:lang w:val="es-ES"/>
        </w:rPr>
      </w:pPr>
    </w:p>
    <w:p w14:paraId="7BD94E5A" w14:textId="77777777" w:rsidR="00085D03" w:rsidRPr="002F1DBA" w:rsidRDefault="00085D03" w:rsidP="00085D03">
      <w:pPr>
        <w:spacing w:after="0" w:line="240" w:lineRule="auto"/>
        <w:outlineLvl w:val="0"/>
        <w:rPr>
          <w:rFonts w:ascii="Arial" w:hAnsi="Arial" w:cs="Arial"/>
          <w:color w:val="000000" w:themeColor="text1"/>
          <w:sz w:val="20"/>
          <w:szCs w:val="20"/>
          <w:lang w:val="es-ES_tradnl"/>
        </w:rPr>
      </w:pPr>
    </w:p>
    <w:p w14:paraId="3EDDE526" w14:textId="77777777" w:rsidR="00085D03" w:rsidRPr="002F1DBA" w:rsidRDefault="00085D03" w:rsidP="00085D03">
      <w:pPr>
        <w:spacing w:after="0" w:line="240" w:lineRule="auto"/>
        <w:outlineLvl w:val="0"/>
        <w:rPr>
          <w:rFonts w:ascii="Arial" w:hAnsi="Arial" w:cs="Arial"/>
          <w:color w:val="000000" w:themeColor="text1"/>
          <w:sz w:val="20"/>
          <w:szCs w:val="20"/>
          <w:lang w:val="es-ES_tradnl"/>
        </w:rPr>
      </w:pPr>
    </w:p>
    <w:p w14:paraId="3AC53800" w14:textId="4E0FA6D9" w:rsidR="00085D03" w:rsidRPr="002F1DBA" w:rsidRDefault="00085D03" w:rsidP="00085D03">
      <w:pPr>
        <w:spacing w:after="0" w:line="240" w:lineRule="auto"/>
        <w:outlineLvl w:val="0"/>
        <w:rPr>
          <w:rFonts w:ascii="Arial" w:hAnsi="Arial" w:cs="Arial"/>
          <w:color w:val="000000" w:themeColor="text1"/>
          <w:sz w:val="20"/>
          <w:szCs w:val="20"/>
          <w:lang w:val="es-ES_tradnl"/>
        </w:rPr>
      </w:pPr>
    </w:p>
    <w:p w14:paraId="4980AB06" w14:textId="3E2C010C"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3930EDEB" w14:textId="252431EE"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789C3DF7" w14:textId="1D022A03"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77128389" w14:textId="1C4D25CB"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56AF9C82" w14:textId="7338D25B"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65EAD6B5" w14:textId="7D3BBC16"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77AB8C21" w14:textId="0B2BBCD0"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27F71D8E" w14:textId="204A1E18"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56713E55" w14:textId="517124E2"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7CA0E26A" w14:textId="431B076D"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7EF8B171" w14:textId="3B6616A3"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567F43B4" w14:textId="6B553E15"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403BA8D6" w14:textId="0AB76C49"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39C1F368" w14:textId="77777777" w:rsidR="00E640C4" w:rsidRPr="002F1DBA" w:rsidRDefault="00E640C4" w:rsidP="00085D03">
      <w:pPr>
        <w:spacing w:after="0" w:line="240" w:lineRule="auto"/>
        <w:outlineLvl w:val="0"/>
        <w:rPr>
          <w:rFonts w:ascii="Arial" w:hAnsi="Arial" w:cs="Arial"/>
          <w:color w:val="000000" w:themeColor="text1"/>
          <w:sz w:val="20"/>
          <w:szCs w:val="20"/>
          <w:lang w:val="es-ES_tradnl"/>
        </w:rPr>
      </w:pPr>
    </w:p>
    <w:p w14:paraId="6007E236" w14:textId="77777777" w:rsidR="00085D03" w:rsidRPr="002F1DBA" w:rsidRDefault="00085D03" w:rsidP="00085D03">
      <w:pPr>
        <w:spacing w:after="0" w:line="240" w:lineRule="auto"/>
        <w:outlineLvl w:val="0"/>
        <w:rPr>
          <w:rFonts w:ascii="Arial" w:hAnsi="Arial" w:cs="Arial"/>
          <w:color w:val="000000" w:themeColor="text1"/>
          <w:sz w:val="20"/>
          <w:szCs w:val="20"/>
          <w:lang w:val="es-ES_tradnl"/>
        </w:rPr>
      </w:pPr>
    </w:p>
    <w:p w14:paraId="7964CA60" w14:textId="53FB9850" w:rsidR="00085D03" w:rsidRPr="002F1DBA" w:rsidRDefault="002F1DBA" w:rsidP="00085D03">
      <w:pPr>
        <w:spacing w:after="0" w:line="240" w:lineRule="auto"/>
        <w:outlineLvl w:val="0"/>
        <w:rPr>
          <w:rFonts w:ascii="Arial" w:hAnsi="Arial" w:cs="Arial"/>
        </w:rPr>
      </w:pPr>
      <w:r>
        <w:rPr>
          <w:rFonts w:ascii="Arial" w:hAnsi="Arial" w:cs="Arial"/>
          <w:noProof/>
        </w:rPr>
        <w:drawing>
          <wp:anchor distT="0" distB="0" distL="114300" distR="114300" simplePos="0" relativeHeight="251658240" behindDoc="0" locked="0" layoutInCell="1" allowOverlap="1" wp14:anchorId="06337E56" wp14:editId="42FEC6CD">
            <wp:simplePos x="0" y="0"/>
            <wp:positionH relativeFrom="column">
              <wp:posOffset>2452204</wp:posOffset>
            </wp:positionH>
            <wp:positionV relativeFrom="paragraph">
              <wp:posOffset>-218797</wp:posOffset>
            </wp:positionV>
            <wp:extent cx="3140727" cy="8441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4121" cy="858468"/>
                    </a:xfrm>
                    <a:prstGeom prst="rect">
                      <a:avLst/>
                    </a:prstGeom>
                  </pic:spPr>
                </pic:pic>
              </a:graphicData>
            </a:graphic>
            <wp14:sizeRelH relativeFrom="page">
              <wp14:pctWidth>0</wp14:pctWidth>
            </wp14:sizeRelH>
            <wp14:sizeRelV relativeFrom="page">
              <wp14:pctHeight>0</wp14:pctHeight>
            </wp14:sizeRelV>
          </wp:anchor>
        </w:drawing>
      </w:r>
      <w:r w:rsidR="00085D03" w:rsidRPr="002F1DBA">
        <w:rPr>
          <w:rFonts w:ascii="Arial" w:hAnsi="Arial" w:cs="Arial"/>
        </w:rPr>
        <w:t xml:space="preserve">Bogotá, </w:t>
      </w:r>
      <w:r>
        <w:rPr>
          <w:rFonts w:ascii="Arial" w:hAnsi="Arial" w:cs="Arial"/>
        </w:rPr>
        <w:t>2</w:t>
      </w:r>
      <w:r w:rsidR="00FE6BFA">
        <w:rPr>
          <w:rFonts w:ascii="Arial" w:hAnsi="Arial" w:cs="Arial"/>
        </w:rPr>
        <w:t>7</w:t>
      </w:r>
      <w:r>
        <w:rPr>
          <w:rFonts w:ascii="Arial" w:hAnsi="Arial" w:cs="Arial"/>
        </w:rPr>
        <w:t xml:space="preserve"> de diciembre de 2022</w:t>
      </w:r>
    </w:p>
    <w:p w14:paraId="2AB4CA8C" w14:textId="77777777" w:rsidR="00085D03" w:rsidRPr="002F1DBA" w:rsidRDefault="00085D03" w:rsidP="00085D03">
      <w:pPr>
        <w:spacing w:after="0" w:line="240" w:lineRule="auto"/>
        <w:outlineLvl w:val="0"/>
        <w:rPr>
          <w:rFonts w:ascii="Arial" w:eastAsia="Calibri" w:hAnsi="Arial" w:cs="Arial"/>
          <w:lang w:val="es-ES"/>
        </w:rPr>
      </w:pPr>
    </w:p>
    <w:p w14:paraId="74CB387E" w14:textId="77777777" w:rsidR="00085D03" w:rsidRPr="002F1DBA" w:rsidRDefault="00085D03" w:rsidP="00085D03">
      <w:pPr>
        <w:spacing w:after="0" w:line="240" w:lineRule="auto"/>
        <w:outlineLvl w:val="0"/>
        <w:rPr>
          <w:rFonts w:ascii="Arial" w:eastAsia="Calibri" w:hAnsi="Arial" w:cs="Arial"/>
          <w:lang w:val="es-ES"/>
        </w:rPr>
      </w:pPr>
      <w:r w:rsidRPr="002F1DBA">
        <w:rPr>
          <w:rFonts w:ascii="Arial" w:eastAsia="Calibri" w:hAnsi="Arial" w:cs="Arial"/>
          <w:lang w:val="es-ES"/>
        </w:rPr>
        <w:t>Señores</w:t>
      </w:r>
    </w:p>
    <w:p w14:paraId="35EB93F2" w14:textId="621EEECC" w:rsidR="00085D03" w:rsidRPr="002F1DBA" w:rsidRDefault="00085D03" w:rsidP="00085D03">
      <w:pPr>
        <w:spacing w:after="0"/>
        <w:rPr>
          <w:rFonts w:ascii="Arial" w:hAnsi="Arial" w:cs="Arial"/>
          <w:b/>
          <w:bCs/>
        </w:rPr>
      </w:pPr>
      <w:r w:rsidRPr="002F1DBA">
        <w:rPr>
          <w:rFonts w:ascii="Arial" w:hAnsi="Arial" w:cs="Arial"/>
          <w:b/>
          <w:bCs/>
        </w:rPr>
        <w:t>IDU</w:t>
      </w:r>
    </w:p>
    <w:p w14:paraId="57BC03D1" w14:textId="12031E2F" w:rsidR="00085D03" w:rsidRPr="002F1DBA" w:rsidRDefault="00085D03" w:rsidP="00085D03">
      <w:pPr>
        <w:spacing w:after="0"/>
        <w:rPr>
          <w:rFonts w:ascii="Arial" w:hAnsi="Arial" w:cs="Arial"/>
          <w:b/>
          <w:bCs/>
        </w:rPr>
      </w:pPr>
      <w:r w:rsidRPr="002F1DBA">
        <w:rPr>
          <w:rFonts w:ascii="Arial" w:hAnsi="Arial" w:cs="Arial"/>
          <w:b/>
          <w:bCs/>
        </w:rPr>
        <w:t>Instituto de Desarrollo Urbano</w:t>
      </w:r>
    </w:p>
    <w:p w14:paraId="299769B5" w14:textId="77777777" w:rsidR="00085D03" w:rsidRPr="002F1DBA" w:rsidRDefault="00085D03" w:rsidP="00085D03">
      <w:pPr>
        <w:spacing w:after="0"/>
        <w:rPr>
          <w:rFonts w:ascii="Arial" w:hAnsi="Arial" w:cs="Arial"/>
        </w:rPr>
      </w:pPr>
      <w:r w:rsidRPr="002F1DBA">
        <w:rPr>
          <w:rFonts w:ascii="Arial" w:hAnsi="Arial" w:cs="Arial"/>
        </w:rPr>
        <w:t>Bogotá D.C.</w:t>
      </w:r>
    </w:p>
    <w:p w14:paraId="30BF0079" w14:textId="77777777" w:rsidR="00085D03" w:rsidRPr="002F1DBA" w:rsidRDefault="00085D03" w:rsidP="00085D03">
      <w:pPr>
        <w:spacing w:after="0" w:line="240" w:lineRule="auto"/>
        <w:outlineLvl w:val="0"/>
        <w:rPr>
          <w:rFonts w:ascii="Arial" w:eastAsia="Calibri" w:hAnsi="Arial" w:cs="Arial"/>
          <w:color w:val="000000" w:themeColor="text1"/>
          <w:lang w:val="es-ES"/>
        </w:rPr>
      </w:pPr>
    </w:p>
    <w:p w14:paraId="2A81F2E2" w14:textId="77777777" w:rsidR="00085D03" w:rsidRPr="002F1DBA" w:rsidRDefault="00085D03" w:rsidP="00085D03">
      <w:pPr>
        <w:spacing w:after="0" w:line="240" w:lineRule="auto"/>
        <w:rPr>
          <w:rFonts w:ascii="Arial" w:eastAsia="Calibri" w:hAnsi="Arial" w:cs="Arial"/>
          <w:color w:val="000000" w:themeColor="text1"/>
          <w:sz w:val="20"/>
          <w:szCs w:val="20"/>
          <w:lang w:val="es-ES"/>
        </w:rPr>
      </w:pPr>
    </w:p>
    <w:p w14:paraId="564F822C" w14:textId="77777777" w:rsidR="00085D03" w:rsidRPr="002F1DBA" w:rsidRDefault="00085D03" w:rsidP="00085D03">
      <w:pPr>
        <w:spacing w:after="0" w:line="240" w:lineRule="auto"/>
        <w:rPr>
          <w:rFonts w:ascii="Arial" w:eastAsia="Calibri" w:hAnsi="Arial" w:cs="Arial"/>
          <w:color w:val="000000" w:themeColor="text1"/>
          <w:sz w:val="20"/>
          <w:szCs w:val="20"/>
          <w:lang w:val="es-ES"/>
        </w:rPr>
      </w:pPr>
    </w:p>
    <w:p w14:paraId="4341A30F" w14:textId="64095CDC" w:rsidR="00085D03" w:rsidRPr="002F1DBA" w:rsidRDefault="00085D03" w:rsidP="00085D03">
      <w:pPr>
        <w:spacing w:after="0" w:line="240" w:lineRule="auto"/>
        <w:ind w:firstLine="2694"/>
        <w:outlineLvl w:val="0"/>
        <w:rPr>
          <w:rFonts w:ascii="Arial" w:eastAsia="Calibri" w:hAnsi="Arial" w:cs="Arial"/>
          <w:b/>
          <w:color w:val="000000" w:themeColor="text1"/>
          <w:lang w:val="es-ES"/>
        </w:rPr>
      </w:pPr>
      <w:r w:rsidRPr="002F1DBA">
        <w:rPr>
          <w:rFonts w:ascii="Arial" w:eastAsia="Calibri" w:hAnsi="Arial" w:cs="Arial"/>
          <w:b/>
          <w:color w:val="000000" w:themeColor="text1"/>
          <w:lang w:val="es-ES"/>
        </w:rPr>
        <w:t>Concepto C – 885 de 2022</w:t>
      </w:r>
    </w:p>
    <w:p w14:paraId="48193E75" w14:textId="77777777" w:rsidR="00085D03" w:rsidRPr="002F1DBA" w:rsidRDefault="00085D03" w:rsidP="00085D03">
      <w:pPr>
        <w:spacing w:after="0" w:line="240" w:lineRule="auto"/>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85D03" w:rsidRPr="002F1DBA" w14:paraId="21046771" w14:textId="77777777" w:rsidTr="0082420E">
        <w:tc>
          <w:tcPr>
            <w:tcW w:w="2689" w:type="dxa"/>
            <w:hideMark/>
          </w:tcPr>
          <w:p w14:paraId="0B7DD756" w14:textId="77777777" w:rsidR="00085D03" w:rsidRPr="002F1DBA" w:rsidRDefault="00085D03" w:rsidP="0082420E">
            <w:pPr>
              <w:rPr>
                <w:rFonts w:ascii="Arial" w:eastAsia="Calibri" w:hAnsi="Arial" w:cs="Arial"/>
                <w:color w:val="000000" w:themeColor="text1"/>
                <w:lang w:val="es-ES"/>
              </w:rPr>
            </w:pPr>
            <w:r w:rsidRPr="002F1DBA">
              <w:rPr>
                <w:rFonts w:ascii="Arial" w:eastAsia="Calibri" w:hAnsi="Arial" w:cs="Arial"/>
                <w:b/>
                <w:color w:val="000000" w:themeColor="text1"/>
                <w:lang w:val="es-ES"/>
              </w:rPr>
              <w:t>Temas:</w:t>
            </w:r>
            <w:r w:rsidRPr="002F1DBA">
              <w:rPr>
                <w:rFonts w:ascii="Arial" w:eastAsia="Calibri" w:hAnsi="Arial" w:cs="Arial"/>
                <w:color w:val="000000" w:themeColor="text1"/>
                <w:lang w:val="es-ES"/>
              </w:rPr>
              <w:t xml:space="preserve">           </w:t>
            </w:r>
          </w:p>
          <w:p w14:paraId="75BAC6FF" w14:textId="77777777" w:rsidR="00085D03" w:rsidRPr="002F1DBA" w:rsidRDefault="00085D03" w:rsidP="0082420E">
            <w:pPr>
              <w:rPr>
                <w:rFonts w:ascii="Arial" w:eastAsia="Calibri" w:hAnsi="Arial" w:cs="Arial"/>
                <w:color w:val="000000" w:themeColor="text1"/>
                <w:lang w:val="es-ES"/>
              </w:rPr>
            </w:pPr>
            <w:r w:rsidRPr="002F1DBA">
              <w:rPr>
                <w:rFonts w:ascii="Arial" w:eastAsia="Calibri" w:hAnsi="Arial" w:cs="Arial"/>
                <w:color w:val="000000" w:themeColor="text1"/>
                <w:lang w:val="es-ES"/>
              </w:rPr>
              <w:t xml:space="preserve">                           </w:t>
            </w:r>
          </w:p>
        </w:tc>
        <w:tc>
          <w:tcPr>
            <w:tcW w:w="6237" w:type="dxa"/>
            <w:hideMark/>
          </w:tcPr>
          <w:p w14:paraId="19710CCA" w14:textId="563C51D7" w:rsidR="00085D03" w:rsidRPr="002F1DBA" w:rsidRDefault="00085D03" w:rsidP="0082420E">
            <w:pPr>
              <w:shd w:val="clear" w:color="auto" w:fill="FFFFFF"/>
              <w:spacing w:before="100" w:beforeAutospacing="1" w:after="100" w:afterAutospacing="1"/>
              <w:jc w:val="both"/>
              <w:rPr>
                <w:rFonts w:ascii="Arial" w:eastAsia="Calibri" w:hAnsi="Arial" w:cs="Arial"/>
                <w:color w:val="000000" w:themeColor="text1"/>
                <w:lang w:val="es-ES_tradnl"/>
              </w:rPr>
            </w:pPr>
            <w:r w:rsidRPr="002F1DBA">
              <w:rPr>
                <w:rFonts w:ascii="Arial" w:eastAsia="Calibri" w:hAnsi="Arial" w:cs="Arial"/>
                <w:color w:val="000000" w:themeColor="text1"/>
                <w:lang w:val="es-ES"/>
              </w:rPr>
              <w:t xml:space="preserve">PERSONAS EN CONDICIÓN DE DISCAPACIDAD – Decreto 392 de 2018 – Desarrollo normativo/ </w:t>
            </w:r>
            <w:r w:rsidRPr="002F1DBA">
              <w:rPr>
                <w:rFonts w:ascii="Arial" w:eastAsia="Times New Roman" w:hAnsi="Arial" w:cs="Arial"/>
                <w:color w:val="000000" w:themeColor="text1"/>
                <w:lang w:val="es-ES" w:eastAsia="es-ES_tradnl"/>
              </w:rPr>
              <w:t xml:space="preserve">DOCUMENTOS TIPO DE LICITACIÓN − Personas en condición de discapacidad − Proponente plural − Documento Base − Numeral 4.4 / </w:t>
            </w:r>
            <w:r w:rsidRPr="002F1DBA">
              <w:rPr>
                <w:rFonts w:ascii="Arial" w:eastAsia="Calibri" w:hAnsi="Arial" w:cs="Arial"/>
                <w:color w:val="000000" w:themeColor="text1"/>
                <w:lang w:val="es-ES"/>
              </w:rPr>
              <w:t>SELECCIÓN OBJETIVA – Ley 1150 de 2007 – Alcance – Requisitos habilitantes</w:t>
            </w:r>
          </w:p>
        </w:tc>
      </w:tr>
      <w:tr w:rsidR="00085D03" w:rsidRPr="002F1DBA" w14:paraId="50D0762F" w14:textId="77777777" w:rsidTr="0082420E">
        <w:trPr>
          <w:trHeight w:val="215"/>
        </w:trPr>
        <w:tc>
          <w:tcPr>
            <w:tcW w:w="2689" w:type="dxa"/>
          </w:tcPr>
          <w:p w14:paraId="41012D85" w14:textId="77777777" w:rsidR="00085D03" w:rsidRPr="002F1DBA" w:rsidRDefault="00085D03" w:rsidP="0082420E">
            <w:pPr>
              <w:spacing w:before="120"/>
              <w:rPr>
                <w:rFonts w:ascii="Arial" w:eastAsia="Calibri" w:hAnsi="Arial" w:cs="Arial"/>
                <w:b/>
                <w:color w:val="000000" w:themeColor="text1"/>
                <w:lang w:val="es-ES"/>
              </w:rPr>
            </w:pPr>
            <w:r w:rsidRPr="002F1DBA">
              <w:rPr>
                <w:rFonts w:ascii="Arial" w:eastAsia="Calibri" w:hAnsi="Arial" w:cs="Arial"/>
                <w:b/>
                <w:color w:val="000000" w:themeColor="text1"/>
                <w:lang w:val="es-ES"/>
              </w:rPr>
              <w:t>Radicación:</w:t>
            </w:r>
            <w:r w:rsidRPr="002F1DBA">
              <w:rPr>
                <w:rFonts w:ascii="Arial" w:eastAsia="Calibri" w:hAnsi="Arial" w:cs="Arial"/>
                <w:color w:val="000000" w:themeColor="text1"/>
                <w:lang w:val="es-ES"/>
              </w:rPr>
              <w:t xml:space="preserve">                              </w:t>
            </w:r>
          </w:p>
        </w:tc>
        <w:tc>
          <w:tcPr>
            <w:tcW w:w="6237" w:type="dxa"/>
          </w:tcPr>
          <w:p w14:paraId="653C2E7E" w14:textId="7CEF544C" w:rsidR="00085D03" w:rsidRPr="002F1DBA" w:rsidRDefault="00085D03" w:rsidP="0082420E">
            <w:pPr>
              <w:spacing w:before="120"/>
              <w:jc w:val="both"/>
              <w:rPr>
                <w:rFonts w:ascii="Arial" w:eastAsia="Calibri" w:hAnsi="Arial" w:cs="Arial"/>
                <w:color w:val="000000" w:themeColor="text1"/>
                <w:lang w:val="es-ES"/>
              </w:rPr>
            </w:pPr>
            <w:r w:rsidRPr="002F1DBA">
              <w:rPr>
                <w:rFonts w:ascii="Arial" w:eastAsia="Calibri" w:hAnsi="Arial" w:cs="Arial"/>
                <w:color w:val="000000" w:themeColor="text1"/>
                <w:lang w:val="es-ES"/>
              </w:rPr>
              <w:t>Respuesta a consulta P20221115011392</w:t>
            </w:r>
          </w:p>
        </w:tc>
      </w:tr>
    </w:tbl>
    <w:p w14:paraId="6852BDD1" w14:textId="77777777" w:rsidR="00085D03" w:rsidRPr="002F1DBA" w:rsidRDefault="00085D03" w:rsidP="00085D03">
      <w:pPr>
        <w:spacing w:after="0" w:line="276" w:lineRule="auto"/>
        <w:rPr>
          <w:rFonts w:ascii="Arial" w:eastAsia="Calibri" w:hAnsi="Arial" w:cs="Arial"/>
          <w:color w:val="000000" w:themeColor="text1"/>
          <w:lang w:val="es-ES"/>
        </w:rPr>
      </w:pPr>
    </w:p>
    <w:p w14:paraId="4948E579" w14:textId="77777777" w:rsidR="00085D03" w:rsidRPr="002F1DBA" w:rsidRDefault="00085D03" w:rsidP="00085D03">
      <w:pPr>
        <w:spacing w:after="0" w:line="276" w:lineRule="auto"/>
        <w:rPr>
          <w:rFonts w:ascii="Arial" w:eastAsia="Calibri" w:hAnsi="Arial" w:cs="Arial"/>
          <w:color w:val="000000" w:themeColor="text1"/>
          <w:lang w:val="es-ES"/>
        </w:rPr>
      </w:pPr>
      <w:r w:rsidRPr="002F1DBA">
        <w:rPr>
          <w:rFonts w:ascii="Arial" w:eastAsia="Calibri" w:hAnsi="Arial" w:cs="Arial"/>
          <w:color w:val="000000" w:themeColor="text1"/>
          <w:lang w:val="es-ES"/>
        </w:rPr>
        <w:t>Estimados señores:</w:t>
      </w:r>
    </w:p>
    <w:p w14:paraId="0C98380A" w14:textId="77777777" w:rsidR="00085D03" w:rsidRPr="002F1DBA" w:rsidRDefault="00085D03" w:rsidP="00085D03">
      <w:pPr>
        <w:spacing w:after="0" w:line="276" w:lineRule="auto"/>
        <w:rPr>
          <w:rFonts w:ascii="Arial" w:eastAsia="Calibri" w:hAnsi="Arial" w:cs="Arial"/>
          <w:color w:val="000000" w:themeColor="text1"/>
          <w:lang w:val="es-ES"/>
        </w:rPr>
      </w:pPr>
    </w:p>
    <w:p w14:paraId="46AA8C62" w14:textId="69ACA9D4" w:rsidR="00085D03" w:rsidRPr="002F1DBA" w:rsidRDefault="00085D03" w:rsidP="00085D03">
      <w:pPr>
        <w:spacing w:after="0" w:line="276" w:lineRule="auto"/>
        <w:jc w:val="both"/>
        <w:rPr>
          <w:rFonts w:ascii="Arial" w:eastAsia="Calibri" w:hAnsi="Arial" w:cs="Arial"/>
          <w:color w:val="000000" w:themeColor="text1"/>
          <w:lang w:val="es-ES"/>
        </w:rPr>
      </w:pPr>
      <w:r w:rsidRPr="002F1DBA">
        <w:rPr>
          <w:rFonts w:ascii="Arial" w:eastAsia="Calibri" w:hAnsi="Arial" w:cs="Arial"/>
          <w:color w:val="000000" w:themeColor="text1"/>
          <w:lang w:val="es-ES"/>
        </w:rPr>
        <w:t xml:space="preserve">En ejercicio de la competencia otorgada por el numeral 8 del artículo 11 y el numeral 5 del artículo 3 del Decreto Ley 4170 de 2011, la Agencia Nacional de Contratación Pública − Colombia Compra Eficiente responde su consulta del 15 de noviembre de 2022. </w:t>
      </w:r>
    </w:p>
    <w:p w14:paraId="17D860A6" w14:textId="77777777" w:rsidR="00085D03" w:rsidRPr="002F1DBA" w:rsidRDefault="00085D03" w:rsidP="00085D03">
      <w:pPr>
        <w:spacing w:after="0" w:line="276" w:lineRule="auto"/>
        <w:jc w:val="both"/>
        <w:rPr>
          <w:rFonts w:ascii="Arial" w:eastAsia="Calibri" w:hAnsi="Arial" w:cs="Arial"/>
          <w:color w:val="000000" w:themeColor="text1"/>
          <w:lang w:val="es-ES"/>
        </w:rPr>
      </w:pPr>
    </w:p>
    <w:p w14:paraId="630079FF" w14:textId="77777777" w:rsidR="00085D03" w:rsidRPr="002F1DBA" w:rsidRDefault="00085D03" w:rsidP="00085D03">
      <w:pPr>
        <w:tabs>
          <w:tab w:val="left" w:pos="284"/>
        </w:tabs>
        <w:spacing w:after="0" w:line="276" w:lineRule="auto"/>
        <w:contextualSpacing/>
        <w:jc w:val="both"/>
        <w:rPr>
          <w:rFonts w:ascii="Arial" w:eastAsia="Calibri" w:hAnsi="Arial" w:cs="Arial"/>
          <w:b/>
          <w:color w:val="000000" w:themeColor="text1"/>
          <w:lang w:val="es-ES"/>
        </w:rPr>
      </w:pPr>
      <w:r w:rsidRPr="002F1DBA">
        <w:rPr>
          <w:rFonts w:ascii="Arial" w:eastAsia="Calibri" w:hAnsi="Arial" w:cs="Arial"/>
          <w:b/>
          <w:color w:val="000000" w:themeColor="text1"/>
          <w:lang w:val="es-ES"/>
        </w:rPr>
        <w:t xml:space="preserve">1. Problemas planteados </w:t>
      </w:r>
    </w:p>
    <w:p w14:paraId="24552699" w14:textId="77777777" w:rsidR="00085D03" w:rsidRPr="002F1DBA" w:rsidRDefault="00085D03" w:rsidP="00085D03">
      <w:pPr>
        <w:tabs>
          <w:tab w:val="left" w:pos="284"/>
        </w:tabs>
        <w:spacing w:after="0" w:line="276" w:lineRule="auto"/>
        <w:contextualSpacing/>
        <w:jc w:val="both"/>
        <w:rPr>
          <w:rFonts w:ascii="Arial" w:eastAsia="Calibri" w:hAnsi="Arial" w:cs="Arial"/>
          <w:b/>
          <w:color w:val="000000" w:themeColor="text1"/>
          <w:lang w:val="es-ES"/>
        </w:rPr>
      </w:pPr>
    </w:p>
    <w:p w14:paraId="71B671D4" w14:textId="77777777" w:rsidR="00085D03" w:rsidRPr="002F1DBA" w:rsidRDefault="00085D03" w:rsidP="00085D03">
      <w:pPr>
        <w:shd w:val="clear" w:color="auto" w:fill="FFFFFF"/>
        <w:spacing w:after="0" w:line="276" w:lineRule="auto"/>
        <w:jc w:val="both"/>
        <w:rPr>
          <w:rFonts w:ascii="Arial" w:eastAsia="Calibri" w:hAnsi="Arial" w:cs="Arial"/>
          <w:color w:val="000000" w:themeColor="text1"/>
          <w:lang w:val="es-ES" w:eastAsia="es-ES_tradnl"/>
        </w:rPr>
      </w:pPr>
      <w:r w:rsidRPr="002F1DBA">
        <w:rPr>
          <w:rFonts w:ascii="Arial" w:eastAsia="Calibri" w:hAnsi="Arial" w:cs="Arial"/>
          <w:color w:val="000000" w:themeColor="text1"/>
          <w:lang w:val="es-ES" w:eastAsia="es-ES_tradnl"/>
        </w:rPr>
        <w:lastRenderedPageBreak/>
        <w:t>En la petición de consulta, se formula la siguiente pregunta:</w:t>
      </w:r>
    </w:p>
    <w:p w14:paraId="7F39BF55" w14:textId="77777777" w:rsidR="00085D03" w:rsidRPr="002F1DBA" w:rsidRDefault="00085D03" w:rsidP="00085D03">
      <w:pPr>
        <w:shd w:val="clear" w:color="auto" w:fill="FFFFFF"/>
        <w:spacing w:after="0" w:line="276" w:lineRule="auto"/>
        <w:jc w:val="both"/>
        <w:rPr>
          <w:rFonts w:ascii="Arial" w:eastAsia="Calibri" w:hAnsi="Arial" w:cs="Arial"/>
          <w:color w:val="000000" w:themeColor="text1"/>
          <w:lang w:val="es-ES" w:eastAsia="es-ES_tradnl"/>
        </w:rPr>
      </w:pPr>
    </w:p>
    <w:p w14:paraId="23210F3D" w14:textId="77777777" w:rsidR="00085D03" w:rsidRPr="002F1DBA" w:rsidRDefault="00085D03" w:rsidP="00085D03">
      <w:pPr>
        <w:spacing w:after="0" w:line="240" w:lineRule="auto"/>
        <w:ind w:left="709" w:right="709"/>
        <w:jc w:val="both"/>
        <w:rPr>
          <w:rFonts w:ascii="Arial" w:hAnsi="Arial" w:cs="Arial"/>
          <w:sz w:val="21"/>
          <w:szCs w:val="21"/>
        </w:rPr>
      </w:pPr>
      <w:r w:rsidRPr="002F1DBA">
        <w:rPr>
          <w:rFonts w:ascii="Arial" w:hAnsi="Arial" w:cs="Arial"/>
          <w:sz w:val="21"/>
          <w:szCs w:val="21"/>
        </w:rPr>
        <w:t xml:space="preserve">«1. ¿Al ser objeto de subsanación la experiencia del integrante del proponente plural que acredita como mínimo el 40% de la experiencia requerida y que a su vez es quien acredita la vinculación de trabajadores con discapacidad en su planta de personal de conformidad con el Decreto 392 de 2018, es procedente la asignación del puntaje definido en el Decreto citado? 2. ¿En caso de ser procedente la asignación del puntaje a que hace referencia el interrogante formulado en el numeral 1, se entendería que a pesar de ser la experiencia un requisito habilitante susceptible de ser subsanado y en caso de darse la subsanación, es independiente la asignación del puntaje definido en el Decreto 392 de 2018, por tratarse de dos temas diferentes? ¿Adicionalmente, en este caso, estaríamos frente a un informe de evaluación que solicita subsanar la experiencia acreditada con la presentación de la propuesta, sin entrar a realizar la asignación del puntaje de que trata el Decreto 392 de 2018 y por ende éste puntaje será indicado a los proponentes e interesados en el informe final de evaluación?». </w:t>
      </w:r>
    </w:p>
    <w:p w14:paraId="4CE89657" w14:textId="77777777" w:rsidR="00085D03" w:rsidRPr="002F1DBA" w:rsidRDefault="00085D03" w:rsidP="00085D03">
      <w:pPr>
        <w:shd w:val="clear" w:color="auto" w:fill="FFFFFF"/>
        <w:spacing w:after="0" w:line="240" w:lineRule="auto"/>
        <w:ind w:left="709" w:right="709"/>
        <w:jc w:val="both"/>
        <w:rPr>
          <w:rFonts w:ascii="Arial" w:eastAsia="Calibri" w:hAnsi="Arial" w:cs="Arial"/>
          <w:color w:val="000000" w:themeColor="text1"/>
          <w:szCs w:val="24"/>
          <w:lang w:eastAsia="es-ES_tradnl"/>
        </w:rPr>
      </w:pPr>
    </w:p>
    <w:p w14:paraId="11DC6D5C" w14:textId="77777777" w:rsidR="00085D03" w:rsidRPr="002F1DBA" w:rsidRDefault="00085D03" w:rsidP="00085D03">
      <w:pPr>
        <w:tabs>
          <w:tab w:val="left" w:pos="284"/>
        </w:tabs>
        <w:spacing w:after="0" w:line="276" w:lineRule="auto"/>
        <w:contextualSpacing/>
        <w:jc w:val="both"/>
        <w:rPr>
          <w:rFonts w:ascii="Arial" w:eastAsia="Calibri" w:hAnsi="Arial" w:cs="Arial"/>
          <w:b/>
          <w:color w:val="000000" w:themeColor="text1"/>
          <w:lang w:val="es-ES"/>
        </w:rPr>
      </w:pPr>
      <w:r w:rsidRPr="002F1DBA">
        <w:rPr>
          <w:rFonts w:ascii="Arial" w:eastAsia="Calibri" w:hAnsi="Arial" w:cs="Arial"/>
          <w:b/>
          <w:color w:val="000000" w:themeColor="text1"/>
          <w:lang w:val="es-ES"/>
        </w:rPr>
        <w:t xml:space="preserve">2. Consideraciones </w:t>
      </w:r>
    </w:p>
    <w:p w14:paraId="505C2F86" w14:textId="77777777" w:rsidR="00085D03" w:rsidRPr="002F1DBA" w:rsidRDefault="00085D03" w:rsidP="00085D03">
      <w:pPr>
        <w:tabs>
          <w:tab w:val="left" w:pos="426"/>
        </w:tabs>
        <w:spacing w:after="0" w:line="276" w:lineRule="auto"/>
        <w:jc w:val="both"/>
        <w:rPr>
          <w:rFonts w:ascii="ArialMT" w:eastAsia="Times New Roman" w:hAnsi="ArialMT" w:cs="Times New Roman"/>
          <w:color w:val="000000" w:themeColor="text1"/>
          <w:lang w:val="es-MX" w:eastAsia="es-ES_tradnl"/>
        </w:rPr>
      </w:pPr>
    </w:p>
    <w:p w14:paraId="7B97FDFE" w14:textId="62F4081C" w:rsidR="00085D03" w:rsidRPr="002F1DBA" w:rsidRDefault="00085D03" w:rsidP="00085D03">
      <w:pPr>
        <w:tabs>
          <w:tab w:val="left" w:pos="426"/>
        </w:tabs>
        <w:spacing w:after="120" w:line="276" w:lineRule="auto"/>
        <w:jc w:val="both"/>
        <w:rPr>
          <w:rFonts w:ascii="ArialMT" w:eastAsia="Times New Roman" w:hAnsi="ArialMT" w:cs="Times New Roman"/>
          <w:color w:val="000000" w:themeColor="text1"/>
          <w:lang w:val="es-MX" w:eastAsia="es-ES_tradnl"/>
        </w:rPr>
      </w:pPr>
      <w:r w:rsidRPr="002F1DBA">
        <w:rPr>
          <w:rFonts w:ascii="ArialMT" w:eastAsia="Times New Roman" w:hAnsi="ArialMT" w:cs="Times New Roman"/>
          <w:color w:val="000000" w:themeColor="text1"/>
          <w:lang w:val="es-MX" w:eastAsia="es-ES_tradnl"/>
        </w:rPr>
        <w:t xml:space="preserve">Para absolver el interrogante planteado, esta Subdirección analizará los siguientes temas: i) desarrollo normativo de los incentivos en procesos de contratación estatal para favorecer a personas con discapacidad; y ii) acreditación de los requisitos que permiten acceder al puntaje adicional previsto en los procesos de licitación pública para favorecer a personas con discapacidad. </w:t>
      </w:r>
      <w:r w:rsidRPr="002F1DBA">
        <w:rPr>
          <w:rFonts w:ascii="Arial" w:eastAsia="Calibri" w:hAnsi="Arial" w:cs="Arial"/>
          <w:bCs/>
          <w:color w:val="000000" w:themeColor="text1"/>
          <w:lang w:val="es-ES_tradnl" w:eastAsia="en-GB"/>
        </w:rPr>
        <w:t xml:space="preserve">El caso de los proponentes plurales en los documentos tipo de licitación de obra pública de infraestructura de transporte versión 3. </w:t>
      </w:r>
    </w:p>
    <w:p w14:paraId="159A7E84" w14:textId="2D53A305" w:rsidR="00085D03" w:rsidRPr="002F1DBA" w:rsidRDefault="00085D03" w:rsidP="00085D03">
      <w:pPr>
        <w:spacing w:after="120" w:line="276" w:lineRule="auto"/>
        <w:ind w:firstLine="708"/>
        <w:jc w:val="both"/>
        <w:rPr>
          <w:rFonts w:ascii="Arial" w:eastAsia="Times New Roman" w:hAnsi="Arial" w:cs="Arial"/>
          <w:color w:val="000000"/>
          <w:szCs w:val="24"/>
          <w:bdr w:val="none" w:sz="0" w:space="0" w:color="auto" w:frame="1"/>
          <w:lang w:val="es-MX" w:eastAsia="es-MX"/>
        </w:rPr>
      </w:pPr>
      <w:r w:rsidRPr="002F1DBA">
        <w:rPr>
          <w:rFonts w:ascii="Arial" w:eastAsia="Calibri" w:hAnsi="Arial" w:cs="Arial"/>
          <w:lang w:val="es-MX"/>
        </w:rPr>
        <w:t xml:space="preserve">La Agencia Nacional de Contratación Pública – Colombia Compra Eficiente </w:t>
      </w:r>
      <w:r w:rsidRPr="002F1DBA">
        <w:rPr>
          <w:rFonts w:ascii="Arial" w:eastAsia="Times New Roman" w:hAnsi="Arial" w:cs="Arial"/>
          <w:color w:val="000000"/>
          <w:szCs w:val="24"/>
          <w:bdr w:val="none" w:sz="0" w:space="0" w:color="auto" w:frame="1"/>
          <w:lang w:val="es-MX" w:eastAsia="es-MX"/>
        </w:rPr>
        <w:t>en el concepto con radicado No. 4201912000004631 de 10 de julio de 2019, reiterado y desarrollado en los conceptos con 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C-629 del 2 de octubre de 2020, C-669 del 20 de noviembre de 2020, C-676 del 27 de noviembre de 2020</w:t>
      </w:r>
      <w:r w:rsidRPr="002F1DBA">
        <w:rPr>
          <w:rFonts w:ascii="Arial" w:eastAsia="Times New Roman" w:hAnsi="Arial" w:cs="Arial"/>
          <w:color w:val="000000"/>
          <w:szCs w:val="24"/>
          <w:bdr w:val="none" w:sz="0" w:space="0" w:color="auto" w:frame="1"/>
          <w:lang w:eastAsia="es-MX"/>
        </w:rPr>
        <w:t xml:space="preserve">, </w:t>
      </w:r>
      <w:r w:rsidRPr="002F1DBA">
        <w:rPr>
          <w:rFonts w:ascii="Arial" w:eastAsia="Times New Roman" w:hAnsi="Arial" w:cs="Arial"/>
          <w:color w:val="000000"/>
          <w:szCs w:val="24"/>
          <w:bdr w:val="none" w:sz="0" w:space="0" w:color="auto" w:frame="1"/>
          <w:lang w:val="es-MX" w:eastAsia="es-MX"/>
        </w:rPr>
        <w:t xml:space="preserve">C-747 del 15 de </w:t>
      </w:r>
      <w:r w:rsidRPr="002F1DBA">
        <w:rPr>
          <w:rFonts w:ascii="Arial" w:eastAsia="Times New Roman" w:hAnsi="Arial" w:cs="Arial"/>
          <w:color w:val="000000"/>
          <w:szCs w:val="24"/>
          <w:bdr w:val="none" w:sz="0" w:space="0" w:color="auto" w:frame="1"/>
          <w:lang w:val="es-MX" w:eastAsia="es-MX"/>
        </w:rPr>
        <w:lastRenderedPageBreak/>
        <w:t>diciembre de 2020</w:t>
      </w:r>
      <w:r w:rsidRPr="002F1DBA">
        <w:rPr>
          <w:rFonts w:ascii="Arial" w:eastAsia="Times New Roman" w:hAnsi="Arial" w:cs="Arial"/>
          <w:color w:val="000000"/>
          <w:szCs w:val="24"/>
          <w:bdr w:val="none" w:sz="0" w:space="0" w:color="auto" w:frame="1"/>
          <w:lang w:eastAsia="es-MX"/>
        </w:rPr>
        <w:t>, C-099 del 24 de marzo de 2021, C-119 del 30 de marzo de 2021</w:t>
      </w:r>
      <w:r w:rsidRPr="002F1DBA">
        <w:rPr>
          <w:rFonts w:ascii="Arial" w:eastAsia="Times New Roman" w:hAnsi="Arial" w:cs="Arial"/>
          <w:color w:val="000000"/>
          <w:szCs w:val="24"/>
          <w:bdr w:val="none" w:sz="0" w:space="0" w:color="auto" w:frame="1"/>
          <w:lang w:val="es-MX" w:eastAsia="es-MX"/>
        </w:rPr>
        <w:t>, C-248 del 1 de junio de 2021</w:t>
      </w:r>
      <w:r w:rsidR="00A01F1F" w:rsidRPr="002F1DBA">
        <w:rPr>
          <w:rFonts w:ascii="Arial" w:eastAsia="Times New Roman" w:hAnsi="Arial" w:cs="Arial"/>
          <w:color w:val="000000"/>
          <w:szCs w:val="24"/>
          <w:bdr w:val="none" w:sz="0" w:space="0" w:color="auto" w:frame="1"/>
          <w:lang w:val="es-MX" w:eastAsia="es-MX"/>
        </w:rPr>
        <w:t>,</w:t>
      </w:r>
      <w:r w:rsidRPr="002F1DBA">
        <w:rPr>
          <w:rFonts w:ascii="Arial" w:eastAsia="Times New Roman" w:hAnsi="Arial" w:cs="Arial"/>
          <w:color w:val="000000"/>
          <w:szCs w:val="24"/>
          <w:bdr w:val="none" w:sz="0" w:space="0" w:color="auto" w:frame="1"/>
          <w:lang w:val="es-MX" w:eastAsia="es-MX"/>
        </w:rPr>
        <w:t xml:space="preserve"> C-383 del 2 de agosto de 2021</w:t>
      </w:r>
      <w:r w:rsidR="00A01F1F" w:rsidRPr="002F1DBA">
        <w:rPr>
          <w:rFonts w:ascii="Arial" w:eastAsia="Times New Roman" w:hAnsi="Arial" w:cs="Arial"/>
          <w:color w:val="000000"/>
          <w:szCs w:val="24"/>
          <w:bdr w:val="none" w:sz="0" w:space="0" w:color="auto" w:frame="1"/>
          <w:lang w:val="es-MX" w:eastAsia="es-MX"/>
        </w:rPr>
        <w:t xml:space="preserve"> y C-071 del 7 de febrero de 2022</w:t>
      </w:r>
      <w:r w:rsidRPr="002F1DBA">
        <w:rPr>
          <w:rFonts w:ascii="Arial" w:eastAsia="Times New Roman" w:hAnsi="Arial" w:cs="Arial"/>
          <w:color w:val="000000"/>
          <w:szCs w:val="24"/>
          <w:bdr w:val="none" w:sz="0" w:space="0" w:color="auto" w:frame="1"/>
          <w:lang w:val="es-MX" w:eastAsia="es-MX"/>
        </w:rPr>
        <w:t>,  estudió los requisitos para acreditar el personal en situación de discapacidad</w:t>
      </w:r>
      <w:r w:rsidRPr="002F1DBA">
        <w:rPr>
          <w:rFonts w:ascii="Arial" w:eastAsia="Times New Roman" w:hAnsi="Arial" w:cs="Arial"/>
          <w:color w:val="000000"/>
          <w:szCs w:val="24"/>
          <w:bdr w:val="none" w:sz="0" w:space="0" w:color="auto" w:frame="1"/>
          <w:lang w:eastAsia="es-MX"/>
        </w:rPr>
        <w:t>. Las tesis desarrolladas en estos conceptos se reiteran en lo pertinente a continuación</w:t>
      </w:r>
      <w:r w:rsidR="00A01F1F" w:rsidRPr="002F1DBA">
        <w:rPr>
          <w:rFonts w:ascii="Arial" w:eastAsia="Times New Roman" w:hAnsi="Arial" w:cs="Arial"/>
          <w:color w:val="000000"/>
          <w:szCs w:val="24"/>
          <w:bdr w:val="none" w:sz="0" w:space="0" w:color="auto" w:frame="1"/>
          <w:lang w:eastAsia="es-MX"/>
        </w:rPr>
        <w:t>:</w:t>
      </w:r>
    </w:p>
    <w:p w14:paraId="62F45189" w14:textId="77777777" w:rsidR="00085D03" w:rsidRPr="002F1DBA" w:rsidRDefault="00085D03" w:rsidP="00085D03">
      <w:pPr>
        <w:tabs>
          <w:tab w:val="left" w:pos="426"/>
        </w:tabs>
        <w:spacing w:after="0" w:line="276" w:lineRule="auto"/>
        <w:jc w:val="both"/>
        <w:rPr>
          <w:rFonts w:ascii="Arial" w:eastAsia="Calibri" w:hAnsi="Arial" w:cs="Arial"/>
          <w:color w:val="000000" w:themeColor="text1"/>
          <w:lang w:val="es-ES_tradnl" w:eastAsia="en-GB"/>
        </w:rPr>
      </w:pPr>
    </w:p>
    <w:p w14:paraId="51E8EED4" w14:textId="77777777" w:rsidR="00085D03" w:rsidRPr="002F1DBA" w:rsidRDefault="00085D03" w:rsidP="00085D03">
      <w:pPr>
        <w:spacing w:after="0" w:line="276" w:lineRule="auto"/>
        <w:jc w:val="both"/>
        <w:rPr>
          <w:rFonts w:ascii="Arial" w:eastAsia="Calibri" w:hAnsi="Arial" w:cs="Arial"/>
          <w:lang w:val="es-ES_tradnl"/>
        </w:rPr>
      </w:pPr>
      <w:r w:rsidRPr="002F1DBA">
        <w:rPr>
          <w:rFonts w:ascii="Arial" w:eastAsia="Arial" w:hAnsi="Arial" w:cs="Arial"/>
          <w:b/>
          <w:bCs/>
          <w:color w:val="000000"/>
          <w:lang w:val="es-ES_tradnl"/>
        </w:rPr>
        <w:t xml:space="preserve">2.1. </w:t>
      </w:r>
      <w:r w:rsidRPr="002F1DBA">
        <w:rPr>
          <w:rFonts w:ascii="Arial" w:eastAsia="Calibri" w:hAnsi="Arial" w:cs="Arial"/>
          <w:b/>
          <w:color w:val="000000" w:themeColor="text1"/>
          <w:lang w:val="es-MX" w:eastAsia="en-GB"/>
        </w:rPr>
        <w:t>Desarrollo normativo de los incentivos en procesos de contratación estatal para favorecer a personas con discapacidad</w:t>
      </w:r>
      <w:r w:rsidRPr="002F1DBA">
        <w:rPr>
          <w:rFonts w:ascii="Arial" w:eastAsia="Calibri" w:hAnsi="Arial" w:cs="Arial"/>
          <w:b/>
          <w:color w:val="000000" w:themeColor="text1"/>
          <w:lang w:val="es-ES_tradnl" w:eastAsia="en-GB"/>
        </w:rPr>
        <w:t xml:space="preserve"> </w:t>
      </w:r>
    </w:p>
    <w:p w14:paraId="701F10BB" w14:textId="77777777" w:rsidR="00085D03" w:rsidRPr="002F1DBA" w:rsidRDefault="00085D03" w:rsidP="00085D03">
      <w:pPr>
        <w:tabs>
          <w:tab w:val="left" w:pos="426"/>
        </w:tabs>
        <w:spacing w:after="0" w:line="276" w:lineRule="auto"/>
        <w:jc w:val="both"/>
        <w:rPr>
          <w:rFonts w:ascii="Arial" w:eastAsia="Times New Roman" w:hAnsi="Arial" w:cs="Arial"/>
          <w:b/>
          <w:color w:val="000000" w:themeColor="text1"/>
          <w:lang w:val="es-ES" w:eastAsia="es-ES_tradnl"/>
        </w:rPr>
      </w:pPr>
    </w:p>
    <w:p w14:paraId="72D1CE57" w14:textId="77777777" w:rsidR="00085D03" w:rsidRPr="002F1DBA" w:rsidRDefault="00085D03" w:rsidP="00085D03">
      <w:pPr>
        <w:spacing w:after="0" w:line="276" w:lineRule="auto"/>
        <w:ind w:firstLine="708"/>
        <w:jc w:val="both"/>
        <w:rPr>
          <w:rFonts w:ascii="Arial" w:eastAsia="Times New Roman" w:hAnsi="Arial" w:cs="Arial"/>
          <w:color w:val="000000" w:themeColor="text1"/>
          <w:lang w:val="es-MX" w:eastAsia="es-ES_tradnl"/>
        </w:rPr>
      </w:pPr>
      <w:r w:rsidRPr="002F1DBA">
        <w:rPr>
          <w:rFonts w:ascii="Arial" w:eastAsia="Times New Roman" w:hAnsi="Arial" w:cs="Arial"/>
          <w:color w:val="000000" w:themeColor="text1"/>
          <w:lang w:val="es-MX" w:eastAsia="es-ES_tradnl"/>
        </w:rPr>
        <w:t xml:space="preserve">Con el propósito de hacer posible la igualdad real y efectiva de las personas en condición de discapacidad, el legislador expidió la Ley 1618 de 2013. Esta norma establece disposiciones para garantizar el pleno ejercicio de los derechos de las mencionadas personas, mediante la adopción de medidas de equidad y de acciones afirmativas que promuevan su inclusión en diferentes ámbitos de la economía y la sociedad. </w:t>
      </w:r>
    </w:p>
    <w:p w14:paraId="75E5DBE9" w14:textId="2D9345F0" w:rsidR="00085D03" w:rsidRPr="002F1DBA" w:rsidRDefault="00085D03" w:rsidP="00085D03">
      <w:pPr>
        <w:spacing w:before="120" w:after="0" w:line="276" w:lineRule="auto"/>
        <w:ind w:firstLine="709"/>
        <w:jc w:val="both"/>
        <w:rPr>
          <w:rFonts w:ascii="Arial" w:hAnsi="Arial" w:cs="Arial"/>
          <w:color w:val="000000" w:themeColor="text1"/>
          <w:lang w:val="es-MX"/>
        </w:rPr>
      </w:pPr>
      <w:r w:rsidRPr="002F1DBA">
        <w:rPr>
          <w:rFonts w:ascii="Arial" w:eastAsia="Times New Roman" w:hAnsi="Arial" w:cs="Arial"/>
          <w:color w:val="000000" w:themeColor="text1"/>
          <w:lang w:val="es-MX" w:eastAsia="es-ES_tradnl"/>
        </w:rPr>
        <w:t>Como expresión de la finalidad antes enunciada y en aras de garantizar el derecho al trabajo en términos de igualdad material de oportunidades para las personas en condición de discapacidad, el artículo 13 de Ley 1618 de 2013 estableció acciones afirmativas en el marco del sistema de compras públicas. Adicionalmente, ordenó al Gobierno Nacional expedir el decreto reglamentario que determinara una puntuación adicional y un sistema</w:t>
      </w:r>
      <w:r w:rsidRPr="002F1DBA">
        <w:rPr>
          <w:rFonts w:ascii="Arial" w:hAnsi="Arial" w:cs="Arial"/>
          <w:color w:val="000000" w:themeColor="text1"/>
          <w:lang w:val="es-MX"/>
        </w:rPr>
        <w:t xml:space="preserve"> de preferencias en los procesos de contratación estatal. El artículo en mención prescribe lo siguiente: </w:t>
      </w:r>
    </w:p>
    <w:p w14:paraId="0E3260AD" w14:textId="77777777" w:rsidR="00085D03" w:rsidRPr="002F1DBA" w:rsidRDefault="00085D03" w:rsidP="00085D03">
      <w:pPr>
        <w:tabs>
          <w:tab w:val="left" w:pos="426"/>
        </w:tabs>
        <w:spacing w:after="0" w:line="276" w:lineRule="auto"/>
        <w:jc w:val="both"/>
        <w:rPr>
          <w:rFonts w:ascii="Arial" w:hAnsi="Arial" w:cs="Arial"/>
          <w:color w:val="000000" w:themeColor="text1"/>
          <w:lang w:val="es-MX"/>
        </w:rPr>
      </w:pPr>
    </w:p>
    <w:p w14:paraId="3DB37708" w14:textId="77777777" w:rsidR="00085D03" w:rsidRPr="002F1DBA" w:rsidRDefault="00085D03" w:rsidP="00085D03">
      <w:pPr>
        <w:spacing w:after="120" w:line="240" w:lineRule="auto"/>
        <w:ind w:left="709" w:right="709"/>
        <w:jc w:val="both"/>
        <w:rPr>
          <w:rFonts w:ascii="Arial" w:eastAsia="Calibri" w:hAnsi="Arial" w:cs="Arial"/>
          <w:color w:val="000000" w:themeColor="text1"/>
          <w:sz w:val="21"/>
          <w:szCs w:val="21"/>
          <w:lang w:val="es-MX"/>
        </w:rPr>
      </w:pPr>
      <w:r w:rsidRPr="002F1DBA">
        <w:rPr>
          <w:rFonts w:ascii="Arial" w:eastAsia="Calibri" w:hAnsi="Arial" w:cs="Arial"/>
          <w:color w:val="000000" w:themeColor="text1"/>
          <w:sz w:val="21"/>
          <w:szCs w:val="21"/>
          <w:lang w:val="es-MX"/>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8EA51DD" w14:textId="77777777" w:rsidR="00085D03" w:rsidRPr="002F1DBA" w:rsidRDefault="00085D03" w:rsidP="00085D03">
      <w:pPr>
        <w:spacing w:after="120" w:line="240" w:lineRule="auto"/>
        <w:ind w:left="709" w:right="709"/>
        <w:jc w:val="both"/>
        <w:rPr>
          <w:rFonts w:ascii="Arial" w:eastAsia="Calibri" w:hAnsi="Arial" w:cs="Arial"/>
          <w:color w:val="000000" w:themeColor="text1"/>
          <w:sz w:val="21"/>
          <w:szCs w:val="21"/>
          <w:lang w:val="es-MX"/>
        </w:rPr>
      </w:pPr>
      <w:r w:rsidRPr="002F1DBA">
        <w:rPr>
          <w:rFonts w:ascii="Arial" w:eastAsia="Calibri" w:hAnsi="Arial" w:cs="Arial"/>
          <w:color w:val="000000" w:themeColor="text1"/>
          <w:sz w:val="21"/>
          <w:szCs w:val="21"/>
          <w:lang w:val="es-MX"/>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0534A9A" w14:textId="77777777" w:rsidR="00085D03" w:rsidRPr="002F1DBA" w:rsidRDefault="00085D03" w:rsidP="00085D03">
      <w:pPr>
        <w:spacing w:after="120" w:line="240" w:lineRule="auto"/>
        <w:ind w:left="709" w:right="709"/>
        <w:jc w:val="both"/>
        <w:rPr>
          <w:rFonts w:ascii="Arial" w:eastAsia="Calibri" w:hAnsi="Arial" w:cs="Arial"/>
          <w:color w:val="000000" w:themeColor="text1"/>
          <w:sz w:val="21"/>
          <w:szCs w:val="21"/>
          <w:lang w:val="es-MX"/>
        </w:rPr>
      </w:pPr>
      <w:r w:rsidRPr="002F1DBA">
        <w:rPr>
          <w:rFonts w:ascii="Arial" w:eastAsia="Calibri" w:hAnsi="Arial" w:cs="Arial"/>
          <w:color w:val="000000" w:themeColor="text1"/>
          <w:sz w:val="21"/>
          <w:szCs w:val="21"/>
          <w:lang w:val="es-MX"/>
        </w:rPr>
        <w:t>[…]</w:t>
      </w:r>
    </w:p>
    <w:p w14:paraId="5661BC14" w14:textId="77777777" w:rsidR="00085D03" w:rsidRPr="002F1DBA" w:rsidRDefault="00085D03" w:rsidP="00085D03">
      <w:pPr>
        <w:spacing w:after="0" w:line="240" w:lineRule="auto"/>
        <w:ind w:left="708" w:right="709"/>
        <w:jc w:val="both"/>
        <w:rPr>
          <w:rFonts w:ascii="Arial" w:eastAsia="Calibri" w:hAnsi="Arial" w:cs="Arial"/>
          <w:color w:val="000000" w:themeColor="text1"/>
          <w:sz w:val="21"/>
          <w:szCs w:val="21"/>
          <w:lang w:val="es-MX"/>
        </w:rPr>
      </w:pPr>
      <w:r w:rsidRPr="002F1DBA">
        <w:rPr>
          <w:rFonts w:ascii="Arial" w:eastAsia="Calibri" w:hAnsi="Arial" w:cs="Arial"/>
          <w:color w:val="000000" w:themeColor="text1"/>
          <w:sz w:val="21"/>
          <w:szCs w:val="21"/>
          <w:lang w:val="es-MX"/>
        </w:rPr>
        <w:lastRenderedPageBreak/>
        <w:t>8. Los gobiernos nacional, departamentales, distritales y municipales, deberán fijar mediante decreto reglamentario, en los procesos de selección de los contratistas y proveedores, un sistema de preferencias a favor de las personas con discapacidad.</w:t>
      </w:r>
    </w:p>
    <w:p w14:paraId="7E7925B3" w14:textId="77777777" w:rsidR="00085D03" w:rsidRPr="002F1DBA" w:rsidRDefault="00085D03" w:rsidP="00085D03">
      <w:pPr>
        <w:tabs>
          <w:tab w:val="left" w:pos="426"/>
        </w:tabs>
        <w:spacing w:after="0" w:line="240" w:lineRule="auto"/>
        <w:jc w:val="both"/>
        <w:rPr>
          <w:rFonts w:ascii="ArialMT" w:eastAsia="Times New Roman" w:hAnsi="ArialMT" w:cs="Times New Roman"/>
          <w:color w:val="000000" w:themeColor="text1"/>
          <w:sz w:val="19"/>
          <w:szCs w:val="19"/>
          <w:lang w:val="es-MX" w:eastAsia="es-ES_tradnl"/>
        </w:rPr>
      </w:pPr>
    </w:p>
    <w:p w14:paraId="08A84D73" w14:textId="77777777" w:rsidR="00085D03" w:rsidRPr="002F1DBA" w:rsidRDefault="00085D03" w:rsidP="00085D03">
      <w:pPr>
        <w:tabs>
          <w:tab w:val="left" w:pos="426"/>
        </w:tabs>
        <w:spacing w:after="0" w:line="276" w:lineRule="auto"/>
        <w:ind w:firstLine="709"/>
        <w:jc w:val="both"/>
        <w:rPr>
          <w:rFonts w:ascii="Arial" w:eastAsia="Times New Roman" w:hAnsi="Arial" w:cs="Arial"/>
          <w:color w:val="000000" w:themeColor="text1"/>
          <w:lang w:val="es-MX" w:eastAsia="es-ES_tradnl"/>
        </w:rPr>
      </w:pPr>
      <w:r w:rsidRPr="002F1DBA">
        <w:rPr>
          <w:rFonts w:ascii="Arial" w:eastAsia="Times New Roman" w:hAnsi="Arial" w:cs="Arial"/>
          <w:color w:val="000000" w:themeColor="text1"/>
          <w:lang w:val="es-MX" w:eastAsia="es-ES_tradnl"/>
        </w:rPr>
        <w:t xml:space="preserve">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Dicha norma señala: </w:t>
      </w:r>
    </w:p>
    <w:p w14:paraId="3BAFED59" w14:textId="77777777" w:rsidR="00085D03" w:rsidRPr="002F1DBA" w:rsidRDefault="00085D03" w:rsidP="00085D03">
      <w:pPr>
        <w:tabs>
          <w:tab w:val="left" w:pos="426"/>
        </w:tabs>
        <w:spacing w:after="0" w:line="276" w:lineRule="auto"/>
        <w:ind w:firstLine="709"/>
        <w:jc w:val="both"/>
        <w:rPr>
          <w:rFonts w:ascii="Arial" w:eastAsia="Calibri" w:hAnsi="Arial" w:cs="Arial"/>
          <w:bCs/>
          <w:color w:val="000000" w:themeColor="text1"/>
          <w:lang w:val="es-MX"/>
        </w:rPr>
      </w:pPr>
    </w:p>
    <w:p w14:paraId="67314E7D" w14:textId="77777777" w:rsidR="00085D03" w:rsidRPr="002F1DBA" w:rsidRDefault="00085D03" w:rsidP="00085D03">
      <w:pPr>
        <w:spacing w:after="120" w:line="240" w:lineRule="auto"/>
        <w:ind w:left="709" w:right="709"/>
        <w:jc w:val="both"/>
        <w:rPr>
          <w:rFonts w:ascii="Arial" w:eastAsia="Calibri" w:hAnsi="Arial" w:cs="Arial"/>
          <w:i/>
          <w:iCs/>
          <w:color w:val="000000" w:themeColor="text1"/>
          <w:sz w:val="21"/>
          <w:szCs w:val="21"/>
          <w:lang w:val="es-MX"/>
        </w:rPr>
      </w:pPr>
      <w:r w:rsidRPr="002F1DBA">
        <w:rPr>
          <w:rFonts w:ascii="Arial" w:eastAsia="Times New Roman" w:hAnsi="Arial" w:cs="Arial"/>
          <w:bCs/>
          <w:color w:val="000000" w:themeColor="text1"/>
          <w:sz w:val="21"/>
          <w:szCs w:val="21"/>
          <w:lang w:val="es-MX" w:eastAsia="es-CO"/>
        </w:rPr>
        <w:t>Artículo 2.2.1.2.4.2.6. Puntaje adicional para proponentes con trabajadores con discapacidad</w:t>
      </w:r>
      <w:r w:rsidRPr="002F1DBA">
        <w:rPr>
          <w:rFonts w:ascii="Arial" w:eastAsia="Times New Roman" w:hAnsi="Arial" w:cs="Arial"/>
          <w:color w:val="000000" w:themeColor="text1"/>
          <w:sz w:val="21"/>
          <w:szCs w:val="21"/>
          <w:lang w:val="es-MX"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699D0579" w14:textId="77777777" w:rsidR="00085D03" w:rsidRPr="002F1DBA" w:rsidRDefault="00085D03" w:rsidP="00085D03">
      <w:pPr>
        <w:spacing w:after="120" w:line="240" w:lineRule="auto"/>
        <w:ind w:left="709" w:right="709"/>
        <w:jc w:val="both"/>
        <w:rPr>
          <w:rFonts w:ascii="Arial" w:eastAsia="Times New Roman" w:hAnsi="Arial" w:cs="Arial"/>
          <w:color w:val="000000" w:themeColor="text1"/>
          <w:sz w:val="21"/>
          <w:szCs w:val="21"/>
          <w:lang w:val="es-MX" w:eastAsia="es-CO"/>
        </w:rPr>
      </w:pPr>
      <w:r w:rsidRPr="002F1DBA">
        <w:rPr>
          <w:rFonts w:ascii="Arial" w:eastAsia="Times New Roman" w:hAnsi="Arial" w:cs="Arial"/>
          <w:color w:val="000000" w:themeColor="text1"/>
          <w:sz w:val="21"/>
          <w:szCs w:val="21"/>
          <w:lang w:val="es-MX"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7E7DAA8" w14:textId="77777777" w:rsidR="00085D03" w:rsidRPr="002F1DBA" w:rsidRDefault="00085D03" w:rsidP="00085D03">
      <w:pPr>
        <w:spacing w:after="120" w:line="240" w:lineRule="auto"/>
        <w:ind w:left="709" w:right="709"/>
        <w:jc w:val="both"/>
        <w:rPr>
          <w:rFonts w:ascii="Arial" w:eastAsia="Times New Roman" w:hAnsi="Arial" w:cs="Arial"/>
          <w:color w:val="000000" w:themeColor="text1"/>
          <w:sz w:val="21"/>
          <w:szCs w:val="21"/>
          <w:lang w:val="es-MX" w:eastAsia="es-CO"/>
        </w:rPr>
      </w:pPr>
      <w:r w:rsidRPr="002F1DBA">
        <w:rPr>
          <w:rFonts w:ascii="Arial" w:eastAsia="Times New Roman" w:hAnsi="Arial" w:cs="Arial"/>
          <w:color w:val="000000" w:themeColor="text1"/>
          <w:sz w:val="21"/>
          <w:szCs w:val="21"/>
          <w:lang w:val="es-MX"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085D03" w:rsidRPr="002F1DBA" w14:paraId="13FD9119" w14:textId="77777777" w:rsidTr="0082420E">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4BC47DC" w14:textId="77777777" w:rsidR="00085D03" w:rsidRPr="002F1DBA" w:rsidRDefault="00085D03" w:rsidP="0082420E">
            <w:pPr>
              <w:spacing w:after="0" w:line="240" w:lineRule="auto"/>
              <w:jc w:val="center"/>
              <w:rPr>
                <w:rFonts w:ascii="Arial" w:eastAsia="Times New Roman" w:hAnsi="Arial" w:cs="Arial"/>
                <w:b/>
                <w:bCs/>
                <w:color w:val="000000" w:themeColor="text1"/>
                <w:sz w:val="19"/>
                <w:szCs w:val="19"/>
                <w:lang w:val="es-MX" w:eastAsia="es-CO"/>
              </w:rPr>
            </w:pPr>
            <w:r w:rsidRPr="002F1DBA">
              <w:rPr>
                <w:rFonts w:ascii="Arial" w:eastAsia="Times New Roman" w:hAnsi="Arial" w:cs="Arial"/>
                <w:b/>
                <w:bCs/>
                <w:color w:val="000000" w:themeColor="text1"/>
                <w:sz w:val="19"/>
                <w:szCs w:val="19"/>
                <w:lang w:val="es-MX"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61D7AD1" w14:textId="77777777" w:rsidR="00085D03" w:rsidRPr="002F1DBA" w:rsidRDefault="00085D03" w:rsidP="0082420E">
            <w:pPr>
              <w:spacing w:after="0" w:line="240" w:lineRule="auto"/>
              <w:jc w:val="center"/>
              <w:rPr>
                <w:rFonts w:ascii="Arial" w:eastAsia="Times New Roman" w:hAnsi="Arial" w:cs="Arial"/>
                <w:b/>
                <w:bCs/>
                <w:color w:val="000000" w:themeColor="text1"/>
                <w:sz w:val="19"/>
                <w:szCs w:val="19"/>
                <w:lang w:val="es-MX" w:eastAsia="es-CO"/>
              </w:rPr>
            </w:pPr>
            <w:r w:rsidRPr="002F1DBA">
              <w:rPr>
                <w:rFonts w:ascii="Arial" w:eastAsia="Times New Roman" w:hAnsi="Arial" w:cs="Arial"/>
                <w:b/>
                <w:bCs/>
                <w:color w:val="000000" w:themeColor="text1"/>
                <w:sz w:val="19"/>
                <w:szCs w:val="19"/>
                <w:lang w:val="es-MX" w:eastAsia="es-CO"/>
              </w:rPr>
              <w:t>Número mínimo de trabajadores con discapacidad exigido </w:t>
            </w:r>
          </w:p>
        </w:tc>
      </w:tr>
      <w:tr w:rsidR="00085D03" w:rsidRPr="002F1DBA" w14:paraId="6FD6A4BE" w14:textId="77777777" w:rsidTr="0082420E">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1B43883" w14:textId="77777777" w:rsidR="00085D03" w:rsidRPr="002F1DBA" w:rsidRDefault="00085D03" w:rsidP="0082420E">
            <w:pPr>
              <w:spacing w:after="0" w:line="240" w:lineRule="auto"/>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9E8B78D" w14:textId="77777777" w:rsidR="00085D03" w:rsidRPr="002F1DBA" w:rsidRDefault="00085D03" w:rsidP="0082420E">
            <w:pPr>
              <w:spacing w:after="0" w:line="240" w:lineRule="auto"/>
              <w:jc w:val="center"/>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1 </w:t>
            </w:r>
          </w:p>
        </w:tc>
      </w:tr>
      <w:tr w:rsidR="00085D03" w:rsidRPr="002F1DBA" w14:paraId="543B7E6E" w14:textId="77777777" w:rsidTr="0082420E">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87AFBFF" w14:textId="77777777" w:rsidR="00085D03" w:rsidRPr="002F1DBA" w:rsidRDefault="00085D03" w:rsidP="0082420E">
            <w:pPr>
              <w:spacing w:after="0" w:line="240" w:lineRule="auto"/>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1221990" w14:textId="77777777" w:rsidR="00085D03" w:rsidRPr="002F1DBA" w:rsidRDefault="00085D03" w:rsidP="0082420E">
            <w:pPr>
              <w:spacing w:after="0" w:line="240" w:lineRule="auto"/>
              <w:jc w:val="center"/>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2 </w:t>
            </w:r>
          </w:p>
        </w:tc>
      </w:tr>
      <w:tr w:rsidR="00085D03" w:rsidRPr="002F1DBA" w14:paraId="172A8697" w14:textId="77777777" w:rsidTr="0082420E">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96E28FE" w14:textId="77777777" w:rsidR="00085D03" w:rsidRPr="002F1DBA" w:rsidRDefault="00085D03" w:rsidP="0082420E">
            <w:pPr>
              <w:spacing w:after="0" w:line="240" w:lineRule="auto"/>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2274262" w14:textId="77777777" w:rsidR="00085D03" w:rsidRPr="002F1DBA" w:rsidRDefault="00085D03" w:rsidP="0082420E">
            <w:pPr>
              <w:spacing w:after="0" w:line="240" w:lineRule="auto"/>
              <w:jc w:val="center"/>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3 </w:t>
            </w:r>
          </w:p>
        </w:tc>
      </w:tr>
      <w:tr w:rsidR="00085D03" w:rsidRPr="002F1DBA" w14:paraId="2D5A3D53" w14:textId="77777777" w:rsidTr="0082420E">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57A124A" w14:textId="77777777" w:rsidR="00085D03" w:rsidRPr="002F1DBA" w:rsidRDefault="00085D03" w:rsidP="0082420E">
            <w:pPr>
              <w:spacing w:after="0" w:line="240" w:lineRule="auto"/>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71C8D01" w14:textId="77777777" w:rsidR="00085D03" w:rsidRPr="002F1DBA" w:rsidRDefault="00085D03" w:rsidP="0082420E">
            <w:pPr>
              <w:spacing w:after="0" w:line="240" w:lineRule="auto"/>
              <w:jc w:val="center"/>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4 </w:t>
            </w:r>
          </w:p>
        </w:tc>
      </w:tr>
      <w:tr w:rsidR="00085D03" w:rsidRPr="002F1DBA" w14:paraId="00E234C6" w14:textId="77777777" w:rsidTr="0082420E">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9EF6A72" w14:textId="77777777" w:rsidR="00085D03" w:rsidRPr="002F1DBA" w:rsidRDefault="00085D03" w:rsidP="0082420E">
            <w:pPr>
              <w:spacing w:after="0" w:line="240" w:lineRule="auto"/>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0D39AB0" w14:textId="77777777" w:rsidR="00085D03" w:rsidRPr="002F1DBA" w:rsidRDefault="00085D03" w:rsidP="0082420E">
            <w:pPr>
              <w:spacing w:after="0" w:line="240" w:lineRule="auto"/>
              <w:jc w:val="center"/>
              <w:rPr>
                <w:rFonts w:ascii="Arial" w:eastAsia="Times New Roman" w:hAnsi="Arial" w:cs="Arial"/>
                <w:color w:val="000000" w:themeColor="text1"/>
                <w:sz w:val="19"/>
                <w:szCs w:val="19"/>
                <w:lang w:val="es-MX" w:eastAsia="es-CO"/>
              </w:rPr>
            </w:pPr>
            <w:r w:rsidRPr="002F1DBA">
              <w:rPr>
                <w:rFonts w:ascii="Arial" w:eastAsia="Times New Roman" w:hAnsi="Arial" w:cs="Arial"/>
                <w:color w:val="000000" w:themeColor="text1"/>
                <w:sz w:val="19"/>
                <w:szCs w:val="19"/>
                <w:lang w:val="es-MX" w:eastAsia="es-CO"/>
              </w:rPr>
              <w:t>5 </w:t>
            </w:r>
          </w:p>
        </w:tc>
      </w:tr>
    </w:tbl>
    <w:p w14:paraId="010F3386" w14:textId="77777777" w:rsidR="00085D03" w:rsidRPr="002F1DBA" w:rsidRDefault="00085D03" w:rsidP="00085D03">
      <w:pPr>
        <w:tabs>
          <w:tab w:val="left" w:pos="426"/>
        </w:tabs>
        <w:spacing w:after="0" w:line="240" w:lineRule="auto"/>
        <w:ind w:left="697" w:right="709"/>
        <w:jc w:val="both"/>
        <w:rPr>
          <w:rFonts w:ascii="Arial" w:eastAsia="Times New Roman" w:hAnsi="Arial" w:cs="Arial"/>
          <w:color w:val="000000" w:themeColor="text1"/>
          <w:sz w:val="19"/>
          <w:szCs w:val="19"/>
          <w:lang w:val="es-MX" w:eastAsia="es-CO"/>
        </w:rPr>
      </w:pPr>
    </w:p>
    <w:p w14:paraId="3F3859DF" w14:textId="77777777" w:rsidR="00085D03" w:rsidRPr="002F1DBA" w:rsidRDefault="00085D03" w:rsidP="00085D03">
      <w:pPr>
        <w:tabs>
          <w:tab w:val="left" w:pos="426"/>
        </w:tabs>
        <w:spacing w:after="0" w:line="240" w:lineRule="auto"/>
        <w:ind w:left="697" w:right="709"/>
        <w:jc w:val="both"/>
        <w:rPr>
          <w:rFonts w:ascii="Arial" w:eastAsia="Times New Roman" w:hAnsi="Arial" w:cs="Arial"/>
          <w:color w:val="000000" w:themeColor="text1"/>
          <w:sz w:val="21"/>
          <w:szCs w:val="21"/>
          <w:lang w:val="es-MX" w:eastAsia="es-CO"/>
        </w:rPr>
      </w:pPr>
      <w:r w:rsidRPr="002F1DBA">
        <w:rPr>
          <w:rFonts w:ascii="Arial" w:eastAsia="Times New Roman" w:hAnsi="Arial" w:cs="Arial"/>
          <w:color w:val="000000" w:themeColor="text1"/>
          <w:sz w:val="21"/>
          <w:szCs w:val="21"/>
          <w:lang w:val="es-MX" w:eastAsia="es-CO"/>
        </w:rPr>
        <w:lastRenderedPageBreak/>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6FDC9C35" w14:textId="77777777" w:rsidR="00085D03" w:rsidRPr="002F1DBA" w:rsidRDefault="00085D03" w:rsidP="00085D03">
      <w:pPr>
        <w:tabs>
          <w:tab w:val="left" w:pos="426"/>
        </w:tabs>
        <w:spacing w:after="0" w:line="276" w:lineRule="auto"/>
        <w:jc w:val="both"/>
        <w:rPr>
          <w:rFonts w:ascii="ArialMT" w:eastAsia="Times New Roman" w:hAnsi="ArialMT" w:cs="Times New Roman"/>
          <w:color w:val="000000" w:themeColor="text1"/>
          <w:lang w:val="es-MX" w:eastAsia="es-ES_tradnl"/>
        </w:rPr>
      </w:pPr>
    </w:p>
    <w:p w14:paraId="7D6186D3" w14:textId="77777777" w:rsidR="00085D03" w:rsidRPr="002F1DBA" w:rsidRDefault="00085D03" w:rsidP="00085D03">
      <w:pPr>
        <w:spacing w:after="0" w:line="276" w:lineRule="auto"/>
        <w:ind w:firstLine="567"/>
        <w:jc w:val="both"/>
        <w:rPr>
          <w:rFonts w:ascii="Arial" w:eastAsia="Times New Roman" w:hAnsi="Arial" w:cs="Arial"/>
          <w:color w:val="000000" w:themeColor="text1"/>
          <w:lang w:val="es-ES" w:eastAsia="es-ES_tradnl"/>
        </w:rPr>
      </w:pPr>
      <w:r w:rsidRPr="002F1DBA">
        <w:rPr>
          <w:rFonts w:ascii="Arial" w:eastAsia="Times New Roman" w:hAnsi="Arial" w:cs="Arial"/>
          <w:color w:val="000000" w:themeColor="text1"/>
          <w:lang w:val="es-MX" w:eastAsia="es-ES_tradnl"/>
        </w:rPr>
        <w:t>La normativa antes mencionada determinó que en los referidos procesos se otorgaría el uno por ciento (1%) de los puntos establecidos en el pliego de condiciones a aquellos proponentes que acreditaran: i) el número total de trabajadores vinculados a la planta de personal; y, ii) la vinculación de, por lo menos, el número mínimo exigido de trabajadores con discapacidad</w:t>
      </w:r>
      <w:r w:rsidRPr="002F1DBA">
        <w:rPr>
          <w:rFonts w:ascii="Arial" w:eastAsia="Times New Roman" w:hAnsi="Arial" w:cs="Arial"/>
          <w:color w:val="000000" w:themeColor="text1"/>
          <w:lang w:val="es-ES" w:eastAsia="es-ES_tradnl"/>
        </w:rPr>
        <w:t xml:space="preserve">.  </w:t>
      </w:r>
    </w:p>
    <w:p w14:paraId="217E4A4F" w14:textId="77777777" w:rsidR="00085D03" w:rsidRPr="002F1DBA" w:rsidRDefault="00085D03" w:rsidP="00085D03">
      <w:pPr>
        <w:tabs>
          <w:tab w:val="left" w:pos="426"/>
        </w:tabs>
        <w:spacing w:after="0" w:line="276" w:lineRule="auto"/>
        <w:jc w:val="both"/>
        <w:rPr>
          <w:rFonts w:ascii="Arial" w:eastAsia="Calibri" w:hAnsi="Arial" w:cs="Arial"/>
          <w:b/>
          <w:color w:val="000000" w:themeColor="text1"/>
          <w:lang w:val="es-ES_tradnl" w:eastAsia="en-GB"/>
        </w:rPr>
      </w:pPr>
    </w:p>
    <w:p w14:paraId="04F583B5" w14:textId="77777777" w:rsidR="00085D03" w:rsidRPr="002F1DBA" w:rsidRDefault="00085D03" w:rsidP="00085D03">
      <w:pPr>
        <w:tabs>
          <w:tab w:val="left" w:pos="426"/>
        </w:tabs>
        <w:spacing w:after="0" w:line="276" w:lineRule="auto"/>
        <w:jc w:val="both"/>
        <w:rPr>
          <w:rFonts w:ascii="Arial" w:eastAsia="Calibri" w:hAnsi="Arial" w:cs="Arial"/>
          <w:b/>
          <w:color w:val="000000" w:themeColor="text1"/>
          <w:lang w:val="es-ES_tradnl" w:eastAsia="en-GB"/>
        </w:rPr>
      </w:pPr>
      <w:r w:rsidRPr="002F1DBA">
        <w:rPr>
          <w:rFonts w:ascii="Arial" w:eastAsia="Calibri" w:hAnsi="Arial" w:cs="Arial"/>
          <w:b/>
          <w:color w:val="000000" w:themeColor="text1"/>
          <w:lang w:val="es-ES_tradnl" w:eastAsia="en-GB"/>
        </w:rPr>
        <w:t>2.3. Acreditación de los requisitos que permiten acceder al puntaje adicional por vinculación de personas con discapacidad. El caso de los proponentes plurales en los documentos tipo de licitación de obra pública de infraestructura de transporte versión 3</w:t>
      </w:r>
    </w:p>
    <w:p w14:paraId="59CA6369" w14:textId="77777777" w:rsidR="00085D03" w:rsidRPr="002F1DBA" w:rsidRDefault="00085D03" w:rsidP="00085D03">
      <w:pPr>
        <w:tabs>
          <w:tab w:val="left" w:pos="426"/>
        </w:tabs>
        <w:spacing w:after="0" w:line="276" w:lineRule="auto"/>
        <w:jc w:val="both"/>
        <w:rPr>
          <w:rFonts w:ascii="Arial" w:eastAsia="Times New Roman" w:hAnsi="Arial" w:cs="Arial"/>
          <w:color w:val="000000" w:themeColor="text1"/>
          <w:lang w:val="es-ES" w:eastAsia="es-ES_tradnl"/>
        </w:rPr>
      </w:pPr>
    </w:p>
    <w:p w14:paraId="445496E0" w14:textId="77777777" w:rsidR="00085D03" w:rsidRPr="002F1DBA" w:rsidRDefault="00085D03" w:rsidP="00085D03">
      <w:pPr>
        <w:spacing w:after="120" w:line="276" w:lineRule="auto"/>
        <w:ind w:firstLine="708"/>
        <w:jc w:val="both"/>
        <w:rPr>
          <w:rFonts w:ascii="Arial" w:eastAsia="Calibri" w:hAnsi="Arial" w:cs="Arial"/>
          <w:color w:val="000000" w:themeColor="text1"/>
          <w:lang w:val="es-ES_tradnl"/>
        </w:rPr>
      </w:pPr>
      <w:r w:rsidRPr="002F1DBA">
        <w:rPr>
          <w:rFonts w:ascii="Arial" w:eastAsia="Calibri" w:hAnsi="Arial" w:cs="Arial"/>
          <w:color w:val="000000" w:themeColor="text1"/>
          <w:lang w:val="es-ES" w:eastAsia="en-GB"/>
        </w:rPr>
        <w:t xml:space="preserve">Delimitado el marco normativo que regula el incentivo contractual otorgable a los oferentes que emplean en su planta de trabajadores a personas con discapacidad, es necesario </w:t>
      </w:r>
      <w:r w:rsidRPr="002F1DBA">
        <w:rPr>
          <w:rFonts w:ascii="Arial" w:eastAsia="Calibri" w:hAnsi="Arial" w:cs="Arial"/>
          <w:color w:val="000000" w:themeColor="text1"/>
          <w:lang w:val="es-ES_tradnl"/>
        </w:rPr>
        <w:t>examinar cuáles son las condiciones que los proponentes u oferentes deben cumplir para acceder a los estímulos estudiados.</w:t>
      </w:r>
    </w:p>
    <w:p w14:paraId="7C2CE025" w14:textId="77777777" w:rsidR="00085D03" w:rsidRPr="002F1DBA" w:rsidRDefault="00085D03" w:rsidP="00085D03">
      <w:pPr>
        <w:spacing w:after="120" w:line="276" w:lineRule="auto"/>
        <w:ind w:firstLine="709"/>
        <w:jc w:val="both"/>
        <w:rPr>
          <w:rFonts w:ascii="Arial" w:eastAsia="Calibri" w:hAnsi="Arial" w:cs="Arial"/>
          <w:color w:val="000000" w:themeColor="text1"/>
          <w:lang w:val="es-ES_tradnl"/>
        </w:rPr>
      </w:pPr>
      <w:r w:rsidRPr="002F1DBA">
        <w:rPr>
          <w:rFonts w:ascii="Arial" w:eastAsia="Calibri" w:hAnsi="Arial" w:cs="Arial"/>
          <w:color w:val="000000" w:themeColor="text1"/>
          <w:lang w:val="es-ES_tradnl"/>
        </w:rPr>
        <w:t xml:space="preserve">Como se mencionó en el acápite anterior, el Decreto 392 de 2018 prescribe que, para alcanzar los incentivos por vinculación de personas con discapacidad, el proponente debe certificar el número total de trabajadores de su planta de personal y el número total de trabajadores con discapacidad pertenecientes a esta. Con esa finalidad, es necesario atender a las características de cada participante para determinar los mecanismos para acreditación de estos requisitos. </w:t>
      </w:r>
    </w:p>
    <w:p w14:paraId="609FE44D" w14:textId="77777777" w:rsidR="00085D03" w:rsidRPr="002F1DBA" w:rsidRDefault="00085D03" w:rsidP="00085D03">
      <w:pPr>
        <w:spacing w:after="120" w:line="276" w:lineRule="auto"/>
        <w:ind w:firstLine="709"/>
        <w:jc w:val="both"/>
        <w:rPr>
          <w:rFonts w:ascii="Arial" w:eastAsia="Calibri" w:hAnsi="Arial" w:cs="Arial"/>
          <w:color w:val="000000" w:themeColor="text1"/>
          <w:lang w:val="es-ES_tradnl"/>
        </w:rPr>
      </w:pPr>
      <w:r w:rsidRPr="002F1DBA">
        <w:rPr>
          <w:rFonts w:ascii="Arial" w:eastAsia="Calibri" w:hAnsi="Arial" w:cs="Arial"/>
          <w:color w:val="000000" w:themeColor="text1"/>
          <w:lang w:val="es-ES_tradnl"/>
        </w:rPr>
        <w:t>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En segundo lugar, para acreditar que se cumple con el número mínimo de trabajadores con discapacidad exigido, se empleará un certificado expedido por el Ministerio de Trabajo, el cual debe estar vigente al cierre del respectivo proceso.</w:t>
      </w:r>
    </w:p>
    <w:p w14:paraId="7106375C" w14:textId="151ED2BC" w:rsidR="00085D03" w:rsidRPr="002F1DBA" w:rsidRDefault="00085D03" w:rsidP="00085D03">
      <w:pPr>
        <w:spacing w:after="120" w:line="276" w:lineRule="auto"/>
        <w:ind w:firstLine="709"/>
        <w:jc w:val="both"/>
        <w:rPr>
          <w:rFonts w:ascii="Arial" w:eastAsia="Calibri" w:hAnsi="Arial" w:cs="Arial"/>
          <w:color w:val="000000" w:themeColor="text1"/>
          <w:lang w:val="es-ES_tradnl"/>
        </w:rPr>
      </w:pPr>
      <w:r w:rsidRPr="002F1DBA">
        <w:rPr>
          <w:rFonts w:ascii="Arial" w:eastAsia="Calibri" w:hAnsi="Arial" w:cs="Arial"/>
          <w:color w:val="000000" w:themeColor="text1"/>
          <w:lang w:val="es-ES_tradnl"/>
        </w:rPr>
        <w:t xml:space="preserve">Se precisa que ambos certificados son necesarios, pues acreditan requisitos diferentes: el certificado emitido por el proponente relaciona el número total de trabajadores vinculados a la planta de personal hasta la fecha del cierre del proceso; mientras que en el </w:t>
      </w:r>
      <w:r w:rsidRPr="002F1DBA">
        <w:rPr>
          <w:rFonts w:ascii="Arial" w:eastAsia="Calibri" w:hAnsi="Arial" w:cs="Arial"/>
          <w:color w:val="000000" w:themeColor="text1"/>
          <w:lang w:val="es-ES_tradnl"/>
        </w:rPr>
        <w:lastRenderedPageBreak/>
        <w:t>certificado emitido por el Ministerio de Trabajo se acredita el número de personas con discapacidad. Esto permitirá, conjuntamente, determinar si se cumple con el rango necesario que habilite al proponente a acceder al beneficio.</w:t>
      </w:r>
    </w:p>
    <w:p w14:paraId="2A95E58F" w14:textId="77777777" w:rsidR="00E640C4" w:rsidRPr="002F1DBA" w:rsidRDefault="00E640C4" w:rsidP="00E640C4">
      <w:pPr>
        <w:spacing w:after="0" w:line="276" w:lineRule="auto"/>
        <w:ind w:firstLine="709"/>
        <w:jc w:val="both"/>
        <w:rPr>
          <w:rFonts w:ascii="Arial" w:hAnsi="Arial" w:cs="Arial"/>
          <w:color w:val="000000" w:themeColor="text1"/>
          <w:lang w:val="es-ES"/>
        </w:rPr>
      </w:pPr>
      <w:r w:rsidRPr="002F1DBA">
        <w:rPr>
          <w:rFonts w:ascii="Arial" w:eastAsia="Calibri" w:hAnsi="Arial" w:cs="Arial"/>
          <w:color w:val="000000" w:themeColor="text1"/>
          <w:lang w:val="es-ES" w:eastAsia="en-GB"/>
        </w:rPr>
        <w:t>Ahora bien, el parágrafo del artículo 2.2.1.2.4.6 del Decreto 1082 de 2019, adicionado por el artículo primero del Decreto 392</w:t>
      </w:r>
      <w:r w:rsidRPr="002F1DBA">
        <w:rPr>
          <w:rFonts w:ascii="Arial" w:hAnsi="Arial" w:cs="Arial"/>
          <w:color w:val="000000" w:themeColor="text1"/>
          <w:lang w:val="es-ES"/>
        </w:rPr>
        <w:t xml:space="preserve"> de 2018, condicionó la postulación de los proponentes plurales. Para que la oferta presentada por proponentes plurales obtenga el puntaje adicional por vinculación de trabajadores con discapacidad, deberá tomarse en cuenta la acreditación del integrante que aporte como mínimo el cuarenta por ciento (40%) de la experiencia requerida en el proceso de contratación. Para tal efecto, esta dependencia ya ha mencionado en anteriores oportunidades que: </w:t>
      </w:r>
    </w:p>
    <w:p w14:paraId="497473D8" w14:textId="77777777" w:rsidR="00085D03" w:rsidRPr="002F1DBA" w:rsidRDefault="00085D03" w:rsidP="00085D03">
      <w:pPr>
        <w:spacing w:after="0" w:line="276" w:lineRule="auto"/>
        <w:ind w:firstLine="709"/>
        <w:jc w:val="both"/>
        <w:rPr>
          <w:rFonts w:ascii="Arial" w:eastAsia="Calibri" w:hAnsi="Arial" w:cs="Arial"/>
          <w:color w:val="000000" w:themeColor="text1"/>
          <w:lang w:val="es-ES" w:eastAsia="en-GB"/>
        </w:rPr>
      </w:pPr>
    </w:p>
    <w:p w14:paraId="138CF173" w14:textId="77777777" w:rsidR="00085D03" w:rsidRPr="002F1DBA" w:rsidRDefault="00085D03" w:rsidP="00085D03">
      <w:pPr>
        <w:shd w:val="clear" w:color="auto" w:fill="FFFFFF"/>
        <w:spacing w:after="0" w:line="240" w:lineRule="auto"/>
        <w:ind w:left="709" w:right="709"/>
        <w:jc w:val="both"/>
        <w:rPr>
          <w:rFonts w:ascii="Arial" w:eastAsia="Calibri" w:hAnsi="Arial" w:cs="Arial"/>
          <w:color w:val="000000" w:themeColor="text1"/>
          <w:sz w:val="21"/>
          <w:szCs w:val="21"/>
          <w:lang w:val="es-ES"/>
        </w:rPr>
      </w:pPr>
      <w:r w:rsidRPr="002F1DBA">
        <w:rPr>
          <w:rFonts w:ascii="Arial" w:eastAsia="Calibri" w:hAnsi="Arial" w:cs="Arial"/>
          <w:color w:val="000000" w:themeColor="text1"/>
          <w:sz w:val="21"/>
          <w:szCs w:val="21"/>
          <w:lang w:val="es-ES"/>
        </w:rPr>
        <w:t>[…]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Pr="002F1DBA">
        <w:rPr>
          <w:rFonts w:ascii="Arial" w:eastAsia="Calibri" w:hAnsi="Arial" w:cs="Arial"/>
          <w:color w:val="000000" w:themeColor="text1"/>
          <w:sz w:val="21"/>
          <w:szCs w:val="21"/>
          <w:vertAlign w:val="superscript"/>
          <w:lang w:val="es-ES"/>
        </w:rPr>
        <w:footnoteReference w:id="2"/>
      </w:r>
    </w:p>
    <w:p w14:paraId="2117834C" w14:textId="77777777" w:rsidR="00085D03" w:rsidRPr="002F1DBA" w:rsidRDefault="00085D03" w:rsidP="00085D03">
      <w:pPr>
        <w:shd w:val="clear" w:color="auto" w:fill="FFFFFF"/>
        <w:spacing w:after="0" w:line="240" w:lineRule="auto"/>
        <w:ind w:left="709" w:right="709"/>
        <w:jc w:val="both"/>
        <w:rPr>
          <w:rFonts w:ascii="Arial" w:eastAsia="Calibri" w:hAnsi="Arial" w:cs="Arial"/>
          <w:color w:val="000000" w:themeColor="text1"/>
          <w:sz w:val="21"/>
          <w:szCs w:val="21"/>
          <w:lang w:val="es-ES"/>
        </w:rPr>
      </w:pPr>
    </w:p>
    <w:p w14:paraId="58D801E4" w14:textId="77777777" w:rsidR="00E640C4" w:rsidRPr="002F1DBA" w:rsidRDefault="00E640C4" w:rsidP="00E640C4">
      <w:pPr>
        <w:spacing w:after="0" w:line="276" w:lineRule="auto"/>
        <w:ind w:firstLine="708"/>
        <w:jc w:val="both"/>
        <w:rPr>
          <w:rFonts w:ascii="Arial" w:eastAsia="Calibri" w:hAnsi="Arial" w:cs="Arial"/>
          <w:color w:val="000000" w:themeColor="text1"/>
          <w:lang w:val="es-ES"/>
        </w:rPr>
      </w:pPr>
      <w:r w:rsidRPr="002F1DBA">
        <w:rPr>
          <w:rFonts w:ascii="Arial" w:hAnsi="Arial" w:cs="Arial"/>
          <w:color w:val="000000" w:themeColor="text1"/>
        </w:rPr>
        <w:t xml:space="preserve">En consideración a que </w:t>
      </w:r>
      <w:r w:rsidRPr="002F1DBA">
        <w:rPr>
          <w:rFonts w:ascii="Arial" w:eastAsia="Calibri" w:hAnsi="Arial" w:cs="Arial"/>
          <w:color w:val="000000" w:themeColor="text1"/>
          <w:lang w:val="es-ES"/>
        </w:rPr>
        <w:t xml:space="preserve">el artículo 2.2.1.2.4.2.6 del Decreto 1082 de 2015 aplica en los procedimientos de contratación regulados en los numerales 1 y 3 del artículo 2 de la Ley 1150 de 2007, esto es, en </w:t>
      </w:r>
      <w:r w:rsidRPr="002F1DBA">
        <w:rPr>
          <w:rFonts w:ascii="Arial" w:eastAsia="Times New Roman" w:hAnsi="Arial" w:cs="Arial"/>
          <w:color w:val="000000" w:themeColor="text1"/>
          <w:lang w:val="es-MX" w:eastAsia="es-CO"/>
        </w:rPr>
        <w:t>los procesos de licitaciones públicas y concursos de méritos</w:t>
      </w:r>
      <w:r w:rsidRPr="002F1DBA">
        <w:rPr>
          <w:rFonts w:ascii="Arial" w:eastAsia="Calibri" w:hAnsi="Arial" w:cs="Arial"/>
          <w:color w:val="000000" w:themeColor="text1"/>
          <w:lang w:val="es-ES"/>
        </w:rPr>
        <w:t>, el puntaje adicional para los proponentes con trabajadores en situación de discapacidad debe evaluarse obligatoriamente en los «Documentos Tipo – Versión 3» de licitación para obras públicas de infraestructura de transporte. Este documento establece lo siguiente en el apartado 4.4 para el caso de los proponentes plurales:</w:t>
      </w:r>
    </w:p>
    <w:p w14:paraId="1F5AFAA2" w14:textId="77777777" w:rsidR="00085D03" w:rsidRPr="002F1DBA" w:rsidRDefault="00085D03" w:rsidP="00085D03">
      <w:pPr>
        <w:spacing w:after="0" w:line="276" w:lineRule="auto"/>
        <w:jc w:val="both"/>
        <w:rPr>
          <w:rFonts w:ascii="Arial" w:eastAsia="Calibri" w:hAnsi="Arial" w:cs="Arial"/>
          <w:color w:val="000000" w:themeColor="text1"/>
          <w:lang w:val="es-ES"/>
        </w:rPr>
      </w:pPr>
    </w:p>
    <w:p w14:paraId="004DE3EF" w14:textId="77777777" w:rsidR="00085D03" w:rsidRPr="002F1DBA" w:rsidRDefault="00085D03" w:rsidP="00085D03">
      <w:pPr>
        <w:pStyle w:val="Ttulo2"/>
        <w:numPr>
          <w:ilvl w:val="1"/>
          <w:numId w:val="2"/>
        </w:numPr>
        <w:ind w:left="1069" w:right="709"/>
        <w:rPr>
          <w:sz w:val="21"/>
          <w:szCs w:val="21"/>
        </w:rPr>
      </w:pPr>
      <w:bookmarkStart w:id="3" w:name="_Toc84411360"/>
      <w:r w:rsidRPr="002F1DBA">
        <w:rPr>
          <w:caps w:val="0"/>
          <w:sz w:val="21"/>
          <w:szCs w:val="21"/>
        </w:rPr>
        <w:t>VINCULACIÓN DE PERSONAS CON DISCAPACIDAD</w:t>
      </w:r>
      <w:bookmarkEnd w:id="3"/>
    </w:p>
    <w:p w14:paraId="472DFB73" w14:textId="77777777" w:rsidR="00085D03" w:rsidRPr="002F1DBA" w:rsidRDefault="00085D03" w:rsidP="00085D03">
      <w:pPr>
        <w:spacing w:after="120" w:line="276" w:lineRule="auto"/>
        <w:ind w:firstLine="708"/>
        <w:jc w:val="both"/>
        <w:rPr>
          <w:rFonts w:ascii="Arial" w:eastAsia="Times New Roman" w:hAnsi="Arial" w:cs="Arial"/>
          <w:color w:val="000000"/>
          <w:sz w:val="21"/>
          <w:szCs w:val="21"/>
          <w:lang w:eastAsia="es-MX"/>
        </w:rPr>
      </w:pPr>
      <w:r w:rsidRPr="002F1DBA">
        <w:rPr>
          <w:rFonts w:ascii="Arial" w:eastAsia="Times New Roman" w:hAnsi="Arial" w:cs="Arial"/>
          <w:color w:val="000000" w:themeColor="text1"/>
          <w:sz w:val="21"/>
          <w:szCs w:val="21"/>
          <w:lang w:val="es-ES" w:eastAsia="es-ES_tradnl"/>
        </w:rPr>
        <w:t>[</w:t>
      </w:r>
      <w:r w:rsidRPr="002F1DBA">
        <w:rPr>
          <w:rFonts w:ascii="Arial" w:eastAsia="Times New Roman" w:hAnsi="Arial" w:cs="Arial"/>
          <w:color w:val="000000"/>
          <w:sz w:val="21"/>
          <w:szCs w:val="21"/>
          <w:lang w:eastAsia="es-MX"/>
        </w:rPr>
        <w:t>…]</w:t>
      </w:r>
    </w:p>
    <w:p w14:paraId="4A144A63" w14:textId="77777777" w:rsidR="00085D03" w:rsidRPr="002F1DBA" w:rsidRDefault="00085D03" w:rsidP="00085D03">
      <w:pPr>
        <w:spacing w:after="120" w:line="240" w:lineRule="auto"/>
        <w:ind w:left="708" w:right="709"/>
        <w:jc w:val="both"/>
        <w:rPr>
          <w:rFonts w:ascii="Arial" w:eastAsia="Times New Roman" w:hAnsi="Arial" w:cs="Arial"/>
          <w:color w:val="000000"/>
          <w:sz w:val="21"/>
          <w:szCs w:val="21"/>
          <w:lang w:eastAsia="es-MX"/>
        </w:rPr>
      </w:pPr>
      <w:r w:rsidRPr="002F1DBA">
        <w:rPr>
          <w:rFonts w:ascii="Arial" w:eastAsia="Times New Roman" w:hAnsi="Arial" w:cs="Arial"/>
          <w:color w:val="000000"/>
          <w:sz w:val="21"/>
          <w:szCs w:val="21"/>
          <w:lang w:eastAsia="es-MX"/>
        </w:rPr>
        <w:t>Para</w:t>
      </w:r>
      <w:r w:rsidRPr="002F1DBA">
        <w:rPr>
          <w:rFonts w:ascii="Arial" w:eastAsia="Times New Roman" w:hAnsi="Arial" w:cs="Arial"/>
          <w:color w:val="000000" w:themeColor="text1"/>
          <w:sz w:val="21"/>
          <w:szCs w:val="21"/>
          <w:lang w:val="es-ES" w:eastAsia="es-ES_tradnl"/>
        </w:rPr>
        <w:t xml:space="preserve">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w:t>
      </w:r>
      <w:r w:rsidRPr="002F1DBA">
        <w:rPr>
          <w:rFonts w:ascii="Arial" w:eastAsia="Times New Roman" w:hAnsi="Arial" w:cs="Arial"/>
          <w:color w:val="000000" w:themeColor="text1"/>
          <w:sz w:val="21"/>
          <w:szCs w:val="21"/>
          <w:lang w:val="es-ES" w:eastAsia="es-ES_tradnl"/>
        </w:rPr>
        <w:lastRenderedPageBreak/>
        <w:t>conformidad con el numeral 3.5.8, sin importar si la experienc</w:t>
      </w:r>
      <w:r w:rsidRPr="002F1DBA">
        <w:rPr>
          <w:rFonts w:ascii="Arial" w:eastAsia="Times New Roman" w:hAnsi="Arial" w:cs="Arial"/>
          <w:color w:val="000000"/>
          <w:sz w:val="21"/>
          <w:szCs w:val="21"/>
          <w:lang w:eastAsia="es-MX"/>
        </w:rPr>
        <w:t>ia es general o específica.</w:t>
      </w:r>
    </w:p>
    <w:p w14:paraId="07769781" w14:textId="77777777" w:rsidR="00085D03" w:rsidRPr="002F1DBA" w:rsidRDefault="00085D03" w:rsidP="00085D03">
      <w:pPr>
        <w:spacing w:after="0" w:line="276" w:lineRule="auto"/>
        <w:ind w:firstLine="708"/>
        <w:jc w:val="both"/>
        <w:rPr>
          <w:rFonts w:ascii="Arial" w:eastAsia="Times New Roman" w:hAnsi="Arial" w:cs="Arial"/>
          <w:color w:val="000000"/>
          <w:sz w:val="21"/>
          <w:szCs w:val="21"/>
          <w:lang w:eastAsia="es-MX"/>
        </w:rPr>
      </w:pPr>
      <w:r w:rsidRPr="002F1DBA">
        <w:rPr>
          <w:rFonts w:ascii="Arial" w:eastAsia="Times New Roman" w:hAnsi="Arial" w:cs="Arial"/>
          <w:color w:val="000000"/>
          <w:sz w:val="21"/>
          <w:szCs w:val="21"/>
          <w:lang w:eastAsia="es-MX"/>
        </w:rPr>
        <w:t>[…]</w:t>
      </w:r>
    </w:p>
    <w:p w14:paraId="6B9ED3AD" w14:textId="77777777" w:rsidR="00085D03" w:rsidRPr="002F1DBA" w:rsidRDefault="00085D03" w:rsidP="00085D03">
      <w:pPr>
        <w:spacing w:after="0" w:line="276" w:lineRule="auto"/>
        <w:ind w:left="1083"/>
        <w:contextualSpacing/>
        <w:jc w:val="both"/>
        <w:rPr>
          <w:rFonts w:ascii="Arial" w:eastAsia="Times New Roman" w:hAnsi="Arial" w:cs="Arial"/>
          <w:color w:val="000000" w:themeColor="text1"/>
          <w:lang w:val="es-ES" w:eastAsia="es-ES_tradnl"/>
        </w:rPr>
      </w:pPr>
    </w:p>
    <w:p w14:paraId="7D412CA4" w14:textId="77777777" w:rsidR="00E640C4" w:rsidRPr="002F1DBA" w:rsidRDefault="00E640C4" w:rsidP="00E640C4">
      <w:pPr>
        <w:spacing w:after="120" w:line="276" w:lineRule="auto"/>
        <w:ind w:firstLine="708"/>
        <w:jc w:val="both"/>
        <w:rPr>
          <w:rFonts w:ascii="Arial" w:eastAsia="Times New Roman" w:hAnsi="Arial" w:cs="Arial"/>
          <w:color w:val="000000"/>
          <w:szCs w:val="24"/>
          <w:lang w:eastAsia="es-MX"/>
        </w:rPr>
      </w:pPr>
      <w:r w:rsidRPr="002F1DBA">
        <w:rPr>
          <w:rFonts w:ascii="Arial" w:eastAsia="Times New Roman" w:hAnsi="Arial" w:cs="Arial"/>
          <w:color w:val="000000"/>
          <w:szCs w:val="24"/>
          <w:lang w:eastAsia="es-MX"/>
        </w:rPr>
        <w:t xml:space="preserve">Esto significa que en caso de tratarse de una estructura plural, los requisitos de puntaje adicional deberán ser acreditados por el integrante cuyo aporte a la experiencia requerida sea de más del cuarenta por ciento (40%). </w:t>
      </w:r>
    </w:p>
    <w:p w14:paraId="485A7914" w14:textId="77777777" w:rsidR="00E640C4" w:rsidRPr="002F1DBA" w:rsidRDefault="00E640C4" w:rsidP="00E640C4">
      <w:pPr>
        <w:spacing w:after="120" w:line="276" w:lineRule="auto"/>
        <w:ind w:firstLine="708"/>
        <w:jc w:val="both"/>
        <w:rPr>
          <w:rFonts w:ascii="Arial" w:eastAsia="Times New Roman" w:hAnsi="Arial" w:cs="Arial"/>
          <w:color w:val="000000"/>
          <w:szCs w:val="24"/>
          <w:lang w:eastAsia="es-MX"/>
        </w:rPr>
      </w:pPr>
      <w:r w:rsidRPr="002F1DBA">
        <w:rPr>
          <w:rFonts w:ascii="Arial" w:eastAsia="Times New Roman" w:hAnsi="Arial" w:cs="Arial"/>
          <w:color w:val="000000"/>
          <w:szCs w:val="24"/>
          <w:lang w:eastAsia="es-MX"/>
        </w:rPr>
        <w:t>En ese orden, el 40% al que hacer referencia el artículo no implica un requisito extra para optar por el puntaje adicional, sino una instrucción frente a cuál de los integrantes del proponente plural estará habitado para demostrar el número de trabajadores con discapacidad. Al margen de si se subsana o no la experiencia requerida, es el integrante del proponente plural que aporte más del 40% quien deberá demostrar los requisitos para optar por el puntaje adicional. Así, lo que no es susceptible de ser subsanado será el número mínimo de trabajadores de que trata el artículo 2.2.1.2.4.2.6.</w:t>
      </w:r>
    </w:p>
    <w:p w14:paraId="236C92FD" w14:textId="513768F2" w:rsidR="00E640C4" w:rsidRPr="002F1DBA" w:rsidRDefault="00085D03" w:rsidP="00085D03">
      <w:pPr>
        <w:spacing w:after="120" w:line="276" w:lineRule="auto"/>
        <w:ind w:firstLine="709"/>
        <w:jc w:val="both"/>
        <w:rPr>
          <w:rFonts w:ascii="Arial" w:eastAsia="Times New Roman" w:hAnsi="Arial" w:cs="Arial"/>
          <w:color w:val="000000" w:themeColor="text1"/>
          <w:lang w:val="es-ES" w:eastAsia="es-ES_tradnl"/>
        </w:rPr>
      </w:pPr>
      <w:r w:rsidRPr="002F1DBA">
        <w:rPr>
          <w:rFonts w:ascii="Arial" w:eastAsia="Times New Roman" w:hAnsi="Arial" w:cs="Arial"/>
          <w:color w:val="000000" w:themeColor="text1"/>
          <w:lang w:val="es-ES" w:eastAsia="es-ES_tradnl"/>
        </w:rPr>
        <w:t>En esta instancia resulta relevante mencionar que la experiencia de una estructura plural es una materia distinta de la conformación y participación de sus integrantes. El primer concepto da cuenta de la experiencia que puede acreditar un proponente plural en un proceso de selección; mientras que el segundo concepto se refiere a la participación que tiene cada uno de los integrantes en la estructura. En este entendido, a través del «Manual para determinar y verificar los requisitos habilitantes en los Procesos de Contratación» esta Agencia precisó que el oferente plural materializa su experiencia a través de la sumatoria de la experiencia individualmente acreditada por cada uno de sus integrantes, no siendo necesario tener en cuenta el porcentaje de participación del integrante individual dentro de la estructura plural.</w:t>
      </w:r>
    </w:p>
    <w:p w14:paraId="41F0E2D4" w14:textId="32484156" w:rsidR="00085D03" w:rsidRPr="002F1DBA" w:rsidRDefault="00E640C4" w:rsidP="002F1DBA">
      <w:pPr>
        <w:spacing w:after="120" w:line="276" w:lineRule="auto"/>
        <w:ind w:firstLine="709"/>
        <w:jc w:val="both"/>
        <w:rPr>
          <w:rFonts w:ascii="Arial" w:eastAsia="Calibri" w:hAnsi="Arial" w:cs="Arial"/>
          <w:color w:val="000000" w:themeColor="text1"/>
          <w:sz w:val="21"/>
          <w:szCs w:val="21"/>
          <w:lang w:val="es-ES"/>
        </w:rPr>
      </w:pPr>
      <w:r w:rsidRPr="002F1DBA">
        <w:rPr>
          <w:rFonts w:ascii="Arial" w:eastAsia="Times New Roman" w:hAnsi="Arial" w:cs="Arial"/>
          <w:color w:val="000000" w:themeColor="text1"/>
          <w:lang w:val="es-ES" w:eastAsia="es-ES_tradnl"/>
        </w:rPr>
        <w:t>Así</w:t>
      </w:r>
      <w:r w:rsidR="00085D03" w:rsidRPr="002F1DBA">
        <w:rPr>
          <w:rFonts w:ascii="Arial" w:eastAsia="Calibri" w:hAnsi="Arial" w:cs="Arial"/>
          <w:color w:val="000000" w:themeColor="text1"/>
          <w:lang w:val="es-ES"/>
        </w:rPr>
        <w:t xml:space="preserve"> por ejemplo, si tres miembros conforman una unión temporal y dos de los integrantes aportan cuarenta y cinco por ciento (45%) 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w:t>
      </w:r>
      <w:r w:rsidR="00085D03" w:rsidRPr="002F1DBA">
        <w:rPr>
          <w:rFonts w:ascii="Arial" w:eastAsia="Calibri" w:hAnsi="Arial" w:cs="Arial"/>
          <w:color w:val="000000" w:themeColor="text1"/>
          <w:vertAlign w:val="superscript"/>
          <w:lang w:val="es-ES"/>
        </w:rPr>
        <w:footnoteReference w:id="3"/>
      </w:r>
    </w:p>
    <w:p w14:paraId="16B35A0A" w14:textId="599E0998" w:rsidR="00085D03" w:rsidRPr="002F1DBA" w:rsidRDefault="00E640C4" w:rsidP="00E640C4">
      <w:pPr>
        <w:spacing w:after="120" w:line="276" w:lineRule="auto"/>
        <w:ind w:firstLine="709"/>
        <w:jc w:val="both"/>
        <w:rPr>
          <w:rFonts w:ascii="Arial" w:eastAsia="Times New Roman" w:hAnsi="Arial" w:cs="Arial"/>
          <w:color w:val="000000" w:themeColor="text1"/>
          <w:lang w:val="es-ES" w:eastAsia="es-ES_tradnl"/>
        </w:rPr>
      </w:pPr>
      <w:r w:rsidRPr="002F1DBA">
        <w:rPr>
          <w:rFonts w:ascii="Arial" w:eastAsia="Times New Roman" w:hAnsi="Arial" w:cs="Arial"/>
          <w:color w:val="000000" w:themeColor="text1"/>
          <w:lang w:val="es-ES" w:eastAsia="es-ES_tradnl"/>
        </w:rPr>
        <w:t>Frente a la experiencia, se trata de u</w:t>
      </w:r>
      <w:r w:rsidR="00085D03" w:rsidRPr="002F1DBA">
        <w:rPr>
          <w:rFonts w:ascii="Arial" w:eastAsia="Times New Roman" w:hAnsi="Arial" w:cs="Arial"/>
          <w:color w:val="000000" w:themeColor="text1"/>
          <w:lang w:val="es-ES" w:eastAsia="es-ES_tradnl"/>
        </w:rPr>
        <w:t xml:space="preserve">no de los requisitos habilitantes para fungir como proponente y contratista del Estado. Este factor indica que la persona natural, jurídica </w:t>
      </w:r>
      <w:r w:rsidR="00085D03" w:rsidRPr="002F1DBA">
        <w:rPr>
          <w:rFonts w:ascii="Arial" w:eastAsia="Times New Roman" w:hAnsi="Arial" w:cs="Arial"/>
          <w:color w:val="000000" w:themeColor="text1"/>
          <w:lang w:val="es-ES" w:eastAsia="es-ES_tradnl"/>
        </w:rPr>
        <w:lastRenderedPageBreak/>
        <w:t>o estructura plural cuenta con los requisitos mínimos de idoneidad y es apta, en términos técnicos, para ejecutar el objeto contractual a desarrollar</w:t>
      </w:r>
      <w:r w:rsidR="00085D03" w:rsidRPr="002F1DBA">
        <w:rPr>
          <w:rFonts w:ascii="Arial" w:eastAsia="Times New Roman" w:hAnsi="Arial" w:cs="Arial"/>
          <w:color w:val="000000" w:themeColor="text1"/>
          <w:vertAlign w:val="superscript"/>
          <w:lang w:val="es-ES" w:eastAsia="es-ES_tradnl"/>
        </w:rPr>
        <w:footnoteReference w:id="4"/>
      </w:r>
      <w:r w:rsidR="00085D03" w:rsidRPr="002F1DBA">
        <w:rPr>
          <w:rFonts w:ascii="Arial" w:eastAsia="Times New Roman" w:hAnsi="Arial" w:cs="Arial"/>
          <w:color w:val="000000" w:themeColor="text1"/>
          <w:lang w:val="es-ES" w:eastAsia="es-ES_tradnl"/>
        </w:rPr>
        <w:t xml:space="preserve">. </w:t>
      </w:r>
      <w:r w:rsidRPr="002F1DBA">
        <w:rPr>
          <w:rFonts w:ascii="Arial" w:eastAsia="Times New Roman" w:hAnsi="Arial" w:cs="Arial"/>
          <w:color w:val="000000" w:themeColor="text1"/>
          <w:lang w:val="es-ES" w:eastAsia="es-ES_tradnl"/>
        </w:rPr>
        <w:t>El</w:t>
      </w:r>
      <w:r w:rsidR="00085D03" w:rsidRPr="002F1DBA">
        <w:rPr>
          <w:rFonts w:ascii="Arial" w:eastAsia="Calibri" w:hAnsi="Arial" w:cs="Arial"/>
          <w:color w:val="000000" w:themeColor="text1"/>
          <w:lang w:val="es-ES"/>
        </w:rPr>
        <w:t xml:space="preserve"> artículo 2.2.1.1.1.5.3 del Decreto 1082 de 2015 señala que la experiencia se encuentra conformada por «[…] aquellos contratos celebrados por el interesado para cada uno de los bienes, obras y servicios que ofrecerá a las Entidades Estatales, identificados con el Clasificador de Bienes y Servicios en el tercer nivel y su valor expresado en SMLMV»</w:t>
      </w:r>
      <w:r w:rsidR="00085D03" w:rsidRPr="002F1DBA">
        <w:rPr>
          <w:rFonts w:ascii="Arial" w:eastAsia="Calibri" w:hAnsi="Arial" w:cs="Arial"/>
          <w:color w:val="000000" w:themeColor="text1"/>
          <w:vertAlign w:val="superscript"/>
          <w:lang w:val="es-ES"/>
        </w:rPr>
        <w:footnoteReference w:id="5"/>
      </w:r>
      <w:r w:rsidR="00085D03" w:rsidRPr="002F1DBA">
        <w:rPr>
          <w:rFonts w:ascii="Arial" w:eastAsia="Calibri" w:hAnsi="Arial" w:cs="Arial"/>
          <w:color w:val="000000" w:themeColor="text1"/>
          <w:lang w:val="es-ES"/>
        </w:rPr>
        <w:t xml:space="preserve">. Así mismo, el referido decreto indica en su artículo 2.2.1.1.1.6.2 que corresponde a las entidades estatales </w:t>
      </w:r>
      <w:r w:rsidR="00085D03" w:rsidRPr="002F1DBA">
        <w:rPr>
          <w:rFonts w:ascii="Arial" w:eastAsia="Times New Roman" w:hAnsi="Arial" w:cs="Arial"/>
          <w:color w:val="000000" w:themeColor="text1"/>
          <w:lang w:val="es-ES" w:eastAsia="es-ES_tradnl"/>
        </w:rPr>
        <w:t>«[…]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a lo que agrega que «La Entidad Estatal no debe limitarse a la aplicación mecánica de fórmulas financieras para verificar los requisitos habilitantes». En concordancia con esto, el artículo 2.2.1.1.2.1.3 del Decreto 1082 de 2015, establece que uno de los componentes de los pliegos de condiciones son «Las reglas aplicables a la presentación de las ofertas, su evaluación y a la adjudicación del contrato».</w:t>
      </w:r>
    </w:p>
    <w:p w14:paraId="7991DD17" w14:textId="77777777" w:rsidR="00085D03" w:rsidRPr="002F1DBA" w:rsidRDefault="00085D03" w:rsidP="00085D03">
      <w:pPr>
        <w:spacing w:after="120" w:line="276" w:lineRule="auto"/>
        <w:ind w:firstLine="709"/>
        <w:jc w:val="both"/>
        <w:rPr>
          <w:rFonts w:ascii="Arial" w:eastAsia="Calibri" w:hAnsi="Arial" w:cs="Arial"/>
          <w:color w:val="000000" w:themeColor="text1"/>
          <w:lang w:val="es-ES_tradnl"/>
        </w:rPr>
      </w:pPr>
      <w:r w:rsidRPr="002F1DBA">
        <w:rPr>
          <w:rFonts w:ascii="Arial" w:eastAsia="Times New Roman" w:hAnsi="Arial" w:cs="Arial"/>
          <w:color w:val="000000" w:themeColor="text1"/>
          <w:lang w:val="es-ES" w:eastAsia="es-ES_tradnl"/>
        </w:rPr>
        <w:t xml:space="preserve">Conforme a tales artículos, es posible concluir que: i) las condiciones generales y/o específicas de acreditación de experiencia y asignación de incentivos deben estar </w:t>
      </w:r>
      <w:r w:rsidRPr="002F1DBA">
        <w:rPr>
          <w:rFonts w:ascii="Arial" w:eastAsia="Calibri" w:hAnsi="Arial" w:cs="Arial"/>
          <w:color w:val="000000" w:themeColor="text1"/>
          <w:lang w:val="es-ES" w:eastAsia="en-GB"/>
        </w:rPr>
        <w:t xml:space="preserve">consignadas en el </w:t>
      </w:r>
      <w:r w:rsidRPr="002F1DBA">
        <w:rPr>
          <w:rFonts w:ascii="Arial" w:eastAsia="Calibri" w:hAnsi="Arial" w:cs="Arial"/>
          <w:color w:val="000000" w:themeColor="text1"/>
          <w:lang w:val="es-ES_tradnl"/>
        </w:rPr>
        <w:t>pliego de condiciones del respectivo proceso de selección</w:t>
      </w:r>
      <w:r w:rsidRPr="002F1DBA">
        <w:rPr>
          <w:rFonts w:ascii="Arial" w:eastAsia="Times New Roman" w:hAnsi="Arial" w:cs="Arial"/>
          <w:color w:val="000000" w:themeColor="text1"/>
          <w:lang w:val="es-ES" w:eastAsia="es-ES_tradnl"/>
        </w:rPr>
        <w:t>; y, ii) en cuanto a la experiencia, esta se acreditará mediante los contratos celebrados por el interesado para cada uno de los bienes, obras o servicios que se ofrecerán a las entidades estatales, identificados por el clasificador de bienes y servicios en el tercer nivel y su valor expresado en SMLMV.</w:t>
      </w:r>
      <w:r w:rsidRPr="002F1DBA">
        <w:rPr>
          <w:rFonts w:ascii="Arial" w:eastAsia="Calibri" w:hAnsi="Arial" w:cs="Arial"/>
          <w:color w:val="000000" w:themeColor="text1"/>
          <w:lang w:val="es-ES_tradnl"/>
        </w:rPr>
        <w:t xml:space="preserve"> </w:t>
      </w:r>
    </w:p>
    <w:p w14:paraId="0E2DE3D7" w14:textId="67F65451" w:rsidR="00085D03" w:rsidRPr="002F1DBA" w:rsidRDefault="00085D03" w:rsidP="00085D03">
      <w:pPr>
        <w:spacing w:after="120" w:line="276" w:lineRule="auto"/>
        <w:ind w:firstLine="709"/>
        <w:jc w:val="both"/>
        <w:rPr>
          <w:rFonts w:ascii="Arial" w:eastAsia="Calibri" w:hAnsi="Arial" w:cs="Arial"/>
          <w:color w:val="000000" w:themeColor="text1"/>
          <w:lang w:val="es-ES" w:eastAsia="en-GB"/>
        </w:rPr>
      </w:pPr>
      <w:r w:rsidRPr="002F1DBA">
        <w:rPr>
          <w:rFonts w:ascii="Arial" w:eastAsia="Calibri" w:hAnsi="Arial" w:cs="Arial"/>
          <w:color w:val="000000" w:themeColor="text1"/>
          <w:lang w:val="es-ES" w:eastAsia="en-GB"/>
        </w:rPr>
        <w:lastRenderedPageBreak/>
        <w:t xml:space="preserve">Tratándose de proponentes plurales, lo que establece el parágrafo del artículo 2.2.1.2.4.6 </w:t>
      </w:r>
      <w:r w:rsidRPr="002F1DBA">
        <w:rPr>
          <w:rFonts w:ascii="Arial" w:eastAsia="Calibri" w:hAnsi="Arial" w:cs="Arial"/>
          <w:i/>
          <w:iCs/>
          <w:color w:val="000000" w:themeColor="text1"/>
          <w:lang w:val="es-ES" w:eastAsia="en-GB"/>
        </w:rPr>
        <w:t xml:space="preserve">Ibídem, </w:t>
      </w:r>
      <w:r w:rsidRPr="002F1DBA">
        <w:rPr>
          <w:rFonts w:ascii="Arial" w:eastAsia="Calibri" w:hAnsi="Arial" w:cs="Arial"/>
          <w:color w:val="000000" w:themeColor="text1"/>
          <w:lang w:val="es-ES" w:eastAsia="en-GB"/>
        </w:rPr>
        <w:t>es que, en estos casos, la vinculación de personas con discapacidad, que virtualmente le otorga al proponente plural el puntaje adicional, deba verificarse respecto del miembro del proponente plural que acredite un mínimo del cuarenta por ciento de la experiencia requerida. En otras palabras, conforme a la regla del aludido parágrafo, para otorgar el puntaje adicional, uno de los miembros del proponente plural debe acreditar el cuarenta por ciento del valor en SMMLV en los que esté tasado el requisito de experiencia.</w:t>
      </w:r>
    </w:p>
    <w:p w14:paraId="118A632F" w14:textId="77777777" w:rsidR="00085D03" w:rsidRPr="002F1DBA" w:rsidRDefault="00085D03" w:rsidP="00085D03">
      <w:pPr>
        <w:spacing w:after="120" w:line="276" w:lineRule="auto"/>
        <w:ind w:firstLine="709"/>
        <w:jc w:val="both"/>
        <w:rPr>
          <w:rFonts w:ascii="Arial" w:eastAsia="Calibri" w:hAnsi="Arial" w:cs="Arial"/>
          <w:color w:val="000000" w:themeColor="text1"/>
          <w:lang w:val="es-ES_tradnl"/>
        </w:rPr>
      </w:pPr>
      <w:r w:rsidRPr="002F1DBA">
        <w:rPr>
          <w:rFonts w:ascii="Arial" w:eastAsia="Calibri" w:hAnsi="Arial" w:cs="Arial"/>
          <w:color w:val="000000" w:themeColor="text1"/>
          <w:lang w:val="es-ES" w:eastAsia="en-GB"/>
        </w:rPr>
        <w:t xml:space="preserve">En ese sentido, independientemente de que el proponente utilice uno o varios contratos para acreditar el requisito de experiencia, para acceder al puntaje adicional por vinculación de personas con discapacidad, los proponentes plurales deben contar con un miembro que aporte al menos el cuarenta por ciento de la experiencia, porcentaje que debe calcularse respecto del valor en SMMLV en los que esté tasado el requisito de experiencia. </w:t>
      </w:r>
      <w:bookmarkStart w:id="4" w:name="_Hlk65592060"/>
      <w:r w:rsidRPr="002F1DBA">
        <w:rPr>
          <w:rFonts w:ascii="Arial" w:eastAsia="Calibri" w:hAnsi="Arial" w:cs="Arial"/>
          <w:color w:val="000000" w:themeColor="text1"/>
          <w:lang w:val="es-ES" w:eastAsia="en-GB"/>
        </w:rPr>
        <w:t xml:space="preserve">Para obtener el puntaje adicional, a dicho miembro le corresponderá </w:t>
      </w:r>
      <w:r w:rsidRPr="002F1DBA">
        <w:rPr>
          <w:rFonts w:ascii="Arial" w:eastAsia="Calibri" w:hAnsi="Arial" w:cs="Arial"/>
          <w:color w:val="000000" w:themeColor="text1"/>
          <w:lang w:val="es-ES_tradnl"/>
        </w:rPr>
        <w:t>acreditar que su planta de personal contiene el n</w:t>
      </w:r>
      <w:r w:rsidRPr="002F1DBA">
        <w:rPr>
          <w:rFonts w:ascii="Arial" w:eastAsia="Calibri" w:hAnsi="Arial" w:cs="Arial" w:hint="eastAsia"/>
          <w:color w:val="000000" w:themeColor="text1"/>
          <w:lang w:val="es-ES_tradnl"/>
        </w:rPr>
        <w:t>ú</w:t>
      </w:r>
      <w:r w:rsidRPr="002F1DBA">
        <w:rPr>
          <w:rFonts w:ascii="Arial" w:eastAsia="Calibri" w:hAnsi="Arial" w:cs="Arial"/>
          <w:color w:val="000000" w:themeColor="text1"/>
          <w:lang w:val="es-ES_tradnl"/>
        </w:rPr>
        <w:t>mero de trabajadores con discapacidad requerido, atendiendo al rango determinado en el numeral segundo del art</w:t>
      </w:r>
      <w:r w:rsidRPr="002F1DBA">
        <w:rPr>
          <w:rFonts w:ascii="Arial" w:eastAsia="Calibri" w:hAnsi="Arial" w:cs="Arial" w:hint="eastAsia"/>
          <w:color w:val="000000" w:themeColor="text1"/>
          <w:lang w:val="es-ES_tradnl"/>
        </w:rPr>
        <w:t>í</w:t>
      </w:r>
      <w:r w:rsidRPr="002F1DBA">
        <w:rPr>
          <w:rFonts w:ascii="Arial" w:eastAsia="Calibri" w:hAnsi="Arial" w:cs="Arial"/>
          <w:color w:val="000000" w:themeColor="text1"/>
          <w:lang w:val="es-ES_tradnl"/>
        </w:rPr>
        <w:t>culo 2.2.1.2.4.2.6 del Decreto 1082 de 2015, adicionado por el Decreto 392 de 2018.</w:t>
      </w:r>
      <w:bookmarkEnd w:id="4"/>
      <w:r w:rsidRPr="002F1DBA">
        <w:rPr>
          <w:rFonts w:ascii="Arial" w:eastAsia="Calibri" w:hAnsi="Arial" w:cs="Arial"/>
          <w:color w:val="000000" w:themeColor="text1"/>
          <w:lang w:val="es-ES_tradnl"/>
        </w:rPr>
        <w:t xml:space="preserve"> </w:t>
      </w:r>
    </w:p>
    <w:p w14:paraId="2DBA7D71" w14:textId="700DA36E" w:rsidR="00E640C4" w:rsidRPr="002F1DBA" w:rsidRDefault="00085D03" w:rsidP="00085D03">
      <w:pPr>
        <w:spacing w:after="120" w:line="276" w:lineRule="auto"/>
        <w:ind w:firstLine="709"/>
        <w:jc w:val="both"/>
        <w:rPr>
          <w:rFonts w:ascii="Arial" w:eastAsia="Calibri" w:hAnsi="Arial" w:cs="Arial"/>
          <w:color w:val="000000" w:themeColor="text1"/>
          <w:lang w:val="es-ES" w:eastAsia="en-GB"/>
        </w:rPr>
      </w:pPr>
      <w:r w:rsidRPr="002F1DBA">
        <w:rPr>
          <w:rFonts w:ascii="Arial" w:eastAsia="Calibri" w:hAnsi="Arial" w:cs="Arial"/>
          <w:color w:val="000000" w:themeColor="text1"/>
          <w:lang w:val="es-ES_tradnl"/>
        </w:rPr>
        <w:t xml:space="preserve">Sin perjuicio de lo anterior, en la acreditación de dicho requisito de experiencia los proponentes deberán seguirse por las reglas establecidas en los pliegos de condiciones para su acreditación, las cuales, tal como sucede en el ejemplo de los procesos adelantados con documentos tipo, podrán contemplar un número limitado de contratos para su acreditación. En ese sentido, si bien el porcentaje del parágrafo del artículo 2.2.1.2.4.2.6 del Decreto 1082 de 2015 no está dirigido al número de contratos, los proponentes deberán procurar que los contratos con los que se acredita la experiencia no sobrepasen el límite que establezca la entidad. </w:t>
      </w:r>
    </w:p>
    <w:p w14:paraId="35CC5D4C" w14:textId="77777777" w:rsidR="007D3117" w:rsidRPr="002F1DBA" w:rsidRDefault="007D3117" w:rsidP="002F1DBA">
      <w:pPr>
        <w:spacing w:after="120" w:line="276" w:lineRule="auto"/>
        <w:ind w:firstLine="709"/>
        <w:jc w:val="both"/>
        <w:rPr>
          <w:rFonts w:ascii="Arial" w:eastAsia="Times New Roman" w:hAnsi="Arial" w:cs="Arial"/>
          <w:color w:val="000000" w:themeColor="text1"/>
          <w:lang w:val="es-ES" w:eastAsia="es-ES_tradnl"/>
        </w:rPr>
      </w:pPr>
    </w:p>
    <w:p w14:paraId="5456BC32" w14:textId="77777777" w:rsidR="00085D03" w:rsidRPr="002F1DBA" w:rsidRDefault="00085D03" w:rsidP="00085D03">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r w:rsidRPr="002F1DBA">
        <w:rPr>
          <w:rFonts w:ascii="ArialMT" w:eastAsia="Times New Roman" w:hAnsi="ArialMT" w:cs="Times New Roman"/>
          <w:b/>
          <w:color w:val="000000" w:themeColor="text1"/>
          <w:lang w:val="es-MX" w:eastAsia="es-ES_tradnl"/>
        </w:rPr>
        <w:t>3. Respuesta</w:t>
      </w:r>
    </w:p>
    <w:p w14:paraId="1E7EBA09" w14:textId="77777777" w:rsidR="00085D03" w:rsidRPr="002F1DBA" w:rsidRDefault="00085D03" w:rsidP="00085D03">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p>
    <w:p w14:paraId="7EB3A603" w14:textId="77777777" w:rsidR="00085D03" w:rsidRPr="002F1DBA" w:rsidRDefault="00085D03" w:rsidP="00085D03">
      <w:pPr>
        <w:spacing w:after="0" w:line="240" w:lineRule="auto"/>
        <w:ind w:left="709" w:right="709"/>
        <w:jc w:val="both"/>
        <w:rPr>
          <w:rFonts w:ascii="Arial" w:hAnsi="Arial" w:cs="Arial"/>
          <w:sz w:val="21"/>
          <w:szCs w:val="21"/>
        </w:rPr>
      </w:pPr>
      <w:r w:rsidRPr="002F1DBA">
        <w:rPr>
          <w:rFonts w:ascii="Arial" w:hAnsi="Arial" w:cs="Arial"/>
          <w:sz w:val="21"/>
          <w:szCs w:val="21"/>
        </w:rPr>
        <w:t xml:space="preserve">«1. ¿Al ser objeto de subsanación la experiencia del integrante del proponente plural que acredita como mínimo el 40% de la experiencia requerida y que a su vez es quien acredita la vinculación de trabajadores con discapacidad en su planta de personal de conformidad con el Decreto 392 de 2018, es procedente la asignación del puntaje definido en el Decreto citado? 2. ¿En caso de ser procedente la asignación del puntaje a que hace referencia el interrogante formulado en el numeral 1, se entendería que a pesar de ser la experiencia un requisito habilitante susceptible de ser subsanado y en caso de darse la </w:t>
      </w:r>
      <w:r w:rsidRPr="002F1DBA">
        <w:rPr>
          <w:rFonts w:ascii="Arial" w:hAnsi="Arial" w:cs="Arial"/>
          <w:sz w:val="21"/>
          <w:szCs w:val="21"/>
        </w:rPr>
        <w:lastRenderedPageBreak/>
        <w:t xml:space="preserve">subsanación, es independiente la asignación del puntaje definido en el Decreto 392 de 2018, por tratarse de dos temas diferentes? ¿Adicionalmente, en este caso, estaríamos frente a un informe de evaluación que solicita subsanar la experiencia acreditada con la presentación de la propuesta, sin entrar a realizar la asignación del puntaje de que trata el Decreto 392 de 2018 y por ende éste puntaje será indicado a los proponentes e interesados en el informe final de evaluación?». </w:t>
      </w:r>
    </w:p>
    <w:p w14:paraId="4CF4AA83" w14:textId="77777777" w:rsidR="00085D03" w:rsidRPr="002F1DBA" w:rsidRDefault="00085D03" w:rsidP="00085D03">
      <w:pPr>
        <w:shd w:val="clear" w:color="auto" w:fill="FFFFFF"/>
        <w:spacing w:after="0" w:line="276" w:lineRule="auto"/>
        <w:ind w:right="709"/>
        <w:jc w:val="both"/>
        <w:rPr>
          <w:rFonts w:ascii="Arial" w:eastAsia="Calibri" w:hAnsi="Arial" w:cs="Arial"/>
          <w:color w:val="000000" w:themeColor="text1"/>
          <w:sz w:val="21"/>
          <w:szCs w:val="21"/>
          <w:lang w:val="es-ES"/>
        </w:rPr>
      </w:pPr>
    </w:p>
    <w:p w14:paraId="30E5EE7F" w14:textId="29AA8DB9" w:rsidR="00085D03" w:rsidRPr="002F1DBA" w:rsidRDefault="00085D03" w:rsidP="00085D03">
      <w:pPr>
        <w:spacing w:after="0" w:line="276" w:lineRule="auto"/>
        <w:ind w:firstLine="567"/>
        <w:jc w:val="both"/>
        <w:rPr>
          <w:rFonts w:ascii="Arial" w:eastAsia="Times New Roman" w:hAnsi="Arial" w:cs="Arial"/>
          <w:color w:val="000000" w:themeColor="text1"/>
          <w:lang w:val="es-ES" w:eastAsia="es-ES_tradnl"/>
        </w:rPr>
      </w:pPr>
      <w:r w:rsidRPr="002F1DBA">
        <w:rPr>
          <w:rFonts w:ascii="Arial" w:eastAsia="Times New Roman" w:hAnsi="Arial" w:cs="Arial"/>
          <w:color w:val="000000" w:themeColor="text1"/>
          <w:lang w:val="es-MX" w:eastAsia="es-ES_tradnl"/>
        </w:rPr>
        <w:t>El Decreto 392 de 2018, en desarrollo del artículo 13 de la Ley 1618 de 2013, determinó que en los procesos de selección referidos se otorgaría el uno por ciento (1%) de los puntos establecidos en el pliego de condiciones a aquellos proponentes que acreditaran: i) el número total de trabajadores vinculados a la planta de personal; y, ii) la vinculación de, por lo menos, el número mínimo exigido de trabajadores con discapacidad</w:t>
      </w:r>
      <w:r w:rsidRPr="002F1DBA">
        <w:rPr>
          <w:rFonts w:ascii="Arial" w:eastAsia="Times New Roman" w:hAnsi="Arial" w:cs="Arial"/>
          <w:color w:val="000000" w:themeColor="text1"/>
          <w:lang w:val="es-ES" w:eastAsia="es-ES_tradnl"/>
        </w:rPr>
        <w:t xml:space="preserve">.  </w:t>
      </w:r>
    </w:p>
    <w:p w14:paraId="1FD737A1" w14:textId="77777777" w:rsidR="00085D03" w:rsidRPr="002F1DBA" w:rsidRDefault="00085D03" w:rsidP="00085D03">
      <w:pPr>
        <w:spacing w:after="0" w:line="276" w:lineRule="auto"/>
        <w:ind w:firstLine="567"/>
        <w:jc w:val="both"/>
        <w:rPr>
          <w:rFonts w:ascii="Arial" w:eastAsia="Times New Roman" w:hAnsi="Arial" w:cs="Arial"/>
          <w:color w:val="000000" w:themeColor="text1"/>
          <w:lang w:val="es-ES" w:eastAsia="es-ES_tradnl"/>
        </w:rPr>
      </w:pPr>
    </w:p>
    <w:p w14:paraId="794A1DA1" w14:textId="03D8B67F" w:rsidR="00E640C4" w:rsidRPr="002F1DBA" w:rsidRDefault="00085D03" w:rsidP="00E640C4">
      <w:pPr>
        <w:spacing w:after="0" w:line="276" w:lineRule="auto"/>
        <w:ind w:firstLine="709"/>
        <w:jc w:val="both"/>
        <w:rPr>
          <w:rFonts w:ascii="Arial" w:hAnsi="Arial" w:cs="Arial"/>
          <w:color w:val="000000" w:themeColor="text1"/>
          <w:lang w:val="es-ES"/>
        </w:rPr>
      </w:pPr>
      <w:r w:rsidRPr="002F1DBA">
        <w:rPr>
          <w:rFonts w:ascii="Arial" w:eastAsia="Calibri" w:hAnsi="Arial" w:cs="Arial"/>
          <w:color w:val="000000" w:themeColor="text1"/>
          <w:lang w:val="es-ES" w:eastAsia="en-GB"/>
        </w:rPr>
        <w:t>Ahora bien, el parágrafo del artículo 2.2.1.2.4.6 del Decreto 1082 de 2019, adicionado por el artículo primero del Decreto 392</w:t>
      </w:r>
      <w:r w:rsidRPr="002F1DBA">
        <w:rPr>
          <w:rFonts w:ascii="Arial" w:hAnsi="Arial" w:cs="Arial"/>
          <w:color w:val="000000" w:themeColor="text1"/>
          <w:lang w:val="es-ES"/>
        </w:rPr>
        <w:t xml:space="preserve"> de 2018, </w:t>
      </w:r>
      <w:r w:rsidR="004342B9" w:rsidRPr="002F1DBA">
        <w:rPr>
          <w:rFonts w:ascii="Arial" w:hAnsi="Arial" w:cs="Arial"/>
          <w:color w:val="000000" w:themeColor="text1"/>
          <w:lang w:val="es-ES"/>
        </w:rPr>
        <w:t>condicionó la postulación de los</w:t>
      </w:r>
      <w:r w:rsidRPr="002F1DBA">
        <w:rPr>
          <w:rFonts w:ascii="Arial" w:hAnsi="Arial" w:cs="Arial"/>
          <w:color w:val="000000" w:themeColor="text1"/>
          <w:lang w:val="es-ES"/>
        </w:rPr>
        <w:t xml:space="preserve"> proponentes plurales</w:t>
      </w:r>
      <w:r w:rsidR="004342B9" w:rsidRPr="002F1DBA">
        <w:rPr>
          <w:rFonts w:ascii="Arial" w:hAnsi="Arial" w:cs="Arial"/>
          <w:color w:val="000000" w:themeColor="text1"/>
          <w:lang w:val="es-ES"/>
        </w:rPr>
        <w:t>. P</w:t>
      </w:r>
      <w:r w:rsidRPr="002F1DBA">
        <w:rPr>
          <w:rFonts w:ascii="Arial" w:hAnsi="Arial" w:cs="Arial"/>
          <w:color w:val="000000" w:themeColor="text1"/>
          <w:lang w:val="es-ES"/>
        </w:rPr>
        <w:t xml:space="preserve">ara que la oferta presentada </w:t>
      </w:r>
      <w:r w:rsidR="004342B9" w:rsidRPr="002F1DBA">
        <w:rPr>
          <w:rFonts w:ascii="Arial" w:hAnsi="Arial" w:cs="Arial"/>
          <w:color w:val="000000" w:themeColor="text1"/>
          <w:lang w:val="es-ES"/>
        </w:rPr>
        <w:t xml:space="preserve">por proponentes plurales </w:t>
      </w:r>
      <w:r w:rsidRPr="002F1DBA">
        <w:rPr>
          <w:rFonts w:ascii="Arial" w:hAnsi="Arial" w:cs="Arial"/>
          <w:color w:val="000000" w:themeColor="text1"/>
          <w:lang w:val="es-ES"/>
        </w:rPr>
        <w:t xml:space="preserve">obtenga el puntaje adicional por vinculación de trabajadores con discapacidad, deberá tomarse en cuenta la acreditación del integrante que aporte como mínimo el cuarenta por ciento (40%) de la experiencia requerida en el proceso de contratación. </w:t>
      </w:r>
    </w:p>
    <w:p w14:paraId="4586CF83" w14:textId="77777777" w:rsidR="00085D03" w:rsidRPr="002F1DBA" w:rsidRDefault="00085D03" w:rsidP="002F1DBA">
      <w:pPr>
        <w:shd w:val="clear" w:color="auto" w:fill="FFFFFF"/>
        <w:spacing w:after="0" w:line="240" w:lineRule="auto"/>
        <w:ind w:right="709"/>
        <w:jc w:val="both"/>
        <w:rPr>
          <w:rFonts w:ascii="Arial" w:eastAsia="Calibri" w:hAnsi="Arial" w:cs="Arial"/>
          <w:color w:val="000000" w:themeColor="text1"/>
          <w:sz w:val="21"/>
          <w:szCs w:val="21"/>
          <w:lang w:val="es-ES"/>
        </w:rPr>
      </w:pPr>
    </w:p>
    <w:p w14:paraId="5FD3A43D" w14:textId="51DAF126" w:rsidR="00085D03" w:rsidRPr="002F1DBA" w:rsidRDefault="00085D03" w:rsidP="00085D03">
      <w:pPr>
        <w:spacing w:after="0" w:line="276" w:lineRule="auto"/>
        <w:ind w:firstLine="708"/>
        <w:jc w:val="both"/>
        <w:rPr>
          <w:rFonts w:ascii="Arial" w:eastAsia="Calibri" w:hAnsi="Arial" w:cs="Arial"/>
          <w:color w:val="000000" w:themeColor="text1"/>
          <w:lang w:val="es-ES"/>
        </w:rPr>
      </w:pPr>
      <w:r w:rsidRPr="002F1DBA">
        <w:rPr>
          <w:rFonts w:ascii="Arial" w:hAnsi="Arial" w:cs="Arial"/>
          <w:color w:val="000000" w:themeColor="text1"/>
        </w:rPr>
        <w:t xml:space="preserve">En consideración a que </w:t>
      </w:r>
      <w:r w:rsidRPr="002F1DBA">
        <w:rPr>
          <w:rFonts w:ascii="Arial" w:eastAsia="Calibri" w:hAnsi="Arial" w:cs="Arial"/>
          <w:color w:val="000000" w:themeColor="text1"/>
          <w:lang w:val="es-ES"/>
        </w:rPr>
        <w:t xml:space="preserve">el artículo 2.2.1.2.4.2.6 del Decreto 1082 de 2015 aplica en los procedimientos de contratación regulados en los numerales 1 y 3 del artículo 2 de la Ley 1150 de 2007, esto es, en </w:t>
      </w:r>
      <w:r w:rsidRPr="002F1DBA">
        <w:rPr>
          <w:rFonts w:ascii="Arial" w:eastAsia="Times New Roman" w:hAnsi="Arial" w:cs="Arial"/>
          <w:color w:val="000000" w:themeColor="text1"/>
          <w:lang w:val="es-MX" w:eastAsia="es-CO"/>
        </w:rPr>
        <w:t>los procesos de licitaciones públicas y concursos de méritos</w:t>
      </w:r>
      <w:r w:rsidRPr="002F1DBA">
        <w:rPr>
          <w:rFonts w:ascii="Arial" w:eastAsia="Calibri" w:hAnsi="Arial" w:cs="Arial"/>
          <w:color w:val="000000" w:themeColor="text1"/>
          <w:lang w:val="es-ES"/>
        </w:rPr>
        <w:t>, el puntaje adicional para los proponentes con trabajadores en situación de discapacidad debe evaluarse obligatoriamente en los «Documentos Tipo – Versión 3» de licitación para obras públicas de infraestructura de transporte</w:t>
      </w:r>
      <w:r w:rsidR="004342B9" w:rsidRPr="002F1DBA">
        <w:rPr>
          <w:rFonts w:ascii="Arial" w:eastAsia="Calibri" w:hAnsi="Arial" w:cs="Arial"/>
          <w:color w:val="000000" w:themeColor="text1"/>
          <w:lang w:val="es-ES"/>
        </w:rPr>
        <w:t xml:space="preserve">. Este documento </w:t>
      </w:r>
      <w:r w:rsidRPr="002F1DBA">
        <w:rPr>
          <w:rFonts w:ascii="Arial" w:eastAsia="Calibri" w:hAnsi="Arial" w:cs="Arial"/>
          <w:color w:val="000000" w:themeColor="text1"/>
          <w:lang w:val="es-ES"/>
        </w:rPr>
        <w:t>establece lo siguiente en el apartado 4.4 para el caso de los proponentes plurales:</w:t>
      </w:r>
    </w:p>
    <w:p w14:paraId="55509538" w14:textId="77777777" w:rsidR="00085D03" w:rsidRPr="002F1DBA" w:rsidRDefault="00085D03" w:rsidP="00085D03">
      <w:pPr>
        <w:spacing w:after="0" w:line="276" w:lineRule="auto"/>
        <w:jc w:val="both"/>
        <w:rPr>
          <w:rFonts w:ascii="Arial" w:eastAsia="Calibri" w:hAnsi="Arial" w:cs="Arial"/>
          <w:color w:val="000000" w:themeColor="text1"/>
          <w:lang w:val="es-ES"/>
        </w:rPr>
      </w:pPr>
    </w:p>
    <w:p w14:paraId="0F79761D" w14:textId="77777777" w:rsidR="00085D03" w:rsidRPr="002F1DBA" w:rsidRDefault="00085D03" w:rsidP="00085D03">
      <w:pPr>
        <w:pStyle w:val="Ttulo2"/>
        <w:numPr>
          <w:ilvl w:val="1"/>
          <w:numId w:val="3"/>
        </w:numPr>
        <w:ind w:right="709"/>
        <w:rPr>
          <w:sz w:val="21"/>
          <w:szCs w:val="21"/>
        </w:rPr>
      </w:pPr>
      <w:r w:rsidRPr="002F1DBA">
        <w:rPr>
          <w:caps w:val="0"/>
          <w:sz w:val="21"/>
          <w:szCs w:val="21"/>
        </w:rPr>
        <w:t>VINCULACIÓN DE PERSONAS CON DISCAPACIDAD</w:t>
      </w:r>
    </w:p>
    <w:p w14:paraId="41B4F82C" w14:textId="77777777" w:rsidR="00085D03" w:rsidRPr="002F1DBA" w:rsidRDefault="00085D03" w:rsidP="00085D03">
      <w:pPr>
        <w:spacing w:after="120" w:line="276" w:lineRule="auto"/>
        <w:ind w:firstLine="708"/>
        <w:jc w:val="both"/>
        <w:rPr>
          <w:rFonts w:ascii="Arial" w:eastAsia="Times New Roman" w:hAnsi="Arial" w:cs="Arial"/>
          <w:color w:val="000000"/>
          <w:sz w:val="21"/>
          <w:szCs w:val="21"/>
          <w:lang w:eastAsia="es-MX"/>
        </w:rPr>
      </w:pPr>
      <w:r w:rsidRPr="002F1DBA">
        <w:rPr>
          <w:rFonts w:ascii="Arial" w:eastAsia="Times New Roman" w:hAnsi="Arial" w:cs="Arial"/>
          <w:color w:val="000000" w:themeColor="text1"/>
          <w:sz w:val="21"/>
          <w:szCs w:val="21"/>
          <w:lang w:val="es-ES" w:eastAsia="es-ES_tradnl"/>
        </w:rPr>
        <w:t>[</w:t>
      </w:r>
      <w:r w:rsidRPr="002F1DBA">
        <w:rPr>
          <w:rFonts w:ascii="Arial" w:eastAsia="Times New Roman" w:hAnsi="Arial" w:cs="Arial"/>
          <w:color w:val="000000"/>
          <w:sz w:val="21"/>
          <w:szCs w:val="21"/>
          <w:lang w:eastAsia="es-MX"/>
        </w:rPr>
        <w:t>…]</w:t>
      </w:r>
    </w:p>
    <w:p w14:paraId="56A18E51" w14:textId="77777777" w:rsidR="00085D03" w:rsidRPr="002F1DBA" w:rsidRDefault="00085D03" w:rsidP="00085D03">
      <w:pPr>
        <w:spacing w:after="120" w:line="240" w:lineRule="auto"/>
        <w:ind w:left="708" w:right="709"/>
        <w:jc w:val="both"/>
        <w:rPr>
          <w:rFonts w:ascii="Arial" w:eastAsia="Times New Roman" w:hAnsi="Arial" w:cs="Arial"/>
          <w:color w:val="000000"/>
          <w:sz w:val="21"/>
          <w:szCs w:val="21"/>
          <w:lang w:eastAsia="es-MX"/>
        </w:rPr>
      </w:pPr>
      <w:r w:rsidRPr="002F1DBA">
        <w:rPr>
          <w:rFonts w:ascii="Arial" w:eastAsia="Times New Roman" w:hAnsi="Arial" w:cs="Arial"/>
          <w:color w:val="000000"/>
          <w:sz w:val="21"/>
          <w:szCs w:val="21"/>
          <w:lang w:eastAsia="es-MX"/>
        </w:rPr>
        <w:t>Para</w:t>
      </w:r>
      <w:r w:rsidRPr="002F1DBA">
        <w:rPr>
          <w:rFonts w:ascii="Arial" w:eastAsia="Times New Roman" w:hAnsi="Arial" w:cs="Arial"/>
          <w:color w:val="000000" w:themeColor="text1"/>
          <w:sz w:val="21"/>
          <w:szCs w:val="21"/>
          <w:lang w:val="es-ES" w:eastAsia="es-ES_tradnl"/>
        </w:rPr>
        <w:t xml:space="preserve">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w:t>
      </w:r>
      <w:r w:rsidRPr="002F1DBA">
        <w:rPr>
          <w:rFonts w:ascii="Arial" w:eastAsia="Times New Roman" w:hAnsi="Arial" w:cs="Arial"/>
          <w:color w:val="000000"/>
          <w:sz w:val="21"/>
          <w:szCs w:val="21"/>
          <w:lang w:eastAsia="es-MX"/>
        </w:rPr>
        <w:t>ia es general o específica.</w:t>
      </w:r>
    </w:p>
    <w:p w14:paraId="0EDDAD91" w14:textId="77777777" w:rsidR="00085D03" w:rsidRPr="002F1DBA" w:rsidRDefault="00085D03" w:rsidP="00085D03">
      <w:pPr>
        <w:spacing w:after="0" w:line="276" w:lineRule="auto"/>
        <w:ind w:firstLine="708"/>
        <w:jc w:val="both"/>
        <w:rPr>
          <w:rFonts w:ascii="Arial" w:eastAsia="Times New Roman" w:hAnsi="Arial" w:cs="Arial"/>
          <w:color w:val="000000"/>
          <w:sz w:val="21"/>
          <w:szCs w:val="21"/>
          <w:lang w:eastAsia="es-MX"/>
        </w:rPr>
      </w:pPr>
      <w:r w:rsidRPr="002F1DBA">
        <w:rPr>
          <w:rFonts w:ascii="Arial" w:eastAsia="Times New Roman" w:hAnsi="Arial" w:cs="Arial"/>
          <w:color w:val="000000"/>
          <w:sz w:val="21"/>
          <w:szCs w:val="21"/>
          <w:lang w:eastAsia="es-MX"/>
        </w:rPr>
        <w:lastRenderedPageBreak/>
        <w:t>[…]</w:t>
      </w:r>
    </w:p>
    <w:p w14:paraId="69585BFB" w14:textId="77777777" w:rsidR="00085D03" w:rsidRPr="002F1DBA" w:rsidRDefault="00085D03" w:rsidP="00085D03">
      <w:pPr>
        <w:spacing w:after="0" w:line="276" w:lineRule="auto"/>
        <w:ind w:left="1083"/>
        <w:contextualSpacing/>
        <w:jc w:val="both"/>
        <w:rPr>
          <w:rFonts w:ascii="Arial" w:eastAsia="Times New Roman" w:hAnsi="Arial" w:cs="Arial"/>
          <w:color w:val="000000" w:themeColor="text1"/>
          <w:lang w:val="es-ES" w:eastAsia="es-ES_tradnl"/>
        </w:rPr>
      </w:pPr>
    </w:p>
    <w:p w14:paraId="00F81B03" w14:textId="7FBF03A3" w:rsidR="00085D03" w:rsidRPr="002F1DBA" w:rsidRDefault="00085D03" w:rsidP="00085D03">
      <w:pPr>
        <w:spacing w:after="120" w:line="276" w:lineRule="auto"/>
        <w:ind w:firstLine="708"/>
        <w:jc w:val="both"/>
        <w:rPr>
          <w:rFonts w:ascii="Arial" w:eastAsia="Times New Roman" w:hAnsi="Arial" w:cs="Arial"/>
          <w:color w:val="000000"/>
          <w:szCs w:val="24"/>
          <w:lang w:eastAsia="es-MX"/>
        </w:rPr>
      </w:pPr>
      <w:r w:rsidRPr="002F1DBA">
        <w:rPr>
          <w:rFonts w:ascii="Arial" w:eastAsia="Times New Roman" w:hAnsi="Arial" w:cs="Arial"/>
          <w:color w:val="000000"/>
          <w:szCs w:val="24"/>
          <w:lang w:eastAsia="es-MX"/>
        </w:rPr>
        <w:t xml:space="preserve">Esto significa que </w:t>
      </w:r>
      <w:r w:rsidR="004342B9" w:rsidRPr="002F1DBA">
        <w:rPr>
          <w:rFonts w:ascii="Arial" w:eastAsia="Times New Roman" w:hAnsi="Arial" w:cs="Arial"/>
          <w:color w:val="000000"/>
          <w:szCs w:val="24"/>
          <w:lang w:eastAsia="es-MX"/>
        </w:rPr>
        <w:t>en caso de tratarse de una</w:t>
      </w:r>
      <w:r w:rsidRPr="002F1DBA">
        <w:rPr>
          <w:rFonts w:ascii="Arial" w:eastAsia="Times New Roman" w:hAnsi="Arial" w:cs="Arial"/>
          <w:color w:val="000000"/>
          <w:szCs w:val="24"/>
          <w:lang w:eastAsia="es-MX"/>
        </w:rPr>
        <w:t xml:space="preserve"> estructura plural</w:t>
      </w:r>
      <w:r w:rsidR="004342B9" w:rsidRPr="002F1DBA">
        <w:rPr>
          <w:rFonts w:ascii="Arial" w:eastAsia="Times New Roman" w:hAnsi="Arial" w:cs="Arial"/>
          <w:color w:val="000000"/>
          <w:szCs w:val="24"/>
          <w:lang w:eastAsia="es-MX"/>
        </w:rPr>
        <w:t xml:space="preserve">, los requisitos de puntaje adicional deberán ser acreditados por el integrante cuyo </w:t>
      </w:r>
      <w:r w:rsidRPr="002F1DBA">
        <w:rPr>
          <w:rFonts w:ascii="Arial" w:eastAsia="Times New Roman" w:hAnsi="Arial" w:cs="Arial"/>
          <w:color w:val="000000"/>
          <w:szCs w:val="24"/>
          <w:lang w:eastAsia="es-MX"/>
        </w:rPr>
        <w:t xml:space="preserve">aporte </w:t>
      </w:r>
      <w:r w:rsidR="004342B9" w:rsidRPr="002F1DBA">
        <w:rPr>
          <w:rFonts w:ascii="Arial" w:eastAsia="Times New Roman" w:hAnsi="Arial" w:cs="Arial"/>
          <w:color w:val="000000"/>
          <w:szCs w:val="24"/>
          <w:lang w:eastAsia="es-MX"/>
        </w:rPr>
        <w:t xml:space="preserve">a la experiencia requerida sea de </w:t>
      </w:r>
      <w:r w:rsidRPr="002F1DBA">
        <w:rPr>
          <w:rFonts w:ascii="Arial" w:eastAsia="Times New Roman" w:hAnsi="Arial" w:cs="Arial"/>
          <w:color w:val="000000"/>
          <w:szCs w:val="24"/>
          <w:lang w:eastAsia="es-MX"/>
        </w:rPr>
        <w:t xml:space="preserve">más del cuarenta por ciento </w:t>
      </w:r>
      <w:r w:rsidR="007D3117" w:rsidRPr="002F1DBA">
        <w:rPr>
          <w:rFonts w:ascii="Arial" w:eastAsia="Times New Roman" w:hAnsi="Arial" w:cs="Arial"/>
          <w:color w:val="000000"/>
          <w:szCs w:val="24"/>
          <w:lang w:eastAsia="es-MX"/>
        </w:rPr>
        <w:t>(</w:t>
      </w:r>
      <w:r w:rsidRPr="002F1DBA">
        <w:rPr>
          <w:rFonts w:ascii="Arial" w:eastAsia="Times New Roman" w:hAnsi="Arial" w:cs="Arial"/>
          <w:color w:val="000000"/>
          <w:szCs w:val="24"/>
          <w:lang w:eastAsia="es-MX"/>
        </w:rPr>
        <w:t>40%</w:t>
      </w:r>
      <w:r w:rsidR="007D3117" w:rsidRPr="002F1DBA">
        <w:rPr>
          <w:rFonts w:ascii="Arial" w:eastAsia="Times New Roman" w:hAnsi="Arial" w:cs="Arial"/>
          <w:color w:val="000000"/>
          <w:szCs w:val="24"/>
          <w:lang w:eastAsia="es-MX"/>
        </w:rPr>
        <w:t>)</w:t>
      </w:r>
      <w:r w:rsidRPr="002F1DBA">
        <w:rPr>
          <w:rFonts w:ascii="Arial" w:eastAsia="Times New Roman" w:hAnsi="Arial" w:cs="Arial"/>
          <w:color w:val="000000"/>
          <w:szCs w:val="24"/>
          <w:lang w:eastAsia="es-MX"/>
        </w:rPr>
        <w:t xml:space="preserve">. </w:t>
      </w:r>
    </w:p>
    <w:p w14:paraId="103E89D7" w14:textId="2F6D9553" w:rsidR="007D3117" w:rsidRPr="002F1DBA" w:rsidRDefault="00085D03" w:rsidP="00085D03">
      <w:pPr>
        <w:spacing w:after="120" w:line="276" w:lineRule="auto"/>
        <w:ind w:firstLine="708"/>
        <w:jc w:val="both"/>
        <w:rPr>
          <w:rFonts w:ascii="Arial" w:eastAsia="Times New Roman" w:hAnsi="Arial" w:cs="Arial"/>
          <w:color w:val="000000"/>
          <w:szCs w:val="24"/>
          <w:lang w:eastAsia="es-MX"/>
        </w:rPr>
      </w:pPr>
      <w:r w:rsidRPr="002F1DBA">
        <w:rPr>
          <w:rFonts w:ascii="Arial" w:eastAsia="Times New Roman" w:hAnsi="Arial" w:cs="Arial"/>
          <w:color w:val="000000"/>
          <w:szCs w:val="24"/>
          <w:lang w:eastAsia="es-MX"/>
        </w:rPr>
        <w:t xml:space="preserve">En ese orden, </w:t>
      </w:r>
      <w:r w:rsidR="007D3117" w:rsidRPr="002F1DBA">
        <w:rPr>
          <w:rFonts w:ascii="Arial" w:eastAsia="Times New Roman" w:hAnsi="Arial" w:cs="Arial"/>
          <w:color w:val="000000"/>
          <w:szCs w:val="24"/>
          <w:lang w:eastAsia="es-MX"/>
        </w:rPr>
        <w:t xml:space="preserve">el 40% al que hacer referencia el artículo no implica un requisito extra para optar por el puntaje adicional, sino una instrucción frente a cuál de los integrantes del proponente plural </w:t>
      </w:r>
      <w:r w:rsidR="004342B9" w:rsidRPr="002F1DBA">
        <w:rPr>
          <w:rFonts w:ascii="Arial" w:eastAsia="Times New Roman" w:hAnsi="Arial" w:cs="Arial"/>
          <w:color w:val="000000"/>
          <w:szCs w:val="24"/>
          <w:lang w:eastAsia="es-MX"/>
        </w:rPr>
        <w:t xml:space="preserve">estará habitado </w:t>
      </w:r>
      <w:r w:rsidR="007D3117" w:rsidRPr="002F1DBA">
        <w:rPr>
          <w:rFonts w:ascii="Arial" w:eastAsia="Times New Roman" w:hAnsi="Arial" w:cs="Arial"/>
          <w:color w:val="000000"/>
          <w:szCs w:val="24"/>
          <w:lang w:eastAsia="es-MX"/>
        </w:rPr>
        <w:t>para demostrar el número de trabajadores con discapacidad. Al margen de si se subsana o no la experiencia requerida, es el integrante del proponente plural que aporte más del 40% quien deberá demostrar los requisitos para optar por el puntaje adicional.</w:t>
      </w:r>
      <w:r w:rsidRPr="002F1DBA">
        <w:rPr>
          <w:rFonts w:ascii="Arial" w:eastAsia="Times New Roman" w:hAnsi="Arial" w:cs="Arial"/>
          <w:color w:val="000000"/>
          <w:szCs w:val="24"/>
          <w:lang w:eastAsia="es-MX"/>
        </w:rPr>
        <w:t xml:space="preserve"> </w:t>
      </w:r>
      <w:r w:rsidR="007D3117" w:rsidRPr="002F1DBA">
        <w:rPr>
          <w:rFonts w:ascii="Arial" w:eastAsia="Times New Roman" w:hAnsi="Arial" w:cs="Arial"/>
          <w:color w:val="000000"/>
          <w:szCs w:val="24"/>
          <w:lang w:eastAsia="es-MX"/>
        </w:rPr>
        <w:t>Así, lo que no es susceptible de ser subsanado será el número mínimo de trabajadores de que trata el artículo 2.2.1.2.4.2.6.</w:t>
      </w:r>
    </w:p>
    <w:p w14:paraId="11385393" w14:textId="77777777" w:rsidR="00085D03" w:rsidRPr="002F1DBA" w:rsidRDefault="00085D03" w:rsidP="00085D03">
      <w:pPr>
        <w:spacing w:after="0" w:line="276" w:lineRule="auto"/>
        <w:jc w:val="both"/>
        <w:rPr>
          <w:rFonts w:ascii="Arial" w:eastAsia="Calibri" w:hAnsi="Arial" w:cs="Arial"/>
          <w:color w:val="000000" w:themeColor="text1"/>
          <w:lang w:val="es-ES"/>
        </w:rPr>
      </w:pPr>
    </w:p>
    <w:p w14:paraId="38EADE48" w14:textId="77777777" w:rsidR="00085D03" w:rsidRPr="002F1DBA" w:rsidRDefault="00085D03" w:rsidP="00085D03">
      <w:pPr>
        <w:spacing w:after="120" w:line="276" w:lineRule="auto"/>
        <w:jc w:val="both"/>
        <w:rPr>
          <w:color w:val="000000" w:themeColor="text1"/>
          <w:sz w:val="24"/>
          <w:lang w:val="es-ES_tradnl"/>
        </w:rPr>
      </w:pPr>
      <w:r w:rsidRPr="002F1DBA">
        <w:rPr>
          <w:rFonts w:ascii="Arial" w:eastAsia="Times New Roman" w:hAnsi="Arial" w:cs="Arial"/>
          <w:color w:val="000000" w:themeColor="text1"/>
          <w:lang w:val="es-ES" w:eastAsia="es-ES_tradnl"/>
        </w:rPr>
        <w:t>Este concepto tiene el alcance previsto en el artículo 28 del Código de Procedimiento Administrativo y de lo Contencioso Administrativo.</w:t>
      </w:r>
    </w:p>
    <w:p w14:paraId="255E4C9F" w14:textId="77777777" w:rsidR="00085D03" w:rsidRPr="002F1DBA" w:rsidRDefault="00085D03" w:rsidP="00085D03">
      <w:pPr>
        <w:tabs>
          <w:tab w:val="left" w:pos="426"/>
        </w:tabs>
        <w:spacing w:before="120" w:after="0" w:line="276" w:lineRule="auto"/>
        <w:jc w:val="both"/>
        <w:rPr>
          <w:rFonts w:ascii="Arial" w:eastAsia="Times New Roman" w:hAnsi="Arial" w:cs="Arial"/>
          <w:color w:val="000000" w:themeColor="text1"/>
          <w:lang w:val="es-ES" w:eastAsia="es-ES_tradnl"/>
        </w:rPr>
      </w:pPr>
    </w:p>
    <w:p w14:paraId="2DAE28C9" w14:textId="77777777" w:rsidR="00085D03" w:rsidRPr="002F1DBA" w:rsidRDefault="00085D03" w:rsidP="00085D03">
      <w:pPr>
        <w:tabs>
          <w:tab w:val="left" w:pos="426"/>
        </w:tabs>
        <w:spacing w:before="120" w:after="0" w:line="276" w:lineRule="auto"/>
        <w:jc w:val="both"/>
        <w:rPr>
          <w:rFonts w:ascii="Arial" w:eastAsia="Times New Roman" w:hAnsi="Arial" w:cs="Arial"/>
          <w:color w:val="000000" w:themeColor="text1"/>
          <w:lang w:val="es-ES" w:eastAsia="es-ES"/>
        </w:rPr>
      </w:pPr>
      <w:r w:rsidRPr="002F1DBA">
        <w:rPr>
          <w:rFonts w:ascii="Arial" w:eastAsia="Times New Roman" w:hAnsi="Arial" w:cs="Arial"/>
          <w:color w:val="000000" w:themeColor="text1"/>
          <w:lang w:val="es-ES" w:eastAsia="es-ES"/>
        </w:rPr>
        <w:t>Atentamente,</w:t>
      </w:r>
      <w:bookmarkEnd w:id="0"/>
      <w:bookmarkEnd w:id="1"/>
    </w:p>
    <w:p w14:paraId="0D5F6344" w14:textId="77777777" w:rsidR="00085D03" w:rsidRPr="002F1DBA" w:rsidRDefault="00085D03" w:rsidP="00085D03">
      <w:pPr>
        <w:tabs>
          <w:tab w:val="left" w:pos="426"/>
        </w:tabs>
        <w:spacing w:before="120" w:after="0" w:line="276" w:lineRule="auto"/>
        <w:jc w:val="both"/>
        <w:rPr>
          <w:rFonts w:ascii="Arial" w:eastAsia="Times New Roman" w:hAnsi="Arial" w:cs="Arial"/>
          <w:color w:val="000000" w:themeColor="text1"/>
          <w:lang w:val="es-ES" w:eastAsia="es-ES"/>
        </w:rPr>
      </w:pPr>
    </w:p>
    <w:p w14:paraId="5B47EA5C" w14:textId="6A7CA02A" w:rsidR="00085D03" w:rsidRPr="002F1DBA" w:rsidRDefault="002F1DBA" w:rsidP="00085D03">
      <w:pPr>
        <w:jc w:val="center"/>
        <w:rPr>
          <w:rFonts w:ascii="Geomanist Light" w:eastAsia="Times New Roman" w:hAnsi="Geomanist Light" w:cs="Arial"/>
          <w:lang w:eastAsia="es-CO"/>
        </w:rPr>
      </w:pPr>
      <w:r>
        <w:rPr>
          <w:noProof/>
        </w:rPr>
        <w:drawing>
          <wp:inline distT="0" distB="0" distL="0" distR="0" wp14:anchorId="4A1962FE" wp14:editId="4AF78E27">
            <wp:extent cx="2775006" cy="1064730"/>
            <wp:effectExtent l="0" t="0" r="6350" b="2540"/>
            <wp:docPr id="6" name="Picture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85D03" w:rsidRPr="002F1DBA" w14:paraId="40E04F17" w14:textId="77777777" w:rsidTr="0082420E">
        <w:trPr>
          <w:trHeight w:val="315"/>
        </w:trPr>
        <w:tc>
          <w:tcPr>
            <w:tcW w:w="812" w:type="dxa"/>
            <w:vAlign w:val="center"/>
          </w:tcPr>
          <w:p w14:paraId="70F6C34E" w14:textId="77777777" w:rsidR="00085D03" w:rsidRPr="002F1DBA" w:rsidRDefault="00085D03" w:rsidP="0082420E">
            <w:pPr>
              <w:spacing w:after="0"/>
              <w:rPr>
                <w:rFonts w:ascii="Geomanist Light" w:eastAsia="Times New Roman" w:hAnsi="Geomanist Light" w:cs="Arial"/>
                <w:sz w:val="16"/>
                <w:szCs w:val="16"/>
                <w:lang w:eastAsia="es-ES"/>
              </w:rPr>
            </w:pPr>
            <w:r w:rsidRPr="002F1DBA">
              <w:rPr>
                <w:rFonts w:ascii="Geomanist Light" w:eastAsia="Times New Roman" w:hAnsi="Geomanist Light" w:cs="Arial"/>
                <w:sz w:val="16"/>
                <w:szCs w:val="16"/>
                <w:lang w:eastAsia="es-ES"/>
              </w:rPr>
              <w:t>Elaboró:</w:t>
            </w:r>
          </w:p>
        </w:tc>
        <w:tc>
          <w:tcPr>
            <w:tcW w:w="4413" w:type="dxa"/>
            <w:tcBorders>
              <w:bottom w:val="dotted" w:sz="4" w:space="0" w:color="7F7F7F" w:themeColor="text1" w:themeTint="80"/>
            </w:tcBorders>
            <w:vAlign w:val="center"/>
          </w:tcPr>
          <w:p w14:paraId="45AF7927" w14:textId="77777777" w:rsidR="00085D03" w:rsidRPr="002F1DBA" w:rsidRDefault="00085D03" w:rsidP="0082420E">
            <w:pPr>
              <w:spacing w:after="0"/>
              <w:rPr>
                <w:rFonts w:ascii="Geomanist Light" w:eastAsia="Times New Roman" w:hAnsi="Geomanist Light" w:cs="Arial"/>
                <w:sz w:val="16"/>
                <w:szCs w:val="16"/>
                <w:lang w:eastAsia="es-ES"/>
              </w:rPr>
            </w:pPr>
            <w:r w:rsidRPr="002F1DBA">
              <w:rPr>
                <w:rFonts w:ascii="Geomanist Light" w:eastAsia="Times New Roman" w:hAnsi="Geomanist Light" w:cs="Arial"/>
                <w:sz w:val="16"/>
                <w:szCs w:val="16"/>
                <w:lang w:eastAsia="es-ES"/>
              </w:rPr>
              <w:t>Juan Carlos Covilla Martínez</w:t>
            </w:r>
          </w:p>
          <w:p w14:paraId="77C7A3B5" w14:textId="77777777" w:rsidR="00085D03" w:rsidRPr="002F1DBA" w:rsidRDefault="00085D03" w:rsidP="0082420E">
            <w:pPr>
              <w:spacing w:after="0"/>
              <w:rPr>
                <w:rFonts w:ascii="Geomanist Light" w:eastAsia="Times New Roman" w:hAnsi="Geomanist Light" w:cs="Arial"/>
                <w:sz w:val="16"/>
                <w:szCs w:val="16"/>
                <w:lang w:eastAsia="es-ES"/>
              </w:rPr>
            </w:pPr>
            <w:r w:rsidRPr="002F1DBA">
              <w:rPr>
                <w:rFonts w:ascii="Geomanist Light" w:eastAsia="Times New Roman" w:hAnsi="Geomanist Light" w:cs="Arial"/>
                <w:sz w:val="16"/>
                <w:szCs w:val="16"/>
                <w:lang w:eastAsia="es-ES"/>
              </w:rPr>
              <w:t xml:space="preserve">Contratista de la Subdirección de Gestión Contractual </w:t>
            </w:r>
          </w:p>
        </w:tc>
      </w:tr>
      <w:tr w:rsidR="00085D03" w:rsidRPr="002F1DBA" w14:paraId="7A3DEA1E" w14:textId="77777777" w:rsidTr="0082420E">
        <w:trPr>
          <w:trHeight w:val="330"/>
        </w:trPr>
        <w:tc>
          <w:tcPr>
            <w:tcW w:w="812" w:type="dxa"/>
            <w:vAlign w:val="center"/>
          </w:tcPr>
          <w:p w14:paraId="7846F467" w14:textId="77777777" w:rsidR="00085D03" w:rsidRPr="002F1DBA" w:rsidRDefault="00085D03" w:rsidP="0082420E">
            <w:pPr>
              <w:spacing w:after="0"/>
              <w:rPr>
                <w:rFonts w:ascii="Geomanist Light" w:eastAsia="Times New Roman" w:hAnsi="Geomanist Light" w:cs="Arial"/>
                <w:sz w:val="16"/>
                <w:szCs w:val="16"/>
                <w:lang w:eastAsia="es-ES"/>
              </w:rPr>
            </w:pPr>
            <w:r w:rsidRPr="002F1DBA">
              <w:rPr>
                <w:rFonts w:ascii="Geomanist Light" w:eastAsia="Times New Roman" w:hAnsi="Geomanist Light"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51B0575" w14:textId="77777777" w:rsidR="00085D03" w:rsidRPr="002F1DBA" w:rsidRDefault="00085D03" w:rsidP="0082420E">
            <w:pPr>
              <w:spacing w:after="0"/>
              <w:rPr>
                <w:rFonts w:ascii="Geomanist Light" w:hAnsi="Geomanist Light" w:cs="Arial"/>
                <w:sz w:val="16"/>
                <w:szCs w:val="16"/>
                <w:lang w:eastAsia="es-ES"/>
              </w:rPr>
            </w:pPr>
            <w:r w:rsidRPr="002F1DBA">
              <w:rPr>
                <w:rFonts w:ascii="Geomanist Light" w:hAnsi="Geomanist Light" w:cs="Arial"/>
                <w:sz w:val="16"/>
                <w:szCs w:val="16"/>
                <w:lang w:eastAsia="es-ES"/>
              </w:rPr>
              <w:t>Alejandro Sarmiento Cantillo</w:t>
            </w:r>
          </w:p>
          <w:p w14:paraId="08AD4508" w14:textId="77777777" w:rsidR="00085D03" w:rsidRPr="002F1DBA" w:rsidRDefault="00085D03" w:rsidP="0082420E">
            <w:pPr>
              <w:spacing w:after="0"/>
              <w:rPr>
                <w:rFonts w:ascii="Geomanist Light" w:eastAsia="Times New Roman" w:hAnsi="Geomanist Light" w:cs="Arial"/>
                <w:sz w:val="16"/>
                <w:szCs w:val="16"/>
                <w:lang w:eastAsia="es-ES"/>
              </w:rPr>
            </w:pPr>
            <w:r w:rsidRPr="002F1DBA">
              <w:rPr>
                <w:rFonts w:ascii="Geomanist Light" w:hAnsi="Geomanist Light" w:cs="Arial"/>
                <w:sz w:val="16"/>
                <w:szCs w:val="16"/>
                <w:lang w:eastAsia="es-ES"/>
              </w:rPr>
              <w:t>Gestor T1-15 de la Subdirección de Gestión Contractual</w:t>
            </w:r>
          </w:p>
        </w:tc>
      </w:tr>
      <w:tr w:rsidR="00085D03" w:rsidRPr="000829C1" w14:paraId="01C5354A" w14:textId="77777777" w:rsidTr="0082420E">
        <w:trPr>
          <w:trHeight w:val="300"/>
        </w:trPr>
        <w:tc>
          <w:tcPr>
            <w:tcW w:w="812" w:type="dxa"/>
            <w:vAlign w:val="center"/>
          </w:tcPr>
          <w:p w14:paraId="344B732A" w14:textId="77777777" w:rsidR="00085D03" w:rsidRPr="002F1DBA" w:rsidRDefault="00085D03" w:rsidP="0082420E">
            <w:pPr>
              <w:spacing w:after="0"/>
              <w:rPr>
                <w:rFonts w:ascii="Geomanist Light" w:eastAsia="Times New Roman" w:hAnsi="Geomanist Light" w:cs="Arial"/>
                <w:sz w:val="16"/>
                <w:szCs w:val="16"/>
                <w:lang w:eastAsia="es-ES"/>
              </w:rPr>
            </w:pPr>
            <w:r w:rsidRPr="002F1DBA">
              <w:rPr>
                <w:rFonts w:ascii="Geomanist Light" w:eastAsia="Times New Roman" w:hAnsi="Geomanist Light"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D8DEC3F" w14:textId="77777777" w:rsidR="00085D03" w:rsidRPr="002F1DBA" w:rsidRDefault="00085D03" w:rsidP="0082420E">
            <w:pPr>
              <w:spacing w:after="0"/>
              <w:rPr>
                <w:rFonts w:ascii="Geomanist Light" w:eastAsia="Calibri" w:hAnsi="Geomanist Light" w:cs="Arial"/>
                <w:sz w:val="16"/>
                <w:szCs w:val="16"/>
                <w:lang w:val="pt-BR" w:eastAsia="es-ES"/>
              </w:rPr>
            </w:pPr>
            <w:r w:rsidRPr="002F1DBA">
              <w:rPr>
                <w:rFonts w:ascii="Geomanist Light" w:eastAsia="Calibri" w:hAnsi="Geomanist Light" w:cs="Arial"/>
                <w:sz w:val="16"/>
                <w:szCs w:val="16"/>
                <w:lang w:val="pt-BR" w:eastAsia="es-ES"/>
              </w:rPr>
              <w:t>Nohelia del Carmen Zawady Palacio</w:t>
            </w:r>
          </w:p>
          <w:p w14:paraId="58AD0C7E" w14:textId="77777777" w:rsidR="00085D03" w:rsidRPr="003C281F" w:rsidRDefault="00085D03" w:rsidP="0082420E">
            <w:pPr>
              <w:spacing w:after="0"/>
              <w:rPr>
                <w:rFonts w:ascii="Geomanist Light" w:eastAsia="Times New Roman" w:hAnsi="Geomanist Light" w:cs="Arial"/>
                <w:sz w:val="16"/>
                <w:szCs w:val="16"/>
                <w:lang w:eastAsia="es-ES"/>
              </w:rPr>
            </w:pPr>
            <w:r w:rsidRPr="002F1DBA">
              <w:rPr>
                <w:rFonts w:ascii="Geomanist Light" w:eastAsia="Calibri" w:hAnsi="Geomanist Light" w:cs="Arial"/>
                <w:sz w:val="16"/>
                <w:szCs w:val="16"/>
                <w:lang w:eastAsia="es-ES"/>
              </w:rPr>
              <w:t>Subdirectora de Gestión Contractual</w:t>
            </w:r>
            <w:r w:rsidRPr="003C281F">
              <w:rPr>
                <w:rFonts w:ascii="Geomanist Light" w:eastAsia="Calibri" w:hAnsi="Geomanist Light" w:cs="Arial"/>
                <w:sz w:val="16"/>
                <w:szCs w:val="16"/>
                <w:lang w:eastAsia="es-ES"/>
              </w:rPr>
              <w:t xml:space="preserve"> </w:t>
            </w:r>
          </w:p>
        </w:tc>
      </w:tr>
    </w:tbl>
    <w:p w14:paraId="75F8AA97" w14:textId="77777777" w:rsidR="00085D03" w:rsidRPr="00085D03" w:rsidRDefault="00085D03" w:rsidP="00085D03">
      <w:pPr>
        <w:spacing w:before="120" w:after="0" w:line="276" w:lineRule="auto"/>
        <w:jc w:val="center"/>
        <w:rPr>
          <w:rFonts w:ascii="Arial" w:eastAsia="Times New Roman" w:hAnsi="Arial" w:cs="Arial"/>
          <w:color w:val="000000" w:themeColor="text1"/>
          <w:sz w:val="18"/>
          <w:szCs w:val="20"/>
          <w:lang w:eastAsia="es-CO"/>
        </w:rPr>
      </w:pPr>
    </w:p>
    <w:bookmarkEnd w:id="2"/>
    <w:p w14:paraId="5FB55AAA" w14:textId="77777777" w:rsidR="00085D03" w:rsidRPr="00725332" w:rsidRDefault="00085D03" w:rsidP="00085D03">
      <w:pPr>
        <w:spacing w:after="0" w:line="240" w:lineRule="auto"/>
        <w:jc w:val="center"/>
        <w:rPr>
          <w:rFonts w:ascii="Arial" w:eastAsia="Times New Roman" w:hAnsi="Arial" w:cs="Arial"/>
          <w:color w:val="000000" w:themeColor="text1"/>
          <w:sz w:val="18"/>
          <w:szCs w:val="20"/>
          <w:lang w:val="es-ES" w:eastAsia="es-CO"/>
        </w:rPr>
      </w:pPr>
    </w:p>
    <w:p w14:paraId="1428AFBB" w14:textId="77777777" w:rsidR="00651A7A" w:rsidRPr="00085D03" w:rsidRDefault="00651A7A" w:rsidP="00085D03">
      <w:pPr>
        <w:rPr>
          <w:lang w:val="es-ES"/>
        </w:rPr>
      </w:pPr>
    </w:p>
    <w:sectPr w:rsidR="00651A7A" w:rsidRPr="00085D03" w:rsidSect="0082420E">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E6DA" w14:textId="77777777" w:rsidR="000F45AA" w:rsidRDefault="000F45AA" w:rsidP="00085D03">
      <w:pPr>
        <w:spacing w:after="0" w:line="240" w:lineRule="auto"/>
      </w:pPr>
      <w:r>
        <w:separator/>
      </w:r>
    </w:p>
  </w:endnote>
  <w:endnote w:type="continuationSeparator" w:id="0">
    <w:p w14:paraId="2C257687" w14:textId="77777777" w:rsidR="000F45AA" w:rsidRDefault="000F45AA" w:rsidP="00085D03">
      <w:pPr>
        <w:spacing w:after="0" w:line="240" w:lineRule="auto"/>
      </w:pPr>
      <w:r>
        <w:continuationSeparator/>
      </w:r>
    </w:p>
  </w:endnote>
  <w:endnote w:type="continuationNotice" w:id="1">
    <w:p w14:paraId="362F0DC3" w14:textId="77777777" w:rsidR="007F1B88" w:rsidRDefault="007F1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eomanist Ligh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AF07" w14:textId="77777777" w:rsidR="0082420E" w:rsidRDefault="0082420E" w:rsidP="0082420E">
    <w:pPr>
      <w:pStyle w:val="Sinespaciado"/>
      <w:jc w:val="right"/>
      <w:rPr>
        <w:rFonts w:ascii="Arial" w:hAnsi="Arial" w:cs="Arial"/>
        <w:sz w:val="18"/>
        <w:szCs w:val="18"/>
      </w:rPr>
    </w:pPr>
  </w:p>
  <w:p w14:paraId="34BCAD29" w14:textId="77777777" w:rsidR="0082420E" w:rsidRDefault="00B65D6E" w:rsidP="0082420E">
    <w:pPr>
      <w:pStyle w:val="Piedepgina"/>
    </w:pPr>
    <w:r>
      <w:rPr>
        <w:noProof/>
        <w:lang w:val="en-US"/>
      </w:rPr>
      <w:drawing>
        <wp:inline distT="0" distB="0" distL="0" distR="0" wp14:anchorId="4D6DD9F0" wp14:editId="0A4EA1A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2420E" w:rsidRPr="00080DA3" w14:paraId="7738B4F6" w14:textId="77777777" w:rsidTr="0082420E">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54BBD0F" w14:textId="77777777" w:rsidR="0082420E" w:rsidRPr="00080DA3" w:rsidRDefault="0082420E" w:rsidP="0082420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5A0C703" w14:textId="77777777" w:rsidR="0082420E" w:rsidRPr="00080DA3" w:rsidRDefault="0082420E" w:rsidP="0082420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3FF7A69" w14:textId="77777777" w:rsidR="0082420E" w:rsidRPr="00080DA3" w:rsidRDefault="0082420E" w:rsidP="0082420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B07CA15" w14:textId="77777777" w:rsidR="0082420E" w:rsidRPr="004B6B0E" w:rsidRDefault="0082420E" w:rsidP="0082420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4E093D1" w14:textId="77777777" w:rsidR="0082420E" w:rsidRPr="00080DA3" w:rsidRDefault="0082420E" w:rsidP="0082420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693B36E" w14:textId="77777777" w:rsidR="0082420E" w:rsidRPr="00080DA3" w:rsidRDefault="0082420E" w:rsidP="0082420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578290" w14:textId="77777777" w:rsidR="0082420E" w:rsidRPr="00080DA3" w:rsidRDefault="0082420E" w:rsidP="0082420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22</w:t>
          </w:r>
          <w:r w:rsidRPr="00080DA3">
            <w:rPr>
              <w:rFonts w:ascii="Geomanist Light" w:hAnsi="Geomanist Light"/>
              <w:b/>
              <w:bCs/>
              <w:sz w:val="18"/>
              <w:szCs w:val="18"/>
            </w:rPr>
            <w:fldChar w:fldCharType="end"/>
          </w:r>
        </w:p>
      </w:tc>
    </w:tr>
  </w:tbl>
  <w:p w14:paraId="55833BB9" w14:textId="77777777" w:rsidR="0082420E" w:rsidRDefault="0082420E" w:rsidP="0082420E">
    <w:pPr>
      <w:pStyle w:val="Piedepgina"/>
      <w:jc w:val="center"/>
    </w:pPr>
  </w:p>
  <w:p w14:paraId="269719E0" w14:textId="77777777" w:rsidR="0082420E" w:rsidRDefault="0082420E" w:rsidP="0082420E">
    <w:pPr>
      <w:pStyle w:val="Piedepgina"/>
      <w:jc w:val="center"/>
      <w:rPr>
        <w:lang w:val="es-ES"/>
      </w:rPr>
    </w:pPr>
  </w:p>
  <w:p w14:paraId="0DC86EE9" w14:textId="77777777" w:rsidR="0082420E" w:rsidRPr="007B0854" w:rsidRDefault="0082420E" w:rsidP="0082420E">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7E4C" w14:textId="77777777" w:rsidR="000F45AA" w:rsidRDefault="000F45AA" w:rsidP="00085D03">
      <w:pPr>
        <w:spacing w:after="0" w:line="240" w:lineRule="auto"/>
      </w:pPr>
      <w:r>
        <w:separator/>
      </w:r>
    </w:p>
  </w:footnote>
  <w:footnote w:type="continuationSeparator" w:id="0">
    <w:p w14:paraId="3CB788EB" w14:textId="77777777" w:rsidR="000F45AA" w:rsidRDefault="000F45AA" w:rsidP="00085D03">
      <w:pPr>
        <w:spacing w:after="0" w:line="240" w:lineRule="auto"/>
      </w:pPr>
      <w:r>
        <w:continuationSeparator/>
      </w:r>
    </w:p>
  </w:footnote>
  <w:footnote w:type="continuationNotice" w:id="1">
    <w:p w14:paraId="4330CBAB" w14:textId="77777777" w:rsidR="007F1B88" w:rsidRDefault="007F1B88">
      <w:pPr>
        <w:spacing w:after="0" w:line="240" w:lineRule="auto"/>
      </w:pPr>
    </w:p>
  </w:footnote>
  <w:footnote w:id="2">
    <w:p w14:paraId="2A1D3FBE" w14:textId="77777777" w:rsidR="00085D03" w:rsidRPr="00F45B51" w:rsidRDefault="00085D03" w:rsidP="00085D03">
      <w:pPr>
        <w:pStyle w:val="Textonotapie"/>
        <w:ind w:firstLine="709"/>
        <w:jc w:val="both"/>
        <w:rPr>
          <w:rFonts w:ascii="Arial" w:hAnsi="Arial" w:cs="Arial"/>
          <w:sz w:val="19"/>
          <w:szCs w:val="19"/>
          <w:lang w:val="es-ES"/>
        </w:rPr>
      </w:pPr>
      <w:r w:rsidRPr="00F45B51">
        <w:rPr>
          <w:rStyle w:val="Refdenotaalpie"/>
          <w:rFonts w:cs="Arial"/>
          <w:sz w:val="19"/>
          <w:szCs w:val="19"/>
        </w:rPr>
        <w:footnoteRef/>
      </w:r>
      <w:r w:rsidRPr="00F45B51">
        <w:rPr>
          <w:rFonts w:ascii="Arial" w:hAnsi="Arial" w:cs="Arial"/>
          <w:sz w:val="19"/>
          <w:szCs w:val="19"/>
        </w:rPr>
        <w:t xml:space="preserve"> </w:t>
      </w:r>
      <w:r w:rsidRPr="00AD68AA">
        <w:rPr>
          <w:rFonts w:ascii="Arial" w:hAnsi="Arial" w:cs="Arial"/>
          <w:sz w:val="19"/>
          <w:szCs w:val="19"/>
          <w:lang w:val="es-ES"/>
        </w:rPr>
        <w:t xml:space="preserve">Agencia Nacional de Contratación Pública – Colombia Compra Eficiente, </w:t>
      </w:r>
      <w:r w:rsidRPr="00F45B51">
        <w:rPr>
          <w:rFonts w:ascii="Arial" w:hAnsi="Arial" w:cs="Arial"/>
          <w:sz w:val="19"/>
          <w:szCs w:val="19"/>
        </w:rPr>
        <w:t>Concepto C – 629 de 2020.</w:t>
      </w:r>
      <w:r w:rsidRPr="00F45B51">
        <w:rPr>
          <w:rFonts w:ascii="Arial" w:hAnsi="Arial" w:cs="Arial"/>
          <w:sz w:val="19"/>
          <w:szCs w:val="19"/>
          <w:lang w:val="es-ES"/>
        </w:rPr>
        <w:t xml:space="preserve"> </w:t>
      </w:r>
    </w:p>
  </w:footnote>
  <w:footnote w:id="3">
    <w:p w14:paraId="3F231651" w14:textId="77777777" w:rsidR="00085D03" w:rsidRPr="00F45B51" w:rsidRDefault="00085D03" w:rsidP="00085D03">
      <w:pPr>
        <w:pStyle w:val="Textonotapie"/>
        <w:ind w:firstLine="709"/>
        <w:jc w:val="both"/>
        <w:rPr>
          <w:rFonts w:ascii="Arial" w:hAnsi="Arial" w:cs="Arial"/>
          <w:sz w:val="19"/>
          <w:szCs w:val="19"/>
          <w:lang w:val="es-ES"/>
        </w:rPr>
      </w:pPr>
      <w:r w:rsidRPr="00F45B51">
        <w:rPr>
          <w:rStyle w:val="Refdenotaalpie"/>
          <w:rFonts w:cs="Arial"/>
          <w:sz w:val="19"/>
          <w:szCs w:val="19"/>
        </w:rPr>
        <w:footnoteRef/>
      </w:r>
      <w:r w:rsidRPr="00F45B51">
        <w:rPr>
          <w:rFonts w:ascii="Arial" w:hAnsi="Arial" w:cs="Arial"/>
          <w:sz w:val="19"/>
          <w:szCs w:val="19"/>
        </w:rPr>
        <w:t xml:space="preserve"> </w:t>
      </w:r>
      <w:r w:rsidRPr="00F45B51">
        <w:rPr>
          <w:rFonts w:ascii="Arial" w:hAnsi="Arial" w:cs="Arial"/>
          <w:i/>
          <w:iCs/>
          <w:sz w:val="19"/>
          <w:szCs w:val="19"/>
        </w:rPr>
        <w:t>Ibidem.</w:t>
      </w:r>
      <w:r w:rsidRPr="00F45B51">
        <w:rPr>
          <w:rFonts w:ascii="Arial" w:hAnsi="Arial" w:cs="Arial"/>
          <w:i/>
          <w:iCs/>
          <w:sz w:val="19"/>
          <w:szCs w:val="19"/>
          <w:lang w:val="es-ES"/>
        </w:rPr>
        <w:t xml:space="preserve"> </w:t>
      </w:r>
    </w:p>
    <w:p w14:paraId="401C0767" w14:textId="77777777" w:rsidR="00085D03" w:rsidRPr="00F45B51" w:rsidRDefault="00085D03" w:rsidP="00085D03">
      <w:pPr>
        <w:pStyle w:val="Textonotapie"/>
        <w:ind w:firstLine="709"/>
        <w:jc w:val="both"/>
        <w:rPr>
          <w:rFonts w:ascii="Arial" w:hAnsi="Arial" w:cs="Arial"/>
          <w:sz w:val="19"/>
          <w:szCs w:val="19"/>
          <w:lang w:val="es-ES"/>
        </w:rPr>
      </w:pPr>
    </w:p>
  </w:footnote>
  <w:footnote w:id="4">
    <w:p w14:paraId="68990B8D" w14:textId="77777777" w:rsidR="00085D03" w:rsidRPr="00AD68AA" w:rsidRDefault="00085D03" w:rsidP="00085D03">
      <w:pPr>
        <w:pStyle w:val="Textonotapie"/>
        <w:ind w:firstLine="709"/>
        <w:rPr>
          <w:rFonts w:ascii="Arial" w:hAnsi="Arial" w:cs="Arial"/>
          <w:sz w:val="19"/>
          <w:szCs w:val="19"/>
        </w:rPr>
      </w:pPr>
    </w:p>
    <w:p w14:paraId="525D04C7" w14:textId="77777777" w:rsidR="00085D03" w:rsidRDefault="00085D03" w:rsidP="00085D03">
      <w:pPr>
        <w:pStyle w:val="Textonotapie"/>
        <w:ind w:firstLine="709"/>
        <w:rPr>
          <w:rFonts w:ascii="Arial" w:hAnsi="Arial" w:cs="Arial"/>
          <w:sz w:val="19"/>
          <w:szCs w:val="19"/>
          <w:lang w:val="es-ES"/>
        </w:rPr>
      </w:pPr>
      <w:r w:rsidRPr="00AD68AA">
        <w:rPr>
          <w:rStyle w:val="Refdenotaalpie"/>
          <w:rFonts w:cs="Arial"/>
          <w:sz w:val="19"/>
          <w:szCs w:val="19"/>
        </w:rPr>
        <w:footnoteRef/>
      </w:r>
      <w:r w:rsidRPr="00AD68AA">
        <w:rPr>
          <w:rFonts w:ascii="Arial" w:hAnsi="Arial" w:cs="Arial"/>
          <w:sz w:val="19"/>
          <w:szCs w:val="19"/>
        </w:rPr>
        <w:t xml:space="preserve"> </w:t>
      </w:r>
      <w:r>
        <w:rPr>
          <w:rFonts w:ascii="Arial" w:hAnsi="Arial" w:cs="Arial"/>
          <w:sz w:val="19"/>
          <w:szCs w:val="19"/>
        </w:rPr>
        <w:t xml:space="preserve">Cfr. </w:t>
      </w:r>
      <w:r w:rsidRPr="00AD68AA">
        <w:rPr>
          <w:rFonts w:ascii="Arial" w:hAnsi="Arial" w:cs="Arial"/>
          <w:sz w:val="19"/>
          <w:szCs w:val="19"/>
          <w:lang w:val="es-ES"/>
        </w:rPr>
        <w:t>Agencia Nacional de Contratación Pública – Colombia Compra Eficiente, Concepto C – 002 del 12 de febrero de 2020.</w:t>
      </w:r>
    </w:p>
    <w:p w14:paraId="558D16FD" w14:textId="77777777" w:rsidR="00085D03" w:rsidRPr="00AD68AA" w:rsidRDefault="00085D03" w:rsidP="00085D03">
      <w:pPr>
        <w:pStyle w:val="Textonotapie"/>
        <w:ind w:firstLine="709"/>
        <w:rPr>
          <w:rFonts w:ascii="Arial" w:hAnsi="Arial" w:cs="Arial"/>
          <w:sz w:val="19"/>
          <w:szCs w:val="19"/>
          <w:lang w:val="es-ES"/>
        </w:rPr>
      </w:pPr>
    </w:p>
  </w:footnote>
  <w:footnote w:id="5">
    <w:p w14:paraId="20B7D9CE" w14:textId="77777777" w:rsidR="00085D03" w:rsidRPr="00AD68AA" w:rsidRDefault="00085D03" w:rsidP="00085D03">
      <w:pPr>
        <w:pStyle w:val="Textonotapie"/>
        <w:ind w:firstLine="567"/>
        <w:jc w:val="both"/>
        <w:rPr>
          <w:rFonts w:ascii="Arial" w:hAnsi="Arial" w:cs="Arial"/>
          <w:sz w:val="19"/>
          <w:szCs w:val="19"/>
        </w:rPr>
      </w:pPr>
      <w:r w:rsidRPr="00AD68AA">
        <w:rPr>
          <w:rStyle w:val="Refdenotaalpie"/>
          <w:rFonts w:cs="Arial"/>
          <w:sz w:val="19"/>
          <w:szCs w:val="19"/>
        </w:rPr>
        <w:footnoteRef/>
      </w:r>
      <w:r w:rsidRPr="00AD68AA">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 </w:t>
      </w:r>
    </w:p>
    <w:p w14:paraId="482B6AE8" w14:textId="77777777" w:rsidR="00085D03" w:rsidRPr="00AD68AA" w:rsidRDefault="00085D03" w:rsidP="00085D03">
      <w:pPr>
        <w:pStyle w:val="Textonotapie"/>
        <w:ind w:firstLine="567"/>
        <w:jc w:val="both"/>
        <w:rPr>
          <w:rFonts w:ascii="Arial" w:hAnsi="Arial" w:cs="Arial"/>
          <w:sz w:val="19"/>
          <w:szCs w:val="19"/>
        </w:rPr>
      </w:pPr>
      <w:r w:rsidRPr="00AD68AA">
        <w:rPr>
          <w:rFonts w:ascii="Arial" w:hAnsi="Arial" w:cs="Arial"/>
          <w:sz w:val="19"/>
          <w:szCs w:val="19"/>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14:paraId="44B13387" w14:textId="77777777" w:rsidR="00085D03" w:rsidRPr="00AD68AA" w:rsidRDefault="00085D03" w:rsidP="00085D03">
      <w:pPr>
        <w:pStyle w:val="Textonotapie"/>
        <w:ind w:firstLine="567"/>
        <w:jc w:val="both"/>
        <w:rPr>
          <w:rFonts w:ascii="Arial" w:hAnsi="Arial" w:cs="Arial"/>
          <w:sz w:val="19"/>
          <w:szCs w:val="19"/>
        </w:rPr>
      </w:pPr>
      <w:r w:rsidRPr="00AD68AA">
        <w:rPr>
          <w:rFonts w:ascii="Arial" w:hAnsi="Arial" w:cs="Arial"/>
          <w:sz w:val="19"/>
          <w:szCs w:val="19"/>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p>
    <w:p w14:paraId="5D129570" w14:textId="77777777" w:rsidR="00085D03" w:rsidRPr="00AD68AA" w:rsidRDefault="00085D03" w:rsidP="00085D03">
      <w:pPr>
        <w:pStyle w:val="Textonotapie"/>
        <w:ind w:firstLine="567"/>
        <w:rPr>
          <w:lang w:val="es-CO"/>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5A73" w14:textId="77777777" w:rsidR="0082420E" w:rsidRPr="003F58A1" w:rsidRDefault="00B65D6E" w:rsidP="0082420E">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8240" behindDoc="1" locked="0" layoutInCell="1" hidden="0" allowOverlap="1" wp14:anchorId="69694650" wp14:editId="06BB55D7">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82420E"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82420E" w:rsidRPr="00367110" w14:paraId="2C67CBA7" w14:textId="77777777" w:rsidTr="0082420E">
      <w:tc>
        <w:tcPr>
          <w:tcW w:w="6756" w:type="dxa"/>
        </w:tcPr>
        <w:p w14:paraId="1FF0D1BC" w14:textId="77777777" w:rsidR="0082420E" w:rsidRPr="006478E3" w:rsidRDefault="0082420E" w:rsidP="0082420E">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74AAD8C2" w14:textId="77777777" w:rsidR="0082420E" w:rsidRPr="0057618A" w:rsidRDefault="0082420E" w:rsidP="0082420E">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94A84E8" w14:textId="77777777" w:rsidR="0082420E" w:rsidRPr="00367110" w:rsidRDefault="0082420E" w:rsidP="0082420E">
          <w:pPr>
            <w:jc w:val="right"/>
            <w:rPr>
              <w:rFonts w:eastAsia="Arial Nova" w:cs="Arial Nova"/>
              <w:lang w:eastAsia="es-CO"/>
            </w:rPr>
          </w:pPr>
        </w:p>
      </w:tc>
      <w:tc>
        <w:tcPr>
          <w:tcW w:w="1324" w:type="dxa"/>
        </w:tcPr>
        <w:p w14:paraId="1AD9B0FE" w14:textId="77777777" w:rsidR="0082420E" w:rsidRPr="00367110" w:rsidRDefault="0082420E" w:rsidP="0082420E">
          <w:pPr>
            <w:jc w:val="right"/>
            <w:rPr>
              <w:rFonts w:eastAsia="Arial Nova" w:cs="Arial Nova"/>
              <w:lang w:eastAsia="es-CO"/>
            </w:rPr>
          </w:pPr>
        </w:p>
      </w:tc>
    </w:tr>
  </w:tbl>
  <w:p w14:paraId="24FC952B" w14:textId="77777777" w:rsidR="0082420E" w:rsidRPr="00906B3C" w:rsidRDefault="00B65D6E" w:rsidP="0082420E">
    <w:pPr>
      <w:pStyle w:val="Encabezado"/>
      <w:tabs>
        <w:tab w:val="clear" w:pos="4419"/>
        <w:tab w:val="clear" w:pos="8838"/>
      </w:tabs>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58241" behindDoc="1" locked="0" layoutInCell="1" allowOverlap="1" wp14:anchorId="5BD8C65C" wp14:editId="263EAC89">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53A8"/>
    <w:multiLevelType w:val="multilevel"/>
    <w:tmpl w:val="186671A4"/>
    <w:lvl w:ilvl="0">
      <w:start w:val="4"/>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644"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FC7E8E"/>
    <w:multiLevelType w:val="multilevel"/>
    <w:tmpl w:val="186671A4"/>
    <w:lvl w:ilvl="0">
      <w:start w:val="4"/>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16cid:durableId="1584677044">
    <w:abstractNumId w:val="1"/>
  </w:num>
  <w:num w:numId="2" w16cid:durableId="2033602681">
    <w:abstractNumId w:val="0"/>
  </w:num>
  <w:num w:numId="3" w16cid:durableId="1666975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03"/>
    <w:rsid w:val="00085D03"/>
    <w:rsid w:val="000F45AA"/>
    <w:rsid w:val="0015424A"/>
    <w:rsid w:val="00263866"/>
    <w:rsid w:val="0027385A"/>
    <w:rsid w:val="002E4529"/>
    <w:rsid w:val="002F1DBA"/>
    <w:rsid w:val="0041464B"/>
    <w:rsid w:val="004342B9"/>
    <w:rsid w:val="00580C11"/>
    <w:rsid w:val="00651A7A"/>
    <w:rsid w:val="00710800"/>
    <w:rsid w:val="00791502"/>
    <w:rsid w:val="007D3117"/>
    <w:rsid w:val="007F1B88"/>
    <w:rsid w:val="00817FE2"/>
    <w:rsid w:val="0082420E"/>
    <w:rsid w:val="00861D59"/>
    <w:rsid w:val="008A5974"/>
    <w:rsid w:val="0095032C"/>
    <w:rsid w:val="009633F9"/>
    <w:rsid w:val="00A01F1F"/>
    <w:rsid w:val="00A5358E"/>
    <w:rsid w:val="00AA6B2A"/>
    <w:rsid w:val="00B65D6E"/>
    <w:rsid w:val="00CE04D9"/>
    <w:rsid w:val="00E640C4"/>
    <w:rsid w:val="00ED2C50"/>
    <w:rsid w:val="00F33F6E"/>
    <w:rsid w:val="00F63D3C"/>
    <w:rsid w:val="00FE6BFA"/>
    <w:rsid w:val="00FF00C3"/>
    <w:rsid w:val="0666639A"/>
    <w:rsid w:val="2449AB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A537"/>
  <w15:chartTrackingRefBased/>
  <w15:docId w15:val="{B12AA138-C7AF-452F-AF0B-C6401BAD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D03"/>
    <w:pPr>
      <w:spacing w:after="160" w:line="259" w:lineRule="auto"/>
    </w:pPr>
    <w:rPr>
      <w:sz w:val="22"/>
      <w:szCs w:val="22"/>
    </w:rPr>
  </w:style>
  <w:style w:type="paragraph" w:styleId="Ttulo2">
    <w:name w:val="heading 2"/>
    <w:basedOn w:val="Normal"/>
    <w:next w:val="Normal"/>
    <w:link w:val="Ttulo2Car"/>
    <w:uiPriority w:val="9"/>
    <w:unhideWhenUsed/>
    <w:qFormat/>
    <w:rsid w:val="00085D03"/>
    <w:pPr>
      <w:keepNext/>
      <w:keepLines/>
      <w:numPr>
        <w:ilvl w:val="1"/>
        <w:numId w:val="1"/>
      </w:numPr>
      <w:spacing w:before="40" w:after="120"/>
      <w:jc w:val="both"/>
      <w:outlineLvl w:val="1"/>
    </w:pPr>
    <w:rPr>
      <w:rFonts w:ascii="Arial" w:eastAsiaTheme="majorEastAsia" w:hAnsi="Arial" w:cstheme="majorBidi"/>
      <w:b/>
      <w:caps/>
      <w:color w:val="000000" w:themeColor="text1"/>
      <w:sz w:val="20"/>
      <w:szCs w:val="26"/>
      <w:lang w:val="es-MX"/>
    </w:rPr>
  </w:style>
  <w:style w:type="paragraph" w:styleId="Ttulo3">
    <w:name w:val="heading 3"/>
    <w:basedOn w:val="Normal"/>
    <w:next w:val="Normal"/>
    <w:link w:val="Ttulo3Car"/>
    <w:uiPriority w:val="9"/>
    <w:unhideWhenUsed/>
    <w:qFormat/>
    <w:rsid w:val="00085D03"/>
    <w:pPr>
      <w:keepNext/>
      <w:keepLines/>
      <w:numPr>
        <w:ilvl w:val="2"/>
        <w:numId w:val="1"/>
      </w:numPr>
      <w:spacing w:before="40" w:after="120"/>
      <w:jc w:val="both"/>
      <w:outlineLvl w:val="2"/>
    </w:pPr>
    <w:rPr>
      <w:rFonts w:ascii="Arial" w:eastAsiaTheme="majorEastAsia" w:hAnsi="Arial" w:cstheme="majorBidi"/>
      <w:b/>
      <w:caps/>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5D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D03"/>
    <w:rPr>
      <w:sz w:val="22"/>
      <w:szCs w:val="22"/>
    </w:rPr>
  </w:style>
  <w:style w:type="paragraph" w:styleId="Piedepgina">
    <w:name w:val="footer"/>
    <w:basedOn w:val="Normal"/>
    <w:link w:val="PiedepginaCar"/>
    <w:uiPriority w:val="99"/>
    <w:unhideWhenUsed/>
    <w:rsid w:val="00085D03"/>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085D03"/>
    <w:rPr>
      <w:szCs w:val="22"/>
      <w:lang w:val="es-MX"/>
    </w:rPr>
  </w:style>
  <w:style w:type="table" w:styleId="Tablaconcuadrcula">
    <w:name w:val="Table Grid"/>
    <w:basedOn w:val="Tablanormal"/>
    <w:uiPriority w:val="59"/>
    <w:qFormat/>
    <w:rsid w:val="00085D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085D03"/>
    <w:rPr>
      <w:szCs w:val="22"/>
      <w:lang w:val="es-MX"/>
    </w:rPr>
  </w:style>
  <w:style w:type="table" w:customStyle="1" w:styleId="Tablaconcuadrcula1">
    <w:name w:val="Tabla con cuadrícula1"/>
    <w:basedOn w:val="Tablanormal"/>
    <w:next w:val="Tablaconcuadrcula"/>
    <w:uiPriority w:val="59"/>
    <w:qFormat/>
    <w:rsid w:val="00085D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85D03"/>
    <w:rPr>
      <w:sz w:val="16"/>
      <w:szCs w:val="16"/>
    </w:rPr>
  </w:style>
  <w:style w:type="character" w:customStyle="1" w:styleId="Ttulo2Car">
    <w:name w:val="Título 2 Car"/>
    <w:basedOn w:val="Fuentedeprrafopredeter"/>
    <w:link w:val="Ttulo2"/>
    <w:uiPriority w:val="9"/>
    <w:rsid w:val="00085D03"/>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085D03"/>
    <w:rPr>
      <w:rFonts w:ascii="Arial" w:eastAsiaTheme="majorEastAsia" w:hAnsi="Arial" w:cstheme="majorBidi"/>
      <w:b/>
      <w:caps/>
      <w:color w:val="000000" w:themeColor="text1"/>
      <w:sz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85D0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85D03"/>
    <w:pPr>
      <w:spacing w:after="0" w:line="240" w:lineRule="auto"/>
    </w:pPr>
    <w:rPr>
      <w:sz w:val="20"/>
      <w:szCs w:val="20"/>
      <w:lang w:val="es-MX"/>
    </w:rPr>
  </w:style>
  <w:style w:type="character" w:customStyle="1" w:styleId="TextonotapieCar1">
    <w:name w:val="Texto nota pie Car1"/>
    <w:basedOn w:val="Fuentedeprrafopredeter"/>
    <w:uiPriority w:val="99"/>
    <w:semiHidden/>
    <w:rsid w:val="00085D0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085D03"/>
    <w:rPr>
      <w:vertAlign w:val="superscript"/>
    </w:rPr>
  </w:style>
  <w:style w:type="paragraph" w:customStyle="1" w:styleId="Appelnotedebasde">
    <w:name w:val="Appel note de bas de..."/>
    <w:basedOn w:val="Normal"/>
    <w:link w:val="Refdenotaalpie"/>
    <w:uiPriority w:val="99"/>
    <w:rsid w:val="00085D03"/>
    <w:pPr>
      <w:spacing w:line="240" w:lineRule="exact"/>
    </w:pPr>
    <w:rPr>
      <w:sz w:val="24"/>
      <w:szCs w:val="24"/>
      <w:vertAlign w:val="superscript"/>
    </w:rPr>
  </w:style>
  <w:style w:type="paragraph" w:styleId="Revisin">
    <w:name w:val="Revision"/>
    <w:hidden/>
    <w:uiPriority w:val="99"/>
    <w:semiHidden/>
    <w:rsid w:val="00A5358E"/>
    <w:rPr>
      <w:sz w:val="22"/>
      <w:szCs w:val="22"/>
    </w:rPr>
  </w:style>
  <w:style w:type="paragraph" w:styleId="Textocomentario">
    <w:name w:val="annotation text"/>
    <w:basedOn w:val="Normal"/>
    <w:link w:val="TextocomentarioCar"/>
    <w:uiPriority w:val="99"/>
    <w:semiHidden/>
    <w:unhideWhenUsed/>
    <w:rsid w:val="00817F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7FE2"/>
    <w:rPr>
      <w:sz w:val="20"/>
      <w:szCs w:val="20"/>
    </w:rPr>
  </w:style>
  <w:style w:type="paragraph" w:styleId="Asuntodelcomentario">
    <w:name w:val="annotation subject"/>
    <w:basedOn w:val="Textocomentario"/>
    <w:next w:val="Textocomentario"/>
    <w:link w:val="AsuntodelcomentarioCar"/>
    <w:uiPriority w:val="99"/>
    <w:semiHidden/>
    <w:unhideWhenUsed/>
    <w:rsid w:val="00817FE2"/>
    <w:rPr>
      <w:b/>
      <w:bCs/>
    </w:rPr>
  </w:style>
  <w:style w:type="character" w:customStyle="1" w:styleId="AsuntodelcomentarioCar">
    <w:name w:val="Asunto del comentario Car"/>
    <w:basedOn w:val="TextocomentarioCar"/>
    <w:link w:val="Asuntodelcomentario"/>
    <w:uiPriority w:val="99"/>
    <w:semiHidden/>
    <w:rsid w:val="00817F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ED45E-D949-488E-83B6-11BE478D71C4}">
  <ds:schemaRefs>
    <ds:schemaRef ds:uri="http://schemas.microsoft.com/sharepoint/v3/contenttype/forms"/>
  </ds:schemaRefs>
</ds:datastoreItem>
</file>

<file path=customXml/itemProps2.xml><?xml version="1.0" encoding="utf-8"?>
<ds:datastoreItem xmlns:ds="http://schemas.openxmlformats.org/officeDocument/2006/customXml" ds:itemID="{7AD2F7C1-6AC2-4793-BB80-23BC0F86DA14}">
  <ds:schemaRefs>
    <ds:schemaRef ds:uri="http://schemas.microsoft.com/office/2006/metadata/properties"/>
    <ds:schemaRef ds:uri="http://purl.org/dc/elements/1.1/"/>
    <ds:schemaRef ds:uri="9d85dbaf-23eb-4e57-a637-93dcacc8b1a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a6cb9e4b-f1d1-4245-83ec-6cad768d538a"/>
    <ds:schemaRef ds:uri="http://www.w3.org/XML/1998/namespace"/>
  </ds:schemaRefs>
</ds:datastoreItem>
</file>

<file path=customXml/itemProps3.xml><?xml version="1.0" encoding="utf-8"?>
<ds:datastoreItem xmlns:ds="http://schemas.openxmlformats.org/officeDocument/2006/customXml" ds:itemID="{BF9665E1-320A-41DD-B7A3-6BD29F557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4395</Words>
  <Characters>24175</Characters>
  <Application>Microsoft Office Word</Application>
  <DocSecurity>0</DocSecurity>
  <Lines>201</Lines>
  <Paragraphs>57</Paragraphs>
  <ScaleCrop>false</ScaleCrop>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Diana Lucia Saavedra</cp:lastModifiedBy>
  <cp:revision>2</cp:revision>
  <dcterms:created xsi:type="dcterms:W3CDTF">2023-03-02T16:26:00Z</dcterms:created>
  <dcterms:modified xsi:type="dcterms:W3CDTF">2023-03-02T16:26:00Z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