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EC3B" w14:textId="77777777" w:rsidR="00640577" w:rsidRPr="00B2375F" w:rsidRDefault="00640577" w:rsidP="00640577">
      <w:pPr>
        <w:spacing w:after="0" w:line="240" w:lineRule="auto"/>
        <w:contextualSpacing/>
        <w:jc w:val="both"/>
        <w:textAlignment w:val="baseline"/>
        <w:rPr>
          <w:rFonts w:ascii="Arial" w:eastAsia="Times New Roman" w:hAnsi="Arial" w:cs="Arial"/>
          <w:lang w:eastAsia="es-CO"/>
        </w:rPr>
      </w:pPr>
      <w:r w:rsidRPr="00B2375F">
        <w:rPr>
          <w:rFonts w:ascii="Arial" w:eastAsia="Times New Roman" w:hAnsi="Arial" w:cs="Arial"/>
          <w:b/>
          <w:bCs/>
          <w:lang w:val="es-MX" w:eastAsia="es-CO"/>
        </w:rPr>
        <w:t>SELECCIÓN ABREVIADA– Modalidad de selección – Naturaleza </w:t>
      </w:r>
      <w:r w:rsidRPr="00B2375F">
        <w:rPr>
          <w:rFonts w:ascii="Arial" w:eastAsia="Times New Roman" w:hAnsi="Arial" w:cs="Arial"/>
          <w:lang w:eastAsia="es-CO"/>
        </w:rPr>
        <w:t> </w:t>
      </w:r>
    </w:p>
    <w:p w14:paraId="0347839B"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lang w:eastAsia="es-CO"/>
        </w:rPr>
      </w:pPr>
    </w:p>
    <w:p w14:paraId="6990818F"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shd w:val="clear" w:color="auto" w:fill="FFFFFF"/>
          <w:lang w:eastAsia="es-CO"/>
        </w:rPr>
      </w:pPr>
      <w:r w:rsidRPr="00B2375F">
        <w:rPr>
          <w:rFonts w:ascii="Arial" w:eastAsia="Times New Roman" w:hAnsi="Arial" w:cs="Arial"/>
          <w:sz w:val="20"/>
          <w:szCs w:val="20"/>
          <w:lang w:val="es-MX" w:eastAsia="es-CO"/>
        </w:rPr>
        <w:t xml:space="preserve">[…] </w:t>
      </w:r>
      <w:r w:rsidRPr="00B2375F">
        <w:rPr>
          <w:rFonts w:ascii="Arial" w:eastAsia="Times New Roman" w:hAnsi="Arial" w:cs="Arial"/>
          <w:sz w:val="20"/>
          <w:szCs w:val="20"/>
          <w:shd w:val="clear" w:color="auto" w:fill="FFFFFF"/>
          <w:lang w:eastAsia="es-CO"/>
        </w:rPr>
        <w:t xml:space="preserve">Nótese que, de la transcripción literal de la norma, el legislador divide de forma disyuntiva los supuestos bajo los cuales se configura la eventual utilización de esta modalidad de selección, bien sea </w:t>
      </w:r>
      <w:r w:rsidRPr="00B2375F">
        <w:rPr>
          <w:rFonts w:ascii="Arial" w:eastAsia="Times New Roman" w:hAnsi="Arial" w:cs="Arial"/>
          <w:sz w:val="20"/>
          <w:szCs w:val="20"/>
          <w:lang w:eastAsia="es-CO"/>
        </w:rPr>
        <w:t>por las características del objeto a contratar, las circunstancias de la contratación o la cuantía o destinación del bien, obra o servicio.</w:t>
      </w:r>
      <w:r w:rsidRPr="00B2375F">
        <w:rPr>
          <w:rFonts w:ascii="Arial" w:eastAsia="Times New Roman" w:hAnsi="Arial" w:cs="Arial"/>
          <w:sz w:val="20"/>
          <w:szCs w:val="20"/>
          <w:shd w:val="clear" w:color="auto" w:fill="FFFFFF"/>
          <w:lang w:eastAsia="es-CO"/>
        </w:rPr>
        <w:t xml:space="preserve"> En ese orden de ideas, esta modalidad de selección procede por las causales previstas en la ley, las cuales determinan, entre otras cosas, los criterios a tener en cuenta para la escogencia del contratista que proveerá el bien o servicio, además de sus respectivas reglas para llevar a cabo el proceso de selección bajo la modalidad estudiada, siendo una de ellas, pero no la única, el valor presupuestado como precio del contrato. </w:t>
      </w:r>
    </w:p>
    <w:p w14:paraId="67C74A41" w14:textId="77777777" w:rsidR="00640577" w:rsidRDefault="00640577" w:rsidP="00640577">
      <w:pPr>
        <w:spacing w:after="0" w:line="240" w:lineRule="auto"/>
        <w:contextualSpacing/>
        <w:jc w:val="both"/>
        <w:textAlignment w:val="baseline"/>
        <w:rPr>
          <w:rFonts w:ascii="Arial" w:eastAsia="Calibri" w:hAnsi="Arial" w:cs="Arial"/>
          <w:sz w:val="20"/>
          <w:szCs w:val="20"/>
        </w:rPr>
      </w:pPr>
    </w:p>
    <w:p w14:paraId="63788165" w14:textId="77777777" w:rsidR="00640577" w:rsidRPr="00B2375F" w:rsidRDefault="00640577" w:rsidP="00640577">
      <w:pPr>
        <w:spacing w:after="0" w:line="240" w:lineRule="auto"/>
        <w:contextualSpacing/>
        <w:jc w:val="both"/>
        <w:textAlignment w:val="baseline"/>
        <w:rPr>
          <w:rFonts w:ascii="Arial" w:eastAsia="Calibri" w:hAnsi="Arial" w:cs="Arial"/>
          <w:sz w:val="20"/>
          <w:szCs w:val="20"/>
        </w:rPr>
      </w:pPr>
      <w:r w:rsidRPr="00B2375F">
        <w:rPr>
          <w:rFonts w:ascii="Arial" w:eastAsia="Calibri" w:hAnsi="Arial" w:cs="Arial"/>
          <w:sz w:val="20"/>
          <w:szCs w:val="20"/>
        </w:rPr>
        <w:t xml:space="preserve">A su turno, el Decreto 1082 de 2015 reglamenta las causales para acudir al procedimiento de selección abreviada establecidas en el numeral 2 del artículo 2 de la Ley 1150 de 2007, y regula el procedimiento, detallando el contenido del pliego de condiciones, las etapas, entre otros. Dentro de dichas causales se desataca la contratación de menor cuantía y la subasta inversa, las cuales se proceden a exponer, con miras a responder la consulta planteada. </w:t>
      </w:r>
    </w:p>
    <w:p w14:paraId="2108DB1B" w14:textId="77777777" w:rsidR="00640577" w:rsidRPr="00B2375F" w:rsidRDefault="00640577" w:rsidP="00640577">
      <w:pPr>
        <w:spacing w:after="0" w:line="240" w:lineRule="auto"/>
        <w:contextualSpacing/>
        <w:jc w:val="both"/>
        <w:textAlignment w:val="baseline"/>
        <w:rPr>
          <w:rFonts w:ascii="Arial" w:eastAsia="Times New Roman" w:hAnsi="Arial" w:cs="Arial"/>
          <w:b/>
          <w:bCs/>
          <w:sz w:val="20"/>
          <w:szCs w:val="20"/>
          <w:lang w:val="es-MX" w:eastAsia="es-CO"/>
        </w:rPr>
      </w:pPr>
    </w:p>
    <w:p w14:paraId="6BCA655C" w14:textId="77777777" w:rsidR="00640577" w:rsidRPr="00B2375F" w:rsidRDefault="00640577" w:rsidP="00640577">
      <w:pPr>
        <w:spacing w:after="0" w:line="240" w:lineRule="auto"/>
        <w:contextualSpacing/>
        <w:jc w:val="both"/>
        <w:textAlignment w:val="baseline"/>
        <w:rPr>
          <w:rFonts w:ascii="Arial" w:eastAsia="Times New Roman" w:hAnsi="Arial" w:cs="Arial"/>
          <w:lang w:eastAsia="es-CO"/>
        </w:rPr>
      </w:pPr>
      <w:r w:rsidRPr="00B2375F">
        <w:rPr>
          <w:rFonts w:ascii="Arial" w:eastAsia="Times New Roman" w:hAnsi="Arial" w:cs="Arial"/>
          <w:b/>
          <w:bCs/>
          <w:lang w:val="es-MX" w:eastAsia="es-CO"/>
        </w:rPr>
        <w:t>SELECCIÓN ABREVIADA MENOR CUANTÍA – Modalidad de selección – Procedencia </w:t>
      </w:r>
      <w:r w:rsidRPr="00B2375F">
        <w:rPr>
          <w:rFonts w:ascii="Arial" w:eastAsia="Times New Roman" w:hAnsi="Arial" w:cs="Arial"/>
          <w:lang w:eastAsia="es-CO"/>
        </w:rPr>
        <w:t> </w:t>
      </w:r>
    </w:p>
    <w:p w14:paraId="4E9F705C" w14:textId="77777777" w:rsidR="00640577" w:rsidRPr="00B2375F" w:rsidRDefault="00640577" w:rsidP="00640577">
      <w:pPr>
        <w:spacing w:after="0" w:line="240" w:lineRule="auto"/>
        <w:contextualSpacing/>
        <w:jc w:val="both"/>
        <w:rPr>
          <w:rFonts w:ascii="Arial" w:eastAsia="Times New Roman" w:hAnsi="Arial" w:cs="Arial"/>
          <w:sz w:val="20"/>
          <w:szCs w:val="20"/>
          <w:lang w:val="es-MX" w:eastAsia="es-CO"/>
        </w:rPr>
      </w:pPr>
    </w:p>
    <w:p w14:paraId="55A64FAA" w14:textId="77777777" w:rsidR="00640577" w:rsidRPr="00B2375F" w:rsidRDefault="00640577" w:rsidP="00640577">
      <w:pPr>
        <w:spacing w:after="0" w:line="240" w:lineRule="auto"/>
        <w:contextualSpacing/>
        <w:jc w:val="both"/>
        <w:rPr>
          <w:rFonts w:ascii="Arial" w:eastAsia="Calibri" w:hAnsi="Arial" w:cs="Arial"/>
          <w:sz w:val="20"/>
          <w:szCs w:val="20"/>
          <w:shd w:val="clear" w:color="auto" w:fill="FFFFFF"/>
        </w:rPr>
      </w:pPr>
      <w:r w:rsidRPr="00B2375F">
        <w:rPr>
          <w:rFonts w:ascii="Arial" w:eastAsia="Times New Roman" w:hAnsi="Arial" w:cs="Arial"/>
          <w:sz w:val="20"/>
          <w:szCs w:val="20"/>
          <w:lang w:val="es-MX" w:eastAsia="es-CO"/>
        </w:rPr>
        <w:t xml:space="preserve">[…] </w:t>
      </w:r>
      <w:r w:rsidRPr="00B2375F">
        <w:rPr>
          <w:rFonts w:ascii="Arial" w:eastAsia="Calibri" w:hAnsi="Arial" w:cs="Arial"/>
          <w:sz w:val="20"/>
          <w:szCs w:val="20"/>
          <w:shd w:val="clear" w:color="auto" w:fill="FFFFFF"/>
        </w:rPr>
        <w:t xml:space="preserve">De este modo, se evidencia que la procedencia de la causal de selección abreviada de menor cuantía se encuentra directamente vinculada con el presupuesto anual de cada Entidad Estatal, de manera que los procedimientos de selección cuyo presupuesto oficial no superen el tope de la menor cuantía, se adelantarán bajo la modalidad de selección abreviada, ya que si se supera este tope corresponderá adelantar una licitación pública, siempre y cuando el único factor que pueda o deba tenerse en consideración es el valor estimado del contrato, esto es, sin considerar factores tales como la naturaleza de los productos, su destinación o características, por lo que  en cada contrato en específico se debe analizar la procedencia la causal o las causales, independientemente de que, en algunos casos, cualquiera de ellas remita al mismo procedimiento de selección. </w:t>
      </w:r>
    </w:p>
    <w:p w14:paraId="684B0938" w14:textId="77777777" w:rsidR="00640577" w:rsidRPr="00B2375F" w:rsidRDefault="00640577" w:rsidP="00640577">
      <w:pPr>
        <w:spacing w:after="0" w:line="240" w:lineRule="auto"/>
        <w:contextualSpacing/>
        <w:jc w:val="both"/>
        <w:rPr>
          <w:rFonts w:ascii="Arial" w:eastAsia="Calibri" w:hAnsi="Arial" w:cs="Arial"/>
          <w:sz w:val="20"/>
          <w:szCs w:val="20"/>
          <w:shd w:val="clear" w:color="auto" w:fill="FFFFFF"/>
        </w:rPr>
      </w:pPr>
    </w:p>
    <w:p w14:paraId="21AD88BB" w14:textId="77777777" w:rsidR="00640577" w:rsidRPr="00B2375F" w:rsidRDefault="00640577" w:rsidP="00640577">
      <w:pPr>
        <w:spacing w:after="0" w:line="240" w:lineRule="auto"/>
        <w:contextualSpacing/>
        <w:jc w:val="both"/>
        <w:textAlignment w:val="baseline"/>
        <w:rPr>
          <w:rFonts w:ascii="Arial" w:eastAsia="Times New Roman" w:hAnsi="Arial" w:cs="Arial"/>
          <w:b/>
          <w:bCs/>
          <w:lang w:eastAsia="es-CO"/>
        </w:rPr>
      </w:pPr>
      <w:r w:rsidRPr="00B2375F">
        <w:rPr>
          <w:rFonts w:ascii="Arial" w:eastAsia="Times New Roman" w:hAnsi="Arial" w:cs="Arial"/>
          <w:b/>
          <w:bCs/>
          <w:lang w:val="es-MX" w:eastAsia="es-CO"/>
        </w:rPr>
        <w:t>SELECCIÓN ABREVIADA SUBASTA INVERSA – Modalidad de selección – Finalidad – Articulo 2 Numeral 2 de la Ley 1150 de 2007 </w:t>
      </w:r>
      <w:r w:rsidRPr="00B2375F">
        <w:rPr>
          <w:rFonts w:ascii="Arial" w:eastAsia="Times New Roman" w:hAnsi="Arial" w:cs="Arial"/>
          <w:b/>
          <w:bCs/>
          <w:lang w:eastAsia="es-CO"/>
        </w:rPr>
        <w:t> </w:t>
      </w:r>
    </w:p>
    <w:p w14:paraId="19632A2E"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lang w:val="es-MX" w:eastAsia="es-CO"/>
        </w:rPr>
      </w:pPr>
    </w:p>
    <w:p w14:paraId="0C55DBB0"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lang w:val="es-MX" w:eastAsia="es-CO"/>
        </w:rPr>
      </w:pPr>
      <w:r w:rsidRPr="00B2375F">
        <w:rPr>
          <w:rFonts w:ascii="Arial" w:eastAsia="Times New Roman" w:hAnsi="Arial" w:cs="Arial"/>
          <w:sz w:val="20"/>
          <w:szCs w:val="20"/>
          <w:lang w:val="es-MX" w:eastAsia="es-CO"/>
        </w:rPr>
        <w:t xml:space="preserve">La subasta inversa es un mecanismo que se concibió con la finalidad de introducir una metodología alternativa para el proceso de negociación y perfeccionamiento del contrato estatal. Su regulación se encuentra en el artículo 2 de la Ley 1150 de 2007, disposición en la cual se señala que procede para los procesos de selección abreviada que tienen por finalidad la adquisición de bienes y servicios de características técnicas uniformes y de común utilización y en los procesos de enajenación de bienes del Estado. </w:t>
      </w:r>
    </w:p>
    <w:p w14:paraId="54D9B286" w14:textId="77777777" w:rsidR="00640577" w:rsidRPr="00B2375F" w:rsidRDefault="00640577" w:rsidP="00640577">
      <w:pPr>
        <w:spacing w:after="0" w:line="240" w:lineRule="auto"/>
        <w:contextualSpacing/>
        <w:jc w:val="both"/>
        <w:textAlignment w:val="baseline"/>
        <w:rPr>
          <w:rFonts w:ascii="Arial" w:eastAsia="Times New Roman" w:hAnsi="Arial" w:cs="Arial"/>
          <w:b/>
          <w:bCs/>
          <w:sz w:val="20"/>
          <w:szCs w:val="20"/>
          <w:lang w:val="es-MX" w:eastAsia="es-CO"/>
        </w:rPr>
      </w:pPr>
    </w:p>
    <w:p w14:paraId="3EA29260" w14:textId="77777777" w:rsidR="00640577" w:rsidRPr="00B2375F" w:rsidRDefault="00640577" w:rsidP="00640577">
      <w:pPr>
        <w:spacing w:after="0" w:line="240" w:lineRule="auto"/>
        <w:contextualSpacing/>
        <w:jc w:val="both"/>
        <w:textAlignment w:val="baseline"/>
        <w:rPr>
          <w:rFonts w:ascii="Arial" w:eastAsia="Times New Roman" w:hAnsi="Arial" w:cs="Arial"/>
          <w:b/>
          <w:bCs/>
          <w:lang w:val="es-MX" w:eastAsia="es-CO"/>
        </w:rPr>
      </w:pPr>
      <w:r w:rsidRPr="00B2375F">
        <w:rPr>
          <w:rFonts w:ascii="Arial" w:eastAsia="Times New Roman" w:hAnsi="Arial" w:cs="Arial"/>
          <w:b/>
          <w:bCs/>
          <w:lang w:val="es-MX" w:eastAsia="es-CO"/>
        </w:rPr>
        <w:t>SELECCIÓN ABREVIADA SUBASTA INVERSA – Modalidad de selección – Procedencia</w:t>
      </w:r>
    </w:p>
    <w:p w14:paraId="7DD64297"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lang w:val="es-MX" w:eastAsia="es-CO"/>
        </w:rPr>
      </w:pPr>
    </w:p>
    <w:p w14:paraId="1FC59344"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lang w:eastAsia="es-CO"/>
        </w:rPr>
      </w:pPr>
      <w:r w:rsidRPr="00B2375F">
        <w:rPr>
          <w:rFonts w:ascii="Arial" w:eastAsia="Times New Roman" w:hAnsi="Arial" w:cs="Arial"/>
          <w:sz w:val="20"/>
          <w:szCs w:val="20"/>
          <w:lang w:val="es-MX" w:eastAsia="es-CO"/>
        </w:rPr>
        <w:t>El literal a) del numeral 2 del artículo 2 de la Ley 1150 de 2007, en relación con la adquisición de bienes y servicios de características técnicas uniformes y de común utilización, establece que «Para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En este evento, contrario a lo que ocurre en la licitación pública, el ordenamiento jurídico prescribe la utilización de la subasta inversa en los procedimientos de selección abreviada cuando se pretendan adquirir bienes y servicios de características técnicas uniformes y de común utilización. </w:t>
      </w:r>
      <w:r w:rsidRPr="00B2375F">
        <w:rPr>
          <w:rFonts w:ascii="Arial" w:eastAsia="Times New Roman" w:hAnsi="Arial" w:cs="Arial"/>
          <w:sz w:val="20"/>
          <w:szCs w:val="20"/>
          <w:lang w:eastAsia="es-CO"/>
        </w:rPr>
        <w:t> </w:t>
      </w:r>
    </w:p>
    <w:p w14:paraId="79AF6DA5" w14:textId="77777777" w:rsidR="00640577" w:rsidRPr="00B2375F" w:rsidRDefault="00640577" w:rsidP="00640577">
      <w:pPr>
        <w:spacing w:after="0" w:line="240" w:lineRule="auto"/>
        <w:contextualSpacing/>
        <w:jc w:val="both"/>
        <w:textAlignment w:val="baseline"/>
        <w:rPr>
          <w:rFonts w:ascii="Arial" w:eastAsia="Times New Roman" w:hAnsi="Arial" w:cs="Arial"/>
          <w:b/>
          <w:sz w:val="20"/>
          <w:szCs w:val="20"/>
          <w:lang w:val="es-MX" w:eastAsia="es-CO"/>
        </w:rPr>
      </w:pPr>
    </w:p>
    <w:p w14:paraId="5A0E39E4" w14:textId="77777777" w:rsidR="00640577" w:rsidRPr="00B2375F" w:rsidRDefault="00640577" w:rsidP="00640577">
      <w:pPr>
        <w:spacing w:after="0" w:line="240" w:lineRule="auto"/>
        <w:contextualSpacing/>
        <w:jc w:val="both"/>
        <w:textAlignment w:val="baseline"/>
        <w:rPr>
          <w:rFonts w:ascii="Arial" w:eastAsia="Times New Roman" w:hAnsi="Arial" w:cs="Arial"/>
          <w:b/>
          <w:lang w:val="es-MX" w:eastAsia="es-CO"/>
        </w:rPr>
      </w:pPr>
      <w:r w:rsidRPr="00B2375F">
        <w:rPr>
          <w:rFonts w:ascii="Arial" w:eastAsia="Times New Roman" w:hAnsi="Arial" w:cs="Arial"/>
          <w:b/>
          <w:lang w:val="es-MX" w:eastAsia="es-CO"/>
        </w:rPr>
        <w:t>BIENES Y SERVICIOS DE CARACTERISTICAS TECNICAS UNIFORMES – Elementos</w:t>
      </w:r>
    </w:p>
    <w:p w14:paraId="6ECFCFD8"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lang w:val="es-ES" w:eastAsia="es-CO"/>
        </w:rPr>
      </w:pPr>
    </w:p>
    <w:p w14:paraId="35658083"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lang w:eastAsia="es-CO"/>
        </w:rPr>
      </w:pPr>
      <w:r w:rsidRPr="00B2375F">
        <w:rPr>
          <w:rFonts w:ascii="Arial" w:eastAsia="Times New Roman" w:hAnsi="Arial" w:cs="Arial"/>
          <w:sz w:val="20"/>
          <w:szCs w:val="20"/>
          <w:lang w:val="es-ES" w:eastAsia="es-CO"/>
        </w:rPr>
        <w:t xml:space="preserve">Como se advierte de lo anterior, los elementos centrales para definir si un bien o servicio se considera de características técnicas uniformes consiste en que posea las mismas especificaciones técnicas y compartan patrones de desempeño y calidad objetivamente definidos, de manera que sea posible adquirirlos en el mercado en condiciones estandarizadas u homogéneas, con independencia de su diseño o de sus características descriptivas, que no afectan su funcionalidad. En este sentido, la forma </w:t>
      </w:r>
      <w:r w:rsidRPr="00B2375F">
        <w:rPr>
          <w:rFonts w:ascii="Arial" w:eastAsia="Times New Roman" w:hAnsi="Arial" w:cs="Arial"/>
          <w:sz w:val="20"/>
          <w:szCs w:val="20"/>
          <w:lang w:val="es-ES" w:eastAsia="es-CO"/>
        </w:rPr>
        <w:lastRenderedPageBreak/>
        <w:t>como se adquieren en el mercado incide en la determinación de si un bien o servicio se encuadra en esta categoría. De ahí que el Decreto 1082 de 2015 disponga que «pueden ser agrupados como bienes y servicios homogéneos para su adquisición», dado que son bienes y servicios con especificaciones técnicas y patrones de desempeño y calidad iguales o similares. </w:t>
      </w:r>
      <w:r w:rsidRPr="00B2375F">
        <w:rPr>
          <w:rFonts w:ascii="Arial" w:eastAsia="Times New Roman" w:hAnsi="Arial" w:cs="Arial"/>
          <w:sz w:val="20"/>
          <w:szCs w:val="20"/>
          <w:lang w:eastAsia="es-CO"/>
        </w:rPr>
        <w:t> </w:t>
      </w:r>
    </w:p>
    <w:p w14:paraId="120002ED" w14:textId="77777777" w:rsidR="00640577" w:rsidRDefault="00640577" w:rsidP="00640577">
      <w:pPr>
        <w:spacing w:after="0" w:line="240" w:lineRule="auto"/>
        <w:contextualSpacing/>
        <w:jc w:val="both"/>
        <w:textAlignment w:val="baseline"/>
        <w:rPr>
          <w:rFonts w:ascii="Arial" w:eastAsia="Times New Roman" w:hAnsi="Arial" w:cs="Arial"/>
          <w:b/>
          <w:bCs/>
          <w:sz w:val="20"/>
          <w:szCs w:val="20"/>
          <w:lang w:val="es-MX" w:eastAsia="es-CO"/>
        </w:rPr>
      </w:pPr>
    </w:p>
    <w:p w14:paraId="257CEFB4" w14:textId="77777777" w:rsidR="00640577" w:rsidRPr="00B2375F" w:rsidRDefault="00640577" w:rsidP="00640577">
      <w:pPr>
        <w:spacing w:after="0" w:line="240" w:lineRule="auto"/>
        <w:contextualSpacing/>
        <w:jc w:val="both"/>
        <w:textAlignment w:val="baseline"/>
        <w:rPr>
          <w:rFonts w:ascii="Arial" w:eastAsia="Times New Roman" w:hAnsi="Arial" w:cs="Arial"/>
          <w:b/>
          <w:bCs/>
          <w:lang w:val="es-MX" w:eastAsia="es-CO"/>
        </w:rPr>
      </w:pPr>
      <w:r w:rsidRPr="00B2375F">
        <w:rPr>
          <w:rFonts w:ascii="Arial" w:eastAsia="Times New Roman" w:hAnsi="Arial" w:cs="Arial"/>
          <w:b/>
          <w:bCs/>
          <w:lang w:val="es-MX" w:eastAsia="es-CO"/>
        </w:rPr>
        <w:t>SELECCIÓN ABREVIADA SUBASTA INVERSA – Modalidad de selección – Procedencia – Cuantía</w:t>
      </w:r>
    </w:p>
    <w:p w14:paraId="4504894F" w14:textId="77777777" w:rsidR="00640577" w:rsidRPr="00B2375F" w:rsidRDefault="00640577" w:rsidP="00640577">
      <w:pPr>
        <w:spacing w:after="0" w:line="240" w:lineRule="auto"/>
        <w:ind w:firstLine="703"/>
        <w:contextualSpacing/>
        <w:jc w:val="both"/>
        <w:textAlignment w:val="baseline"/>
        <w:rPr>
          <w:rFonts w:ascii="Arial" w:eastAsia="Times New Roman" w:hAnsi="Arial" w:cs="Arial"/>
          <w:sz w:val="20"/>
          <w:szCs w:val="20"/>
          <w:lang w:eastAsia="es-CO"/>
        </w:rPr>
      </w:pPr>
    </w:p>
    <w:p w14:paraId="5A146906" w14:textId="77777777" w:rsidR="00640577" w:rsidRPr="00B2375F" w:rsidRDefault="00640577" w:rsidP="00640577">
      <w:pPr>
        <w:spacing w:after="0" w:line="240" w:lineRule="auto"/>
        <w:contextualSpacing/>
        <w:jc w:val="both"/>
        <w:textAlignment w:val="baseline"/>
        <w:rPr>
          <w:rFonts w:ascii="Arial" w:eastAsia="Times New Roman" w:hAnsi="Arial" w:cs="Arial"/>
          <w:sz w:val="20"/>
          <w:szCs w:val="20"/>
          <w:lang w:eastAsia="es-CO"/>
        </w:rPr>
      </w:pPr>
      <w:r w:rsidRPr="00B2375F">
        <w:rPr>
          <w:rFonts w:ascii="Arial" w:eastAsia="Times New Roman" w:hAnsi="Arial" w:cs="Arial"/>
          <w:sz w:val="20"/>
          <w:szCs w:val="20"/>
          <w:lang w:eastAsia="es-CO"/>
        </w:rPr>
        <w:t xml:space="preserve">Finalmente, una vez y explicado el criterio esencial para la configuración de la causal establecida en el literal a) del numeral 2° del artículo 2 de la Ley 1150 de 2007, se puede afirmar que lo que determina su aplicación es que el bien o servicio a contratar guarde las características y elementos previamente descritos, sin ser relevante la cuantía de los bienes o servicios a contratar, en la medida que la citada disposición no establece un límite de cuantía frente a la cual opera la subasta inversa. Lo contrario ocurre con la primera causal estudiada en el numeral 2.2. del presente concepto, en virtud de la cual si resulta relevante la cuantía en los términos que fue desarrollado en el acápite correspondiente. </w:t>
      </w:r>
    </w:p>
    <w:p w14:paraId="5697785C" w14:textId="6AAAD423" w:rsidR="00B36503" w:rsidRPr="00B36503" w:rsidRDefault="00B36503">
      <w:pPr>
        <w:rPr>
          <w:rFonts w:ascii="Arial" w:eastAsia="Times New Roman" w:hAnsi="Arial" w:cs="Arial"/>
          <w:b/>
          <w:lang w:eastAsia="es-CO"/>
        </w:rPr>
      </w:pPr>
      <w:r w:rsidRPr="00B36503">
        <w:rPr>
          <w:rFonts w:ascii="Arial" w:eastAsia="Times New Roman" w:hAnsi="Arial" w:cs="Arial"/>
          <w:b/>
          <w:lang w:eastAsia="es-CO"/>
        </w:rPr>
        <w:br w:type="page"/>
      </w:r>
    </w:p>
    <w:p w14:paraId="7674F496" w14:textId="77777777" w:rsidR="00535F27" w:rsidRPr="00535F27" w:rsidRDefault="00535F27" w:rsidP="00E66A63">
      <w:pPr>
        <w:spacing w:after="0" w:line="240" w:lineRule="auto"/>
        <w:contextualSpacing/>
        <w:jc w:val="both"/>
        <w:rPr>
          <w:rFonts w:ascii="Arial" w:eastAsia="Calibri" w:hAnsi="Arial" w:cs="Arial"/>
          <w:sz w:val="21"/>
          <w:szCs w:val="21"/>
          <w:lang w:val="es-ES_tradnl" w:eastAsia="es-ES_tradnl"/>
        </w:rPr>
      </w:pPr>
    </w:p>
    <w:p w14:paraId="7FD80644" w14:textId="68A2E22F" w:rsidR="00535F27" w:rsidRPr="00535F27" w:rsidRDefault="00A97F51" w:rsidP="00A97F51">
      <w:pPr>
        <w:spacing w:after="0" w:line="240" w:lineRule="auto"/>
        <w:contextualSpacing/>
        <w:jc w:val="right"/>
        <w:rPr>
          <w:rFonts w:ascii="Arial" w:eastAsia="Calibri" w:hAnsi="Arial" w:cs="Arial"/>
          <w:sz w:val="21"/>
          <w:szCs w:val="21"/>
          <w:lang w:val="es-ES_tradnl" w:eastAsia="es-ES_tradnl"/>
        </w:rPr>
      </w:pPr>
      <w:r w:rsidRPr="00A97F51">
        <w:rPr>
          <w:rFonts w:ascii="Arial" w:eastAsia="Calibri" w:hAnsi="Arial" w:cs="Arial"/>
          <w:noProof/>
          <w:sz w:val="21"/>
          <w:szCs w:val="21"/>
          <w:lang w:val="es-ES_tradnl" w:eastAsia="es-ES_tradnl"/>
        </w:rPr>
        <w:drawing>
          <wp:inline distT="0" distB="0" distL="0" distR="0" wp14:anchorId="4BCC0B33" wp14:editId="7DF9D691">
            <wp:extent cx="2987040" cy="863722"/>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5511" cy="866171"/>
                    </a:xfrm>
                    <a:prstGeom prst="rect">
                      <a:avLst/>
                    </a:prstGeom>
                  </pic:spPr>
                </pic:pic>
              </a:graphicData>
            </a:graphic>
          </wp:inline>
        </w:drawing>
      </w:r>
    </w:p>
    <w:p w14:paraId="1D754E93" w14:textId="12D93B56" w:rsidR="00535F27" w:rsidRPr="00B36503" w:rsidRDefault="00535F27" w:rsidP="00E66A63">
      <w:pPr>
        <w:spacing w:after="0" w:line="240" w:lineRule="auto"/>
        <w:contextualSpacing/>
        <w:jc w:val="both"/>
        <w:rPr>
          <w:rFonts w:ascii="Arial" w:eastAsia="Calibri" w:hAnsi="Arial" w:cs="Arial"/>
          <w:sz w:val="21"/>
          <w:szCs w:val="21"/>
          <w:lang w:val="es-ES_tradnl" w:eastAsia="es-ES_tradnl"/>
        </w:rPr>
      </w:pPr>
    </w:p>
    <w:p w14:paraId="38541839" w14:textId="04093566" w:rsidR="00535F27" w:rsidRPr="00535F27" w:rsidRDefault="00535F27" w:rsidP="00E66A63">
      <w:pPr>
        <w:spacing w:after="0" w:line="240" w:lineRule="auto"/>
        <w:contextualSpacing/>
        <w:jc w:val="both"/>
        <w:rPr>
          <w:rFonts w:ascii="Arial" w:eastAsia="Calibri" w:hAnsi="Arial" w:cs="Arial"/>
          <w:sz w:val="21"/>
          <w:szCs w:val="21"/>
          <w:lang w:val="es-ES_tradnl" w:eastAsia="es-ES_tradnl"/>
        </w:rPr>
      </w:pPr>
      <w:r w:rsidRPr="00535F27">
        <w:rPr>
          <w:rFonts w:ascii="Arial" w:eastAsia="Calibri" w:hAnsi="Arial" w:cs="Arial"/>
          <w:sz w:val="21"/>
          <w:szCs w:val="21"/>
          <w:lang w:val="es-ES_tradnl" w:eastAsia="es-ES_tradnl"/>
        </w:rPr>
        <w:t xml:space="preserve">Bogotá D.C., </w:t>
      </w:r>
      <w:r w:rsidR="00611497">
        <w:rPr>
          <w:rFonts w:ascii="Arial" w:eastAsia="Calibri" w:hAnsi="Arial" w:cs="Arial"/>
          <w:sz w:val="21"/>
          <w:szCs w:val="21"/>
          <w:lang w:val="es-ES_tradnl" w:eastAsia="es-ES_tradnl"/>
        </w:rPr>
        <w:t>28</w:t>
      </w:r>
      <w:r w:rsidR="00611497" w:rsidRPr="00B36503">
        <w:rPr>
          <w:rFonts w:ascii="Arial" w:eastAsia="Calibri" w:hAnsi="Arial" w:cs="Arial"/>
          <w:sz w:val="21"/>
          <w:szCs w:val="21"/>
          <w:lang w:val="es-ES_tradnl" w:eastAsia="es-ES_tradnl"/>
        </w:rPr>
        <w:t xml:space="preserve"> </w:t>
      </w:r>
      <w:r w:rsidR="00E66A63" w:rsidRPr="00B36503">
        <w:rPr>
          <w:rFonts w:ascii="Arial" w:eastAsia="Calibri" w:hAnsi="Arial" w:cs="Arial"/>
          <w:sz w:val="21"/>
          <w:szCs w:val="21"/>
          <w:lang w:val="es-ES_tradnl" w:eastAsia="es-ES_tradnl"/>
        </w:rPr>
        <w:t>de diciembre de 2022</w:t>
      </w:r>
    </w:p>
    <w:p w14:paraId="541F73D1" w14:textId="56869766" w:rsidR="00535F27" w:rsidRPr="00B36503" w:rsidRDefault="00535F27" w:rsidP="00E66A63">
      <w:pPr>
        <w:spacing w:after="0" w:line="240" w:lineRule="auto"/>
        <w:contextualSpacing/>
        <w:jc w:val="both"/>
        <w:rPr>
          <w:rFonts w:ascii="Arial" w:eastAsia="Calibri" w:hAnsi="Arial" w:cs="Arial"/>
          <w:sz w:val="21"/>
          <w:szCs w:val="21"/>
          <w:lang w:val="es-ES_tradnl" w:eastAsia="es-ES_tradnl"/>
        </w:rPr>
      </w:pPr>
    </w:p>
    <w:p w14:paraId="046B1A98" w14:textId="77777777" w:rsidR="00E66A63" w:rsidRPr="00535F27" w:rsidRDefault="00E66A63" w:rsidP="00E66A63">
      <w:pPr>
        <w:spacing w:after="0" w:line="240" w:lineRule="auto"/>
        <w:contextualSpacing/>
        <w:jc w:val="both"/>
        <w:rPr>
          <w:rFonts w:ascii="Arial" w:eastAsia="Calibri" w:hAnsi="Arial" w:cs="Arial"/>
          <w:sz w:val="21"/>
          <w:szCs w:val="21"/>
          <w:lang w:val="es-ES_tradnl" w:eastAsia="es-ES_tradnl"/>
        </w:rPr>
      </w:pPr>
    </w:p>
    <w:p w14:paraId="55AB0BDD" w14:textId="195351FA" w:rsidR="00535F27" w:rsidRPr="00535F27" w:rsidRDefault="00535F27" w:rsidP="00E66A63">
      <w:pPr>
        <w:spacing w:after="0" w:line="240" w:lineRule="auto"/>
        <w:contextualSpacing/>
        <w:jc w:val="both"/>
        <w:rPr>
          <w:rFonts w:ascii="Arial" w:eastAsia="Calibri" w:hAnsi="Arial" w:cs="Arial"/>
          <w:b/>
          <w:bCs/>
          <w:sz w:val="21"/>
          <w:szCs w:val="21"/>
          <w:lang w:val="es-ES_tradnl" w:eastAsia="es-ES_tradnl"/>
        </w:rPr>
      </w:pPr>
      <w:r w:rsidRPr="00535F27">
        <w:rPr>
          <w:rFonts w:ascii="Arial" w:eastAsia="Calibri" w:hAnsi="Arial" w:cs="Arial"/>
          <w:sz w:val="21"/>
          <w:szCs w:val="21"/>
          <w:lang w:val="es-ES_tradnl" w:eastAsia="es-ES_tradnl"/>
        </w:rPr>
        <w:t>Señor</w:t>
      </w:r>
      <w:r w:rsidR="00E66A63" w:rsidRPr="00B36503">
        <w:rPr>
          <w:rFonts w:ascii="Arial" w:eastAsia="Calibri" w:hAnsi="Arial" w:cs="Arial"/>
          <w:sz w:val="21"/>
          <w:szCs w:val="21"/>
          <w:lang w:val="es-ES_tradnl" w:eastAsia="es-ES_tradnl"/>
        </w:rPr>
        <w:t>a</w:t>
      </w:r>
    </w:p>
    <w:p w14:paraId="35750B9B" w14:textId="53FEEDF9" w:rsidR="00E66A63" w:rsidRPr="00B36503" w:rsidRDefault="00E66A63" w:rsidP="00E66A63">
      <w:pPr>
        <w:spacing w:after="0" w:line="240" w:lineRule="auto"/>
        <w:contextualSpacing/>
        <w:jc w:val="both"/>
        <w:rPr>
          <w:rFonts w:ascii="Arial" w:eastAsia="Calibri" w:hAnsi="Arial" w:cs="Arial"/>
          <w:b/>
          <w:bCs/>
          <w:sz w:val="21"/>
          <w:szCs w:val="21"/>
          <w:lang w:val="es-ES_tradnl" w:eastAsia="es-ES_tradnl"/>
        </w:rPr>
      </w:pPr>
      <w:r w:rsidRPr="00B36503">
        <w:rPr>
          <w:rFonts w:ascii="Arial" w:eastAsia="Calibri" w:hAnsi="Arial" w:cs="Arial"/>
          <w:b/>
          <w:bCs/>
          <w:sz w:val="21"/>
          <w:szCs w:val="21"/>
          <w:lang w:val="es-ES_tradnl" w:eastAsia="es-ES_tradnl"/>
        </w:rPr>
        <w:t>DANIA AURORA GARZON CASTELLANOS</w:t>
      </w:r>
    </w:p>
    <w:p w14:paraId="10A86E24" w14:textId="64C0DCCD" w:rsidR="00535F27" w:rsidRPr="00535F27" w:rsidRDefault="00E66A63" w:rsidP="00E66A63">
      <w:pPr>
        <w:spacing w:after="0" w:line="240" w:lineRule="auto"/>
        <w:contextualSpacing/>
        <w:jc w:val="both"/>
        <w:rPr>
          <w:rFonts w:ascii="Arial" w:eastAsia="Calibri" w:hAnsi="Arial" w:cs="Arial"/>
          <w:sz w:val="21"/>
          <w:szCs w:val="21"/>
          <w:lang w:val="es-ES_tradnl" w:eastAsia="es-ES_tradnl"/>
        </w:rPr>
      </w:pPr>
      <w:r w:rsidRPr="00B36503">
        <w:rPr>
          <w:rFonts w:ascii="Arial" w:eastAsia="Calibri" w:hAnsi="Arial" w:cs="Arial"/>
          <w:sz w:val="21"/>
          <w:szCs w:val="21"/>
          <w:lang w:val="es-ES_tradnl" w:eastAsia="es-ES_tradnl"/>
        </w:rPr>
        <w:t>Carmen de Viboral, Antioquia</w:t>
      </w:r>
    </w:p>
    <w:p w14:paraId="28960D5B" w14:textId="77777777" w:rsidR="00535F27" w:rsidRPr="00535F27" w:rsidRDefault="00535F27" w:rsidP="00E66A63">
      <w:pPr>
        <w:spacing w:after="0" w:line="240" w:lineRule="auto"/>
        <w:contextualSpacing/>
        <w:rPr>
          <w:rFonts w:ascii="Arial" w:eastAsia="Calibri" w:hAnsi="Arial" w:cs="Arial"/>
          <w:sz w:val="21"/>
          <w:szCs w:val="21"/>
          <w:lang w:val="es-ES_tradnl" w:eastAsia="es-ES_tradnl"/>
        </w:rPr>
      </w:pPr>
    </w:p>
    <w:p w14:paraId="1F8B3154" w14:textId="77777777" w:rsidR="00535F27" w:rsidRPr="00535F27" w:rsidRDefault="00535F27" w:rsidP="00E66A63">
      <w:pPr>
        <w:spacing w:after="0" w:line="240" w:lineRule="auto"/>
        <w:contextualSpacing/>
        <w:rPr>
          <w:rFonts w:ascii="Arial" w:eastAsia="Calibri" w:hAnsi="Arial" w:cs="Arial"/>
          <w:sz w:val="21"/>
          <w:szCs w:val="21"/>
          <w:lang w:val="es-ES_tradnl" w:eastAsia="es-ES_tradnl"/>
        </w:rPr>
      </w:pPr>
    </w:p>
    <w:p w14:paraId="39F0321E" w14:textId="0BAD1FDD" w:rsidR="00535F27" w:rsidRPr="00535F27" w:rsidRDefault="00535F27" w:rsidP="00E66A63">
      <w:pPr>
        <w:spacing w:after="0" w:line="240" w:lineRule="auto"/>
        <w:contextualSpacing/>
        <w:rPr>
          <w:rFonts w:ascii="Arial" w:eastAsia="Calibri" w:hAnsi="Arial" w:cs="Arial"/>
          <w:b/>
          <w:sz w:val="21"/>
          <w:szCs w:val="21"/>
          <w:lang w:val="es-ES_tradnl" w:eastAsia="es-ES_tradnl"/>
        </w:rPr>
      </w:pPr>
      <w:r w:rsidRPr="00535F27">
        <w:rPr>
          <w:rFonts w:ascii="Arial" w:eastAsia="Calibri" w:hAnsi="Arial" w:cs="Arial"/>
          <w:sz w:val="21"/>
          <w:szCs w:val="21"/>
          <w:lang w:val="es-ES_tradnl" w:eastAsia="es-ES_tradnl"/>
        </w:rPr>
        <w:t xml:space="preserve">                                            </w:t>
      </w:r>
      <w:r w:rsidRPr="00535F27">
        <w:rPr>
          <w:rFonts w:ascii="Arial" w:eastAsia="Calibri" w:hAnsi="Arial" w:cs="Arial"/>
          <w:b/>
          <w:sz w:val="21"/>
          <w:szCs w:val="21"/>
          <w:lang w:val="es-ES_tradnl" w:eastAsia="es-ES_tradnl"/>
        </w:rPr>
        <w:t xml:space="preserve">Concepto C ‒ </w:t>
      </w:r>
      <w:r w:rsidR="00E66A63" w:rsidRPr="00B36503">
        <w:rPr>
          <w:rFonts w:ascii="Arial" w:eastAsia="Calibri" w:hAnsi="Arial" w:cs="Arial"/>
          <w:b/>
          <w:sz w:val="21"/>
          <w:szCs w:val="21"/>
          <w:lang w:val="es-ES_tradnl" w:eastAsia="es-ES_tradnl"/>
        </w:rPr>
        <w:t>90</w:t>
      </w:r>
      <w:r w:rsidRPr="00535F27">
        <w:rPr>
          <w:rFonts w:ascii="Arial" w:eastAsia="Calibri" w:hAnsi="Arial" w:cs="Arial"/>
          <w:b/>
          <w:sz w:val="21"/>
          <w:szCs w:val="21"/>
          <w:lang w:val="es-ES_tradnl" w:eastAsia="es-ES_tradnl"/>
        </w:rPr>
        <w:t>5 de 2022</w:t>
      </w:r>
    </w:p>
    <w:p w14:paraId="4EBF7121" w14:textId="77777777" w:rsidR="00535F27" w:rsidRPr="00535F27" w:rsidRDefault="00535F27" w:rsidP="00E66A63">
      <w:pPr>
        <w:spacing w:after="0" w:line="240" w:lineRule="auto"/>
        <w:contextualSpacing/>
        <w:jc w:val="both"/>
        <w:rPr>
          <w:rFonts w:ascii="Arial" w:eastAsia="Calibri" w:hAnsi="Arial" w:cs="Arial"/>
          <w:sz w:val="21"/>
          <w:szCs w:val="21"/>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36503" w:rsidRPr="00B36503" w14:paraId="50C26249" w14:textId="77777777" w:rsidTr="00513161">
        <w:tc>
          <w:tcPr>
            <w:tcW w:w="2689" w:type="dxa"/>
          </w:tcPr>
          <w:p w14:paraId="2163DCBA" w14:textId="77777777" w:rsidR="00535F27" w:rsidRPr="00535F27" w:rsidRDefault="00535F27" w:rsidP="00E66A63">
            <w:pPr>
              <w:contextualSpacing/>
              <w:jc w:val="both"/>
              <w:rPr>
                <w:rFonts w:ascii="Arial" w:eastAsia="Calibri" w:hAnsi="Arial" w:cs="Arial"/>
                <w:sz w:val="21"/>
                <w:szCs w:val="21"/>
                <w:lang w:val="es-ES_tradnl" w:eastAsia="es-ES_tradnl"/>
              </w:rPr>
            </w:pPr>
            <w:r w:rsidRPr="00535F27">
              <w:rPr>
                <w:rFonts w:ascii="Arial" w:eastAsia="Calibri" w:hAnsi="Arial" w:cs="Arial"/>
                <w:b/>
                <w:sz w:val="21"/>
                <w:szCs w:val="21"/>
                <w:lang w:val="es-ES_tradnl" w:eastAsia="es-ES_tradnl"/>
              </w:rPr>
              <w:t>Temas:</w:t>
            </w:r>
            <w:r w:rsidRPr="00535F27">
              <w:rPr>
                <w:rFonts w:ascii="Arial" w:eastAsia="Calibri" w:hAnsi="Arial" w:cs="Arial"/>
                <w:sz w:val="21"/>
                <w:szCs w:val="21"/>
                <w:lang w:val="es-ES_tradnl" w:eastAsia="es-ES_tradnl"/>
              </w:rPr>
              <w:t xml:space="preserve">                                      </w:t>
            </w:r>
          </w:p>
        </w:tc>
        <w:tc>
          <w:tcPr>
            <w:tcW w:w="6237" w:type="dxa"/>
          </w:tcPr>
          <w:p w14:paraId="3E3584BA" w14:textId="77777777" w:rsidR="00D113CB" w:rsidRPr="00B2375F" w:rsidRDefault="00B36503" w:rsidP="00D113CB">
            <w:pPr>
              <w:contextualSpacing/>
              <w:jc w:val="both"/>
              <w:textAlignment w:val="baseline"/>
              <w:rPr>
                <w:rFonts w:ascii="Arial" w:eastAsia="Times New Roman" w:hAnsi="Arial" w:cs="Arial"/>
                <w:b/>
                <w:bCs/>
                <w:lang w:val="es-MX" w:eastAsia="es-CO"/>
              </w:rPr>
            </w:pPr>
            <w:r w:rsidRPr="00535F27">
              <w:rPr>
                <w:rFonts w:ascii="Arial" w:eastAsia="Times New Roman" w:hAnsi="Arial" w:cs="Arial"/>
                <w:lang w:val="es-MX" w:eastAsia="es-CO"/>
              </w:rPr>
              <w:t>SELECCIÓN ABREVIADA– Modalidad de selección – Naturaleza </w:t>
            </w:r>
            <w:r w:rsidRPr="00B36503">
              <w:rPr>
                <w:rFonts w:ascii="Arial" w:eastAsia="Times New Roman" w:hAnsi="Arial" w:cs="Arial"/>
                <w:lang w:eastAsia="es-CO"/>
              </w:rPr>
              <w:t xml:space="preserve">/ </w:t>
            </w:r>
            <w:r w:rsidRPr="00535F27">
              <w:rPr>
                <w:rFonts w:ascii="Arial" w:eastAsia="Times New Roman" w:hAnsi="Arial" w:cs="Arial"/>
                <w:lang w:val="es-MX" w:eastAsia="es-CO"/>
              </w:rPr>
              <w:t>SELECCIÓN ABREVIADA MENOR CUANTÍA – Modalidad de selección – Procedencia</w:t>
            </w:r>
            <w:r w:rsidRPr="00535F27">
              <w:rPr>
                <w:rFonts w:ascii="Arial" w:eastAsia="Times New Roman" w:hAnsi="Arial" w:cs="Arial"/>
                <w:lang w:eastAsia="es-CO"/>
              </w:rPr>
              <w:t> </w:t>
            </w:r>
            <w:r w:rsidRPr="00B36503">
              <w:rPr>
                <w:rFonts w:ascii="Arial" w:eastAsia="Times New Roman" w:hAnsi="Arial" w:cs="Arial"/>
                <w:lang w:eastAsia="es-CO"/>
              </w:rPr>
              <w:t xml:space="preserve">/ </w:t>
            </w:r>
            <w:r w:rsidRPr="00535F27">
              <w:rPr>
                <w:rFonts w:ascii="Arial" w:eastAsia="Times New Roman" w:hAnsi="Arial" w:cs="Arial"/>
                <w:lang w:val="es-MX" w:eastAsia="es-CO"/>
              </w:rPr>
              <w:t>SELECCIÓN ABREVIADA SUBASTA INVERSA – Modalidad de selección – Finalidad – Articulo 2 Numeral 2 de la Ley 1150 de 2007 </w:t>
            </w:r>
            <w:r w:rsidRPr="00B36503">
              <w:rPr>
                <w:rFonts w:ascii="Arial" w:eastAsia="Times New Roman" w:hAnsi="Arial" w:cs="Arial"/>
                <w:lang w:val="es-MX" w:eastAsia="es-CO"/>
              </w:rPr>
              <w:t>/</w:t>
            </w:r>
            <w:r w:rsidRPr="00535F27">
              <w:rPr>
                <w:rFonts w:ascii="Arial" w:eastAsia="Times New Roman" w:hAnsi="Arial" w:cs="Arial"/>
                <w:lang w:eastAsia="es-CO"/>
              </w:rPr>
              <w:t> </w:t>
            </w:r>
            <w:r w:rsidRPr="00535F27">
              <w:rPr>
                <w:rFonts w:ascii="Arial" w:eastAsia="Times New Roman" w:hAnsi="Arial" w:cs="Arial"/>
                <w:lang w:val="es-MX" w:eastAsia="es-CO"/>
              </w:rPr>
              <w:t>SELECCIÓN ABREVIADA SUBASTA INVERSA – Modalidad de selección –</w:t>
            </w:r>
            <w:r w:rsidRPr="00B36503">
              <w:rPr>
                <w:rFonts w:ascii="Arial" w:eastAsia="Times New Roman" w:hAnsi="Arial" w:cs="Arial"/>
                <w:lang w:val="es-MX" w:eastAsia="es-CO"/>
              </w:rPr>
              <w:t xml:space="preserve"> Procedencia / </w:t>
            </w:r>
            <w:r w:rsidRPr="00535F27">
              <w:rPr>
                <w:rFonts w:ascii="Arial" w:eastAsia="Times New Roman" w:hAnsi="Arial" w:cs="Arial"/>
                <w:lang w:val="es-MX" w:eastAsia="es-CO"/>
              </w:rPr>
              <w:t>BIENES Y SERVICIOS DE CARACTERISTICAS TECNICAS UNIFORMES – Elementos</w:t>
            </w:r>
            <w:r w:rsidR="00D113CB">
              <w:rPr>
                <w:rFonts w:ascii="Arial" w:eastAsia="Times New Roman" w:hAnsi="Arial" w:cs="Arial"/>
                <w:lang w:val="es-MX" w:eastAsia="es-CO"/>
              </w:rPr>
              <w:t xml:space="preserve"> / </w:t>
            </w:r>
            <w:r w:rsidR="00D113CB" w:rsidRPr="00D113CB">
              <w:rPr>
                <w:rFonts w:ascii="Arial" w:eastAsia="Times New Roman" w:hAnsi="Arial" w:cs="Arial"/>
                <w:lang w:val="es-MX" w:eastAsia="es-CO"/>
              </w:rPr>
              <w:t>SELECCIÓN ABREVIADA SUBASTA INVERSA – Modalidad de selección – Procedencia – Cuantía</w:t>
            </w:r>
          </w:p>
          <w:p w14:paraId="14C7D1A5" w14:textId="77777777" w:rsidR="00535F27" w:rsidRPr="00535F27" w:rsidRDefault="00535F27" w:rsidP="00E66A63">
            <w:pPr>
              <w:contextualSpacing/>
              <w:jc w:val="both"/>
              <w:rPr>
                <w:rFonts w:ascii="Arial" w:eastAsia="Times New Roman" w:hAnsi="Arial" w:cs="Arial"/>
                <w:sz w:val="21"/>
                <w:szCs w:val="21"/>
                <w:highlight w:val="yellow"/>
                <w:lang w:val="es-ES_tradnl" w:eastAsia="es-ES_tradnl"/>
              </w:rPr>
            </w:pPr>
          </w:p>
        </w:tc>
      </w:tr>
      <w:tr w:rsidR="00B36503" w:rsidRPr="00B36503" w14:paraId="251A7CFC" w14:textId="77777777" w:rsidTr="00513161">
        <w:tc>
          <w:tcPr>
            <w:tcW w:w="2689" w:type="dxa"/>
          </w:tcPr>
          <w:p w14:paraId="4C415EF7" w14:textId="77777777" w:rsidR="00535F27" w:rsidRPr="00535F27" w:rsidRDefault="00535F27" w:rsidP="00E66A63">
            <w:pPr>
              <w:contextualSpacing/>
              <w:jc w:val="both"/>
              <w:rPr>
                <w:rFonts w:ascii="Arial" w:eastAsia="Calibri" w:hAnsi="Arial" w:cs="Arial"/>
                <w:b/>
                <w:sz w:val="21"/>
                <w:szCs w:val="21"/>
                <w:lang w:val="es-ES_tradnl" w:eastAsia="es-ES_tradnl"/>
              </w:rPr>
            </w:pPr>
            <w:r w:rsidRPr="00535F27">
              <w:rPr>
                <w:rFonts w:ascii="Arial" w:eastAsia="Calibri" w:hAnsi="Arial" w:cs="Arial"/>
                <w:b/>
                <w:sz w:val="21"/>
                <w:szCs w:val="21"/>
                <w:lang w:val="es-ES_tradnl" w:eastAsia="es-ES_tradnl"/>
              </w:rPr>
              <w:t>Radicación:</w:t>
            </w:r>
            <w:r w:rsidRPr="00535F27">
              <w:rPr>
                <w:rFonts w:ascii="Arial" w:eastAsia="Calibri" w:hAnsi="Arial" w:cs="Arial"/>
                <w:sz w:val="21"/>
                <w:szCs w:val="21"/>
                <w:lang w:val="es-ES_tradnl" w:eastAsia="es-ES_tradnl"/>
              </w:rPr>
              <w:t xml:space="preserve">                              </w:t>
            </w:r>
          </w:p>
        </w:tc>
        <w:tc>
          <w:tcPr>
            <w:tcW w:w="6237" w:type="dxa"/>
          </w:tcPr>
          <w:p w14:paraId="02E4F869" w14:textId="4F4C7421" w:rsidR="00535F27" w:rsidRPr="00535F27" w:rsidRDefault="00535F27" w:rsidP="00E66A63">
            <w:pPr>
              <w:contextualSpacing/>
              <w:jc w:val="both"/>
              <w:rPr>
                <w:rFonts w:ascii="Arial" w:eastAsia="Calibri" w:hAnsi="Arial" w:cs="Arial"/>
                <w:sz w:val="21"/>
                <w:szCs w:val="21"/>
                <w:lang w:val="es-ES_tradnl" w:eastAsia="es-ES_tradnl"/>
              </w:rPr>
            </w:pPr>
            <w:r w:rsidRPr="00535F27">
              <w:rPr>
                <w:rFonts w:ascii="Arial" w:eastAsia="Calibri" w:hAnsi="Arial" w:cs="Arial"/>
                <w:sz w:val="21"/>
                <w:szCs w:val="21"/>
                <w:lang w:val="es-ES_tradnl" w:eastAsia="es-ES_tradnl"/>
              </w:rPr>
              <w:t xml:space="preserve">Respuesta de la consulta </w:t>
            </w:r>
            <w:r w:rsidR="00E66A63" w:rsidRPr="00B36503">
              <w:rPr>
                <w:rFonts w:ascii="Arial" w:eastAsia="Calibri" w:hAnsi="Arial" w:cs="Arial"/>
                <w:sz w:val="21"/>
                <w:szCs w:val="21"/>
                <w:lang w:val="es-ES_tradnl" w:eastAsia="es-ES_tradnl"/>
              </w:rPr>
              <w:t>P20221122011629</w:t>
            </w:r>
          </w:p>
        </w:tc>
      </w:tr>
    </w:tbl>
    <w:p w14:paraId="043982CE" w14:textId="77777777" w:rsidR="00535F27" w:rsidRPr="00535F27" w:rsidRDefault="00535F27" w:rsidP="00E66A63">
      <w:pPr>
        <w:spacing w:after="0" w:line="240" w:lineRule="auto"/>
        <w:contextualSpacing/>
        <w:jc w:val="both"/>
        <w:rPr>
          <w:rFonts w:ascii="Arial" w:eastAsia="Calibri" w:hAnsi="Arial" w:cs="Arial"/>
          <w:sz w:val="21"/>
          <w:szCs w:val="21"/>
          <w:lang w:val="es-ES_tradnl" w:eastAsia="es-ES_tradnl"/>
        </w:rPr>
      </w:pPr>
    </w:p>
    <w:p w14:paraId="2D5BC63E" w14:textId="77777777" w:rsidR="00535F27" w:rsidRPr="00535F27" w:rsidRDefault="00535F27" w:rsidP="00E66A63">
      <w:pPr>
        <w:spacing w:after="0" w:line="240" w:lineRule="auto"/>
        <w:contextualSpacing/>
        <w:jc w:val="both"/>
        <w:rPr>
          <w:rFonts w:ascii="Arial" w:eastAsia="Calibri" w:hAnsi="Arial" w:cs="Arial"/>
          <w:sz w:val="21"/>
          <w:szCs w:val="21"/>
          <w:lang w:val="es-ES_tradnl" w:eastAsia="es-ES_tradnl"/>
        </w:rPr>
      </w:pPr>
    </w:p>
    <w:p w14:paraId="34D11536" w14:textId="0458195B" w:rsidR="00535F27" w:rsidRPr="00535F27" w:rsidRDefault="00535F27" w:rsidP="00E66A63">
      <w:pPr>
        <w:spacing w:after="0" w:line="240" w:lineRule="auto"/>
        <w:contextualSpacing/>
        <w:jc w:val="both"/>
        <w:rPr>
          <w:rFonts w:ascii="Arial" w:eastAsia="Calibri" w:hAnsi="Arial" w:cs="Arial"/>
          <w:sz w:val="21"/>
          <w:szCs w:val="21"/>
          <w:lang w:val="es-ES_tradnl" w:eastAsia="es-ES_tradnl"/>
        </w:rPr>
      </w:pPr>
      <w:r w:rsidRPr="00535F27">
        <w:rPr>
          <w:rFonts w:ascii="Arial" w:eastAsia="Calibri" w:hAnsi="Arial" w:cs="Arial"/>
          <w:sz w:val="21"/>
          <w:szCs w:val="21"/>
          <w:lang w:val="es-ES_tradnl" w:eastAsia="es-ES_tradnl"/>
        </w:rPr>
        <w:t>Estimad</w:t>
      </w:r>
      <w:r w:rsidR="00E66A63" w:rsidRPr="00B36503">
        <w:rPr>
          <w:rFonts w:ascii="Arial" w:eastAsia="Calibri" w:hAnsi="Arial" w:cs="Arial"/>
          <w:sz w:val="21"/>
          <w:szCs w:val="21"/>
          <w:lang w:val="es-ES_tradnl" w:eastAsia="es-ES_tradnl"/>
        </w:rPr>
        <w:t>a</w:t>
      </w:r>
      <w:r w:rsidRPr="00535F27">
        <w:rPr>
          <w:rFonts w:ascii="Arial" w:eastAsia="Calibri" w:hAnsi="Arial" w:cs="Arial"/>
          <w:sz w:val="21"/>
          <w:szCs w:val="21"/>
          <w:lang w:val="es-ES_tradnl" w:eastAsia="es-ES_tradnl"/>
        </w:rPr>
        <w:t xml:space="preserve"> señor</w:t>
      </w:r>
      <w:r w:rsidR="00E66A63" w:rsidRPr="00B36503">
        <w:rPr>
          <w:rFonts w:ascii="Arial" w:eastAsia="Calibri" w:hAnsi="Arial" w:cs="Arial"/>
          <w:sz w:val="21"/>
          <w:szCs w:val="21"/>
          <w:lang w:val="es-ES_tradnl" w:eastAsia="es-ES_tradnl"/>
        </w:rPr>
        <w:t>a</w:t>
      </w:r>
      <w:r w:rsidRPr="00535F27">
        <w:rPr>
          <w:rFonts w:ascii="Arial" w:eastAsia="Calibri" w:hAnsi="Arial" w:cs="Arial"/>
          <w:sz w:val="21"/>
          <w:szCs w:val="21"/>
          <w:lang w:val="es-ES_tradnl" w:eastAsia="es-ES_tradnl"/>
        </w:rPr>
        <w:t xml:space="preserve"> </w:t>
      </w:r>
      <w:r w:rsidR="00E66A63" w:rsidRPr="00B36503">
        <w:rPr>
          <w:rFonts w:ascii="Arial" w:eastAsia="Calibri" w:hAnsi="Arial" w:cs="Arial"/>
          <w:sz w:val="21"/>
          <w:szCs w:val="21"/>
          <w:lang w:val="es-ES_tradnl" w:eastAsia="es-ES_tradnl"/>
        </w:rPr>
        <w:t>Garzón</w:t>
      </w:r>
      <w:r w:rsidRPr="00535F27">
        <w:rPr>
          <w:rFonts w:ascii="Arial" w:eastAsia="Calibri" w:hAnsi="Arial" w:cs="Arial"/>
          <w:sz w:val="21"/>
          <w:szCs w:val="21"/>
          <w:lang w:val="es-ES_tradnl" w:eastAsia="es-ES_tradnl"/>
        </w:rPr>
        <w:t>:</w:t>
      </w:r>
    </w:p>
    <w:p w14:paraId="5427868B" w14:textId="77777777" w:rsidR="00535F27" w:rsidRPr="00535F27" w:rsidRDefault="00535F27" w:rsidP="00E66A63">
      <w:pPr>
        <w:spacing w:after="0" w:line="240" w:lineRule="auto"/>
        <w:contextualSpacing/>
        <w:jc w:val="both"/>
        <w:rPr>
          <w:rFonts w:ascii="Arial" w:eastAsia="Calibri" w:hAnsi="Arial" w:cs="Arial"/>
          <w:sz w:val="21"/>
          <w:szCs w:val="21"/>
          <w:lang w:val="es-ES_tradnl" w:eastAsia="es-ES_tradnl"/>
        </w:rPr>
      </w:pPr>
    </w:p>
    <w:p w14:paraId="0B6158BE" w14:textId="539925D0" w:rsidR="00535F27" w:rsidRPr="00535F27" w:rsidRDefault="00535F27" w:rsidP="00E66A63">
      <w:pPr>
        <w:spacing w:after="0" w:line="240" w:lineRule="auto"/>
        <w:contextualSpacing/>
        <w:jc w:val="both"/>
        <w:rPr>
          <w:rFonts w:ascii="Arial" w:eastAsia="Calibri" w:hAnsi="Arial" w:cs="Arial"/>
          <w:sz w:val="21"/>
          <w:szCs w:val="21"/>
          <w:lang w:val="es-ES_tradnl" w:eastAsia="es-ES_tradnl"/>
        </w:rPr>
      </w:pPr>
      <w:r w:rsidRPr="00535F27">
        <w:rPr>
          <w:rFonts w:ascii="Arial" w:eastAsia="Calibri" w:hAnsi="Arial" w:cs="Arial"/>
          <w:sz w:val="21"/>
          <w:szCs w:val="21"/>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E66A63" w:rsidRPr="00B36503">
        <w:rPr>
          <w:rFonts w:ascii="Arial" w:eastAsia="Calibri" w:hAnsi="Arial" w:cs="Arial"/>
          <w:sz w:val="21"/>
          <w:szCs w:val="21"/>
          <w:lang w:val="es-ES_tradnl" w:eastAsia="es-ES_tradnl"/>
        </w:rPr>
        <w:t>22 de noviembre</w:t>
      </w:r>
      <w:r w:rsidRPr="00535F27">
        <w:rPr>
          <w:rFonts w:ascii="Arial" w:eastAsia="Calibri" w:hAnsi="Arial" w:cs="Arial"/>
          <w:sz w:val="21"/>
          <w:szCs w:val="21"/>
          <w:lang w:val="es-ES_tradnl" w:eastAsia="es-ES_tradnl"/>
        </w:rPr>
        <w:t xml:space="preserve"> de 2022.</w:t>
      </w:r>
    </w:p>
    <w:p w14:paraId="3096271F" w14:textId="77777777" w:rsidR="00535F27" w:rsidRPr="00535F27" w:rsidRDefault="00535F27" w:rsidP="00E66A63">
      <w:pPr>
        <w:spacing w:after="0" w:line="240" w:lineRule="auto"/>
        <w:contextualSpacing/>
        <w:jc w:val="both"/>
        <w:rPr>
          <w:rFonts w:ascii="Arial" w:eastAsia="Calibri" w:hAnsi="Arial" w:cs="Arial"/>
          <w:b/>
          <w:sz w:val="21"/>
          <w:szCs w:val="21"/>
          <w:lang w:val="es-ES_tradnl" w:eastAsia="es-ES_tradnl"/>
        </w:rPr>
      </w:pPr>
    </w:p>
    <w:p w14:paraId="0B67AFA6" w14:textId="77777777" w:rsidR="00535F27" w:rsidRPr="00535F27" w:rsidRDefault="00535F27" w:rsidP="00E66A63">
      <w:pPr>
        <w:numPr>
          <w:ilvl w:val="0"/>
          <w:numId w:val="1"/>
        </w:numPr>
        <w:tabs>
          <w:tab w:val="left" w:pos="0"/>
          <w:tab w:val="left" w:pos="142"/>
          <w:tab w:val="left" w:pos="284"/>
        </w:tabs>
        <w:spacing w:after="0" w:line="240" w:lineRule="auto"/>
        <w:contextualSpacing/>
        <w:jc w:val="both"/>
        <w:rPr>
          <w:rFonts w:ascii="Arial" w:eastAsia="Calibri" w:hAnsi="Arial" w:cs="Arial"/>
          <w:b/>
          <w:sz w:val="21"/>
          <w:szCs w:val="21"/>
          <w:lang w:val="es-ES_tradnl" w:eastAsia="es-ES_tradnl"/>
        </w:rPr>
      </w:pPr>
      <w:r w:rsidRPr="00535F27">
        <w:rPr>
          <w:rFonts w:ascii="Arial" w:eastAsia="Calibri" w:hAnsi="Arial" w:cs="Arial"/>
          <w:b/>
          <w:sz w:val="21"/>
          <w:szCs w:val="21"/>
          <w:lang w:val="es-ES_tradnl"/>
        </w:rPr>
        <w:t xml:space="preserve">Problema planteado </w:t>
      </w:r>
    </w:p>
    <w:p w14:paraId="23CA2F8D" w14:textId="77777777" w:rsidR="00535F27" w:rsidRPr="00535F27" w:rsidRDefault="00535F27" w:rsidP="00E66A63">
      <w:pPr>
        <w:tabs>
          <w:tab w:val="left" w:pos="0"/>
          <w:tab w:val="left" w:pos="142"/>
          <w:tab w:val="left" w:pos="284"/>
        </w:tabs>
        <w:spacing w:after="0" w:line="240" w:lineRule="auto"/>
        <w:ind w:left="360"/>
        <w:contextualSpacing/>
        <w:jc w:val="both"/>
        <w:rPr>
          <w:rFonts w:ascii="Arial" w:eastAsia="Calibri" w:hAnsi="Arial" w:cs="Arial"/>
          <w:b/>
          <w:sz w:val="21"/>
          <w:szCs w:val="21"/>
          <w:lang w:val="es-ES_tradnl" w:eastAsia="es-ES_tradnl"/>
        </w:rPr>
      </w:pPr>
    </w:p>
    <w:p w14:paraId="1E8EE933" w14:textId="77777777" w:rsidR="00535F27" w:rsidRPr="00535F27" w:rsidRDefault="00535F27" w:rsidP="00E66A63">
      <w:pPr>
        <w:spacing w:after="0" w:line="240" w:lineRule="auto"/>
        <w:contextualSpacing/>
        <w:jc w:val="both"/>
        <w:rPr>
          <w:rFonts w:ascii="Arial" w:eastAsia="Calibri" w:hAnsi="Arial" w:cs="Arial"/>
          <w:sz w:val="21"/>
          <w:szCs w:val="21"/>
        </w:rPr>
      </w:pPr>
      <w:r w:rsidRPr="00535F27">
        <w:rPr>
          <w:rFonts w:ascii="Arial" w:eastAsia="Calibri" w:hAnsi="Arial" w:cs="Arial"/>
          <w:sz w:val="21"/>
          <w:szCs w:val="21"/>
        </w:rPr>
        <w:t>Usted formula la siguiente consulta:</w:t>
      </w:r>
    </w:p>
    <w:p w14:paraId="6B950D1C" w14:textId="77777777" w:rsidR="00535F27" w:rsidRPr="00535F27" w:rsidRDefault="00535F27" w:rsidP="00E66A63">
      <w:pPr>
        <w:spacing w:after="0" w:line="240" w:lineRule="auto"/>
        <w:contextualSpacing/>
        <w:rPr>
          <w:rFonts w:ascii="Arial" w:eastAsia="Calibri" w:hAnsi="Arial" w:cs="Arial"/>
          <w:b/>
          <w:bCs/>
          <w:sz w:val="21"/>
          <w:szCs w:val="21"/>
          <w:lang w:val="es-MX"/>
        </w:rPr>
      </w:pPr>
    </w:p>
    <w:p w14:paraId="2164CB41" w14:textId="459BB7F6" w:rsidR="00E66A63" w:rsidRPr="00B36503" w:rsidRDefault="00535F27" w:rsidP="000B7CB4">
      <w:pPr>
        <w:spacing w:after="0" w:line="240" w:lineRule="auto"/>
        <w:ind w:left="709" w:right="709"/>
        <w:contextualSpacing/>
        <w:jc w:val="both"/>
        <w:rPr>
          <w:rFonts w:ascii="Arial" w:eastAsia="Times New Roman" w:hAnsi="Arial" w:cs="Arial"/>
          <w:sz w:val="21"/>
          <w:szCs w:val="21"/>
          <w:lang w:eastAsia="es-CO"/>
        </w:rPr>
      </w:pPr>
      <w:r w:rsidRPr="00535F27">
        <w:rPr>
          <w:rFonts w:ascii="Arial" w:eastAsia="Arial" w:hAnsi="Arial" w:cs="Arial"/>
          <w:sz w:val="21"/>
          <w:szCs w:val="21"/>
          <w:lang w:val="es-ES" w:eastAsia="es-ES" w:bidi="es-ES"/>
        </w:rPr>
        <w:t>«</w:t>
      </w:r>
      <w:r w:rsidR="00E66A63" w:rsidRPr="00B36503">
        <w:rPr>
          <w:rFonts w:ascii="Arial" w:eastAsia="Times New Roman" w:hAnsi="Arial" w:cs="Arial"/>
          <w:sz w:val="21"/>
          <w:szCs w:val="21"/>
          <w:lang w:eastAsia="es-CO"/>
        </w:rPr>
        <w:t>De conformidad con lo señalado en el numeral 2º del artículo 2 de la Ley 1150 de 2007 y el artículo 2.2.1.2.1.2.2 del Decreto 1082 de 2015.</w:t>
      </w:r>
    </w:p>
    <w:p w14:paraId="32D64DE9"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 </w:t>
      </w:r>
    </w:p>
    <w:p w14:paraId="6277C08E"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La ley 1150 de 2007 en su artículo 2º, al definir la modalidad de selección abreviada señala:</w:t>
      </w:r>
    </w:p>
    <w:p w14:paraId="2722EA6B"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 </w:t>
      </w:r>
    </w:p>
    <w:p w14:paraId="0187D4C1"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i/>
          <w:iCs/>
          <w:sz w:val="21"/>
          <w:szCs w:val="21"/>
          <w:lang w:eastAsia="es-CO"/>
        </w:rPr>
        <w:t>&lt;&lt;</w:t>
      </w:r>
      <w:r w:rsidRPr="00E66A63">
        <w:rPr>
          <w:rFonts w:ascii="Arial" w:eastAsia="Times New Roman" w:hAnsi="Arial" w:cs="Arial"/>
          <w:b/>
          <w:bCs/>
          <w:i/>
          <w:iCs/>
          <w:sz w:val="21"/>
          <w:szCs w:val="21"/>
          <w:lang w:eastAsia="es-CO"/>
        </w:rPr>
        <w:t>Selección abreviada. </w:t>
      </w:r>
      <w:r w:rsidRPr="00E66A63">
        <w:rPr>
          <w:rFonts w:ascii="Arial" w:eastAsia="Times New Roman" w:hAnsi="Arial" w:cs="Arial"/>
          <w:i/>
          <w:iCs/>
          <w:sz w:val="21"/>
          <w:szCs w:val="21"/>
          <w:lang w:eastAsia="es-CO"/>
        </w:rPr>
        <w:t>La Selección abreviada corresponde a la modalidad de selección objetiva prevista para aquellos casos en que por las </w:t>
      </w:r>
      <w:r w:rsidRPr="00E66A63">
        <w:rPr>
          <w:rFonts w:ascii="Arial" w:eastAsia="Times New Roman" w:hAnsi="Arial" w:cs="Arial"/>
          <w:b/>
          <w:bCs/>
          <w:i/>
          <w:iCs/>
          <w:sz w:val="21"/>
          <w:szCs w:val="21"/>
          <w:u w:val="single"/>
          <w:lang w:eastAsia="es-CO"/>
        </w:rPr>
        <w:t>características del objeto a contratar, las circunstancias de la contratación o la cuantía o destinación del bien, obra o servicio</w:t>
      </w:r>
      <w:r w:rsidRPr="00E66A63">
        <w:rPr>
          <w:rFonts w:ascii="Arial" w:eastAsia="Times New Roman" w:hAnsi="Arial" w:cs="Arial"/>
          <w:i/>
          <w:iCs/>
          <w:sz w:val="21"/>
          <w:szCs w:val="21"/>
          <w:lang w:eastAsia="es-CO"/>
        </w:rPr>
        <w:t>, puedan adelantarse procesos simplificados para garantizar la eficiencia de la gestión contractual</w:t>
      </w:r>
    </w:p>
    <w:p w14:paraId="52F9A756"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i/>
          <w:iCs/>
          <w:sz w:val="21"/>
          <w:szCs w:val="21"/>
          <w:lang w:eastAsia="es-CO"/>
        </w:rPr>
        <w:t> </w:t>
      </w:r>
    </w:p>
    <w:p w14:paraId="4E956310" w14:textId="11050103" w:rsidR="00E66A63" w:rsidRPr="00B36503" w:rsidRDefault="00E66A63" w:rsidP="000B7CB4">
      <w:pPr>
        <w:spacing w:after="0" w:line="240" w:lineRule="auto"/>
        <w:ind w:left="709" w:right="709"/>
        <w:contextualSpacing/>
        <w:jc w:val="both"/>
        <w:rPr>
          <w:rFonts w:ascii="Arial" w:eastAsia="Times New Roman" w:hAnsi="Arial" w:cs="Arial"/>
          <w:i/>
          <w:iCs/>
          <w:sz w:val="21"/>
          <w:szCs w:val="21"/>
          <w:lang w:eastAsia="es-CO"/>
        </w:rPr>
      </w:pPr>
      <w:r w:rsidRPr="00E66A63">
        <w:rPr>
          <w:rFonts w:ascii="Arial" w:eastAsia="Times New Roman" w:hAnsi="Arial" w:cs="Arial"/>
          <w:i/>
          <w:iCs/>
          <w:sz w:val="21"/>
          <w:szCs w:val="21"/>
          <w:lang w:eastAsia="es-CO"/>
        </w:rPr>
        <w:lastRenderedPageBreak/>
        <w:t>Serán causales de selección abreviada las siguientes:</w:t>
      </w:r>
    </w:p>
    <w:p w14:paraId="08048598" w14:textId="77777777" w:rsidR="000B7CB4" w:rsidRPr="00E66A63" w:rsidRDefault="000B7CB4" w:rsidP="000B7CB4">
      <w:pPr>
        <w:spacing w:after="0" w:line="240" w:lineRule="auto"/>
        <w:ind w:left="709" w:right="709"/>
        <w:contextualSpacing/>
        <w:jc w:val="both"/>
        <w:rPr>
          <w:rFonts w:ascii="Arial" w:eastAsia="Times New Roman" w:hAnsi="Arial" w:cs="Arial"/>
          <w:sz w:val="21"/>
          <w:szCs w:val="21"/>
          <w:lang w:eastAsia="es-CO"/>
        </w:rPr>
      </w:pPr>
    </w:p>
    <w:p w14:paraId="5406336E"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i/>
          <w:iCs/>
          <w:sz w:val="21"/>
          <w:szCs w:val="21"/>
          <w:lang w:eastAsia="es-CO"/>
        </w:rPr>
        <w:t>(…)</w:t>
      </w:r>
    </w:p>
    <w:p w14:paraId="161E11C6" w14:textId="77777777" w:rsidR="000B7CB4" w:rsidRPr="00B36503" w:rsidRDefault="000B7CB4" w:rsidP="000B7CB4">
      <w:pPr>
        <w:spacing w:after="0" w:line="240" w:lineRule="auto"/>
        <w:ind w:left="709" w:right="709"/>
        <w:contextualSpacing/>
        <w:jc w:val="both"/>
        <w:rPr>
          <w:rFonts w:ascii="Arial" w:eastAsia="Times New Roman" w:hAnsi="Arial" w:cs="Arial"/>
          <w:b/>
          <w:bCs/>
          <w:i/>
          <w:iCs/>
          <w:sz w:val="21"/>
          <w:szCs w:val="21"/>
          <w:lang w:eastAsia="es-CO"/>
        </w:rPr>
      </w:pPr>
    </w:p>
    <w:p w14:paraId="0CEFDBE7" w14:textId="6100963C" w:rsidR="00E66A63" w:rsidRPr="00B36503" w:rsidRDefault="00E66A63" w:rsidP="000B7CB4">
      <w:pPr>
        <w:spacing w:after="0" w:line="240" w:lineRule="auto"/>
        <w:ind w:left="709" w:right="709"/>
        <w:contextualSpacing/>
        <w:jc w:val="both"/>
        <w:rPr>
          <w:rFonts w:ascii="Arial" w:eastAsia="Times New Roman" w:hAnsi="Arial" w:cs="Arial"/>
          <w:i/>
          <w:iCs/>
          <w:sz w:val="21"/>
          <w:szCs w:val="21"/>
          <w:lang w:eastAsia="es-CO"/>
        </w:rPr>
      </w:pPr>
      <w:r w:rsidRPr="00E66A63">
        <w:rPr>
          <w:rFonts w:ascii="Arial" w:eastAsia="Times New Roman" w:hAnsi="Arial" w:cs="Arial"/>
          <w:b/>
          <w:bCs/>
          <w:i/>
          <w:iCs/>
          <w:sz w:val="21"/>
          <w:szCs w:val="21"/>
          <w:lang w:eastAsia="es-CO"/>
        </w:rPr>
        <w:t>a)  </w:t>
      </w:r>
      <w:r w:rsidRPr="00E66A63">
        <w:rPr>
          <w:rFonts w:ascii="Arial" w:eastAsia="Times New Roman" w:hAnsi="Arial" w:cs="Arial"/>
          <w:b/>
          <w:bCs/>
          <w:i/>
          <w:iCs/>
          <w:sz w:val="21"/>
          <w:szCs w:val="21"/>
          <w:u w:val="single"/>
          <w:lang w:eastAsia="es-CO"/>
        </w:rPr>
        <w:t>La adquisición o suministro de bienes y servicios de características técnicas uniformes y de común utilización por parte de las entidades</w:t>
      </w:r>
      <w:r w:rsidRPr="00E66A63">
        <w:rPr>
          <w:rFonts w:ascii="Arial" w:eastAsia="Times New Roman" w:hAnsi="Arial" w:cs="Arial"/>
          <w:i/>
          <w:iCs/>
          <w:sz w:val="21"/>
          <w:szCs w:val="21"/>
          <w:lang w:eastAsia="es-CO"/>
        </w:rPr>
        <w:t>, que corresponden a aquellos que poseen las mismas especificaciones técnicas, con independencia de su diseño o de sus características descriptivas, y comparten patrones de desempeño y calidad objetivamente definidos.</w:t>
      </w:r>
    </w:p>
    <w:p w14:paraId="6E9059AE" w14:textId="77777777" w:rsidR="00D721EB" w:rsidRPr="00E66A63" w:rsidRDefault="00D721EB" w:rsidP="000B7CB4">
      <w:pPr>
        <w:spacing w:after="0" w:line="240" w:lineRule="auto"/>
        <w:ind w:left="709" w:right="709"/>
        <w:contextualSpacing/>
        <w:jc w:val="both"/>
        <w:rPr>
          <w:rFonts w:ascii="Arial" w:eastAsia="Times New Roman" w:hAnsi="Arial" w:cs="Arial"/>
          <w:sz w:val="21"/>
          <w:szCs w:val="21"/>
          <w:lang w:eastAsia="es-CO"/>
        </w:rPr>
      </w:pPr>
    </w:p>
    <w:p w14:paraId="68D3F7B2" w14:textId="7444603B"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i/>
          <w:iCs/>
          <w:sz w:val="21"/>
          <w:szCs w:val="21"/>
          <w:lang w:eastAsia="es-CO"/>
        </w:rPr>
        <w:t>Para la adquisición de estos bienes y servicios las entidades deberán, siempre que el reglamento así lo señale, hacer uso de </w:t>
      </w:r>
      <w:r w:rsidRPr="00E66A63">
        <w:rPr>
          <w:rFonts w:ascii="Arial" w:eastAsia="Times New Roman" w:hAnsi="Arial" w:cs="Arial"/>
          <w:b/>
          <w:bCs/>
          <w:i/>
          <w:iCs/>
          <w:sz w:val="21"/>
          <w:szCs w:val="21"/>
          <w:lang w:eastAsia="es-CO"/>
        </w:rPr>
        <w:t>procedimientos de subasta inversa</w:t>
      </w:r>
      <w:r w:rsidRPr="00E66A63">
        <w:rPr>
          <w:rFonts w:ascii="Arial" w:eastAsia="Times New Roman" w:hAnsi="Arial" w:cs="Arial"/>
          <w:i/>
          <w:iCs/>
          <w:sz w:val="21"/>
          <w:szCs w:val="21"/>
          <w:lang w:eastAsia="es-CO"/>
        </w:rPr>
        <w:t> o de instrumentos de compra por catálogo derivados de la celebración de acuerdos marco de precios o de procedimientos de adquisición en bolsas de productos&gt;&gt;</w:t>
      </w:r>
    </w:p>
    <w:p w14:paraId="26D24C25"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 </w:t>
      </w:r>
    </w:p>
    <w:p w14:paraId="1A93F4A3" w14:textId="0289C60B"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Amablemente, me permito formular los siguientes interrogantes:</w:t>
      </w:r>
    </w:p>
    <w:p w14:paraId="391CC7FD"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 </w:t>
      </w:r>
    </w:p>
    <w:p w14:paraId="20310649" w14:textId="2C609A1C"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1. ¿Si la entidad Estatal pretende adquirir </w:t>
      </w:r>
      <w:r w:rsidRPr="00E66A63">
        <w:rPr>
          <w:rFonts w:ascii="Arial" w:eastAsia="Times New Roman" w:hAnsi="Arial" w:cs="Arial"/>
          <w:b/>
          <w:bCs/>
          <w:i/>
          <w:iCs/>
          <w:sz w:val="21"/>
          <w:szCs w:val="21"/>
          <w:u w:val="single"/>
          <w:lang w:eastAsia="es-CO"/>
        </w:rPr>
        <w:t>bienes y servicios de características técnicas uniformes y de común utilización </w:t>
      </w:r>
      <w:r w:rsidRPr="00E66A63">
        <w:rPr>
          <w:rFonts w:ascii="Arial" w:eastAsia="Times New Roman" w:hAnsi="Arial" w:cs="Arial"/>
          <w:i/>
          <w:iCs/>
          <w:sz w:val="21"/>
          <w:szCs w:val="21"/>
          <w:lang w:eastAsia="es-CO"/>
        </w:rPr>
        <w:t>mediante la modalidad de</w:t>
      </w:r>
      <w:r w:rsidR="000B7CB4" w:rsidRPr="00B36503">
        <w:rPr>
          <w:rFonts w:ascii="Arial" w:eastAsia="Times New Roman" w:hAnsi="Arial" w:cs="Arial"/>
          <w:i/>
          <w:iCs/>
          <w:sz w:val="21"/>
          <w:szCs w:val="21"/>
          <w:lang w:eastAsia="es-CO"/>
        </w:rPr>
        <w:t xml:space="preserve"> </w:t>
      </w:r>
      <w:r w:rsidRPr="00E66A63">
        <w:rPr>
          <w:rFonts w:ascii="Arial" w:eastAsia="Times New Roman" w:hAnsi="Arial" w:cs="Arial"/>
          <w:i/>
          <w:iCs/>
          <w:sz w:val="21"/>
          <w:szCs w:val="21"/>
          <w:lang w:eastAsia="es-CO"/>
        </w:rPr>
        <w:t>selección abreviada por subasta inversa </w:t>
      </w:r>
      <w:r w:rsidRPr="00E66A63">
        <w:rPr>
          <w:rFonts w:ascii="Arial" w:eastAsia="Times New Roman" w:hAnsi="Arial" w:cs="Arial"/>
          <w:sz w:val="21"/>
          <w:szCs w:val="21"/>
          <w:lang w:eastAsia="es-CO"/>
        </w:rPr>
        <w:t>existe un límite de cuantía?</w:t>
      </w:r>
    </w:p>
    <w:p w14:paraId="13CADC0A"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 </w:t>
      </w:r>
    </w:p>
    <w:p w14:paraId="686823FA"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Es decir, el Municipio desea adquirir </w:t>
      </w:r>
      <w:r w:rsidRPr="00E66A63">
        <w:rPr>
          <w:rFonts w:ascii="Arial" w:eastAsia="Times New Roman" w:hAnsi="Arial" w:cs="Arial"/>
          <w:b/>
          <w:bCs/>
          <w:i/>
          <w:iCs/>
          <w:sz w:val="21"/>
          <w:szCs w:val="21"/>
          <w:u w:val="single"/>
          <w:lang w:eastAsia="es-CO"/>
        </w:rPr>
        <w:t>bienes y servicios de características técnicas uniformes y de común utilización</w:t>
      </w:r>
      <w:r w:rsidRPr="00E66A63">
        <w:rPr>
          <w:rFonts w:ascii="Arial" w:eastAsia="Times New Roman" w:hAnsi="Arial" w:cs="Arial"/>
          <w:i/>
          <w:iCs/>
          <w:sz w:val="21"/>
          <w:szCs w:val="21"/>
          <w:lang w:eastAsia="es-CO"/>
        </w:rPr>
        <w:t> que no están incluidos dentro de un acuerdo marco, ni bolsa de productos.  No obstante, superan el presupuesto de la menor cuantía de la entidad,</w:t>
      </w:r>
    </w:p>
    <w:p w14:paraId="7E391E6F" w14:textId="77777777" w:rsidR="00E66A63" w:rsidRPr="00E66A63"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i/>
          <w:iCs/>
          <w:sz w:val="21"/>
          <w:szCs w:val="21"/>
          <w:lang w:eastAsia="es-CO"/>
        </w:rPr>
        <w:t> </w:t>
      </w:r>
    </w:p>
    <w:p w14:paraId="5024E53B" w14:textId="656DEB70" w:rsidR="00535F27" w:rsidRPr="00535F27" w:rsidRDefault="00E66A63" w:rsidP="000B7CB4">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i/>
          <w:iCs/>
          <w:sz w:val="21"/>
          <w:szCs w:val="21"/>
          <w:lang w:eastAsia="es-CO"/>
        </w:rPr>
        <w:t>¿Se debe acudir a un proceso de licitación publica y/o por lo contrario, bajo el entendido que la norma no contempla un limite de cuantía para la selección abreviada por subasta inversa, se debe acudir a esta ultima modalidad sin importar el limite de cuantía y en razón al objeto y los bienes a adquirir, aplicando todo el procedimiento que conllevan a la misma?</w:t>
      </w:r>
      <w:r w:rsidR="00D62619" w:rsidRPr="00B36503">
        <w:rPr>
          <w:rFonts w:ascii="Arial" w:eastAsia="Arial" w:hAnsi="Arial" w:cs="Arial"/>
          <w:sz w:val="21"/>
          <w:szCs w:val="21"/>
        </w:rPr>
        <w:t>»</w:t>
      </w:r>
      <w:r w:rsidR="00535F27" w:rsidRPr="00535F27">
        <w:rPr>
          <w:rFonts w:ascii="Arial" w:eastAsia="Arial" w:hAnsi="Arial" w:cs="Arial"/>
          <w:sz w:val="21"/>
          <w:szCs w:val="21"/>
          <w:lang w:val="es-ES" w:eastAsia="es-ES" w:bidi="es-ES"/>
        </w:rPr>
        <w:t xml:space="preserve"> [</w:t>
      </w:r>
      <w:r w:rsidR="00D62619" w:rsidRPr="00B36503">
        <w:rPr>
          <w:rFonts w:ascii="Arial" w:eastAsia="Arial" w:hAnsi="Arial" w:cs="Arial"/>
          <w:sz w:val="21"/>
          <w:szCs w:val="21"/>
          <w:lang w:val="es-ES" w:eastAsia="es-ES" w:bidi="es-ES"/>
        </w:rPr>
        <w:t>SIC</w:t>
      </w:r>
      <w:r w:rsidR="00535F27" w:rsidRPr="00535F27">
        <w:rPr>
          <w:rFonts w:ascii="Arial" w:eastAsia="Arial" w:hAnsi="Arial" w:cs="Arial"/>
          <w:sz w:val="21"/>
          <w:szCs w:val="21"/>
          <w:lang w:val="es-ES" w:eastAsia="es-ES" w:bidi="es-ES"/>
        </w:rPr>
        <w:t>]</w:t>
      </w:r>
    </w:p>
    <w:p w14:paraId="327ADE3A" w14:textId="77777777" w:rsidR="00535F27" w:rsidRPr="00535F27" w:rsidRDefault="00535F27" w:rsidP="00D62619">
      <w:pPr>
        <w:spacing w:after="0" w:line="276" w:lineRule="auto"/>
        <w:ind w:right="709"/>
        <w:contextualSpacing/>
        <w:jc w:val="both"/>
        <w:rPr>
          <w:rFonts w:ascii="Arial" w:eastAsia="Times New Roman" w:hAnsi="Arial" w:cs="Arial"/>
          <w:lang w:eastAsia="es-ES_tradnl"/>
        </w:rPr>
      </w:pPr>
    </w:p>
    <w:p w14:paraId="2EAC3016" w14:textId="77777777" w:rsidR="00535F27" w:rsidRPr="00535F27" w:rsidRDefault="00535F27" w:rsidP="00D62619">
      <w:pPr>
        <w:numPr>
          <w:ilvl w:val="0"/>
          <w:numId w:val="1"/>
        </w:numPr>
        <w:tabs>
          <w:tab w:val="left" w:pos="0"/>
          <w:tab w:val="left" w:pos="284"/>
        </w:tabs>
        <w:spacing w:after="0" w:line="276" w:lineRule="auto"/>
        <w:contextualSpacing/>
        <w:jc w:val="both"/>
        <w:rPr>
          <w:rFonts w:ascii="Arial" w:eastAsia="Calibri" w:hAnsi="Arial" w:cs="Arial"/>
          <w:b/>
          <w:lang w:val="es-ES_tradnl"/>
        </w:rPr>
      </w:pPr>
      <w:r w:rsidRPr="00535F27">
        <w:rPr>
          <w:rFonts w:ascii="Arial" w:eastAsia="Calibri" w:hAnsi="Arial" w:cs="Arial"/>
          <w:b/>
          <w:lang w:val="es-ES_tradnl"/>
        </w:rPr>
        <w:t>Consideraciones</w:t>
      </w:r>
    </w:p>
    <w:p w14:paraId="1EBD8DBE" w14:textId="77777777" w:rsidR="00535F27" w:rsidRPr="00535F27" w:rsidRDefault="00535F27" w:rsidP="00D62619">
      <w:pPr>
        <w:tabs>
          <w:tab w:val="left" w:pos="0"/>
          <w:tab w:val="left" w:pos="284"/>
        </w:tabs>
        <w:spacing w:after="0" w:line="276" w:lineRule="auto"/>
        <w:ind w:left="360"/>
        <w:contextualSpacing/>
        <w:jc w:val="both"/>
        <w:rPr>
          <w:rFonts w:ascii="Arial" w:eastAsia="Calibri" w:hAnsi="Arial" w:cs="Arial"/>
          <w:b/>
          <w:lang w:val="es-ES_tradnl"/>
        </w:rPr>
      </w:pPr>
    </w:p>
    <w:p w14:paraId="68F36C04" w14:textId="77777777" w:rsidR="00535F27" w:rsidRPr="00535F27" w:rsidRDefault="00535F27" w:rsidP="00D721EB">
      <w:pPr>
        <w:spacing w:after="120" w:line="276" w:lineRule="auto"/>
        <w:jc w:val="both"/>
        <w:rPr>
          <w:rFonts w:ascii="Arial" w:eastAsia="Calibri" w:hAnsi="Arial" w:cs="Arial"/>
          <w:lang w:val="es-ES_tradnl"/>
        </w:rPr>
      </w:pPr>
      <w:r w:rsidRPr="00535F27">
        <w:rPr>
          <w:rFonts w:ascii="Arial" w:eastAsia="Arial" w:hAnsi="Arial" w:cs="Arial"/>
          <w:lang w:val="es-MX" w:eastAsia="es-ES_tradnl"/>
        </w:rPr>
        <w:t>En ejercicio de las competencias establecidas en los numerales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535F27">
        <w:rPr>
          <w:rFonts w:ascii="Arial" w:eastAsia="Arial" w:hAnsi="Arial" w:cs="Arial"/>
          <w:vertAlign w:val="superscript"/>
          <w:lang w:val="es-MX" w:eastAsia="es-ES_tradnl"/>
        </w:rPr>
        <w:footnoteReference w:id="1"/>
      </w:r>
      <w:r w:rsidRPr="00535F27">
        <w:rPr>
          <w:rFonts w:ascii="Arial" w:eastAsia="Arial" w:hAnsi="Arial" w:cs="Arial"/>
          <w:lang w:val="es-MX" w:eastAsia="es-ES_tradnl"/>
        </w:rPr>
        <w:t xml:space="preserve">. </w:t>
      </w:r>
      <w:r w:rsidRPr="00535F27">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w:t>
      </w:r>
    </w:p>
    <w:p w14:paraId="5D83C5EB" w14:textId="77777777" w:rsidR="00535F27" w:rsidRPr="00535F27" w:rsidRDefault="00535F27" w:rsidP="00D721EB">
      <w:pPr>
        <w:spacing w:after="120" w:line="276" w:lineRule="auto"/>
        <w:ind w:firstLine="705"/>
        <w:jc w:val="both"/>
        <w:textAlignment w:val="baseline"/>
        <w:rPr>
          <w:rFonts w:ascii="Arial" w:eastAsia="Times New Roman" w:hAnsi="Arial" w:cs="Arial"/>
          <w:lang w:eastAsia="es-CO"/>
        </w:rPr>
      </w:pPr>
      <w:r w:rsidRPr="00535F27">
        <w:rPr>
          <w:rFonts w:ascii="Arial" w:eastAsia="Times New Roman" w:hAnsi="Arial" w:cs="Arial"/>
          <w:lang w:val="es-ES" w:eastAsia="es-CO"/>
        </w:rPr>
        <w:lastRenderedPageBreak/>
        <w:t>En ese sentido, resolver casos particulares desborda las atribuciones asignadas por el legislador extraordinario, que no concibió a esta Agencia como una autoridad para solucionar problemas jurídicos particulares de todos los partícipes de la contratación estatal.</w:t>
      </w:r>
      <w:r w:rsidRPr="00535F27">
        <w:rPr>
          <w:rFonts w:ascii="Arial" w:eastAsia="Times New Roman" w:hAnsi="Arial" w:cs="Arial"/>
          <w:lang w:eastAsia="es-CO"/>
        </w:rPr>
        <w:t> </w:t>
      </w:r>
    </w:p>
    <w:p w14:paraId="234CBADD" w14:textId="77777777" w:rsidR="00535F27" w:rsidRPr="00535F27" w:rsidRDefault="00535F27" w:rsidP="00D721EB">
      <w:pPr>
        <w:spacing w:after="120" w:line="276" w:lineRule="auto"/>
        <w:ind w:firstLine="705"/>
        <w:jc w:val="both"/>
        <w:textAlignment w:val="baseline"/>
        <w:rPr>
          <w:rFonts w:ascii="Arial" w:eastAsia="Times New Roman" w:hAnsi="Arial" w:cs="Arial"/>
          <w:lang w:eastAsia="es-CO"/>
        </w:rPr>
      </w:pPr>
      <w:r w:rsidRPr="00535F27">
        <w:rPr>
          <w:rFonts w:ascii="Arial" w:eastAsia="Times New Roman" w:hAnsi="Arial" w:cs="Arial"/>
          <w:lang w:val="es-ES" w:eastAsia="es-CO"/>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35F27">
        <w:rPr>
          <w:rFonts w:ascii="Arial" w:eastAsia="Times New Roman" w:hAnsi="Arial" w:cs="Arial"/>
          <w:lang w:eastAsia="es-CO"/>
        </w:rPr>
        <w:t> </w:t>
      </w:r>
    </w:p>
    <w:p w14:paraId="51A978BD" w14:textId="77777777" w:rsidR="00535F27" w:rsidRPr="00535F27" w:rsidRDefault="00535F27" w:rsidP="00D721EB">
      <w:pPr>
        <w:spacing w:after="120" w:line="276" w:lineRule="auto"/>
        <w:ind w:firstLine="703"/>
        <w:jc w:val="both"/>
        <w:rPr>
          <w:rFonts w:ascii="Arial" w:eastAsia="Calibri" w:hAnsi="Arial" w:cs="Arial"/>
          <w:lang w:val="es-ES_tradnl"/>
        </w:rPr>
      </w:pPr>
      <w:r w:rsidRPr="00535F27">
        <w:rPr>
          <w:rFonts w:ascii="Arial" w:eastAsia="Calibri" w:hAnsi="Arial" w:cs="Arial"/>
          <w:shd w:val="clear" w:color="auto" w:fill="FFFFFF"/>
        </w:rPr>
        <w:t xml:space="preserve">Así las cosas, </w:t>
      </w:r>
      <w:r w:rsidRPr="00535F27">
        <w:rPr>
          <w:rFonts w:ascii="Arial" w:eastAsia="Calibri" w:hAnsi="Arial" w:cs="Arial"/>
          <w:shd w:val="clear" w:color="auto" w:fill="FFFFFF"/>
          <w:lang w:val="es-ES"/>
        </w:rPr>
        <w:t xml:space="preserve">la Agencia –dentro de los límites de sus atribuciones–, resolverá la consulta conforme a las normas generales en materia de contratación estatal. </w:t>
      </w:r>
      <w:r w:rsidRPr="00535F27">
        <w:rPr>
          <w:rFonts w:ascii="Arial" w:eastAsia="Calibri" w:hAnsi="Arial" w:cs="Arial"/>
          <w:shd w:val="clear" w:color="auto" w:fill="FFFFFF"/>
          <w:lang w:val="es-MX"/>
        </w:rPr>
        <w:t>Para responder los interrogantes se realizarán algunas consideraciones en torno a los siguientes temas: i) Fundamento normativo de la modalidad de selección abreviada: Análisis del numeral 2° del artículo 2 de la Ley 1150 de 2007; ii) p</w:t>
      </w:r>
      <w:r w:rsidRPr="00535F27">
        <w:rPr>
          <w:rFonts w:ascii="Arial" w:eastAsia="Calibri" w:hAnsi="Arial" w:cs="Arial"/>
        </w:rPr>
        <w:t xml:space="preserve">rocedencia de la </w:t>
      </w:r>
      <w:r w:rsidRPr="00535F27">
        <w:rPr>
          <w:rFonts w:ascii="Arial" w:eastAsia="Calibri" w:hAnsi="Arial" w:cs="Arial"/>
          <w:lang w:val="es-ES_tradnl"/>
        </w:rPr>
        <w:t xml:space="preserve">modalidad de Selección Abreviada por la causal de menor cuantía </w:t>
      </w:r>
      <w:r w:rsidRPr="00535F27">
        <w:rPr>
          <w:rFonts w:ascii="Arial" w:eastAsia="Calibri" w:hAnsi="Arial" w:cs="Arial"/>
          <w:shd w:val="clear" w:color="auto" w:fill="FFFFFF"/>
          <w:lang w:val="es-MX"/>
        </w:rPr>
        <w:t>y; ii) procedencia de la selección abreviada por subasta inversa para la adquisición de bienes y servicios de características técnicas uniformes.</w:t>
      </w:r>
      <w:r w:rsidRPr="00535F27">
        <w:rPr>
          <w:rFonts w:ascii="Arial" w:eastAsia="Calibri" w:hAnsi="Arial" w:cs="Arial"/>
          <w:shd w:val="clear" w:color="auto" w:fill="FFFFFF"/>
        </w:rPr>
        <w:t> </w:t>
      </w:r>
    </w:p>
    <w:p w14:paraId="6D89DD4C" w14:textId="452172BA" w:rsidR="00535F27" w:rsidRPr="00535F27" w:rsidRDefault="00535F27" w:rsidP="00535F27">
      <w:pPr>
        <w:spacing w:after="0" w:line="276" w:lineRule="auto"/>
        <w:ind w:firstLine="703"/>
        <w:contextualSpacing/>
        <w:jc w:val="both"/>
        <w:textAlignment w:val="baseline"/>
        <w:rPr>
          <w:rFonts w:ascii="Arial" w:eastAsia="Calibri" w:hAnsi="Arial" w:cs="Arial"/>
          <w:bdr w:val="none" w:sz="0" w:space="0" w:color="auto" w:frame="1"/>
        </w:rPr>
      </w:pPr>
      <w:r w:rsidRPr="00535F27">
        <w:rPr>
          <w:rFonts w:ascii="Arial" w:eastAsia="Times New Roman" w:hAnsi="Arial" w:cs="Arial"/>
          <w:shd w:val="clear" w:color="auto" w:fill="FFFFFF"/>
          <w:lang w:eastAsia="es-CO"/>
        </w:rPr>
        <w:t>La Agencia Nacional de Contratación Pública – Colombia Compra Eficiente, en los conceptos C-139 del 31 de febrero de 2020, C-080 del 5 de marzo de 2020, C-002 del 5 de mayo de 2020, C-093 del 22 de marzo de 2022, C-261 del 20 de mayo de 2022, entre otros, analizó la modalidad de selección abreviada de menor cuantía. De otra parte, sobre el proceso de selección de subasta inversa se ha pronunciado en los conceptos 4201913000004928 del 20 de agosto de 2019, 4201912000004846 del 3 de septiembre de 2019, en el C-008 del 14 de mayo de 2020 y en el C-024 del 24 de febrero de 2021, C-123 de 5 de abril de 2021</w:t>
      </w:r>
      <w:r w:rsidR="00D721EB" w:rsidRPr="00B36503">
        <w:rPr>
          <w:rFonts w:ascii="Arial" w:eastAsia="Times New Roman" w:hAnsi="Arial" w:cs="Arial"/>
          <w:shd w:val="clear" w:color="auto" w:fill="FFFFFF"/>
          <w:lang w:eastAsia="es-CO"/>
        </w:rPr>
        <w:t xml:space="preserve">, </w:t>
      </w:r>
      <w:r w:rsidRPr="00535F27">
        <w:rPr>
          <w:rFonts w:ascii="Arial" w:eastAsia="Times New Roman" w:hAnsi="Arial" w:cs="Arial"/>
          <w:shd w:val="clear" w:color="auto" w:fill="FFFFFF"/>
          <w:lang w:eastAsia="es-CO"/>
        </w:rPr>
        <w:t>C-568 del 11 de octubre de 2021</w:t>
      </w:r>
      <w:r w:rsidR="00D721EB" w:rsidRPr="00B36503">
        <w:rPr>
          <w:rFonts w:ascii="Arial" w:eastAsia="Times New Roman" w:hAnsi="Arial" w:cs="Arial"/>
          <w:shd w:val="clear" w:color="auto" w:fill="FFFFFF"/>
          <w:lang w:eastAsia="es-CO"/>
        </w:rPr>
        <w:t xml:space="preserve"> y C-850 del 16 de diciembre de 2022</w:t>
      </w:r>
      <w:r w:rsidRPr="00535F27">
        <w:rPr>
          <w:rFonts w:ascii="Arial" w:eastAsia="Times New Roman" w:hAnsi="Arial" w:cs="Arial"/>
          <w:shd w:val="clear" w:color="auto" w:fill="FFFFFF"/>
          <w:lang w:eastAsia="es-CO"/>
        </w:rPr>
        <w:t>. Las</w:t>
      </w:r>
      <w:r w:rsidRPr="00535F27">
        <w:rPr>
          <w:rFonts w:ascii="Arial" w:eastAsia="Times New Roman" w:hAnsi="Arial" w:cs="Arial"/>
          <w:bdr w:val="none" w:sz="0" w:space="0" w:color="auto" w:frame="1"/>
          <w:lang w:eastAsia="es-CO"/>
        </w:rPr>
        <w:t xml:space="preserve"> tesis planteadas en dichos conceptos se reiteran a continuación y se complementan en lo pertinente</w:t>
      </w:r>
      <w:r w:rsidRPr="00535F27">
        <w:rPr>
          <w:rFonts w:ascii="Arial" w:eastAsia="Calibri" w:hAnsi="Arial" w:cs="Arial"/>
          <w:vertAlign w:val="superscript"/>
          <w:lang w:eastAsia="es-CO"/>
        </w:rPr>
        <w:footnoteReference w:id="2"/>
      </w:r>
      <w:r w:rsidRPr="00535F27">
        <w:rPr>
          <w:rFonts w:ascii="Arial" w:eastAsia="Times New Roman" w:hAnsi="Arial" w:cs="Arial"/>
          <w:bdr w:val="none" w:sz="0" w:space="0" w:color="auto" w:frame="1"/>
          <w:lang w:eastAsia="es-CO"/>
        </w:rPr>
        <w:t>.</w:t>
      </w:r>
    </w:p>
    <w:p w14:paraId="5CFBA95D" w14:textId="77777777" w:rsidR="00535F27" w:rsidRPr="00535F27" w:rsidRDefault="00535F27" w:rsidP="00D721EB">
      <w:pPr>
        <w:spacing w:after="0" w:line="276" w:lineRule="auto"/>
        <w:ind w:firstLine="703"/>
        <w:contextualSpacing/>
        <w:jc w:val="both"/>
        <w:textAlignment w:val="baseline"/>
        <w:rPr>
          <w:rFonts w:ascii="Arial" w:eastAsia="Times New Roman" w:hAnsi="Arial" w:cs="Arial"/>
          <w:lang w:eastAsia="es-CO"/>
        </w:rPr>
      </w:pPr>
    </w:p>
    <w:p w14:paraId="3D9D3F42" w14:textId="77777777" w:rsidR="00535F27" w:rsidRPr="00535F27" w:rsidRDefault="00535F27" w:rsidP="00D721EB">
      <w:pPr>
        <w:spacing w:after="0" w:line="276" w:lineRule="auto"/>
        <w:contextualSpacing/>
        <w:jc w:val="both"/>
        <w:rPr>
          <w:rFonts w:ascii="Arial" w:eastAsia="Calibri" w:hAnsi="Arial" w:cs="Arial"/>
          <w:b/>
          <w:bCs/>
          <w:lang w:val="es-ES_tradnl"/>
        </w:rPr>
      </w:pPr>
      <w:r w:rsidRPr="00535F27">
        <w:rPr>
          <w:rFonts w:ascii="Arial" w:eastAsia="Calibri" w:hAnsi="Arial" w:cs="Arial"/>
          <w:b/>
          <w:bCs/>
          <w:lang w:val="es-ES_tradnl"/>
        </w:rPr>
        <w:t>2.1. Fundamento normativo de la modalidad Selección abreviada: Análisis del numeral 2° del artículo 2 de la Ley 1150 de 2007</w:t>
      </w:r>
      <w:r w:rsidRPr="00535F27">
        <w:rPr>
          <w:rFonts w:ascii="Arial" w:eastAsia="Calibri" w:hAnsi="Arial" w:cs="Arial"/>
        </w:rPr>
        <w:t> </w:t>
      </w:r>
    </w:p>
    <w:p w14:paraId="5490A516" w14:textId="77777777" w:rsidR="00535F27" w:rsidRPr="00535F27" w:rsidRDefault="00535F27" w:rsidP="00D721EB">
      <w:pPr>
        <w:spacing w:after="0" w:line="276" w:lineRule="auto"/>
        <w:ind w:left="374"/>
        <w:contextualSpacing/>
        <w:rPr>
          <w:rFonts w:ascii="Arial" w:eastAsia="Calibri" w:hAnsi="Arial" w:cs="Arial"/>
          <w:b/>
          <w:bCs/>
          <w:lang w:val="es-ES_tradnl"/>
        </w:rPr>
      </w:pPr>
    </w:p>
    <w:p w14:paraId="4C1A1C3A" w14:textId="49A803E4" w:rsidR="00535F27" w:rsidRPr="00535F27" w:rsidRDefault="00535F27" w:rsidP="00433E52">
      <w:pPr>
        <w:spacing w:after="120" w:line="276" w:lineRule="auto"/>
        <w:jc w:val="both"/>
        <w:textAlignment w:val="baseline"/>
        <w:rPr>
          <w:rFonts w:ascii="Arial" w:eastAsia="Times New Roman" w:hAnsi="Arial" w:cs="Arial"/>
          <w:lang w:eastAsia="es-CO"/>
        </w:rPr>
      </w:pPr>
      <w:r w:rsidRPr="00535F27">
        <w:rPr>
          <w:rFonts w:ascii="Arial" w:eastAsia="Times New Roman" w:hAnsi="Arial" w:cs="Arial"/>
          <w:lang w:val="es-ES" w:eastAsia="es-CO"/>
        </w:rPr>
        <w:t xml:space="preserve">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estructuran procedimientos de contratación previamente definidos por la ley, consultando las normas que los rigen para determinar la forma que el ordenamiento prevé para adelantarlos. En esta medida, conforme al artículo 29 de la Constitución Política, los </w:t>
      </w:r>
      <w:r w:rsidR="005238B0">
        <w:rPr>
          <w:rFonts w:ascii="Arial" w:eastAsia="Times New Roman" w:hAnsi="Arial" w:cs="Arial"/>
          <w:lang w:val="es-ES" w:eastAsia="es-CO"/>
        </w:rPr>
        <w:t xml:space="preserve">procedimientos </w:t>
      </w:r>
      <w:r w:rsidRPr="00535F27">
        <w:rPr>
          <w:rFonts w:ascii="Arial" w:eastAsia="Times New Roman" w:hAnsi="Arial" w:cs="Arial"/>
          <w:lang w:val="es-ES" w:eastAsia="es-CO"/>
        </w:rPr>
        <w:t>de selección son una manifestación de la legalidad de las formas de cada proceso en sede administrativa</w:t>
      </w:r>
      <w:r w:rsidRPr="00535F27">
        <w:rPr>
          <w:rFonts w:ascii="Arial" w:eastAsia="Times New Roman" w:hAnsi="Arial" w:cs="Arial"/>
          <w:vertAlign w:val="superscript"/>
          <w:lang w:val="es-ES" w:eastAsia="es-CO"/>
        </w:rPr>
        <w:footnoteReference w:id="3"/>
      </w:r>
      <w:r w:rsidRPr="00535F27">
        <w:rPr>
          <w:rFonts w:ascii="Arial" w:eastAsia="Times New Roman" w:hAnsi="Arial" w:cs="Arial"/>
          <w:lang w:val="es-ES" w:eastAsia="es-CO"/>
        </w:rPr>
        <w:t>.</w:t>
      </w:r>
      <w:r w:rsidRPr="00535F27">
        <w:rPr>
          <w:rFonts w:ascii="Arial" w:eastAsia="Times New Roman" w:hAnsi="Arial" w:cs="Arial"/>
          <w:lang w:eastAsia="es-CO"/>
        </w:rPr>
        <w:t> </w:t>
      </w:r>
    </w:p>
    <w:p w14:paraId="6F8BA45B" w14:textId="502C1FB9" w:rsidR="00535F27" w:rsidRPr="00535F27" w:rsidRDefault="005238B0" w:rsidP="00433E52">
      <w:pPr>
        <w:spacing w:after="120" w:line="276" w:lineRule="auto"/>
        <w:ind w:firstLine="705"/>
        <w:jc w:val="both"/>
        <w:textAlignment w:val="baseline"/>
        <w:rPr>
          <w:rFonts w:ascii="Arial" w:eastAsia="Times New Roman" w:hAnsi="Arial" w:cs="Arial"/>
          <w:lang w:eastAsia="es-CO"/>
        </w:rPr>
      </w:pPr>
      <w:r w:rsidRPr="00535F27">
        <w:rPr>
          <w:rFonts w:ascii="Arial" w:eastAsia="Times New Roman" w:hAnsi="Arial" w:cs="Arial"/>
          <w:lang w:val="es-ES" w:eastAsia="es-CO"/>
        </w:rPr>
        <w:lastRenderedPageBreak/>
        <w:t xml:space="preserve">El </w:t>
      </w:r>
      <w:r w:rsidR="00535F27" w:rsidRPr="00535F27">
        <w:rPr>
          <w:rFonts w:ascii="Arial" w:eastAsia="Times New Roman" w:hAnsi="Arial" w:cs="Arial"/>
          <w:lang w:val="es-ES" w:eastAsia="es-CO"/>
        </w:rPr>
        <w:t xml:space="preserve">legislador estableció </w:t>
      </w:r>
      <w:r>
        <w:rPr>
          <w:rFonts w:ascii="Arial" w:eastAsia="Times New Roman" w:hAnsi="Arial" w:cs="Arial"/>
          <w:lang w:val="es-ES" w:eastAsia="es-CO"/>
        </w:rPr>
        <w:t xml:space="preserve">un modelo dual de modalidades y </w:t>
      </w:r>
      <w:r w:rsidR="00535F27" w:rsidRPr="00535F27">
        <w:rPr>
          <w:rFonts w:ascii="Arial" w:eastAsia="Times New Roman" w:hAnsi="Arial" w:cs="Arial"/>
          <w:lang w:val="es-ES" w:eastAsia="es-CO"/>
        </w:rPr>
        <w:t>procedimientos de selección. En efecto,</w:t>
      </w:r>
      <w:r w:rsidR="00A06FBC">
        <w:rPr>
          <w:rFonts w:ascii="Arial" w:eastAsia="Times New Roman" w:hAnsi="Arial" w:cs="Arial"/>
          <w:lang w:val="es-ES" w:eastAsia="es-CO"/>
        </w:rPr>
        <w:t xml:space="preserve"> en</w:t>
      </w:r>
      <w:r w:rsidR="00535F27" w:rsidRPr="00535F27">
        <w:rPr>
          <w:rFonts w:ascii="Arial" w:eastAsia="Times New Roman" w:hAnsi="Arial" w:cs="Arial"/>
          <w:lang w:val="es-ES" w:eastAsia="es-CO"/>
        </w:rPr>
        <w:t xml:space="preserve"> el artículo 2 de la Ley 1150 de 2007 </w:t>
      </w:r>
      <w:r>
        <w:rPr>
          <w:rFonts w:ascii="Arial" w:eastAsia="Times New Roman" w:hAnsi="Arial" w:cs="Arial"/>
          <w:lang w:val="es-ES" w:eastAsia="es-CO"/>
        </w:rPr>
        <w:t>se regulan las modalidades de licitación pública, selección abreviada, concurso de méritos, contratación directa y contratación de mínima cuantía</w:t>
      </w:r>
      <w:r w:rsidR="00A06FBC">
        <w:rPr>
          <w:rFonts w:ascii="Arial" w:eastAsia="Times New Roman" w:hAnsi="Arial" w:cs="Arial"/>
          <w:lang w:val="es-ES" w:eastAsia="es-CO"/>
        </w:rPr>
        <w:t>.</w:t>
      </w:r>
      <w:r w:rsidR="00535F27" w:rsidRPr="00535F27">
        <w:rPr>
          <w:rFonts w:ascii="Arial" w:eastAsia="Times New Roman" w:hAnsi="Arial" w:cs="Arial"/>
          <w:lang w:val="es-ES" w:eastAsia="es-CO"/>
        </w:rPr>
        <w:t xml:space="preserve"> </w:t>
      </w:r>
      <w:r>
        <w:rPr>
          <w:rFonts w:ascii="Arial" w:eastAsia="Times New Roman" w:hAnsi="Arial" w:cs="Arial"/>
          <w:lang w:val="es-ES" w:eastAsia="es-CO"/>
        </w:rPr>
        <w:t xml:space="preserve">Cada procedimiento establecido dentro de estas modalidades </w:t>
      </w:r>
      <w:r w:rsidR="00535F27" w:rsidRPr="00535F27">
        <w:rPr>
          <w:rFonts w:ascii="Arial" w:eastAsia="Times New Roman" w:hAnsi="Arial" w:cs="Arial"/>
          <w:lang w:val="es-ES" w:eastAsia="es-CO"/>
        </w:rPr>
        <w:t xml:space="preserve">consta de </w:t>
      </w:r>
      <w:r w:rsidR="00535F27" w:rsidRPr="00535F27">
        <w:rPr>
          <w:rFonts w:ascii="Arial" w:eastAsia="Times New Roman" w:hAnsi="Arial" w:cs="Arial"/>
          <w:lang w:eastAsia="es-CO"/>
        </w:rPr>
        <w:t xml:space="preserve">etapas para la adquisición de obras, bienes y servicios, por lo que cada entidad es responsable de estructurarlos, siempre que respete el principio de legalidad. </w:t>
      </w:r>
    </w:p>
    <w:p w14:paraId="5B2D3829" w14:textId="77777777" w:rsidR="00535F27" w:rsidRPr="00535F27" w:rsidRDefault="00535F27" w:rsidP="00433E52">
      <w:pPr>
        <w:spacing w:after="0" w:line="276" w:lineRule="auto"/>
        <w:ind w:firstLine="703"/>
        <w:jc w:val="both"/>
        <w:textAlignment w:val="baseline"/>
        <w:rPr>
          <w:rFonts w:ascii="Arial" w:eastAsia="Times New Roman" w:hAnsi="Arial" w:cs="Arial"/>
          <w:lang w:eastAsia="es-CO"/>
        </w:rPr>
      </w:pPr>
      <w:r w:rsidRPr="00535F27">
        <w:rPr>
          <w:rFonts w:ascii="Arial" w:eastAsia="Times New Roman" w:hAnsi="Arial" w:cs="Arial"/>
          <w:lang w:eastAsia="es-CO"/>
        </w:rPr>
        <w:t>Respecto de la selección abreviada, el numeral 2° del artículo 2 de Ley 1150 de 2007 la define en los siguientes términos: </w:t>
      </w:r>
    </w:p>
    <w:p w14:paraId="70D05588" w14:textId="77777777" w:rsidR="00535F27" w:rsidRPr="00535F27" w:rsidRDefault="00535F27" w:rsidP="00535F27">
      <w:pPr>
        <w:spacing w:after="0" w:line="276" w:lineRule="auto"/>
        <w:ind w:firstLine="703"/>
        <w:contextualSpacing/>
        <w:jc w:val="both"/>
        <w:textAlignment w:val="baseline"/>
        <w:rPr>
          <w:rFonts w:ascii="Arial" w:eastAsia="Times New Roman" w:hAnsi="Arial" w:cs="Arial"/>
          <w:lang w:eastAsia="es-CO"/>
        </w:rPr>
      </w:pPr>
      <w:r w:rsidRPr="00535F27">
        <w:rPr>
          <w:rFonts w:ascii="Arial" w:eastAsia="Times New Roman" w:hAnsi="Arial" w:cs="Arial"/>
          <w:lang w:eastAsia="es-CO"/>
        </w:rPr>
        <w:t> </w:t>
      </w:r>
    </w:p>
    <w:p w14:paraId="036E3E0B" w14:textId="77777777" w:rsidR="00535F27" w:rsidRPr="00535F27" w:rsidRDefault="00535F27" w:rsidP="00433E52">
      <w:pPr>
        <w:spacing w:after="0" w:line="240" w:lineRule="auto"/>
        <w:ind w:left="709" w:right="709"/>
        <w:contextualSpacing/>
        <w:jc w:val="both"/>
        <w:textAlignment w:val="baseline"/>
        <w:rPr>
          <w:rFonts w:ascii="Arial" w:eastAsia="Times New Roman" w:hAnsi="Arial" w:cs="Arial"/>
          <w:sz w:val="21"/>
          <w:szCs w:val="21"/>
          <w:lang w:eastAsia="es-CO"/>
        </w:rPr>
      </w:pPr>
      <w:r w:rsidRPr="00535F27">
        <w:rPr>
          <w:rFonts w:ascii="Arial" w:eastAsia="Times New Roman" w:hAnsi="Arial" w:cs="Arial"/>
          <w:sz w:val="21"/>
          <w:szCs w:val="21"/>
          <w:shd w:val="clear" w:color="auto" w:fill="FFFFFF"/>
          <w:lang w:eastAsia="es-CO"/>
        </w:rPr>
        <w:t>«</w:t>
      </w:r>
      <w:r w:rsidRPr="00535F27">
        <w:rPr>
          <w:rFonts w:ascii="Arial" w:eastAsia="Times New Roman" w:hAnsi="Arial" w:cs="Arial"/>
          <w:sz w:val="21"/>
          <w:szCs w:val="21"/>
          <w:lang w:eastAsia="es-CO"/>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w:t>
      </w:r>
    </w:p>
    <w:p w14:paraId="374ED462" w14:textId="77777777" w:rsidR="00535F27" w:rsidRPr="00535F27" w:rsidRDefault="00535F27" w:rsidP="00433E52">
      <w:pPr>
        <w:spacing w:after="0" w:line="240" w:lineRule="auto"/>
        <w:ind w:left="709" w:right="709"/>
        <w:contextualSpacing/>
        <w:jc w:val="both"/>
        <w:textAlignment w:val="baseline"/>
        <w:rPr>
          <w:rFonts w:ascii="Arial" w:eastAsia="Times New Roman" w:hAnsi="Arial" w:cs="Arial"/>
          <w:sz w:val="21"/>
          <w:szCs w:val="21"/>
          <w:lang w:eastAsia="es-CO"/>
        </w:rPr>
      </w:pPr>
    </w:p>
    <w:p w14:paraId="663689C4" w14:textId="77777777" w:rsidR="00535F27" w:rsidRPr="00535F27" w:rsidRDefault="00535F27" w:rsidP="00433E52">
      <w:pPr>
        <w:spacing w:after="0" w:line="240" w:lineRule="auto"/>
        <w:ind w:left="709" w:right="709"/>
        <w:contextualSpacing/>
        <w:jc w:val="both"/>
        <w:textAlignment w:val="baseline"/>
        <w:rPr>
          <w:rFonts w:ascii="Arial" w:eastAsia="Times New Roman" w:hAnsi="Arial" w:cs="Arial"/>
          <w:sz w:val="21"/>
          <w:szCs w:val="21"/>
          <w:lang w:eastAsia="es-CO"/>
        </w:rPr>
      </w:pPr>
      <w:r w:rsidRPr="00535F27">
        <w:rPr>
          <w:rFonts w:ascii="Arial" w:eastAsia="Times New Roman" w:hAnsi="Arial" w:cs="Arial"/>
          <w:sz w:val="21"/>
          <w:szCs w:val="21"/>
          <w:lang w:eastAsia="es-CO"/>
        </w:rPr>
        <w:t>El Gobierno Nacional reglamentará la materia.  </w:t>
      </w:r>
    </w:p>
    <w:p w14:paraId="5550200F" w14:textId="77777777" w:rsidR="00535F27" w:rsidRPr="00535F27" w:rsidRDefault="00535F27" w:rsidP="00433E52">
      <w:pPr>
        <w:spacing w:after="0" w:line="240" w:lineRule="auto"/>
        <w:ind w:left="709" w:right="709"/>
        <w:contextualSpacing/>
        <w:jc w:val="both"/>
        <w:textAlignment w:val="baseline"/>
        <w:rPr>
          <w:rFonts w:ascii="Arial" w:eastAsia="Times New Roman" w:hAnsi="Arial" w:cs="Arial"/>
          <w:sz w:val="21"/>
          <w:szCs w:val="21"/>
          <w:lang w:eastAsia="es-CO"/>
        </w:rPr>
      </w:pPr>
    </w:p>
    <w:p w14:paraId="7DEAC2F3" w14:textId="77777777" w:rsidR="00535F27" w:rsidRPr="00535F27" w:rsidRDefault="00535F27" w:rsidP="00433E52">
      <w:pPr>
        <w:spacing w:after="0" w:line="240" w:lineRule="auto"/>
        <w:ind w:left="709" w:right="709"/>
        <w:contextualSpacing/>
        <w:jc w:val="both"/>
        <w:textAlignment w:val="baseline"/>
        <w:rPr>
          <w:rFonts w:ascii="Arial" w:eastAsia="Times New Roman" w:hAnsi="Arial" w:cs="Arial"/>
          <w:sz w:val="21"/>
          <w:szCs w:val="21"/>
          <w:lang w:eastAsia="es-CO"/>
        </w:rPr>
      </w:pPr>
      <w:r w:rsidRPr="00535F27">
        <w:rPr>
          <w:rFonts w:ascii="Arial" w:eastAsia="Times New Roman" w:hAnsi="Arial" w:cs="Arial"/>
          <w:sz w:val="21"/>
          <w:szCs w:val="21"/>
          <w:lang w:eastAsia="es-CO"/>
        </w:rPr>
        <w:t>[...]</w:t>
      </w:r>
      <w:r w:rsidRPr="00535F27">
        <w:rPr>
          <w:rFonts w:ascii="Arial" w:eastAsia="Times New Roman" w:hAnsi="Arial" w:cs="Arial"/>
          <w:sz w:val="21"/>
          <w:szCs w:val="21"/>
          <w:shd w:val="clear" w:color="auto" w:fill="FFFFFF"/>
          <w:lang w:eastAsia="es-CO"/>
        </w:rPr>
        <w:t>».</w:t>
      </w:r>
    </w:p>
    <w:p w14:paraId="3245ECDF" w14:textId="77777777" w:rsidR="00535F27" w:rsidRPr="00535F27" w:rsidRDefault="00535F27" w:rsidP="00433E52">
      <w:pPr>
        <w:spacing w:after="0" w:line="276" w:lineRule="auto"/>
        <w:ind w:left="703" w:right="675"/>
        <w:contextualSpacing/>
        <w:jc w:val="both"/>
        <w:textAlignment w:val="baseline"/>
        <w:rPr>
          <w:rFonts w:ascii="Arial" w:eastAsia="Times New Roman" w:hAnsi="Arial" w:cs="Arial"/>
          <w:lang w:eastAsia="es-CO"/>
        </w:rPr>
      </w:pPr>
    </w:p>
    <w:p w14:paraId="3F9D05F2" w14:textId="27FED9B6" w:rsidR="00535F27" w:rsidRPr="00535F27" w:rsidRDefault="00535F27" w:rsidP="00433E52">
      <w:pPr>
        <w:spacing w:after="120" w:line="276" w:lineRule="auto"/>
        <w:ind w:firstLine="703"/>
        <w:jc w:val="both"/>
        <w:textAlignment w:val="baseline"/>
        <w:rPr>
          <w:rFonts w:ascii="Arial" w:eastAsia="Times New Roman" w:hAnsi="Arial" w:cs="Arial"/>
          <w:shd w:val="clear" w:color="auto" w:fill="FFFFFF"/>
          <w:lang w:eastAsia="es-CO"/>
        </w:rPr>
      </w:pPr>
      <w:r w:rsidRPr="00535F27">
        <w:rPr>
          <w:rFonts w:ascii="Arial" w:eastAsia="Times New Roman" w:hAnsi="Arial" w:cs="Arial"/>
          <w:shd w:val="clear" w:color="auto" w:fill="FFFFFF"/>
          <w:lang w:eastAsia="es-CO"/>
        </w:rPr>
        <w:t xml:space="preserve">Nótese que, de la transcripción literal de la norma, el legislador divide de forma disyuntiva los supuestos bajo los cuales se configura la eventual utilización de esta modalidad de selección, </w:t>
      </w:r>
      <w:r w:rsidR="005238B0">
        <w:rPr>
          <w:rFonts w:ascii="Arial" w:eastAsia="Times New Roman" w:hAnsi="Arial" w:cs="Arial"/>
          <w:shd w:val="clear" w:color="auto" w:fill="FFFFFF"/>
          <w:lang w:eastAsia="es-CO"/>
        </w:rPr>
        <w:t xml:space="preserve">bien sea </w:t>
      </w:r>
      <w:r w:rsidRPr="00535F27">
        <w:rPr>
          <w:rFonts w:ascii="Arial" w:eastAsia="Times New Roman" w:hAnsi="Arial" w:cs="Arial"/>
          <w:lang w:eastAsia="es-CO"/>
        </w:rPr>
        <w:t>por las características del objeto a contratar, las circunstancias de la contratación o la cuantía o destinación del bien, obra o servicio.</w:t>
      </w:r>
      <w:r w:rsidRPr="00535F27">
        <w:rPr>
          <w:rFonts w:ascii="Arial" w:eastAsia="Times New Roman" w:hAnsi="Arial" w:cs="Arial"/>
          <w:shd w:val="clear" w:color="auto" w:fill="FFFFFF"/>
          <w:lang w:eastAsia="es-CO"/>
        </w:rPr>
        <w:t xml:space="preserve"> En ese orden de ideas</w:t>
      </w:r>
      <w:r w:rsidR="005238B0">
        <w:rPr>
          <w:rFonts w:ascii="Arial" w:eastAsia="Times New Roman" w:hAnsi="Arial" w:cs="Arial"/>
          <w:shd w:val="clear" w:color="auto" w:fill="FFFFFF"/>
          <w:lang w:eastAsia="es-CO"/>
        </w:rPr>
        <w:t>,</w:t>
      </w:r>
      <w:r w:rsidRPr="00535F27">
        <w:rPr>
          <w:rFonts w:ascii="Arial" w:eastAsia="Times New Roman" w:hAnsi="Arial" w:cs="Arial"/>
          <w:shd w:val="clear" w:color="auto" w:fill="FFFFFF"/>
          <w:lang w:eastAsia="es-CO"/>
        </w:rPr>
        <w:t xml:space="preserve"> esta modalidad de selección procede por las causales previstas en la ley</w:t>
      </w:r>
      <w:r w:rsidRPr="00535F27">
        <w:rPr>
          <w:rFonts w:ascii="Arial" w:eastAsia="Times New Roman" w:hAnsi="Arial" w:cs="Arial"/>
          <w:shd w:val="clear" w:color="auto" w:fill="FFFFFF"/>
          <w:vertAlign w:val="superscript"/>
          <w:lang w:eastAsia="es-CO"/>
        </w:rPr>
        <w:footnoteReference w:id="4"/>
      </w:r>
      <w:r w:rsidRPr="00535F27">
        <w:rPr>
          <w:rFonts w:ascii="Arial" w:eastAsia="Times New Roman" w:hAnsi="Arial" w:cs="Arial"/>
          <w:shd w:val="clear" w:color="auto" w:fill="FFFFFF"/>
          <w:lang w:eastAsia="es-CO"/>
        </w:rPr>
        <w:t xml:space="preserve">, las cuales determinan, </w:t>
      </w:r>
      <w:r w:rsidRPr="00535F27">
        <w:rPr>
          <w:rFonts w:ascii="Arial" w:eastAsia="Times New Roman" w:hAnsi="Arial" w:cs="Arial"/>
          <w:shd w:val="clear" w:color="auto" w:fill="FFFFFF"/>
          <w:lang w:eastAsia="es-CO"/>
        </w:rPr>
        <w:lastRenderedPageBreak/>
        <w:t>entre otras cosas, los criterios a tener en cuenta para la escogencia del contratista que proveerá el bien o servicio</w:t>
      </w:r>
      <w:r w:rsidR="00433E52" w:rsidRPr="00B36503">
        <w:rPr>
          <w:rFonts w:ascii="Arial" w:eastAsia="Times New Roman" w:hAnsi="Arial" w:cs="Arial"/>
          <w:shd w:val="clear" w:color="auto" w:fill="FFFFFF"/>
          <w:lang w:eastAsia="es-CO"/>
        </w:rPr>
        <w:t>,</w:t>
      </w:r>
      <w:r w:rsidRPr="00535F27">
        <w:rPr>
          <w:rFonts w:ascii="Arial" w:eastAsia="Times New Roman" w:hAnsi="Arial" w:cs="Arial"/>
          <w:shd w:val="clear" w:color="auto" w:fill="FFFFFF"/>
          <w:lang w:eastAsia="es-CO"/>
        </w:rPr>
        <w:t xml:space="preserve"> además de sus respectivas reglas para llevar a cabo el proceso de selección bajo la modalidad estudiada</w:t>
      </w:r>
      <w:r w:rsidR="005238B0">
        <w:rPr>
          <w:rFonts w:ascii="Arial" w:eastAsia="Times New Roman" w:hAnsi="Arial" w:cs="Arial"/>
          <w:shd w:val="clear" w:color="auto" w:fill="FFFFFF"/>
          <w:lang w:eastAsia="es-CO"/>
        </w:rPr>
        <w:t>, siendo una de ellas, pero no la única, el valor presupuestado como precio del contrato</w:t>
      </w:r>
      <w:r w:rsidRPr="00535F27">
        <w:rPr>
          <w:rFonts w:ascii="Arial" w:eastAsia="Times New Roman" w:hAnsi="Arial" w:cs="Arial"/>
          <w:shd w:val="clear" w:color="auto" w:fill="FFFFFF"/>
          <w:lang w:eastAsia="es-CO"/>
        </w:rPr>
        <w:t xml:space="preserve">. </w:t>
      </w:r>
    </w:p>
    <w:p w14:paraId="05F9F414" w14:textId="035E38AB" w:rsidR="00535F27" w:rsidRPr="00535F27" w:rsidRDefault="00535F27" w:rsidP="00433E52">
      <w:pPr>
        <w:spacing w:after="0" w:line="276" w:lineRule="auto"/>
        <w:ind w:firstLine="703"/>
        <w:jc w:val="both"/>
        <w:textAlignment w:val="baseline"/>
        <w:rPr>
          <w:rFonts w:ascii="Arial" w:eastAsia="Calibri" w:hAnsi="Arial" w:cs="Arial"/>
        </w:rPr>
      </w:pPr>
      <w:r w:rsidRPr="00535F27">
        <w:rPr>
          <w:rFonts w:ascii="Arial" w:eastAsia="Calibri" w:hAnsi="Arial" w:cs="Arial"/>
        </w:rPr>
        <w:t>A su turno, el Decreto 1082 de 2015 reglamenta las causales para acudir al procedimiento de selección abreviada establecidas en el numeral 2 del artículo 2 de la Ley 1150 de 2007, y reg</w:t>
      </w:r>
      <w:r w:rsidR="00433E52" w:rsidRPr="00B36503">
        <w:rPr>
          <w:rFonts w:ascii="Arial" w:eastAsia="Calibri" w:hAnsi="Arial" w:cs="Arial"/>
        </w:rPr>
        <w:t>ula</w:t>
      </w:r>
      <w:r w:rsidRPr="00535F27">
        <w:rPr>
          <w:rFonts w:ascii="Arial" w:eastAsia="Calibri" w:hAnsi="Arial" w:cs="Arial"/>
        </w:rPr>
        <w:t xml:space="preserve"> el procedimiento, detallando el contenido del pliego de condiciones, las etapas, entre otros. Dentro de dichas causales se desataca la contratación de menor cuantía y la subasta inversa, las cuales se proceden a exponer, con miras a responder la consulta planteada. </w:t>
      </w:r>
    </w:p>
    <w:p w14:paraId="61154A9A" w14:textId="77777777" w:rsidR="00535F27" w:rsidRPr="00535F27" w:rsidRDefault="00535F27" w:rsidP="004F092C">
      <w:pPr>
        <w:spacing w:after="0" w:line="276" w:lineRule="auto"/>
        <w:ind w:firstLine="703"/>
        <w:contextualSpacing/>
        <w:jc w:val="both"/>
        <w:textAlignment w:val="baseline"/>
        <w:rPr>
          <w:rFonts w:ascii="Arial" w:eastAsia="Times New Roman" w:hAnsi="Arial" w:cs="Arial"/>
          <w:shd w:val="clear" w:color="auto" w:fill="FFFFFF"/>
          <w:lang w:eastAsia="es-CO"/>
        </w:rPr>
      </w:pPr>
    </w:p>
    <w:p w14:paraId="08DBDDA6" w14:textId="77777777" w:rsidR="00535F27" w:rsidRPr="00535F27" w:rsidRDefault="00535F27" w:rsidP="004F092C">
      <w:pPr>
        <w:spacing w:after="0" w:line="276" w:lineRule="auto"/>
        <w:contextualSpacing/>
        <w:jc w:val="both"/>
        <w:rPr>
          <w:rFonts w:ascii="Arial" w:eastAsia="Calibri" w:hAnsi="Arial" w:cs="Arial"/>
          <w:b/>
          <w:bCs/>
          <w:lang w:val="es-ES_tradnl"/>
        </w:rPr>
      </w:pPr>
      <w:r w:rsidRPr="00535F27">
        <w:rPr>
          <w:rFonts w:ascii="Arial" w:eastAsia="Calibri" w:hAnsi="Arial" w:cs="Arial"/>
          <w:b/>
          <w:bCs/>
        </w:rPr>
        <w:t xml:space="preserve">2.2. Procedencia de la </w:t>
      </w:r>
      <w:r w:rsidRPr="00535F27">
        <w:rPr>
          <w:rFonts w:ascii="Arial" w:eastAsia="Calibri" w:hAnsi="Arial" w:cs="Arial"/>
          <w:b/>
          <w:bCs/>
          <w:lang w:val="es-ES_tradnl"/>
        </w:rPr>
        <w:t xml:space="preserve">modalidad de Selección Abreviada por la causal de menor cuantía </w:t>
      </w:r>
    </w:p>
    <w:p w14:paraId="75D2EBC3" w14:textId="77777777" w:rsidR="00535F27" w:rsidRPr="00535F27" w:rsidRDefault="00535F27" w:rsidP="004F092C">
      <w:pPr>
        <w:spacing w:after="0" w:line="276" w:lineRule="auto"/>
        <w:ind w:left="374"/>
        <w:contextualSpacing/>
        <w:rPr>
          <w:rFonts w:ascii="Arial" w:eastAsia="Calibri" w:hAnsi="Arial" w:cs="Arial"/>
          <w:b/>
          <w:bCs/>
          <w:lang w:val="es-ES_tradnl"/>
        </w:rPr>
      </w:pPr>
    </w:p>
    <w:p w14:paraId="37AB9C77" w14:textId="76F2E5E5" w:rsidR="00535F27" w:rsidRPr="00535F27" w:rsidRDefault="00535F27" w:rsidP="004F092C">
      <w:pPr>
        <w:spacing w:after="0" w:line="276" w:lineRule="auto"/>
        <w:contextualSpacing/>
        <w:jc w:val="both"/>
        <w:rPr>
          <w:rFonts w:ascii="Arial" w:eastAsia="Calibri" w:hAnsi="Arial" w:cs="Arial"/>
          <w:lang w:val="es-MX"/>
        </w:rPr>
      </w:pPr>
      <w:r w:rsidRPr="00535F27">
        <w:rPr>
          <w:rFonts w:ascii="Arial" w:eastAsia="Calibri" w:hAnsi="Arial" w:cs="Arial"/>
          <w:lang w:val="es-MX"/>
        </w:rPr>
        <w:t>Los objetos respecto de los cuales procede el adelantamiento de procesos de selección abreviada están asociados a unas circunstancias diversas y concretas</w:t>
      </w:r>
      <w:r w:rsidR="004B03BE">
        <w:rPr>
          <w:rFonts w:ascii="Arial" w:eastAsia="Calibri" w:hAnsi="Arial" w:cs="Arial"/>
          <w:lang w:val="es-MX"/>
        </w:rPr>
        <w:t>,</w:t>
      </w:r>
      <w:r w:rsidRPr="00535F27">
        <w:rPr>
          <w:rFonts w:ascii="Arial" w:eastAsia="Calibri" w:hAnsi="Arial" w:cs="Arial"/>
          <w:lang w:val="es-MX"/>
        </w:rPr>
        <w:t xml:space="preserve"> delimitadas por unas causales expresamente consagradas en el numeral 2 del artículo 2 de la Ley 1150 de 2007. Una de las de mayor relevancia es la referida</w:t>
      </w:r>
      <w:r w:rsidRPr="00535F27">
        <w:rPr>
          <w:rFonts w:ascii="Arial" w:eastAsia="Calibri" w:hAnsi="Arial" w:cs="Arial"/>
          <w:b/>
          <w:bCs/>
          <w:lang w:val="es-MX"/>
        </w:rPr>
        <w:t xml:space="preserve"> </w:t>
      </w:r>
      <w:r w:rsidRPr="00535F27">
        <w:rPr>
          <w:rFonts w:ascii="Arial" w:eastAsia="Calibri" w:hAnsi="Arial" w:cs="Arial"/>
          <w:lang w:val="es-MX"/>
        </w:rPr>
        <w:t>a los negocios que no superan la menor cuantía de la entidad, la cual aplica en función de unos rangos y topes señalados por la propia norma,</w:t>
      </w:r>
      <w:r w:rsidR="004B03BE">
        <w:rPr>
          <w:rFonts w:ascii="Arial" w:eastAsia="Calibri" w:hAnsi="Arial" w:cs="Arial"/>
          <w:lang w:val="es-MX"/>
        </w:rPr>
        <w:t xml:space="preserve"> y</w:t>
      </w:r>
      <w:r w:rsidRPr="00535F27">
        <w:rPr>
          <w:rFonts w:ascii="Arial" w:eastAsia="Calibri" w:hAnsi="Arial" w:cs="Arial"/>
          <w:lang w:val="es-MX"/>
        </w:rPr>
        <w:t xml:space="preserve"> medibles respecto del presupuesto anual de la entidad. El numeral 2</w:t>
      </w:r>
      <w:r w:rsidR="004F092C" w:rsidRPr="00B36503">
        <w:rPr>
          <w:rFonts w:ascii="Arial" w:eastAsia="Calibri" w:hAnsi="Arial" w:cs="Arial"/>
          <w:lang w:val="es-MX"/>
        </w:rPr>
        <w:t>°</w:t>
      </w:r>
      <w:r w:rsidRPr="00535F27">
        <w:rPr>
          <w:rFonts w:ascii="Arial" w:eastAsia="Calibri" w:hAnsi="Arial" w:cs="Arial"/>
          <w:lang w:val="es-MX"/>
        </w:rPr>
        <w:t xml:space="preserve"> del artículo 2 de la Ley 1150 de 2007 regula esta causal de la siguiente forma:  </w:t>
      </w:r>
    </w:p>
    <w:p w14:paraId="4D9E4830" w14:textId="77777777" w:rsidR="00535F27" w:rsidRPr="00535F27" w:rsidRDefault="00535F27" w:rsidP="004F092C">
      <w:pPr>
        <w:spacing w:after="0" w:line="276" w:lineRule="auto"/>
        <w:contextualSpacing/>
        <w:jc w:val="both"/>
        <w:rPr>
          <w:rFonts w:ascii="Arial" w:eastAsia="Calibri" w:hAnsi="Arial" w:cs="Arial"/>
          <w:lang w:val="es-MX"/>
        </w:rPr>
      </w:pPr>
    </w:p>
    <w:p w14:paraId="4C4433CD"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r w:rsidRPr="00535F27">
        <w:rPr>
          <w:rFonts w:ascii="Arial" w:eastAsia="Calibri" w:hAnsi="Arial" w:cs="Arial"/>
          <w:sz w:val="21"/>
          <w:szCs w:val="21"/>
          <w:shd w:val="clear" w:color="auto" w:fill="FFFFFF"/>
        </w:rPr>
        <w:t>«</w:t>
      </w:r>
      <w:r w:rsidRPr="00535F27">
        <w:rPr>
          <w:rFonts w:ascii="Arial" w:eastAsia="Calibri" w:hAnsi="Arial" w:cs="Arial"/>
          <w:sz w:val="21"/>
          <w:szCs w:val="21"/>
          <w:lang w:val="es-MX"/>
        </w:rPr>
        <w:t xml:space="preserve">Serán causales de selección abreviada las siguientes: </w:t>
      </w:r>
    </w:p>
    <w:p w14:paraId="6F841B8F"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p>
    <w:p w14:paraId="3A221FDB"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r w:rsidRPr="00535F27">
        <w:rPr>
          <w:rFonts w:ascii="Arial" w:eastAsia="Calibri" w:hAnsi="Arial" w:cs="Arial"/>
          <w:sz w:val="21"/>
          <w:szCs w:val="21"/>
          <w:lang w:val="es-MX"/>
        </w:rPr>
        <w:t>[….]</w:t>
      </w:r>
    </w:p>
    <w:p w14:paraId="4A2CE568"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p>
    <w:p w14:paraId="3769A03F"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r w:rsidRPr="00535F27">
        <w:rPr>
          <w:rFonts w:ascii="Arial" w:eastAsia="Calibri" w:hAnsi="Arial" w:cs="Arial"/>
          <w:sz w:val="21"/>
          <w:szCs w:val="21"/>
          <w:lang w:val="es-MX"/>
        </w:rPr>
        <w:t xml:space="preserve">b) La contratación de menor cuantía. Se entenderá por menor cuantía los valores que a continuación se relacionan, determinados en función de los presupuestos anuales de las entidades públicas expresados en salarios mínimos legales mensuales. </w:t>
      </w:r>
    </w:p>
    <w:p w14:paraId="6A356614"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p>
    <w:p w14:paraId="1D99FB43"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r w:rsidRPr="00535F27">
        <w:rPr>
          <w:rFonts w:ascii="Arial" w:eastAsia="Calibri" w:hAnsi="Arial" w:cs="Arial"/>
          <w:sz w:val="21"/>
          <w:szCs w:val="21"/>
          <w:lang w:val="es-MX"/>
        </w:rPr>
        <w:t xml:space="preserve">Para las entidades que tengan un presupuesto anual superior o igual a 1.200.000 salarios mínimos legales mensuales, la menor cuantía será hasta 1.000 salarios mínimos legales mensuales. </w:t>
      </w:r>
    </w:p>
    <w:p w14:paraId="374905B1"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p>
    <w:p w14:paraId="076C34AA"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r w:rsidRPr="00535F27">
        <w:rPr>
          <w:rFonts w:ascii="Arial" w:eastAsia="Calibri" w:hAnsi="Arial" w:cs="Arial"/>
          <w:sz w:val="21"/>
          <w:szCs w:val="21"/>
          <w:lang w:val="es-MX"/>
        </w:rPr>
        <w:t xml:space="preserve">Las que tengan un presupuesto anual superior o igual a 850.000 salarios mínimos legales mensuales e inferiores a 1.200.000 salarios mínimos legales mensuales, la menor cuantía será hasta 850 salarios mínimos legales mensuales. </w:t>
      </w:r>
    </w:p>
    <w:p w14:paraId="5D2D1DAC"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p>
    <w:p w14:paraId="26D82701"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r w:rsidRPr="00535F27">
        <w:rPr>
          <w:rFonts w:ascii="Arial" w:eastAsia="Calibri" w:hAnsi="Arial" w:cs="Arial"/>
          <w:sz w:val="21"/>
          <w:szCs w:val="21"/>
          <w:lang w:val="es-MX"/>
        </w:rPr>
        <w:lastRenderedPageBreak/>
        <w:t xml:space="preserve">Las que tengan un presupuesto anual superior o igual a 400.000 salarios mínimos legales mensuales e inferior a 850.000 salarios mínimos legales mensuales, la menor cuantía será hasta 650 salarios mínimos legales mensuales. </w:t>
      </w:r>
    </w:p>
    <w:p w14:paraId="4D5D0AD5"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p>
    <w:p w14:paraId="0575736F"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r w:rsidRPr="00535F27">
        <w:rPr>
          <w:rFonts w:ascii="Arial" w:eastAsia="Calibri" w:hAnsi="Arial" w:cs="Arial"/>
          <w:sz w:val="21"/>
          <w:szCs w:val="21"/>
          <w:lang w:val="es-MX"/>
        </w:rPr>
        <w:t xml:space="preserve">Las que tengan un presupuesto anual superior o igual a 120.000 salarios mínimos legales mensuales e inferior a 400.000 salarios mínimos legales mensuales, la menor cuantía será hasta 450 salarios mínimos legales mensuales. </w:t>
      </w:r>
    </w:p>
    <w:p w14:paraId="05DA2BF0"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p>
    <w:p w14:paraId="1DD45C06" w14:textId="77777777" w:rsidR="00535F27" w:rsidRPr="00535F27" w:rsidRDefault="00535F27" w:rsidP="004F092C">
      <w:pPr>
        <w:spacing w:after="0" w:line="240" w:lineRule="auto"/>
        <w:ind w:left="709" w:right="709"/>
        <w:contextualSpacing/>
        <w:jc w:val="both"/>
        <w:rPr>
          <w:rFonts w:ascii="Arial" w:eastAsia="Calibri" w:hAnsi="Arial" w:cs="Arial"/>
          <w:sz w:val="21"/>
          <w:szCs w:val="21"/>
          <w:lang w:val="es-MX"/>
        </w:rPr>
      </w:pPr>
      <w:r w:rsidRPr="00535F27">
        <w:rPr>
          <w:rFonts w:ascii="Arial" w:eastAsia="Calibri" w:hAnsi="Arial" w:cs="Arial"/>
          <w:sz w:val="21"/>
          <w:szCs w:val="21"/>
          <w:lang w:val="es-MX"/>
        </w:rPr>
        <w:t>Las que tengan un presupuesto anual inferior a 120.000 salarios mínimos legales mensuales, la menor cuantía será hasta 280 salarios mínimos legales mensuales</w:t>
      </w:r>
      <w:r w:rsidRPr="00535F27">
        <w:rPr>
          <w:rFonts w:ascii="Arial" w:eastAsia="Calibri" w:hAnsi="Arial" w:cs="Arial"/>
          <w:sz w:val="21"/>
          <w:szCs w:val="21"/>
          <w:shd w:val="clear" w:color="auto" w:fill="FFFFFF"/>
        </w:rPr>
        <w:t>».</w:t>
      </w:r>
    </w:p>
    <w:p w14:paraId="76DB10BE" w14:textId="77777777" w:rsidR="00535F27" w:rsidRPr="00535F27" w:rsidRDefault="00535F27" w:rsidP="004F092C">
      <w:pPr>
        <w:spacing w:after="0" w:line="276" w:lineRule="auto"/>
        <w:ind w:left="709" w:right="680"/>
        <w:contextualSpacing/>
        <w:jc w:val="both"/>
        <w:rPr>
          <w:rFonts w:ascii="Arial" w:eastAsia="Calibri" w:hAnsi="Arial" w:cs="Arial"/>
          <w:lang w:val="es-MX"/>
        </w:rPr>
      </w:pPr>
    </w:p>
    <w:p w14:paraId="4D1E3C90" w14:textId="4CFDE3A2" w:rsidR="00535F27" w:rsidRPr="00535F27" w:rsidRDefault="00535F27" w:rsidP="004F092C">
      <w:pPr>
        <w:spacing w:after="0" w:line="276" w:lineRule="auto"/>
        <w:ind w:firstLine="357"/>
        <w:contextualSpacing/>
        <w:jc w:val="both"/>
        <w:rPr>
          <w:rFonts w:ascii="Arial" w:eastAsia="Calibri" w:hAnsi="Arial" w:cs="Arial"/>
          <w:shd w:val="clear" w:color="auto" w:fill="FFFFFF"/>
        </w:rPr>
      </w:pPr>
      <w:r w:rsidRPr="00535F27">
        <w:rPr>
          <w:rFonts w:ascii="Arial" w:eastAsia="Calibri" w:hAnsi="Arial" w:cs="Arial"/>
          <w:shd w:val="clear" w:color="auto" w:fill="FFFFFF"/>
        </w:rPr>
        <w:t>De este modo, se evidencia que la procedencia de la causal de selección abreviada de menor cuantía se encuentra directamente vinculad</w:t>
      </w:r>
      <w:r w:rsidR="004B03BE">
        <w:rPr>
          <w:rFonts w:ascii="Arial" w:eastAsia="Calibri" w:hAnsi="Arial" w:cs="Arial"/>
          <w:shd w:val="clear" w:color="auto" w:fill="FFFFFF"/>
        </w:rPr>
        <w:t>a</w:t>
      </w:r>
      <w:r w:rsidRPr="00535F27">
        <w:rPr>
          <w:rFonts w:ascii="Arial" w:eastAsia="Calibri" w:hAnsi="Arial" w:cs="Arial"/>
          <w:shd w:val="clear" w:color="auto" w:fill="FFFFFF"/>
        </w:rPr>
        <w:t xml:space="preserve"> con el presupuesto anual de cada </w:t>
      </w:r>
      <w:r w:rsidR="004F092C" w:rsidRPr="00B36503">
        <w:rPr>
          <w:rFonts w:ascii="Arial" w:eastAsia="Calibri" w:hAnsi="Arial" w:cs="Arial"/>
          <w:shd w:val="clear" w:color="auto" w:fill="FFFFFF"/>
        </w:rPr>
        <w:t>Entidad Estatal</w:t>
      </w:r>
      <w:r w:rsidR="004B03BE">
        <w:rPr>
          <w:rFonts w:ascii="Arial" w:eastAsia="Calibri" w:hAnsi="Arial" w:cs="Arial"/>
          <w:shd w:val="clear" w:color="auto" w:fill="FFFFFF"/>
        </w:rPr>
        <w:t>,</w:t>
      </w:r>
      <w:r w:rsidRPr="00535F27">
        <w:rPr>
          <w:rFonts w:ascii="Arial" w:eastAsia="Calibri" w:hAnsi="Arial" w:cs="Arial"/>
          <w:shd w:val="clear" w:color="auto" w:fill="FFFFFF"/>
        </w:rPr>
        <w:t xml:space="preserve"> </w:t>
      </w:r>
      <w:r w:rsidR="004B03BE" w:rsidRPr="00535F27">
        <w:rPr>
          <w:rFonts w:ascii="Arial" w:eastAsia="Calibri" w:hAnsi="Arial" w:cs="Arial"/>
          <w:shd w:val="clear" w:color="auto" w:fill="FFFFFF"/>
        </w:rPr>
        <w:t xml:space="preserve">de </w:t>
      </w:r>
      <w:r w:rsidRPr="00535F27">
        <w:rPr>
          <w:rFonts w:ascii="Arial" w:eastAsia="Calibri" w:hAnsi="Arial" w:cs="Arial"/>
          <w:shd w:val="clear" w:color="auto" w:fill="FFFFFF"/>
        </w:rPr>
        <w:t>manera</w:t>
      </w:r>
      <w:r w:rsidR="004B03BE">
        <w:rPr>
          <w:rFonts w:ascii="Arial" w:eastAsia="Calibri" w:hAnsi="Arial" w:cs="Arial"/>
          <w:shd w:val="clear" w:color="auto" w:fill="FFFFFF"/>
        </w:rPr>
        <w:t xml:space="preserve"> que</w:t>
      </w:r>
      <w:r w:rsidRPr="00535F27">
        <w:rPr>
          <w:rFonts w:ascii="Arial" w:eastAsia="Calibri" w:hAnsi="Arial" w:cs="Arial"/>
          <w:shd w:val="clear" w:color="auto" w:fill="FFFFFF"/>
        </w:rPr>
        <w:t xml:space="preserve"> los procedimientos de selección cuyo presupuesto oficial no superen el tope de la menor cuantía, se adelantarán bajo la modalidad de selección abreviada, ya que si se supera este tope corresponderá adelantar una licitación pública</w:t>
      </w:r>
      <w:r w:rsidR="004B03BE">
        <w:rPr>
          <w:rFonts w:ascii="Arial" w:eastAsia="Calibri" w:hAnsi="Arial" w:cs="Arial"/>
          <w:shd w:val="clear" w:color="auto" w:fill="FFFFFF"/>
        </w:rPr>
        <w:t xml:space="preserve">, siempre y cuando el único factor que pueda o deba tenerse en consideración es el valor estimado del contrato, esto es, sin considerar factores tales como la naturaleza de los productos, su destinación o características, por lo que </w:t>
      </w:r>
      <w:r w:rsidRPr="00535F27">
        <w:rPr>
          <w:rFonts w:ascii="Arial" w:eastAsia="Calibri" w:hAnsi="Arial" w:cs="Arial"/>
          <w:shd w:val="clear" w:color="auto" w:fill="FFFFFF"/>
        </w:rPr>
        <w:t xml:space="preserve"> en cada contrato en específico se deb</w:t>
      </w:r>
      <w:r w:rsidR="004B03BE">
        <w:rPr>
          <w:rFonts w:ascii="Arial" w:eastAsia="Calibri" w:hAnsi="Arial" w:cs="Arial"/>
          <w:shd w:val="clear" w:color="auto" w:fill="FFFFFF"/>
        </w:rPr>
        <w:t>e</w:t>
      </w:r>
      <w:r w:rsidRPr="00535F27">
        <w:rPr>
          <w:rFonts w:ascii="Arial" w:eastAsia="Calibri" w:hAnsi="Arial" w:cs="Arial"/>
          <w:shd w:val="clear" w:color="auto" w:fill="FFFFFF"/>
        </w:rPr>
        <w:t xml:space="preserve"> analizar la procedencia </w:t>
      </w:r>
      <w:r w:rsidR="004B03BE">
        <w:rPr>
          <w:rFonts w:ascii="Arial" w:eastAsia="Calibri" w:hAnsi="Arial" w:cs="Arial"/>
          <w:shd w:val="clear" w:color="auto" w:fill="FFFFFF"/>
        </w:rPr>
        <w:t xml:space="preserve">la </w:t>
      </w:r>
      <w:r w:rsidRPr="00535F27">
        <w:rPr>
          <w:rFonts w:ascii="Arial" w:eastAsia="Calibri" w:hAnsi="Arial" w:cs="Arial"/>
          <w:shd w:val="clear" w:color="auto" w:fill="FFFFFF"/>
        </w:rPr>
        <w:t xml:space="preserve">causal </w:t>
      </w:r>
      <w:r w:rsidR="004B03BE">
        <w:rPr>
          <w:rFonts w:ascii="Arial" w:eastAsia="Calibri" w:hAnsi="Arial" w:cs="Arial"/>
          <w:shd w:val="clear" w:color="auto" w:fill="FFFFFF"/>
        </w:rPr>
        <w:t xml:space="preserve">o las causales, independientemente de que, en algunos casos, cualquiera de ellas remita al mismo procedimiento de selección. </w:t>
      </w:r>
    </w:p>
    <w:p w14:paraId="1C063DC0" w14:textId="77777777" w:rsidR="00535F27" w:rsidRPr="00535F27" w:rsidRDefault="00535F27" w:rsidP="004F092C">
      <w:pPr>
        <w:spacing w:after="0" w:line="276" w:lineRule="auto"/>
        <w:ind w:firstLine="357"/>
        <w:contextualSpacing/>
        <w:jc w:val="both"/>
        <w:rPr>
          <w:rFonts w:ascii="Arial" w:eastAsia="Calibri" w:hAnsi="Arial" w:cs="Arial"/>
          <w:lang w:val="es-MX"/>
        </w:rPr>
      </w:pPr>
    </w:p>
    <w:p w14:paraId="367BB5A2" w14:textId="77777777" w:rsidR="00535F27" w:rsidRPr="00535F27" w:rsidRDefault="00535F27" w:rsidP="004F092C">
      <w:pPr>
        <w:spacing w:after="0" w:line="276" w:lineRule="auto"/>
        <w:contextualSpacing/>
        <w:rPr>
          <w:rFonts w:ascii="Arial" w:eastAsia="Calibri" w:hAnsi="Arial" w:cs="Arial"/>
          <w:b/>
          <w:bCs/>
          <w:lang w:val="es-ES_tradnl"/>
        </w:rPr>
      </w:pPr>
      <w:r w:rsidRPr="00535F27">
        <w:rPr>
          <w:rFonts w:ascii="Arial" w:eastAsia="Calibri" w:hAnsi="Arial" w:cs="Arial"/>
          <w:b/>
          <w:bCs/>
          <w:lang w:val="es-ES_tradnl"/>
        </w:rPr>
        <w:t xml:space="preserve">2.3. Procedencia de la selección abreviada por subasta inversa para la adquisición de bienes y servicios de características técnicas uniformes </w:t>
      </w:r>
    </w:p>
    <w:p w14:paraId="42F3DB3F" w14:textId="77777777" w:rsidR="00535F27" w:rsidRPr="00535F27" w:rsidRDefault="00535F27" w:rsidP="004F092C">
      <w:pPr>
        <w:spacing w:after="0" w:line="276" w:lineRule="auto"/>
        <w:contextualSpacing/>
        <w:rPr>
          <w:rFonts w:ascii="Arial" w:eastAsia="Times New Roman" w:hAnsi="Arial" w:cs="Arial"/>
          <w:b/>
          <w:bCs/>
          <w:lang w:eastAsia="es-CO"/>
        </w:rPr>
      </w:pPr>
    </w:p>
    <w:p w14:paraId="202EE019" w14:textId="162A692F" w:rsidR="00535F27" w:rsidRPr="00535F27" w:rsidRDefault="00535F27" w:rsidP="004F092C">
      <w:pPr>
        <w:spacing w:after="120" w:line="276" w:lineRule="auto"/>
        <w:jc w:val="both"/>
        <w:textAlignment w:val="baseline"/>
        <w:rPr>
          <w:rFonts w:ascii="Arial" w:eastAsia="Times New Roman" w:hAnsi="Arial" w:cs="Arial"/>
          <w:lang w:eastAsia="es-CO"/>
        </w:rPr>
      </w:pPr>
      <w:r w:rsidRPr="00535F27">
        <w:rPr>
          <w:rFonts w:ascii="Arial" w:eastAsia="Times New Roman" w:hAnsi="Arial" w:cs="Arial"/>
          <w:lang w:val="es-MX" w:eastAsia="es-CO"/>
        </w:rPr>
        <w:t xml:space="preserve">La subasta inversa es un mecanismo que se concibió con la finalidad de introducir una metodología alternativa para el proceso de negociación y perfeccionamiento del contrato estatal. Su regulación se encuentra en el artículo 2 de la Ley 1150 de 2007, </w:t>
      </w:r>
      <w:r w:rsidR="00A06FBC">
        <w:rPr>
          <w:rFonts w:ascii="Arial" w:eastAsia="Times New Roman" w:hAnsi="Arial" w:cs="Arial"/>
          <w:lang w:val="es-MX" w:eastAsia="es-CO"/>
        </w:rPr>
        <w:t xml:space="preserve">disposición en la cual se señala que procede </w:t>
      </w:r>
      <w:r w:rsidRPr="00535F27">
        <w:rPr>
          <w:rFonts w:ascii="Arial" w:eastAsia="Times New Roman" w:hAnsi="Arial" w:cs="Arial"/>
          <w:lang w:val="es-MX" w:eastAsia="es-CO"/>
        </w:rPr>
        <w:t>para los procesos de selección abreviada que tienen por finalidad la adquisición de bienes y servicios de características técnicas uniformes y de común utilización y en los procesos de enajenación de bienes del Estado</w:t>
      </w:r>
      <w:r w:rsidRPr="00535F27">
        <w:rPr>
          <w:rFonts w:ascii="Arial" w:eastAsia="Times New Roman" w:hAnsi="Arial" w:cs="Arial"/>
          <w:vertAlign w:val="superscript"/>
          <w:lang w:val="es-MX" w:eastAsia="es-CO"/>
        </w:rPr>
        <w:footnoteReference w:id="5"/>
      </w:r>
      <w:r w:rsidRPr="00535F27">
        <w:rPr>
          <w:rFonts w:ascii="Arial" w:eastAsia="Times New Roman" w:hAnsi="Arial" w:cs="Arial"/>
          <w:lang w:val="es-MX" w:eastAsia="es-CO"/>
        </w:rPr>
        <w:t>.  </w:t>
      </w:r>
      <w:r w:rsidRPr="00535F27">
        <w:rPr>
          <w:rFonts w:ascii="Arial" w:eastAsia="Times New Roman" w:hAnsi="Arial" w:cs="Arial"/>
          <w:lang w:eastAsia="es-CO"/>
        </w:rPr>
        <w:t> </w:t>
      </w:r>
    </w:p>
    <w:p w14:paraId="4157DB40" w14:textId="77777777" w:rsidR="00535F27" w:rsidRPr="00535F27" w:rsidRDefault="00535F27" w:rsidP="004F092C">
      <w:pPr>
        <w:spacing w:after="120" w:line="276" w:lineRule="auto"/>
        <w:ind w:firstLine="705"/>
        <w:jc w:val="both"/>
        <w:textAlignment w:val="baseline"/>
        <w:rPr>
          <w:rFonts w:ascii="Arial" w:eastAsia="Times New Roman" w:hAnsi="Arial" w:cs="Arial"/>
          <w:lang w:eastAsia="es-CO"/>
        </w:rPr>
      </w:pPr>
      <w:r w:rsidRPr="00535F27">
        <w:rPr>
          <w:rFonts w:ascii="Arial" w:eastAsia="Times New Roman" w:hAnsi="Arial" w:cs="Arial"/>
          <w:lang w:val="es-MX" w:eastAsia="es-CO"/>
        </w:rPr>
        <w:lastRenderedPageBreak/>
        <w:t>En este contexto, la doctrina ha señalado que «se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sidRPr="00535F27">
        <w:rPr>
          <w:rFonts w:ascii="Arial" w:eastAsia="Times New Roman" w:hAnsi="Arial" w:cs="Arial"/>
          <w:vertAlign w:val="superscript"/>
          <w:lang w:val="es-MX" w:eastAsia="es-CO"/>
        </w:rPr>
        <w:footnoteReference w:id="6"/>
      </w:r>
      <w:r w:rsidRPr="00535F27">
        <w:rPr>
          <w:rFonts w:ascii="Arial" w:eastAsia="Times New Roman" w:hAnsi="Arial" w:cs="Arial"/>
          <w:lang w:val="es-MX" w:eastAsia="es-CO"/>
        </w:rPr>
        <w:t>. En igual sentido, la doctrina especializada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r w:rsidRPr="00535F27">
        <w:rPr>
          <w:rFonts w:ascii="Arial" w:eastAsia="Times New Roman" w:hAnsi="Arial" w:cs="Arial"/>
          <w:vertAlign w:val="superscript"/>
          <w:lang w:val="es-MX" w:eastAsia="es-CO"/>
        </w:rPr>
        <w:footnoteReference w:id="7"/>
      </w:r>
      <w:r w:rsidRPr="00535F27">
        <w:rPr>
          <w:rFonts w:ascii="Arial" w:eastAsia="Times New Roman" w:hAnsi="Arial" w:cs="Arial"/>
          <w:lang w:val="es-MX" w:eastAsia="es-CO"/>
        </w:rPr>
        <w:t>.  </w:t>
      </w:r>
      <w:r w:rsidRPr="00535F27">
        <w:rPr>
          <w:rFonts w:ascii="Arial" w:eastAsia="Times New Roman" w:hAnsi="Arial" w:cs="Arial"/>
          <w:lang w:eastAsia="es-CO"/>
        </w:rPr>
        <w:t> </w:t>
      </w:r>
    </w:p>
    <w:p w14:paraId="6282FA9E" w14:textId="77777777" w:rsidR="00535F27" w:rsidRPr="00535F27" w:rsidRDefault="00535F27" w:rsidP="004F092C">
      <w:pPr>
        <w:spacing w:after="120" w:line="276" w:lineRule="auto"/>
        <w:ind w:firstLine="705"/>
        <w:jc w:val="both"/>
        <w:textAlignment w:val="baseline"/>
        <w:rPr>
          <w:rFonts w:ascii="Arial" w:eastAsia="Times New Roman" w:hAnsi="Arial" w:cs="Arial"/>
          <w:lang w:eastAsia="es-CO"/>
        </w:rPr>
      </w:pPr>
      <w:r w:rsidRPr="00535F27">
        <w:rPr>
          <w:rFonts w:ascii="Arial" w:eastAsia="Times New Roman" w:hAnsi="Arial" w:cs="Arial"/>
          <w:lang w:val="es-MX" w:eastAsia="es-CO"/>
        </w:rPr>
        <w:t>El literal a) del numeral 2 del artículo 2 de la Ley 1150 de 2007, en relación con la adquisición de bienes y servicios de características técnicas uniformes y de común utilización, establece que «Para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En este evento, contrario a lo que ocurre en la licitación pública, el ordenamiento jurídico prescribe la utilización de la subasta inversa en los procedimientos de selección abreviada cuando se pretendan adquirir bienes y servicios de características técnicas uniformes y de común utilización. </w:t>
      </w:r>
      <w:r w:rsidRPr="00535F27">
        <w:rPr>
          <w:rFonts w:ascii="Arial" w:eastAsia="Times New Roman" w:hAnsi="Arial" w:cs="Arial"/>
          <w:lang w:eastAsia="es-CO"/>
        </w:rPr>
        <w:t> </w:t>
      </w:r>
    </w:p>
    <w:p w14:paraId="55D56D78" w14:textId="6CEC6826" w:rsidR="00535F27" w:rsidRPr="00535F27" w:rsidRDefault="00535F27" w:rsidP="004F092C">
      <w:pPr>
        <w:spacing w:after="120" w:line="276" w:lineRule="auto"/>
        <w:ind w:firstLine="705"/>
        <w:jc w:val="both"/>
        <w:textAlignment w:val="baseline"/>
        <w:rPr>
          <w:rFonts w:ascii="Arial" w:eastAsia="Times New Roman" w:hAnsi="Arial" w:cs="Arial"/>
          <w:lang w:eastAsia="es-CO"/>
        </w:rPr>
      </w:pPr>
      <w:r w:rsidRPr="00535F27">
        <w:rPr>
          <w:rFonts w:ascii="Arial" w:eastAsia="Times New Roman" w:hAnsi="Arial" w:cs="Arial"/>
          <w:lang w:val="es-MX" w:eastAsia="es-CO"/>
        </w:rPr>
        <w:t>Así las cosas, como se desprende de la disposición citada, la utilización de la subasta inversa en la selección abreviada está plenamente ligada con el tipo o la naturaleza de los bienes o servicios a adquirir</w:t>
      </w:r>
      <w:r w:rsidR="00322CF0">
        <w:rPr>
          <w:rFonts w:ascii="Arial" w:eastAsia="Times New Roman" w:hAnsi="Arial" w:cs="Arial"/>
          <w:lang w:val="es-MX" w:eastAsia="es-CO"/>
        </w:rPr>
        <w:t>, sin consideración al presupuesto estimado para su compra</w:t>
      </w:r>
      <w:r w:rsidRPr="00535F27">
        <w:rPr>
          <w:rFonts w:ascii="Arial" w:eastAsia="Times New Roman" w:hAnsi="Arial" w:cs="Arial"/>
          <w:lang w:val="es-MX" w:eastAsia="es-CO"/>
        </w:rPr>
        <w:t>. En este sentido, el artículo 2.2.1.2.1.2.2. del Decreto 1082 de 2015 indica que, en la selección abreviada para la adquisición de bienes y servicios de características técnicas uniformes por subasta inversa, además de las reglas generales previstas en la ley y en ese título del Decreto, deben observarse las reglas específicas allí enunciadas. Por ello, queda claro que para recurrir a la subasta inversa en la selección abreviada es determinante la naturaleza de los bienes y servicios que se pretenden adquirir.</w:t>
      </w:r>
      <w:r w:rsidRPr="00535F27">
        <w:rPr>
          <w:rFonts w:ascii="Arial" w:eastAsia="Times New Roman" w:hAnsi="Arial" w:cs="Arial"/>
          <w:lang w:eastAsia="es-CO"/>
        </w:rPr>
        <w:t> </w:t>
      </w:r>
    </w:p>
    <w:p w14:paraId="77D567E9" w14:textId="77777777" w:rsidR="00535F27" w:rsidRPr="00535F27" w:rsidRDefault="00535F27" w:rsidP="004F092C">
      <w:pPr>
        <w:spacing w:after="0" w:line="276" w:lineRule="auto"/>
        <w:ind w:firstLine="720"/>
        <w:jc w:val="both"/>
        <w:textAlignment w:val="baseline"/>
        <w:rPr>
          <w:rFonts w:ascii="Arial" w:eastAsia="Times New Roman" w:hAnsi="Arial" w:cs="Arial"/>
          <w:lang w:eastAsia="es-CO"/>
        </w:rPr>
      </w:pPr>
      <w:r w:rsidRPr="00535F27">
        <w:rPr>
          <w:rFonts w:ascii="Arial" w:eastAsia="Times New Roman" w:hAnsi="Arial" w:cs="Arial"/>
          <w:lang w:val="es-ES" w:eastAsia="es-CO"/>
        </w:rPr>
        <w:lastRenderedPageBreak/>
        <w:t>A partir de las disposiciones anteriores, tal como se puso de presente en el concepto C-678 del 24 de noviembre de 2020 de esta Agencia, la doctrina ha avanzado en la conceptualización de este tipo de bienes y servicios, resaltando sus características esenciales relacionadas con su </w:t>
      </w:r>
      <w:r w:rsidRPr="00535F27">
        <w:rPr>
          <w:rFonts w:ascii="Arial" w:eastAsia="Times New Roman" w:hAnsi="Arial" w:cs="Arial"/>
          <w:i/>
          <w:iCs/>
          <w:lang w:val="es-ES" w:eastAsia="es-CO"/>
        </w:rPr>
        <w:t>homogeneidad </w:t>
      </w:r>
      <w:r w:rsidRPr="00535F27">
        <w:rPr>
          <w:rFonts w:ascii="Arial" w:eastAsia="Times New Roman" w:hAnsi="Arial" w:cs="Arial"/>
          <w:lang w:val="es-ES" w:eastAsia="es-CO"/>
        </w:rPr>
        <w:t>y su oferta en el mercado en condiciones estandarizadas. Así, en relación con los bienes y servicios en comento afirmó, con apoyo en la doctrina, lo siguiente:</w:t>
      </w:r>
      <w:r w:rsidRPr="00535F27">
        <w:rPr>
          <w:rFonts w:ascii="Arial" w:eastAsia="Times New Roman" w:hAnsi="Arial" w:cs="Arial"/>
          <w:lang w:eastAsia="es-CO"/>
        </w:rPr>
        <w:t>    </w:t>
      </w:r>
    </w:p>
    <w:p w14:paraId="5100553F" w14:textId="77777777" w:rsidR="00535F27" w:rsidRPr="00535F27" w:rsidRDefault="00535F27" w:rsidP="004F092C">
      <w:pPr>
        <w:spacing w:after="0" w:line="276" w:lineRule="auto"/>
        <w:ind w:firstLine="720"/>
        <w:contextualSpacing/>
        <w:jc w:val="both"/>
        <w:textAlignment w:val="baseline"/>
        <w:rPr>
          <w:rFonts w:ascii="Arial" w:eastAsia="Times New Roman" w:hAnsi="Arial" w:cs="Arial"/>
          <w:lang w:eastAsia="es-CO"/>
        </w:rPr>
      </w:pPr>
    </w:p>
    <w:p w14:paraId="14D3389E" w14:textId="77777777" w:rsidR="00535F27" w:rsidRPr="00535F27" w:rsidRDefault="00535F27" w:rsidP="00B5434C">
      <w:pPr>
        <w:spacing w:after="0" w:line="240" w:lineRule="auto"/>
        <w:ind w:left="709" w:right="703"/>
        <w:contextualSpacing/>
        <w:jc w:val="both"/>
        <w:textAlignment w:val="baseline"/>
        <w:rPr>
          <w:rFonts w:ascii="Arial" w:eastAsia="Times New Roman" w:hAnsi="Arial" w:cs="Arial"/>
          <w:sz w:val="21"/>
          <w:szCs w:val="21"/>
          <w:lang w:eastAsia="es-CO"/>
        </w:rPr>
      </w:pPr>
      <w:r w:rsidRPr="00535F27">
        <w:rPr>
          <w:rFonts w:ascii="Arial" w:eastAsia="Times New Roman" w:hAnsi="Arial" w:cs="Arial"/>
          <w:sz w:val="21"/>
          <w:szCs w:val="21"/>
          <w:lang w:val="es-ES" w:eastAsia="es-CO"/>
        </w:rPr>
        <w:t>«[…] ello evoca que sean fácilmente describibles por </w:t>
      </w:r>
      <w:r w:rsidRPr="00535F27">
        <w:rPr>
          <w:rFonts w:ascii="Arial" w:eastAsia="Times New Roman" w:hAnsi="Arial" w:cs="Arial"/>
          <w:i/>
          <w:sz w:val="21"/>
          <w:szCs w:val="21"/>
          <w:lang w:val="es-ES" w:eastAsia="es-CO"/>
        </w:rPr>
        <w:t>características mínimas comunes a los de su tipo, excluyendo elementos no esenciales, tales como los de diseño o cualquier otro que no altere la funcionalidad del bien o servicio. </w:t>
      </w:r>
      <w:r w:rsidRPr="00535F27">
        <w:rPr>
          <w:rFonts w:ascii="Arial" w:eastAsia="Times New Roman" w:hAnsi="Arial" w:cs="Arial"/>
          <w:sz w:val="21"/>
          <w:szCs w:val="21"/>
          <w:lang w:val="es-ES" w:eastAsia="es-CO"/>
        </w:rPr>
        <w:t>Ello debería ser así, en la medida en la cual se busca que la Administración logre que compitan bienes y servicios de igual calidad ofrecidos por proponentes capaces de satisfacer el requerimiento de la entidad contratante.</w:t>
      </w:r>
      <w:r w:rsidRPr="00535F27">
        <w:rPr>
          <w:rFonts w:ascii="Arial" w:eastAsia="Times New Roman" w:hAnsi="Arial" w:cs="Arial"/>
          <w:sz w:val="21"/>
          <w:szCs w:val="21"/>
          <w:lang w:eastAsia="es-CO"/>
        </w:rPr>
        <w:t> </w:t>
      </w:r>
      <w:r w:rsidRPr="00535F27">
        <w:rPr>
          <w:rFonts w:ascii="Arial" w:eastAsia="Times New Roman" w:hAnsi="Arial" w:cs="Arial"/>
          <w:sz w:val="21"/>
          <w:szCs w:val="21"/>
          <w:lang w:val="es-ES" w:eastAsia="es-CO"/>
        </w:rPr>
        <w:t>[…]</w:t>
      </w:r>
      <w:r w:rsidRPr="00535F27">
        <w:rPr>
          <w:rFonts w:ascii="Arial" w:eastAsia="Times New Roman" w:hAnsi="Arial" w:cs="Arial"/>
          <w:sz w:val="21"/>
          <w:szCs w:val="21"/>
          <w:lang w:eastAsia="es-CO"/>
        </w:rPr>
        <w:t>  </w:t>
      </w:r>
    </w:p>
    <w:p w14:paraId="062FBA01" w14:textId="77777777" w:rsidR="00535F27" w:rsidRPr="00535F27" w:rsidRDefault="00535F27" w:rsidP="00B5434C">
      <w:pPr>
        <w:spacing w:after="0" w:line="240" w:lineRule="auto"/>
        <w:ind w:left="709" w:right="703"/>
        <w:contextualSpacing/>
        <w:jc w:val="both"/>
        <w:textAlignment w:val="baseline"/>
        <w:rPr>
          <w:rFonts w:ascii="Arial" w:eastAsia="Times New Roman" w:hAnsi="Arial" w:cs="Arial"/>
          <w:sz w:val="21"/>
          <w:szCs w:val="21"/>
          <w:lang w:eastAsia="es-CO"/>
        </w:rPr>
      </w:pPr>
    </w:p>
    <w:p w14:paraId="6FFF591B" w14:textId="77777777" w:rsidR="00535F27" w:rsidRPr="00535F27" w:rsidRDefault="00535F27" w:rsidP="00B5434C">
      <w:pPr>
        <w:spacing w:after="0" w:line="240" w:lineRule="auto"/>
        <w:ind w:left="709" w:right="703"/>
        <w:contextualSpacing/>
        <w:jc w:val="both"/>
        <w:textAlignment w:val="baseline"/>
        <w:rPr>
          <w:rFonts w:ascii="Arial" w:eastAsia="Times New Roman" w:hAnsi="Arial" w:cs="Arial"/>
          <w:sz w:val="21"/>
          <w:szCs w:val="21"/>
          <w:lang w:eastAsia="es-CO"/>
        </w:rPr>
      </w:pPr>
      <w:r w:rsidRPr="00535F27">
        <w:rPr>
          <w:rFonts w:ascii="Arial" w:eastAsia="Times New Roman" w:hAnsi="Arial" w:cs="Arial"/>
          <w:sz w:val="21"/>
          <w:szCs w:val="21"/>
          <w:lang w:val="es-ES" w:eastAsia="es-CO"/>
        </w:rPr>
        <w:t>Aquellos que se ofrecen en el mercado con un estándar para quienes los demandan, o lo que es igual, que la oferta de los mismos en el mercado ocurriese en condiciones equivalentes para todo interesado en adquirirlo»</w:t>
      </w:r>
      <w:r w:rsidRPr="00535F27">
        <w:rPr>
          <w:rFonts w:ascii="Arial" w:eastAsia="Times New Roman" w:hAnsi="Arial" w:cs="Arial"/>
          <w:sz w:val="21"/>
          <w:szCs w:val="21"/>
          <w:vertAlign w:val="superscript"/>
          <w:lang w:val="es-ES" w:eastAsia="es-CO"/>
        </w:rPr>
        <w:footnoteReference w:id="8"/>
      </w:r>
      <w:r w:rsidRPr="00535F27">
        <w:rPr>
          <w:rFonts w:ascii="Arial" w:eastAsia="Times New Roman" w:hAnsi="Arial" w:cs="Arial"/>
          <w:sz w:val="21"/>
          <w:szCs w:val="21"/>
          <w:lang w:val="es-ES" w:eastAsia="es-CO"/>
        </w:rPr>
        <w:t>.</w:t>
      </w:r>
      <w:r w:rsidRPr="00535F27">
        <w:rPr>
          <w:rFonts w:ascii="Arial" w:eastAsia="Times New Roman" w:hAnsi="Arial" w:cs="Arial"/>
          <w:sz w:val="21"/>
          <w:szCs w:val="21"/>
          <w:lang w:eastAsia="es-CO"/>
        </w:rPr>
        <w:t>   </w:t>
      </w:r>
    </w:p>
    <w:p w14:paraId="320A491C" w14:textId="77777777" w:rsidR="00535F27" w:rsidRPr="00535F27" w:rsidRDefault="00535F27" w:rsidP="004F092C">
      <w:pPr>
        <w:spacing w:after="0" w:line="276" w:lineRule="auto"/>
        <w:ind w:left="703" w:right="703"/>
        <w:contextualSpacing/>
        <w:jc w:val="both"/>
        <w:textAlignment w:val="baseline"/>
        <w:rPr>
          <w:rFonts w:ascii="Arial" w:eastAsia="Times New Roman" w:hAnsi="Arial" w:cs="Arial"/>
          <w:lang w:eastAsia="es-CO"/>
        </w:rPr>
      </w:pPr>
    </w:p>
    <w:p w14:paraId="4FA38B04" w14:textId="77777777" w:rsidR="00535F27" w:rsidRPr="00535F27" w:rsidRDefault="00535F27" w:rsidP="00B5434C">
      <w:pPr>
        <w:spacing w:after="120" w:line="276" w:lineRule="auto"/>
        <w:ind w:firstLine="703"/>
        <w:jc w:val="both"/>
        <w:textAlignment w:val="baseline"/>
        <w:rPr>
          <w:rFonts w:ascii="Arial" w:eastAsia="Times New Roman" w:hAnsi="Arial" w:cs="Arial"/>
          <w:lang w:eastAsia="es-CO"/>
        </w:rPr>
      </w:pPr>
      <w:r w:rsidRPr="00535F27">
        <w:rPr>
          <w:rFonts w:ascii="Arial" w:eastAsia="Times New Roman" w:hAnsi="Arial" w:cs="Arial"/>
          <w:lang w:val="es-ES" w:eastAsia="es-CO"/>
        </w:rPr>
        <w:t>Como se advierte de lo anterior, los elementos centrales para definir si un bien o servicio se considera de características técnicas uniformes consiste en que posea las mismas especificaciones técnicas y compartan patrones de desempeño y calidad objetivamente definidos, de manera que sea posible adquirirlos en el mercado en condiciones estandarizadas u homogéneas, con independencia de su diseño o de sus características descriptivas, que no afectan su funcionalidad. En este sentido, la forma como se adquieren en el mercado incide en la determinación de si un bien o servicio se encuadra en esta categoría. De ahí que el Decreto 1082 de 2015 disponga que «pueden ser agrupados como bienes y servicios homogéneos para su adquisición», dado que son bienes y servicios con especificaciones técnicas y patrones de desempeño y calidad iguales o similares. </w:t>
      </w:r>
      <w:r w:rsidRPr="00535F27">
        <w:rPr>
          <w:rFonts w:ascii="Arial" w:eastAsia="Times New Roman" w:hAnsi="Arial" w:cs="Arial"/>
          <w:lang w:eastAsia="es-CO"/>
        </w:rPr>
        <w:t> </w:t>
      </w:r>
    </w:p>
    <w:p w14:paraId="5018FC1B" w14:textId="77777777" w:rsidR="00535F27" w:rsidRPr="00535F27" w:rsidRDefault="00535F27" w:rsidP="00B5434C">
      <w:pPr>
        <w:spacing w:after="120" w:line="276" w:lineRule="auto"/>
        <w:ind w:firstLine="703"/>
        <w:jc w:val="both"/>
        <w:textAlignment w:val="baseline"/>
        <w:rPr>
          <w:rFonts w:ascii="Arial" w:eastAsia="Times New Roman" w:hAnsi="Arial" w:cs="Arial"/>
          <w:lang w:eastAsia="es-CO"/>
        </w:rPr>
      </w:pPr>
      <w:r w:rsidRPr="00535F27">
        <w:rPr>
          <w:rFonts w:ascii="Arial" w:eastAsia="Times New Roman" w:hAnsi="Arial" w:cs="Arial"/>
          <w:lang w:val="es-ES" w:eastAsia="es-CO"/>
        </w:rPr>
        <w:t>Así las cosas, con la finalidad de delimitar la noción, cabe destacar que la definición contenida en la Ley 1150 de 2007, pese a que nominalmente acude al término de «común utilización», al referirse a los «bienes y servicios de características técnicas uniformes y de común utilización por parte de las entidades», en realidad los define haciendo abstracción de dicho elemento, al establecer que: «corresponden a aquellos que poseen las mismas especificaciones técnicas, con independencia de su diseño o de sus características descriptivas, y comparten patrones de desempeño y calidad objetivamente definidos».</w:t>
      </w:r>
      <w:r w:rsidRPr="00535F27">
        <w:rPr>
          <w:rFonts w:ascii="Arial" w:eastAsia="Times New Roman" w:hAnsi="Arial" w:cs="Arial"/>
          <w:lang w:eastAsia="es-CO"/>
        </w:rPr>
        <w:t>  </w:t>
      </w:r>
    </w:p>
    <w:p w14:paraId="698C87F9" w14:textId="0F668425" w:rsidR="00535F27" w:rsidRPr="00535F27" w:rsidRDefault="00535F27" w:rsidP="00B5434C">
      <w:pPr>
        <w:spacing w:after="120" w:line="276" w:lineRule="auto"/>
        <w:ind w:firstLine="703"/>
        <w:jc w:val="both"/>
        <w:textAlignment w:val="baseline"/>
        <w:rPr>
          <w:rFonts w:ascii="Arial" w:eastAsia="Times New Roman" w:hAnsi="Arial" w:cs="Arial"/>
          <w:lang w:eastAsia="es-CO"/>
        </w:rPr>
      </w:pPr>
      <w:r w:rsidRPr="00535F27">
        <w:rPr>
          <w:rFonts w:ascii="Arial" w:eastAsia="Times New Roman" w:hAnsi="Arial" w:cs="Arial"/>
          <w:lang w:val="es-ES" w:eastAsia="es-CO"/>
        </w:rPr>
        <w:t xml:space="preserve">Por ello, para considerar si determinados bienes o servicios encuadran en esta noción no es necesario que la entidad acredite que estos son contratados por más de una </w:t>
      </w:r>
      <w:r w:rsidR="00B5434C" w:rsidRPr="00B36503">
        <w:rPr>
          <w:rFonts w:ascii="Arial" w:eastAsia="Times New Roman" w:hAnsi="Arial" w:cs="Arial"/>
          <w:lang w:val="es-ES" w:eastAsia="es-CO"/>
        </w:rPr>
        <w:t xml:space="preserve">Entidad Estatal, </w:t>
      </w:r>
      <w:r w:rsidRPr="00535F27">
        <w:rPr>
          <w:rFonts w:ascii="Arial" w:eastAsia="Times New Roman" w:hAnsi="Arial" w:cs="Arial"/>
          <w:lang w:val="es-ES" w:eastAsia="es-CO"/>
        </w:rPr>
        <w:t>toda vez que</w:t>
      </w:r>
      <w:r w:rsidR="00322CF0">
        <w:rPr>
          <w:rFonts w:ascii="Arial" w:eastAsia="Times New Roman" w:hAnsi="Arial" w:cs="Arial"/>
          <w:lang w:val="es-ES" w:eastAsia="es-CO"/>
        </w:rPr>
        <w:t>,</w:t>
      </w:r>
      <w:r w:rsidRPr="00535F27">
        <w:rPr>
          <w:rFonts w:ascii="Arial" w:eastAsia="Times New Roman" w:hAnsi="Arial" w:cs="Arial"/>
          <w:lang w:val="es-ES" w:eastAsia="es-CO"/>
        </w:rPr>
        <w:t xml:space="preserve"> incluso</w:t>
      </w:r>
      <w:r w:rsidR="00322CF0">
        <w:rPr>
          <w:rFonts w:ascii="Arial" w:eastAsia="Times New Roman" w:hAnsi="Arial" w:cs="Arial"/>
          <w:lang w:val="es-ES" w:eastAsia="es-CO"/>
        </w:rPr>
        <w:t>,</w:t>
      </w:r>
      <w:r w:rsidRPr="00535F27">
        <w:rPr>
          <w:rFonts w:ascii="Arial" w:eastAsia="Times New Roman" w:hAnsi="Arial" w:cs="Arial"/>
          <w:lang w:val="es-ES" w:eastAsia="es-CO"/>
        </w:rPr>
        <w:t xml:space="preserve"> podrían ser de común utilización al interior de una misma entidad. En tal sentido, siempre que se cumplan los elementos de la noción desarrollados anteriormente, se podrá considerar que un bien o servicio es de características técnicas uniformes.</w:t>
      </w:r>
      <w:r w:rsidRPr="00535F27">
        <w:rPr>
          <w:rFonts w:ascii="Arial" w:eastAsia="Times New Roman" w:hAnsi="Arial" w:cs="Arial"/>
          <w:lang w:eastAsia="es-CO"/>
        </w:rPr>
        <w:t>  </w:t>
      </w:r>
    </w:p>
    <w:p w14:paraId="4F495870" w14:textId="101936F4" w:rsidR="00535F27" w:rsidRPr="00535F27" w:rsidRDefault="00535F27" w:rsidP="00535F27">
      <w:pPr>
        <w:spacing w:after="0" w:line="276" w:lineRule="auto"/>
        <w:ind w:firstLine="703"/>
        <w:jc w:val="both"/>
        <w:textAlignment w:val="baseline"/>
        <w:rPr>
          <w:rFonts w:ascii="Arial" w:eastAsia="Times New Roman" w:hAnsi="Arial" w:cs="Arial"/>
          <w:lang w:eastAsia="es-CO"/>
        </w:rPr>
      </w:pPr>
      <w:r w:rsidRPr="00535F27">
        <w:rPr>
          <w:rFonts w:ascii="Arial" w:eastAsia="Times New Roman" w:hAnsi="Arial" w:cs="Arial"/>
          <w:lang w:eastAsia="es-CO"/>
        </w:rPr>
        <w:lastRenderedPageBreak/>
        <w:t>Finalmente, una vez y explicado el criterio esencial para la configuración de la causal establecida en el literal a) del numeral 2° del artículo 2 de la Ley 1150 de 2007, se puede afirmar que lo</w:t>
      </w:r>
      <w:r w:rsidR="00322CF0">
        <w:rPr>
          <w:rFonts w:ascii="Arial" w:eastAsia="Times New Roman" w:hAnsi="Arial" w:cs="Arial"/>
          <w:lang w:eastAsia="es-CO"/>
        </w:rPr>
        <w:t xml:space="preserve"> que</w:t>
      </w:r>
      <w:r w:rsidRPr="00535F27">
        <w:rPr>
          <w:rFonts w:ascii="Arial" w:eastAsia="Times New Roman" w:hAnsi="Arial" w:cs="Arial"/>
          <w:lang w:eastAsia="es-CO"/>
        </w:rPr>
        <w:t xml:space="preserve"> determina su aplicación es que el bien o servicio a contratar guarde las características y elementos previamente descritos, sin ser relevante la cuantía de los bienes o servicios a contratar, en la medida que la citada disposición no establece un límite de cuantía frente a la cual opera la subasta inversa. Lo contrario ocurre con la primera causal estudiada en el </w:t>
      </w:r>
      <w:r w:rsidR="00B5434C" w:rsidRPr="00B36503">
        <w:rPr>
          <w:rFonts w:ascii="Arial" w:eastAsia="Times New Roman" w:hAnsi="Arial" w:cs="Arial"/>
          <w:lang w:eastAsia="es-CO"/>
        </w:rPr>
        <w:t xml:space="preserve">numeral 2.2. del </w:t>
      </w:r>
      <w:r w:rsidRPr="00535F27">
        <w:rPr>
          <w:rFonts w:ascii="Arial" w:eastAsia="Times New Roman" w:hAnsi="Arial" w:cs="Arial"/>
          <w:lang w:eastAsia="es-CO"/>
        </w:rPr>
        <w:t>presente concepto, en virtud de la cual s</w:t>
      </w:r>
      <w:r w:rsidR="00322CF0">
        <w:rPr>
          <w:rFonts w:ascii="Arial" w:eastAsia="Times New Roman" w:hAnsi="Arial" w:cs="Arial"/>
          <w:lang w:eastAsia="es-CO"/>
        </w:rPr>
        <w:t>i</w:t>
      </w:r>
      <w:r w:rsidRPr="00535F27">
        <w:rPr>
          <w:rFonts w:ascii="Arial" w:eastAsia="Times New Roman" w:hAnsi="Arial" w:cs="Arial"/>
          <w:lang w:eastAsia="es-CO"/>
        </w:rPr>
        <w:t xml:space="preserve"> resulta relevante la cuantía en los términos que fue desarrollado en el acápite correspondiente. </w:t>
      </w:r>
    </w:p>
    <w:p w14:paraId="4BD299A1" w14:textId="77777777" w:rsidR="00535F27" w:rsidRPr="00535F27" w:rsidRDefault="00535F27" w:rsidP="005417DE">
      <w:pPr>
        <w:spacing w:after="0" w:line="276" w:lineRule="auto"/>
        <w:ind w:firstLine="703"/>
        <w:contextualSpacing/>
        <w:jc w:val="both"/>
        <w:textAlignment w:val="baseline"/>
        <w:rPr>
          <w:rFonts w:ascii="Arial" w:eastAsia="Times New Roman" w:hAnsi="Arial" w:cs="Arial"/>
          <w:lang w:eastAsia="es-CO"/>
        </w:rPr>
      </w:pPr>
    </w:p>
    <w:p w14:paraId="695C8044" w14:textId="77777777" w:rsidR="00535F27" w:rsidRPr="00535F27" w:rsidRDefault="00535F27" w:rsidP="005417DE">
      <w:pPr>
        <w:numPr>
          <w:ilvl w:val="0"/>
          <w:numId w:val="1"/>
        </w:numPr>
        <w:spacing w:after="0" w:line="276" w:lineRule="auto"/>
        <w:contextualSpacing/>
        <w:jc w:val="both"/>
        <w:textAlignment w:val="baseline"/>
        <w:rPr>
          <w:rFonts w:ascii="Arial" w:eastAsia="Times New Roman" w:hAnsi="Arial" w:cs="Arial"/>
          <w:b/>
          <w:bCs/>
          <w:lang w:eastAsia="es-CO"/>
        </w:rPr>
      </w:pPr>
      <w:r w:rsidRPr="00535F27">
        <w:rPr>
          <w:rFonts w:ascii="Arial" w:eastAsia="Times New Roman" w:hAnsi="Arial" w:cs="Arial"/>
          <w:b/>
          <w:bCs/>
          <w:lang w:eastAsia="es-CO"/>
        </w:rPr>
        <w:t>Respuesta</w:t>
      </w:r>
    </w:p>
    <w:p w14:paraId="1CB1952F" w14:textId="77777777" w:rsidR="00535F27" w:rsidRPr="00535F27" w:rsidRDefault="00535F27" w:rsidP="005417DE">
      <w:pPr>
        <w:spacing w:after="0" w:line="276" w:lineRule="auto"/>
        <w:ind w:left="360"/>
        <w:contextualSpacing/>
        <w:jc w:val="both"/>
        <w:textAlignment w:val="baseline"/>
        <w:rPr>
          <w:rFonts w:ascii="Arial" w:eastAsia="Times New Roman" w:hAnsi="Arial" w:cs="Arial"/>
          <w:b/>
          <w:bCs/>
          <w:lang w:eastAsia="es-CO"/>
        </w:rPr>
      </w:pPr>
    </w:p>
    <w:p w14:paraId="5C43E55A" w14:textId="77777777" w:rsidR="00B5434C" w:rsidRPr="00E66A63" w:rsidRDefault="00535F27" w:rsidP="005417DE">
      <w:pPr>
        <w:spacing w:after="0" w:line="240" w:lineRule="auto"/>
        <w:ind w:left="709" w:right="709"/>
        <w:contextualSpacing/>
        <w:jc w:val="both"/>
        <w:rPr>
          <w:rFonts w:ascii="Arial" w:eastAsia="Times New Roman" w:hAnsi="Arial" w:cs="Arial"/>
          <w:sz w:val="21"/>
          <w:szCs w:val="21"/>
          <w:lang w:eastAsia="es-CO"/>
        </w:rPr>
      </w:pPr>
      <w:r w:rsidRPr="00535F27">
        <w:rPr>
          <w:rFonts w:ascii="Arial" w:eastAsia="Arial" w:hAnsi="Arial" w:cs="Arial"/>
          <w:sz w:val="21"/>
          <w:szCs w:val="21"/>
          <w:lang w:val="es-ES" w:eastAsia="es-ES" w:bidi="es-ES"/>
        </w:rPr>
        <w:t>«</w:t>
      </w:r>
      <w:r w:rsidR="00B5434C" w:rsidRPr="00E66A63">
        <w:rPr>
          <w:rFonts w:ascii="Arial" w:eastAsia="Times New Roman" w:hAnsi="Arial" w:cs="Arial"/>
          <w:sz w:val="21"/>
          <w:szCs w:val="21"/>
          <w:lang w:eastAsia="es-CO"/>
        </w:rPr>
        <w:t>1. ¿Si la entidad Estatal pretende adquirir </w:t>
      </w:r>
      <w:r w:rsidR="00B5434C" w:rsidRPr="00E66A63">
        <w:rPr>
          <w:rFonts w:ascii="Arial" w:eastAsia="Times New Roman" w:hAnsi="Arial" w:cs="Arial"/>
          <w:b/>
          <w:bCs/>
          <w:i/>
          <w:iCs/>
          <w:sz w:val="21"/>
          <w:szCs w:val="21"/>
          <w:u w:val="single"/>
          <w:lang w:eastAsia="es-CO"/>
        </w:rPr>
        <w:t>bienes y servicios de características técnicas uniformes y de común utilización </w:t>
      </w:r>
      <w:r w:rsidR="00B5434C" w:rsidRPr="00E66A63">
        <w:rPr>
          <w:rFonts w:ascii="Arial" w:eastAsia="Times New Roman" w:hAnsi="Arial" w:cs="Arial"/>
          <w:i/>
          <w:iCs/>
          <w:sz w:val="21"/>
          <w:szCs w:val="21"/>
          <w:lang w:eastAsia="es-CO"/>
        </w:rPr>
        <w:t>mediante la modalidad de</w:t>
      </w:r>
      <w:r w:rsidR="00B5434C" w:rsidRPr="00B36503">
        <w:rPr>
          <w:rFonts w:ascii="Arial" w:eastAsia="Times New Roman" w:hAnsi="Arial" w:cs="Arial"/>
          <w:i/>
          <w:iCs/>
          <w:sz w:val="21"/>
          <w:szCs w:val="21"/>
          <w:lang w:eastAsia="es-CO"/>
        </w:rPr>
        <w:t xml:space="preserve"> </w:t>
      </w:r>
      <w:r w:rsidR="00B5434C" w:rsidRPr="00E66A63">
        <w:rPr>
          <w:rFonts w:ascii="Arial" w:eastAsia="Times New Roman" w:hAnsi="Arial" w:cs="Arial"/>
          <w:i/>
          <w:iCs/>
          <w:sz w:val="21"/>
          <w:szCs w:val="21"/>
          <w:lang w:eastAsia="es-CO"/>
        </w:rPr>
        <w:t>selección abreviada por subasta inversa </w:t>
      </w:r>
      <w:r w:rsidR="00B5434C" w:rsidRPr="00E66A63">
        <w:rPr>
          <w:rFonts w:ascii="Arial" w:eastAsia="Times New Roman" w:hAnsi="Arial" w:cs="Arial"/>
          <w:sz w:val="21"/>
          <w:szCs w:val="21"/>
          <w:lang w:eastAsia="es-CO"/>
        </w:rPr>
        <w:t>existe un límite de cuantía?</w:t>
      </w:r>
    </w:p>
    <w:p w14:paraId="33C2898F" w14:textId="77777777" w:rsidR="00B5434C" w:rsidRPr="00E66A63" w:rsidRDefault="00B5434C" w:rsidP="005417DE">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 </w:t>
      </w:r>
    </w:p>
    <w:p w14:paraId="492400F3" w14:textId="77777777" w:rsidR="00B5434C" w:rsidRPr="00E66A63" w:rsidRDefault="00B5434C" w:rsidP="005417DE">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sz w:val="21"/>
          <w:szCs w:val="21"/>
          <w:lang w:eastAsia="es-CO"/>
        </w:rPr>
        <w:t>Es decir, el Municipio desea adquirir </w:t>
      </w:r>
      <w:r w:rsidRPr="00E66A63">
        <w:rPr>
          <w:rFonts w:ascii="Arial" w:eastAsia="Times New Roman" w:hAnsi="Arial" w:cs="Arial"/>
          <w:b/>
          <w:bCs/>
          <w:i/>
          <w:iCs/>
          <w:sz w:val="21"/>
          <w:szCs w:val="21"/>
          <w:u w:val="single"/>
          <w:lang w:eastAsia="es-CO"/>
        </w:rPr>
        <w:t>bienes y servicios de características técnicas uniformes y de común utilización</w:t>
      </w:r>
      <w:r w:rsidRPr="00E66A63">
        <w:rPr>
          <w:rFonts w:ascii="Arial" w:eastAsia="Times New Roman" w:hAnsi="Arial" w:cs="Arial"/>
          <w:i/>
          <w:iCs/>
          <w:sz w:val="21"/>
          <w:szCs w:val="21"/>
          <w:lang w:eastAsia="es-CO"/>
        </w:rPr>
        <w:t> que no están incluidos dentro de un acuerdo marco, ni bolsa de productos.  No obstante, superan el presupuesto de la menor cuantía de la entidad,</w:t>
      </w:r>
    </w:p>
    <w:p w14:paraId="0545477E" w14:textId="77777777" w:rsidR="00B5434C" w:rsidRPr="00E66A63" w:rsidRDefault="00B5434C" w:rsidP="005417DE">
      <w:pPr>
        <w:spacing w:after="0" w:line="240" w:lineRule="auto"/>
        <w:ind w:left="709" w:right="709"/>
        <w:contextualSpacing/>
        <w:jc w:val="both"/>
        <w:rPr>
          <w:rFonts w:ascii="Arial" w:eastAsia="Times New Roman" w:hAnsi="Arial" w:cs="Arial"/>
          <w:sz w:val="21"/>
          <w:szCs w:val="21"/>
          <w:lang w:eastAsia="es-CO"/>
        </w:rPr>
      </w:pPr>
      <w:r w:rsidRPr="00E66A63">
        <w:rPr>
          <w:rFonts w:ascii="Arial" w:eastAsia="Times New Roman" w:hAnsi="Arial" w:cs="Arial"/>
          <w:i/>
          <w:iCs/>
          <w:sz w:val="21"/>
          <w:szCs w:val="21"/>
          <w:lang w:eastAsia="es-CO"/>
        </w:rPr>
        <w:t> </w:t>
      </w:r>
    </w:p>
    <w:p w14:paraId="63B4F5CD" w14:textId="6743CB82" w:rsidR="00535F27" w:rsidRPr="00535F27" w:rsidRDefault="00B5434C" w:rsidP="005417DE">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E66A63">
        <w:rPr>
          <w:rFonts w:ascii="Arial" w:eastAsia="Times New Roman" w:hAnsi="Arial" w:cs="Arial"/>
          <w:i/>
          <w:iCs/>
          <w:sz w:val="21"/>
          <w:szCs w:val="21"/>
          <w:lang w:eastAsia="es-CO"/>
        </w:rPr>
        <w:t>¿Se debe acudir a un proceso de licitación publica y/o por lo contrario, bajo el entendido que la norma no contempla un limite de cuantía para la selección abreviada por subasta inversa, se debe acudir a esta ultima modalidad sin importar el limite de cuantía y en razón al objeto y los bienes a adquirir, aplicando todo el procedimiento que conllevan a la misma?</w:t>
      </w:r>
      <w:r w:rsidRPr="00B36503">
        <w:rPr>
          <w:rFonts w:ascii="Arial" w:eastAsia="Arial" w:hAnsi="Arial" w:cs="Arial"/>
          <w:sz w:val="21"/>
          <w:szCs w:val="21"/>
        </w:rPr>
        <w:t>»</w:t>
      </w:r>
      <w:r w:rsidRPr="00B36503">
        <w:rPr>
          <w:rFonts w:ascii="Arial" w:eastAsia="Arial" w:hAnsi="Arial" w:cs="Arial"/>
          <w:sz w:val="21"/>
          <w:szCs w:val="21"/>
          <w:lang w:val="es-ES" w:eastAsia="es-ES" w:bidi="es-ES"/>
        </w:rPr>
        <w:t xml:space="preserve"> </w:t>
      </w:r>
      <w:r w:rsidR="00535F27" w:rsidRPr="00535F27">
        <w:rPr>
          <w:rFonts w:ascii="Arial" w:eastAsia="Arial" w:hAnsi="Arial" w:cs="Arial"/>
          <w:sz w:val="21"/>
          <w:szCs w:val="21"/>
          <w:lang w:val="es-ES" w:eastAsia="es-ES" w:bidi="es-ES"/>
        </w:rPr>
        <w:t>[sic]»</w:t>
      </w:r>
    </w:p>
    <w:p w14:paraId="3046AF7C" w14:textId="77777777" w:rsidR="00535F27" w:rsidRPr="00535F27" w:rsidRDefault="00535F27" w:rsidP="005417DE">
      <w:pPr>
        <w:widowControl w:val="0"/>
        <w:autoSpaceDE w:val="0"/>
        <w:autoSpaceDN w:val="0"/>
        <w:spacing w:after="0" w:line="276" w:lineRule="auto"/>
        <w:ind w:left="720" w:right="709"/>
        <w:contextualSpacing/>
        <w:jc w:val="both"/>
        <w:rPr>
          <w:rFonts w:ascii="Arial" w:eastAsia="Arial" w:hAnsi="Arial" w:cs="Arial"/>
          <w:lang w:val="es-ES" w:eastAsia="es-ES" w:bidi="es-ES"/>
        </w:rPr>
      </w:pPr>
    </w:p>
    <w:p w14:paraId="22C7051C" w14:textId="7BD52C1F" w:rsidR="00535F27" w:rsidRPr="00535F27" w:rsidRDefault="00535F27" w:rsidP="005417DE">
      <w:pPr>
        <w:spacing w:line="276" w:lineRule="auto"/>
        <w:jc w:val="both"/>
        <w:textAlignment w:val="baseline"/>
        <w:rPr>
          <w:rFonts w:ascii="Arial" w:eastAsia="Times New Roman" w:hAnsi="Arial" w:cs="Arial"/>
          <w:lang w:eastAsia="es-CO"/>
        </w:rPr>
      </w:pPr>
      <w:r w:rsidRPr="00535F27">
        <w:rPr>
          <w:rFonts w:ascii="Arial" w:eastAsia="Times New Roman" w:hAnsi="Arial" w:cs="Arial"/>
          <w:shd w:val="clear" w:color="auto" w:fill="FFFFFF"/>
          <w:lang w:eastAsia="es-CO"/>
        </w:rPr>
        <w:t xml:space="preserve">En mérito de lo expuesto, es preciso indicar que, en el </w:t>
      </w:r>
      <w:r w:rsidRPr="00535F27">
        <w:rPr>
          <w:rFonts w:ascii="Arial" w:eastAsia="Times New Roman" w:hAnsi="Arial" w:cs="Arial"/>
          <w:lang w:eastAsia="es-CO"/>
        </w:rPr>
        <w:t>numeral 2° del artículo 2 de la Ley 1150 de 2007</w:t>
      </w:r>
      <w:r w:rsidRPr="00535F27">
        <w:rPr>
          <w:rFonts w:ascii="Arial" w:eastAsia="Times New Roman" w:hAnsi="Arial" w:cs="Arial"/>
          <w:shd w:val="clear" w:color="auto" w:fill="FFFFFF"/>
          <w:lang w:eastAsia="es-CO"/>
        </w:rPr>
        <w:t xml:space="preserve">, el legislador divide de forma disyuntiva los supuestos bajo los cuales se configura la eventual utilización de </w:t>
      </w:r>
      <w:r w:rsidR="005417DE" w:rsidRPr="00B36503">
        <w:rPr>
          <w:rFonts w:ascii="Arial" w:eastAsia="Times New Roman" w:hAnsi="Arial" w:cs="Arial"/>
          <w:shd w:val="clear" w:color="auto" w:fill="FFFFFF"/>
          <w:lang w:eastAsia="es-CO"/>
        </w:rPr>
        <w:t>la</w:t>
      </w:r>
      <w:r w:rsidRPr="00535F27">
        <w:rPr>
          <w:rFonts w:ascii="Arial" w:eastAsia="Times New Roman" w:hAnsi="Arial" w:cs="Arial"/>
          <w:shd w:val="clear" w:color="auto" w:fill="FFFFFF"/>
          <w:lang w:eastAsia="es-CO"/>
        </w:rPr>
        <w:t xml:space="preserve"> modalidad de selección</w:t>
      </w:r>
      <w:r w:rsidR="005417DE" w:rsidRPr="00B36503">
        <w:rPr>
          <w:rFonts w:ascii="Arial" w:eastAsia="Times New Roman" w:hAnsi="Arial" w:cs="Arial"/>
          <w:shd w:val="clear" w:color="auto" w:fill="FFFFFF"/>
          <w:lang w:eastAsia="es-CO"/>
        </w:rPr>
        <w:t xml:space="preserve"> abreviada</w:t>
      </w:r>
      <w:r w:rsidRPr="00535F27">
        <w:rPr>
          <w:rFonts w:ascii="Arial" w:eastAsia="Times New Roman" w:hAnsi="Arial" w:cs="Arial"/>
          <w:shd w:val="clear" w:color="auto" w:fill="FFFFFF"/>
          <w:lang w:eastAsia="es-CO"/>
        </w:rPr>
        <w:t xml:space="preserve">, ello es </w:t>
      </w:r>
      <w:r w:rsidRPr="00535F27">
        <w:rPr>
          <w:rFonts w:ascii="Arial" w:eastAsia="Times New Roman" w:hAnsi="Arial" w:cs="Arial"/>
          <w:lang w:eastAsia="es-CO"/>
        </w:rPr>
        <w:t>por las características del objeto a contratar, las circunstancias de la contratación</w:t>
      </w:r>
      <w:r w:rsidR="005417DE" w:rsidRPr="00B36503">
        <w:rPr>
          <w:rFonts w:ascii="Arial" w:eastAsia="Times New Roman" w:hAnsi="Arial" w:cs="Arial"/>
          <w:lang w:eastAsia="es-CO"/>
        </w:rPr>
        <w:t>,</w:t>
      </w:r>
      <w:r w:rsidRPr="00535F27">
        <w:rPr>
          <w:rFonts w:ascii="Arial" w:eastAsia="Times New Roman" w:hAnsi="Arial" w:cs="Arial"/>
          <w:lang w:eastAsia="es-CO"/>
        </w:rPr>
        <w:t xml:space="preserve"> la cuantía o destinación del bien, obra o servicio.</w:t>
      </w:r>
      <w:r w:rsidRPr="00535F27">
        <w:rPr>
          <w:rFonts w:ascii="Arial" w:eastAsia="Times New Roman" w:hAnsi="Arial" w:cs="Arial"/>
          <w:shd w:val="clear" w:color="auto" w:fill="FFFFFF"/>
          <w:lang w:eastAsia="es-CO"/>
        </w:rPr>
        <w:t xml:space="preserve"> En ese orden de ideas, esta modalidad de selección procede por las causales previstas en la ley, las cuales determinan, entre otras cosas, los criterios a tener en cuenta para la escogencia del contratista que proveerá el bien o servicio</w:t>
      </w:r>
      <w:r w:rsidR="005417DE" w:rsidRPr="00B36503">
        <w:rPr>
          <w:rFonts w:ascii="Arial" w:eastAsia="Times New Roman" w:hAnsi="Arial" w:cs="Arial"/>
          <w:shd w:val="clear" w:color="auto" w:fill="FFFFFF"/>
          <w:lang w:eastAsia="es-CO"/>
        </w:rPr>
        <w:t>,</w:t>
      </w:r>
      <w:r w:rsidRPr="00535F27">
        <w:rPr>
          <w:rFonts w:ascii="Arial" w:eastAsia="Times New Roman" w:hAnsi="Arial" w:cs="Arial"/>
          <w:shd w:val="clear" w:color="auto" w:fill="FFFFFF"/>
          <w:lang w:eastAsia="es-CO"/>
        </w:rPr>
        <w:t xml:space="preserve"> además de sus respectivas reglas para llevar a cabo el proceso de selección bajo la modalidad estudiada. </w:t>
      </w:r>
    </w:p>
    <w:p w14:paraId="481BCD93" w14:textId="1C6FB813" w:rsidR="00535F27" w:rsidRPr="00535F27" w:rsidRDefault="005417DE" w:rsidP="005417DE">
      <w:pPr>
        <w:widowControl w:val="0"/>
        <w:autoSpaceDE w:val="0"/>
        <w:autoSpaceDN w:val="0"/>
        <w:spacing w:line="276" w:lineRule="auto"/>
        <w:ind w:firstLine="708"/>
        <w:jc w:val="both"/>
        <w:rPr>
          <w:rFonts w:ascii="Arial" w:eastAsia="Calibri" w:hAnsi="Arial" w:cs="Arial"/>
        </w:rPr>
      </w:pPr>
      <w:r w:rsidRPr="00B36503">
        <w:rPr>
          <w:rFonts w:ascii="Arial" w:eastAsia="Calibri" w:hAnsi="Arial" w:cs="Arial"/>
        </w:rPr>
        <w:t>Dentro de</w:t>
      </w:r>
      <w:r w:rsidR="00535F27" w:rsidRPr="00535F27">
        <w:rPr>
          <w:rFonts w:ascii="Arial" w:eastAsia="Calibri" w:hAnsi="Arial" w:cs="Arial"/>
        </w:rPr>
        <w:t xml:space="preserve"> las causales frente a las cuales opera la modalidad de selección abreviada se encuentra la mínima cuantía y subasta inversa para la adquisición de bienes y servicios de características técnicas uniformes y de común utilización.  </w:t>
      </w:r>
    </w:p>
    <w:p w14:paraId="6DAA6866" w14:textId="15175EF3" w:rsidR="00535F27" w:rsidRPr="00535F27" w:rsidRDefault="00535F27" w:rsidP="005417DE">
      <w:pPr>
        <w:widowControl w:val="0"/>
        <w:autoSpaceDE w:val="0"/>
        <w:autoSpaceDN w:val="0"/>
        <w:spacing w:line="276" w:lineRule="auto"/>
        <w:ind w:firstLine="708"/>
        <w:jc w:val="both"/>
        <w:rPr>
          <w:rFonts w:ascii="Arial" w:eastAsia="Calibri" w:hAnsi="Arial" w:cs="Arial"/>
          <w:shd w:val="clear" w:color="auto" w:fill="FFFFFF"/>
        </w:rPr>
      </w:pPr>
      <w:r w:rsidRPr="00535F27">
        <w:rPr>
          <w:rFonts w:ascii="Arial" w:eastAsia="Calibri" w:hAnsi="Arial" w:cs="Arial"/>
        </w:rPr>
        <w:t xml:space="preserve">Por una parte, </w:t>
      </w:r>
      <w:r w:rsidRPr="00535F27">
        <w:rPr>
          <w:rFonts w:ascii="Arial" w:eastAsia="Calibri" w:hAnsi="Arial" w:cs="Arial"/>
          <w:shd w:val="clear" w:color="auto" w:fill="FFFFFF"/>
        </w:rPr>
        <w:t xml:space="preserve">la procedencia de la causal de selección abreviada de menor cuantía se encuentra directamente vinculada con el presupuesto anual de cada </w:t>
      </w:r>
      <w:r w:rsidR="005417DE" w:rsidRPr="00B36503">
        <w:rPr>
          <w:rFonts w:ascii="Arial" w:eastAsia="Calibri" w:hAnsi="Arial" w:cs="Arial"/>
          <w:shd w:val="clear" w:color="auto" w:fill="FFFFFF"/>
        </w:rPr>
        <w:t>Entidad Estatal</w:t>
      </w:r>
      <w:r w:rsidR="00322CF0">
        <w:rPr>
          <w:rFonts w:ascii="Arial" w:eastAsia="Calibri" w:hAnsi="Arial" w:cs="Arial"/>
          <w:shd w:val="clear" w:color="auto" w:fill="FFFFFF"/>
        </w:rPr>
        <w:t>, sin tener en cuenta ningún otro factor</w:t>
      </w:r>
      <w:r w:rsidRPr="00535F27">
        <w:rPr>
          <w:rFonts w:ascii="Arial" w:eastAsia="Calibri" w:hAnsi="Arial" w:cs="Arial"/>
          <w:shd w:val="clear" w:color="auto" w:fill="FFFFFF"/>
        </w:rPr>
        <w:t>. De esta manera, los procedimientos de selección cuyo presupuesto oficial no superen el tope de la menor cuantía, se adelantarán bajo la modalidad de selección abreviada, ya que si se supera este tope corresponderá adelantar una licitación pública. Sin perjuicio de que en cada contrato en específico se deba analizar la procedencia de alguna causal especial que dé lugar a realizar una modalidad de selección distinta.</w:t>
      </w:r>
    </w:p>
    <w:p w14:paraId="3D7415C1" w14:textId="12DCF2FE" w:rsidR="00535F27" w:rsidRPr="00535F27" w:rsidRDefault="00535F27" w:rsidP="005417DE">
      <w:pPr>
        <w:widowControl w:val="0"/>
        <w:autoSpaceDE w:val="0"/>
        <w:autoSpaceDN w:val="0"/>
        <w:spacing w:after="0" w:line="276" w:lineRule="auto"/>
        <w:ind w:firstLine="709"/>
        <w:jc w:val="both"/>
        <w:rPr>
          <w:rFonts w:ascii="Arial" w:eastAsia="Calibri" w:hAnsi="Arial" w:cs="Arial"/>
        </w:rPr>
      </w:pPr>
      <w:r w:rsidRPr="00535F27">
        <w:rPr>
          <w:rFonts w:ascii="Arial" w:eastAsia="Calibri" w:hAnsi="Arial" w:cs="Arial"/>
          <w:shd w:val="clear" w:color="auto" w:fill="FFFFFF"/>
        </w:rPr>
        <w:t xml:space="preserve">Por otra parte, en lo que respecta a </w:t>
      </w:r>
      <w:r w:rsidRPr="00535F27">
        <w:rPr>
          <w:rFonts w:ascii="Arial" w:eastAsia="Calibri" w:hAnsi="Arial" w:cs="Arial"/>
          <w:lang w:val="es-MX"/>
        </w:rPr>
        <w:t xml:space="preserve">la utilización de la subasta inversa en la selección </w:t>
      </w:r>
      <w:r w:rsidRPr="00535F27">
        <w:rPr>
          <w:rFonts w:ascii="Arial" w:eastAsia="Calibri" w:hAnsi="Arial" w:cs="Arial"/>
          <w:lang w:val="es-MX"/>
        </w:rPr>
        <w:lastRenderedPageBreak/>
        <w:t>abreviada</w:t>
      </w:r>
      <w:r w:rsidR="00763CB4">
        <w:rPr>
          <w:rFonts w:ascii="Arial" w:eastAsia="Calibri" w:hAnsi="Arial" w:cs="Arial"/>
          <w:lang w:val="es-MX"/>
        </w:rPr>
        <w:t>, ella</w:t>
      </w:r>
      <w:r w:rsidRPr="00535F27">
        <w:rPr>
          <w:rFonts w:ascii="Arial" w:eastAsia="Calibri" w:hAnsi="Arial" w:cs="Arial"/>
          <w:lang w:val="es-MX"/>
        </w:rPr>
        <w:t xml:space="preserve"> está plenamente ligada con el tipo o la naturaleza de los bienes o servicios a adquirir</w:t>
      </w:r>
      <w:r w:rsidR="00763CB4">
        <w:rPr>
          <w:rFonts w:ascii="Arial" w:eastAsia="Calibri" w:hAnsi="Arial" w:cs="Arial"/>
          <w:lang w:val="es-MX"/>
        </w:rPr>
        <w:t>, independientemente del presupuesto estimado para su adquisición</w:t>
      </w:r>
      <w:r w:rsidRPr="00535F27">
        <w:rPr>
          <w:rFonts w:ascii="Arial" w:eastAsia="Calibri" w:hAnsi="Arial" w:cs="Arial"/>
          <w:lang w:val="es-MX"/>
        </w:rPr>
        <w:t>. En este sentido, el artículo 2.2.1.2.1.2.2. del Decreto 1082 de 2015 indica que, en la selección abreviada para la adquisición de bienes y servicios de características técnicas uniformes por subasta inversa, además de las reglas generales previstas en la ley y en ese título del Decreto, deben observarse las reglas específicas allí enunciadas. Por ello, queda claro que para recurrir a la subasta inversa en la selección abreviada es determinante la naturaleza de los bienes y servicios que se pretenden adquirir</w:t>
      </w:r>
      <w:r w:rsidRPr="00535F27">
        <w:rPr>
          <w:rFonts w:ascii="Arial" w:eastAsia="Calibri" w:hAnsi="Arial" w:cs="Arial"/>
        </w:rPr>
        <w:t xml:space="preserve">, en la medida que la citada disposición no establece un límite de cuantía frente a la cual opera la subasta inversa. Contrario a lo que ocurre con la primera causal estudiada en el presente concepto, en virtud de la cual si resulta relevante la cuantía en los términos que fue desarrollado en el acápite correspondiente. </w:t>
      </w:r>
    </w:p>
    <w:p w14:paraId="29735AF7" w14:textId="77777777" w:rsidR="00535F27" w:rsidRPr="00535F27" w:rsidRDefault="00535F27" w:rsidP="005417DE">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49758501" w14:textId="77777777" w:rsidR="00535F27" w:rsidRPr="00535F27" w:rsidRDefault="00535F27" w:rsidP="005417DE">
      <w:pPr>
        <w:spacing w:after="0" w:line="276" w:lineRule="auto"/>
        <w:contextualSpacing/>
        <w:jc w:val="both"/>
        <w:rPr>
          <w:rFonts w:ascii="Arial" w:eastAsia="Arial" w:hAnsi="Arial" w:cs="Arial"/>
          <w:lang w:val="es-MX" w:eastAsia="es-ES_tradnl"/>
        </w:rPr>
      </w:pPr>
      <w:r w:rsidRPr="00535F27">
        <w:rPr>
          <w:rFonts w:ascii="Arial" w:eastAsia="Arial" w:hAnsi="Arial" w:cs="Arial"/>
          <w:lang w:val="es-MX" w:eastAsia="es-ES_tradnl"/>
        </w:rPr>
        <w:t>Este concepto tiene el alcance previsto en el artículo 28 del Código de Procedimiento Administrativo y de lo Contencioso Administrativo</w:t>
      </w:r>
      <w:r w:rsidRPr="00535F27">
        <w:rPr>
          <w:rFonts w:ascii="Arial" w:eastAsia="Calibri" w:hAnsi="Arial" w:cs="Arial"/>
        </w:rPr>
        <w:t xml:space="preserve"> las expresiones aquí utilizadas con mayúscula inicial deben ser entendidas con el significado que les otorga el artículo 2.2.1.1.1.3.1. del Decreto 1082 de 2015</w:t>
      </w:r>
      <w:r w:rsidRPr="00535F27">
        <w:rPr>
          <w:rFonts w:ascii="Arial" w:eastAsia="Arial" w:hAnsi="Arial" w:cs="Arial"/>
          <w:lang w:val="es-MX" w:eastAsia="es-ES_tradnl"/>
        </w:rPr>
        <w:t>.</w:t>
      </w:r>
    </w:p>
    <w:p w14:paraId="3C7C57F2" w14:textId="77777777" w:rsidR="00535F27" w:rsidRPr="00535F27" w:rsidRDefault="00535F27" w:rsidP="005417DE">
      <w:pPr>
        <w:spacing w:after="0" w:line="276" w:lineRule="auto"/>
        <w:contextualSpacing/>
        <w:jc w:val="both"/>
        <w:rPr>
          <w:rFonts w:ascii="Arial" w:eastAsia="Arial" w:hAnsi="Arial" w:cs="Arial"/>
          <w:lang w:val="es-MX" w:eastAsia="es-ES_tradnl"/>
        </w:rPr>
      </w:pPr>
    </w:p>
    <w:p w14:paraId="0946BDED" w14:textId="77777777" w:rsidR="00535F27" w:rsidRPr="00535F27" w:rsidRDefault="00535F27" w:rsidP="005417DE">
      <w:pPr>
        <w:spacing w:after="0" w:line="276" w:lineRule="auto"/>
        <w:contextualSpacing/>
        <w:jc w:val="both"/>
        <w:rPr>
          <w:rFonts w:ascii="Arial" w:eastAsia="Times New Roman" w:hAnsi="Arial" w:cs="Arial"/>
          <w:lang w:val="es-ES" w:eastAsia="es-CO"/>
        </w:rPr>
      </w:pPr>
      <w:r w:rsidRPr="00535F27">
        <w:rPr>
          <w:rFonts w:ascii="Arial" w:eastAsia="Times New Roman" w:hAnsi="Arial" w:cs="Arial"/>
          <w:lang w:val="es-ES" w:eastAsia="es-CO"/>
        </w:rPr>
        <w:t>Atentamente,</w:t>
      </w:r>
      <w:r w:rsidRPr="00535F27">
        <w:rPr>
          <w:rFonts w:ascii="Arial" w:eastAsia="Calibri" w:hAnsi="Arial" w:cs="Arial"/>
          <w:noProof/>
          <w:lang w:val="es-MX" w:eastAsia="es-CO"/>
        </w:rPr>
        <w:t xml:space="preserve"> </w:t>
      </w:r>
    </w:p>
    <w:p w14:paraId="7B8A3D82" w14:textId="233726B9" w:rsidR="00535F27" w:rsidRPr="00535F27" w:rsidRDefault="00FA0AC7" w:rsidP="00FA0AC7">
      <w:pPr>
        <w:spacing w:after="0" w:line="276" w:lineRule="auto"/>
        <w:ind w:left="708" w:hanging="708"/>
        <w:jc w:val="center"/>
        <w:rPr>
          <w:rFonts w:ascii="Arial" w:eastAsia="Times New Roman" w:hAnsi="Arial" w:cs="Arial"/>
          <w:sz w:val="16"/>
          <w:szCs w:val="16"/>
          <w:lang w:val="es-ES" w:eastAsia="es-CO"/>
        </w:rPr>
      </w:pPr>
      <w:r>
        <w:rPr>
          <w:rFonts w:ascii="Arial" w:hAnsi="Arial" w:cs="Arial"/>
          <w:noProof/>
          <w:sz w:val="16"/>
          <w:szCs w:val="16"/>
          <w:lang w:val="es-ES"/>
        </w:rPr>
        <w:drawing>
          <wp:inline distT="0" distB="0" distL="0" distR="0" wp14:anchorId="1CA9D792" wp14:editId="6ACE1D18">
            <wp:extent cx="3154680" cy="1211580"/>
            <wp:effectExtent l="0" t="0" r="7620"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r>
        <w:rPr>
          <w:rFonts w:ascii="Arial" w:hAnsi="Arial" w:cs="Arial"/>
          <w:color w:val="000000"/>
          <w:sz w:val="18"/>
          <w:szCs w:val="18"/>
          <w:shd w:val="clear" w:color="auto" w:fill="FFFFFF"/>
          <w:lang w:val="es-ES"/>
        </w:rPr>
        <w:br/>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B36503" w:rsidRPr="00B36503" w14:paraId="5E490DEA" w14:textId="77777777" w:rsidTr="00535F27">
        <w:trPr>
          <w:trHeight w:val="315"/>
        </w:trPr>
        <w:tc>
          <w:tcPr>
            <w:tcW w:w="812" w:type="dxa"/>
            <w:vAlign w:val="center"/>
            <w:hideMark/>
          </w:tcPr>
          <w:p w14:paraId="01669778" w14:textId="77777777" w:rsidR="00535F27" w:rsidRPr="00535F27" w:rsidRDefault="00535F27" w:rsidP="00611497">
            <w:pPr>
              <w:rPr>
                <w:rFonts w:ascii="Arial" w:eastAsia="Times New Roman" w:hAnsi="Arial" w:cs="Arial"/>
                <w:sz w:val="16"/>
                <w:szCs w:val="16"/>
                <w:lang w:eastAsia="es-ES"/>
              </w:rPr>
            </w:pPr>
            <w:r w:rsidRPr="00535F27">
              <w:rPr>
                <w:rFonts w:ascii="Arial" w:eastAsia="Times New Roman" w:hAnsi="Arial" w:cs="Arial"/>
                <w:sz w:val="16"/>
                <w:szCs w:val="16"/>
                <w:lang w:eastAsia="es-ES"/>
              </w:rPr>
              <w:t>Elaboró:</w:t>
            </w:r>
          </w:p>
        </w:tc>
        <w:tc>
          <w:tcPr>
            <w:tcW w:w="5284" w:type="dxa"/>
            <w:tcBorders>
              <w:top w:val="nil"/>
              <w:left w:val="nil"/>
              <w:bottom w:val="dotted" w:sz="4" w:space="0" w:color="7F7F7F"/>
              <w:right w:val="nil"/>
            </w:tcBorders>
            <w:vAlign w:val="center"/>
            <w:hideMark/>
          </w:tcPr>
          <w:p w14:paraId="1C994DE7" w14:textId="77777777" w:rsidR="00B5434C" w:rsidRPr="00535F27" w:rsidRDefault="00B5434C" w:rsidP="00611497">
            <w:pPr>
              <w:textAlignment w:val="baseline"/>
              <w:rPr>
                <w:rFonts w:ascii="Arial" w:eastAsia="Times New Roman" w:hAnsi="Arial" w:cs="Arial"/>
                <w:sz w:val="16"/>
                <w:szCs w:val="16"/>
                <w:lang w:eastAsia="es-CO"/>
              </w:rPr>
            </w:pPr>
            <w:r w:rsidRPr="00535F27">
              <w:rPr>
                <w:rFonts w:ascii="Arial" w:eastAsia="Times New Roman" w:hAnsi="Arial" w:cs="Arial"/>
                <w:sz w:val="16"/>
                <w:szCs w:val="16"/>
                <w:lang w:eastAsia="es-CO"/>
              </w:rPr>
              <w:t>Diana Lucia Saavedra Castañeda</w:t>
            </w:r>
          </w:p>
          <w:p w14:paraId="05530DE7" w14:textId="7A3690E6" w:rsidR="00535F27" w:rsidRPr="00535F27" w:rsidRDefault="00B5434C" w:rsidP="00611497">
            <w:pPr>
              <w:jc w:val="both"/>
              <w:rPr>
                <w:rFonts w:ascii="Arial" w:eastAsia="Times New Roman" w:hAnsi="Arial" w:cs="Arial"/>
                <w:sz w:val="16"/>
                <w:szCs w:val="16"/>
                <w:lang w:eastAsia="es-ES"/>
              </w:rPr>
            </w:pPr>
            <w:r w:rsidRPr="00535F27">
              <w:rPr>
                <w:rFonts w:ascii="Arial" w:eastAsia="Times New Roman" w:hAnsi="Arial" w:cs="Arial"/>
                <w:sz w:val="16"/>
                <w:szCs w:val="16"/>
                <w:lang w:eastAsia="es-CO"/>
              </w:rPr>
              <w:t>Contratista</w:t>
            </w:r>
            <w:r w:rsidRPr="00B36503">
              <w:rPr>
                <w:rFonts w:ascii="Arial" w:eastAsia="Times New Roman" w:hAnsi="Arial" w:cs="Arial"/>
                <w:sz w:val="16"/>
                <w:szCs w:val="16"/>
                <w:lang w:eastAsia="es-ES"/>
              </w:rPr>
              <w:t xml:space="preserve"> de la </w:t>
            </w:r>
            <w:r w:rsidR="00535F27" w:rsidRPr="00535F27">
              <w:rPr>
                <w:rFonts w:ascii="Arial" w:eastAsia="Times New Roman" w:hAnsi="Arial" w:cs="Arial"/>
                <w:sz w:val="16"/>
                <w:szCs w:val="16"/>
                <w:lang w:eastAsia="es-ES"/>
              </w:rPr>
              <w:t>Subdirección de Gestión Contractual</w:t>
            </w:r>
          </w:p>
        </w:tc>
      </w:tr>
      <w:tr w:rsidR="00B36503" w:rsidRPr="00B36503" w14:paraId="2BCBF880" w14:textId="77777777" w:rsidTr="00535F27">
        <w:trPr>
          <w:trHeight w:val="330"/>
        </w:trPr>
        <w:tc>
          <w:tcPr>
            <w:tcW w:w="812" w:type="dxa"/>
            <w:vAlign w:val="center"/>
            <w:hideMark/>
          </w:tcPr>
          <w:p w14:paraId="33A7B049" w14:textId="77777777" w:rsidR="00535F27" w:rsidRPr="00535F27" w:rsidRDefault="00535F27" w:rsidP="00611497">
            <w:pPr>
              <w:rPr>
                <w:rFonts w:ascii="Arial" w:eastAsia="Times New Roman" w:hAnsi="Arial" w:cs="Arial"/>
                <w:sz w:val="16"/>
                <w:szCs w:val="16"/>
                <w:lang w:eastAsia="es-ES"/>
              </w:rPr>
            </w:pPr>
            <w:r w:rsidRPr="00535F27">
              <w:rPr>
                <w:rFonts w:ascii="Arial" w:eastAsia="Times New Roman" w:hAnsi="Arial" w:cs="Arial"/>
                <w:sz w:val="16"/>
                <w:szCs w:val="16"/>
                <w:lang w:eastAsia="es-ES"/>
              </w:rPr>
              <w:t>Revisó:</w:t>
            </w:r>
          </w:p>
        </w:tc>
        <w:tc>
          <w:tcPr>
            <w:tcW w:w="5284" w:type="dxa"/>
            <w:tcBorders>
              <w:top w:val="dotted" w:sz="4" w:space="0" w:color="7F7F7F"/>
              <w:left w:val="nil"/>
              <w:bottom w:val="dotted" w:sz="4" w:space="0" w:color="7F7F7F"/>
              <w:right w:val="nil"/>
            </w:tcBorders>
            <w:vAlign w:val="center"/>
            <w:hideMark/>
          </w:tcPr>
          <w:p w14:paraId="4322B809" w14:textId="04AEADC1" w:rsidR="00535F27" w:rsidRPr="00535F27" w:rsidRDefault="00B5434C" w:rsidP="00611497">
            <w:pPr>
              <w:textAlignment w:val="baseline"/>
              <w:rPr>
                <w:rFonts w:ascii="Arial" w:eastAsia="Times New Roman" w:hAnsi="Arial" w:cs="Arial"/>
                <w:sz w:val="16"/>
                <w:szCs w:val="16"/>
                <w:lang w:eastAsia="es-CO"/>
              </w:rPr>
            </w:pPr>
            <w:r w:rsidRPr="00B36503">
              <w:rPr>
                <w:rFonts w:ascii="Arial" w:eastAsia="Times New Roman" w:hAnsi="Arial" w:cs="Arial"/>
                <w:sz w:val="16"/>
                <w:szCs w:val="16"/>
                <w:lang w:eastAsia="es-CO"/>
              </w:rPr>
              <w:t>Mónica Safar</w:t>
            </w:r>
          </w:p>
          <w:p w14:paraId="25FB111B" w14:textId="77777777" w:rsidR="00535F27" w:rsidRPr="00535F27" w:rsidRDefault="00535F27" w:rsidP="00611497">
            <w:pPr>
              <w:rPr>
                <w:rFonts w:ascii="Arial" w:eastAsia="Times New Roman" w:hAnsi="Arial" w:cs="Arial"/>
                <w:sz w:val="16"/>
                <w:szCs w:val="16"/>
                <w:lang w:eastAsia="es-ES"/>
              </w:rPr>
            </w:pPr>
            <w:r w:rsidRPr="00535F27">
              <w:rPr>
                <w:rFonts w:ascii="Arial" w:eastAsia="Times New Roman" w:hAnsi="Arial" w:cs="Arial"/>
                <w:sz w:val="16"/>
                <w:szCs w:val="16"/>
                <w:lang w:eastAsia="es-CO"/>
              </w:rPr>
              <w:t>Contratista de la de la Subdirección de Gestión Contractual</w:t>
            </w:r>
          </w:p>
        </w:tc>
      </w:tr>
      <w:tr w:rsidR="00B36503" w:rsidRPr="00B36503" w14:paraId="2BEAB671" w14:textId="77777777" w:rsidTr="00535F27">
        <w:trPr>
          <w:trHeight w:val="178"/>
        </w:trPr>
        <w:tc>
          <w:tcPr>
            <w:tcW w:w="812" w:type="dxa"/>
            <w:vAlign w:val="center"/>
            <w:hideMark/>
          </w:tcPr>
          <w:p w14:paraId="4B09091C" w14:textId="77777777" w:rsidR="00535F27" w:rsidRPr="00535F27" w:rsidRDefault="00535F27" w:rsidP="00611497">
            <w:pPr>
              <w:rPr>
                <w:rFonts w:ascii="Arial" w:eastAsia="Times New Roman" w:hAnsi="Arial" w:cs="Arial"/>
                <w:sz w:val="16"/>
                <w:szCs w:val="16"/>
                <w:lang w:eastAsia="es-ES"/>
              </w:rPr>
            </w:pPr>
            <w:r w:rsidRPr="00535F27">
              <w:rPr>
                <w:rFonts w:ascii="Arial" w:eastAsia="Times New Roman" w:hAnsi="Arial" w:cs="Arial"/>
                <w:sz w:val="16"/>
                <w:szCs w:val="16"/>
                <w:lang w:eastAsia="es-ES"/>
              </w:rPr>
              <w:t>Aprobó:</w:t>
            </w:r>
          </w:p>
        </w:tc>
        <w:tc>
          <w:tcPr>
            <w:tcW w:w="5284" w:type="dxa"/>
            <w:tcBorders>
              <w:top w:val="dotted" w:sz="4" w:space="0" w:color="7F7F7F"/>
              <w:left w:val="nil"/>
              <w:bottom w:val="dotted" w:sz="4" w:space="0" w:color="7F7F7F"/>
              <w:right w:val="nil"/>
            </w:tcBorders>
            <w:vAlign w:val="center"/>
            <w:hideMark/>
          </w:tcPr>
          <w:p w14:paraId="34AF635F" w14:textId="77777777" w:rsidR="00535F27" w:rsidRPr="00535F27" w:rsidRDefault="00535F27" w:rsidP="00611497">
            <w:pPr>
              <w:textAlignment w:val="baseline"/>
              <w:rPr>
                <w:rFonts w:ascii="Arial" w:eastAsia="Times New Roman" w:hAnsi="Arial" w:cs="Arial"/>
                <w:sz w:val="16"/>
                <w:szCs w:val="16"/>
                <w:lang w:eastAsia="es-CO"/>
              </w:rPr>
            </w:pPr>
            <w:bookmarkStart w:id="0" w:name="_Hlk116036152"/>
            <w:r w:rsidRPr="00535F27">
              <w:rPr>
                <w:rFonts w:ascii="Arial" w:eastAsia="Times New Roman" w:hAnsi="Arial" w:cs="Arial"/>
                <w:sz w:val="16"/>
                <w:szCs w:val="16"/>
                <w:lang w:eastAsia="es-CO"/>
              </w:rPr>
              <w:t>Nohelia del Carmen Zawady Palacio</w:t>
            </w:r>
          </w:p>
          <w:p w14:paraId="4783F214" w14:textId="77777777" w:rsidR="00535F27" w:rsidRPr="00535F27" w:rsidRDefault="00535F27" w:rsidP="00611497">
            <w:pPr>
              <w:rPr>
                <w:rFonts w:ascii="Arial" w:eastAsia="Times New Roman" w:hAnsi="Arial" w:cs="Arial"/>
                <w:sz w:val="16"/>
                <w:szCs w:val="16"/>
                <w:lang w:eastAsia="es-ES"/>
              </w:rPr>
            </w:pPr>
            <w:r w:rsidRPr="00535F27">
              <w:rPr>
                <w:rFonts w:ascii="Arial" w:eastAsia="Times New Roman" w:hAnsi="Arial" w:cs="Arial"/>
                <w:sz w:val="16"/>
                <w:szCs w:val="16"/>
                <w:lang w:eastAsia="es-ES"/>
              </w:rPr>
              <w:t xml:space="preserve">Subdirectora de Gestión Contractual </w:t>
            </w:r>
            <w:bookmarkEnd w:id="0"/>
            <w:r w:rsidRPr="00535F27">
              <w:rPr>
                <w:rFonts w:ascii="Arial" w:eastAsia="Times New Roman" w:hAnsi="Arial" w:cs="Arial"/>
                <w:sz w:val="16"/>
                <w:szCs w:val="16"/>
                <w:lang w:eastAsia="es-ES"/>
              </w:rPr>
              <w:t>ANCP – CCE</w:t>
            </w:r>
          </w:p>
        </w:tc>
      </w:tr>
    </w:tbl>
    <w:p w14:paraId="1BD8D1F7" w14:textId="77777777" w:rsidR="00AC7AE9" w:rsidRPr="00B36503" w:rsidRDefault="00AC7AE9"/>
    <w:sectPr w:rsidR="00AC7AE9" w:rsidRPr="00B3650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793A" w14:textId="77777777" w:rsidR="005945D6" w:rsidRDefault="005945D6" w:rsidP="00535F27">
      <w:pPr>
        <w:spacing w:after="0" w:line="240" w:lineRule="auto"/>
      </w:pPr>
      <w:r>
        <w:separator/>
      </w:r>
    </w:p>
  </w:endnote>
  <w:endnote w:type="continuationSeparator" w:id="0">
    <w:p w14:paraId="324E47FB" w14:textId="77777777" w:rsidR="005945D6" w:rsidRDefault="005945D6" w:rsidP="0053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9C28" w14:textId="77777777" w:rsidR="001018E8" w:rsidRDefault="00FE3414">
    <w:pPr>
      <w:pStyle w:val="Piedepgina1"/>
    </w:pPr>
    <w:r>
      <w:rPr>
        <w:noProof/>
        <w:lang w:eastAsia="es-CO"/>
      </w:rPr>
      <w:drawing>
        <wp:inline distT="0" distB="0" distL="0" distR="0" wp14:anchorId="18F1A00F" wp14:editId="089614F4">
          <wp:extent cx="5731510" cy="890270"/>
          <wp:effectExtent l="0" t="0" r="2540" b="508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31510" cy="890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BCAE" w14:textId="77777777" w:rsidR="005945D6" w:rsidRDefault="005945D6" w:rsidP="00535F27">
      <w:pPr>
        <w:spacing w:after="0" w:line="240" w:lineRule="auto"/>
      </w:pPr>
      <w:r>
        <w:separator/>
      </w:r>
    </w:p>
  </w:footnote>
  <w:footnote w:type="continuationSeparator" w:id="0">
    <w:p w14:paraId="691E4F2E" w14:textId="77777777" w:rsidR="005945D6" w:rsidRDefault="005945D6" w:rsidP="00535F27">
      <w:pPr>
        <w:spacing w:after="0" w:line="240" w:lineRule="auto"/>
      </w:pPr>
      <w:r>
        <w:continuationSeparator/>
      </w:r>
    </w:p>
  </w:footnote>
  <w:footnote w:id="1">
    <w:p w14:paraId="3EE68C40" w14:textId="77777777" w:rsidR="00535F27" w:rsidRPr="00611497" w:rsidRDefault="00535F27" w:rsidP="00611497">
      <w:pPr>
        <w:pBdr>
          <w:top w:val="nil"/>
          <w:left w:val="nil"/>
          <w:bottom w:val="nil"/>
          <w:right w:val="nil"/>
          <w:between w:val="nil"/>
        </w:pBdr>
        <w:spacing w:after="0" w:line="240" w:lineRule="auto"/>
        <w:ind w:firstLine="709"/>
        <w:contextualSpacing/>
        <w:jc w:val="both"/>
        <w:rPr>
          <w:rFonts w:ascii="Arial" w:eastAsia="Arial" w:hAnsi="Arial" w:cs="Arial"/>
          <w:sz w:val="18"/>
          <w:szCs w:val="18"/>
        </w:rPr>
      </w:pPr>
      <w:r w:rsidRPr="00611497">
        <w:rPr>
          <w:rFonts w:ascii="Arial" w:hAnsi="Arial" w:cs="Arial"/>
          <w:sz w:val="18"/>
          <w:szCs w:val="18"/>
          <w:vertAlign w:val="superscript"/>
        </w:rPr>
        <w:footnoteRef/>
      </w:r>
      <w:r w:rsidRPr="00611497">
        <w:rPr>
          <w:rFonts w:ascii="Arial" w:eastAsia="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11497">
        <w:rPr>
          <w:rFonts w:ascii="Arial" w:eastAsia="Arial" w:hAnsi="Arial" w:cs="Arial"/>
          <w:i/>
          <w:sz w:val="18"/>
          <w:szCs w:val="18"/>
        </w:rPr>
        <w:t xml:space="preserve">ibídem </w:t>
      </w:r>
      <w:r w:rsidRPr="00611497">
        <w:rPr>
          <w:rFonts w:ascii="Arial" w:eastAsia="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2D9F467F" w14:textId="77777777" w:rsidR="00535F27" w:rsidRPr="00611497" w:rsidRDefault="00535F27" w:rsidP="00611497">
      <w:pPr>
        <w:pBdr>
          <w:top w:val="nil"/>
          <w:left w:val="nil"/>
          <w:bottom w:val="nil"/>
          <w:right w:val="nil"/>
          <w:between w:val="nil"/>
        </w:pBdr>
        <w:spacing w:after="0" w:line="240" w:lineRule="auto"/>
        <w:ind w:firstLine="709"/>
        <w:contextualSpacing/>
        <w:jc w:val="both"/>
        <w:rPr>
          <w:rFonts w:ascii="Arial" w:eastAsia="Arial" w:hAnsi="Arial" w:cs="Arial"/>
          <w:sz w:val="18"/>
          <w:szCs w:val="18"/>
        </w:rPr>
      </w:pPr>
    </w:p>
  </w:footnote>
  <w:footnote w:id="2">
    <w:p w14:paraId="52604868" w14:textId="77777777" w:rsidR="00535F27" w:rsidRPr="00611497" w:rsidRDefault="00535F27" w:rsidP="00611497">
      <w:pPr>
        <w:pStyle w:val="fn1"/>
        <w:ind w:firstLine="709"/>
        <w:contextualSpacing/>
        <w:jc w:val="both"/>
        <w:rPr>
          <w:rFonts w:ascii="Arial" w:hAnsi="Arial" w:cs="Arial"/>
          <w:sz w:val="18"/>
          <w:szCs w:val="18"/>
          <w:lang w:val="es-CO"/>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Fonts w:ascii="Arial" w:hAnsi="Arial" w:cs="Arial"/>
          <w:sz w:val="18"/>
          <w:szCs w:val="18"/>
          <w:lang w:val="es-CO"/>
        </w:rPr>
        <w:t xml:space="preserve">Estos conceptos pueden ser consultados en: </w:t>
      </w:r>
      <w:hyperlink r:id="rId1" w:history="1">
        <w:r w:rsidRPr="00611497">
          <w:rPr>
            <w:rStyle w:val="Hipervnculo"/>
            <w:rFonts w:ascii="Arial" w:hAnsi="Arial" w:cs="Arial"/>
            <w:sz w:val="18"/>
            <w:szCs w:val="18"/>
          </w:rPr>
          <w:t>https://relatoria.colombiacompra.gov.co/busqueda/conceptos#</w:t>
        </w:r>
      </w:hyperlink>
    </w:p>
    <w:p w14:paraId="52C6A88E" w14:textId="77777777" w:rsidR="00535F27" w:rsidRPr="00611497" w:rsidRDefault="00535F27" w:rsidP="00611497">
      <w:pPr>
        <w:pStyle w:val="fn1"/>
        <w:ind w:firstLine="709"/>
        <w:contextualSpacing/>
        <w:jc w:val="both"/>
        <w:rPr>
          <w:rFonts w:ascii="Arial" w:hAnsi="Arial" w:cs="Arial"/>
          <w:sz w:val="18"/>
          <w:szCs w:val="18"/>
          <w:lang w:val="es-CO"/>
        </w:rPr>
      </w:pPr>
    </w:p>
  </w:footnote>
  <w:footnote w:id="3">
    <w:p w14:paraId="2A3D2335" w14:textId="77777777" w:rsidR="00535F27" w:rsidRPr="00611497" w:rsidRDefault="00535F27" w:rsidP="00611497">
      <w:pPr>
        <w:pStyle w:val="fn1"/>
        <w:ind w:firstLine="708"/>
        <w:contextualSpacing/>
        <w:jc w:val="both"/>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color w:val="000000"/>
          <w:sz w:val="18"/>
          <w:szCs w:val="18"/>
          <w:shd w:val="clear" w:color="auto" w:fill="FFFFFF"/>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(CONSEJO DE ESTADO. Sección Tercera. Sentencia del 23 de junio de 2010. Rad. 16.367. C.P. Enrique Gil Botero). </w:t>
      </w:r>
      <w:r w:rsidRPr="00611497">
        <w:rPr>
          <w:rStyle w:val="eop"/>
          <w:rFonts w:ascii="Arial" w:hAnsi="Arial" w:cs="Arial"/>
          <w:color w:val="000000"/>
          <w:sz w:val="18"/>
          <w:szCs w:val="18"/>
          <w:shd w:val="clear" w:color="auto" w:fill="FFFFFF"/>
        </w:rPr>
        <w:t> </w:t>
      </w:r>
    </w:p>
  </w:footnote>
  <w:footnote w:id="4">
    <w:p w14:paraId="20D531E7"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color w:val="000000"/>
          <w:sz w:val="18"/>
          <w:szCs w:val="18"/>
          <w:lang w:val="es-MX"/>
        </w:rPr>
        <w:t>El numeral 2 del artículo 2 de la Ley 1150 de 2007 prescribe: «[…] Serán causales de selección abreviada las siguientes:</w:t>
      </w:r>
      <w:r w:rsidRPr="00611497">
        <w:rPr>
          <w:rStyle w:val="eop"/>
          <w:rFonts w:ascii="Arial" w:hAnsi="Arial" w:cs="Arial"/>
          <w:color w:val="000000"/>
          <w:sz w:val="18"/>
          <w:szCs w:val="18"/>
        </w:rPr>
        <w:t> </w:t>
      </w:r>
    </w:p>
    <w:p w14:paraId="2DE82823"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Pr="00611497">
        <w:rPr>
          <w:rStyle w:val="eop"/>
          <w:rFonts w:ascii="Arial" w:hAnsi="Arial" w:cs="Arial"/>
          <w:color w:val="000000"/>
          <w:sz w:val="18"/>
          <w:szCs w:val="18"/>
        </w:rPr>
        <w:t> </w:t>
      </w:r>
    </w:p>
    <w:p w14:paraId="3E58898D"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r w:rsidRPr="00611497">
        <w:rPr>
          <w:rStyle w:val="eop"/>
          <w:rFonts w:ascii="Arial" w:hAnsi="Arial" w:cs="Arial"/>
          <w:color w:val="000000"/>
          <w:sz w:val="18"/>
          <w:szCs w:val="18"/>
        </w:rPr>
        <w:t> </w:t>
      </w:r>
    </w:p>
    <w:p w14:paraId="65A1C0F5"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»b) La contratación de menor cuantía. Se entenderá por menor cuantía los valores que a continuación se relacionan, determinados en función de los presupuestos anuales de las entidades públicas expresados en salarios mínimos legales mensuales.</w:t>
      </w:r>
      <w:r w:rsidRPr="00611497">
        <w:rPr>
          <w:rStyle w:val="eop"/>
          <w:rFonts w:ascii="Arial" w:hAnsi="Arial" w:cs="Arial"/>
          <w:color w:val="000000"/>
          <w:sz w:val="18"/>
          <w:szCs w:val="18"/>
        </w:rPr>
        <w:t> </w:t>
      </w:r>
    </w:p>
    <w:p w14:paraId="097475F0"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w:t>
      </w:r>
      <w:r w:rsidRPr="00611497">
        <w:rPr>
          <w:rStyle w:val="eop"/>
          <w:rFonts w:ascii="Arial" w:hAnsi="Arial" w:cs="Arial"/>
          <w:color w:val="000000"/>
          <w:sz w:val="18"/>
          <w:szCs w:val="18"/>
        </w:rPr>
        <w:t> </w:t>
      </w:r>
    </w:p>
    <w:p w14:paraId="53DD2020"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r w:rsidRPr="00611497">
        <w:rPr>
          <w:rStyle w:val="eop"/>
          <w:rFonts w:ascii="Arial" w:hAnsi="Arial" w:cs="Arial"/>
          <w:color w:val="000000"/>
          <w:sz w:val="18"/>
          <w:szCs w:val="18"/>
        </w:rPr>
        <w:t> </w:t>
      </w:r>
    </w:p>
    <w:p w14:paraId="65263E58"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»d) La contratación cuyo proceso de licitación pública haya sido declarado desierto; en cuyo caso la entidad deberá iniciar la selección abreviada dentro de los cuatro meses siguientes a la declaración de desierta del proceso inicial;</w:t>
      </w:r>
      <w:r w:rsidRPr="00611497">
        <w:rPr>
          <w:rStyle w:val="eop"/>
          <w:rFonts w:ascii="Arial" w:hAnsi="Arial" w:cs="Arial"/>
          <w:color w:val="000000"/>
          <w:sz w:val="18"/>
          <w:szCs w:val="18"/>
        </w:rPr>
        <w:t> </w:t>
      </w:r>
    </w:p>
    <w:p w14:paraId="0732A431"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»e) La enajenación de bienes del Estado, con excepción de aquellos a que se refiere la Ley 226 de 1995.</w:t>
      </w:r>
      <w:r w:rsidRPr="00611497">
        <w:rPr>
          <w:rStyle w:val="eop"/>
          <w:rFonts w:ascii="Arial" w:hAnsi="Arial" w:cs="Arial"/>
          <w:color w:val="000000"/>
          <w:sz w:val="18"/>
          <w:szCs w:val="18"/>
        </w:rPr>
        <w:t> </w:t>
      </w:r>
    </w:p>
    <w:p w14:paraId="3CD1A6B2"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 </w:t>
      </w:r>
      <w:r w:rsidRPr="00611497">
        <w:rPr>
          <w:rStyle w:val="eop"/>
          <w:rFonts w:ascii="Arial" w:hAnsi="Arial" w:cs="Arial"/>
          <w:color w:val="000000"/>
          <w:sz w:val="18"/>
          <w:szCs w:val="18"/>
        </w:rPr>
        <w:t> </w:t>
      </w:r>
    </w:p>
    <w:p w14:paraId="51F4CBA9"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»f) Productos de origen o destinación agropecuarios que se ofrezcan en las bolsas de productos legalmente constituidas; </w:t>
      </w:r>
      <w:r w:rsidRPr="00611497">
        <w:rPr>
          <w:rStyle w:val="eop"/>
          <w:rFonts w:ascii="Arial" w:hAnsi="Arial" w:cs="Arial"/>
          <w:color w:val="000000"/>
          <w:sz w:val="18"/>
          <w:szCs w:val="18"/>
        </w:rPr>
        <w:t> </w:t>
      </w:r>
    </w:p>
    <w:p w14:paraId="3735F9CC"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r w:rsidRPr="00611497">
        <w:rPr>
          <w:rStyle w:val="eop"/>
          <w:rFonts w:ascii="Arial" w:hAnsi="Arial" w:cs="Arial"/>
          <w:color w:val="000000"/>
          <w:sz w:val="18"/>
          <w:szCs w:val="18"/>
        </w:rPr>
        <w:t> </w:t>
      </w:r>
    </w:p>
    <w:p w14:paraId="2CBCD410"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r w:rsidRPr="00611497">
        <w:rPr>
          <w:rStyle w:val="eop"/>
          <w:rFonts w:ascii="Arial" w:hAnsi="Arial" w:cs="Arial"/>
          <w:color w:val="000000"/>
          <w:sz w:val="18"/>
          <w:szCs w:val="18"/>
        </w:rPr>
        <w:t> </w:t>
      </w:r>
    </w:p>
    <w:p w14:paraId="63203231"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lang w:val="es-MX"/>
        </w:rPr>
        <w:t>»i) La contratación de bienes y servicios que se requieran para la defensa y seguridad nacional».</w:t>
      </w:r>
      <w:r w:rsidRPr="00611497">
        <w:rPr>
          <w:rStyle w:val="eop"/>
          <w:rFonts w:ascii="Arial" w:hAnsi="Arial" w:cs="Arial"/>
          <w:color w:val="000000"/>
          <w:sz w:val="18"/>
          <w:szCs w:val="18"/>
        </w:rPr>
        <w:t> </w:t>
      </w:r>
    </w:p>
    <w:p w14:paraId="65326D79"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eop"/>
          <w:rFonts w:ascii="Arial" w:hAnsi="Arial" w:cs="Arial"/>
          <w:color w:val="000000"/>
          <w:sz w:val="18"/>
          <w:szCs w:val="18"/>
        </w:rPr>
        <w:t> </w:t>
      </w:r>
    </w:p>
    <w:p w14:paraId="5A9E9578" w14:textId="77777777" w:rsidR="00535F27" w:rsidRPr="00611497" w:rsidRDefault="00535F27" w:rsidP="00611497">
      <w:pPr>
        <w:pStyle w:val="fn1"/>
        <w:contextualSpacing/>
        <w:jc w:val="both"/>
        <w:rPr>
          <w:rFonts w:ascii="Arial" w:hAnsi="Arial" w:cs="Arial"/>
          <w:sz w:val="18"/>
          <w:szCs w:val="18"/>
          <w:lang w:val="es-CO"/>
        </w:rPr>
      </w:pPr>
    </w:p>
  </w:footnote>
  <w:footnote w:id="5">
    <w:p w14:paraId="10D9069F"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Refdenotaalpie"/>
          <w:rFonts w:ascii="Arial" w:hAnsi="Arial" w:cs="Arial"/>
          <w:sz w:val="18"/>
          <w:szCs w:val="18"/>
        </w:rPr>
        <w:footnoteRef/>
      </w:r>
      <w:r w:rsidRPr="00611497">
        <w:rPr>
          <w:rStyle w:val="normaltextrun"/>
          <w:rFonts w:ascii="Arial" w:hAnsi="Arial" w:cs="Arial"/>
          <w:color w:val="000000"/>
          <w:sz w:val="18"/>
          <w:szCs w:val="18"/>
          <w:lang w:val="es-MX"/>
        </w:rPr>
        <w:t> Ley 1150 de 2007 </w:t>
      </w:r>
      <w:r w:rsidRPr="00611497">
        <w:rPr>
          <w:rStyle w:val="normaltextrun"/>
          <w:rFonts w:ascii="Arial" w:hAnsi="Arial" w:cs="Arial"/>
          <w:color w:val="000000"/>
          <w:sz w:val="18"/>
          <w:szCs w:val="18"/>
        </w:rPr>
        <w:t>«Artículo 2o. De las modalidades de selección. La escogencia del contratista se efectuará con arreglo a las modalidades de selección de licitación pública, selección abreviada, concurso de méritos y contratación directa, con base en las siguientes reglas:</w:t>
      </w:r>
      <w:r w:rsidRPr="00611497">
        <w:rPr>
          <w:rStyle w:val="eop"/>
          <w:rFonts w:ascii="Arial" w:hAnsi="Arial" w:cs="Arial"/>
          <w:color w:val="000000"/>
          <w:sz w:val="18"/>
          <w:szCs w:val="18"/>
        </w:rPr>
        <w:t> </w:t>
      </w:r>
    </w:p>
    <w:p w14:paraId="70DFB60F"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»1. Licitación pública. La escogencia del contratista se efectuará por regla general a través de licitación pública, con las excepciones que se señalan en los numerales 2, 3 y 4 del presente artículo.</w:t>
      </w:r>
      <w:r w:rsidRPr="00611497">
        <w:rPr>
          <w:rStyle w:val="eop"/>
          <w:rFonts w:ascii="Arial" w:hAnsi="Arial" w:cs="Arial"/>
          <w:color w:val="000000"/>
          <w:sz w:val="18"/>
          <w:szCs w:val="18"/>
        </w:rPr>
        <w:t> </w:t>
      </w:r>
    </w:p>
    <w:p w14:paraId="51585569"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i/>
          <w:iCs/>
          <w:color w:val="000000"/>
          <w:sz w:val="18"/>
          <w:szCs w:val="18"/>
        </w:rPr>
        <w:t>Cuando la entidad estatal así lo determine, la oferta en un proceso de la licitación pública podrá ser presentada total o parcialmente de manera dinámica mediante subasta inversa, en las condiciones que fije el reglamento</w:t>
      </w: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44D16FA4"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sidRPr="00611497">
        <w:rPr>
          <w:rStyle w:val="eop"/>
          <w:rFonts w:ascii="Arial" w:hAnsi="Arial" w:cs="Arial"/>
          <w:color w:val="000000"/>
          <w:sz w:val="18"/>
          <w:szCs w:val="18"/>
        </w:rPr>
        <w:t> </w:t>
      </w:r>
    </w:p>
    <w:p w14:paraId="31B4BFE5"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»El Gobierno Nacional reglamentará la materia.</w:t>
      </w:r>
      <w:r w:rsidRPr="00611497">
        <w:rPr>
          <w:rStyle w:val="eop"/>
          <w:rFonts w:ascii="Arial" w:hAnsi="Arial" w:cs="Arial"/>
          <w:color w:val="000000"/>
          <w:sz w:val="18"/>
          <w:szCs w:val="18"/>
        </w:rPr>
        <w:t> </w:t>
      </w:r>
    </w:p>
    <w:p w14:paraId="7E327B72"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»Serán causales de selección abreviada las siguientes:</w:t>
      </w:r>
      <w:r w:rsidRPr="00611497">
        <w:rPr>
          <w:rStyle w:val="eop"/>
          <w:rFonts w:ascii="Arial" w:hAnsi="Arial" w:cs="Arial"/>
          <w:color w:val="000000"/>
          <w:sz w:val="18"/>
          <w:szCs w:val="18"/>
        </w:rPr>
        <w:t> </w:t>
      </w:r>
    </w:p>
    <w:p w14:paraId="71B6BAA6"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Pr="00611497">
        <w:rPr>
          <w:rStyle w:val="eop"/>
          <w:rFonts w:ascii="Arial" w:hAnsi="Arial" w:cs="Arial"/>
          <w:color w:val="000000"/>
          <w:sz w:val="18"/>
          <w:szCs w:val="18"/>
        </w:rPr>
        <w:t> </w:t>
      </w:r>
    </w:p>
    <w:p w14:paraId="0A23646D"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normaltextrun"/>
          <w:rFonts w:ascii="Arial" w:hAnsi="Arial" w:cs="Arial"/>
          <w:i/>
          <w:iCs/>
          <w:color w:val="000000"/>
          <w:sz w:val="18"/>
          <w:szCs w:val="18"/>
        </w:rPr>
        <w:t>Para la adquisición de estos bienes y servicios las entidades deberán, siempre que el reglamento así lo señale, hacer uso de procedimientos de subasta inversa</w:t>
      </w:r>
      <w:r w:rsidRPr="00611497">
        <w:rPr>
          <w:rStyle w:val="normaltextrun"/>
          <w:rFonts w:ascii="Arial" w:hAnsi="Arial" w:cs="Arial"/>
          <w:color w:val="000000"/>
          <w:sz w:val="18"/>
          <w:szCs w:val="18"/>
        </w:rPr>
        <w:t> o de instrumentos de compra por catálogo derivados de la celebración de acuerdos marco de precios o de procedimientos de adquisición en bolsas de productos; </w:t>
      </w:r>
      <w:r w:rsidRPr="00611497">
        <w:rPr>
          <w:rStyle w:val="eop"/>
          <w:rFonts w:ascii="Arial" w:hAnsi="Arial" w:cs="Arial"/>
          <w:color w:val="000000"/>
          <w:sz w:val="18"/>
          <w:szCs w:val="18"/>
        </w:rPr>
        <w:t> </w:t>
      </w:r>
    </w:p>
    <w:p w14:paraId="0AD04F4A" w14:textId="77777777" w:rsidR="00535F27" w:rsidRPr="00611497" w:rsidRDefault="00535F27" w:rsidP="00611497">
      <w:pPr>
        <w:pStyle w:val="paragraph"/>
        <w:spacing w:before="0" w:beforeAutospacing="0" w:after="0" w:afterAutospacing="0"/>
        <w:ind w:left="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747E8B5E"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»e) La enajenación de bienes del Estado, con excepción de aquellos a que se refiere la Ley 226 de 1995.</w:t>
      </w:r>
      <w:r w:rsidRPr="00611497">
        <w:rPr>
          <w:rStyle w:val="eop"/>
          <w:rFonts w:ascii="Arial" w:hAnsi="Arial" w:cs="Arial"/>
          <w:color w:val="000000"/>
          <w:sz w:val="18"/>
          <w:szCs w:val="18"/>
        </w:rPr>
        <w:t> </w:t>
      </w:r>
    </w:p>
    <w:p w14:paraId="35B58BE9"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normaltextrun"/>
          <w:rFonts w:ascii="Arial" w:hAnsi="Arial" w:cs="Arial"/>
          <w:i/>
          <w:iCs/>
          <w:color w:val="000000"/>
          <w:sz w:val="18"/>
          <w:szCs w:val="18"/>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10C53FBE"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7A2B042F"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»Las reglas y procedimientos que deberán atender la administración y los promotores y la publicidad del proceso deberán garantizar la libre concurrencia y oportunidad de quienes participen en el mismo.</w:t>
      </w:r>
      <w:r w:rsidRPr="00611497">
        <w:rPr>
          <w:rStyle w:val="eop"/>
          <w:rFonts w:ascii="Arial" w:hAnsi="Arial" w:cs="Arial"/>
          <w:color w:val="000000"/>
          <w:sz w:val="18"/>
          <w:szCs w:val="18"/>
        </w:rPr>
        <w:t> </w:t>
      </w:r>
    </w:p>
    <w:p w14:paraId="5F4C66B3"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w:t>
      </w:r>
      <w:r w:rsidRPr="00611497">
        <w:rPr>
          <w:rStyle w:val="normaltextrun"/>
          <w:rFonts w:ascii="Arial" w:hAnsi="Arial" w:cs="Arial"/>
          <w:i/>
          <w:iCs/>
          <w:color w:val="000000"/>
          <w:sz w:val="18"/>
          <w:szCs w:val="18"/>
        </w:rPr>
        <w:t>Los bienes serán enajenados a través de venta directa en sobre cerrado o en pública subasta</w:t>
      </w:r>
      <w:r w:rsidRPr="00611497">
        <w:rPr>
          <w:rStyle w:val="normaltextrun"/>
          <w:rFonts w:ascii="Arial" w:hAnsi="Arial" w:cs="Arial"/>
          <w:color w:val="000000"/>
          <w:sz w:val="18"/>
          <w:szCs w:val="18"/>
        </w:rPr>
        <w:t>. La adjudicación para la venta directa deberá hacerse en audiencia pública, en donde se conozcan las ofertas iniciales y se efectúe un segundo ofrecimiento, frente al cual se adjudicará el bien a quien oferte el mejor precio. </w:t>
      </w:r>
      <w:r w:rsidRPr="00611497">
        <w:rPr>
          <w:rStyle w:val="normaltextrun"/>
          <w:rFonts w:ascii="Arial" w:hAnsi="Arial" w:cs="Arial"/>
          <w:i/>
          <w:iCs/>
          <w:color w:val="000000"/>
          <w:sz w:val="18"/>
          <w:szCs w:val="18"/>
        </w:rPr>
        <w:t>En la subasta pública, de acuerdo con el reglamento definido para su realización, el bien será adjudicado al mejor postor</w:t>
      </w:r>
      <w:r w:rsidRPr="00611497">
        <w:rPr>
          <w:rStyle w:val="normaltextrun"/>
          <w:rFonts w:ascii="Arial" w:hAnsi="Arial" w:cs="Arial"/>
          <w:color w:val="000000"/>
          <w:sz w:val="18"/>
          <w:szCs w:val="18"/>
        </w:rPr>
        <w:t>.</w:t>
      </w:r>
      <w:r w:rsidRPr="00611497">
        <w:rPr>
          <w:rStyle w:val="eop"/>
          <w:rFonts w:ascii="Arial" w:hAnsi="Arial" w:cs="Arial"/>
          <w:color w:val="000000"/>
          <w:sz w:val="18"/>
          <w:szCs w:val="18"/>
        </w:rPr>
        <w:t> </w:t>
      </w:r>
    </w:p>
    <w:p w14:paraId="110CC2F6"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normaltextrun"/>
          <w:rFonts w:ascii="Arial" w:hAnsi="Arial" w:cs="Arial"/>
          <w:color w:val="000000"/>
          <w:sz w:val="18"/>
          <w:szCs w:val="18"/>
        </w:rPr>
        <w:t>»La venta implica la publicación previa de los bienes en un diario de amplia circulación nacional, con la determinación del precio base. El interesado en adquirir bienes deberá consignar al menos el 20% del valor base de venta para participar en la oferta […]». (Cursivas fuera del original).</w:t>
      </w:r>
    </w:p>
  </w:footnote>
  <w:footnote w:id="6">
    <w:p w14:paraId="31A01A5B" w14:textId="77777777" w:rsidR="00535F27" w:rsidRPr="00611497" w:rsidRDefault="00535F27" w:rsidP="00611497">
      <w:pPr>
        <w:pStyle w:val="fn1"/>
        <w:ind w:firstLine="705"/>
        <w:contextualSpacing/>
        <w:jc w:val="both"/>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color w:val="000000"/>
          <w:sz w:val="18"/>
          <w:szCs w:val="18"/>
          <w:shd w:val="clear" w:color="auto" w:fill="FFFFFF"/>
        </w:rPr>
        <w:t>MATALLANA CAMACHO, Ernesto. Manual de Contratación de la Administración Pública. 3a ed. Bogotá D. C. Editorial Universidad externado de Colombia, 2013. p. 579.</w:t>
      </w:r>
      <w:r w:rsidRPr="00611497">
        <w:rPr>
          <w:rStyle w:val="eop"/>
          <w:rFonts w:ascii="Arial" w:hAnsi="Arial" w:cs="Arial"/>
          <w:color w:val="000000"/>
          <w:sz w:val="18"/>
          <w:szCs w:val="18"/>
          <w:shd w:val="clear" w:color="auto" w:fill="FFFFFF"/>
        </w:rPr>
        <w:t> </w:t>
      </w:r>
    </w:p>
  </w:footnote>
  <w:footnote w:id="7">
    <w:p w14:paraId="661FD75E" w14:textId="77777777" w:rsidR="00535F27" w:rsidRPr="00611497" w:rsidRDefault="00535F27" w:rsidP="00611497">
      <w:pPr>
        <w:pStyle w:val="fn1"/>
        <w:ind w:firstLine="705"/>
        <w:contextualSpacing/>
        <w:jc w:val="both"/>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color w:val="000000"/>
          <w:sz w:val="18"/>
          <w:szCs w:val="18"/>
          <w:bdr w:val="none" w:sz="0" w:space="0" w:color="auto" w:frame="1"/>
        </w:rPr>
        <w:t>SOLANO SIERRA, Jairo E. Contratación Administrativa, Modalidades de selección del Contratista. 4a. ed. Bogotá D.C.: Editorial Doctrina y Ley Ltda., 2010. p. 283.</w:t>
      </w:r>
    </w:p>
  </w:footnote>
  <w:footnote w:id="8">
    <w:p w14:paraId="6E9627D5" w14:textId="77777777" w:rsidR="00535F27" w:rsidRPr="00611497" w:rsidRDefault="00535F27" w:rsidP="00611497">
      <w:pPr>
        <w:pStyle w:val="paragraph"/>
        <w:spacing w:before="0" w:beforeAutospacing="0" w:after="0" w:afterAutospacing="0"/>
        <w:ind w:firstLine="705"/>
        <w:contextualSpacing/>
        <w:jc w:val="both"/>
        <w:textAlignment w:val="baseline"/>
        <w:rPr>
          <w:rFonts w:ascii="Arial" w:hAnsi="Arial" w:cs="Arial"/>
          <w:sz w:val="18"/>
          <w:szCs w:val="18"/>
        </w:rPr>
      </w:pPr>
      <w:r w:rsidRPr="00611497">
        <w:rPr>
          <w:rStyle w:val="Refdenotaalpie"/>
          <w:rFonts w:ascii="Arial" w:hAnsi="Arial" w:cs="Arial"/>
          <w:sz w:val="18"/>
          <w:szCs w:val="18"/>
        </w:rPr>
        <w:footnoteRef/>
      </w:r>
      <w:r w:rsidRPr="00611497">
        <w:rPr>
          <w:rFonts w:ascii="Arial" w:hAnsi="Arial" w:cs="Arial"/>
          <w:sz w:val="18"/>
          <w:szCs w:val="18"/>
        </w:rPr>
        <w:t xml:space="preserve"> </w:t>
      </w:r>
      <w:r w:rsidRPr="00611497">
        <w:rPr>
          <w:rStyle w:val="normaltextrun"/>
          <w:rFonts w:ascii="Arial" w:hAnsi="Arial" w:cs="Arial"/>
          <w:sz w:val="18"/>
          <w:szCs w:val="18"/>
          <w:lang w:val="es-MX"/>
        </w:rPr>
        <w:t>SUÁREZ BELTRÁN,</w:t>
      </w:r>
      <w:r w:rsidRPr="00611497">
        <w:rPr>
          <w:rStyle w:val="normaltextrun"/>
          <w:rFonts w:ascii="Arial" w:hAnsi="Arial" w:cs="Arial"/>
          <w:sz w:val="18"/>
          <w:szCs w:val="18"/>
        </w:rPr>
        <w:t> </w:t>
      </w:r>
      <w:r w:rsidRPr="00611497">
        <w:rPr>
          <w:rStyle w:val="normaltextrun"/>
          <w:rFonts w:ascii="Arial" w:hAnsi="Arial" w:cs="Arial"/>
          <w:sz w:val="18"/>
          <w:szCs w:val="18"/>
          <w:lang w:val="es-MX"/>
        </w:rPr>
        <w:t>Gonzalo. Estudios de derecho contractual público. Pontificia Universidad Javeriana. Bogotá: Legis, 2014.</w:t>
      </w:r>
      <w:r w:rsidRPr="00611497">
        <w:rPr>
          <w:rStyle w:val="normaltextrun"/>
          <w:rFonts w:ascii="Arial" w:hAnsi="Arial" w:cs="Arial"/>
          <w:sz w:val="18"/>
          <w:szCs w:val="18"/>
        </w:rPr>
        <w:t> </w:t>
      </w:r>
      <w:r w:rsidRPr="00611497">
        <w:rPr>
          <w:rStyle w:val="normaltextrun"/>
          <w:rFonts w:ascii="Arial" w:hAnsi="Arial" w:cs="Arial"/>
          <w:sz w:val="18"/>
          <w:szCs w:val="18"/>
          <w:lang w:val="es-MX"/>
        </w:rPr>
        <w:t>p 71 y 72. Citado en: DÁVILA VINEZA, Luis Guillermo. Régimen Jurídico de la contratación estatal. 3ª ed. Legis: Bogotá, 2016. p.</w:t>
      </w:r>
      <w:r w:rsidRPr="00611497">
        <w:rPr>
          <w:rStyle w:val="normaltextrun"/>
          <w:rFonts w:ascii="Arial" w:hAnsi="Arial" w:cs="Arial"/>
          <w:sz w:val="18"/>
          <w:szCs w:val="18"/>
        </w:rPr>
        <w:t> </w:t>
      </w:r>
      <w:r w:rsidRPr="00611497">
        <w:rPr>
          <w:rStyle w:val="normaltextrun"/>
          <w:rFonts w:ascii="Arial" w:hAnsi="Arial" w:cs="Arial"/>
          <w:sz w:val="18"/>
          <w:szCs w:val="18"/>
          <w:lang w:val="es-MX"/>
        </w:rPr>
        <w:t>466.</w:t>
      </w:r>
      <w:r w:rsidRPr="00611497">
        <w:rPr>
          <w:rStyle w:val="normaltextrun"/>
          <w:rFonts w:ascii="Arial" w:hAnsi="Arial" w:cs="Arial"/>
          <w:sz w:val="18"/>
          <w:szCs w:val="18"/>
        </w:rPr>
        <w:t> </w:t>
      </w:r>
      <w:r w:rsidRPr="00611497">
        <w:rPr>
          <w:rStyle w:val="eop"/>
          <w:rFonts w:ascii="Arial" w:hAnsi="Arial" w:cs="Arial"/>
          <w:sz w:val="18"/>
          <w:szCs w:val="18"/>
        </w:rPr>
        <w:t> </w:t>
      </w:r>
    </w:p>
    <w:p w14:paraId="11830BCB" w14:textId="77777777" w:rsidR="00535F27" w:rsidRPr="00611497" w:rsidRDefault="00535F27" w:rsidP="00611497">
      <w:pPr>
        <w:pStyle w:val="paragraph"/>
        <w:spacing w:before="0" w:beforeAutospacing="0" w:after="0" w:afterAutospacing="0"/>
        <w:contextualSpacing/>
        <w:jc w:val="both"/>
        <w:textAlignment w:val="baseline"/>
        <w:rPr>
          <w:rFonts w:ascii="Arial" w:hAnsi="Arial" w:cs="Arial"/>
          <w:sz w:val="18"/>
          <w:szCs w:val="18"/>
        </w:rPr>
      </w:pPr>
      <w:r w:rsidRPr="00611497">
        <w:rPr>
          <w:rStyle w:val="eop"/>
          <w:rFonts w:ascii="Arial" w:hAnsi="Arial" w:cs="Arial"/>
          <w:sz w:val="18"/>
          <w:szCs w:val="18"/>
        </w:rPr>
        <w:t> </w:t>
      </w:r>
    </w:p>
    <w:p w14:paraId="6B68367F" w14:textId="77777777" w:rsidR="00535F27" w:rsidRPr="00611497" w:rsidRDefault="00535F27" w:rsidP="00611497">
      <w:pPr>
        <w:pStyle w:val="fn1"/>
        <w:contextualSpacing/>
        <w:jc w:val="both"/>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987B" w14:textId="77777777" w:rsidR="00E84315" w:rsidRDefault="00FE3414">
    <w:pPr>
      <w:pStyle w:val="Encabezado1"/>
    </w:pPr>
    <w:r>
      <w:rPr>
        <w:noProof/>
        <w:lang w:eastAsia="es-CO"/>
      </w:rPr>
      <w:drawing>
        <wp:anchor distT="0" distB="0" distL="114300" distR="114300" simplePos="0" relativeHeight="251659264" behindDoc="0" locked="0" layoutInCell="1" allowOverlap="1" wp14:anchorId="6EB519DD" wp14:editId="34AE2C98">
          <wp:simplePos x="0" y="0"/>
          <wp:positionH relativeFrom="margin">
            <wp:align>right</wp:align>
          </wp:positionH>
          <wp:positionV relativeFrom="paragraph">
            <wp:posOffset>-266700</wp:posOffset>
          </wp:positionV>
          <wp:extent cx="1420507" cy="589741"/>
          <wp:effectExtent l="0" t="0" r="8255" b="127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7B1E"/>
    <w:multiLevelType w:val="multilevel"/>
    <w:tmpl w:val="6F14CB5E"/>
    <w:lvl w:ilvl="0">
      <w:start w:val="1"/>
      <w:numFmt w:val="decimal"/>
      <w:lvlText w:val="%1."/>
      <w:lvlJc w:val="left"/>
      <w:pPr>
        <w:ind w:left="360" w:hanging="360"/>
      </w:pPr>
      <w:rPr>
        <w:rFonts w:hint="default"/>
        <w:b/>
        <w:bCs/>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41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27"/>
    <w:rsid w:val="000B7CB4"/>
    <w:rsid w:val="00154BA4"/>
    <w:rsid w:val="002035E1"/>
    <w:rsid w:val="002D5932"/>
    <w:rsid w:val="00322CF0"/>
    <w:rsid w:val="00433E52"/>
    <w:rsid w:val="00437EFE"/>
    <w:rsid w:val="004B03BE"/>
    <w:rsid w:val="004F092C"/>
    <w:rsid w:val="005238B0"/>
    <w:rsid w:val="00535F27"/>
    <w:rsid w:val="005417DE"/>
    <w:rsid w:val="005945D6"/>
    <w:rsid w:val="00611497"/>
    <w:rsid w:val="00640577"/>
    <w:rsid w:val="00763CB4"/>
    <w:rsid w:val="00A06FBC"/>
    <w:rsid w:val="00A97F51"/>
    <w:rsid w:val="00AC7AE9"/>
    <w:rsid w:val="00AF1369"/>
    <w:rsid w:val="00B36503"/>
    <w:rsid w:val="00B5434C"/>
    <w:rsid w:val="00D113CB"/>
    <w:rsid w:val="00D62619"/>
    <w:rsid w:val="00D721EB"/>
    <w:rsid w:val="00E26B0E"/>
    <w:rsid w:val="00E66A63"/>
    <w:rsid w:val="00FA0AC7"/>
    <w:rsid w:val="00FE34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2E85"/>
  <w15:chartTrackingRefBased/>
  <w15:docId w15:val="{99AF56DA-8332-4531-88E2-48E94F99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53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35F2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Encabezado"/>
    <w:link w:val="EncabezadoCar"/>
    <w:uiPriority w:val="99"/>
    <w:unhideWhenUsed/>
    <w:rsid w:val="00535F27"/>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535F27"/>
    <w:rPr>
      <w:lang w:val="es-CO"/>
    </w:rPr>
  </w:style>
  <w:style w:type="paragraph" w:customStyle="1" w:styleId="Piedepgina1">
    <w:name w:val="Pie de página1"/>
    <w:basedOn w:val="Normal"/>
    <w:next w:val="Piedepgina"/>
    <w:link w:val="PiedepginaCar"/>
    <w:uiPriority w:val="99"/>
    <w:unhideWhenUsed/>
    <w:rsid w:val="00535F27"/>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535F27"/>
    <w:rPr>
      <w:lang w:val="es-CO"/>
    </w:rPr>
  </w:style>
  <w:style w:type="paragraph" w:customStyle="1" w:styleId="paragraph">
    <w:name w:val="paragraph"/>
    <w:basedOn w:val="Normal"/>
    <w:rsid w:val="00535F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535F27"/>
  </w:style>
  <w:style w:type="character" w:customStyle="1" w:styleId="eop">
    <w:name w:val="eop"/>
    <w:basedOn w:val="Fuentedeprrafopredeter"/>
    <w:rsid w:val="00535F27"/>
  </w:style>
  <w:style w:type="character" w:customStyle="1" w:styleId="TextonotapieCar">
    <w:name w:val="Texto nota pie Car"/>
    <w:basedOn w:val="Fuentedeprrafopredeter"/>
    <w:link w:val="Textonotapie"/>
    <w:uiPriority w:val="99"/>
    <w:qFormat/>
    <w:locked/>
    <w:rsid w:val="00535F27"/>
    <w:rPr>
      <w:sz w:val="20"/>
      <w:szCs w:val="20"/>
      <w:lang w:val="es-MX"/>
    </w:rPr>
  </w:style>
  <w:style w:type="paragraph" w:customStyle="1" w:styleId="fn1">
    <w:name w:val="fn1"/>
    <w:basedOn w:val="Normal"/>
    <w:next w:val="Textonotapie"/>
    <w:uiPriority w:val="99"/>
    <w:unhideWhenUsed/>
    <w:qFormat/>
    <w:rsid w:val="00535F27"/>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535F27"/>
    <w:rPr>
      <w:vertAlign w:val="superscript"/>
    </w:rPr>
  </w:style>
  <w:style w:type="paragraph" w:customStyle="1" w:styleId="Appelnotedebasde">
    <w:name w:val="Appel note de bas de..."/>
    <w:basedOn w:val="Normal"/>
    <w:link w:val="Refdenotaalpie"/>
    <w:uiPriority w:val="99"/>
    <w:rsid w:val="00535F27"/>
    <w:pPr>
      <w:spacing w:line="240" w:lineRule="exact"/>
    </w:pPr>
    <w:rPr>
      <w:vertAlign w:val="superscript"/>
    </w:rPr>
  </w:style>
  <w:style w:type="character" w:styleId="Hipervnculo">
    <w:name w:val="Hyperlink"/>
    <w:basedOn w:val="Fuentedeprrafopredeter"/>
    <w:uiPriority w:val="99"/>
    <w:unhideWhenUsed/>
    <w:rsid w:val="00535F27"/>
    <w:rPr>
      <w:color w:val="0000FF"/>
      <w:u w:val="single"/>
    </w:rPr>
  </w:style>
  <w:style w:type="character" w:styleId="Refdecomentario">
    <w:name w:val="annotation reference"/>
    <w:basedOn w:val="Fuentedeprrafopredeter"/>
    <w:uiPriority w:val="99"/>
    <w:semiHidden/>
    <w:unhideWhenUsed/>
    <w:rsid w:val="00535F27"/>
    <w:rPr>
      <w:sz w:val="16"/>
      <w:szCs w:val="16"/>
    </w:rPr>
  </w:style>
  <w:style w:type="paragraph" w:customStyle="1" w:styleId="Textocomentario1">
    <w:name w:val="Texto comentario1"/>
    <w:basedOn w:val="Normal"/>
    <w:next w:val="Textocomentario"/>
    <w:link w:val="TextocomentarioCar"/>
    <w:uiPriority w:val="99"/>
    <w:unhideWhenUsed/>
    <w:rsid w:val="00535F27"/>
    <w:pPr>
      <w:spacing w:line="240" w:lineRule="auto"/>
    </w:pPr>
    <w:rPr>
      <w:sz w:val="20"/>
      <w:szCs w:val="20"/>
    </w:rPr>
  </w:style>
  <w:style w:type="character" w:customStyle="1" w:styleId="TextocomentarioCar">
    <w:name w:val="Texto comentario Car"/>
    <w:basedOn w:val="Fuentedeprrafopredeter"/>
    <w:link w:val="Textocomentario1"/>
    <w:uiPriority w:val="99"/>
    <w:rsid w:val="00535F27"/>
    <w:rPr>
      <w:sz w:val="20"/>
      <w:szCs w:val="20"/>
      <w:lang w:val="es-CO"/>
    </w:rPr>
  </w:style>
  <w:style w:type="table" w:styleId="Tablaconcuadrcula">
    <w:name w:val="Table Grid"/>
    <w:basedOn w:val="Tablanormal"/>
    <w:uiPriority w:val="39"/>
    <w:rsid w:val="0053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semiHidden/>
    <w:unhideWhenUsed/>
    <w:rsid w:val="00535F27"/>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535F27"/>
  </w:style>
  <w:style w:type="paragraph" w:styleId="Piedepgina">
    <w:name w:val="footer"/>
    <w:basedOn w:val="Normal"/>
    <w:link w:val="PiedepginaCar1"/>
    <w:uiPriority w:val="99"/>
    <w:semiHidden/>
    <w:unhideWhenUsed/>
    <w:rsid w:val="00535F27"/>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535F27"/>
  </w:style>
  <w:style w:type="paragraph" w:styleId="Textonotapie">
    <w:name w:val="footnote text"/>
    <w:basedOn w:val="Normal"/>
    <w:link w:val="TextonotapieCar"/>
    <w:uiPriority w:val="99"/>
    <w:semiHidden/>
    <w:unhideWhenUsed/>
    <w:rsid w:val="00535F27"/>
    <w:pPr>
      <w:spacing w:after="0" w:line="240" w:lineRule="auto"/>
    </w:pPr>
    <w:rPr>
      <w:sz w:val="20"/>
      <w:szCs w:val="20"/>
      <w:lang w:val="es-MX"/>
    </w:rPr>
  </w:style>
  <w:style w:type="character" w:customStyle="1" w:styleId="TextonotapieCar1">
    <w:name w:val="Texto nota pie Car1"/>
    <w:basedOn w:val="Fuentedeprrafopredeter"/>
    <w:uiPriority w:val="99"/>
    <w:semiHidden/>
    <w:rsid w:val="00535F27"/>
    <w:rPr>
      <w:sz w:val="20"/>
      <w:szCs w:val="20"/>
    </w:rPr>
  </w:style>
  <w:style w:type="paragraph" w:styleId="Textocomentario">
    <w:name w:val="annotation text"/>
    <w:basedOn w:val="Normal"/>
    <w:link w:val="TextocomentarioCar1"/>
    <w:uiPriority w:val="99"/>
    <w:unhideWhenUsed/>
    <w:rsid w:val="00535F27"/>
    <w:pPr>
      <w:spacing w:line="240" w:lineRule="auto"/>
    </w:pPr>
    <w:rPr>
      <w:sz w:val="20"/>
      <w:szCs w:val="20"/>
    </w:rPr>
  </w:style>
  <w:style w:type="character" w:customStyle="1" w:styleId="TextocomentarioCar1">
    <w:name w:val="Texto comentario Car1"/>
    <w:basedOn w:val="Fuentedeprrafopredeter"/>
    <w:link w:val="Textocomentario"/>
    <w:uiPriority w:val="99"/>
    <w:rsid w:val="00535F27"/>
    <w:rPr>
      <w:sz w:val="20"/>
      <w:szCs w:val="20"/>
    </w:rPr>
  </w:style>
  <w:style w:type="paragraph" w:customStyle="1" w:styleId="gmail-msolistparagraph">
    <w:name w:val="gmail-msolistparagraph"/>
    <w:basedOn w:val="Normal"/>
    <w:rsid w:val="00E66A6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721EB"/>
    <w:pPr>
      <w:ind w:left="720"/>
      <w:contextualSpacing/>
    </w:pPr>
  </w:style>
  <w:style w:type="paragraph" w:styleId="Revisin">
    <w:name w:val="Revision"/>
    <w:hidden/>
    <w:uiPriority w:val="99"/>
    <w:semiHidden/>
    <w:rsid w:val="005238B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238B0"/>
    <w:rPr>
      <w:b/>
      <w:bCs/>
    </w:rPr>
  </w:style>
  <w:style w:type="character" w:customStyle="1" w:styleId="AsuntodelcomentarioCar">
    <w:name w:val="Asunto del comentario Car"/>
    <w:basedOn w:val="TextocomentarioCar1"/>
    <w:link w:val="Asuntodelcomentario"/>
    <w:uiPriority w:val="99"/>
    <w:semiHidden/>
    <w:rsid w:val="005238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B8777-565F-4612-AC28-13A40472439F}">
  <ds:schemaRefs>
    <ds:schemaRef ds:uri="http://schemas.microsoft.com/office/2006/documentManagement/types"/>
    <ds:schemaRef ds:uri="9d85dbaf-23eb-4e57-a637-93dcacc8b1a1"/>
    <ds:schemaRef ds:uri="http://schemas.microsoft.com/office/2006/metadata/properties"/>
    <ds:schemaRef ds:uri="a6cb9e4b-f1d1-4245-83ec-6cad768d538a"/>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C97573B-3265-432D-B837-A00BA323CF51}">
  <ds:schemaRefs>
    <ds:schemaRef ds:uri="http://schemas.microsoft.com/sharepoint/v3/contenttype/forms"/>
  </ds:schemaRefs>
</ds:datastoreItem>
</file>

<file path=customXml/itemProps3.xml><?xml version="1.0" encoding="utf-8"?>
<ds:datastoreItem xmlns:ds="http://schemas.openxmlformats.org/officeDocument/2006/customXml" ds:itemID="{E9A153C8-C716-424B-B62E-A6D36C02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4438</Words>
  <Characters>24414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2</cp:revision>
  <dcterms:created xsi:type="dcterms:W3CDTF">2023-03-02T21:20:00Z</dcterms:created>
  <dcterms:modified xsi:type="dcterms:W3CDTF">2023-03-02T21:20:00Z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