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E012" w14:textId="77777777" w:rsidR="00BC6058" w:rsidRPr="009C4FCC" w:rsidRDefault="00BC6058" w:rsidP="00BC6058">
      <w:pPr>
        <w:spacing w:after="0" w:line="240" w:lineRule="auto"/>
        <w:jc w:val="both"/>
        <w:rPr>
          <w:rFonts w:ascii="Arial" w:hAnsi="Arial" w:cs="Arial"/>
          <w:b/>
          <w:bCs/>
        </w:rPr>
      </w:pPr>
      <w:r w:rsidRPr="009C4FCC">
        <w:rPr>
          <w:rFonts w:ascii="Arial" w:hAnsi="Arial" w:cs="Arial"/>
          <w:b/>
          <w:bCs/>
        </w:rPr>
        <w:t xml:space="preserve">DOCUMENTOS TIPO – Ámbito de aplicación </w:t>
      </w:r>
    </w:p>
    <w:p w14:paraId="51DEF49F" w14:textId="77777777" w:rsidR="00BC6058" w:rsidRPr="009C4FCC" w:rsidRDefault="00BC6058" w:rsidP="00BC6058">
      <w:pPr>
        <w:spacing w:after="0" w:line="240" w:lineRule="auto"/>
        <w:jc w:val="both"/>
        <w:rPr>
          <w:rFonts w:ascii="Arial" w:hAnsi="Arial" w:cs="Arial"/>
          <w:b/>
          <w:bCs/>
        </w:rPr>
      </w:pPr>
    </w:p>
    <w:p w14:paraId="715B48AE" w14:textId="77777777" w:rsidR="00BC6058" w:rsidRPr="009C4FCC" w:rsidRDefault="00BC6058" w:rsidP="00BC6058">
      <w:pPr>
        <w:jc w:val="both"/>
        <w:rPr>
          <w:rFonts w:ascii="Arial" w:hAnsi="Arial" w:cs="Arial"/>
          <w:b/>
          <w:bCs/>
        </w:rPr>
      </w:pPr>
      <w:r w:rsidRPr="009C4FCC">
        <w:rPr>
          <w:rFonts w:ascii="Arial" w:hAnsi="Arial" w:cs="Arial"/>
        </w:rPr>
        <w:t>La Ley 2022 de 2020 señala que los documentos tipo adoptados por la Agencia Nacional de Contratación Pública son de obligatorio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Lo anterior, por cuanto los documentos tipo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w:t>
      </w:r>
      <w:r w:rsidRPr="009C4FCC">
        <w:rPr>
          <w:rFonts w:ascii="Arial" w:hAnsi="Arial" w:cs="Arial"/>
          <w:b/>
          <w:bCs/>
        </w:rPr>
        <w:t>.</w:t>
      </w:r>
    </w:p>
    <w:p w14:paraId="56004202" w14:textId="77777777" w:rsidR="00BC6058" w:rsidRPr="009C4FCC" w:rsidRDefault="00BC6058" w:rsidP="00BC6058">
      <w:pPr>
        <w:spacing w:after="0" w:line="240" w:lineRule="auto"/>
        <w:jc w:val="both"/>
        <w:rPr>
          <w:rFonts w:ascii="Arial" w:hAnsi="Arial" w:cs="Arial"/>
        </w:rPr>
      </w:pPr>
    </w:p>
    <w:p w14:paraId="62F117DF" w14:textId="77777777" w:rsidR="00BC6058" w:rsidRPr="009C4FCC" w:rsidRDefault="00BC6058" w:rsidP="00BC6058">
      <w:pPr>
        <w:spacing w:after="0" w:line="240" w:lineRule="auto"/>
        <w:jc w:val="both"/>
        <w:rPr>
          <w:rFonts w:ascii="Arial" w:eastAsia="Calibri" w:hAnsi="Arial" w:cs="Arial"/>
          <w:b/>
          <w:bCs/>
        </w:rPr>
      </w:pPr>
      <w:r w:rsidRPr="009C4FCC">
        <w:rPr>
          <w:rFonts w:ascii="Arial" w:eastAsia="Calibri" w:hAnsi="Arial" w:cs="Arial"/>
          <w:b/>
          <w:bCs/>
        </w:rPr>
        <w:t>DOCUMENTOS TIPO</w:t>
      </w:r>
      <w:r w:rsidRPr="009C4FCC">
        <w:rPr>
          <w:rFonts w:ascii="Arial" w:hAnsi="Arial" w:cs="Arial"/>
          <w:b/>
        </w:rPr>
        <w:t xml:space="preserve"> – Inalterabilidad  </w:t>
      </w:r>
    </w:p>
    <w:p w14:paraId="562DBB59" w14:textId="77777777" w:rsidR="00BC6058" w:rsidRPr="009C4FCC" w:rsidRDefault="00BC6058" w:rsidP="00BC6058">
      <w:pPr>
        <w:spacing w:after="0" w:line="240" w:lineRule="auto"/>
        <w:jc w:val="both"/>
        <w:rPr>
          <w:rFonts w:ascii="Arial" w:eastAsia="Calibri" w:hAnsi="Arial" w:cs="Arial"/>
          <w:lang w:val="es-ES_tradnl"/>
        </w:rPr>
      </w:pPr>
    </w:p>
    <w:p w14:paraId="33793068" w14:textId="77777777" w:rsidR="00BC6058" w:rsidRPr="009C4FCC" w:rsidRDefault="00BC6058" w:rsidP="00BC6058">
      <w:pPr>
        <w:spacing w:after="120" w:line="240" w:lineRule="auto"/>
        <w:jc w:val="both"/>
        <w:rPr>
          <w:rFonts w:ascii="Arial" w:eastAsia="Calibri" w:hAnsi="Arial" w:cs="Arial"/>
          <w:lang w:val="es-ES_tradnl"/>
        </w:rPr>
      </w:pPr>
      <w:r w:rsidRPr="009C4FCC">
        <w:rPr>
          <w:rFonts w:ascii="Arial" w:eastAsia="Calibri" w:hAnsi="Arial" w:cs="Arial"/>
          <w:lang w:val="es-ES_tradnl"/>
        </w:rPr>
        <w:t xml:space="preserve">[…] Esta prohibición consiste en que las entidades estatales no pueden incluir o modificar en los </w:t>
      </w:r>
      <w:r w:rsidRPr="009C4FCC">
        <w:rPr>
          <w:rFonts w:ascii="Arial" w:eastAsia="Calibri" w:hAnsi="Arial" w:cs="Arial"/>
          <w:i/>
          <w:iCs/>
          <w:lang w:val="es-ES_tradnl"/>
        </w:rPr>
        <w:t>Documentos del Proceso</w:t>
      </w:r>
      <w:r w:rsidRPr="009C4FCC">
        <w:rPr>
          <w:rFonts w:ascii="Arial" w:eastAsia="Calibri" w:hAnsi="Arial" w:cs="Arial"/>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 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La inalterabilidad de los documentos es una manifestación en mayor grado de las potestades regladas, lo cual implica una reducción de la discrecionalidad de la Administración en el momento de tomar una decisión en el proceso de contratación. Cada entidad pública sujeta a los documentos tipo deberá hacer una aplicación o constatación irrestricta de las reglas y condiciones dispuestas en estos, salvo que las mismas posibilitan la discrecionalidad en determinados aspectos. </w:t>
      </w:r>
    </w:p>
    <w:p w14:paraId="4B42CEE9" w14:textId="77777777" w:rsidR="00BC6058" w:rsidRPr="009C4FCC" w:rsidRDefault="00BC6058" w:rsidP="00BC6058">
      <w:pPr>
        <w:spacing w:after="120" w:line="240" w:lineRule="auto"/>
        <w:jc w:val="both"/>
        <w:rPr>
          <w:rFonts w:ascii="Arial" w:eastAsia="Calibri" w:hAnsi="Arial" w:cs="Arial"/>
          <w:bCs/>
        </w:rPr>
      </w:pPr>
    </w:p>
    <w:p w14:paraId="5D08A546" w14:textId="77777777" w:rsidR="00BC6058" w:rsidRPr="009C4FCC" w:rsidRDefault="00BC6058" w:rsidP="00BC6058">
      <w:pPr>
        <w:spacing w:after="0" w:line="240" w:lineRule="auto"/>
        <w:jc w:val="both"/>
        <w:rPr>
          <w:rFonts w:ascii="Arial" w:hAnsi="Arial" w:cs="Arial"/>
        </w:rPr>
      </w:pPr>
    </w:p>
    <w:p w14:paraId="2FB94619" w14:textId="77777777" w:rsidR="00BC6058" w:rsidRPr="009C4FCC" w:rsidRDefault="00BC6058" w:rsidP="00BC6058">
      <w:pPr>
        <w:tabs>
          <w:tab w:val="left" w:pos="3374"/>
        </w:tabs>
        <w:rPr>
          <w:rFonts w:ascii="Arial" w:hAnsi="Arial" w:cs="Arial"/>
          <w:b/>
          <w:bCs/>
        </w:rPr>
      </w:pPr>
    </w:p>
    <w:p w14:paraId="71C2F47C" w14:textId="77777777" w:rsidR="00BC6058" w:rsidRPr="009C4FCC" w:rsidRDefault="00BC6058" w:rsidP="00BC6058">
      <w:pPr>
        <w:tabs>
          <w:tab w:val="left" w:pos="3374"/>
        </w:tabs>
        <w:rPr>
          <w:rFonts w:ascii="Arial" w:hAnsi="Arial" w:cs="Arial"/>
          <w:b/>
          <w:bCs/>
        </w:rPr>
      </w:pPr>
    </w:p>
    <w:p w14:paraId="5F2A3D38" w14:textId="77777777" w:rsidR="00BC6058" w:rsidRPr="009C4FCC" w:rsidRDefault="00BC6058" w:rsidP="00BC6058">
      <w:pPr>
        <w:spacing w:after="0" w:line="240" w:lineRule="auto"/>
        <w:jc w:val="both"/>
        <w:rPr>
          <w:rFonts w:ascii="Arial" w:hAnsi="Arial" w:cs="Arial"/>
          <w:b/>
          <w:bCs/>
        </w:rPr>
      </w:pPr>
      <w:r w:rsidRPr="009C4FCC">
        <w:rPr>
          <w:rFonts w:ascii="Arial" w:hAnsi="Arial" w:cs="Arial"/>
          <w:b/>
          <w:bCs/>
        </w:rPr>
        <w:t xml:space="preserve">REGISTRO ÚNICO DE PROPONENTES – Definición </w:t>
      </w:r>
    </w:p>
    <w:p w14:paraId="727B7711" w14:textId="77777777" w:rsidR="00BC6058" w:rsidRPr="009C4FCC" w:rsidRDefault="00BC6058" w:rsidP="00BC6058">
      <w:pPr>
        <w:spacing w:after="0" w:line="240" w:lineRule="auto"/>
        <w:jc w:val="both"/>
        <w:rPr>
          <w:rFonts w:ascii="Arial" w:hAnsi="Arial" w:cs="Arial"/>
          <w:b/>
          <w:bCs/>
        </w:rPr>
      </w:pPr>
    </w:p>
    <w:p w14:paraId="0593AC55" w14:textId="77777777" w:rsidR="00BC6058" w:rsidRPr="009C4FCC" w:rsidRDefault="00BC6058" w:rsidP="00BC6058">
      <w:pPr>
        <w:spacing w:after="120" w:line="240" w:lineRule="auto"/>
        <w:jc w:val="both"/>
        <w:rPr>
          <w:rFonts w:ascii="Arial" w:eastAsia="Calibri" w:hAnsi="Arial" w:cs="Arial"/>
          <w:bCs/>
        </w:rPr>
      </w:pPr>
      <w:r w:rsidRPr="009C4FCC">
        <w:rPr>
          <w:rFonts w:ascii="Arial" w:eastAsia="Calibri" w:hAnsi="Arial" w:cs="Arial"/>
          <w:bCs/>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7059BF6F" w14:textId="5159E522" w:rsidR="009E0BB2" w:rsidRPr="009C4FCC" w:rsidRDefault="009E0BB2" w:rsidP="009E0BB2">
      <w:pPr>
        <w:spacing w:after="0" w:line="240" w:lineRule="auto"/>
        <w:contextualSpacing/>
        <w:rPr>
          <w:rFonts w:ascii="Arial" w:eastAsia="Times New Roman" w:hAnsi="Arial" w:cs="Arial"/>
          <w:b/>
          <w:bCs/>
          <w:sz w:val="20"/>
          <w:szCs w:val="20"/>
          <w:lang w:eastAsia="es-CO"/>
        </w:rPr>
      </w:pPr>
    </w:p>
    <w:p w14:paraId="0809CEFB" w14:textId="4AF01D84" w:rsidR="00BC6058" w:rsidRPr="009C4FCC" w:rsidRDefault="00BC6058" w:rsidP="00BC6058">
      <w:pPr>
        <w:spacing w:after="0" w:line="276" w:lineRule="auto"/>
        <w:contextualSpacing/>
        <w:jc w:val="both"/>
        <w:rPr>
          <w:rFonts w:ascii="Arial" w:eastAsia="Calibri" w:hAnsi="Arial" w:cs="Arial"/>
          <w:b/>
          <w:bCs/>
          <w:sz w:val="20"/>
          <w:szCs w:val="20"/>
          <w:lang w:val="es-ES_tradnl"/>
        </w:rPr>
      </w:pPr>
      <w:r w:rsidRPr="009C4FCC">
        <w:rPr>
          <w:rFonts w:ascii="Arial" w:eastAsia="Calibri" w:hAnsi="Arial" w:cs="Arial"/>
          <w:b/>
          <w:bCs/>
          <w:sz w:val="20"/>
          <w:szCs w:val="20"/>
          <w:lang w:val="es-ES_tradnl"/>
        </w:rPr>
        <w:t>CONTENIDO DE LA PROPUESTA</w:t>
      </w:r>
    </w:p>
    <w:p w14:paraId="7B562741" w14:textId="77777777" w:rsidR="00BC6058" w:rsidRPr="009C4FCC" w:rsidRDefault="00BC6058" w:rsidP="00BC6058">
      <w:pPr>
        <w:spacing w:after="0" w:line="276" w:lineRule="auto"/>
        <w:contextualSpacing/>
        <w:jc w:val="both"/>
        <w:rPr>
          <w:rFonts w:ascii="Arial" w:eastAsia="Calibri" w:hAnsi="Arial" w:cs="Arial"/>
          <w:lang w:val="es-ES_tradnl"/>
        </w:rPr>
      </w:pPr>
    </w:p>
    <w:p w14:paraId="3E120993" w14:textId="332CF208" w:rsidR="009E0BB2" w:rsidRPr="009C4FCC" w:rsidRDefault="00BC6058" w:rsidP="00BC6058">
      <w:pPr>
        <w:spacing w:after="0" w:line="240" w:lineRule="auto"/>
        <w:contextualSpacing/>
        <w:jc w:val="both"/>
        <w:rPr>
          <w:rFonts w:ascii="Arial" w:eastAsia="Times New Roman" w:hAnsi="Arial" w:cs="Arial"/>
          <w:b/>
          <w:bCs/>
          <w:lang w:val="es-MX" w:eastAsia="es-CO"/>
        </w:rPr>
      </w:pPr>
      <w:r w:rsidRPr="009C4FCC">
        <w:rPr>
          <w:rFonts w:ascii="Arial" w:hAnsi="Arial" w:cs="Arial"/>
        </w:rPr>
        <w:t>En relación con su solicitud, conviene mencionar que, al tratarse de licitación de una obra pública, la Ley 1882 de 2018, en el artículo 1</w:t>
      </w:r>
      <w:r w:rsidRPr="009C4FCC">
        <w:rPr>
          <w:rStyle w:val="Refdenotaalpie"/>
          <w:rFonts w:ascii="Arial" w:hAnsi="Arial" w:cs="Arial"/>
        </w:rPr>
        <w:footnoteReference w:id="1"/>
      </w:r>
      <w:r w:rsidRPr="009C4FCC">
        <w:rPr>
          <w:rFonts w:ascii="Arial" w:hAnsi="Arial" w:cs="Arial"/>
        </w:rPr>
        <w:t>, señala que las ofertas deben estar conformadas por dos sobres: i) Sobre 1: requisitos habilitantes y requisitos puntuables, diferentes a la oferta económica y; ii) Sobre 2: oferta económica</w:t>
      </w:r>
    </w:p>
    <w:p w14:paraId="550616CE" w14:textId="77777777" w:rsidR="009E0BB2" w:rsidRPr="009C4FCC" w:rsidRDefault="009E0BB2" w:rsidP="009E0BB2">
      <w:pPr>
        <w:spacing w:after="0" w:line="240" w:lineRule="auto"/>
        <w:contextualSpacing/>
        <w:rPr>
          <w:rFonts w:ascii="Arial" w:eastAsia="Times New Roman" w:hAnsi="Arial" w:cs="Arial"/>
          <w:b/>
          <w:bCs/>
          <w:lang w:val="es-MX" w:eastAsia="es-CO"/>
        </w:rPr>
      </w:pPr>
    </w:p>
    <w:p w14:paraId="65A5C4D6" w14:textId="77777777" w:rsidR="009E0BB2" w:rsidRPr="009C4FCC" w:rsidRDefault="009E0BB2" w:rsidP="009E0BB2">
      <w:pPr>
        <w:spacing w:after="0" w:line="240" w:lineRule="auto"/>
        <w:contextualSpacing/>
        <w:rPr>
          <w:rFonts w:ascii="Arial" w:eastAsia="Times New Roman" w:hAnsi="Arial" w:cs="Arial"/>
          <w:b/>
          <w:bCs/>
          <w:lang w:val="es-MX" w:eastAsia="es-CO"/>
        </w:rPr>
      </w:pPr>
    </w:p>
    <w:p w14:paraId="237D2414" w14:textId="77777777" w:rsidR="009E0BB2" w:rsidRPr="009C4FCC" w:rsidRDefault="009E0BB2" w:rsidP="009E0BB2">
      <w:pPr>
        <w:spacing w:after="0" w:line="240" w:lineRule="auto"/>
        <w:contextualSpacing/>
        <w:rPr>
          <w:rFonts w:ascii="Arial" w:eastAsia="Times New Roman" w:hAnsi="Arial" w:cs="Arial"/>
          <w:b/>
          <w:bCs/>
          <w:lang w:val="es-MX" w:eastAsia="es-CO"/>
        </w:rPr>
      </w:pPr>
    </w:p>
    <w:p w14:paraId="0F092655"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240F70E7"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4BE41A87"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4504C04A"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700FDC3E"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156862FA"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6EB9684D"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7E8154C9"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5C3324A8"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1E9ACED1"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0706A9C2"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3106568C"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522785C6"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35E30F17"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7999C143"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579F8EEF"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3EE4AEAA"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2E8479DA"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564321BA"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03266FB9" w14:textId="77777777" w:rsidR="00BC6058" w:rsidRPr="009C4FCC" w:rsidRDefault="00BC6058" w:rsidP="009E0BB2">
      <w:pPr>
        <w:spacing w:after="0" w:line="240" w:lineRule="auto"/>
        <w:contextualSpacing/>
        <w:rPr>
          <w:rFonts w:ascii="Arial" w:eastAsia="Geomanist Light" w:hAnsi="Arial" w:cs="Arial"/>
          <w:color w:val="000000" w:themeColor="text1"/>
          <w:lang w:val="es-MX"/>
        </w:rPr>
      </w:pPr>
    </w:p>
    <w:p w14:paraId="12DDE10B" w14:textId="17BE85F9" w:rsidR="009E0BB2" w:rsidRPr="009C4FCC" w:rsidRDefault="009E0BB2" w:rsidP="009E0BB2">
      <w:pPr>
        <w:spacing w:after="0" w:line="240" w:lineRule="auto"/>
        <w:contextualSpacing/>
        <w:rPr>
          <w:rFonts w:ascii="Arial" w:eastAsia="Geomanist Light" w:hAnsi="Arial" w:cs="Arial"/>
          <w:color w:val="201F1E"/>
          <w:lang w:val="es-MX"/>
        </w:rPr>
      </w:pPr>
      <w:r w:rsidRPr="009C4FCC">
        <w:rPr>
          <w:rFonts w:ascii="Arial" w:eastAsia="Geomanist Light" w:hAnsi="Arial" w:cs="Arial"/>
          <w:color w:val="000000" w:themeColor="text1"/>
          <w:lang w:val="es-MX"/>
        </w:rPr>
        <w:t>Bogotá D.C., </w:t>
      </w:r>
      <w:r w:rsidR="00BC6058" w:rsidRPr="009C4FCC">
        <w:rPr>
          <w:rFonts w:ascii="Arial" w:eastAsia="Geomanist Light" w:hAnsi="Arial" w:cs="Arial"/>
          <w:color w:val="201F1E"/>
          <w:lang w:val="es-MX"/>
        </w:rPr>
        <w:t xml:space="preserve">5 de enero </w:t>
      </w:r>
      <w:r w:rsidRPr="009C4FCC">
        <w:rPr>
          <w:rFonts w:ascii="Arial" w:eastAsia="Geomanist Light" w:hAnsi="Arial" w:cs="Arial"/>
          <w:color w:val="201F1E"/>
          <w:lang w:val="es-MX"/>
        </w:rPr>
        <w:t>de 202</w:t>
      </w:r>
      <w:r w:rsidR="00BC6058" w:rsidRPr="009C4FCC">
        <w:rPr>
          <w:rFonts w:ascii="Arial" w:eastAsia="Geomanist Light" w:hAnsi="Arial" w:cs="Arial"/>
          <w:color w:val="201F1E"/>
          <w:lang w:val="es-MX"/>
        </w:rPr>
        <w:t>3</w:t>
      </w:r>
    </w:p>
    <w:p w14:paraId="11FD0DAE" w14:textId="28284F22" w:rsidR="009E0BB2" w:rsidRPr="009C4FCC" w:rsidRDefault="009E0BB2" w:rsidP="009E0BB2">
      <w:pPr>
        <w:tabs>
          <w:tab w:val="left" w:pos="3374"/>
        </w:tabs>
        <w:spacing w:after="0" w:line="240" w:lineRule="auto"/>
        <w:contextualSpacing/>
        <w:rPr>
          <w:rFonts w:ascii="Arial" w:eastAsia="Arial" w:hAnsi="Arial" w:cs="Arial"/>
        </w:rPr>
      </w:pPr>
    </w:p>
    <w:p w14:paraId="2D709874" w14:textId="53957075" w:rsidR="00BC6058" w:rsidRPr="009C4FCC" w:rsidRDefault="00BC6058" w:rsidP="009E0BB2">
      <w:pPr>
        <w:tabs>
          <w:tab w:val="left" w:pos="3374"/>
        </w:tabs>
        <w:spacing w:after="0" w:line="240" w:lineRule="auto"/>
        <w:contextualSpacing/>
        <w:rPr>
          <w:rFonts w:ascii="Arial" w:eastAsia="Arial" w:hAnsi="Arial" w:cs="Arial"/>
        </w:rPr>
      </w:pPr>
    </w:p>
    <w:p w14:paraId="27081BF0" w14:textId="346D46CC" w:rsidR="00BC6058" w:rsidRPr="009C4FCC" w:rsidRDefault="00BC6058" w:rsidP="00BC6058">
      <w:pPr>
        <w:tabs>
          <w:tab w:val="left" w:pos="3374"/>
        </w:tabs>
        <w:spacing w:after="0" w:line="240" w:lineRule="auto"/>
        <w:contextualSpacing/>
        <w:jc w:val="right"/>
        <w:rPr>
          <w:rFonts w:ascii="Arial" w:eastAsia="Arial" w:hAnsi="Arial" w:cs="Arial"/>
        </w:rPr>
      </w:pPr>
      <w:r w:rsidRPr="009C4FCC">
        <w:rPr>
          <w:rFonts w:ascii="Arial" w:eastAsia="Arial" w:hAnsi="Arial" w:cs="Arial"/>
          <w:noProof/>
        </w:rPr>
        <w:drawing>
          <wp:inline distT="0" distB="0" distL="0" distR="0" wp14:anchorId="44BB3FB8" wp14:editId="0182D65A">
            <wp:extent cx="2664158" cy="657825"/>
            <wp:effectExtent l="0" t="0" r="317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8018" cy="668655"/>
                    </a:xfrm>
                    <a:prstGeom prst="rect">
                      <a:avLst/>
                    </a:prstGeom>
                    <a:noFill/>
                    <a:ln>
                      <a:noFill/>
                    </a:ln>
                  </pic:spPr>
                </pic:pic>
              </a:graphicData>
            </a:graphic>
          </wp:inline>
        </w:drawing>
      </w:r>
    </w:p>
    <w:p w14:paraId="3402847C" w14:textId="77777777" w:rsidR="009E0BB2" w:rsidRPr="009C4FCC" w:rsidRDefault="009E0BB2" w:rsidP="009E0BB2">
      <w:pPr>
        <w:tabs>
          <w:tab w:val="left" w:pos="3374"/>
        </w:tabs>
        <w:spacing w:after="0" w:line="240" w:lineRule="auto"/>
        <w:contextualSpacing/>
        <w:rPr>
          <w:rFonts w:ascii="Arial" w:hAnsi="Arial" w:cs="Arial"/>
        </w:rPr>
      </w:pPr>
      <w:r w:rsidRPr="009C4FCC">
        <w:rPr>
          <w:rFonts w:ascii="Arial" w:eastAsia="Arial" w:hAnsi="Arial" w:cs="Arial"/>
        </w:rPr>
        <w:t xml:space="preserve">Señora </w:t>
      </w:r>
    </w:p>
    <w:p w14:paraId="5FA14C55" w14:textId="77777777" w:rsidR="009E0BB2" w:rsidRPr="009C4FCC" w:rsidRDefault="009E0BB2" w:rsidP="009E0BB2">
      <w:pPr>
        <w:spacing w:after="0" w:line="240" w:lineRule="auto"/>
        <w:contextualSpacing/>
        <w:rPr>
          <w:rFonts w:ascii="Arial" w:hAnsi="Arial" w:cs="Arial"/>
        </w:rPr>
      </w:pPr>
      <w:r w:rsidRPr="009C4FCC">
        <w:rPr>
          <w:rFonts w:ascii="Arial" w:eastAsia="Arial" w:hAnsi="Arial" w:cs="Arial"/>
          <w:b/>
        </w:rPr>
        <w:t xml:space="preserve">Soraida Pedraza </w:t>
      </w:r>
      <w:proofErr w:type="spellStart"/>
      <w:r w:rsidRPr="009C4FCC">
        <w:rPr>
          <w:rFonts w:ascii="Arial" w:eastAsia="Arial" w:hAnsi="Arial" w:cs="Arial"/>
          <w:b/>
        </w:rPr>
        <w:t>Tellez</w:t>
      </w:r>
      <w:proofErr w:type="spellEnd"/>
    </w:p>
    <w:p w14:paraId="49FA3710" w14:textId="77777777" w:rsidR="009E0BB2" w:rsidRPr="009C4FCC" w:rsidRDefault="009E0BB2" w:rsidP="009E0BB2">
      <w:pPr>
        <w:spacing w:after="0" w:line="240" w:lineRule="auto"/>
        <w:contextualSpacing/>
        <w:rPr>
          <w:rFonts w:ascii="Arial" w:hAnsi="Arial" w:cs="Arial"/>
        </w:rPr>
      </w:pPr>
      <w:r w:rsidRPr="009C4FCC">
        <w:rPr>
          <w:rFonts w:ascii="Arial" w:eastAsia="Arial" w:hAnsi="Arial" w:cs="Arial"/>
        </w:rPr>
        <w:t xml:space="preserve">Alcaldesa Encarga </w:t>
      </w:r>
    </w:p>
    <w:p w14:paraId="1F1F4704" w14:textId="77777777" w:rsidR="009E0BB2" w:rsidRPr="009C4FCC" w:rsidRDefault="009E0BB2" w:rsidP="009E0BB2">
      <w:pPr>
        <w:spacing w:after="0" w:line="240" w:lineRule="auto"/>
        <w:contextualSpacing/>
        <w:rPr>
          <w:rFonts w:ascii="Arial" w:hAnsi="Arial" w:cs="Arial"/>
        </w:rPr>
      </w:pPr>
      <w:r w:rsidRPr="009C4FCC">
        <w:rPr>
          <w:rFonts w:ascii="Arial" w:eastAsia="Arial" w:hAnsi="Arial" w:cs="Arial"/>
        </w:rPr>
        <w:t xml:space="preserve">Barichara </w:t>
      </w:r>
    </w:p>
    <w:p w14:paraId="0DF43501" w14:textId="77777777" w:rsidR="009E0BB2" w:rsidRPr="009C4FCC" w:rsidRDefault="00816C09" w:rsidP="009E0BB2">
      <w:pPr>
        <w:spacing w:after="0" w:line="240" w:lineRule="auto"/>
        <w:contextualSpacing/>
        <w:rPr>
          <w:rFonts w:ascii="Arial" w:hAnsi="Arial" w:cs="Arial"/>
        </w:rPr>
      </w:pPr>
      <w:hyperlink r:id="rId11">
        <w:r w:rsidR="009E0BB2" w:rsidRPr="009C4FCC">
          <w:rPr>
            <w:rStyle w:val="Hipervnculo"/>
            <w:rFonts w:ascii="Arial" w:eastAsia="Arial" w:hAnsi="Arial" w:cs="Arial"/>
          </w:rPr>
          <w:t>alcaldia@barichara-santander.gov.co</w:t>
        </w:r>
      </w:hyperlink>
    </w:p>
    <w:p w14:paraId="6CA224F4" w14:textId="77777777" w:rsidR="009E0BB2" w:rsidRPr="009C4FCC" w:rsidRDefault="009E0BB2" w:rsidP="009E0BB2">
      <w:pPr>
        <w:spacing w:after="0" w:line="240" w:lineRule="auto"/>
        <w:ind w:firstLine="708"/>
        <w:contextualSpacing/>
        <w:rPr>
          <w:rFonts w:ascii="Arial" w:eastAsia="Arial" w:hAnsi="Arial" w:cs="Arial"/>
          <w:b/>
          <w:bCs/>
        </w:rPr>
      </w:pPr>
    </w:p>
    <w:p w14:paraId="23708A52" w14:textId="77777777" w:rsidR="009E0BB2" w:rsidRPr="009C4FCC" w:rsidRDefault="009E0BB2" w:rsidP="009E0BB2">
      <w:pPr>
        <w:spacing w:after="0" w:line="240" w:lineRule="auto"/>
        <w:ind w:firstLine="708"/>
        <w:contextualSpacing/>
        <w:rPr>
          <w:rFonts w:ascii="Arial" w:hAnsi="Arial" w:cs="Arial"/>
        </w:rPr>
      </w:pPr>
      <w:r w:rsidRPr="009C4FCC">
        <w:rPr>
          <w:rFonts w:ascii="Arial" w:eastAsia="Arial" w:hAnsi="Arial" w:cs="Arial"/>
          <w:b/>
        </w:rPr>
        <w:t xml:space="preserve"> </w:t>
      </w:r>
    </w:p>
    <w:p w14:paraId="2F773200" w14:textId="77777777" w:rsidR="009E0BB2" w:rsidRPr="009C4FCC" w:rsidRDefault="009E0BB2" w:rsidP="009E0BB2">
      <w:pPr>
        <w:spacing w:line="257" w:lineRule="auto"/>
        <w:ind w:left="2110" w:firstLine="708"/>
        <w:rPr>
          <w:rFonts w:ascii="Arial" w:eastAsia="Arial" w:hAnsi="Arial" w:cs="Arial"/>
          <w:b/>
        </w:rPr>
      </w:pPr>
      <w:r w:rsidRPr="009C4FCC">
        <w:rPr>
          <w:rFonts w:ascii="Arial" w:eastAsia="Arial" w:hAnsi="Arial" w:cs="Arial"/>
          <w:b/>
        </w:rPr>
        <w:t>Concepto C – 907 de 2022</w:t>
      </w:r>
    </w:p>
    <w:p w14:paraId="0AC5E50C" w14:textId="77777777" w:rsidR="009E0BB2" w:rsidRPr="009C4FCC" w:rsidRDefault="009E0BB2" w:rsidP="009E0BB2">
      <w:pPr>
        <w:spacing w:after="0" w:line="240" w:lineRule="auto"/>
        <w:ind w:left="2110" w:firstLine="708"/>
        <w:contextualSpacing/>
        <w:rPr>
          <w:rFonts w:ascii="Arial" w:hAnsi="Arial" w:cs="Arial"/>
        </w:rPr>
      </w:pPr>
    </w:p>
    <w:p w14:paraId="64F0B5EE" w14:textId="77777777" w:rsidR="009E0BB2" w:rsidRPr="009C4FCC" w:rsidRDefault="009E0BB2" w:rsidP="009E0BB2">
      <w:pPr>
        <w:spacing w:after="0" w:line="240" w:lineRule="auto"/>
        <w:ind w:left="2818" w:hanging="2818"/>
        <w:contextualSpacing/>
        <w:jc w:val="both"/>
        <w:rPr>
          <w:rFonts w:ascii="Arial" w:eastAsia="Arial" w:hAnsi="Arial" w:cs="Arial"/>
          <w:color w:val="1A1A1A"/>
        </w:rPr>
      </w:pPr>
      <w:r w:rsidRPr="009C4FCC">
        <w:rPr>
          <w:rFonts w:ascii="Arial" w:eastAsia="Arial" w:hAnsi="Arial" w:cs="Arial"/>
          <w:b/>
          <w:color w:val="1A1A1A"/>
        </w:rPr>
        <w:t>Temas</w:t>
      </w:r>
      <w:r w:rsidRPr="009C4FCC">
        <w:rPr>
          <w:rFonts w:ascii="Arial" w:eastAsia="Arial" w:hAnsi="Arial" w:cs="Arial"/>
          <w:color w:val="1A1A1A"/>
        </w:rPr>
        <w:t xml:space="preserve">:                      </w:t>
      </w:r>
      <w:r w:rsidRPr="009C4FCC">
        <w:rPr>
          <w:rFonts w:ascii="Arial" w:eastAsia="Arial" w:hAnsi="Arial" w:cs="Arial"/>
          <w:color w:val="1A1A1A"/>
          <w:sz w:val="24"/>
          <w:szCs w:val="24"/>
        </w:rPr>
        <w:tab/>
      </w:r>
      <w:r w:rsidRPr="009C4FCC">
        <w:rPr>
          <w:rFonts w:ascii="Arial" w:eastAsia="Arial" w:hAnsi="Arial" w:cs="Arial"/>
          <w:color w:val="1A1A1A"/>
        </w:rPr>
        <w:t xml:space="preserve">REGISTRO ÚNICO DE PROPONENTES – Definición / DOCUMENTOS TIPO – Ámbito de aplicación / DOCUMENTOS TIPO – Contenido de la oferta DOCUMENTOS TIPO – </w:t>
      </w:r>
    </w:p>
    <w:p w14:paraId="01804AA0" w14:textId="77777777" w:rsidR="009E0BB2" w:rsidRPr="009C4FCC" w:rsidRDefault="009E0BB2" w:rsidP="009E0BB2">
      <w:pPr>
        <w:spacing w:after="0" w:line="240" w:lineRule="auto"/>
        <w:ind w:left="2818" w:hanging="2818"/>
        <w:contextualSpacing/>
        <w:jc w:val="both"/>
        <w:rPr>
          <w:rFonts w:ascii="Arial" w:hAnsi="Arial" w:cs="Arial"/>
        </w:rPr>
      </w:pPr>
    </w:p>
    <w:p w14:paraId="31BB8377" w14:textId="77777777" w:rsidR="009E0BB2" w:rsidRPr="009C4FCC" w:rsidRDefault="009E0BB2" w:rsidP="009E0BB2">
      <w:pPr>
        <w:spacing w:after="0" w:line="240" w:lineRule="auto"/>
        <w:ind w:left="2818" w:hanging="2818"/>
        <w:contextualSpacing/>
        <w:jc w:val="both"/>
        <w:rPr>
          <w:rFonts w:ascii="Arial" w:eastAsia="Arial" w:hAnsi="Arial" w:cs="Arial"/>
          <w:color w:val="1A1A1A"/>
        </w:rPr>
      </w:pPr>
      <w:r w:rsidRPr="009C4FCC">
        <w:rPr>
          <w:rFonts w:ascii="Arial" w:eastAsia="Arial" w:hAnsi="Arial" w:cs="Arial"/>
          <w:b/>
          <w:color w:val="1A1A1A"/>
        </w:rPr>
        <w:t>Radicación</w:t>
      </w:r>
      <w:r w:rsidRPr="009C4FCC">
        <w:rPr>
          <w:rFonts w:ascii="Arial" w:eastAsia="Arial" w:hAnsi="Arial" w:cs="Arial"/>
          <w:color w:val="1A1A1A"/>
        </w:rPr>
        <w:t xml:space="preserve">:                     </w:t>
      </w:r>
      <w:r w:rsidRPr="009C4FCC">
        <w:rPr>
          <w:rFonts w:ascii="Arial" w:eastAsia="Arial" w:hAnsi="Arial" w:cs="Arial"/>
          <w:color w:val="1A1A1A"/>
        </w:rPr>
        <w:tab/>
        <w:t>Respuesta a las consultas acumuladas No. P20221123011650 y P20221124011681</w:t>
      </w:r>
    </w:p>
    <w:p w14:paraId="01AF2D93" w14:textId="77777777" w:rsidR="009E0BB2" w:rsidRPr="009C4FCC" w:rsidRDefault="009E0BB2" w:rsidP="009E0BB2">
      <w:pPr>
        <w:tabs>
          <w:tab w:val="left" w:pos="3374"/>
        </w:tabs>
        <w:spacing w:after="0" w:line="276" w:lineRule="auto"/>
        <w:contextualSpacing/>
        <w:rPr>
          <w:rFonts w:ascii="Arial" w:eastAsia="Arial" w:hAnsi="Arial" w:cs="Arial"/>
        </w:rPr>
      </w:pPr>
    </w:p>
    <w:p w14:paraId="38740801" w14:textId="77777777" w:rsidR="009E0BB2" w:rsidRPr="009C4FCC" w:rsidRDefault="009E0BB2" w:rsidP="009E0BB2">
      <w:pPr>
        <w:tabs>
          <w:tab w:val="left" w:pos="3374"/>
        </w:tabs>
        <w:spacing w:after="0" w:line="276" w:lineRule="auto"/>
        <w:contextualSpacing/>
        <w:rPr>
          <w:rFonts w:ascii="Arial" w:hAnsi="Arial" w:cs="Arial"/>
        </w:rPr>
      </w:pPr>
    </w:p>
    <w:p w14:paraId="5663D4E9" w14:textId="77777777" w:rsidR="009E0BB2" w:rsidRPr="009C4FCC" w:rsidRDefault="009E0BB2" w:rsidP="009E0BB2">
      <w:pPr>
        <w:tabs>
          <w:tab w:val="left" w:pos="3374"/>
        </w:tabs>
        <w:spacing w:after="0" w:line="276" w:lineRule="auto"/>
        <w:contextualSpacing/>
        <w:rPr>
          <w:rFonts w:ascii="Arial" w:hAnsi="Arial" w:cs="Arial"/>
        </w:rPr>
      </w:pPr>
      <w:r w:rsidRPr="009C4FCC">
        <w:rPr>
          <w:rFonts w:ascii="Arial" w:eastAsia="Arial" w:hAnsi="Arial" w:cs="Arial"/>
        </w:rPr>
        <w:t>Estimada señora</w:t>
      </w:r>
      <w:r w:rsidRPr="009C4FCC">
        <w:rPr>
          <w:rFonts w:ascii="Arial" w:eastAsia="Arial" w:hAnsi="Arial" w:cs="Arial"/>
          <w:b/>
        </w:rPr>
        <w:t xml:space="preserve"> </w:t>
      </w:r>
      <w:r w:rsidRPr="009C4FCC">
        <w:rPr>
          <w:rFonts w:ascii="Arial" w:eastAsia="Arial" w:hAnsi="Arial" w:cs="Arial"/>
        </w:rPr>
        <w:t>Pedraza,</w:t>
      </w:r>
    </w:p>
    <w:p w14:paraId="4EEBCCD4" w14:textId="77777777" w:rsidR="009E0BB2" w:rsidRPr="009C4FCC" w:rsidRDefault="009E0BB2" w:rsidP="009E0BB2">
      <w:pPr>
        <w:spacing w:after="0" w:line="276" w:lineRule="auto"/>
        <w:contextualSpacing/>
        <w:jc w:val="both"/>
        <w:rPr>
          <w:rFonts w:ascii="Arial" w:hAnsi="Arial" w:cs="Arial"/>
        </w:rPr>
      </w:pPr>
    </w:p>
    <w:p w14:paraId="471DC738" w14:textId="77777777" w:rsidR="009E0BB2" w:rsidRPr="009C4FCC" w:rsidRDefault="009E0BB2" w:rsidP="009E0BB2">
      <w:pPr>
        <w:spacing w:after="0" w:line="276" w:lineRule="auto"/>
        <w:contextualSpacing/>
        <w:jc w:val="both"/>
        <w:rPr>
          <w:rFonts w:ascii="Arial" w:hAnsi="Arial" w:cs="Arial"/>
        </w:rPr>
      </w:pPr>
      <w:r w:rsidRPr="009C4FCC">
        <w:rPr>
          <w:rFonts w:ascii="Arial" w:eastAsia="Arial" w:hAnsi="Arial" w:cs="Arial"/>
        </w:rPr>
        <w:t xml:space="preserve">La Agencia Nacional de Contratación Pública – Colombia Compra Eficiente responde su consulta del 23 y 25 de noviembre de 2022, en ejercicio de la competencia otorgada por el numeral 8 del artículo 11 y el numeral 5 del artículo 3 del Decreto Ley 4170 de 2011. </w:t>
      </w:r>
    </w:p>
    <w:p w14:paraId="5C707FE4" w14:textId="77777777" w:rsidR="009E0BB2" w:rsidRPr="009C4FCC" w:rsidRDefault="009E0BB2" w:rsidP="009E0BB2">
      <w:pPr>
        <w:spacing w:after="0" w:line="276" w:lineRule="auto"/>
        <w:contextualSpacing/>
        <w:jc w:val="both"/>
        <w:rPr>
          <w:rFonts w:ascii="Arial" w:hAnsi="Arial" w:cs="Arial"/>
        </w:rPr>
      </w:pPr>
      <w:r w:rsidRPr="009C4FCC">
        <w:rPr>
          <w:rFonts w:ascii="Arial" w:eastAsia="Arial" w:hAnsi="Arial" w:cs="Arial"/>
        </w:rPr>
        <w:t xml:space="preserve"> </w:t>
      </w:r>
    </w:p>
    <w:p w14:paraId="62E731C8" w14:textId="77777777" w:rsidR="009E0BB2" w:rsidRPr="009C4FCC" w:rsidRDefault="009E0BB2" w:rsidP="009E0BB2">
      <w:pPr>
        <w:tabs>
          <w:tab w:val="left" w:pos="284"/>
        </w:tabs>
        <w:spacing w:after="0" w:line="276" w:lineRule="auto"/>
        <w:contextualSpacing/>
        <w:jc w:val="both"/>
        <w:rPr>
          <w:rFonts w:ascii="Arial" w:hAnsi="Arial" w:cs="Arial"/>
        </w:rPr>
      </w:pPr>
      <w:r w:rsidRPr="009C4FCC">
        <w:rPr>
          <w:rFonts w:ascii="Arial" w:eastAsia="Arial" w:hAnsi="Arial" w:cs="Arial"/>
          <w:b/>
        </w:rPr>
        <w:t xml:space="preserve">1. Problema planteado </w:t>
      </w:r>
    </w:p>
    <w:p w14:paraId="5A6DAB55" w14:textId="77777777" w:rsidR="009E0BB2" w:rsidRPr="009C4FCC" w:rsidRDefault="009E0BB2" w:rsidP="009E0BB2">
      <w:pPr>
        <w:tabs>
          <w:tab w:val="left" w:pos="426"/>
        </w:tabs>
        <w:spacing w:after="0" w:line="276" w:lineRule="auto"/>
        <w:contextualSpacing/>
        <w:jc w:val="both"/>
        <w:rPr>
          <w:rFonts w:ascii="Arial" w:hAnsi="Arial" w:cs="Arial"/>
        </w:rPr>
      </w:pPr>
      <w:r w:rsidRPr="009C4FCC">
        <w:rPr>
          <w:rFonts w:ascii="Arial" w:eastAsia="Arial" w:hAnsi="Arial" w:cs="Arial"/>
        </w:rPr>
        <w:t xml:space="preserve"> </w:t>
      </w:r>
    </w:p>
    <w:p w14:paraId="3C52C860" w14:textId="77777777" w:rsidR="009E0BB2" w:rsidRPr="009C4FCC" w:rsidRDefault="009E0BB2" w:rsidP="009E0BB2">
      <w:pPr>
        <w:spacing w:after="0" w:line="276" w:lineRule="auto"/>
        <w:contextualSpacing/>
        <w:jc w:val="both"/>
        <w:rPr>
          <w:rFonts w:ascii="Arial" w:hAnsi="Arial" w:cs="Arial"/>
        </w:rPr>
      </w:pPr>
      <w:r w:rsidRPr="009C4FCC">
        <w:rPr>
          <w:rFonts w:ascii="Arial" w:eastAsia="Arial" w:hAnsi="Arial" w:cs="Arial"/>
          <w:color w:val="1A1A1A"/>
        </w:rPr>
        <w:t xml:space="preserve">Usted formula la siguiente consulta: </w:t>
      </w:r>
    </w:p>
    <w:p w14:paraId="4EDDE550" w14:textId="77777777" w:rsidR="009E0BB2" w:rsidRPr="009C4FCC" w:rsidRDefault="009E0BB2" w:rsidP="009E0BB2">
      <w:pPr>
        <w:spacing w:after="0" w:line="276" w:lineRule="auto"/>
        <w:contextualSpacing/>
        <w:jc w:val="both"/>
        <w:rPr>
          <w:rFonts w:ascii="Arial" w:hAnsi="Arial" w:cs="Arial"/>
        </w:rPr>
      </w:pPr>
      <w:r w:rsidRPr="009C4FCC">
        <w:rPr>
          <w:rFonts w:ascii="Arial" w:eastAsia="Arial" w:hAnsi="Arial" w:cs="Arial"/>
          <w:color w:val="1A1A1A"/>
        </w:rPr>
        <w:t xml:space="preserve"> </w:t>
      </w:r>
    </w:p>
    <w:p w14:paraId="31B3111E" w14:textId="77777777" w:rsidR="009E0BB2" w:rsidRPr="009C4FCC" w:rsidRDefault="009E0BB2" w:rsidP="009E0BB2">
      <w:pPr>
        <w:pStyle w:val="Prrafodelista"/>
        <w:spacing w:after="0"/>
        <w:ind w:left="709" w:right="709"/>
        <w:jc w:val="both"/>
        <w:rPr>
          <w:rFonts w:ascii="Arial" w:eastAsia="Arial" w:hAnsi="Arial" w:cs="Arial"/>
          <w:sz w:val="21"/>
          <w:szCs w:val="21"/>
          <w:lang w:val="es"/>
        </w:rPr>
      </w:pPr>
      <w:r w:rsidRPr="009C4FCC">
        <w:rPr>
          <w:rFonts w:ascii="Arial" w:hAnsi="Arial" w:cs="Arial"/>
          <w:sz w:val="21"/>
          <w:szCs w:val="21"/>
        </w:rPr>
        <w:t>«</w:t>
      </w:r>
      <w:r w:rsidRPr="009C4FCC">
        <w:rPr>
          <w:rFonts w:ascii="Arial" w:eastAsia="Arial" w:hAnsi="Arial" w:cs="Arial"/>
          <w:sz w:val="21"/>
          <w:szCs w:val="21"/>
          <w:lang w:val="es"/>
        </w:rPr>
        <w:t>1. ¿Es válido que un proponente en la propuesta solo aporte un registro único de proponentes que cumpla corno criterio habilitante para verificar la experiencia y la información financiera y que a la vez el comité evaluador deba tenerlo en cuenta como documento válido para la asignación del puntaje como acreditación de calidad de MYPIME, acredita en Colombia de acuerdo al numeral 4.6 de los pliegos tipo de condiciones que son vinculantes en los proyectos de transporte?</w:t>
      </w:r>
    </w:p>
    <w:p w14:paraId="3DA48AAF" w14:textId="77777777" w:rsidR="009E0BB2" w:rsidRPr="009C4FCC" w:rsidRDefault="009E0BB2" w:rsidP="009E0BB2">
      <w:pPr>
        <w:spacing w:after="0" w:line="240" w:lineRule="auto"/>
        <w:ind w:left="709" w:right="709"/>
        <w:contextualSpacing/>
        <w:jc w:val="both"/>
        <w:rPr>
          <w:rFonts w:ascii="Arial" w:hAnsi="Arial" w:cs="Arial"/>
          <w:sz w:val="21"/>
          <w:szCs w:val="21"/>
        </w:rPr>
      </w:pPr>
      <w:r w:rsidRPr="009C4FCC">
        <w:rPr>
          <w:rFonts w:ascii="Arial" w:eastAsia="Arial" w:hAnsi="Arial" w:cs="Arial"/>
          <w:sz w:val="21"/>
          <w:szCs w:val="21"/>
          <w:lang w:val="es"/>
        </w:rPr>
        <w:t xml:space="preserve"> </w:t>
      </w:r>
    </w:p>
    <w:p w14:paraId="6C692CCB" w14:textId="77777777" w:rsidR="009E0BB2" w:rsidRPr="009C4FCC" w:rsidRDefault="009E0BB2" w:rsidP="009E0BB2">
      <w:pPr>
        <w:pStyle w:val="Prrafodelista"/>
        <w:spacing w:after="0"/>
        <w:ind w:left="709" w:right="709"/>
        <w:jc w:val="both"/>
        <w:rPr>
          <w:rFonts w:ascii="Arial" w:eastAsia="Arial" w:hAnsi="Arial" w:cs="Arial"/>
          <w:sz w:val="21"/>
          <w:szCs w:val="21"/>
          <w:lang w:val="es"/>
        </w:rPr>
      </w:pPr>
      <w:r w:rsidRPr="009C4FCC">
        <w:rPr>
          <w:rFonts w:ascii="Arial" w:eastAsia="Arial" w:hAnsi="Arial" w:cs="Arial"/>
          <w:sz w:val="21"/>
          <w:szCs w:val="21"/>
          <w:lang w:val="es"/>
        </w:rPr>
        <w:lastRenderedPageBreak/>
        <w:t xml:space="preserve">2. </w:t>
      </w:r>
      <w:proofErr w:type="gramStart"/>
      <w:r w:rsidRPr="009C4FCC">
        <w:rPr>
          <w:rFonts w:ascii="Arial" w:eastAsia="Arial" w:hAnsi="Arial" w:cs="Arial"/>
          <w:sz w:val="21"/>
          <w:szCs w:val="21"/>
          <w:lang w:val="es"/>
        </w:rPr>
        <w:t>¿Es necesario que los proponentes aporten el registro único de proponentes en el acápite de los habilitantes para verificar experiencia y capacidad financiera y organizacional y a la vez aporte copia para la ponderación determinada en el numeral 4.</w:t>
      </w:r>
      <w:proofErr w:type="gramEnd"/>
      <w:r w:rsidRPr="009C4FCC">
        <w:rPr>
          <w:rFonts w:ascii="Arial" w:eastAsia="Arial" w:hAnsi="Arial" w:cs="Arial"/>
          <w:sz w:val="21"/>
          <w:szCs w:val="21"/>
          <w:lang w:val="es"/>
        </w:rPr>
        <w:t>6 acreditación en calidad de MYPIMES domiciliadas en Colombia?</w:t>
      </w:r>
      <w:r w:rsidRPr="009C4FCC">
        <w:rPr>
          <w:rFonts w:ascii="Arial" w:hAnsi="Arial" w:cs="Arial"/>
          <w:sz w:val="21"/>
          <w:szCs w:val="21"/>
        </w:rPr>
        <w:t>»</w:t>
      </w:r>
    </w:p>
    <w:p w14:paraId="19E8640E" w14:textId="77777777" w:rsidR="009E0BB2" w:rsidRPr="009C4FCC" w:rsidRDefault="009E0BB2" w:rsidP="009E0BB2">
      <w:pPr>
        <w:spacing w:after="0" w:line="276" w:lineRule="auto"/>
        <w:contextualSpacing/>
        <w:jc w:val="both"/>
        <w:rPr>
          <w:rFonts w:ascii="Arial" w:eastAsia="Arial" w:hAnsi="Arial" w:cs="Arial"/>
          <w:lang w:val="es"/>
        </w:rPr>
      </w:pPr>
      <w:r w:rsidRPr="009C4FCC">
        <w:rPr>
          <w:rFonts w:ascii="Arial" w:eastAsia="Arial" w:hAnsi="Arial" w:cs="Arial"/>
          <w:lang w:val="es"/>
        </w:rPr>
        <w:t xml:space="preserve"> </w:t>
      </w:r>
    </w:p>
    <w:p w14:paraId="03532DC1" w14:textId="77777777" w:rsidR="009E0BB2" w:rsidRPr="009C4FCC" w:rsidRDefault="009E0BB2" w:rsidP="009E0BB2">
      <w:pPr>
        <w:tabs>
          <w:tab w:val="left" w:pos="426"/>
        </w:tabs>
        <w:spacing w:after="0" w:line="276" w:lineRule="auto"/>
        <w:contextualSpacing/>
        <w:jc w:val="both"/>
        <w:rPr>
          <w:rFonts w:ascii="Arial" w:eastAsia="Arial" w:hAnsi="Arial" w:cs="Arial"/>
          <w:b/>
        </w:rPr>
      </w:pPr>
      <w:r w:rsidRPr="009C4FCC">
        <w:rPr>
          <w:rFonts w:ascii="Arial" w:eastAsia="Arial" w:hAnsi="Arial" w:cs="Arial"/>
          <w:b/>
        </w:rPr>
        <w:t>2. Consideraciones</w:t>
      </w:r>
    </w:p>
    <w:p w14:paraId="290EEF3A" w14:textId="77777777" w:rsidR="009E0BB2" w:rsidRPr="009C4FCC" w:rsidRDefault="009E0BB2" w:rsidP="009E0BB2">
      <w:pPr>
        <w:tabs>
          <w:tab w:val="left" w:pos="426"/>
        </w:tabs>
        <w:spacing w:after="0" w:line="276" w:lineRule="auto"/>
        <w:contextualSpacing/>
        <w:jc w:val="both"/>
        <w:rPr>
          <w:rFonts w:ascii="Arial" w:hAnsi="Arial" w:cs="Arial"/>
        </w:rPr>
      </w:pPr>
    </w:p>
    <w:p w14:paraId="3CFC3AB2" w14:textId="77777777" w:rsidR="009E0BB2" w:rsidRPr="009C4FCC" w:rsidRDefault="009E0BB2" w:rsidP="009E0BB2">
      <w:pPr>
        <w:spacing w:after="120" w:line="276" w:lineRule="auto"/>
        <w:jc w:val="both"/>
        <w:rPr>
          <w:rFonts w:ascii="Arial" w:hAnsi="Arial" w:cs="Arial"/>
        </w:rPr>
      </w:pPr>
      <w:r w:rsidRPr="009C4FCC">
        <w:rPr>
          <w:rFonts w:ascii="Arial" w:eastAsia="Arial" w:hAnsi="Arial" w:cs="Arial"/>
        </w:rPr>
        <w:t>En ejercicio de las competencias establecidas en el numeral 5 del artículo 3 y el numeral 8 del artículo 11 del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364991B" w14:textId="77777777" w:rsidR="009E0BB2" w:rsidRPr="009C4FCC" w:rsidRDefault="009E0BB2" w:rsidP="009E0BB2">
      <w:pPr>
        <w:tabs>
          <w:tab w:val="left" w:pos="426"/>
        </w:tabs>
        <w:spacing w:after="120" w:line="276" w:lineRule="auto"/>
        <w:jc w:val="both"/>
        <w:rPr>
          <w:rFonts w:ascii="Arial" w:eastAsia="Arial" w:hAnsi="Arial" w:cs="Arial"/>
        </w:rPr>
      </w:pPr>
      <w:r w:rsidRPr="009C4FCC">
        <w:rPr>
          <w:rFonts w:ascii="Arial" w:eastAsia="Arial" w:hAnsi="Arial" w:cs="Arial"/>
        </w:rPr>
        <w:tab/>
      </w:r>
      <w:r w:rsidRPr="009C4FCC">
        <w:rPr>
          <w:rFonts w:ascii="Arial" w:eastAsia="Arial" w:hAnsi="Arial" w:cs="Arial"/>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5525D80" w14:textId="77777777" w:rsidR="009E0BB2" w:rsidRPr="009C4FCC" w:rsidRDefault="009E0BB2" w:rsidP="009E0BB2">
      <w:pPr>
        <w:tabs>
          <w:tab w:val="left" w:pos="426"/>
        </w:tabs>
        <w:spacing w:after="120" w:line="276" w:lineRule="auto"/>
        <w:jc w:val="both"/>
        <w:rPr>
          <w:rFonts w:ascii="Arial" w:hAnsi="Arial" w:cs="Arial"/>
        </w:rPr>
      </w:pPr>
      <w:r w:rsidRPr="009C4FCC">
        <w:rPr>
          <w:rFonts w:ascii="Arial" w:eastAsia="Arial" w:hAnsi="Arial" w:cs="Arial"/>
        </w:rPr>
        <w:tab/>
      </w:r>
      <w:r w:rsidRPr="009C4FCC">
        <w:rPr>
          <w:rFonts w:ascii="Arial" w:eastAsia="Arial" w:hAnsi="Arial" w:cs="Arial"/>
        </w:rPr>
        <w:tab/>
        <w:t>Conforme lo anterior, la Subdirección –dentro de los límites de sus atribuciones, esto es, haciendo abstracción del caso particular expuesto por el peticionario– resolverá la consulta conforme a las normas generales en materia de contratación estatal, para lo cual analizará los siguientes temas: i) Obligatoriedad del Registro Único de Proponentes – RUP– para las personas naturales o jurídicas que aspiren a celebrar contratos con las entidades estatales y su contenido; ii)</w:t>
      </w:r>
      <w:r w:rsidRPr="009C4FCC">
        <w:rPr>
          <w:rFonts w:ascii="Arial" w:eastAsia="Times New Roman" w:hAnsi="Arial" w:cs="Arial"/>
          <w:b/>
          <w:bCs/>
          <w:lang w:eastAsia="es-ES_tradnl"/>
        </w:rPr>
        <w:t xml:space="preserve"> </w:t>
      </w:r>
      <w:r w:rsidRPr="009C4FCC">
        <w:rPr>
          <w:rFonts w:ascii="Arial" w:eastAsia="Times New Roman" w:hAnsi="Arial" w:cs="Arial"/>
          <w:lang w:eastAsia="es-ES_tradnl"/>
        </w:rPr>
        <w:t xml:space="preserve">antecedentes y fundamentos de los documentos tipo aplicables a la contratación estatal; </w:t>
      </w:r>
      <w:proofErr w:type="spellStart"/>
      <w:r w:rsidRPr="009C4FCC">
        <w:rPr>
          <w:rFonts w:ascii="Arial" w:eastAsia="Times New Roman" w:hAnsi="Arial" w:cs="Arial"/>
          <w:lang w:eastAsia="es-ES_tradnl"/>
        </w:rPr>
        <w:t>iii</w:t>
      </w:r>
      <w:proofErr w:type="spellEnd"/>
      <w:r w:rsidRPr="009C4FCC">
        <w:rPr>
          <w:rFonts w:ascii="Arial" w:eastAsia="Times New Roman" w:hAnsi="Arial" w:cs="Arial"/>
          <w:lang w:eastAsia="es-ES_tradnl"/>
        </w:rPr>
        <w:t xml:space="preserve">) </w:t>
      </w:r>
      <w:r w:rsidRPr="009C4FCC">
        <w:rPr>
          <w:rFonts w:ascii="Arial" w:eastAsia="Calibri" w:hAnsi="Arial" w:cs="Arial"/>
          <w:lang w:val="es-ES_tradnl"/>
        </w:rPr>
        <w:t xml:space="preserve">Contenido de la propuesta: Acreditación de los requisitos habilitantes y los factores de asignación de puntaje. </w:t>
      </w:r>
    </w:p>
    <w:p w14:paraId="33D9D649" w14:textId="77777777" w:rsidR="009E0BB2" w:rsidRPr="009C4FCC" w:rsidRDefault="009E0BB2" w:rsidP="009E0BB2">
      <w:pPr>
        <w:widowControl w:val="0"/>
        <w:autoSpaceDE w:val="0"/>
        <w:autoSpaceDN w:val="0"/>
        <w:spacing w:after="0" w:line="276" w:lineRule="auto"/>
        <w:ind w:firstLine="709"/>
        <w:jc w:val="both"/>
        <w:rPr>
          <w:rFonts w:ascii="Arial" w:eastAsia="Calibri" w:hAnsi="Arial" w:cs="Arial"/>
          <w:color w:val="000000" w:themeColor="text1"/>
          <w:lang w:val="es-ES"/>
        </w:rPr>
      </w:pPr>
      <w:r w:rsidRPr="009C4FCC">
        <w:rPr>
          <w:rFonts w:ascii="Arial" w:eastAsia="Arial" w:hAnsi="Arial" w:cs="Arial"/>
        </w:rPr>
        <w:t xml:space="preserve">La Agencia Nacional de Contratación Pública – Colombia Compra Eficiente </w:t>
      </w:r>
      <w:r w:rsidRPr="009C4FCC">
        <w:rPr>
          <w:rFonts w:ascii="Arial" w:hAnsi="Arial" w:cs="Arial"/>
          <w:color w:val="000000" w:themeColor="text1"/>
          <w:lang w:val="es-ES_tradnl"/>
        </w:rPr>
        <w:t xml:space="preserve">se ha pronunciado sobre </w:t>
      </w:r>
      <w:r w:rsidRPr="009C4FCC">
        <w:rPr>
          <w:rFonts w:ascii="Arial" w:eastAsia="Calibri" w:hAnsi="Arial" w:cs="Arial"/>
        </w:rPr>
        <w:t xml:space="preserve"> el RUP en los siguientes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C-329 de 8 de julio de 2021 y </w:t>
      </w:r>
      <w:r w:rsidRPr="009C4FCC">
        <w:rPr>
          <w:rFonts w:ascii="Arial" w:eastAsia="Calibri" w:hAnsi="Arial" w:cs="Arial"/>
          <w:lang w:val="es-ES_tradnl"/>
        </w:rPr>
        <w:t>C-142 de 2022</w:t>
      </w:r>
      <w:r w:rsidRPr="009C4FCC">
        <w:rPr>
          <w:rFonts w:ascii="Arial" w:eastAsia="Times New Roman" w:hAnsi="Arial" w:cs="Arial"/>
          <w:color w:val="000000" w:themeColor="text1"/>
          <w:lang w:val="es-ES_tradnl"/>
        </w:rPr>
        <w:t xml:space="preserve">. </w:t>
      </w:r>
      <w:r w:rsidRPr="009C4FCC">
        <w:rPr>
          <w:rFonts w:ascii="Arial" w:eastAsia="Calibri" w:hAnsi="Arial" w:cs="Arial"/>
          <w:color w:val="000000" w:themeColor="text1"/>
          <w:lang w:val="es-ES"/>
        </w:rPr>
        <w:t xml:space="preserve">Asimismo, analizó el fundamento normativo de los pliegos de condiciones tipo en la contratación estatal, entre otros, en los siguientes conceptos: C-144 del 2 de marzo de 2020, C-174 del 16 de marzo de 2020,  C-129 del 24 de marzo de 2020, </w:t>
      </w:r>
      <w:r w:rsidRPr="009C4FCC">
        <w:rPr>
          <w:rFonts w:ascii="Arial" w:eastAsia="Calibri" w:hAnsi="Arial" w:cs="Arial"/>
          <w:color w:val="000000" w:themeColor="text1"/>
          <w:lang w:val="es-ES"/>
        </w:rPr>
        <w:lastRenderedPageBreak/>
        <w:t xml:space="preserve">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w:t>
      </w:r>
      <w:bookmarkStart w:id="0" w:name="_Hlk115856579"/>
      <w:r w:rsidRPr="009C4FCC">
        <w:rPr>
          <w:rFonts w:ascii="Arial" w:eastAsia="Calibri" w:hAnsi="Arial" w:cs="Arial"/>
          <w:color w:val="000000" w:themeColor="text1"/>
          <w:lang w:val="es-ES"/>
        </w:rPr>
        <w:t>C-356 del 6 de julio de 2022</w:t>
      </w:r>
      <w:bookmarkEnd w:id="0"/>
      <w:r w:rsidRPr="009C4FCC">
        <w:rPr>
          <w:rFonts w:ascii="Arial" w:eastAsia="Calibri" w:hAnsi="Arial" w:cs="Arial"/>
          <w:color w:val="000000" w:themeColor="text1"/>
          <w:lang w:val="es-ES"/>
        </w:rPr>
        <w:t>, C-654 del 7 de octubre de 2022 y C-827 de 30 de noviembre de 2022</w:t>
      </w:r>
      <w:r w:rsidRPr="009C4FCC">
        <w:rPr>
          <w:rFonts w:ascii="Arial" w:eastAsia="Calibri" w:hAnsi="Arial" w:cs="Arial"/>
          <w:color w:val="000000" w:themeColor="text1"/>
          <w:vertAlign w:val="superscript"/>
          <w:lang w:val="es-ES_tradnl" w:eastAsia="es-ES_tradnl"/>
        </w:rPr>
        <w:footnoteReference w:id="2"/>
      </w:r>
      <w:r w:rsidRPr="009C4FCC">
        <w:rPr>
          <w:rFonts w:ascii="Arial" w:eastAsia="Calibri" w:hAnsi="Arial" w:cs="Arial"/>
          <w:lang w:val="es-ES_tradnl" w:eastAsia="es-ES_tradnl"/>
        </w:rPr>
        <w:t>.</w:t>
      </w:r>
    </w:p>
    <w:p w14:paraId="46FE7FBE" w14:textId="77777777" w:rsidR="009E0BB2" w:rsidRPr="009C4FCC" w:rsidRDefault="009E0BB2" w:rsidP="009E0BB2">
      <w:pPr>
        <w:tabs>
          <w:tab w:val="left" w:pos="426"/>
        </w:tabs>
        <w:spacing w:after="0" w:line="276" w:lineRule="auto"/>
        <w:contextualSpacing/>
        <w:jc w:val="both"/>
        <w:rPr>
          <w:rFonts w:ascii="Arial" w:hAnsi="Arial" w:cs="Arial"/>
          <w:u w:val="single"/>
        </w:rPr>
      </w:pPr>
      <w:r w:rsidRPr="009C4FCC">
        <w:rPr>
          <w:rFonts w:ascii="Arial" w:eastAsia="Arial" w:hAnsi="Arial" w:cs="Arial"/>
          <w:u w:val="single"/>
        </w:rPr>
        <w:t xml:space="preserve"> </w:t>
      </w:r>
    </w:p>
    <w:p w14:paraId="2C7771F8" w14:textId="77777777" w:rsidR="009E0BB2" w:rsidRPr="009C4FCC" w:rsidRDefault="009E0BB2" w:rsidP="009E0BB2">
      <w:pPr>
        <w:spacing w:after="0" w:line="276" w:lineRule="auto"/>
        <w:contextualSpacing/>
        <w:jc w:val="both"/>
        <w:rPr>
          <w:rFonts w:ascii="Arial" w:eastAsia="Arial" w:hAnsi="Arial" w:cs="Arial"/>
          <w:b/>
          <w:bCs/>
        </w:rPr>
      </w:pPr>
      <w:r w:rsidRPr="009C4FCC">
        <w:rPr>
          <w:rFonts w:ascii="Arial" w:eastAsia="Arial" w:hAnsi="Arial" w:cs="Arial"/>
          <w:b/>
        </w:rPr>
        <w:t xml:space="preserve">2.1. </w:t>
      </w:r>
      <w:r w:rsidRPr="009C4FCC">
        <w:rPr>
          <w:rFonts w:ascii="Arial" w:eastAsia="Arial" w:hAnsi="Arial" w:cs="Arial"/>
          <w:b/>
          <w:bCs/>
        </w:rPr>
        <w:t>Obligatoriedad del Registro Único de Proponentes – RUP– para las personas naturales o jurídicas que aspiren a celebrar contratos con las entidades estatales y su contenido</w:t>
      </w:r>
    </w:p>
    <w:p w14:paraId="7D5BF7AE" w14:textId="77777777" w:rsidR="009E0BB2" w:rsidRPr="009C4FCC" w:rsidRDefault="009E0BB2" w:rsidP="009E0BB2">
      <w:pPr>
        <w:spacing w:after="0" w:line="276" w:lineRule="auto"/>
        <w:contextualSpacing/>
        <w:jc w:val="both"/>
        <w:rPr>
          <w:rFonts w:ascii="Arial" w:hAnsi="Arial" w:cs="Arial"/>
        </w:rPr>
      </w:pPr>
    </w:p>
    <w:p w14:paraId="4C39BE14" w14:textId="77777777" w:rsidR="009E0BB2" w:rsidRPr="009C4FCC" w:rsidRDefault="009E0BB2" w:rsidP="009E0BB2">
      <w:pPr>
        <w:spacing w:after="0" w:line="276" w:lineRule="auto"/>
        <w:jc w:val="both"/>
        <w:rPr>
          <w:rFonts w:ascii="Arial" w:eastAsia="Times New Roman" w:hAnsi="Arial" w:cs="Arial"/>
          <w:color w:val="000000" w:themeColor="text1"/>
          <w:szCs w:val="24"/>
          <w:lang w:val="es-ES"/>
        </w:rPr>
      </w:pPr>
      <w:r w:rsidRPr="009C4FCC">
        <w:rPr>
          <w:rFonts w:ascii="Arial" w:eastAsia="Arial" w:hAnsi="Arial" w:cs="Arial"/>
        </w:rPr>
        <w:t xml:space="preserve">El Registro Único de Proponentes, en adelante RUP, es el documento donde consta la información relacionada con las personas naturales y jurídicas, con el fin de que puedan participar en los procedimientos de contratación realizados por Entidades Estatales. Su objeto es consolidar la información relacionada con la capacidad jurídica, técnica, financiera y organizacional de los posibles proponentes en un único documento, facilitando la revisión de los datos contenidos en el registro. </w:t>
      </w:r>
      <w:r w:rsidRPr="009C4FCC">
        <w:rPr>
          <w:rFonts w:ascii="Arial" w:hAnsi="Arial" w:cs="Arial"/>
          <w:color w:val="000000" w:themeColor="text1"/>
        </w:rPr>
        <w:t>El Consejo de Estado definió la naturaleza y finalidad del RUP de la siguiente forma:</w:t>
      </w:r>
    </w:p>
    <w:p w14:paraId="5E3DE672" w14:textId="77777777" w:rsidR="009E0BB2" w:rsidRPr="009C4FCC" w:rsidRDefault="009E0BB2" w:rsidP="009E0BB2">
      <w:pPr>
        <w:pStyle w:val="Textoindependiente"/>
        <w:spacing w:line="276" w:lineRule="auto"/>
        <w:contextualSpacing/>
        <w:rPr>
          <w:rFonts w:ascii="Arial" w:hAnsi="Arial" w:cs="Arial"/>
        </w:rPr>
      </w:pPr>
    </w:p>
    <w:p w14:paraId="07BE93CF" w14:textId="77777777" w:rsidR="009E0BB2" w:rsidRPr="009C4FCC" w:rsidRDefault="009E0BB2" w:rsidP="009E0BB2">
      <w:pPr>
        <w:tabs>
          <w:tab w:val="left" w:pos="8505"/>
        </w:tabs>
        <w:spacing w:after="0" w:line="240" w:lineRule="auto"/>
        <w:ind w:left="709" w:right="709"/>
        <w:contextualSpacing/>
        <w:jc w:val="both"/>
        <w:rPr>
          <w:rFonts w:ascii="Arial" w:hAnsi="Arial" w:cs="Arial"/>
          <w:color w:val="000000" w:themeColor="text1"/>
          <w:sz w:val="21"/>
          <w:szCs w:val="21"/>
        </w:rPr>
      </w:pPr>
      <w:r w:rsidRPr="009C4FCC">
        <w:rPr>
          <w:rFonts w:ascii="Arial" w:eastAsia="Calibri" w:hAnsi="Arial" w:cs="Arial"/>
          <w:sz w:val="21"/>
          <w:szCs w:val="21"/>
        </w:rPr>
        <w:t>«</w:t>
      </w:r>
      <w:r w:rsidRPr="009C4FCC">
        <w:rPr>
          <w:rFonts w:ascii="Arial" w:hAnsi="Arial" w:cs="Arial"/>
          <w:color w:val="000000" w:themeColor="text1"/>
          <w:sz w:val="21"/>
          <w:szCs w:val="21"/>
        </w:rPr>
        <w:t xml:space="preserve">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w:t>
      </w:r>
      <w:r w:rsidRPr="009C4FCC">
        <w:rPr>
          <w:rFonts w:ascii="Arial" w:hAnsi="Arial" w:cs="Arial"/>
          <w:color w:val="000000" w:themeColor="text1"/>
          <w:sz w:val="21"/>
          <w:szCs w:val="21"/>
        </w:rPr>
        <w:lastRenderedPageBreak/>
        <w:t>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9C4FCC">
        <w:rPr>
          <w:rFonts w:ascii="Arial" w:eastAsia="Calibri" w:hAnsi="Arial" w:cs="Arial"/>
          <w:sz w:val="21"/>
          <w:szCs w:val="21"/>
        </w:rPr>
        <w:t>»</w:t>
      </w:r>
      <w:r w:rsidRPr="009C4FCC">
        <w:rPr>
          <w:rStyle w:val="Refdenotaalpie"/>
          <w:rFonts w:ascii="Arial" w:hAnsi="Arial" w:cs="Arial"/>
          <w:color w:val="000000" w:themeColor="text1"/>
          <w:sz w:val="21"/>
          <w:szCs w:val="21"/>
        </w:rPr>
        <w:footnoteReference w:id="3"/>
      </w:r>
      <w:r w:rsidRPr="009C4FCC">
        <w:rPr>
          <w:rFonts w:ascii="Arial" w:hAnsi="Arial" w:cs="Arial"/>
          <w:color w:val="000000" w:themeColor="text1"/>
          <w:sz w:val="21"/>
          <w:szCs w:val="21"/>
        </w:rPr>
        <w:t>.</w:t>
      </w:r>
    </w:p>
    <w:p w14:paraId="3539315C" w14:textId="77777777" w:rsidR="009E0BB2" w:rsidRPr="009C4FCC" w:rsidRDefault="009E0BB2" w:rsidP="009E0BB2">
      <w:pPr>
        <w:spacing w:after="0" w:line="276" w:lineRule="auto"/>
        <w:contextualSpacing/>
        <w:jc w:val="both"/>
        <w:rPr>
          <w:rFonts w:ascii="Arial" w:hAnsi="Arial" w:cs="Arial"/>
        </w:rPr>
      </w:pPr>
    </w:p>
    <w:p w14:paraId="6E2762FF" w14:textId="77777777" w:rsidR="009E0BB2" w:rsidRPr="009C4FCC" w:rsidRDefault="009E0BB2" w:rsidP="009E0BB2">
      <w:pPr>
        <w:spacing w:after="120" w:line="276" w:lineRule="auto"/>
        <w:ind w:firstLine="708"/>
        <w:jc w:val="both"/>
        <w:rPr>
          <w:rFonts w:ascii="Arial" w:hAnsi="Arial" w:cs="Arial"/>
        </w:rPr>
      </w:pPr>
      <w:r w:rsidRPr="009C4FCC">
        <w:rPr>
          <w:rFonts w:ascii="Arial" w:eastAsia="Arial" w:hAnsi="Arial" w:cs="Arial"/>
        </w:rPr>
        <w:t>El numeral 6.1 del artículo 6 de la Ley 1150 de 2007, al determinar las características aplicables al RUP, cualifica la información plasmada en él, al establecer que constituye plena prueba de lo que contiene</w:t>
      </w:r>
      <w:r w:rsidRPr="009C4FCC">
        <w:rPr>
          <w:rStyle w:val="Refdenotaalpie"/>
          <w:rFonts w:ascii="Arial" w:hAnsi="Arial" w:cs="Arial"/>
          <w:color w:val="000000" w:themeColor="text1"/>
        </w:rPr>
        <w:footnoteReference w:id="4"/>
      </w:r>
      <w:hyperlink r:id="rId12" w:anchor="_ftn14"/>
      <w:r w:rsidRPr="009C4FCC">
        <w:rPr>
          <w:rFonts w:ascii="Arial" w:eastAsia="Arial" w:hAnsi="Arial" w:cs="Arial"/>
          <w:vertAlign w:val="subscript"/>
        </w:rPr>
        <w:t>.</w:t>
      </w:r>
      <w:r w:rsidRPr="009C4FCC">
        <w:rPr>
          <w:rFonts w:ascii="Arial" w:eastAsia="Arial" w:hAnsi="Arial" w:cs="Arial"/>
        </w:rPr>
        <w:t xml:space="preserve"> A su vez, el numeral 1 del artículo 5 de la misma ley, al señalar los criterios que deben tenerse en cuenta por las Entidades Estatales para garantizar la selección objetiva, determina que las Cámaras de Comercio realizarán la verificación de la información suministrada por las personas naturales o jurídicas para su inscripción en el RUP, ya que esta será tenida en cuenta por las Entidades Estales en los procedimientos de selección en los que es exigible el mencionado registro</w:t>
      </w:r>
      <w:r w:rsidRPr="009C4FCC">
        <w:rPr>
          <w:rStyle w:val="Refdenotaalpie"/>
          <w:rFonts w:ascii="Arial" w:hAnsi="Arial" w:cs="Arial"/>
          <w:color w:val="000000" w:themeColor="text1"/>
        </w:rPr>
        <w:footnoteReference w:id="5"/>
      </w:r>
      <w:r w:rsidRPr="009C4FCC">
        <w:rPr>
          <w:rFonts w:ascii="Arial" w:eastAsia="Arial" w:hAnsi="Arial" w:cs="Arial"/>
        </w:rPr>
        <w:t>.</w:t>
      </w:r>
    </w:p>
    <w:p w14:paraId="780DC2E6" w14:textId="77777777" w:rsidR="009E0BB2" w:rsidRPr="009C4FCC" w:rsidRDefault="009E0BB2" w:rsidP="009E0BB2">
      <w:pPr>
        <w:spacing w:after="120" w:line="276" w:lineRule="auto"/>
        <w:ind w:firstLine="707"/>
        <w:jc w:val="both"/>
        <w:rPr>
          <w:rFonts w:ascii="Arial" w:hAnsi="Arial" w:cs="Arial"/>
        </w:rPr>
      </w:pPr>
      <w:r w:rsidRPr="009C4FCC">
        <w:rPr>
          <w:rFonts w:ascii="Arial" w:eastAsia="Times New Roman" w:hAnsi="Arial" w:cs="Arial"/>
        </w:rPr>
        <w:t xml:space="preserve">En este sentido, la capacidad jurídica, las condiciones de experiencia, la capacidad financiera y de organización de los proponentes deberán verificarse exclusivamente con el RUP, </w:t>
      </w:r>
      <w:r w:rsidRPr="009C4FCC">
        <w:rPr>
          <w:rFonts w:ascii="Arial" w:eastAsia="Times New Roman" w:hAnsi="Arial" w:cs="Arial"/>
        </w:rPr>
        <w:lastRenderedPageBreak/>
        <w:t>pues, de acuerdo con lo expuesto, este instrumento es plena prueba de la información que contiene.</w:t>
      </w:r>
    </w:p>
    <w:p w14:paraId="42FAF1E8" w14:textId="77777777" w:rsidR="009E0BB2" w:rsidRPr="009C4FCC" w:rsidRDefault="009E0BB2" w:rsidP="009E0BB2">
      <w:pPr>
        <w:spacing w:after="120" w:line="276" w:lineRule="auto"/>
        <w:ind w:firstLine="709"/>
        <w:jc w:val="both"/>
        <w:rPr>
          <w:rFonts w:ascii="Arial" w:hAnsi="Arial" w:cs="Arial"/>
        </w:rPr>
      </w:pPr>
      <w:r w:rsidRPr="009C4FCC">
        <w:rPr>
          <w:rFonts w:ascii="Arial" w:eastAsia="Times New Roman" w:hAnsi="Arial" w:cs="Arial"/>
        </w:rPr>
        <w:t xml:space="preserve">No </w:t>
      </w:r>
      <w:proofErr w:type="gramStart"/>
      <w:r w:rsidRPr="009C4FCC">
        <w:rPr>
          <w:rFonts w:ascii="Arial" w:eastAsia="Times New Roman" w:hAnsi="Arial" w:cs="Arial"/>
        </w:rPr>
        <w:t>obstante</w:t>
      </w:r>
      <w:proofErr w:type="gramEnd"/>
      <w:r w:rsidRPr="009C4FCC">
        <w:rPr>
          <w:rFonts w:ascii="Arial" w:eastAsia="Times New Roman" w:hAnsi="Arial" w:cs="Arial"/>
        </w:rPr>
        <w:t xml:space="preserve"> lo anterior, el RUP no es exigible en algunos procedimientos de selección. Al respecto, el inciso segundo del artículo 6 de la Ley 1150 de 2007 señala los casos en los que no se requerirá el RUP: </w:t>
      </w:r>
      <w:r w:rsidRPr="009C4FCC">
        <w:rPr>
          <w:rFonts w:ascii="Arial" w:hAnsi="Arial" w:cs="Arial"/>
        </w:rPr>
        <w:t>:</w:t>
      </w:r>
      <w:r w:rsidRPr="009C4FCC">
        <w:rPr>
          <w:rFonts w:ascii="Arial" w:hAnsi="Arial" w:cs="Arial"/>
          <w:spacing w:val="1"/>
        </w:rPr>
        <w:t xml:space="preserve"> </w:t>
      </w:r>
      <w:r w:rsidRPr="009C4FCC">
        <w:rPr>
          <w:rFonts w:ascii="Arial" w:hAnsi="Arial" w:cs="Arial"/>
        </w:rPr>
        <w:t>«[…]</w:t>
      </w:r>
      <w:r w:rsidRPr="009C4FCC">
        <w:rPr>
          <w:rFonts w:ascii="Arial" w:hAnsi="Arial" w:cs="Arial"/>
          <w:spacing w:val="1"/>
        </w:rPr>
        <w:t xml:space="preserve"> </w:t>
      </w:r>
      <w:r w:rsidRPr="009C4FCC">
        <w:rPr>
          <w:rFonts w:ascii="Arial" w:hAnsi="Arial" w:cs="Arial"/>
        </w:rPr>
        <w:t>casos</w:t>
      </w:r>
      <w:r w:rsidRPr="009C4FCC">
        <w:rPr>
          <w:rFonts w:ascii="Arial" w:hAnsi="Arial" w:cs="Arial"/>
          <w:spacing w:val="1"/>
        </w:rPr>
        <w:t xml:space="preserve"> </w:t>
      </w:r>
      <w:r w:rsidRPr="009C4FCC">
        <w:rPr>
          <w:rFonts w:ascii="Arial" w:hAnsi="Arial" w:cs="Arial"/>
        </w:rPr>
        <w:t>de</w:t>
      </w:r>
      <w:r w:rsidRPr="009C4FCC">
        <w:rPr>
          <w:rFonts w:ascii="Arial" w:hAnsi="Arial" w:cs="Arial"/>
          <w:spacing w:val="1"/>
        </w:rPr>
        <w:t xml:space="preserve"> </w:t>
      </w:r>
      <w:r w:rsidRPr="009C4FCC">
        <w:rPr>
          <w:rFonts w:ascii="Arial" w:hAnsi="Arial" w:cs="Arial"/>
        </w:rPr>
        <w:t>contratación</w:t>
      </w:r>
      <w:r w:rsidRPr="009C4FCC">
        <w:rPr>
          <w:rFonts w:ascii="Arial" w:hAnsi="Arial" w:cs="Arial"/>
          <w:spacing w:val="1"/>
        </w:rPr>
        <w:t xml:space="preserve"> </w:t>
      </w:r>
      <w:r w:rsidRPr="009C4FCC">
        <w:rPr>
          <w:rFonts w:ascii="Arial" w:hAnsi="Arial" w:cs="Arial"/>
        </w:rPr>
        <w:t>directa;</w:t>
      </w:r>
      <w:r w:rsidRPr="009C4FCC">
        <w:rPr>
          <w:rFonts w:ascii="Arial" w:hAnsi="Arial" w:cs="Arial"/>
          <w:spacing w:val="1"/>
        </w:rPr>
        <w:t xml:space="preserve"> </w:t>
      </w:r>
      <w:r w:rsidRPr="009C4FCC">
        <w:rPr>
          <w:rFonts w:ascii="Arial" w:hAnsi="Arial" w:cs="Arial"/>
        </w:rPr>
        <w:t>contratos</w:t>
      </w:r>
      <w:r w:rsidRPr="009C4FCC">
        <w:rPr>
          <w:rFonts w:ascii="Arial" w:hAnsi="Arial" w:cs="Arial"/>
          <w:spacing w:val="1"/>
        </w:rPr>
        <w:t xml:space="preserve"> </w:t>
      </w:r>
      <w:r w:rsidRPr="009C4FCC">
        <w:rPr>
          <w:rFonts w:ascii="Arial" w:hAnsi="Arial" w:cs="Arial"/>
        </w:rPr>
        <w:t>para</w:t>
      </w:r>
      <w:r w:rsidRPr="009C4FCC">
        <w:rPr>
          <w:rFonts w:ascii="Arial" w:hAnsi="Arial" w:cs="Arial"/>
          <w:spacing w:val="1"/>
        </w:rPr>
        <w:t xml:space="preserve"> </w:t>
      </w:r>
      <w:r w:rsidRPr="009C4FCC">
        <w:rPr>
          <w:rFonts w:ascii="Arial" w:hAnsi="Arial" w:cs="Arial"/>
        </w:rPr>
        <w:t>la</w:t>
      </w:r>
      <w:r w:rsidRPr="009C4FCC">
        <w:rPr>
          <w:rFonts w:ascii="Arial" w:hAnsi="Arial" w:cs="Arial"/>
          <w:spacing w:val="1"/>
        </w:rPr>
        <w:t xml:space="preserve"> </w:t>
      </w:r>
      <w:r w:rsidRPr="009C4FCC">
        <w:rPr>
          <w:rFonts w:ascii="Arial" w:hAnsi="Arial" w:cs="Arial"/>
        </w:rPr>
        <w:t xml:space="preserve">prestación de servicios de salud; </w:t>
      </w:r>
      <w:r w:rsidRPr="009C4FCC">
        <w:rPr>
          <w:rFonts w:ascii="Arial" w:hAnsi="Arial" w:cs="Arial"/>
          <w:iCs/>
        </w:rPr>
        <w:t>contratos de mínima cuantía;</w:t>
      </w:r>
      <w:r w:rsidRPr="009C4FCC">
        <w:rPr>
          <w:rFonts w:ascii="Arial" w:hAnsi="Arial" w:cs="Arial"/>
          <w:i/>
        </w:rPr>
        <w:t xml:space="preserve"> </w:t>
      </w:r>
      <w:r w:rsidRPr="009C4FCC">
        <w:rPr>
          <w:rFonts w:ascii="Arial" w:hAnsi="Arial" w:cs="Arial"/>
        </w:rPr>
        <w:t>enajenación de bienes del</w:t>
      </w:r>
      <w:r w:rsidRPr="009C4FCC">
        <w:rPr>
          <w:rFonts w:ascii="Arial" w:hAnsi="Arial" w:cs="Arial"/>
          <w:spacing w:val="1"/>
        </w:rPr>
        <w:t xml:space="preserve"> </w:t>
      </w:r>
      <w:r w:rsidRPr="009C4FCC">
        <w:rPr>
          <w:rFonts w:ascii="Arial" w:hAnsi="Arial" w:cs="Arial"/>
        </w:rPr>
        <w:t>Estado; contratos que tengan por objeto la adquisición de productos de origen o destinación</w:t>
      </w:r>
      <w:r w:rsidRPr="009C4FCC">
        <w:rPr>
          <w:rFonts w:ascii="Arial" w:hAnsi="Arial" w:cs="Arial"/>
          <w:spacing w:val="1"/>
        </w:rPr>
        <w:t xml:space="preserve"> </w:t>
      </w:r>
      <w:r w:rsidRPr="009C4FCC">
        <w:rPr>
          <w:rFonts w:ascii="Arial" w:hAnsi="Arial" w:cs="Arial"/>
        </w:rPr>
        <w:t>agropecuaria que se ofrezcan en bolsas de productos legalmente constituidas; los actos y</w:t>
      </w:r>
      <w:r w:rsidRPr="009C4FCC">
        <w:rPr>
          <w:rFonts w:ascii="Arial" w:hAnsi="Arial" w:cs="Arial"/>
          <w:spacing w:val="1"/>
        </w:rPr>
        <w:t xml:space="preserve"> </w:t>
      </w:r>
      <w:r w:rsidRPr="009C4FCC">
        <w:rPr>
          <w:rFonts w:ascii="Arial" w:hAnsi="Arial" w:cs="Arial"/>
        </w:rPr>
        <w:t>contratos que tengan por objeto directo las actividades comerciales e industriales propias de</w:t>
      </w:r>
      <w:r w:rsidRPr="009C4FCC">
        <w:rPr>
          <w:rFonts w:ascii="Arial" w:hAnsi="Arial" w:cs="Arial"/>
          <w:spacing w:val="-59"/>
        </w:rPr>
        <w:t xml:space="preserve"> </w:t>
      </w:r>
      <w:r w:rsidRPr="009C4FCC">
        <w:rPr>
          <w:rFonts w:ascii="Arial" w:hAnsi="Arial" w:cs="Arial"/>
        </w:rPr>
        <w:t>las</w:t>
      </w:r>
      <w:r w:rsidRPr="009C4FCC">
        <w:rPr>
          <w:rFonts w:ascii="Arial" w:hAnsi="Arial" w:cs="Arial"/>
          <w:spacing w:val="-6"/>
        </w:rPr>
        <w:t xml:space="preserve"> </w:t>
      </w:r>
      <w:r w:rsidRPr="009C4FCC">
        <w:rPr>
          <w:rFonts w:ascii="Arial" w:hAnsi="Arial" w:cs="Arial"/>
        </w:rPr>
        <w:t>empresas</w:t>
      </w:r>
      <w:r w:rsidRPr="009C4FCC">
        <w:rPr>
          <w:rFonts w:ascii="Arial" w:hAnsi="Arial" w:cs="Arial"/>
          <w:spacing w:val="-6"/>
        </w:rPr>
        <w:t xml:space="preserve"> </w:t>
      </w:r>
      <w:r w:rsidRPr="009C4FCC">
        <w:rPr>
          <w:rFonts w:ascii="Arial" w:hAnsi="Arial" w:cs="Arial"/>
        </w:rPr>
        <w:t>industriales</w:t>
      </w:r>
      <w:r w:rsidRPr="009C4FCC">
        <w:rPr>
          <w:rFonts w:ascii="Arial" w:hAnsi="Arial" w:cs="Arial"/>
          <w:spacing w:val="-6"/>
        </w:rPr>
        <w:t xml:space="preserve"> </w:t>
      </w:r>
      <w:r w:rsidRPr="009C4FCC">
        <w:rPr>
          <w:rFonts w:ascii="Arial" w:hAnsi="Arial" w:cs="Arial"/>
        </w:rPr>
        <w:t>y</w:t>
      </w:r>
      <w:r w:rsidRPr="009C4FCC">
        <w:rPr>
          <w:rFonts w:ascii="Arial" w:hAnsi="Arial" w:cs="Arial"/>
          <w:spacing w:val="-5"/>
        </w:rPr>
        <w:t xml:space="preserve"> </w:t>
      </w:r>
      <w:r w:rsidRPr="009C4FCC">
        <w:rPr>
          <w:rFonts w:ascii="Arial" w:hAnsi="Arial" w:cs="Arial"/>
        </w:rPr>
        <w:t>comerciales</w:t>
      </w:r>
      <w:r w:rsidRPr="009C4FCC">
        <w:rPr>
          <w:rFonts w:ascii="Arial" w:hAnsi="Arial" w:cs="Arial"/>
          <w:spacing w:val="-6"/>
        </w:rPr>
        <w:t xml:space="preserve"> </w:t>
      </w:r>
      <w:r w:rsidRPr="009C4FCC">
        <w:rPr>
          <w:rFonts w:ascii="Arial" w:hAnsi="Arial" w:cs="Arial"/>
        </w:rPr>
        <w:t>del</w:t>
      </w:r>
      <w:r w:rsidRPr="009C4FCC">
        <w:rPr>
          <w:rFonts w:ascii="Arial" w:hAnsi="Arial" w:cs="Arial"/>
          <w:spacing w:val="-6"/>
        </w:rPr>
        <w:t xml:space="preserve"> </w:t>
      </w:r>
      <w:r w:rsidRPr="009C4FCC">
        <w:rPr>
          <w:rFonts w:ascii="Arial" w:hAnsi="Arial" w:cs="Arial"/>
        </w:rPr>
        <w:t>Estado</w:t>
      </w:r>
      <w:r w:rsidRPr="009C4FCC">
        <w:rPr>
          <w:rFonts w:ascii="Arial" w:hAnsi="Arial" w:cs="Arial"/>
          <w:spacing w:val="-4"/>
        </w:rPr>
        <w:t xml:space="preserve"> </w:t>
      </w:r>
      <w:r w:rsidRPr="009C4FCC">
        <w:rPr>
          <w:rFonts w:ascii="Arial" w:hAnsi="Arial" w:cs="Arial"/>
        </w:rPr>
        <w:t>y</w:t>
      </w:r>
      <w:r w:rsidRPr="009C4FCC">
        <w:rPr>
          <w:rFonts w:ascii="Arial" w:hAnsi="Arial" w:cs="Arial"/>
          <w:spacing w:val="-6"/>
        </w:rPr>
        <w:t xml:space="preserve"> </w:t>
      </w:r>
      <w:r w:rsidRPr="009C4FCC">
        <w:rPr>
          <w:rFonts w:ascii="Arial" w:hAnsi="Arial" w:cs="Arial"/>
        </w:rPr>
        <w:t>las</w:t>
      </w:r>
      <w:r w:rsidRPr="009C4FCC">
        <w:rPr>
          <w:rFonts w:ascii="Arial" w:hAnsi="Arial" w:cs="Arial"/>
          <w:spacing w:val="-6"/>
        </w:rPr>
        <w:t xml:space="preserve"> </w:t>
      </w:r>
      <w:r w:rsidRPr="009C4FCC">
        <w:rPr>
          <w:rFonts w:ascii="Arial" w:hAnsi="Arial" w:cs="Arial"/>
        </w:rPr>
        <w:t>sociedades</w:t>
      </w:r>
      <w:r w:rsidRPr="009C4FCC">
        <w:rPr>
          <w:rFonts w:ascii="Arial" w:hAnsi="Arial" w:cs="Arial"/>
          <w:spacing w:val="-6"/>
        </w:rPr>
        <w:t xml:space="preserve"> </w:t>
      </w:r>
      <w:r w:rsidRPr="009C4FCC">
        <w:rPr>
          <w:rFonts w:ascii="Arial" w:hAnsi="Arial" w:cs="Arial"/>
        </w:rPr>
        <w:t>de</w:t>
      </w:r>
      <w:r w:rsidRPr="009C4FCC">
        <w:rPr>
          <w:rFonts w:ascii="Arial" w:hAnsi="Arial" w:cs="Arial"/>
          <w:spacing w:val="-5"/>
        </w:rPr>
        <w:t xml:space="preserve"> </w:t>
      </w:r>
      <w:r w:rsidRPr="009C4FCC">
        <w:rPr>
          <w:rFonts w:ascii="Arial" w:hAnsi="Arial" w:cs="Arial"/>
        </w:rPr>
        <w:t>economía</w:t>
      </w:r>
      <w:r w:rsidRPr="009C4FCC">
        <w:rPr>
          <w:rFonts w:ascii="Arial" w:hAnsi="Arial" w:cs="Arial"/>
          <w:spacing w:val="-6"/>
        </w:rPr>
        <w:t xml:space="preserve"> </w:t>
      </w:r>
      <w:r w:rsidRPr="009C4FCC">
        <w:rPr>
          <w:rFonts w:ascii="Arial" w:hAnsi="Arial" w:cs="Arial"/>
        </w:rPr>
        <w:t>mixta</w:t>
      </w:r>
      <w:r w:rsidRPr="009C4FCC">
        <w:rPr>
          <w:rFonts w:ascii="Arial" w:hAnsi="Arial" w:cs="Arial"/>
          <w:spacing w:val="-6"/>
        </w:rPr>
        <w:t xml:space="preserve"> </w:t>
      </w:r>
      <w:r w:rsidRPr="009C4FCC">
        <w:rPr>
          <w:rFonts w:ascii="Arial" w:hAnsi="Arial" w:cs="Arial"/>
        </w:rPr>
        <w:t>y</w:t>
      </w:r>
      <w:r w:rsidRPr="009C4FCC">
        <w:rPr>
          <w:rFonts w:ascii="Arial" w:hAnsi="Arial" w:cs="Arial"/>
          <w:spacing w:val="-5"/>
        </w:rPr>
        <w:t xml:space="preserve"> </w:t>
      </w:r>
      <w:r w:rsidRPr="009C4FCC">
        <w:rPr>
          <w:rFonts w:ascii="Arial" w:hAnsi="Arial" w:cs="Arial"/>
          <w:iCs/>
        </w:rPr>
        <w:t xml:space="preserve">los </w:t>
      </w:r>
      <w:r w:rsidRPr="009C4FCC">
        <w:rPr>
          <w:rFonts w:ascii="Arial" w:hAnsi="Arial" w:cs="Arial"/>
          <w:iCs/>
          <w:spacing w:val="-1"/>
        </w:rPr>
        <w:t>contratos de concesión de cualquier</w:t>
      </w:r>
      <w:r w:rsidRPr="009C4FCC">
        <w:rPr>
          <w:rFonts w:ascii="Arial" w:hAnsi="Arial" w:cs="Arial"/>
          <w:iCs/>
          <w:spacing w:val="-19"/>
        </w:rPr>
        <w:t xml:space="preserve"> </w:t>
      </w:r>
      <w:r w:rsidRPr="009C4FCC">
        <w:rPr>
          <w:rFonts w:ascii="Arial" w:hAnsi="Arial" w:cs="Arial"/>
          <w:iCs/>
        </w:rPr>
        <w:t>índole</w:t>
      </w:r>
      <w:r w:rsidRPr="009C4FCC">
        <w:rPr>
          <w:rFonts w:ascii="Arial" w:hAnsi="Arial" w:cs="Arial"/>
        </w:rPr>
        <w:t>»</w:t>
      </w:r>
      <w:r w:rsidRPr="009C4FCC">
        <w:rPr>
          <w:rFonts w:ascii="Arial" w:hAnsi="Arial" w:cs="Arial"/>
          <w:spacing w:val="-1"/>
        </w:rPr>
        <w:t>.</w:t>
      </w:r>
    </w:p>
    <w:p w14:paraId="301F30F7" w14:textId="77777777" w:rsidR="009E0BB2" w:rsidRPr="009C4FCC" w:rsidRDefault="009E0BB2" w:rsidP="009E0BB2">
      <w:pPr>
        <w:spacing w:after="0" w:line="276" w:lineRule="auto"/>
        <w:ind w:firstLine="709"/>
        <w:jc w:val="both"/>
        <w:rPr>
          <w:rFonts w:ascii="Arial" w:eastAsia="Times New Roman" w:hAnsi="Arial" w:cs="Arial"/>
          <w:vertAlign w:val="subscript"/>
        </w:rPr>
      </w:pPr>
      <w:r w:rsidRPr="009C4FCC">
        <w:rPr>
          <w:rFonts w:ascii="Arial" w:eastAsia="Times New Roman" w:hAnsi="Arial" w:cs="Arial"/>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9C4FCC">
        <w:rPr>
          <w:rFonts w:ascii="Arial" w:eastAsia="Times New Roman" w:hAnsi="Arial" w:cs="Arial"/>
          <w:vertAlign w:val="subscript"/>
        </w:rPr>
        <w:t>:</w:t>
      </w:r>
    </w:p>
    <w:p w14:paraId="37A64BD9" w14:textId="77777777" w:rsidR="009E0BB2" w:rsidRPr="009C4FCC" w:rsidRDefault="009E0BB2" w:rsidP="009E0BB2">
      <w:pPr>
        <w:spacing w:after="0" w:line="276" w:lineRule="auto"/>
        <w:ind w:firstLine="709"/>
        <w:contextualSpacing/>
        <w:jc w:val="both"/>
        <w:rPr>
          <w:rFonts w:ascii="Arial" w:hAnsi="Arial" w:cs="Arial"/>
        </w:rPr>
      </w:pPr>
    </w:p>
    <w:p w14:paraId="01B88EB1" w14:textId="77777777" w:rsidR="009E0BB2" w:rsidRPr="009C4FCC" w:rsidRDefault="009E0BB2" w:rsidP="009E0BB2">
      <w:pPr>
        <w:pStyle w:val="Prrafodelista"/>
        <w:spacing w:after="0" w:line="240" w:lineRule="auto"/>
        <w:ind w:left="709" w:right="709"/>
        <w:jc w:val="both"/>
        <w:rPr>
          <w:rFonts w:ascii="Arial" w:eastAsia="Arial" w:hAnsi="Arial" w:cs="Arial"/>
          <w:sz w:val="21"/>
          <w:szCs w:val="21"/>
          <w:lang w:val="es-CO"/>
        </w:rPr>
      </w:pPr>
      <w:r w:rsidRPr="009C4FCC">
        <w:rPr>
          <w:rFonts w:ascii="Arial" w:eastAsia="Calibri" w:hAnsi="Arial" w:cs="Arial"/>
          <w:sz w:val="21"/>
          <w:szCs w:val="21"/>
        </w:rPr>
        <w:t xml:space="preserve">«i. </w:t>
      </w:r>
      <w:r w:rsidRPr="009C4FCC">
        <w:rPr>
          <w:rFonts w:ascii="Arial" w:eastAsia="Arial" w:hAnsi="Arial" w:cs="Arial"/>
          <w:sz w:val="21"/>
          <w:szCs w:val="21"/>
        </w:rPr>
        <w:t>No se requiere el RUP respecto de los proponentes que pretenden celebrar los contratos enunciados en el inciso segundo del artículo 6 de la ley 1150, así como en los eventos de contratación directa.</w:t>
      </w:r>
    </w:p>
    <w:p w14:paraId="2046BB06" w14:textId="77777777" w:rsidR="009E0BB2" w:rsidRPr="009C4FCC" w:rsidRDefault="009E0BB2" w:rsidP="009E0BB2">
      <w:pPr>
        <w:pStyle w:val="Prrafodelista"/>
        <w:spacing w:after="0"/>
        <w:ind w:left="709" w:right="709"/>
        <w:jc w:val="both"/>
        <w:rPr>
          <w:rFonts w:ascii="Arial" w:eastAsia="Arial" w:hAnsi="Arial" w:cs="Arial"/>
          <w:sz w:val="21"/>
          <w:szCs w:val="21"/>
          <w:lang w:val="es-CO"/>
        </w:rPr>
      </w:pPr>
    </w:p>
    <w:p w14:paraId="54819ACA" w14:textId="77777777" w:rsidR="009E0BB2" w:rsidRPr="009C4FCC" w:rsidRDefault="009E0BB2" w:rsidP="009E0BB2">
      <w:pPr>
        <w:pStyle w:val="Prrafodelista"/>
        <w:spacing w:after="0" w:line="240" w:lineRule="auto"/>
        <w:ind w:left="709" w:right="709"/>
        <w:jc w:val="both"/>
        <w:rPr>
          <w:rFonts w:ascii="Arial" w:hAnsi="Arial" w:cs="Arial"/>
          <w:sz w:val="21"/>
          <w:szCs w:val="21"/>
        </w:rPr>
      </w:pPr>
      <w:r w:rsidRPr="009C4FCC">
        <w:rPr>
          <w:rFonts w:ascii="Arial" w:hAnsi="Arial" w:cs="Arial"/>
          <w:sz w:val="21"/>
          <w:szCs w:val="21"/>
        </w:rPr>
        <w:t>ii. Tratándose de personas naturales extranjeras sin domicilio en el país o de personas jurídicas extranjeras que no tengan sucursal en Colombia, o en aquellos casos en que el procedimiento de selección haya utilizado sistemas de precalificación.</w:t>
      </w:r>
    </w:p>
    <w:p w14:paraId="0B1C1E6A" w14:textId="77777777" w:rsidR="009E0BB2" w:rsidRPr="009C4FCC" w:rsidRDefault="009E0BB2" w:rsidP="009E0BB2">
      <w:pPr>
        <w:pStyle w:val="Prrafodelista"/>
        <w:spacing w:after="0"/>
        <w:ind w:left="709" w:right="709"/>
        <w:jc w:val="both"/>
        <w:rPr>
          <w:rFonts w:ascii="Arial" w:hAnsi="Arial" w:cs="Arial"/>
          <w:sz w:val="21"/>
          <w:szCs w:val="21"/>
        </w:rPr>
      </w:pPr>
    </w:p>
    <w:p w14:paraId="50C7729E" w14:textId="77777777" w:rsidR="009E0BB2" w:rsidRPr="009C4FCC" w:rsidRDefault="009E0BB2" w:rsidP="009E0BB2">
      <w:pPr>
        <w:pStyle w:val="Prrafodelista"/>
        <w:spacing w:after="0"/>
        <w:ind w:left="709" w:right="709"/>
        <w:jc w:val="both"/>
        <w:rPr>
          <w:rFonts w:ascii="Arial" w:hAnsi="Arial" w:cs="Arial"/>
          <w:sz w:val="21"/>
          <w:szCs w:val="21"/>
        </w:rPr>
      </w:pPr>
      <w:proofErr w:type="spellStart"/>
      <w:r w:rsidRPr="009C4FCC">
        <w:rPr>
          <w:rFonts w:ascii="Arial" w:hAnsi="Arial" w:cs="Arial"/>
          <w:sz w:val="21"/>
          <w:szCs w:val="21"/>
        </w:rPr>
        <w:t>iii</w:t>
      </w:r>
      <w:proofErr w:type="spellEnd"/>
      <w:r w:rsidRPr="009C4FCC">
        <w:rPr>
          <w:rFonts w:ascii="Arial" w:hAnsi="Arial" w:cs="Arial"/>
          <w:sz w:val="21"/>
          <w:szCs w:val="21"/>
        </w:rPr>
        <w:t>. Cuando por las características del objeto a contratar se requiera verificar requisitos del proponente adicionales a los contenidos en el RUP, caso donde puede exigirse el registro; solo que habrá información adicional que podrá verificar la entidad directamente</w:t>
      </w:r>
      <w:r w:rsidRPr="009C4FCC">
        <w:rPr>
          <w:rFonts w:ascii="Arial" w:eastAsia="Calibri" w:hAnsi="Arial" w:cs="Arial"/>
          <w:sz w:val="21"/>
          <w:szCs w:val="21"/>
        </w:rPr>
        <w:t>»</w:t>
      </w:r>
      <w:r w:rsidRPr="009C4FCC">
        <w:rPr>
          <w:rStyle w:val="Refdenotaalpie"/>
          <w:rFonts w:ascii="Arial" w:eastAsia="Arial" w:hAnsi="Arial" w:cs="Arial"/>
          <w:sz w:val="21"/>
          <w:szCs w:val="21"/>
          <w:lang w:val="es-CO"/>
        </w:rPr>
        <w:footnoteReference w:id="6"/>
      </w:r>
      <w:r w:rsidRPr="009C4FCC">
        <w:rPr>
          <w:rFonts w:ascii="Arial" w:hAnsi="Arial" w:cs="Arial"/>
          <w:sz w:val="21"/>
          <w:szCs w:val="21"/>
        </w:rPr>
        <w:t>.</w:t>
      </w:r>
    </w:p>
    <w:p w14:paraId="0E84F463" w14:textId="77777777" w:rsidR="009E0BB2" w:rsidRPr="009C4FCC" w:rsidRDefault="009E0BB2" w:rsidP="009E0BB2">
      <w:pPr>
        <w:spacing w:after="0" w:line="276" w:lineRule="auto"/>
        <w:ind w:firstLine="709"/>
        <w:contextualSpacing/>
        <w:jc w:val="both"/>
        <w:rPr>
          <w:rFonts w:ascii="Arial" w:eastAsia="Times New Roman" w:hAnsi="Arial" w:cs="Arial"/>
        </w:rPr>
      </w:pPr>
    </w:p>
    <w:p w14:paraId="1DA03D67" w14:textId="77777777" w:rsidR="009E0BB2" w:rsidRPr="009C4FCC" w:rsidRDefault="009E0BB2" w:rsidP="009E0BB2">
      <w:pPr>
        <w:spacing w:after="120" w:line="276" w:lineRule="auto"/>
        <w:ind w:firstLine="709"/>
        <w:jc w:val="both"/>
        <w:rPr>
          <w:rFonts w:ascii="Arial" w:eastAsia="Times New Roman" w:hAnsi="Arial" w:cs="Arial"/>
        </w:rPr>
      </w:pPr>
      <w:r w:rsidRPr="009C4FCC">
        <w:rPr>
          <w:rFonts w:ascii="Arial" w:eastAsia="Times New Roman" w:hAnsi="Arial" w:cs="Arial"/>
        </w:rPr>
        <w:t>Además de lo anterior, tampoco es un requisito obligatorio estar inscrito en el registro para celebrar los contratos con entidades privadas sin ánimo de lucro, con fundamento en el régimen establecido en el Decreto 092 de 2017, al igual que para participar en procedimientos de selección de entidades que no se rigen por el Estatuto General de Contratación de la Administración Pública –en adelante EGCAP–, esto es, para celebrar contratos que tienen un régimen especial.</w:t>
      </w:r>
    </w:p>
    <w:p w14:paraId="27605E2E" w14:textId="77777777" w:rsidR="009E0BB2" w:rsidRPr="009C4FCC" w:rsidRDefault="009E0BB2" w:rsidP="009E0BB2">
      <w:pPr>
        <w:pStyle w:val="Textoindependiente"/>
        <w:spacing w:after="120" w:line="276" w:lineRule="auto"/>
        <w:ind w:left="102" w:right="49" w:firstLine="646"/>
        <w:jc w:val="both"/>
        <w:rPr>
          <w:rFonts w:ascii="Arial" w:hAnsi="Arial" w:cs="Arial"/>
        </w:rPr>
      </w:pPr>
      <w:r w:rsidRPr="009C4FCC">
        <w:rPr>
          <w:rFonts w:ascii="Arial" w:hAnsi="Arial" w:cs="Arial"/>
        </w:rPr>
        <w:t>La norma dispone que, en estos eventos, las entidades contratantes tienen del deber</w:t>
      </w:r>
      <w:r w:rsidRPr="009C4FCC">
        <w:rPr>
          <w:rFonts w:ascii="Arial" w:hAnsi="Arial" w:cs="Arial"/>
          <w:spacing w:val="-6"/>
        </w:rPr>
        <w:t xml:space="preserve"> </w:t>
      </w:r>
      <w:r w:rsidRPr="009C4FCC">
        <w:rPr>
          <w:rFonts w:ascii="Arial" w:hAnsi="Arial" w:cs="Arial"/>
        </w:rPr>
        <w:t>de</w:t>
      </w:r>
      <w:r w:rsidRPr="009C4FCC">
        <w:rPr>
          <w:rFonts w:ascii="Arial" w:hAnsi="Arial" w:cs="Arial"/>
          <w:spacing w:val="-6"/>
        </w:rPr>
        <w:t xml:space="preserve"> </w:t>
      </w:r>
      <w:r w:rsidRPr="009C4FCC">
        <w:rPr>
          <w:rFonts w:ascii="Arial" w:hAnsi="Arial" w:cs="Arial"/>
        </w:rPr>
        <w:t>verificar</w:t>
      </w:r>
      <w:r w:rsidRPr="009C4FCC">
        <w:rPr>
          <w:rFonts w:ascii="Arial" w:hAnsi="Arial" w:cs="Arial"/>
          <w:spacing w:val="-6"/>
        </w:rPr>
        <w:t xml:space="preserve"> </w:t>
      </w:r>
      <w:r w:rsidRPr="009C4FCC">
        <w:rPr>
          <w:rFonts w:ascii="Arial" w:hAnsi="Arial" w:cs="Arial"/>
        </w:rPr>
        <w:t>el cumplimiento de los requisitos habilitantes o la Clasificación de Bienes y Servicios</w:t>
      </w:r>
      <w:r w:rsidRPr="009C4FCC">
        <w:rPr>
          <w:rStyle w:val="Refdenotaalpie"/>
          <w:rFonts w:ascii="Arial" w:hAnsi="Arial" w:cs="Arial"/>
        </w:rPr>
        <w:footnoteReference w:id="7"/>
      </w:r>
      <w:r w:rsidRPr="009C4FCC">
        <w:rPr>
          <w:rFonts w:ascii="Arial" w:hAnsi="Arial" w:cs="Arial"/>
        </w:rPr>
        <w:t xml:space="preserve">. </w:t>
      </w:r>
      <w:r w:rsidRPr="009C4FCC">
        <w:rPr>
          <w:rFonts w:ascii="Arial" w:hAnsi="Arial" w:cs="Arial"/>
        </w:rPr>
        <w:lastRenderedPageBreak/>
        <w:t>Adicionalmente, el numeral 6.1. del artículo 6 de la Ley 1150 de 2007 establece que cuando sea necesario verificar requisitos o información que no reposa en RUP, la entidad podrá solicitar información adicional solo para complementar la información contenida en dicho registro, y con el fin de verificar condiciones adicionales de experiencia del proponente. De esta forma, sólo en aquellos casos en los que por las</w:t>
      </w:r>
      <w:r w:rsidRPr="009C4FCC">
        <w:rPr>
          <w:rFonts w:ascii="Arial" w:hAnsi="Arial" w:cs="Arial"/>
          <w:spacing w:val="1"/>
        </w:rPr>
        <w:t xml:space="preserve"> </w:t>
      </w:r>
      <w:r w:rsidRPr="009C4FCC">
        <w:rPr>
          <w:rFonts w:ascii="Arial" w:hAnsi="Arial" w:cs="Arial"/>
        </w:rPr>
        <w:t>características</w:t>
      </w:r>
      <w:r w:rsidRPr="009C4FCC">
        <w:rPr>
          <w:rFonts w:ascii="Arial" w:hAnsi="Arial" w:cs="Arial"/>
          <w:spacing w:val="-3"/>
        </w:rPr>
        <w:t xml:space="preserve"> </w:t>
      </w:r>
      <w:r w:rsidRPr="009C4FCC">
        <w:rPr>
          <w:rFonts w:ascii="Arial" w:hAnsi="Arial" w:cs="Arial"/>
        </w:rPr>
        <w:t>del</w:t>
      </w:r>
      <w:r w:rsidRPr="009C4FCC">
        <w:rPr>
          <w:rFonts w:ascii="Arial" w:hAnsi="Arial" w:cs="Arial"/>
          <w:spacing w:val="-3"/>
        </w:rPr>
        <w:t xml:space="preserve"> </w:t>
      </w:r>
      <w:r w:rsidRPr="009C4FCC">
        <w:rPr>
          <w:rFonts w:ascii="Arial" w:hAnsi="Arial" w:cs="Arial"/>
        </w:rPr>
        <w:t>objeto</w:t>
      </w:r>
      <w:r w:rsidRPr="009C4FCC">
        <w:rPr>
          <w:rFonts w:ascii="Arial" w:hAnsi="Arial" w:cs="Arial"/>
          <w:spacing w:val="-3"/>
        </w:rPr>
        <w:t xml:space="preserve"> </w:t>
      </w:r>
      <w:r w:rsidRPr="009C4FCC">
        <w:rPr>
          <w:rFonts w:ascii="Arial" w:hAnsi="Arial" w:cs="Arial"/>
        </w:rPr>
        <w:t>a</w:t>
      </w:r>
      <w:r w:rsidRPr="009C4FCC">
        <w:rPr>
          <w:rFonts w:ascii="Arial" w:hAnsi="Arial" w:cs="Arial"/>
          <w:spacing w:val="-2"/>
        </w:rPr>
        <w:t xml:space="preserve"> </w:t>
      </w:r>
      <w:r w:rsidRPr="009C4FCC">
        <w:rPr>
          <w:rFonts w:ascii="Arial" w:hAnsi="Arial" w:cs="Arial"/>
        </w:rPr>
        <w:t>contratar</w:t>
      </w:r>
      <w:r w:rsidRPr="009C4FCC">
        <w:rPr>
          <w:rFonts w:ascii="Arial" w:hAnsi="Arial" w:cs="Arial"/>
          <w:spacing w:val="-3"/>
        </w:rPr>
        <w:t xml:space="preserve"> </w:t>
      </w:r>
      <w:r w:rsidRPr="009C4FCC">
        <w:rPr>
          <w:rFonts w:ascii="Arial" w:hAnsi="Arial" w:cs="Arial"/>
        </w:rPr>
        <w:t>se</w:t>
      </w:r>
      <w:r w:rsidRPr="009C4FCC">
        <w:rPr>
          <w:rFonts w:ascii="Arial" w:hAnsi="Arial" w:cs="Arial"/>
          <w:spacing w:val="-3"/>
        </w:rPr>
        <w:t xml:space="preserve"> </w:t>
      </w:r>
      <w:r w:rsidRPr="009C4FCC">
        <w:rPr>
          <w:rFonts w:ascii="Arial" w:hAnsi="Arial" w:cs="Arial"/>
        </w:rPr>
        <w:t>requiera</w:t>
      </w:r>
      <w:r w:rsidRPr="009C4FCC">
        <w:rPr>
          <w:rFonts w:ascii="Arial" w:hAnsi="Arial" w:cs="Arial"/>
          <w:spacing w:val="-2"/>
        </w:rPr>
        <w:t xml:space="preserve"> </w:t>
      </w:r>
      <w:r w:rsidRPr="009C4FCC">
        <w:rPr>
          <w:rFonts w:ascii="Arial" w:hAnsi="Arial" w:cs="Arial"/>
        </w:rPr>
        <w:t>la</w:t>
      </w:r>
      <w:r w:rsidRPr="009C4FCC">
        <w:rPr>
          <w:rFonts w:ascii="Arial" w:hAnsi="Arial" w:cs="Arial"/>
          <w:spacing w:val="-3"/>
        </w:rPr>
        <w:t xml:space="preserve"> </w:t>
      </w:r>
      <w:r w:rsidRPr="009C4FCC">
        <w:rPr>
          <w:rFonts w:ascii="Arial" w:hAnsi="Arial" w:cs="Arial"/>
        </w:rPr>
        <w:t>verificación</w:t>
      </w:r>
      <w:r w:rsidRPr="009C4FCC">
        <w:rPr>
          <w:rFonts w:ascii="Arial" w:hAnsi="Arial" w:cs="Arial"/>
          <w:spacing w:val="-3"/>
        </w:rPr>
        <w:t xml:space="preserve"> </w:t>
      </w:r>
      <w:r w:rsidRPr="009C4FCC">
        <w:rPr>
          <w:rFonts w:ascii="Arial" w:hAnsi="Arial" w:cs="Arial"/>
        </w:rPr>
        <w:t>de</w:t>
      </w:r>
      <w:r w:rsidRPr="009C4FCC">
        <w:rPr>
          <w:rFonts w:ascii="Arial" w:hAnsi="Arial" w:cs="Arial"/>
          <w:spacing w:val="-2"/>
        </w:rPr>
        <w:t xml:space="preserve"> </w:t>
      </w:r>
      <w:r w:rsidRPr="009C4FCC">
        <w:rPr>
          <w:rFonts w:ascii="Arial" w:hAnsi="Arial" w:cs="Arial"/>
        </w:rPr>
        <w:t>requisitos</w:t>
      </w:r>
      <w:r w:rsidRPr="009C4FCC">
        <w:rPr>
          <w:rFonts w:ascii="Arial" w:hAnsi="Arial" w:cs="Arial"/>
          <w:spacing w:val="-3"/>
        </w:rPr>
        <w:t xml:space="preserve"> </w:t>
      </w:r>
      <w:r w:rsidRPr="009C4FCC">
        <w:rPr>
          <w:rFonts w:ascii="Arial" w:hAnsi="Arial" w:cs="Arial"/>
        </w:rPr>
        <w:t>del</w:t>
      </w:r>
      <w:r w:rsidRPr="009C4FCC">
        <w:rPr>
          <w:rFonts w:ascii="Arial" w:hAnsi="Arial" w:cs="Arial"/>
          <w:spacing w:val="-3"/>
        </w:rPr>
        <w:t xml:space="preserve"> </w:t>
      </w:r>
      <w:r w:rsidRPr="009C4FCC">
        <w:rPr>
          <w:rFonts w:ascii="Arial" w:hAnsi="Arial" w:cs="Arial"/>
        </w:rPr>
        <w:t>proponente adicionales a los contenidos en el RUP, la entidad podrá hacer tal verificación en forma</w:t>
      </w:r>
      <w:r w:rsidRPr="009C4FCC">
        <w:rPr>
          <w:rFonts w:ascii="Arial" w:hAnsi="Arial" w:cs="Arial"/>
          <w:spacing w:val="1"/>
        </w:rPr>
        <w:t xml:space="preserve"> </w:t>
      </w:r>
      <w:r w:rsidRPr="009C4FCC">
        <w:rPr>
          <w:rFonts w:ascii="Arial" w:hAnsi="Arial" w:cs="Arial"/>
        </w:rPr>
        <w:t>directa</w:t>
      </w:r>
      <w:r w:rsidRPr="009C4FCC">
        <w:rPr>
          <w:rFonts w:ascii="Arial" w:hAnsi="Arial" w:cs="Arial"/>
          <w:spacing w:val="-2"/>
        </w:rPr>
        <w:t xml:space="preserve"> </w:t>
      </w:r>
      <w:r w:rsidRPr="009C4FCC">
        <w:rPr>
          <w:rFonts w:ascii="Arial" w:hAnsi="Arial" w:cs="Arial"/>
        </w:rPr>
        <w:t>y</w:t>
      </w:r>
      <w:r w:rsidRPr="009C4FCC">
        <w:rPr>
          <w:rFonts w:ascii="Arial" w:hAnsi="Arial" w:cs="Arial"/>
          <w:spacing w:val="-1"/>
        </w:rPr>
        <w:t xml:space="preserve"> </w:t>
      </w:r>
      <w:r w:rsidRPr="009C4FCC">
        <w:rPr>
          <w:rFonts w:ascii="Arial" w:hAnsi="Arial" w:cs="Arial"/>
        </w:rPr>
        <w:t>solicitar</w:t>
      </w:r>
      <w:r w:rsidRPr="009C4FCC">
        <w:rPr>
          <w:rFonts w:ascii="Arial" w:hAnsi="Arial" w:cs="Arial"/>
          <w:spacing w:val="-2"/>
        </w:rPr>
        <w:t xml:space="preserve"> </w:t>
      </w:r>
      <w:r w:rsidRPr="009C4FCC">
        <w:rPr>
          <w:rFonts w:ascii="Arial" w:hAnsi="Arial" w:cs="Arial"/>
        </w:rPr>
        <w:t>documentos</w:t>
      </w:r>
      <w:r w:rsidRPr="009C4FCC">
        <w:rPr>
          <w:rFonts w:ascii="Arial" w:hAnsi="Arial" w:cs="Arial"/>
          <w:spacing w:val="-1"/>
        </w:rPr>
        <w:t xml:space="preserve"> </w:t>
      </w:r>
      <w:r w:rsidRPr="009C4FCC">
        <w:rPr>
          <w:rFonts w:ascii="Arial" w:hAnsi="Arial" w:cs="Arial"/>
        </w:rPr>
        <w:t>diferentes</w:t>
      </w:r>
      <w:r w:rsidRPr="009C4FCC">
        <w:rPr>
          <w:rFonts w:ascii="Arial" w:hAnsi="Arial" w:cs="Arial"/>
          <w:spacing w:val="-1"/>
        </w:rPr>
        <w:t xml:space="preserve"> </w:t>
      </w:r>
      <w:r w:rsidRPr="009C4FCC">
        <w:rPr>
          <w:rFonts w:ascii="Arial" w:hAnsi="Arial" w:cs="Arial"/>
        </w:rPr>
        <w:t>al</w:t>
      </w:r>
      <w:r w:rsidRPr="009C4FCC">
        <w:rPr>
          <w:rFonts w:ascii="Arial" w:hAnsi="Arial" w:cs="Arial"/>
          <w:spacing w:val="-2"/>
        </w:rPr>
        <w:t xml:space="preserve"> </w:t>
      </w:r>
      <w:r w:rsidRPr="009C4FCC">
        <w:rPr>
          <w:rFonts w:ascii="Arial" w:hAnsi="Arial" w:cs="Arial"/>
        </w:rPr>
        <w:t>mismo</w:t>
      </w:r>
      <w:r w:rsidRPr="009C4FCC">
        <w:rPr>
          <w:rStyle w:val="Refdenotaalpie"/>
          <w:rFonts w:ascii="Arial" w:hAnsi="Arial" w:cs="Arial"/>
        </w:rPr>
        <w:footnoteReference w:id="8"/>
      </w:r>
      <w:r w:rsidRPr="009C4FCC">
        <w:rPr>
          <w:rFonts w:ascii="Arial" w:hAnsi="Arial" w:cs="Arial"/>
        </w:rPr>
        <w:t>.</w:t>
      </w:r>
    </w:p>
    <w:p w14:paraId="3709C24F" w14:textId="77777777" w:rsidR="009E0BB2" w:rsidRPr="009C4FCC" w:rsidRDefault="009E0BB2" w:rsidP="009E0BB2">
      <w:pPr>
        <w:spacing w:after="120" w:line="276" w:lineRule="auto"/>
        <w:ind w:firstLine="708"/>
        <w:jc w:val="both"/>
        <w:rPr>
          <w:rFonts w:ascii="Arial" w:hAnsi="Arial" w:cs="Arial"/>
          <w:color w:val="000000" w:themeColor="text1"/>
        </w:rPr>
      </w:pPr>
      <w:r w:rsidRPr="009C4FCC">
        <w:rPr>
          <w:rFonts w:ascii="Arial" w:hAnsi="Arial" w:cs="Arial"/>
          <w:color w:val="000000" w:themeColor="text1"/>
        </w:rPr>
        <w:t xml:space="preserve">Así las cosas, 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w:t>
      </w:r>
    </w:p>
    <w:p w14:paraId="0C702200" w14:textId="77777777" w:rsidR="009E0BB2" w:rsidRPr="009C4FCC" w:rsidRDefault="009E0BB2" w:rsidP="009E0BB2">
      <w:pPr>
        <w:spacing w:after="120" w:line="276" w:lineRule="auto"/>
        <w:ind w:firstLine="708"/>
        <w:jc w:val="both"/>
        <w:rPr>
          <w:rFonts w:ascii="Arial" w:hAnsi="Arial" w:cs="Arial"/>
          <w:color w:val="000000" w:themeColor="text1"/>
        </w:rPr>
      </w:pPr>
      <w:r w:rsidRPr="009C4FCC">
        <w:rPr>
          <w:rFonts w:ascii="Arial" w:hAnsi="Arial" w:cs="Arial"/>
          <w:color w:val="000000" w:themeColor="text1"/>
        </w:rPr>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44D5108C" w14:textId="77777777" w:rsidR="009E0BB2" w:rsidRPr="009C4FCC" w:rsidRDefault="009E0BB2" w:rsidP="009E0BB2">
      <w:pPr>
        <w:spacing w:after="120" w:line="276" w:lineRule="auto"/>
        <w:ind w:firstLine="708"/>
        <w:jc w:val="both"/>
        <w:rPr>
          <w:rFonts w:ascii="Arial" w:hAnsi="Arial" w:cs="Arial"/>
          <w:color w:val="000000" w:themeColor="text1"/>
        </w:rPr>
      </w:pPr>
      <w:r w:rsidRPr="009C4FCC">
        <w:rPr>
          <w:rFonts w:ascii="Arial" w:hAnsi="Arial" w:cs="Arial"/>
          <w:color w:val="000000" w:themeColor="text1"/>
        </w:rPr>
        <w:t>En el mismo sentido, el Decreto 1082 de 2015</w:t>
      </w:r>
      <w:r w:rsidRPr="009C4FCC">
        <w:rPr>
          <w:rStyle w:val="Refdenotaalpie"/>
          <w:rFonts w:ascii="Arial" w:hAnsi="Arial" w:cs="Arial"/>
          <w:color w:val="000000" w:themeColor="text1"/>
        </w:rPr>
        <w:footnoteReference w:id="9"/>
      </w:r>
      <w:r w:rsidRPr="009C4FCC">
        <w:rPr>
          <w:rFonts w:ascii="Arial" w:hAnsi="Arial" w:cs="Arial"/>
          <w:color w:val="000000" w:themeColor="text1"/>
        </w:rPr>
        <w:t xml:space="preserve"> dispone quiénes deben inscribirse en el RUP, el momento de la renovación del registro, la información que puede actualizarse, y la posibilidad de solicitar la cancelación de la inscripción, en cualquier momento ante la Cámara de Comercio correspondiente</w:t>
      </w:r>
      <w:r w:rsidRPr="009C4FCC">
        <w:rPr>
          <w:rStyle w:val="Refdenotaalpie"/>
          <w:rFonts w:ascii="Arial" w:hAnsi="Arial" w:cs="Arial"/>
          <w:color w:val="000000" w:themeColor="text1"/>
        </w:rPr>
        <w:footnoteReference w:id="10"/>
      </w:r>
      <w:r w:rsidRPr="009C4FCC">
        <w:rPr>
          <w:rFonts w:ascii="Arial" w:hAnsi="Arial" w:cs="Arial"/>
          <w:color w:val="000000" w:themeColor="text1"/>
        </w:rPr>
        <w:t xml:space="preserve">. </w:t>
      </w:r>
    </w:p>
    <w:p w14:paraId="3CE8ADB1" w14:textId="77777777" w:rsidR="009E0BB2" w:rsidRPr="009C4FCC" w:rsidRDefault="009E0BB2" w:rsidP="009E0BB2">
      <w:pPr>
        <w:spacing w:after="120" w:line="276" w:lineRule="auto"/>
        <w:ind w:firstLine="708"/>
        <w:jc w:val="both"/>
        <w:rPr>
          <w:rFonts w:ascii="Arial" w:hAnsi="Arial" w:cs="Arial"/>
          <w:color w:val="000000" w:themeColor="text1"/>
        </w:rPr>
      </w:pPr>
      <w:r w:rsidRPr="009C4FCC">
        <w:rPr>
          <w:rFonts w:ascii="Arial" w:eastAsia="Calibri" w:hAnsi="Arial" w:cs="Arial"/>
        </w:rPr>
        <w:lastRenderedPageBreak/>
        <w:t xml:space="preserve">Conforme a lo anterior, el RUP constituye </w:t>
      </w:r>
      <w:r w:rsidRPr="009C4FCC">
        <w:rPr>
          <w:rFonts w:ascii="Arial" w:hAnsi="Arial" w:cs="Arial"/>
        </w:rPr>
        <w:t xml:space="preserve">plena prueba de las circunstancias que consten en él y que hayan sido verificadas por las Cámaras de Comercio, por lo cual es a través de este documento, en los casos en que es exigible, que las Entidades Estatales deben verificar las condiciones establecidas en el numeral 1 del artículo 5 de la Ley 1150 de 2007. </w:t>
      </w:r>
      <w:r w:rsidRPr="009C4FCC">
        <w:rPr>
          <w:rFonts w:ascii="Arial" w:hAnsi="Arial" w:cs="Arial"/>
          <w:color w:val="000000" w:themeColor="text1"/>
        </w:rPr>
        <w:t xml:space="preserve">En contraste, </w:t>
      </w:r>
      <w:r w:rsidRPr="009C4FCC">
        <w:rPr>
          <w:rFonts w:ascii="Arial" w:eastAsia="Calibri" w:hAnsi="Arial" w:cs="Arial"/>
        </w:rPr>
        <w:t>cuando por las características del objeto a contratar y con la finalidad de acreditar los aspectos necesarios para la escogencia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2007</w:t>
      </w:r>
      <w:r w:rsidRPr="009C4FCC">
        <w:rPr>
          <w:rStyle w:val="Refdenotaalpie"/>
          <w:rFonts w:ascii="Arial" w:eastAsia="Calibri" w:hAnsi="Arial" w:cs="Arial"/>
        </w:rPr>
        <w:footnoteReference w:id="11"/>
      </w:r>
      <w:r w:rsidRPr="009C4FCC">
        <w:rPr>
          <w:rFonts w:ascii="Arial" w:eastAsia="Calibri" w:hAnsi="Arial" w:cs="Arial"/>
        </w:rPr>
        <w:t xml:space="preserve">. En ambos supuestos, la entidad estatal, en el marco de la autonomía y la potestad de dirección que le asiste en los procesos de contratación que adelanta debe establecer en los Documentos del Proceso –particularmente en el pliego de condiciones o la invitación– los documentos o instrumentos que exigirá a los proponentes para acreditar las circunstancias necesarias. </w:t>
      </w:r>
    </w:p>
    <w:p w14:paraId="455C292E" w14:textId="77777777" w:rsidR="009E0BB2" w:rsidRPr="009C4FCC" w:rsidRDefault="009E0BB2" w:rsidP="009E0BB2">
      <w:pPr>
        <w:spacing w:after="0" w:line="276" w:lineRule="auto"/>
        <w:jc w:val="both"/>
        <w:rPr>
          <w:rFonts w:ascii="Arial" w:hAnsi="Arial" w:cs="Arial"/>
        </w:rPr>
      </w:pPr>
      <w:r w:rsidRPr="009C4FCC">
        <w:rPr>
          <w:rFonts w:ascii="Arial" w:eastAsia="Times New Roman" w:hAnsi="Arial" w:cs="Arial"/>
        </w:rPr>
        <w:t xml:space="preserve">    </w:t>
      </w:r>
      <w:r w:rsidRPr="009C4FCC">
        <w:rPr>
          <w:rFonts w:ascii="Arial" w:eastAsia="Times New Roman" w:hAnsi="Arial" w:cs="Arial"/>
        </w:rPr>
        <w:tab/>
        <w:t>Por su parte, el artículo 2.2.1.1.1.1.5.2 del Decreto 1082 de 2015 relaciona los documentos que debe aportar tanto la persona natural como jurídica para inscribirse en el RUP, entre ellos: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14:paraId="7BA4A74B" w14:textId="77777777" w:rsidR="009E0BB2" w:rsidRPr="009C4FCC" w:rsidRDefault="009E0BB2" w:rsidP="009E0BB2">
      <w:pPr>
        <w:spacing w:after="0" w:line="276" w:lineRule="auto"/>
        <w:ind w:firstLine="709"/>
        <w:contextualSpacing/>
        <w:jc w:val="both"/>
        <w:rPr>
          <w:rFonts w:ascii="Arial" w:hAnsi="Arial" w:cs="Arial"/>
        </w:rPr>
      </w:pPr>
    </w:p>
    <w:p w14:paraId="76B2E36D" w14:textId="77777777" w:rsidR="009E0BB2" w:rsidRPr="009C4FCC" w:rsidRDefault="009E0BB2" w:rsidP="009E0BB2">
      <w:pPr>
        <w:tabs>
          <w:tab w:val="left" w:pos="426"/>
        </w:tabs>
        <w:spacing w:after="0" w:line="276" w:lineRule="auto"/>
        <w:contextualSpacing/>
        <w:jc w:val="both"/>
        <w:rPr>
          <w:rFonts w:ascii="Arial" w:eastAsia="Arial" w:hAnsi="Arial" w:cs="Arial"/>
          <w:b/>
          <w:color w:val="000000" w:themeColor="text1"/>
        </w:rPr>
      </w:pPr>
      <w:r w:rsidRPr="009C4FCC">
        <w:rPr>
          <w:rFonts w:ascii="Arial" w:eastAsia="Arial" w:hAnsi="Arial" w:cs="Arial"/>
          <w:b/>
        </w:rPr>
        <w:t xml:space="preserve">2.2. </w:t>
      </w:r>
      <w:r w:rsidRPr="009C4FCC">
        <w:rPr>
          <w:rFonts w:ascii="Arial" w:eastAsia="Times New Roman" w:hAnsi="Arial" w:cs="Arial"/>
          <w:b/>
          <w:bCs/>
          <w:lang w:eastAsia="es-ES_tradnl"/>
        </w:rPr>
        <w:t>Antecedentes y fundamentos de los documentos tipo aplicables a la contratación estatal</w:t>
      </w:r>
    </w:p>
    <w:p w14:paraId="47CBBE1D" w14:textId="77777777" w:rsidR="009E0BB2" w:rsidRPr="009C4FCC" w:rsidRDefault="009E0BB2" w:rsidP="009E0BB2">
      <w:pPr>
        <w:tabs>
          <w:tab w:val="left" w:pos="426"/>
        </w:tabs>
        <w:spacing w:after="0" w:line="276" w:lineRule="auto"/>
        <w:contextualSpacing/>
        <w:jc w:val="both"/>
        <w:rPr>
          <w:rFonts w:ascii="Arial" w:hAnsi="Arial" w:cs="Arial"/>
        </w:rPr>
      </w:pPr>
    </w:p>
    <w:p w14:paraId="6E493F91" w14:textId="77777777" w:rsidR="009E0BB2" w:rsidRPr="009C4FCC" w:rsidRDefault="009E0BB2" w:rsidP="009E0BB2">
      <w:pPr>
        <w:spacing w:after="120" w:line="276" w:lineRule="auto"/>
        <w:jc w:val="both"/>
        <w:rPr>
          <w:rFonts w:ascii="Arial" w:eastAsia="Calibri" w:hAnsi="Arial" w:cs="Arial"/>
          <w:color w:val="000000"/>
          <w:lang w:val="es-ES" w:eastAsia="es-ES_tradnl"/>
        </w:rPr>
      </w:pPr>
      <w:r w:rsidRPr="009C4FCC">
        <w:rPr>
          <w:rFonts w:ascii="Arial" w:eastAsia="Calibri" w:hAnsi="Arial" w:cs="Arial"/>
          <w:color w:val="000000"/>
          <w:lang w:val="es-ES" w:eastAsia="es-ES_tradnl"/>
        </w:rPr>
        <w:t>La adopción de los documentos tipo obligatorios en el ordenamiento jurídico colombiano se incluyó por primera vez en el parágrafo 3 del artículo 2 de la Ley 1150 de 2007</w:t>
      </w:r>
      <w:r w:rsidRPr="009C4FCC">
        <w:rPr>
          <w:rFonts w:ascii="Arial" w:eastAsia="Calibri" w:hAnsi="Arial" w:cs="Arial"/>
          <w:color w:val="000000"/>
          <w:vertAlign w:val="superscript"/>
          <w:lang w:val="es-ES" w:eastAsia="es-ES_tradnl"/>
        </w:rPr>
        <w:footnoteReference w:id="12"/>
      </w:r>
      <w:r w:rsidRPr="009C4FCC">
        <w:rPr>
          <w:rFonts w:ascii="Arial" w:eastAsia="Calibri" w:hAnsi="Arial" w:cs="Arial"/>
          <w:color w:val="000000"/>
          <w:lang w:val="es-ES" w:eastAsia="es-ES_tradnl"/>
        </w:rPr>
        <w:t xml:space="preserve">, que facultó al </w:t>
      </w:r>
      <w:r w:rsidRPr="009C4FCC">
        <w:rPr>
          <w:rFonts w:ascii="Arial" w:eastAsia="Calibri" w:hAnsi="Arial" w:cs="Arial"/>
          <w:color w:val="000000"/>
          <w:lang w:val="es-ES" w:eastAsia="es-ES_tradnl"/>
        </w:rPr>
        <w:lastRenderedPageBreak/>
        <w:t xml:space="preserve">Gobierno Nacional para expedirlos, cuando se tratara de la adquisición o suministro de bienes y servicios de características técnicas uniformes y de común utilización. Sin embargo, esta facultad no ha sido ejercida hasta la actualidad. </w:t>
      </w:r>
    </w:p>
    <w:p w14:paraId="0B188023" w14:textId="77777777" w:rsidR="009E0BB2" w:rsidRPr="009C4FCC" w:rsidRDefault="009E0BB2" w:rsidP="009E0BB2">
      <w:pPr>
        <w:spacing w:after="120" w:line="276" w:lineRule="auto"/>
        <w:ind w:firstLine="708"/>
        <w:jc w:val="both"/>
        <w:rPr>
          <w:rFonts w:ascii="Arial" w:eastAsia="Calibri" w:hAnsi="Arial" w:cs="Arial"/>
          <w:color w:val="000000"/>
          <w:lang w:val="es-ES" w:eastAsia="es-ES_tradnl"/>
        </w:rPr>
      </w:pPr>
      <w:r w:rsidRPr="009C4FCC">
        <w:rPr>
          <w:rFonts w:ascii="Arial" w:eastAsia="Calibri" w:hAnsi="Arial" w:cs="Arial"/>
          <w:color w:val="000000"/>
          <w:lang w:val="es-ES" w:eastAsia="es-ES_tradnl"/>
        </w:rPr>
        <w:t xml:space="preserve">Debido a lo anterior, el artículo 4 de la Ley 1882 de 2018, por medio del cual se adicionó el parágrafo 7 del artículo 2 de la Ley 1150 de 2007, es el antecedente más relevante de la expedición de documentos tipo con alcance obligatorio. A partir de esta norma se determinó la obligatoriedad por parte de todas las entidades sometidas al EGCAP de aplicar los documentos tipo adoptados por el gobierno nacional. En virtud de las competencias atribuidas por la Ley 1882 de 2018 se expidieron varios documentos tipo para el sector de infraestructura de transporte. </w:t>
      </w:r>
    </w:p>
    <w:p w14:paraId="45F865E7" w14:textId="77777777" w:rsidR="009E0BB2" w:rsidRPr="009C4FCC" w:rsidRDefault="009E0BB2" w:rsidP="009E0BB2">
      <w:pPr>
        <w:spacing w:after="120" w:line="276" w:lineRule="auto"/>
        <w:ind w:firstLine="708"/>
        <w:jc w:val="both"/>
        <w:rPr>
          <w:rFonts w:ascii="Arial" w:eastAsia="Calibri" w:hAnsi="Arial" w:cs="Arial"/>
          <w:color w:val="000000"/>
          <w:lang w:val="es-ES" w:eastAsia="es-ES_tradnl"/>
        </w:rPr>
      </w:pPr>
      <w:r w:rsidRPr="009C4FCC">
        <w:rPr>
          <w:rFonts w:ascii="Arial" w:eastAsia="Calibri" w:hAnsi="Arial" w:cs="Arial"/>
          <w:color w:val="000000"/>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EGCAP en los procesos de selección que adelantaran</w:t>
      </w:r>
      <w:r w:rsidRPr="009C4FCC">
        <w:rPr>
          <w:rFonts w:ascii="Arial" w:eastAsia="Calibri" w:hAnsi="Arial" w:cs="Arial"/>
          <w:color w:val="000000"/>
          <w:vertAlign w:val="superscript"/>
          <w:lang w:val="es-ES" w:eastAsia="es-ES_tradnl"/>
        </w:rPr>
        <w:footnoteReference w:id="13"/>
      </w:r>
      <w:r w:rsidRPr="009C4FCC">
        <w:rPr>
          <w:rFonts w:ascii="Arial" w:eastAsia="Calibri" w:hAnsi="Arial" w:cs="Arial"/>
          <w:color w:val="000000"/>
          <w:lang w:val="es-ES" w:eastAsia="es-ES_tradnl"/>
        </w:rPr>
        <w:t>.</w:t>
      </w:r>
    </w:p>
    <w:p w14:paraId="656A28AE" w14:textId="77777777" w:rsidR="009E0BB2" w:rsidRPr="009C4FCC" w:rsidRDefault="009E0BB2" w:rsidP="009E0BB2">
      <w:pPr>
        <w:spacing w:after="120" w:line="276" w:lineRule="auto"/>
        <w:jc w:val="both"/>
        <w:rPr>
          <w:rFonts w:ascii="Arial" w:eastAsia="Calibri" w:hAnsi="Arial" w:cs="Arial"/>
          <w:color w:val="000000"/>
          <w:lang w:val="es-ES" w:eastAsia="es-ES_tradnl"/>
        </w:rPr>
      </w:pPr>
      <w:r w:rsidRPr="009C4FCC">
        <w:rPr>
          <w:rFonts w:ascii="Arial" w:eastAsia="Calibri" w:hAnsi="Arial" w:cs="Arial"/>
          <w:color w:val="000000"/>
          <w:lang w:val="es-ES" w:eastAsia="es-ES_tradnl"/>
        </w:rPr>
        <w:tab/>
        <w:t xml:space="preserve">Así 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4A78C47" w14:textId="77777777" w:rsidR="009E0BB2" w:rsidRPr="009C4FCC" w:rsidRDefault="009E0BB2" w:rsidP="009E0BB2">
      <w:pPr>
        <w:spacing w:after="120" w:line="276" w:lineRule="auto"/>
        <w:jc w:val="both"/>
        <w:rPr>
          <w:rFonts w:ascii="Arial" w:eastAsia="Calibri" w:hAnsi="Arial" w:cs="Arial"/>
          <w:color w:val="000000"/>
          <w:lang w:val="es-ES" w:eastAsia="es-ES_tradnl"/>
        </w:rPr>
      </w:pPr>
      <w:r w:rsidRPr="009C4FCC">
        <w:rPr>
          <w:rFonts w:ascii="Arial" w:eastAsia="Calibri" w:hAnsi="Arial" w:cs="Arial"/>
          <w:color w:val="000000"/>
          <w:lang w:val="es-ES" w:eastAsia="es-ES_tradnl"/>
        </w:rPr>
        <w:lastRenderedPageBreak/>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w:t>
      </w:r>
      <w:proofErr w:type="spellStart"/>
      <w:r w:rsidRPr="009C4FCC">
        <w:rPr>
          <w:rFonts w:ascii="Arial" w:eastAsia="Calibri" w:hAnsi="Arial" w:cs="Arial"/>
          <w:color w:val="000000"/>
          <w:lang w:val="es-ES" w:eastAsia="es-ES_tradnl"/>
        </w:rPr>
        <w:t>iii</w:t>
      </w:r>
      <w:proofErr w:type="spellEnd"/>
      <w:r w:rsidRPr="009C4FCC">
        <w:rPr>
          <w:rFonts w:ascii="Arial" w:eastAsia="Calibri" w:hAnsi="Arial" w:cs="Arial"/>
          <w:color w:val="000000"/>
          <w:lang w:val="es-ES" w:eastAsia="es-ES_tradnl"/>
        </w:rPr>
        <w:t xml:space="preserve">) eran de obligatorio cumplimiento por parte de todas las entidades sometidas al EGCAP; </w:t>
      </w:r>
      <w:proofErr w:type="spellStart"/>
      <w:r w:rsidRPr="009C4FCC">
        <w:rPr>
          <w:rFonts w:ascii="Arial" w:eastAsia="Calibri" w:hAnsi="Arial" w:cs="Arial"/>
          <w:color w:val="000000"/>
          <w:lang w:val="es-ES" w:eastAsia="es-ES_tradnl"/>
        </w:rPr>
        <w:t>iv</w:t>
      </w:r>
      <w:proofErr w:type="spellEnd"/>
      <w:r w:rsidRPr="009C4FCC">
        <w:rPr>
          <w:rFonts w:ascii="Arial" w:eastAsia="Calibri" w:hAnsi="Arial" w:cs="Arial"/>
          <w:color w:val="000000"/>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1ABD5D4E" w14:textId="77777777" w:rsidR="009E0BB2" w:rsidRPr="009C4FCC" w:rsidRDefault="009E0BB2" w:rsidP="009E0BB2">
      <w:pPr>
        <w:spacing w:after="120" w:line="276" w:lineRule="auto"/>
        <w:jc w:val="both"/>
        <w:rPr>
          <w:rFonts w:ascii="Arial" w:eastAsia="Calibri" w:hAnsi="Arial" w:cs="Arial"/>
          <w:color w:val="000000"/>
          <w:lang w:val="es-ES" w:eastAsia="es-ES_tradnl"/>
        </w:rPr>
      </w:pPr>
      <w:r w:rsidRPr="009C4FCC">
        <w:rPr>
          <w:rFonts w:ascii="Arial" w:eastAsia="Calibri" w:hAnsi="Arial" w:cs="Arial"/>
          <w:color w:val="000000"/>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9C4FCC">
        <w:rPr>
          <w:rFonts w:ascii="Arial" w:eastAsia="Calibri" w:hAnsi="Arial" w:cs="Arial"/>
          <w:color w:val="000000"/>
          <w:vertAlign w:val="superscript"/>
          <w:lang w:val="es-ES" w:eastAsia="es-ES_tradnl"/>
        </w:rPr>
        <w:footnoteReference w:id="14"/>
      </w:r>
      <w:r w:rsidRPr="009C4FCC">
        <w:rPr>
          <w:rFonts w:ascii="Arial" w:eastAsia="Calibri" w:hAnsi="Arial" w:cs="Arial"/>
          <w:color w:val="000000"/>
          <w:lang w:val="es-ES" w:eastAsia="es-ES_tradnl"/>
        </w:rPr>
        <w:t>.</w:t>
      </w:r>
    </w:p>
    <w:p w14:paraId="6DB1472F" w14:textId="77777777" w:rsidR="009E0BB2" w:rsidRPr="009C4FCC" w:rsidRDefault="009E0BB2" w:rsidP="009E0BB2">
      <w:pPr>
        <w:spacing w:after="120" w:line="276" w:lineRule="auto"/>
        <w:jc w:val="both"/>
        <w:rPr>
          <w:rFonts w:ascii="Arial" w:eastAsia="Calibri" w:hAnsi="Arial" w:cs="Arial"/>
          <w:color w:val="000000"/>
          <w:lang w:val="es-ES" w:eastAsia="es-ES_tradnl"/>
        </w:rPr>
      </w:pPr>
      <w:r w:rsidRPr="009C4FCC">
        <w:rPr>
          <w:rFonts w:ascii="Arial" w:eastAsia="Calibri" w:hAnsi="Arial" w:cs="Arial"/>
          <w:color w:val="000000"/>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4504CBB6" w14:textId="77777777" w:rsidR="009E0BB2" w:rsidRPr="009C4FCC" w:rsidRDefault="009E0BB2" w:rsidP="009E0BB2">
      <w:pPr>
        <w:spacing w:after="120" w:line="276" w:lineRule="auto"/>
        <w:jc w:val="both"/>
        <w:rPr>
          <w:rFonts w:ascii="Arial" w:eastAsia="Calibri" w:hAnsi="Arial" w:cs="Arial"/>
          <w:color w:val="000000"/>
          <w:lang w:val="es-ES" w:eastAsia="es-ES_tradnl"/>
        </w:rPr>
      </w:pPr>
      <w:r w:rsidRPr="009C4FCC">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p>
    <w:p w14:paraId="6407E5D9" w14:textId="77777777" w:rsidR="009E0BB2" w:rsidRPr="009C4FCC" w:rsidRDefault="009E0BB2" w:rsidP="009E0BB2">
      <w:pPr>
        <w:spacing w:after="120" w:line="276" w:lineRule="auto"/>
        <w:ind w:firstLine="708"/>
        <w:jc w:val="both"/>
        <w:rPr>
          <w:rFonts w:ascii="Arial" w:eastAsia="Calibri" w:hAnsi="Arial" w:cs="Arial"/>
          <w:lang w:val="es-ES"/>
        </w:rPr>
      </w:pPr>
      <w:r w:rsidRPr="009C4FCC">
        <w:rPr>
          <w:rFonts w:ascii="Arial" w:eastAsia="Calibri" w:hAnsi="Arial" w:cs="Arial"/>
          <w:lang w:val="es-ES"/>
        </w:rPr>
        <w:lastRenderedPageBreak/>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E09A2C8" w14:textId="77777777" w:rsidR="009E0BB2" w:rsidRPr="009C4FCC" w:rsidRDefault="009E0BB2" w:rsidP="009E0BB2">
      <w:pPr>
        <w:spacing w:after="120" w:line="276" w:lineRule="auto"/>
        <w:jc w:val="both"/>
        <w:rPr>
          <w:rFonts w:ascii="Arial" w:eastAsia="Calibri" w:hAnsi="Arial" w:cs="Arial"/>
          <w:color w:val="000000"/>
          <w:lang w:val="es-ES" w:eastAsia="es-ES_tradnl"/>
        </w:rPr>
      </w:pPr>
      <w:r w:rsidRPr="009C4FCC">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9C4FCC" w:rsidDel="00A434AB">
        <w:rPr>
          <w:rFonts w:ascii="Arial" w:eastAsia="Calibri" w:hAnsi="Arial" w:cs="Arial"/>
          <w:lang w:val="es-ES"/>
        </w:rPr>
        <w:t xml:space="preserve"> </w:t>
      </w:r>
      <w:r w:rsidRPr="009C4FCC">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72B68A2D" w14:textId="77777777" w:rsidR="009E0BB2" w:rsidRPr="009C4FCC" w:rsidRDefault="009E0BB2" w:rsidP="009E0BB2">
      <w:pPr>
        <w:spacing w:after="120" w:line="276" w:lineRule="auto"/>
        <w:ind w:firstLine="709"/>
        <w:jc w:val="both"/>
        <w:rPr>
          <w:rFonts w:ascii="Arial" w:eastAsia="Calibri" w:hAnsi="Arial" w:cs="Arial"/>
          <w:color w:val="000000"/>
          <w:lang w:val="es-ES" w:eastAsia="es-ES"/>
        </w:rPr>
      </w:pPr>
      <w:r w:rsidRPr="009C4FCC">
        <w:rPr>
          <w:rFonts w:ascii="Arial" w:eastAsia="Calibri" w:hAnsi="Arial" w:cs="Arial"/>
          <w:color w:val="000000"/>
          <w:lang w:val="es-ES" w:eastAsia="es-ES"/>
        </w:rPr>
        <w:t>Por otra parte</w:t>
      </w:r>
      <w:r w:rsidRPr="009C4FCC">
        <w:rPr>
          <w:rFonts w:ascii="Arial" w:eastAsia="Calibri" w:hAnsi="Arial" w:cs="Arial"/>
          <w:i/>
          <w:iCs/>
          <w:color w:val="000000"/>
          <w:lang w:val="es-ES" w:eastAsia="es-ES"/>
        </w:rPr>
        <w:t>,</w:t>
      </w:r>
      <w:r w:rsidRPr="009C4FCC">
        <w:rPr>
          <w:rFonts w:ascii="Arial" w:eastAsia="Calibri" w:hAnsi="Arial" w:cs="Arial"/>
          <w:color w:val="000000"/>
          <w:lang w:val="es-ES" w:eastAsia="es-ES"/>
        </w:rPr>
        <w:t xml:space="preserve"> debe tenerse en cuenta que el 22 de julio de 2020 fue sancionada la Ley 2022 de 2020 por el presidente de la República,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9C4FCC">
        <w:rPr>
          <w:rFonts w:ascii="Arial" w:eastAsia="Calibri" w:hAnsi="Arial" w:cs="Arial"/>
          <w:color w:val="000000"/>
          <w:vertAlign w:val="superscript"/>
          <w:lang w:val="es-ES" w:eastAsia="es-ES"/>
        </w:rPr>
        <w:footnoteReference w:id="15"/>
      </w:r>
      <w:r w:rsidRPr="009C4FCC">
        <w:rPr>
          <w:rFonts w:ascii="Arial" w:eastAsia="Calibri" w:hAnsi="Arial" w:cs="Arial"/>
          <w:color w:val="000000"/>
          <w:lang w:val="es-ES" w:eastAsia="es-ES"/>
        </w:rPr>
        <w:t xml:space="preserve">. En este sentido, con la finalidad de </w:t>
      </w:r>
      <w:r w:rsidRPr="009C4FCC">
        <w:rPr>
          <w:rFonts w:ascii="Arial" w:eastAsia="Calibri" w:hAnsi="Arial" w:cs="Arial"/>
          <w:color w:val="000000"/>
          <w:lang w:val="es-ES" w:eastAsia="es-ES"/>
        </w:rPr>
        <w:lastRenderedPageBreak/>
        <w:t xml:space="preserve">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5FDFD10A" w14:textId="77777777" w:rsidR="009E0BB2" w:rsidRPr="009C4FCC" w:rsidRDefault="009E0BB2" w:rsidP="009E0BB2">
      <w:pPr>
        <w:spacing w:after="120" w:line="276" w:lineRule="auto"/>
        <w:ind w:firstLine="709"/>
        <w:jc w:val="both"/>
        <w:rPr>
          <w:rFonts w:ascii="Arial" w:eastAsia="Calibri" w:hAnsi="Arial" w:cs="Arial"/>
          <w:color w:val="000000"/>
          <w:lang w:val="es-ES" w:eastAsia="es-ES"/>
        </w:rPr>
      </w:pPr>
      <w:r w:rsidRPr="009C4FCC">
        <w:rPr>
          <w:rFonts w:ascii="Arial" w:eastAsia="Calibri" w:hAnsi="Arial" w:cs="Arial"/>
          <w:color w:val="000000"/>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w:t>
      </w:r>
    </w:p>
    <w:p w14:paraId="28634DAB" w14:textId="77777777" w:rsidR="009E0BB2" w:rsidRPr="009C4FCC" w:rsidRDefault="009E0BB2" w:rsidP="009E0BB2">
      <w:pPr>
        <w:spacing w:after="120" w:line="276" w:lineRule="auto"/>
        <w:ind w:firstLine="709"/>
        <w:jc w:val="both"/>
        <w:rPr>
          <w:rFonts w:ascii="Arial" w:eastAsia="Calibri" w:hAnsi="Arial" w:cs="Arial"/>
          <w:lang w:val="es-ES" w:eastAsia="es-ES"/>
        </w:rPr>
      </w:pPr>
      <w:r w:rsidRPr="009C4FCC">
        <w:rPr>
          <w:rFonts w:ascii="Arial" w:eastAsia="Calibri" w:hAnsi="Arial" w:cs="Arial"/>
          <w:color w:val="000000"/>
          <w:lang w:val="es-ES" w:eastAsia="es-ES"/>
        </w:rPr>
        <w:t>Así mismo, en el transcurso del año 2021, esta Agencia expidió</w:t>
      </w:r>
      <w:r w:rsidRPr="009C4FCC">
        <w:rPr>
          <w:rFonts w:ascii="Arial" w:eastAsia="Calibri" w:hAnsi="Arial" w:cs="Arial"/>
          <w:lang w:val="es-ES" w:eastAsia="es-ES"/>
        </w:rPr>
        <w:t xml:space="preserve"> la Resolución 161 de 2021 «Por la cual se modifican los documentos tipo adoptados por la Agencia Nacional de Contratación Pública - Colombia Compra Eficiente», esta última versión de los pliegos tipo rige desde el 28 de junio de 2021. Además, se profirió</w:t>
      </w:r>
      <w:r w:rsidRPr="009C4FCC">
        <w:rPr>
          <w:rFonts w:ascii="Arial" w:eastAsia="Calibri" w:hAnsi="Arial" w:cs="Arial"/>
          <w:color w:val="000000"/>
          <w:lang w:val="es-ES" w:eastAsia="es-ES"/>
        </w:rPr>
        <w:t xml:space="preserve"> la Resolución 193 del 14 de julio de 2021 «Por la cual se adoptan los documentos tipo para los procesos de </w:t>
      </w:r>
      <w:r w:rsidRPr="009C4FCC">
        <w:rPr>
          <w:rFonts w:ascii="Arial" w:eastAsia="Calibri" w:hAnsi="Arial" w:cs="Arial"/>
          <w:lang w:val="es-ES" w:eastAsia="es-ES"/>
        </w:rPr>
        <w:t>selección de concurso de méritos, para contratar la consultoría de estudios de ingeniería de infraestructura de transporte».</w:t>
      </w:r>
    </w:p>
    <w:p w14:paraId="04A75538" w14:textId="77777777" w:rsidR="009E0BB2" w:rsidRPr="009C4FCC" w:rsidRDefault="009E0BB2" w:rsidP="009E0BB2">
      <w:pPr>
        <w:spacing w:after="120" w:line="276" w:lineRule="auto"/>
        <w:ind w:firstLine="708"/>
        <w:jc w:val="both"/>
        <w:rPr>
          <w:rFonts w:ascii="Arial" w:eastAsia="Calibri" w:hAnsi="Arial" w:cs="Arial"/>
          <w:spacing w:val="2"/>
          <w:lang w:eastAsia="es-CO"/>
        </w:rPr>
      </w:pPr>
      <w:r w:rsidRPr="009C4FCC">
        <w:rPr>
          <w:rFonts w:ascii="Arial" w:eastAsia="Times New Roman" w:hAnsi="Arial" w:cs="Arial"/>
          <w:spacing w:val="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Pr="009C4FCC">
        <w:rPr>
          <w:rFonts w:ascii="Arial" w:eastAsia="Calibri" w:hAnsi="Arial" w:cs="Arial"/>
          <w:spacing w:val="2"/>
          <w:lang w:eastAsia="es-CO"/>
        </w:rPr>
        <w:t xml:space="preserve">Ante este cambio normativo, se expidió la Resolución 304 del 13 de octubre de 2021, la cual ajusta los documentos tipo a las nuevas reglas de origen aplicables a los servicios nacionales. </w:t>
      </w:r>
      <w:r w:rsidRPr="009C4FCC">
        <w:rPr>
          <w:rFonts w:ascii="Arial" w:eastAsia="Calibri" w:hAnsi="Arial" w:cs="Arial"/>
          <w:lang w:val="es-ES_tradnl" w:eastAsia="es-ES"/>
        </w:rPr>
        <w:t>La principal modificación realizada en esta resolución consiste en la modificación al factor de evaluación de apoyo a la industria nacional.</w:t>
      </w:r>
    </w:p>
    <w:p w14:paraId="227CEC62" w14:textId="77777777" w:rsidR="009E0BB2" w:rsidRPr="009C4FCC" w:rsidRDefault="009E0BB2" w:rsidP="009E0BB2">
      <w:pPr>
        <w:spacing w:after="120" w:line="276" w:lineRule="auto"/>
        <w:ind w:firstLine="709"/>
        <w:jc w:val="both"/>
        <w:rPr>
          <w:rFonts w:ascii="Arial" w:hAnsi="Arial" w:cs="Arial"/>
        </w:rPr>
      </w:pPr>
      <w:r w:rsidRPr="009C4FCC">
        <w:rPr>
          <w:rFonts w:ascii="Arial" w:eastAsia="Arial" w:hAnsi="Arial" w:cs="Arial"/>
        </w:rPr>
        <w:t xml:space="preserve">No obstante, con la expedición de la Ley de Emprendimiento, estos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2D85376E" w14:textId="77777777" w:rsidR="009E0BB2" w:rsidRPr="009C4FCC" w:rsidRDefault="009E0BB2" w:rsidP="009E0BB2">
      <w:pPr>
        <w:spacing w:after="120" w:line="276" w:lineRule="auto"/>
        <w:ind w:firstLine="709"/>
        <w:jc w:val="both"/>
        <w:rPr>
          <w:rFonts w:ascii="Arial" w:eastAsia="Arial" w:hAnsi="Arial" w:cs="Arial"/>
        </w:rPr>
      </w:pPr>
      <w:r w:rsidRPr="009C4FCC">
        <w:rPr>
          <w:rFonts w:ascii="Arial" w:eastAsia="Arial" w:hAnsi="Arial" w:cs="Arial"/>
        </w:rPr>
        <w:lastRenderedPageBreak/>
        <w:t xml:space="preserve">Además,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 </w:t>
      </w:r>
    </w:p>
    <w:p w14:paraId="6AAC49E7" w14:textId="77777777" w:rsidR="009E0BB2" w:rsidRPr="009C4FCC" w:rsidRDefault="009E0BB2" w:rsidP="009E0BB2">
      <w:pPr>
        <w:shd w:val="clear" w:color="auto" w:fill="FFFFFF"/>
        <w:spacing w:after="120" w:line="276" w:lineRule="auto"/>
        <w:ind w:firstLine="709"/>
        <w:jc w:val="both"/>
        <w:rPr>
          <w:rFonts w:ascii="Arial" w:eastAsia="Calibri" w:hAnsi="Arial" w:cs="Arial"/>
          <w:color w:val="0D0D0D"/>
          <w:bdr w:val="none" w:sz="0" w:space="0" w:color="auto" w:frame="1"/>
          <w:lang w:val="es-MX" w:eastAsia="es-CO"/>
        </w:rPr>
      </w:pPr>
      <w:r w:rsidRPr="009C4FCC">
        <w:rPr>
          <w:rFonts w:ascii="Arial" w:eastAsia="Calibri" w:hAnsi="Arial" w:cs="Arial"/>
          <w:color w:val="0D0D0D"/>
          <w:bdr w:val="none" w:sz="0" w:space="0" w:color="auto" w:frame="1"/>
          <w:lang w:val="es-MX" w:eastAsia="es-CO"/>
        </w:rPr>
        <w:t>Ahora bien,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Esta última modificación aplica a los procesos cuyo aviso de convocatoria se publique a partir del 29 de agosto de 2022.</w:t>
      </w:r>
    </w:p>
    <w:p w14:paraId="6E9C260A" w14:textId="77777777" w:rsidR="009E0BB2" w:rsidRPr="009C4FCC" w:rsidRDefault="009E0BB2" w:rsidP="009E0BB2">
      <w:pPr>
        <w:spacing w:after="120" w:line="276" w:lineRule="auto"/>
        <w:ind w:firstLine="709"/>
        <w:jc w:val="both"/>
        <w:rPr>
          <w:rFonts w:ascii="Arial" w:hAnsi="Arial" w:cs="Arial"/>
        </w:rPr>
      </w:pPr>
      <w:r w:rsidRPr="009C4FCC">
        <w:rPr>
          <w:rFonts w:ascii="Arial" w:eastAsia="Calibri" w:hAnsi="Arial" w:cs="Arial"/>
          <w:lang w:val="es-MX"/>
        </w:rPr>
        <w:t xml:space="preserve">De acuerdo con lo expuesto, </w:t>
      </w:r>
      <w:r w:rsidRPr="009C4FCC">
        <w:rPr>
          <w:rFonts w:ascii="Arial" w:eastAsia="Calibri" w:hAnsi="Arial" w:cs="Arial"/>
          <w:bdr w:val="none" w:sz="0" w:space="0" w:color="auto" w:frame="1"/>
          <w:lang w:val="es-MX"/>
        </w:rPr>
        <w:t xml:space="preserve">los documentos tipo adoptados son obligatorios para las entidades estatales cuyos contratos se rijan por el EGCAP, que adelanten procesos de contratación mediante la modalidad que establecen los documentos tipo para cada sector y teniendo en cuenta el ámbito de aplicación determinado en la Matriz de Experiencia de cada documento tipo. </w:t>
      </w:r>
      <w:r w:rsidRPr="009C4FCC">
        <w:rPr>
          <w:rFonts w:ascii="Arial" w:eastAsia="Arial" w:hAnsi="Arial" w:cs="Arial"/>
        </w:rPr>
        <w:t>Cabe aclarar que esta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y que procuren el adecuado desarrollo de los principios que rigen la contratación pública.</w:t>
      </w:r>
    </w:p>
    <w:p w14:paraId="776C48E3" w14:textId="77777777" w:rsidR="009E0BB2" w:rsidRPr="009C4FCC" w:rsidRDefault="009E0BB2" w:rsidP="009E0BB2">
      <w:pPr>
        <w:spacing w:after="120" w:line="276" w:lineRule="auto"/>
        <w:ind w:firstLine="708"/>
        <w:jc w:val="both"/>
        <w:rPr>
          <w:rFonts w:ascii="Arial" w:hAnsi="Arial" w:cs="Arial"/>
        </w:rPr>
      </w:pPr>
      <w:r w:rsidRPr="009C4FCC">
        <w:rPr>
          <w:rFonts w:ascii="Arial" w:hAnsi="Arial" w:cs="Arial"/>
        </w:rPr>
        <w:t>Finalmente, cabe señalar que, los documentos tipo están constituidos por un documento principal -Pliego de Condiciones Tipo o Documento Base- que constituye la columna vertebral de estos. Este documento está acompañado por Anexos, Formatos, Formularios y Matrices de la siguiente manera:</w:t>
      </w:r>
    </w:p>
    <w:p w14:paraId="10352507" w14:textId="77777777" w:rsidR="009E0BB2" w:rsidRPr="009C4FCC" w:rsidRDefault="009E0BB2" w:rsidP="009E0BB2">
      <w:pPr>
        <w:pStyle w:val="Prrafodelista"/>
        <w:numPr>
          <w:ilvl w:val="0"/>
          <w:numId w:val="1"/>
        </w:numPr>
        <w:spacing w:after="120" w:line="276" w:lineRule="auto"/>
        <w:jc w:val="both"/>
        <w:rPr>
          <w:rFonts w:ascii="Arial" w:eastAsia="Calibri" w:hAnsi="Arial" w:cs="Arial"/>
          <w:lang w:val="es-ES_tradnl"/>
        </w:rPr>
      </w:pPr>
      <w:r w:rsidRPr="009C4FCC">
        <w:rPr>
          <w:rFonts w:ascii="Arial" w:hAnsi="Arial" w:cs="Arial"/>
        </w:rPr>
        <w:t xml:space="preserve">Anexos: Incluyen los aspectos particulares de la obra, los cuales deben ser estructurados por la entidad en la fase de planeación; sin que sea posible incluir aspectos contrarios a los documentos tipo. </w:t>
      </w:r>
    </w:p>
    <w:p w14:paraId="61DA3B0F" w14:textId="77777777" w:rsidR="009E0BB2" w:rsidRPr="009C4FCC" w:rsidRDefault="009E0BB2" w:rsidP="009E0BB2">
      <w:pPr>
        <w:pStyle w:val="Prrafodelista"/>
        <w:numPr>
          <w:ilvl w:val="0"/>
          <w:numId w:val="1"/>
        </w:numPr>
        <w:spacing w:after="120" w:line="276" w:lineRule="auto"/>
        <w:jc w:val="both"/>
        <w:rPr>
          <w:rFonts w:ascii="Arial" w:eastAsia="Calibri" w:hAnsi="Arial" w:cs="Arial"/>
          <w:lang w:val="es-ES_tradnl"/>
        </w:rPr>
      </w:pPr>
      <w:r w:rsidRPr="009C4FCC">
        <w:rPr>
          <w:rFonts w:ascii="Arial" w:hAnsi="Arial" w:cs="Arial"/>
        </w:rPr>
        <w:t>Formatos: Son los documentos que debe diligenciar el proponente y que hacen parte de su oferta. En la fase de planeación, la entidad deberá revisar qué formatos aplican a su proceso de selección.</w:t>
      </w:r>
    </w:p>
    <w:p w14:paraId="0C188D29" w14:textId="77777777" w:rsidR="009E0BB2" w:rsidRPr="009C4FCC" w:rsidRDefault="009E0BB2" w:rsidP="009E0BB2">
      <w:pPr>
        <w:pStyle w:val="Prrafodelista"/>
        <w:numPr>
          <w:ilvl w:val="0"/>
          <w:numId w:val="1"/>
        </w:numPr>
        <w:spacing w:after="120" w:line="276" w:lineRule="auto"/>
        <w:jc w:val="both"/>
        <w:rPr>
          <w:rFonts w:ascii="Arial" w:eastAsia="Calibri" w:hAnsi="Arial" w:cs="Arial"/>
          <w:lang w:val="es-ES_tradnl"/>
        </w:rPr>
      </w:pPr>
      <w:r w:rsidRPr="009C4FCC">
        <w:rPr>
          <w:rFonts w:ascii="Arial" w:hAnsi="Arial" w:cs="Arial"/>
        </w:rPr>
        <w:t>Matrices: Son documentos que debe incluir la entidad dentro de los Documentos del Proceso de acuerdo con el sector en el que se ejecute la obra pública.</w:t>
      </w:r>
    </w:p>
    <w:p w14:paraId="24EC2827" w14:textId="77777777" w:rsidR="009E0BB2" w:rsidRPr="009C4FCC" w:rsidRDefault="009E0BB2" w:rsidP="009E0BB2">
      <w:pPr>
        <w:pStyle w:val="Prrafodelista"/>
        <w:numPr>
          <w:ilvl w:val="0"/>
          <w:numId w:val="1"/>
        </w:numPr>
        <w:spacing w:after="0" w:line="276" w:lineRule="auto"/>
        <w:ind w:left="1066" w:hanging="357"/>
        <w:jc w:val="both"/>
        <w:rPr>
          <w:rFonts w:ascii="Arial" w:eastAsia="Calibri" w:hAnsi="Arial" w:cs="Arial"/>
          <w:lang w:val="es-ES_tradnl"/>
        </w:rPr>
      </w:pPr>
      <w:r w:rsidRPr="009C4FCC">
        <w:rPr>
          <w:rFonts w:ascii="Arial" w:hAnsi="Arial" w:cs="Arial"/>
        </w:rPr>
        <w:lastRenderedPageBreak/>
        <w:t>Formulario 1– Formulario de Presupuesto Oficial: Este documento tiene 3 Formularios distintos: En el primero, la Entidad estructura el Presupuesto Oficial del Proceso de Contratación; en el segundo, el oferente elabora la propuesta económica y en el tercero, el contratista al inicio de la ejecución presenta el análisis de los precios unitarios al interventor del Contrato.</w:t>
      </w:r>
    </w:p>
    <w:p w14:paraId="12CD13DF" w14:textId="77777777" w:rsidR="009E0BB2" w:rsidRPr="009C4FCC" w:rsidRDefault="009E0BB2" w:rsidP="009E0BB2">
      <w:pPr>
        <w:pStyle w:val="Prrafodelista"/>
        <w:spacing w:after="0" w:line="276" w:lineRule="auto"/>
        <w:ind w:left="1066"/>
        <w:jc w:val="both"/>
        <w:rPr>
          <w:rFonts w:ascii="Arial" w:eastAsia="Calibri" w:hAnsi="Arial" w:cs="Arial"/>
          <w:b/>
          <w:bCs/>
          <w:lang w:val="es-ES_tradnl"/>
        </w:rPr>
      </w:pPr>
    </w:p>
    <w:p w14:paraId="60801239" w14:textId="77777777" w:rsidR="009E0BB2" w:rsidRPr="009C4FCC" w:rsidRDefault="009E0BB2" w:rsidP="009E0BB2">
      <w:pPr>
        <w:spacing w:after="0" w:line="276" w:lineRule="auto"/>
        <w:contextualSpacing/>
        <w:jc w:val="both"/>
        <w:rPr>
          <w:rFonts w:ascii="Arial" w:eastAsia="Calibri" w:hAnsi="Arial" w:cs="Arial"/>
          <w:b/>
          <w:bCs/>
          <w:lang w:val="es-ES_tradnl"/>
        </w:rPr>
      </w:pPr>
      <w:r w:rsidRPr="009C4FCC">
        <w:rPr>
          <w:rFonts w:ascii="Arial" w:eastAsia="Calibri" w:hAnsi="Arial" w:cs="Arial"/>
          <w:b/>
          <w:bCs/>
          <w:lang w:val="es-ES_tradnl"/>
        </w:rPr>
        <w:t>2.3. Contenido de la propuesta: Acreditación de los requisitos habilitantes y los factores de asignación de puntaje</w:t>
      </w:r>
    </w:p>
    <w:p w14:paraId="2C480819" w14:textId="77777777" w:rsidR="009E0BB2" w:rsidRPr="009C4FCC" w:rsidRDefault="009E0BB2" w:rsidP="009E0BB2">
      <w:pPr>
        <w:spacing w:after="0" w:line="276" w:lineRule="auto"/>
        <w:contextualSpacing/>
        <w:jc w:val="both"/>
        <w:rPr>
          <w:rFonts w:ascii="Arial" w:eastAsia="Calibri" w:hAnsi="Arial" w:cs="Arial"/>
          <w:lang w:val="es-ES_tradnl"/>
        </w:rPr>
      </w:pPr>
    </w:p>
    <w:p w14:paraId="626B766E" w14:textId="77777777" w:rsidR="009E0BB2" w:rsidRPr="009C4FCC" w:rsidRDefault="009E0BB2" w:rsidP="009E0BB2">
      <w:pPr>
        <w:spacing w:line="276" w:lineRule="auto"/>
        <w:jc w:val="both"/>
        <w:rPr>
          <w:rFonts w:ascii="Arial" w:hAnsi="Arial" w:cs="Arial"/>
        </w:rPr>
      </w:pPr>
      <w:r w:rsidRPr="009C4FCC">
        <w:rPr>
          <w:rFonts w:ascii="Arial" w:hAnsi="Arial" w:cs="Arial"/>
        </w:rPr>
        <w:t>En relación con su solicitud, conviene mencionar que, al tratarse de licitación de una obra pública, la Ley 1882 de 2018, en el artículo 1</w:t>
      </w:r>
      <w:r w:rsidRPr="009C4FCC">
        <w:rPr>
          <w:rStyle w:val="Refdenotaalpie"/>
          <w:rFonts w:ascii="Arial" w:hAnsi="Arial" w:cs="Arial"/>
        </w:rPr>
        <w:footnoteReference w:id="16"/>
      </w:r>
      <w:r w:rsidRPr="009C4FCC">
        <w:rPr>
          <w:rFonts w:ascii="Arial" w:hAnsi="Arial" w:cs="Arial"/>
        </w:rPr>
        <w:t>, señala que las ofertas deben estar conformadas por dos sobres: i) Sobre 1: requisitos habilitantes y requisitos puntuables, diferentes a la oferta económica y; ii) Sobre 2: oferta económica.</w:t>
      </w:r>
    </w:p>
    <w:p w14:paraId="4FAB4183" w14:textId="77777777" w:rsidR="009E0BB2" w:rsidRPr="009C4FCC" w:rsidRDefault="009E0BB2" w:rsidP="009E0BB2">
      <w:pPr>
        <w:tabs>
          <w:tab w:val="left" w:pos="284"/>
        </w:tabs>
        <w:spacing w:line="276" w:lineRule="auto"/>
        <w:ind w:firstLine="284"/>
        <w:jc w:val="both"/>
        <w:rPr>
          <w:rFonts w:ascii="Arial" w:hAnsi="Arial" w:cs="Arial"/>
        </w:rPr>
      </w:pPr>
      <w:r w:rsidRPr="009C4FCC">
        <w:rPr>
          <w:rFonts w:ascii="Arial" w:eastAsia="Arial" w:hAnsi="Arial" w:cs="Arial"/>
          <w:b/>
          <w:bCs/>
        </w:rPr>
        <w:tab/>
      </w:r>
      <w:r w:rsidRPr="009C4FCC">
        <w:rPr>
          <w:rFonts w:ascii="Arial" w:hAnsi="Arial" w:cs="Arial"/>
        </w:rPr>
        <w:t xml:space="preserve">En relación con los documentos contenidos en el Sobre 1, tratándose de documentos tipo, estos establecen que los requisitos habilitantes serán objeto de verificación por parte de la Entidad Estatal con base en la información contenida en el RUP y los documentos señalados en el documento base. En cuanto a los requisitos puntuables diferentes a la oferta económica, estos corresponden al factor de calidad, apoyo a la industria nacional, vinculación de personas con discapacidad, emprendimientos y empresas de mujeres y </w:t>
      </w:r>
      <w:proofErr w:type="spellStart"/>
      <w:r w:rsidRPr="009C4FCC">
        <w:rPr>
          <w:rFonts w:ascii="Arial" w:hAnsi="Arial" w:cs="Arial"/>
        </w:rPr>
        <w:t>Mipyme</w:t>
      </w:r>
      <w:proofErr w:type="spellEnd"/>
      <w:r w:rsidRPr="009C4FCC">
        <w:rPr>
          <w:rFonts w:ascii="Arial" w:hAnsi="Arial" w:cs="Arial"/>
        </w:rPr>
        <w:t xml:space="preserve">. </w:t>
      </w:r>
    </w:p>
    <w:p w14:paraId="77FD197A" w14:textId="77777777" w:rsidR="009E0BB2" w:rsidRPr="009C4FCC" w:rsidRDefault="009E0BB2" w:rsidP="009E0BB2">
      <w:pPr>
        <w:tabs>
          <w:tab w:val="left" w:pos="284"/>
        </w:tabs>
        <w:spacing w:line="276" w:lineRule="auto"/>
        <w:ind w:firstLine="284"/>
        <w:jc w:val="both"/>
        <w:rPr>
          <w:rFonts w:ascii="Arial" w:hAnsi="Arial" w:cs="Arial"/>
        </w:rPr>
      </w:pPr>
      <w:r w:rsidRPr="009C4FCC">
        <w:rPr>
          <w:rFonts w:ascii="Arial" w:hAnsi="Arial" w:cs="Arial"/>
        </w:rPr>
        <w:tab/>
        <w:t xml:space="preserve">En los numerales «4.2 Factor de calidad», «4.3 Apoyo a la industria nacional», «4.4 Circulación de personas en condición de discapacidad», «4.6 Emprendimientos y empresas de mujeres» y «4.7 </w:t>
      </w:r>
      <w:proofErr w:type="spellStart"/>
      <w:r w:rsidRPr="009C4FCC">
        <w:rPr>
          <w:rFonts w:ascii="Arial" w:hAnsi="Arial" w:cs="Arial"/>
        </w:rPr>
        <w:t>Mipyme</w:t>
      </w:r>
      <w:proofErr w:type="spellEnd"/>
      <w:r w:rsidRPr="009C4FCC">
        <w:rPr>
          <w:rFonts w:ascii="Arial" w:hAnsi="Arial" w:cs="Arial"/>
        </w:rPr>
        <w:t xml:space="preserve"> domiciliada en Colombia» de los documentos tipo, señalan las condiciones que acreditaran los proponentes para que la entidad otorgue los puntos por cada uno de estos criterios de evaluación. Asimismo, en los referidos numerales, se disponen los documentos que debe aportar el proponente para acreditar cada una de las condiciones que allí se establecen. No obstante, en algunos de estos criterios de evaluación y asignación de puntaje, se requiere que el proponente diligencie un formato adicional para obtener los puntos, y que aporte los documentos que en estos se disponen. </w:t>
      </w:r>
    </w:p>
    <w:p w14:paraId="43C743D3" w14:textId="77777777" w:rsidR="009E0BB2" w:rsidRPr="009C4FCC" w:rsidRDefault="009E0BB2" w:rsidP="009E0BB2">
      <w:pPr>
        <w:tabs>
          <w:tab w:val="left" w:pos="284"/>
        </w:tabs>
        <w:spacing w:line="276" w:lineRule="auto"/>
        <w:ind w:firstLine="284"/>
        <w:jc w:val="both"/>
        <w:rPr>
          <w:rFonts w:ascii="Arial" w:hAnsi="Arial" w:cs="Arial"/>
        </w:rPr>
      </w:pPr>
      <w:r w:rsidRPr="009C4FCC">
        <w:rPr>
          <w:rFonts w:ascii="Arial" w:hAnsi="Arial" w:cs="Arial"/>
        </w:rPr>
        <w:tab/>
        <w:t xml:space="preserve">Ahora bien, para responder las preguntas planteadas en su solicitud de consulta, es pertinente indicar que, existen documentos que permiten tanto la acreditación de requisitos habilitantes como de asignación de puntaje. Tal es el caso, de la fotocopia de la cédula de </w:t>
      </w:r>
      <w:r w:rsidRPr="009C4FCC">
        <w:rPr>
          <w:rFonts w:ascii="Arial" w:hAnsi="Arial" w:cs="Arial"/>
        </w:rPr>
        <w:lastRenderedPageBreak/>
        <w:t xml:space="preserve">ciudadanía del proponente, tratándose de persona natural colombiana, o del certificado de existencia y representación legal para el caso de las personas jurídicas, o del RUP, los cuales permiten acreditar tanto requisitos habilitantes y, a su vez, están contemplados en el documento base como los documentos idóneos para obtener puntaje por la condición de </w:t>
      </w:r>
      <w:proofErr w:type="spellStart"/>
      <w:r w:rsidRPr="009C4FCC">
        <w:rPr>
          <w:rFonts w:ascii="Arial" w:hAnsi="Arial" w:cs="Arial"/>
        </w:rPr>
        <w:t>Mipyme</w:t>
      </w:r>
      <w:proofErr w:type="spellEnd"/>
      <w:r w:rsidRPr="009C4FCC">
        <w:rPr>
          <w:rFonts w:ascii="Arial" w:hAnsi="Arial" w:cs="Arial"/>
        </w:rPr>
        <w:t xml:space="preserve">. </w:t>
      </w:r>
    </w:p>
    <w:p w14:paraId="4E81BBB6" w14:textId="77777777" w:rsidR="009E0BB2" w:rsidRPr="009C4FCC" w:rsidRDefault="009E0BB2" w:rsidP="009E0BB2">
      <w:pPr>
        <w:tabs>
          <w:tab w:val="left" w:pos="284"/>
        </w:tabs>
        <w:spacing w:after="0" w:line="276" w:lineRule="auto"/>
        <w:ind w:firstLine="284"/>
        <w:jc w:val="both"/>
        <w:rPr>
          <w:rFonts w:ascii="Arial" w:hAnsi="Arial" w:cs="Arial"/>
        </w:rPr>
      </w:pPr>
      <w:r w:rsidRPr="009C4FCC">
        <w:rPr>
          <w:rFonts w:ascii="Arial" w:hAnsi="Arial" w:cs="Arial"/>
        </w:rPr>
        <w:tab/>
        <w:t>Conforme con lo anterior, tenga en cuenta que la propuesta es una sola y no es necesario aportar varias veces el mismo documento, exigencia que desconocería el principio de economía. Así, la entidad deberá evaluar tanto el requisito habilitante como de ponderación con los documentos aportados, sin que se requieran documentos o formatos adicionales a los señalados en el documento base.</w:t>
      </w:r>
    </w:p>
    <w:p w14:paraId="620B0896" w14:textId="77777777" w:rsidR="009E0BB2" w:rsidRPr="009C4FCC" w:rsidRDefault="009E0BB2" w:rsidP="009E0BB2">
      <w:pPr>
        <w:tabs>
          <w:tab w:val="left" w:pos="284"/>
        </w:tabs>
        <w:spacing w:after="0" w:line="276" w:lineRule="auto"/>
        <w:ind w:firstLine="284"/>
        <w:contextualSpacing/>
        <w:jc w:val="both"/>
        <w:rPr>
          <w:rFonts w:ascii="Arial" w:hAnsi="Arial" w:cs="Arial"/>
        </w:rPr>
      </w:pPr>
    </w:p>
    <w:p w14:paraId="5C5549AB" w14:textId="77777777" w:rsidR="009E0BB2" w:rsidRPr="009C4FCC" w:rsidRDefault="009E0BB2" w:rsidP="009E0BB2">
      <w:pPr>
        <w:tabs>
          <w:tab w:val="left" w:pos="284"/>
        </w:tabs>
        <w:spacing w:after="0" w:line="276" w:lineRule="auto"/>
        <w:contextualSpacing/>
        <w:jc w:val="both"/>
        <w:rPr>
          <w:rFonts w:ascii="Arial" w:hAnsi="Arial" w:cs="Arial"/>
        </w:rPr>
      </w:pPr>
      <w:r w:rsidRPr="009C4FCC">
        <w:rPr>
          <w:rFonts w:ascii="Arial" w:eastAsia="Arial" w:hAnsi="Arial" w:cs="Arial"/>
          <w:b/>
          <w:bCs/>
        </w:rPr>
        <w:t>3. Respuesta</w:t>
      </w:r>
    </w:p>
    <w:p w14:paraId="4EF80388" w14:textId="77777777" w:rsidR="009E0BB2" w:rsidRPr="009C4FCC" w:rsidRDefault="009E0BB2" w:rsidP="009E0BB2">
      <w:pPr>
        <w:tabs>
          <w:tab w:val="left" w:pos="284"/>
        </w:tabs>
        <w:spacing w:after="0" w:line="276" w:lineRule="auto"/>
        <w:contextualSpacing/>
        <w:jc w:val="both"/>
        <w:rPr>
          <w:rFonts w:ascii="Arial" w:hAnsi="Arial" w:cs="Arial"/>
        </w:rPr>
      </w:pPr>
      <w:r w:rsidRPr="009C4FCC">
        <w:rPr>
          <w:rFonts w:ascii="Arial" w:eastAsia="Arial" w:hAnsi="Arial" w:cs="Arial"/>
        </w:rPr>
        <w:t xml:space="preserve"> </w:t>
      </w:r>
    </w:p>
    <w:p w14:paraId="1BAC4D27" w14:textId="77777777" w:rsidR="009E0BB2" w:rsidRPr="009C4FCC" w:rsidRDefault="009E0BB2" w:rsidP="009E0BB2">
      <w:pPr>
        <w:pStyle w:val="Prrafodelista"/>
        <w:spacing w:after="0" w:line="240" w:lineRule="auto"/>
        <w:ind w:left="709" w:right="709"/>
        <w:jc w:val="both"/>
        <w:rPr>
          <w:rFonts w:ascii="Arial" w:eastAsia="Arial" w:hAnsi="Arial" w:cs="Arial"/>
          <w:sz w:val="21"/>
          <w:szCs w:val="21"/>
          <w:lang w:val="es"/>
        </w:rPr>
      </w:pPr>
      <w:r w:rsidRPr="009C4FCC">
        <w:rPr>
          <w:rFonts w:ascii="Arial" w:hAnsi="Arial" w:cs="Arial"/>
          <w:sz w:val="21"/>
          <w:szCs w:val="21"/>
        </w:rPr>
        <w:t>«</w:t>
      </w:r>
      <w:r w:rsidRPr="009C4FCC">
        <w:rPr>
          <w:rFonts w:ascii="Arial" w:eastAsia="Arial" w:hAnsi="Arial" w:cs="Arial"/>
          <w:sz w:val="21"/>
          <w:szCs w:val="21"/>
          <w:lang w:val="es"/>
        </w:rPr>
        <w:t>1. ¿Es válido que un proponente en la propuesta solo aporte un registro único de proponentes que cumpla corno criterio habilitante para verificar la experiencia y la información financiera y que a la vez el comité evaluador deba tenerlo en cuenta como documento válido para la asignación del puntaje como acreditación de calidad de MYPIME, acredita en Colombia de acuerdo al numeral 4.6 de los pliegos tipo de condiciones que son vinculantes en los proyectos de transporte?</w:t>
      </w:r>
    </w:p>
    <w:p w14:paraId="3C18955A" w14:textId="77777777" w:rsidR="009E0BB2" w:rsidRPr="009C4FCC" w:rsidRDefault="009E0BB2" w:rsidP="009E0BB2">
      <w:pPr>
        <w:spacing w:after="0" w:line="240" w:lineRule="auto"/>
        <w:ind w:left="709" w:right="709"/>
        <w:contextualSpacing/>
        <w:jc w:val="both"/>
        <w:rPr>
          <w:rFonts w:ascii="Arial" w:hAnsi="Arial" w:cs="Arial"/>
          <w:sz w:val="21"/>
          <w:szCs w:val="21"/>
        </w:rPr>
      </w:pPr>
      <w:r w:rsidRPr="009C4FCC">
        <w:rPr>
          <w:rFonts w:ascii="Arial" w:eastAsia="Arial" w:hAnsi="Arial" w:cs="Arial"/>
          <w:sz w:val="21"/>
          <w:szCs w:val="21"/>
          <w:lang w:val="es"/>
        </w:rPr>
        <w:t xml:space="preserve"> </w:t>
      </w:r>
    </w:p>
    <w:p w14:paraId="162682C7" w14:textId="77777777" w:rsidR="009E0BB2" w:rsidRPr="009C4FCC" w:rsidRDefault="009E0BB2" w:rsidP="009E0BB2">
      <w:pPr>
        <w:pStyle w:val="Prrafodelista"/>
        <w:spacing w:after="0" w:line="240" w:lineRule="auto"/>
        <w:ind w:left="709" w:right="709"/>
        <w:jc w:val="both"/>
        <w:rPr>
          <w:rFonts w:ascii="Arial" w:eastAsia="Arial" w:hAnsi="Arial" w:cs="Arial"/>
          <w:sz w:val="21"/>
          <w:szCs w:val="21"/>
          <w:lang w:val="es"/>
        </w:rPr>
      </w:pPr>
      <w:r w:rsidRPr="009C4FCC">
        <w:rPr>
          <w:rFonts w:ascii="Arial" w:eastAsia="Arial" w:hAnsi="Arial" w:cs="Arial"/>
          <w:sz w:val="21"/>
          <w:szCs w:val="21"/>
          <w:lang w:val="es"/>
        </w:rPr>
        <w:t>2. ¿Es necesario que los proponentes aporten el registro único de proponentes en el acápite de los habilitantes para verificar experiencia y capacidad financiera y organizacional y a la vez aporte copia para la ponderación determinada en el numeral 4.6 acreditación en calidad de MYPIMES domiciliadas en Colombia?</w:t>
      </w:r>
      <w:r w:rsidRPr="009C4FCC">
        <w:rPr>
          <w:rFonts w:ascii="Arial" w:hAnsi="Arial" w:cs="Arial"/>
          <w:sz w:val="21"/>
          <w:szCs w:val="21"/>
        </w:rPr>
        <w:t>»</w:t>
      </w:r>
    </w:p>
    <w:p w14:paraId="5E73C10A" w14:textId="77777777" w:rsidR="009E0BB2" w:rsidRPr="009C4FCC" w:rsidRDefault="009E0BB2" w:rsidP="009E0BB2">
      <w:pPr>
        <w:spacing w:after="0" w:line="276" w:lineRule="auto"/>
        <w:contextualSpacing/>
        <w:jc w:val="both"/>
        <w:rPr>
          <w:rFonts w:ascii="Arial" w:hAnsi="Arial" w:cs="Arial"/>
        </w:rPr>
      </w:pPr>
      <w:r w:rsidRPr="009C4FCC">
        <w:rPr>
          <w:rFonts w:ascii="Arial" w:eastAsia="Arial" w:hAnsi="Arial" w:cs="Arial"/>
          <w:lang w:val="es"/>
        </w:rPr>
        <w:t xml:space="preserve"> </w:t>
      </w:r>
    </w:p>
    <w:p w14:paraId="19C1980B" w14:textId="77777777" w:rsidR="009E0BB2" w:rsidRPr="009C4FCC" w:rsidRDefault="009E0BB2" w:rsidP="009E0BB2">
      <w:pPr>
        <w:spacing w:after="120" w:line="276" w:lineRule="auto"/>
        <w:jc w:val="both"/>
        <w:rPr>
          <w:rFonts w:ascii="Arial" w:hAnsi="Arial" w:cs="Arial"/>
        </w:rPr>
      </w:pPr>
      <w:r w:rsidRPr="009C4FCC">
        <w:rPr>
          <w:rFonts w:ascii="Arial" w:hAnsi="Arial" w:cs="Arial"/>
        </w:rPr>
        <w:t>Conforme lo expuesto, al tratarse de licitación de una obra pública, la Ley 1882 de 2018, en el artículo 1</w:t>
      </w:r>
      <w:r w:rsidRPr="009C4FCC">
        <w:rPr>
          <w:rStyle w:val="Refdenotaalpie"/>
          <w:rFonts w:ascii="Arial" w:hAnsi="Arial" w:cs="Arial"/>
        </w:rPr>
        <w:footnoteReference w:id="17"/>
      </w:r>
      <w:r w:rsidRPr="009C4FCC">
        <w:rPr>
          <w:rFonts w:ascii="Arial" w:hAnsi="Arial" w:cs="Arial"/>
        </w:rPr>
        <w:t>, señala que las ofertas deben estar conformadas por dos sobres: i) Sobre 1: requisitos habilitantes y requisitos puntuables, diferentes a la oferta económica y; ii) Sobre 2: oferta económica.</w:t>
      </w:r>
    </w:p>
    <w:p w14:paraId="32F297B1" w14:textId="77777777" w:rsidR="009E0BB2" w:rsidRPr="009C4FCC" w:rsidRDefault="009E0BB2" w:rsidP="009E0BB2">
      <w:pPr>
        <w:tabs>
          <w:tab w:val="left" w:pos="284"/>
        </w:tabs>
        <w:spacing w:after="120" w:line="276" w:lineRule="auto"/>
        <w:ind w:firstLine="284"/>
        <w:jc w:val="both"/>
        <w:rPr>
          <w:rFonts w:ascii="Arial" w:hAnsi="Arial" w:cs="Arial"/>
        </w:rPr>
      </w:pPr>
      <w:r w:rsidRPr="009C4FCC">
        <w:rPr>
          <w:rFonts w:ascii="Arial" w:eastAsia="Arial" w:hAnsi="Arial" w:cs="Arial"/>
          <w:b/>
          <w:bCs/>
        </w:rPr>
        <w:tab/>
      </w:r>
      <w:r w:rsidRPr="009C4FCC">
        <w:rPr>
          <w:rFonts w:ascii="Arial" w:hAnsi="Arial" w:cs="Arial"/>
        </w:rPr>
        <w:t xml:space="preserve">En relación con los documentos contenidos en el Sobre 1, tratándose de documentos tipo, estos establecen que los requisitos habilitantes serán objeto de verificación por parte de la Entidad Estatal con base en la información contenida en el RUP y los documentos señalados en el documento base. En cuanto a los requisitos puntuables diferentes a la oferta económica, estos corresponden al factor de calidad, apoyo a la industria nacional, vinculación de personas con discapacidad, emprendimientos y empresas de mujeres y </w:t>
      </w:r>
      <w:proofErr w:type="spellStart"/>
      <w:r w:rsidRPr="009C4FCC">
        <w:rPr>
          <w:rFonts w:ascii="Arial" w:hAnsi="Arial" w:cs="Arial"/>
        </w:rPr>
        <w:t>Mipyme</w:t>
      </w:r>
      <w:proofErr w:type="spellEnd"/>
      <w:r w:rsidRPr="009C4FCC">
        <w:rPr>
          <w:rFonts w:ascii="Arial" w:hAnsi="Arial" w:cs="Arial"/>
        </w:rPr>
        <w:t xml:space="preserve">. </w:t>
      </w:r>
    </w:p>
    <w:p w14:paraId="1FB235E6" w14:textId="77777777" w:rsidR="009E0BB2" w:rsidRPr="009C4FCC" w:rsidRDefault="009E0BB2" w:rsidP="009E0BB2">
      <w:pPr>
        <w:tabs>
          <w:tab w:val="left" w:pos="284"/>
        </w:tabs>
        <w:spacing w:after="120" w:line="276" w:lineRule="auto"/>
        <w:ind w:firstLine="284"/>
        <w:jc w:val="both"/>
        <w:rPr>
          <w:rFonts w:ascii="Arial" w:hAnsi="Arial" w:cs="Arial"/>
        </w:rPr>
      </w:pPr>
      <w:r w:rsidRPr="009C4FCC">
        <w:rPr>
          <w:rFonts w:ascii="Arial" w:hAnsi="Arial" w:cs="Arial"/>
        </w:rPr>
        <w:lastRenderedPageBreak/>
        <w:tab/>
        <w:t xml:space="preserve">En los numerales «4.2 Factor de calidad», «4.3 Apoyo a la industria nacional», «4.4 Circulación de personas en condición de discapacidad», «4.6 Emprendimientos y empresas de mujeres» y «4.7 </w:t>
      </w:r>
      <w:proofErr w:type="spellStart"/>
      <w:r w:rsidRPr="009C4FCC">
        <w:rPr>
          <w:rFonts w:ascii="Arial" w:hAnsi="Arial" w:cs="Arial"/>
        </w:rPr>
        <w:t>Mipyme</w:t>
      </w:r>
      <w:proofErr w:type="spellEnd"/>
      <w:r w:rsidRPr="009C4FCC">
        <w:rPr>
          <w:rFonts w:ascii="Arial" w:hAnsi="Arial" w:cs="Arial"/>
        </w:rPr>
        <w:t xml:space="preserve"> domiciliada en Colombia» de los documentos tipo, señalan las condiciones que acreditaran los proponentes para que la entidad otorgue los puntos por cada uno de estos criterios de evaluación. Asimismo, en los referidos numerales, se disponen los documentos que debe aportar el proponente para acreditar cada una de las condiciones que allí se establecen. No obstante, en algunos de estos criterios de evaluación y asignación de puntaje, se requiere que el proponente diligencie un formato adicional para obtener los puntos, y que aporte los documentos que en estos se disponen. </w:t>
      </w:r>
    </w:p>
    <w:p w14:paraId="12CA6ECE" w14:textId="77777777" w:rsidR="009E0BB2" w:rsidRPr="009C4FCC" w:rsidRDefault="009E0BB2" w:rsidP="009E0BB2">
      <w:pPr>
        <w:tabs>
          <w:tab w:val="left" w:pos="284"/>
        </w:tabs>
        <w:spacing w:after="120" w:line="276" w:lineRule="auto"/>
        <w:ind w:firstLine="284"/>
        <w:jc w:val="both"/>
        <w:rPr>
          <w:rFonts w:ascii="Arial" w:hAnsi="Arial" w:cs="Arial"/>
        </w:rPr>
      </w:pPr>
      <w:r w:rsidRPr="009C4FCC">
        <w:rPr>
          <w:rFonts w:ascii="Arial" w:hAnsi="Arial" w:cs="Arial"/>
        </w:rPr>
        <w:tab/>
        <w:t xml:space="preserve">Ahora bien, para responder las preguntas planteadas en su solicitud de consulta, es pertinente indicar que, existen documentos que permiten tanto la acreditación de requisitos habilitantes como de asignación de puntaje. Tal es el caso, de la fotocopia de la cédula de ciudadanía del proponente, tratándose de persona natural colombiana, o del certificado de existencia y representación legal para el caso de las personas jurídicas, o del RUP, los cuales permiten acreditar tanto requisitos habilitantes y, a su vez, están contemplados en el documento base como los documentos idóneos para obtener puntaje por la condición de </w:t>
      </w:r>
      <w:proofErr w:type="spellStart"/>
      <w:r w:rsidRPr="009C4FCC">
        <w:rPr>
          <w:rFonts w:ascii="Arial" w:hAnsi="Arial" w:cs="Arial"/>
        </w:rPr>
        <w:t>Mipyme</w:t>
      </w:r>
      <w:proofErr w:type="spellEnd"/>
      <w:r w:rsidRPr="009C4FCC">
        <w:rPr>
          <w:rFonts w:ascii="Arial" w:hAnsi="Arial" w:cs="Arial"/>
        </w:rPr>
        <w:t xml:space="preserve">. </w:t>
      </w:r>
    </w:p>
    <w:p w14:paraId="7B099BCA" w14:textId="77777777" w:rsidR="009E0BB2" w:rsidRPr="009C4FCC" w:rsidRDefault="009E0BB2" w:rsidP="009E0BB2">
      <w:pPr>
        <w:tabs>
          <w:tab w:val="left" w:pos="284"/>
        </w:tabs>
        <w:spacing w:after="0" w:line="276" w:lineRule="auto"/>
        <w:ind w:firstLine="284"/>
        <w:jc w:val="both"/>
        <w:rPr>
          <w:rFonts w:ascii="Arial" w:hAnsi="Arial" w:cs="Arial"/>
        </w:rPr>
      </w:pPr>
      <w:r w:rsidRPr="009C4FCC">
        <w:rPr>
          <w:rFonts w:ascii="Arial" w:hAnsi="Arial" w:cs="Arial"/>
        </w:rPr>
        <w:tab/>
        <w:t>Conforme con lo anterior, tenga en cuenta que la propuesta es una sola y no es necesario aportar varias veces el mismo documento, exigencia que desconocería el principio de economía. Así, la entidad deberá evaluar tanto el requisito habilitante como de ponderación con los documentos aportados, sin que se requieran documentos o formatos adicionales a los señalados en el documento base.</w:t>
      </w:r>
    </w:p>
    <w:p w14:paraId="3AAA951C" w14:textId="77777777" w:rsidR="009E0BB2" w:rsidRPr="009C4FCC" w:rsidRDefault="009E0BB2" w:rsidP="009E0BB2">
      <w:pPr>
        <w:spacing w:after="0" w:line="276" w:lineRule="auto"/>
        <w:jc w:val="both"/>
        <w:rPr>
          <w:rFonts w:ascii="Arial" w:hAnsi="Arial" w:cs="Arial"/>
        </w:rPr>
      </w:pPr>
    </w:p>
    <w:p w14:paraId="3D272F69" w14:textId="77777777" w:rsidR="009E0BB2" w:rsidRPr="009C4FCC" w:rsidRDefault="009E0BB2" w:rsidP="009E0BB2">
      <w:pPr>
        <w:spacing w:after="0" w:line="276" w:lineRule="auto"/>
        <w:jc w:val="both"/>
        <w:rPr>
          <w:rFonts w:ascii="Arial" w:hAnsi="Arial" w:cs="Arial"/>
        </w:rPr>
      </w:pPr>
      <w:r w:rsidRPr="009C4FCC">
        <w:rPr>
          <w:rFonts w:ascii="Arial"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35299A0" w14:textId="77777777" w:rsidR="009E0BB2" w:rsidRPr="009C4FCC" w:rsidRDefault="009E0BB2" w:rsidP="009E0BB2">
      <w:pPr>
        <w:spacing w:after="0" w:line="276" w:lineRule="auto"/>
        <w:jc w:val="both"/>
        <w:rPr>
          <w:rFonts w:ascii="Arial" w:hAnsi="Arial" w:cs="Arial"/>
        </w:rPr>
      </w:pPr>
      <w:r w:rsidRPr="009C4FCC">
        <w:rPr>
          <w:rFonts w:ascii="Arial" w:hAnsi="Arial" w:cs="Arial"/>
        </w:rPr>
        <w:t xml:space="preserve"> </w:t>
      </w:r>
    </w:p>
    <w:p w14:paraId="32DC57BB" w14:textId="77777777" w:rsidR="009E0BB2" w:rsidRPr="009C4FCC" w:rsidRDefault="009E0BB2" w:rsidP="009E0BB2">
      <w:pPr>
        <w:spacing w:after="0" w:line="276" w:lineRule="auto"/>
        <w:jc w:val="both"/>
        <w:rPr>
          <w:rFonts w:ascii="Arial" w:hAnsi="Arial" w:cs="Arial"/>
        </w:rPr>
      </w:pPr>
      <w:r w:rsidRPr="009C4FCC">
        <w:rPr>
          <w:rFonts w:ascii="Arial" w:hAnsi="Arial" w:cs="Arial"/>
        </w:rPr>
        <w:t>Atentamente,</w:t>
      </w:r>
    </w:p>
    <w:p w14:paraId="4A1E7B26" w14:textId="7BC274CB" w:rsidR="009E0BB2" w:rsidRPr="009C4FCC" w:rsidRDefault="009E0BB2" w:rsidP="009E0BB2">
      <w:pPr>
        <w:spacing w:after="0" w:line="276" w:lineRule="auto"/>
        <w:jc w:val="center"/>
        <w:rPr>
          <w:rFonts w:ascii="Arial" w:hAnsi="Arial" w:cs="Arial"/>
        </w:rPr>
      </w:pPr>
      <w:r w:rsidRPr="009C4FCC">
        <w:rPr>
          <w:rFonts w:ascii="Arial" w:hAnsi="Arial" w:cs="Arial"/>
        </w:rPr>
        <w:t xml:space="preserve"> </w:t>
      </w:r>
      <w:r w:rsidR="006C39A3" w:rsidRPr="009C4FCC">
        <w:rPr>
          <w:noProof/>
        </w:rPr>
        <w:drawing>
          <wp:inline distT="0" distB="0" distL="0" distR="0" wp14:anchorId="6E078BFA" wp14:editId="3291D5F4">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0E672EF5" w14:textId="77777777" w:rsidR="009E0BB2" w:rsidRPr="009C4FCC" w:rsidRDefault="009E0BB2" w:rsidP="009E0BB2">
      <w:pPr>
        <w:spacing w:after="0"/>
        <w:contextualSpacing/>
        <w:jc w:val="center"/>
        <w:rPr>
          <w:rFonts w:ascii="Arial" w:hAnsi="Arial" w:cs="Arial"/>
          <w:sz w:val="16"/>
          <w:szCs w:val="16"/>
        </w:rPr>
      </w:pPr>
      <w:r w:rsidRPr="009C4FCC">
        <w:rPr>
          <w:rFonts w:ascii="Arial" w:eastAsia="Arial" w:hAnsi="Arial" w:cs="Arial"/>
          <w:sz w:val="16"/>
          <w:szCs w:val="16"/>
        </w:rPr>
        <w:t xml:space="preserve">                                               </w:t>
      </w:r>
    </w:p>
    <w:tbl>
      <w:tblPr>
        <w:tblW w:w="0" w:type="auto"/>
        <w:tblLayout w:type="fixed"/>
        <w:tblLook w:val="0400" w:firstRow="0" w:lastRow="0" w:firstColumn="0" w:lastColumn="0" w:noHBand="0" w:noVBand="1"/>
      </w:tblPr>
      <w:tblGrid>
        <w:gridCol w:w="810"/>
        <w:gridCol w:w="4410"/>
      </w:tblGrid>
      <w:tr w:rsidR="009E0BB2" w:rsidRPr="009C4FCC" w14:paraId="005054D9" w14:textId="77777777" w:rsidTr="000C7A6F">
        <w:trPr>
          <w:trHeight w:val="315"/>
        </w:trPr>
        <w:tc>
          <w:tcPr>
            <w:tcW w:w="810" w:type="dxa"/>
            <w:tcBorders>
              <w:top w:val="nil"/>
              <w:left w:val="nil"/>
              <w:bottom w:val="nil"/>
              <w:right w:val="nil"/>
            </w:tcBorders>
            <w:vAlign w:val="center"/>
          </w:tcPr>
          <w:p w14:paraId="278131CA" w14:textId="1B1C0FEE" w:rsidR="009E0BB2" w:rsidRPr="009C4FCC" w:rsidRDefault="009E0BB2" w:rsidP="000C7A6F">
            <w:pPr>
              <w:spacing w:after="0"/>
              <w:contextualSpacing/>
              <w:rPr>
                <w:rFonts w:ascii="Arial" w:hAnsi="Arial" w:cs="Arial"/>
                <w:sz w:val="16"/>
                <w:szCs w:val="16"/>
              </w:rPr>
            </w:pPr>
            <w:r w:rsidRPr="009C4FCC">
              <w:rPr>
                <w:rFonts w:ascii="Arial" w:eastAsia="Arial" w:hAnsi="Arial" w:cs="Arial"/>
                <w:sz w:val="16"/>
                <w:szCs w:val="16"/>
              </w:rPr>
              <w:t>Elaboró</w:t>
            </w:r>
          </w:p>
        </w:tc>
        <w:tc>
          <w:tcPr>
            <w:tcW w:w="4410" w:type="dxa"/>
            <w:tcBorders>
              <w:top w:val="nil"/>
              <w:left w:val="nil"/>
              <w:bottom w:val="dotted" w:sz="8" w:space="0" w:color="7F7F7F" w:themeColor="text1" w:themeTint="80"/>
              <w:right w:val="nil"/>
            </w:tcBorders>
            <w:vAlign w:val="center"/>
          </w:tcPr>
          <w:p w14:paraId="225FE27C" w14:textId="77777777" w:rsidR="009E0BB2" w:rsidRPr="009C4FCC" w:rsidRDefault="009E0BB2" w:rsidP="000C7A6F">
            <w:pPr>
              <w:spacing w:after="0"/>
              <w:contextualSpacing/>
              <w:rPr>
                <w:rFonts w:ascii="Arial" w:hAnsi="Arial" w:cs="Arial"/>
                <w:sz w:val="16"/>
                <w:szCs w:val="16"/>
              </w:rPr>
            </w:pPr>
            <w:r w:rsidRPr="009C4FCC">
              <w:rPr>
                <w:rFonts w:ascii="Arial" w:eastAsia="Arial" w:hAnsi="Arial" w:cs="Arial"/>
                <w:sz w:val="16"/>
                <w:szCs w:val="16"/>
              </w:rPr>
              <w:t xml:space="preserve">María Valeska Medellín Mora </w:t>
            </w:r>
          </w:p>
          <w:p w14:paraId="53806931" w14:textId="77777777" w:rsidR="009E0BB2" w:rsidRPr="009C4FCC" w:rsidRDefault="009E0BB2" w:rsidP="000C7A6F">
            <w:pPr>
              <w:spacing w:after="0"/>
              <w:contextualSpacing/>
              <w:rPr>
                <w:rFonts w:ascii="Arial" w:hAnsi="Arial" w:cs="Arial"/>
                <w:sz w:val="16"/>
                <w:szCs w:val="16"/>
              </w:rPr>
            </w:pPr>
            <w:r w:rsidRPr="009C4FCC">
              <w:rPr>
                <w:rFonts w:ascii="Arial" w:eastAsia="Arial" w:hAnsi="Arial" w:cs="Arial"/>
                <w:sz w:val="16"/>
                <w:szCs w:val="16"/>
              </w:rPr>
              <w:t>Gestor T1- 15 Subdirección de Gestión Contractual</w:t>
            </w:r>
          </w:p>
        </w:tc>
      </w:tr>
      <w:tr w:rsidR="009E0BB2" w:rsidRPr="009C4FCC" w14:paraId="1E5ABCE8" w14:textId="77777777" w:rsidTr="000C7A6F">
        <w:trPr>
          <w:trHeight w:val="330"/>
        </w:trPr>
        <w:tc>
          <w:tcPr>
            <w:tcW w:w="810" w:type="dxa"/>
            <w:tcBorders>
              <w:top w:val="nil"/>
              <w:left w:val="nil"/>
              <w:bottom w:val="nil"/>
              <w:right w:val="nil"/>
            </w:tcBorders>
            <w:vAlign w:val="center"/>
          </w:tcPr>
          <w:p w14:paraId="24D3A65B" w14:textId="77777777" w:rsidR="009E0BB2" w:rsidRPr="009C4FCC" w:rsidRDefault="009E0BB2" w:rsidP="000C7A6F">
            <w:pPr>
              <w:spacing w:after="0"/>
              <w:contextualSpacing/>
              <w:rPr>
                <w:rFonts w:ascii="Arial" w:hAnsi="Arial" w:cs="Arial"/>
                <w:sz w:val="16"/>
                <w:szCs w:val="16"/>
              </w:rPr>
            </w:pPr>
            <w:r w:rsidRPr="009C4FCC">
              <w:rPr>
                <w:rFonts w:ascii="Arial" w:eastAsia="Arial" w:hAnsi="Arial" w:cs="Arial"/>
                <w:sz w:val="16"/>
                <w:szCs w:val="16"/>
              </w:rPr>
              <w:t>Revisó:</w:t>
            </w:r>
          </w:p>
        </w:tc>
        <w:tc>
          <w:tcPr>
            <w:tcW w:w="4410" w:type="dxa"/>
            <w:tcBorders>
              <w:top w:val="dotted" w:sz="8" w:space="0" w:color="7F7F7F" w:themeColor="text1" w:themeTint="80"/>
              <w:left w:val="nil"/>
              <w:bottom w:val="dotted" w:sz="8" w:space="0" w:color="7F7F7F" w:themeColor="text1" w:themeTint="80"/>
              <w:right w:val="nil"/>
            </w:tcBorders>
            <w:vAlign w:val="center"/>
          </w:tcPr>
          <w:p w14:paraId="66A1BA43" w14:textId="77777777" w:rsidR="009E0BB2" w:rsidRPr="009C4FCC" w:rsidRDefault="009E0BB2" w:rsidP="000C7A6F">
            <w:pPr>
              <w:spacing w:after="0"/>
              <w:contextualSpacing/>
              <w:rPr>
                <w:rFonts w:ascii="Arial" w:hAnsi="Arial" w:cs="Arial"/>
                <w:sz w:val="16"/>
                <w:szCs w:val="16"/>
              </w:rPr>
            </w:pPr>
            <w:r w:rsidRPr="009C4FCC">
              <w:rPr>
                <w:rFonts w:ascii="Arial" w:eastAsia="Arial" w:hAnsi="Arial" w:cs="Arial"/>
                <w:sz w:val="16"/>
                <w:szCs w:val="16"/>
              </w:rPr>
              <w:t xml:space="preserve">Nohelia del Carmen Zawady Palacio </w:t>
            </w:r>
          </w:p>
          <w:p w14:paraId="65739652" w14:textId="77777777" w:rsidR="009E0BB2" w:rsidRPr="009C4FCC" w:rsidRDefault="009E0BB2" w:rsidP="000C7A6F">
            <w:pPr>
              <w:spacing w:after="0"/>
              <w:contextualSpacing/>
              <w:rPr>
                <w:rFonts w:ascii="Arial" w:hAnsi="Arial" w:cs="Arial"/>
                <w:sz w:val="16"/>
                <w:szCs w:val="16"/>
              </w:rPr>
            </w:pPr>
            <w:r w:rsidRPr="009C4FCC">
              <w:rPr>
                <w:rFonts w:ascii="Arial" w:eastAsia="Arial" w:hAnsi="Arial" w:cs="Arial"/>
                <w:sz w:val="16"/>
                <w:szCs w:val="16"/>
              </w:rPr>
              <w:t>Subdirectora de Gestión Contractual ANCP – CCE</w:t>
            </w:r>
          </w:p>
        </w:tc>
      </w:tr>
      <w:tr w:rsidR="009E0BB2" w:rsidRPr="00B17F76" w14:paraId="68AC4474" w14:textId="77777777" w:rsidTr="000C7A6F">
        <w:trPr>
          <w:trHeight w:val="300"/>
        </w:trPr>
        <w:tc>
          <w:tcPr>
            <w:tcW w:w="810" w:type="dxa"/>
            <w:tcBorders>
              <w:top w:val="nil"/>
              <w:left w:val="nil"/>
              <w:bottom w:val="nil"/>
              <w:right w:val="nil"/>
            </w:tcBorders>
            <w:vAlign w:val="center"/>
          </w:tcPr>
          <w:p w14:paraId="1A0DC017" w14:textId="77777777" w:rsidR="009E0BB2" w:rsidRPr="009C4FCC" w:rsidRDefault="009E0BB2" w:rsidP="000C7A6F">
            <w:pPr>
              <w:spacing w:after="0"/>
              <w:contextualSpacing/>
              <w:rPr>
                <w:rFonts w:ascii="Arial" w:hAnsi="Arial" w:cs="Arial"/>
                <w:sz w:val="16"/>
                <w:szCs w:val="16"/>
              </w:rPr>
            </w:pPr>
            <w:r w:rsidRPr="009C4FCC">
              <w:rPr>
                <w:rFonts w:ascii="Arial" w:eastAsia="Arial" w:hAnsi="Arial" w:cs="Arial"/>
                <w:sz w:val="16"/>
                <w:szCs w:val="16"/>
              </w:rPr>
              <w:t>Aprobó:</w:t>
            </w:r>
          </w:p>
        </w:tc>
        <w:tc>
          <w:tcPr>
            <w:tcW w:w="4410" w:type="dxa"/>
            <w:tcBorders>
              <w:top w:val="dotted" w:sz="8" w:space="0" w:color="7F7F7F" w:themeColor="text1" w:themeTint="80"/>
              <w:left w:val="nil"/>
              <w:bottom w:val="dotted" w:sz="8" w:space="0" w:color="7F7F7F" w:themeColor="text1" w:themeTint="80"/>
              <w:right w:val="nil"/>
            </w:tcBorders>
            <w:vAlign w:val="center"/>
          </w:tcPr>
          <w:p w14:paraId="1C8EE17D" w14:textId="77777777" w:rsidR="009E0BB2" w:rsidRPr="009C4FCC" w:rsidRDefault="009E0BB2" w:rsidP="000C7A6F">
            <w:pPr>
              <w:spacing w:after="0"/>
              <w:contextualSpacing/>
              <w:rPr>
                <w:rFonts w:ascii="Arial" w:hAnsi="Arial" w:cs="Arial"/>
                <w:sz w:val="16"/>
                <w:szCs w:val="16"/>
              </w:rPr>
            </w:pPr>
            <w:r w:rsidRPr="009C4FCC">
              <w:rPr>
                <w:rFonts w:ascii="Arial" w:eastAsia="Arial" w:hAnsi="Arial" w:cs="Arial"/>
                <w:sz w:val="16"/>
                <w:szCs w:val="16"/>
              </w:rPr>
              <w:t xml:space="preserve"> Nohelia del Carmen Zawady Palacio </w:t>
            </w:r>
          </w:p>
          <w:p w14:paraId="306D358E" w14:textId="77777777" w:rsidR="009E0BB2" w:rsidRPr="00085B6D" w:rsidRDefault="009E0BB2" w:rsidP="000C7A6F">
            <w:pPr>
              <w:spacing w:after="0"/>
              <w:contextualSpacing/>
              <w:rPr>
                <w:rFonts w:ascii="Arial" w:hAnsi="Arial" w:cs="Arial"/>
                <w:sz w:val="16"/>
                <w:szCs w:val="16"/>
              </w:rPr>
            </w:pPr>
            <w:r w:rsidRPr="009C4FCC">
              <w:rPr>
                <w:rFonts w:ascii="Arial" w:eastAsia="Arial" w:hAnsi="Arial" w:cs="Arial"/>
                <w:sz w:val="16"/>
                <w:szCs w:val="16"/>
              </w:rPr>
              <w:t>Subdirectora de Gestión Contractual ANCP – CCE</w:t>
            </w:r>
          </w:p>
        </w:tc>
      </w:tr>
    </w:tbl>
    <w:p w14:paraId="33CAF500" w14:textId="77777777" w:rsidR="009E0BB2" w:rsidRPr="00085B6D" w:rsidRDefault="009E0BB2" w:rsidP="009E0BB2">
      <w:pPr>
        <w:spacing w:line="257" w:lineRule="auto"/>
        <w:rPr>
          <w:rFonts w:ascii="Arial" w:hAnsi="Arial" w:cs="Arial"/>
          <w:color w:val="000000" w:themeColor="text1"/>
        </w:rPr>
      </w:pPr>
      <w:r w:rsidRPr="7D9EC7B6">
        <w:rPr>
          <w:rFonts w:ascii="Arial" w:eastAsia="Arial" w:hAnsi="Arial" w:cs="Arial"/>
          <w:sz w:val="24"/>
          <w:szCs w:val="24"/>
        </w:rPr>
        <w:lastRenderedPageBreak/>
        <w:t xml:space="preserve"> </w:t>
      </w:r>
    </w:p>
    <w:p w14:paraId="285D3290" w14:textId="77777777" w:rsidR="00A07FCC" w:rsidRDefault="00A07FCC"/>
    <w:sectPr w:rsidR="00A07FCC"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1EB3" w14:textId="77777777" w:rsidR="003817BB" w:rsidRDefault="003817BB" w:rsidP="009E0BB2">
      <w:pPr>
        <w:spacing w:after="0" w:line="240" w:lineRule="auto"/>
      </w:pPr>
      <w:r>
        <w:separator/>
      </w:r>
    </w:p>
  </w:endnote>
  <w:endnote w:type="continuationSeparator" w:id="0">
    <w:p w14:paraId="04846087" w14:textId="77777777" w:rsidR="003817BB" w:rsidRDefault="003817BB" w:rsidP="009E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2C41" w14:textId="77777777" w:rsidR="004A1847" w:rsidRDefault="009E0BB2" w:rsidP="008614E5">
    <w:pPr>
      <w:pStyle w:val="Piedepgina"/>
    </w:pPr>
    <w:r>
      <w:rPr>
        <w:noProof/>
      </w:rPr>
      <w:drawing>
        <wp:inline distT="0" distB="0" distL="0" distR="0" wp14:anchorId="79F4E49C" wp14:editId="42F31E8C">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37035D3C"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88E9F4A" w14:textId="77777777" w:rsidR="006219F8" w:rsidRPr="00080DA3" w:rsidRDefault="009E0BB2"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81C660" w14:textId="77777777" w:rsidR="006219F8" w:rsidRPr="00080DA3" w:rsidRDefault="009E0BB2"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7A451AC" w14:textId="77777777" w:rsidR="006219F8" w:rsidRPr="00080DA3" w:rsidRDefault="009E0BB2"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5DE3CFA" w14:textId="77777777" w:rsidR="006219F8" w:rsidRPr="004B6B0E" w:rsidRDefault="009E0BB2"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9D628A5" w14:textId="77777777" w:rsidR="006219F8" w:rsidRPr="00080DA3" w:rsidRDefault="009E0BB2"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E23C73" w14:textId="77777777" w:rsidR="00A07532" w:rsidRPr="00080DA3" w:rsidRDefault="009E0BB2"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35E0F2" w14:textId="77777777" w:rsidR="006219F8" w:rsidRPr="00080DA3" w:rsidRDefault="009E0BB2"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171C9EEA" w14:textId="77777777" w:rsidR="006219F8" w:rsidRDefault="00816C09"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65DB" w14:textId="77777777" w:rsidR="003817BB" w:rsidRDefault="003817BB" w:rsidP="009E0BB2">
      <w:pPr>
        <w:spacing w:after="0" w:line="240" w:lineRule="auto"/>
      </w:pPr>
      <w:r>
        <w:separator/>
      </w:r>
    </w:p>
  </w:footnote>
  <w:footnote w:type="continuationSeparator" w:id="0">
    <w:p w14:paraId="1C697F51" w14:textId="77777777" w:rsidR="003817BB" w:rsidRDefault="003817BB" w:rsidP="009E0BB2">
      <w:pPr>
        <w:spacing w:after="0" w:line="240" w:lineRule="auto"/>
      </w:pPr>
      <w:r>
        <w:continuationSeparator/>
      </w:r>
    </w:p>
  </w:footnote>
  <w:footnote w:id="1">
    <w:p w14:paraId="5E4DFBD7" w14:textId="77777777" w:rsidR="00BC6058" w:rsidRDefault="00BC6058" w:rsidP="00BC6058">
      <w:pPr>
        <w:pStyle w:val="Textonotapie"/>
        <w:ind w:firstLine="708"/>
        <w:contextualSpacing/>
        <w:jc w:val="both"/>
        <w:rPr>
          <w:rFonts w:ascii="Arial" w:hAnsi="Arial" w:cs="Arial"/>
          <w:sz w:val="19"/>
          <w:szCs w:val="19"/>
        </w:rPr>
      </w:pPr>
      <w:r w:rsidRPr="00085B6D">
        <w:rPr>
          <w:rStyle w:val="Refdenotaalpie"/>
          <w:rFonts w:ascii="Arial" w:hAnsi="Arial" w:cs="Arial"/>
          <w:sz w:val="19"/>
          <w:szCs w:val="19"/>
        </w:rPr>
        <w:footnoteRef/>
      </w:r>
      <w:r w:rsidRPr="00085B6D">
        <w:rPr>
          <w:rFonts w:ascii="Arial" w:hAnsi="Arial" w:cs="Arial"/>
          <w:sz w:val="19"/>
          <w:szCs w:val="19"/>
        </w:rPr>
        <w:t xml:space="preserve"> 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 »El segundo sobre deberá incluir únicamente la propuesta económica de conformidad con todos los requisitos exigidos en el pliego de condiciones. […]».</w:t>
      </w:r>
    </w:p>
    <w:p w14:paraId="70C34643" w14:textId="77777777" w:rsidR="00BC6058" w:rsidRPr="00085B6D" w:rsidRDefault="00BC6058" w:rsidP="00BC6058">
      <w:pPr>
        <w:pStyle w:val="Textonotapie"/>
        <w:ind w:firstLine="708"/>
        <w:contextualSpacing/>
        <w:jc w:val="both"/>
        <w:rPr>
          <w:rFonts w:ascii="Arial" w:hAnsi="Arial" w:cs="Arial"/>
          <w:sz w:val="19"/>
          <w:szCs w:val="19"/>
        </w:rPr>
      </w:pPr>
    </w:p>
  </w:footnote>
  <w:footnote w:id="2">
    <w:p w14:paraId="6EBA9DBB" w14:textId="77777777" w:rsidR="009E0BB2" w:rsidRDefault="009E0BB2" w:rsidP="009E0BB2">
      <w:pPr>
        <w:pStyle w:val="Textonotapie"/>
        <w:ind w:firstLine="708"/>
        <w:contextualSpacing/>
        <w:jc w:val="both"/>
        <w:rPr>
          <w:rFonts w:ascii="Arial" w:hAnsi="Arial" w:cs="Arial"/>
          <w:sz w:val="19"/>
          <w:szCs w:val="19"/>
        </w:rPr>
      </w:pPr>
      <w:r w:rsidRPr="00085B6D">
        <w:rPr>
          <w:rStyle w:val="Refdenotaalpie"/>
          <w:rFonts w:ascii="Arial" w:hAnsi="Arial" w:cs="Arial"/>
          <w:sz w:val="19"/>
          <w:szCs w:val="19"/>
        </w:rPr>
        <w:footnoteRef/>
      </w:r>
      <w:r w:rsidRPr="00085B6D">
        <w:rPr>
          <w:rFonts w:ascii="Arial" w:hAnsi="Arial" w:cs="Arial"/>
          <w:sz w:val="19"/>
          <w:szCs w:val="19"/>
        </w:rPr>
        <w:t xml:space="preserve"> Los conceptos indicados pueden consultarse en el siguiente enlace: </w:t>
      </w:r>
      <w:hyperlink r:id="rId1" w:history="1">
        <w:r w:rsidRPr="00085B6D">
          <w:rPr>
            <w:rStyle w:val="Hipervnculo"/>
            <w:rFonts w:ascii="Arial" w:hAnsi="Arial" w:cs="Arial"/>
            <w:sz w:val="19"/>
            <w:szCs w:val="19"/>
          </w:rPr>
          <w:t>https://relatoria.colombiacompra.gov.co/busqueda/conceptos</w:t>
        </w:r>
      </w:hyperlink>
      <w:r w:rsidRPr="00085B6D">
        <w:rPr>
          <w:rFonts w:ascii="Arial" w:hAnsi="Arial" w:cs="Arial"/>
          <w:sz w:val="19"/>
          <w:szCs w:val="19"/>
        </w:rPr>
        <w:t>.</w:t>
      </w:r>
    </w:p>
    <w:p w14:paraId="08420E17" w14:textId="77777777" w:rsidR="009E0BB2" w:rsidRPr="00085B6D" w:rsidRDefault="009E0BB2" w:rsidP="009E0BB2">
      <w:pPr>
        <w:pStyle w:val="Textonotapie"/>
        <w:ind w:firstLine="708"/>
        <w:contextualSpacing/>
        <w:jc w:val="both"/>
        <w:rPr>
          <w:rFonts w:ascii="Arial" w:hAnsi="Arial" w:cs="Arial"/>
          <w:sz w:val="19"/>
          <w:szCs w:val="19"/>
        </w:rPr>
      </w:pPr>
    </w:p>
  </w:footnote>
  <w:footnote w:id="3">
    <w:p w14:paraId="69234545" w14:textId="77777777" w:rsidR="009E0BB2" w:rsidRPr="007E0C16" w:rsidRDefault="009E0BB2" w:rsidP="009E0BB2">
      <w:pPr>
        <w:pStyle w:val="Textonotapie"/>
        <w:ind w:firstLine="709"/>
        <w:contextualSpacing/>
        <w:jc w:val="both"/>
        <w:rPr>
          <w:rFonts w:ascii="Arial" w:hAnsi="Arial" w:cs="Arial"/>
          <w:sz w:val="19"/>
          <w:szCs w:val="19"/>
        </w:rPr>
      </w:pPr>
      <w:r w:rsidRPr="007E0C16">
        <w:rPr>
          <w:rStyle w:val="Refdenotaalpie"/>
          <w:rFonts w:ascii="Arial" w:hAnsi="Arial" w:cs="Arial"/>
          <w:sz w:val="19"/>
          <w:szCs w:val="19"/>
        </w:rPr>
        <w:footnoteRef/>
      </w:r>
      <w:r w:rsidRPr="007E0C16">
        <w:rPr>
          <w:rStyle w:val="Refdenotaalpie"/>
          <w:rFonts w:ascii="Arial" w:hAnsi="Arial" w:cs="Arial"/>
          <w:sz w:val="19"/>
          <w:szCs w:val="19"/>
        </w:rPr>
        <w:t xml:space="preserve"> </w:t>
      </w:r>
      <w:r w:rsidRPr="007E0C16">
        <w:rPr>
          <w:rFonts w:ascii="Arial" w:hAnsi="Arial" w:cs="Arial"/>
          <w:sz w:val="19"/>
          <w:szCs w:val="19"/>
        </w:rPr>
        <w:t xml:space="preserve">Consejo de Estado. Sección Tercera. Subsección B. Sentencia del 6 de junio de 2013. </w:t>
      </w:r>
      <w:r w:rsidRPr="007E0C16">
        <w:rPr>
          <w:rFonts w:ascii="Arial" w:hAnsi="Arial" w:cs="Arial"/>
          <w:sz w:val="19"/>
          <w:szCs w:val="19"/>
        </w:rPr>
        <w:t>Exp. 25151. C.P. Stella Conto Díaz del Castillo.</w:t>
      </w:r>
    </w:p>
  </w:footnote>
  <w:footnote w:id="4">
    <w:p w14:paraId="09255BC2" w14:textId="77777777" w:rsidR="009E0BB2" w:rsidRDefault="009E0BB2" w:rsidP="009E0BB2">
      <w:pPr>
        <w:pStyle w:val="Textonotapie"/>
        <w:ind w:firstLine="709"/>
        <w:contextualSpacing/>
        <w:jc w:val="both"/>
        <w:rPr>
          <w:rFonts w:ascii="Arial" w:hAnsi="Arial" w:cs="Arial"/>
          <w:color w:val="000000" w:themeColor="text1"/>
          <w:sz w:val="19"/>
          <w:szCs w:val="19"/>
        </w:rPr>
      </w:pPr>
    </w:p>
    <w:p w14:paraId="793DE655" w14:textId="77777777" w:rsidR="009E0BB2" w:rsidRPr="007E0C16" w:rsidRDefault="009E0BB2" w:rsidP="009E0BB2">
      <w:pPr>
        <w:pStyle w:val="Textonotapie"/>
        <w:ind w:firstLine="709"/>
        <w:contextualSpacing/>
        <w:jc w:val="both"/>
        <w:rPr>
          <w:rFonts w:ascii="Arial" w:hAnsi="Arial" w:cs="Arial"/>
          <w:color w:val="000000" w:themeColor="text1"/>
          <w:sz w:val="19"/>
          <w:szCs w:val="19"/>
        </w:rPr>
      </w:pPr>
      <w:r w:rsidRPr="007E0C16">
        <w:rPr>
          <w:rStyle w:val="Refdenotaalpie"/>
          <w:rFonts w:ascii="Arial" w:hAnsi="Arial" w:cs="Arial"/>
          <w:color w:val="000000" w:themeColor="text1"/>
          <w:sz w:val="19"/>
          <w:szCs w:val="19"/>
        </w:rPr>
        <w:footnoteRef/>
      </w:r>
      <w:r w:rsidRPr="007E0C16">
        <w:rPr>
          <w:rFonts w:ascii="Arial" w:hAnsi="Arial" w:cs="Arial"/>
          <w:color w:val="000000" w:themeColor="text1"/>
          <w:sz w:val="19"/>
          <w:szCs w:val="19"/>
        </w:rPr>
        <w:t xml:space="preserve"> Ley 1150 de 2007: «Artículo 6. De la verificación de las condiciones de los proponentes.</w:t>
      </w:r>
    </w:p>
    <w:p w14:paraId="56BA484F"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w:t>
      </w:r>
    </w:p>
    <w:p w14:paraId="4374DB3C"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»6.1. […]</w:t>
      </w:r>
    </w:p>
    <w:p w14:paraId="750B7325"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34D574A"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91A8DAB"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w:t>
      </w:r>
    </w:p>
  </w:footnote>
  <w:footnote w:id="5">
    <w:p w14:paraId="6AB9C684" w14:textId="77777777" w:rsidR="009E0BB2" w:rsidRDefault="009E0BB2" w:rsidP="009E0BB2">
      <w:pPr>
        <w:pStyle w:val="Textonotapie"/>
        <w:ind w:firstLine="709"/>
        <w:contextualSpacing/>
        <w:jc w:val="both"/>
        <w:rPr>
          <w:rFonts w:ascii="Arial" w:hAnsi="Arial" w:cs="Arial"/>
          <w:color w:val="000000" w:themeColor="text1"/>
          <w:sz w:val="19"/>
          <w:szCs w:val="19"/>
        </w:rPr>
      </w:pPr>
    </w:p>
    <w:p w14:paraId="74019748"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Style w:val="Refdenotaalpie"/>
          <w:rFonts w:ascii="Arial" w:hAnsi="Arial" w:cs="Arial"/>
          <w:color w:val="000000" w:themeColor="text1"/>
          <w:sz w:val="19"/>
          <w:szCs w:val="19"/>
        </w:rPr>
        <w:footnoteRef/>
      </w:r>
      <w:r w:rsidRPr="007E0C16">
        <w:rPr>
          <w:rFonts w:ascii="Arial" w:hAnsi="Arial" w:cs="Arial"/>
          <w:color w:val="000000" w:themeColor="text1"/>
          <w:sz w:val="19"/>
          <w:szCs w:val="19"/>
        </w:rPr>
        <w:t xml:space="preserve"> Ley 1150 de 2007: «Artículo 5. De la selección objetiva.</w:t>
      </w:r>
      <w:r w:rsidRPr="007E0C16">
        <w:rPr>
          <w:rFonts w:ascii="Arial" w:hAnsi="Arial" w:cs="Arial"/>
          <w:color w:val="000000" w:themeColor="text1"/>
          <w:sz w:val="19"/>
          <w:szCs w:val="19"/>
          <w:lang w:eastAsia="es-CO"/>
        </w:rPr>
        <w:t xml:space="preserve"> </w:t>
      </w:r>
    </w:p>
    <w:p w14:paraId="7C15A37B"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w:t>
      </w:r>
    </w:p>
    <w:p w14:paraId="652DAF7A"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4B1B6A9" w14:textId="77777777" w:rsidR="009E0BB2"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w:t>
      </w:r>
    </w:p>
    <w:p w14:paraId="50B934FB"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p>
  </w:footnote>
  <w:footnote w:id="6">
    <w:p w14:paraId="6C3254E0" w14:textId="77777777" w:rsidR="009E0BB2" w:rsidRPr="00085B6D" w:rsidRDefault="009E0BB2" w:rsidP="009E0BB2">
      <w:pPr>
        <w:pStyle w:val="Textonotapie"/>
        <w:ind w:firstLine="708"/>
        <w:contextualSpacing/>
        <w:jc w:val="both"/>
        <w:rPr>
          <w:rFonts w:ascii="Arial" w:hAnsi="Arial" w:cs="Arial"/>
          <w:sz w:val="19"/>
          <w:szCs w:val="19"/>
        </w:rPr>
      </w:pPr>
      <w:r w:rsidRPr="00085B6D">
        <w:rPr>
          <w:rStyle w:val="Refdenotaalpie"/>
          <w:rFonts w:ascii="Arial" w:hAnsi="Arial" w:cs="Arial"/>
          <w:sz w:val="19"/>
          <w:szCs w:val="19"/>
        </w:rPr>
        <w:footnoteRef/>
      </w:r>
      <w:r w:rsidRPr="00085B6D">
        <w:rPr>
          <w:rFonts w:ascii="Arial" w:hAnsi="Arial" w:cs="Arial"/>
          <w:sz w:val="19"/>
          <w:szCs w:val="19"/>
        </w:rPr>
        <w:t xml:space="preserve"> </w:t>
      </w:r>
      <w:r w:rsidRPr="007E0C16">
        <w:rPr>
          <w:rFonts w:ascii="Arial" w:eastAsia="Arial" w:hAnsi="Arial" w:cs="Arial"/>
          <w:sz w:val="19"/>
          <w:szCs w:val="19"/>
        </w:rPr>
        <w:t>Consejo de Estado. Sala de Consulta y Servicio Civil. Concepto del 20 de mayo de 2010. Exp.1992. C.P. Enrique José Arboleda Perdomo.</w:t>
      </w:r>
    </w:p>
  </w:footnote>
  <w:footnote w:id="7">
    <w:p w14:paraId="61EF1174" w14:textId="77777777" w:rsidR="009E0BB2" w:rsidRDefault="009E0BB2" w:rsidP="009E0BB2">
      <w:pPr>
        <w:pStyle w:val="Textonotapie"/>
        <w:ind w:firstLine="709"/>
        <w:contextualSpacing/>
        <w:jc w:val="both"/>
        <w:rPr>
          <w:rFonts w:ascii="Arial" w:hAnsi="Arial" w:cs="Arial"/>
          <w:sz w:val="19"/>
          <w:szCs w:val="19"/>
        </w:rPr>
      </w:pPr>
    </w:p>
    <w:p w14:paraId="2B7D878D" w14:textId="77777777" w:rsidR="009E0BB2" w:rsidRPr="007E0C16" w:rsidRDefault="009E0BB2" w:rsidP="009E0BB2">
      <w:pPr>
        <w:pStyle w:val="Textonotapie"/>
        <w:ind w:firstLine="709"/>
        <w:contextualSpacing/>
        <w:jc w:val="both"/>
        <w:rPr>
          <w:rFonts w:ascii="Arial" w:hAnsi="Arial" w:cs="Arial"/>
          <w:sz w:val="19"/>
          <w:szCs w:val="19"/>
          <w:lang w:eastAsia="es-CO"/>
        </w:rPr>
      </w:pPr>
      <w:r w:rsidRPr="007E0C16">
        <w:rPr>
          <w:rStyle w:val="Refdenotaalpie"/>
          <w:rFonts w:ascii="Arial" w:hAnsi="Arial" w:cs="Arial"/>
          <w:sz w:val="19"/>
          <w:szCs w:val="19"/>
        </w:rPr>
        <w:footnoteRef/>
      </w:r>
      <w:r w:rsidRPr="007E0C16">
        <w:rPr>
          <w:rFonts w:ascii="Arial" w:hAnsi="Arial" w:cs="Arial"/>
          <w:sz w:val="19"/>
          <w:szCs w:val="19"/>
        </w:rPr>
        <w:t xml:space="preserve"> </w:t>
      </w:r>
      <w:r w:rsidRPr="007E0C16">
        <w:rPr>
          <w:rFonts w:ascii="Arial" w:hAnsi="Arial" w:cs="Arial"/>
          <w:sz w:val="19"/>
          <w:szCs w:val="19"/>
          <w:lang w:eastAsia="es-CO"/>
        </w:rPr>
        <w:t xml:space="preserve">Ley 1150 de 2007: «Artículo 6.  De la verificación de las condiciones de los proponentes. </w:t>
      </w:r>
    </w:p>
    <w:p w14:paraId="09C60218" w14:textId="77777777" w:rsidR="009E0BB2" w:rsidRPr="007E0C16" w:rsidRDefault="009E0BB2" w:rsidP="009E0BB2">
      <w:pPr>
        <w:pStyle w:val="Textonotapie"/>
        <w:ind w:firstLine="709"/>
        <w:contextualSpacing/>
        <w:jc w:val="both"/>
        <w:rPr>
          <w:rFonts w:ascii="Arial" w:hAnsi="Arial" w:cs="Arial"/>
          <w:sz w:val="19"/>
          <w:szCs w:val="19"/>
          <w:lang w:eastAsia="es-CO"/>
        </w:rPr>
      </w:pPr>
      <w:r w:rsidRPr="007E0C16">
        <w:rPr>
          <w:rFonts w:ascii="Arial" w:hAnsi="Arial" w:cs="Arial"/>
          <w:sz w:val="19"/>
          <w:szCs w:val="19"/>
          <w:lang w:eastAsia="es-CO"/>
        </w:rPr>
        <w:t xml:space="preserve">[...] </w:t>
      </w:r>
    </w:p>
    <w:p w14:paraId="0C4B0C58" w14:textId="77777777" w:rsidR="009E0BB2" w:rsidRPr="007E0C16" w:rsidRDefault="009E0BB2" w:rsidP="009E0BB2">
      <w:pPr>
        <w:pStyle w:val="Textonotapie"/>
        <w:ind w:firstLine="709"/>
        <w:contextualSpacing/>
        <w:jc w:val="both"/>
        <w:rPr>
          <w:rFonts w:ascii="Arial" w:hAnsi="Arial" w:cs="Arial"/>
          <w:sz w:val="19"/>
          <w:szCs w:val="19"/>
          <w:lang w:eastAsia="es-CO"/>
        </w:rPr>
      </w:pPr>
      <w:r w:rsidRPr="007E0C16">
        <w:rPr>
          <w:rFonts w:ascii="Arial" w:hAnsi="Arial" w:cs="Arial"/>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625333B" w14:textId="77777777" w:rsidR="009E0BB2" w:rsidRPr="007E0C16" w:rsidRDefault="009E0BB2" w:rsidP="009E0BB2">
      <w:pPr>
        <w:pStyle w:val="Textonotapie"/>
        <w:ind w:firstLine="709"/>
        <w:contextualSpacing/>
        <w:jc w:val="both"/>
        <w:rPr>
          <w:rFonts w:ascii="Arial" w:hAnsi="Arial" w:cs="Arial"/>
          <w:sz w:val="19"/>
          <w:szCs w:val="19"/>
          <w:lang w:eastAsia="es-CO"/>
        </w:rPr>
      </w:pPr>
      <w:r w:rsidRPr="007E0C16">
        <w:rPr>
          <w:rFonts w:ascii="Arial" w:hAnsi="Arial" w:cs="Arial"/>
          <w:sz w:val="19"/>
          <w:szCs w:val="19"/>
          <w:lang w:eastAsia="es-CO"/>
        </w:rPr>
        <w:t xml:space="preserve">[...]». </w:t>
      </w:r>
    </w:p>
  </w:footnote>
  <w:footnote w:id="8">
    <w:p w14:paraId="4C2B3F2A" w14:textId="77777777" w:rsidR="009E0BB2" w:rsidRDefault="009E0BB2" w:rsidP="009E0BB2">
      <w:pPr>
        <w:pStyle w:val="Textonotapie"/>
        <w:ind w:firstLine="709"/>
        <w:contextualSpacing/>
        <w:jc w:val="both"/>
        <w:rPr>
          <w:rFonts w:ascii="Arial" w:hAnsi="Arial" w:cs="Arial"/>
          <w:sz w:val="19"/>
          <w:szCs w:val="19"/>
        </w:rPr>
      </w:pPr>
    </w:p>
    <w:p w14:paraId="32231B34" w14:textId="77777777" w:rsidR="009E0BB2" w:rsidRPr="007E0C16" w:rsidRDefault="009E0BB2" w:rsidP="009E0BB2">
      <w:pPr>
        <w:pStyle w:val="Textonotapie"/>
        <w:ind w:firstLine="709"/>
        <w:contextualSpacing/>
        <w:jc w:val="both"/>
        <w:rPr>
          <w:rFonts w:ascii="Arial" w:hAnsi="Arial" w:cs="Arial"/>
          <w:sz w:val="19"/>
          <w:szCs w:val="19"/>
          <w:lang w:eastAsia="es-CO"/>
        </w:rPr>
      </w:pPr>
      <w:r w:rsidRPr="007E0C16">
        <w:rPr>
          <w:rStyle w:val="Refdenotaalpie"/>
          <w:rFonts w:ascii="Arial" w:hAnsi="Arial" w:cs="Arial"/>
          <w:sz w:val="19"/>
          <w:szCs w:val="19"/>
        </w:rPr>
        <w:footnoteRef/>
      </w:r>
      <w:r w:rsidRPr="007E0C16">
        <w:rPr>
          <w:rFonts w:ascii="Arial" w:hAnsi="Arial" w:cs="Arial"/>
          <w:sz w:val="19"/>
          <w:szCs w:val="19"/>
        </w:rPr>
        <w:t xml:space="preserve"> </w:t>
      </w:r>
      <w:r w:rsidRPr="007E0C16">
        <w:rPr>
          <w:rFonts w:ascii="Arial" w:hAnsi="Arial" w:cs="Arial"/>
          <w:sz w:val="19"/>
          <w:szCs w:val="19"/>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9">
    <w:p w14:paraId="07D777C8" w14:textId="77777777" w:rsidR="009E0BB2" w:rsidRDefault="009E0BB2" w:rsidP="009E0BB2">
      <w:pPr>
        <w:pStyle w:val="Textonotapie"/>
        <w:ind w:firstLine="708"/>
        <w:contextualSpacing/>
        <w:jc w:val="both"/>
        <w:rPr>
          <w:rFonts w:ascii="Arial" w:hAnsi="Arial" w:cs="Arial"/>
          <w:b/>
          <w:bCs/>
          <w:color w:val="000000" w:themeColor="text1"/>
          <w:sz w:val="19"/>
          <w:szCs w:val="19"/>
          <w:lang w:eastAsia="es-CO"/>
        </w:rPr>
      </w:pPr>
    </w:p>
    <w:p w14:paraId="701AD79F" w14:textId="77777777" w:rsidR="009E0BB2" w:rsidRPr="007E0C16" w:rsidRDefault="009E0BB2" w:rsidP="009E0BB2">
      <w:pPr>
        <w:pStyle w:val="Textonotapie"/>
        <w:ind w:firstLine="708"/>
        <w:contextualSpacing/>
        <w:jc w:val="both"/>
        <w:rPr>
          <w:rFonts w:ascii="Arial" w:hAnsi="Arial" w:cs="Arial"/>
          <w:color w:val="000000" w:themeColor="text1"/>
          <w:sz w:val="19"/>
          <w:szCs w:val="19"/>
          <w:shd w:val="clear" w:color="auto" w:fill="FFFFFF"/>
        </w:rPr>
      </w:pPr>
      <w:r w:rsidRPr="007E0C16">
        <w:rPr>
          <w:rStyle w:val="Refdenotaalpie"/>
          <w:rFonts w:ascii="Arial" w:hAnsi="Arial" w:cs="Arial"/>
          <w:b/>
          <w:bCs/>
          <w:color w:val="000000" w:themeColor="text1"/>
          <w:sz w:val="19"/>
          <w:szCs w:val="19"/>
        </w:rPr>
        <w:footnoteRef/>
      </w:r>
      <w:r w:rsidRPr="007E0C16">
        <w:rPr>
          <w:rFonts w:ascii="Arial" w:hAnsi="Arial" w:cs="Arial"/>
          <w:b/>
          <w:bCs/>
          <w:color w:val="000000" w:themeColor="text1"/>
          <w:sz w:val="19"/>
          <w:szCs w:val="19"/>
          <w:lang w:eastAsia="es-CO"/>
        </w:rPr>
        <w:t>«</w:t>
      </w:r>
      <w:r w:rsidRPr="007E0C16">
        <w:rPr>
          <w:rStyle w:val="Textoennegrita"/>
          <w:rFonts w:ascii="Arial" w:hAnsi="Arial" w:cs="Arial"/>
          <w:color w:val="000000" w:themeColor="text1"/>
          <w:sz w:val="19"/>
          <w:szCs w:val="19"/>
          <w:shd w:val="clear" w:color="auto" w:fill="FFFFFF"/>
        </w:rPr>
        <w:t>Artículo 2.2.1.1.1.5.1.</w:t>
      </w:r>
      <w:r w:rsidRPr="007E0C16">
        <w:rPr>
          <w:rStyle w:val="Textoennegrita"/>
          <w:rFonts w:ascii="Arial" w:hAnsi="Arial" w:cs="Arial"/>
          <w:i/>
          <w:color w:val="000000" w:themeColor="text1"/>
          <w:sz w:val="19"/>
          <w:szCs w:val="19"/>
          <w:shd w:val="clear" w:color="auto" w:fill="FFFFFF"/>
        </w:rPr>
        <w:t> </w:t>
      </w:r>
      <w:r w:rsidRPr="00085B6D">
        <w:rPr>
          <w:rStyle w:val="nfasis"/>
          <w:rFonts w:ascii="Arial" w:hAnsi="Arial" w:cs="Arial"/>
          <w:color w:val="000000" w:themeColor="text1"/>
          <w:sz w:val="19"/>
          <w:szCs w:val="19"/>
          <w:shd w:val="clear" w:color="auto" w:fill="FFFFFF"/>
        </w:rPr>
        <w:t>Inscripción, renovación, actualización y cancelación del RUP. </w:t>
      </w:r>
      <w:r w:rsidRPr="007E0C16">
        <w:rPr>
          <w:rFonts w:ascii="Arial" w:hAnsi="Arial" w:cs="Arial"/>
          <w:color w:val="000000" w:themeColor="text1"/>
          <w:sz w:val="19"/>
          <w:szCs w:val="19"/>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7E0C16">
        <w:rPr>
          <w:rFonts w:ascii="Arial" w:hAnsi="Arial" w:cs="Arial"/>
          <w:color w:val="000000" w:themeColor="text1"/>
          <w:sz w:val="19"/>
          <w:szCs w:val="19"/>
          <w:lang w:eastAsia="es-CO"/>
        </w:rPr>
        <w:t>»</w:t>
      </w:r>
      <w:r w:rsidRPr="007E0C16">
        <w:rPr>
          <w:rFonts w:ascii="Arial" w:hAnsi="Arial" w:cs="Arial"/>
          <w:color w:val="000000" w:themeColor="text1"/>
          <w:sz w:val="19"/>
          <w:szCs w:val="19"/>
          <w:shd w:val="clear" w:color="auto" w:fill="FFFFFF"/>
        </w:rPr>
        <w:t>.</w:t>
      </w:r>
    </w:p>
  </w:footnote>
  <w:footnote w:id="10">
    <w:p w14:paraId="50CECFCB" w14:textId="77777777" w:rsidR="009E0BB2" w:rsidRDefault="009E0BB2" w:rsidP="009E0BB2">
      <w:pPr>
        <w:pStyle w:val="Textonotapie"/>
        <w:ind w:firstLine="709"/>
        <w:contextualSpacing/>
        <w:jc w:val="both"/>
        <w:rPr>
          <w:rFonts w:ascii="Arial" w:hAnsi="Arial" w:cs="Arial"/>
          <w:color w:val="000000" w:themeColor="text1"/>
          <w:sz w:val="19"/>
          <w:szCs w:val="19"/>
        </w:rPr>
      </w:pPr>
    </w:p>
    <w:p w14:paraId="29068147"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Style w:val="Refdenotaalpie"/>
          <w:rFonts w:ascii="Arial" w:hAnsi="Arial" w:cs="Arial"/>
          <w:color w:val="000000" w:themeColor="text1"/>
          <w:sz w:val="19"/>
          <w:szCs w:val="19"/>
        </w:rPr>
        <w:footnoteRef/>
      </w:r>
      <w:r w:rsidRPr="007E0C16">
        <w:rPr>
          <w:rFonts w:ascii="Arial" w:hAnsi="Arial" w:cs="Arial"/>
          <w:color w:val="000000" w:themeColor="text1"/>
          <w:sz w:val="19"/>
          <w:szCs w:val="19"/>
        </w:rPr>
        <w:t xml:space="preserve"> </w:t>
      </w:r>
      <w:r w:rsidRPr="007E0C16">
        <w:rPr>
          <w:rFonts w:ascii="Arial" w:hAnsi="Arial" w:cs="Arial"/>
          <w:color w:val="000000" w:themeColor="text1"/>
          <w:sz w:val="19"/>
          <w:szCs w:val="19"/>
          <w:lang w:eastAsia="es-CO"/>
        </w:rPr>
        <w:t>Decreto 1082 de 2015:</w:t>
      </w:r>
      <w:r w:rsidRPr="007E0C16">
        <w:rPr>
          <w:rFonts w:ascii="Arial" w:hAnsi="Arial" w:cs="Arial"/>
          <w:color w:val="000000" w:themeColor="text1"/>
          <w:sz w:val="19"/>
          <w:szCs w:val="19"/>
        </w:rPr>
        <w:t xml:space="preserve"> </w:t>
      </w:r>
      <w:r w:rsidRPr="007E0C16">
        <w:rPr>
          <w:rFonts w:ascii="Arial" w:hAnsi="Arial" w:cs="Arial"/>
          <w:color w:val="000000" w:themeColor="text1"/>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799A5529"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0C1F3F7" w14:textId="77777777" w:rsidR="009E0BB2" w:rsidRPr="007E0C16" w:rsidRDefault="009E0BB2" w:rsidP="009E0BB2">
      <w:pPr>
        <w:pStyle w:val="Textonotapie"/>
        <w:ind w:firstLine="709"/>
        <w:contextualSpacing/>
        <w:jc w:val="both"/>
        <w:rPr>
          <w:rFonts w:ascii="Arial" w:hAnsi="Arial" w:cs="Arial"/>
          <w:color w:val="000000" w:themeColor="text1"/>
          <w:sz w:val="19"/>
          <w:szCs w:val="19"/>
          <w:lang w:eastAsia="es-CO"/>
        </w:rPr>
      </w:pPr>
      <w:r w:rsidRPr="007E0C16">
        <w:rPr>
          <w:rFonts w:ascii="Arial" w:hAnsi="Arial" w:cs="Arial"/>
          <w:color w:val="000000" w:themeColor="text1"/>
          <w:sz w:val="19"/>
          <w:szCs w:val="19"/>
          <w:lang w:eastAsia="es-CO"/>
        </w:rPr>
        <w:t>»Los inscritos en el RUP pueden en cualquier momento solicitar a la cámara de comercio cancelar su inscripción».</w:t>
      </w:r>
    </w:p>
  </w:footnote>
  <w:footnote w:id="11">
    <w:p w14:paraId="1BB91E21" w14:textId="77777777" w:rsidR="009E0BB2" w:rsidRDefault="009E0BB2" w:rsidP="009E0BB2">
      <w:pPr>
        <w:pStyle w:val="Textonotapie"/>
        <w:ind w:firstLine="708"/>
        <w:contextualSpacing/>
        <w:jc w:val="both"/>
        <w:rPr>
          <w:rFonts w:ascii="Arial" w:hAnsi="Arial" w:cs="Arial"/>
          <w:sz w:val="19"/>
          <w:szCs w:val="19"/>
        </w:rPr>
      </w:pPr>
    </w:p>
    <w:p w14:paraId="27C591D6" w14:textId="77777777" w:rsidR="009E0BB2" w:rsidRPr="007E0C16" w:rsidRDefault="009E0BB2" w:rsidP="009E0BB2">
      <w:pPr>
        <w:pStyle w:val="Textonotapie"/>
        <w:ind w:firstLine="708"/>
        <w:contextualSpacing/>
        <w:jc w:val="both"/>
        <w:rPr>
          <w:rFonts w:ascii="Arial" w:hAnsi="Arial" w:cs="Arial"/>
          <w:sz w:val="19"/>
          <w:szCs w:val="19"/>
        </w:rPr>
      </w:pPr>
      <w:r w:rsidRPr="007E0C16">
        <w:rPr>
          <w:rStyle w:val="Refdenotaalpie"/>
          <w:rFonts w:ascii="Arial" w:hAnsi="Arial" w:cs="Arial"/>
          <w:sz w:val="19"/>
          <w:szCs w:val="19"/>
        </w:rPr>
        <w:footnoteRef/>
      </w:r>
      <w:r w:rsidRPr="007E0C16">
        <w:rPr>
          <w:rFonts w:ascii="Arial" w:hAnsi="Arial" w:cs="Arial"/>
          <w:sz w:val="19"/>
          <w:szCs w:val="19"/>
        </w:rPr>
        <w:t xml:space="preserve"> Como se señaló, el artículo 6 de la Ley 1150 de 2007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14:paraId="61787AE8" w14:textId="77777777" w:rsidR="009E0BB2" w:rsidRPr="007E0C16" w:rsidRDefault="009E0BB2" w:rsidP="009E0BB2">
      <w:pPr>
        <w:pStyle w:val="Textonotapie"/>
        <w:ind w:firstLine="708"/>
        <w:contextualSpacing/>
        <w:jc w:val="both"/>
        <w:rPr>
          <w:rFonts w:ascii="Arial" w:hAnsi="Arial" w:cs="Arial"/>
          <w:sz w:val="19"/>
          <w:szCs w:val="19"/>
        </w:rPr>
      </w:pPr>
    </w:p>
  </w:footnote>
  <w:footnote w:id="12">
    <w:p w14:paraId="66101103" w14:textId="77777777" w:rsidR="009E0BB2" w:rsidRPr="00085B6D" w:rsidRDefault="009E0BB2" w:rsidP="009E0BB2">
      <w:pPr>
        <w:pStyle w:val="Textonotapie"/>
        <w:ind w:firstLine="709"/>
        <w:contextualSpacing/>
        <w:jc w:val="both"/>
        <w:rPr>
          <w:rFonts w:ascii="Arial" w:hAnsi="Arial" w:cs="Arial"/>
          <w:color w:val="000000"/>
          <w:sz w:val="19"/>
          <w:szCs w:val="19"/>
        </w:rPr>
      </w:pPr>
      <w:r w:rsidRPr="00085B6D">
        <w:rPr>
          <w:rStyle w:val="Refdenotaalpie"/>
          <w:rFonts w:ascii="Arial" w:hAnsi="Arial" w:cs="Arial"/>
          <w:color w:val="000000"/>
          <w:sz w:val="19"/>
          <w:szCs w:val="19"/>
        </w:rPr>
        <w:footnoteRef/>
      </w:r>
      <w:r w:rsidRPr="00085B6D">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13">
    <w:p w14:paraId="11698E2A" w14:textId="77777777" w:rsidR="009E0BB2" w:rsidRDefault="009E0BB2" w:rsidP="009E0BB2">
      <w:pPr>
        <w:pStyle w:val="Textonotapie"/>
        <w:ind w:firstLine="709"/>
        <w:contextualSpacing/>
        <w:jc w:val="both"/>
        <w:rPr>
          <w:rFonts w:ascii="Arial" w:hAnsi="Arial" w:cs="Arial"/>
          <w:color w:val="000000"/>
          <w:sz w:val="19"/>
          <w:szCs w:val="19"/>
        </w:rPr>
      </w:pPr>
    </w:p>
    <w:p w14:paraId="197F8E38" w14:textId="77777777" w:rsidR="009E0BB2" w:rsidRPr="00085B6D" w:rsidRDefault="009E0BB2" w:rsidP="009E0BB2">
      <w:pPr>
        <w:pStyle w:val="Textonotapie"/>
        <w:ind w:firstLine="709"/>
        <w:contextualSpacing/>
        <w:jc w:val="both"/>
        <w:rPr>
          <w:rFonts w:ascii="Arial" w:hAnsi="Arial" w:cs="Arial"/>
          <w:color w:val="000000"/>
          <w:sz w:val="19"/>
          <w:szCs w:val="19"/>
        </w:rPr>
      </w:pPr>
      <w:r w:rsidRPr="00085B6D">
        <w:rPr>
          <w:rStyle w:val="Refdenotaalpie"/>
          <w:rFonts w:ascii="Arial" w:hAnsi="Arial" w:cs="Arial"/>
          <w:color w:val="000000"/>
          <w:sz w:val="19"/>
          <w:szCs w:val="19"/>
        </w:rPr>
        <w:footnoteRef/>
      </w:r>
      <w:r w:rsidRPr="00085B6D">
        <w:rPr>
          <w:rFonts w:ascii="Arial" w:hAnsi="Arial" w:cs="Arial"/>
          <w:color w:val="000000"/>
          <w:sz w:val="19"/>
          <w:szCs w:val="19"/>
        </w:rPr>
        <w:t xml:space="preserve"> </w:t>
      </w:r>
      <w:r w:rsidRPr="00085B6D">
        <w:rPr>
          <w:rFonts w:ascii="Arial" w:hAnsi="Arial" w:cs="Arial"/>
          <w:color w:val="000000"/>
          <w:sz w:val="19"/>
          <w:szCs w:val="19"/>
          <w:lang w:val="es-CO"/>
        </w:rPr>
        <w:t xml:space="preserve">Ley 1882 de 2018: «Artículo 4. </w:t>
      </w:r>
      <w:r w:rsidRPr="00085B6D">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D7FAD38" w14:textId="77777777" w:rsidR="009E0BB2" w:rsidRPr="00085B6D" w:rsidRDefault="009E0BB2" w:rsidP="009E0BB2">
      <w:pPr>
        <w:pStyle w:val="Textonotapie"/>
        <w:ind w:firstLine="709"/>
        <w:contextualSpacing/>
        <w:jc w:val="both"/>
        <w:rPr>
          <w:rFonts w:ascii="Arial" w:hAnsi="Arial" w:cs="Arial"/>
          <w:color w:val="000000"/>
          <w:sz w:val="19"/>
          <w:szCs w:val="19"/>
          <w:lang w:val="es-CO"/>
        </w:rPr>
      </w:pPr>
      <w:r w:rsidRPr="00085B6D">
        <w:rPr>
          <w:rFonts w:ascii="Arial" w:hAnsi="Arial" w:cs="Arial"/>
          <w:color w:val="000000"/>
          <w:sz w:val="19"/>
          <w:szCs w:val="19"/>
          <w:lang w:val="es-CO"/>
        </w:rPr>
        <w:t>» La facultad de adoptar documentos tipo la tendrá el Gobierno nacional, cuando lo considere necesario, en relación con otros contratos o procesos de selección.</w:t>
      </w:r>
    </w:p>
    <w:p w14:paraId="362523FF" w14:textId="77777777" w:rsidR="009E0BB2" w:rsidRPr="00085B6D" w:rsidRDefault="009E0BB2" w:rsidP="009E0BB2">
      <w:pPr>
        <w:pStyle w:val="Textonotapie"/>
        <w:ind w:firstLine="709"/>
        <w:contextualSpacing/>
        <w:jc w:val="both"/>
        <w:rPr>
          <w:rFonts w:ascii="Arial" w:hAnsi="Arial" w:cs="Arial"/>
          <w:color w:val="000000"/>
          <w:sz w:val="19"/>
          <w:szCs w:val="19"/>
          <w:lang w:val="es-CO"/>
        </w:rPr>
      </w:pPr>
      <w:r w:rsidRPr="00085B6D">
        <w:rPr>
          <w:rFonts w:ascii="Arial" w:hAnsi="Arial" w:cs="Arial"/>
          <w:color w:val="000000"/>
          <w:sz w:val="19"/>
          <w:szCs w:val="19"/>
          <w:lang w:val="es-CO"/>
        </w:rPr>
        <w:t>» Los pliegos tipo se adoptarán por categorías de acuerdo con la cuantía de la contratación, según la reglamentación que expida el Gobierno nacional».</w:t>
      </w:r>
    </w:p>
  </w:footnote>
  <w:footnote w:id="14">
    <w:p w14:paraId="49E2C1A2" w14:textId="77777777" w:rsidR="009E0BB2" w:rsidRDefault="009E0BB2" w:rsidP="009E0BB2">
      <w:pPr>
        <w:pStyle w:val="Textonotapie"/>
        <w:ind w:firstLine="709"/>
        <w:contextualSpacing/>
        <w:jc w:val="both"/>
        <w:rPr>
          <w:rFonts w:ascii="Arial" w:hAnsi="Arial" w:cs="Arial"/>
          <w:color w:val="000000"/>
          <w:sz w:val="19"/>
          <w:szCs w:val="19"/>
        </w:rPr>
      </w:pPr>
      <w:r w:rsidRPr="00085B6D">
        <w:rPr>
          <w:rStyle w:val="Refdenotaalpie"/>
          <w:rFonts w:ascii="Arial" w:hAnsi="Arial" w:cs="Arial"/>
          <w:color w:val="000000"/>
          <w:sz w:val="19"/>
          <w:szCs w:val="19"/>
        </w:rPr>
        <w:footnoteRef/>
      </w:r>
      <w:r w:rsidRPr="00085B6D">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B2B2F15" w14:textId="77777777" w:rsidR="009E0BB2" w:rsidRPr="00085B6D" w:rsidRDefault="009E0BB2" w:rsidP="009E0BB2">
      <w:pPr>
        <w:pStyle w:val="Textonotapie"/>
        <w:ind w:firstLine="709"/>
        <w:contextualSpacing/>
        <w:jc w:val="both"/>
        <w:rPr>
          <w:rFonts w:ascii="Arial" w:hAnsi="Arial" w:cs="Arial"/>
          <w:color w:val="000000"/>
          <w:sz w:val="19"/>
          <w:szCs w:val="19"/>
        </w:rPr>
      </w:pPr>
    </w:p>
  </w:footnote>
  <w:footnote w:id="15">
    <w:p w14:paraId="62B9FA30" w14:textId="77777777" w:rsidR="009E0BB2" w:rsidRPr="00085B6D" w:rsidRDefault="009E0BB2" w:rsidP="009E0BB2">
      <w:pPr>
        <w:pStyle w:val="Textonotapie"/>
        <w:ind w:firstLine="708"/>
        <w:contextualSpacing/>
        <w:jc w:val="both"/>
        <w:rPr>
          <w:rFonts w:ascii="Arial" w:hAnsi="Arial" w:cs="Arial"/>
          <w:color w:val="000000"/>
          <w:sz w:val="19"/>
          <w:szCs w:val="19"/>
        </w:rPr>
      </w:pPr>
      <w:r w:rsidRPr="00085B6D">
        <w:rPr>
          <w:rStyle w:val="Refdenotaalpie"/>
          <w:rFonts w:ascii="Arial" w:hAnsi="Arial" w:cs="Arial"/>
          <w:color w:val="000000"/>
          <w:sz w:val="19"/>
          <w:szCs w:val="19"/>
        </w:rPr>
        <w:footnoteRef/>
      </w:r>
      <w:r w:rsidRPr="00085B6D">
        <w:rPr>
          <w:rFonts w:ascii="Arial" w:hAnsi="Arial" w:cs="Arial"/>
          <w:color w:val="000000"/>
          <w:sz w:val="19"/>
          <w:szCs w:val="19"/>
        </w:rPr>
        <w:t xml:space="preserve"> «ARTÍCULO 1o. Modifíquese el artículo 4o de la Ley 1882 de 2018, el cual quedará así:</w:t>
      </w:r>
    </w:p>
    <w:p w14:paraId="13C0012C" w14:textId="77777777" w:rsidR="009E0BB2" w:rsidRPr="00085B6D" w:rsidRDefault="009E0BB2" w:rsidP="009E0BB2">
      <w:pPr>
        <w:pStyle w:val="Textonotapie"/>
        <w:ind w:firstLine="708"/>
        <w:contextualSpacing/>
        <w:jc w:val="both"/>
        <w:rPr>
          <w:rFonts w:ascii="Arial" w:hAnsi="Arial" w:cs="Arial"/>
          <w:color w:val="000000"/>
          <w:sz w:val="19"/>
          <w:szCs w:val="19"/>
        </w:rPr>
      </w:pPr>
      <w:r w:rsidRPr="00085B6D">
        <w:rPr>
          <w:rFonts w:ascii="Arial" w:hAnsi="Arial" w:cs="Arial"/>
          <w:color w:val="000000"/>
          <w:sz w:val="19"/>
          <w:szCs w:val="19"/>
        </w:rPr>
        <w:t>»Artículo 4o. Adiciónese el siguiente parágrafo al artículo 2o de la Ley 1150 de 2007.</w:t>
      </w:r>
    </w:p>
    <w:p w14:paraId="47F9A084" w14:textId="77777777" w:rsidR="009E0BB2" w:rsidRPr="00085B6D" w:rsidRDefault="009E0BB2" w:rsidP="009E0BB2">
      <w:pPr>
        <w:pStyle w:val="Textonotapie"/>
        <w:ind w:firstLine="708"/>
        <w:contextualSpacing/>
        <w:jc w:val="both"/>
        <w:rPr>
          <w:rFonts w:ascii="Arial" w:hAnsi="Arial" w:cs="Arial"/>
          <w:color w:val="000000"/>
          <w:sz w:val="19"/>
          <w:szCs w:val="19"/>
        </w:rPr>
      </w:pPr>
      <w:r w:rsidRPr="00085B6D">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E8FD63F" w14:textId="77777777" w:rsidR="009E0BB2" w:rsidRPr="00085B6D" w:rsidRDefault="009E0BB2" w:rsidP="009E0BB2">
      <w:pPr>
        <w:pStyle w:val="Textonotapie"/>
        <w:ind w:firstLine="708"/>
        <w:contextualSpacing/>
        <w:jc w:val="both"/>
        <w:rPr>
          <w:rFonts w:ascii="Arial" w:hAnsi="Arial" w:cs="Arial"/>
          <w:color w:val="000000"/>
          <w:sz w:val="19"/>
          <w:szCs w:val="19"/>
        </w:rPr>
      </w:pPr>
      <w:r w:rsidRPr="00085B6D">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F1B171C" w14:textId="77777777" w:rsidR="009E0BB2" w:rsidRPr="00085B6D" w:rsidRDefault="009E0BB2" w:rsidP="009E0BB2">
      <w:pPr>
        <w:pStyle w:val="Textonotapie"/>
        <w:ind w:firstLine="708"/>
        <w:contextualSpacing/>
        <w:jc w:val="both"/>
        <w:rPr>
          <w:rFonts w:ascii="Arial" w:hAnsi="Arial" w:cs="Arial"/>
          <w:color w:val="000000"/>
          <w:sz w:val="19"/>
          <w:szCs w:val="19"/>
        </w:rPr>
      </w:pPr>
      <w:r w:rsidRPr="00085B6D">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D528069" w14:textId="77777777" w:rsidR="009E0BB2" w:rsidRPr="00085B6D" w:rsidRDefault="009E0BB2" w:rsidP="009E0BB2">
      <w:pPr>
        <w:pStyle w:val="Textonotapie"/>
        <w:ind w:firstLine="708"/>
        <w:contextualSpacing/>
        <w:jc w:val="both"/>
        <w:rPr>
          <w:rFonts w:ascii="Arial" w:hAnsi="Arial" w:cs="Arial"/>
          <w:color w:val="000000"/>
          <w:sz w:val="19"/>
          <w:szCs w:val="19"/>
        </w:rPr>
      </w:pPr>
      <w:r w:rsidRPr="00085B6D">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1152411" w14:textId="77777777" w:rsidR="009E0BB2" w:rsidRPr="00085B6D" w:rsidRDefault="009E0BB2" w:rsidP="009E0BB2">
      <w:pPr>
        <w:pStyle w:val="Textonotapie"/>
        <w:ind w:firstLine="708"/>
        <w:contextualSpacing/>
        <w:jc w:val="both"/>
        <w:rPr>
          <w:rFonts w:ascii="Arial" w:hAnsi="Arial" w:cs="Arial"/>
          <w:color w:val="000000"/>
          <w:sz w:val="19"/>
          <w:szCs w:val="19"/>
          <w:lang w:val="es-CO"/>
        </w:rPr>
      </w:pPr>
      <w:r w:rsidRPr="00085B6D">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6">
    <w:p w14:paraId="53159DE8" w14:textId="77777777" w:rsidR="009E0BB2" w:rsidRDefault="009E0BB2" w:rsidP="009E0BB2">
      <w:pPr>
        <w:pStyle w:val="Textonotapie"/>
        <w:ind w:firstLine="708"/>
        <w:contextualSpacing/>
        <w:jc w:val="both"/>
        <w:rPr>
          <w:rFonts w:ascii="Arial" w:hAnsi="Arial" w:cs="Arial"/>
          <w:sz w:val="19"/>
          <w:szCs w:val="19"/>
        </w:rPr>
      </w:pPr>
      <w:r w:rsidRPr="00085B6D">
        <w:rPr>
          <w:rStyle w:val="Refdenotaalpie"/>
          <w:rFonts w:ascii="Arial" w:hAnsi="Arial" w:cs="Arial"/>
          <w:sz w:val="19"/>
          <w:szCs w:val="19"/>
        </w:rPr>
        <w:footnoteRef/>
      </w:r>
      <w:r w:rsidRPr="00085B6D">
        <w:rPr>
          <w:rFonts w:ascii="Arial" w:hAnsi="Arial" w:cs="Arial"/>
          <w:sz w:val="19"/>
          <w:szCs w:val="19"/>
        </w:rPr>
        <w:t xml:space="preserve"> 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w:t>
      </w:r>
      <w:r w:rsidRPr="00085B6D">
        <w:rPr>
          <w:rFonts w:ascii="Arial" w:hAnsi="Arial" w:cs="Arial"/>
          <w:sz w:val="19"/>
          <w:szCs w:val="19"/>
        </w:rPr>
        <w:t>puntaje diferentes a la oferta económica. »El segundo sobre deberá incluir únicamente la propuesta económica de conformidad con todos los requisitos exigidos en el pliego de condiciones. […]».</w:t>
      </w:r>
    </w:p>
    <w:p w14:paraId="7F579F53" w14:textId="77777777" w:rsidR="009E0BB2" w:rsidRPr="00085B6D" w:rsidRDefault="009E0BB2" w:rsidP="009E0BB2">
      <w:pPr>
        <w:pStyle w:val="Textonotapie"/>
        <w:ind w:firstLine="708"/>
        <w:contextualSpacing/>
        <w:jc w:val="both"/>
        <w:rPr>
          <w:rFonts w:ascii="Arial" w:hAnsi="Arial" w:cs="Arial"/>
          <w:sz w:val="19"/>
          <w:szCs w:val="19"/>
        </w:rPr>
      </w:pPr>
    </w:p>
  </w:footnote>
  <w:footnote w:id="17">
    <w:p w14:paraId="5F882F62" w14:textId="77777777" w:rsidR="009E0BB2" w:rsidRPr="00F00640" w:rsidRDefault="009E0BB2" w:rsidP="009E0BB2">
      <w:pPr>
        <w:pStyle w:val="Textonotapie"/>
        <w:ind w:firstLine="708"/>
        <w:contextualSpacing/>
        <w:jc w:val="both"/>
        <w:rPr>
          <w:rFonts w:ascii="Arial" w:hAnsi="Arial" w:cs="Arial"/>
          <w:sz w:val="19"/>
          <w:szCs w:val="19"/>
        </w:rPr>
      </w:pPr>
      <w:r w:rsidRPr="00F00640">
        <w:rPr>
          <w:rStyle w:val="Refdenotaalpie"/>
          <w:rFonts w:ascii="Arial" w:hAnsi="Arial" w:cs="Arial"/>
          <w:sz w:val="19"/>
          <w:szCs w:val="19"/>
        </w:rPr>
        <w:footnoteRef/>
      </w:r>
      <w:r w:rsidRPr="00F00640">
        <w:rPr>
          <w:rFonts w:ascii="Arial" w:hAnsi="Arial" w:cs="Arial"/>
          <w:sz w:val="19"/>
          <w:szCs w:val="19"/>
        </w:rPr>
        <w:t xml:space="preserve"> Ley 1882 de 2018: «Artículo 1.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w:t>
      </w:r>
      <w:r w:rsidRPr="00F00640">
        <w:rPr>
          <w:rFonts w:ascii="Arial" w:hAnsi="Arial" w:cs="Arial"/>
          <w:sz w:val="19"/>
          <w:szCs w:val="19"/>
        </w:rPr>
        <w:t>puntaje diferentes a la oferta económica. »El segundo sobre deberá incluir únicamente la propuesta económica de conformidad con todos los requisitos exigidos en el pliego de condiciones.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A2BD" w14:textId="77777777" w:rsidR="00906B3C" w:rsidRPr="007566FE" w:rsidRDefault="009E0BB2"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3E30805F" wp14:editId="65B9821E">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2905E1DC" w14:textId="77777777" w:rsidR="007566FE" w:rsidRPr="007566FE" w:rsidRDefault="009E0BB2"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61B68D69" w14:textId="77777777" w:rsidR="00793403" w:rsidRDefault="009E0BB2"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18C1AF4A" wp14:editId="596E5D0F">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335BE2D7" w14:textId="77777777" w:rsidR="00793403" w:rsidRPr="007566FE" w:rsidRDefault="00816C09" w:rsidP="008614E5">
    <w:pPr>
      <w:spacing w:after="0"/>
      <w:rPr>
        <w:rFonts w:ascii="Geomanist Light" w:hAnsi="Geomanist Light"/>
        <w:color w:val="002060"/>
        <w:sz w:val="16"/>
        <w:szCs w:val="16"/>
      </w:rPr>
    </w:pPr>
  </w:p>
  <w:p w14:paraId="671A28F2" w14:textId="77777777" w:rsidR="004A1847" w:rsidRPr="00906B3C" w:rsidRDefault="00816C09"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B632A"/>
    <w:multiLevelType w:val="hybridMultilevel"/>
    <w:tmpl w:val="4308074E"/>
    <w:lvl w:ilvl="0" w:tplc="02246258">
      <w:start w:val="2"/>
      <w:numFmt w:val="bullet"/>
      <w:lvlText w:val=""/>
      <w:lvlJc w:val="left"/>
      <w:pPr>
        <w:ind w:left="1068" w:hanging="360"/>
      </w:pPr>
      <w:rPr>
        <w:rFonts w:ascii="Symbol" w:eastAsia="Times New Roman" w:hAnsi="Symbol" w:cs="Times New Roman" w:hint="default"/>
        <w:sz w:val="24"/>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num w:numId="1" w16cid:durableId="6549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9A"/>
    <w:rsid w:val="002035A1"/>
    <w:rsid w:val="003817BB"/>
    <w:rsid w:val="005954C4"/>
    <w:rsid w:val="00695B9A"/>
    <w:rsid w:val="006C39A3"/>
    <w:rsid w:val="007C46EF"/>
    <w:rsid w:val="00816C09"/>
    <w:rsid w:val="008F3CA6"/>
    <w:rsid w:val="009C4FCC"/>
    <w:rsid w:val="009E0BB2"/>
    <w:rsid w:val="00A07FCC"/>
    <w:rsid w:val="00BC60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4643"/>
  <w15:chartTrackingRefBased/>
  <w15:docId w15:val="{D661B1B1-62BB-465C-8421-96DA274E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0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BB2"/>
  </w:style>
  <w:style w:type="paragraph" w:styleId="Piedepgina">
    <w:name w:val="footer"/>
    <w:basedOn w:val="Normal"/>
    <w:link w:val="PiedepginaCar"/>
    <w:uiPriority w:val="99"/>
    <w:unhideWhenUsed/>
    <w:rsid w:val="009E0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BB2"/>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E0BB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E0BB2"/>
    <w:pPr>
      <w:spacing w:after="0" w:line="240" w:lineRule="auto"/>
    </w:pPr>
    <w:rPr>
      <w:sz w:val="20"/>
      <w:szCs w:val="20"/>
      <w:lang w:val="es-MX"/>
    </w:rPr>
  </w:style>
  <w:style w:type="character" w:customStyle="1" w:styleId="TextonotapieCar1">
    <w:name w:val="Texto nota pie Car1"/>
    <w:basedOn w:val="Fuentedeprrafopredeter"/>
    <w:uiPriority w:val="99"/>
    <w:semiHidden/>
    <w:rsid w:val="009E0BB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9E0BB2"/>
    <w:rPr>
      <w:vertAlign w:val="superscript"/>
    </w:rPr>
  </w:style>
  <w:style w:type="table" w:styleId="Tablaconcuadrcula">
    <w:name w:val="Table Grid"/>
    <w:basedOn w:val="Tablanormal"/>
    <w:uiPriority w:val="39"/>
    <w:rsid w:val="009E0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E0BB2"/>
    <w:pPr>
      <w:ind w:left="720"/>
      <w:contextualSpacing/>
    </w:pPr>
    <w:rPr>
      <w:rFonts w:ascii="Geomanist Light" w:hAnsi="Geomanist Light"/>
      <w:lang w:val="es-ES"/>
    </w:rPr>
  </w:style>
  <w:style w:type="character" w:styleId="Refdecomentario">
    <w:name w:val="annotation reference"/>
    <w:basedOn w:val="Fuentedeprrafopredeter"/>
    <w:uiPriority w:val="99"/>
    <w:semiHidden/>
    <w:unhideWhenUsed/>
    <w:rsid w:val="009E0BB2"/>
    <w:rPr>
      <w:sz w:val="16"/>
      <w:szCs w:val="16"/>
    </w:rPr>
  </w:style>
  <w:style w:type="paragraph" w:styleId="Textocomentario">
    <w:name w:val="annotation text"/>
    <w:basedOn w:val="Normal"/>
    <w:link w:val="TextocomentarioCar"/>
    <w:uiPriority w:val="99"/>
    <w:unhideWhenUsed/>
    <w:rsid w:val="009E0BB2"/>
    <w:pPr>
      <w:spacing w:line="240" w:lineRule="auto"/>
    </w:pPr>
    <w:rPr>
      <w:sz w:val="20"/>
      <w:szCs w:val="20"/>
    </w:rPr>
  </w:style>
  <w:style w:type="character" w:customStyle="1" w:styleId="TextocomentarioCar">
    <w:name w:val="Texto comentario Car"/>
    <w:basedOn w:val="Fuentedeprrafopredeter"/>
    <w:link w:val="Textocomentario"/>
    <w:uiPriority w:val="99"/>
    <w:rsid w:val="009E0BB2"/>
    <w:rPr>
      <w:sz w:val="20"/>
      <w:szCs w:val="20"/>
    </w:rPr>
  </w:style>
  <w:style w:type="character" w:styleId="Hipervnculo">
    <w:name w:val="Hyperlink"/>
    <w:basedOn w:val="Fuentedeprrafopredeter"/>
    <w:uiPriority w:val="99"/>
    <w:unhideWhenUsed/>
    <w:rsid w:val="009E0BB2"/>
    <w:rPr>
      <w:color w:val="0563C1" w:themeColor="hyperlink"/>
      <w:u w:val="single"/>
    </w:rPr>
  </w:style>
  <w:style w:type="paragraph" w:customStyle="1" w:styleId="Appelnotedebasde">
    <w:name w:val="Appel note de bas de..."/>
    <w:basedOn w:val="Normal"/>
    <w:link w:val="Refdenotaalpie"/>
    <w:uiPriority w:val="99"/>
    <w:rsid w:val="009E0BB2"/>
    <w:pPr>
      <w:spacing w:line="240" w:lineRule="exact"/>
    </w:pPr>
    <w:rPr>
      <w:vertAlign w:val="superscript"/>
    </w:rPr>
  </w:style>
  <w:style w:type="paragraph" w:styleId="Textoindependiente">
    <w:name w:val="Body Text"/>
    <w:basedOn w:val="Normal"/>
    <w:link w:val="TextoindependienteCar"/>
    <w:uiPriority w:val="1"/>
    <w:qFormat/>
    <w:rsid w:val="009E0BB2"/>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E0BB2"/>
    <w:rPr>
      <w:rFonts w:ascii="Arial MT" w:eastAsia="Arial MT" w:hAnsi="Arial MT" w:cs="Arial MT"/>
      <w:lang w:val="es-ES"/>
    </w:rPr>
  </w:style>
  <w:style w:type="character" w:styleId="Textoennegrita">
    <w:name w:val="Strong"/>
    <w:basedOn w:val="Fuentedeprrafopredeter"/>
    <w:uiPriority w:val="22"/>
    <w:qFormat/>
    <w:rsid w:val="009E0BB2"/>
    <w:rPr>
      <w:b/>
      <w:bCs/>
    </w:rPr>
  </w:style>
  <w:style w:type="character" w:styleId="nfasis">
    <w:name w:val="Emphasis"/>
    <w:basedOn w:val="Fuentedeprrafopredeter"/>
    <w:uiPriority w:val="20"/>
    <w:qFormat/>
    <w:rsid w:val="009E0BB2"/>
    <w:rPr>
      <w:i/>
      <w:i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E0BB2"/>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ord-edit.officeapps.live.com/we/wordeditorframe.aspx?ui=es%2DES&amp;rs=es%2DES&amp;wopisrc=https%3A%2F%2Fcceficiente.sharepoint.com%2Fsites%2FSGDEA%2F_vti_bin%2Fwopi.ashx%2Ffiles%2F018d9e0c4e154c6c9c7929cb3449b131&amp;wdenableroaming=1&amp;mscc=1&amp;hid=7B4782A0-40BD-2000-E654-16B65DCBE4F2&amp;wdorigin=Other&amp;jsapi=1&amp;jsapiver=v1&amp;newsession=1&amp;corrid=e60b5fce-cadd-41b1-b322-75cb99921b45&amp;usid=e60b5fce-cadd-41b1-b322-75cb99921b45&amp;sftc=1&amp;cac=1&amp;mtf=1&amp;sfp=1&amp;instantedit=1&amp;wopicomplete=1&amp;wdredirectionreason=Unified_SingleFlush&amp;rct=Normal&amp;ctp=LeastProtec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caldia@barichara-santander.gov.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2AC70-8679-4CF6-A90C-BD2852BC52F4}">
  <ds:schemaRefs>
    <ds:schemaRef ds:uri="http://schemas.microsoft.com/office/2006/metadata/properties"/>
    <ds:schemaRef ds:uri="a6cb9e4b-f1d1-4245-83ec-6cad768d538a"/>
    <ds:schemaRef ds:uri="9d85dbaf-23eb-4e57-a637-93dcacc8b1a1"/>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2C57AD2-C8F0-42E0-AAEC-80EFE88B46B3}">
  <ds:schemaRefs>
    <ds:schemaRef ds:uri="http://schemas.microsoft.com/sharepoint/v3/contenttype/forms"/>
  </ds:schemaRefs>
</ds:datastoreItem>
</file>

<file path=customXml/itemProps3.xml><?xml version="1.0" encoding="utf-8"?>
<ds:datastoreItem xmlns:ds="http://schemas.openxmlformats.org/officeDocument/2006/customXml" ds:itemID="{49FE697B-CF76-4618-9074-CF1473E18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6067</Words>
  <Characters>33371</Characters>
  <Application>Microsoft Office Word</Application>
  <DocSecurity>0</DocSecurity>
  <Lines>278</Lines>
  <Paragraphs>78</Paragraphs>
  <ScaleCrop>false</ScaleCrop>
  <Company/>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Valeska Medellín Mora</dc:creator>
  <cp:keywords/>
  <dc:description/>
  <cp:lastModifiedBy>Diana Lucia Saavedra</cp:lastModifiedBy>
  <cp:revision>2</cp:revision>
  <dcterms:created xsi:type="dcterms:W3CDTF">2023-03-02T21:42:00Z</dcterms:created>
  <dcterms:modified xsi:type="dcterms:W3CDTF">2023-03-02T21:42:00Z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