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56F7C" w14:textId="77777777" w:rsidR="00FF57D2" w:rsidRDefault="00FF57D2" w:rsidP="005C722B">
      <w:pPr>
        <w:spacing w:after="0" w:line="240" w:lineRule="auto"/>
        <w:jc w:val="right"/>
        <w:rPr>
          <w:rFonts w:ascii="Arial" w:eastAsia="Times New Roman" w:hAnsi="Arial" w:cs="Arial"/>
          <w:bCs/>
          <w:color w:val="000000" w:themeColor="text1"/>
          <w:sz w:val="16"/>
          <w:szCs w:val="16"/>
          <w:lang w:val="es-ES_tradnl" w:eastAsia="es-ES"/>
        </w:rPr>
      </w:pPr>
      <w:bookmarkStart w:id="0" w:name="_Hlk28946138"/>
      <w:bookmarkStart w:id="1" w:name="_Hlk29548183"/>
      <w:bookmarkStart w:id="2" w:name="_Hlk34951122"/>
    </w:p>
    <w:p w14:paraId="02BB3506" w14:textId="3D2A32A3" w:rsidR="005C722B" w:rsidRPr="005C722B" w:rsidRDefault="005C722B" w:rsidP="005C722B">
      <w:pPr>
        <w:spacing w:after="0" w:line="240" w:lineRule="auto"/>
        <w:jc w:val="right"/>
        <w:rPr>
          <w:rFonts w:ascii="Arial" w:eastAsia="Calibri" w:hAnsi="Arial" w:cs="Arial"/>
          <w:b/>
          <w:color w:val="000000" w:themeColor="text1"/>
          <w:sz w:val="20"/>
          <w:szCs w:val="20"/>
          <w:lang w:val="es-ES_tradnl" w:eastAsia="es-ES_tradnl"/>
        </w:rPr>
      </w:pPr>
      <w:r w:rsidRPr="005C722B">
        <w:rPr>
          <w:rFonts w:ascii="Arial" w:eastAsia="Times New Roman" w:hAnsi="Arial" w:cs="Arial"/>
          <w:bCs/>
          <w:color w:val="000000" w:themeColor="text1"/>
          <w:sz w:val="16"/>
          <w:szCs w:val="16"/>
          <w:lang w:val="es-ES_tradnl" w:eastAsia="es-ES"/>
        </w:rPr>
        <w:t>CCE-DES-FM-17</w:t>
      </w:r>
      <w:bookmarkEnd w:id="0"/>
      <w:bookmarkEnd w:id="1"/>
    </w:p>
    <w:p w14:paraId="62EDEB70" w14:textId="4A74A570" w:rsidR="005C722B" w:rsidRPr="005C722B" w:rsidRDefault="005C722B" w:rsidP="005C722B">
      <w:pPr>
        <w:spacing w:after="0" w:line="276" w:lineRule="auto"/>
        <w:jc w:val="both"/>
        <w:rPr>
          <w:rFonts w:ascii="Arial" w:eastAsia="Times New Roman" w:hAnsi="Arial" w:cs="Arial"/>
          <w:noProof/>
          <w:color w:val="000000" w:themeColor="text1"/>
          <w:szCs w:val="24"/>
          <w:lang w:val="es-ES_tradnl" w:eastAsia="es-ES_tradnl"/>
        </w:rPr>
      </w:pPr>
    </w:p>
    <w:p w14:paraId="5C6E13BC" w14:textId="0B121FCD" w:rsidR="005C722B" w:rsidRPr="005C722B" w:rsidRDefault="005C722B" w:rsidP="005C722B">
      <w:pPr>
        <w:spacing w:after="0" w:line="240" w:lineRule="auto"/>
        <w:jc w:val="both"/>
        <w:rPr>
          <w:rFonts w:ascii="Arial" w:eastAsia="Calibri" w:hAnsi="Arial" w:cs="Arial"/>
          <w:b/>
          <w:bCs/>
          <w:color w:val="000000" w:themeColor="text1"/>
          <w:lang w:eastAsia="es-ES_tradnl"/>
        </w:rPr>
      </w:pPr>
      <w:r w:rsidRPr="00ED3A2E">
        <w:rPr>
          <w:rFonts w:ascii="Arial" w:eastAsia="Calibri" w:hAnsi="Arial" w:cs="Arial"/>
          <w:b/>
          <w:bCs/>
          <w:color w:val="000000" w:themeColor="text1"/>
          <w:lang w:eastAsia="es-ES_tradnl"/>
        </w:rPr>
        <w:t>LEY DE EMPRENDIMIENTO</w:t>
      </w:r>
      <w:r w:rsidRPr="005C722B">
        <w:rPr>
          <w:rFonts w:ascii="Arial" w:eastAsia="Calibri" w:hAnsi="Arial" w:cs="Arial"/>
          <w:b/>
          <w:bCs/>
          <w:color w:val="000000" w:themeColor="text1"/>
          <w:lang w:eastAsia="es-ES_tradnl"/>
        </w:rPr>
        <w:t xml:space="preserve"> – </w:t>
      </w:r>
      <w:r w:rsidRPr="00086728">
        <w:rPr>
          <w:rFonts w:ascii="Arial" w:eastAsia="Calibri" w:hAnsi="Arial" w:cs="Arial"/>
          <w:b/>
          <w:bCs/>
          <w:color w:val="000000" w:themeColor="text1"/>
          <w:lang w:eastAsia="es-ES_tradnl"/>
        </w:rPr>
        <w:t>Ley 2069 de 2020</w:t>
      </w:r>
      <w:r w:rsidRPr="005C722B">
        <w:rPr>
          <w:rFonts w:ascii="Arial" w:eastAsia="Calibri" w:hAnsi="Arial" w:cs="Arial"/>
          <w:b/>
          <w:bCs/>
          <w:color w:val="000000" w:themeColor="text1"/>
          <w:lang w:eastAsia="es-ES_tradnl"/>
        </w:rPr>
        <w:t xml:space="preserve"> – Finalidad </w:t>
      </w:r>
    </w:p>
    <w:p w14:paraId="05F8014C" w14:textId="515AC008" w:rsidR="005C722B" w:rsidRPr="005C722B" w:rsidRDefault="005C722B" w:rsidP="005C722B">
      <w:pPr>
        <w:spacing w:after="0" w:line="240" w:lineRule="auto"/>
        <w:jc w:val="both"/>
        <w:rPr>
          <w:rFonts w:ascii="Arial" w:eastAsia="Calibri" w:hAnsi="Arial" w:cs="Arial"/>
          <w:color w:val="000000" w:themeColor="text1"/>
          <w:sz w:val="20"/>
          <w:szCs w:val="20"/>
          <w:lang w:eastAsia="es-ES_tradnl"/>
        </w:rPr>
      </w:pPr>
    </w:p>
    <w:p w14:paraId="1656669A" w14:textId="5E07F6A3" w:rsidR="005C722B" w:rsidRPr="005C722B" w:rsidRDefault="005C722B" w:rsidP="005C722B">
      <w:pPr>
        <w:spacing w:after="0" w:line="240" w:lineRule="auto"/>
        <w:jc w:val="both"/>
        <w:rPr>
          <w:rFonts w:ascii="Arial" w:eastAsia="Times New Roman" w:hAnsi="Arial" w:cs="Arial"/>
          <w:sz w:val="20"/>
          <w:szCs w:val="20"/>
          <w:lang w:eastAsia="es-ES_tradnl"/>
        </w:rPr>
      </w:pPr>
      <w:r w:rsidRPr="005C722B">
        <w:rPr>
          <w:rFonts w:ascii="Arial" w:eastAsia="Times New Roman" w:hAnsi="Arial" w:cs="Arial"/>
          <w:sz w:val="20"/>
          <w:szCs w:val="20"/>
          <w:lang w:eastAsia="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numeral 11 del artículo 189 de la Constitución Política, expida los decretos correspondientes que permitan la cumplida ejecución de esta Ley, potestad que fue ejercida mediante la expedición del Decreto 1860 de 2021, al cual se hará referencia más adelante.</w:t>
      </w:r>
    </w:p>
    <w:p w14:paraId="0BAAD8F2" w14:textId="728DB131" w:rsidR="005C722B" w:rsidRPr="005C722B" w:rsidRDefault="005C722B" w:rsidP="005C722B">
      <w:pPr>
        <w:spacing w:after="0" w:line="240" w:lineRule="auto"/>
        <w:jc w:val="both"/>
        <w:rPr>
          <w:rFonts w:ascii="Arial" w:eastAsia="Times New Roman" w:hAnsi="Arial" w:cs="Arial"/>
          <w:sz w:val="20"/>
          <w:szCs w:val="20"/>
          <w:lang w:eastAsia="es-ES_tradnl"/>
        </w:rPr>
      </w:pPr>
    </w:p>
    <w:p w14:paraId="34517BD4" w14:textId="3D2B1FA3" w:rsidR="005C722B" w:rsidRPr="00ED3A2E" w:rsidRDefault="005C722B" w:rsidP="005C722B">
      <w:pPr>
        <w:spacing w:after="0" w:line="240" w:lineRule="auto"/>
        <w:jc w:val="both"/>
        <w:rPr>
          <w:rFonts w:ascii="Arial" w:eastAsia="Times New Roman" w:hAnsi="Arial" w:cs="Arial"/>
          <w:sz w:val="20"/>
          <w:szCs w:val="20"/>
          <w:lang w:eastAsia="es-ES_tradnl"/>
        </w:rPr>
      </w:pPr>
      <w:r w:rsidRPr="005C722B">
        <w:rPr>
          <w:rFonts w:ascii="Arial" w:eastAsia="Times New Roman" w:hAnsi="Arial" w:cs="Arial"/>
          <w:sz w:val="20"/>
          <w:szCs w:val="20"/>
          <w:lang w:eastAsia="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 En desarrollo de esta finalidad, se establecen medidas de apoyo para las micro, pequeñas y medianas empresas –</w:t>
      </w:r>
      <w:proofErr w:type="spellStart"/>
      <w:r w:rsidRPr="005C722B">
        <w:rPr>
          <w:rFonts w:ascii="Arial" w:eastAsia="Times New Roman" w:hAnsi="Arial" w:cs="Arial"/>
          <w:sz w:val="20"/>
          <w:szCs w:val="20"/>
          <w:lang w:eastAsia="es-ES_tradnl"/>
        </w:rPr>
        <w:t>Mipymes</w:t>
      </w:r>
      <w:proofErr w:type="spellEnd"/>
      <w:r w:rsidRPr="005C722B">
        <w:rPr>
          <w:rFonts w:ascii="Arial" w:eastAsia="Times New Roman" w:hAnsi="Arial" w:cs="Arial"/>
          <w:sz w:val="20"/>
          <w:szCs w:val="20"/>
          <w:lang w:eastAsia="es-ES_tradnl"/>
        </w:rPr>
        <w:t xml:space="preserve">–,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w:t>
      </w:r>
      <w:r w:rsidRPr="00ED3A2E">
        <w:rPr>
          <w:rFonts w:ascii="Arial" w:eastAsia="Times New Roman" w:hAnsi="Arial" w:cs="Arial"/>
          <w:sz w:val="20"/>
          <w:szCs w:val="20"/>
          <w:lang w:eastAsia="es-ES_tradnl"/>
        </w:rPr>
        <w:t>educación para el emprendimiento y la innovación.</w:t>
      </w:r>
    </w:p>
    <w:p w14:paraId="35084B88" w14:textId="3A69772C" w:rsidR="005C722B" w:rsidRPr="00ED3A2E" w:rsidRDefault="005C722B" w:rsidP="005C722B">
      <w:pPr>
        <w:spacing w:after="0" w:line="240" w:lineRule="auto"/>
        <w:jc w:val="both"/>
        <w:rPr>
          <w:rFonts w:ascii="Arial" w:eastAsia="Calibri" w:hAnsi="Arial" w:cs="Arial"/>
          <w:color w:val="000000" w:themeColor="text1"/>
          <w:sz w:val="20"/>
          <w:szCs w:val="20"/>
          <w:lang w:val="es-ES_tradnl" w:eastAsia="es-ES_tradnl"/>
        </w:rPr>
      </w:pPr>
    </w:p>
    <w:p w14:paraId="1A46803E" w14:textId="56C00B6B" w:rsidR="005C722B" w:rsidRPr="005C722B" w:rsidRDefault="005C722B" w:rsidP="005C722B">
      <w:pPr>
        <w:spacing w:after="0" w:line="240" w:lineRule="auto"/>
        <w:jc w:val="both"/>
        <w:rPr>
          <w:rFonts w:ascii="Arial" w:eastAsia="Calibri" w:hAnsi="Arial" w:cs="Arial"/>
          <w:b/>
          <w:color w:val="000000" w:themeColor="text1"/>
          <w:szCs w:val="24"/>
          <w:lang w:eastAsia="es-ES_tradnl"/>
        </w:rPr>
      </w:pPr>
      <w:r w:rsidRPr="00ED3A2E">
        <w:rPr>
          <w:rFonts w:ascii="Arial" w:eastAsia="Calibri" w:hAnsi="Arial" w:cs="Arial"/>
          <w:b/>
          <w:color w:val="000000" w:themeColor="text1"/>
          <w:szCs w:val="24"/>
          <w:lang w:eastAsia="es-ES_tradnl"/>
        </w:rPr>
        <w:t>LEY DE EMPRENDIMIENTO</w:t>
      </w:r>
      <w:r w:rsidRPr="005C722B">
        <w:rPr>
          <w:rFonts w:ascii="Arial" w:eastAsia="Calibri" w:hAnsi="Arial" w:cs="Arial"/>
          <w:b/>
          <w:color w:val="000000" w:themeColor="text1"/>
          <w:szCs w:val="24"/>
          <w:lang w:eastAsia="es-ES_tradnl"/>
        </w:rPr>
        <w:t xml:space="preserve"> – Ley 2069 de 2020 – Artículo 32 – </w:t>
      </w:r>
      <w:r w:rsidRPr="00F50DA8">
        <w:rPr>
          <w:rFonts w:ascii="Arial" w:eastAsia="Calibri" w:hAnsi="Arial" w:cs="Arial"/>
          <w:b/>
          <w:color w:val="000000" w:themeColor="text1"/>
          <w:szCs w:val="24"/>
          <w:lang w:eastAsia="es-ES_tradnl"/>
        </w:rPr>
        <w:t>Criterios diferenciales</w:t>
      </w:r>
      <w:r w:rsidRPr="005C722B">
        <w:rPr>
          <w:rFonts w:ascii="Arial" w:eastAsia="Calibri" w:hAnsi="Arial" w:cs="Arial"/>
          <w:b/>
          <w:color w:val="000000" w:themeColor="text1"/>
          <w:szCs w:val="24"/>
          <w:lang w:eastAsia="es-ES_tradnl"/>
        </w:rPr>
        <w:t xml:space="preserve"> – Emprendimientos de mujeres – Empresas de mujeres – Necesidad de reglamentación – Decreto 1860 de 2021</w:t>
      </w:r>
    </w:p>
    <w:p w14:paraId="1DB28A37" w14:textId="2082EADB" w:rsidR="005C722B" w:rsidRPr="005C722B" w:rsidRDefault="005C722B" w:rsidP="005C722B">
      <w:pPr>
        <w:spacing w:after="0" w:line="240" w:lineRule="auto"/>
        <w:jc w:val="both"/>
        <w:rPr>
          <w:rFonts w:ascii="Arial" w:eastAsia="Calibri" w:hAnsi="Arial" w:cs="Arial"/>
          <w:b/>
          <w:color w:val="000000" w:themeColor="text1"/>
          <w:szCs w:val="24"/>
          <w:lang w:eastAsia="es-ES_tradnl"/>
        </w:rPr>
      </w:pPr>
    </w:p>
    <w:p w14:paraId="656D2297" w14:textId="1E657174" w:rsidR="005C722B" w:rsidRPr="005C722B" w:rsidRDefault="005C722B" w:rsidP="005C722B">
      <w:pPr>
        <w:tabs>
          <w:tab w:val="left" w:pos="709"/>
        </w:tabs>
        <w:spacing w:after="0" w:line="240" w:lineRule="auto"/>
        <w:jc w:val="both"/>
        <w:rPr>
          <w:rFonts w:ascii="Arial" w:eastAsia="Times New Roman" w:hAnsi="Arial" w:cs="Arial"/>
          <w:sz w:val="20"/>
          <w:szCs w:val="20"/>
          <w:lang w:eastAsia="es-ES_tradnl"/>
        </w:rPr>
      </w:pPr>
      <w:r w:rsidRPr="005C722B">
        <w:rPr>
          <w:rFonts w:ascii="Arial" w:eastAsia="Times New Roman" w:hAnsi="Arial" w:cs="Arial"/>
          <w:sz w:val="20"/>
          <w:szCs w:val="20"/>
          <w:lang w:eastAsia="es-ES_tradnl"/>
        </w:rPr>
        <w:t xml:space="preserve">[…] el artículo 32 de la Ley 2069 de 2020 regula criterios diferenciales para los «emprendimientos y empresas de mujeres» en el sistema de compras y contratación pública. […] De esta manera, los denominados «criterios diferenciales» del artículo 32 ibidem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comento también se extiende a todos los procedimientos que realicen las entidades estatales excluidas de la Ley 80 de 1993.     </w:t>
      </w:r>
    </w:p>
    <w:p w14:paraId="26D4E70E" w14:textId="34BE34D3" w:rsidR="005C722B" w:rsidRPr="005C722B" w:rsidRDefault="005C722B" w:rsidP="005C722B">
      <w:pPr>
        <w:tabs>
          <w:tab w:val="left" w:pos="709"/>
        </w:tabs>
        <w:spacing w:after="0" w:line="240" w:lineRule="auto"/>
        <w:jc w:val="both"/>
        <w:rPr>
          <w:rFonts w:ascii="Arial" w:eastAsia="Times New Roman" w:hAnsi="Arial" w:cs="Arial"/>
          <w:sz w:val="20"/>
          <w:szCs w:val="20"/>
          <w:lang w:eastAsia="es-ES_tradnl"/>
        </w:rPr>
      </w:pPr>
    </w:p>
    <w:p w14:paraId="50B0C2A6" w14:textId="0752EF07" w:rsidR="005C722B" w:rsidRPr="005C722B" w:rsidRDefault="005C722B" w:rsidP="005C722B">
      <w:pPr>
        <w:spacing w:after="0" w:line="240" w:lineRule="auto"/>
        <w:jc w:val="both"/>
        <w:rPr>
          <w:rFonts w:ascii="Arial" w:eastAsia="Times New Roman" w:hAnsi="Arial" w:cs="Arial"/>
          <w:sz w:val="20"/>
          <w:szCs w:val="20"/>
          <w:lang w:eastAsia="es-ES_tradnl"/>
        </w:rPr>
      </w:pPr>
      <w:r w:rsidRPr="005C722B">
        <w:rPr>
          <w:rFonts w:ascii="Arial" w:eastAsia="Times New Roman" w:hAnsi="Arial" w:cs="Arial"/>
          <w:sz w:val="20"/>
          <w:szCs w:val="20"/>
          <w:lang w:eastAsia="es-ES_tradnl"/>
        </w:rPr>
        <w:t xml:space="preserve">No obstante, el artículo 32 de la Ley 2069 de 2020 –al igual que el artículo 31– alude a la necesidad del desarrollo normativo posterior. Al respecto, el parágrafo dispone que «La definición de emprendimientos y empresas de mujeres se reglamentará por el gobierno nacional». […] En este contexto, el pasado 24 de diciembre,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 de la Ley 2069 de 2020 –con excepción de los artículos 33 y 36–, realizando las adecuaciones requeridas para aplicar estas disposiciones, tal como indica el artículo 1 del Decreto 1860 de 2021.  </w:t>
      </w:r>
    </w:p>
    <w:p w14:paraId="28284DD9" w14:textId="13A89E56" w:rsidR="005C722B" w:rsidRPr="005C722B" w:rsidRDefault="005C722B" w:rsidP="005C722B">
      <w:pPr>
        <w:spacing w:after="0" w:line="240" w:lineRule="auto"/>
        <w:jc w:val="both"/>
        <w:rPr>
          <w:rFonts w:ascii="Arial" w:eastAsia="Calibri" w:hAnsi="Arial" w:cs="Arial"/>
          <w:b/>
          <w:color w:val="000000" w:themeColor="text1"/>
          <w:sz w:val="20"/>
          <w:szCs w:val="20"/>
          <w:lang w:val="es-ES" w:eastAsia="es-ES_tradnl"/>
        </w:rPr>
      </w:pPr>
    </w:p>
    <w:p w14:paraId="2D3F34C2" w14:textId="46765151" w:rsidR="005C722B" w:rsidRPr="005C722B" w:rsidRDefault="005C722B" w:rsidP="005C722B">
      <w:pPr>
        <w:spacing w:after="0" w:line="240" w:lineRule="auto"/>
        <w:jc w:val="both"/>
        <w:rPr>
          <w:rFonts w:ascii="Arial" w:eastAsia="Calibri" w:hAnsi="Arial" w:cs="Arial"/>
          <w:b/>
          <w:lang w:val="es-ES_tradnl" w:eastAsia="es-ES_tradnl"/>
        </w:rPr>
      </w:pPr>
      <w:r w:rsidRPr="00D8590B">
        <w:rPr>
          <w:rFonts w:ascii="Arial" w:eastAsia="Calibri" w:hAnsi="Arial" w:cs="Arial"/>
          <w:b/>
          <w:color w:val="000000" w:themeColor="text1"/>
          <w:lang w:val="es-ES" w:eastAsia="es-ES_tradnl"/>
        </w:rPr>
        <w:t>DECRETO 1860 DE 2021</w:t>
      </w:r>
      <w:r w:rsidRPr="005C722B">
        <w:rPr>
          <w:rFonts w:ascii="Arial" w:eastAsia="Calibri" w:hAnsi="Arial" w:cs="Arial"/>
          <w:b/>
          <w:color w:val="000000" w:themeColor="text1"/>
          <w:lang w:val="es-ES" w:eastAsia="es-ES_tradnl"/>
        </w:rPr>
        <w:t xml:space="preserve"> – </w:t>
      </w:r>
      <w:r w:rsidRPr="00AC69D4">
        <w:rPr>
          <w:rFonts w:ascii="Arial" w:eastAsia="Calibri" w:hAnsi="Arial" w:cs="Arial"/>
          <w:b/>
          <w:color w:val="000000" w:themeColor="text1"/>
          <w:lang w:val="es-ES" w:eastAsia="es-ES_tradnl"/>
        </w:rPr>
        <w:t>Emprendimientos y empresas de mujeres</w:t>
      </w:r>
      <w:r w:rsidRPr="005C722B">
        <w:rPr>
          <w:rFonts w:ascii="Arial" w:eastAsia="Calibri" w:hAnsi="Arial" w:cs="Arial"/>
          <w:b/>
          <w:color w:val="000000" w:themeColor="text1"/>
          <w:lang w:val="es-ES" w:eastAsia="es-ES_tradnl"/>
        </w:rPr>
        <w:t xml:space="preserve"> – </w:t>
      </w:r>
      <w:r w:rsidRPr="00AC69D4">
        <w:rPr>
          <w:rFonts w:ascii="Arial" w:eastAsia="Calibri" w:hAnsi="Arial" w:cs="Arial"/>
          <w:b/>
          <w:color w:val="000000" w:themeColor="text1"/>
          <w:lang w:val="es-ES" w:eastAsia="es-ES_tradnl"/>
        </w:rPr>
        <w:t>Definición</w:t>
      </w:r>
      <w:r w:rsidRPr="005C722B">
        <w:rPr>
          <w:rFonts w:ascii="Arial" w:eastAsia="Calibri" w:hAnsi="Arial" w:cs="Arial"/>
          <w:b/>
          <w:color w:val="000000" w:themeColor="text1"/>
          <w:lang w:val="es-ES" w:eastAsia="es-ES_tradnl"/>
        </w:rPr>
        <w:t xml:space="preserve"> – Artículo 2.2.1.2.4.2.14 – </w:t>
      </w:r>
      <w:r w:rsidRPr="00D8590B">
        <w:rPr>
          <w:rFonts w:ascii="Arial" w:eastAsia="Calibri" w:hAnsi="Arial" w:cs="Arial"/>
          <w:b/>
          <w:color w:val="000000" w:themeColor="text1"/>
          <w:lang w:val="es-ES" w:eastAsia="es-ES_tradnl"/>
        </w:rPr>
        <w:t>Numeral 3</w:t>
      </w:r>
      <w:r w:rsidRPr="005C722B">
        <w:rPr>
          <w:rFonts w:ascii="Arial" w:eastAsia="Calibri" w:hAnsi="Arial" w:cs="Arial"/>
          <w:b/>
          <w:color w:val="000000" w:themeColor="text1"/>
          <w:lang w:val="es-ES" w:eastAsia="es-ES_tradnl"/>
        </w:rPr>
        <w:t xml:space="preserve"> – Registro mercantil</w:t>
      </w:r>
    </w:p>
    <w:p w14:paraId="6CD7AF6B" w14:textId="441A6180" w:rsidR="005C722B" w:rsidRPr="005C722B" w:rsidRDefault="005C722B" w:rsidP="005C722B">
      <w:pPr>
        <w:spacing w:after="0" w:line="240" w:lineRule="auto"/>
        <w:jc w:val="both"/>
        <w:rPr>
          <w:rFonts w:ascii="Arial" w:eastAsia="Calibri" w:hAnsi="Arial" w:cs="Arial"/>
          <w:b/>
          <w:lang w:val="es-ES_tradnl" w:eastAsia="es-ES_tradnl"/>
        </w:rPr>
      </w:pPr>
    </w:p>
    <w:p w14:paraId="29719DE0" w14:textId="3755B1E8" w:rsidR="005C722B" w:rsidRPr="005C722B" w:rsidRDefault="005C722B" w:rsidP="005C722B">
      <w:pPr>
        <w:spacing w:after="0" w:line="240" w:lineRule="auto"/>
        <w:jc w:val="both"/>
        <w:rPr>
          <w:rFonts w:ascii="Arial" w:eastAsia="Calibri" w:hAnsi="Arial" w:cs="Arial"/>
          <w:sz w:val="20"/>
          <w:szCs w:val="20"/>
          <w:lang w:val="es-ES_tradnl" w:eastAsia="es-ES_tradnl"/>
        </w:rPr>
      </w:pPr>
      <w:r w:rsidRPr="005C722B">
        <w:rPr>
          <w:rFonts w:ascii="Arial" w:eastAsia="Calibri" w:hAnsi="Arial" w:cs="Arial"/>
          <w:sz w:val="20"/>
          <w:szCs w:val="20"/>
          <w:lang w:val="es-ES_tradnl" w:eastAsia="es-ES_tradnl"/>
        </w:rPr>
        <w:t>[…] Teniendo en cuenta el objeto de la presente consulta, resulta relevante el análisis del numeral tercero del artículo antes citado, según el cual tratándose de personas naturales debe cumplirse con las siguientes condiciones para ser consideradas emprendimientos y empresas de mujeres y, en consecuencia, ser destinatarias de los criterios diferenciales de que trata el artículo 32 de la Ley de Emprendimiento: (i) que la persona natural sea una mujer; (</w:t>
      </w:r>
      <w:proofErr w:type="spellStart"/>
      <w:r w:rsidRPr="005C722B">
        <w:rPr>
          <w:rFonts w:ascii="Arial" w:eastAsia="Calibri" w:hAnsi="Arial" w:cs="Arial"/>
          <w:sz w:val="20"/>
          <w:szCs w:val="20"/>
          <w:lang w:val="es-ES_tradnl" w:eastAsia="es-ES_tradnl"/>
        </w:rPr>
        <w:t>ii</w:t>
      </w:r>
      <w:proofErr w:type="spellEnd"/>
      <w:r w:rsidRPr="005C722B">
        <w:rPr>
          <w:rFonts w:ascii="Arial" w:eastAsia="Calibri" w:hAnsi="Arial" w:cs="Arial"/>
          <w:sz w:val="20"/>
          <w:szCs w:val="20"/>
          <w:lang w:val="es-ES_tradnl" w:eastAsia="es-ES_tradnl"/>
        </w:rPr>
        <w:t>) que haya ejercido actividades comerciales a través de un establecimiento de comercio; (</w:t>
      </w:r>
      <w:proofErr w:type="spellStart"/>
      <w:r w:rsidRPr="005C722B">
        <w:rPr>
          <w:rFonts w:ascii="Arial" w:eastAsia="Calibri" w:hAnsi="Arial" w:cs="Arial"/>
          <w:sz w:val="20"/>
          <w:szCs w:val="20"/>
          <w:lang w:val="es-ES_tradnl" w:eastAsia="es-ES_tradnl"/>
        </w:rPr>
        <w:t>iii</w:t>
      </w:r>
      <w:proofErr w:type="spellEnd"/>
      <w:r w:rsidRPr="005C722B">
        <w:rPr>
          <w:rFonts w:ascii="Arial" w:eastAsia="Calibri" w:hAnsi="Arial" w:cs="Arial"/>
          <w:sz w:val="20"/>
          <w:szCs w:val="20"/>
          <w:lang w:val="es-ES_tradnl" w:eastAsia="es-ES_tradnl"/>
        </w:rPr>
        <w:t xml:space="preserve">) que haya ejercido esas actividades durante al menos el último año anterior a la fecha del cierre del proceso de selección. Adicionalmente, la misma disposición señala que la acreditación de dichas circunstancias deberá realizarse mediante la copia de la cédula de ciudadanía, la cédula de extranjería o el pasaporte, así como la copia del registro mercantil. </w:t>
      </w:r>
    </w:p>
    <w:p w14:paraId="06C2538D" w14:textId="6D96D6D0" w:rsidR="005C722B" w:rsidRPr="005C722B" w:rsidRDefault="005C722B" w:rsidP="005C722B">
      <w:pPr>
        <w:spacing w:after="0" w:line="240" w:lineRule="auto"/>
        <w:jc w:val="both"/>
        <w:rPr>
          <w:rFonts w:ascii="Arial" w:eastAsia="Calibri" w:hAnsi="Arial" w:cs="Arial"/>
          <w:sz w:val="20"/>
          <w:szCs w:val="20"/>
          <w:lang w:val="es-ES_tradnl" w:eastAsia="es-ES_tradnl"/>
        </w:rPr>
      </w:pPr>
    </w:p>
    <w:p w14:paraId="680BEC09" w14:textId="168628E7" w:rsidR="005C722B" w:rsidRPr="005C722B" w:rsidRDefault="005C722B" w:rsidP="005C722B">
      <w:pPr>
        <w:spacing w:after="0" w:line="240" w:lineRule="auto"/>
        <w:jc w:val="both"/>
        <w:rPr>
          <w:rFonts w:ascii="Arial" w:eastAsia="Calibri" w:hAnsi="Arial" w:cs="Arial"/>
          <w:sz w:val="20"/>
          <w:szCs w:val="20"/>
          <w:lang w:val="es-ES_tradnl" w:eastAsia="es-ES_tradnl"/>
        </w:rPr>
      </w:pPr>
      <w:r w:rsidRPr="005C722B">
        <w:rPr>
          <w:rFonts w:ascii="Arial" w:eastAsia="Calibri" w:hAnsi="Arial" w:cs="Arial"/>
          <w:sz w:val="20"/>
          <w:szCs w:val="20"/>
          <w:lang w:val="es-ES_tradnl" w:eastAsia="es-ES_tradnl"/>
        </w:rPr>
        <w:t xml:space="preserve">Lo anterior quiere decir que, no basta con que la persona natural sea mujer para ser considerada como un emprendimiento o empresa de mujeres, sino que además es necesario que haya ejercido actividades comerciales a través de un establecimiento de comercio y que esa circunstancia se haya mantenido como mínimo durante un periodo de un año contado a partir de la fecha del cierre del proceso de selección. De esta manera, el criterio definido en el numeral tercero del artículo 3 antes citado deja por fuera a aquellas mujeres que no hayan ejercido actividades comerciales a través de un establecimiento de comercio, que no tengan registro mercantil, y/o que no cumplan con el requerimiento del tiempo mínimo de un año de ejercicio de las actividades.  </w:t>
      </w:r>
    </w:p>
    <w:p w14:paraId="2C6B0EBB" w14:textId="33DBE143" w:rsidR="005C722B" w:rsidRPr="005C722B" w:rsidRDefault="005C722B" w:rsidP="005C722B">
      <w:pPr>
        <w:spacing w:after="0" w:line="240" w:lineRule="auto"/>
        <w:jc w:val="both"/>
        <w:rPr>
          <w:rFonts w:ascii="Arial" w:eastAsia="Calibri" w:hAnsi="Arial" w:cs="Arial"/>
          <w:sz w:val="20"/>
          <w:szCs w:val="20"/>
          <w:lang w:val="es-ES_tradnl" w:eastAsia="es-ES_tradnl"/>
        </w:rPr>
      </w:pPr>
    </w:p>
    <w:p w14:paraId="2220E045" w14:textId="2A8B5FB8" w:rsidR="005C722B" w:rsidRPr="005C722B" w:rsidRDefault="005C722B" w:rsidP="005C722B">
      <w:pPr>
        <w:spacing w:after="0" w:line="240" w:lineRule="auto"/>
        <w:jc w:val="both"/>
        <w:rPr>
          <w:rFonts w:ascii="Arial" w:eastAsia="Times New Roman" w:hAnsi="Arial" w:cs="Arial"/>
          <w:b/>
          <w:noProof/>
          <w:color w:val="000000"/>
          <w:lang w:val="es-ES_tradnl" w:eastAsia="es-ES_tradnl"/>
        </w:rPr>
      </w:pPr>
      <w:r w:rsidRPr="005C722B">
        <w:rPr>
          <w:rFonts w:ascii="Arial" w:eastAsia="Calibri" w:hAnsi="Arial" w:cs="Arial"/>
          <w:b/>
          <w:color w:val="000000" w:themeColor="text1"/>
          <w:lang w:val="es-ES" w:eastAsia="es-ES_tradnl"/>
        </w:rPr>
        <w:t xml:space="preserve">DECRETO 1860 DE 2021 </w:t>
      </w:r>
      <w:r w:rsidRPr="005C722B">
        <w:rPr>
          <w:rFonts w:ascii="Arial" w:eastAsia="Calibri" w:hAnsi="Arial" w:cs="Arial"/>
          <w:b/>
          <w:color w:val="000000" w:themeColor="text1"/>
          <w:lang w:val="es-ES_tradnl" w:eastAsia="es-ES_tradnl"/>
        </w:rPr>
        <w:t xml:space="preserve">– Criterios diferenciales – Empresas y emprendimientos de mujeres – </w:t>
      </w:r>
      <w:r w:rsidR="00D27455" w:rsidRPr="005C722B">
        <w:rPr>
          <w:rFonts w:ascii="Arial" w:eastAsia="Calibri" w:hAnsi="Arial" w:cs="Arial"/>
          <w:b/>
          <w:color w:val="000000" w:themeColor="text1"/>
          <w:lang w:val="es-ES_tradnl" w:eastAsia="es-ES_tradnl"/>
        </w:rPr>
        <w:t>MYPIMES</w:t>
      </w:r>
      <w:r w:rsidRPr="005C722B">
        <w:rPr>
          <w:rFonts w:ascii="Arial" w:eastAsia="Calibri" w:hAnsi="Arial" w:cs="Arial"/>
          <w:b/>
          <w:color w:val="000000" w:themeColor="text1"/>
          <w:lang w:val="es-ES_tradnl" w:eastAsia="es-ES_tradnl"/>
        </w:rPr>
        <w:t xml:space="preserve"> – </w:t>
      </w:r>
      <w:r w:rsidRPr="0074788D">
        <w:rPr>
          <w:rFonts w:ascii="Arial" w:eastAsia="Calibri" w:hAnsi="Arial" w:cs="Arial"/>
          <w:b/>
          <w:color w:val="000000" w:themeColor="text1"/>
          <w:lang w:val="es-ES_tradnl" w:eastAsia="es-ES_tradnl"/>
        </w:rPr>
        <w:t>Experiencia</w:t>
      </w:r>
    </w:p>
    <w:p w14:paraId="624883B7" w14:textId="6D21D4AF" w:rsidR="005C722B" w:rsidRPr="005C722B" w:rsidRDefault="005C722B" w:rsidP="005C722B">
      <w:pPr>
        <w:spacing w:after="0" w:line="240" w:lineRule="auto"/>
        <w:ind w:firstLine="709"/>
        <w:jc w:val="both"/>
        <w:rPr>
          <w:rFonts w:ascii="Arial" w:eastAsia="Times New Roman" w:hAnsi="Arial" w:cs="Arial"/>
          <w:b/>
          <w:bCs/>
          <w:noProof/>
          <w:color w:val="000000"/>
          <w:sz w:val="24"/>
          <w:szCs w:val="24"/>
          <w:lang w:val="es-ES_tradnl" w:eastAsia="es-ES_tradnl"/>
        </w:rPr>
      </w:pPr>
    </w:p>
    <w:p w14:paraId="12F1FCB8" w14:textId="1BFFFA91" w:rsidR="005C722B" w:rsidRPr="005C722B" w:rsidRDefault="005C722B" w:rsidP="005C722B">
      <w:pPr>
        <w:spacing w:after="0" w:line="240" w:lineRule="auto"/>
        <w:jc w:val="both"/>
        <w:rPr>
          <w:rFonts w:ascii="Arial" w:eastAsia="Calibri" w:hAnsi="Arial" w:cs="Arial"/>
          <w:bCs/>
          <w:color w:val="000000" w:themeColor="text1"/>
          <w:sz w:val="20"/>
          <w:szCs w:val="20"/>
          <w:lang w:val="es-ES" w:eastAsia="es-ES_tradnl"/>
        </w:rPr>
      </w:pPr>
      <w:r w:rsidRPr="005C722B">
        <w:rPr>
          <w:rFonts w:ascii="Arial" w:eastAsia="Calibri" w:hAnsi="Arial" w:cs="Arial"/>
          <w:bCs/>
          <w:color w:val="000000" w:themeColor="text1"/>
          <w:sz w:val="20"/>
          <w:szCs w:val="20"/>
          <w:lang w:val="es-ES" w:eastAsia="es-ES_tradnl"/>
        </w:rPr>
        <w:t>[...]</w:t>
      </w:r>
    </w:p>
    <w:p w14:paraId="6878CE45" w14:textId="5DEF2289" w:rsidR="005C722B" w:rsidRPr="005C722B" w:rsidRDefault="005C722B" w:rsidP="005C722B">
      <w:pPr>
        <w:spacing w:after="0" w:line="240" w:lineRule="auto"/>
        <w:jc w:val="both"/>
        <w:rPr>
          <w:rFonts w:ascii="Arial" w:eastAsia="Calibri" w:hAnsi="Arial" w:cs="Arial"/>
          <w:bCs/>
          <w:color w:val="000000" w:themeColor="text1"/>
          <w:sz w:val="20"/>
          <w:szCs w:val="20"/>
          <w:lang w:val="es-ES" w:eastAsia="es-ES_tradnl"/>
        </w:rPr>
      </w:pPr>
      <w:r w:rsidRPr="005C722B">
        <w:rPr>
          <w:rFonts w:ascii="Arial" w:eastAsia="Calibri" w:hAnsi="Arial" w:cs="Arial"/>
          <w:bCs/>
          <w:color w:val="000000" w:themeColor="text1"/>
          <w:sz w:val="20"/>
          <w:szCs w:val="20"/>
          <w:lang w:val="es-ES" w:eastAsia="es-ES_tradnl"/>
        </w:rPr>
        <w:t>Para el efecto dichos requisitos habilitantes contemplados en el pliego de condiciones podrán ser menos exigentes para los emprendimientos y empresas de mujeres y para las MiPymes, según lo justifiquen los instrumentos de planeación precontractual que determinen las Entidades Estatales, por lo tanto, y de conformidad con el articulado adicionado por el Decreto 1860 de 2021, los requisitos habilitantes diferenciales que deberán incluir en los Documentos del Proceso deberán estar relacionados con los siguientes aspectos:</w:t>
      </w:r>
    </w:p>
    <w:p w14:paraId="7D8E2C71" w14:textId="3A0CCD38" w:rsidR="005C722B" w:rsidRPr="005C722B" w:rsidRDefault="005C722B" w:rsidP="005C722B">
      <w:pPr>
        <w:spacing w:after="0" w:line="240" w:lineRule="auto"/>
        <w:jc w:val="both"/>
        <w:rPr>
          <w:rFonts w:ascii="Arial" w:eastAsia="Calibri" w:hAnsi="Arial" w:cs="Arial"/>
          <w:bCs/>
          <w:color w:val="000000" w:themeColor="text1"/>
          <w:sz w:val="20"/>
          <w:szCs w:val="20"/>
          <w:lang w:val="es-ES" w:eastAsia="es-ES_tradnl"/>
        </w:rPr>
      </w:pPr>
    </w:p>
    <w:p w14:paraId="524BE329" w14:textId="105D3AAB" w:rsidR="005C722B" w:rsidRPr="005C722B" w:rsidRDefault="005C722B" w:rsidP="005C722B">
      <w:pPr>
        <w:spacing w:after="0" w:line="240" w:lineRule="auto"/>
        <w:jc w:val="both"/>
        <w:rPr>
          <w:rFonts w:ascii="Arial" w:eastAsia="Calibri" w:hAnsi="Arial" w:cs="Arial"/>
          <w:bCs/>
          <w:color w:val="000000" w:themeColor="text1"/>
          <w:sz w:val="20"/>
          <w:szCs w:val="20"/>
          <w:lang w:val="es-ES" w:eastAsia="es-ES_tradnl"/>
        </w:rPr>
      </w:pPr>
      <w:r w:rsidRPr="005C722B">
        <w:rPr>
          <w:rFonts w:ascii="Arial" w:eastAsia="Calibri" w:hAnsi="Arial" w:cs="Arial"/>
          <w:bCs/>
          <w:color w:val="000000" w:themeColor="text1"/>
          <w:sz w:val="20"/>
          <w:szCs w:val="20"/>
          <w:lang w:val="es-ES" w:eastAsia="es-ES_tradnl"/>
        </w:rPr>
        <w:t>«1. Tiempo de experiencia.</w:t>
      </w:r>
    </w:p>
    <w:p w14:paraId="44567C54" w14:textId="1B5AF0C6" w:rsidR="005C722B" w:rsidRPr="005C722B" w:rsidRDefault="005C722B" w:rsidP="005C722B">
      <w:pPr>
        <w:spacing w:after="0" w:line="240" w:lineRule="auto"/>
        <w:jc w:val="both"/>
        <w:rPr>
          <w:rFonts w:ascii="Arial" w:eastAsia="Calibri" w:hAnsi="Arial" w:cs="Arial"/>
          <w:bCs/>
          <w:color w:val="000000" w:themeColor="text1"/>
          <w:sz w:val="20"/>
          <w:szCs w:val="20"/>
          <w:lang w:val="es-ES" w:eastAsia="es-ES_tradnl"/>
        </w:rPr>
      </w:pPr>
      <w:r w:rsidRPr="005C722B">
        <w:rPr>
          <w:rFonts w:ascii="Arial" w:eastAsia="Calibri" w:hAnsi="Arial" w:cs="Arial"/>
          <w:bCs/>
          <w:color w:val="000000" w:themeColor="text1"/>
          <w:sz w:val="20"/>
          <w:szCs w:val="20"/>
          <w:lang w:val="es-ES" w:eastAsia="es-ES_tradnl"/>
        </w:rPr>
        <w:t>2. Número de contratos para la acreditación de la experiencia.</w:t>
      </w:r>
    </w:p>
    <w:p w14:paraId="44EC7397" w14:textId="73987EC6" w:rsidR="005C722B" w:rsidRPr="005C722B" w:rsidRDefault="005C722B" w:rsidP="005C722B">
      <w:pPr>
        <w:spacing w:after="0" w:line="240" w:lineRule="auto"/>
        <w:jc w:val="both"/>
        <w:rPr>
          <w:rFonts w:ascii="Arial" w:eastAsia="Calibri" w:hAnsi="Arial" w:cs="Arial"/>
          <w:bCs/>
          <w:color w:val="000000" w:themeColor="text1"/>
          <w:sz w:val="20"/>
          <w:szCs w:val="20"/>
          <w:lang w:val="es-ES" w:eastAsia="es-ES_tradnl"/>
        </w:rPr>
      </w:pPr>
      <w:r w:rsidRPr="005C722B">
        <w:rPr>
          <w:rFonts w:ascii="Arial" w:eastAsia="Calibri" w:hAnsi="Arial" w:cs="Arial"/>
          <w:bCs/>
          <w:color w:val="000000" w:themeColor="text1"/>
          <w:sz w:val="20"/>
          <w:szCs w:val="20"/>
          <w:lang w:val="es-ES" w:eastAsia="es-ES_tradnl"/>
        </w:rPr>
        <w:t>3. Índices de capacidad financiera.</w:t>
      </w:r>
    </w:p>
    <w:p w14:paraId="3E1B2FDD" w14:textId="01362372" w:rsidR="005C722B" w:rsidRPr="005C722B" w:rsidRDefault="005C722B" w:rsidP="005C722B">
      <w:pPr>
        <w:spacing w:after="0" w:line="240" w:lineRule="auto"/>
        <w:jc w:val="both"/>
        <w:rPr>
          <w:rFonts w:ascii="Arial" w:eastAsia="Calibri" w:hAnsi="Arial" w:cs="Arial"/>
          <w:bCs/>
          <w:color w:val="000000" w:themeColor="text1"/>
          <w:sz w:val="20"/>
          <w:szCs w:val="20"/>
          <w:lang w:val="es-ES" w:eastAsia="es-ES_tradnl"/>
        </w:rPr>
      </w:pPr>
      <w:r w:rsidRPr="005C722B">
        <w:rPr>
          <w:rFonts w:ascii="Arial" w:eastAsia="Calibri" w:hAnsi="Arial" w:cs="Arial"/>
          <w:bCs/>
          <w:color w:val="000000" w:themeColor="text1"/>
          <w:sz w:val="20"/>
          <w:szCs w:val="20"/>
          <w:lang w:val="es-ES" w:eastAsia="es-ES_tradnl"/>
        </w:rPr>
        <w:t>4. Índices de capacidad organizacional.</w:t>
      </w:r>
    </w:p>
    <w:p w14:paraId="3407FA1E" w14:textId="66AD7AA8" w:rsidR="005C722B" w:rsidRPr="005C722B" w:rsidRDefault="005C722B" w:rsidP="005C722B">
      <w:pPr>
        <w:spacing w:after="0" w:line="240" w:lineRule="auto"/>
        <w:jc w:val="both"/>
        <w:rPr>
          <w:rFonts w:ascii="Arial" w:eastAsia="Calibri" w:hAnsi="Arial" w:cs="Arial"/>
          <w:bCs/>
          <w:color w:val="000000" w:themeColor="text1"/>
          <w:sz w:val="20"/>
          <w:szCs w:val="20"/>
          <w:lang w:val="es-ES" w:eastAsia="es-ES_tradnl"/>
        </w:rPr>
      </w:pPr>
      <w:r w:rsidRPr="005C722B">
        <w:rPr>
          <w:rFonts w:ascii="Arial" w:eastAsia="Calibri" w:hAnsi="Arial" w:cs="Arial"/>
          <w:bCs/>
          <w:color w:val="000000" w:themeColor="text1"/>
          <w:sz w:val="20"/>
          <w:szCs w:val="20"/>
          <w:lang w:val="es-ES" w:eastAsia="es-ES_tradnl"/>
        </w:rPr>
        <w:t>5. Valor de la garantía de seriedad de la oferta.» (negrilla fuera de texto)</w:t>
      </w:r>
    </w:p>
    <w:p w14:paraId="311319A8" w14:textId="2847795A" w:rsidR="005C722B" w:rsidRPr="005C722B" w:rsidRDefault="005C722B" w:rsidP="005C722B">
      <w:pPr>
        <w:spacing w:after="0" w:line="240" w:lineRule="auto"/>
        <w:jc w:val="both"/>
        <w:rPr>
          <w:rFonts w:ascii="Arial" w:eastAsia="Calibri" w:hAnsi="Arial" w:cs="Arial"/>
          <w:bCs/>
          <w:color w:val="000000" w:themeColor="text1"/>
          <w:sz w:val="20"/>
          <w:szCs w:val="20"/>
          <w:lang w:val="es-ES" w:eastAsia="es-ES_tradnl"/>
        </w:rPr>
      </w:pPr>
    </w:p>
    <w:p w14:paraId="44CC03D1" w14:textId="02B16A70" w:rsidR="005C722B" w:rsidRPr="005C722B" w:rsidRDefault="005C722B" w:rsidP="005C722B">
      <w:pPr>
        <w:spacing w:after="0" w:line="240" w:lineRule="auto"/>
        <w:jc w:val="both"/>
        <w:rPr>
          <w:rFonts w:ascii="Arial" w:eastAsia="Calibri" w:hAnsi="Arial" w:cs="Arial"/>
          <w:bCs/>
          <w:color w:val="000000" w:themeColor="text1"/>
          <w:sz w:val="20"/>
          <w:szCs w:val="20"/>
          <w:lang w:val="es-ES" w:eastAsia="es-ES_tradnl"/>
        </w:rPr>
      </w:pPr>
      <w:r w:rsidRPr="005C722B">
        <w:rPr>
          <w:rFonts w:ascii="Arial" w:eastAsia="Calibri" w:hAnsi="Arial" w:cs="Arial"/>
          <w:bCs/>
          <w:color w:val="000000" w:themeColor="text1"/>
          <w:sz w:val="20"/>
          <w:szCs w:val="20"/>
          <w:lang w:val="es-ES" w:eastAsia="es-ES_tradnl"/>
        </w:rPr>
        <w:t xml:space="preserve">Los requisitos mencionados deberán fijarse respetando las condiciones habilitantes necesarias para el cumplimiento adecuado del contrato, teniendo en cuenta el alcance de las obligaciones. Además según la norma citada, se determinó que en los procesos de contratación competitivos se debían incorporar requisitos habilitantes diferenciales para los emprendimientos y empresas de mujeres, relacionados con alguno o algunos de los siguientes aspectos: i) tiempo de experiencia, </w:t>
      </w:r>
      <w:proofErr w:type="spellStart"/>
      <w:r w:rsidRPr="005C722B">
        <w:rPr>
          <w:rFonts w:ascii="Arial" w:eastAsia="Calibri" w:hAnsi="Arial" w:cs="Arial"/>
          <w:bCs/>
          <w:color w:val="000000" w:themeColor="text1"/>
          <w:sz w:val="20"/>
          <w:szCs w:val="20"/>
          <w:lang w:val="es-ES" w:eastAsia="es-ES_tradnl"/>
        </w:rPr>
        <w:t>ii</w:t>
      </w:r>
      <w:proofErr w:type="spellEnd"/>
      <w:r w:rsidRPr="005C722B">
        <w:rPr>
          <w:rFonts w:ascii="Arial" w:eastAsia="Calibri" w:hAnsi="Arial" w:cs="Arial"/>
          <w:bCs/>
          <w:color w:val="000000" w:themeColor="text1"/>
          <w:sz w:val="20"/>
          <w:szCs w:val="20"/>
          <w:lang w:val="es-ES" w:eastAsia="es-ES_tradnl"/>
        </w:rPr>
        <w:t xml:space="preserve">) número de contratos para la acreditación de la experiencia, </w:t>
      </w:r>
      <w:proofErr w:type="spellStart"/>
      <w:r w:rsidRPr="005C722B">
        <w:rPr>
          <w:rFonts w:ascii="Arial" w:eastAsia="Calibri" w:hAnsi="Arial" w:cs="Arial"/>
          <w:bCs/>
          <w:color w:val="000000" w:themeColor="text1"/>
          <w:sz w:val="20"/>
          <w:szCs w:val="20"/>
          <w:lang w:val="es-ES" w:eastAsia="es-ES_tradnl"/>
        </w:rPr>
        <w:t>iii</w:t>
      </w:r>
      <w:proofErr w:type="spellEnd"/>
      <w:r w:rsidRPr="005C722B">
        <w:rPr>
          <w:rFonts w:ascii="Arial" w:eastAsia="Calibri" w:hAnsi="Arial" w:cs="Arial"/>
          <w:bCs/>
          <w:color w:val="000000" w:themeColor="text1"/>
          <w:sz w:val="20"/>
          <w:szCs w:val="20"/>
          <w:lang w:val="es-ES" w:eastAsia="es-ES_tradnl"/>
        </w:rPr>
        <w:t xml:space="preserve">) índices de capacidad financiera, </w:t>
      </w:r>
      <w:proofErr w:type="spellStart"/>
      <w:r w:rsidRPr="005C722B">
        <w:rPr>
          <w:rFonts w:ascii="Arial" w:eastAsia="Calibri" w:hAnsi="Arial" w:cs="Arial"/>
          <w:bCs/>
          <w:color w:val="000000" w:themeColor="text1"/>
          <w:sz w:val="20"/>
          <w:szCs w:val="20"/>
          <w:lang w:val="es-ES" w:eastAsia="es-ES_tradnl"/>
        </w:rPr>
        <w:t>iv</w:t>
      </w:r>
      <w:proofErr w:type="spellEnd"/>
      <w:r w:rsidRPr="005C722B">
        <w:rPr>
          <w:rFonts w:ascii="Arial" w:eastAsia="Calibri" w:hAnsi="Arial" w:cs="Arial"/>
          <w:bCs/>
          <w:color w:val="000000" w:themeColor="text1"/>
          <w:sz w:val="20"/>
          <w:szCs w:val="20"/>
          <w:lang w:val="es-ES" w:eastAsia="es-ES_tradnl"/>
        </w:rPr>
        <w:t>) índices de capacidad organizacional y v) valor de la garantía de seriedad de la oferta. Igualmente, el decreto dispone que, con excepción de los procedimientos de selección donde el menor precio ofrecido sea el único factor de evaluación, las entidades otorgarán un puntaje adicional hasta de cero punto veinticinco por ciento (0.25%) del valor total de los puntos establecidos en los pliegos de condiciones o documento equivalente, a los proponentes que acrediten alguno de los supuestos señalados en el artículo 2.2.1.2.4.2.14 del Decreto 1082 de 2015.</w:t>
      </w:r>
    </w:p>
    <w:p w14:paraId="61BB5532" w14:textId="6B4CFAF0" w:rsidR="005C722B" w:rsidRPr="005C722B" w:rsidRDefault="005C722B" w:rsidP="005C722B">
      <w:pPr>
        <w:spacing w:after="0" w:line="240" w:lineRule="auto"/>
        <w:jc w:val="both"/>
        <w:rPr>
          <w:rFonts w:ascii="Arial" w:eastAsia="Calibri" w:hAnsi="Arial" w:cs="Arial"/>
          <w:bCs/>
          <w:color w:val="000000" w:themeColor="text1"/>
          <w:sz w:val="20"/>
          <w:szCs w:val="20"/>
          <w:lang w:val="es-ES" w:eastAsia="es-ES_tradnl"/>
        </w:rPr>
      </w:pPr>
    </w:p>
    <w:p w14:paraId="6AC04B0F" w14:textId="7F7E01FF" w:rsidR="005C722B" w:rsidRPr="005C722B" w:rsidRDefault="005C722B" w:rsidP="005C722B">
      <w:pPr>
        <w:spacing w:after="0" w:line="240" w:lineRule="auto"/>
        <w:jc w:val="both"/>
        <w:rPr>
          <w:rFonts w:ascii="Arial" w:eastAsia="Times New Roman" w:hAnsi="Arial" w:cs="Arial"/>
          <w:b/>
          <w:noProof/>
          <w:color w:val="000000"/>
          <w:lang w:val="es-ES_tradnl" w:eastAsia="es-ES_tradnl"/>
        </w:rPr>
      </w:pPr>
      <w:r w:rsidRPr="00D02456">
        <w:rPr>
          <w:rFonts w:ascii="Arial" w:eastAsia="Calibri" w:hAnsi="Arial" w:cs="Arial"/>
          <w:b/>
          <w:color w:val="000000" w:themeColor="text1"/>
          <w:lang w:val="es-ES_tradnl" w:eastAsia="es-ES_tradnl"/>
        </w:rPr>
        <w:lastRenderedPageBreak/>
        <w:t>DOCUMENTOS TIPO</w:t>
      </w:r>
      <w:r w:rsidRPr="005C722B">
        <w:rPr>
          <w:rFonts w:ascii="Arial" w:eastAsia="Calibri" w:hAnsi="Arial" w:cs="Arial"/>
          <w:b/>
          <w:color w:val="000000" w:themeColor="text1"/>
          <w:lang w:val="es-ES_tradnl" w:eastAsia="es-ES_tradnl"/>
        </w:rPr>
        <w:t xml:space="preserve"> – Decreto 1860 de 2021 – Criterios diferenciales – Empresas y emprendimientos de mujeres – </w:t>
      </w:r>
      <w:proofErr w:type="spellStart"/>
      <w:r w:rsidRPr="005C722B">
        <w:rPr>
          <w:rFonts w:ascii="Arial" w:eastAsia="Calibri" w:hAnsi="Arial" w:cs="Arial"/>
          <w:b/>
          <w:color w:val="000000" w:themeColor="text1"/>
          <w:lang w:val="es-ES_tradnl" w:eastAsia="es-ES_tradnl"/>
        </w:rPr>
        <w:t>Mypimes</w:t>
      </w:r>
      <w:proofErr w:type="spellEnd"/>
      <w:r w:rsidRPr="005C722B">
        <w:rPr>
          <w:rFonts w:ascii="Arial" w:eastAsia="Calibri" w:hAnsi="Arial" w:cs="Arial"/>
          <w:b/>
          <w:color w:val="000000" w:themeColor="text1"/>
          <w:lang w:val="es-ES_tradnl" w:eastAsia="es-ES_tradnl"/>
        </w:rPr>
        <w:t xml:space="preserve"> – Experiencia</w:t>
      </w:r>
    </w:p>
    <w:p w14:paraId="6E0C6DDD" w14:textId="201F9B8F" w:rsidR="005C722B" w:rsidRPr="005C722B" w:rsidRDefault="005C722B" w:rsidP="005C722B">
      <w:pPr>
        <w:spacing w:after="0" w:line="240" w:lineRule="auto"/>
        <w:ind w:firstLine="709"/>
        <w:jc w:val="both"/>
        <w:rPr>
          <w:rFonts w:ascii="Arial" w:eastAsia="Times New Roman" w:hAnsi="Arial" w:cs="Arial"/>
          <w:b/>
          <w:bCs/>
          <w:noProof/>
          <w:color w:val="000000"/>
          <w:sz w:val="24"/>
          <w:szCs w:val="24"/>
          <w:lang w:val="es-ES_tradnl" w:eastAsia="es-ES_tradnl"/>
        </w:rPr>
      </w:pPr>
    </w:p>
    <w:p w14:paraId="6DDFBB4E" w14:textId="3D88B62A" w:rsidR="005C722B" w:rsidRPr="005C722B" w:rsidRDefault="005C722B" w:rsidP="005C722B">
      <w:pPr>
        <w:spacing w:after="0" w:line="240" w:lineRule="auto"/>
        <w:jc w:val="both"/>
        <w:rPr>
          <w:rFonts w:ascii="Arial" w:eastAsia="Calibri" w:hAnsi="Arial" w:cs="Arial"/>
          <w:sz w:val="20"/>
          <w:szCs w:val="20"/>
          <w:lang w:val="es-ES_tradnl" w:eastAsia="es-ES_tradnl"/>
        </w:rPr>
      </w:pPr>
      <w:r w:rsidRPr="005C722B">
        <w:rPr>
          <w:rFonts w:ascii="Arial" w:eastAsia="Calibri" w:hAnsi="Arial" w:cs="Arial"/>
          <w:bCs/>
          <w:color w:val="000000" w:themeColor="text1"/>
          <w:sz w:val="20"/>
          <w:szCs w:val="20"/>
          <w:lang w:val="es-ES" w:eastAsia="es-ES_tradnl"/>
        </w:rPr>
        <w:t>[...]</w:t>
      </w:r>
    </w:p>
    <w:p w14:paraId="3B21A1A3" w14:textId="29AF7B7A" w:rsidR="005C722B" w:rsidRPr="005C722B" w:rsidRDefault="005C722B" w:rsidP="005C722B">
      <w:pPr>
        <w:spacing w:after="0" w:line="240" w:lineRule="auto"/>
        <w:jc w:val="both"/>
        <w:rPr>
          <w:rFonts w:ascii="Arial" w:eastAsia="Calibri" w:hAnsi="Arial" w:cs="Arial"/>
          <w:sz w:val="20"/>
          <w:szCs w:val="20"/>
          <w:lang w:val="es-ES_tradnl" w:eastAsia="es-ES_tradnl"/>
        </w:rPr>
      </w:pPr>
      <w:r w:rsidRPr="005C722B">
        <w:rPr>
          <w:rFonts w:ascii="Arial" w:eastAsia="Calibri" w:hAnsi="Arial" w:cs="Arial"/>
          <w:sz w:val="20"/>
          <w:szCs w:val="20"/>
          <w:lang w:val="es-ES_tradnl" w:eastAsia="es-ES_tradnl"/>
        </w:rPr>
        <w:t>Ahora bien, debe destacarse que, atendiendo al mandato contenido en el inciso segundo del parágrafo del artículo 8 del Decreto 1860 de 2021, la Agencia Nacional de Contratación Pública – Colombia Compra Eficiente expidió la Resolución 275 del 24 de junio de 2022 «Por la cual se modifican los documentos tipo adoptados por la Agencia Nacional de Contratación Pública − Colombia Compra Eficiente</w:t>
      </w:r>
      <w:proofErr w:type="gramStart"/>
      <w:r w:rsidRPr="005C722B">
        <w:rPr>
          <w:rFonts w:ascii="Arial" w:eastAsia="Calibri" w:hAnsi="Arial" w:cs="Arial"/>
          <w:sz w:val="20"/>
          <w:szCs w:val="20"/>
          <w:lang w:val="es-ES_tradnl" w:eastAsia="es-ES_tradnl"/>
        </w:rPr>
        <w:t>» .</w:t>
      </w:r>
      <w:proofErr w:type="gramEnd"/>
      <w:r w:rsidRPr="005C722B">
        <w:rPr>
          <w:rFonts w:ascii="Arial" w:eastAsia="Calibri" w:hAnsi="Arial" w:cs="Arial"/>
          <w:sz w:val="20"/>
          <w:szCs w:val="20"/>
          <w:lang w:val="es-ES_tradnl" w:eastAsia="es-ES_tradnl"/>
        </w:rPr>
        <w:t xml:space="preserve"> De esa forma, mediante la citada resolución, se modificaron los documentos tipo para proyectos de obra pública de infraestructura de transporte adelantados bajo la modalidad de licitación pública, de selección abreviada de menor cuantía, de consultoría de estudios de ingeniería de infraestructura de transporte, de licitación de obra pública para proyectos de agua potable y saneamiento básico y su modalidad de llave en mano, y los documentos tipo de licitación de obra pública de infraestructura social, con ocasión a la expedición del Decreto 1860 de 2021 y la Ley 2069 del 2020.</w:t>
      </w:r>
    </w:p>
    <w:p w14:paraId="1442BF43" w14:textId="1F13C574" w:rsidR="005C722B" w:rsidRPr="005C722B" w:rsidRDefault="005C722B" w:rsidP="005C722B">
      <w:pPr>
        <w:spacing w:after="0" w:line="240" w:lineRule="auto"/>
        <w:jc w:val="both"/>
        <w:rPr>
          <w:rFonts w:ascii="Arial" w:eastAsia="Calibri" w:hAnsi="Arial" w:cs="Arial"/>
          <w:bCs/>
          <w:color w:val="000000" w:themeColor="text1"/>
          <w:sz w:val="20"/>
          <w:szCs w:val="20"/>
          <w:lang w:val="es-ES" w:eastAsia="es-ES_tradnl"/>
        </w:rPr>
      </w:pPr>
      <w:r w:rsidRPr="005C722B">
        <w:rPr>
          <w:rFonts w:ascii="Arial" w:eastAsia="Calibri" w:hAnsi="Arial" w:cs="Arial"/>
          <w:bCs/>
          <w:color w:val="000000" w:themeColor="text1"/>
          <w:sz w:val="20"/>
          <w:szCs w:val="20"/>
          <w:lang w:val="es-ES" w:eastAsia="es-ES_tradnl"/>
        </w:rPr>
        <w:t>[...]</w:t>
      </w:r>
    </w:p>
    <w:p w14:paraId="5FB02708" w14:textId="24091CC9" w:rsidR="005C722B" w:rsidRPr="005C722B" w:rsidRDefault="005C722B" w:rsidP="005C722B">
      <w:pPr>
        <w:spacing w:after="0" w:line="240" w:lineRule="auto"/>
        <w:jc w:val="both"/>
        <w:rPr>
          <w:rFonts w:ascii="Arial" w:eastAsia="Calibri" w:hAnsi="Arial" w:cs="Arial"/>
          <w:bCs/>
          <w:color w:val="000000" w:themeColor="text1"/>
          <w:sz w:val="20"/>
          <w:szCs w:val="20"/>
          <w:lang w:eastAsia="es-ES_tradnl"/>
        </w:rPr>
      </w:pPr>
      <w:r w:rsidRPr="005C722B">
        <w:rPr>
          <w:rFonts w:ascii="Arial" w:eastAsia="Calibri" w:hAnsi="Arial" w:cs="Arial"/>
          <w:bCs/>
          <w:color w:val="000000" w:themeColor="text1"/>
          <w:sz w:val="20"/>
          <w:szCs w:val="20"/>
          <w:lang w:eastAsia="es-ES_tradnl"/>
        </w:rPr>
        <w:t xml:space="preserve">Por otra parte, de acuerdo con el objeto de su petición, es necesario señalar que el artículo 2.2.1.2.4.2.15 del Decreto 1082 de 2015 citado, en su numeral 2 señala que se puede incluir como requisito habilitante diferencial para los emprendimientos y empresas de mujeres en los pliegos de condiciones, el «Número de contratos para la acreditación de la experiencia». En igual sentido, el artículo 2.2.1.2.4.2.18, establece la posibilidad de incluir el mismo requisito habilitante diferencial para </w:t>
      </w:r>
      <w:proofErr w:type="spellStart"/>
      <w:r w:rsidRPr="005C722B">
        <w:rPr>
          <w:rFonts w:ascii="Arial" w:eastAsia="Calibri" w:hAnsi="Arial" w:cs="Arial"/>
          <w:bCs/>
          <w:color w:val="000000" w:themeColor="text1"/>
          <w:sz w:val="20"/>
          <w:szCs w:val="20"/>
          <w:lang w:eastAsia="es-ES_tradnl"/>
        </w:rPr>
        <w:t>Mipymes</w:t>
      </w:r>
      <w:proofErr w:type="spellEnd"/>
      <w:r w:rsidRPr="005C722B">
        <w:rPr>
          <w:rFonts w:ascii="Arial" w:eastAsia="Calibri" w:hAnsi="Arial" w:cs="Arial"/>
          <w:bCs/>
          <w:color w:val="000000" w:themeColor="text1"/>
          <w:sz w:val="20"/>
          <w:szCs w:val="20"/>
          <w:lang w:eastAsia="es-ES_tradnl"/>
        </w:rPr>
        <w:t xml:space="preserve">. Por consiguiente, el Documento base de los pliegos tipo, en el literal C del numeral 3.5.2, incluyó el criterio diferencial de experiencia general para emprendimientos y empresas de mujeres y </w:t>
      </w:r>
      <w:proofErr w:type="spellStart"/>
      <w:r w:rsidRPr="005C722B">
        <w:rPr>
          <w:rFonts w:ascii="Arial" w:eastAsia="Calibri" w:hAnsi="Arial" w:cs="Arial"/>
          <w:bCs/>
          <w:color w:val="000000" w:themeColor="text1"/>
          <w:sz w:val="20"/>
          <w:szCs w:val="20"/>
          <w:lang w:eastAsia="es-ES_tradnl"/>
        </w:rPr>
        <w:t>Mipymes</w:t>
      </w:r>
      <w:proofErr w:type="spellEnd"/>
      <w:r w:rsidRPr="005C722B">
        <w:rPr>
          <w:rFonts w:ascii="Arial" w:eastAsia="Calibri" w:hAnsi="Arial" w:cs="Arial"/>
          <w:bCs/>
          <w:color w:val="000000" w:themeColor="text1"/>
          <w:sz w:val="20"/>
          <w:szCs w:val="20"/>
          <w:lang w:eastAsia="es-ES_tradnl"/>
        </w:rPr>
        <w:t xml:space="preserve"> [...]</w:t>
      </w:r>
    </w:p>
    <w:p w14:paraId="03D658DE" w14:textId="0CA202FF" w:rsidR="005C722B" w:rsidRPr="005C722B" w:rsidRDefault="005C722B" w:rsidP="005C722B">
      <w:pPr>
        <w:spacing w:after="0" w:line="240" w:lineRule="auto"/>
        <w:jc w:val="both"/>
        <w:rPr>
          <w:rFonts w:ascii="Arial" w:eastAsia="Calibri" w:hAnsi="Arial" w:cs="Arial"/>
          <w:bCs/>
          <w:color w:val="000000" w:themeColor="text1"/>
          <w:sz w:val="20"/>
          <w:szCs w:val="20"/>
          <w:lang w:eastAsia="es-ES_tradnl"/>
        </w:rPr>
      </w:pPr>
    </w:p>
    <w:p w14:paraId="511BF2E5" w14:textId="378382F7" w:rsidR="005C722B" w:rsidRPr="005C722B" w:rsidRDefault="005C722B" w:rsidP="005C722B">
      <w:pPr>
        <w:spacing w:after="0" w:line="240" w:lineRule="auto"/>
        <w:jc w:val="both"/>
        <w:rPr>
          <w:rFonts w:ascii="Arial" w:eastAsia="Calibri" w:hAnsi="Arial" w:cs="Arial"/>
          <w:bCs/>
          <w:color w:val="000000" w:themeColor="text1"/>
          <w:sz w:val="20"/>
          <w:szCs w:val="20"/>
          <w:lang w:val="es-ES" w:eastAsia="es-ES_tradnl"/>
        </w:rPr>
      </w:pPr>
      <w:r w:rsidRPr="005C722B">
        <w:rPr>
          <w:rFonts w:ascii="Arial" w:eastAsia="Calibri" w:hAnsi="Arial" w:cs="Arial"/>
          <w:bCs/>
          <w:color w:val="000000" w:themeColor="text1"/>
          <w:sz w:val="20"/>
          <w:szCs w:val="20"/>
          <w:lang w:eastAsia="es-ES_tradnl"/>
        </w:rPr>
        <w:t xml:space="preserve">Como se puede observar, los documentos tipo incorporaron los criterios diferenciales establecidos por la Ley 2069 de 2020, reglamentada por el Decreto 1860 de 2021, tanto para emprendimientos y empresas de mujeres como para </w:t>
      </w:r>
      <w:proofErr w:type="spellStart"/>
      <w:r w:rsidRPr="005C722B">
        <w:rPr>
          <w:rFonts w:ascii="Arial" w:eastAsia="Calibri" w:hAnsi="Arial" w:cs="Arial"/>
          <w:bCs/>
          <w:color w:val="000000" w:themeColor="text1"/>
          <w:sz w:val="20"/>
          <w:szCs w:val="20"/>
          <w:lang w:eastAsia="es-ES_tradnl"/>
        </w:rPr>
        <w:t>Mipymes</w:t>
      </w:r>
      <w:proofErr w:type="spellEnd"/>
      <w:r w:rsidRPr="005C722B">
        <w:rPr>
          <w:rFonts w:ascii="Arial" w:eastAsia="Calibri" w:hAnsi="Arial" w:cs="Arial"/>
          <w:bCs/>
          <w:color w:val="000000" w:themeColor="text1"/>
          <w:sz w:val="20"/>
          <w:szCs w:val="20"/>
          <w:lang w:eastAsia="es-ES_tradnl"/>
        </w:rPr>
        <w:t>; y en este caso se cita lo referente a la experiencia general incluida en el documento base de los pliegos tipo, por ser el objeto de su consulta. Respecto de la experiencia específica se debe tener en cuenta que el Documento base dispone, en el literal A del numeral 3.5.2, que «[...] Dependiendo del rango en SMMLV, la Entidad deberá exigir la experiencia específica señalada en la Matriz 1 – Experiencia en la(s) actividad(es) requeridas para la ejecución del objeto del contrato. La Entidad únicamente podrá solicitar experiencia específica cuando la Matriz 1 – Experiencia lo establezca[...]».</w:t>
      </w:r>
    </w:p>
    <w:p w14:paraId="481CF729" w14:textId="1A42CC9E" w:rsidR="00FF57D2" w:rsidRDefault="00FF57D2" w:rsidP="00FF57D2">
      <w:pPr>
        <w:jc w:val="right"/>
        <w:rPr>
          <w:rFonts w:ascii="Arial" w:eastAsia="Calibri" w:hAnsi="Arial" w:cs="Arial"/>
          <w:lang w:val="es-ES_tradnl" w:eastAsia="es-ES_tradnl"/>
        </w:rPr>
      </w:pPr>
    </w:p>
    <w:p w14:paraId="0FB09262" w14:textId="6BF9D479" w:rsidR="00FF57D2" w:rsidRDefault="00FF57D2" w:rsidP="00FF57D2">
      <w:pPr>
        <w:jc w:val="right"/>
        <w:rPr>
          <w:rFonts w:ascii="Arial" w:eastAsia="Calibri" w:hAnsi="Arial" w:cs="Arial"/>
          <w:lang w:val="es-ES_tradnl" w:eastAsia="es-ES_tradnl"/>
        </w:rPr>
      </w:pPr>
    </w:p>
    <w:p w14:paraId="6A591287" w14:textId="7628A686" w:rsidR="00FF57D2" w:rsidRDefault="00FF57D2" w:rsidP="00FF57D2">
      <w:pPr>
        <w:jc w:val="right"/>
        <w:rPr>
          <w:rFonts w:ascii="Arial" w:eastAsia="Calibri" w:hAnsi="Arial" w:cs="Arial"/>
          <w:lang w:val="es-ES_tradnl" w:eastAsia="es-ES_tradnl"/>
        </w:rPr>
      </w:pPr>
    </w:p>
    <w:p w14:paraId="10894896" w14:textId="7DB2572A" w:rsidR="00FF57D2" w:rsidRDefault="00FF57D2" w:rsidP="00FF57D2">
      <w:pPr>
        <w:jc w:val="right"/>
        <w:rPr>
          <w:rFonts w:ascii="Arial" w:eastAsia="Calibri" w:hAnsi="Arial" w:cs="Arial"/>
          <w:lang w:val="es-ES_tradnl" w:eastAsia="es-ES_tradnl"/>
        </w:rPr>
      </w:pPr>
    </w:p>
    <w:p w14:paraId="3DC6DAB2" w14:textId="10C0C2FF" w:rsidR="00FF57D2" w:rsidRDefault="00FF57D2" w:rsidP="00FF57D2">
      <w:pPr>
        <w:jc w:val="right"/>
        <w:rPr>
          <w:rFonts w:ascii="Arial" w:eastAsia="Calibri" w:hAnsi="Arial" w:cs="Arial"/>
          <w:lang w:val="es-ES_tradnl" w:eastAsia="es-ES_tradnl"/>
        </w:rPr>
      </w:pPr>
    </w:p>
    <w:p w14:paraId="4E056C6E" w14:textId="411D8FDA" w:rsidR="00FF57D2" w:rsidRDefault="00FF57D2" w:rsidP="00FF57D2">
      <w:pPr>
        <w:jc w:val="right"/>
        <w:rPr>
          <w:rFonts w:ascii="Arial" w:eastAsia="Calibri" w:hAnsi="Arial" w:cs="Arial"/>
          <w:lang w:val="es-ES_tradnl" w:eastAsia="es-ES_tradnl"/>
        </w:rPr>
      </w:pPr>
    </w:p>
    <w:p w14:paraId="26247A82" w14:textId="607C9EAC" w:rsidR="00FF57D2" w:rsidRDefault="00FF57D2" w:rsidP="00FF57D2">
      <w:pPr>
        <w:jc w:val="right"/>
        <w:rPr>
          <w:rFonts w:ascii="Arial" w:eastAsia="Calibri" w:hAnsi="Arial" w:cs="Arial"/>
          <w:lang w:val="es-ES_tradnl" w:eastAsia="es-ES_tradnl"/>
        </w:rPr>
      </w:pPr>
    </w:p>
    <w:p w14:paraId="27E01755" w14:textId="5AEBF277" w:rsidR="00FF57D2" w:rsidRDefault="00FF57D2" w:rsidP="00FF57D2">
      <w:pPr>
        <w:jc w:val="right"/>
        <w:rPr>
          <w:rFonts w:ascii="Arial" w:eastAsia="Calibri" w:hAnsi="Arial" w:cs="Arial"/>
          <w:lang w:val="es-ES_tradnl" w:eastAsia="es-ES_tradnl"/>
        </w:rPr>
      </w:pPr>
    </w:p>
    <w:p w14:paraId="28C1B039" w14:textId="29925140" w:rsidR="00FF57D2" w:rsidRDefault="00FF57D2" w:rsidP="00FF57D2">
      <w:pPr>
        <w:jc w:val="right"/>
        <w:rPr>
          <w:rFonts w:ascii="Arial" w:eastAsia="Calibri" w:hAnsi="Arial" w:cs="Arial"/>
          <w:lang w:val="es-ES_tradnl" w:eastAsia="es-ES_tradnl"/>
        </w:rPr>
      </w:pPr>
    </w:p>
    <w:p w14:paraId="6D43D638" w14:textId="5E7E179B" w:rsidR="00FF57D2" w:rsidRDefault="00FF57D2" w:rsidP="00FF57D2">
      <w:pPr>
        <w:jc w:val="right"/>
        <w:rPr>
          <w:rFonts w:ascii="Arial" w:eastAsia="Calibri" w:hAnsi="Arial" w:cs="Arial"/>
          <w:lang w:val="es-ES_tradnl" w:eastAsia="es-ES_tradnl"/>
        </w:rPr>
      </w:pPr>
    </w:p>
    <w:p w14:paraId="265C797D" w14:textId="77777777" w:rsidR="00FF57D2" w:rsidRDefault="00FF57D2" w:rsidP="00FF57D2">
      <w:pPr>
        <w:jc w:val="right"/>
        <w:rPr>
          <w:rFonts w:ascii="Arial" w:eastAsia="Calibri" w:hAnsi="Arial" w:cs="Arial"/>
          <w:lang w:val="es-ES_tradnl" w:eastAsia="es-ES_tradnl"/>
        </w:rPr>
      </w:pPr>
    </w:p>
    <w:p w14:paraId="177A21E5" w14:textId="7AF29A78" w:rsidR="005C722B" w:rsidRPr="005C722B" w:rsidRDefault="00756C7C" w:rsidP="00FF57D2">
      <w:pPr>
        <w:jc w:val="right"/>
        <w:rPr>
          <w:rFonts w:ascii="Arial" w:eastAsia="Calibri" w:hAnsi="Arial" w:cs="Arial"/>
          <w:lang w:val="es-ES_tradnl" w:eastAsia="es-ES_tradnl"/>
        </w:rPr>
      </w:pPr>
      <w:r w:rsidRPr="00756C7C">
        <w:rPr>
          <w:rFonts w:ascii="Arial" w:eastAsia="Calibri" w:hAnsi="Arial" w:cs="Arial"/>
          <w:noProof/>
          <w:lang w:val="es-ES_tradnl" w:eastAsia="es-ES_tradnl"/>
        </w:rPr>
        <w:drawing>
          <wp:inline distT="0" distB="0" distL="0" distR="0" wp14:anchorId="00022C50" wp14:editId="6E6AAA5D">
            <wp:extent cx="2429214" cy="64779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9214" cy="647790"/>
                    </a:xfrm>
                    <a:prstGeom prst="rect">
                      <a:avLst/>
                    </a:prstGeom>
                  </pic:spPr>
                </pic:pic>
              </a:graphicData>
            </a:graphic>
          </wp:inline>
        </w:drawing>
      </w:r>
    </w:p>
    <w:p w14:paraId="2E9AE8B7" w14:textId="295D8F99" w:rsidR="005C722B" w:rsidRPr="005C722B" w:rsidRDefault="00416244" w:rsidP="005C722B">
      <w:pPr>
        <w:spacing w:after="0" w:line="240" w:lineRule="auto"/>
        <w:contextualSpacing/>
        <w:jc w:val="both"/>
        <w:rPr>
          <w:rFonts w:ascii="Arial" w:eastAsia="Calibri" w:hAnsi="Arial" w:cs="Arial"/>
          <w:lang w:val="es-ES_tradnl" w:eastAsia="es-ES_tradnl"/>
        </w:rPr>
      </w:pPr>
      <w:r>
        <w:rPr>
          <w:rFonts w:ascii="Arial" w:eastAsia="Calibri" w:hAnsi="Arial" w:cs="Arial"/>
          <w:lang w:val="es-ES_tradnl" w:eastAsia="es-ES_tradnl"/>
        </w:rPr>
        <w:t>19 de diciembre de 2022</w:t>
      </w:r>
    </w:p>
    <w:p w14:paraId="0E041D06" w14:textId="77777777" w:rsidR="00416244" w:rsidRDefault="00416244" w:rsidP="005C722B">
      <w:pPr>
        <w:spacing w:after="0" w:line="240" w:lineRule="auto"/>
        <w:contextualSpacing/>
        <w:jc w:val="both"/>
        <w:rPr>
          <w:rFonts w:ascii="Arial" w:eastAsia="Calibri" w:hAnsi="Arial" w:cs="Arial"/>
          <w:lang w:val="es-ES_tradnl" w:eastAsia="es-ES_tradnl"/>
        </w:rPr>
      </w:pPr>
    </w:p>
    <w:p w14:paraId="07DE8C00" w14:textId="267C6A3B" w:rsidR="005C722B" w:rsidRPr="005C722B" w:rsidRDefault="005C722B" w:rsidP="005C722B">
      <w:pPr>
        <w:spacing w:after="0" w:line="240" w:lineRule="auto"/>
        <w:contextualSpacing/>
        <w:jc w:val="both"/>
        <w:rPr>
          <w:rFonts w:ascii="Arial" w:eastAsia="Calibri" w:hAnsi="Arial" w:cs="Arial"/>
          <w:lang w:val="es-ES_tradnl" w:eastAsia="es-ES_tradnl"/>
        </w:rPr>
      </w:pPr>
      <w:r w:rsidRPr="005C722B">
        <w:rPr>
          <w:rFonts w:ascii="Arial" w:eastAsia="Calibri" w:hAnsi="Arial" w:cs="Arial"/>
          <w:lang w:val="es-ES_tradnl" w:eastAsia="es-ES_tradnl"/>
        </w:rPr>
        <w:t>Señora</w:t>
      </w:r>
    </w:p>
    <w:p w14:paraId="7FAD9577" w14:textId="77777777" w:rsidR="005C722B" w:rsidRPr="005C722B" w:rsidRDefault="005C722B" w:rsidP="005C722B">
      <w:pPr>
        <w:spacing w:after="0" w:line="240" w:lineRule="auto"/>
        <w:contextualSpacing/>
        <w:jc w:val="both"/>
        <w:rPr>
          <w:rFonts w:ascii="Arial" w:eastAsia="Calibri" w:hAnsi="Arial" w:cs="Arial"/>
          <w:b/>
          <w:bCs/>
          <w:lang w:val="es-ES" w:eastAsia="es-ES_tradnl"/>
        </w:rPr>
      </w:pPr>
      <w:r w:rsidRPr="005C722B">
        <w:rPr>
          <w:rFonts w:ascii="Arial" w:eastAsia="Calibri" w:hAnsi="Arial" w:cs="Arial"/>
          <w:b/>
          <w:bCs/>
          <w:lang w:val="es-ES" w:eastAsia="es-ES_tradnl"/>
        </w:rPr>
        <w:t>Valentina Meza Botero</w:t>
      </w:r>
    </w:p>
    <w:p w14:paraId="414C02A5" w14:textId="77777777" w:rsidR="005C722B" w:rsidRPr="005C722B" w:rsidRDefault="005C722B" w:rsidP="005C722B">
      <w:pPr>
        <w:spacing w:after="0" w:line="240" w:lineRule="auto"/>
        <w:contextualSpacing/>
        <w:jc w:val="both"/>
        <w:rPr>
          <w:rFonts w:ascii="Arial" w:eastAsia="Calibri" w:hAnsi="Arial" w:cs="Arial"/>
          <w:lang w:val="es-ES_tradnl" w:eastAsia="es-ES_tradnl"/>
        </w:rPr>
      </w:pPr>
      <w:r w:rsidRPr="005C722B">
        <w:rPr>
          <w:rFonts w:ascii="Arial" w:eastAsia="Calibri" w:hAnsi="Arial" w:cs="Arial"/>
          <w:lang w:val="es-ES" w:eastAsia="es-ES_tradnl"/>
        </w:rPr>
        <w:t>Manizales, Caldas</w:t>
      </w:r>
    </w:p>
    <w:p w14:paraId="1C0E5D11" w14:textId="77777777" w:rsidR="005C722B" w:rsidRDefault="005C722B" w:rsidP="005C722B">
      <w:pPr>
        <w:spacing w:after="0" w:line="240" w:lineRule="auto"/>
        <w:contextualSpacing/>
        <w:jc w:val="both"/>
        <w:rPr>
          <w:rFonts w:ascii="Arial" w:eastAsia="Calibri" w:hAnsi="Arial" w:cs="Arial"/>
          <w:lang w:val="es-ES_tradnl" w:eastAsia="es-ES_tradnl"/>
        </w:rPr>
      </w:pPr>
    </w:p>
    <w:p w14:paraId="0E926A3B" w14:textId="77777777" w:rsidR="00C52EFD" w:rsidRDefault="00C52EFD" w:rsidP="005C722B">
      <w:pPr>
        <w:spacing w:after="0" w:line="240" w:lineRule="auto"/>
        <w:contextualSpacing/>
        <w:jc w:val="both"/>
        <w:rPr>
          <w:rFonts w:ascii="Arial" w:eastAsia="Calibri" w:hAnsi="Arial" w:cs="Arial"/>
          <w:lang w:val="es-ES_tradnl" w:eastAsia="es-ES_tradnl"/>
        </w:rPr>
      </w:pPr>
    </w:p>
    <w:p w14:paraId="458D831B" w14:textId="77777777" w:rsidR="00C52EFD" w:rsidRPr="005C722B" w:rsidRDefault="00C52EFD" w:rsidP="005C722B">
      <w:pPr>
        <w:spacing w:after="0" w:line="240" w:lineRule="auto"/>
        <w:contextualSpacing/>
        <w:jc w:val="both"/>
        <w:rPr>
          <w:rFonts w:ascii="Arial" w:eastAsia="Calibri" w:hAnsi="Arial" w:cs="Arial"/>
          <w:lang w:val="es-ES_tradnl" w:eastAsia="es-ES_tradnl"/>
        </w:rPr>
      </w:pPr>
    </w:p>
    <w:p w14:paraId="6E1528F1" w14:textId="77777777" w:rsidR="005C722B" w:rsidRPr="005C722B" w:rsidRDefault="005C722B" w:rsidP="005C722B">
      <w:pPr>
        <w:spacing w:after="0" w:line="240" w:lineRule="auto"/>
        <w:contextualSpacing/>
        <w:jc w:val="both"/>
        <w:rPr>
          <w:rFonts w:ascii="Arial" w:eastAsia="Calibri" w:hAnsi="Arial" w:cs="Arial"/>
          <w:b/>
          <w:bCs/>
          <w:lang w:val="es-ES_tradnl" w:eastAsia="es-ES_tradnl"/>
        </w:rPr>
      </w:pPr>
      <w:r w:rsidRPr="005C722B">
        <w:rPr>
          <w:rFonts w:ascii="Arial" w:eastAsia="Calibri" w:hAnsi="Arial" w:cs="Arial"/>
          <w:b/>
          <w:bCs/>
          <w:lang w:val="es-ES_tradnl" w:eastAsia="es-ES_tradnl"/>
        </w:rPr>
        <w:t xml:space="preserve">                                                      Concepto C ‒ 865 de 2022</w:t>
      </w:r>
    </w:p>
    <w:p w14:paraId="3CD0A89A" w14:textId="77777777" w:rsidR="005C722B" w:rsidRDefault="005C722B" w:rsidP="005C722B">
      <w:pPr>
        <w:spacing w:after="0" w:line="240" w:lineRule="auto"/>
        <w:contextualSpacing/>
        <w:jc w:val="both"/>
        <w:rPr>
          <w:rFonts w:ascii="Arial" w:eastAsia="Calibri" w:hAnsi="Arial" w:cs="Arial"/>
          <w:lang w:val="es-ES_tradnl" w:eastAsia="es-ES_tradnl"/>
        </w:rPr>
      </w:pPr>
    </w:p>
    <w:p w14:paraId="473BE568" w14:textId="77777777" w:rsidR="00C52EFD" w:rsidRDefault="00C52EFD" w:rsidP="005C722B">
      <w:pPr>
        <w:spacing w:after="0" w:line="240" w:lineRule="auto"/>
        <w:contextualSpacing/>
        <w:jc w:val="both"/>
        <w:rPr>
          <w:rFonts w:ascii="Arial" w:eastAsia="Calibri" w:hAnsi="Arial" w:cs="Arial"/>
          <w:lang w:val="es-ES_tradnl" w:eastAsia="es-ES_tradnl"/>
        </w:rPr>
      </w:pPr>
    </w:p>
    <w:p w14:paraId="2B9DE15F" w14:textId="77777777" w:rsidR="00C52EFD" w:rsidRPr="005C722B" w:rsidRDefault="00C52EFD" w:rsidP="005C722B">
      <w:pPr>
        <w:spacing w:after="0" w:line="240" w:lineRule="auto"/>
        <w:contextualSpacing/>
        <w:jc w:val="both"/>
        <w:rPr>
          <w:rFonts w:ascii="Arial" w:eastAsia="Calibri" w:hAnsi="Arial" w:cs="Arial"/>
          <w:lang w:val="es-ES_tradnl"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C722B" w:rsidRPr="005C722B" w14:paraId="1D6C91F8" w14:textId="77777777" w:rsidTr="00CE4F5A">
        <w:trPr>
          <w:trHeight w:val="1099"/>
        </w:trPr>
        <w:tc>
          <w:tcPr>
            <w:tcW w:w="2689" w:type="dxa"/>
          </w:tcPr>
          <w:p w14:paraId="2BE0E9F2" w14:textId="77777777" w:rsidR="005C722B" w:rsidRPr="005C722B" w:rsidRDefault="005C722B" w:rsidP="005C722B">
            <w:pPr>
              <w:rPr>
                <w:rFonts w:ascii="Arial" w:eastAsia="Calibri" w:hAnsi="Arial" w:cs="Arial"/>
                <w:lang w:val="es-ES_tradnl" w:eastAsia="es-ES_tradnl"/>
              </w:rPr>
            </w:pPr>
            <w:r w:rsidRPr="005C722B">
              <w:rPr>
                <w:rFonts w:ascii="Arial" w:eastAsia="Calibri" w:hAnsi="Arial" w:cs="Arial"/>
                <w:b/>
                <w:lang w:val="es-ES_tradnl" w:eastAsia="es-ES_tradnl"/>
              </w:rPr>
              <w:t>Temas:</w:t>
            </w:r>
            <w:r w:rsidRPr="005C722B">
              <w:rPr>
                <w:rFonts w:ascii="Arial" w:eastAsia="Calibri" w:hAnsi="Arial" w:cs="Arial"/>
                <w:lang w:val="es-ES_tradnl" w:eastAsia="es-ES_tradnl"/>
              </w:rPr>
              <w:t xml:space="preserve">                                      </w:t>
            </w:r>
          </w:p>
        </w:tc>
        <w:tc>
          <w:tcPr>
            <w:tcW w:w="6237" w:type="dxa"/>
          </w:tcPr>
          <w:p w14:paraId="6E7BC61F" w14:textId="77777777" w:rsidR="005C722B" w:rsidRPr="005C722B" w:rsidRDefault="005C722B" w:rsidP="00FF57D2">
            <w:pPr>
              <w:ind w:firstLine="0"/>
              <w:rPr>
                <w:rFonts w:ascii="Arial" w:eastAsia="Times New Roman" w:hAnsi="Arial" w:cs="Arial"/>
                <w:b/>
                <w:bCs/>
                <w:noProof/>
                <w:lang w:val="es-ES_tradnl" w:eastAsia="es-ES_tradnl"/>
              </w:rPr>
            </w:pPr>
            <w:r w:rsidRPr="005C722B">
              <w:rPr>
                <w:rFonts w:ascii="Arial" w:eastAsia="Calibri" w:hAnsi="Arial" w:cs="Arial"/>
                <w:color w:val="000000" w:themeColor="text1"/>
                <w:lang w:eastAsia="es-ES_tradnl"/>
              </w:rPr>
              <w:t xml:space="preserve">LEY DE EMPRENDIMIENTO – Ley 2069 de 2020 – Finalidad / </w:t>
            </w:r>
            <w:r w:rsidRPr="005C722B">
              <w:rPr>
                <w:rFonts w:ascii="Arial" w:eastAsia="Calibri" w:hAnsi="Arial" w:cs="Arial"/>
                <w:color w:val="000000" w:themeColor="text1"/>
                <w:szCs w:val="24"/>
                <w:lang w:eastAsia="es-ES_tradnl"/>
              </w:rPr>
              <w:t xml:space="preserve">LEY DE EMPRENDIMIENTO – Ley 2069 de 2020 – Artículo 32 – Criterios diferenciales – Emprendimientos de mujeres – Empresas de mujeres – Necesidad de reglamentación – Decreto 1860 de 2021 / DECRETO 1860 DE 2021 – Emprendimientos y empresas de mujeres – Definición – Artículo 2.2.1.2.4.2.14 – Numeral 3 – Registro mercantil / DECRETO 1860 DE 2021 – Criterios diferenciales – Empresas y emprendimientos de mujeres – </w:t>
            </w:r>
            <w:proofErr w:type="spellStart"/>
            <w:r w:rsidRPr="005C722B">
              <w:rPr>
                <w:rFonts w:ascii="Arial" w:eastAsia="Calibri" w:hAnsi="Arial" w:cs="Arial"/>
                <w:color w:val="000000" w:themeColor="text1"/>
                <w:szCs w:val="24"/>
                <w:lang w:eastAsia="es-ES_tradnl"/>
              </w:rPr>
              <w:t>Mypimes</w:t>
            </w:r>
            <w:proofErr w:type="spellEnd"/>
            <w:r w:rsidRPr="005C722B">
              <w:rPr>
                <w:rFonts w:ascii="Arial" w:eastAsia="Calibri" w:hAnsi="Arial" w:cs="Arial"/>
                <w:color w:val="000000" w:themeColor="text1"/>
                <w:szCs w:val="24"/>
                <w:lang w:eastAsia="es-ES_tradnl"/>
              </w:rPr>
              <w:t xml:space="preserve"> – Experiencia / DOCUMENTOS TIPO – Decreto 1860 de 2021 – Criterios diferenciales – Empresas y emprendimientos de mujeres – </w:t>
            </w:r>
            <w:proofErr w:type="spellStart"/>
            <w:r w:rsidRPr="005C722B">
              <w:rPr>
                <w:rFonts w:ascii="Arial" w:eastAsia="Calibri" w:hAnsi="Arial" w:cs="Arial"/>
                <w:color w:val="000000" w:themeColor="text1"/>
                <w:szCs w:val="24"/>
                <w:lang w:eastAsia="es-ES_tradnl"/>
              </w:rPr>
              <w:t>Mypimes</w:t>
            </w:r>
            <w:proofErr w:type="spellEnd"/>
            <w:r w:rsidRPr="005C722B">
              <w:rPr>
                <w:rFonts w:ascii="Arial" w:eastAsia="Calibri" w:hAnsi="Arial" w:cs="Arial"/>
                <w:color w:val="000000" w:themeColor="text1"/>
                <w:szCs w:val="24"/>
                <w:lang w:eastAsia="es-ES_tradnl"/>
              </w:rPr>
              <w:t xml:space="preserve"> – Experiencia</w:t>
            </w:r>
          </w:p>
        </w:tc>
      </w:tr>
      <w:tr w:rsidR="005C722B" w:rsidRPr="005C722B" w14:paraId="07E63AC3" w14:textId="77777777" w:rsidTr="00CE4F5A">
        <w:tc>
          <w:tcPr>
            <w:tcW w:w="2689" w:type="dxa"/>
          </w:tcPr>
          <w:p w14:paraId="69289090" w14:textId="77777777" w:rsidR="005C722B" w:rsidRPr="005C722B" w:rsidRDefault="005C722B" w:rsidP="005C722B">
            <w:pPr>
              <w:rPr>
                <w:rFonts w:ascii="Arial" w:eastAsia="Calibri" w:hAnsi="Arial" w:cs="Arial"/>
                <w:b/>
                <w:lang w:val="es-ES_tradnl" w:eastAsia="es-ES_tradnl"/>
              </w:rPr>
            </w:pPr>
            <w:r w:rsidRPr="005C722B">
              <w:rPr>
                <w:rFonts w:ascii="Arial" w:eastAsia="Calibri" w:hAnsi="Arial" w:cs="Arial"/>
                <w:b/>
                <w:lang w:val="es-ES_tradnl" w:eastAsia="es-ES_tradnl"/>
              </w:rPr>
              <w:t>Radicación:</w:t>
            </w:r>
            <w:r w:rsidRPr="005C722B">
              <w:rPr>
                <w:rFonts w:ascii="Arial" w:eastAsia="Calibri" w:hAnsi="Arial" w:cs="Arial"/>
                <w:lang w:val="es-ES_tradnl" w:eastAsia="es-ES_tradnl"/>
              </w:rPr>
              <w:t xml:space="preserve">                              </w:t>
            </w:r>
          </w:p>
        </w:tc>
        <w:tc>
          <w:tcPr>
            <w:tcW w:w="6237" w:type="dxa"/>
          </w:tcPr>
          <w:p w14:paraId="543ECA5D" w14:textId="77777777" w:rsidR="005C722B" w:rsidRPr="005C722B" w:rsidRDefault="005C722B" w:rsidP="00FF57D2">
            <w:pPr>
              <w:ind w:firstLine="0"/>
              <w:rPr>
                <w:rFonts w:ascii="Arial" w:eastAsia="Calibri" w:hAnsi="Arial" w:cs="Arial"/>
                <w:lang w:eastAsia="es-ES_tradnl"/>
              </w:rPr>
            </w:pPr>
            <w:r w:rsidRPr="005C722B">
              <w:rPr>
                <w:rFonts w:ascii="Arial" w:eastAsia="Calibri" w:hAnsi="Arial" w:cs="Arial"/>
                <w:lang w:eastAsia="es-ES_tradnl"/>
              </w:rPr>
              <w:t>Respuesta a consulta No. P20221102011058</w:t>
            </w:r>
          </w:p>
        </w:tc>
      </w:tr>
    </w:tbl>
    <w:p w14:paraId="266910AD" w14:textId="77777777" w:rsidR="005C722B" w:rsidRPr="005C722B" w:rsidRDefault="005C722B" w:rsidP="005C722B">
      <w:pPr>
        <w:spacing w:after="0" w:line="240" w:lineRule="auto"/>
        <w:contextualSpacing/>
        <w:jc w:val="both"/>
        <w:rPr>
          <w:rFonts w:ascii="Arial" w:eastAsia="Calibri" w:hAnsi="Arial" w:cs="Arial"/>
          <w:lang w:val="es-ES_tradnl" w:eastAsia="es-ES_tradnl"/>
        </w:rPr>
      </w:pPr>
    </w:p>
    <w:p w14:paraId="27B17B6A" w14:textId="77777777" w:rsidR="005C722B" w:rsidRDefault="005C722B" w:rsidP="005C722B">
      <w:pPr>
        <w:spacing w:after="0" w:line="240" w:lineRule="auto"/>
        <w:contextualSpacing/>
        <w:jc w:val="both"/>
        <w:rPr>
          <w:rFonts w:ascii="Arial" w:eastAsia="Calibri" w:hAnsi="Arial" w:cs="Arial"/>
          <w:lang w:val="es-ES_tradnl" w:eastAsia="es-ES_tradnl"/>
        </w:rPr>
      </w:pPr>
    </w:p>
    <w:p w14:paraId="21A1EAE9" w14:textId="77777777" w:rsidR="00C52EFD" w:rsidRPr="005C722B" w:rsidRDefault="00C52EFD" w:rsidP="005C722B">
      <w:pPr>
        <w:spacing w:after="0" w:line="240" w:lineRule="auto"/>
        <w:contextualSpacing/>
        <w:jc w:val="both"/>
        <w:rPr>
          <w:rFonts w:ascii="Arial" w:eastAsia="Calibri" w:hAnsi="Arial" w:cs="Arial"/>
          <w:lang w:val="es-ES_tradnl" w:eastAsia="es-ES_tradnl"/>
        </w:rPr>
      </w:pPr>
    </w:p>
    <w:p w14:paraId="5ED85EAF" w14:textId="77777777" w:rsidR="005C722B" w:rsidRPr="005C722B" w:rsidRDefault="005C722B" w:rsidP="005C722B">
      <w:pPr>
        <w:spacing w:after="0" w:line="240" w:lineRule="auto"/>
        <w:jc w:val="both"/>
        <w:rPr>
          <w:rFonts w:ascii="Arial" w:eastAsia="Calibri" w:hAnsi="Arial" w:cs="Arial"/>
          <w:lang w:val="es-ES" w:eastAsia="es-ES_tradnl"/>
        </w:rPr>
      </w:pPr>
      <w:r w:rsidRPr="005C722B">
        <w:rPr>
          <w:rFonts w:ascii="Arial" w:eastAsia="Calibri" w:hAnsi="Arial" w:cs="Arial"/>
          <w:lang w:val="es-ES" w:eastAsia="es-ES_tradnl"/>
        </w:rPr>
        <w:t xml:space="preserve">Estimada señora Meza:  </w:t>
      </w:r>
    </w:p>
    <w:p w14:paraId="2DB53CDD" w14:textId="77777777" w:rsidR="005C722B" w:rsidRDefault="005C722B" w:rsidP="005C722B">
      <w:pPr>
        <w:spacing w:after="0" w:line="240" w:lineRule="auto"/>
        <w:jc w:val="both"/>
        <w:rPr>
          <w:rFonts w:ascii="Arial" w:eastAsia="Calibri" w:hAnsi="Arial" w:cs="Arial"/>
          <w:szCs w:val="24"/>
          <w:lang w:val="es-ES_tradnl" w:eastAsia="es-ES_tradnl"/>
        </w:rPr>
      </w:pPr>
    </w:p>
    <w:p w14:paraId="175AF86A" w14:textId="77777777" w:rsidR="00C52EFD" w:rsidRDefault="00C52EFD" w:rsidP="005C722B">
      <w:pPr>
        <w:spacing w:after="0" w:line="240" w:lineRule="auto"/>
        <w:jc w:val="both"/>
        <w:rPr>
          <w:rFonts w:ascii="Arial" w:eastAsia="Calibri" w:hAnsi="Arial" w:cs="Arial"/>
          <w:szCs w:val="24"/>
          <w:lang w:val="es-ES_tradnl" w:eastAsia="es-ES_tradnl"/>
        </w:rPr>
      </w:pPr>
    </w:p>
    <w:p w14:paraId="3DE0840F" w14:textId="77777777" w:rsidR="00C52EFD" w:rsidRPr="005C722B" w:rsidRDefault="00C52EFD" w:rsidP="005C722B">
      <w:pPr>
        <w:spacing w:after="0" w:line="240" w:lineRule="auto"/>
        <w:jc w:val="both"/>
        <w:rPr>
          <w:rFonts w:ascii="Arial" w:eastAsia="Calibri" w:hAnsi="Arial" w:cs="Arial"/>
          <w:szCs w:val="24"/>
          <w:lang w:val="es-ES_tradnl" w:eastAsia="es-ES_tradnl"/>
        </w:rPr>
      </w:pPr>
    </w:p>
    <w:p w14:paraId="1CECA33C" w14:textId="77777777" w:rsidR="005C722B" w:rsidRPr="005C722B" w:rsidRDefault="005C722B" w:rsidP="005C722B">
      <w:pPr>
        <w:spacing w:after="0" w:line="276" w:lineRule="auto"/>
        <w:jc w:val="both"/>
        <w:rPr>
          <w:rFonts w:ascii="Arial" w:eastAsia="Calibri" w:hAnsi="Arial" w:cs="Arial"/>
          <w:lang w:val="es-ES" w:eastAsia="es-ES_tradnl"/>
        </w:rPr>
      </w:pPr>
      <w:r w:rsidRPr="005C722B">
        <w:rPr>
          <w:rFonts w:ascii="Arial" w:eastAsia="Calibri" w:hAnsi="Arial" w:cs="Arial"/>
          <w:lang w:val="es-ES" w:eastAsia="es-ES_tradnl"/>
        </w:rPr>
        <w:t>En ejercicio de la competencia otorgada por el numeral 8 del artículo 11 y el numeral 5 del artículo 3 del Decreto Ley 4170 de 2011, la Agencia Nacional de Contratación Pública – Colombia Compra Eficiente responde su consulta del 2 de noviembre de 2022.</w:t>
      </w:r>
    </w:p>
    <w:p w14:paraId="3D3EEA12" w14:textId="77777777" w:rsidR="005C722B" w:rsidRDefault="005C722B" w:rsidP="005C722B">
      <w:pPr>
        <w:tabs>
          <w:tab w:val="left" w:pos="0"/>
          <w:tab w:val="left" w:pos="142"/>
          <w:tab w:val="left" w:pos="284"/>
        </w:tabs>
        <w:spacing w:after="0" w:line="276" w:lineRule="auto"/>
        <w:ind w:firstLine="709"/>
        <w:contextualSpacing/>
        <w:jc w:val="both"/>
        <w:rPr>
          <w:rFonts w:ascii="Arial" w:eastAsia="Calibri" w:hAnsi="Arial" w:cs="Arial"/>
          <w:b/>
          <w:color w:val="000000" w:themeColor="text1"/>
          <w:lang w:val="es-ES_tradnl"/>
        </w:rPr>
      </w:pPr>
    </w:p>
    <w:p w14:paraId="6D43D5E6" w14:textId="77777777" w:rsidR="00AC1DDB" w:rsidRDefault="00AC1DDB" w:rsidP="005C722B">
      <w:pPr>
        <w:tabs>
          <w:tab w:val="left" w:pos="0"/>
          <w:tab w:val="left" w:pos="142"/>
          <w:tab w:val="left" w:pos="284"/>
        </w:tabs>
        <w:spacing w:after="0" w:line="276" w:lineRule="auto"/>
        <w:ind w:firstLine="709"/>
        <w:contextualSpacing/>
        <w:jc w:val="both"/>
        <w:rPr>
          <w:rFonts w:ascii="Arial" w:eastAsia="Calibri" w:hAnsi="Arial" w:cs="Arial"/>
          <w:b/>
          <w:color w:val="000000" w:themeColor="text1"/>
          <w:lang w:val="es-ES_tradnl"/>
        </w:rPr>
      </w:pPr>
    </w:p>
    <w:p w14:paraId="4D342E9D" w14:textId="77777777" w:rsidR="00AC1DDB" w:rsidRPr="005C722B" w:rsidRDefault="00AC1DDB" w:rsidP="005C722B">
      <w:pPr>
        <w:tabs>
          <w:tab w:val="left" w:pos="0"/>
          <w:tab w:val="left" w:pos="142"/>
          <w:tab w:val="left" w:pos="284"/>
        </w:tabs>
        <w:spacing w:after="0" w:line="276" w:lineRule="auto"/>
        <w:ind w:firstLine="709"/>
        <w:contextualSpacing/>
        <w:jc w:val="both"/>
        <w:rPr>
          <w:rFonts w:ascii="Arial" w:eastAsia="Calibri" w:hAnsi="Arial" w:cs="Arial"/>
          <w:b/>
          <w:color w:val="000000" w:themeColor="text1"/>
          <w:lang w:val="es-ES_tradnl"/>
        </w:rPr>
      </w:pPr>
    </w:p>
    <w:p w14:paraId="31A69400" w14:textId="77777777" w:rsidR="005C722B" w:rsidRPr="005C722B" w:rsidRDefault="005C722B" w:rsidP="005C722B">
      <w:pPr>
        <w:numPr>
          <w:ilvl w:val="0"/>
          <w:numId w:val="4"/>
        </w:numPr>
        <w:tabs>
          <w:tab w:val="left" w:pos="0"/>
          <w:tab w:val="left" w:pos="142"/>
          <w:tab w:val="left" w:pos="284"/>
        </w:tabs>
        <w:spacing w:after="0" w:line="276" w:lineRule="auto"/>
        <w:ind w:left="0" w:firstLine="0"/>
        <w:contextualSpacing/>
        <w:jc w:val="both"/>
        <w:rPr>
          <w:rFonts w:ascii="Arial" w:eastAsia="Calibri" w:hAnsi="Arial" w:cs="Arial"/>
          <w:b/>
          <w:color w:val="000000" w:themeColor="text1"/>
          <w:lang w:val="es-ES_tradnl"/>
        </w:rPr>
      </w:pPr>
      <w:r w:rsidRPr="005C722B">
        <w:rPr>
          <w:rFonts w:ascii="Arial" w:eastAsia="Calibri" w:hAnsi="Arial" w:cs="Arial"/>
          <w:b/>
          <w:color w:val="000000" w:themeColor="text1"/>
          <w:lang w:val="es-ES_tradnl"/>
        </w:rPr>
        <w:t xml:space="preserve">Problema planteado </w:t>
      </w:r>
    </w:p>
    <w:p w14:paraId="5E888736" w14:textId="77777777" w:rsidR="005C722B" w:rsidRPr="005C722B" w:rsidRDefault="005C722B" w:rsidP="005C722B">
      <w:pPr>
        <w:tabs>
          <w:tab w:val="left" w:pos="426"/>
        </w:tabs>
        <w:spacing w:after="0" w:line="276" w:lineRule="auto"/>
        <w:contextualSpacing/>
        <w:jc w:val="both"/>
        <w:rPr>
          <w:rFonts w:ascii="Arial" w:eastAsia="Calibri" w:hAnsi="Arial" w:cs="Arial"/>
          <w:b/>
          <w:color w:val="000000" w:themeColor="text1"/>
          <w:szCs w:val="24"/>
          <w:lang w:val="es-ES_tradnl" w:eastAsia="es-ES_tradnl"/>
        </w:rPr>
      </w:pPr>
    </w:p>
    <w:p w14:paraId="36B7F9D6" w14:textId="77777777" w:rsidR="005C722B" w:rsidRPr="005C722B" w:rsidRDefault="005C722B" w:rsidP="005C722B">
      <w:pPr>
        <w:spacing w:after="0" w:line="276" w:lineRule="auto"/>
        <w:jc w:val="both"/>
        <w:rPr>
          <w:rFonts w:ascii="Arial" w:eastAsia="Times New Roman" w:hAnsi="Arial" w:cs="Arial"/>
          <w:color w:val="000000" w:themeColor="text1"/>
          <w:szCs w:val="24"/>
          <w:lang w:val="es-ES_tradnl" w:eastAsia="es-ES_tradnl"/>
        </w:rPr>
      </w:pPr>
      <w:r w:rsidRPr="005C722B">
        <w:rPr>
          <w:rFonts w:ascii="Arial" w:eastAsia="Times New Roman" w:hAnsi="Arial" w:cs="Arial"/>
          <w:color w:val="1A1A1A" w:themeColor="background1" w:themeShade="1A"/>
          <w:lang w:val="es-ES_tradnl" w:eastAsia="es-ES_tradnl"/>
        </w:rPr>
        <w:t>Usted formula la siguiente consulta respecto de los «nuevos pliegos tipo» y el «puntaje de emprendimiento de mujeres» como usted señala en su petición:</w:t>
      </w:r>
      <w:r w:rsidRPr="005C722B">
        <w:rPr>
          <w:rFonts w:ascii="Arial" w:eastAsia="Times New Roman" w:hAnsi="Arial" w:cs="Arial"/>
          <w:color w:val="000000" w:themeColor="text1"/>
          <w:szCs w:val="24"/>
          <w:lang w:val="es-ES_tradnl" w:eastAsia="es-ES_tradnl"/>
        </w:rPr>
        <w:t xml:space="preserve"> </w:t>
      </w:r>
    </w:p>
    <w:p w14:paraId="4AF84AB4" w14:textId="77777777" w:rsidR="005C722B" w:rsidRPr="005C722B" w:rsidRDefault="005C722B" w:rsidP="005C722B">
      <w:pPr>
        <w:autoSpaceDE w:val="0"/>
        <w:autoSpaceDN w:val="0"/>
        <w:adjustRightInd w:val="0"/>
        <w:spacing w:after="0" w:line="240" w:lineRule="auto"/>
        <w:ind w:left="709" w:right="709"/>
        <w:jc w:val="both"/>
        <w:rPr>
          <w:rFonts w:ascii="Arial" w:hAnsi="Arial" w:cs="Arial"/>
          <w:color w:val="000000" w:themeColor="text1"/>
          <w:sz w:val="21"/>
          <w:szCs w:val="21"/>
        </w:rPr>
      </w:pPr>
      <w:bookmarkStart w:id="3" w:name="_Hlk79503570"/>
      <w:bookmarkStart w:id="4" w:name="_Hlk79651438"/>
    </w:p>
    <w:p w14:paraId="3256AB91" w14:textId="77777777" w:rsidR="005C722B" w:rsidRPr="005C722B" w:rsidRDefault="005C722B" w:rsidP="005C722B">
      <w:pPr>
        <w:autoSpaceDE w:val="0"/>
        <w:autoSpaceDN w:val="0"/>
        <w:adjustRightInd w:val="0"/>
        <w:spacing w:after="0" w:line="240" w:lineRule="auto"/>
        <w:ind w:left="709" w:right="709"/>
        <w:contextualSpacing/>
        <w:jc w:val="both"/>
        <w:rPr>
          <w:rFonts w:ascii="Arial" w:hAnsi="Arial" w:cs="Arial"/>
          <w:color w:val="000000" w:themeColor="text1"/>
          <w:sz w:val="21"/>
          <w:szCs w:val="21"/>
        </w:rPr>
      </w:pPr>
      <w:r w:rsidRPr="005C722B">
        <w:rPr>
          <w:rFonts w:ascii="Arial" w:hAnsi="Arial" w:cs="Arial"/>
          <w:color w:val="000000" w:themeColor="text1"/>
          <w:sz w:val="21"/>
          <w:szCs w:val="21"/>
        </w:rPr>
        <w:t xml:space="preserve">«[…] </w:t>
      </w:r>
      <w:bookmarkEnd w:id="3"/>
      <w:bookmarkEnd w:id="4"/>
    </w:p>
    <w:p w14:paraId="42009ACA" w14:textId="77777777" w:rsidR="005C722B" w:rsidRPr="005C722B" w:rsidRDefault="005C722B" w:rsidP="005C722B">
      <w:pPr>
        <w:autoSpaceDE w:val="0"/>
        <w:autoSpaceDN w:val="0"/>
        <w:adjustRightInd w:val="0"/>
        <w:spacing w:after="0" w:line="240" w:lineRule="auto"/>
        <w:ind w:left="709" w:right="709"/>
        <w:contextualSpacing/>
        <w:jc w:val="both"/>
        <w:rPr>
          <w:rFonts w:ascii="Arial" w:hAnsi="Arial" w:cs="Arial"/>
          <w:color w:val="000000" w:themeColor="text1"/>
          <w:sz w:val="21"/>
          <w:szCs w:val="21"/>
        </w:rPr>
      </w:pPr>
      <w:r w:rsidRPr="005C722B">
        <w:rPr>
          <w:rFonts w:ascii="Arial" w:hAnsi="Arial" w:cs="Arial"/>
          <w:color w:val="000000" w:themeColor="text1"/>
          <w:sz w:val="21"/>
          <w:szCs w:val="21"/>
        </w:rPr>
        <w:t xml:space="preserve">- Porque dicen que si se </w:t>
      </w:r>
      <w:proofErr w:type="gramStart"/>
      <w:r w:rsidRPr="005C722B">
        <w:rPr>
          <w:rFonts w:ascii="Arial" w:hAnsi="Arial" w:cs="Arial"/>
          <w:color w:val="000000" w:themeColor="text1"/>
          <w:sz w:val="21"/>
          <w:szCs w:val="21"/>
        </w:rPr>
        <w:t>va</w:t>
      </w:r>
      <w:proofErr w:type="gramEnd"/>
      <w:r w:rsidRPr="005C722B">
        <w:rPr>
          <w:rFonts w:ascii="Arial" w:hAnsi="Arial" w:cs="Arial"/>
          <w:color w:val="000000" w:themeColor="text1"/>
          <w:sz w:val="21"/>
          <w:szCs w:val="21"/>
        </w:rPr>
        <w:t xml:space="preserve"> acreditar (sic) experiencia en los pliegos de la mujer emprendedora o mipyme se pueden agregar más contratos a la experiencia específica.</w:t>
      </w:r>
    </w:p>
    <w:p w14:paraId="2C3F0B4E" w14:textId="77777777" w:rsidR="005C722B" w:rsidRPr="005C722B" w:rsidRDefault="005C722B" w:rsidP="005C722B">
      <w:pPr>
        <w:autoSpaceDE w:val="0"/>
        <w:autoSpaceDN w:val="0"/>
        <w:adjustRightInd w:val="0"/>
        <w:spacing w:after="0" w:line="240" w:lineRule="auto"/>
        <w:ind w:left="709" w:right="709"/>
        <w:contextualSpacing/>
        <w:jc w:val="both"/>
        <w:rPr>
          <w:rFonts w:ascii="Arial" w:hAnsi="Arial" w:cs="Arial"/>
          <w:color w:val="000000" w:themeColor="text1"/>
          <w:sz w:val="21"/>
          <w:szCs w:val="21"/>
        </w:rPr>
      </w:pPr>
      <w:r w:rsidRPr="005C722B">
        <w:rPr>
          <w:rFonts w:ascii="Arial" w:hAnsi="Arial" w:cs="Arial"/>
          <w:color w:val="000000" w:themeColor="text1"/>
          <w:sz w:val="21"/>
          <w:szCs w:val="21"/>
        </w:rPr>
        <w:t>- Que (sic) puedo hacer yo como mujer persona natural para acceder a ese puntaje si, según el artículo 23 del código del comercio las actividades de ingeniería civil están exentas de tener registro mercantil.</w:t>
      </w:r>
    </w:p>
    <w:p w14:paraId="09A17399" w14:textId="77777777" w:rsidR="005C722B" w:rsidRPr="005C722B" w:rsidRDefault="005C722B" w:rsidP="005C722B">
      <w:pPr>
        <w:autoSpaceDE w:val="0"/>
        <w:autoSpaceDN w:val="0"/>
        <w:adjustRightInd w:val="0"/>
        <w:spacing w:after="0" w:line="240" w:lineRule="auto"/>
        <w:ind w:left="709" w:right="709"/>
        <w:contextualSpacing/>
        <w:jc w:val="both"/>
        <w:rPr>
          <w:rFonts w:ascii="Arial" w:hAnsi="Arial" w:cs="Arial"/>
          <w:color w:val="000000" w:themeColor="text1"/>
          <w:sz w:val="21"/>
          <w:szCs w:val="21"/>
        </w:rPr>
      </w:pPr>
      <w:r w:rsidRPr="005C722B">
        <w:rPr>
          <w:rFonts w:ascii="Arial" w:hAnsi="Arial" w:cs="Arial"/>
          <w:color w:val="000000" w:themeColor="text1"/>
          <w:sz w:val="21"/>
          <w:szCs w:val="21"/>
        </w:rPr>
        <w:t xml:space="preserve">- Se puede consorciar un proponente con una mujer que sea persona natural que no tenga </w:t>
      </w:r>
      <w:proofErr w:type="spellStart"/>
      <w:r w:rsidRPr="005C722B">
        <w:rPr>
          <w:rFonts w:ascii="Arial" w:hAnsi="Arial" w:cs="Arial"/>
          <w:color w:val="000000" w:themeColor="text1"/>
          <w:sz w:val="21"/>
          <w:szCs w:val="21"/>
        </w:rPr>
        <w:t>rup</w:t>
      </w:r>
      <w:proofErr w:type="spellEnd"/>
      <w:r w:rsidRPr="005C722B">
        <w:rPr>
          <w:rFonts w:ascii="Arial" w:hAnsi="Arial" w:cs="Arial"/>
          <w:color w:val="000000" w:themeColor="text1"/>
          <w:sz w:val="21"/>
          <w:szCs w:val="21"/>
        </w:rPr>
        <w:t xml:space="preserve"> pero si registro mercantil (sic)?</w:t>
      </w:r>
    </w:p>
    <w:p w14:paraId="11DC7A45" w14:textId="77777777" w:rsidR="005C722B" w:rsidRPr="005C722B" w:rsidRDefault="005C722B" w:rsidP="005C722B">
      <w:pPr>
        <w:autoSpaceDE w:val="0"/>
        <w:autoSpaceDN w:val="0"/>
        <w:adjustRightInd w:val="0"/>
        <w:spacing w:after="0" w:line="240" w:lineRule="auto"/>
        <w:ind w:left="709" w:right="709"/>
        <w:contextualSpacing/>
        <w:jc w:val="both"/>
        <w:rPr>
          <w:rFonts w:ascii="Arial" w:hAnsi="Arial" w:cs="Arial"/>
          <w:color w:val="000000" w:themeColor="text1"/>
          <w:sz w:val="21"/>
          <w:szCs w:val="21"/>
        </w:rPr>
      </w:pPr>
      <w:r w:rsidRPr="005C722B">
        <w:rPr>
          <w:rFonts w:ascii="Arial" w:hAnsi="Arial" w:cs="Arial"/>
          <w:color w:val="000000" w:themeColor="text1"/>
          <w:sz w:val="21"/>
          <w:szCs w:val="21"/>
        </w:rPr>
        <w:t>- Si tienen las diferentes entidades la correcta capacitación en estos nuevos pliegos para aplicarlos de manera correcta? (sic)».</w:t>
      </w:r>
    </w:p>
    <w:p w14:paraId="524B59B2" w14:textId="77777777" w:rsidR="005C722B" w:rsidRPr="005C722B" w:rsidRDefault="005C722B" w:rsidP="005C722B">
      <w:pPr>
        <w:spacing w:after="0" w:line="240" w:lineRule="auto"/>
        <w:ind w:right="709"/>
        <w:jc w:val="both"/>
        <w:rPr>
          <w:rFonts w:ascii="Arial" w:eastAsia="Times New Roman" w:hAnsi="Arial" w:cs="Arial"/>
          <w:color w:val="000000" w:themeColor="text1"/>
          <w:sz w:val="21"/>
          <w:szCs w:val="21"/>
          <w:lang w:val="es-ES_tradnl" w:eastAsia="es-ES_tradnl"/>
        </w:rPr>
      </w:pPr>
    </w:p>
    <w:p w14:paraId="2FBCD715" w14:textId="77777777" w:rsidR="005C722B" w:rsidRPr="005C722B" w:rsidRDefault="005C722B" w:rsidP="005C722B">
      <w:pPr>
        <w:numPr>
          <w:ilvl w:val="0"/>
          <w:numId w:val="4"/>
        </w:numPr>
        <w:tabs>
          <w:tab w:val="left" w:pos="0"/>
          <w:tab w:val="left" w:pos="284"/>
        </w:tabs>
        <w:spacing w:after="0" w:line="240" w:lineRule="auto"/>
        <w:ind w:left="0" w:firstLine="0"/>
        <w:contextualSpacing/>
        <w:jc w:val="both"/>
        <w:rPr>
          <w:rFonts w:ascii="Arial" w:eastAsia="Calibri" w:hAnsi="Arial" w:cs="Arial"/>
          <w:b/>
          <w:color w:val="000000" w:themeColor="text1"/>
          <w:lang w:val="es-ES_tradnl"/>
        </w:rPr>
      </w:pPr>
      <w:r w:rsidRPr="005C722B">
        <w:rPr>
          <w:rFonts w:ascii="Arial" w:eastAsia="Calibri" w:hAnsi="Arial" w:cs="Arial"/>
          <w:b/>
          <w:color w:val="000000" w:themeColor="text1"/>
          <w:lang w:val="es-ES_tradnl"/>
        </w:rPr>
        <w:t>Consideraciones</w:t>
      </w:r>
    </w:p>
    <w:p w14:paraId="7A941D29" w14:textId="77777777" w:rsidR="005C722B" w:rsidRPr="005C722B" w:rsidRDefault="005C722B" w:rsidP="005C722B">
      <w:pPr>
        <w:tabs>
          <w:tab w:val="left" w:pos="0"/>
          <w:tab w:val="left" w:pos="284"/>
        </w:tabs>
        <w:spacing w:after="0" w:line="276" w:lineRule="auto"/>
        <w:contextualSpacing/>
        <w:jc w:val="both"/>
        <w:rPr>
          <w:rFonts w:ascii="Arial" w:eastAsia="Calibri" w:hAnsi="Arial" w:cs="Arial"/>
          <w:b/>
          <w:color w:val="000000" w:themeColor="text1"/>
          <w:lang w:val="es-ES_tradnl"/>
        </w:rPr>
      </w:pPr>
    </w:p>
    <w:p w14:paraId="1F2FBA9D" w14:textId="77777777" w:rsidR="005C722B" w:rsidRPr="005C722B" w:rsidRDefault="005C722B" w:rsidP="00FF57D2">
      <w:pPr>
        <w:tabs>
          <w:tab w:val="left" w:pos="0"/>
          <w:tab w:val="left" w:pos="284"/>
        </w:tabs>
        <w:snapToGrid w:val="0"/>
        <w:spacing w:after="120" w:line="276" w:lineRule="auto"/>
        <w:ind w:firstLine="284"/>
        <w:jc w:val="both"/>
        <w:rPr>
          <w:rFonts w:ascii="Arial" w:eastAsia="Calibri" w:hAnsi="Arial" w:cs="Arial"/>
          <w:color w:val="000000"/>
          <w:lang w:val="es-ES_tradnl" w:eastAsia="es-ES_tradnl"/>
        </w:rPr>
      </w:pPr>
      <w:r w:rsidRPr="005C722B">
        <w:rPr>
          <w:rFonts w:ascii="Arial" w:eastAsia="Calibri" w:hAnsi="Arial" w:cs="Arial"/>
          <w:color w:val="000000"/>
          <w:lang w:val="es-ES_tradnl" w:eastAsia="es-ES_tradnl"/>
        </w:rPr>
        <w:t>En ejercicio de las competencias establecidas en los artículos 3.5 y 11.8 del Decreto 4170 de 2011, la Agencia Nacional de Contratación Pública – Colombia Compra Eficiente resuelve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específicos de todos los partícipes de la contratación estatal.</w:t>
      </w:r>
    </w:p>
    <w:p w14:paraId="0516D14F" w14:textId="77777777" w:rsidR="005C722B" w:rsidRPr="005C722B" w:rsidRDefault="005C722B" w:rsidP="00FF57D2">
      <w:pPr>
        <w:spacing w:after="120" w:line="276" w:lineRule="auto"/>
        <w:ind w:firstLine="284"/>
        <w:jc w:val="both"/>
        <w:rPr>
          <w:rFonts w:ascii="Arial" w:eastAsia="Calibri" w:hAnsi="Arial" w:cs="Arial"/>
          <w:color w:val="000000" w:themeColor="text1"/>
          <w:lang w:val="es-ES" w:eastAsia="es-ES_tradnl"/>
        </w:rPr>
      </w:pPr>
      <w:r w:rsidRPr="005C722B">
        <w:rPr>
          <w:rFonts w:ascii="Arial" w:eastAsia="Calibri" w:hAnsi="Arial" w:cs="Arial"/>
          <w:color w:val="000000"/>
          <w:lang w:val="es-ES_tradnl" w:eastAsia="es-ES_tradnl"/>
        </w:rPr>
        <w:t xml:space="preserve">En atención a lo anterior, la Subdirección de Gestión Contractual –dentro de los límites de sus atribuciones– resolverá la consulta conforme a las normas generales en materia de contratación estatal. </w:t>
      </w:r>
      <w:r w:rsidRPr="005C722B">
        <w:rPr>
          <w:rFonts w:ascii="Arial" w:eastAsia="Calibri" w:hAnsi="Arial" w:cs="Arial"/>
          <w:color w:val="000000" w:themeColor="text1"/>
          <w:lang w:val="es-ES" w:eastAsia="es-ES_tradnl"/>
        </w:rPr>
        <w:t xml:space="preserve">Con este objetivo, en desarrollo del presente concepto, se analizarán los siguientes temas: i) vigencia y reglamentación de los criterios diferenciales de la Ley 2069 de 2020; </w:t>
      </w:r>
      <w:proofErr w:type="spellStart"/>
      <w:r w:rsidRPr="005C722B">
        <w:rPr>
          <w:rFonts w:ascii="Arial" w:eastAsia="Calibri" w:hAnsi="Arial" w:cs="Arial"/>
          <w:color w:val="000000" w:themeColor="text1"/>
          <w:lang w:val="es-ES" w:eastAsia="es-ES_tradnl"/>
        </w:rPr>
        <w:t>ii</w:t>
      </w:r>
      <w:proofErr w:type="spellEnd"/>
      <w:r w:rsidRPr="005C722B">
        <w:rPr>
          <w:rFonts w:ascii="Arial" w:eastAsia="Calibri" w:hAnsi="Arial" w:cs="Arial"/>
          <w:color w:val="000000" w:themeColor="text1"/>
          <w:lang w:val="es-ES" w:eastAsia="es-ES_tradnl"/>
        </w:rPr>
        <w:t xml:space="preserve">) definición de emprendimientos y empresas de mujeres en el Decreto 1860 de 2021; y </w:t>
      </w:r>
      <w:proofErr w:type="spellStart"/>
      <w:r w:rsidRPr="005C722B">
        <w:rPr>
          <w:rFonts w:ascii="Arial" w:eastAsia="Calibri" w:hAnsi="Arial" w:cs="Arial"/>
          <w:color w:val="000000" w:themeColor="text1"/>
          <w:lang w:val="es-ES" w:eastAsia="es-ES_tradnl"/>
        </w:rPr>
        <w:t>iii</w:t>
      </w:r>
      <w:proofErr w:type="spellEnd"/>
      <w:r w:rsidRPr="005C722B">
        <w:rPr>
          <w:rFonts w:ascii="Arial" w:eastAsia="Calibri" w:hAnsi="Arial" w:cs="Arial"/>
          <w:color w:val="000000" w:themeColor="text1"/>
          <w:lang w:val="es-ES" w:eastAsia="es-ES_tradnl"/>
        </w:rPr>
        <w:t xml:space="preserve">) requisitos habilitantes diferenciales para emprendimientos y empresas de mujeres y MiPymes en el Decreto 1860 de 2021, y su inclusión en los documentos tipo. </w:t>
      </w:r>
    </w:p>
    <w:p w14:paraId="576886FC" w14:textId="77777777" w:rsidR="005C722B" w:rsidRPr="005C722B" w:rsidRDefault="005C722B" w:rsidP="00FF57D2">
      <w:pPr>
        <w:spacing w:after="120" w:line="276" w:lineRule="auto"/>
        <w:ind w:firstLine="284"/>
        <w:jc w:val="both"/>
        <w:rPr>
          <w:rFonts w:ascii="Arial" w:eastAsia="Calibri" w:hAnsi="Arial" w:cs="Arial"/>
          <w:color w:val="000000" w:themeColor="text1"/>
          <w:lang w:val="es-ES" w:eastAsia="es-ES_tradnl"/>
        </w:rPr>
      </w:pPr>
      <w:r w:rsidRPr="005C722B">
        <w:rPr>
          <w:rFonts w:ascii="Arial" w:eastAsia="Calibri" w:hAnsi="Arial" w:cs="Arial"/>
          <w:color w:val="000000" w:themeColor="text1"/>
          <w:lang w:val="es-ES" w:eastAsia="es-ES_tradnl"/>
        </w:rPr>
        <w:t>La Agencia Nacional de Contratación Pública – Colombia Compra Eficiente se ha pronunciado, en términos generales, sobre el contenido de la Ley de Emprendimiento en diferentes conceptos</w:t>
      </w:r>
      <w:r w:rsidRPr="005C722B">
        <w:rPr>
          <w:rFonts w:ascii="Arial" w:eastAsia="Calibri" w:hAnsi="Arial" w:cs="Arial"/>
          <w:color w:val="000000" w:themeColor="text1"/>
          <w:vertAlign w:val="superscript"/>
          <w:lang w:val="es-ES" w:eastAsia="es-ES_tradnl"/>
        </w:rPr>
        <w:footnoteReference w:id="2"/>
      </w:r>
      <w:r w:rsidRPr="005C722B">
        <w:rPr>
          <w:rFonts w:ascii="Arial" w:eastAsia="Calibri" w:hAnsi="Arial" w:cs="Arial"/>
          <w:color w:val="000000" w:themeColor="text1"/>
          <w:lang w:val="es-ES" w:eastAsia="es-ES_tradnl"/>
        </w:rPr>
        <w:t xml:space="preserve">, refiriéndose, especialmente, a lo dispuesto en el artículo 32 de la precitada ley, alusivo a los criterios diferenciales para emprendimientos y empresas de mujeres, y su decreto reglamentario, en los conceptos </w:t>
      </w:r>
      <w:r w:rsidRPr="005C722B">
        <w:rPr>
          <w:rFonts w:ascii="Arial" w:eastAsia="Times New Roman" w:hAnsi="Arial" w:cs="Arial"/>
          <w:color w:val="000000" w:themeColor="text1"/>
          <w:shd w:val="clear" w:color="auto" w:fill="FFFFFF"/>
          <w:lang w:eastAsia="es-ES_tradnl"/>
        </w:rPr>
        <w:t xml:space="preserve">C-029 del 21 de febrero de 2021, C-037 del 26 de febrero de 2021, C-141 del 8 </w:t>
      </w:r>
      <w:r w:rsidRPr="005C722B">
        <w:rPr>
          <w:rFonts w:ascii="Arial" w:eastAsia="Times New Roman" w:hAnsi="Arial" w:cs="Arial"/>
          <w:color w:val="000000" w:themeColor="text1"/>
          <w:shd w:val="clear" w:color="auto" w:fill="FFFFFF"/>
          <w:lang w:eastAsia="es-ES_tradnl"/>
        </w:rPr>
        <w:lastRenderedPageBreak/>
        <w:t xml:space="preserve">de abril de 2021, C-114 del 13 de abril de 2021, C-031 del 1 de marzo de 2022, </w:t>
      </w:r>
      <w:r w:rsidRPr="005C722B">
        <w:rPr>
          <w:rFonts w:ascii="Arial" w:eastAsia="Times New Roman" w:hAnsi="Arial" w:cs="Arial"/>
          <w:shd w:val="clear" w:color="auto" w:fill="FFFFFF"/>
          <w:lang w:eastAsia="es-ES_tradnl"/>
        </w:rPr>
        <w:t xml:space="preserve">C-213 del 21 de abril de 2022, C-217 del 21 de abril de 2022, C-281 del 12 de mayo de 2022, C-322 del 20 de mayo de 2022, C-323 del 17 de junio de 2022, C-326 del 18 de mayo de 2022, C-398 del 15 de junio de 2022, C-399 del 21 de junio de 2022, C-421 del 6 de julio de 2022, C-429 del 18 de julio de 2022, C-438 del 11 de julio de 2022, C-454 del 13 de julio de 2022, C-476 del 21 de junio de 2022, C-479 del 26 de julio de 2022, C-504 del 8 de agosto de 2022, C-522 del 16 de agosto de 2022, C-587 del 21 de septiembre de 2022, C- 626 del 29 de septiembre de 2022, C- 631 del 30 de septiembre de 2022, C-642 del 10 de octubre de 2022, C-676 del 24 de octubre de 2022, C-677 del 25 de octubre de 2022, C-696 de 26 de octubre de 2022, C-709 del 25 de octubre de 2022, C-715 del 4 de noviembre de 2022 y C-781 del 25 de noviembre de 2022, </w:t>
      </w:r>
      <w:r w:rsidRPr="005C722B">
        <w:rPr>
          <w:rFonts w:ascii="Arial" w:eastAsia="Times New Roman" w:hAnsi="Arial" w:cs="Arial"/>
          <w:color w:val="000000" w:themeColor="text1"/>
          <w:shd w:val="clear" w:color="auto" w:fill="FFFFFF"/>
          <w:lang w:eastAsia="es-ES_tradnl"/>
        </w:rPr>
        <w:t>entre otros.</w:t>
      </w:r>
      <w:r w:rsidRPr="005C722B">
        <w:rPr>
          <w:rFonts w:ascii="Arial" w:eastAsia="Calibri" w:hAnsi="Arial" w:cs="Arial"/>
          <w:color w:val="000000" w:themeColor="text1"/>
          <w:lang w:val="es-ES" w:eastAsia="es-ES_tradnl"/>
        </w:rPr>
        <w:t xml:space="preserve"> Algunas de las consideraciones de estos conceptos se reiteran y complementan en lo pertinente a continuación.</w:t>
      </w:r>
    </w:p>
    <w:p w14:paraId="600F4FBB" w14:textId="77777777" w:rsidR="005C722B" w:rsidRPr="005C722B" w:rsidRDefault="005C722B" w:rsidP="00FF57D2">
      <w:pPr>
        <w:spacing w:after="120" w:line="276" w:lineRule="auto"/>
        <w:ind w:firstLine="284"/>
        <w:jc w:val="both"/>
        <w:textAlignment w:val="baseline"/>
        <w:rPr>
          <w:rFonts w:ascii="Arial" w:eastAsia="Calibri" w:hAnsi="Arial" w:cs="Arial"/>
          <w:color w:val="000000" w:themeColor="text1"/>
          <w:lang w:val="es-ES_tradnl" w:eastAsia="es-ES_tradnl"/>
        </w:rPr>
      </w:pPr>
    </w:p>
    <w:p w14:paraId="46729F23" w14:textId="77777777" w:rsidR="005C722B" w:rsidRPr="005C722B" w:rsidRDefault="005C722B" w:rsidP="005C722B">
      <w:pPr>
        <w:spacing w:after="0" w:line="276" w:lineRule="auto"/>
        <w:contextualSpacing/>
        <w:jc w:val="both"/>
        <w:rPr>
          <w:rFonts w:ascii="Arial" w:eastAsia="Calibri" w:hAnsi="Arial" w:cs="Arial"/>
          <w:b/>
          <w:bCs/>
          <w:color w:val="000000" w:themeColor="text1"/>
          <w:lang w:val="es-ES_tradnl" w:eastAsia="es-ES_tradnl"/>
        </w:rPr>
      </w:pPr>
      <w:r w:rsidRPr="005C722B">
        <w:rPr>
          <w:rFonts w:ascii="Arial" w:eastAsia="Calibri" w:hAnsi="Arial" w:cs="Arial"/>
          <w:b/>
          <w:bCs/>
          <w:color w:val="000000" w:themeColor="text1"/>
          <w:lang w:val="es-ES_tradnl" w:eastAsia="es-ES_tradnl"/>
        </w:rPr>
        <w:t xml:space="preserve">2.1. </w:t>
      </w:r>
      <w:bookmarkStart w:id="5" w:name="_Hlk94018153"/>
      <w:r w:rsidRPr="005C722B">
        <w:rPr>
          <w:rFonts w:ascii="Arial" w:eastAsia="Calibri" w:hAnsi="Arial" w:cs="Arial"/>
          <w:b/>
          <w:bCs/>
          <w:color w:val="000000" w:themeColor="text1"/>
          <w:lang w:val="es-ES_tradnl" w:eastAsia="es-ES_tradnl"/>
        </w:rPr>
        <w:t xml:space="preserve">Vigencia y reglamentación de los criterios diferenciales introducidos por la Ley 2069 de 2020 </w:t>
      </w:r>
      <w:bookmarkEnd w:id="5"/>
    </w:p>
    <w:p w14:paraId="364FD244" w14:textId="77777777" w:rsidR="005C722B" w:rsidRPr="005C722B" w:rsidRDefault="005C722B" w:rsidP="005C722B">
      <w:pPr>
        <w:spacing w:after="0" w:line="276" w:lineRule="auto"/>
        <w:contextualSpacing/>
        <w:jc w:val="both"/>
        <w:rPr>
          <w:rFonts w:ascii="Arial" w:eastAsia="Calibri" w:hAnsi="Arial" w:cs="Arial"/>
          <w:color w:val="000000" w:themeColor="text1"/>
          <w:lang w:val="es-ES_tradnl" w:eastAsia="es-ES_tradnl"/>
        </w:rPr>
      </w:pPr>
    </w:p>
    <w:p w14:paraId="2F42384C" w14:textId="77777777" w:rsidR="005C722B" w:rsidRPr="005C722B" w:rsidRDefault="005C722B" w:rsidP="00FF57D2">
      <w:pPr>
        <w:spacing w:after="120" w:line="276" w:lineRule="auto"/>
        <w:ind w:firstLine="709"/>
        <w:jc w:val="both"/>
        <w:rPr>
          <w:rFonts w:ascii="Arial" w:eastAsia="Calibri" w:hAnsi="Arial" w:cs="Arial"/>
          <w:color w:val="000000" w:themeColor="text1"/>
          <w:lang w:val="es-ES_tradnl" w:eastAsia="es-ES_tradnl"/>
        </w:rPr>
      </w:pPr>
      <w:r w:rsidRPr="005C722B">
        <w:rPr>
          <w:rFonts w:ascii="Arial" w:eastAsia="Calibri" w:hAnsi="Arial" w:cs="Arial"/>
          <w:color w:val="000000" w:themeColor="text1"/>
          <w:lang w:val="es-ES_tradnl" w:eastAsia="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numeral 11 del artículo 189 de la Constitución Política, expida los decretos correspondientes que permitan la cumplida ejecución de esta Ley, potestad que fue ejercida mediante la expedición del Decreto 1860 de 2021, al cual se hará referencia más adelante.</w:t>
      </w:r>
    </w:p>
    <w:p w14:paraId="1A767AED" w14:textId="77777777" w:rsidR="005C722B" w:rsidRPr="005C722B" w:rsidRDefault="005C722B" w:rsidP="005C722B">
      <w:pPr>
        <w:spacing w:after="120" w:line="276" w:lineRule="auto"/>
        <w:ind w:firstLine="709"/>
        <w:jc w:val="both"/>
        <w:rPr>
          <w:rFonts w:ascii="Arial" w:eastAsia="Calibri" w:hAnsi="Arial" w:cs="Arial"/>
          <w:color w:val="000000" w:themeColor="text1"/>
          <w:lang w:val="es-ES_tradnl" w:eastAsia="es-ES_tradnl"/>
        </w:rPr>
      </w:pPr>
      <w:r w:rsidRPr="005C722B">
        <w:rPr>
          <w:rFonts w:ascii="Arial" w:eastAsia="Calibri" w:hAnsi="Arial" w:cs="Arial"/>
          <w:color w:val="000000" w:themeColor="text1"/>
          <w:lang w:val="es-ES_tradnl" w:eastAsia="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5C722B">
        <w:rPr>
          <w:rFonts w:ascii="Arial" w:eastAsia="Calibri" w:hAnsi="Arial" w:cs="Arial"/>
          <w:color w:val="000000" w:themeColor="text1"/>
          <w:vertAlign w:val="superscript"/>
          <w:lang w:val="es-ES_tradnl" w:eastAsia="es-ES_tradnl"/>
        </w:rPr>
        <w:footnoteReference w:id="3"/>
      </w:r>
      <w:r w:rsidRPr="005C722B">
        <w:rPr>
          <w:rFonts w:ascii="Arial" w:eastAsia="Calibri" w:hAnsi="Arial" w:cs="Arial"/>
          <w:color w:val="000000" w:themeColor="text1"/>
          <w:lang w:val="es-ES_tradnl" w:eastAsia="es-ES_tradnl"/>
        </w:rPr>
        <w:t>. Esto, a partir de «[…] un enfoque regionalizado de acuerdo con las realidades socioeconómicas de cada región». En desarrollo de esta finalidad, se establecen medidas de apoyo para las micro, pequeñas y medianas empresas –</w:t>
      </w:r>
      <w:proofErr w:type="spellStart"/>
      <w:r w:rsidRPr="005C722B">
        <w:rPr>
          <w:rFonts w:ascii="Arial" w:eastAsia="Calibri" w:hAnsi="Arial" w:cs="Arial"/>
          <w:color w:val="000000" w:themeColor="text1"/>
          <w:lang w:val="es-ES_tradnl" w:eastAsia="es-ES_tradnl"/>
        </w:rPr>
        <w:t>Mipymes</w:t>
      </w:r>
      <w:proofErr w:type="spellEnd"/>
      <w:r w:rsidRPr="005C722B">
        <w:rPr>
          <w:rFonts w:ascii="Arial" w:eastAsia="Calibri" w:hAnsi="Arial" w:cs="Arial"/>
          <w:color w:val="000000" w:themeColor="text1"/>
          <w:lang w:val="es-ES_tradnl" w:eastAsia="es-ES_tradnl"/>
        </w:rPr>
        <w:t>–, mediante la racionalización y simplificación de los trámites y tarifas</w:t>
      </w:r>
      <w:r w:rsidRPr="005C722B">
        <w:rPr>
          <w:rFonts w:ascii="Arial" w:eastAsia="Calibri" w:hAnsi="Arial" w:cs="Arial"/>
          <w:color w:val="000000" w:themeColor="text1"/>
          <w:vertAlign w:val="superscript"/>
          <w:lang w:val="es-ES_tradnl" w:eastAsia="es-ES_tradnl"/>
        </w:rPr>
        <w:footnoteReference w:id="4"/>
      </w:r>
      <w:r w:rsidRPr="005C722B">
        <w:rPr>
          <w:rFonts w:ascii="Arial" w:eastAsia="Calibri" w:hAnsi="Arial" w:cs="Arial"/>
          <w:color w:val="000000" w:themeColor="text1"/>
          <w:lang w:val="es-ES_tradnl" w:eastAsia="es-ES_tradnl"/>
        </w:rPr>
        <w:t>, así como incentivos a favor de aquellas dentro del sistema de compras y contratación pública</w:t>
      </w:r>
      <w:r w:rsidRPr="005C722B">
        <w:rPr>
          <w:rFonts w:ascii="Arial" w:eastAsia="Calibri" w:hAnsi="Arial" w:cs="Arial"/>
          <w:color w:val="000000" w:themeColor="text1"/>
          <w:vertAlign w:val="superscript"/>
          <w:lang w:val="es-ES_tradnl" w:eastAsia="es-ES_tradnl"/>
        </w:rPr>
        <w:footnoteReference w:id="5"/>
      </w:r>
      <w:r w:rsidRPr="005C722B">
        <w:rPr>
          <w:rFonts w:ascii="Arial" w:eastAsia="Calibri" w:hAnsi="Arial" w:cs="Arial"/>
          <w:color w:val="000000" w:themeColor="text1"/>
          <w:lang w:val="es-ES_tradnl" w:eastAsia="es-ES_tradnl"/>
        </w:rPr>
        <w:t>. También se consagran mecanismos de acceso al financiamiento</w:t>
      </w:r>
      <w:r w:rsidRPr="005C722B">
        <w:rPr>
          <w:rFonts w:ascii="Arial" w:eastAsia="Calibri" w:hAnsi="Arial" w:cs="Arial"/>
          <w:color w:val="000000" w:themeColor="text1"/>
          <w:vertAlign w:val="superscript"/>
          <w:lang w:val="es-ES_tradnl" w:eastAsia="es-ES_tradnl"/>
        </w:rPr>
        <w:footnoteReference w:id="6"/>
      </w:r>
      <w:r w:rsidRPr="005C722B">
        <w:rPr>
          <w:rFonts w:ascii="Arial" w:eastAsia="Calibri" w:hAnsi="Arial" w:cs="Arial"/>
          <w:color w:val="000000" w:themeColor="text1"/>
          <w:lang w:val="es-ES_tradnl" w:eastAsia="es-ES_tradnl"/>
        </w:rPr>
        <w:t xml:space="preserve">, se unifican las fuentes de emprendimiento y de desarrollo empresarial, para </w:t>
      </w:r>
      <w:r w:rsidRPr="005C722B">
        <w:rPr>
          <w:rFonts w:ascii="Arial" w:eastAsia="Calibri" w:hAnsi="Arial" w:cs="Arial"/>
          <w:color w:val="000000" w:themeColor="text1"/>
          <w:lang w:val="es-ES_tradnl" w:eastAsia="es-ES_tradnl"/>
        </w:rPr>
        <w:lastRenderedPageBreak/>
        <w:t>fortalecer y promover los distintos sectores de la economía</w:t>
      </w:r>
      <w:r w:rsidRPr="005C722B">
        <w:rPr>
          <w:rFonts w:ascii="Arial" w:eastAsia="Calibri" w:hAnsi="Arial" w:cs="Arial"/>
          <w:color w:val="000000" w:themeColor="text1"/>
          <w:vertAlign w:val="superscript"/>
          <w:lang w:val="es-ES_tradnl" w:eastAsia="es-ES_tradnl"/>
        </w:rPr>
        <w:footnoteReference w:id="7"/>
      </w:r>
      <w:r w:rsidRPr="005C722B">
        <w:rPr>
          <w:rFonts w:ascii="Arial" w:eastAsia="Calibri" w:hAnsi="Arial" w:cs="Arial"/>
          <w:color w:val="000000" w:themeColor="text1"/>
          <w:lang w:val="es-ES_tradnl" w:eastAsia="es-ES_tradnl"/>
        </w:rPr>
        <w:t xml:space="preserve"> y se prevén medidas de educación para el emprendimiento y la innovación</w:t>
      </w:r>
      <w:r w:rsidRPr="005C722B">
        <w:rPr>
          <w:rFonts w:ascii="Arial" w:eastAsia="Calibri" w:hAnsi="Arial" w:cs="Arial"/>
          <w:color w:val="000000" w:themeColor="text1"/>
          <w:vertAlign w:val="superscript"/>
          <w:lang w:val="es-ES_tradnl" w:eastAsia="es-ES_tradnl"/>
        </w:rPr>
        <w:footnoteReference w:id="8"/>
      </w:r>
      <w:r w:rsidRPr="005C722B">
        <w:rPr>
          <w:rFonts w:ascii="Arial" w:eastAsia="Calibri" w:hAnsi="Arial" w:cs="Arial"/>
          <w:color w:val="000000" w:themeColor="text1"/>
          <w:lang w:val="es-ES_tradnl" w:eastAsia="es-ES_tradnl"/>
        </w:rPr>
        <w:t>.</w:t>
      </w:r>
    </w:p>
    <w:p w14:paraId="4E569C3B" w14:textId="77777777" w:rsidR="005C722B" w:rsidRPr="005C722B" w:rsidRDefault="005C722B" w:rsidP="005C722B">
      <w:pPr>
        <w:spacing w:after="120" w:line="276" w:lineRule="auto"/>
        <w:ind w:firstLine="709"/>
        <w:jc w:val="both"/>
        <w:rPr>
          <w:rFonts w:ascii="Arial" w:eastAsia="Calibri" w:hAnsi="Arial" w:cs="Arial"/>
          <w:color w:val="000000" w:themeColor="text1"/>
          <w:lang w:val="es-ES_tradnl" w:eastAsia="es-ES_tradnl"/>
        </w:rPr>
      </w:pPr>
      <w:r w:rsidRPr="005C722B">
        <w:rPr>
          <w:rFonts w:ascii="Arial" w:eastAsia="Calibri" w:hAnsi="Arial" w:cs="Arial"/>
          <w:color w:val="000000" w:themeColor="text1"/>
          <w:lang w:val="es-ES_tradnl" w:eastAsia="es-ES_tradnl"/>
        </w:rPr>
        <w:t xml:space="preserve">Como se indicó, parte de la Ley 2069 contiene normas que modifican algunos aspectos de la contratación estatal para promover el emprendimiento. Concretamente, aquellas se encuentran en el Capítulo II –artículos 30 al 36–. En su orden, tales artículos consagran: i) reglas sobre la participación de las </w:t>
      </w:r>
      <w:proofErr w:type="spellStart"/>
      <w:r w:rsidRPr="005C722B">
        <w:rPr>
          <w:rFonts w:ascii="Arial" w:eastAsia="Calibri" w:hAnsi="Arial" w:cs="Arial"/>
          <w:color w:val="000000" w:themeColor="text1"/>
          <w:lang w:val="es-ES_tradnl" w:eastAsia="es-ES_tradnl"/>
        </w:rPr>
        <w:t>Mipymes</w:t>
      </w:r>
      <w:proofErr w:type="spellEnd"/>
      <w:r w:rsidRPr="005C722B">
        <w:rPr>
          <w:rFonts w:ascii="Arial" w:eastAsia="Calibri" w:hAnsi="Arial" w:cs="Arial"/>
          <w:color w:val="000000" w:themeColor="text1"/>
          <w:lang w:val="es-ES_tradnl" w:eastAsia="es-ES_tradnl"/>
        </w:rPr>
        <w:t xml:space="preserve"> en el procedimiento de mínima cuantía, </w:t>
      </w:r>
      <w:proofErr w:type="spellStart"/>
      <w:r w:rsidRPr="005C722B">
        <w:rPr>
          <w:rFonts w:ascii="Arial" w:eastAsia="Calibri" w:hAnsi="Arial" w:cs="Arial"/>
          <w:color w:val="000000" w:themeColor="text1"/>
          <w:lang w:val="es-ES_tradnl" w:eastAsia="es-ES_tradnl"/>
        </w:rPr>
        <w:t>ii</w:t>
      </w:r>
      <w:proofErr w:type="spellEnd"/>
      <w:r w:rsidRPr="005C722B">
        <w:rPr>
          <w:rFonts w:ascii="Arial" w:eastAsia="Calibri" w:hAnsi="Arial" w:cs="Arial"/>
          <w:color w:val="000000" w:themeColor="text1"/>
          <w:lang w:val="es-ES_tradnl" w:eastAsia="es-ES_tradnl"/>
        </w:rPr>
        <w:t xml:space="preserve">) criterios diferenciales para </w:t>
      </w:r>
      <w:proofErr w:type="spellStart"/>
      <w:r w:rsidRPr="005C722B">
        <w:rPr>
          <w:rFonts w:ascii="Arial" w:eastAsia="Calibri" w:hAnsi="Arial" w:cs="Arial"/>
          <w:color w:val="000000" w:themeColor="text1"/>
          <w:lang w:val="es-ES_tradnl" w:eastAsia="es-ES_tradnl"/>
        </w:rPr>
        <w:t>Mipymes</w:t>
      </w:r>
      <w:proofErr w:type="spellEnd"/>
      <w:r w:rsidRPr="005C722B">
        <w:rPr>
          <w:rFonts w:ascii="Arial" w:eastAsia="Calibri" w:hAnsi="Arial" w:cs="Arial"/>
          <w:color w:val="000000" w:themeColor="text1"/>
          <w:lang w:val="es-ES_tradnl" w:eastAsia="es-ES_tradnl"/>
        </w:rPr>
        <w:t xml:space="preserve"> en el sistema de compras públicas, </w:t>
      </w:r>
      <w:proofErr w:type="spellStart"/>
      <w:r w:rsidRPr="005C722B">
        <w:rPr>
          <w:rFonts w:ascii="Arial" w:eastAsia="Calibri" w:hAnsi="Arial" w:cs="Arial"/>
          <w:color w:val="000000" w:themeColor="text1"/>
          <w:lang w:val="es-ES_tradnl" w:eastAsia="es-ES_tradnl"/>
        </w:rPr>
        <w:t>iii</w:t>
      </w:r>
      <w:proofErr w:type="spellEnd"/>
      <w:r w:rsidRPr="005C722B">
        <w:rPr>
          <w:rFonts w:ascii="Arial" w:eastAsia="Calibri" w:hAnsi="Arial" w:cs="Arial"/>
          <w:color w:val="000000" w:themeColor="text1"/>
          <w:lang w:val="es-ES_tradnl" w:eastAsia="es-ES_tradnl"/>
        </w:rPr>
        <w:t xml:space="preserve">) criterios diferenciales para emprendimientos y empresas de mujeres en el sistema de compras públicas, </w:t>
      </w:r>
      <w:proofErr w:type="spellStart"/>
      <w:r w:rsidRPr="005C722B">
        <w:rPr>
          <w:rFonts w:ascii="Arial" w:eastAsia="Calibri" w:hAnsi="Arial" w:cs="Arial"/>
          <w:color w:val="000000" w:themeColor="text1"/>
          <w:lang w:val="es-ES_tradnl" w:eastAsia="es-ES_tradnl"/>
        </w:rPr>
        <w:t>iv</w:t>
      </w:r>
      <w:proofErr w:type="spellEnd"/>
      <w:r w:rsidRPr="005C722B">
        <w:rPr>
          <w:rFonts w:ascii="Arial" w:eastAsia="Calibri" w:hAnsi="Arial" w:cs="Arial"/>
          <w:color w:val="000000" w:themeColor="text1"/>
          <w:lang w:val="es-ES_tradnl" w:eastAsia="es-ES_tradnl"/>
        </w:rPr>
        <w:t xml:space="preserve">) promoción del acceso de las </w:t>
      </w:r>
      <w:proofErr w:type="spellStart"/>
      <w:r w:rsidRPr="005C722B">
        <w:rPr>
          <w:rFonts w:ascii="Arial" w:eastAsia="Calibri" w:hAnsi="Arial" w:cs="Arial"/>
          <w:color w:val="000000" w:themeColor="text1"/>
          <w:lang w:val="es-ES_tradnl" w:eastAsia="es-ES_tradnl"/>
        </w:rPr>
        <w:t>Mipymes</w:t>
      </w:r>
      <w:proofErr w:type="spellEnd"/>
      <w:r w:rsidRPr="005C722B">
        <w:rPr>
          <w:rFonts w:ascii="Arial" w:eastAsia="Calibri" w:hAnsi="Arial" w:cs="Arial"/>
          <w:color w:val="000000" w:themeColor="text1"/>
          <w:lang w:val="es-ES_tradnl" w:eastAsia="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r w:rsidRPr="005C722B">
        <w:rPr>
          <w:rFonts w:ascii="Arial" w:eastAsia="Calibri" w:hAnsi="Arial" w:cs="Arial"/>
          <w:color w:val="000000" w:themeColor="text1"/>
          <w:vertAlign w:val="superscript"/>
          <w:lang w:val="es-ES_tradnl" w:eastAsia="es-ES_tradnl"/>
        </w:rPr>
        <w:footnoteReference w:id="9"/>
      </w:r>
      <w:r w:rsidRPr="005C722B">
        <w:rPr>
          <w:rFonts w:ascii="Arial" w:eastAsia="Calibri" w:hAnsi="Arial" w:cs="Arial"/>
          <w:color w:val="000000" w:themeColor="text1"/>
          <w:lang w:val="es-ES_tradnl" w:eastAsia="es-ES_tradnl"/>
        </w:rPr>
        <w:t xml:space="preserve">. </w:t>
      </w:r>
    </w:p>
    <w:p w14:paraId="6BB45DDF" w14:textId="77777777" w:rsidR="005C722B" w:rsidRPr="005C722B" w:rsidRDefault="005C722B" w:rsidP="005C722B">
      <w:pPr>
        <w:tabs>
          <w:tab w:val="left" w:pos="709"/>
        </w:tabs>
        <w:spacing w:after="120" w:line="276" w:lineRule="auto"/>
        <w:ind w:firstLine="709"/>
        <w:jc w:val="both"/>
        <w:rPr>
          <w:rFonts w:ascii="Arial" w:eastAsia="Calibri" w:hAnsi="Arial" w:cs="Arial"/>
          <w:bCs/>
          <w:color w:val="000000" w:themeColor="text1"/>
          <w:lang w:eastAsia="es-ES_tradnl"/>
        </w:rPr>
      </w:pPr>
      <w:r w:rsidRPr="005C722B">
        <w:rPr>
          <w:rFonts w:ascii="Arial" w:eastAsia="Calibri" w:hAnsi="Arial" w:cs="Arial"/>
          <w:bCs/>
          <w:color w:val="000000" w:themeColor="text1"/>
          <w:lang w:eastAsia="es-ES_tradnl"/>
        </w:rPr>
        <w:t xml:space="preserve">Dentro del referido capítulo se encuentran </w:t>
      </w:r>
      <w:bookmarkStart w:id="7" w:name="_Hlk63848566"/>
      <w:r w:rsidRPr="005C722B">
        <w:rPr>
          <w:rFonts w:ascii="Arial" w:eastAsia="Calibri" w:hAnsi="Arial" w:cs="Arial"/>
          <w:bCs/>
          <w:color w:val="000000" w:themeColor="text1"/>
          <w:lang w:eastAsia="es-ES_tradnl"/>
        </w:rPr>
        <w:t>los artículos 31 y 32 de la Ley 2069 de 2020</w:t>
      </w:r>
      <w:bookmarkEnd w:id="7"/>
      <w:r w:rsidRPr="005C722B">
        <w:rPr>
          <w:rFonts w:ascii="Arial" w:eastAsia="Calibri" w:hAnsi="Arial" w:cs="Arial"/>
          <w:bCs/>
          <w:color w:val="000000" w:themeColor="text1"/>
          <w:lang w:eastAsia="es-ES_tradnl"/>
        </w:rPr>
        <w:t xml:space="preserve">, los cuales crean una serie de incentivos para las personas interesadas en celebrar contratos con el Estado. </w:t>
      </w:r>
      <w:r w:rsidRPr="005C722B">
        <w:rPr>
          <w:rFonts w:ascii="Arial" w:eastAsia="Calibri" w:hAnsi="Arial" w:cs="Arial"/>
          <w:bCs/>
          <w:color w:val="000000" w:themeColor="text1"/>
          <w:lang w:val="es-ES_tradnl" w:eastAsia="es-ES_tradnl"/>
        </w:rPr>
        <w:t xml:space="preserve">Por un lado, el artículo 31 </w:t>
      </w:r>
      <w:r w:rsidRPr="005C722B">
        <w:rPr>
          <w:rFonts w:ascii="Arial" w:eastAsia="Calibri" w:hAnsi="Arial" w:cs="Arial"/>
          <w:bCs/>
          <w:color w:val="000000" w:themeColor="text1"/>
          <w:lang w:eastAsia="es-ES_tradnl"/>
        </w:rPr>
        <w:t xml:space="preserve">introduce criterios diferenciales para el acceso de las </w:t>
      </w:r>
      <w:proofErr w:type="spellStart"/>
      <w:r w:rsidRPr="005C722B">
        <w:rPr>
          <w:rFonts w:ascii="Arial" w:eastAsia="Calibri" w:hAnsi="Arial" w:cs="Arial"/>
          <w:bCs/>
          <w:color w:val="000000" w:themeColor="text1"/>
          <w:lang w:eastAsia="es-ES_tradnl"/>
        </w:rPr>
        <w:t>Mipymes</w:t>
      </w:r>
      <w:proofErr w:type="spellEnd"/>
      <w:r w:rsidRPr="005C722B">
        <w:rPr>
          <w:rFonts w:ascii="Arial" w:eastAsia="Calibri" w:hAnsi="Arial" w:cs="Arial"/>
          <w:bCs/>
          <w:color w:val="000000" w:themeColor="text1"/>
          <w:lang w:eastAsia="es-ES_tradnl"/>
        </w:rPr>
        <w:t xml:space="preserve"> al sistema de compras y contratación pública, estableciendo que «Las Entidades Estatales de acuerdo con el análisis de Sector </w:t>
      </w:r>
      <w:bookmarkStart w:id="8" w:name="_Hlk63767562"/>
      <w:r w:rsidRPr="005C722B">
        <w:rPr>
          <w:rFonts w:ascii="Arial" w:eastAsia="Calibri" w:hAnsi="Arial" w:cs="Arial"/>
          <w:bCs/>
          <w:color w:val="000000" w:themeColor="text1"/>
          <w:lang w:eastAsia="es-ES_tradnl"/>
        </w:rPr>
        <w:t>podrán incluir, en los Documentos del Proceso, requisitos diferenciales y puntajes adicionales</w:t>
      </w:r>
      <w:bookmarkEnd w:id="8"/>
      <w:r w:rsidRPr="005C722B">
        <w:rPr>
          <w:rFonts w:ascii="Arial" w:eastAsia="Calibri" w:hAnsi="Arial" w:cs="Arial"/>
          <w:bCs/>
          <w:color w:val="000000" w:themeColor="text1"/>
          <w:lang w:eastAsia="es-ES_tradnl"/>
        </w:rPr>
        <w:t xml:space="preserve">, en función del tamaño empresarial para la promoción del acceso de las MIPYMES al mercado de Compras Públicas».  </w:t>
      </w:r>
    </w:p>
    <w:p w14:paraId="01821712" w14:textId="77777777" w:rsidR="005C722B" w:rsidRPr="005C722B" w:rsidRDefault="005C722B" w:rsidP="005C722B">
      <w:pPr>
        <w:tabs>
          <w:tab w:val="left" w:pos="709"/>
        </w:tabs>
        <w:spacing w:after="120" w:line="276" w:lineRule="auto"/>
        <w:ind w:firstLine="709"/>
        <w:jc w:val="both"/>
        <w:rPr>
          <w:rFonts w:ascii="Arial" w:eastAsia="Calibri" w:hAnsi="Arial" w:cs="Arial"/>
          <w:bCs/>
          <w:color w:val="000000" w:themeColor="text1"/>
          <w:lang w:eastAsia="es-ES_tradnl"/>
        </w:rPr>
      </w:pPr>
      <w:r w:rsidRPr="005C722B">
        <w:rPr>
          <w:rFonts w:ascii="Arial" w:eastAsia="Calibri" w:hAnsi="Arial" w:cs="Arial"/>
          <w:bCs/>
          <w:color w:val="000000" w:themeColor="text1"/>
          <w:lang w:eastAsia="es-ES_tradnl"/>
        </w:rPr>
        <w:t xml:space="preserve">Además, el inciso segundo y el parágrafo del </w:t>
      </w:r>
      <w:r w:rsidRPr="005C722B">
        <w:rPr>
          <w:rFonts w:ascii="Arial" w:eastAsia="Calibri" w:hAnsi="Arial" w:cs="Arial"/>
          <w:bCs/>
          <w:color w:val="000000" w:themeColor="text1"/>
          <w:lang w:val="es-ES_tradnl" w:eastAsia="es-ES_tradnl"/>
        </w:rPr>
        <w:t xml:space="preserve">artículo 31 </w:t>
      </w:r>
      <w:r w:rsidRPr="005C722B">
        <w:rPr>
          <w:rFonts w:ascii="Arial" w:eastAsia="Calibri" w:hAnsi="Arial" w:cs="Arial"/>
          <w:bCs/>
          <w:color w:val="000000" w:themeColor="text1"/>
          <w:lang w:eastAsia="es-ES_tradnl"/>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76BBC61B" w14:textId="77777777" w:rsidR="005C722B" w:rsidRPr="005C722B" w:rsidRDefault="005C722B" w:rsidP="005C722B">
      <w:pPr>
        <w:tabs>
          <w:tab w:val="left" w:pos="709"/>
        </w:tabs>
        <w:spacing w:after="120" w:line="276" w:lineRule="auto"/>
        <w:ind w:firstLine="709"/>
        <w:jc w:val="both"/>
        <w:rPr>
          <w:rFonts w:ascii="Arial" w:eastAsia="Calibri" w:hAnsi="Arial" w:cs="Arial"/>
          <w:bCs/>
          <w:color w:val="000000" w:themeColor="text1"/>
          <w:szCs w:val="24"/>
          <w:lang w:eastAsia="es-ES_tradnl"/>
        </w:rPr>
      </w:pPr>
      <w:r w:rsidRPr="005C722B">
        <w:rPr>
          <w:rFonts w:ascii="Arial" w:eastAsia="Calibri" w:hAnsi="Arial" w:cs="Arial"/>
          <w:bCs/>
          <w:color w:val="000000" w:themeColor="text1"/>
          <w:szCs w:val="24"/>
          <w:lang w:eastAsia="es-ES_tradnl"/>
        </w:rPr>
        <w:t>Por otra parte, el artículo 32 de la Ley 2069 de 2020</w:t>
      </w:r>
      <w:r w:rsidRPr="005C722B">
        <w:rPr>
          <w:rFonts w:ascii="Arial" w:eastAsia="Calibri" w:hAnsi="Arial" w:cs="Arial"/>
          <w:bCs/>
          <w:color w:val="000000" w:themeColor="text1"/>
          <w:szCs w:val="24"/>
          <w:vertAlign w:val="superscript"/>
          <w:lang w:eastAsia="es-ES_tradnl"/>
        </w:rPr>
        <w:footnoteReference w:id="10"/>
      </w:r>
      <w:r w:rsidRPr="005C722B">
        <w:rPr>
          <w:rFonts w:ascii="Arial" w:eastAsia="Calibri" w:hAnsi="Arial" w:cs="Arial"/>
          <w:bCs/>
          <w:color w:val="000000" w:themeColor="text1"/>
          <w:szCs w:val="24"/>
          <w:lang w:eastAsia="es-ES_tradnl"/>
        </w:rPr>
        <w:t xml:space="preserve"> regula criterios diferenciales para los «emprendimientos y empresas de mujeres» en el sistema de compras y contratación pública. En relación con este aspecto, el inciso primero de la norma citada prescribe: </w:t>
      </w:r>
    </w:p>
    <w:p w14:paraId="1CABFF56" w14:textId="77777777" w:rsidR="005C722B" w:rsidRPr="005C722B" w:rsidRDefault="005C722B" w:rsidP="005C722B">
      <w:pPr>
        <w:tabs>
          <w:tab w:val="left" w:pos="709"/>
        </w:tabs>
        <w:spacing w:after="0" w:line="240" w:lineRule="auto"/>
        <w:ind w:left="709" w:right="709"/>
        <w:contextualSpacing/>
        <w:jc w:val="both"/>
        <w:rPr>
          <w:rFonts w:ascii="Arial" w:eastAsia="Calibri" w:hAnsi="Arial" w:cs="Arial"/>
          <w:bCs/>
          <w:color w:val="000000" w:themeColor="text1"/>
          <w:sz w:val="21"/>
          <w:szCs w:val="21"/>
          <w:lang w:eastAsia="es-ES_tradnl"/>
        </w:rPr>
      </w:pPr>
      <w:r w:rsidRPr="005C722B">
        <w:rPr>
          <w:rFonts w:ascii="Arial" w:eastAsia="Calibri" w:hAnsi="Arial" w:cs="Arial"/>
          <w:bCs/>
          <w:color w:val="000000" w:themeColor="text1"/>
          <w:sz w:val="21"/>
          <w:szCs w:val="21"/>
          <w:lang w:eastAsia="es-ES_tradnl"/>
        </w:rPr>
        <w:t xml:space="preserve">«De acuerdo con el resultado del análisis del sector, las entidades estatales incluirán requisitos diferenciales y puntajes adicionales en los procesos de </w:t>
      </w:r>
      <w:bookmarkStart w:id="9" w:name="_Hlk63770487"/>
      <w:r w:rsidRPr="005C722B">
        <w:rPr>
          <w:rFonts w:ascii="Arial" w:eastAsia="Calibri" w:hAnsi="Arial" w:cs="Arial"/>
          <w:bCs/>
          <w:color w:val="000000" w:themeColor="text1"/>
          <w:sz w:val="21"/>
          <w:szCs w:val="21"/>
          <w:lang w:eastAsia="es-ES_tradnl"/>
        </w:rPr>
        <w:t>licitación pública, selección abreviada de menor cuantía y concurso de méritos</w:t>
      </w:r>
      <w:bookmarkEnd w:id="9"/>
      <w:r w:rsidRPr="005C722B">
        <w:rPr>
          <w:rFonts w:ascii="Arial" w:eastAsia="Calibri" w:hAnsi="Arial" w:cs="Arial"/>
          <w:bCs/>
          <w:color w:val="000000" w:themeColor="text1"/>
          <w:sz w:val="21"/>
          <w:szCs w:val="21"/>
          <w:lang w:eastAsia="es-ES_tradnl"/>
        </w:rPr>
        <w:t xml:space="preserve">, así como en los procesos </w:t>
      </w:r>
      <w:r w:rsidRPr="005C722B">
        <w:rPr>
          <w:rFonts w:ascii="Arial" w:eastAsia="Calibri" w:hAnsi="Arial" w:cs="Arial"/>
          <w:bCs/>
          <w:color w:val="000000" w:themeColor="text1"/>
          <w:sz w:val="21"/>
          <w:szCs w:val="21"/>
          <w:lang w:eastAsia="es-ES_tradnl"/>
        </w:rPr>
        <w:lastRenderedPageBreak/>
        <w:t>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0D6F391F" w14:textId="77777777" w:rsidR="005C722B" w:rsidRPr="005C722B" w:rsidRDefault="005C722B" w:rsidP="005C722B">
      <w:pPr>
        <w:tabs>
          <w:tab w:val="left" w:pos="709"/>
        </w:tabs>
        <w:spacing w:after="0" w:line="276" w:lineRule="auto"/>
        <w:ind w:left="709" w:right="709"/>
        <w:contextualSpacing/>
        <w:jc w:val="both"/>
        <w:rPr>
          <w:rFonts w:ascii="Arial" w:eastAsia="Calibri" w:hAnsi="Arial" w:cs="Arial"/>
          <w:bCs/>
          <w:color w:val="000000" w:themeColor="text1"/>
          <w:szCs w:val="24"/>
          <w:lang w:eastAsia="es-ES_tradnl"/>
        </w:rPr>
      </w:pPr>
    </w:p>
    <w:p w14:paraId="7EEF1A8C" w14:textId="77777777" w:rsidR="005C722B" w:rsidRPr="005C722B" w:rsidRDefault="005C722B" w:rsidP="005C722B">
      <w:pPr>
        <w:tabs>
          <w:tab w:val="left" w:pos="709"/>
        </w:tabs>
        <w:spacing w:after="120" w:line="276" w:lineRule="auto"/>
        <w:ind w:firstLine="709"/>
        <w:jc w:val="both"/>
        <w:rPr>
          <w:rFonts w:ascii="Arial" w:eastAsia="Calibri" w:hAnsi="Arial" w:cs="Arial"/>
          <w:bCs/>
          <w:color w:val="000000" w:themeColor="text1"/>
          <w:szCs w:val="24"/>
          <w:lang w:eastAsia="es-ES_tradnl"/>
        </w:rPr>
      </w:pPr>
      <w:r w:rsidRPr="005C722B">
        <w:rPr>
          <w:rFonts w:ascii="Arial" w:eastAsia="Calibri" w:hAnsi="Arial" w:cs="Arial"/>
          <w:bCs/>
          <w:color w:val="000000" w:themeColor="text1"/>
          <w:szCs w:val="24"/>
          <w:lang w:eastAsia="es-ES_tradnl"/>
        </w:rPr>
        <w:t xml:space="preserve">De esta manera, los denominados «criterios diferenciales» del artículo 32 </w:t>
      </w:r>
      <w:r w:rsidRPr="005C722B">
        <w:rPr>
          <w:rFonts w:ascii="Arial" w:eastAsia="Calibri" w:hAnsi="Arial" w:cs="Arial"/>
          <w:bCs/>
          <w:i/>
          <w:iCs/>
          <w:color w:val="000000" w:themeColor="text1"/>
          <w:szCs w:val="24"/>
          <w:lang w:eastAsia="es-ES_tradnl"/>
        </w:rPr>
        <w:t>ibidem</w:t>
      </w:r>
      <w:r w:rsidRPr="005C722B">
        <w:rPr>
          <w:rFonts w:ascii="Arial" w:eastAsia="Calibri" w:hAnsi="Arial" w:cs="Arial"/>
          <w:bCs/>
          <w:color w:val="000000" w:themeColor="text1"/>
          <w:szCs w:val="24"/>
          <w:lang w:eastAsia="es-ES_tradnl"/>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comento también se extiende a todos los procedimientos competitivos que realicen las entidades estatales excluidas de la Ley 80 de 1993.     </w:t>
      </w:r>
    </w:p>
    <w:p w14:paraId="35DA6738" w14:textId="77777777" w:rsidR="005C722B" w:rsidRPr="005C722B" w:rsidRDefault="005C722B" w:rsidP="005C722B">
      <w:pPr>
        <w:spacing w:before="120" w:after="120" w:line="276" w:lineRule="auto"/>
        <w:ind w:firstLine="709"/>
        <w:jc w:val="both"/>
        <w:rPr>
          <w:rFonts w:ascii="Arial" w:eastAsia="Calibri" w:hAnsi="Arial" w:cs="Arial"/>
          <w:color w:val="000000" w:themeColor="text1"/>
          <w:lang w:val="es-ES_tradnl" w:eastAsia="es-ES_tradnl"/>
        </w:rPr>
      </w:pPr>
      <w:r w:rsidRPr="005C722B">
        <w:rPr>
          <w:rFonts w:ascii="Arial" w:eastAsia="Calibri" w:hAnsi="Arial" w:cs="Arial"/>
          <w:bCs/>
          <w:color w:val="000000" w:themeColor="text1"/>
          <w:szCs w:val="24"/>
          <w:lang w:eastAsia="es-ES_tradnl"/>
        </w:rPr>
        <w:t xml:space="preserve">No obstante, el artículo 32 de la Ley 2069 de 2020 –al igual que el artículo 31–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la potestad reglamentaria, en orden de establecer la regulación en marco de la cual las entidades estatales deben aplicar los criterios diferenciales establecidos en el artículo 32 de la Ley 2069 de 2020. </w:t>
      </w:r>
    </w:p>
    <w:p w14:paraId="16B69AA6" w14:textId="77777777" w:rsidR="005C722B" w:rsidRPr="005C722B" w:rsidRDefault="005C722B" w:rsidP="005C722B">
      <w:pPr>
        <w:spacing w:after="120" w:line="276" w:lineRule="auto"/>
        <w:ind w:firstLine="709"/>
        <w:jc w:val="both"/>
        <w:rPr>
          <w:rFonts w:ascii="Arial" w:eastAsia="Calibri" w:hAnsi="Arial" w:cs="Arial"/>
          <w:color w:val="000000" w:themeColor="text1"/>
          <w:lang w:val="es-ES_tradnl" w:eastAsia="es-ES_tradnl"/>
        </w:rPr>
      </w:pPr>
      <w:r w:rsidRPr="005C722B">
        <w:rPr>
          <w:rFonts w:ascii="Arial" w:eastAsia="Calibri" w:hAnsi="Arial" w:cs="Arial"/>
          <w:color w:val="000000" w:themeColor="text1"/>
          <w:lang w:val="es-ES_tradnl" w:eastAsia="es-ES_tradnl"/>
        </w:rPr>
        <w:t>En este contexto, el 24 de diciembre de 2021, el gobierno nacional expidió el Decreto 1860 de 2021</w:t>
      </w:r>
      <w:r w:rsidRPr="005C722B">
        <w:rPr>
          <w:rFonts w:ascii="Arial" w:eastAsia="Times New Roman" w:hAnsi="Arial" w:cs="Arial"/>
          <w:color w:val="000000" w:themeColor="text1"/>
          <w:sz w:val="24"/>
          <w:szCs w:val="24"/>
          <w:lang w:eastAsia="es-ES_tradnl"/>
        </w:rPr>
        <w:t xml:space="preserve"> </w:t>
      </w:r>
      <w:r w:rsidRPr="005C722B">
        <w:rPr>
          <w:rFonts w:ascii="Arial" w:eastAsia="Calibri" w:hAnsi="Arial" w:cs="Arial"/>
          <w:color w:val="000000" w:themeColor="text1"/>
          <w:lang w:val="es-ES_tradnl" w:eastAsia="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 de la Ley 2069 de 2020 –con excepción de los artículos 33 y 36–, realizando las adecuaciones requeridas para aplicar estas disposiciones, tal como indica el artículo 1 del Decreto 1860 de 2021</w:t>
      </w:r>
      <w:r w:rsidRPr="005C722B">
        <w:rPr>
          <w:rFonts w:ascii="Arial" w:eastAsia="Calibri" w:hAnsi="Arial" w:cs="Arial"/>
          <w:color w:val="000000" w:themeColor="text1"/>
          <w:vertAlign w:val="superscript"/>
          <w:lang w:val="es-ES_tradnl" w:eastAsia="es-ES_tradnl"/>
        </w:rPr>
        <w:footnoteReference w:id="11"/>
      </w:r>
      <w:r w:rsidRPr="005C722B">
        <w:rPr>
          <w:rFonts w:ascii="Arial" w:eastAsia="Calibri" w:hAnsi="Arial" w:cs="Arial"/>
          <w:color w:val="000000" w:themeColor="text1"/>
          <w:lang w:val="es-ES_tradnl" w:eastAsia="es-ES_tradnl"/>
        </w:rPr>
        <w:t xml:space="preserve">.  </w:t>
      </w:r>
    </w:p>
    <w:p w14:paraId="76579AD5" w14:textId="77777777" w:rsidR="005C722B" w:rsidRPr="005C722B" w:rsidRDefault="005C722B" w:rsidP="005C722B">
      <w:pPr>
        <w:spacing w:after="120" w:line="276" w:lineRule="auto"/>
        <w:ind w:firstLine="709"/>
        <w:jc w:val="both"/>
        <w:rPr>
          <w:rFonts w:ascii="Arial" w:eastAsia="Times New Roman" w:hAnsi="Arial" w:cs="Arial"/>
          <w:color w:val="000000" w:themeColor="text1"/>
          <w:lang w:eastAsia="es-CO"/>
        </w:rPr>
      </w:pPr>
      <w:r w:rsidRPr="005C722B">
        <w:rPr>
          <w:rFonts w:ascii="Arial" w:eastAsia="Calibri" w:hAnsi="Arial" w:cs="Arial"/>
          <w:color w:val="000000" w:themeColor="text1"/>
          <w:lang w:val="es-ES_tradnl" w:eastAsia="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19DBD6FD" w14:textId="77777777" w:rsidR="005C722B" w:rsidRPr="005C722B" w:rsidRDefault="005C722B" w:rsidP="00FF57D2">
      <w:pPr>
        <w:spacing w:after="120" w:line="276" w:lineRule="auto"/>
        <w:ind w:firstLine="709"/>
        <w:jc w:val="both"/>
        <w:rPr>
          <w:rFonts w:ascii="Arial" w:eastAsia="Times New Roman" w:hAnsi="Arial" w:cs="Arial"/>
          <w:color w:val="000000" w:themeColor="text1"/>
          <w:lang w:eastAsia="es-CO"/>
        </w:rPr>
      </w:pPr>
      <w:r w:rsidRPr="005C722B">
        <w:rPr>
          <w:rFonts w:ascii="Arial" w:eastAsia="Times New Roman" w:hAnsi="Arial" w:cs="Arial"/>
          <w:color w:val="000000" w:themeColor="text1"/>
          <w:lang w:eastAsia="es-CO"/>
        </w:rPr>
        <w:t xml:space="preserve">Debe precisarse que la vigencia del Decreto 1860 de 2021 está regida por lo establecido en su artículo 8, el cual prescribe que: «Las disposiciones contenidas en el presente Decreto se aplicarán a los procedimientos de selección cuya invitación, aviso de convocatoria o documento equivalente se publique a los tres (3) meses contados a partir de su expedición». De acuerdo con </w:t>
      </w:r>
      <w:r w:rsidRPr="005C722B">
        <w:rPr>
          <w:rFonts w:ascii="Arial" w:eastAsia="Times New Roman" w:hAnsi="Arial" w:cs="Arial"/>
          <w:color w:val="000000" w:themeColor="text1"/>
          <w:lang w:eastAsia="es-CO"/>
        </w:rPr>
        <w:lastRenderedPageBreak/>
        <w:t xml:space="preserve">esto, habiéndose expedido el referido decreto el 24 de diciembre de 2021, la aplicación de su contenido comenzó una vez transcurridos tres (3) meses contados a partir de entonces, en los procesos cuyos avisos de convocatorias, invitaciones o documentos equivalentes </w:t>
      </w:r>
      <w:r w:rsidRPr="005C722B">
        <w:rPr>
          <w:rFonts w:ascii="Arial" w:eastAsia="Arial" w:hAnsi="Arial" w:cs="Arial"/>
          <w:lang w:val="es-ES" w:eastAsia="es-CO"/>
        </w:rPr>
        <w:t>–según corresponda–</w:t>
      </w:r>
      <w:r w:rsidRPr="005C722B">
        <w:rPr>
          <w:rFonts w:ascii="Arial" w:eastAsia="Times New Roman" w:hAnsi="Arial" w:cs="Arial"/>
          <w:color w:val="000000" w:themeColor="text1"/>
          <w:lang w:eastAsia="es-CO"/>
        </w:rPr>
        <w:t xml:space="preserve"> fueron publicados con posterioridad a dicho momento, es decir, a partir del 24 de marzo de 2022, por lo que actualmente esta es la regulación vigente</w:t>
      </w:r>
      <w:r w:rsidRPr="005C722B">
        <w:rPr>
          <w:rFonts w:ascii="Arial" w:eastAsia="Times New Roman" w:hAnsi="Arial" w:cs="Arial"/>
          <w:color w:val="000000" w:themeColor="text1"/>
          <w:vertAlign w:val="superscript"/>
          <w:lang w:eastAsia="es-CO"/>
        </w:rPr>
        <w:footnoteReference w:id="12"/>
      </w:r>
      <w:r w:rsidRPr="005C722B">
        <w:rPr>
          <w:rFonts w:ascii="Arial" w:eastAsia="Times New Roman" w:hAnsi="Arial" w:cs="Arial"/>
          <w:color w:val="000000" w:themeColor="text1"/>
          <w:lang w:eastAsia="es-CO"/>
        </w:rPr>
        <w:t xml:space="preserve">. </w:t>
      </w:r>
    </w:p>
    <w:p w14:paraId="21D37A42" w14:textId="77777777" w:rsidR="005C722B" w:rsidRPr="005C722B" w:rsidRDefault="005C722B" w:rsidP="005C722B">
      <w:pPr>
        <w:spacing w:after="0" w:line="276" w:lineRule="auto"/>
        <w:ind w:firstLine="709"/>
        <w:contextualSpacing/>
        <w:jc w:val="both"/>
        <w:rPr>
          <w:rFonts w:ascii="Arial" w:eastAsia="Times New Roman" w:hAnsi="Arial" w:cs="Arial"/>
          <w:color w:val="000000" w:themeColor="text1"/>
          <w:lang w:eastAsia="es-CO"/>
        </w:rPr>
      </w:pPr>
    </w:p>
    <w:p w14:paraId="4906015B" w14:textId="77777777" w:rsidR="005C722B" w:rsidRPr="005C722B" w:rsidRDefault="005C722B" w:rsidP="005C722B">
      <w:pPr>
        <w:spacing w:after="0" w:line="276" w:lineRule="auto"/>
        <w:contextualSpacing/>
        <w:jc w:val="both"/>
        <w:rPr>
          <w:rFonts w:ascii="Arial" w:eastAsia="Calibri" w:hAnsi="Arial" w:cs="Arial"/>
          <w:b/>
          <w:bCs/>
          <w:color w:val="000000" w:themeColor="text1"/>
          <w:lang w:val="es-ES_tradnl" w:eastAsia="es-ES_tradnl"/>
        </w:rPr>
      </w:pPr>
      <w:r w:rsidRPr="005C722B">
        <w:rPr>
          <w:rFonts w:ascii="Arial" w:eastAsia="Calibri" w:hAnsi="Arial" w:cs="Arial"/>
          <w:b/>
          <w:bCs/>
          <w:color w:val="000000" w:themeColor="text1"/>
          <w:lang w:val="es-ES_tradnl" w:eastAsia="es-ES_tradnl"/>
        </w:rPr>
        <w:t xml:space="preserve">2.2. Definición de emprendimientos y empresas de mujeres en el Decreto 1860 de 2021. Acreditación del criterio establecido en el numeral 3 del artículo </w:t>
      </w:r>
      <w:r w:rsidRPr="005C722B">
        <w:rPr>
          <w:rFonts w:ascii="Arial" w:eastAsia="Calibri" w:hAnsi="Arial" w:cs="Arial"/>
          <w:b/>
          <w:bCs/>
          <w:color w:val="000000" w:themeColor="text1"/>
          <w:lang w:eastAsia="es-ES_tradnl"/>
        </w:rPr>
        <w:t>2.2.1.2.4.2.14 del Decreto 1082 de 2015</w:t>
      </w:r>
    </w:p>
    <w:p w14:paraId="066ECF90" w14:textId="77777777" w:rsidR="005C722B" w:rsidRPr="005C722B" w:rsidRDefault="005C722B" w:rsidP="005C722B">
      <w:pPr>
        <w:spacing w:after="0" w:line="276" w:lineRule="auto"/>
        <w:contextualSpacing/>
        <w:jc w:val="both"/>
        <w:rPr>
          <w:rFonts w:ascii="Arial" w:eastAsia="Calibri" w:hAnsi="Arial" w:cs="Arial"/>
          <w:b/>
          <w:bCs/>
          <w:color w:val="000000" w:themeColor="text1"/>
          <w:lang w:val="es-ES_tradnl" w:eastAsia="es-ES_tradnl"/>
        </w:rPr>
      </w:pPr>
    </w:p>
    <w:p w14:paraId="641D7012" w14:textId="77777777" w:rsidR="005C722B" w:rsidRPr="005C722B" w:rsidRDefault="005C722B" w:rsidP="005C722B">
      <w:pPr>
        <w:spacing w:after="120" w:line="276" w:lineRule="auto"/>
        <w:jc w:val="both"/>
        <w:rPr>
          <w:rFonts w:ascii="Arial" w:eastAsia="Calibri" w:hAnsi="Arial" w:cs="Arial"/>
          <w:color w:val="000000" w:themeColor="text1"/>
          <w:lang w:val="es-ES_tradnl" w:eastAsia="es-ES_tradnl"/>
        </w:rPr>
      </w:pPr>
      <w:r w:rsidRPr="005C722B">
        <w:rPr>
          <w:rFonts w:ascii="Arial" w:eastAsia="Calibri" w:hAnsi="Arial" w:cs="Arial"/>
          <w:color w:val="000000" w:themeColor="text1"/>
          <w:lang w:val="es-ES_tradnl" w:eastAsia="es-ES_tradnl"/>
        </w:rPr>
        <w:t xml:space="preserve">Conforme se viene explicando, el artículo 32 de la Ley 2069 de 2021 establece el deber de las entidades estatales de incluir </w:t>
      </w:r>
      <w:r w:rsidRPr="005C722B">
        <w:rPr>
          <w:rFonts w:ascii="Arial" w:eastAsia="Times New Roman" w:hAnsi="Arial" w:cs="Arial"/>
          <w:color w:val="000000" w:themeColor="text1"/>
          <w:shd w:val="clear" w:color="auto" w:fill="FFFFFF"/>
          <w:lang w:val="es-ES" w:eastAsia="es-ES_tradnl"/>
        </w:rPr>
        <w:t>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habilitantes diferenciales y puntajes adicionales en favor de los emprendimientos y empresas de mujeres. Esto, a título de medidas de acción afirmativa para incentivar la participación de emprendimientos y empresas de mujeres en el sistema de compras públicas y contratación estatal, sin perjuicio de los compromisos adquiridos por Colombia en los acuerdos comerciales en vigor.</w:t>
      </w:r>
    </w:p>
    <w:p w14:paraId="58615B8C" w14:textId="77777777" w:rsidR="005C722B" w:rsidRPr="005C722B" w:rsidRDefault="005C722B" w:rsidP="005C722B">
      <w:pPr>
        <w:spacing w:after="120" w:line="276" w:lineRule="auto"/>
        <w:ind w:firstLine="709"/>
        <w:jc w:val="both"/>
        <w:rPr>
          <w:rFonts w:ascii="Arial" w:eastAsia="Calibri" w:hAnsi="Arial" w:cs="Arial"/>
          <w:color w:val="000000" w:themeColor="text1"/>
          <w:lang w:val="es-ES" w:eastAsia="es-ES_tradnl"/>
        </w:rPr>
      </w:pPr>
      <w:r w:rsidRPr="005C722B">
        <w:rPr>
          <w:rFonts w:ascii="Arial" w:eastAsia="Calibri" w:hAnsi="Arial" w:cs="Arial"/>
          <w:color w:val="000000" w:themeColor="text1"/>
          <w:lang w:val="es-ES" w:eastAsia="es-ES_tradnl"/>
        </w:rPr>
        <w:t xml:space="preserve">En desarrollo de lo dispuesto en el parágrafo del artículo 32 de la Ley 2069 de 2020, el Decreto 1860 de 2021 adicionó el artículo 2.2.1.2.4.2.14 al Decreto 1082 de 2015. Esta norma establece las condiciones y requisitos en atención a los cuales se definen los emprendimientos y empresas de mujeres, a las que les aplican los criterios diferenciales. Para estos efectos, cada uno de los cuatro numerales de la norma establecen unas condiciones alternativas que definen los emprendimientos y empresas de mujeres, a efectos de aplicar los criterios diferenciales. A tenor literal el citado artículo indica:   </w:t>
      </w:r>
    </w:p>
    <w:p w14:paraId="2A01F11D" w14:textId="77777777" w:rsidR="005C722B" w:rsidRPr="005C722B" w:rsidRDefault="005C722B" w:rsidP="005C722B">
      <w:pPr>
        <w:spacing w:after="0" w:line="276" w:lineRule="auto"/>
        <w:jc w:val="both"/>
        <w:rPr>
          <w:rFonts w:ascii="Arial" w:eastAsia="Calibri" w:hAnsi="Arial" w:cs="Arial"/>
          <w:color w:val="000000" w:themeColor="text1"/>
          <w:lang w:val="es-ES_tradnl" w:eastAsia="es-ES_tradnl"/>
        </w:rPr>
      </w:pPr>
    </w:p>
    <w:p w14:paraId="278BA48D" w14:textId="77777777" w:rsidR="005C722B" w:rsidRPr="005C722B" w:rsidRDefault="005C722B" w:rsidP="005C722B">
      <w:pPr>
        <w:shd w:val="clear" w:color="auto" w:fill="FFFFFF"/>
        <w:spacing w:after="0" w:line="240" w:lineRule="auto"/>
        <w:ind w:left="709" w:right="709"/>
        <w:jc w:val="both"/>
        <w:textAlignment w:val="baseline"/>
        <w:rPr>
          <w:rFonts w:ascii="Arial" w:eastAsia="Times New Roman" w:hAnsi="Arial" w:cs="Arial"/>
          <w:color w:val="000000" w:themeColor="text1"/>
          <w:sz w:val="21"/>
          <w:szCs w:val="21"/>
          <w:lang w:eastAsia="es-CO"/>
        </w:rPr>
      </w:pPr>
      <w:r w:rsidRPr="005C722B">
        <w:rPr>
          <w:rFonts w:ascii="Arial" w:eastAsia="Times New Roman" w:hAnsi="Arial" w:cs="Arial"/>
          <w:color w:val="000000" w:themeColor="text1"/>
          <w:sz w:val="21"/>
          <w:szCs w:val="21"/>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333485D9" w14:textId="77777777" w:rsidR="005C722B" w:rsidRPr="005C722B" w:rsidRDefault="005C722B" w:rsidP="005C722B">
      <w:pPr>
        <w:shd w:val="clear" w:color="auto" w:fill="FFFFFF"/>
        <w:spacing w:after="0" w:line="240" w:lineRule="auto"/>
        <w:ind w:left="709" w:right="709"/>
        <w:jc w:val="both"/>
        <w:textAlignment w:val="baseline"/>
        <w:rPr>
          <w:rFonts w:ascii="Arial" w:eastAsia="Times New Roman" w:hAnsi="Arial" w:cs="Arial"/>
          <w:color w:val="000000" w:themeColor="text1"/>
          <w:sz w:val="21"/>
          <w:szCs w:val="21"/>
          <w:lang w:eastAsia="es-CO"/>
        </w:rPr>
      </w:pPr>
      <w:r w:rsidRPr="005C722B">
        <w:rPr>
          <w:rFonts w:ascii="Arial" w:eastAsia="Times New Roman" w:hAnsi="Arial" w:cs="Arial"/>
          <w:color w:val="000000" w:themeColor="text1"/>
          <w:sz w:val="21"/>
          <w:szCs w:val="21"/>
          <w:lang w:eastAsia="es-CO"/>
        </w:rPr>
        <w:t>  </w:t>
      </w:r>
    </w:p>
    <w:p w14:paraId="00FF9A65" w14:textId="77777777" w:rsidR="005C722B" w:rsidRPr="005C722B" w:rsidRDefault="005C722B" w:rsidP="005C722B">
      <w:pPr>
        <w:shd w:val="clear" w:color="auto" w:fill="FFFFFF"/>
        <w:spacing w:after="0" w:line="240" w:lineRule="auto"/>
        <w:ind w:left="709" w:right="709"/>
        <w:contextualSpacing/>
        <w:jc w:val="both"/>
        <w:textAlignment w:val="baseline"/>
        <w:rPr>
          <w:rFonts w:ascii="Arial" w:eastAsia="Times New Roman" w:hAnsi="Arial" w:cs="Arial"/>
          <w:color w:val="000000" w:themeColor="text1"/>
          <w:sz w:val="21"/>
          <w:szCs w:val="21"/>
          <w:lang w:eastAsia="es-CO"/>
        </w:rPr>
      </w:pPr>
      <w:r w:rsidRPr="005C722B">
        <w:rPr>
          <w:rFonts w:ascii="Arial" w:eastAsia="Times New Roman" w:hAnsi="Arial" w:cs="Arial"/>
          <w:color w:val="000000" w:themeColor="text1"/>
          <w:sz w:val="21"/>
          <w:szCs w:val="21"/>
          <w:lang w:eastAsia="es-CO"/>
        </w:rPr>
        <w:t xml:space="preserve">1. Cuando más del cincuenta por ciento (50%) de las acciones, partes de interés o cuotas de participación de la persona jurídica pertenezcan a mujeres y los derechos de propiedad hayan pertenecido a estas durante al menos el último año anterior a la </w:t>
      </w:r>
      <w:r w:rsidRPr="005C722B">
        <w:rPr>
          <w:rFonts w:ascii="Arial" w:eastAsia="Times New Roman" w:hAnsi="Arial" w:cs="Arial"/>
          <w:color w:val="000000" w:themeColor="text1"/>
          <w:sz w:val="21"/>
          <w:szCs w:val="21"/>
          <w:lang w:eastAsia="es-CO"/>
        </w:rPr>
        <w:lastRenderedPageBreak/>
        <w:t>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68D2CFE2" w14:textId="77777777" w:rsidR="005C722B" w:rsidRPr="005C722B" w:rsidRDefault="005C722B" w:rsidP="005C722B">
      <w:pPr>
        <w:shd w:val="clear" w:color="auto" w:fill="FFFFFF"/>
        <w:spacing w:after="0" w:line="240" w:lineRule="auto"/>
        <w:ind w:left="709" w:right="709"/>
        <w:contextualSpacing/>
        <w:jc w:val="both"/>
        <w:textAlignment w:val="baseline"/>
        <w:rPr>
          <w:rFonts w:ascii="Arial" w:eastAsia="Times New Roman" w:hAnsi="Arial" w:cs="Arial"/>
          <w:color w:val="000000" w:themeColor="text1"/>
          <w:sz w:val="21"/>
          <w:szCs w:val="21"/>
          <w:lang w:eastAsia="es-CO"/>
        </w:rPr>
      </w:pPr>
    </w:p>
    <w:p w14:paraId="7A7DFDF8" w14:textId="77777777" w:rsidR="005C722B" w:rsidRPr="005C722B" w:rsidRDefault="005C722B" w:rsidP="005C722B">
      <w:pPr>
        <w:shd w:val="clear" w:color="auto" w:fill="FFFFFF"/>
        <w:spacing w:after="0" w:line="240" w:lineRule="auto"/>
        <w:ind w:left="709" w:right="709"/>
        <w:contextualSpacing/>
        <w:jc w:val="both"/>
        <w:textAlignment w:val="baseline"/>
        <w:rPr>
          <w:rFonts w:ascii="Arial" w:eastAsia="Times New Roman" w:hAnsi="Arial" w:cs="Arial"/>
          <w:color w:val="000000" w:themeColor="text1"/>
          <w:sz w:val="21"/>
          <w:szCs w:val="21"/>
          <w:lang w:eastAsia="es-CO"/>
        </w:rPr>
      </w:pPr>
      <w:r w:rsidRPr="005C722B">
        <w:rPr>
          <w:rFonts w:ascii="Arial" w:eastAsia="Times New Roman" w:hAnsi="Arial" w:cs="Arial"/>
          <w:color w:val="000000" w:themeColor="text1"/>
          <w:sz w:val="21"/>
          <w:szCs w:val="21"/>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4E851BD6" w14:textId="77777777" w:rsidR="005C722B" w:rsidRPr="005C722B" w:rsidRDefault="005C722B" w:rsidP="005C722B">
      <w:pPr>
        <w:shd w:val="clear" w:color="auto" w:fill="FFFFFF"/>
        <w:spacing w:after="0" w:line="240" w:lineRule="auto"/>
        <w:ind w:left="709" w:right="709"/>
        <w:contextualSpacing/>
        <w:jc w:val="both"/>
        <w:textAlignment w:val="baseline"/>
        <w:rPr>
          <w:rFonts w:ascii="Arial" w:eastAsia="Times New Roman" w:hAnsi="Arial" w:cs="Arial"/>
          <w:color w:val="000000" w:themeColor="text1"/>
          <w:sz w:val="21"/>
          <w:szCs w:val="21"/>
          <w:lang w:eastAsia="es-CO"/>
        </w:rPr>
      </w:pPr>
    </w:p>
    <w:p w14:paraId="6389CD9C" w14:textId="77777777" w:rsidR="005C722B" w:rsidRPr="005C722B" w:rsidRDefault="005C722B" w:rsidP="005C722B">
      <w:pPr>
        <w:shd w:val="clear" w:color="auto" w:fill="FFFFFF"/>
        <w:spacing w:after="0" w:line="240" w:lineRule="auto"/>
        <w:ind w:left="709" w:right="709"/>
        <w:contextualSpacing/>
        <w:jc w:val="both"/>
        <w:textAlignment w:val="baseline"/>
        <w:rPr>
          <w:rFonts w:ascii="Arial" w:eastAsia="Times New Roman" w:hAnsi="Arial" w:cs="Arial"/>
          <w:color w:val="000000" w:themeColor="text1"/>
          <w:sz w:val="21"/>
          <w:szCs w:val="21"/>
          <w:lang w:eastAsia="es-CO"/>
        </w:rPr>
      </w:pPr>
      <w:r w:rsidRPr="005C722B">
        <w:rPr>
          <w:rFonts w:ascii="Arial" w:eastAsia="Times New Roman" w:hAnsi="Arial" w:cs="Arial"/>
          <w:color w:val="000000" w:themeColor="text1"/>
          <w:sz w:val="21"/>
          <w:szCs w:val="21"/>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38A1D6F4" w14:textId="77777777" w:rsidR="005C722B" w:rsidRPr="005C722B" w:rsidRDefault="005C722B" w:rsidP="005C722B">
      <w:pPr>
        <w:shd w:val="clear" w:color="auto" w:fill="FFFFFF"/>
        <w:spacing w:after="0" w:line="240" w:lineRule="auto"/>
        <w:ind w:left="709" w:right="709"/>
        <w:contextualSpacing/>
        <w:jc w:val="both"/>
        <w:textAlignment w:val="baseline"/>
        <w:rPr>
          <w:rFonts w:ascii="Arial" w:eastAsia="Times New Roman" w:hAnsi="Arial" w:cs="Arial"/>
          <w:color w:val="000000" w:themeColor="text1"/>
          <w:sz w:val="21"/>
          <w:szCs w:val="21"/>
          <w:lang w:eastAsia="es-CO"/>
        </w:rPr>
      </w:pPr>
    </w:p>
    <w:p w14:paraId="33C01D17" w14:textId="77777777" w:rsidR="005C722B" w:rsidRPr="005C722B" w:rsidRDefault="005C722B" w:rsidP="005C722B">
      <w:pPr>
        <w:shd w:val="clear" w:color="auto" w:fill="FFFFFF"/>
        <w:spacing w:after="0" w:line="240" w:lineRule="auto"/>
        <w:ind w:left="709" w:right="709"/>
        <w:contextualSpacing/>
        <w:jc w:val="both"/>
        <w:textAlignment w:val="baseline"/>
        <w:rPr>
          <w:rFonts w:ascii="Arial" w:eastAsia="Times New Roman" w:hAnsi="Arial" w:cs="Arial"/>
          <w:color w:val="000000" w:themeColor="text1"/>
          <w:sz w:val="21"/>
          <w:szCs w:val="21"/>
          <w:lang w:eastAsia="es-CO"/>
        </w:rPr>
      </w:pPr>
      <w:r w:rsidRPr="005C722B">
        <w:rPr>
          <w:rFonts w:ascii="Arial" w:eastAsia="Times New Roman" w:hAnsi="Arial" w:cs="Arial"/>
          <w:color w:val="000000" w:themeColor="text1"/>
          <w:sz w:val="21"/>
          <w:szCs w:val="21"/>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6C28DC03" w14:textId="77777777" w:rsidR="005C722B" w:rsidRPr="005C722B" w:rsidRDefault="005C722B" w:rsidP="005C722B">
      <w:pPr>
        <w:shd w:val="clear" w:color="auto" w:fill="FFFFFF"/>
        <w:spacing w:after="0" w:line="240" w:lineRule="auto"/>
        <w:ind w:left="709" w:right="709"/>
        <w:contextualSpacing/>
        <w:jc w:val="both"/>
        <w:textAlignment w:val="baseline"/>
        <w:rPr>
          <w:rFonts w:ascii="Arial" w:eastAsia="Times New Roman" w:hAnsi="Arial" w:cs="Arial"/>
          <w:color w:val="000000" w:themeColor="text1"/>
          <w:sz w:val="21"/>
          <w:szCs w:val="21"/>
          <w:lang w:eastAsia="es-CO"/>
        </w:rPr>
      </w:pPr>
    </w:p>
    <w:p w14:paraId="768D4510" w14:textId="77777777" w:rsidR="005C722B" w:rsidRPr="005C722B" w:rsidRDefault="005C722B" w:rsidP="005C722B">
      <w:pPr>
        <w:shd w:val="clear" w:color="auto" w:fill="FFFFFF"/>
        <w:spacing w:after="0" w:line="240" w:lineRule="auto"/>
        <w:ind w:left="709" w:right="709"/>
        <w:contextualSpacing/>
        <w:jc w:val="both"/>
        <w:textAlignment w:val="baseline"/>
        <w:rPr>
          <w:rFonts w:ascii="Arial" w:eastAsia="Times New Roman" w:hAnsi="Arial" w:cs="Arial"/>
          <w:color w:val="000000" w:themeColor="text1"/>
          <w:sz w:val="21"/>
          <w:szCs w:val="21"/>
          <w:lang w:eastAsia="es-CO"/>
        </w:rPr>
      </w:pPr>
      <w:r w:rsidRPr="005C722B">
        <w:rPr>
          <w:rFonts w:ascii="Arial" w:eastAsia="Times New Roman" w:hAnsi="Arial" w:cs="Arial"/>
          <w:color w:val="000000" w:themeColor="text1"/>
          <w:sz w:val="21"/>
          <w:szCs w:val="21"/>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249F7F42" w14:textId="77777777" w:rsidR="005C722B" w:rsidRPr="005C722B" w:rsidRDefault="005C722B" w:rsidP="005C722B">
      <w:pPr>
        <w:shd w:val="clear" w:color="auto" w:fill="FFFFFF"/>
        <w:spacing w:after="0" w:line="240" w:lineRule="auto"/>
        <w:ind w:left="709" w:right="709"/>
        <w:contextualSpacing/>
        <w:jc w:val="both"/>
        <w:textAlignment w:val="baseline"/>
        <w:rPr>
          <w:rFonts w:ascii="Arial" w:eastAsia="Times New Roman" w:hAnsi="Arial" w:cs="Arial"/>
          <w:color w:val="000000" w:themeColor="text1"/>
          <w:sz w:val="21"/>
          <w:szCs w:val="21"/>
          <w:lang w:eastAsia="es-CO"/>
        </w:rPr>
      </w:pPr>
    </w:p>
    <w:p w14:paraId="15E1D7FA" w14:textId="77777777" w:rsidR="005C722B" w:rsidRPr="005C722B" w:rsidRDefault="005C722B" w:rsidP="005C722B">
      <w:pPr>
        <w:shd w:val="clear" w:color="auto" w:fill="FFFFFF"/>
        <w:spacing w:after="0" w:line="240" w:lineRule="auto"/>
        <w:ind w:left="709" w:right="709"/>
        <w:contextualSpacing/>
        <w:jc w:val="both"/>
        <w:textAlignment w:val="baseline"/>
        <w:rPr>
          <w:rFonts w:ascii="Arial" w:eastAsia="Times New Roman" w:hAnsi="Arial" w:cs="Arial"/>
          <w:color w:val="000000" w:themeColor="text1"/>
          <w:sz w:val="21"/>
          <w:szCs w:val="21"/>
          <w:lang w:eastAsia="es-CO"/>
        </w:rPr>
      </w:pPr>
      <w:r w:rsidRPr="005C722B">
        <w:rPr>
          <w:rFonts w:ascii="Arial" w:eastAsia="Times New Roman" w:hAnsi="Arial" w:cs="Arial"/>
          <w:i/>
          <w:iCs/>
          <w:color w:val="000000" w:themeColor="text1"/>
          <w:sz w:val="21"/>
          <w:szCs w:val="21"/>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142752DC" w14:textId="77777777" w:rsidR="005C722B" w:rsidRPr="005C722B" w:rsidRDefault="005C722B" w:rsidP="005C722B">
      <w:pPr>
        <w:shd w:val="clear" w:color="auto" w:fill="FFFFFF"/>
        <w:spacing w:after="0" w:line="240" w:lineRule="auto"/>
        <w:ind w:left="709" w:right="709"/>
        <w:contextualSpacing/>
        <w:jc w:val="both"/>
        <w:textAlignment w:val="baseline"/>
        <w:rPr>
          <w:rFonts w:ascii="Arial" w:eastAsia="Times New Roman" w:hAnsi="Arial" w:cs="Arial"/>
          <w:color w:val="000000" w:themeColor="text1"/>
          <w:sz w:val="21"/>
          <w:szCs w:val="21"/>
          <w:lang w:eastAsia="es-CO"/>
        </w:rPr>
      </w:pPr>
    </w:p>
    <w:p w14:paraId="43A28EE0" w14:textId="77777777" w:rsidR="005C722B" w:rsidRPr="005C722B" w:rsidRDefault="005C722B" w:rsidP="005C722B">
      <w:pPr>
        <w:shd w:val="clear" w:color="auto" w:fill="FFFFFF"/>
        <w:spacing w:after="0" w:line="240" w:lineRule="auto"/>
        <w:ind w:left="709" w:right="709"/>
        <w:contextualSpacing/>
        <w:jc w:val="both"/>
        <w:textAlignment w:val="baseline"/>
        <w:rPr>
          <w:rFonts w:ascii="Arial" w:eastAsia="Times New Roman" w:hAnsi="Arial" w:cs="Arial"/>
          <w:color w:val="000000" w:themeColor="text1"/>
          <w:sz w:val="21"/>
          <w:szCs w:val="21"/>
          <w:lang w:eastAsia="es-CO"/>
        </w:rPr>
      </w:pPr>
      <w:r w:rsidRPr="005C722B">
        <w:rPr>
          <w:rFonts w:ascii="Arial" w:eastAsia="Times New Roman" w:hAnsi="Arial" w:cs="Arial"/>
          <w:color w:val="000000" w:themeColor="text1"/>
          <w:sz w:val="21"/>
          <w:szCs w:val="21"/>
          <w:lang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4E4FEFC1" w14:textId="77777777" w:rsidR="005C722B" w:rsidRPr="005C722B" w:rsidRDefault="005C722B" w:rsidP="005C722B">
      <w:pPr>
        <w:shd w:val="clear" w:color="auto" w:fill="FFFFFF"/>
        <w:spacing w:after="0" w:line="240" w:lineRule="auto"/>
        <w:ind w:left="709" w:right="709"/>
        <w:contextualSpacing/>
        <w:jc w:val="both"/>
        <w:textAlignment w:val="baseline"/>
        <w:rPr>
          <w:rFonts w:ascii="Arial" w:eastAsia="Times New Roman" w:hAnsi="Arial" w:cs="Arial"/>
          <w:color w:val="000000" w:themeColor="text1"/>
          <w:sz w:val="21"/>
          <w:szCs w:val="21"/>
          <w:lang w:eastAsia="es-CO"/>
        </w:rPr>
      </w:pPr>
    </w:p>
    <w:p w14:paraId="6BADAAC8" w14:textId="77777777" w:rsidR="005C722B" w:rsidRPr="005C722B" w:rsidRDefault="005C722B" w:rsidP="005C722B">
      <w:pPr>
        <w:shd w:val="clear" w:color="auto" w:fill="FFFFFF"/>
        <w:spacing w:after="0" w:line="240" w:lineRule="auto"/>
        <w:ind w:left="709" w:right="709"/>
        <w:contextualSpacing/>
        <w:jc w:val="both"/>
        <w:textAlignment w:val="baseline"/>
        <w:rPr>
          <w:rFonts w:ascii="Arial" w:eastAsia="Times New Roman" w:hAnsi="Arial" w:cs="Arial"/>
          <w:color w:val="000000" w:themeColor="text1"/>
          <w:sz w:val="21"/>
          <w:szCs w:val="21"/>
          <w:lang w:eastAsia="es-CO"/>
        </w:rPr>
      </w:pPr>
      <w:r w:rsidRPr="005C722B">
        <w:rPr>
          <w:rFonts w:ascii="Arial" w:eastAsia="Times New Roman" w:hAnsi="Arial" w:cs="Arial"/>
          <w:color w:val="000000" w:themeColor="text1"/>
          <w:sz w:val="21"/>
          <w:szCs w:val="21"/>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r w:rsidRPr="005C722B">
        <w:rPr>
          <w:rFonts w:ascii="Arial" w:eastAsia="Times New Roman" w:hAnsi="Arial" w:cs="Arial"/>
          <w:sz w:val="21"/>
          <w:szCs w:val="21"/>
          <w:lang w:eastAsia="es-CO"/>
        </w:rPr>
        <w:t>» [Énfasis fuera de texto].</w:t>
      </w:r>
    </w:p>
    <w:p w14:paraId="007DBB8A" w14:textId="77777777" w:rsidR="005C722B" w:rsidRPr="005C722B" w:rsidRDefault="005C722B" w:rsidP="005C722B">
      <w:pPr>
        <w:spacing w:after="120" w:line="276" w:lineRule="auto"/>
        <w:ind w:firstLine="709"/>
        <w:jc w:val="both"/>
        <w:rPr>
          <w:rFonts w:ascii="Arial" w:eastAsia="Calibri" w:hAnsi="Arial" w:cs="Arial"/>
          <w:color w:val="000000" w:themeColor="text1"/>
          <w:lang w:val="es-ES_tradnl" w:eastAsia="es-ES_tradnl"/>
        </w:rPr>
      </w:pPr>
    </w:p>
    <w:p w14:paraId="72903A6D" w14:textId="77777777" w:rsidR="005C722B" w:rsidRPr="005C722B" w:rsidRDefault="005C722B" w:rsidP="005C722B">
      <w:pPr>
        <w:spacing w:after="120" w:line="276" w:lineRule="auto"/>
        <w:ind w:firstLine="709"/>
        <w:jc w:val="both"/>
        <w:rPr>
          <w:rFonts w:ascii="Arial" w:eastAsia="Calibri" w:hAnsi="Arial" w:cs="Arial"/>
          <w:color w:val="000000" w:themeColor="text1"/>
          <w:lang w:val="es-ES" w:eastAsia="es-ES_tradnl"/>
        </w:rPr>
      </w:pPr>
      <w:r w:rsidRPr="005C722B">
        <w:rPr>
          <w:rFonts w:ascii="Arial" w:eastAsia="Calibri" w:hAnsi="Arial" w:cs="Arial"/>
          <w:color w:val="000000" w:themeColor="text1"/>
          <w:lang w:val="es-ES" w:eastAsia="es-ES_tradnl"/>
        </w:rPr>
        <w:lastRenderedPageBreak/>
        <w:t xml:space="preserve">De acuerdo con lo establecido en este artículo, para efectos de la aplicación de los criterios diferenciales en el sistema de compras públicas, en los términos del artículo 32 de la Ley 2069 de 2020, son considerados emprendimientos y empresas de mujeres aquellas personas jurídicas o naturales que cumplan con alguno de los cuatro supuestos de hecho previstos en la norma citada, y acrediten estos supuestos con los documentos previstos para ello. </w:t>
      </w:r>
    </w:p>
    <w:p w14:paraId="221E68A1" w14:textId="77777777" w:rsidR="005C722B" w:rsidRPr="005C722B" w:rsidRDefault="005C722B" w:rsidP="005C722B">
      <w:pPr>
        <w:spacing w:after="120" w:line="276" w:lineRule="auto"/>
        <w:ind w:firstLine="709"/>
        <w:jc w:val="both"/>
        <w:rPr>
          <w:rFonts w:ascii="Arial" w:eastAsia="Calibri" w:hAnsi="Arial" w:cs="Arial"/>
          <w:color w:val="000000" w:themeColor="text1"/>
          <w:lang w:val="es-ES" w:eastAsia="es-ES_tradnl"/>
        </w:rPr>
      </w:pPr>
      <w:r w:rsidRPr="005C722B">
        <w:rPr>
          <w:rFonts w:ascii="Arial" w:hAnsi="Arial" w:cs="Arial"/>
          <w:shd w:val="clear" w:color="auto" w:fill="FFFFFF"/>
        </w:rPr>
        <w:t>Teniendo en cuenta el objeto de la presente consulta, resulta relevante el análisis del numeral tercero del artículo antes citado, según el cual tratándose de personas naturales debe cumplirse con las siguientes condiciones para ser consideradas emprendimientos y empresas de mujeres y, en consecuencia, ser destinatarias de los criterios diferenciales de que trata el artículo 32 de la Ley de Emprendimiento: (i) que la persona natural sea una mujer; (</w:t>
      </w:r>
      <w:proofErr w:type="spellStart"/>
      <w:r w:rsidRPr="005C722B">
        <w:rPr>
          <w:rFonts w:ascii="Arial" w:hAnsi="Arial" w:cs="Arial"/>
          <w:shd w:val="clear" w:color="auto" w:fill="FFFFFF"/>
        </w:rPr>
        <w:t>ii</w:t>
      </w:r>
      <w:proofErr w:type="spellEnd"/>
      <w:r w:rsidRPr="005C722B">
        <w:rPr>
          <w:rFonts w:ascii="Arial" w:hAnsi="Arial" w:cs="Arial"/>
          <w:shd w:val="clear" w:color="auto" w:fill="FFFFFF"/>
        </w:rPr>
        <w:t>) que haya ejercido actividades comerciales a través de un establecimiento de comercio; (</w:t>
      </w:r>
      <w:proofErr w:type="spellStart"/>
      <w:r w:rsidRPr="005C722B">
        <w:rPr>
          <w:rFonts w:ascii="Arial" w:hAnsi="Arial" w:cs="Arial"/>
          <w:shd w:val="clear" w:color="auto" w:fill="FFFFFF"/>
        </w:rPr>
        <w:t>iii</w:t>
      </w:r>
      <w:proofErr w:type="spellEnd"/>
      <w:r w:rsidRPr="005C722B">
        <w:rPr>
          <w:rFonts w:ascii="Arial" w:hAnsi="Arial" w:cs="Arial"/>
          <w:shd w:val="clear" w:color="auto" w:fill="FFFFFF"/>
        </w:rPr>
        <w:t xml:space="preserve">) que haya ejercido esas actividades durante al menos el último año anterior a la fecha del cierre del proceso de selección. Adicionalmente, la misma disposición señala que la acreditación de dichas circunstancias deberá realizarse mediante la copia de la cédula de ciudadanía, la cédula de extranjería o el pasaporte, así como la copia del registro mercantil. </w:t>
      </w:r>
    </w:p>
    <w:p w14:paraId="03A09F44" w14:textId="4DEC20C2" w:rsidR="005C722B" w:rsidRPr="005C722B" w:rsidRDefault="005C722B" w:rsidP="00FF57D2">
      <w:pPr>
        <w:tabs>
          <w:tab w:val="left" w:pos="426"/>
        </w:tabs>
        <w:spacing w:after="120" w:line="276" w:lineRule="auto"/>
        <w:ind w:firstLine="709"/>
        <w:jc w:val="both"/>
        <w:rPr>
          <w:rFonts w:ascii="Arial" w:hAnsi="Arial" w:cs="Arial"/>
          <w:shd w:val="clear" w:color="auto" w:fill="FFFFFF"/>
        </w:rPr>
      </w:pPr>
      <w:r w:rsidRPr="005C722B">
        <w:rPr>
          <w:rFonts w:ascii="Arial" w:hAnsi="Arial" w:cs="Arial"/>
          <w:shd w:val="clear" w:color="auto" w:fill="FFFFFF"/>
        </w:rPr>
        <w:t xml:space="preserve">Lo anterior quiere decir que, no basta con que la persona natural sea mujer para ser considerada como un emprendimiento o empresa de mujeres, sino que además es necesario que haya ejercido actividades comerciales a través de un establecimiento de comercio y que esa circunstancia se haya mantenido como mínimo durante un periodo de un año contado a partir de la fecha del cierre del proceso de selección. De esta manera, el criterio definido en el numeral tercero del artículo 3 antes citado deja por fuera a aquellas mujeres que no hayan ejercido actividades comerciales a través de un establecimiento de comercio, que no tengan registro mercantil, y/o que no cumplan con el requerimiento del tiempo mínimo de un año de ejercicio de las actividades.  </w:t>
      </w:r>
    </w:p>
    <w:p w14:paraId="440A9EB6" w14:textId="76B19A06" w:rsidR="005C722B" w:rsidRPr="005C722B" w:rsidRDefault="005C722B" w:rsidP="00FF57D2">
      <w:pPr>
        <w:tabs>
          <w:tab w:val="left" w:pos="426"/>
        </w:tabs>
        <w:spacing w:after="120" w:line="276" w:lineRule="auto"/>
        <w:ind w:firstLine="709"/>
        <w:jc w:val="both"/>
        <w:rPr>
          <w:rFonts w:ascii="Arial" w:hAnsi="Arial" w:cs="Arial"/>
          <w:shd w:val="clear" w:color="auto" w:fill="FFFFFF"/>
        </w:rPr>
      </w:pPr>
      <w:r w:rsidRPr="005C722B">
        <w:rPr>
          <w:rFonts w:ascii="Arial" w:hAnsi="Arial" w:cs="Arial"/>
          <w:shd w:val="clear" w:color="auto" w:fill="FFFFFF"/>
        </w:rPr>
        <w:t xml:space="preserve">Dado que una de las condiciones para ser considerada emprendimiento y empresa de mujeres está relacionada con que la persona natural haya ejercido actividades comerciales a través de establecimiento de comercio, para efectos de la consulta, es indispensable referirse a qué se entiende por actividad comercial y el desarrollo de la misma a través de un establecimiento de comercio. </w:t>
      </w:r>
    </w:p>
    <w:p w14:paraId="66778FFF" w14:textId="166ED96F" w:rsidR="005C722B" w:rsidRPr="005C722B" w:rsidRDefault="005C722B" w:rsidP="00FF57D2">
      <w:pPr>
        <w:tabs>
          <w:tab w:val="left" w:pos="426"/>
        </w:tabs>
        <w:spacing w:after="120" w:line="276" w:lineRule="auto"/>
        <w:ind w:firstLine="709"/>
        <w:jc w:val="both"/>
        <w:rPr>
          <w:rFonts w:ascii="Arial" w:hAnsi="Arial" w:cs="Arial"/>
          <w:shd w:val="clear" w:color="auto" w:fill="FFFFFF"/>
        </w:rPr>
      </w:pPr>
      <w:r w:rsidRPr="005C722B">
        <w:rPr>
          <w:rFonts w:ascii="Arial" w:hAnsi="Arial" w:cs="Arial"/>
          <w:shd w:val="clear" w:color="auto" w:fill="FFFFFF"/>
        </w:rPr>
        <w:t xml:space="preserve">Sobre el particular, es necesario tener en cuenta que la ley colombiana no consagra una definición de actos de comercio, sino que incorpora un listado de actos y actividades considerados como mercantiles en el artículo 20 del Código de Comercio que incluye una gama muy variada de operaciones usuales en la vida de los negocios, no taxativas. Así las cosas, no se define estáticamente el acto de comercio, permitiendo mediante la analogía realizar la ampliación dinámica del derecho mercantil facilitando su adaptación a un cambiante mundo de negocios. Adicionalmente, la ley provee un criterio auxiliar que permite ampliar la cobertura del derecho comercial, atribuyéndole la calificación de </w:t>
      </w:r>
      <w:r w:rsidRPr="005C722B">
        <w:rPr>
          <w:rFonts w:ascii="Arial" w:hAnsi="Arial" w:cs="Arial"/>
          <w:i/>
          <w:iCs/>
          <w:shd w:val="clear" w:color="auto" w:fill="FFFFFF"/>
        </w:rPr>
        <w:t>mercantiles</w:t>
      </w:r>
      <w:r w:rsidRPr="005C722B">
        <w:rPr>
          <w:rFonts w:ascii="Arial" w:hAnsi="Arial" w:cs="Arial"/>
          <w:shd w:val="clear" w:color="auto" w:fill="FFFFFF"/>
        </w:rPr>
        <w:t xml:space="preserve"> a actos que en principio no lo son, pero que guardan relación estrecha con actividades de esta naturaleza. En el artículo 21 del Código </w:t>
      </w:r>
      <w:r w:rsidRPr="005C722B">
        <w:rPr>
          <w:rFonts w:ascii="Arial" w:hAnsi="Arial" w:cs="Arial"/>
          <w:shd w:val="clear" w:color="auto" w:fill="FFFFFF"/>
        </w:rPr>
        <w:lastRenderedPageBreak/>
        <w:t xml:space="preserve">de Comercio se incluyen actos no previstos en el artículo 20 que realiza el comerciante o empresario mercantil en desarrollo de su actividad mercantil, y que facilitan su ejercicio y que en razón a ello adquieren comercialidad. </w:t>
      </w:r>
    </w:p>
    <w:p w14:paraId="13DC0859" w14:textId="3598378A" w:rsidR="005C722B" w:rsidRPr="005C722B" w:rsidRDefault="005C722B" w:rsidP="00FF57D2">
      <w:pPr>
        <w:tabs>
          <w:tab w:val="left" w:pos="426"/>
        </w:tabs>
        <w:spacing w:after="120" w:line="276" w:lineRule="auto"/>
        <w:ind w:firstLine="425"/>
        <w:jc w:val="both"/>
        <w:rPr>
          <w:rFonts w:ascii="Arial" w:hAnsi="Arial" w:cs="Arial"/>
          <w:shd w:val="clear" w:color="auto" w:fill="FFFFFF"/>
        </w:rPr>
      </w:pPr>
      <w:r w:rsidRPr="005C722B">
        <w:rPr>
          <w:rFonts w:ascii="Arial" w:hAnsi="Arial" w:cs="Arial"/>
          <w:shd w:val="clear" w:color="auto" w:fill="FFFFFF"/>
        </w:rPr>
        <w:tab/>
        <w:t>Respecto del requisito del establecimiento de comercio, debe señalarse que la actividad comercial se realiza a través de éste que está sujeto al registro mercantil. En efecto, de conformidad con el artículo 25 del Código de Comercio, «</w:t>
      </w:r>
      <w:r w:rsidRPr="005C722B">
        <w:rPr>
          <w:rFonts w:ascii="Arial" w:hAnsi="Arial" w:cs="Arial"/>
          <w:i/>
          <w:iCs/>
          <w:shd w:val="clear" w:color="auto" w:fill="FFFFFF"/>
        </w:rPr>
        <w:t>Se entenderá por empresa toda actividad económica organizada para la producción, transformación, circulación, administración o custodia de bienes, o para la prestación de servicios. Dicha actividad se realizará a través de uno o más establecimientos de comercio</w:t>
      </w:r>
      <w:r w:rsidRPr="005C722B">
        <w:rPr>
          <w:rFonts w:ascii="Arial" w:hAnsi="Arial" w:cs="Arial"/>
          <w:shd w:val="clear" w:color="auto" w:fill="FFFFFF"/>
        </w:rPr>
        <w:t>». El establecimiento de comercio es entonces el instrumento del que se vale el empresario para cumplir los fines de su empresa y por medio del cual se realiza la actividad organizada. La doctrina lo define como el conjunto de bienes materiales e inmateriales organizados para una finalidad económica en el que la organización adquiere un significado fundamental como factor aglutinante de los elementos que integran la hacienda, teniendo en cuenta la función económica a la que están destinados todos: la producción o distribución de bienes y servicios en el mercado</w:t>
      </w:r>
      <w:r w:rsidRPr="005C722B">
        <w:rPr>
          <w:rFonts w:ascii="Arial" w:hAnsi="Arial" w:cs="Arial"/>
          <w:shd w:val="clear" w:color="auto" w:fill="FFFFFF"/>
          <w:vertAlign w:val="superscript"/>
        </w:rPr>
        <w:footnoteReference w:id="13"/>
      </w:r>
      <w:r w:rsidRPr="005C722B">
        <w:rPr>
          <w:rFonts w:ascii="Arial" w:hAnsi="Arial" w:cs="Arial"/>
          <w:shd w:val="clear" w:color="auto" w:fill="FFFFFF"/>
        </w:rPr>
        <w:t>.</w:t>
      </w:r>
    </w:p>
    <w:p w14:paraId="7B390895" w14:textId="2B977629" w:rsidR="005C722B" w:rsidRPr="005C722B" w:rsidRDefault="005C722B" w:rsidP="00FF57D2">
      <w:pPr>
        <w:tabs>
          <w:tab w:val="left" w:pos="426"/>
        </w:tabs>
        <w:spacing w:after="120" w:line="276" w:lineRule="auto"/>
        <w:ind w:firstLine="425"/>
        <w:jc w:val="both"/>
        <w:rPr>
          <w:rFonts w:ascii="Arial" w:hAnsi="Arial" w:cs="Arial"/>
          <w:shd w:val="clear" w:color="auto" w:fill="FFFFFF"/>
        </w:rPr>
      </w:pPr>
      <w:r w:rsidRPr="005C722B">
        <w:rPr>
          <w:rFonts w:ascii="Arial" w:hAnsi="Arial" w:cs="Arial"/>
          <w:shd w:val="clear" w:color="auto" w:fill="FFFFFF"/>
        </w:rPr>
        <w:tab/>
        <w:t>Ahora bien, frente al requisito del registro mercantil, el artículo 26 del Código de Comercio dispone que «</w:t>
      </w:r>
      <w:r w:rsidRPr="005C722B">
        <w:rPr>
          <w:rFonts w:ascii="Arial" w:hAnsi="Arial" w:cs="Arial"/>
          <w:i/>
          <w:iCs/>
          <w:shd w:val="clear" w:color="auto" w:fill="FFFFFF"/>
        </w:rPr>
        <w:t>el registro mercantil tendrá por objeto llevar la matrícula de los comerciantes y de los establecimientos de comercio, así como la inscripción de todos los actos, libros y documentos respecto de los cuales la ley exigiere esa formalidad</w:t>
      </w:r>
      <w:r w:rsidRPr="005C722B">
        <w:rPr>
          <w:rFonts w:ascii="Arial" w:hAnsi="Arial" w:cs="Arial"/>
          <w:shd w:val="clear" w:color="auto" w:fill="FFFFFF"/>
        </w:rPr>
        <w:t xml:space="preserve">». Asimismo, los numerales 6 y 33 del artículo 28 ibidem señalan que cuando un empresario abre su establecimiento de comercio debe cumplir con el deber profesional de matricularlo en el registro mercantil, dentro del mes siguiente a su apertura y la información de dicha matricula debe actualizarse periódicamente mediante la renovación anual dentro de los tres (3) primeros meses de cada año. </w:t>
      </w:r>
    </w:p>
    <w:p w14:paraId="560B3C8E" w14:textId="6C9CD23E" w:rsidR="005C722B" w:rsidRPr="005C722B" w:rsidRDefault="005C722B" w:rsidP="00FF57D2">
      <w:pPr>
        <w:tabs>
          <w:tab w:val="left" w:pos="426"/>
        </w:tabs>
        <w:spacing w:after="120" w:line="276" w:lineRule="auto"/>
        <w:ind w:firstLine="425"/>
        <w:jc w:val="both"/>
        <w:rPr>
          <w:rFonts w:ascii="Arial" w:hAnsi="Arial" w:cs="Arial"/>
          <w:shd w:val="clear" w:color="auto" w:fill="FFFFFF"/>
        </w:rPr>
      </w:pPr>
      <w:r w:rsidRPr="005C722B">
        <w:rPr>
          <w:rFonts w:ascii="Arial" w:hAnsi="Arial" w:cs="Arial"/>
          <w:shd w:val="clear" w:color="auto" w:fill="FFFFFF"/>
        </w:rPr>
        <w:tab/>
        <w:t>De esta manera, se concluye que el numeral tercero del artículo 2.2.1.2.4.2.14 del Decreto 1082 de 2015 –adicionado por el artículo 3 del Decreto 1860 de 2022– para definir los emprendimientos y empresas de mujeres, en el caso de las personas naturales, parte del ejercicio de una actividad comercial y, de acuerdo con el análisis normativo realizado, esta se desarrolla a través de un establecimiento de comercio, el cual debe estar matriculado en el registro mercantil.  Así las cosas, es necesario que la persona natural que realiza actividades de comercio lo haga a través de un establecimiento, y que lo acredite por medio del registro de acuerdo con lo dispuesto no solo en el Decreto 1820 de 2022 sino también por la ley comercial.</w:t>
      </w:r>
    </w:p>
    <w:p w14:paraId="081EFA51" w14:textId="573A7C13" w:rsidR="005C722B" w:rsidRPr="005C722B" w:rsidRDefault="005C722B" w:rsidP="00FF57D2">
      <w:pPr>
        <w:tabs>
          <w:tab w:val="left" w:pos="426"/>
        </w:tabs>
        <w:spacing w:after="120" w:line="276" w:lineRule="auto"/>
        <w:ind w:firstLine="425"/>
        <w:jc w:val="both"/>
        <w:rPr>
          <w:rFonts w:ascii="Arial" w:hAnsi="Arial" w:cs="Arial"/>
          <w:shd w:val="clear" w:color="auto" w:fill="FFFFFF"/>
        </w:rPr>
      </w:pPr>
      <w:r w:rsidRPr="005C722B">
        <w:rPr>
          <w:rFonts w:ascii="Arial" w:hAnsi="Arial" w:cs="Arial"/>
          <w:shd w:val="clear" w:color="auto" w:fill="FFFFFF"/>
        </w:rPr>
        <w:tab/>
        <w:t xml:space="preserve">En este punto, es pertinente aclarar que el registro mercantil solicitado únicamente es requerido para ser acreedor de los criterios diferenciales consagrados a favor de los emprendimientos y empresas de mujeres en el artículo 32 de la Ley 2069 de 2020 y el Decreto 1860 de 2021. Así lo previó el Gobierno Nacional de manera expresa, por lo que es el medio de prueba conducente para demostrar la actividad de comercio de cara al sistema de compras </w:t>
      </w:r>
      <w:r w:rsidRPr="005C722B">
        <w:rPr>
          <w:rFonts w:ascii="Arial" w:hAnsi="Arial" w:cs="Arial"/>
          <w:shd w:val="clear" w:color="auto" w:fill="FFFFFF"/>
        </w:rPr>
        <w:lastRenderedPageBreak/>
        <w:t xml:space="preserve">públicas y contratación estatal. Ello permite la implementación de acciones afirmativas que promueven la participación de este segmento empresarial y les incentiva a que, además, lo hagan de manera formal registrando su establecimiento ante la Cámara de Comercio respectiva tal como lo exige la ley comercial. Por tanto, será indispensable la presentación de dicho documento en caso de pretender beneficiarse de los requisitos habilitantes diferenciales u obtener el puntaje adicional. </w:t>
      </w:r>
    </w:p>
    <w:p w14:paraId="2775AA07" w14:textId="79B6BFF0" w:rsidR="005C722B" w:rsidRPr="005C722B" w:rsidRDefault="005C722B" w:rsidP="00FF57D2">
      <w:pPr>
        <w:tabs>
          <w:tab w:val="left" w:pos="426"/>
        </w:tabs>
        <w:spacing w:after="120" w:line="276" w:lineRule="auto"/>
        <w:ind w:firstLine="425"/>
        <w:jc w:val="both"/>
        <w:rPr>
          <w:rFonts w:ascii="Arial" w:hAnsi="Arial" w:cs="Arial"/>
          <w:shd w:val="clear" w:color="auto" w:fill="FFFFFF"/>
        </w:rPr>
      </w:pPr>
      <w:r w:rsidRPr="005C722B">
        <w:rPr>
          <w:rFonts w:ascii="Arial" w:hAnsi="Arial" w:cs="Arial"/>
          <w:shd w:val="clear" w:color="auto" w:fill="FFFFFF"/>
        </w:rPr>
        <w:tab/>
        <w:t xml:space="preserve">En este sentido, para efectos del artículo 2.2.1.2.4.2.14 del Decreto 1082 de 2015, la acreditación de la condición de mujer y del ejercicio de actividades comerciales a través de establecimiento de comercio de la persona natural, solo será válida mediante la presentación de los documentos establecidos en el numeral 3 de la norma señalada, esto es, adjuntando copia de la cédula de ciudadanía, cédula de extranjería o pasaporte y copia del registro mercantil. </w:t>
      </w:r>
    </w:p>
    <w:p w14:paraId="6312AC76" w14:textId="3B4B3474" w:rsidR="00604D57" w:rsidRPr="005C722B" w:rsidRDefault="005C722B" w:rsidP="00FF57D2">
      <w:pPr>
        <w:tabs>
          <w:tab w:val="left" w:pos="426"/>
        </w:tabs>
        <w:spacing w:after="120" w:line="276" w:lineRule="auto"/>
        <w:ind w:firstLine="425"/>
        <w:jc w:val="both"/>
        <w:rPr>
          <w:rFonts w:ascii="Arial" w:hAnsi="Arial" w:cs="Arial"/>
          <w:shd w:val="clear" w:color="auto" w:fill="FFFFFF"/>
        </w:rPr>
      </w:pPr>
      <w:r w:rsidRPr="005C722B">
        <w:rPr>
          <w:rFonts w:ascii="Arial" w:hAnsi="Arial" w:cs="Arial"/>
          <w:shd w:val="clear" w:color="auto" w:fill="FFFFFF"/>
        </w:rPr>
        <w:tab/>
        <w:t>De lo anterior, debe advertirse que el texto de la norma bajo estudio no establece alguna hipótesis en virtud de la cual fuera posible encuadrar dentro de la definición de emprendimientos o empresas de mujeres, a personas naturales que no hayan desarrollado actividades a través de establecimiento de comercio con un término menor a un (1) año. Las personas naturales que no cuenten con registro mercantil, mediante el cual se acredita que han ejercido actividades comerciales a través de un establecimiento de comercio, aun cuando acrediten su condición de mujer mediante copia de la cedula de ciudadanía, cédula de extranjería o el pasaporte, no cumplirían con los requisitos establecidos en la definición de emprendimientos y empresas de mujeres que consagra el Decreto 1860 de 2021, para efectos de la aplicación de los criterios diferenciales establecidos por el artículo 32 de la Ley 2069 de 2020, reglamentados por el artículo 2.2.1.2.4.2.15 del Decreto 1082 de 2015.</w:t>
      </w:r>
    </w:p>
    <w:p w14:paraId="2C61E99B" w14:textId="77777777" w:rsidR="005C722B" w:rsidRPr="005C722B" w:rsidRDefault="005C722B" w:rsidP="00FF57D2">
      <w:pPr>
        <w:tabs>
          <w:tab w:val="left" w:pos="426"/>
        </w:tabs>
        <w:spacing w:after="120" w:line="276" w:lineRule="auto"/>
        <w:ind w:firstLine="425"/>
        <w:jc w:val="both"/>
        <w:rPr>
          <w:rFonts w:ascii="Arial" w:eastAsia="Calibri" w:hAnsi="Arial" w:cs="Arial"/>
          <w:color w:val="000000" w:themeColor="text1"/>
          <w:lang w:eastAsia="es-ES_tradnl"/>
        </w:rPr>
      </w:pPr>
    </w:p>
    <w:p w14:paraId="4C49547A" w14:textId="4F28285F" w:rsidR="00604D57" w:rsidRPr="005C722B" w:rsidRDefault="005C722B" w:rsidP="005C722B">
      <w:pPr>
        <w:spacing w:line="276" w:lineRule="auto"/>
        <w:jc w:val="both"/>
        <w:textAlignment w:val="baseline"/>
        <w:rPr>
          <w:rFonts w:ascii="Arial" w:eastAsia="Times New Roman" w:hAnsi="Arial" w:cs="Arial"/>
          <w:sz w:val="18"/>
          <w:szCs w:val="18"/>
          <w:lang w:eastAsia="es-CO"/>
        </w:rPr>
      </w:pPr>
      <w:bookmarkStart w:id="10" w:name="_Hlk99548433"/>
      <w:r w:rsidRPr="005C722B">
        <w:rPr>
          <w:rFonts w:ascii="Arial" w:eastAsia="Times New Roman" w:hAnsi="Arial" w:cs="Arial"/>
          <w:b/>
          <w:bCs/>
          <w:lang w:val="es-ES" w:eastAsia="es-CO"/>
        </w:rPr>
        <w:t>2.3. Requisitos habilitantes diferenciales para emprendimientos y empresas de mujeres y MiPymes en el Decreto 1860 de 2021, y su inclusión en los documentos tipo</w:t>
      </w:r>
      <w:r w:rsidRPr="005C722B">
        <w:rPr>
          <w:rFonts w:ascii="Arial" w:eastAsia="Times New Roman" w:hAnsi="Arial" w:cs="Arial"/>
          <w:lang w:eastAsia="es-CO"/>
        </w:rPr>
        <w:t> </w:t>
      </w:r>
    </w:p>
    <w:p w14:paraId="4A24C2D3" w14:textId="77777777" w:rsidR="005C722B" w:rsidRPr="005C722B" w:rsidRDefault="005C722B" w:rsidP="005C722B">
      <w:pPr>
        <w:spacing w:line="276" w:lineRule="auto"/>
        <w:jc w:val="both"/>
        <w:textAlignment w:val="baseline"/>
        <w:rPr>
          <w:rFonts w:ascii="Arial" w:eastAsia="Times New Roman" w:hAnsi="Arial" w:cs="Arial"/>
          <w:lang w:eastAsia="es-CO"/>
        </w:rPr>
      </w:pPr>
    </w:p>
    <w:p w14:paraId="7F52E274" w14:textId="77777777" w:rsidR="005C722B" w:rsidRPr="005C722B" w:rsidRDefault="005C722B" w:rsidP="005C722B">
      <w:pPr>
        <w:spacing w:line="276" w:lineRule="auto"/>
        <w:jc w:val="both"/>
        <w:textAlignment w:val="baseline"/>
        <w:rPr>
          <w:rFonts w:ascii="Arial" w:eastAsia="Times New Roman" w:hAnsi="Arial" w:cs="Arial"/>
          <w:sz w:val="18"/>
          <w:szCs w:val="18"/>
          <w:lang w:eastAsia="es-CO"/>
        </w:rPr>
      </w:pPr>
      <w:r w:rsidRPr="005C722B">
        <w:rPr>
          <w:rFonts w:ascii="Arial" w:eastAsia="Times New Roman" w:hAnsi="Arial" w:cs="Arial"/>
          <w:lang w:val="es-ES" w:eastAsia="es-CO"/>
        </w:rPr>
        <w:t xml:space="preserve">Conforme a todas las consideraciones expuestas </w:t>
      </w:r>
      <w:r w:rsidRPr="005C722B">
        <w:rPr>
          <w:rFonts w:ascii="Arial" w:eastAsia="Times New Roman" w:hAnsi="Arial" w:cs="Arial"/>
          <w:iCs/>
          <w:lang w:val="es-ES" w:eastAsia="es-CO"/>
        </w:rPr>
        <w:t>en los acápites anteriores,</w:t>
      </w:r>
      <w:r w:rsidRPr="005C722B">
        <w:rPr>
          <w:rFonts w:ascii="Arial" w:eastAsia="Times New Roman" w:hAnsi="Arial" w:cs="Arial"/>
          <w:lang w:val="es-ES" w:eastAsia="es-CO"/>
        </w:rPr>
        <w:t xml:space="preserve"> con relación a los </w:t>
      </w:r>
      <w:r w:rsidRPr="005C722B">
        <w:rPr>
          <w:rFonts w:ascii="Arial" w:eastAsia="Times New Roman" w:hAnsi="Arial" w:cs="Arial"/>
          <w:i/>
          <w:iCs/>
          <w:lang w:val="es-ES" w:eastAsia="es-CO"/>
        </w:rPr>
        <w:t xml:space="preserve">requisitos habilitantes, </w:t>
      </w:r>
      <w:r w:rsidRPr="005C722B">
        <w:rPr>
          <w:rFonts w:ascii="Arial" w:eastAsia="Times New Roman" w:hAnsi="Arial" w:cs="Arial"/>
          <w:iCs/>
          <w:lang w:val="es-ES" w:eastAsia="es-CO"/>
        </w:rPr>
        <w:t xml:space="preserve">así como frente a los </w:t>
      </w:r>
      <w:r w:rsidRPr="005C722B">
        <w:rPr>
          <w:rFonts w:ascii="Arial" w:eastAsia="Times New Roman" w:hAnsi="Arial" w:cs="Arial"/>
          <w:lang w:eastAsia="es-CO"/>
        </w:rPr>
        <w:t xml:space="preserve">incentivos para las personas interesadas en celebrar contratos con el Estado, especialmente, criterios diferenciales para el acceso de las MiPymes y criterios diferenciales para los </w:t>
      </w:r>
      <w:r w:rsidRPr="005C722B">
        <w:rPr>
          <w:rFonts w:ascii="Arial" w:eastAsia="Times New Roman" w:hAnsi="Arial" w:cs="Arial"/>
          <w:i/>
          <w:iCs/>
          <w:lang w:eastAsia="es-CO"/>
        </w:rPr>
        <w:t>«emprendimientos y empresas de mujeres»</w:t>
      </w:r>
      <w:r w:rsidRPr="005C722B">
        <w:rPr>
          <w:rFonts w:ascii="Arial" w:eastAsia="Times New Roman" w:hAnsi="Arial" w:cs="Arial"/>
          <w:lang w:eastAsia="es-CO"/>
        </w:rPr>
        <w:t xml:space="preserve"> en el sistema de compras y contratación pública, es claro que</w:t>
      </w:r>
      <w:r w:rsidRPr="005C722B">
        <w:rPr>
          <w:rFonts w:ascii="Arial" w:eastAsia="Times New Roman" w:hAnsi="Arial" w:cs="Arial"/>
          <w:lang w:val="es-ES" w:eastAsia="es-CO"/>
        </w:rPr>
        <w:t xml:space="preserve">, los artículos 31 y 32 de la Ley 2069 de 2021 introducen la posibilidad de las Entidades Estatales de incluir </w:t>
      </w:r>
      <w:r w:rsidRPr="005C722B">
        <w:rPr>
          <w:rFonts w:ascii="Arial" w:eastAsia="Times New Roman" w:hAnsi="Arial" w:cs="Arial"/>
          <w:shd w:val="clear" w:color="auto" w:fill="FFFFFF"/>
          <w:lang w:val="es-ES" w:eastAsia="es-CO"/>
        </w:rPr>
        <w:t xml:space="preserve">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MiPymes y para emprendimientos y empresas de mujeres. Esto a título de medidas de acción </w:t>
      </w:r>
      <w:r w:rsidRPr="005C722B">
        <w:rPr>
          <w:rFonts w:ascii="Arial" w:eastAsia="Times New Roman" w:hAnsi="Arial" w:cs="Arial"/>
          <w:shd w:val="clear" w:color="auto" w:fill="FFFFFF"/>
          <w:lang w:val="es-ES" w:eastAsia="es-CO"/>
        </w:rPr>
        <w:lastRenderedPageBreak/>
        <w:t>afirmativa para incentivar la participación de estos sujetos en el sistema de compras públicas, sin perjuicio de los compromisos adquiridos por Colombia en los acuerdos comerciales en vigor.</w:t>
      </w:r>
      <w:r w:rsidRPr="005C722B">
        <w:rPr>
          <w:rFonts w:ascii="Arial" w:eastAsia="Times New Roman" w:hAnsi="Arial" w:cs="Arial"/>
          <w:shd w:val="clear" w:color="auto" w:fill="FFFFFF"/>
          <w:lang w:eastAsia="es-CO"/>
        </w:rPr>
        <w:t> </w:t>
      </w:r>
      <w:r w:rsidRPr="005C722B">
        <w:rPr>
          <w:rFonts w:ascii="Arial" w:eastAsia="Times New Roman" w:hAnsi="Arial" w:cs="Arial"/>
          <w:lang w:eastAsia="es-CO"/>
        </w:rPr>
        <w:t> </w:t>
      </w:r>
    </w:p>
    <w:p w14:paraId="29C6791F" w14:textId="77777777" w:rsidR="005C722B" w:rsidRPr="005C722B" w:rsidRDefault="005C722B" w:rsidP="00FF57D2">
      <w:pPr>
        <w:spacing w:after="120" w:line="276" w:lineRule="auto"/>
        <w:ind w:firstLine="709"/>
        <w:jc w:val="both"/>
        <w:textAlignment w:val="baseline"/>
        <w:rPr>
          <w:rFonts w:ascii="Arial" w:eastAsia="Times New Roman" w:hAnsi="Arial" w:cs="Arial"/>
          <w:sz w:val="18"/>
          <w:szCs w:val="18"/>
          <w:lang w:eastAsia="es-CO"/>
        </w:rPr>
      </w:pPr>
      <w:r w:rsidRPr="005C722B">
        <w:rPr>
          <w:rFonts w:ascii="Arial" w:eastAsia="Times New Roman" w:hAnsi="Arial" w:cs="Arial"/>
          <w:lang w:val="es-ES" w:eastAsia="es-CO"/>
        </w:rPr>
        <w:t>En relación con el significado de emprendimientos y empresas de mujeres y conforme a lo dicho en el parágrafo del artículo 32 de la Ley 2069 de 2020, el Decreto 1860 de 2021 adicionó el artículo 2.2.1.2.4.2.14 al Decreto 1082 de 2015. Esta norma establece las condiciones y requisitos en atención a los cuales se definen las empresas y emprendimientos de mujeres, a las que les aplican los criterios diferenciales. </w:t>
      </w:r>
      <w:r w:rsidRPr="005C722B">
        <w:rPr>
          <w:rFonts w:ascii="Arial" w:eastAsia="Times New Roman" w:hAnsi="Arial" w:cs="Arial"/>
          <w:lang w:eastAsia="es-CO"/>
        </w:rPr>
        <w:t> </w:t>
      </w:r>
    </w:p>
    <w:p w14:paraId="3E217334" w14:textId="77777777" w:rsidR="005C722B" w:rsidRPr="005C722B" w:rsidRDefault="005C722B" w:rsidP="00FF57D2">
      <w:pPr>
        <w:spacing w:after="120" w:line="276" w:lineRule="auto"/>
        <w:ind w:firstLine="709"/>
        <w:jc w:val="both"/>
        <w:textAlignment w:val="baseline"/>
        <w:rPr>
          <w:rFonts w:ascii="Arial" w:eastAsia="Times New Roman" w:hAnsi="Arial" w:cs="Arial"/>
          <w:sz w:val="18"/>
          <w:szCs w:val="18"/>
          <w:lang w:eastAsia="es-CO"/>
        </w:rPr>
      </w:pPr>
      <w:r w:rsidRPr="005C722B">
        <w:rPr>
          <w:rFonts w:ascii="Arial" w:eastAsia="Times New Roman" w:hAnsi="Arial" w:cs="Arial"/>
          <w:lang w:eastAsia="es-CO"/>
        </w:rPr>
        <w:t>Por su parte el artículo 2.2.1.2.4.2.15 del Decreto 1082 de 2015, adicionado por el Decreto 1860 de 2021, que se analizará a fondo a continuación, complementa la regulación de criterios diferenciales estableciendo la posibilidad de unos requisitos habilitantes diferenciales para incentivar emprendimientos y empresas de mujeres, que deben ser menos rigurosos respecto a los contemplados para los otros proponentes que no cumplan con alguno de los criterios del artículo 2.2.1.2.4.2.14. Los mismos requisitos habilitantes diferenciales podrán ser utilizados para fomentar la participación de MiPymes, en los términos previstos en el artículo 2.2.1.2.4.2.18</w:t>
      </w:r>
      <w:r w:rsidRPr="005C722B">
        <w:rPr>
          <w:rFonts w:ascii="Arial" w:eastAsia="Times New Roman" w:hAnsi="Arial" w:cs="Arial"/>
          <w:vertAlign w:val="superscript"/>
          <w:lang w:eastAsia="es-CO"/>
        </w:rPr>
        <w:footnoteReference w:id="14"/>
      </w:r>
      <w:r w:rsidRPr="005C722B">
        <w:rPr>
          <w:rFonts w:ascii="Arial" w:eastAsia="Times New Roman" w:hAnsi="Arial" w:cs="Arial"/>
          <w:sz w:val="17"/>
          <w:szCs w:val="17"/>
          <w:lang w:eastAsia="es-CO"/>
        </w:rPr>
        <w:t xml:space="preserve"> </w:t>
      </w:r>
      <w:r w:rsidRPr="005C722B">
        <w:rPr>
          <w:rFonts w:ascii="Arial" w:eastAsia="Times New Roman" w:hAnsi="Arial" w:cs="Arial"/>
          <w:lang w:eastAsia="es-CO"/>
        </w:rPr>
        <w:t>adicionado por el Decreto 1860 de 2021.</w:t>
      </w:r>
    </w:p>
    <w:p w14:paraId="244D5CAC" w14:textId="77777777" w:rsidR="005C722B" w:rsidRPr="005C722B" w:rsidRDefault="005C722B" w:rsidP="00FF57D2">
      <w:pPr>
        <w:spacing w:after="120" w:line="276" w:lineRule="auto"/>
        <w:ind w:firstLine="709"/>
        <w:jc w:val="both"/>
        <w:textAlignment w:val="baseline"/>
        <w:rPr>
          <w:rFonts w:ascii="Arial" w:eastAsia="Times New Roman" w:hAnsi="Arial" w:cs="Arial"/>
          <w:sz w:val="18"/>
          <w:szCs w:val="18"/>
          <w:lang w:eastAsia="es-CO"/>
        </w:rPr>
      </w:pPr>
      <w:r w:rsidRPr="005C722B">
        <w:rPr>
          <w:rFonts w:ascii="Arial" w:eastAsia="Times New Roman" w:hAnsi="Arial" w:cs="Arial"/>
          <w:lang w:eastAsia="es-CO"/>
        </w:rPr>
        <w:t>Del mismo modo, el artículo 2.2.1.2.4.2.15 del Decreto 1082 de 2015 también regula un puntaje adicional de hasta el 0,25% del valor total de los puntos establecidos en los pliegos de condiciones o documentos equivalentes, para los proponentes que acrediten alguno de los supuestos del artículo 2.2.1.2.4.2.14 del Decreto 1082 de 2015.  </w:t>
      </w:r>
    </w:p>
    <w:p w14:paraId="46E8F09A" w14:textId="77777777" w:rsidR="005C722B" w:rsidRPr="005C722B" w:rsidRDefault="005C722B" w:rsidP="00FF57D2">
      <w:pPr>
        <w:spacing w:after="120" w:line="276" w:lineRule="auto"/>
        <w:ind w:firstLine="709"/>
        <w:jc w:val="both"/>
        <w:textAlignment w:val="baseline"/>
        <w:rPr>
          <w:rFonts w:ascii="Arial" w:eastAsia="Times New Roman" w:hAnsi="Arial" w:cs="Arial"/>
          <w:sz w:val="18"/>
          <w:szCs w:val="18"/>
          <w:lang w:eastAsia="es-CO"/>
        </w:rPr>
      </w:pPr>
      <w:r w:rsidRPr="005C722B">
        <w:rPr>
          <w:rFonts w:ascii="Arial" w:eastAsia="Times New Roman" w:hAnsi="Arial" w:cs="Arial"/>
          <w:lang w:eastAsia="es-CO"/>
        </w:rPr>
        <w:t xml:space="preserve">De acuerdo con lo anterior, 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w:t>
      </w:r>
      <w:r w:rsidRPr="005C722B">
        <w:rPr>
          <w:rFonts w:ascii="Arial" w:eastAsia="Times New Roman" w:hAnsi="Arial" w:cs="Arial"/>
          <w:i/>
          <w:iCs/>
          <w:lang w:eastAsia="es-CO"/>
        </w:rPr>
        <w:t>«Es objetiva la selección en la cual la escogencia se haga al ofrecimiento más favorable a la entidad y a los fines que ella busca, sin tener en consideración factores de afecto o de interés y, en general, cualquier clase de motivación subjetiva».</w:t>
      </w:r>
      <w:r w:rsidRPr="005C722B">
        <w:rPr>
          <w:rFonts w:ascii="Arial" w:eastAsia="Times New Roman" w:hAnsi="Arial" w:cs="Arial"/>
          <w:lang w:eastAsia="es-CO"/>
        </w:rPr>
        <w:t xml:space="preserve"> Además, la norma citada agrega que los factores de escogencia y calificación que establezcan las entidades en los pliegos de condiciones o sus </w:t>
      </w:r>
      <w:proofErr w:type="gramStart"/>
      <w:r w:rsidRPr="005C722B">
        <w:rPr>
          <w:rFonts w:ascii="Arial" w:eastAsia="Times New Roman" w:hAnsi="Arial" w:cs="Arial"/>
          <w:lang w:eastAsia="es-CO"/>
        </w:rPr>
        <w:t>equivalentes,</w:t>
      </w:r>
      <w:proofErr w:type="gramEnd"/>
      <w:r w:rsidRPr="005C722B">
        <w:rPr>
          <w:rFonts w:ascii="Arial" w:eastAsia="Times New Roman" w:hAnsi="Arial" w:cs="Arial"/>
          <w:lang w:eastAsia="es-CO"/>
        </w:rPr>
        <w:t xml:space="preserve"> tendrán en cuenta </w:t>
      </w:r>
      <w:r w:rsidRPr="005C722B">
        <w:rPr>
          <w:rFonts w:ascii="Arial" w:eastAsia="Times New Roman" w:hAnsi="Arial" w:cs="Arial"/>
          <w:lang w:eastAsia="es-CO"/>
        </w:rPr>
        <w:lastRenderedPageBreak/>
        <w:t>criterios como la experiencia y la capacidad jurídica, financiera y de organización, entre otros elementos que garanticen la escogencia de la mejor opción de negocio para la Entidad Estatal.  </w:t>
      </w:r>
    </w:p>
    <w:p w14:paraId="71630DAC" w14:textId="77777777" w:rsidR="005C722B" w:rsidRPr="005C722B" w:rsidRDefault="005C722B" w:rsidP="00FF57D2">
      <w:pPr>
        <w:spacing w:after="120" w:line="276" w:lineRule="auto"/>
        <w:ind w:firstLine="709"/>
        <w:jc w:val="both"/>
        <w:textAlignment w:val="baseline"/>
        <w:rPr>
          <w:rFonts w:ascii="Arial" w:eastAsia="Times New Roman" w:hAnsi="Arial" w:cs="Arial"/>
          <w:lang w:eastAsia="es-CO"/>
        </w:rPr>
      </w:pPr>
      <w:r w:rsidRPr="005C722B">
        <w:rPr>
          <w:rFonts w:ascii="Arial" w:eastAsia="Times New Roman" w:hAnsi="Arial" w:cs="Arial"/>
          <w:lang w:eastAsia="es-CO"/>
        </w:rPr>
        <w:t xml:space="preserve">No obstante, en virtud de los incentivos previstos en los artículos 31 y 32 de la Ley 2069 de 2020 y su reglamentación contenida en el Decreto 1860 de 2021, es posible que la selección objetiva del contratista del Estado sea realizada por las entidades contratantes acudiendo a factores habilitantes y de calificación de los participantes, fijados en los pliegos de condiciones de forma </w:t>
      </w:r>
      <w:r w:rsidRPr="005C722B">
        <w:rPr>
          <w:rFonts w:ascii="Arial" w:eastAsia="Times New Roman" w:hAnsi="Arial" w:cs="Arial"/>
          <w:i/>
          <w:iCs/>
          <w:lang w:eastAsia="es-CO"/>
        </w:rPr>
        <w:t>diferencial</w:t>
      </w:r>
      <w:r w:rsidRPr="005C722B">
        <w:rPr>
          <w:rFonts w:ascii="Arial" w:eastAsia="Times New Roman" w:hAnsi="Arial" w:cs="Arial"/>
          <w:lang w:eastAsia="es-CO"/>
        </w:rPr>
        <w:t xml:space="preserve">, con el objeto de fomentar o facilitar el acceso a las compras públicas de sujetos de menor capacidad en el mercado, como es el caso de los emprendimientos y empresas de mujeres y las MiPymes, por razones de equidad, siempre y cuando el uso de estas medidas afirmativas resulte justificado y no ponga en riesgo el adecuado cumplimiento del contrato, según el análisis del sector y los estudios previos que soporten el proceso contractual. </w:t>
      </w:r>
    </w:p>
    <w:p w14:paraId="00107580" w14:textId="77777777" w:rsidR="005C722B" w:rsidRPr="005C722B" w:rsidRDefault="005C722B" w:rsidP="00FF57D2">
      <w:pPr>
        <w:spacing w:after="120" w:line="276" w:lineRule="auto"/>
        <w:ind w:firstLine="709"/>
        <w:jc w:val="both"/>
        <w:textAlignment w:val="baseline"/>
        <w:rPr>
          <w:rFonts w:ascii="Arial" w:eastAsia="Times New Roman" w:hAnsi="Arial" w:cs="Arial"/>
          <w:lang w:eastAsia="es-CO"/>
        </w:rPr>
      </w:pPr>
      <w:r w:rsidRPr="005C722B">
        <w:rPr>
          <w:rFonts w:ascii="Arial" w:eastAsia="Times New Roman" w:hAnsi="Arial" w:cs="Arial"/>
          <w:lang w:eastAsia="es-CO"/>
        </w:rPr>
        <w:t xml:space="preserve">Para el efecto dichos requisitos habilitantes contemplados en el pliego de condiciones podrán ser menos exigentes para los emprendimientos y empresas de mujeres y para las MiPymes, según lo justifiquen los instrumentos de planeación precontractual que determinen las Entidades Estatales, por lo tanto, y de conformidad con el articulado adicionado por el Decreto 1860 de 2021, los requisitos </w:t>
      </w:r>
      <w:bookmarkEnd w:id="10"/>
      <w:r w:rsidRPr="005C722B">
        <w:rPr>
          <w:rFonts w:ascii="Arial" w:eastAsia="Times New Roman" w:hAnsi="Arial" w:cs="Arial"/>
          <w:lang w:eastAsia="es-CO"/>
        </w:rPr>
        <w:t>habilitantes diferenciales que deberán incluir en los Documentos del Proceso deberán estar relacionados con los siguientes aspectos:</w:t>
      </w:r>
    </w:p>
    <w:p w14:paraId="12786647" w14:textId="77777777" w:rsidR="005C722B" w:rsidRPr="005C722B" w:rsidRDefault="005C722B" w:rsidP="00FF57D2">
      <w:pPr>
        <w:spacing w:after="120" w:line="276" w:lineRule="auto"/>
        <w:ind w:firstLine="709"/>
        <w:jc w:val="both"/>
        <w:textAlignment w:val="baseline"/>
        <w:rPr>
          <w:rFonts w:ascii="Arial" w:eastAsia="Times New Roman" w:hAnsi="Arial" w:cs="Arial"/>
          <w:i/>
          <w:iCs/>
          <w:sz w:val="21"/>
          <w:szCs w:val="21"/>
          <w:lang w:eastAsia="es-CO"/>
        </w:rPr>
      </w:pPr>
      <w:r w:rsidRPr="005C722B">
        <w:rPr>
          <w:rFonts w:ascii="Arial" w:eastAsia="Times New Roman" w:hAnsi="Arial" w:cs="Arial"/>
          <w:i/>
          <w:iCs/>
          <w:sz w:val="21"/>
          <w:szCs w:val="21"/>
          <w:lang w:eastAsia="es-CO"/>
        </w:rPr>
        <w:t>«1. Tiempo de experiencia.</w:t>
      </w:r>
    </w:p>
    <w:p w14:paraId="2FF85CCE" w14:textId="77777777" w:rsidR="005C722B" w:rsidRPr="005C722B" w:rsidRDefault="005C722B" w:rsidP="00FF57D2">
      <w:pPr>
        <w:spacing w:after="120" w:line="276" w:lineRule="auto"/>
        <w:ind w:firstLine="709"/>
        <w:jc w:val="both"/>
        <w:textAlignment w:val="baseline"/>
        <w:rPr>
          <w:rFonts w:ascii="Arial" w:eastAsia="Times New Roman" w:hAnsi="Arial" w:cs="Arial"/>
          <w:b/>
          <w:bCs/>
          <w:i/>
          <w:iCs/>
          <w:sz w:val="21"/>
          <w:szCs w:val="21"/>
          <w:lang w:eastAsia="es-CO"/>
        </w:rPr>
      </w:pPr>
      <w:r w:rsidRPr="005C722B">
        <w:rPr>
          <w:rFonts w:ascii="Arial" w:eastAsia="Times New Roman" w:hAnsi="Arial" w:cs="Arial"/>
          <w:b/>
          <w:bCs/>
          <w:i/>
          <w:iCs/>
          <w:sz w:val="21"/>
          <w:szCs w:val="21"/>
          <w:lang w:eastAsia="es-CO"/>
        </w:rPr>
        <w:t>2. Número de contratos para la acreditación de la experiencia.</w:t>
      </w:r>
    </w:p>
    <w:p w14:paraId="660D1601" w14:textId="77777777" w:rsidR="005C722B" w:rsidRPr="005C722B" w:rsidRDefault="005C722B" w:rsidP="00FF57D2">
      <w:pPr>
        <w:spacing w:after="120" w:line="276" w:lineRule="auto"/>
        <w:ind w:firstLine="709"/>
        <w:jc w:val="both"/>
        <w:textAlignment w:val="baseline"/>
        <w:rPr>
          <w:rFonts w:ascii="Arial" w:eastAsia="Times New Roman" w:hAnsi="Arial" w:cs="Arial"/>
          <w:i/>
          <w:iCs/>
          <w:sz w:val="21"/>
          <w:szCs w:val="21"/>
          <w:lang w:eastAsia="es-CO"/>
        </w:rPr>
      </w:pPr>
      <w:r w:rsidRPr="005C722B">
        <w:rPr>
          <w:rFonts w:ascii="Arial" w:eastAsia="Times New Roman" w:hAnsi="Arial" w:cs="Arial"/>
          <w:i/>
          <w:iCs/>
          <w:sz w:val="21"/>
          <w:szCs w:val="21"/>
          <w:lang w:eastAsia="es-CO"/>
        </w:rPr>
        <w:t>3. Índices de capacidad financiera.</w:t>
      </w:r>
    </w:p>
    <w:p w14:paraId="1F1223D2" w14:textId="77777777" w:rsidR="005C722B" w:rsidRPr="005C722B" w:rsidRDefault="005C722B" w:rsidP="00FF57D2">
      <w:pPr>
        <w:spacing w:after="120" w:line="276" w:lineRule="auto"/>
        <w:ind w:firstLine="709"/>
        <w:jc w:val="both"/>
        <w:textAlignment w:val="baseline"/>
        <w:rPr>
          <w:rFonts w:ascii="Arial" w:eastAsia="Times New Roman" w:hAnsi="Arial" w:cs="Arial"/>
          <w:i/>
          <w:iCs/>
          <w:sz w:val="21"/>
          <w:szCs w:val="21"/>
          <w:lang w:eastAsia="es-CO"/>
        </w:rPr>
      </w:pPr>
      <w:r w:rsidRPr="005C722B">
        <w:rPr>
          <w:rFonts w:ascii="Arial" w:eastAsia="Times New Roman" w:hAnsi="Arial" w:cs="Arial"/>
          <w:i/>
          <w:iCs/>
          <w:sz w:val="21"/>
          <w:szCs w:val="21"/>
          <w:lang w:eastAsia="es-CO"/>
        </w:rPr>
        <w:t>4. Índices de capacidad organizacional.</w:t>
      </w:r>
    </w:p>
    <w:p w14:paraId="15F4E1A5" w14:textId="77777777" w:rsidR="005C722B" w:rsidRPr="005C722B" w:rsidRDefault="005C722B" w:rsidP="00FF57D2">
      <w:pPr>
        <w:spacing w:after="120" w:line="276" w:lineRule="auto"/>
        <w:ind w:firstLine="709"/>
        <w:jc w:val="both"/>
        <w:textAlignment w:val="baseline"/>
        <w:rPr>
          <w:rFonts w:ascii="Arial" w:eastAsia="Times New Roman" w:hAnsi="Arial" w:cs="Arial"/>
          <w:sz w:val="21"/>
          <w:szCs w:val="21"/>
          <w:lang w:eastAsia="es-CO"/>
        </w:rPr>
      </w:pPr>
      <w:r w:rsidRPr="005C722B">
        <w:rPr>
          <w:rFonts w:ascii="Arial" w:eastAsia="Times New Roman" w:hAnsi="Arial" w:cs="Arial"/>
          <w:i/>
          <w:iCs/>
          <w:sz w:val="21"/>
          <w:szCs w:val="21"/>
          <w:lang w:eastAsia="es-CO"/>
        </w:rPr>
        <w:t>5. Valor de la garantía de seriedad de la oferta.» (</w:t>
      </w:r>
      <w:r w:rsidRPr="005C722B">
        <w:rPr>
          <w:rFonts w:ascii="Arial" w:eastAsia="Times New Roman" w:hAnsi="Arial" w:cs="Arial"/>
          <w:sz w:val="21"/>
          <w:szCs w:val="21"/>
          <w:lang w:eastAsia="es-CO"/>
        </w:rPr>
        <w:t>negrilla fuera de texto)</w:t>
      </w:r>
    </w:p>
    <w:p w14:paraId="6E812CD0" w14:textId="77777777" w:rsidR="005C722B" w:rsidRPr="005C722B" w:rsidRDefault="005C722B" w:rsidP="00FF57D2">
      <w:pPr>
        <w:spacing w:after="120" w:line="276" w:lineRule="auto"/>
        <w:ind w:firstLine="709"/>
        <w:jc w:val="both"/>
        <w:textAlignment w:val="baseline"/>
        <w:rPr>
          <w:rFonts w:ascii="Arial" w:eastAsia="Calibri" w:hAnsi="Arial" w:cs="Arial"/>
          <w:bCs/>
          <w:color w:val="000000"/>
          <w:szCs w:val="24"/>
          <w:lang w:eastAsia="es-ES_tradnl" w:bidi="es-ES"/>
        </w:rPr>
      </w:pPr>
      <w:r w:rsidRPr="005C722B">
        <w:rPr>
          <w:rFonts w:ascii="Arial" w:eastAsia="Times New Roman" w:hAnsi="Arial" w:cs="Arial"/>
          <w:lang w:eastAsia="es-CO"/>
        </w:rPr>
        <w:t xml:space="preserve">Los requisitos mencionados deberán fijarse respetando las condiciones habilitantes necesarias para el cumplimiento adecuado del contrato, teniendo en cuenta el alcance de las obligaciones. </w:t>
      </w:r>
      <w:r w:rsidRPr="005C722B">
        <w:rPr>
          <w:rFonts w:ascii="Arial" w:eastAsia="Calibri" w:hAnsi="Arial" w:cs="Arial"/>
          <w:bCs/>
          <w:color w:val="000000"/>
          <w:szCs w:val="24"/>
          <w:lang w:eastAsia="es-ES_tradnl" w:bidi="es-ES"/>
        </w:rPr>
        <w:t xml:space="preserve">Además según la norma citada, se determinó que en los procesos de contratación competitivos se debían incorporar requisitos habilitantes diferenciales para los emprendimientos y empresas de mujeres, relacionados con alguno o algunos de los siguientes aspectos: i) tiempo de experiencia, </w:t>
      </w:r>
      <w:proofErr w:type="spellStart"/>
      <w:r w:rsidRPr="005C722B">
        <w:rPr>
          <w:rFonts w:ascii="Arial" w:eastAsia="Calibri" w:hAnsi="Arial" w:cs="Arial"/>
          <w:bCs/>
          <w:color w:val="000000"/>
          <w:szCs w:val="24"/>
          <w:lang w:eastAsia="es-ES_tradnl" w:bidi="es-ES"/>
        </w:rPr>
        <w:t>ii</w:t>
      </w:r>
      <w:proofErr w:type="spellEnd"/>
      <w:r w:rsidRPr="005C722B">
        <w:rPr>
          <w:rFonts w:ascii="Arial" w:eastAsia="Calibri" w:hAnsi="Arial" w:cs="Arial"/>
          <w:bCs/>
          <w:color w:val="000000"/>
          <w:szCs w:val="24"/>
          <w:lang w:eastAsia="es-ES_tradnl" w:bidi="es-ES"/>
        </w:rPr>
        <w:t xml:space="preserve">) número de contratos para la acreditación de la experiencia, </w:t>
      </w:r>
      <w:proofErr w:type="spellStart"/>
      <w:r w:rsidRPr="005C722B">
        <w:rPr>
          <w:rFonts w:ascii="Arial" w:eastAsia="Calibri" w:hAnsi="Arial" w:cs="Arial"/>
          <w:bCs/>
          <w:color w:val="000000"/>
          <w:szCs w:val="24"/>
          <w:lang w:eastAsia="es-ES_tradnl" w:bidi="es-ES"/>
        </w:rPr>
        <w:t>iii</w:t>
      </w:r>
      <w:proofErr w:type="spellEnd"/>
      <w:r w:rsidRPr="005C722B">
        <w:rPr>
          <w:rFonts w:ascii="Arial" w:eastAsia="Calibri" w:hAnsi="Arial" w:cs="Arial"/>
          <w:bCs/>
          <w:color w:val="000000"/>
          <w:szCs w:val="24"/>
          <w:lang w:eastAsia="es-ES_tradnl" w:bidi="es-ES"/>
        </w:rPr>
        <w:t xml:space="preserve">) índices de capacidad financiera, </w:t>
      </w:r>
      <w:proofErr w:type="spellStart"/>
      <w:r w:rsidRPr="005C722B">
        <w:rPr>
          <w:rFonts w:ascii="Arial" w:eastAsia="Calibri" w:hAnsi="Arial" w:cs="Arial"/>
          <w:bCs/>
          <w:color w:val="000000"/>
          <w:szCs w:val="24"/>
          <w:lang w:eastAsia="es-ES_tradnl" w:bidi="es-ES"/>
        </w:rPr>
        <w:t>iv</w:t>
      </w:r>
      <w:proofErr w:type="spellEnd"/>
      <w:r w:rsidRPr="005C722B">
        <w:rPr>
          <w:rFonts w:ascii="Arial" w:eastAsia="Calibri" w:hAnsi="Arial" w:cs="Arial"/>
          <w:bCs/>
          <w:color w:val="000000"/>
          <w:szCs w:val="24"/>
          <w:lang w:eastAsia="es-ES_tradnl" w:bidi="es-ES"/>
        </w:rPr>
        <w:t xml:space="preserve">) índices de capacidad organizacional y v) valor de la garantía de seriedad de la oferta. Igualmente, el decreto dispone que, con excepción de los procedimientos de selección donde el menor precio ofrecido sea el único factor de evaluación, las entidades otorgarán un puntaje adicional hasta de </w:t>
      </w:r>
      <w:proofErr w:type="gramStart"/>
      <w:r w:rsidRPr="005C722B">
        <w:rPr>
          <w:rFonts w:ascii="Arial" w:eastAsia="Calibri" w:hAnsi="Arial" w:cs="Arial"/>
          <w:bCs/>
          <w:color w:val="000000"/>
          <w:szCs w:val="24"/>
          <w:lang w:eastAsia="es-ES_tradnl" w:bidi="es-ES"/>
        </w:rPr>
        <w:t>cero punto</w:t>
      </w:r>
      <w:proofErr w:type="gramEnd"/>
      <w:r w:rsidRPr="005C722B">
        <w:rPr>
          <w:rFonts w:ascii="Arial" w:eastAsia="Calibri" w:hAnsi="Arial" w:cs="Arial"/>
          <w:bCs/>
          <w:color w:val="000000"/>
          <w:szCs w:val="24"/>
          <w:lang w:eastAsia="es-ES_tradnl" w:bidi="es-ES"/>
        </w:rPr>
        <w:t xml:space="preserve"> veinticinco por ciento (0.25%) del valor total de los puntos establecidos en los pliegos de condiciones o documento equivalente, a los proponentes que acrediten alguno de los supuestos señalados en el artículo 2.2.1.2.4.2.14 del Decreto 1082 de 2015.</w:t>
      </w:r>
    </w:p>
    <w:p w14:paraId="6CA11867" w14:textId="77777777" w:rsidR="005C722B" w:rsidRPr="005C722B" w:rsidRDefault="005C722B" w:rsidP="005C722B">
      <w:pPr>
        <w:spacing w:after="120" w:line="276" w:lineRule="auto"/>
        <w:ind w:firstLine="709"/>
        <w:jc w:val="both"/>
        <w:rPr>
          <w:rFonts w:ascii="Arial" w:eastAsia="Calibri" w:hAnsi="Arial" w:cs="Arial"/>
          <w:lang w:val="es-ES"/>
        </w:rPr>
      </w:pPr>
      <w:r w:rsidRPr="005C722B">
        <w:rPr>
          <w:rFonts w:ascii="Arial" w:eastAsia="Calibri" w:hAnsi="Arial" w:cs="Arial"/>
        </w:rPr>
        <w:lastRenderedPageBreak/>
        <w:t xml:space="preserve">Ahora bien, debe destacarse que, atendiendo al mandato contenido en el inciso segundo del parágrafo del artículo 8 del Decreto 1860 de 2021, la Agencia Nacional de Contratación Pública – Colombia Compra Eficiente expidió la Resolución 275 del 24 de junio de 2022 </w:t>
      </w:r>
      <w:r w:rsidRPr="005C722B">
        <w:rPr>
          <w:rFonts w:ascii="Arial" w:eastAsia="Calibri" w:hAnsi="Arial" w:cs="Arial"/>
          <w:i/>
          <w:iCs/>
          <w:lang w:val="es-ES"/>
        </w:rPr>
        <w:t>«</w:t>
      </w:r>
      <w:r w:rsidRPr="005C722B">
        <w:rPr>
          <w:rFonts w:ascii="Arial" w:eastAsia="Calibri" w:hAnsi="Arial" w:cs="Arial"/>
          <w:i/>
          <w:iCs/>
        </w:rPr>
        <w:t>Por la cual se modifican los documentos tipo adoptados por la Agencia Nacional de Contratación Pública − Colombia Compra Eficiente</w:t>
      </w:r>
      <w:r w:rsidRPr="005C722B">
        <w:rPr>
          <w:rFonts w:ascii="Arial" w:eastAsia="Calibri" w:hAnsi="Arial" w:cs="Arial"/>
          <w:i/>
          <w:iCs/>
          <w:lang w:val="es-ES"/>
        </w:rPr>
        <w:t>»</w:t>
      </w:r>
      <w:r w:rsidRPr="005C722B">
        <w:rPr>
          <w:rFonts w:ascii="Arial" w:eastAsia="Calibri" w:hAnsi="Arial" w:cs="Arial"/>
          <w:i/>
          <w:iCs/>
          <w:vertAlign w:val="superscript"/>
          <w:lang w:val="es-ES"/>
        </w:rPr>
        <w:footnoteReference w:id="15"/>
      </w:r>
      <w:r w:rsidRPr="005C722B">
        <w:rPr>
          <w:rFonts w:ascii="Arial" w:eastAsia="Calibri" w:hAnsi="Arial" w:cs="Arial"/>
          <w:i/>
          <w:iCs/>
          <w:lang w:val="es-ES"/>
        </w:rPr>
        <w:t xml:space="preserve">. </w:t>
      </w:r>
      <w:r w:rsidRPr="005C722B">
        <w:rPr>
          <w:rFonts w:ascii="Arial" w:eastAsia="Calibri" w:hAnsi="Arial" w:cs="Arial"/>
          <w:lang w:val="es-ES"/>
        </w:rPr>
        <w:t>De esa forma, mediante la citada resolución, se modificaron los documentos tipo para proyectos de obra pública de infraestructura de transporte adelantados bajo la modalidad de licitación pública, de selección abreviada de menor cuantía, de consultoría de estudios de ingeniería de infraestructura de transporte, de licitación de obra pública para proyectos de agua potable y saneamiento básico y su modalidad de llave en mano, y los documentos tipo de licitación de obra pública de infraestructura social, con ocasión a la expedición del Decreto 1860 de 2021 y la Ley 2069 del 2020.</w:t>
      </w:r>
    </w:p>
    <w:p w14:paraId="7B321689" w14:textId="77777777" w:rsidR="005C722B" w:rsidRPr="005C722B" w:rsidRDefault="005C722B" w:rsidP="005C722B">
      <w:pPr>
        <w:spacing w:after="120" w:line="276" w:lineRule="auto"/>
        <w:ind w:firstLine="709"/>
        <w:jc w:val="both"/>
        <w:rPr>
          <w:rFonts w:ascii="Arial" w:eastAsia="Calibri" w:hAnsi="Arial" w:cs="Arial"/>
          <w:lang w:val="es-ES"/>
        </w:rPr>
      </w:pPr>
      <w:r w:rsidRPr="005C722B">
        <w:rPr>
          <w:rFonts w:ascii="Arial" w:eastAsia="Calibri" w:hAnsi="Arial" w:cs="Arial"/>
          <w:lang w:val="es-ES"/>
        </w:rPr>
        <w:t xml:space="preserve">En el marco de esta resolución, los artículos 2, 14, 15, 39, 40, 49, 50, 64, 72, 84, 87, 97, 98, 108, 125, 134, 135 y 167 realizaron las modificaciones necesarias para incorporar en los documentos tipo mencionados la aplicación de los criterios diferenciales para emprendimientos y empresas de mujeres, de acuerdo con lo regulado por los artículos 2.2.1.2.4.2.14 y </w:t>
      </w:r>
      <w:r w:rsidRPr="005C722B">
        <w:rPr>
          <w:rFonts w:ascii="Arial" w:eastAsia="Calibri" w:hAnsi="Arial" w:cs="Arial"/>
          <w:lang w:val="es-ES_tradnl" w:eastAsia="es-MX"/>
        </w:rPr>
        <w:t xml:space="preserve">2.2.1.2.4.2.15 del Decreto 1082 de 2015, adicionados por el Decreto 1860 de 2021. A través de estas disposiciones se adoptó el «Formato 12 – Acreditación de emprendimientos y empresas de mujeres», el cual sirve para acreditar las condiciones establecidas en los numerales 1 y 2 del artículo </w:t>
      </w:r>
      <w:r w:rsidRPr="005C722B">
        <w:rPr>
          <w:rFonts w:ascii="Arial" w:eastAsia="Calibri" w:hAnsi="Arial" w:cs="Arial"/>
          <w:lang w:val="es-ES"/>
        </w:rPr>
        <w:t>2.2.1.2.4.2.14 del Decreto 1082 de 2015. Esto significa que el Formato 12 debe ser suscrito por el representante legal o el revisor fiscal a efectos de demostrar la participación mayoritaria de mujeres en la conformación accionaria de la persona jurídica, o que por lo menos el cincuenta por ciento (50%) de los empleos del nivel directivo de la persona jurídica son ejercidos por mujeres y estas han estado vinculadas laboralmente durante al menos el último año.</w:t>
      </w:r>
    </w:p>
    <w:p w14:paraId="4B976DFF" w14:textId="77777777" w:rsidR="005C722B" w:rsidRPr="005C722B" w:rsidRDefault="005C722B" w:rsidP="005C722B">
      <w:pPr>
        <w:spacing w:after="120" w:line="276" w:lineRule="auto"/>
        <w:ind w:firstLine="709"/>
        <w:jc w:val="both"/>
        <w:rPr>
          <w:rFonts w:ascii="Arial" w:eastAsia="Calibri" w:hAnsi="Arial" w:cs="Arial"/>
        </w:rPr>
      </w:pPr>
      <w:r w:rsidRPr="005C722B">
        <w:rPr>
          <w:rFonts w:ascii="Arial" w:eastAsia="Calibri" w:hAnsi="Arial" w:cs="Arial"/>
          <w:lang w:val="es-ES"/>
        </w:rPr>
        <w:t xml:space="preserve">En cuanto a la vigencia de la Resolución 275 de 2022, cabe mencionar que el artículo 179 dispuso que </w:t>
      </w:r>
      <w:r w:rsidRPr="005C722B">
        <w:rPr>
          <w:rFonts w:ascii="Arial" w:eastAsia="Calibri" w:hAnsi="Arial" w:cs="Arial"/>
        </w:rPr>
        <w:t xml:space="preserve">esta «[…] rige a partir de su publicación y aplicará a los Procesos de Contratación cuyo aviso de convocatoria se publique a partir del 29 de agosto de 2022». De esta forma, la entidad estatal que pretenda adelantar un proceso de selección mediante la utilización de los documentos tipo </w:t>
      </w:r>
      <w:r w:rsidRPr="005C722B">
        <w:rPr>
          <w:rFonts w:ascii="Arial" w:eastAsia="Calibri" w:hAnsi="Arial" w:cs="Arial"/>
          <w:lang w:val="es-ES"/>
        </w:rPr>
        <w:t>para proyectos de obra pública de infraestructura de transporte adelantados bajo la modalidad de licitación pública, de selección abreviada de menor cuantía, de consultoría de estudios de ingeniería de infraestructura de transporte, de licitación de obra pública para proyectos de agua potable y saneamiento básico y su modalidad de llave en mano, y los documentos tipo de licitación de obra pública de infraestructura social</w:t>
      </w:r>
      <w:r w:rsidRPr="005C722B">
        <w:rPr>
          <w:rFonts w:ascii="Arial" w:eastAsia="Calibri" w:hAnsi="Arial" w:cs="Arial"/>
        </w:rPr>
        <w:t>, estarán obligadas a aplicar las modificaciones realizadas mediante la Resolución 275 de 2022, si la publicación del aviso de convocatoria se realiza a partir del 29 de agosto de 2022.</w:t>
      </w:r>
    </w:p>
    <w:p w14:paraId="0B639C97" w14:textId="77777777" w:rsidR="005C722B" w:rsidRPr="005C722B" w:rsidRDefault="005C722B" w:rsidP="005C722B">
      <w:pPr>
        <w:spacing w:after="120" w:line="276" w:lineRule="auto"/>
        <w:ind w:firstLine="709"/>
        <w:jc w:val="both"/>
        <w:rPr>
          <w:rFonts w:ascii="Arial" w:eastAsia="Times New Roman" w:hAnsi="Arial" w:cs="Arial"/>
          <w:lang w:eastAsia="es-CO"/>
        </w:rPr>
      </w:pPr>
      <w:r w:rsidRPr="005C722B">
        <w:rPr>
          <w:rFonts w:ascii="Arial" w:eastAsia="Calibri" w:hAnsi="Arial" w:cs="Arial"/>
        </w:rPr>
        <w:t xml:space="preserve">Por otra parte, de acuerdo con el objeto de su petición, es necesario señalar que el </w:t>
      </w:r>
      <w:r w:rsidRPr="005C722B">
        <w:rPr>
          <w:rFonts w:ascii="Arial" w:eastAsia="Times New Roman" w:hAnsi="Arial" w:cs="Arial"/>
          <w:lang w:eastAsia="es-CO"/>
        </w:rPr>
        <w:t xml:space="preserve">artículo 2.2.1.2.4.2.15 del Decreto 1082 de 2015 citado, en su numeral 2 señala que se puede incluir </w:t>
      </w:r>
      <w:r w:rsidRPr="005C722B">
        <w:rPr>
          <w:rFonts w:ascii="Arial" w:eastAsia="Times New Roman" w:hAnsi="Arial" w:cs="Arial"/>
          <w:lang w:eastAsia="es-CO"/>
        </w:rPr>
        <w:lastRenderedPageBreak/>
        <w:t xml:space="preserve">como requisito habilitante diferencial para los emprendimientos y empresas de mujeres en los pliegos de condiciones, el «Número de contratos para la acreditación de la experiencia». En igual sentido, el artículo 2.2.1.2.4.2.18, establece la posibilidad de incluir el mismo requisito habilitante diferencial para </w:t>
      </w:r>
      <w:proofErr w:type="spellStart"/>
      <w:r w:rsidRPr="005C722B">
        <w:rPr>
          <w:rFonts w:ascii="Arial" w:eastAsia="Times New Roman" w:hAnsi="Arial" w:cs="Arial"/>
          <w:lang w:eastAsia="es-CO"/>
        </w:rPr>
        <w:t>Mipymes</w:t>
      </w:r>
      <w:proofErr w:type="spellEnd"/>
      <w:r w:rsidRPr="005C722B">
        <w:rPr>
          <w:rFonts w:ascii="Arial" w:eastAsia="Times New Roman" w:hAnsi="Arial" w:cs="Arial"/>
          <w:lang w:eastAsia="es-CO"/>
        </w:rPr>
        <w:t xml:space="preserve">. Por consiguiente, el Documento base de los pliegos tipo, en el literal C del numeral 3.5.2, incluyó el criterio diferencial de experiencia general para emprendimientos y empresas de mujeres y </w:t>
      </w:r>
      <w:proofErr w:type="spellStart"/>
      <w:r w:rsidRPr="005C722B">
        <w:rPr>
          <w:rFonts w:ascii="Arial" w:eastAsia="Times New Roman" w:hAnsi="Arial" w:cs="Arial"/>
          <w:lang w:eastAsia="es-CO"/>
        </w:rPr>
        <w:t>Mipymes</w:t>
      </w:r>
      <w:proofErr w:type="spellEnd"/>
      <w:r w:rsidRPr="005C722B">
        <w:rPr>
          <w:rFonts w:ascii="Arial" w:eastAsia="Times New Roman" w:hAnsi="Arial" w:cs="Arial"/>
          <w:lang w:eastAsia="es-CO"/>
        </w:rPr>
        <w:t>, así:</w:t>
      </w:r>
    </w:p>
    <w:p w14:paraId="077B153D" w14:textId="77777777" w:rsidR="005C722B" w:rsidRPr="005C722B" w:rsidRDefault="005C722B" w:rsidP="005C722B">
      <w:pPr>
        <w:spacing w:after="0" w:line="276" w:lineRule="auto"/>
        <w:ind w:left="709" w:right="709"/>
        <w:jc w:val="both"/>
        <w:rPr>
          <w:rFonts w:ascii="Arial" w:eastAsia="Calibri" w:hAnsi="Arial" w:cs="Arial"/>
          <w:sz w:val="21"/>
          <w:szCs w:val="21"/>
        </w:rPr>
      </w:pPr>
      <w:r w:rsidRPr="005C722B">
        <w:rPr>
          <w:rFonts w:ascii="Arial" w:eastAsia="Calibri" w:hAnsi="Arial" w:cs="Arial"/>
          <w:sz w:val="21"/>
          <w:szCs w:val="21"/>
        </w:rPr>
        <w:t>[...]El Proponente persona natural o jurídica que acredite la calidad de Mipyme o de emprendimiento y empresa de mujer con domicilio en el territorio nacional de conformidad con lo previsto en el artículo 2.2.1.13.2.2 del Decreto 1074 de 2015 y los artículos 2.2.1.2.4.2.4. y 2.2.1.2.4.2.14 del Decreto 1082 de 2015, o las normas que los modifiquen, sustituyan o complementen, podrá probar la experiencia solicitada con un (1) contrato adicional a los cinco (5) inicialmente previstos, para un máximo de seis (6) contratos.</w:t>
      </w:r>
    </w:p>
    <w:p w14:paraId="17EA8A79" w14:textId="77777777" w:rsidR="005C722B" w:rsidRPr="005C722B" w:rsidRDefault="005C722B" w:rsidP="005C722B">
      <w:pPr>
        <w:spacing w:after="0" w:line="276" w:lineRule="auto"/>
        <w:ind w:left="709" w:right="709"/>
        <w:jc w:val="both"/>
        <w:rPr>
          <w:rFonts w:ascii="Arial" w:eastAsia="Calibri" w:hAnsi="Arial" w:cs="Arial"/>
          <w:sz w:val="21"/>
          <w:szCs w:val="21"/>
        </w:rPr>
      </w:pPr>
      <w:r w:rsidRPr="005C722B">
        <w:rPr>
          <w:rFonts w:ascii="Arial" w:eastAsia="Calibri" w:hAnsi="Arial" w:cs="Arial"/>
          <w:sz w:val="21"/>
          <w:szCs w:val="21"/>
        </w:rPr>
        <w:t>En caso de que el Proponente persona natural o jurídica acredite la calidad de Mipyme y de emprendimiento y empresa de mujer con domicilio en el territorio nacional de manera conjunta, podrá demostrar la experiencia solicitada con dos (2) contratos adicionales a los cinco (5) inicialmente previstos, para un máximo de siete (7).[...]</w:t>
      </w:r>
    </w:p>
    <w:p w14:paraId="1BCEF81C" w14:textId="77777777" w:rsidR="005C722B" w:rsidRPr="005C722B" w:rsidRDefault="005C722B" w:rsidP="005C722B">
      <w:pPr>
        <w:spacing w:after="0" w:line="276" w:lineRule="auto"/>
        <w:ind w:right="709"/>
        <w:jc w:val="both"/>
        <w:rPr>
          <w:rFonts w:ascii="Arial" w:eastAsia="Calibri" w:hAnsi="Arial" w:cs="Arial"/>
          <w:sz w:val="21"/>
          <w:szCs w:val="21"/>
        </w:rPr>
      </w:pPr>
    </w:p>
    <w:p w14:paraId="6E110DD4" w14:textId="77777777" w:rsidR="005C722B" w:rsidRPr="005C722B" w:rsidRDefault="005C722B" w:rsidP="005C722B">
      <w:pPr>
        <w:spacing w:after="120" w:line="276" w:lineRule="auto"/>
        <w:ind w:firstLine="709"/>
        <w:jc w:val="both"/>
        <w:rPr>
          <w:rFonts w:ascii="Arial" w:eastAsia="Times New Roman" w:hAnsi="Arial" w:cs="Arial"/>
          <w:lang w:eastAsia="es-CO"/>
        </w:rPr>
      </w:pPr>
      <w:r w:rsidRPr="005C722B">
        <w:rPr>
          <w:rFonts w:ascii="Arial" w:eastAsia="Times New Roman" w:hAnsi="Arial" w:cs="Arial"/>
          <w:lang w:eastAsia="es-CO"/>
        </w:rPr>
        <w:t xml:space="preserve">Como se puede observar, los documentos tipo incorporaron los criterios diferenciales establecidos por la Ley 2069 de 2020, reglamentada por el Decreto 1860 de 2021, tanto para emprendimientos y empresas de mujeres como para </w:t>
      </w:r>
      <w:proofErr w:type="spellStart"/>
      <w:r w:rsidRPr="005C722B">
        <w:rPr>
          <w:rFonts w:ascii="Arial" w:eastAsia="Times New Roman" w:hAnsi="Arial" w:cs="Arial"/>
          <w:lang w:eastAsia="es-CO"/>
        </w:rPr>
        <w:t>Mipymes</w:t>
      </w:r>
      <w:proofErr w:type="spellEnd"/>
      <w:r w:rsidRPr="005C722B">
        <w:rPr>
          <w:rFonts w:ascii="Arial" w:eastAsia="Times New Roman" w:hAnsi="Arial" w:cs="Arial"/>
          <w:lang w:eastAsia="es-CO"/>
        </w:rPr>
        <w:t>; y en este caso se cita lo referente a la experiencia general incluida en el documento base de los pliegos tipo, por ser el objeto de su consulta. Respecto de la experiencia específica se debe tener en cuenta que el Documento base dispone, en el literal A del numeral 3.5.2, que «[...]</w:t>
      </w:r>
      <w:r w:rsidRPr="005C722B">
        <w:rPr>
          <w:rFonts w:ascii="Times New Roman" w:eastAsia="Times New Roman" w:hAnsi="Times New Roman" w:cs="Times New Roman"/>
          <w:sz w:val="24"/>
          <w:szCs w:val="24"/>
          <w:lang w:eastAsia="es-ES_tradnl"/>
        </w:rPr>
        <w:t xml:space="preserve"> </w:t>
      </w:r>
      <w:r w:rsidRPr="005C722B">
        <w:rPr>
          <w:rFonts w:ascii="Arial" w:eastAsia="Times New Roman" w:hAnsi="Arial" w:cs="Arial"/>
          <w:lang w:eastAsia="es-CO"/>
        </w:rPr>
        <w:t>Dependiendo del rango en SMMLV, la Entidad deberá exigir la experiencia específica señalada en la Matriz 1 – Experiencia en la(s) actividad(es) requeridas para la ejecución del objeto del contrato. La Entidad únicamente podrá solicitar experiencia específica cuando la Matriz 1 – Experiencia lo establezca[...]».</w:t>
      </w:r>
    </w:p>
    <w:p w14:paraId="1F4C7F0B" w14:textId="77777777" w:rsidR="005C722B" w:rsidRPr="005C722B" w:rsidRDefault="005C722B" w:rsidP="005C722B">
      <w:pPr>
        <w:spacing w:after="120" w:line="276" w:lineRule="auto"/>
        <w:ind w:firstLine="709"/>
        <w:jc w:val="both"/>
        <w:rPr>
          <w:rFonts w:ascii="Arial" w:eastAsia="Times New Roman" w:hAnsi="Arial" w:cs="Arial"/>
          <w:lang w:eastAsia="es-CO"/>
        </w:rPr>
      </w:pPr>
      <w:r w:rsidRPr="005C722B">
        <w:rPr>
          <w:rFonts w:ascii="Arial" w:eastAsia="Times New Roman" w:hAnsi="Arial" w:cs="Arial"/>
          <w:lang w:eastAsia="es-CO"/>
        </w:rPr>
        <w:t xml:space="preserve">Entonces, la experiencia general y la experiencia específica en los Documentos tipo son diferentes, ya que para la experiencia general se incluye el criterio diferencial para emprendimientos y empresas de mujeres y </w:t>
      </w:r>
      <w:proofErr w:type="spellStart"/>
      <w:r w:rsidRPr="005C722B">
        <w:rPr>
          <w:rFonts w:ascii="Arial" w:eastAsia="Times New Roman" w:hAnsi="Arial" w:cs="Arial"/>
          <w:lang w:eastAsia="es-CO"/>
        </w:rPr>
        <w:t>Mipymes</w:t>
      </w:r>
      <w:proofErr w:type="spellEnd"/>
      <w:r w:rsidRPr="005C722B">
        <w:rPr>
          <w:rFonts w:ascii="Arial" w:eastAsia="Times New Roman" w:hAnsi="Arial" w:cs="Arial"/>
          <w:lang w:eastAsia="es-CO"/>
        </w:rPr>
        <w:t>, relacionado con la posibilidad de acreditar un (1) contrato adicional, y la experiencia específica será la que se señale en la Matriz 1 – Experiencia, y solo si allí se solicita, es posible que la entidad la exija, de lo contrario, no.</w:t>
      </w:r>
    </w:p>
    <w:p w14:paraId="54B29ABE" w14:textId="77777777" w:rsidR="005C722B" w:rsidRPr="005C722B" w:rsidRDefault="005C722B" w:rsidP="00FF57D2">
      <w:pPr>
        <w:spacing w:after="120" w:line="276" w:lineRule="auto"/>
        <w:ind w:firstLine="709"/>
        <w:jc w:val="both"/>
        <w:rPr>
          <w:rFonts w:ascii="Arial" w:eastAsia="Calibri" w:hAnsi="Arial" w:cs="Arial"/>
          <w:lang w:eastAsia="es-ES_tradnl"/>
        </w:rPr>
      </w:pPr>
    </w:p>
    <w:p w14:paraId="62E74B61" w14:textId="77777777" w:rsidR="005C722B" w:rsidRPr="005C722B" w:rsidRDefault="005C722B" w:rsidP="005C722B">
      <w:pPr>
        <w:tabs>
          <w:tab w:val="left" w:pos="0"/>
        </w:tabs>
        <w:spacing w:after="0" w:line="276" w:lineRule="auto"/>
        <w:contextualSpacing/>
        <w:jc w:val="both"/>
        <w:rPr>
          <w:rFonts w:ascii="Arial" w:eastAsia="Calibri" w:hAnsi="Arial" w:cs="Arial"/>
          <w:b/>
          <w:color w:val="000000" w:themeColor="text1"/>
          <w:szCs w:val="24"/>
          <w:lang w:val="es-ES_tradnl" w:eastAsia="es-ES_tradnl"/>
        </w:rPr>
      </w:pPr>
      <w:r w:rsidRPr="005C722B">
        <w:rPr>
          <w:rFonts w:ascii="Arial" w:eastAsia="Calibri" w:hAnsi="Arial" w:cs="Arial"/>
          <w:b/>
          <w:color w:val="000000" w:themeColor="text1"/>
          <w:szCs w:val="24"/>
          <w:lang w:val="es-ES_tradnl" w:eastAsia="es-ES_tradnl"/>
        </w:rPr>
        <w:t>3. Respuestas</w:t>
      </w:r>
    </w:p>
    <w:p w14:paraId="5E43B8B4" w14:textId="77777777" w:rsidR="005C722B" w:rsidRPr="005C722B" w:rsidRDefault="005C722B" w:rsidP="005C722B">
      <w:pPr>
        <w:autoSpaceDE w:val="0"/>
        <w:autoSpaceDN w:val="0"/>
        <w:adjustRightInd w:val="0"/>
        <w:spacing w:after="0" w:line="276" w:lineRule="auto"/>
        <w:ind w:right="709"/>
        <w:contextualSpacing/>
        <w:jc w:val="both"/>
        <w:rPr>
          <w:rFonts w:ascii="Arial" w:eastAsia="Times New Roman" w:hAnsi="Arial" w:cs="Arial"/>
          <w:sz w:val="24"/>
          <w:szCs w:val="24"/>
          <w:lang w:val="es-ES" w:eastAsia="es-ES_tradnl"/>
        </w:rPr>
      </w:pPr>
    </w:p>
    <w:p w14:paraId="6711C3E1" w14:textId="77777777" w:rsidR="005C722B" w:rsidRPr="005C722B" w:rsidRDefault="005C722B" w:rsidP="005C722B">
      <w:pPr>
        <w:autoSpaceDE w:val="0"/>
        <w:autoSpaceDN w:val="0"/>
        <w:adjustRightInd w:val="0"/>
        <w:spacing w:after="0" w:line="240" w:lineRule="auto"/>
        <w:ind w:left="709" w:right="900"/>
        <w:jc w:val="both"/>
        <w:rPr>
          <w:rFonts w:ascii="Arial" w:hAnsi="Arial" w:cs="Arial"/>
          <w:color w:val="000000" w:themeColor="text1"/>
          <w:sz w:val="21"/>
          <w:szCs w:val="21"/>
        </w:rPr>
      </w:pPr>
      <w:r w:rsidRPr="005C722B">
        <w:rPr>
          <w:rFonts w:ascii="Arial" w:hAnsi="Arial" w:cs="Arial"/>
          <w:color w:val="000000" w:themeColor="text1"/>
          <w:sz w:val="21"/>
          <w:szCs w:val="21"/>
        </w:rPr>
        <w:t xml:space="preserve">«[…] </w:t>
      </w:r>
    </w:p>
    <w:p w14:paraId="2F947D8F" w14:textId="77777777" w:rsidR="005C722B" w:rsidRPr="005C722B" w:rsidRDefault="005C722B" w:rsidP="005C722B">
      <w:pPr>
        <w:autoSpaceDE w:val="0"/>
        <w:autoSpaceDN w:val="0"/>
        <w:adjustRightInd w:val="0"/>
        <w:spacing w:after="0" w:line="240" w:lineRule="auto"/>
        <w:ind w:left="709" w:right="900"/>
        <w:jc w:val="both"/>
        <w:rPr>
          <w:rFonts w:ascii="Arial" w:hAnsi="Arial" w:cs="Arial"/>
          <w:color w:val="000000" w:themeColor="text1"/>
          <w:sz w:val="21"/>
          <w:szCs w:val="21"/>
        </w:rPr>
      </w:pPr>
      <w:r w:rsidRPr="005C722B">
        <w:rPr>
          <w:rFonts w:ascii="Arial" w:hAnsi="Arial" w:cs="Arial"/>
          <w:color w:val="000000" w:themeColor="text1"/>
          <w:sz w:val="21"/>
          <w:szCs w:val="21"/>
        </w:rPr>
        <w:t xml:space="preserve">- Porque dicen que si se </w:t>
      </w:r>
      <w:proofErr w:type="gramStart"/>
      <w:r w:rsidRPr="005C722B">
        <w:rPr>
          <w:rFonts w:ascii="Arial" w:hAnsi="Arial" w:cs="Arial"/>
          <w:color w:val="000000" w:themeColor="text1"/>
          <w:sz w:val="21"/>
          <w:szCs w:val="21"/>
        </w:rPr>
        <w:t>va</w:t>
      </w:r>
      <w:proofErr w:type="gramEnd"/>
      <w:r w:rsidRPr="005C722B">
        <w:rPr>
          <w:rFonts w:ascii="Arial" w:hAnsi="Arial" w:cs="Arial"/>
          <w:color w:val="000000" w:themeColor="text1"/>
          <w:sz w:val="21"/>
          <w:szCs w:val="21"/>
        </w:rPr>
        <w:t xml:space="preserve"> acreditar (sic) experiencia en los pliegos de la mujer emprendedora o mipyme se pueden agregar más contratos a la experiencia específica».</w:t>
      </w:r>
    </w:p>
    <w:p w14:paraId="6EA1A339" w14:textId="77777777" w:rsidR="005C722B" w:rsidRPr="005C722B" w:rsidRDefault="005C722B" w:rsidP="005C722B">
      <w:pPr>
        <w:autoSpaceDE w:val="0"/>
        <w:autoSpaceDN w:val="0"/>
        <w:adjustRightInd w:val="0"/>
        <w:spacing w:after="0" w:line="240" w:lineRule="auto"/>
        <w:ind w:left="709" w:right="900"/>
        <w:jc w:val="both"/>
        <w:rPr>
          <w:rFonts w:ascii="Arial" w:hAnsi="Arial" w:cs="Arial"/>
          <w:color w:val="000000" w:themeColor="text1"/>
          <w:sz w:val="21"/>
          <w:szCs w:val="21"/>
        </w:rPr>
      </w:pPr>
    </w:p>
    <w:p w14:paraId="49FFBE76" w14:textId="77777777" w:rsidR="005C722B" w:rsidRPr="005C722B" w:rsidRDefault="005C722B" w:rsidP="005C722B">
      <w:pPr>
        <w:spacing w:after="120" w:line="276" w:lineRule="auto"/>
        <w:jc w:val="both"/>
        <w:rPr>
          <w:rFonts w:ascii="Arial" w:eastAsia="Times New Roman" w:hAnsi="Arial" w:cs="Arial"/>
          <w:lang w:eastAsia="es-CO"/>
        </w:rPr>
      </w:pPr>
      <w:r w:rsidRPr="005C722B">
        <w:rPr>
          <w:rFonts w:ascii="Arial" w:eastAsia="Times New Roman" w:hAnsi="Arial" w:cs="Arial"/>
          <w:bCs/>
          <w:lang w:eastAsia="es-ES_tradnl"/>
        </w:rPr>
        <w:t xml:space="preserve">El artículo </w:t>
      </w:r>
      <w:bookmarkStart w:id="12" w:name="_Hlk111037928"/>
      <w:r w:rsidRPr="005C722B">
        <w:rPr>
          <w:rFonts w:ascii="Arial" w:hAnsi="Arial" w:cs="Arial"/>
        </w:rPr>
        <w:t>2.2.1.2.4.2.1</w:t>
      </w:r>
      <w:bookmarkEnd w:id="12"/>
      <w:r w:rsidRPr="005C722B">
        <w:rPr>
          <w:rFonts w:ascii="Arial" w:hAnsi="Arial" w:cs="Arial"/>
        </w:rPr>
        <w:t xml:space="preserve">5 del Decreto 1082 de 2015, adicionado por el Decreto 1860 de 2021, </w:t>
      </w:r>
      <w:r w:rsidRPr="005C722B">
        <w:rPr>
          <w:rFonts w:ascii="Arial" w:eastAsia="Times New Roman" w:hAnsi="Arial" w:cs="Arial"/>
          <w:lang w:eastAsia="es-CO"/>
        </w:rPr>
        <w:t>complementa la regulación de criterios diferenciales estableciendo la posibilidad de unos requisitos habilitantes diferenciales para incentivar emprendimientos y empresas de mujeres, que deben ser menos rigurosos respecto a los contemplados para los otros proponentes que no cumplan con alguno de los criterios del artículo 2.2.1.2.4.2.14.</w:t>
      </w:r>
    </w:p>
    <w:p w14:paraId="733A9F56" w14:textId="77777777" w:rsidR="005C722B" w:rsidRPr="005C722B" w:rsidRDefault="005C722B" w:rsidP="005C722B">
      <w:pPr>
        <w:spacing w:after="120" w:line="276" w:lineRule="auto"/>
        <w:jc w:val="both"/>
        <w:rPr>
          <w:rFonts w:ascii="Arial" w:eastAsia="Times New Roman" w:hAnsi="Arial" w:cs="Arial"/>
          <w:lang w:eastAsia="es-CO"/>
        </w:rPr>
      </w:pPr>
      <w:r w:rsidRPr="005C722B">
        <w:rPr>
          <w:rFonts w:ascii="Arial" w:eastAsia="Times New Roman" w:hAnsi="Arial" w:cs="Arial"/>
          <w:lang w:eastAsia="es-CO"/>
        </w:rPr>
        <w:tab/>
        <w:t xml:space="preserve">En ese sentido, el numeral 2 del </w:t>
      </w:r>
      <w:r w:rsidRPr="005C722B">
        <w:rPr>
          <w:rFonts w:ascii="Arial" w:eastAsia="Times New Roman" w:hAnsi="Arial" w:cs="Arial"/>
          <w:bCs/>
          <w:lang w:eastAsia="es-ES_tradnl"/>
        </w:rPr>
        <w:t xml:space="preserve">artículo </w:t>
      </w:r>
      <w:r w:rsidRPr="005C722B">
        <w:rPr>
          <w:rFonts w:ascii="Arial" w:hAnsi="Arial" w:cs="Arial"/>
        </w:rPr>
        <w:t xml:space="preserve">2.2.1.2.4.2.15 </w:t>
      </w:r>
      <w:r w:rsidRPr="005C722B">
        <w:rPr>
          <w:rFonts w:ascii="Arial" w:eastAsia="Times New Roman" w:hAnsi="Arial" w:cs="Arial"/>
          <w:lang w:eastAsia="es-CO"/>
        </w:rPr>
        <w:t xml:space="preserve">señala que se puede incluir como requisito habilitante diferencial para los emprendimientos y empresas de mujeres en los pliegos de condiciones, el «Número de contratos para la acreditación de la experiencia». En igual sentido, el artículo 2.2.1.2.4.2.18, establece la posibilidad de incluir el mismo requisito habilitante diferencial para </w:t>
      </w:r>
      <w:proofErr w:type="spellStart"/>
      <w:r w:rsidRPr="005C722B">
        <w:rPr>
          <w:rFonts w:ascii="Arial" w:eastAsia="Times New Roman" w:hAnsi="Arial" w:cs="Arial"/>
          <w:lang w:eastAsia="es-CO"/>
        </w:rPr>
        <w:t>Mipymes</w:t>
      </w:r>
      <w:proofErr w:type="spellEnd"/>
      <w:r w:rsidRPr="005C722B">
        <w:rPr>
          <w:rFonts w:ascii="Arial" w:eastAsia="Times New Roman" w:hAnsi="Arial" w:cs="Arial"/>
          <w:lang w:eastAsia="es-CO"/>
        </w:rPr>
        <w:t xml:space="preserve">. </w:t>
      </w:r>
    </w:p>
    <w:p w14:paraId="2AFFAAB8" w14:textId="77777777" w:rsidR="005C722B" w:rsidRPr="005C722B" w:rsidRDefault="005C722B" w:rsidP="005C722B">
      <w:pPr>
        <w:spacing w:after="120" w:line="276" w:lineRule="auto"/>
        <w:ind w:firstLine="708"/>
        <w:jc w:val="both"/>
        <w:rPr>
          <w:rFonts w:ascii="Times New Roman" w:eastAsia="Times New Roman" w:hAnsi="Times New Roman" w:cs="Times New Roman"/>
          <w:color w:val="000000" w:themeColor="text1"/>
          <w:sz w:val="21"/>
          <w:szCs w:val="21"/>
          <w:lang w:eastAsia="es-ES_tradnl"/>
        </w:rPr>
      </w:pPr>
      <w:r w:rsidRPr="005C722B">
        <w:rPr>
          <w:rFonts w:ascii="Arial" w:eastAsia="Times New Roman" w:hAnsi="Arial" w:cs="Arial"/>
          <w:lang w:eastAsia="es-CO"/>
        </w:rPr>
        <w:t xml:space="preserve">Por tanto, el Decreto 1860 de 2021 que adicionó al Decreto 1082 de 2015, permite que en los pliegos de condiciones se incluyan requisitos habilitantes diferenciales para emprendimientos y empresas de mujeres y para </w:t>
      </w:r>
      <w:proofErr w:type="spellStart"/>
      <w:r w:rsidRPr="005C722B">
        <w:rPr>
          <w:rFonts w:ascii="Arial" w:eastAsia="Times New Roman" w:hAnsi="Arial" w:cs="Arial"/>
          <w:lang w:eastAsia="es-CO"/>
        </w:rPr>
        <w:t>Mipymes</w:t>
      </w:r>
      <w:proofErr w:type="spellEnd"/>
      <w:r w:rsidRPr="005C722B">
        <w:rPr>
          <w:rFonts w:ascii="Arial" w:eastAsia="Times New Roman" w:hAnsi="Arial" w:cs="Arial"/>
          <w:lang w:eastAsia="es-CO"/>
        </w:rPr>
        <w:t>, como la experiencia, lo cual fue incluido en los Documentos tipo mediante la Resolución 275 de 2022, estableciendo en la experiencia general, contemplada en el literal C del numeral 3.5.2 del Documento base, la posibilidad</w:t>
      </w:r>
      <w:r w:rsidRPr="005C722B">
        <w:rPr>
          <w:rFonts w:ascii="Times New Roman" w:eastAsia="Times New Roman" w:hAnsi="Times New Roman" w:cs="Times New Roman"/>
          <w:sz w:val="24"/>
          <w:szCs w:val="24"/>
          <w:lang w:eastAsia="es-ES_tradnl"/>
        </w:rPr>
        <w:t xml:space="preserve"> </w:t>
      </w:r>
      <w:r w:rsidRPr="005C722B">
        <w:rPr>
          <w:rFonts w:ascii="Arial" w:eastAsia="Times New Roman" w:hAnsi="Arial" w:cs="Arial"/>
          <w:lang w:eastAsia="es-CO"/>
        </w:rPr>
        <w:t>de acreditar un (1) contrato adicional, lo cual es diferente a la experiencia específica que será la que se señale en la Matriz 1 – Experiencia.</w:t>
      </w:r>
    </w:p>
    <w:p w14:paraId="2D450DB7" w14:textId="77777777" w:rsidR="005C722B" w:rsidRPr="005C722B" w:rsidRDefault="005C722B" w:rsidP="005C722B">
      <w:pPr>
        <w:autoSpaceDE w:val="0"/>
        <w:autoSpaceDN w:val="0"/>
        <w:adjustRightInd w:val="0"/>
        <w:spacing w:after="0" w:line="240" w:lineRule="auto"/>
        <w:ind w:left="709" w:right="900"/>
        <w:jc w:val="both"/>
        <w:rPr>
          <w:rFonts w:ascii="Arial" w:hAnsi="Arial" w:cs="Arial"/>
          <w:color w:val="000000" w:themeColor="text1"/>
          <w:sz w:val="21"/>
          <w:szCs w:val="21"/>
        </w:rPr>
      </w:pPr>
    </w:p>
    <w:p w14:paraId="4D2BFA26" w14:textId="77777777" w:rsidR="005C722B" w:rsidRPr="005C722B" w:rsidRDefault="005C722B" w:rsidP="005C722B">
      <w:pPr>
        <w:autoSpaceDE w:val="0"/>
        <w:autoSpaceDN w:val="0"/>
        <w:adjustRightInd w:val="0"/>
        <w:spacing w:after="0" w:line="240" w:lineRule="auto"/>
        <w:ind w:left="709" w:right="900"/>
        <w:jc w:val="both"/>
        <w:rPr>
          <w:rFonts w:ascii="Arial" w:hAnsi="Arial" w:cs="Arial"/>
          <w:color w:val="000000" w:themeColor="text1"/>
          <w:sz w:val="21"/>
          <w:szCs w:val="21"/>
        </w:rPr>
      </w:pPr>
      <w:r w:rsidRPr="005C722B">
        <w:rPr>
          <w:rFonts w:ascii="Arial" w:hAnsi="Arial" w:cs="Arial"/>
          <w:color w:val="000000" w:themeColor="text1"/>
          <w:sz w:val="21"/>
          <w:szCs w:val="21"/>
        </w:rPr>
        <w:t>«- Que (sic) puedo hacer yo como mujer persona natural para acceder a ese puntaje si, según el artículo 23 del código del comercio las actividades de ingeniería civil están exentas de tener registro mercantil.</w:t>
      </w:r>
    </w:p>
    <w:p w14:paraId="2B286763" w14:textId="77777777" w:rsidR="005C722B" w:rsidRPr="005C722B" w:rsidRDefault="005C722B" w:rsidP="005C722B">
      <w:pPr>
        <w:autoSpaceDE w:val="0"/>
        <w:autoSpaceDN w:val="0"/>
        <w:adjustRightInd w:val="0"/>
        <w:spacing w:after="0" w:line="240" w:lineRule="auto"/>
        <w:ind w:left="709" w:right="900"/>
        <w:jc w:val="both"/>
        <w:rPr>
          <w:rFonts w:ascii="Arial" w:hAnsi="Arial" w:cs="Arial"/>
          <w:color w:val="000000" w:themeColor="text1"/>
          <w:sz w:val="21"/>
          <w:szCs w:val="21"/>
        </w:rPr>
      </w:pPr>
      <w:r w:rsidRPr="005C722B">
        <w:rPr>
          <w:rFonts w:ascii="Arial" w:hAnsi="Arial" w:cs="Arial"/>
          <w:color w:val="000000" w:themeColor="text1"/>
          <w:sz w:val="21"/>
          <w:szCs w:val="21"/>
        </w:rPr>
        <w:t xml:space="preserve">- Se puede consorciar un proponente con una mujer que sea persona natural que no tenga </w:t>
      </w:r>
      <w:proofErr w:type="spellStart"/>
      <w:r w:rsidRPr="005C722B">
        <w:rPr>
          <w:rFonts w:ascii="Arial" w:hAnsi="Arial" w:cs="Arial"/>
          <w:color w:val="000000" w:themeColor="text1"/>
          <w:sz w:val="21"/>
          <w:szCs w:val="21"/>
        </w:rPr>
        <w:t>rup</w:t>
      </w:r>
      <w:proofErr w:type="spellEnd"/>
      <w:r w:rsidRPr="005C722B">
        <w:rPr>
          <w:rFonts w:ascii="Arial" w:hAnsi="Arial" w:cs="Arial"/>
          <w:color w:val="000000" w:themeColor="text1"/>
          <w:sz w:val="21"/>
          <w:szCs w:val="21"/>
        </w:rPr>
        <w:t xml:space="preserve"> pero si registro mercantil?»</w:t>
      </w:r>
    </w:p>
    <w:p w14:paraId="481303CD" w14:textId="77777777" w:rsidR="005C722B" w:rsidRPr="005C722B" w:rsidRDefault="005C722B" w:rsidP="005C722B">
      <w:pPr>
        <w:autoSpaceDE w:val="0"/>
        <w:autoSpaceDN w:val="0"/>
        <w:adjustRightInd w:val="0"/>
        <w:spacing w:after="0" w:line="240" w:lineRule="auto"/>
        <w:ind w:left="709" w:right="900"/>
        <w:jc w:val="both"/>
        <w:rPr>
          <w:rFonts w:ascii="Arial" w:hAnsi="Arial" w:cs="Arial"/>
          <w:color w:val="000000" w:themeColor="text1"/>
          <w:sz w:val="21"/>
          <w:szCs w:val="21"/>
        </w:rPr>
      </w:pPr>
    </w:p>
    <w:p w14:paraId="5CA2D3FE" w14:textId="77777777" w:rsidR="005C722B" w:rsidRPr="005C722B" w:rsidRDefault="005C722B" w:rsidP="0108A5A1">
      <w:pPr>
        <w:spacing w:after="120" w:line="276" w:lineRule="auto"/>
        <w:jc w:val="both"/>
        <w:rPr>
          <w:rFonts w:ascii="Arial" w:eastAsia="Times New Roman" w:hAnsi="Arial" w:cs="Arial"/>
          <w:color w:val="000000" w:themeColor="text1"/>
          <w:sz w:val="24"/>
          <w:szCs w:val="24"/>
          <w:lang w:eastAsia="es-CO"/>
        </w:rPr>
      </w:pPr>
      <w:bookmarkStart w:id="13" w:name="_Hlk94281581"/>
      <w:r w:rsidRPr="0108A5A1">
        <w:rPr>
          <w:rFonts w:ascii="Arial" w:eastAsia="Times New Roman" w:hAnsi="Arial" w:cs="Arial"/>
          <w:lang w:eastAsia="es-ES"/>
        </w:rPr>
        <w:t>P</w:t>
      </w:r>
    </w:p>
    <w:p w14:paraId="521CD170" w14:textId="77777777" w:rsidR="005C722B" w:rsidRPr="005C722B" w:rsidRDefault="005C722B" w:rsidP="005C722B">
      <w:pPr>
        <w:autoSpaceDE w:val="0"/>
        <w:autoSpaceDN w:val="0"/>
        <w:adjustRightInd w:val="0"/>
        <w:spacing w:after="0" w:line="240" w:lineRule="auto"/>
        <w:ind w:left="709" w:right="709"/>
        <w:jc w:val="both"/>
        <w:rPr>
          <w:rFonts w:ascii="Arial" w:hAnsi="Arial" w:cs="Arial"/>
          <w:color w:val="000000" w:themeColor="text1"/>
          <w:sz w:val="21"/>
          <w:szCs w:val="21"/>
        </w:rPr>
      </w:pPr>
      <w:r w:rsidRPr="005C722B">
        <w:rPr>
          <w:rFonts w:ascii="Arial" w:hAnsi="Arial" w:cs="Arial"/>
          <w:color w:val="000000" w:themeColor="text1"/>
          <w:sz w:val="21"/>
          <w:szCs w:val="21"/>
        </w:rPr>
        <w:t>«- Si tienen las diferentes entidades la correcta capacitación en estos nuevos pliegos para aplicarlos de manera correcta? (sic)»</w:t>
      </w:r>
    </w:p>
    <w:p w14:paraId="369B96F2" w14:textId="77777777" w:rsidR="005C722B" w:rsidRPr="005C722B" w:rsidRDefault="005C722B" w:rsidP="005C722B">
      <w:pPr>
        <w:autoSpaceDE w:val="0"/>
        <w:autoSpaceDN w:val="0"/>
        <w:adjustRightInd w:val="0"/>
        <w:spacing w:after="0" w:line="240" w:lineRule="auto"/>
        <w:ind w:left="709" w:right="709"/>
        <w:jc w:val="both"/>
        <w:rPr>
          <w:rFonts w:ascii="Arial" w:eastAsia="Calibri" w:hAnsi="Arial" w:cs="Arial"/>
          <w:lang w:eastAsia="es-ES_tradnl"/>
        </w:rPr>
      </w:pPr>
    </w:p>
    <w:p w14:paraId="09FA92EA" w14:textId="77777777" w:rsidR="005C722B" w:rsidRPr="005C722B" w:rsidRDefault="005C722B" w:rsidP="005C722B">
      <w:pPr>
        <w:spacing w:after="120" w:line="276" w:lineRule="auto"/>
        <w:jc w:val="both"/>
        <w:rPr>
          <w:rFonts w:ascii="Arial" w:eastAsia="Calibri" w:hAnsi="Arial" w:cs="Arial"/>
          <w:lang w:val="es-ES"/>
        </w:rPr>
      </w:pPr>
      <w:r w:rsidRPr="005C722B">
        <w:rPr>
          <w:rFonts w:ascii="Arial" w:eastAsia="Calibri" w:hAnsi="Arial" w:cs="Arial"/>
          <w:lang w:val="es-ES"/>
        </w:rPr>
        <w:t>La Resolución 275 de 2022 «</w:t>
      </w:r>
      <w:r w:rsidRPr="005C722B">
        <w:rPr>
          <w:rFonts w:ascii="Arial" w:eastAsia="Calibri" w:hAnsi="Arial" w:cs="Arial"/>
          <w:i/>
          <w:iCs/>
          <w:lang w:val="es-ES"/>
        </w:rPr>
        <w:t>Por la cual se modifican los documentos tipo adoptados por la Agencia Nacional de Contratación Pública − Colombia Compra Eficiente</w:t>
      </w:r>
      <w:r w:rsidRPr="005C722B">
        <w:rPr>
          <w:rFonts w:ascii="Arial" w:eastAsia="Calibri" w:hAnsi="Arial" w:cs="Arial"/>
          <w:lang w:val="es-ES"/>
        </w:rPr>
        <w:t>», fue expedida por esta entidad atendiendo al mandato contenido en el inciso segundo del parágrafo del artículo 8 del Decreto 1860 de 2021. Mediante la citada resolución, se modificaron los documentos tipo para proyectos de obra pública de infraestructura de transporte adelantados bajo la modalidad de licitación pública, de selección abreviada de menor cuantía, de consultoría de estudios de ingeniería de infraestructura de transporte, de licitación de obra pública para proyectos de agua potable y saneamiento básico y su modalidad de llave en mano, y los documentos tipo de licitación de obra pública de infraestructura social, con ocasión a la expedición del Decreto 1860 de 2021 y la Ley 2069 del 2020.</w:t>
      </w:r>
    </w:p>
    <w:p w14:paraId="6CE2DC0B" w14:textId="4174E962" w:rsidR="005C722B" w:rsidRPr="00FF57D2" w:rsidRDefault="005C722B" w:rsidP="005C722B">
      <w:pPr>
        <w:spacing w:after="120" w:line="276" w:lineRule="auto"/>
        <w:ind w:firstLine="709"/>
        <w:jc w:val="both"/>
        <w:rPr>
          <w:rFonts w:ascii="Arial" w:eastAsia="Calibri" w:hAnsi="Arial" w:cs="Arial"/>
          <w:lang w:val="es-ES"/>
        </w:rPr>
      </w:pPr>
      <w:r w:rsidRPr="005C722B">
        <w:rPr>
          <w:rFonts w:ascii="Arial" w:eastAsia="Calibri" w:hAnsi="Arial" w:cs="Arial"/>
          <w:lang w:val="es-ES"/>
        </w:rPr>
        <w:lastRenderedPageBreak/>
        <w:t>Por tanto, los días 12 y 18 de agosto de 2022, esta Agencia adelantó las capacitaciones sobre estas modificaciones a los documentos tipo para los sectores de infraestructura de transporte, agua potable y saneamiento básico, e infraestructura social, respectivamente. Estas capacitaciones son grabadas para que estén a disposición de la ciudadanía de forma permanente en la página web de la entidad</w:t>
      </w:r>
      <w:r w:rsidR="006F0AF9">
        <w:rPr>
          <w:rStyle w:val="Refdenotaalpie"/>
          <w:rFonts w:ascii="Arial" w:eastAsia="Calibri" w:hAnsi="Arial" w:cs="Arial"/>
          <w:lang w:val="es-ES"/>
        </w:rPr>
        <w:footnoteReference w:id="16"/>
      </w:r>
      <w:r w:rsidRPr="005C722B">
        <w:rPr>
          <w:rFonts w:ascii="Arial" w:eastAsia="Calibri" w:hAnsi="Arial" w:cs="Arial"/>
          <w:lang w:val="es-ES"/>
        </w:rPr>
        <w:t xml:space="preserve"> ; y también pueden ser consultadas </w:t>
      </w:r>
      <w:r w:rsidR="006F0AF9">
        <w:rPr>
          <w:rFonts w:ascii="Arial" w:eastAsia="Calibri" w:hAnsi="Arial" w:cs="Arial"/>
          <w:lang w:val="es-ES"/>
        </w:rPr>
        <w:t xml:space="preserve">en el canal de </w:t>
      </w:r>
      <w:proofErr w:type="spellStart"/>
      <w:r w:rsidR="006F0AF9">
        <w:rPr>
          <w:rFonts w:ascii="Arial" w:eastAsia="Calibri" w:hAnsi="Arial" w:cs="Arial"/>
          <w:lang w:val="es-ES"/>
        </w:rPr>
        <w:t>youtube</w:t>
      </w:r>
      <w:proofErr w:type="spellEnd"/>
      <w:r w:rsidR="006F0AF9">
        <w:rPr>
          <w:rFonts w:ascii="Arial" w:eastAsia="Calibri" w:hAnsi="Arial" w:cs="Arial"/>
          <w:lang w:val="es-ES"/>
        </w:rPr>
        <w:t xml:space="preserve"> de la Agencia Nacional de Contratación Pública – Colombia Compra Eficiente</w:t>
      </w:r>
      <w:r w:rsidR="006F0AF9">
        <w:rPr>
          <w:rStyle w:val="Refdenotaalpie"/>
          <w:rFonts w:ascii="Arial" w:eastAsia="Calibri" w:hAnsi="Arial" w:cs="Arial"/>
          <w:lang w:val="es-ES"/>
        </w:rPr>
        <w:footnoteReference w:id="17"/>
      </w:r>
      <w:r w:rsidR="006F0AF9">
        <w:rPr>
          <w:rFonts w:ascii="Arial" w:eastAsia="Calibri" w:hAnsi="Arial" w:cs="Arial"/>
          <w:lang w:val="es-ES"/>
        </w:rPr>
        <w:t xml:space="preserve">. </w:t>
      </w:r>
    </w:p>
    <w:p w14:paraId="5620854F" w14:textId="77777777" w:rsidR="005C722B" w:rsidRPr="005C722B" w:rsidRDefault="005C722B" w:rsidP="005C722B">
      <w:pPr>
        <w:spacing w:after="0" w:line="276" w:lineRule="auto"/>
        <w:ind w:firstLine="709"/>
        <w:jc w:val="both"/>
        <w:rPr>
          <w:rFonts w:ascii="Arial" w:eastAsia="Times New Roman" w:hAnsi="Arial" w:cs="Arial"/>
          <w:color w:val="000000" w:themeColor="text1"/>
          <w:lang w:val="es-ES_tradnl" w:eastAsia="es-ES"/>
        </w:rPr>
      </w:pPr>
    </w:p>
    <w:p w14:paraId="38A71685" w14:textId="77777777" w:rsidR="005C722B" w:rsidRPr="005C722B" w:rsidRDefault="005C722B" w:rsidP="005C722B">
      <w:pPr>
        <w:spacing w:after="120" w:line="276" w:lineRule="auto"/>
        <w:ind w:firstLine="709"/>
        <w:jc w:val="both"/>
        <w:rPr>
          <w:rFonts w:ascii="Arial" w:eastAsia="Calibri" w:hAnsi="Arial" w:cs="Arial"/>
          <w:lang w:val="es-ES_tradnl" w:eastAsia="es-ES_tradnl"/>
        </w:rPr>
      </w:pPr>
    </w:p>
    <w:p w14:paraId="7D17B897" w14:textId="77777777" w:rsidR="005C722B" w:rsidRPr="005C722B" w:rsidRDefault="005C722B" w:rsidP="005C722B">
      <w:pPr>
        <w:spacing w:after="0" w:line="276" w:lineRule="auto"/>
        <w:jc w:val="both"/>
        <w:rPr>
          <w:rFonts w:ascii="Arial" w:eastAsia="Times New Roman" w:hAnsi="Arial" w:cs="Arial"/>
          <w:color w:val="000000" w:themeColor="text1"/>
          <w:szCs w:val="24"/>
          <w:lang w:val="es-ES_tradnl" w:eastAsia="es-ES_tradnl"/>
        </w:rPr>
      </w:pPr>
      <w:r w:rsidRPr="005C722B">
        <w:rPr>
          <w:rFonts w:ascii="Arial" w:eastAsia="Times New Roman" w:hAnsi="Arial" w:cs="Arial"/>
          <w:color w:val="000000" w:themeColor="text1"/>
          <w:szCs w:val="24"/>
          <w:lang w:val="es-ES_tradnl"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211759D" w14:textId="77777777" w:rsidR="005C722B" w:rsidRPr="005C722B" w:rsidRDefault="005C722B" w:rsidP="005C722B">
      <w:pPr>
        <w:spacing w:after="0" w:line="276" w:lineRule="auto"/>
        <w:jc w:val="both"/>
        <w:rPr>
          <w:rFonts w:ascii="Arial" w:eastAsia="Times New Roman" w:hAnsi="Arial" w:cs="Arial"/>
          <w:color w:val="000000" w:themeColor="text1"/>
          <w:lang w:val="es-ES_tradnl" w:eastAsia="es-CO"/>
        </w:rPr>
      </w:pPr>
    </w:p>
    <w:p w14:paraId="42D9CC25" w14:textId="77777777" w:rsidR="005C722B" w:rsidRPr="005C722B" w:rsidRDefault="005C722B" w:rsidP="005C722B">
      <w:pPr>
        <w:spacing w:after="0" w:line="276" w:lineRule="auto"/>
        <w:jc w:val="both"/>
        <w:rPr>
          <w:rFonts w:ascii="Arial" w:eastAsia="Times New Roman" w:hAnsi="Arial" w:cs="Arial"/>
          <w:noProof/>
          <w:color w:val="000000" w:themeColor="text1"/>
          <w:sz w:val="24"/>
          <w:szCs w:val="24"/>
          <w:lang w:val="en-US" w:eastAsia="es-CO"/>
        </w:rPr>
      </w:pPr>
      <w:r w:rsidRPr="005C722B">
        <w:rPr>
          <w:rFonts w:ascii="Arial" w:eastAsia="Times New Roman" w:hAnsi="Arial" w:cs="Arial"/>
          <w:color w:val="000000" w:themeColor="text1"/>
          <w:lang w:val="es-ES_tradnl" w:eastAsia="es-CO"/>
        </w:rPr>
        <w:t>Atentamente,</w:t>
      </w:r>
    </w:p>
    <w:bookmarkEnd w:id="13"/>
    <w:p w14:paraId="3879858D" w14:textId="77777777" w:rsidR="005C722B" w:rsidRPr="005C722B" w:rsidRDefault="005C722B" w:rsidP="005C722B">
      <w:pPr>
        <w:spacing w:after="0" w:line="240" w:lineRule="auto"/>
        <w:jc w:val="both"/>
        <w:rPr>
          <w:rFonts w:ascii="Arial" w:eastAsia="Times New Roman" w:hAnsi="Arial" w:cs="Arial"/>
          <w:sz w:val="24"/>
          <w:szCs w:val="24"/>
          <w:lang w:val="es-ES" w:eastAsia="es-CO"/>
        </w:rPr>
      </w:pPr>
    </w:p>
    <w:p w14:paraId="29055175" w14:textId="18483B90" w:rsidR="005C722B" w:rsidRPr="005C722B" w:rsidRDefault="001F4BF0" w:rsidP="005C722B">
      <w:pPr>
        <w:spacing w:after="0" w:line="240" w:lineRule="auto"/>
        <w:jc w:val="center"/>
        <w:rPr>
          <w:rFonts w:ascii="Arial" w:eastAsia="Times New Roman" w:hAnsi="Arial" w:cs="Arial"/>
          <w:sz w:val="24"/>
          <w:szCs w:val="24"/>
          <w:shd w:val="clear" w:color="auto" w:fill="FFFFFF"/>
          <w:lang w:val="es-ES" w:eastAsia="es-CO"/>
        </w:rPr>
      </w:pPr>
      <w:r>
        <w:rPr>
          <w:noProof/>
        </w:rPr>
        <w:drawing>
          <wp:inline distT="0" distB="0" distL="0" distR="0" wp14:anchorId="2621CD7E" wp14:editId="79D52DDE">
            <wp:extent cx="2774950" cy="106426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2"/>
                    <a:stretch>
                      <a:fillRect/>
                    </a:stretch>
                  </pic:blipFill>
                  <pic:spPr>
                    <a:xfrm>
                      <a:off x="0" y="0"/>
                      <a:ext cx="2774950" cy="1064260"/>
                    </a:xfrm>
                    <a:prstGeom prst="rect">
                      <a:avLst/>
                    </a:prstGeom>
                  </pic:spPr>
                </pic:pic>
              </a:graphicData>
            </a:graphic>
          </wp:inline>
        </w:drawing>
      </w:r>
    </w:p>
    <w:tbl>
      <w:tblPr>
        <w:tblStyle w:val="Tablaconcuadrcula1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7477"/>
      </w:tblGrid>
      <w:tr w:rsidR="005C722B" w:rsidRPr="005C722B" w14:paraId="267E6A54" w14:textId="77777777" w:rsidTr="00CE4F5A">
        <w:trPr>
          <w:trHeight w:val="286"/>
        </w:trPr>
        <w:tc>
          <w:tcPr>
            <w:tcW w:w="887" w:type="dxa"/>
            <w:vAlign w:val="center"/>
          </w:tcPr>
          <w:p w14:paraId="4C12CA2C" w14:textId="77777777" w:rsidR="005C722B" w:rsidRPr="005C722B" w:rsidRDefault="005C722B" w:rsidP="005C722B">
            <w:pPr>
              <w:rPr>
                <w:rFonts w:ascii="Arial" w:eastAsia="Times New Roman" w:hAnsi="Arial" w:cs="Arial"/>
                <w:sz w:val="18"/>
                <w:szCs w:val="18"/>
                <w:lang w:eastAsia="es-ES"/>
              </w:rPr>
            </w:pPr>
            <w:r w:rsidRPr="005C722B">
              <w:rPr>
                <w:rFonts w:ascii="Arial" w:eastAsia="Times New Roman" w:hAnsi="Arial" w:cs="Arial"/>
                <w:sz w:val="18"/>
                <w:szCs w:val="18"/>
                <w:lang w:eastAsia="es-ES"/>
              </w:rPr>
              <w:t>Elaboró:</w:t>
            </w:r>
          </w:p>
        </w:tc>
        <w:tc>
          <w:tcPr>
            <w:tcW w:w="7477" w:type="dxa"/>
            <w:tcBorders>
              <w:bottom w:val="dotted" w:sz="4" w:space="0" w:color="7F7F7F"/>
            </w:tcBorders>
            <w:vAlign w:val="center"/>
          </w:tcPr>
          <w:p w14:paraId="07E2DD91" w14:textId="77777777" w:rsidR="005C722B" w:rsidRPr="005C722B" w:rsidRDefault="005C722B" w:rsidP="005C722B">
            <w:pPr>
              <w:rPr>
                <w:rFonts w:ascii="Arial" w:eastAsia="Times New Roman" w:hAnsi="Arial" w:cs="Arial"/>
                <w:sz w:val="18"/>
                <w:szCs w:val="18"/>
                <w:lang w:eastAsia="es-ES"/>
              </w:rPr>
            </w:pPr>
            <w:r w:rsidRPr="005C722B">
              <w:rPr>
                <w:rFonts w:ascii="Arial" w:eastAsia="Times New Roman" w:hAnsi="Arial" w:cs="Arial"/>
                <w:sz w:val="18"/>
                <w:szCs w:val="18"/>
                <w:lang w:eastAsia="es-ES"/>
              </w:rPr>
              <w:t>Ximena Ríos López</w:t>
            </w:r>
          </w:p>
          <w:p w14:paraId="255AC684" w14:textId="77777777" w:rsidR="005C722B" w:rsidRPr="005C722B" w:rsidRDefault="005C722B" w:rsidP="005C722B">
            <w:pPr>
              <w:rPr>
                <w:rFonts w:ascii="Arial" w:eastAsia="Times New Roman" w:hAnsi="Arial" w:cs="Arial"/>
                <w:sz w:val="18"/>
                <w:szCs w:val="18"/>
                <w:lang w:eastAsia="es-ES"/>
              </w:rPr>
            </w:pPr>
            <w:r w:rsidRPr="005C722B">
              <w:rPr>
                <w:rFonts w:ascii="Arial" w:eastAsia="Times New Roman" w:hAnsi="Arial" w:cs="Arial"/>
                <w:sz w:val="18"/>
                <w:szCs w:val="18"/>
                <w:lang w:eastAsia="es-ES"/>
              </w:rPr>
              <w:t>Gestor T1-11 de la Subdirección de Gestión Contractual</w:t>
            </w:r>
          </w:p>
        </w:tc>
      </w:tr>
      <w:tr w:rsidR="005C722B" w:rsidRPr="005C722B" w14:paraId="6E3DBBEE" w14:textId="77777777" w:rsidTr="00CE4F5A">
        <w:trPr>
          <w:trHeight w:val="299"/>
        </w:trPr>
        <w:tc>
          <w:tcPr>
            <w:tcW w:w="887" w:type="dxa"/>
            <w:vAlign w:val="center"/>
          </w:tcPr>
          <w:p w14:paraId="5AC1F114" w14:textId="77777777" w:rsidR="005C722B" w:rsidRPr="005C722B" w:rsidRDefault="005C722B" w:rsidP="005C722B">
            <w:pPr>
              <w:rPr>
                <w:rFonts w:ascii="Arial" w:eastAsia="Times New Roman" w:hAnsi="Arial" w:cs="Arial"/>
                <w:sz w:val="18"/>
                <w:szCs w:val="18"/>
                <w:lang w:eastAsia="es-ES"/>
              </w:rPr>
            </w:pPr>
            <w:r w:rsidRPr="005C722B">
              <w:rPr>
                <w:rFonts w:ascii="Arial" w:eastAsia="Times New Roman" w:hAnsi="Arial" w:cs="Arial"/>
                <w:sz w:val="18"/>
                <w:szCs w:val="18"/>
                <w:lang w:eastAsia="es-ES"/>
              </w:rPr>
              <w:t>Revisó:</w:t>
            </w:r>
          </w:p>
        </w:tc>
        <w:tc>
          <w:tcPr>
            <w:tcW w:w="7477" w:type="dxa"/>
            <w:tcBorders>
              <w:top w:val="dotted" w:sz="4" w:space="0" w:color="7F7F7F"/>
              <w:bottom w:val="dotted" w:sz="4" w:space="0" w:color="7F7F7F"/>
            </w:tcBorders>
            <w:vAlign w:val="center"/>
          </w:tcPr>
          <w:p w14:paraId="5D4A80ED" w14:textId="0BA98F77" w:rsidR="005C722B" w:rsidRPr="005C722B" w:rsidRDefault="005C722B" w:rsidP="005C722B">
            <w:pPr>
              <w:rPr>
                <w:rFonts w:ascii="Arial" w:eastAsia="Times New Roman" w:hAnsi="Arial" w:cs="Arial"/>
                <w:sz w:val="18"/>
                <w:szCs w:val="18"/>
                <w:lang w:eastAsia="es-ES"/>
              </w:rPr>
            </w:pPr>
            <w:r w:rsidRPr="005C722B">
              <w:rPr>
                <w:rFonts w:ascii="Arial" w:eastAsia="Times New Roman" w:hAnsi="Arial" w:cs="Arial"/>
                <w:sz w:val="18"/>
                <w:szCs w:val="18"/>
                <w:lang w:eastAsia="es-ES"/>
              </w:rPr>
              <w:t xml:space="preserve">Nina </w:t>
            </w:r>
            <w:r w:rsidR="006F0AF9">
              <w:rPr>
                <w:rFonts w:ascii="Arial" w:eastAsia="Times New Roman" w:hAnsi="Arial" w:cs="Arial"/>
                <w:sz w:val="18"/>
                <w:szCs w:val="18"/>
                <w:lang w:eastAsia="es-ES"/>
              </w:rPr>
              <w:t xml:space="preserve">María </w:t>
            </w:r>
            <w:r w:rsidRPr="005C722B">
              <w:rPr>
                <w:rFonts w:ascii="Arial" w:eastAsia="Times New Roman" w:hAnsi="Arial" w:cs="Arial"/>
                <w:sz w:val="18"/>
                <w:szCs w:val="18"/>
                <w:lang w:eastAsia="es-ES"/>
              </w:rPr>
              <w:t>Padrón</w:t>
            </w:r>
            <w:r w:rsidR="006F0AF9">
              <w:rPr>
                <w:rFonts w:ascii="Arial" w:eastAsia="Times New Roman" w:hAnsi="Arial" w:cs="Arial"/>
                <w:sz w:val="18"/>
                <w:szCs w:val="18"/>
                <w:lang w:eastAsia="es-ES"/>
              </w:rPr>
              <w:t xml:space="preserve"> Ballestas</w:t>
            </w:r>
          </w:p>
          <w:p w14:paraId="0E40FD2F" w14:textId="77777777" w:rsidR="005C722B" w:rsidRPr="005C722B" w:rsidRDefault="005C722B" w:rsidP="005C722B">
            <w:pPr>
              <w:rPr>
                <w:rFonts w:ascii="Arial" w:eastAsia="Times New Roman" w:hAnsi="Arial" w:cs="Arial"/>
                <w:sz w:val="18"/>
                <w:szCs w:val="18"/>
                <w:lang w:eastAsia="es-ES"/>
              </w:rPr>
            </w:pPr>
            <w:r w:rsidRPr="005C722B">
              <w:rPr>
                <w:rFonts w:ascii="Arial" w:eastAsia="Times New Roman" w:hAnsi="Arial" w:cs="Arial"/>
                <w:sz w:val="18"/>
                <w:szCs w:val="18"/>
                <w:lang w:eastAsia="es-ES"/>
              </w:rPr>
              <w:t>Contratista de la Subdirección de Gestión Contractual</w:t>
            </w:r>
          </w:p>
        </w:tc>
      </w:tr>
      <w:tr w:rsidR="005C722B" w:rsidRPr="005C722B" w14:paraId="46A57BF6" w14:textId="77777777" w:rsidTr="00CE4F5A">
        <w:trPr>
          <w:trHeight w:val="272"/>
        </w:trPr>
        <w:tc>
          <w:tcPr>
            <w:tcW w:w="887" w:type="dxa"/>
            <w:vAlign w:val="center"/>
          </w:tcPr>
          <w:p w14:paraId="515F7AB8" w14:textId="77777777" w:rsidR="005C722B" w:rsidRPr="005C722B" w:rsidRDefault="005C722B" w:rsidP="005C722B">
            <w:pPr>
              <w:rPr>
                <w:rFonts w:ascii="Arial" w:eastAsia="Times New Roman" w:hAnsi="Arial" w:cs="Arial"/>
                <w:sz w:val="18"/>
                <w:szCs w:val="18"/>
                <w:lang w:eastAsia="es-ES"/>
              </w:rPr>
            </w:pPr>
            <w:r w:rsidRPr="005C722B">
              <w:rPr>
                <w:rFonts w:ascii="Arial" w:eastAsia="Times New Roman" w:hAnsi="Arial" w:cs="Arial"/>
                <w:sz w:val="18"/>
                <w:szCs w:val="18"/>
                <w:lang w:eastAsia="es-ES"/>
              </w:rPr>
              <w:t>Aprobó:</w:t>
            </w:r>
          </w:p>
        </w:tc>
        <w:tc>
          <w:tcPr>
            <w:tcW w:w="7477" w:type="dxa"/>
            <w:tcBorders>
              <w:top w:val="dotted" w:sz="4" w:space="0" w:color="7F7F7F"/>
              <w:bottom w:val="dotted" w:sz="4" w:space="0" w:color="7F7F7F"/>
            </w:tcBorders>
            <w:shd w:val="clear" w:color="auto" w:fill="auto"/>
            <w:vAlign w:val="center"/>
          </w:tcPr>
          <w:p w14:paraId="56F3B5FD" w14:textId="77777777" w:rsidR="005C722B" w:rsidRPr="005C722B" w:rsidRDefault="005C722B" w:rsidP="005C722B">
            <w:pPr>
              <w:rPr>
                <w:rFonts w:ascii="Arial" w:eastAsia="Times New Roman" w:hAnsi="Arial" w:cs="Arial"/>
                <w:sz w:val="18"/>
                <w:szCs w:val="18"/>
                <w:lang w:eastAsia="es-ES"/>
              </w:rPr>
            </w:pPr>
            <w:r w:rsidRPr="005C722B">
              <w:rPr>
                <w:rFonts w:ascii="Arial" w:eastAsia="Times New Roman" w:hAnsi="Arial" w:cs="Arial"/>
                <w:sz w:val="18"/>
                <w:szCs w:val="18"/>
                <w:lang w:eastAsia="es-ES"/>
              </w:rPr>
              <w:t xml:space="preserve">Nohelia del Carmen </w:t>
            </w:r>
            <w:proofErr w:type="spellStart"/>
            <w:r w:rsidRPr="005C722B">
              <w:rPr>
                <w:rFonts w:ascii="Arial" w:eastAsia="Times New Roman" w:hAnsi="Arial" w:cs="Arial"/>
                <w:sz w:val="18"/>
                <w:szCs w:val="18"/>
                <w:lang w:eastAsia="es-ES"/>
              </w:rPr>
              <w:t>Zawady</w:t>
            </w:r>
            <w:proofErr w:type="spellEnd"/>
            <w:r w:rsidRPr="005C722B">
              <w:rPr>
                <w:rFonts w:ascii="Arial" w:eastAsia="Times New Roman" w:hAnsi="Arial" w:cs="Arial"/>
                <w:sz w:val="18"/>
                <w:szCs w:val="18"/>
                <w:lang w:eastAsia="es-ES"/>
              </w:rPr>
              <w:t xml:space="preserve"> Palacio</w:t>
            </w:r>
          </w:p>
          <w:p w14:paraId="5E99A03F" w14:textId="77777777" w:rsidR="005C722B" w:rsidRPr="005C722B" w:rsidRDefault="005C722B" w:rsidP="005C722B">
            <w:pPr>
              <w:rPr>
                <w:rFonts w:ascii="Arial" w:eastAsia="Times New Roman" w:hAnsi="Arial" w:cs="Arial"/>
                <w:sz w:val="18"/>
                <w:szCs w:val="18"/>
                <w:lang w:eastAsia="es-ES"/>
              </w:rPr>
            </w:pPr>
            <w:r w:rsidRPr="005C722B">
              <w:rPr>
                <w:rFonts w:ascii="Arial" w:eastAsia="Times New Roman" w:hAnsi="Arial" w:cs="Arial"/>
                <w:sz w:val="18"/>
                <w:szCs w:val="18"/>
                <w:lang w:eastAsia="es-ES"/>
              </w:rPr>
              <w:t xml:space="preserve">Subdirectora de Gestión Contractual ANCP – CCE </w:t>
            </w:r>
          </w:p>
        </w:tc>
      </w:tr>
    </w:tbl>
    <w:p w14:paraId="5591557F" w14:textId="77777777" w:rsidR="005C722B" w:rsidRPr="005C722B" w:rsidRDefault="005C722B" w:rsidP="005C722B">
      <w:pPr>
        <w:spacing w:after="0" w:line="240" w:lineRule="auto"/>
        <w:jc w:val="both"/>
        <w:rPr>
          <w:rFonts w:ascii="Arial" w:eastAsia="Times New Roman" w:hAnsi="Arial" w:cs="Arial"/>
          <w:sz w:val="24"/>
          <w:szCs w:val="24"/>
          <w:lang w:eastAsia="es-ES_tradnl"/>
        </w:rPr>
      </w:pPr>
    </w:p>
    <w:p w14:paraId="1C3871F1" w14:textId="3C77E1C6" w:rsidR="001A1011" w:rsidRPr="005C722B" w:rsidRDefault="001A1011" w:rsidP="006219F8">
      <w:pPr>
        <w:spacing w:after="0" w:line="240" w:lineRule="auto"/>
        <w:rPr>
          <w:rFonts w:ascii="Geomanist Light" w:hAnsi="Geomanist Light"/>
          <w:b/>
          <w:color w:val="404040" w:themeColor="text1" w:themeTint="BF"/>
        </w:rPr>
      </w:pPr>
    </w:p>
    <w:p w14:paraId="5E1D3DBF" w14:textId="22D6B9E8" w:rsidR="001A1011" w:rsidRDefault="001A1011" w:rsidP="006219F8">
      <w:pPr>
        <w:spacing w:after="0" w:line="240" w:lineRule="auto"/>
        <w:rPr>
          <w:rFonts w:ascii="Geomanist Light" w:hAnsi="Geomanist Light"/>
          <w:b/>
          <w:color w:val="404040" w:themeColor="text1" w:themeTint="BF"/>
          <w:lang w:val="es-ES"/>
        </w:rPr>
      </w:pPr>
    </w:p>
    <w:p w14:paraId="22A6B3E1" w14:textId="704F73DC" w:rsidR="001A1011" w:rsidRDefault="001A1011" w:rsidP="006219F8">
      <w:pPr>
        <w:spacing w:after="0" w:line="240" w:lineRule="auto"/>
        <w:rPr>
          <w:rFonts w:ascii="Geomanist Light" w:hAnsi="Geomanist Light"/>
          <w:b/>
          <w:color w:val="404040" w:themeColor="text1" w:themeTint="BF"/>
          <w:lang w:val="es-ES"/>
        </w:rPr>
      </w:pPr>
    </w:p>
    <w:p w14:paraId="331CB6CF" w14:textId="6F9DEEA6" w:rsidR="001A1011" w:rsidRDefault="001A1011" w:rsidP="006219F8">
      <w:pPr>
        <w:spacing w:after="0" w:line="240" w:lineRule="auto"/>
        <w:rPr>
          <w:rFonts w:ascii="Geomanist Light" w:hAnsi="Geomanist Light"/>
          <w:b/>
          <w:color w:val="404040" w:themeColor="text1" w:themeTint="BF"/>
          <w:lang w:val="es-ES"/>
        </w:rPr>
      </w:pPr>
    </w:p>
    <w:p w14:paraId="18D95323" w14:textId="645730DE" w:rsidR="001A1011" w:rsidRDefault="001A1011" w:rsidP="006219F8">
      <w:pPr>
        <w:spacing w:after="0" w:line="240" w:lineRule="auto"/>
        <w:rPr>
          <w:rFonts w:ascii="Geomanist Light" w:hAnsi="Geomanist Light"/>
          <w:b/>
          <w:color w:val="404040" w:themeColor="text1" w:themeTint="BF"/>
          <w:lang w:val="es-ES"/>
        </w:rPr>
      </w:pPr>
    </w:p>
    <w:p w14:paraId="154D43B2" w14:textId="13A83168" w:rsidR="001A1011" w:rsidRDefault="001A1011" w:rsidP="006219F8">
      <w:pPr>
        <w:spacing w:after="0" w:line="240" w:lineRule="auto"/>
        <w:rPr>
          <w:rFonts w:ascii="Geomanist Light" w:hAnsi="Geomanist Light"/>
          <w:b/>
          <w:color w:val="404040" w:themeColor="text1" w:themeTint="BF"/>
          <w:lang w:val="es-ES"/>
        </w:rPr>
      </w:pPr>
    </w:p>
    <w:p w14:paraId="7B23AD64" w14:textId="22BFE0EC" w:rsidR="00C9405D" w:rsidRDefault="00C9405D" w:rsidP="006219F8">
      <w:pPr>
        <w:spacing w:after="0" w:line="240" w:lineRule="auto"/>
        <w:rPr>
          <w:rFonts w:ascii="Geomanist Light" w:hAnsi="Geomanist Light"/>
          <w:b/>
          <w:color w:val="002060"/>
          <w:lang w:val="es-ES"/>
        </w:rPr>
      </w:pPr>
    </w:p>
    <w:p w14:paraId="3624807F" w14:textId="31625BE8" w:rsidR="00C9405D" w:rsidRDefault="00C9405D" w:rsidP="006219F8">
      <w:pPr>
        <w:spacing w:after="0" w:line="240" w:lineRule="auto"/>
        <w:rPr>
          <w:rFonts w:ascii="Geomanist Light" w:hAnsi="Geomanist Light"/>
          <w:b/>
          <w:color w:val="002060"/>
          <w:lang w:val="es-ES"/>
        </w:rPr>
      </w:pPr>
    </w:p>
    <w:bookmarkEnd w:id="2"/>
    <w:p w14:paraId="0F293BF4" w14:textId="0F6FB6C1" w:rsidR="00127233" w:rsidRPr="006219F8" w:rsidRDefault="00127233">
      <w:pPr>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4DEF" w14:textId="77777777" w:rsidR="007B5C4E" w:rsidRDefault="007B5C4E" w:rsidP="004A1847">
      <w:pPr>
        <w:spacing w:after="0" w:line="240" w:lineRule="auto"/>
      </w:pPr>
      <w:r>
        <w:separator/>
      </w:r>
    </w:p>
  </w:endnote>
  <w:endnote w:type="continuationSeparator" w:id="0">
    <w:p w14:paraId="5325420F" w14:textId="77777777" w:rsidR="007B5C4E" w:rsidRDefault="007B5C4E" w:rsidP="004A1847">
      <w:pPr>
        <w:spacing w:after="0" w:line="240" w:lineRule="auto"/>
      </w:pPr>
      <w:r>
        <w:continuationSeparator/>
      </w:r>
    </w:p>
  </w:endnote>
  <w:endnote w:type="continuationNotice" w:id="1">
    <w:p w14:paraId="34591A29" w14:textId="77777777" w:rsidR="007B5C4E" w:rsidRDefault="007B5C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lang w:val="en-US"/>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D19225"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6F0AF9">
            <w:rPr>
              <w:rFonts w:ascii="Geomanist Light" w:hAnsi="Geomanist Light"/>
              <w:b/>
              <w:bCs/>
              <w:noProof/>
              <w:sz w:val="18"/>
              <w:szCs w:val="18"/>
            </w:rPr>
            <w:t>17</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6F0AF9">
            <w:rPr>
              <w:rFonts w:ascii="Geomanist Light" w:hAnsi="Geomanist Light"/>
              <w:b/>
              <w:bCs/>
              <w:noProof/>
              <w:sz w:val="18"/>
              <w:szCs w:val="18"/>
            </w:rPr>
            <w:t>17</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CC9B" w14:textId="77777777" w:rsidR="007B5C4E" w:rsidRDefault="007B5C4E" w:rsidP="004A1847">
      <w:pPr>
        <w:spacing w:after="0" w:line="240" w:lineRule="auto"/>
      </w:pPr>
      <w:r>
        <w:separator/>
      </w:r>
    </w:p>
  </w:footnote>
  <w:footnote w:type="continuationSeparator" w:id="0">
    <w:p w14:paraId="43BC594D" w14:textId="77777777" w:rsidR="007B5C4E" w:rsidRDefault="007B5C4E" w:rsidP="004A1847">
      <w:pPr>
        <w:spacing w:after="0" w:line="240" w:lineRule="auto"/>
      </w:pPr>
      <w:r>
        <w:continuationSeparator/>
      </w:r>
    </w:p>
  </w:footnote>
  <w:footnote w:type="continuationNotice" w:id="1">
    <w:p w14:paraId="34C6DB71" w14:textId="77777777" w:rsidR="007B5C4E" w:rsidRDefault="007B5C4E">
      <w:pPr>
        <w:spacing w:after="0" w:line="240" w:lineRule="auto"/>
      </w:pPr>
    </w:p>
  </w:footnote>
  <w:footnote w:id="2">
    <w:p w14:paraId="7412C56A" w14:textId="77777777" w:rsidR="005C722B" w:rsidRPr="00865A50" w:rsidRDefault="005C722B" w:rsidP="005C722B">
      <w:pPr>
        <w:pStyle w:val="Textonotapie"/>
        <w:ind w:firstLine="708"/>
        <w:contextualSpacing/>
        <w:jc w:val="both"/>
        <w:rPr>
          <w:rFonts w:ascii="Arial" w:hAnsi="Arial" w:cs="Arial"/>
          <w:sz w:val="10"/>
          <w:szCs w:val="10"/>
          <w:lang w:val="es-CO"/>
        </w:rPr>
      </w:pPr>
      <w:r w:rsidRPr="00865A50">
        <w:rPr>
          <w:rStyle w:val="Refdenotaalpie"/>
          <w:rFonts w:ascii="Arial" w:hAnsi="Arial" w:cs="Arial"/>
          <w:sz w:val="10"/>
          <w:szCs w:val="10"/>
        </w:rPr>
        <w:footnoteRef/>
      </w:r>
      <w:r w:rsidRPr="00865A50">
        <w:rPr>
          <w:rFonts w:ascii="Arial" w:hAnsi="Arial" w:cs="Arial"/>
          <w:sz w:val="10"/>
          <w:szCs w:val="10"/>
        </w:rPr>
        <w:t xml:space="preserve"> </w:t>
      </w:r>
      <w:r w:rsidRPr="00865A50">
        <w:rPr>
          <w:rFonts w:ascii="Arial" w:hAnsi="Arial" w:cs="Arial"/>
          <w:sz w:val="10"/>
          <w:szCs w:val="10"/>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entre otros.</w:t>
      </w:r>
    </w:p>
    <w:p w14:paraId="0F2C77AF" w14:textId="77777777" w:rsidR="005C722B" w:rsidRPr="00865A50" w:rsidRDefault="005C722B" w:rsidP="005C722B">
      <w:pPr>
        <w:pStyle w:val="Textonotapie"/>
        <w:ind w:firstLine="708"/>
        <w:contextualSpacing/>
        <w:jc w:val="both"/>
        <w:rPr>
          <w:rFonts w:ascii="Arial" w:hAnsi="Arial" w:cs="Arial"/>
          <w:sz w:val="10"/>
          <w:szCs w:val="10"/>
        </w:rPr>
      </w:pPr>
    </w:p>
  </w:footnote>
  <w:footnote w:id="3">
    <w:p w14:paraId="37F837F0" w14:textId="77777777" w:rsidR="005C722B" w:rsidRPr="00865A50" w:rsidRDefault="005C722B" w:rsidP="005C722B">
      <w:pPr>
        <w:pStyle w:val="Textonotapie"/>
        <w:ind w:firstLine="708"/>
        <w:contextualSpacing/>
        <w:jc w:val="both"/>
        <w:rPr>
          <w:rStyle w:val="Hipervnculo1"/>
          <w:rFonts w:ascii="Arial" w:hAnsi="Arial" w:cs="Arial"/>
          <w:sz w:val="10"/>
          <w:szCs w:val="10"/>
        </w:rPr>
      </w:pPr>
      <w:r w:rsidRPr="00865A50">
        <w:rPr>
          <w:rStyle w:val="Refdenotaalpie"/>
          <w:rFonts w:ascii="Arial" w:hAnsi="Arial" w:cs="Arial"/>
          <w:sz w:val="10"/>
          <w:szCs w:val="10"/>
        </w:rPr>
        <w:footnoteRef/>
      </w:r>
      <w:r w:rsidRPr="00865A50">
        <w:rPr>
          <w:rFonts w:ascii="Arial" w:hAnsi="Arial" w:cs="Arial"/>
          <w:sz w:val="10"/>
          <w:szCs w:val="10"/>
        </w:rPr>
        <w:t xml:space="preserve"> Texto del Proyecto de Ley 122 de 2020 Cámara. Exposición de motivos. Consultado el 29 de diciembre de 2021 en la página web: </w:t>
      </w:r>
      <w:hyperlink r:id="rId1" w:history="1">
        <w:r w:rsidRPr="00865A50">
          <w:rPr>
            <w:rStyle w:val="Hipervnculo1"/>
            <w:rFonts w:ascii="Arial" w:hAnsi="Arial" w:cs="Arial"/>
            <w:sz w:val="10"/>
            <w:szCs w:val="10"/>
          </w:rPr>
          <w:t>http://leyes.senado.gov.co/proyectos/index.php/textos-radicados-senado/p-ley-2020-2021/1957-proyecto-de-ley-161-de-2020</w:t>
        </w:r>
      </w:hyperlink>
    </w:p>
    <w:p w14:paraId="4886B0FA" w14:textId="77777777" w:rsidR="005C722B" w:rsidRPr="00865A50" w:rsidRDefault="005C722B" w:rsidP="005C722B">
      <w:pPr>
        <w:pStyle w:val="Textonotapie"/>
        <w:ind w:firstLine="708"/>
        <w:contextualSpacing/>
        <w:jc w:val="both"/>
        <w:rPr>
          <w:rFonts w:ascii="Arial" w:hAnsi="Arial" w:cs="Arial"/>
          <w:sz w:val="10"/>
          <w:szCs w:val="10"/>
        </w:rPr>
      </w:pPr>
    </w:p>
  </w:footnote>
  <w:footnote w:id="4">
    <w:p w14:paraId="724048E6" w14:textId="77777777" w:rsidR="005C722B" w:rsidRPr="00865A50" w:rsidRDefault="005C722B" w:rsidP="005C722B">
      <w:pPr>
        <w:pStyle w:val="Textonotapie"/>
        <w:ind w:firstLine="709"/>
        <w:contextualSpacing/>
        <w:jc w:val="both"/>
        <w:rPr>
          <w:rFonts w:ascii="Arial" w:hAnsi="Arial" w:cs="Arial"/>
          <w:sz w:val="10"/>
          <w:szCs w:val="10"/>
          <w:lang w:val="es-ES"/>
        </w:rPr>
      </w:pPr>
      <w:r w:rsidRPr="00865A50">
        <w:rPr>
          <w:rStyle w:val="Refdenotaalpie"/>
          <w:rFonts w:ascii="Arial" w:hAnsi="Arial" w:cs="Arial"/>
          <w:sz w:val="10"/>
          <w:szCs w:val="10"/>
        </w:rPr>
        <w:footnoteRef/>
      </w:r>
      <w:r w:rsidRPr="00865A50">
        <w:rPr>
          <w:rFonts w:ascii="Arial" w:hAnsi="Arial" w:cs="Arial"/>
          <w:sz w:val="10"/>
          <w:szCs w:val="10"/>
        </w:rPr>
        <w:t xml:space="preserve"> </w:t>
      </w:r>
      <w:r w:rsidRPr="00865A50">
        <w:rPr>
          <w:rFonts w:ascii="Arial" w:hAnsi="Arial" w:cs="Arial"/>
          <w:sz w:val="10"/>
          <w:szCs w:val="10"/>
          <w:lang w:val="es-ES"/>
        </w:rPr>
        <w:t>Artículos 2 al 29.</w:t>
      </w:r>
    </w:p>
    <w:p w14:paraId="273996D8" w14:textId="77777777" w:rsidR="005C722B" w:rsidRPr="00865A50" w:rsidRDefault="005C722B" w:rsidP="005C722B">
      <w:pPr>
        <w:pStyle w:val="Textonotapie"/>
        <w:ind w:firstLine="709"/>
        <w:contextualSpacing/>
        <w:jc w:val="both"/>
        <w:rPr>
          <w:rFonts w:ascii="Arial" w:hAnsi="Arial" w:cs="Arial"/>
          <w:sz w:val="10"/>
          <w:szCs w:val="10"/>
          <w:lang w:val="es-ES"/>
        </w:rPr>
      </w:pPr>
    </w:p>
  </w:footnote>
  <w:footnote w:id="5">
    <w:p w14:paraId="675C9689" w14:textId="77777777" w:rsidR="005C722B" w:rsidRPr="00865A50" w:rsidRDefault="005C722B" w:rsidP="005C722B">
      <w:pPr>
        <w:pStyle w:val="Textonotapie"/>
        <w:ind w:firstLine="709"/>
        <w:contextualSpacing/>
        <w:jc w:val="both"/>
        <w:rPr>
          <w:rFonts w:ascii="Arial" w:hAnsi="Arial" w:cs="Arial"/>
          <w:sz w:val="10"/>
          <w:szCs w:val="10"/>
          <w:lang w:val="es-ES"/>
        </w:rPr>
      </w:pPr>
      <w:r w:rsidRPr="00865A50">
        <w:rPr>
          <w:rStyle w:val="Refdenotaalpie"/>
          <w:rFonts w:ascii="Arial" w:hAnsi="Arial" w:cs="Arial"/>
          <w:sz w:val="10"/>
          <w:szCs w:val="10"/>
        </w:rPr>
        <w:footnoteRef/>
      </w:r>
      <w:r w:rsidRPr="00865A50">
        <w:rPr>
          <w:rFonts w:ascii="Arial" w:hAnsi="Arial" w:cs="Arial"/>
          <w:sz w:val="10"/>
          <w:szCs w:val="10"/>
        </w:rPr>
        <w:t xml:space="preserve"> </w:t>
      </w:r>
      <w:r w:rsidRPr="00865A50">
        <w:rPr>
          <w:rFonts w:ascii="Arial" w:hAnsi="Arial" w:cs="Arial"/>
          <w:sz w:val="10"/>
          <w:szCs w:val="10"/>
          <w:lang w:val="es-ES"/>
        </w:rPr>
        <w:t>Artículos 30 al 36.</w:t>
      </w:r>
    </w:p>
    <w:p w14:paraId="6607FD34" w14:textId="77777777" w:rsidR="005C722B" w:rsidRPr="00865A50" w:rsidRDefault="005C722B" w:rsidP="005C722B">
      <w:pPr>
        <w:pStyle w:val="Textonotapie"/>
        <w:ind w:firstLine="709"/>
        <w:contextualSpacing/>
        <w:jc w:val="both"/>
        <w:rPr>
          <w:rFonts w:ascii="Arial" w:hAnsi="Arial" w:cs="Arial"/>
          <w:sz w:val="10"/>
          <w:szCs w:val="10"/>
          <w:lang w:val="es-ES"/>
        </w:rPr>
      </w:pPr>
    </w:p>
  </w:footnote>
  <w:footnote w:id="6">
    <w:p w14:paraId="5B89A242" w14:textId="77777777" w:rsidR="005C722B" w:rsidRPr="00865A50" w:rsidRDefault="005C722B" w:rsidP="005C722B">
      <w:pPr>
        <w:pStyle w:val="Textonotapie"/>
        <w:ind w:firstLine="709"/>
        <w:contextualSpacing/>
        <w:jc w:val="both"/>
        <w:rPr>
          <w:rFonts w:ascii="Arial" w:hAnsi="Arial" w:cs="Arial"/>
          <w:sz w:val="10"/>
          <w:szCs w:val="10"/>
          <w:lang w:val="es-ES"/>
        </w:rPr>
      </w:pPr>
      <w:r w:rsidRPr="00865A50">
        <w:rPr>
          <w:rStyle w:val="Refdenotaalpie"/>
          <w:rFonts w:ascii="Arial" w:hAnsi="Arial" w:cs="Arial"/>
          <w:sz w:val="10"/>
          <w:szCs w:val="10"/>
        </w:rPr>
        <w:footnoteRef/>
      </w:r>
      <w:r w:rsidRPr="00865A50">
        <w:rPr>
          <w:rFonts w:ascii="Arial" w:hAnsi="Arial" w:cs="Arial"/>
          <w:sz w:val="10"/>
          <w:szCs w:val="10"/>
        </w:rPr>
        <w:t xml:space="preserve"> </w:t>
      </w:r>
      <w:r w:rsidRPr="00865A50">
        <w:rPr>
          <w:rFonts w:ascii="Arial" w:hAnsi="Arial" w:cs="Arial"/>
          <w:sz w:val="10"/>
          <w:szCs w:val="10"/>
          <w:lang w:val="es-ES"/>
        </w:rPr>
        <w:t>Artículos 37 al 45.</w:t>
      </w:r>
    </w:p>
    <w:p w14:paraId="4A22AD2B" w14:textId="77777777" w:rsidR="005C722B" w:rsidRPr="00865A50" w:rsidRDefault="005C722B" w:rsidP="005C722B">
      <w:pPr>
        <w:pStyle w:val="Textonotapie"/>
        <w:ind w:firstLine="709"/>
        <w:contextualSpacing/>
        <w:jc w:val="both"/>
        <w:rPr>
          <w:rFonts w:ascii="Arial" w:hAnsi="Arial" w:cs="Arial"/>
          <w:sz w:val="10"/>
          <w:szCs w:val="10"/>
          <w:lang w:val="es-ES"/>
        </w:rPr>
      </w:pPr>
    </w:p>
  </w:footnote>
  <w:footnote w:id="7">
    <w:p w14:paraId="2F5A39BE" w14:textId="77777777" w:rsidR="005C722B" w:rsidRPr="00865A50" w:rsidRDefault="005C722B" w:rsidP="005C722B">
      <w:pPr>
        <w:pStyle w:val="Textonotapie"/>
        <w:ind w:firstLine="709"/>
        <w:contextualSpacing/>
        <w:jc w:val="both"/>
        <w:rPr>
          <w:rFonts w:ascii="Arial" w:hAnsi="Arial" w:cs="Arial"/>
          <w:sz w:val="10"/>
          <w:szCs w:val="10"/>
          <w:lang w:val="es-ES"/>
        </w:rPr>
      </w:pPr>
      <w:r w:rsidRPr="00865A50">
        <w:rPr>
          <w:rStyle w:val="Refdenotaalpie"/>
          <w:rFonts w:ascii="Arial" w:hAnsi="Arial" w:cs="Arial"/>
          <w:sz w:val="10"/>
          <w:szCs w:val="10"/>
        </w:rPr>
        <w:footnoteRef/>
      </w:r>
      <w:r w:rsidRPr="00865A50">
        <w:rPr>
          <w:rFonts w:ascii="Arial" w:hAnsi="Arial" w:cs="Arial"/>
          <w:sz w:val="10"/>
          <w:szCs w:val="10"/>
        </w:rPr>
        <w:t xml:space="preserve"> </w:t>
      </w:r>
      <w:r w:rsidRPr="00865A50">
        <w:rPr>
          <w:rFonts w:ascii="Arial" w:hAnsi="Arial" w:cs="Arial"/>
          <w:sz w:val="10"/>
          <w:szCs w:val="10"/>
          <w:lang w:val="es-ES"/>
        </w:rPr>
        <w:t>Artículos 46 al 73.</w:t>
      </w:r>
    </w:p>
    <w:p w14:paraId="3365EFD0" w14:textId="77777777" w:rsidR="005C722B" w:rsidRPr="00865A50" w:rsidRDefault="005C722B" w:rsidP="005C722B">
      <w:pPr>
        <w:pStyle w:val="Textonotapie"/>
        <w:ind w:firstLine="709"/>
        <w:contextualSpacing/>
        <w:jc w:val="both"/>
        <w:rPr>
          <w:rFonts w:ascii="Arial" w:hAnsi="Arial" w:cs="Arial"/>
          <w:sz w:val="10"/>
          <w:szCs w:val="10"/>
          <w:lang w:val="es-ES"/>
        </w:rPr>
      </w:pPr>
    </w:p>
  </w:footnote>
  <w:footnote w:id="8">
    <w:p w14:paraId="68ADC478" w14:textId="77777777" w:rsidR="005C722B" w:rsidRPr="00865A50" w:rsidRDefault="005C722B" w:rsidP="005C722B">
      <w:pPr>
        <w:pStyle w:val="Textonotapie"/>
        <w:ind w:firstLine="709"/>
        <w:contextualSpacing/>
        <w:jc w:val="both"/>
        <w:rPr>
          <w:rFonts w:ascii="Arial" w:hAnsi="Arial" w:cs="Arial"/>
          <w:sz w:val="10"/>
          <w:szCs w:val="10"/>
          <w:lang w:val="es-ES"/>
        </w:rPr>
      </w:pPr>
      <w:r w:rsidRPr="00865A50">
        <w:rPr>
          <w:rStyle w:val="Refdenotaalpie"/>
          <w:rFonts w:ascii="Arial" w:hAnsi="Arial" w:cs="Arial"/>
          <w:sz w:val="10"/>
          <w:szCs w:val="10"/>
        </w:rPr>
        <w:footnoteRef/>
      </w:r>
      <w:r w:rsidRPr="00865A50">
        <w:rPr>
          <w:rFonts w:ascii="Arial" w:hAnsi="Arial" w:cs="Arial"/>
          <w:sz w:val="10"/>
          <w:szCs w:val="10"/>
        </w:rPr>
        <w:t xml:space="preserve"> </w:t>
      </w:r>
      <w:r w:rsidRPr="00865A50">
        <w:rPr>
          <w:rFonts w:ascii="Arial" w:hAnsi="Arial" w:cs="Arial"/>
          <w:sz w:val="10"/>
          <w:szCs w:val="10"/>
          <w:lang w:val="es-ES"/>
        </w:rPr>
        <w:t>Artículos 74 al 83.</w:t>
      </w:r>
    </w:p>
    <w:p w14:paraId="6D571B7D" w14:textId="77777777" w:rsidR="005C722B" w:rsidRPr="00865A50" w:rsidRDefault="005C722B" w:rsidP="005C722B">
      <w:pPr>
        <w:pStyle w:val="Textonotapie"/>
        <w:ind w:firstLine="709"/>
        <w:contextualSpacing/>
        <w:jc w:val="both"/>
        <w:rPr>
          <w:rFonts w:ascii="Arial" w:hAnsi="Arial" w:cs="Arial"/>
          <w:sz w:val="10"/>
          <w:szCs w:val="10"/>
          <w:lang w:val="es-ES"/>
        </w:rPr>
      </w:pPr>
    </w:p>
  </w:footnote>
  <w:footnote w:id="9">
    <w:p w14:paraId="41C679D4" w14:textId="77777777" w:rsidR="005C722B" w:rsidRPr="00865A50" w:rsidRDefault="005C722B" w:rsidP="005C722B">
      <w:pPr>
        <w:pStyle w:val="Textonotapie"/>
        <w:ind w:firstLine="708"/>
        <w:contextualSpacing/>
        <w:jc w:val="both"/>
        <w:rPr>
          <w:rFonts w:ascii="Arial" w:hAnsi="Arial" w:cs="Arial"/>
          <w:sz w:val="10"/>
          <w:szCs w:val="10"/>
        </w:rPr>
      </w:pPr>
      <w:r w:rsidRPr="00865A50">
        <w:rPr>
          <w:rStyle w:val="Refdenotaalpie"/>
          <w:rFonts w:ascii="Arial" w:hAnsi="Arial" w:cs="Arial"/>
          <w:sz w:val="10"/>
          <w:szCs w:val="10"/>
        </w:rPr>
        <w:footnoteRef/>
      </w:r>
      <w:r w:rsidRPr="00865A50">
        <w:rPr>
          <w:rFonts w:ascii="Arial" w:hAnsi="Arial" w:cs="Arial"/>
          <w:sz w:val="10"/>
          <w:szCs w:val="10"/>
        </w:rPr>
        <w:t xml:space="preserve"> </w:t>
      </w:r>
      <w:bookmarkStart w:id="6" w:name="_Hlk63862868"/>
      <w:r w:rsidRPr="00865A50">
        <w:rPr>
          <w:rFonts w:ascii="Arial" w:hAnsi="Arial" w:cs="Arial"/>
          <w:sz w:val="10"/>
          <w:szCs w:val="10"/>
        </w:rPr>
        <w:t xml:space="preserve">CONGRESO DE LA REPÚBLICA. Gaceta No. 670 del 11 de agosto de 2020. Exposición de motivos del Proyecto de Ley No. 122 de 2020 Cámara. p. 13. </w:t>
      </w:r>
      <w:bookmarkEnd w:id="6"/>
    </w:p>
    <w:p w14:paraId="763C97BF" w14:textId="77777777" w:rsidR="005C722B" w:rsidRPr="00865A50" w:rsidRDefault="005C722B" w:rsidP="005C722B">
      <w:pPr>
        <w:pStyle w:val="Textonotapie"/>
        <w:contextualSpacing/>
        <w:jc w:val="both"/>
        <w:rPr>
          <w:rFonts w:ascii="Arial" w:hAnsi="Arial" w:cs="Arial"/>
          <w:sz w:val="10"/>
          <w:szCs w:val="10"/>
          <w:lang w:val="es-ES"/>
        </w:rPr>
      </w:pPr>
    </w:p>
  </w:footnote>
  <w:footnote w:id="10">
    <w:p w14:paraId="0D968382" w14:textId="77777777" w:rsidR="005C722B" w:rsidRPr="00865A50" w:rsidRDefault="005C722B" w:rsidP="005C722B">
      <w:pPr>
        <w:pStyle w:val="Textonotapie"/>
        <w:ind w:firstLine="709"/>
        <w:contextualSpacing/>
        <w:jc w:val="both"/>
        <w:rPr>
          <w:rFonts w:ascii="Arial" w:hAnsi="Arial" w:cs="Arial"/>
          <w:sz w:val="10"/>
          <w:szCs w:val="10"/>
        </w:rPr>
      </w:pPr>
      <w:r w:rsidRPr="00865A50">
        <w:rPr>
          <w:rStyle w:val="Refdenotaalpie"/>
          <w:rFonts w:ascii="Arial" w:hAnsi="Arial" w:cs="Arial"/>
          <w:sz w:val="10"/>
          <w:szCs w:val="10"/>
        </w:rPr>
        <w:footnoteRef/>
      </w:r>
      <w:r w:rsidRPr="00865A50">
        <w:rPr>
          <w:rFonts w:ascii="Arial" w:hAnsi="Arial" w:cs="Arial"/>
          <w:sz w:val="10"/>
          <w:szCs w:val="10"/>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623FD549" w14:textId="77777777" w:rsidR="005C722B" w:rsidRPr="00865A50" w:rsidRDefault="005C722B" w:rsidP="005C722B">
      <w:pPr>
        <w:pStyle w:val="Textonotapie"/>
        <w:ind w:firstLine="708"/>
        <w:contextualSpacing/>
        <w:jc w:val="both"/>
        <w:rPr>
          <w:rFonts w:ascii="Arial" w:hAnsi="Arial" w:cs="Arial"/>
          <w:sz w:val="10"/>
          <w:szCs w:val="10"/>
        </w:rPr>
      </w:pPr>
      <w:proofErr w:type="gramStart"/>
      <w:r w:rsidRPr="00865A50">
        <w:rPr>
          <w:rFonts w:ascii="Arial" w:hAnsi="Arial" w:cs="Arial"/>
          <w:sz w:val="10"/>
          <w:szCs w:val="10"/>
        </w:rPr>
        <w:t>»Parágrafo</w:t>
      </w:r>
      <w:proofErr w:type="gramEnd"/>
      <w:r w:rsidRPr="00865A50">
        <w:rPr>
          <w:rFonts w:ascii="Arial" w:hAnsi="Arial" w:cs="Arial"/>
          <w:sz w:val="10"/>
          <w:szCs w:val="10"/>
        </w:rPr>
        <w:t xml:space="preserve"> primero. La definición de emprendimientos y empresas de mujeres se reglamentará por el gobierno nacional».  </w:t>
      </w:r>
    </w:p>
  </w:footnote>
  <w:footnote w:id="11">
    <w:p w14:paraId="45E6412A" w14:textId="77777777" w:rsidR="005C722B" w:rsidRPr="00865A50" w:rsidRDefault="005C722B" w:rsidP="005C722B">
      <w:pPr>
        <w:pStyle w:val="Textonotapie"/>
        <w:ind w:firstLine="709"/>
        <w:contextualSpacing/>
        <w:jc w:val="both"/>
        <w:rPr>
          <w:rFonts w:ascii="Arial" w:hAnsi="Arial" w:cs="Arial"/>
          <w:sz w:val="10"/>
          <w:szCs w:val="10"/>
        </w:rPr>
      </w:pPr>
      <w:r w:rsidRPr="00865A50">
        <w:rPr>
          <w:rStyle w:val="Refdenotaalpie"/>
          <w:rFonts w:ascii="Arial" w:hAnsi="Arial" w:cs="Arial"/>
          <w:sz w:val="10"/>
          <w:szCs w:val="10"/>
        </w:rPr>
        <w:footnoteRef/>
      </w:r>
      <w:r w:rsidRPr="00865A50">
        <w:rPr>
          <w:rFonts w:ascii="Arial" w:hAnsi="Arial" w:cs="Arial"/>
          <w:sz w:val="10"/>
          <w:szCs w:val="10"/>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p w14:paraId="2D5EB476" w14:textId="77777777" w:rsidR="005C722B" w:rsidRPr="00865A50" w:rsidRDefault="005C722B" w:rsidP="005C722B">
      <w:pPr>
        <w:pStyle w:val="Textonotapie"/>
        <w:ind w:firstLine="709"/>
        <w:contextualSpacing/>
        <w:jc w:val="both"/>
        <w:rPr>
          <w:rFonts w:ascii="Arial" w:hAnsi="Arial" w:cs="Arial"/>
          <w:sz w:val="10"/>
          <w:szCs w:val="10"/>
        </w:rPr>
      </w:pPr>
    </w:p>
  </w:footnote>
  <w:footnote w:id="12">
    <w:p w14:paraId="253DE24B" w14:textId="77777777" w:rsidR="005C722B" w:rsidRPr="00865A50" w:rsidRDefault="005C722B" w:rsidP="005C722B">
      <w:pPr>
        <w:pStyle w:val="NormalWeb"/>
        <w:shd w:val="clear" w:color="auto" w:fill="FFFFFF"/>
        <w:spacing w:after="0" w:line="240" w:lineRule="auto"/>
        <w:ind w:firstLine="709"/>
        <w:contextualSpacing/>
        <w:jc w:val="both"/>
        <w:rPr>
          <w:rFonts w:ascii="Arial" w:hAnsi="Arial" w:cs="Arial"/>
          <w:sz w:val="10"/>
          <w:szCs w:val="10"/>
        </w:rPr>
      </w:pPr>
      <w:r w:rsidRPr="00865A50">
        <w:rPr>
          <w:rStyle w:val="Refdenotaalpie"/>
          <w:rFonts w:ascii="Arial" w:hAnsi="Arial" w:cs="Arial"/>
          <w:sz w:val="10"/>
          <w:szCs w:val="10"/>
        </w:rPr>
        <w:footnoteRef/>
      </w:r>
      <w:r w:rsidRPr="00865A50">
        <w:rPr>
          <w:rFonts w:ascii="Arial" w:hAnsi="Arial" w:cs="Arial"/>
          <w:sz w:val="10"/>
          <w:szCs w:val="10"/>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865A50">
          <w:rPr>
            <w:rStyle w:val="Hipervnculo"/>
            <w:rFonts w:ascii="Arial" w:hAnsi="Arial" w:cs="Arial"/>
            <w:sz w:val="10"/>
            <w:szCs w:val="10"/>
          </w:rPr>
          <w:t>5 </w:t>
        </w:r>
      </w:hyperlink>
      <w:r w:rsidRPr="00865A50">
        <w:rPr>
          <w:rFonts w:ascii="Arial" w:hAnsi="Arial" w:cs="Arial"/>
          <w:sz w:val="10"/>
          <w:szCs w:val="10"/>
        </w:rPr>
        <w:t xml:space="preserve">de la Sección 1 del Capítulo 2 del Título 1 de la Parte 2 del Libro 2, así como los artículos </w:t>
      </w:r>
      <w:hyperlink r:id="rId3" w:anchor="2.2.1.2.4.2.2" w:history="1">
        <w:r w:rsidRPr="00865A50">
          <w:rPr>
            <w:rStyle w:val="Hipervnculo"/>
            <w:rFonts w:ascii="Arial" w:hAnsi="Arial" w:cs="Arial"/>
            <w:sz w:val="10"/>
            <w:szCs w:val="10"/>
          </w:rPr>
          <w:t>2.2.1.2.4.2.2</w:t>
        </w:r>
      </w:hyperlink>
      <w:r w:rsidRPr="00865A50">
        <w:rPr>
          <w:rFonts w:ascii="Arial" w:hAnsi="Arial" w:cs="Arial"/>
          <w:sz w:val="10"/>
          <w:szCs w:val="10"/>
        </w:rPr>
        <w:t>., </w:t>
      </w:r>
      <w:hyperlink r:id="rId4" w:anchor="2.2.1.2.4.2.3" w:history="1">
        <w:r w:rsidRPr="00865A50">
          <w:rPr>
            <w:rStyle w:val="Hipervnculo"/>
            <w:rFonts w:ascii="Arial" w:hAnsi="Arial" w:cs="Arial"/>
            <w:sz w:val="10"/>
            <w:szCs w:val="10"/>
          </w:rPr>
          <w:t>2.2.1.2.4.2.3</w:t>
        </w:r>
      </w:hyperlink>
      <w:r w:rsidRPr="00865A50">
        <w:rPr>
          <w:rFonts w:ascii="Arial" w:hAnsi="Arial" w:cs="Arial"/>
          <w:sz w:val="10"/>
          <w:szCs w:val="10"/>
        </w:rPr>
        <w:t>., </w:t>
      </w:r>
      <w:hyperlink r:id="rId5" w:anchor="2.2.1.2.4.2.4" w:history="1">
        <w:r w:rsidRPr="00865A50">
          <w:rPr>
            <w:rStyle w:val="Hipervnculo"/>
            <w:rFonts w:ascii="Arial" w:hAnsi="Arial" w:cs="Arial"/>
            <w:sz w:val="10"/>
            <w:szCs w:val="10"/>
          </w:rPr>
          <w:t>2.2.1.2.4.2.4</w:t>
        </w:r>
      </w:hyperlink>
      <w:r w:rsidRPr="00865A50">
        <w:rPr>
          <w:rFonts w:ascii="Arial" w:hAnsi="Arial" w:cs="Arial"/>
          <w:sz w:val="10"/>
          <w:szCs w:val="10"/>
        </w:rPr>
        <w:t>., </w:t>
      </w:r>
      <w:hyperlink r:id="rId6" w:anchor="2.2.1.2.1.2.2" w:history="1">
        <w:r w:rsidRPr="00865A50">
          <w:rPr>
            <w:rStyle w:val="Hipervnculo"/>
            <w:rFonts w:ascii="Arial" w:hAnsi="Arial" w:cs="Arial"/>
            <w:sz w:val="10"/>
            <w:szCs w:val="10"/>
          </w:rPr>
          <w:t>2.2.1.2.1.2.2</w:t>
        </w:r>
      </w:hyperlink>
      <w:r w:rsidRPr="00865A50">
        <w:rPr>
          <w:rFonts w:ascii="Arial" w:hAnsi="Arial" w:cs="Arial"/>
          <w:sz w:val="10"/>
          <w:szCs w:val="10"/>
        </w:rPr>
        <w:t xml:space="preserve"> y </w:t>
      </w:r>
      <w:hyperlink r:id="rId7" w:anchor="2.2.1.2.4.2.8" w:history="1">
        <w:r w:rsidRPr="00865A50">
          <w:rPr>
            <w:rStyle w:val="Hipervnculo"/>
            <w:rFonts w:ascii="Arial" w:hAnsi="Arial" w:cs="Arial"/>
            <w:sz w:val="10"/>
            <w:szCs w:val="10"/>
          </w:rPr>
          <w:t>2.2.1.2.4.2.8</w:t>
        </w:r>
      </w:hyperlink>
      <w:r w:rsidRPr="00865A50">
        <w:rPr>
          <w:rFonts w:ascii="Arial" w:hAnsi="Arial" w:cs="Arial"/>
          <w:sz w:val="10"/>
          <w:szCs w:val="10"/>
        </w:rPr>
        <w:t xml:space="preserve">.; adiciona los artículos </w:t>
      </w:r>
      <w:hyperlink r:id="rId8" w:anchor="2.2.1.2.4.2.14" w:history="1">
        <w:r w:rsidRPr="00865A50">
          <w:rPr>
            <w:rStyle w:val="Hipervnculo"/>
            <w:rFonts w:ascii="Arial" w:hAnsi="Arial" w:cs="Arial"/>
            <w:sz w:val="10"/>
            <w:szCs w:val="10"/>
          </w:rPr>
          <w:t>2.2.1.2.4.2.14</w:t>
        </w:r>
      </w:hyperlink>
      <w:r w:rsidRPr="00865A50">
        <w:rPr>
          <w:rFonts w:ascii="Arial" w:hAnsi="Arial" w:cs="Arial"/>
          <w:sz w:val="10"/>
          <w:szCs w:val="10"/>
        </w:rPr>
        <w:t>., </w:t>
      </w:r>
      <w:hyperlink r:id="rId9" w:anchor="2.2.1.2.4.2.15" w:history="1">
        <w:r w:rsidRPr="00865A50">
          <w:rPr>
            <w:rStyle w:val="Hipervnculo"/>
            <w:rFonts w:ascii="Arial" w:hAnsi="Arial" w:cs="Arial"/>
            <w:sz w:val="10"/>
            <w:szCs w:val="10"/>
          </w:rPr>
          <w:t>2.2.1.2.4.2.15</w:t>
        </w:r>
      </w:hyperlink>
      <w:r w:rsidRPr="00865A50">
        <w:rPr>
          <w:rFonts w:ascii="Arial" w:hAnsi="Arial" w:cs="Arial"/>
          <w:sz w:val="10"/>
          <w:szCs w:val="10"/>
        </w:rPr>
        <w:t>., </w:t>
      </w:r>
      <w:hyperlink r:id="rId10" w:anchor="2.2.1.2.4.2.16" w:history="1">
        <w:r w:rsidRPr="00865A50">
          <w:rPr>
            <w:rStyle w:val="Hipervnculo"/>
            <w:rFonts w:ascii="Arial" w:hAnsi="Arial" w:cs="Arial"/>
            <w:sz w:val="10"/>
            <w:szCs w:val="10"/>
          </w:rPr>
          <w:t>2.2.1.2.4.2.16</w:t>
        </w:r>
      </w:hyperlink>
      <w:r w:rsidRPr="00865A50">
        <w:rPr>
          <w:rFonts w:ascii="Arial" w:hAnsi="Arial" w:cs="Arial"/>
          <w:sz w:val="10"/>
          <w:szCs w:val="10"/>
        </w:rPr>
        <w:t>., </w:t>
      </w:r>
      <w:hyperlink r:id="rId11" w:anchor="2.2.1.2.4.2.17" w:history="1">
        <w:r w:rsidRPr="00865A50">
          <w:rPr>
            <w:rStyle w:val="Hipervnculo"/>
            <w:rFonts w:ascii="Arial" w:hAnsi="Arial" w:cs="Arial"/>
            <w:sz w:val="10"/>
            <w:szCs w:val="10"/>
          </w:rPr>
          <w:t>2.2.1.2.4.2.17</w:t>
        </w:r>
      </w:hyperlink>
      <w:r w:rsidRPr="00865A50">
        <w:rPr>
          <w:rFonts w:ascii="Arial" w:hAnsi="Arial" w:cs="Arial"/>
          <w:sz w:val="10"/>
          <w:szCs w:val="10"/>
        </w:rPr>
        <w:t xml:space="preserve">. y </w:t>
      </w:r>
      <w:hyperlink r:id="rId12" w:anchor="2.2.1.2.4.2.18" w:history="1">
        <w:r w:rsidRPr="00865A50">
          <w:rPr>
            <w:rStyle w:val="Hipervnculo"/>
            <w:rFonts w:ascii="Arial" w:hAnsi="Arial" w:cs="Arial"/>
            <w:sz w:val="10"/>
            <w:szCs w:val="10"/>
          </w:rPr>
          <w:t>2.2.1.2.4.2.18</w:t>
        </w:r>
      </w:hyperlink>
      <w:r w:rsidRPr="00865A50">
        <w:rPr>
          <w:rFonts w:ascii="Arial" w:hAnsi="Arial" w:cs="Arial"/>
          <w:sz w:val="10"/>
          <w:szCs w:val="10"/>
        </w:rPr>
        <w:t>.; adiciona un </w:t>
      </w:r>
      <w:hyperlink r:id="rId13" w:anchor="2.2.1.2.3.1.9.p" w:history="1">
        <w:r w:rsidRPr="00865A50">
          <w:rPr>
            <w:rStyle w:val="Hipervnculo"/>
            <w:rFonts w:ascii="Arial" w:hAnsi="Arial" w:cs="Arial"/>
            <w:sz w:val="10"/>
            <w:szCs w:val="10"/>
          </w:rPr>
          <w:t>parágrafo </w:t>
        </w:r>
      </w:hyperlink>
      <w:r w:rsidRPr="00865A50">
        <w:rPr>
          <w:rFonts w:ascii="Arial" w:hAnsi="Arial" w:cs="Arial"/>
          <w:sz w:val="10"/>
          <w:szCs w:val="10"/>
        </w:rPr>
        <w:t xml:space="preserve">al artículo </w:t>
      </w:r>
      <w:hyperlink r:id="rId14" w:anchor="2.2.1.2.3.1.9" w:history="1">
        <w:r w:rsidRPr="00865A50">
          <w:rPr>
            <w:rStyle w:val="Hipervnculo"/>
            <w:rFonts w:ascii="Arial" w:hAnsi="Arial" w:cs="Arial"/>
            <w:sz w:val="10"/>
            <w:szCs w:val="10"/>
          </w:rPr>
          <w:t>2.2.1.2.3.1.9</w:t>
        </w:r>
      </w:hyperlink>
      <w:r w:rsidRPr="00865A50">
        <w:rPr>
          <w:rFonts w:ascii="Arial" w:hAnsi="Arial" w:cs="Arial"/>
          <w:sz w:val="10"/>
          <w:szCs w:val="10"/>
        </w:rPr>
        <w:t>; y deroga el artículo </w:t>
      </w:r>
      <w:hyperlink r:id="rId15" w:anchor="2.2.1.1.2.2.9" w:history="1">
        <w:r w:rsidRPr="00865A50">
          <w:rPr>
            <w:rStyle w:val="Hipervnculo"/>
            <w:rFonts w:ascii="Arial" w:hAnsi="Arial" w:cs="Arial"/>
            <w:sz w:val="10"/>
            <w:szCs w:val="10"/>
          </w:rPr>
          <w:t>2.2.1.1.2.2.9</w:t>
        </w:r>
      </w:hyperlink>
      <w:r w:rsidRPr="00865A50">
        <w:rPr>
          <w:rFonts w:ascii="Arial" w:hAnsi="Arial" w:cs="Arial"/>
          <w:sz w:val="10"/>
          <w:szCs w:val="10"/>
        </w:rPr>
        <w:t>. del Decreto 1082 de 2015, Único Reglamentario del Sector Administrativo de Planeación Nacional.</w:t>
      </w:r>
    </w:p>
    <w:p w14:paraId="521F1F67" w14:textId="77777777" w:rsidR="005C722B" w:rsidRPr="00865A50" w:rsidRDefault="005C722B" w:rsidP="005C722B">
      <w:pPr>
        <w:pStyle w:val="NormalWeb"/>
        <w:shd w:val="clear" w:color="auto" w:fill="FFFFFF"/>
        <w:spacing w:after="0" w:line="240" w:lineRule="auto"/>
        <w:contextualSpacing/>
        <w:jc w:val="both"/>
        <w:rPr>
          <w:rFonts w:ascii="Arial" w:hAnsi="Arial" w:cs="Arial"/>
          <w:sz w:val="10"/>
          <w:szCs w:val="10"/>
        </w:rPr>
      </w:pPr>
      <w:r w:rsidRPr="00865A50">
        <w:rPr>
          <w:rFonts w:ascii="Arial" w:hAnsi="Arial" w:cs="Arial"/>
          <w:b/>
          <w:bCs/>
          <w:sz w:val="10"/>
          <w:szCs w:val="10"/>
        </w:rPr>
        <w:t> </w:t>
      </w:r>
      <w:r w:rsidRPr="00865A50">
        <w:rPr>
          <w:rFonts w:ascii="Arial" w:hAnsi="Arial" w:cs="Arial"/>
          <w:b/>
          <w:bCs/>
          <w:sz w:val="10"/>
          <w:szCs w:val="10"/>
        </w:rPr>
        <w:tab/>
      </w:r>
      <w:proofErr w:type="gramStart"/>
      <w:r w:rsidRPr="00865A50">
        <w:rPr>
          <w:rFonts w:ascii="Arial" w:hAnsi="Arial" w:cs="Arial"/>
          <w:b/>
          <w:bCs/>
          <w:sz w:val="10"/>
          <w:szCs w:val="10"/>
        </w:rPr>
        <w:t>»</w:t>
      </w:r>
      <w:r w:rsidRPr="00865A50">
        <w:rPr>
          <w:rFonts w:ascii="Arial" w:hAnsi="Arial" w:cs="Arial"/>
          <w:sz w:val="10"/>
          <w:szCs w:val="10"/>
        </w:rPr>
        <w:t>Parágrafo</w:t>
      </w:r>
      <w:proofErr w:type="gramEnd"/>
      <w:r w:rsidRPr="00865A50">
        <w:rPr>
          <w:rFonts w:ascii="Arial" w:hAnsi="Arial" w:cs="Arial"/>
          <w:sz w:val="10"/>
          <w:szCs w:val="10"/>
        </w:rPr>
        <w:t>.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0F048930" w14:textId="77777777" w:rsidR="005C722B" w:rsidRPr="00865A50" w:rsidRDefault="005C722B" w:rsidP="005C722B">
      <w:pPr>
        <w:pStyle w:val="NormalWeb"/>
        <w:shd w:val="clear" w:color="auto" w:fill="FFFFFF"/>
        <w:spacing w:after="0" w:line="240" w:lineRule="auto"/>
        <w:contextualSpacing/>
        <w:jc w:val="both"/>
        <w:rPr>
          <w:rFonts w:ascii="Arial" w:hAnsi="Arial" w:cs="Arial"/>
          <w:sz w:val="10"/>
          <w:szCs w:val="10"/>
        </w:rPr>
      </w:pPr>
      <w:r w:rsidRPr="00865A50">
        <w:rPr>
          <w:rFonts w:ascii="Arial" w:hAnsi="Arial" w:cs="Arial"/>
          <w:sz w:val="10"/>
          <w:szCs w:val="10"/>
        </w:rPr>
        <w:t> </w:t>
      </w:r>
      <w:r w:rsidRPr="00865A50">
        <w:rPr>
          <w:rFonts w:ascii="Arial" w:hAnsi="Arial" w:cs="Arial"/>
          <w:sz w:val="10"/>
          <w:szCs w:val="10"/>
        </w:rPr>
        <w:tab/>
      </w:r>
      <w:proofErr w:type="gramStart"/>
      <w:r w:rsidRPr="00865A50">
        <w:rPr>
          <w:rFonts w:ascii="Arial" w:hAnsi="Arial" w:cs="Arial"/>
          <w:sz w:val="10"/>
          <w:szCs w:val="10"/>
        </w:rPr>
        <w:t>»La</w:t>
      </w:r>
      <w:proofErr w:type="gramEnd"/>
      <w:r w:rsidRPr="00865A50">
        <w:rPr>
          <w:rFonts w:ascii="Arial" w:hAnsi="Arial" w:cs="Arial"/>
          <w:sz w:val="10"/>
          <w:szCs w:val="10"/>
        </w:rPr>
        <w:t xml:space="preserve">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3">
    <w:p w14:paraId="3C0FB6F4" w14:textId="77777777" w:rsidR="005C722B" w:rsidRPr="00865A50" w:rsidRDefault="005C722B" w:rsidP="005C722B">
      <w:pPr>
        <w:pStyle w:val="Textonotapie"/>
        <w:ind w:firstLine="709"/>
        <w:jc w:val="both"/>
        <w:rPr>
          <w:rFonts w:ascii="Arial" w:hAnsi="Arial" w:cs="Arial"/>
          <w:sz w:val="10"/>
          <w:szCs w:val="10"/>
          <w:lang w:val="es-ES"/>
        </w:rPr>
      </w:pPr>
      <w:r w:rsidRPr="00865A50">
        <w:rPr>
          <w:rStyle w:val="Refdenotaalpie"/>
          <w:rFonts w:ascii="Arial" w:hAnsi="Arial" w:cs="Arial"/>
          <w:sz w:val="10"/>
          <w:szCs w:val="10"/>
        </w:rPr>
        <w:footnoteRef/>
      </w:r>
      <w:r w:rsidRPr="00865A50">
        <w:rPr>
          <w:rFonts w:ascii="Arial" w:hAnsi="Arial" w:cs="Arial"/>
          <w:sz w:val="10"/>
          <w:szCs w:val="10"/>
        </w:rPr>
        <w:t xml:space="preserve"> </w:t>
      </w:r>
      <w:r w:rsidRPr="00865A50">
        <w:rPr>
          <w:rFonts w:ascii="Arial" w:hAnsi="Arial" w:cs="Arial"/>
          <w:sz w:val="10"/>
          <w:szCs w:val="10"/>
          <w:lang w:val="es-ES"/>
        </w:rPr>
        <w:t xml:space="preserve">Cfr. DE LA TORRE, Ramon Eduardo </w:t>
      </w:r>
      <w:proofErr w:type="spellStart"/>
      <w:r w:rsidRPr="00865A50">
        <w:rPr>
          <w:rFonts w:ascii="Arial" w:hAnsi="Arial" w:cs="Arial"/>
          <w:sz w:val="10"/>
          <w:szCs w:val="10"/>
          <w:lang w:val="es-ES"/>
        </w:rPr>
        <w:t>Madrinan</w:t>
      </w:r>
      <w:proofErr w:type="spellEnd"/>
      <w:r w:rsidRPr="00865A50">
        <w:rPr>
          <w:rFonts w:ascii="Arial" w:hAnsi="Arial" w:cs="Arial"/>
          <w:sz w:val="10"/>
          <w:szCs w:val="10"/>
          <w:lang w:val="es-ES"/>
        </w:rPr>
        <w:t xml:space="preserve">. Principios de derecho comercial. Temis, 1980; CÁRDENAS, Luis Gonzalo Baena, et al. Lecciones de derecho mercantil, 2. </w:t>
      </w:r>
      <w:proofErr w:type="spellStart"/>
      <w:r w:rsidRPr="00865A50">
        <w:rPr>
          <w:rFonts w:ascii="Arial" w:hAnsi="Arial" w:cs="Arial"/>
          <w:sz w:val="10"/>
          <w:szCs w:val="10"/>
          <w:lang w:val="es-ES"/>
        </w:rPr>
        <w:t>Books</w:t>
      </w:r>
      <w:proofErr w:type="spellEnd"/>
      <w:r w:rsidRPr="00865A50">
        <w:rPr>
          <w:rFonts w:ascii="Arial" w:hAnsi="Arial" w:cs="Arial"/>
          <w:sz w:val="10"/>
          <w:szCs w:val="10"/>
          <w:lang w:val="es-ES"/>
        </w:rPr>
        <w:t xml:space="preserve">, 2013, vol. 1.; LINARES VESGA, Jesús Ángel. Curso de derecho comercial: parte general. Bogotá: _Grupo Editorial </w:t>
      </w:r>
      <w:proofErr w:type="gramStart"/>
      <w:r w:rsidRPr="00865A50">
        <w:rPr>
          <w:rFonts w:ascii="Arial" w:hAnsi="Arial" w:cs="Arial"/>
          <w:sz w:val="10"/>
          <w:szCs w:val="10"/>
          <w:lang w:val="es-ES"/>
        </w:rPr>
        <w:t>Ibáñez,,</w:t>
      </w:r>
      <w:proofErr w:type="gramEnd"/>
      <w:r w:rsidRPr="00865A50">
        <w:rPr>
          <w:rFonts w:ascii="Arial" w:hAnsi="Arial" w:cs="Arial"/>
          <w:sz w:val="10"/>
          <w:szCs w:val="10"/>
          <w:lang w:val="es-ES"/>
        </w:rPr>
        <w:t xml:space="preserve"> 2013; PINZÓN, Gabino; SÁNCHEZ, Jorge Pinzón. Introducción al derecho comercial. 1985.</w:t>
      </w:r>
    </w:p>
  </w:footnote>
  <w:footnote w:id="14">
    <w:p w14:paraId="41EA712D" w14:textId="77777777" w:rsidR="005C722B" w:rsidRPr="00865A50" w:rsidRDefault="005C722B" w:rsidP="005C722B">
      <w:pPr>
        <w:pStyle w:val="NormalWeb"/>
        <w:shd w:val="clear" w:color="auto" w:fill="FFFFFF"/>
        <w:spacing w:after="0" w:line="240" w:lineRule="auto"/>
        <w:ind w:firstLine="708"/>
        <w:jc w:val="both"/>
        <w:rPr>
          <w:rFonts w:ascii="Arial" w:hAnsi="Arial" w:cs="Arial"/>
          <w:sz w:val="10"/>
          <w:szCs w:val="10"/>
        </w:rPr>
      </w:pPr>
      <w:r w:rsidRPr="00865A50">
        <w:rPr>
          <w:rStyle w:val="Refdenotaalpie"/>
          <w:rFonts w:ascii="Arial" w:hAnsi="Arial" w:cs="Arial"/>
          <w:sz w:val="10"/>
          <w:szCs w:val="10"/>
        </w:rPr>
        <w:footnoteRef/>
      </w:r>
      <w:r w:rsidRPr="00865A50">
        <w:rPr>
          <w:rFonts w:ascii="Arial" w:hAnsi="Arial" w:cs="Arial"/>
          <w:sz w:val="10"/>
          <w:szCs w:val="10"/>
        </w:rPr>
        <w:t xml:space="preserve"> «</w:t>
      </w:r>
      <w:r w:rsidRPr="00865A50">
        <w:rPr>
          <w:rStyle w:val="Textoennegrita"/>
          <w:rFonts w:ascii="Arial" w:hAnsi="Arial" w:cs="Arial"/>
          <w:sz w:val="10"/>
          <w:szCs w:val="10"/>
        </w:rPr>
        <w:t>ARTÍCULO 2.2.1.2.4.2.18. Criterios diferenciales para Mipyme en el sistema de compras públicas.</w:t>
      </w:r>
      <w:r w:rsidRPr="00865A50">
        <w:rPr>
          <w:rFonts w:ascii="Arial" w:hAnsi="Arial" w:cs="Arial"/>
          <w:sz w:val="10"/>
          <w:szCs w:val="10"/>
        </w:rPr>
        <w:t> De acuerdo con el numeral </w:t>
      </w:r>
      <w:hyperlink r:id="rId16" w:anchor="12.1" w:history="1">
        <w:r w:rsidRPr="00865A50">
          <w:rPr>
            <w:rFonts w:ascii="Arial" w:hAnsi="Arial" w:cs="Arial"/>
            <w:sz w:val="10"/>
            <w:szCs w:val="10"/>
          </w:rPr>
          <w:t>1 </w:t>
        </w:r>
      </w:hyperlink>
      <w:r w:rsidRPr="00865A50">
        <w:rPr>
          <w:rFonts w:ascii="Arial" w:hAnsi="Arial" w:cs="Arial"/>
          <w:sz w:val="10"/>
          <w:szCs w:val="10"/>
        </w:rPr>
        <w:t>del artículo </w:t>
      </w:r>
      <w:hyperlink r:id="rId17" w:anchor="12" w:history="1">
        <w:r w:rsidRPr="00865A50">
          <w:rPr>
            <w:rFonts w:ascii="Arial" w:hAnsi="Arial" w:cs="Arial"/>
            <w:sz w:val="10"/>
            <w:szCs w:val="10"/>
          </w:rPr>
          <w:t>12 </w:t>
        </w:r>
      </w:hyperlink>
      <w:r w:rsidRPr="00865A50">
        <w:rPr>
          <w:rFonts w:ascii="Arial" w:hAnsi="Arial" w:cs="Arial"/>
          <w:sz w:val="10"/>
          <w:szCs w:val="10"/>
        </w:rPr>
        <w:t>de la Ley 590 de 2000, según los resultados del análisis del sector,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Mipyme domiciliadas en Colombia. Para el efecto, en función de los criterios de clasificación empresarial, los Documentos del Proceso deberán incorporar requisitos habilitantes diferenciales relacionados con alguno o algunos de los siguientes aspectos:</w:t>
      </w:r>
    </w:p>
    <w:p w14:paraId="5A04B093" w14:textId="77777777" w:rsidR="005C722B" w:rsidRPr="00865A50" w:rsidRDefault="005C722B" w:rsidP="005C722B">
      <w:pPr>
        <w:pStyle w:val="NormalWeb"/>
        <w:shd w:val="clear" w:color="auto" w:fill="FFFFFF"/>
        <w:spacing w:after="0" w:line="240" w:lineRule="auto"/>
        <w:jc w:val="both"/>
        <w:rPr>
          <w:rFonts w:ascii="Arial" w:hAnsi="Arial" w:cs="Arial"/>
          <w:sz w:val="10"/>
          <w:szCs w:val="10"/>
        </w:rPr>
      </w:pPr>
      <w:r w:rsidRPr="00865A50">
        <w:rPr>
          <w:rFonts w:ascii="Arial" w:hAnsi="Arial" w:cs="Arial"/>
          <w:sz w:val="10"/>
          <w:szCs w:val="10"/>
        </w:rPr>
        <w:t>1. Tiempo de experiencia.</w:t>
      </w:r>
    </w:p>
    <w:p w14:paraId="00F6E075" w14:textId="77777777" w:rsidR="005C722B" w:rsidRPr="00865A50" w:rsidRDefault="005C722B" w:rsidP="005C722B">
      <w:pPr>
        <w:pStyle w:val="NormalWeb"/>
        <w:shd w:val="clear" w:color="auto" w:fill="FFFFFF"/>
        <w:spacing w:after="0" w:line="240" w:lineRule="auto"/>
        <w:jc w:val="both"/>
        <w:rPr>
          <w:rFonts w:ascii="Arial" w:hAnsi="Arial" w:cs="Arial"/>
          <w:sz w:val="10"/>
          <w:szCs w:val="10"/>
        </w:rPr>
      </w:pPr>
      <w:r w:rsidRPr="00865A50">
        <w:rPr>
          <w:rFonts w:ascii="Arial" w:hAnsi="Arial" w:cs="Arial"/>
          <w:sz w:val="10"/>
          <w:szCs w:val="10"/>
        </w:rPr>
        <w:t>2. Número de contratos para la acreditación de la experiencia.</w:t>
      </w:r>
    </w:p>
    <w:p w14:paraId="1A0D8EF2" w14:textId="77777777" w:rsidR="005C722B" w:rsidRPr="00865A50" w:rsidRDefault="005C722B" w:rsidP="005C722B">
      <w:pPr>
        <w:pStyle w:val="NormalWeb"/>
        <w:shd w:val="clear" w:color="auto" w:fill="FFFFFF"/>
        <w:spacing w:after="0" w:line="240" w:lineRule="auto"/>
        <w:jc w:val="both"/>
        <w:rPr>
          <w:rFonts w:ascii="Arial" w:hAnsi="Arial" w:cs="Arial"/>
          <w:sz w:val="10"/>
          <w:szCs w:val="10"/>
        </w:rPr>
      </w:pPr>
      <w:r w:rsidRPr="00865A50">
        <w:rPr>
          <w:rFonts w:ascii="Arial" w:hAnsi="Arial" w:cs="Arial"/>
          <w:sz w:val="10"/>
          <w:szCs w:val="10"/>
        </w:rPr>
        <w:t>3. Índices de capacidad financiera.</w:t>
      </w:r>
    </w:p>
    <w:p w14:paraId="1531945D" w14:textId="77777777" w:rsidR="005C722B" w:rsidRPr="00865A50" w:rsidRDefault="005C722B" w:rsidP="005C722B">
      <w:pPr>
        <w:pStyle w:val="NormalWeb"/>
        <w:shd w:val="clear" w:color="auto" w:fill="FFFFFF"/>
        <w:spacing w:after="0" w:line="240" w:lineRule="auto"/>
        <w:jc w:val="both"/>
        <w:rPr>
          <w:rFonts w:ascii="Arial" w:hAnsi="Arial" w:cs="Arial"/>
          <w:sz w:val="10"/>
          <w:szCs w:val="10"/>
        </w:rPr>
      </w:pPr>
      <w:r w:rsidRPr="00865A50">
        <w:rPr>
          <w:rFonts w:ascii="Arial" w:hAnsi="Arial" w:cs="Arial"/>
          <w:sz w:val="10"/>
          <w:szCs w:val="10"/>
        </w:rPr>
        <w:t>4. Índices de capacidad organizacional.</w:t>
      </w:r>
    </w:p>
    <w:p w14:paraId="2A15667A" w14:textId="77777777" w:rsidR="005C722B" w:rsidRPr="00865A50" w:rsidRDefault="005C722B" w:rsidP="005C722B">
      <w:pPr>
        <w:pStyle w:val="NormalWeb"/>
        <w:shd w:val="clear" w:color="auto" w:fill="FFFFFF"/>
        <w:spacing w:after="0" w:line="240" w:lineRule="auto"/>
        <w:jc w:val="both"/>
        <w:rPr>
          <w:rFonts w:ascii="Arial" w:hAnsi="Arial" w:cs="Arial"/>
          <w:sz w:val="10"/>
          <w:szCs w:val="10"/>
        </w:rPr>
      </w:pPr>
      <w:r w:rsidRPr="00865A50">
        <w:rPr>
          <w:rFonts w:ascii="Arial" w:hAnsi="Arial" w:cs="Arial"/>
          <w:sz w:val="10"/>
          <w:szCs w:val="10"/>
        </w:rPr>
        <w:t>5. Valor de la garantía de seriedad de la oferta.</w:t>
      </w:r>
    </w:p>
    <w:p w14:paraId="1209185F" w14:textId="77777777" w:rsidR="005C722B" w:rsidRPr="00865A50" w:rsidRDefault="005C722B" w:rsidP="005C722B">
      <w:pPr>
        <w:pStyle w:val="NormalWeb"/>
        <w:shd w:val="clear" w:color="auto" w:fill="FFFFFF"/>
        <w:spacing w:after="0" w:line="240" w:lineRule="auto"/>
        <w:jc w:val="both"/>
        <w:rPr>
          <w:rFonts w:ascii="Arial" w:hAnsi="Arial" w:cs="Arial"/>
          <w:sz w:val="10"/>
          <w:szCs w:val="10"/>
        </w:rPr>
      </w:pPr>
      <w:r w:rsidRPr="00865A50">
        <w:rPr>
          <w:rFonts w:ascii="Arial" w:hAnsi="Arial" w:cs="Arial"/>
          <w:sz w:val="10"/>
          <w:szCs w:val="10"/>
        </w:rPr>
        <w:t>Los requisitos mencionados deberán fijarse respetando las condiciones habilitantes requeridas para el cumplimiento adecuado del contrato, teniendo en cuenta el alcance de las obligaciones. En desarrollo de lo anterior, con la finalidad de beneficiar a las Mipyme, se establecerán condiciones más exigentes respecto a alguno o algunos de los criterios de participación antes enunciados frente a los demás proponentes que concurran al procedimiento de selección que no sean Mipyme.</w:t>
      </w:r>
    </w:p>
    <w:p w14:paraId="01F8BFA2" w14:textId="77777777" w:rsidR="005C722B" w:rsidRPr="00865A50" w:rsidRDefault="005C722B" w:rsidP="005C722B">
      <w:pPr>
        <w:pStyle w:val="NormalWeb"/>
        <w:shd w:val="clear" w:color="auto" w:fill="FFFFFF"/>
        <w:spacing w:after="0" w:line="240" w:lineRule="auto"/>
        <w:jc w:val="both"/>
        <w:rPr>
          <w:rFonts w:ascii="Arial" w:hAnsi="Arial" w:cs="Arial"/>
          <w:sz w:val="10"/>
          <w:szCs w:val="10"/>
        </w:rPr>
      </w:pPr>
      <w:r w:rsidRPr="00865A50">
        <w:rPr>
          <w:rFonts w:ascii="Arial" w:hAnsi="Arial" w:cs="Arial"/>
          <w:sz w:val="10"/>
          <w:szCs w:val="10"/>
        </w:rPr>
        <w:t>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para Mipyme. En ningún caso, estos podrán superar el cero punto veinticinco por ciento (0.25%) del total de los puntos establecidos en el pliego de condiciones.</w:t>
      </w:r>
    </w:p>
    <w:p w14:paraId="3EDC4DC8" w14:textId="77777777" w:rsidR="005C722B" w:rsidRPr="00865A50" w:rsidRDefault="005C722B" w:rsidP="005C722B">
      <w:pPr>
        <w:pStyle w:val="NormalWeb"/>
        <w:shd w:val="clear" w:color="auto" w:fill="FFFFFF"/>
        <w:spacing w:after="0" w:line="240" w:lineRule="auto"/>
        <w:jc w:val="both"/>
        <w:rPr>
          <w:rFonts w:ascii="Arial" w:hAnsi="Arial" w:cs="Arial"/>
          <w:sz w:val="10"/>
          <w:szCs w:val="10"/>
        </w:rPr>
      </w:pPr>
      <w:r w:rsidRPr="00865A50">
        <w:rPr>
          <w:rStyle w:val="Textoennegrita"/>
          <w:rFonts w:ascii="Arial" w:hAnsi="Arial" w:cs="Arial"/>
          <w:sz w:val="10"/>
          <w:szCs w:val="10"/>
        </w:rPr>
        <w:t>PARÁGRAFO 1.</w:t>
      </w:r>
      <w:r w:rsidRPr="00865A50">
        <w:rPr>
          <w:rFonts w:ascii="Arial" w:hAnsi="Arial" w:cs="Arial"/>
          <w:sz w:val="10"/>
          <w:szCs w:val="10"/>
        </w:rPr>
        <w:t> Para los efectos de este artículo, los criterios de clasificación empresarial son los definidos en el artículo </w:t>
      </w:r>
      <w:hyperlink r:id="rId18" w:anchor="2.2.1.13.2.2" w:history="1">
        <w:r w:rsidRPr="00865A50">
          <w:rPr>
            <w:rFonts w:ascii="Arial" w:hAnsi="Arial" w:cs="Arial"/>
            <w:sz w:val="10"/>
            <w:szCs w:val="10"/>
          </w:rPr>
          <w:t>2.2.1.13.2.2</w:t>
        </w:r>
      </w:hyperlink>
      <w:r w:rsidRPr="00865A50">
        <w:rPr>
          <w:rFonts w:ascii="Arial" w:hAnsi="Arial" w:cs="Arial"/>
          <w:sz w:val="10"/>
          <w:szCs w:val="10"/>
        </w:rPr>
        <w:t> del Decreto 1074 de 2015, Único Reglamentario del Sector Comercio, Industria y Turismo, o la norma que lo modifique, derogue o sustituya.</w:t>
      </w:r>
    </w:p>
    <w:p w14:paraId="24A0BC07" w14:textId="77777777" w:rsidR="005C722B" w:rsidRPr="00865A50" w:rsidRDefault="005C722B" w:rsidP="005C722B">
      <w:pPr>
        <w:pStyle w:val="NormalWeb"/>
        <w:shd w:val="clear" w:color="auto" w:fill="FFFFFF"/>
        <w:spacing w:after="0" w:line="240" w:lineRule="auto"/>
        <w:jc w:val="both"/>
        <w:rPr>
          <w:rFonts w:ascii="Arial" w:hAnsi="Arial" w:cs="Arial"/>
          <w:sz w:val="10"/>
          <w:szCs w:val="10"/>
        </w:rPr>
      </w:pPr>
      <w:r w:rsidRPr="00865A50">
        <w:rPr>
          <w:rStyle w:val="Textoennegrita"/>
          <w:rFonts w:ascii="Arial" w:hAnsi="Arial" w:cs="Arial"/>
          <w:sz w:val="10"/>
          <w:szCs w:val="10"/>
        </w:rPr>
        <w:t>PARÁGRAFO 2.</w:t>
      </w:r>
      <w:r w:rsidRPr="00865A50">
        <w:rPr>
          <w:rFonts w:ascii="Arial" w:hAnsi="Arial" w:cs="Arial"/>
          <w:sz w:val="10"/>
          <w:szCs w:val="10"/>
        </w:rPr>
        <w:t> Tratándose de proponentes plurales, los criterios diferenciales y los puntajes adicionales solo se aplicarán si por lo menos uno de los integrantes acredita la calidad de Mipyme y tiene una participación igual o superior al diez por ciento (10%) en el consorcio o la unión temporal.</w:t>
      </w:r>
    </w:p>
    <w:p w14:paraId="455A1A7B" w14:textId="77777777" w:rsidR="005C722B" w:rsidRPr="00865A50" w:rsidRDefault="005C722B" w:rsidP="005C722B">
      <w:pPr>
        <w:pStyle w:val="NormalWeb"/>
        <w:shd w:val="clear" w:color="auto" w:fill="FFFFFF"/>
        <w:spacing w:after="0" w:line="240" w:lineRule="auto"/>
        <w:jc w:val="both"/>
        <w:rPr>
          <w:rFonts w:ascii="Arial" w:hAnsi="Arial" w:cs="Arial"/>
          <w:sz w:val="10"/>
          <w:szCs w:val="10"/>
        </w:rPr>
      </w:pPr>
      <w:r w:rsidRPr="00865A50">
        <w:rPr>
          <w:rStyle w:val="Textoennegrita"/>
          <w:rFonts w:ascii="Arial" w:hAnsi="Arial" w:cs="Arial"/>
          <w:sz w:val="10"/>
          <w:szCs w:val="10"/>
        </w:rPr>
        <w:t>PARÁGRAFO 3.</w:t>
      </w:r>
      <w:r w:rsidRPr="00865A50">
        <w:rPr>
          <w:rFonts w:ascii="Arial" w:hAnsi="Arial" w:cs="Arial"/>
          <w:sz w:val="10"/>
          <w:szCs w:val="10"/>
        </w:rPr>
        <w:t> Lo previsto en esta norma aplica sin perjuicio de lo dispuesto en los Acuerdos Comerciales suscritos por el Estado colombiano, pero no rige en las convocatorias limitadas que se realicen conforme a los artículos 2.2.1.2.4.2.2 y 2.2.1.2.4.2.3 de este Decreto."</w:t>
      </w:r>
      <w:bookmarkStart w:id="11" w:name="4"/>
      <w:bookmarkEnd w:id="11"/>
      <w:r w:rsidRPr="00865A50">
        <w:rPr>
          <w:rFonts w:ascii="Arial" w:hAnsi="Arial" w:cs="Arial"/>
          <w:sz w:val="10"/>
          <w:szCs w:val="10"/>
        </w:rPr>
        <w:t>»</w:t>
      </w:r>
    </w:p>
  </w:footnote>
  <w:footnote w:id="15">
    <w:p w14:paraId="2CB6B488" w14:textId="77777777" w:rsidR="005C722B" w:rsidRPr="00865A50" w:rsidRDefault="005C722B" w:rsidP="005C722B">
      <w:pPr>
        <w:pStyle w:val="Textonotapie"/>
        <w:ind w:firstLine="708"/>
        <w:jc w:val="both"/>
        <w:rPr>
          <w:rFonts w:ascii="Arial" w:hAnsi="Arial" w:cs="Arial"/>
          <w:sz w:val="10"/>
          <w:szCs w:val="10"/>
          <w:lang w:val="es-CO"/>
        </w:rPr>
      </w:pPr>
      <w:r w:rsidRPr="00865A50">
        <w:rPr>
          <w:rStyle w:val="Refdenotaalpie"/>
          <w:rFonts w:ascii="Arial" w:hAnsi="Arial" w:cs="Arial"/>
          <w:sz w:val="10"/>
          <w:szCs w:val="10"/>
        </w:rPr>
        <w:footnoteRef/>
      </w:r>
      <w:r w:rsidRPr="00865A50">
        <w:rPr>
          <w:rFonts w:ascii="Arial" w:hAnsi="Arial" w:cs="Arial"/>
          <w:sz w:val="10"/>
          <w:szCs w:val="10"/>
        </w:rPr>
        <w:t xml:space="preserve"> </w:t>
      </w:r>
      <w:r w:rsidRPr="00865A50">
        <w:rPr>
          <w:rFonts w:ascii="Arial" w:hAnsi="Arial" w:cs="Arial"/>
          <w:sz w:val="10"/>
          <w:szCs w:val="10"/>
          <w:lang w:val="es-CO"/>
        </w:rPr>
        <w:t xml:space="preserve">Esta Resolución se encuentra publicada en la página web de la Agencia Nacional de Contratación Pública – Colombia Compra Eficiente en el siguiente enlace: </w:t>
      </w:r>
      <w:hyperlink r:id="rId19" w:history="1">
        <w:r w:rsidRPr="00865A50">
          <w:rPr>
            <w:rStyle w:val="Hipervnculo"/>
            <w:rFonts w:ascii="Arial" w:hAnsi="Arial" w:cs="Arial"/>
            <w:sz w:val="10"/>
            <w:szCs w:val="10"/>
            <w:lang w:val="es-CO"/>
          </w:rPr>
          <w:t>https://www.colombiacompra.gov.co/content/modificacion-los-documentos-tipo-adoptados-por-la-agencia-nacional-de-contratacion-publica</w:t>
        </w:r>
      </w:hyperlink>
    </w:p>
    <w:p w14:paraId="783882B2" w14:textId="77777777" w:rsidR="005C722B" w:rsidRPr="00865A50" w:rsidRDefault="005C722B" w:rsidP="005C722B">
      <w:pPr>
        <w:pStyle w:val="Textonotapie"/>
        <w:ind w:firstLine="708"/>
        <w:jc w:val="both"/>
        <w:rPr>
          <w:rFonts w:ascii="Arial" w:hAnsi="Arial" w:cs="Arial"/>
          <w:sz w:val="10"/>
          <w:szCs w:val="10"/>
          <w:lang w:val="es-CO"/>
        </w:rPr>
      </w:pPr>
    </w:p>
  </w:footnote>
  <w:footnote w:id="16">
    <w:p w14:paraId="79824DDC" w14:textId="60F98D2E" w:rsidR="006F0AF9" w:rsidRPr="00FF57D2" w:rsidRDefault="006F0AF9" w:rsidP="00FF57D2">
      <w:pPr>
        <w:pStyle w:val="Textonotapie"/>
        <w:ind w:firstLine="709"/>
        <w:rPr>
          <w:sz w:val="10"/>
          <w:szCs w:val="10"/>
          <w:lang w:val="es-ES"/>
        </w:rPr>
      </w:pPr>
      <w:r>
        <w:rPr>
          <w:rStyle w:val="Refdenotaalpie"/>
        </w:rPr>
        <w:footnoteRef/>
      </w:r>
      <w:r>
        <w:t xml:space="preserve"> </w:t>
      </w:r>
      <w:hyperlink r:id="rId20" w:history="1">
        <w:r w:rsidRPr="00FF57D2">
          <w:rPr>
            <w:rFonts w:ascii="Arial" w:eastAsia="Calibri" w:hAnsi="Arial" w:cs="Arial"/>
            <w:color w:val="0563C1" w:themeColor="hyperlink"/>
            <w:sz w:val="10"/>
            <w:szCs w:val="10"/>
            <w:u w:val="single"/>
            <w:lang w:val="es-ES"/>
          </w:rPr>
          <w:t>https://www.colombiacompra.gov.co/content/capacitaciones-documentos-tipo-0</w:t>
        </w:r>
      </w:hyperlink>
    </w:p>
  </w:footnote>
  <w:footnote w:id="17">
    <w:p w14:paraId="4B7E6CDD" w14:textId="3FCD7B25" w:rsidR="006F0AF9" w:rsidRPr="00FF57D2" w:rsidRDefault="006F0AF9" w:rsidP="00FF57D2">
      <w:pPr>
        <w:pStyle w:val="Textonotapie"/>
        <w:ind w:firstLine="709"/>
        <w:rPr>
          <w:lang w:val="es-ES"/>
        </w:rPr>
      </w:pPr>
      <w:r w:rsidRPr="00FF57D2">
        <w:rPr>
          <w:rStyle w:val="Refdenotaalpie"/>
          <w:sz w:val="10"/>
          <w:szCs w:val="10"/>
        </w:rPr>
        <w:footnoteRef/>
      </w:r>
      <w:r w:rsidRPr="00FF57D2">
        <w:rPr>
          <w:sz w:val="10"/>
          <w:szCs w:val="10"/>
        </w:rPr>
        <w:t xml:space="preserve"> </w:t>
      </w:r>
      <w:hyperlink r:id="rId21" w:history="1">
        <w:r w:rsidRPr="00FF57D2">
          <w:rPr>
            <w:rFonts w:ascii="Arial" w:eastAsia="Calibri" w:hAnsi="Arial" w:cs="Arial"/>
            <w:color w:val="0563C1" w:themeColor="hyperlink"/>
            <w:sz w:val="10"/>
            <w:szCs w:val="10"/>
            <w:u w:val="single"/>
            <w:lang w:val="es-ES"/>
          </w:rPr>
          <w:t>https://youtu.be/E8oeUnBlFVQ</w:t>
        </w:r>
      </w:hyperlink>
      <w:r w:rsidRPr="00FF57D2">
        <w:rPr>
          <w:rFonts w:ascii="Arial" w:eastAsia="Calibri" w:hAnsi="Arial" w:cs="Arial"/>
          <w:sz w:val="10"/>
          <w:szCs w:val="10"/>
          <w:lang w:val="es-ES"/>
        </w:rPr>
        <w:t xml:space="preserve"> y </w:t>
      </w:r>
      <w:hyperlink r:id="rId22" w:history="1">
        <w:r w:rsidRPr="00FF57D2">
          <w:rPr>
            <w:rFonts w:ascii="Arial" w:eastAsia="Calibri" w:hAnsi="Arial" w:cs="Arial"/>
            <w:color w:val="0563C1" w:themeColor="hyperlink"/>
            <w:sz w:val="10"/>
            <w:szCs w:val="10"/>
            <w:u w:val="single"/>
            <w:lang w:val="es-ES"/>
          </w:rPr>
          <w:t>https://youtu.be/6fpzrAwtS9g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val="en-US"/>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val="en-US"/>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457136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83334"/>
    <w:rsid w:val="00086728"/>
    <w:rsid w:val="000956CF"/>
    <w:rsid w:val="000A683E"/>
    <w:rsid w:val="001113AE"/>
    <w:rsid w:val="0011595A"/>
    <w:rsid w:val="001220C5"/>
    <w:rsid w:val="001267F7"/>
    <w:rsid w:val="00127233"/>
    <w:rsid w:val="00130999"/>
    <w:rsid w:val="00164D81"/>
    <w:rsid w:val="00185FF8"/>
    <w:rsid w:val="001A1011"/>
    <w:rsid w:val="001A48D0"/>
    <w:rsid w:val="001F2409"/>
    <w:rsid w:val="001F4BF0"/>
    <w:rsid w:val="002653C1"/>
    <w:rsid w:val="0026611D"/>
    <w:rsid w:val="002951A0"/>
    <w:rsid w:val="002A64FD"/>
    <w:rsid w:val="002F0839"/>
    <w:rsid w:val="00301469"/>
    <w:rsid w:val="00306EE1"/>
    <w:rsid w:val="00310B9B"/>
    <w:rsid w:val="0036461C"/>
    <w:rsid w:val="00367884"/>
    <w:rsid w:val="0039439C"/>
    <w:rsid w:val="003B69E7"/>
    <w:rsid w:val="003C013B"/>
    <w:rsid w:val="003D0F4D"/>
    <w:rsid w:val="003F58A1"/>
    <w:rsid w:val="00403277"/>
    <w:rsid w:val="00404924"/>
    <w:rsid w:val="00410DD6"/>
    <w:rsid w:val="004134C9"/>
    <w:rsid w:val="00416244"/>
    <w:rsid w:val="0043113C"/>
    <w:rsid w:val="0043138C"/>
    <w:rsid w:val="00462A59"/>
    <w:rsid w:val="004A1847"/>
    <w:rsid w:val="004B6B0E"/>
    <w:rsid w:val="004D25B3"/>
    <w:rsid w:val="00511405"/>
    <w:rsid w:val="00526E9D"/>
    <w:rsid w:val="00536FB8"/>
    <w:rsid w:val="005372CF"/>
    <w:rsid w:val="00547856"/>
    <w:rsid w:val="00547A74"/>
    <w:rsid w:val="005566E8"/>
    <w:rsid w:val="005746AB"/>
    <w:rsid w:val="0059357F"/>
    <w:rsid w:val="005A1130"/>
    <w:rsid w:val="005C722B"/>
    <w:rsid w:val="005D11A0"/>
    <w:rsid w:val="005D3A10"/>
    <w:rsid w:val="005D65C8"/>
    <w:rsid w:val="005E2ED1"/>
    <w:rsid w:val="00604D57"/>
    <w:rsid w:val="006219F8"/>
    <w:rsid w:val="00681FDB"/>
    <w:rsid w:val="006A7DAD"/>
    <w:rsid w:val="006D70BA"/>
    <w:rsid w:val="006F0AF9"/>
    <w:rsid w:val="0074788D"/>
    <w:rsid w:val="007566FE"/>
    <w:rsid w:val="00756C7C"/>
    <w:rsid w:val="0076726F"/>
    <w:rsid w:val="0077144B"/>
    <w:rsid w:val="00793403"/>
    <w:rsid w:val="007B5C4E"/>
    <w:rsid w:val="007C0CDF"/>
    <w:rsid w:val="007E2A2F"/>
    <w:rsid w:val="007E3D8D"/>
    <w:rsid w:val="007F2B7C"/>
    <w:rsid w:val="00811651"/>
    <w:rsid w:val="00820F5B"/>
    <w:rsid w:val="00833452"/>
    <w:rsid w:val="008614E5"/>
    <w:rsid w:val="00865A50"/>
    <w:rsid w:val="008678EB"/>
    <w:rsid w:val="00875894"/>
    <w:rsid w:val="00881C10"/>
    <w:rsid w:val="00890411"/>
    <w:rsid w:val="008D5C70"/>
    <w:rsid w:val="009025AF"/>
    <w:rsid w:val="00904F23"/>
    <w:rsid w:val="00906B3C"/>
    <w:rsid w:val="009455E0"/>
    <w:rsid w:val="0095342C"/>
    <w:rsid w:val="009F33F2"/>
    <w:rsid w:val="009F6C77"/>
    <w:rsid w:val="00A07532"/>
    <w:rsid w:val="00A1085C"/>
    <w:rsid w:val="00A309E2"/>
    <w:rsid w:val="00A8066E"/>
    <w:rsid w:val="00AA4B8A"/>
    <w:rsid w:val="00AA6BF7"/>
    <w:rsid w:val="00AC1DDB"/>
    <w:rsid w:val="00AC69D4"/>
    <w:rsid w:val="00B01ED6"/>
    <w:rsid w:val="00B06D09"/>
    <w:rsid w:val="00B37627"/>
    <w:rsid w:val="00B771A9"/>
    <w:rsid w:val="00B809BB"/>
    <w:rsid w:val="00B8248A"/>
    <w:rsid w:val="00BB7726"/>
    <w:rsid w:val="00C2329E"/>
    <w:rsid w:val="00C30461"/>
    <w:rsid w:val="00C30871"/>
    <w:rsid w:val="00C52EFD"/>
    <w:rsid w:val="00C754BE"/>
    <w:rsid w:val="00C87572"/>
    <w:rsid w:val="00C9405D"/>
    <w:rsid w:val="00C94AF1"/>
    <w:rsid w:val="00CC1B26"/>
    <w:rsid w:val="00CD284F"/>
    <w:rsid w:val="00CF23AA"/>
    <w:rsid w:val="00D01921"/>
    <w:rsid w:val="00D02456"/>
    <w:rsid w:val="00D27455"/>
    <w:rsid w:val="00D752B7"/>
    <w:rsid w:val="00D84CC2"/>
    <w:rsid w:val="00D8590B"/>
    <w:rsid w:val="00DA1854"/>
    <w:rsid w:val="00DB0887"/>
    <w:rsid w:val="00DF1E43"/>
    <w:rsid w:val="00E20894"/>
    <w:rsid w:val="00E26B7C"/>
    <w:rsid w:val="00E34C2D"/>
    <w:rsid w:val="00EA3003"/>
    <w:rsid w:val="00EB3C91"/>
    <w:rsid w:val="00EB66DA"/>
    <w:rsid w:val="00ED3A2E"/>
    <w:rsid w:val="00F50DA8"/>
    <w:rsid w:val="00F605F2"/>
    <w:rsid w:val="00F76AFC"/>
    <w:rsid w:val="00F8319B"/>
    <w:rsid w:val="00FA5516"/>
    <w:rsid w:val="00FD6F73"/>
    <w:rsid w:val="00FF57D2"/>
    <w:rsid w:val="0108A5A1"/>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semiHidden/>
    <w:unhideWhenUsed/>
    <w:rsid w:val="005C722B"/>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5C722B"/>
    <w:pPr>
      <w:spacing w:line="240" w:lineRule="exact"/>
    </w:pPr>
    <w:rPr>
      <w:vertAlign w:val="superscript"/>
    </w:rPr>
  </w:style>
  <w:style w:type="character" w:customStyle="1" w:styleId="Hipervnculo1">
    <w:name w:val="Hipervínculo1"/>
    <w:basedOn w:val="Fuentedeprrafopredeter"/>
    <w:uiPriority w:val="99"/>
    <w:unhideWhenUsed/>
    <w:rsid w:val="005C722B"/>
    <w:rPr>
      <w:color w:val="F2F2F2"/>
      <w:u w:val="single"/>
    </w:rPr>
  </w:style>
  <w:style w:type="table" w:customStyle="1" w:styleId="Tablaconcuadrcula1">
    <w:name w:val="Tabla con cuadrícula1"/>
    <w:basedOn w:val="Tablanormal"/>
    <w:next w:val="Tablaconcuadrcula"/>
    <w:uiPriority w:val="59"/>
    <w:rsid w:val="005C722B"/>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C722B"/>
    <w:rPr>
      <w:color w:val="0563C1" w:themeColor="hyperlink"/>
      <w:u w:val="single"/>
    </w:rPr>
  </w:style>
  <w:style w:type="table" w:customStyle="1" w:styleId="Tablaconcuadrcula11">
    <w:name w:val="Tabla con cuadrícula11"/>
    <w:basedOn w:val="Tablanormal"/>
    <w:next w:val="Tablaconcuadrcula"/>
    <w:uiPriority w:val="59"/>
    <w:rsid w:val="005C722B"/>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C7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18" Type="http://schemas.openxmlformats.org/officeDocument/2006/relationships/hyperlink" Target="https://www.funcionpublica.gov.co/eva/gestornormativo/norma.php?i=76608" TargetMode="External"/><Relationship Id="rId3" Type="http://schemas.openxmlformats.org/officeDocument/2006/relationships/hyperlink" Target="https://www.funcionpublica.gov.co/eva/gestornormativo/norma.php?i=77653" TargetMode="External"/><Relationship Id="rId21" Type="http://schemas.openxmlformats.org/officeDocument/2006/relationships/hyperlink" Target="https://youtu.be/E8oeUnBlFVQ"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17" Type="http://schemas.openxmlformats.org/officeDocument/2006/relationships/hyperlink" Target="https://www.funcionpublica.gov.co/eva/gestornormativo/norma.php?i=12672" TargetMode="External"/><Relationship Id="rId2" Type="http://schemas.openxmlformats.org/officeDocument/2006/relationships/hyperlink" Target="https://www.funcionpublica.gov.co/eva/gestornormativo/norma.php?i=77653" TargetMode="External"/><Relationship Id="rId16" Type="http://schemas.openxmlformats.org/officeDocument/2006/relationships/hyperlink" Target="https://www.funcionpublica.gov.co/eva/gestornormativo/norma.php?i=12672" TargetMode="External"/><Relationship Id="rId20" Type="http://schemas.openxmlformats.org/officeDocument/2006/relationships/hyperlink" Target="https://www.colombiacompra.gov.co/content/capacitaciones-documentos-tipo-0"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19" Type="http://schemas.openxmlformats.org/officeDocument/2006/relationships/hyperlink" Target="https://www.colombiacompra.gov.co/content/modificacion-los-documentos-tipo-adoptados-por-la-agencia-nacional-de-contratacion-publica"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 Id="rId22" Type="http://schemas.openxmlformats.org/officeDocument/2006/relationships/hyperlink" Target="https://youtu.be/6fpzrAwtS9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E51791-9821-44B1-835C-C9EAE2B7A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a6cb9e4b-f1d1-4245-83ec-6cad768d538a"/>
    <ds:schemaRef ds:uri="http://purl.org/dc/elements/1.1/"/>
    <ds:schemaRef ds:uri="http://schemas.microsoft.com/office/infopath/2007/PartnerControls"/>
    <ds:schemaRef ds:uri="9d85dbaf-23eb-4e57-a637-93dcacc8b1a1"/>
    <ds:schemaRef ds:uri="http://purl.org/dc/dcmitype/"/>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8159</Words>
  <Characters>44880</Characters>
  <Application>Microsoft Office Word</Application>
  <DocSecurity>0</DocSecurity>
  <Lines>374</Lines>
  <Paragraphs>105</Paragraphs>
  <ScaleCrop>false</ScaleCrop>
  <Company/>
  <LinksUpToDate>false</LinksUpToDate>
  <CharactersWithSpaces>52934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2023-03-03T00:51:00Z</dcterms:created>
  <dcterms:modified xsi:type="dcterms:W3CDTF">2023-03-03T00:51:00Z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