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2B623" w14:textId="77777777" w:rsidR="00AE36C6" w:rsidRPr="00243B75" w:rsidRDefault="00AE36C6" w:rsidP="00AE36C6">
      <w:pPr>
        <w:spacing w:line="276" w:lineRule="auto"/>
        <w:jc w:val="both"/>
        <w:rPr>
          <w:rFonts w:ascii="Arial" w:hAnsi="Arial" w:cs="Arial"/>
          <w:b/>
          <w:bCs/>
          <w:sz w:val="20"/>
          <w:szCs w:val="20"/>
        </w:rPr>
      </w:pPr>
      <w:r w:rsidRPr="00761F45">
        <w:rPr>
          <w:rFonts w:ascii="Arial" w:hAnsi="Arial" w:cs="Arial"/>
          <w:b/>
          <w:bCs/>
          <w:sz w:val="20"/>
          <w:szCs w:val="20"/>
        </w:rPr>
        <w:t>REQUISITOS HABILITANTES</w:t>
      </w:r>
      <w:r w:rsidRPr="00075CB7">
        <w:rPr>
          <w:rFonts w:ascii="Arial" w:hAnsi="Arial" w:cs="Arial"/>
          <w:b/>
          <w:bCs/>
          <w:sz w:val="20"/>
          <w:szCs w:val="20"/>
        </w:rPr>
        <w:t xml:space="preserve"> – </w:t>
      </w:r>
      <w:r w:rsidRPr="00C57060">
        <w:rPr>
          <w:rFonts w:ascii="Arial" w:hAnsi="Arial" w:cs="Arial"/>
          <w:b/>
          <w:bCs/>
          <w:sz w:val="20"/>
          <w:szCs w:val="20"/>
        </w:rPr>
        <w:t>Definición</w:t>
      </w:r>
      <w:r w:rsidRPr="00075CB7">
        <w:rPr>
          <w:rFonts w:ascii="Arial" w:hAnsi="Arial" w:cs="Arial"/>
          <w:b/>
          <w:bCs/>
          <w:sz w:val="20"/>
          <w:szCs w:val="20"/>
        </w:rPr>
        <w:t xml:space="preserve"> – Diferencia con los criterios de evaluación </w:t>
      </w:r>
    </w:p>
    <w:p w14:paraId="4A821FC6" w14:textId="77777777" w:rsidR="00AE36C6" w:rsidRPr="00075CB7" w:rsidRDefault="00AE36C6" w:rsidP="00AE36C6">
      <w:pPr>
        <w:spacing w:after="120" w:line="276" w:lineRule="auto"/>
        <w:jc w:val="both"/>
        <w:rPr>
          <w:rFonts w:ascii="Arial" w:eastAsia="Calibri" w:hAnsi="Arial" w:cs="Arial"/>
          <w:color w:val="000000" w:themeColor="text1"/>
          <w:sz w:val="20"/>
          <w:szCs w:val="20"/>
        </w:rPr>
      </w:pPr>
      <w:r w:rsidRPr="00075CB7">
        <w:rPr>
          <w:rFonts w:ascii="Arial" w:eastAsia="Calibri" w:hAnsi="Arial" w:cs="Arial"/>
          <w:color w:val="000000" w:themeColor="text1"/>
          <w:sz w:val="20"/>
          <w:szCs w:val="20"/>
        </w:rPr>
        <w:t xml:space="preserve">Los </w:t>
      </w:r>
      <w:r w:rsidRPr="00075CB7">
        <w:rPr>
          <w:rFonts w:ascii="Arial" w:eastAsia="Calibri" w:hAnsi="Arial" w:cs="Arial"/>
          <w:i/>
          <w:iCs/>
          <w:color w:val="000000" w:themeColor="text1"/>
          <w:sz w:val="20"/>
          <w:szCs w:val="20"/>
        </w:rPr>
        <w:t>requisitos habilitantes</w:t>
      </w:r>
      <w:r w:rsidRPr="00075CB7">
        <w:rPr>
          <w:rFonts w:ascii="Arial" w:eastAsia="Calibri" w:hAnsi="Arial" w:cs="Arial"/>
          <w:color w:val="000000" w:themeColor="text1"/>
          <w:sz w:val="20"/>
          <w:szCs w:val="20"/>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075CB7">
        <w:rPr>
          <w:rFonts w:ascii="Arial" w:eastAsia="Calibri" w:hAnsi="Arial" w:cs="Arial"/>
          <w:i/>
          <w:iCs/>
          <w:color w:val="000000" w:themeColor="text1"/>
          <w:sz w:val="20"/>
          <w:szCs w:val="20"/>
        </w:rPr>
        <w:t>criterios de evaluación</w:t>
      </w:r>
      <w:r w:rsidRPr="00075CB7">
        <w:rPr>
          <w:rFonts w:ascii="Arial" w:eastAsia="Calibri" w:hAnsi="Arial" w:cs="Arial"/>
          <w:color w:val="000000" w:themeColor="text1"/>
          <w:sz w:val="20"/>
          <w:szCs w:val="20"/>
        </w:rPr>
        <w:t xml:space="preserve"> –también conocidos como </w:t>
      </w:r>
      <w:r w:rsidRPr="00075CB7">
        <w:rPr>
          <w:rFonts w:ascii="Arial" w:eastAsia="Calibri" w:hAnsi="Arial" w:cs="Arial"/>
          <w:i/>
          <w:iCs/>
          <w:color w:val="000000" w:themeColor="text1"/>
          <w:sz w:val="20"/>
          <w:szCs w:val="20"/>
        </w:rPr>
        <w:t>criterios de calificación</w:t>
      </w:r>
      <w:r w:rsidRPr="00075CB7">
        <w:rPr>
          <w:rFonts w:ascii="Arial" w:eastAsia="Calibri" w:hAnsi="Arial" w:cs="Arial"/>
          <w:color w:val="000000" w:themeColor="text1"/>
          <w:sz w:val="20"/>
          <w:szCs w:val="20"/>
        </w:rPr>
        <w:t>– en que estos son los factores definidos por la entidad estatal para la asignación de puntaje en el momento de la comparación de las ofertas, y que, a partir de su ponderación, permiten establecer el orden de elegibilidad y, por ende, la propuesta ganadora. […]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w:t>
      </w:r>
    </w:p>
    <w:p w14:paraId="7D09DE92" w14:textId="27DE4E5B" w:rsidR="00AE36C6" w:rsidRPr="00243B75" w:rsidRDefault="00AE36C6" w:rsidP="00AE36C6">
      <w:pPr>
        <w:spacing w:after="120" w:line="276" w:lineRule="auto"/>
        <w:jc w:val="both"/>
        <w:rPr>
          <w:rFonts w:ascii="Arial" w:eastAsia="Calibri" w:hAnsi="Arial" w:cs="Arial"/>
          <w:color w:val="000000" w:themeColor="text1"/>
          <w:sz w:val="20"/>
          <w:szCs w:val="20"/>
        </w:rPr>
      </w:pPr>
      <w:r w:rsidRPr="00075CB7">
        <w:rPr>
          <w:rFonts w:ascii="Arial" w:hAnsi="Arial" w:cs="Arial"/>
          <w:b/>
          <w:bCs/>
          <w:sz w:val="20"/>
          <w:szCs w:val="20"/>
        </w:rPr>
        <w:t xml:space="preserve">REQUISITOS HABILITANTES </w:t>
      </w:r>
      <w:r w:rsidR="00E548CA" w:rsidRPr="00075CB7">
        <w:rPr>
          <w:rFonts w:ascii="Arial" w:hAnsi="Arial" w:cs="Arial"/>
          <w:b/>
          <w:bCs/>
          <w:sz w:val="20"/>
          <w:szCs w:val="20"/>
        </w:rPr>
        <w:t xml:space="preserve">– </w:t>
      </w:r>
      <w:r w:rsidR="00E548CA">
        <w:rPr>
          <w:rFonts w:ascii="Arial" w:hAnsi="Arial" w:cs="Arial"/>
          <w:b/>
          <w:bCs/>
          <w:color w:val="000000" w:themeColor="text1"/>
          <w:sz w:val="20"/>
          <w:szCs w:val="20"/>
        </w:rPr>
        <w:t>C</w:t>
      </w:r>
      <w:r w:rsidRPr="00075CB7">
        <w:rPr>
          <w:rFonts w:ascii="Arial" w:hAnsi="Arial" w:cs="Arial"/>
          <w:b/>
          <w:bCs/>
          <w:color w:val="000000" w:themeColor="text1"/>
          <w:sz w:val="20"/>
          <w:szCs w:val="20"/>
        </w:rPr>
        <w:t>riterios obligatorios para participar en los procedimientos de selección contractual</w:t>
      </w:r>
    </w:p>
    <w:p w14:paraId="7EAC799A" w14:textId="77777777" w:rsidR="00AE36C6" w:rsidRPr="00243B75" w:rsidRDefault="00AE36C6" w:rsidP="00AE36C6">
      <w:pPr>
        <w:spacing w:after="120" w:line="276" w:lineRule="auto"/>
        <w:jc w:val="both"/>
        <w:rPr>
          <w:rFonts w:ascii="Arial" w:eastAsia="Calibri" w:hAnsi="Arial" w:cs="Arial"/>
          <w:color w:val="000000" w:themeColor="text1"/>
          <w:sz w:val="20"/>
          <w:szCs w:val="20"/>
        </w:rPr>
      </w:pPr>
      <w:r w:rsidRPr="00075CB7">
        <w:rPr>
          <w:rFonts w:ascii="Arial" w:eastAsia="Calibri" w:hAnsi="Arial" w:cs="Arial"/>
          <w:color w:val="000000" w:themeColor="text1"/>
          <w:sz w:val="20"/>
          <w:szCs w:val="20"/>
        </w:rPr>
        <w:t xml:space="preserve">Específicamente, el numeral 1º del artículo referido establece que en los procesos de selección de contratistas serán objeto de verificación, como requisitos habilitantes, </w:t>
      </w:r>
      <w:r w:rsidRPr="00075CB7">
        <w:rPr>
          <w:rFonts w:ascii="Arial" w:eastAsia="Calibri" w:hAnsi="Arial" w:cs="Arial"/>
          <w:i/>
          <w:iCs/>
          <w:color w:val="000000" w:themeColor="text1"/>
          <w:sz w:val="20"/>
          <w:szCs w:val="20"/>
        </w:rPr>
        <w:t>entre otros</w:t>
      </w:r>
      <w:r w:rsidRPr="00075CB7">
        <w:rPr>
          <w:rFonts w:ascii="Arial" w:eastAsia="Calibri" w:hAnsi="Arial" w:cs="Arial"/>
          <w:color w:val="000000" w:themeColor="text1"/>
          <w:sz w:val="20"/>
          <w:szCs w:val="20"/>
        </w:rPr>
        <w:t xml:space="preserve">, los siguientes: i) la capacidad jurídica; </w:t>
      </w:r>
      <w:proofErr w:type="spellStart"/>
      <w:r w:rsidRPr="00075CB7">
        <w:rPr>
          <w:rFonts w:ascii="Arial" w:eastAsia="Calibri" w:hAnsi="Arial" w:cs="Arial"/>
          <w:color w:val="000000" w:themeColor="text1"/>
          <w:sz w:val="20"/>
          <w:szCs w:val="20"/>
        </w:rPr>
        <w:t>ii</w:t>
      </w:r>
      <w:proofErr w:type="spellEnd"/>
      <w:r w:rsidRPr="00075CB7">
        <w:rPr>
          <w:rFonts w:ascii="Arial" w:eastAsia="Calibri" w:hAnsi="Arial" w:cs="Arial"/>
          <w:color w:val="000000" w:themeColor="text1"/>
          <w:sz w:val="20"/>
          <w:szCs w:val="20"/>
        </w:rPr>
        <w:t xml:space="preserve">) la experiencia; </w:t>
      </w:r>
      <w:proofErr w:type="spellStart"/>
      <w:r w:rsidRPr="00075CB7">
        <w:rPr>
          <w:rFonts w:ascii="Arial" w:eastAsia="Calibri" w:hAnsi="Arial" w:cs="Arial"/>
          <w:color w:val="000000" w:themeColor="text1"/>
          <w:sz w:val="20"/>
          <w:szCs w:val="20"/>
        </w:rPr>
        <w:t>iii</w:t>
      </w:r>
      <w:proofErr w:type="spellEnd"/>
      <w:r w:rsidRPr="00075CB7">
        <w:rPr>
          <w:rFonts w:ascii="Arial" w:eastAsia="Calibri" w:hAnsi="Arial" w:cs="Arial"/>
          <w:color w:val="000000" w:themeColor="text1"/>
          <w:sz w:val="20"/>
          <w:szCs w:val="20"/>
        </w:rPr>
        <w:t xml:space="preserve">) la capacidad financiera y </w:t>
      </w:r>
      <w:proofErr w:type="spellStart"/>
      <w:r w:rsidRPr="00075CB7">
        <w:rPr>
          <w:rFonts w:ascii="Arial" w:eastAsia="Calibri" w:hAnsi="Arial" w:cs="Arial"/>
          <w:color w:val="000000" w:themeColor="text1"/>
          <w:sz w:val="20"/>
          <w:szCs w:val="20"/>
        </w:rPr>
        <w:t>iv</w:t>
      </w:r>
      <w:proofErr w:type="spellEnd"/>
      <w:r w:rsidRPr="00075CB7">
        <w:rPr>
          <w:rFonts w:ascii="Arial" w:eastAsia="Calibri" w:hAnsi="Arial" w:cs="Arial"/>
          <w:color w:val="000000" w:themeColor="text1"/>
          <w:sz w:val="20"/>
          <w:szCs w:val="20"/>
        </w:rPr>
        <w:t xml:space="preserve">) la capacidad de organización. […] </w:t>
      </w:r>
      <w:r w:rsidRPr="00075CB7">
        <w:rPr>
          <w:rFonts w:ascii="Arial" w:hAnsi="Arial" w:cs="Arial"/>
          <w:color w:val="000000" w:themeColor="text1"/>
          <w:sz w:val="20"/>
          <w:szCs w:val="20"/>
        </w:rPr>
        <w:t xml:space="preserve">Una vez fijados los requisitos habilitantes por la entidad estatal, quienes presenten ofertas deben </w:t>
      </w:r>
      <w:r w:rsidRPr="00075CB7">
        <w:rPr>
          <w:rFonts w:ascii="Arial" w:hAnsi="Arial" w:cs="Arial"/>
          <w:bCs/>
          <w:i/>
          <w:iCs/>
          <w:color w:val="000000" w:themeColor="text1"/>
          <w:sz w:val="20"/>
          <w:szCs w:val="20"/>
        </w:rPr>
        <w:t>acreditar</w:t>
      </w:r>
      <w:r w:rsidRPr="00075CB7">
        <w:rPr>
          <w:rFonts w:ascii="Arial" w:hAnsi="Arial" w:cs="Arial"/>
          <w:color w:val="000000" w:themeColor="text1"/>
          <w:sz w:val="20"/>
          <w:szCs w:val="20"/>
        </w:rPr>
        <w:t xml:space="preserve"> que cumplen con los mismos, pues, en el evento contrario, las propuestas deberán ser rechazadas. </w:t>
      </w:r>
      <w:r w:rsidRPr="00075CB7">
        <w:rPr>
          <w:rFonts w:ascii="Arial" w:eastAsia="Calibri" w:hAnsi="Arial" w:cs="Arial"/>
          <w:color w:val="000000" w:themeColor="text1"/>
          <w:sz w:val="20"/>
          <w:szCs w:val="20"/>
        </w:rPr>
        <w:t xml:space="preserve">El ente encargado de verificar el cumplimiento por parte de los proponentes sobre los requisitos que haya considerado la entidad como habilitantes será la Cámara de Comercio, esto en la medida en que, mediante el Registro Único de Proponentes –RUP–, se pondrá de presente toda la información relacionada con la experiencia, capacidad jurídica, capacidad financiera y organizacional, así como la clasificación del proponente. </w:t>
      </w:r>
    </w:p>
    <w:p w14:paraId="39C1FECF" w14:textId="77777777" w:rsidR="00AE36C6" w:rsidRPr="00243B75" w:rsidRDefault="00AE36C6" w:rsidP="00AE36C6">
      <w:pPr>
        <w:rPr>
          <w:rFonts w:ascii="Arial" w:hAnsi="Arial" w:cs="Arial"/>
          <w:b/>
          <w:bCs/>
          <w:sz w:val="20"/>
          <w:szCs w:val="20"/>
        </w:rPr>
      </w:pPr>
      <w:r w:rsidRPr="00BA515C">
        <w:rPr>
          <w:rFonts w:ascii="Arial" w:hAnsi="Arial" w:cs="Arial"/>
          <w:b/>
          <w:bCs/>
          <w:sz w:val="20"/>
          <w:szCs w:val="20"/>
        </w:rPr>
        <w:t xml:space="preserve">REQUISITOS HABILITANTES – Carácter enunciativo </w:t>
      </w:r>
    </w:p>
    <w:p w14:paraId="62591A66" w14:textId="77777777" w:rsidR="00AE36C6" w:rsidRPr="00075CB7" w:rsidRDefault="00AE36C6" w:rsidP="00AE36C6">
      <w:pPr>
        <w:jc w:val="both"/>
        <w:rPr>
          <w:rFonts w:ascii="Arial" w:hAnsi="Arial" w:cs="Arial"/>
          <w:color w:val="000000" w:themeColor="text1"/>
          <w:sz w:val="20"/>
          <w:szCs w:val="20"/>
        </w:rPr>
      </w:pPr>
      <w:r w:rsidRPr="00075CB7">
        <w:rPr>
          <w:rFonts w:ascii="Arial" w:hAnsi="Arial" w:cs="Arial"/>
          <w:color w:val="000000" w:themeColor="text1"/>
          <w:sz w:val="20"/>
          <w:szCs w:val="20"/>
        </w:rPr>
        <w:t>[c]</w:t>
      </w:r>
      <w:proofErr w:type="spellStart"/>
      <w:r w:rsidRPr="00075CB7">
        <w:rPr>
          <w:rFonts w:ascii="Arial" w:hAnsi="Arial" w:cs="Arial"/>
          <w:color w:val="000000" w:themeColor="text1"/>
          <w:sz w:val="20"/>
          <w:szCs w:val="20"/>
        </w:rPr>
        <w:t>orresponde</w:t>
      </w:r>
      <w:proofErr w:type="spellEnd"/>
      <w:r w:rsidRPr="00075CB7">
        <w:rPr>
          <w:rFonts w:ascii="Arial" w:hAnsi="Arial" w:cs="Arial"/>
          <w:color w:val="000000" w:themeColor="text1"/>
          <w:sz w:val="20"/>
          <w:szCs w:val="20"/>
        </w:rPr>
        <w:t xml:space="preserve"> a las entidades estatales, durante la etapa de planeación del contrato estatal, estudiar y </w:t>
      </w:r>
      <w:r w:rsidRPr="00075CB7">
        <w:rPr>
          <w:rFonts w:ascii="Arial" w:hAnsi="Arial" w:cs="Arial"/>
          <w:bCs/>
          <w:iCs/>
          <w:color w:val="000000" w:themeColor="text1"/>
          <w:sz w:val="20"/>
          <w:szCs w:val="20"/>
        </w:rPr>
        <w:t>determinar</w:t>
      </w:r>
      <w:r w:rsidRPr="00075CB7">
        <w:rPr>
          <w:rFonts w:ascii="Arial" w:hAnsi="Arial" w:cs="Arial"/>
          <w:color w:val="000000" w:themeColor="text1"/>
          <w:sz w:val="20"/>
          <w:szCs w:val="20"/>
        </w:rPr>
        <w:t xml:space="preserve"> los requisitos habilitantes que establecerán en los pliegos de condiciones, los cuales deben fijarse de forma adecuada y proporcional. Esto último, según se deriva de la lectura del artículo 2.2.1.1.1.6.2 del Decreto 1082 de 2015, debe hacerse de acuerdo con la naturaleza, el valor del contrato, la forma de pago, los </w:t>
      </w:r>
      <w:r w:rsidRPr="00075CB7">
        <w:rPr>
          <w:rFonts w:ascii="Arial" w:hAnsi="Arial" w:cs="Arial"/>
          <w:i/>
          <w:iCs/>
          <w:color w:val="000000" w:themeColor="text1"/>
          <w:sz w:val="20"/>
          <w:szCs w:val="20"/>
        </w:rPr>
        <w:t>riesgos</w:t>
      </w:r>
      <w:r w:rsidRPr="00075CB7">
        <w:rPr>
          <w:rFonts w:ascii="Arial" w:hAnsi="Arial" w:cs="Arial"/>
          <w:color w:val="000000" w:themeColor="text1"/>
          <w:sz w:val="20"/>
          <w:szCs w:val="20"/>
        </w:rPr>
        <w:t xml:space="preserve"> </w:t>
      </w:r>
      <w:r w:rsidRPr="00075CB7">
        <w:rPr>
          <w:rFonts w:ascii="Arial" w:hAnsi="Arial" w:cs="Arial"/>
          <w:i/>
          <w:iCs/>
          <w:color w:val="000000" w:themeColor="text1"/>
          <w:sz w:val="20"/>
          <w:szCs w:val="20"/>
        </w:rPr>
        <w:t>asociados al contrato</w:t>
      </w:r>
      <w:r w:rsidRPr="00075CB7">
        <w:rPr>
          <w:rFonts w:ascii="Arial" w:hAnsi="Arial" w:cs="Arial"/>
          <w:color w:val="000000" w:themeColor="text1"/>
          <w:sz w:val="20"/>
          <w:szCs w:val="20"/>
        </w:rPr>
        <w:t>, el plazo y la complejidad de ejecución del objeto. Todo porque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como, por ejemplo, el que estable el artículo 5, parágrafo 2, de la Ley 1150 de 2007, relacionado con la prohibición de exigir certificaciones de sistemas de gestión de calidad como requisito habilitante.</w:t>
      </w:r>
    </w:p>
    <w:p w14:paraId="0F5694AC" w14:textId="5F8D7CA6" w:rsidR="00AE36C6" w:rsidRPr="00243B75" w:rsidRDefault="00AE36C6" w:rsidP="00AE36C6">
      <w:pPr>
        <w:tabs>
          <w:tab w:val="left" w:pos="0"/>
        </w:tabs>
        <w:spacing w:line="276" w:lineRule="auto"/>
        <w:jc w:val="both"/>
        <w:rPr>
          <w:rFonts w:ascii="Arial" w:eastAsia="Calibri" w:hAnsi="Arial" w:cs="Arial"/>
          <w:b/>
          <w:color w:val="000000" w:themeColor="text1"/>
          <w:sz w:val="20"/>
          <w:szCs w:val="20"/>
        </w:rPr>
      </w:pPr>
      <w:r w:rsidRPr="00075CB7">
        <w:rPr>
          <w:rFonts w:ascii="Arial" w:hAnsi="Arial" w:cs="Arial"/>
          <w:b/>
          <w:bCs/>
          <w:color w:val="000000" w:themeColor="text1"/>
          <w:sz w:val="20"/>
          <w:szCs w:val="20"/>
        </w:rPr>
        <w:t>REQUISITOS HABILITANTES</w:t>
      </w:r>
      <w:r w:rsidRPr="00075CB7">
        <w:rPr>
          <w:rFonts w:ascii="Arial" w:hAnsi="Arial" w:cs="Arial"/>
          <w:color w:val="000000" w:themeColor="text1"/>
          <w:sz w:val="20"/>
          <w:szCs w:val="20"/>
        </w:rPr>
        <w:t xml:space="preserve"> </w:t>
      </w:r>
      <w:r w:rsidR="00FB4479" w:rsidRPr="00BA515C">
        <w:rPr>
          <w:rFonts w:ascii="Arial" w:hAnsi="Arial" w:cs="Arial"/>
          <w:b/>
          <w:bCs/>
          <w:sz w:val="20"/>
          <w:szCs w:val="20"/>
        </w:rPr>
        <w:t xml:space="preserve">– </w:t>
      </w:r>
      <w:r w:rsidR="00FB4479">
        <w:rPr>
          <w:rFonts w:ascii="Arial" w:eastAsia="Calibri" w:hAnsi="Arial" w:cs="Arial"/>
          <w:b/>
          <w:color w:val="000000" w:themeColor="text1"/>
          <w:sz w:val="20"/>
          <w:szCs w:val="20"/>
        </w:rPr>
        <w:t>A</w:t>
      </w:r>
      <w:r w:rsidRPr="00075CB7">
        <w:rPr>
          <w:rFonts w:ascii="Arial" w:eastAsia="Calibri" w:hAnsi="Arial" w:cs="Arial"/>
          <w:b/>
          <w:color w:val="000000" w:themeColor="text1"/>
          <w:sz w:val="20"/>
          <w:szCs w:val="20"/>
        </w:rPr>
        <w:t>utonomía de la voluntad de las entidades estatales para establecerlos</w:t>
      </w:r>
    </w:p>
    <w:p w14:paraId="07924741" w14:textId="77777777" w:rsidR="00AE36C6" w:rsidRPr="00E439E5" w:rsidRDefault="00AE36C6" w:rsidP="00AE36C6">
      <w:pPr>
        <w:spacing w:before="120" w:after="120" w:line="276" w:lineRule="auto"/>
        <w:jc w:val="both"/>
        <w:rPr>
          <w:rFonts w:ascii="Arial" w:hAnsi="Arial" w:cs="Arial"/>
          <w:color w:val="000000" w:themeColor="text1"/>
          <w:sz w:val="20"/>
          <w:szCs w:val="20"/>
        </w:rPr>
      </w:pPr>
      <w:r w:rsidRPr="00075CB7">
        <w:rPr>
          <w:rFonts w:ascii="Arial" w:hAnsi="Arial" w:cs="Arial"/>
          <w:color w:val="000000" w:themeColor="text1"/>
          <w:sz w:val="20"/>
          <w:szCs w:val="20"/>
        </w:rPr>
        <w:t xml:space="preserve">El </w:t>
      </w:r>
      <w:r w:rsidRPr="00075CB7">
        <w:rPr>
          <w:rFonts w:ascii="Arial" w:hAnsi="Arial" w:cs="Arial"/>
          <w:i/>
          <w:iCs/>
          <w:color w:val="000000" w:themeColor="text1"/>
          <w:sz w:val="20"/>
          <w:szCs w:val="20"/>
        </w:rPr>
        <w:t>principio de autonomía de la voluntad</w:t>
      </w:r>
      <w:r w:rsidRPr="00075CB7">
        <w:rPr>
          <w:rFonts w:ascii="Arial" w:hAnsi="Arial" w:cs="Arial"/>
          <w:color w:val="000000" w:themeColor="text1"/>
          <w:sz w:val="20"/>
          <w:szCs w:val="20"/>
        </w:rPr>
        <w:t xml:space="preserve">, reconocido en los artículos 13, 32 y 40 de la Ley 80 de 1993 para las entidades sometidas a esta, y en el artículo 1602 del Código Civil, para las exceptuadas de aquella, actúa entonces como el fundamento normativo que otorga a las entidades estatales competencia para que </w:t>
      </w:r>
      <w:r w:rsidRPr="00075CB7">
        <w:rPr>
          <w:rFonts w:ascii="Arial" w:hAnsi="Arial" w:cs="Arial"/>
          <w:color w:val="000000" w:themeColor="text1"/>
          <w:sz w:val="20"/>
          <w:szCs w:val="20"/>
        </w:rPr>
        <w:lastRenderedPageBreak/>
        <w:t>puedan solicitar requisitos habilitantes adicionales o diferentes a los establecidos en el numeral 1º del artículo 5 de la Ley 1150 de 2007. En realidad, lo que este numeral establece es una limitación a la discrecionalidad administrativa para la estipulación de los requisitos de participación, bajo la óptica de que si se incluyen los que aquel prevé, por regla general, no otorgan puntaje; pero tal enunciado no ha de interpretarse en el sentido de que las entidades solo pueden exigir, única y exclusivamente, dichos requisitos habilitantes. Esto en la medida que además de los argumentos que ya se han planteado, esa lectura negaría la autonomía reconocida en el Estatuto General de Contratación de la Administración Pública a los órganos del Estado para confeccionar el pliego de condiciones o los documentos equivalentes y, específicamente, para definir los requisitos que deben reunir los oferentes, según los factores advertidos durante los estudios previos, en armonía con los principios de legalidad y proporcionalidad.</w:t>
      </w:r>
    </w:p>
    <w:p w14:paraId="11C44801" w14:textId="77777777" w:rsidR="00AE36C6" w:rsidRPr="00E439E5" w:rsidRDefault="00AE36C6" w:rsidP="00AE36C6">
      <w:pPr>
        <w:spacing w:line="240" w:lineRule="auto"/>
        <w:rPr>
          <w:rFonts w:ascii="Arial" w:eastAsia="Calibri" w:hAnsi="Arial" w:cs="Arial"/>
          <w:b/>
          <w:color w:val="000000" w:themeColor="text1"/>
          <w:sz w:val="20"/>
          <w:szCs w:val="20"/>
        </w:rPr>
      </w:pPr>
      <w:r w:rsidRPr="00401871">
        <w:rPr>
          <w:rFonts w:ascii="Arial" w:eastAsia="Calibri" w:hAnsi="Arial" w:cs="Arial"/>
          <w:b/>
          <w:color w:val="000000" w:themeColor="text1"/>
          <w:sz w:val="20"/>
          <w:szCs w:val="20"/>
        </w:rPr>
        <w:t>LEY 842 DE 2003</w:t>
      </w:r>
      <w:r w:rsidRPr="00E439E5">
        <w:rPr>
          <w:rFonts w:ascii="Arial" w:eastAsia="Calibri" w:hAnsi="Arial" w:cs="Arial"/>
          <w:b/>
          <w:color w:val="000000" w:themeColor="text1"/>
          <w:sz w:val="20"/>
          <w:szCs w:val="20"/>
        </w:rPr>
        <w:t xml:space="preserve"> – Artículo 17 – Consecuencia jurídica de su inobservancia </w:t>
      </w:r>
    </w:p>
    <w:p w14:paraId="320B1B77" w14:textId="77777777" w:rsidR="00AE36C6" w:rsidRPr="00E439E5" w:rsidRDefault="00AE36C6" w:rsidP="00AE36C6">
      <w:pPr>
        <w:tabs>
          <w:tab w:val="left" w:pos="709"/>
          <w:tab w:val="left" w:pos="851"/>
        </w:tabs>
        <w:spacing w:after="120" w:line="240" w:lineRule="auto"/>
        <w:jc w:val="both"/>
        <w:rPr>
          <w:rFonts w:ascii="Arial" w:hAnsi="Arial" w:cs="Arial"/>
          <w:color w:val="000000" w:themeColor="text1"/>
          <w:sz w:val="20"/>
          <w:szCs w:val="20"/>
        </w:rPr>
      </w:pPr>
      <w:r w:rsidRPr="00E439E5">
        <w:rPr>
          <w:rFonts w:ascii="Arial" w:eastAsia="Calibri" w:hAnsi="Arial" w:cs="Arial"/>
          <w:color w:val="000000" w:themeColor="text1"/>
          <w:sz w:val="20"/>
          <w:szCs w:val="20"/>
        </w:rPr>
        <w:t xml:space="preserve">El artículo citado establece el deber para las personas jurídicas que se dedican a la actividad de la ingeniería, de </w:t>
      </w:r>
      <w:r w:rsidRPr="00E439E5">
        <w:rPr>
          <w:rFonts w:ascii="Arial" w:hAnsi="Arial" w:cs="Arial"/>
          <w:color w:val="000000" w:themeColor="text1"/>
          <w:sz w:val="20"/>
          <w:szCs w:val="20"/>
        </w:rPr>
        <w:t>incluir en su «nómina permanente» al menos a un profesional matriculado en la carrera correspondiente al objeto social de la persona jurídica. Sin embargo, pese a la existencia de dicho deber, no establece una consecuencia particular frente a su incidencia en los procedimientos de selección adelantados por las entidades estatales, como sería la imposibilidad de participar en dichos procesos ante la inobservancia del cumplimiento de dicha exigencia o el deber de presentar algún documento para acreditar el cumplimiento de dicha obligación en el desarrollo de tales procesos contractuales. […] Por el contrario, retomando el artículo 17 analizado, debe tenerse en cuenta que el parágrafo de la disposición citada establece la consecuencia concreta frente al incumplimiento del deber legal establecido en dicho artículo. Nótese que la consecuencia no se relaciona con la imposibilidad de participar en los procedimientos de selección o la exigencia de acreditar su cumplimiento en dichos procedimientos; sino que prescribe una sanción concreta para el representante legal de la sociedad que incumpla el deber establecido en la disposición, al señalarse que «se aplicarán las sanciones previstas para el ejercicio ilegal de la profesión y oficio reglamentado».</w:t>
      </w:r>
    </w:p>
    <w:p w14:paraId="7D54A0D3" w14:textId="77777777" w:rsidR="00833452" w:rsidRDefault="00833452" w:rsidP="00526E9D">
      <w:pPr>
        <w:rPr>
          <w:rFonts w:ascii="Geomanist Light" w:eastAsia="Times New Roman" w:hAnsi="Geomanist Light" w:cs="Arial"/>
          <w:b/>
          <w:bCs/>
          <w:sz w:val="20"/>
          <w:szCs w:val="21"/>
          <w:lang w:eastAsia="es-CO"/>
        </w:rPr>
      </w:pPr>
    </w:p>
    <w:p w14:paraId="71599BC9" w14:textId="77777777" w:rsidR="00AE36C6" w:rsidRDefault="00AE36C6" w:rsidP="00526E9D">
      <w:pPr>
        <w:rPr>
          <w:rFonts w:ascii="Geomanist Light" w:eastAsia="Times New Roman" w:hAnsi="Geomanist Light" w:cs="Arial"/>
          <w:b/>
          <w:bCs/>
          <w:sz w:val="20"/>
          <w:szCs w:val="21"/>
          <w:lang w:eastAsia="es-CO"/>
        </w:rPr>
      </w:pPr>
    </w:p>
    <w:p w14:paraId="41F2E118" w14:textId="77777777" w:rsidR="00AE36C6" w:rsidRDefault="00AE36C6" w:rsidP="00526E9D">
      <w:pPr>
        <w:rPr>
          <w:rFonts w:ascii="Geomanist Light" w:eastAsia="Times New Roman" w:hAnsi="Geomanist Light" w:cs="Arial"/>
          <w:b/>
          <w:bCs/>
          <w:sz w:val="20"/>
          <w:szCs w:val="21"/>
          <w:lang w:eastAsia="es-CO"/>
        </w:rPr>
      </w:pPr>
    </w:p>
    <w:p w14:paraId="3FB016C0" w14:textId="77777777" w:rsidR="00AE36C6" w:rsidRDefault="00AE36C6" w:rsidP="00526E9D">
      <w:pPr>
        <w:rPr>
          <w:rFonts w:ascii="Geomanist Light" w:eastAsia="Times New Roman" w:hAnsi="Geomanist Light" w:cs="Arial"/>
          <w:b/>
          <w:bCs/>
          <w:sz w:val="20"/>
          <w:szCs w:val="21"/>
          <w:lang w:eastAsia="es-CO"/>
        </w:rPr>
      </w:pPr>
    </w:p>
    <w:p w14:paraId="50098FF8" w14:textId="77777777" w:rsidR="00AE36C6" w:rsidRDefault="00AE36C6" w:rsidP="00526E9D">
      <w:pPr>
        <w:rPr>
          <w:rFonts w:ascii="Geomanist Light" w:eastAsia="Times New Roman" w:hAnsi="Geomanist Light" w:cs="Arial"/>
          <w:b/>
          <w:bCs/>
          <w:sz w:val="20"/>
          <w:szCs w:val="21"/>
          <w:lang w:eastAsia="es-CO"/>
        </w:rPr>
      </w:pPr>
    </w:p>
    <w:p w14:paraId="0BE39D47" w14:textId="77777777" w:rsidR="00AE36C6" w:rsidRDefault="00AE36C6" w:rsidP="00526E9D">
      <w:pPr>
        <w:rPr>
          <w:rFonts w:ascii="Geomanist Light" w:eastAsia="Times New Roman" w:hAnsi="Geomanist Light" w:cs="Arial"/>
          <w:b/>
          <w:bCs/>
          <w:sz w:val="20"/>
          <w:szCs w:val="21"/>
          <w:lang w:eastAsia="es-CO"/>
        </w:rPr>
      </w:pPr>
    </w:p>
    <w:p w14:paraId="2474293D" w14:textId="77777777" w:rsidR="00AE36C6" w:rsidRDefault="00AE36C6" w:rsidP="00526E9D">
      <w:pPr>
        <w:rPr>
          <w:rFonts w:ascii="Geomanist Light" w:eastAsia="Times New Roman" w:hAnsi="Geomanist Light" w:cs="Arial"/>
          <w:b/>
          <w:bCs/>
          <w:sz w:val="20"/>
          <w:szCs w:val="21"/>
          <w:lang w:eastAsia="es-CO"/>
        </w:rPr>
      </w:pPr>
    </w:p>
    <w:p w14:paraId="313435D8" w14:textId="77777777" w:rsidR="00AE36C6" w:rsidRDefault="00AE36C6" w:rsidP="00526E9D">
      <w:pPr>
        <w:rPr>
          <w:rFonts w:ascii="Geomanist Light" w:eastAsia="Times New Roman" w:hAnsi="Geomanist Light" w:cs="Arial"/>
          <w:b/>
          <w:bCs/>
          <w:sz w:val="20"/>
          <w:szCs w:val="21"/>
          <w:lang w:eastAsia="es-CO"/>
        </w:rPr>
      </w:pPr>
    </w:p>
    <w:p w14:paraId="26614D5D" w14:textId="77777777" w:rsidR="00AE36C6" w:rsidRPr="00AE36C6" w:rsidRDefault="00AE36C6" w:rsidP="00526E9D">
      <w:pPr>
        <w:rPr>
          <w:rFonts w:ascii="Geomanist Light" w:eastAsia="Times New Roman" w:hAnsi="Geomanist Light" w:cs="Arial"/>
          <w:b/>
          <w:bCs/>
          <w:sz w:val="20"/>
          <w:szCs w:val="21"/>
          <w:lang w:eastAsia="es-CO"/>
        </w:rPr>
      </w:pPr>
    </w:p>
    <w:p w14:paraId="223727E5" w14:textId="77777777" w:rsidR="006A61DF" w:rsidRPr="00BE4F5D" w:rsidRDefault="006A61DF" w:rsidP="006A61DF">
      <w:pPr>
        <w:spacing w:line="276" w:lineRule="auto"/>
        <w:rPr>
          <w:rFonts w:ascii="Arial" w:eastAsia="Calibri" w:hAnsi="Arial" w:cs="Arial"/>
          <w:b/>
          <w:color w:val="000000" w:themeColor="text1"/>
          <w:sz w:val="18"/>
          <w:szCs w:val="18"/>
        </w:rPr>
      </w:pPr>
      <w:bookmarkStart w:id="0" w:name="_Hlk34951122"/>
    </w:p>
    <w:p w14:paraId="2C634AE8" w14:textId="77777777" w:rsidR="00225CE0" w:rsidRPr="00BE4F5D" w:rsidRDefault="00225CE0" w:rsidP="006A61DF">
      <w:pPr>
        <w:spacing w:line="276" w:lineRule="auto"/>
        <w:rPr>
          <w:rFonts w:ascii="Arial" w:eastAsia="Calibri" w:hAnsi="Arial" w:cs="Arial"/>
          <w:color w:val="000000" w:themeColor="text1"/>
          <w:sz w:val="21"/>
          <w:szCs w:val="21"/>
        </w:rPr>
      </w:pPr>
    </w:p>
    <w:p w14:paraId="39023D9B" w14:textId="77777777" w:rsidR="006A61DF" w:rsidRPr="00BE4F5D" w:rsidRDefault="006A61DF" w:rsidP="006A61DF">
      <w:pPr>
        <w:spacing w:after="0" w:line="240" w:lineRule="auto"/>
        <w:contextualSpacing/>
        <w:rPr>
          <w:rFonts w:ascii="Arial" w:eastAsia="Calibri" w:hAnsi="Arial" w:cs="Arial"/>
          <w:color w:val="000000" w:themeColor="text1"/>
          <w:sz w:val="21"/>
          <w:szCs w:val="21"/>
        </w:rPr>
      </w:pPr>
    </w:p>
    <w:p w14:paraId="3BA8ED3F" w14:textId="77777777" w:rsidR="0069789C" w:rsidRDefault="0069789C" w:rsidP="006A61DF">
      <w:pPr>
        <w:spacing w:after="0" w:line="240" w:lineRule="auto"/>
        <w:contextualSpacing/>
        <w:rPr>
          <w:rFonts w:ascii="Arial" w:eastAsia="Calibri" w:hAnsi="Arial" w:cs="Arial"/>
          <w:color w:val="000000" w:themeColor="text1"/>
          <w:sz w:val="21"/>
          <w:szCs w:val="21"/>
        </w:rPr>
      </w:pPr>
    </w:p>
    <w:p w14:paraId="218E171E" w14:textId="18F61D38" w:rsidR="0069789C" w:rsidRDefault="0069789C" w:rsidP="0069789C">
      <w:pPr>
        <w:spacing w:after="0" w:line="240" w:lineRule="auto"/>
        <w:contextualSpacing/>
        <w:jc w:val="right"/>
        <w:rPr>
          <w:rFonts w:ascii="Arial" w:eastAsia="Calibri" w:hAnsi="Arial" w:cs="Arial"/>
          <w:color w:val="000000" w:themeColor="text1"/>
          <w:sz w:val="21"/>
          <w:szCs w:val="21"/>
        </w:rPr>
      </w:pPr>
      <w:r w:rsidRPr="0069789C">
        <w:rPr>
          <w:rFonts w:ascii="Arial" w:eastAsia="Calibri" w:hAnsi="Arial" w:cs="Arial"/>
          <w:noProof/>
          <w:color w:val="000000" w:themeColor="text1"/>
          <w:sz w:val="21"/>
          <w:szCs w:val="21"/>
        </w:rPr>
        <w:drawing>
          <wp:inline distT="0" distB="0" distL="0" distR="0" wp14:anchorId="34CBBAE5" wp14:editId="18889B50">
            <wp:extent cx="3326765" cy="914400"/>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54871" cy="922125"/>
                    </a:xfrm>
                    <a:prstGeom prst="rect">
                      <a:avLst/>
                    </a:prstGeom>
                  </pic:spPr>
                </pic:pic>
              </a:graphicData>
            </a:graphic>
          </wp:inline>
        </w:drawing>
      </w:r>
    </w:p>
    <w:p w14:paraId="684876EA" w14:textId="77777777" w:rsidR="0069789C" w:rsidRDefault="0069789C" w:rsidP="006A61DF">
      <w:pPr>
        <w:spacing w:after="0" w:line="240" w:lineRule="auto"/>
        <w:contextualSpacing/>
        <w:rPr>
          <w:rFonts w:ascii="Arial" w:eastAsia="Calibri" w:hAnsi="Arial" w:cs="Arial"/>
          <w:color w:val="000000" w:themeColor="text1"/>
          <w:sz w:val="21"/>
          <w:szCs w:val="21"/>
        </w:rPr>
      </w:pPr>
    </w:p>
    <w:p w14:paraId="036AD1F7" w14:textId="77777777" w:rsidR="0069789C" w:rsidRDefault="0069789C" w:rsidP="006A61DF">
      <w:pPr>
        <w:spacing w:after="0" w:line="240" w:lineRule="auto"/>
        <w:contextualSpacing/>
        <w:rPr>
          <w:rFonts w:ascii="Arial" w:eastAsia="Calibri" w:hAnsi="Arial" w:cs="Arial"/>
          <w:color w:val="000000" w:themeColor="text1"/>
          <w:sz w:val="21"/>
          <w:szCs w:val="21"/>
        </w:rPr>
      </w:pPr>
    </w:p>
    <w:p w14:paraId="3D609BD3" w14:textId="77777777" w:rsidR="0069789C" w:rsidRDefault="0069789C" w:rsidP="006A61DF">
      <w:pPr>
        <w:spacing w:after="0" w:line="240" w:lineRule="auto"/>
        <w:contextualSpacing/>
        <w:rPr>
          <w:rFonts w:ascii="Arial" w:eastAsia="Calibri" w:hAnsi="Arial" w:cs="Arial"/>
          <w:color w:val="000000" w:themeColor="text1"/>
          <w:sz w:val="21"/>
          <w:szCs w:val="21"/>
        </w:rPr>
      </w:pPr>
    </w:p>
    <w:p w14:paraId="26022CBD" w14:textId="15E03EE8" w:rsidR="006A61DF" w:rsidRPr="00BE4F5D" w:rsidRDefault="006A61DF" w:rsidP="006A61DF">
      <w:pPr>
        <w:spacing w:after="0" w:line="240" w:lineRule="auto"/>
        <w:contextualSpacing/>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Bogotá D.C., </w:t>
      </w:r>
      <w:r w:rsidR="000F641F">
        <w:rPr>
          <w:rFonts w:ascii="Arial" w:eastAsia="Calibri" w:hAnsi="Arial" w:cs="Arial"/>
          <w:color w:val="000000" w:themeColor="text1"/>
          <w:sz w:val="21"/>
          <w:szCs w:val="21"/>
        </w:rPr>
        <w:t>19 de diciembre de 2022</w:t>
      </w:r>
    </w:p>
    <w:p w14:paraId="3C7B28CD" w14:textId="77777777" w:rsidR="006A61DF" w:rsidRPr="00BE4F5D" w:rsidRDefault="006A61DF" w:rsidP="006A61DF">
      <w:pPr>
        <w:spacing w:after="0" w:line="240" w:lineRule="auto"/>
        <w:contextualSpacing/>
        <w:rPr>
          <w:rFonts w:ascii="Arial" w:eastAsia="Calibri" w:hAnsi="Arial" w:cs="Arial"/>
          <w:color w:val="000000" w:themeColor="text1"/>
          <w:sz w:val="21"/>
          <w:szCs w:val="21"/>
        </w:rPr>
      </w:pPr>
    </w:p>
    <w:p w14:paraId="78AF3CAC" w14:textId="77777777" w:rsidR="006A61DF" w:rsidRPr="00BE4F5D" w:rsidRDefault="006A61DF" w:rsidP="006A61DF">
      <w:pPr>
        <w:spacing w:after="0" w:line="240" w:lineRule="auto"/>
        <w:contextualSpacing/>
        <w:rPr>
          <w:rFonts w:ascii="Arial" w:eastAsia="Calibri" w:hAnsi="Arial" w:cs="Arial"/>
          <w:color w:val="000000" w:themeColor="text1"/>
          <w:sz w:val="21"/>
          <w:szCs w:val="21"/>
        </w:rPr>
      </w:pPr>
    </w:p>
    <w:p w14:paraId="75B77F21" w14:textId="77777777" w:rsidR="006A61DF" w:rsidRPr="00BE4F5D" w:rsidRDefault="006A61DF" w:rsidP="006A61DF">
      <w:pPr>
        <w:spacing w:after="0" w:line="240" w:lineRule="auto"/>
        <w:contextualSpacing/>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Señora</w:t>
      </w:r>
    </w:p>
    <w:p w14:paraId="1B94FD84" w14:textId="77777777" w:rsidR="006A61DF" w:rsidRPr="00BE4F5D" w:rsidRDefault="006A61DF" w:rsidP="006A61DF">
      <w:pPr>
        <w:spacing w:after="0" w:line="240" w:lineRule="auto"/>
        <w:contextualSpacing/>
        <w:rPr>
          <w:rFonts w:ascii="Arial" w:eastAsia="Calibri" w:hAnsi="Arial" w:cs="Arial"/>
          <w:b/>
          <w:color w:val="000000" w:themeColor="text1"/>
          <w:sz w:val="21"/>
          <w:szCs w:val="21"/>
        </w:rPr>
      </w:pPr>
      <w:r w:rsidRPr="3182D37E">
        <w:rPr>
          <w:rFonts w:ascii="Arial" w:eastAsia="Calibri" w:hAnsi="Arial" w:cs="Arial"/>
          <w:b/>
          <w:color w:val="000000" w:themeColor="text1"/>
          <w:sz w:val="21"/>
          <w:szCs w:val="21"/>
        </w:rPr>
        <w:t xml:space="preserve">Camila Andrea Monroy Rodríguez </w:t>
      </w:r>
    </w:p>
    <w:p w14:paraId="3DCE736A" w14:textId="77777777" w:rsidR="006A61DF" w:rsidRPr="00BE4F5D" w:rsidRDefault="00EB5F72" w:rsidP="006A61DF">
      <w:pPr>
        <w:spacing w:after="0" w:line="240" w:lineRule="auto"/>
        <w:contextualSpacing/>
        <w:rPr>
          <w:rFonts w:ascii="Arial" w:eastAsia="Calibri" w:hAnsi="Arial" w:cs="Arial"/>
          <w:color w:val="000000" w:themeColor="text1"/>
          <w:sz w:val="21"/>
          <w:szCs w:val="21"/>
        </w:rPr>
      </w:pPr>
      <w:hyperlink r:id="rId12" w:history="1">
        <w:r w:rsidR="006A61DF" w:rsidRPr="00BE4F5D">
          <w:rPr>
            <w:rStyle w:val="Hipervnculo"/>
            <w:rFonts w:ascii="Arial" w:eastAsia="Calibri" w:hAnsi="Arial" w:cs="Arial"/>
            <w:color w:val="000000" w:themeColor="text1"/>
            <w:sz w:val="21"/>
            <w:szCs w:val="21"/>
          </w:rPr>
          <w:t>cam-015@hotmail.com</w:t>
        </w:r>
      </w:hyperlink>
      <w:r w:rsidR="006A61DF" w:rsidRPr="00BE4F5D">
        <w:rPr>
          <w:rFonts w:ascii="Arial" w:eastAsia="Calibri" w:hAnsi="Arial" w:cs="Arial"/>
          <w:color w:val="000000" w:themeColor="text1"/>
          <w:sz w:val="21"/>
          <w:szCs w:val="21"/>
        </w:rPr>
        <w:t xml:space="preserve"> </w:t>
      </w:r>
    </w:p>
    <w:p w14:paraId="342E87C5" w14:textId="77777777" w:rsidR="006A61DF" w:rsidRPr="00BE4F5D" w:rsidRDefault="006A61DF" w:rsidP="006A61DF">
      <w:pPr>
        <w:spacing w:after="0" w:line="240" w:lineRule="auto"/>
        <w:contextualSpacing/>
        <w:rPr>
          <w:rFonts w:ascii="Arial" w:eastAsia="Calibri" w:hAnsi="Arial" w:cs="Arial"/>
          <w:b/>
          <w:color w:val="000000" w:themeColor="text1"/>
          <w:sz w:val="21"/>
          <w:szCs w:val="21"/>
        </w:rPr>
      </w:pPr>
    </w:p>
    <w:p w14:paraId="20144170" w14:textId="77777777" w:rsidR="00A9321B" w:rsidRDefault="006A61DF" w:rsidP="006A61DF">
      <w:pPr>
        <w:spacing w:after="0" w:line="240" w:lineRule="auto"/>
        <w:contextualSpacing/>
        <w:rPr>
          <w:rFonts w:ascii="Arial" w:eastAsia="Calibri" w:hAnsi="Arial" w:cs="Arial"/>
          <w:b/>
          <w:color w:val="000000" w:themeColor="text1"/>
          <w:sz w:val="21"/>
          <w:szCs w:val="21"/>
        </w:rPr>
      </w:pPr>
      <w:r w:rsidRPr="00BE4F5D">
        <w:rPr>
          <w:rFonts w:ascii="Arial" w:eastAsia="Calibri" w:hAnsi="Arial" w:cs="Arial"/>
          <w:b/>
          <w:color w:val="000000" w:themeColor="text1"/>
          <w:sz w:val="21"/>
          <w:szCs w:val="21"/>
        </w:rPr>
        <w:t xml:space="preserve">                                      </w:t>
      </w:r>
      <w:r w:rsidR="00A9321B">
        <w:rPr>
          <w:rFonts w:ascii="Arial" w:eastAsia="Calibri" w:hAnsi="Arial" w:cs="Arial"/>
          <w:b/>
          <w:color w:val="000000" w:themeColor="text1"/>
          <w:sz w:val="21"/>
          <w:szCs w:val="21"/>
        </w:rPr>
        <w:t xml:space="preserve">  </w:t>
      </w:r>
    </w:p>
    <w:p w14:paraId="781B575F" w14:textId="4CDCA7AA" w:rsidR="006A61DF" w:rsidRPr="00BE4F5D" w:rsidRDefault="00A9321B" w:rsidP="006A61DF">
      <w:pPr>
        <w:spacing w:after="0" w:line="240" w:lineRule="auto"/>
        <w:contextualSpacing/>
        <w:rPr>
          <w:rFonts w:ascii="Arial" w:eastAsia="Calibri" w:hAnsi="Arial" w:cs="Arial"/>
          <w:b/>
          <w:color w:val="000000" w:themeColor="text1"/>
          <w:sz w:val="21"/>
          <w:szCs w:val="21"/>
        </w:rPr>
      </w:pPr>
      <w:r>
        <w:rPr>
          <w:rFonts w:ascii="Arial" w:eastAsia="Calibri" w:hAnsi="Arial" w:cs="Arial"/>
          <w:b/>
          <w:color w:val="000000" w:themeColor="text1"/>
          <w:sz w:val="21"/>
          <w:szCs w:val="21"/>
        </w:rPr>
        <w:t xml:space="preserve">                 </w:t>
      </w:r>
      <w:r w:rsidR="006A61DF" w:rsidRPr="00BE4F5D">
        <w:rPr>
          <w:rFonts w:ascii="Arial" w:eastAsia="Calibri" w:hAnsi="Arial" w:cs="Arial"/>
          <w:b/>
          <w:color w:val="000000" w:themeColor="text1"/>
          <w:sz w:val="21"/>
          <w:szCs w:val="21"/>
        </w:rPr>
        <w:t xml:space="preserve"> </w:t>
      </w:r>
      <w:r>
        <w:rPr>
          <w:rFonts w:ascii="Arial" w:eastAsia="Calibri" w:hAnsi="Arial" w:cs="Arial"/>
          <w:b/>
          <w:color w:val="000000" w:themeColor="text1"/>
          <w:sz w:val="21"/>
          <w:szCs w:val="21"/>
        </w:rPr>
        <w:t xml:space="preserve">                       </w:t>
      </w:r>
      <w:r w:rsidR="006A61DF" w:rsidRPr="00BE4F5D">
        <w:rPr>
          <w:rFonts w:ascii="Arial" w:eastAsia="Calibri" w:hAnsi="Arial" w:cs="Arial"/>
          <w:b/>
          <w:color w:val="000000" w:themeColor="text1"/>
          <w:sz w:val="21"/>
          <w:szCs w:val="21"/>
        </w:rPr>
        <w:t xml:space="preserve">Concepto C – 868 de 2022 </w:t>
      </w:r>
    </w:p>
    <w:p w14:paraId="4BF3CA4D" w14:textId="77777777" w:rsidR="006A61DF" w:rsidRPr="00BE4F5D" w:rsidRDefault="006A61DF" w:rsidP="006A61DF">
      <w:pPr>
        <w:spacing w:after="0" w:line="240" w:lineRule="auto"/>
        <w:contextualSpacing/>
        <w:rPr>
          <w:rFonts w:ascii="Arial" w:eastAsia="Calibri" w:hAnsi="Arial" w:cs="Arial"/>
          <w:b/>
          <w:color w:val="000000" w:themeColor="text1"/>
          <w:sz w:val="21"/>
          <w:szCs w:val="21"/>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516"/>
      </w:tblGrid>
      <w:tr w:rsidR="006A61DF" w:rsidRPr="00BE4F5D" w14:paraId="3666452C" w14:textId="77777777" w:rsidTr="002A31BA">
        <w:trPr>
          <w:trHeight w:val="823"/>
        </w:trPr>
        <w:tc>
          <w:tcPr>
            <w:tcW w:w="2410" w:type="dxa"/>
          </w:tcPr>
          <w:p w14:paraId="62A4D04D" w14:textId="77777777" w:rsidR="006A61DF" w:rsidRPr="00BE4F5D" w:rsidRDefault="006A61DF" w:rsidP="002A31BA">
            <w:pPr>
              <w:contextualSpacing/>
              <w:rPr>
                <w:rFonts w:ascii="Arial" w:eastAsia="Calibri" w:hAnsi="Arial" w:cs="Arial"/>
                <w:color w:val="000000" w:themeColor="text1"/>
                <w:sz w:val="21"/>
                <w:szCs w:val="21"/>
              </w:rPr>
            </w:pPr>
            <w:r w:rsidRPr="00BE4F5D">
              <w:rPr>
                <w:rFonts w:ascii="Arial" w:eastAsia="Calibri" w:hAnsi="Arial" w:cs="Arial"/>
                <w:b/>
                <w:color w:val="000000" w:themeColor="text1"/>
                <w:sz w:val="21"/>
                <w:szCs w:val="21"/>
              </w:rPr>
              <w:t>Temas:</w:t>
            </w:r>
            <w:r w:rsidRPr="00BE4F5D">
              <w:rPr>
                <w:rFonts w:ascii="Arial" w:eastAsia="Calibri" w:hAnsi="Arial" w:cs="Arial"/>
                <w:color w:val="000000" w:themeColor="text1"/>
                <w:sz w:val="21"/>
                <w:szCs w:val="21"/>
              </w:rPr>
              <w:t xml:space="preserve">                                     </w:t>
            </w:r>
          </w:p>
        </w:tc>
        <w:tc>
          <w:tcPr>
            <w:tcW w:w="6516" w:type="dxa"/>
          </w:tcPr>
          <w:p w14:paraId="67D7FC20" w14:textId="77777777" w:rsidR="006A61DF" w:rsidRPr="00BE4F5D" w:rsidRDefault="006A61DF" w:rsidP="002A31BA">
            <w:pPr>
              <w:jc w:val="both"/>
              <w:rPr>
                <w:rFonts w:ascii="Arial" w:hAnsi="Arial" w:cs="Arial"/>
                <w:sz w:val="21"/>
                <w:szCs w:val="21"/>
              </w:rPr>
            </w:pPr>
            <w:r w:rsidRPr="00BE4F5D">
              <w:rPr>
                <w:rFonts w:ascii="Arial" w:hAnsi="Arial" w:cs="Arial"/>
                <w:sz w:val="21"/>
                <w:szCs w:val="21"/>
              </w:rPr>
              <w:t xml:space="preserve">REQUISITOS HABILITANTES – Definición – Diferencia con los criterios de evaluación / REQUISITOS HABILITANTES - </w:t>
            </w:r>
            <w:r w:rsidRPr="00BE4F5D">
              <w:rPr>
                <w:rFonts w:ascii="Arial" w:hAnsi="Arial" w:cs="Arial"/>
                <w:color w:val="000000" w:themeColor="text1"/>
                <w:sz w:val="21"/>
                <w:szCs w:val="21"/>
              </w:rPr>
              <w:t>criterios obligatorios para participar en los procedimientos de selección contractual</w:t>
            </w:r>
            <w:r w:rsidRPr="00BE4F5D">
              <w:rPr>
                <w:rFonts w:ascii="Arial" w:hAnsi="Arial" w:cs="Arial"/>
                <w:sz w:val="21"/>
                <w:szCs w:val="21"/>
              </w:rPr>
              <w:t xml:space="preserve"> / REQUISITOS HABILITANTES – Carácter enunciativo / </w:t>
            </w:r>
            <w:r w:rsidRPr="3182D37E">
              <w:rPr>
                <w:rFonts w:ascii="Arial" w:hAnsi="Arial" w:cs="Arial"/>
                <w:sz w:val="21"/>
                <w:szCs w:val="21"/>
              </w:rPr>
              <w:t xml:space="preserve">REQUISITOS HABILITANTES - autonomía de la voluntad de las entidades estatales para establecerlos / LEY 842 DE 2003 – Artículo 17 – Consecuencia jurídica de su inobservancia </w:t>
            </w:r>
          </w:p>
          <w:p w14:paraId="63F055E1" w14:textId="77777777" w:rsidR="006A61DF" w:rsidRPr="00BE4F5D" w:rsidRDefault="006A61DF" w:rsidP="002A31BA">
            <w:pPr>
              <w:spacing w:line="276" w:lineRule="auto"/>
              <w:jc w:val="both"/>
              <w:rPr>
                <w:rFonts w:ascii="Arial" w:hAnsi="Arial" w:cs="Arial"/>
                <w:sz w:val="21"/>
                <w:szCs w:val="21"/>
              </w:rPr>
            </w:pPr>
          </w:p>
          <w:p w14:paraId="161B750E" w14:textId="77777777" w:rsidR="006A61DF" w:rsidRPr="00BE4F5D" w:rsidRDefault="006A61DF" w:rsidP="002A31BA">
            <w:pPr>
              <w:contextualSpacing/>
              <w:jc w:val="both"/>
              <w:rPr>
                <w:rFonts w:ascii="Arial" w:hAnsi="Arial" w:cs="Arial"/>
                <w:bCs/>
                <w:color w:val="000000" w:themeColor="text1"/>
                <w:sz w:val="21"/>
                <w:szCs w:val="21"/>
              </w:rPr>
            </w:pPr>
          </w:p>
        </w:tc>
      </w:tr>
      <w:tr w:rsidR="006A61DF" w:rsidRPr="00BE4F5D" w14:paraId="0F1228B5" w14:textId="77777777" w:rsidTr="002A31BA">
        <w:tc>
          <w:tcPr>
            <w:tcW w:w="2410" w:type="dxa"/>
          </w:tcPr>
          <w:p w14:paraId="0C786D79" w14:textId="77777777" w:rsidR="006A61DF" w:rsidRPr="00BE4F5D" w:rsidRDefault="006A61DF" w:rsidP="002A31BA">
            <w:pPr>
              <w:contextualSpacing/>
              <w:rPr>
                <w:rFonts w:ascii="Arial" w:eastAsia="Calibri" w:hAnsi="Arial" w:cs="Arial"/>
                <w:color w:val="000000" w:themeColor="text1"/>
                <w:sz w:val="21"/>
                <w:szCs w:val="21"/>
              </w:rPr>
            </w:pPr>
            <w:r w:rsidRPr="00BE4F5D">
              <w:rPr>
                <w:rFonts w:ascii="Arial" w:eastAsia="Calibri" w:hAnsi="Arial" w:cs="Arial"/>
                <w:b/>
                <w:color w:val="000000" w:themeColor="text1"/>
                <w:sz w:val="21"/>
                <w:szCs w:val="21"/>
              </w:rPr>
              <w:t>Radicación:</w:t>
            </w:r>
            <w:r w:rsidRPr="00BE4F5D">
              <w:rPr>
                <w:rFonts w:ascii="Arial" w:eastAsia="Calibri" w:hAnsi="Arial" w:cs="Arial"/>
                <w:color w:val="000000" w:themeColor="text1"/>
                <w:sz w:val="21"/>
                <w:szCs w:val="21"/>
              </w:rPr>
              <w:t xml:space="preserve">                              </w:t>
            </w:r>
          </w:p>
        </w:tc>
        <w:tc>
          <w:tcPr>
            <w:tcW w:w="6516" w:type="dxa"/>
          </w:tcPr>
          <w:p w14:paraId="030C6F30" w14:textId="77777777" w:rsidR="006A61DF" w:rsidRPr="00BE4F5D" w:rsidRDefault="006A61DF" w:rsidP="002A31BA">
            <w:pPr>
              <w:contextualSpacing/>
              <w:jc w:val="both"/>
              <w:rPr>
                <w:rFonts w:ascii="Arial" w:hAnsi="Arial" w:cs="Arial"/>
                <w:color w:val="000000" w:themeColor="text1"/>
                <w:sz w:val="21"/>
                <w:szCs w:val="21"/>
              </w:rPr>
            </w:pPr>
            <w:r w:rsidRPr="00BE4F5D">
              <w:rPr>
                <w:rFonts w:ascii="Arial" w:eastAsia="Calibri" w:hAnsi="Arial" w:cs="Arial"/>
                <w:color w:val="000000" w:themeColor="text1"/>
                <w:sz w:val="21"/>
                <w:szCs w:val="21"/>
              </w:rPr>
              <w:t>Respuesta a la consulta P20221103011099</w:t>
            </w:r>
          </w:p>
        </w:tc>
      </w:tr>
    </w:tbl>
    <w:p w14:paraId="46B057EF" w14:textId="77777777" w:rsidR="006A61DF" w:rsidRPr="00BE4F5D" w:rsidRDefault="006A61DF" w:rsidP="006A61DF">
      <w:pPr>
        <w:spacing w:after="0" w:line="276" w:lineRule="auto"/>
        <w:contextualSpacing/>
        <w:rPr>
          <w:rFonts w:ascii="Arial" w:eastAsia="Calibri" w:hAnsi="Arial" w:cs="Arial"/>
          <w:color w:val="000000" w:themeColor="text1"/>
          <w:sz w:val="21"/>
          <w:szCs w:val="21"/>
        </w:rPr>
      </w:pPr>
    </w:p>
    <w:p w14:paraId="762A54CC" w14:textId="77777777" w:rsidR="006A61DF" w:rsidRPr="00BE4F5D" w:rsidRDefault="006A61DF" w:rsidP="006A61DF">
      <w:pPr>
        <w:spacing w:after="0" w:line="276" w:lineRule="auto"/>
        <w:contextualSpacing/>
        <w:rPr>
          <w:rFonts w:ascii="Arial" w:eastAsia="Calibri" w:hAnsi="Arial" w:cs="Arial"/>
          <w:color w:val="000000" w:themeColor="text1"/>
          <w:sz w:val="21"/>
          <w:szCs w:val="21"/>
        </w:rPr>
      </w:pPr>
    </w:p>
    <w:p w14:paraId="5104024E" w14:textId="7F920639" w:rsidR="006A61DF" w:rsidRPr="00BE4F5D" w:rsidRDefault="006A61DF" w:rsidP="006A61DF">
      <w:pPr>
        <w:tabs>
          <w:tab w:val="left" w:pos="3736"/>
        </w:tabs>
        <w:spacing w:after="0" w:line="276" w:lineRule="auto"/>
        <w:contextualSpacing/>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Estimad</w:t>
      </w:r>
      <w:r w:rsidR="00CB1BCA">
        <w:rPr>
          <w:rFonts w:ascii="Arial" w:eastAsia="Calibri" w:hAnsi="Arial" w:cs="Arial"/>
          <w:color w:val="000000" w:themeColor="text1"/>
          <w:sz w:val="21"/>
          <w:szCs w:val="21"/>
        </w:rPr>
        <w:t>a</w:t>
      </w:r>
      <w:r w:rsidRPr="00BE4F5D">
        <w:rPr>
          <w:rFonts w:ascii="Arial" w:eastAsia="Calibri" w:hAnsi="Arial" w:cs="Arial"/>
          <w:color w:val="000000" w:themeColor="text1"/>
          <w:sz w:val="21"/>
          <w:szCs w:val="21"/>
        </w:rPr>
        <w:t xml:space="preserve"> señor</w:t>
      </w:r>
      <w:r w:rsidR="00A9321B">
        <w:rPr>
          <w:rFonts w:ascii="Arial" w:eastAsia="Calibri" w:hAnsi="Arial" w:cs="Arial"/>
          <w:color w:val="000000" w:themeColor="text1"/>
          <w:sz w:val="21"/>
          <w:szCs w:val="21"/>
        </w:rPr>
        <w:t>a Monroy</w:t>
      </w:r>
      <w:r w:rsidRPr="00BE4F5D">
        <w:rPr>
          <w:rFonts w:ascii="Arial" w:eastAsia="Calibri" w:hAnsi="Arial" w:cs="Arial"/>
          <w:color w:val="000000" w:themeColor="text1"/>
          <w:sz w:val="21"/>
          <w:szCs w:val="21"/>
        </w:rPr>
        <w:t>:</w:t>
      </w:r>
    </w:p>
    <w:p w14:paraId="21D94F44" w14:textId="77777777" w:rsidR="006A61DF" w:rsidRPr="00BE4F5D" w:rsidRDefault="006A61DF" w:rsidP="006A61DF">
      <w:pPr>
        <w:tabs>
          <w:tab w:val="left" w:pos="3736"/>
        </w:tabs>
        <w:spacing w:after="0" w:line="276" w:lineRule="auto"/>
        <w:contextualSpacing/>
        <w:rPr>
          <w:rFonts w:ascii="Arial" w:eastAsia="Calibri" w:hAnsi="Arial" w:cs="Arial"/>
          <w:color w:val="000000" w:themeColor="text1"/>
          <w:sz w:val="21"/>
          <w:szCs w:val="21"/>
        </w:rPr>
      </w:pPr>
    </w:p>
    <w:p w14:paraId="28C2B0E2" w14:textId="77777777" w:rsidR="006A61DF" w:rsidRPr="00BE4F5D" w:rsidRDefault="006A61DF" w:rsidP="006A61DF">
      <w:pPr>
        <w:spacing w:after="0" w:line="276" w:lineRule="auto"/>
        <w:contextualSpacing/>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En ejercicio de la competencia otorgada por el numeral 8 del artículo 11 y el numeral 5 del artículo 3 del Decreto Ley 4170 de 2011, la Agencia Nacional de Contratación Pública – Colombia Compra Eficiente responde su consulta remitida el 2 de noviembre de 2022. </w:t>
      </w:r>
    </w:p>
    <w:p w14:paraId="50088506" w14:textId="77777777" w:rsidR="006A61DF" w:rsidRPr="00BE4F5D" w:rsidRDefault="006A61DF" w:rsidP="006A61DF">
      <w:pPr>
        <w:spacing w:after="0" w:line="276" w:lineRule="auto"/>
        <w:contextualSpacing/>
        <w:jc w:val="both"/>
        <w:rPr>
          <w:rFonts w:ascii="Arial" w:eastAsia="Calibri" w:hAnsi="Arial" w:cs="Arial"/>
          <w:color w:val="000000" w:themeColor="text1"/>
          <w:sz w:val="21"/>
          <w:szCs w:val="21"/>
        </w:rPr>
      </w:pPr>
    </w:p>
    <w:p w14:paraId="71E4167C" w14:textId="77777777" w:rsidR="006A61DF" w:rsidRPr="00BE4F5D" w:rsidRDefault="006A61DF" w:rsidP="006A61DF">
      <w:pPr>
        <w:tabs>
          <w:tab w:val="left" w:pos="0"/>
        </w:tabs>
        <w:spacing w:after="0" w:line="276" w:lineRule="auto"/>
        <w:contextualSpacing/>
        <w:jc w:val="both"/>
        <w:rPr>
          <w:rFonts w:ascii="Arial" w:eastAsia="Calibri" w:hAnsi="Arial" w:cs="Arial"/>
          <w:b/>
          <w:color w:val="000000" w:themeColor="text1"/>
          <w:sz w:val="21"/>
          <w:szCs w:val="21"/>
        </w:rPr>
      </w:pPr>
      <w:r w:rsidRPr="00BE4F5D">
        <w:rPr>
          <w:rFonts w:ascii="Arial" w:eastAsia="Calibri" w:hAnsi="Arial" w:cs="Arial"/>
          <w:b/>
          <w:color w:val="000000" w:themeColor="text1"/>
          <w:sz w:val="21"/>
          <w:szCs w:val="21"/>
        </w:rPr>
        <w:t>1. Problema planteado</w:t>
      </w:r>
    </w:p>
    <w:p w14:paraId="563F950C" w14:textId="77777777" w:rsidR="006A61DF" w:rsidRPr="00BE4F5D" w:rsidRDefault="006A61DF" w:rsidP="006A61DF">
      <w:pPr>
        <w:tabs>
          <w:tab w:val="left" w:pos="0"/>
        </w:tabs>
        <w:spacing w:after="0" w:line="276" w:lineRule="auto"/>
        <w:contextualSpacing/>
        <w:jc w:val="both"/>
        <w:rPr>
          <w:rFonts w:ascii="Arial" w:eastAsia="Calibri" w:hAnsi="Arial" w:cs="Arial"/>
          <w:b/>
          <w:color w:val="000000" w:themeColor="text1"/>
          <w:sz w:val="21"/>
          <w:szCs w:val="21"/>
        </w:rPr>
      </w:pPr>
    </w:p>
    <w:p w14:paraId="6045CCE4" w14:textId="77777777" w:rsidR="006A61DF" w:rsidRPr="00BE4F5D" w:rsidRDefault="006A61DF" w:rsidP="006A61DF">
      <w:pPr>
        <w:pStyle w:val="gmail-msonospacing"/>
        <w:spacing w:before="0" w:beforeAutospacing="0" w:after="0" w:afterAutospacing="0" w:line="276" w:lineRule="auto"/>
        <w:ind w:right="900"/>
        <w:contextualSpacing/>
        <w:jc w:val="both"/>
        <w:rPr>
          <w:rFonts w:ascii="Arial" w:eastAsia="Calibri" w:hAnsi="Arial" w:cs="Arial"/>
          <w:color w:val="000000" w:themeColor="text1"/>
          <w:sz w:val="21"/>
          <w:szCs w:val="21"/>
          <w:lang w:val="es-ES_tradnl"/>
        </w:rPr>
      </w:pPr>
      <w:r w:rsidRPr="00BE4F5D">
        <w:rPr>
          <w:rFonts w:ascii="Arial" w:eastAsia="Calibri" w:hAnsi="Arial" w:cs="Arial"/>
          <w:color w:val="000000" w:themeColor="text1"/>
          <w:sz w:val="21"/>
          <w:szCs w:val="21"/>
          <w:lang w:val="es-ES_tradnl"/>
        </w:rPr>
        <w:t xml:space="preserve">Teniendo en cuenta lo establecido en el artículo 17 de la Ley 814 de 2003 que dice: ARTÍCULO 17. RESPONSABILIDAD DE LAS PERSONAS JURÍDICAS Y DE SUS REPRESENTANTES. La sociedad, firma, empresa u organización profesional, cuyas actividades comprendan, en forma exclusiva o parcial, alguna o algunas de aquellas que correspondan al ejercicio de la ingeniería, de sus profesiones afines o de sus profesiones </w:t>
      </w:r>
      <w:r w:rsidRPr="00BE4F5D">
        <w:rPr>
          <w:rFonts w:ascii="Arial" w:eastAsia="Calibri" w:hAnsi="Arial" w:cs="Arial"/>
          <w:color w:val="000000" w:themeColor="text1"/>
          <w:sz w:val="21"/>
          <w:szCs w:val="21"/>
          <w:lang w:val="es-ES_tradnl"/>
        </w:rPr>
        <w:lastRenderedPageBreak/>
        <w:t xml:space="preserve">auxiliares, está obligada a incluir en su nómina permanente, como mínimo, a un profesional matriculado en la carrera correspondiente al objeto social de la respectiva persona jurídica. Usted realiza las siguientes preguntas: </w:t>
      </w:r>
    </w:p>
    <w:p w14:paraId="70D2375E" w14:textId="77777777" w:rsidR="006A61DF" w:rsidRPr="00BE4F5D" w:rsidRDefault="006A61DF" w:rsidP="006A61DF">
      <w:pPr>
        <w:pStyle w:val="Default"/>
        <w:rPr>
          <w:color w:val="000000" w:themeColor="text1"/>
          <w:sz w:val="22"/>
          <w:szCs w:val="22"/>
          <w:lang w:val="es-ES_tradnl"/>
        </w:rPr>
      </w:pPr>
      <w:r w:rsidRPr="00BE4F5D">
        <w:rPr>
          <w:color w:val="000000" w:themeColor="text1"/>
          <w:sz w:val="22"/>
          <w:szCs w:val="22"/>
          <w:lang w:val="es-ES_tradnl"/>
        </w:rPr>
        <w:t xml:space="preserve"> </w:t>
      </w:r>
    </w:p>
    <w:p w14:paraId="2397AE80" w14:textId="77777777"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 xml:space="preserve">«1. Teniendo en cuenta el efecto erga omnes de la mencionada Ley ¿Este requisito (Artículo 17) puede incluirse dentro de los pliegos de condiciones de un concurso de méritos como uno de los requisitos habilitantes? </w:t>
      </w:r>
    </w:p>
    <w:p w14:paraId="7371482A" w14:textId="224DF408"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 xml:space="preserve">2. Ahora bien, los proponentes que se presentan a las diferentes modalidades de selección en forma individual o conjunta, que realizan actividades de ingeniería total o parcialmente, pero que no demuestres que cuentan con personal en ingeniería dentro de su planta de trabajo o nómina permanente, ¿Tendrían que ser rechazados de los procesos de selección con entidades públicas? Insisto, causal de rechazo que sería consecuencia del efecto erga omnes de la ley. </w:t>
      </w:r>
    </w:p>
    <w:p w14:paraId="5BEA6F1D"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3. ¿La aplicación de la Ley en comento debe exigirse como requisito jurídico y habilitante desde una entidad estatal para concursos de mérito de proyectos o contratos de consultoría en ingeniería de obras civiles? </w:t>
      </w:r>
    </w:p>
    <w:p w14:paraId="4BB59AA7"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4. ¿La aplicación de la Ley en comento debe exigirse como requisito jurídico y habilitante desde una entidad estatal para concursos de mérito de proyectos o contratos de Consultoría o interventoría en ingeniería de telecomunicaciones y electrónica? </w:t>
      </w:r>
    </w:p>
    <w:p w14:paraId="10FAE0D2"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5. ¿La aplicación de la Ley en comento debe exigirse como requisito jurídico y habilitante desde una entidad estatal para concursos de mérito de proyectos o contratos de Consultoría en ingeniería eléctrica (energía convencional y no convencional o alternativa)? </w:t>
      </w:r>
    </w:p>
    <w:p w14:paraId="038F9E34" w14:textId="77777777"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6. ¿La aplicación de la Ley en comento debe exigirse como requisito jurídico y habilitante desde una entidad estatal para concursos de mérito de proyectos o contratos de Consultoría de proyectos de ingeniería de sistemas de información?»</w:t>
      </w:r>
    </w:p>
    <w:p w14:paraId="37B4D010" w14:textId="77777777" w:rsidR="006A61DF" w:rsidRPr="00BE4F5D" w:rsidRDefault="006A61DF" w:rsidP="006A61DF">
      <w:pPr>
        <w:pStyle w:val="gmail-msonospacing"/>
        <w:spacing w:before="0" w:beforeAutospacing="0" w:after="0" w:afterAutospacing="0" w:line="276" w:lineRule="auto"/>
        <w:ind w:right="900"/>
        <w:contextualSpacing/>
        <w:jc w:val="both"/>
        <w:rPr>
          <w:rFonts w:ascii="Arial" w:eastAsia="Calibri" w:hAnsi="Arial" w:cs="Arial"/>
          <w:color w:val="000000" w:themeColor="text1"/>
          <w:sz w:val="21"/>
          <w:szCs w:val="21"/>
          <w:lang w:val="es-ES_tradnl"/>
        </w:rPr>
      </w:pPr>
    </w:p>
    <w:p w14:paraId="2E9EBEDE" w14:textId="77777777" w:rsidR="006A61DF" w:rsidRPr="00BE4F5D" w:rsidRDefault="006A61DF" w:rsidP="006A61DF">
      <w:pPr>
        <w:pStyle w:val="NormalWeb"/>
        <w:spacing w:before="0" w:beforeAutospacing="0" w:after="0" w:afterAutospacing="0" w:line="276" w:lineRule="auto"/>
        <w:ind w:right="51"/>
        <w:contextualSpacing/>
        <w:jc w:val="both"/>
        <w:rPr>
          <w:rFonts w:ascii="Arial" w:eastAsia="Calibri" w:hAnsi="Arial" w:cs="Arial"/>
          <w:b/>
          <w:color w:val="000000" w:themeColor="text1"/>
          <w:sz w:val="21"/>
          <w:szCs w:val="21"/>
        </w:rPr>
      </w:pPr>
      <w:r w:rsidRPr="00BE4F5D">
        <w:rPr>
          <w:rFonts w:ascii="Arial" w:eastAsia="Calibri" w:hAnsi="Arial" w:cs="Arial"/>
          <w:b/>
          <w:color w:val="000000" w:themeColor="text1"/>
          <w:sz w:val="21"/>
          <w:szCs w:val="21"/>
        </w:rPr>
        <w:t>2. Consideraciones</w:t>
      </w:r>
    </w:p>
    <w:p w14:paraId="1B0D2850" w14:textId="77777777" w:rsidR="006A61DF" w:rsidRPr="00BE4F5D" w:rsidRDefault="006A61DF" w:rsidP="006A61DF">
      <w:pPr>
        <w:pStyle w:val="NormalWeb"/>
        <w:spacing w:before="0" w:beforeAutospacing="0" w:after="0" w:afterAutospacing="0" w:line="276" w:lineRule="auto"/>
        <w:ind w:right="51"/>
        <w:contextualSpacing/>
        <w:jc w:val="both"/>
        <w:rPr>
          <w:rFonts w:ascii="Arial" w:eastAsia="Calibri" w:hAnsi="Arial" w:cs="Arial"/>
          <w:b/>
          <w:color w:val="000000" w:themeColor="text1"/>
          <w:sz w:val="21"/>
          <w:szCs w:val="21"/>
        </w:rPr>
      </w:pPr>
    </w:p>
    <w:p w14:paraId="62D03A7C" w14:textId="77777777" w:rsidR="006A61DF" w:rsidRPr="00BE4F5D" w:rsidRDefault="006A61DF" w:rsidP="006A61DF">
      <w:pPr>
        <w:spacing w:after="120" w:line="276" w:lineRule="auto"/>
        <w:jc w:val="both"/>
        <w:rPr>
          <w:rFonts w:ascii="Arial" w:hAnsi="Arial" w:cs="Arial"/>
          <w:color w:val="000000" w:themeColor="text1"/>
          <w:sz w:val="21"/>
          <w:szCs w:val="21"/>
        </w:rPr>
      </w:pPr>
      <w:r w:rsidRPr="00BE4F5D">
        <w:rPr>
          <w:rFonts w:ascii="Arial" w:hAnsi="Arial" w:cs="Arial"/>
          <w:bCs/>
          <w:color w:val="000000" w:themeColor="text1"/>
          <w:sz w:val="21"/>
          <w:szCs w:val="21"/>
        </w:rPr>
        <w:t xml:space="preserve">En ejercicio de las competencias establecidas en el numeral 5° del artículo 3 y el numeral 8° del artículo 11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bookmarkStart w:id="1" w:name="_Hlk61701014"/>
      <w:bookmarkStart w:id="2" w:name="_Hlk62136649"/>
      <w:r w:rsidRPr="00BE4F5D">
        <w:rPr>
          <w:rFonts w:ascii="Arial" w:hAnsi="Arial" w:cs="Arial"/>
          <w:color w:val="000000" w:themeColor="text1"/>
          <w:sz w:val="21"/>
          <w:szCs w:val="21"/>
        </w:rPr>
        <w:t xml:space="preserve">Es necesario tener en cuenta que </w:t>
      </w:r>
      <w:bookmarkStart w:id="3" w:name="_Hlk61026958"/>
      <w:r w:rsidRPr="00BE4F5D">
        <w:rPr>
          <w:rFonts w:ascii="Arial" w:hAnsi="Arial" w:cs="Arial"/>
          <w:color w:val="000000" w:themeColor="text1"/>
          <w:sz w:val="21"/>
          <w:szCs w:val="21"/>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BE4F5D">
        <w:rPr>
          <w:rFonts w:ascii="Arial" w:hAnsi="Arial" w:cs="Arial"/>
          <w:bCs/>
          <w:color w:val="000000" w:themeColor="text1"/>
          <w:sz w:val="21"/>
          <w:szCs w:val="21"/>
        </w:rPr>
        <w:t xml:space="preserve"> de todos los partícipes de la contratación estatal.</w:t>
      </w:r>
    </w:p>
    <w:bookmarkEnd w:id="1"/>
    <w:bookmarkEnd w:id="3"/>
    <w:p w14:paraId="69609471" w14:textId="77777777" w:rsidR="006A61DF" w:rsidRPr="00BE4F5D" w:rsidRDefault="006A61DF" w:rsidP="006A61DF">
      <w:pPr>
        <w:spacing w:after="120" w:line="276" w:lineRule="auto"/>
        <w:ind w:firstLine="708"/>
        <w:jc w:val="both"/>
        <w:rPr>
          <w:rFonts w:ascii="Arial" w:hAnsi="Arial" w:cs="Arial"/>
          <w:color w:val="000000" w:themeColor="text1"/>
          <w:sz w:val="21"/>
          <w:szCs w:val="21"/>
        </w:rPr>
      </w:pPr>
      <w:r w:rsidRPr="00BE4F5D">
        <w:rPr>
          <w:rFonts w:ascii="Arial" w:hAnsi="Arial" w:cs="Arial"/>
          <w:color w:val="000000" w:themeColor="text1"/>
          <w:sz w:val="21"/>
          <w:szCs w:val="21"/>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BE4F5D">
        <w:rPr>
          <w:rFonts w:ascii="Arial" w:hAnsi="Arial" w:cs="Arial"/>
          <w:color w:val="000000" w:themeColor="text1"/>
          <w:sz w:val="21"/>
          <w:szCs w:val="21"/>
          <w:vertAlign w:val="superscript"/>
        </w:rPr>
        <w:footnoteReference w:id="2"/>
      </w:r>
      <w:r w:rsidRPr="00BE4F5D">
        <w:rPr>
          <w:rFonts w:ascii="Arial" w:hAnsi="Arial" w:cs="Arial"/>
          <w:color w:val="000000" w:themeColor="text1"/>
          <w:sz w:val="21"/>
          <w:szCs w:val="21"/>
        </w:rPr>
        <w:t xml:space="preserve">. Esta competencia de interpretación de </w:t>
      </w:r>
      <w:r w:rsidRPr="00BE4F5D">
        <w:rPr>
          <w:rFonts w:ascii="Arial" w:hAnsi="Arial" w:cs="Arial"/>
          <w:color w:val="000000" w:themeColor="text1"/>
          <w:sz w:val="21"/>
          <w:szCs w:val="21"/>
        </w:rPr>
        <w:lastRenderedPageBreak/>
        <w:t xml:space="preserve">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adelanta el procedimiento de selección y, en caso de conflicto, a las autoridades judiciales, fiscales y disciplinarias. </w:t>
      </w:r>
    </w:p>
    <w:p w14:paraId="392B9462" w14:textId="77777777" w:rsidR="006A61DF" w:rsidRPr="00BE4F5D" w:rsidRDefault="006A61DF" w:rsidP="006A61DF">
      <w:pPr>
        <w:spacing w:after="120" w:line="276" w:lineRule="auto"/>
        <w:ind w:firstLine="708"/>
        <w:jc w:val="both"/>
        <w:rPr>
          <w:rFonts w:ascii="Arial" w:hAnsi="Arial" w:cs="Arial"/>
          <w:bCs/>
          <w:color w:val="000000" w:themeColor="text1"/>
          <w:sz w:val="21"/>
          <w:szCs w:val="21"/>
        </w:rPr>
      </w:pPr>
      <w:r w:rsidRPr="00BE4F5D">
        <w:rPr>
          <w:rFonts w:ascii="Arial" w:hAnsi="Arial" w:cs="Arial"/>
          <w:color w:val="000000" w:themeColor="text1"/>
          <w:sz w:val="21"/>
          <w:szCs w:val="21"/>
        </w:rPr>
        <w:t>Adicionalmente, es preciso advertir que los conceptos emitidos en ejercicio de la referida competencia consultiva reflejan las posiciones hermenéuticas de la Agencia sobre la aplicación de las normas generales sometidas a su consideración, desarrollando posturas sustentadas a partir del estudio de las diferentes fuentes del derecho existentes en la materia. En cualquier caso, estos conceptos tienen el alcance señalado por el artículo 28 de la Ley 1437 de 2011, sustituido por la Ley 1755 de 2015, el cual señala «[…]  los conceptos emitidos por las autoridades como respuestas a peticiones realizadas en ejercicio del derecho a formular consultas no serán de obligatorio cumplimiento o ejecución».  E</w:t>
      </w:r>
      <w:r w:rsidRPr="00BE4F5D">
        <w:rPr>
          <w:rFonts w:ascii="Arial" w:hAnsi="Arial" w:cs="Arial"/>
          <w:bCs/>
          <w:color w:val="000000" w:themeColor="text1"/>
          <w:sz w:val="21"/>
          <w:szCs w:val="21"/>
        </w:rPr>
        <w:t>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 Esto no descarta que, en la práctica, al emitirse la opinión sobre la interpretación del ordenamiento jurídico, exista coincidencia con el criterio que expone alguna de las partes o la persona que solicita la consulta, circunstancia que no descarta interpretaciones diferentes y, mucho menos, valida la del peticionario, ya que las competencias consultivas no lo permiten</w:t>
      </w:r>
      <w:r w:rsidRPr="00BE4F5D">
        <w:rPr>
          <w:rFonts w:ascii="Arial" w:hAnsi="Arial" w:cs="Arial"/>
          <w:bCs/>
          <w:color w:val="000000" w:themeColor="text1"/>
          <w:sz w:val="21"/>
          <w:szCs w:val="21"/>
          <w:vertAlign w:val="superscript"/>
        </w:rPr>
        <w:footnoteReference w:id="3"/>
      </w:r>
      <w:r w:rsidRPr="00BE4F5D">
        <w:rPr>
          <w:rFonts w:ascii="Arial" w:hAnsi="Arial" w:cs="Arial"/>
          <w:bCs/>
          <w:color w:val="000000" w:themeColor="text1"/>
          <w:sz w:val="21"/>
          <w:szCs w:val="21"/>
        </w:rPr>
        <w:t>.</w:t>
      </w:r>
    </w:p>
    <w:p w14:paraId="57E84B91" w14:textId="77777777" w:rsidR="006A61DF" w:rsidRPr="00BE4F5D" w:rsidRDefault="006A61DF" w:rsidP="006A61DF">
      <w:pPr>
        <w:spacing w:after="120" w:line="276" w:lineRule="auto"/>
        <w:ind w:firstLine="708"/>
        <w:jc w:val="both"/>
        <w:rPr>
          <w:rFonts w:ascii="Arial" w:hAnsi="Arial" w:cs="Arial"/>
          <w:sz w:val="21"/>
          <w:szCs w:val="21"/>
        </w:rPr>
      </w:pPr>
      <w:r w:rsidRPr="00BE4F5D">
        <w:rPr>
          <w:rFonts w:ascii="Arial" w:hAnsi="Arial" w:cs="Arial"/>
          <w:sz w:val="21"/>
          <w:szCs w:val="21"/>
        </w:rPr>
        <w:t xml:space="preserve">Sin perjuicio de lo anterior, dentro de los límites de las atribuciones de la función consultiva atribuida a esta entidad, esto es, interpretando de manera general las normas relevantes, la Agencia </w:t>
      </w:r>
      <w:r w:rsidRPr="00BE4F5D">
        <w:rPr>
          <w:rFonts w:ascii="Arial" w:hAnsi="Arial" w:cs="Arial"/>
          <w:sz w:val="21"/>
          <w:szCs w:val="21"/>
        </w:rPr>
        <w:lastRenderedPageBreak/>
        <w:t xml:space="preserve">absolverá los interrogantes formulados, previo análisis de los siguientes temas: i) requisitos habilitantes: criterios obligatorios para participar en los procedimientos de selección contractual; </w:t>
      </w:r>
      <w:proofErr w:type="spellStart"/>
      <w:r w:rsidRPr="00BE4F5D">
        <w:rPr>
          <w:rFonts w:ascii="Arial" w:hAnsi="Arial" w:cs="Arial"/>
          <w:sz w:val="21"/>
          <w:szCs w:val="21"/>
        </w:rPr>
        <w:t>ii</w:t>
      </w:r>
      <w:proofErr w:type="spellEnd"/>
      <w:r w:rsidRPr="00BE4F5D">
        <w:rPr>
          <w:rFonts w:ascii="Arial" w:hAnsi="Arial" w:cs="Arial"/>
          <w:sz w:val="21"/>
          <w:szCs w:val="21"/>
        </w:rPr>
        <w:t xml:space="preserve">) carácter enunciativo de los requisitos habilitantes de la Ley 1150 de 2007 y autonomía de la voluntad de las entidades estatales para establecerlos y; </w:t>
      </w:r>
      <w:proofErr w:type="spellStart"/>
      <w:r w:rsidRPr="00BE4F5D">
        <w:rPr>
          <w:rFonts w:ascii="Arial" w:hAnsi="Arial" w:cs="Arial"/>
          <w:sz w:val="21"/>
          <w:szCs w:val="21"/>
        </w:rPr>
        <w:t>iii</w:t>
      </w:r>
      <w:proofErr w:type="spellEnd"/>
      <w:r w:rsidRPr="00BE4F5D">
        <w:rPr>
          <w:rFonts w:ascii="Arial" w:hAnsi="Arial" w:cs="Arial"/>
          <w:sz w:val="21"/>
          <w:szCs w:val="21"/>
        </w:rPr>
        <w:t xml:space="preserve">) Obligación del artículo 17 de la Ley 842 de 2003. </w:t>
      </w:r>
    </w:p>
    <w:p w14:paraId="05A7DCF6" w14:textId="77777777" w:rsidR="006A61DF" w:rsidRPr="00BE4F5D" w:rsidRDefault="006A61DF" w:rsidP="006A61DF">
      <w:pPr>
        <w:spacing w:line="276" w:lineRule="auto"/>
        <w:ind w:firstLine="708"/>
        <w:jc w:val="both"/>
        <w:rPr>
          <w:rFonts w:ascii="Arial" w:hAnsi="Arial" w:cs="Arial"/>
          <w:bCs/>
          <w:sz w:val="21"/>
          <w:szCs w:val="21"/>
          <w:lang w:val="es-MX"/>
        </w:rPr>
      </w:pPr>
      <w:r w:rsidRPr="00BE4F5D">
        <w:rPr>
          <w:rFonts w:ascii="Arial" w:eastAsia="Calibri" w:hAnsi="Arial" w:cs="Arial"/>
          <w:color w:val="000000" w:themeColor="text1"/>
          <w:sz w:val="21"/>
          <w:szCs w:val="21"/>
          <w:lang w:val="es-ES"/>
        </w:rPr>
        <w:t xml:space="preserve">Al respecto, conviene indicar que la Agencia Nacional de Contratación Pública ― Colombia Compra Eficiente, 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C-330 del 27 de mayo de 2020, C-396 de 2020 y C-669 del 3 de diciembre de 2021  analizó la naturaleza de los requisitos habilitantes y su carácter </w:t>
      </w:r>
      <w:r w:rsidRPr="00BE4F5D">
        <w:rPr>
          <w:rFonts w:ascii="Arial" w:eastAsia="Calibri" w:hAnsi="Arial" w:cs="Arial"/>
          <w:i/>
          <w:iCs/>
          <w:color w:val="000000" w:themeColor="text1"/>
          <w:sz w:val="21"/>
          <w:szCs w:val="21"/>
          <w:lang w:val="es-ES"/>
        </w:rPr>
        <w:t>enunciativo</w:t>
      </w:r>
      <w:r w:rsidRPr="00BE4F5D">
        <w:rPr>
          <w:rFonts w:ascii="Arial" w:hAnsi="Arial" w:cs="Arial"/>
          <w:bCs/>
          <w:sz w:val="21"/>
          <w:szCs w:val="21"/>
          <w:lang w:val="es-MX"/>
        </w:rPr>
        <w:t xml:space="preserve">. </w:t>
      </w:r>
      <w:r w:rsidRPr="00BE4F5D">
        <w:rPr>
          <w:rFonts w:ascii="Arial" w:hAnsi="Arial" w:cs="Arial"/>
          <w:sz w:val="21"/>
          <w:szCs w:val="21"/>
          <w:lang w:val="es-MX"/>
        </w:rPr>
        <w:t xml:space="preserve">Las tesis desarrolladas en estos conceptos se reiteran a continuación </w:t>
      </w:r>
      <w:r w:rsidRPr="00BE4F5D">
        <w:rPr>
          <w:rFonts w:ascii="Arial" w:hAnsi="Arial" w:cs="Arial"/>
          <w:bCs/>
          <w:sz w:val="21"/>
          <w:szCs w:val="21"/>
          <w:lang w:val="es-MX"/>
        </w:rPr>
        <w:t xml:space="preserve">y se complementan en lo pertinente. </w:t>
      </w:r>
    </w:p>
    <w:p w14:paraId="13D47055" w14:textId="77777777" w:rsidR="006A61DF" w:rsidRPr="00BE4F5D" w:rsidRDefault="006A61DF" w:rsidP="006A61DF">
      <w:pPr>
        <w:spacing w:line="276" w:lineRule="auto"/>
        <w:jc w:val="both"/>
        <w:rPr>
          <w:rFonts w:ascii="Arial" w:hAnsi="Arial" w:cs="Arial"/>
          <w:b/>
          <w:bCs/>
          <w:color w:val="000000" w:themeColor="text1"/>
          <w:sz w:val="21"/>
          <w:szCs w:val="21"/>
        </w:rPr>
      </w:pPr>
      <w:r w:rsidRPr="00BE4F5D">
        <w:rPr>
          <w:rFonts w:ascii="Arial" w:hAnsi="Arial" w:cs="Arial"/>
          <w:b/>
          <w:bCs/>
          <w:color w:val="000000" w:themeColor="text1"/>
          <w:sz w:val="21"/>
          <w:szCs w:val="21"/>
        </w:rPr>
        <w:t>2.1. Requisitos habilitantes: criterios obligatorios para participar en los procedimientos de selección contractual</w:t>
      </w:r>
    </w:p>
    <w:p w14:paraId="57E631BD" w14:textId="77777777" w:rsidR="006A61DF" w:rsidRPr="00BE4F5D" w:rsidRDefault="006A61DF" w:rsidP="006A61DF">
      <w:pPr>
        <w:spacing w:after="120" w:line="276" w:lineRule="auto"/>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Los </w:t>
      </w:r>
      <w:r w:rsidRPr="00BE4F5D">
        <w:rPr>
          <w:rFonts w:ascii="Arial" w:eastAsia="Calibri" w:hAnsi="Arial" w:cs="Arial"/>
          <w:i/>
          <w:iCs/>
          <w:color w:val="000000" w:themeColor="text1"/>
          <w:sz w:val="21"/>
          <w:szCs w:val="21"/>
        </w:rPr>
        <w:t>requisitos habilitantes</w:t>
      </w:r>
      <w:r w:rsidRPr="00BE4F5D">
        <w:rPr>
          <w:rFonts w:ascii="Arial" w:eastAsia="Calibri" w:hAnsi="Arial" w:cs="Arial"/>
          <w:color w:val="000000" w:themeColor="text1"/>
          <w:sz w:val="21"/>
          <w:szCs w:val="21"/>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BE4F5D">
        <w:rPr>
          <w:rFonts w:ascii="Arial" w:eastAsia="Calibri" w:hAnsi="Arial" w:cs="Arial"/>
          <w:i/>
          <w:iCs/>
          <w:color w:val="000000" w:themeColor="text1"/>
          <w:sz w:val="21"/>
          <w:szCs w:val="21"/>
        </w:rPr>
        <w:t>criterios de evaluación</w:t>
      </w:r>
      <w:r w:rsidRPr="00BE4F5D">
        <w:rPr>
          <w:rFonts w:ascii="Arial" w:eastAsia="Calibri" w:hAnsi="Arial" w:cs="Arial"/>
          <w:color w:val="000000" w:themeColor="text1"/>
          <w:sz w:val="21"/>
          <w:szCs w:val="21"/>
        </w:rPr>
        <w:t xml:space="preserve"> –también conocidos como </w:t>
      </w:r>
      <w:r w:rsidRPr="00BE4F5D">
        <w:rPr>
          <w:rFonts w:ascii="Arial" w:eastAsia="Calibri" w:hAnsi="Arial" w:cs="Arial"/>
          <w:i/>
          <w:iCs/>
          <w:color w:val="000000" w:themeColor="text1"/>
          <w:sz w:val="21"/>
          <w:szCs w:val="21"/>
        </w:rPr>
        <w:t>criterios de calificación</w:t>
      </w:r>
      <w:r w:rsidRPr="00BE4F5D">
        <w:rPr>
          <w:rFonts w:ascii="Arial" w:eastAsia="Calibri" w:hAnsi="Arial" w:cs="Arial"/>
          <w:color w:val="000000" w:themeColor="text1"/>
          <w:sz w:val="21"/>
          <w:szCs w:val="21"/>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350EF6BA" w14:textId="77777777" w:rsidR="006A61DF" w:rsidRPr="00BE4F5D" w:rsidRDefault="006A61DF" w:rsidP="006A61DF">
      <w:pPr>
        <w:spacing w:after="120" w:line="276" w:lineRule="auto"/>
        <w:ind w:firstLine="708"/>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1A1C19F6" w14:textId="77777777" w:rsidR="006A61DF" w:rsidRPr="00BE4F5D" w:rsidRDefault="006A61DF" w:rsidP="006A61DF">
      <w:pPr>
        <w:spacing w:line="276" w:lineRule="auto"/>
        <w:ind w:firstLine="708"/>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431CA46B" w14:textId="77777777" w:rsidR="006A61DF" w:rsidRPr="00BE4F5D" w:rsidRDefault="006A61DF" w:rsidP="006A61DF">
      <w:pPr>
        <w:spacing w:before="120" w:line="276" w:lineRule="auto"/>
        <w:ind w:firstLine="709"/>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Específicamente, el numeral 1º del artículo referido establece que en los procesos de selección de contratistas serán objeto de verificación, como requisitos habilitantes, </w:t>
      </w:r>
      <w:r w:rsidRPr="00BE4F5D">
        <w:rPr>
          <w:rFonts w:ascii="Arial" w:eastAsia="Calibri" w:hAnsi="Arial" w:cs="Arial"/>
          <w:i/>
          <w:iCs/>
          <w:color w:val="000000" w:themeColor="text1"/>
          <w:sz w:val="21"/>
          <w:szCs w:val="21"/>
        </w:rPr>
        <w:t>entre otros</w:t>
      </w:r>
      <w:r w:rsidRPr="00BE4F5D">
        <w:rPr>
          <w:rFonts w:ascii="Arial" w:eastAsia="Calibri" w:hAnsi="Arial" w:cs="Arial"/>
          <w:color w:val="000000" w:themeColor="text1"/>
          <w:sz w:val="21"/>
          <w:szCs w:val="21"/>
        </w:rPr>
        <w:t xml:space="preserve">, los siguientes: i) la capacidad jurídica; </w:t>
      </w:r>
      <w:proofErr w:type="spellStart"/>
      <w:r w:rsidRPr="00BE4F5D">
        <w:rPr>
          <w:rFonts w:ascii="Arial" w:eastAsia="Calibri" w:hAnsi="Arial" w:cs="Arial"/>
          <w:color w:val="000000" w:themeColor="text1"/>
          <w:sz w:val="21"/>
          <w:szCs w:val="21"/>
        </w:rPr>
        <w:t>ii</w:t>
      </w:r>
      <w:proofErr w:type="spellEnd"/>
      <w:r w:rsidRPr="00BE4F5D">
        <w:rPr>
          <w:rFonts w:ascii="Arial" w:eastAsia="Calibri" w:hAnsi="Arial" w:cs="Arial"/>
          <w:color w:val="000000" w:themeColor="text1"/>
          <w:sz w:val="21"/>
          <w:szCs w:val="21"/>
        </w:rPr>
        <w:t xml:space="preserve">) la experiencia; </w:t>
      </w:r>
      <w:proofErr w:type="spellStart"/>
      <w:r w:rsidRPr="00BE4F5D">
        <w:rPr>
          <w:rFonts w:ascii="Arial" w:eastAsia="Calibri" w:hAnsi="Arial" w:cs="Arial"/>
          <w:color w:val="000000" w:themeColor="text1"/>
          <w:sz w:val="21"/>
          <w:szCs w:val="21"/>
        </w:rPr>
        <w:t>iii</w:t>
      </w:r>
      <w:proofErr w:type="spellEnd"/>
      <w:r w:rsidRPr="00BE4F5D">
        <w:rPr>
          <w:rFonts w:ascii="Arial" w:eastAsia="Calibri" w:hAnsi="Arial" w:cs="Arial"/>
          <w:color w:val="000000" w:themeColor="text1"/>
          <w:sz w:val="21"/>
          <w:szCs w:val="21"/>
        </w:rPr>
        <w:t xml:space="preserve">) la capacidad financiera y </w:t>
      </w:r>
      <w:proofErr w:type="spellStart"/>
      <w:r w:rsidRPr="00BE4F5D">
        <w:rPr>
          <w:rFonts w:ascii="Arial" w:eastAsia="Calibri" w:hAnsi="Arial" w:cs="Arial"/>
          <w:color w:val="000000" w:themeColor="text1"/>
          <w:sz w:val="21"/>
          <w:szCs w:val="21"/>
        </w:rPr>
        <w:t>iv</w:t>
      </w:r>
      <w:proofErr w:type="spellEnd"/>
      <w:r w:rsidRPr="00BE4F5D">
        <w:rPr>
          <w:rFonts w:ascii="Arial" w:eastAsia="Calibri" w:hAnsi="Arial" w:cs="Arial"/>
          <w:color w:val="000000" w:themeColor="text1"/>
          <w:sz w:val="21"/>
          <w:szCs w:val="21"/>
        </w:rPr>
        <w:t xml:space="preserve">) la capacidad de organización. En efecto, la normativa citada dispone: </w:t>
      </w:r>
    </w:p>
    <w:p w14:paraId="3CDC8399" w14:textId="77777777" w:rsidR="006A61DF" w:rsidRPr="00BE4F5D" w:rsidRDefault="006A61DF" w:rsidP="006A61DF">
      <w:pPr>
        <w:jc w:val="both"/>
        <w:rPr>
          <w:rFonts w:ascii="Arial" w:eastAsia="Calibri" w:hAnsi="Arial" w:cs="Arial"/>
          <w:color w:val="000000" w:themeColor="text1"/>
          <w:sz w:val="21"/>
          <w:szCs w:val="21"/>
        </w:rPr>
      </w:pPr>
    </w:p>
    <w:p w14:paraId="72B15F8B" w14:textId="77777777" w:rsidR="006A61DF" w:rsidRPr="00BE4F5D" w:rsidRDefault="006A61DF" w:rsidP="006A61DF">
      <w:pPr>
        <w:ind w:left="709" w:right="709"/>
        <w:jc w:val="both"/>
        <w:rPr>
          <w:rFonts w:ascii="Arial" w:eastAsia="Calibri" w:hAnsi="Arial" w:cs="Arial"/>
          <w:color w:val="000000" w:themeColor="text1"/>
          <w:sz w:val="20"/>
          <w:szCs w:val="20"/>
        </w:rPr>
      </w:pPr>
      <w:r w:rsidRPr="00BE4F5D">
        <w:rPr>
          <w:rFonts w:ascii="Arial" w:eastAsia="Calibri" w:hAnsi="Arial" w:cs="Arial"/>
          <w:color w:val="000000" w:themeColor="text1"/>
          <w:sz w:val="20"/>
          <w:szCs w:val="20"/>
        </w:rPr>
        <w:t xml:space="preserve">Artículo 5. De la Selección Objetiva. </w:t>
      </w:r>
    </w:p>
    <w:p w14:paraId="19AB44F8" w14:textId="77777777" w:rsidR="006A61DF" w:rsidRPr="00BE4F5D" w:rsidRDefault="006A61DF" w:rsidP="006A61DF">
      <w:pPr>
        <w:spacing w:after="120"/>
        <w:ind w:left="709" w:right="709"/>
        <w:jc w:val="both"/>
        <w:rPr>
          <w:rFonts w:ascii="Arial" w:eastAsia="Calibri" w:hAnsi="Arial" w:cs="Arial"/>
          <w:color w:val="000000" w:themeColor="text1"/>
          <w:sz w:val="20"/>
          <w:szCs w:val="20"/>
        </w:rPr>
      </w:pPr>
      <w:r w:rsidRPr="00BE4F5D">
        <w:rPr>
          <w:rFonts w:ascii="Arial" w:eastAsia="Calibri" w:hAnsi="Arial" w:cs="Arial"/>
          <w:color w:val="000000" w:themeColor="text1"/>
          <w:sz w:val="20"/>
          <w:szCs w:val="20"/>
        </w:rPr>
        <w:t>[…]</w:t>
      </w:r>
    </w:p>
    <w:p w14:paraId="5A81A01B" w14:textId="77777777" w:rsidR="006A61DF" w:rsidRPr="00BE4F5D" w:rsidRDefault="006A61DF" w:rsidP="006A61DF">
      <w:pPr>
        <w:ind w:left="709" w:right="709"/>
        <w:contextualSpacing/>
        <w:jc w:val="both"/>
        <w:rPr>
          <w:rFonts w:ascii="Arial" w:eastAsia="Calibri" w:hAnsi="Arial" w:cs="Arial"/>
          <w:color w:val="000000" w:themeColor="text1"/>
          <w:sz w:val="20"/>
          <w:szCs w:val="20"/>
        </w:rPr>
      </w:pPr>
      <w:r w:rsidRPr="00BE4F5D">
        <w:rPr>
          <w:rFonts w:ascii="Arial" w:eastAsia="Calibri" w:hAnsi="Arial"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9E8069F" w14:textId="77777777" w:rsidR="006A61DF" w:rsidRPr="00BE4F5D" w:rsidRDefault="006A61DF" w:rsidP="006A61DF">
      <w:pPr>
        <w:spacing w:line="276" w:lineRule="auto"/>
        <w:ind w:right="709"/>
        <w:jc w:val="both"/>
        <w:rPr>
          <w:rFonts w:ascii="Arial" w:eastAsia="Calibri" w:hAnsi="Arial" w:cs="Arial"/>
          <w:color w:val="000000" w:themeColor="text1"/>
          <w:sz w:val="21"/>
          <w:szCs w:val="21"/>
        </w:rPr>
      </w:pPr>
    </w:p>
    <w:p w14:paraId="1552E14C" w14:textId="77777777" w:rsidR="006A61DF" w:rsidRPr="00BE4F5D" w:rsidRDefault="006A61DF" w:rsidP="006A61DF">
      <w:pPr>
        <w:spacing w:after="120" w:line="276" w:lineRule="auto"/>
        <w:ind w:firstLine="709"/>
        <w:jc w:val="both"/>
        <w:rPr>
          <w:rFonts w:ascii="Arial" w:eastAsia="Calibri" w:hAnsi="Arial" w:cs="Arial"/>
          <w:color w:val="000000" w:themeColor="text1"/>
          <w:sz w:val="21"/>
          <w:szCs w:val="21"/>
        </w:rPr>
      </w:pPr>
      <w:r w:rsidRPr="00BE4F5D">
        <w:rPr>
          <w:rFonts w:ascii="Arial" w:hAnsi="Arial" w:cs="Arial"/>
          <w:color w:val="000000" w:themeColor="text1"/>
          <w:sz w:val="21"/>
          <w:szCs w:val="21"/>
        </w:rPr>
        <w:t xml:space="preserve">Una vez fijados los requisitos habilitantes por la entidad estatal, quienes presenten ofertas deben </w:t>
      </w:r>
      <w:r w:rsidRPr="00BE4F5D">
        <w:rPr>
          <w:rFonts w:ascii="Arial" w:hAnsi="Arial" w:cs="Arial"/>
          <w:bCs/>
          <w:i/>
          <w:iCs/>
          <w:color w:val="000000" w:themeColor="text1"/>
          <w:sz w:val="21"/>
          <w:szCs w:val="21"/>
        </w:rPr>
        <w:t>acreditar</w:t>
      </w:r>
      <w:r w:rsidRPr="00BE4F5D">
        <w:rPr>
          <w:rFonts w:ascii="Arial" w:hAnsi="Arial" w:cs="Arial"/>
          <w:color w:val="000000" w:themeColor="text1"/>
          <w:sz w:val="21"/>
          <w:szCs w:val="21"/>
        </w:rPr>
        <w:t xml:space="preserve"> que cumplen con los mismos, pues, en el evento contrario, las propuestas deberán ser rechazadas. </w:t>
      </w:r>
      <w:r w:rsidRPr="00BE4F5D">
        <w:rPr>
          <w:rFonts w:ascii="Arial" w:eastAsia="Calibri" w:hAnsi="Arial" w:cs="Arial"/>
          <w:color w:val="000000" w:themeColor="text1"/>
          <w:sz w:val="21"/>
          <w:szCs w:val="21"/>
        </w:rPr>
        <w:t>El ente encargado de verificar el cumplimiento por parte de los proponentes sobre los requisitos que haya considerado la entidad como habilitantes será la Cámara de Comercio, esto en la medida en que, mediante el Registro Único de Proponentes –RUP–, se pondrá de presente toda la información relacionada con la experiencia, capacidad jurídica, capacidad financiera y organizacional, así como la clasificación del proponente</w:t>
      </w:r>
      <w:r w:rsidRPr="00BE4F5D">
        <w:rPr>
          <w:rFonts w:ascii="Arial" w:eastAsia="Calibri" w:hAnsi="Arial" w:cs="Arial"/>
          <w:color w:val="000000" w:themeColor="text1"/>
          <w:sz w:val="21"/>
          <w:szCs w:val="21"/>
          <w:vertAlign w:val="superscript"/>
        </w:rPr>
        <w:footnoteReference w:id="4"/>
      </w:r>
      <w:r w:rsidRPr="00BE4F5D">
        <w:rPr>
          <w:rFonts w:ascii="Arial" w:eastAsia="Calibri" w:hAnsi="Arial" w:cs="Arial"/>
          <w:color w:val="000000" w:themeColor="text1"/>
          <w:sz w:val="21"/>
          <w:szCs w:val="21"/>
        </w:rPr>
        <w:t xml:space="preserve">. </w:t>
      </w:r>
    </w:p>
    <w:p w14:paraId="2799EACA" w14:textId="77777777" w:rsidR="006A61DF" w:rsidRPr="00BE4F5D" w:rsidRDefault="006A61DF" w:rsidP="006A61DF">
      <w:pPr>
        <w:spacing w:before="120" w:after="120" w:line="276" w:lineRule="auto"/>
        <w:ind w:firstLine="709"/>
        <w:contextualSpacing/>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De la misma manera es pertinente mencionar que existen determinados procesos en donde se excepciona el uso del mencionado registro y de la clasificación del proponente, siendo estos los siguientes: contratación directa, contratos para la prestación de servicios de salud, contratos de mínima cuantía, entre otros puestos de presente por el artículo 6 de la Ley 1150 de 2007</w:t>
      </w:r>
      <w:r w:rsidRPr="00BE4F5D">
        <w:rPr>
          <w:rFonts w:ascii="Arial" w:eastAsia="Calibri" w:hAnsi="Arial" w:cs="Arial"/>
          <w:color w:val="000000" w:themeColor="text1"/>
          <w:sz w:val="21"/>
          <w:szCs w:val="21"/>
          <w:vertAlign w:val="superscript"/>
        </w:rPr>
        <w:footnoteReference w:id="5"/>
      </w:r>
      <w:r w:rsidRPr="00BE4F5D">
        <w:rPr>
          <w:rFonts w:ascii="Arial" w:eastAsia="Calibri" w:hAnsi="Arial" w:cs="Arial"/>
          <w:color w:val="000000" w:themeColor="text1"/>
          <w:sz w:val="21"/>
          <w:szCs w:val="21"/>
        </w:rPr>
        <w:t xml:space="preserve">. </w:t>
      </w:r>
    </w:p>
    <w:p w14:paraId="56D11A7A" w14:textId="77777777" w:rsidR="006A61DF" w:rsidRPr="00BE4F5D" w:rsidRDefault="006A61DF" w:rsidP="006A61DF">
      <w:pPr>
        <w:spacing w:before="120" w:after="120" w:line="276" w:lineRule="auto"/>
        <w:ind w:firstLine="709"/>
        <w:contextualSpacing/>
        <w:jc w:val="both"/>
        <w:rPr>
          <w:rFonts w:ascii="Arial" w:eastAsia="Calibri" w:hAnsi="Arial" w:cs="Arial"/>
          <w:color w:val="000000" w:themeColor="text1"/>
          <w:sz w:val="21"/>
          <w:szCs w:val="21"/>
        </w:rPr>
      </w:pPr>
    </w:p>
    <w:p w14:paraId="2EF1A505" w14:textId="77777777" w:rsidR="006A61DF" w:rsidRPr="00BE4F5D" w:rsidRDefault="006A61DF" w:rsidP="006A61DF">
      <w:pPr>
        <w:tabs>
          <w:tab w:val="left" w:pos="0"/>
        </w:tabs>
        <w:spacing w:line="276" w:lineRule="auto"/>
        <w:jc w:val="both"/>
        <w:rPr>
          <w:rFonts w:ascii="Arial" w:eastAsia="Calibri" w:hAnsi="Arial" w:cs="Arial"/>
          <w:b/>
          <w:color w:val="000000" w:themeColor="text1"/>
          <w:sz w:val="21"/>
          <w:szCs w:val="21"/>
        </w:rPr>
      </w:pPr>
      <w:r w:rsidRPr="00BE4F5D">
        <w:rPr>
          <w:rFonts w:ascii="Arial" w:eastAsia="Calibri" w:hAnsi="Arial" w:cs="Arial"/>
          <w:b/>
          <w:color w:val="000000" w:themeColor="text1"/>
          <w:sz w:val="21"/>
          <w:szCs w:val="21"/>
        </w:rPr>
        <w:t xml:space="preserve">2.2. Carácter enunciativo de los requisitos habilitantes autonomía de la voluntad de las entidades estatales para establecerlos. </w:t>
      </w:r>
    </w:p>
    <w:p w14:paraId="07547D79" w14:textId="77777777" w:rsidR="006A61DF" w:rsidRPr="00BE4F5D" w:rsidRDefault="006A61DF" w:rsidP="006A61DF">
      <w:pPr>
        <w:spacing w:line="276" w:lineRule="auto"/>
        <w:jc w:val="both"/>
        <w:rPr>
          <w:rFonts w:ascii="Arial" w:hAnsi="Arial" w:cs="Arial"/>
          <w:color w:val="000000" w:themeColor="text1"/>
          <w:sz w:val="21"/>
          <w:szCs w:val="21"/>
        </w:rPr>
      </w:pPr>
      <w:r w:rsidRPr="00BE4F5D">
        <w:rPr>
          <w:rFonts w:ascii="Arial" w:hAnsi="Arial" w:cs="Arial"/>
          <w:color w:val="000000" w:themeColor="text1"/>
          <w:sz w:val="21"/>
          <w:szCs w:val="21"/>
        </w:rPr>
        <w:lastRenderedPageBreak/>
        <w:t>Es necesario indagar si los requisitos habilitantes establecidos en el artículo 5, numeral 1, de la Ley 1150 de 2007, tienen la característica de taxativos, esto es, si son los únicos requisitos habilitantes que puede exigirles una entidad a los proponentes. Esta pregunta tiene, al menos, dos respuestas posibles. Por un lado, que sí lo son, pues la norma no hace referencia a otros diferentes. Por el otro, que no lo son, pues esta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BE4F5D">
        <w:rPr>
          <w:rFonts w:ascii="Arial" w:hAnsi="Arial" w:cs="Arial"/>
          <w:color w:val="000000" w:themeColor="text1"/>
          <w:sz w:val="21"/>
          <w:szCs w:val="21"/>
          <w:vertAlign w:val="superscript"/>
        </w:rPr>
        <w:footnoteReference w:id="6"/>
      </w:r>
      <w:r w:rsidRPr="00BE4F5D">
        <w:rPr>
          <w:rFonts w:ascii="Arial" w:hAnsi="Arial" w:cs="Arial"/>
          <w:color w:val="000000" w:themeColor="text1"/>
          <w:sz w:val="21"/>
          <w:szCs w:val="21"/>
        </w:rPr>
        <w:t xml:space="preserve">. Esta segunda respuesta contiene la interpretación jurídica que comparte la Agencia Nacional de Contratación Pública. </w:t>
      </w:r>
    </w:p>
    <w:p w14:paraId="4F5E3777" w14:textId="77777777" w:rsidR="006A61DF" w:rsidRPr="00BE4F5D" w:rsidRDefault="006A61DF" w:rsidP="006A61DF">
      <w:pPr>
        <w:spacing w:before="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Existen otros argumentos que sustentan dicha elección interpretativa. Como lo han considerado la Corte Constitucional</w:t>
      </w:r>
      <w:r w:rsidRPr="00BE4F5D">
        <w:rPr>
          <w:rFonts w:ascii="Arial" w:hAnsi="Arial" w:cs="Arial"/>
          <w:color w:val="000000" w:themeColor="text1"/>
          <w:sz w:val="21"/>
          <w:szCs w:val="21"/>
          <w:vertAlign w:val="superscript"/>
        </w:rPr>
        <w:footnoteReference w:id="7"/>
      </w:r>
      <w:r w:rsidRPr="00BE4F5D">
        <w:rPr>
          <w:rFonts w:ascii="Arial" w:hAnsi="Arial" w:cs="Arial"/>
          <w:color w:val="000000" w:themeColor="text1"/>
          <w:sz w:val="21"/>
          <w:szCs w:val="21"/>
        </w:rPr>
        <w:t xml:space="preserve"> y el Consejo de Estado</w:t>
      </w:r>
      <w:r w:rsidRPr="00BE4F5D">
        <w:rPr>
          <w:rFonts w:ascii="Arial" w:hAnsi="Arial" w:cs="Arial"/>
          <w:color w:val="000000" w:themeColor="text1"/>
          <w:sz w:val="21"/>
          <w:szCs w:val="21"/>
          <w:vertAlign w:val="superscript"/>
        </w:rPr>
        <w:footnoteReference w:id="8"/>
      </w:r>
      <w:r w:rsidRPr="00BE4F5D">
        <w:rPr>
          <w:rFonts w:ascii="Arial" w:hAnsi="Arial" w:cs="Arial"/>
          <w:color w:val="000000" w:themeColor="text1"/>
          <w:sz w:val="21"/>
          <w:szCs w:val="21"/>
        </w:rPr>
        <w:t xml:space="preserve">, en virtud del «principio del efecto útil», el texto de una norma debe ser interpretado de manera que todo cuanto ella prescribe produzca consecuencias jurídicas. En ese contexto, surge la inquietud en relación con los efectos del parágrafo 2 del mismo artículo 5 de la Ley 1150 de 2007, pues si la intención del legislador era que solo fueran requisitos habilitantes los cuatro que contiene el numeral 1 de dicha disposición, ¿cómo se explica que el referido parágrafo aclare que «las certificaciones de sistemas de gestión de calidad no serán objeto de calificación, ni podrán establecerse como documento habilitante para participar en licitaciones o concursos»? Si se interpreta que solo son cuatro los requisitos habilitantes, el parágrafo 2 carecería de efectos jurídicos y, por ende, no tendría ninguna consecuencia normativa que en el mismo artículo se aclare que una exigencia no puede ser considera como requisito habilitante. </w:t>
      </w:r>
    </w:p>
    <w:p w14:paraId="6C82A605" w14:textId="77777777" w:rsidR="006A61DF" w:rsidRPr="00BE4F5D" w:rsidRDefault="006A61DF" w:rsidP="006A61DF">
      <w:pPr>
        <w:spacing w:before="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 xml:space="preserve">La intención del legislador, de la cual dan cuenta los antecedentes legislativos de la norma </w:t>
      </w:r>
      <w:r w:rsidRPr="00BE4F5D">
        <w:rPr>
          <w:rFonts w:ascii="Arial" w:hAnsi="Arial" w:cs="Arial"/>
          <w:i/>
          <w:iCs/>
          <w:color w:val="000000" w:themeColor="text1"/>
          <w:sz w:val="21"/>
          <w:szCs w:val="21"/>
        </w:rPr>
        <w:t>sub examine</w:t>
      </w:r>
      <w:r w:rsidRPr="00BE4F5D">
        <w:rPr>
          <w:rFonts w:ascii="Arial" w:hAnsi="Arial" w:cs="Arial"/>
          <w:color w:val="000000" w:themeColor="text1"/>
          <w:sz w:val="21"/>
          <w:szCs w:val="21"/>
        </w:rPr>
        <w:t>, también justifica la interpretación propuesta por esta Agencia, ya que fue hasta el cuarto debate legislativo en donde se incluyó el parágrafo comentado anteriormente</w:t>
      </w:r>
      <w:r w:rsidRPr="00BE4F5D">
        <w:rPr>
          <w:rFonts w:ascii="Arial" w:hAnsi="Arial" w:cs="Arial"/>
          <w:color w:val="000000" w:themeColor="text1"/>
          <w:sz w:val="21"/>
          <w:szCs w:val="21"/>
          <w:vertAlign w:val="superscript"/>
        </w:rPr>
        <w:footnoteReference w:id="9"/>
      </w:r>
      <w:r w:rsidRPr="00BE4F5D">
        <w:rPr>
          <w:rFonts w:ascii="Arial" w:hAnsi="Arial" w:cs="Arial"/>
          <w:color w:val="000000" w:themeColor="text1"/>
          <w:sz w:val="21"/>
          <w:szCs w:val="21"/>
        </w:rPr>
        <w:t xml:space="preserve">, lo que deja ver la necesidad que tenía el Congreso de aclarar que unos documentos no podrían ser tenidos como requisitos habilitantes, lo que da cuenta, a su vez, del reconocimiento tácito de la existencia de otros </w:t>
      </w:r>
      <w:r w:rsidRPr="00BE4F5D">
        <w:rPr>
          <w:rFonts w:ascii="Arial" w:hAnsi="Arial" w:cs="Arial"/>
          <w:color w:val="000000" w:themeColor="text1"/>
          <w:sz w:val="21"/>
          <w:szCs w:val="21"/>
        </w:rPr>
        <w:lastRenderedPageBreak/>
        <w:t>requisitos habilitantes, distintos a los cuatro que establece el artículo 5, parágrafo 1, de la Ley 1150 de 2007, reglamentados en el artículo 2.2.1.1.1.5.3 del Decreto 1082 de 2015</w:t>
      </w:r>
      <w:r w:rsidRPr="00BE4F5D">
        <w:rPr>
          <w:rStyle w:val="Refdenotaalpie"/>
          <w:rFonts w:ascii="Arial" w:hAnsi="Arial" w:cs="Arial"/>
          <w:color w:val="000000" w:themeColor="text1"/>
          <w:sz w:val="21"/>
          <w:szCs w:val="21"/>
        </w:rPr>
        <w:footnoteReference w:id="10"/>
      </w:r>
      <w:r w:rsidRPr="00BE4F5D">
        <w:rPr>
          <w:rFonts w:ascii="Arial" w:hAnsi="Arial" w:cs="Arial"/>
          <w:color w:val="000000" w:themeColor="text1"/>
          <w:sz w:val="21"/>
          <w:szCs w:val="21"/>
        </w:rPr>
        <w:t>.</w:t>
      </w:r>
    </w:p>
    <w:p w14:paraId="6B280D31" w14:textId="77777777" w:rsidR="006A61DF" w:rsidRPr="00BE4F5D" w:rsidRDefault="006A61DF" w:rsidP="006A61DF">
      <w:pPr>
        <w:spacing w:before="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 xml:space="preserve">Por otro lado, en el referido «Manual para determinar y verificar los requisitos habilitantes en los Procesos de Contratación» se determinaron los parámetros para </w:t>
      </w:r>
      <w:r w:rsidRPr="00BE4F5D">
        <w:rPr>
          <w:rFonts w:ascii="Arial" w:hAnsi="Arial" w:cs="Arial"/>
          <w:i/>
          <w:iCs/>
          <w:color w:val="000000" w:themeColor="text1"/>
          <w:sz w:val="21"/>
          <w:szCs w:val="21"/>
        </w:rPr>
        <w:t>establecer</w:t>
      </w:r>
      <w:r w:rsidRPr="00BE4F5D">
        <w:rPr>
          <w:rFonts w:ascii="Arial" w:hAnsi="Arial" w:cs="Arial"/>
          <w:color w:val="000000" w:themeColor="text1"/>
          <w:sz w:val="21"/>
          <w:szCs w:val="21"/>
        </w:rPr>
        <w:t xml:space="preserve">, </w:t>
      </w:r>
      <w:r w:rsidRPr="00BE4F5D">
        <w:rPr>
          <w:rFonts w:ascii="Arial" w:hAnsi="Arial" w:cs="Arial"/>
          <w:i/>
          <w:iCs/>
          <w:color w:val="000000" w:themeColor="text1"/>
          <w:sz w:val="21"/>
          <w:szCs w:val="21"/>
        </w:rPr>
        <w:t>acreditar</w:t>
      </w:r>
      <w:r w:rsidRPr="00BE4F5D">
        <w:rPr>
          <w:rFonts w:ascii="Arial" w:hAnsi="Arial" w:cs="Arial"/>
          <w:color w:val="000000" w:themeColor="text1"/>
          <w:sz w:val="21"/>
          <w:szCs w:val="21"/>
        </w:rPr>
        <w:t xml:space="preserve"> y </w:t>
      </w:r>
      <w:r w:rsidRPr="00BE4F5D">
        <w:rPr>
          <w:rFonts w:ascii="Arial" w:hAnsi="Arial" w:cs="Arial"/>
          <w:i/>
          <w:iCs/>
          <w:color w:val="000000" w:themeColor="text1"/>
          <w:sz w:val="21"/>
          <w:szCs w:val="21"/>
        </w:rPr>
        <w:t>subsanar</w:t>
      </w:r>
      <w:r w:rsidRPr="00BE4F5D">
        <w:rPr>
          <w:rFonts w:ascii="Arial" w:hAnsi="Arial" w:cs="Arial"/>
          <w:color w:val="000000" w:themeColor="text1"/>
          <w:sz w:val="21"/>
          <w:szCs w:val="21"/>
        </w:rPr>
        <w:t xml:space="preserve"> los requisitos habilitantes estudiados en los párrafos precedentes. Allí también se precisó que los requisitos habilitantes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7A8F08E8" w14:textId="77777777" w:rsidR="006A61DF" w:rsidRPr="00BE4F5D" w:rsidRDefault="006A61DF" w:rsidP="006A61DF">
      <w:pPr>
        <w:spacing w:before="120" w:after="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 xml:space="preserve">En consecuencia, corresponde a las entidades estatales, durante la etapa de planeación del contrato estatal, estudiar y </w:t>
      </w:r>
      <w:r w:rsidRPr="00BE4F5D">
        <w:rPr>
          <w:rFonts w:ascii="Arial" w:hAnsi="Arial" w:cs="Arial"/>
          <w:bCs/>
          <w:iCs/>
          <w:color w:val="000000" w:themeColor="text1"/>
          <w:sz w:val="21"/>
          <w:szCs w:val="21"/>
        </w:rPr>
        <w:t>determinar</w:t>
      </w:r>
      <w:r w:rsidRPr="00BE4F5D">
        <w:rPr>
          <w:rFonts w:ascii="Arial" w:hAnsi="Arial" w:cs="Arial"/>
          <w:color w:val="000000" w:themeColor="text1"/>
          <w:sz w:val="21"/>
          <w:szCs w:val="21"/>
        </w:rPr>
        <w:t xml:space="preserve"> los requisitos habilitantes que establecerán en los pliegos de condiciones, los cuales deben fijarse de forma adecuada y proporcional. Esto último, según se deriva de la lectura del artículo 2.2.1.1.1.6.2 del Decreto 1082 de 2015, debe hacerse de acuerdo con la naturaleza, el valor del contrato, la forma de pago, los </w:t>
      </w:r>
      <w:r w:rsidRPr="00BE4F5D">
        <w:rPr>
          <w:rFonts w:ascii="Arial" w:hAnsi="Arial" w:cs="Arial"/>
          <w:i/>
          <w:iCs/>
          <w:color w:val="000000" w:themeColor="text1"/>
          <w:sz w:val="21"/>
          <w:szCs w:val="21"/>
        </w:rPr>
        <w:t>riesgos</w:t>
      </w:r>
      <w:r w:rsidRPr="00BE4F5D">
        <w:rPr>
          <w:rFonts w:ascii="Arial" w:hAnsi="Arial" w:cs="Arial"/>
          <w:color w:val="000000" w:themeColor="text1"/>
          <w:sz w:val="21"/>
          <w:szCs w:val="21"/>
        </w:rPr>
        <w:t xml:space="preserve"> </w:t>
      </w:r>
      <w:r w:rsidRPr="00BE4F5D">
        <w:rPr>
          <w:rFonts w:ascii="Arial" w:hAnsi="Arial" w:cs="Arial"/>
          <w:i/>
          <w:iCs/>
          <w:color w:val="000000" w:themeColor="text1"/>
          <w:sz w:val="21"/>
          <w:szCs w:val="21"/>
        </w:rPr>
        <w:t>asociados al contrato</w:t>
      </w:r>
      <w:r w:rsidRPr="00BE4F5D">
        <w:rPr>
          <w:rFonts w:ascii="Arial" w:hAnsi="Arial" w:cs="Arial"/>
          <w:color w:val="000000" w:themeColor="text1"/>
          <w:sz w:val="21"/>
          <w:szCs w:val="21"/>
        </w:rPr>
        <w:t>, el plazo y la complejidad de ejecución del objeto</w:t>
      </w:r>
      <w:r w:rsidRPr="00BE4F5D">
        <w:rPr>
          <w:rStyle w:val="Refdenotaalpie"/>
          <w:rFonts w:ascii="Arial" w:hAnsi="Arial" w:cs="Arial"/>
          <w:b/>
          <w:color w:val="000000" w:themeColor="text1"/>
          <w:sz w:val="21"/>
          <w:szCs w:val="21"/>
          <w:lang w:eastAsia="es-ES_tradnl"/>
        </w:rPr>
        <w:footnoteReference w:id="11"/>
      </w:r>
      <w:r w:rsidRPr="00BE4F5D">
        <w:rPr>
          <w:rFonts w:ascii="Arial" w:hAnsi="Arial" w:cs="Arial"/>
          <w:color w:val="000000" w:themeColor="text1"/>
          <w:sz w:val="21"/>
          <w:szCs w:val="21"/>
        </w:rPr>
        <w:t xml:space="preserve">. Todo porque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 como, por ejemplo, el que estable el artículo 5, parágrafo 2, de la Ley </w:t>
      </w:r>
      <w:r w:rsidRPr="00BE4F5D">
        <w:rPr>
          <w:rFonts w:ascii="Arial" w:hAnsi="Arial" w:cs="Arial"/>
          <w:color w:val="000000" w:themeColor="text1"/>
          <w:sz w:val="21"/>
          <w:szCs w:val="21"/>
        </w:rPr>
        <w:lastRenderedPageBreak/>
        <w:t xml:space="preserve">1150 de 2007, relacionado con la prohibición de exigir certificaciones de sistemas de gestión de calidad como requisito habilitante. </w:t>
      </w:r>
    </w:p>
    <w:p w14:paraId="5C55B313" w14:textId="77777777" w:rsidR="006A61DF" w:rsidRPr="00BE4F5D" w:rsidRDefault="006A61DF" w:rsidP="006A61DF">
      <w:pPr>
        <w:spacing w:before="120" w:after="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 xml:space="preserve">Entonces, la Entidad Estatal debe verificar si los oferentes cumplen o no los requisitos habilitantes. El cumplimiento de los requisitos habilitantes en un Proceso de contratación no otorga puntaje alguno, excepto en el caso de la experiencia de los consultores, que de conformidad con el numeral 4 del artículo 5 de la Ley 1150 de 2007, estos serán factores de calificación, al respecto: </w:t>
      </w:r>
    </w:p>
    <w:p w14:paraId="5EC3D769" w14:textId="77777777" w:rsidR="006A61DF" w:rsidRPr="00BE4F5D" w:rsidRDefault="006A61DF" w:rsidP="006A61DF">
      <w:pPr>
        <w:spacing w:before="120" w:after="120" w:line="276" w:lineRule="auto"/>
        <w:ind w:left="708"/>
        <w:jc w:val="both"/>
        <w:rPr>
          <w:rFonts w:ascii="Arial" w:hAnsi="Arial" w:cs="Arial"/>
          <w:color w:val="000000" w:themeColor="text1"/>
          <w:sz w:val="20"/>
          <w:szCs w:val="20"/>
        </w:rPr>
      </w:pPr>
      <w:r w:rsidRPr="00BE4F5D">
        <w:rPr>
          <w:rFonts w:ascii="Arial" w:hAnsi="Arial" w:cs="Arial"/>
          <w:color w:val="000000" w:themeColor="text1"/>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1A2BCC7C" w14:textId="77777777" w:rsidR="006A61DF" w:rsidRPr="00BE4F5D" w:rsidRDefault="006A61DF" w:rsidP="006A61DF">
      <w:pPr>
        <w:spacing w:before="120" w:after="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Ahora bien,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1D5075C2" w14:textId="77777777" w:rsidR="006A61DF" w:rsidRPr="00BE4F5D" w:rsidRDefault="006A61DF" w:rsidP="006A61DF">
      <w:pPr>
        <w:spacing w:before="120" w:after="120" w:line="276" w:lineRule="auto"/>
        <w:ind w:firstLine="709"/>
        <w:jc w:val="both"/>
        <w:rPr>
          <w:rFonts w:ascii="Arial" w:hAnsi="Arial" w:cs="Arial"/>
          <w:color w:val="000000" w:themeColor="text1"/>
          <w:sz w:val="21"/>
          <w:szCs w:val="21"/>
        </w:rPr>
      </w:pPr>
      <w:r w:rsidRPr="00BE4F5D">
        <w:rPr>
          <w:rFonts w:ascii="Arial" w:hAnsi="Arial" w:cs="Arial"/>
          <w:color w:val="000000" w:themeColor="text1"/>
          <w:sz w:val="21"/>
          <w:szCs w:val="21"/>
        </w:rPr>
        <w:t xml:space="preserve">El </w:t>
      </w:r>
      <w:r w:rsidRPr="00BE4F5D">
        <w:rPr>
          <w:rFonts w:ascii="Arial" w:hAnsi="Arial" w:cs="Arial"/>
          <w:i/>
          <w:iCs/>
          <w:color w:val="000000" w:themeColor="text1"/>
          <w:sz w:val="21"/>
          <w:szCs w:val="21"/>
        </w:rPr>
        <w:t>principio de autonomía de la voluntad</w:t>
      </w:r>
      <w:r w:rsidRPr="00BE4F5D">
        <w:rPr>
          <w:rFonts w:ascii="Arial" w:hAnsi="Arial" w:cs="Arial"/>
          <w:color w:val="000000" w:themeColor="text1"/>
          <w:sz w:val="21"/>
          <w:szCs w:val="21"/>
        </w:rPr>
        <w:t>, reconocido en los artículos 13, 32 y 40 de la Ley 80 de 1993 para las entidades sometidas a esta, y en el artículo 1602 del Código Civil, para las exceptuadas de aquella, actúa entonces como el fundamento normativo que otorga a las entidades estatales competencia para que puedan solicitar requisitos habilitantes adicionales o diferentes a los establecidos en el numeral 1º del artículo 5 de la Ley 1150 de 2007. En realidad, lo que este numeral establece es una limitación a la discrecionalidad administrativa para la estipulación de los requisitos de participación, bajo la óptica de que si se incluyen los que aquel prevé, por regla general, no otorgan puntaje; pero tal enunciado no ha de interpretarse en el sentido de que las entidades solo pueden exigir, única y exclusivamente, dichos requisitos habilitantes. Esto en la medida que además de los argumentos que ya se han planteado, esa lectura negaría la autonomía reconocida en el Estatuto General de Contratación de la Administración Pública a los órganos del Estado para confeccionar el pliego de condiciones o los documentos equivalentes y, específicamente, para definir los requisitos que deben reunir los oferentes, según los factores advertidos durante los estudios previos, en armonía con los principios de legalidad y proporcionalidad.</w:t>
      </w:r>
    </w:p>
    <w:p w14:paraId="32C25C9C" w14:textId="77777777" w:rsidR="006A61DF" w:rsidRPr="00BE4F5D" w:rsidRDefault="006A61DF" w:rsidP="006A61DF">
      <w:pPr>
        <w:spacing w:before="120" w:line="276" w:lineRule="auto"/>
        <w:ind w:firstLine="709"/>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como el sugerido en la consulta, la entidad la carga justificativa de la entidad en los estudios previos y análisis del sector del proceso de selección, de conformidad con el artículo 2.2.1.1.1.6.2 del Decreto 1082 de 2015.</w:t>
      </w:r>
    </w:p>
    <w:p w14:paraId="65678AEF" w14:textId="77777777" w:rsidR="006A61DF" w:rsidRPr="00BE4F5D" w:rsidRDefault="006A61DF" w:rsidP="006A61DF">
      <w:pPr>
        <w:tabs>
          <w:tab w:val="left" w:pos="426"/>
        </w:tabs>
        <w:spacing w:before="120" w:line="276" w:lineRule="auto"/>
        <w:ind w:firstLine="709"/>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 xml:space="preserve">Como conclusión de lo anterior, puede decirse que aunque la Ley 1150 de 2007 estableció unos requisitos habilitantes para los proponentes: la capacidad jurídica, las condiciones de </w:t>
      </w:r>
      <w:r w:rsidRPr="00BE4F5D">
        <w:rPr>
          <w:rFonts w:ascii="Arial" w:eastAsia="Calibri" w:hAnsi="Arial" w:cs="Arial"/>
          <w:color w:val="000000" w:themeColor="text1"/>
          <w:sz w:val="21"/>
          <w:szCs w:val="21"/>
        </w:rPr>
        <w:lastRenderedPageBreak/>
        <w:t xml:space="preserve">experiencia, la capacidad financiera y la capacidad de organización, lo cierto es que los mismos no son taxativos; que los requisitos habilitantes deben ser establecidos por la entidad en cada proceso contractual de acuerdo con los parámetros fijados en el Decreto 1082 de 2015; y que una vez establecidos los requisitos habilitantes, quienes presenten ofertas deben acreditar que cumplen con ellos, so pena de que sus propuestas sean rechazadas. Esto sin perjuicio de la posibilidad de subsanarlas, cuando a ello haya lugar. </w:t>
      </w:r>
    </w:p>
    <w:p w14:paraId="5049F0DA" w14:textId="77777777" w:rsidR="006A61DF" w:rsidRPr="00BE4F5D" w:rsidRDefault="006A61DF" w:rsidP="006A61DF">
      <w:pPr>
        <w:spacing w:after="120" w:line="276" w:lineRule="auto"/>
        <w:jc w:val="both"/>
        <w:rPr>
          <w:rFonts w:ascii="Arial" w:hAnsi="Arial" w:cs="Arial"/>
          <w:b/>
          <w:bCs/>
          <w:color w:val="000000" w:themeColor="text1"/>
          <w:sz w:val="21"/>
          <w:szCs w:val="21"/>
        </w:rPr>
      </w:pPr>
      <w:r w:rsidRPr="00BE4F5D">
        <w:rPr>
          <w:rFonts w:ascii="Arial" w:hAnsi="Arial" w:cs="Arial"/>
          <w:b/>
          <w:bCs/>
          <w:color w:val="000000" w:themeColor="text1"/>
          <w:sz w:val="21"/>
          <w:szCs w:val="21"/>
        </w:rPr>
        <w:t xml:space="preserve">2.3. Obligación del artículo 17 de la Ley 842 de 2003 </w:t>
      </w:r>
    </w:p>
    <w:p w14:paraId="3FA9C8F7" w14:textId="77777777" w:rsidR="006A61DF" w:rsidRPr="00BE4F5D" w:rsidRDefault="006A61DF" w:rsidP="006A61DF">
      <w:pPr>
        <w:spacing w:after="0" w:line="276" w:lineRule="auto"/>
        <w:contextualSpacing/>
        <w:jc w:val="both"/>
        <w:rPr>
          <w:rFonts w:ascii="Arial" w:hAnsi="Arial" w:cs="Arial"/>
          <w:color w:val="000000" w:themeColor="text1"/>
          <w:sz w:val="21"/>
          <w:szCs w:val="21"/>
        </w:rPr>
      </w:pPr>
      <w:r w:rsidRPr="00BE4F5D">
        <w:rPr>
          <w:rFonts w:ascii="Arial" w:hAnsi="Arial" w:cs="Arial"/>
          <w:color w:val="000000" w:themeColor="text1"/>
          <w:sz w:val="21"/>
          <w:szCs w:val="21"/>
        </w:rPr>
        <w:t xml:space="preserve">La Ley 842 de 2003, «Por la cual se modifica la reglamentación del ejercicio de la ingeniería, de sus profesiones afines y de sus profesiones auxiliares, se adopta el Código de Ética Profesional y se dictan otras disposiciones», en su artículo 17 establece una obligación para las personas jurídicas cuyas actividades corresponden al ejercicio de la ingeniería. En efecto, el artículo indicado establece la siguiente obligación legal: </w:t>
      </w:r>
    </w:p>
    <w:p w14:paraId="6F8F898A" w14:textId="77777777" w:rsidR="006A61DF" w:rsidRPr="00BE4F5D" w:rsidRDefault="006A61DF" w:rsidP="006A61DF">
      <w:pPr>
        <w:spacing w:after="0" w:line="276" w:lineRule="auto"/>
        <w:contextualSpacing/>
        <w:jc w:val="both"/>
        <w:rPr>
          <w:rFonts w:ascii="Arial" w:hAnsi="Arial" w:cs="Arial"/>
          <w:color w:val="000000" w:themeColor="text1"/>
          <w:sz w:val="21"/>
          <w:szCs w:val="21"/>
        </w:rPr>
      </w:pPr>
    </w:p>
    <w:p w14:paraId="709C5CDB" w14:textId="77777777" w:rsidR="006A61DF" w:rsidRPr="00BE4F5D" w:rsidRDefault="006A61DF" w:rsidP="006A61DF">
      <w:pPr>
        <w:spacing w:after="0" w:line="240" w:lineRule="auto"/>
        <w:ind w:left="709" w:right="709"/>
        <w:jc w:val="both"/>
        <w:rPr>
          <w:rFonts w:ascii="Arial" w:eastAsia="Calibri" w:hAnsi="Arial" w:cs="Arial"/>
          <w:color w:val="000000" w:themeColor="text1"/>
          <w:sz w:val="20"/>
          <w:szCs w:val="20"/>
        </w:rPr>
      </w:pPr>
      <w:r w:rsidRPr="00BE4F5D">
        <w:rPr>
          <w:rFonts w:ascii="Arial" w:eastAsia="Calibri" w:hAnsi="Arial" w:cs="Arial"/>
          <w:color w:val="000000" w:themeColor="text1"/>
          <w:sz w:val="20"/>
          <w:szCs w:val="20"/>
        </w:rPr>
        <w:t>Artículo 17. Responsabilidad de las personas jurídicas y de sus representantes. La sociedad, firma, empresa u organización profesional, cuyas actividades comprendan, en forma exclusiva o parcial, alguna o algunas de aquellas que correspondan al ejercicio de la ingeniería, de sus profesiones afines o de sus profesiones auxiliares, está obligada a incluir en su nómina permanente, como mínimo, a un profesional matriculado en la carrera correspondiente al objeto social de la respectiva persona jurídica.</w:t>
      </w:r>
    </w:p>
    <w:p w14:paraId="39A322CA" w14:textId="77777777" w:rsidR="006A61DF" w:rsidRPr="00BE4F5D" w:rsidRDefault="006A61DF" w:rsidP="006A61DF">
      <w:pPr>
        <w:spacing w:after="0" w:line="240" w:lineRule="auto"/>
        <w:ind w:left="709" w:right="709"/>
        <w:jc w:val="both"/>
        <w:rPr>
          <w:rFonts w:ascii="Arial" w:eastAsia="Calibri" w:hAnsi="Arial" w:cs="Arial"/>
          <w:color w:val="000000" w:themeColor="text1"/>
          <w:sz w:val="20"/>
          <w:szCs w:val="20"/>
        </w:rPr>
      </w:pPr>
    </w:p>
    <w:p w14:paraId="427A6225" w14:textId="77777777" w:rsidR="006A61DF" w:rsidRPr="00BE4F5D" w:rsidRDefault="006A61DF" w:rsidP="006A61DF">
      <w:pPr>
        <w:spacing w:after="0" w:line="240" w:lineRule="auto"/>
        <w:ind w:left="709" w:right="709"/>
        <w:jc w:val="both"/>
        <w:rPr>
          <w:rFonts w:ascii="Arial" w:eastAsia="Calibri" w:hAnsi="Arial" w:cs="Arial"/>
          <w:color w:val="000000" w:themeColor="text1"/>
          <w:sz w:val="20"/>
          <w:szCs w:val="20"/>
        </w:rPr>
      </w:pPr>
      <w:r w:rsidRPr="00BE4F5D">
        <w:rPr>
          <w:rFonts w:ascii="Arial" w:eastAsia="Calibri" w:hAnsi="Arial" w:cs="Arial"/>
          <w:color w:val="000000" w:themeColor="text1"/>
          <w:sz w:val="20"/>
          <w:szCs w:val="20"/>
        </w:rPr>
        <w:t>Parágrafo. Al representante legal de la persona jurídica que omita el cumplimiento de lo dispuesto en el presente artículo se le aplicarán las sanciones previstas para el ejercicio ilegal de profesión y oficio reglamentado, mediante la aplicación del procedimiento establecido para las contravenciones especiales de policía o aquel que lo sustituya.</w:t>
      </w:r>
    </w:p>
    <w:p w14:paraId="6C13F935" w14:textId="77777777" w:rsidR="006A61DF" w:rsidRPr="00BE4F5D" w:rsidRDefault="006A61DF" w:rsidP="006A61DF">
      <w:pPr>
        <w:spacing w:after="0" w:line="240" w:lineRule="auto"/>
        <w:ind w:right="709"/>
        <w:jc w:val="both"/>
        <w:rPr>
          <w:rFonts w:ascii="Arial" w:eastAsia="Calibri" w:hAnsi="Arial" w:cs="Arial"/>
          <w:color w:val="000000" w:themeColor="text1"/>
          <w:sz w:val="20"/>
          <w:szCs w:val="20"/>
        </w:rPr>
      </w:pPr>
    </w:p>
    <w:p w14:paraId="554C694D" w14:textId="77777777" w:rsidR="006A61DF" w:rsidRPr="00BE4F5D" w:rsidRDefault="006A61DF" w:rsidP="006A61DF">
      <w:pPr>
        <w:tabs>
          <w:tab w:val="left" w:pos="709"/>
          <w:tab w:val="left" w:pos="851"/>
        </w:tabs>
        <w:spacing w:after="120"/>
        <w:jc w:val="both"/>
        <w:rPr>
          <w:rFonts w:ascii="Arial" w:hAnsi="Arial" w:cs="Arial"/>
          <w:color w:val="000000" w:themeColor="text1"/>
          <w:sz w:val="21"/>
          <w:szCs w:val="18"/>
        </w:rPr>
      </w:pPr>
      <w:r w:rsidRPr="00BE4F5D">
        <w:rPr>
          <w:rFonts w:ascii="Arial" w:eastAsia="Calibri" w:hAnsi="Arial" w:cs="Arial"/>
          <w:color w:val="000000" w:themeColor="text1"/>
          <w:sz w:val="21"/>
          <w:szCs w:val="21"/>
        </w:rPr>
        <w:tab/>
        <w:t xml:space="preserve">El artículo citado establece el deber para las personas jurídicas que se dedican a la actividad de la ingeniería, de </w:t>
      </w:r>
      <w:r w:rsidRPr="00BE4F5D">
        <w:rPr>
          <w:rFonts w:ascii="Arial" w:hAnsi="Arial" w:cs="Arial"/>
          <w:color w:val="000000" w:themeColor="text1"/>
          <w:sz w:val="21"/>
          <w:szCs w:val="18"/>
        </w:rPr>
        <w:t>incluir en su «nómina permanente» al menos a un profesional matriculado en la carrera correspondiente al objeto social de la persona jurídica. Sin embargo, pese a la existencia de dicho deber, no establece una consecuencia particular frente a su incidencia en los procedimientos de selección adelantados por las entidades estatales, como sería la imposibilidad de participar en dichos procesos ante la inobservancia del cumplimiento de dicha exigencia o el deber de presentar algún documento para acreditar el cumplimiento de dicha obligación en el desarrollo de tales procesos contractuales.</w:t>
      </w:r>
    </w:p>
    <w:p w14:paraId="6F70A355" w14:textId="77777777" w:rsidR="006A61DF" w:rsidRPr="00BE4F5D" w:rsidRDefault="006A61DF" w:rsidP="006A61DF">
      <w:pPr>
        <w:tabs>
          <w:tab w:val="left" w:pos="709"/>
          <w:tab w:val="left" w:pos="851"/>
        </w:tabs>
        <w:spacing w:after="120"/>
        <w:jc w:val="both"/>
        <w:rPr>
          <w:rFonts w:ascii="Arial" w:hAnsi="Arial" w:cs="Arial"/>
          <w:color w:val="000000" w:themeColor="text1"/>
          <w:sz w:val="21"/>
          <w:szCs w:val="18"/>
        </w:rPr>
      </w:pPr>
      <w:r w:rsidRPr="00BE4F5D">
        <w:rPr>
          <w:rFonts w:ascii="Arial" w:hAnsi="Arial" w:cs="Arial"/>
          <w:color w:val="000000" w:themeColor="text1"/>
          <w:sz w:val="21"/>
          <w:szCs w:val="18"/>
        </w:rPr>
        <w:tab/>
        <w:t>A diferencia de la norma citada, y a modo de ejemplo, el artículo 20 de la misma ley sí tiene una exigencia y relación directa con las propuestas presentadas en los procesos de licitación pública, al exigir que aquellas presentadas en procesos cuyo objeto implique el desarrollo de las actividades catalogadas como ejercicio de la ingeniería, deben estar avaladas ‒o abonadas‒ por un ingeniero inscrito y con tarjeta de matrícula profesional en la respectiva rama de la ingeniería. Así, dicha obligación se refiere al cumplimiento de un requisito impuesto por el legislador que deben cumplir los proponentes con la presentación de sus ofertas</w:t>
      </w:r>
      <w:r w:rsidRPr="00BE4F5D">
        <w:rPr>
          <w:rStyle w:val="Refdenotaalpie"/>
          <w:rFonts w:ascii="Arial" w:hAnsi="Arial" w:cs="Arial"/>
          <w:color w:val="000000" w:themeColor="text1"/>
          <w:sz w:val="21"/>
          <w:szCs w:val="18"/>
        </w:rPr>
        <w:footnoteReference w:id="12"/>
      </w:r>
      <w:r w:rsidRPr="00BE4F5D">
        <w:rPr>
          <w:rFonts w:ascii="Arial" w:hAnsi="Arial" w:cs="Arial"/>
          <w:color w:val="000000" w:themeColor="text1"/>
          <w:sz w:val="21"/>
          <w:szCs w:val="18"/>
        </w:rPr>
        <w:t xml:space="preserve">. Por el contrario, retomando el artículo 17 analizado, </w:t>
      </w:r>
      <w:r w:rsidRPr="00BE4F5D">
        <w:rPr>
          <w:rFonts w:ascii="Arial" w:hAnsi="Arial" w:cs="Arial"/>
          <w:color w:val="000000" w:themeColor="text1"/>
          <w:sz w:val="21"/>
          <w:szCs w:val="18"/>
        </w:rPr>
        <w:lastRenderedPageBreak/>
        <w:t>debe tenerse en cuenta que el parágrafo de la disposición citada establece la consecuencia concreta frente al incumplimiento del deber legal establecido en dicho artículo. Nótese que la consecuencia no se relaciona con la imposibilidad de participar en los procedimientos de selección o la exigencia de acreditar su cumplimiento en dichos procedimientos; sino que prescribe una sanción concreta para el representante legal de la sociedad que incumpla el deber establecido en la disposición, al señalarse que «se aplicarán las sanciones previstas para el ejercicio ilegal de la profesión y oficio reglamentado».</w:t>
      </w:r>
    </w:p>
    <w:p w14:paraId="4F36F774" w14:textId="77777777" w:rsidR="006A61DF" w:rsidRPr="00BE4F5D" w:rsidRDefault="006A61DF" w:rsidP="006A61DF">
      <w:pPr>
        <w:tabs>
          <w:tab w:val="left" w:pos="709"/>
          <w:tab w:val="left" w:pos="851"/>
        </w:tabs>
        <w:spacing w:after="120"/>
        <w:jc w:val="both"/>
        <w:rPr>
          <w:rFonts w:ascii="Arial" w:hAnsi="Arial" w:cs="Arial"/>
          <w:color w:val="000000" w:themeColor="text1"/>
          <w:sz w:val="21"/>
          <w:szCs w:val="18"/>
        </w:rPr>
      </w:pPr>
      <w:r w:rsidRPr="00BE4F5D">
        <w:rPr>
          <w:rFonts w:ascii="Arial" w:hAnsi="Arial" w:cs="Arial"/>
          <w:color w:val="000000" w:themeColor="text1"/>
          <w:sz w:val="21"/>
          <w:szCs w:val="18"/>
        </w:rPr>
        <w:tab/>
        <w:t>En tal sentido, la consecuencia aparejada al incumplimiento del deber establecido en el artículo 17 se dirige directamente a sancionar al representante legal de la sociedad, sin que se establezca alguna consecuencia frente a la capacidad de la sociedad para participar en procedimientos de selección de contratistas.</w:t>
      </w:r>
    </w:p>
    <w:bookmarkEnd w:id="2"/>
    <w:p w14:paraId="0ABFF57C" w14:textId="77777777" w:rsidR="006A61DF" w:rsidRPr="00BE4F5D" w:rsidRDefault="006A61DF" w:rsidP="006A61DF">
      <w:pPr>
        <w:tabs>
          <w:tab w:val="left" w:pos="709"/>
        </w:tabs>
        <w:spacing w:after="0" w:line="276" w:lineRule="auto"/>
        <w:contextualSpacing/>
        <w:jc w:val="both"/>
        <w:rPr>
          <w:rFonts w:ascii="Arial" w:eastAsia="Calibri" w:hAnsi="Arial" w:cs="Arial"/>
          <w:b/>
          <w:color w:val="000000" w:themeColor="text1"/>
          <w:sz w:val="21"/>
          <w:szCs w:val="21"/>
        </w:rPr>
      </w:pPr>
    </w:p>
    <w:p w14:paraId="01394F72" w14:textId="77777777" w:rsidR="006A61DF" w:rsidRPr="00BE4F5D" w:rsidRDefault="006A61DF" w:rsidP="006A61DF">
      <w:pPr>
        <w:tabs>
          <w:tab w:val="left" w:pos="709"/>
        </w:tabs>
        <w:spacing w:after="0" w:line="276" w:lineRule="auto"/>
        <w:contextualSpacing/>
        <w:jc w:val="both"/>
        <w:rPr>
          <w:rFonts w:ascii="Arial" w:eastAsia="Calibri" w:hAnsi="Arial" w:cs="Arial"/>
          <w:b/>
          <w:color w:val="000000" w:themeColor="text1"/>
          <w:sz w:val="21"/>
          <w:szCs w:val="21"/>
        </w:rPr>
      </w:pPr>
      <w:r w:rsidRPr="00BE4F5D">
        <w:rPr>
          <w:rFonts w:ascii="Arial" w:eastAsia="Calibri" w:hAnsi="Arial" w:cs="Arial"/>
          <w:b/>
          <w:color w:val="000000" w:themeColor="text1"/>
          <w:sz w:val="21"/>
          <w:szCs w:val="21"/>
        </w:rPr>
        <w:t>3. Respuesta</w:t>
      </w:r>
    </w:p>
    <w:p w14:paraId="0EA98123" w14:textId="77777777" w:rsidR="006A61DF" w:rsidRPr="00BE4F5D" w:rsidRDefault="006A61DF" w:rsidP="006A61DF">
      <w:pPr>
        <w:tabs>
          <w:tab w:val="left" w:pos="709"/>
        </w:tabs>
        <w:spacing w:after="0" w:line="276" w:lineRule="auto"/>
        <w:contextualSpacing/>
        <w:jc w:val="both"/>
        <w:rPr>
          <w:rFonts w:ascii="Arial" w:eastAsia="Calibri" w:hAnsi="Arial" w:cs="Arial"/>
          <w:b/>
          <w:color w:val="000000" w:themeColor="text1"/>
          <w:sz w:val="21"/>
          <w:szCs w:val="21"/>
        </w:rPr>
      </w:pPr>
    </w:p>
    <w:p w14:paraId="17CBE273" w14:textId="77777777"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 xml:space="preserve">«1. Teniendo en cuenta el efecto erga omnes de la mencionada Ley ¿Este requisito (Artículo 17) puede incluirse dentro de los pliegos de condiciones de un concurso de méritos como uno de los requisitos habilitantes? </w:t>
      </w:r>
    </w:p>
    <w:p w14:paraId="03BB26BE" w14:textId="77777777" w:rsidR="006A61DF" w:rsidRPr="00BE4F5D" w:rsidRDefault="006A61DF" w:rsidP="006A61DF">
      <w:pPr>
        <w:pStyle w:val="Default"/>
        <w:ind w:left="708" w:right="899"/>
        <w:jc w:val="both"/>
        <w:rPr>
          <w:color w:val="000000" w:themeColor="text1"/>
          <w:sz w:val="20"/>
          <w:szCs w:val="20"/>
          <w:lang w:val="es-ES_tradnl"/>
        </w:rPr>
      </w:pPr>
    </w:p>
    <w:p w14:paraId="3DC9F165" w14:textId="77777777" w:rsidR="006A61DF" w:rsidRPr="00BE4F5D" w:rsidRDefault="006A61DF" w:rsidP="006A61DF">
      <w:pPr>
        <w:pStyle w:val="Default"/>
        <w:spacing w:line="276" w:lineRule="auto"/>
        <w:ind w:right="48"/>
        <w:jc w:val="both"/>
        <w:rPr>
          <w:color w:val="000000" w:themeColor="text1"/>
          <w:sz w:val="21"/>
          <w:szCs w:val="21"/>
        </w:rPr>
      </w:pPr>
      <w:r w:rsidRPr="00BE4F5D">
        <w:rPr>
          <w:color w:val="000000" w:themeColor="text1"/>
          <w:sz w:val="21"/>
          <w:szCs w:val="21"/>
          <w:lang w:val="es-ES_tradnl"/>
        </w:rPr>
        <w:t xml:space="preserve">La obligación establecida en el artículo 17 de la Ley 842 de 2003, de incluir </w:t>
      </w:r>
      <w:r w:rsidRPr="00BE4F5D">
        <w:rPr>
          <w:color w:val="000000" w:themeColor="text1"/>
          <w:sz w:val="21"/>
          <w:szCs w:val="21"/>
        </w:rPr>
        <w:t>en su «nómina permanente» al menos a un profesional matriculado en la carrera correspondiente al objeto social de la persona jurídica, no establece una consecuencia particular frente a su incidencia en los procedimientos de selección adelantados por las entidades estatales, como sería la imposibilidad de participar en dichos procesos ante la inobservancia del cumplimiento de dicha exigencia o el deber de presentar algún documento para acreditar el cumplimiento de dicha obligación en el desarrollo de tales procesos contractuales.</w:t>
      </w:r>
    </w:p>
    <w:p w14:paraId="073E91E4" w14:textId="77777777" w:rsidR="006A61DF" w:rsidRPr="00BE4F5D" w:rsidRDefault="006A61DF" w:rsidP="006A61DF">
      <w:pPr>
        <w:pStyle w:val="Default"/>
        <w:spacing w:line="276" w:lineRule="auto"/>
        <w:ind w:right="48"/>
        <w:jc w:val="both"/>
        <w:rPr>
          <w:color w:val="000000" w:themeColor="text1"/>
          <w:sz w:val="21"/>
          <w:szCs w:val="21"/>
        </w:rPr>
      </w:pPr>
    </w:p>
    <w:p w14:paraId="066F79B3" w14:textId="1AAB65CF" w:rsidR="006A61DF" w:rsidRPr="00BE4F5D" w:rsidRDefault="006A61DF" w:rsidP="006A61DF">
      <w:pPr>
        <w:spacing w:after="120" w:line="276" w:lineRule="auto"/>
        <w:ind w:firstLine="708"/>
        <w:jc w:val="both"/>
        <w:rPr>
          <w:rFonts w:ascii="Arial" w:eastAsia="Times New Roman" w:hAnsi="Arial" w:cs="Arial"/>
          <w:color w:val="000000" w:themeColor="text1"/>
          <w:sz w:val="21"/>
          <w:szCs w:val="21"/>
          <w:bdr w:val="none" w:sz="0" w:space="0" w:color="auto" w:frame="1"/>
          <w:lang w:eastAsia="es-MX"/>
        </w:rPr>
      </w:pPr>
      <w:r w:rsidRPr="00BE4F5D">
        <w:rPr>
          <w:rFonts w:ascii="Arial" w:hAnsi="Arial" w:cs="Arial"/>
          <w:color w:val="000000" w:themeColor="text1"/>
          <w:sz w:val="21"/>
          <w:szCs w:val="21"/>
        </w:rPr>
        <w:t xml:space="preserve">Sin perjuicio de lo anterior, es importante poner de presente que, </w:t>
      </w:r>
      <w:r w:rsidRPr="00BE4F5D">
        <w:rPr>
          <w:rFonts w:ascii="Arial" w:eastAsia="Times New Roman" w:hAnsi="Arial" w:cs="Arial"/>
          <w:color w:val="000000" w:themeColor="text1"/>
          <w:sz w:val="21"/>
          <w:szCs w:val="21"/>
          <w:bdr w:val="none" w:sz="0" w:space="0" w:color="auto" w:frame="1"/>
          <w:lang w:eastAsia="es-MX"/>
        </w:rPr>
        <w:t xml:space="preserve">en nuestro ordenamiento jurídico, a efectos de la determinación de los requisitos habilitantes en cada proceso contractual, no existe una configuración taxativa. Por el contrario, las </w:t>
      </w:r>
      <w:r w:rsidR="4F5307DD" w:rsidRPr="00BE4F5D">
        <w:rPr>
          <w:rFonts w:ascii="Arial" w:eastAsia="Times New Roman" w:hAnsi="Arial" w:cs="Arial"/>
          <w:color w:val="000000" w:themeColor="text1"/>
          <w:sz w:val="21"/>
          <w:szCs w:val="21"/>
          <w:bdr w:val="none" w:sz="0" w:space="0" w:color="auto" w:frame="1"/>
          <w:lang w:eastAsia="es-MX"/>
        </w:rPr>
        <w:t>E</w:t>
      </w:r>
      <w:r w:rsidR="0914F3F0" w:rsidRPr="00BE4F5D">
        <w:rPr>
          <w:rFonts w:ascii="Arial" w:eastAsia="Times New Roman" w:hAnsi="Arial" w:cs="Arial"/>
          <w:color w:val="000000" w:themeColor="text1"/>
          <w:sz w:val="21"/>
          <w:szCs w:val="21"/>
          <w:bdr w:val="none" w:sz="0" w:space="0" w:color="auto" w:frame="1"/>
          <w:lang w:eastAsia="es-MX"/>
        </w:rPr>
        <w:t xml:space="preserve">ntidades </w:t>
      </w:r>
      <w:r w:rsidR="3B926E2E" w:rsidRPr="00BE4F5D">
        <w:rPr>
          <w:rFonts w:ascii="Arial" w:eastAsia="Times New Roman" w:hAnsi="Arial" w:cs="Arial"/>
          <w:color w:val="000000" w:themeColor="text1"/>
          <w:sz w:val="21"/>
          <w:szCs w:val="21"/>
          <w:bdr w:val="none" w:sz="0" w:space="0" w:color="auto" w:frame="1"/>
          <w:lang w:eastAsia="es-MX"/>
        </w:rPr>
        <w:t>E</w:t>
      </w:r>
      <w:r w:rsidRPr="00BE4F5D">
        <w:rPr>
          <w:rFonts w:ascii="Arial" w:eastAsia="Times New Roman" w:hAnsi="Arial" w:cs="Arial"/>
          <w:color w:val="000000" w:themeColor="text1"/>
          <w:sz w:val="21"/>
          <w:szCs w:val="21"/>
          <w:bdr w:val="none" w:sz="0" w:space="0" w:color="auto" w:frame="1"/>
          <w:lang w:eastAsia="es-MX"/>
        </w:rPr>
        <w:t xml:space="preserve">statales, en ejercicio de su autonomía de la voluntad, deben decidir el contenido de los requisitos habilitantes que en cada caso o proceso de selección permitirán comprobar que los eventuales oferentes puedan estar habilitados para participar. En ese sentido, las entidades estatales podrán optar por aplicar los requisitos habilitantes teniendo en cuenta lo establecido en el artículo 6 de la Ley 1150 de 2007 (numerales 1 y 4), o si opta por aplicar requisitos adicionales a estos, como, por ejemplo, lo establecido en el artículo 17 de la Ley 842 de 2003. </w:t>
      </w:r>
    </w:p>
    <w:p w14:paraId="7D9C7F65" w14:textId="77777777" w:rsidR="006A61DF" w:rsidRPr="00BE4F5D" w:rsidRDefault="006A61DF" w:rsidP="006A61DF">
      <w:pPr>
        <w:pStyle w:val="Default"/>
        <w:ind w:left="708" w:right="899"/>
        <w:jc w:val="both"/>
        <w:rPr>
          <w:color w:val="000000" w:themeColor="text1"/>
          <w:sz w:val="20"/>
          <w:szCs w:val="20"/>
          <w:lang w:val="es-ES_tradnl"/>
        </w:rPr>
      </w:pPr>
    </w:p>
    <w:p w14:paraId="77D04ECF" w14:textId="77777777"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 xml:space="preserve">2. Ahora bien, los proponentes que se presentan a las diferentes modalidades de selección en forma individual o conjunta, que realizan actividades de ingeniería total o parcialmente, pero que no demuestres que cuentan con personal en ingeniería dentro de su planta de trabajo o nómina permanente, ¿Tendrían que ser rechazados de los procesos de selección con entidades públicas? Insisto, causal de rechazo que sería consecuencia del efecto erga omnes de la ley. </w:t>
      </w:r>
    </w:p>
    <w:p w14:paraId="0D6C44A0" w14:textId="77777777" w:rsidR="006A61DF" w:rsidRPr="00BE4F5D" w:rsidRDefault="006A61DF" w:rsidP="006A61DF">
      <w:pPr>
        <w:pStyle w:val="Default"/>
        <w:ind w:right="899"/>
        <w:jc w:val="both"/>
        <w:rPr>
          <w:color w:val="000000" w:themeColor="text1"/>
          <w:sz w:val="20"/>
          <w:szCs w:val="20"/>
          <w:lang w:val="es-ES_tradnl"/>
        </w:rPr>
      </w:pPr>
    </w:p>
    <w:p w14:paraId="0D91777C" w14:textId="77777777" w:rsidR="006A61DF" w:rsidRPr="00BE4F5D" w:rsidRDefault="006A61DF" w:rsidP="006A61DF">
      <w:pPr>
        <w:tabs>
          <w:tab w:val="left" w:pos="8789"/>
        </w:tabs>
        <w:spacing w:after="0" w:line="276" w:lineRule="auto"/>
        <w:jc w:val="both"/>
        <w:rPr>
          <w:rFonts w:ascii="Arial" w:hAnsi="Arial" w:cs="Arial"/>
          <w:color w:val="000000" w:themeColor="text1"/>
          <w:sz w:val="21"/>
          <w:szCs w:val="21"/>
        </w:rPr>
      </w:pPr>
      <w:r w:rsidRPr="00BE4F5D">
        <w:rPr>
          <w:rFonts w:ascii="Arial" w:hAnsi="Arial" w:cs="Arial"/>
          <w:color w:val="000000" w:themeColor="text1"/>
          <w:sz w:val="21"/>
          <w:szCs w:val="21"/>
        </w:rPr>
        <w:t xml:space="preserve">De conformidad con las consideraciones de este concepto, se concluye que el artículo 17 de la Ley 842 de 2003 no establece ninguna consecuencia jurídica frente a la capacidad de la sociedad para participar en procedimientos de selección de contratistas. El incumplimiento de esta obligación no se encuentra establecida como causal de rechazo de las ofertas, a menos, que las Entidades Estatales en virtud del principio de la autonomía de la voluntad decidan incluirlo como requisito habilitante o como causal de rechazo de la oferta. </w:t>
      </w:r>
    </w:p>
    <w:p w14:paraId="20A17CDB" w14:textId="77777777" w:rsidR="006A61DF" w:rsidRPr="00BE4F5D" w:rsidRDefault="006A61DF" w:rsidP="006A61DF">
      <w:pPr>
        <w:tabs>
          <w:tab w:val="left" w:pos="8789"/>
        </w:tabs>
        <w:spacing w:after="0" w:line="276" w:lineRule="auto"/>
        <w:jc w:val="both"/>
        <w:rPr>
          <w:rFonts w:ascii="Arial" w:hAnsi="Arial" w:cs="Arial"/>
          <w:color w:val="000000" w:themeColor="text1"/>
          <w:sz w:val="21"/>
          <w:szCs w:val="21"/>
        </w:rPr>
      </w:pPr>
    </w:p>
    <w:p w14:paraId="6E3FA8DC" w14:textId="77777777" w:rsidR="006A61DF" w:rsidRPr="00BE4F5D" w:rsidRDefault="006A61DF" w:rsidP="006A61DF">
      <w:pPr>
        <w:spacing w:after="0" w:line="276" w:lineRule="auto"/>
        <w:ind w:firstLine="708"/>
        <w:jc w:val="both"/>
        <w:rPr>
          <w:rFonts w:ascii="Arial" w:hAnsi="Arial" w:cs="Arial"/>
          <w:color w:val="000000" w:themeColor="text1"/>
          <w:sz w:val="21"/>
          <w:szCs w:val="21"/>
        </w:rPr>
      </w:pPr>
      <w:r w:rsidRPr="00BE4F5D">
        <w:rPr>
          <w:rFonts w:ascii="Arial" w:hAnsi="Arial" w:cs="Arial"/>
          <w:color w:val="000000" w:themeColor="text1"/>
          <w:sz w:val="21"/>
          <w:szCs w:val="21"/>
        </w:rPr>
        <w:t>Debe destacarse, que la única consecuencia que se señala en la ley es la establecida en el parágrafo del artículo 17, relacionada con una sanción concreta para el representante legal de la sociedad que incumpla el deber establecido en la disposición, al contemplarse que «se aplicarán las sanciones previstas para el ejercicio ilegal de la profesión y oficio reglamentado».</w:t>
      </w:r>
    </w:p>
    <w:p w14:paraId="1B3DEED1" w14:textId="77777777" w:rsidR="006A61DF" w:rsidRPr="00BE4F5D" w:rsidRDefault="006A61DF" w:rsidP="006A61DF">
      <w:pPr>
        <w:pStyle w:val="Default"/>
        <w:ind w:left="708" w:right="899"/>
        <w:jc w:val="both"/>
        <w:rPr>
          <w:color w:val="000000" w:themeColor="text1"/>
          <w:sz w:val="20"/>
          <w:szCs w:val="20"/>
          <w:lang w:val="es-ES_tradnl"/>
        </w:rPr>
      </w:pPr>
    </w:p>
    <w:p w14:paraId="31FF9B2C"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3. ¿La aplicación de la Ley en comento debe exigirse como requisito jurídico y habilitante desde una entidad estatal para concursos de mérito de proyectos o contratos de consultoría en ingeniería de obras civiles? </w:t>
      </w:r>
    </w:p>
    <w:p w14:paraId="35F0B942"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4. ¿La aplicación de la Ley en comento debe exigirse como requisito jurídico y habilitante desde una entidad estatal para concursos de mérito de proyectos o contratos de Consultoría o interventoría en ingeniería de telecomunicaciones y electrónica? </w:t>
      </w:r>
    </w:p>
    <w:p w14:paraId="6EFFDD62" w14:textId="77777777" w:rsidR="006A61DF" w:rsidRPr="00BE4F5D" w:rsidRDefault="006A61DF" w:rsidP="006A61DF">
      <w:pPr>
        <w:pStyle w:val="Default"/>
        <w:spacing w:after="26"/>
        <w:ind w:left="708" w:right="899"/>
        <w:jc w:val="both"/>
        <w:rPr>
          <w:color w:val="000000" w:themeColor="text1"/>
          <w:sz w:val="20"/>
          <w:szCs w:val="20"/>
          <w:lang w:val="es-ES_tradnl"/>
        </w:rPr>
      </w:pPr>
      <w:r w:rsidRPr="00BE4F5D">
        <w:rPr>
          <w:color w:val="000000" w:themeColor="text1"/>
          <w:sz w:val="20"/>
          <w:szCs w:val="20"/>
          <w:lang w:val="es-ES_tradnl"/>
        </w:rPr>
        <w:t xml:space="preserve">5. ¿La aplicación de la Ley en comento debe exigirse como requisito jurídico y habilitante desde una entidad estatal para concursos de mérito de proyectos o contratos de Consultoría en ingeniería eléctrica (energía convencional y no convencional o alternativa)? </w:t>
      </w:r>
    </w:p>
    <w:p w14:paraId="68DCF295" w14:textId="77777777" w:rsidR="006A61DF" w:rsidRPr="00BE4F5D" w:rsidRDefault="006A61DF" w:rsidP="006A61DF">
      <w:pPr>
        <w:pStyle w:val="Default"/>
        <w:ind w:left="708" w:right="899"/>
        <w:jc w:val="both"/>
        <w:rPr>
          <w:color w:val="000000" w:themeColor="text1"/>
          <w:sz w:val="20"/>
          <w:szCs w:val="20"/>
          <w:lang w:val="es-ES_tradnl"/>
        </w:rPr>
      </w:pPr>
      <w:r w:rsidRPr="00BE4F5D">
        <w:rPr>
          <w:color w:val="000000" w:themeColor="text1"/>
          <w:sz w:val="20"/>
          <w:szCs w:val="20"/>
          <w:lang w:val="es-ES_tradnl"/>
        </w:rPr>
        <w:t>6. ¿La aplicación de la Ley en comento debe exigirse como requisito jurídico y habilitante desde una entidad estatal para concursos de mérito de proyectos o contratos de Consultoría de proyectos de ingeniería de sistemas de información?»</w:t>
      </w:r>
    </w:p>
    <w:p w14:paraId="7F53333D" w14:textId="77777777" w:rsidR="006A61DF" w:rsidRPr="00BE4F5D" w:rsidRDefault="006A61DF" w:rsidP="006A61DF">
      <w:pPr>
        <w:spacing w:after="120" w:line="276" w:lineRule="auto"/>
        <w:jc w:val="both"/>
        <w:rPr>
          <w:rFonts w:ascii="Arial" w:hAnsi="Arial" w:cs="Arial"/>
          <w:color w:val="000000" w:themeColor="text1"/>
          <w:sz w:val="21"/>
          <w:szCs w:val="21"/>
        </w:rPr>
      </w:pPr>
    </w:p>
    <w:p w14:paraId="35E1A7B1" w14:textId="00EDE646" w:rsidR="006A61DF" w:rsidRPr="00BE4F5D" w:rsidRDefault="006A61DF" w:rsidP="006A61DF">
      <w:pPr>
        <w:tabs>
          <w:tab w:val="left" w:pos="426"/>
        </w:tabs>
        <w:spacing w:before="120" w:line="276" w:lineRule="auto"/>
        <w:ind w:firstLine="709"/>
        <w:jc w:val="both"/>
        <w:rPr>
          <w:rFonts w:ascii="Arial" w:eastAsia="Calibri" w:hAnsi="Arial" w:cs="Arial"/>
          <w:bCs/>
          <w:color w:val="000000" w:themeColor="text1"/>
          <w:sz w:val="21"/>
          <w:szCs w:val="21"/>
        </w:rPr>
      </w:pPr>
      <w:r w:rsidRPr="00BE4F5D">
        <w:rPr>
          <w:rFonts w:ascii="Arial" w:hAnsi="Arial" w:cs="Arial"/>
          <w:color w:val="000000" w:themeColor="text1"/>
          <w:sz w:val="21"/>
          <w:szCs w:val="21"/>
        </w:rPr>
        <w:t xml:space="preserve">Se reitera, que la Ley 1150 de 2007, en el numeral 1, estableció unos requisitos habilitantes para los proponentes: </w:t>
      </w:r>
      <w:r w:rsidRPr="00BE4F5D">
        <w:rPr>
          <w:rFonts w:ascii="Arial" w:eastAsia="Calibri" w:hAnsi="Arial" w:cs="Arial"/>
          <w:color w:val="000000" w:themeColor="text1"/>
          <w:sz w:val="21"/>
          <w:szCs w:val="21"/>
        </w:rPr>
        <w:t xml:space="preserve">la capacidad jurídica, las condiciones de experiencia, la capacidad financiera y la capacidad de organización, haciendo la salvedad, que, para el </w:t>
      </w:r>
      <w:r w:rsidR="2CC9608F" w:rsidRPr="3182D37E">
        <w:rPr>
          <w:rFonts w:ascii="Arial" w:eastAsia="Calibri" w:hAnsi="Arial" w:cs="Arial"/>
          <w:color w:val="000000" w:themeColor="text1"/>
          <w:sz w:val="21"/>
          <w:szCs w:val="21"/>
        </w:rPr>
        <w:t>P</w:t>
      </w:r>
      <w:r w:rsidRPr="00BE4F5D">
        <w:rPr>
          <w:rFonts w:ascii="Arial" w:eastAsia="Calibri" w:hAnsi="Arial" w:cs="Arial"/>
          <w:color w:val="000000" w:themeColor="text1"/>
          <w:sz w:val="21"/>
          <w:szCs w:val="21"/>
        </w:rPr>
        <w:t xml:space="preserve">roceso de </w:t>
      </w:r>
      <w:r w:rsidR="682F753F" w:rsidRPr="3182D37E">
        <w:rPr>
          <w:rFonts w:ascii="Arial" w:eastAsia="Calibri" w:hAnsi="Arial" w:cs="Arial"/>
          <w:color w:val="000000" w:themeColor="text1"/>
          <w:sz w:val="21"/>
          <w:szCs w:val="21"/>
        </w:rPr>
        <w:t>Contratación</w:t>
      </w:r>
      <w:r w:rsidRPr="00BE4F5D">
        <w:rPr>
          <w:rFonts w:ascii="Arial" w:eastAsia="Calibri" w:hAnsi="Arial" w:cs="Arial"/>
          <w:color w:val="000000" w:themeColor="text1"/>
          <w:sz w:val="21"/>
          <w:szCs w:val="21"/>
        </w:rPr>
        <w:t xml:space="preserve"> de consultores, la experiencia será un factor de calificación (numeral 4), en todo caso, los requisitos habilitantes mencionados no son taxativos, y estos pueden ser establecidos por la entidad en cada proceso contractual de acuerdo con los parámetros fijados en el Decreto 1082 de 2015; y que una vez establecidos los requisitos habilitantes, quienes presenten ofertas deben acreditar que cumplen con ellos, so pena de que sus propuestas sean rechazadas. Esto sin perjuicio de la posibilidad de subsanarlas, cuando a ello haya lugar. </w:t>
      </w:r>
    </w:p>
    <w:p w14:paraId="2CEB06F2" w14:textId="77777777" w:rsidR="006A61DF" w:rsidRPr="00BE4F5D" w:rsidRDefault="006A61DF" w:rsidP="006A61DF">
      <w:pPr>
        <w:spacing w:after="120" w:line="276" w:lineRule="auto"/>
        <w:ind w:firstLine="708"/>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lastRenderedPageBreak/>
        <w:t xml:space="preserve">Por lo tanto, dependerá de la entidad estatal si en virtud de su autonomía de la voluntad y discreción deciden que los proponentes deben </w:t>
      </w:r>
      <w:r w:rsidRPr="00BE4F5D">
        <w:rPr>
          <w:rFonts w:ascii="Arial" w:hAnsi="Arial" w:cs="Arial"/>
          <w:color w:val="000000" w:themeColor="text1"/>
          <w:sz w:val="21"/>
          <w:szCs w:val="18"/>
        </w:rPr>
        <w:t xml:space="preserve">incluir en su «nómina permanente» al menos a un profesional matriculado en la carrera correspondiente al objeto social de la persona jurídica, como requisito habilitante para el proceso de selección de consultores.. </w:t>
      </w:r>
    </w:p>
    <w:p w14:paraId="060EB644" w14:textId="4C763A81" w:rsidR="006A61DF" w:rsidRDefault="006A61DF" w:rsidP="00A9321B">
      <w:pPr>
        <w:spacing w:after="0" w:line="276" w:lineRule="auto"/>
        <w:contextualSpacing/>
        <w:jc w:val="both"/>
        <w:rPr>
          <w:rFonts w:ascii="Arial" w:eastAsia="Calibri" w:hAnsi="Arial" w:cs="Arial"/>
          <w:color w:val="000000" w:themeColor="text1"/>
          <w:sz w:val="21"/>
          <w:szCs w:val="21"/>
        </w:rPr>
      </w:pPr>
      <w:r w:rsidRPr="00BE4F5D">
        <w:rPr>
          <w:rFonts w:ascii="Arial" w:eastAsia="Calibri" w:hAnsi="Arial" w:cs="Arial"/>
          <w:color w:val="000000" w:themeColor="text1"/>
          <w:sz w:val="21"/>
          <w:szCs w:val="21"/>
        </w:rPr>
        <w:t>Este concepto tiene el alcance previsto en el artículo 28 del Código de Procedimiento Administrativo y de lo Contencioso Administrativo</w:t>
      </w:r>
      <w:r w:rsidR="00F57D04">
        <w:rPr>
          <w:rFonts w:ascii="Arial" w:eastAsia="Calibri" w:hAnsi="Arial" w:cs="Arial"/>
          <w:color w:val="000000" w:themeColor="text1"/>
          <w:sz w:val="21"/>
          <w:szCs w:val="21"/>
        </w:rPr>
        <w:t xml:space="preserve">. </w:t>
      </w:r>
    </w:p>
    <w:p w14:paraId="46A0E60D" w14:textId="77777777" w:rsidR="00A9321B" w:rsidRPr="00BE4F5D" w:rsidRDefault="00A9321B" w:rsidP="00A9321B">
      <w:pPr>
        <w:spacing w:after="0" w:line="276" w:lineRule="auto"/>
        <w:contextualSpacing/>
        <w:jc w:val="both"/>
        <w:rPr>
          <w:rFonts w:ascii="Arial" w:eastAsia="Calibri" w:hAnsi="Arial" w:cs="Arial"/>
          <w:color w:val="000000" w:themeColor="text1"/>
          <w:sz w:val="21"/>
          <w:szCs w:val="21"/>
        </w:rPr>
      </w:pPr>
    </w:p>
    <w:p w14:paraId="7D7307F2" w14:textId="77777777" w:rsidR="006A61DF" w:rsidRPr="00BE4F5D" w:rsidRDefault="006A61DF" w:rsidP="006A61DF">
      <w:pPr>
        <w:spacing w:line="276" w:lineRule="auto"/>
        <w:contextualSpacing/>
        <w:jc w:val="both"/>
        <w:rPr>
          <w:rFonts w:ascii="Arial" w:hAnsi="Arial" w:cs="Arial"/>
          <w:color w:val="000000" w:themeColor="text1"/>
          <w:sz w:val="21"/>
          <w:szCs w:val="21"/>
          <w:lang w:eastAsia="es-CO"/>
        </w:rPr>
      </w:pPr>
      <w:r w:rsidRPr="00BE4F5D">
        <w:rPr>
          <w:rFonts w:ascii="Arial" w:hAnsi="Arial" w:cs="Arial"/>
          <w:color w:val="000000" w:themeColor="text1"/>
          <w:sz w:val="21"/>
          <w:szCs w:val="21"/>
          <w:lang w:eastAsia="es-CO"/>
        </w:rPr>
        <w:t>Atentamente,</w:t>
      </w:r>
    </w:p>
    <w:p w14:paraId="4104C66D" w14:textId="77777777" w:rsidR="006A61DF" w:rsidRPr="00BE4F5D" w:rsidRDefault="006A61DF" w:rsidP="006A61DF">
      <w:pPr>
        <w:spacing w:line="276" w:lineRule="auto"/>
        <w:jc w:val="both"/>
        <w:rPr>
          <w:rFonts w:ascii="Arial" w:eastAsia="Arial" w:hAnsi="Arial" w:cs="Arial"/>
          <w:color w:val="000000" w:themeColor="text1"/>
          <w:sz w:val="21"/>
          <w:szCs w:val="21"/>
          <w:lang w:eastAsia="es-ES_tradnl"/>
        </w:rPr>
      </w:pPr>
    </w:p>
    <w:p w14:paraId="6F3D12A5" w14:textId="6C75F40C" w:rsidR="006A61DF" w:rsidRDefault="006A61DF" w:rsidP="006A61DF">
      <w:pPr>
        <w:spacing w:line="276" w:lineRule="auto"/>
        <w:jc w:val="center"/>
        <w:rPr>
          <w:rFonts w:ascii="Arial" w:eastAsia="Arial" w:hAnsi="Arial" w:cs="Arial"/>
          <w:color w:val="000000" w:themeColor="text1"/>
          <w:sz w:val="21"/>
          <w:szCs w:val="21"/>
          <w:lang w:eastAsia="es-ES_tradnl"/>
        </w:rPr>
      </w:pPr>
    </w:p>
    <w:p w14:paraId="042061CE" w14:textId="41BB97E1" w:rsidR="00136737" w:rsidRPr="00BE4F5D" w:rsidRDefault="00136737" w:rsidP="006A61DF">
      <w:pPr>
        <w:spacing w:line="276" w:lineRule="auto"/>
        <w:jc w:val="center"/>
        <w:rPr>
          <w:rFonts w:ascii="Arial" w:eastAsia="Arial" w:hAnsi="Arial" w:cs="Arial"/>
          <w:color w:val="000000" w:themeColor="text1"/>
          <w:sz w:val="21"/>
          <w:szCs w:val="21"/>
          <w:lang w:eastAsia="es-ES_tradnl"/>
        </w:rPr>
      </w:pPr>
      <w:r>
        <w:rPr>
          <w:noProof/>
        </w:rPr>
        <w:drawing>
          <wp:inline distT="0" distB="0" distL="0" distR="0" wp14:anchorId="54BE6A2E" wp14:editId="27FC3F94">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150135FC" w14:textId="77777777" w:rsidR="006A61DF" w:rsidRPr="00BE4F5D" w:rsidRDefault="006A61DF" w:rsidP="006A61DF">
      <w:pPr>
        <w:spacing w:line="276" w:lineRule="auto"/>
        <w:jc w:val="center"/>
        <w:rPr>
          <w:rFonts w:ascii="Arial" w:hAnsi="Arial" w:cs="Arial"/>
          <w:color w:val="000000" w:themeColor="text1"/>
          <w:sz w:val="21"/>
          <w:szCs w:val="21"/>
          <w:lang w:eastAsia="es-ES_tradnl"/>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6A61DF" w:rsidRPr="00BE4F5D" w14:paraId="79C17391" w14:textId="77777777" w:rsidTr="002A31BA">
        <w:trPr>
          <w:trHeight w:val="315"/>
        </w:trPr>
        <w:tc>
          <w:tcPr>
            <w:tcW w:w="812" w:type="dxa"/>
            <w:vAlign w:val="center"/>
            <w:hideMark/>
          </w:tcPr>
          <w:p w14:paraId="6A80C9B4"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Elaboró:</w:t>
            </w:r>
          </w:p>
        </w:tc>
        <w:tc>
          <w:tcPr>
            <w:tcW w:w="4413" w:type="dxa"/>
            <w:tcBorders>
              <w:top w:val="nil"/>
              <w:left w:val="nil"/>
              <w:bottom w:val="dotted" w:sz="4" w:space="0" w:color="7F7F7F" w:themeColor="text1" w:themeTint="80"/>
              <w:right w:val="nil"/>
            </w:tcBorders>
            <w:vAlign w:val="center"/>
            <w:hideMark/>
          </w:tcPr>
          <w:p w14:paraId="69C6F154" w14:textId="77777777" w:rsidR="006A61DF" w:rsidRPr="00BE4F5D" w:rsidRDefault="006A61DF" w:rsidP="002A31BA">
            <w:pPr>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 xml:space="preserve">Álvaro </w:t>
            </w:r>
            <w:proofErr w:type="spellStart"/>
            <w:r w:rsidRPr="00BE4F5D">
              <w:rPr>
                <w:rFonts w:ascii="Arial" w:hAnsi="Arial" w:cs="Arial"/>
                <w:color w:val="000000" w:themeColor="text1"/>
                <w:sz w:val="13"/>
                <w:szCs w:val="13"/>
                <w:lang w:eastAsia="es-ES"/>
              </w:rPr>
              <w:t>Namén</w:t>
            </w:r>
            <w:proofErr w:type="spellEnd"/>
            <w:r w:rsidRPr="00BE4F5D">
              <w:rPr>
                <w:rFonts w:ascii="Arial" w:hAnsi="Arial" w:cs="Arial"/>
                <w:color w:val="000000" w:themeColor="text1"/>
                <w:sz w:val="13"/>
                <w:szCs w:val="13"/>
                <w:lang w:eastAsia="es-ES"/>
              </w:rPr>
              <w:t xml:space="preserve"> Vargas</w:t>
            </w:r>
          </w:p>
          <w:p w14:paraId="102515C9"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 xml:space="preserve">Contratista de la Subdirección de Gestión Contractual  </w:t>
            </w:r>
          </w:p>
        </w:tc>
      </w:tr>
      <w:tr w:rsidR="006A61DF" w:rsidRPr="00BE4F5D" w14:paraId="6902F3A4" w14:textId="77777777" w:rsidTr="002A31BA">
        <w:trPr>
          <w:trHeight w:val="330"/>
        </w:trPr>
        <w:tc>
          <w:tcPr>
            <w:tcW w:w="812" w:type="dxa"/>
            <w:vAlign w:val="center"/>
            <w:hideMark/>
          </w:tcPr>
          <w:p w14:paraId="0D7B80AF"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604688E" w14:textId="339646EE" w:rsidR="006A61DF" w:rsidRPr="00BE4F5D" w:rsidRDefault="002C7336"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 xml:space="preserve">Nathalia Urrego Jiménez </w:t>
            </w:r>
          </w:p>
          <w:p w14:paraId="022BE528"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Contratista de la Subdirección de Gestión Contractual</w:t>
            </w:r>
          </w:p>
        </w:tc>
      </w:tr>
      <w:tr w:rsidR="006A61DF" w:rsidRPr="00BE4F5D" w14:paraId="143131C2" w14:textId="77777777" w:rsidTr="002A31BA">
        <w:trPr>
          <w:trHeight w:val="300"/>
        </w:trPr>
        <w:tc>
          <w:tcPr>
            <w:tcW w:w="812" w:type="dxa"/>
            <w:vAlign w:val="center"/>
            <w:hideMark/>
          </w:tcPr>
          <w:p w14:paraId="3149B8B1"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43F2E2C"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 xml:space="preserve">Nohelia del Carmen </w:t>
            </w:r>
            <w:proofErr w:type="spellStart"/>
            <w:r w:rsidRPr="00BE4F5D">
              <w:rPr>
                <w:rFonts w:ascii="Arial" w:hAnsi="Arial" w:cs="Arial"/>
                <w:color w:val="000000" w:themeColor="text1"/>
                <w:sz w:val="13"/>
                <w:szCs w:val="13"/>
                <w:lang w:eastAsia="es-ES"/>
              </w:rPr>
              <w:t>Zawady</w:t>
            </w:r>
            <w:proofErr w:type="spellEnd"/>
            <w:r w:rsidRPr="00BE4F5D">
              <w:rPr>
                <w:rFonts w:ascii="Arial" w:hAnsi="Arial" w:cs="Arial"/>
                <w:color w:val="000000" w:themeColor="text1"/>
                <w:sz w:val="13"/>
                <w:szCs w:val="13"/>
                <w:lang w:eastAsia="es-ES"/>
              </w:rPr>
              <w:t xml:space="preserve"> Palacio </w:t>
            </w:r>
          </w:p>
          <w:p w14:paraId="36DB3FF4" w14:textId="77777777" w:rsidR="006A61DF" w:rsidRPr="00BE4F5D" w:rsidRDefault="006A61DF" w:rsidP="002A31BA">
            <w:pPr>
              <w:jc w:val="both"/>
              <w:rPr>
                <w:rFonts w:ascii="Arial" w:hAnsi="Arial" w:cs="Arial"/>
                <w:color w:val="000000" w:themeColor="text1"/>
                <w:sz w:val="13"/>
                <w:szCs w:val="13"/>
                <w:lang w:eastAsia="es-ES"/>
              </w:rPr>
            </w:pPr>
            <w:r w:rsidRPr="00BE4F5D">
              <w:rPr>
                <w:rFonts w:ascii="Arial" w:hAnsi="Arial" w:cs="Arial"/>
                <w:color w:val="000000" w:themeColor="text1"/>
                <w:sz w:val="13"/>
                <w:szCs w:val="13"/>
                <w:lang w:eastAsia="es-ES"/>
              </w:rPr>
              <w:t xml:space="preserve">Subdirectora de Gestión Contractual </w:t>
            </w:r>
          </w:p>
        </w:tc>
      </w:tr>
    </w:tbl>
    <w:p w14:paraId="3E4EA935" w14:textId="77777777" w:rsidR="006A61DF" w:rsidRPr="00BE4F5D" w:rsidRDefault="006A61DF" w:rsidP="006A61DF">
      <w:pPr>
        <w:spacing w:after="120" w:line="276" w:lineRule="auto"/>
        <w:jc w:val="both"/>
        <w:rPr>
          <w:rFonts w:ascii="Arial" w:hAnsi="Arial" w:cs="Arial"/>
          <w:color w:val="000000" w:themeColor="text1"/>
          <w:sz w:val="21"/>
          <w:szCs w:val="21"/>
        </w:rPr>
      </w:pPr>
    </w:p>
    <w:p w14:paraId="6ABE25E7" w14:textId="77777777" w:rsidR="006A61DF" w:rsidRPr="00BE4F5D" w:rsidRDefault="006A61DF" w:rsidP="006A61DF">
      <w:pPr>
        <w:rPr>
          <w:rFonts w:ascii="Arial" w:hAnsi="Arial" w:cs="Arial"/>
          <w:color w:val="000000" w:themeColor="text1"/>
          <w:sz w:val="21"/>
          <w:szCs w:val="21"/>
        </w:rPr>
      </w:pPr>
    </w:p>
    <w:p w14:paraId="279D5850" w14:textId="5A51B1C1" w:rsidR="001A1011" w:rsidRPr="00BE4F5D" w:rsidRDefault="001A1011" w:rsidP="006219F8">
      <w:pPr>
        <w:spacing w:after="0" w:line="240" w:lineRule="auto"/>
        <w:rPr>
          <w:rFonts w:ascii="Geomanist Light" w:hAnsi="Geomanist Light"/>
          <w:b/>
          <w:color w:val="404040" w:themeColor="text1" w:themeTint="BF"/>
          <w:sz w:val="20"/>
          <w:szCs w:val="21"/>
        </w:rPr>
      </w:pPr>
    </w:p>
    <w:p w14:paraId="0B1D17E7" w14:textId="762AA3C6"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5CD9DF3C" w14:textId="2D55E7D3"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53AB5A20" w14:textId="6FAD5A9C"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6879FC78" w14:textId="2AD773B8"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267F1171" w14:textId="73CCED58"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17BA4C3F" w14:textId="610BC95A"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1C3871F1" w14:textId="3C77E1C6"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5E1D3DBF" w14:textId="22D6B9E8"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22A6B3E1" w14:textId="704F73DC"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331CB6CF" w14:textId="6F9DEEA6"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18D95323" w14:textId="645730DE"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154D43B2" w14:textId="13A83168" w:rsidR="001A1011" w:rsidRPr="00BE4F5D" w:rsidRDefault="001A1011" w:rsidP="006219F8">
      <w:pPr>
        <w:spacing w:after="0" w:line="240" w:lineRule="auto"/>
        <w:rPr>
          <w:rFonts w:ascii="Geomanist Light" w:hAnsi="Geomanist Light"/>
          <w:b/>
          <w:color w:val="404040" w:themeColor="text1" w:themeTint="BF"/>
          <w:sz w:val="20"/>
          <w:szCs w:val="21"/>
          <w:lang w:val="es-ES"/>
        </w:rPr>
      </w:pPr>
    </w:p>
    <w:p w14:paraId="7B23AD64" w14:textId="22BFE0EC" w:rsidR="00C9405D" w:rsidRPr="00BE4F5D" w:rsidRDefault="00C9405D" w:rsidP="006219F8">
      <w:pPr>
        <w:spacing w:after="0" w:line="240" w:lineRule="auto"/>
        <w:rPr>
          <w:rFonts w:ascii="Geomanist Light" w:hAnsi="Geomanist Light"/>
          <w:b/>
          <w:color w:val="002060"/>
          <w:sz w:val="20"/>
          <w:szCs w:val="21"/>
          <w:lang w:val="es-ES"/>
        </w:rPr>
      </w:pPr>
    </w:p>
    <w:p w14:paraId="3624807F" w14:textId="31625BE8" w:rsidR="00C9405D" w:rsidRPr="00BE4F5D" w:rsidRDefault="00C9405D" w:rsidP="006219F8">
      <w:pPr>
        <w:spacing w:after="0" w:line="240" w:lineRule="auto"/>
        <w:rPr>
          <w:rFonts w:ascii="Geomanist Light" w:hAnsi="Geomanist Light"/>
          <w:b/>
          <w:color w:val="002060"/>
          <w:sz w:val="20"/>
          <w:szCs w:val="21"/>
          <w:lang w:val="es-ES"/>
        </w:rPr>
      </w:pPr>
    </w:p>
    <w:bookmarkEnd w:id="0"/>
    <w:p w14:paraId="0F293BF4" w14:textId="0F6FB6C1" w:rsidR="00127233" w:rsidRPr="00BE4F5D" w:rsidRDefault="00127233">
      <w:pPr>
        <w:rPr>
          <w:sz w:val="21"/>
          <w:szCs w:val="21"/>
          <w:lang w:val="es-MX"/>
        </w:rPr>
      </w:pPr>
    </w:p>
    <w:sectPr w:rsidR="00127233" w:rsidRPr="00BE4F5D" w:rsidSect="0039439C">
      <w:headerReference w:type="default" r:id="rId14"/>
      <w:footerReference w:type="default" r:id="rId15"/>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348D7" w14:textId="77777777" w:rsidR="00080F3E" w:rsidRDefault="00080F3E" w:rsidP="004A1847">
      <w:pPr>
        <w:spacing w:after="0" w:line="240" w:lineRule="auto"/>
      </w:pPr>
      <w:r>
        <w:separator/>
      </w:r>
    </w:p>
  </w:endnote>
  <w:endnote w:type="continuationSeparator" w:id="0">
    <w:p w14:paraId="19C4E05F" w14:textId="77777777" w:rsidR="00080F3E" w:rsidRDefault="00080F3E" w:rsidP="004A1847">
      <w:pPr>
        <w:spacing w:after="0" w:line="240" w:lineRule="auto"/>
      </w:pPr>
      <w:r>
        <w:continuationSeparator/>
      </w:r>
    </w:p>
  </w:endnote>
  <w:endnote w:type="continuationNotice" w:id="1">
    <w:p w14:paraId="2B4F0D38" w14:textId="77777777" w:rsidR="00080F3E" w:rsidRDefault="00080F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5FC78" w14:textId="77777777" w:rsidR="00080F3E" w:rsidRDefault="00080F3E" w:rsidP="004A1847">
      <w:pPr>
        <w:spacing w:after="0" w:line="240" w:lineRule="auto"/>
      </w:pPr>
      <w:r>
        <w:separator/>
      </w:r>
    </w:p>
  </w:footnote>
  <w:footnote w:type="continuationSeparator" w:id="0">
    <w:p w14:paraId="4624FAC1" w14:textId="77777777" w:rsidR="00080F3E" w:rsidRDefault="00080F3E" w:rsidP="004A1847">
      <w:pPr>
        <w:spacing w:after="0" w:line="240" w:lineRule="auto"/>
      </w:pPr>
      <w:r>
        <w:continuationSeparator/>
      </w:r>
    </w:p>
  </w:footnote>
  <w:footnote w:type="continuationNotice" w:id="1">
    <w:p w14:paraId="1283D9D3" w14:textId="77777777" w:rsidR="00080F3E" w:rsidRDefault="00080F3E">
      <w:pPr>
        <w:spacing w:after="0" w:line="240" w:lineRule="auto"/>
      </w:pPr>
    </w:p>
  </w:footnote>
  <w:footnote w:id="2">
    <w:p w14:paraId="04B4507F" w14:textId="77777777" w:rsidR="006A61DF" w:rsidRPr="00BE4F5D" w:rsidRDefault="006A61DF" w:rsidP="006A61DF">
      <w:pPr>
        <w:pStyle w:val="Textonotapie"/>
        <w:ind w:firstLine="708"/>
        <w:jc w:val="both"/>
        <w:rPr>
          <w:rFonts w:ascii="Arial" w:hAnsi="Arial" w:cs="Arial"/>
          <w:sz w:val="15"/>
          <w:szCs w:val="15"/>
          <w:lang w:val="es-ES"/>
        </w:rPr>
      </w:pPr>
      <w:r w:rsidRPr="00BE4F5D">
        <w:rPr>
          <w:rStyle w:val="Refdenotaalpie"/>
          <w:rFonts w:ascii="Arial" w:hAnsi="Arial" w:cs="Arial"/>
          <w:sz w:val="15"/>
          <w:szCs w:val="15"/>
        </w:rPr>
        <w:footnoteRef/>
      </w:r>
      <w:r w:rsidRPr="00BE4F5D">
        <w:rPr>
          <w:rFonts w:ascii="Arial" w:hAnsi="Arial" w:cs="Arial"/>
          <w:sz w:val="15"/>
          <w:szCs w:val="15"/>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BE4F5D">
        <w:rPr>
          <w:rFonts w:ascii="Arial" w:hAnsi="Arial" w:cs="Arial"/>
          <w:i/>
          <w:iCs/>
          <w:sz w:val="15"/>
          <w:szCs w:val="15"/>
        </w:rPr>
        <w:t xml:space="preserve">ibidem </w:t>
      </w:r>
      <w:r w:rsidRPr="00BE4F5D">
        <w:rPr>
          <w:rFonts w:ascii="Arial" w:hAnsi="Arial" w:cs="Arial"/>
          <w:sz w:val="15"/>
          <w:szCs w:val="15"/>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1480D01C" w14:textId="77777777" w:rsidR="006A61DF" w:rsidRPr="00BE4F5D" w:rsidRDefault="006A61DF" w:rsidP="006A61DF">
      <w:pPr>
        <w:tabs>
          <w:tab w:val="left" w:pos="709"/>
        </w:tabs>
        <w:contextualSpacing/>
        <w:jc w:val="both"/>
        <w:rPr>
          <w:rFonts w:ascii="Arial" w:eastAsia="Calibri" w:hAnsi="Arial" w:cs="Arial"/>
          <w:bCs/>
          <w:sz w:val="15"/>
          <w:szCs w:val="15"/>
        </w:rPr>
      </w:pPr>
      <w:r w:rsidRPr="00BE4F5D">
        <w:rPr>
          <w:rFonts w:ascii="Arial" w:hAnsi="Arial" w:cs="Arial"/>
          <w:sz w:val="15"/>
          <w:szCs w:val="15"/>
        </w:rPr>
        <w:tab/>
      </w:r>
      <w:r w:rsidRPr="00BE4F5D">
        <w:rPr>
          <w:rStyle w:val="Refdenotaalpie"/>
          <w:rFonts w:ascii="Arial" w:hAnsi="Arial" w:cs="Arial"/>
          <w:sz w:val="15"/>
          <w:szCs w:val="15"/>
        </w:rPr>
        <w:footnoteRef/>
      </w:r>
      <w:r w:rsidRPr="00BE4F5D">
        <w:rPr>
          <w:rFonts w:ascii="Arial" w:hAnsi="Arial" w:cs="Arial"/>
          <w:sz w:val="15"/>
          <w:szCs w:val="15"/>
        </w:rPr>
        <w:t xml:space="preserve"> </w:t>
      </w:r>
      <w:r w:rsidRPr="00BE4F5D">
        <w:rPr>
          <w:rFonts w:ascii="Arial" w:eastAsia="Calibri" w:hAnsi="Arial" w:cs="Arial"/>
          <w:bCs/>
          <w:sz w:val="15"/>
          <w:szCs w:val="15"/>
        </w:rPr>
        <w:t xml:space="preserve">Al respecto, el profesor Enrique José Arboleda Perdomo, al interpretar el artículo transcrito, expuso lo siguiente: «El artículo 28 regula los efectos jurídicos de los conceptos que emita la entidad como respuesta a las consultas que le formulen los particulares, ordenando que </w:t>
      </w:r>
      <w:r w:rsidRPr="00BE4F5D">
        <w:rPr>
          <w:rFonts w:ascii="Arial" w:eastAsia="Calibri" w:hAnsi="Arial" w:cs="Arial"/>
          <w:bCs/>
          <w:i/>
          <w:iCs/>
          <w:sz w:val="15"/>
          <w:szCs w:val="15"/>
        </w:rPr>
        <w:t>no serán de obligatorio cumplimiento o ejecución</w:t>
      </w:r>
      <w:r w:rsidRPr="00BE4F5D">
        <w:rPr>
          <w:rFonts w:ascii="Arial" w:eastAsia="Calibri" w:hAnsi="Arial" w:cs="Arial"/>
          <w:bCs/>
          <w:sz w:val="15"/>
          <w:szCs w:val="15"/>
        </w:rPr>
        <w:t xml:space="preserve">. De este mandato surgen las siguientes consideraciones: </w:t>
      </w:r>
    </w:p>
    <w:p w14:paraId="2CBC8FF3" w14:textId="77777777" w:rsidR="006A61DF" w:rsidRPr="00BE4F5D" w:rsidRDefault="006A61DF" w:rsidP="006A61DF">
      <w:pPr>
        <w:tabs>
          <w:tab w:val="left" w:pos="709"/>
        </w:tabs>
        <w:contextualSpacing/>
        <w:jc w:val="both"/>
        <w:rPr>
          <w:rFonts w:ascii="Arial" w:eastAsia="Calibri" w:hAnsi="Arial" w:cs="Arial"/>
          <w:bCs/>
          <w:sz w:val="15"/>
          <w:szCs w:val="15"/>
        </w:rPr>
      </w:pPr>
      <w:r w:rsidRPr="00BE4F5D">
        <w:rPr>
          <w:rFonts w:ascii="Arial" w:eastAsia="Calibri" w:hAnsi="Arial" w:cs="Arial"/>
          <w:bCs/>
          <w:sz w:val="15"/>
          <w:szCs w:val="15"/>
        </w:rPr>
        <w:tab/>
        <w:t>»La primera, que un concepto no es un acto administrativo de contenido particular pues en sí mismo no contiene una manifestación de la voluntad de la administración que tenga la virtualidad de producir efectos jurídicos vinculantes, en relación con el peticionario, con la autoridad que conceptúa y aún frente a terceros que pudieran estar interesados en la respuesta.</w:t>
      </w:r>
    </w:p>
    <w:p w14:paraId="58EB2595" w14:textId="77777777" w:rsidR="006A61DF" w:rsidRPr="00BE4F5D" w:rsidRDefault="006A61DF" w:rsidP="006A61DF">
      <w:pPr>
        <w:tabs>
          <w:tab w:val="left" w:pos="709"/>
        </w:tabs>
        <w:contextualSpacing/>
        <w:jc w:val="both"/>
        <w:rPr>
          <w:rFonts w:ascii="Arial" w:eastAsia="Calibri" w:hAnsi="Arial" w:cs="Arial"/>
          <w:bCs/>
          <w:sz w:val="15"/>
          <w:szCs w:val="15"/>
        </w:rPr>
      </w:pPr>
      <w:r w:rsidRPr="00BE4F5D">
        <w:rPr>
          <w:rFonts w:ascii="Arial" w:eastAsia="Calibri" w:hAnsi="Arial" w:cs="Arial"/>
          <w:bCs/>
          <w:sz w:val="15"/>
          <w:szCs w:val="15"/>
        </w:rPr>
        <w:tab/>
        <w:t xml:space="preserve">»La segunda, que la forma como la administración actúa de manera vinculante para sí misma y para la Generalidad de las personas es el reglamento, no sólo a través de la potestad reglamentaria propia del presidente de la República coma sino a través de los demás reglamentos de la administración en el preciso marco de las competencias de cada organismo o entidad, por lo cual los conceptos emitidos no pueden suplir ni menos aún competir con los reglamentos. </w:t>
      </w:r>
    </w:p>
    <w:p w14:paraId="500DA9D5" w14:textId="77777777" w:rsidR="006A61DF" w:rsidRPr="00BE4F5D" w:rsidRDefault="006A61DF" w:rsidP="006A61DF">
      <w:pPr>
        <w:pStyle w:val="Textonotapie"/>
        <w:ind w:firstLine="708"/>
        <w:contextualSpacing/>
        <w:jc w:val="both"/>
        <w:rPr>
          <w:rFonts w:ascii="Arial" w:hAnsi="Arial" w:cs="Arial"/>
          <w:sz w:val="15"/>
          <w:szCs w:val="15"/>
        </w:rPr>
      </w:pPr>
      <w:r w:rsidRPr="00BE4F5D">
        <w:rPr>
          <w:rFonts w:ascii="Arial" w:eastAsia="Calibri" w:hAnsi="Arial" w:cs="Arial"/>
          <w:bCs/>
          <w:sz w:val="15"/>
          <w:szCs w:val="15"/>
        </w:rPr>
        <w:t xml:space="preserve">»La tercera, que los conceptos no pueden interpretar la ley en el sentido de darle un alcance o proferir un sentido frente a otro posible, se limitan a explicar las competencias a cargo de la entidad y la forma de ejercerlas, con el fin de orientar a los particulares en el cumplimiento de sus deberes o el ejercicio de sus derechos». </w:t>
      </w:r>
      <w:r w:rsidRPr="00BE4F5D">
        <w:rPr>
          <w:rFonts w:ascii="Arial" w:hAnsi="Arial" w:cs="Arial"/>
          <w:sz w:val="15"/>
          <w:szCs w:val="15"/>
        </w:rPr>
        <w:t>ARBOLEDA PERDOMO, Enrique José. Comentarios al Nuevo Código de Procedimiento Administrativo y de lo Contencioso Administrativo (2ª ed.). Editorial Legis. Bogotá. 2012. p.59.</w:t>
      </w:r>
    </w:p>
    <w:p w14:paraId="37392F04" w14:textId="77777777" w:rsidR="006A61DF" w:rsidRPr="00BE4F5D" w:rsidRDefault="006A61DF" w:rsidP="006A61DF">
      <w:pPr>
        <w:pStyle w:val="Textonotapie"/>
        <w:ind w:firstLine="708"/>
        <w:contextualSpacing/>
        <w:jc w:val="both"/>
        <w:rPr>
          <w:rFonts w:ascii="Arial" w:eastAsia="Calibri" w:hAnsi="Arial" w:cs="Arial"/>
          <w:bCs/>
          <w:sz w:val="15"/>
          <w:szCs w:val="15"/>
          <w:lang w:val="es-CO"/>
        </w:rPr>
      </w:pPr>
    </w:p>
  </w:footnote>
  <w:footnote w:id="4">
    <w:p w14:paraId="27CD6FBE" w14:textId="77777777" w:rsidR="006A61DF" w:rsidRPr="00BE4F5D" w:rsidRDefault="006A61DF" w:rsidP="006A61DF">
      <w:pPr>
        <w:pStyle w:val="NormalWeb"/>
        <w:spacing w:before="0" w:beforeAutospacing="0" w:after="0" w:afterAutospacing="0"/>
        <w:ind w:firstLine="708"/>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w:t>
      </w:r>
      <w:r w:rsidRPr="00BE4F5D">
        <w:rPr>
          <w:rFonts w:ascii="Arial" w:hAnsi="Arial" w:cs="Arial"/>
          <w:sz w:val="15"/>
          <w:szCs w:val="15"/>
          <w:lang w:val="es-ES"/>
        </w:rPr>
        <w:t>Art 6 Ley 1150 de 2007 “</w:t>
      </w:r>
      <w:r w:rsidRPr="00BE4F5D">
        <w:rPr>
          <w:rFonts w:ascii="Arial" w:hAnsi="Arial" w:cs="Arial"/>
          <w:sz w:val="15"/>
          <w:szCs w:val="15"/>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F4483D9" w14:textId="77777777" w:rsidR="006A61DF" w:rsidRPr="00BE4F5D" w:rsidRDefault="006A61DF" w:rsidP="006A61DF">
      <w:pPr>
        <w:pStyle w:val="NormalWeb"/>
        <w:spacing w:before="0" w:beforeAutospacing="0" w:after="0" w:afterAutospacing="0"/>
        <w:ind w:firstLine="708"/>
        <w:jc w:val="both"/>
        <w:rPr>
          <w:rFonts w:ascii="Arial" w:hAnsi="Arial" w:cs="Arial"/>
          <w:sz w:val="15"/>
          <w:szCs w:val="15"/>
        </w:rPr>
      </w:pPr>
      <w:r w:rsidRPr="00BE4F5D">
        <w:rPr>
          <w:rFonts w:ascii="Arial" w:hAnsi="Arial" w:cs="Arial"/>
          <w:sz w:val="15"/>
          <w:szCs w:val="15"/>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282DBAC" w14:textId="77777777" w:rsidR="006A61DF" w:rsidRPr="00BE4F5D" w:rsidRDefault="006A61DF" w:rsidP="006A61DF">
      <w:pPr>
        <w:pStyle w:val="NormalWeb"/>
        <w:spacing w:before="0" w:beforeAutospacing="0" w:after="0" w:afterAutospacing="0"/>
        <w:ind w:firstLine="708"/>
        <w:jc w:val="both"/>
        <w:rPr>
          <w:rFonts w:ascii="Arial" w:hAnsi="Arial" w:cs="Arial"/>
          <w:sz w:val="15"/>
          <w:szCs w:val="15"/>
        </w:rPr>
      </w:pPr>
      <w:r w:rsidRPr="00BE4F5D">
        <w:rPr>
          <w:rFonts w:ascii="Arial" w:hAnsi="Arial" w:cs="Arial"/>
          <w:sz w:val="15"/>
          <w:szCs w:val="15"/>
        </w:rPr>
        <w:t>En dicho registro constará la información relacionada con la experiencia, capacidad jurídica, financiera y de organización del proponente y su clasificación”.</w:t>
      </w:r>
    </w:p>
    <w:p w14:paraId="01322609" w14:textId="77777777" w:rsidR="006A61DF" w:rsidRPr="00BE4F5D" w:rsidRDefault="006A61DF" w:rsidP="006A61DF">
      <w:pPr>
        <w:pStyle w:val="NormalWeb"/>
        <w:spacing w:before="0" w:beforeAutospacing="0" w:after="0" w:afterAutospacing="0"/>
        <w:ind w:firstLine="708"/>
        <w:jc w:val="both"/>
        <w:rPr>
          <w:rFonts w:ascii="Arial" w:hAnsi="Arial" w:cs="Arial"/>
          <w:sz w:val="15"/>
          <w:szCs w:val="15"/>
        </w:rPr>
      </w:pPr>
    </w:p>
  </w:footnote>
  <w:footnote w:id="5">
    <w:p w14:paraId="7BE9E4DB" w14:textId="77777777" w:rsidR="006A61DF" w:rsidRPr="00BE4F5D" w:rsidRDefault="006A61DF" w:rsidP="006A61DF">
      <w:pPr>
        <w:ind w:firstLine="708"/>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56FDB19A" w14:textId="77777777" w:rsidR="006A61DF" w:rsidRPr="00BE4F5D" w:rsidRDefault="006A61DF" w:rsidP="006A61DF">
      <w:pPr>
        <w:pStyle w:val="Textonotapie"/>
        <w:rPr>
          <w:rFonts w:ascii="Arial" w:hAnsi="Arial" w:cs="Arial"/>
          <w:sz w:val="15"/>
          <w:szCs w:val="15"/>
          <w:lang w:val="es-ES"/>
        </w:rPr>
      </w:pPr>
    </w:p>
  </w:footnote>
  <w:footnote w:id="6">
    <w:p w14:paraId="5D9332B1" w14:textId="77777777" w:rsidR="006A61DF" w:rsidRPr="00BE4F5D" w:rsidRDefault="006A61DF" w:rsidP="006A61DF">
      <w:pPr>
        <w:pStyle w:val="NormalWeb"/>
        <w:spacing w:before="0" w:beforeAutospacing="0" w:after="0" w:afterAutospacing="0"/>
        <w:ind w:firstLine="709"/>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w:t>
      </w:r>
      <w:r w:rsidRPr="00BE4F5D">
        <w:rPr>
          <w:rFonts w:ascii="Arial" w:hAnsi="Arial" w:cs="Arial"/>
          <w:sz w:val="15"/>
          <w:szCs w:val="15"/>
          <w:lang w:val="es-ES"/>
        </w:rPr>
        <w:t>“</w:t>
      </w:r>
      <w:r w:rsidRPr="00BE4F5D">
        <w:rPr>
          <w:rFonts w:ascii="Arial" w:hAnsi="Arial" w:cs="Arial"/>
          <w:sz w:val="15"/>
          <w:szCs w:val="15"/>
        </w:rPr>
        <w:t>Para poder participar en los procesos de selección de los contratos de obra, la capacidad residual del proponente o K de contratación deberá ser igual o superior al que la entidad haya establecido para el efecto en los pliegos de condiciones</w:t>
      </w:r>
    </w:p>
    <w:p w14:paraId="730C90A8" w14:textId="77777777" w:rsidR="006A61DF" w:rsidRPr="00BE4F5D" w:rsidRDefault="006A61DF" w:rsidP="006A61DF">
      <w:pPr>
        <w:ind w:firstLine="709"/>
        <w:jc w:val="both"/>
        <w:rPr>
          <w:rFonts w:ascii="Arial" w:hAnsi="Arial" w:cs="Arial"/>
          <w:sz w:val="15"/>
          <w:szCs w:val="15"/>
        </w:rPr>
      </w:pPr>
      <w:r w:rsidRPr="00BE4F5D">
        <w:rPr>
          <w:rFonts w:ascii="Arial" w:hAnsi="Arial" w:cs="Arial"/>
          <w:sz w:val="15"/>
          <w:szCs w:val="15"/>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44166D80" w14:textId="77777777" w:rsidR="006A61DF" w:rsidRPr="00BE4F5D" w:rsidRDefault="006A61DF" w:rsidP="006A61DF">
      <w:pPr>
        <w:ind w:firstLine="709"/>
        <w:jc w:val="both"/>
        <w:rPr>
          <w:rFonts w:ascii="Arial" w:hAnsi="Arial" w:cs="Arial"/>
          <w:sz w:val="15"/>
          <w:szCs w:val="15"/>
        </w:rPr>
      </w:pPr>
    </w:p>
  </w:footnote>
  <w:footnote w:id="7">
    <w:p w14:paraId="2B7393B4" w14:textId="77777777" w:rsidR="006A61DF" w:rsidRPr="00BE4F5D" w:rsidRDefault="006A61DF" w:rsidP="006A61DF">
      <w:pPr>
        <w:pStyle w:val="Textonotapie"/>
        <w:ind w:firstLine="708"/>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Cfr. Corte Constitucional. Sentencia C-569 de 2004. M.P. Rodrigo Uprimny Yepes.</w:t>
      </w:r>
    </w:p>
    <w:p w14:paraId="0BF62FD1" w14:textId="77777777" w:rsidR="006A61DF" w:rsidRPr="00BE4F5D" w:rsidRDefault="006A61DF" w:rsidP="006A61DF">
      <w:pPr>
        <w:pStyle w:val="Textonotapie"/>
        <w:ind w:firstLine="708"/>
        <w:jc w:val="both"/>
        <w:rPr>
          <w:rFonts w:ascii="Arial" w:hAnsi="Arial" w:cs="Arial"/>
          <w:sz w:val="15"/>
          <w:szCs w:val="15"/>
          <w:lang w:val="es-ES"/>
        </w:rPr>
      </w:pPr>
    </w:p>
  </w:footnote>
  <w:footnote w:id="8">
    <w:p w14:paraId="7E952D14" w14:textId="77777777" w:rsidR="006A61DF" w:rsidRPr="00BE4F5D" w:rsidRDefault="006A61DF" w:rsidP="006A61DF">
      <w:pPr>
        <w:pStyle w:val="Textonotapie"/>
        <w:ind w:firstLine="708"/>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Cfr. Consejo de Estado. Sección Tercera. Providencias del 11 de diciembre de 2002, dictada dentro del expediente AG-1683, y del 18 de octubre de 2001, proferida dentro del plenario AG-021.</w:t>
      </w:r>
    </w:p>
    <w:p w14:paraId="3BEF5565" w14:textId="77777777" w:rsidR="006A61DF" w:rsidRPr="00BE4F5D" w:rsidRDefault="006A61DF" w:rsidP="006A61DF">
      <w:pPr>
        <w:pStyle w:val="Textonotapie"/>
        <w:ind w:firstLine="708"/>
        <w:jc w:val="both"/>
        <w:rPr>
          <w:rFonts w:ascii="Arial" w:hAnsi="Arial" w:cs="Arial"/>
          <w:sz w:val="15"/>
          <w:szCs w:val="15"/>
          <w:lang w:val="es-ES"/>
        </w:rPr>
      </w:pPr>
    </w:p>
  </w:footnote>
  <w:footnote w:id="9">
    <w:p w14:paraId="67ABEAB7" w14:textId="77777777" w:rsidR="006A61DF" w:rsidRPr="00BE4F5D" w:rsidRDefault="006A61DF" w:rsidP="006A61DF">
      <w:pPr>
        <w:pStyle w:val="Textonotapie"/>
        <w:ind w:firstLine="708"/>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Gaceta 096 de 2007. Pág. 9. Allí se lee: «Parágrafo 2°. Nuevo. Se adiciona un parágrafo nuevo para </w:t>
      </w:r>
      <w:r w:rsidRPr="00BE4F5D">
        <w:rPr>
          <w:rFonts w:ascii="Arial" w:hAnsi="Arial" w:cs="Arial"/>
          <w:i/>
          <w:iCs/>
          <w:sz w:val="15"/>
          <w:szCs w:val="15"/>
        </w:rPr>
        <w:t>establecer de manera concreta</w:t>
      </w:r>
      <w:r w:rsidRPr="00BE4F5D">
        <w:rPr>
          <w:rFonts w:ascii="Arial" w:hAnsi="Arial" w:cs="Arial"/>
          <w:sz w:val="15"/>
          <w:szCs w:val="15"/>
        </w:rPr>
        <w:t xml:space="preserve">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p w14:paraId="49586551" w14:textId="77777777" w:rsidR="006A61DF" w:rsidRPr="00BE4F5D" w:rsidRDefault="006A61DF" w:rsidP="006A61DF">
      <w:pPr>
        <w:pStyle w:val="Textonotapie"/>
        <w:ind w:firstLine="708"/>
        <w:jc w:val="both"/>
        <w:rPr>
          <w:rFonts w:ascii="Arial" w:hAnsi="Arial" w:cs="Arial"/>
          <w:sz w:val="15"/>
          <w:szCs w:val="15"/>
          <w:lang w:val="es-ES"/>
        </w:rPr>
      </w:pPr>
    </w:p>
  </w:footnote>
  <w:footnote w:id="10">
    <w:p w14:paraId="5F33B169"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lang w:eastAsia="es-CO"/>
        </w:rPr>
      </w:pPr>
      <w:r w:rsidRPr="00BE4F5D">
        <w:rPr>
          <w:rFonts w:ascii="Arial" w:hAnsi="Arial" w:cs="Arial"/>
          <w:sz w:val="15"/>
          <w:szCs w:val="15"/>
        </w:rPr>
        <w:tab/>
      </w:r>
      <w:r w:rsidRPr="00BE4F5D">
        <w:rPr>
          <w:rStyle w:val="Refdenotaalpie"/>
          <w:rFonts w:ascii="Arial" w:hAnsi="Arial" w:cs="Arial"/>
          <w:sz w:val="15"/>
          <w:szCs w:val="15"/>
        </w:rPr>
        <w:footnoteRef/>
      </w:r>
      <w:r w:rsidRPr="00BE4F5D">
        <w:rPr>
          <w:rFonts w:ascii="Arial" w:hAnsi="Arial" w:cs="Arial"/>
          <w:sz w:val="15"/>
          <w:szCs w:val="15"/>
        </w:rPr>
        <w:t>«</w:t>
      </w:r>
      <w:r w:rsidRPr="00BE4F5D">
        <w:rPr>
          <w:rStyle w:val="Textoennegrita"/>
          <w:rFonts w:ascii="Arial" w:hAnsi="Arial" w:cs="Arial"/>
          <w:color w:val="000000"/>
          <w:sz w:val="15"/>
          <w:szCs w:val="15"/>
        </w:rPr>
        <w:t>Artículo 2.2.1.1.1.5.3. </w:t>
      </w:r>
      <w:r w:rsidRPr="00BE4F5D">
        <w:rPr>
          <w:rStyle w:val="nfasis"/>
          <w:rFonts w:ascii="Arial" w:hAnsi="Arial" w:cs="Arial"/>
          <w:color w:val="000000"/>
          <w:sz w:val="15"/>
          <w:szCs w:val="15"/>
        </w:rPr>
        <w:t>Requisitos habilitantes contenidos en el RUP. </w:t>
      </w:r>
      <w:r w:rsidRPr="00BE4F5D">
        <w:rPr>
          <w:rFonts w:ascii="Arial" w:hAnsi="Arial" w:cs="Arial"/>
          <w:color w:val="000000"/>
          <w:sz w:val="15"/>
          <w:szCs w:val="15"/>
        </w:rPr>
        <w:t>Las cámaras de comercio, con base en la información a la que hace referencia el artículo anterior, deben verificar y certificar los siguientes requisitos habilitantes: </w:t>
      </w:r>
    </w:p>
    <w:p w14:paraId="5D29F2F1"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2D59F3AC"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r>
      <w:proofErr w:type="gramStart"/>
      <w:r w:rsidRPr="00BE4F5D">
        <w:rPr>
          <w:rFonts w:ascii="Arial" w:hAnsi="Arial" w:cs="Arial"/>
          <w:color w:val="000000"/>
          <w:sz w:val="15"/>
          <w:szCs w:val="15"/>
        </w:rPr>
        <w:t>»Los</w:t>
      </w:r>
      <w:proofErr w:type="gramEnd"/>
      <w:r w:rsidRPr="00BE4F5D">
        <w:rPr>
          <w:rFonts w:ascii="Arial" w:hAnsi="Arial" w:cs="Arial"/>
          <w:color w:val="000000"/>
          <w:sz w:val="15"/>
          <w:szCs w:val="15"/>
        </w:rPr>
        <w:t xml:space="preserve">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6EE5EB71"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 </w:t>
      </w:r>
    </w:p>
    <w:p w14:paraId="058645B7"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»3. Capacidad Financiera – los siguientes indicadores miden la fortaleza financiera del interesado: </w:t>
      </w:r>
    </w:p>
    <w:p w14:paraId="0B2D341B"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»3.1. Índice de liquidez: activo corriente dividido por el pasivo corriente. </w:t>
      </w:r>
    </w:p>
    <w:p w14:paraId="6034B33E"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»3.2. Índice de endeudamiento: pasivo total dividido por el activo total. </w:t>
      </w:r>
    </w:p>
    <w:p w14:paraId="60CD3DA5"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»3.3. Razón de cobertura de intereses: utilidad operacional dividida por los gastos de intereses. </w:t>
      </w:r>
    </w:p>
    <w:p w14:paraId="3CC2C0E7"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»4. Capacidad Organizacional – los siguientes indicadores miden el rendimiento de las inversiones y la eficiencia en el uso de activos del interesado: </w:t>
      </w:r>
    </w:p>
    <w:p w14:paraId="166F2F38"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»4.1. Rentabilidad del patrimonio: utilidad operacional dividida por el patrimonio. </w:t>
      </w:r>
    </w:p>
    <w:p w14:paraId="42732DE4" w14:textId="77777777" w:rsidR="006A61DF" w:rsidRPr="00BE4F5D" w:rsidRDefault="006A61DF" w:rsidP="006A61DF">
      <w:pPr>
        <w:pStyle w:val="NormalWeb"/>
        <w:spacing w:before="0" w:beforeAutospacing="0" w:after="0" w:afterAutospacing="0"/>
        <w:jc w:val="both"/>
        <w:rPr>
          <w:rFonts w:ascii="Arial" w:hAnsi="Arial" w:cs="Arial"/>
          <w:color w:val="000000"/>
          <w:sz w:val="15"/>
          <w:szCs w:val="15"/>
        </w:rPr>
      </w:pPr>
      <w:r w:rsidRPr="00BE4F5D">
        <w:rPr>
          <w:rFonts w:ascii="Arial" w:hAnsi="Arial" w:cs="Arial"/>
          <w:color w:val="000000"/>
          <w:sz w:val="15"/>
          <w:szCs w:val="15"/>
        </w:rPr>
        <w:t>  </w:t>
      </w:r>
      <w:r w:rsidRPr="00BE4F5D">
        <w:rPr>
          <w:rFonts w:ascii="Arial" w:hAnsi="Arial" w:cs="Arial"/>
          <w:color w:val="000000"/>
          <w:sz w:val="15"/>
          <w:szCs w:val="15"/>
        </w:rPr>
        <w:tab/>
        <w:t>»4.2. Rentabilidad del activo: utilidad operacional dividida por el activo total».  </w:t>
      </w:r>
    </w:p>
    <w:p w14:paraId="57B466A8" w14:textId="77777777" w:rsidR="006A61DF" w:rsidRPr="00BE4F5D" w:rsidRDefault="006A61DF" w:rsidP="006A61DF">
      <w:pPr>
        <w:pStyle w:val="Textonotapie"/>
        <w:rPr>
          <w:rFonts w:ascii="Arial" w:hAnsi="Arial" w:cs="Arial"/>
          <w:sz w:val="15"/>
          <w:szCs w:val="15"/>
        </w:rPr>
      </w:pPr>
      <w:r w:rsidRPr="00BE4F5D">
        <w:rPr>
          <w:rFonts w:ascii="Arial" w:hAnsi="Arial" w:cs="Arial"/>
          <w:sz w:val="15"/>
          <w:szCs w:val="15"/>
        </w:rPr>
        <w:t xml:space="preserve"> </w:t>
      </w:r>
    </w:p>
  </w:footnote>
  <w:footnote w:id="11">
    <w:p w14:paraId="3ED32B46" w14:textId="77777777" w:rsidR="006A61DF" w:rsidRPr="00BE4F5D" w:rsidRDefault="006A61DF" w:rsidP="006A61DF">
      <w:pPr>
        <w:pStyle w:val="Textonotapie"/>
        <w:jc w:val="both"/>
        <w:rPr>
          <w:rFonts w:ascii="Arial" w:hAnsi="Arial" w:cs="Arial"/>
          <w:sz w:val="15"/>
          <w:szCs w:val="15"/>
        </w:rPr>
      </w:pPr>
      <w:r w:rsidRPr="00BE4F5D">
        <w:rPr>
          <w:rFonts w:ascii="Arial" w:hAnsi="Arial" w:cs="Arial"/>
          <w:sz w:val="15"/>
          <w:szCs w:val="15"/>
        </w:rPr>
        <w:tab/>
      </w:r>
      <w:r w:rsidRPr="00BE4F5D">
        <w:rPr>
          <w:rStyle w:val="Refdenotaalpie"/>
          <w:rFonts w:ascii="Arial" w:hAnsi="Arial" w:cs="Arial"/>
          <w:sz w:val="15"/>
          <w:szCs w:val="15"/>
        </w:rPr>
        <w:footnoteRef/>
      </w:r>
      <w:r w:rsidRPr="00BE4F5D">
        <w:rPr>
          <w:rFonts w:ascii="Arial" w:hAnsi="Arial" w:cs="Arial"/>
          <w:sz w:val="15"/>
          <w:szCs w:val="15"/>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12">
    <w:p w14:paraId="462FFA04" w14:textId="77777777" w:rsidR="006A61DF" w:rsidRPr="00BE4F5D" w:rsidRDefault="006A61DF" w:rsidP="006A61DF">
      <w:pPr>
        <w:pStyle w:val="Textonotapie"/>
        <w:ind w:firstLine="709"/>
        <w:jc w:val="both"/>
        <w:rPr>
          <w:rFonts w:ascii="Arial" w:hAnsi="Arial" w:cs="Arial"/>
          <w:sz w:val="15"/>
          <w:szCs w:val="15"/>
        </w:rPr>
      </w:pPr>
      <w:r w:rsidRPr="00BE4F5D">
        <w:rPr>
          <w:rStyle w:val="Refdenotaalpie"/>
          <w:rFonts w:ascii="Arial" w:hAnsi="Arial" w:cs="Arial"/>
          <w:sz w:val="15"/>
          <w:szCs w:val="15"/>
        </w:rPr>
        <w:footnoteRef/>
      </w:r>
      <w:r w:rsidRPr="00BE4F5D">
        <w:rPr>
          <w:rFonts w:ascii="Arial" w:hAnsi="Arial" w:cs="Arial"/>
          <w:sz w:val="15"/>
          <w:szCs w:val="15"/>
        </w:rPr>
        <w:t xml:space="preserve"> El artículo 20 de la Ley 842 de 2003 establece: «Artículo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39974046" w14:textId="77777777" w:rsidR="006A61DF" w:rsidRPr="00BE4F5D" w:rsidRDefault="006A61DF" w:rsidP="006A61DF">
      <w:pPr>
        <w:pStyle w:val="Textonotapie"/>
        <w:ind w:firstLine="709"/>
        <w:jc w:val="both"/>
        <w:rPr>
          <w:rFonts w:ascii="Arial" w:hAnsi="Arial" w:cs="Arial"/>
          <w:sz w:val="15"/>
          <w:szCs w:val="15"/>
        </w:rPr>
      </w:pPr>
      <w:r w:rsidRPr="00BE4F5D">
        <w:rPr>
          <w:rFonts w:ascii="Arial" w:hAnsi="Arial" w:cs="Arial"/>
          <w:sz w:val="15"/>
          <w:szCs w:val="15"/>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 vigencia.</w:t>
      </w:r>
    </w:p>
    <w:p w14:paraId="7A898894" w14:textId="77777777" w:rsidR="006A61DF" w:rsidRPr="00BE4F5D" w:rsidRDefault="006A61DF" w:rsidP="006A61DF">
      <w:pPr>
        <w:pStyle w:val="Textonotapie"/>
        <w:ind w:firstLine="709"/>
        <w:jc w:val="both"/>
        <w:rPr>
          <w:rFonts w:ascii="Arial" w:hAnsi="Arial" w:cs="Arial"/>
          <w:sz w:val="15"/>
          <w:szCs w:val="15"/>
        </w:rPr>
      </w:pPr>
      <w:r w:rsidRPr="00BE4F5D">
        <w:rPr>
          <w:rFonts w:ascii="Arial" w:hAnsi="Arial" w:cs="Arial"/>
          <w:sz w:val="15"/>
          <w:szCs w:val="15"/>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91014903">
    <w:abstractNumId w:val="2"/>
  </w:num>
  <w:num w:numId="2" w16cid:durableId="525142829">
    <w:abstractNumId w:val="0"/>
  </w:num>
  <w:num w:numId="3" w16cid:durableId="16687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47396"/>
    <w:rsid w:val="00080F3E"/>
    <w:rsid w:val="000819B2"/>
    <w:rsid w:val="00083334"/>
    <w:rsid w:val="000956CF"/>
    <w:rsid w:val="000A683E"/>
    <w:rsid w:val="000F641F"/>
    <w:rsid w:val="0011595A"/>
    <w:rsid w:val="001220C5"/>
    <w:rsid w:val="001267F7"/>
    <w:rsid w:val="00127233"/>
    <w:rsid w:val="00130999"/>
    <w:rsid w:val="00136737"/>
    <w:rsid w:val="00164D81"/>
    <w:rsid w:val="001A1011"/>
    <w:rsid w:val="001A48D0"/>
    <w:rsid w:val="00225CE0"/>
    <w:rsid w:val="00252F9F"/>
    <w:rsid w:val="00261E2A"/>
    <w:rsid w:val="002653C1"/>
    <w:rsid w:val="0026611D"/>
    <w:rsid w:val="002951A0"/>
    <w:rsid w:val="002A64FD"/>
    <w:rsid w:val="002C7336"/>
    <w:rsid w:val="002F0839"/>
    <w:rsid w:val="00301469"/>
    <w:rsid w:val="00306EE1"/>
    <w:rsid w:val="00310B9B"/>
    <w:rsid w:val="0036461C"/>
    <w:rsid w:val="00367884"/>
    <w:rsid w:val="0039439C"/>
    <w:rsid w:val="003B69E7"/>
    <w:rsid w:val="003C013B"/>
    <w:rsid w:val="003C73FB"/>
    <w:rsid w:val="003D0F4D"/>
    <w:rsid w:val="003F58A1"/>
    <w:rsid w:val="00401871"/>
    <w:rsid w:val="00410DD6"/>
    <w:rsid w:val="004134C9"/>
    <w:rsid w:val="0043138C"/>
    <w:rsid w:val="00462A59"/>
    <w:rsid w:val="004A1847"/>
    <w:rsid w:val="004A1B6E"/>
    <w:rsid w:val="004B6B0E"/>
    <w:rsid w:val="004D25B3"/>
    <w:rsid w:val="00511405"/>
    <w:rsid w:val="00514889"/>
    <w:rsid w:val="00526E9D"/>
    <w:rsid w:val="00547856"/>
    <w:rsid w:val="00547A74"/>
    <w:rsid w:val="005566E8"/>
    <w:rsid w:val="005746AB"/>
    <w:rsid w:val="0059357F"/>
    <w:rsid w:val="005A1130"/>
    <w:rsid w:val="005D65C8"/>
    <w:rsid w:val="006219F8"/>
    <w:rsid w:val="00681FDB"/>
    <w:rsid w:val="0069789C"/>
    <w:rsid w:val="006A61DF"/>
    <w:rsid w:val="006A7DAD"/>
    <w:rsid w:val="006D70BA"/>
    <w:rsid w:val="007566FE"/>
    <w:rsid w:val="00761F45"/>
    <w:rsid w:val="0076726F"/>
    <w:rsid w:val="0077144B"/>
    <w:rsid w:val="00793403"/>
    <w:rsid w:val="007C0CDF"/>
    <w:rsid w:val="007E2A2F"/>
    <w:rsid w:val="007F2B7C"/>
    <w:rsid w:val="00811651"/>
    <w:rsid w:val="00820F5B"/>
    <w:rsid w:val="00833452"/>
    <w:rsid w:val="008614E5"/>
    <w:rsid w:val="008678EB"/>
    <w:rsid w:val="00875894"/>
    <w:rsid w:val="00881C10"/>
    <w:rsid w:val="00890411"/>
    <w:rsid w:val="008C3FAD"/>
    <w:rsid w:val="008D5C70"/>
    <w:rsid w:val="009025AF"/>
    <w:rsid w:val="00904F23"/>
    <w:rsid w:val="00906B3C"/>
    <w:rsid w:val="0095342C"/>
    <w:rsid w:val="009F33F2"/>
    <w:rsid w:val="009F6C77"/>
    <w:rsid w:val="00A07532"/>
    <w:rsid w:val="00A1085C"/>
    <w:rsid w:val="00A309E2"/>
    <w:rsid w:val="00A6518D"/>
    <w:rsid w:val="00A8066E"/>
    <w:rsid w:val="00A9321B"/>
    <w:rsid w:val="00AA4B8A"/>
    <w:rsid w:val="00AA6BF7"/>
    <w:rsid w:val="00AE36C6"/>
    <w:rsid w:val="00B01ED6"/>
    <w:rsid w:val="00B06D09"/>
    <w:rsid w:val="00B771A9"/>
    <w:rsid w:val="00B809BB"/>
    <w:rsid w:val="00B8248A"/>
    <w:rsid w:val="00BB7726"/>
    <w:rsid w:val="00BE4F5D"/>
    <w:rsid w:val="00C2329E"/>
    <w:rsid w:val="00C30461"/>
    <w:rsid w:val="00C501A2"/>
    <w:rsid w:val="00C57060"/>
    <w:rsid w:val="00C754BE"/>
    <w:rsid w:val="00C87572"/>
    <w:rsid w:val="00C9405D"/>
    <w:rsid w:val="00CB1BCA"/>
    <w:rsid w:val="00CC1B26"/>
    <w:rsid w:val="00CD284F"/>
    <w:rsid w:val="00CF23AA"/>
    <w:rsid w:val="00D01921"/>
    <w:rsid w:val="00D71707"/>
    <w:rsid w:val="00D752B7"/>
    <w:rsid w:val="00DA1854"/>
    <w:rsid w:val="00DB0887"/>
    <w:rsid w:val="00DF1E43"/>
    <w:rsid w:val="00E20894"/>
    <w:rsid w:val="00E26B7C"/>
    <w:rsid w:val="00E303B2"/>
    <w:rsid w:val="00E548CA"/>
    <w:rsid w:val="00EA3003"/>
    <w:rsid w:val="00EB3C91"/>
    <w:rsid w:val="00EB66DA"/>
    <w:rsid w:val="00F57D04"/>
    <w:rsid w:val="00F605F2"/>
    <w:rsid w:val="00F6663E"/>
    <w:rsid w:val="00F76AFC"/>
    <w:rsid w:val="00F8319B"/>
    <w:rsid w:val="00FA5516"/>
    <w:rsid w:val="00FB4479"/>
    <w:rsid w:val="00FD6F73"/>
    <w:rsid w:val="0914F3F0"/>
    <w:rsid w:val="1ABE39B8"/>
    <w:rsid w:val="1CC63BF5"/>
    <w:rsid w:val="2CC9608F"/>
    <w:rsid w:val="2F9951DC"/>
    <w:rsid w:val="3182D37E"/>
    <w:rsid w:val="368F905F"/>
    <w:rsid w:val="3B926E2E"/>
    <w:rsid w:val="3EA2D60F"/>
    <w:rsid w:val="4F5307DD"/>
    <w:rsid w:val="682F753F"/>
    <w:rsid w:val="6B8BD3AC"/>
    <w:rsid w:val="6E6CB760"/>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uiPriority w:val="99"/>
    <w:rsid w:val="006A61DF"/>
    <w:pPr>
      <w:spacing w:line="240" w:lineRule="exact"/>
    </w:pPr>
    <w:rPr>
      <w:vertAlign w:val="superscript"/>
    </w:rPr>
  </w:style>
  <w:style w:type="character" w:styleId="Hipervnculo">
    <w:name w:val="Hyperlink"/>
    <w:basedOn w:val="Fuentedeprrafopredeter"/>
    <w:uiPriority w:val="99"/>
    <w:unhideWhenUsed/>
    <w:rsid w:val="006A61DF"/>
    <w:rPr>
      <w:color w:val="0000FF"/>
      <w:u w:val="single"/>
    </w:rPr>
  </w:style>
  <w:style w:type="paragraph" w:styleId="NormalWeb">
    <w:name w:val="Normal (Web)"/>
    <w:basedOn w:val="Normal"/>
    <w:link w:val="NormalWebCar"/>
    <w:uiPriority w:val="99"/>
    <w:unhideWhenUsed/>
    <w:rsid w:val="006A61DF"/>
    <w:pPr>
      <w:spacing w:before="100" w:beforeAutospacing="1" w:after="100" w:afterAutospacing="1" w:line="240" w:lineRule="auto"/>
    </w:pPr>
    <w:rPr>
      <w:rFonts w:ascii="Times New Roman" w:eastAsia="Times New Roman" w:hAnsi="Times New Roman" w:cs="Times New Roman"/>
      <w:sz w:val="24"/>
      <w:szCs w:val="24"/>
      <w:lang w:val="es-ES_tradnl" w:eastAsia="es-MX"/>
    </w:rPr>
  </w:style>
  <w:style w:type="character" w:customStyle="1" w:styleId="NormalWebCar">
    <w:name w:val="Normal (Web) Car"/>
    <w:link w:val="NormalWeb"/>
    <w:uiPriority w:val="99"/>
    <w:rsid w:val="006A61DF"/>
    <w:rPr>
      <w:rFonts w:ascii="Times New Roman" w:eastAsia="Times New Roman" w:hAnsi="Times New Roman" w:cs="Times New Roman"/>
      <w:sz w:val="24"/>
      <w:szCs w:val="24"/>
      <w:lang w:val="es-ES_tradnl" w:eastAsia="es-MX"/>
    </w:rPr>
  </w:style>
  <w:style w:type="paragraph" w:customStyle="1" w:styleId="gmail-msonospacing">
    <w:name w:val="gmail-msonospacing"/>
    <w:basedOn w:val="Normal"/>
    <w:rsid w:val="006A61DF"/>
    <w:pPr>
      <w:spacing w:before="100" w:beforeAutospacing="1" w:after="100" w:afterAutospacing="1" w:line="240" w:lineRule="auto"/>
    </w:pPr>
    <w:rPr>
      <w:rFonts w:ascii="Calibri" w:hAnsi="Calibri" w:cs="Calibri"/>
      <w:lang w:val="es-ES" w:eastAsia="es-ES"/>
    </w:rPr>
  </w:style>
  <w:style w:type="table" w:customStyle="1" w:styleId="Tablaconcuadrcula1">
    <w:name w:val="Tabla con cuadrícula1"/>
    <w:basedOn w:val="Tablanormal"/>
    <w:next w:val="Tablaconcuadrcula"/>
    <w:uiPriority w:val="59"/>
    <w:rsid w:val="006A61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6A61DF"/>
    <w:rPr>
      <w:b/>
      <w:bCs/>
    </w:rPr>
  </w:style>
  <w:style w:type="character" w:styleId="nfasis">
    <w:name w:val="Emphasis"/>
    <w:basedOn w:val="Fuentedeprrafopredeter"/>
    <w:uiPriority w:val="20"/>
    <w:qFormat/>
    <w:rsid w:val="006A61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am-015@hot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a6cb9e4b-f1d1-4245-83ec-6cad768d538a"/>
    <ds:schemaRef ds:uri="http://purl.org/dc/terms/"/>
    <ds:schemaRef ds:uri="http://schemas.microsoft.com/office/2006/documentManagement/types"/>
    <ds:schemaRef ds:uri="http://purl.org/dc/elements/1.1/"/>
    <ds:schemaRef ds:uri="http://schemas.openxmlformats.org/package/2006/metadata/core-properties"/>
    <ds:schemaRef ds:uri="http://www.w3.org/XML/1998/namespace"/>
    <ds:schemaRef ds:uri="http://schemas.microsoft.com/office/infopath/2007/PartnerControls"/>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2CC946C-F56C-4D00-8456-BE9CC76841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5658</Words>
  <Characters>31123</Characters>
  <Application>Microsoft Office Word</Application>
  <DocSecurity>0</DocSecurity>
  <Lines>259</Lines>
  <Paragraphs>73</Paragraphs>
  <ScaleCrop>false</ScaleCrop>
  <Company/>
  <LinksUpToDate>false</LinksUpToDate>
  <CharactersWithSpaces>36708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2023-03-03T01:21:00Z</dcterms:created>
  <dcterms:modified xsi:type="dcterms:W3CDTF">2023-03-03T01:21:00Z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