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6A96" w14:textId="77777777" w:rsidR="005520DD" w:rsidRPr="00CC306F" w:rsidRDefault="005520DD" w:rsidP="005520DD">
      <w:pPr>
        <w:jc w:val="right"/>
        <w:rPr>
          <w:rFonts w:ascii="Geomanist Light" w:eastAsia="Calibri" w:hAnsi="Geomanist Light" w:cs="Arial"/>
          <w:b/>
          <w:color w:val="000000" w:themeColor="text1"/>
          <w:sz w:val="20"/>
          <w:szCs w:val="20"/>
          <w:lang w:val="es-ES_tradnl"/>
        </w:rPr>
      </w:pPr>
      <w:bookmarkStart w:id="0" w:name="_Hlk28946138"/>
      <w:bookmarkStart w:id="1" w:name="_Hlk29548183"/>
      <w:r w:rsidRPr="00CC306F">
        <w:rPr>
          <w:rFonts w:ascii="Geomanist Light" w:hAnsi="Geomanist Light" w:cs="Arial"/>
          <w:bCs/>
          <w:color w:val="000000" w:themeColor="text1"/>
          <w:sz w:val="16"/>
          <w:szCs w:val="16"/>
          <w:lang w:val="es-ES_tradnl" w:eastAsia="es-ES"/>
        </w:rPr>
        <w:t>CCE-DES-FM-17</w:t>
      </w:r>
      <w:bookmarkEnd w:id="0"/>
      <w:bookmarkEnd w:id="1"/>
    </w:p>
    <w:p w14:paraId="54209CE4" w14:textId="77777777" w:rsidR="00AC0A07" w:rsidRPr="00CC306F" w:rsidRDefault="00AC0A07" w:rsidP="00AC0A07">
      <w:pPr>
        <w:tabs>
          <w:tab w:val="left" w:pos="3374"/>
        </w:tabs>
        <w:jc w:val="both"/>
        <w:rPr>
          <w:rFonts w:ascii="Geomanist Light" w:hAnsi="Geomanist Light" w:cs="Arial"/>
          <w:b/>
          <w:color w:val="000000" w:themeColor="text1"/>
          <w:sz w:val="22"/>
          <w:szCs w:val="22"/>
        </w:rPr>
      </w:pPr>
      <w:r w:rsidRPr="00CC306F">
        <w:rPr>
          <w:rFonts w:ascii="Geomanist Light" w:hAnsi="Geomanist Light" w:cs="Arial"/>
          <w:b/>
          <w:bCs/>
          <w:sz w:val="22"/>
          <w:szCs w:val="22"/>
        </w:rPr>
        <w:t>COLOMBIA COMPRA EFICIENTE – Competencia Consultiva – Contratación Estatal – Normas Generales</w:t>
      </w:r>
    </w:p>
    <w:p w14:paraId="022FBD69" w14:textId="77777777" w:rsidR="00AC0A07" w:rsidRPr="00CC306F" w:rsidRDefault="00AC0A07" w:rsidP="00AC0A07">
      <w:pPr>
        <w:tabs>
          <w:tab w:val="left" w:pos="3374"/>
        </w:tabs>
        <w:spacing w:line="276" w:lineRule="auto"/>
        <w:jc w:val="both"/>
        <w:rPr>
          <w:rFonts w:ascii="Geomanist Light" w:hAnsi="Geomanist Light" w:cs="Arial"/>
          <w:b/>
          <w:bCs/>
          <w:sz w:val="20"/>
          <w:szCs w:val="20"/>
        </w:rPr>
      </w:pPr>
    </w:p>
    <w:p w14:paraId="7C820BCE" w14:textId="77777777" w:rsidR="00AC0A07" w:rsidRPr="00CC306F" w:rsidRDefault="00AC0A07" w:rsidP="005E6D4A">
      <w:pPr>
        <w:tabs>
          <w:tab w:val="left" w:pos="3374"/>
        </w:tabs>
        <w:jc w:val="both"/>
        <w:rPr>
          <w:rFonts w:ascii="Geomanist Light" w:hAnsi="Geomanist Light" w:cs="Arial"/>
          <w:sz w:val="20"/>
          <w:szCs w:val="20"/>
        </w:rPr>
      </w:pPr>
      <w:r w:rsidRPr="00CC306F">
        <w:rPr>
          <w:rFonts w:ascii="Geomanist Light" w:hAnsi="Geomanist Light" w:cs="Arial"/>
          <w:sz w:val="20"/>
          <w:szCs w:val="20"/>
        </w:rPr>
        <w:t xml:space="preserve">Es necesario tener en cuenta que esta entidad solo tiene competencia para responder solicitudes sobre la aplicación de normas de carácter general en materia de compras y contratación pública. </w:t>
      </w:r>
    </w:p>
    <w:p w14:paraId="240BD38D" w14:textId="77777777" w:rsidR="00AC0A07" w:rsidRPr="00CC306F" w:rsidRDefault="00AC0A07" w:rsidP="005E6D4A">
      <w:pPr>
        <w:tabs>
          <w:tab w:val="left" w:pos="3374"/>
        </w:tabs>
        <w:jc w:val="both"/>
        <w:rPr>
          <w:rFonts w:ascii="Geomanist Light" w:hAnsi="Geomanist Light" w:cs="Arial"/>
          <w:sz w:val="20"/>
          <w:szCs w:val="20"/>
        </w:rPr>
      </w:pPr>
    </w:p>
    <w:p w14:paraId="74BFA069" w14:textId="77777777" w:rsidR="00AC0A07" w:rsidRPr="00CC306F" w:rsidRDefault="00AC0A07" w:rsidP="005E6D4A">
      <w:pPr>
        <w:tabs>
          <w:tab w:val="left" w:pos="3374"/>
        </w:tabs>
        <w:jc w:val="both"/>
        <w:rPr>
          <w:rFonts w:ascii="Geomanist Light" w:hAnsi="Geomanist Light" w:cs="Arial"/>
          <w:color w:val="000000" w:themeColor="text1"/>
          <w:sz w:val="20"/>
          <w:szCs w:val="20"/>
          <w:lang w:val="es-ES"/>
        </w:rPr>
      </w:pPr>
      <w:r w:rsidRPr="00CC306F">
        <w:rPr>
          <w:rFonts w:ascii="Geomanist Light" w:hAnsi="Geomanist Light" w:cs="Arial"/>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tampoco puede extenderse a la resolución de controversias, ni a brindar asesorías sobre casos puntuales</w:t>
      </w:r>
      <w:r w:rsidRPr="00CC306F">
        <w:rPr>
          <w:rFonts w:ascii="Geomanist Light" w:hAnsi="Geomanist Light" w:cs="Arial"/>
          <w:color w:val="000000" w:themeColor="text1"/>
          <w:sz w:val="20"/>
          <w:szCs w:val="20"/>
          <w:lang w:val="es-ES"/>
        </w:rPr>
        <w:t xml:space="preserve">. </w:t>
      </w:r>
    </w:p>
    <w:p w14:paraId="0D955610" w14:textId="77777777" w:rsidR="00AC0A07" w:rsidRPr="00CC306F" w:rsidRDefault="00AC0A07" w:rsidP="0024608A">
      <w:pPr>
        <w:jc w:val="both"/>
        <w:textAlignment w:val="baseline"/>
        <w:rPr>
          <w:rFonts w:ascii="Geomanist Light" w:hAnsi="Geomanist Light" w:cs="Arial"/>
          <w:b/>
          <w:sz w:val="22"/>
          <w:szCs w:val="22"/>
          <w:lang w:val="es-ES"/>
        </w:rPr>
      </w:pPr>
    </w:p>
    <w:p w14:paraId="56797C32" w14:textId="77777777" w:rsidR="00934B91" w:rsidRPr="00CC306F" w:rsidRDefault="00934B91" w:rsidP="00E94C52">
      <w:pPr>
        <w:tabs>
          <w:tab w:val="left" w:pos="3374"/>
        </w:tabs>
        <w:jc w:val="both"/>
        <w:rPr>
          <w:rFonts w:ascii="Geomanist Light" w:hAnsi="Geomanist Light" w:cs="Arial"/>
          <w:b/>
          <w:bCs/>
          <w:sz w:val="22"/>
          <w:szCs w:val="22"/>
        </w:rPr>
      </w:pPr>
      <w:r w:rsidRPr="00CC306F">
        <w:rPr>
          <w:rFonts w:ascii="Geomanist Light" w:hAnsi="Geomanist Light" w:cs="Arial"/>
          <w:b/>
          <w:bCs/>
          <w:sz w:val="22"/>
          <w:szCs w:val="22"/>
        </w:rPr>
        <w:t>DOCUMENTOS TIPO – Fundamento normativo – Generalidades</w:t>
      </w:r>
    </w:p>
    <w:p w14:paraId="0D9E704B" w14:textId="77777777" w:rsidR="00934B91" w:rsidRPr="00CC306F" w:rsidRDefault="00934B91" w:rsidP="00E94C52">
      <w:pPr>
        <w:tabs>
          <w:tab w:val="left" w:pos="3374"/>
        </w:tabs>
        <w:jc w:val="both"/>
        <w:rPr>
          <w:rFonts w:ascii="Geomanist Light" w:hAnsi="Geomanist Light" w:cs="Arial"/>
          <w:b/>
          <w:bCs/>
          <w:sz w:val="22"/>
          <w:szCs w:val="22"/>
        </w:rPr>
      </w:pPr>
    </w:p>
    <w:p w14:paraId="1246B6D4" w14:textId="666E40AD" w:rsidR="00934B91" w:rsidRPr="00CC306F" w:rsidRDefault="00934B91" w:rsidP="00934B91">
      <w:pPr>
        <w:jc w:val="both"/>
        <w:rPr>
          <w:rFonts w:ascii="Geomanist Light" w:hAnsi="Geomanist Light" w:cs="Arial"/>
          <w:sz w:val="20"/>
          <w:szCs w:val="20"/>
        </w:rPr>
      </w:pPr>
      <w:r w:rsidRPr="00CC306F">
        <w:rPr>
          <w:rFonts w:ascii="Geomanist Light" w:hAnsi="Geomanist Light" w:cs="Arial"/>
          <w:sz w:val="20"/>
          <w:szCs w:val="20"/>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w:t>
      </w:r>
      <w:r w:rsidR="00B84CF1" w:rsidRPr="00CC306F">
        <w:rPr>
          <w:rFonts w:ascii="Geomanist Light" w:hAnsi="Geomanist Light" w:cs="Arial"/>
          <w:sz w:val="20"/>
          <w:szCs w:val="20"/>
        </w:rPr>
        <w:t xml:space="preserve">l sistema para su revisión». Así </w:t>
      </w:r>
      <w:r w:rsidRPr="00CC306F">
        <w:rPr>
          <w:rFonts w:ascii="Geomanist Light" w:hAnsi="Geomanist Light" w:cs="Arial"/>
          <w:sz w:val="20"/>
          <w:szCs w:val="20"/>
        </w:rPr>
        <w:t xml:space="preserve">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3DE0A4BA" w14:textId="77777777" w:rsidR="00934B91" w:rsidRPr="00CC306F" w:rsidRDefault="00934B91" w:rsidP="00934B91">
      <w:pPr>
        <w:jc w:val="both"/>
        <w:rPr>
          <w:rFonts w:ascii="Geomanist Light" w:eastAsia="Calibri" w:hAnsi="Geomanist Light" w:cs="Arial"/>
          <w:color w:val="000000"/>
          <w:sz w:val="20"/>
          <w:szCs w:val="20"/>
          <w:lang w:val="es-ES"/>
        </w:rPr>
      </w:pPr>
    </w:p>
    <w:p w14:paraId="2531081A" w14:textId="77777777" w:rsidR="00934B91" w:rsidRPr="00CC306F" w:rsidRDefault="00934B91" w:rsidP="00E94C52">
      <w:pPr>
        <w:tabs>
          <w:tab w:val="left" w:pos="3374"/>
        </w:tabs>
        <w:jc w:val="both"/>
        <w:rPr>
          <w:rFonts w:ascii="Geomanist Light" w:hAnsi="Geomanist Light" w:cs="Arial"/>
          <w:b/>
          <w:bCs/>
          <w:sz w:val="22"/>
          <w:szCs w:val="22"/>
        </w:rPr>
      </w:pPr>
      <w:r w:rsidRPr="00CC306F">
        <w:rPr>
          <w:rFonts w:ascii="Geomanist Light" w:hAnsi="Geomanist Light" w:cs="Arial"/>
          <w:b/>
          <w:bCs/>
          <w:sz w:val="22"/>
          <w:szCs w:val="22"/>
        </w:rPr>
        <w:t>PERSONAS CON DISCAPACIDAD – Puntaje adicional – Fundamento normativo </w:t>
      </w:r>
    </w:p>
    <w:p w14:paraId="65109680" w14:textId="77777777" w:rsidR="00934B91" w:rsidRPr="00CC306F" w:rsidRDefault="00934B91" w:rsidP="00934B91">
      <w:pPr>
        <w:jc w:val="both"/>
        <w:rPr>
          <w:rFonts w:ascii="Geomanist Light" w:hAnsi="Geomanist Light" w:cs="Arial"/>
          <w:color w:val="000000"/>
          <w:sz w:val="20"/>
          <w:szCs w:val="20"/>
          <w:lang w:eastAsia="es-MX"/>
        </w:rPr>
      </w:pPr>
    </w:p>
    <w:p w14:paraId="486A8A29" w14:textId="77777777" w:rsidR="00934B91" w:rsidRPr="00CC306F" w:rsidRDefault="00934B91" w:rsidP="00934B91">
      <w:pPr>
        <w:jc w:val="both"/>
        <w:rPr>
          <w:rFonts w:ascii="Geomanist Light" w:hAnsi="Geomanist Light" w:cs="Arial"/>
          <w:sz w:val="20"/>
          <w:szCs w:val="20"/>
        </w:rPr>
      </w:pPr>
      <w:r w:rsidRPr="00CC306F">
        <w:rPr>
          <w:rFonts w:ascii="Geomanist Light" w:hAnsi="Geomanist Light" w:cs="Arial"/>
          <w:sz w:val="20"/>
          <w:szCs w:val="20"/>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 </w:t>
      </w:r>
    </w:p>
    <w:p w14:paraId="3A4322AF" w14:textId="77777777" w:rsidR="00934B91" w:rsidRPr="00CC306F" w:rsidRDefault="00934B91" w:rsidP="00934B91">
      <w:pPr>
        <w:rPr>
          <w:rFonts w:ascii="Geomanist Light" w:hAnsi="Geomanist Light" w:cs="Arial"/>
          <w:color w:val="000000"/>
          <w:lang w:eastAsia="es-MX"/>
        </w:rPr>
      </w:pPr>
    </w:p>
    <w:p w14:paraId="3C965A9B" w14:textId="77777777" w:rsidR="00934B91" w:rsidRPr="00CC306F" w:rsidRDefault="00934B91" w:rsidP="00E94C52">
      <w:pPr>
        <w:tabs>
          <w:tab w:val="left" w:pos="3374"/>
        </w:tabs>
        <w:jc w:val="both"/>
        <w:rPr>
          <w:rFonts w:ascii="Geomanist Light" w:hAnsi="Geomanist Light" w:cs="Arial"/>
          <w:b/>
          <w:bCs/>
          <w:sz w:val="22"/>
          <w:szCs w:val="22"/>
        </w:rPr>
      </w:pPr>
      <w:r w:rsidRPr="00CC306F">
        <w:rPr>
          <w:rFonts w:ascii="Geomanist Light" w:hAnsi="Geomanist Light" w:cs="Arial"/>
          <w:b/>
          <w:bCs/>
          <w:sz w:val="22"/>
          <w:szCs w:val="22"/>
        </w:rPr>
        <w:t>PUNTAJE ADICIONAL – Personas con discapacidad – Requisitos – Acreditación – Formato 8</w:t>
      </w:r>
    </w:p>
    <w:p w14:paraId="6F1ECDA3" w14:textId="77777777" w:rsidR="00934B91" w:rsidRPr="00CC306F" w:rsidRDefault="00934B91" w:rsidP="00934B91">
      <w:pPr>
        <w:jc w:val="both"/>
        <w:rPr>
          <w:rFonts w:ascii="Geomanist Light" w:hAnsi="Geomanist Light" w:cs="Arial"/>
          <w:color w:val="000000"/>
          <w:lang w:val="es-ES"/>
        </w:rPr>
      </w:pPr>
    </w:p>
    <w:p w14:paraId="287A67CE" w14:textId="76F0D902" w:rsidR="00AC0A07" w:rsidRPr="00CC306F" w:rsidRDefault="00934B91" w:rsidP="00934B91">
      <w:pPr>
        <w:jc w:val="both"/>
        <w:rPr>
          <w:rFonts w:ascii="Geomanist Light" w:hAnsi="Geomanist Light" w:cs="Arial"/>
          <w:sz w:val="20"/>
          <w:szCs w:val="20"/>
        </w:rPr>
      </w:pPr>
      <w:r w:rsidRPr="00CC306F">
        <w:rPr>
          <w:rFonts w:ascii="Geomanist Light" w:hAnsi="Geomanist Light" w:cs="Arial"/>
          <w:sz w:val="20"/>
          <w:szCs w:val="20"/>
        </w:rPr>
        <w:t>[…] para que un proponente obtenga el puntaje de vinculación de personas con discapacidad deberá cumplir con lo previsto en el apartado 4.4 del documento base. En este contexto, i) debe certificar el número total de trabajadores vinculados a la planta de personal del proponente o sus integrantes a la fecha de cierre del proceso de selección, mediante la suscripción del «Formato 8 – Vinculación de personas con discapacidad» y ii) aportar el certificado del Ministerio de Trabajo en el que se acredite el número mínimo de personas con discapacidad en la planta de personal, el cual deberá estar vigente a la fecha de cierre del proceso de selección.</w:t>
      </w:r>
    </w:p>
    <w:p w14:paraId="10C219D7" w14:textId="25812C43" w:rsidR="0054133E" w:rsidRPr="00CC306F" w:rsidRDefault="0054133E" w:rsidP="00934B91">
      <w:pPr>
        <w:jc w:val="both"/>
        <w:rPr>
          <w:rFonts w:ascii="Geomanist Light" w:hAnsi="Geomanist Light" w:cs="Arial"/>
          <w:sz w:val="20"/>
          <w:szCs w:val="20"/>
        </w:rPr>
      </w:pPr>
    </w:p>
    <w:p w14:paraId="678BCB7F" w14:textId="0AB47AB4" w:rsidR="0054133E" w:rsidRPr="00CC306F" w:rsidRDefault="0054133E" w:rsidP="00934B91">
      <w:pPr>
        <w:jc w:val="both"/>
        <w:rPr>
          <w:rFonts w:ascii="Geomanist Light" w:hAnsi="Geomanist Light" w:cs="Arial"/>
          <w:b/>
          <w:bCs/>
          <w:sz w:val="22"/>
          <w:szCs w:val="22"/>
        </w:rPr>
      </w:pPr>
      <w:r w:rsidRPr="00CC306F">
        <w:rPr>
          <w:rFonts w:ascii="Geomanist Light" w:hAnsi="Geomanist Light" w:cs="Arial"/>
          <w:b/>
          <w:bCs/>
          <w:sz w:val="22"/>
          <w:szCs w:val="22"/>
        </w:rPr>
        <w:t>SOLICITUD DE ACLARACIONES</w:t>
      </w:r>
      <w:r w:rsidR="00472C17" w:rsidRPr="00CC306F">
        <w:rPr>
          <w:rFonts w:ascii="Geomanist Light" w:hAnsi="Geomanist Light" w:cs="Arial"/>
          <w:b/>
          <w:bCs/>
          <w:sz w:val="22"/>
          <w:szCs w:val="22"/>
        </w:rPr>
        <w:t> – </w:t>
      </w:r>
      <w:r w:rsidRPr="00CC306F">
        <w:rPr>
          <w:rFonts w:ascii="Geomanist Light" w:hAnsi="Geomanist Light" w:cs="Arial"/>
          <w:b/>
          <w:bCs/>
          <w:sz w:val="22"/>
          <w:szCs w:val="22"/>
        </w:rPr>
        <w:t>Propuesta</w:t>
      </w:r>
      <w:r w:rsidR="00472C17" w:rsidRPr="00CC306F">
        <w:rPr>
          <w:rFonts w:ascii="Geomanist Light" w:hAnsi="Geomanist Light" w:cs="Arial"/>
          <w:b/>
          <w:bCs/>
          <w:sz w:val="22"/>
          <w:szCs w:val="22"/>
        </w:rPr>
        <w:t> – Aspectos oscuros o confusos</w:t>
      </w:r>
    </w:p>
    <w:p w14:paraId="3FE4F4BD" w14:textId="65C831F4" w:rsidR="00472C17" w:rsidRPr="00CC306F" w:rsidRDefault="00472C17" w:rsidP="00934B91">
      <w:pPr>
        <w:jc w:val="both"/>
        <w:rPr>
          <w:rFonts w:ascii="Geomanist Light" w:hAnsi="Geomanist Light" w:cs="Arial"/>
          <w:b/>
          <w:bCs/>
          <w:sz w:val="22"/>
          <w:szCs w:val="22"/>
        </w:rPr>
      </w:pPr>
    </w:p>
    <w:p w14:paraId="1894301A" w14:textId="0CA0D26A" w:rsidR="00472C17" w:rsidRPr="00CC306F" w:rsidRDefault="00E10B8D" w:rsidP="00E10B8D">
      <w:pPr>
        <w:spacing w:before="120" w:after="120"/>
        <w:jc w:val="both"/>
        <w:rPr>
          <w:rFonts w:ascii="Geomanist Light" w:hAnsi="Geomanist Light" w:cs="Arial"/>
          <w:sz w:val="20"/>
          <w:szCs w:val="20"/>
        </w:rPr>
      </w:pPr>
      <w:r w:rsidRPr="00CC306F">
        <w:rPr>
          <w:rFonts w:ascii="Geomanist Light" w:hAnsi="Geomanist Light" w:cs="Arial"/>
          <w:sz w:val="20"/>
          <w:szCs w:val="20"/>
        </w:rPr>
        <w:t xml:space="preserve">[…] </w:t>
      </w:r>
      <w:r w:rsidR="00472C17" w:rsidRPr="00CC306F">
        <w:rPr>
          <w:rFonts w:ascii="Geomanist Light" w:hAnsi="Geomanist Light" w:cs="Arial"/>
          <w:sz w:val="20"/>
          <w:szCs w:val="20"/>
        </w:rPr>
        <w:t xml:space="preserve">la entidad cuenta con la facultad de «solicitar a los proponentes las aclaraciones y explicaciones que se estimen indispensables», establecida en el artículo 30-7 de la Ley 80 de 1993. </w:t>
      </w:r>
    </w:p>
    <w:p w14:paraId="4C31542D" w14:textId="607DA5E0" w:rsidR="00472C17" w:rsidRPr="00CC306F" w:rsidRDefault="00472C17" w:rsidP="00E10B8D">
      <w:pPr>
        <w:jc w:val="both"/>
        <w:rPr>
          <w:rFonts w:ascii="Geomanist Light" w:hAnsi="Geomanist Light" w:cs="Arial"/>
          <w:sz w:val="20"/>
          <w:szCs w:val="20"/>
        </w:rPr>
      </w:pPr>
      <w:r w:rsidRPr="00CC306F">
        <w:rPr>
          <w:rFonts w:ascii="Geomanist Light" w:hAnsi="Geomanist Light" w:cs="Arial"/>
          <w:sz w:val="20"/>
          <w:szCs w:val="20"/>
        </w:rPr>
        <w:t xml:space="preserve">El ejercicio de la facultad de solicitar las aclaraciones que permitan que las entidades obtengan la certeza de la información y para ello podrán requerir a los proponentes la aclaración y documentos de los aspectos de su propuesta que, en principio, resultan oscuros o confusos de cara a la evaluación, diferenciándose esta facultad de la </w:t>
      </w:r>
      <w:proofErr w:type="spellStart"/>
      <w:r w:rsidRPr="00CC306F">
        <w:rPr>
          <w:rFonts w:ascii="Geomanist Light" w:hAnsi="Geomanist Light" w:cs="Arial"/>
          <w:sz w:val="20"/>
          <w:szCs w:val="20"/>
        </w:rPr>
        <w:t>subsanabilidad</w:t>
      </w:r>
      <w:proofErr w:type="spellEnd"/>
      <w:r w:rsidRPr="00CC306F">
        <w:rPr>
          <w:rFonts w:ascii="Geomanist Light" w:hAnsi="Geomanist Light" w:cs="Arial"/>
          <w:sz w:val="20"/>
          <w:szCs w:val="20"/>
        </w:rPr>
        <w:t>, pues no parte del supuesto de la ausencia de requisitos de la oferta sino de la existencia de inconsistencias en la misma, cuyo esclarecimiento se requiere para la evaluar la propuesta.</w:t>
      </w:r>
    </w:p>
    <w:p w14:paraId="4F516461" w14:textId="77777777" w:rsidR="00472C17" w:rsidRPr="00CC306F" w:rsidRDefault="00472C17" w:rsidP="00472C17">
      <w:pPr>
        <w:jc w:val="both"/>
        <w:rPr>
          <w:rFonts w:ascii="Geomanist Light" w:hAnsi="Geomanist Light" w:cs="Arial"/>
          <w:b/>
          <w:bCs/>
          <w:sz w:val="22"/>
          <w:szCs w:val="22"/>
        </w:rPr>
      </w:pPr>
    </w:p>
    <w:p w14:paraId="7FF4485D" w14:textId="77777777" w:rsidR="0054133E" w:rsidRPr="00CC306F" w:rsidRDefault="0054133E" w:rsidP="0054133E">
      <w:pPr>
        <w:jc w:val="both"/>
        <w:rPr>
          <w:rFonts w:ascii="Geomanist Light" w:eastAsia="Calibri" w:hAnsi="Geomanist Light" w:cs="Arial"/>
          <w:b/>
          <w:color w:val="000000" w:themeColor="text1"/>
          <w:sz w:val="22"/>
        </w:rPr>
      </w:pPr>
      <w:r w:rsidRPr="00CC306F">
        <w:rPr>
          <w:rFonts w:ascii="Geomanist Light" w:eastAsia="Calibri" w:hAnsi="Geomanist Light" w:cs="Arial"/>
          <w:b/>
          <w:color w:val="000000" w:themeColor="text1"/>
          <w:sz w:val="22"/>
        </w:rPr>
        <w:t>LEY DE EMPRENDIMIENTO – Ley 2069 de 2020 – Artículo 32 – Criterios diferenciales – Emprendimientos de mujeres – Empresas de mujeres – Necesidad de reglamentación – Decreto 1860 de 2021</w:t>
      </w:r>
    </w:p>
    <w:p w14:paraId="59891237" w14:textId="77777777" w:rsidR="0054133E" w:rsidRPr="00CC306F" w:rsidRDefault="0054133E" w:rsidP="0054133E">
      <w:pPr>
        <w:jc w:val="both"/>
        <w:rPr>
          <w:rFonts w:ascii="Geomanist Light" w:eastAsia="Calibri" w:hAnsi="Geomanist Light" w:cs="Arial"/>
          <w:b/>
          <w:color w:val="000000" w:themeColor="text1"/>
          <w:sz w:val="22"/>
        </w:rPr>
      </w:pPr>
    </w:p>
    <w:p w14:paraId="7A8CC0B0" w14:textId="77777777" w:rsidR="0054133E" w:rsidRPr="00CC306F" w:rsidRDefault="0054133E" w:rsidP="0054133E">
      <w:pPr>
        <w:tabs>
          <w:tab w:val="left" w:pos="709"/>
        </w:tabs>
        <w:jc w:val="both"/>
        <w:rPr>
          <w:rFonts w:ascii="Geomanist Light" w:hAnsi="Geomanist Light" w:cs="Arial"/>
          <w:sz w:val="20"/>
          <w:szCs w:val="20"/>
        </w:rPr>
      </w:pPr>
      <w:r w:rsidRPr="00CC306F">
        <w:rPr>
          <w:rFonts w:ascii="Geomanist Light" w:hAnsi="Geomanist Light" w:cs="Arial"/>
          <w:sz w:val="20"/>
          <w:szCs w:val="20"/>
        </w:rPr>
        <w:t xml:space="preserve">[…] el artículo 32 de la Ley 2069 de 2020 regula criterios diferenciales para los «emprendimientos y empresas de mujeres» en el sistema de compras y contratación pública. […] 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04C911AF" w14:textId="77777777" w:rsidR="0054133E" w:rsidRPr="00CC306F" w:rsidRDefault="0054133E" w:rsidP="0054133E">
      <w:pPr>
        <w:spacing w:before="120" w:after="120"/>
        <w:jc w:val="both"/>
        <w:rPr>
          <w:rFonts w:ascii="Geomanist Light" w:hAnsi="Geomanist Light" w:cs="Arial"/>
          <w:sz w:val="20"/>
          <w:szCs w:val="20"/>
        </w:rPr>
      </w:pPr>
      <w:r w:rsidRPr="00CC306F">
        <w:rPr>
          <w:rFonts w:ascii="Geomanist Light" w:hAnsi="Geomanist Light" w:cs="Arial"/>
          <w:sz w:val="20"/>
          <w:szCs w:val="20"/>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 En este contexto, 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  </w:t>
      </w:r>
    </w:p>
    <w:p w14:paraId="30B80FDC" w14:textId="77777777" w:rsidR="0054133E" w:rsidRPr="00CC306F" w:rsidRDefault="0054133E" w:rsidP="0054133E">
      <w:pPr>
        <w:jc w:val="both"/>
        <w:rPr>
          <w:rFonts w:ascii="Geomanist Light" w:eastAsia="Calibri" w:hAnsi="Geomanist Light" w:cs="Arial"/>
          <w:b/>
          <w:color w:val="000000" w:themeColor="text1"/>
          <w:sz w:val="22"/>
          <w:szCs w:val="22"/>
          <w:lang w:val="es-ES"/>
        </w:rPr>
      </w:pPr>
      <w:r w:rsidRPr="00CC306F">
        <w:rPr>
          <w:rFonts w:ascii="Geomanist Light" w:eastAsia="Calibri" w:hAnsi="Geomanist Light" w:cs="Arial"/>
          <w:b/>
          <w:color w:val="000000" w:themeColor="text1"/>
          <w:sz w:val="22"/>
          <w:szCs w:val="22"/>
          <w:lang w:val="es-ES"/>
        </w:rPr>
        <w:t>DECRETO 1860 DE 2021 – Vigencia</w:t>
      </w:r>
    </w:p>
    <w:p w14:paraId="204547FC" w14:textId="77777777" w:rsidR="0054133E" w:rsidRPr="00CC306F" w:rsidRDefault="0054133E" w:rsidP="0054133E">
      <w:pPr>
        <w:jc w:val="both"/>
        <w:rPr>
          <w:rFonts w:ascii="Geomanist Light" w:eastAsia="Calibri" w:hAnsi="Geomanist Light" w:cs="Arial"/>
          <w:b/>
          <w:color w:val="000000" w:themeColor="text1"/>
          <w:sz w:val="20"/>
          <w:szCs w:val="20"/>
          <w:lang w:val="es-ES"/>
        </w:rPr>
      </w:pPr>
    </w:p>
    <w:p w14:paraId="1CE758F4" w14:textId="77777777" w:rsidR="0054133E" w:rsidRPr="00CC306F" w:rsidRDefault="0054133E" w:rsidP="0054133E">
      <w:pPr>
        <w:jc w:val="both"/>
        <w:rPr>
          <w:rFonts w:ascii="Geomanist Light" w:eastAsia="Calibri" w:hAnsi="Geomanist Light" w:cs="Arial"/>
          <w:bCs/>
          <w:color w:val="000000" w:themeColor="text1"/>
          <w:sz w:val="20"/>
          <w:szCs w:val="20"/>
        </w:rPr>
      </w:pPr>
      <w:r w:rsidRPr="00CC306F">
        <w:rPr>
          <w:rFonts w:ascii="Geomanist Light" w:hAnsi="Geomanist Light" w:cs="Arial"/>
          <w:sz w:val="20"/>
          <w:szCs w:val="20"/>
        </w:rPr>
        <w:t>[…] 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–según corresponda– sean publicados con posterioridad a dicho momento, es decir, a partir del 24 de marzo de 2022, por lo que actualmente esta es la regulación vigente</w:t>
      </w:r>
      <w:r w:rsidRPr="00CC306F">
        <w:rPr>
          <w:rFonts w:ascii="Geomanist Light" w:hAnsi="Geomanist Light" w:cs="Arial"/>
          <w:color w:val="000000" w:themeColor="text1"/>
          <w:sz w:val="22"/>
          <w:szCs w:val="22"/>
          <w:lang w:eastAsia="es-CO"/>
        </w:rPr>
        <w:t>.</w:t>
      </w:r>
    </w:p>
    <w:p w14:paraId="724C4A46" w14:textId="77777777" w:rsidR="0054133E" w:rsidRPr="00CC306F" w:rsidRDefault="0054133E" w:rsidP="0054133E">
      <w:pPr>
        <w:jc w:val="both"/>
        <w:rPr>
          <w:rFonts w:ascii="Geomanist Light" w:eastAsia="Calibri" w:hAnsi="Geomanist Light" w:cs="Arial"/>
          <w:b/>
          <w:color w:val="000000" w:themeColor="text1"/>
          <w:sz w:val="20"/>
          <w:szCs w:val="20"/>
          <w:lang w:val="es-ES"/>
        </w:rPr>
      </w:pPr>
    </w:p>
    <w:p w14:paraId="73CA6420" w14:textId="3BA89EAB" w:rsidR="0054133E" w:rsidRPr="00CC306F" w:rsidRDefault="0054133E" w:rsidP="0054133E">
      <w:pPr>
        <w:jc w:val="both"/>
        <w:rPr>
          <w:rFonts w:ascii="Geomanist Light" w:eastAsia="Calibri" w:hAnsi="Geomanist Light" w:cs="Arial"/>
          <w:b/>
          <w:sz w:val="22"/>
          <w:szCs w:val="22"/>
          <w:lang w:val="es-ES_tradnl"/>
        </w:rPr>
      </w:pPr>
      <w:r w:rsidRPr="00CC306F">
        <w:rPr>
          <w:rFonts w:ascii="Geomanist Light" w:eastAsia="Calibri" w:hAnsi="Geomanist Light" w:cs="Arial"/>
          <w:b/>
          <w:color w:val="000000" w:themeColor="text1"/>
          <w:sz w:val="22"/>
          <w:szCs w:val="22"/>
          <w:lang w:val="es-ES"/>
        </w:rPr>
        <w:lastRenderedPageBreak/>
        <w:t>DECRETO 1860 DE 2021 – Emprendimientos y empresas de mujeres – Definición – Artículo 2.2.1.2.4.2.14 –</w:t>
      </w:r>
      <w:r w:rsidR="00033E4B" w:rsidRPr="00CC306F">
        <w:rPr>
          <w:rFonts w:ascii="Geomanist Light" w:eastAsia="Calibri" w:hAnsi="Geomanist Light" w:cs="Arial"/>
          <w:b/>
          <w:color w:val="000000" w:themeColor="text1"/>
          <w:sz w:val="22"/>
          <w:szCs w:val="22"/>
          <w:lang w:val="es-ES"/>
        </w:rPr>
        <w:t xml:space="preserve"> </w:t>
      </w:r>
      <w:r w:rsidRPr="00CC306F">
        <w:rPr>
          <w:rFonts w:ascii="Geomanist Light" w:eastAsia="Calibri" w:hAnsi="Geomanist Light" w:cs="Arial"/>
          <w:b/>
          <w:sz w:val="22"/>
          <w:szCs w:val="22"/>
          <w:lang w:val="es-ES_tradnl"/>
        </w:rPr>
        <w:t>Acreditación</w:t>
      </w:r>
    </w:p>
    <w:p w14:paraId="367013D7" w14:textId="77777777" w:rsidR="0054133E" w:rsidRPr="00CC306F" w:rsidRDefault="0054133E" w:rsidP="0054133E">
      <w:pPr>
        <w:jc w:val="both"/>
        <w:rPr>
          <w:rFonts w:ascii="Geomanist Light" w:eastAsia="Calibri" w:hAnsi="Geomanist Light" w:cs="Arial"/>
          <w:b/>
          <w:sz w:val="22"/>
          <w:szCs w:val="22"/>
          <w:lang w:val="es-ES_tradnl"/>
        </w:rPr>
      </w:pPr>
    </w:p>
    <w:p w14:paraId="04B5EE75" w14:textId="77777777" w:rsidR="0054133E" w:rsidRPr="00CC306F" w:rsidRDefault="0054133E" w:rsidP="0054133E">
      <w:pPr>
        <w:spacing w:after="120"/>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el artículo 2.2.1.2.4.2.14 del Decreto 1082 de 2015, adicionado por el Decreto 1860 de 2021, reglamentó in extenso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p>
    <w:p w14:paraId="5289BFB1" w14:textId="77777777" w:rsidR="0054133E" w:rsidRPr="00CC306F" w:rsidRDefault="0054133E" w:rsidP="0054133E">
      <w:pPr>
        <w:spacing w:after="120"/>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las definiciones establecidas en los numerales 1 y 2 del artículo 2.2.1.2.4.2.14, les corresponde presentar la mencionada certificación con sus respectivos soportes.</w:t>
      </w:r>
    </w:p>
    <w:p w14:paraId="06C77E76" w14:textId="59606F26" w:rsidR="002C21DC" w:rsidRPr="00CC306F" w:rsidRDefault="002C21DC" w:rsidP="002C21DC">
      <w:pPr>
        <w:jc w:val="both"/>
        <w:rPr>
          <w:rFonts w:ascii="Geomanist Light" w:eastAsia="Calibri" w:hAnsi="Geomanist Light" w:cs="Arial"/>
          <w:b/>
          <w:color w:val="000000" w:themeColor="text1"/>
          <w:sz w:val="22"/>
          <w:szCs w:val="22"/>
          <w:lang w:val="es-ES"/>
        </w:rPr>
      </w:pPr>
      <w:r w:rsidRPr="00CC306F">
        <w:rPr>
          <w:rFonts w:ascii="Geomanist Light" w:eastAsia="Calibri" w:hAnsi="Geomanist Light" w:cs="Arial"/>
          <w:b/>
          <w:color w:val="000000" w:themeColor="text1"/>
          <w:sz w:val="22"/>
          <w:szCs w:val="22"/>
          <w:lang w:val="es-ES"/>
        </w:rPr>
        <w:t xml:space="preserve">DECRETO 1860 DE 2021 – Criterios diferenciales </w:t>
      </w:r>
      <w:r w:rsidR="00D01BA7" w:rsidRPr="00CC306F">
        <w:rPr>
          <w:rFonts w:ascii="Geomanist Light" w:eastAsia="Calibri" w:hAnsi="Geomanist Light" w:cs="Arial"/>
          <w:b/>
          <w:color w:val="000000" w:themeColor="text1"/>
          <w:sz w:val="22"/>
          <w:szCs w:val="22"/>
          <w:lang w:val="es-ES"/>
        </w:rPr>
        <w:t xml:space="preserve">y Puntajes Adicionales </w:t>
      </w:r>
      <w:r w:rsidRPr="00CC306F">
        <w:rPr>
          <w:rFonts w:ascii="Geomanist Light" w:eastAsia="Calibri" w:hAnsi="Geomanist Light" w:cs="Arial"/>
          <w:b/>
          <w:color w:val="000000" w:themeColor="text1"/>
          <w:sz w:val="22"/>
          <w:szCs w:val="22"/>
          <w:lang w:val="es-ES"/>
        </w:rPr>
        <w:t xml:space="preserve">– </w:t>
      </w:r>
      <w:proofErr w:type="spellStart"/>
      <w:r w:rsidRPr="00CC306F">
        <w:rPr>
          <w:rFonts w:ascii="Geomanist Light" w:eastAsia="Calibri" w:hAnsi="Geomanist Light" w:cs="Arial"/>
          <w:b/>
          <w:color w:val="000000" w:themeColor="text1"/>
          <w:sz w:val="22"/>
          <w:szCs w:val="22"/>
          <w:lang w:val="es-ES"/>
        </w:rPr>
        <w:t>Mipymes</w:t>
      </w:r>
      <w:proofErr w:type="spellEnd"/>
    </w:p>
    <w:p w14:paraId="2E4B323C" w14:textId="77777777" w:rsidR="002C21DC" w:rsidRPr="00CC306F" w:rsidRDefault="002C21DC" w:rsidP="002C21DC">
      <w:pPr>
        <w:jc w:val="both"/>
        <w:rPr>
          <w:rFonts w:ascii="Geomanist Light" w:hAnsi="Geomanist Light" w:cs="Arial"/>
          <w:sz w:val="22"/>
        </w:rPr>
      </w:pPr>
    </w:p>
    <w:p w14:paraId="15D2F893" w14:textId="77777777" w:rsidR="002C21DC" w:rsidRPr="00CC306F" w:rsidRDefault="002C21DC" w:rsidP="002C21DC">
      <w:pPr>
        <w:spacing w:after="120"/>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xml:space="preserve">El artículo 3 del Decreto 1860 de 2021, que adicionó el artículo 2.2.1.2.4.2.18 al Decreto 1082 de 2015 regula los criterios diferenciales para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 xml:space="preserv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 xml:space="preserve"> domiciliadas en Colombia. </w:t>
      </w:r>
    </w:p>
    <w:p w14:paraId="5996CB89" w14:textId="77777777" w:rsidR="002C21DC" w:rsidRPr="00CC306F" w:rsidRDefault="002C21DC" w:rsidP="002C21DC">
      <w:pPr>
        <w:spacing w:after="120"/>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xml:space="preserve">Estos criterios en favor de las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requisitos habilitantes diferenciales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6770C7B6" w14:textId="2F63638A" w:rsidR="0054133E" w:rsidRPr="00CC306F" w:rsidRDefault="002C21DC" w:rsidP="002C21DC">
      <w:pPr>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xml:space="preserve">Lo anterior significa que para la determinación de los criterios diferenciales para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CC306F">
        <w:rPr>
          <w:rFonts w:ascii="Geomanist Light" w:eastAsia="Calibri" w:hAnsi="Geomanist Light" w:cs="Arial"/>
          <w:sz w:val="20"/>
          <w:szCs w:val="20"/>
          <w:lang w:val="es-ES_tradnl"/>
        </w:rPr>
        <w:t>Mipyme</w:t>
      </w:r>
      <w:proofErr w:type="spellEnd"/>
      <w:r w:rsidRPr="00CC306F">
        <w:rPr>
          <w:rFonts w:ascii="Geomanist Light" w:eastAsia="Calibri" w:hAnsi="Geomanist Light" w:cs="Arial"/>
          <w:sz w:val="20"/>
          <w:szCs w:val="20"/>
          <w:lang w:val="es-ES_tradnl"/>
        </w:rPr>
        <w:t>.</w:t>
      </w:r>
    </w:p>
    <w:p w14:paraId="12EE6BA5" w14:textId="0E7CD421" w:rsidR="002C21DC" w:rsidRPr="00CC306F" w:rsidRDefault="002C21DC" w:rsidP="002C21DC">
      <w:pPr>
        <w:jc w:val="both"/>
        <w:rPr>
          <w:rFonts w:ascii="Geomanist Light" w:eastAsia="Calibri" w:hAnsi="Geomanist Light" w:cs="Arial"/>
          <w:color w:val="000000" w:themeColor="text1"/>
          <w:sz w:val="20"/>
          <w:szCs w:val="20"/>
          <w:bdr w:val="none" w:sz="0" w:space="0" w:color="auto" w:frame="1"/>
          <w:lang w:val="es-ES_tradnl"/>
        </w:rPr>
      </w:pPr>
    </w:p>
    <w:p w14:paraId="34A66FC0" w14:textId="016C3D21" w:rsidR="004A7882" w:rsidRPr="00DC1F8E" w:rsidRDefault="004A7882" w:rsidP="004A7882">
      <w:pPr>
        <w:jc w:val="both"/>
        <w:rPr>
          <w:rFonts w:ascii="Geomanist Light" w:eastAsia="Calibri" w:hAnsi="Geomanist Light" w:cs="Arial"/>
          <w:b/>
          <w:noProof/>
          <w:color w:val="1A1A1A" w:themeColor="background1" w:themeShade="1A"/>
          <w:sz w:val="22"/>
          <w:szCs w:val="22"/>
          <w:lang w:val="es-ES_tradnl"/>
        </w:rPr>
      </w:pPr>
      <w:r w:rsidRPr="00DC1F8E">
        <w:rPr>
          <w:rFonts w:ascii="Geomanist Light" w:eastAsia="Calibri" w:hAnsi="Geomanist Light" w:cs="Arial"/>
          <w:b/>
          <w:noProof/>
          <w:color w:val="1A1A1A" w:themeColor="background1" w:themeShade="1A"/>
          <w:sz w:val="22"/>
          <w:szCs w:val="22"/>
          <w:lang w:val="es-ES_tradnl"/>
        </w:rPr>
        <w:t xml:space="preserve">PRECIO – Noción – Determinación – Contratos estatales – </w:t>
      </w:r>
      <w:r w:rsidRPr="00DC1F8E">
        <w:rPr>
          <w:rFonts w:ascii="Geomanist Light" w:eastAsia="Arial" w:hAnsi="Geomanist Light" w:cs="Arial"/>
          <w:b/>
          <w:bCs/>
          <w:sz w:val="22"/>
          <w:szCs w:val="22"/>
          <w:lang w:val="es-ES"/>
        </w:rPr>
        <w:t xml:space="preserve">Autonomía </w:t>
      </w:r>
    </w:p>
    <w:p w14:paraId="7019EB2B" w14:textId="77777777" w:rsidR="004A7882" w:rsidRPr="00DC1F8E" w:rsidRDefault="004A7882" w:rsidP="004A7882">
      <w:pPr>
        <w:spacing w:line="276" w:lineRule="auto"/>
        <w:jc w:val="both"/>
        <w:rPr>
          <w:rFonts w:ascii="Geomanist Light" w:eastAsia="Calibri" w:hAnsi="Geomanist Light" w:cs="Arial"/>
          <w:lang w:val="es-ES_tradnl"/>
        </w:rPr>
      </w:pPr>
    </w:p>
    <w:p w14:paraId="54E85939" w14:textId="0D22801B" w:rsidR="00174D3B" w:rsidRPr="00174D3B" w:rsidRDefault="00174D3B" w:rsidP="00174D3B">
      <w:pPr>
        <w:spacing w:after="240"/>
        <w:jc w:val="both"/>
        <w:rPr>
          <w:rFonts w:ascii="Geomanist Light" w:eastAsia="Calibri" w:hAnsi="Geomanist Light" w:cs="Arial"/>
          <w:sz w:val="20"/>
          <w:szCs w:val="20"/>
          <w:lang w:val="es-ES_tradnl"/>
        </w:rPr>
      </w:pPr>
      <w:r w:rsidRPr="00CC306F">
        <w:rPr>
          <w:rFonts w:ascii="Geomanist Light" w:eastAsia="Calibri" w:hAnsi="Geomanist Light" w:cs="Arial"/>
          <w:sz w:val="20"/>
          <w:szCs w:val="20"/>
          <w:lang w:val="es-ES_tradnl"/>
        </w:rPr>
        <w:t xml:space="preserve">[…] </w:t>
      </w:r>
      <w:r w:rsidRPr="00174D3B">
        <w:rPr>
          <w:rFonts w:ascii="Geomanist Light" w:eastAsia="Calibri" w:hAnsi="Geomanist Light" w:cs="Arial"/>
          <w:sz w:val="20"/>
          <w:szCs w:val="20"/>
          <w:lang w:val="es-ES_tradnl"/>
        </w:rPr>
        <w:t xml:space="preserve">conforme se desprende del numeral 4 del artículo 2.2.1.1.2.1.1 del Decreto 1082 de 2015, uno de los aspectos principales que deben abarcar los estudios previos es el valor estimado del contrato </w:t>
      </w:r>
      <w:r w:rsidRPr="00174D3B">
        <w:rPr>
          <w:rFonts w:ascii="Geomanist Light" w:eastAsia="Calibri" w:hAnsi="Geomanist Light" w:cs="Arial"/>
          <w:sz w:val="20"/>
          <w:szCs w:val="20"/>
          <w:lang w:val="es-ES_tradnl"/>
        </w:rPr>
        <w:lastRenderedPageBreak/>
        <w:t xml:space="preserve">aparejado de su respectiva justificación. 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tributaria, financiera, organizacional, técnica, y de análisis de Riesgo, al que se refiere el artículo 2.2.1.1.1.6.1 del Decreto 1082 de 2015, constituye un insumo importante para determinar factores que pudieran determinar el valor del contrato y orientar a la entidad en torno al monto de la disponibilidad presupuestal que requiere a realizar la contratación.  Sin perjuicio de lo anterior, las entidades estatales son autónomas para estructurar los estudios previos, siempre y cuando se observen los aspectos que deben contener esos estudios, de conformidad con los artículos 2.2.1.1.1.6.1, 2.2.1.1.2.1.1 y 2.2.1.2.1.4.9 del Decreto 1082 de 2015. </w:t>
      </w:r>
    </w:p>
    <w:p w14:paraId="70B3BF17" w14:textId="77777777" w:rsidR="00174D3B" w:rsidRPr="00174D3B" w:rsidRDefault="00174D3B" w:rsidP="00174D3B">
      <w:pPr>
        <w:pStyle w:val="Textoindependiente"/>
        <w:spacing w:after="240"/>
        <w:ind w:right="49"/>
        <w:contextualSpacing/>
        <w:jc w:val="both"/>
        <w:rPr>
          <w:rFonts w:ascii="Geomanist Light" w:eastAsia="Calibri" w:hAnsi="Geomanist Light"/>
          <w:sz w:val="20"/>
          <w:szCs w:val="20"/>
          <w:lang w:val="es-ES_tradnl" w:eastAsia="es-ES_tradnl"/>
        </w:rPr>
      </w:pPr>
      <w:r w:rsidRPr="00174D3B">
        <w:rPr>
          <w:rFonts w:ascii="Geomanist Light" w:eastAsia="Calibri" w:hAnsi="Geomanist Light"/>
          <w:sz w:val="20"/>
          <w:szCs w:val="20"/>
          <w:lang w:val="es-ES_tradnl" w:eastAsia="es-ES_tradnl"/>
        </w:rPr>
        <w:t xml:space="preserve">De este modo, para el caso en particular, resulta relevante precisar que, ante la ausencia de reglamentación específica que establezca los criterios evaluación y la forma de asignación de puntajes en los procesos de selección, estos aspectos corresponden a un asunto que se debe establecer en los pliegos de condiciones de cada proceso de selección en forma individual y corresponde a las entidades estatales establecer las reglas para su aplicación por parte de los proponentes en el pliego de condiciones, con el propósito de dar a conocer los aspectos deben tenerse en cuenta a la hora de configurar sus ofertas. A partir de tales reglas, la entidad podrá exigir el desglose de determinados factores imputables a costos directos en determinada manera y en general, establecer los parámetros que garanticen el desarrollo de principios de la función administrativa. </w:t>
      </w:r>
    </w:p>
    <w:p w14:paraId="3AB6B7F6" w14:textId="77777777" w:rsidR="00174D3B" w:rsidRPr="00174D3B" w:rsidRDefault="00174D3B" w:rsidP="00174D3B">
      <w:pPr>
        <w:pStyle w:val="Textoindependiente"/>
        <w:spacing w:after="240"/>
        <w:ind w:right="227"/>
        <w:contextualSpacing/>
        <w:jc w:val="both"/>
        <w:rPr>
          <w:rFonts w:ascii="Geomanist Light" w:eastAsia="Calibri" w:hAnsi="Geomanist Light"/>
          <w:sz w:val="20"/>
          <w:szCs w:val="20"/>
          <w:lang w:val="es-ES_tradnl" w:eastAsia="es-ES_tradnl"/>
        </w:rPr>
      </w:pPr>
    </w:p>
    <w:p w14:paraId="0EBC33B5" w14:textId="77777777" w:rsidR="00174D3B" w:rsidRPr="00174D3B" w:rsidRDefault="00174D3B" w:rsidP="00174D3B">
      <w:pPr>
        <w:pStyle w:val="Textoindependiente"/>
        <w:spacing w:after="240"/>
        <w:ind w:right="49"/>
        <w:contextualSpacing/>
        <w:jc w:val="both"/>
        <w:rPr>
          <w:rFonts w:ascii="Geomanist Light" w:eastAsia="Calibri" w:hAnsi="Geomanist Light"/>
          <w:sz w:val="20"/>
          <w:szCs w:val="20"/>
          <w:lang w:val="es-ES_tradnl" w:eastAsia="es-ES_tradnl"/>
        </w:rPr>
      </w:pPr>
      <w:r w:rsidRPr="00174D3B">
        <w:rPr>
          <w:rFonts w:ascii="Geomanist Light" w:eastAsia="Calibri" w:hAnsi="Geomanist Light"/>
          <w:sz w:val="20"/>
          <w:szCs w:val="20"/>
          <w:lang w:val="es-ES_tradnl" w:eastAsia="es-ES_tradnl"/>
        </w:rPr>
        <w:t>Sin perjuicio de lo anterior, 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6FEDA908" w14:textId="0FCE900D" w:rsidR="002C21DC" w:rsidRPr="00174D3B" w:rsidRDefault="002C21DC" w:rsidP="002C21DC">
      <w:pPr>
        <w:jc w:val="both"/>
        <w:rPr>
          <w:rFonts w:ascii="Geomanist Light" w:eastAsia="Calibri" w:hAnsi="Geomanist Light" w:cs="Arial"/>
          <w:color w:val="000000" w:themeColor="text1"/>
          <w:sz w:val="20"/>
          <w:szCs w:val="20"/>
          <w:bdr w:val="none" w:sz="0" w:space="0" w:color="auto" w:frame="1"/>
        </w:rPr>
      </w:pPr>
    </w:p>
    <w:p w14:paraId="0278F275" w14:textId="54C93E97" w:rsidR="002C21DC" w:rsidRPr="00CC306F" w:rsidRDefault="002C21DC" w:rsidP="002C21DC">
      <w:pPr>
        <w:jc w:val="both"/>
        <w:rPr>
          <w:rFonts w:ascii="Geomanist Light" w:eastAsia="Calibri" w:hAnsi="Geomanist Light" w:cs="Arial"/>
          <w:color w:val="000000" w:themeColor="text1"/>
          <w:sz w:val="20"/>
          <w:szCs w:val="20"/>
          <w:bdr w:val="none" w:sz="0" w:space="0" w:color="auto" w:frame="1"/>
          <w:lang w:val="es-ES_tradnl"/>
        </w:rPr>
      </w:pPr>
    </w:p>
    <w:p w14:paraId="4772F96D" w14:textId="28A06622" w:rsidR="002C21DC" w:rsidRPr="00CC306F" w:rsidRDefault="002C21DC" w:rsidP="002C21DC">
      <w:pPr>
        <w:jc w:val="both"/>
        <w:rPr>
          <w:rFonts w:ascii="Geomanist Light" w:eastAsia="Calibri" w:hAnsi="Geomanist Light" w:cs="Arial"/>
          <w:color w:val="000000" w:themeColor="text1"/>
          <w:sz w:val="20"/>
          <w:szCs w:val="20"/>
          <w:bdr w:val="none" w:sz="0" w:space="0" w:color="auto" w:frame="1"/>
          <w:lang w:val="es-ES_tradnl"/>
        </w:rPr>
      </w:pPr>
    </w:p>
    <w:p w14:paraId="2C7AEA2A" w14:textId="598F752A" w:rsidR="002C21DC" w:rsidRPr="00CC306F" w:rsidRDefault="002C21DC" w:rsidP="002C21DC">
      <w:pPr>
        <w:jc w:val="both"/>
        <w:rPr>
          <w:rFonts w:ascii="Geomanist Light" w:eastAsia="Calibri" w:hAnsi="Geomanist Light" w:cs="Arial"/>
          <w:color w:val="000000" w:themeColor="text1"/>
          <w:sz w:val="20"/>
          <w:szCs w:val="20"/>
          <w:bdr w:val="none" w:sz="0" w:space="0" w:color="auto" w:frame="1"/>
          <w:lang w:val="es-ES_tradnl"/>
        </w:rPr>
      </w:pPr>
    </w:p>
    <w:p w14:paraId="6F8EB455" w14:textId="64947288" w:rsidR="00CC306F" w:rsidRPr="00CC306F" w:rsidRDefault="00CC306F">
      <w:pPr>
        <w:spacing w:after="120" w:line="276" w:lineRule="auto"/>
        <w:ind w:firstLine="709"/>
        <w:jc w:val="both"/>
        <w:rPr>
          <w:rFonts w:ascii="Geomanist Light" w:hAnsi="Geomanist Light" w:cs="Arial"/>
          <w:sz w:val="20"/>
          <w:szCs w:val="20"/>
        </w:rPr>
      </w:pPr>
      <w:r w:rsidRPr="00CC306F">
        <w:rPr>
          <w:rFonts w:ascii="Geomanist Light" w:hAnsi="Geomanist Light" w:cs="Arial"/>
          <w:sz w:val="20"/>
          <w:szCs w:val="20"/>
        </w:rPr>
        <w:br w:type="page"/>
      </w:r>
    </w:p>
    <w:p w14:paraId="2DFABE93" w14:textId="10879EBD" w:rsidR="002C21DC" w:rsidRPr="00CC306F" w:rsidRDefault="00573B69" w:rsidP="002C21DC">
      <w:pPr>
        <w:jc w:val="both"/>
        <w:rPr>
          <w:rFonts w:ascii="Geomanist Light" w:hAnsi="Geomanist Light" w:cs="Arial"/>
          <w:sz w:val="20"/>
          <w:szCs w:val="20"/>
        </w:rPr>
      </w:pPr>
      <w:r>
        <w:rPr>
          <w:rFonts w:ascii="Geomanist Light" w:hAnsi="Geomanist Light" w:cs="Arial"/>
          <w:sz w:val="20"/>
          <w:szCs w:val="20"/>
        </w:rPr>
        <w:lastRenderedPageBreak/>
        <w:t xml:space="preserve">Bogotá D.C. 28 de </w:t>
      </w:r>
      <w:proofErr w:type="gramStart"/>
      <w:r>
        <w:rPr>
          <w:rFonts w:ascii="Geomanist Light" w:hAnsi="Geomanist Light" w:cs="Arial"/>
          <w:sz w:val="20"/>
          <w:szCs w:val="20"/>
        </w:rPr>
        <w:t>Diciembre</w:t>
      </w:r>
      <w:proofErr w:type="gramEnd"/>
      <w:r>
        <w:rPr>
          <w:rFonts w:ascii="Geomanist Light" w:hAnsi="Geomanist Light" w:cs="Arial"/>
          <w:sz w:val="20"/>
          <w:szCs w:val="20"/>
        </w:rPr>
        <w:t xml:space="preserve"> de 2022</w:t>
      </w:r>
    </w:p>
    <w:p w14:paraId="164E07D2" w14:textId="77777777" w:rsidR="00573B69" w:rsidRDefault="00573B69" w:rsidP="00737250">
      <w:pPr>
        <w:jc w:val="both"/>
        <w:rPr>
          <w:rFonts w:ascii="Geomanist Light" w:eastAsia="Calibri" w:hAnsi="Geomanist Light" w:cs="Arial"/>
          <w:sz w:val="22"/>
          <w:szCs w:val="22"/>
          <w:lang w:val="es-ES_tradnl"/>
        </w:rPr>
      </w:pPr>
    </w:p>
    <w:p w14:paraId="5399D271" w14:textId="17CFD421" w:rsidR="00573B69" w:rsidRDefault="00573B69" w:rsidP="00573B69">
      <w:pPr>
        <w:jc w:val="right"/>
        <w:rPr>
          <w:rFonts w:ascii="Geomanist Light" w:eastAsia="Calibri" w:hAnsi="Geomanist Light" w:cs="Arial"/>
          <w:sz w:val="22"/>
          <w:szCs w:val="22"/>
          <w:lang w:val="es-ES_tradnl"/>
        </w:rPr>
      </w:pPr>
      <w:r>
        <w:rPr>
          <w:noProof/>
          <w:lang w:val="en-US" w:eastAsia="en-US"/>
        </w:rPr>
        <w:drawing>
          <wp:inline distT="0" distB="0" distL="0" distR="0" wp14:anchorId="1B09A39F" wp14:editId="6AE3F821">
            <wp:extent cx="3100633" cy="733646"/>
            <wp:effectExtent l="0" t="0" r="508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480" t="63688" r="8847" b="17090"/>
                    <a:stretch/>
                  </pic:blipFill>
                  <pic:spPr bwMode="auto">
                    <a:xfrm>
                      <a:off x="0" y="0"/>
                      <a:ext cx="3116668" cy="737440"/>
                    </a:xfrm>
                    <a:prstGeom prst="rect">
                      <a:avLst/>
                    </a:prstGeom>
                    <a:ln>
                      <a:noFill/>
                    </a:ln>
                    <a:extLst>
                      <a:ext uri="{53640926-AAD7-44D8-BBD7-CCE9431645EC}">
                        <a14:shadowObscured xmlns:a14="http://schemas.microsoft.com/office/drawing/2010/main"/>
                      </a:ext>
                    </a:extLst>
                  </pic:spPr>
                </pic:pic>
              </a:graphicData>
            </a:graphic>
          </wp:inline>
        </w:drawing>
      </w:r>
    </w:p>
    <w:p w14:paraId="28522DFC" w14:textId="77777777" w:rsidR="00573B69" w:rsidRDefault="00573B69" w:rsidP="00737250">
      <w:pPr>
        <w:jc w:val="both"/>
        <w:rPr>
          <w:rFonts w:ascii="Geomanist Light" w:eastAsia="Calibri" w:hAnsi="Geomanist Light" w:cs="Arial"/>
          <w:sz w:val="22"/>
          <w:szCs w:val="22"/>
          <w:lang w:val="es-ES_tradnl"/>
        </w:rPr>
      </w:pPr>
    </w:p>
    <w:p w14:paraId="3C8F51D2" w14:textId="033877A2" w:rsidR="005520DD" w:rsidRPr="00CC306F" w:rsidRDefault="005520DD" w:rsidP="00737250">
      <w:pPr>
        <w:jc w:val="both"/>
        <w:rPr>
          <w:rFonts w:ascii="Geomanist Light" w:eastAsia="Calibri" w:hAnsi="Geomanist Light" w:cs="Arial"/>
          <w:sz w:val="22"/>
          <w:szCs w:val="22"/>
          <w:lang w:val="es-ES_tradnl"/>
        </w:rPr>
      </w:pPr>
      <w:r w:rsidRPr="00CC306F">
        <w:rPr>
          <w:rFonts w:ascii="Geomanist Light" w:eastAsia="Calibri" w:hAnsi="Geomanist Light" w:cs="Arial"/>
          <w:sz w:val="22"/>
          <w:szCs w:val="22"/>
          <w:lang w:val="es-ES_tradnl"/>
        </w:rPr>
        <w:t>Señor</w:t>
      </w:r>
    </w:p>
    <w:p w14:paraId="52F8E257" w14:textId="77777777" w:rsidR="00A30D60" w:rsidRPr="00CC306F" w:rsidRDefault="000013B6" w:rsidP="00737250">
      <w:pPr>
        <w:contextualSpacing/>
        <w:jc w:val="both"/>
        <w:rPr>
          <w:rFonts w:ascii="Geomanist Light" w:eastAsia="Calibri" w:hAnsi="Geomanist Light" w:cs="Arial"/>
          <w:b/>
          <w:bCs/>
          <w:sz w:val="22"/>
          <w:szCs w:val="22"/>
          <w:lang w:val="es-ES"/>
        </w:rPr>
      </w:pPr>
      <w:r w:rsidRPr="00CC306F">
        <w:rPr>
          <w:rFonts w:ascii="Geomanist Light" w:eastAsia="Calibri" w:hAnsi="Geomanist Light" w:cs="Arial"/>
          <w:b/>
          <w:bCs/>
          <w:sz w:val="22"/>
          <w:szCs w:val="22"/>
          <w:lang w:val="es-ES"/>
        </w:rPr>
        <w:t>Cesar Augusto Cruz Chacón</w:t>
      </w:r>
    </w:p>
    <w:p w14:paraId="6142BB61" w14:textId="6F53E5F0" w:rsidR="005520DD" w:rsidRPr="00CC306F" w:rsidRDefault="00A30D60" w:rsidP="00DA573C">
      <w:pPr>
        <w:contextualSpacing/>
        <w:jc w:val="both"/>
        <w:rPr>
          <w:rFonts w:ascii="Geomanist Light" w:eastAsia="Calibri" w:hAnsi="Geomanist Light" w:cs="Arial"/>
          <w:b/>
          <w:bCs/>
          <w:sz w:val="22"/>
          <w:szCs w:val="22"/>
          <w:lang w:val="es-ES"/>
        </w:rPr>
      </w:pPr>
      <w:r w:rsidRPr="00CC306F">
        <w:rPr>
          <w:rFonts w:ascii="Geomanist Light" w:eastAsia="Calibri" w:hAnsi="Geomanist Light" w:cs="Arial"/>
          <w:b/>
          <w:bCs/>
          <w:sz w:val="22"/>
          <w:szCs w:val="22"/>
          <w:lang w:val="es-ES"/>
        </w:rPr>
        <w:t>CONSTRUSERVICIOS SAS</w:t>
      </w:r>
      <w:r w:rsidR="000013B6" w:rsidRPr="00CC306F">
        <w:rPr>
          <w:rFonts w:ascii="Geomanist Light" w:eastAsia="Calibri" w:hAnsi="Geomanist Light" w:cs="Arial"/>
          <w:b/>
          <w:bCs/>
          <w:sz w:val="22"/>
          <w:szCs w:val="22"/>
          <w:lang w:val="es-ES"/>
        </w:rPr>
        <w:t xml:space="preserve"> </w:t>
      </w:r>
    </w:p>
    <w:p w14:paraId="581B6D20" w14:textId="5AC2BBB6" w:rsidR="005520DD" w:rsidRPr="00CC306F" w:rsidRDefault="000013B6" w:rsidP="00DA573C">
      <w:pPr>
        <w:contextualSpacing/>
        <w:jc w:val="both"/>
        <w:rPr>
          <w:rFonts w:ascii="Geomanist Light" w:eastAsia="Calibri" w:hAnsi="Geomanist Light" w:cs="Arial"/>
          <w:sz w:val="22"/>
          <w:szCs w:val="22"/>
          <w:lang w:val="es-ES_tradnl"/>
        </w:rPr>
      </w:pPr>
      <w:r w:rsidRPr="00CC306F">
        <w:rPr>
          <w:rFonts w:ascii="Geomanist Light" w:eastAsia="Calibri" w:hAnsi="Geomanist Light" w:cs="Arial"/>
          <w:sz w:val="22"/>
          <w:szCs w:val="22"/>
          <w:lang w:val="es-ES"/>
        </w:rPr>
        <w:t>Tunja, Boyacá</w:t>
      </w:r>
    </w:p>
    <w:p w14:paraId="5118151B" w14:textId="77777777" w:rsidR="005520DD" w:rsidRPr="00CC306F" w:rsidRDefault="005520DD" w:rsidP="00DA573C">
      <w:pPr>
        <w:contextualSpacing/>
        <w:jc w:val="both"/>
        <w:rPr>
          <w:rFonts w:ascii="Geomanist Light" w:eastAsia="Calibri" w:hAnsi="Geomanist Light" w:cs="Arial"/>
          <w:sz w:val="22"/>
          <w:szCs w:val="22"/>
          <w:lang w:val="es-ES_tradnl"/>
        </w:rPr>
      </w:pPr>
    </w:p>
    <w:p w14:paraId="23EE8F31" w14:textId="52DDBF32" w:rsidR="005520DD" w:rsidRPr="00CC306F" w:rsidRDefault="005520DD" w:rsidP="00DA573C">
      <w:pPr>
        <w:contextualSpacing/>
        <w:rPr>
          <w:rFonts w:ascii="Geomanist Light" w:eastAsia="Calibri" w:hAnsi="Geomanist Light" w:cs="Arial"/>
          <w:b/>
          <w:bCs/>
          <w:sz w:val="22"/>
          <w:szCs w:val="22"/>
          <w:lang w:val="es-ES_tradnl"/>
        </w:rPr>
      </w:pPr>
      <w:r w:rsidRPr="00CC306F">
        <w:rPr>
          <w:rFonts w:ascii="Geomanist Light" w:eastAsia="Calibri" w:hAnsi="Geomanist Light" w:cs="Arial"/>
          <w:b/>
          <w:bCs/>
          <w:sz w:val="22"/>
          <w:szCs w:val="22"/>
          <w:lang w:val="es-ES_tradnl"/>
        </w:rPr>
        <w:t xml:space="preserve">                                            </w:t>
      </w:r>
      <w:r w:rsidR="00A71E9F" w:rsidRPr="00CC306F">
        <w:rPr>
          <w:rFonts w:ascii="Geomanist Light" w:eastAsia="Calibri" w:hAnsi="Geomanist Light" w:cs="Arial"/>
          <w:b/>
          <w:bCs/>
          <w:sz w:val="22"/>
          <w:szCs w:val="22"/>
          <w:lang w:val="es-ES_tradnl"/>
        </w:rPr>
        <w:t xml:space="preserve">          </w:t>
      </w:r>
      <w:r w:rsidRPr="00CC306F">
        <w:rPr>
          <w:rFonts w:ascii="Geomanist Light" w:eastAsia="Calibri" w:hAnsi="Geomanist Light" w:cs="Arial"/>
          <w:b/>
          <w:bCs/>
          <w:sz w:val="22"/>
          <w:szCs w:val="22"/>
          <w:lang w:val="es-ES_tradnl"/>
        </w:rPr>
        <w:t xml:space="preserve">Concepto C ‒ </w:t>
      </w:r>
      <w:r w:rsidR="00E2301F" w:rsidRPr="00CC306F">
        <w:rPr>
          <w:rFonts w:ascii="Geomanist Light" w:eastAsia="Calibri" w:hAnsi="Geomanist Light" w:cs="Arial"/>
          <w:b/>
          <w:bCs/>
          <w:sz w:val="22"/>
          <w:szCs w:val="22"/>
          <w:lang w:val="es-ES_tradnl"/>
        </w:rPr>
        <w:t>9</w:t>
      </w:r>
      <w:r w:rsidR="00E225AA" w:rsidRPr="00CC306F">
        <w:rPr>
          <w:rFonts w:ascii="Geomanist Light" w:eastAsia="Calibri" w:hAnsi="Geomanist Light" w:cs="Arial"/>
          <w:b/>
          <w:bCs/>
          <w:sz w:val="22"/>
          <w:szCs w:val="22"/>
          <w:lang w:val="es-ES_tradnl"/>
        </w:rPr>
        <w:t>2</w:t>
      </w:r>
      <w:r w:rsidR="00E2301F" w:rsidRPr="00CC306F">
        <w:rPr>
          <w:rFonts w:ascii="Geomanist Light" w:eastAsia="Calibri" w:hAnsi="Geomanist Light" w:cs="Arial"/>
          <w:b/>
          <w:bCs/>
          <w:sz w:val="22"/>
          <w:szCs w:val="22"/>
          <w:lang w:val="es-ES_tradnl"/>
        </w:rPr>
        <w:t>6</w:t>
      </w:r>
      <w:r w:rsidRPr="00CC306F">
        <w:rPr>
          <w:rFonts w:ascii="Geomanist Light" w:eastAsia="Calibri" w:hAnsi="Geomanist Light" w:cs="Arial"/>
          <w:b/>
          <w:bCs/>
          <w:sz w:val="22"/>
          <w:szCs w:val="22"/>
          <w:lang w:val="es-ES_tradnl"/>
        </w:rPr>
        <w:t xml:space="preserve"> de 2022</w:t>
      </w:r>
    </w:p>
    <w:p w14:paraId="11F8113D" w14:textId="77777777" w:rsidR="005520DD" w:rsidRPr="00CC306F" w:rsidRDefault="005520DD" w:rsidP="00DA573C">
      <w:pPr>
        <w:contextualSpacing/>
        <w:jc w:val="both"/>
        <w:rPr>
          <w:rFonts w:ascii="Geomanist Light" w:eastAsia="Calibri" w:hAnsi="Geomanist Light"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20DD" w:rsidRPr="00CC306F" w14:paraId="199CEE70" w14:textId="77777777" w:rsidTr="009D35D5">
        <w:trPr>
          <w:trHeight w:val="1099"/>
        </w:trPr>
        <w:tc>
          <w:tcPr>
            <w:tcW w:w="2689" w:type="dxa"/>
          </w:tcPr>
          <w:p w14:paraId="74B9FABE" w14:textId="77777777" w:rsidR="005520DD" w:rsidRPr="00CC306F" w:rsidRDefault="005520DD" w:rsidP="00DA573C">
            <w:pPr>
              <w:contextualSpacing/>
              <w:jc w:val="both"/>
              <w:rPr>
                <w:rFonts w:ascii="Geomanist Light" w:eastAsia="Calibri" w:hAnsi="Geomanist Light" w:cs="Arial"/>
                <w:sz w:val="22"/>
                <w:szCs w:val="22"/>
                <w:lang w:val="es-ES_tradnl"/>
              </w:rPr>
            </w:pPr>
            <w:r w:rsidRPr="00CC306F">
              <w:rPr>
                <w:rFonts w:ascii="Geomanist Light" w:eastAsia="Calibri" w:hAnsi="Geomanist Light" w:cs="Arial"/>
                <w:b/>
                <w:sz w:val="22"/>
                <w:szCs w:val="22"/>
                <w:lang w:val="es-ES_tradnl"/>
              </w:rPr>
              <w:t>Temas:</w:t>
            </w:r>
            <w:r w:rsidRPr="00CC306F">
              <w:rPr>
                <w:rFonts w:ascii="Geomanist Light" w:eastAsia="Calibri" w:hAnsi="Geomanist Light" w:cs="Arial"/>
                <w:sz w:val="22"/>
                <w:szCs w:val="22"/>
                <w:lang w:val="es-ES_tradnl"/>
              </w:rPr>
              <w:t xml:space="preserve">                                      </w:t>
            </w:r>
          </w:p>
        </w:tc>
        <w:tc>
          <w:tcPr>
            <w:tcW w:w="6237" w:type="dxa"/>
          </w:tcPr>
          <w:p w14:paraId="3DD75764" w14:textId="0D41929B" w:rsidR="00585261" w:rsidRPr="00CC306F" w:rsidRDefault="00E225AA" w:rsidP="004F152E">
            <w:pPr>
              <w:contextualSpacing/>
              <w:jc w:val="both"/>
              <w:rPr>
                <w:rFonts w:ascii="Geomanist Light" w:hAnsi="Geomanist Light" w:cs="Arial"/>
                <w:bCs/>
                <w:sz w:val="22"/>
                <w:szCs w:val="22"/>
              </w:rPr>
            </w:pPr>
            <w:r w:rsidRPr="00CC306F">
              <w:rPr>
                <w:rFonts w:ascii="Geomanist Light" w:hAnsi="Geomanist Light" w:cs="Arial"/>
                <w:bCs/>
                <w:sz w:val="22"/>
                <w:szCs w:val="22"/>
              </w:rPr>
              <w:t xml:space="preserve">COLOMBIA COMPRA EFICIENTE – Competencia Consultiva – Contratación Estatal – Normas Generales / </w:t>
            </w:r>
            <w:r w:rsidR="00D0167A" w:rsidRPr="00CC306F">
              <w:rPr>
                <w:rFonts w:ascii="Geomanist Light" w:hAnsi="Geomanist Light" w:cs="Arial"/>
                <w:bCs/>
                <w:sz w:val="22"/>
                <w:szCs w:val="22"/>
              </w:rPr>
              <w:t>DOCUMENTOS TIPO – Fundamento normativo – Generalidades / PERSONAS CON DISCAPACIDAD – Puntaje adicional – Fundamento normativo / PUNTAJE ADICIONAL – Personas con discapacidad – Requisitos – Acreditación – Formato 8</w:t>
            </w:r>
            <w:r w:rsidR="00502E9D" w:rsidRPr="00CC306F">
              <w:rPr>
                <w:rFonts w:ascii="Geomanist Light" w:hAnsi="Geomanist Light" w:cs="Arial"/>
                <w:bCs/>
                <w:sz w:val="22"/>
                <w:szCs w:val="22"/>
              </w:rPr>
              <w:t xml:space="preserve"> / SOLICITUD DE ACLARACIONES – Propuesta – Aspectos oscuros o confusos</w:t>
            </w:r>
            <w:r w:rsidR="00737250" w:rsidRPr="00CC306F">
              <w:rPr>
                <w:rFonts w:ascii="Geomanist Light" w:hAnsi="Geomanist Light" w:cs="Arial"/>
                <w:bCs/>
                <w:sz w:val="22"/>
                <w:szCs w:val="22"/>
              </w:rPr>
              <w:t xml:space="preserve"> / </w:t>
            </w:r>
            <w:r w:rsidR="00737250" w:rsidRPr="00CC306F">
              <w:rPr>
                <w:rFonts w:ascii="Geomanist Light" w:eastAsia="Calibri" w:hAnsi="Geomanist Light" w:cs="Arial"/>
                <w:color w:val="000000" w:themeColor="text1"/>
                <w:sz w:val="22"/>
                <w:szCs w:val="22"/>
              </w:rPr>
              <w:t xml:space="preserve">LEY DE EMPRENDIMIENTO – Ley 2069 de 2020 – Finalidad / </w:t>
            </w:r>
            <w:r w:rsidR="00737250" w:rsidRPr="00CC306F">
              <w:rPr>
                <w:rFonts w:ascii="Geomanist Light" w:eastAsia="Calibri" w:hAnsi="Geomanist Light" w:cs="Arial"/>
                <w:color w:val="000000" w:themeColor="text1"/>
                <w:sz w:val="22"/>
              </w:rPr>
              <w:t xml:space="preserve">LEY DE EMPRENDIMIENTO – Ley 2069 de 2020 – Artículo 32 – Criterios diferenciales – Emprendimientos de mujeres – Empresas de mujeres – Necesidad de reglamentación – Decreto 1860 de 2021 / </w:t>
            </w:r>
            <w:r w:rsidR="00737250" w:rsidRPr="00CC306F">
              <w:rPr>
                <w:rFonts w:ascii="Geomanist Light" w:eastAsia="Calibri" w:hAnsi="Geomanist Light" w:cs="Arial"/>
                <w:color w:val="000000" w:themeColor="text1"/>
                <w:sz w:val="22"/>
                <w:szCs w:val="22"/>
                <w:lang w:val="es-ES"/>
              </w:rPr>
              <w:t>DECRETO 1860 DE 2021 – Vigencia / DECRETO 1860 DE 2021 – Emprendimientos y empresas de mujeres – Definición – Artículo 2.2.1.2.4.2.14 –</w:t>
            </w:r>
            <w:r w:rsidR="00737250" w:rsidRPr="00CC306F">
              <w:rPr>
                <w:rFonts w:ascii="Geomanist Light" w:eastAsia="Calibri" w:hAnsi="Geomanist Light" w:cs="Arial"/>
                <w:sz w:val="22"/>
                <w:szCs w:val="22"/>
                <w:lang w:val="es-ES_tradnl"/>
              </w:rPr>
              <w:t>Acreditación /</w:t>
            </w:r>
            <w:r w:rsidR="00625319" w:rsidRPr="00CC306F">
              <w:rPr>
                <w:rFonts w:ascii="Geomanist Light" w:eastAsia="Calibri" w:hAnsi="Geomanist Light" w:cs="Arial"/>
                <w:sz w:val="22"/>
                <w:szCs w:val="22"/>
                <w:lang w:val="es-ES_tradnl"/>
              </w:rPr>
              <w:t xml:space="preserve"> </w:t>
            </w:r>
            <w:r w:rsidR="00737250" w:rsidRPr="00CC306F">
              <w:rPr>
                <w:rFonts w:ascii="Geomanist Light" w:eastAsia="Calibri" w:hAnsi="Geomanist Light" w:cs="Arial"/>
                <w:sz w:val="22"/>
                <w:szCs w:val="22"/>
                <w:lang w:val="es-ES_tradnl"/>
              </w:rPr>
              <w:t xml:space="preserve"> </w:t>
            </w:r>
            <w:r w:rsidR="00215578" w:rsidRPr="00CC306F">
              <w:rPr>
                <w:rFonts w:ascii="Geomanist Light" w:eastAsia="Calibri" w:hAnsi="Geomanist Light" w:cs="Arial"/>
                <w:color w:val="000000" w:themeColor="text1"/>
                <w:sz w:val="22"/>
                <w:szCs w:val="22"/>
                <w:lang w:val="es-ES"/>
              </w:rPr>
              <w:t xml:space="preserve">DECRETO 1860 DE 2021 – Criterios diferenciales y Puntajes Adicionales – </w:t>
            </w:r>
            <w:proofErr w:type="spellStart"/>
            <w:r w:rsidR="00215578" w:rsidRPr="00CC306F">
              <w:rPr>
                <w:rFonts w:ascii="Geomanist Light" w:eastAsia="Calibri" w:hAnsi="Geomanist Light" w:cs="Arial"/>
                <w:color w:val="000000" w:themeColor="text1"/>
                <w:sz w:val="22"/>
                <w:szCs w:val="22"/>
                <w:lang w:val="es-ES"/>
              </w:rPr>
              <w:t>Mipymes</w:t>
            </w:r>
            <w:proofErr w:type="spellEnd"/>
            <w:r w:rsidR="00B222A6" w:rsidRPr="00CC306F">
              <w:rPr>
                <w:rFonts w:ascii="Geomanist Light" w:eastAsia="Calibri" w:hAnsi="Geomanist Light" w:cs="Arial"/>
                <w:color w:val="000000" w:themeColor="text1"/>
                <w:sz w:val="22"/>
                <w:szCs w:val="22"/>
                <w:lang w:val="es-ES"/>
              </w:rPr>
              <w:t xml:space="preserve"> </w:t>
            </w:r>
            <w:r w:rsidR="00B222A6" w:rsidRPr="005504DA">
              <w:rPr>
                <w:rFonts w:ascii="Geomanist Light" w:eastAsia="Calibri" w:hAnsi="Geomanist Light" w:cs="Arial"/>
                <w:color w:val="000000" w:themeColor="text1"/>
                <w:sz w:val="22"/>
                <w:szCs w:val="22"/>
                <w:lang w:val="es-ES"/>
              </w:rPr>
              <w:t xml:space="preserve">/ </w:t>
            </w:r>
            <w:r w:rsidR="005504DA" w:rsidRPr="005504DA">
              <w:rPr>
                <w:rFonts w:ascii="Geomanist Light" w:eastAsia="Calibri" w:hAnsi="Geomanist Light" w:cs="Arial"/>
                <w:noProof/>
                <w:color w:val="1A1A1A" w:themeColor="background1" w:themeShade="1A"/>
                <w:sz w:val="22"/>
                <w:szCs w:val="22"/>
                <w:lang w:val="es-ES_tradnl"/>
              </w:rPr>
              <w:t xml:space="preserve">PRECIO – Noción – Determinación – Contratos estatales – </w:t>
            </w:r>
            <w:r w:rsidR="005504DA" w:rsidRPr="005504DA">
              <w:rPr>
                <w:rFonts w:ascii="Geomanist Light" w:eastAsia="Arial" w:hAnsi="Geomanist Light" w:cs="Arial"/>
                <w:bCs/>
                <w:sz w:val="22"/>
                <w:szCs w:val="22"/>
                <w:lang w:val="es-ES"/>
              </w:rPr>
              <w:t>Autonomía</w:t>
            </w:r>
          </w:p>
          <w:p w14:paraId="1DD543F6" w14:textId="364ED2A7" w:rsidR="004F152E" w:rsidRPr="00CC306F" w:rsidRDefault="004F152E" w:rsidP="00DA573C">
            <w:pPr>
              <w:contextualSpacing/>
              <w:jc w:val="both"/>
              <w:rPr>
                <w:rFonts w:ascii="Geomanist Light" w:hAnsi="Geomanist Light" w:cs="Arial"/>
                <w:b/>
                <w:bCs/>
                <w:noProof/>
                <w:sz w:val="22"/>
                <w:szCs w:val="22"/>
                <w:lang w:val="es-ES_tradnl"/>
              </w:rPr>
            </w:pPr>
          </w:p>
        </w:tc>
      </w:tr>
      <w:tr w:rsidR="005520DD" w:rsidRPr="00CC306F" w14:paraId="44A214AA" w14:textId="77777777" w:rsidTr="009D35D5">
        <w:tc>
          <w:tcPr>
            <w:tcW w:w="2689" w:type="dxa"/>
          </w:tcPr>
          <w:p w14:paraId="34740FC3" w14:textId="77777777" w:rsidR="005520DD" w:rsidRPr="00CC306F" w:rsidRDefault="005520DD" w:rsidP="00DA573C">
            <w:pPr>
              <w:contextualSpacing/>
              <w:jc w:val="both"/>
              <w:rPr>
                <w:rFonts w:ascii="Geomanist Light" w:eastAsia="Calibri" w:hAnsi="Geomanist Light" w:cs="Arial"/>
                <w:b/>
                <w:sz w:val="22"/>
                <w:szCs w:val="22"/>
                <w:lang w:val="es-ES_tradnl"/>
              </w:rPr>
            </w:pPr>
            <w:r w:rsidRPr="00CC306F">
              <w:rPr>
                <w:rFonts w:ascii="Geomanist Light" w:eastAsia="Calibri" w:hAnsi="Geomanist Light" w:cs="Arial"/>
                <w:b/>
                <w:sz w:val="22"/>
                <w:szCs w:val="22"/>
                <w:lang w:val="es-ES_tradnl"/>
              </w:rPr>
              <w:t>Radicación:</w:t>
            </w:r>
            <w:r w:rsidRPr="00CC306F">
              <w:rPr>
                <w:rFonts w:ascii="Geomanist Light" w:eastAsia="Calibri" w:hAnsi="Geomanist Light" w:cs="Arial"/>
                <w:sz w:val="22"/>
                <w:szCs w:val="22"/>
                <w:lang w:val="es-ES_tradnl"/>
              </w:rPr>
              <w:t xml:space="preserve">                              </w:t>
            </w:r>
          </w:p>
        </w:tc>
        <w:tc>
          <w:tcPr>
            <w:tcW w:w="6237" w:type="dxa"/>
          </w:tcPr>
          <w:p w14:paraId="638D73D8" w14:textId="348A85EE" w:rsidR="005520DD" w:rsidRPr="00CC306F" w:rsidRDefault="005520DD" w:rsidP="00DA573C">
            <w:pPr>
              <w:contextualSpacing/>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 xml:space="preserve">Respuesta a consulta </w:t>
            </w:r>
            <w:r w:rsidR="009E33EF" w:rsidRPr="00CC306F">
              <w:rPr>
                <w:rFonts w:ascii="Geomanist Light" w:eastAsia="Calibri" w:hAnsi="Geomanist Light" w:cs="Arial"/>
                <w:sz w:val="22"/>
                <w:szCs w:val="22"/>
                <w:lang w:val="es-ES"/>
              </w:rPr>
              <w:t>P20221128011796</w:t>
            </w:r>
          </w:p>
        </w:tc>
      </w:tr>
    </w:tbl>
    <w:p w14:paraId="18FF8684" w14:textId="77777777" w:rsidR="005520DD" w:rsidRPr="00CC306F" w:rsidRDefault="005520DD" w:rsidP="00DA573C">
      <w:pPr>
        <w:contextualSpacing/>
        <w:jc w:val="both"/>
        <w:rPr>
          <w:rFonts w:ascii="Geomanist Light" w:eastAsia="Calibri" w:hAnsi="Geomanist Light" w:cs="Arial"/>
          <w:sz w:val="22"/>
          <w:szCs w:val="22"/>
          <w:lang w:val="es-ES_tradnl"/>
        </w:rPr>
      </w:pPr>
    </w:p>
    <w:p w14:paraId="0ADF39EF" w14:textId="4A47F82E" w:rsidR="005520DD" w:rsidRPr="00CC306F" w:rsidRDefault="005520DD"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 xml:space="preserve">Estimado señor </w:t>
      </w:r>
      <w:r w:rsidR="00E63233" w:rsidRPr="00CC306F">
        <w:rPr>
          <w:rFonts w:ascii="Geomanist Light" w:eastAsia="Calibri" w:hAnsi="Geomanist Light" w:cs="Arial"/>
          <w:sz w:val="22"/>
          <w:szCs w:val="22"/>
          <w:lang w:val="es-ES"/>
        </w:rPr>
        <w:t>Cruz</w:t>
      </w:r>
      <w:r w:rsidRPr="00CC306F">
        <w:rPr>
          <w:rFonts w:ascii="Geomanist Light" w:eastAsia="Calibri" w:hAnsi="Geomanist Light" w:cs="Arial"/>
          <w:sz w:val="22"/>
          <w:szCs w:val="22"/>
          <w:lang w:val="es-ES"/>
        </w:rPr>
        <w:t xml:space="preserve">:  </w:t>
      </w:r>
    </w:p>
    <w:p w14:paraId="1D3A12FC" w14:textId="2D7CE7D1" w:rsidR="005520DD" w:rsidRPr="00CC306F" w:rsidRDefault="005520DD"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En ejercicio de la competencia otorgada por el numeral 8 del artículo 11 y el numeral 5 del artículo 3 del Decreto Ley 4170 de 2011, la Agencia Nacional de Contratación Pública – Colombia Compra Eficiente responde su consulta del</w:t>
      </w:r>
      <w:r w:rsidR="00444306" w:rsidRPr="00CC306F">
        <w:rPr>
          <w:rFonts w:ascii="Geomanist Light" w:eastAsia="Calibri" w:hAnsi="Geomanist Light" w:cs="Arial"/>
          <w:sz w:val="22"/>
          <w:szCs w:val="22"/>
          <w:lang w:val="es-ES"/>
        </w:rPr>
        <w:t xml:space="preserve"> </w:t>
      </w:r>
      <w:r w:rsidR="006A6E02" w:rsidRPr="00CC306F">
        <w:rPr>
          <w:rFonts w:ascii="Geomanist Light" w:eastAsia="Calibri" w:hAnsi="Geomanist Light" w:cs="Arial"/>
          <w:sz w:val="22"/>
          <w:szCs w:val="22"/>
          <w:lang w:val="es-ES"/>
        </w:rPr>
        <w:t>2</w:t>
      </w:r>
      <w:r w:rsidR="007E75FE" w:rsidRPr="00CC306F">
        <w:rPr>
          <w:rFonts w:ascii="Geomanist Light" w:eastAsia="Calibri" w:hAnsi="Geomanist Light" w:cs="Arial"/>
          <w:sz w:val="22"/>
          <w:szCs w:val="22"/>
          <w:lang w:val="es-ES"/>
        </w:rPr>
        <w:t>8</w:t>
      </w:r>
      <w:r w:rsidR="00444306" w:rsidRPr="00CC306F">
        <w:rPr>
          <w:rFonts w:ascii="Geomanist Light" w:eastAsia="Calibri" w:hAnsi="Geomanist Light" w:cs="Arial"/>
          <w:sz w:val="22"/>
          <w:szCs w:val="22"/>
          <w:lang w:val="es-ES"/>
        </w:rPr>
        <w:t xml:space="preserve"> de </w:t>
      </w:r>
      <w:r w:rsidR="009C15CB" w:rsidRPr="00CC306F">
        <w:rPr>
          <w:rFonts w:ascii="Geomanist Light" w:eastAsia="Calibri" w:hAnsi="Geomanist Light" w:cs="Arial"/>
          <w:sz w:val="22"/>
          <w:szCs w:val="22"/>
          <w:lang w:val="es-ES"/>
        </w:rPr>
        <w:t>noviembre</w:t>
      </w:r>
      <w:r w:rsidR="00444306" w:rsidRPr="00CC306F">
        <w:rPr>
          <w:rFonts w:ascii="Geomanist Light" w:eastAsia="Calibri" w:hAnsi="Geomanist Light" w:cs="Arial"/>
          <w:sz w:val="22"/>
          <w:szCs w:val="22"/>
          <w:lang w:val="es-ES"/>
        </w:rPr>
        <w:t xml:space="preserve"> de 2022.</w:t>
      </w:r>
    </w:p>
    <w:p w14:paraId="3A39D17D" w14:textId="739417A7" w:rsidR="005520DD" w:rsidRPr="00CC306F" w:rsidRDefault="005520DD" w:rsidP="004E77FA">
      <w:pPr>
        <w:pStyle w:val="Prrafodelista"/>
        <w:numPr>
          <w:ilvl w:val="0"/>
          <w:numId w:val="2"/>
        </w:numPr>
        <w:tabs>
          <w:tab w:val="left" w:pos="0"/>
          <w:tab w:val="left" w:pos="142"/>
          <w:tab w:val="left" w:pos="284"/>
        </w:tabs>
        <w:spacing w:after="240"/>
        <w:ind w:left="0" w:firstLine="0"/>
        <w:rPr>
          <w:rFonts w:ascii="Geomanist Light" w:eastAsia="Calibri" w:hAnsi="Geomanist Light" w:cs="Arial"/>
          <w:b/>
          <w:color w:val="000000" w:themeColor="text1"/>
          <w:lang w:val="es-ES_tradnl"/>
        </w:rPr>
      </w:pPr>
      <w:r w:rsidRPr="00CC306F">
        <w:rPr>
          <w:rFonts w:ascii="Geomanist Light" w:eastAsia="Calibri" w:hAnsi="Geomanist Light" w:cs="Arial"/>
          <w:b/>
          <w:color w:val="000000" w:themeColor="text1"/>
          <w:lang w:val="es-ES_tradnl"/>
        </w:rPr>
        <w:t xml:space="preserve">Problema planteado </w:t>
      </w:r>
    </w:p>
    <w:p w14:paraId="7E5660F5" w14:textId="51805273" w:rsidR="009321CE" w:rsidRPr="00CC306F" w:rsidRDefault="00F776E3" w:rsidP="004E77FA">
      <w:pPr>
        <w:spacing w:after="240" w:line="276" w:lineRule="auto"/>
        <w:jc w:val="both"/>
        <w:rPr>
          <w:rFonts w:ascii="Geomanist Light" w:hAnsi="Geomanist Light" w:cs="Arial"/>
          <w:color w:val="000000" w:themeColor="text1"/>
          <w:sz w:val="22"/>
          <w:lang w:val="es-ES_tradnl"/>
        </w:rPr>
      </w:pPr>
      <w:r w:rsidRPr="00CC306F">
        <w:rPr>
          <w:rFonts w:ascii="Geomanist Light" w:hAnsi="Geomanist Light" w:cs="Arial"/>
          <w:color w:val="1A1A1A" w:themeColor="background1" w:themeShade="1A"/>
          <w:sz w:val="22"/>
          <w:szCs w:val="22"/>
          <w:lang w:val="es-ES_tradnl"/>
        </w:rPr>
        <w:t>Usted formula la siguiente consulta:</w:t>
      </w:r>
      <w:r w:rsidR="005520DD" w:rsidRPr="00CC306F">
        <w:rPr>
          <w:rFonts w:ascii="Geomanist Light" w:hAnsi="Geomanist Light" w:cs="Arial"/>
          <w:color w:val="000000" w:themeColor="text1"/>
          <w:sz w:val="22"/>
          <w:lang w:val="es-ES_tradnl"/>
        </w:rPr>
        <w:t xml:space="preserve"> </w:t>
      </w:r>
      <w:bookmarkStart w:id="2" w:name="_Hlk79503570"/>
      <w:bookmarkStart w:id="3" w:name="_Hlk79651438"/>
    </w:p>
    <w:p w14:paraId="5D8F8408" w14:textId="2C9C56D1" w:rsidR="006A6E02" w:rsidRPr="00CC306F" w:rsidRDefault="00E66E65" w:rsidP="004E77FA">
      <w:pPr>
        <w:autoSpaceDE w:val="0"/>
        <w:autoSpaceDN w:val="0"/>
        <w:adjustRightInd w:val="0"/>
        <w:spacing w:after="240"/>
        <w:ind w:left="709" w:right="709"/>
        <w:contextualSpacing/>
        <w:jc w:val="both"/>
        <w:rPr>
          <w:rFonts w:ascii="Geomanist Light" w:hAnsi="Geomanist Light"/>
          <w:sz w:val="21"/>
          <w:szCs w:val="21"/>
        </w:rPr>
      </w:pPr>
      <w:r w:rsidRPr="00CC306F">
        <w:rPr>
          <w:rFonts w:ascii="Geomanist Light" w:eastAsiaTheme="minorHAnsi" w:hAnsi="Geomanist Light" w:cs="Arial"/>
          <w:color w:val="000000" w:themeColor="text1"/>
          <w:sz w:val="21"/>
          <w:szCs w:val="21"/>
          <w:lang w:eastAsia="en-US"/>
        </w:rPr>
        <w:lastRenderedPageBreak/>
        <w:t>«</w:t>
      </w:r>
      <w:r w:rsidR="006A6E02" w:rsidRPr="00CC306F">
        <w:rPr>
          <w:rFonts w:ascii="Geomanist Light" w:hAnsi="Geomanist Light"/>
          <w:sz w:val="21"/>
          <w:szCs w:val="21"/>
        </w:rPr>
        <w:t xml:space="preserve">1. ¿Puede una entidad estatal solicitar documento adicional al formato 8 de los Pliegos Tipo para la acreditación de la nómina del personal en condición de discapacidad aparte del certificado del MINTRABAJO? </w:t>
      </w:r>
    </w:p>
    <w:p w14:paraId="65C9090F"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p>
    <w:p w14:paraId="6C6D82B3"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r w:rsidRPr="00CC306F">
        <w:rPr>
          <w:rFonts w:ascii="Geomanist Light" w:hAnsi="Geomanist Light"/>
          <w:sz w:val="21"/>
          <w:szCs w:val="21"/>
        </w:rPr>
        <w:t xml:space="preserve">2. Si el número de trabajadores en nómina acreditado en el certificado de MINTRABAJO es diferente al acreditado en el formato 8 ¿es necesario aportar otro documento? El caso específico es que en mi certificado de </w:t>
      </w:r>
      <w:proofErr w:type="spellStart"/>
      <w:r w:rsidRPr="00CC306F">
        <w:rPr>
          <w:rFonts w:ascii="Geomanist Light" w:hAnsi="Geomanist Light"/>
          <w:sz w:val="21"/>
          <w:szCs w:val="21"/>
        </w:rPr>
        <w:t>Mintrabajo</w:t>
      </w:r>
      <w:proofErr w:type="spellEnd"/>
      <w:r w:rsidRPr="00CC306F">
        <w:rPr>
          <w:rFonts w:ascii="Geomanist Light" w:hAnsi="Geomanist Light"/>
          <w:sz w:val="21"/>
          <w:szCs w:val="21"/>
        </w:rPr>
        <w:t xml:space="preserve"> reportan 42 trabajadores a nómina de septiembre de 2022 y en octubre y noviembre mi nomina bajo a 25 y 19 trabajadores los cuales acredito en el formato 8 pero no me dan puntaje porque, según la entidad Parques Nacionales; como reporte 42 debo tener 2 personas en condición de discapacidad. </w:t>
      </w:r>
    </w:p>
    <w:p w14:paraId="403C0FB4"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p>
    <w:p w14:paraId="5B333DD6"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r w:rsidRPr="00CC306F">
        <w:rPr>
          <w:rFonts w:ascii="Geomanist Light" w:hAnsi="Geomanist Light"/>
          <w:sz w:val="21"/>
          <w:szCs w:val="21"/>
        </w:rPr>
        <w:t xml:space="preserve">3. Algunas Entidades Oficiales no me da puntaje por emprendimiento de mujeres porque según ellos debo anexar al formato tipo una certificación aparte en la que conste la composición accionaria ¿es esto valido? </w:t>
      </w:r>
    </w:p>
    <w:p w14:paraId="57D82597"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p>
    <w:p w14:paraId="1A26EC72"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r w:rsidRPr="00CC306F">
        <w:rPr>
          <w:rFonts w:ascii="Geomanist Light" w:hAnsi="Geomanist Light"/>
          <w:sz w:val="21"/>
          <w:szCs w:val="21"/>
        </w:rPr>
        <w:t xml:space="preserve">4. Algunas Entidades Oficiales no otorgan el puntaje por MIPYME pues no aceptan que esta condición se demuestra con la presentación del RUP vigente, en firme y con fecha no superior a 30 días del cierre del proceso. ¿es esto legal? </w:t>
      </w:r>
    </w:p>
    <w:p w14:paraId="62499C0A" w14:textId="77777777" w:rsidR="006A6E02"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p>
    <w:p w14:paraId="443F1B34" w14:textId="2D3DD0A3" w:rsidR="005520DD" w:rsidRPr="00CC306F" w:rsidRDefault="006A6E02" w:rsidP="004E77FA">
      <w:pPr>
        <w:autoSpaceDE w:val="0"/>
        <w:autoSpaceDN w:val="0"/>
        <w:adjustRightInd w:val="0"/>
        <w:spacing w:after="240"/>
        <w:ind w:left="709" w:right="709"/>
        <w:contextualSpacing/>
        <w:jc w:val="both"/>
        <w:rPr>
          <w:rFonts w:ascii="Geomanist Light" w:hAnsi="Geomanist Light"/>
          <w:sz w:val="21"/>
          <w:szCs w:val="21"/>
        </w:rPr>
      </w:pPr>
      <w:r w:rsidRPr="00CC306F">
        <w:rPr>
          <w:rFonts w:ascii="Geomanist Light" w:hAnsi="Geomanist Light"/>
          <w:sz w:val="21"/>
          <w:szCs w:val="21"/>
        </w:rPr>
        <w:t>5. ¿Si una Entidad está obligada al IVA sobre la Utilidad y el oferente no la incluye en su oferta se puede rechazar la propuesta?</w:t>
      </w:r>
      <w:r w:rsidR="005520DD" w:rsidRPr="00CC306F">
        <w:rPr>
          <w:rFonts w:ascii="Geomanist Light" w:eastAsiaTheme="minorHAnsi" w:hAnsi="Geomanist Light" w:cs="Arial"/>
          <w:color w:val="000000" w:themeColor="text1"/>
          <w:sz w:val="21"/>
          <w:szCs w:val="21"/>
          <w:lang w:eastAsia="en-US"/>
        </w:rPr>
        <w:t>»</w:t>
      </w:r>
      <w:r w:rsidR="00C01652" w:rsidRPr="00CC306F">
        <w:rPr>
          <w:rFonts w:ascii="Geomanist Light" w:hAnsi="Geomanist Light" w:cs="Arial"/>
          <w:color w:val="000000" w:themeColor="text1"/>
          <w:sz w:val="21"/>
          <w:szCs w:val="21"/>
        </w:rPr>
        <w:t xml:space="preserve"> </w:t>
      </w:r>
      <w:bookmarkEnd w:id="2"/>
      <w:bookmarkEnd w:id="3"/>
    </w:p>
    <w:p w14:paraId="6405ACDD" w14:textId="3C20D557" w:rsidR="00D45293" w:rsidRPr="00CC306F" w:rsidRDefault="005520DD" w:rsidP="004E77FA">
      <w:pPr>
        <w:pStyle w:val="Prrafodelista"/>
        <w:numPr>
          <w:ilvl w:val="0"/>
          <w:numId w:val="2"/>
        </w:numPr>
        <w:tabs>
          <w:tab w:val="left" w:pos="0"/>
          <w:tab w:val="left" w:pos="284"/>
        </w:tabs>
        <w:spacing w:after="240"/>
        <w:ind w:left="0" w:firstLine="0"/>
        <w:rPr>
          <w:rFonts w:ascii="Geomanist Light" w:eastAsia="Calibri" w:hAnsi="Geomanist Light" w:cs="Arial"/>
          <w:b/>
          <w:color w:val="000000" w:themeColor="text1"/>
          <w:lang w:val="es-ES_tradnl"/>
        </w:rPr>
      </w:pPr>
      <w:r w:rsidRPr="00CC306F">
        <w:rPr>
          <w:rFonts w:ascii="Geomanist Light" w:eastAsia="Calibri" w:hAnsi="Geomanist Light" w:cs="Arial"/>
          <w:b/>
          <w:color w:val="000000" w:themeColor="text1"/>
          <w:lang w:val="es-ES_tradnl"/>
        </w:rPr>
        <w:t>Consideraciones</w:t>
      </w:r>
    </w:p>
    <w:p w14:paraId="6FDC8873" w14:textId="38BABFE7" w:rsidR="001935F2" w:rsidRPr="00CC306F" w:rsidRDefault="001935F2" w:rsidP="004E77FA">
      <w:pPr>
        <w:spacing w:after="240" w:line="276" w:lineRule="auto"/>
        <w:jc w:val="both"/>
        <w:rPr>
          <w:rFonts w:ascii="Geomanist Light" w:eastAsia="Calibri" w:hAnsi="Geomanist Light" w:cs="Arial"/>
          <w:color w:val="000000"/>
          <w:sz w:val="22"/>
          <w:szCs w:val="22"/>
          <w:lang w:val="es-ES_tradnl"/>
        </w:rPr>
      </w:pPr>
      <w:r w:rsidRPr="00CC306F">
        <w:rPr>
          <w:rFonts w:ascii="Geomanist Light" w:eastAsia="Calibri" w:hAnsi="Geomanist Light" w:cs="Arial"/>
          <w:color w:val="000000"/>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CC306F">
        <w:rPr>
          <w:rFonts w:ascii="Geomanist Light" w:eastAsia="Calibri" w:hAnsi="Geomanist Light" w:cs="Arial"/>
          <w:color w:val="000000"/>
          <w:sz w:val="22"/>
          <w:szCs w:val="22"/>
          <w:lang w:val="es-ES_tradnl"/>
        </w:rPr>
        <w:t xml:space="preserve"> Es necesario tener en cuenta que </w:t>
      </w:r>
      <w:bookmarkStart w:id="6" w:name="_Hlk61026958"/>
      <w:r w:rsidRPr="00CC306F">
        <w:rPr>
          <w:rFonts w:ascii="Geomanist Light" w:eastAsia="Calibri" w:hAnsi="Geomanist Light" w:cs="Arial"/>
          <w:color w:val="000000"/>
          <w:sz w:val="22"/>
          <w:szCs w:val="22"/>
          <w:lang w:val="es-ES_tradnl"/>
        </w:rPr>
        <w:t>esta entidad solo tiene competencia para responder solicitudes sobre la aplicación de normas de carácter general en materia de compras y contratación pública</w:t>
      </w:r>
      <w:r w:rsidR="00287544" w:rsidRPr="00CC306F">
        <w:rPr>
          <w:rStyle w:val="Refdenotaalpie"/>
          <w:rFonts w:ascii="Geomanist Light" w:eastAsia="Calibri" w:hAnsi="Geomanist Light" w:cs="Arial"/>
          <w:color w:val="000000"/>
          <w:sz w:val="22"/>
          <w:szCs w:val="22"/>
          <w:lang w:val="es-ES_tradnl"/>
        </w:rPr>
        <w:footnoteReference w:id="1"/>
      </w:r>
      <w:r w:rsidRPr="00CC306F">
        <w:rPr>
          <w:rFonts w:ascii="Geomanist Light" w:eastAsia="Calibri" w:hAnsi="Geomanist Light" w:cs="Arial"/>
          <w:color w:val="000000"/>
          <w:sz w:val="22"/>
          <w:szCs w:val="22"/>
          <w:lang w:val="es-ES_tradnl"/>
        </w:rPr>
        <w:t>.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E1E16E4" w14:textId="77777777" w:rsidR="00737222" w:rsidRPr="00CC306F" w:rsidRDefault="001935F2" w:rsidP="004E77FA">
      <w:pPr>
        <w:spacing w:after="240" w:line="276" w:lineRule="auto"/>
        <w:ind w:firstLine="708"/>
        <w:jc w:val="both"/>
        <w:rPr>
          <w:rFonts w:ascii="Geomanist Light" w:eastAsia="Calibri" w:hAnsi="Geomanist Light" w:cs="Arial"/>
          <w:color w:val="000000"/>
          <w:sz w:val="22"/>
          <w:szCs w:val="22"/>
          <w:lang w:val="es-ES_tradnl"/>
        </w:rPr>
      </w:pPr>
      <w:r w:rsidRPr="00CC306F">
        <w:rPr>
          <w:rFonts w:ascii="Geomanist Light" w:eastAsia="Calibri" w:hAnsi="Geomanist Light" w:cs="Arial"/>
          <w:color w:val="000000"/>
          <w:sz w:val="22"/>
          <w:szCs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0C63FF" w:rsidRPr="00CC306F">
        <w:rPr>
          <w:rStyle w:val="Refdenotaalpie"/>
          <w:rFonts w:ascii="Geomanist Light" w:eastAsia="Calibri" w:hAnsi="Geomanist Light" w:cs="Arial"/>
          <w:color w:val="000000"/>
          <w:sz w:val="22"/>
          <w:szCs w:val="22"/>
          <w:lang w:val="es-ES_tradnl"/>
        </w:rPr>
        <w:footnoteReference w:id="2"/>
      </w:r>
      <w:r w:rsidRPr="00CC306F">
        <w:rPr>
          <w:rFonts w:ascii="Geomanist Light" w:eastAsia="Calibri" w:hAnsi="Geomanist Light" w:cs="Arial"/>
          <w:color w:val="000000"/>
          <w:sz w:val="22"/>
          <w:szCs w:val="22"/>
          <w:lang w:val="es-ES_tradnl"/>
        </w:rPr>
        <w:t xml:space="preserve">. Esta competencia </w:t>
      </w:r>
      <w:r w:rsidRPr="00CC306F">
        <w:rPr>
          <w:rFonts w:ascii="Geomanist Light" w:eastAsia="Calibri" w:hAnsi="Geomanist Light" w:cs="Arial"/>
          <w:color w:val="000000"/>
          <w:sz w:val="22"/>
          <w:szCs w:val="22"/>
          <w:lang w:val="es-ES_tradnl"/>
        </w:rPr>
        <w:lastRenderedPageBreak/>
        <w:t xml:space="preserve">de interpretación de normas generales, por definición, no puede extenderse a la resolución de controversias, ni a brindar asesorías sobre casos puntuales. </w:t>
      </w:r>
      <w:bookmarkEnd w:id="6"/>
      <w:r w:rsidRPr="00CC306F">
        <w:rPr>
          <w:rFonts w:ascii="Geomanist Light" w:eastAsia="Calibri" w:hAnsi="Geomanist Light" w:cs="Arial"/>
          <w:color w:val="000000"/>
          <w:sz w:val="22"/>
          <w:szCs w:val="22"/>
          <w:lang w:val="es-ES_tradnl"/>
        </w:rPr>
        <w:t xml:space="preserve">Por lo anterior, previo concepto de sus órganos asesores, la solución de estos temas corresponde a la entidad que adelanta el procedimiento de selección y, en caso de conflicto, a las autoridades judiciales, fiscales y disciplinarias. </w:t>
      </w:r>
      <w:bookmarkEnd w:id="4"/>
      <w:bookmarkEnd w:id="5"/>
    </w:p>
    <w:p w14:paraId="0D32F150" w14:textId="24EA67C1" w:rsidR="001935F2" w:rsidRPr="00CC306F" w:rsidRDefault="001935F2" w:rsidP="004E77FA">
      <w:pPr>
        <w:spacing w:after="240" w:line="276" w:lineRule="auto"/>
        <w:ind w:firstLine="708"/>
        <w:jc w:val="both"/>
        <w:rPr>
          <w:rFonts w:ascii="Geomanist Light" w:eastAsia="Calibri" w:hAnsi="Geomanist Light" w:cs="Arial"/>
          <w:color w:val="000000"/>
          <w:sz w:val="22"/>
          <w:szCs w:val="22"/>
          <w:lang w:val="es-ES"/>
        </w:rPr>
      </w:pPr>
      <w:r w:rsidRPr="00CC306F">
        <w:rPr>
          <w:rFonts w:ascii="Geomanist Light" w:eastAsia="Calibri" w:hAnsi="Geomanist Light" w:cs="Arial"/>
          <w:color w:val="000000"/>
          <w:sz w:val="22"/>
          <w:szCs w:val="22"/>
          <w:lang w:val="es-ES_tradnl"/>
        </w:rPr>
        <w:t xml:space="preserve">En este contexto, la Subdirección –dentro de los límites de sus atribuciones, esto es, </w:t>
      </w:r>
      <w:bookmarkStart w:id="7" w:name="_Hlk61025408"/>
      <w:r w:rsidRPr="00CC306F">
        <w:rPr>
          <w:rFonts w:ascii="Geomanist Light" w:eastAsia="Calibri" w:hAnsi="Geomanist Light" w:cs="Arial"/>
          <w:color w:val="000000"/>
          <w:sz w:val="22"/>
          <w:szCs w:val="22"/>
          <w:lang w:val="es-ES_tradnl"/>
        </w:rPr>
        <w:t>haciendo abstracción del caso particular expuesto por el peticionario</w:t>
      </w:r>
      <w:bookmarkEnd w:id="7"/>
      <w:r w:rsidRPr="00CC306F">
        <w:rPr>
          <w:rFonts w:ascii="Geomanist Light" w:eastAsia="Calibri" w:hAnsi="Geomanist Light" w:cs="Arial"/>
          <w:color w:val="000000"/>
          <w:sz w:val="22"/>
          <w:szCs w:val="22"/>
          <w:lang w:val="es-ES_tradnl"/>
        </w:rPr>
        <w:t>– resolverá la consulta conforme a las normas generales en materia de contratación estatal.</w:t>
      </w:r>
      <w:r w:rsidR="00737222" w:rsidRPr="00CC306F">
        <w:rPr>
          <w:rFonts w:ascii="Geomanist Light" w:eastAsia="Calibri" w:hAnsi="Geomanist Light" w:cs="Arial"/>
          <w:color w:val="000000"/>
          <w:sz w:val="22"/>
          <w:szCs w:val="22"/>
          <w:lang w:val="es-ES_tradnl"/>
        </w:rPr>
        <w:t xml:space="preserve"> </w:t>
      </w:r>
      <w:r w:rsidR="00737222" w:rsidRPr="00CC306F">
        <w:rPr>
          <w:rFonts w:ascii="Geomanist Light" w:eastAsia="Calibri" w:hAnsi="Geomanist Light" w:cs="Arial"/>
          <w:color w:val="000000" w:themeColor="text1"/>
          <w:sz w:val="22"/>
          <w:szCs w:val="22"/>
          <w:lang w:val="es-ES"/>
        </w:rPr>
        <w:t xml:space="preserve">Con este objetivo, en desarrollo del presente concepto, se analizarán los siguientes temas: i) </w:t>
      </w:r>
      <w:r w:rsidR="00C76720" w:rsidRPr="00CC306F">
        <w:rPr>
          <w:rFonts w:ascii="Geomanist Light" w:eastAsia="Calibri" w:hAnsi="Geomanist Light" w:cs="Arial"/>
          <w:color w:val="000000" w:themeColor="text1"/>
          <w:sz w:val="22"/>
          <w:szCs w:val="22"/>
          <w:lang w:val="es-ES"/>
        </w:rPr>
        <w:t xml:space="preserve">puntaje adicional para personas con </w:t>
      </w:r>
      <w:r w:rsidR="00C76720" w:rsidRPr="00CC306F">
        <w:rPr>
          <w:rFonts w:ascii="Geomanist Light" w:hAnsi="Geomanist Light" w:cs="Arial"/>
          <w:bCs/>
          <w:sz w:val="22"/>
          <w:szCs w:val="22"/>
        </w:rPr>
        <w:t>discapacidad y la acreditación del requisito a la luz del formato 8 de los documentos tipo</w:t>
      </w:r>
      <w:r w:rsidR="00F46E77" w:rsidRPr="00CC306F">
        <w:rPr>
          <w:rFonts w:ascii="Geomanist Light" w:eastAsia="Calibri" w:hAnsi="Geomanist Light" w:cs="Arial"/>
          <w:color w:val="000000" w:themeColor="text1"/>
          <w:sz w:val="22"/>
          <w:szCs w:val="22"/>
          <w:lang w:val="es-ES"/>
        </w:rPr>
        <w:t>;</w:t>
      </w:r>
      <w:r w:rsidR="00737222" w:rsidRPr="00CC306F">
        <w:rPr>
          <w:rFonts w:ascii="Geomanist Light" w:eastAsia="Calibri" w:hAnsi="Geomanist Light" w:cs="Arial"/>
          <w:color w:val="000000" w:themeColor="text1"/>
          <w:sz w:val="22"/>
          <w:szCs w:val="22"/>
          <w:lang w:val="es-ES"/>
        </w:rPr>
        <w:t xml:space="preserve"> ii) </w:t>
      </w:r>
      <w:r w:rsidR="00F46E77" w:rsidRPr="00CC306F">
        <w:rPr>
          <w:rFonts w:ascii="Geomanist Light" w:eastAsia="Calibri" w:hAnsi="Geomanist Light" w:cs="Arial"/>
          <w:color w:val="000000" w:themeColor="text1"/>
          <w:sz w:val="22"/>
          <w:szCs w:val="22"/>
          <w:lang w:val="es-ES"/>
        </w:rPr>
        <w:t xml:space="preserve">la </w:t>
      </w:r>
      <w:r w:rsidR="00737222" w:rsidRPr="00CC306F">
        <w:rPr>
          <w:rFonts w:ascii="Geomanist Light" w:eastAsia="Calibri" w:hAnsi="Geomanist Light" w:cs="Arial"/>
          <w:color w:val="000000" w:themeColor="text1"/>
          <w:sz w:val="22"/>
          <w:szCs w:val="22"/>
          <w:lang w:val="es-ES"/>
        </w:rPr>
        <w:t xml:space="preserve">definición de emprendimientos y empresas de mujeres en el </w:t>
      </w:r>
      <w:r w:rsidR="00737222" w:rsidRPr="00102AD2">
        <w:rPr>
          <w:rFonts w:ascii="Geomanist Light" w:eastAsia="Calibri" w:hAnsi="Geomanist Light" w:cs="Arial"/>
          <w:color w:val="000000" w:themeColor="text1"/>
          <w:sz w:val="22"/>
          <w:szCs w:val="22"/>
          <w:lang w:val="es-ES"/>
        </w:rPr>
        <w:t>Decreto 1860 de 2021</w:t>
      </w:r>
      <w:r w:rsidR="00F46E77" w:rsidRPr="00102AD2">
        <w:rPr>
          <w:rFonts w:ascii="Geomanist Light" w:eastAsia="Calibri" w:hAnsi="Geomanist Light" w:cs="Arial"/>
          <w:color w:val="000000" w:themeColor="text1"/>
          <w:sz w:val="22"/>
          <w:szCs w:val="22"/>
          <w:lang w:val="es-ES"/>
        </w:rPr>
        <w:t xml:space="preserve"> y su acreditación</w:t>
      </w:r>
      <w:r w:rsidR="00FD1E9A" w:rsidRPr="00102AD2">
        <w:rPr>
          <w:rFonts w:ascii="Geomanist Light" w:eastAsia="Calibri" w:hAnsi="Geomanist Light" w:cs="Arial"/>
          <w:color w:val="000000" w:themeColor="text1"/>
          <w:sz w:val="22"/>
          <w:szCs w:val="22"/>
          <w:lang w:val="es-ES"/>
        </w:rPr>
        <w:t>; iii)</w:t>
      </w:r>
      <w:r w:rsidR="00567039" w:rsidRPr="00102AD2">
        <w:rPr>
          <w:rFonts w:ascii="Geomanist Light" w:eastAsia="Calibri" w:hAnsi="Geomanist Light" w:cs="Arial"/>
          <w:color w:val="000000" w:themeColor="text1"/>
          <w:sz w:val="22"/>
          <w:szCs w:val="22"/>
          <w:lang w:val="es-ES"/>
        </w:rPr>
        <w:t xml:space="preserve"> </w:t>
      </w:r>
      <w:r w:rsidR="00B57AB7" w:rsidRPr="00102AD2">
        <w:rPr>
          <w:rFonts w:ascii="Geomanist Light" w:eastAsia="Calibri" w:hAnsi="Geomanist Light" w:cs="Arial"/>
          <w:color w:val="000000" w:themeColor="text1"/>
          <w:sz w:val="22"/>
          <w:szCs w:val="22"/>
          <w:lang w:val="es-ES"/>
        </w:rPr>
        <w:t xml:space="preserve">criterios diferenciales y puntajes Adicionales para </w:t>
      </w:r>
      <w:proofErr w:type="spellStart"/>
      <w:r w:rsidR="00B57AB7" w:rsidRPr="00102AD2">
        <w:rPr>
          <w:rFonts w:ascii="Geomanist Light" w:eastAsia="Calibri" w:hAnsi="Geomanist Light" w:cs="Arial"/>
          <w:color w:val="000000" w:themeColor="text1"/>
          <w:sz w:val="22"/>
          <w:szCs w:val="22"/>
          <w:lang w:val="es-ES"/>
        </w:rPr>
        <w:t>Mipymes</w:t>
      </w:r>
      <w:proofErr w:type="spellEnd"/>
      <w:r w:rsidR="00B57AB7" w:rsidRPr="00102AD2">
        <w:rPr>
          <w:rFonts w:ascii="Geomanist Light" w:eastAsia="Calibri" w:hAnsi="Geomanist Light" w:cs="Arial"/>
          <w:color w:val="000000" w:themeColor="text1"/>
          <w:sz w:val="22"/>
          <w:szCs w:val="22"/>
          <w:lang w:val="es-ES"/>
        </w:rPr>
        <w:t xml:space="preserve">; y </w:t>
      </w:r>
      <w:proofErr w:type="spellStart"/>
      <w:r w:rsidR="00B57AB7" w:rsidRPr="00102AD2">
        <w:rPr>
          <w:rFonts w:ascii="Geomanist Light" w:eastAsia="Calibri" w:hAnsi="Geomanist Light" w:cs="Arial"/>
          <w:color w:val="000000" w:themeColor="text1"/>
          <w:sz w:val="22"/>
          <w:szCs w:val="22"/>
          <w:lang w:val="es-ES"/>
        </w:rPr>
        <w:t>iv</w:t>
      </w:r>
      <w:proofErr w:type="spellEnd"/>
      <w:r w:rsidR="00B57AB7" w:rsidRPr="00102AD2">
        <w:rPr>
          <w:rFonts w:ascii="Geomanist Light" w:eastAsia="Calibri" w:hAnsi="Geomanist Light" w:cs="Arial"/>
          <w:color w:val="000000" w:themeColor="text1"/>
          <w:sz w:val="22"/>
          <w:szCs w:val="22"/>
          <w:lang w:val="es-ES"/>
        </w:rPr>
        <w:t xml:space="preserve">) </w:t>
      </w:r>
      <w:r w:rsidR="00102AD2" w:rsidRPr="00102AD2">
        <w:rPr>
          <w:rFonts w:ascii="Geomanist Light" w:eastAsia="Calibri" w:hAnsi="Geomanist Light" w:cs="Arial"/>
          <w:color w:val="000000" w:themeColor="text1"/>
          <w:sz w:val="22"/>
          <w:szCs w:val="22"/>
          <w:lang w:val="es-ES"/>
        </w:rPr>
        <w:t>el precio de los contratos estatales y su determinación</w:t>
      </w:r>
      <w:r w:rsidR="00737222" w:rsidRPr="00102AD2">
        <w:rPr>
          <w:rFonts w:ascii="Geomanist Light" w:eastAsia="Calibri" w:hAnsi="Geomanist Light" w:cs="Arial"/>
          <w:color w:val="000000" w:themeColor="text1"/>
          <w:sz w:val="22"/>
          <w:szCs w:val="22"/>
          <w:lang w:val="es-ES"/>
        </w:rPr>
        <w:t>.</w:t>
      </w:r>
    </w:p>
    <w:p w14:paraId="1FF30CFB" w14:textId="1AD475A0" w:rsidR="00B76B85" w:rsidRPr="00CC306F" w:rsidRDefault="00B76B85" w:rsidP="004E77FA">
      <w:pPr>
        <w:spacing w:after="240" w:line="276" w:lineRule="auto"/>
        <w:ind w:firstLine="708"/>
        <w:jc w:val="both"/>
        <w:rPr>
          <w:rFonts w:ascii="Geomanist Light" w:eastAsia="Calibri" w:hAnsi="Geomanist Light" w:cs="Arial"/>
          <w:color w:val="000000" w:themeColor="text1"/>
          <w:sz w:val="22"/>
          <w:szCs w:val="22"/>
          <w:lang w:val="es-ES"/>
        </w:rPr>
      </w:pPr>
      <w:r w:rsidRPr="00CC306F">
        <w:rPr>
          <w:rFonts w:ascii="Geomanist Light" w:eastAsiaTheme="minorHAnsi" w:hAnsi="Geomanist Light" w:cs="Arial"/>
          <w:color w:val="000000"/>
          <w:sz w:val="22"/>
          <w:szCs w:val="22"/>
          <w:bdr w:val="none" w:sz="0" w:space="0" w:color="auto" w:frame="1"/>
          <w:lang w:eastAsia="en-US"/>
        </w:rPr>
        <w:t xml:space="preserve">La Agencia Nacional de Contratación Pública – Colombia Compra Eficiente </w:t>
      </w:r>
      <w:r w:rsidRPr="00CC306F">
        <w:rPr>
          <w:rFonts w:ascii="Geomanist Light" w:eastAsiaTheme="minorHAnsi" w:hAnsi="Geomanist Light" w:cs="Arial"/>
          <w:color w:val="000000"/>
          <w:sz w:val="22"/>
          <w:szCs w:val="22"/>
          <w:bdr w:val="none" w:sz="0" w:space="0" w:color="auto" w:frame="1"/>
          <w:lang w:val="es-MX" w:eastAsia="en-US"/>
        </w:rPr>
        <w:t>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C-669 del 20 de noviembre de 2020, C-676 del 27 de noviembre de 2020</w:t>
      </w:r>
      <w:r w:rsidRPr="00CC306F">
        <w:rPr>
          <w:rFonts w:ascii="Geomanist Light" w:eastAsiaTheme="minorHAnsi" w:hAnsi="Geomanist Light" w:cs="Arial"/>
          <w:color w:val="000000"/>
          <w:sz w:val="22"/>
          <w:szCs w:val="22"/>
          <w:bdr w:val="none" w:sz="0" w:space="0" w:color="auto" w:frame="1"/>
          <w:lang w:eastAsia="en-US"/>
        </w:rPr>
        <w:t xml:space="preserve">, </w:t>
      </w:r>
      <w:r w:rsidRPr="00CC306F">
        <w:rPr>
          <w:rFonts w:ascii="Geomanist Light" w:eastAsiaTheme="minorHAnsi" w:hAnsi="Geomanist Light" w:cs="Arial"/>
          <w:color w:val="000000"/>
          <w:sz w:val="22"/>
          <w:szCs w:val="22"/>
          <w:bdr w:val="none" w:sz="0" w:space="0" w:color="auto" w:frame="1"/>
          <w:lang w:val="es-MX" w:eastAsia="en-US"/>
        </w:rPr>
        <w:t>C-747 del 15 de diciembre de 2020</w:t>
      </w:r>
      <w:r w:rsidRPr="00CC306F">
        <w:rPr>
          <w:rFonts w:ascii="Geomanist Light" w:eastAsiaTheme="minorHAnsi" w:hAnsi="Geomanist Light" w:cs="Arial"/>
          <w:color w:val="000000"/>
          <w:sz w:val="22"/>
          <w:szCs w:val="22"/>
          <w:bdr w:val="none" w:sz="0" w:space="0" w:color="auto" w:frame="1"/>
          <w:lang w:eastAsia="en-US"/>
        </w:rPr>
        <w:t>, C-119 del 30 de marzo de 2021, C-383 del 02 de agosto de 2022 y C-641 de 5 de octubre de 2022</w:t>
      </w:r>
      <w:r w:rsidRPr="00CC306F">
        <w:rPr>
          <w:rFonts w:ascii="Geomanist Light" w:eastAsiaTheme="minorHAnsi" w:hAnsi="Geomanist Light" w:cs="Arial"/>
          <w:color w:val="000000"/>
          <w:sz w:val="22"/>
          <w:szCs w:val="22"/>
          <w:bdr w:val="none" w:sz="0" w:space="0" w:color="auto" w:frame="1"/>
          <w:lang w:val="es-MX" w:eastAsia="en-US"/>
        </w:rPr>
        <w:t>,  estudió los requisitos para acreditar el personal con discapacidad</w:t>
      </w:r>
      <w:r w:rsidRPr="00CC306F">
        <w:rPr>
          <w:rFonts w:ascii="Geomanist Light" w:eastAsiaTheme="minorHAnsi" w:hAnsi="Geomanist Light" w:cs="Arial"/>
          <w:color w:val="000000"/>
          <w:sz w:val="22"/>
          <w:szCs w:val="22"/>
          <w:bdr w:val="none" w:sz="0" w:space="0" w:color="auto" w:frame="1"/>
          <w:lang w:eastAsia="en-US"/>
        </w:rPr>
        <w:t xml:space="preserve">. </w:t>
      </w:r>
    </w:p>
    <w:p w14:paraId="08D16D9D" w14:textId="0E290630" w:rsidR="00B76B85" w:rsidRPr="00CC306F" w:rsidRDefault="00567039" w:rsidP="004E77FA">
      <w:pPr>
        <w:spacing w:after="240" w:line="276" w:lineRule="auto"/>
        <w:ind w:firstLine="708"/>
        <w:jc w:val="both"/>
        <w:rPr>
          <w:rFonts w:ascii="Geomanist Light" w:eastAsia="Calibri" w:hAnsi="Geomanist Light" w:cs="Arial"/>
          <w:color w:val="000000" w:themeColor="text1"/>
          <w:sz w:val="22"/>
          <w:szCs w:val="22"/>
          <w:lang w:val="es-ES"/>
        </w:rPr>
      </w:pPr>
      <w:r w:rsidRPr="00CC306F">
        <w:rPr>
          <w:rFonts w:ascii="Geomanist Light" w:eastAsia="Calibri" w:hAnsi="Geomanist Light" w:cs="Arial"/>
          <w:color w:val="000000" w:themeColor="text1"/>
          <w:sz w:val="22"/>
          <w:szCs w:val="22"/>
          <w:lang w:val="es-ES"/>
        </w:rPr>
        <w:t xml:space="preserve">Por otra parte, </w:t>
      </w:r>
      <w:r w:rsidR="00250BD6" w:rsidRPr="00CC306F">
        <w:rPr>
          <w:rFonts w:ascii="Geomanist Light" w:eastAsia="Calibri" w:hAnsi="Geomanist Light" w:cs="Arial"/>
          <w:color w:val="000000" w:themeColor="text1"/>
          <w:sz w:val="22"/>
          <w:szCs w:val="22"/>
          <w:lang w:val="es-ES"/>
        </w:rPr>
        <w:t>esta Agencia se ha pronunciado, en términos generales, sobre el contenido de la Ley de Emprendimiento en diferentes conceptos</w:t>
      </w:r>
      <w:r w:rsidR="00250BD6" w:rsidRPr="00CC306F">
        <w:rPr>
          <w:rStyle w:val="Refdenotaalpie"/>
          <w:rFonts w:ascii="Geomanist Light" w:eastAsia="Calibri" w:hAnsi="Geomanist Light" w:cs="Arial"/>
          <w:color w:val="000000" w:themeColor="text1"/>
          <w:sz w:val="22"/>
          <w:szCs w:val="22"/>
          <w:lang w:val="es-ES"/>
        </w:rPr>
        <w:footnoteReference w:id="3"/>
      </w:r>
      <w:r w:rsidR="00250BD6" w:rsidRPr="00CC306F">
        <w:rPr>
          <w:rFonts w:ascii="Geomanist Light" w:eastAsia="Calibri" w:hAnsi="Geomanist Light" w:cs="Arial"/>
          <w:color w:val="000000" w:themeColor="text1"/>
          <w:sz w:val="22"/>
          <w:szCs w:val="22"/>
          <w:lang w:val="es-ES"/>
        </w:rPr>
        <w:t xml:space="preserve">, refiriéndose, especialmente, a lo dispuesto en el artículo 32 de la precitada ley, alusivo a los criterios diferenciales para emprendimientos y empresas de mujeres, y su decreto reglamentario, en </w:t>
      </w:r>
      <w:r w:rsidR="00250BD6" w:rsidRPr="00CC306F">
        <w:rPr>
          <w:rFonts w:ascii="Geomanist Light" w:eastAsia="Calibri" w:hAnsi="Geomanist Light" w:cs="Arial"/>
          <w:color w:val="000000" w:themeColor="text1"/>
          <w:sz w:val="22"/>
          <w:szCs w:val="22"/>
          <w:lang w:val="es-ES"/>
        </w:rPr>
        <w:lastRenderedPageBreak/>
        <w:t xml:space="preserve">los conceptos </w:t>
      </w:r>
      <w:r w:rsidR="00250BD6" w:rsidRPr="00CC306F">
        <w:rPr>
          <w:rStyle w:val="normaltextrun"/>
          <w:rFonts w:ascii="Geomanist Light" w:hAnsi="Geomanist Light" w:cs="Arial"/>
          <w:color w:val="000000" w:themeColor="text1"/>
          <w:sz w:val="22"/>
          <w:szCs w:val="22"/>
          <w:shd w:val="clear" w:color="auto" w:fill="FFFFFF"/>
        </w:rPr>
        <w:t xml:space="preserve">C-029 de 21 de febrero de 2021, C-037 del 26 de febrero de 2021, C-141 del 8 de abril de 2021, C-114 del 13 de abril de 2021 y C-031 del 1 de marzo de 2022, </w:t>
      </w:r>
      <w:r w:rsidR="00250BD6" w:rsidRPr="00CC306F">
        <w:rPr>
          <w:rFonts w:ascii="Geomanist Light" w:hAnsi="Geomanist Light" w:cs="Arial"/>
          <w:sz w:val="22"/>
          <w:szCs w:val="22"/>
          <w:shd w:val="clear" w:color="auto" w:fill="FFFFFF"/>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del 25 de noviembre de 2022, </w:t>
      </w:r>
      <w:r w:rsidR="00250BD6" w:rsidRPr="00CC306F">
        <w:rPr>
          <w:rStyle w:val="normaltextrun"/>
          <w:rFonts w:ascii="Geomanist Light" w:hAnsi="Geomanist Light" w:cs="Arial"/>
          <w:color w:val="000000" w:themeColor="text1"/>
          <w:sz w:val="22"/>
          <w:szCs w:val="22"/>
          <w:shd w:val="clear" w:color="auto" w:fill="FFFFFF"/>
        </w:rPr>
        <w:t>entre otros.</w:t>
      </w:r>
    </w:p>
    <w:p w14:paraId="3446BCA1" w14:textId="79944D9D" w:rsidR="002436E3" w:rsidRPr="00CC306F" w:rsidRDefault="002436E3" w:rsidP="004E77FA">
      <w:pPr>
        <w:spacing w:after="240" w:line="276" w:lineRule="auto"/>
        <w:ind w:firstLine="708"/>
        <w:jc w:val="both"/>
        <w:rPr>
          <w:rFonts w:ascii="Geomanist Light" w:eastAsia="Calibri" w:hAnsi="Geomanist Light" w:cs="Arial"/>
          <w:color w:val="000000" w:themeColor="text1"/>
          <w:sz w:val="22"/>
          <w:szCs w:val="22"/>
          <w:lang w:val="es-ES"/>
        </w:rPr>
      </w:pPr>
      <w:r w:rsidRPr="00CC306F">
        <w:rPr>
          <w:rFonts w:ascii="Geomanist Light" w:eastAsia="Calibri" w:hAnsi="Geomanist Light" w:cs="Arial"/>
          <w:color w:val="000000" w:themeColor="text1"/>
          <w:sz w:val="22"/>
          <w:szCs w:val="22"/>
          <w:lang w:val="es-ES"/>
        </w:rPr>
        <w:t xml:space="preserve">Igualmente, </w:t>
      </w:r>
      <w:r w:rsidR="00B623DC" w:rsidRPr="00CC306F">
        <w:rPr>
          <w:rFonts w:ascii="Geomanist Light" w:eastAsia="Calibri" w:hAnsi="Geomanist Light" w:cs="Arial"/>
          <w:color w:val="000000" w:themeColor="text1"/>
          <w:sz w:val="22"/>
          <w:szCs w:val="22"/>
          <w:lang w:val="es-ES"/>
        </w:rPr>
        <w:t xml:space="preserve">se pronunció, en términos generales, sobre la regulación de los criterios diferenciales en favor de las </w:t>
      </w:r>
      <w:proofErr w:type="spellStart"/>
      <w:r w:rsidR="00B623DC" w:rsidRPr="00CC306F">
        <w:rPr>
          <w:rFonts w:ascii="Geomanist Light" w:eastAsia="Calibri" w:hAnsi="Geomanist Light" w:cs="Arial"/>
          <w:color w:val="000000" w:themeColor="text1"/>
          <w:sz w:val="22"/>
          <w:szCs w:val="22"/>
          <w:lang w:val="es-ES"/>
        </w:rPr>
        <w:t>Mipyme</w:t>
      </w:r>
      <w:proofErr w:type="spellEnd"/>
      <w:r w:rsidR="00B623DC" w:rsidRPr="00CC306F">
        <w:rPr>
          <w:rFonts w:ascii="Geomanist Light" w:eastAsia="Calibri" w:hAnsi="Geomanist Light" w:cs="Arial"/>
          <w:color w:val="000000" w:themeColor="text1"/>
          <w:sz w:val="22"/>
          <w:szCs w:val="22"/>
          <w:lang w:val="es-ES"/>
        </w:rPr>
        <w:t xml:space="preserve"> nacionales, los criterios diferenciales en favor de los emprendimientos y empresas de mujeres en el Decreto 1860 de 2021 y la vigencia de dicho reglamento en los conceptos C-344 del 9 de junio, C-386 del 15 de junio de 2022</w:t>
      </w:r>
      <w:r w:rsidR="00D5667F" w:rsidRPr="00CC306F">
        <w:rPr>
          <w:rFonts w:ascii="Geomanist Light" w:eastAsia="Calibri" w:hAnsi="Geomanist Light" w:cs="Arial"/>
          <w:color w:val="000000" w:themeColor="text1"/>
          <w:sz w:val="22"/>
          <w:szCs w:val="22"/>
          <w:lang w:val="es-ES"/>
        </w:rPr>
        <w:t>,</w:t>
      </w:r>
      <w:r w:rsidR="00B623DC" w:rsidRPr="00CC306F">
        <w:rPr>
          <w:rFonts w:ascii="Geomanist Light" w:eastAsia="Calibri" w:hAnsi="Geomanist Light" w:cs="Arial"/>
          <w:color w:val="000000" w:themeColor="text1"/>
          <w:sz w:val="22"/>
          <w:szCs w:val="22"/>
          <w:lang w:val="es-ES"/>
        </w:rPr>
        <w:t xml:space="preserve"> C-509 de 8 de agosto de 2022</w:t>
      </w:r>
      <w:r w:rsidR="00D5667F" w:rsidRPr="00CC306F">
        <w:rPr>
          <w:rFonts w:ascii="Geomanist Light" w:eastAsia="Calibri" w:hAnsi="Geomanist Light" w:cs="Arial"/>
          <w:color w:val="000000" w:themeColor="text1"/>
          <w:sz w:val="22"/>
          <w:szCs w:val="22"/>
          <w:lang w:val="es-ES"/>
        </w:rPr>
        <w:t xml:space="preserve"> y C-587 del 21 de septiembre de 2022</w:t>
      </w:r>
      <w:r w:rsidR="00B623DC" w:rsidRPr="00CC306F">
        <w:rPr>
          <w:rFonts w:ascii="Geomanist Light" w:eastAsia="Calibri" w:hAnsi="Geomanist Light" w:cs="Arial"/>
          <w:color w:val="000000" w:themeColor="text1"/>
          <w:sz w:val="22"/>
          <w:szCs w:val="22"/>
          <w:lang w:val="es-ES"/>
        </w:rPr>
        <w:t>.</w:t>
      </w:r>
    </w:p>
    <w:p w14:paraId="6FE4FC9E" w14:textId="2C7F9D6E" w:rsidR="00D279B7" w:rsidRPr="00CC306F" w:rsidRDefault="00D279B7" w:rsidP="004E77FA">
      <w:pPr>
        <w:spacing w:after="240" w:line="276" w:lineRule="auto"/>
        <w:ind w:firstLine="708"/>
        <w:jc w:val="both"/>
        <w:rPr>
          <w:rFonts w:ascii="Geomanist Light" w:eastAsia="Calibri" w:hAnsi="Geomanist Light" w:cs="Arial"/>
          <w:color w:val="000000" w:themeColor="text1"/>
          <w:sz w:val="22"/>
          <w:szCs w:val="22"/>
          <w:lang w:val="es-ES"/>
        </w:rPr>
      </w:pPr>
      <w:r w:rsidRPr="00CC306F">
        <w:rPr>
          <w:rFonts w:ascii="Geomanist Light" w:eastAsia="Calibri" w:hAnsi="Geomanist Light" w:cs="Arial"/>
          <w:color w:val="000000" w:themeColor="text1"/>
          <w:sz w:val="22"/>
          <w:szCs w:val="22"/>
          <w:lang w:val="es-ES"/>
        </w:rPr>
        <w:t>Algunas de las consideraciones de estos conceptos se reiteran y complementan en lo pertinente a continuación.</w:t>
      </w:r>
    </w:p>
    <w:p w14:paraId="111BC3C2" w14:textId="606E4637" w:rsidR="0000229C" w:rsidRPr="00174D3B" w:rsidRDefault="0000229C" w:rsidP="004E77FA">
      <w:pPr>
        <w:spacing w:after="240" w:line="276" w:lineRule="auto"/>
        <w:jc w:val="both"/>
        <w:rPr>
          <w:rFonts w:ascii="Geomanist Light" w:eastAsia="Calibri" w:hAnsi="Geomanist Light" w:cs="Arial"/>
          <w:b/>
          <w:bCs/>
          <w:sz w:val="22"/>
          <w:szCs w:val="22"/>
        </w:rPr>
      </w:pPr>
      <w:bookmarkStart w:id="8" w:name="_Hlk94018153"/>
      <w:r w:rsidRPr="00CC306F">
        <w:rPr>
          <w:rFonts w:ascii="Geomanist Light" w:eastAsia="Calibri" w:hAnsi="Geomanist Light" w:cs="Arial"/>
          <w:b/>
          <w:bCs/>
          <w:sz w:val="22"/>
          <w:szCs w:val="22"/>
        </w:rPr>
        <w:t>2.1. Fundamento normativo de los documentos tipo</w:t>
      </w:r>
    </w:p>
    <w:p w14:paraId="7131ADBC" w14:textId="77777777" w:rsidR="0000229C" w:rsidRPr="00CC306F" w:rsidRDefault="0000229C" w:rsidP="004E77FA">
      <w:pPr>
        <w:spacing w:after="240" w:line="276" w:lineRule="auto"/>
        <w:jc w:val="both"/>
        <w:rPr>
          <w:rFonts w:ascii="Geomanist Light" w:eastAsia="Calibri" w:hAnsi="Geomanist Light" w:cs="Arial"/>
          <w:sz w:val="22"/>
          <w:szCs w:val="22"/>
          <w:lang w:val="es-ES"/>
        </w:rPr>
      </w:pPr>
      <w:bookmarkStart w:id="9" w:name="_Hlk113267191"/>
      <w:r w:rsidRPr="00CC306F">
        <w:rPr>
          <w:rFonts w:ascii="Geomanist Light" w:eastAsia="Calibri" w:hAnsi="Geomanist Light" w:cs="Arial"/>
          <w:sz w:val="22"/>
          <w:szCs w:val="22"/>
          <w:lang w:val="es-ES"/>
        </w:rPr>
        <w:t>La adopción de los documentos tipo obligatorios en el ordenamiento jurídico colombiano se incluyó por primera vez en el parágrafo 3 del artículo 2 de la Ley 1150 de 2007</w:t>
      </w:r>
      <w:r w:rsidRPr="00CC306F">
        <w:rPr>
          <w:rStyle w:val="Refdenotaalpie"/>
          <w:rFonts w:ascii="Geomanist Light" w:hAnsi="Geomanist Light" w:cs="Arial"/>
        </w:rPr>
        <w:footnoteReference w:id="4"/>
      </w:r>
      <w:r w:rsidRPr="00CC306F">
        <w:rPr>
          <w:rFonts w:ascii="Geomanist Light" w:eastAsia="Calibri" w:hAnsi="Geomanist Light" w:cs="Arial"/>
          <w:lang w:val="es-ES"/>
        </w:rPr>
        <w:t xml:space="preserve">, </w:t>
      </w:r>
      <w:r w:rsidRPr="00CC306F">
        <w:rPr>
          <w:rFonts w:ascii="Geomanist Light" w:eastAsia="Calibri" w:hAnsi="Geomanist Light" w:cs="Arial"/>
          <w:sz w:val="22"/>
          <w:szCs w:val="22"/>
          <w:lang w:val="es-ES"/>
        </w:rPr>
        <w:t xml:space="preserve">que facultó al gobierno nacional para expedirlos, pero solo cuando se tratara de la adquisición o suministro de bienes y servicios de características técnicas uniformes y de común utilización; facultad que no ha sido ejercida hasta la actualidad. </w:t>
      </w:r>
    </w:p>
    <w:p w14:paraId="19E2F159" w14:textId="77777777" w:rsidR="0000229C" w:rsidRPr="00CC306F" w:rsidRDefault="0000229C" w:rsidP="004E77FA">
      <w:pPr>
        <w:spacing w:after="240" w:line="276" w:lineRule="auto"/>
        <w:ind w:firstLine="708"/>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251941D" w14:textId="77777777" w:rsidR="0000229C" w:rsidRPr="00CC306F" w:rsidRDefault="0000229C" w:rsidP="004E77FA">
      <w:pPr>
        <w:spacing w:after="240" w:line="276" w:lineRule="auto"/>
        <w:ind w:firstLine="708"/>
        <w:jc w:val="both"/>
        <w:rPr>
          <w:rFonts w:ascii="Geomanist Light" w:eastAsia="Calibri" w:hAnsi="Geomanist Light" w:cs="Arial"/>
          <w:lang w:val="es-ES"/>
        </w:rPr>
      </w:pPr>
      <w:r w:rsidRPr="00CC306F">
        <w:rPr>
          <w:rFonts w:ascii="Geomanist Light" w:eastAsia="Calibri" w:hAnsi="Geomanist Light" w:cs="Arial"/>
          <w:sz w:val="22"/>
          <w:szCs w:val="22"/>
          <w:lang w:val="es-ES"/>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w:t>
      </w:r>
      <w:r w:rsidRPr="00CC306F">
        <w:rPr>
          <w:rFonts w:ascii="Geomanist Light" w:eastAsia="Calibri" w:hAnsi="Geomanist Light" w:cs="Arial"/>
          <w:sz w:val="22"/>
          <w:szCs w:val="22"/>
          <w:lang w:val="es-ES"/>
        </w:rPr>
        <w:lastRenderedPageBreak/>
        <w:t>diseños para obras públicas y consultoría en ingeniería para obras, los cuales debían ser utilizados por todas las entidades sometidas al Estatuto General de Contratación de la Administración Pública en los procesos de selección que adelantaran</w:t>
      </w:r>
      <w:r w:rsidRPr="00CC306F">
        <w:rPr>
          <w:rStyle w:val="Refdenotaalpie"/>
          <w:rFonts w:ascii="Geomanist Light" w:hAnsi="Geomanist Light" w:cs="Arial"/>
        </w:rPr>
        <w:footnoteReference w:id="5"/>
      </w:r>
      <w:r w:rsidRPr="00CC306F">
        <w:rPr>
          <w:rFonts w:ascii="Geomanist Light" w:eastAsia="Calibri" w:hAnsi="Geomanist Light" w:cs="Arial"/>
          <w:lang w:val="es-ES"/>
        </w:rPr>
        <w:t>.</w:t>
      </w:r>
    </w:p>
    <w:bookmarkEnd w:id="9"/>
    <w:p w14:paraId="7EABD986" w14:textId="7964A1E4" w:rsidR="0000229C" w:rsidRPr="00CC306F" w:rsidRDefault="0000229C"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ab/>
        <w:t xml:space="preserve">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1C4E457" w14:textId="77777777" w:rsidR="0000229C" w:rsidRPr="00CC306F" w:rsidRDefault="0000229C"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19789E6C" w14:textId="77777777" w:rsidR="0000229C" w:rsidRPr="00CC306F" w:rsidRDefault="0000229C" w:rsidP="004E77FA">
      <w:pPr>
        <w:spacing w:after="240" w:line="276" w:lineRule="auto"/>
        <w:jc w:val="both"/>
        <w:rPr>
          <w:rFonts w:ascii="Geomanist Light" w:eastAsia="Calibri" w:hAnsi="Geomanist Light" w:cs="Arial"/>
          <w:lang w:val="es-ES"/>
        </w:rPr>
      </w:pPr>
      <w:r w:rsidRPr="00CC306F">
        <w:rPr>
          <w:rFonts w:ascii="Geomanist Light" w:eastAsia="Calibri" w:hAnsi="Geomanist Light" w:cs="Arial"/>
          <w:lang w:val="es-ES"/>
        </w:rPr>
        <w:tab/>
      </w:r>
      <w:r w:rsidRPr="00CC306F">
        <w:rPr>
          <w:rFonts w:ascii="Geomanist Light" w:eastAsia="Calibri" w:hAnsi="Geomanist Light" w:cs="Arial"/>
          <w:sz w:val="22"/>
          <w:szCs w:val="22"/>
          <w:lang w:val="es-ES"/>
        </w:rPr>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w:t>
      </w:r>
      <w:r w:rsidRPr="00CC306F">
        <w:rPr>
          <w:rFonts w:ascii="Geomanist Light" w:eastAsia="Calibri" w:hAnsi="Geomanist Light" w:cs="Arial"/>
          <w:sz w:val="22"/>
          <w:szCs w:val="22"/>
          <w:lang w:val="es-ES"/>
        </w:rPr>
        <w:lastRenderedPageBreak/>
        <w:t>garantiza con la identificación autónoma de sus necesidades y la configuración de los elementos del contrato</w:t>
      </w:r>
      <w:r w:rsidRPr="00CC306F">
        <w:rPr>
          <w:rStyle w:val="Refdenotaalpie"/>
          <w:rFonts w:ascii="Geomanist Light" w:hAnsi="Geomanist Light" w:cs="Arial"/>
        </w:rPr>
        <w:footnoteReference w:id="6"/>
      </w:r>
      <w:r w:rsidRPr="00CC306F">
        <w:rPr>
          <w:rFonts w:ascii="Geomanist Light" w:eastAsia="Calibri" w:hAnsi="Geomanist Light" w:cs="Arial"/>
          <w:lang w:val="es-ES"/>
        </w:rPr>
        <w:t>.</w:t>
      </w:r>
    </w:p>
    <w:p w14:paraId="43624D48" w14:textId="77777777" w:rsidR="0000229C" w:rsidRPr="00CC306F" w:rsidRDefault="0000229C"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lang w:val="es-ES"/>
        </w:rPr>
        <w:tab/>
      </w:r>
      <w:r w:rsidRPr="00CC306F">
        <w:rPr>
          <w:rFonts w:ascii="Geomanist Light" w:eastAsia="Calibri" w:hAnsi="Geomanist Light" w:cs="Arial"/>
          <w:sz w:val="22"/>
          <w:szCs w:val="22"/>
          <w:lang w:val="es-ES"/>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2D3B97E7" w14:textId="77777777" w:rsidR="0000229C" w:rsidRPr="00CC306F" w:rsidRDefault="0000229C"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623F3D1A" w14:textId="77777777" w:rsidR="0000229C" w:rsidRPr="00CC306F" w:rsidRDefault="0000229C" w:rsidP="004E77FA">
      <w:pPr>
        <w:spacing w:after="240" w:line="276" w:lineRule="auto"/>
        <w:jc w:val="both"/>
        <w:rPr>
          <w:rFonts w:ascii="Geomanist Light" w:eastAsia="Calibri" w:hAnsi="Geomanist Light" w:cs="Arial"/>
          <w:sz w:val="22"/>
          <w:szCs w:val="22"/>
          <w:lang w:val="es-ES"/>
        </w:rPr>
      </w:pPr>
      <w:r w:rsidRPr="00CC306F">
        <w:rPr>
          <w:rFonts w:ascii="Geomanist Light" w:eastAsia="Calibri" w:hAnsi="Geomanist Light" w:cs="Arial"/>
          <w:sz w:val="22"/>
          <w:szCs w:val="22"/>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CC306F" w:rsidDel="00A434AB">
        <w:rPr>
          <w:rFonts w:ascii="Geomanist Light" w:eastAsia="Calibri" w:hAnsi="Geomanist Light" w:cs="Arial"/>
          <w:sz w:val="22"/>
          <w:szCs w:val="22"/>
          <w:lang w:val="es-ES"/>
        </w:rPr>
        <w:t xml:space="preserve"> </w:t>
      </w:r>
      <w:r w:rsidRPr="00CC306F">
        <w:rPr>
          <w:rFonts w:ascii="Geomanist Light" w:eastAsia="Calibri" w:hAnsi="Geomanist Light" w:cs="Arial"/>
          <w:sz w:val="22"/>
          <w:szCs w:val="22"/>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F17F386" w14:textId="41CCDA24" w:rsidR="0000229C" w:rsidRPr="00CC306F" w:rsidRDefault="0000229C" w:rsidP="004E77FA">
      <w:pPr>
        <w:spacing w:after="240" w:line="276" w:lineRule="auto"/>
        <w:ind w:firstLine="709"/>
        <w:jc w:val="both"/>
        <w:rPr>
          <w:rFonts w:ascii="Geomanist Light" w:eastAsia="Calibri" w:hAnsi="Geomanist Light" w:cs="Arial"/>
          <w:sz w:val="22"/>
          <w:szCs w:val="22"/>
          <w:lang w:val="es-ES" w:eastAsia="es-ES"/>
        </w:rPr>
      </w:pPr>
      <w:r w:rsidRPr="00CC306F">
        <w:rPr>
          <w:rFonts w:ascii="Geomanist Light" w:eastAsia="Calibri" w:hAnsi="Geomanist Light" w:cs="Arial"/>
          <w:sz w:val="22"/>
          <w:szCs w:val="22"/>
          <w:lang w:val="es-ES" w:eastAsia="es-ES"/>
        </w:rPr>
        <w:t>Por otra parte</w:t>
      </w:r>
      <w:r w:rsidRPr="00CC306F">
        <w:rPr>
          <w:rFonts w:ascii="Geomanist Light" w:eastAsia="Calibri" w:hAnsi="Geomanist Light" w:cs="Arial"/>
          <w:i/>
          <w:iCs/>
          <w:sz w:val="22"/>
          <w:szCs w:val="22"/>
          <w:lang w:val="es-ES" w:eastAsia="es-ES"/>
        </w:rPr>
        <w:t>,</w:t>
      </w:r>
      <w:r w:rsidRPr="00CC306F">
        <w:rPr>
          <w:rFonts w:ascii="Geomanist Light" w:eastAsia="Calibri" w:hAnsi="Geomanist Light" w:cs="Arial"/>
          <w:sz w:val="22"/>
          <w:szCs w:val="22"/>
          <w:lang w:val="es-ES" w:eastAsia="es-ES"/>
        </w:rPr>
        <w:t xml:space="preserve"> debe tenerse en cuenta que la Ley 2022 de 2020 fue sancionada por el presidente de la República el 22 de julio de 2020, que en su artículo 1 modificó el artículo 4 </w:t>
      </w:r>
      <w:r w:rsidRPr="00CC306F">
        <w:rPr>
          <w:rFonts w:ascii="Geomanist Light" w:eastAsia="Calibri" w:hAnsi="Geomanist Light" w:cs="Arial"/>
          <w:sz w:val="22"/>
          <w:szCs w:val="22"/>
          <w:lang w:val="es-ES" w:eastAsia="es-ES"/>
        </w:rPr>
        <w:lastRenderedPageBreak/>
        <w:t>de la Ley 1882 de 2018 y, por tanto, modificó el parágrafo 7 del artículo 2 de la Ley 1150 de 2007, asignando directamente a la Agencia Nacional de Contratación Pública – Colombia Compra Eficiente la facultad para adoptar los documentos tipo</w:t>
      </w:r>
      <w:r w:rsidRPr="00CC306F">
        <w:rPr>
          <w:rStyle w:val="Refdenotaalpie"/>
          <w:rFonts w:ascii="Geomanist Light" w:hAnsi="Geomanist Light" w:cs="Arial"/>
          <w:sz w:val="22"/>
          <w:szCs w:val="22"/>
        </w:rPr>
        <w:footnoteReference w:id="7"/>
      </w:r>
      <w:r w:rsidRPr="00CC306F">
        <w:rPr>
          <w:rFonts w:ascii="Geomanist Light" w:eastAsia="Calibri" w:hAnsi="Geomanist Light" w:cs="Arial"/>
          <w:sz w:val="22"/>
          <w:szCs w:val="22"/>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Así 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4E636CB" w14:textId="77777777" w:rsidR="0000229C" w:rsidRPr="00CC306F" w:rsidRDefault="0000229C" w:rsidP="004E77FA">
      <w:pPr>
        <w:spacing w:after="240" w:line="276" w:lineRule="auto"/>
        <w:ind w:firstLine="709"/>
        <w:jc w:val="both"/>
        <w:rPr>
          <w:rFonts w:ascii="Geomanist Light" w:eastAsia="Calibri" w:hAnsi="Geomanist Light" w:cs="Arial"/>
          <w:sz w:val="22"/>
          <w:szCs w:val="22"/>
          <w:lang w:val="es-ES" w:eastAsia="es-ES"/>
        </w:rPr>
      </w:pPr>
      <w:r w:rsidRPr="00CC306F">
        <w:rPr>
          <w:rFonts w:ascii="Geomanist Light" w:eastAsia="Calibri" w:hAnsi="Geomanist Light" w:cs="Arial"/>
          <w:sz w:val="22"/>
          <w:szCs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ED0DECA" w14:textId="09D0B1E6" w:rsidR="0000229C" w:rsidRPr="00CC306F" w:rsidRDefault="00513A15" w:rsidP="004E77FA">
      <w:pPr>
        <w:spacing w:after="240" w:line="276" w:lineRule="auto"/>
        <w:ind w:firstLine="709"/>
        <w:jc w:val="both"/>
        <w:rPr>
          <w:rFonts w:ascii="Geomanist Light" w:hAnsi="Geomanist Light" w:cs="Arial"/>
          <w:sz w:val="22"/>
          <w:szCs w:val="22"/>
          <w:lang w:val="es-MX"/>
        </w:rPr>
      </w:pPr>
      <w:r w:rsidRPr="00CC306F">
        <w:rPr>
          <w:rFonts w:ascii="Geomanist Light" w:eastAsia="Calibri" w:hAnsi="Geomanist Light" w:cs="Arial"/>
          <w:sz w:val="22"/>
          <w:szCs w:val="22"/>
          <w:lang w:val="es-ES" w:eastAsia="es-ES"/>
        </w:rPr>
        <w:t xml:space="preserve">Así </w:t>
      </w:r>
      <w:r w:rsidR="0000229C" w:rsidRPr="00CC306F">
        <w:rPr>
          <w:rFonts w:ascii="Geomanist Light" w:eastAsia="Calibri" w:hAnsi="Geomanist Light" w:cs="Arial"/>
          <w:sz w:val="22"/>
          <w:szCs w:val="22"/>
          <w:lang w:val="es-ES" w:eastAsia="es-ES"/>
        </w:rPr>
        <w:t xml:space="preserve">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w:t>
      </w:r>
      <w:r w:rsidR="0000229C" w:rsidRPr="00CC306F">
        <w:rPr>
          <w:rFonts w:ascii="Geomanist Light" w:eastAsia="Calibri" w:hAnsi="Geomanist Light" w:cs="Arial"/>
          <w:sz w:val="22"/>
          <w:szCs w:val="22"/>
          <w:lang w:val="es-ES" w:eastAsia="es-ES"/>
        </w:rPr>
        <w:lastRenderedPageBreak/>
        <w:t>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posteriormente se expidió la Resolución 392 del 18 de noviembre de 2021 «</w:t>
      </w:r>
      <w:r w:rsidR="0000229C" w:rsidRPr="00CC306F">
        <w:rPr>
          <w:rFonts w:ascii="Geomanist Light" w:hAnsi="Geomanist Light" w:cs="Arial"/>
          <w:bCs/>
          <w:iCs/>
          <w:sz w:val="22"/>
          <w:szCs w:val="22"/>
          <w:shd w:val="clear" w:color="auto" w:fill="FFFFFF"/>
          <w:lang w:val="es-MX"/>
        </w:rPr>
        <w:t>Por la cual se adoptan los documentos tipo complementarios para los procesos de licitación de obra pública de infraestructura social relacionados con el sector salud</w:t>
      </w:r>
      <w:r w:rsidR="0000229C" w:rsidRPr="00CC306F">
        <w:rPr>
          <w:rFonts w:ascii="Geomanist Light" w:eastAsia="Calibri" w:hAnsi="Geomanist Light" w:cs="Arial"/>
          <w:sz w:val="22"/>
          <w:szCs w:val="22"/>
          <w:lang w:val="es-ES" w:eastAsia="es-ES"/>
        </w:rPr>
        <w:t>». Luego, se expidió la Resolución 454 del 16 de diciembre de 2021 «</w:t>
      </w:r>
      <w:r w:rsidR="0000229C" w:rsidRPr="00CC306F">
        <w:rPr>
          <w:rFonts w:ascii="Geomanist Light" w:hAnsi="Geomanist Light" w:cs="Arial"/>
          <w:sz w:val="22"/>
          <w:szCs w:val="22"/>
          <w:lang w:val="es-MX"/>
        </w:rPr>
        <w:t>Por la cual se adoptan los documentos tipo complementarios para los procesos de licitación de obra pública de infraestructura social relacionados con el sector cultura, recreación y deporte</w:t>
      </w:r>
      <w:r w:rsidR="0000229C" w:rsidRPr="00CC306F">
        <w:rPr>
          <w:rFonts w:ascii="Geomanist Light" w:eastAsia="Calibri" w:hAnsi="Geomanist Light" w:cs="Arial"/>
          <w:sz w:val="22"/>
          <w:szCs w:val="22"/>
          <w:lang w:val="es-ES" w:eastAsia="es-ES"/>
        </w:rPr>
        <w:t>»</w:t>
      </w:r>
      <w:r w:rsidR="0000229C" w:rsidRPr="00CC306F">
        <w:rPr>
          <w:rFonts w:ascii="Geomanist Light" w:hAnsi="Geomanist Light" w:cs="Arial"/>
          <w:sz w:val="22"/>
          <w:szCs w:val="22"/>
          <w:lang w:val="es-MX"/>
        </w:rPr>
        <w:t xml:space="preserve">. </w:t>
      </w:r>
    </w:p>
    <w:p w14:paraId="3DFFCB71" w14:textId="77777777" w:rsidR="0000229C" w:rsidRPr="00CC306F" w:rsidRDefault="0000229C" w:rsidP="004E77FA">
      <w:pPr>
        <w:spacing w:after="240" w:line="276" w:lineRule="auto"/>
        <w:ind w:firstLine="709"/>
        <w:jc w:val="both"/>
        <w:rPr>
          <w:rFonts w:ascii="Geomanist Light" w:hAnsi="Geomanist Light" w:cs="Arial"/>
          <w:sz w:val="22"/>
          <w:szCs w:val="22"/>
          <w:lang w:val="es-ES"/>
        </w:rPr>
      </w:pPr>
      <w:r w:rsidRPr="00CC306F">
        <w:rPr>
          <w:rFonts w:ascii="Geomanist Light" w:hAnsi="Geomanist Light" w:cs="Arial"/>
          <w:sz w:val="22"/>
          <w:szCs w:val="22"/>
          <w:lang w:val="es-MX"/>
        </w:rPr>
        <w:t xml:space="preserve">En el año 2022, la Agencia expidió la Resolución 326 del 22 de julio de 2022 </w:t>
      </w:r>
      <w:r w:rsidRPr="00CC306F">
        <w:rPr>
          <w:rFonts w:ascii="Geomanist Light" w:eastAsia="Calibri" w:hAnsi="Geomanist Light" w:cs="Arial"/>
          <w:sz w:val="22"/>
          <w:szCs w:val="22"/>
          <w:lang w:val="es-ES" w:eastAsia="es-ES"/>
        </w:rPr>
        <w:t xml:space="preserve">«Por la cual se actualizan los documentos tipo para los procesos de contratación de concurso de méritos para contratar la interventoría de obras de infraestructura de transporte y se deroga la Resolución 256 de 2020», y la Resolución </w:t>
      </w:r>
      <w:r w:rsidRPr="00CC306F">
        <w:rPr>
          <w:rFonts w:ascii="Geomanist Light" w:hAnsi="Geomanist Light" w:cs="Arial"/>
          <w:sz w:val="22"/>
          <w:szCs w:val="22"/>
        </w:rPr>
        <w:t xml:space="preserve">333 del 27 de julio de 2022 </w:t>
      </w:r>
      <w:r w:rsidRPr="00CC306F">
        <w:rPr>
          <w:rFonts w:ascii="Geomanist Light" w:eastAsia="Calibri" w:hAnsi="Geomanist Light" w:cs="Arial"/>
          <w:sz w:val="22"/>
          <w:szCs w:val="22"/>
          <w:lang w:val="es-ES" w:eastAsia="es-ES"/>
        </w:rPr>
        <w:t>«Por la cual se adoptan los documentos tipo para los procesos de selección de concurso de méritos para contratar la interventoría de obras públicas de infraestructura de agua potable y saneamiento básico»</w:t>
      </w:r>
      <w:r w:rsidRPr="00CC306F">
        <w:rPr>
          <w:rFonts w:ascii="Geomanist Light" w:hAnsi="Geomanist Light" w:cs="Arial"/>
          <w:sz w:val="22"/>
          <w:szCs w:val="22"/>
          <w:lang w:val="es-ES"/>
        </w:rPr>
        <w:t xml:space="preserve">. </w:t>
      </w:r>
    </w:p>
    <w:p w14:paraId="192C82A6" w14:textId="77777777" w:rsidR="0000229C" w:rsidRPr="00CC306F" w:rsidRDefault="0000229C" w:rsidP="004E77FA">
      <w:pPr>
        <w:spacing w:after="240" w:line="276" w:lineRule="auto"/>
        <w:ind w:firstLine="709"/>
        <w:jc w:val="both"/>
        <w:rPr>
          <w:rFonts w:ascii="Geomanist Light" w:hAnsi="Geomanist Light" w:cs="Arial"/>
          <w:sz w:val="22"/>
          <w:szCs w:val="22"/>
          <w:bdr w:val="none" w:sz="0" w:space="0" w:color="auto" w:frame="1"/>
          <w:lang w:val="es-ES_tradnl" w:eastAsia="es-CO"/>
        </w:rPr>
      </w:pPr>
      <w:r w:rsidRPr="00CC306F">
        <w:rPr>
          <w:rFonts w:ascii="Geomanist Light" w:hAnsi="Geomanist Light" w:cs="Arial"/>
          <w:sz w:val="22"/>
          <w:szCs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B9CD08D" w14:textId="77777777" w:rsidR="0000229C" w:rsidRPr="00CC306F" w:rsidRDefault="0000229C" w:rsidP="004E77FA">
      <w:pPr>
        <w:spacing w:after="240" w:line="276" w:lineRule="auto"/>
        <w:ind w:firstLine="708"/>
        <w:jc w:val="both"/>
        <w:rPr>
          <w:rFonts w:ascii="Geomanist Light" w:hAnsi="Geomanist Light" w:cs="Arial"/>
          <w:spacing w:val="2"/>
          <w:sz w:val="22"/>
          <w:szCs w:val="22"/>
          <w:lang w:eastAsia="es-CO"/>
        </w:rPr>
      </w:pPr>
      <w:r w:rsidRPr="00CC306F">
        <w:rPr>
          <w:rFonts w:ascii="Geomanist Light" w:hAnsi="Geomanist Light"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armonía con lo anterior, se expidió la Resolución 304 del 13 de octubre de 2021, la cual ajusta los documentos tipo a las nuevas reglas de origen aplicables a los servicios nacionales. Además, se expidió la Resolución 146 del 25 de marzo de 2022, mediante la cual se modificaron los documentos tipo de obra pública de infraestructura bajo la modalidad de mínima cuantía. </w:t>
      </w:r>
    </w:p>
    <w:p w14:paraId="111BD846" w14:textId="6D80F073" w:rsidR="00993D9C" w:rsidRPr="00CC306F" w:rsidRDefault="0000229C" w:rsidP="004E77FA">
      <w:pPr>
        <w:spacing w:after="240" w:line="276" w:lineRule="auto"/>
        <w:ind w:firstLine="708"/>
        <w:jc w:val="both"/>
        <w:rPr>
          <w:rFonts w:ascii="Geomanist Light" w:hAnsi="Geomanist Light" w:cs="Arial"/>
          <w:spacing w:val="2"/>
          <w:sz w:val="22"/>
          <w:szCs w:val="22"/>
          <w:lang w:eastAsia="es-CO"/>
        </w:rPr>
      </w:pPr>
      <w:r w:rsidRPr="00CC306F">
        <w:rPr>
          <w:rFonts w:ascii="Geomanist Light" w:hAnsi="Geomanist Light" w:cs="Arial"/>
          <w:spacing w:val="2"/>
          <w:sz w:val="22"/>
          <w:szCs w:val="22"/>
          <w:lang w:eastAsia="es-CO"/>
        </w:rPr>
        <w:t xml:space="preserve">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w:t>
      </w:r>
      <w:r w:rsidRPr="00CC306F">
        <w:rPr>
          <w:rFonts w:ascii="Geomanist Light" w:hAnsi="Geomanist Light" w:cs="Arial"/>
          <w:spacing w:val="2"/>
          <w:sz w:val="22"/>
          <w:szCs w:val="22"/>
          <w:lang w:eastAsia="es-CO"/>
        </w:rPr>
        <w:lastRenderedPageBreak/>
        <w:t xml:space="preserve">– Colombia Compra Eficiente». No obstante, esta última modificación aplicará a los procesos cuyo aviso de convocatoria se publique a partir del 29 de agosto de 2022. </w:t>
      </w:r>
    </w:p>
    <w:p w14:paraId="212C5472" w14:textId="650A73A1" w:rsidR="003F4A6D" w:rsidRPr="00CC306F" w:rsidRDefault="003F4A6D" w:rsidP="004E77FA">
      <w:pPr>
        <w:spacing w:after="240" w:line="276" w:lineRule="auto"/>
        <w:jc w:val="both"/>
        <w:rPr>
          <w:rFonts w:ascii="Geomanist Light" w:hAnsi="Geomanist Light" w:cs="Arial"/>
          <w:b/>
          <w:color w:val="000000"/>
          <w:sz w:val="22"/>
          <w:bdr w:val="none" w:sz="0" w:space="0" w:color="auto" w:frame="1"/>
          <w:lang w:eastAsia="es-MX"/>
        </w:rPr>
      </w:pPr>
      <w:r w:rsidRPr="00CC306F">
        <w:rPr>
          <w:rFonts w:ascii="Geomanist Light" w:hAnsi="Geomanist Light" w:cs="Arial"/>
          <w:b/>
          <w:color w:val="000000"/>
          <w:sz w:val="22"/>
          <w:bdr w:val="none" w:sz="0" w:space="0" w:color="auto" w:frame="1"/>
          <w:lang w:eastAsia="es-MX"/>
        </w:rPr>
        <w:t>2.2. Acreditación para obtener el puntaje de vinculación de trabajadores con discapacidad</w:t>
      </w:r>
    </w:p>
    <w:p w14:paraId="3CB06FCF" w14:textId="77777777" w:rsidR="003F4A6D" w:rsidRPr="00CC306F" w:rsidRDefault="003F4A6D" w:rsidP="004E77FA">
      <w:pPr>
        <w:spacing w:after="240" w:line="276" w:lineRule="auto"/>
        <w:jc w:val="both"/>
        <w:rPr>
          <w:rFonts w:ascii="Geomanist Light" w:eastAsiaTheme="minorHAnsi" w:hAnsi="Geomanist Light" w:cs="Arial"/>
          <w:color w:val="000000"/>
          <w:sz w:val="22"/>
          <w:szCs w:val="22"/>
          <w:bdr w:val="none" w:sz="0" w:space="0" w:color="auto" w:frame="1"/>
          <w:lang w:eastAsia="en-US"/>
        </w:rPr>
      </w:pPr>
    </w:p>
    <w:p w14:paraId="5286DA8B" w14:textId="1A61EC47" w:rsidR="003F4A6D" w:rsidRPr="00CC306F" w:rsidRDefault="003F4A6D" w:rsidP="00174D3B">
      <w:pPr>
        <w:spacing w:after="240" w:line="276" w:lineRule="auto"/>
        <w:jc w:val="both"/>
        <w:rPr>
          <w:rFonts w:ascii="Geomanist Light" w:hAnsi="Geomanist Light" w:cs="Arial"/>
          <w:color w:val="000000"/>
          <w:sz w:val="22"/>
          <w:lang w:eastAsia="es-MX"/>
        </w:rPr>
      </w:pPr>
      <w:bookmarkStart w:id="10" w:name="_Hlk60826619"/>
      <w:r w:rsidRPr="00CC306F">
        <w:rPr>
          <w:rFonts w:ascii="Geomanist Light" w:hAnsi="Geomanist Light" w:cs="Arial"/>
          <w:color w:val="000000"/>
          <w:sz w:val="22"/>
          <w:lang w:eastAsia="es-MX"/>
        </w:rPr>
        <w:t>Con la Ley Estatutaria 1618 de 2013, el legislador garantizó el ejercicio de los derechos de las personas con discapacidad</w:t>
      </w:r>
      <w:r w:rsidRPr="00CC306F">
        <w:rPr>
          <w:rFonts w:ascii="Geomanist Light" w:eastAsiaTheme="minorHAnsi" w:hAnsi="Geomanist Light" w:cs="Arial"/>
          <w:sz w:val="22"/>
          <w:szCs w:val="22"/>
          <w:vertAlign w:val="superscript"/>
          <w:lang w:eastAsia="en-US"/>
        </w:rPr>
        <w:footnoteReference w:id="8"/>
      </w:r>
      <w:r w:rsidRPr="00CC306F">
        <w:rPr>
          <w:rFonts w:ascii="Geomanist Light" w:hAnsi="Geomanist Light" w:cs="Arial"/>
          <w:color w:val="000000"/>
          <w:sz w:val="21"/>
          <w:szCs w:val="21"/>
          <w:lang w:eastAsia="es-MX"/>
        </w:rPr>
        <w:t>. Por ello, el</w:t>
      </w:r>
      <w:r w:rsidRPr="00CC306F">
        <w:rPr>
          <w:rFonts w:ascii="Geomanist Light" w:hAnsi="Geomanist Light" w:cs="Arial"/>
          <w:color w:val="000000"/>
          <w:sz w:val="22"/>
          <w:lang w:eastAsia="es-MX"/>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14:paraId="1A7ADACB" w14:textId="77777777" w:rsidR="003F4A6D" w:rsidRPr="00CC306F" w:rsidRDefault="003F4A6D" w:rsidP="004E77FA">
      <w:pPr>
        <w:spacing w:after="240"/>
        <w:ind w:left="709" w:right="709"/>
        <w:jc w:val="both"/>
        <w:rPr>
          <w:rFonts w:ascii="Geomanist Light" w:hAnsi="Geomanist Light" w:cs="Arial"/>
          <w:color w:val="000000"/>
          <w:sz w:val="21"/>
          <w:szCs w:val="21"/>
          <w:lang w:eastAsia="es-MX"/>
        </w:rPr>
      </w:pPr>
      <w:r w:rsidRPr="00CC306F">
        <w:rPr>
          <w:rFonts w:ascii="Geomanist Light" w:hAnsi="Geomanist Light" w:cs="Arial"/>
          <w:color w:val="000000"/>
          <w:sz w:val="21"/>
          <w:szCs w:val="21"/>
          <w:lang w:eastAsia="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6285E7B" w14:textId="77777777" w:rsidR="003F4A6D" w:rsidRPr="00CC306F" w:rsidRDefault="003F4A6D" w:rsidP="004E77FA">
      <w:pPr>
        <w:spacing w:after="240"/>
        <w:ind w:left="709" w:right="709"/>
        <w:jc w:val="both"/>
        <w:rPr>
          <w:rFonts w:ascii="Geomanist Light" w:hAnsi="Geomanist Light" w:cs="Arial"/>
          <w:color w:val="000000"/>
          <w:sz w:val="21"/>
          <w:szCs w:val="21"/>
          <w:lang w:eastAsia="es-MX"/>
        </w:rPr>
      </w:pPr>
      <w:r w:rsidRPr="00CC306F">
        <w:rPr>
          <w:rFonts w:ascii="Geomanist Light" w:hAnsi="Geomanist Light" w:cs="Arial"/>
          <w:color w:val="000000"/>
          <w:sz w:val="21"/>
          <w:szCs w:val="21"/>
          <w:lang w:eastAsia="es-MX"/>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5BD927E" w14:textId="77777777" w:rsidR="003F4A6D" w:rsidRPr="00CC306F" w:rsidRDefault="003F4A6D" w:rsidP="004E77FA">
      <w:pPr>
        <w:spacing w:after="240"/>
        <w:ind w:left="709" w:right="709"/>
        <w:jc w:val="both"/>
        <w:rPr>
          <w:rFonts w:ascii="Geomanist Light" w:hAnsi="Geomanist Light" w:cs="Arial"/>
          <w:color w:val="000000"/>
          <w:sz w:val="21"/>
          <w:szCs w:val="21"/>
          <w:lang w:eastAsia="es-MX"/>
        </w:rPr>
      </w:pPr>
      <w:r w:rsidRPr="00CC306F">
        <w:rPr>
          <w:rFonts w:ascii="Geomanist Light" w:hAnsi="Geomanist Light" w:cs="Arial"/>
          <w:color w:val="000000"/>
          <w:sz w:val="21"/>
          <w:szCs w:val="21"/>
          <w:lang w:eastAsia="es-MX"/>
        </w:rPr>
        <w:t>[…]</w:t>
      </w:r>
    </w:p>
    <w:p w14:paraId="0A2CAD7A" w14:textId="1ED09091" w:rsidR="003F4A6D" w:rsidRPr="00174D3B" w:rsidRDefault="003F4A6D" w:rsidP="00174D3B">
      <w:pPr>
        <w:spacing w:after="240"/>
        <w:ind w:left="708" w:right="709"/>
        <w:jc w:val="both"/>
        <w:rPr>
          <w:rFonts w:ascii="Geomanist Light" w:hAnsi="Geomanist Light" w:cs="Arial"/>
          <w:color w:val="000000"/>
          <w:sz w:val="21"/>
          <w:szCs w:val="21"/>
          <w:lang w:eastAsia="es-MX"/>
        </w:rPr>
      </w:pPr>
      <w:r w:rsidRPr="00CC306F">
        <w:rPr>
          <w:rFonts w:ascii="Geomanist Light" w:hAnsi="Geomanist Light" w:cs="Arial"/>
          <w:color w:val="000000"/>
          <w:sz w:val="21"/>
          <w:szCs w:val="21"/>
          <w:lang w:eastAsia="es-MX"/>
        </w:rPr>
        <w:t xml:space="preserve">8. Los </w:t>
      </w:r>
      <w:proofErr w:type="gramStart"/>
      <w:r w:rsidRPr="00CC306F">
        <w:rPr>
          <w:rFonts w:ascii="Geomanist Light" w:hAnsi="Geomanist Light" w:cs="Arial"/>
          <w:color w:val="000000"/>
          <w:sz w:val="21"/>
          <w:szCs w:val="21"/>
          <w:lang w:eastAsia="es-MX"/>
        </w:rPr>
        <w:t>gobiernos nacional</w:t>
      </w:r>
      <w:proofErr w:type="gramEnd"/>
      <w:r w:rsidRPr="00CC306F">
        <w:rPr>
          <w:rFonts w:ascii="Geomanist Light" w:hAnsi="Geomanist Light" w:cs="Arial"/>
          <w:color w:val="000000"/>
          <w:sz w:val="21"/>
          <w:szCs w:val="21"/>
          <w:lang w:eastAsia="es-MX"/>
        </w:rPr>
        <w:t>, departamentales, distritales y municipales, deberán fijar mediante decreto reglamentario, en los procesos de selección de los contratistas y proveedores, un sistema de preferencias a favor de las personas con discapacidad.</w:t>
      </w:r>
    </w:p>
    <w:p w14:paraId="1C13956B" w14:textId="632B8E80" w:rsidR="003F4A6D" w:rsidRPr="00CC306F" w:rsidRDefault="003F4A6D" w:rsidP="00174D3B">
      <w:pPr>
        <w:spacing w:after="240" w:line="276" w:lineRule="auto"/>
        <w:ind w:firstLine="709"/>
        <w:jc w:val="both"/>
        <w:rPr>
          <w:rFonts w:ascii="Geomanist Light" w:hAnsi="Geomanist Light" w:cs="Arial"/>
          <w:color w:val="000000"/>
          <w:sz w:val="22"/>
          <w:lang w:eastAsia="es-MX"/>
        </w:rPr>
      </w:pPr>
      <w:bookmarkStart w:id="11" w:name="_Hlk78783360"/>
      <w:r w:rsidRPr="00CC306F">
        <w:rPr>
          <w:rFonts w:ascii="Geomanist Light" w:hAnsi="Geomanist Light" w:cs="Arial"/>
          <w:color w:val="000000"/>
          <w:sz w:val="22"/>
          <w:lang w:eastAsia="es-MX"/>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w:t>
      </w:r>
      <w:r w:rsidRPr="00CC306F">
        <w:rPr>
          <w:rFonts w:ascii="Geomanist Light" w:hAnsi="Geomanist Light" w:cs="Arial"/>
          <w:color w:val="000000"/>
          <w:sz w:val="22"/>
          <w:lang w:eastAsia="es-MX"/>
        </w:rPr>
        <w:lastRenderedPageBreak/>
        <w:t xml:space="preserve">especialmente, los que se desarrollan en las modalidades de licitación pública y concurso de méritos. </w:t>
      </w:r>
      <w:bookmarkEnd w:id="11"/>
      <w:r w:rsidRPr="00CC306F">
        <w:rPr>
          <w:rFonts w:ascii="Geomanist Light" w:eastAsia="Calibri" w:hAnsi="Geomanist Light" w:cs="Arial"/>
          <w:color w:val="000000"/>
          <w:sz w:val="22"/>
          <w:lang w:val="es-ES" w:eastAsia="es-MX"/>
        </w:rPr>
        <w:t xml:space="preserve">De esta manera, adicionó el artículo </w:t>
      </w:r>
      <w:bookmarkStart w:id="12" w:name="_Hlk76741673"/>
      <w:r w:rsidRPr="00CC306F">
        <w:rPr>
          <w:rFonts w:ascii="Geomanist Light" w:eastAsia="Calibri" w:hAnsi="Geomanist Light" w:cs="Arial"/>
          <w:color w:val="000000"/>
          <w:sz w:val="22"/>
          <w:lang w:val="es-ES" w:eastAsia="es-MX"/>
        </w:rPr>
        <w:t>2.2.1.2.4.2.6 al Decreto 1082 de 2015</w:t>
      </w:r>
      <w:bookmarkEnd w:id="12"/>
      <w:r w:rsidRPr="00CC306F">
        <w:rPr>
          <w:rFonts w:ascii="Geomanist Light" w:eastAsia="Calibri" w:hAnsi="Geomanist Light" w:cs="Arial"/>
          <w:color w:val="000000"/>
          <w:sz w:val="22"/>
          <w:lang w:val="es-ES" w:eastAsia="es-MX"/>
        </w:rPr>
        <w:t xml:space="preserve">, el cual dispone lo siguiente: </w:t>
      </w:r>
    </w:p>
    <w:p w14:paraId="3657F985" w14:textId="77777777" w:rsidR="003F4A6D" w:rsidRPr="00CC306F" w:rsidRDefault="003F4A6D" w:rsidP="004E77FA">
      <w:pPr>
        <w:spacing w:after="240"/>
        <w:ind w:left="709" w:right="709"/>
        <w:jc w:val="both"/>
        <w:rPr>
          <w:rFonts w:ascii="Geomanist Light" w:hAnsi="Geomanist Light" w:cs="Arial"/>
          <w:color w:val="000000"/>
          <w:sz w:val="21"/>
          <w:szCs w:val="21"/>
          <w:lang w:eastAsia="es-CO"/>
        </w:rPr>
      </w:pPr>
      <w:r w:rsidRPr="00CC306F">
        <w:rPr>
          <w:rFonts w:ascii="Geomanist Light" w:hAnsi="Geomanist Light" w:cs="Arial"/>
          <w:color w:val="000000"/>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680C4060" w14:textId="77777777" w:rsidR="003F4A6D" w:rsidRPr="00CC306F" w:rsidRDefault="003F4A6D" w:rsidP="004E77FA">
      <w:pPr>
        <w:spacing w:after="240"/>
        <w:ind w:left="709" w:right="709"/>
        <w:jc w:val="both"/>
        <w:rPr>
          <w:rFonts w:ascii="Geomanist Light" w:hAnsi="Geomanist Light" w:cs="Arial"/>
          <w:color w:val="000000"/>
          <w:sz w:val="21"/>
          <w:szCs w:val="21"/>
          <w:lang w:eastAsia="es-CO"/>
        </w:rPr>
      </w:pPr>
      <w:r w:rsidRPr="00CC306F">
        <w:rPr>
          <w:rFonts w:ascii="Geomanist Light" w:hAnsi="Geomanist Light" w:cs="Arial"/>
          <w:color w:val="000000"/>
          <w:sz w:val="21"/>
          <w:szCs w:val="21"/>
          <w:lang w:eastAsia="es-CO"/>
        </w:rPr>
        <w:t xml:space="preserve">1. </w:t>
      </w:r>
      <w:bookmarkStart w:id="13" w:name="_Hlk47271597"/>
      <w:r w:rsidRPr="00CC306F">
        <w:rPr>
          <w:rFonts w:ascii="Geomanist Light" w:hAnsi="Geomanist Light" w:cs="Arial"/>
          <w:color w:val="000000"/>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13"/>
      <w:r w:rsidRPr="00CC306F">
        <w:rPr>
          <w:rFonts w:ascii="Geomanist Light" w:hAnsi="Geomanist Light" w:cs="Arial"/>
          <w:color w:val="000000"/>
          <w:sz w:val="21"/>
          <w:szCs w:val="21"/>
          <w:lang w:eastAsia="es-CO"/>
        </w:rPr>
        <w:t>.</w:t>
      </w:r>
    </w:p>
    <w:p w14:paraId="7F42E293" w14:textId="36D6134D" w:rsidR="003F4A6D" w:rsidRPr="00174D3B" w:rsidRDefault="003F4A6D" w:rsidP="00174D3B">
      <w:pPr>
        <w:spacing w:after="240"/>
        <w:ind w:left="709" w:right="709"/>
        <w:jc w:val="both"/>
        <w:rPr>
          <w:rFonts w:ascii="Geomanist Light" w:hAnsi="Geomanist Light" w:cs="Arial"/>
          <w:color w:val="000000"/>
          <w:sz w:val="21"/>
          <w:szCs w:val="21"/>
          <w:lang w:eastAsia="es-CO"/>
        </w:rPr>
      </w:pPr>
      <w:r w:rsidRPr="00CC306F">
        <w:rPr>
          <w:rFonts w:ascii="Geomanist Light" w:hAnsi="Geomanist Light" w:cs="Arial"/>
          <w:color w:val="000000"/>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43FB261A" w14:textId="77777777" w:rsidR="003F4A6D" w:rsidRPr="00CC306F" w:rsidRDefault="003F4A6D" w:rsidP="004E77FA">
      <w:pPr>
        <w:spacing w:after="240" w:line="276" w:lineRule="auto"/>
        <w:ind w:firstLine="709"/>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 xml:space="preserve">Respecto al </w:t>
      </w:r>
      <w:r w:rsidRPr="00CC306F">
        <w:rPr>
          <w:rFonts w:ascii="Geomanist Light" w:hAnsi="Geomanist Light" w:cs="Arial"/>
          <w:i/>
          <w:iCs/>
          <w:color w:val="000000"/>
          <w:sz w:val="22"/>
          <w:lang w:eastAsia="es-MX"/>
        </w:rPr>
        <w:t>primer requisito</w:t>
      </w:r>
      <w:r w:rsidRPr="00CC306F">
        <w:rPr>
          <w:rFonts w:ascii="Geomanist Light" w:hAnsi="Geomanist Light" w:cs="Arial"/>
          <w:color w:val="000000"/>
          <w:sz w:val="22"/>
          <w:lang w:eastAsia="es-MX"/>
        </w:rPr>
        <w:t xml:space="preserve">, la norma dispone que la persona natural, el representante legal de la persona jurídica o el revisor fiscal, según corresponda, deberá certificar el número total de trabajadores </w:t>
      </w:r>
      <w:r w:rsidRPr="00CC306F">
        <w:rPr>
          <w:rFonts w:ascii="Geomanist Light" w:hAnsi="Geomanist Light" w:cs="Arial"/>
          <w:i/>
          <w:iCs/>
          <w:color w:val="000000"/>
          <w:sz w:val="22"/>
          <w:lang w:eastAsia="es-MX"/>
        </w:rPr>
        <w:t xml:space="preserve">vinculados a la planta de personal </w:t>
      </w:r>
      <w:r w:rsidRPr="00CC306F">
        <w:rPr>
          <w:rFonts w:ascii="Geomanist Light" w:hAnsi="Geomanist Light" w:cs="Arial"/>
          <w:color w:val="000000"/>
          <w:sz w:val="22"/>
          <w:lang w:eastAsia="es-MX"/>
        </w:rPr>
        <w:t xml:space="preserve">del proponente o sus integrantes a la fecha de cierre del proceso de selección. Para el caso de </w:t>
      </w:r>
      <w:r w:rsidRPr="00CC306F">
        <w:rPr>
          <w:rFonts w:ascii="Geomanist Light" w:hAnsi="Geomanist Light" w:cs="Arial"/>
          <w:i/>
          <w:iCs/>
          <w:color w:val="000000"/>
          <w:sz w:val="22"/>
          <w:lang w:eastAsia="es-MX"/>
        </w:rPr>
        <w:t>proponentes singulares</w:t>
      </w:r>
      <w:r w:rsidRPr="00CC306F">
        <w:rPr>
          <w:rFonts w:ascii="Geomanist Light" w:hAnsi="Geomanist Light" w:cs="Arial"/>
          <w:color w:val="000000"/>
          <w:sz w:val="22"/>
          <w:lang w:eastAsia="es-MX"/>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sidRPr="00CC306F">
        <w:rPr>
          <w:rFonts w:ascii="Geomanist Light" w:hAnsi="Geomanist Light" w:cs="Arial"/>
          <w:i/>
          <w:iCs/>
          <w:color w:val="000000"/>
          <w:sz w:val="22"/>
          <w:lang w:eastAsia="es-MX"/>
        </w:rPr>
        <w:t>proponentes plurales</w:t>
      </w:r>
      <w:r w:rsidRPr="00CC306F">
        <w:rPr>
          <w:rFonts w:ascii="Geomanist Light" w:hAnsi="Geomanist Light" w:cs="Arial"/>
          <w:color w:val="000000"/>
          <w:sz w:val="22"/>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14:paraId="14F1814C" w14:textId="77777777" w:rsidR="003F4A6D" w:rsidRPr="00CC306F" w:rsidRDefault="003F4A6D" w:rsidP="004E77FA">
      <w:pPr>
        <w:spacing w:after="240" w:line="276" w:lineRule="auto"/>
        <w:ind w:firstLine="709"/>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CC306F">
        <w:rPr>
          <w:rFonts w:ascii="Geomanist Light" w:eastAsia="Calibri" w:hAnsi="Geomanist Light" w:cs="Arial"/>
          <w:color w:val="000000"/>
          <w:sz w:val="22"/>
          <w:lang w:val="es-ES" w:eastAsia="es-MX"/>
        </w:rPr>
        <w:t>2.2.1.2.4.2.6 del Decreto 1082 de 2015 se refiere a</w:t>
      </w:r>
      <w:r w:rsidRPr="00CC306F">
        <w:rPr>
          <w:rFonts w:ascii="Geomanist Light" w:hAnsi="Geomanist Light" w:cs="Arial"/>
          <w:color w:val="000000"/>
          <w:sz w:val="22"/>
          <w:lang w:eastAsia="es-MX"/>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w:t>
      </w:r>
      <w:r w:rsidRPr="00CC306F">
        <w:rPr>
          <w:rFonts w:ascii="Geomanist Light" w:hAnsi="Geomanist Light" w:cs="Arial"/>
          <w:color w:val="000000"/>
          <w:sz w:val="22"/>
          <w:lang w:eastAsia="es-MX"/>
        </w:rPr>
        <w:lastRenderedPageBreak/>
        <w:t>promesa de sociedad futura. De allí que la expresión «o sus integrantes», califica el oferente y se refiere también a los integrantes de las estructuras plurales mencionadas.</w:t>
      </w:r>
    </w:p>
    <w:p w14:paraId="0FFA0FE3" w14:textId="77777777" w:rsidR="003F4A6D" w:rsidRPr="00CC306F" w:rsidRDefault="003F4A6D" w:rsidP="004E77FA">
      <w:pPr>
        <w:spacing w:after="240" w:line="276" w:lineRule="auto"/>
        <w:ind w:firstLine="709"/>
        <w:jc w:val="both"/>
        <w:rPr>
          <w:rFonts w:ascii="Geomanist Light" w:eastAsia="Calibri" w:hAnsi="Geomanist Light" w:cs="Arial"/>
          <w:color w:val="000000"/>
          <w:sz w:val="22"/>
          <w:lang w:eastAsia="es-MX"/>
        </w:rPr>
      </w:pPr>
      <w:r w:rsidRPr="00CC306F">
        <w:rPr>
          <w:rFonts w:ascii="Geomanist Light" w:eastAsia="Calibri" w:hAnsi="Geomanist Light" w:cs="Arial"/>
          <w:color w:val="000000"/>
          <w:sz w:val="22"/>
          <w:lang w:eastAsia="es-MX"/>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w:t>
      </w:r>
      <w:r w:rsidRPr="00CC306F">
        <w:rPr>
          <w:rFonts w:ascii="Geomanist Light" w:eastAsia="Calibri" w:hAnsi="Geomanist Light" w:cs="Arial"/>
          <w:i/>
          <w:iCs/>
          <w:color w:val="000000"/>
          <w:sz w:val="22"/>
          <w:lang w:eastAsia="es-MX"/>
        </w:rPr>
        <w:t xml:space="preserve">a la planta de personal </w:t>
      </w:r>
      <w:r w:rsidRPr="00CC306F">
        <w:rPr>
          <w:rFonts w:ascii="Geomanist Light" w:eastAsia="Calibri" w:hAnsi="Geomanist Light" w:cs="Arial"/>
          <w:color w:val="000000"/>
          <w:sz w:val="22"/>
          <w:lang w:eastAsia="es-MX"/>
        </w:rPr>
        <w:t xml:space="preserve">del proponente </w:t>
      </w:r>
      <w:r w:rsidRPr="00CC306F">
        <w:rPr>
          <w:rFonts w:ascii="Geomanist Light" w:eastAsia="Calibri" w:hAnsi="Geomanist Light" w:cs="Arial"/>
          <w:iCs/>
          <w:color w:val="000000"/>
          <w:sz w:val="22"/>
          <w:lang w:eastAsia="es-MX"/>
        </w:rPr>
        <w:t>o</w:t>
      </w:r>
      <w:r w:rsidRPr="00CC306F">
        <w:rPr>
          <w:rFonts w:ascii="Geomanist Light" w:eastAsia="Calibri" w:hAnsi="Geomanist Light" w:cs="Arial"/>
          <w:color w:val="000000"/>
          <w:sz w:val="22"/>
          <w:lang w:eastAsia="es-MX"/>
        </w:rPr>
        <w:t xml:space="preserve"> sus integrantes a la fecha de cierre del procedimiento de selección.</w:t>
      </w:r>
    </w:p>
    <w:p w14:paraId="074031B0" w14:textId="77777777" w:rsidR="003F4A6D" w:rsidRPr="00CC306F" w:rsidRDefault="003F4A6D" w:rsidP="004E77FA">
      <w:pPr>
        <w:spacing w:after="240" w:line="276" w:lineRule="auto"/>
        <w:ind w:firstLine="709"/>
        <w:jc w:val="both"/>
        <w:rPr>
          <w:rFonts w:ascii="Geomanist Light" w:eastAsia="Calibri" w:hAnsi="Geomanist Light" w:cs="Arial"/>
          <w:color w:val="000000"/>
          <w:sz w:val="22"/>
          <w:lang w:eastAsia="es-MX"/>
        </w:rPr>
      </w:pPr>
      <w:r w:rsidRPr="00CC306F">
        <w:rPr>
          <w:rFonts w:ascii="Geomanist Light" w:eastAsia="Calibri" w:hAnsi="Geomanist Light" w:cs="Arial"/>
          <w:color w:val="000000"/>
          <w:sz w:val="22"/>
          <w:lang w:eastAsia="es-MX"/>
        </w:rPr>
        <w:t xml:space="preserve">De conformidad con la disyunción prevista en el numeral 1 del artículo </w:t>
      </w:r>
      <w:r w:rsidRPr="00CC306F">
        <w:rPr>
          <w:rFonts w:ascii="Geomanist Light" w:eastAsia="Calibri" w:hAnsi="Geomanist Light" w:cs="Arial"/>
          <w:color w:val="000000"/>
          <w:sz w:val="22"/>
          <w:lang w:val="es-ES" w:eastAsia="es-MX"/>
        </w:rPr>
        <w:t xml:space="preserve">2.2.1.2.4.2.6 </w:t>
      </w:r>
      <w:r w:rsidRPr="00CC306F">
        <w:rPr>
          <w:rFonts w:ascii="Geomanist Light" w:eastAsia="Calibri" w:hAnsi="Geomanist Light" w:cs="Arial"/>
          <w:color w:val="000000"/>
          <w:sz w:val="22"/>
          <w:lang w:eastAsia="es-MX"/>
        </w:rPr>
        <w:t>del Decreto 1082 de 2015, es posible afirmar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CC306F">
        <w:rPr>
          <w:rFonts w:ascii="Geomanist Light" w:eastAsiaTheme="minorHAnsi" w:hAnsi="Geomanist Light" w:cs="Arial"/>
          <w:sz w:val="22"/>
          <w:szCs w:val="22"/>
          <w:vertAlign w:val="superscript"/>
          <w:lang w:eastAsia="en-US"/>
        </w:rPr>
        <w:footnoteReference w:id="9"/>
      </w:r>
      <w:r w:rsidRPr="00CC306F">
        <w:rPr>
          <w:rFonts w:ascii="Geomanist Light" w:eastAsia="Calibri" w:hAnsi="Geomanist Light" w:cs="Arial"/>
          <w:color w:val="000000"/>
          <w:sz w:val="22"/>
          <w:lang w:eastAsia="es-MX"/>
        </w:rPr>
        <w:t>.</w:t>
      </w:r>
    </w:p>
    <w:p w14:paraId="44BEE595" w14:textId="1B46FA91" w:rsidR="003F4A6D" w:rsidRPr="00CC306F" w:rsidRDefault="003F4A6D" w:rsidP="004E77FA">
      <w:pPr>
        <w:spacing w:after="240" w:line="276" w:lineRule="auto"/>
        <w:ind w:firstLine="708"/>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 xml:space="preserve">En todo caso, el parágrafo del artículo </w:t>
      </w:r>
      <w:r w:rsidRPr="00CC306F">
        <w:rPr>
          <w:rFonts w:ascii="Geomanist Light" w:eastAsia="Calibri" w:hAnsi="Geomanist Light" w:cs="Arial"/>
          <w:color w:val="000000"/>
          <w:sz w:val="22"/>
          <w:lang w:val="es-ES" w:eastAsia="es-MX"/>
        </w:rPr>
        <w:t>2.2.1.2.4.2.6</w:t>
      </w:r>
      <w:r w:rsidRPr="00CC306F">
        <w:rPr>
          <w:rFonts w:ascii="Geomanist Light" w:hAnsi="Geomanist Light" w:cs="Arial"/>
          <w:color w:val="000000"/>
          <w:sz w:val="22"/>
          <w:lang w:eastAsia="es-MX"/>
        </w:rPr>
        <w:t xml:space="preserve"> del Decreto 1082 de 2015 dispone que «</w:t>
      </w:r>
      <w:r w:rsidRPr="00CC306F">
        <w:rPr>
          <w:rFonts w:ascii="Geomanist Light" w:hAnsi="Geomanist Light" w:cs="Arial"/>
          <w:color w:val="000000"/>
          <w:sz w:val="22"/>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CC306F">
        <w:rPr>
          <w:rFonts w:ascii="Geomanist Light" w:hAnsi="Geomanist Light" w:cs="Arial"/>
          <w:color w:val="000000"/>
          <w:sz w:val="22"/>
          <w:lang w:eastAsia="es-MX"/>
        </w:rPr>
        <w:t xml:space="preserve"> Esto significa que el cumplimiento de los requisitos establecidos en el Decreto 392 de 2019 lo acredita el integrante de la estructur</w:t>
      </w:r>
      <w:r w:rsidR="004265C9" w:rsidRPr="00CC306F">
        <w:rPr>
          <w:rFonts w:ascii="Geomanist Light" w:hAnsi="Geomanist Light" w:cs="Arial"/>
          <w:color w:val="000000"/>
          <w:sz w:val="22"/>
          <w:lang w:eastAsia="es-MX"/>
        </w:rPr>
        <w:t>a plural que aporte má</w:t>
      </w:r>
      <w:r w:rsidRPr="00CC306F">
        <w:rPr>
          <w:rFonts w:ascii="Geomanist Light" w:hAnsi="Geomanist Light" w:cs="Arial"/>
          <w:color w:val="000000"/>
          <w:sz w:val="22"/>
          <w:lang w:eastAsia="es-MX"/>
        </w:rPr>
        <w:t xml:space="preserve">s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6A7A6B41" w14:textId="77777777" w:rsidR="003F4A6D" w:rsidRPr="00CC306F" w:rsidRDefault="003F4A6D" w:rsidP="004E77FA">
      <w:pPr>
        <w:spacing w:after="240" w:line="276" w:lineRule="auto"/>
        <w:ind w:firstLine="709"/>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 xml:space="preserve">Para la acreditación del </w:t>
      </w:r>
      <w:r w:rsidRPr="00CC306F">
        <w:rPr>
          <w:rFonts w:ascii="Geomanist Light" w:hAnsi="Geomanist Light" w:cs="Arial"/>
          <w:i/>
          <w:iCs/>
          <w:color w:val="000000"/>
          <w:sz w:val="22"/>
          <w:lang w:eastAsia="es-MX"/>
        </w:rPr>
        <w:t>segundo requisito</w:t>
      </w:r>
      <w:r w:rsidRPr="00CC306F">
        <w:rPr>
          <w:rFonts w:ascii="Geomanist Light" w:hAnsi="Geomanist Light" w:cs="Arial"/>
          <w:color w:val="000000"/>
          <w:sz w:val="22"/>
          <w:lang w:eastAsia="es-MX"/>
        </w:rPr>
        <w:t xml:space="preserve">, esto es, el número mínimo de personas en condición discapacidad en su planta de personal, se deberá aportar el certificado expedido por el Ministerio de Trabajo al proponente persona natural o jurídica, o al integrante de la </w:t>
      </w:r>
      <w:r w:rsidRPr="00CC306F">
        <w:rPr>
          <w:rFonts w:ascii="Geomanist Light" w:hAnsi="Geomanist Light" w:cs="Arial"/>
          <w:color w:val="000000"/>
          <w:sz w:val="22"/>
          <w:lang w:eastAsia="es-MX"/>
        </w:rPr>
        <w:lastRenderedPageBreak/>
        <w:t>estructura plural que cumpla con esta condición. Este certificado deberá estar vigente al cierre del procedimiento de selección.</w:t>
      </w:r>
    </w:p>
    <w:p w14:paraId="75718C8E" w14:textId="6D9975A3" w:rsidR="003F4A6D" w:rsidRPr="00CC306F" w:rsidRDefault="003F4A6D" w:rsidP="004E77FA">
      <w:pPr>
        <w:spacing w:after="240" w:line="276" w:lineRule="auto"/>
        <w:ind w:firstLine="709"/>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Del artículo 2.2.1.2.4.2.6 del Decreto 1082 de 2015 se observa que la solicitud de requisitos para la acreditación de la vinculación de personas en condición de discapacidad se refiere a cada un</w:t>
      </w:r>
      <w:r w:rsidR="004265C9" w:rsidRPr="00CC306F">
        <w:rPr>
          <w:rFonts w:ascii="Geomanist Light" w:hAnsi="Geomanist Light" w:cs="Arial"/>
          <w:color w:val="000000"/>
          <w:sz w:val="22"/>
          <w:lang w:eastAsia="es-MX"/>
        </w:rPr>
        <w:t>a</w:t>
      </w:r>
      <w:r w:rsidRPr="00CC306F">
        <w:rPr>
          <w:rFonts w:ascii="Geomanist Light" w:hAnsi="Geomanist Light" w:cs="Arial"/>
          <w:color w:val="000000"/>
          <w:sz w:val="22"/>
          <w:lang w:eastAsia="es-MX"/>
        </w:rPr>
        <w:t xml:space="preserve">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202A0BAA" w14:textId="77777777" w:rsidR="003F4A6D" w:rsidRPr="00CC306F" w:rsidRDefault="003F4A6D" w:rsidP="004E77FA">
      <w:pPr>
        <w:spacing w:after="240" w:line="276" w:lineRule="auto"/>
        <w:ind w:firstLine="708"/>
        <w:jc w:val="both"/>
        <w:rPr>
          <w:rFonts w:ascii="Geomanist Light" w:hAnsi="Geomanist Light" w:cs="Arial"/>
          <w:color w:val="000000"/>
          <w:sz w:val="22"/>
          <w:lang w:eastAsia="es-MX"/>
        </w:rPr>
      </w:pPr>
      <w:r w:rsidRPr="00CC306F">
        <w:rPr>
          <w:rFonts w:ascii="Geomanist Light" w:hAnsi="Geomanist Light" w:cs="Arial"/>
          <w:color w:val="000000"/>
          <w:sz w:val="22"/>
          <w:lang w:eastAsia="es-MX"/>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247E778E" w14:textId="16693FED" w:rsidR="003F4A6D" w:rsidRPr="00CC306F" w:rsidRDefault="003F4A6D" w:rsidP="00174D3B">
      <w:pPr>
        <w:spacing w:after="240" w:line="276" w:lineRule="auto"/>
        <w:ind w:firstLine="708"/>
        <w:jc w:val="both"/>
        <w:rPr>
          <w:rFonts w:ascii="Geomanist Light" w:eastAsia="Calibri" w:hAnsi="Geomanist Light" w:cs="Arial"/>
          <w:color w:val="000000"/>
          <w:sz w:val="22"/>
          <w:lang w:val="es-ES" w:eastAsia="es-MX"/>
        </w:rPr>
      </w:pPr>
      <w:r w:rsidRPr="00CC306F">
        <w:rPr>
          <w:rFonts w:ascii="Geomanist Light" w:hAnsi="Geomanist Light" w:cs="Arial"/>
          <w:color w:val="000000"/>
          <w:sz w:val="22"/>
          <w:lang w:eastAsia="es-MX"/>
        </w:rPr>
        <w:t xml:space="preserve">Como se explicó </w:t>
      </w:r>
      <w:r w:rsidRPr="00CC306F">
        <w:rPr>
          <w:rFonts w:ascii="Geomanist Light" w:hAnsi="Geomanist Light" w:cs="Arial"/>
          <w:i/>
          <w:iCs/>
          <w:color w:val="000000"/>
          <w:sz w:val="22"/>
          <w:lang w:eastAsia="es-MX"/>
        </w:rPr>
        <w:t>ut supra</w:t>
      </w:r>
      <w:r w:rsidRPr="00CC306F">
        <w:rPr>
          <w:rFonts w:ascii="Geomanist Light" w:hAnsi="Geomanist Light" w:cs="Arial"/>
          <w:color w:val="000000"/>
          <w:sz w:val="22"/>
          <w:lang w:eastAsia="es-MX"/>
        </w:rPr>
        <w:t xml:space="preserve">, </w:t>
      </w:r>
      <w:r w:rsidRPr="00CC306F">
        <w:rPr>
          <w:rFonts w:ascii="Geomanist Light" w:eastAsia="Calibri" w:hAnsi="Geomanist Light" w:cs="Arial"/>
          <w:color w:val="000000"/>
          <w:sz w:val="22"/>
          <w:lang w:val="es-ES" w:eastAsia="es-MX"/>
        </w:rPr>
        <w:t>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«Documentos Tipo – Versión 3» de licitación para obras públicas de infraestructura de transporte, adoptados en la Resolución 240 del 27 de noviembre de 2020. Para estos efectos, el apartado 4.4 del documento base dispone lo siguiente:</w:t>
      </w:r>
    </w:p>
    <w:p w14:paraId="22BD4726" w14:textId="77777777" w:rsidR="003F4A6D" w:rsidRPr="00CC306F" w:rsidRDefault="003F4A6D" w:rsidP="004E77FA">
      <w:pPr>
        <w:spacing w:after="240"/>
        <w:ind w:left="709" w:right="709"/>
        <w:jc w:val="both"/>
        <w:rPr>
          <w:rFonts w:ascii="Geomanist Light" w:eastAsia="Calibri" w:hAnsi="Geomanist Light" w:cs="Arial"/>
          <w:color w:val="000000"/>
          <w:sz w:val="21"/>
          <w:szCs w:val="21"/>
          <w:lang w:eastAsia="es-MX"/>
        </w:rPr>
      </w:pPr>
      <w:r w:rsidRPr="00CC306F">
        <w:rPr>
          <w:rFonts w:ascii="Geomanist Light" w:eastAsia="Calibri" w:hAnsi="Geomanist Light" w:cs="Arial"/>
          <w:color w:val="000000"/>
          <w:sz w:val="21"/>
          <w:szCs w:val="21"/>
          <w:lang w:eastAsia="es-MX"/>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525F37FF" w14:textId="77777777" w:rsidR="003F4A6D" w:rsidRPr="00CC306F" w:rsidRDefault="003F4A6D" w:rsidP="004E77FA">
      <w:pPr>
        <w:spacing w:after="240"/>
        <w:ind w:left="709" w:right="709"/>
        <w:jc w:val="both"/>
        <w:rPr>
          <w:rFonts w:ascii="Geomanist Light" w:eastAsia="Calibri" w:hAnsi="Geomanist Light" w:cs="Arial"/>
          <w:color w:val="000000"/>
          <w:sz w:val="21"/>
          <w:szCs w:val="21"/>
          <w:lang w:eastAsia="es-MX"/>
        </w:rPr>
      </w:pPr>
      <w:r w:rsidRPr="00CC306F">
        <w:rPr>
          <w:rFonts w:ascii="Geomanist Light" w:eastAsia="Calibri" w:hAnsi="Geomanist Light" w:cs="Arial"/>
          <w:color w:val="000000"/>
          <w:sz w:val="21"/>
          <w:szCs w:val="21"/>
          <w:lang w:eastAsia="es-MX"/>
        </w:rPr>
        <w:t xml:space="preserve">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w:t>
      </w:r>
      <w:r w:rsidRPr="00CC306F">
        <w:rPr>
          <w:rFonts w:ascii="Geomanist Light" w:eastAsia="Calibri" w:hAnsi="Geomanist Light" w:cs="Arial"/>
          <w:color w:val="000000"/>
          <w:sz w:val="21"/>
          <w:szCs w:val="21"/>
          <w:lang w:eastAsia="es-MX"/>
        </w:rPr>
        <w:lastRenderedPageBreak/>
        <w:t>discapacidad en su planta de personal, de conformidad con lo señalado en el certificado expedido por el Ministerio de Trabajo, el cual deberá estar vigente a la fecha de cierre del proceso de selección.</w:t>
      </w:r>
    </w:p>
    <w:p w14:paraId="29F41E82" w14:textId="77777777" w:rsidR="003F4A6D" w:rsidRPr="00CC306F" w:rsidRDefault="003F4A6D" w:rsidP="004E77FA">
      <w:pPr>
        <w:spacing w:after="240"/>
        <w:ind w:left="709" w:right="709"/>
        <w:jc w:val="both"/>
        <w:rPr>
          <w:rFonts w:ascii="Geomanist Light" w:eastAsia="Calibri" w:hAnsi="Geomanist Light" w:cs="Arial"/>
          <w:color w:val="000000"/>
          <w:sz w:val="21"/>
          <w:szCs w:val="21"/>
          <w:lang w:eastAsia="es-MX"/>
        </w:rPr>
      </w:pPr>
      <w:r w:rsidRPr="00CC306F">
        <w:rPr>
          <w:rFonts w:ascii="Geomanist Light" w:eastAsia="Calibri" w:hAnsi="Geomanist Light" w:cs="Arial"/>
          <w:color w:val="000000"/>
          <w:sz w:val="21"/>
          <w:szCs w:val="21"/>
          <w:lang w:eastAsia="es-MX"/>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4ECDB1E4" w14:textId="27E1EAD3" w:rsidR="003F4A6D" w:rsidRPr="00CC306F" w:rsidRDefault="003F4A6D" w:rsidP="00174D3B">
      <w:pPr>
        <w:spacing w:after="240"/>
        <w:ind w:left="709" w:right="709"/>
        <w:jc w:val="both"/>
        <w:rPr>
          <w:rFonts w:ascii="Geomanist Light" w:eastAsia="Calibri" w:hAnsi="Geomanist Light" w:cs="Arial"/>
          <w:color w:val="000000"/>
          <w:sz w:val="22"/>
          <w:lang w:val="es-ES" w:eastAsia="es-MX"/>
        </w:rPr>
      </w:pPr>
      <w:r w:rsidRPr="00CC306F">
        <w:rPr>
          <w:rFonts w:ascii="Geomanist Light" w:eastAsia="Calibri" w:hAnsi="Geomanist Light" w:cs="Arial"/>
          <w:color w:val="000000"/>
          <w:sz w:val="21"/>
          <w:szCs w:val="21"/>
          <w:lang w:eastAsia="es-MX"/>
        </w:rPr>
        <w:t>El Formato 8, en el caso de los proponentes plurales, debe suscribirse por la persona natural o el representante legal de la persona jurídica que aporte como mínimo el cuarenta por ciento (40%) de la experiencia requerida para el proceso de contratación</w:t>
      </w:r>
      <w:r w:rsidRPr="00CC306F">
        <w:rPr>
          <w:rFonts w:ascii="Geomanist Light" w:eastAsia="Calibri" w:hAnsi="Geomanist Light" w:cs="Arial"/>
          <w:color w:val="000000"/>
          <w:sz w:val="22"/>
          <w:lang w:val="es-ES" w:eastAsia="es-MX"/>
        </w:rPr>
        <w:t>.</w:t>
      </w:r>
    </w:p>
    <w:p w14:paraId="442E587C" w14:textId="77777777" w:rsidR="003F4A6D" w:rsidRPr="00CC306F" w:rsidRDefault="003F4A6D" w:rsidP="004E77FA">
      <w:pPr>
        <w:spacing w:after="240" w:line="276" w:lineRule="auto"/>
        <w:ind w:firstLine="709"/>
        <w:jc w:val="both"/>
        <w:rPr>
          <w:rFonts w:ascii="Geomanist Light" w:eastAsia="Calibri" w:hAnsi="Geomanist Light" w:cs="Arial"/>
          <w:sz w:val="22"/>
          <w:lang w:eastAsia="es-MX"/>
        </w:rPr>
      </w:pPr>
      <w:r w:rsidRPr="00CC306F">
        <w:rPr>
          <w:rFonts w:ascii="Geomanist Light" w:eastAsia="Calibri" w:hAnsi="Geomanist Light" w:cs="Arial"/>
          <w:sz w:val="22"/>
          <w:lang w:eastAsia="es-MX"/>
        </w:rPr>
        <w:t xml:space="preserve">Para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CC306F">
        <w:rPr>
          <w:rFonts w:ascii="Geomanist Light" w:eastAsia="Calibri" w:hAnsi="Geomanist Light" w:cs="Arial"/>
          <w:color w:val="000000"/>
          <w:sz w:val="22"/>
          <w:lang w:val="es-ES" w:eastAsia="es-MX"/>
        </w:rPr>
        <w:t>artículo 2.2.1.2.4.2.6 del Decreto 1082 de 2015</w:t>
      </w:r>
      <w:r w:rsidRPr="00CC306F">
        <w:rPr>
          <w:rFonts w:ascii="Geomanist Light" w:eastAsia="Calibri" w:hAnsi="Geomanist Light" w:cs="Arial"/>
          <w:sz w:val="22"/>
          <w:lang w:eastAsia="es-MX"/>
        </w:rPr>
        <w:t xml:space="preserve">. Por lo demás, junto al formato, el oferente también debe entregar el certificado del Ministerio de Trabajo que acredite el número mínimo de personas con discapacidad en su planta de personal, el cual deberá estar vigente a la fecha de cierre del proceso de selección. </w:t>
      </w:r>
    </w:p>
    <w:bookmarkEnd w:id="10"/>
    <w:p w14:paraId="41057306" w14:textId="2B0AAE1E" w:rsidR="003F4A6D" w:rsidRPr="00CC306F" w:rsidRDefault="003F4A6D" w:rsidP="004E77FA">
      <w:pPr>
        <w:spacing w:after="240" w:line="276" w:lineRule="auto"/>
        <w:ind w:firstLine="709"/>
        <w:jc w:val="both"/>
        <w:rPr>
          <w:rFonts w:ascii="Geomanist Light" w:eastAsia="Calibri" w:hAnsi="Geomanist Light" w:cs="Arial"/>
          <w:sz w:val="22"/>
          <w:szCs w:val="22"/>
          <w:lang w:val="es-MX" w:eastAsia="en-US"/>
        </w:rPr>
      </w:pPr>
      <w:r w:rsidRPr="00CC306F">
        <w:rPr>
          <w:rFonts w:ascii="Geomanist Light" w:eastAsia="Calibri" w:hAnsi="Geomanist Light" w:cs="Arial"/>
          <w:sz w:val="22"/>
          <w:szCs w:val="22"/>
          <w:lang w:val="es-MX" w:eastAsia="en-US"/>
        </w:rPr>
        <w:t xml:space="preserve">Ahora bien, en caso de que el </w:t>
      </w:r>
      <w:r w:rsidRPr="00CC306F">
        <w:rPr>
          <w:rFonts w:ascii="Geomanist Light" w:eastAsia="Calibri" w:hAnsi="Geomanist Light" w:cs="Arial"/>
          <w:color w:val="000000"/>
          <w:sz w:val="22"/>
          <w:szCs w:val="22"/>
          <w:lang w:eastAsia="es-MX"/>
        </w:rPr>
        <w:t>Formato 8 – Vinculación de personas con discapacidad</w:t>
      </w:r>
      <w:r w:rsidRPr="00CC306F">
        <w:rPr>
          <w:rFonts w:ascii="Geomanist Light" w:eastAsia="Calibri" w:hAnsi="Geomanist Light" w:cs="Arial"/>
          <w:sz w:val="22"/>
          <w:szCs w:val="22"/>
          <w:lang w:val="es-MX" w:eastAsia="en-US"/>
        </w:rPr>
        <w:t xml:space="preserve">, y el </w:t>
      </w:r>
      <w:r w:rsidR="004265C9" w:rsidRPr="00CC306F">
        <w:rPr>
          <w:rFonts w:ascii="Geomanist Light" w:eastAsia="Calibri" w:hAnsi="Geomanist Light" w:cs="Arial"/>
          <w:sz w:val="22"/>
          <w:lang w:eastAsia="es-MX"/>
        </w:rPr>
        <w:t>el certificado del Ministerio de Trabajo</w:t>
      </w:r>
      <w:r w:rsidRPr="00CC306F">
        <w:rPr>
          <w:rFonts w:ascii="Geomanist Light" w:eastAsia="Calibri" w:hAnsi="Geomanist Light" w:cs="Arial"/>
          <w:sz w:val="22"/>
          <w:szCs w:val="22"/>
          <w:lang w:val="es-MX" w:eastAsia="en-US"/>
        </w:rPr>
        <w:t xml:space="preserve"> contengan un número distinto de trabajadores vinculados a la planta de personal del proponente, es pertinente mencionar que, ante tal situación, la entidad cuenta con la facultad de «solicitar a los proponentes las aclaraciones y explicaciones que se estimen indispensables», establecida en el artículo 30-7 de la Ley 80 de 1993</w:t>
      </w:r>
      <w:r w:rsidRPr="00CC306F">
        <w:rPr>
          <w:rFonts w:ascii="Geomanist Light" w:eastAsiaTheme="minorHAnsi" w:hAnsi="Geomanist Light" w:cs="Arial"/>
          <w:sz w:val="22"/>
          <w:szCs w:val="22"/>
          <w:vertAlign w:val="superscript"/>
          <w:lang w:eastAsia="en-US"/>
        </w:rPr>
        <w:footnoteReference w:id="10"/>
      </w:r>
      <w:r w:rsidRPr="00CC306F">
        <w:rPr>
          <w:rFonts w:ascii="Geomanist Light" w:eastAsia="Calibri" w:hAnsi="Geomanist Light" w:cs="Arial"/>
          <w:sz w:val="22"/>
          <w:szCs w:val="22"/>
          <w:lang w:val="es-MX" w:eastAsia="en-US"/>
        </w:rPr>
        <w:t xml:space="preserve">. </w:t>
      </w:r>
    </w:p>
    <w:p w14:paraId="091A8F31" w14:textId="51E452E0" w:rsidR="003F4A6D" w:rsidRPr="00CC306F" w:rsidRDefault="003F4A6D" w:rsidP="004E77FA">
      <w:pPr>
        <w:spacing w:after="240" w:line="276" w:lineRule="auto"/>
        <w:ind w:firstLine="709"/>
        <w:jc w:val="both"/>
        <w:rPr>
          <w:rFonts w:ascii="Geomanist Light" w:eastAsia="Calibri" w:hAnsi="Geomanist Light" w:cs="Arial"/>
          <w:sz w:val="22"/>
          <w:szCs w:val="22"/>
          <w:lang w:val="es-MX" w:eastAsia="en-US"/>
        </w:rPr>
      </w:pPr>
      <w:r w:rsidRPr="00CC306F">
        <w:rPr>
          <w:rFonts w:ascii="Geomanist Light" w:eastAsia="Calibri" w:hAnsi="Geomanist Light" w:cs="Arial"/>
          <w:sz w:val="22"/>
          <w:szCs w:val="22"/>
          <w:lang w:val="es-MX" w:eastAsia="en-US"/>
        </w:rPr>
        <w:t xml:space="preserve">El ejercicio de la facultad de solicitar </w:t>
      </w:r>
      <w:r w:rsidR="00A23833" w:rsidRPr="00CC306F">
        <w:rPr>
          <w:rFonts w:ascii="Geomanist Light" w:eastAsia="Calibri" w:hAnsi="Geomanist Light" w:cs="Arial"/>
          <w:sz w:val="22"/>
          <w:szCs w:val="22"/>
          <w:lang w:val="es-MX" w:eastAsia="en-US"/>
        </w:rPr>
        <w:t xml:space="preserve">las </w:t>
      </w:r>
      <w:r w:rsidRPr="00CC306F">
        <w:rPr>
          <w:rFonts w:ascii="Geomanist Light" w:eastAsia="Calibri" w:hAnsi="Geomanist Light" w:cs="Arial"/>
          <w:sz w:val="22"/>
          <w:szCs w:val="22"/>
          <w:lang w:val="es-MX" w:eastAsia="en-US"/>
        </w:rPr>
        <w:t xml:space="preserve">aclaraciones </w:t>
      </w:r>
      <w:r w:rsidR="00A23833" w:rsidRPr="00CC306F">
        <w:rPr>
          <w:rFonts w:ascii="Geomanist Light" w:eastAsia="Calibri" w:hAnsi="Geomanist Light" w:cs="Arial"/>
          <w:sz w:val="22"/>
          <w:szCs w:val="22"/>
          <w:lang w:val="es-MX" w:eastAsia="en-US"/>
        </w:rPr>
        <w:t xml:space="preserve">que </w:t>
      </w:r>
      <w:r w:rsidRPr="00CC306F">
        <w:rPr>
          <w:rFonts w:ascii="Geomanist Light" w:eastAsia="Calibri" w:hAnsi="Geomanist Light" w:cs="Arial"/>
          <w:sz w:val="22"/>
          <w:szCs w:val="22"/>
          <w:lang w:val="es-MX" w:eastAsia="en-US"/>
        </w:rPr>
        <w:t>permit</w:t>
      </w:r>
      <w:r w:rsidR="00A23833" w:rsidRPr="00CC306F">
        <w:rPr>
          <w:rFonts w:ascii="Geomanist Light" w:eastAsia="Calibri" w:hAnsi="Geomanist Light" w:cs="Arial"/>
          <w:sz w:val="22"/>
          <w:szCs w:val="22"/>
          <w:lang w:val="es-MX" w:eastAsia="en-US"/>
        </w:rPr>
        <w:t>an</w:t>
      </w:r>
      <w:r w:rsidRPr="00CC306F">
        <w:rPr>
          <w:rFonts w:ascii="Geomanist Light" w:eastAsia="Calibri" w:hAnsi="Geomanist Light" w:cs="Arial"/>
          <w:sz w:val="22"/>
          <w:szCs w:val="22"/>
          <w:lang w:val="es-MX" w:eastAsia="en-US"/>
        </w:rPr>
        <w:t xml:space="preserve"> que las entidades </w:t>
      </w:r>
      <w:r w:rsidR="00A23833" w:rsidRPr="00CC306F">
        <w:rPr>
          <w:rFonts w:ascii="Geomanist Light" w:eastAsia="Calibri" w:hAnsi="Geomanist Light" w:cs="Arial"/>
          <w:sz w:val="22"/>
          <w:szCs w:val="22"/>
          <w:lang w:val="es-MX" w:eastAsia="en-US"/>
        </w:rPr>
        <w:t xml:space="preserve">obtengan la certeza de la información y para ello podrán </w:t>
      </w:r>
      <w:r w:rsidRPr="00CC306F">
        <w:rPr>
          <w:rFonts w:ascii="Geomanist Light" w:eastAsia="Calibri" w:hAnsi="Geomanist Light" w:cs="Arial"/>
          <w:sz w:val="22"/>
          <w:szCs w:val="22"/>
          <w:lang w:val="es-MX" w:eastAsia="en-US"/>
        </w:rPr>
        <w:t>requ</w:t>
      </w:r>
      <w:r w:rsidR="00A23833" w:rsidRPr="00CC306F">
        <w:rPr>
          <w:rFonts w:ascii="Geomanist Light" w:eastAsia="Calibri" w:hAnsi="Geomanist Light" w:cs="Arial"/>
          <w:sz w:val="22"/>
          <w:szCs w:val="22"/>
          <w:lang w:val="es-MX" w:eastAsia="en-US"/>
        </w:rPr>
        <w:t xml:space="preserve">erir </w:t>
      </w:r>
      <w:r w:rsidRPr="00CC306F">
        <w:rPr>
          <w:rFonts w:ascii="Geomanist Light" w:eastAsia="Calibri" w:hAnsi="Geomanist Light" w:cs="Arial"/>
          <w:sz w:val="22"/>
          <w:szCs w:val="22"/>
          <w:lang w:val="es-MX" w:eastAsia="en-US"/>
        </w:rPr>
        <w:t xml:space="preserve">a los proponentes la aclaración </w:t>
      </w:r>
      <w:r w:rsidR="00592634" w:rsidRPr="00CC306F">
        <w:rPr>
          <w:rFonts w:ascii="Geomanist Light" w:eastAsia="Calibri" w:hAnsi="Geomanist Light" w:cs="Arial"/>
          <w:sz w:val="22"/>
          <w:szCs w:val="22"/>
          <w:lang w:val="es-MX" w:eastAsia="en-US"/>
        </w:rPr>
        <w:t xml:space="preserve">y documentos </w:t>
      </w:r>
      <w:r w:rsidRPr="00CC306F">
        <w:rPr>
          <w:rFonts w:ascii="Geomanist Light" w:eastAsia="Calibri" w:hAnsi="Geomanist Light" w:cs="Arial"/>
          <w:sz w:val="22"/>
          <w:szCs w:val="22"/>
          <w:lang w:val="es-MX" w:eastAsia="en-US"/>
        </w:rPr>
        <w:t xml:space="preserve">de los aspectos de su propuesta que, en principio, resultan oscuros o confusos de cara a la evaluación, diferenciándose esta facultad de la </w:t>
      </w:r>
      <w:proofErr w:type="spellStart"/>
      <w:r w:rsidRPr="00CC306F">
        <w:rPr>
          <w:rFonts w:ascii="Geomanist Light" w:eastAsia="Calibri" w:hAnsi="Geomanist Light" w:cs="Arial"/>
          <w:sz w:val="22"/>
          <w:szCs w:val="22"/>
          <w:lang w:val="es-MX" w:eastAsia="en-US"/>
        </w:rPr>
        <w:t>subsanabilidad</w:t>
      </w:r>
      <w:proofErr w:type="spellEnd"/>
      <w:r w:rsidRPr="00CC306F">
        <w:rPr>
          <w:rFonts w:ascii="Geomanist Light" w:eastAsia="Calibri" w:hAnsi="Geomanist Light" w:cs="Arial"/>
          <w:sz w:val="22"/>
          <w:szCs w:val="22"/>
          <w:lang w:val="es-MX" w:eastAsia="en-US"/>
        </w:rPr>
        <w:t xml:space="preserve">, pues no parte del supuesto de la ausencia de requisitos de la oferta sino de la existencia de </w:t>
      </w:r>
      <w:r w:rsidRPr="00CC306F">
        <w:rPr>
          <w:rFonts w:ascii="Geomanist Light" w:eastAsia="Calibri" w:hAnsi="Geomanist Light" w:cs="Arial"/>
          <w:sz w:val="22"/>
          <w:szCs w:val="22"/>
          <w:lang w:val="es-MX" w:eastAsia="en-US"/>
        </w:rPr>
        <w:lastRenderedPageBreak/>
        <w:t>inconsistencias en la misma, cuyo esclarecimiento se requiere para la evaluar la propuesta. Así lo ha manifestado el Consejo de Estado:</w:t>
      </w:r>
    </w:p>
    <w:p w14:paraId="29CAECCD" w14:textId="26C6255D" w:rsidR="003F4A6D" w:rsidRPr="00174D3B" w:rsidRDefault="003F4A6D" w:rsidP="00174D3B">
      <w:pPr>
        <w:spacing w:after="240"/>
        <w:ind w:left="709" w:right="616"/>
        <w:jc w:val="both"/>
        <w:rPr>
          <w:rFonts w:ascii="Geomanist Light" w:eastAsia="Calibri" w:hAnsi="Geomanist Light" w:cs="Arial"/>
          <w:sz w:val="21"/>
          <w:szCs w:val="21"/>
          <w:lang w:val="es-MX" w:eastAsia="en-US"/>
        </w:rPr>
      </w:pPr>
      <w:r w:rsidRPr="00CC306F">
        <w:rPr>
          <w:rFonts w:ascii="Geomanist Light" w:eastAsia="Calibri" w:hAnsi="Geomanist Light" w:cs="Arial"/>
          <w:sz w:val="21"/>
          <w:szCs w:val="21"/>
          <w:lang w:val="es-MX" w:eastAsia="en-US"/>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CC306F">
        <w:rPr>
          <w:rFonts w:ascii="Geomanist Light" w:eastAsia="Calibri" w:hAnsi="Geomanist Light" w:cs="Arial"/>
          <w:sz w:val="21"/>
          <w:szCs w:val="21"/>
          <w:lang w:val="es-MX" w:eastAsia="en-US"/>
        </w:rPr>
        <w:t>subsanabilidad</w:t>
      </w:r>
      <w:proofErr w:type="spellEnd"/>
      <w:r w:rsidRPr="00CC306F">
        <w:rPr>
          <w:rFonts w:ascii="Geomanist Light" w:eastAsia="Calibri" w:hAnsi="Geomanist Light" w:cs="Arial"/>
          <w:sz w:val="21"/>
          <w:szCs w:val="21"/>
          <w:lang w:val="es-MX" w:eastAsia="en-US"/>
        </w:rPr>
        <w:t xml:space="preserve"> -, pues no parte del supuesto de la ausencia de requisitos de la oferta –los que hay que subsanar-, sino de la presencia de inconsistencias o falta de claridad en la oferta, </w:t>
      </w:r>
      <w:bookmarkStart w:id="14" w:name="_Hlk31969520"/>
      <w:r w:rsidRPr="00CC306F">
        <w:rPr>
          <w:rFonts w:ascii="Geomanist Light" w:eastAsia="Calibri" w:hAnsi="Geomanist Light" w:cs="Arial"/>
          <w:sz w:val="21"/>
          <w:szCs w:val="21"/>
          <w:lang w:val="es-MX" w:eastAsia="en-US"/>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14"/>
      <w:r w:rsidRPr="00CC306F">
        <w:rPr>
          <w:rFonts w:ascii="Geomanist Light" w:eastAsia="Calibri" w:hAnsi="Geomanist Light" w:cs="Arial"/>
          <w:sz w:val="21"/>
          <w:szCs w:val="21"/>
          <w:lang w:val="es-MX" w:eastAsia="en-US"/>
        </w:rPr>
        <w:t>.[…]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w:t>
      </w:r>
      <w:r w:rsidRPr="00CC306F">
        <w:rPr>
          <w:rFonts w:ascii="Geomanist Light" w:eastAsiaTheme="minorHAnsi" w:hAnsi="Geomanist Light" w:cs="Arial"/>
          <w:sz w:val="22"/>
          <w:szCs w:val="22"/>
          <w:vertAlign w:val="superscript"/>
          <w:lang w:eastAsia="en-US"/>
        </w:rPr>
        <w:footnoteReference w:id="11"/>
      </w:r>
    </w:p>
    <w:p w14:paraId="71730318" w14:textId="28EDE601" w:rsidR="00592634" w:rsidRPr="00CC306F" w:rsidRDefault="003F4A6D" w:rsidP="00174D3B">
      <w:pPr>
        <w:spacing w:after="240" w:line="276" w:lineRule="auto"/>
        <w:ind w:firstLine="709"/>
        <w:jc w:val="both"/>
        <w:rPr>
          <w:rFonts w:ascii="Geomanist Light" w:eastAsia="Calibri" w:hAnsi="Geomanist Light" w:cs="Arial"/>
          <w:sz w:val="22"/>
          <w:szCs w:val="22"/>
          <w:lang w:val="es-MX" w:eastAsia="en-US"/>
        </w:rPr>
      </w:pPr>
      <w:r w:rsidRPr="00CC306F">
        <w:rPr>
          <w:rFonts w:ascii="Geomanist Light" w:eastAsia="Calibri" w:hAnsi="Geomanist Light" w:cs="Arial"/>
          <w:sz w:val="22"/>
          <w:szCs w:val="22"/>
          <w:lang w:val="es-MX" w:eastAsia="en-US"/>
        </w:rPr>
        <w:t xml:space="preserve">En ese orden, a partir del momento de cierre del período para presentar ofertas, y hasta antes de la adjudicación, la entidad cuenta con la oportunidad de solicitar las aclaraciones del caso respecto de aspectos de la propuesta que resulten poco claros, como podría ser el caso de la contradicción de la información presentada por el proponente en los documentos que conforman su oferta.  </w:t>
      </w:r>
    </w:p>
    <w:p w14:paraId="148EE1B8" w14:textId="173B6FC0" w:rsidR="0005632E" w:rsidRPr="00174D3B" w:rsidRDefault="004A6FA0" w:rsidP="004E77FA">
      <w:pPr>
        <w:spacing w:after="240" w:line="276" w:lineRule="auto"/>
        <w:jc w:val="both"/>
        <w:rPr>
          <w:rFonts w:ascii="Geomanist Light" w:eastAsia="Calibri" w:hAnsi="Geomanist Light" w:cs="Arial"/>
          <w:b/>
          <w:bCs/>
          <w:color w:val="000000" w:themeColor="text1"/>
          <w:sz w:val="22"/>
          <w:szCs w:val="22"/>
          <w:lang w:val="es-ES_tradnl"/>
        </w:rPr>
      </w:pPr>
      <w:r w:rsidRPr="00CC306F">
        <w:rPr>
          <w:rFonts w:ascii="Geomanist Light" w:eastAsia="Calibri" w:hAnsi="Geomanist Light" w:cs="Arial"/>
          <w:b/>
          <w:sz w:val="22"/>
          <w:szCs w:val="22"/>
          <w:lang w:val="es-MX" w:eastAsia="en-US"/>
        </w:rPr>
        <w:t xml:space="preserve">2.3. </w:t>
      </w:r>
      <w:r w:rsidR="0005632E" w:rsidRPr="00CC306F">
        <w:rPr>
          <w:rFonts w:ascii="Geomanist Light" w:eastAsia="Calibri" w:hAnsi="Geomanist Light" w:cs="Arial"/>
          <w:b/>
          <w:bCs/>
          <w:color w:val="000000" w:themeColor="text1"/>
          <w:sz w:val="22"/>
          <w:szCs w:val="22"/>
          <w:lang w:val="es-ES_tradnl"/>
        </w:rPr>
        <w:t xml:space="preserve">Vigencia y reglamentación de los criterios diferenciales introducidos por la Ley 2069 de 2020 </w:t>
      </w:r>
    </w:p>
    <w:p w14:paraId="48761155" w14:textId="77777777" w:rsidR="0005632E" w:rsidRPr="00CC306F" w:rsidRDefault="0005632E" w:rsidP="004E77FA">
      <w:pPr>
        <w:spacing w:after="240" w:line="276" w:lineRule="auto"/>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w:t>
      </w:r>
      <w:r w:rsidRPr="00CC306F">
        <w:rPr>
          <w:rFonts w:ascii="Geomanist Light" w:eastAsia="Calibri" w:hAnsi="Geomanist Light" w:cs="Arial"/>
          <w:color w:val="000000" w:themeColor="text1"/>
          <w:sz w:val="22"/>
          <w:szCs w:val="22"/>
          <w:lang w:val="es-ES_tradnl"/>
        </w:rPr>
        <w:lastRenderedPageBreak/>
        <w:t>cumplida ejecución de esta Ley, potestad que fue ejercida mediante la expedición del Decreto 1860 de 2021, al cual se hará referencia más adelante.</w:t>
      </w:r>
    </w:p>
    <w:p w14:paraId="7483BA46" w14:textId="77777777" w:rsidR="0005632E" w:rsidRPr="00CC306F" w:rsidRDefault="0005632E" w:rsidP="004E77FA">
      <w:pPr>
        <w:spacing w:after="240" w:line="276" w:lineRule="auto"/>
        <w:ind w:firstLine="709"/>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CC306F">
        <w:rPr>
          <w:rFonts w:ascii="Geomanist Light" w:eastAsia="Calibri" w:hAnsi="Geomanist Light" w:cs="Arial"/>
          <w:color w:val="000000" w:themeColor="text1"/>
          <w:sz w:val="22"/>
          <w:szCs w:val="22"/>
          <w:vertAlign w:val="superscript"/>
          <w:lang w:val="es-ES_tradnl"/>
        </w:rPr>
        <w:footnoteReference w:id="12"/>
      </w:r>
      <w:r w:rsidRPr="00CC306F">
        <w:rPr>
          <w:rFonts w:ascii="Geomanist Light" w:eastAsia="Calibri" w:hAnsi="Geomanist Light" w:cs="Arial"/>
          <w:color w:val="000000" w:themeColor="text1"/>
          <w:sz w:val="22"/>
          <w:szCs w:val="22"/>
          <w:lang w:val="es-ES_tradnl"/>
        </w:rPr>
        <w:t>. Esto, a partir de «[…] un enfoque regionalizado de acuerdo con las realidades socioeconómicas de cada región». En desarrollo de esta finalidad, se establecen medidas de apoyo para las micro, pequeñas y medianas empresas –</w:t>
      </w:r>
      <w:proofErr w:type="spellStart"/>
      <w:r w:rsidRPr="00CC306F">
        <w:rPr>
          <w:rFonts w:ascii="Geomanist Light" w:eastAsia="Calibri" w:hAnsi="Geomanist Light" w:cs="Arial"/>
          <w:color w:val="000000" w:themeColor="text1"/>
          <w:sz w:val="22"/>
          <w:szCs w:val="22"/>
          <w:lang w:val="es-ES_tradnl"/>
        </w:rPr>
        <w:t>Mipymes</w:t>
      </w:r>
      <w:proofErr w:type="spellEnd"/>
      <w:r w:rsidRPr="00CC306F">
        <w:rPr>
          <w:rFonts w:ascii="Geomanist Light" w:eastAsia="Calibri" w:hAnsi="Geomanist Light" w:cs="Arial"/>
          <w:color w:val="000000" w:themeColor="text1"/>
          <w:sz w:val="22"/>
          <w:szCs w:val="22"/>
          <w:lang w:val="es-ES_tradnl"/>
        </w:rPr>
        <w:t>–, mediante la racionalización y simplificación de los trámites y tarifas</w:t>
      </w:r>
      <w:r w:rsidRPr="00CC306F">
        <w:rPr>
          <w:rStyle w:val="Refdenotaalpie"/>
          <w:rFonts w:ascii="Geomanist Light" w:eastAsia="Calibri" w:hAnsi="Geomanist Light" w:cs="Arial"/>
          <w:color w:val="000000" w:themeColor="text1"/>
          <w:sz w:val="22"/>
          <w:szCs w:val="22"/>
          <w:lang w:val="es-ES_tradnl"/>
        </w:rPr>
        <w:footnoteReference w:id="13"/>
      </w:r>
      <w:r w:rsidRPr="00CC306F">
        <w:rPr>
          <w:rFonts w:ascii="Geomanist Light" w:eastAsia="Calibri" w:hAnsi="Geomanist Light" w:cs="Arial"/>
          <w:color w:val="000000" w:themeColor="text1"/>
          <w:sz w:val="22"/>
          <w:szCs w:val="22"/>
          <w:lang w:val="es-ES_tradnl"/>
        </w:rPr>
        <w:t>, así como incentivos a favor de aquellas dentro del sistema de compras y contratación pública</w:t>
      </w:r>
      <w:r w:rsidRPr="00CC306F">
        <w:rPr>
          <w:rStyle w:val="Refdenotaalpie"/>
          <w:rFonts w:ascii="Geomanist Light" w:eastAsia="Calibri" w:hAnsi="Geomanist Light" w:cs="Arial"/>
          <w:color w:val="000000" w:themeColor="text1"/>
          <w:sz w:val="22"/>
          <w:szCs w:val="22"/>
          <w:lang w:val="es-ES_tradnl"/>
        </w:rPr>
        <w:footnoteReference w:id="14"/>
      </w:r>
      <w:r w:rsidRPr="00CC306F">
        <w:rPr>
          <w:rFonts w:ascii="Geomanist Light" w:eastAsia="Calibri" w:hAnsi="Geomanist Light" w:cs="Arial"/>
          <w:color w:val="000000" w:themeColor="text1"/>
          <w:sz w:val="22"/>
          <w:szCs w:val="22"/>
          <w:lang w:val="es-ES_tradnl"/>
        </w:rPr>
        <w:t>. También se consagran mecanismos de acceso al financiamiento</w:t>
      </w:r>
      <w:r w:rsidRPr="00CC306F">
        <w:rPr>
          <w:rStyle w:val="Refdenotaalpie"/>
          <w:rFonts w:ascii="Geomanist Light" w:eastAsia="Calibri" w:hAnsi="Geomanist Light" w:cs="Arial"/>
          <w:color w:val="000000" w:themeColor="text1"/>
          <w:sz w:val="22"/>
          <w:szCs w:val="22"/>
          <w:lang w:val="es-ES_tradnl"/>
        </w:rPr>
        <w:footnoteReference w:id="15"/>
      </w:r>
      <w:r w:rsidRPr="00CC306F">
        <w:rPr>
          <w:rFonts w:ascii="Geomanist Light" w:eastAsia="Calibri" w:hAnsi="Geomanist Light" w:cs="Arial"/>
          <w:color w:val="000000" w:themeColor="text1"/>
          <w:sz w:val="22"/>
          <w:szCs w:val="22"/>
          <w:lang w:val="es-ES_tradnl"/>
        </w:rPr>
        <w:t>, se unifican las fuentes de emprendimiento y de desarrollo empresarial, para fortalecer y promover los distintos sectores de la economía</w:t>
      </w:r>
      <w:r w:rsidRPr="00CC306F">
        <w:rPr>
          <w:rStyle w:val="Refdenotaalpie"/>
          <w:rFonts w:ascii="Geomanist Light" w:eastAsia="Calibri" w:hAnsi="Geomanist Light" w:cs="Arial"/>
          <w:color w:val="000000" w:themeColor="text1"/>
          <w:sz w:val="22"/>
          <w:szCs w:val="22"/>
          <w:lang w:val="es-ES_tradnl"/>
        </w:rPr>
        <w:footnoteReference w:id="16"/>
      </w:r>
      <w:r w:rsidRPr="00CC306F">
        <w:rPr>
          <w:rFonts w:ascii="Geomanist Light" w:eastAsia="Calibri" w:hAnsi="Geomanist Light" w:cs="Arial"/>
          <w:color w:val="000000" w:themeColor="text1"/>
          <w:sz w:val="22"/>
          <w:szCs w:val="22"/>
          <w:lang w:val="es-ES_tradnl"/>
        </w:rPr>
        <w:t xml:space="preserve"> y se prevén medidas de educación para el emprendimiento y la innovación</w:t>
      </w:r>
      <w:r w:rsidRPr="00CC306F">
        <w:rPr>
          <w:rStyle w:val="Refdenotaalpie"/>
          <w:rFonts w:ascii="Geomanist Light" w:eastAsia="Calibri" w:hAnsi="Geomanist Light" w:cs="Arial"/>
          <w:color w:val="000000" w:themeColor="text1"/>
          <w:sz w:val="22"/>
          <w:szCs w:val="22"/>
          <w:lang w:val="es-ES_tradnl"/>
        </w:rPr>
        <w:footnoteReference w:id="17"/>
      </w:r>
      <w:r w:rsidRPr="00CC306F">
        <w:rPr>
          <w:rFonts w:ascii="Geomanist Light" w:eastAsia="Calibri" w:hAnsi="Geomanist Light" w:cs="Arial"/>
          <w:color w:val="000000" w:themeColor="text1"/>
          <w:sz w:val="22"/>
          <w:szCs w:val="22"/>
          <w:lang w:val="es-ES_tradnl"/>
        </w:rPr>
        <w:t>.</w:t>
      </w:r>
    </w:p>
    <w:p w14:paraId="7C8E0BCF" w14:textId="77777777" w:rsidR="0005632E" w:rsidRPr="00CC306F" w:rsidRDefault="0005632E" w:rsidP="004E77FA">
      <w:pPr>
        <w:spacing w:after="240" w:line="276" w:lineRule="auto"/>
        <w:ind w:firstLine="709"/>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proofErr w:type="spellStart"/>
      <w:r w:rsidRPr="00CC306F">
        <w:rPr>
          <w:rFonts w:ascii="Geomanist Light" w:eastAsia="Calibri" w:hAnsi="Geomanist Light" w:cs="Arial"/>
          <w:color w:val="000000" w:themeColor="text1"/>
          <w:sz w:val="22"/>
          <w:szCs w:val="22"/>
          <w:lang w:val="es-ES_tradnl"/>
        </w:rPr>
        <w:t>Mipymes</w:t>
      </w:r>
      <w:proofErr w:type="spellEnd"/>
      <w:r w:rsidRPr="00CC306F">
        <w:rPr>
          <w:rFonts w:ascii="Geomanist Light" w:eastAsia="Calibri" w:hAnsi="Geomanist Light" w:cs="Arial"/>
          <w:color w:val="000000" w:themeColor="text1"/>
          <w:sz w:val="22"/>
          <w:szCs w:val="22"/>
          <w:lang w:val="es-ES_tradnl"/>
        </w:rPr>
        <w:t xml:space="preserve"> en el procedimiento de mínima cuantía, ii) criterios diferenciales para </w:t>
      </w:r>
      <w:proofErr w:type="spellStart"/>
      <w:r w:rsidRPr="00CC306F">
        <w:rPr>
          <w:rFonts w:ascii="Geomanist Light" w:eastAsia="Calibri" w:hAnsi="Geomanist Light" w:cs="Arial"/>
          <w:color w:val="000000" w:themeColor="text1"/>
          <w:sz w:val="22"/>
          <w:szCs w:val="22"/>
          <w:lang w:val="es-ES_tradnl"/>
        </w:rPr>
        <w:t>Mipymes</w:t>
      </w:r>
      <w:proofErr w:type="spellEnd"/>
      <w:r w:rsidRPr="00CC306F">
        <w:rPr>
          <w:rFonts w:ascii="Geomanist Light" w:eastAsia="Calibri" w:hAnsi="Geomanist Light"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CC306F">
        <w:rPr>
          <w:rFonts w:ascii="Geomanist Light" w:eastAsia="Calibri" w:hAnsi="Geomanist Light" w:cs="Arial"/>
          <w:color w:val="000000" w:themeColor="text1"/>
          <w:sz w:val="22"/>
          <w:szCs w:val="22"/>
          <w:lang w:val="es-ES_tradnl"/>
        </w:rPr>
        <w:t>Mipymes</w:t>
      </w:r>
      <w:proofErr w:type="spellEnd"/>
      <w:r w:rsidRPr="00CC306F">
        <w:rPr>
          <w:rFonts w:ascii="Geomanist Light" w:eastAsia="Calibri" w:hAnsi="Geomanist Light"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CC306F">
        <w:rPr>
          <w:rStyle w:val="Refdenotaalpie"/>
          <w:rFonts w:ascii="Geomanist Light" w:eastAsia="Calibri" w:hAnsi="Geomanist Light" w:cs="Arial"/>
          <w:color w:val="000000" w:themeColor="text1"/>
          <w:sz w:val="22"/>
          <w:szCs w:val="22"/>
          <w:lang w:val="es-ES_tradnl"/>
        </w:rPr>
        <w:footnoteReference w:id="18"/>
      </w:r>
      <w:r w:rsidRPr="00CC306F">
        <w:rPr>
          <w:rFonts w:ascii="Geomanist Light" w:eastAsia="Calibri" w:hAnsi="Geomanist Light" w:cs="Arial"/>
          <w:color w:val="000000" w:themeColor="text1"/>
          <w:sz w:val="22"/>
          <w:szCs w:val="22"/>
          <w:lang w:val="es-ES_tradnl"/>
        </w:rPr>
        <w:t xml:space="preserve">. </w:t>
      </w:r>
    </w:p>
    <w:p w14:paraId="7067F21E" w14:textId="77777777" w:rsidR="0005632E" w:rsidRPr="00CC306F" w:rsidRDefault="0005632E" w:rsidP="004E77FA">
      <w:pPr>
        <w:tabs>
          <w:tab w:val="left" w:pos="709"/>
        </w:tabs>
        <w:spacing w:after="240" w:line="276" w:lineRule="auto"/>
        <w:ind w:firstLine="709"/>
        <w:jc w:val="both"/>
        <w:rPr>
          <w:rFonts w:ascii="Geomanist Light" w:eastAsia="Calibri" w:hAnsi="Geomanist Light" w:cs="Arial"/>
          <w:bCs/>
          <w:color w:val="000000" w:themeColor="text1"/>
          <w:sz w:val="22"/>
          <w:szCs w:val="22"/>
        </w:rPr>
      </w:pPr>
      <w:r w:rsidRPr="00CC306F">
        <w:rPr>
          <w:rFonts w:ascii="Geomanist Light" w:eastAsia="Calibri" w:hAnsi="Geomanist Light" w:cs="Arial"/>
          <w:bCs/>
          <w:color w:val="000000" w:themeColor="text1"/>
          <w:sz w:val="22"/>
          <w:szCs w:val="22"/>
        </w:rPr>
        <w:t xml:space="preserve">Dentro del referido capítulo se encuentran </w:t>
      </w:r>
      <w:bookmarkStart w:id="16" w:name="_Hlk63848566"/>
      <w:r w:rsidRPr="00CC306F">
        <w:rPr>
          <w:rFonts w:ascii="Geomanist Light" w:eastAsia="Calibri" w:hAnsi="Geomanist Light" w:cs="Arial"/>
          <w:bCs/>
          <w:color w:val="000000" w:themeColor="text1"/>
          <w:sz w:val="22"/>
          <w:szCs w:val="22"/>
        </w:rPr>
        <w:t>los artículos 31 y 32 de la Ley 2069 de 2020</w:t>
      </w:r>
      <w:bookmarkEnd w:id="16"/>
      <w:r w:rsidRPr="00CC306F">
        <w:rPr>
          <w:rFonts w:ascii="Geomanist Light" w:eastAsia="Calibri" w:hAnsi="Geomanist Light" w:cs="Arial"/>
          <w:bCs/>
          <w:color w:val="000000" w:themeColor="text1"/>
          <w:sz w:val="22"/>
          <w:szCs w:val="22"/>
        </w:rPr>
        <w:t xml:space="preserve">, los cuales crean una serie de incentivos para las personas interesadas en celebrar contratos con el Estado. </w:t>
      </w:r>
      <w:r w:rsidRPr="00CC306F">
        <w:rPr>
          <w:rFonts w:ascii="Geomanist Light" w:eastAsia="Calibri" w:hAnsi="Geomanist Light" w:cs="Arial"/>
          <w:bCs/>
          <w:color w:val="000000" w:themeColor="text1"/>
          <w:sz w:val="22"/>
          <w:szCs w:val="22"/>
          <w:lang w:val="es-ES_tradnl"/>
        </w:rPr>
        <w:t xml:space="preserve">Por un lado, el artículo 31 </w:t>
      </w:r>
      <w:r w:rsidRPr="00CC306F">
        <w:rPr>
          <w:rFonts w:ascii="Geomanist Light" w:eastAsia="Calibri" w:hAnsi="Geomanist Light" w:cs="Arial"/>
          <w:bCs/>
          <w:color w:val="000000" w:themeColor="text1"/>
          <w:sz w:val="22"/>
          <w:szCs w:val="22"/>
        </w:rPr>
        <w:t xml:space="preserve">introduce criterios diferenciales para el acceso de las </w:t>
      </w:r>
      <w:proofErr w:type="spellStart"/>
      <w:r w:rsidRPr="00CC306F">
        <w:rPr>
          <w:rFonts w:ascii="Geomanist Light" w:eastAsia="Calibri" w:hAnsi="Geomanist Light" w:cs="Arial"/>
          <w:bCs/>
          <w:color w:val="000000" w:themeColor="text1"/>
          <w:sz w:val="22"/>
          <w:szCs w:val="22"/>
        </w:rPr>
        <w:t>Mipymes</w:t>
      </w:r>
      <w:proofErr w:type="spellEnd"/>
      <w:r w:rsidRPr="00CC306F">
        <w:rPr>
          <w:rFonts w:ascii="Geomanist Light" w:eastAsia="Calibri" w:hAnsi="Geomanist Light" w:cs="Arial"/>
          <w:bCs/>
          <w:color w:val="000000" w:themeColor="text1"/>
          <w:sz w:val="22"/>
          <w:szCs w:val="22"/>
        </w:rPr>
        <w:t xml:space="preserve"> al sistema de compras y contratación pública, estableciendo que «Las Entidades Estatales de acuerdo con el análisis de Sector </w:t>
      </w:r>
      <w:bookmarkStart w:id="17" w:name="_Hlk63767562"/>
      <w:r w:rsidRPr="00CC306F">
        <w:rPr>
          <w:rFonts w:ascii="Geomanist Light" w:eastAsia="Calibri" w:hAnsi="Geomanist Light" w:cs="Arial"/>
          <w:bCs/>
          <w:color w:val="000000" w:themeColor="text1"/>
          <w:sz w:val="22"/>
          <w:szCs w:val="22"/>
        </w:rPr>
        <w:t xml:space="preserve">podrán incluir, en los Documentos del Proceso, </w:t>
      </w:r>
      <w:r w:rsidRPr="00CC306F">
        <w:rPr>
          <w:rFonts w:ascii="Geomanist Light" w:eastAsia="Calibri" w:hAnsi="Geomanist Light" w:cs="Arial"/>
          <w:bCs/>
          <w:color w:val="000000" w:themeColor="text1"/>
          <w:sz w:val="22"/>
          <w:szCs w:val="22"/>
        </w:rPr>
        <w:lastRenderedPageBreak/>
        <w:t>requisitos diferenciales y puntajes adicionales</w:t>
      </w:r>
      <w:bookmarkEnd w:id="17"/>
      <w:r w:rsidRPr="00CC306F">
        <w:rPr>
          <w:rFonts w:ascii="Geomanist Light" w:eastAsia="Calibri" w:hAnsi="Geomanist Light" w:cs="Arial"/>
          <w:bCs/>
          <w:color w:val="000000" w:themeColor="text1"/>
          <w:sz w:val="22"/>
          <w:szCs w:val="22"/>
        </w:rPr>
        <w:t xml:space="preserve">, en función del tamaño empresarial para la promoción del acceso de las MIPYMES al mercado de Compras Públicas».  </w:t>
      </w:r>
    </w:p>
    <w:p w14:paraId="5EC054B8" w14:textId="77777777" w:rsidR="0005632E" w:rsidRPr="00CC306F" w:rsidRDefault="0005632E" w:rsidP="004E77FA">
      <w:pPr>
        <w:tabs>
          <w:tab w:val="left" w:pos="709"/>
        </w:tabs>
        <w:spacing w:after="240" w:line="276" w:lineRule="auto"/>
        <w:ind w:firstLine="709"/>
        <w:jc w:val="both"/>
        <w:rPr>
          <w:rFonts w:ascii="Geomanist Light" w:eastAsia="Calibri" w:hAnsi="Geomanist Light" w:cs="Arial"/>
          <w:bCs/>
          <w:color w:val="000000" w:themeColor="text1"/>
          <w:sz w:val="22"/>
          <w:szCs w:val="22"/>
        </w:rPr>
      </w:pPr>
      <w:r w:rsidRPr="00CC306F">
        <w:rPr>
          <w:rFonts w:ascii="Geomanist Light" w:eastAsia="Calibri" w:hAnsi="Geomanist Light" w:cs="Arial"/>
          <w:bCs/>
          <w:color w:val="000000" w:themeColor="text1"/>
          <w:sz w:val="22"/>
          <w:szCs w:val="22"/>
        </w:rPr>
        <w:t xml:space="preserve">Además, el inciso segundo y el parágrafo del </w:t>
      </w:r>
      <w:r w:rsidRPr="00CC306F">
        <w:rPr>
          <w:rFonts w:ascii="Geomanist Light" w:eastAsia="Calibri" w:hAnsi="Geomanist Light" w:cs="Arial"/>
          <w:bCs/>
          <w:color w:val="000000" w:themeColor="text1"/>
          <w:sz w:val="22"/>
          <w:szCs w:val="22"/>
          <w:lang w:val="es-ES_tradnl"/>
        </w:rPr>
        <w:t xml:space="preserve">artículo 31 </w:t>
      </w:r>
      <w:r w:rsidRPr="00CC306F">
        <w:rPr>
          <w:rFonts w:ascii="Geomanist Light" w:eastAsia="Calibri" w:hAnsi="Geomanist Light" w:cs="Arial"/>
          <w:bCs/>
          <w:color w:val="000000" w:themeColor="text1"/>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37EFF5F" w14:textId="77777777" w:rsidR="0005632E" w:rsidRPr="00CC306F" w:rsidRDefault="0005632E" w:rsidP="004E77FA">
      <w:pPr>
        <w:tabs>
          <w:tab w:val="left" w:pos="709"/>
        </w:tabs>
        <w:spacing w:after="240" w:line="276" w:lineRule="auto"/>
        <w:ind w:firstLine="709"/>
        <w:jc w:val="both"/>
        <w:rPr>
          <w:rFonts w:ascii="Geomanist Light" w:eastAsia="Calibri" w:hAnsi="Geomanist Light" w:cs="Arial"/>
          <w:bCs/>
          <w:color w:val="000000" w:themeColor="text1"/>
          <w:sz w:val="22"/>
        </w:rPr>
      </w:pPr>
      <w:r w:rsidRPr="00CC306F">
        <w:rPr>
          <w:rFonts w:ascii="Geomanist Light" w:eastAsia="Calibri" w:hAnsi="Geomanist Light" w:cs="Arial"/>
          <w:bCs/>
          <w:color w:val="000000" w:themeColor="text1"/>
          <w:sz w:val="22"/>
        </w:rPr>
        <w:t>Por otra parte, el artículo 32 de la Ley 2069 de 2020</w:t>
      </w:r>
      <w:r w:rsidRPr="00CC306F">
        <w:rPr>
          <w:rStyle w:val="Refdenotaalpie"/>
          <w:rFonts w:ascii="Geomanist Light" w:eastAsia="Calibri" w:hAnsi="Geomanist Light" w:cs="Arial"/>
          <w:bCs/>
          <w:color w:val="000000" w:themeColor="text1"/>
          <w:sz w:val="22"/>
        </w:rPr>
        <w:footnoteReference w:id="19"/>
      </w:r>
      <w:r w:rsidRPr="00CC306F">
        <w:rPr>
          <w:rFonts w:ascii="Geomanist Light" w:eastAsia="Calibri" w:hAnsi="Geomanist Light"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0A17A1E7" w14:textId="77777777" w:rsidR="0005632E" w:rsidRPr="00CC306F" w:rsidRDefault="0005632E" w:rsidP="004E77FA">
      <w:pPr>
        <w:tabs>
          <w:tab w:val="left" w:pos="709"/>
        </w:tabs>
        <w:spacing w:after="240"/>
        <w:ind w:left="709" w:right="709"/>
        <w:contextualSpacing/>
        <w:jc w:val="both"/>
        <w:rPr>
          <w:rFonts w:ascii="Geomanist Light" w:eastAsia="Calibri" w:hAnsi="Geomanist Light" w:cs="Arial"/>
          <w:bCs/>
          <w:color w:val="000000" w:themeColor="text1"/>
          <w:sz w:val="21"/>
          <w:szCs w:val="21"/>
        </w:rPr>
      </w:pPr>
      <w:r w:rsidRPr="00CC306F">
        <w:rPr>
          <w:rFonts w:ascii="Geomanist Light" w:eastAsia="Calibri" w:hAnsi="Geomanist Light" w:cs="Arial"/>
          <w:bCs/>
          <w:color w:val="000000" w:themeColor="text1"/>
          <w:sz w:val="21"/>
          <w:szCs w:val="21"/>
        </w:rPr>
        <w:t xml:space="preserve">«De acuerdo con el resultado del análisis del sector, las entidades estatales incluirán requisitos diferenciales y puntajes adicionales en los procesos de </w:t>
      </w:r>
      <w:bookmarkStart w:id="18" w:name="_Hlk63770487"/>
      <w:r w:rsidRPr="00CC306F">
        <w:rPr>
          <w:rFonts w:ascii="Geomanist Light" w:eastAsia="Calibri" w:hAnsi="Geomanist Light" w:cs="Arial"/>
          <w:bCs/>
          <w:color w:val="000000" w:themeColor="text1"/>
          <w:sz w:val="21"/>
          <w:szCs w:val="21"/>
        </w:rPr>
        <w:t>licitación pública, selección abreviada de menor cuantía y concurso de méritos</w:t>
      </w:r>
      <w:bookmarkEnd w:id="18"/>
      <w:r w:rsidRPr="00CC306F">
        <w:rPr>
          <w:rFonts w:ascii="Geomanist Light" w:eastAsia="Calibri" w:hAnsi="Geomanist Light" w:cs="Arial"/>
          <w:bCs/>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7AACBD9" w14:textId="77777777" w:rsidR="0005632E" w:rsidRPr="00CC306F" w:rsidRDefault="0005632E" w:rsidP="004E77FA">
      <w:pPr>
        <w:tabs>
          <w:tab w:val="left" w:pos="709"/>
        </w:tabs>
        <w:spacing w:after="240" w:line="276" w:lineRule="auto"/>
        <w:ind w:left="709" w:right="709"/>
        <w:contextualSpacing/>
        <w:jc w:val="both"/>
        <w:rPr>
          <w:rFonts w:ascii="Geomanist Light" w:eastAsia="Calibri" w:hAnsi="Geomanist Light" w:cs="Arial"/>
          <w:bCs/>
          <w:color w:val="000000" w:themeColor="text1"/>
          <w:sz w:val="22"/>
        </w:rPr>
      </w:pPr>
    </w:p>
    <w:p w14:paraId="7E5B0EC2" w14:textId="77777777" w:rsidR="0005632E" w:rsidRPr="00CC306F" w:rsidRDefault="0005632E" w:rsidP="004E77FA">
      <w:pPr>
        <w:tabs>
          <w:tab w:val="left" w:pos="709"/>
        </w:tabs>
        <w:spacing w:after="240" w:line="276" w:lineRule="auto"/>
        <w:ind w:firstLine="709"/>
        <w:jc w:val="both"/>
        <w:rPr>
          <w:rFonts w:ascii="Geomanist Light" w:eastAsia="Calibri" w:hAnsi="Geomanist Light" w:cs="Arial"/>
          <w:bCs/>
          <w:color w:val="000000" w:themeColor="text1"/>
          <w:sz w:val="22"/>
        </w:rPr>
      </w:pPr>
      <w:r w:rsidRPr="00CC306F">
        <w:rPr>
          <w:rFonts w:ascii="Geomanist Light" w:eastAsia="Calibri" w:hAnsi="Geomanist Light" w:cs="Arial"/>
          <w:bCs/>
          <w:color w:val="000000" w:themeColor="text1"/>
          <w:sz w:val="22"/>
        </w:rPr>
        <w:t xml:space="preserve">De esta manera, los denominados «criterios diferenciales» del artículo 32 </w:t>
      </w:r>
      <w:r w:rsidRPr="00CC306F">
        <w:rPr>
          <w:rFonts w:ascii="Geomanist Light" w:eastAsia="Calibri" w:hAnsi="Geomanist Light" w:cs="Arial"/>
          <w:bCs/>
          <w:i/>
          <w:iCs/>
          <w:color w:val="000000" w:themeColor="text1"/>
          <w:sz w:val="22"/>
        </w:rPr>
        <w:t>ibidem</w:t>
      </w:r>
      <w:r w:rsidRPr="00CC306F">
        <w:rPr>
          <w:rFonts w:ascii="Geomanist Light" w:eastAsia="Calibri" w:hAnsi="Geomanist Light"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06521AE5" w14:textId="77777777" w:rsidR="0005632E" w:rsidRPr="00CC306F" w:rsidRDefault="0005632E" w:rsidP="004E77FA">
      <w:pPr>
        <w:spacing w:after="240" w:line="276" w:lineRule="auto"/>
        <w:ind w:firstLine="709"/>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bCs/>
          <w:color w:val="000000" w:themeColor="text1"/>
          <w:sz w:val="22"/>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mujeres y </w:t>
      </w:r>
      <w:r w:rsidRPr="00CC306F">
        <w:rPr>
          <w:rFonts w:ascii="Geomanist Light" w:eastAsia="Calibri" w:hAnsi="Geomanist Light" w:cs="Arial"/>
          <w:bCs/>
          <w:color w:val="000000" w:themeColor="text1"/>
          <w:sz w:val="22"/>
        </w:rPr>
        <w:lastRenderedPageBreak/>
        <w:t xml:space="preserve">emprendimientos de mujeres está condicionada por el ejercicio de la potestad reglamentaria, en orden de establecer la regulación en marco de la cual las entidades estatales deben aplicar los criterios diferenciales establecidos en el artículo 32 de la Ley 2069 de 2020. </w:t>
      </w:r>
    </w:p>
    <w:p w14:paraId="16DE84C2" w14:textId="77777777" w:rsidR="0005632E" w:rsidRPr="00CC306F" w:rsidRDefault="0005632E" w:rsidP="004E77FA">
      <w:pPr>
        <w:spacing w:after="240" w:line="276" w:lineRule="auto"/>
        <w:ind w:firstLine="709"/>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color w:val="000000" w:themeColor="text1"/>
          <w:sz w:val="22"/>
          <w:szCs w:val="22"/>
          <w:lang w:val="es-ES_tradnl"/>
        </w:rPr>
        <w:t>En este contexto, el pasado 24 de diciembre, el gobierno nacional expidió el Decreto 1860 de 2021</w:t>
      </w:r>
      <w:r w:rsidRPr="00CC306F">
        <w:rPr>
          <w:rFonts w:ascii="Geomanist Light" w:hAnsi="Geomanist Light" w:cs="Arial"/>
          <w:color w:val="000000" w:themeColor="text1"/>
        </w:rPr>
        <w:t xml:space="preserve"> </w:t>
      </w:r>
      <w:r w:rsidRPr="00CC306F">
        <w:rPr>
          <w:rFonts w:ascii="Geomanist Light" w:eastAsia="Calibri" w:hAnsi="Geomanist Light"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CC306F">
        <w:rPr>
          <w:rStyle w:val="Refdenotaalpie"/>
          <w:rFonts w:ascii="Geomanist Light" w:eastAsia="Calibri" w:hAnsi="Geomanist Light" w:cs="Arial"/>
          <w:color w:val="000000" w:themeColor="text1"/>
          <w:sz w:val="22"/>
          <w:szCs w:val="22"/>
          <w:lang w:val="es-ES_tradnl"/>
        </w:rPr>
        <w:footnoteReference w:id="20"/>
      </w:r>
      <w:r w:rsidRPr="00CC306F">
        <w:rPr>
          <w:rFonts w:ascii="Geomanist Light" w:eastAsia="Calibri" w:hAnsi="Geomanist Light" w:cs="Arial"/>
          <w:color w:val="000000" w:themeColor="text1"/>
          <w:sz w:val="22"/>
          <w:szCs w:val="22"/>
          <w:lang w:val="es-ES_tradnl"/>
        </w:rPr>
        <w:t xml:space="preserve">.  </w:t>
      </w:r>
    </w:p>
    <w:p w14:paraId="7197B77A" w14:textId="77777777" w:rsidR="0005632E" w:rsidRPr="00CC306F" w:rsidRDefault="0005632E" w:rsidP="004E77FA">
      <w:pPr>
        <w:spacing w:after="240" w:line="276" w:lineRule="auto"/>
        <w:ind w:firstLine="709"/>
        <w:jc w:val="both"/>
        <w:rPr>
          <w:rFonts w:ascii="Geomanist Light" w:hAnsi="Geomanist Light" w:cs="Arial"/>
          <w:color w:val="000000" w:themeColor="text1"/>
          <w:sz w:val="22"/>
          <w:szCs w:val="22"/>
          <w:lang w:eastAsia="es-CO"/>
        </w:rPr>
      </w:pPr>
      <w:r w:rsidRPr="00CC306F">
        <w:rPr>
          <w:rFonts w:ascii="Geomanist Light" w:eastAsia="Calibri" w:hAnsi="Geomanist Light" w:cs="Arial"/>
          <w:color w:val="000000" w:themeColor="text1"/>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466BB94" w14:textId="77777777" w:rsidR="0005632E" w:rsidRPr="00CC306F" w:rsidRDefault="0005632E" w:rsidP="004E77FA">
      <w:pPr>
        <w:spacing w:after="240" w:line="276" w:lineRule="auto"/>
        <w:ind w:firstLine="709"/>
        <w:jc w:val="both"/>
        <w:rPr>
          <w:rFonts w:ascii="Geomanist Light" w:hAnsi="Geomanist Light" w:cs="Arial"/>
          <w:color w:val="000000" w:themeColor="text1"/>
          <w:sz w:val="22"/>
          <w:szCs w:val="22"/>
          <w:lang w:eastAsia="es-CO"/>
        </w:rPr>
      </w:pPr>
      <w:r w:rsidRPr="00CC306F">
        <w:rPr>
          <w:rFonts w:ascii="Geomanist Light" w:hAnsi="Geomanist Light" w:cs="Arial"/>
          <w:color w:val="000000" w:themeColor="text1"/>
          <w:sz w:val="22"/>
          <w:szCs w:val="22"/>
          <w:lang w:eastAsia="es-CO"/>
        </w:rPr>
        <w:t xml:space="preserve">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comenzó una vez transcurridos tres (3) meses contados a partir de entonces, en los procesos cuyos avisos de convocatorias, invitaciones o documentos equivalentes </w:t>
      </w:r>
      <w:r w:rsidRPr="00CC306F">
        <w:rPr>
          <w:rFonts w:ascii="Geomanist Light" w:eastAsia="Arial" w:hAnsi="Geomanist Light" w:cs="Arial"/>
          <w:sz w:val="22"/>
          <w:szCs w:val="22"/>
          <w:lang w:val="es-ES" w:eastAsia="es-CO"/>
        </w:rPr>
        <w:t>–según corresponda–</w:t>
      </w:r>
      <w:r w:rsidRPr="00CC306F">
        <w:rPr>
          <w:rFonts w:ascii="Geomanist Light" w:hAnsi="Geomanist Light" w:cs="Arial"/>
          <w:color w:val="000000" w:themeColor="text1"/>
          <w:sz w:val="22"/>
          <w:szCs w:val="22"/>
          <w:lang w:eastAsia="es-CO"/>
        </w:rPr>
        <w:t xml:space="preserve"> sean publicados con posterioridad a dicho momento, es decir, a partir del 24 de marzo de 2022, por lo que actualmente esta es la regulación vigente</w:t>
      </w:r>
      <w:r w:rsidRPr="00CC306F">
        <w:rPr>
          <w:rStyle w:val="Refdenotaalpie"/>
          <w:rFonts w:ascii="Geomanist Light" w:hAnsi="Geomanist Light" w:cs="Arial"/>
          <w:color w:val="000000" w:themeColor="text1"/>
          <w:sz w:val="22"/>
          <w:szCs w:val="22"/>
          <w:lang w:eastAsia="es-CO"/>
        </w:rPr>
        <w:footnoteReference w:id="21"/>
      </w:r>
      <w:r w:rsidRPr="00CC306F">
        <w:rPr>
          <w:rFonts w:ascii="Geomanist Light" w:hAnsi="Geomanist Light" w:cs="Arial"/>
          <w:color w:val="000000" w:themeColor="text1"/>
          <w:sz w:val="22"/>
          <w:szCs w:val="22"/>
          <w:lang w:eastAsia="es-CO"/>
        </w:rPr>
        <w:t xml:space="preserve">. </w:t>
      </w:r>
    </w:p>
    <w:p w14:paraId="54370B22" w14:textId="77777777" w:rsidR="0005632E" w:rsidRPr="00CC306F" w:rsidRDefault="0005632E" w:rsidP="004E77FA">
      <w:pPr>
        <w:spacing w:after="240" w:line="276" w:lineRule="auto"/>
        <w:ind w:firstLine="709"/>
        <w:contextualSpacing/>
        <w:jc w:val="both"/>
        <w:rPr>
          <w:rFonts w:ascii="Geomanist Light" w:hAnsi="Geomanist Light" w:cs="Arial"/>
          <w:color w:val="000000" w:themeColor="text1"/>
          <w:sz w:val="22"/>
          <w:szCs w:val="22"/>
          <w:lang w:eastAsia="es-CO"/>
        </w:rPr>
      </w:pPr>
    </w:p>
    <w:p w14:paraId="5EB3068B" w14:textId="037864C5" w:rsidR="0005632E" w:rsidRPr="00CC306F" w:rsidRDefault="0005632E" w:rsidP="004E77FA">
      <w:pPr>
        <w:spacing w:after="240" w:line="276" w:lineRule="auto"/>
        <w:contextualSpacing/>
        <w:jc w:val="both"/>
        <w:rPr>
          <w:rFonts w:ascii="Geomanist Light" w:eastAsia="Calibri" w:hAnsi="Geomanist Light" w:cs="Arial"/>
          <w:b/>
          <w:bCs/>
          <w:color w:val="000000" w:themeColor="text1"/>
          <w:sz w:val="22"/>
          <w:szCs w:val="22"/>
          <w:lang w:val="es-ES_tradnl"/>
        </w:rPr>
      </w:pPr>
      <w:r w:rsidRPr="00CC306F">
        <w:rPr>
          <w:rFonts w:ascii="Geomanist Light" w:eastAsia="Calibri" w:hAnsi="Geomanist Light" w:cs="Arial"/>
          <w:b/>
          <w:bCs/>
          <w:color w:val="000000" w:themeColor="text1"/>
          <w:sz w:val="22"/>
          <w:szCs w:val="22"/>
          <w:lang w:val="es-ES_tradnl"/>
        </w:rPr>
        <w:lastRenderedPageBreak/>
        <w:t>2.</w:t>
      </w:r>
      <w:r w:rsidR="002F3E7B" w:rsidRPr="00CC306F">
        <w:rPr>
          <w:rFonts w:ascii="Geomanist Light" w:eastAsia="Calibri" w:hAnsi="Geomanist Light" w:cs="Arial"/>
          <w:b/>
          <w:bCs/>
          <w:color w:val="000000" w:themeColor="text1"/>
          <w:sz w:val="22"/>
          <w:szCs w:val="22"/>
          <w:lang w:val="es-ES_tradnl"/>
        </w:rPr>
        <w:t>4</w:t>
      </w:r>
      <w:r w:rsidRPr="00CC306F">
        <w:rPr>
          <w:rFonts w:ascii="Geomanist Light" w:eastAsia="Calibri" w:hAnsi="Geomanist Light" w:cs="Arial"/>
          <w:b/>
          <w:bCs/>
          <w:color w:val="000000" w:themeColor="text1"/>
          <w:sz w:val="22"/>
          <w:szCs w:val="22"/>
          <w:lang w:val="es-ES_tradnl"/>
        </w:rPr>
        <w:t xml:space="preserve">. Definición de emprendimientos y empresas de mujeres en el Decreto 1860 de 2021. Acreditación de criterios establecidos en el artículo </w:t>
      </w:r>
      <w:r w:rsidRPr="00CC306F">
        <w:rPr>
          <w:rFonts w:ascii="Geomanist Light" w:eastAsia="Calibri" w:hAnsi="Geomanist Light" w:cs="Arial"/>
          <w:b/>
          <w:bCs/>
          <w:color w:val="000000" w:themeColor="text1"/>
          <w:sz w:val="22"/>
          <w:szCs w:val="22"/>
        </w:rPr>
        <w:t xml:space="preserve">2.2.1.2.4.2.14 del Decreto 1082 de 2015 </w:t>
      </w:r>
    </w:p>
    <w:p w14:paraId="150EF19E" w14:textId="77777777" w:rsidR="0005632E" w:rsidRPr="00CC306F" w:rsidRDefault="0005632E" w:rsidP="004E77FA">
      <w:pPr>
        <w:spacing w:after="240" w:line="276" w:lineRule="auto"/>
        <w:contextualSpacing/>
        <w:jc w:val="both"/>
        <w:rPr>
          <w:rFonts w:ascii="Geomanist Light" w:eastAsia="Calibri" w:hAnsi="Geomanist Light" w:cs="Arial"/>
          <w:b/>
          <w:bCs/>
          <w:color w:val="000000" w:themeColor="text1"/>
          <w:sz w:val="22"/>
          <w:szCs w:val="22"/>
          <w:lang w:val="es-ES_tradnl"/>
        </w:rPr>
      </w:pPr>
    </w:p>
    <w:p w14:paraId="7957FC2F" w14:textId="77777777" w:rsidR="0005632E" w:rsidRPr="00CC306F" w:rsidRDefault="0005632E" w:rsidP="004E77FA">
      <w:pPr>
        <w:spacing w:after="240" w:line="276" w:lineRule="auto"/>
        <w:jc w:val="both"/>
        <w:rPr>
          <w:rFonts w:ascii="Geomanist Light" w:eastAsia="Calibri" w:hAnsi="Geomanist Light" w:cs="Arial"/>
          <w:color w:val="000000" w:themeColor="text1"/>
          <w:sz w:val="22"/>
          <w:szCs w:val="22"/>
          <w:lang w:val="es-ES_tradnl"/>
        </w:rPr>
      </w:pPr>
      <w:r w:rsidRPr="00CC306F">
        <w:rPr>
          <w:rFonts w:ascii="Geomanist Light" w:eastAsia="Calibri" w:hAnsi="Geomanist Light" w:cs="Arial"/>
          <w:color w:val="000000" w:themeColor="text1"/>
          <w:sz w:val="22"/>
          <w:szCs w:val="22"/>
          <w:lang w:val="es-ES_tradnl"/>
        </w:rPr>
        <w:t xml:space="preserve">Conforme se viene explicando, el artículo 32 de la Ley 2069 de 2021 establece el deber de las entidades estatales de incluir </w:t>
      </w:r>
      <w:r w:rsidRPr="00CC306F">
        <w:rPr>
          <w:rStyle w:val="normaltextrun"/>
          <w:rFonts w:ascii="Geomanist Light" w:hAnsi="Geomanist Light" w:cs="Arial"/>
          <w:color w:val="000000" w:themeColor="text1"/>
          <w:sz w:val="22"/>
          <w:szCs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habilitantes diferenciales y puntajes adicionales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2725B2F1" w14:textId="317D80EC" w:rsidR="0005632E" w:rsidRPr="003D4FAA" w:rsidRDefault="0005632E" w:rsidP="003D4FAA">
      <w:pPr>
        <w:spacing w:after="240" w:line="276" w:lineRule="auto"/>
        <w:ind w:firstLine="709"/>
        <w:jc w:val="both"/>
        <w:rPr>
          <w:rFonts w:ascii="Geomanist Light" w:eastAsia="Calibri" w:hAnsi="Geomanist Light" w:cs="Arial"/>
          <w:color w:val="000000" w:themeColor="text1"/>
          <w:sz w:val="22"/>
          <w:szCs w:val="22"/>
          <w:lang w:val="es-ES"/>
        </w:rPr>
      </w:pPr>
      <w:r w:rsidRPr="00CC306F">
        <w:rPr>
          <w:rFonts w:ascii="Geomanist Light" w:eastAsia="Calibri" w:hAnsi="Geomanist Light"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 A tenor literal el citado artículo indica:   </w:t>
      </w:r>
    </w:p>
    <w:p w14:paraId="1E19BBF2" w14:textId="1FBEF2CB" w:rsidR="0005632E" w:rsidRPr="00CC306F" w:rsidRDefault="0005632E" w:rsidP="003D4FAA">
      <w:pPr>
        <w:shd w:val="clear" w:color="auto" w:fill="FFFFFF"/>
        <w:spacing w:after="240"/>
        <w:ind w:left="709" w:right="709"/>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5C4BE8C9"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672E57DC"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77ED81E3"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6D9CE20A"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36988E26"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5920CAB"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1EFCACD4"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5E7EF70A"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47D8130C"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75F9A16"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39A718F5"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5A75361C"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5DA9B878"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5316CDCD" w14:textId="77777777"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p>
    <w:p w14:paraId="78515CCA" w14:textId="3EAB8E65" w:rsidR="0005632E" w:rsidRPr="00CC306F" w:rsidRDefault="0005632E" w:rsidP="004E77FA">
      <w:pPr>
        <w:shd w:val="clear" w:color="auto" w:fill="FFFFFF"/>
        <w:spacing w:after="240"/>
        <w:ind w:left="709" w:right="709"/>
        <w:contextualSpacing/>
        <w:jc w:val="both"/>
        <w:textAlignment w:val="baseline"/>
        <w:rPr>
          <w:rFonts w:ascii="Geomanist Light" w:hAnsi="Geomanist Light" w:cs="Arial"/>
          <w:color w:val="000000" w:themeColor="text1"/>
          <w:sz w:val="21"/>
          <w:szCs w:val="21"/>
          <w:lang w:eastAsia="es-CO"/>
        </w:rPr>
      </w:pPr>
      <w:r w:rsidRPr="00CC306F">
        <w:rPr>
          <w:rFonts w:ascii="Geomanist Light" w:hAnsi="Geomanist Light"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CC306F">
        <w:rPr>
          <w:rFonts w:ascii="Geomanist Light" w:hAnsi="Geomanist Light" w:cs="Arial"/>
          <w:sz w:val="21"/>
          <w:szCs w:val="21"/>
          <w:lang w:eastAsia="es-CO"/>
        </w:rPr>
        <w:t>» [Énfasis fuera de texto].</w:t>
      </w:r>
    </w:p>
    <w:p w14:paraId="6461AE5C" w14:textId="77777777" w:rsidR="0005632E" w:rsidRPr="00CC306F" w:rsidRDefault="0005632E" w:rsidP="004E77FA">
      <w:pPr>
        <w:spacing w:after="240" w:line="276" w:lineRule="auto"/>
        <w:ind w:firstLine="709"/>
        <w:jc w:val="both"/>
        <w:rPr>
          <w:rFonts w:ascii="Geomanist Light" w:eastAsia="Calibri" w:hAnsi="Geomanist Light" w:cs="Arial"/>
          <w:color w:val="000000" w:themeColor="text1"/>
          <w:sz w:val="22"/>
          <w:szCs w:val="22"/>
          <w:lang w:val="es-ES"/>
        </w:rPr>
      </w:pPr>
      <w:r w:rsidRPr="00CC306F">
        <w:rPr>
          <w:rFonts w:ascii="Geomanist Light" w:eastAsia="Calibri" w:hAnsi="Geomanist Light" w:cs="Arial"/>
          <w:color w:val="000000" w:themeColor="text1"/>
          <w:sz w:val="22"/>
          <w:szCs w:val="22"/>
          <w:lang w:val="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p>
    <w:p w14:paraId="50CAFC1A" w14:textId="0FE57C85" w:rsidR="0005632E" w:rsidRPr="00CC306F" w:rsidRDefault="0005632E" w:rsidP="004E77FA">
      <w:pPr>
        <w:spacing w:after="240" w:line="276" w:lineRule="auto"/>
        <w:ind w:firstLine="709"/>
        <w:jc w:val="both"/>
        <w:rPr>
          <w:rFonts w:ascii="Geomanist Light" w:eastAsia="Calibri" w:hAnsi="Geomanist Light" w:cs="Arial"/>
          <w:sz w:val="22"/>
          <w:szCs w:val="22"/>
          <w:lang w:val="es-ES_tradnl"/>
        </w:rPr>
      </w:pPr>
      <w:r w:rsidRPr="00CC306F">
        <w:rPr>
          <w:rFonts w:ascii="Geomanist Light" w:eastAsia="Calibri" w:hAnsi="Geomanist Light" w:cs="Arial"/>
          <w:color w:val="000000" w:themeColor="text1"/>
          <w:sz w:val="22"/>
          <w:szCs w:val="22"/>
          <w:lang w:val="es-ES_tradnl"/>
        </w:rPr>
        <w:lastRenderedPageBreak/>
        <w:t xml:space="preserve">Así pues, de acuerdo con la revisión de todos los numerales del artículo 2.2.1.2.4.2.14 es posible advertir que para cada uno de estos fueron expresamente establecidos los documentos que sirven como medio para su acreditación. De este modo dichos </w:t>
      </w:r>
      <w:r w:rsidRPr="00CC306F">
        <w:rPr>
          <w:rFonts w:ascii="Geomanist Light" w:eastAsia="Calibri" w:hAnsi="Geomanist Light" w:cs="Arial"/>
          <w:sz w:val="22"/>
          <w:szCs w:val="22"/>
          <w:lang w:val="es-ES_tradnl"/>
        </w:rPr>
        <w:t>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las definiciones establecidas en los numerales del artículo 2.2.1.2.4.2.14, les corresponde presentar l</w:t>
      </w:r>
      <w:r w:rsidR="000834FF" w:rsidRPr="00CC306F">
        <w:rPr>
          <w:rFonts w:ascii="Geomanist Light" w:eastAsia="Calibri" w:hAnsi="Geomanist Light" w:cs="Arial"/>
          <w:sz w:val="22"/>
          <w:szCs w:val="22"/>
          <w:lang w:val="es-ES_tradnl"/>
        </w:rPr>
        <w:t>os</w:t>
      </w:r>
      <w:r w:rsidRPr="00CC306F">
        <w:rPr>
          <w:rFonts w:ascii="Geomanist Light" w:eastAsia="Calibri" w:hAnsi="Geomanist Light" w:cs="Arial"/>
          <w:sz w:val="22"/>
          <w:szCs w:val="22"/>
          <w:lang w:val="es-ES_tradnl"/>
        </w:rPr>
        <w:t xml:space="preserve"> </w:t>
      </w:r>
      <w:r w:rsidR="000834FF" w:rsidRPr="00CC306F">
        <w:rPr>
          <w:rFonts w:ascii="Geomanist Light" w:eastAsia="Calibri" w:hAnsi="Geomanist Light" w:cs="Arial"/>
          <w:sz w:val="22"/>
          <w:szCs w:val="22"/>
          <w:lang w:val="es-ES_tradnl"/>
        </w:rPr>
        <w:t>documentos allí relacionados</w:t>
      </w:r>
      <w:r w:rsidRPr="00CC306F">
        <w:rPr>
          <w:rFonts w:ascii="Geomanist Light" w:eastAsia="Calibri" w:hAnsi="Geomanist Light" w:cs="Arial"/>
          <w:sz w:val="22"/>
          <w:szCs w:val="22"/>
          <w:lang w:val="es-ES_tradnl"/>
        </w:rPr>
        <w:t xml:space="preserve"> con sus respectivos soportes.</w:t>
      </w:r>
      <w:r w:rsidR="00635917" w:rsidRPr="00CC306F">
        <w:rPr>
          <w:rFonts w:ascii="Geomanist Light" w:eastAsia="Calibri" w:hAnsi="Geomanist Light" w:cs="Arial"/>
          <w:sz w:val="22"/>
          <w:szCs w:val="22"/>
          <w:lang w:val="es-ES_tradnl"/>
        </w:rPr>
        <w:t xml:space="preserve"> </w:t>
      </w:r>
      <w:r w:rsidRPr="00CC306F">
        <w:rPr>
          <w:rFonts w:ascii="Geomanist Light" w:eastAsia="Calibri" w:hAnsi="Geomanist Light" w:cs="Arial"/>
          <w:sz w:val="22"/>
          <w:szCs w:val="22"/>
          <w:lang w:val="es-ES_tradnl"/>
        </w:rPr>
        <w:t xml:space="preserve">En todo caso, es deber de la entidad estatal verificar que los documentos presentados acrediten las condiciones descritas </w:t>
      </w:r>
      <w:r w:rsidR="00635917" w:rsidRPr="00CC306F">
        <w:rPr>
          <w:rFonts w:ascii="Geomanist Light" w:eastAsia="Calibri" w:hAnsi="Geomanist Light" w:cs="Arial"/>
          <w:sz w:val="22"/>
          <w:szCs w:val="22"/>
          <w:lang w:val="es-ES_tradnl"/>
        </w:rPr>
        <w:t xml:space="preserve">en </w:t>
      </w:r>
      <w:r w:rsidRPr="00CC306F">
        <w:rPr>
          <w:rFonts w:ascii="Geomanist Light" w:eastAsia="Calibri" w:hAnsi="Geomanist Light" w:cs="Arial"/>
          <w:sz w:val="22"/>
          <w:szCs w:val="22"/>
          <w:lang w:val="es-ES_tradnl"/>
        </w:rPr>
        <w:t xml:space="preserve">el artículo 2.2.1.2.4.2.14 del Decreto 1082 de 2015. </w:t>
      </w:r>
    </w:p>
    <w:p w14:paraId="1636521B" w14:textId="77777777" w:rsidR="0005632E" w:rsidRPr="00CC306F" w:rsidRDefault="0005632E" w:rsidP="004E77FA">
      <w:pPr>
        <w:spacing w:after="240" w:line="276" w:lineRule="auto"/>
        <w:ind w:firstLine="709"/>
        <w:jc w:val="both"/>
        <w:rPr>
          <w:rFonts w:ascii="Geomanist Light" w:eastAsia="Calibri" w:hAnsi="Geomanist Light" w:cs="Arial"/>
          <w:sz w:val="22"/>
          <w:szCs w:val="22"/>
          <w:lang w:val="es-ES_tradnl"/>
        </w:rPr>
      </w:pPr>
      <w:r w:rsidRPr="00CC306F">
        <w:rPr>
          <w:rFonts w:ascii="Geomanist Light" w:hAnsi="Geomanist Light" w:cs="Arial"/>
          <w:sz w:val="22"/>
          <w:szCs w:val="22"/>
          <w:lang w:eastAsia="es-CO"/>
        </w:rPr>
        <w:t xml:space="preserve">Conviene destacar que los documentos a los que se refiere la norma son, por regla general, certificaciones emitidas bajo la gravedad del juramento. </w:t>
      </w:r>
      <w:r w:rsidRPr="00CC306F">
        <w:rPr>
          <w:rFonts w:ascii="Geomanist Light" w:eastAsia="Calibri" w:hAnsi="Geomanist Light"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CC306F">
        <w:rPr>
          <w:rFonts w:ascii="Geomanist Light" w:eastAsia="Calibri" w:hAnsi="Geomanist Light" w:cs="Arial"/>
          <w:color w:val="000000"/>
          <w:sz w:val="22"/>
          <w:szCs w:val="22"/>
          <w:lang w:eastAsia="en-US"/>
        </w:rPr>
        <w:t>2.2.1.2.4.2.15.</w:t>
      </w:r>
      <w:r w:rsidRPr="00CC306F">
        <w:rPr>
          <w:rFonts w:ascii="Geomanist Light" w:eastAsia="Calibri" w:hAnsi="Geomanist Light" w:cs="Arial"/>
          <w:bCs/>
          <w:color w:val="000000"/>
          <w:sz w:val="22"/>
          <w:szCs w:val="22"/>
          <w:lang w:val="es-ES_tradnl" w:eastAsia="en-US"/>
        </w:rPr>
        <w:t>,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2789323E" w14:textId="522F8DC2" w:rsidR="0005632E" w:rsidRPr="00CC306F" w:rsidRDefault="0005632E" w:rsidP="004E77FA">
      <w:pPr>
        <w:spacing w:after="240" w:line="276" w:lineRule="auto"/>
        <w:ind w:firstLine="709"/>
        <w:jc w:val="both"/>
        <w:rPr>
          <w:rFonts w:ascii="Geomanist Light" w:eastAsia="Calibri" w:hAnsi="Geomanist Light" w:cs="Arial"/>
          <w:sz w:val="22"/>
          <w:szCs w:val="22"/>
          <w:lang w:val="es-ES_tradnl"/>
        </w:rPr>
      </w:pPr>
      <w:r w:rsidRPr="00CC306F">
        <w:rPr>
          <w:rFonts w:ascii="Geomanist Light" w:eastAsia="Calibri" w:hAnsi="Geomanist Light" w:cs="Arial"/>
          <w:sz w:val="22"/>
          <w:szCs w:val="22"/>
          <w:lang w:val="es-ES_tradnl"/>
        </w:rPr>
        <w:t>Conforme a lo anterior, en el evento en que un proponente presente l</w:t>
      </w:r>
      <w:r w:rsidR="00C70272" w:rsidRPr="00CC306F">
        <w:rPr>
          <w:rFonts w:ascii="Geomanist Light" w:eastAsia="Calibri" w:hAnsi="Geomanist Light" w:cs="Arial"/>
          <w:sz w:val="22"/>
          <w:szCs w:val="22"/>
          <w:lang w:val="es-ES_tradnl"/>
        </w:rPr>
        <w:t>os documentos para l</w:t>
      </w:r>
      <w:r w:rsidRPr="00CC306F">
        <w:rPr>
          <w:rFonts w:ascii="Geomanist Light" w:eastAsia="Calibri" w:hAnsi="Geomanist Light" w:cs="Arial"/>
          <w:sz w:val="22"/>
          <w:szCs w:val="22"/>
          <w:lang w:val="es-ES_tradnl"/>
        </w:rPr>
        <w:t xml:space="preserve">a </w:t>
      </w:r>
      <w:r w:rsidR="00C70272" w:rsidRPr="00CC306F">
        <w:rPr>
          <w:rFonts w:ascii="Geomanist Light" w:eastAsia="Calibri" w:hAnsi="Geomanist Light" w:cs="Arial"/>
          <w:sz w:val="22"/>
          <w:szCs w:val="22"/>
          <w:lang w:val="es-ES_tradnl"/>
        </w:rPr>
        <w:t xml:space="preserve">acreditación de su condición </w:t>
      </w:r>
      <w:r w:rsidRPr="00CC306F">
        <w:rPr>
          <w:rFonts w:ascii="Geomanist Light" w:eastAsia="Calibri" w:hAnsi="Geomanist Light" w:cs="Arial"/>
          <w:sz w:val="22"/>
          <w:szCs w:val="22"/>
          <w:lang w:val="es-ES_tradnl"/>
        </w:rPr>
        <w:t xml:space="preserve">con los respectivos soportes, pero se encuentre que los mismos no acreditan las condiciones descritas en el artículo 2.2.1.2.4.2.14, la entidad deberá tener por no acreditada la condición de emprendimiento o empresa de mujeres y, en consecuencia, abstenerse de aplicar criterios diferenciales en favor de este oferente. </w:t>
      </w:r>
    </w:p>
    <w:p w14:paraId="55593E7A" w14:textId="6B575207" w:rsidR="0005632E" w:rsidRPr="00CC306F" w:rsidRDefault="0005632E" w:rsidP="004E77FA">
      <w:pPr>
        <w:spacing w:after="240" w:line="276" w:lineRule="auto"/>
        <w:ind w:firstLine="709"/>
        <w:jc w:val="both"/>
        <w:rPr>
          <w:rFonts w:ascii="Geomanist Light" w:eastAsia="Calibri" w:hAnsi="Geomanist Light" w:cs="Arial"/>
          <w:sz w:val="22"/>
          <w:szCs w:val="22"/>
          <w:lang w:val="es-ES_tradnl"/>
        </w:rPr>
      </w:pPr>
      <w:r w:rsidRPr="00CC306F">
        <w:rPr>
          <w:rFonts w:ascii="Geomanist Light" w:eastAsia="Calibri" w:hAnsi="Geomanist Light" w:cs="Arial"/>
          <w:sz w:val="22"/>
          <w:szCs w:val="22"/>
          <w:lang w:val="es-ES_tradnl"/>
        </w:rPr>
        <w:t xml:space="preserve"> Con todo, debe advertirse que corresponde a las entidades estatales contratantes determinar en cada caso concreto si, en efecto, se cumplen las condiciones antes explicadas, verificando además que dicha acreditación se haga con sujeción al marco jurídico aplicable. </w:t>
      </w:r>
    </w:p>
    <w:p w14:paraId="5BBEB2DF" w14:textId="4A3CECBF" w:rsidR="0005632E" w:rsidRPr="00CC306F" w:rsidRDefault="0005632E" w:rsidP="004E77FA">
      <w:pPr>
        <w:spacing w:after="240" w:line="276" w:lineRule="auto"/>
        <w:ind w:firstLine="709"/>
        <w:jc w:val="both"/>
        <w:rPr>
          <w:rFonts w:ascii="Geomanist Light" w:hAnsi="Geomanist Light" w:cs="Arial"/>
          <w:color w:val="000000" w:themeColor="text1"/>
          <w:sz w:val="22"/>
          <w:szCs w:val="22"/>
          <w:lang w:eastAsia="es-CO"/>
        </w:rPr>
      </w:pPr>
      <w:r w:rsidRPr="00CC306F">
        <w:rPr>
          <w:rFonts w:ascii="Geomanist Light" w:hAnsi="Geomanist Light" w:cs="Arial"/>
          <w:color w:val="000000" w:themeColor="text1"/>
          <w:sz w:val="22"/>
          <w:szCs w:val="22"/>
          <w:lang w:eastAsia="es-CO"/>
        </w:rPr>
        <w:lastRenderedPageBreak/>
        <w:t>También debe agregarse que el artículo 2.2.1.2.4.2.15 del Decreto 1082 de 2015</w:t>
      </w:r>
      <w:r w:rsidRPr="00CC306F">
        <w:rPr>
          <w:rStyle w:val="Refdenotaalpie"/>
          <w:rFonts w:ascii="Geomanist Light" w:hAnsi="Geomanist Light" w:cs="Arial"/>
          <w:color w:val="000000" w:themeColor="text1"/>
          <w:sz w:val="22"/>
          <w:szCs w:val="22"/>
          <w:lang w:eastAsia="es-CO"/>
        </w:rPr>
        <w:footnoteReference w:id="22"/>
      </w:r>
      <w:r w:rsidRPr="00CC306F">
        <w:rPr>
          <w:rFonts w:ascii="Geomanist Light" w:hAnsi="Geomanist Light" w:cs="Arial"/>
          <w:color w:val="000000" w:themeColor="text1"/>
          <w:sz w:val="22"/>
          <w:szCs w:val="22"/>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CC306F">
        <w:rPr>
          <w:rFonts w:ascii="Geomanist Light" w:hAnsi="Geomanist Light" w:cs="Arial"/>
          <w:color w:val="000000" w:themeColor="text1"/>
          <w:sz w:val="22"/>
          <w:szCs w:val="22"/>
        </w:rPr>
        <w:t xml:space="preserve"> </w:t>
      </w:r>
      <w:r w:rsidRPr="00CC306F">
        <w:rPr>
          <w:rFonts w:ascii="Geomanist Light" w:hAnsi="Geomanist Light"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122BCF22" w14:textId="0FCC0E79" w:rsidR="00D56F24" w:rsidRPr="00CC306F" w:rsidRDefault="002F3E7B" w:rsidP="004E77FA">
      <w:pPr>
        <w:spacing w:after="240" w:line="276" w:lineRule="auto"/>
        <w:ind w:firstLine="709"/>
        <w:jc w:val="both"/>
        <w:rPr>
          <w:rFonts w:ascii="Geomanist Light" w:hAnsi="Geomanist Light" w:cs="Arial"/>
          <w:color w:val="000000" w:themeColor="text1"/>
          <w:lang w:eastAsia="es-CO"/>
        </w:rPr>
      </w:pPr>
      <w:r w:rsidRPr="00CC306F">
        <w:rPr>
          <w:rFonts w:ascii="Geomanist Light" w:eastAsia="Calibri" w:hAnsi="Geomanist Light" w:cs="Arial"/>
          <w:sz w:val="22"/>
          <w:lang w:val="es-ES_tradnl"/>
        </w:rPr>
        <w:t xml:space="preserve">Por todo lo expuesto, y para efectos de dar respuesta a la consulta realizada se puede concluir que, el </w:t>
      </w:r>
      <w:r w:rsidRPr="00CC306F">
        <w:rPr>
          <w:rFonts w:ascii="Geomanist Light" w:eastAsia="Calibri" w:hAnsi="Geomanist Light" w:cs="Arial"/>
          <w:bCs/>
          <w:sz w:val="22"/>
          <w:lang w:val="es-ES_tradnl"/>
        </w:rPr>
        <w:t xml:space="preserve">artículo 2.2.1.2.4.2.14 del Decreto 1082 de 2015, adicionado por el Decreto 1860 de 2021, </w:t>
      </w:r>
      <w:r w:rsidRPr="00CC306F">
        <w:rPr>
          <w:rFonts w:ascii="Geomanist Light" w:eastAsia="Calibri" w:hAnsi="Geomanist Light" w:cs="Arial"/>
          <w:sz w:val="22"/>
          <w:lang w:val="es-ES_tradnl"/>
        </w:rPr>
        <w:t xml:space="preserve">reglamentó </w:t>
      </w:r>
      <w:r w:rsidRPr="00CC306F">
        <w:rPr>
          <w:rFonts w:ascii="Geomanist Light" w:eastAsia="Calibri" w:hAnsi="Geomanist Light" w:cs="Arial"/>
          <w:i/>
          <w:iCs/>
          <w:sz w:val="22"/>
          <w:lang w:val="es-ES_tradnl"/>
        </w:rPr>
        <w:t xml:space="preserve">in extenso </w:t>
      </w:r>
      <w:r w:rsidRPr="00CC306F">
        <w:rPr>
          <w:rFonts w:ascii="Geomanist Light" w:eastAsia="Calibri" w:hAnsi="Geomanist Light" w:cs="Arial"/>
          <w:sz w:val="22"/>
          <w:lang w:val="es-ES_tradnl"/>
        </w:rPr>
        <w:t>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 Lo anterior como quiera que, e</w:t>
      </w:r>
      <w:r w:rsidRPr="00CC306F">
        <w:rPr>
          <w:rFonts w:ascii="Geomanist Light" w:eastAsia="Calibri" w:hAnsi="Geomanist Light" w:cs="Arial"/>
          <w:color w:val="000000"/>
          <w:sz w:val="22"/>
          <w:szCs w:val="22"/>
          <w:lang w:val="es-ES_tradnl"/>
        </w:rPr>
        <w:t xml:space="preserve">n ejercicio de las competencias establecidas en los artículos 3.5 y 11.8 del Decreto 4170 de 2011, no le está dado a la Agencia Nacional de Contratación Pública – Colombia Compra Eficiente definir aspectos adicionales a los contemplados en la normativa enunciada, ya que el legislador no concibió a Colombia Compra Eficiente como una autoridad para solucionar problemas jurídicos particulares de todos los partícipes de la contratación estatal ni para interpretar el alcance de cualquier norma vigente en el ordenamiento jurídico. </w:t>
      </w:r>
      <w:r w:rsidRPr="00CC306F">
        <w:rPr>
          <w:rFonts w:ascii="Geomanist Light" w:eastAsia="Calibri" w:hAnsi="Geomanist Light" w:cs="Arial"/>
          <w:sz w:val="22"/>
          <w:szCs w:val="22"/>
          <w:lang w:val="es-ES_tradnl" w:eastAsia="es-MX"/>
        </w:rPr>
        <w:t xml:space="preserve">Por lo tanto, </w:t>
      </w:r>
      <w:r w:rsidRPr="00CC306F">
        <w:rPr>
          <w:rFonts w:ascii="Geomanist Light" w:eastAsia="Calibri" w:hAnsi="Geomanist Light" w:cs="Arial"/>
          <w:sz w:val="22"/>
          <w:szCs w:val="22"/>
          <w:lang w:val="es-ES_tradnl"/>
        </w:rPr>
        <w:t>la presente interpretación además se impone en virtud de aquella regla según la cual «cuando el sentido de la ley sea claro, no se desatenderá su tenor literal a pretexto de consultar su espíritu»</w:t>
      </w:r>
      <w:r w:rsidRPr="00CC306F">
        <w:rPr>
          <w:rStyle w:val="Refdenotaalpie"/>
          <w:rFonts w:ascii="Geomanist Light" w:hAnsi="Geomanist Light" w:cs="Arial"/>
          <w:color w:val="000000" w:themeColor="text1"/>
          <w:lang w:eastAsia="es-CO"/>
        </w:rPr>
        <w:footnoteReference w:id="23"/>
      </w:r>
      <w:r w:rsidRPr="00CC306F">
        <w:rPr>
          <w:rFonts w:ascii="Geomanist Light" w:hAnsi="Geomanist Light" w:cs="Arial"/>
          <w:color w:val="000000" w:themeColor="text1"/>
          <w:lang w:eastAsia="es-CO"/>
        </w:rPr>
        <w:t>.</w:t>
      </w:r>
    </w:p>
    <w:p w14:paraId="6BAC4AC8" w14:textId="6C253B55" w:rsidR="00E35E93" w:rsidRPr="003D4FAA" w:rsidRDefault="00376D94" w:rsidP="004E77FA">
      <w:pPr>
        <w:spacing w:after="240" w:line="276" w:lineRule="auto"/>
        <w:jc w:val="both"/>
        <w:rPr>
          <w:rFonts w:ascii="Geomanist Light" w:hAnsi="Geomanist Light" w:cs="Arial"/>
          <w:b/>
          <w:bCs/>
          <w:sz w:val="22"/>
          <w:lang w:val="es-ES"/>
        </w:rPr>
      </w:pPr>
      <w:r w:rsidRPr="00CC306F">
        <w:rPr>
          <w:rFonts w:ascii="Geomanist Light" w:eastAsia="Calibri" w:hAnsi="Geomanist Light" w:cs="Arial"/>
          <w:b/>
          <w:color w:val="000000" w:themeColor="text1"/>
          <w:sz w:val="22"/>
          <w:lang w:val="es-ES_tradnl"/>
        </w:rPr>
        <w:t xml:space="preserve">2.5. </w:t>
      </w:r>
      <w:r w:rsidR="00E35E93" w:rsidRPr="00CC306F">
        <w:rPr>
          <w:rFonts w:ascii="Geomanist Light" w:hAnsi="Geomanist Light" w:cs="Arial"/>
          <w:b/>
          <w:bCs/>
          <w:sz w:val="22"/>
          <w:lang w:val="es-ES"/>
        </w:rPr>
        <w:t xml:space="preserve">Regulación de los criterios diferenciales en favor de las </w:t>
      </w:r>
      <w:proofErr w:type="spellStart"/>
      <w:r w:rsidR="00E35E93" w:rsidRPr="00CC306F">
        <w:rPr>
          <w:rFonts w:ascii="Geomanist Light" w:hAnsi="Geomanist Light" w:cs="Arial"/>
          <w:b/>
          <w:bCs/>
          <w:sz w:val="22"/>
          <w:lang w:val="es-ES"/>
        </w:rPr>
        <w:t>Mipyme</w:t>
      </w:r>
      <w:proofErr w:type="spellEnd"/>
      <w:r w:rsidR="00E35E93" w:rsidRPr="00CC306F">
        <w:rPr>
          <w:rFonts w:ascii="Geomanist Light" w:hAnsi="Geomanist Light" w:cs="Arial"/>
          <w:b/>
          <w:bCs/>
          <w:sz w:val="22"/>
          <w:lang w:val="es-ES"/>
        </w:rPr>
        <w:t xml:space="preserve"> nacionales </w:t>
      </w:r>
    </w:p>
    <w:p w14:paraId="49FFDD7E" w14:textId="3B4819CE" w:rsidR="00E35E93" w:rsidRPr="00CC306F" w:rsidRDefault="00844C7B" w:rsidP="004E77FA">
      <w:pPr>
        <w:spacing w:after="240" w:line="276" w:lineRule="auto"/>
        <w:jc w:val="both"/>
        <w:rPr>
          <w:rFonts w:ascii="Geomanist Light" w:eastAsia="Arial" w:hAnsi="Geomanist Light" w:cs="Arial"/>
          <w:sz w:val="22"/>
          <w:lang w:eastAsia="es-CO"/>
        </w:rPr>
      </w:pPr>
      <w:bookmarkStart w:id="19" w:name="_Hlk110840316"/>
      <w:r w:rsidRPr="00CC306F">
        <w:rPr>
          <w:rFonts w:ascii="Geomanist Light" w:eastAsia="Arial" w:hAnsi="Geomanist Light" w:cs="Arial"/>
          <w:sz w:val="22"/>
          <w:lang w:val="es-ES" w:eastAsia="es-CO"/>
        </w:rPr>
        <w:lastRenderedPageBreak/>
        <w:t>E</w:t>
      </w:r>
      <w:r w:rsidR="00E35E93" w:rsidRPr="00CC306F">
        <w:rPr>
          <w:rFonts w:ascii="Geomanist Light" w:eastAsia="Arial" w:hAnsi="Geomanist Light" w:cs="Arial"/>
          <w:sz w:val="22"/>
          <w:lang w:val="es-ES" w:eastAsia="es-CO"/>
        </w:rPr>
        <w:t>l artículo 31 de la Ley 2069 de 2020</w:t>
      </w:r>
      <w:r w:rsidR="00E35E93" w:rsidRPr="00CC306F">
        <w:rPr>
          <w:rFonts w:ascii="Geomanist Light" w:eastAsia="Arial" w:hAnsi="Geomanist Light" w:cs="Arial"/>
          <w:sz w:val="22"/>
          <w:lang w:eastAsia="es-CO"/>
        </w:rPr>
        <w:t xml:space="preserve"> </w:t>
      </w:r>
      <w:r w:rsidR="00E35E93" w:rsidRPr="00CC306F">
        <w:rPr>
          <w:rFonts w:ascii="Geomanist Light" w:eastAsia="Arial" w:hAnsi="Geomanist Light" w:cs="Arial"/>
          <w:bCs/>
          <w:sz w:val="22"/>
          <w:lang w:eastAsia="es-CO"/>
        </w:rPr>
        <w:t xml:space="preserve">introduce criterios diferenciales para el acceso de las </w:t>
      </w:r>
      <w:proofErr w:type="spellStart"/>
      <w:r w:rsidR="00E35E93" w:rsidRPr="00CC306F">
        <w:rPr>
          <w:rFonts w:ascii="Geomanist Light" w:eastAsia="Arial" w:hAnsi="Geomanist Light" w:cs="Arial"/>
          <w:bCs/>
          <w:sz w:val="22"/>
          <w:lang w:eastAsia="es-CO"/>
        </w:rPr>
        <w:t>Mipyme</w:t>
      </w:r>
      <w:proofErr w:type="spellEnd"/>
      <w:r w:rsidR="00E35E93" w:rsidRPr="00CC306F">
        <w:rPr>
          <w:rFonts w:ascii="Geomanist Light" w:eastAsia="Arial" w:hAnsi="Geomanist Light" w:cs="Arial"/>
          <w:bCs/>
          <w:sz w:val="22"/>
          <w:lang w:eastAsia="es-CO"/>
        </w:rPr>
        <w:t xml:space="preserve"> al sistema de compras y contratación pública. Para estos efectos, el inciso primero dispone que «Las Entidades Estatales de acuerdo con el análisis de Sector podrán incluir, en los Documentos del Proceso, requisitos diferenciales y puntajes adicionales, en función del tamaño empresarial para la promoción del acceso de las MIPYMES al mercado de Compras Públicas». Esto significa que, la aplicación de los criterios diferenciales, los cuales incluyen tanto los requisitos diferenciales como los puntajes adicionales, depende de las conclusiones del estudio del sector. Esta norma </w:t>
      </w:r>
      <w:r w:rsidR="00E35E93" w:rsidRPr="00CC306F">
        <w:rPr>
          <w:rFonts w:ascii="Geomanist Light" w:eastAsia="Arial" w:hAnsi="Geomanist Light" w:cs="Arial"/>
          <w:sz w:val="22"/>
          <w:lang w:eastAsia="es-CO"/>
        </w:rPr>
        <w:t>dispuso que el Gobierno Nacional reglamentaría la definición de los criterios diferenciales</w:t>
      </w:r>
      <w:r w:rsidR="00E35E93" w:rsidRPr="00CC306F">
        <w:rPr>
          <w:rFonts w:ascii="Geomanist Light" w:eastAsia="Arial" w:hAnsi="Geomanist Light" w:cs="Arial"/>
          <w:sz w:val="22"/>
          <w:lang w:val="es-ES" w:eastAsia="es-CO"/>
        </w:rPr>
        <w:t xml:space="preserve"> para promover y facilitar el acceso de las </w:t>
      </w:r>
      <w:proofErr w:type="spellStart"/>
      <w:r w:rsidR="00E35E93" w:rsidRPr="00CC306F">
        <w:rPr>
          <w:rFonts w:ascii="Geomanist Light" w:eastAsia="Arial" w:hAnsi="Geomanist Light" w:cs="Arial"/>
          <w:sz w:val="22"/>
          <w:lang w:val="es-ES" w:eastAsia="es-CO"/>
        </w:rPr>
        <w:t>Mipyme</w:t>
      </w:r>
      <w:proofErr w:type="spellEnd"/>
      <w:r w:rsidR="00E35E93" w:rsidRPr="00CC306F">
        <w:rPr>
          <w:rFonts w:ascii="Geomanist Light" w:eastAsia="Arial" w:hAnsi="Geomanist Light" w:cs="Arial"/>
          <w:sz w:val="22"/>
          <w:lang w:val="es-ES" w:eastAsia="es-CO"/>
        </w:rPr>
        <w:t xml:space="preserve"> al mercado de compras públicas</w:t>
      </w:r>
      <w:r w:rsidR="00E35E93" w:rsidRPr="00CC306F">
        <w:rPr>
          <w:rFonts w:ascii="Geomanist Light" w:eastAsia="Arial" w:hAnsi="Geomanist Light" w:cs="Arial"/>
          <w:sz w:val="22"/>
          <w:lang w:eastAsia="es-CO"/>
        </w:rPr>
        <w:t xml:space="preserve">, estableciendo reglas objetivas para su implementación, las cuales priorizarían la contratación de producción nacional, sin perjuicio de los compromisos comerciales adquiridos con otros Estados. </w:t>
      </w:r>
    </w:p>
    <w:p w14:paraId="4BBDC787" w14:textId="68183CD4" w:rsidR="00E35E93" w:rsidRPr="00CC306F" w:rsidRDefault="00E35E93" w:rsidP="004E77FA">
      <w:pPr>
        <w:spacing w:after="240" w:line="276" w:lineRule="auto"/>
        <w:jc w:val="both"/>
        <w:rPr>
          <w:rFonts w:ascii="Geomanist Light" w:eastAsia="Arial" w:hAnsi="Geomanist Light" w:cs="Arial"/>
          <w:sz w:val="22"/>
          <w:lang w:eastAsia="es-MX"/>
        </w:rPr>
      </w:pPr>
      <w:r w:rsidRPr="00CC306F">
        <w:rPr>
          <w:rFonts w:ascii="Geomanist Light" w:eastAsia="Arial" w:hAnsi="Geomanist Light" w:cs="Arial"/>
          <w:sz w:val="22"/>
          <w:lang w:val="es-ES" w:eastAsia="es-CO"/>
        </w:rPr>
        <w:tab/>
      </w:r>
      <w:r w:rsidR="006718AA" w:rsidRPr="00CC306F">
        <w:rPr>
          <w:rFonts w:ascii="Geomanist Light" w:eastAsia="Arial" w:hAnsi="Geomanist Light" w:cs="Arial"/>
          <w:sz w:val="22"/>
          <w:lang w:val="es-ES" w:eastAsia="es-CO"/>
        </w:rPr>
        <w:t>Ahora bien, e</w:t>
      </w:r>
      <w:r w:rsidRPr="00CC306F">
        <w:rPr>
          <w:rFonts w:ascii="Geomanist Light" w:hAnsi="Geomanist Light" w:cs="Arial"/>
          <w:color w:val="000000" w:themeColor="text1"/>
          <w:sz w:val="22"/>
          <w:lang w:eastAsia="es-MX"/>
        </w:rPr>
        <w:t xml:space="preserve">l artículo 3 del Decreto 1860 de 2021, que adicionó </w:t>
      </w:r>
      <w:r w:rsidRPr="00CC306F">
        <w:rPr>
          <w:rFonts w:ascii="Geomanist Light" w:hAnsi="Geomanist Light" w:cs="Arial"/>
          <w:bCs/>
          <w:color w:val="000000" w:themeColor="text1"/>
          <w:sz w:val="22"/>
          <w:lang w:eastAsia="es-MX"/>
        </w:rPr>
        <w:t xml:space="preserve">el artículo 2.2.1.2.4.2.18 al </w:t>
      </w:r>
      <w:r w:rsidRPr="00CC306F">
        <w:rPr>
          <w:rFonts w:ascii="Geomanist Light" w:hAnsi="Geomanist Light" w:cs="Arial"/>
          <w:sz w:val="22"/>
          <w:lang w:eastAsia="es-MX"/>
        </w:rPr>
        <w:t xml:space="preserve">Decreto 1082 de 2015 reglamentó los criterios diferenciales para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domiciliadas en Colombia. </w:t>
      </w:r>
    </w:p>
    <w:p w14:paraId="4A9C5D09" w14:textId="77777777" w:rsidR="00E35E93" w:rsidRPr="00CC306F" w:rsidRDefault="00E35E93" w:rsidP="004E77FA">
      <w:pPr>
        <w:spacing w:after="240" w:line="276" w:lineRule="auto"/>
        <w:jc w:val="both"/>
        <w:rPr>
          <w:rFonts w:ascii="Geomanist Light" w:hAnsi="Geomanist Light" w:cs="Arial"/>
          <w:color w:val="000000" w:themeColor="text1"/>
          <w:sz w:val="22"/>
          <w:lang w:eastAsia="es-MX"/>
        </w:rPr>
      </w:pPr>
      <w:r w:rsidRPr="00CC306F">
        <w:rPr>
          <w:rFonts w:ascii="Geomanist Light" w:eastAsia="Arial" w:hAnsi="Geomanist Light" w:cs="Arial"/>
          <w:sz w:val="22"/>
          <w:lang w:eastAsia="es-MX"/>
        </w:rPr>
        <w:tab/>
      </w:r>
      <w:r w:rsidRPr="00CC306F">
        <w:rPr>
          <w:rFonts w:ascii="Geomanist Light" w:hAnsi="Geomanist Light" w:cs="Arial"/>
          <w:sz w:val="22"/>
          <w:lang w:eastAsia="es-MX"/>
        </w:rPr>
        <w:t xml:space="preserve">Estos criterios en favor de las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buscan reducir las asimetrías entre estas y las grandes empresas para vincularse como proveedoras del mercado de compras públicas y, en consecuencia, promover y facilitar la participación en los procedimientos de selección competitivos de las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CC306F">
        <w:rPr>
          <w:rFonts w:ascii="Geomanist Light" w:hAnsi="Geomanist Light" w:cs="Arial"/>
          <w:color w:val="000000" w:themeColor="text1"/>
          <w:sz w:val="22"/>
          <w:lang w:eastAsia="es-MX"/>
        </w:rPr>
        <w:t xml:space="preserve">requisitos habilitantes diferenciales relacionados con alguno o algunos de los siguientes aspectos: i) tiempo de experiencia, ii) número de contratos para la acreditación de la experiencia, iii) índices de capacidad financiera, iv) índices de capacidad organizacional y v) valor de la garantía de seriedad de la oferta. </w:t>
      </w:r>
    </w:p>
    <w:p w14:paraId="6BA9F7AF" w14:textId="77777777" w:rsidR="00E35E93" w:rsidRPr="00CC306F" w:rsidRDefault="00E35E93" w:rsidP="004E77FA">
      <w:pPr>
        <w:spacing w:after="240" w:line="276" w:lineRule="auto"/>
        <w:ind w:firstLine="708"/>
        <w:jc w:val="both"/>
        <w:rPr>
          <w:rFonts w:ascii="Geomanist Light" w:hAnsi="Geomanist Light" w:cs="Arial"/>
          <w:sz w:val="22"/>
          <w:lang w:eastAsia="es-MX"/>
        </w:rPr>
      </w:pPr>
      <w:r w:rsidRPr="00CC306F">
        <w:rPr>
          <w:rFonts w:ascii="Geomanist Light" w:hAnsi="Geomanist Light" w:cs="Arial"/>
          <w:color w:val="000000" w:themeColor="text1"/>
          <w:sz w:val="22"/>
          <w:lang w:eastAsia="es-MX"/>
        </w:rPr>
        <w:t xml:space="preserve">Lo anterior significa que para determinar los criterios diferenciales para </w:t>
      </w:r>
      <w:proofErr w:type="spellStart"/>
      <w:r w:rsidRPr="00CC306F">
        <w:rPr>
          <w:rFonts w:ascii="Geomanist Light" w:hAnsi="Geomanist Light" w:cs="Arial"/>
          <w:color w:val="000000" w:themeColor="text1"/>
          <w:sz w:val="22"/>
          <w:lang w:eastAsia="es-MX"/>
        </w:rPr>
        <w:t>Mipyme</w:t>
      </w:r>
      <w:proofErr w:type="spellEnd"/>
      <w:r w:rsidRPr="00CC306F">
        <w:rPr>
          <w:rFonts w:ascii="Geomanist Light" w:hAnsi="Geomanist Light" w:cs="Arial"/>
          <w:color w:val="000000" w:themeColor="text1"/>
          <w:sz w:val="22"/>
          <w:lang w:eastAsia="es-MX"/>
        </w:rPr>
        <w:t xml:space="preserve">, las entidades podrán escoger uno o algunos de estos elementos relacionados con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w:t>
      </w:r>
      <w:r w:rsidRPr="00CC306F">
        <w:rPr>
          <w:rFonts w:ascii="Geomanist Light" w:hAnsi="Geomanist Light" w:cs="Arial"/>
          <w:color w:val="000000" w:themeColor="text1"/>
          <w:sz w:val="22"/>
          <w:lang w:eastAsia="es-MX"/>
        </w:rPr>
        <w:lastRenderedPageBreak/>
        <w:t xml:space="preserve">frente a los demás proponentes que concurran al procedimiento de selección que no sean </w:t>
      </w:r>
      <w:proofErr w:type="spellStart"/>
      <w:r w:rsidRPr="00CC306F">
        <w:rPr>
          <w:rFonts w:ascii="Geomanist Light" w:hAnsi="Geomanist Light" w:cs="Arial"/>
          <w:color w:val="000000" w:themeColor="text1"/>
          <w:sz w:val="22"/>
          <w:lang w:eastAsia="es-MX"/>
        </w:rPr>
        <w:t>Mipyme</w:t>
      </w:r>
      <w:proofErr w:type="spellEnd"/>
      <w:r w:rsidRPr="00CC306F">
        <w:rPr>
          <w:rFonts w:ascii="Geomanist Light" w:hAnsi="Geomanist Light" w:cs="Arial"/>
          <w:color w:val="000000" w:themeColor="text1"/>
          <w:sz w:val="22"/>
          <w:lang w:eastAsia="es-MX"/>
        </w:rPr>
        <w:t xml:space="preserve">. </w:t>
      </w:r>
    </w:p>
    <w:bookmarkEnd w:id="19"/>
    <w:p w14:paraId="728FF779" w14:textId="21571AAB" w:rsidR="00E35E93" w:rsidRPr="00CC306F" w:rsidRDefault="00160CFF" w:rsidP="004E77FA">
      <w:pPr>
        <w:spacing w:after="240" w:line="276" w:lineRule="auto"/>
        <w:ind w:firstLine="708"/>
        <w:jc w:val="both"/>
        <w:rPr>
          <w:rFonts w:ascii="Geomanist Light" w:hAnsi="Geomanist Light" w:cs="Arial"/>
          <w:color w:val="000000" w:themeColor="text1"/>
          <w:sz w:val="22"/>
          <w:lang w:eastAsia="es-MX"/>
        </w:rPr>
      </w:pPr>
      <w:r w:rsidRPr="00CC306F">
        <w:rPr>
          <w:rFonts w:ascii="Geomanist Light" w:hAnsi="Geomanist Light" w:cs="Arial"/>
          <w:sz w:val="22"/>
          <w:lang w:eastAsia="es-MX"/>
        </w:rPr>
        <w:t xml:space="preserve">Así </w:t>
      </w:r>
      <w:r w:rsidR="00E35E93" w:rsidRPr="00CC306F">
        <w:rPr>
          <w:rFonts w:ascii="Geomanist Light" w:hAnsi="Geomanist Light" w:cs="Arial"/>
          <w:sz w:val="22"/>
          <w:lang w:eastAsia="es-MX"/>
        </w:rPr>
        <w:t xml:space="preserve">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w:t>
      </w:r>
      <w:r w:rsidR="00E35E93" w:rsidRPr="00CC306F">
        <w:rPr>
          <w:rFonts w:ascii="Geomanist Light" w:hAnsi="Geomanist Light" w:cs="Arial"/>
          <w:color w:val="000000" w:themeColor="text1"/>
          <w:sz w:val="22"/>
          <w:lang w:eastAsia="es-MX"/>
        </w:rPr>
        <w:t xml:space="preserve">Esto con el objeto de que la aplicación del incentivo no vaya en desmedro de la escogencia de la oferta más favorable para la entidad, conforme el deber de selección objetiva exige, por lo que el reglamento estimó como adecuado el porcentaje señalado. </w:t>
      </w:r>
    </w:p>
    <w:p w14:paraId="2556B073" w14:textId="226478D0" w:rsidR="00E35E93" w:rsidRPr="00CC306F" w:rsidRDefault="00E35E93" w:rsidP="004E77FA">
      <w:pPr>
        <w:spacing w:after="240" w:line="276" w:lineRule="auto"/>
        <w:ind w:firstLine="708"/>
        <w:jc w:val="both"/>
        <w:rPr>
          <w:rFonts w:ascii="Geomanist Light" w:hAnsi="Geomanist Light" w:cs="Arial"/>
          <w:color w:val="000000" w:themeColor="text1"/>
          <w:sz w:val="22"/>
          <w:lang w:eastAsia="es-MX"/>
        </w:rPr>
      </w:pPr>
      <w:r w:rsidRPr="00CC306F">
        <w:rPr>
          <w:rFonts w:ascii="Geomanist Light" w:hAnsi="Geomanist Light" w:cs="Arial"/>
          <w:sz w:val="22"/>
          <w:lang w:eastAsia="es-MX"/>
        </w:rPr>
        <w:t xml:space="preserve">En lo relativo a la aplicación de los criterios diferenciales y puntajes adicionales para proponentes plurales, solo se aplicarán si por lo menos uno de los integrantes acredita la calidad de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y tiene una participación igual o superior al diez por ciento (10%) en el consorcio o en la unión temporal. Así mismo, de conformidad con el parágrafo 3 del artículo </w:t>
      </w:r>
      <w:r w:rsidRPr="00CC306F">
        <w:rPr>
          <w:rFonts w:ascii="Geomanist Light" w:hAnsi="Geomanist Light" w:cs="Arial"/>
          <w:bCs/>
          <w:sz w:val="22"/>
          <w:lang w:eastAsia="es-MX"/>
        </w:rPr>
        <w:t xml:space="preserve">2.2.1.2.4.2.18 del </w:t>
      </w:r>
      <w:r w:rsidRPr="00CC306F">
        <w:rPr>
          <w:rFonts w:ascii="Geomanist Light" w:hAnsi="Geomanist Light" w:cs="Arial"/>
          <w:sz w:val="22"/>
          <w:lang w:eastAsia="es-MX"/>
        </w:rPr>
        <w:t>Decreto 1082 de 2015 los criterios diferenciales y puntajes adicionales en favor de las micro, pequeñas y medianas empresas no</w:t>
      </w:r>
      <w:r w:rsidRPr="00CC306F">
        <w:rPr>
          <w:rFonts w:ascii="Geomanist Light" w:hAnsi="Geomanist Light" w:cs="Arial"/>
          <w:color w:val="000000" w:themeColor="text1"/>
          <w:sz w:val="22"/>
          <w:lang w:eastAsia="es-MX"/>
        </w:rPr>
        <w:t xml:space="preserve"> se aplicarán cuando se limiten las convocatorias a </w:t>
      </w:r>
      <w:proofErr w:type="spellStart"/>
      <w:r w:rsidRPr="00CC306F">
        <w:rPr>
          <w:rFonts w:ascii="Geomanist Light" w:hAnsi="Geomanist Light" w:cs="Arial"/>
          <w:color w:val="000000" w:themeColor="text1"/>
          <w:sz w:val="22"/>
          <w:lang w:eastAsia="es-MX"/>
        </w:rPr>
        <w:t>Mipyme</w:t>
      </w:r>
      <w:proofErr w:type="spellEnd"/>
      <w:r w:rsidRPr="00CC306F">
        <w:rPr>
          <w:rFonts w:ascii="Geomanist Light" w:hAnsi="Geomanist Light" w:cs="Arial"/>
          <w:color w:val="000000" w:themeColor="text1"/>
          <w:sz w:val="22"/>
          <w:lang w:eastAsia="es-MX"/>
        </w:rPr>
        <w:t xml:space="preserve"> en los términos de los artículos 2.2.1.2.4.2.2 y 2.2.1.2.4.2.3 de este Decreto. </w:t>
      </w:r>
    </w:p>
    <w:p w14:paraId="57BA157F" w14:textId="3159347F" w:rsidR="00BA5485" w:rsidRPr="00CC306F" w:rsidRDefault="009A6223" w:rsidP="004E77FA">
      <w:pPr>
        <w:spacing w:after="240" w:line="276" w:lineRule="auto"/>
        <w:ind w:firstLine="709"/>
        <w:jc w:val="both"/>
        <w:rPr>
          <w:rFonts w:ascii="Geomanist Light" w:hAnsi="Geomanist Light" w:cs="Arial"/>
          <w:sz w:val="22"/>
          <w:lang w:eastAsia="es-MX"/>
        </w:rPr>
      </w:pPr>
      <w:r w:rsidRPr="00CC306F">
        <w:rPr>
          <w:rFonts w:ascii="Geomanist Light" w:hAnsi="Geomanist Light" w:cs="Arial"/>
          <w:sz w:val="22"/>
          <w:lang w:eastAsia="es-MX"/>
        </w:rPr>
        <w:t>Ahora bien, para efectos de la acreditación c</w:t>
      </w:r>
      <w:r w:rsidR="00BA5485" w:rsidRPr="00CC306F">
        <w:rPr>
          <w:rFonts w:ascii="Geomanist Light" w:hAnsi="Geomanist Light" w:cs="Arial"/>
          <w:sz w:val="22"/>
          <w:lang w:eastAsia="es-MX"/>
        </w:rPr>
        <w:t xml:space="preserve">onforme a lo establecido en el artículo 2.2.1.2.4.2.18. que establece la posibilidad de otorgar puntaje adicional a </w:t>
      </w:r>
      <w:proofErr w:type="spellStart"/>
      <w:r w:rsidR="00BA5485" w:rsidRPr="00CC306F">
        <w:rPr>
          <w:rFonts w:ascii="Geomanist Light" w:hAnsi="Geomanist Light" w:cs="Arial"/>
          <w:sz w:val="22"/>
          <w:lang w:eastAsia="es-MX"/>
        </w:rPr>
        <w:t>Mipymes</w:t>
      </w:r>
      <w:proofErr w:type="spellEnd"/>
      <w:r w:rsidR="00BA5485" w:rsidRPr="00CC306F">
        <w:rPr>
          <w:rFonts w:ascii="Geomanist Light" w:hAnsi="Geomanist Light" w:cs="Arial"/>
          <w:sz w:val="22"/>
          <w:lang w:eastAsia="es-MX"/>
        </w:rPr>
        <w:t>, para los efectos de dicho beneficio los criterios de clasificación empresarial son los definidos en el artículo </w:t>
      </w:r>
      <w:hyperlink r:id="rId12" w:anchor="2.2.1.13.2.2" w:history="1">
        <w:r w:rsidR="00BA5485" w:rsidRPr="00CC306F">
          <w:rPr>
            <w:rFonts w:ascii="Geomanist Light" w:hAnsi="Geomanist Light" w:cs="Arial"/>
            <w:sz w:val="22"/>
            <w:lang w:eastAsia="es-MX"/>
          </w:rPr>
          <w:t>2.2.1.13.2.2</w:t>
        </w:r>
      </w:hyperlink>
      <w:r w:rsidR="00BA5485" w:rsidRPr="00CC306F">
        <w:rPr>
          <w:rFonts w:ascii="Geomanist Light" w:hAnsi="Geomanist Light" w:cs="Arial"/>
          <w:sz w:val="22"/>
          <w:lang w:eastAsia="es-MX"/>
        </w:rPr>
        <w:t> del Decreto 1074 de 2015, Único Reglamentario del Sector Comercio, Industria y Turismo, o la norma que lo modifique, derogue o sustituya.</w:t>
      </w:r>
    </w:p>
    <w:p w14:paraId="18D78A8C" w14:textId="77777777" w:rsidR="00BA5485" w:rsidRPr="00CC306F" w:rsidRDefault="00BA5485" w:rsidP="004E77FA">
      <w:pPr>
        <w:spacing w:after="240" w:line="276" w:lineRule="auto"/>
        <w:jc w:val="both"/>
        <w:rPr>
          <w:rFonts w:ascii="Geomanist Light" w:hAnsi="Geomanist Light" w:cs="Arial"/>
          <w:sz w:val="22"/>
          <w:lang w:eastAsia="es-MX"/>
        </w:rPr>
      </w:pPr>
    </w:p>
    <w:p w14:paraId="0F0ABC20" w14:textId="7D0F1B22" w:rsidR="00BA5485" w:rsidRPr="00CC306F" w:rsidRDefault="00BA5485" w:rsidP="003D4FAA">
      <w:pPr>
        <w:pStyle w:val="NormalWeb"/>
        <w:shd w:val="clear" w:color="auto" w:fill="FFFFFF"/>
        <w:spacing w:before="0" w:beforeAutospacing="0" w:after="240" w:afterAutospacing="0" w:line="276" w:lineRule="auto"/>
        <w:ind w:firstLine="709"/>
        <w:jc w:val="both"/>
        <w:rPr>
          <w:rFonts w:ascii="Geomanist Light" w:hAnsi="Geomanist Light" w:cs="Arial"/>
          <w:sz w:val="22"/>
          <w:lang w:eastAsia="es-MX"/>
        </w:rPr>
      </w:pPr>
      <w:r w:rsidRPr="00CC306F">
        <w:rPr>
          <w:rFonts w:ascii="Geomanist Light" w:hAnsi="Geomanist Light" w:cs="Arial"/>
          <w:sz w:val="22"/>
          <w:lang w:eastAsia="es-MX"/>
        </w:rPr>
        <w:t xml:space="preserve">A su vez, el artículo </w:t>
      </w:r>
      <w:hyperlink r:id="rId13" w:anchor="2.2.1.13.2.2" w:history="1">
        <w:r w:rsidRPr="00CC306F">
          <w:rPr>
            <w:rFonts w:ascii="Geomanist Light" w:hAnsi="Geomanist Light" w:cs="Arial"/>
            <w:sz w:val="22"/>
            <w:lang w:eastAsia="es-MX"/>
          </w:rPr>
          <w:t>2.2.1.13.2.2</w:t>
        </w:r>
      </w:hyperlink>
      <w:r w:rsidRPr="00CC306F">
        <w:rPr>
          <w:rFonts w:ascii="Geomanist Light" w:hAnsi="Geomanist Light" w:cs="Arial"/>
          <w:sz w:val="22"/>
          <w:lang w:eastAsia="es-MX"/>
        </w:rPr>
        <w:t xml:space="preserve"> del Decreto 1074 de 2015, establece los rangos para la definición del tamaño empresarial y a su vez en el parágrafo del artículo </w:t>
      </w:r>
      <w:bookmarkStart w:id="20" w:name="2.2.1.13.2.4"/>
      <w:bookmarkEnd w:id="20"/>
      <w:r w:rsidRPr="00CC306F">
        <w:rPr>
          <w:rFonts w:ascii="Geomanist Light" w:hAnsi="Geomanist Light" w:cs="Arial"/>
          <w:sz w:val="22"/>
          <w:lang w:eastAsia="es-MX"/>
        </w:rPr>
        <w:t>2.2.1.13.2.4. señaló que, para la aplicación de los incentivos del sistema de compras y contratación pública, la acreditación del tamaño empresarial se efectuará de acuerdo con lo previsto en el artículo 2.2.1.2.4.2.4 del Decreto 1082 de 2015 y demás normas que lo aclaren, modifiquen o adicionen.</w:t>
      </w:r>
    </w:p>
    <w:p w14:paraId="07ADCB12" w14:textId="00550E26" w:rsidR="00BA5485" w:rsidRPr="00CC306F" w:rsidRDefault="00BA5485" w:rsidP="003D4FAA">
      <w:pPr>
        <w:pStyle w:val="NormalWeb"/>
        <w:shd w:val="clear" w:color="auto" w:fill="FFFFFF"/>
        <w:spacing w:before="0" w:beforeAutospacing="0" w:after="240" w:afterAutospacing="0" w:line="276" w:lineRule="auto"/>
        <w:ind w:firstLine="709"/>
        <w:jc w:val="both"/>
        <w:rPr>
          <w:rFonts w:ascii="Geomanist Light" w:hAnsi="Geomanist Light" w:cs="Arial"/>
          <w:sz w:val="22"/>
          <w:lang w:eastAsia="es-MX"/>
        </w:rPr>
      </w:pPr>
      <w:r w:rsidRPr="00CC306F">
        <w:rPr>
          <w:rFonts w:ascii="Geomanist Light" w:hAnsi="Geomanist Light" w:cs="Arial"/>
          <w:sz w:val="22"/>
          <w:lang w:eastAsia="es-MX"/>
        </w:rPr>
        <w:lastRenderedPageBreak/>
        <w:t xml:space="preserve">En tal sentido, el 2.2.1.2.4.2.4 del Decreto 1082 de 2015 modificado por el artículo 5 del Decreto 1860 de 2021 establece que las </w:t>
      </w:r>
      <w:proofErr w:type="spellStart"/>
      <w:r w:rsidRPr="00CC306F">
        <w:rPr>
          <w:rFonts w:ascii="Geomanist Light" w:hAnsi="Geomanist Light" w:cs="Arial"/>
          <w:sz w:val="22"/>
          <w:lang w:eastAsia="es-MX"/>
        </w:rPr>
        <w:t>Mipyme</w:t>
      </w:r>
      <w:proofErr w:type="spellEnd"/>
      <w:r w:rsidRPr="00CC306F">
        <w:rPr>
          <w:rFonts w:ascii="Geomanist Light" w:hAnsi="Geomanist Light" w:cs="Arial"/>
          <w:sz w:val="22"/>
          <w:lang w:eastAsia="es-MX"/>
        </w:rPr>
        <w:t xml:space="preserve"> colombianas deben acreditar que tiene el tamaño empresarial establecido por la ley de la siguiente manera: </w:t>
      </w:r>
    </w:p>
    <w:p w14:paraId="065BC243" w14:textId="4374E689" w:rsidR="00BA5485" w:rsidRPr="00CC306F" w:rsidRDefault="00277D0B" w:rsidP="003D4FAA">
      <w:pPr>
        <w:pStyle w:val="NormalWeb"/>
        <w:shd w:val="clear" w:color="auto" w:fill="FFFFFF"/>
        <w:spacing w:before="0" w:beforeAutospacing="0" w:after="240" w:afterAutospacing="0"/>
        <w:ind w:left="709" w:right="900"/>
        <w:jc w:val="both"/>
        <w:rPr>
          <w:rFonts w:ascii="Geomanist Light" w:hAnsi="Geomanist Light" w:cs="Arial"/>
          <w:sz w:val="21"/>
          <w:szCs w:val="21"/>
          <w:lang w:eastAsia="es-MX"/>
        </w:rPr>
      </w:pPr>
      <w:r w:rsidRPr="00CC306F">
        <w:rPr>
          <w:rFonts w:ascii="Geomanist Light" w:hAnsi="Geomanist Light" w:cs="Arial"/>
          <w:sz w:val="21"/>
          <w:szCs w:val="21"/>
          <w:lang w:eastAsia="es-MX"/>
        </w:rPr>
        <w:t xml:space="preserve">1. </w:t>
      </w:r>
      <w:r w:rsidR="00BA5485" w:rsidRPr="00CC306F">
        <w:rPr>
          <w:rFonts w:ascii="Geomanist Light" w:hAnsi="Geomanist Light" w:cs="Arial"/>
          <w:sz w:val="21"/>
          <w:szCs w:val="21"/>
          <w:lang w:eastAsia="es-MX"/>
        </w:rPr>
        <w:t xml:space="preserve">Las personas naturales mediante certificación expedida por ellos y un contador público, adjuntando copia del registro mercantil. </w:t>
      </w:r>
    </w:p>
    <w:p w14:paraId="4FA7BD3B" w14:textId="39B5283E" w:rsidR="00BA5485" w:rsidRPr="00CC306F" w:rsidRDefault="00277D0B" w:rsidP="003D4FAA">
      <w:pPr>
        <w:pStyle w:val="NormalWeb"/>
        <w:shd w:val="clear" w:color="auto" w:fill="FFFFFF"/>
        <w:spacing w:before="0" w:beforeAutospacing="0" w:after="240" w:afterAutospacing="0"/>
        <w:ind w:left="709" w:right="900"/>
        <w:jc w:val="both"/>
        <w:rPr>
          <w:rFonts w:ascii="Geomanist Light" w:hAnsi="Geomanist Light" w:cs="Arial"/>
          <w:sz w:val="21"/>
          <w:szCs w:val="21"/>
          <w:lang w:eastAsia="es-MX"/>
        </w:rPr>
      </w:pPr>
      <w:r w:rsidRPr="00CC306F">
        <w:rPr>
          <w:rFonts w:ascii="Geomanist Light" w:hAnsi="Geomanist Light" w:cs="Arial"/>
          <w:sz w:val="21"/>
          <w:szCs w:val="21"/>
          <w:lang w:eastAsia="es-MX"/>
        </w:rPr>
        <w:t xml:space="preserve">2. </w:t>
      </w:r>
      <w:r w:rsidR="00BA5485" w:rsidRPr="00CC306F">
        <w:rPr>
          <w:rFonts w:ascii="Geomanist Light" w:hAnsi="Geomanist Light" w:cs="Arial"/>
          <w:sz w:val="21"/>
          <w:szCs w:val="21"/>
          <w:lang w:eastAsia="es-MX"/>
        </w:rPr>
        <w:t xml:space="preserve">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w:t>
      </w:r>
    </w:p>
    <w:p w14:paraId="2D3B8E17" w14:textId="711364C3" w:rsidR="00D51728" w:rsidRPr="00CC306F" w:rsidRDefault="00BA5485" w:rsidP="004E77FA">
      <w:pPr>
        <w:spacing w:after="240"/>
        <w:ind w:left="709" w:right="900"/>
        <w:jc w:val="both"/>
        <w:rPr>
          <w:rFonts w:ascii="Geomanist Light" w:hAnsi="Geomanist Light" w:cs="Arial"/>
          <w:sz w:val="22"/>
          <w:lang w:eastAsia="es-MX"/>
        </w:rPr>
      </w:pPr>
      <w:r w:rsidRPr="00CC306F">
        <w:rPr>
          <w:rFonts w:ascii="Geomanist Light" w:hAnsi="Geomanist Light" w:cs="Arial"/>
          <w:sz w:val="21"/>
          <w:szCs w:val="21"/>
          <w:lang w:eastAsia="es-MX"/>
        </w:rPr>
        <w:t xml:space="preserve">Parágrafo 1. En todo caso, las </w:t>
      </w:r>
      <w:proofErr w:type="spellStart"/>
      <w:r w:rsidRPr="00CC306F">
        <w:rPr>
          <w:rFonts w:ascii="Geomanist Light" w:hAnsi="Geomanist Light" w:cs="Arial"/>
          <w:sz w:val="21"/>
          <w:szCs w:val="21"/>
          <w:lang w:eastAsia="es-MX"/>
        </w:rPr>
        <w:t>Mipyme</w:t>
      </w:r>
      <w:proofErr w:type="spellEnd"/>
      <w:r w:rsidRPr="00CC306F">
        <w:rPr>
          <w:rFonts w:ascii="Geomanist Light" w:hAnsi="Geomanist Light" w:cs="Arial"/>
          <w:sz w:val="21"/>
          <w:szCs w:val="21"/>
          <w:lang w:eastAsia="es-MX"/>
        </w:rPr>
        <w:t xml:space="preserve"> también podrán acreditar esta condición con la copia del certificado del Registro Único de Proponentes, el cual deberá encontrarse vigente y en firme al momento de su presentación.</w:t>
      </w:r>
    </w:p>
    <w:bookmarkEnd w:id="8"/>
    <w:p w14:paraId="089B0EA3" w14:textId="135341A9" w:rsidR="00175D56" w:rsidRPr="003D4FAA" w:rsidRDefault="00465C12" w:rsidP="003D4FAA">
      <w:pPr>
        <w:spacing w:after="240" w:line="276" w:lineRule="auto"/>
        <w:ind w:firstLine="709"/>
        <w:jc w:val="both"/>
        <w:rPr>
          <w:rFonts w:ascii="Geomanist Light" w:hAnsi="Geomanist Light" w:cs="Arial"/>
          <w:sz w:val="22"/>
          <w:szCs w:val="22"/>
          <w:lang w:val="es-ES_tradnl"/>
        </w:rPr>
      </w:pPr>
      <w:r w:rsidRPr="00CC306F">
        <w:rPr>
          <w:rFonts w:ascii="Geomanist Light" w:hAnsi="Geomanist Light" w:cs="Arial"/>
          <w:sz w:val="22"/>
          <w:szCs w:val="22"/>
          <w:lang w:val="es-ES_tradnl"/>
        </w:rPr>
        <w:t xml:space="preserve">Conforme a lo expuesto, la normativa descrita establece que </w:t>
      </w:r>
      <w:r w:rsidR="00175D56" w:rsidRPr="00CC306F">
        <w:rPr>
          <w:rFonts w:ascii="Geomanist Light" w:hAnsi="Geomanist Light" w:cs="Arial"/>
          <w:sz w:val="22"/>
          <w:szCs w:val="22"/>
          <w:lang w:val="es-ES_tradnl"/>
        </w:rPr>
        <w:t>los criterios de clasificación empresarial son los definidos en el artículo </w:t>
      </w:r>
      <w:hyperlink r:id="rId14" w:anchor="2.2.1.13.2.2" w:history="1">
        <w:r w:rsidR="00175D56" w:rsidRPr="00CC306F">
          <w:rPr>
            <w:rFonts w:ascii="Geomanist Light" w:hAnsi="Geomanist Light" w:cs="Arial"/>
            <w:sz w:val="22"/>
            <w:szCs w:val="22"/>
            <w:lang w:val="es-ES_tradnl"/>
          </w:rPr>
          <w:t>2.2.1.13.2.2</w:t>
        </w:r>
      </w:hyperlink>
      <w:r w:rsidR="00175D56" w:rsidRPr="00CC306F">
        <w:rPr>
          <w:rFonts w:ascii="Geomanist Light" w:hAnsi="Geomanist Light" w:cs="Arial"/>
          <w:sz w:val="22"/>
          <w:szCs w:val="22"/>
          <w:lang w:val="es-ES_tradnl"/>
        </w:rPr>
        <w:t> del Decreto 1074 de 2015, Único Reglamentario del Sector Comercio, Industria y Turismo, o la norma que lo modifique, derogue o sustituya, norma que además de establecer los rangos para la definición del tamaño empresarial precisó en el parágrafo de su artículo 2.2.1.13.2.4.  que, para la aplicación de los incentivos del sistema de compras y contratación pública, la acreditación del tamaño empresarial se efectuará de acuerdo con lo previsto en el artículo 2.2.1.2.4.2.4 del Decreto 1082 de 2015 y demás normas que lo aclaren, modifiquen o adicionen.</w:t>
      </w:r>
    </w:p>
    <w:p w14:paraId="256CCD83" w14:textId="32A2B603" w:rsidR="00175D56" w:rsidRPr="00CC306F" w:rsidRDefault="00175D56" w:rsidP="003D4FAA">
      <w:pPr>
        <w:pStyle w:val="NormalWeb"/>
        <w:shd w:val="clear" w:color="auto" w:fill="FFFFFF"/>
        <w:spacing w:before="0" w:beforeAutospacing="0" w:after="240" w:afterAutospacing="0" w:line="276" w:lineRule="auto"/>
        <w:ind w:firstLine="709"/>
        <w:jc w:val="both"/>
        <w:rPr>
          <w:rFonts w:ascii="Geomanist Light" w:hAnsi="Geomanist Light" w:cs="Arial"/>
          <w:sz w:val="22"/>
          <w:szCs w:val="22"/>
        </w:rPr>
      </w:pPr>
      <w:r w:rsidRPr="00CC306F">
        <w:rPr>
          <w:rFonts w:ascii="Geomanist Light" w:eastAsia="Calibri" w:hAnsi="Geomanist Light" w:cs="Arial"/>
          <w:sz w:val="22"/>
          <w:szCs w:val="22"/>
          <w:lang w:val="es-ES_tradnl" w:eastAsia="en-US"/>
        </w:rPr>
        <w:t xml:space="preserve">En tal sentido, el 2.2.1.2.4.2.4 del Decreto 1082 de 2015 modificado por el artículo 5 del Decreto 1860 de 2021 establece que las </w:t>
      </w:r>
      <w:proofErr w:type="spellStart"/>
      <w:r w:rsidRPr="00CC306F">
        <w:rPr>
          <w:rFonts w:ascii="Geomanist Light" w:hAnsi="Geomanist Light" w:cs="Arial"/>
          <w:sz w:val="22"/>
          <w:szCs w:val="22"/>
        </w:rPr>
        <w:t>Mipyme</w:t>
      </w:r>
      <w:proofErr w:type="spellEnd"/>
      <w:r w:rsidRPr="00CC306F">
        <w:rPr>
          <w:rFonts w:ascii="Geomanist Light" w:hAnsi="Geomanist Light" w:cs="Arial"/>
          <w:sz w:val="22"/>
          <w:szCs w:val="22"/>
        </w:rPr>
        <w:t xml:space="preserve"> colombianas deben acreditar que tiene el tamaño empresarial establecido por la ley de la siguiente manera: </w:t>
      </w:r>
      <w:r w:rsidR="00465C12" w:rsidRPr="00CC306F">
        <w:rPr>
          <w:rFonts w:ascii="Geomanist Light" w:hAnsi="Geomanist Light" w:cs="Arial"/>
          <w:sz w:val="22"/>
          <w:szCs w:val="22"/>
        </w:rPr>
        <w:t>i)</w:t>
      </w:r>
      <w:r w:rsidRPr="00CC306F">
        <w:rPr>
          <w:rFonts w:ascii="Geomanist Light" w:hAnsi="Geomanist Light" w:cs="Arial"/>
          <w:sz w:val="22"/>
          <w:szCs w:val="22"/>
        </w:rPr>
        <w:t xml:space="preserve"> </w:t>
      </w:r>
      <w:r w:rsidR="00465C12" w:rsidRPr="00CC306F">
        <w:rPr>
          <w:rFonts w:ascii="Geomanist Light" w:hAnsi="Geomanist Light" w:cs="Arial"/>
          <w:sz w:val="22"/>
          <w:szCs w:val="22"/>
        </w:rPr>
        <w:t>l</w:t>
      </w:r>
      <w:r w:rsidRPr="00CC306F">
        <w:rPr>
          <w:rFonts w:ascii="Geomanist Light" w:hAnsi="Geomanist Light" w:cs="Arial"/>
          <w:sz w:val="22"/>
          <w:szCs w:val="22"/>
        </w:rPr>
        <w:t xml:space="preserve">as personas naturales mediante certificación expedida por ellos y un contador público, adjuntando copia del registro mercantil; </w:t>
      </w:r>
      <w:r w:rsidR="00465C12" w:rsidRPr="00CC306F">
        <w:rPr>
          <w:rFonts w:ascii="Geomanist Light" w:hAnsi="Geomanist Light" w:cs="Arial"/>
          <w:sz w:val="22"/>
          <w:szCs w:val="22"/>
        </w:rPr>
        <w:t>ii)</w:t>
      </w:r>
      <w:r w:rsidRPr="00CC306F">
        <w:rPr>
          <w:rFonts w:ascii="Geomanist Light" w:hAnsi="Geomanist Light" w:cs="Arial"/>
          <w:sz w:val="22"/>
          <w:szCs w:val="22"/>
        </w:rPr>
        <w:t xml:space="preserve"> </w:t>
      </w:r>
      <w:r w:rsidR="00465C12" w:rsidRPr="00CC306F">
        <w:rPr>
          <w:rFonts w:ascii="Geomanist Light" w:hAnsi="Geomanist Light" w:cs="Arial"/>
          <w:sz w:val="22"/>
          <w:szCs w:val="22"/>
        </w:rPr>
        <w:t>l</w:t>
      </w:r>
      <w:r w:rsidRPr="00CC306F">
        <w:rPr>
          <w:rFonts w:ascii="Geomanist Light" w:hAnsi="Geomanist Light" w:cs="Arial"/>
          <w:sz w:val="22"/>
          <w:szCs w:val="22"/>
        </w:rPr>
        <w:t xml:space="preserve">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w:t>
      </w:r>
    </w:p>
    <w:p w14:paraId="76BEA29F" w14:textId="77777777" w:rsidR="00465C12" w:rsidRPr="00CC306F" w:rsidRDefault="00175D56" w:rsidP="004E77FA">
      <w:pPr>
        <w:tabs>
          <w:tab w:val="left" w:pos="0"/>
        </w:tabs>
        <w:spacing w:after="240" w:line="276" w:lineRule="auto"/>
        <w:ind w:firstLine="709"/>
        <w:contextualSpacing/>
        <w:jc w:val="both"/>
        <w:rPr>
          <w:rFonts w:ascii="Geomanist Light" w:hAnsi="Geomanist Light" w:cs="Arial"/>
          <w:sz w:val="22"/>
          <w:szCs w:val="22"/>
        </w:rPr>
      </w:pPr>
      <w:r w:rsidRPr="00CC306F">
        <w:rPr>
          <w:rFonts w:ascii="Geomanist Light" w:hAnsi="Geomanist Light" w:cs="Arial"/>
          <w:sz w:val="22"/>
          <w:szCs w:val="22"/>
        </w:rPr>
        <w:t xml:space="preserve">No obstante, el parágrafo 1 ibídem establece que </w:t>
      </w:r>
      <w:r w:rsidRPr="00CC306F">
        <w:rPr>
          <w:rFonts w:ascii="Geomanist Light" w:hAnsi="Geomanist Light" w:cs="Arial"/>
          <w:i/>
          <w:sz w:val="22"/>
          <w:szCs w:val="22"/>
        </w:rPr>
        <w:t xml:space="preserve">“En todo caso, las </w:t>
      </w:r>
      <w:proofErr w:type="spellStart"/>
      <w:r w:rsidRPr="00CC306F">
        <w:rPr>
          <w:rFonts w:ascii="Geomanist Light" w:hAnsi="Geomanist Light" w:cs="Arial"/>
          <w:i/>
          <w:sz w:val="22"/>
          <w:szCs w:val="22"/>
        </w:rPr>
        <w:t>Mipyme</w:t>
      </w:r>
      <w:proofErr w:type="spellEnd"/>
      <w:r w:rsidRPr="00CC306F">
        <w:rPr>
          <w:rFonts w:ascii="Geomanist Light" w:hAnsi="Geomanist Light" w:cs="Arial"/>
          <w:i/>
          <w:sz w:val="22"/>
          <w:szCs w:val="22"/>
        </w:rPr>
        <w:t xml:space="preserve"> también podrán acreditar esta condición con la copia del certificado del Registro Único de Proponentes, el cual deberá encontrarse vigente y en firme al momento de su presentación</w:t>
      </w:r>
      <w:r w:rsidRPr="00CC306F">
        <w:rPr>
          <w:rFonts w:ascii="Geomanist Light" w:hAnsi="Geomanist Light" w:cs="Arial"/>
          <w:sz w:val="22"/>
          <w:szCs w:val="22"/>
        </w:rPr>
        <w:t xml:space="preserve">”. </w:t>
      </w:r>
    </w:p>
    <w:p w14:paraId="7007C233" w14:textId="2AE38DAB" w:rsidR="00EB7970" w:rsidRPr="00CC306F" w:rsidRDefault="00175D56" w:rsidP="004E77FA">
      <w:pPr>
        <w:tabs>
          <w:tab w:val="left" w:pos="0"/>
        </w:tabs>
        <w:spacing w:after="240" w:line="276" w:lineRule="auto"/>
        <w:ind w:firstLine="709"/>
        <w:contextualSpacing/>
        <w:jc w:val="both"/>
        <w:rPr>
          <w:rFonts w:ascii="Geomanist Light" w:eastAsia="Calibri" w:hAnsi="Geomanist Light" w:cs="Arial"/>
          <w:b/>
          <w:color w:val="000000" w:themeColor="text1"/>
          <w:sz w:val="22"/>
          <w:szCs w:val="22"/>
          <w:lang w:val="es-ES_tradnl"/>
        </w:rPr>
      </w:pPr>
      <w:r w:rsidRPr="00CC306F">
        <w:rPr>
          <w:rFonts w:ascii="Geomanist Light" w:eastAsia="Arial" w:hAnsi="Geomanist Light" w:cs="Arial"/>
          <w:color w:val="000000"/>
          <w:sz w:val="22"/>
          <w:szCs w:val="22"/>
        </w:rPr>
        <w:t xml:space="preserve">De este modo, las entidades deben dar cumplimiento expreso a las distintas posibilidades que otorga el Decreto 1082 para </w:t>
      </w:r>
      <w:r w:rsidRPr="00CC306F">
        <w:rPr>
          <w:rFonts w:ascii="Geomanist Light" w:hAnsi="Geomanist Light" w:cs="Arial"/>
          <w:sz w:val="22"/>
          <w:szCs w:val="22"/>
        </w:rPr>
        <w:t>acreditar que tiene el tamaño empresarial establecido por la ley</w:t>
      </w:r>
      <w:r w:rsidRPr="00CC306F">
        <w:rPr>
          <w:rFonts w:ascii="Geomanist Light" w:hAnsi="Geomanist Light" w:cs="Arial"/>
          <w:sz w:val="22"/>
          <w:szCs w:val="22"/>
          <w:lang w:val="es-ES_tradnl"/>
        </w:rPr>
        <w:t xml:space="preserve">. De tal suerte que </w:t>
      </w:r>
      <w:r w:rsidRPr="00CC306F">
        <w:rPr>
          <w:rFonts w:ascii="Geomanist Light" w:hAnsi="Geomanist Light" w:cs="Arial"/>
          <w:sz w:val="22"/>
          <w:szCs w:val="22"/>
        </w:rPr>
        <w:t xml:space="preserve">las </w:t>
      </w:r>
      <w:proofErr w:type="spellStart"/>
      <w:r w:rsidRPr="00CC306F">
        <w:rPr>
          <w:rFonts w:ascii="Geomanist Light" w:hAnsi="Geomanist Light" w:cs="Arial"/>
          <w:sz w:val="22"/>
          <w:szCs w:val="22"/>
        </w:rPr>
        <w:t>Mipyme</w:t>
      </w:r>
      <w:proofErr w:type="spellEnd"/>
      <w:r w:rsidRPr="00CC306F">
        <w:rPr>
          <w:rFonts w:ascii="Geomanist Light" w:hAnsi="Geomanist Light" w:cs="Arial"/>
          <w:sz w:val="22"/>
          <w:szCs w:val="22"/>
        </w:rPr>
        <w:t xml:space="preserve"> también podrán acreditar esta condición </w:t>
      </w:r>
      <w:r w:rsidRPr="00CC306F">
        <w:rPr>
          <w:rFonts w:ascii="Geomanist Light" w:hAnsi="Geomanist Light" w:cs="Arial"/>
          <w:sz w:val="22"/>
          <w:szCs w:val="22"/>
        </w:rPr>
        <w:lastRenderedPageBreak/>
        <w:t>con la copia del certificado del Registro Único de Proponentes, el cual deberá encontrarse vigente y en firme al momento de su presentación.</w:t>
      </w:r>
    </w:p>
    <w:p w14:paraId="32C62381" w14:textId="77777777" w:rsidR="00CC306F" w:rsidRPr="00CC306F" w:rsidRDefault="00CC306F" w:rsidP="004E77FA">
      <w:pPr>
        <w:tabs>
          <w:tab w:val="left" w:pos="0"/>
        </w:tabs>
        <w:spacing w:after="240" w:line="276" w:lineRule="auto"/>
        <w:contextualSpacing/>
        <w:jc w:val="both"/>
        <w:rPr>
          <w:rFonts w:ascii="Geomanist Light" w:eastAsia="Calibri" w:hAnsi="Geomanist Light" w:cs="Arial"/>
          <w:b/>
          <w:color w:val="000000" w:themeColor="text1"/>
          <w:sz w:val="22"/>
          <w:lang w:val="es-ES_tradnl"/>
        </w:rPr>
      </w:pPr>
    </w:p>
    <w:p w14:paraId="018E5588" w14:textId="114A947B" w:rsidR="00EB7970" w:rsidRPr="00CC306F" w:rsidRDefault="00751030" w:rsidP="004E77FA">
      <w:pPr>
        <w:tabs>
          <w:tab w:val="left" w:pos="0"/>
        </w:tabs>
        <w:spacing w:after="240" w:line="276" w:lineRule="auto"/>
        <w:contextualSpacing/>
        <w:jc w:val="both"/>
        <w:rPr>
          <w:rFonts w:ascii="Geomanist Light" w:eastAsia="Calibri" w:hAnsi="Geomanist Light" w:cs="Arial"/>
          <w:b/>
          <w:color w:val="000000" w:themeColor="text1"/>
          <w:sz w:val="22"/>
          <w:lang w:val="es-ES_tradnl"/>
        </w:rPr>
      </w:pPr>
      <w:r w:rsidRPr="00CC306F">
        <w:rPr>
          <w:rFonts w:ascii="Geomanist Light" w:eastAsia="Calibri" w:hAnsi="Geomanist Light" w:cs="Arial"/>
          <w:b/>
          <w:color w:val="000000" w:themeColor="text1"/>
          <w:sz w:val="22"/>
          <w:lang w:val="es-ES_tradnl"/>
        </w:rPr>
        <w:t xml:space="preserve">2.6. </w:t>
      </w:r>
      <w:r w:rsidR="00CC306F">
        <w:rPr>
          <w:rFonts w:ascii="Geomanist Light" w:eastAsia="Calibri" w:hAnsi="Geomanist Light" w:cs="Arial"/>
          <w:b/>
          <w:color w:val="000000" w:themeColor="text1"/>
          <w:sz w:val="22"/>
          <w:lang w:val="es-ES_tradnl"/>
        </w:rPr>
        <w:t>El precio en los contratos estatales</w:t>
      </w:r>
    </w:p>
    <w:p w14:paraId="29954AE4" w14:textId="77777777" w:rsidR="00CC306F" w:rsidRPr="00CC306F" w:rsidRDefault="00CC306F" w:rsidP="004E77FA">
      <w:pPr>
        <w:tabs>
          <w:tab w:val="left" w:pos="0"/>
        </w:tabs>
        <w:spacing w:after="240" w:line="276" w:lineRule="auto"/>
        <w:contextualSpacing/>
        <w:jc w:val="both"/>
        <w:rPr>
          <w:rFonts w:ascii="Geomanist Light" w:eastAsia="Calibri" w:hAnsi="Geomanist Light" w:cs="Arial"/>
          <w:b/>
          <w:color w:val="000000" w:themeColor="text1"/>
          <w:sz w:val="22"/>
          <w:szCs w:val="22"/>
          <w:lang w:val="es-ES_tradnl"/>
        </w:rPr>
      </w:pPr>
    </w:p>
    <w:p w14:paraId="3DEB2DEA" w14:textId="6E100497" w:rsidR="006370A0" w:rsidRDefault="002843ED" w:rsidP="004E77FA">
      <w:pPr>
        <w:tabs>
          <w:tab w:val="left" w:pos="0"/>
        </w:tabs>
        <w:spacing w:after="240" w:line="276" w:lineRule="auto"/>
        <w:contextualSpacing/>
        <w:jc w:val="both"/>
        <w:rPr>
          <w:rFonts w:ascii="Geomanist Light" w:hAnsi="Geomanist Light"/>
          <w:sz w:val="22"/>
          <w:szCs w:val="22"/>
        </w:rPr>
      </w:pPr>
      <w:r>
        <w:rPr>
          <w:rFonts w:ascii="Geomanist Light" w:eastAsia="Calibri" w:hAnsi="Geomanist Light" w:cs="Arial"/>
          <w:color w:val="000000" w:themeColor="text1"/>
          <w:sz w:val="22"/>
          <w:szCs w:val="22"/>
          <w:lang w:val="es-ES_tradnl"/>
        </w:rPr>
        <w:t>E</w:t>
      </w:r>
      <w:r w:rsidR="007617C2" w:rsidRPr="00671D8E">
        <w:rPr>
          <w:rFonts w:ascii="Geomanist Light" w:hAnsi="Geomanist Light"/>
          <w:sz w:val="22"/>
          <w:szCs w:val="22"/>
        </w:rPr>
        <w:t xml:space="preserve">n nuestro ordenamiento jurídico, tenemos una definición de precio en el Código Civil y en el Código de Comercio. Ambas codificaciones, al regular el contrato de compraventa, definen el precio como el dinero que el comprador suministra por la cosa vendida: </w:t>
      </w:r>
    </w:p>
    <w:p w14:paraId="1FB2F0DF" w14:textId="77777777" w:rsidR="006370A0" w:rsidRDefault="006370A0" w:rsidP="004E77FA">
      <w:pPr>
        <w:tabs>
          <w:tab w:val="left" w:pos="0"/>
        </w:tabs>
        <w:spacing w:after="240" w:line="276" w:lineRule="auto"/>
        <w:ind w:firstLine="709"/>
        <w:contextualSpacing/>
        <w:jc w:val="both"/>
        <w:rPr>
          <w:rFonts w:ascii="Geomanist Light" w:hAnsi="Geomanist Light"/>
          <w:sz w:val="22"/>
          <w:szCs w:val="22"/>
        </w:rPr>
      </w:pPr>
    </w:p>
    <w:p w14:paraId="3085BF23" w14:textId="77777777" w:rsidR="006370A0" w:rsidRDefault="007617C2" w:rsidP="004E77FA">
      <w:pPr>
        <w:tabs>
          <w:tab w:val="left" w:pos="709"/>
          <w:tab w:val="left" w:pos="6237"/>
        </w:tabs>
        <w:spacing w:after="240"/>
        <w:ind w:left="709" w:right="900"/>
        <w:contextualSpacing/>
        <w:jc w:val="both"/>
        <w:rPr>
          <w:rFonts w:ascii="Geomanist Light" w:hAnsi="Geomanist Light"/>
          <w:sz w:val="21"/>
          <w:szCs w:val="21"/>
        </w:rPr>
      </w:pPr>
      <w:r w:rsidRPr="006370A0">
        <w:rPr>
          <w:rFonts w:ascii="Geomanist Light" w:hAnsi="Geomanist Light"/>
          <w:sz w:val="21"/>
          <w:szCs w:val="21"/>
        </w:rPr>
        <w:t xml:space="preserve">Artículo 1849 del Código Civil: La compraventa es un contrato en que una de las partes se obliga a dar una cosa y la otra a pagarla en dinero. Aquella se dice vender y esta comprar. El dinero que el comprador da por la cosa vendida se llama precio. </w:t>
      </w:r>
    </w:p>
    <w:p w14:paraId="397827BA" w14:textId="76D9E73F" w:rsidR="006370A0" w:rsidRDefault="007617C2" w:rsidP="004E77FA">
      <w:pPr>
        <w:tabs>
          <w:tab w:val="left" w:pos="709"/>
          <w:tab w:val="left" w:pos="6237"/>
        </w:tabs>
        <w:spacing w:after="240"/>
        <w:ind w:left="709" w:right="900"/>
        <w:contextualSpacing/>
        <w:jc w:val="both"/>
        <w:rPr>
          <w:rFonts w:ascii="Geomanist Light" w:hAnsi="Geomanist Light"/>
          <w:sz w:val="22"/>
          <w:szCs w:val="22"/>
        </w:rPr>
      </w:pPr>
      <w:r w:rsidRPr="006370A0">
        <w:rPr>
          <w:rFonts w:ascii="Geomanist Light" w:hAnsi="Geomanist Light"/>
          <w:sz w:val="21"/>
          <w:szCs w:val="21"/>
        </w:rPr>
        <w:t>Artículo 905 del Código de Comercio: La compraventa es un contrato en que una de las partes se obliga a trasmitir la propiedad de una cosa y la otra a pagarla en dinero</w:t>
      </w:r>
      <w:r w:rsidR="006370A0">
        <w:rPr>
          <w:rFonts w:ascii="Geomanist Light" w:hAnsi="Geomanist Light"/>
          <w:sz w:val="21"/>
          <w:szCs w:val="21"/>
        </w:rPr>
        <w:t xml:space="preserve">. </w:t>
      </w:r>
      <w:r w:rsidRPr="006370A0">
        <w:rPr>
          <w:rFonts w:ascii="Geomanist Light" w:hAnsi="Geomanist Light"/>
          <w:sz w:val="21"/>
          <w:szCs w:val="21"/>
        </w:rPr>
        <w:t>El dinero que el comprador da por la cosa vendida se llama precio.</w:t>
      </w:r>
      <w:r w:rsidRPr="00671D8E">
        <w:rPr>
          <w:rFonts w:ascii="Geomanist Light" w:hAnsi="Geomanist Light"/>
          <w:sz w:val="22"/>
          <w:szCs w:val="22"/>
        </w:rPr>
        <w:t xml:space="preserve"> </w:t>
      </w:r>
    </w:p>
    <w:p w14:paraId="1000DC33" w14:textId="77777777" w:rsidR="006370A0" w:rsidRDefault="006370A0" w:rsidP="004E77FA">
      <w:pPr>
        <w:tabs>
          <w:tab w:val="left" w:pos="0"/>
          <w:tab w:val="left" w:pos="6237"/>
        </w:tabs>
        <w:spacing w:after="240" w:line="276" w:lineRule="auto"/>
        <w:ind w:firstLine="709"/>
        <w:contextualSpacing/>
        <w:jc w:val="both"/>
        <w:rPr>
          <w:rFonts w:ascii="Geomanist Light" w:hAnsi="Geomanist Light"/>
          <w:sz w:val="22"/>
          <w:szCs w:val="22"/>
        </w:rPr>
      </w:pPr>
    </w:p>
    <w:p w14:paraId="0EF83CC4" w14:textId="77777777" w:rsidR="006370A0" w:rsidRDefault="007617C2" w:rsidP="004E77FA">
      <w:pPr>
        <w:tabs>
          <w:tab w:val="left" w:pos="0"/>
          <w:tab w:val="left" w:pos="6237"/>
        </w:tabs>
        <w:spacing w:after="240" w:line="276" w:lineRule="auto"/>
        <w:ind w:firstLine="709"/>
        <w:contextualSpacing/>
        <w:jc w:val="both"/>
        <w:rPr>
          <w:rFonts w:ascii="Geomanist Light" w:hAnsi="Geomanist Light"/>
          <w:sz w:val="22"/>
          <w:szCs w:val="22"/>
        </w:rPr>
      </w:pPr>
      <w:r w:rsidRPr="00671D8E">
        <w:rPr>
          <w:rFonts w:ascii="Geomanist Light" w:hAnsi="Geomanist Light"/>
          <w:sz w:val="22"/>
          <w:szCs w:val="22"/>
        </w:rPr>
        <w:t xml:space="preserve">A partir de esta definición,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159A75BB" w14:textId="68D12B73" w:rsidR="00FC67C3" w:rsidRDefault="007617C2" w:rsidP="004E77FA">
      <w:pPr>
        <w:tabs>
          <w:tab w:val="left" w:pos="0"/>
          <w:tab w:val="left" w:pos="6237"/>
        </w:tabs>
        <w:spacing w:after="240" w:line="276" w:lineRule="auto"/>
        <w:ind w:firstLine="709"/>
        <w:contextualSpacing/>
        <w:jc w:val="both"/>
        <w:rPr>
          <w:rFonts w:ascii="Geomanist Light" w:hAnsi="Geomanist Light"/>
          <w:sz w:val="22"/>
          <w:szCs w:val="22"/>
        </w:rPr>
      </w:pPr>
      <w:r w:rsidRPr="00671D8E">
        <w:rPr>
          <w:rFonts w:ascii="Geomanist Light" w:hAnsi="Geomanist Light"/>
          <w:sz w:val="22"/>
          <w:szCs w:val="22"/>
        </w:rPr>
        <w:t>El Consejo de Estado ha señalado que en el precio se entienden incluidos todos los costos en que se incurre para vender un bien o prestar un servicio:</w:t>
      </w:r>
      <w:r w:rsidR="00FC67C3">
        <w:rPr>
          <w:rFonts w:ascii="Geomanist Light" w:hAnsi="Geomanist Light"/>
          <w:sz w:val="22"/>
          <w:szCs w:val="22"/>
        </w:rPr>
        <w:t xml:space="preserve"> </w:t>
      </w:r>
      <w:r w:rsidR="00FC67C3" w:rsidRPr="00CC306F">
        <w:rPr>
          <w:rFonts w:ascii="Geomanist Light" w:eastAsia="Arial" w:hAnsi="Geomanist Light" w:cs="Arial"/>
          <w:color w:val="000000"/>
          <w:sz w:val="21"/>
          <w:szCs w:val="21"/>
        </w:rPr>
        <w:t>«</w:t>
      </w:r>
      <w:r w:rsidRPr="00671D8E">
        <w:rPr>
          <w:rFonts w:ascii="Geomanist Light" w:hAnsi="Geomanist Light"/>
          <w:sz w:val="22"/>
          <w:szCs w:val="22"/>
        </w:rPr>
        <w:t>El precio cubre los costos en que incurre la entidad para prestar el servicio, incluyendo los gastos de funcionamiento y las previsiones para amortización y crecimiento de la inversión</w:t>
      </w:r>
      <w:r w:rsidR="00FC67C3" w:rsidRPr="00CC306F">
        <w:rPr>
          <w:rFonts w:ascii="Geomanist Light" w:eastAsiaTheme="minorHAnsi" w:hAnsi="Geomanist Light" w:cs="Arial"/>
          <w:color w:val="000000" w:themeColor="text1"/>
          <w:sz w:val="21"/>
          <w:szCs w:val="21"/>
          <w:lang w:eastAsia="en-US"/>
        </w:rPr>
        <w:t>»</w:t>
      </w:r>
      <w:r w:rsidR="00FC67C3">
        <w:rPr>
          <w:rStyle w:val="Refdenotaalpie"/>
          <w:rFonts w:ascii="Geomanist Light" w:eastAsiaTheme="minorHAnsi" w:hAnsi="Geomanist Light" w:cs="Arial"/>
          <w:color w:val="000000" w:themeColor="text1"/>
          <w:sz w:val="21"/>
          <w:szCs w:val="21"/>
          <w:lang w:eastAsia="en-US"/>
        </w:rPr>
        <w:footnoteReference w:id="24"/>
      </w:r>
      <w:r w:rsidRPr="00671D8E">
        <w:rPr>
          <w:rFonts w:ascii="Geomanist Light" w:hAnsi="Geomanist Light"/>
          <w:sz w:val="22"/>
          <w:szCs w:val="22"/>
        </w:rPr>
        <w:t xml:space="preserve">. </w:t>
      </w:r>
    </w:p>
    <w:p w14:paraId="660B827B" w14:textId="6975C864" w:rsidR="002E2C77" w:rsidRDefault="007617C2" w:rsidP="004E77FA">
      <w:pPr>
        <w:tabs>
          <w:tab w:val="left" w:pos="0"/>
          <w:tab w:val="left" w:pos="6237"/>
        </w:tabs>
        <w:spacing w:after="240" w:line="276" w:lineRule="auto"/>
        <w:ind w:firstLine="709"/>
        <w:contextualSpacing/>
        <w:jc w:val="both"/>
        <w:rPr>
          <w:rFonts w:ascii="Geomanist Light" w:hAnsi="Geomanist Light"/>
          <w:sz w:val="22"/>
          <w:szCs w:val="22"/>
        </w:rPr>
      </w:pPr>
      <w:r w:rsidRPr="00671D8E">
        <w:rPr>
          <w:rFonts w:ascii="Geomanist Light" w:hAnsi="Geomanist Light"/>
          <w:sz w:val="22"/>
          <w:szCs w:val="22"/>
        </w:rPr>
        <w:t>La doctrina también ha teorizado en torno a lo que se debe entender incluido en el precio en la contratación estatal. Así, se ha sostenido que dentro del precio se incluyen todos los</w:t>
      </w:r>
      <w:r w:rsidR="00EF309E">
        <w:rPr>
          <w:rFonts w:ascii="Geomanist Light" w:hAnsi="Geomanist Light"/>
          <w:sz w:val="22"/>
          <w:szCs w:val="22"/>
        </w:rPr>
        <w:t xml:space="preserve"> </w:t>
      </w:r>
      <w:r w:rsidR="00EF309E" w:rsidRPr="00EF309E">
        <w:rPr>
          <w:rFonts w:ascii="Geomanist Light" w:hAnsi="Geomanist Light"/>
          <w:sz w:val="22"/>
          <w:szCs w:val="22"/>
        </w:rPr>
        <w:t xml:space="preserve">costos en que incurre el contratista para cumplir con las obligaciones que va a adquirir y satisfacer su derecho a obtener utilidad: </w:t>
      </w:r>
    </w:p>
    <w:p w14:paraId="66958BE1" w14:textId="77777777" w:rsidR="003D4FAA" w:rsidRDefault="003D4FAA" w:rsidP="004E77FA">
      <w:pPr>
        <w:tabs>
          <w:tab w:val="left" w:pos="0"/>
          <w:tab w:val="left" w:pos="6237"/>
        </w:tabs>
        <w:spacing w:after="240" w:line="276" w:lineRule="auto"/>
        <w:ind w:firstLine="709"/>
        <w:contextualSpacing/>
        <w:jc w:val="both"/>
        <w:rPr>
          <w:rFonts w:ascii="Geomanist Light" w:hAnsi="Geomanist Light"/>
          <w:sz w:val="22"/>
          <w:szCs w:val="22"/>
        </w:rPr>
      </w:pPr>
    </w:p>
    <w:p w14:paraId="26D0EB18" w14:textId="09E229E2" w:rsidR="002E2C77" w:rsidRPr="002E2C77" w:rsidRDefault="00EF309E" w:rsidP="004E77FA">
      <w:pPr>
        <w:tabs>
          <w:tab w:val="left" w:pos="6237"/>
        </w:tabs>
        <w:spacing w:after="240"/>
        <w:ind w:left="709" w:right="900"/>
        <w:contextualSpacing/>
        <w:jc w:val="both"/>
        <w:rPr>
          <w:rFonts w:ascii="Geomanist Light" w:hAnsi="Geomanist Light"/>
          <w:sz w:val="21"/>
          <w:szCs w:val="21"/>
        </w:rPr>
      </w:pPr>
      <w:r w:rsidRPr="002E2C77">
        <w:rPr>
          <w:rFonts w:ascii="Geomanist Light" w:hAnsi="Geomanist Light"/>
          <w:sz w:val="21"/>
          <w:szCs w:val="21"/>
        </w:rPr>
        <w:t xml:space="preserve">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w:t>
      </w:r>
      <w:r w:rsidRPr="002E2C77">
        <w:rPr>
          <w:rFonts w:ascii="Geomanist Light" w:hAnsi="Geomanist Light"/>
          <w:sz w:val="21"/>
          <w:szCs w:val="21"/>
        </w:rPr>
        <w:lastRenderedPageBreak/>
        <w:t>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w:t>
      </w:r>
      <w:r w:rsidR="009126FF">
        <w:rPr>
          <w:rFonts w:ascii="Geomanist Light" w:hAnsi="Geomanist Light"/>
          <w:sz w:val="21"/>
          <w:szCs w:val="21"/>
        </w:rPr>
        <w:t xml:space="preserve"> en que incurrirá el proponente</w:t>
      </w:r>
      <w:r w:rsidR="009126FF">
        <w:rPr>
          <w:rStyle w:val="Refdenotaalpie"/>
          <w:rFonts w:ascii="Geomanist Light" w:hAnsi="Geomanist Light"/>
          <w:sz w:val="21"/>
          <w:szCs w:val="21"/>
        </w:rPr>
        <w:footnoteReference w:id="25"/>
      </w:r>
      <w:r w:rsidRPr="002E2C77">
        <w:rPr>
          <w:rFonts w:ascii="Geomanist Light" w:hAnsi="Geomanist Light"/>
          <w:sz w:val="21"/>
          <w:szCs w:val="21"/>
        </w:rPr>
        <w:t xml:space="preserve">. </w:t>
      </w:r>
    </w:p>
    <w:p w14:paraId="4F6A7950" w14:textId="51D48923" w:rsidR="00EF309E" w:rsidRDefault="00EF309E" w:rsidP="004E77FA">
      <w:pPr>
        <w:tabs>
          <w:tab w:val="left" w:pos="0"/>
          <w:tab w:val="left" w:pos="6237"/>
        </w:tabs>
        <w:spacing w:after="240" w:line="276" w:lineRule="auto"/>
        <w:ind w:firstLine="709"/>
        <w:contextualSpacing/>
        <w:jc w:val="both"/>
        <w:rPr>
          <w:rFonts w:ascii="Geomanist Light" w:hAnsi="Geomanist Light"/>
          <w:sz w:val="22"/>
          <w:szCs w:val="22"/>
        </w:rPr>
      </w:pPr>
      <w:r w:rsidRPr="00EF309E">
        <w:rPr>
          <w:rFonts w:ascii="Geomanist Light" w:hAnsi="Geomanist Light"/>
          <w:sz w:val="22"/>
          <w:szCs w:val="22"/>
        </w:rPr>
        <w:t>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p w14:paraId="619DD60F" w14:textId="731AA848" w:rsidR="002843ED" w:rsidRDefault="002843ED" w:rsidP="004E77FA">
      <w:pPr>
        <w:tabs>
          <w:tab w:val="left" w:pos="0"/>
          <w:tab w:val="left" w:pos="6237"/>
        </w:tabs>
        <w:spacing w:after="240" w:line="276" w:lineRule="auto"/>
        <w:ind w:firstLine="709"/>
        <w:contextualSpacing/>
        <w:jc w:val="both"/>
        <w:rPr>
          <w:rFonts w:ascii="Geomanist Light" w:hAnsi="Geomanist Light"/>
          <w:sz w:val="22"/>
          <w:szCs w:val="22"/>
        </w:rPr>
      </w:pPr>
    </w:p>
    <w:p w14:paraId="0D313A95" w14:textId="123E2325" w:rsidR="002843ED" w:rsidRPr="00CC306F" w:rsidRDefault="002843ED" w:rsidP="004E77FA">
      <w:pPr>
        <w:spacing w:after="240" w:line="276" w:lineRule="auto"/>
        <w:ind w:firstLine="709"/>
        <w:jc w:val="both"/>
        <w:rPr>
          <w:rFonts w:ascii="Geomanist Light" w:hAnsi="Geomanist Light" w:cs="Arial"/>
          <w:sz w:val="22"/>
          <w:szCs w:val="22"/>
          <w:lang w:val="es-ES_tradnl" w:eastAsia="es-MX"/>
        </w:rPr>
      </w:pPr>
      <w:bookmarkStart w:id="21" w:name="_Hlk54011258"/>
      <w:r>
        <w:rPr>
          <w:rFonts w:ascii="Geomanist Light" w:eastAsia="Calibri" w:hAnsi="Geomanist Light" w:cs="Arial"/>
          <w:bCs/>
          <w:sz w:val="22"/>
          <w:szCs w:val="22"/>
          <w:lang w:val="es-ES_tradnl" w:eastAsia="es-MX"/>
        </w:rPr>
        <w:t>Ahora bien, con respecto a la determinación del precio en los procesos de selección, l</w:t>
      </w:r>
      <w:r w:rsidRPr="00CC306F">
        <w:rPr>
          <w:rFonts w:ascii="Geomanist Light" w:eastAsia="Calibri" w:hAnsi="Geomanist Light" w:cs="Arial"/>
          <w:bCs/>
          <w:sz w:val="22"/>
          <w:szCs w:val="22"/>
          <w:lang w:val="es-ES_tradnl" w:eastAsia="es-MX"/>
        </w:rPr>
        <w:t xml:space="preserve">a planeación contractual es una herramienta de gerencia pública, que </w:t>
      </w:r>
      <w:r>
        <w:rPr>
          <w:rFonts w:ascii="Geomanist Light" w:eastAsia="Calibri" w:hAnsi="Geomanist Light" w:cs="Arial"/>
          <w:bCs/>
          <w:sz w:val="22"/>
          <w:szCs w:val="22"/>
          <w:lang w:val="es-ES_tradnl" w:eastAsia="es-MX"/>
        </w:rPr>
        <w:t>permite</w:t>
      </w:r>
      <w:r w:rsidRPr="00CC306F">
        <w:rPr>
          <w:rFonts w:ascii="Geomanist Light" w:eastAsia="Calibri" w:hAnsi="Geomanist Light" w:cs="Arial"/>
          <w:bCs/>
          <w:sz w:val="22"/>
          <w:szCs w:val="22"/>
          <w:lang w:val="es-ES_tradnl" w:eastAsia="es-MX"/>
        </w:rPr>
        <w:t xml:space="preserv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21"/>
      <w:r w:rsidRPr="00CC306F">
        <w:rPr>
          <w:rFonts w:ascii="Geomanist Light" w:eastAsia="Calibri" w:hAnsi="Geomanist Light" w:cs="Arial"/>
          <w:bCs/>
          <w:sz w:val="22"/>
          <w:szCs w:val="22"/>
          <w:lang w:val="es-ES_tradnl" w:eastAsia="es-MX"/>
        </w:rPr>
        <w:t>.</w:t>
      </w:r>
    </w:p>
    <w:p w14:paraId="34A11449" w14:textId="77777777" w:rsidR="002843ED" w:rsidRPr="00CC306F" w:rsidRDefault="002843ED" w:rsidP="004E77FA">
      <w:pPr>
        <w:spacing w:after="240" w:line="276" w:lineRule="auto"/>
        <w:ind w:firstLine="708"/>
        <w:jc w:val="both"/>
        <w:rPr>
          <w:rFonts w:ascii="Geomanist Light" w:eastAsia="Calibri" w:hAnsi="Geomanist Light" w:cs="Arial"/>
          <w:bCs/>
          <w:sz w:val="22"/>
          <w:szCs w:val="22"/>
          <w:lang w:val="es-ES"/>
        </w:rPr>
      </w:pPr>
      <w:r w:rsidRPr="00CC306F">
        <w:rPr>
          <w:rFonts w:ascii="Geomanist Light" w:eastAsia="Calibri" w:hAnsi="Geomanist Light" w:cs="Arial"/>
          <w:bCs/>
          <w:sz w:val="22"/>
          <w:szCs w:val="22"/>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22940A2A" w14:textId="77777777" w:rsidR="002843ED" w:rsidRPr="00CC306F" w:rsidRDefault="002843ED" w:rsidP="004E77FA">
      <w:pPr>
        <w:spacing w:after="240"/>
        <w:ind w:left="709" w:right="709"/>
        <w:jc w:val="both"/>
        <w:rPr>
          <w:rFonts w:ascii="Geomanist Light" w:eastAsia="Calibri" w:hAnsi="Geomanist Light" w:cs="Arial"/>
          <w:sz w:val="21"/>
          <w:szCs w:val="21"/>
          <w:lang w:val="es-MX"/>
        </w:rPr>
      </w:pPr>
      <w:r w:rsidRPr="00CC306F">
        <w:rPr>
          <w:rFonts w:ascii="Geomanist Light" w:eastAsia="Calibri" w:hAnsi="Geomanist Light" w:cs="Arial"/>
          <w:sz w:val="21"/>
          <w:szCs w:val="21"/>
          <w:lang w:val="es-MX"/>
        </w:rPr>
        <w:lastRenderedPageBreak/>
        <w:t>7o. La conveniencia o inconveniencia del objeto a contratar y las autorizaciones y aprobaciones para ello, se analizarán o impartirán con antelación al inicio del proceso de selección del contratista o al de la firma del contrato, según el caso.</w:t>
      </w:r>
    </w:p>
    <w:p w14:paraId="2456B857" w14:textId="77777777" w:rsidR="002843ED" w:rsidRPr="00CC306F" w:rsidRDefault="002843ED" w:rsidP="004E77FA">
      <w:pPr>
        <w:spacing w:after="240"/>
        <w:ind w:left="709" w:right="709"/>
        <w:jc w:val="both"/>
        <w:rPr>
          <w:rFonts w:ascii="Geomanist Light" w:eastAsia="Calibri" w:hAnsi="Geomanist Light" w:cs="Arial"/>
          <w:sz w:val="21"/>
          <w:szCs w:val="21"/>
          <w:lang w:val="es-MX"/>
        </w:rPr>
      </w:pPr>
      <w:r w:rsidRPr="00CC306F">
        <w:rPr>
          <w:rFonts w:ascii="Geomanist Light" w:eastAsia="Calibri" w:hAnsi="Geomanist Light" w:cs="Arial"/>
          <w:sz w:val="21"/>
          <w:szCs w:val="21"/>
          <w:lang w:val="es-MX"/>
        </w:rPr>
        <w:t>[…]</w:t>
      </w:r>
    </w:p>
    <w:p w14:paraId="2DEA953C" w14:textId="77777777" w:rsidR="002843ED" w:rsidRPr="00CC306F" w:rsidRDefault="002843ED" w:rsidP="004E77FA">
      <w:pPr>
        <w:spacing w:after="240"/>
        <w:ind w:left="709" w:right="709"/>
        <w:jc w:val="both"/>
        <w:rPr>
          <w:rFonts w:ascii="Geomanist Light" w:eastAsia="Calibri" w:hAnsi="Geomanist Light" w:cs="Arial"/>
          <w:sz w:val="21"/>
          <w:szCs w:val="21"/>
          <w:lang w:val="es-MX"/>
        </w:rPr>
      </w:pPr>
      <w:r w:rsidRPr="00CC306F">
        <w:rPr>
          <w:rFonts w:ascii="Geomanist Light" w:eastAsia="Calibri" w:hAnsi="Geomanist Light"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1B6BD80B" w14:textId="77777777" w:rsidR="002843ED" w:rsidRPr="00CC306F" w:rsidRDefault="002843ED" w:rsidP="004E77FA">
      <w:pPr>
        <w:spacing w:after="240"/>
        <w:ind w:left="709" w:right="709"/>
        <w:jc w:val="both"/>
        <w:rPr>
          <w:rFonts w:ascii="Geomanist Light" w:eastAsia="Calibri" w:hAnsi="Geomanist Light" w:cs="Arial"/>
          <w:sz w:val="21"/>
          <w:szCs w:val="21"/>
          <w:lang w:val="es-MX"/>
        </w:rPr>
      </w:pPr>
      <w:r w:rsidRPr="00CC306F">
        <w:rPr>
          <w:rFonts w:ascii="Geomanist Light" w:eastAsia="Calibri" w:hAnsi="Geomanist Light"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134BEF26"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1352695" w14:textId="044F9969" w:rsidR="002843ED" w:rsidRPr="003D4FAA" w:rsidRDefault="002843ED" w:rsidP="003D4FA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66EF279A" w14:textId="66741319" w:rsidR="002843ED" w:rsidRPr="003D4FAA" w:rsidRDefault="002843ED" w:rsidP="003D4FAA">
      <w:pPr>
        <w:spacing w:after="240" w:line="276" w:lineRule="auto"/>
        <w:ind w:firstLine="709"/>
        <w:jc w:val="both"/>
        <w:rPr>
          <w:rFonts w:ascii="Geomanist Light" w:hAnsi="Geomanist Light" w:cs="Arial"/>
          <w:sz w:val="22"/>
          <w:szCs w:val="22"/>
          <w:lang w:val="es-ES_tradnl" w:eastAsia="es-MX"/>
        </w:rPr>
      </w:pPr>
      <w:r w:rsidRPr="00CC306F">
        <w:rPr>
          <w:rFonts w:ascii="Geomanist Light" w:hAnsi="Geomanist Light" w:cs="Arial"/>
          <w:sz w:val="22"/>
          <w:szCs w:val="22"/>
          <w:lang w:val="es-ES_tradnl" w:eastAsia="es-MX"/>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CC306F">
        <w:rPr>
          <w:rFonts w:ascii="Geomanist Light" w:hAnsi="Geomanist Light" w:cs="Arial"/>
          <w:vertAlign w:val="superscript"/>
          <w:lang w:val="es-ES_tradnl" w:eastAsia="es-MX"/>
        </w:rPr>
        <w:footnoteReference w:id="26"/>
      </w:r>
      <w:r w:rsidRPr="00CC306F">
        <w:rPr>
          <w:rFonts w:ascii="Geomanist Light" w:hAnsi="Geomanist Light" w:cs="Arial"/>
          <w:lang w:val="es-ES_tradnl" w:eastAsia="es-MX"/>
        </w:rPr>
        <w:t xml:space="preserve">. </w:t>
      </w:r>
      <w:r w:rsidRPr="00CC306F">
        <w:rPr>
          <w:rFonts w:ascii="Geomanist Light" w:hAnsi="Geomanist Light" w:cs="Arial"/>
          <w:sz w:val="22"/>
          <w:szCs w:val="22"/>
          <w:lang w:val="es-ES_tradnl" w:eastAsia="es-MX"/>
        </w:rPr>
        <w:t>En congruencia con el artículo 25 de la Ley 80 de 1993, el Decreto Único Reglamentario del Sector Administrativo de Planeación Nacional –Decreto 1082 de 2015–, dispone en el artículo 2.2.1.1.2.1.1 el contenido mínimo de los estudios y documentos previos:</w:t>
      </w:r>
    </w:p>
    <w:p w14:paraId="7FCF3CF9"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lastRenderedPageBreak/>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4C630A3A"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1. La descripción de la necesidad que la Entidad Estatal pretende satisfacer con el Proceso de Contratación. ​</w:t>
      </w:r>
    </w:p>
    <w:p w14:paraId="0E8C30F5"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333EF155"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3. La modalidad de selección del contratista y su justificación, incluyendo los fundamentos jurídicos. </w:t>
      </w:r>
    </w:p>
    <w:p w14:paraId="10BD2AEA"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4240F1A"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5. Los criterios para seleccionar la oferta más favorable. </w:t>
      </w:r>
    </w:p>
    <w:p w14:paraId="366425D9"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6. El análisis de Riesgo y la forma de mitigarlo. </w:t>
      </w:r>
    </w:p>
    <w:p w14:paraId="3B0CC1A9"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7. Las garantías que la Entidad Estatal contempla exigir en el proceso de contratación. </w:t>
      </w:r>
    </w:p>
    <w:p w14:paraId="736E4356" w14:textId="77777777" w:rsidR="002843ED" w:rsidRPr="00CC306F" w:rsidRDefault="002843ED" w:rsidP="004E77F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 xml:space="preserve">8. La indicación de si el proceso de contratación está cobijado por un acuerdo comercial. </w:t>
      </w:r>
    </w:p>
    <w:p w14:paraId="51B11431" w14:textId="075B3D72" w:rsidR="002843ED" w:rsidRPr="003D4FAA" w:rsidRDefault="002843ED" w:rsidP="003D4FAA">
      <w:pPr>
        <w:spacing w:after="240"/>
        <w:ind w:left="709" w:right="709"/>
        <w:jc w:val="both"/>
        <w:rPr>
          <w:rFonts w:ascii="Geomanist Light" w:hAnsi="Geomanist Light" w:cs="Arial"/>
          <w:sz w:val="21"/>
          <w:szCs w:val="21"/>
          <w:lang w:val="es-ES_tradnl" w:eastAsia="es-MX"/>
        </w:rPr>
      </w:pPr>
      <w:r w:rsidRPr="00CC306F">
        <w:rPr>
          <w:rFonts w:ascii="Geomanist Light" w:hAnsi="Geomanist Light" w:cs="Arial"/>
          <w:sz w:val="21"/>
          <w:szCs w:val="21"/>
          <w:lang w:val="es-ES_tradnl" w:eastAsia="es-MX"/>
        </w:rPr>
        <w:t>El presente artículo no es aplicable a la contratación por mínima cuantía.</w:t>
      </w:r>
    </w:p>
    <w:p w14:paraId="11607BDD" w14:textId="77777777" w:rsidR="002843ED" w:rsidRPr="00CC306F" w:rsidRDefault="002843ED" w:rsidP="004E77FA">
      <w:pPr>
        <w:spacing w:after="240" w:line="276" w:lineRule="auto"/>
        <w:ind w:firstLine="709"/>
        <w:jc w:val="both"/>
        <w:rPr>
          <w:rFonts w:ascii="Geomanist Light" w:hAnsi="Geomanist Light" w:cs="Arial"/>
          <w:sz w:val="22"/>
          <w:szCs w:val="22"/>
          <w:lang w:val="es-ES_tradnl" w:eastAsia="es-MX"/>
        </w:rPr>
      </w:pPr>
      <w:bookmarkStart w:id="22" w:name="_Hlk54011351"/>
      <w:r w:rsidRPr="00CC306F">
        <w:rPr>
          <w:rFonts w:ascii="Geomanist Light" w:hAnsi="Geomanist Light" w:cs="Arial"/>
          <w:sz w:val="22"/>
          <w:szCs w:val="22"/>
          <w:lang w:val="es-ES_tradnl" w:eastAsia="es-MX"/>
        </w:rPr>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o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w:t>
      </w:r>
      <w:r w:rsidRPr="00CC306F">
        <w:rPr>
          <w:rFonts w:ascii="Geomanist Light" w:hAnsi="Geomanist Light" w:cs="Arial"/>
          <w:sz w:val="22"/>
          <w:szCs w:val="22"/>
          <w:lang w:val="es-ES_tradnl" w:eastAsia="es-MX"/>
        </w:rPr>
        <w:lastRenderedPageBreak/>
        <w:t xml:space="preserve">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 La consideración de todos estos aspectos </w:t>
      </w:r>
      <w:bookmarkEnd w:id="22"/>
      <w:r w:rsidRPr="00CC306F">
        <w:rPr>
          <w:rFonts w:ascii="Geomanist Light" w:eastAsia="Calibri" w:hAnsi="Geomanist Light" w:cs="Arial"/>
          <w:bCs/>
          <w:sz w:val="22"/>
          <w:szCs w:val="22"/>
          <w:lang w:val="es-ES_tradnl" w:eastAsia="es-MX"/>
        </w:rPr>
        <w:t xml:space="preserve">permite que los contratos resultantes de la planeación cuenten con el sustento técnico, económico y jurídico que incidirá </w:t>
      </w:r>
      <w:r w:rsidRPr="00CC306F">
        <w:rPr>
          <w:rFonts w:ascii="Geomanist Light" w:hAnsi="Geomanist Light" w:cs="Arial"/>
          <w:sz w:val="22"/>
          <w:szCs w:val="22"/>
          <w:lang w:val="es-ES_tradnl" w:eastAsia="es-MX"/>
        </w:rPr>
        <w:t>en una adecuada ejecución.</w:t>
      </w:r>
    </w:p>
    <w:p w14:paraId="3D7C7B84" w14:textId="77777777" w:rsidR="002843ED" w:rsidRPr="00CC306F" w:rsidRDefault="002843ED" w:rsidP="004E77FA">
      <w:pPr>
        <w:spacing w:after="240" w:line="276" w:lineRule="auto"/>
        <w:ind w:right="102" w:firstLine="709"/>
        <w:jc w:val="both"/>
        <w:rPr>
          <w:rFonts w:ascii="Geomanist Light" w:hAnsi="Geomanist Light" w:cs="Arial"/>
          <w:lang w:val="es-ES_tradnl" w:eastAsia="es-MX"/>
        </w:rPr>
      </w:pPr>
      <w:r w:rsidRPr="00CC306F">
        <w:rPr>
          <w:rFonts w:ascii="Geomanist Light" w:hAnsi="Geomanist Light" w:cs="Arial"/>
          <w:sz w:val="22"/>
          <w:szCs w:val="22"/>
          <w:lang w:val="es-ES_tradnl" w:eastAsia="es-MX"/>
        </w:rPr>
        <w:t>Más allá del cumplimiento de la normativa, «los estudios y documentos previos son el soporte para elaborar el proyecto de pliegos, los pliegos de condiciones, y el contrato»</w:t>
      </w:r>
      <w:r w:rsidRPr="00CC306F">
        <w:rPr>
          <w:rFonts w:ascii="Geomanist Light" w:hAnsi="Geomanist Light" w:cs="Arial"/>
          <w:sz w:val="22"/>
          <w:szCs w:val="22"/>
          <w:vertAlign w:val="superscript"/>
          <w:lang w:val="es-ES_tradnl" w:eastAsia="es-MX"/>
        </w:rPr>
        <w:footnoteReference w:id="27"/>
      </w:r>
      <w:r w:rsidRPr="00CC306F">
        <w:rPr>
          <w:rFonts w:ascii="Geomanist Light" w:hAnsi="Geomanist Light" w:cs="Arial"/>
          <w:sz w:val="22"/>
          <w:szCs w:val="22"/>
          <w:lang w:val="es-ES_tradnl" w:eastAsia="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 En ese sentido, </w:t>
      </w:r>
      <w:bookmarkStart w:id="24" w:name="_Hlk54011438"/>
      <w:r w:rsidRPr="00CC306F">
        <w:rPr>
          <w:rFonts w:ascii="Geomanist Light" w:hAnsi="Geomanist Light" w:cs="Arial"/>
          <w:sz w:val="22"/>
          <w:szCs w:val="22"/>
          <w:lang w:val="es-ES_tradnl" w:eastAsia="es-MX"/>
        </w:rPr>
        <w:t xml:space="preserve">los estudios y documentos previos son necesarios antes de la celebración del contrato, pues fundamentan las condiciones que la entidad estatal exige en su proceso de contratación. </w:t>
      </w:r>
      <w:bookmarkEnd w:id="24"/>
    </w:p>
    <w:p w14:paraId="6B9B5390" w14:textId="77777777" w:rsidR="002843ED" w:rsidRPr="00CC306F" w:rsidRDefault="002843ED" w:rsidP="004E77FA">
      <w:pPr>
        <w:spacing w:after="240" w:line="276" w:lineRule="auto"/>
        <w:ind w:firstLine="708"/>
        <w:jc w:val="both"/>
        <w:rPr>
          <w:rFonts w:ascii="Geomanist Light" w:eastAsia="Calibri" w:hAnsi="Geomanist Light" w:cs="Arial"/>
          <w:bCs/>
          <w:lang w:val="es-ES_tradnl" w:eastAsia="es-MX"/>
        </w:rPr>
      </w:pPr>
      <w:r w:rsidRPr="00CC306F">
        <w:rPr>
          <w:rFonts w:ascii="Geomanist Light" w:hAnsi="Geomanist Light" w:cs="Arial"/>
          <w:sz w:val="22"/>
          <w:szCs w:val="22"/>
          <w:lang w:val="es-ES_tradnl" w:eastAsia="es-MX"/>
        </w:rPr>
        <w:t xml:space="preserve">Ahora bien, conforme se desprende del numeral 4 del artículo 2.2.1.1.2.1.1 del Decreto 1082 de 2015, uno de los aspectos principales que deben abarcar los estudios previos es el valor estimado del contrato aparejado de su respectiva justificación. </w:t>
      </w:r>
      <w:r w:rsidRPr="00CC306F">
        <w:rPr>
          <w:rFonts w:ascii="Geomanist Light" w:eastAsia="Calibri" w:hAnsi="Geomanist Light" w:cs="Arial"/>
          <w:bCs/>
          <w:sz w:val="22"/>
          <w:szCs w:val="22"/>
          <w:lang w:val="es-ES_tradnl" w:eastAsia="es-MX"/>
        </w:rPr>
        <w:t xml:space="preserve">Para estos efectos resulta relevante la información recolectada en el marco del estudio del mercado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En este sentido, el análisis del sector de las perspectivas legal, comercial, </w:t>
      </w:r>
      <w:r>
        <w:rPr>
          <w:rFonts w:ascii="Geomanist Light" w:eastAsia="Calibri" w:hAnsi="Geomanist Light" w:cs="Arial"/>
          <w:bCs/>
          <w:sz w:val="22"/>
          <w:szCs w:val="22"/>
          <w:lang w:val="es-ES_tradnl" w:eastAsia="es-MX"/>
        </w:rPr>
        <w:t xml:space="preserve">tributaria, </w:t>
      </w:r>
      <w:r w:rsidRPr="00CC306F">
        <w:rPr>
          <w:rFonts w:ascii="Geomanist Light" w:eastAsia="Calibri" w:hAnsi="Geomanist Light" w:cs="Arial"/>
          <w:bCs/>
          <w:sz w:val="22"/>
          <w:szCs w:val="22"/>
          <w:lang w:val="es-ES_tradnl" w:eastAsia="es-MX"/>
        </w:rPr>
        <w:t xml:space="preserve">financiera, organizacional, técnica, y de análisis de Riesgo, al que se refiere el artículo </w:t>
      </w:r>
      <w:bookmarkStart w:id="25" w:name="_Hlk36117416"/>
      <w:r w:rsidRPr="00CC306F">
        <w:rPr>
          <w:rFonts w:ascii="Geomanist Light" w:eastAsia="Calibri" w:hAnsi="Geomanist Light" w:cs="Arial"/>
          <w:bCs/>
          <w:sz w:val="22"/>
          <w:szCs w:val="22"/>
          <w:lang w:val="es-ES_tradnl" w:eastAsia="es-MX"/>
        </w:rPr>
        <w:t>2.2.1.1.1.6.1 del Decreto 1082 de 2015</w:t>
      </w:r>
      <w:bookmarkEnd w:id="25"/>
      <w:r w:rsidRPr="00CC306F">
        <w:rPr>
          <w:rFonts w:ascii="Geomanist Light" w:eastAsia="Calibri" w:hAnsi="Geomanist Light" w:cs="Arial"/>
          <w:bCs/>
          <w:sz w:val="22"/>
          <w:szCs w:val="22"/>
          <w:lang w:val="es-ES_tradnl" w:eastAsia="es-MX"/>
        </w:rPr>
        <w:t>, constituye un insumo importante para determinar factores que pudieran determinar el valor del contrato y orientar a la entidad en torno al monto de la disponibilidad presupuestal que requiere a realizar la contratación</w:t>
      </w:r>
      <w:r w:rsidRPr="00CC306F">
        <w:rPr>
          <w:rStyle w:val="Refdenotaalpie"/>
          <w:rFonts w:ascii="Geomanist Light" w:eastAsia="Calibri" w:hAnsi="Geomanist Light" w:cs="Arial"/>
          <w:bCs/>
          <w:lang w:val="es-ES_tradnl" w:eastAsia="es-MX"/>
        </w:rPr>
        <w:footnoteReference w:id="28"/>
      </w:r>
      <w:r w:rsidRPr="00CC306F">
        <w:rPr>
          <w:rFonts w:ascii="Geomanist Light" w:eastAsia="Calibri" w:hAnsi="Geomanist Light" w:cs="Arial"/>
          <w:bCs/>
          <w:lang w:val="es-ES_tradnl" w:eastAsia="es-MX"/>
        </w:rPr>
        <w:t xml:space="preserve">.  </w:t>
      </w:r>
    </w:p>
    <w:p w14:paraId="40E1A8A2" w14:textId="77777777" w:rsidR="002843ED" w:rsidRPr="006276C7" w:rsidRDefault="002843ED" w:rsidP="004E77FA">
      <w:pPr>
        <w:spacing w:after="240" w:line="276" w:lineRule="auto"/>
        <w:ind w:right="113" w:firstLine="709"/>
        <w:jc w:val="both"/>
        <w:rPr>
          <w:rFonts w:ascii="Geomanist Light" w:hAnsi="Geomanist Light" w:cs="Arial"/>
          <w:sz w:val="22"/>
          <w:szCs w:val="22"/>
          <w:lang w:val="es-ES_tradnl" w:eastAsia="es-CO"/>
        </w:rPr>
      </w:pPr>
      <w:bookmarkStart w:id="26" w:name="_Hlk91231640"/>
      <w:r w:rsidRPr="00CC306F">
        <w:rPr>
          <w:rFonts w:ascii="Geomanist Light" w:hAnsi="Geomanist Light" w:cs="Arial"/>
          <w:sz w:val="22"/>
          <w:szCs w:val="22"/>
          <w:lang w:val="es-ES_tradnl" w:eastAsia="es-CO"/>
        </w:rPr>
        <w:t xml:space="preserve">Sin perjuicio de lo anterior, las entidades estatales son autónomas para estructurar los estudios previos, siempre y cuando se observen los aspectos que deben contener esos estudios, de conformidad con los artículos 2.2.1.1.1.6.1, 2.2.1.1.2.1.1 y 2.2.1.2.1.4.9 del Decreto 1082 de 2015. </w:t>
      </w:r>
      <w:bookmarkEnd w:id="26"/>
    </w:p>
    <w:p w14:paraId="55A0AE3D" w14:textId="28635645" w:rsidR="00614A07" w:rsidRPr="00614A07" w:rsidRDefault="002843ED" w:rsidP="004E77FA">
      <w:pPr>
        <w:pStyle w:val="Textoindependiente"/>
        <w:spacing w:after="240" w:line="276" w:lineRule="auto"/>
        <w:ind w:right="49" w:firstLine="567"/>
        <w:contextualSpacing/>
        <w:jc w:val="both"/>
        <w:rPr>
          <w:rFonts w:ascii="Geomanist Light" w:eastAsia="Times New Roman" w:hAnsi="Geomanist Light" w:cs="Times New Roman"/>
          <w:lang w:val="es-CO" w:eastAsia="es-ES_tradnl"/>
        </w:rPr>
      </w:pPr>
      <w:r>
        <w:rPr>
          <w:rFonts w:ascii="Geomanist Light" w:eastAsia="Times New Roman" w:hAnsi="Geomanist Light" w:cs="Times New Roman"/>
          <w:lang w:val="es-CO" w:eastAsia="es-ES_tradnl"/>
        </w:rPr>
        <w:lastRenderedPageBreak/>
        <w:t>De este modo, p</w:t>
      </w:r>
      <w:r w:rsidR="00614A07" w:rsidRPr="00614A07">
        <w:rPr>
          <w:rFonts w:ascii="Geomanist Light" w:eastAsia="Times New Roman" w:hAnsi="Geomanist Light" w:cs="Times New Roman"/>
          <w:lang w:val="es-CO" w:eastAsia="es-ES_tradnl"/>
        </w:rPr>
        <w:t xml:space="preserve">ara el caso en particular, resulta relevante precisar que, ante la ausencia de reglamentación específica que establezca los criterios evaluación y la forma de asignación de puntajes en los procesos de selección, estos aspectos corresponden a un asunto que se debe establecer en los pliegos de condiciones de cada proceso de selección en forma individual y corresponde a las entidades estatales establecer las reglas para su aplicación por parte de los proponentes en el pliego de condiciones, con el propósito de dar a conocer los aspectos deben tenerse en cuenta a la hora de configurar sus ofertas. A partir de tales reglas, la entidad podrá exigir el desglose de determinados factores imputables a costos directos en determinada manera y en general, establecer los parámetros que garanticen el desarrollo de principios de la función administrativa. </w:t>
      </w:r>
    </w:p>
    <w:p w14:paraId="10494B15" w14:textId="77777777" w:rsidR="00614A07" w:rsidRPr="00614A07" w:rsidRDefault="00614A07" w:rsidP="004E77FA">
      <w:pPr>
        <w:pStyle w:val="Textoindependiente"/>
        <w:spacing w:after="240" w:line="276" w:lineRule="auto"/>
        <w:ind w:right="227"/>
        <w:contextualSpacing/>
        <w:jc w:val="both"/>
        <w:rPr>
          <w:rFonts w:ascii="Geomanist Light" w:eastAsia="Times New Roman" w:hAnsi="Geomanist Light" w:cs="Times New Roman"/>
          <w:lang w:val="es-CO" w:eastAsia="es-ES_tradnl"/>
        </w:rPr>
      </w:pPr>
    </w:p>
    <w:p w14:paraId="2369C733" w14:textId="55B586C4" w:rsidR="00614A07" w:rsidRPr="00614A07" w:rsidRDefault="00614A07" w:rsidP="003D4FAA">
      <w:pPr>
        <w:pStyle w:val="Textoindependiente"/>
        <w:spacing w:after="240" w:line="276" w:lineRule="auto"/>
        <w:ind w:right="49" w:firstLine="709"/>
        <w:contextualSpacing/>
        <w:jc w:val="both"/>
        <w:rPr>
          <w:rFonts w:ascii="Geomanist Light" w:eastAsia="Times New Roman" w:hAnsi="Geomanist Light" w:cs="Times New Roman"/>
          <w:lang w:val="es-CO" w:eastAsia="es-ES_tradnl"/>
        </w:rPr>
      </w:pPr>
      <w:r w:rsidRPr="00614A07">
        <w:rPr>
          <w:rFonts w:ascii="Geomanist Light" w:eastAsia="Times New Roman" w:hAnsi="Geomanist Light" w:cs="Times New Roman"/>
          <w:lang w:val="es-CO" w:eastAsia="es-ES_tradnl"/>
        </w:rPr>
        <w:t>Sin perjuicio de lo anterior, 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6B904504" w14:textId="2C0BBE0E" w:rsidR="00EF309E" w:rsidRDefault="00614A07" w:rsidP="004E77FA">
      <w:pPr>
        <w:tabs>
          <w:tab w:val="left" w:pos="0"/>
          <w:tab w:val="left" w:pos="6237"/>
        </w:tabs>
        <w:spacing w:after="240" w:line="276" w:lineRule="auto"/>
        <w:ind w:firstLine="709"/>
        <w:contextualSpacing/>
        <w:jc w:val="both"/>
        <w:rPr>
          <w:rFonts w:ascii="Geomanist Light" w:hAnsi="Geomanist Light"/>
          <w:sz w:val="22"/>
          <w:szCs w:val="22"/>
        </w:rPr>
      </w:pPr>
      <w:r w:rsidRPr="00614A07">
        <w:rPr>
          <w:rFonts w:ascii="Geomanist Light" w:hAnsi="Geomanist Light"/>
          <w:sz w:val="22"/>
          <w:szCs w:val="22"/>
        </w:rPr>
        <w:t>En todo caso, será responsabilidad de cada proponente estructurar sus ofertas conforme lo establecen los pliegos de condiciones diseñados por las entidades estatales en cada proceso de selección y no corresponde a esta entidad entrar a resolver conflictos o problema jurídicos relacionados con la aplicación de normas tributarias, como quiera que la competencia consultiva atribuida a esta Agencia por el numeral 8 del artículo 11 y el numeral 5 del artículo 3 del Decreto Ley 4170 de 2011, se encuentra limitada a la resolución consultas sobre la aplicación de normas generales en materia de contratación pública.</w:t>
      </w:r>
    </w:p>
    <w:p w14:paraId="6CF06240" w14:textId="77777777" w:rsidR="00EF309E" w:rsidRPr="00671D8E" w:rsidRDefault="00EF309E" w:rsidP="004E77FA">
      <w:pPr>
        <w:tabs>
          <w:tab w:val="left" w:pos="0"/>
          <w:tab w:val="left" w:pos="6237"/>
        </w:tabs>
        <w:spacing w:after="240" w:line="276" w:lineRule="auto"/>
        <w:ind w:firstLine="709"/>
        <w:contextualSpacing/>
        <w:jc w:val="both"/>
        <w:rPr>
          <w:rFonts w:ascii="Geomanist Light" w:eastAsia="Calibri" w:hAnsi="Geomanist Light" w:cs="Arial"/>
          <w:color w:val="000000" w:themeColor="text1"/>
          <w:sz w:val="22"/>
          <w:szCs w:val="22"/>
          <w:lang w:val="es-ES_tradnl"/>
        </w:rPr>
      </w:pPr>
    </w:p>
    <w:p w14:paraId="4FDE44D0" w14:textId="3F407A74" w:rsidR="00AB1230" w:rsidRPr="00CC306F" w:rsidRDefault="00AB1230" w:rsidP="004E77FA">
      <w:pPr>
        <w:tabs>
          <w:tab w:val="left" w:pos="0"/>
        </w:tabs>
        <w:spacing w:after="240" w:line="276" w:lineRule="auto"/>
        <w:contextualSpacing/>
        <w:jc w:val="both"/>
        <w:rPr>
          <w:rFonts w:ascii="Geomanist Light" w:eastAsia="Calibri" w:hAnsi="Geomanist Light" w:cs="Arial"/>
          <w:b/>
          <w:color w:val="000000" w:themeColor="text1"/>
          <w:sz w:val="22"/>
          <w:lang w:val="es-ES_tradnl"/>
        </w:rPr>
      </w:pPr>
      <w:r w:rsidRPr="00CC306F">
        <w:rPr>
          <w:rFonts w:ascii="Geomanist Light" w:eastAsia="Calibri" w:hAnsi="Geomanist Light" w:cs="Arial"/>
          <w:b/>
          <w:color w:val="000000" w:themeColor="text1"/>
          <w:sz w:val="22"/>
          <w:lang w:val="es-ES_tradnl"/>
        </w:rPr>
        <w:t>3. Respuesta</w:t>
      </w:r>
    </w:p>
    <w:p w14:paraId="076A4802" w14:textId="4CC743FB" w:rsidR="00AB1230" w:rsidRPr="00CC306F" w:rsidRDefault="00AB1230" w:rsidP="004E77FA">
      <w:pPr>
        <w:autoSpaceDE w:val="0"/>
        <w:autoSpaceDN w:val="0"/>
        <w:adjustRightInd w:val="0"/>
        <w:spacing w:after="240" w:line="276" w:lineRule="auto"/>
        <w:ind w:right="709"/>
        <w:contextualSpacing/>
        <w:jc w:val="both"/>
        <w:rPr>
          <w:rFonts w:ascii="Geomanist Light" w:hAnsi="Geomanist Light" w:cs="Arial"/>
          <w:lang w:val="es-ES"/>
        </w:rPr>
      </w:pPr>
    </w:p>
    <w:p w14:paraId="147CC384" w14:textId="076F67A6" w:rsidR="00337936" w:rsidRPr="00CC306F" w:rsidRDefault="00337936" w:rsidP="003D4FAA">
      <w:pPr>
        <w:spacing w:after="240"/>
        <w:ind w:left="709" w:right="902"/>
        <w:jc w:val="both"/>
        <w:rPr>
          <w:rFonts w:ascii="Geomanist Light" w:eastAsia="Arial" w:hAnsi="Geomanist Light" w:cs="Arial"/>
          <w:color w:val="000000"/>
          <w:sz w:val="21"/>
          <w:szCs w:val="21"/>
        </w:rPr>
      </w:pPr>
      <w:bookmarkStart w:id="27" w:name="_Hlk94281581"/>
      <w:r w:rsidRPr="00CC306F">
        <w:rPr>
          <w:rFonts w:ascii="Geomanist Light" w:eastAsia="Arial" w:hAnsi="Geomanist Light" w:cs="Arial"/>
          <w:color w:val="000000"/>
          <w:sz w:val="21"/>
          <w:szCs w:val="21"/>
        </w:rPr>
        <w:t xml:space="preserve">«1. ¿Puede una entidad estatal solicitar documento adicional al formato 8 de los Pliegos Tipo para la acreditación de la nómina del personal en condición de discapacidad aparte del certificado del MINTRABAJO? </w:t>
      </w:r>
    </w:p>
    <w:p w14:paraId="7A1D54D7" w14:textId="2B590DB2" w:rsidR="00337936" w:rsidRPr="00CC306F" w:rsidRDefault="00337936" w:rsidP="003D4FAA">
      <w:pPr>
        <w:spacing w:after="240"/>
        <w:ind w:left="709" w:right="902"/>
        <w:jc w:val="both"/>
        <w:rPr>
          <w:rFonts w:ascii="Geomanist Light" w:eastAsia="Arial" w:hAnsi="Geomanist Light" w:cs="Arial"/>
          <w:color w:val="000000"/>
          <w:sz w:val="21"/>
          <w:szCs w:val="21"/>
        </w:rPr>
      </w:pPr>
      <w:r w:rsidRPr="00CC306F">
        <w:rPr>
          <w:rFonts w:ascii="Geomanist Light" w:eastAsia="Arial" w:hAnsi="Geomanist Light" w:cs="Arial"/>
          <w:color w:val="000000"/>
          <w:sz w:val="21"/>
          <w:szCs w:val="21"/>
        </w:rPr>
        <w:t xml:space="preserve">2. Si el número de trabajadores en nómina acreditado en el certificado de MINTRABAJO es diferente al acreditado en el formato 8 ¿es necesario aportar </w:t>
      </w:r>
      <w:r w:rsidRPr="00CC306F">
        <w:rPr>
          <w:rFonts w:ascii="Geomanist Light" w:eastAsia="Arial" w:hAnsi="Geomanist Light" w:cs="Arial"/>
          <w:color w:val="000000"/>
          <w:sz w:val="21"/>
          <w:szCs w:val="21"/>
        </w:rPr>
        <w:lastRenderedPageBreak/>
        <w:t xml:space="preserve">otro documento? El caso específico es que en mi certificado de </w:t>
      </w:r>
      <w:proofErr w:type="spellStart"/>
      <w:r w:rsidRPr="00CC306F">
        <w:rPr>
          <w:rFonts w:ascii="Geomanist Light" w:eastAsia="Arial" w:hAnsi="Geomanist Light" w:cs="Arial"/>
          <w:color w:val="000000"/>
          <w:sz w:val="21"/>
          <w:szCs w:val="21"/>
        </w:rPr>
        <w:t>Mintrabajo</w:t>
      </w:r>
      <w:proofErr w:type="spellEnd"/>
      <w:r w:rsidRPr="00CC306F">
        <w:rPr>
          <w:rFonts w:ascii="Geomanist Light" w:eastAsia="Arial" w:hAnsi="Geomanist Light" w:cs="Arial"/>
          <w:color w:val="000000"/>
          <w:sz w:val="21"/>
          <w:szCs w:val="21"/>
        </w:rPr>
        <w:t xml:space="preserve"> reportan 42 trabajadores a nómina de septiembre de 2022 y en octubre y noviembre mi nomina bajo a 25 y 19 trabajadores los cuales acredito en el formato 8 pero no me dan puntaje porque, según la entidad Parques Nacionales; como reporte 42 debo tener 2 personas en condición de discapacidad. </w:t>
      </w:r>
    </w:p>
    <w:p w14:paraId="65680E71" w14:textId="4A591111" w:rsidR="00337936" w:rsidRPr="00CC306F" w:rsidRDefault="00337936" w:rsidP="003D4FAA">
      <w:pPr>
        <w:spacing w:after="240"/>
        <w:ind w:left="709" w:right="902"/>
        <w:jc w:val="both"/>
        <w:rPr>
          <w:rFonts w:ascii="Geomanist Light" w:eastAsia="Arial" w:hAnsi="Geomanist Light" w:cs="Arial"/>
          <w:color w:val="000000"/>
          <w:sz w:val="20"/>
          <w:szCs w:val="20"/>
        </w:rPr>
      </w:pPr>
      <w:r w:rsidRPr="00CC306F">
        <w:rPr>
          <w:rFonts w:ascii="Geomanist Light" w:eastAsia="Arial" w:hAnsi="Geomanist Light" w:cs="Arial"/>
          <w:color w:val="000000"/>
          <w:sz w:val="21"/>
          <w:szCs w:val="21"/>
        </w:rPr>
        <w:t>3. Algunas Entidades Oficiales no me da puntaje por emprendimiento de mujeres porque según ellos debo anexar al formato tipo una certificación aparte en la que conste la composición accionaria ¿es esto valido?</w:t>
      </w:r>
      <w:r w:rsidR="00556732" w:rsidRPr="00CC306F">
        <w:rPr>
          <w:rFonts w:ascii="Geomanist Light" w:eastAsiaTheme="minorHAnsi" w:hAnsi="Geomanist Light" w:cs="Arial"/>
          <w:color w:val="000000" w:themeColor="text1"/>
          <w:sz w:val="21"/>
          <w:szCs w:val="21"/>
          <w:lang w:eastAsia="en-US"/>
        </w:rPr>
        <w:t>»</w:t>
      </w:r>
      <w:r w:rsidRPr="00CC306F">
        <w:rPr>
          <w:rFonts w:ascii="Geomanist Light" w:eastAsia="Arial" w:hAnsi="Geomanist Light" w:cs="Arial"/>
          <w:color w:val="000000"/>
          <w:sz w:val="21"/>
          <w:szCs w:val="21"/>
        </w:rPr>
        <w:t xml:space="preserve"> </w:t>
      </w:r>
    </w:p>
    <w:p w14:paraId="45772E74" w14:textId="5CC717B5" w:rsidR="00337936" w:rsidRPr="00CC306F" w:rsidRDefault="00337936" w:rsidP="004E77FA">
      <w:pPr>
        <w:tabs>
          <w:tab w:val="left" w:pos="3374"/>
        </w:tabs>
        <w:spacing w:after="240" w:line="276" w:lineRule="auto"/>
        <w:jc w:val="both"/>
        <w:rPr>
          <w:rFonts w:ascii="Geomanist Light" w:hAnsi="Geomanist Light" w:cs="Arial"/>
          <w:color w:val="000000" w:themeColor="text1"/>
          <w:sz w:val="22"/>
          <w:szCs w:val="22"/>
          <w:lang w:val="es-ES"/>
        </w:rPr>
      </w:pPr>
      <w:r w:rsidRPr="00CC306F">
        <w:rPr>
          <w:rFonts w:ascii="Geomanist Light" w:hAnsi="Geomanist Light" w:cs="Arial"/>
          <w:sz w:val="22"/>
          <w:szCs w:val="22"/>
        </w:rPr>
        <w:t>Para efectos prácticos estas preguntas se agrupan por unidad de materia, y para su respuesta se precisa que</w:t>
      </w:r>
      <w:r w:rsidRPr="00CC306F">
        <w:rPr>
          <w:rFonts w:ascii="Geomanist Light" w:eastAsia="Arial" w:hAnsi="Geomanist Light" w:cs="Arial"/>
          <w:color w:val="000000"/>
          <w:sz w:val="22"/>
          <w:szCs w:val="22"/>
        </w:rPr>
        <w:t>, e</w:t>
      </w:r>
      <w:r w:rsidRPr="00CC306F">
        <w:rPr>
          <w:rFonts w:ascii="Geomanist Light" w:hAnsi="Geomanist Light" w:cs="Arial"/>
          <w:sz w:val="22"/>
          <w:szCs w:val="22"/>
        </w:rPr>
        <w:t>sta entidad solo tiene competencia para responder solicitudes sobre la aplicación de normas de carácter general en materia de compras y contratación pública y esta competencia de interpretación de normas generales, por definición, no puede extenderse a la resolución de controversias, ni a brindar asesorías sobre casos puntuales</w:t>
      </w:r>
      <w:r w:rsidRPr="00CC306F">
        <w:rPr>
          <w:rFonts w:ascii="Geomanist Light" w:hAnsi="Geomanist Light" w:cs="Arial"/>
          <w:color w:val="000000" w:themeColor="text1"/>
          <w:sz w:val="22"/>
          <w:szCs w:val="22"/>
          <w:lang w:val="es-ES"/>
        </w:rPr>
        <w:t>.</w:t>
      </w:r>
    </w:p>
    <w:p w14:paraId="4D6A457B" w14:textId="62A3CC4C" w:rsidR="00337936" w:rsidRPr="00CC306F" w:rsidRDefault="00337936" w:rsidP="003D4FAA">
      <w:pPr>
        <w:tabs>
          <w:tab w:val="left" w:pos="3374"/>
        </w:tabs>
        <w:spacing w:after="240" w:line="276" w:lineRule="auto"/>
        <w:ind w:firstLine="709"/>
        <w:jc w:val="both"/>
        <w:rPr>
          <w:rFonts w:ascii="Geomanist Light" w:hAnsi="Geomanist Light" w:cs="Arial"/>
          <w:color w:val="000000"/>
          <w:sz w:val="22"/>
          <w:szCs w:val="22"/>
          <w:lang w:eastAsia="es-MX"/>
        </w:rPr>
      </w:pPr>
      <w:r w:rsidRPr="00CC306F">
        <w:rPr>
          <w:rFonts w:ascii="Geomanist Light" w:hAnsi="Geomanist Light" w:cs="Arial"/>
          <w:color w:val="000000" w:themeColor="text1"/>
          <w:sz w:val="22"/>
          <w:szCs w:val="22"/>
          <w:lang w:val="es-ES"/>
        </w:rPr>
        <w:t xml:space="preserve">Por lo anterior, haciendo abstracción del caso concreto se dará respuesta desde las normas generales precisando que </w:t>
      </w:r>
      <w:r w:rsidRPr="00CC306F">
        <w:rPr>
          <w:rFonts w:ascii="Geomanist Light" w:hAnsi="Geomanist Light" w:cs="Arial"/>
          <w:color w:val="000000"/>
          <w:sz w:val="22"/>
          <w:szCs w:val="22"/>
          <w:lang w:eastAsia="es-MX"/>
        </w:rPr>
        <w:t xml:space="preserve">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 </w:t>
      </w:r>
    </w:p>
    <w:p w14:paraId="54E24095" w14:textId="081B8044" w:rsidR="00337936" w:rsidRPr="00CC306F" w:rsidRDefault="00337936" w:rsidP="003D4FAA">
      <w:pPr>
        <w:spacing w:after="240" w:line="276" w:lineRule="auto"/>
        <w:ind w:firstLine="709"/>
        <w:jc w:val="both"/>
        <w:rPr>
          <w:rFonts w:ascii="Geomanist Light" w:hAnsi="Geomanist Light" w:cs="Arial"/>
          <w:sz w:val="22"/>
          <w:szCs w:val="22"/>
          <w:lang w:eastAsia="es-MX"/>
        </w:rPr>
      </w:pPr>
      <w:r w:rsidRPr="00CC306F">
        <w:rPr>
          <w:rFonts w:ascii="Geomanist Light" w:hAnsi="Geomanist Light" w:cs="Arial"/>
          <w:sz w:val="22"/>
          <w:szCs w:val="22"/>
          <w:lang w:eastAsia="es-MX"/>
        </w:rPr>
        <w:t xml:space="preserve">De este modo para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CC306F">
        <w:rPr>
          <w:rFonts w:ascii="Geomanist Light" w:hAnsi="Geomanist Light" w:cs="Arial"/>
          <w:color w:val="000000"/>
          <w:sz w:val="22"/>
          <w:szCs w:val="22"/>
          <w:lang w:val="es-ES" w:eastAsia="es-MX"/>
        </w:rPr>
        <w:t>artículo 2.2.1.2.4.2.6 del Decreto 1082 de 2015</w:t>
      </w:r>
      <w:r w:rsidRPr="00CC306F">
        <w:rPr>
          <w:rFonts w:ascii="Geomanist Light" w:hAnsi="Geomanist Light" w:cs="Arial"/>
          <w:sz w:val="22"/>
          <w:szCs w:val="22"/>
          <w:lang w:eastAsia="es-MX"/>
        </w:rPr>
        <w:t xml:space="preserve">. Por lo demás, junto al formato, el oferente también debe entregar el certificado del Ministerio de Trabajo que acredite el número mínimo de personas con discapacidad en su planta de personal, el cual deberá estar vigente a la fecha de cierre del proceso de selección. </w:t>
      </w:r>
    </w:p>
    <w:p w14:paraId="1D1E90A8" w14:textId="63DC7CCA" w:rsidR="00337936" w:rsidRPr="003D4FAA" w:rsidRDefault="00337936" w:rsidP="003D4FAA">
      <w:pPr>
        <w:spacing w:after="240" w:line="276" w:lineRule="auto"/>
        <w:ind w:firstLine="709"/>
        <w:jc w:val="both"/>
        <w:rPr>
          <w:rFonts w:ascii="Geomanist Light" w:hAnsi="Geomanist Light" w:cs="Arial"/>
          <w:color w:val="000000" w:themeColor="text1"/>
          <w:sz w:val="22"/>
          <w:szCs w:val="22"/>
          <w:lang w:eastAsia="es-CO"/>
        </w:rPr>
      </w:pPr>
      <w:r w:rsidRPr="00CC306F">
        <w:rPr>
          <w:rFonts w:ascii="Geomanist Light" w:hAnsi="Geomanist Light" w:cs="Arial"/>
          <w:sz w:val="22"/>
          <w:szCs w:val="22"/>
          <w:lang w:eastAsia="es-MX"/>
        </w:rPr>
        <w:t>Por su parte, e</w:t>
      </w:r>
      <w:r w:rsidRPr="00CC306F">
        <w:rPr>
          <w:rFonts w:ascii="Geomanist Light" w:hAnsi="Geomanist Light" w:cs="Arial"/>
          <w:color w:val="000000" w:themeColor="text1"/>
          <w:sz w:val="22"/>
          <w:szCs w:val="22"/>
          <w:lang w:val="es-ES"/>
        </w:rPr>
        <w:t xml:space="preserve">l Decreto 1860 de 2021 adicionó el artículo 2.2.1.2.4.2.14 al Decreto 1082 de 2015, estableciendo las condiciones y requisitos en atención a los cuales se definen los emprendimientos y empresas de mujeres, a las que les aplican los criterios diferenciales. Para estos efectos, señala cuatro numerales con unas condiciones alternativas que definen los emprendimientos y empresas de mujeres, a efectos de aplicar los criterios diferenciales. </w:t>
      </w:r>
    </w:p>
    <w:p w14:paraId="6C333309" w14:textId="24E1BB14" w:rsidR="00337936" w:rsidRPr="00CC306F" w:rsidRDefault="00337936" w:rsidP="003D4FAA">
      <w:pPr>
        <w:spacing w:after="240" w:line="276" w:lineRule="auto"/>
        <w:ind w:firstLine="709"/>
        <w:jc w:val="both"/>
        <w:rPr>
          <w:rFonts w:ascii="Geomanist Light" w:hAnsi="Geomanist Light" w:cs="Arial"/>
          <w:color w:val="000000" w:themeColor="text1"/>
          <w:sz w:val="22"/>
          <w:szCs w:val="22"/>
          <w:lang w:val="es-ES_tradnl"/>
        </w:rPr>
      </w:pPr>
      <w:r w:rsidRPr="00CC306F">
        <w:rPr>
          <w:rFonts w:ascii="Geomanist Light" w:hAnsi="Geomanist Light" w:cs="Arial"/>
          <w:color w:val="000000" w:themeColor="text1"/>
          <w:sz w:val="22"/>
          <w:szCs w:val="22"/>
          <w:lang w:val="es-ES_tradnl"/>
        </w:rPr>
        <w:lastRenderedPageBreak/>
        <w:t xml:space="preserve">Así pues, de acuerdo con lo señalado, se observa que el legislador </w:t>
      </w:r>
      <w:r w:rsidRPr="00CC306F">
        <w:rPr>
          <w:rFonts w:ascii="Geomanist Light" w:hAnsi="Geomanist Light" w:cs="Arial"/>
          <w:sz w:val="22"/>
          <w:szCs w:val="22"/>
          <w:lang w:val="es-ES_tradnl"/>
        </w:rPr>
        <w:t xml:space="preserve">reglamentó in extenso la forma de acreditar las circunstancias, los medios de prueba requeridos y las autoridades que pueden emitir estos documentos, para la obtención de los beneficios de puntuación adicional </w:t>
      </w:r>
      <w:r w:rsidRPr="00CC306F">
        <w:rPr>
          <w:rFonts w:ascii="Geomanist Light" w:hAnsi="Geomanist Light" w:cs="Arial"/>
          <w:color w:val="000000"/>
          <w:sz w:val="22"/>
          <w:szCs w:val="22"/>
          <w:lang w:eastAsia="es-MX"/>
        </w:rPr>
        <w:t xml:space="preserve">en favor tanto de personas con discapacidad como de </w:t>
      </w:r>
      <w:r w:rsidRPr="00CC306F">
        <w:rPr>
          <w:rFonts w:ascii="Geomanist Light" w:hAnsi="Geomanist Light" w:cs="Arial"/>
          <w:color w:val="000000" w:themeColor="text1"/>
          <w:sz w:val="22"/>
          <w:szCs w:val="22"/>
          <w:lang w:val="es-ES"/>
        </w:rPr>
        <w:t xml:space="preserve">los emprendimientos y empresas de mujeres, </w:t>
      </w:r>
      <w:r w:rsidRPr="00CC306F">
        <w:rPr>
          <w:rFonts w:ascii="Geomanist Light" w:hAnsi="Geomanist Light" w:cs="Arial"/>
          <w:sz w:val="22"/>
          <w:szCs w:val="22"/>
          <w:lang w:val="es-ES_tradnl"/>
        </w:rPr>
        <w:t>por lo que las entidades contratantes deberán acudir a su contenido detallado para la aplicación de cada requisito habilitante y el otorgamiento del puntaje adicional en sus procesos de contratación.</w:t>
      </w:r>
    </w:p>
    <w:p w14:paraId="5CE704FA" w14:textId="5A788DA1" w:rsidR="00337936" w:rsidRPr="003D4FAA" w:rsidRDefault="00337936" w:rsidP="003D4FAA">
      <w:pPr>
        <w:spacing w:after="240" w:line="276" w:lineRule="auto"/>
        <w:ind w:firstLine="709"/>
        <w:jc w:val="both"/>
        <w:rPr>
          <w:rFonts w:ascii="Geomanist Light" w:hAnsi="Geomanist Light" w:cs="Arial"/>
          <w:sz w:val="22"/>
          <w:szCs w:val="22"/>
          <w:lang w:val="es-ES_tradnl"/>
        </w:rPr>
      </w:pPr>
      <w:r w:rsidRPr="00CC306F">
        <w:rPr>
          <w:rFonts w:ascii="Geomanist Light" w:hAnsi="Geomanist Light" w:cs="Arial"/>
          <w:color w:val="000000" w:themeColor="text1"/>
          <w:sz w:val="22"/>
          <w:szCs w:val="22"/>
          <w:lang w:val="es-ES_tradnl"/>
        </w:rPr>
        <w:t xml:space="preserve">De este modo dichos </w:t>
      </w:r>
      <w:r w:rsidRPr="00CC306F">
        <w:rPr>
          <w:rFonts w:ascii="Geomanist Light" w:hAnsi="Geomanist Light" w:cs="Arial"/>
          <w:sz w:val="22"/>
          <w:szCs w:val="22"/>
          <w:lang w:val="es-ES_tradnl"/>
        </w:rPr>
        <w:t>documentos constituyen una tarifa legal probatoria para demostrar una u otra calidad y así hacerse acreedores del beneficio solicitado, de tal suerte que corresponde al proponente que pretendan acceder a tales beneficios presentarlos en debida forma junto con sus respectivos soportes. En todo caso, es deber de la entidad estatal verificar que los documentos presentados acrediten las condiciones descritas.</w:t>
      </w:r>
    </w:p>
    <w:p w14:paraId="734F65C7" w14:textId="2895A652" w:rsidR="00337936" w:rsidRPr="00CC306F" w:rsidRDefault="00337936" w:rsidP="003D4FAA">
      <w:pPr>
        <w:spacing w:after="240" w:line="276" w:lineRule="auto"/>
        <w:ind w:firstLine="709"/>
        <w:jc w:val="both"/>
        <w:rPr>
          <w:rFonts w:ascii="Geomanist Light" w:hAnsi="Geomanist Light" w:cs="Arial"/>
          <w:bCs/>
          <w:color w:val="000000"/>
          <w:sz w:val="22"/>
          <w:szCs w:val="22"/>
          <w:lang w:val="es-ES_tradnl"/>
        </w:rPr>
      </w:pPr>
      <w:r w:rsidRPr="00CC306F">
        <w:rPr>
          <w:rFonts w:ascii="Geomanist Light" w:hAnsi="Geomanist Light" w:cs="Arial"/>
          <w:sz w:val="22"/>
          <w:szCs w:val="22"/>
          <w:lang w:eastAsia="es-CO"/>
        </w:rPr>
        <w:t xml:space="preserve">Conviene destacar que </w:t>
      </w:r>
      <w:r w:rsidRPr="00CC306F">
        <w:rPr>
          <w:rFonts w:ascii="Geomanist Light" w:hAnsi="Geomanist Light" w:cs="Arial"/>
          <w:bCs/>
          <w:color w:val="000000"/>
          <w:sz w:val="22"/>
          <w:szCs w:val="22"/>
          <w:lang w:val="es-ES_tradnl"/>
        </w:rPr>
        <w:t xml:space="preserve">teniendo en cuenta i) que el reglamento define los documentos que demuestran las circunstancias reguladas </w:t>
      </w:r>
      <w:r w:rsidRPr="00CC306F">
        <w:rPr>
          <w:rFonts w:ascii="Geomanist Light" w:hAnsi="Geomanist Light" w:cs="Arial"/>
          <w:sz w:val="22"/>
          <w:szCs w:val="22"/>
          <w:lang w:val="es-ES_tradnl"/>
        </w:rPr>
        <w:t xml:space="preserve">para la obtención de los beneficios de puntuación adicional </w:t>
      </w:r>
      <w:r w:rsidRPr="00CC306F">
        <w:rPr>
          <w:rFonts w:ascii="Geomanist Light" w:hAnsi="Geomanist Light" w:cs="Arial"/>
          <w:color w:val="000000"/>
          <w:sz w:val="22"/>
          <w:szCs w:val="22"/>
          <w:lang w:eastAsia="es-MX"/>
        </w:rPr>
        <w:t xml:space="preserve">en favor tanto de personas con discapacidad como de </w:t>
      </w:r>
      <w:r w:rsidRPr="00CC306F">
        <w:rPr>
          <w:rFonts w:ascii="Geomanist Light" w:hAnsi="Geomanist Light" w:cs="Arial"/>
          <w:color w:val="000000" w:themeColor="text1"/>
          <w:sz w:val="22"/>
          <w:szCs w:val="22"/>
          <w:lang w:val="es-ES"/>
        </w:rPr>
        <w:t>los emprendimientos y empresas de mujeres</w:t>
      </w:r>
      <w:r w:rsidRPr="00CC306F">
        <w:rPr>
          <w:rFonts w:ascii="Geomanist Light" w:hAnsi="Geomanist Light" w:cs="Arial"/>
          <w:bCs/>
          <w:color w:val="000000"/>
          <w:sz w:val="22"/>
          <w:szCs w:val="22"/>
          <w:lang w:val="es-ES_tradnl"/>
        </w:rPr>
        <w:t xml:space="preserve">, ii) que las entidades estatales deben presumir la buena fe, como lo ordena el artículo 83 de la Constitución Política, y que iii) los numerales 1 y 2 del artículo 25 de la Ley 80 de 1993 prohíben implementar trámites o requisitos que las normas no incluyen, como garantía del principio de economía, las entidades deben abstenerse de solicitar documentos adicionales a los señalados por el legislador. </w:t>
      </w:r>
    </w:p>
    <w:p w14:paraId="549989B7" w14:textId="03887816" w:rsidR="00337936" w:rsidRPr="00CC306F" w:rsidRDefault="00C829F8" w:rsidP="003D4FAA">
      <w:pPr>
        <w:spacing w:after="240" w:line="276" w:lineRule="auto"/>
        <w:ind w:firstLine="709"/>
        <w:jc w:val="both"/>
        <w:rPr>
          <w:rFonts w:ascii="Geomanist Light" w:hAnsi="Geomanist Light" w:cs="Arial"/>
          <w:sz w:val="22"/>
          <w:szCs w:val="22"/>
          <w:lang w:val="es-ES_tradnl"/>
        </w:rPr>
      </w:pPr>
      <w:r w:rsidRPr="00CC306F">
        <w:rPr>
          <w:rFonts w:ascii="Geomanist Light" w:hAnsi="Geomanist Light" w:cs="Arial"/>
          <w:bCs/>
          <w:color w:val="000000"/>
          <w:sz w:val="22"/>
          <w:szCs w:val="22"/>
          <w:lang w:val="es-ES_tradnl"/>
        </w:rPr>
        <w:t xml:space="preserve">Todo lo anterior, </w:t>
      </w:r>
      <w:r w:rsidR="00337936" w:rsidRPr="00CC306F">
        <w:rPr>
          <w:rFonts w:ascii="Geomanist Light" w:hAnsi="Geomanist Light" w:cs="Arial"/>
          <w:bCs/>
          <w:color w:val="000000"/>
          <w:sz w:val="22"/>
          <w:szCs w:val="22"/>
          <w:lang w:val="es-ES_tradnl"/>
        </w:rPr>
        <w:t xml:space="preserve">sin perjuicio del deber de verificación ante las inconsistencias evidenciadas que </w:t>
      </w:r>
      <w:proofErr w:type="gramStart"/>
      <w:r w:rsidR="00337936" w:rsidRPr="00CC306F">
        <w:rPr>
          <w:rFonts w:ascii="Geomanist Light" w:hAnsi="Geomanist Light" w:cs="Arial"/>
          <w:bCs/>
          <w:color w:val="000000"/>
          <w:sz w:val="22"/>
          <w:szCs w:val="22"/>
          <w:lang w:val="es-ES_tradnl"/>
        </w:rPr>
        <w:t>le</w:t>
      </w:r>
      <w:proofErr w:type="gramEnd"/>
      <w:r w:rsidR="00337936" w:rsidRPr="00CC306F">
        <w:rPr>
          <w:rFonts w:ascii="Geomanist Light" w:hAnsi="Geomanist Light" w:cs="Arial"/>
          <w:bCs/>
          <w:color w:val="000000"/>
          <w:sz w:val="22"/>
          <w:szCs w:val="22"/>
          <w:lang w:val="es-ES_tradnl"/>
        </w:rPr>
        <w:t xml:space="preserve"> asiste a las entidades estatales, así como de la </w:t>
      </w:r>
      <w:r w:rsidR="00337936" w:rsidRPr="00CC306F">
        <w:rPr>
          <w:rFonts w:ascii="Geomanist Light" w:hAnsi="Geomanist Light" w:cs="Arial"/>
          <w:sz w:val="22"/>
          <w:szCs w:val="22"/>
          <w:lang w:val="es-MX"/>
        </w:rPr>
        <w:t xml:space="preserve">facultad con la que cuentan para «solicitar a los proponentes las aclaraciones y explicaciones que se estimen indispensables», establecida en el artículo 30-7 de la Ley 80 de 1993; aunado a la posibilidad </w:t>
      </w:r>
      <w:r w:rsidR="00337936" w:rsidRPr="00CC306F">
        <w:rPr>
          <w:rFonts w:ascii="Geomanist Light" w:hAnsi="Geomanist Light" w:cs="Arial"/>
          <w:bCs/>
          <w:color w:val="000000"/>
          <w:sz w:val="22"/>
          <w:szCs w:val="22"/>
          <w:lang w:val="es-ES_tradnl"/>
        </w:rPr>
        <w:t>de denuncia de la posible falsedad de los documentos advertida durante el procedimiento contractual.</w:t>
      </w:r>
    </w:p>
    <w:p w14:paraId="1478EE56" w14:textId="77DEF199" w:rsidR="00C36BB2" w:rsidRPr="00CC306F" w:rsidRDefault="00337936" w:rsidP="004E77FA">
      <w:pPr>
        <w:spacing w:after="240" w:line="276" w:lineRule="auto"/>
        <w:ind w:firstLine="708"/>
        <w:jc w:val="both"/>
        <w:rPr>
          <w:rFonts w:ascii="Geomanist Light" w:hAnsi="Geomanist Light" w:cs="Arial"/>
          <w:sz w:val="22"/>
          <w:szCs w:val="22"/>
          <w:lang w:val="es-ES_tradnl"/>
        </w:rPr>
      </w:pPr>
      <w:r w:rsidRPr="00CC306F">
        <w:rPr>
          <w:rFonts w:ascii="Geomanist Light" w:hAnsi="Geomanist Light" w:cs="Arial"/>
          <w:sz w:val="22"/>
          <w:szCs w:val="22"/>
          <w:lang w:val="es-ES_tradnl"/>
        </w:rPr>
        <w:t>Finalmente se reitera que, e</w:t>
      </w:r>
      <w:r w:rsidRPr="00CC306F">
        <w:rPr>
          <w:rFonts w:ascii="Geomanist Light" w:hAnsi="Geomanist Light" w:cs="Arial"/>
          <w:color w:val="000000"/>
          <w:sz w:val="22"/>
          <w:szCs w:val="22"/>
          <w:lang w:val="es-ES_tradnl"/>
        </w:rPr>
        <w:t xml:space="preserve">n ejercicio de las competencias establecidas en los artículos 3.5 y 11.8 del Decreto 4170 de 2011, no le está dado a la Agencia Nacional de Contratación Pública – Colombia Compra Eficiente definir aspectos adicionales a los contemplados en la normativa enunciada, ya que el legislador no concibió a Colombia Compra Eficiente como una autoridad para solucionar problemas jurídicos particulares de todos los partícipes de la contratación estatal ni para interpretar el alcance de cualquier norma vigente en el ordenamiento jurídico. </w:t>
      </w:r>
      <w:r w:rsidRPr="00CC306F">
        <w:rPr>
          <w:rFonts w:ascii="Geomanist Light" w:hAnsi="Geomanist Light" w:cs="Arial"/>
          <w:sz w:val="22"/>
          <w:szCs w:val="22"/>
          <w:lang w:val="es-ES_tradnl" w:eastAsia="es-MX"/>
        </w:rPr>
        <w:t xml:space="preserve">Por lo tanto, </w:t>
      </w:r>
      <w:r w:rsidRPr="00CC306F">
        <w:rPr>
          <w:rFonts w:ascii="Geomanist Light" w:hAnsi="Geomanist Light" w:cs="Arial"/>
          <w:sz w:val="22"/>
          <w:szCs w:val="22"/>
          <w:lang w:val="es-ES_tradnl"/>
        </w:rPr>
        <w:t xml:space="preserve">la presente interpretación además se </w:t>
      </w:r>
      <w:r w:rsidRPr="00CC306F">
        <w:rPr>
          <w:rFonts w:ascii="Geomanist Light" w:hAnsi="Geomanist Light" w:cs="Arial"/>
          <w:sz w:val="22"/>
          <w:szCs w:val="22"/>
          <w:lang w:val="es-ES_tradnl"/>
        </w:rPr>
        <w:lastRenderedPageBreak/>
        <w:t>impone en virtud de aquella regla según la cual «cuando el sentido de la ley sea claro, no se desatenderá su tenor literal a pretexto de consultar su espíritu».</w:t>
      </w:r>
    </w:p>
    <w:p w14:paraId="0C3AD26B" w14:textId="6B0CF806" w:rsidR="00556732" w:rsidRPr="003D4FAA" w:rsidRDefault="00556732" w:rsidP="003D4FAA">
      <w:pPr>
        <w:spacing w:after="240"/>
        <w:ind w:left="709" w:right="902"/>
        <w:jc w:val="both"/>
        <w:rPr>
          <w:rFonts w:ascii="Geomanist Light" w:eastAsia="Arial" w:hAnsi="Geomanist Light" w:cs="Arial"/>
          <w:color w:val="000000"/>
          <w:sz w:val="21"/>
          <w:szCs w:val="21"/>
        </w:rPr>
      </w:pPr>
      <w:r w:rsidRPr="00CC306F">
        <w:rPr>
          <w:rFonts w:ascii="Geomanist Light" w:eastAsia="Arial" w:hAnsi="Geomanist Light" w:cs="Arial"/>
          <w:color w:val="000000"/>
          <w:sz w:val="21"/>
          <w:szCs w:val="21"/>
        </w:rPr>
        <w:t>«4. Algunas Entidades Oficiales no otorgan el puntaje por MIPYME pues no aceptan que esta condición se demuestra con la presentación del RUP vigente, en firme y con fecha no superior a 30 días del cierre del proceso. ¿es esto legal?</w:t>
      </w:r>
      <w:r w:rsidRPr="00CC306F">
        <w:rPr>
          <w:rFonts w:ascii="Geomanist Light" w:eastAsiaTheme="minorHAnsi" w:hAnsi="Geomanist Light" w:cs="Arial"/>
          <w:color w:val="000000" w:themeColor="text1"/>
          <w:sz w:val="21"/>
          <w:szCs w:val="21"/>
          <w:lang w:eastAsia="en-US"/>
        </w:rPr>
        <w:t>»</w:t>
      </w:r>
      <w:r w:rsidRPr="00CC306F">
        <w:rPr>
          <w:rFonts w:ascii="Geomanist Light" w:eastAsia="Arial" w:hAnsi="Geomanist Light" w:cs="Arial"/>
          <w:color w:val="000000"/>
          <w:sz w:val="21"/>
          <w:szCs w:val="21"/>
        </w:rPr>
        <w:t xml:space="preserve"> </w:t>
      </w:r>
    </w:p>
    <w:p w14:paraId="6D6EF8B8" w14:textId="6074B9B1" w:rsidR="00556732" w:rsidRPr="00CC306F" w:rsidRDefault="00556732" w:rsidP="003D4FAA">
      <w:pPr>
        <w:spacing w:after="240" w:line="276" w:lineRule="auto"/>
        <w:jc w:val="both"/>
        <w:rPr>
          <w:rFonts w:ascii="Geomanist Light" w:hAnsi="Geomanist Light" w:cs="Arial"/>
          <w:sz w:val="22"/>
          <w:szCs w:val="22"/>
          <w:lang w:val="es-ES_tradnl"/>
        </w:rPr>
      </w:pPr>
      <w:r w:rsidRPr="00CC306F">
        <w:rPr>
          <w:rFonts w:ascii="Geomanist Light" w:hAnsi="Geomanist Light" w:cs="Arial"/>
          <w:sz w:val="22"/>
          <w:szCs w:val="22"/>
          <w:lang w:val="es-ES_tradnl"/>
        </w:rPr>
        <w:t xml:space="preserve">El artículo 3 del Decreto 1860 de 2021, que adicionó el artículo 2.2.1.2.4.2.18 al Decreto 1082 de 2015 reglamentó los criterios diferenciales para </w:t>
      </w:r>
      <w:proofErr w:type="spellStart"/>
      <w:r w:rsidRPr="00CC306F">
        <w:rPr>
          <w:rFonts w:ascii="Geomanist Light" w:hAnsi="Geomanist Light" w:cs="Arial"/>
          <w:sz w:val="22"/>
          <w:szCs w:val="22"/>
          <w:lang w:val="es-ES_tradnl"/>
        </w:rPr>
        <w:t>Mipyme</w:t>
      </w:r>
      <w:proofErr w:type="spellEnd"/>
      <w:r w:rsidRPr="00CC306F">
        <w:rPr>
          <w:rFonts w:ascii="Geomanist Light" w:hAnsi="Geomanist Light" w:cs="Arial"/>
          <w:sz w:val="22"/>
          <w:szCs w:val="22"/>
          <w:lang w:val="es-ES_tradnl"/>
        </w:rPr>
        <w:t xml:space="preserv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CC306F">
        <w:rPr>
          <w:rFonts w:ascii="Geomanist Light" w:hAnsi="Geomanist Light" w:cs="Arial"/>
          <w:sz w:val="22"/>
          <w:szCs w:val="22"/>
          <w:lang w:val="es-ES_tradnl"/>
        </w:rPr>
        <w:t>Mipyme</w:t>
      </w:r>
      <w:proofErr w:type="spellEnd"/>
      <w:r w:rsidRPr="00CC306F">
        <w:rPr>
          <w:rFonts w:ascii="Geomanist Light" w:hAnsi="Geomanist Light" w:cs="Arial"/>
          <w:sz w:val="22"/>
          <w:szCs w:val="22"/>
          <w:lang w:val="es-ES_tradnl"/>
        </w:rPr>
        <w:t xml:space="preserve"> domiciliadas en Colombia. </w:t>
      </w:r>
    </w:p>
    <w:p w14:paraId="5B7E4F14" w14:textId="7603AE40" w:rsidR="00556732" w:rsidRPr="00CC306F" w:rsidRDefault="00556732" w:rsidP="003D4FAA">
      <w:pPr>
        <w:spacing w:after="240" w:line="276" w:lineRule="auto"/>
        <w:ind w:firstLine="709"/>
        <w:jc w:val="both"/>
        <w:rPr>
          <w:rFonts w:ascii="Geomanist Light" w:hAnsi="Geomanist Light" w:cs="Arial"/>
          <w:sz w:val="22"/>
          <w:szCs w:val="22"/>
          <w:lang w:val="es-ES_tradnl"/>
        </w:rPr>
      </w:pPr>
      <w:r w:rsidRPr="00CC306F">
        <w:rPr>
          <w:rFonts w:ascii="Geomanist Light" w:hAnsi="Geomanist Light" w:cs="Arial"/>
          <w:sz w:val="22"/>
          <w:szCs w:val="22"/>
          <w:lang w:val="es-ES_tradnl"/>
        </w:rPr>
        <w:t xml:space="preserve">En tal sentido, además de la posibilidad de determinar los criterios diferenciales para </w:t>
      </w:r>
      <w:proofErr w:type="spellStart"/>
      <w:r w:rsidRPr="00CC306F">
        <w:rPr>
          <w:rFonts w:ascii="Geomanist Light" w:hAnsi="Geomanist Light" w:cs="Arial"/>
          <w:sz w:val="22"/>
          <w:szCs w:val="22"/>
          <w:lang w:val="es-ES_tradnl"/>
        </w:rPr>
        <w:t>Mipyme</w:t>
      </w:r>
      <w:proofErr w:type="spellEnd"/>
      <w:r w:rsidRPr="00CC306F">
        <w:rPr>
          <w:rFonts w:ascii="Geomanist Light" w:hAnsi="Geomanist Light" w:cs="Arial"/>
          <w:sz w:val="22"/>
          <w:szCs w:val="22"/>
          <w:lang w:val="es-ES_tradnl"/>
        </w:rPr>
        <w:t xml:space="preserve"> relacionados con requisitos habilitantes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w:t>
      </w:r>
    </w:p>
    <w:p w14:paraId="54C0B45D" w14:textId="7261A228" w:rsidR="00556732" w:rsidRPr="003D4FAA" w:rsidRDefault="00556732" w:rsidP="003D4FAA">
      <w:pPr>
        <w:spacing w:after="240" w:line="276" w:lineRule="auto"/>
        <w:ind w:firstLine="709"/>
        <w:jc w:val="both"/>
        <w:rPr>
          <w:rFonts w:ascii="Geomanist Light" w:hAnsi="Geomanist Light" w:cs="Arial"/>
          <w:sz w:val="22"/>
          <w:szCs w:val="22"/>
          <w:lang w:val="es-ES_tradnl"/>
        </w:rPr>
      </w:pPr>
      <w:r w:rsidRPr="00CC306F">
        <w:rPr>
          <w:rFonts w:ascii="Geomanist Light" w:hAnsi="Geomanist Light" w:cs="Arial"/>
          <w:sz w:val="22"/>
          <w:szCs w:val="22"/>
          <w:lang w:val="es-ES_tradnl"/>
        </w:rPr>
        <w:t>Para los efectos de dicho beneficio los criterios de clasificación empresarial son los definidos en el artículo </w:t>
      </w:r>
      <w:hyperlink r:id="rId15" w:anchor="2.2.1.13.2.2" w:history="1">
        <w:r w:rsidRPr="00CC306F">
          <w:rPr>
            <w:rFonts w:ascii="Geomanist Light" w:hAnsi="Geomanist Light" w:cs="Arial"/>
            <w:sz w:val="22"/>
            <w:szCs w:val="22"/>
            <w:lang w:val="es-ES_tradnl"/>
          </w:rPr>
          <w:t>2.2.1.13.2.2</w:t>
        </w:r>
      </w:hyperlink>
      <w:r w:rsidRPr="00CC306F">
        <w:rPr>
          <w:rFonts w:ascii="Geomanist Light" w:hAnsi="Geomanist Light" w:cs="Arial"/>
          <w:sz w:val="22"/>
          <w:szCs w:val="22"/>
          <w:lang w:val="es-ES_tradnl"/>
        </w:rPr>
        <w:t> del Decreto 1074 de 2015, Único Reglamentario del Sector Comercio, Industria y Turismo, o la norma que lo modifique, derogue o sustituya, norma que además de establecer los rangos para la definición del tamaño empresarial precisó en el parágrafo de su artículo 2.2.1.13.2.4.  que, para la aplicación de los incentivos del sistema de compras y contratación pública, la acreditación del tamaño empresarial se efectuará de acuerdo con lo previsto en el artículo 2.2.1.2.4.2.4 del Decreto 1082 de 2015 y demás normas que lo aclaren, modifiquen o adicionen.</w:t>
      </w:r>
    </w:p>
    <w:p w14:paraId="0ACFFA53" w14:textId="7F6DD94E" w:rsidR="00556732" w:rsidRPr="00CC306F" w:rsidRDefault="00556732" w:rsidP="00167784">
      <w:pPr>
        <w:pStyle w:val="NormalWeb"/>
        <w:shd w:val="clear" w:color="auto" w:fill="FFFFFF"/>
        <w:spacing w:before="0" w:beforeAutospacing="0" w:after="240" w:afterAutospacing="0" w:line="276" w:lineRule="auto"/>
        <w:ind w:firstLine="709"/>
        <w:jc w:val="both"/>
        <w:rPr>
          <w:rFonts w:ascii="Geomanist Light" w:hAnsi="Geomanist Light" w:cs="Arial"/>
          <w:sz w:val="22"/>
          <w:szCs w:val="22"/>
        </w:rPr>
      </w:pPr>
      <w:r w:rsidRPr="00CC306F">
        <w:rPr>
          <w:rFonts w:ascii="Geomanist Light" w:eastAsia="Calibri" w:hAnsi="Geomanist Light" w:cs="Arial"/>
          <w:sz w:val="22"/>
          <w:szCs w:val="22"/>
          <w:lang w:val="es-ES_tradnl" w:eastAsia="en-US"/>
        </w:rPr>
        <w:t xml:space="preserve">En tal sentido, el 2.2.1.2.4.2.4 del Decreto 1082 de 2015 modificado por el artículo 5 del Decreto 1860 de 2021 establece que las </w:t>
      </w:r>
      <w:proofErr w:type="spellStart"/>
      <w:r w:rsidRPr="00CC306F">
        <w:rPr>
          <w:rFonts w:ascii="Geomanist Light" w:hAnsi="Geomanist Light" w:cs="Arial"/>
          <w:sz w:val="22"/>
          <w:szCs w:val="22"/>
        </w:rPr>
        <w:t>Mipyme</w:t>
      </w:r>
      <w:proofErr w:type="spellEnd"/>
      <w:r w:rsidRPr="00CC306F">
        <w:rPr>
          <w:rFonts w:ascii="Geomanist Light" w:hAnsi="Geomanist Light" w:cs="Arial"/>
          <w:sz w:val="22"/>
          <w:szCs w:val="22"/>
        </w:rPr>
        <w:t xml:space="preserve"> colombianas deben acreditar que tiene el tamaño empresarial establecido por la ley de la siguiente manera: 1. Las personas naturales mediante certificación expedida por ellos y un contador público, adjuntando copia del registro mercantil; 2. Las personas jurídicas mediante certificación expedida por el representante legal y el contador o revisor fiscal, si están obligados a tenerlo, adjuntando </w:t>
      </w:r>
      <w:r w:rsidRPr="00CC306F">
        <w:rPr>
          <w:rFonts w:ascii="Geomanist Light" w:hAnsi="Geomanist Light" w:cs="Arial"/>
          <w:sz w:val="22"/>
          <w:szCs w:val="22"/>
        </w:rPr>
        <w:lastRenderedPageBreak/>
        <w:t xml:space="preserve">copia del certificado de existencia y representación legal expedido por la Cámara de Comercio o por la autoridad competente para expedir dicha certificación. </w:t>
      </w:r>
    </w:p>
    <w:p w14:paraId="3EFF6005" w14:textId="00B68D41" w:rsidR="00556732" w:rsidRPr="003D4FAA" w:rsidRDefault="00556732" w:rsidP="003D4FAA">
      <w:pPr>
        <w:pStyle w:val="NormalWeb"/>
        <w:shd w:val="clear" w:color="auto" w:fill="FFFFFF"/>
        <w:spacing w:before="0" w:beforeAutospacing="0" w:after="240" w:afterAutospacing="0" w:line="276" w:lineRule="auto"/>
        <w:ind w:firstLine="709"/>
        <w:jc w:val="both"/>
        <w:rPr>
          <w:rFonts w:ascii="Geomanist Light" w:hAnsi="Geomanist Light" w:cs="Arial"/>
          <w:sz w:val="22"/>
          <w:szCs w:val="22"/>
          <w:lang w:val="es-ES_tradnl"/>
        </w:rPr>
      </w:pPr>
      <w:r w:rsidRPr="00CC306F">
        <w:rPr>
          <w:rFonts w:ascii="Geomanist Light" w:hAnsi="Geomanist Light" w:cs="Arial"/>
          <w:sz w:val="22"/>
          <w:szCs w:val="22"/>
        </w:rPr>
        <w:t xml:space="preserve">No obstante, el parágrafo 1 ibídem establece que </w:t>
      </w:r>
      <w:r w:rsidRPr="00CC306F">
        <w:rPr>
          <w:rFonts w:ascii="Geomanist Light" w:hAnsi="Geomanist Light" w:cs="Arial"/>
          <w:i/>
          <w:sz w:val="22"/>
          <w:szCs w:val="22"/>
        </w:rPr>
        <w:t xml:space="preserve">“En todo caso, las </w:t>
      </w:r>
      <w:proofErr w:type="spellStart"/>
      <w:r w:rsidRPr="00CC306F">
        <w:rPr>
          <w:rFonts w:ascii="Geomanist Light" w:hAnsi="Geomanist Light" w:cs="Arial"/>
          <w:i/>
          <w:sz w:val="22"/>
          <w:szCs w:val="22"/>
        </w:rPr>
        <w:t>Mipyme</w:t>
      </w:r>
      <w:proofErr w:type="spellEnd"/>
      <w:r w:rsidRPr="00CC306F">
        <w:rPr>
          <w:rFonts w:ascii="Geomanist Light" w:hAnsi="Geomanist Light" w:cs="Arial"/>
          <w:i/>
          <w:sz w:val="22"/>
          <w:szCs w:val="22"/>
        </w:rPr>
        <w:t xml:space="preserve"> también podrán acreditar esta condición con la copia del certificado del Registro Único de Proponentes, el cual deberá encontrarse vigente y en firme al momento de su presentación</w:t>
      </w:r>
      <w:r w:rsidRPr="00CC306F">
        <w:rPr>
          <w:rFonts w:ascii="Geomanist Light" w:hAnsi="Geomanist Light" w:cs="Arial"/>
          <w:sz w:val="22"/>
          <w:szCs w:val="22"/>
        </w:rPr>
        <w:t xml:space="preserve">”. </w:t>
      </w:r>
      <w:r w:rsidRPr="00CC306F">
        <w:rPr>
          <w:rFonts w:ascii="Geomanist Light" w:eastAsia="Arial" w:hAnsi="Geomanist Light" w:cs="Arial"/>
          <w:color w:val="000000"/>
          <w:sz w:val="22"/>
          <w:szCs w:val="22"/>
        </w:rPr>
        <w:t xml:space="preserve">De este modo, las entidades deben dar cumplimiento expreso a las distintas posibilidades que otorga el Decreto 1082 para </w:t>
      </w:r>
      <w:r w:rsidRPr="00CC306F">
        <w:rPr>
          <w:rFonts w:ascii="Geomanist Light" w:hAnsi="Geomanist Light" w:cs="Arial"/>
          <w:sz w:val="22"/>
          <w:szCs w:val="22"/>
        </w:rPr>
        <w:t>acreditar que tiene el tamaño empresarial establecido por la ley</w:t>
      </w:r>
      <w:r w:rsidRPr="00CC306F">
        <w:rPr>
          <w:rFonts w:ascii="Geomanist Light" w:hAnsi="Geomanist Light" w:cs="Arial"/>
          <w:sz w:val="22"/>
          <w:szCs w:val="22"/>
          <w:lang w:val="es-ES_tradnl"/>
        </w:rPr>
        <w:t xml:space="preserve">. De tal suerte que </w:t>
      </w:r>
      <w:r w:rsidRPr="00CC306F">
        <w:rPr>
          <w:rFonts w:ascii="Geomanist Light" w:hAnsi="Geomanist Light" w:cs="Arial"/>
          <w:sz w:val="22"/>
          <w:szCs w:val="22"/>
        </w:rPr>
        <w:t xml:space="preserve">las </w:t>
      </w:r>
      <w:proofErr w:type="spellStart"/>
      <w:r w:rsidRPr="00CC306F">
        <w:rPr>
          <w:rFonts w:ascii="Geomanist Light" w:hAnsi="Geomanist Light" w:cs="Arial"/>
          <w:sz w:val="22"/>
          <w:szCs w:val="22"/>
        </w:rPr>
        <w:t>Mipyme</w:t>
      </w:r>
      <w:proofErr w:type="spellEnd"/>
      <w:r w:rsidRPr="00CC306F">
        <w:rPr>
          <w:rFonts w:ascii="Geomanist Light" w:hAnsi="Geomanist Light" w:cs="Arial"/>
          <w:sz w:val="22"/>
          <w:szCs w:val="22"/>
        </w:rPr>
        <w:t xml:space="preserve"> también podrán acreditar esta condición con la copia del certificado del Registro Único de Proponentes, el cual deberá encontrarse vigente y en firme al momento de su presentación.</w:t>
      </w:r>
    </w:p>
    <w:p w14:paraId="58F6F683" w14:textId="2366003A" w:rsidR="009824F9" w:rsidRPr="003D4FAA" w:rsidRDefault="009824F9" w:rsidP="003D4FAA">
      <w:pPr>
        <w:spacing w:after="240"/>
        <w:ind w:left="709" w:right="902"/>
        <w:jc w:val="both"/>
        <w:rPr>
          <w:rFonts w:ascii="Geomanist Light" w:eastAsia="Arial" w:hAnsi="Geomanist Light" w:cs="Arial"/>
          <w:color w:val="000000"/>
          <w:sz w:val="21"/>
          <w:szCs w:val="21"/>
        </w:rPr>
      </w:pPr>
      <w:r w:rsidRPr="005504DA">
        <w:rPr>
          <w:rFonts w:ascii="Geomanist Light" w:eastAsia="Arial" w:hAnsi="Geomanist Light" w:cs="Arial"/>
          <w:color w:val="000000"/>
          <w:sz w:val="21"/>
          <w:szCs w:val="21"/>
        </w:rPr>
        <w:t xml:space="preserve">5. ¿Si una Entidad está obligada al IVA sobre la Utilidad y el oferente no la incluye en su oferta se puede rechazar la propuesta?» </w:t>
      </w:r>
    </w:p>
    <w:p w14:paraId="03ECD1E2" w14:textId="455B95F6" w:rsidR="009824F9" w:rsidRPr="005504DA" w:rsidRDefault="009824F9" w:rsidP="00167784">
      <w:pPr>
        <w:pStyle w:val="Textoindependiente"/>
        <w:spacing w:after="240" w:line="276" w:lineRule="auto"/>
        <w:ind w:right="49"/>
        <w:jc w:val="both"/>
        <w:rPr>
          <w:rFonts w:ascii="Geomanist Light" w:eastAsia="Times New Roman" w:hAnsi="Geomanist Light"/>
          <w:lang w:val="es-CO" w:eastAsia="es-CO"/>
        </w:rPr>
      </w:pPr>
      <w:r w:rsidRPr="005504DA">
        <w:rPr>
          <w:rFonts w:ascii="Geomanist Light" w:eastAsia="Times New Roman" w:hAnsi="Geomanist Light"/>
          <w:lang w:val="es-CO" w:eastAsia="es-CO"/>
        </w:rPr>
        <w:t>Si bien los procedimientos de selección en su integridad se tramitan a través de actuaciones administrativas regladas en el Estatuto General de Contratación de la Administración Pública y el Decreto Único Reglamentario, que contemplan cada una de las etapas que se deben agotar desde la planeación hasta la celebración del contrato, las entidades estatales gozan de discrecionalidad administrativa para establecer en el pliego de condiciones la forma en que se realizará la evaluación de las ofertas, conforme a la naturaleza y condiciones de los bienes y/o servicios a adquirir.</w:t>
      </w:r>
    </w:p>
    <w:p w14:paraId="3BE28731" w14:textId="20770BC6" w:rsidR="009824F9" w:rsidRPr="003D4FAA" w:rsidRDefault="009824F9" w:rsidP="00167784">
      <w:pPr>
        <w:pStyle w:val="Textoindependiente"/>
        <w:spacing w:after="240" w:line="276" w:lineRule="auto"/>
        <w:ind w:right="49" w:firstLine="709"/>
        <w:contextualSpacing/>
        <w:jc w:val="both"/>
        <w:rPr>
          <w:rFonts w:ascii="Geomanist Light" w:hAnsi="Geomanist Light"/>
          <w:bCs/>
          <w:lang w:val="es-ES_tradnl"/>
        </w:rPr>
      </w:pPr>
      <w:r w:rsidRPr="005504DA">
        <w:rPr>
          <w:rFonts w:ascii="Geomanist Light" w:eastAsia="Times New Roman" w:hAnsi="Geomanist Light"/>
          <w:lang w:val="es-CO" w:eastAsia="es-CO"/>
        </w:rPr>
        <w:t>Para el caso en particular, resulta relevante precisar que, ante la ausencia de reglamentación específica que establezca los criterios evaluación y la forma de asignación de puntajes en los procesos</w:t>
      </w:r>
      <w:r w:rsidRPr="00CC306F">
        <w:rPr>
          <w:rFonts w:ascii="Geomanist Light" w:eastAsia="Times New Roman" w:hAnsi="Geomanist Light"/>
          <w:lang w:val="es-CO" w:eastAsia="es-CO"/>
        </w:rPr>
        <w:t xml:space="preserve"> de selección, estos aspectos corresponden a un asunto que se debe establecer en los pliegos de condiciones de cada proceso de selección en forma individual y </w:t>
      </w:r>
      <w:r w:rsidRPr="00CC306F">
        <w:rPr>
          <w:rFonts w:ascii="Geomanist Light" w:hAnsi="Geomanist Light"/>
          <w:bCs/>
          <w:lang w:val="es-ES_tradnl"/>
        </w:rPr>
        <w:t xml:space="preserve">corresponde a las entidades estatales establecer las reglas para su aplicación por parte de los proponentes en el pliego de condiciones, con el propósito de dar a conocer los aspectos deben tenerse en cuenta a la hora de configurar sus ofertas. A partir de tales reglas, la entidad podrá exigir el desglose de determinados factores imputables a costos directos en determinada manera y en general, establecer los parámetros que garanticen el desarrollo de principios de la función administrativa. </w:t>
      </w:r>
    </w:p>
    <w:p w14:paraId="5A4C41A6" w14:textId="7C693D9C" w:rsidR="00556732" w:rsidRPr="00CC306F" w:rsidRDefault="009824F9" w:rsidP="00167784">
      <w:pPr>
        <w:spacing w:after="240" w:line="276" w:lineRule="auto"/>
        <w:ind w:firstLine="709"/>
        <w:jc w:val="both"/>
        <w:rPr>
          <w:rFonts w:ascii="Geomanist Light" w:hAnsi="Geomanist Light" w:cs="Arial"/>
          <w:color w:val="000000" w:themeColor="text1"/>
          <w:sz w:val="22"/>
          <w:szCs w:val="22"/>
        </w:rPr>
      </w:pPr>
      <w:r w:rsidRPr="00CC306F">
        <w:rPr>
          <w:rFonts w:ascii="Geomanist Light" w:eastAsia="Calibri" w:hAnsi="Geomanist Light"/>
          <w:bCs/>
          <w:sz w:val="22"/>
          <w:szCs w:val="22"/>
          <w:lang w:val="es-ES_tradnl" w:eastAsia="es-MX"/>
        </w:rPr>
        <w:t xml:space="preserve">En todo caso, será responsabilidad de cada proponente estructurar sus ofertas conforme lo establecen los pliegos de condiciones diseñados por las entidades estatales en cada proceso de selección y no corresponde a esta entidad entrar a resolver conflictos o problema jurídicos relacionados con la aplicación de normas tributarias, como quiera que la competencia consultiva atribuida a esta Agencia por el numeral 8 del artículo 11 y el numeral </w:t>
      </w:r>
      <w:r w:rsidRPr="00CC306F">
        <w:rPr>
          <w:rFonts w:ascii="Geomanist Light" w:eastAsia="Calibri" w:hAnsi="Geomanist Light"/>
          <w:bCs/>
          <w:sz w:val="22"/>
          <w:szCs w:val="22"/>
          <w:lang w:val="es-ES_tradnl" w:eastAsia="es-MX"/>
        </w:rPr>
        <w:lastRenderedPageBreak/>
        <w:t>5 del artículo 3 del Decreto Ley 4170 de 2011, se encuentra limitada a la resolución consultas sobre la aplicación de normas generales en materia de contratación pública.</w:t>
      </w:r>
    </w:p>
    <w:p w14:paraId="7B88C63D" w14:textId="59F84895" w:rsidR="00C142A3" w:rsidRPr="00CC306F" w:rsidRDefault="005C01C3" w:rsidP="00167784">
      <w:pPr>
        <w:spacing w:after="240" w:line="276" w:lineRule="auto"/>
        <w:jc w:val="both"/>
        <w:rPr>
          <w:rFonts w:ascii="Geomanist Light" w:hAnsi="Geomanist Light" w:cs="Arial"/>
          <w:color w:val="000000" w:themeColor="text1"/>
          <w:sz w:val="22"/>
          <w:lang w:val="es-ES_tradnl"/>
        </w:rPr>
      </w:pPr>
      <w:r w:rsidRPr="00CC306F">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0F5BBE95" w14:textId="77777777" w:rsidR="00AB1230" w:rsidRPr="00CC306F" w:rsidRDefault="00AB1230" w:rsidP="00AB1230">
      <w:pPr>
        <w:pStyle w:val="NormalWeb"/>
        <w:spacing w:before="0" w:beforeAutospacing="0" w:after="0" w:afterAutospacing="0" w:line="276" w:lineRule="auto"/>
        <w:jc w:val="both"/>
        <w:rPr>
          <w:rFonts w:ascii="Geomanist Light" w:hAnsi="Geomanist Light" w:cs="Arial"/>
          <w:noProof/>
          <w:color w:val="000000" w:themeColor="text1"/>
          <w:lang w:val="en-US"/>
        </w:rPr>
      </w:pPr>
      <w:r w:rsidRPr="00CC306F">
        <w:rPr>
          <w:rFonts w:ascii="Geomanist Light" w:hAnsi="Geomanist Light" w:cs="Arial"/>
          <w:color w:val="000000" w:themeColor="text1"/>
          <w:sz w:val="22"/>
          <w:szCs w:val="22"/>
          <w:lang w:val="es-ES_tradnl"/>
        </w:rPr>
        <w:t>Atentamente,</w:t>
      </w:r>
    </w:p>
    <w:bookmarkEnd w:id="27"/>
    <w:p w14:paraId="7C256F39" w14:textId="4644FAAB" w:rsidR="00303001" w:rsidRPr="00CC306F" w:rsidRDefault="00303001" w:rsidP="00EA3412">
      <w:pPr>
        <w:rPr>
          <w:rFonts w:ascii="Geomanist Light" w:hAnsi="Geomanist Light" w:cs="Arial"/>
          <w:lang w:val="es-ES" w:eastAsia="es-CO"/>
        </w:rPr>
      </w:pPr>
    </w:p>
    <w:p w14:paraId="0B1A425C" w14:textId="3B606EB9" w:rsidR="0023018C" w:rsidRPr="00CC306F" w:rsidRDefault="009F511B" w:rsidP="00E02991">
      <w:pPr>
        <w:jc w:val="center"/>
        <w:rPr>
          <w:rFonts w:ascii="Geomanist Light" w:hAnsi="Geomanist Light" w:cs="Arial"/>
          <w:shd w:val="clear" w:color="auto" w:fill="FFFFFF"/>
          <w:lang w:val="es-ES" w:eastAsia="es-CO"/>
        </w:rPr>
      </w:pPr>
      <w:r>
        <w:rPr>
          <w:noProof/>
          <w:lang w:val="en-US"/>
        </w:rPr>
        <w:drawing>
          <wp:inline distT="0" distB="0" distL="0" distR="0" wp14:anchorId="7D848D2A" wp14:editId="61287BE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6"/>
                    <a:stretch>
                      <a:fillRect/>
                    </a:stretch>
                  </pic:blipFill>
                  <pic:spPr>
                    <a:xfrm>
                      <a:off x="0" y="0"/>
                      <a:ext cx="2785707" cy="1068836"/>
                    </a:xfrm>
                    <a:prstGeom prst="rect">
                      <a:avLst/>
                    </a:prstGeom>
                  </pic:spPr>
                </pic:pic>
              </a:graphicData>
            </a:graphic>
          </wp:inline>
        </w:drawing>
      </w:r>
    </w:p>
    <w:p w14:paraId="2E18CF65" w14:textId="75D22745" w:rsidR="00DB28E2" w:rsidRPr="00CC306F" w:rsidRDefault="00DB28E2" w:rsidP="005520DD">
      <w:pPr>
        <w:rPr>
          <w:rFonts w:ascii="Geomanist Light" w:hAnsi="Geomanist Light"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DB28E2" w:rsidRPr="00CC306F" w14:paraId="6CB13F70" w14:textId="77777777" w:rsidTr="00D453EC">
        <w:trPr>
          <w:trHeight w:val="286"/>
        </w:trPr>
        <w:tc>
          <w:tcPr>
            <w:tcW w:w="817" w:type="dxa"/>
            <w:vAlign w:val="center"/>
          </w:tcPr>
          <w:p w14:paraId="7F68D403"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Elaboró:</w:t>
            </w:r>
          </w:p>
        </w:tc>
        <w:tc>
          <w:tcPr>
            <w:tcW w:w="4445" w:type="dxa"/>
            <w:tcBorders>
              <w:bottom w:val="dotted" w:sz="4" w:space="0" w:color="7F7F7F"/>
            </w:tcBorders>
            <w:vAlign w:val="center"/>
          </w:tcPr>
          <w:p w14:paraId="739A7F9B"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 xml:space="preserve">Diana Fabiola Herrera Hernández </w:t>
            </w:r>
          </w:p>
          <w:p w14:paraId="091E5BB7"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Contratista de la Subdirección de Gestión Contractual</w:t>
            </w:r>
          </w:p>
        </w:tc>
      </w:tr>
      <w:tr w:rsidR="00DB28E2" w:rsidRPr="00CC306F" w14:paraId="06C620AE" w14:textId="77777777" w:rsidTr="00D453EC">
        <w:trPr>
          <w:trHeight w:val="286"/>
        </w:trPr>
        <w:tc>
          <w:tcPr>
            <w:tcW w:w="817" w:type="dxa"/>
            <w:vAlign w:val="center"/>
          </w:tcPr>
          <w:p w14:paraId="66DBA239"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Revisó:</w:t>
            </w:r>
          </w:p>
        </w:tc>
        <w:tc>
          <w:tcPr>
            <w:tcW w:w="4445" w:type="dxa"/>
            <w:tcBorders>
              <w:bottom w:val="dotted" w:sz="4" w:space="0" w:color="7F7F7F"/>
            </w:tcBorders>
            <w:vAlign w:val="center"/>
          </w:tcPr>
          <w:p w14:paraId="33843477" w14:textId="77777777" w:rsidR="00803F1B" w:rsidRPr="00803F1B" w:rsidRDefault="00803F1B" w:rsidP="00803F1B">
            <w:pPr>
              <w:spacing w:before="0"/>
              <w:rPr>
                <w:rFonts w:ascii="Geomanist Light" w:hAnsi="Geomanist Light" w:cs="Arial"/>
                <w:sz w:val="16"/>
                <w:szCs w:val="16"/>
              </w:rPr>
            </w:pPr>
            <w:r w:rsidRPr="00803F1B">
              <w:rPr>
                <w:rFonts w:ascii="Geomanist Light" w:hAnsi="Geomanist Light" w:cs="Arial"/>
                <w:sz w:val="16"/>
                <w:szCs w:val="16"/>
              </w:rPr>
              <w:t xml:space="preserve">Alejandro Sarmiento Cantillo </w:t>
            </w:r>
          </w:p>
          <w:p w14:paraId="67DC3ABC" w14:textId="71DD8CFF" w:rsidR="00DB28E2" w:rsidRPr="00CC306F" w:rsidRDefault="00803F1B" w:rsidP="00803F1B">
            <w:pPr>
              <w:spacing w:before="0"/>
              <w:rPr>
                <w:rFonts w:ascii="Geomanist Light" w:hAnsi="Geomanist Light" w:cs="Arial"/>
                <w:sz w:val="16"/>
                <w:szCs w:val="16"/>
              </w:rPr>
            </w:pPr>
            <w:r w:rsidRPr="00803F1B">
              <w:rPr>
                <w:rFonts w:ascii="Geomanist Light" w:hAnsi="Geomanist Light" w:cs="Arial"/>
                <w:sz w:val="16"/>
                <w:szCs w:val="16"/>
              </w:rPr>
              <w:t>Gestor T1-15 de la Subdirección de Gestión Contractual</w:t>
            </w:r>
          </w:p>
        </w:tc>
      </w:tr>
      <w:tr w:rsidR="00DB28E2" w:rsidRPr="00CC306F" w14:paraId="2D46E036" w14:textId="77777777" w:rsidTr="00D453EC">
        <w:trPr>
          <w:trHeight w:val="299"/>
        </w:trPr>
        <w:tc>
          <w:tcPr>
            <w:tcW w:w="817" w:type="dxa"/>
            <w:vAlign w:val="center"/>
          </w:tcPr>
          <w:p w14:paraId="79E079A4"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33A77EE4"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Nohelia del Carmen Zawady Palacio</w:t>
            </w:r>
          </w:p>
          <w:p w14:paraId="3BBBC37A" w14:textId="77777777" w:rsidR="00DB28E2" w:rsidRPr="00CC306F" w:rsidRDefault="00DB28E2" w:rsidP="00D453EC">
            <w:pPr>
              <w:spacing w:before="0"/>
              <w:rPr>
                <w:rFonts w:ascii="Geomanist Light" w:hAnsi="Geomanist Light" w:cs="Arial"/>
                <w:sz w:val="16"/>
                <w:szCs w:val="16"/>
              </w:rPr>
            </w:pPr>
            <w:r w:rsidRPr="00CC306F">
              <w:rPr>
                <w:rFonts w:ascii="Geomanist Light" w:hAnsi="Geomanist Light" w:cs="Arial"/>
                <w:sz w:val="16"/>
                <w:szCs w:val="16"/>
              </w:rPr>
              <w:t xml:space="preserve">Subdirectora de Gestión Contractual ANCP – CCE </w:t>
            </w:r>
          </w:p>
        </w:tc>
      </w:tr>
    </w:tbl>
    <w:p w14:paraId="1A397948" w14:textId="77777777" w:rsidR="00DB28E2" w:rsidRPr="00CC306F" w:rsidRDefault="00DB28E2" w:rsidP="005520DD">
      <w:pPr>
        <w:rPr>
          <w:rFonts w:ascii="Geomanist Light" w:hAnsi="Geomanist Light" w:cs="Arial"/>
        </w:rPr>
      </w:pPr>
    </w:p>
    <w:sectPr w:rsidR="00DB28E2" w:rsidRPr="00CC306F" w:rsidSect="009D35D5">
      <w:headerReference w:type="default" r:id="rId17"/>
      <w:footerReference w:type="default" r:id="rId18"/>
      <w:pgSz w:w="12240" w:h="15840"/>
      <w:pgMar w:top="1683"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4831" w14:textId="77777777" w:rsidR="005E31AF" w:rsidRDefault="005E31AF" w:rsidP="00795D0C">
      <w:r>
        <w:separator/>
      </w:r>
    </w:p>
  </w:endnote>
  <w:endnote w:type="continuationSeparator" w:id="0">
    <w:p w14:paraId="330AA698" w14:textId="77777777" w:rsidR="005E31AF" w:rsidRDefault="005E31AF" w:rsidP="0079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67FA" w14:textId="77777777" w:rsidR="002E0ACA" w:rsidRDefault="002E0ACA" w:rsidP="002E0ACA">
    <w:pPr>
      <w:pStyle w:val="Sinespaciado"/>
      <w:jc w:val="right"/>
      <w:rPr>
        <w:rFonts w:ascii="Arial" w:hAnsi="Arial" w:cs="Arial"/>
        <w:sz w:val="18"/>
        <w:szCs w:val="18"/>
      </w:rPr>
    </w:pPr>
  </w:p>
  <w:p w14:paraId="062DE71F" w14:textId="77777777" w:rsidR="002E0ACA" w:rsidRDefault="002E0ACA" w:rsidP="002E0ACA">
    <w:pPr>
      <w:pStyle w:val="Piedepgina"/>
      <w:ind w:firstLine="0"/>
      <w:jc w:val="center"/>
    </w:pPr>
    <w:r>
      <w:rPr>
        <w:noProof/>
        <w:lang w:val="en-US"/>
      </w:rPr>
      <w:drawing>
        <wp:inline distT="0" distB="0" distL="0" distR="0" wp14:anchorId="203A77BC" wp14:editId="7E10223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1113"/>
      <w:gridCol w:w="834"/>
      <w:gridCol w:w="1646"/>
      <w:gridCol w:w="720"/>
      <w:gridCol w:w="2608"/>
      <w:gridCol w:w="1428"/>
    </w:tblGrid>
    <w:tr w:rsidR="002E0ACA" w:rsidRPr="00080DA3" w14:paraId="196DB160" w14:textId="77777777" w:rsidTr="00C94D39">
      <w:trPr>
        <w:trHeight w:val="198"/>
        <w:jc w:val="center"/>
      </w:trPr>
      <w:tc>
        <w:tcPr>
          <w:tcW w:w="838" w:type="dxa"/>
          <w:tcBorders>
            <w:top w:val="dotted" w:sz="4" w:space="0" w:color="808080"/>
            <w:left w:val="dotted" w:sz="4" w:space="0" w:color="808080"/>
            <w:bottom w:val="dotted" w:sz="4" w:space="0" w:color="808080"/>
          </w:tcBorders>
          <w:shd w:val="clear" w:color="auto" w:fill="auto"/>
        </w:tcPr>
        <w:p w14:paraId="2A084922" w14:textId="77777777" w:rsidR="002E0ACA" w:rsidRPr="00080DA3" w:rsidRDefault="002E0ACA" w:rsidP="002E0ACA">
          <w:pPr>
            <w:pStyle w:val="Piedepgina"/>
            <w:ind w:firstLine="22"/>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1AEA7206" w14:textId="77777777" w:rsidR="002E0ACA" w:rsidRPr="00080DA3" w:rsidRDefault="002E0ACA" w:rsidP="002E0AC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left w:val="dotted" w:sz="4" w:space="0" w:color="808080"/>
            <w:bottom w:val="dotted" w:sz="4" w:space="0" w:color="808080"/>
          </w:tcBorders>
          <w:shd w:val="clear" w:color="auto" w:fill="auto"/>
        </w:tcPr>
        <w:p w14:paraId="2F250D66" w14:textId="77777777" w:rsidR="002E0ACA" w:rsidRPr="00080DA3" w:rsidRDefault="002E0ACA" w:rsidP="002E0ACA">
          <w:pPr>
            <w:pStyle w:val="Piedepgina"/>
            <w:ind w:hanging="84"/>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3B7FC4E4" w14:textId="77777777" w:rsidR="002E0ACA" w:rsidRPr="004B6B0E" w:rsidRDefault="002E0ACA" w:rsidP="002E0ACA">
          <w:pPr>
            <w:pBdr>
              <w:top w:val="nil"/>
              <w:left w:val="nil"/>
              <w:bottom w:val="nil"/>
              <w:right w:val="nil"/>
              <w:between w:val="nil"/>
            </w:pBdr>
            <w:tabs>
              <w:tab w:val="center" w:pos="4419"/>
              <w:tab w:val="right" w:pos="8838"/>
              <w:tab w:val="center" w:pos="5400"/>
            </w:tabs>
            <w:ind w:left="-156"/>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2FB13991" w14:textId="77777777" w:rsidR="002E0ACA" w:rsidRPr="00080DA3" w:rsidRDefault="002E0ACA" w:rsidP="002E0ACA">
          <w:pPr>
            <w:pStyle w:val="Piedepgina"/>
            <w:ind w:firstLine="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3CFA483E" w14:textId="77777777" w:rsidR="002E0ACA" w:rsidRPr="00080DA3" w:rsidRDefault="002E0ACA" w:rsidP="002E0ACA">
          <w:pPr>
            <w:pStyle w:val="Piedepgina"/>
            <w:ind w:firstLine="10"/>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68B240D2" w14:textId="32B950E4" w:rsidR="002E0ACA" w:rsidRPr="00080DA3" w:rsidRDefault="002E0ACA" w:rsidP="002E0ACA">
          <w:pPr>
            <w:pStyle w:val="Piedepgina"/>
            <w:ind w:firstLine="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9F511B">
            <w:rPr>
              <w:rFonts w:ascii="Geomanist Light" w:hAnsi="Geomanist Light"/>
              <w:b/>
              <w:bCs/>
              <w:noProof/>
              <w:sz w:val="18"/>
              <w:szCs w:val="18"/>
            </w:rPr>
            <w:t>5</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9F511B">
            <w:rPr>
              <w:rFonts w:ascii="Geomanist Light" w:hAnsi="Geomanist Light"/>
              <w:b/>
              <w:bCs/>
              <w:noProof/>
              <w:sz w:val="18"/>
              <w:szCs w:val="18"/>
            </w:rPr>
            <w:t>37</w:t>
          </w:r>
          <w:r w:rsidRPr="00080DA3">
            <w:rPr>
              <w:rFonts w:ascii="Geomanist Light" w:hAnsi="Geomanist Light"/>
              <w:b/>
              <w:bCs/>
              <w:sz w:val="18"/>
              <w:szCs w:val="18"/>
            </w:rPr>
            <w:fldChar w:fldCharType="end"/>
          </w:r>
        </w:p>
      </w:tc>
    </w:tr>
  </w:tbl>
  <w:p w14:paraId="0AB56D70" w14:textId="4DFF1FFE" w:rsidR="009D35D5" w:rsidRPr="002E0ACA" w:rsidRDefault="009D35D5" w:rsidP="002E0ACA">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2FD1" w14:textId="77777777" w:rsidR="005E31AF" w:rsidRDefault="005E31AF" w:rsidP="00795D0C">
      <w:r>
        <w:separator/>
      </w:r>
    </w:p>
  </w:footnote>
  <w:footnote w:type="continuationSeparator" w:id="0">
    <w:p w14:paraId="2C23BF27" w14:textId="77777777" w:rsidR="005E31AF" w:rsidRDefault="005E31AF" w:rsidP="00795D0C">
      <w:r>
        <w:continuationSeparator/>
      </w:r>
    </w:p>
  </w:footnote>
  <w:footnote w:id="1">
    <w:p w14:paraId="6F60C7CC" w14:textId="0F605138" w:rsidR="00287544" w:rsidRPr="00076E91" w:rsidRDefault="00287544" w:rsidP="00287544">
      <w:pPr>
        <w:pStyle w:val="Textonotapie"/>
        <w:ind w:firstLine="709"/>
        <w:jc w:val="both"/>
        <w:rPr>
          <w:rFonts w:ascii="Geomanist Light" w:hAnsi="Geomanist Light"/>
          <w:sz w:val="10"/>
          <w:szCs w:val="10"/>
          <w:lang w:val="es-ES"/>
        </w:rPr>
      </w:pPr>
      <w:r w:rsidRPr="00076E91">
        <w:rPr>
          <w:rStyle w:val="Refdenotaalpie"/>
          <w:rFonts w:ascii="Geomanist Light" w:hAnsi="Geomanist Light"/>
          <w:sz w:val="10"/>
          <w:szCs w:val="10"/>
        </w:rPr>
        <w:footnoteRef/>
      </w:r>
      <w:r w:rsidRPr="00076E91">
        <w:rPr>
          <w:rFonts w:ascii="Geomanist Light" w:hAnsi="Geomanist Light"/>
          <w:sz w:val="10"/>
          <w:szCs w:val="10"/>
        </w:rPr>
        <w:t xml:space="preserve"> </w:t>
      </w:r>
      <w:r w:rsidRPr="00076E91">
        <w:rPr>
          <w:rFonts w:ascii="Geomanist Light" w:hAnsi="Geomanist Light" w:cs="Arial"/>
          <w:sz w:val="10"/>
          <w:szCs w:val="10"/>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76E91">
        <w:rPr>
          <w:rFonts w:ascii="Geomanist Light" w:hAnsi="Geomanist Light" w:cs="Arial"/>
          <w:i/>
          <w:iCs/>
          <w:sz w:val="10"/>
          <w:szCs w:val="10"/>
        </w:rPr>
        <w:t xml:space="preserve">ibidem </w:t>
      </w:r>
      <w:r w:rsidRPr="00076E91">
        <w:rPr>
          <w:rFonts w:ascii="Geomanist Light" w:hAnsi="Geomanist Light" w:cs="Arial"/>
          <w:sz w:val="10"/>
          <w:szCs w:val="10"/>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A56A664" w14:textId="63C9113E" w:rsidR="000C63FF" w:rsidRPr="00076E91" w:rsidRDefault="000C63FF" w:rsidP="000C63FF">
      <w:pPr>
        <w:pStyle w:val="Textonotapie"/>
        <w:ind w:firstLine="709"/>
        <w:jc w:val="both"/>
        <w:rPr>
          <w:rFonts w:ascii="Geomanist Light" w:hAnsi="Geomanist Light"/>
          <w:sz w:val="10"/>
          <w:szCs w:val="10"/>
        </w:rPr>
      </w:pPr>
      <w:r w:rsidRPr="00076E91">
        <w:rPr>
          <w:rStyle w:val="Refdenotaalpie"/>
          <w:rFonts w:ascii="Geomanist Light" w:hAnsi="Geomanist Light"/>
          <w:sz w:val="10"/>
          <w:szCs w:val="10"/>
        </w:rPr>
        <w:footnoteRef/>
      </w:r>
      <w:r w:rsidRPr="00076E91">
        <w:rPr>
          <w:rFonts w:ascii="Geomanist Light" w:hAnsi="Geomanist Light"/>
          <w:sz w:val="10"/>
          <w:szCs w:val="10"/>
        </w:rPr>
        <w:t xml:space="preserve"> </w:t>
      </w:r>
      <w:r w:rsidRPr="00076E91">
        <w:rPr>
          <w:rFonts w:ascii="Geomanist Light" w:hAnsi="Geomanist Light" w:cs="Arial"/>
          <w:sz w:val="10"/>
          <w:szCs w:val="10"/>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7761CB31" w14:textId="26FECBFF" w:rsidR="00250BD6" w:rsidRPr="00076E91" w:rsidRDefault="00250BD6" w:rsidP="00076E91">
      <w:pPr>
        <w:pStyle w:val="Textonotapie"/>
        <w:ind w:firstLine="708"/>
        <w:contextualSpacing/>
        <w:jc w:val="both"/>
        <w:rPr>
          <w:rFonts w:ascii="Geomanist Light" w:hAnsi="Geomanist Light" w:cs="Arial"/>
          <w:color w:val="000000" w:themeColor="text1"/>
          <w:sz w:val="10"/>
          <w:szCs w:val="10"/>
          <w:lang w:val="es-CO"/>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footnote>
  <w:footnote w:id="4">
    <w:p w14:paraId="6371DB41" w14:textId="6D4CCD2B" w:rsidR="0000229C" w:rsidRPr="00076E91" w:rsidRDefault="0000229C" w:rsidP="00C26B27">
      <w:pPr>
        <w:pStyle w:val="Textonotapie"/>
        <w:ind w:firstLine="709"/>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21F52B7A" w14:textId="77777777" w:rsidR="0000229C" w:rsidRPr="00076E91" w:rsidRDefault="0000229C" w:rsidP="0000229C">
      <w:pPr>
        <w:pStyle w:val="Textonotapie"/>
        <w:ind w:firstLine="709"/>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w:t>
      </w:r>
      <w:r w:rsidRPr="00076E91">
        <w:rPr>
          <w:rFonts w:ascii="Geomanist Light" w:hAnsi="Geomanist Light" w:cs="Arial"/>
          <w:color w:val="000000"/>
          <w:sz w:val="10"/>
          <w:szCs w:val="10"/>
          <w:lang w:val="es-CO"/>
        </w:rPr>
        <w:t xml:space="preserve">Ley 1882 de 2018: «Artículo 4. </w:t>
      </w:r>
      <w:r w:rsidRPr="00076E91">
        <w:rPr>
          <w:rFonts w:ascii="Geomanist Light" w:hAnsi="Geomanist Light" w:cs="Arial"/>
          <w:color w:val="000000"/>
          <w:sz w:val="10"/>
          <w:szCs w:val="10"/>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5919926" w14:textId="77777777" w:rsidR="0000229C" w:rsidRPr="00076E91" w:rsidRDefault="0000229C" w:rsidP="0000229C">
      <w:pPr>
        <w:pStyle w:val="Textonotapie"/>
        <w:ind w:firstLine="709"/>
        <w:jc w:val="both"/>
        <w:rPr>
          <w:rFonts w:ascii="Geomanist Light" w:hAnsi="Geomanist Light" w:cs="Arial"/>
          <w:color w:val="000000"/>
          <w:sz w:val="10"/>
          <w:szCs w:val="10"/>
          <w:lang w:val="es-CO"/>
        </w:rPr>
      </w:pPr>
      <w:r w:rsidRPr="00076E91">
        <w:rPr>
          <w:rFonts w:ascii="Geomanist Light" w:hAnsi="Geomanist Light" w:cs="Arial"/>
          <w:color w:val="000000"/>
          <w:sz w:val="10"/>
          <w:szCs w:val="10"/>
          <w:lang w:val="es-CO"/>
        </w:rPr>
        <w:t>»La facultad de adoptar documentos tipo la tendrá el Gobierno nacional, cuando lo considere necesario, en relación con otros contratos o procesos de selección.</w:t>
      </w:r>
    </w:p>
    <w:p w14:paraId="04969974" w14:textId="665579CA" w:rsidR="0000229C" w:rsidRPr="00076E91" w:rsidRDefault="0000229C" w:rsidP="00076E91">
      <w:pPr>
        <w:pStyle w:val="Textonotapie"/>
        <w:ind w:firstLine="709"/>
        <w:jc w:val="both"/>
        <w:rPr>
          <w:rFonts w:ascii="Geomanist Light" w:hAnsi="Geomanist Light" w:cs="Arial"/>
          <w:color w:val="000000"/>
          <w:sz w:val="10"/>
          <w:szCs w:val="10"/>
          <w:lang w:val="es-CO"/>
        </w:rPr>
      </w:pPr>
      <w:r w:rsidRPr="00076E91">
        <w:rPr>
          <w:rFonts w:ascii="Geomanist Light" w:hAnsi="Geomanist Light" w:cs="Arial"/>
          <w:color w:val="000000"/>
          <w:sz w:val="10"/>
          <w:szCs w:val="10"/>
          <w:lang w:val="es-CO"/>
        </w:rPr>
        <w:t>»Los pliegos tipo se adoptarán por categorías de acuerdo con la cuantía de la contratación, según la reglamentación que expida el Gobierno nacional».</w:t>
      </w:r>
    </w:p>
  </w:footnote>
  <w:footnote w:id="6">
    <w:p w14:paraId="5F294120" w14:textId="22791E17" w:rsidR="0000229C" w:rsidRPr="00076E91" w:rsidRDefault="0000229C" w:rsidP="00C26B27">
      <w:pPr>
        <w:pStyle w:val="Textonotapie"/>
        <w:ind w:firstLine="709"/>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7">
    <w:p w14:paraId="4CB453EC" w14:textId="77777777" w:rsidR="0000229C" w:rsidRPr="00076E91" w:rsidRDefault="0000229C" w:rsidP="00C26B27">
      <w:pPr>
        <w:pStyle w:val="Textonotapie"/>
        <w:ind w:firstLine="708"/>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«ARTÍCULO 1o. Modifíquese el artículo 4o de la Ley 1882 de 2018, el cual quedará así:</w:t>
      </w:r>
    </w:p>
    <w:p w14:paraId="3D0462C5" w14:textId="77777777" w:rsidR="0000229C" w:rsidRPr="00076E91" w:rsidRDefault="0000229C" w:rsidP="00C26B27">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»Artículo 4o. Adiciónese el siguiente parágrafo al artículo 2o de la Ley 1150 de 2007.</w:t>
      </w:r>
    </w:p>
    <w:p w14:paraId="6C4DF7D4" w14:textId="77777777" w:rsidR="0000229C" w:rsidRPr="00076E91" w:rsidRDefault="0000229C" w:rsidP="00C26B27">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6297F2C" w14:textId="77777777" w:rsidR="0000229C" w:rsidRPr="00076E91" w:rsidRDefault="0000229C" w:rsidP="00C26B27">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10077E8" w14:textId="77777777" w:rsidR="0000229C" w:rsidRPr="00076E91" w:rsidRDefault="0000229C" w:rsidP="00C26B27">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A04A63F" w14:textId="77777777" w:rsidR="0000229C" w:rsidRPr="00076E91" w:rsidRDefault="0000229C" w:rsidP="0000229C">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F6A83BF" w14:textId="77777777" w:rsidR="0000229C" w:rsidRPr="00076E91" w:rsidRDefault="0000229C" w:rsidP="0000229C">
      <w:pPr>
        <w:pStyle w:val="Textonotapie"/>
        <w:ind w:firstLine="708"/>
        <w:jc w:val="both"/>
        <w:rPr>
          <w:rFonts w:ascii="Geomanist Light" w:hAnsi="Geomanist Light" w:cs="Arial"/>
          <w:color w:val="000000"/>
          <w:sz w:val="10"/>
          <w:szCs w:val="10"/>
          <w:lang w:val="es-CO"/>
        </w:rPr>
      </w:pPr>
      <w:r w:rsidRPr="00076E91">
        <w:rPr>
          <w:rFonts w:ascii="Geomanist Light" w:hAnsi="Geomanist Light" w:cs="Arial"/>
          <w:color w:val="000000"/>
          <w:sz w:val="10"/>
          <w:szCs w:val="10"/>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24031D70" w14:textId="77777777" w:rsidR="003F4A6D" w:rsidRPr="00076E91" w:rsidRDefault="003F4A6D" w:rsidP="003F4A6D">
      <w:pPr>
        <w:pStyle w:val="Textonotapie"/>
        <w:ind w:firstLine="708"/>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olor w:val="000000"/>
          <w:sz w:val="10"/>
          <w:szCs w:val="10"/>
        </w:rPr>
        <w:t xml:space="preserve"> </w:t>
      </w:r>
      <w:r w:rsidRPr="00076E91">
        <w:rPr>
          <w:rFonts w:ascii="Geomanist Light" w:hAnsi="Geomanist Light" w:cs="Arial"/>
          <w:color w:val="000000"/>
          <w:sz w:val="10"/>
          <w:szCs w:val="10"/>
        </w:rPr>
        <w:t>Ley 1618 de 2013</w:t>
      </w:r>
      <w:r w:rsidRPr="00076E91">
        <w:rPr>
          <w:rFonts w:ascii="Geomanist Light" w:hAnsi="Geomanist Light"/>
          <w:color w:val="000000"/>
          <w:sz w:val="10"/>
          <w:szCs w:val="10"/>
        </w:rPr>
        <w:t>: «A</w:t>
      </w:r>
      <w:r w:rsidRPr="00076E91">
        <w:rPr>
          <w:rFonts w:ascii="Geomanist Light" w:hAnsi="Geomanist Light" w:cs="Arial"/>
          <w:color w:val="000000"/>
          <w:sz w:val="10"/>
          <w:szCs w:val="10"/>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268D1892" w14:textId="77777777" w:rsidR="003F4A6D" w:rsidRPr="00076E91" w:rsidRDefault="003F4A6D" w:rsidP="003F4A6D">
      <w:pPr>
        <w:pStyle w:val="Textonotapie"/>
        <w:ind w:firstLine="708"/>
        <w:jc w:val="both"/>
        <w:rPr>
          <w:rFonts w:ascii="Geomanist Light" w:hAnsi="Geomanist Light" w:cs="Arial"/>
          <w:color w:val="000000"/>
          <w:sz w:val="10"/>
          <w:szCs w:val="10"/>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0DF46C70" w14:textId="77777777" w:rsidR="003F4A6D" w:rsidRPr="00076E91" w:rsidRDefault="003F4A6D" w:rsidP="003F4A6D">
      <w:pPr>
        <w:pStyle w:val="Textonotapie"/>
        <w:ind w:firstLine="708"/>
        <w:jc w:val="both"/>
        <w:rPr>
          <w:rFonts w:ascii="Geomanist Light" w:hAnsi="Geomanist Light" w:cs="Arial"/>
          <w:color w:val="000000"/>
          <w:sz w:val="10"/>
          <w:szCs w:val="10"/>
        </w:rPr>
      </w:pPr>
      <w:r w:rsidRPr="00076E91">
        <w:rPr>
          <w:rFonts w:ascii="Geomanist Light" w:hAnsi="Geomanist Light" w:cs="Arial"/>
          <w:color w:val="000000"/>
          <w:sz w:val="10"/>
          <w:szCs w:val="10"/>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 w:id="10">
    <w:p w14:paraId="52CA49F0" w14:textId="3BC72E40" w:rsidR="003F4A6D" w:rsidRPr="00076E91" w:rsidRDefault="003F4A6D" w:rsidP="00076E91">
      <w:pPr>
        <w:pStyle w:val="Textonotapie"/>
        <w:ind w:firstLine="708"/>
        <w:jc w:val="both"/>
        <w:rPr>
          <w:rFonts w:ascii="Geomanist Light" w:hAnsi="Geomanist Light" w:cs="Arial"/>
          <w:color w:val="000000"/>
          <w:sz w:val="10"/>
          <w:szCs w:val="10"/>
          <w:lang w:val="es-CO"/>
        </w:rPr>
      </w:pPr>
      <w:r w:rsidRPr="00076E91">
        <w:rPr>
          <w:rStyle w:val="Refdenotaalpie"/>
          <w:rFonts w:ascii="Geomanist Light" w:hAnsi="Geomanist Light"/>
          <w:sz w:val="10"/>
          <w:szCs w:val="10"/>
        </w:rPr>
        <w:footnoteRef/>
      </w:r>
      <w:r w:rsidRPr="00076E91">
        <w:rPr>
          <w:rFonts w:ascii="Geomanist Light" w:hAnsi="Geomanist Light" w:cs="Arial"/>
          <w:color w:val="000000"/>
          <w:sz w:val="10"/>
          <w:szCs w:val="10"/>
        </w:rPr>
        <w:t xml:space="preserve"> Ley 80 de 1993: </w:t>
      </w:r>
      <w:r w:rsidRPr="00076E91">
        <w:rPr>
          <w:rFonts w:ascii="Geomanist Light" w:hAnsi="Geomanist Light" w:cs="Arial"/>
          <w:color w:val="000000"/>
          <w:sz w:val="10"/>
          <w:szCs w:val="10"/>
          <w:lang w:val="es-CO"/>
        </w:rPr>
        <w:t>«Artículo 30-</w:t>
      </w:r>
      <w:r w:rsidRPr="00076E91">
        <w:rPr>
          <w:rFonts w:ascii="Geomanist Light" w:hAnsi="Geomanist Light" w:cs="Arial"/>
          <w:color w:val="000000"/>
          <w:sz w:val="10"/>
          <w:szCs w:val="10"/>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076E91">
        <w:rPr>
          <w:rFonts w:ascii="Geomanist Light" w:hAnsi="Geomanist Light" w:cs="Arial"/>
          <w:color w:val="000000"/>
          <w:sz w:val="10"/>
          <w:szCs w:val="10"/>
          <w:lang w:val="es-CO"/>
        </w:rPr>
        <w:t>».</w:t>
      </w:r>
    </w:p>
  </w:footnote>
  <w:footnote w:id="11">
    <w:p w14:paraId="358350A2" w14:textId="77777777" w:rsidR="003F4A6D" w:rsidRPr="00076E91" w:rsidRDefault="003F4A6D" w:rsidP="003F4A6D">
      <w:pPr>
        <w:pStyle w:val="Textonotapie"/>
        <w:ind w:firstLine="708"/>
        <w:jc w:val="both"/>
        <w:rPr>
          <w:rFonts w:ascii="Geomanist Light" w:hAnsi="Geomanist Light"/>
          <w:color w:val="797979"/>
          <w:sz w:val="10"/>
          <w:szCs w:val="10"/>
          <w:lang w:val="es-CO"/>
        </w:rPr>
      </w:pPr>
      <w:r w:rsidRPr="00076E91">
        <w:rPr>
          <w:rStyle w:val="Refdenotaalpie"/>
          <w:rFonts w:ascii="Geomanist Light" w:hAnsi="Geomanist Light"/>
          <w:sz w:val="10"/>
          <w:szCs w:val="10"/>
        </w:rPr>
        <w:footnoteRef/>
      </w:r>
      <w:r w:rsidRPr="00076E91">
        <w:rPr>
          <w:rFonts w:ascii="Geomanist Light" w:hAnsi="Geomanist Light"/>
          <w:color w:val="000000"/>
          <w:sz w:val="10"/>
          <w:szCs w:val="10"/>
        </w:rPr>
        <w:t xml:space="preserve"> </w:t>
      </w:r>
      <w:r w:rsidRPr="00076E91">
        <w:rPr>
          <w:rFonts w:ascii="Geomanist Light" w:hAnsi="Geomanist Light" w:cs="Arial"/>
          <w:color w:val="000000"/>
          <w:sz w:val="10"/>
          <w:szCs w:val="10"/>
        </w:rPr>
        <w:t>Consejo de Estado, Sala de lo Contencioso Administrativo, Sección Tercera, Subsección C. Consejero ponente: Enrique Gil Botero. Sentencia de doce (12) de noviembre dos mil catorce (2014), Radicación número: 25000-23-26-00</w:t>
      </w:r>
      <w:r w:rsidRPr="00076E91">
        <w:rPr>
          <w:rFonts w:ascii="Geomanist Light" w:hAnsi="Geomanist Light" w:cs="Arial"/>
          <w:color w:val="797979"/>
          <w:sz w:val="10"/>
          <w:szCs w:val="10"/>
        </w:rPr>
        <w:t>0-1996-12809-01(27986).</w:t>
      </w:r>
    </w:p>
  </w:footnote>
  <w:footnote w:id="12">
    <w:p w14:paraId="42406419" w14:textId="58CEDC1F" w:rsidR="0005632E" w:rsidRPr="00076E91" w:rsidRDefault="0005632E" w:rsidP="000834FF">
      <w:pPr>
        <w:pStyle w:val="Textonotapie"/>
        <w:ind w:firstLine="708"/>
        <w:contextualSpacing/>
        <w:jc w:val="both"/>
        <w:rPr>
          <w:rFonts w:ascii="Geomanist Light" w:hAnsi="Geomanist Light" w:cs="Arial"/>
          <w:color w:val="000000" w:themeColor="text1"/>
          <w:sz w:val="10"/>
          <w:szCs w:val="10"/>
          <w:u w:val="single"/>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Texto del Proyecto de Ley 122 de 2020 Cámara. Exposición de motivos. Consultado el 29 de diciembre de 2021 en la página web: </w:t>
      </w:r>
      <w:hyperlink r:id="rId1" w:history="1">
        <w:r w:rsidRPr="00076E91">
          <w:rPr>
            <w:rStyle w:val="Hipervnculo1"/>
            <w:rFonts w:ascii="Geomanist Light" w:hAnsi="Geomanist Light" w:cs="Arial"/>
            <w:color w:val="000000" w:themeColor="text1"/>
            <w:sz w:val="10"/>
            <w:szCs w:val="10"/>
          </w:rPr>
          <w:t>http://leyes.senado.gov.co/proyectos/index.php/textos-radicados-senado/p-ley-2020-2021/1957-proyecto-de-ley-161-de-2020</w:t>
        </w:r>
      </w:hyperlink>
    </w:p>
  </w:footnote>
  <w:footnote w:id="13">
    <w:p w14:paraId="11ED629D" w14:textId="45C6BBD0" w:rsidR="0005632E" w:rsidRPr="00076E91" w:rsidRDefault="0005632E" w:rsidP="000834FF">
      <w:pPr>
        <w:pStyle w:val="Textonotapie"/>
        <w:ind w:firstLine="709"/>
        <w:contextualSpacing/>
        <w:jc w:val="both"/>
        <w:rPr>
          <w:rFonts w:ascii="Geomanist Light" w:hAnsi="Geomanist Light" w:cs="Arial"/>
          <w:color w:val="000000" w:themeColor="text1"/>
          <w:sz w:val="10"/>
          <w:szCs w:val="10"/>
          <w:lang w:val="es-ES"/>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ES"/>
        </w:rPr>
        <w:t>Artículos 2 al 29.</w:t>
      </w:r>
    </w:p>
  </w:footnote>
  <w:footnote w:id="14">
    <w:p w14:paraId="4E8F89FF" w14:textId="68CF039F" w:rsidR="0005632E" w:rsidRPr="00076E91" w:rsidRDefault="0005632E" w:rsidP="000834FF">
      <w:pPr>
        <w:pStyle w:val="Textonotapie"/>
        <w:ind w:firstLine="709"/>
        <w:contextualSpacing/>
        <w:jc w:val="both"/>
        <w:rPr>
          <w:rFonts w:ascii="Geomanist Light" w:hAnsi="Geomanist Light" w:cs="Arial"/>
          <w:color w:val="000000" w:themeColor="text1"/>
          <w:sz w:val="10"/>
          <w:szCs w:val="10"/>
          <w:lang w:val="es-ES"/>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ES"/>
        </w:rPr>
        <w:t>Artículos 30 al 36.</w:t>
      </w:r>
    </w:p>
  </w:footnote>
  <w:footnote w:id="15">
    <w:p w14:paraId="71226120" w14:textId="4DF6936C" w:rsidR="0005632E" w:rsidRPr="00076E91" w:rsidRDefault="0005632E" w:rsidP="000834FF">
      <w:pPr>
        <w:pStyle w:val="Textonotapie"/>
        <w:ind w:firstLine="709"/>
        <w:contextualSpacing/>
        <w:jc w:val="both"/>
        <w:rPr>
          <w:rFonts w:ascii="Geomanist Light" w:hAnsi="Geomanist Light" w:cs="Arial"/>
          <w:color w:val="000000" w:themeColor="text1"/>
          <w:sz w:val="10"/>
          <w:szCs w:val="10"/>
          <w:lang w:val="es-ES"/>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ES"/>
        </w:rPr>
        <w:t>Artículos 37 al 45.</w:t>
      </w:r>
    </w:p>
  </w:footnote>
  <w:footnote w:id="16">
    <w:p w14:paraId="268C1F5B" w14:textId="281D7990" w:rsidR="0005632E" w:rsidRPr="00076E91" w:rsidRDefault="0005632E" w:rsidP="000834FF">
      <w:pPr>
        <w:pStyle w:val="Textonotapie"/>
        <w:ind w:firstLine="709"/>
        <w:contextualSpacing/>
        <w:jc w:val="both"/>
        <w:rPr>
          <w:rFonts w:ascii="Geomanist Light" w:hAnsi="Geomanist Light" w:cs="Arial"/>
          <w:color w:val="000000" w:themeColor="text1"/>
          <w:sz w:val="10"/>
          <w:szCs w:val="10"/>
          <w:lang w:val="es-ES"/>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ES"/>
        </w:rPr>
        <w:t>Artículos 46 al 73.</w:t>
      </w:r>
    </w:p>
  </w:footnote>
  <w:footnote w:id="17">
    <w:p w14:paraId="35BF7E89" w14:textId="6CE742EF" w:rsidR="0005632E" w:rsidRPr="00076E91" w:rsidRDefault="0005632E" w:rsidP="000834FF">
      <w:pPr>
        <w:pStyle w:val="Textonotapie"/>
        <w:ind w:firstLine="709"/>
        <w:contextualSpacing/>
        <w:jc w:val="both"/>
        <w:rPr>
          <w:rFonts w:ascii="Geomanist Light" w:hAnsi="Geomanist Light" w:cs="Arial"/>
          <w:color w:val="000000" w:themeColor="text1"/>
          <w:sz w:val="10"/>
          <w:szCs w:val="10"/>
          <w:lang w:val="es-ES"/>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w:t>
      </w:r>
      <w:r w:rsidRPr="00076E91">
        <w:rPr>
          <w:rFonts w:ascii="Geomanist Light" w:hAnsi="Geomanist Light" w:cs="Arial"/>
          <w:color w:val="000000" w:themeColor="text1"/>
          <w:sz w:val="10"/>
          <w:szCs w:val="10"/>
          <w:lang w:val="es-ES"/>
        </w:rPr>
        <w:t>Artículos 74 al 83.</w:t>
      </w:r>
    </w:p>
  </w:footnote>
  <w:footnote w:id="18">
    <w:p w14:paraId="7EBFCC36" w14:textId="0E41CF4E" w:rsidR="0005632E" w:rsidRPr="00076E91" w:rsidRDefault="0005632E" w:rsidP="000834FF">
      <w:pPr>
        <w:pStyle w:val="Textonotapie"/>
        <w:ind w:firstLine="708"/>
        <w:contextualSpacing/>
        <w:jc w:val="both"/>
        <w:rPr>
          <w:rFonts w:ascii="Geomanist Light" w:hAnsi="Geomanist Light" w:cs="Arial"/>
          <w:sz w:val="10"/>
          <w:szCs w:val="10"/>
        </w:rPr>
      </w:pPr>
      <w:r w:rsidRPr="00076E91">
        <w:rPr>
          <w:rStyle w:val="Refdenotaalpie"/>
          <w:rFonts w:ascii="Geomanist Light" w:hAnsi="Geomanist Light" w:cs="Arial"/>
          <w:sz w:val="10"/>
          <w:szCs w:val="10"/>
        </w:rPr>
        <w:footnoteRef/>
      </w:r>
      <w:r w:rsidRPr="00076E91">
        <w:rPr>
          <w:rFonts w:ascii="Geomanist Light" w:hAnsi="Geomanist Light" w:cs="Arial"/>
          <w:sz w:val="10"/>
          <w:szCs w:val="10"/>
        </w:rPr>
        <w:t xml:space="preserve"> </w:t>
      </w:r>
      <w:bookmarkStart w:id="15" w:name="_Hlk63862868"/>
      <w:r w:rsidRPr="00076E91">
        <w:rPr>
          <w:rFonts w:ascii="Geomanist Light" w:hAnsi="Geomanist Light" w:cs="Arial"/>
          <w:sz w:val="10"/>
          <w:szCs w:val="10"/>
        </w:rPr>
        <w:t xml:space="preserve">CONGRESO DE LA REPÚBLICA. Gaceta No. 670 del 11 de agosto de 2020. Exposición de motivos del Proyecto de Ley No. 122 de 2020 Cámara. p. 13. </w:t>
      </w:r>
      <w:bookmarkEnd w:id="15"/>
    </w:p>
  </w:footnote>
  <w:footnote w:id="19">
    <w:p w14:paraId="1F0A40EF"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6769DA7A" w14:textId="51699349" w:rsidR="0005632E" w:rsidRPr="00076E91" w:rsidRDefault="0005632E" w:rsidP="0005632E">
      <w:pPr>
        <w:pStyle w:val="Textonotapie"/>
        <w:ind w:firstLine="708"/>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»Parágrafo primero. La definición de emprendimientos y empresas de mujeres se reglamen</w:t>
      </w:r>
      <w:r w:rsidR="00076E91" w:rsidRPr="00076E91">
        <w:rPr>
          <w:rFonts w:ascii="Geomanist Light" w:hAnsi="Geomanist Light" w:cs="Arial"/>
          <w:color w:val="000000" w:themeColor="text1"/>
          <w:sz w:val="10"/>
          <w:szCs w:val="10"/>
        </w:rPr>
        <w:t>tará por el gobierno nacional».</w:t>
      </w:r>
      <w:r w:rsidRPr="00076E91">
        <w:rPr>
          <w:rFonts w:ascii="Geomanist Light" w:hAnsi="Geomanist Light" w:cs="Arial"/>
          <w:color w:val="000000" w:themeColor="text1"/>
          <w:sz w:val="10"/>
          <w:szCs w:val="10"/>
        </w:rPr>
        <w:t xml:space="preserve"> </w:t>
      </w:r>
    </w:p>
  </w:footnote>
  <w:footnote w:id="20">
    <w:p w14:paraId="62EF695D"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Pr="00076E91">
        <w:rPr>
          <w:rFonts w:ascii="Geomanist Light" w:hAnsi="Geomanist Light" w:cs="Arial"/>
          <w:color w:val="000000" w:themeColor="text1"/>
          <w:sz w:val="10"/>
          <w:szCs w:val="10"/>
        </w:rPr>
        <w:t>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21">
    <w:p w14:paraId="15A9F5F8" w14:textId="77777777" w:rsidR="0005632E" w:rsidRPr="00076E91" w:rsidRDefault="0005632E" w:rsidP="0005632E">
      <w:pPr>
        <w:pStyle w:val="NormalWeb"/>
        <w:shd w:val="clear" w:color="auto" w:fill="FFFFFF"/>
        <w:spacing w:before="0" w:beforeAutospacing="0" w:after="0" w:afterAutospacing="0"/>
        <w:ind w:firstLine="709"/>
        <w:contextualSpacing/>
        <w:jc w:val="both"/>
        <w:rPr>
          <w:rFonts w:ascii="Geomanist Light" w:hAnsi="Geomanist Light" w:cs="Arial"/>
          <w:color w:val="000000" w:themeColor="text1"/>
          <w:sz w:val="10"/>
          <w:szCs w:val="10"/>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076E91">
          <w:rPr>
            <w:rStyle w:val="Hipervnculo"/>
            <w:rFonts w:ascii="Geomanist Light" w:hAnsi="Geomanist Light" w:cs="Arial"/>
            <w:color w:val="000000" w:themeColor="text1"/>
            <w:sz w:val="10"/>
            <w:szCs w:val="10"/>
          </w:rPr>
          <w:t>5 </w:t>
        </w:r>
      </w:hyperlink>
      <w:r w:rsidRPr="00076E91">
        <w:rPr>
          <w:rFonts w:ascii="Geomanist Light" w:hAnsi="Geomanist Light" w:cs="Arial"/>
          <w:color w:val="000000" w:themeColor="text1"/>
          <w:sz w:val="10"/>
          <w:szCs w:val="10"/>
        </w:rPr>
        <w:t xml:space="preserve">de la Sección 1 del Capítulo 2 del Título 1 de la Parte 2 del Libro 2, así como los artículos </w:t>
      </w:r>
      <w:hyperlink r:id="rId3" w:anchor="2.2.1.2.4.2.2" w:history="1">
        <w:r w:rsidRPr="00076E91">
          <w:rPr>
            <w:rStyle w:val="Hipervnculo"/>
            <w:rFonts w:ascii="Geomanist Light" w:hAnsi="Geomanist Light" w:cs="Arial"/>
            <w:color w:val="000000" w:themeColor="text1"/>
            <w:sz w:val="10"/>
            <w:szCs w:val="10"/>
            <w:u w:val="none"/>
          </w:rPr>
          <w:t>2.2.1.2.4.2.2</w:t>
        </w:r>
      </w:hyperlink>
      <w:r w:rsidRPr="00076E91">
        <w:rPr>
          <w:rFonts w:ascii="Geomanist Light" w:hAnsi="Geomanist Light" w:cs="Arial"/>
          <w:color w:val="000000" w:themeColor="text1"/>
          <w:sz w:val="10"/>
          <w:szCs w:val="10"/>
        </w:rPr>
        <w:t>., </w:t>
      </w:r>
      <w:hyperlink r:id="rId4" w:anchor="2.2.1.2.4.2.3" w:history="1">
        <w:r w:rsidRPr="00076E91">
          <w:rPr>
            <w:rStyle w:val="Hipervnculo"/>
            <w:rFonts w:ascii="Geomanist Light" w:hAnsi="Geomanist Light" w:cs="Arial"/>
            <w:color w:val="000000" w:themeColor="text1"/>
            <w:sz w:val="10"/>
            <w:szCs w:val="10"/>
            <w:u w:val="none"/>
          </w:rPr>
          <w:t>2.2.1.2.4.2.3</w:t>
        </w:r>
      </w:hyperlink>
      <w:r w:rsidRPr="00076E91">
        <w:rPr>
          <w:rFonts w:ascii="Geomanist Light" w:hAnsi="Geomanist Light" w:cs="Arial"/>
          <w:color w:val="000000" w:themeColor="text1"/>
          <w:sz w:val="10"/>
          <w:szCs w:val="10"/>
        </w:rPr>
        <w:t>., </w:t>
      </w:r>
      <w:hyperlink r:id="rId5" w:anchor="2.2.1.2.4.2.4" w:history="1">
        <w:r w:rsidRPr="00076E91">
          <w:rPr>
            <w:rStyle w:val="Hipervnculo"/>
            <w:rFonts w:ascii="Geomanist Light" w:hAnsi="Geomanist Light" w:cs="Arial"/>
            <w:color w:val="000000" w:themeColor="text1"/>
            <w:sz w:val="10"/>
            <w:szCs w:val="10"/>
            <w:u w:val="none"/>
          </w:rPr>
          <w:t>2.2.1.2.4.2.4</w:t>
        </w:r>
      </w:hyperlink>
      <w:r w:rsidRPr="00076E91">
        <w:rPr>
          <w:rFonts w:ascii="Geomanist Light" w:hAnsi="Geomanist Light" w:cs="Arial"/>
          <w:color w:val="000000" w:themeColor="text1"/>
          <w:sz w:val="10"/>
          <w:szCs w:val="10"/>
        </w:rPr>
        <w:t>., </w:t>
      </w:r>
      <w:hyperlink r:id="rId6" w:anchor="2.2.1.2.1.2.2" w:history="1">
        <w:r w:rsidRPr="00076E91">
          <w:rPr>
            <w:rStyle w:val="Hipervnculo"/>
            <w:rFonts w:ascii="Geomanist Light" w:hAnsi="Geomanist Light" w:cs="Arial"/>
            <w:color w:val="000000" w:themeColor="text1"/>
            <w:sz w:val="10"/>
            <w:szCs w:val="10"/>
            <w:u w:val="none"/>
          </w:rPr>
          <w:t>2.2.1.2.1.2.2</w:t>
        </w:r>
      </w:hyperlink>
      <w:r w:rsidRPr="00076E91">
        <w:rPr>
          <w:rFonts w:ascii="Geomanist Light" w:hAnsi="Geomanist Light" w:cs="Arial"/>
          <w:color w:val="000000" w:themeColor="text1"/>
          <w:sz w:val="10"/>
          <w:szCs w:val="10"/>
        </w:rPr>
        <w:t xml:space="preserve"> y </w:t>
      </w:r>
      <w:hyperlink r:id="rId7" w:anchor="2.2.1.2.4.2.8" w:history="1">
        <w:r w:rsidRPr="00076E91">
          <w:rPr>
            <w:rStyle w:val="Hipervnculo"/>
            <w:rFonts w:ascii="Geomanist Light" w:hAnsi="Geomanist Light" w:cs="Arial"/>
            <w:color w:val="000000" w:themeColor="text1"/>
            <w:sz w:val="10"/>
            <w:szCs w:val="10"/>
            <w:u w:val="none"/>
          </w:rPr>
          <w:t>2.2.1.2.4.2.8</w:t>
        </w:r>
      </w:hyperlink>
      <w:r w:rsidRPr="00076E91">
        <w:rPr>
          <w:rFonts w:ascii="Geomanist Light" w:hAnsi="Geomanist Light" w:cs="Arial"/>
          <w:color w:val="000000" w:themeColor="text1"/>
          <w:sz w:val="10"/>
          <w:szCs w:val="10"/>
        </w:rPr>
        <w:t xml:space="preserve">.; adiciona los artículos </w:t>
      </w:r>
      <w:hyperlink r:id="rId8" w:anchor="2.2.1.2.4.2.14" w:history="1">
        <w:r w:rsidRPr="00076E91">
          <w:rPr>
            <w:rStyle w:val="Hipervnculo"/>
            <w:rFonts w:ascii="Geomanist Light" w:hAnsi="Geomanist Light" w:cs="Arial"/>
            <w:color w:val="000000" w:themeColor="text1"/>
            <w:sz w:val="10"/>
            <w:szCs w:val="10"/>
            <w:u w:val="none"/>
          </w:rPr>
          <w:t>2.2.1.2.4.2.14</w:t>
        </w:r>
      </w:hyperlink>
      <w:r w:rsidRPr="00076E91">
        <w:rPr>
          <w:rFonts w:ascii="Geomanist Light" w:hAnsi="Geomanist Light" w:cs="Arial"/>
          <w:color w:val="000000" w:themeColor="text1"/>
          <w:sz w:val="10"/>
          <w:szCs w:val="10"/>
        </w:rPr>
        <w:t>., </w:t>
      </w:r>
      <w:hyperlink r:id="rId9" w:anchor="2.2.1.2.4.2.15" w:history="1">
        <w:r w:rsidRPr="00076E91">
          <w:rPr>
            <w:rStyle w:val="Hipervnculo"/>
            <w:rFonts w:ascii="Geomanist Light" w:hAnsi="Geomanist Light" w:cs="Arial"/>
            <w:color w:val="000000" w:themeColor="text1"/>
            <w:sz w:val="10"/>
            <w:szCs w:val="10"/>
            <w:u w:val="none"/>
          </w:rPr>
          <w:t>2.2.1.2.4.2.15</w:t>
        </w:r>
      </w:hyperlink>
      <w:r w:rsidRPr="00076E91">
        <w:rPr>
          <w:rFonts w:ascii="Geomanist Light" w:hAnsi="Geomanist Light" w:cs="Arial"/>
          <w:color w:val="000000" w:themeColor="text1"/>
          <w:sz w:val="10"/>
          <w:szCs w:val="10"/>
        </w:rPr>
        <w:t>., </w:t>
      </w:r>
      <w:hyperlink r:id="rId10" w:anchor="2.2.1.2.4.2.16" w:history="1">
        <w:r w:rsidRPr="00076E91">
          <w:rPr>
            <w:rStyle w:val="Hipervnculo"/>
            <w:rFonts w:ascii="Geomanist Light" w:hAnsi="Geomanist Light" w:cs="Arial"/>
            <w:color w:val="000000" w:themeColor="text1"/>
            <w:sz w:val="10"/>
            <w:szCs w:val="10"/>
            <w:u w:val="none"/>
          </w:rPr>
          <w:t>2.2.1.2.4.2.16</w:t>
        </w:r>
      </w:hyperlink>
      <w:r w:rsidRPr="00076E91">
        <w:rPr>
          <w:rFonts w:ascii="Geomanist Light" w:hAnsi="Geomanist Light" w:cs="Arial"/>
          <w:color w:val="000000" w:themeColor="text1"/>
          <w:sz w:val="10"/>
          <w:szCs w:val="10"/>
        </w:rPr>
        <w:t>., </w:t>
      </w:r>
      <w:hyperlink r:id="rId11" w:anchor="2.2.1.2.4.2.17" w:history="1">
        <w:r w:rsidRPr="00076E91">
          <w:rPr>
            <w:rStyle w:val="Hipervnculo"/>
            <w:rFonts w:ascii="Geomanist Light" w:hAnsi="Geomanist Light" w:cs="Arial"/>
            <w:color w:val="000000" w:themeColor="text1"/>
            <w:sz w:val="10"/>
            <w:szCs w:val="10"/>
            <w:u w:val="none"/>
          </w:rPr>
          <w:t>2.2.1.2.4.2.17</w:t>
        </w:r>
      </w:hyperlink>
      <w:r w:rsidRPr="00076E91">
        <w:rPr>
          <w:rFonts w:ascii="Geomanist Light" w:hAnsi="Geomanist Light" w:cs="Arial"/>
          <w:color w:val="000000" w:themeColor="text1"/>
          <w:sz w:val="10"/>
          <w:szCs w:val="10"/>
        </w:rPr>
        <w:t xml:space="preserve">. y </w:t>
      </w:r>
      <w:hyperlink r:id="rId12" w:anchor="2.2.1.2.4.2.18" w:history="1">
        <w:r w:rsidRPr="00076E91">
          <w:rPr>
            <w:rStyle w:val="Hipervnculo"/>
            <w:rFonts w:ascii="Geomanist Light" w:hAnsi="Geomanist Light" w:cs="Arial"/>
            <w:color w:val="000000" w:themeColor="text1"/>
            <w:sz w:val="10"/>
            <w:szCs w:val="10"/>
            <w:u w:val="none"/>
          </w:rPr>
          <w:t>2.2.1.2.4.2.18</w:t>
        </w:r>
      </w:hyperlink>
      <w:r w:rsidRPr="00076E91">
        <w:rPr>
          <w:rFonts w:ascii="Geomanist Light" w:hAnsi="Geomanist Light" w:cs="Arial"/>
          <w:color w:val="000000" w:themeColor="text1"/>
          <w:sz w:val="10"/>
          <w:szCs w:val="10"/>
        </w:rPr>
        <w:t>.; adiciona un </w:t>
      </w:r>
      <w:hyperlink r:id="rId13" w:anchor="2.2.1.2.3.1.9.p" w:history="1">
        <w:r w:rsidRPr="00076E91">
          <w:rPr>
            <w:rStyle w:val="Hipervnculo"/>
            <w:rFonts w:ascii="Geomanist Light" w:hAnsi="Geomanist Light" w:cs="Arial"/>
            <w:color w:val="000000" w:themeColor="text1"/>
            <w:sz w:val="10"/>
            <w:szCs w:val="10"/>
            <w:u w:val="none"/>
          </w:rPr>
          <w:t>parágrafo </w:t>
        </w:r>
      </w:hyperlink>
      <w:r w:rsidRPr="00076E91">
        <w:rPr>
          <w:rFonts w:ascii="Geomanist Light" w:hAnsi="Geomanist Light" w:cs="Arial"/>
          <w:color w:val="000000" w:themeColor="text1"/>
          <w:sz w:val="10"/>
          <w:szCs w:val="10"/>
        </w:rPr>
        <w:t xml:space="preserve">al artículo </w:t>
      </w:r>
      <w:hyperlink r:id="rId14" w:anchor="2.2.1.2.3.1.9" w:history="1">
        <w:r w:rsidRPr="00076E91">
          <w:rPr>
            <w:rStyle w:val="Hipervnculo"/>
            <w:rFonts w:ascii="Geomanist Light" w:hAnsi="Geomanist Light" w:cs="Arial"/>
            <w:color w:val="000000" w:themeColor="text1"/>
            <w:sz w:val="10"/>
            <w:szCs w:val="10"/>
            <w:u w:val="none"/>
          </w:rPr>
          <w:t>2.2.1.2.3.1.9</w:t>
        </w:r>
      </w:hyperlink>
      <w:r w:rsidRPr="00076E91">
        <w:rPr>
          <w:rFonts w:ascii="Geomanist Light" w:hAnsi="Geomanist Light" w:cs="Arial"/>
          <w:color w:val="000000" w:themeColor="text1"/>
          <w:sz w:val="10"/>
          <w:szCs w:val="10"/>
        </w:rPr>
        <w:t>; y deroga el artículo </w:t>
      </w:r>
      <w:hyperlink r:id="rId15" w:anchor="2.2.1.1.2.2.9" w:history="1">
        <w:r w:rsidRPr="00076E91">
          <w:rPr>
            <w:rStyle w:val="Hipervnculo"/>
            <w:rFonts w:ascii="Geomanist Light" w:hAnsi="Geomanist Light" w:cs="Arial"/>
            <w:color w:val="000000" w:themeColor="text1"/>
            <w:sz w:val="10"/>
            <w:szCs w:val="10"/>
            <w:u w:val="none"/>
          </w:rPr>
          <w:t>2.2.1.1.2.2.9</w:t>
        </w:r>
      </w:hyperlink>
      <w:r w:rsidRPr="00076E91">
        <w:rPr>
          <w:rFonts w:ascii="Geomanist Light" w:hAnsi="Geomanist Light" w:cs="Arial"/>
          <w:color w:val="000000" w:themeColor="text1"/>
          <w:sz w:val="10"/>
          <w:szCs w:val="10"/>
        </w:rPr>
        <w:t>. del Decreto 1082 de 2015, Único Reglamentario del Sector Administrativo de Planeación Nacional.</w:t>
      </w:r>
    </w:p>
    <w:p w14:paraId="344DF520" w14:textId="77777777" w:rsidR="0005632E" w:rsidRPr="00076E91" w:rsidRDefault="0005632E" w:rsidP="0005632E">
      <w:pPr>
        <w:pStyle w:val="NormalWeb"/>
        <w:shd w:val="clear" w:color="auto" w:fill="FFFFFF"/>
        <w:spacing w:before="0" w:beforeAutospacing="0" w:after="0" w:afterAutospacing="0"/>
        <w:contextualSpacing/>
        <w:jc w:val="both"/>
        <w:rPr>
          <w:rFonts w:ascii="Geomanist Light" w:hAnsi="Geomanist Light" w:cs="Arial"/>
          <w:color w:val="000000" w:themeColor="text1"/>
          <w:sz w:val="10"/>
          <w:szCs w:val="10"/>
        </w:rPr>
      </w:pPr>
      <w:r w:rsidRPr="00076E91">
        <w:rPr>
          <w:rFonts w:ascii="Geomanist Light" w:hAnsi="Geomanist Light" w:cs="Arial"/>
          <w:b/>
          <w:bCs/>
          <w:color w:val="000000" w:themeColor="text1"/>
          <w:sz w:val="10"/>
          <w:szCs w:val="10"/>
        </w:rPr>
        <w:t> </w:t>
      </w:r>
      <w:r w:rsidRPr="00076E91">
        <w:rPr>
          <w:rFonts w:ascii="Geomanist Light" w:hAnsi="Geomanist Light" w:cs="Arial"/>
          <w:b/>
          <w:bCs/>
          <w:color w:val="000000" w:themeColor="text1"/>
          <w:sz w:val="10"/>
          <w:szCs w:val="10"/>
        </w:rPr>
        <w:tab/>
      </w:r>
      <w:r w:rsidRPr="00076E91">
        <w:rPr>
          <w:rFonts w:ascii="Geomanist Light" w:hAnsi="Geomanist Light" w:cs="Arial"/>
          <w:b/>
          <w:bCs/>
          <w:color w:val="000000" w:themeColor="text1"/>
          <w:sz w:val="10"/>
          <w:szCs w:val="10"/>
        </w:rPr>
        <w:t>»</w:t>
      </w:r>
      <w:r w:rsidRPr="00076E91">
        <w:rPr>
          <w:rFonts w:ascii="Geomanist Light" w:hAnsi="Geomanist Light" w:cs="Arial"/>
          <w:color w:val="000000" w:themeColor="text1"/>
          <w:sz w:val="10"/>
          <w:szCs w:val="10"/>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DC191C9" w14:textId="77777777" w:rsidR="0005632E" w:rsidRPr="00076E91" w:rsidRDefault="0005632E" w:rsidP="0005632E">
      <w:pPr>
        <w:pStyle w:val="NormalWeb"/>
        <w:shd w:val="clear" w:color="auto" w:fill="FFFFFF"/>
        <w:spacing w:before="0" w:beforeAutospacing="0" w:after="0" w:afterAutospacing="0"/>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w:t>
      </w:r>
      <w:r w:rsidRPr="00076E91">
        <w:rPr>
          <w:rFonts w:ascii="Geomanist Light" w:hAnsi="Geomanist Light" w:cs="Arial"/>
          <w:color w:val="000000" w:themeColor="text1"/>
          <w:sz w:val="10"/>
          <w:szCs w:val="10"/>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22">
    <w:p w14:paraId="416ED6A2"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542CC9DC"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»1. Tiempo de experiencia. </w:t>
      </w:r>
    </w:p>
    <w:p w14:paraId="5548E1ED"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»2. Número de contratos para la acreditación de la experiencia. </w:t>
      </w:r>
    </w:p>
    <w:p w14:paraId="6810153D"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»3. Índices de capacidad financiera. </w:t>
      </w:r>
    </w:p>
    <w:p w14:paraId="4C0BC4B0"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»4. Índices de capacidad organizacional. </w:t>
      </w:r>
    </w:p>
    <w:p w14:paraId="7A85739E"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»5. Valor de la garantía de seriedad de la oferta. </w:t>
      </w:r>
    </w:p>
    <w:p w14:paraId="6CB172E0"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E90EC97"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48D14861"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1FD27DE4"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93466B2" w14:textId="77777777" w:rsidR="0005632E" w:rsidRPr="00076E91" w:rsidRDefault="0005632E" w:rsidP="0005632E">
      <w:pPr>
        <w:pStyle w:val="Textonotapie"/>
        <w:ind w:firstLine="709"/>
        <w:contextualSpacing/>
        <w:jc w:val="both"/>
        <w:rPr>
          <w:rFonts w:ascii="Geomanist Light" w:hAnsi="Geomanist Light" w:cs="Arial"/>
          <w:color w:val="000000" w:themeColor="text1"/>
          <w:sz w:val="10"/>
          <w:szCs w:val="10"/>
        </w:rPr>
      </w:pPr>
      <w:r w:rsidRPr="00076E91">
        <w:rPr>
          <w:rFonts w:ascii="Geomanist Light" w:hAnsi="Geomanist Light" w:cs="Arial"/>
          <w:color w:val="000000" w:themeColor="text1"/>
          <w:sz w:val="10"/>
          <w:szCs w:val="10"/>
        </w:rPr>
        <w:t xml:space="preserve">»Parágrafo 2. Los incentivos contractuales para las empresas y emprendimientos de mujeres no excluyen la aplicación de los criterios diferenciales para </w:t>
      </w:r>
      <w:r w:rsidRPr="00076E91">
        <w:rPr>
          <w:rFonts w:ascii="Geomanist Light" w:hAnsi="Geomanist Light" w:cs="Arial"/>
          <w:color w:val="000000" w:themeColor="text1"/>
          <w:sz w:val="10"/>
          <w:szCs w:val="10"/>
        </w:rPr>
        <w:t xml:space="preserve">Mipyme en el sistema de compras públicas».  </w:t>
      </w:r>
    </w:p>
  </w:footnote>
  <w:footnote w:id="23">
    <w:p w14:paraId="172E51CB" w14:textId="77777777" w:rsidR="002F3E7B" w:rsidRPr="00076E91" w:rsidRDefault="002F3E7B" w:rsidP="002F3E7B">
      <w:pPr>
        <w:pStyle w:val="NormalWeb"/>
        <w:spacing w:before="0" w:beforeAutospacing="0" w:after="0" w:afterAutospacing="0"/>
        <w:ind w:firstLine="709"/>
        <w:jc w:val="both"/>
        <w:rPr>
          <w:rFonts w:ascii="Geomanist Light" w:hAnsi="Geomanist Light" w:cs="Arial"/>
          <w:color w:val="000000" w:themeColor="text1"/>
          <w:sz w:val="10"/>
          <w:szCs w:val="10"/>
        </w:rPr>
      </w:pPr>
      <w:r w:rsidRPr="00076E91">
        <w:rPr>
          <w:rStyle w:val="Refdenotaalpie"/>
          <w:rFonts w:ascii="Geomanist Light" w:hAnsi="Geomanist Light" w:cs="Arial"/>
          <w:color w:val="000000" w:themeColor="text1"/>
          <w:sz w:val="10"/>
          <w:szCs w:val="10"/>
        </w:rPr>
        <w:footnoteRef/>
      </w:r>
      <w:r w:rsidRPr="00076E91">
        <w:rPr>
          <w:rFonts w:ascii="Geomanist Light" w:hAnsi="Geomanist Light" w:cs="Arial"/>
          <w:color w:val="000000" w:themeColor="text1"/>
          <w:sz w:val="10"/>
          <w:szCs w:val="10"/>
        </w:rPr>
        <w:t xml:space="preserve"> Código Civil Colombiano «Artículo 27. Cuando el sentido de la ley sea claro, no se desatenderá su tenor literal a pretexto de consultar su espíritu. </w:t>
      </w:r>
    </w:p>
    <w:p w14:paraId="67049E6D" w14:textId="77777777" w:rsidR="002F3E7B" w:rsidRPr="00076E91" w:rsidRDefault="002F3E7B" w:rsidP="002F3E7B">
      <w:pPr>
        <w:jc w:val="both"/>
        <w:rPr>
          <w:rFonts w:ascii="Geomanist Light" w:hAnsi="Geomanist Light" w:cs="Arial"/>
          <w:color w:val="000000" w:themeColor="text1"/>
          <w:sz w:val="10"/>
          <w:szCs w:val="10"/>
          <w:lang w:eastAsia="es-CO"/>
        </w:rPr>
      </w:pPr>
      <w:r w:rsidRPr="00076E91">
        <w:rPr>
          <w:rFonts w:ascii="Geomanist Light" w:hAnsi="Geomanist Light" w:cs="Arial"/>
          <w:color w:val="000000" w:themeColor="text1"/>
          <w:sz w:val="10"/>
          <w:szCs w:val="10"/>
          <w:lang w:eastAsia="es-CO"/>
        </w:rPr>
        <w:t>  </w:t>
      </w:r>
      <w:r w:rsidRPr="00076E91">
        <w:rPr>
          <w:rFonts w:ascii="Geomanist Light" w:hAnsi="Geomanist Light" w:cs="Arial"/>
          <w:color w:val="000000" w:themeColor="text1"/>
          <w:sz w:val="10"/>
          <w:szCs w:val="10"/>
          <w:lang w:eastAsia="es-CO"/>
        </w:rPr>
        <w:tab/>
      </w:r>
      <w:r w:rsidRPr="00076E91">
        <w:rPr>
          <w:rFonts w:ascii="Geomanist Light" w:hAnsi="Geomanist Light" w:cs="Arial"/>
          <w:color w:val="000000" w:themeColor="text1"/>
          <w:sz w:val="10"/>
          <w:szCs w:val="10"/>
          <w:lang w:eastAsia="es-CO"/>
        </w:rPr>
        <w:t>»Pero bien se puede, para interpretar una expresión </w:t>
      </w:r>
      <w:r w:rsidRPr="00076E91">
        <w:rPr>
          <w:rFonts w:ascii="Geomanist Light" w:hAnsi="Geomanist Light" w:cs="Arial"/>
          <w:i/>
          <w:iCs/>
          <w:color w:val="000000" w:themeColor="text1"/>
          <w:sz w:val="10"/>
          <w:szCs w:val="10"/>
          <w:lang w:eastAsia="es-CO"/>
        </w:rPr>
        <w:t>oscura</w:t>
      </w:r>
      <w:r w:rsidRPr="00076E91">
        <w:rPr>
          <w:rFonts w:ascii="Geomanist Light" w:hAnsi="Geomanist Light" w:cs="Arial"/>
          <w:color w:val="000000" w:themeColor="text1"/>
          <w:sz w:val="10"/>
          <w:szCs w:val="10"/>
          <w:lang w:eastAsia="es-CO"/>
        </w:rPr>
        <w:t> de la ley, recurrir a su intención o espíritu, claramente manifestados en ella misma o en la historia fidedigna de su establecimiento». </w:t>
      </w:r>
    </w:p>
  </w:footnote>
  <w:footnote w:id="24">
    <w:p w14:paraId="646839DA" w14:textId="4D7AA5C0" w:rsidR="00FC67C3" w:rsidRPr="00076E91" w:rsidRDefault="00FC67C3" w:rsidP="00FC67C3">
      <w:pPr>
        <w:pStyle w:val="Textonotapie"/>
        <w:ind w:firstLine="709"/>
        <w:rPr>
          <w:rFonts w:ascii="Geomanist Light" w:hAnsi="Geomanist Light"/>
          <w:sz w:val="10"/>
          <w:szCs w:val="10"/>
          <w:lang w:val="es-ES"/>
        </w:rPr>
      </w:pPr>
      <w:r w:rsidRPr="00076E91">
        <w:rPr>
          <w:rStyle w:val="Refdenotaalpie"/>
          <w:rFonts w:ascii="Geomanist Light" w:hAnsi="Geomanist Light"/>
          <w:sz w:val="10"/>
          <w:szCs w:val="10"/>
        </w:rPr>
        <w:footnoteRef/>
      </w:r>
      <w:r w:rsidRPr="00076E91">
        <w:rPr>
          <w:rFonts w:ascii="Geomanist Light" w:hAnsi="Geomanist Light"/>
          <w:sz w:val="10"/>
          <w:szCs w:val="10"/>
        </w:rPr>
        <w:t xml:space="preserve"> Consejo de Estado, Sección Cuarta, sentencia del 24 de octubre de 2002, C.P. Ligia López Díaz, Rad. 13.408</w:t>
      </w:r>
    </w:p>
  </w:footnote>
  <w:footnote w:id="25">
    <w:p w14:paraId="446D8603" w14:textId="791F581A" w:rsidR="009126FF" w:rsidRPr="00076E91" w:rsidRDefault="009126FF" w:rsidP="009126FF">
      <w:pPr>
        <w:pStyle w:val="Textonotapie"/>
        <w:ind w:firstLine="709"/>
        <w:rPr>
          <w:rFonts w:ascii="Geomanist Light" w:hAnsi="Geomanist Light"/>
          <w:sz w:val="10"/>
          <w:szCs w:val="10"/>
          <w:lang w:val="es-ES"/>
        </w:rPr>
      </w:pPr>
      <w:r w:rsidRPr="00076E91">
        <w:rPr>
          <w:rStyle w:val="Refdenotaalpie"/>
          <w:rFonts w:ascii="Geomanist Light" w:hAnsi="Geomanist Light"/>
          <w:sz w:val="10"/>
          <w:szCs w:val="10"/>
        </w:rPr>
        <w:footnoteRef/>
      </w:r>
      <w:r w:rsidRPr="00076E91">
        <w:rPr>
          <w:rFonts w:ascii="Geomanist Light" w:hAnsi="Geomanist Light"/>
          <w:sz w:val="10"/>
          <w:szCs w:val="10"/>
        </w:rPr>
        <w:t xml:space="preserve"> Marín Cortés, Fabián G. El precio. Librería Jurídica Sánchez R. Ltda. Medellín, 2012, p. 60</w:t>
      </w:r>
    </w:p>
  </w:footnote>
  <w:footnote w:id="26">
    <w:p w14:paraId="5CAFDEF0" w14:textId="5FA64AE8" w:rsidR="002843ED" w:rsidRPr="00076E91" w:rsidRDefault="002843ED" w:rsidP="00076E91">
      <w:pPr>
        <w:ind w:firstLine="707"/>
        <w:jc w:val="both"/>
        <w:rPr>
          <w:rFonts w:ascii="Geomanist Light" w:hAnsi="Geomanist Light" w:cs="Arial"/>
          <w:sz w:val="10"/>
          <w:szCs w:val="10"/>
        </w:rPr>
      </w:pPr>
      <w:r w:rsidRPr="00076E91">
        <w:rPr>
          <w:rStyle w:val="Refdenotaalpie"/>
          <w:rFonts w:ascii="Geomanist Light" w:hAnsi="Geomanist Light" w:cs="Arial"/>
          <w:sz w:val="10"/>
          <w:szCs w:val="10"/>
        </w:rPr>
        <w:footnoteRef/>
      </w:r>
      <w:r w:rsidRPr="00076E91">
        <w:rPr>
          <w:rFonts w:ascii="Geomanist Light" w:hAnsi="Geomanist Light" w:cs="Arial"/>
          <w:position w:val="6"/>
          <w:sz w:val="10"/>
          <w:szCs w:val="10"/>
        </w:rPr>
        <w:t xml:space="preserve"> </w:t>
      </w:r>
      <w:r w:rsidRPr="00076E91">
        <w:rPr>
          <w:rFonts w:ascii="Geomanist Light" w:hAnsi="Geomanist Light" w:cs="Arial"/>
          <w:sz w:val="10"/>
          <w:szCs w:val="10"/>
        </w:rPr>
        <w:t>DEIK ACOSTAMADIEDO, Carolina, Guía de Contratación Estatal: Deber de planeación y modalidades de selección, Buenos Aires, 2015, p. 59.</w:t>
      </w:r>
    </w:p>
  </w:footnote>
  <w:footnote w:id="27">
    <w:p w14:paraId="62087BF8" w14:textId="77777777" w:rsidR="002843ED" w:rsidRPr="00076E91" w:rsidRDefault="002843ED" w:rsidP="002843ED">
      <w:pPr>
        <w:pStyle w:val="Textoindependiente"/>
        <w:ind w:firstLine="709"/>
        <w:jc w:val="both"/>
        <w:rPr>
          <w:rFonts w:ascii="Geomanist Light" w:hAnsi="Geomanist Light"/>
          <w:sz w:val="10"/>
          <w:szCs w:val="10"/>
        </w:rPr>
      </w:pPr>
      <w:r w:rsidRPr="00076E91">
        <w:rPr>
          <w:rStyle w:val="Refdenotaalpie"/>
          <w:rFonts w:ascii="Geomanist Light" w:hAnsi="Geomanist Light"/>
          <w:sz w:val="10"/>
          <w:szCs w:val="10"/>
        </w:rPr>
        <w:footnoteRef/>
      </w:r>
      <w:r w:rsidRPr="00076E91">
        <w:rPr>
          <w:rFonts w:ascii="Geomanist Light" w:hAnsi="Geomanist Light"/>
          <w:sz w:val="10"/>
          <w:szCs w:val="10"/>
        </w:rPr>
        <w:t xml:space="preserve"> </w:t>
      </w:r>
      <w:r w:rsidRPr="00076E91">
        <w:rPr>
          <w:rFonts w:ascii="Geomanist Light" w:hAnsi="Geomanist Light"/>
          <w:position w:val="6"/>
          <w:sz w:val="10"/>
          <w:szCs w:val="10"/>
        </w:rPr>
        <w:t xml:space="preserve"> </w:t>
      </w:r>
      <w:r w:rsidRPr="00076E91">
        <w:rPr>
          <w:rFonts w:ascii="Geomanist Light" w:hAnsi="Geomanist Light"/>
          <w:sz w:val="10"/>
          <w:szCs w:val="10"/>
        </w:rPr>
        <w:t xml:space="preserve">«Artículo </w:t>
      </w:r>
      <w:bookmarkStart w:id="23" w:name="_Hlk54173885"/>
      <w:r w:rsidRPr="00076E91">
        <w:rPr>
          <w:rFonts w:ascii="Geomanist Light" w:hAnsi="Geomanist Light"/>
          <w:sz w:val="10"/>
          <w:szCs w:val="10"/>
        </w:rPr>
        <w:t>2.2.1.1.2.1.1</w:t>
      </w:r>
      <w:bookmarkEnd w:id="23"/>
      <w:r w:rsidRPr="00076E91">
        <w:rPr>
          <w:rFonts w:ascii="Geomanist Light" w:hAnsi="Geomanist Light"/>
          <w:sz w:val="10"/>
          <w:szCs w:val="10"/>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28">
    <w:p w14:paraId="7A88D0AD" w14:textId="77777777" w:rsidR="002843ED" w:rsidRPr="00076E91" w:rsidRDefault="002843ED" w:rsidP="002843ED">
      <w:pPr>
        <w:pStyle w:val="Textonotapie"/>
        <w:ind w:firstLine="708"/>
        <w:jc w:val="both"/>
        <w:rPr>
          <w:rFonts w:ascii="Geomanist Light" w:hAnsi="Geomanist Light" w:cs="Arial"/>
          <w:sz w:val="10"/>
          <w:szCs w:val="10"/>
        </w:rPr>
      </w:pPr>
      <w:r w:rsidRPr="00076E91">
        <w:rPr>
          <w:rStyle w:val="Refdenotaalpie"/>
          <w:rFonts w:ascii="Geomanist Light" w:hAnsi="Geomanist Light" w:cs="Arial"/>
          <w:sz w:val="10"/>
          <w:szCs w:val="10"/>
        </w:rPr>
        <w:footnoteRef/>
      </w:r>
      <w:r w:rsidRPr="00076E91">
        <w:rPr>
          <w:rFonts w:ascii="Geomanist Light" w:hAnsi="Geomanist Light" w:cs="Arial"/>
          <w:sz w:val="10"/>
          <w:szCs w:val="10"/>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FF5" w14:textId="77777777" w:rsidR="009D35D5" w:rsidRDefault="009D35D5" w:rsidP="009D35D5">
    <w:pPr>
      <w:pStyle w:val="Encabezado"/>
      <w:jc w:val="right"/>
    </w:pPr>
  </w:p>
  <w:p w14:paraId="52358AC2" w14:textId="77777777" w:rsidR="009F529C" w:rsidRPr="007566FE" w:rsidRDefault="009F529C" w:rsidP="009F529C">
    <w:pPr>
      <w:rPr>
        <w:rFonts w:ascii="Geomanist Light" w:hAnsi="Geomanist Light"/>
        <w:color w:val="002060"/>
        <w:sz w:val="16"/>
        <w:szCs w:val="16"/>
      </w:rPr>
    </w:pPr>
    <w:r w:rsidRPr="007566FE">
      <w:rPr>
        <w:rFonts w:ascii="Geomanist Light" w:eastAsia="Arial Nova" w:hAnsi="Geomanist Light" w:cs="Arial Nova"/>
        <w:noProof/>
        <w:sz w:val="16"/>
        <w:szCs w:val="16"/>
        <w:lang w:val="en-US" w:eastAsia="en-US"/>
      </w:rPr>
      <w:drawing>
        <wp:anchor distT="0" distB="0" distL="0" distR="0" simplePos="0" relativeHeight="251659264" behindDoc="1" locked="0" layoutInCell="1" hidden="0" allowOverlap="1" wp14:anchorId="560FA5FC" wp14:editId="315F8ED6">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6B19240B" w14:textId="77777777" w:rsidR="009F529C" w:rsidRPr="007566FE" w:rsidRDefault="009F529C" w:rsidP="009F529C">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3E88A598" w14:textId="77777777" w:rsidR="009F529C" w:rsidRDefault="009F529C" w:rsidP="009F529C">
    <w:pPr>
      <w:rPr>
        <w:rFonts w:ascii="Geomanist Light" w:eastAsia="Geo" w:hAnsi="Geomanist Light" w:cs="Geo"/>
        <w:sz w:val="16"/>
        <w:szCs w:val="16"/>
        <w:lang w:eastAsia="es-CO"/>
      </w:rPr>
    </w:pPr>
    <w:r w:rsidRPr="00367110">
      <w:rPr>
        <w:rFonts w:eastAsia="Arial Nova" w:cs="Arial Nova"/>
        <w:noProof/>
        <w:color w:val="000000"/>
        <w:lang w:val="en-US" w:eastAsia="en-US"/>
      </w:rPr>
      <w:drawing>
        <wp:anchor distT="0" distB="0" distL="114300" distR="114300" simplePos="0" relativeHeight="251660288" behindDoc="1" locked="0" layoutInCell="1" allowOverlap="1" wp14:anchorId="39F77CDD" wp14:editId="667DEAF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1259AED4" w14:textId="6BD2013A" w:rsidR="009D35D5" w:rsidRDefault="009D35D5" w:rsidP="009D35D5">
    <w:pPr>
      <w:pStyle w:val="Encabezado"/>
      <w:jc w:val="right"/>
    </w:pPr>
  </w:p>
  <w:p w14:paraId="7285EFC6" w14:textId="77777777" w:rsidR="009D35D5" w:rsidRDefault="009D35D5" w:rsidP="009D35D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E04182"/>
    <w:multiLevelType w:val="hybridMultilevel"/>
    <w:tmpl w:val="2904D5EC"/>
    <w:lvl w:ilvl="0" w:tplc="47E8FE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9584D70"/>
    <w:multiLevelType w:val="hybridMultilevel"/>
    <w:tmpl w:val="A8FC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039619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8348">
    <w:abstractNumId w:val="0"/>
  </w:num>
  <w:num w:numId="3" w16cid:durableId="1062950260">
    <w:abstractNumId w:val="2"/>
  </w:num>
  <w:num w:numId="4" w16cid:durableId="119133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0C"/>
    <w:rsid w:val="000013B6"/>
    <w:rsid w:val="0000229C"/>
    <w:rsid w:val="00011F2D"/>
    <w:rsid w:val="00013A0C"/>
    <w:rsid w:val="00016282"/>
    <w:rsid w:val="00017404"/>
    <w:rsid w:val="000219DB"/>
    <w:rsid w:val="000278EC"/>
    <w:rsid w:val="00033B53"/>
    <w:rsid w:val="00033E4B"/>
    <w:rsid w:val="00047725"/>
    <w:rsid w:val="0005562C"/>
    <w:rsid w:val="0005632E"/>
    <w:rsid w:val="000606C7"/>
    <w:rsid w:val="00063547"/>
    <w:rsid w:val="0006665E"/>
    <w:rsid w:val="000668B5"/>
    <w:rsid w:val="00070BFE"/>
    <w:rsid w:val="000726D5"/>
    <w:rsid w:val="00073996"/>
    <w:rsid w:val="00076E91"/>
    <w:rsid w:val="000834FF"/>
    <w:rsid w:val="00090392"/>
    <w:rsid w:val="000B0950"/>
    <w:rsid w:val="000B4315"/>
    <w:rsid w:val="000C2B81"/>
    <w:rsid w:val="000C2F17"/>
    <w:rsid w:val="000C495A"/>
    <w:rsid w:val="000C63FF"/>
    <w:rsid w:val="000D4875"/>
    <w:rsid w:val="000E0507"/>
    <w:rsid w:val="000E1C39"/>
    <w:rsid w:val="000E2D77"/>
    <w:rsid w:val="000E3BC8"/>
    <w:rsid w:val="000F3B31"/>
    <w:rsid w:val="000F530E"/>
    <w:rsid w:val="000F759E"/>
    <w:rsid w:val="00102AD2"/>
    <w:rsid w:val="0010311E"/>
    <w:rsid w:val="0011032D"/>
    <w:rsid w:val="00110E79"/>
    <w:rsid w:val="00116920"/>
    <w:rsid w:val="0012651A"/>
    <w:rsid w:val="00126AAD"/>
    <w:rsid w:val="001414D9"/>
    <w:rsid w:val="0014309D"/>
    <w:rsid w:val="00144118"/>
    <w:rsid w:val="0014427A"/>
    <w:rsid w:val="00147017"/>
    <w:rsid w:val="00160CFF"/>
    <w:rsid w:val="001626D1"/>
    <w:rsid w:val="0016582F"/>
    <w:rsid w:val="00167784"/>
    <w:rsid w:val="00173A9F"/>
    <w:rsid w:val="00174AA5"/>
    <w:rsid w:val="00174D3B"/>
    <w:rsid w:val="00175D56"/>
    <w:rsid w:val="0017659D"/>
    <w:rsid w:val="00176D8A"/>
    <w:rsid w:val="00180656"/>
    <w:rsid w:val="0018185A"/>
    <w:rsid w:val="0019200A"/>
    <w:rsid w:val="0019224D"/>
    <w:rsid w:val="001935F2"/>
    <w:rsid w:val="001A4FAD"/>
    <w:rsid w:val="001A7726"/>
    <w:rsid w:val="001B66E2"/>
    <w:rsid w:val="001C3D2D"/>
    <w:rsid w:val="001C5296"/>
    <w:rsid w:val="001D21D5"/>
    <w:rsid w:val="001D337F"/>
    <w:rsid w:val="001D3E02"/>
    <w:rsid w:val="001D77EF"/>
    <w:rsid w:val="001E3D25"/>
    <w:rsid w:val="001E46E9"/>
    <w:rsid w:val="001E528B"/>
    <w:rsid w:val="001E55E2"/>
    <w:rsid w:val="001E59EC"/>
    <w:rsid w:val="001F00E4"/>
    <w:rsid w:val="001F52B1"/>
    <w:rsid w:val="00203976"/>
    <w:rsid w:val="002115C0"/>
    <w:rsid w:val="00215578"/>
    <w:rsid w:val="00216228"/>
    <w:rsid w:val="0023018C"/>
    <w:rsid w:val="00230EEB"/>
    <w:rsid w:val="002436E3"/>
    <w:rsid w:val="0024608A"/>
    <w:rsid w:val="0025094B"/>
    <w:rsid w:val="00250BD6"/>
    <w:rsid w:val="0025415C"/>
    <w:rsid w:val="0025560C"/>
    <w:rsid w:val="00255F0E"/>
    <w:rsid w:val="00274B11"/>
    <w:rsid w:val="00277D0B"/>
    <w:rsid w:val="002843ED"/>
    <w:rsid w:val="00286465"/>
    <w:rsid w:val="002868F9"/>
    <w:rsid w:val="00287544"/>
    <w:rsid w:val="00293A7D"/>
    <w:rsid w:val="00296394"/>
    <w:rsid w:val="0029735F"/>
    <w:rsid w:val="002A1110"/>
    <w:rsid w:val="002C21DC"/>
    <w:rsid w:val="002C769A"/>
    <w:rsid w:val="002D2FD8"/>
    <w:rsid w:val="002D4840"/>
    <w:rsid w:val="002D7995"/>
    <w:rsid w:val="002E0ACA"/>
    <w:rsid w:val="002E2C77"/>
    <w:rsid w:val="002E52A6"/>
    <w:rsid w:val="002F3E7B"/>
    <w:rsid w:val="00300B2F"/>
    <w:rsid w:val="00303001"/>
    <w:rsid w:val="003057FD"/>
    <w:rsid w:val="003126C1"/>
    <w:rsid w:val="003128B2"/>
    <w:rsid w:val="00314A3D"/>
    <w:rsid w:val="003151C1"/>
    <w:rsid w:val="00316893"/>
    <w:rsid w:val="00317C69"/>
    <w:rsid w:val="0032771C"/>
    <w:rsid w:val="00337936"/>
    <w:rsid w:val="00343146"/>
    <w:rsid w:val="00346346"/>
    <w:rsid w:val="00351914"/>
    <w:rsid w:val="00375412"/>
    <w:rsid w:val="00376D94"/>
    <w:rsid w:val="00380497"/>
    <w:rsid w:val="00390962"/>
    <w:rsid w:val="00390C92"/>
    <w:rsid w:val="0039590C"/>
    <w:rsid w:val="00395E69"/>
    <w:rsid w:val="00396D2F"/>
    <w:rsid w:val="003A30E4"/>
    <w:rsid w:val="003B2828"/>
    <w:rsid w:val="003B4D96"/>
    <w:rsid w:val="003C008B"/>
    <w:rsid w:val="003D2432"/>
    <w:rsid w:val="003D4FAA"/>
    <w:rsid w:val="003F29CF"/>
    <w:rsid w:val="003F46DC"/>
    <w:rsid w:val="003F4A6D"/>
    <w:rsid w:val="00423B39"/>
    <w:rsid w:val="00423BE9"/>
    <w:rsid w:val="00425218"/>
    <w:rsid w:val="0042578E"/>
    <w:rsid w:val="004265C9"/>
    <w:rsid w:val="0043006A"/>
    <w:rsid w:val="00433A5A"/>
    <w:rsid w:val="004427B5"/>
    <w:rsid w:val="00444306"/>
    <w:rsid w:val="00447F84"/>
    <w:rsid w:val="00450726"/>
    <w:rsid w:val="004607B2"/>
    <w:rsid w:val="00465C12"/>
    <w:rsid w:val="0046677E"/>
    <w:rsid w:val="00472C17"/>
    <w:rsid w:val="004761E0"/>
    <w:rsid w:val="0047738A"/>
    <w:rsid w:val="00481144"/>
    <w:rsid w:val="00483379"/>
    <w:rsid w:val="004908DF"/>
    <w:rsid w:val="004A0BDA"/>
    <w:rsid w:val="004A124A"/>
    <w:rsid w:val="004A68D1"/>
    <w:rsid w:val="004A6FA0"/>
    <w:rsid w:val="004A7882"/>
    <w:rsid w:val="004B010A"/>
    <w:rsid w:val="004B1E29"/>
    <w:rsid w:val="004B5B41"/>
    <w:rsid w:val="004C054C"/>
    <w:rsid w:val="004C05AC"/>
    <w:rsid w:val="004C0AD4"/>
    <w:rsid w:val="004D3384"/>
    <w:rsid w:val="004D4AA1"/>
    <w:rsid w:val="004E6DB1"/>
    <w:rsid w:val="004E77FA"/>
    <w:rsid w:val="004F152E"/>
    <w:rsid w:val="004F33FA"/>
    <w:rsid w:val="004F5116"/>
    <w:rsid w:val="004F7784"/>
    <w:rsid w:val="00500E4D"/>
    <w:rsid w:val="00502E9D"/>
    <w:rsid w:val="00513A15"/>
    <w:rsid w:val="00515135"/>
    <w:rsid w:val="00527879"/>
    <w:rsid w:val="005278EA"/>
    <w:rsid w:val="0053357A"/>
    <w:rsid w:val="0053694E"/>
    <w:rsid w:val="0054133E"/>
    <w:rsid w:val="00542590"/>
    <w:rsid w:val="00546ADD"/>
    <w:rsid w:val="005504DA"/>
    <w:rsid w:val="005520DD"/>
    <w:rsid w:val="005523E1"/>
    <w:rsid w:val="00555F07"/>
    <w:rsid w:val="00556732"/>
    <w:rsid w:val="00556A45"/>
    <w:rsid w:val="00562725"/>
    <w:rsid w:val="005648B4"/>
    <w:rsid w:val="00567039"/>
    <w:rsid w:val="0057048D"/>
    <w:rsid w:val="00572705"/>
    <w:rsid w:val="00573B69"/>
    <w:rsid w:val="0058210E"/>
    <w:rsid w:val="00585261"/>
    <w:rsid w:val="00587D6A"/>
    <w:rsid w:val="005908E7"/>
    <w:rsid w:val="00592634"/>
    <w:rsid w:val="0059341D"/>
    <w:rsid w:val="00596B8F"/>
    <w:rsid w:val="00596BD3"/>
    <w:rsid w:val="00597514"/>
    <w:rsid w:val="005A5C09"/>
    <w:rsid w:val="005B31C8"/>
    <w:rsid w:val="005B3F92"/>
    <w:rsid w:val="005B6E0E"/>
    <w:rsid w:val="005C01C3"/>
    <w:rsid w:val="005C4B64"/>
    <w:rsid w:val="005C685F"/>
    <w:rsid w:val="005D1EAE"/>
    <w:rsid w:val="005D38AC"/>
    <w:rsid w:val="005E1DC5"/>
    <w:rsid w:val="005E31AF"/>
    <w:rsid w:val="005E6D4A"/>
    <w:rsid w:val="005F555E"/>
    <w:rsid w:val="006011D8"/>
    <w:rsid w:val="00602D75"/>
    <w:rsid w:val="00604D15"/>
    <w:rsid w:val="0060519F"/>
    <w:rsid w:val="00612D34"/>
    <w:rsid w:val="00614693"/>
    <w:rsid w:val="00614A07"/>
    <w:rsid w:val="00621D1E"/>
    <w:rsid w:val="00625319"/>
    <w:rsid w:val="006276C7"/>
    <w:rsid w:val="00633ADD"/>
    <w:rsid w:val="00635917"/>
    <w:rsid w:val="006370A0"/>
    <w:rsid w:val="006379EB"/>
    <w:rsid w:val="006429DC"/>
    <w:rsid w:val="00645095"/>
    <w:rsid w:val="00647271"/>
    <w:rsid w:val="0066016B"/>
    <w:rsid w:val="0066036F"/>
    <w:rsid w:val="00660AAE"/>
    <w:rsid w:val="006639B9"/>
    <w:rsid w:val="006712EB"/>
    <w:rsid w:val="006718AA"/>
    <w:rsid w:val="00671D8E"/>
    <w:rsid w:val="00683FE8"/>
    <w:rsid w:val="006845FC"/>
    <w:rsid w:val="006905FD"/>
    <w:rsid w:val="006A300C"/>
    <w:rsid w:val="006A3A4F"/>
    <w:rsid w:val="006A5766"/>
    <w:rsid w:val="006A6E02"/>
    <w:rsid w:val="006A7A4E"/>
    <w:rsid w:val="006C5B7E"/>
    <w:rsid w:val="006C613F"/>
    <w:rsid w:val="006D614E"/>
    <w:rsid w:val="006E0564"/>
    <w:rsid w:val="006E0AC3"/>
    <w:rsid w:val="006E1BB9"/>
    <w:rsid w:val="006E2360"/>
    <w:rsid w:val="00700BAB"/>
    <w:rsid w:val="00702BE5"/>
    <w:rsid w:val="00712F53"/>
    <w:rsid w:val="00713AAD"/>
    <w:rsid w:val="007151B9"/>
    <w:rsid w:val="007152B4"/>
    <w:rsid w:val="00722ED0"/>
    <w:rsid w:val="00737222"/>
    <w:rsid w:val="00737250"/>
    <w:rsid w:val="0074256A"/>
    <w:rsid w:val="00742997"/>
    <w:rsid w:val="00751030"/>
    <w:rsid w:val="00754BE8"/>
    <w:rsid w:val="007617C2"/>
    <w:rsid w:val="007623EE"/>
    <w:rsid w:val="00770614"/>
    <w:rsid w:val="007710AF"/>
    <w:rsid w:val="00795D0C"/>
    <w:rsid w:val="00795F60"/>
    <w:rsid w:val="007A045B"/>
    <w:rsid w:val="007A1D16"/>
    <w:rsid w:val="007A1EBC"/>
    <w:rsid w:val="007B38F9"/>
    <w:rsid w:val="007B3EF3"/>
    <w:rsid w:val="007B4DA5"/>
    <w:rsid w:val="007C7464"/>
    <w:rsid w:val="007C7B74"/>
    <w:rsid w:val="007D30C3"/>
    <w:rsid w:val="007D44D6"/>
    <w:rsid w:val="007E09EB"/>
    <w:rsid w:val="007E6BDC"/>
    <w:rsid w:val="007E75FE"/>
    <w:rsid w:val="008009F1"/>
    <w:rsid w:val="00803F1B"/>
    <w:rsid w:val="008167EE"/>
    <w:rsid w:val="0084000D"/>
    <w:rsid w:val="00840FD0"/>
    <w:rsid w:val="00844C7B"/>
    <w:rsid w:val="00857511"/>
    <w:rsid w:val="0086628C"/>
    <w:rsid w:val="00866ABE"/>
    <w:rsid w:val="008706D8"/>
    <w:rsid w:val="00871B85"/>
    <w:rsid w:val="00872347"/>
    <w:rsid w:val="00875852"/>
    <w:rsid w:val="00881977"/>
    <w:rsid w:val="00885D97"/>
    <w:rsid w:val="00887040"/>
    <w:rsid w:val="0089113B"/>
    <w:rsid w:val="008A01A2"/>
    <w:rsid w:val="008A29E5"/>
    <w:rsid w:val="008A4D5D"/>
    <w:rsid w:val="008A6884"/>
    <w:rsid w:val="008B2D4B"/>
    <w:rsid w:val="008B512A"/>
    <w:rsid w:val="008C0043"/>
    <w:rsid w:val="008C296B"/>
    <w:rsid w:val="008D0C14"/>
    <w:rsid w:val="008D0EC9"/>
    <w:rsid w:val="008D2F34"/>
    <w:rsid w:val="008D3724"/>
    <w:rsid w:val="008D3A96"/>
    <w:rsid w:val="008E029C"/>
    <w:rsid w:val="008F705D"/>
    <w:rsid w:val="009126FF"/>
    <w:rsid w:val="00914BFE"/>
    <w:rsid w:val="00914C99"/>
    <w:rsid w:val="00922AEB"/>
    <w:rsid w:val="00923A9B"/>
    <w:rsid w:val="00926695"/>
    <w:rsid w:val="009321CE"/>
    <w:rsid w:val="00934B91"/>
    <w:rsid w:val="0094177F"/>
    <w:rsid w:val="00942470"/>
    <w:rsid w:val="00944FE4"/>
    <w:rsid w:val="00946405"/>
    <w:rsid w:val="00947DC3"/>
    <w:rsid w:val="009627D3"/>
    <w:rsid w:val="009631C9"/>
    <w:rsid w:val="00976F38"/>
    <w:rsid w:val="00977D1E"/>
    <w:rsid w:val="00980A0B"/>
    <w:rsid w:val="00980D02"/>
    <w:rsid w:val="009824F9"/>
    <w:rsid w:val="009845F4"/>
    <w:rsid w:val="00986CAE"/>
    <w:rsid w:val="009900EF"/>
    <w:rsid w:val="00992F9F"/>
    <w:rsid w:val="00993D9C"/>
    <w:rsid w:val="00995A5F"/>
    <w:rsid w:val="009A2461"/>
    <w:rsid w:val="009A2AEE"/>
    <w:rsid w:val="009A6223"/>
    <w:rsid w:val="009B1E2B"/>
    <w:rsid w:val="009B244C"/>
    <w:rsid w:val="009B442C"/>
    <w:rsid w:val="009B4AFD"/>
    <w:rsid w:val="009B611F"/>
    <w:rsid w:val="009B7B02"/>
    <w:rsid w:val="009C0E81"/>
    <w:rsid w:val="009C15CB"/>
    <w:rsid w:val="009C2E2E"/>
    <w:rsid w:val="009D23A4"/>
    <w:rsid w:val="009D35D5"/>
    <w:rsid w:val="009D4249"/>
    <w:rsid w:val="009E0BB4"/>
    <w:rsid w:val="009E33EF"/>
    <w:rsid w:val="009E43E9"/>
    <w:rsid w:val="009E7EA0"/>
    <w:rsid w:val="009F2875"/>
    <w:rsid w:val="009F3AE9"/>
    <w:rsid w:val="009F511B"/>
    <w:rsid w:val="009F529C"/>
    <w:rsid w:val="00A04CF4"/>
    <w:rsid w:val="00A105B4"/>
    <w:rsid w:val="00A20AED"/>
    <w:rsid w:val="00A213E6"/>
    <w:rsid w:val="00A21E87"/>
    <w:rsid w:val="00A23833"/>
    <w:rsid w:val="00A23F34"/>
    <w:rsid w:val="00A2567A"/>
    <w:rsid w:val="00A30826"/>
    <w:rsid w:val="00A30D60"/>
    <w:rsid w:val="00A35E28"/>
    <w:rsid w:val="00A45656"/>
    <w:rsid w:val="00A47061"/>
    <w:rsid w:val="00A61459"/>
    <w:rsid w:val="00A64CDE"/>
    <w:rsid w:val="00A71345"/>
    <w:rsid w:val="00A71E9F"/>
    <w:rsid w:val="00A821E3"/>
    <w:rsid w:val="00A83C04"/>
    <w:rsid w:val="00A861E0"/>
    <w:rsid w:val="00A86DD3"/>
    <w:rsid w:val="00A916E5"/>
    <w:rsid w:val="00AA6788"/>
    <w:rsid w:val="00AA7016"/>
    <w:rsid w:val="00AB1230"/>
    <w:rsid w:val="00AC0A07"/>
    <w:rsid w:val="00AC34BC"/>
    <w:rsid w:val="00AC441A"/>
    <w:rsid w:val="00AC706B"/>
    <w:rsid w:val="00AD1D50"/>
    <w:rsid w:val="00AD6DF7"/>
    <w:rsid w:val="00AE6185"/>
    <w:rsid w:val="00AF2478"/>
    <w:rsid w:val="00B00342"/>
    <w:rsid w:val="00B00ABF"/>
    <w:rsid w:val="00B01F99"/>
    <w:rsid w:val="00B0467B"/>
    <w:rsid w:val="00B0527C"/>
    <w:rsid w:val="00B079E9"/>
    <w:rsid w:val="00B116A1"/>
    <w:rsid w:val="00B16823"/>
    <w:rsid w:val="00B17276"/>
    <w:rsid w:val="00B20318"/>
    <w:rsid w:val="00B222A6"/>
    <w:rsid w:val="00B4271B"/>
    <w:rsid w:val="00B4692D"/>
    <w:rsid w:val="00B57AB7"/>
    <w:rsid w:val="00B61431"/>
    <w:rsid w:val="00B623DC"/>
    <w:rsid w:val="00B62619"/>
    <w:rsid w:val="00B62791"/>
    <w:rsid w:val="00B70999"/>
    <w:rsid w:val="00B70FB0"/>
    <w:rsid w:val="00B758B0"/>
    <w:rsid w:val="00B76B85"/>
    <w:rsid w:val="00B80461"/>
    <w:rsid w:val="00B84907"/>
    <w:rsid w:val="00B84CF1"/>
    <w:rsid w:val="00B93975"/>
    <w:rsid w:val="00B95BFB"/>
    <w:rsid w:val="00BA5485"/>
    <w:rsid w:val="00BA6C38"/>
    <w:rsid w:val="00BB4A2D"/>
    <w:rsid w:val="00BC0249"/>
    <w:rsid w:val="00BC79BA"/>
    <w:rsid w:val="00BC79E6"/>
    <w:rsid w:val="00BD1DA5"/>
    <w:rsid w:val="00BE0C77"/>
    <w:rsid w:val="00BF2366"/>
    <w:rsid w:val="00BF4468"/>
    <w:rsid w:val="00BF5336"/>
    <w:rsid w:val="00C00DA5"/>
    <w:rsid w:val="00C01652"/>
    <w:rsid w:val="00C05886"/>
    <w:rsid w:val="00C142A3"/>
    <w:rsid w:val="00C26B27"/>
    <w:rsid w:val="00C272C3"/>
    <w:rsid w:val="00C27B86"/>
    <w:rsid w:val="00C35ED8"/>
    <w:rsid w:val="00C36BB2"/>
    <w:rsid w:val="00C5002A"/>
    <w:rsid w:val="00C5060D"/>
    <w:rsid w:val="00C56FD2"/>
    <w:rsid w:val="00C627EF"/>
    <w:rsid w:val="00C62AF9"/>
    <w:rsid w:val="00C66ECE"/>
    <w:rsid w:val="00C70272"/>
    <w:rsid w:val="00C70AC8"/>
    <w:rsid w:val="00C71AF0"/>
    <w:rsid w:val="00C7443D"/>
    <w:rsid w:val="00C759EA"/>
    <w:rsid w:val="00C76410"/>
    <w:rsid w:val="00C76720"/>
    <w:rsid w:val="00C77898"/>
    <w:rsid w:val="00C829F8"/>
    <w:rsid w:val="00C8312A"/>
    <w:rsid w:val="00C91310"/>
    <w:rsid w:val="00C95A87"/>
    <w:rsid w:val="00CA101A"/>
    <w:rsid w:val="00CA4187"/>
    <w:rsid w:val="00CA7C77"/>
    <w:rsid w:val="00CB1EA2"/>
    <w:rsid w:val="00CB2244"/>
    <w:rsid w:val="00CC0C44"/>
    <w:rsid w:val="00CC306F"/>
    <w:rsid w:val="00CC3B8D"/>
    <w:rsid w:val="00CC4D7C"/>
    <w:rsid w:val="00CD31AA"/>
    <w:rsid w:val="00CD6DBB"/>
    <w:rsid w:val="00CF0161"/>
    <w:rsid w:val="00CF33BE"/>
    <w:rsid w:val="00CF64D6"/>
    <w:rsid w:val="00D0167A"/>
    <w:rsid w:val="00D01BA7"/>
    <w:rsid w:val="00D0557B"/>
    <w:rsid w:val="00D11FE1"/>
    <w:rsid w:val="00D237F9"/>
    <w:rsid w:val="00D279B7"/>
    <w:rsid w:val="00D31D7A"/>
    <w:rsid w:val="00D332A6"/>
    <w:rsid w:val="00D45293"/>
    <w:rsid w:val="00D51728"/>
    <w:rsid w:val="00D55BA9"/>
    <w:rsid w:val="00D562BA"/>
    <w:rsid w:val="00D5667F"/>
    <w:rsid w:val="00D56F24"/>
    <w:rsid w:val="00D57F89"/>
    <w:rsid w:val="00D64F46"/>
    <w:rsid w:val="00D7015F"/>
    <w:rsid w:val="00D70434"/>
    <w:rsid w:val="00D72E5A"/>
    <w:rsid w:val="00D82510"/>
    <w:rsid w:val="00D8727C"/>
    <w:rsid w:val="00DA075E"/>
    <w:rsid w:val="00DA573C"/>
    <w:rsid w:val="00DB0DE8"/>
    <w:rsid w:val="00DB28E2"/>
    <w:rsid w:val="00DB34EC"/>
    <w:rsid w:val="00DB4997"/>
    <w:rsid w:val="00DB6DCD"/>
    <w:rsid w:val="00DC1F8E"/>
    <w:rsid w:val="00DC435F"/>
    <w:rsid w:val="00DD1C23"/>
    <w:rsid w:val="00DD50A3"/>
    <w:rsid w:val="00DD70F7"/>
    <w:rsid w:val="00DE3D35"/>
    <w:rsid w:val="00DE6786"/>
    <w:rsid w:val="00DE7D38"/>
    <w:rsid w:val="00E02554"/>
    <w:rsid w:val="00E02991"/>
    <w:rsid w:val="00E06F2C"/>
    <w:rsid w:val="00E07A4B"/>
    <w:rsid w:val="00E10B8D"/>
    <w:rsid w:val="00E12DAC"/>
    <w:rsid w:val="00E154AD"/>
    <w:rsid w:val="00E20079"/>
    <w:rsid w:val="00E225AA"/>
    <w:rsid w:val="00E2301F"/>
    <w:rsid w:val="00E34392"/>
    <w:rsid w:val="00E344D5"/>
    <w:rsid w:val="00E35E93"/>
    <w:rsid w:val="00E37895"/>
    <w:rsid w:val="00E37B3B"/>
    <w:rsid w:val="00E50479"/>
    <w:rsid w:val="00E526DE"/>
    <w:rsid w:val="00E55A01"/>
    <w:rsid w:val="00E57EEC"/>
    <w:rsid w:val="00E611E4"/>
    <w:rsid w:val="00E63025"/>
    <w:rsid w:val="00E63233"/>
    <w:rsid w:val="00E66E65"/>
    <w:rsid w:val="00E74106"/>
    <w:rsid w:val="00E860CD"/>
    <w:rsid w:val="00E87333"/>
    <w:rsid w:val="00E9230A"/>
    <w:rsid w:val="00E94C52"/>
    <w:rsid w:val="00EA31DC"/>
    <w:rsid w:val="00EA3412"/>
    <w:rsid w:val="00EA7C69"/>
    <w:rsid w:val="00EB0092"/>
    <w:rsid w:val="00EB3256"/>
    <w:rsid w:val="00EB7970"/>
    <w:rsid w:val="00EC34CB"/>
    <w:rsid w:val="00EC37BF"/>
    <w:rsid w:val="00ED1338"/>
    <w:rsid w:val="00EF309E"/>
    <w:rsid w:val="00EF7068"/>
    <w:rsid w:val="00F16C76"/>
    <w:rsid w:val="00F37574"/>
    <w:rsid w:val="00F4384D"/>
    <w:rsid w:val="00F44A3D"/>
    <w:rsid w:val="00F46E77"/>
    <w:rsid w:val="00F51834"/>
    <w:rsid w:val="00F54E1C"/>
    <w:rsid w:val="00F56967"/>
    <w:rsid w:val="00F5772B"/>
    <w:rsid w:val="00F664D1"/>
    <w:rsid w:val="00F76EF8"/>
    <w:rsid w:val="00F776E3"/>
    <w:rsid w:val="00F84A3C"/>
    <w:rsid w:val="00FA0BAD"/>
    <w:rsid w:val="00FA164C"/>
    <w:rsid w:val="00FA28D1"/>
    <w:rsid w:val="00FA6A29"/>
    <w:rsid w:val="00FB1D36"/>
    <w:rsid w:val="00FC0C74"/>
    <w:rsid w:val="00FC2B86"/>
    <w:rsid w:val="00FC67C3"/>
    <w:rsid w:val="00FD0349"/>
    <w:rsid w:val="00FD0FB6"/>
    <w:rsid w:val="00FD1E9A"/>
    <w:rsid w:val="00FE0C13"/>
    <w:rsid w:val="00FE3FA7"/>
    <w:rsid w:val="00FF10E7"/>
    <w:rsid w:val="00FF3386"/>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132"/>
  <w15:chartTrackingRefBased/>
  <w15:docId w15:val="{AB314478-6C34-4C87-B026-CBF47FF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6"/>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5D0C"/>
  </w:style>
  <w:style w:type="paragraph" w:styleId="Encabezado">
    <w:name w:val="header"/>
    <w:basedOn w:val="Normal"/>
    <w:link w:val="Encabezado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5D0C"/>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95D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95D0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95D0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95D0C"/>
    <w:rPr>
      <w:vertAlign w:val="superscript"/>
    </w:rPr>
  </w:style>
  <w:style w:type="paragraph" w:customStyle="1" w:styleId="Appelnotedebasde">
    <w:name w:val="Appel note de bas de..."/>
    <w:basedOn w:val="Normal"/>
    <w:link w:val="Refdenotaalpie"/>
    <w:rsid w:val="00795D0C"/>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concuadrcula3">
    <w:name w:val="Tabla con cuadrícula3"/>
    <w:basedOn w:val="Tablanormal"/>
    <w:next w:val="Tablaconcuadrcula"/>
    <w:uiPriority w:val="59"/>
    <w:rsid w:val="00795D0C"/>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795D0C"/>
    <w:rPr>
      <w:color w:val="F2F2F2"/>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95D0C"/>
    <w:pPr>
      <w:spacing w:after="120" w:line="276" w:lineRule="auto"/>
      <w:ind w:left="720" w:firstLine="709"/>
      <w:contextualSpacing/>
      <w:jc w:val="both"/>
    </w:pPr>
    <w:rPr>
      <w:rFonts w:asciiTheme="minorHAnsi" w:eastAsiaTheme="minorHAnsi" w:hAnsiTheme="minorHAnsi" w:cstheme="minorBidi"/>
      <w:sz w:val="22"/>
      <w:szCs w:val="22"/>
      <w:lang w:eastAsia="en-US"/>
    </w:rPr>
  </w:style>
  <w:style w:type="table" w:styleId="Tablaconcuadrcula">
    <w:name w:val="Table Grid"/>
    <w:basedOn w:val="Tablanormal"/>
    <w:uiPriority w:val="59"/>
    <w:qFormat/>
    <w:rsid w:val="0079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20DD"/>
    <w:rPr>
      <w:color w:val="0563C1" w:themeColor="hyperlink"/>
      <w:u w:val="single"/>
    </w:rPr>
  </w:style>
  <w:style w:type="paragraph" w:styleId="NormalWeb">
    <w:name w:val="Normal (Web)"/>
    <w:basedOn w:val="Normal"/>
    <w:link w:val="NormalWebCar"/>
    <w:uiPriority w:val="99"/>
    <w:unhideWhenUsed/>
    <w:rsid w:val="005520DD"/>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20DD"/>
  </w:style>
  <w:style w:type="character" w:customStyle="1" w:styleId="normaltextrun">
    <w:name w:val="normaltextrun"/>
    <w:basedOn w:val="Fuentedeprrafopredeter"/>
    <w:rsid w:val="005520DD"/>
  </w:style>
  <w:style w:type="character" w:customStyle="1" w:styleId="NormalWebCar">
    <w:name w:val="Normal (Web) Car"/>
    <w:link w:val="NormalWeb"/>
    <w:uiPriority w:val="99"/>
    <w:rsid w:val="005520DD"/>
    <w:rPr>
      <w:rFonts w:ascii="Times New Roman" w:eastAsia="Times New Roman" w:hAnsi="Times New Roman" w:cs="Times New Roman"/>
      <w:sz w:val="24"/>
      <w:szCs w:val="24"/>
      <w:lang w:eastAsia="es-CO"/>
    </w:rPr>
  </w:style>
  <w:style w:type="paragraph" w:styleId="Revisin">
    <w:name w:val="Revision"/>
    <w:hidden/>
    <w:uiPriority w:val="99"/>
    <w:semiHidden/>
    <w:rsid w:val="00947DC3"/>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17276"/>
    <w:rPr>
      <w:sz w:val="16"/>
      <w:szCs w:val="16"/>
    </w:rPr>
  </w:style>
  <w:style w:type="paragraph" w:styleId="Textocomentario">
    <w:name w:val="annotation text"/>
    <w:basedOn w:val="Normal"/>
    <w:link w:val="TextocomentarioCar"/>
    <w:uiPriority w:val="99"/>
    <w:unhideWhenUsed/>
    <w:rsid w:val="00B17276"/>
    <w:rPr>
      <w:sz w:val="20"/>
      <w:szCs w:val="20"/>
    </w:rPr>
  </w:style>
  <w:style w:type="character" w:customStyle="1" w:styleId="TextocomentarioCar">
    <w:name w:val="Texto comentario Car"/>
    <w:basedOn w:val="Fuentedeprrafopredeter"/>
    <w:link w:val="Textocomentario"/>
    <w:uiPriority w:val="99"/>
    <w:rsid w:val="00B17276"/>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17276"/>
    <w:rPr>
      <w:b/>
      <w:bCs/>
    </w:rPr>
  </w:style>
  <w:style w:type="character" w:customStyle="1" w:styleId="AsuntodelcomentarioCar">
    <w:name w:val="Asunto del comentario Car"/>
    <w:basedOn w:val="TextocomentarioCar"/>
    <w:link w:val="Asuntodelcomentario"/>
    <w:uiPriority w:val="99"/>
    <w:semiHidden/>
    <w:rsid w:val="00B17276"/>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FE3F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A7"/>
    <w:rPr>
      <w:rFonts w:ascii="Segoe UI" w:eastAsia="Times New Roman" w:hAnsi="Segoe UI" w:cs="Segoe UI"/>
      <w:sz w:val="18"/>
      <w:szCs w:val="18"/>
      <w:lang w:eastAsia="es-ES_tradnl"/>
    </w:rPr>
  </w:style>
  <w:style w:type="paragraph" w:customStyle="1" w:styleId="Default">
    <w:name w:val="Default"/>
    <w:rsid w:val="00EA7C69"/>
    <w:pPr>
      <w:autoSpaceDE w:val="0"/>
      <w:autoSpaceDN w:val="0"/>
      <w:adjustRightInd w:val="0"/>
      <w:spacing w:after="0" w:line="240" w:lineRule="auto"/>
      <w:ind w:firstLine="0"/>
      <w:jc w:val="left"/>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7C7B74"/>
    <w:rPr>
      <w:color w:val="605E5C"/>
      <w:shd w:val="clear" w:color="auto" w:fill="E1DFDD"/>
    </w:rPr>
  </w:style>
  <w:style w:type="paragraph" w:customStyle="1" w:styleId="paragraph">
    <w:name w:val="paragraph"/>
    <w:basedOn w:val="Normal"/>
    <w:rsid w:val="000C495A"/>
    <w:pPr>
      <w:spacing w:before="100" w:beforeAutospacing="1" w:after="100" w:afterAutospacing="1"/>
    </w:pPr>
    <w:rPr>
      <w:lang w:eastAsia="es-MX"/>
    </w:rPr>
  </w:style>
  <w:style w:type="table" w:customStyle="1" w:styleId="Tablaconcuadrcula1">
    <w:name w:val="Tabla con cuadrícula1"/>
    <w:basedOn w:val="Tablanormal"/>
    <w:next w:val="Tablaconcuadrcula"/>
    <w:uiPriority w:val="59"/>
    <w:rsid w:val="00B758B0"/>
    <w:pPr>
      <w:spacing w:before="120"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2E0ACA"/>
    <w:pPr>
      <w:spacing w:after="0" w:line="240" w:lineRule="auto"/>
      <w:ind w:firstLine="0"/>
      <w:jc w:val="left"/>
    </w:pPr>
    <w:rPr>
      <w:sz w:val="24"/>
      <w:lang w:val="es-MX"/>
    </w:rPr>
  </w:style>
  <w:style w:type="paragraph" w:styleId="Textoindependiente">
    <w:name w:val="Body Text"/>
    <w:basedOn w:val="Normal"/>
    <w:link w:val="TextoindependienteCar"/>
    <w:uiPriority w:val="1"/>
    <w:qFormat/>
    <w:rsid w:val="00A213E6"/>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A213E6"/>
    <w:rPr>
      <w:rFonts w:ascii="Arial" w:eastAsia="Arial" w:hAnsi="Arial" w:cs="Arial"/>
      <w:lang w:val="es-ES"/>
    </w:rPr>
  </w:style>
  <w:style w:type="character" w:styleId="Textoennegrita">
    <w:name w:val="Strong"/>
    <w:basedOn w:val="Fuentedeprrafopredeter"/>
    <w:uiPriority w:val="22"/>
    <w:qFormat/>
    <w:rsid w:val="000C2B81"/>
    <w:rPr>
      <w:b/>
      <w:bCs/>
    </w:rPr>
  </w:style>
  <w:style w:type="character" w:styleId="nfasis">
    <w:name w:val="Emphasis"/>
    <w:basedOn w:val="Fuentedeprrafopredeter"/>
    <w:uiPriority w:val="20"/>
    <w:qFormat/>
    <w:rsid w:val="000C2B81"/>
    <w:rPr>
      <w:i/>
      <w:iCs/>
    </w:rPr>
  </w:style>
  <w:style w:type="character" w:customStyle="1" w:styleId="baj">
    <w:name w:val="b_aj"/>
    <w:basedOn w:val="Fuentedeprrafopredeter"/>
    <w:rsid w:val="00F4384D"/>
  </w:style>
  <w:style w:type="character" w:customStyle="1" w:styleId="iaj">
    <w:name w:val="i_aj"/>
    <w:basedOn w:val="Fuentedeprrafopredeter"/>
    <w:rsid w:val="006A300C"/>
  </w:style>
  <w:style w:type="paragraph" w:customStyle="1" w:styleId="margenizq1punto0margender1punto0">
    <w:name w:val="margen_izq_1punto0_margen_der_1punto0"/>
    <w:basedOn w:val="Normal"/>
    <w:rsid w:val="0018065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6636">
      <w:bodyDiv w:val="1"/>
      <w:marLeft w:val="0"/>
      <w:marRight w:val="0"/>
      <w:marTop w:val="0"/>
      <w:marBottom w:val="0"/>
      <w:divBdr>
        <w:top w:val="none" w:sz="0" w:space="0" w:color="auto"/>
        <w:left w:val="none" w:sz="0" w:space="0" w:color="auto"/>
        <w:bottom w:val="none" w:sz="0" w:space="0" w:color="auto"/>
        <w:right w:val="none" w:sz="0" w:space="0" w:color="auto"/>
      </w:divBdr>
    </w:div>
    <w:div w:id="1374310261">
      <w:bodyDiv w:val="1"/>
      <w:marLeft w:val="0"/>
      <w:marRight w:val="0"/>
      <w:marTop w:val="0"/>
      <w:marBottom w:val="0"/>
      <w:divBdr>
        <w:top w:val="none" w:sz="0" w:space="0" w:color="auto"/>
        <w:left w:val="none" w:sz="0" w:space="0" w:color="auto"/>
        <w:bottom w:val="none" w:sz="0" w:space="0" w:color="auto"/>
        <w:right w:val="none" w:sz="0" w:space="0" w:color="auto"/>
      </w:divBdr>
    </w:div>
    <w:div w:id="1694960360">
      <w:bodyDiv w:val="1"/>
      <w:marLeft w:val="0"/>
      <w:marRight w:val="0"/>
      <w:marTop w:val="0"/>
      <w:marBottom w:val="0"/>
      <w:divBdr>
        <w:top w:val="none" w:sz="0" w:space="0" w:color="auto"/>
        <w:left w:val="none" w:sz="0" w:space="0" w:color="auto"/>
        <w:bottom w:val="none" w:sz="0" w:space="0" w:color="auto"/>
        <w:right w:val="none" w:sz="0" w:space="0" w:color="auto"/>
      </w:divBdr>
    </w:div>
    <w:div w:id="21265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660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66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uncionpublica.gov.co/eva/gestornormativo/norma.php?i=7660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660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68B7E-E247-4625-89E8-3CCBC4DE941D}">
  <ds:schemaRefs>
    <ds:schemaRef ds:uri="http://schemas.microsoft.com/office/2006/documentManagement/types"/>
    <ds:schemaRef ds:uri="http://schemas.microsoft.com/office/infopath/2007/PartnerControls"/>
    <ds:schemaRef ds:uri="9d85dbaf-23eb-4e57-a637-93dcacc8b1a1"/>
    <ds:schemaRef ds:uri="http://purl.org/dc/terms/"/>
    <ds:schemaRef ds:uri="http://schemas.openxmlformats.org/package/2006/metadata/core-properties"/>
    <ds:schemaRef ds:uri="http://schemas.microsoft.com/office/2006/metadata/properties"/>
    <ds:schemaRef ds:uri="http://www.w3.org/XML/1998/namespace"/>
    <ds:schemaRef ds:uri="a6cb9e4b-f1d1-4245-83ec-6cad768d538a"/>
    <ds:schemaRef ds:uri="http://purl.org/dc/dcmitype/"/>
    <ds:schemaRef ds:uri="http://purl.org/dc/elements/1.1/"/>
  </ds:schemaRefs>
</ds:datastoreItem>
</file>

<file path=customXml/itemProps2.xml><?xml version="1.0" encoding="utf-8"?>
<ds:datastoreItem xmlns:ds="http://schemas.openxmlformats.org/officeDocument/2006/customXml" ds:itemID="{CAB2A190-5718-437F-BE03-18A939087D50}">
  <ds:schemaRefs>
    <ds:schemaRef ds:uri="http://schemas.openxmlformats.org/officeDocument/2006/bibliography"/>
  </ds:schemaRefs>
</ds:datastoreItem>
</file>

<file path=customXml/itemProps3.xml><?xml version="1.0" encoding="utf-8"?>
<ds:datastoreItem xmlns:ds="http://schemas.openxmlformats.org/officeDocument/2006/customXml" ds:itemID="{C9C8857E-A924-4ABA-8D25-F94DAD32C7F4}">
  <ds:schemaRefs>
    <ds:schemaRef ds:uri="http://schemas.microsoft.com/sharepoint/v3/contenttype/forms"/>
  </ds:schemaRefs>
</ds:datastoreItem>
</file>

<file path=customXml/itemProps4.xml><?xml version="1.0" encoding="utf-8"?>
<ds:datastoreItem xmlns:ds="http://schemas.openxmlformats.org/officeDocument/2006/customXml" ds:itemID="{DFC0460C-A643-401B-9123-49BEB414A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15896</Words>
  <Characters>87432</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Diana Lucia Saavedra</cp:lastModifiedBy>
  <cp:revision>2</cp:revision>
  <dcterms:created xsi:type="dcterms:W3CDTF">2023-03-03T15:36:00Z</dcterms:created>
  <dcterms:modified xsi:type="dcterms:W3CDTF">2023-03-03T15:36:00Z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