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AA9F6" w14:textId="77777777" w:rsidR="00A53A97" w:rsidRPr="00A53A97" w:rsidRDefault="00A53A97" w:rsidP="00A53A97">
      <w:pPr>
        <w:spacing w:after="0" w:line="240" w:lineRule="auto"/>
        <w:jc w:val="both"/>
        <w:rPr>
          <w:rFonts w:ascii="Arial" w:eastAsia="Calibri" w:hAnsi="Arial" w:cs="Arial"/>
          <w:b/>
          <w:sz w:val="20"/>
          <w:szCs w:val="20"/>
          <w:lang w:val="es-ES_tradnl" w:eastAsia="es-MX"/>
        </w:rPr>
      </w:pPr>
      <w:bookmarkStart w:id="0" w:name="_Hlk34951122"/>
      <w:r w:rsidRPr="00A53A97">
        <w:rPr>
          <w:rFonts w:ascii="Arial" w:eastAsia="Calibri" w:hAnsi="Arial" w:cs="Arial"/>
          <w:b/>
          <w:sz w:val="20"/>
          <w:szCs w:val="20"/>
          <w:lang w:val="es-ES_tradnl" w:eastAsia="es-MX"/>
        </w:rPr>
        <w:t xml:space="preserve">PRINCIPIO DE PLANEACIÓN – Estudios Previos – escogencia de la modalidad de selección del contratista </w:t>
      </w:r>
    </w:p>
    <w:p w14:paraId="5DC73E72" w14:textId="77777777" w:rsidR="00A53A97" w:rsidRPr="00A53A97" w:rsidRDefault="00A53A97" w:rsidP="00A53A97">
      <w:pPr>
        <w:spacing w:after="0" w:line="240" w:lineRule="auto"/>
        <w:jc w:val="both"/>
        <w:rPr>
          <w:rFonts w:ascii="Arial" w:eastAsia="Calibri" w:hAnsi="Arial" w:cs="Arial"/>
          <w:b/>
          <w:sz w:val="20"/>
          <w:szCs w:val="20"/>
          <w:lang w:val="es-ES_tradnl" w:eastAsia="es-MX"/>
        </w:rPr>
      </w:pPr>
    </w:p>
    <w:p w14:paraId="3FB393D3" w14:textId="77777777" w:rsidR="00A53A97" w:rsidRPr="00A53A97" w:rsidRDefault="00A53A97" w:rsidP="00A53A97">
      <w:pPr>
        <w:spacing w:after="0" w:line="240" w:lineRule="auto"/>
        <w:jc w:val="both"/>
        <w:rPr>
          <w:rFonts w:ascii="Arial" w:eastAsia="Calibri" w:hAnsi="Arial" w:cs="Arial"/>
          <w:bCs/>
          <w:sz w:val="20"/>
          <w:szCs w:val="20"/>
          <w:lang w:val="es-ES_tradnl" w:eastAsia="es-MX"/>
        </w:rPr>
      </w:pPr>
      <w:r w:rsidRPr="00A53A97">
        <w:rPr>
          <w:rFonts w:ascii="Arial" w:eastAsia="Calibri" w:hAnsi="Arial" w:cs="Arial"/>
          <w:bCs/>
          <w:sz w:val="20"/>
          <w:szCs w:val="20"/>
          <w:lang w:val="es-ES_tradnl" w:eastAsia="es-MX"/>
        </w:rPr>
        <w:t>De lo anterior se desprende que una de las exigencias normativas, que al mismo tiempo se erige como contenido propio del deber de planeación en la contratación estatal, consiste en justificar debidamente la modalidad escogida para la selección del contratista. Lo anterior, dado que cada una de dichas modalidades, por un lado, cuenta con causales específicas y de aplicación restrictiva, como resulta suceder, por ejemplo, con la contratación directa, y, además, por cuanto ha sido intención del legislador lograr que con el diseño de cada una de dichas modalidades de selección se atienda de manera adecuada e idónea a la necesidad de la entidad contratante, a la naturaleza del objeto a contratar y a las circunstancias propias de la contratación. Por ende, la escogencia correcta del procedimiento de selección es un aspecto que no obedece a un aspecto meramente formal; sino que, por el contrario, atiende y pretende la mejor y óptima aplicación de los principios que guían la función administrativa.</w:t>
      </w:r>
    </w:p>
    <w:p w14:paraId="673ADB85" w14:textId="77777777" w:rsidR="00A53A97" w:rsidRPr="00A53A97" w:rsidRDefault="00A53A97" w:rsidP="00A53A97">
      <w:pPr>
        <w:spacing w:after="0" w:line="240" w:lineRule="auto"/>
        <w:jc w:val="both"/>
        <w:rPr>
          <w:rFonts w:ascii="Arial" w:eastAsia="Calibri" w:hAnsi="Arial" w:cs="Arial"/>
          <w:bCs/>
          <w:sz w:val="20"/>
          <w:szCs w:val="20"/>
          <w:lang w:val="es-ES_tradnl" w:eastAsia="es-MX"/>
        </w:rPr>
      </w:pPr>
      <w:r w:rsidRPr="00A53A97">
        <w:rPr>
          <w:rFonts w:ascii="Arial" w:eastAsia="Calibri" w:hAnsi="Arial" w:cs="Arial"/>
          <w:bCs/>
          <w:sz w:val="20"/>
          <w:szCs w:val="20"/>
          <w:lang w:val="es-ES_tradnl" w:eastAsia="es-MX"/>
        </w:rPr>
        <w:t xml:space="preserve">  </w:t>
      </w:r>
    </w:p>
    <w:p w14:paraId="58045D4C" w14:textId="77777777" w:rsidR="00A53A97" w:rsidRPr="00A53A97" w:rsidRDefault="00A53A97" w:rsidP="00A53A97">
      <w:pPr>
        <w:spacing w:after="0" w:line="240" w:lineRule="auto"/>
        <w:jc w:val="both"/>
        <w:rPr>
          <w:rFonts w:ascii="Arial" w:eastAsia="Calibri" w:hAnsi="Arial" w:cs="Arial"/>
          <w:bCs/>
          <w:sz w:val="20"/>
          <w:szCs w:val="20"/>
          <w:lang w:val="es-ES_tradnl" w:eastAsia="es-MX"/>
        </w:rPr>
      </w:pPr>
      <w:r w:rsidRPr="00A53A97">
        <w:rPr>
          <w:rFonts w:ascii="Arial" w:eastAsia="Calibri" w:hAnsi="Arial" w:cs="Arial"/>
          <w:bCs/>
          <w:sz w:val="20"/>
          <w:szCs w:val="20"/>
          <w:lang w:val="es-ES_tradnl" w:eastAsia="es-MX"/>
        </w:rPr>
        <w:t>Por esta razón, el parágrafo 1 del artículo 2 de la Ley 1150 de 2007 claramente determina el deber de la entidad pública de justificar la escogencia de esta o aquella modalidad de selección, en los siguientes términos: «La entidad deberá justificar de manera previa a la apertura del proceso de selección de que se trate, los fundamentos jurídicos que soportan la modalidad de selección que se propone adelantar».</w:t>
      </w:r>
    </w:p>
    <w:p w14:paraId="3A7C2099" w14:textId="77777777" w:rsidR="00A53A97" w:rsidRPr="00A53A97" w:rsidRDefault="00A53A97" w:rsidP="00A53A97">
      <w:pPr>
        <w:spacing w:after="0" w:line="240" w:lineRule="auto"/>
        <w:jc w:val="both"/>
        <w:rPr>
          <w:rFonts w:ascii="Arial" w:eastAsia="Calibri" w:hAnsi="Arial" w:cs="Arial"/>
          <w:b/>
          <w:sz w:val="20"/>
          <w:szCs w:val="20"/>
          <w:lang w:val="es-ES_tradnl" w:eastAsia="es-MX"/>
        </w:rPr>
      </w:pPr>
    </w:p>
    <w:p w14:paraId="46FB6E50" w14:textId="77777777" w:rsidR="00A53A97" w:rsidRPr="00A53A97" w:rsidRDefault="00A53A97" w:rsidP="00A53A97">
      <w:pPr>
        <w:spacing w:after="0" w:line="240" w:lineRule="auto"/>
        <w:jc w:val="both"/>
        <w:rPr>
          <w:rFonts w:ascii="Arial" w:eastAsia="Calibri" w:hAnsi="Arial" w:cs="Arial"/>
          <w:b/>
          <w:sz w:val="20"/>
          <w:szCs w:val="20"/>
          <w:lang w:val="es-ES_tradnl" w:eastAsia="es-MX"/>
        </w:rPr>
      </w:pPr>
      <w:r w:rsidRPr="00A53A97">
        <w:rPr>
          <w:rFonts w:ascii="Arial" w:eastAsia="Calibri" w:hAnsi="Arial" w:cs="Arial"/>
          <w:b/>
          <w:sz w:val="20"/>
          <w:szCs w:val="20"/>
          <w:lang w:val="es-ES_tradnl" w:eastAsia="es-MX"/>
        </w:rPr>
        <w:t xml:space="preserve">CONCURRENCIA DE MODALIDADES DE SELECCIÓN – Mínima cuantía – Contratación directa </w:t>
      </w:r>
    </w:p>
    <w:p w14:paraId="36C3E002" w14:textId="77777777" w:rsidR="00A53A97" w:rsidRPr="00A53A97" w:rsidRDefault="00A53A97" w:rsidP="00A53A97">
      <w:pPr>
        <w:spacing w:after="0" w:line="240" w:lineRule="auto"/>
        <w:jc w:val="both"/>
        <w:rPr>
          <w:rFonts w:ascii="Arial" w:eastAsia="Calibri" w:hAnsi="Arial" w:cs="Arial"/>
          <w:b/>
          <w:sz w:val="20"/>
          <w:szCs w:val="20"/>
          <w:lang w:val="es-ES_tradnl" w:eastAsia="es-MX"/>
        </w:rPr>
      </w:pPr>
    </w:p>
    <w:p w14:paraId="13758A9D" w14:textId="50971334" w:rsidR="00A53A97" w:rsidRPr="00A53A97" w:rsidRDefault="00A53A97" w:rsidP="00A53A97">
      <w:pPr>
        <w:spacing w:after="120" w:line="240" w:lineRule="auto"/>
        <w:jc w:val="both"/>
        <w:rPr>
          <w:rFonts w:ascii="Arial" w:eastAsia="Times New Roman" w:hAnsi="Arial" w:cs="Arial"/>
          <w:color w:val="000000"/>
          <w:sz w:val="20"/>
          <w:szCs w:val="20"/>
          <w:lang w:val="es-ES_tradnl" w:eastAsia="es-ES"/>
        </w:rPr>
      </w:pPr>
      <w:r w:rsidRPr="00A53A97">
        <w:rPr>
          <w:rFonts w:ascii="Arial" w:eastAsia="Times New Roman" w:hAnsi="Arial" w:cs="Arial"/>
          <w:color w:val="000000"/>
          <w:sz w:val="20"/>
          <w:szCs w:val="20"/>
          <w:lang w:val="es-ES_tradnl" w:eastAsia="es-ES"/>
        </w:rPr>
        <w:t xml:space="preserve">Mediante el artículo 2 de la Ley 1150 de 2007 se determinaron las modalidades de selección aplicables a las entidades sometidas al Estatuto General de Contratación de la Administración Pública, indicando que: «[…] la escogencia del contratista se efectuará por regla general bajo la modalidad de licitación pública, con las excepciones que se señalan en los numerales 2, 3 y 4 del presente artículo». Particularmente, en el numeral 4 se estableció la modalidad de selección por contratación </w:t>
      </w:r>
      <w:r w:rsidR="003B771E" w:rsidRPr="00A53A97">
        <w:rPr>
          <w:rFonts w:ascii="Arial" w:eastAsia="Times New Roman" w:hAnsi="Arial" w:cs="Arial"/>
          <w:color w:val="000000"/>
          <w:sz w:val="20"/>
          <w:szCs w:val="20"/>
          <w:lang w:val="es-ES_tradnl" w:eastAsia="es-ES"/>
        </w:rPr>
        <w:t>directa,</w:t>
      </w:r>
      <w:r w:rsidRPr="00A53A97">
        <w:rPr>
          <w:rFonts w:ascii="Arial" w:eastAsia="Times New Roman" w:hAnsi="Arial" w:cs="Arial"/>
          <w:color w:val="000000"/>
          <w:sz w:val="20"/>
          <w:szCs w:val="20"/>
          <w:lang w:val="es-ES_tradnl" w:eastAsia="es-ES"/>
        </w:rPr>
        <w:t xml:space="preserve"> mientras que en el numeral 5 ibidem, se reguló la modalidad de contratación de mínima cuantía, determinando mandatos especiales para su procedimiento, que se aplicará cuando el valor de la contratación «no excede del 10 por ciento de la menor cuantía de la entidad independientemente de su objeto».</w:t>
      </w:r>
    </w:p>
    <w:p w14:paraId="1F53735E" w14:textId="01B2FA61" w:rsidR="00A53A97" w:rsidRPr="00A53A97" w:rsidRDefault="00A53A97" w:rsidP="00A53A97">
      <w:pPr>
        <w:spacing w:after="120" w:line="240" w:lineRule="auto"/>
        <w:jc w:val="both"/>
        <w:rPr>
          <w:rFonts w:ascii="Arial" w:eastAsia="Times New Roman" w:hAnsi="Arial" w:cs="Arial"/>
          <w:color w:val="000000"/>
          <w:sz w:val="20"/>
          <w:szCs w:val="20"/>
          <w:lang w:val="es-ES_tradnl" w:eastAsia="es-ES"/>
        </w:rPr>
      </w:pPr>
      <w:r w:rsidRPr="00A53A97">
        <w:rPr>
          <w:rFonts w:ascii="Arial" w:eastAsia="Times New Roman" w:hAnsi="Arial" w:cs="Arial"/>
          <w:color w:val="000000"/>
          <w:sz w:val="20"/>
          <w:szCs w:val="20"/>
          <w:lang w:val="es-ES_tradnl" w:eastAsia="es-ES"/>
        </w:rPr>
        <w:t xml:space="preserve">[…]cuando hay una posible concurrencia entre las modalidades de selección de mínima cuantía y de contratación directa, según el estudio previo de la justificación de la modalidad de selección que la </w:t>
      </w:r>
      <w:r w:rsidR="00BB6E46">
        <w:rPr>
          <w:rFonts w:ascii="Arial" w:eastAsia="Times New Roman" w:hAnsi="Arial" w:cs="Arial"/>
          <w:color w:val="000000"/>
          <w:sz w:val="20"/>
          <w:szCs w:val="20"/>
          <w:lang w:val="es-ES_tradnl" w:eastAsia="es-ES"/>
        </w:rPr>
        <w:t>Entidad Estatal</w:t>
      </w:r>
      <w:r w:rsidRPr="00A53A97">
        <w:rPr>
          <w:rFonts w:ascii="Arial" w:eastAsia="Times New Roman" w:hAnsi="Arial" w:cs="Arial"/>
          <w:color w:val="000000"/>
          <w:sz w:val="20"/>
          <w:szCs w:val="20"/>
          <w:lang w:val="es-ES_tradnl" w:eastAsia="es-ES"/>
        </w:rPr>
        <w:t xml:space="preserve"> puede utilizar en el proceso de contratación, puede acudir a la utilización de la contratación directa, cuyas causales especiales previstas en la norma justificarían su utilización, con lo cual también se daría aplicación a los fines del principio de economía de la contratación estatal, que busca que los procedimientos y etapas de la selección de la propuesta más favorable se haga con austeridad de tiempos , medios y gastos.</w:t>
      </w:r>
    </w:p>
    <w:p w14:paraId="5F7D97D1" w14:textId="77777777" w:rsidR="00A53A97" w:rsidRPr="00A53A97" w:rsidRDefault="00A53A97" w:rsidP="00A53A97">
      <w:pPr>
        <w:spacing w:after="0" w:line="276" w:lineRule="auto"/>
        <w:rPr>
          <w:rFonts w:ascii="Arial" w:eastAsia="Calibri" w:hAnsi="Arial" w:cs="Arial"/>
          <w:b/>
          <w:szCs w:val="24"/>
          <w:lang w:val="es-ES_tradnl" w:eastAsia="es-MX"/>
        </w:rPr>
      </w:pPr>
    </w:p>
    <w:p w14:paraId="70360F61" w14:textId="77777777" w:rsidR="00A53A97" w:rsidRPr="00A53A97" w:rsidRDefault="00A53A97" w:rsidP="00A53A97">
      <w:pPr>
        <w:spacing w:after="0" w:line="276" w:lineRule="auto"/>
        <w:rPr>
          <w:rFonts w:ascii="Arial" w:eastAsia="Calibri" w:hAnsi="Arial" w:cs="Arial"/>
          <w:b/>
          <w:szCs w:val="24"/>
          <w:lang w:val="es-ES_tradnl" w:eastAsia="es-MX"/>
        </w:rPr>
      </w:pPr>
    </w:p>
    <w:p w14:paraId="64F8F000" w14:textId="77777777" w:rsidR="00A53A97" w:rsidRPr="00A53A97" w:rsidRDefault="00A53A97" w:rsidP="00A53A97">
      <w:pPr>
        <w:spacing w:after="0" w:line="276" w:lineRule="auto"/>
        <w:rPr>
          <w:rFonts w:ascii="Arial" w:eastAsia="Calibri" w:hAnsi="Arial" w:cs="Arial"/>
          <w:b/>
          <w:szCs w:val="24"/>
          <w:lang w:val="es-ES_tradnl" w:eastAsia="es-MX"/>
        </w:rPr>
      </w:pPr>
    </w:p>
    <w:p w14:paraId="3D1C2244" w14:textId="77777777" w:rsidR="00A53A97" w:rsidRDefault="00A53A97" w:rsidP="00A53A97">
      <w:pPr>
        <w:spacing w:after="0" w:line="276" w:lineRule="auto"/>
        <w:rPr>
          <w:rFonts w:ascii="Arial" w:eastAsia="Calibri" w:hAnsi="Arial" w:cs="Arial"/>
          <w:b/>
          <w:szCs w:val="24"/>
          <w:lang w:val="es-ES_tradnl" w:eastAsia="es-MX"/>
        </w:rPr>
      </w:pPr>
    </w:p>
    <w:p w14:paraId="043E2C66" w14:textId="77777777" w:rsidR="00132AED" w:rsidRDefault="00132AED" w:rsidP="00A53A97">
      <w:pPr>
        <w:spacing w:after="0" w:line="276" w:lineRule="auto"/>
        <w:rPr>
          <w:rFonts w:ascii="Arial" w:eastAsia="Calibri" w:hAnsi="Arial" w:cs="Arial"/>
          <w:b/>
          <w:szCs w:val="24"/>
          <w:lang w:val="es-ES_tradnl" w:eastAsia="es-MX"/>
        </w:rPr>
      </w:pPr>
    </w:p>
    <w:p w14:paraId="2CA6EF10" w14:textId="77777777" w:rsidR="00132AED" w:rsidRDefault="00132AED" w:rsidP="00A53A97">
      <w:pPr>
        <w:spacing w:after="0" w:line="276" w:lineRule="auto"/>
        <w:rPr>
          <w:rFonts w:ascii="Arial" w:eastAsia="Calibri" w:hAnsi="Arial" w:cs="Arial"/>
          <w:b/>
          <w:szCs w:val="24"/>
          <w:lang w:val="es-ES_tradnl" w:eastAsia="es-MX"/>
        </w:rPr>
      </w:pPr>
    </w:p>
    <w:p w14:paraId="4F0A7F4F" w14:textId="77777777" w:rsidR="00132AED" w:rsidRDefault="00132AED" w:rsidP="00A53A97">
      <w:pPr>
        <w:spacing w:after="0" w:line="276" w:lineRule="auto"/>
        <w:rPr>
          <w:rFonts w:ascii="Arial" w:eastAsia="Calibri" w:hAnsi="Arial" w:cs="Arial"/>
          <w:b/>
          <w:szCs w:val="24"/>
          <w:lang w:val="es-ES_tradnl" w:eastAsia="es-MX"/>
        </w:rPr>
      </w:pPr>
    </w:p>
    <w:p w14:paraId="2D84E372" w14:textId="77777777" w:rsidR="00132AED" w:rsidRDefault="00132AED" w:rsidP="00A53A97">
      <w:pPr>
        <w:spacing w:after="0" w:line="276" w:lineRule="auto"/>
        <w:rPr>
          <w:rFonts w:ascii="Arial" w:eastAsia="Calibri" w:hAnsi="Arial" w:cs="Arial"/>
          <w:b/>
          <w:szCs w:val="24"/>
          <w:lang w:val="es-ES_tradnl" w:eastAsia="es-MX"/>
        </w:rPr>
      </w:pPr>
    </w:p>
    <w:p w14:paraId="02290E21" w14:textId="77777777" w:rsidR="003B771E" w:rsidRDefault="003B771E" w:rsidP="00A53A97">
      <w:pPr>
        <w:spacing w:after="0" w:line="276" w:lineRule="auto"/>
        <w:rPr>
          <w:rFonts w:ascii="Arial" w:eastAsia="Calibri" w:hAnsi="Arial" w:cs="Arial"/>
          <w:b/>
          <w:szCs w:val="24"/>
          <w:lang w:val="es-ES_tradnl" w:eastAsia="es-MX"/>
        </w:rPr>
      </w:pPr>
    </w:p>
    <w:p w14:paraId="17BD5292" w14:textId="77777777" w:rsidR="00132AED" w:rsidRPr="00A53A97" w:rsidRDefault="00132AED" w:rsidP="00A53A97">
      <w:pPr>
        <w:spacing w:after="0" w:line="276" w:lineRule="auto"/>
        <w:rPr>
          <w:rFonts w:ascii="Arial" w:eastAsia="Calibri" w:hAnsi="Arial" w:cs="Arial"/>
          <w:b/>
          <w:szCs w:val="24"/>
          <w:lang w:val="es-ES_tradnl" w:eastAsia="es-MX"/>
        </w:rPr>
      </w:pPr>
    </w:p>
    <w:p w14:paraId="7B5B649D" w14:textId="32E565A5" w:rsidR="00A53A97" w:rsidRDefault="00A53A97" w:rsidP="00A53A97">
      <w:pPr>
        <w:spacing w:after="0" w:line="276" w:lineRule="auto"/>
        <w:rPr>
          <w:rFonts w:ascii="Arial" w:eastAsia="Times New Roman" w:hAnsi="Arial" w:cs="Arial"/>
          <w:lang w:eastAsia="es-MX"/>
        </w:rPr>
      </w:pPr>
      <w:r w:rsidRPr="00A53A97">
        <w:rPr>
          <w:rFonts w:ascii="Arial" w:eastAsia="Times New Roman" w:hAnsi="Arial" w:cs="Arial"/>
          <w:lang w:eastAsia="es-MX"/>
        </w:rPr>
        <w:lastRenderedPageBreak/>
        <w:t xml:space="preserve">Bogotá, </w:t>
      </w:r>
      <w:r w:rsidR="002A7E2D">
        <w:rPr>
          <w:rFonts w:ascii="Arial" w:eastAsia="Times New Roman" w:hAnsi="Arial" w:cs="Arial"/>
          <w:lang w:eastAsia="es-MX"/>
        </w:rPr>
        <w:t>29 de diciembre de 2022</w:t>
      </w:r>
      <w:r w:rsidR="00747896">
        <w:rPr>
          <w:rFonts w:ascii="Arial" w:eastAsia="Times New Roman" w:hAnsi="Arial" w:cs="Arial"/>
          <w:lang w:eastAsia="es-MX"/>
        </w:rPr>
        <w:t xml:space="preserve">.           </w:t>
      </w:r>
      <w:r w:rsidR="00747896" w:rsidRPr="00747896">
        <w:rPr>
          <w:rFonts w:ascii="Arial" w:eastAsia="Times New Roman" w:hAnsi="Arial" w:cs="Arial"/>
          <w:noProof/>
          <w:lang w:eastAsia="es-MX"/>
        </w:rPr>
        <w:drawing>
          <wp:inline distT="0" distB="0" distL="0" distR="0" wp14:anchorId="2579301A" wp14:editId="11D45897">
            <wp:extent cx="3176081" cy="78981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05001" cy="797011"/>
                    </a:xfrm>
                    <a:prstGeom prst="rect">
                      <a:avLst/>
                    </a:prstGeom>
                  </pic:spPr>
                </pic:pic>
              </a:graphicData>
            </a:graphic>
          </wp:inline>
        </w:drawing>
      </w:r>
    </w:p>
    <w:p w14:paraId="048E0496" w14:textId="77777777" w:rsidR="002A7E2D" w:rsidRPr="00A53A97" w:rsidRDefault="002A7E2D" w:rsidP="00A53A97">
      <w:pPr>
        <w:spacing w:after="0" w:line="276" w:lineRule="auto"/>
        <w:rPr>
          <w:rFonts w:ascii="Arial" w:eastAsia="Calibri" w:hAnsi="Arial" w:cs="Arial"/>
          <w:lang w:val="es-MX" w:eastAsia="es-MX"/>
        </w:rPr>
      </w:pPr>
    </w:p>
    <w:p w14:paraId="7C2FDA09" w14:textId="77777777" w:rsidR="00A53A97" w:rsidRPr="00A53A97" w:rsidRDefault="00A53A97" w:rsidP="00A53A97">
      <w:pPr>
        <w:spacing w:after="0" w:line="240" w:lineRule="auto"/>
        <w:jc w:val="both"/>
        <w:rPr>
          <w:rFonts w:ascii="Arial" w:eastAsia="Times New Roman" w:hAnsi="Arial" w:cs="Arial"/>
          <w:b/>
          <w:color w:val="000000"/>
          <w:lang w:val="es-ES_tradnl" w:eastAsia="es-MX"/>
        </w:rPr>
      </w:pPr>
    </w:p>
    <w:p w14:paraId="52CC86FA" w14:textId="77777777" w:rsidR="00A53A97" w:rsidRPr="00A53A97" w:rsidRDefault="00A53A97" w:rsidP="00A53A97">
      <w:pPr>
        <w:spacing w:after="0" w:line="276" w:lineRule="auto"/>
        <w:jc w:val="both"/>
        <w:rPr>
          <w:rFonts w:ascii="Arial" w:eastAsia="Calibri" w:hAnsi="Arial" w:cs="Arial"/>
          <w:bCs/>
          <w:color w:val="000000"/>
          <w:lang w:val="es-ES_tradnl" w:eastAsia="es-MX"/>
        </w:rPr>
      </w:pPr>
      <w:r w:rsidRPr="00A53A97">
        <w:rPr>
          <w:rFonts w:ascii="Arial" w:eastAsia="Calibri" w:hAnsi="Arial" w:cs="Arial"/>
          <w:bCs/>
          <w:color w:val="000000"/>
          <w:lang w:val="es-ES_tradnl" w:eastAsia="es-MX"/>
        </w:rPr>
        <w:t>Doctora</w:t>
      </w:r>
    </w:p>
    <w:p w14:paraId="0B62FA78" w14:textId="77777777" w:rsidR="00A53A97" w:rsidRDefault="00A53A97" w:rsidP="00A53A97">
      <w:pPr>
        <w:spacing w:after="0" w:line="276" w:lineRule="auto"/>
        <w:jc w:val="both"/>
        <w:rPr>
          <w:rFonts w:ascii="Arial" w:eastAsia="Calibri" w:hAnsi="Arial" w:cs="Arial"/>
          <w:b/>
          <w:color w:val="000000"/>
          <w:lang w:val="es-ES_tradnl" w:eastAsia="es-MX"/>
        </w:rPr>
      </w:pPr>
      <w:r w:rsidRPr="00A53A97">
        <w:rPr>
          <w:rFonts w:ascii="Arial" w:eastAsia="Calibri" w:hAnsi="Arial" w:cs="Arial"/>
          <w:b/>
          <w:color w:val="000000"/>
          <w:lang w:val="es-ES_tradnl" w:eastAsia="es-MX"/>
        </w:rPr>
        <w:t>Juliana Gutiérrez</w:t>
      </w:r>
    </w:p>
    <w:p w14:paraId="6F0F2876" w14:textId="74364791" w:rsidR="007B284F" w:rsidRDefault="00490C41" w:rsidP="00A53A97">
      <w:pPr>
        <w:spacing w:after="0" w:line="276" w:lineRule="auto"/>
        <w:jc w:val="both"/>
        <w:rPr>
          <w:rFonts w:ascii="Arial" w:eastAsia="Calibri" w:hAnsi="Arial" w:cs="Arial"/>
          <w:b/>
          <w:color w:val="000000"/>
          <w:lang w:val="es-ES_tradnl" w:eastAsia="es-MX"/>
        </w:rPr>
      </w:pPr>
      <w:hyperlink r:id="rId12" w:history="1">
        <w:r w:rsidR="00C53F90" w:rsidRPr="008E179A">
          <w:rPr>
            <w:rStyle w:val="Hipervnculo"/>
            <w:rFonts w:ascii="Arial" w:eastAsia="Calibri" w:hAnsi="Arial" w:cs="Arial"/>
            <w:b/>
            <w:lang w:val="es-ES_tradnl" w:eastAsia="es-MX"/>
          </w:rPr>
          <w:t>lidercontramed@cendoj.ramajudicial.gov.co</w:t>
        </w:r>
      </w:hyperlink>
      <w:r w:rsidR="00C53F90">
        <w:rPr>
          <w:rFonts w:ascii="Arial" w:eastAsia="Calibri" w:hAnsi="Arial" w:cs="Arial"/>
          <w:b/>
          <w:color w:val="000000"/>
          <w:lang w:val="es-ES_tradnl" w:eastAsia="es-MX"/>
        </w:rPr>
        <w:t xml:space="preserve">  </w:t>
      </w:r>
    </w:p>
    <w:p w14:paraId="6F2F724E" w14:textId="3369708A" w:rsidR="00A53A97" w:rsidRPr="00A53A97" w:rsidRDefault="00A53A97" w:rsidP="00A53A97">
      <w:pPr>
        <w:spacing w:after="0" w:line="276" w:lineRule="auto"/>
        <w:jc w:val="both"/>
        <w:rPr>
          <w:rFonts w:ascii="Arial" w:eastAsia="Calibri" w:hAnsi="Arial" w:cs="Arial"/>
          <w:bCs/>
          <w:color w:val="000000"/>
          <w:lang w:val="es-ES_tradnl" w:eastAsia="es-MX"/>
        </w:rPr>
      </w:pPr>
      <w:r w:rsidRPr="00A53A97">
        <w:rPr>
          <w:rFonts w:ascii="Arial" w:eastAsia="Calibri" w:hAnsi="Arial" w:cs="Arial"/>
          <w:bCs/>
          <w:color w:val="000000"/>
          <w:lang w:val="es-ES_tradnl" w:eastAsia="es-MX"/>
        </w:rPr>
        <w:t>Dirección Seccional de Administración Judicial Medellín</w:t>
      </w:r>
    </w:p>
    <w:p w14:paraId="0A411AB1" w14:textId="77777777" w:rsidR="00A53A97" w:rsidRPr="00A53A97" w:rsidRDefault="00A53A97" w:rsidP="00A53A97">
      <w:pPr>
        <w:spacing w:after="0" w:line="276" w:lineRule="auto"/>
        <w:jc w:val="both"/>
        <w:rPr>
          <w:rFonts w:ascii="Arial" w:eastAsia="Calibri" w:hAnsi="Arial" w:cs="Arial"/>
          <w:bCs/>
          <w:color w:val="000000"/>
          <w:lang w:val="es-ES_tradnl" w:eastAsia="es-MX"/>
        </w:rPr>
      </w:pPr>
      <w:r w:rsidRPr="00A53A97">
        <w:rPr>
          <w:rFonts w:ascii="Arial" w:eastAsia="Calibri" w:hAnsi="Arial" w:cs="Arial"/>
          <w:bCs/>
          <w:color w:val="000000"/>
          <w:lang w:val="es-ES_tradnl" w:eastAsia="es-MX"/>
        </w:rPr>
        <w:t>Consejo Superior de la Judicatura</w:t>
      </w:r>
    </w:p>
    <w:p w14:paraId="7EA9B19E" w14:textId="77777777" w:rsidR="00A53A97" w:rsidRPr="00A53A97" w:rsidRDefault="00A53A97" w:rsidP="00A53A97">
      <w:pPr>
        <w:spacing w:after="0" w:line="240" w:lineRule="auto"/>
        <w:jc w:val="both"/>
        <w:rPr>
          <w:rFonts w:ascii="Arial" w:eastAsia="Calibri" w:hAnsi="Arial" w:cs="Arial"/>
          <w:color w:val="000000"/>
          <w:lang w:val="es-ES_tradnl" w:eastAsia="es-MX"/>
        </w:rPr>
      </w:pPr>
    </w:p>
    <w:p w14:paraId="4F0FF8E0" w14:textId="77777777" w:rsidR="00A53A97" w:rsidRPr="00A53A97" w:rsidRDefault="00A53A97" w:rsidP="00A53A97">
      <w:pPr>
        <w:spacing w:after="0" w:line="240" w:lineRule="auto"/>
        <w:ind w:left="707" w:firstLine="709"/>
        <w:rPr>
          <w:rFonts w:ascii="Arial" w:eastAsia="Calibri" w:hAnsi="Arial" w:cs="Arial"/>
          <w:b/>
          <w:bCs/>
          <w:color w:val="000000"/>
          <w:lang w:val="es-ES_tradnl" w:eastAsia="es-MX"/>
        </w:rPr>
      </w:pPr>
      <w:r w:rsidRPr="00A53A97">
        <w:rPr>
          <w:rFonts w:ascii="Arial" w:eastAsia="Calibri" w:hAnsi="Arial" w:cs="Arial"/>
          <w:b/>
          <w:bCs/>
          <w:color w:val="000000"/>
          <w:lang w:val="es-ES_tradnl" w:eastAsia="es-MX"/>
        </w:rPr>
        <w:t xml:space="preserve">                     Concepto C ‒ 927 de 2022</w:t>
      </w:r>
    </w:p>
    <w:p w14:paraId="32CB9A98" w14:textId="77777777" w:rsidR="00A53A97" w:rsidRPr="00A53A97" w:rsidRDefault="00A53A97" w:rsidP="00A53A97">
      <w:pPr>
        <w:spacing w:after="0" w:line="240" w:lineRule="auto"/>
        <w:ind w:firstLine="709"/>
        <w:jc w:val="both"/>
        <w:rPr>
          <w:rFonts w:ascii="Arial" w:eastAsia="Calibri" w:hAnsi="Arial" w:cs="Arial"/>
          <w:color w:val="000000"/>
          <w:lang w:val="es-ES_tradnl" w:eastAsia="es-MX"/>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53A97" w:rsidRPr="00A53A97" w14:paraId="38AC0ABA" w14:textId="77777777" w:rsidTr="001A6815">
        <w:tc>
          <w:tcPr>
            <w:tcW w:w="2689" w:type="dxa"/>
          </w:tcPr>
          <w:p w14:paraId="47F67E4D" w14:textId="77777777" w:rsidR="00A53A97" w:rsidRPr="00A53A97" w:rsidRDefault="00A53A97" w:rsidP="00A53A97">
            <w:pPr>
              <w:rPr>
                <w:rFonts w:ascii="Arial" w:eastAsia="Calibri" w:hAnsi="Arial" w:cs="Arial"/>
                <w:color w:val="000000"/>
                <w:lang w:val="es-ES_tradnl" w:eastAsia="es-MX"/>
              </w:rPr>
            </w:pPr>
            <w:r w:rsidRPr="00A53A97">
              <w:rPr>
                <w:rFonts w:ascii="Arial" w:eastAsia="Calibri" w:hAnsi="Arial" w:cs="Arial"/>
                <w:b/>
                <w:color w:val="000000"/>
                <w:lang w:val="es-ES_tradnl" w:eastAsia="es-MX"/>
              </w:rPr>
              <w:t>Temas:</w:t>
            </w:r>
            <w:r w:rsidRPr="00A53A97">
              <w:rPr>
                <w:rFonts w:ascii="Arial" w:eastAsia="Calibri" w:hAnsi="Arial" w:cs="Arial"/>
                <w:color w:val="000000"/>
                <w:lang w:val="es-ES_tradnl" w:eastAsia="es-MX"/>
              </w:rPr>
              <w:t xml:space="preserve">                                      </w:t>
            </w:r>
          </w:p>
        </w:tc>
        <w:tc>
          <w:tcPr>
            <w:tcW w:w="6237" w:type="dxa"/>
          </w:tcPr>
          <w:p w14:paraId="56583BF1" w14:textId="77777777" w:rsidR="00A53A97" w:rsidRPr="00A53A97" w:rsidRDefault="00A53A97" w:rsidP="00A53A97">
            <w:pPr>
              <w:rPr>
                <w:rFonts w:ascii="Arial" w:eastAsia="Calibri" w:hAnsi="Arial" w:cs="Arial"/>
                <w:bCs/>
                <w:lang w:val="es-ES_tradnl" w:eastAsia="es-MX"/>
              </w:rPr>
            </w:pPr>
            <w:r w:rsidRPr="00A53A97">
              <w:rPr>
                <w:rFonts w:ascii="Arial" w:eastAsia="Calibri" w:hAnsi="Arial" w:cs="Arial"/>
                <w:bCs/>
                <w:lang w:val="es-ES_tradnl" w:eastAsia="es-MX"/>
              </w:rPr>
              <w:t>PRINCIPIO DE PLANEACIÓN – Estudios Previos – escogencia de la modalidad de selección del contratista CONCURRENCIA DE MODALIDADES DE SELECCIÓN – Mínima cuantía – Contratación Directa</w:t>
            </w:r>
          </w:p>
          <w:p w14:paraId="120082F1" w14:textId="77777777" w:rsidR="00A53A97" w:rsidRPr="00A53A97" w:rsidRDefault="00A53A97" w:rsidP="00A53A97">
            <w:pPr>
              <w:rPr>
                <w:rFonts w:ascii="Arial" w:eastAsia="Calibri" w:hAnsi="Arial" w:cs="Arial"/>
                <w:color w:val="000000"/>
                <w:lang w:val="es-ES_tradnl" w:eastAsia="es-MX"/>
              </w:rPr>
            </w:pPr>
          </w:p>
        </w:tc>
      </w:tr>
      <w:tr w:rsidR="00A53A97" w:rsidRPr="00A53A97" w14:paraId="0F15C2F1" w14:textId="77777777" w:rsidTr="001A6815">
        <w:trPr>
          <w:trHeight w:val="67"/>
        </w:trPr>
        <w:tc>
          <w:tcPr>
            <w:tcW w:w="2689" w:type="dxa"/>
          </w:tcPr>
          <w:p w14:paraId="3B245DBC" w14:textId="77777777" w:rsidR="00A53A97" w:rsidRPr="00A53A97" w:rsidRDefault="00A53A97" w:rsidP="00A53A97">
            <w:pPr>
              <w:spacing w:before="120"/>
              <w:rPr>
                <w:rFonts w:ascii="Arial" w:eastAsia="Calibri" w:hAnsi="Arial" w:cs="Arial"/>
                <w:b/>
                <w:color w:val="000000"/>
                <w:lang w:val="es-ES_tradnl" w:eastAsia="es-MX"/>
              </w:rPr>
            </w:pPr>
            <w:r w:rsidRPr="00A53A97">
              <w:rPr>
                <w:rFonts w:ascii="Arial" w:eastAsia="Calibri" w:hAnsi="Arial" w:cs="Arial"/>
                <w:b/>
                <w:color w:val="000000"/>
                <w:lang w:val="es-ES_tradnl" w:eastAsia="es-MX"/>
              </w:rPr>
              <w:t>Radicación:</w:t>
            </w:r>
            <w:r w:rsidRPr="00A53A97">
              <w:rPr>
                <w:rFonts w:ascii="Arial" w:eastAsia="Calibri" w:hAnsi="Arial" w:cs="Arial"/>
                <w:color w:val="000000"/>
                <w:lang w:val="es-ES_tradnl" w:eastAsia="es-MX"/>
              </w:rPr>
              <w:t xml:space="preserve">                              </w:t>
            </w:r>
          </w:p>
        </w:tc>
        <w:tc>
          <w:tcPr>
            <w:tcW w:w="6237" w:type="dxa"/>
          </w:tcPr>
          <w:p w14:paraId="7D2CB8CE" w14:textId="77777777" w:rsidR="00A53A97" w:rsidRPr="00A53A97" w:rsidRDefault="00A53A97" w:rsidP="00A53A97">
            <w:pPr>
              <w:rPr>
                <w:rFonts w:ascii="Arial" w:eastAsia="Times New Roman" w:hAnsi="Arial" w:cs="Arial"/>
                <w:lang w:eastAsia="es-MX"/>
              </w:rPr>
            </w:pPr>
            <w:r w:rsidRPr="00A53A97">
              <w:rPr>
                <w:rFonts w:ascii="Arial" w:eastAsia="Calibri" w:hAnsi="Arial" w:cs="Arial"/>
                <w:color w:val="000000"/>
                <w:lang w:val="es-ES_tradnl" w:eastAsia="es-MX"/>
              </w:rPr>
              <w:t xml:space="preserve">Respuesta a consulta </w:t>
            </w:r>
            <w:r w:rsidRPr="00A53A97">
              <w:rPr>
                <w:rFonts w:ascii="Arial" w:eastAsia="Times New Roman" w:hAnsi="Arial" w:cs="Arial"/>
                <w:lang w:eastAsia="es-MX"/>
              </w:rPr>
              <w:t>P20221128011799</w:t>
            </w:r>
          </w:p>
          <w:p w14:paraId="37BAA9ED" w14:textId="77777777" w:rsidR="00A53A97" w:rsidRPr="00A53A97" w:rsidRDefault="00A53A97" w:rsidP="00A53A97">
            <w:pPr>
              <w:spacing w:before="120"/>
              <w:rPr>
                <w:rFonts w:ascii="Arial" w:eastAsia="Calibri" w:hAnsi="Arial" w:cs="Arial"/>
                <w:color w:val="000000"/>
                <w:lang w:val="es-ES_tradnl" w:eastAsia="es-MX"/>
              </w:rPr>
            </w:pPr>
          </w:p>
        </w:tc>
      </w:tr>
    </w:tbl>
    <w:p w14:paraId="50E442DC" w14:textId="77777777" w:rsidR="00A53A97" w:rsidRPr="00A53A97" w:rsidRDefault="00A53A97" w:rsidP="00A53A97">
      <w:pPr>
        <w:spacing w:after="0" w:line="240" w:lineRule="auto"/>
        <w:ind w:firstLine="709"/>
        <w:jc w:val="both"/>
        <w:rPr>
          <w:rFonts w:ascii="Arial" w:eastAsia="Calibri" w:hAnsi="Arial" w:cs="Arial"/>
          <w:color w:val="000000"/>
          <w:lang w:val="es-ES_tradnl" w:eastAsia="es-MX"/>
        </w:rPr>
      </w:pPr>
    </w:p>
    <w:p w14:paraId="5FE5CB4F" w14:textId="77777777" w:rsidR="00A53A97" w:rsidRPr="00A53A97" w:rsidRDefault="00A53A97" w:rsidP="00A53A97">
      <w:pPr>
        <w:spacing w:after="0" w:line="240" w:lineRule="auto"/>
        <w:jc w:val="both"/>
        <w:rPr>
          <w:rFonts w:ascii="Arial" w:eastAsia="Calibri" w:hAnsi="Arial" w:cs="Arial"/>
          <w:color w:val="000000"/>
          <w:lang w:val="es-ES_tradnl" w:eastAsia="es-MX"/>
        </w:rPr>
      </w:pPr>
      <w:r w:rsidRPr="00A53A97">
        <w:rPr>
          <w:rFonts w:ascii="Arial" w:eastAsia="Calibri" w:hAnsi="Arial" w:cs="Arial"/>
          <w:color w:val="000000"/>
          <w:lang w:val="es-ES_tradnl" w:eastAsia="es-MX"/>
        </w:rPr>
        <w:t>Estimada doctora Gutiérrez:</w:t>
      </w:r>
    </w:p>
    <w:p w14:paraId="0DB58A4B" w14:textId="77777777" w:rsidR="00A53A97" w:rsidRPr="00A53A97" w:rsidRDefault="00A53A97" w:rsidP="00A53A97">
      <w:pPr>
        <w:spacing w:after="0" w:line="240" w:lineRule="auto"/>
        <w:ind w:firstLine="709"/>
        <w:jc w:val="both"/>
        <w:rPr>
          <w:rFonts w:ascii="Arial" w:eastAsia="Calibri" w:hAnsi="Arial" w:cs="Arial"/>
          <w:color w:val="000000"/>
          <w:lang w:val="es-ES_tradnl" w:eastAsia="es-MX"/>
        </w:rPr>
      </w:pPr>
    </w:p>
    <w:p w14:paraId="088704A4" w14:textId="77777777" w:rsidR="00A53A97" w:rsidRPr="00A53A97" w:rsidRDefault="00A53A97" w:rsidP="00A53A97">
      <w:pPr>
        <w:spacing w:after="0" w:line="276" w:lineRule="auto"/>
        <w:jc w:val="both"/>
        <w:rPr>
          <w:rFonts w:ascii="Arial" w:eastAsia="Calibri" w:hAnsi="Arial" w:cs="Arial"/>
          <w:color w:val="000000"/>
          <w:lang w:val="es-ES_tradnl" w:eastAsia="es-MX"/>
        </w:rPr>
      </w:pPr>
      <w:r w:rsidRPr="00A53A97">
        <w:rPr>
          <w:rFonts w:ascii="Arial" w:eastAsia="Calibri" w:hAnsi="Arial" w:cs="Arial"/>
          <w:color w:val="000000"/>
          <w:lang w:val="es-ES_tradnl" w:eastAsia="es-MX"/>
        </w:rPr>
        <w:t>En ejercicio de la competencia otorgada por el numeral 8 del artículo 11 y el numeral 5 del artículo 3 del Decreto Ley 4170 de 2011, la Agencia Nacional de Contratación Pública ― Colombia Compra Eficiente responde su consulta del 28 de noviembre de 2022.</w:t>
      </w:r>
    </w:p>
    <w:p w14:paraId="3EC9AD31" w14:textId="77777777" w:rsidR="00A53A97" w:rsidRPr="00A53A97" w:rsidRDefault="00A53A97" w:rsidP="00A53A97">
      <w:pPr>
        <w:spacing w:after="0" w:line="276" w:lineRule="auto"/>
        <w:ind w:firstLine="709"/>
        <w:jc w:val="both"/>
        <w:rPr>
          <w:rFonts w:ascii="Arial" w:eastAsia="Calibri" w:hAnsi="Arial" w:cs="Arial"/>
          <w:b/>
          <w:color w:val="000000"/>
          <w:lang w:val="es-ES_tradnl" w:eastAsia="es-MX"/>
        </w:rPr>
      </w:pPr>
    </w:p>
    <w:p w14:paraId="5A0611AF" w14:textId="77777777" w:rsidR="00A53A97" w:rsidRPr="00A53A97" w:rsidRDefault="00A53A97" w:rsidP="00A53A97">
      <w:pPr>
        <w:numPr>
          <w:ilvl w:val="0"/>
          <w:numId w:val="5"/>
        </w:numPr>
        <w:tabs>
          <w:tab w:val="left" w:pos="0"/>
          <w:tab w:val="left" w:pos="142"/>
          <w:tab w:val="left" w:pos="284"/>
        </w:tabs>
        <w:spacing w:after="0" w:line="276" w:lineRule="auto"/>
        <w:ind w:left="360"/>
        <w:contextualSpacing/>
        <w:jc w:val="both"/>
        <w:rPr>
          <w:rFonts w:ascii="Arial" w:eastAsia="Calibri" w:hAnsi="Arial" w:cs="Arial"/>
          <w:b/>
          <w:color w:val="000000"/>
          <w:lang w:val="es-ES_tradnl"/>
        </w:rPr>
      </w:pPr>
      <w:r w:rsidRPr="00A53A97">
        <w:rPr>
          <w:rFonts w:ascii="Arial" w:eastAsia="Calibri" w:hAnsi="Arial" w:cs="Arial"/>
          <w:b/>
          <w:color w:val="000000"/>
          <w:lang w:val="es-ES_tradnl"/>
        </w:rPr>
        <w:t xml:space="preserve">Problema planteado </w:t>
      </w:r>
    </w:p>
    <w:p w14:paraId="35E13B18" w14:textId="77777777" w:rsidR="00A53A97" w:rsidRPr="00A53A97" w:rsidRDefault="00A53A97" w:rsidP="00A53A97">
      <w:pPr>
        <w:spacing w:after="0" w:line="276" w:lineRule="auto"/>
        <w:jc w:val="both"/>
        <w:rPr>
          <w:rFonts w:ascii="Arial" w:eastAsia="Times New Roman" w:hAnsi="Arial" w:cs="Arial"/>
          <w:color w:val="000000"/>
          <w:lang w:val="es-ES_tradnl" w:eastAsia="es-MX"/>
        </w:rPr>
      </w:pPr>
    </w:p>
    <w:p w14:paraId="1CA4DD5D" w14:textId="4A3C1708" w:rsidR="00A53A97" w:rsidRPr="00A53A97" w:rsidRDefault="00A53A97" w:rsidP="00A53A97">
      <w:pPr>
        <w:spacing w:after="0" w:line="276" w:lineRule="auto"/>
        <w:jc w:val="both"/>
        <w:rPr>
          <w:rFonts w:ascii="Arial" w:eastAsia="Times New Roman" w:hAnsi="Arial" w:cs="Arial"/>
          <w:lang w:eastAsia="es-MX"/>
        </w:rPr>
      </w:pPr>
      <w:r w:rsidRPr="00A53A97">
        <w:rPr>
          <w:rFonts w:ascii="Arial" w:eastAsia="Times New Roman" w:hAnsi="Arial" w:cs="Arial"/>
          <w:color w:val="000000" w:themeColor="text1"/>
          <w:lang w:val="es-ES_tradnl" w:eastAsia="es-MX"/>
        </w:rPr>
        <w:t xml:space="preserve">En su solicitud usted indaga en torno a la concurrencia entre la modalidad de mínima cuantía y </w:t>
      </w:r>
      <w:r w:rsidR="007A5494">
        <w:rPr>
          <w:rFonts w:ascii="Arial" w:eastAsia="Times New Roman" w:hAnsi="Arial" w:cs="Arial"/>
          <w:color w:val="000000" w:themeColor="text1"/>
          <w:lang w:val="es-ES_tradnl" w:eastAsia="es-MX"/>
        </w:rPr>
        <w:t>la contratación directa</w:t>
      </w:r>
      <w:r w:rsidRPr="00A53A97">
        <w:rPr>
          <w:rFonts w:ascii="Arial" w:eastAsia="Times New Roman" w:hAnsi="Arial" w:cs="Arial"/>
          <w:lang w:eastAsia="es-MX"/>
        </w:rPr>
        <w:t xml:space="preserve">, indicando: </w:t>
      </w:r>
    </w:p>
    <w:p w14:paraId="7BCD03DC" w14:textId="77777777" w:rsidR="00A53A97" w:rsidRPr="00A53A97" w:rsidRDefault="00A53A97" w:rsidP="00A53A97">
      <w:pPr>
        <w:spacing w:after="0" w:line="276" w:lineRule="auto"/>
        <w:jc w:val="both"/>
        <w:rPr>
          <w:rFonts w:ascii="Arial" w:eastAsia="Times New Roman" w:hAnsi="Arial" w:cs="Arial"/>
          <w:lang w:eastAsia="es-MX"/>
        </w:rPr>
      </w:pPr>
    </w:p>
    <w:p w14:paraId="031A0F47" w14:textId="77777777" w:rsidR="00A53A97" w:rsidRPr="007A5494" w:rsidRDefault="00A53A97" w:rsidP="00A53A97">
      <w:pPr>
        <w:spacing w:after="0" w:line="240" w:lineRule="auto"/>
        <w:ind w:left="720" w:right="900"/>
        <w:contextualSpacing/>
        <w:jc w:val="both"/>
        <w:rPr>
          <w:color w:val="000000"/>
          <w:sz w:val="21"/>
          <w:szCs w:val="21"/>
          <w:lang w:val="es-MX"/>
        </w:rPr>
      </w:pPr>
      <w:r w:rsidRPr="007A5494">
        <w:rPr>
          <w:color w:val="000000"/>
          <w:sz w:val="21"/>
          <w:szCs w:val="21"/>
          <w:lang w:val="es-MX"/>
        </w:rPr>
        <w:t>«</w:t>
      </w:r>
      <w:r w:rsidRPr="005951C0">
        <w:rPr>
          <w:rFonts w:ascii="Arial" w:hAnsi="Arial" w:cs="Arial"/>
          <w:color w:val="201F1E"/>
          <w:sz w:val="21"/>
          <w:szCs w:val="21"/>
          <w:shd w:val="clear" w:color="auto" w:fill="FFFFFF"/>
          <w:lang w:val="es-MX"/>
        </w:rPr>
        <w:t>[…]solicitamos se manifieste bajo que regulación o concepto, una entidad pública después de haber agotado el procedimiento de mínima cuantía en varias ocasiones, puede suplir dicha necesidad bajo la modalidad de contratación directa</w:t>
      </w:r>
      <w:r w:rsidRPr="007A5494">
        <w:rPr>
          <w:rFonts w:ascii="Arial" w:hAnsi="Arial" w:cs="Arial"/>
          <w:sz w:val="21"/>
          <w:szCs w:val="21"/>
          <w:lang w:val="es-MX"/>
        </w:rPr>
        <w:t>.</w:t>
      </w:r>
      <w:r w:rsidRPr="007A5494">
        <w:rPr>
          <w:color w:val="000000"/>
          <w:sz w:val="21"/>
          <w:szCs w:val="21"/>
          <w:lang w:val="es-MX"/>
        </w:rPr>
        <w:t>»</w:t>
      </w:r>
    </w:p>
    <w:p w14:paraId="19C8D01E" w14:textId="77777777" w:rsidR="00A53A97" w:rsidRPr="00A53A97" w:rsidRDefault="00A53A97" w:rsidP="00A53A97">
      <w:pPr>
        <w:spacing w:after="0" w:line="240" w:lineRule="auto"/>
        <w:ind w:left="720" w:right="900"/>
        <w:contextualSpacing/>
        <w:jc w:val="both"/>
        <w:rPr>
          <w:rFonts w:ascii="Arial" w:hAnsi="Arial" w:cs="Arial"/>
          <w:sz w:val="21"/>
          <w:szCs w:val="21"/>
          <w:lang w:val="es-MX"/>
        </w:rPr>
      </w:pPr>
    </w:p>
    <w:p w14:paraId="47E4C0A7" w14:textId="77777777" w:rsidR="00A53A97" w:rsidRPr="00A53A97" w:rsidRDefault="00A53A97" w:rsidP="00A53A97">
      <w:pPr>
        <w:numPr>
          <w:ilvl w:val="0"/>
          <w:numId w:val="4"/>
        </w:numPr>
        <w:tabs>
          <w:tab w:val="left" w:pos="0"/>
          <w:tab w:val="left" w:pos="284"/>
        </w:tabs>
        <w:spacing w:after="0" w:line="240" w:lineRule="auto"/>
        <w:ind w:left="0" w:firstLine="0"/>
        <w:contextualSpacing/>
        <w:jc w:val="both"/>
        <w:rPr>
          <w:rFonts w:ascii="Arial" w:eastAsia="Calibri" w:hAnsi="Arial" w:cs="Arial"/>
          <w:b/>
          <w:color w:val="000000" w:themeColor="text1"/>
          <w:lang w:val="es-ES_tradnl"/>
        </w:rPr>
      </w:pPr>
      <w:bookmarkStart w:id="1" w:name="_Hlk81469948"/>
      <w:r w:rsidRPr="00A53A97">
        <w:rPr>
          <w:rFonts w:ascii="Arial" w:eastAsia="Calibri" w:hAnsi="Arial" w:cs="Arial"/>
          <w:b/>
          <w:color w:val="000000" w:themeColor="text1"/>
          <w:lang w:val="es-ES_tradnl"/>
        </w:rPr>
        <w:t>Consideraciones</w:t>
      </w:r>
    </w:p>
    <w:p w14:paraId="2DBFA887" w14:textId="77777777" w:rsidR="00A53A97" w:rsidRPr="00A53A97" w:rsidRDefault="00A53A97" w:rsidP="00A53A97">
      <w:pPr>
        <w:spacing w:after="0" w:line="276" w:lineRule="auto"/>
        <w:jc w:val="both"/>
        <w:rPr>
          <w:rFonts w:ascii="Arial" w:eastAsia="Calibri" w:hAnsi="Arial" w:cs="Arial"/>
          <w:color w:val="000000" w:themeColor="text1"/>
          <w:lang w:val="es-ES_tradnl" w:eastAsia="es-MX"/>
        </w:rPr>
      </w:pPr>
    </w:p>
    <w:p w14:paraId="2CB0FF10" w14:textId="77777777" w:rsidR="00A53A97" w:rsidRPr="005951C0" w:rsidRDefault="00A53A97" w:rsidP="00A53A97">
      <w:pPr>
        <w:spacing w:after="120" w:line="276" w:lineRule="auto"/>
        <w:jc w:val="both"/>
        <w:rPr>
          <w:rFonts w:ascii="Arial" w:eastAsia="Calibri" w:hAnsi="Arial" w:cs="Arial"/>
          <w:bCs/>
          <w:lang w:val="es-MX" w:eastAsia="es-ES_tradnl"/>
        </w:rPr>
      </w:pPr>
      <w:r w:rsidRPr="005951C0">
        <w:rPr>
          <w:rFonts w:ascii="Arial" w:eastAsia="Calibri" w:hAnsi="Arial" w:cs="Arial"/>
          <w:bCs/>
          <w:lang w:val="es-MX" w:eastAsia="es-ES_tradnl"/>
        </w:rPr>
        <w:t xml:space="preserve">En ejercicio de las competencias establecidas en los artículos 3.5 y 11.8 del Decreto Ley 4170 de 2011, la Agencia Nacional de Contratación Pública – Colombia Compra Eficiente resuelve las </w:t>
      </w:r>
      <w:r w:rsidRPr="005951C0">
        <w:rPr>
          <w:rFonts w:ascii="Arial" w:eastAsia="Calibri" w:hAnsi="Arial" w:cs="Arial"/>
          <w:bCs/>
          <w:lang w:val="es-MX" w:eastAsia="es-ES_tradnl"/>
        </w:rPr>
        <w:lastRenderedPageBreak/>
        <w:t>consultas sobre los asuntos de su competencia, esto es, sobre las temáticas de la contratación estatal y compras públicas relacionadas en los artículos citados.</w:t>
      </w:r>
    </w:p>
    <w:p w14:paraId="1D35CF3F" w14:textId="77777777" w:rsidR="00A53A97" w:rsidRPr="005951C0" w:rsidRDefault="00A53A97" w:rsidP="00A53A97">
      <w:pPr>
        <w:spacing w:after="120" w:line="276" w:lineRule="auto"/>
        <w:ind w:firstLine="708"/>
        <w:jc w:val="both"/>
        <w:rPr>
          <w:rFonts w:ascii="Arial" w:eastAsia="Calibri" w:hAnsi="Arial" w:cs="Arial"/>
          <w:lang w:val="es-ES" w:eastAsia="es-ES_tradnl"/>
        </w:rPr>
      </w:pPr>
      <w:bookmarkStart w:id="2" w:name="_Hlk61701014"/>
      <w:bookmarkStart w:id="3" w:name="_Hlk62136649"/>
      <w:r w:rsidRPr="005951C0">
        <w:rPr>
          <w:rFonts w:ascii="Arial" w:eastAsia="Calibri" w:hAnsi="Arial" w:cs="Arial"/>
          <w:lang w:val="es-ES" w:eastAsia="es-ES_tradnl"/>
        </w:rPr>
        <w:t xml:space="preserve">Es necesario tener en cuenta que </w:t>
      </w:r>
      <w:bookmarkStart w:id="4" w:name="_Hlk61026958"/>
      <w:r w:rsidRPr="005951C0">
        <w:rPr>
          <w:rFonts w:ascii="Arial" w:eastAsia="Calibri" w:hAnsi="Arial" w:cs="Arial"/>
          <w:lang w:val="es-ES"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5951C0">
        <w:rPr>
          <w:rFonts w:ascii="Arial" w:eastAsia="Calibri" w:hAnsi="Arial" w:cs="Arial"/>
          <w:bCs/>
          <w:lang w:val="es-MX" w:eastAsia="es-ES_tradnl"/>
        </w:rPr>
        <w:t xml:space="preserve"> de todos los partícipes de la contratación estatal.</w:t>
      </w:r>
    </w:p>
    <w:p w14:paraId="345C73D6" w14:textId="77777777" w:rsidR="00A53A97" w:rsidRPr="005951C0" w:rsidRDefault="00A53A97" w:rsidP="00A53A97">
      <w:pPr>
        <w:spacing w:after="120" w:line="276" w:lineRule="auto"/>
        <w:ind w:firstLine="708"/>
        <w:jc w:val="both"/>
        <w:rPr>
          <w:rFonts w:ascii="Arial" w:eastAsia="Calibri" w:hAnsi="Arial" w:cs="Arial"/>
          <w:lang w:val="es-ES" w:eastAsia="es-ES_tradnl"/>
        </w:rPr>
      </w:pPr>
      <w:r w:rsidRPr="005951C0">
        <w:rPr>
          <w:rFonts w:ascii="Arial" w:eastAsia="Calibri" w:hAnsi="Arial" w:cs="Arial"/>
          <w:lang w:val="es-ES"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951C0">
        <w:rPr>
          <w:rFonts w:ascii="Arial" w:eastAsia="Calibri" w:hAnsi="Arial" w:cs="Arial"/>
          <w:vertAlign w:val="superscript"/>
          <w:lang w:val="es-ES" w:eastAsia="es-ES_tradnl"/>
        </w:rPr>
        <w:footnoteReference w:id="2"/>
      </w:r>
      <w:r w:rsidRPr="005951C0">
        <w:rPr>
          <w:rFonts w:ascii="Arial" w:eastAsia="Calibri" w:hAnsi="Arial" w:cs="Arial"/>
          <w:lang w:val="es-ES" w:eastAsia="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4"/>
      <w:r w:rsidRPr="005951C0">
        <w:rPr>
          <w:rFonts w:ascii="Arial" w:eastAsia="Calibri" w:hAnsi="Arial" w:cs="Arial"/>
          <w:lang w:val="es-ES" w:eastAsia="es-ES_tradnl"/>
        </w:rPr>
        <w:t xml:space="preserve">. </w:t>
      </w:r>
      <w:bookmarkEnd w:id="2"/>
    </w:p>
    <w:bookmarkEnd w:id="3"/>
    <w:p w14:paraId="59D4AB50" w14:textId="33541622" w:rsidR="00A53A97" w:rsidRPr="007A5494" w:rsidRDefault="00A53A97" w:rsidP="005951C0">
      <w:pPr>
        <w:spacing w:after="0" w:line="276" w:lineRule="auto"/>
        <w:ind w:firstLine="708"/>
        <w:jc w:val="both"/>
        <w:rPr>
          <w:rFonts w:ascii="Arial" w:eastAsia="Calibri" w:hAnsi="Arial" w:cs="Arial"/>
          <w:color w:val="000000" w:themeColor="text1"/>
          <w:lang w:val="es-ES_tradnl" w:eastAsia="es-MX"/>
        </w:rPr>
      </w:pPr>
      <w:r w:rsidRPr="005951C0">
        <w:rPr>
          <w:rFonts w:ascii="Arial" w:eastAsia="Calibri" w:hAnsi="Arial" w:cs="Arial"/>
          <w:color w:val="000000"/>
          <w:lang w:val="es-MX" w:eastAsia="es-ES_tradnl"/>
        </w:rPr>
        <w:t xml:space="preserve">Conforme con lo anterior, </w:t>
      </w:r>
      <w:r w:rsidRPr="005951C0">
        <w:rPr>
          <w:rFonts w:ascii="Arial" w:eastAsia="Calibri" w:hAnsi="Arial" w:cs="Arial"/>
          <w:color w:val="000000"/>
          <w:lang w:val="es-ES" w:eastAsia="es-ES_tradnl"/>
        </w:rPr>
        <w:t xml:space="preserve">la Subdirección de Gestión Contractual –dentro de los límites de sus atribuciones, esto es, </w:t>
      </w:r>
      <w:bookmarkStart w:id="5" w:name="_Hlk61025408"/>
      <w:r w:rsidRPr="005951C0">
        <w:rPr>
          <w:rFonts w:ascii="Arial" w:eastAsia="Calibri" w:hAnsi="Arial" w:cs="Arial"/>
          <w:color w:val="000000"/>
          <w:lang w:val="es-ES" w:eastAsia="es-ES_tradnl"/>
        </w:rPr>
        <w:t>haciendo abstracción del caso particular expuesto por el peticionario</w:t>
      </w:r>
      <w:bookmarkEnd w:id="5"/>
      <w:r w:rsidRPr="005951C0">
        <w:rPr>
          <w:rFonts w:ascii="Arial" w:eastAsia="Calibri" w:hAnsi="Arial" w:cs="Arial"/>
          <w:color w:val="000000"/>
          <w:lang w:val="es-ES" w:eastAsia="es-ES_tradnl"/>
        </w:rPr>
        <w:t xml:space="preserve">– resolverá la consulta con base en </w:t>
      </w:r>
      <w:r w:rsidRPr="007A5494">
        <w:rPr>
          <w:rFonts w:ascii="Arial" w:eastAsia="Calibri" w:hAnsi="Arial" w:cs="Arial"/>
          <w:color w:val="000000" w:themeColor="text1"/>
          <w:lang w:val="es-ES_tradnl" w:eastAsia="es-MX"/>
        </w:rPr>
        <w:t>los siguientes temas: i) El principio de planeación contractual ii) modalidad de contratación de mínima cuantía y iv) concurrencia entre mínima cuantía y contratación directa.</w:t>
      </w:r>
    </w:p>
    <w:p w14:paraId="4EBCFC58" w14:textId="77777777" w:rsidR="00A53A97" w:rsidRPr="007A5494" w:rsidRDefault="00A53A97" w:rsidP="00A53A97">
      <w:pPr>
        <w:spacing w:before="120" w:after="0" w:line="276" w:lineRule="auto"/>
        <w:ind w:firstLine="709"/>
        <w:jc w:val="both"/>
        <w:rPr>
          <w:rFonts w:ascii="Arial" w:eastAsia="Calibri" w:hAnsi="Arial" w:cs="Arial"/>
          <w:color w:val="000000"/>
          <w:lang w:val="es-ES_tradnl" w:eastAsia="es-MX"/>
        </w:rPr>
      </w:pPr>
      <w:r w:rsidRPr="007A5494">
        <w:rPr>
          <w:rFonts w:ascii="Arial" w:eastAsia="Calibri" w:hAnsi="Arial" w:cs="Arial"/>
          <w:color w:val="000000"/>
          <w:lang w:val="es-ES_tradnl" w:eastAsia="es-MX"/>
        </w:rPr>
        <w:t xml:space="preserve">La Agencia Nacional de Contratación Pública – Colombia Compra Eficiente se pronunció, en términos generales, sobre el la planeación precontractual, el análisis del sector y los estudios previos en los contratos estatales en los </w:t>
      </w:r>
      <w:r w:rsidRPr="007A5494">
        <w:rPr>
          <w:rFonts w:ascii="Arial" w:eastAsia="Calibri" w:hAnsi="Arial" w:cs="Arial"/>
          <w:lang w:val="es-ES_tradnl" w:eastAsia="es-MX"/>
        </w:rPr>
        <w:t xml:space="preserve">Conceptos 2202013000000037 del 7 de enero de 2020 y C-223 del 29 de abril de 2020 –radicado No. 2202013000003261– y C–148 de 2021,  C-387 del 23 de junio de 2020 –radicado No. 2202013000005289–, </w:t>
      </w:r>
      <w:r w:rsidRPr="007A5494">
        <w:rPr>
          <w:rFonts w:ascii="Arial" w:eastAsia="Calibri" w:hAnsi="Arial" w:cs="Arial"/>
          <w:color w:val="0B1107"/>
          <w:lang w:eastAsia="es-MX"/>
        </w:rPr>
        <w:t xml:space="preserve">C-415 del 7 de julio </w:t>
      </w:r>
      <w:r w:rsidRPr="007A5494">
        <w:rPr>
          <w:rFonts w:ascii="Arial" w:eastAsia="Calibri" w:hAnsi="Arial" w:cs="Arial"/>
          <w:lang w:val="es-ES_tradnl" w:eastAsia="es-MX"/>
        </w:rPr>
        <w:t xml:space="preserve">–radicado No. </w:t>
      </w:r>
      <w:r w:rsidRPr="007A5494">
        <w:rPr>
          <w:rFonts w:ascii="Arial" w:eastAsia="Times New Roman" w:hAnsi="Arial" w:cs="Arial"/>
          <w:color w:val="000000"/>
          <w:lang w:eastAsia="es-MX"/>
        </w:rPr>
        <w:t>2202013000005931–</w:t>
      </w:r>
      <w:r w:rsidRPr="007A5494">
        <w:rPr>
          <w:rFonts w:ascii="Arial" w:eastAsia="Calibri" w:hAnsi="Arial" w:cs="Arial"/>
          <w:color w:val="0B1107"/>
          <w:lang w:eastAsia="es-MX"/>
        </w:rPr>
        <w:t xml:space="preserve">, </w:t>
      </w:r>
      <w:r w:rsidRPr="007A5494">
        <w:rPr>
          <w:rFonts w:ascii="Arial" w:eastAsia="Calibri" w:hAnsi="Arial" w:cs="Arial"/>
          <w:lang w:eastAsia="es-MX"/>
        </w:rPr>
        <w:t>C-443 del 7 de julio de 2020 –</w:t>
      </w:r>
      <w:r w:rsidRPr="007A5494">
        <w:rPr>
          <w:rFonts w:ascii="Arial" w:eastAsia="Calibri" w:hAnsi="Arial" w:cs="Arial"/>
          <w:lang w:val="es-ES_tradnl" w:eastAsia="es-MX"/>
        </w:rPr>
        <w:t>radicado No.</w:t>
      </w:r>
      <w:r w:rsidRPr="007A5494">
        <w:rPr>
          <w:rFonts w:ascii="Arial" w:eastAsia="Times New Roman" w:hAnsi="Arial" w:cs="Arial"/>
          <w:color w:val="000000"/>
          <w:lang w:eastAsia="es-MX"/>
        </w:rPr>
        <w:t xml:space="preserve"> 2202013000005933–, C-387 del 23 de junio de 2020 –radicado No. </w:t>
      </w:r>
      <w:r w:rsidRPr="007A5494">
        <w:rPr>
          <w:rFonts w:ascii="Arial" w:eastAsia="Times New Roman" w:hAnsi="Arial" w:cs="Arial"/>
          <w:color w:val="000000"/>
          <w:shd w:val="clear" w:color="auto" w:fill="FFFFFF"/>
          <w:lang w:eastAsia="es-MX"/>
        </w:rPr>
        <w:t xml:space="preserve">4202013000004275–, </w:t>
      </w:r>
      <w:r w:rsidRPr="007A5494">
        <w:rPr>
          <w:rFonts w:ascii="Arial" w:eastAsia="Calibri" w:hAnsi="Arial" w:cs="Arial"/>
          <w:lang w:val="es-ES_tradnl" w:eastAsia="es-MX"/>
        </w:rPr>
        <w:t xml:space="preserve">2202013000000037 del 7 de enero </w:t>
      </w:r>
      <w:r w:rsidRPr="007A5494">
        <w:rPr>
          <w:rFonts w:ascii="Arial" w:eastAsia="Calibri" w:hAnsi="Arial" w:cs="Arial"/>
          <w:lang w:val="es-ES_tradnl" w:eastAsia="es-MX"/>
        </w:rPr>
        <w:lastRenderedPageBreak/>
        <w:t xml:space="preserve">de 2020, C-223 del 29 de abril de 2020, </w:t>
      </w:r>
      <w:r w:rsidRPr="007A5494">
        <w:rPr>
          <w:rFonts w:ascii="Arial" w:eastAsia="Calibri" w:hAnsi="Arial" w:cs="Arial"/>
          <w:color w:val="000000"/>
          <w:lang w:val="es-ES_tradnl" w:eastAsia="es-MX"/>
        </w:rPr>
        <w:t>C-671 de 2020 de 23 de noviembre de 2020, C-215 del 12 de mayo de 2021 y C-742 de 27 de diciembre de 2021, entre otros</w:t>
      </w:r>
      <w:r w:rsidRPr="007A5494">
        <w:rPr>
          <w:rFonts w:ascii="Arial" w:eastAsia="Calibri" w:hAnsi="Arial" w:cs="Arial"/>
          <w:vertAlign w:val="superscript"/>
          <w:lang w:val="es-ES_tradnl" w:eastAsia="es-MX"/>
        </w:rPr>
        <w:footnoteReference w:id="3"/>
      </w:r>
      <w:r w:rsidRPr="007A5494">
        <w:rPr>
          <w:rFonts w:ascii="Arial" w:eastAsia="Calibri" w:hAnsi="Arial" w:cs="Arial"/>
          <w:color w:val="000000"/>
          <w:lang w:val="es-ES_tradnl" w:eastAsia="es-MX"/>
        </w:rPr>
        <w:t>.</w:t>
      </w:r>
    </w:p>
    <w:p w14:paraId="4329A578" w14:textId="77777777" w:rsidR="00A53A97" w:rsidRPr="00A53A97" w:rsidRDefault="00A53A97" w:rsidP="00A53A97">
      <w:pPr>
        <w:spacing w:before="120" w:after="0" w:line="276" w:lineRule="auto"/>
        <w:jc w:val="both"/>
        <w:rPr>
          <w:rFonts w:ascii="Arial" w:eastAsia="Calibri" w:hAnsi="Arial" w:cs="Arial"/>
          <w:noProof/>
          <w:color w:val="000000" w:themeColor="text1"/>
          <w:szCs w:val="24"/>
          <w:lang w:val="es-ES_tradnl" w:eastAsia="es-MX"/>
        </w:rPr>
      </w:pPr>
      <w:r w:rsidRPr="007A5494">
        <w:rPr>
          <w:rFonts w:ascii="Arial" w:eastAsia="Arial" w:hAnsi="Arial" w:cs="Arial"/>
          <w:lang w:val="es-ES_tradnl" w:eastAsia="es-MX"/>
        </w:rPr>
        <w:t>Además, emitió pronunciamiento sobre la concurrencia entre la mínima cuantía y otras modalidades de selección, mediante los conc</w:t>
      </w:r>
      <w:r w:rsidRPr="00A53A97">
        <w:rPr>
          <w:rFonts w:ascii="Arial" w:eastAsia="Arial" w:hAnsi="Arial" w:cs="Arial"/>
          <w:szCs w:val="24"/>
          <w:lang w:val="es-ES_tradnl" w:eastAsia="es-MX"/>
        </w:rPr>
        <w:t>eptos C-108 del 3 de marzo de 2020 y C-157 del 13 de abril de 2021,</w:t>
      </w:r>
      <w:r w:rsidRPr="00A53A97">
        <w:rPr>
          <w:rFonts w:ascii="Arial" w:eastAsia="Calibri" w:hAnsi="Arial" w:cs="Arial"/>
          <w:color w:val="000000"/>
          <w:lang w:val="es-ES_tradnl" w:eastAsia="es-MX"/>
        </w:rPr>
        <w:t xml:space="preserve"> C-587 de 19 de octubre de 2021,</w:t>
      </w:r>
      <w:r w:rsidRPr="00A53A97">
        <w:rPr>
          <w:rFonts w:ascii="Arial" w:eastAsia="Arial" w:hAnsi="Arial" w:cs="Arial"/>
          <w:szCs w:val="24"/>
          <w:lang w:val="es-ES_tradnl" w:eastAsia="es-MX"/>
        </w:rPr>
        <w:t xml:space="preserve"> </w:t>
      </w:r>
      <w:r w:rsidRPr="00A53A97">
        <w:rPr>
          <w:rFonts w:ascii="Arial" w:eastAsia="Calibri" w:hAnsi="Arial" w:cs="Arial"/>
          <w:color w:val="000000"/>
          <w:lang w:val="es-ES_tradnl" w:eastAsia="es-MX"/>
        </w:rPr>
        <w:t>C-017 del 22 de febrero de 2022 y C-557 de 6 de septiembre de 2022</w:t>
      </w:r>
      <w:r w:rsidRPr="00A53A97">
        <w:rPr>
          <w:rFonts w:ascii="Arial" w:eastAsia="Arial" w:hAnsi="Arial" w:cs="Arial"/>
          <w:szCs w:val="24"/>
          <w:lang w:val="es-ES_tradnl" w:eastAsia="es-MX"/>
        </w:rPr>
        <w:t xml:space="preserve">. Las ideas expuestas en dichas oportunidades se reiteran a continuación y se complementan en lo pertinente. </w:t>
      </w:r>
    </w:p>
    <w:p w14:paraId="2FBDBCD8" w14:textId="77777777" w:rsidR="00A53A97" w:rsidRPr="00A53A97" w:rsidRDefault="00A53A97" w:rsidP="00A53A97">
      <w:pPr>
        <w:spacing w:after="0" w:line="276" w:lineRule="auto"/>
        <w:jc w:val="both"/>
        <w:rPr>
          <w:rFonts w:ascii="Arial" w:eastAsia="Arial" w:hAnsi="Arial" w:cs="Arial"/>
          <w:b/>
          <w:bCs/>
          <w:color w:val="000000"/>
          <w:szCs w:val="24"/>
          <w:lang w:val="es-ES_tradnl" w:eastAsia="es-MX"/>
        </w:rPr>
      </w:pPr>
    </w:p>
    <w:p w14:paraId="1D02728D" w14:textId="77777777" w:rsidR="00A53A97" w:rsidRPr="00A53A97" w:rsidRDefault="00A53A97" w:rsidP="00A53A97">
      <w:pPr>
        <w:spacing w:after="0" w:line="276" w:lineRule="auto"/>
        <w:jc w:val="both"/>
        <w:rPr>
          <w:rFonts w:ascii="Arial" w:eastAsia="Arial" w:hAnsi="Arial" w:cs="Arial"/>
          <w:b/>
          <w:bCs/>
          <w:szCs w:val="24"/>
          <w:lang w:val="es-ES_tradnl" w:eastAsia="es-MX"/>
        </w:rPr>
      </w:pPr>
      <w:r w:rsidRPr="00A53A97">
        <w:rPr>
          <w:rFonts w:ascii="Arial" w:eastAsia="Arial" w:hAnsi="Arial" w:cs="Arial"/>
          <w:b/>
          <w:bCs/>
          <w:szCs w:val="24"/>
          <w:lang w:val="es-ES_tradnl" w:eastAsia="es-MX"/>
        </w:rPr>
        <w:t xml:space="preserve">2.1. El principio de planeación precontractual, los estudios y documentos previos del contrato </w:t>
      </w:r>
    </w:p>
    <w:p w14:paraId="01F15B07" w14:textId="77777777" w:rsidR="00A53A97" w:rsidRPr="00A53A97" w:rsidRDefault="00A53A97" w:rsidP="00A53A97">
      <w:pPr>
        <w:spacing w:after="0" w:line="276" w:lineRule="auto"/>
        <w:jc w:val="both"/>
        <w:rPr>
          <w:rFonts w:ascii="Arial" w:eastAsia="Arial" w:hAnsi="Arial" w:cs="Arial"/>
          <w:b/>
          <w:bCs/>
          <w:szCs w:val="24"/>
          <w:lang w:val="es-ES_tradnl" w:eastAsia="es-MX"/>
        </w:rPr>
      </w:pPr>
    </w:p>
    <w:p w14:paraId="233DB9D1" w14:textId="4A944676" w:rsidR="00A53A97" w:rsidRPr="00A53A97" w:rsidRDefault="00A53A97" w:rsidP="00A53A97">
      <w:pPr>
        <w:spacing w:after="120" w:line="276" w:lineRule="auto"/>
        <w:jc w:val="both"/>
        <w:rPr>
          <w:rFonts w:ascii="Arial" w:eastAsia="Times New Roman" w:hAnsi="Arial" w:cs="Arial"/>
          <w:sz w:val="24"/>
          <w:szCs w:val="24"/>
          <w:lang w:val="es-ES_tradnl" w:eastAsia="es-MX"/>
        </w:rPr>
      </w:pPr>
      <w:bookmarkStart w:id="6" w:name="_Hlk54011258"/>
      <w:r w:rsidRPr="00A53A97">
        <w:rPr>
          <w:rFonts w:ascii="Arial" w:eastAsia="Calibri" w:hAnsi="Arial" w:cs="Arial"/>
          <w:bCs/>
          <w:szCs w:val="24"/>
          <w:lang w:val="es-ES_tradnl" w:eastAsia="es-MX"/>
        </w:rPr>
        <w:t xml:space="preserve">La planeación contractual es una herramienta de gerencia pública, que exige estructurar el proceso contractual dedicando tiempo y esfuerzos para elaborar estudios previos, con el fin de determinar la necesidad que pretende satisfacer la </w:t>
      </w:r>
      <w:r w:rsidR="00BB6E46">
        <w:rPr>
          <w:rFonts w:ascii="Arial" w:eastAsia="Calibri" w:hAnsi="Arial" w:cs="Arial"/>
          <w:bCs/>
          <w:szCs w:val="24"/>
          <w:lang w:val="es-ES_tradnl" w:eastAsia="es-MX"/>
        </w:rPr>
        <w:t>Entidad Estatal</w:t>
      </w:r>
      <w:r w:rsidRPr="00A53A97">
        <w:rPr>
          <w:rFonts w:ascii="Arial" w:eastAsia="Calibri" w:hAnsi="Arial" w:cs="Arial"/>
          <w:bCs/>
          <w:szCs w:val="24"/>
          <w:lang w:val="es-ES_tradnl" w:eastAsia="es-MX"/>
        </w:rPr>
        <w:t xml:space="preserve"> y cuál es la mejor manera de hacerlo, consultando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bookmarkEnd w:id="6"/>
      <w:r w:rsidRPr="00A53A97">
        <w:rPr>
          <w:rFonts w:ascii="Arial" w:eastAsia="Calibri" w:hAnsi="Arial" w:cs="Arial"/>
          <w:bCs/>
          <w:sz w:val="21"/>
          <w:szCs w:val="21"/>
          <w:lang w:val="es-ES_tradnl" w:eastAsia="es-MX"/>
        </w:rPr>
        <w:t>.</w:t>
      </w:r>
    </w:p>
    <w:p w14:paraId="120E4918" w14:textId="77777777" w:rsidR="00A53A97" w:rsidRPr="00A53A97" w:rsidRDefault="00A53A97" w:rsidP="00A53A97">
      <w:pPr>
        <w:spacing w:after="0" w:line="276" w:lineRule="auto"/>
        <w:ind w:firstLine="705"/>
        <w:jc w:val="both"/>
        <w:textAlignment w:val="baseline"/>
        <w:rPr>
          <w:rFonts w:ascii="Arial" w:eastAsia="Calibri" w:hAnsi="Arial" w:cs="Arial"/>
          <w:bCs/>
          <w:lang w:val="es-ES_tradnl" w:eastAsia="es-MX"/>
        </w:rPr>
      </w:pPr>
      <w:r w:rsidRPr="00A53A97">
        <w:rPr>
          <w:rFonts w:ascii="Arial" w:eastAsia="Calibri" w:hAnsi="Arial" w:cs="Arial"/>
          <w:bCs/>
          <w:lang w:val="es-ES_tradnl" w:eastAsia="es-MX"/>
        </w:rPr>
        <w:t>El Estatuto General de Contratación de la Administración Pública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relación con el principio de economía, se tienen las siguientes reglas derivadas de su aplicación, lo cual está previsto en el artículo 25 de la Ley 80 de 1993:  </w:t>
      </w:r>
    </w:p>
    <w:p w14:paraId="4916D0BF" w14:textId="77777777" w:rsidR="00A53A97" w:rsidRPr="00A53A97" w:rsidRDefault="00A53A97" w:rsidP="00A53A97">
      <w:pPr>
        <w:spacing w:after="0" w:line="240" w:lineRule="auto"/>
        <w:ind w:firstLine="705"/>
        <w:jc w:val="both"/>
        <w:textAlignment w:val="baseline"/>
        <w:rPr>
          <w:rFonts w:ascii="Segoe UI" w:eastAsia="Times New Roman" w:hAnsi="Segoe UI" w:cs="Segoe UI"/>
          <w:sz w:val="18"/>
          <w:szCs w:val="18"/>
          <w:lang w:eastAsia="es-ES_tradnl"/>
        </w:rPr>
      </w:pPr>
      <w:r w:rsidRPr="00A53A97">
        <w:rPr>
          <w:rFonts w:ascii="Arial" w:eastAsia="Times New Roman" w:hAnsi="Arial" w:cs="Arial"/>
          <w:lang w:eastAsia="es-ES_tradnl"/>
        </w:rPr>
        <w:t> </w:t>
      </w:r>
    </w:p>
    <w:p w14:paraId="0B52FD9E" w14:textId="442020BE" w:rsidR="00A53A97" w:rsidRPr="00A53A97" w:rsidRDefault="00B96889" w:rsidP="00A53A97">
      <w:pPr>
        <w:spacing w:after="0" w:line="240" w:lineRule="auto"/>
        <w:ind w:left="705" w:right="705"/>
        <w:jc w:val="both"/>
        <w:textAlignment w:val="baseline"/>
        <w:rPr>
          <w:rFonts w:ascii="Segoe UI" w:eastAsia="Times New Roman" w:hAnsi="Segoe UI" w:cs="Segoe UI"/>
          <w:sz w:val="18"/>
          <w:szCs w:val="18"/>
          <w:lang w:eastAsia="es-ES_tradnl"/>
        </w:rPr>
      </w:pPr>
      <w:r w:rsidRPr="007A5494">
        <w:rPr>
          <w:color w:val="000000"/>
          <w:sz w:val="21"/>
          <w:szCs w:val="21"/>
          <w:lang w:val="es-MX"/>
        </w:rPr>
        <w:t>«</w:t>
      </w:r>
      <w:r w:rsidR="00A53A97" w:rsidRPr="00A53A97">
        <w:rPr>
          <w:rFonts w:ascii="Arial" w:eastAsia="Times New Roman" w:hAnsi="Arial" w:cs="Arial"/>
          <w:sz w:val="21"/>
          <w:szCs w:val="21"/>
          <w:lang w:val="es-ES" w:eastAsia="es-ES_tradnl"/>
        </w:rPr>
        <w:t>7o. La conveniencia o inconveniencia del objeto a contratar y las autorizaciones y aprobaciones para ello, se analizarán o impartirán con antelación al inicio del proceso de selección del contratista o al de la firma del contrato, según el caso.</w:t>
      </w:r>
      <w:r w:rsidR="00A53A97" w:rsidRPr="00A53A97">
        <w:rPr>
          <w:rFonts w:ascii="Arial" w:eastAsia="Times New Roman" w:hAnsi="Arial" w:cs="Arial"/>
          <w:sz w:val="21"/>
          <w:szCs w:val="21"/>
          <w:lang w:eastAsia="es-ES_tradnl"/>
        </w:rPr>
        <w:t> </w:t>
      </w:r>
    </w:p>
    <w:p w14:paraId="09D83BCB" w14:textId="77777777" w:rsidR="00A53A97" w:rsidRPr="00A53A97" w:rsidRDefault="00A53A97" w:rsidP="00A53A97">
      <w:pPr>
        <w:spacing w:after="0" w:line="240" w:lineRule="auto"/>
        <w:ind w:left="705" w:right="705"/>
        <w:jc w:val="both"/>
        <w:textAlignment w:val="baseline"/>
        <w:rPr>
          <w:rFonts w:ascii="Segoe UI" w:eastAsia="Times New Roman" w:hAnsi="Segoe UI" w:cs="Segoe UI"/>
          <w:sz w:val="18"/>
          <w:szCs w:val="18"/>
          <w:lang w:eastAsia="es-ES_tradnl"/>
        </w:rPr>
      </w:pPr>
      <w:r w:rsidRPr="00A53A97">
        <w:rPr>
          <w:rFonts w:ascii="Arial" w:eastAsia="Times New Roman" w:hAnsi="Arial" w:cs="Arial"/>
          <w:sz w:val="21"/>
          <w:szCs w:val="21"/>
          <w:lang w:val="es-ES" w:eastAsia="es-ES_tradnl"/>
        </w:rPr>
        <w:t>[…]</w:t>
      </w:r>
      <w:r w:rsidRPr="00A53A97">
        <w:rPr>
          <w:rFonts w:ascii="Arial" w:eastAsia="Times New Roman" w:hAnsi="Arial" w:cs="Arial"/>
          <w:sz w:val="21"/>
          <w:szCs w:val="21"/>
          <w:lang w:eastAsia="es-ES_tradnl"/>
        </w:rPr>
        <w:t> </w:t>
      </w:r>
    </w:p>
    <w:p w14:paraId="477A805C" w14:textId="77777777" w:rsidR="00A53A97" w:rsidRPr="00A53A97" w:rsidRDefault="00A53A97" w:rsidP="00A53A97">
      <w:pPr>
        <w:spacing w:after="0" w:line="240" w:lineRule="auto"/>
        <w:ind w:left="705" w:right="705"/>
        <w:jc w:val="both"/>
        <w:textAlignment w:val="baseline"/>
        <w:rPr>
          <w:rFonts w:ascii="Segoe UI" w:eastAsia="Times New Roman" w:hAnsi="Segoe UI" w:cs="Segoe UI"/>
          <w:sz w:val="18"/>
          <w:szCs w:val="18"/>
          <w:lang w:eastAsia="es-ES_tradnl"/>
        </w:rPr>
      </w:pPr>
      <w:r w:rsidRPr="00A53A97">
        <w:rPr>
          <w:rFonts w:ascii="Arial" w:eastAsia="Times New Roman" w:hAnsi="Arial" w:cs="Arial"/>
          <w:sz w:val="21"/>
          <w:szCs w:val="21"/>
          <w:lang w:val="es-ES" w:eastAsia="es-ES_tradnl"/>
        </w:rPr>
        <w:t>12. Previo a la apertura de un proceso de selección, o a la firma del contrato en el caso en que la modalidad de selección sea contratación directa, deberán elaborarse los estudios, diseños y proyectos requeridos, y los pliegos de condiciones, según corresponda. </w:t>
      </w:r>
      <w:r w:rsidRPr="00A53A97">
        <w:rPr>
          <w:rFonts w:ascii="Arial" w:eastAsia="Times New Roman" w:hAnsi="Arial" w:cs="Arial"/>
          <w:sz w:val="21"/>
          <w:szCs w:val="21"/>
          <w:lang w:eastAsia="es-ES_tradnl"/>
        </w:rPr>
        <w:t> </w:t>
      </w:r>
    </w:p>
    <w:p w14:paraId="419B2A4E" w14:textId="5448744B" w:rsidR="00A53A97" w:rsidRPr="00A53A97" w:rsidRDefault="00A53A97" w:rsidP="00A53A97">
      <w:pPr>
        <w:spacing w:after="0" w:line="240" w:lineRule="auto"/>
        <w:ind w:left="705" w:right="705"/>
        <w:jc w:val="both"/>
        <w:textAlignment w:val="baseline"/>
        <w:rPr>
          <w:rFonts w:ascii="Segoe UI" w:eastAsia="Times New Roman" w:hAnsi="Segoe UI" w:cs="Segoe UI"/>
          <w:sz w:val="18"/>
          <w:szCs w:val="18"/>
          <w:lang w:eastAsia="es-ES_tradnl"/>
        </w:rPr>
      </w:pPr>
      <w:r w:rsidRPr="00A53A97">
        <w:rPr>
          <w:rFonts w:ascii="Arial" w:eastAsia="Times New Roman" w:hAnsi="Arial" w:cs="Arial"/>
          <w:sz w:val="21"/>
          <w:szCs w:val="21"/>
          <w:lang w:val="es-ES" w:eastAsia="es-ES_tradnl"/>
        </w:rPr>
        <w:t xml:space="preserve">Cuando el objeto de la contratación incluya la realización de una obra, en la misma oportunidad señalada en el inciso primero, la entidad contratante deberá contar con los estudios y diseños que permitan establecer la viabilidad del proyecto y su impacto </w:t>
      </w:r>
      <w:r w:rsidRPr="00A53A97">
        <w:rPr>
          <w:rFonts w:ascii="Arial" w:eastAsia="Times New Roman" w:hAnsi="Arial" w:cs="Arial"/>
          <w:sz w:val="21"/>
          <w:szCs w:val="21"/>
          <w:lang w:val="es-ES" w:eastAsia="es-ES_tradnl"/>
        </w:rPr>
        <w:lastRenderedPageBreak/>
        <w:t>social, económico y ambiental. Esta condición será aplicable incluso para los contratos que incluyan dentro del objeto el diseño.</w:t>
      </w:r>
      <w:r w:rsidR="00B96889" w:rsidRPr="007A5494">
        <w:rPr>
          <w:color w:val="000000"/>
          <w:sz w:val="21"/>
          <w:szCs w:val="21"/>
          <w:lang w:val="es-MX"/>
        </w:rPr>
        <w:t>»</w:t>
      </w:r>
      <w:r w:rsidRPr="00A53A97">
        <w:rPr>
          <w:rFonts w:ascii="Arial" w:eastAsia="Times New Roman" w:hAnsi="Arial" w:cs="Arial"/>
          <w:sz w:val="21"/>
          <w:szCs w:val="21"/>
          <w:lang w:eastAsia="es-ES_tradnl"/>
        </w:rPr>
        <w:t> </w:t>
      </w:r>
    </w:p>
    <w:p w14:paraId="78B2C6DA" w14:textId="77777777" w:rsidR="00A53A97" w:rsidRPr="00A53A97" w:rsidRDefault="00A53A97" w:rsidP="00A53A97">
      <w:pPr>
        <w:spacing w:after="0" w:line="276" w:lineRule="auto"/>
        <w:ind w:left="709" w:right="709"/>
        <w:jc w:val="both"/>
        <w:rPr>
          <w:rFonts w:ascii="Arial" w:eastAsia="Times New Roman" w:hAnsi="Arial" w:cs="Arial"/>
          <w:szCs w:val="24"/>
          <w:lang w:val="es-ES_tradnl" w:eastAsia="es-MX"/>
        </w:rPr>
      </w:pPr>
    </w:p>
    <w:p w14:paraId="7D839533" w14:textId="35600338" w:rsidR="00A53A97" w:rsidRPr="00A53A97" w:rsidRDefault="00A53A97" w:rsidP="00A53A97">
      <w:pPr>
        <w:spacing w:after="0" w:line="276" w:lineRule="auto"/>
        <w:ind w:firstLine="709"/>
        <w:jc w:val="both"/>
        <w:rPr>
          <w:rFonts w:ascii="Arial" w:eastAsia="Times New Roman" w:hAnsi="Arial" w:cs="Arial"/>
          <w:szCs w:val="24"/>
          <w:lang w:val="es-ES_tradnl" w:eastAsia="es-MX"/>
        </w:rPr>
      </w:pPr>
      <w:r w:rsidRPr="00A53A97">
        <w:rPr>
          <w:rFonts w:ascii="Arial" w:eastAsia="Times New Roman" w:hAnsi="Arial" w:cs="Arial"/>
          <w:szCs w:val="24"/>
          <w:lang w:val="es-ES_tradnl" w:eastAsia="es-MX"/>
        </w:rPr>
        <w:t xml:space="preserve">Lo anterior le permitirá a la </w:t>
      </w:r>
      <w:r w:rsidR="00BB6E46">
        <w:rPr>
          <w:rFonts w:ascii="Arial" w:eastAsia="Times New Roman" w:hAnsi="Arial" w:cs="Arial"/>
          <w:szCs w:val="24"/>
          <w:lang w:val="es-ES_tradnl" w:eastAsia="es-MX"/>
        </w:rPr>
        <w:t>Entidad Estatal</w:t>
      </w:r>
      <w:r w:rsidRPr="00A53A97">
        <w:rPr>
          <w:rFonts w:ascii="Arial" w:eastAsia="Times New Roman" w:hAnsi="Arial" w:cs="Arial"/>
          <w:szCs w:val="24"/>
          <w:lang w:val="es-ES_tradnl" w:eastAsia="es-MX"/>
        </w:rPr>
        <w:t xml:space="preserve"> identificar desde el punto de vista técnico y financiero el objeto del contrato, las particularidades de su ejecución, los potenciales proponentes, requisitos mínimos para evaluar la idoneidad del contratista, así como analizar todas las variables que puedan afectar el procedimiento de selección, celebración y ejecución del contrato. Tal es la importancia de los estudios y documentos previos que su deficiencia o ausencia, «genera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Pr="00A53A97">
        <w:rPr>
          <w:rFonts w:ascii="Arial" w:eastAsia="Times New Roman" w:hAnsi="Arial" w:cs="Arial"/>
          <w:szCs w:val="24"/>
          <w:vertAlign w:val="superscript"/>
          <w:lang w:val="es-ES_tradnl" w:eastAsia="es-MX"/>
        </w:rPr>
        <w:footnoteReference w:id="4"/>
      </w:r>
      <w:r w:rsidRPr="00A53A97">
        <w:rPr>
          <w:rFonts w:ascii="Arial" w:eastAsia="Times New Roman" w:hAnsi="Arial" w:cs="Arial"/>
          <w:szCs w:val="24"/>
          <w:lang w:val="es-ES_tradnl" w:eastAsia="es-MX"/>
        </w:rPr>
        <w:t>. En congruencia con el artículo 25 de la Ley 80 de 1993, el Decreto Único Reglamentario del Sector Administrativo de Planeación Nacional –Decreto 1082 de 2015–, dispone en el artículo 2.2.1.1.2.1.1 el contenido mínimo de los estudios y documentos previos:</w:t>
      </w:r>
    </w:p>
    <w:p w14:paraId="3BFFB70B" w14:textId="77777777" w:rsidR="00A53A97" w:rsidRPr="00A53A97" w:rsidRDefault="00A53A97" w:rsidP="00A53A97">
      <w:pPr>
        <w:spacing w:after="0" w:line="276" w:lineRule="auto"/>
        <w:ind w:left="709" w:right="709"/>
        <w:rPr>
          <w:rFonts w:ascii="Arial" w:eastAsia="Times New Roman" w:hAnsi="Arial" w:cs="Arial"/>
          <w:highlight w:val="yellow"/>
          <w:lang w:val="es-ES_tradnl" w:eastAsia="es-CO"/>
        </w:rPr>
      </w:pPr>
    </w:p>
    <w:p w14:paraId="5C1E0207" w14:textId="5264FDEB" w:rsidR="00A53A97" w:rsidRPr="00A53A97" w:rsidRDefault="003A338E" w:rsidP="00A53A97">
      <w:pPr>
        <w:spacing w:after="120" w:line="240" w:lineRule="auto"/>
        <w:ind w:left="709" w:right="709"/>
        <w:jc w:val="both"/>
        <w:rPr>
          <w:rFonts w:ascii="Arial" w:eastAsia="Times New Roman" w:hAnsi="Arial" w:cs="Arial"/>
          <w:sz w:val="21"/>
          <w:szCs w:val="21"/>
          <w:lang w:val="es-ES_tradnl" w:eastAsia="es-MX"/>
        </w:rPr>
      </w:pPr>
      <w:r w:rsidRPr="00A53A97">
        <w:rPr>
          <w:rFonts w:ascii="Arial" w:eastAsia="Times New Roman" w:hAnsi="Arial" w:cs="Arial"/>
          <w:szCs w:val="24"/>
          <w:lang w:val="es-ES_tradnl" w:eastAsia="es-MX"/>
        </w:rPr>
        <w:t>«</w:t>
      </w:r>
      <w:r w:rsidR="00A53A97" w:rsidRPr="00A53A97">
        <w:rPr>
          <w:rFonts w:ascii="Arial" w:eastAsia="Times New Roman" w:hAnsi="Arial" w:cs="Arial"/>
          <w:sz w:val="21"/>
          <w:szCs w:val="21"/>
          <w:lang w:val="es-ES_tradnl" w:eastAsia="es-MX"/>
        </w:rPr>
        <w:t xml:space="preserve">Artículo 2.2.1.1.2.1.1. 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 </w:t>
      </w:r>
    </w:p>
    <w:p w14:paraId="0640A901" w14:textId="77777777" w:rsidR="00A53A97" w:rsidRPr="00A53A97" w:rsidRDefault="00A53A97" w:rsidP="00A53A97">
      <w:pPr>
        <w:spacing w:after="120" w:line="240" w:lineRule="auto"/>
        <w:ind w:left="709" w:right="709"/>
        <w:jc w:val="both"/>
        <w:rPr>
          <w:rFonts w:ascii="Arial" w:eastAsia="Times New Roman" w:hAnsi="Arial" w:cs="Arial"/>
          <w:sz w:val="21"/>
          <w:szCs w:val="21"/>
          <w:lang w:val="es-ES_tradnl" w:eastAsia="es-MX"/>
        </w:rPr>
      </w:pPr>
      <w:r w:rsidRPr="00A53A97">
        <w:rPr>
          <w:rFonts w:ascii="Arial" w:eastAsia="Times New Roman" w:hAnsi="Arial" w:cs="Arial"/>
          <w:sz w:val="21"/>
          <w:szCs w:val="21"/>
          <w:lang w:val="es-ES_tradnl" w:eastAsia="es-MX"/>
        </w:rPr>
        <w:t>1. La descripción de la necesidad que la Entidad Estatal pretende satisfacer con el Proceso de Contratación. ​</w:t>
      </w:r>
    </w:p>
    <w:p w14:paraId="79A03266" w14:textId="77777777" w:rsidR="00A53A97" w:rsidRPr="00A53A97" w:rsidRDefault="00A53A97" w:rsidP="00A53A97">
      <w:pPr>
        <w:spacing w:after="120" w:line="240" w:lineRule="auto"/>
        <w:ind w:left="709" w:right="709"/>
        <w:jc w:val="both"/>
        <w:rPr>
          <w:rFonts w:ascii="Arial" w:eastAsia="Times New Roman" w:hAnsi="Arial" w:cs="Arial"/>
          <w:sz w:val="21"/>
          <w:szCs w:val="21"/>
          <w:lang w:val="es-ES_tradnl" w:eastAsia="es-MX"/>
        </w:rPr>
      </w:pPr>
      <w:r w:rsidRPr="00A53A97">
        <w:rPr>
          <w:rFonts w:ascii="Arial" w:eastAsia="Times New Roman" w:hAnsi="Arial" w:cs="Arial"/>
          <w:sz w:val="21"/>
          <w:szCs w:val="21"/>
          <w:lang w:val="es-ES_tradnl" w:eastAsia="es-MX"/>
        </w:rPr>
        <w:t xml:space="preserve">2. El objeto a contratar, con sus especificaciones, las autorizaciones, permisos y licencias requeridos para su ejecución, y cuando el contrato incluye diseño y construcción, los documentos técnicos para el desarrollo del proyecto. </w:t>
      </w:r>
    </w:p>
    <w:p w14:paraId="11BA6540" w14:textId="77777777" w:rsidR="00A53A97" w:rsidRPr="00A53A97" w:rsidRDefault="00A53A97" w:rsidP="00A53A97">
      <w:pPr>
        <w:spacing w:after="120" w:line="240" w:lineRule="auto"/>
        <w:ind w:left="709" w:right="709"/>
        <w:jc w:val="both"/>
        <w:rPr>
          <w:rFonts w:ascii="Arial" w:eastAsia="Times New Roman" w:hAnsi="Arial" w:cs="Arial"/>
          <w:i/>
          <w:iCs/>
          <w:sz w:val="21"/>
          <w:szCs w:val="21"/>
          <w:lang w:val="es-ES_tradnl" w:eastAsia="es-MX"/>
        </w:rPr>
      </w:pPr>
      <w:r w:rsidRPr="00A53A97">
        <w:rPr>
          <w:rFonts w:ascii="Arial" w:eastAsia="Times New Roman" w:hAnsi="Arial" w:cs="Arial"/>
          <w:i/>
          <w:iCs/>
          <w:sz w:val="21"/>
          <w:szCs w:val="21"/>
          <w:lang w:val="es-ES_tradnl" w:eastAsia="es-MX"/>
        </w:rPr>
        <w:t xml:space="preserve">3. La modalidad de selección del contratista y su justificación, incluyendo los fundamentos jurídicos. </w:t>
      </w:r>
    </w:p>
    <w:p w14:paraId="36CAF4D5" w14:textId="77777777" w:rsidR="00A53A97" w:rsidRPr="00A53A97" w:rsidRDefault="00A53A97" w:rsidP="00A53A97">
      <w:pPr>
        <w:spacing w:after="120" w:line="240" w:lineRule="auto"/>
        <w:ind w:left="709" w:right="709"/>
        <w:jc w:val="both"/>
        <w:rPr>
          <w:rFonts w:ascii="Arial" w:eastAsia="Times New Roman" w:hAnsi="Arial" w:cs="Arial"/>
          <w:sz w:val="21"/>
          <w:szCs w:val="21"/>
          <w:lang w:val="es-ES_tradnl" w:eastAsia="es-MX"/>
        </w:rPr>
      </w:pPr>
      <w:r w:rsidRPr="00A53A97">
        <w:rPr>
          <w:rFonts w:ascii="Arial" w:eastAsia="Times New Roman" w:hAnsi="Arial" w:cs="Arial"/>
          <w:sz w:val="21"/>
          <w:szCs w:val="21"/>
          <w:lang w:val="es-ES_tradnl" w:eastAsia="es-MX"/>
        </w:rPr>
        <w:t xml:space="preserve">4. El valor estimado del contrato y la justificación del mismo.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w:t>
      </w:r>
    </w:p>
    <w:p w14:paraId="231F6C24" w14:textId="77777777" w:rsidR="00A53A97" w:rsidRPr="00A53A97" w:rsidRDefault="00A53A97" w:rsidP="00A53A97">
      <w:pPr>
        <w:spacing w:after="120" w:line="240" w:lineRule="auto"/>
        <w:ind w:left="709" w:right="709"/>
        <w:jc w:val="both"/>
        <w:rPr>
          <w:rFonts w:ascii="Arial" w:eastAsia="Times New Roman" w:hAnsi="Arial" w:cs="Arial"/>
          <w:sz w:val="21"/>
          <w:szCs w:val="21"/>
          <w:lang w:val="es-ES_tradnl" w:eastAsia="es-MX"/>
        </w:rPr>
      </w:pPr>
      <w:r w:rsidRPr="00A53A97">
        <w:rPr>
          <w:rFonts w:ascii="Arial" w:eastAsia="Times New Roman" w:hAnsi="Arial" w:cs="Arial"/>
          <w:sz w:val="21"/>
          <w:szCs w:val="21"/>
          <w:lang w:val="es-ES_tradnl" w:eastAsia="es-MX"/>
        </w:rPr>
        <w:t xml:space="preserve">5. Los criterios para seleccionar la oferta más favorable. </w:t>
      </w:r>
    </w:p>
    <w:p w14:paraId="078475FA" w14:textId="77777777" w:rsidR="00A53A97" w:rsidRPr="00A53A97" w:rsidRDefault="00A53A97" w:rsidP="00A53A97">
      <w:pPr>
        <w:spacing w:after="120" w:line="240" w:lineRule="auto"/>
        <w:ind w:left="709" w:right="709"/>
        <w:jc w:val="both"/>
        <w:rPr>
          <w:rFonts w:ascii="Arial" w:eastAsia="Times New Roman" w:hAnsi="Arial" w:cs="Arial"/>
          <w:sz w:val="21"/>
          <w:szCs w:val="21"/>
          <w:lang w:val="es-ES_tradnl" w:eastAsia="es-MX"/>
        </w:rPr>
      </w:pPr>
      <w:r w:rsidRPr="00A53A97">
        <w:rPr>
          <w:rFonts w:ascii="Arial" w:eastAsia="Times New Roman" w:hAnsi="Arial" w:cs="Arial"/>
          <w:sz w:val="21"/>
          <w:szCs w:val="21"/>
          <w:lang w:val="es-ES_tradnl" w:eastAsia="es-MX"/>
        </w:rPr>
        <w:t xml:space="preserve">6. El análisis de Riesgo y la forma de mitigarlo. </w:t>
      </w:r>
    </w:p>
    <w:p w14:paraId="7FAEA393" w14:textId="77777777" w:rsidR="00A53A97" w:rsidRPr="00A53A97" w:rsidRDefault="00A53A97" w:rsidP="00A53A97">
      <w:pPr>
        <w:spacing w:after="120" w:line="240" w:lineRule="auto"/>
        <w:ind w:left="709" w:right="709"/>
        <w:jc w:val="both"/>
        <w:rPr>
          <w:rFonts w:ascii="Arial" w:eastAsia="Times New Roman" w:hAnsi="Arial" w:cs="Arial"/>
          <w:sz w:val="21"/>
          <w:szCs w:val="21"/>
          <w:lang w:val="es-ES_tradnl" w:eastAsia="es-MX"/>
        </w:rPr>
      </w:pPr>
      <w:r w:rsidRPr="00A53A97">
        <w:rPr>
          <w:rFonts w:ascii="Arial" w:eastAsia="Times New Roman" w:hAnsi="Arial" w:cs="Arial"/>
          <w:sz w:val="21"/>
          <w:szCs w:val="21"/>
          <w:lang w:val="es-ES_tradnl" w:eastAsia="es-MX"/>
        </w:rPr>
        <w:t xml:space="preserve">7. Las garantías que la Entidad Estatal contempla exigir en el proceso de contratación. </w:t>
      </w:r>
    </w:p>
    <w:p w14:paraId="69C64199" w14:textId="77777777" w:rsidR="00A53A97" w:rsidRPr="00A53A97" w:rsidRDefault="00A53A97" w:rsidP="00A53A97">
      <w:pPr>
        <w:spacing w:after="120" w:line="240" w:lineRule="auto"/>
        <w:ind w:left="709" w:right="709"/>
        <w:jc w:val="both"/>
        <w:rPr>
          <w:rFonts w:ascii="Arial" w:eastAsia="Times New Roman" w:hAnsi="Arial" w:cs="Arial"/>
          <w:sz w:val="21"/>
          <w:szCs w:val="21"/>
          <w:lang w:val="es-ES_tradnl" w:eastAsia="es-MX"/>
        </w:rPr>
      </w:pPr>
      <w:r w:rsidRPr="00A53A97">
        <w:rPr>
          <w:rFonts w:ascii="Arial" w:eastAsia="Times New Roman" w:hAnsi="Arial" w:cs="Arial"/>
          <w:sz w:val="21"/>
          <w:szCs w:val="21"/>
          <w:lang w:val="es-ES_tradnl" w:eastAsia="es-MX"/>
        </w:rPr>
        <w:lastRenderedPageBreak/>
        <w:t xml:space="preserve">8. La indicación de si el proceso de contratación está cobijado por un acuerdo comercial. </w:t>
      </w:r>
    </w:p>
    <w:p w14:paraId="75CF8CE1" w14:textId="458670B5" w:rsidR="00A53A97" w:rsidRPr="00A53A97" w:rsidRDefault="00A53A97" w:rsidP="00A53A97">
      <w:pPr>
        <w:spacing w:after="0" w:line="240" w:lineRule="auto"/>
        <w:ind w:left="709" w:right="709"/>
        <w:jc w:val="both"/>
        <w:rPr>
          <w:rFonts w:ascii="Arial" w:eastAsia="Times New Roman" w:hAnsi="Arial" w:cs="Arial"/>
          <w:sz w:val="21"/>
          <w:szCs w:val="21"/>
          <w:lang w:val="es-ES_tradnl" w:eastAsia="es-MX"/>
        </w:rPr>
      </w:pPr>
      <w:r w:rsidRPr="00A53A97">
        <w:rPr>
          <w:rFonts w:ascii="Arial" w:eastAsia="Times New Roman" w:hAnsi="Arial" w:cs="Arial"/>
          <w:sz w:val="21"/>
          <w:szCs w:val="21"/>
          <w:lang w:val="es-ES_tradnl" w:eastAsia="es-MX"/>
        </w:rPr>
        <w:t>El presente artículo no es aplicable a la contratación por mínima cuantía.</w:t>
      </w:r>
      <w:r w:rsidR="003A338E" w:rsidRPr="00A53A97">
        <w:rPr>
          <w:rFonts w:ascii="Arial" w:eastAsia="Times New Roman" w:hAnsi="Arial" w:cs="Arial"/>
          <w:szCs w:val="24"/>
          <w:lang w:val="es-ES_tradnl" w:eastAsia="es-MX"/>
        </w:rPr>
        <w:t>»</w:t>
      </w:r>
    </w:p>
    <w:p w14:paraId="365C8F12" w14:textId="77777777" w:rsidR="00A53A97" w:rsidRPr="005951C0" w:rsidRDefault="00A53A97" w:rsidP="00A53A97">
      <w:pPr>
        <w:widowControl w:val="0"/>
        <w:tabs>
          <w:tab w:val="left" w:pos="1305"/>
        </w:tabs>
        <w:autoSpaceDE w:val="0"/>
        <w:autoSpaceDN w:val="0"/>
        <w:spacing w:after="0" w:line="276" w:lineRule="auto"/>
        <w:ind w:left="828" w:right="822"/>
        <w:rPr>
          <w:rFonts w:ascii="Arial" w:eastAsia="Calibri" w:hAnsi="Arial" w:cs="Arial"/>
          <w:highlight w:val="yellow"/>
          <w:lang w:val="es-ES_tradnl"/>
        </w:rPr>
      </w:pPr>
    </w:p>
    <w:p w14:paraId="17E97EC8" w14:textId="77777777" w:rsidR="00A53A97" w:rsidRPr="00A53A97" w:rsidRDefault="00A53A97" w:rsidP="00A53A97">
      <w:pPr>
        <w:spacing w:after="120" w:line="276" w:lineRule="auto"/>
        <w:ind w:firstLine="709"/>
        <w:jc w:val="both"/>
        <w:rPr>
          <w:rFonts w:ascii="Arial" w:hAnsi="Arial" w:cs="Arial"/>
        </w:rPr>
      </w:pPr>
      <w:bookmarkStart w:id="7" w:name="_Hlk101520615"/>
      <w:bookmarkStart w:id="8" w:name="_Hlk54011351"/>
      <w:r w:rsidRPr="00A53A97">
        <w:rPr>
          <w:rFonts w:ascii="Arial" w:eastAsia="Arial" w:hAnsi="Arial" w:cs="Arial"/>
        </w:rPr>
        <w:t xml:space="preserve">De lo anterior se desprende que </w:t>
      </w:r>
      <w:bookmarkStart w:id="9" w:name="_Hlk102550190"/>
      <w:r w:rsidRPr="00A53A97">
        <w:rPr>
          <w:rFonts w:ascii="Arial" w:eastAsia="Arial" w:hAnsi="Arial" w:cs="Arial"/>
        </w:rPr>
        <w:t xml:space="preserve">una de las exigencias normativas, que al mismo tiempo se erige como contenido propio del deber de planeación en la contratación estatal, consiste en justificar debidamente la modalidad escogida para la selección del contratista. Lo anterior, dado que cada una de dichas modalidades, por un lado, cuenta con causales específicas y de aplicación restrictiva, como resulta suceder, por ejemplo, con la contratación directa, y, además, por cuanto ha sido intención del legislador lograr que con el diseño de cada una de dichas modalidades de selección se atienda de manera adecuada e idónea a la necesidad de la entidad contratante, a la naturaleza del objeto a contratar y a las circunstancias propias de la contratación. Por ende, la escogencia correcta del procedimiento de selección es un aspecto que no obedece a un aspecto meramente formal; sino que, por el contrario, atiende y pretende la mejor y óptima aplicación de los principios que guían la función administrativa.  </w:t>
      </w:r>
    </w:p>
    <w:bookmarkEnd w:id="7"/>
    <w:p w14:paraId="73B17EF1" w14:textId="77777777" w:rsidR="00A53A97" w:rsidRPr="00A53A97" w:rsidRDefault="00A53A97" w:rsidP="00A53A97">
      <w:pPr>
        <w:spacing w:after="120" w:line="276" w:lineRule="auto"/>
        <w:ind w:firstLine="709"/>
        <w:jc w:val="both"/>
        <w:rPr>
          <w:rFonts w:ascii="Arial" w:hAnsi="Arial" w:cs="Arial"/>
        </w:rPr>
      </w:pPr>
      <w:r w:rsidRPr="00A53A97">
        <w:rPr>
          <w:rFonts w:ascii="Arial" w:eastAsia="Arial" w:hAnsi="Arial" w:cs="Arial"/>
        </w:rPr>
        <w:t xml:space="preserve">Por esta razón, el parágrafo 1 del artículo 2 de la Ley 1150 de 2007 claramente determina el deber de la entidad pública de justificar la escogencia de esta o aquella modalidad de selección, en los siguientes términos: </w:t>
      </w:r>
      <w:r w:rsidRPr="00A53A97">
        <w:rPr>
          <w:rFonts w:ascii="Arial" w:eastAsia="Arial" w:hAnsi="Arial" w:cs="Arial"/>
          <w:color w:val="000000"/>
        </w:rPr>
        <w:t xml:space="preserve">«La entidad deberá justificar de manera previa a la apertura del proceso de selección de que se trate, los fundamentos jurídicos que soportan la modalidad de selección que se propone adelantar». De tal manera, el contenido de los pliegos de condiciones establecido en el precitado artículo </w:t>
      </w:r>
      <w:r w:rsidRPr="00A53A97">
        <w:rPr>
          <w:rFonts w:ascii="Arial" w:eastAsia="Arial" w:hAnsi="Arial" w:cs="Arial"/>
        </w:rPr>
        <w:t>2.2.1.1.2.1.1 del Decreto 1082 de 2015, no resulta ser más que una reiteración del deber de las entidades estatales dado por la Ley 1150 de 2007 y derivado, entre otros, del deber de planeación.</w:t>
      </w:r>
    </w:p>
    <w:bookmarkEnd w:id="9"/>
    <w:p w14:paraId="7B5FDDE8" w14:textId="3F6859D4" w:rsidR="00A53A97" w:rsidRPr="00A53A97" w:rsidRDefault="00A53A97" w:rsidP="00A53A97">
      <w:pPr>
        <w:spacing w:after="120" w:line="276" w:lineRule="auto"/>
        <w:ind w:firstLine="709"/>
        <w:jc w:val="both"/>
        <w:rPr>
          <w:rFonts w:ascii="Arial" w:eastAsia="Times New Roman" w:hAnsi="Arial" w:cs="Arial"/>
          <w:szCs w:val="24"/>
          <w:lang w:eastAsia="es-MX"/>
        </w:rPr>
      </w:pPr>
      <w:r w:rsidRPr="00A53A97">
        <w:rPr>
          <w:rFonts w:ascii="Arial" w:eastAsia="Times New Roman" w:hAnsi="Arial" w:cs="Arial"/>
          <w:szCs w:val="24"/>
          <w:lang w:eastAsia="es-MX"/>
        </w:rPr>
        <w:t>Entonces</w:t>
      </w:r>
      <w:r w:rsidRPr="00A53A97">
        <w:rPr>
          <w:rFonts w:ascii="Arial" w:eastAsia="Times New Roman" w:hAnsi="Arial" w:cs="Arial"/>
          <w:szCs w:val="24"/>
          <w:lang w:val="es-ES_tradnl" w:eastAsia="es-MX"/>
        </w:rPr>
        <w:t xml:space="preserve">, antes de iniciar un procedimiento de selección, la </w:t>
      </w:r>
      <w:r w:rsidR="00BB6E46">
        <w:rPr>
          <w:rFonts w:ascii="Arial" w:eastAsia="Times New Roman" w:hAnsi="Arial" w:cs="Arial"/>
          <w:szCs w:val="24"/>
          <w:lang w:val="es-ES_tradnl" w:eastAsia="es-MX"/>
        </w:rPr>
        <w:t>Entidad Estatal</w:t>
      </w:r>
      <w:r w:rsidRPr="00A53A97">
        <w:rPr>
          <w:rFonts w:ascii="Arial" w:eastAsia="Times New Roman" w:hAnsi="Arial" w:cs="Arial"/>
          <w:szCs w:val="24"/>
          <w:lang w:val="es-ES_tradnl" w:eastAsia="es-MX"/>
        </w:rPr>
        <w:t xml:space="preserve"> podrá determinar con los estudios previos: i) la verdadera necesidad de la celebración del contrato; ii) </w:t>
      </w:r>
      <w:r w:rsidRPr="00A53A97">
        <w:rPr>
          <w:rFonts w:ascii="Arial" w:eastAsia="Times New Roman" w:hAnsi="Arial" w:cs="Arial"/>
          <w:i/>
          <w:iCs/>
          <w:szCs w:val="24"/>
          <w:lang w:val="es-ES_tradnl" w:eastAsia="es-MX"/>
        </w:rPr>
        <w:t>las modalidades existentes para satisfacer esa necesidad y las razones que justifiquen la modalidad o tipo contractual que se escoja</w:t>
      </w:r>
      <w:r w:rsidRPr="00A53A97">
        <w:rPr>
          <w:rFonts w:ascii="Arial" w:eastAsia="Times New Roman" w:hAnsi="Arial" w:cs="Arial"/>
          <w:szCs w:val="24"/>
          <w:lang w:val="es-ES_tradnl" w:eastAsia="es-MX"/>
        </w:rPr>
        <w:t xml:space="preserve">; iii) las calidades, especificaciones, cantidades y demás características que puedan o deban reunir los bienes, las obras o los servicios cuya contratación se haya determinado necesaria, iv)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vii) los procedimientos, trámites y requisitos que deban satisfacerse, reunirse u obtenerse para llevar a cabo la selección del respectivo contratista y la celebración del contrato que se pretenda celebrar. La consideración de todos estos aspectos </w:t>
      </w:r>
      <w:bookmarkEnd w:id="8"/>
      <w:r w:rsidRPr="00A53A97">
        <w:rPr>
          <w:rFonts w:ascii="Arial" w:eastAsia="Calibri" w:hAnsi="Arial" w:cs="Arial"/>
          <w:bCs/>
          <w:szCs w:val="24"/>
          <w:lang w:val="es-ES_tradnl" w:eastAsia="es-MX"/>
        </w:rPr>
        <w:t xml:space="preserve">permite que los contratos resultantes de la planeación cuenten con el sustento técnico, económico y jurídico que incidirá </w:t>
      </w:r>
      <w:r w:rsidRPr="00A53A97">
        <w:rPr>
          <w:rFonts w:ascii="Arial" w:eastAsia="Times New Roman" w:hAnsi="Arial" w:cs="Arial"/>
          <w:szCs w:val="24"/>
          <w:lang w:val="es-ES_tradnl" w:eastAsia="es-MX"/>
        </w:rPr>
        <w:t>en una adecuada ejecución.</w:t>
      </w:r>
    </w:p>
    <w:p w14:paraId="27D0FEF3" w14:textId="4BFC0A17" w:rsidR="00A53A97" w:rsidRPr="00A53A97" w:rsidRDefault="00A53A97" w:rsidP="00A53A97">
      <w:pPr>
        <w:spacing w:after="120" w:line="276" w:lineRule="auto"/>
        <w:ind w:right="102" w:firstLine="709"/>
        <w:jc w:val="both"/>
        <w:rPr>
          <w:rFonts w:ascii="Arial" w:eastAsia="Times New Roman" w:hAnsi="Arial" w:cs="Arial"/>
          <w:szCs w:val="24"/>
          <w:lang w:val="es-ES_tradnl" w:eastAsia="es-MX"/>
        </w:rPr>
      </w:pPr>
      <w:r w:rsidRPr="00A53A97">
        <w:rPr>
          <w:rFonts w:ascii="Arial" w:eastAsia="Times New Roman" w:hAnsi="Arial" w:cs="Arial"/>
          <w:szCs w:val="24"/>
          <w:lang w:val="es-ES_tradnl" w:eastAsia="es-MX"/>
        </w:rPr>
        <w:lastRenderedPageBreak/>
        <w:t>Más allá del cumplimiento de la normativa «los estudios y documentos previos son el soporte para elaborar el proyecto de pliegos, los pliegos de condiciones, y el contrato»</w:t>
      </w:r>
      <w:r w:rsidRPr="00A53A97">
        <w:rPr>
          <w:rFonts w:ascii="Arial" w:eastAsia="Times New Roman" w:hAnsi="Arial" w:cs="Arial"/>
          <w:szCs w:val="24"/>
          <w:vertAlign w:val="superscript"/>
          <w:lang w:val="es-ES_tradnl" w:eastAsia="es-MX"/>
        </w:rPr>
        <w:footnoteReference w:id="5"/>
      </w:r>
      <w:r w:rsidRPr="00A53A97">
        <w:rPr>
          <w:rFonts w:ascii="Arial" w:eastAsia="Times New Roman" w:hAnsi="Arial" w:cs="Arial"/>
          <w:szCs w:val="24"/>
          <w:lang w:val="es-ES_tradnl" w:eastAsia="es-MX"/>
        </w:rPr>
        <w:t xml:space="preserve">, por lo que deben publicarse en la etapa precontractual y sirven de motivación para los documentos expedidos unilateralmente por la </w:t>
      </w:r>
      <w:r w:rsidR="00BB6E46">
        <w:rPr>
          <w:rFonts w:ascii="Arial" w:eastAsia="Times New Roman" w:hAnsi="Arial" w:cs="Arial"/>
          <w:szCs w:val="24"/>
          <w:lang w:val="es-ES_tradnl" w:eastAsia="es-MX"/>
        </w:rPr>
        <w:t>Entidad Estatal</w:t>
      </w:r>
      <w:r w:rsidRPr="00A53A97">
        <w:rPr>
          <w:rFonts w:ascii="Arial" w:eastAsia="Times New Roman" w:hAnsi="Arial" w:cs="Arial"/>
          <w:szCs w:val="24"/>
          <w:lang w:val="es-ES_tradnl" w:eastAsia="es-MX"/>
        </w:rPr>
        <w:t xml:space="preserve"> tales como el acto administrativo de apertura, los pliegos de condiciones y el acto de adjudicación, entre otros. En ese sentido, </w:t>
      </w:r>
      <w:bookmarkStart w:id="11" w:name="_Hlk54011438"/>
      <w:r w:rsidRPr="00A53A97">
        <w:rPr>
          <w:rFonts w:ascii="Arial" w:eastAsia="Times New Roman" w:hAnsi="Arial" w:cs="Arial"/>
          <w:szCs w:val="24"/>
          <w:lang w:val="es-ES_tradnl" w:eastAsia="es-MX"/>
        </w:rPr>
        <w:t xml:space="preserve">los estudios y documentos previos son necesarios antes de la celebración del contrato, pues fundamentan las condiciones que la </w:t>
      </w:r>
      <w:r w:rsidR="00BB6E46">
        <w:rPr>
          <w:rFonts w:ascii="Arial" w:eastAsia="Times New Roman" w:hAnsi="Arial" w:cs="Arial"/>
          <w:szCs w:val="24"/>
          <w:lang w:val="es-ES_tradnl" w:eastAsia="es-MX"/>
        </w:rPr>
        <w:t>Entidad Estatal</w:t>
      </w:r>
      <w:r w:rsidRPr="00A53A97">
        <w:rPr>
          <w:rFonts w:ascii="Arial" w:eastAsia="Times New Roman" w:hAnsi="Arial" w:cs="Arial"/>
          <w:szCs w:val="24"/>
          <w:lang w:val="es-ES_tradnl" w:eastAsia="es-MX"/>
        </w:rPr>
        <w:t xml:space="preserve"> exige en su proceso de contratación. Sin embargo, luego de la suscripción del contrato la entidad no debe actuar unilateralmente, sino que debe respetar la buena fe contractual y proceder de acuerdo con lo pactado</w:t>
      </w:r>
      <w:bookmarkEnd w:id="11"/>
      <w:r w:rsidRPr="00A53A97">
        <w:rPr>
          <w:rFonts w:ascii="Arial" w:eastAsia="Times New Roman" w:hAnsi="Arial" w:cs="Arial"/>
          <w:szCs w:val="24"/>
          <w:vertAlign w:val="superscript"/>
          <w:lang w:val="es-ES_tradnl" w:eastAsia="es-MX"/>
        </w:rPr>
        <w:footnoteReference w:id="6"/>
      </w:r>
      <w:r w:rsidRPr="00A53A97">
        <w:rPr>
          <w:rFonts w:ascii="Arial" w:eastAsia="Times New Roman" w:hAnsi="Arial" w:cs="Arial"/>
          <w:szCs w:val="24"/>
          <w:lang w:val="es-ES_tradnl" w:eastAsia="es-MX"/>
        </w:rPr>
        <w:t>.</w:t>
      </w:r>
    </w:p>
    <w:p w14:paraId="17D178E3" w14:textId="77777777" w:rsidR="00A53A97" w:rsidRPr="00A53A97" w:rsidRDefault="00A53A97" w:rsidP="00A53A97">
      <w:pPr>
        <w:spacing w:after="120" w:line="276" w:lineRule="auto"/>
        <w:ind w:firstLine="709"/>
        <w:jc w:val="both"/>
        <w:rPr>
          <w:rFonts w:ascii="Arial" w:eastAsia="Times New Roman" w:hAnsi="Arial" w:cs="Arial"/>
          <w:szCs w:val="24"/>
          <w:lang w:val="es-ES_tradnl" w:eastAsia="es-MX"/>
        </w:rPr>
      </w:pPr>
      <w:r w:rsidRPr="00A53A97">
        <w:rPr>
          <w:rFonts w:ascii="Arial" w:eastAsia="Times New Roman" w:hAnsi="Arial" w:cs="Arial"/>
          <w:szCs w:val="24"/>
          <w:lang w:val="es-ES_tradnl" w:eastAsia="es-MX"/>
        </w:rPr>
        <w:t>En cuanto a la responsabilidad de la elaboración de los estudios y documentos previos, corresponde a «la oficina, dependencia o departamento que tenga la necesidad de que se celebre el contrato», de acuerdo con «las instrucciones y procedimientos establecidos en el Manual de Contratación de la Entidad, en el marco de la Ley y los reglamentos vigentes»</w:t>
      </w:r>
      <w:r w:rsidRPr="00A53A97">
        <w:rPr>
          <w:rFonts w:ascii="Arial" w:eastAsia="Times New Roman" w:hAnsi="Arial" w:cs="Arial"/>
          <w:szCs w:val="24"/>
          <w:vertAlign w:val="superscript"/>
          <w:lang w:val="es-ES_tradnl" w:eastAsia="es-MX"/>
        </w:rPr>
        <w:footnoteReference w:id="7"/>
      </w:r>
      <w:r w:rsidRPr="00A53A97">
        <w:rPr>
          <w:rFonts w:ascii="Arial" w:eastAsia="Times New Roman" w:hAnsi="Arial" w:cs="Arial"/>
          <w:szCs w:val="24"/>
          <w:lang w:val="es-ES_tradnl" w:eastAsia="es-MX"/>
        </w:rPr>
        <w:t xml:space="preserve">. De esta manera, de conformidad con la estructura interna de cada entidad, la elaboración de los estudios previos corresponderá al funcionario responsable de la dependencia </w:t>
      </w:r>
      <w:r w:rsidRPr="00A53A97">
        <w:rPr>
          <w:rFonts w:ascii="Arial" w:eastAsia="Times New Roman" w:hAnsi="Arial" w:cs="Arial"/>
          <w:spacing w:val="2"/>
          <w:szCs w:val="24"/>
          <w:lang w:val="es-ES_tradnl" w:eastAsia="es-MX"/>
        </w:rPr>
        <w:t xml:space="preserve">con </w:t>
      </w:r>
      <w:r w:rsidRPr="00A53A97">
        <w:rPr>
          <w:rFonts w:ascii="Arial" w:eastAsia="Times New Roman" w:hAnsi="Arial" w:cs="Arial"/>
          <w:szCs w:val="24"/>
          <w:lang w:val="es-ES_tradnl" w:eastAsia="es-MX"/>
        </w:rPr>
        <w:t>la necesidad a</w:t>
      </w:r>
      <w:r w:rsidRPr="00A53A97">
        <w:rPr>
          <w:rFonts w:ascii="Arial" w:eastAsia="Times New Roman" w:hAnsi="Arial" w:cs="Arial"/>
          <w:spacing w:val="-4"/>
          <w:szCs w:val="24"/>
          <w:lang w:val="es-ES_tradnl" w:eastAsia="es-MX"/>
        </w:rPr>
        <w:t xml:space="preserve"> </w:t>
      </w:r>
      <w:r w:rsidRPr="00A53A97">
        <w:rPr>
          <w:rFonts w:ascii="Arial" w:eastAsia="Times New Roman" w:hAnsi="Arial" w:cs="Arial"/>
          <w:szCs w:val="24"/>
          <w:lang w:val="es-ES_tradnl" w:eastAsia="es-MX"/>
        </w:rPr>
        <w:t>satisfacer.</w:t>
      </w:r>
    </w:p>
    <w:p w14:paraId="5A175050" w14:textId="1F1BEBF3" w:rsidR="00A53A97" w:rsidRPr="00A53A97" w:rsidRDefault="00A53A97" w:rsidP="00A53A97">
      <w:pPr>
        <w:spacing w:after="0" w:line="276" w:lineRule="auto"/>
        <w:ind w:firstLine="708"/>
        <w:jc w:val="both"/>
        <w:rPr>
          <w:rFonts w:ascii="Arial" w:eastAsia="Calibri" w:hAnsi="Arial" w:cs="Arial"/>
          <w:bCs/>
          <w:szCs w:val="24"/>
          <w:lang w:val="es-ES_tradnl" w:eastAsia="es-MX"/>
        </w:rPr>
      </w:pPr>
      <w:r w:rsidRPr="00A53A97">
        <w:rPr>
          <w:rFonts w:ascii="Arial" w:eastAsia="Times New Roman" w:hAnsi="Arial" w:cs="Arial"/>
          <w:szCs w:val="24"/>
          <w:lang w:val="es-ES_tradnl" w:eastAsia="es-MX"/>
        </w:rPr>
        <w:t xml:space="preserve">Ahora bien, conforme se desprende del numeral 3 del artículo 2.2.1.1.2.1.1 del Decreto 1082 de 2015, uno de los aspectos que deben abarcar los estudios previos es la modalidad de selección del contratista y su justificación, incluyendo los fundamentos jurídicos. </w:t>
      </w:r>
      <w:r w:rsidRPr="00A53A97">
        <w:rPr>
          <w:rFonts w:ascii="Arial" w:eastAsia="Calibri" w:hAnsi="Arial" w:cs="Arial"/>
          <w:bCs/>
          <w:szCs w:val="24"/>
          <w:lang w:val="es-ES_tradnl" w:eastAsia="es-MX"/>
        </w:rPr>
        <w:t xml:space="preserve">Para estos efectos resulta relevante la información recolectada en el marco del estudio del mercado y el análisis del sector económico y de los potenciales oferentes, actividades de planeación previa que sirven para identificar aspectos concretos del mercado que pueden afectar el proceso de selección o las condiciones del negocio a realizar mediante el proceso de contratación. En este sentido, el análisis del sector de las perspectivas legal, comercial, financiera, organizacional, técnica, y de análisis de Riesgo, al que se refiere el artículo </w:t>
      </w:r>
      <w:bookmarkStart w:id="12" w:name="_Hlk36117416"/>
      <w:r w:rsidRPr="00A53A97">
        <w:rPr>
          <w:rFonts w:ascii="Arial" w:eastAsia="Calibri" w:hAnsi="Arial" w:cs="Arial"/>
          <w:bCs/>
          <w:szCs w:val="24"/>
          <w:lang w:val="es-ES_tradnl" w:eastAsia="es-MX"/>
        </w:rPr>
        <w:t>2.2.1.1.1.6.1 del Decreto 1082 de 2015</w:t>
      </w:r>
      <w:bookmarkEnd w:id="12"/>
      <w:r w:rsidRPr="00A53A97">
        <w:rPr>
          <w:rFonts w:ascii="Arial" w:eastAsia="Calibri" w:hAnsi="Arial" w:cs="Arial"/>
          <w:bCs/>
          <w:szCs w:val="24"/>
          <w:lang w:val="es-ES_tradnl" w:eastAsia="es-MX"/>
        </w:rPr>
        <w:t xml:space="preserve">, constituye un insumo importante para determinar factores que pudieran determinar la escogencia de alguna de las modalidades de selección del contratista de las previstas en el artículo 2 de la Ley 1150 de 2007, sin perjuicio de que la utilización de la licitación pública es la </w:t>
      </w:r>
      <w:r w:rsidRPr="00A53A97">
        <w:rPr>
          <w:rFonts w:ascii="Arial" w:eastAsia="Calibri" w:hAnsi="Arial" w:cs="Arial"/>
          <w:bCs/>
          <w:szCs w:val="24"/>
          <w:lang w:val="es-ES_tradnl" w:eastAsia="es-MX"/>
        </w:rPr>
        <w:lastRenderedPageBreak/>
        <w:t xml:space="preserve">regla general, a menos de que se evidencie la existencia de los supuestos de hecho de una </w:t>
      </w:r>
      <w:r w:rsidR="00670BD8" w:rsidRPr="00A53A97">
        <w:rPr>
          <w:rFonts w:ascii="Arial" w:eastAsia="Calibri" w:hAnsi="Arial" w:cs="Arial"/>
          <w:bCs/>
          <w:szCs w:val="24"/>
          <w:lang w:val="es-ES_tradnl" w:eastAsia="es-MX"/>
        </w:rPr>
        <w:t>causal</w:t>
      </w:r>
      <w:r w:rsidRPr="00A53A97">
        <w:rPr>
          <w:rFonts w:ascii="Arial" w:eastAsia="Calibri" w:hAnsi="Arial" w:cs="Arial"/>
          <w:bCs/>
          <w:szCs w:val="24"/>
          <w:lang w:val="es-ES_tradnl" w:eastAsia="es-MX"/>
        </w:rPr>
        <w:t xml:space="preserve"> que justifique el uso de otra modalidad de selección</w:t>
      </w:r>
      <w:r w:rsidRPr="00A53A97">
        <w:rPr>
          <w:rFonts w:ascii="Arial" w:eastAsia="Calibri" w:hAnsi="Arial" w:cs="Arial"/>
          <w:bCs/>
          <w:szCs w:val="24"/>
          <w:vertAlign w:val="superscript"/>
          <w:lang w:val="es-ES_tradnl" w:eastAsia="es-MX"/>
        </w:rPr>
        <w:footnoteReference w:id="8"/>
      </w:r>
      <w:r w:rsidRPr="00A53A97">
        <w:rPr>
          <w:rFonts w:ascii="Arial" w:eastAsia="Calibri" w:hAnsi="Arial" w:cs="Arial"/>
          <w:bCs/>
          <w:szCs w:val="24"/>
          <w:lang w:val="es-ES_tradnl" w:eastAsia="es-MX"/>
        </w:rPr>
        <w:t xml:space="preserve">.  </w:t>
      </w:r>
    </w:p>
    <w:p w14:paraId="4B710193" w14:textId="0D3789B8" w:rsidR="00A53A97" w:rsidRPr="00A53A97" w:rsidRDefault="00A53A97" w:rsidP="00A53A97">
      <w:pPr>
        <w:spacing w:before="120" w:after="0" w:line="276" w:lineRule="auto"/>
        <w:ind w:firstLine="709"/>
        <w:jc w:val="both"/>
        <w:rPr>
          <w:rFonts w:ascii="Arial" w:eastAsia="Calibri" w:hAnsi="Arial" w:cs="Arial"/>
          <w:bCs/>
          <w:szCs w:val="24"/>
          <w:lang w:val="es-ES_tradnl" w:eastAsia="es-MX"/>
        </w:rPr>
      </w:pPr>
      <w:r w:rsidRPr="00A53A97">
        <w:rPr>
          <w:rFonts w:ascii="Arial" w:eastAsia="Calibri" w:hAnsi="Arial" w:cs="Arial"/>
          <w:bCs/>
          <w:szCs w:val="24"/>
          <w:lang w:val="es-ES_tradnl" w:eastAsia="es-MX"/>
        </w:rPr>
        <w:t xml:space="preserve">De acuerdo con la norma citada, </w:t>
      </w:r>
      <w:bookmarkStart w:id="13" w:name="_Hlk36140682"/>
      <w:r w:rsidRPr="00A53A97">
        <w:rPr>
          <w:rFonts w:ascii="Arial" w:eastAsia="Calibri" w:hAnsi="Arial" w:cs="Arial"/>
          <w:bCs/>
          <w:szCs w:val="24"/>
          <w:lang w:val="es-ES_tradnl" w:eastAsia="es-MX"/>
        </w:rPr>
        <w:t xml:space="preserve">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w:t>
      </w:r>
      <w:r w:rsidR="00BB6E46">
        <w:rPr>
          <w:rFonts w:ascii="Arial" w:eastAsia="Calibri" w:hAnsi="Arial" w:cs="Arial"/>
          <w:bCs/>
          <w:szCs w:val="24"/>
          <w:lang w:val="es-ES_tradnl" w:eastAsia="es-MX"/>
        </w:rPr>
        <w:t>Entidad Estatal</w:t>
      </w:r>
      <w:r w:rsidRPr="00A53A97">
        <w:rPr>
          <w:rFonts w:ascii="Arial" w:eastAsia="Calibri" w:hAnsi="Arial" w:cs="Arial"/>
          <w:bCs/>
          <w:szCs w:val="24"/>
          <w:lang w:val="es-ES_tradnl" w:eastAsia="es-MX"/>
        </w:rPr>
        <w:t xml:space="preserve"> entienda cómo están organizados internamente los posibles oferentes y de qué manera realizan sus negocios y operaciones.</w:t>
      </w:r>
    </w:p>
    <w:p w14:paraId="49564F8D" w14:textId="77777777" w:rsidR="00A53A97" w:rsidRPr="00A53A97" w:rsidRDefault="00A53A97" w:rsidP="00A53A97">
      <w:pPr>
        <w:spacing w:before="120" w:after="0" w:line="276" w:lineRule="auto"/>
        <w:ind w:firstLine="709"/>
        <w:jc w:val="both"/>
        <w:rPr>
          <w:rFonts w:ascii="Arial" w:eastAsia="Calibri" w:hAnsi="Arial" w:cs="Arial"/>
          <w:bCs/>
          <w:szCs w:val="24"/>
          <w:lang w:val="es-ES_tradnl" w:eastAsia="es-MX"/>
        </w:rPr>
      </w:pPr>
      <w:r w:rsidRPr="00A53A97">
        <w:rPr>
          <w:rFonts w:ascii="Arial" w:eastAsia="Calibri" w:hAnsi="Arial" w:cs="Arial"/>
          <w:bCs/>
          <w:szCs w:val="24"/>
          <w:lang w:val="es-ES_tradnl" w:eastAsia="es-MX"/>
        </w:rPr>
        <w:t>Para negociar de manera adecuada, es necesario conocer la estructura de los posibles contratistas, pues permite identificar la forma en la que suplirán los requerimientos de la entidad. El análisis del sector debe tener en cuenta el objeto del proceso de contratación, las condiciones del bien o servicio y las ventajas que representa para la Administración contratar el bien o servicio con el contratista. En este último punto, el análisis del sector permite sustentar la decisión de realizar un proceso de contratación desde el punto de vista de la eficiencia, eficacia y economía.</w:t>
      </w:r>
    </w:p>
    <w:p w14:paraId="0F36A453" w14:textId="77777777" w:rsidR="00A53A97" w:rsidRPr="00A53A97" w:rsidRDefault="00A53A97" w:rsidP="00A53A97">
      <w:pPr>
        <w:spacing w:before="120" w:after="0" w:line="276" w:lineRule="auto"/>
        <w:ind w:firstLine="709"/>
        <w:jc w:val="both"/>
        <w:rPr>
          <w:rFonts w:ascii="Arial" w:eastAsia="Calibri" w:hAnsi="Arial" w:cs="Arial"/>
          <w:bCs/>
          <w:szCs w:val="24"/>
          <w:lang w:val="es-ES_tradnl" w:eastAsia="es-MX"/>
        </w:rPr>
      </w:pPr>
      <w:r w:rsidRPr="00A53A97">
        <w:rPr>
          <w:rFonts w:ascii="Arial" w:eastAsia="Calibri" w:hAnsi="Arial" w:cs="Arial"/>
          <w:bCs/>
          <w:szCs w:val="24"/>
          <w:lang w:val="es-ES_tradnl" w:eastAsia="es-MX"/>
        </w:rPr>
        <w:t xml:space="preserve">Dicho análisis facilita tanto el conocimiento del sector, desde una perspectiva multidisciplinaria, como de los proveedores disponibles en el mercado para satisfacer la necesidad de la entidad contratante. Así mismo, el análisis del sector implica un estudio de la oferta, lo que permitirá identificar qué proveedores existen en el mercado y cómo intervienen en la cadena de producción, comercialización y distribución de los bienes, obras o servicios. Así mismo, podrá estudiar la demanda para determinar cómo las entidades estatales y los particulares adquieren esos bienes, obras o servicios para extraer las mejores prácticas e información para el proceso de contratación y así estructurar de mejor manera el tipo contractual a utilizar y las condiciones y características que se podrán pactar para cumplir el objeto del contrato y para la realización de las prestaciones derivadas de las obligaciones que serán pactadas, tanto para la entidad contratante como para el contratista que proveerá el bien, obra o servicio. </w:t>
      </w:r>
    </w:p>
    <w:p w14:paraId="3E4ABE4C" w14:textId="77777777" w:rsidR="00A53A97" w:rsidRPr="00A53A97" w:rsidRDefault="00A53A97" w:rsidP="00A53A97">
      <w:pPr>
        <w:spacing w:before="120" w:after="0" w:line="276" w:lineRule="auto"/>
        <w:ind w:firstLine="709"/>
        <w:jc w:val="both"/>
        <w:rPr>
          <w:rFonts w:ascii="Arial" w:eastAsia="Calibri" w:hAnsi="Arial" w:cs="Arial"/>
          <w:bCs/>
          <w:szCs w:val="24"/>
          <w:lang w:val="es-ES_tradnl" w:eastAsia="es-MX"/>
        </w:rPr>
      </w:pPr>
      <w:r w:rsidRPr="00A53A97">
        <w:rPr>
          <w:rFonts w:ascii="Arial" w:eastAsia="Calibri" w:hAnsi="Arial" w:cs="Arial"/>
          <w:bCs/>
          <w:szCs w:val="24"/>
          <w:lang w:val="es-ES_tradnl" w:eastAsia="es-MX"/>
        </w:rPr>
        <w:t xml:space="preserve">Si bien la normativa en materia de contratación estatal establece la obligatoriedad de realizar el análisis necesario para conocer el sector relativo al objeto del proceso de contratación, </w:t>
      </w:r>
      <w:r w:rsidRPr="00A53A97">
        <w:rPr>
          <w:rFonts w:ascii="Arial" w:eastAsia="Calibri" w:hAnsi="Arial" w:cs="Arial"/>
          <w:bCs/>
          <w:szCs w:val="24"/>
          <w:lang w:val="es-ES_tradnl" w:eastAsia="es-MX"/>
        </w:rPr>
        <w:lastRenderedPageBreak/>
        <w:t xml:space="preserve">no determinan un procedimiento específico para efectuar dicho análisis por lo que las entidades </w:t>
      </w:r>
      <w:r w:rsidRPr="00A53A97">
        <w:rPr>
          <w:rFonts w:ascii="Arial" w:eastAsia="Times New Roman" w:hAnsi="Arial" w:cs="Arial"/>
          <w:lang w:val="es-ES_tradnl" w:eastAsia="es-CO"/>
        </w:rPr>
        <w:t xml:space="preserve">son autónomas para estructurarlo, para lo cual deberán cumplir lo dispuesto en el artículo </w:t>
      </w:r>
      <w:r w:rsidRPr="00A53A97">
        <w:rPr>
          <w:rFonts w:ascii="Arial" w:eastAsia="Calibri" w:hAnsi="Arial" w:cs="Arial"/>
          <w:bCs/>
          <w:szCs w:val="24"/>
          <w:lang w:val="es-ES_tradnl" w:eastAsia="es-MX"/>
        </w:rPr>
        <w:t xml:space="preserve">2.2.1.1.1.6.1 del Decreto 1082 de 2015 y realizar un análisis integral de planeación que </w:t>
      </w:r>
      <w:r w:rsidRPr="00A53A97">
        <w:rPr>
          <w:rFonts w:ascii="Arial" w:eastAsia="Times New Roman" w:hAnsi="Arial" w:cs="Arial"/>
          <w:szCs w:val="24"/>
          <w:lang w:val="es-ES_tradnl" w:eastAsia="es-MX"/>
        </w:rPr>
        <w:t xml:space="preserve">sirva de sustento a la decisión de </w:t>
      </w:r>
      <w:r w:rsidRPr="00A53A97">
        <w:rPr>
          <w:rFonts w:ascii="Arial" w:eastAsia="Times New Roman" w:hAnsi="Arial" w:cs="Arial"/>
          <w:bCs/>
          <w:szCs w:val="24"/>
          <w:lang w:val="es-ES_tradnl" w:eastAsia="es-MX"/>
        </w:rPr>
        <w:t>realizar un proceso de contratación.</w:t>
      </w:r>
    </w:p>
    <w:bookmarkEnd w:id="13"/>
    <w:p w14:paraId="547341A6" w14:textId="26AB136A" w:rsidR="00A53A97" w:rsidRPr="00A53A97" w:rsidRDefault="00A53A97" w:rsidP="00A53A97">
      <w:pPr>
        <w:spacing w:before="120" w:after="120" w:line="276" w:lineRule="auto"/>
        <w:ind w:firstLine="709"/>
        <w:jc w:val="both"/>
        <w:rPr>
          <w:rFonts w:ascii="Arial" w:eastAsia="Calibri" w:hAnsi="Arial" w:cs="Arial"/>
          <w:bCs/>
          <w:szCs w:val="24"/>
          <w:lang w:val="es-ES_tradnl" w:eastAsia="es-MX"/>
        </w:rPr>
      </w:pPr>
      <w:r w:rsidRPr="00A53A97">
        <w:rPr>
          <w:rFonts w:ascii="Arial" w:eastAsia="Calibri" w:hAnsi="Arial" w:cs="Arial"/>
          <w:bCs/>
          <w:szCs w:val="24"/>
          <w:lang w:val="es-ES_tradnl" w:eastAsia="es-MX"/>
        </w:rPr>
        <w:t xml:space="preserve">Colombia Compra Eficiente dispone de una «Guía para la Elaboración de Estudios del Sector», instrumento que sirve de apoyo para entender el mercado del bien, obra o servicio que la </w:t>
      </w:r>
      <w:r w:rsidR="00BB6E46">
        <w:rPr>
          <w:rFonts w:ascii="Arial" w:eastAsia="Calibri" w:hAnsi="Arial" w:cs="Arial"/>
          <w:bCs/>
          <w:szCs w:val="24"/>
          <w:lang w:val="es-ES_tradnl" w:eastAsia="es-MX"/>
        </w:rPr>
        <w:t>Entidad Estatal</w:t>
      </w:r>
      <w:r w:rsidRPr="00A53A97">
        <w:rPr>
          <w:rFonts w:ascii="Arial" w:eastAsia="Calibri" w:hAnsi="Arial" w:cs="Arial"/>
          <w:bCs/>
          <w:szCs w:val="24"/>
          <w:lang w:val="es-ES_tradnl" w:eastAsia="es-MX"/>
        </w:rPr>
        <w:t xml:space="preserve"> pretende adquirir para diseñar el proceso de contratación con la información necesaria para alcanzar los objetivos de eficacia, eficiencia, economía, promoción de la competencia y manejo del riesgo. En este instrumento se recomienda un análisis integral sobre varios aspectos del mercado –económico, técnico, regulatorio, etc.,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w:t>
      </w:r>
      <w:r w:rsidRPr="00A53A97">
        <w:rPr>
          <w:rFonts w:ascii="Arial" w:eastAsia="Times New Roman" w:hAnsi="Arial" w:cs="Arial"/>
          <w:vertAlign w:val="superscript"/>
          <w:lang w:val="es-ES_tradnl" w:eastAsia="es-CO"/>
        </w:rPr>
        <w:footnoteReference w:id="9"/>
      </w:r>
      <w:r w:rsidRPr="00A53A97">
        <w:rPr>
          <w:rFonts w:ascii="Arial" w:eastAsia="Times New Roman" w:hAnsi="Arial" w:cs="Arial"/>
          <w:vertAlign w:val="superscript"/>
          <w:lang w:val="es-ES_tradnl" w:eastAsia="es-CO"/>
        </w:rPr>
        <w:t>.</w:t>
      </w:r>
    </w:p>
    <w:p w14:paraId="64AA678D" w14:textId="0B5EA674" w:rsidR="00A53A97" w:rsidRPr="00A53A97" w:rsidRDefault="00A53A97" w:rsidP="00A53A97">
      <w:pPr>
        <w:spacing w:before="120" w:after="120" w:line="276" w:lineRule="auto"/>
        <w:ind w:right="113" w:firstLine="709"/>
        <w:jc w:val="both"/>
        <w:rPr>
          <w:rFonts w:ascii="Arial" w:eastAsia="Times New Roman" w:hAnsi="Arial" w:cs="Arial"/>
          <w:lang w:val="es-ES_tradnl" w:eastAsia="es-CO"/>
        </w:rPr>
      </w:pPr>
      <w:r w:rsidRPr="00A53A97">
        <w:rPr>
          <w:rFonts w:ascii="Arial" w:eastAsia="Calibri" w:hAnsi="Arial" w:cs="Arial"/>
          <w:bCs/>
          <w:szCs w:val="24"/>
          <w:lang w:val="es-ES_tradnl" w:eastAsia="es-MX"/>
        </w:rPr>
        <w:t xml:space="preserve">Adicionalmente, si bien los estudios del sector son de gran relevancia en los procesos de contratación donde existe pluralidad de oferentes, nada obsta para que se elaboren allí donde no existiría competencia. Para estos efectos, la guía mencionada explica que «En la contratación directa, el estudio del sector debe tener en cuenta el objeto del Proceso de Contratación, particularmente las condiciones del contrato, como los plazos y formas de entrega y de pago. El estudio del sector debe permitir a la </w:t>
      </w:r>
      <w:r w:rsidR="00BB6E46">
        <w:rPr>
          <w:rFonts w:ascii="Arial" w:eastAsia="Calibri" w:hAnsi="Arial" w:cs="Arial"/>
          <w:bCs/>
          <w:szCs w:val="24"/>
          <w:lang w:val="es-ES_tradnl" w:eastAsia="es-MX"/>
        </w:rPr>
        <w:t>Entidad Estatal</w:t>
      </w:r>
      <w:r w:rsidRPr="00A53A97">
        <w:rPr>
          <w:rFonts w:ascii="Arial" w:eastAsia="Calibri" w:hAnsi="Arial" w:cs="Arial"/>
          <w:bCs/>
          <w:szCs w:val="24"/>
          <w:lang w:val="es-ES_tradnl" w:eastAsia="es-MX"/>
        </w:rPr>
        <w:t xml:space="preserve"> sustentar su decisión de hacer una contratación directa, la elección del proveedor y la forma en que se pacta el contrato desde el punto de vista de la eficiencia, eficacia y economía». Además, allí se señala que en los </w:t>
      </w:r>
      <w:r w:rsidRPr="00A53A97">
        <w:rPr>
          <w:rFonts w:ascii="Arial" w:eastAsia="Times New Roman" w:hAnsi="Arial" w:cs="Arial"/>
          <w:lang w:val="es-ES_tradnl" w:eastAsia="es-CO"/>
        </w:rPr>
        <w:t>procesos de contratación directa: «La Entidad debe consignar en los Documentos del Proceso, bien sea en los estudios previos o en la información de soporte de estos, los aspectos de que trata el artículo 2.2.1.1.1.6.1 del Decreto 1082 de 2015, esto es, el análisis desde la perspectiva legal, comercial, financiera, organizacional, técnica, y de análisis de riesgo»</w:t>
      </w:r>
      <w:r w:rsidRPr="00A53A97">
        <w:rPr>
          <w:rFonts w:ascii="Arial" w:eastAsia="Times New Roman" w:hAnsi="Arial" w:cs="Arial"/>
          <w:vertAlign w:val="superscript"/>
          <w:lang w:val="es-ES_tradnl" w:eastAsia="es-CO"/>
        </w:rPr>
        <w:footnoteReference w:id="10"/>
      </w:r>
      <w:r w:rsidRPr="00A53A97">
        <w:rPr>
          <w:rFonts w:ascii="Arial" w:eastAsia="Times New Roman" w:hAnsi="Arial" w:cs="Arial"/>
          <w:vertAlign w:val="superscript"/>
          <w:lang w:val="es-ES_tradnl" w:eastAsia="es-CO"/>
        </w:rPr>
        <w:t>.</w:t>
      </w:r>
      <w:bookmarkStart w:id="14" w:name="_Hlk91231640"/>
    </w:p>
    <w:p w14:paraId="78537BCA" w14:textId="77777777" w:rsidR="00A53A97" w:rsidRPr="00A53A97" w:rsidRDefault="00A53A97" w:rsidP="00A53A97">
      <w:pPr>
        <w:spacing w:before="120" w:after="0" w:line="276" w:lineRule="auto"/>
        <w:ind w:right="113" w:firstLine="709"/>
        <w:jc w:val="both"/>
        <w:rPr>
          <w:rFonts w:ascii="Arial" w:eastAsia="Times New Roman" w:hAnsi="Arial" w:cs="Arial"/>
          <w:lang w:val="es-ES_tradnl" w:eastAsia="es-CO"/>
        </w:rPr>
      </w:pPr>
      <w:r w:rsidRPr="00A53A97">
        <w:rPr>
          <w:rFonts w:ascii="Arial" w:eastAsia="Times New Roman" w:hAnsi="Arial" w:cs="Arial"/>
          <w:lang w:val="es-ES_tradnl" w:eastAsia="es-CO"/>
        </w:rPr>
        <w:t xml:space="preserve">Sin perjuicio de lo anterior, las entidades estatales son autónomas para estructurar los estudios previos y cada uno de sus componentes, incluida la modalidad de selección del contratista a utilizar, siempre y cuando se observen los aspectos que deben contener esos estudios, de conformidad con los artículos 2.2.1.1.1.6.1, 2.2.1.1.2.1.1 y 2.2.1.2.1.4.9 del Decreto 1082 de 2015. </w:t>
      </w:r>
      <w:bookmarkEnd w:id="14"/>
    </w:p>
    <w:p w14:paraId="35C0DFFB" w14:textId="77777777" w:rsidR="00A53A97" w:rsidRPr="00A53A97" w:rsidRDefault="00A53A97" w:rsidP="00A53A97">
      <w:pPr>
        <w:spacing w:before="100" w:beforeAutospacing="1" w:after="100" w:afterAutospacing="1" w:line="240" w:lineRule="auto"/>
        <w:jc w:val="both"/>
        <w:rPr>
          <w:rFonts w:ascii="Arial" w:eastAsia="Times New Roman" w:hAnsi="Arial" w:cs="Arial"/>
          <w:b/>
          <w:bCs/>
          <w:lang w:eastAsia="es-CO"/>
        </w:rPr>
      </w:pPr>
      <w:r w:rsidRPr="00A53A97">
        <w:rPr>
          <w:rFonts w:ascii="Arial" w:eastAsia="Times New Roman" w:hAnsi="Arial" w:cs="Arial"/>
          <w:b/>
          <w:bCs/>
          <w:lang w:eastAsia="es-CO"/>
        </w:rPr>
        <w:t>2.3. Modalidad de contratación de mínima cuantía: aplicación con independencia del objeto</w:t>
      </w:r>
    </w:p>
    <w:p w14:paraId="435D73BB" w14:textId="49245A1A" w:rsidR="00A53A97" w:rsidRPr="00A53A97" w:rsidRDefault="00A53A97" w:rsidP="00A53A97">
      <w:pPr>
        <w:spacing w:before="120" w:after="120" w:line="276" w:lineRule="auto"/>
        <w:ind w:firstLine="708"/>
        <w:jc w:val="both"/>
        <w:rPr>
          <w:rFonts w:ascii="Arial" w:eastAsia="Calibri" w:hAnsi="Arial" w:cs="Arial"/>
          <w:color w:val="000000" w:themeColor="text1"/>
          <w:szCs w:val="24"/>
          <w:lang w:val="es-ES_tradnl" w:eastAsia="es-MX"/>
        </w:rPr>
      </w:pPr>
      <w:r w:rsidRPr="00A53A97">
        <w:rPr>
          <w:rFonts w:ascii="Arial" w:eastAsia="Calibri" w:hAnsi="Arial" w:cs="Arial"/>
          <w:color w:val="000000" w:themeColor="text1"/>
          <w:szCs w:val="24"/>
          <w:lang w:val="es-ES_tradnl" w:eastAsia="es-MX"/>
        </w:rPr>
        <w:lastRenderedPageBreak/>
        <w:t xml:space="preserve">La mínima cuantía es una modalidad de selección en virtud de la cual la </w:t>
      </w:r>
      <w:r w:rsidR="00BB6E46">
        <w:rPr>
          <w:rFonts w:ascii="Arial" w:eastAsia="Calibri" w:hAnsi="Arial" w:cs="Arial"/>
          <w:color w:val="000000" w:themeColor="text1"/>
          <w:szCs w:val="24"/>
          <w:lang w:val="es-ES_tradnl" w:eastAsia="es-MX"/>
        </w:rPr>
        <w:t>Entidad Estatal</w:t>
      </w:r>
      <w:r w:rsidRPr="00A53A97">
        <w:rPr>
          <w:rFonts w:ascii="Arial" w:eastAsia="Calibri" w:hAnsi="Arial" w:cs="Arial"/>
          <w:color w:val="000000" w:themeColor="text1"/>
          <w:szCs w:val="24"/>
          <w:lang w:val="es-ES_tradnl" w:eastAsia="es-MX"/>
        </w:rPr>
        <w:t xml:space="preserve"> realiza una convocatoria pública para recibir ofertas de bienes, obras o servicios cuyo valor no excede el diez por ciento (10%) de la menor cuantía. Fue creada por el artículo 94 de la Ley 1474 de 2011– que adicionó el numeral 5º al artículo 2 de la Ley 1150 de 2007–</w:t>
      </w:r>
      <w:r w:rsidRPr="00A53A97">
        <w:rPr>
          <w:rFonts w:ascii="Arial" w:eastAsia="Calibri" w:hAnsi="Arial" w:cs="Arial"/>
          <w:color w:val="000000" w:themeColor="text1"/>
          <w:szCs w:val="24"/>
          <w:vertAlign w:val="superscript"/>
          <w:lang w:val="es-ES_tradnl" w:eastAsia="es-MX"/>
        </w:rPr>
        <w:footnoteReference w:id="11"/>
      </w:r>
      <w:r w:rsidRPr="00A53A97">
        <w:rPr>
          <w:rFonts w:ascii="Arial" w:eastAsia="Calibri" w:hAnsi="Arial" w:cs="Arial"/>
          <w:color w:val="000000" w:themeColor="text1"/>
          <w:szCs w:val="24"/>
          <w:lang w:val="es-ES_tradnl" w:eastAsia="es-MX"/>
        </w:rPr>
        <w:t>, estableciendo que el factor determinante para llevar a cabo tal procedimiento es la cuantía –calculada como presupuesto oficial a partir del estudio del sector–, «independientemente de su objeto»</w:t>
      </w:r>
      <w:r w:rsidRPr="00A53A97">
        <w:rPr>
          <w:rFonts w:ascii="Arial" w:eastAsia="Calibri" w:hAnsi="Arial" w:cs="Arial"/>
          <w:color w:val="000000" w:themeColor="text1"/>
          <w:szCs w:val="24"/>
          <w:vertAlign w:val="superscript"/>
          <w:lang w:val="es-ES_tradnl" w:eastAsia="es-MX"/>
        </w:rPr>
        <w:footnoteReference w:id="12"/>
      </w:r>
      <w:r w:rsidRPr="00A53A97">
        <w:rPr>
          <w:rFonts w:ascii="Arial" w:eastAsia="Calibri" w:hAnsi="Arial" w:cs="Arial"/>
          <w:color w:val="000000" w:themeColor="text1"/>
          <w:szCs w:val="24"/>
          <w:lang w:val="es-ES_tradnl" w:eastAsia="es-MX"/>
        </w:rPr>
        <w:t xml:space="preserve">. </w:t>
      </w:r>
    </w:p>
    <w:p w14:paraId="732D94B6" w14:textId="12A1667F" w:rsidR="00A53A97" w:rsidRPr="00A53A97" w:rsidRDefault="00A53A97" w:rsidP="00A53A97">
      <w:pPr>
        <w:spacing w:before="120" w:after="120" w:line="276" w:lineRule="auto"/>
        <w:ind w:firstLine="708"/>
        <w:jc w:val="both"/>
        <w:rPr>
          <w:rFonts w:ascii="Arial" w:eastAsia="Calibri" w:hAnsi="Arial" w:cs="Arial"/>
          <w:color w:val="000000" w:themeColor="text1"/>
          <w:szCs w:val="24"/>
          <w:lang w:val="es-ES_tradnl" w:eastAsia="es-MX"/>
        </w:rPr>
      </w:pPr>
      <w:r w:rsidRPr="00A53A97">
        <w:rPr>
          <w:rFonts w:ascii="Arial" w:eastAsia="Calibri" w:hAnsi="Arial" w:cs="Arial"/>
          <w:color w:val="000000" w:themeColor="text1"/>
          <w:szCs w:val="24"/>
          <w:lang w:val="es-ES_tradnl" w:eastAsia="es-MX"/>
        </w:rPr>
        <w:t>Cabe destacar que la mínima cuantía es un procedimiento de selección «exceptivo»</w:t>
      </w:r>
      <w:r w:rsidRPr="00A53A97">
        <w:rPr>
          <w:rFonts w:ascii="Arial" w:eastAsia="Calibri" w:hAnsi="Arial" w:cs="Arial"/>
          <w:color w:val="000000" w:themeColor="text1"/>
          <w:szCs w:val="24"/>
          <w:vertAlign w:val="superscript"/>
          <w:lang w:val="es-ES_tradnl" w:eastAsia="es-MX"/>
        </w:rPr>
        <w:footnoteReference w:id="13"/>
      </w:r>
      <w:r w:rsidRPr="00A53A97">
        <w:rPr>
          <w:rFonts w:ascii="Arial" w:eastAsia="Calibri" w:hAnsi="Arial" w:cs="Arial"/>
          <w:color w:val="000000" w:themeColor="text1"/>
          <w:szCs w:val="24"/>
          <w:lang w:val="es-ES_tradnl" w:eastAsia="es-MX"/>
        </w:rPr>
        <w:t xml:space="preserve">, porque es una excepción adicional a la regla general constituida por la licitación pública, pero se parece a esta en que también es un llamado general a presentar ofertas, efectuado por la </w:t>
      </w:r>
      <w:r w:rsidR="00BB6E46">
        <w:rPr>
          <w:rFonts w:ascii="Arial" w:eastAsia="Calibri" w:hAnsi="Arial" w:cs="Arial"/>
          <w:color w:val="000000" w:themeColor="text1"/>
          <w:szCs w:val="24"/>
          <w:lang w:val="es-ES_tradnl" w:eastAsia="es-MX"/>
        </w:rPr>
        <w:t>Entidad Estatal</w:t>
      </w:r>
      <w:r w:rsidRPr="00A53A97">
        <w:rPr>
          <w:rFonts w:ascii="Arial" w:eastAsia="Calibri" w:hAnsi="Arial" w:cs="Arial"/>
          <w:color w:val="000000" w:themeColor="text1"/>
          <w:szCs w:val="24"/>
          <w:lang w:val="es-ES_tradnl" w:eastAsia="es-MX"/>
        </w:rPr>
        <w:t xml:space="preserve"> interesada en contratar, aunque es distinta en otros aspectos, como su conducencia y su procedimiento; lo primero, porque solo procede por razón de una cuantía específica</w:t>
      </w:r>
      <w:r w:rsidRPr="00A53A97">
        <w:rPr>
          <w:rFonts w:ascii="Arial" w:eastAsia="Calibri" w:hAnsi="Arial" w:cs="Arial"/>
          <w:color w:val="000000" w:themeColor="text1"/>
          <w:szCs w:val="24"/>
          <w:vertAlign w:val="superscript"/>
          <w:lang w:val="es-ES_tradnl" w:eastAsia="es-MX"/>
        </w:rPr>
        <w:footnoteReference w:id="14"/>
      </w:r>
      <w:r w:rsidRPr="00A53A97">
        <w:rPr>
          <w:rFonts w:ascii="Arial" w:eastAsia="Calibri" w:hAnsi="Arial" w:cs="Arial"/>
          <w:color w:val="000000" w:themeColor="text1"/>
          <w:szCs w:val="24"/>
          <w:lang w:val="es-ES_tradnl" w:eastAsia="es-MX"/>
        </w:rPr>
        <w:t xml:space="preserve"> y, lo segundo, porque sus requisitos, etapas y términos son peculiares.</w:t>
      </w:r>
    </w:p>
    <w:p w14:paraId="36AF0AC5" w14:textId="77777777" w:rsidR="00A53A97" w:rsidRPr="00A53A97" w:rsidRDefault="00A53A97" w:rsidP="00A53A97">
      <w:pPr>
        <w:spacing w:before="100" w:beforeAutospacing="1" w:after="100" w:afterAutospacing="1" w:line="240" w:lineRule="auto"/>
        <w:jc w:val="both"/>
        <w:rPr>
          <w:rFonts w:ascii="Arial" w:eastAsia="Calibri" w:hAnsi="Arial" w:cs="Arial"/>
          <w:color w:val="000000" w:themeColor="text1"/>
          <w:szCs w:val="24"/>
          <w:lang w:val="es-ES_tradnl" w:eastAsia="es-CO"/>
        </w:rPr>
      </w:pPr>
      <w:r w:rsidRPr="00A53A97">
        <w:rPr>
          <w:rFonts w:ascii="Arial" w:eastAsia="Calibri" w:hAnsi="Arial" w:cs="Arial"/>
          <w:color w:val="000000" w:themeColor="text1"/>
          <w:szCs w:val="24"/>
          <w:lang w:val="es-ES_tradnl" w:eastAsia="es-CO"/>
        </w:rPr>
        <w:t xml:space="preserve">Lo anterior, ha sido ratificado por el Consejo de Estado, el cual ha puesto de presente que: </w:t>
      </w:r>
    </w:p>
    <w:p w14:paraId="743CFCC2" w14:textId="46CA2FAD" w:rsidR="00A53A97" w:rsidRPr="00A53A97" w:rsidRDefault="00BD62B0" w:rsidP="00BD62B0">
      <w:pPr>
        <w:spacing w:after="0" w:line="240" w:lineRule="auto"/>
        <w:ind w:left="709" w:right="709"/>
        <w:jc w:val="both"/>
        <w:rPr>
          <w:rFonts w:ascii="Arial" w:eastAsia="Times New Roman" w:hAnsi="Arial" w:cs="Arial"/>
          <w:sz w:val="21"/>
          <w:szCs w:val="21"/>
          <w:lang w:val="es-ES_tradnl" w:eastAsia="es-MX"/>
        </w:rPr>
      </w:pPr>
      <w:r w:rsidRPr="00A53A97">
        <w:rPr>
          <w:rFonts w:ascii="Arial" w:eastAsia="Calibri" w:hAnsi="Arial" w:cs="Arial"/>
          <w:color w:val="000000" w:themeColor="text1"/>
          <w:szCs w:val="24"/>
          <w:lang w:val="es-ES_tradnl" w:eastAsia="es-MX"/>
        </w:rPr>
        <w:t>«</w:t>
      </w:r>
      <w:r w:rsidR="00A53A97" w:rsidRPr="00A53A97">
        <w:rPr>
          <w:rFonts w:ascii="Arial" w:eastAsia="Times New Roman" w:hAnsi="Arial" w:cs="Arial"/>
          <w:sz w:val="21"/>
          <w:szCs w:val="21"/>
          <w:lang w:val="es-ES_tradnl" w:eastAsia="es-MX"/>
        </w:rPr>
        <w:t xml:space="preserve">Así, pues, cuando el monto de la contratación sea equivalente a la mínima cuantía de la entidad estatal, pero, concomitante a ello, esta última (la entidad) advierta que también aplica alguna modalidad de selección específica (dadas las condiciones especiales del objeto), ella debe acudir al procedimiento establecido para la mínima </w:t>
      </w:r>
      <w:r w:rsidR="00A53A97" w:rsidRPr="00A53A97">
        <w:rPr>
          <w:rFonts w:ascii="Arial" w:eastAsia="Times New Roman" w:hAnsi="Arial" w:cs="Arial"/>
          <w:sz w:val="21"/>
          <w:szCs w:val="21"/>
          <w:lang w:val="es-ES_tradnl" w:eastAsia="es-MX"/>
        </w:rPr>
        <w:lastRenderedPageBreak/>
        <w:t>cuantía; así, por ejemplo, si la administración necesita contratar la prestación de servicios de salud (supuesto que se enmarca en el trámite de selección abreviada), pero el valor del contrato no excede del 10% de la menor cuantía de la entidad, este último será el criterio que se debe tener en cuenta para la escogencia del contratista; por tanto, el procedimiento que debe seguirse será el de mínima cuantía, independientemente -se insiste- del objeto a contratar</w:t>
      </w:r>
      <w:r w:rsidR="00A53A97" w:rsidRPr="00A53A97">
        <w:rPr>
          <w:rFonts w:ascii="Arial" w:eastAsia="Times New Roman" w:hAnsi="Arial" w:cs="Arial"/>
          <w:sz w:val="21"/>
          <w:szCs w:val="21"/>
          <w:vertAlign w:val="superscript"/>
          <w:lang w:val="es-ES_tradnl" w:eastAsia="es-MX"/>
        </w:rPr>
        <w:footnoteReference w:id="15"/>
      </w:r>
      <w:r w:rsidR="00A53A97" w:rsidRPr="00A53A97">
        <w:rPr>
          <w:rFonts w:ascii="Arial" w:eastAsia="Times New Roman" w:hAnsi="Arial" w:cs="Arial"/>
          <w:sz w:val="21"/>
          <w:szCs w:val="21"/>
          <w:lang w:val="es-ES_tradnl" w:eastAsia="es-MX"/>
        </w:rPr>
        <w:t>.</w:t>
      </w:r>
      <w:r w:rsidRPr="00A53A97">
        <w:rPr>
          <w:rFonts w:ascii="Arial" w:eastAsia="Calibri" w:hAnsi="Arial" w:cs="Arial"/>
          <w:color w:val="000000" w:themeColor="text1"/>
          <w:szCs w:val="24"/>
          <w:lang w:val="es-ES_tradnl" w:eastAsia="es-MX"/>
        </w:rPr>
        <w:t>»</w:t>
      </w:r>
      <w:r w:rsidR="00A53A97" w:rsidRPr="00A53A97">
        <w:rPr>
          <w:rFonts w:ascii="Arial" w:eastAsia="Times New Roman" w:hAnsi="Arial" w:cs="Arial"/>
          <w:sz w:val="21"/>
          <w:szCs w:val="21"/>
          <w:lang w:val="es-ES_tradnl" w:eastAsia="es-MX"/>
        </w:rPr>
        <w:t xml:space="preserve"> </w:t>
      </w:r>
    </w:p>
    <w:p w14:paraId="62B98C78" w14:textId="54E5E1D0" w:rsidR="00A53A97" w:rsidRPr="00A53A97" w:rsidRDefault="00A53A97" w:rsidP="00A53A97">
      <w:pPr>
        <w:spacing w:before="100" w:beforeAutospacing="1" w:after="100" w:afterAutospacing="1" w:line="276" w:lineRule="auto"/>
        <w:ind w:firstLine="708"/>
        <w:jc w:val="both"/>
        <w:rPr>
          <w:rFonts w:ascii="Arial" w:eastAsia="Times New Roman" w:hAnsi="Arial" w:cs="Arial"/>
          <w:b/>
          <w:lang w:eastAsia="es-CO"/>
        </w:rPr>
      </w:pPr>
      <w:r w:rsidRPr="00A53A97">
        <w:rPr>
          <w:rFonts w:ascii="Arial" w:eastAsia="Times New Roman" w:hAnsi="Arial" w:cs="Arial"/>
          <w:lang w:eastAsia="es-CO"/>
        </w:rPr>
        <w:t xml:space="preserve">Con base en lo anterior, se puede concluir que, sin importar el objeto del contrato, la </w:t>
      </w:r>
      <w:r w:rsidR="00BB6E46">
        <w:rPr>
          <w:rFonts w:ascii="Arial" w:eastAsia="Times New Roman" w:hAnsi="Arial" w:cs="Arial"/>
          <w:lang w:eastAsia="es-CO"/>
        </w:rPr>
        <w:t>Entidad Estatal</w:t>
      </w:r>
      <w:r w:rsidRPr="00A53A97">
        <w:rPr>
          <w:rFonts w:ascii="Arial" w:eastAsia="Times New Roman" w:hAnsi="Arial" w:cs="Arial"/>
          <w:lang w:eastAsia="es-CO"/>
        </w:rPr>
        <w:t xml:space="preserve"> deberá adelantar el procedimiento de selección del contratista a través de la modalidad de mínima cuantía, siempre que, en el caso concreto, el valor del contrato no exceda el 10% de la menor cuantía de la entidad. </w:t>
      </w:r>
    </w:p>
    <w:p w14:paraId="034ECA50" w14:textId="77777777" w:rsidR="00A53A97" w:rsidRPr="00A53A97" w:rsidRDefault="00A53A97" w:rsidP="00A53A97">
      <w:pPr>
        <w:spacing w:before="100" w:beforeAutospacing="1" w:after="100" w:afterAutospacing="1" w:line="276" w:lineRule="auto"/>
        <w:jc w:val="both"/>
        <w:rPr>
          <w:rFonts w:ascii="Arial" w:eastAsia="Times New Roman" w:hAnsi="Arial" w:cs="Arial"/>
          <w:b/>
          <w:lang w:eastAsia="es-CO"/>
        </w:rPr>
      </w:pPr>
      <w:r w:rsidRPr="00A53A97">
        <w:rPr>
          <w:rFonts w:ascii="Arial" w:eastAsia="Times New Roman" w:hAnsi="Arial" w:cs="Arial"/>
          <w:b/>
          <w:lang w:eastAsia="es-CO"/>
        </w:rPr>
        <w:t>2.3. Concurrencia de la modalidad de mínima cuantía y la contratación directa</w:t>
      </w:r>
    </w:p>
    <w:p w14:paraId="00B41610" w14:textId="77777777" w:rsidR="00A53A97" w:rsidRPr="00A53A97" w:rsidRDefault="00A53A97" w:rsidP="00A53A97">
      <w:pPr>
        <w:spacing w:before="120" w:after="120" w:line="276" w:lineRule="auto"/>
        <w:ind w:firstLine="708"/>
        <w:jc w:val="both"/>
        <w:rPr>
          <w:rFonts w:ascii="Arial" w:eastAsia="Times New Roman" w:hAnsi="Arial" w:cs="Arial"/>
          <w:szCs w:val="24"/>
          <w:lang w:val="es-ES_tradnl" w:eastAsia="es-MX"/>
        </w:rPr>
      </w:pPr>
      <w:r w:rsidRPr="00A53A97">
        <w:rPr>
          <w:rFonts w:ascii="Arial" w:eastAsia="Times New Roman" w:hAnsi="Arial" w:cs="Arial"/>
          <w:szCs w:val="24"/>
          <w:lang w:val="es-ES_tradnl" w:eastAsia="es-MX"/>
        </w:rPr>
        <w:t xml:space="preserve">Mediante el artículo 2 de la Ley 1150 de 2007 se determinaron las modalidades de selección aplicables a las entidades sometidas al Estatuto General de Contratación de la Administración Pública, indicando que: «[…] la escogencia del contratista se efectuará por regla general bajo la modalidad de licitación pública, con las excepciones que se señalan en los numerales 2, 3 y 4 del presente artículo». Particularmente, en el </w:t>
      </w:r>
      <w:r w:rsidRPr="00A53A97">
        <w:rPr>
          <w:rFonts w:ascii="Arial" w:eastAsia="Times New Roman" w:hAnsi="Arial" w:cs="Arial"/>
          <w:lang w:val="es-ES_tradnl" w:eastAsia="es-MX"/>
        </w:rPr>
        <w:t>numeral</w:t>
      </w:r>
      <w:r w:rsidRPr="00A53A97">
        <w:rPr>
          <w:rFonts w:ascii="Arial" w:eastAsia="Times New Roman" w:hAnsi="Arial" w:cs="Arial"/>
          <w:lang w:eastAsia="es-MX"/>
        </w:rPr>
        <w:t xml:space="preserve"> 4 se estableció la modalidad de selección por contratación directa</w:t>
      </w:r>
      <w:r w:rsidRPr="00A53A97">
        <w:rPr>
          <w:rFonts w:ascii="Arial" w:eastAsia="Times New Roman" w:hAnsi="Arial" w:cs="Arial"/>
          <w:szCs w:val="24"/>
          <w:vertAlign w:val="superscript"/>
          <w:lang w:val="es-ES_tradnl" w:eastAsia="es-MX"/>
        </w:rPr>
        <w:footnoteReference w:id="16"/>
      </w:r>
      <w:r w:rsidRPr="00A53A97">
        <w:rPr>
          <w:rFonts w:ascii="Arial" w:eastAsia="Times New Roman" w:hAnsi="Arial" w:cs="Arial"/>
          <w:szCs w:val="24"/>
          <w:lang w:val="es-ES_tradnl" w:eastAsia="es-MX"/>
        </w:rPr>
        <w:t xml:space="preserve">, mientras que en el numeral 5 </w:t>
      </w:r>
      <w:r w:rsidRPr="00A53A97">
        <w:rPr>
          <w:rFonts w:ascii="Arial" w:eastAsia="Times New Roman" w:hAnsi="Arial" w:cs="Arial"/>
          <w:i/>
          <w:iCs/>
          <w:szCs w:val="24"/>
          <w:lang w:val="es-ES_tradnl" w:eastAsia="es-MX"/>
        </w:rPr>
        <w:t>ibidem</w:t>
      </w:r>
      <w:r w:rsidRPr="00A53A97">
        <w:rPr>
          <w:rFonts w:ascii="Arial" w:eastAsia="Times New Roman" w:hAnsi="Arial" w:cs="Arial"/>
          <w:szCs w:val="24"/>
          <w:lang w:val="es-ES_tradnl" w:eastAsia="es-MX"/>
        </w:rPr>
        <w:t xml:space="preserve">, se reguló </w:t>
      </w:r>
      <w:r w:rsidRPr="00A53A97">
        <w:rPr>
          <w:rFonts w:ascii="Arial" w:eastAsia="Times New Roman" w:hAnsi="Arial" w:cs="Arial"/>
          <w:szCs w:val="24"/>
          <w:lang w:val="es-ES_tradnl" w:eastAsia="es-MX"/>
        </w:rPr>
        <w:lastRenderedPageBreak/>
        <w:t>la modalidad de contratación de mínima cuantía, determinando mandatos especiales para su procedimiento, que se aplicará cuando el valor de la contratación «no excede del 10 por ciento de la menor cuantía de la entidad independientemente de su objeto».</w:t>
      </w:r>
    </w:p>
    <w:p w14:paraId="17BF23BB" w14:textId="77777777" w:rsidR="00A53A97" w:rsidRPr="00A53A97" w:rsidRDefault="00A53A97" w:rsidP="00A53A97">
      <w:pPr>
        <w:spacing w:before="120" w:after="120" w:line="276" w:lineRule="auto"/>
        <w:ind w:firstLine="708"/>
        <w:jc w:val="both"/>
        <w:rPr>
          <w:rFonts w:ascii="Arial" w:eastAsia="Times New Roman" w:hAnsi="Arial" w:cs="Arial"/>
          <w:bCs/>
          <w:lang w:eastAsia="es-MX"/>
        </w:rPr>
      </w:pPr>
      <w:r w:rsidRPr="00A53A97">
        <w:rPr>
          <w:rFonts w:ascii="Arial" w:eastAsia="Times New Roman" w:hAnsi="Arial" w:cs="Arial"/>
          <w:bCs/>
          <w:lang w:eastAsia="es-MX"/>
        </w:rPr>
        <w:t xml:space="preserve">De este modo, es importante analizar la solución específica para aquellos eventos en donde podría considerarse en principio que existe concurrencia de modalidades de selección, como es el caso de la consulta que plantea la posibilidad de acudir a la mínima cuantía o la contratación directa. </w:t>
      </w:r>
    </w:p>
    <w:p w14:paraId="1ACA8516" w14:textId="1214D3F0" w:rsidR="00A53A97" w:rsidRPr="00A53A97" w:rsidRDefault="00A53A97" w:rsidP="00A53A97">
      <w:pPr>
        <w:spacing w:before="120" w:after="120" w:line="276" w:lineRule="auto"/>
        <w:jc w:val="both"/>
        <w:rPr>
          <w:rFonts w:ascii="Arial" w:eastAsia="Times New Roman" w:hAnsi="Arial" w:cs="Arial"/>
          <w:bCs/>
          <w:lang w:eastAsia="es-MX"/>
        </w:rPr>
      </w:pPr>
      <w:r w:rsidRPr="00A53A97">
        <w:rPr>
          <w:rFonts w:ascii="Arial" w:eastAsia="Times New Roman" w:hAnsi="Arial" w:cs="Arial"/>
          <w:bCs/>
          <w:lang w:eastAsia="es-MX"/>
        </w:rPr>
        <w:tab/>
        <w:t xml:space="preserve">En este contexto, si la necesidad de bienes o servicios que se quiere satisfacer por una </w:t>
      </w:r>
      <w:r w:rsidR="00BB6E46">
        <w:rPr>
          <w:rFonts w:ascii="Arial" w:eastAsia="Times New Roman" w:hAnsi="Arial" w:cs="Arial"/>
          <w:bCs/>
          <w:lang w:eastAsia="es-MX"/>
        </w:rPr>
        <w:t>Entidad Estatal</w:t>
      </w:r>
      <w:r w:rsidRPr="00A53A97">
        <w:rPr>
          <w:rFonts w:ascii="Arial" w:eastAsia="Times New Roman" w:hAnsi="Arial" w:cs="Arial"/>
          <w:bCs/>
          <w:lang w:eastAsia="es-MX"/>
        </w:rPr>
        <w:t xml:space="preserve"> puede ser suplida mediante contratación directa, porque se dan lo supuestos de alguna de las causales legales para su utilización, pero la cuantía cumple los requisitos para ser catalogada como mínima, según el presupuesto de la entidad contratante, podría parecer que concurre con la modalidad de mínima cuantía que, según el artículo 94 de la Ley 1474 de 2011, consiste en la contratación cuyo valor no excede del 10 por ciento de la menor cuantía de la entidad independientemente de su objeto. Al respecto, la Corte Constitucional, en sentencia C-004 de 2017, consideró que:</w:t>
      </w:r>
    </w:p>
    <w:p w14:paraId="1A680963" w14:textId="6C4406D4" w:rsidR="00A53A97" w:rsidRPr="00A53A97" w:rsidRDefault="00481FF4" w:rsidP="00A53A97">
      <w:pPr>
        <w:spacing w:after="0" w:line="240" w:lineRule="auto"/>
        <w:ind w:left="708" w:right="900"/>
        <w:jc w:val="both"/>
        <w:rPr>
          <w:rFonts w:ascii="Arial" w:eastAsia="Times New Roman" w:hAnsi="Arial" w:cs="Arial"/>
          <w:bCs/>
          <w:sz w:val="21"/>
          <w:szCs w:val="21"/>
          <w:lang w:eastAsia="es-MX"/>
        </w:rPr>
      </w:pPr>
      <w:r w:rsidRPr="00A53A97">
        <w:rPr>
          <w:rFonts w:ascii="Arial" w:eastAsia="Times New Roman" w:hAnsi="Arial" w:cs="Arial"/>
          <w:szCs w:val="24"/>
          <w:lang w:val="es-ES_tradnl" w:eastAsia="es-MX"/>
        </w:rPr>
        <w:t>«</w:t>
      </w:r>
      <w:r w:rsidR="00A53A97" w:rsidRPr="00A53A97">
        <w:rPr>
          <w:rFonts w:ascii="Arial" w:eastAsia="Times New Roman" w:hAnsi="Arial" w:cs="Arial"/>
          <w:bCs/>
          <w:sz w:val="21"/>
          <w:szCs w:val="21"/>
          <w:lang w:eastAsia="es-MX"/>
        </w:rPr>
        <w:t>[…] la expresión “independientemente de su objeto”, relativa a la procedencia del procedimiento de contratación de mínima cuantía no excluye ni la contratación directa, cuando ésta sea procedente, ni la selección abreviada por Acuerdo Marco de Precios, celebrado a instancias de la Agencia Colombia Compra Eficiente, pero sí el concurso de méritos.</w:t>
      </w:r>
    </w:p>
    <w:p w14:paraId="243CC8F9" w14:textId="0B060745" w:rsidR="00A53A97" w:rsidRPr="00A53A97" w:rsidRDefault="00A53A97" w:rsidP="00A53A97">
      <w:pPr>
        <w:spacing w:after="0" w:line="240" w:lineRule="auto"/>
        <w:ind w:left="708" w:right="900"/>
        <w:jc w:val="both"/>
        <w:rPr>
          <w:rFonts w:ascii="Arial" w:eastAsia="Times New Roman" w:hAnsi="Arial" w:cs="Arial"/>
          <w:bCs/>
          <w:sz w:val="21"/>
          <w:szCs w:val="21"/>
          <w:lang w:eastAsia="es-MX"/>
        </w:rPr>
      </w:pPr>
      <w:r w:rsidRPr="00A53A97">
        <w:rPr>
          <w:rFonts w:ascii="Arial" w:eastAsia="Times New Roman" w:hAnsi="Arial" w:cs="Arial"/>
          <w:bCs/>
          <w:sz w:val="21"/>
          <w:szCs w:val="21"/>
          <w:lang w:eastAsia="es-MX"/>
        </w:rPr>
        <w:t>[…]</w:t>
      </w:r>
      <w:r w:rsidR="00481FF4" w:rsidRPr="00A53A97">
        <w:rPr>
          <w:rFonts w:ascii="Arial" w:eastAsia="Times New Roman" w:hAnsi="Arial" w:cs="Arial"/>
          <w:szCs w:val="24"/>
          <w:lang w:val="es-ES_tradnl" w:eastAsia="es-MX"/>
        </w:rPr>
        <w:t>»</w:t>
      </w:r>
    </w:p>
    <w:p w14:paraId="4AF6C02A" w14:textId="77777777" w:rsidR="00A53A97" w:rsidRPr="00A53A97" w:rsidRDefault="00A53A97" w:rsidP="00A53A97">
      <w:pPr>
        <w:spacing w:after="0" w:line="276" w:lineRule="auto"/>
        <w:jc w:val="both"/>
        <w:rPr>
          <w:rFonts w:ascii="Arial" w:eastAsia="Times New Roman" w:hAnsi="Arial" w:cs="Arial"/>
          <w:bCs/>
          <w:sz w:val="21"/>
          <w:szCs w:val="21"/>
          <w:lang w:eastAsia="es-MX"/>
        </w:rPr>
      </w:pPr>
    </w:p>
    <w:p w14:paraId="7736DE93" w14:textId="77777777" w:rsidR="00A53A97" w:rsidRPr="00A53A97" w:rsidRDefault="00A53A97" w:rsidP="00A53A97">
      <w:pPr>
        <w:spacing w:after="0" w:line="276" w:lineRule="auto"/>
        <w:ind w:firstLine="708"/>
        <w:jc w:val="both"/>
        <w:rPr>
          <w:rFonts w:ascii="Arial" w:eastAsia="Times New Roman" w:hAnsi="Arial" w:cs="Arial"/>
          <w:lang w:val="es-ES_tradnl" w:eastAsia="es-MX"/>
        </w:rPr>
      </w:pPr>
      <w:r w:rsidRPr="00A53A97">
        <w:rPr>
          <w:rFonts w:ascii="Arial" w:eastAsia="Times New Roman" w:hAnsi="Arial" w:cs="Arial"/>
          <w:bCs/>
          <w:sz w:val="21"/>
          <w:szCs w:val="21"/>
          <w:lang w:eastAsia="es-MX"/>
        </w:rPr>
        <w:t>Entonces</w:t>
      </w:r>
      <w:r w:rsidRPr="00A53A97">
        <w:rPr>
          <w:rFonts w:ascii="Arial" w:eastAsia="Times New Roman" w:hAnsi="Arial" w:cs="Arial"/>
          <w:lang w:val="es-ES_tradnl" w:eastAsia="es-MX"/>
        </w:rPr>
        <w:t>, es importante considerar que la modalidad de mínima cuantía podría concurrir con otras modalidades de selección, como la contratación directa, por lo que en cada caso corresponderá a las entidades estatales efectuar el análisis correspondiente. De esta manera, el Consejo de Estado efectuó una reflexión similar a la sostenida por esta Agencia, frente a otra problemática asociada con la mínima cuantía, particularmente, cuando esta concurre con una causal de contratación directa:</w:t>
      </w:r>
    </w:p>
    <w:p w14:paraId="0F05AD02" w14:textId="77777777" w:rsidR="00A53A97" w:rsidRPr="00A53A97" w:rsidRDefault="00A53A97" w:rsidP="00A53A97">
      <w:pPr>
        <w:spacing w:after="0" w:line="276" w:lineRule="auto"/>
        <w:ind w:firstLine="709"/>
        <w:jc w:val="both"/>
        <w:rPr>
          <w:rFonts w:ascii="Arial" w:eastAsia="Times New Roman" w:hAnsi="Arial" w:cs="Arial"/>
          <w:sz w:val="21"/>
          <w:szCs w:val="21"/>
          <w:lang w:val="es-ES_tradnl" w:eastAsia="es-MX"/>
        </w:rPr>
      </w:pPr>
    </w:p>
    <w:p w14:paraId="67CAE616" w14:textId="5BC03BB6" w:rsidR="00A53A97" w:rsidRPr="00A53A97" w:rsidRDefault="00481FF4" w:rsidP="00A53A97">
      <w:pPr>
        <w:spacing w:after="0" w:line="276" w:lineRule="auto"/>
        <w:ind w:firstLine="709"/>
        <w:jc w:val="both"/>
        <w:rPr>
          <w:rFonts w:ascii="Arial" w:eastAsia="Times New Roman" w:hAnsi="Arial" w:cs="Arial"/>
          <w:sz w:val="21"/>
          <w:szCs w:val="21"/>
          <w:lang w:val="es-ES_tradnl" w:eastAsia="es-MX"/>
        </w:rPr>
      </w:pPr>
      <w:r w:rsidRPr="00A53A97">
        <w:rPr>
          <w:rFonts w:ascii="Arial" w:eastAsia="Times New Roman" w:hAnsi="Arial" w:cs="Arial"/>
          <w:szCs w:val="24"/>
          <w:lang w:val="es-ES_tradnl" w:eastAsia="es-MX"/>
        </w:rPr>
        <w:t>«</w:t>
      </w:r>
      <w:r w:rsidR="00A53A97" w:rsidRPr="00A53A97">
        <w:rPr>
          <w:rFonts w:ascii="Arial" w:eastAsia="Times New Roman" w:hAnsi="Arial" w:cs="Arial"/>
          <w:color w:val="000000"/>
          <w:sz w:val="20"/>
          <w:szCs w:val="20"/>
          <w:lang w:eastAsia="es-MX"/>
        </w:rPr>
        <w:t>[…]</w:t>
      </w:r>
    </w:p>
    <w:p w14:paraId="6DE9DB51" w14:textId="278D05F7" w:rsidR="00A53A97" w:rsidRPr="00A53A97" w:rsidRDefault="00A53A97" w:rsidP="00A53A97">
      <w:pPr>
        <w:spacing w:after="0" w:line="240" w:lineRule="auto"/>
        <w:ind w:left="709" w:right="709"/>
        <w:jc w:val="both"/>
        <w:rPr>
          <w:rFonts w:ascii="Arial" w:eastAsia="Times New Roman" w:hAnsi="Arial" w:cs="Arial"/>
          <w:color w:val="000000"/>
          <w:sz w:val="21"/>
          <w:szCs w:val="21"/>
          <w:lang w:eastAsia="es-MX"/>
        </w:rPr>
      </w:pPr>
      <w:r w:rsidRPr="00A53A97">
        <w:rPr>
          <w:rFonts w:ascii="Arial" w:eastAsia="Times New Roman" w:hAnsi="Arial" w:cs="Arial"/>
          <w:color w:val="000000"/>
          <w:sz w:val="21"/>
          <w:szCs w:val="21"/>
          <w:lang w:eastAsia="es-MX"/>
        </w:rPr>
        <w:t>Precisamente, frente a la concurrencia de procedimientos de selección, el ente rector de la contratación pública (Agencia Nacional de Contratación Pública-Colombia Compra Eficiente), en su “</w:t>
      </w:r>
      <w:r w:rsidRPr="00A53A97">
        <w:rPr>
          <w:rFonts w:ascii="Arial" w:eastAsia="Times New Roman" w:hAnsi="Arial" w:cs="Arial"/>
          <w:i/>
          <w:iCs/>
          <w:color w:val="000000"/>
          <w:sz w:val="21"/>
          <w:szCs w:val="21"/>
          <w:lang w:eastAsia="es-MX"/>
        </w:rPr>
        <w:t>Manual de Modalidad de Selección de Mínima Cuantía</w:t>
      </w:r>
      <w:r w:rsidRPr="00A53A97">
        <w:rPr>
          <w:rFonts w:ascii="Arial" w:eastAsia="Times New Roman" w:hAnsi="Arial" w:cs="Arial"/>
          <w:color w:val="000000"/>
          <w:sz w:val="21"/>
          <w:szCs w:val="21"/>
          <w:lang w:eastAsia="es-MX"/>
        </w:rPr>
        <w:t>”, tras identificar la posibilidad de que confluyeran diversos modalidades de selección con la mínima cuantía, concluyó, para el caso de la contratación directa, que sería esta última la que debía adelantarse “</w:t>
      </w:r>
      <w:r w:rsidRPr="00A53A97">
        <w:rPr>
          <w:rFonts w:ascii="Arial" w:eastAsia="Times New Roman" w:hAnsi="Arial" w:cs="Arial"/>
          <w:i/>
          <w:iCs/>
          <w:color w:val="000000"/>
          <w:sz w:val="21"/>
          <w:szCs w:val="21"/>
          <w:lang w:eastAsia="es-MX"/>
        </w:rPr>
        <w:t xml:space="preserve">dado que las causales de contratación directa son especiales y expresas frente a otras modalidades de selección y que la contratación directa </w:t>
      </w:r>
      <w:r w:rsidRPr="00A53A97">
        <w:rPr>
          <w:rFonts w:ascii="Arial" w:eastAsia="Times New Roman" w:hAnsi="Arial" w:cs="Arial"/>
          <w:i/>
          <w:iCs/>
          <w:color w:val="000000"/>
          <w:sz w:val="21"/>
          <w:szCs w:val="21"/>
          <w:lang w:eastAsia="es-MX"/>
        </w:rPr>
        <w:lastRenderedPageBreak/>
        <w:t>permite obtener una mayor economía en el trámite del Proceso de Contratación</w:t>
      </w:r>
      <w:r w:rsidRPr="00A53A97">
        <w:rPr>
          <w:rFonts w:ascii="Arial" w:eastAsia="Times New Roman" w:hAnsi="Arial" w:cs="Arial"/>
          <w:color w:val="000000"/>
          <w:sz w:val="21"/>
          <w:szCs w:val="21"/>
          <w:lang w:eastAsia="es-MX"/>
        </w:rPr>
        <w:t>” […] en la actualidad se ha identificado que la concurrencia de procedimientos puede llegarse a presentar, y ha sido precisado por la entidad encargada de “</w:t>
      </w:r>
      <w:r w:rsidRPr="00A53A97">
        <w:rPr>
          <w:rFonts w:ascii="Arial" w:eastAsia="Times New Roman" w:hAnsi="Arial" w:cs="Arial"/>
          <w:i/>
          <w:iCs/>
          <w:color w:val="000000"/>
          <w:sz w:val="21"/>
          <w:szCs w:val="21"/>
          <w:lang w:eastAsia="es-MX"/>
        </w:rPr>
        <w:t>desarrollar, implementar y difundir las políticas públicas, planes, programas, normas, instrumentos y herramientas que faciliten las compras y contratación pública del Estado”</w:t>
      </w:r>
      <w:r w:rsidRPr="00A53A97">
        <w:rPr>
          <w:rFonts w:ascii="Arial" w:eastAsia="Times New Roman" w:hAnsi="Arial" w:cs="Arial"/>
          <w:color w:val="000000"/>
          <w:sz w:val="21"/>
          <w:szCs w:val="21"/>
          <w:lang w:eastAsia="es-MX"/>
        </w:rPr>
        <w:t xml:space="preserve"> […]  (tal y como lo advirtió el Ministerio de Justicia y del Derecho en su contestación de la demanda), que el principio de economía podría ser el elemento que permitiría solucionar, para el caso, la concurrencia de modalidades de selección</w:t>
      </w:r>
      <w:r w:rsidRPr="00A53A97">
        <w:rPr>
          <w:rFonts w:ascii="Arial" w:eastAsia="Times New Roman" w:hAnsi="Arial" w:cs="Arial"/>
          <w:color w:val="000000"/>
          <w:sz w:val="21"/>
          <w:szCs w:val="21"/>
          <w:vertAlign w:val="superscript"/>
          <w:lang w:eastAsia="es-MX"/>
        </w:rPr>
        <w:footnoteReference w:id="17"/>
      </w:r>
      <w:r w:rsidRPr="00A53A97">
        <w:rPr>
          <w:rFonts w:ascii="Arial" w:eastAsia="Times New Roman" w:hAnsi="Arial" w:cs="Arial"/>
          <w:color w:val="000000"/>
          <w:sz w:val="21"/>
          <w:szCs w:val="21"/>
          <w:lang w:eastAsia="es-MX"/>
        </w:rPr>
        <w:t>.</w:t>
      </w:r>
      <w:r w:rsidR="006F3440" w:rsidRPr="00A53A97">
        <w:rPr>
          <w:rFonts w:ascii="Arial" w:eastAsia="Times New Roman" w:hAnsi="Arial" w:cs="Arial"/>
          <w:szCs w:val="24"/>
          <w:lang w:val="es-ES_tradnl" w:eastAsia="es-MX"/>
        </w:rPr>
        <w:t>»</w:t>
      </w:r>
    </w:p>
    <w:p w14:paraId="3F8F9FE5" w14:textId="77777777" w:rsidR="00A53A97" w:rsidRPr="00A53A97" w:rsidRDefault="00A53A97" w:rsidP="00A53A97">
      <w:pPr>
        <w:spacing w:after="0" w:line="276" w:lineRule="auto"/>
        <w:ind w:firstLine="709"/>
        <w:jc w:val="both"/>
        <w:rPr>
          <w:rFonts w:ascii="Arial" w:eastAsia="Times New Roman" w:hAnsi="Arial" w:cs="Arial"/>
          <w:color w:val="000000"/>
          <w:lang w:val="es-ES_tradnl" w:eastAsia="es-ES"/>
        </w:rPr>
      </w:pPr>
    </w:p>
    <w:p w14:paraId="03F5FC92" w14:textId="77777777" w:rsidR="00A53A97" w:rsidRPr="00A53A97" w:rsidRDefault="00A53A97" w:rsidP="00A53A97">
      <w:pPr>
        <w:spacing w:after="0" w:line="276" w:lineRule="auto"/>
        <w:ind w:right="49" w:firstLine="708"/>
        <w:jc w:val="both"/>
        <w:rPr>
          <w:rFonts w:ascii="Arial" w:eastAsia="Times New Roman" w:hAnsi="Arial" w:cs="Arial"/>
          <w:lang w:val="es-ES_tradnl" w:eastAsia="es-MX"/>
        </w:rPr>
      </w:pPr>
      <w:r w:rsidRPr="00A53A97">
        <w:rPr>
          <w:rFonts w:ascii="Arial" w:eastAsia="Times New Roman" w:hAnsi="Arial" w:cs="Arial"/>
          <w:szCs w:val="24"/>
          <w:lang w:val="es-ES_tradnl" w:eastAsia="es-MX"/>
        </w:rPr>
        <w:t xml:space="preserve">Igualmente, el numeral 12.1, del «Manual de la modalidad de selección de mínima cuantía», expedido por la Agencia Nacional de Contratación Pública – Colombia Compra Eficiente, se expresa </w:t>
      </w:r>
      <w:r w:rsidRPr="00A53A97">
        <w:rPr>
          <w:rFonts w:ascii="Arial" w:eastAsia="Times New Roman" w:hAnsi="Arial" w:cs="Arial"/>
          <w:lang w:val="es-ES_tradnl" w:eastAsia="es-MX"/>
        </w:rPr>
        <w:t>que:</w:t>
      </w:r>
    </w:p>
    <w:p w14:paraId="0EE7217E" w14:textId="77777777" w:rsidR="00A53A97" w:rsidRPr="00A53A97" w:rsidRDefault="00A53A97" w:rsidP="00A53A97">
      <w:pPr>
        <w:spacing w:after="0" w:line="240" w:lineRule="auto"/>
        <w:ind w:left="708" w:right="49" w:firstLine="60"/>
        <w:jc w:val="both"/>
        <w:rPr>
          <w:rFonts w:ascii="Arial" w:eastAsia="Times New Roman" w:hAnsi="Arial" w:cs="Arial"/>
          <w:sz w:val="21"/>
          <w:szCs w:val="21"/>
          <w:lang w:val="es-ES_tradnl" w:eastAsia="es-MX"/>
        </w:rPr>
      </w:pPr>
    </w:p>
    <w:p w14:paraId="53FC97F1" w14:textId="34F06798" w:rsidR="00A53A97" w:rsidRPr="00A53A97" w:rsidRDefault="006A7371" w:rsidP="00A53A97">
      <w:pPr>
        <w:spacing w:after="0" w:line="240" w:lineRule="auto"/>
        <w:ind w:left="708" w:right="49"/>
        <w:jc w:val="both"/>
        <w:rPr>
          <w:rFonts w:ascii="Arial" w:eastAsia="Times New Roman" w:hAnsi="Arial" w:cs="Arial"/>
          <w:sz w:val="21"/>
          <w:szCs w:val="21"/>
          <w:lang w:val="es-ES_tradnl" w:eastAsia="es-MX"/>
        </w:rPr>
      </w:pPr>
      <w:r w:rsidRPr="00A53A97">
        <w:rPr>
          <w:rFonts w:ascii="Arial" w:eastAsia="Times New Roman" w:hAnsi="Arial" w:cs="Arial"/>
          <w:szCs w:val="24"/>
          <w:lang w:val="es-ES_tradnl" w:eastAsia="es-MX"/>
        </w:rPr>
        <w:t>«</w:t>
      </w:r>
      <w:r w:rsidR="00A53A97" w:rsidRPr="00A53A97">
        <w:rPr>
          <w:rFonts w:ascii="Arial" w:eastAsia="Times New Roman" w:hAnsi="Arial" w:cs="Arial"/>
          <w:sz w:val="21"/>
          <w:szCs w:val="21"/>
          <w:lang w:val="es-ES_tradnl" w:eastAsia="es-MX"/>
        </w:rPr>
        <w:t xml:space="preserve">Las modalidades de selección de mínima cuantía y de contratación directa concurren cuando: a) el presupuesto del Proceso de Contratación es menor o igual que la mínima cuantía de la Entidad Estatal b) existe una causal de contratación directa, de conformidad con el numeral 4 del artículo 2 de la Ley 1150 de 2007, como en el caso de la prestación de servicios profesionales y de apoyo a la gestión o para los contratos interadministrativos. </w:t>
      </w:r>
    </w:p>
    <w:p w14:paraId="1C5DE918" w14:textId="77777777" w:rsidR="00A53A97" w:rsidRPr="00A53A97" w:rsidRDefault="00A53A97" w:rsidP="00A53A97">
      <w:pPr>
        <w:spacing w:after="0" w:line="240" w:lineRule="auto"/>
        <w:ind w:left="708" w:right="49"/>
        <w:jc w:val="both"/>
        <w:rPr>
          <w:rFonts w:ascii="Arial" w:eastAsia="Times New Roman" w:hAnsi="Arial" w:cs="Arial"/>
          <w:sz w:val="21"/>
          <w:szCs w:val="21"/>
          <w:lang w:val="es-ES_tradnl" w:eastAsia="es-MX"/>
        </w:rPr>
      </w:pPr>
    </w:p>
    <w:p w14:paraId="59C410D0" w14:textId="7671B3E8" w:rsidR="00A53A97" w:rsidRPr="00A53A97" w:rsidRDefault="00A53A97" w:rsidP="00A53A97">
      <w:pPr>
        <w:spacing w:after="0" w:line="240" w:lineRule="auto"/>
        <w:ind w:left="708" w:right="49"/>
        <w:jc w:val="both"/>
        <w:rPr>
          <w:rFonts w:ascii="Arial" w:eastAsia="Times New Roman" w:hAnsi="Arial" w:cs="Arial"/>
          <w:sz w:val="21"/>
          <w:szCs w:val="21"/>
          <w:lang w:val="es-ES_tradnl" w:eastAsia="es-MX"/>
        </w:rPr>
      </w:pPr>
      <w:r w:rsidRPr="00A53A97">
        <w:rPr>
          <w:rFonts w:ascii="Arial" w:eastAsia="Times New Roman" w:hAnsi="Arial" w:cs="Arial"/>
          <w:sz w:val="21"/>
          <w:szCs w:val="21"/>
          <w:lang w:val="es-ES_tradnl" w:eastAsia="es-MX"/>
        </w:rPr>
        <w:t xml:space="preserve">El principio de economía, contenido en la ley 80 de 1993, busca que, en la selección del contratista, la Entidad Estatal cumpla y establezca los procedimientos y etapas estrictamente necesarios para asegurar la selección objetiva de la propuesta más favorable, con austeridad de tiempo, medios y gastos. En consecuencia, dado que las causales de contratación directa son especiales y expresas frente a otras modalidades de selección, y que la contratación directa permite obtener una mayor economía en el trámite del proceso de contratación, </w:t>
      </w:r>
      <w:r w:rsidRPr="00A53A97">
        <w:rPr>
          <w:rFonts w:ascii="Arial" w:eastAsia="Times New Roman" w:hAnsi="Arial" w:cs="Arial"/>
          <w:i/>
          <w:iCs/>
          <w:sz w:val="21"/>
          <w:szCs w:val="21"/>
          <w:lang w:val="es-ES_tradnl" w:eastAsia="es-MX"/>
        </w:rPr>
        <w:t>en caso de concurrencia de la contratación directa y de la mínima cuantía, la modalidad de selección aplicable</w:t>
      </w:r>
      <w:r w:rsidR="006A7371">
        <w:rPr>
          <w:rFonts w:ascii="Arial" w:eastAsia="Times New Roman" w:hAnsi="Arial" w:cs="Arial"/>
          <w:i/>
          <w:iCs/>
          <w:sz w:val="21"/>
          <w:szCs w:val="21"/>
          <w:lang w:val="es-ES_tradnl" w:eastAsia="es-MX"/>
        </w:rPr>
        <w:t xml:space="preserve"> e</w:t>
      </w:r>
      <w:r w:rsidRPr="00A53A97">
        <w:rPr>
          <w:rFonts w:ascii="Arial" w:eastAsia="Times New Roman" w:hAnsi="Arial" w:cs="Arial"/>
          <w:i/>
          <w:iCs/>
          <w:sz w:val="21"/>
          <w:szCs w:val="21"/>
          <w:lang w:val="es-ES_tradnl" w:eastAsia="es-MX"/>
        </w:rPr>
        <w:t>s la contratación directa</w:t>
      </w:r>
      <w:r w:rsidRPr="00A53A97">
        <w:rPr>
          <w:rFonts w:ascii="Arial" w:eastAsia="Times New Roman" w:hAnsi="Arial" w:cs="Arial"/>
          <w:sz w:val="21"/>
          <w:szCs w:val="21"/>
          <w:lang w:val="es-ES_tradnl" w:eastAsia="es-MX"/>
        </w:rPr>
        <w:t>.</w:t>
      </w:r>
      <w:r w:rsidRPr="00A53A97">
        <w:rPr>
          <w:rFonts w:ascii="Arial" w:eastAsia="Times New Roman" w:hAnsi="Arial" w:cs="Arial"/>
          <w:sz w:val="21"/>
          <w:szCs w:val="21"/>
          <w:vertAlign w:val="superscript"/>
          <w:lang w:val="es-ES_tradnl" w:eastAsia="es-MX"/>
        </w:rPr>
        <w:footnoteReference w:id="18"/>
      </w:r>
      <w:r w:rsidRPr="00A53A97">
        <w:rPr>
          <w:rFonts w:ascii="Arial" w:eastAsia="Times New Roman" w:hAnsi="Arial" w:cs="Arial"/>
          <w:sz w:val="21"/>
          <w:szCs w:val="21"/>
          <w:lang w:val="es-ES_tradnl" w:eastAsia="es-MX"/>
        </w:rPr>
        <w:t xml:space="preserve"> (énfasis fuera de texto).</w:t>
      </w:r>
      <w:r w:rsidR="006F3440" w:rsidRPr="00A53A97">
        <w:rPr>
          <w:rFonts w:ascii="Arial" w:eastAsia="Times New Roman" w:hAnsi="Arial" w:cs="Arial"/>
          <w:szCs w:val="24"/>
          <w:lang w:val="es-ES_tradnl" w:eastAsia="es-MX"/>
        </w:rPr>
        <w:t>»</w:t>
      </w:r>
    </w:p>
    <w:p w14:paraId="51C5E642" w14:textId="77777777" w:rsidR="00A53A97" w:rsidRPr="00A53A97" w:rsidRDefault="00A53A97" w:rsidP="00A53A97">
      <w:pPr>
        <w:spacing w:after="0" w:line="276" w:lineRule="auto"/>
        <w:ind w:right="49"/>
        <w:jc w:val="both"/>
        <w:rPr>
          <w:rFonts w:ascii="Arial" w:eastAsia="Times New Roman" w:hAnsi="Arial" w:cs="Arial"/>
          <w:lang w:val="es-ES_tradnl" w:eastAsia="es-MX"/>
        </w:rPr>
      </w:pPr>
    </w:p>
    <w:p w14:paraId="301F64FE" w14:textId="3D66CCBF" w:rsidR="00A53A97" w:rsidRPr="00A53A97" w:rsidRDefault="00A53A97" w:rsidP="00A53A97">
      <w:pPr>
        <w:spacing w:after="120" w:line="276" w:lineRule="auto"/>
        <w:ind w:firstLine="709"/>
        <w:jc w:val="both"/>
        <w:rPr>
          <w:rFonts w:ascii="Arial" w:eastAsia="Times New Roman" w:hAnsi="Arial" w:cs="Arial"/>
          <w:color w:val="000000"/>
          <w:lang w:val="es-ES_tradnl" w:eastAsia="es-ES"/>
        </w:rPr>
      </w:pPr>
      <w:r w:rsidRPr="00A53A97">
        <w:rPr>
          <w:rFonts w:ascii="Arial" w:eastAsia="Times New Roman" w:hAnsi="Arial" w:cs="Arial"/>
          <w:color w:val="000000"/>
          <w:lang w:val="es-ES_tradnl" w:eastAsia="es-ES"/>
        </w:rPr>
        <w:t xml:space="preserve">De acuerdo con lo expuesto y según lo planteado en la consulta, cuando hay una posible concurrencia entre las modalidades de selección de mínima cuantía y de contratación directa, según el estudio previo de la justificación de la modalidad de selección que la </w:t>
      </w:r>
      <w:r w:rsidR="00BB6E46">
        <w:rPr>
          <w:rFonts w:ascii="Arial" w:eastAsia="Times New Roman" w:hAnsi="Arial" w:cs="Arial"/>
          <w:color w:val="000000"/>
          <w:lang w:val="es-ES_tradnl" w:eastAsia="es-ES"/>
        </w:rPr>
        <w:t>Entidad Estatal</w:t>
      </w:r>
      <w:r w:rsidRPr="00A53A97">
        <w:rPr>
          <w:rFonts w:ascii="Arial" w:eastAsia="Times New Roman" w:hAnsi="Arial" w:cs="Arial"/>
          <w:color w:val="000000"/>
          <w:lang w:val="es-ES_tradnl" w:eastAsia="es-ES"/>
        </w:rPr>
        <w:t xml:space="preserve"> puede utilizar en el proceso de contratación, puede acudir a la utilización de la contratación directa, cuyas causales especiales previstas en la norma justificarían su utilización, con lo cual también se daría aplicación a los fines del principio de economía de la contratación estatal, que busca que los procedimientos y etapas de la selección de la propuesta más favorable se haga con austeridad de tiempos  medios y gastos.</w:t>
      </w:r>
    </w:p>
    <w:bookmarkEnd w:id="1"/>
    <w:p w14:paraId="577142D0" w14:textId="77777777" w:rsidR="00A53A97" w:rsidRPr="00A53A97" w:rsidRDefault="00A53A97" w:rsidP="00A53A97">
      <w:pPr>
        <w:tabs>
          <w:tab w:val="left" w:pos="0"/>
        </w:tabs>
        <w:spacing w:after="0" w:line="240" w:lineRule="auto"/>
        <w:jc w:val="both"/>
        <w:rPr>
          <w:rFonts w:ascii="Arial" w:eastAsia="Calibri" w:hAnsi="Arial" w:cs="Arial"/>
          <w:b/>
          <w:color w:val="000000"/>
          <w:lang w:val="es-ES_tradnl" w:eastAsia="es-MX"/>
        </w:rPr>
      </w:pPr>
      <w:r w:rsidRPr="00A53A97">
        <w:rPr>
          <w:rFonts w:ascii="Arial" w:eastAsia="Calibri" w:hAnsi="Arial" w:cs="Arial"/>
          <w:b/>
          <w:color w:val="000000"/>
          <w:lang w:val="es-ES_tradnl" w:eastAsia="es-MX"/>
        </w:rPr>
        <w:t>3. Respuesta</w:t>
      </w:r>
    </w:p>
    <w:p w14:paraId="2F1CF750" w14:textId="77777777" w:rsidR="00A53A97" w:rsidRPr="00A53A97" w:rsidRDefault="00A53A97" w:rsidP="00A53A97">
      <w:pPr>
        <w:tabs>
          <w:tab w:val="left" w:pos="0"/>
        </w:tabs>
        <w:spacing w:after="0" w:line="240" w:lineRule="auto"/>
        <w:jc w:val="both"/>
        <w:rPr>
          <w:rFonts w:ascii="Arial" w:eastAsia="Calibri" w:hAnsi="Arial" w:cs="Arial"/>
          <w:b/>
          <w:color w:val="000000"/>
          <w:lang w:val="es-ES_tradnl" w:eastAsia="es-MX"/>
        </w:rPr>
      </w:pPr>
    </w:p>
    <w:p w14:paraId="05487210" w14:textId="77777777" w:rsidR="00A53A97" w:rsidRPr="00A53A97" w:rsidRDefault="00A53A97" w:rsidP="00A53A97">
      <w:pPr>
        <w:spacing w:after="0" w:line="240" w:lineRule="auto"/>
        <w:ind w:left="720" w:right="900"/>
        <w:contextualSpacing/>
        <w:jc w:val="both"/>
        <w:rPr>
          <w:color w:val="000000"/>
          <w:sz w:val="21"/>
          <w:szCs w:val="21"/>
          <w:lang w:val="es-MX"/>
        </w:rPr>
      </w:pPr>
      <w:r w:rsidRPr="00A53A97">
        <w:rPr>
          <w:color w:val="000000"/>
          <w:sz w:val="21"/>
          <w:szCs w:val="21"/>
          <w:lang w:val="es-MX"/>
        </w:rPr>
        <w:lastRenderedPageBreak/>
        <w:t>«[…]</w:t>
      </w:r>
      <w:r w:rsidRPr="00A53A97">
        <w:rPr>
          <w:rFonts w:ascii="Arial" w:hAnsi="Arial" w:cs="Arial"/>
          <w:sz w:val="21"/>
          <w:szCs w:val="21"/>
          <w:lang w:val="es-MX"/>
        </w:rPr>
        <w:t>solicitamos se manifieste bajo que regulación o concepto, una entidad pública después de haber agotado el procedimiento de mínima cuantía en varias ocasiones, puede suplir dicha necesidad bajo la modalidad de contratación directa.</w:t>
      </w:r>
      <w:r w:rsidRPr="00A53A97">
        <w:rPr>
          <w:color w:val="000000"/>
          <w:sz w:val="21"/>
          <w:szCs w:val="21"/>
          <w:lang w:val="es-MX"/>
        </w:rPr>
        <w:t>»</w:t>
      </w:r>
    </w:p>
    <w:p w14:paraId="474C738E" w14:textId="77777777" w:rsidR="00A53A97" w:rsidRPr="00A53A97" w:rsidRDefault="00A53A97" w:rsidP="00A53A97">
      <w:pPr>
        <w:tabs>
          <w:tab w:val="left" w:pos="0"/>
        </w:tabs>
        <w:spacing w:after="0" w:line="240" w:lineRule="auto"/>
        <w:ind w:left="709" w:right="709" w:firstLine="709"/>
        <w:jc w:val="both"/>
        <w:rPr>
          <w:rFonts w:ascii="Arial" w:eastAsia="Calibri" w:hAnsi="Arial" w:cs="Arial"/>
          <w:b/>
          <w:color w:val="000000"/>
          <w:sz w:val="24"/>
          <w:szCs w:val="24"/>
          <w:lang w:val="es-ES_tradnl" w:eastAsia="es-MX"/>
        </w:rPr>
      </w:pPr>
    </w:p>
    <w:p w14:paraId="5AF9DAB6" w14:textId="77777777" w:rsidR="00A53A97" w:rsidRPr="00A53A97" w:rsidRDefault="00A53A97" w:rsidP="00A53A97">
      <w:pPr>
        <w:spacing w:before="120" w:after="120" w:line="276" w:lineRule="auto"/>
        <w:jc w:val="both"/>
        <w:rPr>
          <w:rFonts w:ascii="Arial" w:eastAsia="Times New Roman" w:hAnsi="Arial" w:cs="Arial"/>
          <w:bCs/>
          <w:lang w:eastAsia="es-MX"/>
        </w:rPr>
      </w:pPr>
      <w:r w:rsidRPr="00A53A97">
        <w:rPr>
          <w:rFonts w:ascii="Arial" w:eastAsia="Times New Roman" w:hAnsi="Arial" w:cs="Arial"/>
          <w:bCs/>
          <w:lang w:eastAsia="es-MX"/>
        </w:rPr>
        <w:t>De conformidad con las anteriores consideraciones, es posible concluir que mediante el artículo 2 de la Ley 1150 de 2007 se determinaron las modalidades de selección aplicables a las entidades sometidas al Estatuto General de Contratación de la Administración Pública, indicando que: «[…] la escogencia del contratista se efectuará por regla general bajo la modalidad de licitación pública, con las excepciones que se señalan en los numerales 2, 3 y 4 del presente artículo». Particularmente, en el numeral 4 se estableció la modalidad de selección por contratación directa, mientras que en el numeral 5 ibidem, se reguló la modalidad de contratación de mínima cuantía, determinando mandatos especiales para su procedimiento, que se aplicará cuando el valor de la contratación «no excede del 10 por ciento de la menor cuantía de la entidad independientemente de su objeto».</w:t>
      </w:r>
    </w:p>
    <w:p w14:paraId="3E4866F0" w14:textId="51A2C933" w:rsidR="00A53A97" w:rsidRPr="00A53A97" w:rsidRDefault="00A53A97" w:rsidP="00A53A97">
      <w:pPr>
        <w:spacing w:before="120" w:after="120" w:line="276" w:lineRule="auto"/>
        <w:ind w:firstLine="708"/>
        <w:jc w:val="both"/>
        <w:rPr>
          <w:rFonts w:ascii="Arial" w:eastAsia="Times New Roman" w:hAnsi="Arial" w:cs="Arial"/>
          <w:bCs/>
          <w:lang w:eastAsia="es-MX"/>
        </w:rPr>
      </w:pPr>
      <w:r w:rsidRPr="00A53A97">
        <w:rPr>
          <w:rFonts w:ascii="Arial" w:eastAsia="Times New Roman" w:hAnsi="Arial" w:cs="Arial"/>
          <w:bCs/>
          <w:lang w:eastAsia="es-MX"/>
        </w:rPr>
        <w:t xml:space="preserve">Cuando hay una posible concurrencia entre las modalidades de selección de mínima cuantía y de contratación directa, según el estudio previo de la justificación de la modalidad de selección que la </w:t>
      </w:r>
      <w:r w:rsidR="00BB6E46">
        <w:rPr>
          <w:rFonts w:ascii="Arial" w:eastAsia="Times New Roman" w:hAnsi="Arial" w:cs="Arial"/>
          <w:bCs/>
          <w:lang w:eastAsia="es-MX"/>
        </w:rPr>
        <w:t>Entidad Estatal</w:t>
      </w:r>
      <w:r w:rsidRPr="00A53A97">
        <w:rPr>
          <w:rFonts w:ascii="Arial" w:eastAsia="Times New Roman" w:hAnsi="Arial" w:cs="Arial"/>
          <w:bCs/>
          <w:lang w:eastAsia="es-MX"/>
        </w:rPr>
        <w:t xml:space="preserve"> puede utilizar en el proceso de contratación, puede acudir a la utilización de la contratación directa, cuyas causales especiales previstas en</w:t>
      </w:r>
      <w:r w:rsidR="006915D9">
        <w:rPr>
          <w:rFonts w:ascii="Arial" w:eastAsia="Times New Roman" w:hAnsi="Arial" w:cs="Arial"/>
          <w:bCs/>
          <w:lang w:eastAsia="es-MX"/>
        </w:rPr>
        <w:t xml:space="preserve"> el numeral 4 del artículo 2 de la Ley 1150 de 2007</w:t>
      </w:r>
      <w:r w:rsidR="005B1D27">
        <w:rPr>
          <w:rFonts w:ascii="Arial" w:eastAsia="Times New Roman" w:hAnsi="Arial" w:cs="Arial"/>
          <w:bCs/>
          <w:lang w:eastAsia="es-MX"/>
        </w:rPr>
        <w:t xml:space="preserve"> </w:t>
      </w:r>
      <w:r w:rsidRPr="00A53A97">
        <w:rPr>
          <w:rFonts w:ascii="Arial" w:eastAsia="Times New Roman" w:hAnsi="Arial" w:cs="Arial"/>
          <w:bCs/>
          <w:lang w:eastAsia="es-MX"/>
        </w:rPr>
        <w:t>justifica</w:t>
      </w:r>
      <w:r w:rsidR="005B1D27">
        <w:rPr>
          <w:rFonts w:ascii="Arial" w:eastAsia="Times New Roman" w:hAnsi="Arial" w:cs="Arial"/>
          <w:bCs/>
          <w:lang w:eastAsia="es-MX"/>
        </w:rPr>
        <w:t>n</w:t>
      </w:r>
      <w:r w:rsidRPr="00A53A97">
        <w:rPr>
          <w:rFonts w:ascii="Arial" w:eastAsia="Times New Roman" w:hAnsi="Arial" w:cs="Arial"/>
          <w:bCs/>
          <w:lang w:eastAsia="es-MX"/>
        </w:rPr>
        <w:t xml:space="preserve"> su utilización, con lo cual también se daría aplicación a los fines del principio de economía de la contratación estatal, que busca que los procedimientos y etapas de la selección de la propuesta más favorable se haga con austeridad de tiempos , medios y gastos.</w:t>
      </w:r>
    </w:p>
    <w:p w14:paraId="7AA1D176" w14:textId="77777777" w:rsidR="00A53A97" w:rsidRPr="00A53A97" w:rsidRDefault="00A53A97" w:rsidP="00A53A97">
      <w:pPr>
        <w:spacing w:before="120" w:after="120" w:line="276" w:lineRule="auto"/>
        <w:ind w:firstLine="708"/>
        <w:jc w:val="both"/>
        <w:rPr>
          <w:rFonts w:ascii="Arial" w:eastAsia="Times New Roman" w:hAnsi="Arial" w:cs="Arial"/>
          <w:color w:val="000000" w:themeColor="text1"/>
          <w:lang w:val="es-ES_tradnl" w:eastAsia="es-MX"/>
        </w:rPr>
      </w:pPr>
      <w:r w:rsidRPr="00A53A97">
        <w:rPr>
          <w:rFonts w:ascii="Arial" w:eastAsia="Calibri" w:hAnsi="Arial" w:cs="Arial"/>
          <w:color w:val="000000" w:themeColor="text1"/>
          <w:lang w:val="es-ES_tradnl" w:eastAsia="es-MX"/>
        </w:rPr>
        <w:t xml:space="preserve">Esta Agencia en línea con la citada jurisprudencia que se ha pronunciado en igual sentido, adoptó ese criterio en el Manual de la Modalidad de Selección de Mínima Cuantía cuando se dijo que  </w:t>
      </w:r>
      <w:r w:rsidRPr="00A53A97">
        <w:rPr>
          <w:rFonts w:ascii="Arial" w:eastAsia="Times New Roman" w:hAnsi="Arial" w:cs="Arial"/>
          <w:color w:val="000000" w:themeColor="text1"/>
          <w:lang w:val="es-ES_tradnl" w:eastAsia="es-MX"/>
        </w:rPr>
        <w:t>«</w:t>
      </w:r>
      <w:r w:rsidRPr="00A53A97">
        <w:rPr>
          <w:rFonts w:ascii="Arial" w:eastAsia="Calibri" w:hAnsi="Arial" w:cs="Arial"/>
          <w:color w:val="000000" w:themeColor="text1"/>
          <w:lang w:val="es-ES_tradnl" w:eastAsia="es-MX"/>
        </w:rPr>
        <w:t>dado que las causales de contratación directa son especiales y expresas frente a otras modalidades de selección, y que la contratación directa permite obtener una mayor economía en el trámite del proceso de contratación, en caso de concurrencia de la contratación directa y de la mínima cuantía, la modalidad de selección aplicables la contratación directa</w:t>
      </w:r>
      <w:r w:rsidRPr="00A53A97">
        <w:rPr>
          <w:rFonts w:ascii="Arial" w:eastAsia="Times New Roman" w:hAnsi="Arial" w:cs="Arial"/>
          <w:color w:val="000000" w:themeColor="text1"/>
          <w:lang w:val="es-ES_tradnl" w:eastAsia="es-MX"/>
        </w:rPr>
        <w:t xml:space="preserve">». </w:t>
      </w:r>
    </w:p>
    <w:p w14:paraId="2CED98A0" w14:textId="77777777" w:rsidR="00A53A97" w:rsidRPr="00A53A97" w:rsidRDefault="00A53A97" w:rsidP="00A53A97">
      <w:pPr>
        <w:spacing w:before="120" w:after="120" w:line="276" w:lineRule="auto"/>
        <w:ind w:firstLine="708"/>
        <w:jc w:val="both"/>
        <w:rPr>
          <w:rFonts w:ascii="Arial" w:eastAsia="Times New Roman" w:hAnsi="Arial" w:cs="Arial"/>
          <w:color w:val="000000" w:themeColor="text1"/>
          <w:lang w:val="es-ES_tradnl" w:eastAsia="es-MX"/>
        </w:rPr>
      </w:pPr>
      <w:r w:rsidRPr="00A53A97">
        <w:rPr>
          <w:rFonts w:ascii="Arial" w:eastAsia="Times New Roman" w:hAnsi="Arial" w:cs="Arial"/>
          <w:color w:val="000000" w:themeColor="text1"/>
          <w:lang w:val="es-ES_tradnl" w:eastAsia="es-MX"/>
        </w:rPr>
        <w:t>En todo caso, corresponde a las entidades estatales, en aplicación del principio de planeación en la etapa precontractual, justificar la modalidad de selección del contratista que se pretende utilizar en los estudios previos, para lo cual deberán analizar el mercado y el sector con el fin de tomar la decisión de forma autónoma.</w:t>
      </w:r>
    </w:p>
    <w:p w14:paraId="24DB533C" w14:textId="77777777" w:rsidR="00C01D21" w:rsidRPr="00EB2940" w:rsidRDefault="00A53A97" w:rsidP="005951C0">
      <w:pPr>
        <w:spacing w:after="0"/>
        <w:jc w:val="both"/>
        <w:rPr>
          <w:rFonts w:ascii="Arial" w:eastAsia="Times New Roman" w:hAnsi="Arial" w:cs="Arial"/>
          <w:color w:val="000000" w:themeColor="text1"/>
        </w:rPr>
      </w:pPr>
      <w:r w:rsidRPr="00A53A97">
        <w:rPr>
          <w:rFonts w:ascii="Arial" w:eastAsia="Times New Roman" w:hAnsi="Arial" w:cs="Arial"/>
          <w:color w:val="000000" w:themeColor="text1"/>
          <w:lang w:val="es-ES_tradnl" w:eastAsia="es-MX"/>
        </w:rPr>
        <w:t>Este concepto tiene el alcance previsto en el artículo 28 del</w:t>
      </w:r>
      <w:r w:rsidRPr="00A53A97">
        <w:rPr>
          <w:rFonts w:ascii="Arial" w:eastAsia="Times New Roman" w:hAnsi="Arial" w:cs="Arial"/>
          <w:color w:val="000000" w:themeColor="text1"/>
          <w:szCs w:val="24"/>
          <w:lang w:val="es-ES_tradnl" w:eastAsia="es-MX"/>
        </w:rPr>
        <w:t xml:space="preserve"> Código de Procedimiento Administrativo y de lo Contencioso Administrativo</w:t>
      </w:r>
      <w:r w:rsidR="00C01D21">
        <w:rPr>
          <w:rFonts w:ascii="Arial" w:eastAsia="Times New Roman" w:hAnsi="Arial" w:cs="Arial"/>
          <w:color w:val="000000" w:themeColor="text1"/>
          <w:szCs w:val="24"/>
          <w:lang w:val="es-ES_tradnl" w:eastAsia="es-MX"/>
        </w:rPr>
        <w:t xml:space="preserve"> </w:t>
      </w:r>
      <w:r w:rsidR="00C01D21" w:rsidRPr="00EB2940">
        <w:rPr>
          <w:rFonts w:ascii="Arial" w:hAnsi="Arial" w:cs="Arial"/>
          <w:color w:val="000000" w:themeColor="text1"/>
        </w:rPr>
        <w:t>y las expresiones aquí utilizadas con mayúscula inicial deben ser entendidas con el significado que les otorga el artículo 2.2.1.1.1.3.1. del Decreto 1082 de 2015.</w:t>
      </w:r>
    </w:p>
    <w:p w14:paraId="036739E9" w14:textId="77777777" w:rsidR="00A53A97" w:rsidRPr="00A53A97" w:rsidRDefault="00A53A97" w:rsidP="005951C0">
      <w:pPr>
        <w:spacing w:after="0" w:line="276" w:lineRule="auto"/>
        <w:jc w:val="both"/>
        <w:rPr>
          <w:rFonts w:ascii="Arial" w:eastAsia="Times New Roman" w:hAnsi="Arial" w:cs="Arial"/>
          <w:color w:val="000000" w:themeColor="text1"/>
          <w:szCs w:val="24"/>
          <w:lang w:val="es-ES_tradnl" w:eastAsia="es-MX"/>
        </w:rPr>
      </w:pPr>
    </w:p>
    <w:p w14:paraId="2A255884" w14:textId="77777777" w:rsidR="00A53A97" w:rsidRPr="00A53A97" w:rsidRDefault="00A53A97" w:rsidP="00A53A97">
      <w:pPr>
        <w:spacing w:after="0" w:line="276" w:lineRule="auto"/>
        <w:jc w:val="both"/>
        <w:rPr>
          <w:rFonts w:ascii="Arial" w:eastAsia="Times New Roman" w:hAnsi="Arial" w:cs="Arial"/>
          <w:color w:val="000000" w:themeColor="text1"/>
          <w:lang w:val="es-ES_tradnl" w:eastAsia="es-CO"/>
        </w:rPr>
      </w:pPr>
      <w:r w:rsidRPr="00A53A97">
        <w:rPr>
          <w:rFonts w:ascii="Arial" w:eastAsia="Times New Roman" w:hAnsi="Arial" w:cs="Arial"/>
          <w:color w:val="000000" w:themeColor="text1"/>
          <w:lang w:val="es-ES_tradnl" w:eastAsia="es-CO"/>
        </w:rPr>
        <w:t>Atentamente,</w:t>
      </w:r>
    </w:p>
    <w:p w14:paraId="75C1949E" w14:textId="1C5500DC" w:rsidR="00A53A97" w:rsidRPr="00A53A97" w:rsidRDefault="00C439E2" w:rsidP="00A53A97">
      <w:pPr>
        <w:spacing w:after="0" w:line="240" w:lineRule="auto"/>
        <w:jc w:val="center"/>
        <w:rPr>
          <w:rFonts w:ascii="Arial" w:eastAsia="Times New Roman" w:hAnsi="Arial" w:cs="Arial"/>
          <w:sz w:val="24"/>
          <w:szCs w:val="24"/>
          <w:lang w:eastAsia="es-CO"/>
        </w:rPr>
      </w:pPr>
      <w:r>
        <w:rPr>
          <w:noProof/>
        </w:rPr>
        <w:lastRenderedPageBreak/>
        <w:drawing>
          <wp:inline distT="0" distB="0" distL="0" distR="0" wp14:anchorId="040EC853" wp14:editId="4627C7CF">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p w14:paraId="1E6F7B58" w14:textId="77777777" w:rsidR="00A53A97" w:rsidRPr="00A53A97" w:rsidRDefault="00A53A97" w:rsidP="00A53A97">
      <w:pPr>
        <w:spacing w:after="0" w:line="240" w:lineRule="auto"/>
        <w:jc w:val="center"/>
        <w:rPr>
          <w:rFonts w:ascii="Arial" w:eastAsia="Times New Roman" w:hAnsi="Arial" w:cs="Arial"/>
          <w:sz w:val="24"/>
          <w:szCs w:val="24"/>
          <w:lang w:eastAsia="es-CO"/>
        </w:rPr>
      </w:pP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5276"/>
      </w:tblGrid>
      <w:tr w:rsidR="00A53A97" w:rsidRPr="00A53A97" w14:paraId="213EB199" w14:textId="77777777" w:rsidTr="001A6815">
        <w:trPr>
          <w:trHeight w:val="291"/>
        </w:trPr>
        <w:tc>
          <w:tcPr>
            <w:tcW w:w="1266" w:type="dxa"/>
            <w:vAlign w:val="center"/>
            <w:hideMark/>
          </w:tcPr>
          <w:p w14:paraId="35DBA1E1" w14:textId="77777777" w:rsidR="00A53A97" w:rsidRPr="00A53A97" w:rsidRDefault="00A53A97" w:rsidP="00A53A97">
            <w:pPr>
              <w:rPr>
                <w:rFonts w:ascii="Arial" w:eastAsia="Times New Roman" w:hAnsi="Arial" w:cs="Arial"/>
                <w:sz w:val="14"/>
                <w:szCs w:val="14"/>
                <w:lang w:eastAsia="es-ES"/>
              </w:rPr>
            </w:pPr>
            <w:r w:rsidRPr="00A53A97">
              <w:rPr>
                <w:rFonts w:ascii="Arial" w:eastAsia="Times New Roman" w:hAnsi="Arial" w:cs="Arial"/>
                <w:sz w:val="14"/>
                <w:szCs w:val="14"/>
                <w:lang w:eastAsia="es-ES"/>
              </w:rPr>
              <w:t>Elaboró:</w:t>
            </w:r>
          </w:p>
        </w:tc>
        <w:tc>
          <w:tcPr>
            <w:tcW w:w="5276" w:type="dxa"/>
            <w:tcBorders>
              <w:top w:val="nil"/>
              <w:left w:val="nil"/>
              <w:bottom w:val="dotted" w:sz="4" w:space="0" w:color="7F7F7F"/>
              <w:right w:val="nil"/>
            </w:tcBorders>
            <w:vAlign w:val="center"/>
            <w:hideMark/>
          </w:tcPr>
          <w:p w14:paraId="45DE1672" w14:textId="77777777" w:rsidR="00A53A97" w:rsidRPr="00A53A97" w:rsidRDefault="00A53A97" w:rsidP="00A53A97">
            <w:pPr>
              <w:rPr>
                <w:rFonts w:ascii="Arial" w:eastAsia="Times New Roman" w:hAnsi="Arial" w:cs="Arial"/>
                <w:sz w:val="14"/>
                <w:szCs w:val="14"/>
                <w:lang w:eastAsia="es-ES"/>
              </w:rPr>
            </w:pPr>
            <w:r w:rsidRPr="00A53A97">
              <w:rPr>
                <w:rFonts w:ascii="Arial" w:eastAsia="Times New Roman" w:hAnsi="Arial" w:cs="Arial"/>
                <w:sz w:val="14"/>
                <w:szCs w:val="14"/>
                <w:lang w:eastAsia="es-ES"/>
              </w:rPr>
              <w:t>Felipe Bastidas Paredes</w:t>
            </w:r>
          </w:p>
          <w:p w14:paraId="740FE7DB" w14:textId="77777777" w:rsidR="00A53A97" w:rsidRPr="00A53A97" w:rsidRDefault="00A53A97" w:rsidP="00A53A97">
            <w:pPr>
              <w:rPr>
                <w:rFonts w:ascii="Arial" w:eastAsia="Times New Roman" w:hAnsi="Arial" w:cs="Arial"/>
                <w:sz w:val="14"/>
                <w:szCs w:val="14"/>
                <w:lang w:eastAsia="es-ES"/>
              </w:rPr>
            </w:pPr>
            <w:r w:rsidRPr="00A53A97">
              <w:rPr>
                <w:rFonts w:ascii="Arial" w:eastAsia="Times New Roman" w:hAnsi="Arial" w:cs="Arial"/>
                <w:sz w:val="14"/>
                <w:szCs w:val="14"/>
                <w:lang w:eastAsia="es-ES"/>
              </w:rPr>
              <w:t>Contratista de la Subdirección de Gestión Contractual</w:t>
            </w:r>
          </w:p>
        </w:tc>
      </w:tr>
      <w:tr w:rsidR="00A53A97" w:rsidRPr="00A53A97" w14:paraId="6F5FE510" w14:textId="77777777" w:rsidTr="001A6815">
        <w:trPr>
          <w:trHeight w:val="304"/>
        </w:trPr>
        <w:tc>
          <w:tcPr>
            <w:tcW w:w="1266" w:type="dxa"/>
            <w:vAlign w:val="center"/>
          </w:tcPr>
          <w:p w14:paraId="7D3009ED" w14:textId="77777777" w:rsidR="00A53A97" w:rsidRPr="00A53A97" w:rsidRDefault="00A53A97" w:rsidP="00A53A97">
            <w:pPr>
              <w:rPr>
                <w:rFonts w:ascii="Arial" w:eastAsia="Times New Roman" w:hAnsi="Arial" w:cs="Arial"/>
                <w:sz w:val="14"/>
                <w:szCs w:val="14"/>
                <w:lang w:eastAsia="es-ES"/>
              </w:rPr>
            </w:pPr>
            <w:r w:rsidRPr="00A53A97">
              <w:rPr>
                <w:rFonts w:ascii="Arial" w:eastAsia="Times New Roman" w:hAnsi="Arial" w:cs="Arial"/>
                <w:sz w:val="14"/>
                <w:szCs w:val="14"/>
                <w:lang w:eastAsia="es-ES"/>
              </w:rPr>
              <w:t>Revisó:</w:t>
            </w:r>
          </w:p>
        </w:tc>
        <w:tc>
          <w:tcPr>
            <w:tcW w:w="5276" w:type="dxa"/>
            <w:tcBorders>
              <w:top w:val="dotted" w:sz="4" w:space="0" w:color="7F7F7F"/>
              <w:left w:val="nil"/>
              <w:bottom w:val="dotted" w:sz="4" w:space="0" w:color="7F7F7F"/>
              <w:right w:val="nil"/>
            </w:tcBorders>
            <w:vAlign w:val="center"/>
          </w:tcPr>
          <w:p w14:paraId="36F9D703" w14:textId="2AC53F37" w:rsidR="00A53A97" w:rsidRPr="00A53A97" w:rsidRDefault="00A53A97" w:rsidP="00A53A97">
            <w:pPr>
              <w:rPr>
                <w:rFonts w:ascii="Arial" w:eastAsia="Times New Roman" w:hAnsi="Arial" w:cs="Arial"/>
                <w:sz w:val="14"/>
                <w:szCs w:val="14"/>
                <w:lang w:eastAsia="es-ES"/>
              </w:rPr>
            </w:pPr>
            <w:r w:rsidRPr="00A53A97">
              <w:rPr>
                <w:rFonts w:ascii="Arial" w:eastAsia="Times New Roman" w:hAnsi="Arial" w:cs="Arial"/>
                <w:sz w:val="14"/>
                <w:szCs w:val="14"/>
                <w:lang w:eastAsia="es-ES"/>
              </w:rPr>
              <w:t xml:space="preserve">Any </w:t>
            </w:r>
            <w:r w:rsidR="00C01D21">
              <w:rPr>
                <w:rFonts w:ascii="Arial" w:eastAsia="Times New Roman" w:hAnsi="Arial" w:cs="Arial"/>
                <w:sz w:val="14"/>
                <w:szCs w:val="14"/>
                <w:lang w:eastAsia="es-ES"/>
              </w:rPr>
              <w:t xml:space="preserve">Alejandra </w:t>
            </w:r>
            <w:r w:rsidRPr="00A53A97">
              <w:rPr>
                <w:rFonts w:ascii="Arial" w:eastAsia="Times New Roman" w:hAnsi="Arial" w:cs="Arial"/>
                <w:sz w:val="14"/>
                <w:szCs w:val="14"/>
                <w:lang w:eastAsia="es-ES"/>
              </w:rPr>
              <w:t>Tovar</w:t>
            </w:r>
            <w:r w:rsidR="00C01D21">
              <w:rPr>
                <w:rFonts w:ascii="Arial" w:eastAsia="Times New Roman" w:hAnsi="Arial" w:cs="Arial"/>
                <w:sz w:val="14"/>
                <w:szCs w:val="14"/>
                <w:lang w:eastAsia="es-ES"/>
              </w:rPr>
              <w:t xml:space="preserve"> Castillo</w:t>
            </w:r>
          </w:p>
          <w:p w14:paraId="29BA6921" w14:textId="77777777" w:rsidR="00A53A97" w:rsidRPr="00A53A97" w:rsidRDefault="00A53A97" w:rsidP="00A53A97">
            <w:pPr>
              <w:rPr>
                <w:rFonts w:ascii="Arial" w:eastAsia="Times New Roman" w:hAnsi="Arial" w:cs="Arial"/>
                <w:sz w:val="14"/>
                <w:szCs w:val="14"/>
                <w:lang w:eastAsia="es-ES"/>
              </w:rPr>
            </w:pPr>
            <w:r w:rsidRPr="00A53A97">
              <w:rPr>
                <w:rFonts w:ascii="Arial" w:eastAsia="Times New Roman" w:hAnsi="Arial" w:cs="Arial"/>
                <w:sz w:val="14"/>
                <w:szCs w:val="14"/>
                <w:lang w:eastAsia="es-ES"/>
              </w:rPr>
              <w:t xml:space="preserve">Contratista Subdirección de Gestión Contractual </w:t>
            </w:r>
          </w:p>
        </w:tc>
      </w:tr>
      <w:tr w:rsidR="00A53A97" w:rsidRPr="00A53A97" w14:paraId="69AF8CBB" w14:textId="77777777" w:rsidTr="001A6815">
        <w:trPr>
          <w:trHeight w:val="277"/>
        </w:trPr>
        <w:tc>
          <w:tcPr>
            <w:tcW w:w="1266" w:type="dxa"/>
            <w:vAlign w:val="center"/>
            <w:hideMark/>
          </w:tcPr>
          <w:p w14:paraId="4CE37AFE" w14:textId="77777777" w:rsidR="00A53A97" w:rsidRPr="00A53A97" w:rsidRDefault="00A53A97" w:rsidP="00A53A97">
            <w:pPr>
              <w:rPr>
                <w:rFonts w:ascii="Arial" w:eastAsia="Times New Roman" w:hAnsi="Arial" w:cs="Arial"/>
                <w:sz w:val="14"/>
                <w:szCs w:val="14"/>
                <w:lang w:eastAsia="es-ES"/>
              </w:rPr>
            </w:pPr>
            <w:r w:rsidRPr="00A53A97">
              <w:rPr>
                <w:rFonts w:ascii="Arial" w:eastAsia="Times New Roman" w:hAnsi="Arial" w:cs="Arial"/>
                <w:sz w:val="14"/>
                <w:szCs w:val="14"/>
                <w:lang w:eastAsia="es-ES"/>
              </w:rPr>
              <w:t>Aprobó:</w:t>
            </w:r>
          </w:p>
        </w:tc>
        <w:tc>
          <w:tcPr>
            <w:tcW w:w="5276" w:type="dxa"/>
            <w:tcBorders>
              <w:top w:val="dotted" w:sz="4" w:space="0" w:color="7F7F7F"/>
              <w:left w:val="nil"/>
              <w:bottom w:val="dotted" w:sz="4" w:space="0" w:color="7F7F7F"/>
              <w:right w:val="nil"/>
            </w:tcBorders>
            <w:vAlign w:val="center"/>
            <w:hideMark/>
          </w:tcPr>
          <w:p w14:paraId="4DF23691" w14:textId="77777777" w:rsidR="00A53A97" w:rsidRPr="00A53A97" w:rsidRDefault="00A53A97" w:rsidP="00A53A97">
            <w:pPr>
              <w:rPr>
                <w:rFonts w:ascii="Arial" w:eastAsia="Times New Roman" w:hAnsi="Arial" w:cs="Arial"/>
                <w:sz w:val="14"/>
                <w:szCs w:val="14"/>
                <w:lang w:eastAsia="es-MX"/>
              </w:rPr>
            </w:pPr>
            <w:r w:rsidRPr="00A53A97">
              <w:rPr>
                <w:rFonts w:ascii="Arial" w:eastAsia="Times New Roman" w:hAnsi="Arial" w:cs="Arial"/>
                <w:sz w:val="14"/>
                <w:szCs w:val="14"/>
                <w:lang w:eastAsia="es-MX"/>
              </w:rPr>
              <w:t>Nohelia del Carmen Zawady Palacio</w:t>
            </w:r>
          </w:p>
          <w:p w14:paraId="60243FC7" w14:textId="77777777" w:rsidR="00A53A97" w:rsidRPr="00A53A97" w:rsidRDefault="00A53A97" w:rsidP="00A53A97">
            <w:pPr>
              <w:rPr>
                <w:rFonts w:ascii="Arial" w:eastAsia="Times New Roman" w:hAnsi="Arial" w:cs="Arial"/>
                <w:sz w:val="14"/>
                <w:szCs w:val="14"/>
                <w:lang w:eastAsia="es-ES"/>
              </w:rPr>
            </w:pPr>
            <w:r w:rsidRPr="00A53A97">
              <w:rPr>
                <w:rFonts w:ascii="Arial" w:eastAsia="Times New Roman" w:hAnsi="Arial" w:cs="Arial"/>
                <w:sz w:val="14"/>
                <w:szCs w:val="14"/>
                <w:lang w:eastAsia="es-MX"/>
              </w:rPr>
              <w:t>Subdirectora de Gestión Contractual ANCP – CCE</w:t>
            </w:r>
          </w:p>
        </w:tc>
      </w:tr>
    </w:tbl>
    <w:p w14:paraId="70639100" w14:textId="77777777" w:rsidR="001A48D0" w:rsidRDefault="001A48D0" w:rsidP="001A48D0">
      <w:pPr>
        <w:spacing w:after="0" w:line="240" w:lineRule="auto"/>
        <w:rPr>
          <w:rFonts w:ascii="Geomanist Light" w:hAnsi="Geomanist Light"/>
          <w:b/>
          <w:color w:val="404040" w:themeColor="text1" w:themeTint="BF"/>
          <w:lang w:val="es-ES"/>
        </w:rPr>
      </w:pPr>
    </w:p>
    <w:p w14:paraId="31D419DD" w14:textId="30F0F96B" w:rsidR="001A1011" w:rsidRDefault="001A1011" w:rsidP="006219F8">
      <w:pPr>
        <w:spacing w:after="0" w:line="240" w:lineRule="auto"/>
        <w:rPr>
          <w:rFonts w:ascii="Geomanist Light" w:hAnsi="Geomanist Light"/>
          <w:b/>
          <w:color w:val="404040" w:themeColor="text1" w:themeTint="BF"/>
          <w:lang w:val="es-ES"/>
        </w:rPr>
      </w:pPr>
    </w:p>
    <w:bookmarkEnd w:id="0"/>
    <w:p w14:paraId="0F293BF4" w14:textId="0F6FB6C1" w:rsidR="00127233" w:rsidRPr="006219F8" w:rsidRDefault="00127233">
      <w:pPr>
        <w:rPr>
          <w:lang w:val="es-MX"/>
        </w:rPr>
      </w:pPr>
    </w:p>
    <w:sectPr w:rsidR="00127233" w:rsidRPr="006219F8"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AC6B6" w14:textId="77777777" w:rsidR="00A00BC2" w:rsidRDefault="00A00BC2" w:rsidP="004A1847">
      <w:pPr>
        <w:spacing w:after="0" w:line="240" w:lineRule="auto"/>
      </w:pPr>
      <w:r>
        <w:separator/>
      </w:r>
    </w:p>
  </w:endnote>
  <w:endnote w:type="continuationSeparator" w:id="0">
    <w:p w14:paraId="3D0B0CCC" w14:textId="77777777" w:rsidR="00A00BC2" w:rsidRDefault="00A00BC2" w:rsidP="004A1847">
      <w:pPr>
        <w:spacing w:after="0" w:line="240" w:lineRule="auto"/>
      </w:pPr>
      <w:r>
        <w:continuationSeparator/>
      </w:r>
    </w:p>
  </w:endnote>
  <w:endnote w:type="continuationNotice" w:id="1">
    <w:p w14:paraId="76AEF7F2" w14:textId="77777777" w:rsidR="00A00BC2" w:rsidRDefault="00A00B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orbel"/>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2F3" w14:textId="77777777" w:rsidR="00A00BC2" w:rsidRDefault="00A00BC2" w:rsidP="004A1847">
      <w:pPr>
        <w:spacing w:after="0" w:line="240" w:lineRule="auto"/>
      </w:pPr>
      <w:r>
        <w:separator/>
      </w:r>
    </w:p>
  </w:footnote>
  <w:footnote w:type="continuationSeparator" w:id="0">
    <w:p w14:paraId="18A10FC6" w14:textId="77777777" w:rsidR="00A00BC2" w:rsidRDefault="00A00BC2" w:rsidP="004A1847">
      <w:pPr>
        <w:spacing w:after="0" w:line="240" w:lineRule="auto"/>
      </w:pPr>
      <w:r>
        <w:continuationSeparator/>
      </w:r>
    </w:p>
  </w:footnote>
  <w:footnote w:type="continuationNotice" w:id="1">
    <w:p w14:paraId="3783BF04" w14:textId="77777777" w:rsidR="00A00BC2" w:rsidRDefault="00A00BC2">
      <w:pPr>
        <w:spacing w:after="0" w:line="240" w:lineRule="auto"/>
      </w:pPr>
    </w:p>
  </w:footnote>
  <w:footnote w:id="2">
    <w:p w14:paraId="35E990C7" w14:textId="77777777" w:rsidR="00A53A97" w:rsidRPr="00670BD8" w:rsidRDefault="00A53A97" w:rsidP="00A53A97">
      <w:pPr>
        <w:pStyle w:val="Textonotapie"/>
        <w:ind w:firstLine="708"/>
        <w:jc w:val="both"/>
        <w:rPr>
          <w:rFonts w:ascii="Arial" w:hAnsi="Arial" w:cs="Arial"/>
          <w:sz w:val="19"/>
          <w:szCs w:val="19"/>
          <w:lang w:val="es-ES"/>
        </w:rPr>
      </w:pPr>
      <w:r w:rsidRPr="00670BD8">
        <w:rPr>
          <w:rStyle w:val="Refdenotaalpie"/>
          <w:rFonts w:ascii="Arial" w:hAnsi="Arial" w:cs="Arial"/>
          <w:sz w:val="19"/>
          <w:szCs w:val="19"/>
        </w:rPr>
        <w:footnoteRef/>
      </w:r>
      <w:r w:rsidRPr="00670BD8">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670BD8">
        <w:rPr>
          <w:rFonts w:ascii="Arial" w:hAnsi="Arial" w:cs="Arial"/>
          <w:i/>
          <w:iCs/>
          <w:sz w:val="19"/>
          <w:szCs w:val="19"/>
        </w:rPr>
        <w:t xml:space="preserve">ibidem </w:t>
      </w:r>
      <w:r w:rsidRPr="00670BD8">
        <w:rPr>
          <w:rFonts w:ascii="Arial" w:hAnsi="Arial" w:cs="Arial"/>
          <w:sz w:val="19"/>
          <w:szCs w:val="19"/>
        </w:rPr>
        <w:t>señala, de manera precisa, las funciones de Colombia Compra Eficiente. Concretamente, el numeral 5º del referido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5C63EBA5" w14:textId="77777777" w:rsidR="00A53A97" w:rsidRPr="005951C0" w:rsidRDefault="00A53A97" w:rsidP="00A53A97">
      <w:pPr>
        <w:pStyle w:val="Textonotapie"/>
        <w:ind w:firstLine="709"/>
        <w:jc w:val="both"/>
        <w:rPr>
          <w:sz w:val="19"/>
          <w:szCs w:val="19"/>
          <w:lang w:val="es-CO"/>
        </w:rPr>
      </w:pPr>
      <w:r w:rsidRPr="005951C0">
        <w:rPr>
          <w:rStyle w:val="Refdenotaalpie"/>
          <w:sz w:val="19"/>
          <w:szCs w:val="19"/>
        </w:rPr>
        <w:footnoteRef/>
      </w:r>
      <w:r w:rsidRPr="005951C0">
        <w:rPr>
          <w:sz w:val="19"/>
          <w:szCs w:val="19"/>
        </w:rPr>
        <w:t xml:space="preserve"> </w:t>
      </w:r>
      <w:r w:rsidRPr="00670BD8">
        <w:rPr>
          <w:rFonts w:ascii="Arial" w:hAnsi="Arial" w:cs="Arial"/>
          <w:sz w:val="19"/>
          <w:szCs w:val="19"/>
          <w:lang w:val="es-CO"/>
        </w:rPr>
        <w:t xml:space="preserve">Estos conceptos pueden ser consultados en la relatoría de la Agencia en el siguiente enlace: </w:t>
      </w:r>
      <w:hyperlink r:id="rId1" w:history="1">
        <w:r w:rsidRPr="00670BD8">
          <w:rPr>
            <w:rStyle w:val="Hipervnculo"/>
            <w:rFonts w:ascii="Arial" w:hAnsi="Arial" w:cs="Arial"/>
            <w:color w:val="000000" w:themeColor="text1"/>
            <w:sz w:val="19"/>
            <w:szCs w:val="19"/>
            <w:lang w:val="es-CO"/>
          </w:rPr>
          <w:t>https://relatoria.colombiacompra.gov.co/busqueda/conceptos#</w:t>
        </w:r>
      </w:hyperlink>
      <w:r w:rsidRPr="00670BD8">
        <w:rPr>
          <w:rFonts w:ascii="Arial" w:hAnsi="Arial" w:cs="Arial"/>
          <w:color w:val="000000" w:themeColor="text1"/>
          <w:sz w:val="19"/>
          <w:szCs w:val="19"/>
          <w:lang w:val="es-CO"/>
        </w:rPr>
        <w:t xml:space="preserve"> </w:t>
      </w:r>
    </w:p>
  </w:footnote>
  <w:footnote w:id="4">
    <w:p w14:paraId="0054127B" w14:textId="77777777" w:rsidR="00A53A97" w:rsidRPr="005951C0" w:rsidRDefault="00A53A97" w:rsidP="00A53A97">
      <w:pPr>
        <w:ind w:firstLine="707"/>
        <w:jc w:val="both"/>
        <w:rPr>
          <w:rFonts w:ascii="Arial" w:hAnsi="Arial" w:cs="Arial"/>
          <w:sz w:val="19"/>
          <w:szCs w:val="19"/>
        </w:rPr>
      </w:pPr>
      <w:r w:rsidRPr="005951C0">
        <w:rPr>
          <w:rStyle w:val="Refdenotaalpie"/>
          <w:rFonts w:ascii="Arial" w:hAnsi="Arial" w:cs="Arial"/>
          <w:sz w:val="19"/>
          <w:szCs w:val="19"/>
        </w:rPr>
        <w:footnoteRef/>
      </w:r>
      <w:r w:rsidRPr="005951C0">
        <w:rPr>
          <w:rFonts w:ascii="Arial" w:hAnsi="Arial" w:cs="Arial"/>
          <w:position w:val="6"/>
          <w:sz w:val="19"/>
          <w:szCs w:val="19"/>
        </w:rPr>
        <w:t xml:space="preserve"> </w:t>
      </w:r>
      <w:r w:rsidRPr="005951C0">
        <w:rPr>
          <w:rFonts w:ascii="Arial" w:hAnsi="Arial" w:cs="Arial"/>
          <w:sz w:val="19"/>
          <w:szCs w:val="19"/>
        </w:rPr>
        <w:t>DEIK ACOSTAMADIEDO, Carolina, Guía de Contratación Estatal: Deber de planeación y modalidades de selección, Buenos Aires, 2015, p. 59.</w:t>
      </w:r>
    </w:p>
    <w:p w14:paraId="34559DA0" w14:textId="77777777" w:rsidR="00A53A97" w:rsidRPr="005951C0" w:rsidRDefault="00A53A97" w:rsidP="00A53A97">
      <w:pPr>
        <w:pStyle w:val="Textonotapie"/>
        <w:jc w:val="both"/>
        <w:rPr>
          <w:rFonts w:ascii="Arial" w:hAnsi="Arial" w:cs="Arial"/>
          <w:sz w:val="19"/>
          <w:szCs w:val="19"/>
        </w:rPr>
      </w:pPr>
    </w:p>
  </w:footnote>
  <w:footnote w:id="5">
    <w:p w14:paraId="538CCBA8" w14:textId="77777777" w:rsidR="00A53A97" w:rsidRPr="005951C0" w:rsidRDefault="00A53A97" w:rsidP="00A53A97">
      <w:pPr>
        <w:pStyle w:val="Textoindependiente"/>
        <w:ind w:firstLine="709"/>
        <w:jc w:val="both"/>
        <w:rPr>
          <w:sz w:val="19"/>
          <w:szCs w:val="19"/>
        </w:rPr>
      </w:pPr>
      <w:r w:rsidRPr="005951C0">
        <w:rPr>
          <w:rStyle w:val="Refdenotaalpie"/>
          <w:sz w:val="19"/>
          <w:szCs w:val="19"/>
        </w:rPr>
        <w:footnoteRef/>
      </w:r>
      <w:r w:rsidRPr="005951C0">
        <w:rPr>
          <w:sz w:val="19"/>
          <w:szCs w:val="19"/>
        </w:rPr>
        <w:t xml:space="preserve"> </w:t>
      </w:r>
      <w:r w:rsidRPr="005951C0">
        <w:rPr>
          <w:position w:val="6"/>
          <w:sz w:val="19"/>
          <w:szCs w:val="19"/>
        </w:rPr>
        <w:t xml:space="preserve"> </w:t>
      </w:r>
      <w:r w:rsidRPr="005951C0">
        <w:rPr>
          <w:sz w:val="19"/>
          <w:szCs w:val="19"/>
        </w:rPr>
        <w:t xml:space="preserve">«Artículo </w:t>
      </w:r>
      <w:bookmarkStart w:id="10" w:name="_Hlk54173885"/>
      <w:r w:rsidRPr="005951C0">
        <w:rPr>
          <w:sz w:val="19"/>
          <w:szCs w:val="19"/>
        </w:rPr>
        <w:t>2.2.1.1.2.1.1</w:t>
      </w:r>
      <w:bookmarkEnd w:id="10"/>
      <w:r w:rsidRPr="005951C0">
        <w:rPr>
          <w:sz w:val="19"/>
          <w:szCs w:val="19"/>
        </w:rPr>
        <w:t>.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p>
    <w:p w14:paraId="5B6DCDA9" w14:textId="77777777" w:rsidR="00A53A97" w:rsidRPr="005951C0" w:rsidRDefault="00A53A97" w:rsidP="00A53A97">
      <w:pPr>
        <w:pStyle w:val="Textonotapie"/>
        <w:ind w:firstLine="709"/>
        <w:jc w:val="both"/>
        <w:rPr>
          <w:rFonts w:ascii="Arial" w:hAnsi="Arial" w:cs="Arial"/>
          <w:sz w:val="19"/>
          <w:szCs w:val="19"/>
        </w:rPr>
      </w:pPr>
    </w:p>
  </w:footnote>
  <w:footnote w:id="6">
    <w:p w14:paraId="73169097" w14:textId="465E71FD" w:rsidR="00A53A97" w:rsidRPr="005951C0" w:rsidRDefault="00A53A97" w:rsidP="005951C0">
      <w:pPr>
        <w:pStyle w:val="Textoindependiente"/>
        <w:ind w:firstLine="709"/>
        <w:jc w:val="both"/>
        <w:rPr>
          <w:rFonts w:ascii="Arial" w:hAnsi="Arial" w:cs="Arial"/>
          <w:sz w:val="19"/>
          <w:szCs w:val="19"/>
        </w:rPr>
      </w:pPr>
      <w:r w:rsidRPr="005951C0">
        <w:rPr>
          <w:rStyle w:val="Refdenotaalpie"/>
          <w:sz w:val="19"/>
          <w:szCs w:val="19"/>
        </w:rPr>
        <w:footnoteRef/>
      </w:r>
      <w:r w:rsidRPr="005951C0">
        <w:rPr>
          <w:sz w:val="19"/>
          <w:szCs w:val="19"/>
        </w:rPr>
        <w:t xml:space="preserve"> Consejo de Estado. Sección Tercera. Subsección B. Sentencia del 31 de agosto de 2011. Exp. 18.080. C.P. Ruth Stella Correa Palacio: «(…) recuérdese que la aplicación de la buena fe en materia negocial implica para las partes la observancia la observancia de una conducta enmarcada dentro del contexto de los deberes de corrección, claridad y recíproca lealtad que se deben los contratantes, para remitir la realización de los efectos finales buscados en el contrato».</w:t>
      </w:r>
    </w:p>
  </w:footnote>
  <w:footnote w:id="7">
    <w:p w14:paraId="43B5E60B" w14:textId="77777777" w:rsidR="00A53A97" w:rsidRPr="005951C0" w:rsidRDefault="00A53A97" w:rsidP="00A53A97">
      <w:pPr>
        <w:ind w:firstLine="708"/>
        <w:jc w:val="both"/>
        <w:rPr>
          <w:rFonts w:ascii="Arial" w:hAnsi="Arial" w:cs="Arial"/>
          <w:sz w:val="19"/>
          <w:szCs w:val="19"/>
        </w:rPr>
      </w:pPr>
      <w:r w:rsidRPr="005951C0">
        <w:rPr>
          <w:rStyle w:val="Refdenotaalpie"/>
          <w:rFonts w:ascii="Arial" w:hAnsi="Arial" w:cs="Arial"/>
          <w:sz w:val="19"/>
          <w:szCs w:val="19"/>
        </w:rPr>
        <w:footnoteRef/>
      </w:r>
      <w:r w:rsidRPr="005951C0">
        <w:rPr>
          <w:rFonts w:ascii="Arial" w:hAnsi="Arial" w:cs="Arial"/>
          <w:sz w:val="19"/>
          <w:szCs w:val="19"/>
        </w:rPr>
        <w:t xml:space="preserve"> </w:t>
      </w:r>
      <w:r w:rsidRPr="005951C0">
        <w:rPr>
          <w:rFonts w:ascii="Arial" w:hAnsi="Arial" w:cs="Arial"/>
          <w:i/>
          <w:sz w:val="19"/>
          <w:szCs w:val="19"/>
        </w:rPr>
        <w:t>Ibidem</w:t>
      </w:r>
      <w:r w:rsidRPr="005951C0">
        <w:rPr>
          <w:rFonts w:ascii="Arial" w:hAnsi="Arial" w:cs="Arial"/>
          <w:sz w:val="19"/>
          <w:szCs w:val="19"/>
        </w:rPr>
        <w:t>.</w:t>
      </w:r>
    </w:p>
  </w:footnote>
  <w:footnote w:id="8">
    <w:p w14:paraId="34471122" w14:textId="77777777" w:rsidR="00A53A97" w:rsidRPr="005951C0" w:rsidRDefault="00A53A97" w:rsidP="00A53A97">
      <w:pPr>
        <w:pStyle w:val="Textonotapie"/>
        <w:ind w:firstLine="708"/>
        <w:jc w:val="both"/>
        <w:rPr>
          <w:rFonts w:ascii="Arial" w:hAnsi="Arial" w:cs="Arial"/>
          <w:sz w:val="19"/>
          <w:szCs w:val="19"/>
        </w:rPr>
      </w:pPr>
      <w:r w:rsidRPr="005951C0">
        <w:rPr>
          <w:rStyle w:val="Refdenotaalpie"/>
          <w:rFonts w:ascii="Arial" w:hAnsi="Arial" w:cs="Arial"/>
          <w:sz w:val="19"/>
          <w:szCs w:val="19"/>
        </w:rPr>
        <w:footnoteRef/>
      </w:r>
      <w:r w:rsidRPr="005951C0">
        <w:rPr>
          <w:rFonts w:ascii="Arial" w:hAnsi="Arial" w:cs="Arial"/>
          <w:sz w:val="19"/>
          <w:szCs w:val="19"/>
        </w:rPr>
        <w:t xml:space="preserve"> Decreto 1082 de 2015: «Artículo 2.2.1.1.1.6.1. Deber de análisis de las Entidades Estatales.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footnote>
  <w:footnote w:id="9">
    <w:p w14:paraId="256916BA" w14:textId="77777777" w:rsidR="00A53A97" w:rsidRPr="005951C0" w:rsidRDefault="00A53A97" w:rsidP="00A53A97">
      <w:pPr>
        <w:pStyle w:val="Textonotapie"/>
        <w:ind w:firstLine="708"/>
        <w:jc w:val="both"/>
        <w:rPr>
          <w:rFonts w:ascii="Arial" w:hAnsi="Arial" w:cs="Arial"/>
          <w:sz w:val="19"/>
          <w:szCs w:val="19"/>
        </w:rPr>
      </w:pPr>
      <w:r w:rsidRPr="005951C0">
        <w:rPr>
          <w:rStyle w:val="Refdenotaalpie"/>
          <w:rFonts w:ascii="Arial" w:hAnsi="Arial" w:cs="Arial"/>
          <w:sz w:val="19"/>
          <w:szCs w:val="19"/>
        </w:rPr>
        <w:footnoteRef/>
      </w:r>
      <w:r w:rsidRPr="005951C0">
        <w:rPr>
          <w:rFonts w:ascii="Arial" w:hAnsi="Arial" w:cs="Arial"/>
          <w:sz w:val="19"/>
          <w:szCs w:val="19"/>
        </w:rPr>
        <w:t xml:space="preserve"> AGENCIA NACIONAL DE CONTRATACIÓN PÚBLICA – COLOMBIA COMPRA EFICIENTE. </w:t>
      </w:r>
      <w:r w:rsidRPr="005951C0">
        <w:rPr>
          <w:rFonts w:ascii="Arial" w:eastAsia="Calibri" w:hAnsi="Arial" w:cs="Arial"/>
          <w:bCs/>
          <w:sz w:val="19"/>
          <w:szCs w:val="19"/>
          <w:lang w:val="es-ES_tradnl" w:eastAsia="es-ES_tradnl"/>
        </w:rPr>
        <w:t>Guía de elaboración de estudios del sector</w:t>
      </w:r>
      <w:r w:rsidRPr="005951C0">
        <w:rPr>
          <w:rFonts w:ascii="Arial" w:hAnsi="Arial" w:cs="Arial"/>
          <w:sz w:val="19"/>
          <w:szCs w:val="19"/>
        </w:rPr>
        <w:t xml:space="preserve">. Disponible en: </w:t>
      </w:r>
      <w:hyperlink r:id="rId2" w:history="1">
        <w:r w:rsidRPr="005951C0">
          <w:rPr>
            <w:rStyle w:val="Hipervnculo"/>
            <w:rFonts w:ascii="Arial" w:hAnsi="Arial" w:cs="Arial"/>
            <w:sz w:val="19"/>
            <w:szCs w:val="19"/>
          </w:rPr>
          <w:t>https://www.colombiacompra.gov.co/manuales-guias-y-pliegos-tipo/manuales-y-guias</w:t>
        </w:r>
      </w:hyperlink>
      <w:r w:rsidRPr="005951C0">
        <w:rPr>
          <w:rFonts w:ascii="Arial" w:hAnsi="Arial" w:cs="Arial"/>
          <w:sz w:val="19"/>
          <w:szCs w:val="19"/>
        </w:rPr>
        <w:t xml:space="preserve">. </w:t>
      </w:r>
    </w:p>
    <w:p w14:paraId="4B999B16" w14:textId="77777777" w:rsidR="00A53A97" w:rsidRPr="005951C0" w:rsidRDefault="00A53A97" w:rsidP="00A53A97">
      <w:pPr>
        <w:pStyle w:val="Textonotapie"/>
        <w:ind w:firstLine="708"/>
        <w:jc w:val="both"/>
        <w:rPr>
          <w:rFonts w:ascii="Arial" w:hAnsi="Arial" w:cs="Arial"/>
          <w:sz w:val="19"/>
          <w:szCs w:val="19"/>
          <w:lang w:val="es-CO"/>
        </w:rPr>
      </w:pPr>
    </w:p>
  </w:footnote>
  <w:footnote w:id="10">
    <w:p w14:paraId="5EDF79B3" w14:textId="77777777" w:rsidR="00A53A97" w:rsidRPr="005951C0" w:rsidRDefault="00A53A97" w:rsidP="00A53A97">
      <w:pPr>
        <w:pStyle w:val="Textonotapie"/>
        <w:ind w:firstLine="708"/>
        <w:jc w:val="both"/>
        <w:rPr>
          <w:rFonts w:ascii="Arial" w:hAnsi="Arial" w:cs="Arial"/>
          <w:sz w:val="19"/>
          <w:szCs w:val="19"/>
          <w:lang w:val="es-CO"/>
        </w:rPr>
      </w:pPr>
      <w:r w:rsidRPr="005951C0">
        <w:rPr>
          <w:rStyle w:val="Refdenotaalpie"/>
          <w:rFonts w:ascii="Arial" w:hAnsi="Arial" w:cs="Arial"/>
          <w:sz w:val="19"/>
          <w:szCs w:val="19"/>
        </w:rPr>
        <w:footnoteRef/>
      </w:r>
      <w:r w:rsidRPr="005951C0">
        <w:rPr>
          <w:rFonts w:ascii="Arial" w:hAnsi="Arial" w:cs="Arial"/>
          <w:sz w:val="19"/>
          <w:szCs w:val="19"/>
        </w:rPr>
        <w:t xml:space="preserve"> Ibid.</w:t>
      </w:r>
    </w:p>
  </w:footnote>
  <w:footnote w:id="11">
    <w:p w14:paraId="3E4CB8A5" w14:textId="77777777" w:rsidR="00A53A97" w:rsidRPr="00670BD8" w:rsidRDefault="00A53A97" w:rsidP="00A53A97">
      <w:pPr>
        <w:spacing w:before="120" w:after="120" w:line="276" w:lineRule="auto"/>
        <w:ind w:firstLine="709"/>
        <w:jc w:val="both"/>
        <w:rPr>
          <w:rFonts w:ascii="Arial" w:eastAsia="Calibri" w:hAnsi="Arial" w:cs="Arial"/>
          <w:color w:val="000000" w:themeColor="text1"/>
          <w:sz w:val="19"/>
          <w:szCs w:val="19"/>
          <w:lang w:val="es-ES_tradnl"/>
        </w:rPr>
      </w:pPr>
      <w:r w:rsidRPr="00670BD8">
        <w:rPr>
          <w:rStyle w:val="Refdenotaalpie"/>
          <w:rFonts w:ascii="Arial" w:hAnsi="Arial" w:cs="Arial"/>
          <w:sz w:val="19"/>
          <w:szCs w:val="19"/>
        </w:rPr>
        <w:footnoteRef/>
      </w:r>
      <w:r w:rsidRPr="00670BD8">
        <w:rPr>
          <w:rFonts w:ascii="Arial" w:hAnsi="Arial" w:cs="Arial"/>
          <w:sz w:val="19"/>
          <w:szCs w:val="19"/>
        </w:rPr>
        <w:t xml:space="preserve"> Cabe destacar que las reglas aplicables a la modalidad de selección de mínima cuantía es el artículo 30 de la Ley 2069 de 2020, y los artículos 2.1.2.1.5.1. al 2.2.1.2.1.5.4. del Decreto 1082 de 2015</w:t>
      </w:r>
    </w:p>
  </w:footnote>
  <w:footnote w:id="12">
    <w:p w14:paraId="20546C02" w14:textId="77777777" w:rsidR="00A53A97" w:rsidRPr="00670BD8" w:rsidRDefault="00A53A97" w:rsidP="00A53A97">
      <w:pPr>
        <w:pStyle w:val="Textonotapie"/>
        <w:ind w:firstLine="709"/>
        <w:jc w:val="both"/>
        <w:rPr>
          <w:rFonts w:ascii="Arial" w:hAnsi="Arial" w:cs="Arial"/>
          <w:color w:val="000000" w:themeColor="text1"/>
          <w:sz w:val="19"/>
          <w:szCs w:val="19"/>
          <w:lang w:val="es-ES_tradnl"/>
        </w:rPr>
      </w:pPr>
      <w:r w:rsidRPr="00670BD8">
        <w:rPr>
          <w:rStyle w:val="Refdenotaalpie"/>
          <w:rFonts w:ascii="Arial" w:hAnsi="Arial" w:cs="Arial"/>
          <w:color w:val="000000" w:themeColor="text1"/>
          <w:sz w:val="19"/>
          <w:szCs w:val="19"/>
          <w:lang w:val="es-ES_tradnl"/>
        </w:rPr>
        <w:footnoteRef/>
      </w:r>
      <w:r w:rsidRPr="00670BD8">
        <w:rPr>
          <w:rFonts w:ascii="Arial" w:hAnsi="Arial" w:cs="Arial"/>
          <w:color w:val="000000" w:themeColor="text1"/>
          <w:sz w:val="19"/>
          <w:szCs w:val="19"/>
          <w:lang w:val="es-ES_tradnl"/>
        </w:rPr>
        <w:t xml:space="preserve"> Esto lo ratifica el artículo 2.2.1.2.1.5.2. del Decreto 1082 de 2015.</w:t>
      </w:r>
    </w:p>
    <w:p w14:paraId="61C048F0" w14:textId="77777777" w:rsidR="00A53A97" w:rsidRPr="00670BD8" w:rsidRDefault="00A53A97" w:rsidP="00A53A97">
      <w:pPr>
        <w:pStyle w:val="Textonotapie"/>
        <w:ind w:firstLine="709"/>
        <w:jc w:val="both"/>
        <w:rPr>
          <w:rFonts w:ascii="Arial" w:hAnsi="Arial" w:cs="Arial"/>
          <w:color w:val="000000" w:themeColor="text1"/>
          <w:sz w:val="19"/>
          <w:szCs w:val="19"/>
          <w:lang w:val="es-ES_tradnl"/>
        </w:rPr>
      </w:pPr>
    </w:p>
  </w:footnote>
  <w:footnote w:id="13">
    <w:p w14:paraId="28BB1294" w14:textId="77777777" w:rsidR="00A53A97" w:rsidRPr="00670BD8" w:rsidRDefault="00A53A97" w:rsidP="00A53A97">
      <w:pPr>
        <w:pStyle w:val="Textonotapie"/>
        <w:ind w:firstLine="709"/>
        <w:jc w:val="both"/>
        <w:rPr>
          <w:rFonts w:ascii="Arial" w:hAnsi="Arial" w:cs="Arial"/>
          <w:color w:val="000000" w:themeColor="text1"/>
          <w:sz w:val="19"/>
          <w:szCs w:val="19"/>
          <w:lang w:val="es-ES_tradnl"/>
        </w:rPr>
      </w:pPr>
      <w:r w:rsidRPr="00670BD8">
        <w:rPr>
          <w:rStyle w:val="Refdenotaalpie"/>
          <w:rFonts w:ascii="Arial" w:hAnsi="Arial" w:cs="Arial"/>
          <w:color w:val="000000" w:themeColor="text1"/>
          <w:sz w:val="19"/>
          <w:szCs w:val="19"/>
          <w:lang w:val="es-ES_tradnl"/>
        </w:rPr>
        <w:footnoteRef/>
      </w:r>
      <w:r w:rsidRPr="00670BD8">
        <w:rPr>
          <w:rFonts w:ascii="Arial" w:hAnsi="Arial" w:cs="Arial"/>
          <w:color w:val="000000" w:themeColor="text1"/>
          <w:sz w:val="19"/>
          <w:szCs w:val="19"/>
          <w:lang w:val="es-ES_tradnl"/>
        </w:rPr>
        <w:t xml:space="preserve"> DÁVILA VINUEZA, Luis Guillermo. Régimen jurídico de la contratación estatal. 3ª ed. Bogotá: Legis, 2016. p. 463.</w:t>
      </w:r>
    </w:p>
    <w:p w14:paraId="2BC4871E" w14:textId="77777777" w:rsidR="00A53A97" w:rsidRPr="00670BD8" w:rsidRDefault="00A53A97" w:rsidP="00A53A97">
      <w:pPr>
        <w:pStyle w:val="Textonotapie"/>
        <w:ind w:firstLine="709"/>
        <w:jc w:val="both"/>
        <w:rPr>
          <w:rFonts w:ascii="Arial" w:hAnsi="Arial" w:cs="Arial"/>
          <w:color w:val="000000" w:themeColor="text1"/>
          <w:sz w:val="19"/>
          <w:szCs w:val="19"/>
          <w:lang w:val="es-ES_tradnl"/>
        </w:rPr>
      </w:pPr>
    </w:p>
  </w:footnote>
  <w:footnote w:id="14">
    <w:p w14:paraId="2D804B16" w14:textId="77777777" w:rsidR="00A53A97" w:rsidRPr="00670BD8" w:rsidRDefault="00A53A97" w:rsidP="00A53A97">
      <w:pPr>
        <w:pStyle w:val="Textonotapie"/>
        <w:ind w:firstLine="709"/>
        <w:jc w:val="both"/>
        <w:rPr>
          <w:rFonts w:ascii="Arial" w:hAnsi="Arial" w:cs="Arial"/>
          <w:color w:val="000000" w:themeColor="text1"/>
          <w:sz w:val="19"/>
          <w:szCs w:val="19"/>
          <w:lang w:val="es-ES_tradnl"/>
        </w:rPr>
      </w:pPr>
      <w:r w:rsidRPr="00670BD8">
        <w:rPr>
          <w:rStyle w:val="Refdenotaalpie"/>
          <w:rFonts w:ascii="Arial" w:hAnsi="Arial" w:cs="Arial"/>
          <w:color w:val="000000" w:themeColor="text1"/>
          <w:sz w:val="19"/>
          <w:szCs w:val="19"/>
          <w:lang w:val="es-ES_tradnl"/>
        </w:rPr>
        <w:footnoteRef/>
      </w:r>
      <w:r w:rsidRPr="00670BD8">
        <w:rPr>
          <w:rFonts w:ascii="Arial" w:hAnsi="Arial" w:cs="Arial"/>
          <w:color w:val="000000" w:themeColor="text1"/>
          <w:sz w:val="19"/>
          <w:szCs w:val="19"/>
          <w:lang w:val="es-ES_tradnl"/>
        </w:rPr>
        <w:t xml:space="preserve"> La contratación de mínima cuantía es aquella que no excede el 10% de la menor cuantía, o sea, que no supera el 10% de los topes definidos en el artículo 2, numeral 2, literal b) de la Ley 1150 de 2007, que dispone: «Se entenderá por menor cuantía los valores que a continuación se relacionan, determinados en función de los presupuestos anuales de las entidades públicas expresados en salarios mínimos legales mensuales.</w:t>
      </w:r>
    </w:p>
    <w:p w14:paraId="2DCD65E2" w14:textId="77777777" w:rsidR="00A53A97" w:rsidRPr="00670BD8" w:rsidRDefault="00A53A97" w:rsidP="00A53A97">
      <w:pPr>
        <w:pStyle w:val="Textonotapie"/>
        <w:ind w:firstLine="709"/>
        <w:jc w:val="both"/>
        <w:rPr>
          <w:rFonts w:ascii="Arial" w:hAnsi="Arial" w:cs="Arial"/>
          <w:color w:val="000000" w:themeColor="text1"/>
          <w:sz w:val="19"/>
          <w:szCs w:val="19"/>
          <w:lang w:val="es-ES_tradnl"/>
        </w:rPr>
      </w:pPr>
      <w:r w:rsidRPr="00670BD8">
        <w:rPr>
          <w:rFonts w:ascii="Arial" w:hAnsi="Arial" w:cs="Arial"/>
          <w:color w:val="000000" w:themeColor="text1"/>
          <w:sz w:val="19"/>
          <w:szCs w:val="19"/>
          <w:lang w:val="es-ES_tradnl"/>
        </w:rPr>
        <w:t>»Para las entidades que tengan un presupuesto anual superior o igual a 1.200.000 salarios mínimos legales mensuales, la menor cuantía será hasta 1.000 salarios mínimos legales mensuales.</w:t>
      </w:r>
    </w:p>
    <w:p w14:paraId="3BCA4F3E" w14:textId="77777777" w:rsidR="00A53A97" w:rsidRPr="00670BD8" w:rsidRDefault="00A53A97" w:rsidP="00A53A97">
      <w:pPr>
        <w:pStyle w:val="Textonotapie"/>
        <w:ind w:firstLine="709"/>
        <w:jc w:val="both"/>
        <w:rPr>
          <w:rFonts w:ascii="Arial" w:hAnsi="Arial" w:cs="Arial"/>
          <w:color w:val="000000" w:themeColor="text1"/>
          <w:sz w:val="19"/>
          <w:szCs w:val="19"/>
          <w:lang w:val="es-ES_tradnl"/>
        </w:rPr>
      </w:pPr>
      <w:r w:rsidRPr="00670BD8">
        <w:rPr>
          <w:rFonts w:ascii="Arial" w:hAnsi="Arial" w:cs="Arial"/>
          <w:color w:val="000000" w:themeColor="text1"/>
          <w:sz w:val="19"/>
          <w:szCs w:val="19"/>
          <w:lang w:val="es-ES_tradnl"/>
        </w:rPr>
        <w:t>»Las que tengan un presupuesto anual superior o igual a 850.000 salarios mínimos legales mensuales e inferiores a 1.200.000 salarios mínimos legales mensuales, la menor cuantía será hasta 850 salarios mínimos legales mensuales.</w:t>
      </w:r>
    </w:p>
    <w:p w14:paraId="5B4EC394" w14:textId="77777777" w:rsidR="00A53A97" w:rsidRPr="00670BD8" w:rsidRDefault="00A53A97" w:rsidP="00A53A97">
      <w:pPr>
        <w:pStyle w:val="Textonotapie"/>
        <w:ind w:firstLine="709"/>
        <w:jc w:val="both"/>
        <w:rPr>
          <w:rFonts w:ascii="Arial" w:hAnsi="Arial" w:cs="Arial"/>
          <w:color w:val="000000" w:themeColor="text1"/>
          <w:sz w:val="19"/>
          <w:szCs w:val="19"/>
          <w:lang w:val="es-ES_tradnl"/>
        </w:rPr>
      </w:pPr>
      <w:r w:rsidRPr="00670BD8">
        <w:rPr>
          <w:rFonts w:ascii="Arial" w:hAnsi="Arial" w:cs="Arial"/>
          <w:color w:val="000000" w:themeColor="text1"/>
          <w:sz w:val="19"/>
          <w:szCs w:val="19"/>
          <w:lang w:val="es-ES_tradnl"/>
        </w:rPr>
        <w:t>»Las que tengan un presupuesto anual superior o igual a 400.000 salarios mínimos legales mensuales e inferior a 850.000 salarios mínimos legales mensuales, la menor cuantía será hasta 650 salarios mínimos legales mensuales.</w:t>
      </w:r>
    </w:p>
    <w:p w14:paraId="77B1FE99" w14:textId="77777777" w:rsidR="00A53A97" w:rsidRPr="00670BD8" w:rsidRDefault="00A53A97" w:rsidP="00A53A97">
      <w:pPr>
        <w:pStyle w:val="Textonotapie"/>
        <w:ind w:firstLine="709"/>
        <w:jc w:val="both"/>
        <w:rPr>
          <w:rFonts w:ascii="Arial" w:hAnsi="Arial" w:cs="Arial"/>
          <w:color w:val="000000" w:themeColor="text1"/>
          <w:sz w:val="19"/>
          <w:szCs w:val="19"/>
          <w:lang w:val="es-ES_tradnl"/>
        </w:rPr>
      </w:pPr>
      <w:r w:rsidRPr="00670BD8">
        <w:rPr>
          <w:rFonts w:ascii="Arial" w:hAnsi="Arial" w:cs="Arial"/>
          <w:color w:val="000000" w:themeColor="text1"/>
          <w:sz w:val="19"/>
          <w:szCs w:val="19"/>
          <w:lang w:val="es-ES_tradnl"/>
        </w:rPr>
        <w:t>»Las que tengan un presupuesto anual superior o igual a 120.000 salarios mínimos legales mensuales e inferior a 400.000 salarios mínimos legales mensuales, la menor cuantía será hasta 450 salarios mínimos legales mensuales.</w:t>
      </w:r>
    </w:p>
    <w:p w14:paraId="02811AC3" w14:textId="77777777" w:rsidR="00A53A97" w:rsidRPr="00670BD8" w:rsidRDefault="00A53A97" w:rsidP="00A53A97">
      <w:pPr>
        <w:pStyle w:val="Textonotapie"/>
        <w:ind w:firstLine="709"/>
        <w:jc w:val="both"/>
        <w:rPr>
          <w:rFonts w:ascii="Arial" w:hAnsi="Arial" w:cs="Arial"/>
          <w:color w:val="000000" w:themeColor="text1"/>
          <w:sz w:val="19"/>
          <w:szCs w:val="19"/>
          <w:lang w:val="es-ES_tradnl"/>
        </w:rPr>
      </w:pPr>
      <w:r w:rsidRPr="00670BD8">
        <w:rPr>
          <w:rFonts w:ascii="Arial" w:hAnsi="Arial" w:cs="Arial"/>
          <w:color w:val="000000" w:themeColor="text1"/>
          <w:sz w:val="19"/>
          <w:szCs w:val="19"/>
          <w:lang w:val="es-ES_tradnl"/>
        </w:rPr>
        <w:t>»Las que tengan un presupuesto anual inferior a 120.000 salarios mínimos legales mensuales, la menor cuantía será hasta 280 salarios mínimos legales mensuales».</w:t>
      </w:r>
    </w:p>
    <w:p w14:paraId="2DEC62F6" w14:textId="77777777" w:rsidR="00A53A97" w:rsidRPr="00670BD8" w:rsidRDefault="00A53A97" w:rsidP="00A53A97">
      <w:pPr>
        <w:pStyle w:val="Textonotapie"/>
        <w:ind w:firstLine="709"/>
        <w:jc w:val="both"/>
        <w:rPr>
          <w:rFonts w:ascii="Arial" w:hAnsi="Arial" w:cs="Arial"/>
          <w:color w:val="000000" w:themeColor="text1"/>
          <w:sz w:val="19"/>
          <w:szCs w:val="19"/>
          <w:lang w:val="es-ES_tradnl"/>
        </w:rPr>
      </w:pPr>
    </w:p>
  </w:footnote>
  <w:footnote w:id="15">
    <w:p w14:paraId="609D5315" w14:textId="77777777" w:rsidR="00A53A97" w:rsidRPr="00670BD8" w:rsidRDefault="00A53A97" w:rsidP="00A53A97">
      <w:pPr>
        <w:pStyle w:val="Textonotapie"/>
        <w:ind w:firstLine="709"/>
        <w:jc w:val="both"/>
        <w:rPr>
          <w:rFonts w:ascii="Arial" w:hAnsi="Arial" w:cs="Arial"/>
          <w:color w:val="000000" w:themeColor="text1"/>
          <w:sz w:val="19"/>
          <w:szCs w:val="19"/>
          <w:lang w:val="es-ES_tradnl"/>
        </w:rPr>
      </w:pPr>
      <w:r w:rsidRPr="00670BD8">
        <w:rPr>
          <w:rStyle w:val="Refdenotaalpie"/>
          <w:rFonts w:ascii="Arial" w:hAnsi="Arial" w:cs="Arial"/>
          <w:sz w:val="19"/>
          <w:szCs w:val="19"/>
        </w:rPr>
        <w:footnoteRef/>
      </w:r>
      <w:r w:rsidRPr="00670BD8">
        <w:rPr>
          <w:rFonts w:ascii="Arial" w:hAnsi="Arial" w:cs="Arial"/>
          <w:sz w:val="19"/>
          <w:szCs w:val="19"/>
        </w:rPr>
        <w:t xml:space="preserve"> </w:t>
      </w:r>
      <w:r w:rsidRPr="00670BD8">
        <w:rPr>
          <w:rFonts w:ascii="Arial" w:hAnsi="Arial" w:cs="Arial"/>
          <w:color w:val="000000" w:themeColor="text1"/>
          <w:sz w:val="19"/>
          <w:szCs w:val="19"/>
          <w:lang w:val="es-ES_tradnl"/>
        </w:rPr>
        <w:t>Consejo de Estado. Sección Tercera. Subsección A. Auto del 29 de marzo de 2017. Exp. 56.307. Consejero: Carlos Alberto Zambrano Barrera.</w:t>
      </w:r>
    </w:p>
    <w:p w14:paraId="0E8923B3" w14:textId="77777777" w:rsidR="00A53A97" w:rsidRPr="00670BD8" w:rsidRDefault="00A53A97" w:rsidP="00A53A97">
      <w:pPr>
        <w:pStyle w:val="Textonotapie"/>
        <w:ind w:firstLine="709"/>
        <w:jc w:val="both"/>
        <w:rPr>
          <w:rFonts w:ascii="Arial" w:hAnsi="Arial" w:cs="Arial"/>
          <w:sz w:val="19"/>
          <w:szCs w:val="19"/>
          <w:lang w:val="es-ES"/>
        </w:rPr>
      </w:pPr>
    </w:p>
  </w:footnote>
  <w:footnote w:id="16">
    <w:p w14:paraId="3E2B400D" w14:textId="77777777" w:rsidR="00A53A97" w:rsidRPr="00670BD8" w:rsidRDefault="00A53A97" w:rsidP="00A53A97">
      <w:pPr>
        <w:pStyle w:val="NormalWeb"/>
        <w:spacing w:after="0"/>
        <w:ind w:firstLine="709"/>
        <w:jc w:val="both"/>
        <w:rPr>
          <w:rFonts w:ascii="Arial" w:hAnsi="Arial" w:cs="Arial"/>
          <w:color w:val="000000"/>
          <w:sz w:val="19"/>
          <w:szCs w:val="19"/>
        </w:rPr>
      </w:pPr>
      <w:r w:rsidRPr="00670BD8">
        <w:rPr>
          <w:rStyle w:val="Refdenotaalpie"/>
          <w:rFonts w:ascii="Arial" w:hAnsi="Arial" w:cs="Arial"/>
          <w:sz w:val="19"/>
          <w:szCs w:val="19"/>
        </w:rPr>
        <w:footnoteRef/>
      </w:r>
      <w:r w:rsidRPr="00670BD8">
        <w:rPr>
          <w:rFonts w:ascii="Arial" w:hAnsi="Arial" w:cs="Arial"/>
          <w:sz w:val="19"/>
          <w:szCs w:val="19"/>
        </w:rPr>
        <w:t xml:space="preserve">  Según el numeral 4 del artículo 2 de la Ley 1150 de 2007, adicionado por la Ley 2160 de 2021, las causales para acudir a la modalidad de selección de contratación directa son: i) la urgencia manifiesta. ii) La contratación entre entidades estatales. iii) Cuando no exista pluralidad de oferentes. iv) Contratos de prestación de servicios profesionales y de apoyo a la gestión . v) Contratos para la ejecución de contratos artísticos que sólo pueden encomendarse a determinadas personas naturales. vi) Adquisición y arrendamiento de bienes inmuebles. vii) Contratos de empréstitos. viii) Contratación de bienes y servicios del sector defensa que requieran reserva. ix) Contratos para el desarrollo de actividades científicas y tecnológicas. x) Contratos de encargo fiduciario que celebren las entidades territoriales cuando inicien el acuerdo de reestructuración de pasivos. xi) La contratación de bienes y servicios de la Dirección Nacional de Inteligencia (DNI), que requieran reserva para su adquisición. xii) La selección de peritos expertos o asesores técnicos para presentar o contradecir el dictamen pericial en procesos judiciales. xiii) Los contratos o convenios que las entidades estatales suscriban con los cabildos Indígenas y las Asociaciones de Autoridades Tradicionales Indígenas, cuyo objeto esté relacionado con el fortalecimiento del Gobierno Propio, la identidad cultural, el ejercicio de la autonomía, y/o la garantía de los Derechos de los Pueblos Indígenas. xiv) Los contratos que las entidades estatales suscriban con los consejos comunitarios de las comunidades negras, cuyo objeto esté relacionado con el fortalecimiento del gobierno propio, la identidad étnica y cultural, el ejercicio de la autonomía, y/o la garantía de los derechos de los pueblos de las mismas comunidades. xv) Los contratos que las entidades estatales suscriban con las organizaciones de base de  personas  pertenecientes a  poblaciones afrocolombianas, raizales y palenqueras o con las demás formas y expresiones organizativas, que cuenten con diez (10) años o más de haber sido incorporados, por el Ministerio del Interior en el correspondiente Registro Público Único Nacional y que hayan cumplido con el deber de actualización de información en el mismo registro, cuyo objeto esté relacionado con el fortalecimiento de sus organizaciones, la identidad étnica y cultural, y/o la garantía de los derechos de las poblaciones de las mismas organizaciones.</w:t>
      </w:r>
    </w:p>
  </w:footnote>
  <w:footnote w:id="17">
    <w:p w14:paraId="1C450B24" w14:textId="77777777" w:rsidR="00A53A97" w:rsidRPr="00670BD8" w:rsidRDefault="00A53A97" w:rsidP="00A53A97">
      <w:pPr>
        <w:pStyle w:val="Textonotapie"/>
        <w:ind w:firstLine="709"/>
        <w:jc w:val="both"/>
        <w:rPr>
          <w:rFonts w:ascii="Arial" w:hAnsi="Arial" w:cs="Arial"/>
          <w:color w:val="000000" w:themeColor="text1"/>
          <w:sz w:val="19"/>
          <w:szCs w:val="19"/>
          <w:lang w:val="es-ES"/>
        </w:rPr>
      </w:pPr>
      <w:r w:rsidRPr="00670BD8">
        <w:rPr>
          <w:rStyle w:val="Refdenotaalpie"/>
          <w:rFonts w:ascii="Arial" w:hAnsi="Arial" w:cs="Arial"/>
          <w:sz w:val="19"/>
          <w:szCs w:val="19"/>
        </w:rPr>
        <w:footnoteRef/>
      </w:r>
      <w:r w:rsidRPr="00670BD8">
        <w:rPr>
          <w:rFonts w:ascii="Arial" w:hAnsi="Arial" w:cs="Arial"/>
          <w:sz w:val="19"/>
          <w:szCs w:val="19"/>
        </w:rPr>
        <w:t xml:space="preserve"> </w:t>
      </w:r>
      <w:r w:rsidRPr="00670BD8">
        <w:rPr>
          <w:rFonts w:ascii="Arial" w:hAnsi="Arial" w:cs="Arial"/>
          <w:color w:val="000000" w:themeColor="text1"/>
          <w:sz w:val="19"/>
          <w:szCs w:val="19"/>
          <w:lang w:val="es-ES"/>
        </w:rPr>
        <w:t>Consejo de Estado. Sección Tercera. Subsección B. Sentencia del 5 de marzo de 2020. Exp. 41619. Consejero: Alberto Montaña Plata.</w:t>
      </w:r>
    </w:p>
    <w:p w14:paraId="1FC92472" w14:textId="77777777" w:rsidR="00A53A97" w:rsidRPr="00670BD8" w:rsidRDefault="00A53A97" w:rsidP="00A53A97">
      <w:pPr>
        <w:pStyle w:val="Textonotapie"/>
        <w:ind w:firstLine="709"/>
        <w:jc w:val="both"/>
        <w:rPr>
          <w:rFonts w:ascii="Arial" w:hAnsi="Arial" w:cs="Arial"/>
          <w:sz w:val="19"/>
          <w:szCs w:val="19"/>
          <w:lang w:val="es-ES_tradnl"/>
        </w:rPr>
      </w:pPr>
    </w:p>
  </w:footnote>
  <w:footnote w:id="18">
    <w:p w14:paraId="0287DE05" w14:textId="77777777" w:rsidR="00A53A97" w:rsidRPr="00670BD8" w:rsidRDefault="00A53A97" w:rsidP="00A53A97">
      <w:pPr>
        <w:pStyle w:val="Textonotapie"/>
        <w:ind w:firstLine="709"/>
        <w:jc w:val="both"/>
        <w:rPr>
          <w:rFonts w:ascii="Arial" w:hAnsi="Arial" w:cs="Arial"/>
          <w:sz w:val="19"/>
          <w:szCs w:val="19"/>
        </w:rPr>
      </w:pPr>
      <w:r w:rsidRPr="00670BD8">
        <w:rPr>
          <w:rStyle w:val="Refdenotaalpie"/>
          <w:rFonts w:ascii="Arial" w:hAnsi="Arial" w:cs="Arial"/>
          <w:sz w:val="19"/>
          <w:szCs w:val="19"/>
        </w:rPr>
        <w:footnoteRef/>
      </w:r>
      <w:r w:rsidRPr="00670BD8">
        <w:rPr>
          <w:rFonts w:ascii="Arial" w:hAnsi="Arial" w:cs="Arial"/>
          <w:sz w:val="19"/>
          <w:szCs w:val="19"/>
        </w:rPr>
        <w:t xml:space="preserve"> https://www.colombiacompra.gov.co/sites/cce_public/files/cce_documents/cce-eicp-ma-05._manual_de_modalidad_de_seleccion_de_minima_cuantia_v.02.pdf</w:t>
      </w:r>
      <w:r w:rsidRPr="00670BD8" w:rsidDel="0037619F">
        <w:rPr>
          <w:rFonts w:ascii="Arial" w:hAnsi="Arial" w:cs="Arial"/>
          <w:sz w:val="19"/>
          <w:szCs w:val="19"/>
        </w:rPr>
        <w:t xml:space="preserve"> </w:t>
      </w:r>
    </w:p>
    <w:p w14:paraId="315D0690" w14:textId="77777777" w:rsidR="00A53A97" w:rsidRPr="00670BD8" w:rsidRDefault="00A53A97" w:rsidP="00A53A97">
      <w:pPr>
        <w:pStyle w:val="Textonotapie"/>
        <w:ind w:firstLine="709"/>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0AC56F5"/>
    <w:multiLevelType w:val="hybridMultilevel"/>
    <w:tmpl w:val="ECF404E6"/>
    <w:lvl w:ilvl="0" w:tplc="4612AA0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4"/>
  </w:num>
  <w:num w:numId="2" w16cid:durableId="1408454564">
    <w:abstractNumId w:val="1"/>
  </w:num>
  <w:num w:numId="3" w16cid:durableId="1897622572">
    <w:abstractNumId w:val="3"/>
  </w:num>
  <w:num w:numId="4" w16cid:durableId="2102215018">
    <w:abstractNumId w:val="0"/>
  </w:num>
  <w:num w:numId="5" w16cid:durableId="909458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11595A"/>
    <w:rsid w:val="001220C5"/>
    <w:rsid w:val="001267F7"/>
    <w:rsid w:val="00127233"/>
    <w:rsid w:val="00130999"/>
    <w:rsid w:val="00132AED"/>
    <w:rsid w:val="00164D81"/>
    <w:rsid w:val="001A1011"/>
    <w:rsid w:val="001A48D0"/>
    <w:rsid w:val="002653C1"/>
    <w:rsid w:val="0026611D"/>
    <w:rsid w:val="002951A0"/>
    <w:rsid w:val="002A64FD"/>
    <w:rsid w:val="002A7E2D"/>
    <w:rsid w:val="002F0839"/>
    <w:rsid w:val="00301469"/>
    <w:rsid w:val="00306EE1"/>
    <w:rsid w:val="00310B9B"/>
    <w:rsid w:val="0036461C"/>
    <w:rsid w:val="00367884"/>
    <w:rsid w:val="0039439C"/>
    <w:rsid w:val="003A338E"/>
    <w:rsid w:val="003B69E7"/>
    <w:rsid w:val="003B771E"/>
    <w:rsid w:val="003C013B"/>
    <w:rsid w:val="003D0F4D"/>
    <w:rsid w:val="003D52F9"/>
    <w:rsid w:val="003F58A1"/>
    <w:rsid w:val="00410DD6"/>
    <w:rsid w:val="004134C9"/>
    <w:rsid w:val="0043138C"/>
    <w:rsid w:val="00437A01"/>
    <w:rsid w:val="00462A59"/>
    <w:rsid w:val="00481FF4"/>
    <w:rsid w:val="00490C41"/>
    <w:rsid w:val="004A1847"/>
    <w:rsid w:val="004B6B0E"/>
    <w:rsid w:val="004D25B3"/>
    <w:rsid w:val="00511405"/>
    <w:rsid w:val="00526E9D"/>
    <w:rsid w:val="00547856"/>
    <w:rsid w:val="00547A74"/>
    <w:rsid w:val="005566E8"/>
    <w:rsid w:val="005746AB"/>
    <w:rsid w:val="0059357F"/>
    <w:rsid w:val="005951C0"/>
    <w:rsid w:val="005A1130"/>
    <w:rsid w:val="005B1D27"/>
    <w:rsid w:val="005D65C8"/>
    <w:rsid w:val="006219F8"/>
    <w:rsid w:val="00670BD8"/>
    <w:rsid w:val="00681FDB"/>
    <w:rsid w:val="006915D9"/>
    <w:rsid w:val="006A0577"/>
    <w:rsid w:val="006A7371"/>
    <w:rsid w:val="006A7DAD"/>
    <w:rsid w:val="006D70BA"/>
    <w:rsid w:val="006F3440"/>
    <w:rsid w:val="00747896"/>
    <w:rsid w:val="007566FE"/>
    <w:rsid w:val="0076726F"/>
    <w:rsid w:val="0077144B"/>
    <w:rsid w:val="00793403"/>
    <w:rsid w:val="007A5494"/>
    <w:rsid w:val="007B284F"/>
    <w:rsid w:val="007C0CDF"/>
    <w:rsid w:val="007E2A2F"/>
    <w:rsid w:val="007F2B7C"/>
    <w:rsid w:val="00811651"/>
    <w:rsid w:val="00820F5B"/>
    <w:rsid w:val="00833452"/>
    <w:rsid w:val="00841F16"/>
    <w:rsid w:val="008614E5"/>
    <w:rsid w:val="008678EB"/>
    <w:rsid w:val="00875894"/>
    <w:rsid w:val="00881C10"/>
    <w:rsid w:val="00890411"/>
    <w:rsid w:val="008D5C70"/>
    <w:rsid w:val="009025AF"/>
    <w:rsid w:val="00904F23"/>
    <w:rsid w:val="00906B3C"/>
    <w:rsid w:val="0095342C"/>
    <w:rsid w:val="009F33F2"/>
    <w:rsid w:val="009F6C77"/>
    <w:rsid w:val="00A00BC2"/>
    <w:rsid w:val="00A07532"/>
    <w:rsid w:val="00A1085C"/>
    <w:rsid w:val="00A309E2"/>
    <w:rsid w:val="00A53A97"/>
    <w:rsid w:val="00A8066E"/>
    <w:rsid w:val="00AA4B8A"/>
    <w:rsid w:val="00AA6BF7"/>
    <w:rsid w:val="00B01ED6"/>
    <w:rsid w:val="00B06D09"/>
    <w:rsid w:val="00B771A9"/>
    <w:rsid w:val="00B809BB"/>
    <w:rsid w:val="00B8248A"/>
    <w:rsid w:val="00B96889"/>
    <w:rsid w:val="00BB6E46"/>
    <w:rsid w:val="00BB7726"/>
    <w:rsid w:val="00BD62B0"/>
    <w:rsid w:val="00C01D21"/>
    <w:rsid w:val="00C2329E"/>
    <w:rsid w:val="00C30461"/>
    <w:rsid w:val="00C439E2"/>
    <w:rsid w:val="00C53F90"/>
    <w:rsid w:val="00C754BE"/>
    <w:rsid w:val="00C87572"/>
    <w:rsid w:val="00C9405D"/>
    <w:rsid w:val="00CC1B26"/>
    <w:rsid w:val="00CD284F"/>
    <w:rsid w:val="00CF23AA"/>
    <w:rsid w:val="00D01921"/>
    <w:rsid w:val="00D752B7"/>
    <w:rsid w:val="00DA1854"/>
    <w:rsid w:val="00DB0887"/>
    <w:rsid w:val="00DF1E43"/>
    <w:rsid w:val="00E20894"/>
    <w:rsid w:val="00E26B7C"/>
    <w:rsid w:val="00E443CD"/>
    <w:rsid w:val="00E64993"/>
    <w:rsid w:val="00EA3003"/>
    <w:rsid w:val="00EB3C91"/>
    <w:rsid w:val="00EB66DA"/>
    <w:rsid w:val="00F605F2"/>
    <w:rsid w:val="00F76AFC"/>
    <w:rsid w:val="00F8319B"/>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uiPriority w:val="99"/>
    <w:semiHidden/>
    <w:unhideWhenUsed/>
    <w:rsid w:val="00A53A97"/>
    <w:rPr>
      <w:rFonts w:ascii="Times New Roman" w:hAnsi="Times New Roman" w:cs="Times New Roman"/>
      <w:sz w:val="24"/>
      <w:szCs w:val="24"/>
    </w:rPr>
  </w:style>
  <w:style w:type="table" w:customStyle="1" w:styleId="Tablaconcuadrcula1">
    <w:name w:val="Tabla con cuadrícula1"/>
    <w:basedOn w:val="Tablanormal"/>
    <w:next w:val="Tablaconcuadrcula"/>
    <w:uiPriority w:val="59"/>
    <w:rsid w:val="00A53A9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A53A97"/>
    <w:pPr>
      <w:spacing w:line="240" w:lineRule="exact"/>
    </w:pPr>
    <w:rPr>
      <w:vertAlign w:val="superscript"/>
    </w:rPr>
  </w:style>
  <w:style w:type="character" w:styleId="Hipervnculo">
    <w:name w:val="Hyperlink"/>
    <w:basedOn w:val="Fuentedeprrafopredeter"/>
    <w:uiPriority w:val="99"/>
    <w:unhideWhenUsed/>
    <w:rsid w:val="00A53A97"/>
    <w:rPr>
      <w:color w:val="0563C1" w:themeColor="hyperlink"/>
      <w:u w:val="single"/>
    </w:rPr>
  </w:style>
  <w:style w:type="paragraph" w:styleId="Textoindependiente">
    <w:name w:val="Body Text"/>
    <w:basedOn w:val="Normal"/>
    <w:link w:val="TextoindependienteCar"/>
    <w:uiPriority w:val="99"/>
    <w:unhideWhenUsed/>
    <w:rsid w:val="00A53A97"/>
    <w:pPr>
      <w:spacing w:after="120"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rsid w:val="00A53A97"/>
    <w:rPr>
      <w:rFonts w:ascii="Times New Roman" w:eastAsia="Times New Roman" w:hAnsi="Times New Roman" w:cs="Times New Roman"/>
      <w:sz w:val="24"/>
      <w:szCs w:val="24"/>
      <w:lang w:eastAsia="es-MX"/>
    </w:rPr>
  </w:style>
  <w:style w:type="table" w:customStyle="1" w:styleId="Tablaconcuadrcula11">
    <w:name w:val="Tabla con cuadrícula11"/>
    <w:basedOn w:val="Tablanormal"/>
    <w:next w:val="Tablaconcuadrcula"/>
    <w:uiPriority w:val="59"/>
    <w:rsid w:val="00A53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B2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dercontramed@cendoj.ramajudicial.gov.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manuales-guias-y-pliegos-tipo/manuales-y-guias"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E4D5CEA5-94EC-4C7A-A4E2-B9D16FB69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openxmlformats.org/package/2006/metadata/core-properties"/>
    <ds:schemaRef ds:uri="http://schemas.microsoft.com/office/infopath/2007/PartnerControls"/>
    <ds:schemaRef ds:uri="a6cb9e4b-f1d1-4245-83ec-6cad768d538a"/>
    <ds:schemaRef ds:uri="http://purl.org/dc/dcmitype/"/>
    <ds:schemaRef ds:uri="http://schemas.microsoft.com/office/2006/documentManagement/types"/>
    <ds:schemaRef ds:uri="http://purl.org/dc/elements/1.1/"/>
    <ds:schemaRef ds:uri="http://purl.org/dc/terms/"/>
    <ds:schemaRef ds:uri="9d85dbaf-23eb-4e57-a637-93dcacc8b1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5448</Words>
  <Characters>29965</Characters>
  <Application>Microsoft Office Word</Application>
  <DocSecurity>0</DocSecurity>
  <Lines>249</Lines>
  <Paragraphs>70</Paragraphs>
  <ScaleCrop>false</ScaleCrop>
  <Company/>
  <LinksUpToDate>false</LinksUpToDate>
  <CharactersWithSpaces>35343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2</cp:revision>
  <dcterms:created xsi:type="dcterms:W3CDTF">2023-03-03T15:56:00Z</dcterms:created>
  <dcterms:modified xsi:type="dcterms:W3CDTF">2023-03-03T15:56:00Z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