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5747" w14:textId="77777777" w:rsidR="000C7B2E" w:rsidRPr="000C7B2E" w:rsidRDefault="000C7B2E" w:rsidP="000C7B2E">
      <w:pPr>
        <w:adjustRightInd w:val="0"/>
        <w:snapToGrid w:val="0"/>
        <w:spacing w:after="0" w:line="240" w:lineRule="auto"/>
        <w:jc w:val="both"/>
        <w:rPr>
          <w:rFonts w:ascii="Arial" w:eastAsia="Calibri" w:hAnsi="Arial" w:cs="Arial"/>
          <w:b/>
          <w:bCs/>
          <w:sz w:val="24"/>
          <w:szCs w:val="24"/>
          <w:lang w:eastAsia="es-ES_tradnl"/>
        </w:rPr>
      </w:pPr>
      <w:bookmarkStart w:id="0" w:name="_Hlk68680938"/>
      <w:r w:rsidRPr="000C7B2E">
        <w:rPr>
          <w:rFonts w:ascii="Arial" w:eastAsia="Calibri" w:hAnsi="Arial" w:cs="Arial"/>
          <w:b/>
          <w:bCs/>
          <w:sz w:val="24"/>
          <w:szCs w:val="24"/>
          <w:lang w:eastAsia="es-ES_tradnl"/>
        </w:rPr>
        <w:t>MODIFICACIÓN – Contrato estatal – Posibilidad</w:t>
      </w:r>
    </w:p>
    <w:p w14:paraId="093E3735" w14:textId="77777777" w:rsidR="000C7B2E" w:rsidRPr="000C7B2E" w:rsidRDefault="000C7B2E" w:rsidP="000C7B2E">
      <w:pPr>
        <w:adjustRightInd w:val="0"/>
        <w:snapToGrid w:val="0"/>
        <w:spacing w:after="0" w:line="240" w:lineRule="auto"/>
        <w:jc w:val="both"/>
        <w:rPr>
          <w:rFonts w:ascii="Arial" w:eastAsia="Times New Roman" w:hAnsi="Arial" w:cs="Arial"/>
          <w:b/>
          <w:sz w:val="24"/>
          <w:szCs w:val="24"/>
          <w:highlight w:val="yellow"/>
          <w:shd w:val="clear" w:color="auto" w:fill="FFFFFF"/>
          <w:lang w:eastAsia="es-ES_tradnl"/>
        </w:rPr>
      </w:pPr>
    </w:p>
    <w:p w14:paraId="32D89BD6" w14:textId="77777777" w:rsidR="000C7B2E" w:rsidRPr="000C7B2E" w:rsidRDefault="000C7B2E" w:rsidP="000C7B2E">
      <w:pPr>
        <w:widowControl w:val="0"/>
        <w:autoSpaceDE w:val="0"/>
        <w:autoSpaceDN w:val="0"/>
        <w:spacing w:after="0" w:line="240" w:lineRule="auto"/>
        <w:jc w:val="both"/>
        <w:rPr>
          <w:rFonts w:ascii="Arial" w:eastAsia="Arial" w:hAnsi="Arial" w:cs="Arial"/>
          <w:sz w:val="20"/>
          <w:szCs w:val="20"/>
          <w:lang w:val="es-MX" w:eastAsia="es-ES" w:bidi="es-ES"/>
        </w:rPr>
      </w:pPr>
      <w:r w:rsidRPr="000C7B2E">
        <w:rPr>
          <w:rFonts w:ascii="Arial" w:eastAsia="Arial" w:hAnsi="Arial" w:cs="Arial"/>
          <w:sz w:val="20"/>
          <w:szCs w:val="20"/>
          <w:lang w:val="es-ES" w:eastAsia="es-ES" w:bidi="es-ES"/>
        </w:rPr>
        <w:t>El Estatuto General de Contratación de la Administración Pública, contenido en las Leyes 80 de 1993 y 1150 de 2007, así como en las normas que las han modificado y las complementan, no consagran una regulación expresa sobre la posibilidad de modificar bilateralmente los contratos 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Pr="000C7B2E">
        <w:rPr>
          <w:rFonts w:ascii="Arial" w:eastAsia="Arial" w:hAnsi="Arial" w:cs="Arial"/>
          <w:sz w:val="20"/>
          <w:szCs w:val="20"/>
          <w:lang w:val="es-MX" w:eastAsia="es-ES" w:bidi="es-ES"/>
        </w:rPr>
        <w:t xml:space="preserve"> </w:t>
      </w:r>
    </w:p>
    <w:p w14:paraId="3ADF2155" w14:textId="77777777" w:rsidR="000C7B2E" w:rsidRPr="000C7B2E" w:rsidRDefault="000C7B2E" w:rsidP="000C7B2E">
      <w:pPr>
        <w:widowControl w:val="0"/>
        <w:autoSpaceDE w:val="0"/>
        <w:autoSpaceDN w:val="0"/>
        <w:spacing w:after="0" w:line="240" w:lineRule="auto"/>
        <w:jc w:val="both"/>
        <w:rPr>
          <w:rFonts w:ascii="Arial" w:eastAsia="Arial" w:hAnsi="Arial" w:cs="Arial"/>
          <w:sz w:val="20"/>
          <w:szCs w:val="20"/>
          <w:lang w:val="es-ES" w:eastAsia="es-ES" w:bidi="es-ES"/>
        </w:rPr>
      </w:pPr>
    </w:p>
    <w:p w14:paraId="1D0E8363" w14:textId="77777777" w:rsidR="000C7B2E" w:rsidRPr="000C7B2E" w:rsidRDefault="000C7B2E" w:rsidP="000C7B2E">
      <w:pPr>
        <w:widowControl w:val="0"/>
        <w:autoSpaceDE w:val="0"/>
        <w:autoSpaceDN w:val="0"/>
        <w:spacing w:after="0" w:line="240" w:lineRule="auto"/>
        <w:jc w:val="both"/>
        <w:rPr>
          <w:rFonts w:ascii="Arial" w:eastAsia="Arial" w:hAnsi="Arial" w:cs="Arial"/>
          <w:sz w:val="20"/>
          <w:szCs w:val="20"/>
          <w:lang w:val="es-ES" w:eastAsia="es-ES" w:bidi="es-ES"/>
        </w:rPr>
      </w:pPr>
      <w:r w:rsidRPr="000C7B2E">
        <w:rPr>
          <w:rFonts w:ascii="Arial" w:eastAsia="Arial" w:hAnsi="Arial" w:cs="Arial"/>
          <w:sz w:val="20"/>
          <w:szCs w:val="20"/>
          <w:lang w:val="es-ES" w:eastAsia="es-ES" w:bidi="es-ES"/>
        </w:rPr>
        <w:t>Ahora bien, no existe ninguna restricción expresa para modificar los contratos estatales y los mismos principios antes referidos pueden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en cuenta las particularidades de cada caso, si resulta procedente suscribir documentos de modificación a los contratos que ha celebrado. […].</w:t>
      </w:r>
    </w:p>
    <w:p w14:paraId="50D327B5" w14:textId="77777777" w:rsidR="000C7B2E" w:rsidRPr="000C7B2E" w:rsidRDefault="000C7B2E" w:rsidP="000C7B2E">
      <w:pPr>
        <w:adjustRightInd w:val="0"/>
        <w:snapToGrid w:val="0"/>
        <w:spacing w:after="0" w:line="240" w:lineRule="auto"/>
        <w:jc w:val="both"/>
        <w:rPr>
          <w:rFonts w:ascii="Arial" w:eastAsia="Calibri" w:hAnsi="Arial" w:cs="Arial"/>
          <w:b/>
          <w:sz w:val="20"/>
          <w:szCs w:val="20"/>
          <w:highlight w:val="yellow"/>
          <w:lang w:eastAsia="es-ES_tradnl"/>
        </w:rPr>
      </w:pPr>
    </w:p>
    <w:p w14:paraId="4FA7342D" w14:textId="77777777" w:rsidR="000C7B2E" w:rsidRPr="000C7B2E" w:rsidRDefault="000C7B2E" w:rsidP="000C7B2E">
      <w:pPr>
        <w:adjustRightInd w:val="0"/>
        <w:snapToGrid w:val="0"/>
        <w:spacing w:after="0" w:line="240" w:lineRule="auto"/>
        <w:jc w:val="both"/>
        <w:rPr>
          <w:rFonts w:ascii="Arial" w:eastAsia="Calibri" w:hAnsi="Arial" w:cs="Arial"/>
          <w:b/>
          <w:bCs/>
          <w:sz w:val="24"/>
          <w:szCs w:val="24"/>
          <w:lang w:eastAsia="es-ES_tradnl"/>
        </w:rPr>
      </w:pPr>
      <w:r w:rsidRPr="000C7B2E">
        <w:rPr>
          <w:rFonts w:ascii="Arial" w:eastAsia="Calibri" w:hAnsi="Arial" w:cs="Arial"/>
          <w:b/>
          <w:bCs/>
          <w:sz w:val="24"/>
          <w:szCs w:val="24"/>
          <w:lang w:eastAsia="es-ES_tradnl"/>
        </w:rPr>
        <w:t>MODIFICACIÓN – Contrato estatal – Límites – Objeto</w:t>
      </w:r>
    </w:p>
    <w:p w14:paraId="5C8991FD" w14:textId="77777777" w:rsidR="000C7B2E" w:rsidRPr="000C7B2E" w:rsidRDefault="000C7B2E" w:rsidP="000C7B2E">
      <w:pPr>
        <w:adjustRightInd w:val="0"/>
        <w:snapToGrid w:val="0"/>
        <w:spacing w:after="0" w:line="240" w:lineRule="auto"/>
        <w:jc w:val="both"/>
        <w:rPr>
          <w:rFonts w:ascii="Arial" w:eastAsia="Calibri" w:hAnsi="Arial" w:cs="Arial"/>
          <w:b/>
          <w:sz w:val="20"/>
          <w:szCs w:val="20"/>
          <w:highlight w:val="yellow"/>
          <w:lang w:eastAsia="es-ES_tradnl"/>
        </w:rPr>
      </w:pPr>
    </w:p>
    <w:p w14:paraId="24B2897A" w14:textId="77777777" w:rsidR="000C7B2E" w:rsidRPr="000C7B2E" w:rsidRDefault="000C7B2E" w:rsidP="000C7B2E">
      <w:pPr>
        <w:widowControl w:val="0"/>
        <w:autoSpaceDE w:val="0"/>
        <w:autoSpaceDN w:val="0"/>
        <w:spacing w:after="0" w:line="240" w:lineRule="auto"/>
        <w:jc w:val="both"/>
        <w:rPr>
          <w:rFonts w:ascii="Arial" w:eastAsia="Arial" w:hAnsi="Arial" w:cs="Arial"/>
          <w:sz w:val="20"/>
          <w:szCs w:val="20"/>
          <w:lang w:val="es-ES" w:eastAsia="es-ES" w:bidi="es-ES"/>
        </w:rPr>
      </w:pPr>
      <w:r w:rsidRPr="000C7B2E">
        <w:rPr>
          <w:rFonts w:ascii="Arial" w:eastAsia="Arial" w:hAnsi="Arial" w:cs="Arial"/>
          <w:sz w:val="20"/>
          <w:szCs w:val="20"/>
          <w:lang w:val="es-ES" w:eastAsia="es-ES" w:bidi="es-ES"/>
        </w:rPr>
        <w:t xml:space="preserve">Es claro, entonces, que, conforme a la regulación legal y a la interpretación que de la misma han hecho el Consejo de Estado y la Corte Constitucional, la cual se comparte por esta Agencia, es viable jurídicamente modificar los contratos estatales, pero esta medida tiene carácter excepcional y solo procede cuando con ella se pretenda garantizar el interés público, cuando la entidad haya verificado, y así pueda constatarse,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7050DCBE" w14:textId="77777777" w:rsidR="000C7B2E" w:rsidRPr="000C7B2E" w:rsidRDefault="000C7B2E" w:rsidP="000C7B2E">
      <w:pPr>
        <w:widowControl w:val="0"/>
        <w:autoSpaceDE w:val="0"/>
        <w:autoSpaceDN w:val="0"/>
        <w:spacing w:after="0" w:line="240" w:lineRule="auto"/>
        <w:jc w:val="both"/>
        <w:rPr>
          <w:rFonts w:ascii="Arial" w:eastAsia="Arial" w:hAnsi="Arial" w:cs="Arial"/>
          <w:sz w:val="20"/>
          <w:szCs w:val="20"/>
          <w:lang w:val="es-ES" w:eastAsia="es-ES" w:bidi="es-ES"/>
        </w:rPr>
      </w:pPr>
    </w:p>
    <w:p w14:paraId="6931538A" w14:textId="77777777" w:rsidR="000C7B2E" w:rsidRPr="000C7B2E" w:rsidRDefault="000C7B2E" w:rsidP="000C7B2E">
      <w:pPr>
        <w:widowControl w:val="0"/>
        <w:autoSpaceDE w:val="0"/>
        <w:autoSpaceDN w:val="0"/>
        <w:spacing w:after="0" w:line="240" w:lineRule="auto"/>
        <w:jc w:val="both"/>
        <w:rPr>
          <w:rFonts w:ascii="Arial" w:eastAsia="Arial" w:hAnsi="Arial" w:cs="Arial"/>
          <w:sz w:val="20"/>
          <w:szCs w:val="20"/>
          <w:lang w:val="es-ES" w:eastAsia="es-ES" w:bidi="es-ES"/>
        </w:rPr>
      </w:pPr>
      <w:r w:rsidRPr="000C7B2E">
        <w:rPr>
          <w:rFonts w:ascii="Arial" w:eastAsia="Arial" w:hAnsi="Arial" w:cs="Arial"/>
          <w:sz w:val="20"/>
          <w:szCs w:val="20"/>
          <w:lang w:val="es-ES" w:eastAsia="es-ES" w:bidi="es-ES"/>
        </w:rPr>
        <w:t xml:space="preserve">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 </w:t>
      </w:r>
    </w:p>
    <w:p w14:paraId="245ED257" w14:textId="77777777" w:rsidR="000C7B2E" w:rsidRPr="000C7B2E" w:rsidRDefault="000C7B2E" w:rsidP="000C7B2E">
      <w:pPr>
        <w:adjustRightInd w:val="0"/>
        <w:snapToGrid w:val="0"/>
        <w:spacing w:after="0" w:line="240" w:lineRule="auto"/>
        <w:jc w:val="both"/>
        <w:rPr>
          <w:rFonts w:ascii="Arial" w:eastAsia="Calibri" w:hAnsi="Arial" w:cs="Arial"/>
          <w:b/>
          <w:sz w:val="20"/>
          <w:szCs w:val="20"/>
          <w:highlight w:val="yellow"/>
          <w:lang w:eastAsia="es-ES_tradnl"/>
        </w:rPr>
      </w:pPr>
    </w:p>
    <w:p w14:paraId="64B81B16" w14:textId="77777777" w:rsidR="000C7B2E" w:rsidRPr="000C7B2E" w:rsidRDefault="000C7B2E" w:rsidP="000C7B2E">
      <w:pPr>
        <w:adjustRightInd w:val="0"/>
        <w:snapToGrid w:val="0"/>
        <w:spacing w:after="0" w:line="240" w:lineRule="auto"/>
        <w:jc w:val="both"/>
        <w:rPr>
          <w:rFonts w:ascii="Arial" w:eastAsia="Calibri" w:hAnsi="Arial" w:cs="Arial"/>
          <w:b/>
          <w:bCs/>
          <w:sz w:val="24"/>
          <w:szCs w:val="24"/>
          <w:lang w:eastAsia="es-ES_tradnl"/>
        </w:rPr>
      </w:pPr>
      <w:r w:rsidRPr="000C7B2E">
        <w:rPr>
          <w:rFonts w:ascii="Arial" w:eastAsia="Calibri" w:hAnsi="Arial" w:cs="Arial"/>
          <w:b/>
          <w:bCs/>
          <w:sz w:val="24"/>
          <w:szCs w:val="24"/>
          <w:lang w:eastAsia="es-ES_tradnl"/>
        </w:rPr>
        <w:t>PRECIO – Contrato estatal – Concepto – Tipologías</w:t>
      </w:r>
    </w:p>
    <w:p w14:paraId="05F3FFC6" w14:textId="77777777" w:rsidR="000C7B2E" w:rsidRPr="000C7B2E" w:rsidRDefault="000C7B2E" w:rsidP="000C7B2E">
      <w:pPr>
        <w:adjustRightInd w:val="0"/>
        <w:snapToGrid w:val="0"/>
        <w:spacing w:after="0" w:line="240" w:lineRule="auto"/>
        <w:jc w:val="both"/>
        <w:rPr>
          <w:rFonts w:ascii="Arial" w:eastAsia="Calibri" w:hAnsi="Arial" w:cs="Arial"/>
          <w:b/>
          <w:sz w:val="20"/>
          <w:szCs w:val="20"/>
          <w:highlight w:val="yellow"/>
          <w:lang w:eastAsia="es-ES_tradnl"/>
        </w:rPr>
      </w:pPr>
    </w:p>
    <w:p w14:paraId="7CA80E2A"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r w:rsidRPr="000C7B2E">
        <w:rPr>
          <w:rFonts w:ascii="Arial" w:eastAsia="Times New Roman" w:hAnsi="Arial" w:cs="Arial"/>
          <w:bCs/>
          <w:sz w:val="20"/>
          <w:szCs w:val="20"/>
          <w:lang w:val="es-ES_tradnl" w:eastAsia="es-ES_tradnl"/>
        </w:rPr>
        <w:t xml:space="preserve">Como es sabido, uno de los elementos más comunes en los contratos estatales es el </w:t>
      </w:r>
      <w:r w:rsidRPr="000C7B2E">
        <w:rPr>
          <w:rFonts w:ascii="Arial" w:eastAsia="Times New Roman" w:hAnsi="Arial" w:cs="Arial"/>
          <w:bCs/>
          <w:i/>
          <w:iCs/>
          <w:sz w:val="20"/>
          <w:szCs w:val="20"/>
          <w:lang w:val="es-ES_tradnl" w:eastAsia="es-ES_tradnl"/>
        </w:rPr>
        <w:t>precio</w:t>
      </w:r>
      <w:r w:rsidRPr="000C7B2E">
        <w:rPr>
          <w:rFonts w:ascii="Arial" w:eastAsia="Times New Roman" w:hAnsi="Arial" w:cs="Arial"/>
          <w:bCs/>
          <w:sz w:val="20"/>
          <w:szCs w:val="20"/>
          <w:lang w:val="es-ES_tradnl" w:eastAsia="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56346D26"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p>
    <w:p w14:paraId="344C2971"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r w:rsidRPr="000C7B2E">
        <w:rPr>
          <w:rFonts w:ascii="Arial" w:eastAsia="Times New Roman" w:hAnsi="Arial" w:cs="Arial"/>
          <w:bCs/>
          <w:sz w:val="20"/>
          <w:szCs w:val="20"/>
          <w:lang w:val="es-ES_tradnl" w:eastAsia="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w:t>
      </w:r>
      <w:r w:rsidRPr="000C7B2E">
        <w:rPr>
          <w:rFonts w:ascii="Arial" w:eastAsia="Times New Roman" w:hAnsi="Arial" w:cs="Arial"/>
          <w:bCs/>
          <w:sz w:val="20"/>
          <w:szCs w:val="20"/>
          <w:lang w:val="es-ES_tradnl" w:eastAsia="es-ES_tradnl"/>
        </w:rPr>
        <w:lastRenderedPageBreak/>
        <w:t>los estudios previos la definición del esquema que la entidad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p>
    <w:p w14:paraId="68DE9756"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p>
    <w:p w14:paraId="3E609C6D"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r w:rsidRPr="000C7B2E">
        <w:rPr>
          <w:rFonts w:ascii="Arial" w:eastAsia="Times New Roman" w:hAnsi="Arial" w:cs="Arial"/>
          <w:bCs/>
          <w:sz w:val="20"/>
          <w:szCs w:val="20"/>
          <w:lang w:val="es-ES_tradnl" w:eastAsia="es-ES_tradnl"/>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0C7B2E">
        <w:rPr>
          <w:rFonts w:ascii="Arial" w:eastAsia="Times New Roman" w:hAnsi="Arial" w:cs="Arial"/>
          <w:bCs/>
          <w:sz w:val="20"/>
          <w:szCs w:val="20"/>
          <w:lang w:val="es-ES_tradnl" w:eastAsia="es-ES_tradnl"/>
        </w:rPr>
        <w:t>ii</w:t>
      </w:r>
      <w:proofErr w:type="spellEnd"/>
      <w:r w:rsidRPr="000C7B2E">
        <w:rPr>
          <w:rFonts w:ascii="Arial" w:eastAsia="Times New Roman" w:hAnsi="Arial" w:cs="Arial"/>
          <w:bCs/>
          <w:sz w:val="20"/>
          <w:szCs w:val="20"/>
          <w:lang w:val="es-ES_tradnl" w:eastAsia="es-ES_tradnl"/>
        </w:rPr>
        <w:t xml:space="preserve">) el precio global –que equivale al monto total, sin discriminar unidades–, y </w:t>
      </w:r>
      <w:proofErr w:type="spellStart"/>
      <w:r w:rsidRPr="000C7B2E">
        <w:rPr>
          <w:rFonts w:ascii="Arial" w:eastAsia="Times New Roman" w:hAnsi="Arial" w:cs="Arial"/>
          <w:bCs/>
          <w:sz w:val="20"/>
          <w:szCs w:val="20"/>
          <w:lang w:val="es-ES_tradnl" w:eastAsia="es-ES_tradnl"/>
        </w:rPr>
        <w:t>iii</w:t>
      </w:r>
      <w:proofErr w:type="spellEnd"/>
      <w:r w:rsidRPr="000C7B2E">
        <w:rPr>
          <w:rFonts w:ascii="Arial" w:eastAsia="Times New Roman" w:hAnsi="Arial" w:cs="Arial"/>
          <w:bCs/>
          <w:sz w:val="20"/>
          <w:szCs w:val="20"/>
          <w:lang w:val="es-ES_tradnl" w:eastAsia="es-ES_tradnl"/>
        </w:rPr>
        <w:t>) la administración delegada de recursos –en la que se distinguen los costos de inversión de los honorarios del administrador–.</w:t>
      </w:r>
    </w:p>
    <w:p w14:paraId="1B5DE7CD"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p>
    <w:p w14:paraId="7C927404" w14:textId="77777777" w:rsidR="000C7B2E" w:rsidRPr="000C7B2E" w:rsidRDefault="000C7B2E" w:rsidP="000C7B2E">
      <w:pPr>
        <w:adjustRightInd w:val="0"/>
        <w:snapToGrid w:val="0"/>
        <w:spacing w:after="0" w:line="240" w:lineRule="auto"/>
        <w:jc w:val="both"/>
        <w:rPr>
          <w:rFonts w:ascii="Arial" w:eastAsia="Calibri" w:hAnsi="Arial" w:cs="Arial"/>
          <w:b/>
          <w:bCs/>
          <w:sz w:val="24"/>
          <w:szCs w:val="24"/>
          <w:lang w:eastAsia="es-ES_tradnl"/>
        </w:rPr>
      </w:pPr>
      <w:r w:rsidRPr="000C7B2E">
        <w:rPr>
          <w:rFonts w:ascii="Arial" w:eastAsia="Calibri" w:hAnsi="Arial" w:cs="Arial"/>
          <w:b/>
          <w:bCs/>
          <w:sz w:val="24"/>
          <w:szCs w:val="24"/>
          <w:lang w:eastAsia="es-ES_tradnl"/>
        </w:rPr>
        <w:t>ADICIÓN – Contrato estatal – Concepto – Posibilidad</w:t>
      </w:r>
    </w:p>
    <w:p w14:paraId="1979C7C6"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p>
    <w:p w14:paraId="6FF1B664" w14:textId="77777777" w:rsidR="000C7B2E" w:rsidRPr="000C7B2E" w:rsidRDefault="000C7B2E" w:rsidP="000C7B2E">
      <w:pPr>
        <w:spacing w:after="0" w:line="240" w:lineRule="auto"/>
        <w:jc w:val="both"/>
        <w:rPr>
          <w:rFonts w:ascii="Arial" w:eastAsia="Calibri" w:hAnsi="Arial" w:cs="Arial"/>
          <w:sz w:val="20"/>
          <w:szCs w:val="20"/>
          <w:lang w:val="es-ES_tradnl" w:eastAsia="es-ES_tradnl"/>
        </w:rPr>
      </w:pPr>
      <w:r w:rsidRPr="000C7B2E">
        <w:rPr>
          <w:rFonts w:ascii="Arial" w:eastAsia="Calibri" w:hAnsi="Arial" w:cs="Arial"/>
          <w:sz w:val="20"/>
          <w:szCs w:val="20"/>
          <w:lang w:val="es-ES_tradnl" w:eastAsia="es-ES_tradnl"/>
        </w:rPr>
        <w:t xml:space="preserve">[…],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a los inicialmente previstos, a lo que se le conoce como «mayores cantidades de obra», «obras adicionales» o adición de «ítems contractuales»; y </w:t>
      </w:r>
      <w:proofErr w:type="spellStart"/>
      <w:r w:rsidRPr="000C7B2E">
        <w:rPr>
          <w:rFonts w:ascii="Arial" w:eastAsia="Calibri" w:hAnsi="Arial" w:cs="Arial"/>
          <w:sz w:val="20"/>
          <w:szCs w:val="20"/>
          <w:lang w:val="es-ES_tradnl" w:eastAsia="es-ES_tradnl"/>
        </w:rPr>
        <w:t>ii</w:t>
      </w:r>
      <w:proofErr w:type="spellEnd"/>
      <w:r w:rsidRPr="000C7B2E">
        <w:rPr>
          <w:rFonts w:ascii="Arial" w:eastAsia="Calibri" w:hAnsi="Arial" w:cs="Arial"/>
          <w:sz w:val="20"/>
          <w:szCs w:val="20"/>
          <w:lang w:val="es-ES_tradnl" w:eastAsia="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26EF14C3" w14:textId="77777777" w:rsidR="000C7B2E" w:rsidRPr="000C7B2E" w:rsidRDefault="000C7B2E" w:rsidP="000C7B2E">
      <w:pPr>
        <w:spacing w:after="0" w:line="240" w:lineRule="auto"/>
        <w:jc w:val="both"/>
        <w:rPr>
          <w:rFonts w:ascii="Arial" w:eastAsia="Calibri" w:hAnsi="Arial" w:cs="Arial"/>
          <w:sz w:val="20"/>
          <w:szCs w:val="20"/>
          <w:lang w:val="es-ES_tradnl" w:eastAsia="es-ES_tradnl"/>
        </w:rPr>
      </w:pPr>
    </w:p>
    <w:p w14:paraId="3CFC4F30"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r w:rsidRPr="000C7B2E">
        <w:rPr>
          <w:rFonts w:ascii="Arial" w:eastAsia="Calibri" w:hAnsi="Arial" w:cs="Arial"/>
          <w:sz w:val="20"/>
          <w:szCs w:val="20"/>
          <w:lang w:val="es-ES_tradnl" w:eastAsia="es-ES_tradnl"/>
        </w:rPr>
        <w:t xml:space="preserve">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r w:rsidRPr="000C7B2E">
        <w:rPr>
          <w:rFonts w:ascii="Arial" w:eastAsia="Times New Roman" w:hAnsi="Arial" w:cs="Arial"/>
          <w:color w:val="000000"/>
          <w:sz w:val="20"/>
          <w:szCs w:val="20"/>
          <w:lang w:val="es-ES_tradnl" w:eastAsia="es-ES_tradnl"/>
        </w:rPr>
        <w:t xml:space="preserve">Lo importante es que frente a cualquier incremento del valor inicial del contrato, que es lo que implica una </w:t>
      </w:r>
      <w:r w:rsidRPr="000C7B2E">
        <w:rPr>
          <w:rFonts w:ascii="Arial" w:eastAsia="Times New Roman" w:hAnsi="Arial" w:cs="Arial"/>
          <w:i/>
          <w:iCs/>
          <w:color w:val="000000"/>
          <w:sz w:val="20"/>
          <w:szCs w:val="20"/>
          <w:lang w:val="es-ES_tradnl" w:eastAsia="es-ES_tradnl"/>
        </w:rPr>
        <w:t xml:space="preserve">adición, </w:t>
      </w:r>
      <w:r w:rsidRPr="000C7B2E">
        <w:rPr>
          <w:rFonts w:ascii="Arial" w:eastAsia="Times New Roman" w:hAnsi="Arial" w:cs="Arial"/>
          <w:color w:val="000000"/>
          <w:sz w:val="20"/>
          <w:szCs w:val="20"/>
          <w:lang w:val="es-ES_tradnl" w:eastAsia="es-ES_tradnl"/>
        </w:rPr>
        <w:t>por cualquiera de los dos supuestos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p>
    <w:p w14:paraId="3676AFD1"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p>
    <w:p w14:paraId="0243B46E" w14:textId="77777777" w:rsidR="000C7B2E" w:rsidRPr="000C7B2E" w:rsidRDefault="000C7B2E" w:rsidP="000C7B2E">
      <w:pPr>
        <w:adjustRightInd w:val="0"/>
        <w:snapToGrid w:val="0"/>
        <w:spacing w:after="0" w:line="240" w:lineRule="auto"/>
        <w:jc w:val="both"/>
        <w:rPr>
          <w:rFonts w:ascii="Arial" w:eastAsia="Calibri" w:hAnsi="Arial" w:cs="Arial"/>
          <w:b/>
          <w:bCs/>
          <w:sz w:val="24"/>
          <w:szCs w:val="24"/>
          <w:lang w:eastAsia="es-ES_tradnl"/>
        </w:rPr>
      </w:pPr>
      <w:r w:rsidRPr="000C7B2E">
        <w:rPr>
          <w:rFonts w:ascii="Arial" w:eastAsia="Calibri" w:hAnsi="Arial" w:cs="Arial"/>
          <w:b/>
          <w:bCs/>
          <w:sz w:val="24"/>
          <w:szCs w:val="24"/>
          <w:lang w:eastAsia="es-ES_tradnl"/>
        </w:rPr>
        <w:t>ADICIÓN – Contrato estatal – Tope – 50% – Cálculo – Metodología</w:t>
      </w:r>
    </w:p>
    <w:p w14:paraId="7A6D88B8" w14:textId="77777777" w:rsidR="000C7B2E" w:rsidRPr="000C7B2E" w:rsidRDefault="000C7B2E" w:rsidP="000C7B2E">
      <w:pPr>
        <w:spacing w:after="0" w:line="240" w:lineRule="auto"/>
        <w:jc w:val="both"/>
        <w:rPr>
          <w:rFonts w:ascii="Arial" w:eastAsia="Times New Roman" w:hAnsi="Arial" w:cs="Arial"/>
          <w:bCs/>
          <w:sz w:val="20"/>
          <w:szCs w:val="20"/>
          <w:lang w:val="es-ES_tradnl" w:eastAsia="es-ES_tradnl"/>
        </w:rPr>
      </w:pPr>
    </w:p>
    <w:p w14:paraId="5722F3DB" w14:textId="77777777" w:rsidR="000C7B2E" w:rsidRPr="000C7B2E" w:rsidRDefault="000C7B2E" w:rsidP="000C7B2E">
      <w:pPr>
        <w:spacing w:after="0" w:line="240" w:lineRule="auto"/>
        <w:jc w:val="both"/>
        <w:rPr>
          <w:rFonts w:ascii="Arial" w:eastAsia="Times New Roman" w:hAnsi="Arial" w:cs="Arial"/>
          <w:color w:val="000000"/>
          <w:sz w:val="20"/>
          <w:szCs w:val="20"/>
          <w:lang w:val="es-ES_tradnl" w:eastAsia="es-ES_tradnl"/>
        </w:rPr>
      </w:pPr>
      <w:r w:rsidRPr="000C7B2E">
        <w:rPr>
          <w:rFonts w:ascii="Arial" w:eastAsia="Times New Roman" w:hAnsi="Arial" w:cs="Arial"/>
          <w:bCs/>
          <w:sz w:val="20"/>
          <w:szCs w:val="20"/>
          <w:lang w:val="es-ES_tradnl" w:eastAsia="es-ES_tradnl"/>
        </w:rPr>
        <w:t>[…]</w:t>
      </w:r>
      <w:r w:rsidRPr="000C7B2E">
        <w:rPr>
          <w:rFonts w:ascii="Arial" w:eastAsia="Times New Roman" w:hAnsi="Arial" w:cs="Arial"/>
          <w:color w:val="000000"/>
          <w:sz w:val="20"/>
          <w:szCs w:val="20"/>
          <w:lang w:val="es-ES_tradnl" w:eastAsia="es-ES_tradnl"/>
        </w:rPr>
        <w:t xml:space="preserve">, al momento de hacer la adición se debe tener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1926B318" w14:textId="5A11C904" w:rsidR="00B5050A" w:rsidRPr="00687CB4" w:rsidRDefault="00B5050A" w:rsidP="00CF19A3">
      <w:pPr>
        <w:spacing w:after="0"/>
        <w:rPr>
          <w:rFonts w:ascii="Arial" w:eastAsia="Geomanist Light" w:hAnsi="Arial" w:cs="Arial"/>
          <w:color w:val="201F1E"/>
          <w:lang w:val="es-MX"/>
        </w:rPr>
      </w:pPr>
      <w:r w:rsidRPr="00687CB4">
        <w:rPr>
          <w:rFonts w:ascii="Arial" w:eastAsia="Geomanist Light" w:hAnsi="Arial" w:cs="Arial"/>
          <w:color w:val="000000" w:themeColor="text1"/>
          <w:lang w:val="es-MX"/>
        </w:rPr>
        <w:t>Bogotá D.C., </w:t>
      </w:r>
      <w:r w:rsidRPr="00687CB4">
        <w:rPr>
          <w:rFonts w:ascii="Arial" w:eastAsia="Geomanist Light" w:hAnsi="Arial" w:cs="Arial"/>
          <w:color w:val="201F1E"/>
          <w:lang w:val="es-MX"/>
        </w:rPr>
        <w:t>19 de enero de 2023</w:t>
      </w:r>
    </w:p>
    <w:p w14:paraId="3D04B1FB" w14:textId="77777777" w:rsidR="00B5050A" w:rsidRPr="00687CB4" w:rsidRDefault="00B5050A" w:rsidP="00954536">
      <w:pPr>
        <w:spacing w:after="0" w:line="276" w:lineRule="auto"/>
        <w:jc w:val="both"/>
        <w:rPr>
          <w:rFonts w:ascii="Arial" w:eastAsia="Calibri" w:hAnsi="Arial" w:cs="Arial"/>
          <w:szCs w:val="24"/>
          <w:lang w:val="es-ES_tradnl" w:eastAsia="es-ES_tradnl"/>
        </w:rPr>
      </w:pPr>
    </w:p>
    <w:p w14:paraId="782CAC0B" w14:textId="77777777" w:rsidR="00B5050A" w:rsidRPr="00687CB4" w:rsidRDefault="00B5050A" w:rsidP="00CF19A3">
      <w:pPr>
        <w:spacing w:after="0" w:line="276" w:lineRule="auto"/>
        <w:jc w:val="both"/>
        <w:rPr>
          <w:rFonts w:ascii="Arial" w:eastAsia="Calibri" w:hAnsi="Arial" w:cs="Arial"/>
          <w:szCs w:val="24"/>
          <w:lang w:val="es-ES_tradnl" w:eastAsia="es-ES_tradnl"/>
        </w:rPr>
      </w:pPr>
    </w:p>
    <w:p w14:paraId="3F5C5E3F" w14:textId="2A8855DC" w:rsidR="002336DA" w:rsidRDefault="002336DA" w:rsidP="002336DA">
      <w:pPr>
        <w:spacing w:after="0" w:line="276" w:lineRule="auto"/>
        <w:jc w:val="right"/>
        <w:rPr>
          <w:rFonts w:ascii="Arial" w:eastAsia="Calibri" w:hAnsi="Arial" w:cs="Arial"/>
          <w:szCs w:val="24"/>
          <w:lang w:val="es-ES_tradnl" w:eastAsia="es-ES_tradnl"/>
        </w:rPr>
      </w:pPr>
      <w:r w:rsidRPr="002336DA">
        <w:rPr>
          <w:rFonts w:ascii="Arial" w:eastAsia="Calibri" w:hAnsi="Arial" w:cs="Arial"/>
          <w:noProof/>
          <w:szCs w:val="24"/>
          <w:lang w:val="es-ES_tradnl" w:eastAsia="es-ES_tradnl"/>
        </w:rPr>
        <w:lastRenderedPageBreak/>
        <w:drawing>
          <wp:inline distT="0" distB="0" distL="0" distR="0" wp14:anchorId="4B52AA85" wp14:editId="2CAC646F">
            <wp:extent cx="2467319" cy="695422"/>
            <wp:effectExtent l="0" t="0" r="9525"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467319" cy="695422"/>
                    </a:xfrm>
                    <a:prstGeom prst="rect">
                      <a:avLst/>
                    </a:prstGeom>
                  </pic:spPr>
                </pic:pic>
              </a:graphicData>
            </a:graphic>
          </wp:inline>
        </w:drawing>
      </w:r>
    </w:p>
    <w:p w14:paraId="53322C5D" w14:textId="77777777" w:rsidR="002336DA" w:rsidRDefault="002336DA" w:rsidP="00B5050A">
      <w:pPr>
        <w:spacing w:after="0" w:line="276" w:lineRule="auto"/>
        <w:jc w:val="both"/>
        <w:rPr>
          <w:rFonts w:ascii="Arial" w:eastAsia="Calibri" w:hAnsi="Arial" w:cs="Arial"/>
          <w:szCs w:val="24"/>
          <w:lang w:val="es-ES_tradnl" w:eastAsia="es-ES_tradnl"/>
        </w:rPr>
      </w:pPr>
    </w:p>
    <w:p w14:paraId="1FE3CDCC" w14:textId="77777777" w:rsidR="002336DA" w:rsidRDefault="002336DA" w:rsidP="00B5050A">
      <w:pPr>
        <w:spacing w:after="0" w:line="276" w:lineRule="auto"/>
        <w:jc w:val="both"/>
        <w:rPr>
          <w:rFonts w:ascii="Arial" w:eastAsia="Calibri" w:hAnsi="Arial" w:cs="Arial"/>
          <w:szCs w:val="24"/>
          <w:lang w:val="es-ES_tradnl" w:eastAsia="es-ES_tradnl"/>
        </w:rPr>
      </w:pPr>
    </w:p>
    <w:p w14:paraId="64D1153C" w14:textId="46DCCE51" w:rsidR="00B5050A" w:rsidRPr="00687CB4" w:rsidRDefault="00B5050A" w:rsidP="00B5050A">
      <w:pPr>
        <w:spacing w:after="0" w:line="276" w:lineRule="auto"/>
        <w:jc w:val="both"/>
        <w:rPr>
          <w:rFonts w:ascii="Arial" w:eastAsia="Calibri" w:hAnsi="Arial" w:cs="Arial"/>
          <w:szCs w:val="24"/>
          <w:lang w:val="es-ES_tradnl" w:eastAsia="es-ES_tradnl"/>
        </w:rPr>
      </w:pPr>
      <w:r w:rsidRPr="00687CB4">
        <w:rPr>
          <w:rFonts w:ascii="Arial" w:eastAsia="Calibri" w:hAnsi="Arial" w:cs="Arial"/>
          <w:szCs w:val="24"/>
          <w:lang w:val="es-ES_tradnl" w:eastAsia="es-ES_tradnl"/>
        </w:rPr>
        <w:t>Señor</w:t>
      </w:r>
    </w:p>
    <w:p w14:paraId="442886B9" w14:textId="77777777" w:rsidR="00B5050A" w:rsidRPr="00687CB4" w:rsidRDefault="00B5050A" w:rsidP="00B5050A">
      <w:pPr>
        <w:spacing w:after="0" w:line="276" w:lineRule="auto"/>
        <w:jc w:val="both"/>
        <w:rPr>
          <w:rFonts w:ascii="Arial" w:eastAsia="Calibri" w:hAnsi="Arial" w:cs="Arial"/>
          <w:b/>
          <w:szCs w:val="24"/>
          <w:lang w:val="es-ES_tradnl" w:eastAsia="es-ES_tradnl"/>
        </w:rPr>
      </w:pPr>
      <w:r w:rsidRPr="00687CB4">
        <w:rPr>
          <w:rFonts w:ascii="Arial" w:eastAsia="Calibri" w:hAnsi="Arial" w:cs="Arial"/>
          <w:b/>
          <w:szCs w:val="24"/>
          <w:lang w:val="es-ES_tradnl" w:eastAsia="es-ES_tradnl"/>
        </w:rPr>
        <w:t>Diego Jesús Ortega Cruz</w:t>
      </w:r>
      <w:r w:rsidRPr="00687CB4">
        <w:rPr>
          <w:rFonts w:ascii="Arial" w:eastAsia="Calibri" w:hAnsi="Arial" w:cs="Arial"/>
          <w:b/>
          <w:szCs w:val="24"/>
          <w:lang w:val="es-ES_tradnl" w:eastAsia="es-ES_tradnl"/>
        </w:rPr>
        <w:tab/>
      </w:r>
    </w:p>
    <w:p w14:paraId="61C53E92" w14:textId="77777777" w:rsidR="00B5050A" w:rsidRPr="00687CB4" w:rsidRDefault="00FA1105" w:rsidP="00B5050A">
      <w:pPr>
        <w:spacing w:after="0" w:line="276" w:lineRule="auto"/>
        <w:jc w:val="both"/>
        <w:rPr>
          <w:rFonts w:ascii="Arial" w:eastAsia="Calibri" w:hAnsi="Arial" w:cs="Arial"/>
          <w:bCs/>
          <w:color w:val="0070C0"/>
          <w:szCs w:val="24"/>
          <w:lang w:val="es-ES_tradnl" w:eastAsia="es-ES_tradnl"/>
        </w:rPr>
      </w:pPr>
      <w:hyperlink r:id="rId12" w:history="1">
        <w:r w:rsidR="00B5050A" w:rsidRPr="00687CB4">
          <w:rPr>
            <w:rFonts w:ascii="Arial" w:eastAsia="Calibri" w:hAnsi="Arial" w:cs="Arial"/>
            <w:bCs/>
            <w:color w:val="0070C0"/>
            <w:szCs w:val="24"/>
            <w:u w:val="single"/>
            <w:lang w:val="es-ES_tradnl" w:eastAsia="es-ES_tradnl"/>
          </w:rPr>
          <w:t>orteguno@yahoo.com</w:t>
        </w:r>
      </w:hyperlink>
      <w:r w:rsidR="00B5050A" w:rsidRPr="00687CB4">
        <w:rPr>
          <w:rFonts w:ascii="Arial" w:eastAsia="Calibri" w:hAnsi="Arial" w:cs="Arial"/>
          <w:bCs/>
          <w:color w:val="0070C0"/>
          <w:szCs w:val="24"/>
          <w:lang w:val="es-ES_tradnl" w:eastAsia="es-ES_tradnl"/>
        </w:rPr>
        <w:t xml:space="preserve"> </w:t>
      </w:r>
    </w:p>
    <w:p w14:paraId="66FE5F4C" w14:textId="77777777" w:rsidR="00B5050A" w:rsidRPr="00687CB4" w:rsidRDefault="00B5050A" w:rsidP="00B5050A">
      <w:pPr>
        <w:spacing w:after="0" w:line="276" w:lineRule="auto"/>
        <w:jc w:val="both"/>
        <w:rPr>
          <w:rFonts w:ascii="Arial" w:eastAsia="Calibri" w:hAnsi="Arial" w:cs="Arial"/>
          <w:szCs w:val="24"/>
          <w:lang w:val="es-ES_tradnl" w:eastAsia="es-ES_tradnl"/>
        </w:rPr>
      </w:pPr>
      <w:r w:rsidRPr="00687CB4">
        <w:rPr>
          <w:rFonts w:ascii="Arial" w:eastAsia="Calibri" w:hAnsi="Arial" w:cs="Arial"/>
          <w:szCs w:val="24"/>
          <w:lang w:val="es-ES_tradnl" w:eastAsia="es-ES_tradnl"/>
        </w:rPr>
        <w:t>Fusagasugá, Cundinamarca</w:t>
      </w:r>
    </w:p>
    <w:p w14:paraId="479AD4E7" w14:textId="77777777" w:rsidR="00B5050A" w:rsidRPr="00687CB4" w:rsidRDefault="00B5050A" w:rsidP="00B5050A">
      <w:pPr>
        <w:spacing w:after="0" w:line="276" w:lineRule="auto"/>
        <w:jc w:val="both"/>
        <w:rPr>
          <w:rFonts w:ascii="Arial" w:eastAsia="Calibri" w:hAnsi="Arial" w:cs="Arial"/>
          <w:szCs w:val="24"/>
          <w:lang w:val="es-ES_tradnl" w:eastAsia="es-ES_tradnl"/>
        </w:rPr>
      </w:pPr>
    </w:p>
    <w:p w14:paraId="19E68A25" w14:textId="77777777" w:rsidR="00B5050A" w:rsidRPr="00687CB4" w:rsidRDefault="00B5050A" w:rsidP="00B5050A">
      <w:pPr>
        <w:spacing w:after="0" w:line="276" w:lineRule="auto"/>
        <w:jc w:val="both"/>
        <w:rPr>
          <w:rFonts w:ascii="Arial" w:eastAsia="Calibri" w:hAnsi="Arial" w:cs="Arial"/>
          <w:szCs w:val="24"/>
          <w:lang w:val="es-ES_tradnl" w:eastAsia="es-ES_tradnl"/>
        </w:rPr>
      </w:pPr>
    </w:p>
    <w:p w14:paraId="3C4E7A52" w14:textId="77777777" w:rsidR="00B5050A" w:rsidRPr="00687CB4" w:rsidRDefault="00B5050A" w:rsidP="00B5050A">
      <w:pPr>
        <w:spacing w:after="0" w:line="276" w:lineRule="auto"/>
        <w:rPr>
          <w:rFonts w:ascii="Arial" w:eastAsia="Calibri" w:hAnsi="Arial" w:cs="Arial"/>
          <w:b/>
          <w:bCs/>
          <w:szCs w:val="24"/>
          <w:lang w:val="es-ES_tradnl" w:eastAsia="es-ES_tradnl"/>
        </w:rPr>
      </w:pPr>
      <w:r w:rsidRPr="00687CB4">
        <w:rPr>
          <w:rFonts w:ascii="Arial" w:eastAsia="Calibri" w:hAnsi="Arial" w:cs="Arial"/>
          <w:b/>
          <w:bCs/>
          <w:szCs w:val="24"/>
          <w:lang w:val="es-ES_tradnl" w:eastAsia="es-ES_tradnl"/>
        </w:rPr>
        <w:t xml:space="preserve">                                            Concepto C ‒ 943 de 2022</w:t>
      </w:r>
    </w:p>
    <w:p w14:paraId="29B75D34" w14:textId="77777777" w:rsidR="00B5050A" w:rsidRPr="00687CB4" w:rsidRDefault="00B5050A" w:rsidP="00B5050A">
      <w:pPr>
        <w:spacing w:after="0" w:line="276" w:lineRule="auto"/>
        <w:jc w:val="both"/>
        <w:rPr>
          <w:rFonts w:ascii="Arial" w:eastAsia="Calibri" w:hAnsi="Arial" w:cs="Arial"/>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5050A" w:rsidRPr="00687CB4" w14:paraId="472D2DB8" w14:textId="77777777" w:rsidTr="000E3937">
        <w:tc>
          <w:tcPr>
            <w:tcW w:w="2689" w:type="dxa"/>
          </w:tcPr>
          <w:p w14:paraId="7A7F5D51" w14:textId="77777777" w:rsidR="00B5050A" w:rsidRPr="00687CB4" w:rsidRDefault="00B5050A" w:rsidP="00B5050A">
            <w:pPr>
              <w:spacing w:line="276" w:lineRule="auto"/>
              <w:jc w:val="both"/>
              <w:rPr>
                <w:rFonts w:ascii="Arial" w:eastAsia="Calibri" w:hAnsi="Arial" w:cs="Arial"/>
                <w:lang w:val="es-ES_tradnl" w:eastAsia="es-ES_tradnl"/>
              </w:rPr>
            </w:pPr>
            <w:r w:rsidRPr="00687CB4">
              <w:rPr>
                <w:rFonts w:ascii="Arial" w:eastAsia="Calibri" w:hAnsi="Arial" w:cs="Arial"/>
                <w:b/>
                <w:lang w:val="es-ES_tradnl" w:eastAsia="es-ES_tradnl"/>
              </w:rPr>
              <w:t>Temas:</w:t>
            </w:r>
            <w:r w:rsidRPr="00687CB4">
              <w:rPr>
                <w:rFonts w:ascii="Arial" w:eastAsia="Calibri" w:hAnsi="Arial" w:cs="Arial"/>
                <w:lang w:val="es-ES_tradnl" w:eastAsia="es-ES_tradnl"/>
              </w:rPr>
              <w:t xml:space="preserve">                                      </w:t>
            </w:r>
          </w:p>
        </w:tc>
        <w:tc>
          <w:tcPr>
            <w:tcW w:w="6237" w:type="dxa"/>
          </w:tcPr>
          <w:p w14:paraId="032BECEF" w14:textId="23C4CCA0" w:rsidR="00B5050A" w:rsidRPr="00687CB4" w:rsidRDefault="00B5050A" w:rsidP="00B5050A">
            <w:pPr>
              <w:spacing w:line="276" w:lineRule="auto"/>
              <w:jc w:val="both"/>
              <w:rPr>
                <w:rFonts w:ascii="Arial" w:eastAsia="Times New Roman" w:hAnsi="Arial" w:cs="Arial"/>
                <w:lang w:val="es-ES" w:eastAsia="es-ES"/>
              </w:rPr>
            </w:pPr>
            <w:r w:rsidRPr="00687CB4">
              <w:rPr>
                <w:rFonts w:ascii="Arial" w:eastAsia="Times New Roman" w:hAnsi="Arial" w:cs="Arial"/>
                <w:lang w:val="es-ES" w:eastAsia="es-ES"/>
              </w:rPr>
              <w:t xml:space="preserve">MODIFICACIÓN – Contrato estatal – </w:t>
            </w:r>
            <w:r w:rsidRPr="00687CB4">
              <w:rPr>
                <w:rFonts w:ascii="Arial" w:eastAsia="Times New Roman" w:hAnsi="Arial" w:cs="Arial"/>
                <w:noProof/>
                <w:lang w:val="es-ES" w:eastAsia="es-ES"/>
              </w:rPr>
              <w:t>Posibili</w:t>
            </w:r>
            <w:r w:rsidR="2740CDED" w:rsidRPr="00687CB4">
              <w:rPr>
                <w:rFonts w:ascii="Arial" w:eastAsia="Times New Roman" w:hAnsi="Arial" w:cs="Arial"/>
                <w:noProof/>
                <w:lang w:val="es-ES" w:eastAsia="es-ES"/>
              </w:rPr>
              <w:t>da</w:t>
            </w:r>
            <w:r w:rsidRPr="00687CB4">
              <w:rPr>
                <w:rFonts w:ascii="Arial" w:eastAsia="Times New Roman" w:hAnsi="Arial" w:cs="Arial"/>
                <w:noProof/>
                <w:lang w:val="es-ES" w:eastAsia="es-ES"/>
              </w:rPr>
              <w:t>d</w:t>
            </w:r>
            <w:r w:rsidRPr="00687CB4">
              <w:rPr>
                <w:rFonts w:ascii="Arial" w:eastAsia="Times New Roman" w:hAnsi="Arial" w:cs="Arial"/>
                <w:lang w:val="es-ES" w:eastAsia="es-ES"/>
              </w:rPr>
              <w:t xml:space="preserve"> / MODIFICACIÓN – Contrato estatal – Límites – Objeto / PRECIO – Contrarto estatal – Concepto – Posibilidad / ADICIÓN – Contrato estatal – Tope – 50% - Cálculo - Metodología</w:t>
            </w:r>
          </w:p>
        </w:tc>
      </w:tr>
      <w:tr w:rsidR="00B5050A" w:rsidRPr="00687CB4" w14:paraId="01476B1E" w14:textId="77777777" w:rsidTr="000E3937">
        <w:trPr>
          <w:trHeight w:val="80"/>
        </w:trPr>
        <w:tc>
          <w:tcPr>
            <w:tcW w:w="2689" w:type="dxa"/>
          </w:tcPr>
          <w:p w14:paraId="2B3FBBB9" w14:textId="77777777" w:rsidR="00B5050A" w:rsidRPr="00687CB4" w:rsidRDefault="00B5050A" w:rsidP="00B5050A">
            <w:pPr>
              <w:spacing w:before="120" w:line="276" w:lineRule="auto"/>
              <w:jc w:val="both"/>
              <w:rPr>
                <w:rFonts w:ascii="Arial" w:eastAsia="Calibri" w:hAnsi="Arial" w:cs="Arial"/>
                <w:b/>
                <w:lang w:val="es-ES_tradnl" w:eastAsia="es-ES_tradnl"/>
              </w:rPr>
            </w:pPr>
            <w:r w:rsidRPr="00687CB4">
              <w:rPr>
                <w:rFonts w:ascii="Arial" w:eastAsia="Calibri" w:hAnsi="Arial" w:cs="Arial"/>
                <w:b/>
                <w:lang w:val="es-ES_tradnl" w:eastAsia="es-ES_tradnl"/>
              </w:rPr>
              <w:t>Radicación:</w:t>
            </w:r>
            <w:r w:rsidRPr="00687CB4">
              <w:rPr>
                <w:rFonts w:ascii="Arial" w:eastAsia="Calibri" w:hAnsi="Arial" w:cs="Arial"/>
                <w:lang w:val="es-ES_tradnl" w:eastAsia="es-ES_tradnl"/>
              </w:rPr>
              <w:t xml:space="preserve">                              </w:t>
            </w:r>
          </w:p>
        </w:tc>
        <w:tc>
          <w:tcPr>
            <w:tcW w:w="6237" w:type="dxa"/>
          </w:tcPr>
          <w:p w14:paraId="47116473" w14:textId="77777777" w:rsidR="00B5050A" w:rsidRPr="00687CB4" w:rsidRDefault="00B5050A" w:rsidP="00B5050A">
            <w:pPr>
              <w:spacing w:before="120" w:line="276" w:lineRule="auto"/>
              <w:jc w:val="both"/>
              <w:rPr>
                <w:rFonts w:ascii="Arial" w:eastAsia="Calibri" w:hAnsi="Arial" w:cs="Arial"/>
                <w:lang w:val="es-ES_tradnl" w:eastAsia="es-ES_tradnl"/>
              </w:rPr>
            </w:pPr>
            <w:r w:rsidRPr="00687CB4">
              <w:rPr>
                <w:rFonts w:ascii="Arial" w:eastAsia="Calibri" w:hAnsi="Arial" w:cs="Arial"/>
                <w:lang w:val="es-ES_tradnl" w:eastAsia="es-ES_tradnl"/>
              </w:rPr>
              <w:t>Respuesta a la consulta No. P20221207012068</w:t>
            </w:r>
            <w:r w:rsidRPr="00687CB4">
              <w:rPr>
                <w:rFonts w:ascii="Arial" w:eastAsia="Calibri" w:hAnsi="Arial" w:cs="Arial"/>
                <w:lang w:val="es-ES_tradnl" w:eastAsia="es-ES_tradnl"/>
              </w:rPr>
              <w:tab/>
            </w:r>
          </w:p>
        </w:tc>
      </w:tr>
    </w:tbl>
    <w:p w14:paraId="2BE5217C" w14:textId="77777777" w:rsidR="00B5050A" w:rsidRPr="00687CB4" w:rsidRDefault="00B5050A" w:rsidP="00B5050A">
      <w:pPr>
        <w:spacing w:after="0" w:line="276" w:lineRule="auto"/>
        <w:jc w:val="both"/>
        <w:rPr>
          <w:rFonts w:ascii="Arial" w:eastAsia="Calibri" w:hAnsi="Arial" w:cs="Arial"/>
          <w:szCs w:val="24"/>
          <w:lang w:val="es-ES_tradnl" w:eastAsia="es-ES_tradnl"/>
        </w:rPr>
      </w:pPr>
    </w:p>
    <w:p w14:paraId="104265BF" w14:textId="77777777" w:rsidR="00B5050A" w:rsidRPr="00687CB4" w:rsidRDefault="00B5050A" w:rsidP="00B5050A">
      <w:pPr>
        <w:spacing w:after="0" w:line="276" w:lineRule="auto"/>
        <w:jc w:val="both"/>
        <w:rPr>
          <w:rFonts w:ascii="Arial" w:eastAsia="Calibri" w:hAnsi="Arial" w:cs="Arial"/>
          <w:szCs w:val="24"/>
          <w:lang w:val="es-ES_tradnl" w:eastAsia="es-ES_tradnl"/>
        </w:rPr>
      </w:pPr>
    </w:p>
    <w:p w14:paraId="5E460B3E" w14:textId="77777777" w:rsidR="00B5050A" w:rsidRPr="00687CB4" w:rsidRDefault="00B5050A" w:rsidP="00B5050A">
      <w:pPr>
        <w:spacing w:after="0" w:line="276" w:lineRule="auto"/>
        <w:jc w:val="both"/>
        <w:rPr>
          <w:rFonts w:ascii="Arial" w:eastAsia="Calibri" w:hAnsi="Arial" w:cs="Arial"/>
          <w:szCs w:val="24"/>
          <w:lang w:val="es-ES_tradnl" w:eastAsia="es-ES_tradnl"/>
        </w:rPr>
      </w:pPr>
      <w:r w:rsidRPr="00687CB4">
        <w:rPr>
          <w:rFonts w:ascii="Arial" w:eastAsia="Calibri" w:hAnsi="Arial" w:cs="Arial"/>
          <w:szCs w:val="24"/>
          <w:lang w:val="es-ES_tradnl" w:eastAsia="es-ES_tradnl"/>
        </w:rPr>
        <w:t>Estimado señor Ortega:</w:t>
      </w:r>
    </w:p>
    <w:p w14:paraId="402A2A38" w14:textId="77777777" w:rsidR="00B5050A" w:rsidRPr="00687CB4" w:rsidRDefault="00B5050A" w:rsidP="00B5050A">
      <w:pPr>
        <w:spacing w:after="0" w:line="276" w:lineRule="auto"/>
        <w:jc w:val="both"/>
        <w:rPr>
          <w:rFonts w:ascii="Arial" w:eastAsia="Calibri" w:hAnsi="Arial" w:cs="Arial"/>
          <w:szCs w:val="24"/>
          <w:lang w:val="es-ES_tradnl" w:eastAsia="es-ES_tradnl"/>
        </w:rPr>
      </w:pPr>
    </w:p>
    <w:p w14:paraId="2CA27CAA" w14:textId="77777777" w:rsidR="00B5050A" w:rsidRPr="00687CB4" w:rsidRDefault="00B5050A" w:rsidP="00B5050A">
      <w:pPr>
        <w:spacing w:after="0" w:line="276" w:lineRule="auto"/>
        <w:jc w:val="both"/>
        <w:rPr>
          <w:rFonts w:ascii="Arial" w:eastAsia="Calibri" w:hAnsi="Arial" w:cs="Arial"/>
          <w:szCs w:val="24"/>
          <w:lang w:val="es-ES_tradnl" w:eastAsia="es-ES_tradnl"/>
        </w:rPr>
      </w:pPr>
      <w:r w:rsidRPr="00687CB4">
        <w:rPr>
          <w:rFonts w:ascii="Arial" w:eastAsia="Calibri" w:hAnsi="Arial" w:cs="Arial"/>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07 de diciembre de 2022. </w:t>
      </w:r>
    </w:p>
    <w:p w14:paraId="709542D2" w14:textId="77777777" w:rsidR="00B5050A" w:rsidRPr="00687CB4" w:rsidRDefault="00B5050A" w:rsidP="00B5050A">
      <w:pPr>
        <w:spacing w:after="0" w:line="276" w:lineRule="auto"/>
        <w:jc w:val="both"/>
        <w:rPr>
          <w:rFonts w:ascii="Arial" w:eastAsia="Calibri" w:hAnsi="Arial" w:cs="Arial"/>
          <w:b/>
          <w:szCs w:val="24"/>
          <w:lang w:val="es-ES_tradnl" w:eastAsia="es-ES_tradnl"/>
        </w:rPr>
      </w:pPr>
    </w:p>
    <w:p w14:paraId="293173EB" w14:textId="14A36241" w:rsidR="00B5050A" w:rsidRPr="00687CB4" w:rsidRDefault="00913B6C" w:rsidP="0016707D">
      <w:pPr>
        <w:spacing w:after="0"/>
        <w:rPr>
          <w:rFonts w:ascii="Arial" w:hAnsi="Arial" w:cs="Arial"/>
          <w:b/>
          <w:bCs/>
          <w:lang w:val="es-ES_tradnl"/>
        </w:rPr>
      </w:pPr>
      <w:r w:rsidRPr="00687CB4">
        <w:rPr>
          <w:rFonts w:ascii="Arial" w:hAnsi="Arial" w:cs="Arial"/>
          <w:b/>
          <w:bCs/>
          <w:lang w:val="es-ES_tradnl"/>
        </w:rPr>
        <w:t xml:space="preserve">1. </w:t>
      </w:r>
      <w:r w:rsidR="00B5050A" w:rsidRPr="00687CB4">
        <w:rPr>
          <w:rFonts w:ascii="Arial" w:hAnsi="Arial" w:cs="Arial"/>
          <w:b/>
          <w:bCs/>
          <w:lang w:val="es-ES_tradnl"/>
        </w:rPr>
        <w:t xml:space="preserve">Problema planteado </w:t>
      </w:r>
    </w:p>
    <w:p w14:paraId="6938BB23" w14:textId="77777777" w:rsidR="00B5050A" w:rsidRPr="00687CB4" w:rsidRDefault="00B5050A" w:rsidP="0016707D">
      <w:pPr>
        <w:tabs>
          <w:tab w:val="left" w:pos="426"/>
        </w:tabs>
        <w:spacing w:after="0" w:line="276" w:lineRule="auto"/>
        <w:jc w:val="both"/>
        <w:rPr>
          <w:rFonts w:ascii="Arial" w:eastAsia="Calibri" w:hAnsi="Arial" w:cs="Arial"/>
          <w:b/>
          <w:szCs w:val="24"/>
          <w:lang w:val="es-ES_tradnl" w:eastAsia="es-ES_tradnl"/>
        </w:rPr>
      </w:pPr>
    </w:p>
    <w:p w14:paraId="40701378" w14:textId="77777777" w:rsidR="00B5050A" w:rsidRPr="00687CB4" w:rsidRDefault="00B5050A" w:rsidP="00B5050A">
      <w:pPr>
        <w:autoSpaceDE w:val="0"/>
        <w:autoSpaceDN w:val="0"/>
        <w:adjustRightInd w:val="0"/>
        <w:spacing w:after="0" w:line="276" w:lineRule="auto"/>
        <w:jc w:val="both"/>
        <w:rPr>
          <w:rFonts w:ascii="Arial" w:eastAsia="Calibri" w:hAnsi="Arial" w:cs="Arial"/>
          <w:lang w:val="es-ES_tradnl" w:eastAsia="es-ES_tradnl"/>
        </w:rPr>
      </w:pPr>
      <w:r w:rsidRPr="00687CB4">
        <w:rPr>
          <w:rFonts w:ascii="Arial" w:eastAsia="Times New Roman" w:hAnsi="Arial" w:cs="Arial"/>
          <w:lang w:val="es-ES_tradnl" w:eastAsia="es-ES_tradnl"/>
        </w:rPr>
        <w:t>Usted realiza la siguiente consulta:</w:t>
      </w:r>
    </w:p>
    <w:p w14:paraId="26A7AFB2" w14:textId="77777777" w:rsidR="00B5050A" w:rsidRPr="00687CB4" w:rsidRDefault="00B5050A" w:rsidP="00B5050A">
      <w:pPr>
        <w:autoSpaceDE w:val="0"/>
        <w:autoSpaceDN w:val="0"/>
        <w:adjustRightInd w:val="0"/>
        <w:spacing w:after="0" w:line="276" w:lineRule="auto"/>
        <w:jc w:val="both"/>
        <w:rPr>
          <w:rFonts w:ascii="Arial" w:eastAsia="Calibri" w:hAnsi="Arial" w:cs="Arial"/>
          <w:lang w:val="es-ES_tradnl" w:eastAsia="es-ES_tradnl"/>
        </w:rPr>
      </w:pPr>
    </w:p>
    <w:p w14:paraId="0A0C15FC" w14:textId="77777777" w:rsidR="00B5050A" w:rsidRPr="00687CB4" w:rsidRDefault="00B5050A" w:rsidP="00B5050A">
      <w:pPr>
        <w:autoSpaceDE w:val="0"/>
        <w:autoSpaceDN w:val="0"/>
        <w:adjustRightInd w:val="0"/>
        <w:spacing w:after="0" w:line="240" w:lineRule="auto"/>
        <w:ind w:left="709" w:right="709"/>
        <w:jc w:val="both"/>
        <w:rPr>
          <w:rFonts w:ascii="Arial" w:eastAsia="Calibri" w:hAnsi="Arial" w:cs="Arial"/>
          <w:sz w:val="21"/>
          <w:szCs w:val="21"/>
        </w:rPr>
      </w:pPr>
      <w:r w:rsidRPr="00687CB4">
        <w:rPr>
          <w:rFonts w:ascii="Arial" w:eastAsia="Calibri" w:hAnsi="Arial" w:cs="Arial"/>
          <w:sz w:val="21"/>
          <w:szCs w:val="21"/>
        </w:rPr>
        <w:t>«Durante la ejecución de un contrato con vigencias futuras además de realizar adiciones presupuestales también se ha realizado reducción del valor del contrato en atención a la devolución de recursos no ejecutados al finalizar cada vigencia fiscal.</w:t>
      </w:r>
    </w:p>
    <w:p w14:paraId="0CB4219E" w14:textId="4FEAD43D" w:rsidR="00B5050A" w:rsidRPr="00687CB4" w:rsidRDefault="00B5050A" w:rsidP="00B5050A">
      <w:pPr>
        <w:autoSpaceDE w:val="0"/>
        <w:autoSpaceDN w:val="0"/>
        <w:adjustRightInd w:val="0"/>
        <w:spacing w:before="120" w:after="0" w:line="240" w:lineRule="auto"/>
        <w:ind w:left="709" w:right="709"/>
        <w:jc w:val="both"/>
        <w:rPr>
          <w:rFonts w:ascii="Arial" w:eastAsia="Times New Roman" w:hAnsi="Arial" w:cs="Arial"/>
          <w:sz w:val="21"/>
          <w:szCs w:val="21"/>
          <w:lang w:eastAsia="es-ES"/>
        </w:rPr>
      </w:pPr>
      <w:r w:rsidRPr="00687CB4">
        <w:rPr>
          <w:rFonts w:ascii="Arial" w:eastAsia="Times New Roman" w:hAnsi="Arial" w:cs="Arial"/>
          <w:sz w:val="21"/>
          <w:szCs w:val="21"/>
          <w:lang w:eastAsia="es-ES"/>
        </w:rPr>
        <w:t>Es claro para todos que el límite para adicionar presupuestalmente en un contrato estatal es del 50% de su valor inicial expresado en SMMLV, sin embargo, no se tiene una claridad sobre la forma en que se deben tomar los SMMLV correspondientes a las reducciones de los contratos; se deberían sumar o restar los SMMLV correspondientes a las reducciones para calcular el 50%?</w:t>
      </w:r>
    </w:p>
    <w:p w14:paraId="757A5F4B" w14:textId="77777777" w:rsidR="00B5050A" w:rsidRPr="00687CB4" w:rsidRDefault="00B5050A" w:rsidP="00B5050A">
      <w:pPr>
        <w:autoSpaceDE w:val="0"/>
        <w:autoSpaceDN w:val="0"/>
        <w:adjustRightInd w:val="0"/>
        <w:spacing w:before="120" w:after="0" w:line="240" w:lineRule="auto"/>
        <w:ind w:left="709" w:right="709"/>
        <w:jc w:val="both"/>
        <w:rPr>
          <w:rFonts w:ascii="Arial" w:eastAsia="Times New Roman" w:hAnsi="Arial" w:cs="Arial"/>
          <w:sz w:val="21"/>
          <w:szCs w:val="21"/>
          <w:lang w:eastAsia="es-ES_tradnl"/>
        </w:rPr>
      </w:pPr>
      <w:r w:rsidRPr="00687CB4">
        <w:rPr>
          <w:rFonts w:ascii="Arial" w:eastAsia="Times New Roman" w:hAnsi="Arial" w:cs="Arial"/>
          <w:sz w:val="21"/>
          <w:szCs w:val="21"/>
          <w:lang w:eastAsia="es-ES_tradnl"/>
        </w:rPr>
        <w:lastRenderedPageBreak/>
        <w:t xml:space="preserve">Por lo expuesto, solicito respetuosamente, emitir concepto acerca de la afectación de estas reducciones presupuestales para el </w:t>
      </w:r>
      <w:proofErr w:type="spellStart"/>
      <w:r w:rsidRPr="00687CB4">
        <w:rPr>
          <w:rFonts w:ascii="Arial" w:eastAsia="Times New Roman" w:hAnsi="Arial" w:cs="Arial"/>
          <w:sz w:val="21"/>
          <w:szCs w:val="21"/>
          <w:lang w:eastAsia="es-ES_tradnl"/>
        </w:rPr>
        <w:t>calculo</w:t>
      </w:r>
      <w:proofErr w:type="spellEnd"/>
      <w:r w:rsidRPr="00687CB4">
        <w:rPr>
          <w:rFonts w:ascii="Arial" w:eastAsia="Times New Roman" w:hAnsi="Arial" w:cs="Arial"/>
          <w:sz w:val="21"/>
          <w:szCs w:val="21"/>
          <w:lang w:eastAsia="es-ES_tradnl"/>
        </w:rPr>
        <w:t xml:space="preserve"> de lo expresado en el parágrafo del </w:t>
      </w:r>
      <w:proofErr w:type="spellStart"/>
      <w:r w:rsidRPr="00687CB4">
        <w:rPr>
          <w:rFonts w:ascii="Arial" w:eastAsia="Times New Roman" w:hAnsi="Arial" w:cs="Arial"/>
          <w:sz w:val="21"/>
          <w:szCs w:val="21"/>
          <w:lang w:eastAsia="es-ES_tradnl"/>
        </w:rPr>
        <w:t>articulo</w:t>
      </w:r>
      <w:proofErr w:type="spellEnd"/>
      <w:r w:rsidRPr="00687CB4">
        <w:rPr>
          <w:rFonts w:ascii="Arial" w:eastAsia="Times New Roman" w:hAnsi="Arial" w:cs="Arial"/>
          <w:sz w:val="21"/>
          <w:szCs w:val="21"/>
          <w:lang w:eastAsia="es-ES_tradnl"/>
        </w:rPr>
        <w:t xml:space="preserve"> 40 de la ley 80 de 1993. [sic]»</w:t>
      </w:r>
    </w:p>
    <w:p w14:paraId="72A6C996" w14:textId="77777777" w:rsidR="00B5050A" w:rsidRPr="00687CB4" w:rsidRDefault="00B5050A" w:rsidP="00B5050A">
      <w:pPr>
        <w:autoSpaceDE w:val="0"/>
        <w:autoSpaceDN w:val="0"/>
        <w:adjustRightInd w:val="0"/>
        <w:spacing w:after="0" w:line="276" w:lineRule="auto"/>
        <w:ind w:right="709"/>
        <w:jc w:val="both"/>
        <w:rPr>
          <w:rFonts w:ascii="Arial" w:eastAsia="Times New Roman" w:hAnsi="Arial" w:cs="Arial"/>
          <w:b/>
          <w:bCs/>
          <w:lang w:eastAsia="es-ES_tradnl"/>
        </w:rPr>
      </w:pPr>
    </w:p>
    <w:p w14:paraId="03907DC0" w14:textId="4A8B9082" w:rsidR="00B5050A" w:rsidRPr="00687CB4" w:rsidRDefault="00913B6C" w:rsidP="0016707D">
      <w:pPr>
        <w:spacing w:after="0"/>
        <w:rPr>
          <w:rFonts w:ascii="Arial" w:hAnsi="Arial" w:cs="Arial"/>
          <w:b/>
          <w:bCs/>
          <w:lang w:val="es-ES_tradnl"/>
        </w:rPr>
      </w:pPr>
      <w:r w:rsidRPr="00687CB4">
        <w:rPr>
          <w:rFonts w:ascii="Arial" w:hAnsi="Arial" w:cs="Arial"/>
          <w:b/>
          <w:bCs/>
          <w:lang w:val="es-ES_tradnl"/>
        </w:rPr>
        <w:t xml:space="preserve">2. </w:t>
      </w:r>
      <w:r w:rsidR="00B5050A" w:rsidRPr="00687CB4">
        <w:rPr>
          <w:rFonts w:ascii="Arial" w:hAnsi="Arial" w:cs="Arial"/>
          <w:b/>
          <w:bCs/>
          <w:lang w:val="es-ES_tradnl"/>
        </w:rPr>
        <w:t>Consideraciones</w:t>
      </w:r>
    </w:p>
    <w:p w14:paraId="5934E4C6" w14:textId="77777777" w:rsidR="00B5050A" w:rsidRPr="00687CB4" w:rsidRDefault="00B5050A" w:rsidP="0016707D">
      <w:pPr>
        <w:spacing w:after="0" w:line="276" w:lineRule="auto"/>
        <w:jc w:val="both"/>
        <w:rPr>
          <w:rFonts w:ascii="Arial" w:eastAsia="Calibri" w:hAnsi="Arial" w:cs="Arial"/>
          <w:lang w:val="es-ES_tradnl" w:eastAsia="es-ES_tradnl"/>
        </w:rPr>
      </w:pPr>
    </w:p>
    <w:p w14:paraId="0DF35369" w14:textId="7D714E2C" w:rsidR="00B5050A" w:rsidRPr="00687CB4" w:rsidRDefault="7D81019E" w:rsidP="64550528">
      <w:pPr>
        <w:tabs>
          <w:tab w:val="left" w:pos="426"/>
        </w:tabs>
        <w:spacing w:line="276" w:lineRule="auto"/>
        <w:jc w:val="both"/>
        <w:rPr>
          <w:rFonts w:ascii="Arial" w:eastAsia="Geomanist Light" w:hAnsi="Arial" w:cs="Arial"/>
        </w:rPr>
      </w:pPr>
      <w:r w:rsidRPr="00687CB4">
        <w:rPr>
          <w:rFonts w:ascii="Arial" w:eastAsia="Geomanist Light" w:hAnsi="Arial" w:cs="Arial"/>
        </w:rPr>
        <w:t xml:space="preserve"> 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EE09304" w14:textId="099DFAA9" w:rsidR="00B5050A" w:rsidRPr="00687CB4" w:rsidRDefault="7541169C" w:rsidP="00687CB4">
      <w:pPr>
        <w:spacing w:before="120" w:after="0" w:line="276" w:lineRule="auto"/>
        <w:ind w:firstLine="708"/>
        <w:jc w:val="both"/>
        <w:rPr>
          <w:rFonts w:ascii="Arial" w:eastAsia="Geomanist Light" w:hAnsi="Arial" w:cs="Arial"/>
          <w:lang w:val="es-ES"/>
        </w:rPr>
      </w:pPr>
      <w:r w:rsidRPr="00687CB4">
        <w:rPr>
          <w:rFonts w:ascii="Arial" w:eastAsia="Geomanist Light" w:hAnsi="Arial" w:cs="Arial"/>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w:t>
      </w:r>
      <w:r w:rsidRPr="00687CB4">
        <w:rPr>
          <w:rFonts w:ascii="Arial" w:eastAsia="Geomanist Light" w:hAnsi="Arial" w:cs="Arial"/>
          <w:color w:val="000000" w:themeColor="text1"/>
          <w:lang w:val="es-ES"/>
        </w:rPr>
        <w:t xml:space="preserve">ni para </w:t>
      </w:r>
      <w:r w:rsidRPr="00687CB4">
        <w:rPr>
          <w:rFonts w:ascii="Arial" w:eastAsia="Geomanist Light" w:hAnsi="Arial" w:cs="Arial"/>
          <w:lang w:val="es-ES"/>
        </w:rPr>
        <w:t xml:space="preserve">brindar asesorías sobre los lineamientos y especificaciones técnicas que seguir una entidad para celebrar los convenios </w:t>
      </w:r>
      <w:r w:rsidRPr="00687CB4">
        <w:rPr>
          <w:rFonts w:ascii="Arial" w:eastAsia="Geomanist Light" w:hAnsi="Arial" w:cs="Arial"/>
          <w:color w:val="000000" w:themeColor="text1"/>
          <w:lang w:val="es-ES"/>
        </w:rPr>
        <w:t>regulados en el artículo 95 de la Ley 2166 de 2021, lo cual le corresponde a las instancias directivas y</w:t>
      </w:r>
      <w:r w:rsidRPr="00687CB4">
        <w:rPr>
          <w:rFonts w:ascii="Arial" w:eastAsia="Geomanist Light" w:hAnsi="Arial" w:cs="Arial"/>
          <w:lang w:val="es-ES"/>
        </w:rPr>
        <w:t xml:space="preserve"> órganos asesores de la entidad que adelanta el procedimiento de contratación.</w:t>
      </w:r>
    </w:p>
    <w:p w14:paraId="02E39DA2" w14:textId="3E64CF7F" w:rsidR="00B5050A" w:rsidRPr="00687CB4" w:rsidRDefault="00B5050A" w:rsidP="00B5050A">
      <w:pPr>
        <w:spacing w:before="120" w:after="0" w:line="276" w:lineRule="auto"/>
        <w:ind w:firstLine="709"/>
        <w:jc w:val="both"/>
        <w:rPr>
          <w:rFonts w:ascii="Arial" w:eastAsia="Calibri" w:hAnsi="Arial" w:cs="Arial"/>
          <w:lang w:val="es-ES"/>
        </w:rPr>
      </w:pPr>
      <w:r w:rsidRPr="00687CB4">
        <w:rPr>
          <w:rFonts w:ascii="Arial" w:eastAsia="Calibri" w:hAnsi="Arial" w:cs="Arial"/>
          <w:lang w:val="es-ES"/>
        </w:rPr>
        <w:t>En este contexto, l</w:t>
      </w:r>
      <w:r w:rsidRPr="00687CB4">
        <w:rPr>
          <w:rFonts w:ascii="Arial" w:eastAsia="Calibri" w:hAnsi="Arial" w:cs="Arial"/>
          <w:color w:val="000000"/>
          <w:lang w:val="es-ES"/>
        </w:rPr>
        <w:t xml:space="preserve">a </w:t>
      </w:r>
      <w:r w:rsidRPr="00687CB4">
        <w:rPr>
          <w:rFonts w:ascii="Arial" w:eastAsia="Calibri" w:hAnsi="Arial" w:cs="Arial"/>
          <w:color w:val="000000"/>
          <w:lang w:val="es-ES_tradnl"/>
        </w:rPr>
        <w:t xml:space="preserve">Agencia Nacional de Contratación Pública – Colombia Compra Eficiente, </w:t>
      </w:r>
      <w:r w:rsidRPr="00687CB4">
        <w:rPr>
          <w:rFonts w:ascii="Arial" w:eastAsia="Calibri" w:hAnsi="Arial" w:cs="Arial"/>
          <w:color w:val="000000"/>
          <w:lang w:val="es-ES"/>
        </w:rPr>
        <w:t>dentro de los límites de sus atribuciones, resolverá la consulta conforme a las normas generales en materia de contratación estatal</w:t>
      </w:r>
      <w:r w:rsidRPr="00687CB4">
        <w:rPr>
          <w:rFonts w:ascii="Arial" w:eastAsia="Calibri" w:hAnsi="Arial" w:cs="Arial"/>
          <w:bCs/>
          <w:color w:val="000000"/>
          <w:lang w:val="es-ES"/>
        </w:rPr>
        <w:t xml:space="preserve">. </w:t>
      </w:r>
      <w:r w:rsidRPr="00687CB4">
        <w:rPr>
          <w:rFonts w:ascii="Arial" w:eastAsia="Calibri" w:hAnsi="Arial" w:cs="Arial"/>
          <w:bCs/>
          <w:color w:val="000000"/>
        </w:rPr>
        <w:t xml:space="preserve">Para estos efectos, </w:t>
      </w:r>
      <w:r w:rsidRPr="00687CB4">
        <w:rPr>
          <w:rFonts w:ascii="Arial" w:eastAsia="Calibri" w:hAnsi="Arial" w:cs="Arial"/>
          <w:bCs/>
          <w:color w:val="000000"/>
          <w:lang w:val="es-ES"/>
        </w:rPr>
        <w:t xml:space="preserve">se analizará los siguientes temas: i) </w:t>
      </w:r>
      <w:r w:rsidRPr="00687CB4">
        <w:rPr>
          <w:rFonts w:ascii="Arial" w:eastAsia="Calibri" w:hAnsi="Arial" w:cs="Arial"/>
          <w:bCs/>
          <w:color w:val="000000"/>
          <w:lang w:val="es-ES_tradnl"/>
        </w:rPr>
        <w:t xml:space="preserve">modificación del contrato estatal y, </w:t>
      </w:r>
      <w:proofErr w:type="spellStart"/>
      <w:r w:rsidRPr="00687CB4">
        <w:rPr>
          <w:rFonts w:ascii="Arial" w:eastAsia="Calibri" w:hAnsi="Arial" w:cs="Arial"/>
          <w:bCs/>
          <w:color w:val="000000"/>
          <w:lang w:val="es-ES_tradnl"/>
        </w:rPr>
        <w:t>ii</w:t>
      </w:r>
      <w:proofErr w:type="spellEnd"/>
      <w:r w:rsidRPr="00687CB4">
        <w:rPr>
          <w:rFonts w:ascii="Arial" w:eastAsia="Calibri" w:hAnsi="Arial" w:cs="Arial"/>
          <w:bCs/>
          <w:color w:val="000000"/>
          <w:lang w:val="es-ES_tradnl"/>
        </w:rPr>
        <w:t>) adición del contrato estatal.</w:t>
      </w:r>
    </w:p>
    <w:p w14:paraId="7122F0BE" w14:textId="77777777" w:rsidR="00B5050A" w:rsidRPr="00687CB4" w:rsidRDefault="00B5050A" w:rsidP="00B5050A">
      <w:pPr>
        <w:spacing w:before="120" w:after="0" w:line="276" w:lineRule="auto"/>
        <w:ind w:firstLine="709"/>
        <w:jc w:val="both"/>
        <w:rPr>
          <w:rFonts w:ascii="Arial" w:eastAsia="Calibri" w:hAnsi="Arial" w:cs="Arial"/>
          <w:lang w:val="es-ES"/>
        </w:rPr>
      </w:pPr>
      <w:r w:rsidRPr="00687CB4">
        <w:rPr>
          <w:rFonts w:ascii="Arial" w:eastAsia="Calibri" w:hAnsi="Arial" w:cs="Arial"/>
          <w:color w:val="000000"/>
          <w:lang w:val="es-ES"/>
        </w:rPr>
        <w:t xml:space="preserve">Previamente, conviene señalar que la Agencia Nacional de Contratación Pública – Colombia Compra Eficiente se pronunció sobre la modificación a los contratos estatales en los conceptos con radicado No. 2201913000007210 del 27 de septiembre de 2019, C-062 del 25 de marzo de 2020, C-457 del 3 de septiembre de 2021, C-745 del 3 de febrero de 2022, C-663 del 13 de octubre de 2022, C-759 del 11 de noviembre de 2022 y C-784 del 21 de noviembre de 2022. De igual manera, entre otros pronunciamientos, en los conceptos C-062 del 25 de marzo de 2020, C-063 del 10 de marzo de 2021, C-277 del 21 de junio de 2021, C-411 del 17 de agosto de 2021, C-579 del 9 de noviembre de 2021, C-092 del 22 de marzo de 2022, C-152 del 1 de abril de 2022, C-784 del 21 de noviembre de 2022 y C-816 del 28 de noviembre de 2022, analizó la </w:t>
      </w:r>
      <w:r w:rsidRPr="00687CB4">
        <w:rPr>
          <w:rFonts w:ascii="Arial" w:eastAsia="Calibri" w:hAnsi="Arial" w:cs="Arial"/>
          <w:color w:val="000000"/>
          <w:lang w:val="es-ES"/>
        </w:rPr>
        <w:lastRenderedPageBreak/>
        <w:t>definición y los límites de la adición del contrato estatal</w:t>
      </w:r>
      <w:r w:rsidRPr="00687CB4">
        <w:rPr>
          <w:rFonts w:ascii="Arial" w:eastAsia="Calibri" w:hAnsi="Arial" w:cs="Arial"/>
          <w:vertAlign w:val="superscript"/>
          <w:lang w:val="es-ES"/>
        </w:rPr>
        <w:footnoteReference w:id="2"/>
      </w:r>
      <w:r w:rsidRPr="00687CB4">
        <w:rPr>
          <w:rFonts w:ascii="Arial" w:eastAsia="Calibri" w:hAnsi="Arial" w:cs="Arial"/>
          <w:color w:val="000000"/>
          <w:lang w:val="es-ES"/>
        </w:rPr>
        <w:t>. Las tesis expuestas en estos conceptos se reiteran en lo pertinente y se complementan a continuación.</w:t>
      </w:r>
    </w:p>
    <w:p w14:paraId="5D894431" w14:textId="77777777" w:rsidR="00E45807" w:rsidRDefault="00E45807" w:rsidP="0016707D">
      <w:pPr>
        <w:rPr>
          <w:rFonts w:ascii="Arial" w:hAnsi="Arial" w:cs="Arial"/>
          <w:b/>
          <w:bCs/>
          <w:lang w:val="es-ES" w:eastAsia="es-ES" w:bidi="es-ES"/>
        </w:rPr>
      </w:pPr>
    </w:p>
    <w:p w14:paraId="4F3CB005" w14:textId="747F9523" w:rsidR="00B5050A" w:rsidRPr="00687CB4" w:rsidRDefault="0016707D" w:rsidP="0016707D">
      <w:pPr>
        <w:rPr>
          <w:rFonts w:ascii="Arial" w:hAnsi="Arial" w:cs="Arial"/>
          <w:b/>
          <w:bCs/>
          <w:lang w:val="es-ES" w:eastAsia="es-ES" w:bidi="es-ES"/>
        </w:rPr>
      </w:pPr>
      <w:r w:rsidRPr="00687CB4">
        <w:rPr>
          <w:rFonts w:ascii="Arial" w:hAnsi="Arial" w:cs="Arial"/>
          <w:b/>
          <w:bCs/>
          <w:lang w:val="es-ES" w:eastAsia="es-ES" w:bidi="es-ES"/>
        </w:rPr>
        <w:t xml:space="preserve">2.1. </w:t>
      </w:r>
      <w:r w:rsidR="00B5050A" w:rsidRPr="00687CB4">
        <w:rPr>
          <w:rFonts w:ascii="Arial" w:hAnsi="Arial" w:cs="Arial"/>
          <w:b/>
          <w:bCs/>
          <w:lang w:val="es-ES" w:eastAsia="es-ES" w:bidi="es-ES"/>
        </w:rPr>
        <w:t>Modificación del contrato estatal. Concepto y límites</w:t>
      </w:r>
    </w:p>
    <w:p w14:paraId="6639921F" w14:textId="77777777" w:rsidR="00B5050A" w:rsidRPr="00687CB4" w:rsidRDefault="00B5050A" w:rsidP="00B5050A">
      <w:pPr>
        <w:widowControl w:val="0"/>
        <w:autoSpaceDE w:val="0"/>
        <w:autoSpaceDN w:val="0"/>
        <w:spacing w:after="0" w:line="276" w:lineRule="auto"/>
        <w:ind w:left="720" w:right="108"/>
        <w:jc w:val="both"/>
        <w:rPr>
          <w:rFonts w:ascii="Arial" w:eastAsia="Arial" w:hAnsi="Arial" w:cs="Arial"/>
          <w:b/>
          <w:lang w:val="es-ES" w:eastAsia="es-ES" w:bidi="es-ES"/>
        </w:rPr>
      </w:pPr>
    </w:p>
    <w:p w14:paraId="49A79517" w14:textId="5DCCB99B" w:rsidR="00B5050A" w:rsidRPr="00687CB4" w:rsidRDefault="00B5050A" w:rsidP="00B5050A">
      <w:pPr>
        <w:widowControl w:val="0"/>
        <w:autoSpaceDE w:val="0"/>
        <w:autoSpaceDN w:val="0"/>
        <w:spacing w:after="120" w:line="276" w:lineRule="auto"/>
        <w:ind w:right="-2"/>
        <w:jc w:val="both"/>
        <w:rPr>
          <w:rFonts w:ascii="Arial" w:eastAsia="Arial" w:hAnsi="Arial" w:cs="Arial"/>
          <w:lang w:val="es-ES" w:eastAsia="es-ES" w:bidi="es-ES"/>
        </w:rPr>
      </w:pPr>
      <w:r w:rsidRPr="00687CB4">
        <w:rPr>
          <w:rFonts w:ascii="Arial" w:eastAsia="Arial" w:hAnsi="Arial" w:cs="Arial"/>
          <w:lang w:val="es-ES" w:eastAsia="es-ES" w:bidi="es-ES"/>
        </w:rPr>
        <w:t>El Estatuto General de Contratación de la Administración Pública</w:t>
      </w:r>
      <w:r w:rsidR="3F8DB0EA" w:rsidRPr="00687CB4">
        <w:rPr>
          <w:rFonts w:ascii="Arial" w:eastAsia="Arial" w:hAnsi="Arial" w:cs="Arial"/>
          <w:lang w:val="es-ES" w:eastAsia="es-ES" w:bidi="es-ES"/>
        </w:rPr>
        <w:t xml:space="preserve"> - EGCAP</w:t>
      </w:r>
      <w:r w:rsidRPr="00687CB4">
        <w:rPr>
          <w:rFonts w:ascii="Arial" w:eastAsia="Arial" w:hAnsi="Arial" w:cs="Arial"/>
          <w:lang w:val="es-ES" w:eastAsia="es-ES" w:bidi="es-ES"/>
        </w:rPr>
        <w:t>, contenido en las Leyes 80 de 1993 y 1150 de 2007, así como en las normas que las han modificado y las complementan, no consagran una regulación expresa sobre la posibilidad de modificar bilateralmente los contratos celebrados por las entidades estatales. Ello encuentra sustento en que, en principio, los contratos deben ejecutarse en las condiciones pactadas inicialmente, pues tales condiciones fueron convenidas luego de que la entidad pública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el artículo 40 de la Ley 80 de 1993</w:t>
      </w:r>
      <w:r w:rsidRPr="00687CB4">
        <w:rPr>
          <w:rFonts w:ascii="Arial" w:eastAsia="Arial" w:hAnsi="Arial" w:cs="Arial"/>
          <w:vertAlign w:val="superscript"/>
          <w:lang w:val="es-MX" w:eastAsia="es-ES" w:bidi="es-ES"/>
        </w:rPr>
        <w:footnoteReference w:id="3"/>
      </w:r>
      <w:r w:rsidRPr="00687CB4">
        <w:rPr>
          <w:rFonts w:ascii="Arial" w:eastAsia="Arial" w:hAnsi="Arial" w:cs="Arial"/>
          <w:lang w:val="es-ES" w:eastAsia="es-ES" w:bidi="es-ES"/>
        </w:rPr>
        <w:t>.</w:t>
      </w:r>
      <w:r w:rsidRPr="00687CB4">
        <w:rPr>
          <w:rFonts w:ascii="Arial" w:eastAsia="Arial" w:hAnsi="Arial" w:cs="Arial"/>
          <w:lang w:val="es-MX" w:eastAsia="es-ES" w:bidi="es-ES"/>
        </w:rPr>
        <w:t xml:space="preserve"> </w:t>
      </w:r>
    </w:p>
    <w:p w14:paraId="3D0F676D" w14:textId="77777777" w:rsidR="00B5050A" w:rsidRPr="00687CB4" w:rsidRDefault="00B5050A" w:rsidP="00B5050A">
      <w:pPr>
        <w:widowControl w:val="0"/>
        <w:autoSpaceDE w:val="0"/>
        <w:autoSpaceDN w:val="0"/>
        <w:spacing w:after="0" w:line="276" w:lineRule="auto"/>
        <w:ind w:right="-2" w:firstLine="709"/>
        <w:jc w:val="both"/>
        <w:rPr>
          <w:rFonts w:ascii="Arial" w:eastAsia="Arial" w:hAnsi="Arial" w:cs="Arial"/>
          <w:lang w:val="es-ES" w:eastAsia="es-ES" w:bidi="es-ES"/>
        </w:rPr>
      </w:pPr>
      <w:r w:rsidRPr="00687CB4">
        <w:rPr>
          <w:rFonts w:ascii="Arial" w:eastAsia="Arial" w:hAnsi="Arial" w:cs="Arial"/>
          <w:lang w:val="es-ES" w:eastAsia="es-ES" w:bidi="es-ES"/>
        </w:rPr>
        <w:t>Ahora bien, 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cuenta las particularidades de cada caso, si resulta procedente suscribir documentos de modificación a los contratos que ha celebrado. Así, por ejemplo, la Corte Constitucional, mediante sentencia C-416 de 2012</w:t>
      </w:r>
      <w:r w:rsidRPr="00687CB4">
        <w:rPr>
          <w:rFonts w:ascii="Arial" w:eastAsia="Arial" w:hAnsi="Arial" w:cs="Arial"/>
          <w:vertAlign w:val="superscript"/>
          <w:lang w:val="es-ES" w:eastAsia="es-ES" w:bidi="es-ES"/>
        </w:rPr>
        <w:footnoteReference w:id="4"/>
      </w:r>
      <w:r w:rsidRPr="00687CB4">
        <w:rPr>
          <w:rFonts w:ascii="Arial" w:eastAsia="Arial" w:hAnsi="Arial" w:cs="Arial"/>
          <w:lang w:val="es-ES" w:eastAsia="es-ES" w:bidi="es-ES"/>
        </w:rPr>
        <w:t>, expresó lo siguiente sobre la posibilidad de modificar los contratos estatales:</w:t>
      </w:r>
    </w:p>
    <w:p w14:paraId="12FF92CC" w14:textId="77777777" w:rsidR="00B5050A" w:rsidRPr="00687CB4" w:rsidRDefault="00B5050A" w:rsidP="00B5050A">
      <w:pPr>
        <w:widowControl w:val="0"/>
        <w:autoSpaceDE w:val="0"/>
        <w:autoSpaceDN w:val="0"/>
        <w:spacing w:after="0" w:line="276" w:lineRule="auto"/>
        <w:ind w:left="102" w:right="102" w:firstLine="607"/>
        <w:jc w:val="both"/>
        <w:rPr>
          <w:rFonts w:ascii="Arial" w:eastAsia="Arial" w:hAnsi="Arial" w:cs="Arial"/>
          <w:lang w:val="es-ES" w:eastAsia="es-ES" w:bidi="es-ES"/>
        </w:rPr>
      </w:pPr>
    </w:p>
    <w:p w14:paraId="71AF598C" w14:textId="77777777" w:rsidR="00B5050A" w:rsidRPr="00687CB4" w:rsidRDefault="00B5050A" w:rsidP="00B5050A">
      <w:pPr>
        <w:widowControl w:val="0"/>
        <w:autoSpaceDE w:val="0"/>
        <w:autoSpaceDN w:val="0"/>
        <w:spacing w:after="0" w:line="276" w:lineRule="auto"/>
        <w:ind w:left="708" w:right="849"/>
        <w:jc w:val="both"/>
        <w:rPr>
          <w:rFonts w:ascii="Arial" w:eastAsia="Arial" w:hAnsi="Arial" w:cs="Arial"/>
          <w:sz w:val="21"/>
          <w:szCs w:val="21"/>
          <w:lang w:val="es-ES" w:eastAsia="es-ES" w:bidi="es-ES"/>
        </w:rPr>
      </w:pPr>
      <w:r w:rsidRPr="00687CB4">
        <w:rPr>
          <w:rFonts w:ascii="Arial" w:eastAsia="Arial" w:hAnsi="Arial" w:cs="Arial"/>
          <w:sz w:val="21"/>
          <w:szCs w:val="21"/>
          <w:lang w:val="es-ES" w:eastAsia="es-ES" w:bidi="es-ES"/>
        </w:rPr>
        <w:t>«Por regla general, los contratos estatales pueden ser modificados cuando sea necesario para lograr su finalidad y en aras de la realización de los fines del Estado, a los cuales sirve el contrato.</w:t>
      </w:r>
      <w:r w:rsidRPr="00687CB4">
        <w:rPr>
          <w:rFonts w:ascii="Arial" w:eastAsia="Arial" w:hAnsi="Arial" w:cs="Arial"/>
          <w:sz w:val="21"/>
          <w:szCs w:val="21"/>
          <w:vertAlign w:val="superscript"/>
          <w:lang w:val="es-ES" w:eastAsia="es-ES" w:bidi="es-ES"/>
        </w:rPr>
        <w:footnoteReference w:id="5"/>
      </w:r>
      <w:r w:rsidRPr="00687CB4">
        <w:rPr>
          <w:rFonts w:ascii="Arial" w:eastAsia="Arial" w:hAnsi="Arial" w:cs="Arial"/>
          <w:sz w:val="21"/>
          <w:szCs w:val="21"/>
          <w:lang w:val="es-ES" w:eastAsia="es-ES" w:bidi="es-ES"/>
        </w:rPr>
        <w:t xml:space="preserve"> Así lo prevén por ejemplo los artículos 14 y 16 de la ley 80, los cuales facultan a la entidades contratantes a modificar los contratos de común acuerdo o de forma unilateral, para </w:t>
      </w:r>
      <w:r w:rsidRPr="00687CB4">
        <w:rPr>
          <w:rFonts w:ascii="Arial" w:eastAsia="Arial" w:hAnsi="Arial" w:cs="Arial"/>
          <w:sz w:val="21"/>
          <w:szCs w:val="21"/>
          <w:lang w:val="es-MX" w:eastAsia="es-ES" w:bidi="es-ES"/>
        </w:rPr>
        <w:t>«</w:t>
      </w:r>
      <w:r w:rsidRPr="00687CB4">
        <w:rPr>
          <w:rFonts w:ascii="Arial" w:eastAsia="Arial" w:hAnsi="Arial" w:cs="Arial"/>
          <w:sz w:val="21"/>
          <w:szCs w:val="21"/>
          <w:lang w:val="es-ES" w:eastAsia="es-ES" w:bidi="es-ES"/>
        </w:rPr>
        <w:t xml:space="preserve">[…] evitar la paralización o la afectación grave de los servicios públicos a su cargo y asegurar la inmediata, continua y adecuada prestación”, entre otros. En el mismo sentido, en la sentencia C-949 de </w:t>
      </w:r>
      <w:r w:rsidRPr="00687CB4">
        <w:rPr>
          <w:rFonts w:ascii="Arial" w:eastAsia="Arial" w:hAnsi="Arial" w:cs="Arial"/>
          <w:sz w:val="21"/>
          <w:szCs w:val="21"/>
          <w:lang w:val="es-ES" w:eastAsia="es-ES" w:bidi="es-ES"/>
        </w:rPr>
        <w:lastRenderedPageBreak/>
        <w:t>2001</w:t>
      </w:r>
      <w:r w:rsidRPr="00687CB4">
        <w:rPr>
          <w:rFonts w:ascii="Arial" w:eastAsia="Arial" w:hAnsi="Arial" w:cs="Arial"/>
          <w:sz w:val="21"/>
          <w:szCs w:val="21"/>
          <w:vertAlign w:val="superscript"/>
          <w:lang w:val="es-ES" w:eastAsia="es-ES" w:bidi="es-ES"/>
        </w:rPr>
        <w:footnoteReference w:id="6"/>
      </w:r>
      <w:r w:rsidRPr="00687CB4">
        <w:rPr>
          <w:rFonts w:ascii="Arial" w:eastAsia="Arial" w:hAnsi="Arial" w:cs="Arial"/>
          <w:sz w:val="21"/>
          <w:szCs w:val="21"/>
          <w:lang w:val="es-ES" w:eastAsia="es-ES" w:bidi="es-ES"/>
        </w:rPr>
        <w:t>, la Corte Constitucional señaló que las prórrogas de los contratos –como especie de modificación– pueden ser un instrumento útil para lograr los fines propios de la contratación estatal.</w:t>
      </w:r>
      <w:r w:rsidRPr="00687CB4">
        <w:rPr>
          <w:rFonts w:ascii="Arial" w:eastAsia="Arial" w:hAnsi="Arial" w:cs="Arial"/>
          <w:sz w:val="21"/>
          <w:szCs w:val="21"/>
          <w:vertAlign w:val="superscript"/>
          <w:lang w:val="es-ES" w:eastAsia="es-ES" w:bidi="es-ES"/>
        </w:rPr>
        <w:footnoteReference w:id="7"/>
      </w:r>
    </w:p>
    <w:p w14:paraId="6F0B4DF6" w14:textId="77777777" w:rsidR="00B5050A" w:rsidRPr="00687CB4" w:rsidRDefault="00B5050A" w:rsidP="00B5050A">
      <w:pPr>
        <w:widowControl w:val="0"/>
        <w:autoSpaceDE w:val="0"/>
        <w:autoSpaceDN w:val="0"/>
        <w:spacing w:after="0" w:line="276" w:lineRule="auto"/>
        <w:ind w:left="100" w:right="849" w:firstLine="608"/>
        <w:jc w:val="both"/>
        <w:rPr>
          <w:rFonts w:ascii="Arial" w:eastAsia="Arial" w:hAnsi="Arial" w:cs="Arial"/>
          <w:sz w:val="21"/>
          <w:szCs w:val="21"/>
          <w:lang w:val="es-ES" w:eastAsia="es-ES" w:bidi="es-ES"/>
        </w:rPr>
      </w:pPr>
      <w:r w:rsidRPr="00687CB4">
        <w:rPr>
          <w:rFonts w:ascii="Arial" w:eastAsia="Arial" w:hAnsi="Arial" w:cs="Arial"/>
          <w:sz w:val="21"/>
          <w:szCs w:val="21"/>
          <w:lang w:val="es-ES" w:eastAsia="es-ES" w:bidi="es-ES"/>
        </w:rPr>
        <w:t>[…]</w:t>
      </w:r>
    </w:p>
    <w:p w14:paraId="1FBACB2F" w14:textId="77777777" w:rsidR="00B5050A" w:rsidRPr="00687CB4" w:rsidRDefault="00B5050A" w:rsidP="00B5050A">
      <w:pPr>
        <w:widowControl w:val="0"/>
        <w:autoSpaceDE w:val="0"/>
        <w:autoSpaceDN w:val="0"/>
        <w:spacing w:after="0" w:line="276" w:lineRule="auto"/>
        <w:ind w:left="708" w:right="849"/>
        <w:jc w:val="both"/>
        <w:rPr>
          <w:rFonts w:ascii="Arial" w:eastAsia="Arial" w:hAnsi="Arial" w:cs="Arial"/>
          <w:sz w:val="21"/>
          <w:szCs w:val="21"/>
          <w:lang w:val="es-ES" w:eastAsia="es-ES" w:bidi="es-ES"/>
        </w:rPr>
      </w:pPr>
      <w:r w:rsidRPr="00687CB4">
        <w:rPr>
          <w:rFonts w:ascii="Arial" w:eastAsia="Arial" w:hAnsi="Arial" w:cs="Arial"/>
          <w:sz w:val="21"/>
          <w:szCs w:val="21"/>
          <w:lang w:val="es-ES" w:eastAsia="es-ES" w:bidi="es-ES"/>
        </w:rPr>
        <w:t>La modificación de los contratos estatales es especialmente importante en aquellos por naturaleza incompletos, es decir, (i) los afectados por asimetrías de información que impiden la previsión de todas las contingencias que pueden afectar su ejecución, y (</w:t>
      </w:r>
      <w:proofErr w:type="spellStart"/>
      <w:r w:rsidRPr="00687CB4">
        <w:rPr>
          <w:rFonts w:ascii="Arial" w:eastAsia="Arial" w:hAnsi="Arial" w:cs="Arial"/>
          <w:sz w:val="21"/>
          <w:szCs w:val="21"/>
          <w:lang w:val="es-ES" w:eastAsia="es-ES" w:bidi="es-ES"/>
        </w:rPr>
        <w:t>ii</w:t>
      </w:r>
      <w:proofErr w:type="spellEnd"/>
      <w:r w:rsidRPr="00687CB4">
        <w:rPr>
          <w:rFonts w:ascii="Arial" w:eastAsia="Arial" w:hAnsi="Arial" w:cs="Arial"/>
          <w:sz w:val="21"/>
          <w:szCs w:val="21"/>
          <w:lang w:val="es-ES" w:eastAsia="es-ES" w:bidi="es-ES"/>
        </w:rPr>
        <w:t>)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w:t>
      </w:r>
    </w:p>
    <w:p w14:paraId="5C118471" w14:textId="77777777" w:rsidR="00B5050A" w:rsidRPr="00687CB4" w:rsidRDefault="00B5050A" w:rsidP="00B5050A">
      <w:pPr>
        <w:widowControl w:val="0"/>
        <w:autoSpaceDE w:val="0"/>
        <w:autoSpaceDN w:val="0"/>
        <w:spacing w:after="0" w:line="276" w:lineRule="auto"/>
        <w:ind w:left="100" w:right="849" w:firstLine="608"/>
        <w:jc w:val="both"/>
        <w:rPr>
          <w:rFonts w:ascii="Arial" w:eastAsia="Arial" w:hAnsi="Arial" w:cs="Arial"/>
          <w:sz w:val="21"/>
          <w:szCs w:val="21"/>
          <w:lang w:val="es-ES" w:eastAsia="es-ES" w:bidi="es-ES"/>
        </w:rPr>
      </w:pPr>
    </w:p>
    <w:p w14:paraId="2712D000" w14:textId="77777777" w:rsidR="00B5050A" w:rsidRPr="00687CB4" w:rsidRDefault="00B5050A" w:rsidP="00B5050A">
      <w:pPr>
        <w:widowControl w:val="0"/>
        <w:autoSpaceDE w:val="0"/>
        <w:autoSpaceDN w:val="0"/>
        <w:spacing w:after="0" w:line="276" w:lineRule="auto"/>
        <w:ind w:left="708" w:right="849"/>
        <w:jc w:val="both"/>
        <w:rPr>
          <w:rFonts w:ascii="Arial" w:eastAsia="Arial" w:hAnsi="Arial" w:cs="Arial"/>
          <w:sz w:val="21"/>
          <w:szCs w:val="21"/>
          <w:lang w:val="es-ES" w:eastAsia="es-ES" w:bidi="es-ES"/>
        </w:rPr>
      </w:pPr>
      <w:r w:rsidRPr="00687CB4">
        <w:rPr>
          <w:rFonts w:ascii="Arial" w:eastAsia="Arial" w:hAnsi="Arial" w:cs="Arial"/>
          <w:sz w:val="21"/>
          <w:szCs w:val="21"/>
          <w:lang w:val="es-ES" w:eastAsia="es-ES" w:bidi="es-ES"/>
        </w:rPr>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p>
    <w:p w14:paraId="17C24786" w14:textId="77777777" w:rsidR="00B5050A" w:rsidRPr="00687CB4" w:rsidRDefault="00B5050A" w:rsidP="00B5050A">
      <w:pPr>
        <w:widowControl w:val="0"/>
        <w:autoSpaceDE w:val="0"/>
        <w:autoSpaceDN w:val="0"/>
        <w:spacing w:after="0" w:line="276" w:lineRule="auto"/>
        <w:ind w:left="100" w:right="104" w:firstLine="608"/>
        <w:jc w:val="both"/>
        <w:rPr>
          <w:rFonts w:ascii="Arial" w:eastAsia="Arial" w:hAnsi="Arial" w:cs="Arial"/>
          <w:lang w:val="es-ES" w:eastAsia="es-ES" w:bidi="es-ES"/>
        </w:rPr>
      </w:pPr>
    </w:p>
    <w:p w14:paraId="133EAA03" w14:textId="77777777" w:rsidR="00B5050A" w:rsidRPr="00687CB4" w:rsidRDefault="00B5050A" w:rsidP="00B5050A">
      <w:pPr>
        <w:widowControl w:val="0"/>
        <w:autoSpaceDE w:val="0"/>
        <w:autoSpaceDN w:val="0"/>
        <w:spacing w:after="0" w:line="276" w:lineRule="auto"/>
        <w:ind w:right="-2" w:firstLine="709"/>
        <w:jc w:val="both"/>
        <w:rPr>
          <w:rFonts w:ascii="Arial" w:eastAsia="Arial" w:hAnsi="Arial" w:cs="Arial"/>
          <w:lang w:val="es-ES" w:eastAsia="es-ES" w:bidi="es-ES"/>
        </w:rPr>
      </w:pPr>
      <w:r w:rsidRPr="00687CB4">
        <w:rPr>
          <w:rFonts w:ascii="Arial" w:eastAsia="Arial" w:hAnsi="Arial" w:cs="Arial"/>
          <w:lang w:val="es-ES" w:eastAsia="es-ES" w:bidi="es-ES"/>
        </w:rPr>
        <w:t>A su turno, el Consejo de Estado</w:t>
      </w:r>
      <w:r w:rsidRPr="00687CB4">
        <w:rPr>
          <w:rFonts w:ascii="Arial" w:eastAsia="Arial" w:hAnsi="Arial" w:cs="Arial"/>
          <w:vertAlign w:val="superscript"/>
          <w:lang w:val="es-ES" w:eastAsia="es-ES" w:bidi="es-ES"/>
        </w:rPr>
        <w:footnoteReference w:id="8"/>
      </w:r>
      <w:r w:rsidRPr="00687CB4">
        <w:rPr>
          <w:rFonts w:ascii="Arial" w:eastAsia="Arial" w:hAnsi="Arial" w:cs="Arial"/>
          <w:lang w:val="es-ES" w:eastAsia="es-ES" w:bidi="es-ES"/>
        </w:rPr>
        <w:t>, ha expresado lo siguiente sobre el asunto:</w:t>
      </w:r>
    </w:p>
    <w:p w14:paraId="660CEFC2" w14:textId="77777777" w:rsidR="00B5050A" w:rsidRPr="00687CB4" w:rsidRDefault="00B5050A" w:rsidP="00B5050A">
      <w:pPr>
        <w:widowControl w:val="0"/>
        <w:autoSpaceDE w:val="0"/>
        <w:autoSpaceDN w:val="0"/>
        <w:spacing w:after="0" w:line="276" w:lineRule="auto"/>
        <w:ind w:left="100" w:right="849" w:firstLine="608"/>
        <w:jc w:val="both"/>
        <w:rPr>
          <w:rFonts w:ascii="Arial" w:eastAsia="Arial" w:hAnsi="Arial" w:cs="Arial"/>
          <w:lang w:val="es-ES" w:eastAsia="es-ES" w:bidi="es-ES"/>
        </w:rPr>
      </w:pPr>
    </w:p>
    <w:p w14:paraId="1956C7EF" w14:textId="77777777" w:rsidR="00B5050A" w:rsidRPr="00687CB4" w:rsidRDefault="00B5050A" w:rsidP="00B5050A">
      <w:pPr>
        <w:widowControl w:val="0"/>
        <w:autoSpaceDE w:val="0"/>
        <w:autoSpaceDN w:val="0"/>
        <w:spacing w:after="0" w:line="276" w:lineRule="auto"/>
        <w:ind w:left="708" w:right="849"/>
        <w:jc w:val="both"/>
        <w:rPr>
          <w:rFonts w:ascii="Arial" w:eastAsia="Arial" w:hAnsi="Arial" w:cs="Arial"/>
          <w:sz w:val="21"/>
          <w:szCs w:val="21"/>
          <w:lang w:val="es-ES" w:eastAsia="es-ES" w:bidi="es-ES"/>
        </w:rPr>
      </w:pPr>
      <w:r w:rsidRPr="00687CB4">
        <w:rPr>
          <w:rFonts w:ascii="Arial" w:eastAsia="Arial" w:hAnsi="Arial" w:cs="Arial"/>
          <w:sz w:val="21"/>
          <w:szCs w:val="21"/>
          <w:lang w:val="es-ES" w:eastAsia="es-ES" w:bidi="es-ES"/>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w:t>
      </w:r>
      <w:proofErr w:type="gramStart"/>
      <w:r w:rsidRPr="00687CB4">
        <w:rPr>
          <w:rFonts w:ascii="Arial" w:eastAsia="Arial" w:hAnsi="Arial" w:cs="Arial"/>
          <w:sz w:val="21"/>
          <w:szCs w:val="21"/>
          <w:lang w:val="es-ES" w:eastAsia="es-ES" w:bidi="es-ES"/>
        </w:rPr>
        <w:t>del mismo</w:t>
      </w:r>
      <w:proofErr w:type="gramEnd"/>
      <w:r w:rsidRPr="00687CB4">
        <w:rPr>
          <w:rFonts w:ascii="Arial" w:eastAsia="Arial" w:hAnsi="Arial" w:cs="Arial"/>
          <w:sz w:val="21"/>
          <w:szCs w:val="21"/>
          <w:lang w:val="es-ES" w:eastAsia="es-ES" w:bidi="es-ES"/>
        </w:rPr>
        <w:t>.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3140E93A" w14:textId="77777777" w:rsidR="00B5050A" w:rsidRPr="00687CB4" w:rsidRDefault="00B5050A" w:rsidP="00B5050A">
      <w:pPr>
        <w:widowControl w:val="0"/>
        <w:autoSpaceDE w:val="0"/>
        <w:autoSpaceDN w:val="0"/>
        <w:spacing w:after="0" w:line="276" w:lineRule="auto"/>
        <w:ind w:left="100" w:right="849" w:firstLine="608"/>
        <w:jc w:val="both"/>
        <w:rPr>
          <w:rFonts w:ascii="Arial" w:eastAsia="Arial" w:hAnsi="Arial" w:cs="Arial"/>
          <w:sz w:val="21"/>
          <w:szCs w:val="21"/>
          <w:lang w:val="es-ES" w:eastAsia="es-ES" w:bidi="es-ES"/>
        </w:rPr>
      </w:pPr>
      <w:r w:rsidRPr="00687CB4">
        <w:rPr>
          <w:rFonts w:ascii="Arial" w:eastAsia="Arial" w:hAnsi="Arial" w:cs="Arial"/>
          <w:sz w:val="21"/>
          <w:szCs w:val="21"/>
          <w:lang w:val="es-ES" w:eastAsia="es-ES" w:bidi="es-ES"/>
        </w:rPr>
        <w:lastRenderedPageBreak/>
        <w:t>[…]</w:t>
      </w:r>
    </w:p>
    <w:p w14:paraId="224021E6" w14:textId="77777777" w:rsidR="00B5050A" w:rsidRPr="00687CB4" w:rsidRDefault="00B5050A" w:rsidP="00B5050A">
      <w:pPr>
        <w:widowControl w:val="0"/>
        <w:autoSpaceDE w:val="0"/>
        <w:autoSpaceDN w:val="0"/>
        <w:spacing w:after="0" w:line="276" w:lineRule="auto"/>
        <w:ind w:left="708" w:right="849"/>
        <w:jc w:val="both"/>
        <w:rPr>
          <w:rFonts w:ascii="Arial" w:eastAsia="Arial" w:hAnsi="Arial" w:cs="Arial"/>
          <w:sz w:val="21"/>
          <w:szCs w:val="21"/>
          <w:lang w:val="es-ES" w:eastAsia="es-ES" w:bidi="es-ES"/>
        </w:rPr>
      </w:pPr>
      <w:r w:rsidRPr="00687CB4">
        <w:rPr>
          <w:rFonts w:ascii="Arial" w:eastAsia="Arial" w:hAnsi="Arial" w:cs="Arial"/>
          <w:sz w:val="21"/>
          <w:szCs w:val="21"/>
          <w:lang w:val="es-ES" w:eastAsia="es-ES" w:bidi="es-ES"/>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11614781" w14:textId="77777777" w:rsidR="00B5050A" w:rsidRPr="00687CB4" w:rsidRDefault="00B5050A" w:rsidP="00B5050A">
      <w:pPr>
        <w:widowControl w:val="0"/>
        <w:autoSpaceDE w:val="0"/>
        <w:autoSpaceDN w:val="0"/>
        <w:spacing w:after="0" w:line="276" w:lineRule="auto"/>
        <w:ind w:left="100" w:right="849" w:firstLine="608"/>
        <w:jc w:val="both"/>
        <w:rPr>
          <w:rFonts w:ascii="Arial" w:eastAsia="Arial" w:hAnsi="Arial" w:cs="Arial"/>
          <w:sz w:val="21"/>
          <w:szCs w:val="21"/>
          <w:lang w:val="es-ES" w:eastAsia="es-ES" w:bidi="es-ES"/>
        </w:rPr>
      </w:pPr>
    </w:p>
    <w:p w14:paraId="5C00D643" w14:textId="77777777" w:rsidR="00B5050A" w:rsidRPr="00687CB4" w:rsidRDefault="00B5050A" w:rsidP="00B5050A">
      <w:pPr>
        <w:widowControl w:val="0"/>
        <w:autoSpaceDE w:val="0"/>
        <w:autoSpaceDN w:val="0"/>
        <w:spacing w:after="0" w:line="276" w:lineRule="auto"/>
        <w:ind w:left="708" w:right="849"/>
        <w:jc w:val="both"/>
        <w:rPr>
          <w:rFonts w:ascii="Arial" w:eastAsia="Arial" w:hAnsi="Arial" w:cs="Arial"/>
          <w:sz w:val="21"/>
          <w:szCs w:val="21"/>
          <w:lang w:val="es-ES" w:eastAsia="es-ES" w:bidi="es-ES"/>
        </w:rPr>
      </w:pPr>
      <w:r w:rsidRPr="00687CB4">
        <w:rPr>
          <w:rFonts w:ascii="Arial" w:eastAsia="Arial" w:hAnsi="Arial" w:cs="Arial"/>
          <w:sz w:val="21"/>
          <w:szCs w:val="21"/>
          <w:lang w:val="es-ES" w:eastAsia="es-ES" w:bidi="es-ES"/>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27289D3C" w14:textId="77777777" w:rsidR="00B5050A" w:rsidRPr="00687CB4" w:rsidRDefault="00B5050A" w:rsidP="00B5050A">
      <w:pPr>
        <w:widowControl w:val="0"/>
        <w:autoSpaceDE w:val="0"/>
        <w:autoSpaceDN w:val="0"/>
        <w:spacing w:after="0" w:line="276" w:lineRule="auto"/>
        <w:ind w:left="100" w:right="849" w:firstLine="608"/>
        <w:jc w:val="both"/>
        <w:rPr>
          <w:rFonts w:ascii="Arial" w:eastAsia="Arial" w:hAnsi="Arial" w:cs="Arial"/>
          <w:sz w:val="21"/>
          <w:szCs w:val="21"/>
          <w:lang w:val="es-ES" w:eastAsia="es-ES" w:bidi="es-ES"/>
        </w:rPr>
      </w:pPr>
    </w:p>
    <w:p w14:paraId="5C24D8EB" w14:textId="77777777" w:rsidR="00B5050A" w:rsidRPr="00687CB4" w:rsidRDefault="00B5050A" w:rsidP="00B5050A">
      <w:pPr>
        <w:widowControl w:val="0"/>
        <w:autoSpaceDE w:val="0"/>
        <w:autoSpaceDN w:val="0"/>
        <w:spacing w:after="0" w:line="276" w:lineRule="auto"/>
        <w:ind w:left="708" w:right="849"/>
        <w:jc w:val="both"/>
        <w:rPr>
          <w:rFonts w:ascii="Arial" w:eastAsia="Arial" w:hAnsi="Arial" w:cs="Arial"/>
          <w:i/>
          <w:iCs/>
          <w:sz w:val="21"/>
          <w:szCs w:val="21"/>
          <w:lang w:val="es-ES" w:eastAsia="es-ES" w:bidi="es-ES"/>
        </w:rPr>
      </w:pPr>
      <w:r w:rsidRPr="00687CB4">
        <w:rPr>
          <w:rFonts w:ascii="Arial" w:eastAsia="Arial" w:hAnsi="Arial" w:cs="Arial"/>
          <w:sz w:val="21"/>
          <w:szCs w:val="21"/>
          <w:lang w:val="es-ES" w:eastAsia="es-ES" w:bidi="es-ES"/>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r w:rsidRPr="00687CB4">
        <w:rPr>
          <w:rFonts w:ascii="Arial" w:eastAsia="Arial" w:hAnsi="Arial" w:cs="Arial"/>
          <w:bCs/>
          <w:sz w:val="21"/>
          <w:szCs w:val="21"/>
          <w:lang w:val="es-ES_tradnl" w:eastAsia="es-ES" w:bidi="es-ES"/>
        </w:rPr>
        <w:t>»</w:t>
      </w:r>
      <w:r w:rsidRPr="00687CB4">
        <w:rPr>
          <w:rFonts w:ascii="Arial" w:eastAsia="Arial" w:hAnsi="Arial" w:cs="Arial"/>
          <w:sz w:val="21"/>
          <w:szCs w:val="21"/>
          <w:lang w:val="es-ES" w:eastAsia="es-ES" w:bidi="es-ES"/>
        </w:rPr>
        <w:t>.</w:t>
      </w:r>
    </w:p>
    <w:p w14:paraId="0CA28C36" w14:textId="77777777" w:rsidR="00B5050A" w:rsidRPr="00687CB4" w:rsidRDefault="00B5050A" w:rsidP="00B5050A">
      <w:pPr>
        <w:widowControl w:val="0"/>
        <w:autoSpaceDE w:val="0"/>
        <w:autoSpaceDN w:val="0"/>
        <w:spacing w:after="0" w:line="276" w:lineRule="auto"/>
        <w:ind w:left="100" w:right="104" w:firstLine="608"/>
        <w:jc w:val="both"/>
        <w:rPr>
          <w:rFonts w:ascii="Arial" w:eastAsia="Arial" w:hAnsi="Arial" w:cs="Arial"/>
          <w:lang w:val="es-ES" w:eastAsia="es-ES" w:bidi="es-ES"/>
        </w:rPr>
      </w:pPr>
    </w:p>
    <w:p w14:paraId="52E9A91D" w14:textId="77777777" w:rsidR="00B5050A" w:rsidRPr="00687CB4" w:rsidRDefault="00B5050A" w:rsidP="00B5050A">
      <w:pPr>
        <w:widowControl w:val="0"/>
        <w:autoSpaceDE w:val="0"/>
        <w:autoSpaceDN w:val="0"/>
        <w:spacing w:after="0" w:line="276" w:lineRule="auto"/>
        <w:ind w:right="-2" w:firstLine="709"/>
        <w:jc w:val="both"/>
        <w:rPr>
          <w:rFonts w:ascii="Arial" w:eastAsia="Arial" w:hAnsi="Arial" w:cs="Arial"/>
          <w:lang w:val="es-MX" w:eastAsia="es-ES" w:bidi="es-ES"/>
        </w:rPr>
      </w:pPr>
      <w:r w:rsidRPr="00687CB4">
        <w:rPr>
          <w:rFonts w:ascii="Arial" w:eastAsia="Arial" w:hAnsi="Arial" w:cs="Arial"/>
          <w:lang w:val="es-ES" w:eastAsia="es-ES" w:bidi="es-ES"/>
        </w:rPr>
        <w:t xml:space="preserve">En el mismo sentido, en el concepto 2263 del 17 de marzo del 2016, la Sala de Consulta y Servicio Civil del Consejo de Estado precisó que </w:t>
      </w:r>
      <w:r w:rsidRPr="00687CB4">
        <w:rPr>
          <w:rFonts w:ascii="Arial" w:eastAsia="Arial" w:hAnsi="Arial" w:cs="Arial"/>
          <w:lang w:val="es-MX" w:eastAsia="es-ES" w:bidi="es-ES"/>
        </w:rPr>
        <w:t>la regla general es la no modificación del contrato, y la vía excepcional su modificación, sometida a límites legales; límites que, en los términos definidos en el referido concepto, corresponden a los siguientes:</w:t>
      </w:r>
    </w:p>
    <w:p w14:paraId="6909B1E6" w14:textId="77777777" w:rsidR="00B5050A" w:rsidRPr="00687CB4" w:rsidRDefault="00B5050A" w:rsidP="00B5050A">
      <w:pPr>
        <w:widowControl w:val="0"/>
        <w:autoSpaceDE w:val="0"/>
        <w:autoSpaceDN w:val="0"/>
        <w:spacing w:after="0" w:line="276" w:lineRule="auto"/>
        <w:ind w:right="-2" w:firstLine="709"/>
        <w:jc w:val="both"/>
        <w:rPr>
          <w:rFonts w:ascii="Arial" w:eastAsia="Arial" w:hAnsi="Arial" w:cs="Arial"/>
          <w:lang w:val="es-MX" w:eastAsia="es-ES" w:bidi="es-ES"/>
        </w:rPr>
      </w:pPr>
    </w:p>
    <w:p w14:paraId="33FAA1C4"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sz w:val="21"/>
          <w:szCs w:val="21"/>
          <w:lang w:val="es-MX" w:eastAsia="es-ES" w:bidi="es-ES"/>
        </w:rPr>
      </w:pPr>
      <w:r w:rsidRPr="00687CB4">
        <w:rPr>
          <w:rFonts w:ascii="Arial" w:eastAsia="Arial" w:hAnsi="Arial" w:cs="Arial"/>
          <w:sz w:val="21"/>
          <w:szCs w:val="21"/>
          <w:lang w:val="es-MX" w:eastAsia="es-ES" w:bidi="es-ES"/>
        </w:rPr>
        <w:t xml:space="preserve">«1. La necesidad de preservar los principios de igualdad, transparencia y libertad de concurrencia, durante la fase de ejecución del contrato. </w:t>
      </w:r>
    </w:p>
    <w:p w14:paraId="311CB48B"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sz w:val="21"/>
          <w:szCs w:val="21"/>
          <w:lang w:val="es-MX" w:eastAsia="es-ES" w:bidi="es-ES"/>
        </w:rPr>
      </w:pPr>
    </w:p>
    <w:p w14:paraId="35471841"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sz w:val="21"/>
          <w:szCs w:val="21"/>
          <w:lang w:val="es-MX" w:eastAsia="es-ES" w:bidi="es-ES"/>
        </w:rPr>
      </w:pPr>
      <w:r w:rsidRPr="00687CB4">
        <w:rPr>
          <w:rFonts w:ascii="Arial" w:eastAsia="Arial" w:hAnsi="Arial" w:cs="Arial"/>
          <w:sz w:val="21"/>
          <w:szCs w:val="21"/>
          <w:lang w:val="es-MX" w:eastAsia="es-ES" w:bidi="es-ES"/>
        </w:rPr>
        <w:t>Este límite encuentra sustento en el hecho de que, para celebrar contratos estatales las entidades públicas eligen, dentro de un «régimen de concurrencia y de igualdad, las mejores condiciones de costo, calidad e idoneidad de la prestación requerida</w:t>
      </w:r>
      <w:r w:rsidRPr="00687CB4">
        <w:rPr>
          <w:rFonts w:ascii="Arial" w:eastAsia="Arial" w:hAnsi="Arial" w:cs="Arial"/>
          <w:bCs/>
          <w:sz w:val="21"/>
          <w:szCs w:val="21"/>
          <w:lang w:val="es-ES_tradnl" w:eastAsia="es-ES" w:bidi="es-ES"/>
        </w:rPr>
        <w:t>»</w:t>
      </w:r>
      <w:r w:rsidRPr="00687CB4">
        <w:rPr>
          <w:rFonts w:ascii="Arial" w:eastAsia="Arial" w:hAnsi="Arial" w:cs="Arial"/>
          <w:sz w:val="21"/>
          <w:szCs w:val="21"/>
          <w:lang w:val="es-MX" w:eastAsia="es-ES" w:bidi="es-ES"/>
        </w:rPr>
        <w:t xml:space="preserve">, lo que supone que la selección objetiva de la oferta más favorable, se dirige a salvaguardar el interés público y, por lo tanto, celebrado el contrato en esas </w:t>
      </w:r>
      <w:r w:rsidRPr="00687CB4">
        <w:rPr>
          <w:rFonts w:ascii="Arial" w:eastAsia="Arial" w:hAnsi="Arial" w:cs="Arial"/>
          <w:sz w:val="21"/>
          <w:szCs w:val="21"/>
          <w:lang w:val="es-MX" w:eastAsia="es-ES" w:bidi="es-ES"/>
        </w:rPr>
        <w:lastRenderedPageBreak/>
        <w:t>condiciones,  su eventual modificación debe asegurar que lo adjudicado, y posteriormente alterado, consulte la mejor opción para el servicio público.</w:t>
      </w:r>
    </w:p>
    <w:p w14:paraId="037A54B4"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sz w:val="21"/>
          <w:szCs w:val="21"/>
          <w:lang w:val="es-MX" w:eastAsia="es-ES" w:bidi="es-ES"/>
        </w:rPr>
      </w:pPr>
    </w:p>
    <w:p w14:paraId="07101DC3"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bCs/>
          <w:sz w:val="21"/>
          <w:szCs w:val="21"/>
          <w:lang w:val="es-ES_tradnl" w:eastAsia="es-ES" w:bidi="es-ES"/>
        </w:rPr>
      </w:pPr>
      <w:r w:rsidRPr="00687CB4">
        <w:rPr>
          <w:rFonts w:ascii="Arial" w:eastAsia="Arial" w:hAnsi="Arial" w:cs="Arial"/>
          <w:sz w:val="21"/>
          <w:szCs w:val="21"/>
          <w:lang w:val="es-MX" w:eastAsia="es-ES" w:bidi="es-ES"/>
        </w:rPr>
        <w:t>Así, según lo expuesto en el concepto en cuestión «la aplicación de los principios de transparencia, de libertad de concurrencia y de igualdad, consagrados en el Estatuto Contractual, y las reglas sustanciales del pliego de condiciones, que permitieron elegir la mejor oferta, previo cumplimiento de los requisitos habilitantes y de ponderación, deben ser de estricta observancia por la Administración y por el contratista, y sus efectos trascienden y se aplican durante la ejecución del contrato y en su liquidación, como garantía de inalterabilidad de lo pactado y de acatamiento a la legalidad de las reglas aplicadas en la actuación previa</w:t>
      </w:r>
      <w:r w:rsidRPr="00687CB4">
        <w:rPr>
          <w:rFonts w:ascii="Arial" w:eastAsia="Arial" w:hAnsi="Arial" w:cs="Arial"/>
          <w:bCs/>
          <w:sz w:val="21"/>
          <w:szCs w:val="21"/>
          <w:lang w:val="es-ES_tradnl" w:eastAsia="es-ES" w:bidi="es-ES"/>
        </w:rPr>
        <w:t>.</w:t>
      </w:r>
    </w:p>
    <w:p w14:paraId="1052874D"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bCs/>
          <w:sz w:val="21"/>
          <w:szCs w:val="21"/>
          <w:lang w:val="es-ES_tradnl" w:eastAsia="es-ES" w:bidi="es-ES"/>
        </w:rPr>
      </w:pPr>
    </w:p>
    <w:p w14:paraId="491D570F"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sz w:val="21"/>
          <w:szCs w:val="21"/>
          <w:lang w:val="es-MX" w:eastAsia="es-ES" w:bidi="es-ES"/>
        </w:rPr>
      </w:pPr>
      <w:r w:rsidRPr="00687CB4">
        <w:rPr>
          <w:rFonts w:ascii="Arial" w:eastAsia="Arial" w:hAnsi="Arial" w:cs="Arial"/>
          <w:sz w:val="21"/>
          <w:szCs w:val="21"/>
          <w:lang w:val="es-MX" w:eastAsia="es-ES" w:bidi="es-ES"/>
        </w:rPr>
        <w:t xml:space="preserve">2.Límites de orden temporal, entre los que están comprendidos: i) la vigencia del contrato, pues no podría modificarse un contrato cuyo plazo ha culminado y </w:t>
      </w:r>
      <w:proofErr w:type="spellStart"/>
      <w:r w:rsidRPr="00687CB4">
        <w:rPr>
          <w:rFonts w:ascii="Arial" w:eastAsia="Arial" w:hAnsi="Arial" w:cs="Arial"/>
          <w:sz w:val="21"/>
          <w:szCs w:val="21"/>
          <w:lang w:val="es-MX" w:eastAsia="es-ES" w:bidi="es-ES"/>
        </w:rPr>
        <w:t>ii</w:t>
      </w:r>
      <w:proofErr w:type="spellEnd"/>
      <w:r w:rsidRPr="00687CB4">
        <w:rPr>
          <w:rFonts w:ascii="Arial" w:eastAsia="Arial" w:hAnsi="Arial" w:cs="Arial"/>
          <w:sz w:val="21"/>
          <w:szCs w:val="21"/>
          <w:lang w:val="es-MX" w:eastAsia="es-ES" w:bidi="es-ES"/>
        </w:rPr>
        <w:t>) la prohibición de consagrar prórrogas automáticas, sucesivas o indefinidas, en tanto resultan contrarias al derecho esencial de la libertad de competencia.</w:t>
      </w:r>
    </w:p>
    <w:p w14:paraId="05A1BC3C"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bCs/>
          <w:sz w:val="21"/>
          <w:szCs w:val="21"/>
          <w:lang w:val="es-ES_tradnl" w:eastAsia="es-ES" w:bidi="es-ES"/>
        </w:rPr>
      </w:pPr>
    </w:p>
    <w:p w14:paraId="28BEFED9"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bCs/>
          <w:sz w:val="21"/>
          <w:szCs w:val="21"/>
          <w:lang w:val="es-ES_tradnl" w:eastAsia="es-ES" w:bidi="es-ES"/>
        </w:rPr>
      </w:pPr>
      <w:r w:rsidRPr="00687CB4">
        <w:rPr>
          <w:rFonts w:ascii="Arial" w:eastAsia="Arial" w:hAnsi="Arial" w:cs="Arial"/>
          <w:sz w:val="21"/>
          <w:szCs w:val="21"/>
          <w:lang w:val="es-MX" w:eastAsia="es-ES" w:bidi="es-ES"/>
        </w:rPr>
        <w:t>3. Límites de orden formal, que comprenden: i) La solemnidad del contrato de modificación, derivada del carácter solemne del contrato estatal, que exige que modificación de los contratos conste por escrito</w:t>
      </w:r>
      <w:r w:rsidRPr="00687CB4">
        <w:rPr>
          <w:rFonts w:ascii="Arial" w:eastAsia="Arial" w:hAnsi="Arial" w:cs="Arial"/>
          <w:sz w:val="21"/>
          <w:szCs w:val="21"/>
          <w:vertAlign w:val="superscript"/>
          <w:lang w:val="es-MX" w:eastAsia="es-ES" w:bidi="es-ES"/>
        </w:rPr>
        <w:footnoteReference w:id="9"/>
      </w:r>
      <w:r w:rsidRPr="00687CB4">
        <w:rPr>
          <w:rFonts w:ascii="Arial" w:eastAsia="Arial" w:hAnsi="Arial" w:cs="Arial"/>
          <w:sz w:val="21"/>
          <w:szCs w:val="21"/>
          <w:lang w:val="es-MX" w:eastAsia="es-ES" w:bidi="es-ES"/>
        </w:rPr>
        <w:t xml:space="preserve">; </w:t>
      </w:r>
      <w:proofErr w:type="spellStart"/>
      <w:r w:rsidRPr="00687CB4">
        <w:rPr>
          <w:rFonts w:ascii="Arial" w:eastAsia="Arial" w:hAnsi="Arial" w:cs="Arial"/>
          <w:sz w:val="21"/>
          <w:szCs w:val="21"/>
          <w:lang w:val="es-MX" w:eastAsia="es-ES" w:bidi="es-ES"/>
        </w:rPr>
        <w:t>ii</w:t>
      </w:r>
      <w:proofErr w:type="spellEnd"/>
      <w:r w:rsidRPr="00687CB4">
        <w:rPr>
          <w:rFonts w:ascii="Arial" w:eastAsia="Arial" w:hAnsi="Arial" w:cs="Arial"/>
          <w:sz w:val="21"/>
          <w:szCs w:val="21"/>
          <w:lang w:val="es-MX" w:eastAsia="es-ES" w:bidi="es-ES"/>
        </w:rPr>
        <w:t>) la motivación y justificación de la modificación, la cual constituye un elemento esencial que permite determinar la juridicidad y la necesidad de una modificación determinada; así como su racionalidad y la proporcionalidad de su contenido.</w:t>
      </w:r>
    </w:p>
    <w:p w14:paraId="42439563"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bCs/>
          <w:sz w:val="21"/>
          <w:szCs w:val="21"/>
          <w:lang w:val="es-ES_tradnl" w:eastAsia="es-ES" w:bidi="es-ES"/>
        </w:rPr>
      </w:pPr>
    </w:p>
    <w:p w14:paraId="35C6C68A" w14:textId="77777777" w:rsidR="00B5050A" w:rsidRPr="00687CB4" w:rsidRDefault="00B5050A" w:rsidP="00B5050A">
      <w:pPr>
        <w:widowControl w:val="0"/>
        <w:tabs>
          <w:tab w:val="left" w:pos="709"/>
        </w:tabs>
        <w:autoSpaceDE w:val="0"/>
        <w:autoSpaceDN w:val="0"/>
        <w:spacing w:after="0" w:line="276" w:lineRule="auto"/>
        <w:ind w:left="709" w:right="709"/>
        <w:jc w:val="both"/>
        <w:rPr>
          <w:rFonts w:ascii="Arial" w:eastAsia="Arial" w:hAnsi="Arial" w:cs="Arial"/>
          <w:bCs/>
          <w:sz w:val="21"/>
          <w:szCs w:val="21"/>
          <w:lang w:val="es-ES_tradnl" w:eastAsia="es-ES" w:bidi="es-ES"/>
        </w:rPr>
      </w:pPr>
      <w:r w:rsidRPr="00687CB4">
        <w:rPr>
          <w:rFonts w:ascii="Arial" w:eastAsia="Arial" w:hAnsi="Arial" w:cs="Arial"/>
          <w:sz w:val="21"/>
          <w:szCs w:val="21"/>
          <w:lang w:val="es-MX" w:eastAsia="es-ES" w:bidi="es-ES"/>
        </w:rPr>
        <w:t>4. Límites de orden material, que corresponden a: i) la prohibición de modificar las condiciones sustanciales del contrato, que se presentará en los casos en que se incluyan elementos que, «habiendo figurado en el procedimiento inicial, hubiera permitido la participación de otros interesados aparte de los inicialmente admitidos, o seleccionar una oferta distinta de la inicialmente seleccionada</w:t>
      </w:r>
      <w:r w:rsidRPr="00687CB4">
        <w:rPr>
          <w:rFonts w:ascii="Arial" w:eastAsia="Arial" w:hAnsi="Arial" w:cs="Arial"/>
          <w:bCs/>
          <w:sz w:val="21"/>
          <w:szCs w:val="21"/>
          <w:lang w:val="es-ES_tradnl" w:eastAsia="es-ES" w:bidi="es-ES"/>
        </w:rPr>
        <w:t>».</w:t>
      </w:r>
    </w:p>
    <w:p w14:paraId="25BB723A" w14:textId="77777777" w:rsidR="00B5050A" w:rsidRPr="00687CB4" w:rsidRDefault="00B5050A" w:rsidP="00B5050A">
      <w:pPr>
        <w:widowControl w:val="0"/>
        <w:autoSpaceDE w:val="0"/>
        <w:autoSpaceDN w:val="0"/>
        <w:spacing w:after="0" w:line="276" w:lineRule="auto"/>
        <w:ind w:right="104" w:firstLine="708"/>
        <w:jc w:val="both"/>
        <w:rPr>
          <w:rFonts w:ascii="Arial" w:eastAsia="Arial" w:hAnsi="Arial" w:cs="Arial"/>
          <w:lang w:val="es-MX" w:eastAsia="es-ES" w:bidi="es-ES"/>
        </w:rPr>
      </w:pPr>
    </w:p>
    <w:p w14:paraId="2319E999" w14:textId="77777777" w:rsidR="00B5050A" w:rsidRPr="00687CB4" w:rsidRDefault="00B5050A" w:rsidP="00B5050A">
      <w:pPr>
        <w:widowControl w:val="0"/>
        <w:autoSpaceDE w:val="0"/>
        <w:autoSpaceDN w:val="0"/>
        <w:spacing w:after="0" w:line="276" w:lineRule="auto"/>
        <w:ind w:right="104" w:firstLine="708"/>
        <w:jc w:val="both"/>
        <w:rPr>
          <w:rFonts w:ascii="Arial" w:eastAsia="Arial" w:hAnsi="Arial" w:cs="Arial"/>
          <w:lang w:val="es-MX" w:eastAsia="es-ES" w:bidi="es-ES"/>
        </w:rPr>
      </w:pPr>
      <w:r w:rsidRPr="00687CB4">
        <w:rPr>
          <w:rFonts w:ascii="Arial" w:eastAsia="Arial" w:hAnsi="Arial" w:cs="Arial"/>
          <w:lang w:val="es-MX" w:eastAsia="es-ES" w:bidi="es-ES"/>
        </w:rPr>
        <w:t>Sobre el alcance de dicha prohibición, la Sala de Consulta y Servicio Civil expresó lo siguiente</w:t>
      </w:r>
      <w:r w:rsidRPr="00687CB4">
        <w:rPr>
          <w:rFonts w:ascii="Arial" w:eastAsia="Arial" w:hAnsi="Arial" w:cs="Arial"/>
          <w:vertAlign w:val="superscript"/>
          <w:lang w:val="es-MX" w:eastAsia="es-ES" w:bidi="es-ES"/>
        </w:rPr>
        <w:footnoteReference w:id="10"/>
      </w:r>
      <w:r w:rsidRPr="00687CB4">
        <w:rPr>
          <w:rFonts w:ascii="Arial" w:eastAsia="Arial" w:hAnsi="Arial" w:cs="Arial"/>
          <w:lang w:val="es-MX" w:eastAsia="es-ES" w:bidi="es-ES"/>
        </w:rPr>
        <w:t>:</w:t>
      </w:r>
    </w:p>
    <w:p w14:paraId="342353D8" w14:textId="77777777" w:rsidR="00B5050A" w:rsidRPr="00687CB4" w:rsidRDefault="00B5050A" w:rsidP="00B5050A">
      <w:pPr>
        <w:widowControl w:val="0"/>
        <w:autoSpaceDE w:val="0"/>
        <w:autoSpaceDN w:val="0"/>
        <w:spacing w:after="0" w:line="276" w:lineRule="auto"/>
        <w:ind w:left="1068" w:right="104"/>
        <w:jc w:val="both"/>
        <w:rPr>
          <w:rFonts w:ascii="Arial" w:eastAsia="Arial" w:hAnsi="Arial" w:cs="Arial"/>
          <w:lang w:val="es-MX" w:eastAsia="es-ES" w:bidi="es-ES"/>
        </w:rPr>
      </w:pPr>
    </w:p>
    <w:p w14:paraId="4A546753"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r w:rsidRPr="00687CB4">
        <w:rPr>
          <w:rFonts w:ascii="Arial" w:eastAsia="Arial" w:hAnsi="Arial" w:cs="Arial"/>
          <w:bCs/>
          <w:iCs/>
          <w:sz w:val="21"/>
          <w:szCs w:val="21"/>
          <w:lang w:val="es-MX" w:eastAsia="es-ES" w:bidi="es-ES"/>
        </w:rPr>
        <w:t xml:space="preserve">«Así, frente a circunstancias excepcionales la Administración podría usar su poder de modificación unilateral o realizar las modificaciones de mutuo acuerdo, con el cumplimiento de los requisitos de ley. Se trataría de la excepción a la regla general de intangibilidad del contrato. La doctrina y algunos pronunciamientos de la Sección </w:t>
      </w:r>
      <w:r w:rsidRPr="00687CB4">
        <w:rPr>
          <w:rFonts w:ascii="Arial" w:eastAsia="Arial" w:hAnsi="Arial" w:cs="Arial"/>
          <w:bCs/>
          <w:iCs/>
          <w:sz w:val="21"/>
          <w:szCs w:val="21"/>
          <w:lang w:val="es-MX" w:eastAsia="es-ES" w:bidi="es-ES"/>
        </w:rPr>
        <w:lastRenderedPageBreak/>
        <w:t>Tercera del Consejo de Estado aportan los elementos necesarios que permiten orientar a la Administración sobre esta vía excepcional y sus requisitos:</w:t>
      </w:r>
    </w:p>
    <w:p w14:paraId="230CBD89"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p>
    <w:p w14:paraId="3ACFF734"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r w:rsidRPr="00687CB4">
        <w:rPr>
          <w:rFonts w:ascii="Arial" w:eastAsia="Arial" w:hAnsi="Arial" w:cs="Arial"/>
          <w:bCs/>
          <w:iCs/>
          <w:sz w:val="21"/>
          <w:szCs w:val="21"/>
          <w:lang w:val="es-MX" w:eastAsia="es-ES" w:bidi="es-ES"/>
        </w:rPr>
        <w:t>- No podría aceptarse un poder ilimitado o absoluto de modificación, aun frente a circunstancias excepcionales. Por ello la modificación no podrá afectar el núcleo esencial del objeto, o la naturaleza global del contrato. Con independencia de las razones y circunstancias imprevisibles que puedan presentarse, no es posible que el contrato mute o se transforme en un contrato sustancialmente distinto. Si se sustituyen las obras, los suministros o los servicios pactados por otros diferentes, o se modifica el tipo de contratación, o el núcleo esencial del objeto, se presentaría una novación del negocio jurídico y su objeto.</w:t>
      </w:r>
    </w:p>
    <w:p w14:paraId="0028EBAE"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r w:rsidRPr="00687CB4">
        <w:rPr>
          <w:rFonts w:ascii="Arial" w:eastAsia="Arial" w:hAnsi="Arial" w:cs="Arial"/>
          <w:bCs/>
          <w:iCs/>
          <w:sz w:val="21"/>
          <w:szCs w:val="21"/>
          <w:lang w:val="es-MX" w:eastAsia="es-ES" w:bidi="es-ES"/>
        </w:rPr>
        <w:t>[…]</w:t>
      </w:r>
    </w:p>
    <w:p w14:paraId="6537D77D"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r w:rsidRPr="00687CB4">
        <w:rPr>
          <w:rFonts w:ascii="Arial" w:eastAsia="Arial" w:hAnsi="Arial" w:cs="Arial"/>
          <w:bCs/>
          <w:iCs/>
          <w:sz w:val="21"/>
          <w:szCs w:val="21"/>
          <w:lang w:val="es-MX" w:eastAsia="es-ES" w:bidi="es-ES"/>
        </w:rPr>
        <w:t>-Las causas que justificarían la modificación del contrato deben obedecer al acaecimiento de situaciones o circunstancias imposibles de prever, con una diligencia debida, que hagan imperiosa o necesaria la modificación de algunas estipulaciones del contrato, como única manera de conjurarlas. Debe tratarse de la existencia de circunstancias surgidas de un riesgo imprevisible, no necesariamente de una situación no prevista, que pueda razonablemente considerarse en un futuro mediato o que debieron ser previstas en la etapa de planeación del contrato. Ello supone la existencia de circunstancias posteriores, externas a las partes y no agravadas por su acción u omisión, puestas de manifiesto o imposibles de advertir en la etapa precontractual, que, además, muestren la imposibilidad de cumplir lo pactado inicialmente, o su falta de idoneidad. Estas circunstancias pueden obedecer a razones de tipo geológico, medioambiental o de otra índole, que no pudieron ser razonablemente previstas. […]</w:t>
      </w:r>
    </w:p>
    <w:p w14:paraId="2A52B50C"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p>
    <w:p w14:paraId="41F850A5"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r w:rsidRPr="00687CB4">
        <w:rPr>
          <w:rFonts w:ascii="Arial" w:eastAsia="Arial" w:hAnsi="Arial" w:cs="Arial"/>
          <w:bCs/>
          <w:iCs/>
          <w:sz w:val="21"/>
          <w:szCs w:val="21"/>
          <w:lang w:val="es-MX" w:eastAsia="es-ES" w:bidi="es-ES"/>
        </w:rPr>
        <w:t xml:space="preserve">-La existencia de una necesidad de servicio público que justifique la modificación, hasta el punto de conjurar la nueva necesidad. La acreditación de estas circunstancias estará a cargo de la entidad estatal, justificada en los estudios previos y en la debida motivación del contrato modificatorio </w:t>
      </w:r>
    </w:p>
    <w:p w14:paraId="6E3AA820"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p>
    <w:p w14:paraId="5B50B9D3"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r w:rsidRPr="00687CB4">
        <w:rPr>
          <w:rFonts w:ascii="Arial" w:eastAsia="Arial" w:hAnsi="Arial" w:cs="Arial"/>
          <w:bCs/>
          <w:iCs/>
          <w:sz w:val="21"/>
          <w:szCs w:val="21"/>
          <w:lang w:val="es-MX" w:eastAsia="es-ES" w:bidi="es-ES"/>
        </w:rPr>
        <w:t>-El cumplimiento del límite cuantitativo consagrado en la ley para los contratos adicionales. […]</w:t>
      </w:r>
    </w:p>
    <w:p w14:paraId="42F5CA90"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bCs/>
          <w:iCs/>
          <w:sz w:val="21"/>
          <w:szCs w:val="21"/>
          <w:lang w:val="es-MX" w:eastAsia="es-ES" w:bidi="es-ES"/>
        </w:rPr>
      </w:pPr>
    </w:p>
    <w:p w14:paraId="6A68DA44" w14:textId="77777777" w:rsidR="00B5050A" w:rsidRPr="00687CB4" w:rsidRDefault="00B5050A" w:rsidP="00B5050A">
      <w:pPr>
        <w:widowControl w:val="0"/>
        <w:autoSpaceDE w:val="0"/>
        <w:autoSpaceDN w:val="0"/>
        <w:spacing w:after="0" w:line="276" w:lineRule="auto"/>
        <w:ind w:left="709" w:right="709"/>
        <w:jc w:val="both"/>
        <w:rPr>
          <w:rFonts w:ascii="Arial" w:eastAsia="Arial" w:hAnsi="Arial" w:cs="Arial"/>
          <w:iCs/>
          <w:sz w:val="21"/>
          <w:szCs w:val="21"/>
          <w:lang w:val="es-MX" w:eastAsia="es-ES" w:bidi="es-ES"/>
        </w:rPr>
      </w:pPr>
      <w:r w:rsidRPr="00687CB4">
        <w:rPr>
          <w:rFonts w:ascii="Arial" w:eastAsia="Arial" w:hAnsi="Arial" w:cs="Arial"/>
          <w:bCs/>
          <w:iCs/>
          <w:sz w:val="21"/>
          <w:szCs w:val="21"/>
          <w:lang w:val="es-MX" w:eastAsia="es-ES" w:bidi="es-ES"/>
        </w:rPr>
        <w:t>-Debe tratarse de prestaciones necesarias e inseparables técnica o económicamente del contrato inicial, que no permitan su uso o aprovechamiento independiente La modificación de las condiciones de la prestación o del contrato debe presuponer que no pueda ser materia de un nuevo proceso de selección, o de su contratación con un tercero, en razón a que, por su naturaleza, resulte inseparable técnica o económicamente de la prestación pactada en el contrato inicial</w:t>
      </w:r>
      <w:r w:rsidRPr="00687CB4">
        <w:rPr>
          <w:rFonts w:ascii="Arial" w:eastAsia="Arial" w:hAnsi="Arial" w:cs="Arial"/>
          <w:bCs/>
          <w:iCs/>
          <w:sz w:val="21"/>
          <w:szCs w:val="21"/>
          <w:lang w:val="es-ES_tradnl" w:eastAsia="es-ES" w:bidi="es-ES"/>
        </w:rPr>
        <w:t>».</w:t>
      </w:r>
    </w:p>
    <w:p w14:paraId="538A4861" w14:textId="77777777" w:rsidR="00B5050A" w:rsidRPr="00687CB4" w:rsidRDefault="00B5050A" w:rsidP="00B5050A">
      <w:pPr>
        <w:widowControl w:val="0"/>
        <w:autoSpaceDE w:val="0"/>
        <w:autoSpaceDN w:val="0"/>
        <w:spacing w:after="0" w:line="276" w:lineRule="auto"/>
        <w:ind w:left="1066" w:right="102"/>
        <w:jc w:val="both"/>
        <w:rPr>
          <w:rFonts w:ascii="Arial" w:eastAsia="Arial" w:hAnsi="Arial" w:cs="Arial"/>
          <w:lang w:val="es-MX" w:eastAsia="es-ES" w:bidi="es-ES"/>
        </w:rPr>
      </w:pPr>
    </w:p>
    <w:p w14:paraId="7B079DBB" w14:textId="77777777" w:rsidR="00B5050A" w:rsidRPr="00687CB4" w:rsidRDefault="00B5050A" w:rsidP="00B5050A">
      <w:pPr>
        <w:widowControl w:val="0"/>
        <w:autoSpaceDE w:val="0"/>
        <w:autoSpaceDN w:val="0"/>
        <w:spacing w:after="120" w:line="276" w:lineRule="auto"/>
        <w:ind w:right="-2" w:firstLine="709"/>
        <w:jc w:val="both"/>
        <w:rPr>
          <w:rFonts w:ascii="Arial" w:eastAsia="Arial" w:hAnsi="Arial" w:cs="Arial"/>
          <w:lang w:val="es-ES" w:eastAsia="es-ES" w:bidi="es-ES"/>
        </w:rPr>
      </w:pPr>
      <w:r w:rsidRPr="00687CB4">
        <w:rPr>
          <w:rFonts w:ascii="Arial" w:eastAsia="Arial" w:hAnsi="Arial" w:cs="Arial"/>
          <w:lang w:val="es-ES" w:eastAsia="es-ES" w:bidi="es-ES"/>
        </w:rPr>
        <w:t xml:space="preserve">Es claro, entonces, que conforme a la regulación legal y a la interpretación que de la </w:t>
      </w:r>
      <w:r w:rsidRPr="00687CB4">
        <w:rPr>
          <w:rFonts w:ascii="Arial" w:eastAsia="Arial" w:hAnsi="Arial" w:cs="Arial"/>
          <w:lang w:val="es-ES" w:eastAsia="es-ES" w:bidi="es-ES"/>
        </w:rPr>
        <w:lastRenderedPageBreak/>
        <w:t xml:space="preserve">misma han hecho el Consejo de Estado y la Corte Constitucional, la cual se comparte por esta Agencia, es viable jurídicamente modificar los contratos estatales, pero esta medida tiene carácter excepcional y solo procede cuando con ella se pretenda garantizar el interés público, cuando la entidad haya verificado y así pueda constatarse,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r w:rsidRPr="00687CB4">
        <w:rPr>
          <w:rFonts w:ascii="Arial" w:eastAsia="Arial" w:hAnsi="Arial" w:cs="Arial"/>
          <w:color w:val="000000"/>
          <w:lang w:val="es-ES" w:eastAsia="es-ES" w:bidi="es-ES"/>
        </w:rPr>
        <w:t xml:space="preserve"> </w:t>
      </w:r>
    </w:p>
    <w:p w14:paraId="6E3B0FBC" w14:textId="77777777" w:rsidR="00B5050A" w:rsidRPr="00687CB4" w:rsidRDefault="00B5050A" w:rsidP="00B5050A">
      <w:pPr>
        <w:widowControl w:val="0"/>
        <w:autoSpaceDE w:val="0"/>
        <w:autoSpaceDN w:val="0"/>
        <w:spacing w:after="120" w:line="276" w:lineRule="auto"/>
        <w:ind w:firstLine="709"/>
        <w:jc w:val="both"/>
        <w:rPr>
          <w:rFonts w:ascii="Arial" w:eastAsia="Arial" w:hAnsi="Arial" w:cs="Arial"/>
          <w:color w:val="000000"/>
          <w:lang w:val="es-ES" w:eastAsia="es-ES" w:bidi="es-ES"/>
        </w:rPr>
      </w:pPr>
      <w:r w:rsidRPr="00687CB4">
        <w:rPr>
          <w:rFonts w:ascii="Arial" w:eastAsia="Arial" w:hAnsi="Arial" w:cs="Arial"/>
          <w:color w:val="000000"/>
          <w:lang w:val="es-ES" w:eastAsia="es-ES" w:bidi="es-ES"/>
        </w:rPr>
        <w:t>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bookmarkStart w:id="1" w:name="_ftnref22"/>
      <w:r w:rsidRPr="00687CB4">
        <w:rPr>
          <w:rFonts w:ascii="Arial" w:eastAsia="Arial" w:hAnsi="Arial" w:cs="Arial"/>
          <w:color w:val="000000"/>
          <w:lang w:val="es-ES" w:eastAsia="es-ES" w:bidi="es-ES"/>
        </w:rPr>
        <w:t xml:space="preserve"> </w:t>
      </w:r>
    </w:p>
    <w:p w14:paraId="6AD7826D" w14:textId="77777777" w:rsidR="00B5050A" w:rsidRPr="00687CB4" w:rsidRDefault="00B5050A" w:rsidP="00B5050A">
      <w:pPr>
        <w:widowControl w:val="0"/>
        <w:autoSpaceDE w:val="0"/>
        <w:autoSpaceDN w:val="0"/>
        <w:spacing w:after="120" w:line="276" w:lineRule="auto"/>
        <w:ind w:firstLine="709"/>
        <w:jc w:val="both"/>
        <w:rPr>
          <w:rFonts w:ascii="Arial" w:eastAsia="Arial" w:hAnsi="Arial" w:cs="Arial"/>
          <w:color w:val="000000"/>
          <w:lang w:val="es-ES" w:eastAsia="es-ES" w:bidi="es-ES"/>
        </w:rPr>
      </w:pPr>
      <w:r w:rsidRPr="00687CB4">
        <w:rPr>
          <w:rFonts w:ascii="Arial" w:eastAsia="Arial" w:hAnsi="Arial" w:cs="Arial"/>
          <w:color w:val="000000"/>
          <w:lang w:val="es-ES" w:eastAsia="es-ES" w:bidi="es-ES"/>
        </w:rPr>
        <w:t>Sobre este último punto, la doctrina</w:t>
      </w:r>
      <w:r w:rsidRPr="00687CB4">
        <w:rPr>
          <w:rFonts w:ascii="Arial" w:eastAsia="Arial" w:hAnsi="Arial" w:cs="Arial"/>
          <w:color w:val="000000"/>
          <w:vertAlign w:val="superscript"/>
          <w:lang w:val="es-ES" w:eastAsia="es-ES" w:bidi="es-ES"/>
        </w:rPr>
        <w:footnoteReference w:id="11"/>
      </w:r>
      <w:r w:rsidRPr="00687CB4">
        <w:rPr>
          <w:rFonts w:ascii="Arial" w:eastAsia="Arial" w:hAnsi="Arial" w:cs="Arial"/>
          <w:color w:val="000000"/>
          <w:lang w:val="es-ES" w:eastAsia="es-ES" w:bidi="es-ES"/>
        </w:rPr>
        <w:t xml:space="preserve"> ha precisado que cuando </w:t>
      </w:r>
      <w:r w:rsidRPr="00687CB4">
        <w:rPr>
          <w:rFonts w:ascii="Arial" w:eastAsia="Arial" w:hAnsi="Arial" w:cs="Arial"/>
          <w:color w:val="000000"/>
          <w:lang w:val="es-MX" w:eastAsia="es-ES" w:bidi="es-ES"/>
        </w:rPr>
        <w:t>«</w:t>
      </w:r>
      <w:r w:rsidRPr="00687CB4">
        <w:rPr>
          <w:rFonts w:ascii="Arial" w:eastAsia="Arial" w:hAnsi="Arial" w:cs="Arial"/>
          <w:color w:val="000000"/>
          <w:lang w:val="es-ES" w:eastAsia="es-ES" w:bidi="es-ES"/>
        </w:rPr>
        <w:t>se alude a la modificación del contrato se lo hace para referirse a alteraciones, variaciones, sustituciones de calidad, componentes o número de obras, bienes o servicios. No implican la sustitución del género del contrato sino modificaciones que responden a necesidades sobrevivientes o a errores en la fase previa</w:t>
      </w:r>
      <w:r w:rsidRPr="00687CB4">
        <w:rPr>
          <w:rFonts w:ascii="Arial" w:eastAsia="Arial" w:hAnsi="Arial" w:cs="Arial"/>
          <w:color w:val="000000"/>
          <w:lang w:val="es-MX" w:eastAsia="es-ES" w:bidi="es-ES"/>
        </w:rPr>
        <w:t>»</w:t>
      </w:r>
      <w:r w:rsidRPr="00687CB4">
        <w:rPr>
          <w:rFonts w:ascii="Arial" w:eastAsia="Arial" w:hAnsi="Arial" w:cs="Arial"/>
          <w:color w:val="000000"/>
          <w:vertAlign w:val="superscript"/>
          <w:lang w:val="es-MX" w:eastAsia="es-ES" w:bidi="es-ES"/>
        </w:rPr>
        <w:footnoteReference w:id="12"/>
      </w:r>
      <w:r w:rsidRPr="00687CB4">
        <w:rPr>
          <w:rFonts w:ascii="Arial" w:eastAsia="Arial" w:hAnsi="Arial" w:cs="Arial"/>
          <w:color w:val="000000"/>
          <w:lang w:val="es-ES" w:eastAsia="es-ES" w:bidi="es-ES"/>
        </w:rPr>
        <w:t xml:space="preserve">. </w:t>
      </w:r>
      <w:bookmarkEnd w:id="1"/>
      <w:r w:rsidRPr="00687CB4">
        <w:rPr>
          <w:rFonts w:ascii="Arial" w:eastAsia="Arial" w:hAnsi="Arial" w:cs="Arial"/>
          <w:color w:val="000000"/>
          <w:lang w:val="es-ES" w:eastAsia="es-ES"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68B3756C" w14:textId="77777777" w:rsidR="00B5050A" w:rsidRPr="00687CB4" w:rsidRDefault="00B5050A" w:rsidP="00B5050A">
      <w:pPr>
        <w:widowControl w:val="0"/>
        <w:autoSpaceDE w:val="0"/>
        <w:autoSpaceDN w:val="0"/>
        <w:spacing w:after="0" w:line="276" w:lineRule="auto"/>
        <w:ind w:firstLine="709"/>
        <w:jc w:val="both"/>
        <w:rPr>
          <w:rFonts w:ascii="Arial" w:eastAsia="Arial" w:hAnsi="Arial" w:cs="Arial"/>
          <w:color w:val="000000"/>
          <w:lang w:val="es-ES" w:eastAsia="es-ES" w:bidi="es-ES"/>
        </w:rPr>
      </w:pPr>
      <w:r w:rsidRPr="00687CB4">
        <w:rPr>
          <w:rFonts w:ascii="Arial" w:eastAsia="Arial" w:hAnsi="Arial" w:cs="Arial"/>
          <w:color w:val="000000"/>
          <w:lang w:val="es-ES" w:eastAsia="es-ES" w:bidi="es-ES"/>
        </w:rPr>
        <w:t xml:space="preserve">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47ACAABE" w14:textId="77777777" w:rsidR="00B5050A" w:rsidRPr="00687CB4" w:rsidRDefault="00B5050A" w:rsidP="00B5050A">
      <w:pPr>
        <w:widowControl w:val="0"/>
        <w:autoSpaceDE w:val="0"/>
        <w:autoSpaceDN w:val="0"/>
        <w:spacing w:after="0" w:line="276" w:lineRule="auto"/>
        <w:jc w:val="both"/>
        <w:rPr>
          <w:rFonts w:ascii="Arial" w:eastAsia="Arial" w:hAnsi="Arial" w:cs="Arial"/>
          <w:color w:val="000000"/>
          <w:lang w:val="es-ES" w:eastAsia="es-ES" w:bidi="es-ES"/>
        </w:rPr>
      </w:pPr>
    </w:p>
    <w:p w14:paraId="461F1430" w14:textId="77777777" w:rsidR="00B5050A" w:rsidRPr="00687CB4" w:rsidRDefault="00B5050A" w:rsidP="00B5050A">
      <w:pPr>
        <w:widowControl w:val="0"/>
        <w:autoSpaceDE w:val="0"/>
        <w:autoSpaceDN w:val="0"/>
        <w:spacing w:after="0" w:line="276" w:lineRule="auto"/>
        <w:jc w:val="both"/>
        <w:rPr>
          <w:rFonts w:ascii="Arial" w:eastAsia="Arial" w:hAnsi="Arial" w:cs="Arial"/>
          <w:b/>
          <w:bCs/>
          <w:color w:val="000000"/>
          <w:lang w:val="es-ES" w:eastAsia="es-ES" w:bidi="es-ES"/>
        </w:rPr>
      </w:pPr>
      <w:r w:rsidRPr="00687CB4">
        <w:rPr>
          <w:rFonts w:ascii="Arial" w:eastAsia="Arial" w:hAnsi="Arial" w:cs="Arial"/>
          <w:b/>
          <w:bCs/>
          <w:color w:val="000000"/>
          <w:lang w:val="es-ES" w:eastAsia="es-ES" w:bidi="es-ES"/>
        </w:rPr>
        <w:t>2.2. Adición del contrato estatal. Artículo 40 de la Ley 80 de 1993</w:t>
      </w:r>
    </w:p>
    <w:p w14:paraId="3156551F" w14:textId="77777777" w:rsidR="00B5050A" w:rsidRPr="00687CB4" w:rsidRDefault="00B5050A" w:rsidP="00B5050A">
      <w:pPr>
        <w:widowControl w:val="0"/>
        <w:autoSpaceDE w:val="0"/>
        <w:autoSpaceDN w:val="0"/>
        <w:spacing w:after="0" w:line="276" w:lineRule="auto"/>
        <w:jc w:val="both"/>
        <w:rPr>
          <w:rFonts w:ascii="Arial" w:eastAsia="Arial" w:hAnsi="Arial" w:cs="Arial"/>
          <w:b/>
          <w:bCs/>
          <w:color w:val="000000"/>
          <w:lang w:val="es-ES" w:eastAsia="es-ES" w:bidi="es-ES"/>
        </w:rPr>
      </w:pPr>
    </w:p>
    <w:p w14:paraId="580C5E60" w14:textId="77777777" w:rsidR="00B5050A" w:rsidRPr="00687CB4" w:rsidRDefault="00B5050A" w:rsidP="00B5050A">
      <w:pPr>
        <w:widowControl w:val="0"/>
        <w:autoSpaceDE w:val="0"/>
        <w:autoSpaceDN w:val="0"/>
        <w:spacing w:after="0" w:line="276" w:lineRule="auto"/>
        <w:jc w:val="both"/>
        <w:rPr>
          <w:rFonts w:ascii="Arial" w:eastAsia="Arial" w:hAnsi="Arial" w:cs="Arial"/>
          <w:color w:val="000000"/>
          <w:lang w:val="es-ES" w:eastAsia="es-ES" w:bidi="es-ES"/>
        </w:rPr>
      </w:pPr>
      <w:r w:rsidRPr="00687CB4">
        <w:rPr>
          <w:rFonts w:ascii="Arial" w:eastAsia="Arial" w:hAnsi="Arial" w:cs="Arial"/>
          <w:color w:val="000000"/>
          <w:lang w:val="es-ES" w:eastAsia="es-ES" w:bidi="es-ES"/>
        </w:rPr>
        <w:t xml:space="preserve">Como es sabido, uno de los elementos más comunes en los contratos estatales es el </w:t>
      </w:r>
      <w:r w:rsidRPr="00687CB4">
        <w:rPr>
          <w:rFonts w:ascii="Arial" w:eastAsia="Arial" w:hAnsi="Arial" w:cs="Arial"/>
          <w:i/>
          <w:iCs/>
          <w:color w:val="000000"/>
          <w:lang w:val="es-ES" w:eastAsia="es-ES" w:bidi="es-ES"/>
        </w:rPr>
        <w:t xml:space="preserve">precio </w:t>
      </w:r>
      <w:r w:rsidRPr="00687CB4">
        <w:rPr>
          <w:rFonts w:ascii="Arial" w:eastAsia="Arial" w:hAnsi="Arial" w:cs="Arial"/>
          <w:color w:val="000000"/>
          <w:lang w:val="es-ES" w:eastAsia="es-ES" w:bidi="es-ES"/>
        </w:rPr>
        <w:t xml:space="preserve">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w:t>
      </w:r>
      <w:r w:rsidRPr="00687CB4">
        <w:rPr>
          <w:rFonts w:ascii="Arial" w:eastAsia="Arial" w:hAnsi="Arial" w:cs="Arial"/>
          <w:color w:val="000000"/>
          <w:lang w:val="es-ES" w:eastAsia="es-ES" w:bidi="es-ES"/>
        </w:rPr>
        <w:lastRenderedPageBreak/>
        <w:t>para el contratista, porque equivale a la remuneración que la entidad contratante le pagará por la ejecución del objeto contractual.</w:t>
      </w:r>
    </w:p>
    <w:p w14:paraId="6D8D7A17" w14:textId="77777777" w:rsidR="00B5050A" w:rsidRPr="00687CB4" w:rsidRDefault="00B5050A" w:rsidP="00B5050A">
      <w:pPr>
        <w:widowControl w:val="0"/>
        <w:autoSpaceDE w:val="0"/>
        <w:autoSpaceDN w:val="0"/>
        <w:spacing w:before="120" w:after="0" w:line="276" w:lineRule="auto"/>
        <w:jc w:val="both"/>
        <w:rPr>
          <w:rFonts w:ascii="Arial" w:eastAsia="Times New Roman" w:hAnsi="Arial" w:cs="Arial"/>
          <w:bCs/>
          <w:lang w:val="es-ES_tradnl" w:eastAsia="es-ES_tradnl"/>
        </w:rPr>
      </w:pPr>
      <w:r w:rsidRPr="00687CB4">
        <w:rPr>
          <w:rFonts w:ascii="Arial" w:eastAsia="Arial" w:hAnsi="Arial" w:cs="Arial"/>
          <w:color w:val="000000"/>
          <w:lang w:val="es-ES" w:eastAsia="es-ES" w:bidi="es-ES"/>
        </w:rPr>
        <w:tab/>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687CB4">
        <w:rPr>
          <w:rFonts w:ascii="Arial" w:eastAsia="Times New Roman" w:hAnsi="Arial" w:cs="Arial"/>
          <w:vertAlign w:val="superscript"/>
          <w:lang w:val="es-ES" w:eastAsia="es-ES"/>
        </w:rPr>
        <w:footnoteReference w:id="13"/>
      </w:r>
      <w:r w:rsidRPr="00687CB4">
        <w:rPr>
          <w:rFonts w:ascii="Arial" w:eastAsia="Times New Roman" w:hAnsi="Arial" w:cs="Arial"/>
          <w:lang w:val="es-ES" w:eastAsia="es-ES"/>
        </w:rPr>
        <w:t>.</w:t>
      </w:r>
    </w:p>
    <w:p w14:paraId="6791AFCD" w14:textId="77777777" w:rsidR="00B5050A" w:rsidRPr="00687CB4" w:rsidRDefault="00B5050A" w:rsidP="00B5050A">
      <w:pPr>
        <w:widowControl w:val="0"/>
        <w:autoSpaceDE w:val="0"/>
        <w:autoSpaceDN w:val="0"/>
        <w:spacing w:before="120" w:after="0" w:line="276" w:lineRule="auto"/>
        <w:jc w:val="both"/>
        <w:rPr>
          <w:rFonts w:ascii="Arial" w:eastAsia="Times New Roman" w:hAnsi="Arial" w:cs="Arial"/>
          <w:bCs/>
          <w:lang w:val="es-ES_tradnl" w:eastAsia="es-ES_tradnl"/>
        </w:rPr>
      </w:pPr>
      <w:r w:rsidRPr="00687CB4">
        <w:rPr>
          <w:rFonts w:ascii="Arial" w:eastAsia="Times New Roman" w:hAnsi="Arial" w:cs="Arial"/>
          <w:bCs/>
          <w:lang w:val="es-ES_tradnl" w:eastAsia="es-ES_tradnl"/>
        </w:rPr>
        <w:tab/>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comprometen el objeto del contrato–, </w:t>
      </w:r>
      <w:proofErr w:type="spellStart"/>
      <w:r w:rsidRPr="00687CB4">
        <w:rPr>
          <w:rFonts w:ascii="Arial" w:eastAsia="Times New Roman" w:hAnsi="Arial" w:cs="Arial"/>
          <w:bCs/>
          <w:lang w:val="es-ES_tradnl" w:eastAsia="es-ES_tradnl"/>
        </w:rPr>
        <w:t>ii</w:t>
      </w:r>
      <w:proofErr w:type="spellEnd"/>
      <w:r w:rsidRPr="00687CB4">
        <w:rPr>
          <w:rFonts w:ascii="Arial" w:eastAsia="Times New Roman" w:hAnsi="Arial" w:cs="Arial"/>
          <w:bCs/>
          <w:lang w:val="es-ES_tradnl" w:eastAsia="es-ES_tradnl"/>
        </w:rPr>
        <w:t xml:space="preserve">) el precio global –que equivale al monto total, sin discriminar unidades–, y </w:t>
      </w:r>
      <w:proofErr w:type="spellStart"/>
      <w:r w:rsidRPr="00687CB4">
        <w:rPr>
          <w:rFonts w:ascii="Arial" w:eastAsia="Times New Roman" w:hAnsi="Arial" w:cs="Arial"/>
          <w:bCs/>
          <w:lang w:val="es-ES_tradnl" w:eastAsia="es-ES_tradnl"/>
        </w:rPr>
        <w:t>iii</w:t>
      </w:r>
      <w:proofErr w:type="spellEnd"/>
      <w:r w:rsidRPr="00687CB4">
        <w:rPr>
          <w:rFonts w:ascii="Arial" w:eastAsia="Times New Roman" w:hAnsi="Arial" w:cs="Arial"/>
          <w:bCs/>
          <w:lang w:val="es-ES_tradnl" w:eastAsia="es-ES_tradnl"/>
        </w:rPr>
        <w:t>) la administración delegada de recursos –en la que se distinguen los costos de inversión de los honorarios del administrador–.</w:t>
      </w:r>
    </w:p>
    <w:p w14:paraId="5B123798" w14:textId="77777777" w:rsidR="00B5050A" w:rsidRPr="00687CB4" w:rsidRDefault="00B5050A" w:rsidP="00B5050A">
      <w:pPr>
        <w:widowControl w:val="0"/>
        <w:autoSpaceDE w:val="0"/>
        <w:autoSpaceDN w:val="0"/>
        <w:spacing w:before="120" w:after="0" w:line="276" w:lineRule="auto"/>
        <w:jc w:val="both"/>
        <w:rPr>
          <w:rFonts w:ascii="Arial" w:eastAsia="Times New Roman" w:hAnsi="Arial" w:cs="Arial"/>
          <w:lang w:val="es-ES_tradnl" w:eastAsia="es-ES_tradnl"/>
        </w:rPr>
      </w:pPr>
      <w:r w:rsidRPr="00687CB4">
        <w:rPr>
          <w:rFonts w:ascii="Arial" w:eastAsia="Times New Roman" w:hAnsi="Arial" w:cs="Arial"/>
          <w:bCs/>
          <w:lang w:val="es-ES_tradnl" w:eastAsia="es-ES_tradnl"/>
        </w:rPr>
        <w:tab/>
      </w:r>
      <w:r w:rsidRPr="00687CB4">
        <w:rPr>
          <w:rFonts w:ascii="Arial" w:eastAsia="Times New Roman" w:hAnsi="Arial" w:cs="Arial"/>
          <w:lang w:val="es-ES" w:eastAsia="es-ES"/>
        </w:rPr>
        <w:t xml:space="preserve">Por ejemplo,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687CB4">
        <w:rPr>
          <w:rFonts w:ascii="Arial" w:eastAsia="Times New Roman" w:hAnsi="Arial" w:cs="Arial"/>
          <w:i/>
          <w:lang w:val="es-ES" w:eastAsia="es-ES"/>
        </w:rPr>
        <w:t xml:space="preserve">ítems </w:t>
      </w:r>
      <w:r w:rsidRPr="00687CB4">
        <w:rPr>
          <w:rFonts w:ascii="Arial" w:eastAsia="Times New Roman" w:hAnsi="Arial" w:cs="Arial"/>
          <w:lang w:val="es-ES" w:eastAsia="es-ES"/>
        </w:rPr>
        <w:t>según su unidad de medida, los costos indirectos se suelen abreviar en las variables que integran el acrónimo AIU –Administración, Imprevistos y Utilidad–, que se calcula como un porcentaje aplicado a los costos indirectos</w:t>
      </w:r>
      <w:r w:rsidRPr="00687CB4">
        <w:rPr>
          <w:rFonts w:ascii="Arial" w:eastAsia="Times New Roman" w:hAnsi="Arial" w:cs="Arial"/>
          <w:vertAlign w:val="superscript"/>
          <w:lang w:val="es-ES" w:eastAsia="es-ES"/>
        </w:rPr>
        <w:footnoteReference w:id="14"/>
      </w:r>
      <w:r w:rsidRPr="00687CB4">
        <w:rPr>
          <w:rFonts w:ascii="Arial" w:eastAsia="Times New Roman" w:hAnsi="Arial" w:cs="Arial"/>
          <w:lang w:val="es-ES" w:eastAsia="es-ES"/>
        </w:rPr>
        <w:t>.</w:t>
      </w:r>
    </w:p>
    <w:p w14:paraId="64EBA02D" w14:textId="77777777" w:rsidR="00B5050A" w:rsidRPr="00687CB4" w:rsidRDefault="00B5050A" w:rsidP="00B5050A">
      <w:pPr>
        <w:widowControl w:val="0"/>
        <w:autoSpaceDE w:val="0"/>
        <w:autoSpaceDN w:val="0"/>
        <w:spacing w:before="120" w:after="0" w:line="276" w:lineRule="auto"/>
        <w:jc w:val="both"/>
        <w:rPr>
          <w:rFonts w:ascii="Arial" w:eastAsia="Times New Roman" w:hAnsi="Arial" w:cs="Arial"/>
          <w:lang w:val="es-ES_tradnl" w:eastAsia="es-ES_tradnl"/>
        </w:rPr>
      </w:pPr>
      <w:r w:rsidRPr="00687CB4">
        <w:rPr>
          <w:rFonts w:ascii="Arial" w:eastAsia="Times New Roman" w:hAnsi="Arial" w:cs="Arial"/>
          <w:lang w:val="es-ES_tradnl" w:eastAsia="es-ES_tradnl"/>
        </w:rPr>
        <w:tab/>
        <w:t xml:space="preserve">En ese orden de ideas, tanto las entidades sometidas al Estatuto General de Contratación </w:t>
      </w:r>
      <w:r w:rsidRPr="00687CB4">
        <w:rPr>
          <w:rFonts w:ascii="Arial" w:eastAsia="Times New Roman" w:hAnsi="Arial" w:cs="Arial"/>
          <w:lang w:val="es-ES_tradnl" w:eastAsia="es-ES_tradnl"/>
        </w:rPr>
        <w:lastRenderedPageBreak/>
        <w:t>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Para las entidades que se rigen por el Estatuto General de Contratación de la Administración Pública, tal autonomía está reconocida en los artículos 13, 32 y 40 de la Ley 80 de 1993.</w:t>
      </w:r>
    </w:p>
    <w:p w14:paraId="3E6CD602" w14:textId="77777777" w:rsidR="00B5050A" w:rsidRPr="00687CB4" w:rsidRDefault="00B5050A" w:rsidP="00B5050A">
      <w:pPr>
        <w:widowControl w:val="0"/>
        <w:autoSpaceDE w:val="0"/>
        <w:autoSpaceDN w:val="0"/>
        <w:spacing w:before="120" w:after="0" w:line="276" w:lineRule="auto"/>
        <w:jc w:val="both"/>
        <w:rPr>
          <w:rFonts w:ascii="Arial" w:eastAsia="Times New Roman" w:hAnsi="Arial" w:cs="Arial"/>
          <w:lang w:val="es-ES_tradnl" w:eastAsia="es-ES_tradnl"/>
        </w:rPr>
      </w:pPr>
      <w:r w:rsidRPr="00687CB4">
        <w:rPr>
          <w:rFonts w:ascii="Arial" w:eastAsia="Times New Roman" w:hAnsi="Arial" w:cs="Arial"/>
          <w:lang w:val="es-ES_tradnl" w:eastAsia="es-ES_tradnl"/>
        </w:rPr>
        <w:tab/>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se pretende satisfacer. No obstante, durante la ejecución del contrato, las partes identifican alguna de las siguientes situaciones: i) la necesidad de mayores cantidades de bienes o actividades a los inicialmente previstos, a lo que se conoce como «mayores cantidades de obra», «obras adicionales» o adición de «ítems contractuales»; y </w:t>
      </w:r>
      <w:proofErr w:type="spellStart"/>
      <w:r w:rsidRPr="00687CB4">
        <w:rPr>
          <w:rFonts w:ascii="Arial" w:eastAsia="Times New Roman" w:hAnsi="Arial" w:cs="Arial"/>
          <w:lang w:val="es-ES_tradnl" w:eastAsia="es-ES_tradnl"/>
        </w:rPr>
        <w:t>ii</w:t>
      </w:r>
      <w:proofErr w:type="spellEnd"/>
      <w:r w:rsidRPr="00687CB4">
        <w:rPr>
          <w:rFonts w:ascii="Arial" w:eastAsia="Times New Roman" w:hAnsi="Arial" w:cs="Arial"/>
          <w:lang w:val="es-ES_tradnl" w:eastAsia="es-ES_tradnl"/>
        </w:rPr>
        <w:t>) la necesidad de ampliar las prestaciones contractuales, mediante la ejecución de nuevos ítems o actividades, no incluidos en el contrato inicial, para lo que en la práctica las entidades ejecutan «obras extras» o «amplían el alcance» del contrato mediante la celebración de un «contrato adicional».</w:t>
      </w:r>
    </w:p>
    <w:p w14:paraId="705AE7A3" w14:textId="77777777" w:rsidR="00B5050A" w:rsidRPr="00687CB4" w:rsidRDefault="00B5050A" w:rsidP="00B5050A">
      <w:pPr>
        <w:spacing w:before="120" w:after="0" w:line="276" w:lineRule="auto"/>
        <w:ind w:firstLine="709"/>
        <w:jc w:val="both"/>
        <w:rPr>
          <w:rFonts w:ascii="Arial" w:eastAsia="Calibri" w:hAnsi="Arial" w:cs="Arial"/>
          <w:bCs/>
          <w:lang w:val="es-ES_tradnl"/>
        </w:rPr>
      </w:pPr>
      <w:r w:rsidRPr="00687CB4">
        <w:rPr>
          <w:rFonts w:ascii="Arial" w:eastAsia="Times New Roman" w:hAnsi="Arial" w:cs="Arial"/>
          <w:lang w:val="es-ES" w:eastAsia="es-ES"/>
        </w:rPr>
        <w:t xml:space="preserve">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Lo importante es que frente a cualquier incremento del valor inicial del contrato, que es lo que implica una </w:t>
      </w:r>
      <w:r w:rsidRPr="00687CB4">
        <w:rPr>
          <w:rFonts w:ascii="Arial" w:eastAsia="Times New Roman" w:hAnsi="Arial" w:cs="Arial"/>
          <w:i/>
          <w:lang w:val="es-ES" w:eastAsia="es-ES"/>
        </w:rPr>
        <w:t xml:space="preserve">adición, </w:t>
      </w:r>
      <w:r w:rsidRPr="00687CB4">
        <w:rPr>
          <w:rFonts w:ascii="Arial" w:eastAsia="Times New Roman" w:hAnsi="Arial" w:cs="Arial"/>
          <w:lang w:val="es-ES" w:eastAsia="es-ES"/>
        </w:rPr>
        <w:t>por cualquiera de los dos supuestos señalados previamente, e independiente del nombre que se le dé al acuerdo, aplica el límite previsto en el parágrafo del artículo 40 de la Ley 80 de 1993:</w:t>
      </w:r>
      <w:r w:rsidRPr="00687CB4">
        <w:rPr>
          <w:rFonts w:ascii="Arial" w:eastAsia="Calibri" w:hAnsi="Arial" w:cs="Arial"/>
          <w:color w:val="000000"/>
          <w:lang w:val="es-ES"/>
        </w:rPr>
        <w:t xml:space="preserve">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Pr="00687CB4">
        <w:rPr>
          <w:rFonts w:ascii="Arial" w:eastAsia="Calibri" w:hAnsi="Arial" w:cs="Arial"/>
          <w:color w:val="000000"/>
          <w:vertAlign w:val="superscript"/>
          <w:lang w:val="es-ES"/>
        </w:rPr>
        <w:footnoteReference w:id="15"/>
      </w:r>
      <w:r w:rsidRPr="00687CB4">
        <w:rPr>
          <w:rFonts w:ascii="Arial" w:eastAsia="Calibri" w:hAnsi="Arial" w:cs="Arial"/>
          <w:color w:val="000000"/>
          <w:lang w:val="es-ES"/>
        </w:rPr>
        <w:t>.</w:t>
      </w:r>
    </w:p>
    <w:p w14:paraId="6A753B0B" w14:textId="77777777" w:rsidR="00B5050A" w:rsidRPr="00687CB4" w:rsidRDefault="00B5050A" w:rsidP="00B5050A">
      <w:pPr>
        <w:widowControl w:val="0"/>
        <w:autoSpaceDE w:val="0"/>
        <w:autoSpaceDN w:val="0"/>
        <w:spacing w:before="120" w:after="0" w:line="276" w:lineRule="auto"/>
        <w:jc w:val="both"/>
        <w:rPr>
          <w:rFonts w:ascii="Arial" w:eastAsia="Calibri" w:hAnsi="Arial" w:cs="Arial"/>
          <w:color w:val="000000"/>
          <w:lang w:val="es-ES_tradnl"/>
        </w:rPr>
      </w:pPr>
      <w:r w:rsidRPr="00687CB4">
        <w:rPr>
          <w:rFonts w:ascii="Arial" w:eastAsia="Times New Roman" w:hAnsi="Arial" w:cs="Arial"/>
          <w:sz w:val="21"/>
          <w:szCs w:val="21"/>
          <w:lang w:val="es-ES_tradnl" w:eastAsia="es-ES_tradnl"/>
        </w:rPr>
        <w:tab/>
      </w:r>
      <w:r w:rsidRPr="00687CB4">
        <w:rPr>
          <w:rFonts w:ascii="Arial" w:eastAsia="Times New Roman" w:hAnsi="Arial" w:cs="Arial"/>
          <w:lang w:val="es-ES_tradnl" w:eastAsia="es-ES_tradnl"/>
        </w:rPr>
        <w:t xml:space="preserve">Dicha norma, además de consagrar una prohibición trae implícita una autorización, consistente en la posibilidad de adicionar los contratos estatales, siempre que no se supere el tope establecido. Ahora bien, teniendo en cuenta que el peticionario indaga sobre la forma de efectuar el cálculo del límite cuantitativo de la adición, basta con remitirse a lo dispuesto en el parágrafo del artículo 40 de la Ley 80 de 1993 </w:t>
      </w:r>
      <w:r w:rsidRPr="00687CB4">
        <w:rPr>
          <w:rFonts w:ascii="Arial" w:eastAsia="Calibri" w:hAnsi="Arial" w:cs="Arial"/>
          <w:color w:val="000000"/>
          <w:lang w:val="es-ES_tradnl"/>
        </w:rPr>
        <w:t>«Los contratos no podrán adicionarse en más del cincuenta por ciento (50%) de su valor inicial, expresado éste en salarios mínimos legales mensuales».</w:t>
      </w:r>
    </w:p>
    <w:p w14:paraId="2E670551" w14:textId="77777777" w:rsidR="00B5050A" w:rsidRPr="00687CB4" w:rsidRDefault="00B5050A" w:rsidP="00B5050A">
      <w:pPr>
        <w:widowControl w:val="0"/>
        <w:autoSpaceDE w:val="0"/>
        <w:autoSpaceDN w:val="0"/>
        <w:spacing w:before="120" w:after="0" w:line="276" w:lineRule="auto"/>
        <w:jc w:val="both"/>
        <w:rPr>
          <w:rFonts w:ascii="Arial" w:eastAsia="Times New Roman" w:hAnsi="Arial" w:cs="Arial"/>
          <w:sz w:val="21"/>
          <w:szCs w:val="21"/>
          <w:lang w:val="es-ES_tradnl" w:eastAsia="es-ES_tradnl"/>
        </w:rPr>
      </w:pPr>
      <w:r w:rsidRPr="00687CB4">
        <w:rPr>
          <w:rFonts w:ascii="Arial" w:eastAsia="Calibri" w:hAnsi="Arial" w:cs="Arial"/>
          <w:color w:val="000000"/>
          <w:lang w:val="es-ES_tradnl"/>
        </w:rPr>
        <w:tab/>
        <w:t xml:space="preserve">En consecuencia, al momento de hacer la adición se debe tener en cuenta que el cálculo del límite debe hacerse en salarios mínimos para efectos de que el cálculo del tope sea preciso, </w:t>
      </w:r>
      <w:r w:rsidRPr="00687CB4">
        <w:rPr>
          <w:rFonts w:ascii="Arial" w:eastAsia="Calibri" w:hAnsi="Arial" w:cs="Arial"/>
          <w:color w:val="000000"/>
          <w:lang w:val="es-ES_tradnl"/>
        </w:rPr>
        <w:lastRenderedPageBreak/>
        <w:t>de manera que para adicionar un contrato deber dividirse el valor inicial por el salario mínimo vigente al momento de la suscripción del contrato, y luego dividirlo por 2; el resultado obtenido constituirá el número del SMMLV por los cuales podrá adicionarse el contrato. En ese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4143B29E" w14:textId="77777777" w:rsidR="00B5050A" w:rsidRPr="00687CB4" w:rsidRDefault="00B5050A" w:rsidP="00B5050A">
      <w:pPr>
        <w:widowControl w:val="0"/>
        <w:autoSpaceDE w:val="0"/>
        <w:autoSpaceDN w:val="0"/>
        <w:spacing w:before="120" w:after="0" w:line="276" w:lineRule="auto"/>
        <w:ind w:firstLine="709"/>
        <w:jc w:val="both"/>
        <w:rPr>
          <w:rFonts w:ascii="Arial" w:eastAsia="Arial" w:hAnsi="Arial" w:cs="Arial"/>
          <w:color w:val="000000"/>
          <w:lang w:val="es-ES" w:eastAsia="es-ES" w:bidi="es-ES"/>
        </w:rPr>
      </w:pPr>
      <w:r w:rsidRPr="00687CB4">
        <w:rPr>
          <w:rFonts w:ascii="Arial" w:eastAsia="Arial" w:hAnsi="Arial" w:cs="Arial"/>
          <w:color w:val="000000"/>
          <w:lang w:val="es-ES" w:eastAsia="es-ES" w:bidi="es-ES"/>
        </w:rPr>
        <w:t>El razonamiento anterior se soporta en la forma como la Ley 80 de 1993 estableció el tope para las adiciones, acudiendo a una forma de actualización del valor, de acuerdo con los incrementos que tenga el salario mínimo, lo que resulta especialmente relevante en contratos de larga duración.</w:t>
      </w:r>
    </w:p>
    <w:p w14:paraId="5D282818" w14:textId="77777777" w:rsidR="00B5050A" w:rsidRPr="00687CB4" w:rsidRDefault="00B5050A" w:rsidP="00B5050A">
      <w:pPr>
        <w:widowControl w:val="0"/>
        <w:autoSpaceDE w:val="0"/>
        <w:autoSpaceDN w:val="0"/>
        <w:spacing w:after="0" w:line="276" w:lineRule="auto"/>
        <w:ind w:firstLine="709"/>
        <w:jc w:val="both"/>
        <w:rPr>
          <w:rFonts w:ascii="Arial" w:eastAsia="Arial" w:hAnsi="Arial" w:cs="Arial"/>
          <w:color w:val="000000"/>
          <w:lang w:val="es-ES" w:eastAsia="es-ES" w:bidi="es-ES"/>
        </w:rPr>
      </w:pPr>
    </w:p>
    <w:p w14:paraId="6897129C" w14:textId="77777777" w:rsidR="00B5050A" w:rsidRPr="00687CB4" w:rsidRDefault="00B5050A" w:rsidP="00B5050A">
      <w:pPr>
        <w:tabs>
          <w:tab w:val="left" w:pos="0"/>
        </w:tabs>
        <w:spacing w:after="0" w:line="276" w:lineRule="auto"/>
        <w:jc w:val="both"/>
        <w:rPr>
          <w:rFonts w:ascii="Arial" w:eastAsia="Calibri" w:hAnsi="Arial" w:cs="Arial"/>
          <w:b/>
          <w:lang w:val="es-ES_tradnl" w:eastAsia="es-ES_tradnl"/>
        </w:rPr>
      </w:pPr>
      <w:r w:rsidRPr="00687CB4">
        <w:rPr>
          <w:rFonts w:ascii="Arial" w:eastAsia="Calibri" w:hAnsi="Arial" w:cs="Arial"/>
          <w:b/>
          <w:lang w:val="es-ES_tradnl" w:eastAsia="es-ES_tradnl"/>
        </w:rPr>
        <w:t>3. Respuesta</w:t>
      </w:r>
    </w:p>
    <w:p w14:paraId="06B1C81C" w14:textId="77777777" w:rsidR="00B5050A" w:rsidRPr="00687CB4" w:rsidRDefault="00B5050A" w:rsidP="00B5050A">
      <w:pPr>
        <w:spacing w:after="0" w:line="276" w:lineRule="auto"/>
        <w:ind w:right="709"/>
        <w:jc w:val="both"/>
        <w:rPr>
          <w:rFonts w:ascii="Arial" w:eastAsia="Times New Roman" w:hAnsi="Arial" w:cs="Arial"/>
          <w:lang w:val="es-ES_tradnl" w:eastAsia="es-ES_tradnl"/>
        </w:rPr>
      </w:pPr>
    </w:p>
    <w:p w14:paraId="6D56A10D" w14:textId="77777777" w:rsidR="00B5050A" w:rsidRPr="00687CB4" w:rsidRDefault="00B5050A" w:rsidP="00B5050A">
      <w:pPr>
        <w:autoSpaceDE w:val="0"/>
        <w:autoSpaceDN w:val="0"/>
        <w:adjustRightInd w:val="0"/>
        <w:spacing w:after="0" w:line="240" w:lineRule="auto"/>
        <w:ind w:left="709" w:right="709"/>
        <w:jc w:val="both"/>
        <w:rPr>
          <w:rFonts w:ascii="Arial" w:eastAsia="Calibri" w:hAnsi="Arial" w:cs="Arial"/>
          <w:sz w:val="21"/>
          <w:szCs w:val="21"/>
        </w:rPr>
      </w:pPr>
      <w:r w:rsidRPr="00687CB4">
        <w:rPr>
          <w:rFonts w:ascii="Arial" w:eastAsia="Calibri" w:hAnsi="Arial" w:cs="Arial"/>
          <w:sz w:val="21"/>
          <w:szCs w:val="21"/>
        </w:rPr>
        <w:t>«Durante la ejecución de un contrato con vigencias futuras además de realizar adiciones presupuestales también se ha realizado reducción del valor del contrato en atención a la devolución de recursos no ejecutados al finalizar cada vigencia fiscal.</w:t>
      </w:r>
    </w:p>
    <w:p w14:paraId="2F6D697C" w14:textId="77777777" w:rsidR="00B5050A" w:rsidRPr="00687CB4" w:rsidRDefault="00B5050A" w:rsidP="00B5050A">
      <w:pPr>
        <w:autoSpaceDE w:val="0"/>
        <w:autoSpaceDN w:val="0"/>
        <w:adjustRightInd w:val="0"/>
        <w:spacing w:before="120" w:after="0" w:line="240" w:lineRule="auto"/>
        <w:ind w:left="709" w:right="709"/>
        <w:jc w:val="both"/>
        <w:rPr>
          <w:rFonts w:ascii="Arial" w:eastAsia="Times New Roman" w:hAnsi="Arial" w:cs="Arial"/>
          <w:sz w:val="21"/>
          <w:szCs w:val="21"/>
          <w:lang w:eastAsia="es-ES_tradnl"/>
        </w:rPr>
      </w:pPr>
      <w:proofErr w:type="gramStart"/>
      <w:r w:rsidRPr="00687CB4">
        <w:rPr>
          <w:rFonts w:ascii="Arial" w:eastAsia="Times New Roman" w:hAnsi="Arial" w:cs="Arial"/>
          <w:sz w:val="21"/>
          <w:szCs w:val="21"/>
          <w:lang w:eastAsia="es-ES_tradnl"/>
        </w:rPr>
        <w:t>»Es</w:t>
      </w:r>
      <w:proofErr w:type="gramEnd"/>
      <w:r w:rsidRPr="00687CB4">
        <w:rPr>
          <w:rFonts w:ascii="Arial" w:eastAsia="Times New Roman" w:hAnsi="Arial" w:cs="Arial"/>
          <w:sz w:val="21"/>
          <w:szCs w:val="21"/>
          <w:lang w:eastAsia="es-ES_tradnl"/>
        </w:rPr>
        <w:t xml:space="preserve"> claro para todos que el límite para adicionar presupuestalmente en un contrato estatal es del 50% de su valor inicial expresado en SMMLV, sin embargo, no se tiene una claridad sobre la forma en que se deben tomar los SMMLV correspondientes a las reducciones de los contratos; se deberían sumar o restar los SMMLV correspondientes a las reducciones para calcular el 50%?</w:t>
      </w:r>
    </w:p>
    <w:p w14:paraId="137473F8" w14:textId="77777777" w:rsidR="00B5050A" w:rsidRPr="00687CB4" w:rsidRDefault="00B5050A" w:rsidP="00B5050A">
      <w:pPr>
        <w:autoSpaceDE w:val="0"/>
        <w:autoSpaceDN w:val="0"/>
        <w:adjustRightInd w:val="0"/>
        <w:spacing w:before="120" w:after="0" w:line="240" w:lineRule="auto"/>
        <w:ind w:left="709" w:right="709"/>
        <w:jc w:val="both"/>
        <w:rPr>
          <w:rFonts w:ascii="Arial" w:eastAsia="Times New Roman" w:hAnsi="Arial" w:cs="Arial"/>
          <w:sz w:val="21"/>
          <w:szCs w:val="21"/>
          <w:lang w:eastAsia="es-ES_tradnl"/>
        </w:rPr>
      </w:pPr>
      <w:r w:rsidRPr="00687CB4">
        <w:rPr>
          <w:rFonts w:ascii="Arial" w:eastAsia="Times New Roman" w:hAnsi="Arial" w:cs="Arial"/>
          <w:sz w:val="21"/>
          <w:szCs w:val="21"/>
          <w:lang w:eastAsia="es-ES_tradnl"/>
        </w:rPr>
        <w:t xml:space="preserve">Por lo expuesto, solicito respetuosamente, emitir concepto acerca de la afectación de estas reducciones presupuestales para el </w:t>
      </w:r>
      <w:proofErr w:type="spellStart"/>
      <w:r w:rsidRPr="00687CB4">
        <w:rPr>
          <w:rFonts w:ascii="Arial" w:eastAsia="Times New Roman" w:hAnsi="Arial" w:cs="Arial"/>
          <w:sz w:val="21"/>
          <w:szCs w:val="21"/>
          <w:lang w:eastAsia="es-ES_tradnl"/>
        </w:rPr>
        <w:t>calculo</w:t>
      </w:r>
      <w:proofErr w:type="spellEnd"/>
      <w:r w:rsidRPr="00687CB4">
        <w:rPr>
          <w:rFonts w:ascii="Arial" w:eastAsia="Times New Roman" w:hAnsi="Arial" w:cs="Arial"/>
          <w:sz w:val="21"/>
          <w:szCs w:val="21"/>
          <w:lang w:eastAsia="es-ES_tradnl"/>
        </w:rPr>
        <w:t xml:space="preserve"> de lo expresado en el parágrafo del </w:t>
      </w:r>
      <w:proofErr w:type="spellStart"/>
      <w:r w:rsidRPr="00687CB4">
        <w:rPr>
          <w:rFonts w:ascii="Arial" w:eastAsia="Times New Roman" w:hAnsi="Arial" w:cs="Arial"/>
          <w:sz w:val="21"/>
          <w:szCs w:val="21"/>
          <w:lang w:eastAsia="es-ES_tradnl"/>
        </w:rPr>
        <w:t>articulo</w:t>
      </w:r>
      <w:proofErr w:type="spellEnd"/>
      <w:r w:rsidRPr="00687CB4">
        <w:rPr>
          <w:rFonts w:ascii="Arial" w:eastAsia="Times New Roman" w:hAnsi="Arial" w:cs="Arial"/>
          <w:sz w:val="21"/>
          <w:szCs w:val="21"/>
          <w:lang w:eastAsia="es-ES_tradnl"/>
        </w:rPr>
        <w:t xml:space="preserve"> 40 de la ley 80 de 1993. [sic]»</w:t>
      </w:r>
    </w:p>
    <w:p w14:paraId="7591B43A" w14:textId="77777777" w:rsidR="00B5050A" w:rsidRPr="00687CB4" w:rsidRDefault="00B5050A" w:rsidP="00B5050A">
      <w:pPr>
        <w:autoSpaceDE w:val="0"/>
        <w:autoSpaceDN w:val="0"/>
        <w:adjustRightInd w:val="0"/>
        <w:spacing w:after="0" w:line="240" w:lineRule="auto"/>
        <w:ind w:left="709" w:right="709"/>
        <w:jc w:val="both"/>
        <w:rPr>
          <w:rFonts w:ascii="Arial" w:eastAsia="Calibri" w:hAnsi="Arial" w:cs="Arial"/>
          <w:sz w:val="21"/>
          <w:szCs w:val="21"/>
        </w:rPr>
      </w:pPr>
    </w:p>
    <w:p w14:paraId="71BC0BAE" w14:textId="79EE9A78" w:rsidR="00B5050A" w:rsidRPr="00687CB4" w:rsidRDefault="00B5050A" w:rsidP="00B5050A">
      <w:pPr>
        <w:widowControl w:val="0"/>
        <w:autoSpaceDE w:val="0"/>
        <w:autoSpaceDN w:val="0"/>
        <w:spacing w:after="120" w:line="276" w:lineRule="auto"/>
        <w:jc w:val="both"/>
        <w:rPr>
          <w:rFonts w:ascii="Arial" w:eastAsia="Calibri" w:hAnsi="Arial" w:cs="Arial"/>
          <w:lang w:val="es-ES" w:eastAsia="es-ES"/>
        </w:rPr>
      </w:pPr>
      <w:r w:rsidRPr="00687CB4">
        <w:rPr>
          <w:rFonts w:ascii="Arial" w:eastAsia="Calibri" w:hAnsi="Arial" w:cs="Arial"/>
          <w:lang w:val="es-ES" w:eastAsia="es-ES"/>
        </w:rPr>
        <w:t xml:space="preserve">De conformidad con lo expuesto en este concepto, se </w:t>
      </w:r>
      <w:r w:rsidR="79FC1FF5" w:rsidRPr="00687CB4">
        <w:rPr>
          <w:rFonts w:ascii="Arial" w:eastAsia="Calibri" w:hAnsi="Arial" w:cs="Arial"/>
          <w:lang w:val="es-ES" w:eastAsia="es-ES"/>
        </w:rPr>
        <w:t>re</w:t>
      </w:r>
      <w:r w:rsidRPr="00687CB4">
        <w:rPr>
          <w:rFonts w:ascii="Arial" w:eastAsia="Calibri" w:hAnsi="Arial" w:cs="Arial"/>
          <w:lang w:val="es-ES" w:eastAsia="es-ES"/>
        </w:rPr>
        <w:t xml:space="preserve">itera que la ejecución de los contratos estales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a los inicialmente previstos, a lo que se le conoce como «mayores cantidades de obra», «obras adicionales» o adición  de «ítems contractuales»; y </w:t>
      </w:r>
      <w:proofErr w:type="spellStart"/>
      <w:r w:rsidRPr="00687CB4">
        <w:rPr>
          <w:rFonts w:ascii="Arial" w:eastAsia="Calibri" w:hAnsi="Arial" w:cs="Arial"/>
          <w:lang w:val="es-ES" w:eastAsia="es-ES"/>
        </w:rPr>
        <w:t>ii</w:t>
      </w:r>
      <w:proofErr w:type="spellEnd"/>
      <w:r w:rsidRPr="00687CB4">
        <w:rPr>
          <w:rFonts w:ascii="Arial" w:eastAsia="Calibri" w:hAnsi="Arial" w:cs="Arial"/>
          <w:lang w:val="es-ES" w:eastAsia="es-ES"/>
        </w:rPr>
        <w:t>) la necesidad de ampliar las prestaciones contractuales, mediante la ejecución de nuevos ítems o actividades, no incluidos en el contrato inicial, para  lo que en la práctica las entidades ejecutan «obras extras» o «amplían el alcance» del contrato mediante la celebración de un «contrato adicional».</w:t>
      </w:r>
    </w:p>
    <w:p w14:paraId="561900BB" w14:textId="77777777" w:rsidR="00B5050A" w:rsidRPr="00687CB4" w:rsidRDefault="00B5050A" w:rsidP="00B5050A">
      <w:pPr>
        <w:widowControl w:val="0"/>
        <w:autoSpaceDE w:val="0"/>
        <w:autoSpaceDN w:val="0"/>
        <w:spacing w:after="120" w:line="276" w:lineRule="auto"/>
        <w:jc w:val="both"/>
        <w:rPr>
          <w:rFonts w:ascii="Arial" w:eastAsia="Calibri" w:hAnsi="Arial" w:cs="Arial"/>
          <w:lang w:val="es-ES_tradnl" w:eastAsia="es-ES_tradnl"/>
        </w:rPr>
      </w:pPr>
      <w:r w:rsidRPr="00687CB4">
        <w:rPr>
          <w:rFonts w:ascii="Arial" w:eastAsia="Calibri" w:hAnsi="Arial" w:cs="Arial"/>
          <w:lang w:val="es-ES_tradnl" w:eastAsia="es-ES_tradnl"/>
        </w:rPr>
        <w:tab/>
        <w:t xml:space="preserve">Lo importante es que frente a cualquier incremento del valor inicial del contrato, que es lo que implica una </w:t>
      </w:r>
      <w:r w:rsidRPr="00687CB4">
        <w:rPr>
          <w:rFonts w:ascii="Arial" w:eastAsia="Calibri" w:hAnsi="Arial" w:cs="Arial"/>
          <w:i/>
          <w:iCs/>
          <w:lang w:val="es-ES_tradnl" w:eastAsia="es-ES_tradnl"/>
        </w:rPr>
        <w:t xml:space="preserve">adición, </w:t>
      </w:r>
      <w:r w:rsidRPr="00687CB4">
        <w:rPr>
          <w:rFonts w:ascii="Arial" w:eastAsia="Calibri" w:hAnsi="Arial" w:cs="Arial"/>
          <w:lang w:val="es-ES_tradnl" w:eastAsia="es-ES_tradnl"/>
        </w:rPr>
        <w:t xml:space="preserve">por cualquiera de los dos supuestos señalados previamente, e </w:t>
      </w:r>
      <w:r w:rsidRPr="00687CB4">
        <w:rPr>
          <w:rFonts w:ascii="Arial" w:eastAsia="Calibri" w:hAnsi="Arial" w:cs="Arial"/>
          <w:lang w:val="es-ES_tradnl" w:eastAsia="es-ES_tradnl"/>
        </w:rPr>
        <w:lastRenderedPageBreak/>
        <w:t xml:space="preserve">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 Dicha norma además de consagrar una prohibición trae implícita una autorización, consistente en la posibilidad de adicionar los contratos estatales, siempre que no se supere el tope establecido. Obsérvese que este tope aplica </w:t>
      </w:r>
      <w:r w:rsidRPr="00687CB4">
        <w:rPr>
          <w:rFonts w:ascii="Arial" w:eastAsia="Calibri" w:hAnsi="Arial" w:cs="Arial"/>
          <w:i/>
          <w:iCs/>
          <w:lang w:val="es-ES_tradnl" w:eastAsia="es-ES_tradnl"/>
        </w:rPr>
        <w:t xml:space="preserve">tomando como base el valor inicial del contrato </w:t>
      </w:r>
      <w:r w:rsidRPr="00687CB4">
        <w:rPr>
          <w:rFonts w:ascii="Arial" w:eastAsia="Calibri" w:hAnsi="Arial" w:cs="Arial"/>
          <w:lang w:val="es-ES_tradnl" w:eastAsia="es-ES_tradnl"/>
        </w:rPr>
        <w:t>y no el presupuesto oficial u otro valor.</w:t>
      </w:r>
    </w:p>
    <w:p w14:paraId="183DDCC7" w14:textId="77777777" w:rsidR="00B5050A" w:rsidRPr="00687CB4" w:rsidRDefault="00B5050A" w:rsidP="00B5050A">
      <w:pPr>
        <w:widowControl w:val="0"/>
        <w:autoSpaceDE w:val="0"/>
        <w:autoSpaceDN w:val="0"/>
        <w:spacing w:after="120" w:line="276" w:lineRule="auto"/>
        <w:jc w:val="both"/>
        <w:rPr>
          <w:rFonts w:ascii="Arial" w:eastAsia="Calibri" w:hAnsi="Arial" w:cs="Arial"/>
          <w:lang w:val="es-ES_tradnl" w:eastAsia="es-ES_tradnl"/>
        </w:rPr>
      </w:pPr>
      <w:r w:rsidRPr="00687CB4">
        <w:rPr>
          <w:rFonts w:ascii="Arial" w:eastAsia="Calibri" w:hAnsi="Arial" w:cs="Arial"/>
          <w:lang w:val="es-ES_tradnl" w:eastAsia="es-ES_tradnl"/>
        </w:rPr>
        <w:tab/>
        <w:t>En consecuencia, al momento de hacer la adición se debe tener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SMMLV por los cuales podrá adicionarse el contrato. En ese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184B85C7" w14:textId="77777777" w:rsidR="00B5050A" w:rsidRPr="00687CB4" w:rsidRDefault="00B5050A" w:rsidP="00B5050A">
      <w:pPr>
        <w:spacing w:before="120" w:after="0" w:line="276" w:lineRule="auto"/>
        <w:jc w:val="both"/>
        <w:rPr>
          <w:rFonts w:ascii="Arial" w:eastAsia="Arial" w:hAnsi="Arial" w:cs="Arial"/>
          <w:color w:val="000000"/>
          <w:lang w:val="es-MX"/>
        </w:rPr>
      </w:pPr>
    </w:p>
    <w:p w14:paraId="2457E1B6" w14:textId="77777777" w:rsidR="00B5050A" w:rsidRPr="00687CB4" w:rsidRDefault="00B5050A" w:rsidP="00B5050A">
      <w:pPr>
        <w:spacing w:after="0" w:line="276" w:lineRule="auto"/>
        <w:jc w:val="both"/>
        <w:rPr>
          <w:rFonts w:ascii="Arial" w:eastAsia="Times New Roman" w:hAnsi="Arial" w:cs="Arial"/>
          <w:lang w:val="es-ES_tradnl" w:eastAsia="es-ES_tradnl"/>
        </w:rPr>
      </w:pPr>
      <w:r w:rsidRPr="00687CB4">
        <w:rPr>
          <w:rFonts w:ascii="Arial" w:eastAsia="Calibri" w:hAnsi="Arial" w:cs="Arial"/>
          <w:lang w:val="es-ES_tradnl" w:eastAsia="es-ES_tradnl"/>
        </w:rPr>
        <w:tab/>
      </w:r>
      <w:r w:rsidRPr="00687CB4">
        <w:rPr>
          <w:rFonts w:ascii="Arial" w:eastAsia="Times New Roman" w:hAnsi="Arial" w:cs="Arial"/>
          <w:lang w:val="es-ES_tradnl" w:eastAsia="es-ES_tradnl"/>
        </w:rPr>
        <w:t xml:space="preserve">Este concepto tiene el alcance previsto en el artículo 28 del Código de Procedimiento Administrativo y de lo Contencioso Administrativo </w:t>
      </w:r>
      <w:r w:rsidRPr="00687CB4">
        <w:rPr>
          <w:rFonts w:ascii="Arial" w:eastAsia="Calibri" w:hAnsi="Arial" w:cs="Arial"/>
          <w:lang w:val="es-ES" w:eastAsia="es-MX"/>
        </w:rPr>
        <w:t xml:space="preserve">y </w:t>
      </w:r>
      <w:r w:rsidRPr="00687CB4">
        <w:rPr>
          <w:rFonts w:ascii="Arial" w:eastAsia="Calibri" w:hAnsi="Arial" w:cs="Arial"/>
          <w:lang w:val="es-MX" w:eastAsia="es-ES_tradnl"/>
        </w:rPr>
        <w:t>las expresiones aquí utilizadas con mayúscula inicial deben ser entendidas con el significado que les otorga el artículo 2.2.1.1.1.3.1. del Decreto 1082 de 2015</w:t>
      </w:r>
      <w:r w:rsidRPr="00687CB4">
        <w:rPr>
          <w:rFonts w:ascii="Arial" w:eastAsia="Times New Roman" w:hAnsi="Arial" w:cs="Arial"/>
          <w:lang w:val="es-ES_tradnl" w:eastAsia="es-ES_tradnl"/>
        </w:rPr>
        <w:t>.</w:t>
      </w:r>
    </w:p>
    <w:p w14:paraId="5A7AC25B" w14:textId="77777777" w:rsidR="00B5050A" w:rsidRPr="00687CB4" w:rsidRDefault="00B5050A" w:rsidP="00B5050A">
      <w:pPr>
        <w:spacing w:after="0" w:line="276" w:lineRule="auto"/>
        <w:rPr>
          <w:rFonts w:ascii="Arial" w:eastAsia="Times New Roman" w:hAnsi="Arial" w:cs="Arial"/>
          <w:lang w:eastAsia="es-CO"/>
        </w:rPr>
      </w:pPr>
    </w:p>
    <w:p w14:paraId="327F0296" w14:textId="77777777" w:rsidR="00B5050A" w:rsidRPr="00687CB4" w:rsidRDefault="00B5050A" w:rsidP="00B5050A">
      <w:pPr>
        <w:spacing w:after="0" w:line="276" w:lineRule="auto"/>
        <w:rPr>
          <w:rFonts w:ascii="Arial" w:eastAsia="Times New Roman" w:hAnsi="Arial" w:cs="Arial"/>
          <w:lang w:eastAsia="es-ES_tradnl"/>
        </w:rPr>
      </w:pPr>
      <w:r w:rsidRPr="00687CB4">
        <w:rPr>
          <w:rFonts w:ascii="Arial" w:eastAsia="Times New Roman" w:hAnsi="Arial" w:cs="Arial"/>
          <w:lang w:eastAsia="es-CO"/>
        </w:rPr>
        <w:t>Atentamente,</w:t>
      </w:r>
    </w:p>
    <w:p w14:paraId="4D93130D" w14:textId="071A7258" w:rsidR="00B5050A" w:rsidRPr="00687CB4" w:rsidRDefault="00CB762A" w:rsidP="00B5050A">
      <w:pPr>
        <w:spacing w:after="18" w:line="276" w:lineRule="auto"/>
        <w:jc w:val="center"/>
        <w:rPr>
          <w:rFonts w:ascii="Arial" w:eastAsia="Times New Roman" w:hAnsi="Arial" w:cs="Arial"/>
          <w:lang w:eastAsia="es-CO"/>
        </w:rPr>
      </w:pPr>
      <w:r>
        <w:rPr>
          <w:rFonts w:ascii="Calibri" w:hAnsi="Calibri" w:cs="Calibri"/>
          <w:noProof/>
          <w:color w:val="000000"/>
          <w:shd w:val="clear" w:color="auto" w:fill="FFFFFF"/>
          <w:lang w:val="es-MX"/>
        </w:rPr>
        <w:drawing>
          <wp:inline distT="0" distB="0" distL="0" distR="0" wp14:anchorId="61B600E1" wp14:editId="6930903D">
            <wp:extent cx="3156585" cy="1208405"/>
            <wp:effectExtent l="0" t="0" r="571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Pr>
          <w:rFonts w:ascii="Calibri" w:hAnsi="Calibri" w:cs="Calibri"/>
          <w:color w:val="000000"/>
          <w:shd w:val="clear" w:color="auto" w:fill="FFFFFF"/>
          <w:lang w:val="es-ES"/>
        </w:rPr>
        <w:br/>
      </w:r>
      <w:r w:rsidR="00824570">
        <w:rPr>
          <w:rFonts w:ascii="Calibri" w:hAnsi="Calibri" w:cs="Calibri"/>
          <w:color w:val="000000"/>
          <w:shd w:val="clear" w:color="auto" w:fill="FFFFFF"/>
          <w:lang w:val="es-MX"/>
        </w:rPr>
        <w:br/>
      </w:r>
    </w:p>
    <w:tbl>
      <w:tblPr>
        <w:tblStyle w:val="Tablaconcuadrcula1"/>
        <w:tblpPr w:leftFromText="141" w:rightFromText="141" w:vertAnchor="text" w:horzAnchor="margin" w:tblpY="1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4803"/>
      </w:tblGrid>
      <w:tr w:rsidR="00B5050A" w:rsidRPr="00687CB4" w14:paraId="2EDC3557" w14:textId="77777777" w:rsidTr="000E3937">
        <w:trPr>
          <w:trHeight w:val="299"/>
        </w:trPr>
        <w:tc>
          <w:tcPr>
            <w:tcW w:w="1010" w:type="dxa"/>
            <w:vAlign w:val="center"/>
            <w:hideMark/>
          </w:tcPr>
          <w:bookmarkEnd w:id="0"/>
          <w:p w14:paraId="1E4EBC68" w14:textId="77777777" w:rsidR="00B5050A" w:rsidRPr="00687CB4" w:rsidRDefault="00B5050A" w:rsidP="00B5050A">
            <w:pPr>
              <w:spacing w:line="276" w:lineRule="auto"/>
              <w:rPr>
                <w:rFonts w:ascii="Arial" w:eastAsia="Times New Roman" w:hAnsi="Arial" w:cs="Arial"/>
                <w:sz w:val="18"/>
                <w:szCs w:val="18"/>
                <w:lang w:eastAsia="es-ES"/>
              </w:rPr>
            </w:pPr>
            <w:r w:rsidRPr="00687CB4">
              <w:rPr>
                <w:rFonts w:ascii="Arial" w:eastAsia="Times New Roman" w:hAnsi="Arial" w:cs="Arial"/>
                <w:sz w:val="18"/>
                <w:szCs w:val="18"/>
                <w:lang w:eastAsia="es-ES"/>
              </w:rPr>
              <w:t>Elaboró:</w:t>
            </w:r>
          </w:p>
        </w:tc>
        <w:tc>
          <w:tcPr>
            <w:tcW w:w="4803" w:type="dxa"/>
            <w:tcBorders>
              <w:top w:val="nil"/>
              <w:left w:val="nil"/>
              <w:bottom w:val="dotted" w:sz="4" w:space="0" w:color="7F7F7F"/>
              <w:right w:val="nil"/>
            </w:tcBorders>
            <w:vAlign w:val="center"/>
            <w:hideMark/>
          </w:tcPr>
          <w:p w14:paraId="4D9E9DB9" w14:textId="77777777" w:rsidR="00B5050A" w:rsidRPr="00687CB4" w:rsidRDefault="00B5050A" w:rsidP="00B5050A">
            <w:pPr>
              <w:spacing w:line="276" w:lineRule="auto"/>
              <w:rPr>
                <w:rFonts w:ascii="Arial" w:eastAsia="Times New Roman" w:hAnsi="Arial" w:cs="Arial"/>
                <w:sz w:val="18"/>
                <w:szCs w:val="18"/>
                <w:lang w:eastAsia="es-ES"/>
              </w:rPr>
            </w:pPr>
            <w:r w:rsidRPr="00687CB4">
              <w:rPr>
                <w:rFonts w:ascii="Arial" w:eastAsia="Times New Roman" w:hAnsi="Arial" w:cs="Arial"/>
                <w:sz w:val="18"/>
                <w:szCs w:val="18"/>
                <w:lang w:eastAsia="es-ES"/>
              </w:rPr>
              <w:t>Nasly Yeana Mosquera Rivas</w:t>
            </w:r>
          </w:p>
          <w:p w14:paraId="5915A809" w14:textId="77777777" w:rsidR="00B5050A" w:rsidRPr="00687CB4" w:rsidRDefault="00B5050A" w:rsidP="00B5050A">
            <w:pPr>
              <w:spacing w:line="276" w:lineRule="auto"/>
              <w:rPr>
                <w:rFonts w:ascii="Arial" w:eastAsia="Times New Roman" w:hAnsi="Arial" w:cs="Arial"/>
                <w:sz w:val="18"/>
                <w:szCs w:val="18"/>
                <w:lang w:eastAsia="es-ES"/>
              </w:rPr>
            </w:pPr>
            <w:r w:rsidRPr="00687CB4">
              <w:rPr>
                <w:rFonts w:ascii="Arial" w:eastAsia="Times New Roman" w:hAnsi="Arial" w:cs="Arial"/>
                <w:sz w:val="18"/>
                <w:szCs w:val="18"/>
                <w:lang w:eastAsia="es-ES"/>
              </w:rPr>
              <w:t>Analista T2 –06 de la Subdirección de Gestión Contractual</w:t>
            </w:r>
          </w:p>
        </w:tc>
      </w:tr>
      <w:tr w:rsidR="00B5050A" w:rsidRPr="00687CB4" w14:paraId="11080D26" w14:textId="77777777" w:rsidTr="000E3937">
        <w:trPr>
          <w:trHeight w:val="312"/>
        </w:trPr>
        <w:tc>
          <w:tcPr>
            <w:tcW w:w="1010" w:type="dxa"/>
            <w:vAlign w:val="center"/>
          </w:tcPr>
          <w:p w14:paraId="50F71CCD" w14:textId="77777777" w:rsidR="00B5050A" w:rsidRPr="00687CB4" w:rsidRDefault="00B5050A" w:rsidP="00B5050A">
            <w:pPr>
              <w:spacing w:line="276" w:lineRule="auto"/>
              <w:rPr>
                <w:rFonts w:ascii="Arial" w:eastAsia="Times New Roman" w:hAnsi="Arial" w:cs="Arial"/>
                <w:sz w:val="18"/>
                <w:szCs w:val="18"/>
                <w:lang w:eastAsia="es-ES"/>
              </w:rPr>
            </w:pPr>
            <w:r w:rsidRPr="00687CB4">
              <w:rPr>
                <w:rFonts w:ascii="Arial" w:eastAsia="Times New Roman" w:hAnsi="Arial" w:cs="Arial"/>
                <w:sz w:val="18"/>
                <w:szCs w:val="18"/>
                <w:lang w:eastAsia="es-ES"/>
              </w:rPr>
              <w:t>Revisó:</w:t>
            </w:r>
          </w:p>
        </w:tc>
        <w:tc>
          <w:tcPr>
            <w:tcW w:w="4803" w:type="dxa"/>
            <w:tcBorders>
              <w:top w:val="dotted" w:sz="4" w:space="0" w:color="7F7F7F"/>
              <w:left w:val="nil"/>
              <w:bottom w:val="dotted" w:sz="4" w:space="0" w:color="7F7F7F"/>
              <w:right w:val="nil"/>
            </w:tcBorders>
            <w:vAlign w:val="center"/>
          </w:tcPr>
          <w:p w14:paraId="3318C847" w14:textId="77777777" w:rsidR="00B5050A" w:rsidRPr="00687CB4" w:rsidRDefault="00B5050A" w:rsidP="00B5050A">
            <w:pPr>
              <w:spacing w:line="276" w:lineRule="auto"/>
              <w:rPr>
                <w:rFonts w:ascii="Arial" w:eastAsia="Times New Roman" w:hAnsi="Arial" w:cs="Arial"/>
                <w:sz w:val="18"/>
                <w:szCs w:val="18"/>
                <w:lang w:val="es-ES_tradnl" w:eastAsia="es-ES"/>
              </w:rPr>
            </w:pPr>
            <w:r w:rsidRPr="00687CB4">
              <w:rPr>
                <w:rFonts w:ascii="Arial" w:eastAsia="Times New Roman" w:hAnsi="Arial" w:cs="Arial"/>
                <w:sz w:val="18"/>
                <w:szCs w:val="18"/>
                <w:lang w:val="es-ES_tradnl" w:eastAsia="es-ES"/>
              </w:rPr>
              <w:t>Martha Alicia Romero Vargas</w:t>
            </w:r>
          </w:p>
          <w:p w14:paraId="58C82388" w14:textId="77777777" w:rsidR="00B5050A" w:rsidRPr="00687CB4" w:rsidRDefault="00B5050A" w:rsidP="00B5050A">
            <w:pPr>
              <w:spacing w:line="276" w:lineRule="auto"/>
              <w:rPr>
                <w:rFonts w:ascii="Arial" w:eastAsia="Times New Roman" w:hAnsi="Arial" w:cs="Arial"/>
                <w:sz w:val="18"/>
                <w:szCs w:val="18"/>
                <w:lang w:eastAsia="es-ES"/>
              </w:rPr>
            </w:pPr>
            <w:r w:rsidRPr="00687CB4">
              <w:rPr>
                <w:rFonts w:ascii="Arial" w:eastAsia="Times New Roman" w:hAnsi="Arial" w:cs="Arial"/>
                <w:sz w:val="18"/>
                <w:szCs w:val="18"/>
                <w:lang w:eastAsia="es-ES"/>
              </w:rPr>
              <w:t>Gestor T1 – 15 de la Subdirección de Gestión Contractual</w:t>
            </w:r>
          </w:p>
        </w:tc>
      </w:tr>
      <w:tr w:rsidR="00B5050A" w:rsidRPr="00687CB4" w14:paraId="5536729A" w14:textId="77777777" w:rsidTr="000E3937">
        <w:trPr>
          <w:trHeight w:val="284"/>
        </w:trPr>
        <w:tc>
          <w:tcPr>
            <w:tcW w:w="1010" w:type="dxa"/>
            <w:vAlign w:val="center"/>
            <w:hideMark/>
          </w:tcPr>
          <w:p w14:paraId="7CED1E21" w14:textId="77777777" w:rsidR="00B5050A" w:rsidRPr="00687CB4" w:rsidRDefault="00B5050A" w:rsidP="00B5050A">
            <w:pPr>
              <w:spacing w:line="276" w:lineRule="auto"/>
              <w:rPr>
                <w:rFonts w:ascii="Arial" w:eastAsia="Times New Roman" w:hAnsi="Arial" w:cs="Arial"/>
                <w:sz w:val="18"/>
                <w:szCs w:val="18"/>
                <w:lang w:eastAsia="es-ES"/>
              </w:rPr>
            </w:pPr>
            <w:r w:rsidRPr="00687CB4">
              <w:rPr>
                <w:rFonts w:ascii="Arial" w:eastAsia="Times New Roman" w:hAnsi="Arial" w:cs="Arial"/>
                <w:sz w:val="18"/>
                <w:szCs w:val="18"/>
                <w:lang w:eastAsia="es-ES"/>
              </w:rPr>
              <w:t>Aprobó:</w:t>
            </w:r>
          </w:p>
        </w:tc>
        <w:tc>
          <w:tcPr>
            <w:tcW w:w="4803" w:type="dxa"/>
            <w:tcBorders>
              <w:top w:val="dotted" w:sz="4" w:space="0" w:color="7F7F7F"/>
              <w:left w:val="nil"/>
              <w:bottom w:val="dotted" w:sz="4" w:space="0" w:color="7F7F7F"/>
              <w:right w:val="nil"/>
            </w:tcBorders>
            <w:vAlign w:val="center"/>
            <w:hideMark/>
          </w:tcPr>
          <w:p w14:paraId="2FA9C217" w14:textId="77777777" w:rsidR="00B5050A" w:rsidRPr="00687CB4" w:rsidRDefault="00B5050A" w:rsidP="00B5050A">
            <w:pPr>
              <w:spacing w:line="276" w:lineRule="auto"/>
              <w:rPr>
                <w:rFonts w:ascii="Arial" w:eastAsia="Times New Roman" w:hAnsi="Arial" w:cs="Arial"/>
                <w:sz w:val="18"/>
                <w:szCs w:val="18"/>
                <w:lang w:eastAsia="es-ES"/>
              </w:rPr>
            </w:pPr>
            <w:r w:rsidRPr="00687CB4">
              <w:rPr>
                <w:rFonts w:ascii="Arial" w:eastAsia="Times New Roman" w:hAnsi="Arial" w:cs="Arial"/>
                <w:sz w:val="18"/>
                <w:szCs w:val="18"/>
                <w:lang w:eastAsia="es-ES"/>
              </w:rPr>
              <w:t>Nohelia del Carmen Zawady Palacio</w:t>
            </w:r>
          </w:p>
          <w:p w14:paraId="1E87A7A0" w14:textId="77777777" w:rsidR="00B5050A" w:rsidRPr="00687CB4" w:rsidRDefault="00B5050A" w:rsidP="00B5050A">
            <w:pPr>
              <w:spacing w:line="276" w:lineRule="auto"/>
              <w:rPr>
                <w:rFonts w:ascii="Arial" w:eastAsia="Times New Roman" w:hAnsi="Arial" w:cs="Arial"/>
                <w:sz w:val="18"/>
                <w:szCs w:val="18"/>
                <w:lang w:eastAsia="es-ES"/>
              </w:rPr>
            </w:pPr>
            <w:r w:rsidRPr="00687CB4">
              <w:rPr>
                <w:rFonts w:ascii="Arial" w:eastAsia="Times New Roman" w:hAnsi="Arial" w:cs="Arial"/>
                <w:sz w:val="18"/>
                <w:szCs w:val="18"/>
                <w:lang w:eastAsia="es-ES"/>
              </w:rPr>
              <w:lastRenderedPageBreak/>
              <w:t>Subdirectora de Gestión Contractual ANCP – CCE</w:t>
            </w:r>
          </w:p>
        </w:tc>
      </w:tr>
    </w:tbl>
    <w:p w14:paraId="24D750BE" w14:textId="77777777" w:rsidR="00B5050A" w:rsidRPr="00687CB4" w:rsidRDefault="00B5050A" w:rsidP="00B5050A">
      <w:pPr>
        <w:spacing w:after="0" w:line="276" w:lineRule="auto"/>
        <w:jc w:val="both"/>
        <w:rPr>
          <w:rFonts w:ascii="Arial" w:eastAsia="Times New Roman" w:hAnsi="Arial" w:cs="Arial"/>
          <w:lang w:val="es-ES_tradnl" w:eastAsia="es-ES_tradnl"/>
        </w:rPr>
      </w:pPr>
    </w:p>
    <w:p w14:paraId="5D4DD4EA" w14:textId="77777777" w:rsidR="0028074A" w:rsidRPr="00687CB4" w:rsidRDefault="0028074A">
      <w:pPr>
        <w:rPr>
          <w:rFonts w:ascii="Arial" w:hAnsi="Arial" w:cs="Arial"/>
          <w:lang w:val="es-MX"/>
        </w:rPr>
      </w:pPr>
    </w:p>
    <w:sectPr w:rsidR="0028074A" w:rsidRPr="00687CB4"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9AAD" w14:textId="77777777" w:rsidR="003C013B" w:rsidRDefault="003C013B" w:rsidP="004A1847">
      <w:pPr>
        <w:spacing w:after="0" w:line="240" w:lineRule="auto"/>
      </w:pPr>
      <w:r>
        <w:separator/>
      </w:r>
    </w:p>
  </w:endnote>
  <w:endnote w:type="continuationSeparator" w:id="0">
    <w:p w14:paraId="5EF75531" w14:textId="77777777" w:rsidR="003C013B" w:rsidRDefault="003C013B" w:rsidP="004A1847">
      <w:pPr>
        <w:spacing w:after="0" w:line="240" w:lineRule="auto"/>
      </w:pPr>
      <w:r>
        <w:continuationSeparator/>
      </w:r>
    </w:p>
  </w:endnote>
  <w:endnote w:type="continuationNotice" w:id="1">
    <w:p w14:paraId="06CAC2B6"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0C7B2E" w:rsidRPr="00080DA3" w14:paraId="0534DA7F" w14:textId="77777777" w:rsidTr="000C7B2E">
      <w:trPr>
        <w:trHeight w:val="198"/>
        <w:jc w:val="center"/>
      </w:trPr>
      <w:tc>
        <w:tcPr>
          <w:tcW w:w="838" w:type="dxa"/>
          <w:tcBorders>
            <w:top w:val="dotted" w:sz="4" w:space="0" w:color="6D6D6D"/>
            <w:left w:val="dotted" w:sz="4" w:space="0" w:color="6D6D6D"/>
            <w:bottom w:val="dotted" w:sz="4" w:space="0" w:color="6D6D6D"/>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bottom w:val="dotted" w:sz="4" w:space="0" w:color="6D6D6D"/>
            <w:right w:val="dotted" w:sz="4" w:space="0" w:color="6D6D6D"/>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6D6D6D"/>
            <w:left w:val="dotted" w:sz="4" w:space="0" w:color="6D6D6D"/>
            <w:bottom w:val="dotted" w:sz="4" w:space="0" w:color="6D6D6D"/>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bottom w:val="dotted" w:sz="4" w:space="0" w:color="6D6D6D"/>
            <w:right w:val="dotted" w:sz="4" w:space="0" w:color="6D6D6D"/>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6D6D6D"/>
            <w:left w:val="dotted" w:sz="4" w:space="0" w:color="6D6D6D"/>
            <w:bottom w:val="dotted" w:sz="4" w:space="0" w:color="6D6D6D"/>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bottom w:val="dotted" w:sz="4" w:space="0" w:color="6D6D6D"/>
            <w:right w:val="dotted" w:sz="4" w:space="0" w:color="6D6D6D"/>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6D6D6D"/>
            <w:left w:val="dotted" w:sz="4" w:space="0" w:color="6D6D6D"/>
            <w:bottom w:val="dotted" w:sz="4" w:space="0" w:color="6D6D6D"/>
            <w:right w:val="dotted" w:sz="4" w:space="0" w:color="6D6D6D"/>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5ECC" w14:textId="77777777" w:rsidR="003C013B" w:rsidRDefault="003C013B" w:rsidP="004A1847">
      <w:pPr>
        <w:spacing w:after="0" w:line="240" w:lineRule="auto"/>
      </w:pPr>
      <w:r>
        <w:separator/>
      </w:r>
    </w:p>
  </w:footnote>
  <w:footnote w:type="continuationSeparator" w:id="0">
    <w:p w14:paraId="2CB9A8C0" w14:textId="77777777" w:rsidR="003C013B" w:rsidRDefault="003C013B" w:rsidP="004A1847">
      <w:pPr>
        <w:spacing w:after="0" w:line="240" w:lineRule="auto"/>
      </w:pPr>
      <w:r>
        <w:continuationSeparator/>
      </w:r>
    </w:p>
  </w:footnote>
  <w:footnote w:type="continuationNotice" w:id="1">
    <w:p w14:paraId="294AEFD6" w14:textId="77777777" w:rsidR="00DF1E43" w:rsidRDefault="00DF1E43">
      <w:pPr>
        <w:spacing w:after="0" w:line="240" w:lineRule="auto"/>
      </w:pPr>
    </w:p>
  </w:footnote>
  <w:footnote w:id="2">
    <w:p w14:paraId="2987AEC6" w14:textId="77777777" w:rsidR="00B5050A" w:rsidRPr="00017CE9" w:rsidRDefault="00B5050A" w:rsidP="00B5050A">
      <w:pPr>
        <w:pStyle w:val="Textonotapie"/>
        <w:ind w:firstLine="709"/>
        <w:jc w:val="both"/>
        <w:rPr>
          <w:rFonts w:ascii="Arial" w:hAnsi="Arial" w:cs="Arial"/>
          <w:sz w:val="12"/>
          <w:szCs w:val="12"/>
          <w:lang w:val="es-CO"/>
        </w:rPr>
      </w:pPr>
      <w:r w:rsidRPr="00017CE9">
        <w:rPr>
          <w:rStyle w:val="Refdenotaalpie"/>
          <w:rFonts w:ascii="Arial" w:hAnsi="Arial" w:cs="Arial"/>
          <w:sz w:val="12"/>
          <w:szCs w:val="12"/>
        </w:rPr>
        <w:footnoteRef/>
      </w:r>
      <w:r w:rsidRPr="00017CE9">
        <w:rPr>
          <w:rFonts w:ascii="Arial" w:hAnsi="Arial" w:cs="Arial"/>
          <w:sz w:val="12"/>
          <w:szCs w:val="12"/>
        </w:rPr>
        <w:t xml:space="preserve"> </w:t>
      </w:r>
      <w:r w:rsidRPr="00017CE9">
        <w:rPr>
          <w:rFonts w:ascii="Arial" w:hAnsi="Arial" w:cs="Arial"/>
          <w:sz w:val="12"/>
          <w:szCs w:val="12"/>
          <w:lang w:val="es-CO"/>
        </w:rPr>
        <w:t xml:space="preserve">Estos conceptos pueden ser consultados en la relatoría de la Agencia, en el siguiente enlace: </w:t>
      </w:r>
      <w:hyperlink r:id="rId1" w:history="1">
        <w:r w:rsidRPr="00017CE9">
          <w:rPr>
            <w:rStyle w:val="Hipervnculo1"/>
            <w:rFonts w:ascii="Arial" w:hAnsi="Arial" w:cs="Arial"/>
            <w:color w:val="000000"/>
            <w:sz w:val="12"/>
            <w:szCs w:val="12"/>
            <w:lang w:val="es-CO"/>
          </w:rPr>
          <w:t>https://relatoria.colombiacompra.gov.co/busqueda/conceptos#</w:t>
        </w:r>
      </w:hyperlink>
      <w:r w:rsidRPr="00017CE9">
        <w:rPr>
          <w:rFonts w:ascii="Arial" w:hAnsi="Arial" w:cs="Arial"/>
          <w:color w:val="000000"/>
          <w:sz w:val="12"/>
          <w:szCs w:val="12"/>
          <w:lang w:val="es-CO"/>
        </w:rPr>
        <w:t xml:space="preserve"> </w:t>
      </w:r>
    </w:p>
  </w:footnote>
  <w:footnote w:id="3">
    <w:p w14:paraId="5548AC8F" w14:textId="77777777" w:rsidR="00B5050A" w:rsidRPr="00017CE9" w:rsidRDefault="00B5050A" w:rsidP="00B5050A">
      <w:pPr>
        <w:pStyle w:val="Textonotapie"/>
        <w:ind w:firstLine="708"/>
        <w:jc w:val="both"/>
        <w:rPr>
          <w:rFonts w:ascii="Arial" w:hAnsi="Arial" w:cs="Arial"/>
          <w:sz w:val="12"/>
          <w:szCs w:val="12"/>
          <w:lang w:val="es-CO"/>
        </w:rPr>
      </w:pPr>
      <w:r w:rsidRPr="00017CE9">
        <w:rPr>
          <w:rStyle w:val="Refdenotaalpie"/>
          <w:rFonts w:ascii="Arial" w:hAnsi="Arial" w:cs="Arial"/>
          <w:sz w:val="12"/>
          <w:szCs w:val="12"/>
        </w:rPr>
        <w:footnoteRef/>
      </w:r>
      <w:r w:rsidRPr="00017CE9">
        <w:rPr>
          <w:rFonts w:ascii="Arial" w:hAnsi="Arial" w:cs="Arial"/>
          <w:sz w:val="12"/>
          <w:szCs w:val="12"/>
        </w:rPr>
        <w:t xml:space="preserve"> </w:t>
      </w:r>
      <w:r w:rsidRPr="00017CE9">
        <w:rPr>
          <w:rFonts w:ascii="Arial" w:hAnsi="Arial" w:cs="Arial"/>
          <w:sz w:val="12"/>
          <w:szCs w:val="12"/>
          <w:lang w:val="es-CO"/>
        </w:rPr>
        <w:t>El artículo 40 de la Ley 80 de 1993 dispone que los contratos no podrán adicionarse en más del 50% de su valor inicial, expresado en SMLMV.</w:t>
      </w:r>
    </w:p>
    <w:p w14:paraId="6010C07D" w14:textId="77777777" w:rsidR="00B5050A" w:rsidRPr="00017CE9" w:rsidRDefault="00B5050A" w:rsidP="00B5050A">
      <w:pPr>
        <w:pStyle w:val="Textonotapie"/>
        <w:ind w:firstLine="708"/>
        <w:jc w:val="both"/>
        <w:rPr>
          <w:rFonts w:ascii="Arial" w:hAnsi="Arial" w:cs="Arial"/>
          <w:sz w:val="12"/>
          <w:szCs w:val="12"/>
          <w:lang w:val="es-CO"/>
        </w:rPr>
      </w:pPr>
    </w:p>
  </w:footnote>
  <w:footnote w:id="4">
    <w:p w14:paraId="7DB573BE" w14:textId="77777777" w:rsidR="00B5050A" w:rsidRPr="00017CE9" w:rsidRDefault="00B5050A" w:rsidP="00B5050A">
      <w:pPr>
        <w:pStyle w:val="Textonotapie"/>
        <w:ind w:firstLine="708"/>
        <w:rPr>
          <w:rFonts w:ascii="Arial" w:hAnsi="Arial" w:cs="Arial"/>
          <w:sz w:val="12"/>
          <w:szCs w:val="12"/>
        </w:rPr>
      </w:pPr>
      <w:r w:rsidRPr="00017CE9">
        <w:rPr>
          <w:rStyle w:val="Refdenotaalpie"/>
          <w:rFonts w:ascii="Arial" w:hAnsi="Arial" w:cs="Arial"/>
          <w:sz w:val="12"/>
          <w:szCs w:val="12"/>
        </w:rPr>
        <w:footnoteRef/>
      </w:r>
      <w:r w:rsidRPr="00017CE9">
        <w:rPr>
          <w:rFonts w:ascii="Arial" w:hAnsi="Arial" w:cs="Arial"/>
          <w:sz w:val="12"/>
          <w:szCs w:val="12"/>
        </w:rPr>
        <w:t xml:space="preserve">  M.P. </w:t>
      </w:r>
      <w:r w:rsidRPr="00017CE9">
        <w:rPr>
          <w:rFonts w:ascii="Arial" w:hAnsi="Arial" w:cs="Arial"/>
          <w:color w:val="2D2D2D"/>
          <w:sz w:val="12"/>
          <w:szCs w:val="12"/>
          <w:shd w:val="clear" w:color="auto" w:fill="FFFFFF"/>
        </w:rPr>
        <w:t>Adriana María Guillén Arango.</w:t>
      </w:r>
    </w:p>
  </w:footnote>
  <w:footnote w:id="5">
    <w:p w14:paraId="3526354A" w14:textId="77777777" w:rsidR="00B5050A" w:rsidRPr="00017CE9" w:rsidRDefault="00B5050A" w:rsidP="00B5050A">
      <w:pPr>
        <w:pStyle w:val="Textonotapie"/>
        <w:ind w:firstLine="708"/>
        <w:jc w:val="both"/>
        <w:rPr>
          <w:rFonts w:ascii="Arial" w:hAnsi="Arial" w:cs="Arial"/>
          <w:sz w:val="12"/>
          <w:szCs w:val="12"/>
        </w:rPr>
      </w:pPr>
      <w:r w:rsidRPr="00017CE9">
        <w:rPr>
          <w:rStyle w:val="Refdenotaalpie"/>
          <w:rFonts w:ascii="Arial" w:hAnsi="Arial" w:cs="Arial"/>
          <w:sz w:val="12"/>
          <w:szCs w:val="12"/>
        </w:rPr>
        <w:footnoteRef/>
      </w:r>
      <w:r w:rsidRPr="00017CE9">
        <w:rPr>
          <w:rFonts w:ascii="Arial" w:hAnsi="Arial" w:cs="Arial"/>
          <w:sz w:val="12"/>
          <w:szCs w:val="12"/>
        </w:rPr>
        <w:t xml:space="preserve"> Sobre la naturaleza instrumental del contrato para alcanzar los fines propios del estado social de derecho, ver la sentencia C-932 de </w:t>
      </w:r>
      <w:smartTag w:uri="urn:schemas-microsoft-com:office:smarttags" w:element="metricconverter">
        <w:smartTagPr>
          <w:attr w:name="ProductID" w:val="2007, M"/>
        </w:smartTagPr>
        <w:r w:rsidRPr="00017CE9">
          <w:rPr>
            <w:rFonts w:ascii="Arial" w:hAnsi="Arial" w:cs="Arial"/>
            <w:sz w:val="12"/>
            <w:szCs w:val="12"/>
          </w:rPr>
          <w:t>2007, M</w:t>
        </w:r>
      </w:smartTag>
      <w:r w:rsidRPr="00017CE9">
        <w:rPr>
          <w:rFonts w:ascii="Arial" w:hAnsi="Arial" w:cs="Arial"/>
          <w:sz w:val="12"/>
          <w:szCs w:val="12"/>
        </w:rPr>
        <w:t>.P. Marco Gerardo Monroy Cabra.</w:t>
      </w:r>
    </w:p>
    <w:p w14:paraId="15D715B4" w14:textId="77777777" w:rsidR="00B5050A" w:rsidRPr="00017CE9" w:rsidRDefault="00B5050A" w:rsidP="00B5050A">
      <w:pPr>
        <w:pStyle w:val="Textonotapie"/>
        <w:ind w:firstLine="708"/>
        <w:jc w:val="both"/>
        <w:rPr>
          <w:rFonts w:ascii="Arial" w:hAnsi="Arial" w:cs="Arial"/>
          <w:sz w:val="12"/>
          <w:szCs w:val="12"/>
        </w:rPr>
      </w:pPr>
    </w:p>
  </w:footnote>
  <w:footnote w:id="6">
    <w:p w14:paraId="7768483E" w14:textId="77777777" w:rsidR="00B5050A" w:rsidRPr="00017CE9" w:rsidRDefault="00B5050A" w:rsidP="00B5050A">
      <w:pPr>
        <w:pStyle w:val="Textonotapie"/>
        <w:ind w:firstLine="708"/>
        <w:jc w:val="both"/>
        <w:rPr>
          <w:rFonts w:ascii="Arial" w:hAnsi="Arial" w:cs="Arial"/>
          <w:sz w:val="12"/>
          <w:szCs w:val="12"/>
        </w:rPr>
      </w:pPr>
      <w:r w:rsidRPr="00017CE9">
        <w:rPr>
          <w:rStyle w:val="Refdenotaalpie"/>
          <w:rFonts w:ascii="Arial" w:hAnsi="Arial" w:cs="Arial"/>
          <w:sz w:val="12"/>
          <w:szCs w:val="12"/>
        </w:rPr>
        <w:footnoteRef/>
      </w:r>
      <w:r w:rsidRPr="00017CE9">
        <w:rPr>
          <w:rFonts w:ascii="Arial" w:hAnsi="Arial" w:cs="Arial"/>
          <w:sz w:val="12"/>
          <w:szCs w:val="12"/>
        </w:rPr>
        <w:t xml:space="preserve"> M.P. Clara Inés Vargas Hernández.</w:t>
      </w:r>
    </w:p>
    <w:p w14:paraId="76A87904" w14:textId="77777777" w:rsidR="00B5050A" w:rsidRPr="00017CE9" w:rsidRDefault="00B5050A" w:rsidP="00B5050A">
      <w:pPr>
        <w:pStyle w:val="Textonotapie"/>
        <w:ind w:firstLine="708"/>
        <w:jc w:val="both"/>
        <w:rPr>
          <w:rFonts w:ascii="Arial" w:hAnsi="Arial" w:cs="Arial"/>
          <w:sz w:val="12"/>
          <w:szCs w:val="12"/>
        </w:rPr>
      </w:pPr>
    </w:p>
  </w:footnote>
  <w:footnote w:id="7">
    <w:p w14:paraId="38379074" w14:textId="77777777" w:rsidR="00B5050A" w:rsidRPr="00017CE9" w:rsidRDefault="00B5050A" w:rsidP="00B5050A">
      <w:pPr>
        <w:pStyle w:val="Textonotapie"/>
        <w:ind w:firstLine="708"/>
        <w:jc w:val="both"/>
        <w:rPr>
          <w:rFonts w:ascii="Arial" w:hAnsi="Arial" w:cs="Arial"/>
          <w:sz w:val="12"/>
          <w:szCs w:val="12"/>
        </w:rPr>
      </w:pPr>
      <w:r w:rsidRPr="00017CE9">
        <w:rPr>
          <w:rStyle w:val="Refdenotaalpie"/>
          <w:rFonts w:ascii="Arial" w:hAnsi="Arial" w:cs="Arial"/>
          <w:sz w:val="12"/>
          <w:szCs w:val="12"/>
        </w:rPr>
        <w:footnoteRef/>
      </w:r>
      <w:r w:rsidRPr="00017CE9">
        <w:rPr>
          <w:rFonts w:ascii="Arial" w:hAnsi="Arial" w:cs="Arial"/>
          <w:sz w:val="12"/>
          <w:szCs w:val="12"/>
        </w:rPr>
        <w:t xml:space="preserve"> Ver también la sentencia C-068 de </w:t>
      </w:r>
      <w:smartTag w:uri="urn:schemas-microsoft-com:office:smarttags" w:element="metricconverter">
        <w:smartTagPr>
          <w:attr w:name="ProductID" w:val="2009, M"/>
        </w:smartTagPr>
        <w:r w:rsidRPr="00017CE9">
          <w:rPr>
            <w:rFonts w:ascii="Arial" w:hAnsi="Arial" w:cs="Arial"/>
            <w:sz w:val="12"/>
            <w:szCs w:val="12"/>
          </w:rPr>
          <w:t>2009, M</w:t>
        </w:r>
      </w:smartTag>
      <w:r w:rsidRPr="00017CE9">
        <w:rPr>
          <w:rFonts w:ascii="Arial" w:hAnsi="Arial" w:cs="Arial"/>
          <w:sz w:val="12"/>
          <w:szCs w:val="12"/>
        </w:rPr>
        <w:t>.P. Mauricio González Cuervo</w:t>
      </w:r>
      <w:r w:rsidRPr="00017CE9">
        <w:rPr>
          <w:rFonts w:ascii="Arial" w:hAnsi="Arial" w:cs="Arial"/>
          <w:b/>
          <w:sz w:val="12"/>
          <w:szCs w:val="12"/>
        </w:rPr>
        <w:t xml:space="preserve">, </w:t>
      </w:r>
      <w:r w:rsidRPr="00017CE9">
        <w:rPr>
          <w:rFonts w:ascii="Arial" w:hAnsi="Arial" w:cs="Arial"/>
          <w:sz w:val="12"/>
          <w:szCs w:val="12"/>
        </w:rPr>
        <w:t>sobre la constitucional</w:t>
      </w:r>
      <w:r w:rsidRPr="00017CE9">
        <w:rPr>
          <w:rFonts w:ascii="Arial" w:hAnsi="Arial" w:cs="Arial"/>
          <w:b/>
          <w:sz w:val="12"/>
          <w:szCs w:val="12"/>
        </w:rPr>
        <w:t xml:space="preserve"> </w:t>
      </w:r>
      <w:r w:rsidRPr="00017CE9">
        <w:rPr>
          <w:rFonts w:ascii="Arial" w:hAnsi="Arial" w:cs="Arial"/>
          <w:sz w:val="12"/>
          <w:szCs w:val="12"/>
        </w:rPr>
        <w:t>de la posibilidad de prorrogar los contratos de concesión portuaria (artículo 8º  de la ley 1º de 1991).</w:t>
      </w:r>
    </w:p>
  </w:footnote>
  <w:footnote w:id="8">
    <w:p w14:paraId="46AD91AD" w14:textId="77777777" w:rsidR="00B5050A" w:rsidRPr="00017CE9" w:rsidRDefault="00B5050A" w:rsidP="00B5050A">
      <w:pPr>
        <w:pStyle w:val="Textonotapie"/>
        <w:ind w:firstLine="708"/>
        <w:jc w:val="both"/>
        <w:rPr>
          <w:rFonts w:ascii="Arial" w:hAnsi="Arial" w:cs="Arial"/>
          <w:sz w:val="12"/>
          <w:szCs w:val="12"/>
        </w:rPr>
      </w:pPr>
      <w:r w:rsidRPr="00017CE9">
        <w:rPr>
          <w:rStyle w:val="Refdenotaalpie"/>
          <w:rFonts w:ascii="Arial" w:hAnsi="Arial" w:cs="Arial"/>
          <w:sz w:val="12"/>
          <w:szCs w:val="12"/>
        </w:rPr>
        <w:footnoteRef/>
      </w:r>
      <w:r w:rsidRPr="00017CE9">
        <w:rPr>
          <w:rFonts w:ascii="Arial" w:hAnsi="Arial" w:cs="Arial"/>
          <w:sz w:val="12"/>
          <w:szCs w:val="12"/>
        </w:rPr>
        <w:t xml:space="preserve"> </w:t>
      </w:r>
      <w:r w:rsidRPr="00017CE9">
        <w:rPr>
          <w:rFonts w:ascii="Arial" w:hAnsi="Arial" w:cs="Arial"/>
          <w:i/>
          <w:sz w:val="12"/>
          <w:szCs w:val="12"/>
        </w:rPr>
        <w:t xml:space="preserve">Cfr. </w:t>
      </w:r>
      <w:r w:rsidRPr="00017CE9">
        <w:rPr>
          <w:rFonts w:ascii="Arial" w:hAnsi="Arial" w:cs="Arial"/>
          <w:sz w:val="12"/>
          <w:szCs w:val="12"/>
        </w:rPr>
        <w:t xml:space="preserve">Consejo de Estado, Sala de Consulta y Servicio Civil, concepto del 13 de agosto de 2009, rad. </w:t>
      </w:r>
      <w:smartTag w:uri="urn:schemas-microsoft-com:office:smarttags" w:element="metricconverter">
        <w:smartTagPr>
          <w:attr w:name="ProductID" w:val="1.952, C"/>
        </w:smartTagPr>
        <w:r w:rsidRPr="00017CE9">
          <w:rPr>
            <w:rFonts w:ascii="Arial" w:hAnsi="Arial" w:cs="Arial"/>
            <w:bCs/>
            <w:sz w:val="12"/>
            <w:szCs w:val="12"/>
          </w:rPr>
          <w:t>1.952, C</w:t>
        </w:r>
      </w:smartTag>
      <w:r w:rsidRPr="00017CE9">
        <w:rPr>
          <w:rFonts w:ascii="Arial" w:hAnsi="Arial" w:cs="Arial"/>
          <w:bCs/>
          <w:sz w:val="12"/>
          <w:szCs w:val="12"/>
        </w:rPr>
        <w:t>.P. Enrique José Arboleda Perdomo. En este concepto la Sala de Consulta se ocupó, entre otras preguntas, de la siguiente formulada por el Ministerio de Transporte: «</w:t>
      </w:r>
      <w:r w:rsidRPr="00017CE9">
        <w:rPr>
          <w:rFonts w:ascii="Arial" w:hAnsi="Arial" w:cs="Arial"/>
          <w:bCs/>
          <w:iCs/>
          <w:sz w:val="12"/>
          <w:szCs w:val="12"/>
          <w:lang w:val="es-ES_tradnl"/>
        </w:rPr>
        <w:t>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9">
    <w:p w14:paraId="0BBA6408" w14:textId="77777777" w:rsidR="00B5050A" w:rsidRPr="00017CE9" w:rsidRDefault="00B5050A" w:rsidP="00B5050A">
      <w:pPr>
        <w:pStyle w:val="Textonotapie"/>
        <w:ind w:firstLine="708"/>
        <w:jc w:val="both"/>
        <w:rPr>
          <w:rFonts w:ascii="Arial" w:hAnsi="Arial" w:cs="Arial"/>
          <w:bCs/>
          <w:iCs/>
          <w:sz w:val="12"/>
          <w:szCs w:val="12"/>
          <w:lang w:val="es-ES_tradnl"/>
        </w:rPr>
      </w:pPr>
      <w:r w:rsidRPr="00017CE9">
        <w:rPr>
          <w:rStyle w:val="Refdenotaalpie"/>
          <w:rFonts w:ascii="Arial" w:hAnsi="Arial" w:cs="Arial"/>
          <w:sz w:val="12"/>
          <w:szCs w:val="12"/>
        </w:rPr>
        <w:footnoteRef/>
      </w:r>
      <w:r w:rsidRPr="00017CE9">
        <w:rPr>
          <w:rFonts w:ascii="Arial" w:hAnsi="Arial" w:cs="Arial"/>
          <w:sz w:val="12"/>
          <w:szCs w:val="12"/>
        </w:rPr>
        <w:t xml:space="preserve"> Los acuerdos de voluntades que no cumplan con esta formalidad se consideran inexistentes, por lo tanto, tal como lo ha planteado el Consejo de Estado en el Concepto 2263 del 17 de marzo del 2017,  «las eventuales reclamaciones contractuales que pueda presentar un particular sobre prestaciones realizadas, sin la previa modificación del mismo, están llamadas al fracaso, pues la Administración no puede reconocer situaciones de hecho u obligaciones dinerarias con cargo a un contrato que estipula obligaciones distintas</w:t>
      </w:r>
      <w:r w:rsidRPr="00017CE9">
        <w:rPr>
          <w:rFonts w:ascii="Arial" w:hAnsi="Arial" w:cs="Arial"/>
          <w:bCs/>
          <w:iCs/>
          <w:sz w:val="12"/>
          <w:szCs w:val="12"/>
          <w:lang w:val="es-ES_tradnl"/>
        </w:rPr>
        <w:t>».</w:t>
      </w:r>
    </w:p>
    <w:p w14:paraId="089C33A4" w14:textId="77777777" w:rsidR="00B5050A" w:rsidRPr="00017CE9" w:rsidRDefault="00B5050A" w:rsidP="00B5050A">
      <w:pPr>
        <w:pStyle w:val="Textonotapie"/>
        <w:ind w:firstLine="708"/>
        <w:jc w:val="both"/>
        <w:rPr>
          <w:rFonts w:ascii="Arial" w:hAnsi="Arial" w:cs="Arial"/>
          <w:sz w:val="12"/>
          <w:szCs w:val="12"/>
          <w:lang w:val="es-CO"/>
        </w:rPr>
      </w:pPr>
    </w:p>
  </w:footnote>
  <w:footnote w:id="10">
    <w:p w14:paraId="6B75DEE9" w14:textId="77777777" w:rsidR="00B5050A" w:rsidRPr="00017CE9" w:rsidRDefault="00B5050A" w:rsidP="00B5050A">
      <w:pPr>
        <w:pStyle w:val="Textonotapie"/>
        <w:ind w:firstLine="708"/>
        <w:jc w:val="both"/>
        <w:rPr>
          <w:rFonts w:ascii="Arial" w:hAnsi="Arial" w:cs="Arial"/>
          <w:sz w:val="12"/>
          <w:szCs w:val="12"/>
          <w:lang w:val="es-CO"/>
        </w:rPr>
      </w:pPr>
      <w:r w:rsidRPr="00017CE9">
        <w:rPr>
          <w:rStyle w:val="Refdenotaalpie"/>
          <w:rFonts w:ascii="Arial" w:hAnsi="Arial" w:cs="Arial"/>
          <w:sz w:val="12"/>
          <w:szCs w:val="12"/>
        </w:rPr>
        <w:footnoteRef/>
      </w:r>
      <w:r w:rsidRPr="00017CE9">
        <w:rPr>
          <w:rFonts w:ascii="Arial" w:hAnsi="Arial" w:cs="Arial"/>
          <w:sz w:val="12"/>
          <w:szCs w:val="12"/>
        </w:rPr>
        <w:t xml:space="preserve"> Ibídem</w:t>
      </w:r>
    </w:p>
  </w:footnote>
  <w:footnote w:id="11">
    <w:p w14:paraId="23F583A9" w14:textId="77777777" w:rsidR="00B5050A" w:rsidRPr="00017CE9" w:rsidRDefault="00B5050A" w:rsidP="00B5050A">
      <w:pPr>
        <w:pStyle w:val="Textonotapie"/>
        <w:ind w:firstLine="708"/>
        <w:jc w:val="both"/>
        <w:rPr>
          <w:rFonts w:ascii="Arial" w:hAnsi="Arial" w:cs="Arial"/>
          <w:sz w:val="12"/>
          <w:szCs w:val="12"/>
        </w:rPr>
      </w:pPr>
      <w:r w:rsidRPr="00017CE9">
        <w:rPr>
          <w:rStyle w:val="Refdenotaalpie"/>
          <w:rFonts w:ascii="Arial" w:hAnsi="Arial" w:cs="Arial"/>
          <w:sz w:val="12"/>
          <w:szCs w:val="12"/>
        </w:rPr>
        <w:footnoteRef/>
      </w:r>
      <w:r w:rsidRPr="00017CE9">
        <w:rPr>
          <w:rFonts w:ascii="Arial" w:hAnsi="Arial" w:cs="Arial"/>
          <w:sz w:val="12"/>
          <w:szCs w:val="12"/>
        </w:rPr>
        <w:t xml:space="preserve"> </w:t>
      </w:r>
      <w:r w:rsidRPr="00017CE9">
        <w:rPr>
          <w:rFonts w:ascii="Arial" w:hAnsi="Arial" w:cs="Arial"/>
          <w:bCs/>
          <w:i/>
          <w:sz w:val="12"/>
          <w:szCs w:val="12"/>
        </w:rPr>
        <w:t xml:space="preserve">Cfr. </w:t>
      </w:r>
      <w:r w:rsidRPr="00017CE9">
        <w:rPr>
          <w:rFonts w:ascii="Arial" w:hAnsi="Arial" w:cs="Arial"/>
          <w:sz w:val="12"/>
          <w:szCs w:val="12"/>
        </w:rPr>
        <w:t>DAVILA VINUEZA Luis Guillermo. Régimen Jurídico de la contratación estatal. Bogotá: Editorial Legis, 2001, p. 387.</w:t>
      </w:r>
    </w:p>
    <w:p w14:paraId="1CC8BD58" w14:textId="77777777" w:rsidR="00B5050A" w:rsidRPr="00017CE9" w:rsidRDefault="00B5050A" w:rsidP="00B5050A">
      <w:pPr>
        <w:pStyle w:val="Textonotapie"/>
        <w:ind w:firstLine="708"/>
        <w:jc w:val="both"/>
        <w:rPr>
          <w:rFonts w:ascii="Arial" w:hAnsi="Arial" w:cs="Arial"/>
          <w:sz w:val="12"/>
          <w:szCs w:val="12"/>
          <w:lang w:val="es-CO"/>
        </w:rPr>
      </w:pPr>
    </w:p>
  </w:footnote>
  <w:footnote w:id="12">
    <w:p w14:paraId="5C148F5E" w14:textId="77777777" w:rsidR="00B5050A" w:rsidRPr="00017CE9" w:rsidRDefault="00B5050A" w:rsidP="00B5050A">
      <w:pPr>
        <w:pStyle w:val="Textonotapie"/>
        <w:ind w:firstLine="708"/>
        <w:jc w:val="both"/>
        <w:rPr>
          <w:rFonts w:ascii="Arial" w:hAnsi="Arial" w:cs="Arial"/>
          <w:sz w:val="12"/>
          <w:szCs w:val="12"/>
          <w:lang w:val="es-CO"/>
        </w:rPr>
      </w:pPr>
      <w:r w:rsidRPr="00017CE9">
        <w:rPr>
          <w:rStyle w:val="Refdenotaalpie"/>
          <w:rFonts w:ascii="Arial" w:hAnsi="Arial" w:cs="Arial"/>
          <w:sz w:val="12"/>
          <w:szCs w:val="12"/>
        </w:rPr>
        <w:footnoteRef/>
      </w:r>
      <w:r w:rsidRPr="00017CE9">
        <w:rPr>
          <w:rFonts w:ascii="Arial" w:hAnsi="Arial" w:cs="Arial"/>
          <w:sz w:val="12"/>
          <w:szCs w:val="12"/>
        </w:rPr>
        <w:t xml:space="preserve"> </w:t>
      </w:r>
      <w:r w:rsidRPr="00017CE9">
        <w:rPr>
          <w:rFonts w:ascii="Arial" w:hAnsi="Arial" w:cs="Arial"/>
          <w:sz w:val="12"/>
          <w:szCs w:val="12"/>
          <w:lang w:val="es-CO"/>
        </w:rPr>
        <w:t>Sobre el particular resultan pertinentes las consideraciones efectuadas en el mismo sentido por la</w:t>
      </w:r>
      <w:r w:rsidRPr="00017CE9">
        <w:rPr>
          <w:rFonts w:ascii="Arial" w:eastAsia="Times New Roman" w:hAnsi="Arial" w:cs="Arial"/>
          <w:sz w:val="12"/>
          <w:szCs w:val="12"/>
          <w:lang w:val="es-ES" w:eastAsia="es-ES"/>
        </w:rPr>
        <w:t xml:space="preserve"> Sala de Consulta y Servicio Civil del Consejo de Estado en el concepto del 13 de agosto de 2009, rad. </w:t>
      </w:r>
      <w:smartTag w:uri="urn:schemas-microsoft-com:office:smarttags" w:element="metricconverter">
        <w:smartTagPr>
          <w:attr w:name="ProductID" w:val="1.952, C"/>
        </w:smartTagPr>
        <w:r w:rsidRPr="00017CE9">
          <w:rPr>
            <w:rFonts w:ascii="Arial" w:eastAsia="Times New Roman" w:hAnsi="Arial" w:cs="Arial"/>
            <w:bCs/>
            <w:sz w:val="12"/>
            <w:szCs w:val="12"/>
            <w:lang w:val="es-ES" w:eastAsia="es-ES"/>
          </w:rPr>
          <w:t>1.952, C</w:t>
        </w:r>
      </w:smartTag>
      <w:r w:rsidRPr="00017CE9">
        <w:rPr>
          <w:rFonts w:ascii="Arial" w:eastAsia="Times New Roman" w:hAnsi="Arial" w:cs="Arial"/>
          <w:bCs/>
          <w:sz w:val="12"/>
          <w:szCs w:val="12"/>
          <w:lang w:val="es-ES" w:eastAsia="es-ES"/>
        </w:rPr>
        <w:t xml:space="preserve">.P. Enrique José Arboleda Perdomo y por la Corte Constitucional en la sentencia C-300 de 2012. </w:t>
      </w:r>
    </w:p>
  </w:footnote>
  <w:footnote w:id="13">
    <w:p w14:paraId="1BCCDE0B" w14:textId="77777777" w:rsidR="00B5050A" w:rsidRPr="00017CE9" w:rsidRDefault="00B5050A" w:rsidP="00B5050A">
      <w:pPr>
        <w:pStyle w:val="Textonotapie"/>
        <w:ind w:firstLine="709"/>
        <w:jc w:val="both"/>
        <w:rPr>
          <w:rFonts w:ascii="Arial" w:hAnsi="Arial" w:cs="Arial"/>
          <w:sz w:val="12"/>
          <w:szCs w:val="12"/>
        </w:rPr>
      </w:pPr>
    </w:p>
    <w:p w14:paraId="1D6F1E1F" w14:textId="77777777" w:rsidR="00B5050A" w:rsidRPr="00017CE9" w:rsidRDefault="00B5050A" w:rsidP="00B5050A">
      <w:pPr>
        <w:pStyle w:val="Textonotapie"/>
        <w:ind w:firstLine="709"/>
        <w:jc w:val="both"/>
        <w:rPr>
          <w:rFonts w:ascii="Arial" w:hAnsi="Arial" w:cs="Arial"/>
          <w:sz w:val="12"/>
          <w:szCs w:val="12"/>
          <w:lang w:val="es-ES"/>
        </w:rPr>
      </w:pPr>
      <w:r w:rsidRPr="00017CE9">
        <w:rPr>
          <w:rStyle w:val="Refdenotaalpie"/>
          <w:rFonts w:ascii="Arial" w:hAnsi="Arial" w:cs="Arial"/>
          <w:sz w:val="12"/>
          <w:szCs w:val="12"/>
        </w:rPr>
        <w:footnoteRef/>
      </w:r>
      <w:r w:rsidRPr="00017CE9">
        <w:rPr>
          <w:rFonts w:ascii="Arial" w:hAnsi="Arial" w:cs="Arial"/>
          <w:sz w:val="12"/>
          <w:szCs w:val="12"/>
        </w:rPr>
        <w:t xml:space="preserve"> </w:t>
      </w:r>
      <w:r w:rsidRPr="00017CE9">
        <w:rPr>
          <w:rFonts w:ascii="Arial" w:hAnsi="Arial" w:cs="Arial"/>
          <w:sz w:val="12"/>
          <w:szCs w:val="12"/>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4AE341BC" w14:textId="77777777" w:rsidR="00B5050A" w:rsidRPr="00017CE9" w:rsidRDefault="00B5050A" w:rsidP="00B5050A">
      <w:pPr>
        <w:pStyle w:val="Textonotapie"/>
        <w:ind w:firstLine="709"/>
        <w:jc w:val="both"/>
        <w:rPr>
          <w:rFonts w:ascii="Arial" w:hAnsi="Arial" w:cs="Arial"/>
          <w:sz w:val="12"/>
          <w:szCs w:val="12"/>
          <w:lang w:val="es-ES"/>
        </w:rPr>
      </w:pPr>
      <w:r w:rsidRPr="00017CE9">
        <w:rPr>
          <w:rFonts w:ascii="Arial" w:hAnsi="Arial" w:cs="Arial"/>
          <w:sz w:val="12"/>
          <w:szCs w:val="12"/>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017CE9">
        <w:rPr>
          <w:rFonts w:ascii="Arial" w:hAnsi="Arial" w:cs="Arial"/>
          <w:i/>
          <w:iCs/>
          <w:sz w:val="12"/>
          <w:szCs w:val="12"/>
          <w:lang w:val="es-ES"/>
        </w:rPr>
        <w:t>costos directos</w:t>
      </w:r>
      <w:r w:rsidRPr="00017CE9">
        <w:rPr>
          <w:rFonts w:ascii="Arial" w:hAnsi="Arial" w:cs="Arial"/>
          <w:sz w:val="12"/>
          <w:szCs w:val="12"/>
          <w:lang w:val="es-ES"/>
        </w:rPr>
        <w:t xml:space="preserve"> y los</w:t>
      </w:r>
      <w:r w:rsidRPr="00017CE9">
        <w:rPr>
          <w:rFonts w:ascii="Arial" w:hAnsi="Arial" w:cs="Arial"/>
          <w:i/>
          <w:iCs/>
          <w:sz w:val="12"/>
          <w:szCs w:val="12"/>
          <w:lang w:val="es-ES"/>
        </w:rPr>
        <w:t xml:space="preserve"> costos indirectos</w:t>
      </w:r>
      <w:r w:rsidRPr="00017CE9">
        <w:rPr>
          <w:rFonts w:ascii="Arial" w:hAnsi="Arial" w:cs="Arial"/>
          <w:sz w:val="12"/>
          <w:szCs w:val="12"/>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017CE9">
        <w:rPr>
          <w:rFonts w:ascii="Arial" w:hAnsi="Arial" w:cs="Arial"/>
          <w:i/>
          <w:iCs/>
          <w:sz w:val="12"/>
          <w:szCs w:val="12"/>
          <w:lang w:val="es-ES"/>
        </w:rPr>
        <w:t>ítems</w:t>
      </w:r>
      <w:r w:rsidRPr="00017CE9">
        <w:rPr>
          <w:rFonts w:ascii="Arial" w:hAnsi="Arial" w:cs="Arial"/>
          <w:sz w:val="12"/>
          <w:szCs w:val="12"/>
          <w:lang w:val="es-ES"/>
        </w:rPr>
        <w:t xml:space="preserve"> que componen el contrato–. Los costos </w:t>
      </w:r>
      <w:r w:rsidRPr="00017CE9">
        <w:rPr>
          <w:rFonts w:ascii="Arial" w:hAnsi="Arial" w:cs="Arial"/>
          <w:i/>
          <w:iCs/>
          <w:sz w:val="12"/>
          <w:szCs w:val="12"/>
          <w:lang w:val="es-ES"/>
        </w:rPr>
        <w:t>indirectos</w:t>
      </w:r>
      <w:r w:rsidRPr="00017CE9">
        <w:rPr>
          <w:rFonts w:ascii="Arial" w:hAnsi="Arial" w:cs="Arial"/>
          <w:sz w:val="12"/>
          <w:szCs w:val="12"/>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14">
    <w:p w14:paraId="0B5DA52A" w14:textId="77777777" w:rsidR="00B5050A" w:rsidRPr="00017CE9" w:rsidRDefault="00B5050A" w:rsidP="00B5050A">
      <w:pPr>
        <w:pStyle w:val="Textonotapie"/>
        <w:ind w:firstLine="709"/>
        <w:jc w:val="both"/>
        <w:rPr>
          <w:rFonts w:ascii="Arial" w:hAnsi="Arial" w:cs="Arial"/>
          <w:sz w:val="12"/>
          <w:szCs w:val="12"/>
        </w:rPr>
      </w:pPr>
    </w:p>
    <w:p w14:paraId="2295E3E6" w14:textId="77777777" w:rsidR="00B5050A" w:rsidRPr="00017CE9" w:rsidRDefault="00B5050A" w:rsidP="00B5050A">
      <w:pPr>
        <w:pStyle w:val="Textonotapie"/>
        <w:ind w:firstLine="709"/>
        <w:jc w:val="both"/>
        <w:rPr>
          <w:rFonts w:ascii="Arial" w:hAnsi="Arial" w:cs="Arial"/>
          <w:sz w:val="12"/>
          <w:szCs w:val="12"/>
        </w:rPr>
      </w:pPr>
      <w:r w:rsidRPr="00017CE9">
        <w:rPr>
          <w:rStyle w:val="Refdenotaalpie"/>
          <w:rFonts w:ascii="Arial" w:hAnsi="Arial" w:cs="Arial"/>
          <w:sz w:val="12"/>
          <w:szCs w:val="12"/>
        </w:rPr>
        <w:footnoteRef/>
      </w:r>
      <w:r w:rsidRPr="00017CE9">
        <w:rPr>
          <w:rFonts w:ascii="Arial" w:hAnsi="Arial" w:cs="Arial"/>
          <w:sz w:val="12"/>
          <w:szCs w:val="12"/>
        </w:rPr>
        <w:t xml:space="preserve"> Consejo de Estado. Sección Tercera. Subsección B. Sentencia del 14 de octubre de 2011. Exp. 20811, C.P. Ruth Stella Correa Palacio.</w:t>
      </w:r>
    </w:p>
    <w:p w14:paraId="6B54A566" w14:textId="77777777" w:rsidR="00B5050A" w:rsidRPr="00017CE9" w:rsidRDefault="00B5050A" w:rsidP="00B5050A">
      <w:pPr>
        <w:pStyle w:val="Textonotapie"/>
        <w:ind w:firstLine="709"/>
        <w:jc w:val="both"/>
        <w:rPr>
          <w:rFonts w:ascii="Arial" w:hAnsi="Arial" w:cs="Arial"/>
          <w:sz w:val="12"/>
          <w:szCs w:val="12"/>
          <w:lang w:val="es-ES"/>
        </w:rPr>
      </w:pPr>
    </w:p>
  </w:footnote>
  <w:footnote w:id="15">
    <w:p w14:paraId="295A38C3" w14:textId="77777777" w:rsidR="00B5050A" w:rsidRPr="001F5CEC" w:rsidRDefault="00B5050A" w:rsidP="00B5050A">
      <w:pPr>
        <w:pStyle w:val="Textonotapie"/>
        <w:ind w:firstLine="709"/>
        <w:jc w:val="both"/>
        <w:rPr>
          <w:rFonts w:ascii="Arial" w:hAnsi="Arial" w:cs="Arial"/>
          <w:color w:val="000000"/>
          <w:sz w:val="19"/>
          <w:szCs w:val="19"/>
          <w:lang w:val="es-CO"/>
        </w:rPr>
      </w:pPr>
      <w:r w:rsidRPr="00017CE9">
        <w:rPr>
          <w:rStyle w:val="Refdenotaalpie"/>
          <w:rFonts w:ascii="Arial" w:hAnsi="Arial" w:cs="Arial"/>
          <w:color w:val="000000"/>
          <w:sz w:val="12"/>
          <w:szCs w:val="12"/>
        </w:rPr>
        <w:footnoteRef/>
      </w:r>
      <w:r w:rsidRPr="00017CE9">
        <w:rPr>
          <w:rFonts w:ascii="Arial" w:hAnsi="Arial" w:cs="Arial"/>
          <w:color w:val="000000"/>
          <w:sz w:val="12"/>
          <w:szCs w:val="12"/>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0C7B2E" w:rsidRDefault="004A1847" w:rsidP="00906B3C">
    <w:pPr>
      <w:pStyle w:val="Encabezado"/>
      <w:tabs>
        <w:tab w:val="clear" w:pos="4419"/>
        <w:tab w:val="clear" w:pos="8838"/>
      </w:tabs>
      <w:ind w:left="3545" w:firstLine="709"/>
      <w:rPr>
        <w:b/>
        <w:bCs/>
        <w:color w:val="DBDBD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E4B78CE"/>
    <w:multiLevelType w:val="multilevel"/>
    <w:tmpl w:val="B62E7D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4"/>
  </w:num>
  <w:num w:numId="2" w16cid:durableId="1408454564">
    <w:abstractNumId w:val="1"/>
  </w:num>
  <w:num w:numId="3" w16cid:durableId="1897622572">
    <w:abstractNumId w:val="3"/>
  </w:num>
  <w:num w:numId="4" w16cid:durableId="696856536">
    <w:abstractNumId w:val="0"/>
  </w:num>
  <w:num w:numId="5" w16cid:durableId="940645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030"/>
    <w:rsid w:val="00017CE9"/>
    <w:rsid w:val="00083334"/>
    <w:rsid w:val="000956CF"/>
    <w:rsid w:val="000A683E"/>
    <w:rsid w:val="000C7B2E"/>
    <w:rsid w:val="000E385B"/>
    <w:rsid w:val="0011595A"/>
    <w:rsid w:val="001220C5"/>
    <w:rsid w:val="001267F7"/>
    <w:rsid w:val="00127233"/>
    <w:rsid w:val="00130999"/>
    <w:rsid w:val="00164D81"/>
    <w:rsid w:val="0016707D"/>
    <w:rsid w:val="001A1011"/>
    <w:rsid w:val="001A48D0"/>
    <w:rsid w:val="002336DA"/>
    <w:rsid w:val="002438EE"/>
    <w:rsid w:val="002653C1"/>
    <w:rsid w:val="0026611D"/>
    <w:rsid w:val="0028074A"/>
    <w:rsid w:val="002951A0"/>
    <w:rsid w:val="002A64FD"/>
    <w:rsid w:val="002F0839"/>
    <w:rsid w:val="00301469"/>
    <w:rsid w:val="00306EE1"/>
    <w:rsid w:val="00310B9B"/>
    <w:rsid w:val="0036461C"/>
    <w:rsid w:val="00367884"/>
    <w:rsid w:val="0039439C"/>
    <w:rsid w:val="003B69E7"/>
    <w:rsid w:val="003C013B"/>
    <w:rsid w:val="003D0F4D"/>
    <w:rsid w:val="003D609F"/>
    <w:rsid w:val="003F58A1"/>
    <w:rsid w:val="00410DD6"/>
    <w:rsid w:val="004134C9"/>
    <w:rsid w:val="0043138C"/>
    <w:rsid w:val="004372B6"/>
    <w:rsid w:val="00462A59"/>
    <w:rsid w:val="004A1847"/>
    <w:rsid w:val="004B6B0E"/>
    <w:rsid w:val="004D25B3"/>
    <w:rsid w:val="005014A5"/>
    <w:rsid w:val="00511405"/>
    <w:rsid w:val="00526E9D"/>
    <w:rsid w:val="00547856"/>
    <w:rsid w:val="00547A74"/>
    <w:rsid w:val="005566E8"/>
    <w:rsid w:val="005746AB"/>
    <w:rsid w:val="0059357F"/>
    <w:rsid w:val="005A1130"/>
    <w:rsid w:val="005D65C8"/>
    <w:rsid w:val="006219F8"/>
    <w:rsid w:val="006257C2"/>
    <w:rsid w:val="00681FDB"/>
    <w:rsid w:val="00687CB4"/>
    <w:rsid w:val="006A7DAD"/>
    <w:rsid w:val="006D70BA"/>
    <w:rsid w:val="006E387A"/>
    <w:rsid w:val="007566FE"/>
    <w:rsid w:val="0076726F"/>
    <w:rsid w:val="0077144B"/>
    <w:rsid w:val="00793403"/>
    <w:rsid w:val="007950B2"/>
    <w:rsid w:val="007C0CDF"/>
    <w:rsid w:val="007E2A2F"/>
    <w:rsid w:val="007F2B7C"/>
    <w:rsid w:val="00811651"/>
    <w:rsid w:val="00820F5B"/>
    <w:rsid w:val="00824570"/>
    <w:rsid w:val="00833452"/>
    <w:rsid w:val="008614E5"/>
    <w:rsid w:val="008678EB"/>
    <w:rsid w:val="00875894"/>
    <w:rsid w:val="00881C10"/>
    <w:rsid w:val="00890411"/>
    <w:rsid w:val="008D5C70"/>
    <w:rsid w:val="009025AF"/>
    <w:rsid w:val="00904F23"/>
    <w:rsid w:val="00906B3C"/>
    <w:rsid w:val="009110D8"/>
    <w:rsid w:val="00913B6C"/>
    <w:rsid w:val="0095342C"/>
    <w:rsid w:val="00954536"/>
    <w:rsid w:val="009F33F2"/>
    <w:rsid w:val="009F6C77"/>
    <w:rsid w:val="00A07532"/>
    <w:rsid w:val="00A1085C"/>
    <w:rsid w:val="00A309E2"/>
    <w:rsid w:val="00A8066E"/>
    <w:rsid w:val="00AA4B8A"/>
    <w:rsid w:val="00AA6BF7"/>
    <w:rsid w:val="00B01ED6"/>
    <w:rsid w:val="00B06D09"/>
    <w:rsid w:val="00B5050A"/>
    <w:rsid w:val="00B771A9"/>
    <w:rsid w:val="00B809BB"/>
    <w:rsid w:val="00B8248A"/>
    <w:rsid w:val="00BB7726"/>
    <w:rsid w:val="00C2329E"/>
    <w:rsid w:val="00C30461"/>
    <w:rsid w:val="00C754BE"/>
    <w:rsid w:val="00C87572"/>
    <w:rsid w:val="00C9405D"/>
    <w:rsid w:val="00CB762A"/>
    <w:rsid w:val="00CC1B26"/>
    <w:rsid w:val="00CD284F"/>
    <w:rsid w:val="00CF19A3"/>
    <w:rsid w:val="00CF23AA"/>
    <w:rsid w:val="00D01921"/>
    <w:rsid w:val="00D752B7"/>
    <w:rsid w:val="00DA1854"/>
    <w:rsid w:val="00DB0887"/>
    <w:rsid w:val="00DF1E43"/>
    <w:rsid w:val="00E20894"/>
    <w:rsid w:val="00E26B7C"/>
    <w:rsid w:val="00E45807"/>
    <w:rsid w:val="00E564DF"/>
    <w:rsid w:val="00EA3003"/>
    <w:rsid w:val="00EB3C91"/>
    <w:rsid w:val="00EB66DA"/>
    <w:rsid w:val="00F605F2"/>
    <w:rsid w:val="00F76AFC"/>
    <w:rsid w:val="00F8319B"/>
    <w:rsid w:val="00FA1105"/>
    <w:rsid w:val="00FA5516"/>
    <w:rsid w:val="00FD6F73"/>
    <w:rsid w:val="0B2C9B8B"/>
    <w:rsid w:val="1CC63BF5"/>
    <w:rsid w:val="2740CDED"/>
    <w:rsid w:val="2F8C345A"/>
    <w:rsid w:val="2F9951DC"/>
    <w:rsid w:val="3ADACF9B"/>
    <w:rsid w:val="3EA2D60F"/>
    <w:rsid w:val="3F8DB0EA"/>
    <w:rsid w:val="54514B25"/>
    <w:rsid w:val="64550528"/>
    <w:rsid w:val="656B709A"/>
    <w:rsid w:val="6B8BD3AC"/>
    <w:rsid w:val="7541169C"/>
    <w:rsid w:val="777950C3"/>
    <w:rsid w:val="79FC1FF5"/>
    <w:rsid w:val="7C03503F"/>
    <w:rsid w:val="7D8101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Hipervnculo1">
    <w:name w:val="Hipervínculo1"/>
    <w:basedOn w:val="Fuentedeprrafopredeter"/>
    <w:uiPriority w:val="99"/>
    <w:unhideWhenUsed/>
    <w:rsid w:val="00B5050A"/>
    <w:rPr>
      <w:color w:val="F2F2F2"/>
      <w:u w:val="single"/>
    </w:rPr>
  </w:style>
  <w:style w:type="table" w:customStyle="1" w:styleId="Tablaconcuadrcula1">
    <w:name w:val="Tabla con cuadrícula1"/>
    <w:basedOn w:val="Tablanormal"/>
    <w:next w:val="Tablaconcuadrcula"/>
    <w:uiPriority w:val="59"/>
    <w:rsid w:val="00B505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B5050A"/>
    <w:pPr>
      <w:spacing w:line="240" w:lineRule="exact"/>
    </w:pPr>
    <w:rPr>
      <w:vertAlign w:val="superscript"/>
    </w:rPr>
  </w:style>
  <w:style w:type="character" w:styleId="Hipervnculo">
    <w:name w:val="Hyperlink"/>
    <w:basedOn w:val="Fuentedeprrafopredeter"/>
    <w:uiPriority w:val="99"/>
    <w:semiHidden/>
    <w:unhideWhenUsed/>
    <w:rsid w:val="00B505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teguno@yaho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2F75B464-AECA-40DE-8F1D-D97D19C4A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purl.org/dc/dcmitype/"/>
    <ds:schemaRef ds:uri="9d85dbaf-23eb-4e57-a637-93dcacc8b1a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6cb9e4b-f1d1-4245-83ec-6cad768d53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6022</Words>
  <Characters>33126</Characters>
  <Application>Microsoft Office Word</Application>
  <DocSecurity>0</DocSecurity>
  <Lines>276</Lines>
  <Paragraphs>78</Paragraphs>
  <ScaleCrop>false</ScaleCrop>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dcterms:created xsi:type="dcterms:W3CDTF">2023-03-03T17:00:00Z</dcterms:created>
  <dcterms:modified xsi:type="dcterms:W3CDTF">2023-03-03T17:00:00Z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