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B95A3" w14:textId="77777777" w:rsidR="0096060B" w:rsidRPr="00257EDB" w:rsidRDefault="0096060B" w:rsidP="00257EDB">
      <w:pPr>
        <w:contextualSpacing/>
        <w:jc w:val="both"/>
        <w:rPr>
          <w:rFonts w:ascii="Geomanist Light" w:hAnsi="Geomanist Light" w:cs="Arial"/>
          <w:b/>
          <w:noProof/>
          <w:color w:val="000000" w:themeColor="text1"/>
          <w:sz w:val="20"/>
          <w:szCs w:val="20"/>
          <w:lang w:val="es-MX"/>
        </w:rPr>
      </w:pPr>
      <w:r w:rsidRPr="00257EDB">
        <w:rPr>
          <w:rFonts w:ascii="Geomanist Light" w:hAnsi="Geomanist Light" w:cs="Arial"/>
          <w:b/>
          <w:noProof/>
          <w:color w:val="000000" w:themeColor="text1"/>
          <w:sz w:val="20"/>
          <w:szCs w:val="20"/>
          <w:lang w:val="es-MX"/>
        </w:rPr>
        <w:t xml:space="preserve">CAPACIDAD RESIDUAL – Decreto 1082 de 2015 – </w:t>
      </w:r>
      <w:r w:rsidRPr="006C0B94">
        <w:rPr>
          <w:rFonts w:ascii="Geomanist Light" w:hAnsi="Geomanist Light" w:cs="Arial"/>
          <w:b/>
          <w:noProof/>
          <w:color w:val="000000" w:themeColor="text1"/>
          <w:sz w:val="20"/>
          <w:szCs w:val="20"/>
          <w:lang w:val="es-MX"/>
        </w:rPr>
        <w:t>Definición</w:t>
      </w:r>
    </w:p>
    <w:p w14:paraId="49B1CCA3" w14:textId="77777777" w:rsidR="0096060B" w:rsidRPr="00257EDB" w:rsidRDefault="0096060B" w:rsidP="00257EDB">
      <w:pPr>
        <w:contextualSpacing/>
        <w:rPr>
          <w:rFonts w:ascii="Geomanist Light" w:eastAsia="Calibri" w:hAnsi="Geomanist Light" w:cs="Arial"/>
          <w:sz w:val="20"/>
          <w:szCs w:val="20"/>
        </w:rPr>
      </w:pPr>
    </w:p>
    <w:p w14:paraId="18B02298" w14:textId="750683F2" w:rsidR="0096060B" w:rsidRPr="00257EDB" w:rsidRDefault="0096060B" w:rsidP="00257EDB">
      <w:pPr>
        <w:contextualSpacing/>
        <w:jc w:val="both"/>
        <w:rPr>
          <w:rFonts w:ascii="Geomanist Light" w:eastAsiaTheme="minorHAnsi" w:hAnsi="Geomanist Light"/>
          <w:color w:val="000000" w:themeColor="text1"/>
          <w:sz w:val="20"/>
          <w:szCs w:val="20"/>
          <w:lang w:val="es-MX"/>
        </w:rPr>
      </w:pPr>
      <w:r w:rsidRPr="00257EDB">
        <w:rPr>
          <w:rFonts w:ascii="Geomanist Light" w:eastAsiaTheme="minorHAnsi" w:hAnsi="Geomanist Light"/>
          <w:color w:val="000000" w:themeColor="text1"/>
          <w:sz w:val="20"/>
          <w:szCs w:val="20"/>
          <w:lang w:val="es-MX"/>
        </w:rPr>
        <w:t>De acuerdo con la definición establecida en el artículo 2.2.1.1.1.3.1. del Decreto 1082 de 2015, la capacidad residual es la aptitud de los oferentes para cumplir de manera oportuna y a cabalidad el objeto de un contrato de obra, sin que los demás compromisos contractuales que han adquirido afecten su habilidad para cumplir el objeto del contrato que está en proceso de selección.</w:t>
      </w:r>
    </w:p>
    <w:p w14:paraId="565F23C3" w14:textId="77777777" w:rsidR="0096060B" w:rsidRPr="00257EDB" w:rsidRDefault="0096060B" w:rsidP="00257EDB">
      <w:pPr>
        <w:contextualSpacing/>
        <w:jc w:val="both"/>
        <w:rPr>
          <w:rFonts w:ascii="Geomanist Light" w:hAnsi="Geomanist Light" w:cs="Arial"/>
          <w:b/>
          <w:noProof/>
          <w:color w:val="000000" w:themeColor="text1"/>
          <w:sz w:val="20"/>
          <w:szCs w:val="20"/>
          <w:lang w:val="es-MX"/>
        </w:rPr>
      </w:pPr>
    </w:p>
    <w:p w14:paraId="1F1E1F19" w14:textId="1A99C891" w:rsidR="0038077A" w:rsidRPr="00257EDB" w:rsidRDefault="0038077A" w:rsidP="00257EDB">
      <w:pPr>
        <w:contextualSpacing/>
        <w:jc w:val="both"/>
        <w:rPr>
          <w:rFonts w:ascii="Geomanist Light" w:hAnsi="Geomanist Light" w:cs="Arial"/>
          <w:b/>
          <w:bCs/>
          <w:noProof/>
          <w:color w:val="000000" w:themeColor="text1"/>
          <w:sz w:val="20"/>
          <w:szCs w:val="20"/>
        </w:rPr>
      </w:pPr>
      <w:r w:rsidRPr="00257EDB">
        <w:rPr>
          <w:rFonts w:ascii="Geomanist Light" w:hAnsi="Geomanist Light" w:cs="Arial"/>
          <w:b/>
          <w:noProof/>
          <w:color w:val="000000" w:themeColor="text1"/>
          <w:sz w:val="20"/>
          <w:szCs w:val="20"/>
          <w:lang w:val="es-MX"/>
        </w:rPr>
        <w:t xml:space="preserve">CAPACIDAD RESIDUAL – </w:t>
      </w:r>
      <w:r w:rsidRPr="00257EDB">
        <w:rPr>
          <w:rFonts w:ascii="Geomanist Light" w:hAnsi="Geomanist Light" w:cs="Arial"/>
          <w:b/>
          <w:bCs/>
          <w:noProof/>
          <w:color w:val="000000" w:themeColor="text1"/>
          <w:sz w:val="20"/>
          <w:szCs w:val="20"/>
        </w:rPr>
        <w:t xml:space="preserve">Cálculo – Factores </w:t>
      </w:r>
    </w:p>
    <w:p w14:paraId="2F56C85A" w14:textId="77777777" w:rsidR="0038077A" w:rsidRPr="00257EDB" w:rsidRDefault="0038077A" w:rsidP="00257EDB">
      <w:pPr>
        <w:contextualSpacing/>
        <w:jc w:val="both"/>
        <w:rPr>
          <w:rFonts w:ascii="Geomanist Light" w:hAnsi="Geomanist Light" w:cs="Arial"/>
          <w:b/>
          <w:bCs/>
          <w:noProof/>
          <w:color w:val="000000" w:themeColor="text1"/>
          <w:sz w:val="20"/>
          <w:szCs w:val="20"/>
        </w:rPr>
      </w:pPr>
    </w:p>
    <w:p w14:paraId="619BD40D" w14:textId="77777777" w:rsidR="0038077A" w:rsidRPr="0096060B" w:rsidRDefault="0038077A" w:rsidP="00257EDB">
      <w:pPr>
        <w:contextualSpacing/>
        <w:jc w:val="both"/>
        <w:rPr>
          <w:rFonts w:ascii="Geomanist Light" w:hAnsi="Geomanist Light" w:cs="Arial"/>
          <w:noProof/>
          <w:color w:val="000000" w:themeColor="text1"/>
          <w:sz w:val="20"/>
          <w:szCs w:val="20"/>
          <w:lang w:val="es-MX"/>
        </w:rPr>
      </w:pPr>
      <w:r w:rsidRPr="0096060B">
        <w:rPr>
          <w:rFonts w:ascii="Geomanist Light" w:hAnsi="Geomanist Light" w:cs="Arial"/>
          <w:noProof/>
          <w:color w:val="000000" w:themeColor="text1"/>
          <w:sz w:val="20"/>
          <w:szCs w:val="20"/>
          <w:lang w:val="es-MX"/>
        </w:rPr>
        <w:t>El Decreto 1082 de 2015 dispone que las entidades estatales deberán calcular la capacidad residual conforme a la metodología definida por Colombia Compre Eficiente. Para tale fines, resulta necesario tener en cuenta los factores de i) Experiencia –E–, ii) Capacidad Financiera –CF–, iii) Capacidad Técnica –CT–, iv) Capacidad de Organización y v) los Saldos de los Contratos en Ejecución –SCE–. De igual manera, establece que el interesado en celebrar contratos de obra pública acreditará su capacidad residual con los siguientes documentos: i) la lista de los contratos de obras civiles en ejecución suscritos con entidades estatales y con entidades privadas; ii) la lista de contratos de obras civiles en ejecución, suscritos por sociedades, consorcios o uniones temporales, en los cuales el proponente tenga participación, con entidades estatales y con entidades privadas; y finalmente iii) el balance general auditado del año inmediatamente anterior y estado de resultados auditado del año en que haya obtenido el mayor ingreso operacional en los últimos cinco (5) años.</w:t>
      </w:r>
    </w:p>
    <w:p w14:paraId="442F31C5" w14:textId="68691035" w:rsidR="00594390" w:rsidRPr="00257EDB" w:rsidRDefault="00594390" w:rsidP="00257EDB">
      <w:pPr>
        <w:contextualSpacing/>
        <w:jc w:val="both"/>
        <w:rPr>
          <w:rFonts w:ascii="Geomanist Light" w:hAnsi="Geomanist Light" w:cs="Arial"/>
          <w:noProof/>
          <w:color w:val="000000" w:themeColor="text1"/>
          <w:sz w:val="20"/>
          <w:szCs w:val="20"/>
          <w:lang w:val="es-ES_tradnl"/>
        </w:rPr>
      </w:pPr>
    </w:p>
    <w:p w14:paraId="5EE4962F" w14:textId="77777777" w:rsidR="0096060B" w:rsidRPr="00257EDB" w:rsidRDefault="0096060B" w:rsidP="00257EDB">
      <w:pPr>
        <w:contextualSpacing/>
        <w:jc w:val="both"/>
        <w:rPr>
          <w:rFonts w:ascii="Geomanist Light" w:hAnsi="Geomanist Light" w:cs="Arial"/>
          <w:b/>
          <w:noProof/>
          <w:color w:val="000000" w:themeColor="text1"/>
          <w:sz w:val="20"/>
          <w:szCs w:val="20"/>
          <w:lang w:val="es-MX"/>
        </w:rPr>
      </w:pPr>
      <w:r w:rsidRPr="00257EDB">
        <w:rPr>
          <w:rFonts w:ascii="Geomanist Light" w:hAnsi="Geomanist Light" w:cs="Arial"/>
          <w:b/>
          <w:noProof/>
          <w:color w:val="000000" w:themeColor="text1"/>
          <w:sz w:val="20"/>
          <w:szCs w:val="20"/>
          <w:lang w:val="es-MX"/>
        </w:rPr>
        <w:t xml:space="preserve">CAPACIDAD TÉCNICA – Ley 1682 de 2013 – </w:t>
      </w:r>
      <w:r w:rsidRPr="007C4D10">
        <w:rPr>
          <w:rFonts w:ascii="Geomanist Light" w:hAnsi="Geomanist Light" w:cs="Arial"/>
          <w:b/>
          <w:noProof/>
          <w:color w:val="000000" w:themeColor="text1"/>
          <w:sz w:val="20"/>
          <w:szCs w:val="20"/>
          <w:lang w:val="es-MX"/>
        </w:rPr>
        <w:t>Factor de cálculo</w:t>
      </w:r>
      <w:r w:rsidRPr="00257EDB">
        <w:rPr>
          <w:rFonts w:ascii="Geomanist Light" w:hAnsi="Geomanist Light" w:cs="Arial"/>
          <w:b/>
          <w:noProof/>
          <w:color w:val="000000" w:themeColor="text1"/>
          <w:sz w:val="20"/>
          <w:szCs w:val="20"/>
          <w:lang w:val="es-MX"/>
        </w:rPr>
        <w:t xml:space="preserve"> – Capacidad residual</w:t>
      </w:r>
    </w:p>
    <w:p w14:paraId="02627234" w14:textId="77777777" w:rsidR="0096060B" w:rsidRPr="00257EDB" w:rsidRDefault="0096060B" w:rsidP="00257EDB">
      <w:pPr>
        <w:ind w:left="100"/>
        <w:contextualSpacing/>
        <w:jc w:val="both"/>
        <w:rPr>
          <w:b/>
          <w:bCs/>
          <w:sz w:val="20"/>
          <w:szCs w:val="20"/>
        </w:rPr>
      </w:pPr>
    </w:p>
    <w:p w14:paraId="15C3E24D" w14:textId="77777777" w:rsidR="0096060B" w:rsidRPr="00257EDB" w:rsidRDefault="0096060B" w:rsidP="00257EDB">
      <w:pPr>
        <w:contextualSpacing/>
        <w:jc w:val="both"/>
        <w:rPr>
          <w:rFonts w:ascii="Geomanist Light" w:hAnsi="Geomanist Light" w:cs="Arial"/>
          <w:noProof/>
          <w:color w:val="000000" w:themeColor="text1"/>
          <w:sz w:val="20"/>
          <w:szCs w:val="20"/>
          <w:lang w:val="es-MX"/>
        </w:rPr>
      </w:pPr>
      <w:r w:rsidRPr="00257EDB">
        <w:rPr>
          <w:rFonts w:ascii="Geomanist Light" w:hAnsi="Geomanist Light" w:cs="Arial"/>
          <w:noProof/>
          <w:color w:val="000000" w:themeColor="text1"/>
          <w:sz w:val="20"/>
          <w:szCs w:val="20"/>
          <w:lang w:val="es-MX"/>
        </w:rPr>
        <w:t xml:space="preserve">Para el caso de la Capacidad Técnica (CT), sobre la cual se centra su consulta, el artículo 72 de la Ley 1682 de 2013 y el artículo 2.2.1.1.1.6.4 del Decreto 1082 de 2015, la incluyen como uno de los factores que se debe tener en cuenta para calcular la capacidad residual de los proponentes, sin embargo, no definieron los criterios o la forma de valoración de este factor, por lo cual, la Agencia Nacional de Contratación Pública – Colombia Compra Eficiente, de acuerdo con la competencia establecida por el Decreto 1082 de 2015, al fijar la metodología para el cálculo de la capacidad residual, estableció la forma de calcular la Capacidad Técnica (CT) en la “Guía para Determinar y Verificar la Capacidad Residual del Proponente en los Procesos de Contratación de Obra Pública”. </w:t>
      </w:r>
    </w:p>
    <w:p w14:paraId="5A838844" w14:textId="77777777" w:rsidR="009B71E1" w:rsidRPr="00257EDB" w:rsidRDefault="009B71E1" w:rsidP="00257EDB">
      <w:pPr>
        <w:contextualSpacing/>
        <w:jc w:val="both"/>
        <w:rPr>
          <w:rFonts w:ascii="Geomanist Light" w:eastAsia="Calibri" w:hAnsi="Geomanist Light" w:cs="Arial"/>
          <w:noProof/>
          <w:color w:val="000000" w:themeColor="text1"/>
          <w:sz w:val="20"/>
          <w:szCs w:val="20"/>
          <w:lang w:val="es-ES"/>
        </w:rPr>
      </w:pPr>
    </w:p>
    <w:p w14:paraId="030F7B3D" w14:textId="77777777" w:rsidR="009B71E1" w:rsidRPr="00257EDB" w:rsidRDefault="009B71E1" w:rsidP="00257EDB">
      <w:pPr>
        <w:contextualSpacing/>
        <w:jc w:val="both"/>
        <w:rPr>
          <w:rFonts w:ascii="Geomanist Light" w:eastAsia="Calibri" w:hAnsi="Geomanist Light" w:cs="Arial"/>
          <w:b/>
          <w:bCs/>
          <w:noProof/>
          <w:color w:val="000000" w:themeColor="text1"/>
          <w:sz w:val="20"/>
          <w:szCs w:val="20"/>
          <w:lang w:val="es-ES"/>
        </w:rPr>
      </w:pPr>
      <w:bookmarkStart w:id="0" w:name="_Hlk120020793"/>
      <w:r w:rsidRPr="00257EDB">
        <w:rPr>
          <w:rFonts w:ascii="Geomanist Light" w:eastAsia="Calibri" w:hAnsi="Geomanist Light" w:cs="Arial"/>
          <w:b/>
          <w:bCs/>
          <w:noProof/>
          <w:color w:val="000000" w:themeColor="text1"/>
          <w:sz w:val="20"/>
          <w:szCs w:val="20"/>
          <w:lang w:val="es-ES"/>
        </w:rPr>
        <w:t xml:space="preserve">CAPACIDAD TÉCNICA – </w:t>
      </w:r>
      <w:r w:rsidRPr="006D1A88">
        <w:rPr>
          <w:rFonts w:ascii="Geomanist Light" w:eastAsia="Calibri" w:hAnsi="Geomanist Light" w:cs="Arial"/>
          <w:b/>
          <w:bCs/>
          <w:noProof/>
          <w:color w:val="000000" w:themeColor="text1"/>
          <w:sz w:val="20"/>
          <w:szCs w:val="20"/>
          <w:lang w:val="es-ES"/>
        </w:rPr>
        <w:t>Guía para Determinar y Verificar la Capacidad Residual del Proponente en los Procesos de Contratación de Obra Pública</w:t>
      </w:r>
      <w:r w:rsidRPr="00257EDB">
        <w:rPr>
          <w:rFonts w:ascii="Geomanist Light" w:eastAsia="Calibri" w:hAnsi="Geomanist Light" w:cs="Arial"/>
          <w:b/>
          <w:bCs/>
          <w:noProof/>
          <w:color w:val="000000" w:themeColor="text1"/>
          <w:sz w:val="20"/>
          <w:szCs w:val="20"/>
          <w:lang w:val="es-ES"/>
        </w:rPr>
        <w:t xml:space="preserve"> – Cálculo </w:t>
      </w:r>
    </w:p>
    <w:bookmarkEnd w:id="0"/>
    <w:p w14:paraId="03F7812C" w14:textId="77777777" w:rsidR="009B71E1" w:rsidRPr="00257EDB" w:rsidRDefault="009B71E1" w:rsidP="00257EDB">
      <w:pPr>
        <w:contextualSpacing/>
        <w:jc w:val="both"/>
        <w:rPr>
          <w:rFonts w:ascii="Geomanist Light" w:eastAsia="Calibri" w:hAnsi="Geomanist Light" w:cs="Arial"/>
          <w:b/>
          <w:bCs/>
          <w:noProof/>
          <w:color w:val="000000" w:themeColor="text1"/>
          <w:sz w:val="20"/>
          <w:szCs w:val="20"/>
          <w:lang w:val="es-ES"/>
        </w:rPr>
      </w:pPr>
    </w:p>
    <w:p w14:paraId="7ECF1BDD" w14:textId="6308B2EB" w:rsidR="0038077A" w:rsidRPr="0096060B" w:rsidRDefault="009B71E1" w:rsidP="00257EDB">
      <w:pPr>
        <w:contextualSpacing/>
        <w:jc w:val="both"/>
        <w:rPr>
          <w:rFonts w:ascii="Geomanist Light" w:eastAsia="Calibri" w:hAnsi="Geomanist Light" w:cs="Arial"/>
          <w:noProof/>
          <w:color w:val="000000" w:themeColor="text1"/>
          <w:sz w:val="20"/>
          <w:szCs w:val="20"/>
          <w:lang w:val="es-ES"/>
        </w:rPr>
      </w:pPr>
      <w:r w:rsidRPr="0096060B">
        <w:rPr>
          <w:rFonts w:ascii="Geomanist Light" w:eastAsia="Calibri" w:hAnsi="Geomanist Light" w:cs="Arial"/>
          <w:noProof/>
          <w:color w:val="000000" w:themeColor="text1"/>
          <w:sz w:val="20"/>
          <w:szCs w:val="20"/>
        </w:rPr>
        <w:t xml:space="preserve">[…] la «Guía para Determinar y Verificar la Capacidad Residual del Proponente en los Procesos de Contratación de Obra Pública», indica que, </w:t>
      </w:r>
      <w:r w:rsidRPr="0096060B">
        <w:rPr>
          <w:rFonts w:ascii="Geomanist Light" w:eastAsia="Calibri" w:hAnsi="Geomanist Light" w:cs="Arial"/>
          <w:noProof/>
          <w:color w:val="000000" w:themeColor="text1"/>
          <w:sz w:val="20"/>
          <w:szCs w:val="20"/>
          <w:lang w:val="es-ES"/>
        </w:rPr>
        <w:t>la capacidad técnica (CT) se asigna teniendo en cuenta el número de socios y profesionales de la arquitectura, ingeniería y geología vinculados mediante una</w:t>
      </w:r>
      <w:r w:rsidRPr="0096060B">
        <w:rPr>
          <w:rFonts w:ascii="Geomanist Light" w:eastAsia="Calibri" w:hAnsi="Geomanist Light" w:cs="Arial"/>
          <w:b/>
          <w:noProof/>
          <w:color w:val="000000" w:themeColor="text1"/>
          <w:sz w:val="20"/>
          <w:szCs w:val="20"/>
          <w:lang w:val="es-ES"/>
        </w:rPr>
        <w:t xml:space="preserve"> </w:t>
      </w:r>
      <w:r w:rsidRPr="0096060B">
        <w:rPr>
          <w:rFonts w:ascii="Geomanist Light" w:eastAsia="Calibri" w:hAnsi="Geomanist Light" w:cs="Arial"/>
          <w:noProof/>
          <w:color w:val="000000" w:themeColor="text1"/>
          <w:sz w:val="20"/>
          <w:szCs w:val="20"/>
          <w:lang w:val="es-ES"/>
        </w:rPr>
        <w:t xml:space="preserve">relación laboral o contractual conforme a la cual desarrollen actividades relacionadas directamente a la construcción. Asimismo, establece que para acreditar la capacidad técnica (CT) es el proponente quien debe diligenciar el Formato correspondiente al “Anexo 2 – Certificación de la Capacidad Técnica”. </w:t>
      </w:r>
    </w:p>
    <w:p w14:paraId="6EAC13EB" w14:textId="5A850AB7" w:rsidR="0038077A" w:rsidRPr="009B71E1" w:rsidRDefault="0038077A" w:rsidP="00594390">
      <w:pPr>
        <w:spacing w:line="276" w:lineRule="auto"/>
        <w:jc w:val="both"/>
        <w:rPr>
          <w:rFonts w:ascii="Geomanist Light" w:eastAsia="Calibri" w:hAnsi="Geomanist Light" w:cs="Arial"/>
          <w:noProof/>
          <w:color w:val="000000" w:themeColor="text1"/>
          <w:sz w:val="20"/>
          <w:szCs w:val="20"/>
          <w:lang w:val="es-ES_tradnl"/>
        </w:rPr>
      </w:pPr>
    </w:p>
    <w:p w14:paraId="3CF9017F" w14:textId="37BB3802" w:rsidR="0038077A" w:rsidRPr="009B71E1" w:rsidRDefault="0038077A" w:rsidP="00594390">
      <w:pPr>
        <w:spacing w:line="276" w:lineRule="auto"/>
        <w:jc w:val="both"/>
        <w:rPr>
          <w:rFonts w:ascii="Geomanist Light" w:eastAsia="Calibri" w:hAnsi="Geomanist Light" w:cs="Arial"/>
          <w:noProof/>
          <w:color w:val="000000" w:themeColor="text1"/>
          <w:sz w:val="20"/>
          <w:szCs w:val="20"/>
          <w:lang w:val="es-ES_tradnl"/>
        </w:rPr>
      </w:pPr>
    </w:p>
    <w:p w14:paraId="24607A85" w14:textId="24491955" w:rsidR="0038077A" w:rsidRDefault="0038077A" w:rsidP="00594390">
      <w:pPr>
        <w:spacing w:line="276" w:lineRule="auto"/>
        <w:jc w:val="both"/>
        <w:rPr>
          <w:rFonts w:ascii="Geomanist Light" w:eastAsia="Calibri" w:hAnsi="Geomanist Light" w:cs="Arial"/>
          <w:noProof/>
          <w:color w:val="000000" w:themeColor="text1"/>
          <w:sz w:val="22"/>
          <w:szCs w:val="22"/>
          <w:lang w:val="es-ES_tradnl"/>
        </w:rPr>
      </w:pPr>
    </w:p>
    <w:p w14:paraId="235DA3A1" w14:textId="5612A262" w:rsidR="0038077A" w:rsidRDefault="00257EDB" w:rsidP="00594390">
      <w:pPr>
        <w:spacing w:line="276" w:lineRule="auto"/>
        <w:jc w:val="both"/>
        <w:rPr>
          <w:rFonts w:ascii="Geomanist Light" w:eastAsia="Calibri" w:hAnsi="Geomanist Light" w:cs="Arial"/>
          <w:noProof/>
          <w:color w:val="000000" w:themeColor="text1"/>
          <w:sz w:val="22"/>
          <w:szCs w:val="22"/>
          <w:lang w:val="es-ES_tradnl"/>
        </w:rPr>
      </w:pPr>
      <w:r w:rsidRPr="0050678D">
        <w:rPr>
          <w:rFonts w:ascii="Geomanist Light" w:hAnsi="Geomanist Light"/>
          <w:noProof/>
        </w:rPr>
        <w:lastRenderedPageBreak/>
        <w:drawing>
          <wp:anchor distT="0" distB="0" distL="0" distR="0" simplePos="0" relativeHeight="251661824" behindDoc="0" locked="0" layoutInCell="1" allowOverlap="1" wp14:anchorId="14998A35" wp14:editId="416198AF">
            <wp:simplePos x="0" y="0"/>
            <wp:positionH relativeFrom="page">
              <wp:posOffset>4822825</wp:posOffset>
            </wp:positionH>
            <wp:positionV relativeFrom="paragraph">
              <wp:posOffset>-100965</wp:posOffset>
            </wp:positionV>
            <wp:extent cx="2400300" cy="615949"/>
            <wp:effectExtent l="0" t="0" r="0" b="0"/>
            <wp:wrapNone/>
            <wp:docPr id="1" name="image3.jpe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jpeg" descr="Texto&#10;&#10;Descripción generada automáticamente"/>
                    <pic:cNvPicPr/>
                  </pic:nvPicPr>
                  <pic:blipFill>
                    <a:blip r:embed="rId11" cstate="print"/>
                    <a:stretch>
                      <a:fillRect/>
                    </a:stretch>
                  </pic:blipFill>
                  <pic:spPr>
                    <a:xfrm>
                      <a:off x="0" y="0"/>
                      <a:ext cx="2400300" cy="615949"/>
                    </a:xfrm>
                    <a:prstGeom prst="rect">
                      <a:avLst/>
                    </a:prstGeom>
                  </pic:spPr>
                </pic:pic>
              </a:graphicData>
            </a:graphic>
          </wp:anchor>
        </w:drawing>
      </w:r>
    </w:p>
    <w:p w14:paraId="0AABEEEC" w14:textId="582B535B" w:rsidR="0038077A" w:rsidRDefault="0038077A" w:rsidP="00594390">
      <w:pPr>
        <w:spacing w:line="276" w:lineRule="auto"/>
        <w:jc w:val="both"/>
        <w:rPr>
          <w:rFonts w:ascii="Geomanist Light" w:eastAsia="Calibri" w:hAnsi="Geomanist Light" w:cs="Arial"/>
          <w:noProof/>
          <w:color w:val="000000" w:themeColor="text1"/>
          <w:sz w:val="22"/>
          <w:szCs w:val="22"/>
          <w:lang w:val="es-ES_tradnl"/>
        </w:rPr>
      </w:pPr>
    </w:p>
    <w:p w14:paraId="1129A579" w14:textId="77777777" w:rsidR="00257EDB" w:rsidRDefault="00257EDB" w:rsidP="00594390">
      <w:pPr>
        <w:spacing w:line="276" w:lineRule="auto"/>
        <w:jc w:val="both"/>
        <w:rPr>
          <w:rFonts w:ascii="Geomanist Light" w:eastAsia="Calibri" w:hAnsi="Geomanist Light" w:cs="Arial"/>
          <w:noProof/>
          <w:color w:val="000000" w:themeColor="text1"/>
          <w:sz w:val="22"/>
          <w:szCs w:val="22"/>
          <w:lang w:val="es-ES_tradnl"/>
        </w:rPr>
      </w:pPr>
    </w:p>
    <w:p w14:paraId="0E662789" w14:textId="05BDDD84" w:rsidR="00594390" w:rsidRDefault="00594390" w:rsidP="00594390">
      <w:pPr>
        <w:rPr>
          <w:rFonts w:ascii="Geomanist Light" w:eastAsia="Calibri" w:hAnsi="Geomanist Light" w:cs="Arial"/>
          <w:noProof/>
          <w:color w:val="000000" w:themeColor="text1"/>
          <w:sz w:val="22"/>
          <w:szCs w:val="22"/>
          <w:lang w:val="es-ES_tradnl"/>
        </w:rPr>
      </w:pPr>
      <w:bookmarkStart w:id="1" w:name="_Hlk70510939"/>
    </w:p>
    <w:p w14:paraId="5FE7BA29" w14:textId="1E602BB8" w:rsidR="00257EDB" w:rsidRDefault="00257EDB" w:rsidP="00594390">
      <w:pPr>
        <w:rPr>
          <w:rFonts w:ascii="Geomanist Light" w:hAnsi="Geomanist Light" w:cs="Arial"/>
          <w:sz w:val="22"/>
        </w:rPr>
      </w:pPr>
      <w:r w:rsidRPr="00257EDB">
        <w:rPr>
          <w:rFonts w:ascii="Geomanist Light" w:hAnsi="Geomanist Light"/>
          <w:sz w:val="22"/>
          <w:szCs w:val="22"/>
        </w:rPr>
        <w:t>Bogotá</w:t>
      </w:r>
      <w:r w:rsidRPr="00257EDB">
        <w:rPr>
          <w:rFonts w:ascii="Geomanist Light" w:hAnsi="Geomanist Light"/>
          <w:spacing w:val="-5"/>
          <w:sz w:val="22"/>
          <w:szCs w:val="22"/>
        </w:rPr>
        <w:t xml:space="preserve"> </w:t>
      </w:r>
      <w:r w:rsidRPr="00257EDB">
        <w:rPr>
          <w:rFonts w:ascii="Geomanist Light" w:hAnsi="Geomanist Light"/>
          <w:sz w:val="22"/>
          <w:szCs w:val="22"/>
        </w:rPr>
        <w:t>D.C.,</w:t>
      </w:r>
      <w:r w:rsidRPr="00257EDB">
        <w:rPr>
          <w:rFonts w:ascii="Geomanist Light" w:hAnsi="Geomanist Light"/>
          <w:spacing w:val="-1"/>
          <w:sz w:val="22"/>
          <w:szCs w:val="22"/>
        </w:rPr>
        <w:t xml:space="preserve"> </w:t>
      </w:r>
      <w:r w:rsidRPr="00257EDB">
        <w:rPr>
          <w:rFonts w:ascii="Geomanist Light" w:hAnsi="Geomanist Light"/>
          <w:color w:val="201E1E"/>
          <w:sz w:val="22"/>
          <w:szCs w:val="22"/>
        </w:rPr>
        <w:t>23</w:t>
      </w:r>
      <w:r w:rsidRPr="00257EDB">
        <w:rPr>
          <w:rFonts w:ascii="Geomanist Light" w:hAnsi="Geomanist Light"/>
          <w:color w:val="201E1E"/>
          <w:spacing w:val="-4"/>
          <w:sz w:val="22"/>
          <w:szCs w:val="22"/>
        </w:rPr>
        <w:t xml:space="preserve"> </w:t>
      </w:r>
      <w:r w:rsidRPr="00257EDB">
        <w:rPr>
          <w:rFonts w:ascii="Geomanist Light" w:hAnsi="Geomanist Light"/>
          <w:color w:val="201E1E"/>
          <w:sz w:val="22"/>
          <w:szCs w:val="22"/>
        </w:rPr>
        <w:t>de</w:t>
      </w:r>
      <w:r w:rsidRPr="00257EDB">
        <w:rPr>
          <w:rFonts w:ascii="Geomanist Light" w:hAnsi="Geomanist Light"/>
          <w:color w:val="201E1E"/>
          <w:spacing w:val="-4"/>
          <w:sz w:val="22"/>
          <w:szCs w:val="22"/>
        </w:rPr>
        <w:t xml:space="preserve"> </w:t>
      </w:r>
      <w:r w:rsidRPr="00257EDB">
        <w:rPr>
          <w:rFonts w:ascii="Geomanist Light" w:hAnsi="Geomanist Light"/>
          <w:color w:val="201E1E"/>
          <w:sz w:val="22"/>
          <w:szCs w:val="22"/>
        </w:rPr>
        <w:t>noviembre</w:t>
      </w:r>
      <w:r w:rsidRPr="00257EDB">
        <w:rPr>
          <w:rFonts w:ascii="Geomanist Light" w:hAnsi="Geomanist Light"/>
          <w:color w:val="201E1E"/>
          <w:spacing w:val="-5"/>
          <w:sz w:val="22"/>
          <w:szCs w:val="22"/>
        </w:rPr>
        <w:t xml:space="preserve"> </w:t>
      </w:r>
      <w:r w:rsidRPr="00257EDB">
        <w:rPr>
          <w:rFonts w:ascii="Geomanist Light" w:hAnsi="Geomanist Light"/>
          <w:color w:val="201E1E"/>
          <w:sz w:val="22"/>
          <w:szCs w:val="22"/>
        </w:rPr>
        <w:t>de</w:t>
      </w:r>
      <w:r w:rsidRPr="00257EDB">
        <w:rPr>
          <w:rFonts w:ascii="Geomanist Light" w:hAnsi="Geomanist Light"/>
          <w:color w:val="201E1E"/>
          <w:spacing w:val="-4"/>
          <w:sz w:val="22"/>
          <w:szCs w:val="22"/>
        </w:rPr>
        <w:t xml:space="preserve"> </w:t>
      </w:r>
      <w:r w:rsidRPr="00257EDB">
        <w:rPr>
          <w:rFonts w:ascii="Geomanist Light" w:hAnsi="Geomanist Light"/>
          <w:color w:val="201E1E"/>
          <w:sz w:val="22"/>
          <w:szCs w:val="22"/>
        </w:rPr>
        <w:t>2022</w:t>
      </w:r>
    </w:p>
    <w:p w14:paraId="29FAB602" w14:textId="77777777" w:rsidR="00127B1F" w:rsidRPr="00C02598" w:rsidRDefault="00127B1F" w:rsidP="00594390">
      <w:pPr>
        <w:rPr>
          <w:rFonts w:ascii="Geomanist Light" w:hAnsi="Geomanist Light" w:cs="Arial"/>
          <w:sz w:val="22"/>
        </w:rPr>
      </w:pPr>
    </w:p>
    <w:p w14:paraId="00076DBE" w14:textId="77777777" w:rsidR="00594390" w:rsidRPr="00C02598" w:rsidRDefault="00594390" w:rsidP="00594390">
      <w:pPr>
        <w:rPr>
          <w:rFonts w:ascii="Geomanist Light" w:hAnsi="Geomanist Light" w:cs="Arial"/>
          <w:sz w:val="22"/>
        </w:rPr>
      </w:pPr>
      <w:bookmarkStart w:id="2" w:name="_Hlk118269263"/>
      <w:r w:rsidRPr="00C02598">
        <w:rPr>
          <w:rFonts w:ascii="Geomanist Light" w:hAnsi="Geomanist Light" w:cs="Arial"/>
          <w:sz w:val="22"/>
        </w:rPr>
        <w:t>Señora</w:t>
      </w:r>
    </w:p>
    <w:p w14:paraId="3809C3A0" w14:textId="42F81266" w:rsidR="00594390" w:rsidRPr="00C02598" w:rsidRDefault="00594390" w:rsidP="00594390">
      <w:pPr>
        <w:rPr>
          <w:rFonts w:ascii="Geomanist Light" w:hAnsi="Geomanist Light" w:cs="Arial"/>
          <w:bCs/>
          <w:sz w:val="22"/>
        </w:rPr>
      </w:pPr>
      <w:r>
        <w:rPr>
          <w:rFonts w:ascii="Geomanist Light" w:hAnsi="Geomanist Light" w:cs="Arial"/>
          <w:b/>
          <w:sz w:val="22"/>
        </w:rPr>
        <w:t>Luisa Fernanda Patiño</w:t>
      </w:r>
    </w:p>
    <w:p w14:paraId="69A2B467" w14:textId="3F60F186" w:rsidR="00594390" w:rsidRPr="00C02598" w:rsidRDefault="00594390" w:rsidP="00594390">
      <w:pPr>
        <w:rPr>
          <w:rFonts w:ascii="Geomanist Light" w:eastAsia="Calibri" w:hAnsi="Geomanist Light" w:cs="Arial"/>
          <w:sz w:val="22"/>
          <w:szCs w:val="22"/>
        </w:rPr>
      </w:pPr>
      <w:r>
        <w:rPr>
          <w:rFonts w:ascii="Geomanist Light" w:eastAsia="Calibri" w:hAnsi="Geomanist Light" w:cs="Arial"/>
          <w:sz w:val="22"/>
          <w:szCs w:val="22"/>
        </w:rPr>
        <w:t xml:space="preserve">Ciudad </w:t>
      </w:r>
    </w:p>
    <w:p w14:paraId="21EFD4BF" w14:textId="77777777" w:rsidR="00594390" w:rsidRPr="00C02598" w:rsidRDefault="00594390" w:rsidP="00594390">
      <w:pPr>
        <w:rPr>
          <w:rFonts w:ascii="Geomanist Light" w:eastAsia="Calibri" w:hAnsi="Geomanist Light" w:cs="Arial"/>
          <w:sz w:val="22"/>
          <w:szCs w:val="22"/>
        </w:rPr>
      </w:pPr>
    </w:p>
    <w:p w14:paraId="08C16A7F" w14:textId="77777777" w:rsidR="00594390" w:rsidRPr="00C02598" w:rsidRDefault="00594390" w:rsidP="00594390">
      <w:pPr>
        <w:ind w:left="2124" w:firstLine="708"/>
        <w:rPr>
          <w:rFonts w:ascii="Geomanist Light" w:hAnsi="Geomanist Light" w:cs="Arial"/>
          <w:b/>
          <w:bCs/>
          <w:sz w:val="22"/>
        </w:rPr>
      </w:pPr>
    </w:p>
    <w:p w14:paraId="7F1F4C12" w14:textId="7CFC3DB4" w:rsidR="00594390" w:rsidRPr="00C02598" w:rsidRDefault="00594390" w:rsidP="00594390">
      <w:pPr>
        <w:ind w:left="2124" w:firstLine="708"/>
        <w:rPr>
          <w:rFonts w:ascii="Geomanist Light" w:hAnsi="Geomanist Light" w:cs="Arial"/>
          <w:b/>
          <w:bCs/>
          <w:sz w:val="22"/>
        </w:rPr>
      </w:pPr>
      <w:r w:rsidRPr="00C02598">
        <w:rPr>
          <w:rFonts w:ascii="Geomanist Light" w:hAnsi="Geomanist Light" w:cs="Arial"/>
          <w:b/>
          <w:bCs/>
          <w:sz w:val="22"/>
        </w:rPr>
        <w:t>Concepto C – 7</w:t>
      </w:r>
      <w:r w:rsidR="00CD3817">
        <w:rPr>
          <w:rFonts w:ascii="Geomanist Light" w:hAnsi="Geomanist Light" w:cs="Arial"/>
          <w:b/>
          <w:bCs/>
          <w:sz w:val="22"/>
        </w:rPr>
        <w:t>94</w:t>
      </w:r>
      <w:r w:rsidRPr="00C02598">
        <w:rPr>
          <w:rFonts w:ascii="Geomanist Light" w:hAnsi="Geomanist Light" w:cs="Arial"/>
          <w:b/>
          <w:bCs/>
          <w:sz w:val="22"/>
        </w:rPr>
        <w:t xml:space="preserve"> de 2022</w:t>
      </w:r>
    </w:p>
    <w:p w14:paraId="6EB648BF" w14:textId="77777777" w:rsidR="00594390" w:rsidRPr="00C02598" w:rsidRDefault="00594390" w:rsidP="00594390">
      <w:pPr>
        <w:ind w:left="2824" w:hanging="2818"/>
        <w:jc w:val="both"/>
        <w:rPr>
          <w:rFonts w:ascii="Geomanist Light" w:eastAsia="Calibri" w:hAnsi="Geomanist Light" w:cs="Arial"/>
          <w:b/>
          <w:noProof/>
          <w:sz w:val="22"/>
          <w:szCs w:val="22"/>
          <w:lang w:eastAsia="en-US"/>
        </w:rPr>
      </w:pPr>
    </w:p>
    <w:p w14:paraId="46497EE6" w14:textId="12459417" w:rsidR="00CD3817" w:rsidRDefault="00594390" w:rsidP="00127B1F">
      <w:pPr>
        <w:ind w:left="2824" w:hanging="2818"/>
        <w:contextualSpacing/>
        <w:jc w:val="both"/>
        <w:rPr>
          <w:rFonts w:ascii="Geomanist Light" w:eastAsia="Calibri" w:hAnsi="Geomanist Light" w:cs="Arial"/>
          <w:sz w:val="22"/>
          <w:lang w:val="es-ES"/>
        </w:rPr>
      </w:pPr>
      <w:r w:rsidRPr="00BC14B2">
        <w:rPr>
          <w:rFonts w:ascii="Geomanist Light" w:eastAsia="Calibri" w:hAnsi="Geomanist Light" w:cs="Arial"/>
          <w:b/>
          <w:noProof/>
          <w:sz w:val="22"/>
          <w:szCs w:val="22"/>
          <w:lang w:eastAsia="en-US"/>
        </w:rPr>
        <w:t>Temas</w:t>
      </w:r>
      <w:r w:rsidRPr="00BC14B2">
        <w:rPr>
          <w:rFonts w:ascii="Geomanist Light" w:eastAsia="Calibri" w:hAnsi="Geomanist Light" w:cs="Arial"/>
          <w:bCs/>
          <w:noProof/>
          <w:sz w:val="22"/>
          <w:szCs w:val="22"/>
          <w:lang w:eastAsia="en-US"/>
        </w:rPr>
        <w:t xml:space="preserve">: </w:t>
      </w:r>
      <w:r w:rsidRPr="00BC14B2">
        <w:rPr>
          <w:rFonts w:ascii="Geomanist Light" w:eastAsia="Calibri" w:hAnsi="Geomanist Light" w:cs="Arial"/>
          <w:bCs/>
          <w:noProof/>
          <w:sz w:val="22"/>
          <w:szCs w:val="22"/>
          <w:lang w:eastAsia="en-US"/>
        </w:rPr>
        <w:tab/>
      </w:r>
      <w:r w:rsidR="00257EDB" w:rsidRPr="00257EDB">
        <w:rPr>
          <w:rFonts w:ascii="Geomanist Light" w:eastAsia="Calibri" w:hAnsi="Geomanist Light" w:cs="Calibri"/>
          <w:sz w:val="22"/>
          <w:szCs w:val="22"/>
          <w:lang w:val="es-ES" w:eastAsia="en-US"/>
        </w:rPr>
        <w:t>CAPACIDAD RESIDUAL – Decreto 1082 de 2013 – Definición – Cálculo –</w:t>
      </w:r>
      <w:r w:rsidR="00257EDB" w:rsidRPr="00257EDB">
        <w:rPr>
          <w:rFonts w:ascii="Geomanist Light" w:eastAsia="Calibri" w:hAnsi="Geomanist Light" w:cs="Calibri"/>
          <w:spacing w:val="1"/>
          <w:sz w:val="22"/>
          <w:szCs w:val="22"/>
          <w:lang w:val="es-ES" w:eastAsia="en-US"/>
        </w:rPr>
        <w:t xml:space="preserve"> </w:t>
      </w:r>
      <w:r w:rsidR="00257EDB" w:rsidRPr="00257EDB">
        <w:rPr>
          <w:rFonts w:ascii="Geomanist Light" w:eastAsia="Calibri" w:hAnsi="Geomanist Light" w:cs="Calibri"/>
          <w:sz w:val="22"/>
          <w:szCs w:val="22"/>
          <w:lang w:val="es-ES" w:eastAsia="en-US"/>
        </w:rPr>
        <w:t>Factores / CAPACIDAD TÉCNICA Ley 1682 de 2013 – Factor de cálculo –</w:t>
      </w:r>
      <w:r w:rsidR="00257EDB" w:rsidRPr="00257EDB">
        <w:rPr>
          <w:rFonts w:ascii="Geomanist Light" w:eastAsia="Calibri" w:hAnsi="Geomanist Light" w:cs="Calibri"/>
          <w:spacing w:val="1"/>
          <w:sz w:val="22"/>
          <w:szCs w:val="22"/>
          <w:lang w:val="es-ES" w:eastAsia="en-US"/>
        </w:rPr>
        <w:t xml:space="preserve"> </w:t>
      </w:r>
      <w:r w:rsidR="00257EDB" w:rsidRPr="00257EDB">
        <w:rPr>
          <w:rFonts w:ascii="Geomanist Light" w:eastAsia="Calibri" w:hAnsi="Geomanist Light" w:cs="Calibri"/>
          <w:sz w:val="22"/>
          <w:szCs w:val="22"/>
          <w:lang w:val="es-ES" w:eastAsia="en-US"/>
        </w:rPr>
        <w:t>Capacidad residual / CAPACIDAD RESIDUAL / CAPACIDAD TÉCNICA – Guía</w:t>
      </w:r>
      <w:r w:rsidR="00257EDB" w:rsidRPr="00257EDB">
        <w:rPr>
          <w:rFonts w:ascii="Geomanist Light" w:eastAsia="Calibri" w:hAnsi="Geomanist Light" w:cs="Calibri"/>
          <w:spacing w:val="-47"/>
          <w:sz w:val="22"/>
          <w:szCs w:val="22"/>
          <w:lang w:val="es-ES" w:eastAsia="en-US"/>
        </w:rPr>
        <w:t xml:space="preserve"> </w:t>
      </w:r>
      <w:r w:rsidR="00257EDB" w:rsidRPr="00257EDB">
        <w:rPr>
          <w:rFonts w:ascii="Geomanist Light" w:eastAsia="Calibri" w:hAnsi="Geomanist Light" w:cs="Calibri"/>
          <w:sz w:val="22"/>
          <w:szCs w:val="22"/>
          <w:lang w:val="es-ES" w:eastAsia="en-US"/>
        </w:rPr>
        <w:t>para Determinar y Verificar la Capacidad Residual del Proponente en los</w:t>
      </w:r>
      <w:r w:rsidR="00257EDB" w:rsidRPr="00257EDB">
        <w:rPr>
          <w:rFonts w:ascii="Geomanist Light" w:eastAsia="Calibri" w:hAnsi="Geomanist Light" w:cs="Calibri"/>
          <w:spacing w:val="1"/>
          <w:sz w:val="22"/>
          <w:szCs w:val="22"/>
          <w:lang w:val="es-ES" w:eastAsia="en-US"/>
        </w:rPr>
        <w:t xml:space="preserve"> </w:t>
      </w:r>
      <w:r w:rsidR="00257EDB" w:rsidRPr="00257EDB">
        <w:rPr>
          <w:rFonts w:ascii="Geomanist Light" w:eastAsia="Calibri" w:hAnsi="Geomanist Light" w:cs="Calibri"/>
          <w:sz w:val="22"/>
          <w:szCs w:val="22"/>
          <w:lang w:val="es-ES" w:eastAsia="en-US"/>
        </w:rPr>
        <w:t>Procesos</w:t>
      </w:r>
      <w:r w:rsidR="00257EDB" w:rsidRPr="00257EDB">
        <w:rPr>
          <w:rFonts w:ascii="Geomanist Light" w:eastAsia="Calibri" w:hAnsi="Geomanist Light" w:cs="Calibri"/>
          <w:spacing w:val="-2"/>
          <w:sz w:val="22"/>
          <w:szCs w:val="22"/>
          <w:lang w:val="es-ES" w:eastAsia="en-US"/>
        </w:rPr>
        <w:t xml:space="preserve"> </w:t>
      </w:r>
      <w:r w:rsidR="00257EDB" w:rsidRPr="00257EDB">
        <w:rPr>
          <w:rFonts w:ascii="Geomanist Light" w:eastAsia="Calibri" w:hAnsi="Geomanist Light" w:cs="Calibri"/>
          <w:sz w:val="22"/>
          <w:szCs w:val="22"/>
          <w:lang w:val="es-ES" w:eastAsia="en-US"/>
        </w:rPr>
        <w:t>de</w:t>
      </w:r>
      <w:r w:rsidR="00257EDB" w:rsidRPr="00257EDB">
        <w:rPr>
          <w:rFonts w:ascii="Geomanist Light" w:eastAsia="Calibri" w:hAnsi="Geomanist Light" w:cs="Calibri"/>
          <w:spacing w:val="-2"/>
          <w:sz w:val="22"/>
          <w:szCs w:val="22"/>
          <w:lang w:val="es-ES" w:eastAsia="en-US"/>
        </w:rPr>
        <w:t xml:space="preserve"> </w:t>
      </w:r>
      <w:r w:rsidR="00257EDB" w:rsidRPr="00257EDB">
        <w:rPr>
          <w:rFonts w:ascii="Geomanist Light" w:eastAsia="Calibri" w:hAnsi="Geomanist Light" w:cs="Calibri"/>
          <w:sz w:val="22"/>
          <w:szCs w:val="22"/>
          <w:lang w:val="es-ES" w:eastAsia="en-US"/>
        </w:rPr>
        <w:t>Contratación</w:t>
      </w:r>
      <w:r w:rsidR="00257EDB" w:rsidRPr="00257EDB">
        <w:rPr>
          <w:rFonts w:ascii="Geomanist Light" w:eastAsia="Calibri" w:hAnsi="Geomanist Light" w:cs="Calibri"/>
          <w:spacing w:val="-2"/>
          <w:sz w:val="22"/>
          <w:szCs w:val="22"/>
          <w:lang w:val="es-ES" w:eastAsia="en-US"/>
        </w:rPr>
        <w:t xml:space="preserve"> </w:t>
      </w:r>
      <w:r w:rsidR="00257EDB" w:rsidRPr="00257EDB">
        <w:rPr>
          <w:rFonts w:ascii="Geomanist Light" w:eastAsia="Calibri" w:hAnsi="Geomanist Light" w:cs="Calibri"/>
          <w:sz w:val="22"/>
          <w:szCs w:val="22"/>
          <w:lang w:val="es-ES" w:eastAsia="en-US"/>
        </w:rPr>
        <w:t>de</w:t>
      </w:r>
      <w:r w:rsidR="00257EDB" w:rsidRPr="00257EDB">
        <w:rPr>
          <w:rFonts w:ascii="Geomanist Light" w:eastAsia="Calibri" w:hAnsi="Geomanist Light" w:cs="Calibri"/>
          <w:spacing w:val="-1"/>
          <w:sz w:val="22"/>
          <w:szCs w:val="22"/>
          <w:lang w:val="es-ES" w:eastAsia="en-US"/>
        </w:rPr>
        <w:t xml:space="preserve"> </w:t>
      </w:r>
      <w:r w:rsidR="00257EDB" w:rsidRPr="00257EDB">
        <w:rPr>
          <w:rFonts w:ascii="Geomanist Light" w:eastAsia="Calibri" w:hAnsi="Geomanist Light" w:cs="Calibri"/>
          <w:sz w:val="22"/>
          <w:szCs w:val="22"/>
          <w:lang w:val="es-ES" w:eastAsia="en-US"/>
        </w:rPr>
        <w:t>Obra</w:t>
      </w:r>
      <w:r w:rsidR="00257EDB" w:rsidRPr="00257EDB">
        <w:rPr>
          <w:rFonts w:ascii="Geomanist Light" w:eastAsia="Calibri" w:hAnsi="Geomanist Light" w:cs="Calibri"/>
          <w:spacing w:val="-2"/>
          <w:sz w:val="22"/>
          <w:szCs w:val="22"/>
          <w:lang w:val="es-ES" w:eastAsia="en-US"/>
        </w:rPr>
        <w:t xml:space="preserve"> </w:t>
      </w:r>
      <w:r w:rsidR="00257EDB" w:rsidRPr="00257EDB">
        <w:rPr>
          <w:rFonts w:ascii="Geomanist Light" w:eastAsia="Calibri" w:hAnsi="Geomanist Light" w:cs="Calibri"/>
          <w:sz w:val="22"/>
          <w:szCs w:val="22"/>
          <w:lang w:val="es-ES" w:eastAsia="en-US"/>
        </w:rPr>
        <w:t>Pública</w:t>
      </w:r>
      <w:r w:rsidR="00257EDB" w:rsidRPr="00257EDB">
        <w:rPr>
          <w:rFonts w:ascii="Geomanist Light" w:eastAsia="Calibri" w:hAnsi="Geomanist Light" w:cs="Calibri"/>
          <w:spacing w:val="4"/>
          <w:sz w:val="22"/>
          <w:szCs w:val="22"/>
          <w:lang w:val="es-ES" w:eastAsia="en-US"/>
        </w:rPr>
        <w:t xml:space="preserve"> </w:t>
      </w:r>
      <w:r w:rsidR="00257EDB" w:rsidRPr="00257EDB">
        <w:rPr>
          <w:rFonts w:ascii="Geomanist Light" w:eastAsia="Calibri" w:hAnsi="Geomanist Light" w:cs="Calibri"/>
          <w:sz w:val="22"/>
          <w:szCs w:val="22"/>
          <w:lang w:val="es-ES" w:eastAsia="en-US"/>
        </w:rPr>
        <w:t>–</w:t>
      </w:r>
      <w:r w:rsidR="00257EDB" w:rsidRPr="00257EDB">
        <w:rPr>
          <w:rFonts w:ascii="Geomanist Light" w:eastAsia="Calibri" w:hAnsi="Geomanist Light" w:cs="Calibri"/>
          <w:spacing w:val="-2"/>
          <w:sz w:val="22"/>
          <w:szCs w:val="22"/>
          <w:lang w:val="es-ES" w:eastAsia="en-US"/>
        </w:rPr>
        <w:t xml:space="preserve"> </w:t>
      </w:r>
      <w:r w:rsidR="00257EDB" w:rsidRPr="00257EDB">
        <w:rPr>
          <w:rFonts w:ascii="Geomanist Light" w:eastAsia="Calibri" w:hAnsi="Geomanist Light" w:cs="Calibri"/>
          <w:sz w:val="22"/>
          <w:szCs w:val="22"/>
          <w:lang w:val="es-ES" w:eastAsia="en-US"/>
        </w:rPr>
        <w:t>Cálculo</w:t>
      </w:r>
    </w:p>
    <w:p w14:paraId="6557E58E" w14:textId="77777777" w:rsidR="00127B1F" w:rsidRPr="009B71E1" w:rsidRDefault="00127B1F" w:rsidP="00257EDB">
      <w:pPr>
        <w:ind w:left="2824" w:hanging="2818"/>
        <w:contextualSpacing/>
        <w:jc w:val="both"/>
        <w:rPr>
          <w:rFonts w:ascii="Geomanist Light" w:eastAsia="Calibri" w:hAnsi="Geomanist Light" w:cs="Arial"/>
          <w:sz w:val="22"/>
          <w:lang w:val="es-ES"/>
        </w:rPr>
      </w:pPr>
    </w:p>
    <w:p w14:paraId="5ADE6EBF" w14:textId="5CB8BBB2" w:rsidR="00594390" w:rsidRPr="00C02598" w:rsidRDefault="00594390" w:rsidP="00257EDB">
      <w:pPr>
        <w:ind w:left="2835" w:hanging="2835"/>
        <w:contextualSpacing/>
        <w:rPr>
          <w:rFonts w:ascii="Geomanist Light" w:eastAsia="Calibri" w:hAnsi="Geomanist Light" w:cs="Arial"/>
          <w:bCs/>
          <w:noProof/>
          <w:sz w:val="22"/>
          <w:szCs w:val="22"/>
          <w:lang w:eastAsia="en-US"/>
        </w:rPr>
      </w:pPr>
      <w:r w:rsidRPr="00C02598">
        <w:rPr>
          <w:rFonts w:ascii="Geomanist Light" w:eastAsia="Calibri" w:hAnsi="Geomanist Light" w:cs="Arial"/>
          <w:b/>
          <w:noProof/>
          <w:sz w:val="22"/>
          <w:szCs w:val="22"/>
          <w:lang w:eastAsia="en-US"/>
        </w:rPr>
        <w:t>Radicación</w:t>
      </w:r>
      <w:r w:rsidRPr="00C02598">
        <w:rPr>
          <w:rFonts w:ascii="Geomanist Light" w:eastAsia="Calibri" w:hAnsi="Geomanist Light" w:cs="Arial"/>
          <w:bCs/>
          <w:noProof/>
          <w:sz w:val="22"/>
          <w:szCs w:val="22"/>
          <w:lang w:eastAsia="en-US"/>
        </w:rPr>
        <w:t>:</w:t>
      </w:r>
      <w:r w:rsidRPr="00C02598">
        <w:rPr>
          <w:rFonts w:ascii="Geomanist Light" w:eastAsia="Calibri" w:hAnsi="Geomanist Light" w:cs="Arial"/>
          <w:bCs/>
          <w:noProof/>
          <w:sz w:val="22"/>
          <w:szCs w:val="22"/>
          <w:lang w:eastAsia="en-US"/>
        </w:rPr>
        <w:tab/>
        <w:t xml:space="preserve">Respuesta a consulta </w:t>
      </w:r>
      <w:r w:rsidRPr="00594390">
        <w:rPr>
          <w:rFonts w:ascii="Geomanist Light" w:eastAsia="Calibri" w:hAnsi="Geomanist Light" w:cs="Arial"/>
          <w:bCs/>
          <w:noProof/>
          <w:sz w:val="22"/>
          <w:szCs w:val="22"/>
          <w:lang w:eastAsia="en-US"/>
        </w:rPr>
        <w:t>P20221007010145</w:t>
      </w:r>
    </w:p>
    <w:p w14:paraId="224B6EDA" w14:textId="77777777" w:rsidR="00594390" w:rsidRPr="00C02598" w:rsidRDefault="00594390" w:rsidP="00257EDB">
      <w:pPr>
        <w:spacing w:line="276" w:lineRule="auto"/>
        <w:rPr>
          <w:rFonts w:ascii="Geomanist Light" w:hAnsi="Geomanist Light" w:cs="Arial"/>
          <w:sz w:val="22"/>
        </w:rPr>
      </w:pPr>
    </w:p>
    <w:p w14:paraId="42E87664" w14:textId="77777777" w:rsidR="00594390" w:rsidRPr="00C02598" w:rsidRDefault="00594390" w:rsidP="00257EDB">
      <w:pPr>
        <w:spacing w:line="276" w:lineRule="auto"/>
        <w:rPr>
          <w:rFonts w:ascii="Geomanist Light" w:hAnsi="Geomanist Light" w:cs="Arial"/>
          <w:sz w:val="22"/>
        </w:rPr>
      </w:pPr>
    </w:p>
    <w:p w14:paraId="6B12A1F5" w14:textId="57A9F391" w:rsidR="00594390" w:rsidRPr="00C02598" w:rsidRDefault="00594390" w:rsidP="00127B1F">
      <w:pPr>
        <w:spacing w:line="276" w:lineRule="auto"/>
        <w:rPr>
          <w:rFonts w:ascii="Geomanist Light" w:hAnsi="Geomanist Light" w:cs="Arial"/>
          <w:sz w:val="22"/>
        </w:rPr>
      </w:pPr>
      <w:r w:rsidRPr="00C02598">
        <w:rPr>
          <w:rFonts w:ascii="Geomanist Light" w:hAnsi="Geomanist Light" w:cs="Arial"/>
          <w:sz w:val="22"/>
        </w:rPr>
        <w:t xml:space="preserve">Estimada señora </w:t>
      </w:r>
      <w:r w:rsidR="00BA2332">
        <w:rPr>
          <w:rFonts w:ascii="Geomanist Light" w:hAnsi="Geomanist Light" w:cs="Arial"/>
          <w:sz w:val="22"/>
        </w:rPr>
        <w:t>Patiño</w:t>
      </w:r>
      <w:r w:rsidRPr="00C02598">
        <w:rPr>
          <w:rFonts w:ascii="Geomanist Light" w:hAnsi="Geomanist Light" w:cs="Arial"/>
          <w:bCs/>
          <w:sz w:val="22"/>
        </w:rPr>
        <w:t>:</w:t>
      </w:r>
      <w:r w:rsidRPr="00C02598">
        <w:rPr>
          <w:rFonts w:ascii="Geomanist Light" w:hAnsi="Geomanist Light" w:cs="Arial"/>
          <w:sz w:val="22"/>
        </w:rPr>
        <w:t xml:space="preserve"> </w:t>
      </w:r>
    </w:p>
    <w:p w14:paraId="44DC26B8" w14:textId="77777777" w:rsidR="00594390" w:rsidRPr="00C02598" w:rsidRDefault="00594390" w:rsidP="00127B1F">
      <w:pPr>
        <w:spacing w:line="276" w:lineRule="auto"/>
        <w:rPr>
          <w:rFonts w:ascii="Geomanist Light" w:hAnsi="Geomanist Light" w:cs="Arial"/>
          <w:sz w:val="22"/>
        </w:rPr>
      </w:pPr>
    </w:p>
    <w:p w14:paraId="4CC63E47" w14:textId="3770CF6F" w:rsidR="00594390" w:rsidRPr="00C02598" w:rsidRDefault="00594390" w:rsidP="00127B1F">
      <w:pPr>
        <w:spacing w:line="276" w:lineRule="auto"/>
        <w:jc w:val="both"/>
        <w:rPr>
          <w:rFonts w:ascii="Geomanist Light" w:hAnsi="Geomanist Light" w:cs="Arial"/>
          <w:sz w:val="22"/>
        </w:rPr>
      </w:pPr>
      <w:r w:rsidRPr="00C02598">
        <w:rPr>
          <w:rFonts w:ascii="Geomanist Light" w:hAnsi="Geomanist Light" w:cs="Arial"/>
          <w:sz w:val="22"/>
        </w:rPr>
        <w:t xml:space="preserve">En ejercicio de la competencia otorgada por el numeral 8 del artículo 11 y el numeral 5 del artículo 3 del Decreto Ley 4170 de 2011, la Agencia Nacional de Contratación Pública − Colombia Compra Eficiente responde su consulta del </w:t>
      </w:r>
      <w:r>
        <w:rPr>
          <w:rFonts w:ascii="Geomanist Light" w:hAnsi="Geomanist Light" w:cs="Arial"/>
          <w:sz w:val="22"/>
        </w:rPr>
        <w:t>7 de octubre de 2022.</w:t>
      </w:r>
    </w:p>
    <w:p w14:paraId="6C501709" w14:textId="77777777" w:rsidR="00594390" w:rsidRPr="00C02598" w:rsidRDefault="00594390" w:rsidP="00257EDB">
      <w:pPr>
        <w:spacing w:line="276" w:lineRule="auto"/>
        <w:rPr>
          <w:rFonts w:ascii="Geomanist Light" w:hAnsi="Geomanist Light" w:cs="Arial"/>
          <w:sz w:val="22"/>
        </w:rPr>
      </w:pPr>
    </w:p>
    <w:p w14:paraId="5790AE07" w14:textId="77777777" w:rsidR="00594390" w:rsidRPr="00C02598" w:rsidRDefault="00594390" w:rsidP="00257EDB">
      <w:pPr>
        <w:spacing w:line="276" w:lineRule="auto"/>
        <w:rPr>
          <w:rFonts w:ascii="Geomanist Light" w:hAnsi="Geomanist Light" w:cs="Arial"/>
          <w:b/>
          <w:sz w:val="22"/>
        </w:rPr>
      </w:pPr>
      <w:r w:rsidRPr="00C02598">
        <w:rPr>
          <w:rFonts w:ascii="Geomanist Light" w:hAnsi="Geomanist Light" w:cs="Arial"/>
          <w:b/>
          <w:sz w:val="22"/>
        </w:rPr>
        <w:t xml:space="preserve">1. Problema planteado </w:t>
      </w:r>
    </w:p>
    <w:p w14:paraId="647122D3" w14:textId="77777777" w:rsidR="00594390" w:rsidRPr="00C02598" w:rsidRDefault="00594390" w:rsidP="00257EDB">
      <w:pPr>
        <w:spacing w:line="276" w:lineRule="auto"/>
        <w:rPr>
          <w:rFonts w:ascii="Geomanist Light" w:hAnsi="Geomanist Light" w:cs="Arial"/>
          <w:b/>
          <w:sz w:val="22"/>
        </w:rPr>
      </w:pPr>
    </w:p>
    <w:p w14:paraId="6351E226" w14:textId="2D86F257" w:rsidR="00594390" w:rsidRDefault="00594390" w:rsidP="00127B1F">
      <w:pPr>
        <w:spacing w:line="276" w:lineRule="auto"/>
        <w:ind w:right="48"/>
        <w:jc w:val="both"/>
        <w:rPr>
          <w:rFonts w:ascii="Geomanist Light" w:hAnsi="Geomanist Light" w:cs="Arial"/>
          <w:sz w:val="22"/>
          <w:szCs w:val="22"/>
        </w:rPr>
      </w:pPr>
      <w:r w:rsidRPr="00C02598">
        <w:rPr>
          <w:rFonts w:ascii="Geomanist Light" w:hAnsi="Geomanist Light" w:cs="Arial"/>
          <w:sz w:val="22"/>
          <w:szCs w:val="22"/>
        </w:rPr>
        <w:t>Usted realiza la siguiente pregunta</w:t>
      </w:r>
      <w:r w:rsidR="00E202DB">
        <w:rPr>
          <w:rFonts w:ascii="Geomanist Light" w:hAnsi="Geomanist Light" w:cs="Arial"/>
          <w:sz w:val="22"/>
          <w:szCs w:val="22"/>
        </w:rPr>
        <w:t xml:space="preserve"> relacionada con el cálculo de la capacidad residual: </w:t>
      </w:r>
    </w:p>
    <w:p w14:paraId="5B92F404" w14:textId="2FA8224F" w:rsidR="00594390" w:rsidRDefault="00594390" w:rsidP="00257EDB">
      <w:pPr>
        <w:spacing w:line="276" w:lineRule="auto"/>
        <w:ind w:left="709" w:right="757"/>
        <w:jc w:val="both"/>
        <w:rPr>
          <w:rFonts w:ascii="Geomanist Light" w:hAnsi="Geomanist Light" w:cs="Arial"/>
          <w:sz w:val="22"/>
          <w:szCs w:val="22"/>
        </w:rPr>
      </w:pPr>
    </w:p>
    <w:p w14:paraId="28D86793" w14:textId="271225C2" w:rsidR="00594390" w:rsidRPr="00DE000C" w:rsidRDefault="00DE000C" w:rsidP="00E202DB">
      <w:pPr>
        <w:ind w:left="709" w:right="757"/>
        <w:jc w:val="both"/>
        <w:rPr>
          <w:rFonts w:ascii="Geomanist Light" w:hAnsi="Geomanist Light" w:cs="Arial"/>
          <w:bCs/>
          <w:sz w:val="21"/>
          <w:szCs w:val="21"/>
          <w:lang w:val="es-ES" w:eastAsia="es-CO"/>
        </w:rPr>
      </w:pPr>
      <w:r w:rsidRPr="00DE000C">
        <w:rPr>
          <w:rFonts w:ascii="Geomanist Light" w:hAnsi="Geomanist Light" w:cs="Arial"/>
          <w:bCs/>
          <w:sz w:val="21"/>
          <w:szCs w:val="21"/>
          <w:lang w:val="es-ES" w:eastAsia="es-CO"/>
        </w:rPr>
        <w:t>[…]</w:t>
      </w:r>
    </w:p>
    <w:p w14:paraId="7E3F50CD" w14:textId="1A17BA01" w:rsidR="00DE000C" w:rsidRDefault="00DE000C" w:rsidP="00E202DB">
      <w:pPr>
        <w:ind w:left="709" w:right="757"/>
        <w:jc w:val="both"/>
        <w:rPr>
          <w:rFonts w:ascii="Geomanist Light" w:hAnsi="Geomanist Light" w:cs="Arial"/>
          <w:sz w:val="21"/>
          <w:szCs w:val="21"/>
        </w:rPr>
      </w:pPr>
    </w:p>
    <w:p w14:paraId="6A07F9C6" w14:textId="77777777" w:rsidR="00127B1F" w:rsidRPr="00257EDB" w:rsidRDefault="00127B1F" w:rsidP="00257EDB">
      <w:pPr>
        <w:ind w:left="709" w:right="757"/>
        <w:jc w:val="both"/>
        <w:rPr>
          <w:rFonts w:ascii="Geomanist Light" w:hAnsi="Geomanist Light" w:cs="Arial"/>
          <w:sz w:val="21"/>
          <w:szCs w:val="21"/>
          <w:u w:val="single"/>
          <w:lang w:val="es-ES_tradnl"/>
        </w:rPr>
      </w:pPr>
      <w:r w:rsidRPr="00257EDB">
        <w:rPr>
          <w:rFonts w:ascii="Geomanist Light" w:hAnsi="Geomanist Light" w:cs="Arial"/>
          <w:sz w:val="21"/>
          <w:szCs w:val="21"/>
          <w:lang w:val="es-ES_tradnl"/>
        </w:rPr>
        <w:t>De acuerdo con la información que se puede revisar en la página de COLOMBIA COMPRA y la GUÍA PARA DETERMINAR Y VERIFICAR LA CAPACIDAD RESIDUAL DEL PRO PROPONENTE EN LOS PROCESOS DE CONTRATACIÓN DE OBRA PUBLICA , para el cálculo de la capacidad técnica se deben tener en cuenta:  </w:t>
      </w:r>
      <w:r w:rsidRPr="00257EDB">
        <w:rPr>
          <w:rFonts w:ascii="Geomanist Light" w:hAnsi="Geomanist Light" w:cs="Arial"/>
          <w:sz w:val="21"/>
          <w:szCs w:val="21"/>
          <w:u w:val="single"/>
          <w:lang w:val="es-ES_tradnl"/>
        </w:rPr>
        <w:t xml:space="preserve">El número de socios y profesionales de la arquitectura, ingeniería y geología vinculados mediante una relación laboral </w:t>
      </w:r>
      <w:r w:rsidRPr="00257EDB">
        <w:rPr>
          <w:rFonts w:ascii="Geomanist Light" w:hAnsi="Geomanist Light" w:cs="Arial"/>
          <w:sz w:val="21"/>
          <w:szCs w:val="21"/>
          <w:u w:val="single"/>
          <w:lang w:val="es-ES_tradnl"/>
        </w:rPr>
        <w:lastRenderedPageBreak/>
        <w:t>o contractual conforme a la cual desarrollen actividades relacionadas directamente a la construcción.</w:t>
      </w:r>
    </w:p>
    <w:p w14:paraId="4F06167E" w14:textId="77777777" w:rsidR="00127B1F" w:rsidRPr="00257EDB" w:rsidRDefault="00127B1F" w:rsidP="00257EDB">
      <w:pPr>
        <w:ind w:left="709" w:right="757"/>
        <w:jc w:val="both"/>
        <w:rPr>
          <w:rFonts w:ascii="Geomanist Light" w:hAnsi="Geomanist Light" w:cs="Arial"/>
          <w:sz w:val="21"/>
          <w:szCs w:val="21"/>
          <w:lang w:val="es-ES_tradnl"/>
        </w:rPr>
      </w:pPr>
    </w:p>
    <w:p w14:paraId="3799B963" w14:textId="77777777" w:rsidR="00127B1F" w:rsidRPr="00257EDB" w:rsidRDefault="00127B1F" w:rsidP="00257EDB">
      <w:pPr>
        <w:ind w:left="709" w:right="757"/>
        <w:jc w:val="both"/>
        <w:rPr>
          <w:rFonts w:ascii="Geomanist Light" w:hAnsi="Geomanist Light" w:cs="Arial"/>
          <w:sz w:val="21"/>
          <w:szCs w:val="21"/>
          <w:lang w:val="es-ES_tradnl"/>
        </w:rPr>
      </w:pPr>
      <w:proofErr w:type="gramStart"/>
      <w:r w:rsidRPr="00257EDB">
        <w:rPr>
          <w:rFonts w:ascii="Geomanist Light" w:hAnsi="Geomanist Light" w:cs="Arial"/>
          <w:sz w:val="21"/>
          <w:szCs w:val="21"/>
          <w:lang w:val="es-ES_tradnl"/>
        </w:rPr>
        <w:t>de acuerdo a</w:t>
      </w:r>
      <w:proofErr w:type="gramEnd"/>
      <w:r w:rsidRPr="00257EDB">
        <w:rPr>
          <w:rFonts w:ascii="Geomanist Light" w:hAnsi="Geomanist Light" w:cs="Arial"/>
          <w:sz w:val="21"/>
          <w:szCs w:val="21"/>
          <w:lang w:val="es-ES_tradnl"/>
        </w:rPr>
        <w:t xml:space="preserve"> esta guía, solicito sean aclaradas las siguientes inquietudes</w:t>
      </w:r>
    </w:p>
    <w:p w14:paraId="1B477DD3" w14:textId="77777777" w:rsidR="00127B1F" w:rsidRPr="00594390" w:rsidRDefault="00127B1F" w:rsidP="00E202DB">
      <w:pPr>
        <w:ind w:left="709" w:right="757"/>
        <w:jc w:val="both"/>
        <w:rPr>
          <w:rFonts w:ascii="Geomanist Light" w:hAnsi="Geomanist Light" w:cs="Arial"/>
          <w:sz w:val="21"/>
          <w:szCs w:val="21"/>
        </w:rPr>
      </w:pPr>
    </w:p>
    <w:p w14:paraId="535DD538" w14:textId="106413F4" w:rsidR="00594390" w:rsidRPr="00594390" w:rsidRDefault="00E202DB" w:rsidP="00E202DB">
      <w:pPr>
        <w:ind w:left="709" w:right="757"/>
        <w:jc w:val="both"/>
        <w:rPr>
          <w:rFonts w:ascii="Geomanist Light" w:hAnsi="Geomanist Light" w:cs="Arial"/>
          <w:sz w:val="21"/>
          <w:szCs w:val="21"/>
        </w:rPr>
      </w:pPr>
      <w:r w:rsidRPr="00DE000C">
        <w:rPr>
          <w:rFonts w:ascii="Geomanist Light" w:hAnsi="Geomanist Light" w:cs="Arial"/>
          <w:sz w:val="21"/>
          <w:szCs w:val="21"/>
          <w:lang w:val="es-ES_tradnl"/>
        </w:rPr>
        <w:t>»</w:t>
      </w:r>
      <w:r w:rsidR="00594390" w:rsidRPr="00594390">
        <w:rPr>
          <w:rFonts w:ascii="Geomanist Light" w:hAnsi="Geomanist Light" w:cs="Arial"/>
          <w:sz w:val="21"/>
          <w:szCs w:val="21"/>
        </w:rPr>
        <w:t>1.</w:t>
      </w:r>
      <w:r w:rsidRPr="00DE000C">
        <w:rPr>
          <w:rFonts w:ascii="Geomanist Light" w:hAnsi="Geomanist Light" w:cs="Arial"/>
          <w:sz w:val="21"/>
          <w:szCs w:val="21"/>
        </w:rPr>
        <w:t xml:space="preserve"> </w:t>
      </w:r>
      <w:r w:rsidR="00594390" w:rsidRPr="00594390">
        <w:rPr>
          <w:rFonts w:ascii="Geomanist Light" w:hAnsi="Geomanist Light" w:cs="Arial"/>
          <w:sz w:val="21"/>
          <w:szCs w:val="21"/>
        </w:rPr>
        <w:t xml:space="preserve">Se deben incluir los profesionales como ingenieros, </w:t>
      </w:r>
      <w:r w:rsidRPr="00DE000C">
        <w:rPr>
          <w:rFonts w:ascii="Geomanist Light" w:hAnsi="Geomanist Light" w:cs="Arial"/>
          <w:sz w:val="21"/>
          <w:szCs w:val="21"/>
        </w:rPr>
        <w:t>arquitectos,</w:t>
      </w:r>
      <w:r w:rsidR="00594390" w:rsidRPr="00594390">
        <w:rPr>
          <w:rFonts w:ascii="Geomanist Light" w:hAnsi="Geomanist Light" w:cs="Arial"/>
          <w:sz w:val="21"/>
          <w:szCs w:val="21"/>
        </w:rPr>
        <w:t xml:space="preserve"> </w:t>
      </w:r>
      <w:r w:rsidRPr="00DE000C">
        <w:rPr>
          <w:rFonts w:ascii="Geomanist Light" w:hAnsi="Geomanist Light" w:cs="Arial"/>
          <w:sz w:val="21"/>
          <w:szCs w:val="21"/>
        </w:rPr>
        <w:t>geólogos</w:t>
      </w:r>
      <w:r w:rsidR="00594390" w:rsidRPr="00594390">
        <w:rPr>
          <w:rFonts w:ascii="Geomanist Light" w:hAnsi="Geomanist Light" w:cs="Arial"/>
          <w:sz w:val="21"/>
          <w:szCs w:val="21"/>
        </w:rPr>
        <w:t xml:space="preserve"> relacionados con las actividades directas de la construcción</w:t>
      </w:r>
      <w:r w:rsidR="00594390" w:rsidRPr="00594390">
        <w:rPr>
          <w:rFonts w:ascii="Calibri" w:hAnsi="Calibri" w:cs="Calibri"/>
          <w:sz w:val="21"/>
          <w:szCs w:val="21"/>
        </w:rPr>
        <w:t> </w:t>
      </w:r>
      <w:r w:rsidR="00594390" w:rsidRPr="00594390">
        <w:rPr>
          <w:rFonts w:ascii="Geomanist Light" w:hAnsi="Geomanist Light" w:cs="Arial"/>
          <w:sz w:val="21"/>
          <w:szCs w:val="21"/>
        </w:rPr>
        <w:t>si tienen un contrato de prestaci</w:t>
      </w:r>
      <w:r w:rsidR="00594390" w:rsidRPr="00594390">
        <w:rPr>
          <w:rFonts w:ascii="Geomanist Light" w:hAnsi="Geomanist Light" w:cs="Geomanist Light"/>
          <w:sz w:val="21"/>
          <w:szCs w:val="21"/>
        </w:rPr>
        <w:t>ó</w:t>
      </w:r>
      <w:r w:rsidR="00594390" w:rsidRPr="00594390">
        <w:rPr>
          <w:rFonts w:ascii="Geomanist Light" w:hAnsi="Geomanist Light" w:cs="Arial"/>
          <w:sz w:val="21"/>
          <w:szCs w:val="21"/>
        </w:rPr>
        <w:t>n</w:t>
      </w:r>
      <w:r w:rsidR="00594390" w:rsidRPr="00594390">
        <w:rPr>
          <w:rFonts w:ascii="Calibri" w:hAnsi="Calibri" w:cs="Calibri"/>
          <w:sz w:val="21"/>
          <w:szCs w:val="21"/>
        </w:rPr>
        <w:t> </w:t>
      </w:r>
      <w:r w:rsidR="00594390" w:rsidRPr="00594390">
        <w:rPr>
          <w:rFonts w:ascii="Geomanist Light" w:hAnsi="Geomanist Light" w:cs="Arial"/>
          <w:sz w:val="21"/>
          <w:szCs w:val="21"/>
        </w:rPr>
        <w:t xml:space="preserve">de </w:t>
      </w:r>
      <w:r w:rsidRPr="00DE000C">
        <w:rPr>
          <w:rFonts w:ascii="Geomanist Light" w:hAnsi="Geomanist Light" w:cs="Arial"/>
          <w:sz w:val="21"/>
          <w:szCs w:val="21"/>
        </w:rPr>
        <w:t>servicios</w:t>
      </w:r>
      <w:r w:rsidRPr="00DE000C">
        <w:rPr>
          <w:rFonts w:ascii="Calibri" w:hAnsi="Calibri" w:cs="Calibri"/>
          <w:sz w:val="21"/>
          <w:szCs w:val="21"/>
        </w:rPr>
        <w:t xml:space="preserve"> con</w:t>
      </w:r>
      <w:r w:rsidR="00594390" w:rsidRPr="00594390">
        <w:rPr>
          <w:rFonts w:ascii="Geomanist Light" w:hAnsi="Geomanist Light" w:cs="Arial"/>
          <w:sz w:val="21"/>
          <w:szCs w:val="21"/>
        </w:rPr>
        <w:t xml:space="preserve"> el proponente?</w:t>
      </w:r>
      <w:r w:rsidR="00594390" w:rsidRPr="00594390">
        <w:rPr>
          <w:rFonts w:ascii="Geomanist Light" w:hAnsi="Geomanist Light" w:cs="Arial"/>
          <w:sz w:val="21"/>
          <w:szCs w:val="21"/>
        </w:rPr>
        <w:br/>
      </w:r>
    </w:p>
    <w:p w14:paraId="51C9B30A" w14:textId="71E5DEA5" w:rsidR="00594390" w:rsidRPr="00594390" w:rsidRDefault="00E202DB" w:rsidP="00E202DB">
      <w:pPr>
        <w:ind w:left="709" w:right="757"/>
        <w:jc w:val="both"/>
        <w:rPr>
          <w:rFonts w:ascii="Geomanist Light" w:hAnsi="Geomanist Light" w:cs="Arial"/>
          <w:sz w:val="21"/>
          <w:szCs w:val="21"/>
        </w:rPr>
      </w:pPr>
      <w:r w:rsidRPr="00DE000C">
        <w:rPr>
          <w:rFonts w:ascii="Geomanist Light" w:hAnsi="Geomanist Light" w:cs="Arial"/>
          <w:sz w:val="21"/>
          <w:szCs w:val="21"/>
          <w:lang w:val="es-ES_tradnl"/>
        </w:rPr>
        <w:t>»</w:t>
      </w:r>
      <w:r w:rsidR="00594390" w:rsidRPr="00594390">
        <w:rPr>
          <w:rFonts w:ascii="Geomanist Light" w:hAnsi="Geomanist Light" w:cs="Arial"/>
          <w:sz w:val="21"/>
          <w:szCs w:val="21"/>
        </w:rPr>
        <w:t xml:space="preserve">2. </w:t>
      </w:r>
      <w:r w:rsidRPr="00DE000C">
        <w:rPr>
          <w:rFonts w:ascii="Geomanist Light" w:hAnsi="Geomanist Light" w:cs="Arial"/>
          <w:sz w:val="21"/>
          <w:szCs w:val="21"/>
        </w:rPr>
        <w:t xml:space="preserve">[¿] </w:t>
      </w:r>
      <w:r w:rsidR="00594390" w:rsidRPr="00594390">
        <w:rPr>
          <w:rFonts w:ascii="Geomanist Light" w:hAnsi="Geomanist Light" w:cs="Arial"/>
          <w:sz w:val="21"/>
          <w:szCs w:val="21"/>
        </w:rPr>
        <w:t xml:space="preserve">Si el proponente tiene personal a cargo de manera dependiente como empleados del servicio </w:t>
      </w:r>
      <w:r w:rsidRPr="00DE000C">
        <w:rPr>
          <w:rFonts w:ascii="Geomanist Light" w:hAnsi="Geomanist Light" w:cs="Arial"/>
          <w:sz w:val="21"/>
          <w:szCs w:val="21"/>
        </w:rPr>
        <w:t>doméstico</w:t>
      </w:r>
      <w:r w:rsidR="00594390" w:rsidRPr="00594390">
        <w:rPr>
          <w:rFonts w:ascii="Geomanist Light" w:hAnsi="Geomanist Light" w:cs="Arial"/>
          <w:sz w:val="21"/>
          <w:szCs w:val="21"/>
        </w:rPr>
        <w:t xml:space="preserve">, vigilantes, conductores que no desarrollan actividades directas de la </w:t>
      </w:r>
      <w:r w:rsidRPr="00DE000C">
        <w:rPr>
          <w:rFonts w:ascii="Geomanist Light" w:hAnsi="Geomanist Light" w:cs="Arial"/>
          <w:sz w:val="21"/>
          <w:szCs w:val="21"/>
        </w:rPr>
        <w:t>construcción, estos deben</w:t>
      </w:r>
      <w:r w:rsidR="00594390" w:rsidRPr="00594390">
        <w:rPr>
          <w:rFonts w:ascii="Geomanist Light" w:hAnsi="Geomanist Light" w:cs="Arial"/>
          <w:sz w:val="21"/>
          <w:szCs w:val="21"/>
        </w:rPr>
        <w:t xml:space="preserve"> o no deben incluirse en el cuadro de capacidad técnica para el </w:t>
      </w:r>
      <w:r w:rsidRPr="00DE000C">
        <w:rPr>
          <w:rFonts w:ascii="Geomanist Light" w:hAnsi="Geomanist Light" w:cs="Arial"/>
          <w:sz w:val="21"/>
          <w:szCs w:val="21"/>
        </w:rPr>
        <w:t>cálculo</w:t>
      </w:r>
      <w:r w:rsidR="00594390" w:rsidRPr="00594390">
        <w:rPr>
          <w:rFonts w:ascii="Geomanist Light" w:hAnsi="Geomanist Light" w:cs="Arial"/>
          <w:sz w:val="21"/>
          <w:szCs w:val="21"/>
        </w:rPr>
        <w:t xml:space="preserve"> de la capacidad residual?</w:t>
      </w:r>
    </w:p>
    <w:p w14:paraId="41E65D7A" w14:textId="77777777" w:rsidR="00594390" w:rsidRPr="00594390" w:rsidRDefault="00594390" w:rsidP="00E202DB">
      <w:pPr>
        <w:ind w:left="709" w:right="757"/>
        <w:jc w:val="both"/>
        <w:rPr>
          <w:rFonts w:ascii="Geomanist Light" w:hAnsi="Geomanist Light" w:cs="Arial"/>
          <w:sz w:val="21"/>
          <w:szCs w:val="21"/>
        </w:rPr>
      </w:pPr>
    </w:p>
    <w:p w14:paraId="3D9CD8CD" w14:textId="5FD35D63" w:rsidR="00594390" w:rsidRPr="00594390" w:rsidRDefault="00E202DB" w:rsidP="00E202DB">
      <w:pPr>
        <w:ind w:left="709" w:right="757"/>
        <w:jc w:val="both"/>
        <w:rPr>
          <w:rFonts w:ascii="Geomanist Light" w:hAnsi="Geomanist Light" w:cs="Arial"/>
          <w:sz w:val="21"/>
          <w:szCs w:val="21"/>
        </w:rPr>
      </w:pPr>
      <w:r w:rsidRPr="00DE000C">
        <w:rPr>
          <w:rFonts w:ascii="Geomanist Light" w:hAnsi="Geomanist Light" w:cs="Arial"/>
          <w:sz w:val="21"/>
          <w:szCs w:val="21"/>
          <w:lang w:val="es-ES_tradnl"/>
        </w:rPr>
        <w:t>»</w:t>
      </w:r>
      <w:r w:rsidR="00594390" w:rsidRPr="00594390">
        <w:rPr>
          <w:rFonts w:ascii="Geomanist Light" w:hAnsi="Geomanist Light" w:cs="Arial"/>
          <w:sz w:val="21"/>
          <w:szCs w:val="21"/>
        </w:rPr>
        <w:t xml:space="preserve">3. </w:t>
      </w:r>
      <w:r w:rsidRPr="00DE000C">
        <w:rPr>
          <w:rFonts w:ascii="Geomanist Light" w:hAnsi="Geomanist Light" w:cs="Arial"/>
          <w:sz w:val="21"/>
          <w:szCs w:val="21"/>
        </w:rPr>
        <w:t xml:space="preserve">[¿] </w:t>
      </w:r>
      <w:r w:rsidR="00594390" w:rsidRPr="00594390">
        <w:rPr>
          <w:rFonts w:ascii="Geomanist Light" w:hAnsi="Geomanist Light" w:cs="Arial"/>
          <w:sz w:val="21"/>
          <w:szCs w:val="21"/>
        </w:rPr>
        <w:t xml:space="preserve">Si el proponente tiene personal a cargo como contadores, secretarios, estos deben o no deben incluirse en el cuadro de la capacidad técnica para el </w:t>
      </w:r>
      <w:r w:rsidRPr="00DE000C">
        <w:rPr>
          <w:rFonts w:ascii="Geomanist Light" w:hAnsi="Geomanist Light" w:cs="Arial"/>
          <w:sz w:val="21"/>
          <w:szCs w:val="21"/>
        </w:rPr>
        <w:t>cálculo</w:t>
      </w:r>
      <w:r w:rsidR="00594390" w:rsidRPr="00594390">
        <w:rPr>
          <w:rFonts w:ascii="Geomanist Light" w:hAnsi="Geomanist Light" w:cs="Arial"/>
          <w:sz w:val="21"/>
          <w:szCs w:val="21"/>
        </w:rPr>
        <w:t xml:space="preserve"> de la capacidad residual?</w:t>
      </w:r>
      <w:r w:rsidRPr="00DE000C">
        <w:rPr>
          <w:rFonts w:ascii="Geomanist Light" w:hAnsi="Geomanist Light" w:cs="Arial"/>
          <w:sz w:val="21"/>
          <w:szCs w:val="21"/>
          <w:lang w:val="es-ES_tradnl"/>
        </w:rPr>
        <w:t>» (sic).</w:t>
      </w:r>
    </w:p>
    <w:p w14:paraId="1F807056" w14:textId="77777777" w:rsidR="00E202DB" w:rsidRDefault="00E202DB" w:rsidP="00257EDB">
      <w:pPr>
        <w:spacing w:line="276" w:lineRule="auto"/>
        <w:contextualSpacing/>
        <w:jc w:val="both"/>
        <w:rPr>
          <w:rFonts w:ascii="Geomanist Light" w:hAnsi="Geomanist Light" w:cs="Arial"/>
          <w:sz w:val="22"/>
          <w:szCs w:val="22"/>
        </w:rPr>
      </w:pPr>
    </w:p>
    <w:p w14:paraId="00630AB4" w14:textId="75AA40AF" w:rsidR="00E202DB" w:rsidRPr="00801672" w:rsidRDefault="00E202DB" w:rsidP="00257EDB">
      <w:pPr>
        <w:spacing w:line="276" w:lineRule="auto"/>
        <w:contextualSpacing/>
        <w:jc w:val="both"/>
        <w:rPr>
          <w:rFonts w:ascii="Geomanist Light" w:hAnsi="Geomanist Light" w:cs="Arial"/>
          <w:b/>
          <w:sz w:val="22"/>
          <w:szCs w:val="22"/>
          <w:lang w:val="es-MX"/>
        </w:rPr>
      </w:pPr>
      <w:r w:rsidRPr="00801672">
        <w:rPr>
          <w:rFonts w:ascii="Geomanist Light" w:hAnsi="Geomanist Light" w:cs="Arial"/>
          <w:b/>
          <w:sz w:val="22"/>
          <w:szCs w:val="22"/>
          <w:lang w:val="es-MX"/>
        </w:rPr>
        <w:t xml:space="preserve">2. Consideraciones </w:t>
      </w:r>
    </w:p>
    <w:p w14:paraId="729E55AF" w14:textId="77777777" w:rsidR="00E202DB" w:rsidRPr="00801672" w:rsidRDefault="00E202DB" w:rsidP="00257EDB">
      <w:pPr>
        <w:spacing w:line="276" w:lineRule="auto"/>
        <w:contextualSpacing/>
        <w:jc w:val="both"/>
        <w:rPr>
          <w:rFonts w:ascii="Geomanist Light" w:hAnsi="Geomanist Light" w:cs="Arial"/>
          <w:bCs/>
          <w:sz w:val="22"/>
          <w:szCs w:val="22"/>
          <w:lang w:val="es-MX"/>
        </w:rPr>
      </w:pPr>
    </w:p>
    <w:p w14:paraId="3F4A008E" w14:textId="442F5D8A" w:rsidR="00E202DB" w:rsidRPr="00801672" w:rsidRDefault="00E202DB" w:rsidP="00257EDB">
      <w:pPr>
        <w:spacing w:after="120"/>
        <w:jc w:val="both"/>
        <w:rPr>
          <w:rFonts w:ascii="Geomanist Light" w:eastAsia="Calibri" w:hAnsi="Geomanist Light" w:cs="Arial"/>
          <w:bCs/>
          <w:color w:val="000000" w:themeColor="text1"/>
          <w:sz w:val="22"/>
          <w:szCs w:val="22"/>
          <w:lang w:val="es-ES_tradnl"/>
        </w:rPr>
      </w:pPr>
      <w:r w:rsidRPr="00801672">
        <w:rPr>
          <w:rFonts w:ascii="Geomanist Light" w:hAnsi="Geomanist Light" w:cs="Arial"/>
          <w:color w:val="000000"/>
          <w:sz w:val="22"/>
          <w:szCs w:val="22"/>
          <w:lang w:eastAsia="es-MX"/>
        </w:rPr>
        <w:t>Para resolver el objeto de la consulta, se analizarán los siguientes temas: i) capacidad residual: Generalidades</w:t>
      </w:r>
      <w:r w:rsidR="00DB3C37">
        <w:rPr>
          <w:rFonts w:ascii="Geomanist Light" w:hAnsi="Geomanist Light" w:cs="Arial"/>
          <w:color w:val="000000"/>
          <w:sz w:val="22"/>
          <w:szCs w:val="22"/>
          <w:lang w:eastAsia="es-MX"/>
        </w:rPr>
        <w:t xml:space="preserve"> y, </w:t>
      </w:r>
      <w:proofErr w:type="spellStart"/>
      <w:r w:rsidRPr="00801672">
        <w:rPr>
          <w:rFonts w:ascii="Geomanist Light" w:hAnsi="Geomanist Light" w:cs="Arial"/>
          <w:color w:val="000000"/>
          <w:sz w:val="22"/>
          <w:szCs w:val="22"/>
          <w:lang w:eastAsia="es-MX"/>
        </w:rPr>
        <w:t>ii</w:t>
      </w:r>
      <w:proofErr w:type="spellEnd"/>
      <w:r w:rsidRPr="00801672">
        <w:rPr>
          <w:rFonts w:ascii="Geomanist Light" w:hAnsi="Geomanist Light" w:cs="Arial"/>
          <w:color w:val="000000"/>
          <w:sz w:val="22"/>
          <w:szCs w:val="22"/>
          <w:lang w:eastAsia="es-MX"/>
        </w:rPr>
        <w:t xml:space="preserve">) </w:t>
      </w:r>
      <w:r w:rsidR="0030340E" w:rsidRPr="00801672">
        <w:rPr>
          <w:rFonts w:ascii="Geomanist Light" w:eastAsia="Calibri" w:hAnsi="Geomanist Light" w:cs="Arial"/>
          <w:bCs/>
          <w:color w:val="000000" w:themeColor="text1"/>
          <w:sz w:val="22"/>
          <w:szCs w:val="22"/>
          <w:lang w:val="es-ES_tradnl"/>
        </w:rPr>
        <w:t xml:space="preserve">cálculo de la capacidad técnica. </w:t>
      </w:r>
    </w:p>
    <w:p w14:paraId="58277F6D" w14:textId="00B83D72" w:rsidR="00E202DB" w:rsidRPr="00257EDB" w:rsidRDefault="00E202DB" w:rsidP="00257EDB">
      <w:pPr>
        <w:spacing w:before="120"/>
        <w:ind w:firstLine="708"/>
        <w:jc w:val="both"/>
        <w:rPr>
          <w:rFonts w:ascii="Geomanist Light" w:hAnsi="Geomanist Light" w:cs="Arial"/>
          <w:bCs/>
          <w:color w:val="1A1A1A" w:themeColor="background1" w:themeShade="1A"/>
          <w:sz w:val="22"/>
          <w:szCs w:val="22"/>
          <w:lang w:val="es-ES"/>
        </w:rPr>
      </w:pPr>
      <w:r w:rsidRPr="00801672">
        <w:rPr>
          <w:rFonts w:ascii="Geomanist Light" w:hAnsi="Geomanist Light" w:cs="Arial"/>
          <w:bCs/>
          <w:color w:val="1A1A1A" w:themeColor="background1" w:themeShade="1A"/>
          <w:sz w:val="22"/>
          <w:szCs w:val="22"/>
        </w:rPr>
        <w:t>La Agencia Nacional de Contratación Pública − Colombia</w:t>
      </w:r>
      <w:r w:rsidRPr="00E202DB">
        <w:rPr>
          <w:rFonts w:ascii="Geomanist Light" w:hAnsi="Geomanist Light" w:cs="Arial"/>
          <w:bCs/>
          <w:color w:val="1A1A1A" w:themeColor="background1" w:themeShade="1A"/>
          <w:sz w:val="22"/>
          <w:szCs w:val="22"/>
        </w:rPr>
        <w:t xml:space="preserve"> Compra Eficiente se ha pronunciado sobre la capacidad residual, y la forma como esta se debe acreditar, en los conceptos </w:t>
      </w:r>
      <w:r w:rsidRPr="00E202DB">
        <w:rPr>
          <w:rFonts w:ascii="Geomanist Light" w:hAnsi="Geomanist Light" w:cs="Arial"/>
          <w:sz w:val="22"/>
          <w:szCs w:val="22"/>
        </w:rPr>
        <w:t>2201913000006275 del 27 de agosto de 2019, 2201913000009465 del 20 de diciembre de 2019, 2201913000009642 y 2201913000009640 del 26 de diciembre de 2019; así como en los conceptos C–022 del 20 de febrero de 2020, C–089 del 4 de marzo de 2020, C–112 del 16 de marzo de 2020, C–133 del 25 de marzo de 2020, C–194 del 21 de abril de 2020, C–326 del 9 de junio de 2020, C–446 del 6 de julio de 2020,</w:t>
      </w:r>
      <w:r w:rsidRPr="00E202DB">
        <w:rPr>
          <w:rFonts w:ascii="Geomanist Light" w:hAnsi="Geomanist Light"/>
          <w:sz w:val="22"/>
          <w:szCs w:val="22"/>
        </w:rPr>
        <w:t xml:space="preserve"> </w:t>
      </w:r>
      <w:r w:rsidRPr="00E202DB">
        <w:rPr>
          <w:rFonts w:ascii="Geomanist Light" w:hAnsi="Geomanist Light" w:cs="Arial"/>
          <w:sz w:val="22"/>
          <w:szCs w:val="22"/>
        </w:rPr>
        <w:t xml:space="preserve">C-461 del 13 de julio de 2020, C–668 del 20 de noviembre de 2020, C–742 del 16 de diciembre de 2020, C–045 del 5 de marzo de 2021, C–003 del 26 de marzo de 2021, C–121 del 31 de marzo de 2021, C–143 del 9 de abril de 2021, C–202 del 7 de mayo de 2021, C–219 del 19 de mayo de 2021, C–368 del 28 de julio de 2021, C–392 del 5 de agosto de 2021, C–513 del 23 de septiembre de 2021, C–590 del 12 de octubre de 2021, </w:t>
      </w:r>
      <w:r w:rsidRPr="00E202DB">
        <w:rPr>
          <w:rFonts w:ascii="Geomanist Light" w:hAnsi="Geomanist Light" w:cs="Arial"/>
          <w:bCs/>
          <w:color w:val="1A1A1A" w:themeColor="background1" w:themeShade="1A"/>
          <w:sz w:val="22"/>
          <w:szCs w:val="22"/>
        </w:rPr>
        <w:t xml:space="preserve">C-068 del 9 de marzo de 2022, </w:t>
      </w:r>
      <w:r w:rsidRPr="00E202DB">
        <w:rPr>
          <w:rFonts w:ascii="Geomanist Light" w:eastAsia="Calibri" w:hAnsi="Geomanist Light" w:cs="Arial"/>
          <w:bCs/>
          <w:sz w:val="22"/>
          <w:szCs w:val="22"/>
          <w:lang w:val="es-ES"/>
        </w:rPr>
        <w:t>C-220 del 22 de abril de 2022, C-306 de 16 de mayo de 2022, C-351 de 23 de mayo de 2022</w:t>
      </w:r>
      <w:r w:rsidRPr="00E202DB">
        <w:rPr>
          <w:rFonts w:ascii="Geomanist Light" w:hAnsi="Geomanist Light" w:cs="Arial"/>
          <w:bCs/>
          <w:color w:val="1A1A1A" w:themeColor="background1" w:themeShade="1A"/>
          <w:sz w:val="22"/>
          <w:szCs w:val="22"/>
          <w:lang w:val="es-ES"/>
        </w:rPr>
        <w:t>, C-392 del 16 de junio de 2022, C-402 del 28 de junio de 2022, C-463 del 19 de julio de 2022</w:t>
      </w:r>
      <w:r w:rsidR="00DB3C37">
        <w:rPr>
          <w:rFonts w:ascii="Geomanist Light" w:hAnsi="Geomanist Light" w:cs="Arial"/>
          <w:bCs/>
          <w:color w:val="1A1A1A" w:themeColor="background1" w:themeShade="1A"/>
          <w:sz w:val="22"/>
          <w:szCs w:val="22"/>
          <w:lang w:val="es-ES"/>
        </w:rPr>
        <w:t xml:space="preserve">, </w:t>
      </w:r>
      <w:r w:rsidR="0082326B">
        <w:rPr>
          <w:rFonts w:ascii="Geomanist Light" w:hAnsi="Geomanist Light" w:cs="Arial"/>
          <w:bCs/>
          <w:color w:val="1A1A1A" w:themeColor="background1" w:themeShade="1A"/>
          <w:sz w:val="22"/>
          <w:szCs w:val="22"/>
          <w:lang w:val="es-ES"/>
        </w:rPr>
        <w:t xml:space="preserve">C-670 del 19 de octubre de 2022, </w:t>
      </w:r>
      <w:r w:rsidRPr="00E202DB">
        <w:rPr>
          <w:rFonts w:ascii="Geomanist Light" w:hAnsi="Geomanist Light" w:cs="Arial"/>
          <w:bCs/>
          <w:color w:val="1A1A1A" w:themeColor="background1" w:themeShade="1A"/>
          <w:sz w:val="22"/>
          <w:szCs w:val="22"/>
          <w:lang w:val="es-ES"/>
        </w:rPr>
        <w:t>C-615 del 19 de agosto de 2022</w:t>
      </w:r>
      <w:r w:rsidR="00DB3C37">
        <w:rPr>
          <w:rFonts w:ascii="Geomanist Light" w:hAnsi="Geomanist Light" w:cs="Arial"/>
          <w:bCs/>
          <w:color w:val="1A1A1A" w:themeColor="background1" w:themeShade="1A"/>
          <w:sz w:val="22"/>
          <w:szCs w:val="22"/>
          <w:lang w:val="es-ES"/>
        </w:rPr>
        <w:t xml:space="preserve">, </w:t>
      </w:r>
      <w:r w:rsidR="0082326B">
        <w:rPr>
          <w:rFonts w:ascii="Geomanist Light" w:hAnsi="Geomanist Light" w:cs="Arial"/>
          <w:bCs/>
          <w:color w:val="1A1A1A" w:themeColor="background1" w:themeShade="1A"/>
          <w:sz w:val="22"/>
          <w:szCs w:val="22"/>
          <w:lang w:val="es-ES"/>
        </w:rPr>
        <w:t xml:space="preserve">C-767 del 15 de noviembre de 2022, C-775 del 11 de noviembre de 2022, </w:t>
      </w:r>
      <w:r w:rsidR="00DB3C37">
        <w:rPr>
          <w:rFonts w:ascii="Geomanist Light" w:hAnsi="Geomanist Light" w:cs="Arial"/>
          <w:bCs/>
          <w:color w:val="1A1A1A" w:themeColor="background1" w:themeShade="1A"/>
          <w:sz w:val="22"/>
          <w:szCs w:val="22"/>
          <w:lang w:val="es-ES"/>
        </w:rPr>
        <w:t>entre otros</w:t>
      </w:r>
      <w:r w:rsidR="0082326B">
        <w:rPr>
          <w:rStyle w:val="Refdenotaalpie"/>
          <w:rFonts w:ascii="Geomanist Light" w:hAnsi="Geomanist Light" w:cs="Arial"/>
          <w:bCs/>
          <w:color w:val="1A1A1A" w:themeColor="background1" w:themeShade="1A"/>
          <w:sz w:val="22"/>
          <w:szCs w:val="22"/>
          <w:lang w:val="es-ES"/>
        </w:rPr>
        <w:footnoteReference w:id="1"/>
      </w:r>
      <w:r w:rsidRPr="00E202DB">
        <w:rPr>
          <w:rFonts w:ascii="Geomanist Light" w:hAnsi="Geomanist Light" w:cs="Arial"/>
          <w:bCs/>
          <w:color w:val="1A1A1A" w:themeColor="background1" w:themeShade="1A"/>
          <w:sz w:val="22"/>
          <w:szCs w:val="22"/>
          <w:lang w:val="es-ES"/>
        </w:rPr>
        <w:t>.</w:t>
      </w:r>
      <w:r w:rsidRPr="00E202DB">
        <w:rPr>
          <w:rFonts w:ascii="Geomanist Light" w:hAnsi="Geomanist Light" w:cs="Arial"/>
          <w:bCs/>
          <w:color w:val="1A1A1A" w:themeColor="background1" w:themeShade="1A"/>
          <w:sz w:val="22"/>
          <w:szCs w:val="22"/>
        </w:rPr>
        <w:t xml:space="preserve"> La</w:t>
      </w:r>
      <w:r w:rsidR="0082326B">
        <w:rPr>
          <w:rFonts w:ascii="Geomanist Light" w:hAnsi="Geomanist Light" w:cs="Arial"/>
          <w:bCs/>
          <w:color w:val="1A1A1A" w:themeColor="background1" w:themeShade="1A"/>
          <w:sz w:val="22"/>
          <w:szCs w:val="22"/>
        </w:rPr>
        <w:t>s</w:t>
      </w:r>
      <w:r w:rsidRPr="00E202DB">
        <w:rPr>
          <w:rFonts w:ascii="Geomanist Light" w:hAnsi="Geomanist Light" w:cs="Arial"/>
          <w:bCs/>
          <w:color w:val="1A1A1A" w:themeColor="background1" w:themeShade="1A"/>
          <w:sz w:val="22"/>
          <w:szCs w:val="22"/>
        </w:rPr>
        <w:t xml:space="preserve"> tesis propuesta</w:t>
      </w:r>
      <w:r w:rsidR="0082326B">
        <w:rPr>
          <w:rFonts w:ascii="Geomanist Light" w:hAnsi="Geomanist Light" w:cs="Arial"/>
          <w:bCs/>
          <w:color w:val="1A1A1A" w:themeColor="background1" w:themeShade="1A"/>
          <w:sz w:val="22"/>
          <w:szCs w:val="22"/>
        </w:rPr>
        <w:t>s en dichos conceptos</w:t>
      </w:r>
      <w:r w:rsidRPr="00E202DB">
        <w:rPr>
          <w:rFonts w:ascii="Geomanist Light" w:hAnsi="Geomanist Light" w:cs="Arial"/>
          <w:bCs/>
          <w:color w:val="1A1A1A" w:themeColor="background1" w:themeShade="1A"/>
          <w:sz w:val="22"/>
          <w:szCs w:val="22"/>
        </w:rPr>
        <w:t xml:space="preserve"> se expone</w:t>
      </w:r>
      <w:r w:rsidR="0082326B">
        <w:rPr>
          <w:rFonts w:ascii="Geomanist Light" w:hAnsi="Geomanist Light" w:cs="Arial"/>
          <w:bCs/>
          <w:color w:val="1A1A1A" w:themeColor="background1" w:themeShade="1A"/>
          <w:sz w:val="22"/>
          <w:szCs w:val="22"/>
        </w:rPr>
        <w:t>n</w:t>
      </w:r>
      <w:r w:rsidRPr="00E202DB">
        <w:rPr>
          <w:rFonts w:ascii="Geomanist Light" w:hAnsi="Geomanist Light" w:cs="Arial"/>
          <w:bCs/>
          <w:color w:val="1A1A1A" w:themeColor="background1" w:themeShade="1A"/>
          <w:sz w:val="22"/>
          <w:szCs w:val="22"/>
        </w:rPr>
        <w:t xml:space="preserve"> y, en lo pertinente, se complementa</w:t>
      </w:r>
      <w:r w:rsidR="0082326B">
        <w:rPr>
          <w:rFonts w:ascii="Geomanist Light" w:hAnsi="Geomanist Light" w:cs="Arial"/>
          <w:bCs/>
          <w:color w:val="1A1A1A" w:themeColor="background1" w:themeShade="1A"/>
          <w:sz w:val="22"/>
          <w:szCs w:val="22"/>
        </w:rPr>
        <w:t>n</w:t>
      </w:r>
      <w:r w:rsidRPr="00E202DB">
        <w:rPr>
          <w:rFonts w:ascii="Geomanist Light" w:hAnsi="Geomanist Light" w:cs="Arial"/>
          <w:bCs/>
          <w:color w:val="1A1A1A" w:themeColor="background1" w:themeShade="1A"/>
          <w:sz w:val="22"/>
          <w:szCs w:val="22"/>
        </w:rPr>
        <w:t xml:space="preserve"> a continuación:</w:t>
      </w:r>
    </w:p>
    <w:p w14:paraId="7E50676A" w14:textId="77777777" w:rsidR="00E202DB" w:rsidRPr="00E202DB" w:rsidRDefault="00E202DB" w:rsidP="00257EDB">
      <w:pPr>
        <w:spacing w:line="276" w:lineRule="auto"/>
        <w:contextualSpacing/>
        <w:jc w:val="both"/>
        <w:rPr>
          <w:rFonts w:ascii="Geomanist Light" w:hAnsi="Geomanist Light" w:cs="Arial"/>
          <w:b/>
          <w:bCs/>
          <w:sz w:val="22"/>
          <w:szCs w:val="22"/>
          <w:lang w:val="es-ES"/>
        </w:rPr>
      </w:pPr>
      <w:r w:rsidRPr="00E202DB">
        <w:rPr>
          <w:rFonts w:ascii="Geomanist Light" w:hAnsi="Geomanist Light" w:cs="Arial"/>
          <w:b/>
          <w:bCs/>
          <w:sz w:val="22"/>
          <w:szCs w:val="22"/>
          <w:lang w:val="es-ES"/>
        </w:rPr>
        <w:lastRenderedPageBreak/>
        <w:t xml:space="preserve">2.1 Capacidad residual: Generalidades </w:t>
      </w:r>
    </w:p>
    <w:p w14:paraId="6D9C4025" w14:textId="77777777" w:rsidR="00E202DB" w:rsidRPr="00E202DB" w:rsidRDefault="00E202DB" w:rsidP="00257EDB">
      <w:pPr>
        <w:widowControl w:val="0"/>
        <w:autoSpaceDE w:val="0"/>
        <w:autoSpaceDN w:val="0"/>
        <w:spacing w:line="276" w:lineRule="auto"/>
        <w:contextualSpacing/>
        <w:jc w:val="both"/>
        <w:rPr>
          <w:rFonts w:ascii="Geomanist Light" w:hAnsi="Geomanist Light" w:cs="Arial"/>
          <w:color w:val="000000" w:themeColor="text1"/>
          <w:sz w:val="22"/>
          <w:szCs w:val="22"/>
          <w:lang w:val="es-MX"/>
        </w:rPr>
      </w:pPr>
    </w:p>
    <w:p w14:paraId="1E55C859" w14:textId="77777777" w:rsidR="00E202DB" w:rsidRPr="00E202DB" w:rsidRDefault="00E202DB" w:rsidP="00E202DB">
      <w:pPr>
        <w:pStyle w:val="Textoindependiente"/>
        <w:spacing w:after="120" w:line="276" w:lineRule="auto"/>
        <w:jc w:val="both"/>
        <w:rPr>
          <w:rFonts w:ascii="Geomanist Light" w:eastAsiaTheme="minorHAnsi" w:hAnsi="Geomanist Light"/>
          <w:color w:val="000000" w:themeColor="text1"/>
          <w:sz w:val="22"/>
          <w:szCs w:val="22"/>
          <w:lang w:val="es-MX"/>
        </w:rPr>
      </w:pPr>
      <w:r w:rsidRPr="00E202DB">
        <w:rPr>
          <w:rFonts w:ascii="Geomanist Light" w:eastAsiaTheme="minorHAnsi" w:hAnsi="Geomanist Light"/>
          <w:color w:val="000000" w:themeColor="text1"/>
          <w:sz w:val="22"/>
          <w:szCs w:val="22"/>
          <w:lang w:val="es-MX"/>
        </w:rPr>
        <w:t>De acuerdo con la definición establecida en el artículo 2.2.1.1.1.3.1. del Decreto 1082 de 2015, la capacidad residual es la aptitud de los oferentes para cumplir de manera oportuna y a cabalidad el objeto de un contrato de obra, sin que los demás compromisos contractuales que han adquirido afecten su habilidad para cumplir el objeto del contrato que está en proceso de selección</w:t>
      </w:r>
      <w:r w:rsidRPr="00E202DB">
        <w:rPr>
          <w:rFonts w:ascii="Geomanist Light" w:eastAsiaTheme="minorHAnsi" w:hAnsi="Geomanist Light"/>
          <w:color w:val="000000" w:themeColor="text1"/>
          <w:sz w:val="22"/>
          <w:szCs w:val="22"/>
          <w:vertAlign w:val="superscript"/>
          <w:lang w:val="es-MX"/>
        </w:rPr>
        <w:footnoteReference w:id="2"/>
      </w:r>
      <w:r w:rsidRPr="00E202DB">
        <w:rPr>
          <w:rFonts w:ascii="Geomanist Light" w:eastAsiaTheme="minorHAnsi" w:hAnsi="Geomanist Light"/>
          <w:color w:val="000000" w:themeColor="text1"/>
          <w:sz w:val="22"/>
          <w:szCs w:val="22"/>
          <w:lang w:val="es-MX"/>
        </w:rPr>
        <w:t>. Por su parte, el Consejo de Estado ha definido la capacidad residual como «[…] la diferencia que existe entre el potencial de contratación que se tiene y los compromisos que haya adquirido y que se encuentren en ejecución, para la fecha de presentación de la oferta»</w:t>
      </w:r>
      <w:r w:rsidRPr="00E202DB">
        <w:rPr>
          <w:rFonts w:ascii="Geomanist Light" w:eastAsia="Calibri" w:hAnsi="Geomanist Light"/>
          <w:color w:val="000000" w:themeColor="text1"/>
          <w:sz w:val="22"/>
          <w:szCs w:val="22"/>
          <w:vertAlign w:val="superscript"/>
          <w:lang w:val="es-MX"/>
        </w:rPr>
        <w:footnoteReference w:id="3"/>
      </w:r>
      <w:r w:rsidRPr="00E202DB">
        <w:rPr>
          <w:rFonts w:ascii="Geomanist Light" w:eastAsiaTheme="minorHAnsi" w:hAnsi="Geomanist Light"/>
          <w:color w:val="000000" w:themeColor="text1"/>
          <w:sz w:val="22"/>
          <w:szCs w:val="22"/>
          <w:lang w:val="es-MX"/>
        </w:rPr>
        <w:t>. En tales términos, la capacidad residual hace referencia a la suficiencia que tiene el proponente para asumir nuevas obligaciones que se derivan del contrato objeto del proceso de contratación, en relación con las obligaciones que ya adquirió frente a otros contratos.</w:t>
      </w:r>
    </w:p>
    <w:p w14:paraId="5BF3D061" w14:textId="77777777" w:rsidR="00E202DB" w:rsidRPr="00E202DB" w:rsidRDefault="00E202DB" w:rsidP="00E202DB">
      <w:pPr>
        <w:spacing w:line="276" w:lineRule="auto"/>
        <w:ind w:firstLine="708"/>
        <w:jc w:val="both"/>
        <w:rPr>
          <w:rFonts w:ascii="Geomanist Light" w:hAnsi="Geomanist Light" w:cs="Arial"/>
          <w:color w:val="000000" w:themeColor="text1"/>
          <w:sz w:val="22"/>
          <w:szCs w:val="22"/>
          <w:lang w:val="es-MX"/>
        </w:rPr>
      </w:pPr>
      <w:r w:rsidRPr="00E202DB">
        <w:rPr>
          <w:rFonts w:ascii="Geomanist Light" w:hAnsi="Geomanist Light" w:cs="Arial"/>
          <w:color w:val="000000" w:themeColor="text1"/>
          <w:sz w:val="22"/>
          <w:szCs w:val="22"/>
          <w:lang w:val="es-MX"/>
        </w:rPr>
        <w:t xml:space="preserve">El artículo 6 de la Ley 1150 de 2007 estableció como condición «para poder participar en los procesos de selección de los contratos de obra, la capacidad residual del proponente o </w:t>
      </w:r>
      <w:r w:rsidRPr="00E202DB">
        <w:rPr>
          <w:rFonts w:ascii="Geomanist Light" w:hAnsi="Geomanist Light" w:cs="Arial"/>
          <w:i/>
          <w:iCs/>
          <w:color w:val="000000" w:themeColor="text1"/>
          <w:sz w:val="22"/>
          <w:szCs w:val="22"/>
          <w:lang w:val="es-MX"/>
        </w:rPr>
        <w:t>K</w:t>
      </w:r>
      <w:r w:rsidRPr="00E202DB">
        <w:rPr>
          <w:rFonts w:ascii="Geomanist Light" w:hAnsi="Geomanist Light" w:cs="Arial"/>
          <w:color w:val="000000" w:themeColor="text1"/>
          <w:sz w:val="22"/>
          <w:szCs w:val="22"/>
          <w:lang w:val="es-MX"/>
        </w:rPr>
        <w:t xml:space="preserve"> de contratación». Además, determinó que esta debe ser igual o superior a la establecida en los pliegos de condiciones, en los siguientes términos: </w:t>
      </w:r>
    </w:p>
    <w:p w14:paraId="338DEF1B" w14:textId="77777777" w:rsidR="00E202DB" w:rsidRPr="00E202DB" w:rsidRDefault="00E202DB" w:rsidP="00E202DB">
      <w:pPr>
        <w:ind w:right="709"/>
        <w:contextualSpacing/>
        <w:jc w:val="both"/>
        <w:rPr>
          <w:rFonts w:ascii="Geomanist Light" w:eastAsia="Calibri" w:hAnsi="Geomanist Light" w:cs="Arial"/>
          <w:color w:val="000000" w:themeColor="text1"/>
          <w:sz w:val="22"/>
          <w:szCs w:val="22"/>
          <w:lang w:val="es-MX"/>
        </w:rPr>
      </w:pPr>
    </w:p>
    <w:p w14:paraId="671ABECA" w14:textId="77777777" w:rsidR="00E202DB" w:rsidRPr="00257EDB" w:rsidRDefault="00E202DB" w:rsidP="00E202DB">
      <w:pPr>
        <w:ind w:left="708" w:right="709"/>
        <w:contextualSpacing/>
        <w:jc w:val="both"/>
        <w:rPr>
          <w:rFonts w:ascii="Geomanist Light" w:eastAsia="Calibri" w:hAnsi="Geomanist Light" w:cs="Arial"/>
          <w:color w:val="000000" w:themeColor="text1"/>
          <w:sz w:val="21"/>
          <w:szCs w:val="21"/>
          <w:lang w:val="es-MX"/>
        </w:rPr>
      </w:pPr>
      <w:r w:rsidRPr="00257EDB">
        <w:rPr>
          <w:rFonts w:ascii="Geomanist Light" w:hAnsi="Geomanist Light" w:cs="Arial"/>
          <w:sz w:val="21"/>
          <w:szCs w:val="21"/>
        </w:rPr>
        <w:t>«</w:t>
      </w:r>
      <w:r w:rsidRPr="00257EDB">
        <w:rPr>
          <w:rFonts w:ascii="Geomanist Light" w:eastAsia="Calibri" w:hAnsi="Geomanist Light" w:cs="Arial"/>
          <w:color w:val="000000" w:themeColor="text1"/>
          <w:sz w:val="21"/>
          <w:szCs w:val="21"/>
          <w:lang w:val="es-MX"/>
        </w:rPr>
        <w:t>Parágrafo 1°. Para poder participar en los procesos de selección de los contratos de obra y demás que señale el reglamento, la capacidad residual del proponente o K de contratación deberá ser igual o superior al que la entidad haya establecido para el efecto en los pliegos de condiciones.</w:t>
      </w:r>
    </w:p>
    <w:p w14:paraId="08163F60" w14:textId="77777777" w:rsidR="00E202DB" w:rsidRPr="00257EDB" w:rsidRDefault="00E202DB" w:rsidP="00E202DB">
      <w:pPr>
        <w:ind w:left="708" w:right="709"/>
        <w:contextualSpacing/>
        <w:jc w:val="both"/>
        <w:rPr>
          <w:rFonts w:ascii="Geomanist Light" w:eastAsia="Calibri" w:hAnsi="Geomanist Light" w:cs="Arial"/>
          <w:color w:val="000000" w:themeColor="text1"/>
          <w:sz w:val="21"/>
          <w:szCs w:val="21"/>
          <w:lang w:val="es-MX"/>
        </w:rPr>
      </w:pPr>
    </w:p>
    <w:p w14:paraId="41383778" w14:textId="3719E753" w:rsidR="00E202DB" w:rsidRPr="00257EDB" w:rsidRDefault="00E202DB" w:rsidP="00257EDB">
      <w:pPr>
        <w:ind w:left="708" w:right="709"/>
        <w:contextualSpacing/>
        <w:jc w:val="both"/>
        <w:rPr>
          <w:rFonts w:ascii="Geomanist Light" w:eastAsia="Calibri" w:hAnsi="Geomanist Light" w:cs="Arial"/>
          <w:color w:val="000000" w:themeColor="text1"/>
          <w:sz w:val="21"/>
          <w:szCs w:val="21"/>
          <w:lang w:val="es-MX"/>
        </w:rPr>
      </w:pPr>
      <w:r w:rsidRPr="00257EDB">
        <w:rPr>
          <w:rFonts w:ascii="Geomanist Light" w:eastAsia="Calibri" w:hAnsi="Geomanist Light" w:cs="Arial"/>
          <w:color w:val="000000" w:themeColor="text1"/>
          <w:sz w:val="21"/>
          <w:szCs w:val="21"/>
          <w:lang w:val="es-MX"/>
        </w:rPr>
        <w:t>Para establecer la capacidad residual del proponente o K de contratación, se deberán considerar todos los contratos que tenga en ejecución el proponente al momento de presentar la oferta. El desarrollo y ejecución del contrato podrá dar lugar a que los valores que sean cancelados al contratista se consideren para establecer el real K de contratación, en cada oportunidad. El Gobierno Nacional reglamentará la materia.</w:t>
      </w:r>
      <w:r w:rsidRPr="00257EDB">
        <w:rPr>
          <w:rFonts w:ascii="Geomanist Light" w:hAnsi="Geomanist Light" w:cs="Arial"/>
          <w:sz w:val="21"/>
          <w:szCs w:val="21"/>
        </w:rPr>
        <w:t>»</w:t>
      </w:r>
    </w:p>
    <w:p w14:paraId="4B3537C0" w14:textId="77777777" w:rsidR="00CB5F54" w:rsidRDefault="00E202DB" w:rsidP="00257EDB">
      <w:pPr>
        <w:spacing w:after="120" w:line="276" w:lineRule="auto"/>
        <w:ind w:firstLine="709"/>
        <w:jc w:val="both"/>
        <w:rPr>
          <w:rFonts w:ascii="Geomanist Light" w:hAnsi="Geomanist Light" w:cs="Arial"/>
          <w:color w:val="000000" w:themeColor="text1"/>
          <w:sz w:val="22"/>
          <w:szCs w:val="22"/>
          <w:lang w:val="es-MX"/>
        </w:rPr>
      </w:pPr>
      <w:r w:rsidRPr="00E202DB">
        <w:rPr>
          <w:rFonts w:ascii="Geomanist Light" w:hAnsi="Geomanist Light" w:cs="Arial"/>
          <w:color w:val="000000" w:themeColor="text1"/>
          <w:sz w:val="22"/>
          <w:szCs w:val="22"/>
          <w:lang w:val="es-MX"/>
        </w:rPr>
        <w:lastRenderedPageBreak/>
        <w:t xml:space="preserve">Por su parte, el artículo 72 de la Ley 1682 de 2013, por la cual se adoptan medidas y disposiciones para los proyectos de infraestructura de transporte, estableció que la capacidad residual del proponente se debe calcular mediante la evaluación de los siguientes factores: Experiencia –E–, Capacidad Financiera –CF–, Capacidad Técnica –CT– y Capacidad de </w:t>
      </w:r>
      <w:r w:rsidRPr="00E202DB">
        <w:rPr>
          <w:rFonts w:ascii="Geomanist Light" w:eastAsia="Calibri" w:hAnsi="Geomanist Light" w:cs="Arial"/>
          <w:bCs/>
          <w:color w:val="000000" w:themeColor="text1"/>
          <w:sz w:val="22"/>
          <w:szCs w:val="22"/>
          <w:lang w:val="es-MX"/>
        </w:rPr>
        <w:t>Organización</w:t>
      </w:r>
      <w:r w:rsidRPr="00E202DB">
        <w:rPr>
          <w:rFonts w:ascii="Geomanist Light" w:hAnsi="Geomanist Light" w:cs="Arial"/>
          <w:color w:val="000000" w:themeColor="text1"/>
          <w:sz w:val="22"/>
          <w:szCs w:val="22"/>
          <w:lang w:val="es-MX"/>
        </w:rPr>
        <w:t xml:space="preserve"> –CO–. </w:t>
      </w:r>
    </w:p>
    <w:p w14:paraId="48483D03" w14:textId="38D43924" w:rsidR="00E202DB" w:rsidRPr="00E202DB" w:rsidRDefault="00E202DB" w:rsidP="00257EDB">
      <w:pPr>
        <w:spacing w:line="276" w:lineRule="auto"/>
        <w:ind w:firstLine="708"/>
        <w:jc w:val="both"/>
        <w:rPr>
          <w:rFonts w:ascii="Geomanist Light" w:hAnsi="Geomanist Light" w:cs="Arial"/>
          <w:color w:val="000000" w:themeColor="text1"/>
          <w:sz w:val="22"/>
          <w:szCs w:val="22"/>
          <w:lang w:val="es-MX"/>
        </w:rPr>
      </w:pPr>
      <w:r w:rsidRPr="00E202DB">
        <w:rPr>
          <w:rFonts w:ascii="Geomanist Light" w:eastAsia="Calibri" w:hAnsi="Geomanist Light" w:cs="Arial"/>
          <w:color w:val="000000" w:themeColor="text1"/>
          <w:sz w:val="22"/>
          <w:szCs w:val="22"/>
          <w:lang w:val="es-MX"/>
        </w:rPr>
        <w:t xml:space="preserve">Igualmente, el artículo 2.2.1.1.1.6.4 del Decreto 1082 de 2015 establece que las entidades estatales deberán calcular la capacidad residual conforme a la metodología definida por Colombia Compre Eficiente y precisó que, para tales fines, resulta necesario tener en cuenta los factores de: i) experiencia; </w:t>
      </w:r>
      <w:proofErr w:type="spellStart"/>
      <w:r w:rsidRPr="00E202DB">
        <w:rPr>
          <w:rFonts w:ascii="Geomanist Light" w:eastAsia="Calibri" w:hAnsi="Geomanist Light" w:cs="Arial"/>
          <w:color w:val="000000" w:themeColor="text1"/>
          <w:sz w:val="22"/>
          <w:szCs w:val="22"/>
          <w:lang w:val="es-MX"/>
        </w:rPr>
        <w:t>ii</w:t>
      </w:r>
      <w:proofErr w:type="spellEnd"/>
      <w:r w:rsidRPr="00E202DB">
        <w:rPr>
          <w:rFonts w:ascii="Geomanist Light" w:eastAsia="Calibri" w:hAnsi="Geomanist Light" w:cs="Arial"/>
          <w:color w:val="000000" w:themeColor="text1"/>
          <w:sz w:val="22"/>
          <w:szCs w:val="22"/>
          <w:lang w:val="es-MX"/>
        </w:rPr>
        <w:t xml:space="preserve">) capacidad financiera; </w:t>
      </w:r>
      <w:proofErr w:type="spellStart"/>
      <w:r w:rsidRPr="00E202DB">
        <w:rPr>
          <w:rFonts w:ascii="Geomanist Light" w:eastAsia="Calibri" w:hAnsi="Geomanist Light" w:cs="Arial"/>
          <w:color w:val="000000" w:themeColor="text1"/>
          <w:sz w:val="22"/>
          <w:szCs w:val="22"/>
          <w:lang w:val="es-MX"/>
        </w:rPr>
        <w:t>iii</w:t>
      </w:r>
      <w:proofErr w:type="spellEnd"/>
      <w:r w:rsidRPr="00E202DB">
        <w:rPr>
          <w:rFonts w:ascii="Geomanist Light" w:eastAsia="Calibri" w:hAnsi="Geomanist Light" w:cs="Arial"/>
          <w:color w:val="000000" w:themeColor="text1"/>
          <w:sz w:val="22"/>
          <w:szCs w:val="22"/>
          <w:lang w:val="es-MX"/>
        </w:rPr>
        <w:t xml:space="preserve">) capacidad técnica; </w:t>
      </w:r>
      <w:proofErr w:type="spellStart"/>
      <w:r w:rsidRPr="00E202DB">
        <w:rPr>
          <w:rFonts w:ascii="Geomanist Light" w:eastAsia="Calibri" w:hAnsi="Geomanist Light" w:cs="Arial"/>
          <w:color w:val="000000" w:themeColor="text1"/>
          <w:sz w:val="22"/>
          <w:szCs w:val="22"/>
          <w:lang w:val="es-MX"/>
        </w:rPr>
        <w:t>iv</w:t>
      </w:r>
      <w:proofErr w:type="spellEnd"/>
      <w:r w:rsidRPr="00E202DB">
        <w:rPr>
          <w:rFonts w:ascii="Geomanist Light" w:eastAsia="Calibri" w:hAnsi="Geomanist Light" w:cs="Arial"/>
          <w:color w:val="000000" w:themeColor="text1"/>
          <w:sz w:val="22"/>
          <w:szCs w:val="22"/>
          <w:lang w:val="es-MX"/>
        </w:rPr>
        <w:t>) capacidad de organización; y v) los saldos de los contratos en ejecución, así:</w:t>
      </w:r>
    </w:p>
    <w:p w14:paraId="16597D20" w14:textId="77777777" w:rsidR="00E202DB" w:rsidRPr="00E202DB" w:rsidRDefault="00E202DB" w:rsidP="00E202DB">
      <w:pPr>
        <w:jc w:val="both"/>
        <w:rPr>
          <w:rFonts w:ascii="Geomanist Light" w:eastAsia="Calibri" w:hAnsi="Geomanist Light" w:cs="Arial"/>
          <w:color w:val="000000" w:themeColor="text1"/>
          <w:sz w:val="22"/>
          <w:szCs w:val="22"/>
          <w:lang w:val="es-MX"/>
        </w:rPr>
      </w:pPr>
    </w:p>
    <w:p w14:paraId="0221F0B9" w14:textId="5616BC68" w:rsidR="00E202DB" w:rsidRDefault="00E202DB" w:rsidP="00AF0FB2">
      <w:pPr>
        <w:ind w:left="709" w:right="709"/>
        <w:contextualSpacing/>
        <w:jc w:val="both"/>
        <w:rPr>
          <w:rFonts w:ascii="Geomanist Light" w:hAnsi="Geomanist Light" w:cs="Arial"/>
          <w:sz w:val="21"/>
          <w:szCs w:val="21"/>
        </w:rPr>
      </w:pPr>
      <w:bookmarkStart w:id="3" w:name="_Hlk99783567"/>
      <w:r w:rsidRPr="00257EDB">
        <w:rPr>
          <w:rFonts w:ascii="Geomanist Light" w:hAnsi="Geomanist Light" w:cs="Arial"/>
          <w:sz w:val="21"/>
          <w:szCs w:val="21"/>
        </w:rPr>
        <w:t>«</w:t>
      </w:r>
      <w:bookmarkEnd w:id="3"/>
      <w:r w:rsidRPr="00257EDB">
        <w:rPr>
          <w:rFonts w:ascii="Geomanist Light" w:eastAsia="Calibri" w:hAnsi="Geomanist Light" w:cs="Arial"/>
          <w:color w:val="000000" w:themeColor="text1"/>
          <w:sz w:val="21"/>
          <w:szCs w:val="21"/>
          <w:lang w:val="es-MX"/>
        </w:rPr>
        <w:t>Artículo 2.2.1.1.1.6.4. Capacidad Residual. El interesado en celebrar contratos de obra pública con Entidades Estatales debe acreditar su Capacidad Residual o K de Contratación con los siguientes documentos: […]</w:t>
      </w:r>
      <w:bookmarkStart w:id="4" w:name="_Hlk99783586"/>
      <w:r w:rsidRPr="00257EDB">
        <w:rPr>
          <w:rFonts w:ascii="Geomanist Light" w:hAnsi="Geomanist Light" w:cs="Arial"/>
          <w:sz w:val="21"/>
          <w:szCs w:val="21"/>
        </w:rPr>
        <w:t>»</w:t>
      </w:r>
      <w:bookmarkEnd w:id="4"/>
    </w:p>
    <w:p w14:paraId="4146BDA5" w14:textId="77777777" w:rsidR="00AF0FB2" w:rsidRPr="00257EDB" w:rsidRDefault="00AF0FB2" w:rsidP="00257EDB">
      <w:pPr>
        <w:ind w:left="709" w:right="709"/>
        <w:contextualSpacing/>
        <w:jc w:val="both"/>
        <w:rPr>
          <w:rFonts w:ascii="Geomanist Light" w:eastAsia="Calibri" w:hAnsi="Geomanist Light" w:cs="Arial"/>
          <w:color w:val="000000" w:themeColor="text1"/>
          <w:sz w:val="21"/>
          <w:szCs w:val="21"/>
          <w:lang w:val="es-MX"/>
        </w:rPr>
      </w:pPr>
    </w:p>
    <w:p w14:paraId="6B1C903E" w14:textId="77777777" w:rsidR="00E202DB" w:rsidRPr="00257EDB" w:rsidRDefault="00E202DB" w:rsidP="00257EDB">
      <w:pPr>
        <w:pStyle w:val="Textoindependiente"/>
        <w:ind w:left="709" w:right="616" w:firstLine="1"/>
        <w:contextualSpacing/>
        <w:jc w:val="both"/>
        <w:rPr>
          <w:rFonts w:ascii="Geomanist Light" w:hAnsi="Geomanist Light"/>
          <w:sz w:val="21"/>
          <w:szCs w:val="21"/>
          <w:lang w:val="es-CO"/>
        </w:rPr>
      </w:pPr>
      <w:r w:rsidRPr="00257EDB">
        <w:rPr>
          <w:rFonts w:ascii="Geomanist Light" w:eastAsia="Calibri" w:hAnsi="Geomanist Light"/>
          <w:color w:val="000000" w:themeColor="text1"/>
          <w:sz w:val="21"/>
          <w:szCs w:val="21"/>
          <w:lang w:val="es-MX"/>
        </w:rPr>
        <w:t>La Entidad Estatal debe calcular la Capacidad Residual del proponente de acuerdo con la metodología que defina Colombia Compra Eficiente, teniendo en cuenta los factores de: Experiencia (E), Capacidad Financiera (CF), Capacidad Técnica (CT), Capacidad de Organización (CO), y los saldos de los contratos en ejecución (SCE).</w:t>
      </w:r>
      <w:r w:rsidRPr="00257EDB">
        <w:rPr>
          <w:rFonts w:ascii="Geomanist Light" w:hAnsi="Geomanist Light"/>
          <w:sz w:val="21"/>
          <w:szCs w:val="21"/>
        </w:rPr>
        <w:t>»</w:t>
      </w:r>
    </w:p>
    <w:p w14:paraId="41D68CB7" w14:textId="77777777" w:rsidR="00E202DB" w:rsidRPr="00E202DB" w:rsidRDefault="00E202DB" w:rsidP="00E202DB">
      <w:pPr>
        <w:pStyle w:val="Textoindependiente"/>
        <w:ind w:right="49"/>
        <w:jc w:val="both"/>
        <w:rPr>
          <w:rFonts w:ascii="Geomanist Light" w:hAnsi="Geomanist Light"/>
          <w:sz w:val="22"/>
          <w:szCs w:val="22"/>
          <w:lang w:val="es-CO"/>
        </w:rPr>
      </w:pPr>
    </w:p>
    <w:p w14:paraId="5EE13281" w14:textId="4B3D652D" w:rsidR="00E202DB" w:rsidRPr="00E202DB" w:rsidRDefault="00E202DB" w:rsidP="00E202DB">
      <w:pPr>
        <w:pStyle w:val="Textoindependiente"/>
        <w:spacing w:line="276" w:lineRule="auto"/>
        <w:ind w:firstLine="709"/>
        <w:jc w:val="both"/>
        <w:rPr>
          <w:rFonts w:ascii="Geomanist Light" w:hAnsi="Geomanist Light"/>
          <w:sz w:val="22"/>
          <w:szCs w:val="22"/>
          <w:lang w:val="es-CO"/>
        </w:rPr>
      </w:pPr>
      <w:r w:rsidRPr="00E202DB">
        <w:rPr>
          <w:rFonts w:ascii="Geomanist Light" w:hAnsi="Geomanist Light"/>
          <w:sz w:val="22"/>
          <w:szCs w:val="22"/>
          <w:lang w:val="es-CO"/>
        </w:rPr>
        <w:t xml:space="preserve">De conformidad con lo anterior, esta Agencia expidió la </w:t>
      </w:r>
      <w:r w:rsidR="00CB5F54" w:rsidRPr="00A705CA">
        <w:rPr>
          <w:sz w:val="22"/>
          <w:szCs w:val="22"/>
        </w:rPr>
        <w:t>«</w:t>
      </w:r>
      <w:r w:rsidRPr="00E202DB">
        <w:rPr>
          <w:rFonts w:ascii="Geomanist Light" w:hAnsi="Geomanist Light"/>
          <w:i/>
          <w:iCs/>
          <w:sz w:val="22"/>
          <w:szCs w:val="22"/>
          <w:lang w:val="es-CO"/>
        </w:rPr>
        <w:t>Guía para Determinar y Verificar la Capacidad Residual del Proponente en los Procesos de Contratación de Obra Pública</w:t>
      </w:r>
      <w:r w:rsidR="00CB5F54" w:rsidRPr="00A705CA">
        <w:rPr>
          <w:sz w:val="22"/>
          <w:szCs w:val="22"/>
        </w:rPr>
        <w:t>»</w:t>
      </w:r>
      <w:r w:rsidR="00CB5F54" w:rsidRPr="00A705CA">
        <w:rPr>
          <w:rStyle w:val="Refdenotaalpie"/>
          <w:sz w:val="22"/>
          <w:szCs w:val="22"/>
        </w:rPr>
        <w:footnoteReference w:id="4"/>
      </w:r>
      <w:r w:rsidRPr="00E202DB">
        <w:rPr>
          <w:rFonts w:ascii="Geomanist Light" w:hAnsi="Geomanist Light"/>
          <w:sz w:val="22"/>
          <w:szCs w:val="22"/>
          <w:lang w:val="es-CO"/>
        </w:rPr>
        <w:t>. En este documento se establece, entre otras cuestiones, que a la entidad contratante le corresponde, primero, establecer la capacidad residual del proceso de contratación –</w:t>
      </w:r>
      <w:r w:rsidRPr="00E202DB">
        <w:rPr>
          <w:rFonts w:ascii="Geomanist Light" w:hAnsi="Geomanist Light"/>
          <w:i/>
          <w:iCs/>
          <w:sz w:val="22"/>
          <w:szCs w:val="22"/>
          <w:lang w:val="es-CO"/>
        </w:rPr>
        <w:t>CRPC–</w:t>
      </w:r>
      <w:r w:rsidRPr="00E202DB">
        <w:rPr>
          <w:rFonts w:ascii="Geomanist Light" w:hAnsi="Geomanist Light"/>
          <w:sz w:val="22"/>
          <w:szCs w:val="22"/>
          <w:lang w:val="es-CO"/>
        </w:rPr>
        <w:t xml:space="preserve"> y, segundo, determinar si los proponentes cumplen con la capacidad residual del proceso de contratación, claro está, teniendo en cuenta la siguiente información aportada por el proponente:</w:t>
      </w:r>
    </w:p>
    <w:p w14:paraId="005B5988" w14:textId="77777777" w:rsidR="00E202DB" w:rsidRPr="00E202DB" w:rsidRDefault="00E202DB" w:rsidP="00E202DB">
      <w:pPr>
        <w:pStyle w:val="Textoindependiente"/>
        <w:ind w:left="709" w:right="760"/>
        <w:jc w:val="both"/>
        <w:rPr>
          <w:rFonts w:ascii="Geomanist Light" w:hAnsi="Geomanist Light"/>
          <w:sz w:val="22"/>
          <w:szCs w:val="22"/>
          <w:lang w:val="es-CO"/>
        </w:rPr>
      </w:pPr>
    </w:p>
    <w:p w14:paraId="4B8661A4" w14:textId="77777777" w:rsidR="00E202DB" w:rsidRPr="00E202DB" w:rsidRDefault="00E202DB" w:rsidP="00E202DB">
      <w:pPr>
        <w:pStyle w:val="Textoindependiente"/>
        <w:numPr>
          <w:ilvl w:val="0"/>
          <w:numId w:val="1"/>
        </w:numPr>
        <w:tabs>
          <w:tab w:val="left" w:pos="993"/>
        </w:tabs>
        <w:ind w:left="709" w:right="709" w:firstLine="0"/>
        <w:jc w:val="both"/>
        <w:rPr>
          <w:rFonts w:ascii="Geomanist Light" w:hAnsi="Geomanist Light"/>
          <w:sz w:val="22"/>
          <w:szCs w:val="22"/>
          <w:lang w:val="es-CO"/>
        </w:rPr>
      </w:pPr>
      <w:r w:rsidRPr="00E202DB">
        <w:rPr>
          <w:rFonts w:ascii="Geomanist Light" w:hAnsi="Geomanist Light"/>
          <w:sz w:val="22"/>
          <w:szCs w:val="22"/>
          <w:lang w:val="es-CO"/>
        </w:rPr>
        <w:t>La lista de los Contratos en Ejecución, así como el valor y plazo de tales contratos.</w:t>
      </w:r>
    </w:p>
    <w:p w14:paraId="7D5CA2FF" w14:textId="77777777" w:rsidR="00E202DB" w:rsidRPr="00E202DB" w:rsidRDefault="00E202DB" w:rsidP="00E202DB">
      <w:pPr>
        <w:pStyle w:val="Textoindependiente"/>
        <w:tabs>
          <w:tab w:val="left" w:pos="993"/>
        </w:tabs>
        <w:ind w:left="709" w:right="709"/>
        <w:jc w:val="both"/>
        <w:rPr>
          <w:rFonts w:ascii="Geomanist Light" w:hAnsi="Geomanist Light"/>
          <w:sz w:val="22"/>
          <w:szCs w:val="22"/>
          <w:lang w:val="es-CO"/>
        </w:rPr>
      </w:pPr>
    </w:p>
    <w:p w14:paraId="47294DF4" w14:textId="1AA16328" w:rsidR="00E202DB" w:rsidRPr="00257EDB" w:rsidRDefault="00E202DB" w:rsidP="00E202DB">
      <w:pPr>
        <w:pStyle w:val="Textoindependiente"/>
        <w:numPr>
          <w:ilvl w:val="0"/>
          <w:numId w:val="1"/>
        </w:numPr>
        <w:tabs>
          <w:tab w:val="left" w:pos="993"/>
        </w:tabs>
        <w:ind w:left="709" w:right="709" w:firstLine="0"/>
        <w:jc w:val="both"/>
        <w:rPr>
          <w:rFonts w:ascii="Geomanist Light" w:hAnsi="Geomanist Light"/>
          <w:sz w:val="22"/>
          <w:szCs w:val="22"/>
          <w:lang w:val="es-CO"/>
        </w:rPr>
      </w:pPr>
      <w:r w:rsidRPr="00E202DB">
        <w:rPr>
          <w:rFonts w:ascii="Geomanist Light" w:hAnsi="Geomanist Light"/>
          <w:sz w:val="22"/>
          <w:szCs w:val="22"/>
          <w:lang w:val="es-CO"/>
        </w:rPr>
        <w:t>La lista de los Contratos en Ejecución, suscritos por sociedades, consorcios o uniones temporales, en los cuales el proponente tenga participación, así como el valor y plazo de tales contratos.</w:t>
      </w:r>
    </w:p>
    <w:p w14:paraId="16A06E7F" w14:textId="77777777" w:rsidR="00E202DB" w:rsidRPr="00E202DB" w:rsidRDefault="00E202DB" w:rsidP="00E202DB">
      <w:pPr>
        <w:pStyle w:val="Textoindependiente"/>
        <w:numPr>
          <w:ilvl w:val="0"/>
          <w:numId w:val="1"/>
        </w:numPr>
        <w:tabs>
          <w:tab w:val="left" w:pos="993"/>
        </w:tabs>
        <w:ind w:left="709" w:right="709" w:firstLine="0"/>
        <w:jc w:val="both"/>
        <w:rPr>
          <w:rFonts w:ascii="Geomanist Light" w:hAnsi="Geomanist Light"/>
          <w:sz w:val="22"/>
          <w:szCs w:val="22"/>
          <w:lang w:val="es-CO"/>
        </w:rPr>
      </w:pPr>
      <w:r w:rsidRPr="00E202DB">
        <w:rPr>
          <w:rFonts w:ascii="Geomanist Light" w:hAnsi="Geomanist Light"/>
          <w:sz w:val="22"/>
          <w:szCs w:val="22"/>
          <w:lang w:val="es-CO"/>
        </w:rPr>
        <w:lastRenderedPageBreak/>
        <w:t>El estado de resultados auditado que contiene el mejor ingreso operacional de los últimos cinco (5) años y el balance general auditado del último año, suscrito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que contiene el mejor ingreso operacional de los últimos cinco (5) años puesto que la información de la liquidez se encuentra en el RUP.</w:t>
      </w:r>
    </w:p>
    <w:p w14:paraId="23BBC459" w14:textId="77777777" w:rsidR="00E202DB" w:rsidRPr="00E202DB" w:rsidRDefault="00E202DB" w:rsidP="00E202DB">
      <w:pPr>
        <w:pStyle w:val="Textoindependiente"/>
        <w:spacing w:line="276" w:lineRule="auto"/>
        <w:ind w:firstLine="709"/>
        <w:jc w:val="both"/>
        <w:rPr>
          <w:rFonts w:ascii="Geomanist Light" w:hAnsi="Geomanist Light"/>
          <w:sz w:val="22"/>
          <w:szCs w:val="22"/>
          <w:lang w:val="es-CO"/>
        </w:rPr>
      </w:pPr>
    </w:p>
    <w:p w14:paraId="7568455F" w14:textId="4CCFEA91" w:rsidR="00E202DB" w:rsidRPr="00E202DB" w:rsidRDefault="00E202DB" w:rsidP="00B86CF7">
      <w:pPr>
        <w:pStyle w:val="Textoindependiente"/>
        <w:spacing w:after="120" w:line="276" w:lineRule="auto"/>
        <w:ind w:firstLine="709"/>
        <w:jc w:val="both"/>
        <w:rPr>
          <w:rFonts w:ascii="Geomanist Light" w:hAnsi="Geomanist Light"/>
          <w:sz w:val="22"/>
          <w:szCs w:val="22"/>
          <w:lang w:val="es-CO"/>
        </w:rPr>
      </w:pPr>
      <w:r w:rsidRPr="00E202DB">
        <w:rPr>
          <w:rFonts w:ascii="Geomanist Light" w:hAnsi="Geomanist Light"/>
          <w:sz w:val="22"/>
          <w:szCs w:val="22"/>
          <w:lang w:val="es-CO"/>
        </w:rPr>
        <w:t>Ahora bien, para lo primero, esto es, para establecer la capacidad residual del proceso de contratación «CRPC», se debe determinar si el plazo del contrato es superior a doce</w:t>
      </w:r>
      <w:r w:rsidR="002B429C">
        <w:rPr>
          <w:rFonts w:ascii="Geomanist Light" w:hAnsi="Geomanist Light"/>
          <w:sz w:val="22"/>
          <w:szCs w:val="22"/>
          <w:lang w:val="es-CO"/>
        </w:rPr>
        <w:t xml:space="preserve"> (12)</w:t>
      </w:r>
      <w:r w:rsidRPr="00E202DB">
        <w:rPr>
          <w:rFonts w:ascii="Geomanist Light" w:hAnsi="Geomanist Light"/>
          <w:sz w:val="22"/>
          <w:szCs w:val="22"/>
          <w:lang w:val="es-CO"/>
        </w:rPr>
        <w:t xml:space="preserve"> meses. Si no lo es, la </w:t>
      </w:r>
      <w:r w:rsidR="00B86CF7" w:rsidRPr="00E202DB">
        <w:rPr>
          <w:rFonts w:ascii="Geomanist Light" w:hAnsi="Geomanist Light"/>
          <w:sz w:val="22"/>
          <w:szCs w:val="22"/>
          <w:lang w:val="es-CO"/>
        </w:rPr>
        <w:t>«</w:t>
      </w:r>
      <w:r w:rsidRPr="00E202DB">
        <w:rPr>
          <w:rFonts w:ascii="Geomanist Light" w:hAnsi="Geomanist Light"/>
          <w:sz w:val="22"/>
          <w:szCs w:val="22"/>
          <w:lang w:val="es-CO"/>
        </w:rPr>
        <w:t>CRPC</w:t>
      </w:r>
      <w:r w:rsidR="00B86CF7" w:rsidRPr="00E202DB">
        <w:rPr>
          <w:rFonts w:ascii="Geomanist Light" w:hAnsi="Geomanist Light"/>
          <w:sz w:val="22"/>
          <w:szCs w:val="22"/>
          <w:lang w:val="es-CO"/>
        </w:rPr>
        <w:t>»</w:t>
      </w:r>
      <w:r w:rsidRPr="00E202DB">
        <w:rPr>
          <w:rFonts w:ascii="Geomanist Light" w:hAnsi="Geomanist Light"/>
          <w:sz w:val="22"/>
          <w:szCs w:val="22"/>
          <w:lang w:val="es-CO"/>
        </w:rPr>
        <w:t xml:space="preserve"> equivale al presupuesto oficial estimado del Proceso de Contratación menos el anticipo o pago anticipado cuando haya lugar. Si lo es, equivale a la proporción lineal de </w:t>
      </w:r>
      <w:r w:rsidR="002B429C">
        <w:rPr>
          <w:rFonts w:ascii="Geomanist Light" w:hAnsi="Geomanist Light"/>
          <w:sz w:val="22"/>
          <w:szCs w:val="22"/>
          <w:lang w:val="es-CO"/>
        </w:rPr>
        <w:t>doce (</w:t>
      </w:r>
      <w:r w:rsidRPr="00E202DB">
        <w:rPr>
          <w:rFonts w:ascii="Geomanist Light" w:hAnsi="Geomanist Light"/>
          <w:sz w:val="22"/>
          <w:szCs w:val="22"/>
          <w:lang w:val="es-CO"/>
        </w:rPr>
        <w:t>12</w:t>
      </w:r>
      <w:r w:rsidR="002B429C">
        <w:rPr>
          <w:rFonts w:ascii="Geomanist Light" w:hAnsi="Geomanist Light"/>
          <w:sz w:val="22"/>
          <w:szCs w:val="22"/>
          <w:lang w:val="es-CO"/>
        </w:rPr>
        <w:t>)</w:t>
      </w:r>
      <w:r w:rsidRPr="00E202DB">
        <w:rPr>
          <w:rFonts w:ascii="Geomanist Light" w:hAnsi="Geomanist Light"/>
          <w:sz w:val="22"/>
          <w:szCs w:val="22"/>
          <w:lang w:val="es-CO"/>
        </w:rPr>
        <w:t xml:space="preserve"> meses del presupuesto oficial estimado menos el anticipo o pago anticipado.</w:t>
      </w:r>
    </w:p>
    <w:p w14:paraId="3C3A52CF" w14:textId="679123C8" w:rsidR="00E202DB" w:rsidRPr="00E202DB" w:rsidRDefault="00E202DB" w:rsidP="00B86CF7">
      <w:pPr>
        <w:pStyle w:val="Textoindependiente"/>
        <w:spacing w:before="120" w:after="120" w:line="276" w:lineRule="auto"/>
        <w:ind w:firstLine="709"/>
        <w:jc w:val="both"/>
        <w:rPr>
          <w:rFonts w:ascii="Geomanist Light" w:hAnsi="Geomanist Light"/>
          <w:sz w:val="22"/>
          <w:szCs w:val="22"/>
          <w:lang w:val="es-CO"/>
        </w:rPr>
      </w:pPr>
      <w:r w:rsidRPr="00E202DB">
        <w:rPr>
          <w:rFonts w:ascii="Geomanist Light" w:hAnsi="Geomanist Light"/>
          <w:sz w:val="22"/>
          <w:szCs w:val="22"/>
          <w:lang w:val="es-CO"/>
        </w:rPr>
        <w:t xml:space="preserve">Para lo segundo, es decir, para verificar que cada proponente cumple con la </w:t>
      </w:r>
      <w:r w:rsidR="00B86CF7" w:rsidRPr="00E202DB">
        <w:rPr>
          <w:rFonts w:ascii="Geomanist Light" w:hAnsi="Geomanist Light"/>
          <w:sz w:val="22"/>
          <w:szCs w:val="22"/>
          <w:lang w:val="es-CO"/>
        </w:rPr>
        <w:t>«</w:t>
      </w:r>
      <w:r w:rsidRPr="00E202DB">
        <w:rPr>
          <w:rFonts w:ascii="Geomanist Light" w:hAnsi="Geomanist Light"/>
          <w:sz w:val="22"/>
          <w:szCs w:val="22"/>
          <w:lang w:val="es-CO"/>
        </w:rPr>
        <w:t>CRPC</w:t>
      </w:r>
      <w:r w:rsidR="00B86CF7" w:rsidRPr="00E202DB">
        <w:rPr>
          <w:rFonts w:ascii="Geomanist Light" w:hAnsi="Geomanist Light"/>
          <w:sz w:val="22"/>
          <w:szCs w:val="22"/>
          <w:lang w:val="es-CO"/>
        </w:rPr>
        <w:t>»</w:t>
      </w:r>
      <w:r w:rsidRPr="00E202DB">
        <w:rPr>
          <w:rFonts w:ascii="Geomanist Light" w:hAnsi="Geomanist Light"/>
          <w:sz w:val="22"/>
          <w:szCs w:val="22"/>
          <w:lang w:val="es-CO"/>
        </w:rPr>
        <w:t xml:space="preserve">, la entidad pública debe verificar que la capacidad residual del proponente «CRP» sea igual o superior a la capacidad referida en el párrafo precedente. De todas formas, previamente debe establecer la </w:t>
      </w:r>
      <w:r w:rsidR="00B86CF7" w:rsidRPr="00E202DB">
        <w:rPr>
          <w:rFonts w:ascii="Geomanist Light" w:hAnsi="Geomanist Light"/>
          <w:sz w:val="22"/>
          <w:szCs w:val="22"/>
          <w:lang w:val="es-CO"/>
        </w:rPr>
        <w:t>«</w:t>
      </w:r>
      <w:r w:rsidRPr="00E202DB">
        <w:rPr>
          <w:rFonts w:ascii="Geomanist Light" w:hAnsi="Geomanist Light"/>
          <w:sz w:val="22"/>
          <w:szCs w:val="22"/>
          <w:lang w:val="es-CO"/>
        </w:rPr>
        <w:t>CRP</w:t>
      </w:r>
      <w:r w:rsidR="00B86CF7" w:rsidRPr="00E202DB">
        <w:rPr>
          <w:rFonts w:ascii="Geomanist Light" w:hAnsi="Geomanist Light"/>
          <w:sz w:val="22"/>
          <w:szCs w:val="22"/>
          <w:lang w:val="es-CO"/>
        </w:rPr>
        <w:t>»</w:t>
      </w:r>
      <w:r w:rsidRPr="00E202DB">
        <w:rPr>
          <w:rFonts w:ascii="Geomanist Light" w:hAnsi="Geomanist Light"/>
          <w:sz w:val="22"/>
          <w:szCs w:val="22"/>
          <w:lang w:val="es-CO"/>
        </w:rPr>
        <w:t xml:space="preserve">, con fundamento en los siguientes factores: i) experiencia «E»; </w:t>
      </w:r>
      <w:proofErr w:type="spellStart"/>
      <w:r w:rsidRPr="00E202DB">
        <w:rPr>
          <w:rFonts w:ascii="Geomanist Light" w:hAnsi="Geomanist Light"/>
          <w:sz w:val="22"/>
          <w:szCs w:val="22"/>
          <w:lang w:val="es-CO"/>
        </w:rPr>
        <w:t>ii</w:t>
      </w:r>
      <w:proofErr w:type="spellEnd"/>
      <w:r w:rsidRPr="00E202DB">
        <w:rPr>
          <w:rFonts w:ascii="Geomanist Light" w:hAnsi="Geomanist Light"/>
          <w:sz w:val="22"/>
          <w:szCs w:val="22"/>
          <w:lang w:val="es-CO"/>
        </w:rPr>
        <w:t xml:space="preserve">) capacidad financiera «CF»; </w:t>
      </w:r>
      <w:proofErr w:type="spellStart"/>
      <w:r w:rsidRPr="00E202DB">
        <w:rPr>
          <w:rFonts w:ascii="Geomanist Light" w:hAnsi="Geomanist Light"/>
          <w:sz w:val="22"/>
          <w:szCs w:val="22"/>
          <w:lang w:val="es-CO"/>
        </w:rPr>
        <w:t>iii</w:t>
      </w:r>
      <w:proofErr w:type="spellEnd"/>
      <w:r w:rsidRPr="00E202DB">
        <w:rPr>
          <w:rFonts w:ascii="Geomanist Light" w:hAnsi="Geomanist Light"/>
          <w:sz w:val="22"/>
          <w:szCs w:val="22"/>
          <w:lang w:val="es-CO"/>
        </w:rPr>
        <w:t xml:space="preserve">) capacidad técnica «CT», </w:t>
      </w:r>
      <w:proofErr w:type="spellStart"/>
      <w:r w:rsidRPr="00E202DB">
        <w:rPr>
          <w:rFonts w:ascii="Geomanist Light" w:hAnsi="Geomanist Light"/>
          <w:sz w:val="22"/>
          <w:szCs w:val="22"/>
          <w:lang w:val="es-CO"/>
        </w:rPr>
        <w:t>iv</w:t>
      </w:r>
      <w:proofErr w:type="spellEnd"/>
      <w:r w:rsidRPr="00E202DB">
        <w:rPr>
          <w:rFonts w:ascii="Geomanist Light" w:hAnsi="Geomanist Light"/>
          <w:sz w:val="22"/>
          <w:szCs w:val="22"/>
          <w:lang w:val="es-CO"/>
        </w:rPr>
        <w:t>) capacidad de organización «CO»; y v) los saldos de los contratos en ejecución «SCE», según la siguiente fórmula:</w:t>
      </w:r>
    </w:p>
    <w:p w14:paraId="2487AE6F" w14:textId="77777777" w:rsidR="00E202DB" w:rsidRPr="00E202DB" w:rsidRDefault="00E202DB" w:rsidP="00257EDB">
      <w:pPr>
        <w:pStyle w:val="Textoindependiente"/>
        <w:tabs>
          <w:tab w:val="left" w:pos="709"/>
          <w:tab w:val="left" w:pos="8080"/>
        </w:tabs>
        <w:spacing w:before="10" w:after="120"/>
        <w:ind w:right="49"/>
        <w:jc w:val="both"/>
        <w:rPr>
          <w:rFonts w:ascii="Geomanist Light" w:hAnsi="Geomanist Light"/>
          <w:sz w:val="22"/>
          <w:szCs w:val="22"/>
          <w:lang w:val="es-CO"/>
        </w:rPr>
      </w:pPr>
      <w:r w:rsidRPr="00E202DB">
        <w:rPr>
          <w:rFonts w:ascii="Geomanist Light" w:hAnsi="Geomanist Light"/>
          <w:noProof/>
          <w:sz w:val="22"/>
          <w:szCs w:val="22"/>
          <w:lang w:val="es-CO" w:eastAsia="es-ES_tradnl"/>
        </w:rPr>
        <w:drawing>
          <wp:anchor distT="0" distB="0" distL="0" distR="0" simplePos="0" relativeHeight="251655680" behindDoc="0" locked="0" layoutInCell="1" allowOverlap="1" wp14:anchorId="543CE43F" wp14:editId="3F0D1E34">
            <wp:simplePos x="0" y="0"/>
            <wp:positionH relativeFrom="page">
              <wp:posOffset>1545590</wp:posOffset>
            </wp:positionH>
            <wp:positionV relativeFrom="paragraph">
              <wp:posOffset>160655</wp:posOffset>
            </wp:positionV>
            <wp:extent cx="4638040" cy="674370"/>
            <wp:effectExtent l="0" t="0" r="0" b="0"/>
            <wp:wrapTopAndBottom/>
            <wp:docPr id="5" name="image3.jpeg"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Diagrama&#10;&#10;Descripción generada automáticamente"/>
                    <pic:cNvPicPr/>
                  </pic:nvPicPr>
                  <pic:blipFill>
                    <a:blip r:embed="rId12" cstate="print"/>
                    <a:stretch>
                      <a:fillRect/>
                    </a:stretch>
                  </pic:blipFill>
                  <pic:spPr>
                    <a:xfrm>
                      <a:off x="0" y="0"/>
                      <a:ext cx="4638040" cy="674370"/>
                    </a:xfrm>
                    <a:prstGeom prst="rect">
                      <a:avLst/>
                    </a:prstGeom>
                  </pic:spPr>
                </pic:pic>
              </a:graphicData>
            </a:graphic>
            <wp14:sizeRelH relativeFrom="margin">
              <wp14:pctWidth>0</wp14:pctWidth>
            </wp14:sizeRelH>
          </wp:anchor>
        </w:drawing>
      </w:r>
    </w:p>
    <w:p w14:paraId="2A2FA295" w14:textId="40A0F185" w:rsidR="00B86CF7" w:rsidRDefault="00E202DB" w:rsidP="00B86CF7">
      <w:pPr>
        <w:pStyle w:val="Textoindependiente"/>
        <w:spacing w:before="120" w:after="120" w:line="276" w:lineRule="auto"/>
        <w:ind w:firstLine="709"/>
        <w:jc w:val="both"/>
        <w:rPr>
          <w:rFonts w:ascii="Geomanist Light" w:hAnsi="Geomanist Light"/>
          <w:sz w:val="22"/>
          <w:szCs w:val="22"/>
          <w:lang w:val="es-CO"/>
        </w:rPr>
      </w:pPr>
      <w:r w:rsidRPr="00E202DB">
        <w:rPr>
          <w:rFonts w:ascii="Geomanist Light" w:hAnsi="Geomanist Light"/>
          <w:sz w:val="22"/>
          <w:szCs w:val="22"/>
          <w:lang w:val="es-CO"/>
        </w:rPr>
        <w:t>A cada uno de estos factores se les debe asignar l</w:t>
      </w:r>
      <w:r w:rsidR="002B429C">
        <w:rPr>
          <w:rFonts w:ascii="Geomanist Light" w:hAnsi="Geomanist Light"/>
          <w:sz w:val="22"/>
          <w:szCs w:val="22"/>
          <w:lang w:val="es-CO"/>
        </w:rPr>
        <w:t>os</w:t>
      </w:r>
      <w:r w:rsidRPr="00E202DB">
        <w:rPr>
          <w:rFonts w:ascii="Geomanist Light" w:hAnsi="Geomanist Light"/>
          <w:sz w:val="22"/>
          <w:szCs w:val="22"/>
          <w:lang w:val="es-CO"/>
        </w:rPr>
        <w:t xml:space="preserve"> siguiente</w:t>
      </w:r>
      <w:r w:rsidR="002B429C">
        <w:rPr>
          <w:rFonts w:ascii="Geomanist Light" w:hAnsi="Geomanist Light"/>
          <w:sz w:val="22"/>
          <w:szCs w:val="22"/>
          <w:lang w:val="es-CO"/>
        </w:rPr>
        <w:t>s</w:t>
      </w:r>
      <w:r w:rsidRPr="00E202DB">
        <w:rPr>
          <w:rFonts w:ascii="Geomanist Light" w:hAnsi="Geomanist Light"/>
          <w:sz w:val="22"/>
          <w:szCs w:val="22"/>
          <w:lang w:val="es-CO"/>
        </w:rPr>
        <w:t xml:space="preserve"> puntaje</w:t>
      </w:r>
      <w:r w:rsidR="002B429C">
        <w:rPr>
          <w:rFonts w:ascii="Geomanist Light" w:hAnsi="Geomanist Light"/>
          <w:sz w:val="22"/>
          <w:szCs w:val="22"/>
          <w:lang w:val="es-CO"/>
        </w:rPr>
        <w:t>s</w:t>
      </w:r>
      <w:r w:rsidRPr="00E202DB">
        <w:rPr>
          <w:rFonts w:ascii="Geomanist Light" w:hAnsi="Geomanist Light"/>
          <w:sz w:val="22"/>
          <w:szCs w:val="22"/>
          <w:lang w:val="es-CO"/>
        </w:rPr>
        <w:t xml:space="preserve"> máximo</w:t>
      </w:r>
      <w:r w:rsidR="002B429C">
        <w:rPr>
          <w:rFonts w:ascii="Geomanist Light" w:hAnsi="Geomanist Light"/>
          <w:sz w:val="22"/>
          <w:szCs w:val="22"/>
          <w:lang w:val="es-CO"/>
        </w:rPr>
        <w:t>s</w:t>
      </w:r>
      <w:r w:rsidRPr="00E202DB">
        <w:rPr>
          <w:rFonts w:ascii="Geomanist Light" w:hAnsi="Geomanist Light"/>
          <w:sz w:val="22"/>
          <w:szCs w:val="22"/>
          <w:lang w:val="es-CO"/>
        </w:rPr>
        <w:t xml:space="preserve">: i) «E» 120; </w:t>
      </w:r>
      <w:proofErr w:type="spellStart"/>
      <w:r w:rsidRPr="00E202DB">
        <w:rPr>
          <w:rFonts w:ascii="Geomanist Light" w:hAnsi="Geomanist Light"/>
          <w:sz w:val="22"/>
          <w:szCs w:val="22"/>
          <w:lang w:val="es-CO"/>
        </w:rPr>
        <w:t>ii</w:t>
      </w:r>
      <w:proofErr w:type="spellEnd"/>
      <w:r w:rsidRPr="00E202DB">
        <w:rPr>
          <w:rFonts w:ascii="Geomanist Light" w:hAnsi="Geomanist Light"/>
          <w:sz w:val="22"/>
          <w:szCs w:val="22"/>
          <w:lang w:val="es-CO"/>
        </w:rPr>
        <w:t xml:space="preserve">) «CF» 40; y </w:t>
      </w:r>
      <w:proofErr w:type="spellStart"/>
      <w:r w:rsidRPr="00E202DB">
        <w:rPr>
          <w:rFonts w:ascii="Geomanist Light" w:hAnsi="Geomanist Light"/>
          <w:sz w:val="22"/>
          <w:szCs w:val="22"/>
          <w:lang w:val="es-CO"/>
        </w:rPr>
        <w:t>iii</w:t>
      </w:r>
      <w:proofErr w:type="spellEnd"/>
      <w:r w:rsidRPr="00E202DB">
        <w:rPr>
          <w:rFonts w:ascii="Geomanist Light" w:hAnsi="Geomanist Light"/>
          <w:sz w:val="22"/>
          <w:szCs w:val="22"/>
          <w:lang w:val="es-CO"/>
        </w:rPr>
        <w:t xml:space="preserve">) «CT» 40. La «CO» no tiene asignación de puntaje en la fórmula, por un lado, porque su unidad de medida es en pesos colombianos «COP» y, por el otro, debido a que el mismo constituye un factor multiplicador de los demás factores en la fórmula. </w:t>
      </w:r>
    </w:p>
    <w:p w14:paraId="043BACFF" w14:textId="39DE8F63" w:rsidR="00E202DB" w:rsidRPr="00E202DB" w:rsidRDefault="00E202DB" w:rsidP="00B86CF7">
      <w:pPr>
        <w:pStyle w:val="Textoindependiente"/>
        <w:spacing w:before="120" w:after="120" w:line="276" w:lineRule="auto"/>
        <w:ind w:firstLine="709"/>
        <w:jc w:val="both"/>
        <w:rPr>
          <w:rFonts w:ascii="Geomanist Light" w:hAnsi="Geomanist Light"/>
          <w:sz w:val="22"/>
          <w:szCs w:val="22"/>
          <w:lang w:val="es-CO"/>
        </w:rPr>
      </w:pPr>
      <w:r w:rsidRPr="00E202DB">
        <w:rPr>
          <w:rFonts w:ascii="Geomanist Light" w:hAnsi="Geomanist Light"/>
          <w:sz w:val="22"/>
          <w:szCs w:val="22"/>
          <w:lang w:val="es-CO"/>
        </w:rPr>
        <w:t>A continuación, se explicará, en términos generales, cómo calcular cada factor:</w:t>
      </w:r>
    </w:p>
    <w:p w14:paraId="00686FDB" w14:textId="6AE34CF4" w:rsidR="00E202DB" w:rsidRPr="00E202DB" w:rsidRDefault="00E202DB" w:rsidP="00B86CF7">
      <w:pPr>
        <w:pStyle w:val="Textoindependiente"/>
        <w:numPr>
          <w:ilvl w:val="0"/>
          <w:numId w:val="2"/>
        </w:numPr>
        <w:tabs>
          <w:tab w:val="left" w:pos="993"/>
        </w:tabs>
        <w:spacing w:before="120" w:after="120" w:line="276" w:lineRule="auto"/>
        <w:ind w:left="0" w:firstLine="709"/>
        <w:jc w:val="both"/>
        <w:rPr>
          <w:rFonts w:ascii="Geomanist Light" w:hAnsi="Geomanist Light"/>
          <w:i/>
          <w:iCs/>
          <w:sz w:val="22"/>
          <w:szCs w:val="22"/>
          <w:lang w:val="es-CO"/>
        </w:rPr>
      </w:pPr>
      <w:r w:rsidRPr="00E202DB">
        <w:rPr>
          <w:rFonts w:ascii="Geomanist Light" w:hAnsi="Geomanist Light"/>
          <w:i/>
          <w:iCs/>
          <w:sz w:val="22"/>
          <w:szCs w:val="22"/>
          <w:lang w:val="es-CO"/>
        </w:rPr>
        <w:t>Capacidad financiera (CF).</w:t>
      </w:r>
      <w:r w:rsidRPr="00E202DB">
        <w:rPr>
          <w:rFonts w:ascii="Geomanist Light" w:hAnsi="Geomanist Light"/>
          <w:sz w:val="22"/>
          <w:szCs w:val="22"/>
          <w:lang w:val="es-CO"/>
        </w:rPr>
        <w:t xml:space="preserve"> Se mide por el «índice de liquidez» y este, a su vez, corresponde al resultado de dividir el «activo corriente» sobre el «pasivo corriente». El resultado puede ser calificado entre </w:t>
      </w:r>
      <w:r w:rsidR="002B429C">
        <w:rPr>
          <w:rFonts w:ascii="Geomanist Light" w:hAnsi="Geomanist Light"/>
          <w:sz w:val="22"/>
          <w:szCs w:val="22"/>
          <w:lang w:val="es-CO"/>
        </w:rPr>
        <w:t>veinte (</w:t>
      </w:r>
      <w:r w:rsidRPr="00E202DB">
        <w:rPr>
          <w:rFonts w:ascii="Geomanist Light" w:hAnsi="Geomanist Light"/>
          <w:sz w:val="22"/>
          <w:szCs w:val="22"/>
          <w:lang w:val="es-CO"/>
        </w:rPr>
        <w:t>20</w:t>
      </w:r>
      <w:r w:rsidR="002B429C">
        <w:rPr>
          <w:rFonts w:ascii="Geomanist Light" w:hAnsi="Geomanist Light"/>
          <w:sz w:val="22"/>
          <w:szCs w:val="22"/>
          <w:lang w:val="es-CO"/>
        </w:rPr>
        <w:t>)</w:t>
      </w:r>
      <w:r w:rsidRPr="00E202DB">
        <w:rPr>
          <w:rFonts w:ascii="Geomanist Light" w:hAnsi="Geomanist Light"/>
          <w:sz w:val="22"/>
          <w:szCs w:val="22"/>
          <w:lang w:val="es-CO"/>
        </w:rPr>
        <w:t xml:space="preserve"> y cuarenta</w:t>
      </w:r>
      <w:r w:rsidR="002B429C">
        <w:rPr>
          <w:rFonts w:ascii="Geomanist Light" w:hAnsi="Geomanist Light"/>
          <w:sz w:val="22"/>
          <w:szCs w:val="22"/>
          <w:lang w:val="es-CO"/>
        </w:rPr>
        <w:t xml:space="preserve"> (40)</w:t>
      </w:r>
      <w:r w:rsidRPr="00E202DB">
        <w:rPr>
          <w:rFonts w:ascii="Geomanist Light" w:hAnsi="Geomanist Light"/>
          <w:sz w:val="22"/>
          <w:szCs w:val="22"/>
          <w:lang w:val="es-CO"/>
        </w:rPr>
        <w:t xml:space="preserve"> puntos, según se explica en la Guía.</w:t>
      </w:r>
    </w:p>
    <w:p w14:paraId="4197E765" w14:textId="795E542E" w:rsidR="00E202DB" w:rsidRPr="00E202DB" w:rsidRDefault="00E202DB" w:rsidP="00B86CF7">
      <w:pPr>
        <w:pStyle w:val="Textoindependiente"/>
        <w:numPr>
          <w:ilvl w:val="0"/>
          <w:numId w:val="2"/>
        </w:numPr>
        <w:tabs>
          <w:tab w:val="left" w:pos="993"/>
        </w:tabs>
        <w:spacing w:before="120" w:after="120" w:line="276" w:lineRule="auto"/>
        <w:ind w:left="0" w:firstLine="709"/>
        <w:jc w:val="both"/>
        <w:rPr>
          <w:rFonts w:ascii="Geomanist Light" w:hAnsi="Geomanist Light"/>
          <w:i/>
          <w:iCs/>
          <w:sz w:val="22"/>
          <w:szCs w:val="22"/>
          <w:lang w:val="es-CO"/>
        </w:rPr>
      </w:pPr>
      <w:r w:rsidRPr="00E202DB">
        <w:rPr>
          <w:rFonts w:ascii="Geomanist Light" w:hAnsi="Geomanist Light"/>
          <w:i/>
          <w:iCs/>
          <w:sz w:val="22"/>
          <w:szCs w:val="22"/>
          <w:lang w:val="es-CO"/>
        </w:rPr>
        <w:lastRenderedPageBreak/>
        <w:t>Capacidad técnica (CT)</w:t>
      </w:r>
      <w:r w:rsidRPr="00E202DB">
        <w:rPr>
          <w:rFonts w:ascii="Geomanist Light" w:hAnsi="Geomanist Light"/>
          <w:sz w:val="22"/>
          <w:szCs w:val="22"/>
          <w:lang w:val="es-CO"/>
        </w:rPr>
        <w:t xml:space="preserve">. Se determina teniendo en cuenta el número de socios y profesionales de la arquitectura, ingeniería y geología vinculados mediante una relación laboral o contractual. </w:t>
      </w:r>
      <w:proofErr w:type="gramStart"/>
      <w:r w:rsidRPr="00E202DB">
        <w:rPr>
          <w:rFonts w:ascii="Geomanist Light" w:hAnsi="Geomanist Light"/>
          <w:sz w:val="22"/>
          <w:szCs w:val="22"/>
          <w:lang w:val="es-CO"/>
        </w:rPr>
        <w:t>El puntaje a asignar</w:t>
      </w:r>
      <w:proofErr w:type="gramEnd"/>
      <w:r w:rsidRPr="00E202DB">
        <w:rPr>
          <w:rFonts w:ascii="Geomanist Light" w:hAnsi="Geomanist Light"/>
          <w:sz w:val="22"/>
          <w:szCs w:val="22"/>
          <w:lang w:val="es-CO"/>
        </w:rPr>
        <w:t xml:space="preserve">, según la Guía, oscila entre </w:t>
      </w:r>
      <w:r w:rsidR="002B429C">
        <w:rPr>
          <w:rFonts w:ascii="Geomanist Light" w:hAnsi="Geomanist Light"/>
          <w:sz w:val="22"/>
          <w:szCs w:val="22"/>
          <w:lang w:val="es-CO"/>
        </w:rPr>
        <w:t>veinte (</w:t>
      </w:r>
      <w:r w:rsidRPr="00E202DB">
        <w:rPr>
          <w:rFonts w:ascii="Geomanist Light" w:hAnsi="Geomanist Light"/>
          <w:sz w:val="22"/>
          <w:szCs w:val="22"/>
          <w:lang w:val="es-CO"/>
        </w:rPr>
        <w:t>20</w:t>
      </w:r>
      <w:r w:rsidR="002B429C">
        <w:rPr>
          <w:rFonts w:ascii="Geomanist Light" w:hAnsi="Geomanist Light"/>
          <w:sz w:val="22"/>
          <w:szCs w:val="22"/>
          <w:lang w:val="es-CO"/>
        </w:rPr>
        <w:t>)</w:t>
      </w:r>
      <w:r w:rsidRPr="00E202DB">
        <w:rPr>
          <w:rFonts w:ascii="Geomanist Light" w:hAnsi="Geomanist Light"/>
          <w:sz w:val="22"/>
          <w:szCs w:val="22"/>
          <w:lang w:val="es-CO"/>
        </w:rPr>
        <w:t xml:space="preserve"> y </w:t>
      </w:r>
      <w:r w:rsidR="002B429C">
        <w:rPr>
          <w:rFonts w:ascii="Geomanist Light" w:hAnsi="Geomanist Light"/>
          <w:sz w:val="22"/>
          <w:szCs w:val="22"/>
          <w:lang w:val="es-CO"/>
        </w:rPr>
        <w:t>cuarenta (</w:t>
      </w:r>
      <w:r w:rsidRPr="00E202DB">
        <w:rPr>
          <w:rFonts w:ascii="Geomanist Light" w:hAnsi="Geomanist Light"/>
          <w:sz w:val="22"/>
          <w:szCs w:val="22"/>
          <w:lang w:val="es-CO"/>
        </w:rPr>
        <w:t>40</w:t>
      </w:r>
      <w:r w:rsidR="002B429C">
        <w:rPr>
          <w:rFonts w:ascii="Geomanist Light" w:hAnsi="Geomanist Light"/>
          <w:sz w:val="22"/>
          <w:szCs w:val="22"/>
          <w:lang w:val="es-CO"/>
        </w:rPr>
        <w:t>)</w:t>
      </w:r>
      <w:r w:rsidRPr="00E202DB">
        <w:rPr>
          <w:rFonts w:ascii="Geomanist Light" w:hAnsi="Geomanist Light"/>
          <w:sz w:val="22"/>
          <w:szCs w:val="22"/>
          <w:lang w:val="es-CO"/>
        </w:rPr>
        <w:t xml:space="preserve"> puntos. Para tales fines, se aclara, el proponente debe diligenciar el Anexo 2 de la «Guía para Determinar y Verificar la Capacidad Residual del Proponente en los Procesos de Contratación de Obra Pública»</w:t>
      </w:r>
      <w:r w:rsidR="0030340E">
        <w:rPr>
          <w:rFonts w:ascii="Geomanist Light" w:hAnsi="Geomanist Light"/>
          <w:sz w:val="22"/>
          <w:szCs w:val="22"/>
          <w:lang w:val="es-CO"/>
        </w:rPr>
        <w:t>.</w:t>
      </w:r>
      <w:r w:rsidR="002B429C">
        <w:rPr>
          <w:rFonts w:ascii="Geomanist Light" w:hAnsi="Geomanist Light"/>
          <w:sz w:val="22"/>
          <w:szCs w:val="22"/>
          <w:lang w:val="es-CO"/>
        </w:rPr>
        <w:t xml:space="preserve"> Teniendo en cuenta el objeto de la consulta, en el numeral 2.2. de este concepto se </w:t>
      </w:r>
      <w:r w:rsidR="00B86CF7">
        <w:rPr>
          <w:rFonts w:ascii="Geomanist Light" w:hAnsi="Geomanist Light"/>
          <w:sz w:val="22"/>
          <w:szCs w:val="22"/>
          <w:lang w:val="es-CO"/>
        </w:rPr>
        <w:t>explicará</w:t>
      </w:r>
      <w:r w:rsidR="002B429C">
        <w:rPr>
          <w:rFonts w:ascii="Geomanist Light" w:hAnsi="Geomanist Light"/>
          <w:sz w:val="22"/>
          <w:szCs w:val="22"/>
          <w:lang w:val="es-CO"/>
        </w:rPr>
        <w:t xml:space="preserve"> con mayor amplitud las particularidades de este factor. </w:t>
      </w:r>
    </w:p>
    <w:p w14:paraId="4662A415" w14:textId="2F476528" w:rsidR="00B86CF7" w:rsidRDefault="00E202DB" w:rsidP="00257EDB">
      <w:pPr>
        <w:pStyle w:val="Textoindependiente"/>
        <w:numPr>
          <w:ilvl w:val="0"/>
          <w:numId w:val="2"/>
        </w:numPr>
        <w:tabs>
          <w:tab w:val="left" w:pos="993"/>
        </w:tabs>
        <w:spacing w:before="120" w:after="120" w:line="276" w:lineRule="auto"/>
        <w:ind w:left="0" w:firstLine="709"/>
        <w:jc w:val="both"/>
        <w:rPr>
          <w:rFonts w:ascii="Geomanist Light" w:hAnsi="Geomanist Light"/>
          <w:i/>
          <w:iCs/>
          <w:sz w:val="22"/>
          <w:szCs w:val="22"/>
          <w:lang w:val="es-CO"/>
        </w:rPr>
      </w:pPr>
      <w:r w:rsidRPr="00E202DB">
        <w:rPr>
          <w:rFonts w:ascii="Geomanist Light" w:hAnsi="Geomanist Light"/>
          <w:i/>
          <w:iCs/>
          <w:sz w:val="22"/>
          <w:szCs w:val="22"/>
          <w:lang w:val="es-CO"/>
        </w:rPr>
        <w:t>Capacidad de organización (CO)</w:t>
      </w:r>
      <w:r w:rsidRPr="00E202DB">
        <w:rPr>
          <w:rFonts w:ascii="Geomanist Light" w:hAnsi="Geomanist Light"/>
          <w:sz w:val="22"/>
          <w:szCs w:val="22"/>
          <w:lang w:val="es-CO"/>
        </w:rPr>
        <w:t>. Corresponde a los ingresos operacionales, según el siguiente cuadro:</w:t>
      </w:r>
    </w:p>
    <w:tbl>
      <w:tblPr>
        <w:tblStyle w:val="Tablaconcuadrcula"/>
        <w:tblW w:w="7020" w:type="dxa"/>
        <w:tblInd w:w="709" w:type="dxa"/>
        <w:tblLook w:val="04A0" w:firstRow="1" w:lastRow="0" w:firstColumn="1" w:lastColumn="0" w:noHBand="0" w:noVBand="1"/>
      </w:tblPr>
      <w:tblGrid>
        <w:gridCol w:w="3863"/>
        <w:gridCol w:w="3157"/>
      </w:tblGrid>
      <w:tr w:rsidR="00E202DB" w:rsidRPr="003B2A1E" w14:paraId="2678EE71" w14:textId="77777777" w:rsidTr="00257EDB">
        <w:trPr>
          <w:trHeight w:val="218"/>
        </w:trPr>
        <w:tc>
          <w:tcPr>
            <w:tcW w:w="3863" w:type="dxa"/>
            <w:shd w:val="clear" w:color="auto" w:fill="D9D9D9" w:themeFill="background1" w:themeFillShade="D9"/>
            <w:vAlign w:val="center"/>
          </w:tcPr>
          <w:p w14:paraId="1AA5AAEA" w14:textId="77777777" w:rsidR="00E202DB" w:rsidRPr="0051356A" w:rsidRDefault="00E202DB" w:rsidP="00257EDB">
            <w:pPr>
              <w:pStyle w:val="Textoindependiente"/>
              <w:tabs>
                <w:tab w:val="left" w:pos="993"/>
              </w:tabs>
              <w:spacing w:before="120" w:after="120" w:line="276" w:lineRule="auto"/>
              <w:ind w:right="51"/>
              <w:jc w:val="center"/>
              <w:rPr>
                <w:b/>
                <w:bCs/>
                <w:lang w:val="es-CO"/>
              </w:rPr>
            </w:pPr>
            <w:r w:rsidRPr="0051356A">
              <w:rPr>
                <w:b/>
                <w:bCs/>
                <w:lang w:val="es-CO"/>
              </w:rPr>
              <w:t>Años de información financiera</w:t>
            </w:r>
          </w:p>
        </w:tc>
        <w:tc>
          <w:tcPr>
            <w:tcW w:w="3157" w:type="dxa"/>
            <w:shd w:val="clear" w:color="auto" w:fill="D9D9D9" w:themeFill="background1" w:themeFillShade="D9"/>
            <w:vAlign w:val="center"/>
          </w:tcPr>
          <w:p w14:paraId="609A9CA9" w14:textId="77777777" w:rsidR="00E202DB" w:rsidRPr="0051356A" w:rsidRDefault="00E202DB" w:rsidP="00257EDB">
            <w:pPr>
              <w:pStyle w:val="Textoindependiente"/>
              <w:tabs>
                <w:tab w:val="left" w:pos="993"/>
              </w:tabs>
              <w:spacing w:before="120" w:after="120" w:line="276" w:lineRule="auto"/>
              <w:ind w:right="51"/>
              <w:jc w:val="center"/>
              <w:rPr>
                <w:b/>
                <w:bCs/>
                <w:lang w:val="es-CO"/>
              </w:rPr>
            </w:pPr>
            <w:r w:rsidRPr="0051356A">
              <w:rPr>
                <w:b/>
                <w:bCs/>
                <w:lang w:val="es-CO"/>
              </w:rPr>
              <w:t>Capacidad de organización</w:t>
            </w:r>
          </w:p>
        </w:tc>
      </w:tr>
      <w:tr w:rsidR="00E202DB" w:rsidRPr="003B2A1E" w14:paraId="02110329" w14:textId="77777777" w:rsidTr="00257EDB">
        <w:trPr>
          <w:trHeight w:val="380"/>
        </w:trPr>
        <w:tc>
          <w:tcPr>
            <w:tcW w:w="3863" w:type="dxa"/>
            <w:vAlign w:val="center"/>
          </w:tcPr>
          <w:p w14:paraId="08601FE0" w14:textId="77777777" w:rsidR="00E202DB" w:rsidRPr="0051356A" w:rsidRDefault="00E202DB" w:rsidP="00257EDB">
            <w:pPr>
              <w:pStyle w:val="Textoindependiente"/>
              <w:tabs>
                <w:tab w:val="left" w:pos="993"/>
              </w:tabs>
              <w:spacing w:before="120" w:after="120" w:line="276" w:lineRule="auto"/>
              <w:ind w:right="51"/>
              <w:jc w:val="both"/>
              <w:rPr>
                <w:lang w:val="es-CO"/>
              </w:rPr>
            </w:pPr>
            <w:r w:rsidRPr="0051356A">
              <w:rPr>
                <w:lang w:val="es-CO"/>
              </w:rPr>
              <w:t>Cinco (5) años o más</w:t>
            </w:r>
          </w:p>
        </w:tc>
        <w:tc>
          <w:tcPr>
            <w:tcW w:w="3157" w:type="dxa"/>
            <w:vAlign w:val="center"/>
          </w:tcPr>
          <w:p w14:paraId="6AB3780A" w14:textId="77777777" w:rsidR="00E202DB" w:rsidRPr="0051356A" w:rsidRDefault="00E202DB" w:rsidP="00257EDB">
            <w:pPr>
              <w:pStyle w:val="Textoindependiente"/>
              <w:tabs>
                <w:tab w:val="left" w:pos="993"/>
              </w:tabs>
              <w:spacing w:before="120" w:after="120" w:line="276" w:lineRule="auto"/>
              <w:ind w:right="51"/>
              <w:jc w:val="both"/>
              <w:rPr>
                <w:lang w:val="es-CO"/>
              </w:rPr>
            </w:pPr>
            <w:r w:rsidRPr="0051356A">
              <w:rPr>
                <w:lang w:val="es-CO"/>
              </w:rPr>
              <w:t>Mayor ingreso operacional de los últimos cinco años</w:t>
            </w:r>
          </w:p>
        </w:tc>
      </w:tr>
      <w:tr w:rsidR="00E202DB" w:rsidRPr="003B2A1E" w14:paraId="5A3D81D1" w14:textId="77777777" w:rsidTr="00257EDB">
        <w:trPr>
          <w:trHeight w:val="372"/>
        </w:trPr>
        <w:tc>
          <w:tcPr>
            <w:tcW w:w="3863" w:type="dxa"/>
            <w:vAlign w:val="center"/>
          </w:tcPr>
          <w:p w14:paraId="61B2E21B" w14:textId="77777777" w:rsidR="00E202DB" w:rsidRPr="0051356A" w:rsidRDefault="00E202DB" w:rsidP="00257EDB">
            <w:pPr>
              <w:pStyle w:val="Textoindependiente"/>
              <w:tabs>
                <w:tab w:val="left" w:pos="993"/>
              </w:tabs>
              <w:spacing w:before="120" w:after="120" w:line="276" w:lineRule="auto"/>
              <w:ind w:right="51"/>
              <w:jc w:val="both"/>
              <w:rPr>
                <w:lang w:val="es-CO"/>
              </w:rPr>
            </w:pPr>
            <w:r w:rsidRPr="0051356A">
              <w:rPr>
                <w:lang w:val="es-CO"/>
              </w:rPr>
              <w:t>Entre uno (1) y cinco (5) años</w:t>
            </w:r>
          </w:p>
        </w:tc>
        <w:tc>
          <w:tcPr>
            <w:tcW w:w="3157" w:type="dxa"/>
            <w:vAlign w:val="center"/>
          </w:tcPr>
          <w:p w14:paraId="26991814" w14:textId="77777777" w:rsidR="00E202DB" w:rsidRPr="0051356A" w:rsidRDefault="00E202DB" w:rsidP="00257EDB">
            <w:pPr>
              <w:pStyle w:val="Textoindependiente"/>
              <w:tabs>
                <w:tab w:val="left" w:pos="993"/>
              </w:tabs>
              <w:spacing w:before="120" w:after="120" w:line="276" w:lineRule="auto"/>
              <w:ind w:right="51"/>
              <w:jc w:val="both"/>
              <w:rPr>
                <w:lang w:val="es-CO"/>
              </w:rPr>
            </w:pPr>
            <w:r w:rsidRPr="0051356A">
              <w:rPr>
                <w:lang w:val="es-CO"/>
              </w:rPr>
              <w:t>Mayor ingreso operacional de los años de vida del oferente</w:t>
            </w:r>
          </w:p>
        </w:tc>
      </w:tr>
      <w:tr w:rsidR="00E202DB" w:rsidRPr="003B2A1E" w14:paraId="6F2F3FC3" w14:textId="77777777" w:rsidTr="00257EDB">
        <w:trPr>
          <w:trHeight w:val="218"/>
        </w:trPr>
        <w:tc>
          <w:tcPr>
            <w:tcW w:w="3863" w:type="dxa"/>
            <w:vAlign w:val="center"/>
          </w:tcPr>
          <w:p w14:paraId="04AA24DE" w14:textId="77777777" w:rsidR="00E202DB" w:rsidRPr="0051356A" w:rsidRDefault="00E202DB" w:rsidP="00257EDB">
            <w:pPr>
              <w:pStyle w:val="Textoindependiente"/>
              <w:tabs>
                <w:tab w:val="left" w:pos="993"/>
              </w:tabs>
              <w:spacing w:before="120" w:after="120" w:line="276" w:lineRule="auto"/>
              <w:ind w:right="51"/>
              <w:jc w:val="both"/>
              <w:rPr>
                <w:lang w:val="es-CO"/>
              </w:rPr>
            </w:pPr>
            <w:r w:rsidRPr="0051356A">
              <w:rPr>
                <w:lang w:val="es-CO"/>
              </w:rPr>
              <w:t>Menos de un (1) año</w:t>
            </w:r>
          </w:p>
        </w:tc>
        <w:tc>
          <w:tcPr>
            <w:tcW w:w="3157" w:type="dxa"/>
            <w:vAlign w:val="center"/>
          </w:tcPr>
          <w:p w14:paraId="0E550862" w14:textId="77777777" w:rsidR="00E202DB" w:rsidRPr="0051356A" w:rsidRDefault="00E202DB" w:rsidP="00257EDB">
            <w:pPr>
              <w:pStyle w:val="Textoindependiente"/>
              <w:tabs>
                <w:tab w:val="left" w:pos="993"/>
              </w:tabs>
              <w:spacing w:before="120" w:after="120" w:line="276" w:lineRule="auto"/>
              <w:ind w:right="51"/>
              <w:jc w:val="both"/>
              <w:rPr>
                <w:lang w:val="es-CO"/>
              </w:rPr>
            </w:pPr>
            <w:r w:rsidRPr="0051356A">
              <w:rPr>
                <w:lang w:val="es-CO"/>
              </w:rPr>
              <w:t>USD 125.000</w:t>
            </w:r>
          </w:p>
        </w:tc>
      </w:tr>
    </w:tbl>
    <w:p w14:paraId="02AE0378" w14:textId="1264594F" w:rsidR="00E202DB" w:rsidRPr="00E202DB" w:rsidRDefault="00E202DB" w:rsidP="00B86CF7">
      <w:pPr>
        <w:pStyle w:val="Textoindependiente"/>
        <w:numPr>
          <w:ilvl w:val="0"/>
          <w:numId w:val="2"/>
        </w:numPr>
        <w:tabs>
          <w:tab w:val="left" w:pos="993"/>
        </w:tabs>
        <w:spacing w:before="120" w:after="120" w:line="276" w:lineRule="auto"/>
        <w:ind w:left="0" w:firstLine="709"/>
        <w:jc w:val="both"/>
        <w:rPr>
          <w:rFonts w:ascii="Geomanist Light" w:hAnsi="Geomanist Light"/>
          <w:sz w:val="22"/>
          <w:szCs w:val="22"/>
          <w:lang w:val="es-CO"/>
        </w:rPr>
      </w:pPr>
      <w:r w:rsidRPr="00E202DB">
        <w:rPr>
          <w:rFonts w:ascii="Geomanist Light" w:hAnsi="Geomanist Light"/>
          <w:i/>
          <w:iCs/>
          <w:sz w:val="22"/>
          <w:szCs w:val="22"/>
          <w:lang w:val="es-CO"/>
        </w:rPr>
        <w:t>Saldos de los Contratos en ejecución (SCE)</w:t>
      </w:r>
      <w:r w:rsidRPr="00E202DB">
        <w:rPr>
          <w:rFonts w:ascii="Geomanist Light" w:hAnsi="Geomanist Light"/>
          <w:sz w:val="22"/>
          <w:szCs w:val="22"/>
          <w:lang w:val="es-CO"/>
        </w:rPr>
        <w:t xml:space="preserve">. Debe hacerse linealmente y calculando una «ejecución diaria equivalente al valor del contrato dividido por el plazo del contrato expresado en días». El resultado obtenido se debe multiplicar por el número de días pendientes para cumplir el plazo del contrato. Si el número de días por ejecutar un contrato es superior a </w:t>
      </w:r>
      <w:r w:rsidR="00E43D31">
        <w:rPr>
          <w:rFonts w:ascii="Geomanist Light" w:hAnsi="Geomanist Light"/>
          <w:sz w:val="22"/>
          <w:szCs w:val="22"/>
          <w:lang w:val="es-CO"/>
        </w:rPr>
        <w:t>trescientos sesenta (</w:t>
      </w:r>
      <w:r w:rsidRPr="00E202DB">
        <w:rPr>
          <w:rFonts w:ascii="Geomanist Light" w:hAnsi="Geomanist Light"/>
          <w:sz w:val="22"/>
          <w:szCs w:val="22"/>
          <w:lang w:val="es-CO"/>
        </w:rPr>
        <w:t>360</w:t>
      </w:r>
      <w:r w:rsidR="00E43D31">
        <w:rPr>
          <w:rFonts w:ascii="Geomanist Light" w:hAnsi="Geomanist Light"/>
          <w:sz w:val="22"/>
          <w:szCs w:val="22"/>
          <w:lang w:val="es-CO"/>
        </w:rPr>
        <w:t>)</w:t>
      </w:r>
      <w:r w:rsidRPr="00E202DB">
        <w:rPr>
          <w:rFonts w:ascii="Geomanist Light" w:hAnsi="Geomanist Light"/>
          <w:sz w:val="22"/>
          <w:szCs w:val="22"/>
          <w:lang w:val="es-CO"/>
        </w:rPr>
        <w:t xml:space="preserve"> días, solo se tendrá en cuenta la proporción lineal de </w:t>
      </w:r>
      <w:r w:rsidR="00E43D31">
        <w:rPr>
          <w:rFonts w:ascii="Geomanist Light" w:hAnsi="Geomanist Light"/>
          <w:sz w:val="22"/>
          <w:szCs w:val="22"/>
          <w:lang w:val="es-CO"/>
        </w:rPr>
        <w:t>doce (</w:t>
      </w:r>
      <w:r w:rsidRPr="00E202DB">
        <w:rPr>
          <w:rFonts w:ascii="Geomanist Light" w:hAnsi="Geomanist Light"/>
          <w:sz w:val="22"/>
          <w:szCs w:val="22"/>
          <w:lang w:val="es-CO"/>
        </w:rPr>
        <w:t>12</w:t>
      </w:r>
      <w:r w:rsidR="00E43D31">
        <w:rPr>
          <w:rFonts w:ascii="Geomanist Light" w:hAnsi="Geomanist Light"/>
          <w:sz w:val="22"/>
          <w:szCs w:val="22"/>
          <w:lang w:val="es-CO"/>
        </w:rPr>
        <w:t>)</w:t>
      </w:r>
      <w:r w:rsidRPr="00E202DB">
        <w:rPr>
          <w:rFonts w:ascii="Geomanist Light" w:hAnsi="Geomanist Light"/>
          <w:sz w:val="22"/>
          <w:szCs w:val="22"/>
          <w:lang w:val="es-CO"/>
        </w:rPr>
        <w:t xml:space="preserve"> meses.</w:t>
      </w:r>
    </w:p>
    <w:p w14:paraId="4061A90A" w14:textId="77777777" w:rsidR="00E43D31" w:rsidRDefault="00E202DB" w:rsidP="00B86CF7">
      <w:pPr>
        <w:pStyle w:val="Textoindependiente"/>
        <w:numPr>
          <w:ilvl w:val="0"/>
          <w:numId w:val="2"/>
        </w:numPr>
        <w:tabs>
          <w:tab w:val="left" w:pos="993"/>
        </w:tabs>
        <w:spacing w:before="120" w:after="120" w:line="276" w:lineRule="auto"/>
        <w:ind w:left="0" w:firstLine="709"/>
        <w:jc w:val="both"/>
        <w:rPr>
          <w:rFonts w:ascii="Geomanist Light" w:hAnsi="Geomanist Light"/>
          <w:sz w:val="22"/>
          <w:szCs w:val="22"/>
          <w:lang w:val="es-CO"/>
        </w:rPr>
      </w:pPr>
      <w:r w:rsidRPr="00E202DB">
        <w:rPr>
          <w:rFonts w:ascii="Geomanist Light" w:hAnsi="Geomanist Light"/>
          <w:i/>
          <w:iCs/>
          <w:sz w:val="22"/>
          <w:szCs w:val="22"/>
          <w:lang w:val="es-CO"/>
        </w:rPr>
        <w:t>Experiencia</w:t>
      </w:r>
      <w:r w:rsidRPr="00E202DB">
        <w:rPr>
          <w:rFonts w:ascii="Geomanist Light" w:hAnsi="Geomanist Light"/>
          <w:sz w:val="22"/>
          <w:szCs w:val="22"/>
          <w:lang w:val="es-CO"/>
        </w:rPr>
        <w:t xml:space="preserve"> </w:t>
      </w:r>
      <w:r w:rsidRPr="00E202DB">
        <w:rPr>
          <w:rFonts w:ascii="Geomanist Light" w:hAnsi="Geomanist Light"/>
          <w:i/>
          <w:iCs/>
          <w:sz w:val="22"/>
          <w:szCs w:val="22"/>
          <w:lang w:val="es-CO"/>
        </w:rPr>
        <w:t>(E).</w:t>
      </w:r>
      <w:r w:rsidRPr="00E202DB">
        <w:rPr>
          <w:rFonts w:ascii="Geomanist Light" w:hAnsi="Geomanist Light"/>
          <w:sz w:val="22"/>
          <w:szCs w:val="22"/>
          <w:lang w:val="es-CO"/>
        </w:rPr>
        <w:t xml:space="preserve"> Para los efectos de la capacidad residual, corresponde de un lado, a la relación entre «el valor total en pesos de los contratos relacionados con la actividad de la construcción inscritos por el proponente en el Registro Único de Proponentes “RUP” en el segmento 72 […] del Clasificador de Bienes y Servicios», y del otro, al presupuesto oficial estimado del Proceso de Contratación. La relación indica el número de veces que el proponente ha ejecutado contratos equivalentes a la cuantía del proceso de contratación</w:t>
      </w:r>
      <w:r w:rsidR="00E43D31">
        <w:rPr>
          <w:rFonts w:ascii="Geomanist Light" w:hAnsi="Geomanist Light"/>
          <w:sz w:val="22"/>
          <w:szCs w:val="22"/>
          <w:lang w:val="es-CO"/>
        </w:rPr>
        <w:t xml:space="preserve">, según se explica en esta fórmula: </w:t>
      </w:r>
    </w:p>
    <w:p w14:paraId="04353251" w14:textId="32D052E3" w:rsidR="0030340E" w:rsidRPr="0030340E" w:rsidRDefault="00E43D31" w:rsidP="00257EDB">
      <w:pPr>
        <w:pStyle w:val="Textoindependiente"/>
        <w:tabs>
          <w:tab w:val="left" w:pos="993"/>
        </w:tabs>
        <w:spacing w:before="120" w:after="120" w:line="276" w:lineRule="auto"/>
        <w:ind w:left="709"/>
        <w:jc w:val="both"/>
        <w:rPr>
          <w:rFonts w:ascii="Geomanist Light" w:hAnsi="Geomanist Light"/>
          <w:sz w:val="22"/>
          <w:szCs w:val="22"/>
          <w:lang w:val="es-CO"/>
        </w:rPr>
      </w:pPr>
      <w:r>
        <w:rPr>
          <w:noProof/>
        </w:rPr>
        <w:drawing>
          <wp:inline distT="0" distB="0" distL="0" distR="0" wp14:anchorId="3712ECC4" wp14:editId="6C11F1D1">
            <wp:extent cx="4579951" cy="600051"/>
            <wp:effectExtent l="0" t="0" r="0" b="0"/>
            <wp:docPr id="1996789253" name="Imagen 6"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789253" name="Imagen 6" descr="Imagen que contiene Texto&#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4597440" cy="602342"/>
                    </a:xfrm>
                    <a:prstGeom prst="rect">
                      <a:avLst/>
                    </a:prstGeom>
                  </pic:spPr>
                </pic:pic>
              </a:graphicData>
            </a:graphic>
          </wp:inline>
        </w:drawing>
      </w:r>
      <w:r w:rsidR="00E202DB" w:rsidRPr="00E202DB">
        <w:rPr>
          <w:rFonts w:ascii="Geomanist Light" w:hAnsi="Geomanist Light"/>
          <w:sz w:val="22"/>
          <w:szCs w:val="22"/>
          <w:lang w:val="es-CO"/>
        </w:rPr>
        <w:t xml:space="preserve"> </w:t>
      </w:r>
    </w:p>
    <w:p w14:paraId="1387CF57" w14:textId="108C9BFE" w:rsidR="0030340E" w:rsidRPr="00E202DB" w:rsidRDefault="0030340E" w:rsidP="0030340E">
      <w:pPr>
        <w:pStyle w:val="Textoindependiente"/>
        <w:tabs>
          <w:tab w:val="left" w:pos="993"/>
        </w:tabs>
        <w:spacing w:before="120" w:after="120" w:line="276" w:lineRule="auto"/>
        <w:ind w:firstLine="709"/>
        <w:jc w:val="both"/>
        <w:rPr>
          <w:rFonts w:ascii="Geomanist Light" w:hAnsi="Geomanist Light"/>
          <w:sz w:val="22"/>
          <w:szCs w:val="22"/>
          <w:lang w:val="es-CO"/>
        </w:rPr>
      </w:pPr>
      <w:r w:rsidRPr="0030340E">
        <w:rPr>
          <w:rFonts w:ascii="Geomanist Light" w:hAnsi="Geomanist Light"/>
          <w:sz w:val="22"/>
          <w:szCs w:val="22"/>
          <w:lang w:val="es-CO"/>
        </w:rPr>
        <w:t xml:space="preserve">En este contexto, resulta oportuno precisar que, si bien es cierto la entidad estatal es la que debe calcular la capacidad residual de los proponentes, también lo es </w:t>
      </w:r>
      <w:r w:rsidRPr="0030340E">
        <w:rPr>
          <w:rFonts w:ascii="Geomanist Light" w:hAnsi="Geomanist Light"/>
          <w:sz w:val="22"/>
          <w:szCs w:val="22"/>
          <w:lang w:val="es-CO"/>
        </w:rPr>
        <w:lastRenderedPageBreak/>
        <w:t>que estos últimos, como se referenció, tienen la carga de aportar los documentos para acreditar su capacidad residual</w:t>
      </w:r>
      <w:r w:rsidR="00E43D31" w:rsidRPr="003D4D1F">
        <w:rPr>
          <w:sz w:val="22"/>
          <w:szCs w:val="22"/>
          <w:vertAlign w:val="superscript"/>
        </w:rPr>
        <w:footnoteReference w:id="5"/>
      </w:r>
      <w:r w:rsidRPr="0030340E">
        <w:rPr>
          <w:rFonts w:ascii="Geomanist Light" w:hAnsi="Geomanist Light"/>
          <w:sz w:val="22"/>
          <w:szCs w:val="22"/>
          <w:lang w:val="es-CO"/>
        </w:rPr>
        <w:t>.</w:t>
      </w:r>
    </w:p>
    <w:p w14:paraId="3042765B" w14:textId="66686C5A" w:rsidR="00594390" w:rsidRPr="00A32011" w:rsidRDefault="00594390" w:rsidP="00594390">
      <w:pPr>
        <w:spacing w:line="276" w:lineRule="auto"/>
        <w:jc w:val="both"/>
        <w:rPr>
          <w:rFonts w:ascii="Geomanist Light" w:eastAsia="Calibri" w:hAnsi="Geomanist Light" w:cs="Arial"/>
          <w:b/>
          <w:bCs/>
          <w:sz w:val="22"/>
          <w:szCs w:val="22"/>
          <w:lang w:eastAsia="en-US"/>
        </w:rPr>
      </w:pPr>
    </w:p>
    <w:p w14:paraId="4F119322" w14:textId="430A3642" w:rsidR="00A32011" w:rsidRPr="00A32011" w:rsidRDefault="00187E7E" w:rsidP="00594390">
      <w:pPr>
        <w:spacing w:line="276" w:lineRule="auto"/>
        <w:jc w:val="both"/>
        <w:rPr>
          <w:rFonts w:ascii="Geomanist Light" w:eastAsia="Calibri" w:hAnsi="Geomanist Light" w:cs="Arial"/>
          <w:b/>
          <w:bCs/>
          <w:sz w:val="22"/>
          <w:szCs w:val="22"/>
          <w:lang w:eastAsia="en-US"/>
        </w:rPr>
      </w:pPr>
      <w:r>
        <w:rPr>
          <w:rFonts w:ascii="Geomanist Light" w:eastAsia="Calibri" w:hAnsi="Geomanist Light" w:cs="Arial"/>
          <w:b/>
          <w:bCs/>
          <w:sz w:val="22"/>
          <w:szCs w:val="22"/>
          <w:lang w:eastAsia="en-US"/>
        </w:rPr>
        <w:t>2.</w:t>
      </w:r>
      <w:r w:rsidR="00A32011" w:rsidRPr="00A32011">
        <w:rPr>
          <w:rFonts w:ascii="Geomanist Light" w:eastAsia="Calibri" w:hAnsi="Geomanist Light" w:cs="Arial"/>
          <w:b/>
          <w:bCs/>
          <w:sz w:val="22"/>
          <w:szCs w:val="22"/>
          <w:lang w:eastAsia="en-US"/>
        </w:rPr>
        <w:t>2. C</w:t>
      </w:r>
      <w:r w:rsidR="00A32011">
        <w:rPr>
          <w:rFonts w:ascii="Geomanist Light" w:eastAsia="Calibri" w:hAnsi="Geomanist Light" w:cs="Arial"/>
          <w:b/>
          <w:bCs/>
          <w:sz w:val="22"/>
          <w:szCs w:val="22"/>
          <w:lang w:eastAsia="en-US"/>
        </w:rPr>
        <w:t>á</w:t>
      </w:r>
      <w:r w:rsidR="00A32011" w:rsidRPr="00A32011">
        <w:rPr>
          <w:rFonts w:ascii="Geomanist Light" w:eastAsia="Calibri" w:hAnsi="Geomanist Light" w:cs="Arial"/>
          <w:b/>
          <w:bCs/>
          <w:sz w:val="22"/>
          <w:szCs w:val="22"/>
          <w:lang w:eastAsia="en-US"/>
        </w:rPr>
        <w:t>lculo de la capacidad técnica (CT)</w:t>
      </w:r>
    </w:p>
    <w:p w14:paraId="573A0E91" w14:textId="15B82BEF" w:rsidR="00A32011" w:rsidRDefault="00A32011" w:rsidP="00594390">
      <w:pPr>
        <w:spacing w:line="276" w:lineRule="auto"/>
        <w:jc w:val="both"/>
        <w:rPr>
          <w:rFonts w:ascii="Geomanist Light" w:eastAsia="Calibri" w:hAnsi="Geomanist Light" w:cs="Arial"/>
          <w:sz w:val="22"/>
          <w:szCs w:val="22"/>
          <w:lang w:eastAsia="en-US"/>
        </w:rPr>
      </w:pPr>
    </w:p>
    <w:p w14:paraId="36A2D62B" w14:textId="4FE04051" w:rsidR="001F0999" w:rsidRDefault="00A32011" w:rsidP="007971CC">
      <w:pPr>
        <w:spacing w:line="276" w:lineRule="auto"/>
        <w:jc w:val="both"/>
        <w:rPr>
          <w:rFonts w:ascii="Geomanist Light" w:eastAsia="Calibri" w:hAnsi="Geomanist Light" w:cs="Arial"/>
          <w:sz w:val="22"/>
          <w:szCs w:val="22"/>
          <w:lang w:eastAsia="en-US"/>
        </w:rPr>
      </w:pPr>
      <w:r>
        <w:rPr>
          <w:rFonts w:ascii="Geomanist Light" w:eastAsia="Calibri" w:hAnsi="Geomanist Light" w:cs="Arial"/>
          <w:sz w:val="22"/>
          <w:szCs w:val="22"/>
          <w:lang w:eastAsia="en-US"/>
        </w:rPr>
        <w:t xml:space="preserve">Como se mencionó en el acápite anterior, </w:t>
      </w:r>
      <w:bookmarkStart w:id="5" w:name="_Hlk120020747"/>
      <w:r w:rsidR="001F0999">
        <w:rPr>
          <w:rFonts w:ascii="Geomanist Light" w:eastAsia="Calibri" w:hAnsi="Geomanist Light" w:cs="Arial"/>
          <w:sz w:val="22"/>
          <w:szCs w:val="22"/>
          <w:lang w:eastAsia="en-US"/>
        </w:rPr>
        <w:t xml:space="preserve">para el caso de la Capacidad Técnica (CT), sobre la cual se centra su consulta, el artículo 72 de la Ley 1682 de 2013 y el artículo </w:t>
      </w:r>
      <w:r w:rsidR="001F0999" w:rsidRPr="00257EDB">
        <w:rPr>
          <w:rFonts w:ascii="Geomanist Light" w:eastAsia="Calibri" w:hAnsi="Geomanist Light" w:cs="Arial"/>
          <w:sz w:val="22"/>
          <w:szCs w:val="22"/>
          <w:lang w:eastAsia="en-US"/>
        </w:rPr>
        <w:t>2.2.1.1.1.6.4</w:t>
      </w:r>
      <w:r w:rsidR="001F0999">
        <w:rPr>
          <w:rFonts w:ascii="Geomanist Light" w:eastAsia="Calibri" w:hAnsi="Geomanist Light" w:cs="Arial"/>
          <w:sz w:val="22"/>
          <w:szCs w:val="22"/>
          <w:lang w:eastAsia="en-US"/>
        </w:rPr>
        <w:t xml:space="preserve"> del Decreto 1082 de 2015, la incluyen como uno de los factores que se deben tener en cuenta para calcular la capacidad residual de los proponentes, sin embargo, no definieron criterios o la forma de valoración de este factor, por lo cual la Agencia Nacional de Contratación Pública – Colombia Compra Eficiente, en el marco de la competencia establecida por el Decreto 1082 de 2015, al fijar la metodología para el cálculo de la capacidad residual, estableció la f</w:t>
      </w:r>
      <w:r w:rsidR="007971CC">
        <w:rPr>
          <w:rFonts w:ascii="Geomanist Light" w:eastAsia="Calibri" w:hAnsi="Geomanist Light" w:cs="Arial"/>
          <w:sz w:val="22"/>
          <w:szCs w:val="22"/>
          <w:lang w:eastAsia="en-US"/>
        </w:rPr>
        <w:t>o</w:t>
      </w:r>
      <w:r w:rsidR="001F0999">
        <w:rPr>
          <w:rFonts w:ascii="Geomanist Light" w:eastAsia="Calibri" w:hAnsi="Geomanist Light" w:cs="Arial"/>
          <w:sz w:val="22"/>
          <w:szCs w:val="22"/>
          <w:lang w:eastAsia="en-US"/>
        </w:rPr>
        <w:t xml:space="preserve">rma de calcular la Capacidad Técnica (CT) en la </w:t>
      </w:r>
      <w:r w:rsidR="001F0999" w:rsidRPr="00E202DB">
        <w:rPr>
          <w:rFonts w:ascii="Geomanist Light" w:hAnsi="Geomanist Light"/>
          <w:sz w:val="22"/>
          <w:szCs w:val="22"/>
        </w:rPr>
        <w:t>«Guía para Determinar y Verificar la Capacidad Residual del Proponente en los Procesos de Contratación de Obra Pública»</w:t>
      </w:r>
      <w:r w:rsidR="001F0999">
        <w:rPr>
          <w:rFonts w:ascii="Geomanist Light" w:hAnsi="Geomanist Light"/>
          <w:sz w:val="22"/>
          <w:szCs w:val="22"/>
        </w:rPr>
        <w:t xml:space="preserve"> de la siguiente manera: </w:t>
      </w:r>
    </w:p>
    <w:p w14:paraId="1C00FCB4" w14:textId="5A46A3D5" w:rsidR="001F0999" w:rsidRDefault="001F0999" w:rsidP="00257EDB">
      <w:pPr>
        <w:spacing w:line="276" w:lineRule="auto"/>
        <w:contextualSpacing/>
        <w:jc w:val="both"/>
        <w:rPr>
          <w:rFonts w:ascii="Geomanist Light" w:eastAsia="Calibri" w:hAnsi="Geomanist Light" w:cs="Arial"/>
          <w:sz w:val="22"/>
          <w:szCs w:val="22"/>
          <w:lang w:eastAsia="en-US"/>
        </w:rPr>
      </w:pPr>
    </w:p>
    <w:p w14:paraId="19E1A632" w14:textId="77777777" w:rsidR="001F0999" w:rsidRPr="00257EDB" w:rsidRDefault="001F0999" w:rsidP="00257EDB">
      <w:pPr>
        <w:ind w:left="808"/>
        <w:contextualSpacing/>
        <w:rPr>
          <w:rFonts w:ascii="Geomanist Light" w:hAnsi="Geomanist Light"/>
          <w:b/>
          <w:bCs/>
          <w:sz w:val="21"/>
          <w:szCs w:val="21"/>
        </w:rPr>
      </w:pPr>
      <w:r w:rsidRPr="00257EDB">
        <w:rPr>
          <w:rFonts w:ascii="Geomanist Light" w:hAnsi="Geomanist Light"/>
          <w:b/>
          <w:bCs/>
          <w:sz w:val="22"/>
          <w:szCs w:val="22"/>
        </w:rPr>
        <w:t>D</w:t>
      </w:r>
      <w:r w:rsidRPr="00257EDB">
        <w:rPr>
          <w:rFonts w:ascii="Geomanist Light" w:hAnsi="Geomanist Light"/>
          <w:b/>
          <w:bCs/>
          <w:sz w:val="21"/>
          <w:szCs w:val="21"/>
        </w:rPr>
        <w:t>. ¿Cómo calcular la Capacidad Técnica (CT)?</w:t>
      </w:r>
    </w:p>
    <w:p w14:paraId="00B183D7" w14:textId="77777777" w:rsidR="001F0999" w:rsidRPr="00257EDB" w:rsidRDefault="001F0999" w:rsidP="00257EDB">
      <w:pPr>
        <w:pStyle w:val="Textoindependiente"/>
        <w:contextualSpacing/>
        <w:rPr>
          <w:rFonts w:ascii="Geomanist Light" w:eastAsia="Times New Roman" w:hAnsi="Geomanist Light" w:cs="Times New Roman"/>
          <w:sz w:val="21"/>
          <w:szCs w:val="21"/>
          <w:lang w:val="es-CO" w:eastAsia="en-GB"/>
        </w:rPr>
      </w:pPr>
    </w:p>
    <w:p w14:paraId="351B8102" w14:textId="77777777" w:rsidR="001F0999" w:rsidRPr="00257EDB" w:rsidRDefault="001F0999" w:rsidP="00257EDB">
      <w:pPr>
        <w:ind w:left="808" w:right="820"/>
        <w:contextualSpacing/>
        <w:jc w:val="both"/>
        <w:rPr>
          <w:rFonts w:ascii="Geomanist Light" w:hAnsi="Geomanist Light"/>
          <w:sz w:val="21"/>
          <w:szCs w:val="21"/>
        </w:rPr>
      </w:pPr>
      <w:r w:rsidRPr="00257EDB">
        <w:rPr>
          <w:rFonts w:ascii="Geomanist Light" w:hAnsi="Geomanist Light"/>
          <w:sz w:val="21"/>
          <w:szCs w:val="21"/>
        </w:rPr>
        <w:t>La capacidad técnica (CT) se asigna teniendo en cuenta el número de socios y profesionales de la arquitectura, ingeniería y geología vinculados mediante una relación laboral o contractual conforme a la cual desarrollen actividades relacionadas directamente a la construcción.</w:t>
      </w:r>
    </w:p>
    <w:p w14:paraId="7B310284" w14:textId="77777777" w:rsidR="001F0999" w:rsidRPr="00257EDB" w:rsidRDefault="001F0999" w:rsidP="00257EDB">
      <w:pPr>
        <w:pStyle w:val="Textoindependiente"/>
        <w:contextualSpacing/>
        <w:rPr>
          <w:rFonts w:ascii="Geomanist Light" w:eastAsia="Times New Roman" w:hAnsi="Geomanist Light" w:cs="Times New Roman"/>
          <w:sz w:val="21"/>
          <w:szCs w:val="21"/>
          <w:lang w:val="es-CO" w:eastAsia="en-GB"/>
        </w:rPr>
      </w:pPr>
    </w:p>
    <w:p w14:paraId="223A70A9" w14:textId="6BAD5971" w:rsidR="001F0999" w:rsidRPr="00257EDB" w:rsidRDefault="001F0999" w:rsidP="00257EDB">
      <w:pPr>
        <w:ind w:left="808" w:right="823"/>
        <w:contextualSpacing/>
        <w:jc w:val="both"/>
        <w:rPr>
          <w:rFonts w:ascii="Geomanist Light" w:hAnsi="Geomanist Light"/>
          <w:sz w:val="21"/>
          <w:szCs w:val="21"/>
        </w:rPr>
      </w:pPr>
      <w:r w:rsidRPr="00257EDB">
        <w:rPr>
          <w:rFonts w:ascii="Geomanist Light" w:hAnsi="Geomanist Light"/>
          <w:sz w:val="21"/>
          <w:szCs w:val="21"/>
        </w:rPr>
        <w:t>Para acreditar la capacidad técnica (CT) el proponente debe diligenciar el Formato correspondiente al Anexo 2 […].</w:t>
      </w:r>
    </w:p>
    <w:p w14:paraId="3700D870" w14:textId="77777777" w:rsidR="001F0999" w:rsidRPr="00257EDB" w:rsidRDefault="001F0999" w:rsidP="00257EDB">
      <w:pPr>
        <w:pStyle w:val="Textoindependiente"/>
        <w:spacing w:after="120" w:line="276" w:lineRule="auto"/>
        <w:rPr>
          <w:rFonts w:ascii="Geomanist Light" w:eastAsia="Times New Roman" w:hAnsi="Geomanist Light" w:cs="Times New Roman"/>
          <w:sz w:val="22"/>
          <w:szCs w:val="22"/>
          <w:lang w:val="es-CO" w:eastAsia="en-GB"/>
        </w:rPr>
      </w:pPr>
    </w:p>
    <w:p w14:paraId="5E902473" w14:textId="7420271F" w:rsidR="00B43872" w:rsidRDefault="001F0999" w:rsidP="00257EDB">
      <w:pPr>
        <w:spacing w:after="120" w:line="276" w:lineRule="auto"/>
        <w:ind w:firstLine="709"/>
        <w:jc w:val="both"/>
        <w:rPr>
          <w:rFonts w:ascii="Geomanist Light" w:hAnsi="Geomanist Light"/>
          <w:sz w:val="22"/>
          <w:szCs w:val="22"/>
          <w:lang w:val="es-ES"/>
        </w:rPr>
      </w:pPr>
      <w:r>
        <w:rPr>
          <w:rFonts w:ascii="Geomanist Light" w:eastAsia="Calibri" w:hAnsi="Geomanist Light" w:cs="Arial"/>
          <w:sz w:val="22"/>
          <w:szCs w:val="22"/>
          <w:lang w:eastAsia="en-US"/>
        </w:rPr>
        <w:lastRenderedPageBreak/>
        <w:t xml:space="preserve">Se observa que, </w:t>
      </w:r>
      <w:r w:rsidR="00A32011">
        <w:rPr>
          <w:rFonts w:ascii="Geomanist Light" w:eastAsia="Calibri" w:hAnsi="Geomanist Light" w:cs="Arial"/>
          <w:sz w:val="22"/>
          <w:szCs w:val="22"/>
          <w:lang w:eastAsia="en-US"/>
        </w:rPr>
        <w:t xml:space="preserve">la </w:t>
      </w:r>
      <w:r w:rsidR="00A32011" w:rsidRPr="00E202DB">
        <w:rPr>
          <w:rFonts w:ascii="Geomanist Light" w:hAnsi="Geomanist Light"/>
          <w:sz w:val="22"/>
          <w:szCs w:val="22"/>
        </w:rPr>
        <w:t>«Guía para Determinar y Verificar la Capacidad Residual del Proponente en los Procesos de Contratación de Obra Pública»</w:t>
      </w:r>
      <w:r w:rsidR="00A32011">
        <w:rPr>
          <w:rFonts w:ascii="Geomanist Light" w:hAnsi="Geomanist Light"/>
          <w:sz w:val="22"/>
          <w:szCs w:val="22"/>
        </w:rPr>
        <w:t xml:space="preserve">, indica que, </w:t>
      </w:r>
      <w:r w:rsidR="00B43872">
        <w:rPr>
          <w:rFonts w:ascii="Geomanist Light" w:hAnsi="Geomanist Light"/>
          <w:sz w:val="22"/>
          <w:szCs w:val="22"/>
          <w:lang w:val="es-ES"/>
        </w:rPr>
        <w:t>l</w:t>
      </w:r>
      <w:r w:rsidR="00B43872" w:rsidRPr="00B43872">
        <w:rPr>
          <w:rFonts w:ascii="Geomanist Light" w:hAnsi="Geomanist Light"/>
          <w:sz w:val="22"/>
          <w:szCs w:val="22"/>
          <w:lang w:val="es-ES"/>
        </w:rPr>
        <w:t>a capacidad técnica (CT) se asigna teniendo en cuenta el número de socios y profesionales de la arquitectura, ingeniería y geología vinculados mediante una</w:t>
      </w:r>
      <w:r w:rsidR="00B43872">
        <w:rPr>
          <w:rFonts w:ascii="Geomanist Light" w:hAnsi="Geomanist Light"/>
          <w:b/>
          <w:sz w:val="22"/>
          <w:szCs w:val="22"/>
          <w:lang w:val="es-ES"/>
        </w:rPr>
        <w:t xml:space="preserve"> </w:t>
      </w:r>
      <w:r w:rsidR="00B43872" w:rsidRPr="00B43872">
        <w:rPr>
          <w:rFonts w:ascii="Geomanist Light" w:hAnsi="Geomanist Light"/>
          <w:sz w:val="22"/>
          <w:szCs w:val="22"/>
          <w:lang w:val="es-ES"/>
        </w:rPr>
        <w:t>relación laboral o contractual conforme a la cual desarrollen actividades relacionadas directamente a la construcción</w:t>
      </w:r>
      <w:r w:rsidR="00B43872">
        <w:rPr>
          <w:rFonts w:ascii="Geomanist Light" w:hAnsi="Geomanist Light"/>
          <w:sz w:val="22"/>
          <w:szCs w:val="22"/>
          <w:lang w:val="es-ES"/>
        </w:rPr>
        <w:t>.</w:t>
      </w:r>
    </w:p>
    <w:p w14:paraId="17FA5292" w14:textId="3BB66673" w:rsidR="00193CAD" w:rsidRDefault="00B43872" w:rsidP="00257EDB">
      <w:pPr>
        <w:spacing w:after="120" w:line="276" w:lineRule="auto"/>
        <w:ind w:firstLine="709"/>
        <w:jc w:val="both"/>
        <w:rPr>
          <w:rFonts w:ascii="Geomanist Light" w:hAnsi="Geomanist Light"/>
          <w:sz w:val="22"/>
          <w:szCs w:val="22"/>
          <w:lang w:val="es-ES"/>
        </w:rPr>
      </w:pPr>
      <w:r>
        <w:rPr>
          <w:rFonts w:ascii="Geomanist Light" w:hAnsi="Geomanist Light"/>
          <w:sz w:val="22"/>
          <w:szCs w:val="22"/>
          <w:lang w:val="es-ES"/>
        </w:rPr>
        <w:t xml:space="preserve">Asimismo, establece que para </w:t>
      </w:r>
      <w:r w:rsidRPr="00B43872">
        <w:rPr>
          <w:rFonts w:ascii="Geomanist Light" w:hAnsi="Geomanist Light"/>
          <w:sz w:val="22"/>
          <w:szCs w:val="22"/>
          <w:lang w:val="es-ES"/>
        </w:rPr>
        <w:t>acreditar</w:t>
      </w:r>
      <w:r>
        <w:rPr>
          <w:rFonts w:ascii="Geomanist Light" w:hAnsi="Geomanist Light"/>
          <w:sz w:val="22"/>
          <w:szCs w:val="22"/>
          <w:lang w:val="es-ES"/>
        </w:rPr>
        <w:t xml:space="preserve"> l</w:t>
      </w:r>
      <w:r w:rsidRPr="00B43872">
        <w:rPr>
          <w:rFonts w:ascii="Geomanist Light" w:hAnsi="Geomanist Light"/>
          <w:sz w:val="22"/>
          <w:szCs w:val="22"/>
          <w:lang w:val="es-ES"/>
        </w:rPr>
        <w:t xml:space="preserve">a capacidad técnica (CT) </w:t>
      </w:r>
      <w:r>
        <w:rPr>
          <w:rFonts w:ascii="Geomanist Light" w:hAnsi="Geomanist Light"/>
          <w:sz w:val="22"/>
          <w:szCs w:val="22"/>
          <w:lang w:val="es-ES"/>
        </w:rPr>
        <w:t xml:space="preserve">es </w:t>
      </w:r>
      <w:r w:rsidRPr="00B43872">
        <w:rPr>
          <w:rFonts w:ascii="Geomanist Light" w:hAnsi="Geomanist Light"/>
          <w:sz w:val="22"/>
          <w:szCs w:val="22"/>
          <w:lang w:val="es-ES"/>
        </w:rPr>
        <w:t>el proponente</w:t>
      </w:r>
      <w:r>
        <w:rPr>
          <w:rFonts w:ascii="Geomanist Light" w:hAnsi="Geomanist Light"/>
          <w:sz w:val="22"/>
          <w:szCs w:val="22"/>
          <w:lang w:val="es-ES"/>
        </w:rPr>
        <w:t xml:space="preserve"> quien</w:t>
      </w:r>
      <w:r w:rsidRPr="00B43872">
        <w:rPr>
          <w:rFonts w:ascii="Geomanist Light" w:hAnsi="Geomanist Light"/>
          <w:sz w:val="22"/>
          <w:szCs w:val="22"/>
          <w:lang w:val="es-ES"/>
        </w:rPr>
        <w:t xml:space="preserve"> debe diligenciar el </w:t>
      </w:r>
      <w:r w:rsidR="003D0B8A" w:rsidRPr="00B43872">
        <w:rPr>
          <w:rFonts w:ascii="Geomanist Light" w:hAnsi="Geomanist Light"/>
          <w:sz w:val="22"/>
          <w:szCs w:val="22"/>
          <w:lang w:val="es-ES"/>
        </w:rPr>
        <w:t xml:space="preserve">formato </w:t>
      </w:r>
      <w:r w:rsidRPr="00B43872">
        <w:rPr>
          <w:rFonts w:ascii="Geomanist Light" w:hAnsi="Geomanist Light"/>
          <w:sz w:val="22"/>
          <w:szCs w:val="22"/>
          <w:lang w:val="es-ES"/>
        </w:rPr>
        <w:t xml:space="preserve">correspondiente </w:t>
      </w:r>
      <w:r w:rsidR="00193CAD">
        <w:rPr>
          <w:rFonts w:ascii="Geomanist Light" w:hAnsi="Geomanist Light"/>
          <w:sz w:val="22"/>
          <w:szCs w:val="22"/>
          <w:lang w:val="es-ES"/>
        </w:rPr>
        <w:t xml:space="preserve">al </w:t>
      </w:r>
      <w:r w:rsidR="001F0999" w:rsidRPr="00E202DB">
        <w:rPr>
          <w:rFonts w:ascii="Geomanist Light" w:hAnsi="Geomanist Light"/>
          <w:sz w:val="22"/>
          <w:szCs w:val="22"/>
        </w:rPr>
        <w:t>«</w:t>
      </w:r>
      <w:r w:rsidR="00193CAD" w:rsidRPr="00B43872">
        <w:rPr>
          <w:rFonts w:ascii="Geomanist Light" w:hAnsi="Geomanist Light"/>
          <w:sz w:val="22"/>
          <w:szCs w:val="22"/>
          <w:lang w:val="es-ES"/>
        </w:rPr>
        <w:t>Anexo 2 – Certificación de la Capacidad Técnica</w:t>
      </w:r>
      <w:r w:rsidR="001F0999" w:rsidRPr="00E202DB">
        <w:rPr>
          <w:rFonts w:ascii="Geomanist Light" w:hAnsi="Geomanist Light"/>
          <w:sz w:val="22"/>
          <w:szCs w:val="22"/>
        </w:rPr>
        <w:t>»</w:t>
      </w:r>
      <w:bookmarkEnd w:id="5"/>
      <w:r w:rsidR="00193CAD">
        <w:rPr>
          <w:rFonts w:ascii="Geomanist Light" w:hAnsi="Geomanist Light"/>
          <w:sz w:val="22"/>
          <w:szCs w:val="22"/>
          <w:lang w:val="es-ES"/>
        </w:rPr>
        <w:t xml:space="preserve">. </w:t>
      </w:r>
      <w:r w:rsidR="00193CAD" w:rsidRPr="00B43872">
        <w:rPr>
          <w:rFonts w:ascii="Geomanist Light" w:hAnsi="Geomanist Light"/>
          <w:sz w:val="22"/>
          <w:szCs w:val="22"/>
          <w:lang w:val="es-ES"/>
        </w:rPr>
        <w:t>E</w:t>
      </w:r>
      <w:r w:rsidR="00CE4FF5">
        <w:rPr>
          <w:rFonts w:ascii="Geomanist Light" w:hAnsi="Geomanist Light"/>
          <w:sz w:val="22"/>
          <w:szCs w:val="22"/>
          <w:lang w:val="es-ES"/>
        </w:rPr>
        <w:t>ste</w:t>
      </w:r>
      <w:r w:rsidR="00193CAD" w:rsidRPr="00B43872">
        <w:rPr>
          <w:rFonts w:ascii="Geomanist Light" w:hAnsi="Geomanist Light"/>
          <w:sz w:val="22"/>
          <w:szCs w:val="22"/>
          <w:lang w:val="es-ES"/>
        </w:rPr>
        <w:t xml:space="preserve"> formato señala que</w:t>
      </w:r>
      <w:r w:rsidR="00193CAD">
        <w:rPr>
          <w:rFonts w:ascii="Geomanist Light" w:hAnsi="Geomanist Light"/>
          <w:sz w:val="22"/>
          <w:szCs w:val="22"/>
          <w:lang w:val="es-ES"/>
        </w:rPr>
        <w:t xml:space="preserve">, </w:t>
      </w:r>
      <w:r w:rsidR="00193CAD" w:rsidRPr="00B43872">
        <w:rPr>
          <w:rFonts w:ascii="Geomanist Light" w:hAnsi="Geomanist Light"/>
          <w:sz w:val="22"/>
          <w:szCs w:val="22"/>
          <w:lang w:val="es-ES"/>
        </w:rPr>
        <w:t>el representante legal del proponente y el auditor o revisor fiscal deben diligenciar el “Nombre del socio y/o profesional de la arquitectura, ingeniería o geología”, la “Profesión”, el “No. de matrícula profesional”, el “Número y año del Contrato laboral o de prestación de servicios profesionales” y la “Vigencia del Contrato”, aclarando que para el caso de los proponentes plurales este anexo deberá ser diligenciado de forma independiente por cada integrante.</w:t>
      </w:r>
      <w:r w:rsidR="001F0999">
        <w:rPr>
          <w:rFonts w:ascii="Geomanist Light" w:hAnsi="Geomanist Light"/>
          <w:sz w:val="22"/>
          <w:szCs w:val="22"/>
          <w:lang w:val="es-ES"/>
        </w:rPr>
        <w:t xml:space="preserve"> </w:t>
      </w:r>
    </w:p>
    <w:p w14:paraId="3BF89AC7" w14:textId="78D0F74C" w:rsidR="00B43872" w:rsidRPr="00B43872" w:rsidRDefault="00510C2A" w:rsidP="00257EDB">
      <w:pPr>
        <w:spacing w:after="120" w:line="276" w:lineRule="auto"/>
        <w:ind w:firstLine="709"/>
        <w:jc w:val="both"/>
        <w:rPr>
          <w:rFonts w:ascii="Geomanist Light" w:hAnsi="Geomanist Light"/>
          <w:sz w:val="22"/>
          <w:szCs w:val="22"/>
          <w:lang w:val="es-ES"/>
        </w:rPr>
      </w:pPr>
      <w:r w:rsidRPr="00B43872">
        <w:rPr>
          <w:rFonts w:ascii="Geomanist Light" w:hAnsi="Geomanist Light"/>
          <w:noProof/>
          <w:sz w:val="22"/>
          <w:szCs w:val="22"/>
          <w:lang w:val="en-US"/>
        </w:rPr>
        <w:drawing>
          <wp:anchor distT="0" distB="0" distL="0" distR="0" simplePos="0" relativeHeight="251657728" behindDoc="0" locked="0" layoutInCell="1" allowOverlap="1" wp14:anchorId="085FA157" wp14:editId="7A4A49AC">
            <wp:simplePos x="0" y="0"/>
            <wp:positionH relativeFrom="margin">
              <wp:align>center</wp:align>
            </wp:positionH>
            <wp:positionV relativeFrom="paragraph">
              <wp:posOffset>430602</wp:posOffset>
            </wp:positionV>
            <wp:extent cx="3364230" cy="663575"/>
            <wp:effectExtent l="0" t="0" r="7620" b="3175"/>
            <wp:wrapTopAndBottom/>
            <wp:docPr id="2" name="image3.png" descr="Interfaz de usuario gráfica,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descr="Interfaz de usuario gráfica, Tabla&#10;&#10;Descripción generada automáticamente"/>
                    <pic:cNvPicPr/>
                  </pic:nvPicPr>
                  <pic:blipFill>
                    <a:blip r:embed="rId14" cstate="print"/>
                    <a:stretch>
                      <a:fillRect/>
                    </a:stretch>
                  </pic:blipFill>
                  <pic:spPr>
                    <a:xfrm>
                      <a:off x="0" y="0"/>
                      <a:ext cx="3364230" cy="663575"/>
                    </a:xfrm>
                    <a:prstGeom prst="rect">
                      <a:avLst/>
                    </a:prstGeom>
                  </pic:spPr>
                </pic:pic>
              </a:graphicData>
            </a:graphic>
            <wp14:sizeRelH relativeFrom="margin">
              <wp14:pctWidth>0</wp14:pctWidth>
            </wp14:sizeRelH>
            <wp14:sizeRelV relativeFrom="margin">
              <wp14:pctHeight>0</wp14:pctHeight>
            </wp14:sizeRelV>
          </wp:anchor>
        </w:drawing>
      </w:r>
      <w:r w:rsidR="00B43872">
        <w:rPr>
          <w:rFonts w:ascii="Geomanist Light" w:hAnsi="Geomanist Light"/>
          <w:sz w:val="22"/>
          <w:szCs w:val="22"/>
          <w:lang w:val="es-ES"/>
        </w:rPr>
        <w:t>Ahora,</w:t>
      </w:r>
      <w:r w:rsidR="00BB2827">
        <w:rPr>
          <w:rFonts w:ascii="Geomanist Light" w:hAnsi="Geomanist Light"/>
          <w:sz w:val="22"/>
          <w:szCs w:val="22"/>
          <w:lang w:val="es-ES"/>
        </w:rPr>
        <w:t xml:space="preserve"> según esta Guía</w:t>
      </w:r>
      <w:r w:rsidR="00B43872">
        <w:rPr>
          <w:rFonts w:ascii="Geomanist Light" w:hAnsi="Geomanist Light"/>
          <w:sz w:val="22"/>
          <w:szCs w:val="22"/>
          <w:lang w:val="es-ES"/>
        </w:rPr>
        <w:t xml:space="preserve"> e</w:t>
      </w:r>
      <w:r w:rsidR="00B43872" w:rsidRPr="00B43872">
        <w:rPr>
          <w:rFonts w:ascii="Geomanist Light" w:hAnsi="Geomanist Light"/>
          <w:sz w:val="22"/>
          <w:szCs w:val="22"/>
          <w:lang w:val="es-ES"/>
        </w:rPr>
        <w:t>l puntaje de la capacidad técnica (CT) se asigna con base en la siguiente tabla:</w:t>
      </w:r>
    </w:p>
    <w:p w14:paraId="3B043AED" w14:textId="77777777" w:rsidR="00250C39" w:rsidRDefault="00250C39" w:rsidP="00BB2827">
      <w:pPr>
        <w:spacing w:line="276" w:lineRule="auto"/>
        <w:jc w:val="both"/>
        <w:rPr>
          <w:rFonts w:ascii="Geomanist Light" w:hAnsi="Geomanist Light"/>
          <w:sz w:val="22"/>
          <w:szCs w:val="22"/>
          <w:lang w:val="es-ES"/>
        </w:rPr>
      </w:pPr>
    </w:p>
    <w:p w14:paraId="657DF53F" w14:textId="5F851574" w:rsidR="00250C39" w:rsidRDefault="0097429A" w:rsidP="00257EDB">
      <w:pPr>
        <w:spacing w:after="120" w:line="276" w:lineRule="auto"/>
        <w:ind w:firstLine="709"/>
        <w:jc w:val="both"/>
        <w:rPr>
          <w:rFonts w:ascii="Geomanist Light" w:hAnsi="Geomanist Light"/>
          <w:sz w:val="22"/>
          <w:szCs w:val="22"/>
          <w:lang w:val="es-ES"/>
        </w:rPr>
      </w:pPr>
      <w:r>
        <w:rPr>
          <w:rFonts w:ascii="Geomanist Light" w:hAnsi="Geomanist Light"/>
          <w:sz w:val="22"/>
          <w:szCs w:val="22"/>
          <w:lang w:val="es-ES"/>
        </w:rPr>
        <w:t>Así, por ejemplo,</w:t>
      </w:r>
      <w:r w:rsidR="00250C39">
        <w:rPr>
          <w:rFonts w:ascii="Geomanist Light" w:hAnsi="Geomanist Light"/>
          <w:sz w:val="22"/>
          <w:szCs w:val="22"/>
          <w:lang w:val="es-ES"/>
        </w:rPr>
        <w:t xml:space="preserve"> si un proponente tiene entre </w:t>
      </w:r>
      <w:r w:rsidR="00934749">
        <w:rPr>
          <w:rFonts w:ascii="Geomanist Light" w:hAnsi="Geomanist Light"/>
          <w:sz w:val="22"/>
          <w:szCs w:val="22"/>
          <w:lang w:val="es-ES"/>
        </w:rPr>
        <w:t>uno (</w:t>
      </w:r>
      <w:r w:rsidR="00250C39">
        <w:rPr>
          <w:rFonts w:ascii="Geomanist Light" w:hAnsi="Geomanist Light"/>
          <w:sz w:val="22"/>
          <w:szCs w:val="22"/>
          <w:lang w:val="es-ES"/>
        </w:rPr>
        <w:t>1</w:t>
      </w:r>
      <w:r w:rsidR="00934749">
        <w:rPr>
          <w:rFonts w:ascii="Geomanist Light" w:hAnsi="Geomanist Light"/>
          <w:sz w:val="22"/>
          <w:szCs w:val="22"/>
          <w:lang w:val="es-ES"/>
        </w:rPr>
        <w:t>)</w:t>
      </w:r>
      <w:r w:rsidR="00250C39">
        <w:rPr>
          <w:rFonts w:ascii="Geomanist Light" w:hAnsi="Geomanist Light"/>
          <w:sz w:val="22"/>
          <w:szCs w:val="22"/>
          <w:lang w:val="es-ES"/>
        </w:rPr>
        <w:t xml:space="preserve"> y</w:t>
      </w:r>
      <w:r w:rsidR="00934749">
        <w:rPr>
          <w:rFonts w:ascii="Geomanist Light" w:hAnsi="Geomanist Light"/>
          <w:sz w:val="22"/>
          <w:szCs w:val="22"/>
          <w:lang w:val="es-ES"/>
        </w:rPr>
        <w:t xml:space="preserve"> cinco (</w:t>
      </w:r>
      <w:r w:rsidR="00250C39">
        <w:rPr>
          <w:rFonts w:ascii="Geomanist Light" w:hAnsi="Geomanist Light"/>
          <w:sz w:val="22"/>
          <w:szCs w:val="22"/>
          <w:lang w:val="es-ES"/>
        </w:rPr>
        <w:t>5</w:t>
      </w:r>
      <w:r w:rsidR="00934749">
        <w:rPr>
          <w:rFonts w:ascii="Geomanist Light" w:hAnsi="Geomanist Light"/>
          <w:sz w:val="22"/>
          <w:szCs w:val="22"/>
          <w:lang w:val="es-ES"/>
        </w:rPr>
        <w:t>)</w:t>
      </w:r>
      <w:r w:rsidR="00250C39">
        <w:rPr>
          <w:rFonts w:ascii="Geomanist Light" w:hAnsi="Geomanist Light"/>
          <w:sz w:val="22"/>
          <w:szCs w:val="22"/>
          <w:lang w:val="es-ES"/>
        </w:rPr>
        <w:t xml:space="preserve"> socios y profesionales de la arquitectura, ingeniería y geología vinculados mediante un contrato laboral o algún otro tipo de contrato el puntaje máximo que </w:t>
      </w:r>
      <w:r>
        <w:rPr>
          <w:rFonts w:ascii="Geomanist Light" w:hAnsi="Geomanist Light"/>
          <w:sz w:val="22"/>
          <w:szCs w:val="22"/>
          <w:lang w:val="es-ES"/>
        </w:rPr>
        <w:t xml:space="preserve">este </w:t>
      </w:r>
      <w:r w:rsidR="00250C39">
        <w:rPr>
          <w:rFonts w:ascii="Geomanist Light" w:hAnsi="Geomanist Light"/>
          <w:sz w:val="22"/>
          <w:szCs w:val="22"/>
          <w:lang w:val="es-ES"/>
        </w:rPr>
        <w:t xml:space="preserve">obtendrá será de </w:t>
      </w:r>
      <w:r w:rsidR="00934749">
        <w:rPr>
          <w:rFonts w:ascii="Geomanist Light" w:hAnsi="Geomanist Light"/>
          <w:sz w:val="22"/>
          <w:szCs w:val="22"/>
          <w:lang w:val="es-ES"/>
        </w:rPr>
        <w:t>veinte (</w:t>
      </w:r>
      <w:r w:rsidR="00250C39">
        <w:rPr>
          <w:rFonts w:ascii="Geomanist Light" w:hAnsi="Geomanist Light"/>
          <w:sz w:val="22"/>
          <w:szCs w:val="22"/>
          <w:lang w:val="es-ES"/>
        </w:rPr>
        <w:t>20</w:t>
      </w:r>
      <w:r w:rsidR="00934749">
        <w:rPr>
          <w:rFonts w:ascii="Geomanist Light" w:hAnsi="Geomanist Light"/>
          <w:sz w:val="22"/>
          <w:szCs w:val="22"/>
          <w:lang w:val="es-ES"/>
        </w:rPr>
        <w:t>)</w:t>
      </w:r>
      <w:r w:rsidR="00250C39">
        <w:rPr>
          <w:rFonts w:ascii="Geomanist Light" w:hAnsi="Geomanist Light"/>
          <w:sz w:val="22"/>
          <w:szCs w:val="22"/>
          <w:lang w:val="es-ES"/>
        </w:rPr>
        <w:t xml:space="preserve"> puntos</w:t>
      </w:r>
      <w:r>
        <w:rPr>
          <w:rFonts w:ascii="Geomanist Light" w:hAnsi="Geomanist Light"/>
          <w:sz w:val="22"/>
          <w:szCs w:val="22"/>
          <w:lang w:val="es-ES"/>
        </w:rPr>
        <w:t>.</w:t>
      </w:r>
    </w:p>
    <w:p w14:paraId="0A061E83" w14:textId="639588AE" w:rsidR="00B43872" w:rsidRDefault="00CE4FF5" w:rsidP="00257EDB">
      <w:pPr>
        <w:spacing w:after="120" w:line="276" w:lineRule="auto"/>
        <w:ind w:firstLine="709"/>
        <w:jc w:val="both"/>
        <w:rPr>
          <w:rFonts w:ascii="Geomanist Light" w:hAnsi="Geomanist Light"/>
          <w:sz w:val="22"/>
          <w:szCs w:val="22"/>
          <w:lang w:val="es-ES"/>
        </w:rPr>
      </w:pPr>
      <w:r>
        <w:rPr>
          <w:rFonts w:ascii="Geomanist Light" w:hAnsi="Geomanist Light"/>
          <w:sz w:val="22"/>
          <w:szCs w:val="22"/>
          <w:lang w:val="es-ES"/>
        </w:rPr>
        <w:t>De esta manera</w:t>
      </w:r>
      <w:r w:rsidR="0032265F">
        <w:rPr>
          <w:rFonts w:ascii="Geomanist Light" w:hAnsi="Geomanist Light"/>
          <w:sz w:val="22"/>
          <w:szCs w:val="22"/>
          <w:lang w:val="es-ES"/>
        </w:rPr>
        <w:t>,</w:t>
      </w:r>
      <w:r w:rsidR="00B43872" w:rsidRPr="00B43872">
        <w:rPr>
          <w:rFonts w:ascii="Geomanist Light" w:hAnsi="Geomanist Light"/>
          <w:sz w:val="22"/>
          <w:szCs w:val="22"/>
          <w:lang w:val="es-ES"/>
        </w:rPr>
        <w:t xml:space="preserve"> dependiendo del número de profesionales en las disciplinas señaladas, el proponente podrá obtener </w:t>
      </w:r>
      <w:r w:rsidR="00934749">
        <w:rPr>
          <w:rFonts w:ascii="Geomanist Light" w:hAnsi="Geomanist Light"/>
          <w:sz w:val="22"/>
          <w:szCs w:val="22"/>
          <w:lang w:val="es-ES"/>
        </w:rPr>
        <w:t>veinte (</w:t>
      </w:r>
      <w:r w:rsidR="00B43872" w:rsidRPr="00B43872">
        <w:rPr>
          <w:rFonts w:ascii="Geomanist Light" w:hAnsi="Geomanist Light"/>
          <w:sz w:val="22"/>
          <w:szCs w:val="22"/>
          <w:lang w:val="es-ES"/>
        </w:rPr>
        <w:t>20</w:t>
      </w:r>
      <w:r w:rsidR="00934749">
        <w:rPr>
          <w:rFonts w:ascii="Geomanist Light" w:hAnsi="Geomanist Light"/>
          <w:sz w:val="22"/>
          <w:szCs w:val="22"/>
          <w:lang w:val="es-ES"/>
        </w:rPr>
        <w:t>)</w:t>
      </w:r>
      <w:r w:rsidR="00B43872" w:rsidRPr="00B43872">
        <w:rPr>
          <w:rFonts w:ascii="Geomanist Light" w:hAnsi="Geomanist Light"/>
          <w:sz w:val="22"/>
          <w:szCs w:val="22"/>
          <w:lang w:val="es-ES"/>
        </w:rPr>
        <w:t xml:space="preserve">, </w:t>
      </w:r>
      <w:r w:rsidR="00934749">
        <w:rPr>
          <w:rFonts w:ascii="Geomanist Light" w:hAnsi="Geomanist Light"/>
          <w:sz w:val="22"/>
          <w:szCs w:val="22"/>
          <w:lang w:val="es-ES"/>
        </w:rPr>
        <w:t>treinta (</w:t>
      </w:r>
      <w:r w:rsidR="00B43872" w:rsidRPr="00B43872">
        <w:rPr>
          <w:rFonts w:ascii="Geomanist Light" w:hAnsi="Geomanist Light"/>
          <w:sz w:val="22"/>
          <w:szCs w:val="22"/>
          <w:lang w:val="es-ES"/>
        </w:rPr>
        <w:t>30</w:t>
      </w:r>
      <w:r w:rsidR="00934749">
        <w:rPr>
          <w:rFonts w:ascii="Geomanist Light" w:hAnsi="Geomanist Light"/>
          <w:sz w:val="22"/>
          <w:szCs w:val="22"/>
          <w:lang w:val="es-ES"/>
        </w:rPr>
        <w:t>)</w:t>
      </w:r>
      <w:r w:rsidR="00B43872" w:rsidRPr="00B43872">
        <w:rPr>
          <w:rFonts w:ascii="Geomanist Light" w:hAnsi="Geomanist Light"/>
          <w:sz w:val="22"/>
          <w:szCs w:val="22"/>
          <w:lang w:val="es-ES"/>
        </w:rPr>
        <w:t xml:space="preserve"> o </w:t>
      </w:r>
      <w:r w:rsidR="00934749">
        <w:rPr>
          <w:rFonts w:ascii="Geomanist Light" w:hAnsi="Geomanist Light"/>
          <w:sz w:val="22"/>
          <w:szCs w:val="22"/>
          <w:lang w:val="es-ES"/>
        </w:rPr>
        <w:t>cuarenta (</w:t>
      </w:r>
      <w:r w:rsidR="00B43872" w:rsidRPr="00B43872">
        <w:rPr>
          <w:rFonts w:ascii="Geomanist Light" w:hAnsi="Geomanist Light"/>
          <w:sz w:val="22"/>
          <w:szCs w:val="22"/>
          <w:lang w:val="es-ES"/>
        </w:rPr>
        <w:t>40</w:t>
      </w:r>
      <w:r w:rsidR="00934749">
        <w:rPr>
          <w:rFonts w:ascii="Geomanist Light" w:hAnsi="Geomanist Light"/>
          <w:sz w:val="22"/>
          <w:szCs w:val="22"/>
          <w:lang w:val="es-ES"/>
        </w:rPr>
        <w:t>)</w:t>
      </w:r>
      <w:r w:rsidR="00B43872" w:rsidRPr="00B43872">
        <w:rPr>
          <w:rFonts w:ascii="Geomanist Light" w:hAnsi="Geomanist Light"/>
          <w:sz w:val="22"/>
          <w:szCs w:val="22"/>
          <w:lang w:val="es-ES"/>
        </w:rPr>
        <w:t xml:space="preserve"> puntos</w:t>
      </w:r>
      <w:r w:rsidR="00BB2827">
        <w:rPr>
          <w:rFonts w:ascii="Geomanist Light" w:hAnsi="Geomanist Light"/>
          <w:sz w:val="22"/>
          <w:szCs w:val="22"/>
          <w:lang w:val="es-ES"/>
        </w:rPr>
        <w:t xml:space="preserve"> como máximo</w:t>
      </w:r>
      <w:r w:rsidR="00B43872" w:rsidRPr="00B43872">
        <w:rPr>
          <w:rFonts w:ascii="Geomanist Light" w:hAnsi="Geomanist Light"/>
          <w:sz w:val="22"/>
          <w:szCs w:val="22"/>
          <w:lang w:val="es-ES"/>
        </w:rPr>
        <w:t xml:space="preserve">, que serán tenidos en cuenta en la fórmula para el cálculo de la capacidad residual del proponente, junto con los puntajes obtenidos por los factores de Experiencia (E) y Capacidad Financiera (CF) y los valores en pesos colombianos de los factores de Capacidad de Organización (CO) y Saldo de Contratos en Ejecución </w:t>
      </w:r>
      <w:r w:rsidR="00257EDB" w:rsidRPr="00B43872">
        <w:rPr>
          <w:rFonts w:ascii="Geomanist Light" w:hAnsi="Geomanist Light"/>
          <w:sz w:val="22"/>
          <w:szCs w:val="22"/>
          <w:lang w:val="es-ES"/>
        </w:rPr>
        <w:t>(SCE):</w:t>
      </w:r>
    </w:p>
    <w:p w14:paraId="23E68623" w14:textId="7AA962AF" w:rsidR="000E0BD1" w:rsidRPr="00731F2E" w:rsidRDefault="00257EDB" w:rsidP="00257EDB">
      <w:pPr>
        <w:spacing w:after="120" w:line="276" w:lineRule="auto"/>
        <w:ind w:firstLine="709"/>
        <w:jc w:val="both"/>
        <w:rPr>
          <w:rFonts w:ascii="Geomanist Light" w:hAnsi="Geomanist Light"/>
          <w:sz w:val="16"/>
          <w:szCs w:val="16"/>
          <w:lang w:val="es-ES"/>
        </w:rPr>
      </w:pPr>
      <w:r w:rsidRPr="001A38BF">
        <w:rPr>
          <w:noProof/>
          <w:lang w:val="en-US"/>
        </w:rPr>
        <w:drawing>
          <wp:anchor distT="0" distB="0" distL="0" distR="0" simplePos="0" relativeHeight="251659776" behindDoc="0" locked="0" layoutInCell="1" allowOverlap="1" wp14:anchorId="3D4E78C1" wp14:editId="6F1C6ECE">
            <wp:simplePos x="0" y="0"/>
            <wp:positionH relativeFrom="margin">
              <wp:posOffset>765810</wp:posOffset>
            </wp:positionH>
            <wp:positionV relativeFrom="paragraph">
              <wp:posOffset>173355</wp:posOffset>
            </wp:positionV>
            <wp:extent cx="3510216" cy="571500"/>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5" cstate="print"/>
                    <a:stretch>
                      <a:fillRect/>
                    </a:stretch>
                  </pic:blipFill>
                  <pic:spPr>
                    <a:xfrm>
                      <a:off x="0" y="0"/>
                      <a:ext cx="3510216" cy="571500"/>
                    </a:xfrm>
                    <a:prstGeom prst="rect">
                      <a:avLst/>
                    </a:prstGeom>
                  </pic:spPr>
                </pic:pic>
              </a:graphicData>
            </a:graphic>
          </wp:anchor>
        </w:drawing>
      </w:r>
    </w:p>
    <w:p w14:paraId="20BDFBD4" w14:textId="77777777" w:rsidR="00CE4FF5" w:rsidRPr="00257EDB" w:rsidRDefault="00CE4FF5" w:rsidP="00CE4FF5">
      <w:pPr>
        <w:spacing w:after="120" w:line="276" w:lineRule="auto"/>
        <w:ind w:firstLine="709"/>
        <w:jc w:val="both"/>
        <w:rPr>
          <w:rFonts w:ascii="Geomanist Light" w:hAnsi="Geomanist Light"/>
          <w:sz w:val="22"/>
          <w:szCs w:val="22"/>
          <w:lang w:val="es-ES"/>
        </w:rPr>
      </w:pPr>
      <w:r w:rsidRPr="00257EDB">
        <w:rPr>
          <w:rFonts w:ascii="Geomanist Light" w:hAnsi="Geomanist Light"/>
          <w:sz w:val="22"/>
          <w:szCs w:val="22"/>
          <w:lang w:val="es-ES"/>
        </w:rPr>
        <w:lastRenderedPageBreak/>
        <w:t>Explicado esto, se concluye que para el cálculo de la Capacidad Técnica (CT) se tendrán en cuenta los socios y profesionales en arquitectura, ingeniería y geología, quienes deberán estar vinculados a través de una relación laboral o contractual. Es decir, en este factor, independiente de la forma de vinculación con el proponente, lo relevante es que sean profesionales en las áreas allí dispuestas, las cuales tienen relación con la construcción de obra.</w:t>
      </w:r>
    </w:p>
    <w:p w14:paraId="6B3E2949" w14:textId="46426790" w:rsidR="00D53F2A" w:rsidRPr="00257EDB" w:rsidRDefault="00240CB8" w:rsidP="00257EDB">
      <w:pPr>
        <w:spacing w:after="120" w:line="276" w:lineRule="auto"/>
        <w:ind w:firstLine="709"/>
        <w:jc w:val="both"/>
        <w:rPr>
          <w:rFonts w:ascii="Geomanist Light" w:hAnsi="Geomanist Light" w:cs="Arial"/>
          <w:color w:val="000000" w:themeColor="text1"/>
          <w:sz w:val="22"/>
          <w:szCs w:val="22"/>
          <w:lang w:val="es-MX"/>
        </w:rPr>
      </w:pPr>
      <w:r w:rsidRPr="00257EDB">
        <w:rPr>
          <w:rFonts w:ascii="Geomanist Light" w:hAnsi="Geomanist Light"/>
          <w:sz w:val="22"/>
          <w:szCs w:val="22"/>
          <w:lang w:val="es-ES"/>
        </w:rPr>
        <w:t>En este punto</w:t>
      </w:r>
      <w:r w:rsidR="00CE4FF5" w:rsidRPr="00257EDB">
        <w:rPr>
          <w:rFonts w:ascii="Geomanist Light" w:hAnsi="Geomanist Light"/>
          <w:sz w:val="22"/>
          <w:szCs w:val="22"/>
          <w:lang w:val="es-ES"/>
        </w:rPr>
        <w:t>,</w:t>
      </w:r>
      <w:r w:rsidRPr="00257EDB">
        <w:rPr>
          <w:rFonts w:ascii="Geomanist Light" w:hAnsi="Geomanist Light"/>
          <w:sz w:val="22"/>
          <w:szCs w:val="22"/>
          <w:lang w:val="es-ES"/>
        </w:rPr>
        <w:t xml:space="preserve"> ten</w:t>
      </w:r>
      <w:r w:rsidR="00CE4FF5" w:rsidRPr="00257EDB">
        <w:rPr>
          <w:rFonts w:ascii="Geomanist Light" w:hAnsi="Geomanist Light"/>
          <w:sz w:val="22"/>
          <w:szCs w:val="22"/>
          <w:lang w:val="es-ES"/>
        </w:rPr>
        <w:t xml:space="preserve">iendo en cuenta el objeto de </w:t>
      </w:r>
      <w:r w:rsidRPr="00257EDB">
        <w:rPr>
          <w:rFonts w:ascii="Geomanist Light" w:hAnsi="Geomanist Light"/>
          <w:sz w:val="22"/>
          <w:szCs w:val="22"/>
          <w:lang w:val="es-ES"/>
        </w:rPr>
        <w:t>su petición</w:t>
      </w:r>
      <w:r w:rsidR="00CE4FF5" w:rsidRPr="00257EDB">
        <w:rPr>
          <w:rFonts w:ascii="Geomanist Light" w:hAnsi="Geomanist Light"/>
          <w:sz w:val="22"/>
          <w:szCs w:val="22"/>
          <w:lang w:val="es-ES"/>
        </w:rPr>
        <w:t xml:space="preserve"> y que en la mencionada Guía para el cálculo de la capacidad técnica se hace referencia a </w:t>
      </w:r>
      <w:r w:rsidR="00CE4FF5" w:rsidRPr="00257EDB">
        <w:rPr>
          <w:rFonts w:ascii="Geomanist Light" w:hAnsi="Geomanist Light"/>
          <w:sz w:val="22"/>
          <w:szCs w:val="22"/>
        </w:rPr>
        <w:t>«</w:t>
      </w:r>
      <w:r w:rsidR="00CE4FF5" w:rsidRPr="00257EDB">
        <w:rPr>
          <w:rFonts w:ascii="Geomanist Light" w:hAnsi="Geomanist Light"/>
          <w:sz w:val="22"/>
          <w:szCs w:val="22"/>
          <w:lang w:val="es-ES"/>
        </w:rPr>
        <w:t>relación con la construcción de obra</w:t>
      </w:r>
      <w:r w:rsidR="00CE4FF5" w:rsidRPr="00257EDB">
        <w:rPr>
          <w:rFonts w:ascii="Geomanist Light" w:hAnsi="Geomanist Light"/>
          <w:sz w:val="22"/>
          <w:szCs w:val="22"/>
        </w:rPr>
        <w:t>»</w:t>
      </w:r>
      <w:r w:rsidR="002411D6" w:rsidRPr="00257EDB">
        <w:rPr>
          <w:rFonts w:ascii="Geomanist Light" w:hAnsi="Geomanist Light"/>
          <w:sz w:val="22"/>
          <w:szCs w:val="22"/>
          <w:lang w:val="es-ES"/>
        </w:rPr>
        <w:t xml:space="preserve">, </w:t>
      </w:r>
      <w:r w:rsidR="00CE4FF5" w:rsidRPr="00257EDB">
        <w:rPr>
          <w:rFonts w:ascii="Geomanist Light" w:hAnsi="Geomanist Light"/>
          <w:sz w:val="22"/>
          <w:szCs w:val="22"/>
          <w:lang w:val="es-ES"/>
        </w:rPr>
        <w:t xml:space="preserve">es pertinente indicar que se entiende por </w:t>
      </w:r>
      <w:r w:rsidR="00CE4FF5" w:rsidRPr="00257EDB">
        <w:rPr>
          <w:rFonts w:ascii="Geomanist Light" w:hAnsi="Geomanist Light"/>
          <w:i/>
          <w:iCs/>
          <w:sz w:val="22"/>
          <w:szCs w:val="22"/>
        </w:rPr>
        <w:t>«</w:t>
      </w:r>
      <w:r w:rsidR="00CE4FF5" w:rsidRPr="00257EDB">
        <w:rPr>
          <w:rFonts w:ascii="Geomanist Light" w:hAnsi="Geomanist Light"/>
          <w:i/>
          <w:iCs/>
          <w:sz w:val="22"/>
          <w:szCs w:val="22"/>
          <w:lang w:val="es-ES"/>
        </w:rPr>
        <w:t>construcción</w:t>
      </w:r>
      <w:r w:rsidR="00CE4FF5" w:rsidRPr="00257EDB">
        <w:rPr>
          <w:rFonts w:ascii="Geomanist Light" w:hAnsi="Geomanist Light" w:cs="Arial"/>
          <w:i/>
          <w:iCs/>
          <w:color w:val="000000" w:themeColor="text1"/>
          <w:sz w:val="22"/>
          <w:szCs w:val="22"/>
          <w:lang w:val="es-MX"/>
        </w:rPr>
        <w:t>».</w:t>
      </w:r>
      <w:r w:rsidR="00CE4FF5" w:rsidRPr="00257EDB">
        <w:rPr>
          <w:rFonts w:ascii="Geomanist Light" w:hAnsi="Geomanist Light" w:cs="Arial"/>
          <w:color w:val="000000" w:themeColor="text1"/>
          <w:sz w:val="22"/>
          <w:szCs w:val="22"/>
          <w:lang w:val="es-MX"/>
        </w:rPr>
        <w:t xml:space="preserve"> Al respecto, la misma Ley 1682 de 2013 </w:t>
      </w:r>
      <w:r w:rsidR="006F7E20" w:rsidRPr="00257EDB">
        <w:rPr>
          <w:rFonts w:ascii="Geomanist Light" w:hAnsi="Geomanist Light" w:cs="Arial"/>
          <w:color w:val="000000" w:themeColor="text1"/>
          <w:sz w:val="22"/>
          <w:szCs w:val="22"/>
          <w:lang w:val="es-MX"/>
        </w:rPr>
        <w:t xml:space="preserve">en su artículo 12 define el término construcción así: </w:t>
      </w:r>
      <w:r w:rsidR="006F7E20" w:rsidRPr="00257EDB">
        <w:rPr>
          <w:rFonts w:ascii="Geomanist Light" w:hAnsi="Geomanist Light"/>
          <w:sz w:val="22"/>
          <w:szCs w:val="22"/>
        </w:rPr>
        <w:t>«</w:t>
      </w:r>
      <w:r w:rsidR="006F7E20" w:rsidRPr="00257EDB">
        <w:rPr>
          <w:rFonts w:ascii="Geomanist Light" w:hAnsi="Geomanist Light" w:cs="Arial"/>
          <w:bCs/>
          <w:i/>
          <w:iCs/>
          <w:color w:val="000000" w:themeColor="text1"/>
          <w:sz w:val="22"/>
          <w:szCs w:val="22"/>
        </w:rPr>
        <w:t>Son aquellas obras nuevas que incluyen el levantamiento o armado de algún tipo de infraestructura de transporte</w:t>
      </w:r>
      <w:r w:rsidR="006F7E20" w:rsidRPr="00257EDB">
        <w:rPr>
          <w:rFonts w:ascii="Geomanist Light" w:hAnsi="Geomanist Light" w:cs="Arial"/>
          <w:color w:val="000000" w:themeColor="text1"/>
          <w:sz w:val="22"/>
          <w:szCs w:val="22"/>
          <w:lang w:val="es-MX"/>
        </w:rPr>
        <w:t xml:space="preserve">». </w:t>
      </w:r>
      <w:r w:rsidR="00257EDB" w:rsidRPr="00257EDB">
        <w:rPr>
          <w:rFonts w:ascii="Geomanist Light" w:hAnsi="Geomanist Light" w:cs="Arial"/>
          <w:color w:val="000000" w:themeColor="text1"/>
          <w:sz w:val="22"/>
          <w:szCs w:val="22"/>
          <w:lang w:val="es-MX"/>
        </w:rPr>
        <w:t>Esta misma definición</w:t>
      </w:r>
      <w:r w:rsidR="006F7E20" w:rsidRPr="00257EDB">
        <w:rPr>
          <w:rFonts w:ascii="Geomanist Light" w:hAnsi="Geomanist Light" w:cs="Arial"/>
          <w:color w:val="000000" w:themeColor="text1"/>
          <w:sz w:val="22"/>
          <w:szCs w:val="22"/>
          <w:lang w:val="es-MX"/>
        </w:rPr>
        <w:t xml:space="preserve"> ha sido retomada por parte </w:t>
      </w:r>
      <w:r w:rsidR="00770976" w:rsidRPr="00257EDB">
        <w:rPr>
          <w:rFonts w:ascii="Geomanist Light" w:hAnsi="Geomanist Light"/>
          <w:sz w:val="22"/>
          <w:szCs w:val="22"/>
          <w:lang w:val="es-ES"/>
        </w:rPr>
        <w:t>de</w:t>
      </w:r>
      <w:r w:rsidR="003A07D8" w:rsidRPr="00257EDB">
        <w:rPr>
          <w:rFonts w:ascii="Geomanist Light" w:hAnsi="Geomanist Light"/>
          <w:sz w:val="22"/>
          <w:szCs w:val="22"/>
          <w:lang w:val="es-ES"/>
        </w:rPr>
        <w:t xml:space="preserve"> </w:t>
      </w:r>
      <w:r w:rsidR="005F12AC" w:rsidRPr="00257EDB">
        <w:rPr>
          <w:rFonts w:ascii="Geomanist Light" w:hAnsi="Geomanist Light" w:cs="Arial"/>
          <w:sz w:val="22"/>
        </w:rPr>
        <w:t>la Agencia Nacional de Contratación Pública − Colombia Compra Eficiente</w:t>
      </w:r>
      <w:r w:rsidR="006F7E20" w:rsidRPr="00257EDB">
        <w:rPr>
          <w:rFonts w:ascii="Geomanist Light" w:hAnsi="Geomanist Light" w:cs="Arial"/>
          <w:sz w:val="22"/>
        </w:rPr>
        <w:t>, por ejemplo en los documentos tipo que ha adoptado</w:t>
      </w:r>
      <w:r w:rsidR="0064160F" w:rsidRPr="00257EDB">
        <w:rPr>
          <w:rStyle w:val="Refdenotaalpie"/>
          <w:rFonts w:ascii="Geomanist Light" w:hAnsi="Geomanist Light" w:cs="Arial"/>
          <w:bCs/>
          <w:i/>
          <w:iCs/>
          <w:color w:val="000000" w:themeColor="text1"/>
          <w:sz w:val="22"/>
          <w:szCs w:val="22"/>
        </w:rPr>
        <w:footnoteReference w:id="6"/>
      </w:r>
      <w:r w:rsidR="00D53F2A" w:rsidRPr="00257EDB">
        <w:rPr>
          <w:rFonts w:ascii="Geomanist Light" w:hAnsi="Geomanist Light" w:cs="Arial"/>
          <w:color w:val="000000" w:themeColor="text1"/>
          <w:sz w:val="22"/>
          <w:szCs w:val="22"/>
          <w:lang w:val="es-MX"/>
        </w:rPr>
        <w:t xml:space="preserve">. </w:t>
      </w:r>
    </w:p>
    <w:p w14:paraId="7215C1CC" w14:textId="09FB0C0D" w:rsidR="004665BF" w:rsidRDefault="004665BF" w:rsidP="00C77B27">
      <w:pPr>
        <w:spacing w:line="276" w:lineRule="auto"/>
        <w:ind w:firstLine="709"/>
        <w:jc w:val="both"/>
        <w:rPr>
          <w:rFonts w:ascii="Geomanist Light" w:hAnsi="Geomanist Light"/>
          <w:sz w:val="22"/>
          <w:szCs w:val="22"/>
          <w:lang w:val="es-ES"/>
        </w:rPr>
      </w:pPr>
      <w:r w:rsidRPr="00257EDB">
        <w:rPr>
          <w:rFonts w:ascii="Geomanist Light" w:hAnsi="Geomanist Light"/>
          <w:sz w:val="22"/>
          <w:szCs w:val="22"/>
          <w:lang w:val="es-ES"/>
        </w:rPr>
        <w:t xml:space="preserve">De esta manera, </w:t>
      </w:r>
      <w:r w:rsidR="00C77B27" w:rsidRPr="00257EDB">
        <w:rPr>
          <w:rFonts w:ascii="Geomanist Light" w:hAnsi="Geomanist Light"/>
          <w:sz w:val="22"/>
          <w:szCs w:val="22"/>
          <w:lang w:val="es-ES"/>
        </w:rPr>
        <w:t>resulta pertinente señalar</w:t>
      </w:r>
      <w:r w:rsidRPr="00257EDB">
        <w:rPr>
          <w:rFonts w:ascii="Geomanist Light" w:hAnsi="Geomanist Light"/>
          <w:sz w:val="22"/>
          <w:szCs w:val="22"/>
          <w:lang w:val="es-ES"/>
        </w:rPr>
        <w:t xml:space="preserve"> que los profesionales como contadores</w:t>
      </w:r>
      <w:r w:rsidR="00C77B27" w:rsidRPr="00257EDB">
        <w:rPr>
          <w:rFonts w:ascii="Geomanist Light" w:hAnsi="Geomanist Light"/>
          <w:sz w:val="22"/>
          <w:szCs w:val="22"/>
          <w:lang w:val="es-ES"/>
        </w:rPr>
        <w:t xml:space="preserve">, </w:t>
      </w:r>
      <w:r w:rsidRPr="00257EDB">
        <w:rPr>
          <w:rFonts w:ascii="Geomanist Light" w:hAnsi="Geomanist Light"/>
          <w:sz w:val="22"/>
          <w:szCs w:val="22"/>
          <w:lang w:val="es-ES"/>
        </w:rPr>
        <w:t>secretarios</w:t>
      </w:r>
      <w:r w:rsidR="00C77B27" w:rsidRPr="00257EDB">
        <w:rPr>
          <w:rFonts w:ascii="Geomanist Light" w:hAnsi="Geomanist Light"/>
          <w:sz w:val="22"/>
          <w:szCs w:val="22"/>
          <w:lang w:val="es-ES"/>
        </w:rPr>
        <w:t>, empleados del servicio doméstico, vigilantes o conductores, a los que hace mención en su consulta,</w:t>
      </w:r>
      <w:r w:rsidRPr="00257EDB">
        <w:rPr>
          <w:rFonts w:ascii="Geomanist Light" w:hAnsi="Geomanist Light"/>
          <w:sz w:val="22"/>
          <w:szCs w:val="22"/>
          <w:lang w:val="es-ES"/>
        </w:rPr>
        <w:t xml:space="preserve"> no pueden tenerse en cuenta para el cálculo de la de la Capacidad Técnica (CT), </w:t>
      </w:r>
      <w:r w:rsidR="00D53F2A" w:rsidRPr="00257EDB">
        <w:rPr>
          <w:rFonts w:ascii="Geomanist Light" w:hAnsi="Geomanist Light"/>
          <w:sz w:val="22"/>
          <w:szCs w:val="22"/>
          <w:lang w:val="es-ES"/>
        </w:rPr>
        <w:t>aun cuando la vinculación con el proponente sea de carácter laboral o contractual,</w:t>
      </w:r>
      <w:r w:rsidRPr="00257EDB">
        <w:rPr>
          <w:rFonts w:ascii="Geomanist Light" w:hAnsi="Geomanist Light"/>
          <w:sz w:val="22"/>
          <w:szCs w:val="22"/>
          <w:lang w:val="es-ES"/>
        </w:rPr>
        <w:t xml:space="preserve"> toda vez que estos no </w:t>
      </w:r>
      <w:r w:rsidR="00C77B27" w:rsidRPr="00257EDB">
        <w:rPr>
          <w:rFonts w:ascii="Geomanist Light" w:hAnsi="Geomanist Light"/>
          <w:sz w:val="22"/>
          <w:szCs w:val="22"/>
          <w:lang w:val="es-ES"/>
        </w:rPr>
        <w:t xml:space="preserve">se encuentran dentro de las profesiones establecidas en la guía, así como tampoco </w:t>
      </w:r>
      <w:r w:rsidRPr="00257EDB">
        <w:rPr>
          <w:rFonts w:ascii="Geomanist Light" w:hAnsi="Geomanist Light"/>
          <w:sz w:val="22"/>
          <w:szCs w:val="22"/>
          <w:lang w:val="es-ES"/>
        </w:rPr>
        <w:t>desarrollan actividades directamente relacionadas con la construcción de obra</w:t>
      </w:r>
      <w:r w:rsidR="009644C0" w:rsidRPr="00257EDB">
        <w:rPr>
          <w:rFonts w:ascii="Geomanist Light" w:hAnsi="Geomanist Light"/>
          <w:sz w:val="22"/>
          <w:szCs w:val="22"/>
          <w:lang w:val="es-ES"/>
        </w:rPr>
        <w:t>.</w:t>
      </w:r>
    </w:p>
    <w:p w14:paraId="624BAA5E" w14:textId="1CCC231E" w:rsidR="00A32011" w:rsidRPr="00C02598" w:rsidRDefault="00A32011" w:rsidP="00257EDB">
      <w:pPr>
        <w:spacing w:line="276" w:lineRule="auto"/>
        <w:contextualSpacing/>
        <w:jc w:val="both"/>
        <w:rPr>
          <w:rFonts w:ascii="Geomanist Light" w:eastAsia="Calibri" w:hAnsi="Geomanist Light" w:cs="Arial"/>
          <w:sz w:val="22"/>
          <w:szCs w:val="22"/>
          <w:lang w:eastAsia="en-US"/>
        </w:rPr>
      </w:pPr>
    </w:p>
    <w:p w14:paraId="00C33F2E" w14:textId="77777777" w:rsidR="00594390" w:rsidRPr="00C02598" w:rsidRDefault="00594390" w:rsidP="00257EDB">
      <w:pPr>
        <w:contextualSpacing/>
        <w:rPr>
          <w:rFonts w:ascii="Geomanist Light" w:eastAsia="Calibri" w:hAnsi="Geomanist Light" w:cs="Arial"/>
          <w:b/>
          <w:noProof/>
          <w:sz w:val="22"/>
        </w:rPr>
      </w:pPr>
      <w:r w:rsidRPr="00C02598">
        <w:rPr>
          <w:rFonts w:ascii="Geomanist Light" w:eastAsia="Calibri" w:hAnsi="Geomanist Light" w:cs="Arial"/>
          <w:b/>
          <w:noProof/>
          <w:sz w:val="22"/>
        </w:rPr>
        <w:t xml:space="preserve">3. Respuesta </w:t>
      </w:r>
    </w:p>
    <w:p w14:paraId="5D5B6B13" w14:textId="77777777" w:rsidR="00594390" w:rsidRPr="00C02598" w:rsidRDefault="00594390" w:rsidP="00257EDB">
      <w:pPr>
        <w:ind w:right="760"/>
        <w:contextualSpacing/>
        <w:rPr>
          <w:rFonts w:ascii="Geomanist Light" w:hAnsi="Geomanist Light" w:cs="Arial"/>
          <w:color w:val="000000" w:themeColor="text1"/>
          <w:sz w:val="22"/>
        </w:rPr>
      </w:pPr>
    </w:p>
    <w:p w14:paraId="506F8EB7" w14:textId="77777777" w:rsidR="006C30B3" w:rsidRPr="00DE000C" w:rsidRDefault="006C30B3" w:rsidP="006C30B3">
      <w:pPr>
        <w:ind w:left="709" w:right="757"/>
        <w:jc w:val="both"/>
        <w:rPr>
          <w:rFonts w:ascii="Geomanist Light" w:hAnsi="Geomanist Light" w:cs="Arial"/>
          <w:bCs/>
          <w:sz w:val="21"/>
          <w:szCs w:val="21"/>
          <w:lang w:val="es-ES" w:eastAsia="es-CO"/>
        </w:rPr>
      </w:pPr>
      <w:r w:rsidRPr="00DE000C">
        <w:rPr>
          <w:rFonts w:ascii="Geomanist Light" w:hAnsi="Geomanist Light" w:cs="Arial"/>
          <w:bCs/>
          <w:sz w:val="21"/>
          <w:szCs w:val="21"/>
          <w:lang w:val="es-ES" w:eastAsia="es-CO"/>
        </w:rPr>
        <w:t>[…]</w:t>
      </w:r>
    </w:p>
    <w:p w14:paraId="62C2ECCD" w14:textId="77777777" w:rsidR="006C30B3" w:rsidRPr="00594390" w:rsidRDefault="006C30B3" w:rsidP="006C30B3">
      <w:pPr>
        <w:ind w:left="709" w:right="757"/>
        <w:jc w:val="both"/>
        <w:rPr>
          <w:rFonts w:ascii="Geomanist Light" w:hAnsi="Geomanist Light" w:cs="Arial"/>
          <w:sz w:val="21"/>
          <w:szCs w:val="21"/>
        </w:rPr>
      </w:pPr>
    </w:p>
    <w:p w14:paraId="6B036B02" w14:textId="209B710F" w:rsidR="006C30B3" w:rsidRDefault="006C30B3" w:rsidP="006C30B3">
      <w:pPr>
        <w:ind w:left="709" w:right="757"/>
        <w:jc w:val="both"/>
        <w:rPr>
          <w:rFonts w:ascii="Geomanist Light" w:hAnsi="Geomanist Light" w:cs="Arial"/>
          <w:sz w:val="21"/>
          <w:szCs w:val="21"/>
        </w:rPr>
      </w:pPr>
      <w:r w:rsidRPr="00DE000C">
        <w:rPr>
          <w:rFonts w:ascii="Geomanist Light" w:hAnsi="Geomanist Light" w:cs="Arial"/>
          <w:sz w:val="21"/>
          <w:szCs w:val="21"/>
          <w:lang w:val="es-ES_tradnl"/>
        </w:rPr>
        <w:t>»</w:t>
      </w:r>
      <w:r w:rsidRPr="00594390">
        <w:rPr>
          <w:rFonts w:ascii="Geomanist Light" w:hAnsi="Geomanist Light" w:cs="Arial"/>
          <w:sz w:val="21"/>
          <w:szCs w:val="21"/>
        </w:rPr>
        <w:t xml:space="preserve">1. </w:t>
      </w:r>
      <w:r w:rsidRPr="00DE000C">
        <w:rPr>
          <w:rFonts w:ascii="Geomanist Light" w:hAnsi="Geomanist Light" w:cs="Arial"/>
          <w:sz w:val="21"/>
          <w:szCs w:val="21"/>
        </w:rPr>
        <w:t xml:space="preserve">[…] </w:t>
      </w:r>
      <w:r w:rsidRPr="00594390">
        <w:rPr>
          <w:rFonts w:ascii="Geomanist Light" w:hAnsi="Geomanist Light" w:cs="Arial"/>
          <w:sz w:val="21"/>
          <w:szCs w:val="21"/>
        </w:rPr>
        <w:t xml:space="preserve">Se deben incluir los profesionales como ingenieros, </w:t>
      </w:r>
      <w:r w:rsidRPr="00DE000C">
        <w:rPr>
          <w:rFonts w:ascii="Geomanist Light" w:hAnsi="Geomanist Light" w:cs="Arial"/>
          <w:sz w:val="21"/>
          <w:szCs w:val="21"/>
        </w:rPr>
        <w:t>arquitectos,</w:t>
      </w:r>
      <w:r w:rsidRPr="00594390">
        <w:rPr>
          <w:rFonts w:ascii="Geomanist Light" w:hAnsi="Geomanist Light" w:cs="Arial"/>
          <w:sz w:val="21"/>
          <w:szCs w:val="21"/>
        </w:rPr>
        <w:t xml:space="preserve"> </w:t>
      </w:r>
      <w:r w:rsidRPr="00DE000C">
        <w:rPr>
          <w:rFonts w:ascii="Geomanist Light" w:hAnsi="Geomanist Light" w:cs="Arial"/>
          <w:sz w:val="21"/>
          <w:szCs w:val="21"/>
        </w:rPr>
        <w:t>geólogos</w:t>
      </w:r>
      <w:r w:rsidRPr="00594390">
        <w:rPr>
          <w:rFonts w:ascii="Geomanist Light" w:hAnsi="Geomanist Light" w:cs="Arial"/>
          <w:sz w:val="21"/>
          <w:szCs w:val="21"/>
        </w:rPr>
        <w:t xml:space="preserve"> relacionados con las actividades directas de la construcción</w:t>
      </w:r>
      <w:r w:rsidRPr="00594390">
        <w:rPr>
          <w:rFonts w:ascii="Calibri" w:hAnsi="Calibri" w:cs="Calibri"/>
          <w:sz w:val="21"/>
          <w:szCs w:val="21"/>
        </w:rPr>
        <w:t> </w:t>
      </w:r>
      <w:r w:rsidRPr="00594390">
        <w:rPr>
          <w:rFonts w:ascii="Geomanist Light" w:hAnsi="Geomanist Light" w:cs="Arial"/>
          <w:sz w:val="21"/>
          <w:szCs w:val="21"/>
        </w:rPr>
        <w:t>si tienen un contrato de prestaci</w:t>
      </w:r>
      <w:r w:rsidRPr="00594390">
        <w:rPr>
          <w:rFonts w:ascii="Geomanist Light" w:hAnsi="Geomanist Light" w:cs="Geomanist Light"/>
          <w:sz w:val="21"/>
          <w:szCs w:val="21"/>
        </w:rPr>
        <w:t>ó</w:t>
      </w:r>
      <w:r w:rsidRPr="00594390">
        <w:rPr>
          <w:rFonts w:ascii="Geomanist Light" w:hAnsi="Geomanist Light" w:cs="Arial"/>
          <w:sz w:val="21"/>
          <w:szCs w:val="21"/>
        </w:rPr>
        <w:t>n</w:t>
      </w:r>
      <w:r w:rsidRPr="00594390">
        <w:rPr>
          <w:rFonts w:ascii="Calibri" w:hAnsi="Calibri" w:cs="Calibri"/>
          <w:sz w:val="21"/>
          <w:szCs w:val="21"/>
        </w:rPr>
        <w:t> </w:t>
      </w:r>
      <w:r w:rsidRPr="00594390">
        <w:rPr>
          <w:rFonts w:ascii="Geomanist Light" w:hAnsi="Geomanist Light" w:cs="Arial"/>
          <w:sz w:val="21"/>
          <w:szCs w:val="21"/>
        </w:rPr>
        <w:t xml:space="preserve">de </w:t>
      </w:r>
      <w:r w:rsidRPr="00DE000C">
        <w:rPr>
          <w:rFonts w:ascii="Geomanist Light" w:hAnsi="Geomanist Light" w:cs="Arial"/>
          <w:sz w:val="21"/>
          <w:szCs w:val="21"/>
        </w:rPr>
        <w:t>servicios</w:t>
      </w:r>
      <w:r w:rsidRPr="00DE000C">
        <w:rPr>
          <w:rFonts w:ascii="Calibri" w:hAnsi="Calibri" w:cs="Calibri"/>
          <w:sz w:val="21"/>
          <w:szCs w:val="21"/>
        </w:rPr>
        <w:t xml:space="preserve"> con</w:t>
      </w:r>
      <w:r w:rsidRPr="00594390">
        <w:rPr>
          <w:rFonts w:ascii="Geomanist Light" w:hAnsi="Geomanist Light" w:cs="Arial"/>
          <w:sz w:val="21"/>
          <w:szCs w:val="21"/>
        </w:rPr>
        <w:t xml:space="preserve"> el proponente?</w:t>
      </w:r>
      <w:r w:rsidRPr="00594390">
        <w:rPr>
          <w:rFonts w:ascii="Geomanist Light" w:hAnsi="Geomanist Light" w:cs="Arial"/>
          <w:sz w:val="21"/>
          <w:szCs w:val="21"/>
        </w:rPr>
        <w:br/>
      </w:r>
    </w:p>
    <w:p w14:paraId="61F42205" w14:textId="4A1E9FB7" w:rsidR="001A0AE3" w:rsidRDefault="001A0AE3" w:rsidP="00257EDB">
      <w:pPr>
        <w:spacing w:line="276" w:lineRule="auto"/>
        <w:jc w:val="both"/>
        <w:rPr>
          <w:rFonts w:ascii="Geomanist Light" w:eastAsia="Calibri" w:hAnsi="Geomanist Light" w:cs="Arial"/>
          <w:sz w:val="22"/>
          <w:lang w:val="es-ES"/>
        </w:rPr>
      </w:pPr>
      <w:r w:rsidRPr="00C02598">
        <w:rPr>
          <w:rFonts w:ascii="Geomanist Light" w:eastAsia="Calibri" w:hAnsi="Geomanist Light" w:cs="Arial"/>
          <w:sz w:val="22"/>
          <w:lang w:val="es-ES_tradnl"/>
        </w:rPr>
        <w:t xml:space="preserve">De conformidad con lo expuesto, </w:t>
      </w:r>
      <w:r>
        <w:rPr>
          <w:rFonts w:ascii="Geomanist Light" w:eastAsia="Calibri" w:hAnsi="Geomanist Light" w:cs="Arial"/>
          <w:sz w:val="22"/>
          <w:lang w:val="es-ES"/>
        </w:rPr>
        <w:t>se puede concluir que</w:t>
      </w:r>
      <w:r w:rsidRPr="004D5976">
        <w:rPr>
          <w:rFonts w:ascii="Geomanist Light" w:eastAsia="Calibri" w:hAnsi="Geomanist Light" w:cs="Arial"/>
          <w:sz w:val="22"/>
          <w:lang w:val="es-ES"/>
        </w:rPr>
        <w:t xml:space="preserve"> el literal D) del numeral 4 de la </w:t>
      </w:r>
      <w:r w:rsidRPr="00E202DB">
        <w:rPr>
          <w:rFonts w:ascii="Geomanist Light" w:hAnsi="Geomanist Light"/>
          <w:sz w:val="22"/>
          <w:szCs w:val="22"/>
        </w:rPr>
        <w:t>«</w:t>
      </w:r>
      <w:r w:rsidRPr="004D5976">
        <w:rPr>
          <w:rFonts w:ascii="Geomanist Light" w:eastAsia="Calibri" w:hAnsi="Geomanist Light" w:cs="Arial"/>
          <w:sz w:val="22"/>
          <w:lang w:val="es-ES"/>
        </w:rPr>
        <w:t>Guía para Determinar y Verificar la Capacidad Residual del Proponente en los Procesos de Contratación de Obra Pública</w:t>
      </w:r>
      <w:r w:rsidRPr="00690FD7">
        <w:rPr>
          <w:rFonts w:ascii="Geomanist Light" w:hAnsi="Geomanist Light" w:cs="Arial"/>
          <w:color w:val="000000" w:themeColor="text1"/>
          <w:sz w:val="22"/>
          <w:szCs w:val="22"/>
          <w:lang w:val="es-MX"/>
        </w:rPr>
        <w:t>»</w:t>
      </w:r>
      <w:r w:rsidRPr="004D5976">
        <w:rPr>
          <w:rFonts w:ascii="Geomanist Light" w:eastAsia="Calibri" w:hAnsi="Geomanist Light" w:cs="Arial"/>
          <w:sz w:val="22"/>
          <w:lang w:val="es-ES"/>
        </w:rPr>
        <w:t xml:space="preserve"> y su </w:t>
      </w:r>
      <w:r w:rsidRPr="00E202DB">
        <w:rPr>
          <w:rFonts w:ascii="Geomanist Light" w:hAnsi="Geomanist Light"/>
          <w:sz w:val="22"/>
          <w:szCs w:val="22"/>
        </w:rPr>
        <w:t>«</w:t>
      </w:r>
      <w:r w:rsidRPr="004D5976">
        <w:rPr>
          <w:rFonts w:ascii="Geomanist Light" w:eastAsia="Calibri" w:hAnsi="Geomanist Light" w:cs="Arial"/>
          <w:sz w:val="22"/>
          <w:lang w:val="es-ES"/>
        </w:rPr>
        <w:t>Anexo 2</w:t>
      </w:r>
      <w:r w:rsidRPr="00690FD7">
        <w:rPr>
          <w:rFonts w:ascii="Geomanist Light" w:hAnsi="Geomanist Light" w:cs="Arial"/>
          <w:color w:val="000000" w:themeColor="text1"/>
          <w:sz w:val="22"/>
          <w:szCs w:val="22"/>
          <w:lang w:val="es-MX"/>
        </w:rPr>
        <w:t>»</w:t>
      </w:r>
      <w:r w:rsidRPr="004D5976">
        <w:rPr>
          <w:rFonts w:ascii="Geomanist Light" w:eastAsia="Calibri" w:hAnsi="Geomanist Light" w:cs="Arial"/>
          <w:sz w:val="22"/>
          <w:lang w:val="es-ES"/>
        </w:rPr>
        <w:t xml:space="preserve">, </w:t>
      </w:r>
      <w:r>
        <w:rPr>
          <w:rFonts w:ascii="Geomanist Light" w:eastAsia="Calibri" w:hAnsi="Geomanist Light" w:cs="Arial"/>
          <w:sz w:val="22"/>
          <w:lang w:val="es-ES"/>
        </w:rPr>
        <w:t xml:space="preserve">establece que </w:t>
      </w:r>
      <w:r w:rsidRPr="004D5976">
        <w:rPr>
          <w:rFonts w:ascii="Geomanist Light" w:eastAsia="Calibri" w:hAnsi="Geomanist Light" w:cs="Arial"/>
          <w:sz w:val="22"/>
          <w:lang w:val="es-ES"/>
        </w:rPr>
        <w:t>los socios y profesionales de la arquitectura, ingeniería y geología, deben estar vinculados mediante una relación laboral o contractual</w:t>
      </w:r>
      <w:r>
        <w:rPr>
          <w:rFonts w:ascii="Geomanist Light" w:eastAsia="Calibri" w:hAnsi="Geomanist Light" w:cs="Arial"/>
          <w:sz w:val="22"/>
          <w:lang w:val="es-ES"/>
        </w:rPr>
        <w:t xml:space="preserve">, por lo cual para el cálculo de la Capacidad Técnica </w:t>
      </w:r>
      <w:r>
        <w:rPr>
          <w:rFonts w:ascii="Geomanist Light" w:eastAsia="Calibri" w:hAnsi="Geomanist Light" w:cs="Arial"/>
          <w:sz w:val="22"/>
          <w:lang w:val="es-ES"/>
        </w:rPr>
        <w:lastRenderedPageBreak/>
        <w:t>se deben tener en cuenta los profesionales antes mencionados que estén vinculados con el proponente a través de un contrato de prestación de servicios, siempre que desarrollen actividades relacionadas con la construcción.</w:t>
      </w:r>
    </w:p>
    <w:p w14:paraId="3570BC15" w14:textId="77777777" w:rsidR="001A0AE3" w:rsidRPr="00594390" w:rsidRDefault="001A0AE3" w:rsidP="00257EDB">
      <w:pPr>
        <w:ind w:right="757"/>
        <w:contextualSpacing/>
        <w:jc w:val="both"/>
        <w:rPr>
          <w:rFonts w:ascii="Geomanist Light" w:hAnsi="Geomanist Light" w:cs="Arial"/>
          <w:sz w:val="21"/>
          <w:szCs w:val="21"/>
        </w:rPr>
      </w:pPr>
    </w:p>
    <w:p w14:paraId="7D2D1333" w14:textId="77777777" w:rsidR="006C30B3" w:rsidRPr="00594390" w:rsidRDefault="006C30B3" w:rsidP="00257EDB">
      <w:pPr>
        <w:ind w:left="709" w:right="757"/>
        <w:contextualSpacing/>
        <w:jc w:val="both"/>
        <w:rPr>
          <w:rFonts w:ascii="Geomanist Light" w:hAnsi="Geomanist Light" w:cs="Arial"/>
          <w:sz w:val="21"/>
          <w:szCs w:val="21"/>
        </w:rPr>
      </w:pPr>
      <w:r w:rsidRPr="00DE000C">
        <w:rPr>
          <w:rFonts w:ascii="Geomanist Light" w:hAnsi="Geomanist Light" w:cs="Arial"/>
          <w:sz w:val="21"/>
          <w:szCs w:val="21"/>
          <w:lang w:val="es-ES_tradnl"/>
        </w:rPr>
        <w:t>»</w:t>
      </w:r>
      <w:r w:rsidRPr="00594390">
        <w:rPr>
          <w:rFonts w:ascii="Geomanist Light" w:hAnsi="Geomanist Light" w:cs="Arial"/>
          <w:sz w:val="21"/>
          <w:szCs w:val="21"/>
        </w:rPr>
        <w:t xml:space="preserve">2. </w:t>
      </w:r>
      <w:r w:rsidRPr="00DE000C">
        <w:rPr>
          <w:rFonts w:ascii="Geomanist Light" w:hAnsi="Geomanist Light" w:cs="Arial"/>
          <w:sz w:val="21"/>
          <w:szCs w:val="21"/>
        </w:rPr>
        <w:t xml:space="preserve">[¿] </w:t>
      </w:r>
      <w:r w:rsidRPr="00594390">
        <w:rPr>
          <w:rFonts w:ascii="Geomanist Light" w:hAnsi="Geomanist Light" w:cs="Arial"/>
          <w:sz w:val="21"/>
          <w:szCs w:val="21"/>
        </w:rPr>
        <w:t xml:space="preserve">Si el proponente tiene personal a cargo de manera dependiente como empleados del servicio </w:t>
      </w:r>
      <w:r w:rsidRPr="00DE000C">
        <w:rPr>
          <w:rFonts w:ascii="Geomanist Light" w:hAnsi="Geomanist Light" w:cs="Arial"/>
          <w:sz w:val="21"/>
          <w:szCs w:val="21"/>
        </w:rPr>
        <w:t>doméstico</w:t>
      </w:r>
      <w:r w:rsidRPr="00594390">
        <w:rPr>
          <w:rFonts w:ascii="Geomanist Light" w:hAnsi="Geomanist Light" w:cs="Arial"/>
          <w:sz w:val="21"/>
          <w:szCs w:val="21"/>
        </w:rPr>
        <w:t xml:space="preserve">, vigilantes, conductores que no desarrollan actividades directas de la </w:t>
      </w:r>
      <w:r w:rsidRPr="00DE000C">
        <w:rPr>
          <w:rFonts w:ascii="Geomanist Light" w:hAnsi="Geomanist Light" w:cs="Arial"/>
          <w:sz w:val="21"/>
          <w:szCs w:val="21"/>
        </w:rPr>
        <w:t>construcción, estos deben</w:t>
      </w:r>
      <w:r w:rsidRPr="00594390">
        <w:rPr>
          <w:rFonts w:ascii="Geomanist Light" w:hAnsi="Geomanist Light" w:cs="Arial"/>
          <w:sz w:val="21"/>
          <w:szCs w:val="21"/>
        </w:rPr>
        <w:t xml:space="preserve"> o no deben incluirse en el cuadro de capacidad técnica para el </w:t>
      </w:r>
      <w:r w:rsidRPr="00DE000C">
        <w:rPr>
          <w:rFonts w:ascii="Geomanist Light" w:hAnsi="Geomanist Light" w:cs="Arial"/>
          <w:sz w:val="21"/>
          <w:szCs w:val="21"/>
        </w:rPr>
        <w:t>cálculo</w:t>
      </w:r>
      <w:r w:rsidRPr="00594390">
        <w:rPr>
          <w:rFonts w:ascii="Geomanist Light" w:hAnsi="Geomanist Light" w:cs="Arial"/>
          <w:sz w:val="21"/>
          <w:szCs w:val="21"/>
        </w:rPr>
        <w:t xml:space="preserve"> de la capacidad residual?</w:t>
      </w:r>
    </w:p>
    <w:p w14:paraId="454685E3" w14:textId="77777777" w:rsidR="006C30B3" w:rsidRPr="00594390" w:rsidRDefault="006C30B3" w:rsidP="00257EDB">
      <w:pPr>
        <w:ind w:left="709" w:right="757"/>
        <w:contextualSpacing/>
        <w:jc w:val="both"/>
        <w:rPr>
          <w:rFonts w:ascii="Geomanist Light" w:hAnsi="Geomanist Light" w:cs="Arial"/>
          <w:sz w:val="21"/>
          <w:szCs w:val="21"/>
        </w:rPr>
      </w:pPr>
    </w:p>
    <w:p w14:paraId="3D8B20C5" w14:textId="77777777" w:rsidR="006C30B3" w:rsidRPr="00594390" w:rsidRDefault="006C30B3" w:rsidP="00257EDB">
      <w:pPr>
        <w:ind w:left="709" w:right="757"/>
        <w:contextualSpacing/>
        <w:jc w:val="both"/>
        <w:rPr>
          <w:rFonts w:ascii="Geomanist Light" w:hAnsi="Geomanist Light" w:cs="Arial"/>
          <w:sz w:val="21"/>
          <w:szCs w:val="21"/>
        </w:rPr>
      </w:pPr>
      <w:r w:rsidRPr="00DE000C">
        <w:rPr>
          <w:rFonts w:ascii="Geomanist Light" w:hAnsi="Geomanist Light" w:cs="Arial"/>
          <w:sz w:val="21"/>
          <w:szCs w:val="21"/>
          <w:lang w:val="es-ES_tradnl"/>
        </w:rPr>
        <w:t>»</w:t>
      </w:r>
      <w:r w:rsidRPr="00594390">
        <w:rPr>
          <w:rFonts w:ascii="Geomanist Light" w:hAnsi="Geomanist Light" w:cs="Arial"/>
          <w:sz w:val="21"/>
          <w:szCs w:val="21"/>
        </w:rPr>
        <w:t xml:space="preserve">3. </w:t>
      </w:r>
      <w:r w:rsidRPr="00DE000C">
        <w:rPr>
          <w:rFonts w:ascii="Geomanist Light" w:hAnsi="Geomanist Light" w:cs="Arial"/>
          <w:sz w:val="21"/>
          <w:szCs w:val="21"/>
        </w:rPr>
        <w:t xml:space="preserve">[¿] </w:t>
      </w:r>
      <w:r w:rsidRPr="00594390">
        <w:rPr>
          <w:rFonts w:ascii="Geomanist Light" w:hAnsi="Geomanist Light" w:cs="Arial"/>
          <w:sz w:val="21"/>
          <w:szCs w:val="21"/>
        </w:rPr>
        <w:t xml:space="preserve">Si el proponente tiene personal a cargo como contadores, secretarios, estos deben o no deben incluirse en el cuadro de la capacidad técnica para el </w:t>
      </w:r>
      <w:r w:rsidRPr="00DE000C">
        <w:rPr>
          <w:rFonts w:ascii="Geomanist Light" w:hAnsi="Geomanist Light" w:cs="Arial"/>
          <w:sz w:val="21"/>
          <w:szCs w:val="21"/>
        </w:rPr>
        <w:t>cálculo</w:t>
      </w:r>
      <w:r w:rsidRPr="00594390">
        <w:rPr>
          <w:rFonts w:ascii="Geomanist Light" w:hAnsi="Geomanist Light" w:cs="Arial"/>
          <w:sz w:val="21"/>
          <w:szCs w:val="21"/>
        </w:rPr>
        <w:t xml:space="preserve"> de la capacidad residual?</w:t>
      </w:r>
      <w:r w:rsidRPr="00DE000C">
        <w:rPr>
          <w:rFonts w:ascii="Geomanist Light" w:hAnsi="Geomanist Light" w:cs="Arial"/>
          <w:sz w:val="21"/>
          <w:szCs w:val="21"/>
          <w:lang w:val="es-ES_tradnl"/>
        </w:rPr>
        <w:t>» (sic).</w:t>
      </w:r>
    </w:p>
    <w:p w14:paraId="6847D288" w14:textId="77777777" w:rsidR="00594390" w:rsidRPr="00C02598" w:rsidRDefault="00594390" w:rsidP="00257EDB">
      <w:pPr>
        <w:spacing w:line="276" w:lineRule="auto"/>
        <w:contextualSpacing/>
        <w:jc w:val="both"/>
        <w:rPr>
          <w:rFonts w:ascii="Geomanist Light" w:eastAsia="Calibri" w:hAnsi="Geomanist Light" w:cs="Arial"/>
          <w:sz w:val="22"/>
        </w:rPr>
      </w:pPr>
    </w:p>
    <w:p w14:paraId="2303AE0E" w14:textId="27D3A9DF" w:rsidR="004D5976" w:rsidRPr="004D5976" w:rsidRDefault="004D5976" w:rsidP="00257EDB">
      <w:pPr>
        <w:ind w:left="100"/>
        <w:contextualSpacing/>
        <w:jc w:val="both"/>
        <w:rPr>
          <w:rFonts w:ascii="Geomanist Light" w:eastAsia="Calibri" w:hAnsi="Geomanist Light" w:cs="Arial"/>
          <w:sz w:val="2"/>
          <w:szCs w:val="4"/>
          <w:lang w:val="es-ES"/>
        </w:rPr>
      </w:pPr>
    </w:p>
    <w:p w14:paraId="27D86BA8" w14:textId="76B5DCA2" w:rsidR="001A0AE3" w:rsidRDefault="004D5976" w:rsidP="001A0AE3">
      <w:pPr>
        <w:spacing w:line="276" w:lineRule="auto"/>
        <w:ind w:firstLine="709"/>
        <w:jc w:val="both"/>
        <w:rPr>
          <w:rFonts w:ascii="Geomanist Light" w:hAnsi="Geomanist Light"/>
          <w:sz w:val="22"/>
          <w:szCs w:val="22"/>
          <w:lang w:val="es-ES"/>
        </w:rPr>
      </w:pPr>
      <w:r w:rsidRPr="004D5976">
        <w:rPr>
          <w:rFonts w:ascii="Geomanist Light" w:eastAsia="Calibri" w:hAnsi="Geomanist Light" w:cs="Arial"/>
          <w:sz w:val="22"/>
          <w:lang w:val="es-ES"/>
        </w:rPr>
        <w:t>Los socios y profesionales que se tienen en cuenta para el puntaje que se incluye en la fórmula de la capacidad residual por concepto de Capacidad Técnica (CT), son los que pertenezcan a las profesiones de arquitectura, ingeniería y geología. En consecuencia, los socios y profesionales que no tengan las profesiones enunciadas no serán tenidos en este factor</w:t>
      </w:r>
      <w:r w:rsidR="001A0AE3">
        <w:rPr>
          <w:rFonts w:ascii="Geomanist Light" w:eastAsia="Calibri" w:hAnsi="Geomanist Light" w:cs="Arial"/>
          <w:sz w:val="22"/>
          <w:lang w:val="es-ES"/>
        </w:rPr>
        <w:t xml:space="preserve">, </w:t>
      </w:r>
      <w:r w:rsidR="001A0AE3">
        <w:rPr>
          <w:rFonts w:ascii="Geomanist Light" w:hAnsi="Geomanist Light"/>
          <w:sz w:val="22"/>
          <w:szCs w:val="22"/>
          <w:lang w:val="es-ES"/>
        </w:rPr>
        <w:t>como contadores, secretarios, empleados del servicio doméstico, vigilantes o conductores, a los que hace mención en su consulta, aun cuando la vinculación con el proponente sea de carácter laboral o contractual, toda vez que estos no se encuentran dentro de las profesiones establecidas en la guía, así como tampoco desarrollan actividades directamente relacionadas con la construcción de obra.</w:t>
      </w:r>
    </w:p>
    <w:p w14:paraId="5D95081A" w14:textId="77777777" w:rsidR="001A0AE3" w:rsidRDefault="001A0AE3" w:rsidP="00594390">
      <w:pPr>
        <w:spacing w:line="276" w:lineRule="auto"/>
        <w:jc w:val="both"/>
        <w:rPr>
          <w:rFonts w:ascii="Geomanist Light" w:eastAsia="Calibri" w:hAnsi="Geomanist Light" w:cs="Arial"/>
          <w:sz w:val="22"/>
        </w:rPr>
      </w:pPr>
    </w:p>
    <w:p w14:paraId="4068DA90" w14:textId="4846C233" w:rsidR="00594390" w:rsidRPr="00C02598" w:rsidRDefault="00594390" w:rsidP="00594390">
      <w:pPr>
        <w:spacing w:line="276" w:lineRule="auto"/>
        <w:jc w:val="both"/>
        <w:rPr>
          <w:rFonts w:ascii="Geomanist Light" w:eastAsia="Calibri" w:hAnsi="Geomanist Light" w:cs="Arial"/>
          <w:sz w:val="22"/>
        </w:rPr>
      </w:pPr>
      <w:r w:rsidRPr="00C02598">
        <w:rPr>
          <w:rFonts w:ascii="Geomanist Light" w:eastAsia="Calibri" w:hAnsi="Geomanist Light" w:cs="Arial"/>
          <w:sz w:val="22"/>
        </w:rPr>
        <w:t>Este concepto tiene el alcance previsto en el artículo 28 del Código de Procedimiento Administrativo y de lo Contencioso Administrativo.</w:t>
      </w:r>
    </w:p>
    <w:p w14:paraId="7189CC0D" w14:textId="77777777" w:rsidR="00594390" w:rsidRPr="00C02598" w:rsidRDefault="00594390" w:rsidP="00594390">
      <w:pPr>
        <w:spacing w:line="276" w:lineRule="auto"/>
        <w:jc w:val="both"/>
        <w:rPr>
          <w:rFonts w:ascii="Geomanist Light" w:eastAsia="Calibri" w:hAnsi="Geomanist Light" w:cs="Arial"/>
          <w:sz w:val="22"/>
        </w:rPr>
      </w:pPr>
    </w:p>
    <w:bookmarkEnd w:id="1"/>
    <w:bookmarkEnd w:id="2"/>
    <w:p w14:paraId="35CEF451" w14:textId="77777777" w:rsidR="003779A0" w:rsidRPr="00C25FD3" w:rsidRDefault="003779A0" w:rsidP="003779A0">
      <w:pPr>
        <w:pStyle w:val="NormalWeb"/>
        <w:spacing w:before="0" w:beforeAutospacing="0" w:after="0" w:afterAutospacing="0" w:line="276" w:lineRule="auto"/>
        <w:jc w:val="both"/>
        <w:rPr>
          <w:rFonts w:ascii="Geomanist Light" w:hAnsi="Geomanist Light" w:cs="Arial"/>
          <w:color w:val="000000" w:themeColor="text1"/>
          <w:sz w:val="22"/>
          <w:szCs w:val="22"/>
          <w:lang w:val="es-ES_tradnl"/>
        </w:rPr>
      </w:pPr>
      <w:r w:rsidRPr="00C25FD3">
        <w:rPr>
          <w:rFonts w:ascii="Geomanist Light" w:hAnsi="Geomanist Light" w:cs="Arial"/>
          <w:color w:val="000000" w:themeColor="text1"/>
          <w:sz w:val="22"/>
          <w:szCs w:val="22"/>
          <w:lang w:val="es-ES_tradnl"/>
        </w:rPr>
        <w:t>Atentamente,</w:t>
      </w:r>
    </w:p>
    <w:p w14:paraId="5F7F9713" w14:textId="77777777" w:rsidR="003779A0" w:rsidRPr="00C25FD3" w:rsidRDefault="003779A0" w:rsidP="003779A0">
      <w:pPr>
        <w:pStyle w:val="NormalWeb"/>
        <w:spacing w:before="0" w:beforeAutospacing="0" w:after="0" w:afterAutospacing="0" w:line="276" w:lineRule="auto"/>
        <w:jc w:val="both"/>
        <w:rPr>
          <w:rFonts w:ascii="Geomanist Light" w:hAnsi="Geomanist Light" w:cs="Arial"/>
          <w:color w:val="000000" w:themeColor="text1"/>
          <w:sz w:val="22"/>
          <w:szCs w:val="22"/>
          <w:lang w:val="es-ES_tradnl"/>
        </w:rPr>
      </w:pPr>
    </w:p>
    <w:p w14:paraId="3CD390F7" w14:textId="249DFB15" w:rsidR="003779A0" w:rsidRPr="00C25FD3" w:rsidRDefault="00A2693B" w:rsidP="003779A0">
      <w:pPr>
        <w:jc w:val="center"/>
        <w:textAlignment w:val="baseline"/>
        <w:rPr>
          <w:rFonts w:ascii="Geomanist Light" w:hAnsi="Geomanist Light" w:cs="Segoe UI"/>
          <w:sz w:val="18"/>
          <w:szCs w:val="18"/>
          <w:lang w:val="es-ES_tradnl" w:eastAsia="es-CO"/>
        </w:rPr>
      </w:pPr>
      <w:r>
        <w:rPr>
          <w:rFonts w:ascii="Calibri" w:hAnsi="Calibri" w:cs="Calibri"/>
          <w:noProof/>
          <w:sz w:val="18"/>
          <w:szCs w:val="18"/>
          <w:lang w:val="es-ES_tradnl" w:eastAsia="es-CO"/>
        </w:rPr>
        <w:drawing>
          <wp:inline distT="0" distB="0" distL="0" distR="0" wp14:anchorId="57FB7423" wp14:editId="3DCA7FA6">
            <wp:extent cx="2349800" cy="90376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25255" cy="932790"/>
                    </a:xfrm>
                    <a:prstGeom prst="rect">
                      <a:avLst/>
                    </a:prstGeom>
                    <a:noFill/>
                  </pic:spPr>
                </pic:pic>
              </a:graphicData>
            </a:graphic>
          </wp:inline>
        </w:drawing>
      </w:r>
      <w:r w:rsidR="003779A0" w:rsidRPr="00C25FD3">
        <w:rPr>
          <w:rFonts w:ascii="Calibri" w:hAnsi="Calibri" w:cs="Calibri"/>
          <w:sz w:val="18"/>
          <w:szCs w:val="18"/>
          <w:lang w:val="es-ES_tradnl" w:eastAsia="es-CO"/>
        </w:rPr>
        <w:t> </w:t>
      </w:r>
    </w:p>
    <w:p w14:paraId="1B6D1E23" w14:textId="77777777" w:rsidR="003779A0" w:rsidRPr="00C25FD3" w:rsidRDefault="003779A0" w:rsidP="003779A0">
      <w:pPr>
        <w:rPr>
          <w:rFonts w:ascii="Geomanist Light" w:hAnsi="Geomanist Light" w:cs="Arial"/>
          <w:sz w:val="16"/>
          <w:szCs w:val="16"/>
          <w:lang w:val="es-MX"/>
        </w:rPr>
      </w:pPr>
    </w:p>
    <w:p w14:paraId="4429E65A" w14:textId="77777777" w:rsidR="003779A0" w:rsidRPr="00C25FD3" w:rsidRDefault="003779A0" w:rsidP="003779A0">
      <w:pPr>
        <w:rPr>
          <w:rFonts w:ascii="Geomanist Light" w:hAnsi="Geomanist Light" w:cs="Arial"/>
          <w:sz w:val="16"/>
          <w:szCs w:val="16"/>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3779A0" w:rsidRPr="00C25FD3" w14:paraId="37D88685" w14:textId="77777777" w:rsidTr="00CC4250">
        <w:trPr>
          <w:trHeight w:val="315"/>
        </w:trPr>
        <w:tc>
          <w:tcPr>
            <w:tcW w:w="812" w:type="dxa"/>
            <w:vAlign w:val="center"/>
            <w:hideMark/>
          </w:tcPr>
          <w:p w14:paraId="1676E908" w14:textId="77777777" w:rsidR="003779A0" w:rsidRPr="00C25FD3" w:rsidRDefault="003779A0" w:rsidP="00CC4250">
            <w:pPr>
              <w:rPr>
                <w:rFonts w:ascii="Geomanist Light" w:hAnsi="Geomanist Light" w:cs="Arial"/>
                <w:sz w:val="16"/>
                <w:szCs w:val="16"/>
              </w:rPr>
            </w:pPr>
            <w:r w:rsidRPr="00C25FD3">
              <w:rPr>
                <w:rFonts w:ascii="Geomanist Light" w:hAnsi="Geomanist Light" w:cs="Arial"/>
                <w:sz w:val="16"/>
                <w:szCs w:val="16"/>
              </w:rPr>
              <w:t>Elaboró:</w:t>
            </w:r>
          </w:p>
        </w:tc>
        <w:tc>
          <w:tcPr>
            <w:tcW w:w="4291" w:type="dxa"/>
            <w:tcBorders>
              <w:top w:val="nil"/>
              <w:left w:val="nil"/>
              <w:bottom w:val="dotted" w:sz="4" w:space="0" w:color="7F7F7F" w:themeColor="text1" w:themeTint="80"/>
              <w:right w:val="nil"/>
            </w:tcBorders>
            <w:vAlign w:val="center"/>
            <w:hideMark/>
          </w:tcPr>
          <w:p w14:paraId="6AD6A5AE" w14:textId="77777777" w:rsidR="003779A0" w:rsidRPr="00C25FD3" w:rsidRDefault="003779A0" w:rsidP="00CC4250">
            <w:pPr>
              <w:rPr>
                <w:rFonts w:ascii="Geomanist Light" w:hAnsi="Geomanist Light" w:cs="Arial"/>
                <w:sz w:val="16"/>
                <w:szCs w:val="16"/>
                <w:lang w:val="es-ES_tradnl"/>
              </w:rPr>
            </w:pPr>
            <w:r w:rsidRPr="00C25FD3">
              <w:rPr>
                <w:rFonts w:ascii="Geomanist Light" w:hAnsi="Geomanist Light" w:cs="Arial"/>
                <w:sz w:val="16"/>
                <w:szCs w:val="16"/>
                <w:lang w:val="es-ES_tradnl"/>
              </w:rPr>
              <w:t>Melissa Fernández Reinoso</w:t>
            </w:r>
          </w:p>
          <w:p w14:paraId="479EF2E1" w14:textId="77777777" w:rsidR="003779A0" w:rsidRPr="00C25FD3" w:rsidRDefault="003779A0" w:rsidP="00CC4250">
            <w:pPr>
              <w:rPr>
                <w:rFonts w:ascii="Geomanist Light" w:hAnsi="Geomanist Light" w:cs="Arial"/>
                <w:sz w:val="16"/>
                <w:szCs w:val="16"/>
              </w:rPr>
            </w:pPr>
            <w:r w:rsidRPr="00C25FD3">
              <w:rPr>
                <w:rFonts w:ascii="Geomanist Light" w:hAnsi="Geomanist Light" w:cs="Arial"/>
                <w:sz w:val="16"/>
                <w:szCs w:val="16"/>
                <w:lang w:val="es-ES_tradnl"/>
              </w:rPr>
              <w:t>Analista T2-2 de la Subdirección de Gestión Contractual</w:t>
            </w:r>
          </w:p>
        </w:tc>
      </w:tr>
      <w:tr w:rsidR="003779A0" w:rsidRPr="00C25FD3" w14:paraId="3604928D" w14:textId="77777777" w:rsidTr="00CC4250">
        <w:trPr>
          <w:trHeight w:val="330"/>
        </w:trPr>
        <w:tc>
          <w:tcPr>
            <w:tcW w:w="812" w:type="dxa"/>
            <w:vAlign w:val="center"/>
            <w:hideMark/>
          </w:tcPr>
          <w:p w14:paraId="08AD5B8F" w14:textId="77777777" w:rsidR="003779A0" w:rsidRPr="00C25FD3" w:rsidRDefault="003779A0" w:rsidP="00CC4250">
            <w:pPr>
              <w:rPr>
                <w:rFonts w:ascii="Geomanist Light" w:hAnsi="Geomanist Light" w:cs="Arial"/>
                <w:sz w:val="16"/>
                <w:szCs w:val="16"/>
              </w:rPr>
            </w:pPr>
            <w:r w:rsidRPr="00C25FD3">
              <w:rPr>
                <w:rFonts w:ascii="Geomanist Light" w:hAnsi="Geomanist Light" w:cs="Arial"/>
                <w:sz w:val="16"/>
                <w:szCs w:val="16"/>
              </w:rPr>
              <w:t>Revisó: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7D9E3C1C" w14:textId="7E40D3A4" w:rsidR="003779A0" w:rsidRPr="00C25FD3" w:rsidRDefault="003779A0" w:rsidP="00CC4250">
            <w:pPr>
              <w:spacing w:line="276" w:lineRule="auto"/>
              <w:rPr>
                <w:rFonts w:ascii="Geomanist Light" w:hAnsi="Geomanist Light" w:cs="Arial"/>
                <w:sz w:val="16"/>
                <w:szCs w:val="16"/>
                <w:lang w:val="es-ES_tradnl" w:eastAsia="es-ES"/>
              </w:rPr>
            </w:pPr>
            <w:r w:rsidRPr="00C25FD3">
              <w:rPr>
                <w:rFonts w:ascii="Geomanist Light" w:hAnsi="Geomanist Light" w:cs="Arial"/>
                <w:sz w:val="16"/>
                <w:szCs w:val="16"/>
                <w:lang w:val="es-ES_tradnl" w:eastAsia="es-ES"/>
              </w:rPr>
              <w:t>Diana</w:t>
            </w:r>
            <w:r w:rsidR="0033509C">
              <w:rPr>
                <w:rFonts w:ascii="Geomanist Light" w:hAnsi="Geomanist Light" w:cs="Arial"/>
                <w:sz w:val="16"/>
                <w:szCs w:val="16"/>
                <w:lang w:val="es-ES_tradnl" w:eastAsia="es-ES"/>
              </w:rPr>
              <w:t xml:space="preserve"> Lucia</w:t>
            </w:r>
            <w:r w:rsidRPr="00C25FD3">
              <w:rPr>
                <w:rFonts w:ascii="Geomanist Light" w:hAnsi="Geomanist Light" w:cs="Arial"/>
                <w:sz w:val="16"/>
                <w:szCs w:val="16"/>
                <w:lang w:val="es-ES_tradnl" w:eastAsia="es-ES"/>
              </w:rPr>
              <w:t xml:space="preserve"> Saavedra</w:t>
            </w:r>
            <w:r w:rsidR="0033509C">
              <w:rPr>
                <w:rFonts w:ascii="Geomanist Light" w:hAnsi="Geomanist Light" w:cs="Arial"/>
                <w:sz w:val="16"/>
                <w:szCs w:val="16"/>
                <w:lang w:val="es-ES_tradnl" w:eastAsia="es-ES"/>
              </w:rPr>
              <w:t xml:space="preserve"> Castañeda</w:t>
            </w:r>
            <w:r w:rsidRPr="00C25FD3">
              <w:rPr>
                <w:rFonts w:ascii="Geomanist Light" w:hAnsi="Geomanist Light" w:cs="Arial"/>
                <w:sz w:val="16"/>
                <w:szCs w:val="16"/>
                <w:lang w:val="es-ES_tradnl" w:eastAsia="es-ES"/>
              </w:rPr>
              <w:t xml:space="preserve"> </w:t>
            </w:r>
          </w:p>
          <w:p w14:paraId="3A750318" w14:textId="77777777" w:rsidR="003779A0" w:rsidRPr="00C25FD3" w:rsidRDefault="003779A0" w:rsidP="00CC4250">
            <w:pPr>
              <w:rPr>
                <w:rFonts w:ascii="Geomanist Light" w:hAnsi="Geomanist Light" w:cs="Arial"/>
                <w:sz w:val="16"/>
                <w:szCs w:val="16"/>
              </w:rPr>
            </w:pPr>
            <w:r w:rsidRPr="00C25FD3">
              <w:rPr>
                <w:rFonts w:ascii="Geomanist Light" w:hAnsi="Geomanist Light" w:cs="Arial"/>
                <w:sz w:val="16"/>
                <w:szCs w:val="16"/>
                <w:lang w:val="es-ES_tradnl" w:eastAsia="es-ES"/>
              </w:rPr>
              <w:t>Contratista de la Subdirección de Gestión Contractual</w:t>
            </w:r>
          </w:p>
        </w:tc>
      </w:tr>
      <w:tr w:rsidR="003779A0" w:rsidRPr="007F1C16" w14:paraId="0A2619BA" w14:textId="77777777" w:rsidTr="00CC4250">
        <w:trPr>
          <w:trHeight w:val="300"/>
        </w:trPr>
        <w:tc>
          <w:tcPr>
            <w:tcW w:w="812" w:type="dxa"/>
            <w:vAlign w:val="center"/>
            <w:hideMark/>
          </w:tcPr>
          <w:p w14:paraId="6876F51A" w14:textId="77777777" w:rsidR="003779A0" w:rsidRPr="00C25FD3" w:rsidRDefault="003779A0" w:rsidP="00CC4250">
            <w:pPr>
              <w:rPr>
                <w:rFonts w:ascii="Geomanist Light" w:hAnsi="Geomanist Light" w:cs="Arial"/>
                <w:sz w:val="16"/>
                <w:szCs w:val="16"/>
              </w:rPr>
            </w:pPr>
            <w:r w:rsidRPr="00C25FD3">
              <w:rPr>
                <w:rFonts w:ascii="Geomanist Light" w:hAnsi="Geomanist Light" w:cs="Arial"/>
                <w:sz w:val="16"/>
                <w:szCs w:val="16"/>
              </w:rPr>
              <w:t>Aprobó: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36A5C408" w14:textId="77777777" w:rsidR="003779A0" w:rsidRPr="00C25FD3" w:rsidRDefault="003779A0" w:rsidP="00CC4250">
            <w:pPr>
              <w:rPr>
                <w:rFonts w:ascii="Geomanist Light" w:hAnsi="Geomanist Light" w:cs="Arial"/>
                <w:sz w:val="16"/>
                <w:szCs w:val="16"/>
              </w:rPr>
            </w:pPr>
            <w:r w:rsidRPr="00C25FD3">
              <w:rPr>
                <w:rFonts w:ascii="Geomanist Light" w:hAnsi="Geomanist Light" w:cs="Arial"/>
                <w:sz w:val="16"/>
                <w:szCs w:val="16"/>
              </w:rPr>
              <w:t>Nohelia del Carmen Zawady Palacio</w:t>
            </w:r>
          </w:p>
          <w:p w14:paraId="105E3BBA" w14:textId="77777777" w:rsidR="003779A0" w:rsidRPr="007F1C16" w:rsidRDefault="003779A0" w:rsidP="00CC4250">
            <w:pPr>
              <w:rPr>
                <w:rFonts w:ascii="Geomanist Light" w:hAnsi="Geomanist Light" w:cs="Arial"/>
                <w:sz w:val="16"/>
                <w:szCs w:val="16"/>
              </w:rPr>
            </w:pPr>
            <w:r w:rsidRPr="00C25FD3">
              <w:rPr>
                <w:rFonts w:ascii="Geomanist Light" w:hAnsi="Geomanist Light" w:cs="Arial"/>
                <w:sz w:val="16"/>
                <w:szCs w:val="16"/>
              </w:rPr>
              <w:t>Subdirectora de Gestión Contractual</w:t>
            </w:r>
            <w:r w:rsidRPr="007F1C16">
              <w:rPr>
                <w:rFonts w:ascii="Geomanist Light" w:hAnsi="Geomanist Light" w:cs="Arial"/>
                <w:sz w:val="16"/>
                <w:szCs w:val="16"/>
              </w:rPr>
              <w:t xml:space="preserve"> </w:t>
            </w:r>
          </w:p>
        </w:tc>
      </w:tr>
    </w:tbl>
    <w:p w14:paraId="550F2579" w14:textId="77777777" w:rsidR="00C56FD2" w:rsidRDefault="00C56FD2"/>
    <w:sectPr w:rsidR="00C56FD2" w:rsidSect="006C082E">
      <w:headerReference w:type="default" r:id="rId17"/>
      <w:footerReference w:type="default" r:id="rId18"/>
      <w:pgSz w:w="12240" w:h="15840"/>
      <w:pgMar w:top="1381" w:right="1985" w:bottom="1985" w:left="1985"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6F3D0" w14:textId="77777777" w:rsidR="00470B02" w:rsidRDefault="00470B02" w:rsidP="00594390">
      <w:r>
        <w:separator/>
      </w:r>
    </w:p>
  </w:endnote>
  <w:endnote w:type="continuationSeparator" w:id="0">
    <w:p w14:paraId="33BC97A9" w14:textId="77777777" w:rsidR="00470B02" w:rsidRDefault="00470B02" w:rsidP="00594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515F3" w14:textId="77777777" w:rsidR="002A2C6E" w:rsidRDefault="00000000" w:rsidP="006C082E">
    <w:pPr>
      <w:pStyle w:val="Sinespaciado"/>
      <w:rPr>
        <w:rFonts w:ascii="Arial" w:hAnsi="Arial" w:cs="Arial"/>
        <w:sz w:val="18"/>
        <w:szCs w:val="18"/>
      </w:rPr>
    </w:pPr>
  </w:p>
  <w:p w14:paraId="4C580170" w14:textId="77777777" w:rsidR="00FE42ED" w:rsidRPr="00413EA0" w:rsidRDefault="003B4350" w:rsidP="00FE42ED">
    <w:pPr>
      <w:pStyle w:val="Piedepgina"/>
      <w:jc w:val="right"/>
      <w:rPr>
        <w:rFonts w:ascii="Arial" w:hAnsi="Arial" w:cs="Arial"/>
        <w:color w:val="7F7F7F"/>
        <w:sz w:val="16"/>
        <w:szCs w:val="16"/>
      </w:rPr>
    </w:pPr>
    <w:r w:rsidRPr="00413EA0">
      <w:rPr>
        <w:rFonts w:ascii="Arial" w:hAnsi="Arial" w:cs="Arial"/>
        <w:bCs/>
        <w:color w:val="7F7F7F"/>
        <w:sz w:val="16"/>
        <w:szCs w:val="16"/>
      </w:rPr>
      <w:t xml:space="preserve">Página </w:t>
    </w:r>
    <w:r w:rsidRPr="00413EA0">
      <w:rPr>
        <w:rFonts w:ascii="Arial" w:hAnsi="Arial" w:cs="Arial"/>
        <w:b/>
        <w:bCs/>
        <w:color w:val="7F7F7F"/>
        <w:sz w:val="16"/>
        <w:szCs w:val="16"/>
      </w:rPr>
      <w:fldChar w:fldCharType="begin"/>
    </w:r>
    <w:r w:rsidRPr="00413EA0">
      <w:rPr>
        <w:rFonts w:ascii="Arial" w:hAnsi="Arial" w:cs="Arial"/>
        <w:b/>
        <w:bCs/>
        <w:color w:val="7F7F7F"/>
        <w:sz w:val="16"/>
        <w:szCs w:val="16"/>
      </w:rPr>
      <w:instrText>PAGE  \* Arabic  \* MERGEFORMAT</w:instrText>
    </w:r>
    <w:r w:rsidRPr="00413EA0">
      <w:rPr>
        <w:rFonts w:ascii="Arial" w:hAnsi="Arial" w:cs="Arial"/>
        <w:b/>
        <w:bCs/>
        <w:color w:val="7F7F7F"/>
        <w:sz w:val="16"/>
        <w:szCs w:val="16"/>
      </w:rPr>
      <w:fldChar w:fldCharType="separate"/>
    </w:r>
    <w:r w:rsidRPr="00413EA0">
      <w:rPr>
        <w:rFonts w:ascii="Arial" w:hAnsi="Arial" w:cs="Arial"/>
        <w:b/>
        <w:bCs/>
        <w:color w:val="7F7F7F"/>
        <w:sz w:val="16"/>
        <w:szCs w:val="16"/>
      </w:rPr>
      <w:t>1</w:t>
    </w:r>
    <w:r w:rsidRPr="00413EA0">
      <w:rPr>
        <w:rFonts w:ascii="Arial" w:hAnsi="Arial" w:cs="Arial"/>
        <w:b/>
        <w:bCs/>
        <w:color w:val="7F7F7F"/>
        <w:sz w:val="16"/>
        <w:szCs w:val="16"/>
      </w:rPr>
      <w:fldChar w:fldCharType="end"/>
    </w:r>
    <w:r w:rsidRPr="00413EA0">
      <w:rPr>
        <w:rFonts w:ascii="Arial" w:hAnsi="Arial" w:cs="Arial"/>
        <w:color w:val="7F7F7F"/>
        <w:sz w:val="16"/>
        <w:szCs w:val="16"/>
      </w:rPr>
      <w:t xml:space="preserve"> de </w:t>
    </w:r>
    <w:r w:rsidRPr="00413EA0">
      <w:rPr>
        <w:rFonts w:ascii="Arial" w:hAnsi="Arial" w:cs="Arial"/>
        <w:b/>
        <w:bCs/>
        <w:color w:val="7F7F7F"/>
        <w:sz w:val="16"/>
        <w:szCs w:val="16"/>
      </w:rPr>
      <w:fldChar w:fldCharType="begin"/>
    </w:r>
    <w:r w:rsidRPr="00413EA0">
      <w:rPr>
        <w:rFonts w:ascii="Arial" w:hAnsi="Arial" w:cs="Arial"/>
        <w:b/>
        <w:bCs/>
        <w:color w:val="7F7F7F"/>
        <w:sz w:val="16"/>
        <w:szCs w:val="16"/>
      </w:rPr>
      <w:instrText>NUMPAGES  \* Arabic  \* MERGEFORMAT</w:instrText>
    </w:r>
    <w:r w:rsidRPr="00413EA0">
      <w:rPr>
        <w:rFonts w:ascii="Arial" w:hAnsi="Arial" w:cs="Arial"/>
        <w:b/>
        <w:bCs/>
        <w:color w:val="7F7F7F"/>
        <w:sz w:val="16"/>
        <w:szCs w:val="16"/>
      </w:rPr>
      <w:fldChar w:fldCharType="separate"/>
    </w:r>
    <w:r w:rsidRPr="00413EA0">
      <w:rPr>
        <w:rFonts w:ascii="Arial" w:hAnsi="Arial" w:cs="Arial"/>
        <w:b/>
        <w:bCs/>
        <w:color w:val="7F7F7F"/>
        <w:sz w:val="16"/>
        <w:szCs w:val="16"/>
      </w:rPr>
      <w:t>2</w:t>
    </w:r>
    <w:r w:rsidRPr="00413EA0">
      <w:rPr>
        <w:rFonts w:ascii="Arial" w:hAnsi="Arial" w:cs="Arial"/>
        <w:b/>
        <w:bCs/>
        <w:color w:val="7F7F7F"/>
        <w:sz w:val="16"/>
        <w:szCs w:val="16"/>
      </w:rPr>
      <w:fldChar w:fldCharType="end"/>
    </w:r>
  </w:p>
  <w:p w14:paraId="673C10AF" w14:textId="77777777" w:rsidR="009047C5" w:rsidRDefault="003B4350" w:rsidP="00322937">
    <w:pPr>
      <w:pStyle w:val="Piedepgina"/>
      <w:jc w:val="center"/>
      <w:rPr>
        <w:lang w:val="es-ES"/>
      </w:rPr>
    </w:pPr>
    <w:r>
      <w:rPr>
        <w:noProof/>
        <w:lang w:val="es-ES"/>
      </w:rPr>
      <w:drawing>
        <wp:inline distT="0" distB="0" distL="0" distR="0" wp14:anchorId="5D3C7BDF" wp14:editId="7468F01A">
          <wp:extent cx="5251450" cy="809514"/>
          <wp:effectExtent l="0" t="0" r="0" b="0"/>
          <wp:docPr id="66" name="Imagen 66"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1450" cy="809514"/>
                  </a:xfrm>
                  <a:prstGeom prst="rect">
                    <a:avLst/>
                  </a:prstGeom>
                  <a:noFill/>
                </pic:spPr>
              </pic:pic>
            </a:graphicData>
          </a:graphic>
        </wp:inline>
      </w:drawing>
    </w:r>
  </w:p>
  <w:p w14:paraId="0658F21A" w14:textId="77777777" w:rsidR="00322937" w:rsidRDefault="00000000" w:rsidP="007B0854">
    <w:pPr>
      <w:pStyle w:val="Piedepgina"/>
      <w:jc w:val="center"/>
      <w:rPr>
        <w:sz w:val="18"/>
        <w:szCs w:val="18"/>
        <w:lang w:val="es-ES"/>
      </w:rPr>
    </w:pPr>
  </w:p>
  <w:p w14:paraId="1D4C91D6" w14:textId="77777777" w:rsidR="002A2C6E" w:rsidRPr="00E756AC" w:rsidRDefault="00000000" w:rsidP="007B0854">
    <w:pPr>
      <w:pStyle w:val="Piedepgina"/>
      <w:jc w:val="center"/>
      <w:rPr>
        <w:sz w:val="18"/>
        <w:szCs w:val="18"/>
        <w:lang w:val="es-ES"/>
      </w:rPr>
    </w:pPr>
  </w:p>
  <w:p w14:paraId="1D836FAC" w14:textId="77777777" w:rsidR="004A34D2" w:rsidRPr="00E756AC" w:rsidRDefault="00000000" w:rsidP="007B0854">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F4D74" w14:textId="77777777" w:rsidR="00470B02" w:rsidRDefault="00470B02" w:rsidP="00594390">
      <w:r>
        <w:separator/>
      </w:r>
    </w:p>
  </w:footnote>
  <w:footnote w:type="continuationSeparator" w:id="0">
    <w:p w14:paraId="40E035F6" w14:textId="77777777" w:rsidR="00470B02" w:rsidRDefault="00470B02" w:rsidP="00594390">
      <w:r>
        <w:continuationSeparator/>
      </w:r>
    </w:p>
  </w:footnote>
  <w:footnote w:id="1">
    <w:p w14:paraId="078BA589" w14:textId="452ABAF3" w:rsidR="0082326B" w:rsidRPr="00257EDB" w:rsidRDefault="0082326B">
      <w:pPr>
        <w:pStyle w:val="Textonotapie"/>
        <w:rPr>
          <w:rFonts w:ascii="Geomanist Light" w:hAnsi="Geomanist Light"/>
          <w:lang w:val="es-MX"/>
        </w:rPr>
      </w:pPr>
      <w:r w:rsidRPr="00257EDB">
        <w:rPr>
          <w:rStyle w:val="Refdenotaalpie"/>
          <w:rFonts w:ascii="Geomanist Light" w:hAnsi="Geomanist Light"/>
        </w:rPr>
        <w:footnoteRef/>
      </w:r>
      <w:r w:rsidRPr="00257EDB">
        <w:rPr>
          <w:rFonts w:ascii="Geomanist Light" w:hAnsi="Geomanist Light"/>
        </w:rPr>
        <w:t xml:space="preserve"> </w:t>
      </w:r>
      <w:r w:rsidRPr="00257EDB">
        <w:rPr>
          <w:rFonts w:ascii="Geomanist Light" w:hAnsi="Geomanist Light" w:cs="Arial"/>
          <w:sz w:val="18"/>
          <w:szCs w:val="18"/>
        </w:rPr>
        <w:t xml:space="preserve">Estos conceptos pueden ser consultados en la Relatoría de esta Agencia en el siguiente Link: </w:t>
      </w:r>
      <w:hyperlink r:id="rId1" w:history="1">
        <w:r w:rsidRPr="00257EDB">
          <w:rPr>
            <w:rStyle w:val="Hipervnculo"/>
            <w:rFonts w:ascii="Geomanist Light" w:hAnsi="Geomanist Light" w:cs="Arial"/>
            <w:sz w:val="18"/>
            <w:szCs w:val="18"/>
          </w:rPr>
          <w:t>https://relatoria.colombiacompra.gov.co/busqueda/conceptos</w:t>
        </w:r>
      </w:hyperlink>
      <w:r w:rsidRPr="00257EDB">
        <w:rPr>
          <w:rFonts w:ascii="Geomanist Light" w:hAnsi="Geomanist Light" w:cs="Arial"/>
          <w:sz w:val="18"/>
          <w:szCs w:val="18"/>
        </w:rPr>
        <w:t xml:space="preserve"> </w:t>
      </w:r>
    </w:p>
  </w:footnote>
  <w:footnote w:id="2">
    <w:p w14:paraId="754C7825" w14:textId="77777777" w:rsidR="00E202DB" w:rsidRPr="00257EDB" w:rsidRDefault="00E202DB" w:rsidP="00E202DB">
      <w:pPr>
        <w:pStyle w:val="Textonotapie"/>
        <w:ind w:firstLine="708"/>
        <w:rPr>
          <w:rFonts w:ascii="Geomanist Light" w:eastAsia="Calibri" w:hAnsi="Geomanist Light" w:cs="Arial"/>
          <w:color w:val="000000" w:themeColor="text1"/>
          <w:sz w:val="19"/>
          <w:szCs w:val="19"/>
        </w:rPr>
      </w:pPr>
      <w:r w:rsidRPr="00257EDB">
        <w:rPr>
          <w:rStyle w:val="Refdenotaalpie"/>
          <w:rFonts w:ascii="Geomanist Light" w:hAnsi="Geomanist Light" w:cs="Arial"/>
          <w:color w:val="000000" w:themeColor="text1"/>
          <w:sz w:val="19"/>
          <w:szCs w:val="19"/>
        </w:rPr>
        <w:footnoteRef/>
      </w:r>
      <w:r w:rsidRPr="00257EDB">
        <w:rPr>
          <w:rFonts w:ascii="Geomanist Light" w:hAnsi="Geomanist Light" w:cs="Arial"/>
          <w:color w:val="000000" w:themeColor="text1"/>
          <w:sz w:val="19"/>
          <w:szCs w:val="19"/>
        </w:rPr>
        <w:t xml:space="preserve"> </w:t>
      </w:r>
      <w:r w:rsidRPr="00257EDB">
        <w:rPr>
          <w:rFonts w:ascii="Geomanist Light" w:eastAsia="Calibri" w:hAnsi="Geomanist Light" w:cs="Arial"/>
          <w:color w:val="000000" w:themeColor="text1"/>
          <w:sz w:val="19"/>
          <w:szCs w:val="19"/>
        </w:rPr>
        <w:t xml:space="preserve">Decreto 1082 de 2015: «Articulo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 </w:t>
      </w:r>
    </w:p>
    <w:p w14:paraId="11AA19AE" w14:textId="77777777" w:rsidR="00E202DB" w:rsidRPr="00257EDB" w:rsidRDefault="00E202DB" w:rsidP="00E202DB">
      <w:pPr>
        <w:pStyle w:val="Textonotapie"/>
        <w:ind w:firstLine="708"/>
        <w:rPr>
          <w:rFonts w:ascii="Geomanist Light" w:eastAsia="Calibri" w:hAnsi="Geomanist Light" w:cs="Arial"/>
          <w:color w:val="000000" w:themeColor="text1"/>
          <w:sz w:val="19"/>
          <w:szCs w:val="19"/>
        </w:rPr>
      </w:pPr>
      <w:r w:rsidRPr="00257EDB">
        <w:rPr>
          <w:rFonts w:ascii="Geomanist Light" w:eastAsia="Calibri" w:hAnsi="Geomanist Light" w:cs="Arial"/>
          <w:color w:val="000000" w:themeColor="text1"/>
          <w:sz w:val="19"/>
          <w:szCs w:val="19"/>
        </w:rPr>
        <w:t>[…]</w:t>
      </w:r>
    </w:p>
    <w:p w14:paraId="45A7F3F7" w14:textId="77777777" w:rsidR="00E202DB" w:rsidRPr="00257EDB" w:rsidRDefault="00E202DB" w:rsidP="00E202DB">
      <w:pPr>
        <w:pStyle w:val="Textonotapie"/>
        <w:ind w:firstLine="708"/>
        <w:rPr>
          <w:rFonts w:ascii="Geomanist Light" w:hAnsi="Geomanist Light" w:cs="Arial"/>
          <w:color w:val="000000" w:themeColor="text1"/>
          <w:sz w:val="19"/>
          <w:szCs w:val="19"/>
        </w:rPr>
      </w:pPr>
      <w:r w:rsidRPr="00257EDB">
        <w:rPr>
          <w:rFonts w:ascii="Geomanist Light" w:eastAsia="Calibri" w:hAnsi="Geomanist Light" w:cs="Arial"/>
          <w:color w:val="000000" w:themeColor="text1"/>
          <w:sz w:val="19"/>
          <w:szCs w:val="19"/>
        </w:rPr>
        <w:t>»Capacidad Residual o K de Contratación: Aptitud de un oferente para cumplir oportuna y cabalmente con el objeto de un contrato de obra, sin que sus otros compromisos contractuales afecten su habilidad de cumplir con el contrato que está en proceso de selección».</w:t>
      </w:r>
      <w:r w:rsidRPr="00257EDB">
        <w:rPr>
          <w:rFonts w:ascii="Geomanist Light" w:hAnsi="Geomanist Light" w:cs="Arial"/>
          <w:color w:val="000000" w:themeColor="text1"/>
          <w:sz w:val="19"/>
          <w:szCs w:val="19"/>
        </w:rPr>
        <w:t xml:space="preserve"> </w:t>
      </w:r>
    </w:p>
    <w:p w14:paraId="574716B5" w14:textId="77777777" w:rsidR="00E202DB" w:rsidRPr="00257EDB" w:rsidRDefault="00E202DB" w:rsidP="00E202DB">
      <w:pPr>
        <w:pStyle w:val="Textonotapie"/>
        <w:rPr>
          <w:rFonts w:ascii="Geomanist Light" w:hAnsi="Geomanist Light" w:cs="Arial"/>
          <w:color w:val="000000" w:themeColor="text1"/>
          <w:sz w:val="19"/>
          <w:szCs w:val="19"/>
        </w:rPr>
      </w:pPr>
    </w:p>
  </w:footnote>
  <w:footnote w:id="3">
    <w:p w14:paraId="5D3EFEA2" w14:textId="77777777" w:rsidR="00E202DB" w:rsidRPr="00257EDB" w:rsidRDefault="00E202DB" w:rsidP="00E202DB">
      <w:pPr>
        <w:pStyle w:val="Textonotapie"/>
        <w:ind w:firstLine="708"/>
        <w:rPr>
          <w:rFonts w:ascii="Geomanist Light" w:hAnsi="Geomanist Light" w:cs="Arial"/>
          <w:color w:val="000000" w:themeColor="text1"/>
          <w:sz w:val="19"/>
          <w:szCs w:val="19"/>
        </w:rPr>
      </w:pPr>
      <w:r w:rsidRPr="00257EDB">
        <w:rPr>
          <w:rFonts w:ascii="Geomanist Light" w:eastAsia="Calibri" w:hAnsi="Geomanist Light" w:cs="Arial"/>
          <w:color w:val="000000" w:themeColor="text1"/>
          <w:sz w:val="19"/>
          <w:szCs w:val="19"/>
          <w:vertAlign w:val="superscript"/>
        </w:rPr>
        <w:footnoteRef/>
      </w:r>
      <w:r w:rsidRPr="00257EDB">
        <w:rPr>
          <w:rFonts w:ascii="Geomanist Light" w:eastAsia="Calibri" w:hAnsi="Geomanist Light" w:cs="Arial"/>
          <w:color w:val="000000" w:themeColor="text1"/>
          <w:sz w:val="19"/>
          <w:szCs w:val="19"/>
          <w:vertAlign w:val="superscript"/>
        </w:rPr>
        <w:t xml:space="preserve"> </w:t>
      </w:r>
      <w:r w:rsidRPr="00257EDB">
        <w:rPr>
          <w:rFonts w:ascii="Geomanist Light" w:eastAsia="Calibri" w:hAnsi="Geomanist Light" w:cs="Arial"/>
          <w:color w:val="000000" w:themeColor="text1"/>
          <w:sz w:val="19"/>
          <w:szCs w:val="19"/>
        </w:rPr>
        <w:t xml:space="preserve">CONSEJO DE ESTADO. Sección Tercera. Sentencia del 26 de junio de 2003. Rad. 13.354. C.P: María Elena Giraldo Gómez. </w:t>
      </w:r>
    </w:p>
  </w:footnote>
  <w:footnote w:id="4">
    <w:p w14:paraId="0D5F5328" w14:textId="77777777" w:rsidR="00CB5F54" w:rsidRPr="00257EDB" w:rsidRDefault="00CB5F54" w:rsidP="00CB5F54">
      <w:pPr>
        <w:pStyle w:val="Textonotapie"/>
        <w:ind w:firstLine="708"/>
        <w:contextualSpacing/>
        <w:rPr>
          <w:rFonts w:ascii="Geomanist Light" w:hAnsi="Geomanist Light" w:cs="Arial"/>
          <w:sz w:val="19"/>
          <w:szCs w:val="19"/>
        </w:rPr>
      </w:pPr>
      <w:r w:rsidRPr="00257EDB">
        <w:rPr>
          <w:rStyle w:val="Refdenotaalpie"/>
          <w:rFonts w:ascii="Geomanist Light" w:hAnsi="Geomanist Light" w:cs="Arial"/>
          <w:sz w:val="19"/>
          <w:szCs w:val="19"/>
        </w:rPr>
        <w:footnoteRef/>
      </w:r>
      <w:r w:rsidRPr="00257EDB">
        <w:rPr>
          <w:rFonts w:ascii="Geomanist Light" w:hAnsi="Geomanist Light" w:cs="Arial"/>
          <w:sz w:val="19"/>
          <w:szCs w:val="19"/>
        </w:rPr>
        <w:t xml:space="preserve"> La «</w:t>
      </w:r>
      <w:r w:rsidRPr="00257EDB">
        <w:rPr>
          <w:rFonts w:ascii="Geomanist Light" w:eastAsia="Arial" w:hAnsi="Geomanist Light" w:cs="Arial"/>
          <w:i/>
          <w:iCs/>
          <w:sz w:val="19"/>
          <w:szCs w:val="19"/>
        </w:rPr>
        <w:t>Guía para Determinar y Verificar la Capacidad Residual del Proponente en los Procesos de Contratación de Obra Pública</w:t>
      </w:r>
      <w:r w:rsidRPr="00257EDB">
        <w:rPr>
          <w:rFonts w:ascii="Geomanist Light" w:hAnsi="Geomanist Light" w:cs="Arial"/>
          <w:sz w:val="19"/>
          <w:szCs w:val="19"/>
        </w:rPr>
        <w:t xml:space="preserve">» expedida por la Agencia Nacional de Contratación Pública – Colombia Compra Eficiente puede ser consultada en el siguiente enlace: https://www.colombiacompra.gov.co/sites/cce_public/files/cce_documents/cce_guia_capacidad_residual.pdf  </w:t>
      </w:r>
    </w:p>
  </w:footnote>
  <w:footnote w:id="5">
    <w:p w14:paraId="7F908FFA" w14:textId="77777777" w:rsidR="00E43D31" w:rsidRPr="00257EDB" w:rsidRDefault="00E43D31" w:rsidP="00E43D31">
      <w:pPr>
        <w:ind w:right="49" w:firstLine="708"/>
        <w:contextualSpacing/>
        <w:jc w:val="both"/>
        <w:rPr>
          <w:rFonts w:ascii="Geomanist Light" w:hAnsi="Geomanist Light" w:cs="Arial"/>
          <w:color w:val="000000"/>
          <w:sz w:val="19"/>
          <w:szCs w:val="19"/>
        </w:rPr>
      </w:pPr>
      <w:r w:rsidRPr="00257EDB">
        <w:rPr>
          <w:rStyle w:val="Refdenotaalpie"/>
          <w:rFonts w:ascii="Geomanist Light" w:hAnsi="Geomanist Light" w:cs="Arial"/>
          <w:color w:val="000000"/>
          <w:sz w:val="19"/>
          <w:szCs w:val="19"/>
        </w:rPr>
        <w:footnoteRef/>
      </w:r>
      <w:r w:rsidRPr="00257EDB">
        <w:rPr>
          <w:rFonts w:ascii="Geomanist Light" w:hAnsi="Geomanist Light" w:cs="Arial"/>
          <w:color w:val="000000"/>
          <w:sz w:val="19"/>
          <w:szCs w:val="19"/>
        </w:rPr>
        <w:t xml:space="preserve"> Decreto 1082 de 2015. «Artículo 2.2.1.1.1.6.4. Capacidad Residual. El interesado en celebrar contratos de obra pública con Entidades Estatales debe acreditar su Capacidad Residual o K de Contratación con los siguientes</w:t>
      </w:r>
      <w:r w:rsidRPr="00257EDB">
        <w:rPr>
          <w:rFonts w:ascii="Geomanist Light" w:hAnsi="Geomanist Light" w:cs="Arial"/>
          <w:color w:val="000000"/>
          <w:spacing w:val="-3"/>
          <w:sz w:val="19"/>
          <w:szCs w:val="19"/>
        </w:rPr>
        <w:t xml:space="preserve"> </w:t>
      </w:r>
      <w:r w:rsidRPr="00257EDB">
        <w:rPr>
          <w:rFonts w:ascii="Geomanist Light" w:hAnsi="Geomanist Light" w:cs="Arial"/>
          <w:color w:val="000000"/>
          <w:sz w:val="19"/>
          <w:szCs w:val="19"/>
        </w:rPr>
        <w:t>documentos:</w:t>
      </w:r>
    </w:p>
    <w:p w14:paraId="67F06C7E" w14:textId="77777777" w:rsidR="00E43D31" w:rsidRPr="00257EDB" w:rsidRDefault="00E43D31" w:rsidP="00E43D31">
      <w:pPr>
        <w:ind w:right="49" w:firstLine="708"/>
        <w:contextualSpacing/>
        <w:jc w:val="both"/>
        <w:rPr>
          <w:rFonts w:ascii="Geomanist Light" w:hAnsi="Geomanist Light" w:cs="Arial"/>
          <w:color w:val="000000"/>
          <w:sz w:val="19"/>
          <w:szCs w:val="19"/>
        </w:rPr>
      </w:pPr>
      <w:r w:rsidRPr="00257EDB">
        <w:rPr>
          <w:rFonts w:ascii="Geomanist Light" w:hAnsi="Geomanist Light" w:cs="Arial"/>
          <w:color w:val="000000"/>
          <w:sz w:val="19"/>
          <w:szCs w:val="19"/>
        </w:rPr>
        <w:t>»1. La lista de los contratos de obras civiles en ejecución suscritos con Entidades Estatales y con entidades privadas, así como el valor y plazo de tales contratos, incluyendo contratos de concesión y los contratos de obra suscritos con</w:t>
      </w:r>
      <w:r w:rsidRPr="00257EDB">
        <w:rPr>
          <w:rFonts w:ascii="Geomanist Light" w:hAnsi="Geomanist Light" w:cs="Arial"/>
          <w:color w:val="000000"/>
          <w:spacing w:val="-4"/>
          <w:sz w:val="19"/>
          <w:szCs w:val="19"/>
        </w:rPr>
        <w:t xml:space="preserve"> </w:t>
      </w:r>
      <w:r w:rsidRPr="00257EDB">
        <w:rPr>
          <w:rFonts w:ascii="Geomanist Light" w:hAnsi="Geomanist Light" w:cs="Arial"/>
          <w:color w:val="000000"/>
          <w:sz w:val="19"/>
          <w:szCs w:val="19"/>
        </w:rPr>
        <w:t>concesionarios.</w:t>
      </w:r>
    </w:p>
    <w:p w14:paraId="0D7F1596" w14:textId="77777777" w:rsidR="00E43D31" w:rsidRPr="00257EDB" w:rsidRDefault="00E43D31" w:rsidP="00E43D31">
      <w:pPr>
        <w:ind w:right="49" w:firstLine="708"/>
        <w:contextualSpacing/>
        <w:jc w:val="both"/>
        <w:rPr>
          <w:rFonts w:ascii="Geomanist Light" w:hAnsi="Geomanist Light" w:cs="Arial"/>
          <w:color w:val="000000"/>
          <w:sz w:val="19"/>
          <w:szCs w:val="19"/>
        </w:rPr>
      </w:pPr>
      <w:r w:rsidRPr="00257EDB">
        <w:rPr>
          <w:rFonts w:ascii="Geomanist Light" w:hAnsi="Geomanist Light" w:cs="Arial"/>
          <w:color w:val="000000"/>
          <w:sz w:val="19"/>
          <w:szCs w:val="19"/>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14:paraId="5F6BDFFA" w14:textId="77777777" w:rsidR="00E43D31" w:rsidRPr="00257EDB" w:rsidRDefault="00E43D31" w:rsidP="00E43D31">
      <w:pPr>
        <w:ind w:right="49" w:firstLine="708"/>
        <w:contextualSpacing/>
        <w:jc w:val="both"/>
        <w:rPr>
          <w:rFonts w:ascii="Geomanist Light" w:hAnsi="Geomanist Light" w:cs="Arial"/>
          <w:color w:val="000000"/>
          <w:sz w:val="19"/>
          <w:szCs w:val="19"/>
        </w:rPr>
      </w:pPr>
      <w:r w:rsidRPr="00257EDB">
        <w:rPr>
          <w:rFonts w:ascii="Geomanist Light" w:hAnsi="Geomanist Light" w:cs="Arial"/>
          <w:color w:val="000000"/>
          <w:sz w:val="19"/>
          <w:szCs w:val="19"/>
        </w:rPr>
        <w:t>»3.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p>
  </w:footnote>
  <w:footnote w:id="6">
    <w:p w14:paraId="01E81CBA" w14:textId="7C8BE390" w:rsidR="0064160F" w:rsidRPr="00257EDB" w:rsidRDefault="0064160F">
      <w:pPr>
        <w:pStyle w:val="Textonotapie"/>
        <w:rPr>
          <w:rFonts w:ascii="Geomanist Light" w:hAnsi="Geomanist Light"/>
          <w:lang w:val="es-MX"/>
        </w:rPr>
      </w:pPr>
      <w:r w:rsidRPr="00257EDB">
        <w:rPr>
          <w:rStyle w:val="Refdenotaalpie"/>
          <w:rFonts w:ascii="Geomanist Light" w:hAnsi="Geomanist Light"/>
        </w:rPr>
        <w:footnoteRef/>
      </w:r>
      <w:r w:rsidRPr="00257EDB">
        <w:rPr>
          <w:rFonts w:ascii="Geomanist Light" w:hAnsi="Geomanist Light"/>
        </w:rPr>
        <w:t xml:space="preserve"> </w:t>
      </w:r>
      <w:r w:rsidR="006F7E20" w:rsidRPr="00257EDB">
        <w:rPr>
          <w:rFonts w:ascii="Geomanist Light" w:hAnsi="Geomanist Light"/>
        </w:rPr>
        <w:t xml:space="preserve">En el </w:t>
      </w:r>
      <w:r w:rsidR="006F7E20" w:rsidRPr="00257EDB">
        <w:rPr>
          <w:rFonts w:ascii="Geomanist Light" w:hAnsi="Geomanist Light"/>
          <w:i/>
          <w:iCs/>
          <w:sz w:val="22"/>
          <w:szCs w:val="22"/>
        </w:rPr>
        <w:t>«</w:t>
      </w:r>
      <w:r w:rsidR="00B07FDA" w:rsidRPr="00257EDB">
        <w:rPr>
          <w:rFonts w:ascii="Geomanist Light" w:hAnsi="Geomanist Light"/>
          <w:sz w:val="18"/>
          <w:szCs w:val="18"/>
          <w:lang w:val="es-MX"/>
        </w:rPr>
        <w:t>Anexo 3 – Glosario</w:t>
      </w:r>
      <w:r w:rsidR="006F7E20" w:rsidRPr="00257EDB">
        <w:rPr>
          <w:rFonts w:ascii="Geomanist Light" w:hAnsi="Geomanist Light" w:cs="Arial"/>
          <w:color w:val="000000" w:themeColor="text1"/>
          <w:sz w:val="22"/>
          <w:szCs w:val="22"/>
          <w:lang w:val="es-MX"/>
        </w:rPr>
        <w:t>»</w:t>
      </w:r>
      <w:r w:rsidR="00420B8F" w:rsidRPr="00257EDB">
        <w:rPr>
          <w:rFonts w:ascii="Geomanist Light" w:hAnsi="Geomanist Light"/>
          <w:sz w:val="18"/>
          <w:szCs w:val="18"/>
          <w:lang w:val="es-MX"/>
        </w:rPr>
        <w:t xml:space="preserve"> de Documentos tipo para licitación de obra pública de infraestructura de transporte – Versión 03 – </w:t>
      </w:r>
      <w:r w:rsidR="006F7E20" w:rsidRPr="00257EDB">
        <w:rPr>
          <w:rFonts w:ascii="Geomanist Light" w:hAnsi="Geomanist Light" w:cs="Arial"/>
          <w:sz w:val="22"/>
        </w:rPr>
        <w:t>se incluyó la definición</w:t>
      </w:r>
      <w:r w:rsidR="006F7E20" w:rsidRPr="00257EDB">
        <w:rPr>
          <w:rFonts w:ascii="Geomanist Light" w:hAnsi="Geomanist Light"/>
          <w:sz w:val="22"/>
          <w:szCs w:val="22"/>
          <w:lang w:val="es-ES"/>
        </w:rPr>
        <w:t xml:space="preserve"> del término </w:t>
      </w:r>
      <w:r w:rsidR="006F7E20" w:rsidRPr="00257EDB">
        <w:rPr>
          <w:rFonts w:ascii="Geomanist Light" w:hAnsi="Geomanist Light"/>
          <w:i/>
          <w:iCs/>
          <w:sz w:val="22"/>
          <w:szCs w:val="22"/>
        </w:rPr>
        <w:t>«</w:t>
      </w:r>
      <w:r w:rsidR="006F7E20" w:rsidRPr="00257EDB">
        <w:rPr>
          <w:rFonts w:ascii="Geomanist Light" w:hAnsi="Geomanist Light"/>
          <w:i/>
          <w:iCs/>
          <w:sz w:val="22"/>
          <w:szCs w:val="22"/>
          <w:lang w:val="es-ES"/>
        </w:rPr>
        <w:t>construcción</w:t>
      </w:r>
      <w:r w:rsidR="006F7E20" w:rsidRPr="00257EDB">
        <w:rPr>
          <w:rFonts w:ascii="Geomanist Light" w:hAnsi="Geomanist Light" w:cs="Arial"/>
          <w:i/>
          <w:iCs/>
          <w:color w:val="000000" w:themeColor="text1"/>
          <w:sz w:val="22"/>
          <w:szCs w:val="22"/>
          <w:lang w:val="es-MX"/>
        </w:rPr>
        <w:t xml:space="preserve">» </w:t>
      </w:r>
      <w:r w:rsidR="006F7E20" w:rsidRPr="00257EDB">
        <w:rPr>
          <w:rFonts w:ascii="Geomanist Light" w:hAnsi="Geomanist Light" w:cs="Arial"/>
          <w:color w:val="000000" w:themeColor="text1"/>
          <w:sz w:val="22"/>
          <w:szCs w:val="22"/>
          <w:lang w:val="es-MX"/>
        </w:rPr>
        <w:t xml:space="preserve">de la siguiente forma: </w:t>
      </w:r>
      <w:r w:rsidR="006F7E20" w:rsidRPr="00257EDB">
        <w:rPr>
          <w:rFonts w:ascii="Geomanist Light" w:hAnsi="Geomanist Light"/>
          <w:sz w:val="22"/>
          <w:szCs w:val="22"/>
        </w:rPr>
        <w:t>«</w:t>
      </w:r>
      <w:r w:rsidR="006F7E20" w:rsidRPr="00257EDB">
        <w:rPr>
          <w:rFonts w:ascii="Geomanist Light" w:hAnsi="Geomanist Light"/>
          <w:b/>
          <w:bCs/>
          <w:sz w:val="22"/>
          <w:szCs w:val="22"/>
        </w:rPr>
        <w:t>2.24</w:t>
      </w:r>
      <w:r w:rsidR="006F7E20" w:rsidRPr="00257EDB">
        <w:rPr>
          <w:rFonts w:ascii="Geomanist Light" w:hAnsi="Geomanist Light"/>
          <w:sz w:val="22"/>
          <w:szCs w:val="22"/>
        </w:rPr>
        <w:t xml:space="preserve"> </w:t>
      </w:r>
      <w:r w:rsidR="006F7E20" w:rsidRPr="00257EDB">
        <w:rPr>
          <w:rFonts w:ascii="Geomanist Light" w:hAnsi="Geomanist Light" w:cs="Arial"/>
          <w:b/>
          <w:i/>
          <w:iCs/>
          <w:color w:val="000000" w:themeColor="text1"/>
          <w:sz w:val="22"/>
          <w:szCs w:val="22"/>
        </w:rPr>
        <w:t>Construcción:</w:t>
      </w:r>
      <w:r w:rsidR="006F7E20" w:rsidRPr="00257EDB">
        <w:rPr>
          <w:rFonts w:ascii="Geomanist Light" w:hAnsi="Geomanist Light" w:cs="Arial"/>
          <w:bCs/>
          <w:i/>
          <w:iCs/>
          <w:color w:val="000000" w:themeColor="text1"/>
          <w:sz w:val="22"/>
          <w:szCs w:val="22"/>
        </w:rPr>
        <w:t xml:space="preserve"> Son aquellas obras nuevas que incluyen el levantamiento o armado de algún tipo de infraestructura de transporte</w:t>
      </w:r>
      <w:r w:rsidR="006F7E20" w:rsidRPr="00257EDB">
        <w:rPr>
          <w:rFonts w:ascii="Geomanist Light" w:hAnsi="Geomanist Light" w:cs="Arial"/>
          <w:color w:val="000000" w:themeColor="text1"/>
          <w:sz w:val="22"/>
          <w:szCs w:val="22"/>
          <w:lang w:val="es-MX"/>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D90F0" w14:textId="77777777" w:rsidR="006C082E" w:rsidRDefault="003B4350" w:rsidP="002A2786">
    <w:pPr>
      <w:pStyle w:val="Encabezado"/>
      <w:jc w:val="right"/>
    </w:pPr>
    <w:r>
      <w:rPr>
        <w:noProof/>
      </w:rPr>
      <w:drawing>
        <wp:inline distT="0" distB="0" distL="0" distR="0" wp14:anchorId="37CA8290" wp14:editId="6EFF8FCC">
          <wp:extent cx="1247775" cy="518068"/>
          <wp:effectExtent l="0" t="0" r="0" b="0"/>
          <wp:docPr id="65" name="Imagen 65" descr="Un conjunto de letras negr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conjunto de letras negras en un fondo blanc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02" cy="533857"/>
                  </a:xfrm>
                  <a:prstGeom prst="rect">
                    <a:avLst/>
                  </a:prstGeom>
                  <a:noFill/>
                </pic:spPr>
              </pic:pic>
            </a:graphicData>
          </a:graphic>
        </wp:inline>
      </w:drawing>
    </w:r>
  </w:p>
  <w:p w14:paraId="0B8E47B1" w14:textId="77777777" w:rsidR="00A5037A" w:rsidRDefault="00000000" w:rsidP="002A2786">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20805"/>
    <w:multiLevelType w:val="multilevel"/>
    <w:tmpl w:val="DA34B298"/>
    <w:lvl w:ilvl="0">
      <w:start w:val="1"/>
      <w:numFmt w:val="decimal"/>
      <w:lvlText w:val="%1."/>
      <w:lvlJc w:val="left"/>
      <w:pPr>
        <w:ind w:left="385" w:hanging="285"/>
        <w:jc w:val="left"/>
      </w:pPr>
      <w:rPr>
        <w:rFonts w:ascii="Arial" w:eastAsia="Arial" w:hAnsi="Arial" w:cs="Arial" w:hint="default"/>
        <w:b/>
        <w:bCs/>
        <w:color w:val="0D62A8"/>
        <w:spacing w:val="-21"/>
        <w:w w:val="100"/>
        <w:sz w:val="22"/>
        <w:szCs w:val="22"/>
        <w:lang w:val="es-ES" w:eastAsia="en-US" w:bidi="ar-SA"/>
      </w:rPr>
    </w:lvl>
    <w:lvl w:ilvl="1">
      <w:start w:val="1"/>
      <w:numFmt w:val="decimal"/>
      <w:lvlText w:val="%1.%2."/>
      <w:lvlJc w:val="left"/>
      <w:pPr>
        <w:ind w:left="100" w:hanging="673"/>
        <w:jc w:val="left"/>
      </w:pPr>
      <w:rPr>
        <w:rFonts w:ascii="Arial" w:eastAsia="Arial" w:hAnsi="Arial" w:cs="Arial" w:hint="default"/>
        <w:color w:val="4E4D4D"/>
        <w:spacing w:val="-3"/>
        <w:w w:val="100"/>
        <w:sz w:val="22"/>
        <w:szCs w:val="22"/>
        <w:lang w:val="es-ES" w:eastAsia="en-US" w:bidi="ar-SA"/>
      </w:rPr>
    </w:lvl>
    <w:lvl w:ilvl="2">
      <w:numFmt w:val="bullet"/>
      <w:lvlText w:val="•"/>
      <w:lvlJc w:val="left"/>
      <w:pPr>
        <w:ind w:left="1060" w:hanging="673"/>
      </w:pPr>
      <w:rPr>
        <w:rFonts w:hint="default"/>
        <w:lang w:val="es-ES" w:eastAsia="en-US" w:bidi="ar-SA"/>
      </w:rPr>
    </w:lvl>
    <w:lvl w:ilvl="3">
      <w:numFmt w:val="bullet"/>
      <w:lvlText w:val="•"/>
      <w:lvlJc w:val="left"/>
      <w:pPr>
        <w:ind w:left="2070" w:hanging="673"/>
      </w:pPr>
      <w:rPr>
        <w:rFonts w:hint="default"/>
        <w:lang w:val="es-ES" w:eastAsia="en-US" w:bidi="ar-SA"/>
      </w:rPr>
    </w:lvl>
    <w:lvl w:ilvl="4">
      <w:numFmt w:val="bullet"/>
      <w:lvlText w:val="•"/>
      <w:lvlJc w:val="left"/>
      <w:pPr>
        <w:ind w:left="3080" w:hanging="673"/>
      </w:pPr>
      <w:rPr>
        <w:rFonts w:hint="default"/>
        <w:lang w:val="es-ES" w:eastAsia="en-US" w:bidi="ar-SA"/>
      </w:rPr>
    </w:lvl>
    <w:lvl w:ilvl="5">
      <w:numFmt w:val="bullet"/>
      <w:lvlText w:val="•"/>
      <w:lvlJc w:val="left"/>
      <w:pPr>
        <w:ind w:left="4090" w:hanging="673"/>
      </w:pPr>
      <w:rPr>
        <w:rFonts w:hint="default"/>
        <w:lang w:val="es-ES" w:eastAsia="en-US" w:bidi="ar-SA"/>
      </w:rPr>
    </w:lvl>
    <w:lvl w:ilvl="6">
      <w:numFmt w:val="bullet"/>
      <w:lvlText w:val="•"/>
      <w:lvlJc w:val="left"/>
      <w:pPr>
        <w:ind w:left="5100" w:hanging="673"/>
      </w:pPr>
      <w:rPr>
        <w:rFonts w:hint="default"/>
        <w:lang w:val="es-ES" w:eastAsia="en-US" w:bidi="ar-SA"/>
      </w:rPr>
    </w:lvl>
    <w:lvl w:ilvl="7">
      <w:numFmt w:val="bullet"/>
      <w:lvlText w:val="•"/>
      <w:lvlJc w:val="left"/>
      <w:pPr>
        <w:ind w:left="6110" w:hanging="673"/>
      </w:pPr>
      <w:rPr>
        <w:rFonts w:hint="default"/>
        <w:lang w:val="es-ES" w:eastAsia="en-US" w:bidi="ar-SA"/>
      </w:rPr>
    </w:lvl>
    <w:lvl w:ilvl="8">
      <w:numFmt w:val="bullet"/>
      <w:lvlText w:val="•"/>
      <w:lvlJc w:val="left"/>
      <w:pPr>
        <w:ind w:left="7120" w:hanging="673"/>
      </w:pPr>
      <w:rPr>
        <w:rFonts w:hint="default"/>
        <w:lang w:val="es-ES" w:eastAsia="en-US" w:bidi="ar-SA"/>
      </w:rPr>
    </w:lvl>
  </w:abstractNum>
  <w:abstractNum w:abstractNumId="1" w15:restartNumberingAfterBreak="0">
    <w:nsid w:val="60090DB1"/>
    <w:multiLevelType w:val="hybridMultilevel"/>
    <w:tmpl w:val="078E2E72"/>
    <w:lvl w:ilvl="0" w:tplc="30687C90">
      <w:start w:val="1"/>
      <w:numFmt w:val="lowerRoman"/>
      <w:lvlText w:val="%1)"/>
      <w:lvlJc w:val="left"/>
      <w:pPr>
        <w:ind w:left="1427" w:hanging="720"/>
      </w:pPr>
      <w:rPr>
        <w:rFonts w:hint="default"/>
      </w:rPr>
    </w:lvl>
    <w:lvl w:ilvl="1" w:tplc="080A0019" w:tentative="1">
      <w:start w:val="1"/>
      <w:numFmt w:val="lowerLetter"/>
      <w:lvlText w:val="%2."/>
      <w:lvlJc w:val="left"/>
      <w:pPr>
        <w:ind w:left="1787" w:hanging="360"/>
      </w:pPr>
    </w:lvl>
    <w:lvl w:ilvl="2" w:tplc="080A001B" w:tentative="1">
      <w:start w:val="1"/>
      <w:numFmt w:val="lowerRoman"/>
      <w:lvlText w:val="%3."/>
      <w:lvlJc w:val="right"/>
      <w:pPr>
        <w:ind w:left="2507" w:hanging="180"/>
      </w:pPr>
    </w:lvl>
    <w:lvl w:ilvl="3" w:tplc="080A000F" w:tentative="1">
      <w:start w:val="1"/>
      <w:numFmt w:val="decimal"/>
      <w:lvlText w:val="%4."/>
      <w:lvlJc w:val="left"/>
      <w:pPr>
        <w:ind w:left="3227" w:hanging="360"/>
      </w:pPr>
    </w:lvl>
    <w:lvl w:ilvl="4" w:tplc="080A0019" w:tentative="1">
      <w:start w:val="1"/>
      <w:numFmt w:val="lowerLetter"/>
      <w:lvlText w:val="%5."/>
      <w:lvlJc w:val="left"/>
      <w:pPr>
        <w:ind w:left="3947" w:hanging="360"/>
      </w:pPr>
    </w:lvl>
    <w:lvl w:ilvl="5" w:tplc="080A001B" w:tentative="1">
      <w:start w:val="1"/>
      <w:numFmt w:val="lowerRoman"/>
      <w:lvlText w:val="%6."/>
      <w:lvlJc w:val="right"/>
      <w:pPr>
        <w:ind w:left="4667" w:hanging="180"/>
      </w:pPr>
    </w:lvl>
    <w:lvl w:ilvl="6" w:tplc="080A000F" w:tentative="1">
      <w:start w:val="1"/>
      <w:numFmt w:val="decimal"/>
      <w:lvlText w:val="%7."/>
      <w:lvlJc w:val="left"/>
      <w:pPr>
        <w:ind w:left="5387" w:hanging="360"/>
      </w:pPr>
    </w:lvl>
    <w:lvl w:ilvl="7" w:tplc="080A0019" w:tentative="1">
      <w:start w:val="1"/>
      <w:numFmt w:val="lowerLetter"/>
      <w:lvlText w:val="%8."/>
      <w:lvlJc w:val="left"/>
      <w:pPr>
        <w:ind w:left="6107" w:hanging="360"/>
      </w:pPr>
    </w:lvl>
    <w:lvl w:ilvl="8" w:tplc="080A001B" w:tentative="1">
      <w:start w:val="1"/>
      <w:numFmt w:val="lowerRoman"/>
      <w:lvlText w:val="%9."/>
      <w:lvlJc w:val="right"/>
      <w:pPr>
        <w:ind w:left="6827" w:hanging="180"/>
      </w:pPr>
    </w:lvl>
  </w:abstractNum>
  <w:abstractNum w:abstractNumId="2" w15:restartNumberingAfterBreak="0">
    <w:nsid w:val="67032B02"/>
    <w:multiLevelType w:val="hybridMultilevel"/>
    <w:tmpl w:val="593E172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716D1FFB"/>
    <w:multiLevelType w:val="multilevel"/>
    <w:tmpl w:val="399A4B3A"/>
    <w:lvl w:ilvl="0">
      <w:start w:val="2"/>
      <w:numFmt w:val="decimal"/>
      <w:lvlText w:val="%1"/>
      <w:lvlJc w:val="left"/>
      <w:pPr>
        <w:ind w:left="360" w:hanging="360"/>
      </w:pPr>
      <w:rPr>
        <w:rFonts w:hint="default"/>
      </w:rPr>
    </w:lvl>
    <w:lvl w:ilvl="1">
      <w:start w:val="1"/>
      <w:numFmt w:val="decimal"/>
      <w:lvlText w:val="%1.%2"/>
      <w:lvlJc w:val="left"/>
      <w:pPr>
        <w:ind w:left="786" w:hanging="360"/>
      </w:pPr>
      <w:rPr>
        <w:rFonts w:asciiTheme="minorHAnsi" w:hAnsiTheme="minorHAnsi" w:cstheme="minorHAnsi"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78210264">
    <w:abstractNumId w:val="2"/>
  </w:num>
  <w:num w:numId="2" w16cid:durableId="1366251485">
    <w:abstractNumId w:val="1"/>
  </w:num>
  <w:num w:numId="3" w16cid:durableId="1560433564">
    <w:abstractNumId w:val="3"/>
  </w:num>
  <w:num w:numId="4" w16cid:durableId="246697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390"/>
    <w:rsid w:val="0005137F"/>
    <w:rsid w:val="000633FA"/>
    <w:rsid w:val="0006535E"/>
    <w:rsid w:val="000C3687"/>
    <w:rsid w:val="000E0BD1"/>
    <w:rsid w:val="00127B1F"/>
    <w:rsid w:val="00131B98"/>
    <w:rsid w:val="0013429D"/>
    <w:rsid w:val="001405F9"/>
    <w:rsid w:val="001449D9"/>
    <w:rsid w:val="00184E11"/>
    <w:rsid w:val="00187E7E"/>
    <w:rsid w:val="00193CAD"/>
    <w:rsid w:val="001A0AE3"/>
    <w:rsid w:val="001F0999"/>
    <w:rsid w:val="0021719E"/>
    <w:rsid w:val="00240CB8"/>
    <w:rsid w:val="002411D6"/>
    <w:rsid w:val="0024268E"/>
    <w:rsid w:val="00250C39"/>
    <w:rsid w:val="00253A07"/>
    <w:rsid w:val="00257EDB"/>
    <w:rsid w:val="002A7792"/>
    <w:rsid w:val="002B429C"/>
    <w:rsid w:val="0030340E"/>
    <w:rsid w:val="0032265F"/>
    <w:rsid w:val="0033509C"/>
    <w:rsid w:val="003779A0"/>
    <w:rsid w:val="0038077A"/>
    <w:rsid w:val="00396173"/>
    <w:rsid w:val="003A07D8"/>
    <w:rsid w:val="003B4350"/>
    <w:rsid w:val="003D0B8A"/>
    <w:rsid w:val="0040139E"/>
    <w:rsid w:val="00403822"/>
    <w:rsid w:val="00420B8F"/>
    <w:rsid w:val="004665BF"/>
    <w:rsid w:val="00470B02"/>
    <w:rsid w:val="00477848"/>
    <w:rsid w:val="004C6C51"/>
    <w:rsid w:val="004D28C5"/>
    <w:rsid w:val="004D5976"/>
    <w:rsid w:val="004E3C84"/>
    <w:rsid w:val="005040A4"/>
    <w:rsid w:val="00510C2A"/>
    <w:rsid w:val="0051356A"/>
    <w:rsid w:val="00517849"/>
    <w:rsid w:val="005377E2"/>
    <w:rsid w:val="00544C6F"/>
    <w:rsid w:val="005653A1"/>
    <w:rsid w:val="00582274"/>
    <w:rsid w:val="00594390"/>
    <w:rsid w:val="005E1FC3"/>
    <w:rsid w:val="005F12AC"/>
    <w:rsid w:val="00604A39"/>
    <w:rsid w:val="00610BCE"/>
    <w:rsid w:val="0064160F"/>
    <w:rsid w:val="00685EFE"/>
    <w:rsid w:val="006C0B94"/>
    <w:rsid w:val="006C30B3"/>
    <w:rsid w:val="006C3907"/>
    <w:rsid w:val="006D1A88"/>
    <w:rsid w:val="006F7E20"/>
    <w:rsid w:val="00731F2E"/>
    <w:rsid w:val="007511E5"/>
    <w:rsid w:val="00752F8F"/>
    <w:rsid w:val="00770976"/>
    <w:rsid w:val="007971CC"/>
    <w:rsid w:val="007B66A2"/>
    <w:rsid w:val="007C4D10"/>
    <w:rsid w:val="00801672"/>
    <w:rsid w:val="0082326B"/>
    <w:rsid w:val="008F6020"/>
    <w:rsid w:val="00903BFB"/>
    <w:rsid w:val="00925854"/>
    <w:rsid w:val="00934749"/>
    <w:rsid w:val="00946010"/>
    <w:rsid w:val="0096060B"/>
    <w:rsid w:val="009644C0"/>
    <w:rsid w:val="0097429A"/>
    <w:rsid w:val="009B71E1"/>
    <w:rsid w:val="009D7146"/>
    <w:rsid w:val="00A2693B"/>
    <w:rsid w:val="00A32011"/>
    <w:rsid w:val="00A539FE"/>
    <w:rsid w:val="00AB00AB"/>
    <w:rsid w:val="00AF0FB2"/>
    <w:rsid w:val="00B07FDA"/>
    <w:rsid w:val="00B43872"/>
    <w:rsid w:val="00B86CF7"/>
    <w:rsid w:val="00BA2332"/>
    <w:rsid w:val="00BB2827"/>
    <w:rsid w:val="00BB7FD4"/>
    <w:rsid w:val="00BC14B2"/>
    <w:rsid w:val="00BC6B48"/>
    <w:rsid w:val="00C51D6C"/>
    <w:rsid w:val="00C56FD2"/>
    <w:rsid w:val="00C72C0F"/>
    <w:rsid w:val="00C77B27"/>
    <w:rsid w:val="00CB05C7"/>
    <w:rsid w:val="00CB5F54"/>
    <w:rsid w:val="00CC3507"/>
    <w:rsid w:val="00CC4DEC"/>
    <w:rsid w:val="00CD3817"/>
    <w:rsid w:val="00CE4FF5"/>
    <w:rsid w:val="00D17099"/>
    <w:rsid w:val="00D53F2A"/>
    <w:rsid w:val="00D62D2F"/>
    <w:rsid w:val="00D9547D"/>
    <w:rsid w:val="00DB3C37"/>
    <w:rsid w:val="00DC4591"/>
    <w:rsid w:val="00DE000C"/>
    <w:rsid w:val="00E10B3D"/>
    <w:rsid w:val="00E202DB"/>
    <w:rsid w:val="00E43D31"/>
    <w:rsid w:val="00E65D71"/>
    <w:rsid w:val="00ED3357"/>
    <w:rsid w:val="00F02495"/>
    <w:rsid w:val="00F22766"/>
    <w:rsid w:val="00F51933"/>
    <w:rsid w:val="00F71AEC"/>
    <w:rsid w:val="00F8171E"/>
    <w:rsid w:val="00F95F68"/>
    <w:rsid w:val="00FE0E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89687"/>
  <w15:chartTrackingRefBased/>
  <w15:docId w15:val="{74C98CE1-4C40-4956-A362-658344485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20" w:line="276"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AE3"/>
    <w:pPr>
      <w:spacing w:after="0" w:line="240" w:lineRule="auto"/>
      <w:ind w:firstLine="0"/>
      <w:jc w:val="left"/>
    </w:pPr>
    <w:rPr>
      <w:rFonts w:ascii="Times New Roman" w:eastAsia="Times New Roman" w:hAnsi="Times New Roman" w:cs="Times New Roman"/>
      <w:sz w:val="24"/>
      <w:szCs w:val="24"/>
      <w:lang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4390"/>
    <w:pPr>
      <w:tabs>
        <w:tab w:val="center" w:pos="4419"/>
        <w:tab w:val="right" w:pos="8838"/>
      </w:tabs>
      <w:ind w:firstLine="709"/>
      <w:jc w:val="both"/>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594390"/>
  </w:style>
  <w:style w:type="paragraph" w:styleId="Piedepgina">
    <w:name w:val="footer"/>
    <w:basedOn w:val="Normal"/>
    <w:link w:val="PiedepginaCar"/>
    <w:uiPriority w:val="99"/>
    <w:unhideWhenUsed/>
    <w:rsid w:val="00594390"/>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594390"/>
    <w:rPr>
      <w:sz w:val="24"/>
      <w:lang w:val="es-MX"/>
    </w:rPr>
  </w:style>
  <w:style w:type="paragraph" w:styleId="Sinespaciado">
    <w:name w:val="No Spacing"/>
    <w:uiPriority w:val="1"/>
    <w:qFormat/>
    <w:rsid w:val="00594390"/>
    <w:pPr>
      <w:spacing w:after="0" w:line="240" w:lineRule="auto"/>
      <w:ind w:firstLine="0"/>
      <w:jc w:val="left"/>
    </w:pPr>
    <w:rPr>
      <w:sz w:val="24"/>
      <w:lang w:val="es-MX"/>
    </w:rPr>
  </w:style>
  <w:style w:type="table" w:styleId="Tablaconcuadrcula">
    <w:name w:val="Table Grid"/>
    <w:basedOn w:val="Tablanormal"/>
    <w:uiPriority w:val="59"/>
    <w:qFormat/>
    <w:rsid w:val="00594390"/>
    <w:pPr>
      <w:spacing w:after="0"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594390"/>
    <w:pPr>
      <w:ind w:firstLine="709"/>
      <w:jc w:val="both"/>
    </w:pPr>
    <w:rPr>
      <w:rFonts w:asciiTheme="minorHAnsi" w:eastAsiaTheme="minorHAnsi" w:hAnsiTheme="minorHAnsi" w:cstheme="minorBidi"/>
      <w:sz w:val="20"/>
      <w:szCs w:val="20"/>
      <w:lang w:eastAsia="en-US"/>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rsid w:val="00594390"/>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Re"/>
    <w:basedOn w:val="Fuentedeprrafopredeter"/>
    <w:link w:val="Appelnotedebasde"/>
    <w:uiPriority w:val="99"/>
    <w:unhideWhenUsed/>
    <w:qFormat/>
    <w:rsid w:val="00594390"/>
    <w:rPr>
      <w:vertAlign w:val="superscript"/>
    </w:rPr>
  </w:style>
  <w:style w:type="paragraph" w:customStyle="1" w:styleId="Appelnotedebasde">
    <w:name w:val="Appel note de bas de..."/>
    <w:basedOn w:val="Normal"/>
    <w:link w:val="Refdenotaalpie"/>
    <w:uiPriority w:val="99"/>
    <w:rsid w:val="00594390"/>
    <w:pPr>
      <w:spacing w:after="160" w:line="240" w:lineRule="exact"/>
      <w:ind w:firstLine="709"/>
      <w:jc w:val="both"/>
    </w:pPr>
    <w:rPr>
      <w:rFonts w:asciiTheme="minorHAnsi" w:eastAsiaTheme="minorHAnsi" w:hAnsiTheme="minorHAnsi" w:cstheme="minorBidi"/>
      <w:sz w:val="22"/>
      <w:szCs w:val="22"/>
      <w:vertAlign w:val="superscript"/>
      <w:lang w:eastAsia="en-US"/>
    </w:rPr>
  </w:style>
  <w:style w:type="paragraph" w:styleId="Textoindependiente">
    <w:name w:val="Body Text"/>
    <w:basedOn w:val="Normal"/>
    <w:link w:val="TextoindependienteCar"/>
    <w:uiPriority w:val="1"/>
    <w:qFormat/>
    <w:rsid w:val="00E202DB"/>
    <w:pPr>
      <w:widowControl w:val="0"/>
      <w:autoSpaceDE w:val="0"/>
      <w:autoSpaceDN w:val="0"/>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E202DB"/>
    <w:rPr>
      <w:rFonts w:ascii="Arial" w:eastAsia="Arial" w:hAnsi="Arial" w:cs="Arial"/>
      <w:sz w:val="20"/>
      <w:szCs w:val="20"/>
      <w:lang w:val="es-ES"/>
    </w:rPr>
  </w:style>
  <w:style w:type="paragraph" w:styleId="Prrafodelista">
    <w:name w:val="List Paragraph"/>
    <w:basedOn w:val="Normal"/>
    <w:uiPriority w:val="34"/>
    <w:qFormat/>
    <w:rsid w:val="004D5976"/>
    <w:pPr>
      <w:ind w:left="720"/>
      <w:contextualSpacing/>
    </w:pPr>
  </w:style>
  <w:style w:type="paragraph" w:styleId="NormalWeb">
    <w:name w:val="Normal (Web)"/>
    <w:basedOn w:val="Normal"/>
    <w:link w:val="NormalWebCar"/>
    <w:uiPriority w:val="99"/>
    <w:unhideWhenUsed/>
    <w:rsid w:val="003779A0"/>
    <w:pPr>
      <w:spacing w:before="100" w:beforeAutospacing="1" w:after="100" w:afterAutospacing="1"/>
    </w:pPr>
    <w:rPr>
      <w:lang w:eastAsia="es-CO"/>
    </w:rPr>
  </w:style>
  <w:style w:type="character" w:customStyle="1" w:styleId="NormalWebCar">
    <w:name w:val="Normal (Web) Car"/>
    <w:link w:val="NormalWeb"/>
    <w:uiPriority w:val="99"/>
    <w:rsid w:val="003779A0"/>
    <w:rPr>
      <w:rFonts w:ascii="Times New Roman" w:eastAsia="Times New Roman" w:hAnsi="Times New Roman" w:cs="Times New Roman"/>
      <w:sz w:val="24"/>
      <w:szCs w:val="24"/>
      <w:lang w:eastAsia="es-CO"/>
    </w:rPr>
  </w:style>
  <w:style w:type="paragraph" w:styleId="Revisin">
    <w:name w:val="Revision"/>
    <w:hidden/>
    <w:uiPriority w:val="99"/>
    <w:semiHidden/>
    <w:rsid w:val="00127B1F"/>
    <w:pPr>
      <w:spacing w:after="0" w:line="240" w:lineRule="auto"/>
      <w:ind w:firstLine="0"/>
      <w:jc w:val="left"/>
    </w:pPr>
    <w:rPr>
      <w:rFonts w:ascii="Times New Roman" w:eastAsia="Times New Roman" w:hAnsi="Times New Roman" w:cs="Times New Roman"/>
      <w:sz w:val="24"/>
      <w:szCs w:val="24"/>
      <w:lang w:eastAsia="en-GB"/>
    </w:rPr>
  </w:style>
  <w:style w:type="character" w:styleId="Hipervnculo">
    <w:name w:val="Hyperlink"/>
    <w:basedOn w:val="Fuentedeprrafopredeter"/>
    <w:uiPriority w:val="99"/>
    <w:unhideWhenUsed/>
    <w:rsid w:val="0082326B"/>
    <w:rPr>
      <w:color w:val="0563C1" w:themeColor="hyperlink"/>
      <w:u w:val="single"/>
    </w:rPr>
  </w:style>
  <w:style w:type="character" w:styleId="Mencinsinresolver">
    <w:name w:val="Unresolved Mention"/>
    <w:basedOn w:val="Fuentedeprrafopredeter"/>
    <w:uiPriority w:val="99"/>
    <w:semiHidden/>
    <w:unhideWhenUsed/>
    <w:rsid w:val="0082326B"/>
    <w:rPr>
      <w:color w:val="605E5C"/>
      <w:shd w:val="clear" w:color="auto" w:fill="E1DFDD"/>
    </w:rPr>
  </w:style>
  <w:style w:type="character" w:styleId="Refdecomentario">
    <w:name w:val="annotation reference"/>
    <w:basedOn w:val="Fuentedeprrafopredeter"/>
    <w:uiPriority w:val="99"/>
    <w:semiHidden/>
    <w:unhideWhenUsed/>
    <w:rsid w:val="0096060B"/>
    <w:rPr>
      <w:sz w:val="16"/>
      <w:szCs w:val="16"/>
    </w:rPr>
  </w:style>
  <w:style w:type="paragraph" w:styleId="Textocomentario">
    <w:name w:val="annotation text"/>
    <w:basedOn w:val="Normal"/>
    <w:link w:val="TextocomentarioCar"/>
    <w:uiPriority w:val="99"/>
    <w:semiHidden/>
    <w:unhideWhenUsed/>
    <w:rsid w:val="0096060B"/>
    <w:rPr>
      <w:sz w:val="20"/>
      <w:szCs w:val="20"/>
    </w:rPr>
  </w:style>
  <w:style w:type="character" w:customStyle="1" w:styleId="TextocomentarioCar">
    <w:name w:val="Texto comentario Car"/>
    <w:basedOn w:val="Fuentedeprrafopredeter"/>
    <w:link w:val="Textocomentario"/>
    <w:uiPriority w:val="99"/>
    <w:semiHidden/>
    <w:rsid w:val="0096060B"/>
    <w:rPr>
      <w:rFonts w:ascii="Times New Roman" w:eastAsia="Times New Roman" w:hAnsi="Times New Roman" w:cs="Times New Roman"/>
      <w:sz w:val="20"/>
      <w:szCs w:val="20"/>
      <w:lang w:eastAsia="en-GB"/>
    </w:rPr>
  </w:style>
  <w:style w:type="paragraph" w:styleId="Asuntodelcomentario">
    <w:name w:val="annotation subject"/>
    <w:basedOn w:val="Textocomentario"/>
    <w:next w:val="Textocomentario"/>
    <w:link w:val="AsuntodelcomentarioCar"/>
    <w:uiPriority w:val="99"/>
    <w:semiHidden/>
    <w:unhideWhenUsed/>
    <w:rsid w:val="0096060B"/>
    <w:rPr>
      <w:b/>
      <w:bCs/>
    </w:rPr>
  </w:style>
  <w:style w:type="character" w:customStyle="1" w:styleId="AsuntodelcomentarioCar">
    <w:name w:val="Asunto del comentario Car"/>
    <w:basedOn w:val="TextocomentarioCar"/>
    <w:link w:val="Asuntodelcomentario"/>
    <w:uiPriority w:val="99"/>
    <w:semiHidden/>
    <w:rsid w:val="0096060B"/>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52671">
      <w:bodyDiv w:val="1"/>
      <w:marLeft w:val="0"/>
      <w:marRight w:val="0"/>
      <w:marTop w:val="0"/>
      <w:marBottom w:val="0"/>
      <w:divBdr>
        <w:top w:val="none" w:sz="0" w:space="0" w:color="auto"/>
        <w:left w:val="none" w:sz="0" w:space="0" w:color="auto"/>
        <w:bottom w:val="none" w:sz="0" w:space="0" w:color="auto"/>
        <w:right w:val="none" w:sz="0" w:space="0" w:color="auto"/>
      </w:divBdr>
      <w:divsChild>
        <w:div w:id="778723792">
          <w:marLeft w:val="0"/>
          <w:marRight w:val="0"/>
          <w:marTop w:val="0"/>
          <w:marBottom w:val="0"/>
          <w:divBdr>
            <w:top w:val="none" w:sz="0" w:space="0" w:color="auto"/>
            <w:left w:val="none" w:sz="0" w:space="0" w:color="auto"/>
            <w:bottom w:val="none" w:sz="0" w:space="0" w:color="auto"/>
            <w:right w:val="none" w:sz="0" w:space="0" w:color="auto"/>
          </w:divBdr>
        </w:div>
        <w:div w:id="454712021">
          <w:marLeft w:val="0"/>
          <w:marRight w:val="0"/>
          <w:marTop w:val="0"/>
          <w:marBottom w:val="0"/>
          <w:divBdr>
            <w:top w:val="none" w:sz="0" w:space="0" w:color="auto"/>
            <w:left w:val="none" w:sz="0" w:space="0" w:color="auto"/>
            <w:bottom w:val="none" w:sz="0" w:space="0" w:color="auto"/>
            <w:right w:val="none" w:sz="0" w:space="0" w:color="auto"/>
          </w:divBdr>
        </w:div>
        <w:div w:id="1312247168">
          <w:marLeft w:val="0"/>
          <w:marRight w:val="0"/>
          <w:marTop w:val="0"/>
          <w:marBottom w:val="0"/>
          <w:divBdr>
            <w:top w:val="none" w:sz="0" w:space="0" w:color="auto"/>
            <w:left w:val="none" w:sz="0" w:space="0" w:color="auto"/>
            <w:bottom w:val="none" w:sz="0" w:space="0" w:color="auto"/>
            <w:right w:val="none" w:sz="0" w:space="0" w:color="auto"/>
          </w:divBdr>
        </w:div>
      </w:divsChild>
    </w:div>
    <w:div w:id="1372343323">
      <w:bodyDiv w:val="1"/>
      <w:marLeft w:val="0"/>
      <w:marRight w:val="0"/>
      <w:marTop w:val="0"/>
      <w:marBottom w:val="0"/>
      <w:divBdr>
        <w:top w:val="none" w:sz="0" w:space="0" w:color="auto"/>
        <w:left w:val="none" w:sz="0" w:space="0" w:color="auto"/>
        <w:bottom w:val="none" w:sz="0" w:space="0" w:color="auto"/>
        <w:right w:val="none" w:sz="0" w:space="0" w:color="auto"/>
      </w:divBdr>
    </w:div>
    <w:div w:id="189650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70FCB1-FCF4-493A-BC57-305D22012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E9EC0F-3C91-4516-84DE-869ABC1122F7}">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691BBC5F-FE5D-4919-90EA-9658F83799D1}">
  <ds:schemaRefs>
    <ds:schemaRef ds:uri="http://schemas.openxmlformats.org/officeDocument/2006/bibliography"/>
  </ds:schemaRefs>
</ds:datastoreItem>
</file>

<file path=customXml/itemProps4.xml><?xml version="1.0" encoding="utf-8"?>
<ds:datastoreItem xmlns:ds="http://schemas.openxmlformats.org/officeDocument/2006/customXml" ds:itemID="{F6D8AF40-129E-40B5-B560-1A55653DC9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3582</Words>
  <Characters>19706</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Fernández Reinoso</dc:creator>
  <cp:keywords/>
  <dc:description/>
  <cp:lastModifiedBy>Ana Maria Velez Arteaga</cp:lastModifiedBy>
  <cp:revision>2</cp:revision>
  <dcterms:created xsi:type="dcterms:W3CDTF">2023-03-03T21:46:00Z</dcterms:created>
  <dcterms:modified xsi:type="dcterms:W3CDTF">2023-03-03T21:46:00Z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