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4233C" w:rsidP="0024233C" w:rsidRDefault="0024233C" w14:paraId="18CA87A9" w14:textId="77777777">
      <w:pPr>
        <w:widowControl w:val="0"/>
        <w:autoSpaceDE w:val="0"/>
        <w:autoSpaceDN w:val="0"/>
        <w:spacing w:after="0" w:line="276" w:lineRule="auto"/>
        <w:rPr>
          <w:rFonts w:ascii="Arial" w:hAnsi="Arial" w:eastAsia="Times New Roman" w:cs="Arial"/>
          <w:lang w:val="es-ES" w:eastAsia="es-ES"/>
        </w:rPr>
      </w:pPr>
      <w:bookmarkStart w:name="_Hlk100647184" w:id="0"/>
    </w:p>
    <w:p w:rsidRPr="005264A0" w:rsidR="0024233C" w:rsidP="0024233C" w:rsidRDefault="0024233C" w14:paraId="2CC32906" w14:textId="77777777">
      <w:pPr>
        <w:jc w:val="right"/>
        <w:rPr>
          <w:rFonts w:ascii="Arial" w:hAnsi="Arial" w:eastAsia="Calibri" w:cs="Arial"/>
          <w:b/>
          <w:sz w:val="20"/>
          <w:szCs w:val="20"/>
          <w:lang w:val="es-ES_tradnl"/>
        </w:rPr>
      </w:pPr>
      <w:bookmarkStart w:name="_Hlk28946138" w:id="1"/>
      <w:bookmarkStart w:name="_Hlk29548183" w:id="2"/>
      <w:r w:rsidRPr="005264A0">
        <w:rPr>
          <w:rFonts w:ascii="Arial" w:hAnsi="Arial" w:cs="Arial"/>
          <w:bCs/>
          <w:sz w:val="16"/>
          <w:szCs w:val="16"/>
          <w:lang w:val="es-ES_tradnl" w:eastAsia="es-ES"/>
        </w:rPr>
        <w:t>CCE-DES-FM-17</w:t>
      </w:r>
      <w:bookmarkEnd w:id="1"/>
      <w:bookmarkEnd w:id="2"/>
    </w:p>
    <w:p w:rsidRPr="00E944E9" w:rsidR="0024233C" w:rsidP="0024233C" w:rsidRDefault="0024233C" w14:paraId="5C6D84F2" w14:textId="15096A33">
      <w:pPr>
        <w:spacing w:line="276" w:lineRule="auto"/>
        <w:jc w:val="both"/>
        <w:rPr>
          <w:lang w:val="es-ES_tradnl"/>
        </w:rPr>
      </w:pPr>
      <w:r w:rsidRPr="0024233C">
        <w:rPr>
          <w:rFonts w:ascii="Arial" w:hAnsi="Arial" w:eastAsia="Calibri" w:cs="Arial"/>
          <w:b/>
          <w:lang w:val="es-ES_tradnl"/>
        </w:rPr>
        <w:t>EXPERIENCIA – Noción</w:t>
      </w:r>
      <w:r w:rsidRPr="0024233C">
        <w:rPr>
          <w:rFonts w:ascii="Arial" w:hAnsi="Arial" w:eastAsia="Calibri" w:cs="Arial"/>
          <w:b/>
          <w:lang w:val="es-ES_tradnl"/>
        </w:rPr>
        <w:t xml:space="preserve"> </w:t>
      </w:r>
      <w:r>
        <w:rPr>
          <w:rFonts w:ascii="Arial" w:hAnsi="Arial" w:eastAsia="Calibri" w:cs="Arial"/>
          <w:b/>
          <w:lang w:val="es-ES_tradnl"/>
        </w:rPr>
        <w:t>–</w:t>
      </w:r>
      <w:r w:rsidRPr="0024233C">
        <w:rPr>
          <w:rFonts w:ascii="Arial" w:hAnsi="Arial" w:eastAsia="Calibri" w:cs="Arial"/>
          <w:b/>
          <w:lang w:val="es-ES_tradnl"/>
        </w:rPr>
        <w:t xml:space="preserve"> Concepto</w:t>
      </w:r>
    </w:p>
    <w:p w:rsidR="0024233C" w:rsidP="0024233C" w:rsidRDefault="0024233C" w14:paraId="3B4A93C7" w14:textId="6C065692">
      <w:pPr>
        <w:spacing w:line="240" w:lineRule="auto"/>
        <w:jc w:val="both"/>
      </w:pPr>
      <w:r w:rsidRPr="0024233C">
        <w:rPr>
          <w:rFonts w:ascii="Arial" w:hAnsi="Arial" w:eastAsia="Calibri" w:cs="Arial"/>
          <w:bCs/>
          <w:sz w:val="20"/>
          <w:lang w:val="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 La experiencia que se deriva de los contratos que el proponente ha celebrado y ejecutado con diferentes contratantes, sin importar la naturaleza de estos, se verifica con el Registro Único de Proponentes – en adelante RUP -,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5E0FE7">
        <w:rPr>
          <w:rFonts w:ascii="Arial" w:hAnsi="Arial" w:eastAsia="Calibri" w:cs="Arial"/>
          <w:bCs/>
          <w:sz w:val="20"/>
          <w:lang w:val="es-ES_tradnl"/>
        </w:rPr>
        <w:t xml:space="preserve"> </w:t>
      </w:r>
    </w:p>
    <w:p w:rsidRPr="005E0FE7" w:rsidR="0024233C" w:rsidP="0024233C" w:rsidRDefault="0024233C" w14:paraId="164BE6C1" w14:textId="288C092F">
      <w:pPr>
        <w:rPr>
          <w:rFonts w:ascii="Arial" w:hAnsi="Arial" w:eastAsia="Calibri" w:cs="Arial"/>
          <w:bCs/>
          <w:sz w:val="20"/>
          <w:lang w:val="es-ES_tradnl"/>
        </w:rPr>
      </w:pPr>
      <w:r w:rsidRPr="0024233C">
        <w:rPr>
          <w:rFonts w:ascii="Arial" w:hAnsi="Arial" w:eastAsia="Calibri" w:cs="Arial"/>
          <w:b/>
          <w:lang w:val="es-ES_tradnl"/>
        </w:rPr>
        <w:t>EXPERIENCIA – Noción ‒ Colombia Compra Eficiente</w:t>
      </w:r>
    </w:p>
    <w:p w:rsidR="0024233C" w:rsidP="0024233C" w:rsidRDefault="0024233C" w14:paraId="52DE4372" w14:textId="77777777">
      <w:pPr>
        <w:spacing w:before="120" w:line="240" w:lineRule="auto"/>
        <w:jc w:val="both"/>
        <w:rPr>
          <w:rFonts w:ascii="Arial" w:hAnsi="Arial" w:eastAsia="Calibri" w:cs="Arial"/>
          <w:bCs/>
          <w:sz w:val="20"/>
          <w:lang w:val="es-ES_tradnl"/>
        </w:rPr>
      </w:pPr>
      <w:r w:rsidRPr="0024233C">
        <w:rPr>
          <w:rFonts w:ascii="Arial" w:hAnsi="Arial" w:eastAsia="Calibri" w:cs="Arial"/>
          <w:bCs/>
          <w:sz w:val="20"/>
          <w:lang w:val="es-ES_tradnl"/>
        </w:rPr>
        <w:t xml:space="preserve">i) La experiencia es personal, esto es, se adquiere participando, directa o indirectamente, sin que sea posible no participar y tener una experiencia que no es propia. </w:t>
      </w:r>
    </w:p>
    <w:p w:rsidR="0024233C" w:rsidP="0024233C" w:rsidRDefault="0024233C" w14:paraId="31FBED7A" w14:textId="77777777">
      <w:pPr>
        <w:spacing w:before="120" w:line="240" w:lineRule="auto"/>
        <w:jc w:val="both"/>
        <w:rPr>
          <w:rFonts w:ascii="Arial" w:hAnsi="Arial" w:eastAsia="Calibri" w:cs="Arial"/>
          <w:bCs/>
          <w:sz w:val="20"/>
          <w:lang w:val="es-ES_tradnl"/>
        </w:rPr>
      </w:pPr>
      <w:proofErr w:type="spellStart"/>
      <w:r w:rsidRPr="0024233C">
        <w:rPr>
          <w:rFonts w:ascii="Arial" w:hAnsi="Arial" w:eastAsia="Calibri" w:cs="Arial"/>
          <w:bCs/>
          <w:sz w:val="20"/>
          <w:lang w:val="es-ES_tradnl"/>
        </w:rPr>
        <w:t>ii</w:t>
      </w:r>
      <w:proofErr w:type="spellEnd"/>
      <w:r w:rsidRPr="0024233C">
        <w:rPr>
          <w:rFonts w:ascii="Arial" w:hAnsi="Arial" w:eastAsia="Calibri" w:cs="Arial"/>
          <w:bCs/>
          <w:sz w:val="20"/>
          <w:lang w:val="es-ES_tradnl"/>
        </w:rPr>
        <w:t xml:space="preserve">) La experiencia se puede compartir, sin que implique que la que le hayan compartido a una persona se entienda suya, ya que dentro del procedimiento contractual se reflejará que esa persona tiene la experiencia de otra, como es el caso de la que </w:t>
      </w:r>
      <w:proofErr w:type="gramStart"/>
      <w:r w:rsidRPr="0024233C">
        <w:rPr>
          <w:rFonts w:ascii="Arial" w:hAnsi="Arial" w:eastAsia="Calibri" w:cs="Arial"/>
          <w:bCs/>
          <w:sz w:val="20"/>
          <w:lang w:val="es-ES_tradnl"/>
        </w:rPr>
        <w:t>le</w:t>
      </w:r>
      <w:proofErr w:type="gramEnd"/>
      <w:r w:rsidRPr="0024233C">
        <w:rPr>
          <w:rFonts w:ascii="Arial" w:hAnsi="Arial" w:eastAsia="Calibri" w:cs="Arial"/>
          <w:bCs/>
          <w:sz w:val="20"/>
          <w:lang w:val="es-ES_tradnl"/>
        </w:rPr>
        <w:t xml:space="preserve"> aportan los socios a las sociedades con menos de 3 años de constitución, lo cual constará en el RUP; o de las figuras asociativas ̶consorcios y uniones temporales ̶ que se verificará en el documento privado de constitución. </w:t>
      </w:r>
    </w:p>
    <w:p w:rsidR="0024233C" w:rsidP="0024233C" w:rsidRDefault="0024233C" w14:paraId="21CA6160" w14:textId="77777777">
      <w:pPr>
        <w:spacing w:before="120" w:line="240" w:lineRule="auto"/>
        <w:jc w:val="both"/>
        <w:rPr>
          <w:rFonts w:ascii="Arial" w:hAnsi="Arial" w:eastAsia="Calibri" w:cs="Arial"/>
          <w:bCs/>
          <w:sz w:val="20"/>
          <w:lang w:val="es-ES_tradnl"/>
        </w:rPr>
      </w:pPr>
      <w:proofErr w:type="spellStart"/>
      <w:r w:rsidRPr="0024233C">
        <w:rPr>
          <w:rFonts w:ascii="Arial" w:hAnsi="Arial" w:eastAsia="Calibri" w:cs="Arial"/>
          <w:bCs/>
          <w:sz w:val="20"/>
          <w:lang w:val="es-ES_tradnl"/>
        </w:rPr>
        <w:t>iii</w:t>
      </w:r>
      <w:proofErr w:type="spellEnd"/>
      <w:r w:rsidRPr="0024233C">
        <w:rPr>
          <w:rFonts w:ascii="Arial" w:hAnsi="Arial" w:eastAsia="Calibri" w:cs="Arial"/>
          <w:bCs/>
          <w:sz w:val="20"/>
          <w:lang w:val="es-ES_tradnl"/>
        </w:rPr>
        <w:t xml:space="preserve">)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 </w:t>
      </w:r>
    </w:p>
    <w:p w:rsidR="0024233C" w:rsidP="0024233C" w:rsidRDefault="0024233C" w14:paraId="38FEBB33" w14:textId="253BD822">
      <w:pPr>
        <w:spacing w:before="120" w:line="240" w:lineRule="auto"/>
        <w:jc w:val="both"/>
        <w:rPr>
          <w:rFonts w:ascii="Arial" w:hAnsi="Arial" w:eastAsia="Calibri" w:cs="Arial"/>
          <w:bCs/>
          <w:sz w:val="20"/>
          <w:lang w:val="es-ES_tradnl"/>
        </w:rPr>
      </w:pPr>
      <w:proofErr w:type="spellStart"/>
      <w:r w:rsidRPr="0024233C">
        <w:rPr>
          <w:rFonts w:ascii="Arial" w:hAnsi="Arial" w:eastAsia="Calibri" w:cs="Arial"/>
          <w:bCs/>
          <w:sz w:val="20"/>
          <w:lang w:val="es-ES_tradnl"/>
        </w:rPr>
        <w:t>iv</w:t>
      </w:r>
      <w:proofErr w:type="spellEnd"/>
      <w:r w:rsidRPr="0024233C">
        <w:rPr>
          <w:rFonts w:ascii="Arial" w:hAnsi="Arial" w:eastAsia="Calibri" w:cs="Arial"/>
          <w:bCs/>
          <w:sz w:val="20"/>
          <w:lang w:val="es-ES_tradnl"/>
        </w:rPr>
        <w:t>) Cuando la persona que adquirió la experiencia desaparece o se liquida, no es posible que comparta o transfiera su experiencia, porque al ser personal sigue la suerte de quien la adquirió.</w:t>
      </w:r>
    </w:p>
    <w:p w:rsidRPr="0024233C" w:rsidR="0024233C" w:rsidP="0024233C" w:rsidRDefault="0024233C" w14:paraId="323AC41A" w14:textId="77777777">
      <w:pPr>
        <w:spacing w:after="0" w:line="240" w:lineRule="auto"/>
        <w:jc w:val="both"/>
        <w:rPr>
          <w:rFonts w:ascii="Arial" w:hAnsi="Arial" w:eastAsia="Calibri" w:cs="Arial"/>
          <w:b/>
          <w:lang w:val="es-ES_tradnl"/>
        </w:rPr>
      </w:pPr>
      <w:r w:rsidRPr="0024233C">
        <w:rPr>
          <w:rFonts w:ascii="Arial" w:hAnsi="Arial" w:eastAsia="Calibri" w:cs="Arial"/>
          <w:b/>
          <w:lang w:val="es-ES_tradnl"/>
        </w:rPr>
        <w:t>SOCIEDADES NUEVAS ‒ Experiencia ‒ Inferior a tres años ‒ Requisitos habilitantes ‒</w:t>
      </w:r>
    </w:p>
    <w:p w:rsidR="0024233C" w:rsidP="0024233C" w:rsidRDefault="0024233C" w14:paraId="513981DB" w14:textId="0054E5F0">
      <w:pPr>
        <w:spacing w:after="0" w:line="240" w:lineRule="auto"/>
        <w:jc w:val="both"/>
        <w:rPr>
          <w:rFonts w:ascii="Arial" w:hAnsi="Arial" w:eastAsia="Calibri" w:cs="Arial"/>
          <w:b/>
          <w:lang w:val="es-ES_tradnl"/>
        </w:rPr>
      </w:pPr>
      <w:r w:rsidRPr="0024233C">
        <w:rPr>
          <w:rFonts w:ascii="Arial" w:hAnsi="Arial" w:eastAsia="Calibri" w:cs="Arial"/>
          <w:b/>
          <w:lang w:val="es-ES_tradnl"/>
        </w:rPr>
        <w:t>Desarrollo de la empresa</w:t>
      </w:r>
    </w:p>
    <w:p w:rsidR="0024233C" w:rsidP="0024233C" w:rsidRDefault="0024233C" w14:paraId="634EB435" w14:textId="77777777">
      <w:pPr>
        <w:spacing w:before="120" w:line="240" w:lineRule="auto"/>
        <w:jc w:val="both"/>
        <w:rPr>
          <w:rFonts w:ascii="Arial" w:hAnsi="Arial" w:eastAsia="Calibri" w:cs="Arial"/>
          <w:bCs/>
          <w:sz w:val="20"/>
          <w:lang w:val="es-ES_tradnl"/>
        </w:rPr>
      </w:pPr>
      <w:r w:rsidRPr="0024233C">
        <w:rPr>
          <w:rFonts w:ascii="Arial" w:hAnsi="Arial" w:eastAsia="Calibri" w:cs="Arial"/>
          <w:bCs/>
          <w:sz w:val="20"/>
          <w:lang w:val="es-ES_tradn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w:t>
      </w:r>
    </w:p>
    <w:p w:rsidR="0024233C" w:rsidP="0024233C" w:rsidRDefault="0024233C" w14:paraId="67F6974F" w14:textId="77777777">
      <w:pPr>
        <w:spacing w:before="120" w:line="240" w:lineRule="auto"/>
        <w:jc w:val="both"/>
        <w:rPr>
          <w:rFonts w:ascii="Arial" w:hAnsi="Arial" w:eastAsia="Calibri" w:cs="Arial"/>
          <w:bCs/>
          <w:sz w:val="20"/>
          <w:lang w:val="es-ES_tradnl"/>
        </w:rPr>
      </w:pPr>
      <w:r w:rsidRPr="0024233C">
        <w:rPr>
          <w:rFonts w:ascii="Arial" w:hAnsi="Arial" w:eastAsia="Calibri" w:cs="Arial"/>
          <w:bCs/>
          <w:sz w:val="20"/>
          <w:lang w:val="es-ES_tradnl"/>
        </w:rPr>
        <w:t xml:space="preserve">[…] </w:t>
      </w:r>
    </w:p>
    <w:p w:rsidR="0024233C" w:rsidP="0024233C" w:rsidRDefault="0024233C" w14:paraId="2637828E" w14:textId="68ADAB51">
      <w:pPr>
        <w:spacing w:before="120" w:line="240" w:lineRule="auto"/>
        <w:jc w:val="both"/>
        <w:rPr>
          <w:rFonts w:ascii="Arial" w:hAnsi="Arial" w:eastAsia="Calibri" w:cs="Arial"/>
          <w:bCs/>
          <w:sz w:val="20"/>
          <w:lang w:val="es-ES_tradnl"/>
        </w:rPr>
      </w:pPr>
      <w:r w:rsidRPr="0024233C">
        <w:rPr>
          <w:rFonts w:ascii="Arial" w:hAnsi="Arial" w:eastAsia="Calibri" w:cs="Arial"/>
          <w:bCs/>
          <w:sz w:val="20"/>
          <w:lang w:val="es-ES_tradnl"/>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w:t>
      </w:r>
      <w:r w:rsidRPr="0024233C">
        <w:rPr>
          <w:rFonts w:ascii="Arial" w:hAnsi="Arial" w:eastAsia="Calibri" w:cs="Arial"/>
          <w:bCs/>
          <w:sz w:val="20"/>
          <w:lang w:val="es-ES_tradnl"/>
        </w:rPr>
        <w:lastRenderedPageBreak/>
        <w:t>independiente, pueda cumplir con los requisitos habilitantes o puntuables que establezcan las entidades</w:t>
      </w:r>
      <w:r>
        <w:rPr>
          <w:rFonts w:ascii="Arial" w:hAnsi="Arial" w:eastAsia="Calibri" w:cs="Arial"/>
          <w:bCs/>
          <w:sz w:val="20"/>
          <w:lang w:val="es-ES_tradnl"/>
        </w:rPr>
        <w:t xml:space="preserve"> </w:t>
      </w:r>
      <w:r w:rsidRPr="0024233C">
        <w:rPr>
          <w:rFonts w:ascii="Arial" w:hAnsi="Arial" w:eastAsia="Calibri" w:cs="Arial"/>
          <w:bCs/>
          <w:sz w:val="20"/>
          <w:lang w:val="es-ES_tradnl"/>
        </w:rPr>
        <w:t>estatales en sus procesos de contratación, y de esta forma promover el desarrollo de la empresa y la pluralidad de oferentes en la contratación pública.</w:t>
      </w:r>
    </w:p>
    <w:p w:rsidR="0024233C" w:rsidP="0024233C" w:rsidRDefault="0024233C" w14:paraId="69923E21" w14:textId="143C71E0">
      <w:pPr>
        <w:spacing w:before="120" w:line="240" w:lineRule="auto"/>
        <w:jc w:val="both"/>
        <w:rPr>
          <w:rFonts w:ascii="Arial" w:hAnsi="Arial" w:eastAsia="Calibri" w:cs="Arial"/>
          <w:b/>
          <w:lang w:val="es-ES_tradnl"/>
        </w:rPr>
      </w:pPr>
      <w:r w:rsidRPr="0024233C">
        <w:rPr>
          <w:rFonts w:ascii="Arial" w:hAnsi="Arial" w:eastAsia="Calibri" w:cs="Arial"/>
          <w:b/>
          <w:lang w:val="es-ES_tradnl"/>
        </w:rPr>
        <w:t>EXPERIENCIA ‒ Conservación ‒ Renovación RUP ‒ Cesación efectos RUP</w:t>
      </w:r>
    </w:p>
    <w:p w:rsidR="0024233C" w:rsidP="0024233C" w:rsidRDefault="0024233C" w14:paraId="6DE953F2" w14:textId="727742A9">
      <w:pPr>
        <w:spacing w:before="120" w:line="240" w:lineRule="auto"/>
        <w:jc w:val="both"/>
        <w:rPr>
          <w:rFonts w:ascii="Arial" w:hAnsi="Arial" w:eastAsia="Calibri" w:cs="Arial"/>
          <w:bCs/>
          <w:sz w:val="20"/>
          <w:lang w:val="es-ES_tradnl"/>
        </w:rPr>
      </w:pPr>
      <w:r w:rsidRPr="0024233C">
        <w:rPr>
          <w:rFonts w:ascii="Arial" w:hAnsi="Arial" w:eastAsia="Calibri" w:cs="Arial"/>
          <w:bCs/>
          <w:sz w:val="20"/>
          <w:lang w:val="es-ES_tradnl"/>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rsidR="0024233C" w:rsidP="0024233C" w:rsidRDefault="0024233C" w14:paraId="644540EF" w14:textId="23C75B40">
      <w:pPr>
        <w:spacing w:before="120" w:line="240" w:lineRule="auto"/>
        <w:jc w:val="both"/>
        <w:rPr>
          <w:rFonts w:ascii="Arial" w:hAnsi="Arial" w:eastAsia="Calibri" w:cs="Arial"/>
          <w:b/>
          <w:lang w:val="es-ES_tradnl"/>
        </w:rPr>
      </w:pPr>
      <w:r w:rsidRPr="0024233C">
        <w:rPr>
          <w:rFonts w:ascii="Arial" w:hAnsi="Arial" w:eastAsia="Calibri" w:cs="Arial"/>
          <w:b/>
          <w:lang w:val="es-ES_tradnl"/>
        </w:rPr>
        <w:t>EXPERIENCIA – Retiro del socio − Sociedades – Menor a 3 años de constitución</w:t>
      </w:r>
    </w:p>
    <w:p w:rsidRPr="0024233C" w:rsidR="0024233C" w:rsidP="0024233C" w:rsidRDefault="0024233C" w14:paraId="3204680A" w14:textId="73ADF3F9">
      <w:pPr>
        <w:spacing w:before="120" w:line="240" w:lineRule="auto"/>
        <w:jc w:val="both"/>
        <w:rPr>
          <w:rFonts w:ascii="Arial" w:hAnsi="Arial" w:eastAsia="Calibri" w:cs="Arial"/>
          <w:bCs/>
          <w:sz w:val="20"/>
          <w:lang w:val="es-ES_tradnl"/>
        </w:rPr>
      </w:pPr>
      <w:r w:rsidRPr="0024233C">
        <w:rPr>
          <w:rFonts w:ascii="Arial" w:hAnsi="Arial" w:eastAsia="Calibri" w:cs="Arial"/>
          <w:bCs/>
          <w:sz w:val="20"/>
          <w:lang w:val="es-ES_tradnl"/>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rsidRPr="00E82B92" w:rsidR="0024233C" w:rsidP="0024233C" w:rsidRDefault="0024233C" w14:paraId="467AB38F" w14:textId="77777777">
      <w:pPr>
        <w:spacing w:before="120" w:line="240" w:lineRule="auto"/>
        <w:jc w:val="both"/>
        <w:rPr>
          <w:rFonts w:ascii="Arial" w:hAnsi="Arial" w:eastAsia="Calibri" w:cs="Arial"/>
          <w:bCs/>
          <w:sz w:val="20"/>
          <w:lang w:val="es-ES_tradnl"/>
        </w:rPr>
      </w:pPr>
    </w:p>
    <w:p w:rsidR="0024233C" w:rsidP="0024233C" w:rsidRDefault="0024233C" w14:paraId="3A984CD1" w14:textId="77777777">
      <w:pPr>
        <w:spacing w:line="276" w:lineRule="auto"/>
        <w:jc w:val="both"/>
        <w:rPr>
          <w:rFonts w:ascii="Arial" w:hAnsi="Arial" w:cs="Arial"/>
          <w:noProof/>
          <w:lang w:val="es-ES_tradnl"/>
        </w:rPr>
      </w:pPr>
    </w:p>
    <w:p w:rsidR="0024233C" w:rsidP="0024233C" w:rsidRDefault="0024233C" w14:paraId="7FC7AF7C" w14:textId="77777777">
      <w:pPr>
        <w:spacing w:line="276" w:lineRule="auto"/>
        <w:jc w:val="both"/>
        <w:rPr>
          <w:rFonts w:ascii="Arial" w:hAnsi="Arial" w:cs="Arial"/>
          <w:noProof/>
          <w:lang w:val="es-ES_tradnl"/>
        </w:rPr>
      </w:pPr>
    </w:p>
    <w:p w:rsidR="0024233C" w:rsidP="0024233C" w:rsidRDefault="0024233C" w14:paraId="2AA425C7" w14:textId="77777777">
      <w:pPr>
        <w:spacing w:line="276" w:lineRule="auto"/>
        <w:jc w:val="both"/>
        <w:rPr>
          <w:rFonts w:ascii="Arial" w:hAnsi="Arial" w:cs="Arial"/>
          <w:noProof/>
          <w:lang w:val="es-ES_tradnl"/>
        </w:rPr>
      </w:pPr>
    </w:p>
    <w:p w:rsidR="0024233C" w:rsidP="0024233C" w:rsidRDefault="0024233C" w14:paraId="764A1556" w14:textId="77777777">
      <w:pPr>
        <w:spacing w:line="276" w:lineRule="auto"/>
        <w:jc w:val="right"/>
        <w:rPr>
          <w:rFonts w:ascii="Arial" w:hAnsi="Arial" w:cs="Arial"/>
          <w:noProof/>
          <w:lang w:val="es-ES_tradnl"/>
        </w:rPr>
      </w:pPr>
    </w:p>
    <w:p w:rsidR="0024233C" w:rsidP="0024233C" w:rsidRDefault="0024233C" w14:paraId="1321807A" w14:textId="77777777">
      <w:pPr>
        <w:widowControl w:val="0"/>
        <w:autoSpaceDE w:val="0"/>
        <w:autoSpaceDN w:val="0"/>
        <w:spacing w:after="0" w:line="276" w:lineRule="auto"/>
        <w:rPr>
          <w:rFonts w:ascii="Arial" w:hAnsi="Arial" w:eastAsia="Times New Roman" w:cs="Arial"/>
          <w:lang w:val="es-ES" w:eastAsia="es-ES"/>
        </w:rPr>
      </w:pPr>
      <w:bookmarkStart w:name="_Hlk94281581" w:id="3"/>
    </w:p>
    <w:p w:rsidR="0024233C" w:rsidP="0024233C" w:rsidRDefault="0024233C" w14:paraId="074A8218"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506D87EB"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15041ADD"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5987579E"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38391F3E"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02705502"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2A79EC25"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226506AF"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18BE3DBF"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55537784"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7E1CE674"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35C1F8BC"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6D70233B"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02046D99" w14:textId="77777777">
      <w:pPr>
        <w:widowControl w:val="0"/>
        <w:autoSpaceDE w:val="0"/>
        <w:autoSpaceDN w:val="0"/>
        <w:spacing w:after="0" w:line="276" w:lineRule="auto"/>
        <w:rPr>
          <w:rFonts w:ascii="Arial" w:hAnsi="Arial" w:eastAsia="Times New Roman" w:cs="Arial"/>
          <w:lang w:val="es-ES" w:eastAsia="es-ES"/>
        </w:rPr>
      </w:pPr>
    </w:p>
    <w:p w:rsidRPr="00286783" w:rsidR="0024233C" w:rsidP="0833B67D" w:rsidRDefault="0024233C" w14:paraId="48E992B1" w14:textId="233869D0">
      <w:pPr>
        <w:widowControl w:val="0"/>
        <w:autoSpaceDE w:val="0"/>
        <w:autoSpaceDN w:val="0"/>
        <w:spacing w:after="0" w:line="276" w:lineRule="auto"/>
        <w:rPr>
          <w:rFonts w:ascii="Arial" w:hAnsi="Arial" w:eastAsia="Times New Roman" w:cs="Arial"/>
          <w:lang w:val="es-ES" w:eastAsia="es-ES"/>
        </w:rPr>
      </w:pPr>
      <w:r w:rsidRPr="0833B67D" w:rsidR="0024233C">
        <w:rPr>
          <w:rFonts w:ascii="Arial" w:hAnsi="Arial" w:eastAsia="Times New Roman" w:cs="Arial"/>
          <w:lang w:val="es-ES" w:eastAsia="es-ES"/>
        </w:rPr>
        <w:t xml:space="preserve">Bogotá, </w:t>
      </w:r>
      <w:r w:rsidRPr="0833B67D" w:rsidR="578C573C">
        <w:rPr>
          <w:rFonts w:ascii="Arial" w:hAnsi="Arial" w:eastAsia="Times New Roman" w:cs="Arial"/>
          <w:lang w:val="es-ES" w:eastAsia="es-ES"/>
        </w:rPr>
        <w:t>30 de diciembre del 2022</w:t>
      </w:r>
      <w:r w:rsidRPr="0833B67D" w:rsidR="0024233C">
        <w:rPr>
          <w:rFonts w:ascii="Arial" w:hAnsi="Arial" w:eastAsia="Times New Roman" w:cs="Arial"/>
          <w:lang w:val="es-ES" w:eastAsia="es-ES"/>
        </w:rPr>
        <w:t xml:space="preserve"> </w:t>
      </w:r>
    </w:p>
    <w:p w:rsidRPr="00BC0F9B" w:rsidR="0024233C" w:rsidP="0024233C" w:rsidRDefault="0024233C" w14:paraId="43AD6857" w14:textId="77777777">
      <w:pPr>
        <w:spacing w:after="0" w:line="276" w:lineRule="auto"/>
        <w:jc w:val="both"/>
        <w:rPr>
          <w:rFonts w:ascii="Arial" w:hAnsi="Arial" w:eastAsia="Calibri" w:cs="Arial"/>
          <w:b/>
          <w:bCs/>
          <w:lang w:val="es-ES"/>
        </w:rPr>
      </w:pPr>
    </w:p>
    <w:p w:rsidRPr="009208B9" w:rsidR="0024233C" w:rsidP="0024233C" w:rsidRDefault="0024233C" w14:paraId="6E88BBDA" w14:textId="699845FE">
      <w:pPr>
        <w:spacing w:after="0" w:line="276" w:lineRule="auto"/>
        <w:jc w:val="right"/>
        <w:rPr>
          <w:rFonts w:ascii="Arial" w:hAnsi="Arial" w:eastAsia="Calibri" w:cs="Arial"/>
          <w:b/>
          <w:bCs/>
          <w:lang w:val="es-ES"/>
        </w:rPr>
      </w:pPr>
      <w:r>
        <w:rPr>
          <w:noProof/>
        </w:rPr>
        <w:drawing>
          <wp:inline distT="0" distB="0" distL="0" distR="0" wp14:anchorId="11C212D5" wp14:editId="1B6BB119">
            <wp:extent cx="2435612" cy="635747"/>
            <wp:effectExtent l="0" t="0" r="317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8"/>
                    <a:srcRect l="61012" t="29197" r="3786" b="54459"/>
                    <a:stretch/>
                  </pic:blipFill>
                  <pic:spPr bwMode="auto">
                    <a:xfrm>
                      <a:off x="0" y="0"/>
                      <a:ext cx="2457193" cy="641380"/>
                    </a:xfrm>
                    <a:prstGeom prst="rect">
                      <a:avLst/>
                    </a:prstGeom>
                    <a:ln>
                      <a:noFill/>
                    </a:ln>
                    <a:extLst>
                      <a:ext uri="{53640926-AAD7-44D8-BBD7-CCE9431645EC}">
                        <a14:shadowObscured xmlns:a14="http://schemas.microsoft.com/office/drawing/2010/main"/>
                      </a:ext>
                    </a:extLst>
                  </pic:spPr>
                </pic:pic>
              </a:graphicData>
            </a:graphic>
          </wp:inline>
        </w:drawing>
      </w:r>
    </w:p>
    <w:p w:rsidR="0024233C" w:rsidP="0024233C" w:rsidRDefault="0024233C" w14:paraId="0E9B89C4" w14:textId="0BECEDFB">
      <w:pPr>
        <w:spacing w:after="0" w:line="276" w:lineRule="auto"/>
        <w:jc w:val="both"/>
        <w:rPr>
          <w:rFonts w:ascii="Arial" w:hAnsi="Arial" w:eastAsia="Calibri" w:cs="Arial"/>
          <w:lang w:val="es-ES"/>
        </w:rPr>
      </w:pPr>
      <w:r w:rsidRPr="00FB47D0">
        <w:rPr>
          <w:rFonts w:ascii="Arial" w:hAnsi="Arial" w:eastAsia="Calibri" w:cs="Arial"/>
          <w:lang w:val="es-ES"/>
        </w:rPr>
        <w:t>Señor</w:t>
      </w:r>
      <w:r w:rsidRPr="0024233C">
        <w:rPr>
          <w:noProof/>
        </w:rPr>
        <w:t xml:space="preserve"> </w:t>
      </w:r>
    </w:p>
    <w:p w:rsidR="0024233C" w:rsidP="0024233C" w:rsidRDefault="0024233C" w14:paraId="4E72E949" w14:textId="77777777">
      <w:pPr>
        <w:spacing w:after="0" w:line="276" w:lineRule="auto"/>
        <w:jc w:val="both"/>
        <w:rPr>
          <w:rFonts w:ascii="Arial" w:hAnsi="Arial" w:eastAsia="Calibri" w:cs="Arial"/>
          <w:b/>
          <w:bCs/>
          <w:lang w:val="es-ES"/>
        </w:rPr>
      </w:pPr>
      <w:r w:rsidRPr="0024233C">
        <w:rPr>
          <w:rFonts w:ascii="Arial" w:hAnsi="Arial" w:eastAsia="Calibri" w:cs="Arial"/>
          <w:b/>
          <w:bCs/>
          <w:lang w:val="es-ES"/>
        </w:rPr>
        <w:t>Daniel Ricardo González Soto</w:t>
      </w:r>
    </w:p>
    <w:p w:rsidRPr="0024233C" w:rsidR="0024233C" w:rsidP="0024233C" w:rsidRDefault="0024233C" w14:paraId="3A267975" w14:textId="234A7B3A">
      <w:pPr>
        <w:spacing w:after="0" w:line="276" w:lineRule="auto"/>
        <w:jc w:val="both"/>
        <w:rPr>
          <w:rFonts w:ascii="Arial" w:hAnsi="Arial" w:eastAsia="Calibri" w:cs="Arial"/>
          <w:lang w:val="es-ES"/>
        </w:rPr>
      </w:pPr>
      <w:hyperlink w:history="1" r:id="rId9">
        <w:r w:rsidRPr="006D3559">
          <w:rPr>
            <w:rStyle w:val="Hipervnculo"/>
            <w:rFonts w:ascii="Arial" w:hAnsi="Arial" w:eastAsia="Calibri" w:cs="Arial"/>
            <w:lang w:val="es-ES"/>
          </w:rPr>
          <w:t>gonzalez070896@gmail.com</w:t>
        </w:r>
      </w:hyperlink>
      <w:r>
        <w:rPr>
          <w:rFonts w:ascii="Arial" w:hAnsi="Arial" w:eastAsia="Calibri" w:cs="Arial"/>
          <w:lang w:val="es-ES"/>
        </w:rPr>
        <w:t xml:space="preserve"> </w:t>
      </w:r>
    </w:p>
    <w:p w:rsidRPr="0024233C" w:rsidR="0024233C" w:rsidP="0024233C" w:rsidRDefault="0024233C" w14:paraId="402487C7" w14:textId="710E5850">
      <w:pPr>
        <w:spacing w:after="0" w:line="276" w:lineRule="auto"/>
        <w:jc w:val="both"/>
        <w:rPr>
          <w:rFonts w:ascii="Arial" w:hAnsi="Arial" w:eastAsia="Calibri" w:cs="Arial"/>
          <w:lang w:val="es-ES"/>
        </w:rPr>
      </w:pPr>
      <w:r w:rsidRPr="0024233C">
        <w:rPr>
          <w:rFonts w:ascii="Arial" w:hAnsi="Arial" w:eastAsia="Calibri" w:cs="Arial"/>
          <w:lang w:val="es-ES"/>
        </w:rPr>
        <w:t>Florencia, Caquetá</w:t>
      </w:r>
      <w:r w:rsidRPr="0024233C">
        <w:rPr>
          <w:rFonts w:ascii="Arial" w:hAnsi="Arial" w:eastAsia="Calibri" w:cs="Arial"/>
          <w:lang w:val="es-ES"/>
        </w:rPr>
        <w:cr/>
      </w:r>
    </w:p>
    <w:p w:rsidRPr="005264A0" w:rsidR="0024233C" w:rsidP="0024233C" w:rsidRDefault="0024233C" w14:paraId="5479B8C8" w14:textId="1FB9A68B">
      <w:pPr>
        <w:spacing w:after="0" w:line="240" w:lineRule="auto"/>
        <w:ind w:left="3969"/>
        <w:jc w:val="both"/>
        <w:rPr>
          <w:rFonts w:ascii="Arial" w:hAnsi="Arial" w:eastAsia="Calibri" w:cs="Arial"/>
          <w:b/>
          <w:bCs/>
          <w:lang w:val="es-ES_tradnl"/>
        </w:rPr>
      </w:pPr>
      <w:r w:rsidRPr="005264A0">
        <w:rPr>
          <w:rFonts w:ascii="Arial" w:hAnsi="Arial" w:eastAsia="Calibri" w:cs="Arial"/>
          <w:b/>
          <w:bCs/>
          <w:lang w:val="es-ES_tradnl"/>
        </w:rPr>
        <w:t>Concepto C</w:t>
      </w:r>
      <w:r>
        <w:rPr>
          <w:rFonts w:ascii="Arial" w:hAnsi="Arial" w:eastAsia="Calibri" w:cs="Arial"/>
          <w:b/>
          <w:bCs/>
          <w:lang w:val="es-ES_tradnl"/>
        </w:rPr>
        <w:t>–9</w:t>
      </w:r>
      <w:r>
        <w:rPr>
          <w:rFonts w:ascii="Arial" w:hAnsi="Arial" w:eastAsia="Calibri" w:cs="Arial"/>
          <w:b/>
          <w:bCs/>
          <w:lang w:val="es-ES_tradnl"/>
        </w:rPr>
        <w:t>29</w:t>
      </w:r>
      <w:r w:rsidRPr="005264A0">
        <w:rPr>
          <w:rFonts w:ascii="Arial" w:hAnsi="Arial" w:eastAsia="Calibri" w:cs="Arial"/>
          <w:b/>
          <w:bCs/>
          <w:lang w:val="es-ES_tradnl"/>
        </w:rPr>
        <w:t xml:space="preserve"> de 2022</w:t>
      </w:r>
    </w:p>
    <w:p w:rsidRPr="005264A0" w:rsidR="0024233C" w:rsidP="0024233C" w:rsidRDefault="0024233C" w14:paraId="5CB2A22D" w14:textId="77777777">
      <w:pPr>
        <w:jc w:val="both"/>
        <w:rPr>
          <w:rFonts w:ascii="Arial" w:hAnsi="Arial" w:eastAsia="Calibri" w:cs="Arial"/>
          <w:lang w:val="es-ES_tradnl"/>
        </w:rPr>
      </w:pPr>
    </w:p>
    <w:tbl>
      <w:tblPr>
        <w:tblStyle w:val="Tablaconcuadrcula"/>
        <w:tblW w:w="9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809"/>
      </w:tblGrid>
      <w:tr w:rsidRPr="005264A0" w:rsidR="0024233C" w:rsidTr="00C87ECD" w14:paraId="47740193" w14:textId="77777777">
        <w:tc>
          <w:tcPr>
            <w:tcW w:w="2689" w:type="dxa"/>
          </w:tcPr>
          <w:p w:rsidRPr="005264A0" w:rsidR="0024233C" w:rsidP="00C87ECD" w:rsidRDefault="0024233C" w14:paraId="4C048A2A" w14:textId="77777777">
            <w:pPr>
              <w:jc w:val="both"/>
              <w:rPr>
                <w:rFonts w:ascii="Arial" w:hAnsi="Arial" w:eastAsia="Calibri" w:cs="Arial"/>
                <w:lang w:val="es-ES_tradnl"/>
              </w:rPr>
            </w:pPr>
            <w:r w:rsidRPr="005264A0">
              <w:rPr>
                <w:rFonts w:ascii="Arial" w:hAnsi="Arial" w:eastAsia="Calibri" w:cs="Arial"/>
                <w:b/>
                <w:lang w:val="es-ES_tradnl"/>
              </w:rPr>
              <w:t>Temas:</w:t>
            </w:r>
            <w:r w:rsidRPr="005264A0">
              <w:rPr>
                <w:rFonts w:ascii="Arial" w:hAnsi="Arial" w:eastAsia="Calibri" w:cs="Arial"/>
                <w:lang w:val="es-ES_tradnl"/>
              </w:rPr>
              <w:t xml:space="preserve">                                      </w:t>
            </w:r>
          </w:p>
        </w:tc>
        <w:tc>
          <w:tcPr>
            <w:tcW w:w="6809" w:type="dxa"/>
          </w:tcPr>
          <w:p w:rsidRPr="005264A0" w:rsidR="0024233C" w:rsidP="001F769E" w:rsidRDefault="001F769E" w14:paraId="653543B9" w14:textId="6C6CE936">
            <w:pPr>
              <w:spacing w:before="120"/>
              <w:ind w:left="1284"/>
              <w:jc w:val="both"/>
              <w:rPr>
                <w:rFonts w:ascii="Arial" w:hAnsi="Arial" w:eastAsia="Calibri" w:cs="Arial"/>
                <w:lang w:val="es-ES_tradnl"/>
              </w:rPr>
            </w:pPr>
            <w:r w:rsidRPr="001F769E">
              <w:rPr>
                <w:rFonts w:ascii="Arial" w:hAnsi="Arial" w:eastAsia="Calibri" w:cs="Arial"/>
                <w:lang w:val="es-ES_tradnl"/>
              </w:rPr>
              <w:t>EXPERIENCIA – Noción / EXPERIENCIA – Noción ‒ Colombia Compra Eficiente / SOCIEDADES NUEVAS ‒ Experiencia ‒ Inferior a tres años ‒ Requisitos habilitantes ‒ Desarrollo de la empresa / EXPERIENCIA ‒ Conservación ‒ Renovación RUP ‒ Cesación efectos RUP / EXPERIENCIA – Retiro del socio − Sociedades – Menor a 3 años de constitución</w:t>
            </w:r>
          </w:p>
        </w:tc>
      </w:tr>
      <w:tr w:rsidRPr="005264A0" w:rsidR="0024233C" w:rsidTr="00C87ECD" w14:paraId="21E9605D" w14:textId="77777777">
        <w:tc>
          <w:tcPr>
            <w:tcW w:w="2689" w:type="dxa"/>
          </w:tcPr>
          <w:p w:rsidRPr="005264A0" w:rsidR="0024233C" w:rsidP="00C87ECD" w:rsidRDefault="0024233C" w14:paraId="486D376C" w14:textId="77777777">
            <w:pPr>
              <w:spacing w:before="120"/>
              <w:jc w:val="both"/>
              <w:rPr>
                <w:rFonts w:ascii="Arial" w:hAnsi="Arial" w:eastAsia="Calibri" w:cs="Arial"/>
                <w:b/>
                <w:lang w:val="es-ES_tradnl"/>
              </w:rPr>
            </w:pPr>
            <w:r w:rsidRPr="005264A0">
              <w:rPr>
                <w:rFonts w:ascii="Arial" w:hAnsi="Arial" w:eastAsia="Calibri" w:cs="Arial"/>
                <w:b/>
                <w:lang w:val="es-ES_tradnl"/>
              </w:rPr>
              <w:t>Radicación:</w:t>
            </w:r>
            <w:r w:rsidRPr="005264A0">
              <w:rPr>
                <w:rFonts w:ascii="Arial" w:hAnsi="Arial" w:eastAsia="Calibri" w:cs="Arial"/>
                <w:lang w:val="es-ES_tradnl"/>
              </w:rPr>
              <w:t xml:space="preserve">                              </w:t>
            </w:r>
          </w:p>
        </w:tc>
        <w:tc>
          <w:tcPr>
            <w:tcW w:w="6809" w:type="dxa"/>
          </w:tcPr>
          <w:p w:rsidRPr="005264A0" w:rsidR="0024233C" w:rsidP="00C87ECD" w:rsidRDefault="001F769E" w14:paraId="4DC88D81" w14:textId="1E38DA38">
            <w:pPr>
              <w:spacing w:before="120"/>
              <w:ind w:left="1284"/>
              <w:jc w:val="both"/>
              <w:rPr>
                <w:rFonts w:ascii="Arial" w:hAnsi="Arial" w:eastAsia="Calibri" w:cs="Arial"/>
                <w:lang w:val="es-ES_tradnl"/>
              </w:rPr>
            </w:pPr>
            <w:r w:rsidRPr="001F769E">
              <w:rPr>
                <w:rFonts w:ascii="Arial" w:hAnsi="Arial" w:eastAsia="Calibri" w:cs="Arial"/>
                <w:lang w:val="es-ES_tradnl"/>
              </w:rPr>
              <w:t>Respuesta a las consultas acumuladas P20221129011849 y P20221129011827</w:t>
            </w:r>
            <w:r w:rsidRPr="005264A0" w:rsidR="0024233C">
              <w:rPr>
                <w:rFonts w:ascii="Arial" w:hAnsi="Arial" w:eastAsia="Calibri" w:cs="Arial"/>
                <w:lang w:val="es-ES_tradnl"/>
              </w:rPr>
              <w:t xml:space="preserve"> </w:t>
            </w:r>
          </w:p>
        </w:tc>
      </w:tr>
    </w:tbl>
    <w:p w:rsidR="001F769E" w:rsidP="0024233C" w:rsidRDefault="001F769E" w14:paraId="02E7001D" w14:textId="77777777">
      <w:pPr>
        <w:jc w:val="both"/>
        <w:rPr>
          <w:rFonts w:ascii="Arial" w:hAnsi="Arial" w:eastAsia="Calibri" w:cs="Arial"/>
          <w:lang w:val="es-ES_tradnl"/>
        </w:rPr>
      </w:pPr>
    </w:p>
    <w:p w:rsidRPr="005264A0" w:rsidR="0024233C" w:rsidP="0024233C" w:rsidRDefault="0024233C" w14:paraId="112282BD" w14:textId="452F624C">
      <w:pPr>
        <w:jc w:val="both"/>
        <w:rPr>
          <w:rFonts w:ascii="Arial" w:hAnsi="Arial" w:eastAsia="Calibri" w:cs="Arial"/>
          <w:lang w:val="es-ES_tradnl"/>
        </w:rPr>
      </w:pPr>
      <w:r w:rsidRPr="005264A0">
        <w:rPr>
          <w:rFonts w:ascii="Arial" w:hAnsi="Arial" w:eastAsia="Calibri" w:cs="Arial"/>
          <w:lang w:val="es-ES_tradnl"/>
        </w:rPr>
        <w:t>Estimad</w:t>
      </w:r>
      <w:r w:rsidR="001F769E">
        <w:rPr>
          <w:rFonts w:ascii="Arial" w:hAnsi="Arial" w:eastAsia="Calibri" w:cs="Arial"/>
          <w:lang w:val="es-ES_tradnl"/>
        </w:rPr>
        <w:t>o señor González</w:t>
      </w:r>
      <w:r w:rsidRPr="005264A0">
        <w:rPr>
          <w:rFonts w:ascii="Arial" w:hAnsi="Arial" w:eastAsia="Calibri" w:cs="Arial"/>
          <w:lang w:val="es-ES_tradnl"/>
        </w:rPr>
        <w:t>:</w:t>
      </w:r>
    </w:p>
    <w:p w:rsidRPr="005264A0" w:rsidR="0024233C" w:rsidP="0024233C" w:rsidRDefault="0024233C" w14:paraId="7EE62E3E" w14:textId="0618476D">
      <w:pPr>
        <w:spacing w:line="276" w:lineRule="auto"/>
        <w:jc w:val="both"/>
        <w:rPr>
          <w:rFonts w:ascii="Arial" w:hAnsi="Arial" w:eastAsia="Calibri" w:cs="Arial"/>
          <w:lang w:val="es-ES_tradnl"/>
        </w:rPr>
      </w:pPr>
      <w:r w:rsidRPr="005264A0">
        <w:rPr>
          <w:rFonts w:ascii="Arial" w:hAnsi="Arial" w:eastAsia="Calibri" w:cs="Arial"/>
          <w:lang w:val="es-ES_tradnl"/>
        </w:rPr>
        <w:t xml:space="preserve">En ejercicio de la competencia otorgada por el numeral 8 del artículo 11 y el numeral 5 del artículo 3 del Decreto Ley 4170 de 2011, la Agencia Nacional de Contratación Pública ― Colombia Compra Eficiente </w:t>
      </w:r>
      <w:r w:rsidR="001F769E">
        <w:rPr>
          <w:rFonts w:ascii="Arial" w:hAnsi="Arial" w:eastAsia="Calibri" w:cs="Arial"/>
          <w:lang w:val="es-ES_tradnl"/>
        </w:rPr>
        <w:t>r</w:t>
      </w:r>
      <w:r w:rsidRPr="001F769E" w:rsidR="001F769E">
        <w:rPr>
          <w:rFonts w:ascii="Arial" w:hAnsi="Arial" w:eastAsia="Calibri" w:cs="Arial"/>
          <w:lang w:val="es-ES_tradnl"/>
        </w:rPr>
        <w:t>esponde la consulta radicada el 29 y 30 de noviembre de 2022.</w:t>
      </w:r>
    </w:p>
    <w:p w:rsidRPr="00042BBC" w:rsidR="0024233C" w:rsidP="0024233C" w:rsidRDefault="0024233C" w14:paraId="5F88F2A3" w14:textId="77777777">
      <w:pPr>
        <w:pStyle w:val="Prrafodelista"/>
        <w:numPr>
          <w:ilvl w:val="0"/>
          <w:numId w:val="1"/>
        </w:numPr>
        <w:tabs>
          <w:tab w:val="left" w:pos="0"/>
          <w:tab w:val="left" w:pos="142"/>
          <w:tab w:val="left" w:pos="284"/>
        </w:tabs>
        <w:spacing w:after="0" w:line="276" w:lineRule="auto"/>
        <w:ind w:left="0" w:firstLine="0"/>
        <w:jc w:val="both"/>
        <w:rPr>
          <w:rFonts w:ascii="Arial" w:hAnsi="Arial" w:eastAsia="Times New Roman" w:cs="Arial"/>
          <w:szCs w:val="24"/>
          <w:lang w:val="es-ES_tradnl" w:eastAsia="es-ES_tradnl"/>
        </w:rPr>
      </w:pPr>
      <w:r w:rsidRPr="005264A0">
        <w:rPr>
          <w:rFonts w:ascii="Arial" w:hAnsi="Arial" w:eastAsia="Calibri" w:cs="Arial"/>
          <w:b/>
          <w:lang w:val="es-ES_tradnl"/>
        </w:rPr>
        <w:t xml:space="preserve">Problema planteado </w:t>
      </w:r>
    </w:p>
    <w:p w:rsidR="0024233C" w:rsidP="0024233C" w:rsidRDefault="0024233C" w14:paraId="23D149A2" w14:textId="77777777">
      <w:pPr>
        <w:spacing w:after="0" w:line="276" w:lineRule="auto"/>
        <w:jc w:val="both"/>
        <w:rPr>
          <w:rFonts w:ascii="Arial" w:hAnsi="Arial" w:cs="Arial"/>
          <w:lang w:val="es-ES_tradnl"/>
        </w:rPr>
      </w:pPr>
    </w:p>
    <w:p w:rsidR="001F769E" w:rsidP="0024233C" w:rsidRDefault="0024233C" w14:paraId="72475041" w14:textId="77777777">
      <w:pPr>
        <w:spacing w:after="0" w:line="276" w:lineRule="auto"/>
        <w:jc w:val="both"/>
        <w:rPr>
          <w:rFonts w:ascii="Arial" w:hAnsi="Arial" w:cs="Arial"/>
          <w:lang w:val="es-ES_tradnl"/>
        </w:rPr>
      </w:pPr>
      <w:r w:rsidRPr="005264A0">
        <w:rPr>
          <w:rFonts w:ascii="Arial" w:hAnsi="Arial" w:cs="Arial"/>
          <w:lang w:val="es-ES_tradnl"/>
        </w:rPr>
        <w:t>Usted formula la siguiente pregunta:</w:t>
      </w:r>
      <w:r>
        <w:rPr>
          <w:rFonts w:ascii="Arial" w:hAnsi="Arial" w:cs="Arial"/>
          <w:lang w:val="es-ES_tradnl"/>
        </w:rPr>
        <w:t xml:space="preserve"> </w:t>
      </w:r>
    </w:p>
    <w:p w:rsidR="001F769E" w:rsidP="0024233C" w:rsidRDefault="001F769E" w14:paraId="5F040548" w14:textId="77777777">
      <w:pPr>
        <w:spacing w:after="0" w:line="276" w:lineRule="auto"/>
        <w:jc w:val="both"/>
        <w:rPr>
          <w:rFonts w:ascii="Arial" w:hAnsi="Arial" w:cs="Arial"/>
          <w:lang w:val="es-ES_tradnl"/>
        </w:rPr>
      </w:pPr>
    </w:p>
    <w:p w:rsidRPr="001F769E" w:rsidR="0024233C" w:rsidP="001F769E" w:rsidRDefault="0024233C" w14:paraId="2F028D57" w14:textId="73295D7E">
      <w:pPr>
        <w:ind w:left="709" w:right="709"/>
        <w:jc w:val="both"/>
        <w:rPr>
          <w:rFonts w:ascii="Arial" w:hAnsi="Arial" w:eastAsia="Calibri" w:cs="Arial"/>
          <w:sz w:val="21"/>
          <w:szCs w:val="21"/>
        </w:rPr>
      </w:pPr>
      <w:r w:rsidRPr="001F769E">
        <w:rPr>
          <w:rFonts w:ascii="Arial" w:hAnsi="Arial" w:eastAsia="Calibri" w:cs="Arial"/>
          <w:sz w:val="21"/>
          <w:szCs w:val="21"/>
        </w:rPr>
        <w:t>«</w:t>
      </w:r>
      <w:r w:rsidR="001F769E">
        <w:rPr>
          <w:rFonts w:ascii="Arial" w:hAnsi="Arial" w:eastAsia="Calibri" w:cs="Arial"/>
          <w:sz w:val="21"/>
          <w:szCs w:val="21"/>
        </w:rPr>
        <w:t>[…</w:t>
      </w:r>
      <w:r w:rsidRPr="001F769E" w:rsidR="001F769E">
        <w:rPr>
          <w:rFonts w:ascii="Arial" w:hAnsi="Arial" w:eastAsia="Calibri" w:cs="Arial"/>
          <w:sz w:val="21"/>
          <w:szCs w:val="21"/>
        </w:rPr>
        <w:t xml:space="preserve">] Basado en el Concepto CCE. La experiencia en el RUP de los accionistas de una persona jurídica se puede continuar utilizando después de 3 años de constituida, se tiene claridad que la empresa puede seguir acreditando la experiencia de sus socios o accionistas luego de tres años de constitución, siempre y cuando no hayan cesado los efectos del RUP. Mi consulta es ¿Se puede seguir acreditando la experiencia de un socio o accionista que ya no hace parte de la sociedad porque se haya retirado o vendido su parte accionaria después de los 3 primeros años?, ¿Qué efectos implica </w:t>
      </w:r>
      <w:r w:rsidRPr="001F769E" w:rsidR="001F769E">
        <w:rPr>
          <w:rFonts w:ascii="Arial" w:hAnsi="Arial" w:eastAsia="Calibri" w:cs="Arial"/>
          <w:sz w:val="21"/>
          <w:szCs w:val="21"/>
        </w:rPr>
        <w:lastRenderedPageBreak/>
        <w:t>se retire este accionista de la empresa constituida y como afecta a la experiencia que se venía utilizando si del tercer (3) año en adelante el socio que aportaba la experiencia de contratación ya no hace parte de la persona jurídica? ¿su experiencia se iría con el como accionista o queda como parte de la empresa a pesar de que dicho accionista ya no haga parte de la misma?</w:t>
      </w:r>
      <w:r w:rsidRPr="001F769E">
        <w:rPr>
          <w:rFonts w:ascii="Arial" w:hAnsi="Arial" w:eastAsia="Calibri" w:cs="Arial"/>
          <w:sz w:val="21"/>
          <w:szCs w:val="21"/>
        </w:rPr>
        <w:t xml:space="preserve">» </w:t>
      </w:r>
      <w:r w:rsidR="001F769E">
        <w:rPr>
          <w:rFonts w:ascii="Arial" w:hAnsi="Arial" w:eastAsia="Calibri" w:cs="Arial"/>
          <w:sz w:val="21"/>
          <w:szCs w:val="21"/>
        </w:rPr>
        <w:t>[</w:t>
      </w:r>
      <w:r w:rsidRPr="001F769E">
        <w:rPr>
          <w:rFonts w:ascii="Arial" w:hAnsi="Arial" w:eastAsia="Calibri" w:cs="Arial"/>
          <w:sz w:val="21"/>
          <w:szCs w:val="21"/>
        </w:rPr>
        <w:t>sic</w:t>
      </w:r>
      <w:r w:rsidR="001F769E">
        <w:rPr>
          <w:rFonts w:ascii="Arial" w:hAnsi="Arial" w:eastAsia="Calibri" w:cs="Arial"/>
          <w:sz w:val="21"/>
          <w:szCs w:val="21"/>
        </w:rPr>
        <w:t>]</w:t>
      </w:r>
      <w:r w:rsidRPr="001F769E">
        <w:rPr>
          <w:rFonts w:ascii="Arial" w:hAnsi="Arial" w:eastAsia="Calibri" w:cs="Arial"/>
          <w:sz w:val="21"/>
          <w:szCs w:val="21"/>
        </w:rPr>
        <w:t>.</w:t>
      </w:r>
    </w:p>
    <w:p w:rsidRPr="00D96CA5" w:rsidR="0024233C" w:rsidP="0024233C" w:rsidRDefault="0024233C" w14:paraId="0FF51302" w14:textId="77777777">
      <w:pPr>
        <w:spacing w:after="0"/>
        <w:ind w:left="709" w:right="709"/>
        <w:jc w:val="both"/>
        <w:rPr>
          <w:rFonts w:ascii="Arial" w:hAnsi="Arial" w:cs="Arial"/>
          <w:sz w:val="21"/>
          <w:szCs w:val="21"/>
          <w:lang w:val="es-ES_tradnl"/>
        </w:rPr>
      </w:pPr>
    </w:p>
    <w:p w:rsidR="0024233C" w:rsidP="0024233C" w:rsidRDefault="0024233C" w14:paraId="47E6E361" w14:textId="0F1FA1FB">
      <w:pPr>
        <w:pStyle w:val="Prrafodelista"/>
        <w:numPr>
          <w:ilvl w:val="0"/>
          <w:numId w:val="1"/>
        </w:numPr>
        <w:tabs>
          <w:tab w:val="left" w:pos="0"/>
          <w:tab w:val="left" w:pos="284"/>
        </w:tabs>
        <w:spacing w:after="0" w:line="240" w:lineRule="auto"/>
        <w:ind w:left="0" w:firstLine="0"/>
        <w:jc w:val="both"/>
        <w:rPr>
          <w:rFonts w:ascii="Arial" w:hAnsi="Arial" w:eastAsia="Calibri" w:cs="Arial"/>
          <w:b/>
          <w:lang w:val="es-ES_tradnl"/>
        </w:rPr>
      </w:pPr>
      <w:r w:rsidRPr="005264A0">
        <w:rPr>
          <w:rFonts w:ascii="Arial" w:hAnsi="Arial" w:eastAsia="Calibri" w:cs="Arial"/>
          <w:b/>
          <w:lang w:val="es-ES_tradnl"/>
        </w:rPr>
        <w:t>Consideraciones</w:t>
      </w:r>
    </w:p>
    <w:p w:rsidR="0024233C" w:rsidP="0024233C" w:rsidRDefault="0024233C" w14:paraId="7FADEE28" w14:textId="77777777">
      <w:pPr>
        <w:spacing w:after="0" w:line="276" w:lineRule="auto"/>
        <w:jc w:val="both"/>
        <w:rPr>
          <w:rFonts w:ascii="Arial" w:hAnsi="Arial" w:cs="Arial"/>
          <w:noProof/>
          <w:lang w:val="es-ES_tradnl"/>
        </w:rPr>
      </w:pPr>
    </w:p>
    <w:p w:rsidR="001F769E" w:rsidP="001F769E" w:rsidRDefault="001F769E" w14:paraId="6A728F64" w14:textId="77777777">
      <w:pPr>
        <w:spacing w:line="276" w:lineRule="auto"/>
        <w:jc w:val="both"/>
        <w:rPr>
          <w:rFonts w:ascii="Arial" w:hAnsi="Arial" w:cs="Arial"/>
          <w:lang w:val="es-ES_tradnl"/>
        </w:rPr>
      </w:pPr>
      <w:r w:rsidRPr="001F769E">
        <w:rPr>
          <w:rFonts w:ascii="Arial" w:hAnsi="Arial" w:cs="Arial"/>
          <w:lang w:val="es-ES_tradn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p>
    <w:p w:rsidR="001F769E" w:rsidP="001F769E" w:rsidRDefault="001F769E" w14:paraId="472A943E" w14:textId="77777777">
      <w:pPr>
        <w:spacing w:line="276" w:lineRule="auto"/>
        <w:ind w:firstLine="708"/>
        <w:jc w:val="both"/>
        <w:rPr>
          <w:rFonts w:ascii="Arial" w:hAnsi="Arial" w:cs="Arial"/>
          <w:lang w:val="es-ES_tradnl"/>
        </w:rPr>
      </w:pPr>
      <w:r w:rsidRPr="001F769E">
        <w:rPr>
          <w:rFonts w:ascii="Arial" w:hAnsi="Arial" w:cs="Arial"/>
          <w:lang w:val="es-ES_tradnl"/>
        </w:rPr>
        <w:t xml:space="preserve">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rsidR="001F769E" w:rsidP="001F769E" w:rsidRDefault="001F769E" w14:paraId="5734D0D9" w14:textId="77777777">
      <w:pPr>
        <w:spacing w:line="276" w:lineRule="auto"/>
        <w:ind w:firstLine="708"/>
        <w:jc w:val="both"/>
        <w:rPr>
          <w:rFonts w:ascii="Arial" w:hAnsi="Arial" w:cs="Arial"/>
          <w:lang w:val="es-ES_tradnl"/>
        </w:rPr>
      </w:pPr>
      <w:r w:rsidRPr="001F769E">
        <w:rPr>
          <w:rFonts w:ascii="Arial"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Refdenotaalpie"/>
          <w:rFonts w:ascii="Arial" w:hAnsi="Arial" w:cs="Arial"/>
          <w:lang w:val="es-ES_tradnl"/>
        </w:rPr>
        <w:footnoteReference w:id="1"/>
      </w:r>
      <w:r>
        <w:rPr>
          <w:rFonts w:ascii="Arial" w:hAnsi="Arial" w:cs="Arial"/>
          <w:lang w:val="es-ES_tradnl"/>
        </w:rPr>
        <w:t xml:space="preserve">. </w:t>
      </w:r>
      <w:r w:rsidRPr="001F769E">
        <w:rPr>
          <w:rFonts w:ascii="Arial" w:hAnsi="Arial" w:cs="Arial"/>
          <w:lang w:val="es-ES_tradnl"/>
        </w:rPr>
        <w:t xml:space="preserve">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w:t>
      </w:r>
    </w:p>
    <w:p w:rsidR="00564997" w:rsidP="001F769E" w:rsidRDefault="001F769E" w14:paraId="08A6B76B" w14:textId="77777777">
      <w:pPr>
        <w:spacing w:line="276" w:lineRule="auto"/>
        <w:ind w:firstLine="708"/>
        <w:jc w:val="both"/>
        <w:rPr>
          <w:rFonts w:ascii="Arial" w:hAnsi="Arial" w:cs="Arial"/>
          <w:lang w:val="es-ES_tradnl"/>
        </w:rPr>
      </w:pPr>
      <w:r w:rsidRPr="001F769E">
        <w:rPr>
          <w:rFonts w:ascii="Arial" w:hAnsi="Arial" w:cs="Arial"/>
          <w:lang w:val="es-ES_tradnl"/>
        </w:rPr>
        <w:t xml:space="preserve">Conforme con lo anterior, la Subdirección de Gestión Contractual –dentro de los límites de sus atribuciones, resolverá la consulta conforme a las normas generales en materia de contratación estatal. Con este objetivo se analizarán los siguientes temas: i) aproximación general al concepto de experiencia en la contratación pública; </w:t>
      </w:r>
      <w:proofErr w:type="spellStart"/>
      <w:r w:rsidRPr="001F769E">
        <w:rPr>
          <w:rFonts w:ascii="Arial" w:hAnsi="Arial" w:cs="Arial"/>
          <w:lang w:val="es-ES_tradnl"/>
        </w:rPr>
        <w:t>ii</w:t>
      </w:r>
      <w:proofErr w:type="spellEnd"/>
      <w:r w:rsidRPr="001F769E">
        <w:rPr>
          <w:rFonts w:ascii="Arial" w:hAnsi="Arial" w:cs="Arial"/>
          <w:lang w:val="es-ES_tradnl"/>
        </w:rPr>
        <w:t xml:space="preserve">) consideraciones de la Agencia respecto de la experiencia; </w:t>
      </w:r>
      <w:proofErr w:type="spellStart"/>
      <w:r w:rsidRPr="001F769E">
        <w:rPr>
          <w:rFonts w:ascii="Arial" w:hAnsi="Arial" w:cs="Arial"/>
          <w:lang w:val="es-ES_tradnl"/>
        </w:rPr>
        <w:t>iii</w:t>
      </w:r>
      <w:proofErr w:type="spellEnd"/>
      <w:r w:rsidRPr="001F769E">
        <w:rPr>
          <w:rFonts w:ascii="Arial" w:hAnsi="Arial" w:cs="Arial"/>
          <w:lang w:val="es-ES_tradnl"/>
        </w:rPr>
        <w:t xml:space="preserve">) acreditación de la experiencia de socios, accionistas o constituyentes por </w:t>
      </w:r>
      <w:r w:rsidRPr="001F769E">
        <w:rPr>
          <w:rFonts w:ascii="Arial" w:hAnsi="Arial" w:cs="Arial"/>
          <w:lang w:val="es-ES_tradnl"/>
        </w:rPr>
        <w:lastRenderedPageBreak/>
        <w:t xml:space="preserve">parte de sociedades con menos de tres (3) años de constitución </w:t>
      </w:r>
      <w:proofErr w:type="spellStart"/>
      <w:r w:rsidRPr="001F769E">
        <w:rPr>
          <w:rFonts w:ascii="Arial" w:hAnsi="Arial" w:cs="Arial"/>
          <w:lang w:val="es-ES_tradnl"/>
        </w:rPr>
        <w:t>iv</w:t>
      </w:r>
      <w:proofErr w:type="spellEnd"/>
      <w:r w:rsidRPr="001F769E">
        <w:rPr>
          <w:rFonts w:ascii="Arial" w:hAnsi="Arial" w:cs="Arial"/>
          <w:lang w:val="es-ES_tradnl"/>
        </w:rPr>
        <w:t>) límites de la prerrogativa que contempla el numeral 2.5 del artículo 2.2.1.1.1.5.2 del Decreto 1082 de 2015</w:t>
      </w:r>
      <w:r w:rsidR="00564997">
        <w:rPr>
          <w:rFonts w:ascii="Arial" w:hAnsi="Arial" w:cs="Arial"/>
          <w:lang w:val="es-ES_tradnl"/>
        </w:rPr>
        <w:t>.</w:t>
      </w:r>
      <w:r w:rsidRPr="001F769E">
        <w:rPr>
          <w:rFonts w:ascii="Arial" w:hAnsi="Arial" w:cs="Arial"/>
          <w:lang w:val="es-ES_tradnl"/>
        </w:rPr>
        <w:t xml:space="preserve"> </w:t>
      </w:r>
    </w:p>
    <w:p w:rsidR="001F769E" w:rsidP="001F769E" w:rsidRDefault="001F769E" w14:paraId="323A6266" w14:textId="6FEA4148">
      <w:pPr>
        <w:spacing w:line="276" w:lineRule="auto"/>
        <w:ind w:firstLine="708"/>
        <w:jc w:val="both"/>
        <w:rPr>
          <w:rFonts w:ascii="Arial" w:hAnsi="Arial" w:cs="Arial"/>
          <w:lang w:val="es-ES_tradnl"/>
        </w:rPr>
      </w:pPr>
      <w:r w:rsidRPr="001F769E">
        <w:rPr>
          <w:rFonts w:ascii="Arial" w:hAnsi="Arial" w:cs="Arial"/>
          <w:lang w:val="es-ES_tradnl"/>
        </w:rPr>
        <w:t>La Agencia Nacional de Contratación Pública – Colombia Compra Eficiente, en los conceptos C-002 del 20 de febrero de 2020, C-491 del 27 de julio de 2020, C-511 del 10 de agosto de 2020, C-708 del 9 de diciembre de 2020, C-052 de 8 de marzo de 2021, C-727 del 26 de enero de 2022, C-010 del 15 de febrero de 2022, C-018 del 22 de febrero de 2022, C-034 del 2 de marzo de 2022, C-056 del 7 de febrero de 2022, C-084 del 16 de marzo de 2022, C-090 del 16 de marzo de 2022, C-108 del 23 de marzo de 2022, C-121 del 30 de marzo de 2022, C-142 del 28 de marzo</w:t>
      </w:r>
      <w:r w:rsidRPr="00564997" w:rsidR="00564997">
        <w:rPr>
          <w:rFonts w:ascii="Arial" w:hAnsi="Arial" w:cs="Arial"/>
          <w:lang w:val="es-ES_tradnl"/>
        </w:rPr>
        <w:t xml:space="preserve"> </w:t>
      </w:r>
      <w:r w:rsidRPr="00564997" w:rsidR="00564997">
        <w:rPr>
          <w:rFonts w:ascii="Arial" w:hAnsi="Arial" w:cs="Arial"/>
          <w:lang w:val="es-ES_tradnl"/>
        </w:rPr>
        <w:t>de 2022, C-144 del 12 de abril de 2022, C-193 del 18 de abril de 2022, C-200 del 21 de abril de 2022, C-226 del 26 de abril de 2022, C-234 del 26 de abril de 2022, C-235 del 26 de abril de 2022, C-239, C-242 del 2 de mayo de 2022, C-287 del 11 de mayo de 2022, C-319 del 19 de mayo de 2022, C-569 del 13 de septiembre de 2022, C-574 del 14 de septiembre de 2022, se pronunció sobre la experiencia como requisito habilitante en la contratación pública. 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w:t>
      </w:r>
    </w:p>
    <w:p w:rsidR="00564997" w:rsidP="00564997" w:rsidRDefault="00564997" w14:paraId="499ABB5D" w14:textId="42475A30">
      <w:pPr>
        <w:spacing w:after="0" w:line="276" w:lineRule="auto"/>
        <w:ind w:firstLine="708"/>
        <w:jc w:val="both"/>
        <w:rPr>
          <w:rFonts w:ascii="Arial" w:hAnsi="Arial" w:cs="Arial"/>
          <w:lang w:val="es-ES_tradnl"/>
        </w:rPr>
      </w:pPr>
      <w:r w:rsidRPr="00564997">
        <w:rPr>
          <w:rFonts w:ascii="Arial" w:hAnsi="Arial" w:cs="Arial"/>
          <w:lang w:val="es-ES_tradnl"/>
        </w:rPr>
        <w:t>Por otra parte, en las consultas de radicado de entrada No. 1201913000000667 del 19 de junio de 2019, con radicado de salida No. 2201913000004779 del 7 de julio de 2019, 4201912000004380 con radicado de salida No. 2201913000006245 del 27 de agosto de 2019, 4201912000004704 con radicado de salida No. 2201913000006275 del 27 de agosto de 2019, 4201912000004743 con el radicado de salida No. 2201913000006297 del 28 de agosto de 2019, 4201912000003636 con radicado de salida No. 2201913000006028 del 28 de agosto de 2019, 4201913000005158 con radicado de salida No. 2201913000006577 del 5 de septiembre de 2019 y C-717 del 10 de diciembre de 2020, la Agencia conceptuó sobre la posibilidad de que la experiencia de los socios, aportada a la empresa pueda ser utilizada a pesar del retiro de alguno de ellos. La tesis desarrollada en estos conceptos se reitera y se complementa en lo pertinente a continuación:</w:t>
      </w:r>
    </w:p>
    <w:p w:rsidR="00564997" w:rsidP="00564997" w:rsidRDefault="00564997" w14:paraId="465BBCAD" w14:textId="77777777">
      <w:pPr>
        <w:spacing w:after="0" w:line="276" w:lineRule="auto"/>
        <w:ind w:firstLine="708"/>
        <w:jc w:val="both"/>
        <w:rPr>
          <w:rFonts w:ascii="Arial" w:hAnsi="Arial" w:cs="Arial"/>
          <w:lang w:val="es-ES_tradnl"/>
        </w:rPr>
      </w:pPr>
    </w:p>
    <w:p w:rsidRPr="00564997" w:rsidR="00564997" w:rsidP="00564997" w:rsidRDefault="00564997" w14:paraId="7E781E0B" w14:textId="3964691E">
      <w:pPr>
        <w:spacing w:after="0" w:line="276" w:lineRule="auto"/>
        <w:jc w:val="both"/>
        <w:rPr>
          <w:rFonts w:ascii="Arial" w:hAnsi="Arial" w:eastAsia="Calibri" w:cs="Arial"/>
          <w:b/>
          <w:color w:val="000000" w:themeColor="text1"/>
        </w:rPr>
      </w:pPr>
      <w:r w:rsidRPr="00564997">
        <w:rPr>
          <w:rFonts w:ascii="Arial" w:hAnsi="Arial" w:eastAsia="Calibri" w:cs="Arial"/>
          <w:b/>
          <w:color w:val="000000" w:themeColor="text1"/>
        </w:rPr>
        <w:t>2.1. Aproximación general al concepto de experiencia en la contratación pública</w:t>
      </w:r>
    </w:p>
    <w:p w:rsidRPr="001F769E" w:rsidR="0024233C" w:rsidP="00564997" w:rsidRDefault="0024233C" w14:paraId="4E966047" w14:textId="42AE4283">
      <w:pPr>
        <w:spacing w:after="0" w:line="276" w:lineRule="auto"/>
        <w:jc w:val="both"/>
        <w:rPr>
          <w:rFonts w:ascii="Arial" w:hAnsi="Arial" w:cs="Arial"/>
          <w:lang w:val="es-ES_tradnl"/>
        </w:rPr>
      </w:pPr>
      <w:r w:rsidRPr="001F769E">
        <w:rPr>
          <w:rFonts w:ascii="Arial" w:hAnsi="Arial" w:cs="Arial"/>
          <w:lang w:val="es-ES_tradnl"/>
        </w:rPr>
        <w:t xml:space="preserve">  </w:t>
      </w:r>
    </w:p>
    <w:p w:rsidR="00E760A1" w:rsidP="00E760A1" w:rsidRDefault="00564997" w14:paraId="16A4E122" w14:textId="387872E9">
      <w:pPr>
        <w:spacing w:line="276" w:lineRule="auto"/>
        <w:jc w:val="both"/>
        <w:rPr>
          <w:rFonts w:ascii="Arial" w:hAnsi="Arial" w:eastAsia="Calibri" w:cs="Arial"/>
          <w:color w:val="000000" w:themeColor="text1"/>
        </w:rPr>
      </w:pPr>
      <w:r w:rsidRPr="00564997">
        <w:rPr>
          <w:rFonts w:ascii="Arial" w:hAnsi="Arial" w:eastAsia="Calibri" w:cs="Arial"/>
          <w:color w:val="000000" w:themeColor="text1"/>
        </w:rPr>
        <w:t xml:space="preserve">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w:t>
      </w:r>
      <w:r w:rsidRPr="00564997">
        <w:rPr>
          <w:rFonts w:ascii="Arial" w:hAnsi="Arial" w:eastAsia="Calibri" w:cs="Arial"/>
          <w:color w:val="000000" w:themeColor="text1"/>
        </w:rPr>
        <w:lastRenderedPageBreak/>
        <w:t>ejecutar el contrato estatal</w:t>
      </w:r>
      <w:r>
        <w:rPr>
          <w:rStyle w:val="Refdenotaalpie"/>
          <w:rFonts w:ascii="Arial" w:hAnsi="Arial" w:eastAsia="Calibri" w:cs="Arial"/>
          <w:color w:val="000000" w:themeColor="text1"/>
        </w:rPr>
        <w:footnoteReference w:id="2"/>
      </w:r>
      <w:r w:rsidRPr="00287B72" w:rsidR="0024233C">
        <w:rPr>
          <w:rFonts w:ascii="Arial" w:hAnsi="Arial" w:eastAsia="Calibri" w:cs="Arial"/>
          <w:color w:val="000000" w:themeColor="text1"/>
        </w:rPr>
        <w:t>.</w:t>
      </w:r>
      <w:r w:rsidR="00E760A1">
        <w:rPr>
          <w:rFonts w:ascii="Arial" w:hAnsi="Arial" w:eastAsia="Calibri" w:cs="Arial"/>
          <w:color w:val="000000" w:themeColor="text1"/>
        </w:rPr>
        <w:t xml:space="preserve"> </w:t>
      </w:r>
      <w:r w:rsidRPr="00E760A1" w:rsidR="00E760A1">
        <w:rPr>
          <w:rFonts w:ascii="Arial" w:hAnsi="Arial" w:eastAsia="Calibri" w:cs="Arial"/>
          <w:color w:val="000000" w:themeColor="text1"/>
        </w:rPr>
        <w:t>En ese sentido, la entidad, como responsable de la estructuración de su procedimiento de contratación, es autónoma para requerir la experiencia necesaria para el objeto de contrato, para lo cual, de acuerdo con el artículo 2.2.1.1.1.6.2. del Decreto 1082 de 2015,</w:t>
      </w:r>
      <w:r w:rsidRPr="00E760A1" w:rsidR="00E760A1">
        <w:rPr>
          <w:rFonts w:ascii="Arial" w:hAnsi="Arial" w:eastAsia="Calibri" w:cs="Arial"/>
          <w:color w:val="000000" w:themeColor="text1"/>
        </w:rPr>
        <w:t xml:space="preserve"> </w:t>
      </w:r>
      <w:r w:rsidRPr="00E760A1" w:rsidR="00E760A1">
        <w:rPr>
          <w:rFonts w:ascii="Arial" w:hAnsi="Arial" w:eastAsia="Calibri" w:cs="Arial"/>
          <w:color w:val="000000" w:themeColor="text1"/>
        </w:rPr>
        <w:t>debe tener en cuenta el estudio del sector y sus componentes como la identificación de riesgos, el mercado y precio del bien, obra o servicio a contratar</w:t>
      </w:r>
      <w:r w:rsidR="00E760A1">
        <w:rPr>
          <w:rStyle w:val="Refdenotaalpie"/>
          <w:rFonts w:ascii="Arial" w:hAnsi="Arial" w:eastAsia="Calibri" w:cs="Arial"/>
          <w:color w:val="000000" w:themeColor="text1"/>
        </w:rPr>
        <w:footnoteReference w:id="3"/>
      </w:r>
      <w:r w:rsidR="00E760A1">
        <w:rPr>
          <w:rFonts w:ascii="Arial" w:hAnsi="Arial" w:eastAsia="Calibri" w:cs="Arial"/>
          <w:color w:val="000000" w:themeColor="text1"/>
        </w:rPr>
        <w:t>.</w:t>
      </w:r>
    </w:p>
    <w:p w:rsidR="00E760A1" w:rsidP="00E760A1" w:rsidRDefault="00E760A1" w14:paraId="217DB78D" w14:textId="406DF9E4">
      <w:pPr>
        <w:spacing w:line="276" w:lineRule="auto"/>
        <w:jc w:val="both"/>
        <w:rPr>
          <w:rFonts w:ascii="Arial" w:hAnsi="Arial" w:eastAsia="Calibri" w:cs="Arial"/>
          <w:color w:val="000000" w:themeColor="text1"/>
        </w:rPr>
      </w:pPr>
      <w:r w:rsidRPr="00E760A1">
        <w:rPr>
          <w:rFonts w:ascii="Arial" w:hAnsi="Arial" w:eastAsia="Calibri" w:cs="Arial"/>
          <w:color w:val="000000" w:themeColor="text1"/>
        </w:rPr>
        <w:t>La experiencia que se deriva de los contratos que el proponente ha celebrado y ejecutado con diferentes contratantes, sin importar la naturaleza de estos, se verifica con el Registro Único de Proponentes – en adelante RUP -</w:t>
      </w:r>
      <w:r>
        <w:rPr>
          <w:rStyle w:val="Refdenotaalpie"/>
          <w:rFonts w:ascii="Arial" w:hAnsi="Arial" w:eastAsia="Calibri" w:cs="Arial"/>
          <w:color w:val="000000" w:themeColor="text1"/>
        </w:rPr>
        <w:footnoteReference w:id="4"/>
      </w:r>
      <w:r>
        <w:rPr>
          <w:rFonts w:ascii="Arial" w:hAnsi="Arial" w:eastAsia="Calibri" w:cs="Arial"/>
          <w:color w:val="000000" w:themeColor="text1"/>
        </w:rPr>
        <w:t xml:space="preserve">, </w:t>
      </w:r>
      <w:r w:rsidRPr="00E760A1">
        <w:rPr>
          <w:rFonts w:ascii="Arial" w:hAnsi="Arial" w:eastAsia="Calibri" w:cs="Arial"/>
          <w:color w:val="000000" w:themeColor="text1"/>
        </w:rPr>
        <w:t>cuando este certificado sea exigible de acuerdo con la ley. En este registro constan los requisitos habilitantes que se evalúan exclusivamente con este documento, que es plena prueba, sin que la entidad o el proponente puedan solicitar o aportar otra documentación</w:t>
      </w:r>
      <w:r>
        <w:rPr>
          <w:rStyle w:val="Refdenotaalpie"/>
          <w:rFonts w:ascii="Arial" w:hAnsi="Arial" w:eastAsia="Calibri" w:cs="Arial"/>
          <w:color w:val="000000" w:themeColor="text1"/>
        </w:rPr>
        <w:footnoteReference w:id="5"/>
      </w:r>
      <w:r>
        <w:rPr>
          <w:rFonts w:ascii="Arial" w:hAnsi="Arial" w:eastAsia="Calibri" w:cs="Arial"/>
          <w:color w:val="000000" w:themeColor="text1"/>
        </w:rPr>
        <w:t>.</w:t>
      </w:r>
    </w:p>
    <w:p w:rsidR="00F21C34" w:rsidP="00F21C34" w:rsidRDefault="00F21C34" w14:paraId="56188578" w14:textId="5CF836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Pr>
          <w:rStyle w:val="Refdenotaalpie"/>
          <w:rFonts w:ascii="Arial" w:hAnsi="Arial" w:eastAsia="Calibri" w:cs="Arial"/>
          <w:color w:val="000000" w:themeColor="text1"/>
        </w:rPr>
        <w:footnoteReference w:id="6"/>
      </w:r>
      <w:r>
        <w:rPr>
          <w:rFonts w:ascii="Arial" w:hAnsi="Arial" w:eastAsia="Calibri" w:cs="Arial"/>
          <w:color w:val="000000" w:themeColor="text1"/>
        </w:rPr>
        <w:t xml:space="preserve">. </w:t>
      </w:r>
      <w:r w:rsidRPr="00F21C34">
        <w:rPr>
          <w:rFonts w:ascii="Arial" w:hAnsi="Arial" w:eastAsia="Calibri" w:cs="Arial"/>
          <w:color w:val="000000" w:themeColor="text1"/>
        </w:rPr>
        <w:t>De esta manera, con el RUP</w:t>
      </w:r>
      <w:r>
        <w:rPr>
          <w:rFonts w:ascii="Arial" w:hAnsi="Arial" w:eastAsia="Calibri" w:cs="Arial"/>
          <w:color w:val="000000" w:themeColor="text1"/>
        </w:rPr>
        <w:t xml:space="preserve"> </w:t>
      </w:r>
      <w:r w:rsidRPr="00F21C34">
        <w:rPr>
          <w:rFonts w:ascii="Arial" w:hAnsi="Arial" w:eastAsia="Calibri" w:cs="Arial"/>
          <w:color w:val="000000" w:themeColor="text1"/>
        </w:rPr>
        <w:t xml:space="preserve">se </w:t>
      </w:r>
      <w:r w:rsidRPr="00F21C34">
        <w:rPr>
          <w:rFonts w:ascii="Arial" w:hAnsi="Arial" w:eastAsia="Calibri" w:cs="Arial"/>
          <w:color w:val="000000" w:themeColor="text1"/>
        </w:rPr>
        <w:lastRenderedPageBreak/>
        <w:t>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rsidR="00F21C34" w:rsidP="00F21C34" w:rsidRDefault="00F21C34" w14:paraId="394E4966" w14:textId="3A424299">
      <w:pPr>
        <w:spacing w:after="0" w:line="276" w:lineRule="auto"/>
        <w:jc w:val="both"/>
        <w:rPr>
          <w:rFonts w:ascii="Arial" w:hAnsi="Arial" w:eastAsia="Calibri" w:cs="Arial"/>
          <w:b/>
          <w:color w:val="000000" w:themeColor="text1"/>
        </w:rPr>
      </w:pPr>
      <w:r w:rsidRPr="00F21C34">
        <w:rPr>
          <w:rFonts w:ascii="Arial" w:hAnsi="Arial" w:eastAsia="Calibri" w:cs="Arial"/>
          <w:b/>
          <w:color w:val="000000" w:themeColor="text1"/>
        </w:rPr>
        <w:t>2.2. Consideraciones de la Agencia respecto de la experiencia</w:t>
      </w:r>
    </w:p>
    <w:p w:rsidR="00F21C34" w:rsidP="00F21C34" w:rsidRDefault="00F21C34" w14:paraId="1B01AFE4" w14:textId="2AC57C2C">
      <w:pPr>
        <w:spacing w:after="0" w:line="276" w:lineRule="auto"/>
        <w:jc w:val="both"/>
        <w:rPr>
          <w:rFonts w:ascii="Arial" w:hAnsi="Arial" w:eastAsia="Calibri" w:cs="Arial"/>
          <w:b/>
          <w:color w:val="000000" w:themeColor="text1"/>
        </w:rPr>
      </w:pPr>
    </w:p>
    <w:p w:rsidR="00F21C34" w:rsidP="00F21C34" w:rsidRDefault="00F21C34" w14:paraId="75395C41" w14:textId="4C8C45CC">
      <w:pPr>
        <w:spacing w:line="276" w:lineRule="auto"/>
        <w:jc w:val="both"/>
        <w:rPr>
          <w:rFonts w:ascii="Arial" w:hAnsi="Arial" w:eastAsia="Calibri" w:cs="Arial"/>
          <w:color w:val="000000" w:themeColor="text1"/>
        </w:rPr>
      </w:pPr>
      <w:r w:rsidRPr="00F21C34">
        <w:rPr>
          <w:rFonts w:ascii="Arial" w:hAnsi="Arial" w:eastAsia="Calibri" w:cs="Arial"/>
          <w:color w:val="000000" w:themeColor="text1"/>
        </w:rPr>
        <w:t>La Agencia Nacional de Contratación Pública – Colombia Compra Eficiente puso a disposición de los interesados del Sistema de Compra Pública el «Manual para determinar y verificar requisitos habilitantes en los procesos de contratación»</w:t>
      </w:r>
      <w:r>
        <w:rPr>
          <w:rStyle w:val="Refdenotaalpie"/>
          <w:rFonts w:ascii="Arial" w:hAnsi="Arial" w:eastAsia="Calibri" w:cs="Arial"/>
          <w:color w:val="000000" w:themeColor="text1"/>
        </w:rPr>
        <w:footnoteReference w:id="7"/>
      </w:r>
      <w:r>
        <w:rPr>
          <w:rFonts w:ascii="Arial" w:hAnsi="Arial" w:eastAsia="Calibri" w:cs="Arial"/>
          <w:color w:val="000000" w:themeColor="text1"/>
        </w:rPr>
        <w:t xml:space="preserve">, </w:t>
      </w:r>
      <w:r w:rsidRPr="00F21C34">
        <w:rPr>
          <w:rFonts w:ascii="Arial" w:hAnsi="Arial" w:eastAsia="Calibri" w:cs="Arial"/>
          <w:color w:val="000000" w:themeColor="text1"/>
        </w:rPr>
        <w:t>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del proponente, con anterioridad, en actividades que le permitieron conocer cómo ejecutar determinado objeto contractual, que la entidad ahora pretende desarrollar</w:t>
      </w:r>
      <w:r>
        <w:rPr>
          <w:rStyle w:val="Refdenotaalpie"/>
          <w:rFonts w:ascii="Arial" w:hAnsi="Arial" w:eastAsia="Calibri" w:cs="Arial"/>
          <w:color w:val="000000" w:themeColor="text1"/>
        </w:rPr>
        <w:footnoteReference w:id="8"/>
      </w:r>
      <w:r>
        <w:rPr>
          <w:rFonts w:ascii="Arial" w:hAnsi="Arial" w:eastAsia="Calibri" w:cs="Arial"/>
          <w:color w:val="000000" w:themeColor="text1"/>
        </w:rPr>
        <w:t>.</w:t>
      </w:r>
    </w:p>
    <w:p w:rsidR="00F21C34" w:rsidP="00F21C34" w:rsidRDefault="00F21C34" w14:paraId="3C5E76BB" w14:textId="3663F78F">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Lo anterior es determinante, porque no es posible adquirir la experiencia si en la práctica no se han ejecutado actividades similares de forma previa. Precisamente, de la experiencia se deriva el conocimiento del proponente, y para la contratación pública este conocimiento es importante, pues ello garantiza que no habrá improvisación ni mayores costos por errores o dificultades originadas en realizar una actividad por primera vez.</w:t>
      </w:r>
    </w:p>
    <w:p w:rsidR="00F21C34" w:rsidP="00F21C34" w:rsidRDefault="00F21C34" w14:paraId="3936674D"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w:t>
      </w:r>
    </w:p>
    <w:p w:rsidR="00F21C34" w:rsidP="00F21C34" w:rsidRDefault="00F21C34" w14:paraId="7D73B626"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lastRenderedPageBreak/>
        <w:t xml:space="preserve">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rsidR="00F21C34" w:rsidP="00F21C34" w:rsidRDefault="00F21C34" w14:paraId="6E702EFD"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 xml:space="preserve">Finalmente, pueden extraerse cuatro (4) conclusiones relevantes para evaluar las figuras y reformas estatutarias de las sociedades comerciales, respecto de la experiencia: </w:t>
      </w:r>
    </w:p>
    <w:p w:rsidR="00F21C34" w:rsidP="00F21C34" w:rsidRDefault="00F21C34" w14:paraId="630904DE"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 xml:space="preserve">i) La experiencia es personal, esto es, se adquiere participando, directa o indirectamente, sin que sea posible no hacerlo y tener experiencia. </w:t>
      </w:r>
    </w:p>
    <w:p w:rsidR="00F21C34" w:rsidP="00F21C34" w:rsidRDefault="00F21C34" w14:paraId="341D08C9" w14:textId="34D95CB9">
      <w:pPr>
        <w:spacing w:line="276" w:lineRule="auto"/>
        <w:ind w:firstLine="708"/>
        <w:jc w:val="both"/>
        <w:rPr>
          <w:rFonts w:ascii="Arial" w:hAnsi="Arial" w:eastAsia="Calibri" w:cs="Arial"/>
          <w:color w:val="000000" w:themeColor="text1"/>
        </w:rPr>
      </w:pPr>
      <w:proofErr w:type="spellStart"/>
      <w:r w:rsidRPr="00F21C34">
        <w:rPr>
          <w:rFonts w:ascii="Arial" w:hAnsi="Arial" w:eastAsia="Calibri" w:cs="Arial"/>
          <w:color w:val="000000" w:themeColor="text1"/>
        </w:rPr>
        <w:t>ii</w:t>
      </w:r>
      <w:proofErr w:type="spellEnd"/>
      <w:r w:rsidRPr="00F21C34">
        <w:rPr>
          <w:rFonts w:ascii="Arial" w:hAnsi="Arial" w:eastAsia="Calibri" w:cs="Arial"/>
          <w:color w:val="000000" w:themeColor="text1"/>
        </w:rPr>
        <w:t>) La experiencia se puede compartir, sin que implique que la compartida a una persona se entienda suya, ya que dentro del procedimiento contractual se reflejará que esa persona tiene la experiencia de otra, como es el caso de las figuras asociativas ̶consorcios y uniones temporales ̶ que se verificará en el documento privado de constitución</w:t>
      </w:r>
      <w:r>
        <w:rPr>
          <w:rStyle w:val="Refdenotaalpie"/>
          <w:rFonts w:ascii="Arial" w:hAnsi="Arial" w:eastAsia="Calibri" w:cs="Arial"/>
          <w:color w:val="000000" w:themeColor="text1"/>
        </w:rPr>
        <w:footnoteReference w:id="9"/>
      </w:r>
      <w:r>
        <w:rPr>
          <w:rFonts w:ascii="Arial" w:hAnsi="Arial" w:eastAsia="Calibri" w:cs="Arial"/>
          <w:color w:val="000000" w:themeColor="text1"/>
        </w:rPr>
        <w:t>.</w:t>
      </w:r>
    </w:p>
    <w:p w:rsidR="00F21C34" w:rsidP="00F21C34" w:rsidRDefault="00F21C34" w14:paraId="11C6E739" w14:textId="50344C81">
      <w:pPr>
        <w:spacing w:line="276" w:lineRule="auto"/>
        <w:ind w:firstLine="708"/>
        <w:jc w:val="both"/>
        <w:rPr>
          <w:rFonts w:ascii="Arial" w:hAnsi="Arial" w:eastAsia="Calibri" w:cs="Arial"/>
          <w:color w:val="000000" w:themeColor="text1"/>
        </w:rPr>
      </w:pPr>
      <w:proofErr w:type="spellStart"/>
      <w:r w:rsidRPr="00F21C34">
        <w:rPr>
          <w:rFonts w:ascii="Arial" w:hAnsi="Arial" w:eastAsia="Calibri" w:cs="Arial"/>
          <w:color w:val="000000" w:themeColor="text1"/>
        </w:rPr>
        <w:t>iii</w:t>
      </w:r>
      <w:proofErr w:type="spellEnd"/>
      <w:r w:rsidRPr="00F21C34">
        <w:rPr>
          <w:rFonts w:ascii="Arial" w:hAnsi="Arial" w:eastAsia="Calibri" w:cs="Arial"/>
          <w:color w:val="000000" w:themeColor="text1"/>
        </w:rPr>
        <w:t>) La experiencia se puede transferir, y esto es diferente a compartir, lo que implica que la experiencia de una persona se traslada a otra, y esta última acredita la experiencia como propia, como sucede con la figura que se explicará con más detalle en el numeral 2.3 de este concepto.</w:t>
      </w:r>
    </w:p>
    <w:p w:rsidR="00F21C34" w:rsidP="00F21C34" w:rsidRDefault="00F21C34" w14:paraId="0167DD83" w14:textId="53BFFD74">
      <w:pPr>
        <w:spacing w:line="276" w:lineRule="auto"/>
        <w:ind w:firstLine="708"/>
        <w:jc w:val="both"/>
        <w:rPr>
          <w:rFonts w:ascii="Arial" w:hAnsi="Arial" w:eastAsia="Calibri" w:cs="Arial"/>
          <w:color w:val="000000" w:themeColor="text1"/>
        </w:rPr>
      </w:pPr>
      <w:proofErr w:type="spellStart"/>
      <w:r w:rsidRPr="00F21C34">
        <w:rPr>
          <w:rFonts w:ascii="Arial" w:hAnsi="Arial" w:eastAsia="Calibri" w:cs="Arial"/>
          <w:color w:val="000000" w:themeColor="text1"/>
        </w:rPr>
        <w:t>iv</w:t>
      </w:r>
      <w:proofErr w:type="spellEnd"/>
      <w:r w:rsidRPr="00F21C34">
        <w:rPr>
          <w:rFonts w:ascii="Arial" w:hAnsi="Arial" w:eastAsia="Calibri" w:cs="Arial"/>
          <w:color w:val="000000" w:themeColor="text1"/>
        </w:rPr>
        <w:t>) Cuando la persona que adquirió la experiencia desaparece o se liquida no es posible que comparta o transfiera su experiencia, porque al ser personal sigue la suerte de quien la adquirió.</w:t>
      </w:r>
    </w:p>
    <w:p w:rsidR="00F21C34" w:rsidP="00F21C34" w:rsidRDefault="00F21C34" w14:paraId="076B316C" w14:textId="49FBD6AC">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Ahora bien, respecto a la forma como se acredita la experiencia, debe destacarse que, el RUP fue creado por el artículo 6 de la Ley 1150 de 2007</w:t>
      </w:r>
      <w:r>
        <w:rPr>
          <w:rStyle w:val="Refdenotaalpie"/>
          <w:rFonts w:ascii="Arial" w:hAnsi="Arial" w:eastAsia="Calibri" w:cs="Arial"/>
          <w:color w:val="000000" w:themeColor="text1"/>
        </w:rPr>
        <w:footnoteReference w:id="10"/>
      </w:r>
      <w:r>
        <w:rPr>
          <w:rFonts w:ascii="Arial" w:hAnsi="Arial" w:eastAsia="Calibri" w:cs="Arial"/>
          <w:color w:val="000000" w:themeColor="text1"/>
        </w:rPr>
        <w:t xml:space="preserve"> </w:t>
      </w:r>
      <w:r w:rsidRPr="00F21C34">
        <w:rPr>
          <w:rFonts w:ascii="Arial" w:hAnsi="Arial" w:eastAsia="Calibri" w:cs="Arial"/>
          <w:color w:val="000000" w:themeColor="text1"/>
        </w:rPr>
        <w:t>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F21C34">
        <w:rPr>
          <w:rFonts w:ascii="Arial" w:hAnsi="Arial" w:eastAsia="Calibri" w:cs="Arial"/>
          <w:color w:val="000000" w:themeColor="text1"/>
        </w:rPr>
        <w:t>sometid</w:t>
      </w:r>
      <w:proofErr w:type="spellEnd"/>
      <w:r w:rsidRPr="00F21C34">
        <w:rPr>
          <w:rFonts w:ascii="Arial" w:hAnsi="Arial" w:eastAsia="Calibri" w:cs="Arial"/>
          <w:color w:val="000000" w:themeColor="text1"/>
        </w:rPr>
        <w:t>[a] a los principios de la función administrativa y de contratación estatal»</w:t>
      </w:r>
      <w:r>
        <w:rPr>
          <w:rStyle w:val="Refdenotaalpie"/>
          <w:rFonts w:ascii="Arial" w:hAnsi="Arial" w:eastAsia="Calibri" w:cs="Arial"/>
          <w:color w:val="000000" w:themeColor="text1"/>
        </w:rPr>
        <w:footnoteReference w:id="11"/>
      </w:r>
      <w:r w:rsidR="005F1985">
        <w:rPr>
          <w:rFonts w:ascii="Arial" w:hAnsi="Arial" w:eastAsia="Calibri" w:cs="Arial"/>
          <w:color w:val="000000" w:themeColor="text1"/>
        </w:rPr>
        <w:t>.</w:t>
      </w:r>
    </w:p>
    <w:p w:rsidR="005F1985" w:rsidP="00F21C34" w:rsidRDefault="005F1985" w14:paraId="14DC3DC4"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w:t>
      </w:r>
      <w:proofErr w:type="gramStart"/>
      <w:r w:rsidRPr="005F1985">
        <w:rPr>
          <w:rFonts w:ascii="Arial" w:hAnsi="Arial" w:eastAsia="Calibri" w:cs="Arial"/>
          <w:color w:val="000000" w:themeColor="text1"/>
        </w:rPr>
        <w:t>los proponentes contenidas</w:t>
      </w:r>
      <w:proofErr w:type="gramEnd"/>
      <w:r w:rsidRPr="005F1985">
        <w:rPr>
          <w:rFonts w:ascii="Arial" w:hAnsi="Arial" w:eastAsia="Calibri" w:cs="Arial"/>
          <w:color w:val="000000" w:themeColor="text1"/>
        </w:rPr>
        <w:t xml:space="preserve"> en el registro y asignó la competencia a las cámaras para verificarlas. </w:t>
      </w:r>
    </w:p>
    <w:p w:rsidR="005F1985" w:rsidP="00F21C34" w:rsidRDefault="005F1985" w14:paraId="35F089CC"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lastRenderedPageBreak/>
        <w:t xml:space="preserve">La norma impuso la obligación a todos los proponentes de inscribirse en el RUP,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rsidR="005F1985" w:rsidP="00F21C34" w:rsidRDefault="005F1985" w14:paraId="0F9AC5D1"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Asimismo, correlativo a este deber de los proponentes, la norma impuso a las cámaras de comercio la obligación de verificar los requisitos habilitantes de quienes se registren. El inciso 2 del numeral 6.1. de la Ley 1150 de 2007 le otorga carácter de plena prueba a la información contenida en el registro que haya sido verificada por las cámaras de comercio y, además, dispuso que la verificación de las condiciones de que trata el numeral 1 del artículo 5 ibidem se demostrará «exclusivamente con el respectivo certificado del RUP en donde deberán constar dichas condiciones». </w:t>
      </w:r>
    </w:p>
    <w:p w:rsidR="005F1985" w:rsidP="00F21C34" w:rsidRDefault="005F1985" w14:paraId="04855FCC"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rsidRPr="00F21C34" w:rsidR="005F1985" w:rsidP="00F21C34" w:rsidRDefault="005F1985" w14:paraId="5D675E2C" w14:textId="3FA3A889">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RUP.</w:t>
      </w:r>
    </w:p>
    <w:p w:rsidR="00E760A1" w:rsidP="00564997" w:rsidRDefault="005F1985" w14:paraId="185EF30C" w14:textId="4095D62A">
      <w:pPr>
        <w:spacing w:after="0" w:line="276" w:lineRule="auto"/>
        <w:jc w:val="both"/>
        <w:rPr>
          <w:rFonts w:ascii="Arial" w:hAnsi="Arial" w:eastAsia="Calibri" w:cs="Arial"/>
          <w:b/>
          <w:color w:val="000000" w:themeColor="text1"/>
        </w:rPr>
      </w:pPr>
      <w:r w:rsidRPr="005F1985">
        <w:rPr>
          <w:rFonts w:ascii="Arial" w:hAnsi="Arial" w:eastAsia="Calibri" w:cs="Arial"/>
          <w:b/>
          <w:color w:val="000000" w:themeColor="text1"/>
        </w:rPr>
        <w:t>2.3. Acreditación de la experiencia de socios, accionistas o constituyentes por parte de sociedades con menos de tres (3) años de constitución</w:t>
      </w:r>
    </w:p>
    <w:p w:rsidR="005F1985" w:rsidP="00564997" w:rsidRDefault="005F1985" w14:paraId="4F45D2D6" w14:textId="44B643D1">
      <w:pPr>
        <w:spacing w:after="0" w:line="276" w:lineRule="auto"/>
        <w:jc w:val="both"/>
        <w:rPr>
          <w:rFonts w:ascii="Arial" w:hAnsi="Arial" w:eastAsia="Calibri" w:cs="Arial"/>
          <w:b/>
          <w:color w:val="000000" w:themeColor="text1"/>
        </w:rPr>
      </w:pPr>
    </w:p>
    <w:p w:rsidR="005F1985" w:rsidP="005F1985" w:rsidRDefault="005F1985" w14:paraId="1F548E3B" w14:textId="444C8F65">
      <w:pPr>
        <w:spacing w:line="276" w:lineRule="auto"/>
        <w:jc w:val="both"/>
        <w:rPr>
          <w:rFonts w:ascii="Arial" w:hAnsi="Arial" w:eastAsia="Calibri" w:cs="Arial"/>
          <w:color w:val="000000" w:themeColor="text1"/>
        </w:rPr>
      </w:pPr>
      <w:r w:rsidRPr="005F1985">
        <w:rPr>
          <w:rFonts w:ascii="Arial" w:hAnsi="Arial" w:eastAsia="Calibri" w:cs="Arial"/>
          <w:color w:val="000000" w:themeColor="text1"/>
        </w:rPr>
        <w:t>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w:t>
      </w:r>
      <w:r w:rsidRPr="005F1985">
        <w:rPr>
          <w:rFonts w:ascii="Arial" w:hAnsi="Arial" w:eastAsia="Calibri" w:cs="Arial"/>
          <w:color w:val="000000" w:themeColor="text1"/>
        </w:rPr>
        <w:t xml:space="preserve"> </w:t>
      </w:r>
      <w:r w:rsidRPr="005F1985">
        <w:rPr>
          <w:rFonts w:ascii="Arial" w:hAnsi="Arial" w:eastAsia="Calibri" w:cs="Arial"/>
          <w:color w:val="000000" w:themeColor="text1"/>
        </w:rPr>
        <w:t>de selección y no otorgarán puntaje. Lo anterior con excepción de la selección de consultores mediante un concurso de méritos, donde es posible otorgar puntaje al criterio de experiencia.</w:t>
      </w:r>
    </w:p>
    <w:p w:rsidR="005F1985" w:rsidP="005F1985" w:rsidRDefault="005F1985" w14:paraId="5D4AFA0A"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Por su parte, conforme lo expuesto en el numeral anterior de este concepto, el artículo 6 de la Ley 1150 de 2007 señala que todas las personas naturales o jurídicas, nacionales o extranjeras, domiciliadas o con sucursal en Colombia, que aspiren celebrar contratos con las </w:t>
      </w:r>
      <w:r w:rsidRPr="005F1985">
        <w:rPr>
          <w:rFonts w:ascii="Arial" w:hAnsi="Arial" w:eastAsia="Calibri" w:cs="Arial"/>
          <w:color w:val="000000" w:themeColor="text1"/>
        </w:rPr>
        <w:lastRenderedPageBreak/>
        <w:t xml:space="preserve">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 </w:t>
      </w:r>
    </w:p>
    <w:p w:rsidR="005F1985" w:rsidP="005F1985" w:rsidRDefault="005F1985" w14:paraId="4825DD8C" w14:textId="229189BF">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Pr>
          <w:rStyle w:val="Refdenotaalpie"/>
          <w:rFonts w:ascii="Arial" w:hAnsi="Arial" w:eastAsia="Calibri" w:cs="Arial"/>
          <w:color w:val="000000" w:themeColor="text1"/>
        </w:rPr>
        <w:footnoteReference w:id="12"/>
      </w:r>
      <w:r>
        <w:rPr>
          <w:rFonts w:ascii="Arial" w:hAnsi="Arial" w:eastAsia="Calibri" w:cs="Arial"/>
          <w:color w:val="000000" w:themeColor="text1"/>
        </w:rPr>
        <w:t>.</w:t>
      </w:r>
    </w:p>
    <w:p w:rsidR="005F1985" w:rsidP="005F1985" w:rsidRDefault="005F1985" w14:paraId="445E33E3" w14:textId="513A1204">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Pr>
          <w:rStyle w:val="Refdenotaalpie"/>
          <w:rFonts w:ascii="Arial" w:hAnsi="Arial" w:eastAsia="Calibri" w:cs="Arial"/>
          <w:color w:val="000000" w:themeColor="text1"/>
        </w:rPr>
        <w:footnoteReference w:id="13"/>
      </w:r>
      <w:r>
        <w:rPr>
          <w:rFonts w:ascii="Arial" w:hAnsi="Arial" w:eastAsia="Calibri" w:cs="Arial"/>
          <w:color w:val="000000" w:themeColor="text1"/>
        </w:rPr>
        <w:t>.</w:t>
      </w:r>
    </w:p>
    <w:p w:rsidR="005F1985" w:rsidP="005F1985" w:rsidRDefault="005F1985" w14:paraId="3BD210B3" w14:textId="50249500">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El interesado debe indicar en cada certificado, o en cada copia de los contratos, los bienes, obras y servicios a los cuales corresponde la experiencia que pretende acreditar, identificándolos con el Clasificador de Bienes y Servicios, en el tercer nivel. La parte final de ese numeral 2.5. indica que «Si la constitución del interesado es menor a tres (3) años, puede acreditar la experiencia de sus accionistas, socios o constituyentes».</w:t>
      </w:r>
    </w:p>
    <w:p w:rsidR="005F1985" w:rsidP="005F1985" w:rsidRDefault="005F1985" w14:paraId="26750DDF" w14:textId="0AB635C2">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De este modo, se evidencia que, la parte final del numeral 2.5 del artículo citado incluye una medida diferenciada para las personas jurídicas cuya constitución sea menor a tres (3) años</w:t>
      </w:r>
      <w:r>
        <w:rPr>
          <w:rFonts w:ascii="Arial" w:hAnsi="Arial" w:eastAsia="Calibri" w:cs="Arial"/>
          <w:color w:val="000000" w:themeColor="text1"/>
        </w:rPr>
        <w:t xml:space="preserve"> </w:t>
      </w:r>
      <w:r w:rsidRPr="005F1985">
        <w:rPr>
          <w:rFonts w:ascii="Arial" w:hAnsi="Arial" w:eastAsia="Calibri" w:cs="Arial"/>
          <w:color w:val="000000" w:themeColor="text1"/>
        </w:rPr>
        <w:t>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p>
    <w:p w:rsidR="005F1985" w:rsidP="005F1985" w:rsidRDefault="005F1985" w14:paraId="0B39138B" w14:textId="23FCA7B0">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lastRenderedPageBreak/>
        <w:t>A pesar de que la experiencia es inherente a la persona que la ha obtenido, razón por la cual es, en principio, intransferible en virtud de su carácter personalísimo, por disposición legal o reglamentaria, en casos excepcionales, como el descrito en el artículo mencionado, se aplica de otra manera.</w:t>
      </w:r>
    </w:p>
    <w:p w:rsidR="005F1985" w:rsidP="005F1985" w:rsidRDefault="005F1985" w14:paraId="3523A202"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 </w:t>
      </w:r>
    </w:p>
    <w:p w:rsidR="005F1985" w:rsidP="005F1985" w:rsidRDefault="005F1985" w14:paraId="47B17164"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rsidR="005F1985" w:rsidP="005F1985" w:rsidRDefault="005F1985" w14:paraId="30B84E87"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rsidR="005F1985" w:rsidP="005F1985" w:rsidRDefault="005F1985" w14:paraId="5EF2A5C3"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i) 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rsidR="005F1985" w:rsidP="005F1985" w:rsidRDefault="005F1985" w14:paraId="5C079AB3" w14:textId="77777777">
      <w:pPr>
        <w:spacing w:line="276" w:lineRule="auto"/>
        <w:ind w:firstLine="708"/>
        <w:jc w:val="both"/>
        <w:rPr>
          <w:rFonts w:ascii="Arial" w:hAnsi="Arial" w:eastAsia="Calibri" w:cs="Arial"/>
          <w:color w:val="000000" w:themeColor="text1"/>
        </w:rPr>
      </w:pPr>
      <w:proofErr w:type="spellStart"/>
      <w:r w:rsidRPr="005F1985">
        <w:rPr>
          <w:rFonts w:ascii="Arial" w:hAnsi="Arial" w:eastAsia="Calibri" w:cs="Arial"/>
          <w:color w:val="000000" w:themeColor="text1"/>
        </w:rPr>
        <w:t>ii</w:t>
      </w:r>
      <w:proofErr w:type="spellEnd"/>
      <w:r w:rsidRPr="005F1985">
        <w:rPr>
          <w:rFonts w:ascii="Arial" w:hAnsi="Arial" w:eastAsia="Calibri" w:cs="Arial"/>
          <w:color w:val="000000" w:themeColor="text1"/>
        </w:rPr>
        <w:t xml:space="preserve">) El Decreto 1082 de 2015 establece que, para la inscripción en el RUP de una persona jurídica si su constitución es menor a tres (3) años, puede acreditar la experiencia de sus accionistas, socios o constituyentes. </w:t>
      </w:r>
    </w:p>
    <w:p w:rsidR="005F1985" w:rsidP="005F1985" w:rsidRDefault="005F1985" w14:paraId="2EB9E348" w14:textId="706CEA91">
      <w:pPr>
        <w:spacing w:line="276" w:lineRule="auto"/>
        <w:ind w:firstLine="708"/>
        <w:jc w:val="both"/>
        <w:rPr>
          <w:rFonts w:ascii="Arial" w:hAnsi="Arial" w:eastAsia="Calibri" w:cs="Arial"/>
          <w:color w:val="000000" w:themeColor="text1"/>
        </w:rPr>
      </w:pPr>
      <w:proofErr w:type="spellStart"/>
      <w:r w:rsidRPr="005F1985">
        <w:rPr>
          <w:rFonts w:ascii="Arial" w:hAnsi="Arial" w:eastAsia="Calibri" w:cs="Arial"/>
          <w:color w:val="000000" w:themeColor="text1"/>
        </w:rPr>
        <w:t>iii</w:t>
      </w:r>
      <w:proofErr w:type="spellEnd"/>
      <w:r w:rsidRPr="005F1985">
        <w:rPr>
          <w:rFonts w:ascii="Arial" w:hAnsi="Arial" w:eastAsia="Calibri" w:cs="Arial"/>
          <w:color w:val="000000" w:themeColor="text1"/>
        </w:rPr>
        <w:t>) La finalidad de esta norma es permitir que las sociedades que no cuentan con la experiencia suficiente para contratar con el Estado puedan apoyarse en la experiencia de sus</w:t>
      </w:r>
      <w:r>
        <w:rPr>
          <w:rFonts w:ascii="Arial" w:hAnsi="Arial" w:eastAsia="Calibri" w:cs="Arial"/>
          <w:color w:val="000000" w:themeColor="text1"/>
        </w:rPr>
        <w:t xml:space="preserve"> </w:t>
      </w:r>
      <w:r w:rsidRPr="005F1985">
        <w:rPr>
          <w:rFonts w:ascii="Arial" w:hAnsi="Arial" w:eastAsia="Calibri" w:cs="Arial"/>
          <w:color w:val="000000" w:themeColor="text1"/>
        </w:rPr>
        <w:t>accionistas, socios o constituyentes con el fin de incentivar la libre competencia en la contratación estatal.</w:t>
      </w:r>
    </w:p>
    <w:p w:rsidR="00F2390A" w:rsidP="005F1985" w:rsidRDefault="00F2390A" w14:paraId="1A443C1E" w14:textId="77777777">
      <w:pPr>
        <w:spacing w:line="276" w:lineRule="auto"/>
        <w:ind w:firstLine="708"/>
        <w:jc w:val="both"/>
        <w:rPr>
          <w:rFonts w:ascii="Arial" w:hAnsi="Arial" w:eastAsia="Calibri" w:cs="Arial"/>
          <w:color w:val="000000" w:themeColor="text1"/>
        </w:rPr>
      </w:pPr>
      <w:proofErr w:type="spellStart"/>
      <w:r>
        <w:rPr>
          <w:rFonts w:ascii="Arial" w:hAnsi="Arial" w:eastAsia="Calibri" w:cs="Arial"/>
          <w:color w:val="000000" w:themeColor="text1"/>
        </w:rPr>
        <w:lastRenderedPageBreak/>
        <w:t>i</w:t>
      </w:r>
      <w:r w:rsidRPr="00F2390A">
        <w:rPr>
          <w:rFonts w:ascii="Arial" w:hAnsi="Arial" w:eastAsia="Calibri" w:cs="Arial"/>
          <w:color w:val="000000" w:themeColor="text1"/>
        </w:rPr>
        <w:t>v</w:t>
      </w:r>
      <w:proofErr w:type="spellEnd"/>
      <w:r w:rsidRPr="00F2390A">
        <w:rPr>
          <w:rFonts w:ascii="Arial" w:hAnsi="Arial" w:eastAsia="Calibri" w:cs="Arial"/>
          <w:color w:val="000000" w:themeColor="text1"/>
        </w:rPr>
        <w:t xml:space="preserve">)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rsidR="00F2390A" w:rsidP="005F1985" w:rsidRDefault="00F2390A" w14:paraId="41383F76"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rsidR="005F1985" w:rsidP="005F1985" w:rsidRDefault="00F2390A" w14:paraId="1D6FB922" w14:textId="17A72A8B">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Pr>
          <w:rStyle w:val="Refdenotaalpie"/>
          <w:rFonts w:ascii="Arial" w:hAnsi="Arial" w:eastAsia="Calibri" w:cs="Arial"/>
          <w:color w:val="000000" w:themeColor="text1"/>
        </w:rPr>
        <w:footnoteReference w:id="14"/>
      </w:r>
      <w:r>
        <w:rPr>
          <w:rFonts w:ascii="Arial" w:hAnsi="Arial" w:eastAsia="Calibri" w:cs="Arial"/>
          <w:color w:val="000000" w:themeColor="text1"/>
        </w:rPr>
        <w:t xml:space="preserve">, </w:t>
      </w:r>
      <w:r w:rsidRPr="00F2390A">
        <w:rPr>
          <w:rFonts w:ascii="Arial" w:hAnsi="Arial" w:eastAsia="Calibri" w:cs="Arial"/>
          <w:color w:val="000000" w:themeColor="text1"/>
        </w:rPr>
        <w:t>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w:t>
      </w:r>
    </w:p>
    <w:p w:rsidR="00F2390A" w:rsidP="005F1985" w:rsidRDefault="00F2390A" w14:paraId="0317C1E2" w14:textId="7FB5B0C4">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Pr>
          <w:rStyle w:val="Refdenotaalpie"/>
          <w:rFonts w:ascii="Arial" w:hAnsi="Arial" w:eastAsia="Calibri" w:cs="Arial"/>
          <w:color w:val="000000" w:themeColor="text1"/>
        </w:rPr>
        <w:footnoteReference w:id="15"/>
      </w:r>
      <w:r>
        <w:rPr>
          <w:rFonts w:ascii="Arial" w:hAnsi="Arial" w:eastAsia="Calibri" w:cs="Arial"/>
          <w:color w:val="000000" w:themeColor="text1"/>
        </w:rPr>
        <w:t xml:space="preserve">. </w:t>
      </w:r>
      <w:r w:rsidRPr="00F2390A">
        <w:rPr>
          <w:rFonts w:ascii="Arial" w:hAnsi="Arial" w:eastAsia="Calibri" w:cs="Arial"/>
          <w:color w:val="000000" w:themeColor="text1"/>
        </w:rPr>
        <w:t>En la actualidad, las cámaras de comercio solo pueden eliminar la experiencia registrada en el RUP a solicitud del proponente. Por tanto, les corresponde a las personas jurídicas mantener su RUP actualizado y a las entidades estatales verificar este registro para efectos de verificar y evaluar la experiencia.</w:t>
      </w:r>
    </w:p>
    <w:p w:rsidR="00F2390A" w:rsidP="005F1985" w:rsidRDefault="00F2390A" w14:paraId="784B3DF2" w14:textId="263895DF">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En otras palabras, si la persona jurídica con menos de tres (3) años de constituida registra la experiencia de sus socios, accionistas o constituyentes en el RUP, y éste es renovado, puede continuar utilizando la experiencia inscrita mientras no cesen los efectos del RUP. Por el contrario</w:t>
      </w:r>
      <w:r>
        <w:rPr>
          <w:rFonts w:ascii="Arial" w:hAnsi="Arial" w:eastAsia="Calibri" w:cs="Arial"/>
          <w:color w:val="000000" w:themeColor="text1"/>
        </w:rPr>
        <w:t xml:space="preserve">, </w:t>
      </w:r>
      <w:r w:rsidRPr="00F2390A">
        <w:rPr>
          <w:rFonts w:ascii="Arial" w:hAnsi="Arial" w:eastAsia="Calibri" w:cs="Arial"/>
          <w:color w:val="000000" w:themeColor="text1"/>
        </w:rPr>
        <w:t xml:space="preserve">si no se renueva y la persona jurídica supera los tres (3) años de constituida, la experiencia que registró de sus socios, accionistas o constituyentes no puede ser inscrita nuevamente, puesto </w:t>
      </w:r>
      <w:r w:rsidRPr="00F2390A">
        <w:rPr>
          <w:rFonts w:ascii="Arial" w:hAnsi="Arial" w:eastAsia="Calibri" w:cs="Arial"/>
          <w:color w:val="000000" w:themeColor="text1"/>
        </w:rPr>
        <w:lastRenderedPageBreak/>
        <w:t>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cuyo numeral 4.2, sobre el procedimiento para llevar el registro único de proponentes, dispone lo siguiente:</w:t>
      </w:r>
    </w:p>
    <w:p w:rsidR="00F2390A" w:rsidP="00F2390A" w:rsidRDefault="00F2390A" w14:paraId="63DA428F" w14:textId="3626F8BD">
      <w:pPr>
        <w:ind w:left="709" w:right="709"/>
        <w:jc w:val="both"/>
        <w:rPr>
          <w:rFonts w:ascii="Arial" w:hAnsi="Arial" w:eastAsia="Calibri" w:cs="Arial"/>
          <w:sz w:val="21"/>
          <w:szCs w:val="21"/>
        </w:rPr>
      </w:pPr>
      <w:r w:rsidRPr="00F2390A">
        <w:rPr>
          <w:rFonts w:ascii="Arial" w:hAnsi="Arial" w:eastAsia="Calibri" w:cs="Arial"/>
          <w:sz w:val="21"/>
          <w:szCs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rsidR="00F2390A" w:rsidP="00F2390A" w:rsidRDefault="00F2390A" w14:paraId="0E4B703C"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(3)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tres (3) años de constituida la persona jurídica, para esta Subdirección sigue siendo válida, por lo que la entidad la debe tener en cuenta. De esta forma se garantiza la pluralidad de oferentes en los procesos de contratación. </w:t>
      </w:r>
    </w:p>
    <w:p w:rsidR="00F2390A" w:rsidP="00F2390A" w:rsidRDefault="00F2390A" w14:paraId="27E12CCE"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tres (3) años de constitución pueden acreditar la experiencia transferida por sus socios en virtud de la referida prerrogativa. </w:t>
      </w:r>
    </w:p>
    <w:p w:rsidRPr="00F2390A" w:rsidR="00F2390A" w:rsidP="00F2390A" w:rsidRDefault="00F2390A" w14:paraId="10213C1C" w14:textId="7F1D736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Por tanto, en atención al principio general de interpretación según el cual donde el legislador no distingue no le es dado hacerlo al interprete, el hecho de que una sociedad con menos de tres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tres (3) años de constitución, siempre que no hayan cesado los efectos del RUP por el incumplimiento del deber de renovación.</w:t>
      </w:r>
    </w:p>
    <w:p w:rsidR="00E760A1" w:rsidP="00F2390A" w:rsidRDefault="00F2390A" w14:paraId="424FE0F8" w14:textId="7430AAFA">
      <w:pPr>
        <w:spacing w:line="276" w:lineRule="auto"/>
        <w:jc w:val="both"/>
        <w:rPr>
          <w:rFonts w:ascii="Arial" w:hAnsi="Arial" w:eastAsia="Calibri" w:cs="Arial"/>
          <w:b/>
          <w:bCs/>
          <w:lang w:val="es-ES_tradnl"/>
        </w:rPr>
      </w:pPr>
      <w:r w:rsidRPr="00F2390A">
        <w:rPr>
          <w:rFonts w:ascii="Arial" w:hAnsi="Arial" w:eastAsia="Calibri" w:cs="Arial"/>
          <w:b/>
          <w:bCs/>
          <w:lang w:val="es-ES_tradnl"/>
        </w:rPr>
        <w:t>2.4. Límites de la prerrogativa que contempla el numeral 2.5 del artículo 2.2.1.1.1.5.2 del Decreto 1082 de 2015</w:t>
      </w:r>
    </w:p>
    <w:p w:rsidR="00F2390A" w:rsidP="00F2390A" w:rsidRDefault="00F2390A" w14:paraId="10B76D7D" w14:textId="77777777">
      <w:pPr>
        <w:spacing w:line="276" w:lineRule="auto"/>
        <w:jc w:val="both"/>
        <w:rPr>
          <w:rFonts w:ascii="Arial" w:hAnsi="Arial" w:eastAsia="Calibri" w:cs="Arial"/>
          <w:color w:val="000000" w:themeColor="text1"/>
        </w:rPr>
      </w:pPr>
      <w:r w:rsidRPr="00F2390A">
        <w:rPr>
          <w:rFonts w:ascii="Arial" w:hAnsi="Arial" w:eastAsia="Calibri" w:cs="Arial"/>
          <w:color w:val="000000" w:themeColor="text1"/>
        </w:rPr>
        <w:t xml:space="preserve">En relación con la consulta plateada acerca de si una persona jurídica puede seguir acreditando la experiencia de un socio o accionista que ya no hace parte de la sociedad, porque este se ha retirado o vendido su parte accionaria después de los tres (3) primeros años, debe darse respuesta con base en los mismos argumentos presentados en el numeral anterior del presente </w:t>
      </w:r>
      <w:r w:rsidRPr="00F2390A">
        <w:rPr>
          <w:rFonts w:ascii="Arial" w:hAnsi="Arial" w:eastAsia="Calibri" w:cs="Arial"/>
          <w:color w:val="000000" w:themeColor="text1"/>
        </w:rPr>
        <w:lastRenderedPageBreak/>
        <w:t xml:space="preserve">concepto: la experiencia podrá ser acreditada siempre que se haga válidamente de acuerdo con los requisitos establecidos en el ordenamiento. </w:t>
      </w:r>
    </w:p>
    <w:p w:rsidR="00F2390A" w:rsidP="00F2390A" w:rsidRDefault="00F2390A" w14:paraId="0059CAE6"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En ese orden de ideas, no debe perderse de vista que el Decreto 1082 de 2015 solo permite que una sociedad acredite la experiencia de quienes tienen la calidad de accionistas, socios o constituyentes durante los primeros tres (3) años de su constitución. Por tanto, como límite a la prerrogativa que contempla el numeral 2.5 del artículo 2.2.1.1.1.5.2 del Decreto 1082 de 2015, la cual puede ser entendida como una medida de fomento a la participación de las sociedades relativamente nuevas en la contratación estatal, se encuentra la situación en la cual alguno de los socios, accionistas o constituyente pierde estas calidades, como sucedería cuando uno de ellos se retira por venta o cesión de su participación y pierde su calidad de socio. </w:t>
      </w:r>
    </w:p>
    <w:p w:rsidR="00F2390A" w:rsidP="00F2390A" w:rsidRDefault="00F2390A" w14:paraId="3F659DE9"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Así las cosas, si alguno de los integrantes de la persona jurídica pierde la calidad de accionista, socio o constituyente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y abstenerse de inscribir la adquirida por el socio que vendió o cedió sus acciones y se retira de la sociedad, actuando así de buena fe en el proceso de contratación. </w:t>
      </w:r>
    </w:p>
    <w:p w:rsidR="00E760A1" w:rsidP="00F2390A" w:rsidRDefault="00F2390A" w14:paraId="119F9C9A" w14:textId="3867D5DC">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Esta interpretación, además, se impone en atención a fin de evitar prácticas corruptas o que atenten contra la transparencia en la contratación estatal, por lo que la experiencia aportada por quien se retira en cualquier momento no debería ser utilizada por el proponente en los procesos de contratación. De igual forma, lo anterior se fundamenta como se explicó en líneas atrás, en el carácter personalísimo de la experiencia respecto de la persona que la ha adquirido y que solo en casos excepcionales y por disposición legal o reglamentaria se presume de otra forma. En ese sentido, si el socio se retira de la sociedad por venta o cesión de su participación accionaria, no puede vender o ceder su experiencia para que el adquirente o cesionario de la participación accionaria la aporte a la sociedad.</w:t>
      </w:r>
    </w:p>
    <w:p w:rsidRPr="005264A0" w:rsidR="0024233C" w:rsidP="0024233C" w:rsidRDefault="0024233C" w14:paraId="3C105C2C" w14:textId="77777777">
      <w:pPr>
        <w:tabs>
          <w:tab w:val="left" w:pos="0"/>
        </w:tabs>
        <w:jc w:val="both"/>
        <w:rPr>
          <w:rFonts w:ascii="Arial" w:hAnsi="Arial" w:eastAsia="Calibri" w:cs="Arial"/>
          <w:b/>
          <w:lang w:val="es-ES_tradnl"/>
        </w:rPr>
      </w:pPr>
      <w:r w:rsidRPr="005264A0">
        <w:rPr>
          <w:rFonts w:ascii="Arial" w:hAnsi="Arial" w:eastAsia="Calibri" w:cs="Arial"/>
          <w:b/>
          <w:lang w:val="es-ES_tradnl"/>
        </w:rPr>
        <w:t>3. Respuesta</w:t>
      </w:r>
    </w:p>
    <w:p w:rsidRPr="003903E3" w:rsidR="0024233C" w:rsidP="0024233C" w:rsidRDefault="0024233C" w14:paraId="5AACDDBF" w14:textId="0A0D038B">
      <w:pPr>
        <w:ind w:left="709" w:right="709"/>
        <w:jc w:val="both"/>
        <w:rPr>
          <w:rFonts w:ascii="Arial" w:hAnsi="Arial" w:cs="Arial"/>
          <w:sz w:val="21"/>
          <w:szCs w:val="21"/>
          <w:lang w:val="es-ES_tradnl"/>
        </w:rPr>
      </w:pPr>
      <w:r>
        <w:rPr>
          <w:rFonts w:ascii="Arial" w:hAnsi="Arial" w:cs="Arial"/>
          <w:sz w:val="21"/>
          <w:szCs w:val="21"/>
          <w:lang w:val="es-ES_tradnl"/>
        </w:rPr>
        <w:t>«</w:t>
      </w:r>
      <w:r w:rsidRPr="00EB6F40" w:rsidR="00EB6F40">
        <w:rPr>
          <w:rFonts w:ascii="Arial" w:hAnsi="Arial" w:cs="Arial"/>
          <w:sz w:val="21"/>
          <w:szCs w:val="21"/>
          <w:lang w:val="es-ES_tradnl"/>
        </w:rPr>
        <w:t>Basado en el Concepto CCE. La experiencia en el RUP de los accionistas de una persona jurídica se puede continuar utilizando después de 3 años de constituida, se tiene claridad que la empresa puede seguir acreditando la experiencia de sus socios o accionistas luego de tres años de constitución, siempre y cuando no hayan cesado los efectos del RUP. Mi consulta es ¿Se puede seguir acreditando la experiencia de un socio o accionista que ya no hace parte de la sociedad porque se haya retirado o</w:t>
      </w:r>
      <w:r w:rsidRPr="00EB6F40" w:rsidR="00EB6F40">
        <w:rPr>
          <w:rFonts w:ascii="Arial" w:hAnsi="Arial" w:cs="Arial"/>
          <w:sz w:val="21"/>
          <w:szCs w:val="21"/>
          <w:lang w:val="es-ES_tradnl"/>
        </w:rPr>
        <w:t xml:space="preserve"> </w:t>
      </w:r>
      <w:r w:rsidRPr="00EB6F40" w:rsidR="00EB6F40">
        <w:rPr>
          <w:rFonts w:ascii="Arial" w:hAnsi="Arial" w:cs="Arial"/>
          <w:sz w:val="21"/>
          <w:szCs w:val="21"/>
          <w:lang w:val="es-ES_tradnl"/>
        </w:rPr>
        <w:t xml:space="preserve">vendido su parte accionaria después de los 3 primeros años?, ¿Qué efectos implica se retire este accionista de la empresa constituida y como afecta a la experiencia que se venía utilizando si del tercer (3) año en adelante el socio que aportaba la experiencia de contratación ya no hace parte de la persona jurídica? ¿su experiencia se iría con el </w:t>
      </w:r>
      <w:r w:rsidRPr="00EB6F40" w:rsidR="00EB6F40">
        <w:rPr>
          <w:rFonts w:ascii="Arial" w:hAnsi="Arial" w:cs="Arial"/>
          <w:sz w:val="21"/>
          <w:szCs w:val="21"/>
          <w:lang w:val="es-ES_tradnl"/>
        </w:rPr>
        <w:lastRenderedPageBreak/>
        <w:t xml:space="preserve">como accionista o queda como parte de la empresa a pesar de que dicho accionista ya no haga parte de </w:t>
      </w:r>
      <w:proofErr w:type="gramStart"/>
      <w:r w:rsidRPr="00EB6F40" w:rsidR="00EB6F40">
        <w:rPr>
          <w:rFonts w:ascii="Arial" w:hAnsi="Arial" w:cs="Arial"/>
          <w:sz w:val="21"/>
          <w:szCs w:val="21"/>
          <w:lang w:val="es-ES_tradnl"/>
        </w:rPr>
        <w:t>la misma</w:t>
      </w:r>
      <w:proofErr w:type="gramEnd"/>
      <w:r w:rsidRPr="00EB6F40" w:rsidR="00EB6F40">
        <w:rPr>
          <w:rFonts w:ascii="Arial" w:hAnsi="Arial" w:cs="Arial"/>
          <w:sz w:val="21"/>
          <w:szCs w:val="21"/>
          <w:lang w:val="es-ES_tradnl"/>
        </w:rPr>
        <w:t>? [sic]</w:t>
      </w:r>
      <w:r w:rsidRPr="003903E3">
        <w:rPr>
          <w:rFonts w:ascii="Arial" w:hAnsi="Arial" w:cs="Arial"/>
          <w:sz w:val="21"/>
          <w:szCs w:val="21"/>
          <w:lang w:val="es-ES_tradnl"/>
        </w:rPr>
        <w:t>»</w:t>
      </w:r>
    </w:p>
    <w:p w:rsidR="00EB6F40" w:rsidP="00EB6F40" w:rsidRDefault="00EB6F40" w14:paraId="3011E66C" w14:textId="77777777">
      <w:pPr>
        <w:spacing w:line="276" w:lineRule="auto"/>
        <w:jc w:val="both"/>
        <w:rPr>
          <w:rFonts w:ascii="Arial" w:hAnsi="Arial" w:eastAsia="Calibri" w:cs="Arial"/>
          <w:color w:val="000000" w:themeColor="text1"/>
        </w:rPr>
      </w:pPr>
      <w:r w:rsidRPr="00EB6F40">
        <w:rPr>
          <w:rFonts w:ascii="Arial" w:hAnsi="Arial" w:eastAsia="Calibri" w:cs="Arial"/>
          <w:color w:val="000000" w:themeColor="text1"/>
        </w:rPr>
        <w:t xml:space="preserve">Conforme a lo expuesto, el numeral 2.5 del artículo 2.2.1.1.1.5. del Decreto 1082 de 2015 establece una prerrogativa en atención a la cual, las personas jurídicas con menos de tres (3) años de constitución pueden inscribir en el RUP la experiencia adquirida por sus socios, accionistas o constituyentes y, en consecuencia, acreditarla como propia en los procesos de contratación en los que participen o pretendan participar. Lo anterior, con el fin de permitir que las sociedades que no cuentan con la experiencia suficiente para contratar con el </w:t>
      </w:r>
      <w:proofErr w:type="gramStart"/>
      <w:r w:rsidRPr="00EB6F40">
        <w:rPr>
          <w:rFonts w:ascii="Arial" w:hAnsi="Arial" w:eastAsia="Calibri" w:cs="Arial"/>
          <w:color w:val="000000" w:themeColor="text1"/>
        </w:rPr>
        <w:t>Estado,</w:t>
      </w:r>
      <w:proofErr w:type="gramEnd"/>
      <w:r w:rsidRPr="00EB6F40">
        <w:rPr>
          <w:rFonts w:ascii="Arial" w:hAnsi="Arial" w:eastAsia="Calibri" w:cs="Arial"/>
          <w:color w:val="000000" w:themeColor="text1"/>
        </w:rPr>
        <w:t xml:space="preserve"> puedan apoyarse en la experiencia de sus accionistas, socios o constituyentes, para así incentivar la competencia en la contratación estatal y garantizar la pluralidad de oferentes. </w:t>
      </w:r>
    </w:p>
    <w:p w:rsidR="00EB6F40" w:rsidP="00EB6F40" w:rsidRDefault="00EB6F40" w14:paraId="53B37B3A" w14:textId="77777777">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 xml:space="preserve">En ese orden, la transferencia de la experiencia de los accionistas, socios o constituyentes a la persona jurídica sólo podrá realizarse cuando esta cuente con menos de tres (3) años de constitución. </w:t>
      </w:r>
    </w:p>
    <w:p w:rsidR="00EB6F40" w:rsidP="00EB6F40" w:rsidRDefault="00EB6F40" w14:paraId="257E1732" w14:textId="77777777">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 xml:space="preserve">En lo que respecta a la conservación de esta experiencia, debe señalarse que, la sociedad con menos de tres (3) años de constituida que ha registrado la experiencia de sus socios, accionistas y constituyentes en el RUP y lo ha renovado con frecuencia de forma oportuna, tendrá la facultad de continuar utilizando la experiencia inscrita mientras no cesen los efectos del RUP, incluso después de transcurridos los tres (3) años. Por el contrario, si este no se renueva y la persona jurídica supera los tres (3)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00EB6F40" w:rsidP="00EB6F40" w:rsidRDefault="00EB6F40" w14:paraId="2AD6D9C5" w14:textId="4A450ED5">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Finalmente, frente a la consulta planteada acerca de la posibilidad de que si una persona jurídica puede seguir acreditando la experiencia de un socio o accionista que ya no hace parte de la sociedad porque se haya retirado o vendido su parte accionaria después de los tres (3) primeros años, se debe señalar que, el Decreto 1082 de 2015 solo permite que una sociedad acredite la experiencia de quienes tienen la calidad de accionistas, socios o constituyentes durante los primeros tres (3) años de su constitución. Por tanto, si se pierden estas calidades, como sucedería cuando uno de ellos se retira por venta o cesión de su participación, ya no sería posible que la sociedad en uso de la prerrogativa dispuesta en la precitada norma acredite la experiencia aportada por dicha persona. En consecuencia, la persona jurídica debería actualizar la experiencia en el RUP y abstenerse de inscribir la adquirida por el socio que vendió o cedió sus acciones y se retira de la sociedad, actuando así de buena fe en el proceso de contratación.</w:t>
      </w:r>
    </w:p>
    <w:p w:rsidRPr="00EB6F40" w:rsidR="00EB6F40" w:rsidP="00EB6F40" w:rsidRDefault="00EB6F40" w14:paraId="2265AE1D" w14:textId="12BBF1F5">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 xml:space="preserve">Esta interpretación se impone en atención a fin de evitar prácticas corruptas o que atenten contra la transparencia en la contratación estatal. De igual forma, lo anterior se fundamenta como se explicó en líneas atrás, en el carácter personalísimo de la experiencia respecto de la persona que la ha adquirido y que solo en casos excepcionales y por disposición legal o reglamentaria, </w:t>
      </w:r>
      <w:r w:rsidRPr="00EB6F40">
        <w:rPr>
          <w:rFonts w:ascii="Arial" w:hAnsi="Arial" w:eastAsia="Calibri" w:cs="Arial"/>
          <w:color w:val="000000" w:themeColor="text1"/>
        </w:rPr>
        <w:lastRenderedPageBreak/>
        <w:t>como en el caso del numeral 2.5. del artículo 2.2.1.1.1.5.2. del Decreto 1082 de 2015, se presume de otra forma. En ese sentido, si el socio se retira de la sociedad por venta o cesión de su participación accionaria, no puede vender o ceder su experiencia para que el adquirente o cesionario de la participación accionaria la aporte a la sociedad.</w:t>
      </w:r>
    </w:p>
    <w:p w:rsidRPr="0054093B" w:rsidR="0024233C" w:rsidP="0024233C" w:rsidRDefault="0024233C" w14:paraId="5E771884" w14:textId="210729AF">
      <w:pPr>
        <w:spacing w:line="276" w:lineRule="auto"/>
        <w:jc w:val="both"/>
        <w:rPr>
          <w:rFonts w:ascii="Arial" w:hAnsi="Arial" w:eastAsia="Calibri" w:cs="Arial"/>
          <w:lang w:val="es-ES_tradnl"/>
        </w:rPr>
      </w:pPr>
      <w:r w:rsidRPr="0054093B">
        <w:rPr>
          <w:rFonts w:ascii="Arial" w:hAnsi="Arial" w:eastAsia="Calibri" w:cs="Arial"/>
          <w:lang w:val="es-ES_tradnl"/>
        </w:rPr>
        <w:t>Este concepto tiene el alcance previsto en el artículo 28 del Código de Procedimiento Administrativo y de lo Contencioso Administrativo.</w:t>
      </w:r>
    </w:p>
    <w:p w:rsidRPr="005264A0" w:rsidR="0024233C" w:rsidP="0024233C" w:rsidRDefault="0024233C" w14:paraId="19F47598" w14:textId="77777777">
      <w:pPr>
        <w:pStyle w:val="NormalWeb"/>
        <w:spacing w:before="0" w:beforeAutospacing="0" w:after="0" w:afterAutospacing="0" w:line="276" w:lineRule="auto"/>
        <w:jc w:val="both"/>
        <w:rPr>
          <w:rFonts w:ascii="Arial" w:hAnsi="Arial" w:cs="Arial"/>
          <w:sz w:val="22"/>
          <w:szCs w:val="22"/>
          <w:lang w:val="es-ES_tradnl"/>
        </w:rPr>
      </w:pPr>
    </w:p>
    <w:p w:rsidRPr="005264A0" w:rsidR="0024233C" w:rsidP="0024233C" w:rsidRDefault="0024233C" w14:paraId="52500270" w14:textId="77777777">
      <w:pPr>
        <w:pStyle w:val="NormalWeb"/>
        <w:spacing w:before="0" w:beforeAutospacing="0" w:after="0" w:afterAutospacing="0" w:line="276" w:lineRule="auto"/>
        <w:jc w:val="both"/>
        <w:rPr>
          <w:rFonts w:ascii="Arial" w:hAnsi="Arial" w:cs="Arial"/>
          <w:sz w:val="22"/>
          <w:szCs w:val="22"/>
          <w:lang w:val="es-ES_tradnl"/>
        </w:rPr>
      </w:pPr>
      <w:r w:rsidRPr="005264A0">
        <w:rPr>
          <w:rFonts w:ascii="Arial" w:hAnsi="Arial" w:cs="Arial"/>
          <w:sz w:val="22"/>
          <w:szCs w:val="22"/>
          <w:lang w:val="es-ES_tradnl"/>
        </w:rPr>
        <w:t>Atentamente,</w:t>
      </w:r>
    </w:p>
    <w:p w:rsidRPr="005264A0" w:rsidR="0024233C" w:rsidP="0024233C" w:rsidRDefault="0024233C" w14:paraId="627A61B2" w14:textId="77777777">
      <w:pPr>
        <w:jc w:val="center"/>
        <w:rPr>
          <w:rFonts w:ascii="Arial" w:hAnsi="Arial" w:cs="Arial"/>
          <w:lang w:eastAsia="es-CO"/>
        </w:rPr>
      </w:pPr>
    </w:p>
    <w:p w:rsidRPr="005264A0" w:rsidR="0024233C" w:rsidP="0B7DF88A" w:rsidRDefault="0024233C" w14:paraId="0C02CFCB" w14:textId="558CBE4B">
      <w:pPr>
        <w:pStyle w:val="Normal"/>
        <w:jc w:val="center"/>
      </w:pPr>
      <w:r w:rsidR="5BB0B554">
        <w:drawing>
          <wp:inline wp14:editId="206F7AFD" wp14:anchorId="0FFDA71A">
            <wp:extent cx="2781300" cy="1066800"/>
            <wp:effectExtent l="0" t="0" r="0" b="0"/>
            <wp:docPr id="136976032"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256bad4d1c4444fe">
                      <a:extLst>
                        <a:ext xmlns:a="http://schemas.openxmlformats.org/drawingml/2006/main" uri="{28A0092B-C50C-407E-A947-70E740481C1C}">
                          <a14:useLocalDpi val="0"/>
                        </a:ext>
                      </a:extLst>
                    </a:blip>
                    <a:stretch>
                      <a:fillRect/>
                    </a:stretch>
                  </pic:blipFill>
                  <pic:spPr>
                    <a:xfrm>
                      <a:off x="0" y="0"/>
                      <a:ext cx="2781300" cy="1066800"/>
                    </a:xfrm>
                    <a:prstGeom prst="rect">
                      <a:avLst/>
                    </a:prstGeom>
                  </pic:spPr>
                </pic:pic>
              </a:graphicData>
            </a:graphic>
          </wp:inline>
        </w:drawing>
      </w:r>
      <w:r>
        <w:br/>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291"/>
      </w:tblGrid>
      <w:tr w:rsidRPr="005264A0" w:rsidR="0024233C" w:rsidTr="00C87ECD" w14:paraId="12E8CA88" w14:textId="77777777">
        <w:trPr>
          <w:trHeight w:val="315"/>
        </w:trPr>
        <w:tc>
          <w:tcPr>
            <w:tcW w:w="812" w:type="dxa"/>
            <w:vAlign w:val="center"/>
            <w:hideMark/>
          </w:tcPr>
          <w:p w:rsidRPr="005264A0" w:rsidR="0024233C" w:rsidP="00C87ECD" w:rsidRDefault="0024233C" w14:paraId="62EA6853" w14:textId="77777777">
            <w:pPr>
              <w:rPr>
                <w:rFonts w:ascii="Arial" w:hAnsi="Arial" w:cs="Arial"/>
                <w:sz w:val="16"/>
                <w:szCs w:val="16"/>
                <w:lang w:eastAsia="es-ES"/>
              </w:rPr>
            </w:pPr>
            <w:r w:rsidRPr="005264A0">
              <w:rPr>
                <w:rFonts w:ascii="Arial" w:hAnsi="Arial" w:cs="Arial"/>
                <w:sz w:val="16"/>
                <w:szCs w:val="16"/>
                <w:lang w:eastAsia="es-ES"/>
              </w:rPr>
              <w:t>Elaboró:</w:t>
            </w:r>
          </w:p>
        </w:tc>
        <w:tc>
          <w:tcPr>
            <w:tcW w:w="4291" w:type="dxa"/>
            <w:tcBorders>
              <w:top w:val="nil"/>
              <w:left w:val="nil"/>
              <w:bottom w:val="dotted" w:color="7F7F7F" w:themeColor="text1" w:themeTint="80" w:sz="4" w:space="0"/>
              <w:right w:val="nil"/>
            </w:tcBorders>
            <w:vAlign w:val="center"/>
            <w:hideMark/>
          </w:tcPr>
          <w:p w:rsidRPr="005264A0" w:rsidR="0024233C" w:rsidP="00C87ECD" w:rsidRDefault="0024233C" w14:paraId="55B1203A" w14:textId="77777777">
            <w:pPr>
              <w:rPr>
                <w:rFonts w:ascii="Arial" w:hAnsi="Arial" w:cs="Arial"/>
                <w:sz w:val="16"/>
                <w:szCs w:val="16"/>
                <w:lang w:eastAsia="es-ES"/>
              </w:rPr>
            </w:pPr>
            <w:r>
              <w:rPr>
                <w:rFonts w:ascii="Arial" w:hAnsi="Arial" w:cs="Arial"/>
                <w:sz w:val="16"/>
                <w:szCs w:val="16"/>
                <w:lang w:eastAsia="es-ES"/>
              </w:rPr>
              <w:t>Sergio Enrique Caballero Lesmes</w:t>
            </w:r>
          </w:p>
          <w:p w:rsidRPr="005264A0" w:rsidR="0024233C" w:rsidP="00C87ECD" w:rsidRDefault="0024233C" w14:paraId="072E3661" w14:textId="77777777">
            <w:pPr>
              <w:ind w:right="-110"/>
              <w:rPr>
                <w:rFonts w:ascii="Arial" w:hAnsi="Arial" w:cs="Arial"/>
                <w:sz w:val="16"/>
                <w:szCs w:val="16"/>
                <w:lang w:eastAsia="es-ES"/>
              </w:rPr>
            </w:pPr>
            <w:r>
              <w:rPr>
                <w:rFonts w:ascii="Arial" w:hAnsi="Arial" w:cs="Arial"/>
                <w:sz w:val="16"/>
                <w:szCs w:val="16"/>
                <w:lang w:eastAsia="es-ES"/>
              </w:rPr>
              <w:t>Analista T2 - 01</w:t>
            </w:r>
            <w:r w:rsidRPr="005264A0">
              <w:rPr>
                <w:rFonts w:ascii="Arial" w:hAnsi="Arial" w:cs="Arial"/>
                <w:sz w:val="16"/>
                <w:szCs w:val="16"/>
                <w:lang w:eastAsia="es-ES"/>
              </w:rPr>
              <w:t xml:space="preserve"> de la Subdirección de Gestión Contractual</w:t>
            </w:r>
          </w:p>
        </w:tc>
      </w:tr>
      <w:tr w:rsidRPr="005264A0" w:rsidR="0024233C" w:rsidTr="00C87ECD" w14:paraId="0318C767" w14:textId="77777777">
        <w:trPr>
          <w:trHeight w:val="330"/>
        </w:trPr>
        <w:tc>
          <w:tcPr>
            <w:tcW w:w="812" w:type="dxa"/>
            <w:vAlign w:val="center"/>
            <w:hideMark/>
          </w:tcPr>
          <w:p w:rsidRPr="005264A0" w:rsidR="0024233C" w:rsidP="00C87ECD" w:rsidRDefault="0024233C" w14:paraId="07AE8C17" w14:textId="77777777">
            <w:pPr>
              <w:rPr>
                <w:rFonts w:ascii="Arial" w:hAnsi="Arial" w:cs="Arial"/>
                <w:sz w:val="16"/>
                <w:szCs w:val="16"/>
                <w:lang w:eastAsia="es-ES"/>
              </w:rPr>
            </w:pPr>
            <w:r w:rsidRPr="005264A0">
              <w:rPr>
                <w:rFonts w:ascii="Arial" w:hAnsi="Arial" w:cs="Arial"/>
                <w:sz w:val="16"/>
                <w:szCs w:val="16"/>
                <w:lang w:eastAsia="es-ES"/>
              </w:rPr>
              <w:t>Revisó:</w:t>
            </w:r>
          </w:p>
        </w:tc>
        <w:tc>
          <w:tcPr>
            <w:tcW w:w="4291" w:type="dxa"/>
            <w:tcBorders>
              <w:top w:val="dotted" w:color="7F7F7F" w:themeColor="text1" w:themeTint="80" w:sz="4" w:space="0"/>
              <w:left w:val="nil"/>
              <w:bottom w:val="dotted" w:color="7F7F7F" w:themeColor="text1" w:themeTint="80" w:sz="4" w:space="0"/>
              <w:right w:val="nil"/>
            </w:tcBorders>
            <w:vAlign w:val="center"/>
            <w:hideMark/>
          </w:tcPr>
          <w:p w:rsidRPr="005264A0" w:rsidR="0024233C" w:rsidP="00C87ECD" w:rsidRDefault="00EB6F40" w14:paraId="4E41092C" w14:textId="2D9ADFF8">
            <w:pPr>
              <w:rPr>
                <w:rFonts w:ascii="Arial" w:hAnsi="Arial" w:cs="Arial"/>
                <w:sz w:val="16"/>
                <w:szCs w:val="16"/>
                <w:lang w:eastAsia="es-ES"/>
              </w:rPr>
            </w:pPr>
            <w:r>
              <w:rPr>
                <w:rFonts w:ascii="Arial" w:hAnsi="Arial" w:cs="Arial"/>
                <w:sz w:val="16"/>
                <w:szCs w:val="16"/>
                <w:lang w:eastAsia="es-ES"/>
              </w:rPr>
              <w:t>Diana Lucía Saavedra</w:t>
            </w:r>
          </w:p>
          <w:p w:rsidRPr="005264A0" w:rsidR="0024233C" w:rsidP="00C87ECD" w:rsidRDefault="00EB6F40" w14:paraId="3009CD61" w14:textId="260C51D8">
            <w:pPr>
              <w:rPr>
                <w:rFonts w:ascii="Arial" w:hAnsi="Arial" w:cs="Arial"/>
                <w:sz w:val="16"/>
                <w:szCs w:val="16"/>
                <w:lang w:eastAsia="es-ES"/>
              </w:rPr>
            </w:pPr>
            <w:r>
              <w:rPr>
                <w:rFonts w:ascii="Arial" w:hAnsi="Arial" w:cs="Arial"/>
                <w:sz w:val="16"/>
                <w:szCs w:val="16"/>
                <w:lang w:eastAsia="es-ES"/>
              </w:rPr>
              <w:t>Contratista</w:t>
            </w:r>
            <w:r w:rsidR="0024233C">
              <w:rPr>
                <w:rFonts w:ascii="Arial" w:hAnsi="Arial" w:cs="Arial"/>
                <w:sz w:val="16"/>
                <w:szCs w:val="16"/>
                <w:lang w:eastAsia="es-ES"/>
              </w:rPr>
              <w:t xml:space="preserve"> </w:t>
            </w:r>
            <w:r w:rsidRPr="005264A0" w:rsidR="0024233C">
              <w:rPr>
                <w:rFonts w:ascii="Arial" w:hAnsi="Arial" w:cs="Arial"/>
                <w:sz w:val="16"/>
                <w:szCs w:val="16"/>
                <w:lang w:eastAsia="es-ES"/>
              </w:rPr>
              <w:t>de la Subdirección de Gestión Contractual</w:t>
            </w:r>
          </w:p>
        </w:tc>
      </w:tr>
      <w:tr w:rsidRPr="005264A0" w:rsidR="0024233C" w:rsidTr="00C87ECD" w14:paraId="72B64D7A" w14:textId="77777777">
        <w:trPr>
          <w:trHeight w:val="300"/>
        </w:trPr>
        <w:tc>
          <w:tcPr>
            <w:tcW w:w="812" w:type="dxa"/>
            <w:vAlign w:val="center"/>
            <w:hideMark/>
          </w:tcPr>
          <w:p w:rsidRPr="005264A0" w:rsidR="0024233C" w:rsidP="00C87ECD" w:rsidRDefault="0024233C" w14:paraId="68A660A1" w14:textId="77777777">
            <w:pPr>
              <w:rPr>
                <w:rFonts w:ascii="Arial" w:hAnsi="Arial" w:cs="Arial"/>
                <w:sz w:val="16"/>
                <w:szCs w:val="16"/>
                <w:lang w:eastAsia="es-ES"/>
              </w:rPr>
            </w:pPr>
            <w:r w:rsidRPr="005264A0">
              <w:rPr>
                <w:rFonts w:ascii="Arial" w:hAnsi="Arial" w:cs="Arial"/>
                <w:sz w:val="16"/>
                <w:szCs w:val="16"/>
                <w:lang w:eastAsia="es-ES"/>
              </w:rPr>
              <w:t>Aprobó:</w:t>
            </w:r>
          </w:p>
        </w:tc>
        <w:tc>
          <w:tcPr>
            <w:tcW w:w="4291" w:type="dxa"/>
            <w:tcBorders>
              <w:top w:val="dotted" w:color="7F7F7F" w:themeColor="text1" w:themeTint="80" w:sz="4" w:space="0"/>
              <w:left w:val="nil"/>
              <w:bottom w:val="dotted" w:color="7F7F7F" w:themeColor="text1" w:themeTint="80" w:sz="4" w:space="0"/>
              <w:right w:val="nil"/>
            </w:tcBorders>
            <w:vAlign w:val="center"/>
            <w:hideMark/>
          </w:tcPr>
          <w:p w:rsidRPr="00A50458" w:rsidR="0024233C" w:rsidP="00C87ECD" w:rsidRDefault="0024233C" w14:paraId="51D5F2C1" w14:textId="77777777">
            <w:pPr>
              <w:rPr>
                <w:rFonts w:ascii="Arial" w:hAnsi="Arial" w:cs="Arial"/>
                <w:sz w:val="16"/>
                <w:szCs w:val="16"/>
                <w:lang w:eastAsia="es-ES"/>
              </w:rPr>
            </w:pPr>
            <w:r w:rsidRPr="00A50458">
              <w:rPr>
                <w:rFonts w:ascii="Arial" w:hAnsi="Arial" w:cs="Arial"/>
                <w:sz w:val="16"/>
                <w:szCs w:val="16"/>
                <w:lang w:eastAsia="es-ES"/>
              </w:rPr>
              <w:t>Nohelia del Carmen Zawady Palacio</w:t>
            </w:r>
          </w:p>
          <w:p w:rsidRPr="005264A0" w:rsidR="0024233C" w:rsidP="00C87ECD" w:rsidRDefault="0024233C" w14:paraId="17CEC708" w14:textId="77777777">
            <w:pPr>
              <w:rPr>
                <w:rFonts w:ascii="Arial" w:hAnsi="Arial" w:cs="Arial"/>
                <w:sz w:val="16"/>
                <w:szCs w:val="16"/>
                <w:lang w:eastAsia="es-ES"/>
              </w:rPr>
            </w:pPr>
            <w:r w:rsidRPr="00A50458">
              <w:rPr>
                <w:rFonts w:ascii="Arial" w:hAnsi="Arial" w:cs="Arial"/>
                <w:sz w:val="16"/>
                <w:szCs w:val="16"/>
                <w:lang w:eastAsia="es-ES"/>
              </w:rPr>
              <w:t>Subdirectora de Gestión Contractual ANCP - CCE</w:t>
            </w:r>
          </w:p>
        </w:tc>
      </w:tr>
      <w:bookmarkEnd w:id="3"/>
    </w:tbl>
    <w:p w:rsidRPr="005264A0" w:rsidR="0024233C" w:rsidP="0024233C" w:rsidRDefault="0024233C" w14:paraId="56C73DC6" w14:textId="77777777">
      <w:pPr>
        <w:jc w:val="both"/>
        <w:rPr>
          <w:rFonts w:ascii="Arial" w:hAnsi="Arial" w:cs="Arial"/>
          <w:lang w:val="es-ES_tradnl"/>
        </w:rPr>
      </w:pPr>
    </w:p>
    <w:p w:rsidR="0024233C" w:rsidP="0024233C" w:rsidRDefault="0024233C" w14:paraId="3499C9E5" w14:textId="77777777"/>
    <w:p w:rsidR="0024233C" w:rsidP="0024233C" w:rsidRDefault="0024233C" w14:paraId="0AE31E6D"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4612F2F8" w14:textId="77777777">
      <w:pPr>
        <w:widowControl w:val="0"/>
        <w:autoSpaceDE w:val="0"/>
        <w:autoSpaceDN w:val="0"/>
        <w:spacing w:after="0" w:line="276" w:lineRule="auto"/>
        <w:rPr>
          <w:rFonts w:ascii="Arial" w:hAnsi="Arial" w:eastAsia="Times New Roman" w:cs="Arial"/>
          <w:lang w:val="es-ES" w:eastAsia="es-ES"/>
        </w:rPr>
      </w:pPr>
    </w:p>
    <w:p w:rsidR="0024233C" w:rsidP="0024233C" w:rsidRDefault="0024233C" w14:paraId="5FFFF6D9" w14:textId="77777777">
      <w:pPr>
        <w:widowControl w:val="0"/>
        <w:autoSpaceDE w:val="0"/>
        <w:autoSpaceDN w:val="0"/>
        <w:spacing w:after="0" w:line="276" w:lineRule="auto"/>
        <w:rPr>
          <w:rFonts w:ascii="Arial" w:hAnsi="Arial" w:eastAsia="Times New Roman" w:cs="Arial"/>
          <w:lang w:val="es-ES" w:eastAsia="es-ES"/>
        </w:rPr>
      </w:pPr>
    </w:p>
    <w:bookmarkEnd w:id="0"/>
    <w:p w:rsidR="0024233C" w:rsidP="0024233C" w:rsidRDefault="0024233C" w14:paraId="79ADCC1A" w14:textId="77777777">
      <w:pPr>
        <w:widowControl w:val="0"/>
        <w:autoSpaceDE w:val="0"/>
        <w:autoSpaceDN w:val="0"/>
        <w:spacing w:after="0" w:line="276" w:lineRule="auto"/>
        <w:rPr>
          <w:rFonts w:ascii="Arial" w:hAnsi="Arial" w:eastAsia="Times New Roman" w:cs="Arial"/>
          <w:lang w:val="es-ES" w:eastAsia="es-ES"/>
        </w:rPr>
      </w:pPr>
    </w:p>
    <w:p w:rsidR="0024233C" w:rsidRDefault="0024233C" w14:paraId="3B253224" w14:textId="77777777"/>
    <w:sectPr w:rsidR="0024233C" w:rsidSect="0039439C">
      <w:headerReference w:type="default" r:id="rId11"/>
      <w:footerReference w:type="default" r:id="rId12"/>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3C1" w:rsidP="0024233C" w:rsidRDefault="006C13C1" w14:paraId="23F43AAC" w14:textId="77777777">
      <w:pPr>
        <w:spacing w:after="0" w:line="240" w:lineRule="auto"/>
      </w:pPr>
      <w:r>
        <w:separator/>
      </w:r>
    </w:p>
  </w:endnote>
  <w:endnote w:type="continuationSeparator" w:id="0">
    <w:p w:rsidR="006C13C1" w:rsidP="0024233C" w:rsidRDefault="006C13C1" w14:paraId="0058AF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anist Ligh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000000" w14:paraId="1DDBEABD" w14:textId="77777777">
    <w:pPr>
      <w:pStyle w:val="Piedepgina"/>
    </w:pPr>
    <w:r>
      <w:rPr>
        <w:noProof/>
      </w:rPr>
      <w:drawing>
        <wp:inline distT="0" distB="0" distL="0" distR="0" wp14:anchorId="542D6F7F" wp14:editId="6E1B423C">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11E6BE7B"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000000" w14:paraId="18C90E82"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000000" w14:paraId="743E4D64"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000000" w14:paraId="152BF010"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000000" w14:paraId="51A55DAB"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000000" w14:paraId="50074A61"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000000" w14:paraId="42BD3C3C" w14:textId="77777777">
          <w:pPr>
            <w:pStyle w:val="Piedepgina"/>
            <w:jc w:val="center"/>
            <w:rPr>
              <w:rFonts w:ascii="Geomanist Light" w:hAnsi="Geomanist Light"/>
              <w:sz w:val="18"/>
              <w:szCs w:val="18"/>
            </w:rPr>
          </w:pPr>
          <w:r>
            <w:rPr>
              <w:rFonts w:ascii="Geomanist Light" w:hAnsi="Geomanist Light"/>
              <w:sz w:val="18"/>
              <w:szCs w:val="18"/>
            </w:rPr>
            <w:t>2</w:t>
          </w:r>
          <w:r>
            <w:rPr>
              <w:rFonts w:ascii="Geomanist Light" w:hAnsi="Geomanist Light"/>
              <w:sz w:val="18"/>
              <w:szCs w:val="18"/>
            </w:rPr>
            <w:t>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000000" w14:paraId="70BCB132"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 xml:space="preserve">PAGE  \* Arabic  \* </w:instrText>
          </w:r>
          <w:r w:rsidRPr="00080DA3">
            <w:rPr>
              <w:rFonts w:ascii="Geomanist Light" w:hAnsi="Geomanist Light"/>
              <w:b/>
              <w:bCs/>
              <w:sz w:val="18"/>
              <w:szCs w:val="18"/>
            </w:rPr>
            <w:instrText>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000000" w14:paraId="5C263D23"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3C1" w:rsidP="0024233C" w:rsidRDefault="006C13C1" w14:paraId="0A025B13" w14:textId="77777777">
      <w:pPr>
        <w:spacing w:after="0" w:line="240" w:lineRule="auto"/>
      </w:pPr>
      <w:r>
        <w:separator/>
      </w:r>
    </w:p>
  </w:footnote>
  <w:footnote w:type="continuationSeparator" w:id="0">
    <w:p w:rsidR="006C13C1" w:rsidP="0024233C" w:rsidRDefault="006C13C1" w14:paraId="3C77CB13" w14:textId="77777777">
      <w:pPr>
        <w:spacing w:after="0" w:line="240" w:lineRule="auto"/>
      </w:pPr>
      <w:r>
        <w:continuationSeparator/>
      </w:r>
    </w:p>
  </w:footnote>
  <w:footnote w:id="1">
    <w:p w:rsidRPr="00F2390A" w:rsidR="001F769E" w:rsidP="00F2390A" w:rsidRDefault="001F769E" w14:paraId="2C1292D8" w14:textId="04AF2EE9">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del referido artículo establece que le corresponde a esta entidad: «[a]</w:t>
      </w:r>
      <w:proofErr w:type="spellStart"/>
      <w:r w:rsidRPr="00F2390A">
        <w:rPr>
          <w:rFonts w:ascii="Arial" w:hAnsi="Arial" w:cs="Arial"/>
          <w:sz w:val="14"/>
          <w:szCs w:val="14"/>
        </w:rPr>
        <w:t>bsolver</w:t>
      </w:r>
      <w:proofErr w:type="spellEnd"/>
      <w:r w:rsidRPr="00F2390A">
        <w:rPr>
          <w:rFonts w:ascii="Arial" w:hAnsi="Arial" w:cs="Arial"/>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F2390A">
        <w:rPr>
          <w:rFonts w:ascii="Arial" w:hAnsi="Arial" w:cs="Arial"/>
          <w:sz w:val="14"/>
          <w:szCs w:val="14"/>
        </w:rPr>
        <w:t>bsolver</w:t>
      </w:r>
      <w:proofErr w:type="spellEnd"/>
      <w:r w:rsidRPr="00F2390A">
        <w:rPr>
          <w:rFonts w:ascii="Arial" w:hAnsi="Arial" w:cs="Arial"/>
          <w:sz w:val="14"/>
          <w:szCs w:val="14"/>
        </w:rPr>
        <w:t xml:space="preserve"> consultas sobre la aplicación de normas de carácter general».</w:t>
      </w:r>
    </w:p>
    <w:p w:rsidRPr="00F2390A" w:rsidR="001F769E" w:rsidP="00F2390A" w:rsidRDefault="001F769E" w14:paraId="4FA7638E" w14:textId="77777777">
      <w:pPr>
        <w:pStyle w:val="Textonotapie"/>
        <w:ind w:firstLine="708"/>
        <w:jc w:val="both"/>
        <w:rPr>
          <w:rFonts w:ascii="Arial" w:hAnsi="Arial" w:cs="Arial"/>
          <w:sz w:val="14"/>
          <w:szCs w:val="14"/>
          <w:lang w:val="es-CO"/>
        </w:rPr>
      </w:pPr>
    </w:p>
  </w:footnote>
  <w:footnote w:id="2">
    <w:p w:rsidRPr="00F2390A" w:rsidR="00564997" w:rsidP="00F2390A" w:rsidRDefault="00564997" w14:paraId="3384D832" w14:textId="77777777">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rsidRPr="00F2390A" w:rsidR="00564997" w:rsidP="00F2390A" w:rsidRDefault="00564997" w14:paraId="46EF013E" w14:textId="6563DDF5">
      <w:pPr>
        <w:pStyle w:val="Textonotapie"/>
        <w:ind w:firstLine="708"/>
        <w:jc w:val="both"/>
        <w:rPr>
          <w:rFonts w:ascii="Arial" w:hAnsi="Arial" w:cs="Arial"/>
          <w:sz w:val="14"/>
          <w:szCs w:val="14"/>
        </w:rPr>
      </w:pPr>
      <w:r w:rsidRPr="00F2390A">
        <w:rPr>
          <w:rFonts w:ascii="Arial" w:hAnsi="Arial" w:cs="Arial"/>
          <w:sz w:val="14"/>
          <w:szCs w:val="14"/>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F2390A" w:rsidR="00564997" w:rsidP="00F2390A" w:rsidRDefault="00564997" w14:paraId="5152C083" w14:textId="77777777">
      <w:pPr>
        <w:pStyle w:val="Textonotapie"/>
        <w:ind w:firstLine="708"/>
        <w:jc w:val="both"/>
        <w:rPr>
          <w:rFonts w:ascii="Arial" w:hAnsi="Arial" w:cs="Arial"/>
          <w:sz w:val="14"/>
          <w:szCs w:val="14"/>
          <w:lang w:val="es-CO"/>
        </w:rPr>
      </w:pPr>
    </w:p>
  </w:footnote>
  <w:footnote w:id="3">
    <w:p w:rsidRPr="00F2390A" w:rsidR="00E760A1" w:rsidP="00F2390A" w:rsidRDefault="00E760A1" w14:paraId="4A544B65" w14:textId="77777777">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 </w:t>
      </w:r>
    </w:p>
    <w:p w:rsidRPr="00F2390A" w:rsidR="00E760A1" w:rsidP="00F2390A" w:rsidRDefault="00E760A1" w14:paraId="4D64274D" w14:textId="1EDD40A1">
      <w:pPr>
        <w:pStyle w:val="Textonotapie"/>
        <w:jc w:val="both"/>
        <w:rPr>
          <w:rFonts w:ascii="Arial" w:hAnsi="Arial" w:cs="Arial"/>
          <w:sz w:val="14"/>
          <w:szCs w:val="14"/>
        </w:rPr>
      </w:pPr>
    </w:p>
  </w:footnote>
  <w:footnote w:id="4">
    <w:p w:rsidRPr="00F2390A" w:rsidR="00E760A1" w:rsidP="00F2390A" w:rsidRDefault="00E760A1" w14:paraId="4A2D3868" w14:textId="4346EEE6">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p w:rsidRPr="00F2390A" w:rsidR="00F21C34" w:rsidP="00F2390A" w:rsidRDefault="00F21C34" w14:paraId="1347C0CE" w14:textId="77777777">
      <w:pPr>
        <w:pStyle w:val="Textonotapie"/>
        <w:ind w:firstLine="708"/>
        <w:jc w:val="both"/>
        <w:rPr>
          <w:rFonts w:ascii="Arial" w:hAnsi="Arial" w:cs="Arial"/>
          <w:sz w:val="14"/>
          <w:szCs w:val="14"/>
          <w:lang w:val="es-CO"/>
        </w:rPr>
      </w:pPr>
    </w:p>
  </w:footnote>
  <w:footnote w:id="5">
    <w:p w:rsidRPr="00F2390A" w:rsidR="00E760A1" w:rsidP="00F2390A" w:rsidRDefault="00E760A1" w14:paraId="2746F41B" w14:textId="2E62C29D">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F2390A" w:rsidR="00F21C34" w:rsidP="00F2390A" w:rsidRDefault="00F21C34" w14:paraId="1DD0C1A0" w14:textId="77777777">
      <w:pPr>
        <w:pStyle w:val="Textonotapie"/>
        <w:ind w:firstLine="708"/>
        <w:jc w:val="both"/>
        <w:rPr>
          <w:rFonts w:ascii="Arial" w:hAnsi="Arial" w:cs="Arial"/>
          <w:sz w:val="14"/>
          <w:szCs w:val="14"/>
          <w:lang w:val="es-CO"/>
        </w:rPr>
      </w:pPr>
    </w:p>
  </w:footnote>
  <w:footnote w:id="6">
    <w:p w:rsidRPr="00F2390A" w:rsidR="00F21C34" w:rsidP="00F2390A" w:rsidRDefault="00F21C34" w14:paraId="4F41F485" w14:textId="77777777">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rsidRPr="00F2390A" w:rsidR="00F21C34" w:rsidP="00F2390A" w:rsidRDefault="00F21C34" w14:paraId="304E7EF7" w14:textId="77777777">
      <w:pPr>
        <w:pStyle w:val="Textonotapie"/>
        <w:ind w:firstLine="708"/>
        <w:jc w:val="both"/>
        <w:rPr>
          <w:rFonts w:ascii="Arial" w:hAnsi="Arial" w:cs="Arial"/>
          <w:sz w:val="14"/>
          <w:szCs w:val="14"/>
        </w:rPr>
      </w:pPr>
      <w:r w:rsidRPr="00F2390A">
        <w:rPr>
          <w:rFonts w:ascii="Arial" w:hAnsi="Arial" w:cs="Arial"/>
          <w:sz w:val="14"/>
          <w:szCs w:val="14"/>
        </w:rPr>
        <w:t xml:space="preserve">1. Si es una persona natural: </w:t>
      </w:r>
    </w:p>
    <w:p w:rsidRPr="00F2390A" w:rsidR="00F21C34" w:rsidP="00F2390A" w:rsidRDefault="00F21C34" w14:paraId="4E698BBE" w14:textId="77777777">
      <w:pPr>
        <w:pStyle w:val="Textonotapie"/>
        <w:ind w:firstLine="708"/>
        <w:jc w:val="both"/>
        <w:rPr>
          <w:rFonts w:ascii="Arial" w:hAnsi="Arial" w:cs="Arial"/>
          <w:sz w:val="14"/>
          <w:szCs w:val="14"/>
        </w:rPr>
      </w:pPr>
      <w:r w:rsidRPr="00F2390A">
        <w:rPr>
          <w:rFonts w:ascii="Arial" w:hAnsi="Arial" w:cs="Arial"/>
          <w:sz w:val="14"/>
          <w:szCs w:val="14"/>
        </w:rPr>
        <w:t xml:space="preserve">1.1. Bienes, obras y servicios que ofrecerá a las Entidades Estatales, identificados con el Clasificador de Bienes y Servicios en el tercer nivel. </w:t>
      </w:r>
    </w:p>
    <w:p w:rsidRPr="00F2390A" w:rsidR="00F21C34" w:rsidP="00F2390A" w:rsidRDefault="00F21C34" w14:paraId="4222D2D6" w14:textId="77777777">
      <w:pPr>
        <w:pStyle w:val="Textonotapie"/>
        <w:ind w:firstLine="708"/>
        <w:jc w:val="both"/>
        <w:rPr>
          <w:rFonts w:ascii="Arial" w:hAnsi="Arial" w:cs="Arial"/>
          <w:sz w:val="14"/>
          <w:szCs w:val="14"/>
        </w:rPr>
      </w:pPr>
      <w:r w:rsidRPr="00F2390A">
        <w:rPr>
          <w:rFonts w:ascii="Arial" w:hAnsi="Arial" w:cs="Arial"/>
          <w:sz w:val="14"/>
          <w:szCs w:val="14"/>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F2390A" w:rsidR="00F21C34" w:rsidP="00F2390A" w:rsidRDefault="00F21C34" w14:paraId="5D966859" w14:textId="4CFF3B46">
      <w:pPr>
        <w:pStyle w:val="Textonotapie"/>
        <w:jc w:val="both"/>
        <w:rPr>
          <w:rFonts w:ascii="Arial" w:hAnsi="Arial" w:cs="Arial"/>
          <w:sz w:val="14"/>
          <w:szCs w:val="14"/>
        </w:rPr>
      </w:pPr>
    </w:p>
  </w:footnote>
  <w:footnote w:id="7">
    <w:p w:rsidRPr="00F2390A" w:rsidR="00F21C34" w:rsidP="00F2390A" w:rsidRDefault="00F21C34" w14:paraId="5FF52BC8" w14:textId="7E2D1045">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El «Manual para determinar y verificar requisitos habilitantes en los procesos de contratación», expedido por esta Agencia puede ser consultado en el siguiente enlace: </w:t>
      </w:r>
      <w:hyperlink w:history="1" r:id="rId1">
        <w:r w:rsidRPr="00F2390A">
          <w:rPr>
            <w:rStyle w:val="Hipervnculo"/>
            <w:rFonts w:ascii="Arial" w:hAnsi="Arial" w:cs="Arial"/>
            <w:sz w:val="14"/>
            <w:szCs w:val="14"/>
          </w:rPr>
          <w:t>https://colombiacompra.gov.co/sites/cce_public/files/cce_documents/cce_manual_requisitos_habilitantes.pdf</w:t>
        </w:r>
      </w:hyperlink>
      <w:r w:rsidRPr="00F2390A">
        <w:rPr>
          <w:rFonts w:ascii="Arial" w:hAnsi="Arial" w:cs="Arial"/>
          <w:sz w:val="14"/>
          <w:szCs w:val="14"/>
        </w:rPr>
        <w:t xml:space="preserve">  </w:t>
      </w:r>
    </w:p>
    <w:p w:rsidRPr="00F2390A" w:rsidR="00F21C34" w:rsidP="00F2390A" w:rsidRDefault="00F21C34" w14:paraId="21D61EA7" w14:textId="77777777">
      <w:pPr>
        <w:pStyle w:val="Textonotapie"/>
        <w:ind w:firstLine="708"/>
        <w:jc w:val="both"/>
        <w:rPr>
          <w:rFonts w:ascii="Arial" w:hAnsi="Arial" w:cs="Arial"/>
          <w:sz w:val="14"/>
          <w:szCs w:val="14"/>
          <w:lang w:val="es-CO"/>
        </w:rPr>
      </w:pPr>
    </w:p>
  </w:footnote>
  <w:footnote w:id="8">
    <w:p w:rsidRPr="00F2390A" w:rsidR="00F21C34" w:rsidP="00F2390A" w:rsidRDefault="00F21C34" w14:paraId="6C0EF611" w14:textId="77777777">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Agencia Nacional de Contratación Pública -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 </w:t>
      </w:r>
    </w:p>
    <w:p w:rsidRPr="00F2390A" w:rsidR="00F21C34" w:rsidP="00F2390A" w:rsidRDefault="00F21C34" w14:paraId="1502CD75" w14:textId="77777777">
      <w:pPr>
        <w:pStyle w:val="Textonotapie"/>
        <w:ind w:firstLine="708"/>
        <w:jc w:val="both"/>
        <w:rPr>
          <w:rFonts w:ascii="Arial" w:hAnsi="Arial" w:cs="Arial"/>
          <w:sz w:val="14"/>
          <w:szCs w:val="14"/>
        </w:rPr>
      </w:pPr>
      <w:r w:rsidRPr="00F2390A">
        <w:rPr>
          <w:rFonts w:ascii="Arial" w:hAnsi="Arial" w:cs="Arial"/>
          <w:sz w:val="14"/>
          <w:szCs w:val="14"/>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 </w:t>
      </w:r>
    </w:p>
    <w:p w:rsidRPr="00F2390A" w:rsidR="00F21C34" w:rsidP="00F2390A" w:rsidRDefault="00F21C34" w14:paraId="2790CEE8" w14:textId="77777777">
      <w:pPr>
        <w:pStyle w:val="Textonotapie"/>
        <w:ind w:firstLine="708"/>
        <w:jc w:val="both"/>
        <w:rPr>
          <w:rFonts w:ascii="Arial" w:hAnsi="Arial" w:cs="Arial"/>
          <w:sz w:val="14"/>
          <w:szCs w:val="14"/>
        </w:rPr>
      </w:pPr>
      <w:r w:rsidRPr="00F2390A">
        <w:rPr>
          <w:rFonts w:ascii="Arial" w:hAnsi="Arial" w:cs="Arial"/>
          <w:sz w:val="14"/>
          <w:szCs w:val="14"/>
        </w:rPr>
        <w:t xml:space="preserve">[...] </w:t>
      </w:r>
    </w:p>
    <w:p w:rsidRPr="00F2390A" w:rsidR="00F21C34" w:rsidP="00F2390A" w:rsidRDefault="00F21C34" w14:paraId="795E661B" w14:textId="77777777">
      <w:pPr>
        <w:pStyle w:val="Textonotapie"/>
        <w:ind w:firstLine="708"/>
        <w:jc w:val="both"/>
        <w:rPr>
          <w:rFonts w:ascii="Arial" w:hAnsi="Arial" w:cs="Arial"/>
          <w:sz w:val="14"/>
          <w:szCs w:val="14"/>
        </w:rPr>
      </w:pPr>
      <w:r w:rsidRPr="00F2390A">
        <w:rPr>
          <w:rFonts w:ascii="Arial" w:hAnsi="Arial" w:cs="Arial"/>
          <w:sz w:val="14"/>
          <w:szCs w:val="14"/>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F2390A" w:rsidR="00F21C34" w:rsidP="00F2390A" w:rsidRDefault="00F21C34" w14:paraId="3580131E" w14:textId="77777777">
      <w:pPr>
        <w:pStyle w:val="Textonotapie"/>
        <w:ind w:firstLine="708"/>
        <w:jc w:val="both"/>
        <w:rPr>
          <w:rFonts w:ascii="Arial" w:hAnsi="Arial" w:cs="Arial"/>
          <w:sz w:val="14"/>
          <w:szCs w:val="14"/>
        </w:rPr>
      </w:pPr>
      <w:r w:rsidRPr="00F2390A">
        <w:rPr>
          <w:rFonts w:ascii="Arial" w:hAnsi="Arial" w:cs="Arial"/>
          <w:sz w:val="14"/>
          <w:szCs w:val="14"/>
        </w:rPr>
        <w:t xml:space="preserve">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 </w:t>
      </w:r>
    </w:p>
    <w:p w:rsidRPr="00F2390A" w:rsidR="00F21C34" w:rsidP="00F2390A" w:rsidRDefault="00F21C34" w14:paraId="0D6A42BD" w14:textId="77777777">
      <w:pPr>
        <w:pStyle w:val="Textonotapie"/>
        <w:ind w:firstLine="708"/>
        <w:jc w:val="both"/>
        <w:rPr>
          <w:rFonts w:ascii="Arial" w:hAnsi="Arial" w:cs="Arial"/>
          <w:sz w:val="14"/>
          <w:szCs w:val="14"/>
        </w:rPr>
      </w:pPr>
      <w:r w:rsidRPr="00F2390A">
        <w:rPr>
          <w:rFonts w:ascii="Arial" w:hAnsi="Arial" w:cs="Arial"/>
          <w:sz w:val="14"/>
          <w:szCs w:val="14"/>
        </w:rPr>
        <w:t>[...]».</w:t>
      </w:r>
    </w:p>
    <w:p w:rsidRPr="00F2390A" w:rsidR="00F21C34" w:rsidP="00F2390A" w:rsidRDefault="00F21C34" w14:paraId="3D8EF59E" w14:textId="408F0229">
      <w:pPr>
        <w:pStyle w:val="Textonotapie"/>
        <w:jc w:val="both"/>
        <w:rPr>
          <w:rFonts w:ascii="Arial" w:hAnsi="Arial" w:cs="Arial"/>
          <w:sz w:val="14"/>
          <w:szCs w:val="14"/>
          <w:lang w:val="es-CO"/>
        </w:rPr>
      </w:pPr>
    </w:p>
  </w:footnote>
  <w:footnote w:id="9">
    <w:p w:rsidRPr="00F2390A" w:rsidR="00F21C34" w:rsidP="00F2390A" w:rsidRDefault="00F21C34" w14:paraId="3E3B1B2D" w14:textId="5FF7C426">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Esta conclusión cambió respecto del concepto C – 002 del 20 de febrero de 2020, para adecuarla a un mejor entendimiento de las normas sobre la experiencia</w:t>
      </w:r>
      <w:r w:rsidRPr="00F2390A">
        <w:rPr>
          <w:rFonts w:ascii="Arial" w:hAnsi="Arial" w:cs="Arial"/>
          <w:sz w:val="14"/>
          <w:szCs w:val="14"/>
        </w:rPr>
        <w:t>.</w:t>
      </w:r>
    </w:p>
    <w:p w:rsidRPr="00F2390A" w:rsidR="00F21C34" w:rsidP="00F2390A" w:rsidRDefault="00F21C34" w14:paraId="3F2CD825" w14:textId="77777777">
      <w:pPr>
        <w:pStyle w:val="Textonotapie"/>
        <w:ind w:firstLine="708"/>
        <w:jc w:val="both"/>
        <w:rPr>
          <w:rFonts w:ascii="Arial" w:hAnsi="Arial" w:cs="Arial"/>
          <w:sz w:val="14"/>
          <w:szCs w:val="14"/>
          <w:lang w:val="es-CO"/>
        </w:rPr>
      </w:pPr>
    </w:p>
  </w:footnote>
  <w:footnote w:id="10">
    <w:p w:rsidRPr="00F2390A" w:rsidR="00F21C34" w:rsidP="00F2390A" w:rsidRDefault="00F21C34" w14:paraId="683D434F" w14:textId="4ADB6B03">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Artículo 6 de la Ley 1150 de 2007: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rsidRPr="00F2390A" w:rsidR="00F21C34" w:rsidP="00F2390A" w:rsidRDefault="00F21C34" w14:paraId="5EA52C9A" w14:textId="77777777">
      <w:pPr>
        <w:pStyle w:val="Textonotapie"/>
        <w:ind w:firstLine="708"/>
        <w:jc w:val="both"/>
        <w:rPr>
          <w:rFonts w:ascii="Arial" w:hAnsi="Arial" w:cs="Arial"/>
          <w:sz w:val="14"/>
          <w:szCs w:val="14"/>
          <w:lang w:val="es-CO"/>
        </w:rPr>
      </w:pPr>
    </w:p>
  </w:footnote>
  <w:footnote w:id="11">
    <w:p w:rsidRPr="00F2390A" w:rsidR="00F21C34" w:rsidP="00F2390A" w:rsidRDefault="00F21C34" w14:paraId="47F8E695" w14:textId="66EF3FF3">
      <w:pPr>
        <w:pStyle w:val="Textonotapie"/>
        <w:ind w:firstLine="708"/>
        <w:jc w:val="both"/>
        <w:rPr>
          <w:rFonts w:ascii="Arial" w:hAnsi="Arial" w:cs="Arial"/>
          <w:sz w:val="14"/>
          <w:szCs w:val="14"/>
          <w:lang w:val="es-CO"/>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Corte Constitucional. Sentencia C - 259 del 11 de marzo 2008. M.P. Jaime Córdoba Triviño.</w:t>
      </w:r>
    </w:p>
  </w:footnote>
  <w:footnote w:id="12">
    <w:p w:rsidRPr="00F2390A" w:rsidR="005F1985" w:rsidP="00F2390A" w:rsidRDefault="005F1985" w14:paraId="455BCC53" w14:textId="77777777">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rsidRPr="00F2390A" w:rsidR="005F1985" w:rsidP="00F2390A" w:rsidRDefault="005F1985" w14:paraId="24B37E41" w14:textId="77777777">
      <w:pPr>
        <w:pStyle w:val="Textonotapie"/>
        <w:ind w:firstLine="708"/>
        <w:jc w:val="both"/>
        <w:rPr>
          <w:rFonts w:ascii="Arial" w:hAnsi="Arial" w:cs="Arial"/>
          <w:sz w:val="14"/>
          <w:szCs w:val="14"/>
        </w:rPr>
      </w:pPr>
      <w:r w:rsidRPr="00F2390A">
        <w:rPr>
          <w:rFonts w:ascii="Arial" w:hAnsi="Arial" w:cs="Arial"/>
          <w:sz w:val="14"/>
          <w:szCs w:val="14"/>
        </w:rPr>
        <w:t xml:space="preserve">[…] </w:t>
      </w:r>
    </w:p>
    <w:p w:rsidRPr="00F2390A" w:rsidR="005F1985" w:rsidP="00F2390A" w:rsidRDefault="005F1985" w14:paraId="30C21537" w14:textId="71D6D46A">
      <w:pPr>
        <w:pStyle w:val="Textonotapie"/>
        <w:ind w:firstLine="708"/>
        <w:jc w:val="both"/>
        <w:rPr>
          <w:rFonts w:ascii="Arial" w:hAnsi="Arial" w:cs="Arial"/>
          <w:sz w:val="14"/>
          <w:szCs w:val="14"/>
        </w:rPr>
      </w:pPr>
      <w:r w:rsidRPr="00F2390A">
        <w:rPr>
          <w:rFonts w:ascii="Arial" w:hAnsi="Arial" w:cs="Arial"/>
          <w:sz w:val="14"/>
          <w:szCs w:val="14"/>
        </w:rPr>
        <w:t>»2.1. Bienes, obras y servicios que ofrecerá a las Entidades Estatales, identificados con el Clasificador de Bienes y Servicios en el tercer nivel».</w:t>
      </w:r>
    </w:p>
    <w:p w:rsidRPr="00F2390A" w:rsidR="005F1985" w:rsidP="00F2390A" w:rsidRDefault="005F1985" w14:paraId="599FC7FD" w14:textId="77777777">
      <w:pPr>
        <w:pStyle w:val="Textonotapie"/>
        <w:ind w:firstLine="708"/>
        <w:jc w:val="both"/>
        <w:rPr>
          <w:rFonts w:ascii="Arial" w:hAnsi="Arial" w:cs="Arial"/>
          <w:sz w:val="14"/>
          <w:szCs w:val="14"/>
          <w:lang w:val="es-CO"/>
        </w:rPr>
      </w:pPr>
    </w:p>
  </w:footnote>
  <w:footnote w:id="13">
    <w:p w:rsidRPr="00F2390A" w:rsidR="005F1985" w:rsidP="00F2390A" w:rsidRDefault="005F1985" w14:paraId="54BC5878" w14:textId="77777777">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F2390A" w:rsidR="005F1985" w:rsidP="00F2390A" w:rsidRDefault="005F1985" w14:paraId="5C5FE339" w14:textId="77777777">
      <w:pPr>
        <w:pStyle w:val="Textonotapie"/>
        <w:ind w:firstLine="708"/>
        <w:jc w:val="both"/>
        <w:rPr>
          <w:rFonts w:ascii="Arial" w:hAnsi="Arial" w:cs="Arial"/>
          <w:sz w:val="14"/>
          <w:szCs w:val="14"/>
        </w:rPr>
      </w:pPr>
      <w:r w:rsidRPr="00F2390A">
        <w:rPr>
          <w:rFonts w:ascii="Arial" w:hAnsi="Arial" w:cs="Arial"/>
          <w:sz w:val="14"/>
          <w:szCs w:val="14"/>
        </w:rPr>
        <w:t xml:space="preserve">[…] </w:t>
      </w:r>
    </w:p>
    <w:p w:rsidRPr="00F2390A" w:rsidR="005F1985" w:rsidP="00F2390A" w:rsidRDefault="005F1985" w14:paraId="0BF86DDD" w14:textId="49264633">
      <w:pPr>
        <w:pStyle w:val="Textonotapie"/>
        <w:ind w:firstLine="708"/>
        <w:jc w:val="both"/>
        <w:rPr>
          <w:rFonts w:ascii="Arial" w:hAnsi="Arial" w:cs="Arial"/>
          <w:sz w:val="14"/>
          <w:szCs w:val="14"/>
          <w:lang w:val="es-CO"/>
        </w:rPr>
      </w:pPr>
      <w:r w:rsidRPr="00F2390A">
        <w:rPr>
          <w:rFonts w:ascii="Arial" w:hAnsi="Arial" w:cs="Arial"/>
          <w:sz w:val="14"/>
          <w:szCs w:val="14"/>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 w:id="14">
    <w:p w:rsidR="00F2390A" w:rsidP="00F2390A" w:rsidRDefault="00F2390A" w14:paraId="3A834BC5" w14:textId="42CDD37A">
      <w:pPr>
        <w:pStyle w:val="Textonotapie"/>
        <w:ind w:firstLine="708"/>
        <w:jc w:val="both"/>
        <w:rPr>
          <w:rFonts w:ascii="Arial" w:hAnsi="Arial" w:cs="Arial"/>
          <w:sz w:val="14"/>
          <w:szCs w:val="14"/>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Colombia Compra Eficiente. Concepto del 7 de febrero de 2018, Rad. 2201813000000954.</w:t>
      </w:r>
    </w:p>
    <w:p w:rsidRPr="00F2390A" w:rsidR="00F2390A" w:rsidP="00F2390A" w:rsidRDefault="00F2390A" w14:paraId="6D36CC61" w14:textId="77777777">
      <w:pPr>
        <w:pStyle w:val="Textonotapie"/>
        <w:ind w:firstLine="708"/>
        <w:jc w:val="both"/>
        <w:rPr>
          <w:rFonts w:ascii="Arial" w:hAnsi="Arial" w:cs="Arial"/>
          <w:sz w:val="14"/>
          <w:szCs w:val="14"/>
          <w:lang w:val="es-CO"/>
        </w:rPr>
      </w:pPr>
    </w:p>
  </w:footnote>
  <w:footnote w:id="15">
    <w:p w:rsidRPr="00F2390A" w:rsidR="00F2390A" w:rsidP="00F2390A" w:rsidRDefault="00F2390A" w14:paraId="146FEE9E" w14:textId="7BABA2BA">
      <w:pPr>
        <w:pStyle w:val="Textonotapie"/>
        <w:ind w:firstLine="708"/>
        <w:jc w:val="both"/>
        <w:rPr>
          <w:rFonts w:ascii="Arial" w:hAnsi="Arial" w:cs="Arial"/>
          <w:sz w:val="14"/>
          <w:szCs w:val="14"/>
          <w:lang w:val="es-CO"/>
        </w:rPr>
      </w:pPr>
      <w:r w:rsidRPr="00F2390A">
        <w:rPr>
          <w:rStyle w:val="Refdenotaalpie"/>
          <w:rFonts w:ascii="Arial" w:hAnsi="Arial" w:cs="Arial"/>
          <w:sz w:val="14"/>
          <w:szCs w:val="14"/>
        </w:rPr>
        <w:footnoteRef/>
      </w:r>
      <w:r w:rsidRPr="00F2390A">
        <w:rPr>
          <w:rFonts w:ascii="Arial" w:hAnsi="Arial" w:cs="Arial"/>
          <w:sz w:val="14"/>
          <w:szCs w:val="14"/>
        </w:rPr>
        <w:t xml:space="preserve"> </w:t>
      </w:r>
      <w:r w:rsidRPr="00F2390A">
        <w:rPr>
          <w:rFonts w:ascii="Arial" w:hAnsi="Arial" w:cs="Arial"/>
          <w:sz w:val="14"/>
          <w:szCs w:val="14"/>
        </w:rPr>
        <w:t xml:space="preserve">En el marco del Estado de emergencia económica, social y ecológica declarado por el Gobierno Nacional a través del Decreto 417 de 2020, a causa de la pandemia mundial desatada por el virus del </w:t>
      </w:r>
      <w:proofErr w:type="spellStart"/>
      <w:r w:rsidRPr="00F2390A">
        <w:rPr>
          <w:rFonts w:ascii="Arial" w:hAnsi="Arial" w:cs="Arial"/>
          <w:sz w:val="14"/>
          <w:szCs w:val="14"/>
        </w:rPr>
        <w:t>Covid</w:t>
      </w:r>
      <w:proofErr w:type="spellEnd"/>
      <w:r w:rsidRPr="00F2390A">
        <w:rPr>
          <w:rFonts w:ascii="Arial" w:hAnsi="Arial" w:cs="Arial"/>
          <w:sz w:val="14"/>
          <w:szCs w:val="14"/>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000000" w14:paraId="692D44B9" w14:textId="77777777">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9264" behindDoc="1" locked="0" layoutInCell="1" hidden="0" allowOverlap="1" wp14:anchorId="3C0B2B74" wp14:editId="138EC52E">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rsidRPr="007566FE" w:rsidR="007566FE" w:rsidP="00793403" w:rsidRDefault="00000000" w14:paraId="08B251C4" w14:textId="777777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000000" w14:paraId="3BF7768A" w14:textId="77777777">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72F267D" wp14:editId="16E46CC5">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eastAsia="Geo" w:cs="Geo"/>
        <w:b/>
        <w:color w:val="000000"/>
        <w:sz w:val="16"/>
        <w:szCs w:val="16"/>
        <w:lang w:eastAsia="es-CO"/>
      </w:rPr>
      <w:t>Versión</w:t>
    </w:r>
    <w:r w:rsidRPr="007566FE">
      <w:rPr>
        <w:rFonts w:ascii="Geomanist Light" w:hAnsi="Geomanist Light" w:eastAsia="Arial Nova" w:cs="Arial Nova"/>
        <w:b/>
        <w:color w:val="000000"/>
        <w:sz w:val="16"/>
        <w:szCs w:val="16"/>
        <w:lang w:eastAsia="es-CO"/>
      </w:rPr>
      <w:t xml:space="preserve">: </w:t>
    </w:r>
    <w:r w:rsidRPr="007566FE">
      <w:rPr>
        <w:rFonts w:ascii="Geomanist Light" w:hAnsi="Geomanist Light" w:eastAsia="Geo" w:cs="Geo"/>
        <w:sz w:val="16"/>
        <w:szCs w:val="16"/>
        <w:lang w:eastAsia="es-CO"/>
      </w:rPr>
      <w:t>0</w:t>
    </w:r>
    <w:r>
      <w:rPr>
        <w:rFonts w:ascii="Geomanist Light" w:hAnsi="Geomanist Light" w:eastAsia="Geo" w:cs="Geo"/>
        <w:sz w:val="16"/>
        <w:szCs w:val="16"/>
        <w:lang w:eastAsia="es-CO"/>
      </w:rPr>
      <w:t>2</w:t>
    </w:r>
    <w:r w:rsidRPr="007566FE">
      <w:rPr>
        <w:rFonts w:ascii="Geomanist Light" w:hAnsi="Geomanist Light" w:eastAsia="Geo" w:cs="Geo"/>
        <w:sz w:val="16"/>
        <w:szCs w:val="16"/>
        <w:lang w:eastAsia="es-CO"/>
      </w:rPr>
      <w:t xml:space="preserve"> DEL </w:t>
    </w:r>
    <w:r>
      <w:rPr>
        <w:rFonts w:ascii="Geomanist Light" w:hAnsi="Geomanist Light" w:eastAsia="Geo" w:cs="Geo"/>
        <w:sz w:val="16"/>
        <w:szCs w:val="16"/>
        <w:lang w:eastAsia="es-CO"/>
      </w:rPr>
      <w:t>28</w:t>
    </w:r>
    <w:r w:rsidRPr="007566FE">
      <w:rPr>
        <w:rFonts w:ascii="Geomanist Light" w:hAnsi="Geomanist Light" w:eastAsia="Geo" w:cs="Geo"/>
        <w:sz w:val="16"/>
        <w:szCs w:val="16"/>
        <w:lang w:eastAsia="es-CO"/>
      </w:rPr>
      <w:t xml:space="preserve"> DE </w:t>
    </w:r>
    <w:r>
      <w:rPr>
        <w:rFonts w:ascii="Geomanist Light" w:hAnsi="Geomanist Light" w:eastAsia="Geo" w:cs="Geo"/>
        <w:sz w:val="16"/>
        <w:szCs w:val="16"/>
        <w:lang w:eastAsia="es-CO"/>
      </w:rPr>
      <w:t>SEPTIEMBRE</w:t>
    </w:r>
    <w:r w:rsidRPr="007566FE">
      <w:rPr>
        <w:rFonts w:ascii="Geomanist Light" w:hAnsi="Geomanist Light" w:eastAsia="Geo" w:cs="Geo"/>
        <w:sz w:val="16"/>
        <w:szCs w:val="16"/>
        <w:lang w:eastAsia="es-CO"/>
      </w:rPr>
      <w:t xml:space="preserve"> DE 2022</w:t>
    </w:r>
  </w:p>
  <w:p w:rsidRPr="007566FE" w:rsidR="00793403" w:rsidP="008614E5" w:rsidRDefault="00000000" w14:paraId="1F8B57AA" w14:textId="77777777">
    <w:pPr>
      <w:spacing w:after="0"/>
      <w:rPr>
        <w:rFonts w:ascii="Geomanist Light" w:hAnsi="Geomanist Light"/>
        <w:color w:val="002060"/>
        <w:sz w:val="16"/>
        <w:szCs w:val="16"/>
      </w:rPr>
    </w:pPr>
  </w:p>
  <w:p w:rsidRPr="00906B3C" w:rsidR="004A1847" w:rsidP="00906B3C" w:rsidRDefault="00000000" w14:paraId="3FAECBD5" w14:textId="77777777">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0F82114"/>
    <w:multiLevelType w:val="hybridMultilevel"/>
    <w:tmpl w:val="B6C06020"/>
    <w:lvl w:ilvl="0" w:tplc="2F4CFC7C">
      <w:start w:val="1"/>
      <w:numFmt w:val="decimal"/>
      <w:lvlText w:val="%1."/>
      <w:lvlJc w:val="left"/>
      <w:pPr>
        <w:ind w:left="720" w:hanging="360"/>
      </w:pPr>
      <w:rPr>
        <w:rFonts w:ascii="Arial" w:hAnsi="Arial" w:cs="Arial" w:eastAsia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197FDA"/>
    <w:multiLevelType w:val="hybridMultilevel"/>
    <w:tmpl w:val="4DA078E8"/>
    <w:lvl w:ilvl="0" w:tplc="240A0001">
      <w:start w:val="1"/>
      <w:numFmt w:val="bullet"/>
      <w:lvlText w:val=""/>
      <w:lvlJc w:val="left"/>
      <w:pPr>
        <w:ind w:left="1146" w:hanging="360"/>
      </w:pPr>
      <w:rPr>
        <w:rFonts w:hint="default" w:ascii="Symbol" w:hAnsi="Symbol"/>
      </w:rPr>
    </w:lvl>
    <w:lvl w:ilvl="1" w:tplc="240A0003" w:tentative="1">
      <w:start w:val="1"/>
      <w:numFmt w:val="bullet"/>
      <w:lvlText w:val="o"/>
      <w:lvlJc w:val="left"/>
      <w:pPr>
        <w:ind w:left="1866" w:hanging="360"/>
      </w:pPr>
      <w:rPr>
        <w:rFonts w:hint="default" w:ascii="Courier New" w:hAnsi="Courier New" w:cs="Courier New"/>
      </w:rPr>
    </w:lvl>
    <w:lvl w:ilvl="2" w:tplc="240A0005" w:tentative="1">
      <w:start w:val="1"/>
      <w:numFmt w:val="bullet"/>
      <w:lvlText w:val=""/>
      <w:lvlJc w:val="left"/>
      <w:pPr>
        <w:ind w:left="2586" w:hanging="360"/>
      </w:pPr>
      <w:rPr>
        <w:rFonts w:hint="default" w:ascii="Wingdings" w:hAnsi="Wingdings"/>
      </w:rPr>
    </w:lvl>
    <w:lvl w:ilvl="3" w:tplc="240A0001" w:tentative="1">
      <w:start w:val="1"/>
      <w:numFmt w:val="bullet"/>
      <w:lvlText w:val=""/>
      <w:lvlJc w:val="left"/>
      <w:pPr>
        <w:ind w:left="3306" w:hanging="360"/>
      </w:pPr>
      <w:rPr>
        <w:rFonts w:hint="default" w:ascii="Symbol" w:hAnsi="Symbol"/>
      </w:rPr>
    </w:lvl>
    <w:lvl w:ilvl="4" w:tplc="240A0003" w:tentative="1">
      <w:start w:val="1"/>
      <w:numFmt w:val="bullet"/>
      <w:lvlText w:val="o"/>
      <w:lvlJc w:val="left"/>
      <w:pPr>
        <w:ind w:left="4026" w:hanging="360"/>
      </w:pPr>
      <w:rPr>
        <w:rFonts w:hint="default" w:ascii="Courier New" w:hAnsi="Courier New" w:cs="Courier New"/>
      </w:rPr>
    </w:lvl>
    <w:lvl w:ilvl="5" w:tplc="240A0005" w:tentative="1">
      <w:start w:val="1"/>
      <w:numFmt w:val="bullet"/>
      <w:lvlText w:val=""/>
      <w:lvlJc w:val="left"/>
      <w:pPr>
        <w:ind w:left="4746" w:hanging="360"/>
      </w:pPr>
      <w:rPr>
        <w:rFonts w:hint="default" w:ascii="Wingdings" w:hAnsi="Wingdings"/>
      </w:rPr>
    </w:lvl>
    <w:lvl w:ilvl="6" w:tplc="240A0001" w:tentative="1">
      <w:start w:val="1"/>
      <w:numFmt w:val="bullet"/>
      <w:lvlText w:val=""/>
      <w:lvlJc w:val="left"/>
      <w:pPr>
        <w:ind w:left="5466" w:hanging="360"/>
      </w:pPr>
      <w:rPr>
        <w:rFonts w:hint="default" w:ascii="Symbol" w:hAnsi="Symbol"/>
      </w:rPr>
    </w:lvl>
    <w:lvl w:ilvl="7" w:tplc="240A0003" w:tentative="1">
      <w:start w:val="1"/>
      <w:numFmt w:val="bullet"/>
      <w:lvlText w:val="o"/>
      <w:lvlJc w:val="left"/>
      <w:pPr>
        <w:ind w:left="6186" w:hanging="360"/>
      </w:pPr>
      <w:rPr>
        <w:rFonts w:hint="default" w:ascii="Courier New" w:hAnsi="Courier New" w:cs="Courier New"/>
      </w:rPr>
    </w:lvl>
    <w:lvl w:ilvl="8" w:tplc="240A0005" w:tentative="1">
      <w:start w:val="1"/>
      <w:numFmt w:val="bullet"/>
      <w:lvlText w:val=""/>
      <w:lvlJc w:val="left"/>
      <w:pPr>
        <w:ind w:left="6906" w:hanging="360"/>
      </w:pPr>
      <w:rPr>
        <w:rFonts w:hint="default" w:ascii="Wingdings" w:hAnsi="Wingdings"/>
      </w:rPr>
    </w:lvl>
  </w:abstractNum>
  <w:num w:numId="1" w16cid:durableId="650643074">
    <w:abstractNumId w:val="0"/>
  </w:num>
  <w:num w:numId="2" w16cid:durableId="1743521430">
    <w:abstractNumId w:val="2"/>
  </w:num>
  <w:num w:numId="3" w16cid:durableId="143231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3C"/>
    <w:rsid w:val="001F769E"/>
    <w:rsid w:val="0024233C"/>
    <w:rsid w:val="00564997"/>
    <w:rsid w:val="005F1985"/>
    <w:rsid w:val="006C13C1"/>
    <w:rsid w:val="00E760A1"/>
    <w:rsid w:val="00EB6F40"/>
    <w:rsid w:val="00F21C34"/>
    <w:rsid w:val="00F2390A"/>
    <w:rsid w:val="0833B67D"/>
    <w:rsid w:val="0B7DF88A"/>
    <w:rsid w:val="578C573C"/>
    <w:rsid w:val="5BB0B5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6D7E"/>
  <w15:chartTrackingRefBased/>
  <w15:docId w15:val="{389EDC2E-3D04-4EFC-8354-A09128B1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233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4233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233C"/>
  </w:style>
  <w:style w:type="paragraph" w:styleId="Piedepgina">
    <w:name w:val="footer"/>
    <w:basedOn w:val="Normal"/>
    <w:link w:val="PiedepginaCar"/>
    <w:uiPriority w:val="99"/>
    <w:unhideWhenUsed/>
    <w:rsid w:val="0024233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233C"/>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2423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24233C"/>
    <w:pPr>
      <w:spacing w:after="0" w:line="240" w:lineRule="auto"/>
    </w:pPr>
    <w:rPr>
      <w:sz w:val="20"/>
      <w:szCs w:val="20"/>
      <w:lang w:val="es-MX"/>
    </w:rPr>
  </w:style>
  <w:style w:type="character" w:styleId="TextonotapieCar1" w:customStyle="1">
    <w:name w:val="Texto nota pie Car1"/>
    <w:basedOn w:val="Fuentedeprrafopredeter"/>
    <w:uiPriority w:val="99"/>
    <w:semiHidden/>
    <w:rsid w:val="0024233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4233C"/>
    <w:rPr>
      <w:vertAlign w:val="superscript"/>
    </w:rPr>
  </w:style>
  <w:style w:type="table" w:styleId="Tablaconcuadrcula">
    <w:name w:val="Table Grid"/>
    <w:basedOn w:val="Tablanormal"/>
    <w:uiPriority w:val="59"/>
    <w:rsid w:val="002423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4233C"/>
    <w:pPr>
      <w:ind w:left="720"/>
      <w:contextualSpacing/>
    </w:pPr>
    <w:rPr>
      <w:rFonts w:ascii="Geomanist Light" w:hAnsi="Geomanist Light"/>
      <w:lang w:val="es-ES"/>
    </w:rPr>
  </w:style>
  <w:style w:type="paragraph" w:styleId="NormalWeb">
    <w:name w:val="Normal (Web)"/>
    <w:basedOn w:val="Normal"/>
    <w:link w:val="NormalWebCar"/>
    <w:uiPriority w:val="99"/>
    <w:unhideWhenUsed/>
    <w:rsid w:val="0024233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Appelnotedebasde" w:customStyle="1">
    <w:name w:val="Appel note de bas de..."/>
    <w:basedOn w:val="Normal"/>
    <w:link w:val="Refdenotaalpie"/>
    <w:uiPriority w:val="99"/>
    <w:rsid w:val="0024233C"/>
    <w:pPr>
      <w:spacing w:line="240" w:lineRule="exact"/>
    </w:pPr>
    <w:rPr>
      <w:vertAlign w:val="superscript"/>
    </w:rPr>
  </w:style>
  <w:style w:type="character" w:styleId="NormalWebCar" w:customStyle="1">
    <w:name w:val="Normal (Web) Car"/>
    <w:link w:val="NormalWeb"/>
    <w:uiPriority w:val="99"/>
    <w:rsid w:val="0024233C"/>
    <w:rPr>
      <w:rFonts w:ascii="Times New Roman" w:hAnsi="Times New Roman" w:eastAsia="Times New Roman" w:cs="Times New Roman"/>
      <w:sz w:val="24"/>
      <w:szCs w:val="24"/>
      <w:lang w:eastAsia="es-CO"/>
    </w:rPr>
  </w:style>
  <w:style w:type="character" w:styleId="Hipervnculo">
    <w:name w:val="Hyperlink"/>
    <w:basedOn w:val="Fuentedeprrafopredeter"/>
    <w:uiPriority w:val="99"/>
    <w:unhideWhenUsed/>
    <w:rsid w:val="0024233C"/>
    <w:rPr>
      <w:color w:val="0563C1" w:themeColor="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4233C"/>
    <w:rPr>
      <w:rFonts w:ascii="Geomanist Light" w:hAnsi="Geomanist Light"/>
      <w:lang w:val="es-ES"/>
    </w:rPr>
  </w:style>
  <w:style w:type="character" w:styleId="Mencinsinresolver">
    <w:name w:val="Unresolved Mention"/>
    <w:basedOn w:val="Fuentedeprrafopredeter"/>
    <w:uiPriority w:val="99"/>
    <w:semiHidden/>
    <w:unhideWhenUsed/>
    <w:rsid w:val="0024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hyperlink" Target="mailto:gonzalez070896@gmail.com" TargetMode="External" Id="rId9" /><Relationship Type="http://schemas.openxmlformats.org/officeDocument/2006/relationships/theme" Target="theme/theme1.xml" Id="rId14" /><Relationship Type="http://schemas.openxmlformats.org/officeDocument/2006/relationships/image" Target="/media/image5.png" Id="R256bad4d1c4444fe"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8F8FD-C2F6-4E71-913D-8FD8E0155E04}">
  <ds:schemaRefs>
    <ds:schemaRef ds:uri="http://schemas.openxmlformats.org/officeDocument/2006/bibliography"/>
  </ds:schemaRefs>
</ds:datastoreItem>
</file>

<file path=customXml/itemProps2.xml><?xml version="1.0" encoding="utf-8"?>
<ds:datastoreItem xmlns:ds="http://schemas.openxmlformats.org/officeDocument/2006/customXml" ds:itemID="{235277B3-DF47-4A0E-8F31-FAA7F0C29A12}"/>
</file>

<file path=customXml/itemProps3.xml><?xml version="1.0" encoding="utf-8"?>
<ds:datastoreItem xmlns:ds="http://schemas.openxmlformats.org/officeDocument/2006/customXml" ds:itemID="{C2BEAA5B-DB88-4D1D-9D91-7AB6860B3DF2}"/>
</file>

<file path=customXml/itemProps4.xml><?xml version="1.0" encoding="utf-8"?>
<ds:datastoreItem xmlns:ds="http://schemas.openxmlformats.org/officeDocument/2006/customXml" ds:itemID="{96DDCCA0-4020-4650-82FC-8CF3FD729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Sergio Enrique Caballero Lesmes</dc:creator>
  <keywords/>
  <dc:description/>
  <lastModifiedBy>Diego German Revelo Bolívar</lastModifiedBy>
  <revision>3</revision>
  <dcterms:created xsi:type="dcterms:W3CDTF">2023-03-01T14:53:00.0000000Z</dcterms:created>
  <dcterms:modified xsi:type="dcterms:W3CDTF">2023-03-09T15:38:15.8648429Z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