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3971" w14:textId="77777777" w:rsidR="00444B5E" w:rsidRPr="00444B5E" w:rsidRDefault="00444B5E" w:rsidP="00444B5E">
      <w:pPr>
        <w:spacing w:after="0" w:line="240" w:lineRule="auto"/>
        <w:rPr>
          <w:rFonts w:ascii="Arial" w:eastAsia="Calibri" w:hAnsi="Arial" w:cs="Arial"/>
          <w:b/>
          <w:sz w:val="22"/>
          <w:szCs w:val="24"/>
          <w:lang w:val="es-ES_tradnl" w:eastAsia="es-ES_tradnl"/>
        </w:rPr>
      </w:pPr>
      <w:r w:rsidRPr="00444B5E">
        <w:rPr>
          <w:rFonts w:ascii="Arial" w:eastAsia="Calibri" w:hAnsi="Arial" w:cs="Arial"/>
          <w:b/>
          <w:sz w:val="22"/>
          <w:szCs w:val="24"/>
          <w:lang w:val="es-ES_tradnl" w:eastAsia="es-ES_tradnl"/>
        </w:rPr>
        <w:t>FACTORES DE DESEMPATE – Características – Límites</w:t>
      </w:r>
    </w:p>
    <w:p w14:paraId="4BE2538E" w14:textId="77777777" w:rsidR="00444B5E" w:rsidRPr="00444B5E" w:rsidRDefault="00444B5E" w:rsidP="00444B5E">
      <w:pPr>
        <w:spacing w:after="0"/>
        <w:rPr>
          <w:rFonts w:ascii="Arial" w:eastAsia="Times New Roman" w:hAnsi="Arial" w:cs="Arial"/>
          <w:noProof/>
          <w:sz w:val="22"/>
          <w:szCs w:val="24"/>
          <w:highlight w:val="yellow"/>
          <w:lang w:val="es-ES_tradnl" w:eastAsia="es-ES_tradnl"/>
        </w:rPr>
      </w:pPr>
    </w:p>
    <w:p w14:paraId="44AC4E92" w14:textId="77777777" w:rsidR="00444B5E" w:rsidRPr="00444B5E" w:rsidRDefault="00444B5E" w:rsidP="00444B5E">
      <w:pPr>
        <w:spacing w:after="0" w:line="240" w:lineRule="auto"/>
        <w:rPr>
          <w:rFonts w:ascii="Arial" w:eastAsia="Calibri" w:hAnsi="Arial" w:cs="Arial"/>
          <w:sz w:val="20"/>
          <w:szCs w:val="20"/>
          <w:lang w:val="es-ES_tradnl" w:eastAsia="es-ES_tradnl"/>
        </w:rPr>
      </w:pPr>
      <w:r w:rsidRPr="00444B5E">
        <w:rPr>
          <w:rFonts w:ascii="Arial" w:eastAsia="Calibri" w:hAnsi="Arial" w:cs="Arial"/>
          <w:sz w:val="20"/>
          <w:szCs w:val="20"/>
          <w:lang w:val="es-ES_tradnl" w:eastAsia="es-ES_tradnl"/>
        </w:rPr>
        <w:t>Dado que la selección objetiva es uno de los principios medulares de la contratación estatal, la escogencia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habilitación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214F04AB" w14:textId="77777777" w:rsidR="00444B5E" w:rsidRPr="00444B5E" w:rsidRDefault="00444B5E" w:rsidP="00444B5E">
      <w:pPr>
        <w:spacing w:after="0" w:line="240" w:lineRule="auto"/>
        <w:rPr>
          <w:rFonts w:ascii="Arial" w:eastAsia="Calibri" w:hAnsi="Arial" w:cs="Arial"/>
          <w:b/>
          <w:sz w:val="22"/>
          <w:szCs w:val="24"/>
          <w:highlight w:val="yellow"/>
          <w:lang w:val="es-ES_tradnl" w:eastAsia="es-ES_tradnl"/>
        </w:rPr>
      </w:pPr>
    </w:p>
    <w:p w14:paraId="6F72CE7D" w14:textId="77777777" w:rsidR="00444B5E" w:rsidRPr="00444B5E" w:rsidRDefault="00444B5E" w:rsidP="00444B5E">
      <w:pPr>
        <w:spacing w:after="0" w:line="240" w:lineRule="auto"/>
        <w:rPr>
          <w:rFonts w:ascii="Arial" w:eastAsia="Calibri" w:hAnsi="Arial" w:cs="Arial"/>
          <w:b/>
          <w:sz w:val="22"/>
          <w:szCs w:val="24"/>
          <w:lang w:val="es-ES_tradnl" w:eastAsia="es-ES_tradnl"/>
        </w:rPr>
      </w:pPr>
      <w:r w:rsidRPr="00444B5E">
        <w:rPr>
          <w:rFonts w:ascii="Arial" w:eastAsia="Calibri" w:hAnsi="Arial" w:cs="Arial"/>
          <w:b/>
          <w:sz w:val="22"/>
          <w:szCs w:val="24"/>
          <w:lang w:val="es-ES_tradnl" w:eastAsia="es-ES_tradnl"/>
        </w:rPr>
        <w:t>LEY DE EMPRENDIMIENTO – Ley 2069 de 2020 – Reglamentación – Decreto 1860 de 2021 – Vigencia</w:t>
      </w:r>
    </w:p>
    <w:p w14:paraId="22687E5C" w14:textId="77777777" w:rsidR="00444B5E" w:rsidRPr="00444B5E" w:rsidRDefault="00444B5E" w:rsidP="00444B5E">
      <w:pPr>
        <w:spacing w:after="0" w:line="240" w:lineRule="auto"/>
        <w:rPr>
          <w:rFonts w:ascii="Arial" w:eastAsia="Calibri" w:hAnsi="Arial" w:cs="Arial"/>
          <w:b/>
          <w:sz w:val="22"/>
          <w:szCs w:val="24"/>
          <w:highlight w:val="yellow"/>
          <w:lang w:val="es-ES_tradnl" w:eastAsia="es-ES_tradnl"/>
        </w:rPr>
      </w:pPr>
    </w:p>
    <w:p w14:paraId="1DC44719" w14:textId="77777777" w:rsidR="00444B5E" w:rsidRPr="00444B5E" w:rsidRDefault="00444B5E" w:rsidP="00444B5E">
      <w:pPr>
        <w:spacing w:after="0" w:line="240" w:lineRule="auto"/>
        <w:rPr>
          <w:rFonts w:ascii="Arial" w:eastAsia="Calibri" w:hAnsi="Arial" w:cs="Arial"/>
          <w:bCs/>
          <w:sz w:val="20"/>
          <w:szCs w:val="20"/>
          <w:lang w:val="es-ES_tradnl" w:eastAsia="es-ES_tradnl"/>
        </w:rPr>
      </w:pPr>
      <w:r w:rsidRPr="00444B5E">
        <w:rPr>
          <w:rFonts w:ascii="Arial" w:eastAsia="Calibri" w:hAnsi="Arial" w:cs="Arial"/>
          <w:bCs/>
          <w:sz w:val="20"/>
          <w:szCs w:val="20"/>
          <w:lang w:val="es-ES_tradnl" w:eastAsia="es-ES_tradnl"/>
        </w:rPr>
        <w:t>[…] el pasado 24 de diciembre,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p>
    <w:p w14:paraId="0DE83BFD" w14:textId="77777777" w:rsidR="00444B5E" w:rsidRPr="00444B5E" w:rsidRDefault="00444B5E" w:rsidP="00444B5E">
      <w:pPr>
        <w:spacing w:after="0"/>
        <w:rPr>
          <w:rFonts w:ascii="Arial" w:eastAsia="Calibri" w:hAnsi="Arial" w:cs="Arial"/>
          <w:b/>
          <w:sz w:val="22"/>
          <w:szCs w:val="24"/>
          <w:lang w:val="es-ES_tradnl" w:eastAsia="es-ES_tradnl"/>
        </w:rPr>
      </w:pPr>
    </w:p>
    <w:p w14:paraId="21520B57" w14:textId="77777777" w:rsidR="00444B5E" w:rsidRPr="00444B5E" w:rsidRDefault="00444B5E" w:rsidP="00444B5E">
      <w:pPr>
        <w:spacing w:after="0"/>
        <w:rPr>
          <w:rFonts w:ascii="Arial" w:eastAsia="Calibri" w:hAnsi="Arial" w:cs="Arial"/>
          <w:b/>
          <w:sz w:val="22"/>
          <w:szCs w:val="24"/>
          <w:lang w:val="es-ES_tradnl" w:eastAsia="es-ES_tradnl"/>
        </w:rPr>
      </w:pPr>
      <w:r w:rsidRPr="00444B5E">
        <w:rPr>
          <w:rFonts w:ascii="Arial" w:eastAsia="Calibri" w:hAnsi="Arial" w:cs="Arial"/>
          <w:b/>
          <w:sz w:val="22"/>
          <w:szCs w:val="24"/>
          <w:lang w:val="es-ES_tradnl" w:eastAsia="es-ES_tradnl"/>
        </w:rPr>
        <w:t>FACTORES DE DESEMPATE – Ley 2069 de 2020 – Numeral 4 – Decreto 1680 de 2021 –– Mayor proporción</w:t>
      </w:r>
    </w:p>
    <w:p w14:paraId="6389C572" w14:textId="77777777" w:rsidR="00444B5E" w:rsidRPr="00444B5E" w:rsidRDefault="00444B5E" w:rsidP="00444B5E">
      <w:pPr>
        <w:spacing w:after="0"/>
        <w:rPr>
          <w:rFonts w:ascii="Arial" w:eastAsia="Times New Roman" w:hAnsi="Arial" w:cs="Arial"/>
          <w:sz w:val="22"/>
          <w:highlight w:val="yellow"/>
          <w:lang w:val="es-ES_tradnl" w:eastAsia="es-ES_tradnl"/>
        </w:rPr>
      </w:pPr>
    </w:p>
    <w:p w14:paraId="37689323" w14:textId="77777777" w:rsidR="00444B5E" w:rsidRPr="00444B5E" w:rsidRDefault="00444B5E" w:rsidP="00444B5E">
      <w:pPr>
        <w:spacing w:after="0" w:line="240" w:lineRule="auto"/>
        <w:rPr>
          <w:rFonts w:ascii="Arial" w:eastAsia="Calibri" w:hAnsi="Arial" w:cs="Arial"/>
          <w:sz w:val="20"/>
          <w:szCs w:val="20"/>
          <w:lang w:val="es-ES_tradnl" w:eastAsia="es-ES_tradnl"/>
        </w:rPr>
      </w:pPr>
      <w:r w:rsidRPr="00444B5E">
        <w:rPr>
          <w:rFonts w:ascii="Arial" w:eastAsia="Calibri" w:hAnsi="Arial" w:cs="Arial"/>
          <w:sz w:val="20"/>
          <w:szCs w:val="20"/>
          <w:lang w:val="es-ES_tradnl" w:eastAsia="es-ES_tradnl"/>
        </w:rPr>
        <w:t>Conforme a la definición del Diccionario de la RAE, la palabra «proporción» es la «Igualdad de dos razones». Esta expresión tiene una definición propia en el campo de las matemáticas, pues alude a una relación o razón constante entre diferentes magnitudes que se vayan a medir. Por esta razón, la «[…] mayor proporción de personas mayores que no sean beneficiarios de la pensión de vejez, familiar o de sobrevivencia y que hayan cumplido el requisito de edad de pensión establecido en la Ley» no corresponde a un valor absoluto, sino relativo.</w:t>
      </w:r>
    </w:p>
    <w:p w14:paraId="41E16EB2" w14:textId="77777777" w:rsidR="00444B5E" w:rsidRPr="00444B5E" w:rsidRDefault="00444B5E" w:rsidP="00444B5E">
      <w:pPr>
        <w:spacing w:after="0" w:line="240" w:lineRule="auto"/>
        <w:rPr>
          <w:rFonts w:ascii="Arial" w:eastAsia="Calibri" w:hAnsi="Arial" w:cs="Arial"/>
          <w:sz w:val="20"/>
          <w:szCs w:val="20"/>
          <w:lang w:val="es-ES_tradnl" w:eastAsia="es-ES_tradnl"/>
        </w:rPr>
      </w:pPr>
    </w:p>
    <w:p w14:paraId="0060795C" w14:textId="77777777" w:rsidR="00444B5E" w:rsidRPr="00444B5E" w:rsidRDefault="00444B5E" w:rsidP="00444B5E">
      <w:pPr>
        <w:spacing w:after="0" w:line="240" w:lineRule="auto"/>
        <w:rPr>
          <w:rFonts w:ascii="Arial" w:eastAsia="Calibri" w:hAnsi="Arial" w:cs="Arial"/>
          <w:sz w:val="20"/>
          <w:szCs w:val="20"/>
          <w:lang w:val="es-ES_tradnl" w:eastAsia="es-ES_tradnl"/>
        </w:rPr>
      </w:pPr>
      <w:r w:rsidRPr="00444B5E">
        <w:rPr>
          <w:rFonts w:ascii="Arial" w:eastAsia="Calibri" w:hAnsi="Arial" w:cs="Arial"/>
          <w:sz w:val="20"/>
          <w:szCs w:val="20"/>
          <w:lang w:val="es-ES_tradnl" w:eastAsia="es-ES_tradnl"/>
        </w:rPr>
        <w:t>En efecto, el factor de desempate del artículo 35.4 de la Ley 2069 de 2020 no se refiere a la vinculación en mayor cantidad de personas mayores. En este caso, bastaría comparar el número de personas vinculadas entre cada uno de los proponentes empatados, adjudicando el contrato a aquel que más tenga. Sin embargo, esta interpretación no es posible en la medida que la norma se refiere a la «vinculación en mayor proporción», es decir el número de personas vinculadas en relación con la planta de personal de los oferentes.</w:t>
      </w:r>
    </w:p>
    <w:p w14:paraId="101C77F8" w14:textId="77777777" w:rsidR="00444B5E" w:rsidRPr="00444B5E" w:rsidRDefault="00444B5E" w:rsidP="00444B5E">
      <w:pPr>
        <w:spacing w:after="0" w:line="240" w:lineRule="auto"/>
        <w:rPr>
          <w:rFonts w:ascii="Arial" w:eastAsia="Calibri" w:hAnsi="Arial" w:cs="Arial"/>
          <w:noProof/>
        </w:rPr>
      </w:pPr>
    </w:p>
    <w:p w14:paraId="2F332BC1" w14:textId="77777777" w:rsidR="00444B5E" w:rsidRPr="00444B5E" w:rsidRDefault="00444B5E" w:rsidP="00444B5E">
      <w:pPr>
        <w:spacing w:after="0" w:line="240" w:lineRule="auto"/>
        <w:textAlignment w:val="baseline"/>
        <w:rPr>
          <w:rFonts w:ascii="Arial" w:eastAsia="Times New Roman" w:hAnsi="Arial" w:cs="Arial"/>
          <w:sz w:val="18"/>
          <w:szCs w:val="18"/>
          <w:lang w:val="es-CO" w:eastAsia="es-CO"/>
        </w:rPr>
      </w:pPr>
      <w:r w:rsidRPr="00444B5E">
        <w:rPr>
          <w:rFonts w:ascii="Arial" w:eastAsia="Times New Roman" w:hAnsi="Arial" w:cs="Arial"/>
          <w:b/>
          <w:bCs/>
          <w:color w:val="000000"/>
          <w:sz w:val="22"/>
          <w:lang w:val="es-ES" w:eastAsia="es-CO"/>
        </w:rPr>
        <w:t>FACTORES DE DESEMPATE – Ley 2069 – Artículo 35 – Numeral 4 – Vinculación  </w:t>
      </w:r>
      <w:r w:rsidRPr="00444B5E">
        <w:rPr>
          <w:rFonts w:ascii="Arial" w:eastAsia="Times New Roman" w:hAnsi="Arial" w:cs="Arial"/>
          <w:color w:val="000000"/>
          <w:sz w:val="22"/>
          <w:lang w:val="es-CO" w:eastAsia="es-CO"/>
        </w:rPr>
        <w:t> </w:t>
      </w:r>
    </w:p>
    <w:p w14:paraId="592257F8" w14:textId="77777777" w:rsidR="00444B5E" w:rsidRPr="00444B5E" w:rsidRDefault="00444B5E" w:rsidP="00444B5E">
      <w:pPr>
        <w:spacing w:after="0" w:line="240" w:lineRule="auto"/>
        <w:textAlignment w:val="baseline"/>
        <w:rPr>
          <w:rFonts w:ascii="Arial" w:eastAsia="Times New Roman" w:hAnsi="Arial" w:cs="Arial"/>
          <w:sz w:val="18"/>
          <w:szCs w:val="18"/>
          <w:lang w:val="es-CO" w:eastAsia="es-CO"/>
        </w:rPr>
      </w:pPr>
      <w:r w:rsidRPr="00444B5E">
        <w:rPr>
          <w:rFonts w:ascii="Arial" w:eastAsia="Times New Roman" w:hAnsi="Arial" w:cs="Arial"/>
          <w:color w:val="000000"/>
          <w:sz w:val="22"/>
          <w:lang w:val="es-CO" w:eastAsia="es-CO"/>
        </w:rPr>
        <w:t> </w:t>
      </w:r>
    </w:p>
    <w:p w14:paraId="1595B4BD" w14:textId="77777777" w:rsidR="00444B5E" w:rsidRPr="00444B5E" w:rsidRDefault="00444B5E" w:rsidP="00444B5E">
      <w:pPr>
        <w:spacing w:after="0" w:line="240" w:lineRule="auto"/>
        <w:textAlignment w:val="baseline"/>
        <w:rPr>
          <w:rFonts w:ascii="Arial" w:eastAsia="Times New Roman" w:hAnsi="Arial" w:cs="Arial"/>
          <w:sz w:val="18"/>
          <w:szCs w:val="18"/>
          <w:lang w:val="es-CO" w:eastAsia="es-CO"/>
        </w:rPr>
      </w:pPr>
      <w:r w:rsidRPr="00444B5E">
        <w:rPr>
          <w:rFonts w:ascii="Arial" w:eastAsia="Times New Roman" w:hAnsi="Arial" w:cs="Arial"/>
          <w:color w:val="000000"/>
          <w:sz w:val="20"/>
          <w:szCs w:val="20"/>
          <w:lang w:val="es-ES" w:eastAsia="es-CO"/>
        </w:rPr>
        <w:lastRenderedPageBreak/>
        <w:t>[…] el requisito de vinculación laboral de personas con un año mínimo de antigüedad al que alude el parágrafo 2 del artículo 35 de la Ley 2069 de 2020, es una condición intrínseca del numeral 4 sin la cual el proponente no podrá ser favorecido de esta regla de desempate. Por ello, el proponente además de acreditar la vinculación de personas mayores que no sean beneficiarios de la pensión de vejez, familiar o de sobrevivencia y que hayan cumplido el requisito de edad de pensión establecido en la Ley, deberá acreditar que dicha vinculación es, como mínimo, de un año antigüedad. La única excepción a este término está relacionada con el proponente que se haya constituido con una anterioridad menor al año, pues en este caso, como se expuso, deberá acreditar que el capital humano está vinculado al menos desde el momento de la constitución. </w:t>
      </w:r>
      <w:r w:rsidRPr="00444B5E">
        <w:rPr>
          <w:rFonts w:ascii="Arial" w:eastAsia="Times New Roman" w:hAnsi="Arial" w:cs="Arial"/>
          <w:color w:val="000000"/>
          <w:sz w:val="20"/>
          <w:szCs w:val="20"/>
          <w:lang w:val="es-CO" w:eastAsia="es-CO"/>
        </w:rPr>
        <w:t> </w:t>
      </w:r>
    </w:p>
    <w:p w14:paraId="2B4382DD" w14:textId="77777777" w:rsidR="00444B5E" w:rsidRPr="00444B5E" w:rsidRDefault="00444B5E" w:rsidP="00444B5E">
      <w:pPr>
        <w:spacing w:after="0" w:line="240" w:lineRule="auto"/>
        <w:textAlignment w:val="baseline"/>
        <w:rPr>
          <w:rFonts w:ascii="Arial" w:eastAsia="Times New Roman" w:hAnsi="Arial" w:cs="Arial"/>
          <w:sz w:val="18"/>
          <w:szCs w:val="18"/>
          <w:lang w:val="es-CO" w:eastAsia="es-CO"/>
        </w:rPr>
      </w:pPr>
      <w:r w:rsidRPr="00444B5E">
        <w:rPr>
          <w:rFonts w:ascii="Arial" w:eastAsia="Times New Roman" w:hAnsi="Arial" w:cs="Arial"/>
          <w:color w:val="000000"/>
          <w:sz w:val="20"/>
          <w:szCs w:val="20"/>
          <w:lang w:val="es-CO" w:eastAsia="es-CO"/>
        </w:rPr>
        <w:t> </w:t>
      </w:r>
    </w:p>
    <w:p w14:paraId="580027B5" w14:textId="77777777" w:rsidR="00444B5E" w:rsidRPr="00444B5E" w:rsidRDefault="00444B5E" w:rsidP="00444B5E">
      <w:pPr>
        <w:spacing w:after="0" w:line="240" w:lineRule="auto"/>
        <w:textAlignment w:val="baseline"/>
        <w:rPr>
          <w:rFonts w:ascii="Arial" w:eastAsia="Times New Roman" w:hAnsi="Arial" w:cs="Arial"/>
          <w:sz w:val="18"/>
          <w:szCs w:val="18"/>
          <w:lang w:val="es-CO" w:eastAsia="es-CO"/>
        </w:rPr>
      </w:pPr>
      <w:r w:rsidRPr="00444B5E">
        <w:rPr>
          <w:rFonts w:ascii="Arial" w:eastAsia="Times New Roman" w:hAnsi="Arial" w:cs="Arial"/>
          <w:color w:val="000000"/>
          <w:sz w:val="20"/>
          <w:szCs w:val="20"/>
          <w:lang w:val="es-ES" w:eastAsia="es-CO"/>
        </w:rPr>
        <w:t>Sin embargo, esta salvedad no puede extenderse a otros eventos o situaciones particulares diferentes a la descrita en la norma en favor de un proponente. En efecto, como se explicó, los factores de desempate son de obligatoria observancia y su aplicación es estricta de manera que no pueden aplicarse incluyendo eventos o excepciones que no estén amparadas en el ordenamiento jurídico. De este modo, aceptar criterios diferentes a los señalados en la norma bajo interpretaciones subjetivas no solo permitiría que la entidad discrecionalmente determine múltiples formas de aplicación de los factores de desempate para cada caso concreto, sino que también contraviene los principios de selección objetiva y de igualdad.</w:t>
      </w:r>
      <w:r w:rsidRPr="00444B5E">
        <w:rPr>
          <w:rFonts w:ascii="Arial" w:eastAsia="Times New Roman" w:hAnsi="Arial" w:cs="Arial"/>
          <w:color w:val="000000"/>
          <w:sz w:val="20"/>
          <w:szCs w:val="20"/>
          <w:lang w:val="es-CO" w:eastAsia="es-CO"/>
        </w:rPr>
        <w:t> </w:t>
      </w:r>
    </w:p>
    <w:p w14:paraId="19003947" w14:textId="77777777" w:rsidR="00444B5E" w:rsidRPr="00444B5E" w:rsidRDefault="00444B5E" w:rsidP="00444B5E">
      <w:pPr>
        <w:spacing w:after="0" w:line="240" w:lineRule="auto"/>
        <w:rPr>
          <w:rFonts w:ascii="Arial" w:eastAsia="Calibri" w:hAnsi="Arial" w:cs="Arial"/>
          <w:noProof/>
        </w:rPr>
      </w:pPr>
    </w:p>
    <w:p w14:paraId="38A20933" w14:textId="77777777" w:rsidR="00444B5E" w:rsidRPr="00444B5E" w:rsidRDefault="00444B5E" w:rsidP="00444B5E">
      <w:pPr>
        <w:spacing w:after="0" w:line="240" w:lineRule="auto"/>
        <w:rPr>
          <w:rFonts w:ascii="Arial" w:eastAsia="Calibri" w:hAnsi="Arial" w:cs="Arial"/>
          <w:noProof/>
        </w:rPr>
      </w:pPr>
    </w:p>
    <w:p w14:paraId="3B47AA0B" w14:textId="77777777" w:rsidR="00444B5E" w:rsidRPr="00444B5E" w:rsidRDefault="00444B5E" w:rsidP="00444B5E">
      <w:pPr>
        <w:spacing w:after="0" w:line="240" w:lineRule="auto"/>
        <w:rPr>
          <w:rFonts w:ascii="Arial" w:eastAsia="Calibri" w:hAnsi="Arial" w:cs="Arial"/>
          <w:noProof/>
        </w:rPr>
      </w:pPr>
    </w:p>
    <w:p w14:paraId="47532A88" w14:textId="77777777" w:rsidR="00444B5E" w:rsidRPr="00444B5E" w:rsidRDefault="00444B5E" w:rsidP="00444B5E">
      <w:pPr>
        <w:spacing w:after="0" w:line="240" w:lineRule="auto"/>
        <w:rPr>
          <w:rFonts w:ascii="Arial" w:eastAsia="Calibri" w:hAnsi="Arial" w:cs="Arial"/>
          <w:noProof/>
        </w:rPr>
      </w:pPr>
    </w:p>
    <w:p w14:paraId="5C9388A2" w14:textId="77777777" w:rsidR="00444B5E" w:rsidRPr="00444B5E" w:rsidRDefault="00444B5E" w:rsidP="00444B5E">
      <w:pPr>
        <w:spacing w:after="0" w:line="240" w:lineRule="auto"/>
        <w:rPr>
          <w:rFonts w:ascii="Arial" w:eastAsia="Calibri" w:hAnsi="Arial" w:cs="Arial"/>
          <w:noProof/>
        </w:rPr>
      </w:pPr>
    </w:p>
    <w:p w14:paraId="22ED97E7" w14:textId="77777777" w:rsidR="00444B5E" w:rsidRPr="00444B5E" w:rsidRDefault="00444B5E" w:rsidP="00444B5E">
      <w:pPr>
        <w:spacing w:after="0" w:line="240" w:lineRule="auto"/>
        <w:rPr>
          <w:rFonts w:ascii="Arial" w:eastAsia="Calibri" w:hAnsi="Arial" w:cs="Arial"/>
          <w:noProof/>
        </w:rPr>
      </w:pPr>
    </w:p>
    <w:p w14:paraId="0FE945B9" w14:textId="77777777" w:rsidR="00444B5E" w:rsidRPr="00444B5E" w:rsidRDefault="00444B5E" w:rsidP="00444B5E">
      <w:pPr>
        <w:spacing w:after="0" w:line="240" w:lineRule="auto"/>
        <w:rPr>
          <w:rFonts w:ascii="Arial" w:eastAsia="Calibri" w:hAnsi="Arial" w:cs="Arial"/>
          <w:noProof/>
        </w:rPr>
      </w:pPr>
    </w:p>
    <w:p w14:paraId="032484A8" w14:textId="77777777" w:rsidR="00444B5E" w:rsidRPr="00444B5E" w:rsidRDefault="00444B5E" w:rsidP="00444B5E">
      <w:pPr>
        <w:spacing w:after="0" w:line="240" w:lineRule="auto"/>
        <w:rPr>
          <w:rFonts w:ascii="Arial" w:eastAsia="Calibri" w:hAnsi="Arial" w:cs="Arial"/>
          <w:noProof/>
        </w:rPr>
      </w:pPr>
    </w:p>
    <w:p w14:paraId="2B01C838" w14:textId="77777777" w:rsidR="00444B5E" w:rsidRPr="00444B5E" w:rsidRDefault="00444B5E" w:rsidP="00444B5E">
      <w:pPr>
        <w:spacing w:after="0" w:line="240" w:lineRule="auto"/>
        <w:rPr>
          <w:rFonts w:ascii="Arial" w:eastAsia="Calibri" w:hAnsi="Arial" w:cs="Arial"/>
          <w:noProof/>
        </w:rPr>
      </w:pPr>
    </w:p>
    <w:p w14:paraId="7E6AE61B" w14:textId="77777777" w:rsidR="00444B5E" w:rsidRPr="00444B5E" w:rsidRDefault="00444B5E" w:rsidP="00444B5E">
      <w:pPr>
        <w:spacing w:after="0" w:line="240" w:lineRule="auto"/>
        <w:rPr>
          <w:rFonts w:ascii="Arial" w:eastAsia="Calibri" w:hAnsi="Arial" w:cs="Arial"/>
          <w:noProof/>
        </w:rPr>
      </w:pPr>
    </w:p>
    <w:p w14:paraId="660AA1E0" w14:textId="77777777" w:rsidR="00444B5E" w:rsidRPr="00444B5E" w:rsidRDefault="00444B5E" w:rsidP="00444B5E">
      <w:pPr>
        <w:spacing w:after="0" w:line="240" w:lineRule="auto"/>
        <w:rPr>
          <w:rFonts w:ascii="Arial" w:eastAsia="Calibri" w:hAnsi="Arial" w:cs="Arial"/>
          <w:noProof/>
        </w:rPr>
      </w:pPr>
    </w:p>
    <w:p w14:paraId="40F1092F" w14:textId="77777777" w:rsidR="00444B5E" w:rsidRPr="00444B5E" w:rsidRDefault="00444B5E" w:rsidP="00444B5E">
      <w:pPr>
        <w:spacing w:after="0" w:line="240" w:lineRule="auto"/>
        <w:rPr>
          <w:rFonts w:ascii="Arial" w:eastAsia="Calibri" w:hAnsi="Arial" w:cs="Arial"/>
          <w:noProof/>
        </w:rPr>
      </w:pPr>
    </w:p>
    <w:p w14:paraId="79FA1EBF" w14:textId="77777777" w:rsidR="00444B5E" w:rsidRPr="00444B5E" w:rsidRDefault="00444B5E" w:rsidP="00444B5E">
      <w:pPr>
        <w:spacing w:after="0" w:line="240" w:lineRule="auto"/>
        <w:rPr>
          <w:rFonts w:ascii="Arial" w:eastAsia="Calibri" w:hAnsi="Arial" w:cs="Arial"/>
          <w:noProof/>
        </w:rPr>
      </w:pPr>
    </w:p>
    <w:p w14:paraId="0B7A7AF4" w14:textId="77777777" w:rsidR="00444B5E" w:rsidRPr="00444B5E" w:rsidRDefault="00444B5E" w:rsidP="00444B5E">
      <w:pPr>
        <w:spacing w:after="0" w:line="240" w:lineRule="auto"/>
        <w:rPr>
          <w:rFonts w:ascii="Arial" w:eastAsia="Calibri" w:hAnsi="Arial" w:cs="Arial"/>
          <w:noProof/>
        </w:rPr>
      </w:pPr>
    </w:p>
    <w:p w14:paraId="74CB95F7" w14:textId="77777777" w:rsidR="00444B5E" w:rsidRPr="00444B5E" w:rsidRDefault="00444B5E" w:rsidP="00444B5E">
      <w:pPr>
        <w:spacing w:after="0" w:line="240" w:lineRule="auto"/>
        <w:rPr>
          <w:rFonts w:ascii="Arial" w:eastAsia="Calibri" w:hAnsi="Arial" w:cs="Arial"/>
          <w:noProof/>
        </w:rPr>
      </w:pPr>
    </w:p>
    <w:p w14:paraId="41450ED4" w14:textId="77777777" w:rsidR="00444B5E" w:rsidRPr="00444B5E" w:rsidRDefault="00444B5E" w:rsidP="00444B5E">
      <w:pPr>
        <w:spacing w:after="0" w:line="240" w:lineRule="auto"/>
        <w:rPr>
          <w:rFonts w:ascii="Arial" w:eastAsia="Calibri" w:hAnsi="Arial" w:cs="Arial"/>
          <w:noProof/>
        </w:rPr>
      </w:pPr>
    </w:p>
    <w:p w14:paraId="1156BCA6" w14:textId="77777777" w:rsidR="00444B5E" w:rsidRPr="00444B5E" w:rsidRDefault="00444B5E" w:rsidP="00444B5E">
      <w:pPr>
        <w:spacing w:after="0" w:line="240" w:lineRule="auto"/>
        <w:rPr>
          <w:rFonts w:ascii="Arial" w:eastAsia="Calibri" w:hAnsi="Arial" w:cs="Arial"/>
          <w:noProof/>
        </w:rPr>
      </w:pPr>
    </w:p>
    <w:p w14:paraId="478FF9C8" w14:textId="77777777" w:rsidR="00444B5E" w:rsidRPr="00444B5E" w:rsidRDefault="00444B5E" w:rsidP="00444B5E">
      <w:pPr>
        <w:spacing w:after="0" w:line="240" w:lineRule="auto"/>
        <w:rPr>
          <w:rFonts w:ascii="Arial" w:eastAsia="Calibri" w:hAnsi="Arial" w:cs="Arial"/>
          <w:noProof/>
        </w:rPr>
      </w:pPr>
    </w:p>
    <w:p w14:paraId="796E4073" w14:textId="77777777" w:rsidR="00444B5E" w:rsidRPr="00444B5E" w:rsidRDefault="00444B5E" w:rsidP="00444B5E">
      <w:pPr>
        <w:spacing w:after="0" w:line="240" w:lineRule="auto"/>
        <w:rPr>
          <w:rFonts w:ascii="Arial" w:eastAsia="Calibri" w:hAnsi="Arial" w:cs="Arial"/>
          <w:noProof/>
        </w:rPr>
      </w:pPr>
    </w:p>
    <w:p w14:paraId="15AB70F8" w14:textId="77777777" w:rsidR="00444B5E" w:rsidRPr="00444B5E" w:rsidRDefault="00444B5E" w:rsidP="00444B5E">
      <w:pPr>
        <w:spacing w:after="0" w:line="240" w:lineRule="auto"/>
        <w:rPr>
          <w:rFonts w:ascii="Arial" w:eastAsia="Calibri" w:hAnsi="Arial" w:cs="Arial"/>
          <w:noProof/>
        </w:rPr>
      </w:pPr>
    </w:p>
    <w:p w14:paraId="6D1990DD" w14:textId="77777777" w:rsidR="00444B5E" w:rsidRPr="00444B5E" w:rsidRDefault="00444B5E" w:rsidP="00444B5E">
      <w:pPr>
        <w:spacing w:after="0" w:line="240" w:lineRule="auto"/>
        <w:rPr>
          <w:rFonts w:ascii="Arial" w:eastAsia="Calibri" w:hAnsi="Arial" w:cs="Arial"/>
          <w:noProof/>
        </w:rPr>
      </w:pPr>
    </w:p>
    <w:p w14:paraId="08D76606" w14:textId="77777777" w:rsidR="00444B5E" w:rsidRPr="00444B5E" w:rsidRDefault="00444B5E" w:rsidP="00444B5E">
      <w:pPr>
        <w:spacing w:after="0" w:line="240" w:lineRule="auto"/>
        <w:rPr>
          <w:rFonts w:ascii="Arial" w:eastAsia="Calibri" w:hAnsi="Arial" w:cs="Arial"/>
          <w:noProof/>
        </w:rPr>
      </w:pPr>
    </w:p>
    <w:p w14:paraId="65635D75" w14:textId="5B2F3719" w:rsidR="00444B5E" w:rsidRPr="00444B5E" w:rsidRDefault="00BB45CC" w:rsidP="00BB45CC">
      <w:pPr>
        <w:spacing w:after="0" w:line="240" w:lineRule="auto"/>
        <w:jc w:val="right"/>
        <w:rPr>
          <w:rFonts w:ascii="Arial" w:eastAsia="Calibri" w:hAnsi="Arial" w:cs="Arial"/>
          <w:noProof/>
        </w:rPr>
      </w:pPr>
      <w:r w:rsidRPr="00BB45CC">
        <w:rPr>
          <w:rFonts w:ascii="Arial" w:eastAsia="Calibri" w:hAnsi="Arial" w:cs="Arial"/>
          <w:noProof/>
        </w:rPr>
        <w:lastRenderedPageBreak/>
        <w:drawing>
          <wp:inline distT="0" distB="0" distL="0" distR="0" wp14:anchorId="3D619173" wp14:editId="6315BAAC">
            <wp:extent cx="2543530" cy="68589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3530" cy="685896"/>
                    </a:xfrm>
                    <a:prstGeom prst="rect">
                      <a:avLst/>
                    </a:prstGeom>
                  </pic:spPr>
                </pic:pic>
              </a:graphicData>
            </a:graphic>
          </wp:inline>
        </w:drawing>
      </w:r>
    </w:p>
    <w:p w14:paraId="37BD0996" w14:textId="77777777" w:rsidR="00444B5E" w:rsidRPr="00444B5E" w:rsidRDefault="00444B5E" w:rsidP="00444B5E">
      <w:pPr>
        <w:spacing w:after="0" w:line="240" w:lineRule="auto"/>
        <w:rPr>
          <w:rFonts w:ascii="Arial" w:eastAsia="Calibri" w:hAnsi="Arial" w:cs="Arial"/>
          <w:noProof/>
        </w:rPr>
      </w:pPr>
    </w:p>
    <w:p w14:paraId="6A25925C" w14:textId="77777777" w:rsidR="00444B5E" w:rsidRPr="00444B5E" w:rsidRDefault="00444B5E" w:rsidP="00444B5E">
      <w:pPr>
        <w:spacing w:after="0"/>
        <w:rPr>
          <w:rFonts w:ascii="Arial" w:eastAsia="Geomanist Light" w:hAnsi="Arial" w:cs="Arial"/>
          <w:sz w:val="22"/>
        </w:rPr>
      </w:pPr>
      <w:r w:rsidRPr="00444B5E">
        <w:rPr>
          <w:rFonts w:ascii="Arial" w:eastAsia="Geomanist Light" w:hAnsi="Arial" w:cs="Arial"/>
          <w:sz w:val="22"/>
        </w:rPr>
        <w:t>Bogotá D.C., 31 de enero de 2023</w:t>
      </w:r>
    </w:p>
    <w:p w14:paraId="3E6CCF94" w14:textId="77777777" w:rsidR="00444B5E" w:rsidRPr="00444B5E" w:rsidRDefault="00444B5E" w:rsidP="00444B5E">
      <w:pPr>
        <w:spacing w:after="0" w:line="240" w:lineRule="auto"/>
        <w:rPr>
          <w:rFonts w:ascii="Arial" w:eastAsia="Calibri" w:hAnsi="Arial" w:cs="Arial"/>
          <w:sz w:val="22"/>
        </w:rPr>
      </w:pPr>
    </w:p>
    <w:p w14:paraId="6F6439C7" w14:textId="77777777" w:rsidR="00444B5E" w:rsidRPr="00444B5E" w:rsidRDefault="00444B5E" w:rsidP="00444B5E">
      <w:pPr>
        <w:spacing w:after="0" w:line="240" w:lineRule="auto"/>
        <w:rPr>
          <w:rFonts w:ascii="Arial" w:eastAsia="Calibri" w:hAnsi="Arial" w:cs="Arial"/>
          <w:sz w:val="22"/>
        </w:rPr>
      </w:pPr>
    </w:p>
    <w:p w14:paraId="73097F66" w14:textId="77777777" w:rsidR="00444B5E" w:rsidRPr="00444B5E" w:rsidRDefault="00444B5E" w:rsidP="00444B5E">
      <w:pPr>
        <w:spacing w:after="0" w:line="240" w:lineRule="auto"/>
        <w:rPr>
          <w:rFonts w:ascii="Arial" w:eastAsia="Calibri" w:hAnsi="Arial" w:cs="Arial"/>
          <w:sz w:val="22"/>
        </w:rPr>
      </w:pPr>
      <w:bookmarkStart w:id="0" w:name="_Hlk96417464"/>
    </w:p>
    <w:p w14:paraId="4E6972DA" w14:textId="77777777" w:rsidR="00444B5E" w:rsidRPr="00444B5E" w:rsidRDefault="00444B5E" w:rsidP="00444B5E">
      <w:pPr>
        <w:spacing w:after="0" w:line="240" w:lineRule="auto"/>
        <w:rPr>
          <w:rFonts w:ascii="Arial" w:eastAsia="Calibri" w:hAnsi="Arial" w:cs="Arial"/>
          <w:sz w:val="22"/>
        </w:rPr>
      </w:pPr>
      <w:r w:rsidRPr="00444B5E">
        <w:rPr>
          <w:rFonts w:ascii="Arial" w:eastAsia="Calibri" w:hAnsi="Arial" w:cs="Arial"/>
          <w:sz w:val="22"/>
        </w:rPr>
        <w:t>Señor</w:t>
      </w:r>
    </w:p>
    <w:p w14:paraId="3E67E658" w14:textId="77777777" w:rsidR="00444B5E" w:rsidRPr="00444B5E" w:rsidRDefault="00444B5E" w:rsidP="00444B5E">
      <w:pPr>
        <w:spacing w:after="0" w:line="240" w:lineRule="auto"/>
        <w:rPr>
          <w:rFonts w:ascii="Arial" w:eastAsia="Calibri" w:hAnsi="Arial" w:cs="Arial"/>
          <w:b/>
          <w:bCs/>
          <w:sz w:val="22"/>
        </w:rPr>
      </w:pPr>
      <w:r w:rsidRPr="00444B5E">
        <w:rPr>
          <w:rFonts w:ascii="Arial" w:eastAsia="Calibri" w:hAnsi="Arial" w:cs="Arial"/>
          <w:b/>
          <w:bCs/>
          <w:sz w:val="22"/>
        </w:rPr>
        <w:t>Carlos Gabriel Camacho Obregón</w:t>
      </w:r>
    </w:p>
    <w:p w14:paraId="32FC8CF2" w14:textId="77777777" w:rsidR="00444B5E" w:rsidRPr="00444B5E" w:rsidRDefault="00CA22D2" w:rsidP="00444B5E">
      <w:pPr>
        <w:spacing w:after="0" w:line="240" w:lineRule="auto"/>
        <w:rPr>
          <w:rFonts w:ascii="Arial" w:eastAsia="Calibri" w:hAnsi="Arial" w:cs="Arial"/>
          <w:sz w:val="22"/>
        </w:rPr>
      </w:pPr>
      <w:hyperlink r:id="rId12" w:history="1">
        <w:r w:rsidR="00444B5E" w:rsidRPr="00444B5E">
          <w:rPr>
            <w:rFonts w:ascii="Arial" w:eastAsia="Calibri" w:hAnsi="Arial" w:cs="Arial"/>
            <w:color w:val="0563C1" w:themeColor="hyperlink"/>
            <w:sz w:val="22"/>
            <w:u w:val="single"/>
          </w:rPr>
          <w:t>camacho12@hotmail.com</w:t>
        </w:r>
      </w:hyperlink>
      <w:r w:rsidR="00444B5E" w:rsidRPr="00444B5E">
        <w:rPr>
          <w:rFonts w:ascii="Arial" w:eastAsia="Calibri" w:hAnsi="Arial" w:cs="Arial"/>
          <w:sz w:val="22"/>
        </w:rPr>
        <w:t xml:space="preserve"> </w:t>
      </w:r>
    </w:p>
    <w:p w14:paraId="1DB7E4A0" w14:textId="77777777" w:rsidR="00444B5E" w:rsidRPr="00444B5E" w:rsidRDefault="00444B5E" w:rsidP="00444B5E">
      <w:pPr>
        <w:spacing w:after="0" w:line="240" w:lineRule="auto"/>
        <w:rPr>
          <w:rFonts w:ascii="Arial" w:eastAsia="Calibri" w:hAnsi="Arial" w:cs="Arial"/>
          <w:sz w:val="22"/>
        </w:rPr>
      </w:pPr>
      <w:r w:rsidRPr="00444B5E">
        <w:rPr>
          <w:rFonts w:ascii="Arial" w:eastAsia="Calibri" w:hAnsi="Arial" w:cs="Arial"/>
          <w:sz w:val="22"/>
        </w:rPr>
        <w:t>Bogotá D.C.</w:t>
      </w:r>
    </w:p>
    <w:p w14:paraId="32CA9742" w14:textId="77777777" w:rsidR="00444B5E" w:rsidRPr="00444B5E" w:rsidRDefault="00444B5E" w:rsidP="00444B5E">
      <w:pPr>
        <w:spacing w:after="0" w:line="240" w:lineRule="auto"/>
        <w:rPr>
          <w:rFonts w:ascii="Arial" w:eastAsia="Calibri" w:hAnsi="Arial" w:cs="Arial"/>
          <w:sz w:val="22"/>
        </w:rPr>
      </w:pPr>
    </w:p>
    <w:p w14:paraId="21197D3F" w14:textId="77777777" w:rsidR="00444B5E" w:rsidRPr="00444B5E" w:rsidRDefault="00444B5E" w:rsidP="00444B5E">
      <w:pPr>
        <w:spacing w:after="0" w:line="240" w:lineRule="auto"/>
        <w:rPr>
          <w:rFonts w:ascii="Arial" w:eastAsia="Calibri" w:hAnsi="Arial" w:cs="Arial"/>
          <w:sz w:val="22"/>
        </w:rPr>
      </w:pPr>
    </w:p>
    <w:p w14:paraId="69E68B30" w14:textId="77777777" w:rsidR="00444B5E" w:rsidRPr="00444B5E" w:rsidRDefault="00444B5E" w:rsidP="00444B5E">
      <w:pPr>
        <w:spacing w:after="0" w:line="240" w:lineRule="auto"/>
        <w:rPr>
          <w:rFonts w:ascii="Arial" w:eastAsia="Calibri" w:hAnsi="Arial" w:cs="Arial"/>
          <w:sz w:val="22"/>
        </w:rPr>
      </w:pPr>
    </w:p>
    <w:p w14:paraId="4C769E35" w14:textId="77777777" w:rsidR="00444B5E" w:rsidRPr="00444B5E" w:rsidRDefault="00444B5E" w:rsidP="00444B5E">
      <w:pPr>
        <w:spacing w:after="0" w:line="240" w:lineRule="auto"/>
        <w:rPr>
          <w:rFonts w:ascii="Arial" w:hAnsi="Arial" w:cs="Arial"/>
          <w:sz w:val="22"/>
        </w:rPr>
      </w:pPr>
      <w:r w:rsidRPr="00444B5E">
        <w:rPr>
          <w:rFonts w:ascii="Arial" w:eastAsia="Calibri" w:hAnsi="Arial" w:cs="Arial"/>
          <w:sz w:val="22"/>
        </w:rPr>
        <w:t xml:space="preserve">                                            </w:t>
      </w:r>
      <w:r w:rsidRPr="00444B5E">
        <w:rPr>
          <w:rFonts w:ascii="Arial" w:eastAsia="Calibri" w:hAnsi="Arial" w:cs="Arial"/>
          <w:b/>
          <w:sz w:val="22"/>
        </w:rPr>
        <w:t>Concepto – C-934 de 2022</w:t>
      </w:r>
      <w:r w:rsidRPr="00444B5E">
        <w:rPr>
          <w:rFonts w:ascii="Arial" w:hAnsi="Arial" w:cs="Arial"/>
          <w:sz w:val="22"/>
        </w:rPr>
        <w:t xml:space="preserve"> </w:t>
      </w:r>
    </w:p>
    <w:p w14:paraId="7DA03510" w14:textId="77777777" w:rsidR="00444B5E" w:rsidRPr="00444B5E" w:rsidRDefault="00444B5E" w:rsidP="00444B5E">
      <w:pPr>
        <w:spacing w:after="0" w:line="240" w:lineRule="auto"/>
        <w:rPr>
          <w:rFonts w:ascii="Arial" w:hAnsi="Arial" w:cs="Arial"/>
          <w:sz w:val="22"/>
        </w:rPr>
      </w:pPr>
    </w:p>
    <w:p w14:paraId="0620908A" w14:textId="77777777" w:rsidR="00444B5E" w:rsidRPr="00444B5E" w:rsidRDefault="00444B5E" w:rsidP="00444B5E">
      <w:pPr>
        <w:spacing w:after="0" w:line="240" w:lineRule="auto"/>
        <w:rPr>
          <w:rFonts w:ascii="Arial" w:eastAsia="Calibri" w:hAnsi="Arial" w:cs="Arial"/>
          <w:b/>
          <w:sz w:val="22"/>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44B5E" w:rsidRPr="00444B5E" w14:paraId="60700BBD" w14:textId="77777777" w:rsidTr="007625D1">
        <w:trPr>
          <w:trHeight w:val="485"/>
        </w:trPr>
        <w:tc>
          <w:tcPr>
            <w:tcW w:w="2689" w:type="dxa"/>
            <w:hideMark/>
          </w:tcPr>
          <w:p w14:paraId="2A55BD00" w14:textId="77777777" w:rsidR="00444B5E" w:rsidRPr="00444B5E" w:rsidRDefault="00444B5E" w:rsidP="00444B5E">
            <w:pPr>
              <w:contextualSpacing/>
              <w:rPr>
                <w:rFonts w:ascii="Arial" w:eastAsia="Calibri" w:hAnsi="Arial" w:cs="Arial"/>
                <w:noProof/>
                <w:sz w:val="22"/>
                <w:lang w:val="es-ES_tradnl"/>
              </w:rPr>
            </w:pPr>
            <w:r w:rsidRPr="00444B5E">
              <w:rPr>
                <w:rFonts w:ascii="Arial" w:eastAsia="Calibri" w:hAnsi="Arial" w:cs="Arial"/>
                <w:b/>
                <w:noProof/>
                <w:sz w:val="22"/>
                <w:lang w:val="es-ES_tradnl"/>
              </w:rPr>
              <w:t>Temas:</w:t>
            </w:r>
            <w:r w:rsidRPr="00444B5E">
              <w:rPr>
                <w:rFonts w:ascii="Arial" w:eastAsia="Calibri" w:hAnsi="Arial" w:cs="Arial"/>
                <w:noProof/>
                <w:sz w:val="22"/>
                <w:lang w:val="es-ES_tradnl"/>
              </w:rPr>
              <w:t xml:space="preserve">        </w:t>
            </w:r>
          </w:p>
        </w:tc>
        <w:tc>
          <w:tcPr>
            <w:tcW w:w="6237" w:type="dxa"/>
            <w:hideMark/>
          </w:tcPr>
          <w:p w14:paraId="36406BB0" w14:textId="77777777" w:rsidR="00444B5E" w:rsidRPr="00444B5E" w:rsidRDefault="00444B5E" w:rsidP="00444B5E">
            <w:pPr>
              <w:spacing w:after="120"/>
              <w:ind w:right="703"/>
              <w:rPr>
                <w:rFonts w:ascii="Arial" w:eastAsia="Calibri" w:hAnsi="Arial" w:cs="Arial"/>
                <w:bCs/>
                <w:sz w:val="22"/>
              </w:rPr>
            </w:pPr>
            <w:r w:rsidRPr="00444B5E">
              <w:rPr>
                <w:rFonts w:ascii="Arial" w:eastAsia="Calibri" w:hAnsi="Arial" w:cs="Arial"/>
                <w:bCs/>
                <w:sz w:val="22"/>
              </w:rPr>
              <w:t>FACTORES DE DESEMPATE – Características – Límites / LEY DE EMPRENDIMIENTO – Ley 2069 de 2020 – Reglamentación – Decreto 1860 de 2021 – Vigencia / FACTORES DE DESEMPATE – Ley 2069 de 2020 – Numeral 4 – Decreto 1860 de 2021 – Mayor proporción</w:t>
            </w:r>
          </w:p>
        </w:tc>
      </w:tr>
      <w:tr w:rsidR="00444B5E" w:rsidRPr="00444B5E" w14:paraId="4DDFAC34" w14:textId="77777777" w:rsidTr="007625D1">
        <w:trPr>
          <w:trHeight w:val="485"/>
        </w:trPr>
        <w:tc>
          <w:tcPr>
            <w:tcW w:w="2689" w:type="dxa"/>
          </w:tcPr>
          <w:p w14:paraId="457F3278" w14:textId="77777777" w:rsidR="00444B5E" w:rsidRPr="00444B5E" w:rsidRDefault="00444B5E" w:rsidP="00444B5E">
            <w:pPr>
              <w:contextualSpacing/>
              <w:rPr>
                <w:rFonts w:ascii="Arial" w:eastAsia="Calibri" w:hAnsi="Arial" w:cs="Arial"/>
                <w:b/>
                <w:noProof/>
                <w:sz w:val="22"/>
                <w:lang w:val="es-ES_tradnl"/>
              </w:rPr>
            </w:pPr>
          </w:p>
        </w:tc>
        <w:tc>
          <w:tcPr>
            <w:tcW w:w="6237" w:type="dxa"/>
          </w:tcPr>
          <w:p w14:paraId="3BBFF325" w14:textId="77777777" w:rsidR="00444B5E" w:rsidRPr="00444B5E" w:rsidRDefault="00444B5E" w:rsidP="00444B5E">
            <w:pPr>
              <w:spacing w:after="120"/>
              <w:ind w:right="703"/>
              <w:rPr>
                <w:rFonts w:ascii="Arial" w:eastAsia="Calibri" w:hAnsi="Arial" w:cs="Arial"/>
                <w:bCs/>
                <w:sz w:val="22"/>
              </w:rPr>
            </w:pPr>
          </w:p>
        </w:tc>
      </w:tr>
      <w:tr w:rsidR="00444B5E" w:rsidRPr="00444B5E" w14:paraId="18A0161D" w14:textId="77777777" w:rsidTr="007625D1">
        <w:tc>
          <w:tcPr>
            <w:tcW w:w="2689" w:type="dxa"/>
          </w:tcPr>
          <w:p w14:paraId="18DE37F6" w14:textId="77777777" w:rsidR="00444B5E" w:rsidRPr="00444B5E" w:rsidRDefault="00444B5E" w:rsidP="00444B5E">
            <w:pPr>
              <w:contextualSpacing/>
              <w:rPr>
                <w:rFonts w:ascii="Arial" w:eastAsia="Calibri" w:hAnsi="Arial" w:cs="Arial"/>
                <w:b/>
                <w:noProof/>
                <w:sz w:val="22"/>
                <w:lang w:val="es-ES_tradnl"/>
              </w:rPr>
            </w:pPr>
            <w:r w:rsidRPr="00444B5E">
              <w:rPr>
                <w:rFonts w:ascii="Arial" w:eastAsia="Calibri" w:hAnsi="Arial" w:cs="Arial"/>
                <w:b/>
                <w:noProof/>
                <w:sz w:val="22"/>
                <w:lang w:val="es-ES_tradnl"/>
              </w:rPr>
              <w:t>Radicación:</w:t>
            </w:r>
            <w:r w:rsidRPr="00444B5E">
              <w:rPr>
                <w:rFonts w:ascii="Arial" w:eastAsia="Calibri" w:hAnsi="Arial" w:cs="Arial"/>
                <w:noProof/>
                <w:sz w:val="22"/>
                <w:lang w:val="es-ES_tradnl"/>
              </w:rPr>
              <w:t xml:space="preserve">                              </w:t>
            </w:r>
          </w:p>
        </w:tc>
        <w:tc>
          <w:tcPr>
            <w:tcW w:w="6237" w:type="dxa"/>
          </w:tcPr>
          <w:p w14:paraId="20158F84" w14:textId="77777777" w:rsidR="00444B5E" w:rsidRPr="00444B5E" w:rsidRDefault="00444B5E" w:rsidP="00444B5E">
            <w:pPr>
              <w:contextualSpacing/>
              <w:rPr>
                <w:rFonts w:ascii="Arial" w:eastAsia="Calibri" w:hAnsi="Arial" w:cs="Arial"/>
                <w:sz w:val="22"/>
                <w:lang w:val="es-ES"/>
              </w:rPr>
            </w:pPr>
            <w:r w:rsidRPr="00444B5E">
              <w:rPr>
                <w:rFonts w:ascii="Arial" w:eastAsia="Calibri" w:hAnsi="Arial" w:cs="Arial"/>
                <w:sz w:val="22"/>
                <w:lang w:val="es-ES"/>
              </w:rPr>
              <w:t>Respuesta a consulta P20221220012376</w:t>
            </w:r>
            <w:r w:rsidRPr="00444B5E">
              <w:rPr>
                <w:rFonts w:ascii="Arial" w:eastAsia="Calibri" w:hAnsi="Arial" w:cs="Arial"/>
                <w:sz w:val="22"/>
                <w:lang w:val="es-ES"/>
              </w:rPr>
              <w:tab/>
            </w:r>
            <w:r w:rsidRPr="00444B5E">
              <w:rPr>
                <w:rFonts w:ascii="Arial" w:hAnsi="Arial" w:cs="Arial"/>
                <w:sz w:val="22"/>
              </w:rPr>
              <w:tab/>
            </w:r>
          </w:p>
          <w:p w14:paraId="762F88CD" w14:textId="77777777" w:rsidR="00444B5E" w:rsidRPr="00444B5E" w:rsidRDefault="00444B5E" w:rsidP="00444B5E">
            <w:pPr>
              <w:contextualSpacing/>
              <w:rPr>
                <w:rFonts w:ascii="Arial" w:eastAsia="Calibri" w:hAnsi="Arial" w:cs="Arial"/>
                <w:noProof/>
                <w:sz w:val="22"/>
                <w:lang w:val="es-ES_tradnl"/>
              </w:rPr>
            </w:pPr>
            <w:r w:rsidRPr="00444B5E">
              <w:rPr>
                <w:rFonts w:ascii="Arial" w:eastAsia="Calibri" w:hAnsi="Arial" w:cs="Arial"/>
                <w:noProof/>
                <w:sz w:val="22"/>
                <w:lang w:val="es-ES_tradnl"/>
              </w:rPr>
              <w:t xml:space="preserve">                                    </w:t>
            </w:r>
          </w:p>
        </w:tc>
      </w:tr>
    </w:tbl>
    <w:p w14:paraId="507D10E7" w14:textId="77777777" w:rsidR="00444B5E" w:rsidRPr="00444B5E" w:rsidRDefault="00444B5E" w:rsidP="00444B5E">
      <w:pPr>
        <w:spacing w:after="0" w:line="240" w:lineRule="auto"/>
        <w:rPr>
          <w:rFonts w:ascii="Arial" w:eastAsia="Calibri" w:hAnsi="Arial" w:cs="Arial"/>
        </w:rPr>
      </w:pPr>
    </w:p>
    <w:p w14:paraId="68FE5ADD" w14:textId="77777777" w:rsidR="00444B5E" w:rsidRPr="00444B5E" w:rsidRDefault="00444B5E" w:rsidP="00444B5E">
      <w:pPr>
        <w:spacing w:after="0"/>
        <w:rPr>
          <w:rFonts w:ascii="Arial" w:eastAsia="Calibri" w:hAnsi="Arial" w:cs="Arial"/>
          <w:sz w:val="22"/>
        </w:rPr>
      </w:pPr>
      <w:r w:rsidRPr="00444B5E">
        <w:rPr>
          <w:rFonts w:ascii="Arial" w:eastAsia="Calibri" w:hAnsi="Arial" w:cs="Arial"/>
          <w:sz w:val="22"/>
        </w:rPr>
        <w:t xml:space="preserve">Estimado Señor Camacho: </w:t>
      </w:r>
    </w:p>
    <w:p w14:paraId="00F0AE2D" w14:textId="77777777" w:rsidR="00444B5E" w:rsidRPr="00444B5E" w:rsidRDefault="00444B5E" w:rsidP="00444B5E">
      <w:pPr>
        <w:spacing w:after="0"/>
        <w:rPr>
          <w:rFonts w:ascii="Arial" w:eastAsia="Calibri" w:hAnsi="Arial" w:cs="Arial"/>
          <w:sz w:val="22"/>
        </w:rPr>
      </w:pPr>
    </w:p>
    <w:p w14:paraId="2C569851" w14:textId="77777777" w:rsidR="00444B5E" w:rsidRPr="00444B5E" w:rsidRDefault="00444B5E" w:rsidP="00444B5E">
      <w:pPr>
        <w:spacing w:after="0"/>
        <w:ind w:right="51"/>
        <w:rPr>
          <w:rFonts w:ascii="Arial" w:eastAsia="Calibri" w:hAnsi="Arial" w:cs="Arial"/>
          <w:sz w:val="22"/>
        </w:rPr>
      </w:pPr>
      <w:r w:rsidRPr="00444B5E">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la consulta radicada el 20 de diciembre de 2022. </w:t>
      </w:r>
    </w:p>
    <w:p w14:paraId="111E1619" w14:textId="77777777" w:rsidR="00444B5E" w:rsidRPr="00444B5E" w:rsidRDefault="00444B5E" w:rsidP="00444B5E">
      <w:pPr>
        <w:spacing w:after="0"/>
        <w:ind w:right="51"/>
        <w:rPr>
          <w:rFonts w:ascii="Arial" w:eastAsia="Calibri" w:hAnsi="Arial" w:cs="Arial"/>
        </w:rPr>
      </w:pPr>
    </w:p>
    <w:p w14:paraId="4A4284AD" w14:textId="77777777" w:rsidR="00444B5E" w:rsidRPr="00444B5E" w:rsidRDefault="00444B5E" w:rsidP="00444B5E">
      <w:pPr>
        <w:numPr>
          <w:ilvl w:val="0"/>
          <w:numId w:val="1"/>
        </w:numPr>
        <w:tabs>
          <w:tab w:val="left" w:pos="284"/>
        </w:tabs>
        <w:spacing w:after="0" w:line="240" w:lineRule="auto"/>
        <w:ind w:left="426" w:hanging="501"/>
        <w:contextualSpacing/>
        <w:jc w:val="left"/>
        <w:rPr>
          <w:rFonts w:ascii="Arial" w:eastAsia="Calibri" w:hAnsi="Arial" w:cs="Arial"/>
          <w:b/>
          <w:sz w:val="22"/>
        </w:rPr>
      </w:pPr>
      <w:r w:rsidRPr="00444B5E">
        <w:rPr>
          <w:rFonts w:ascii="Arial" w:eastAsia="Calibri" w:hAnsi="Arial" w:cs="Arial"/>
          <w:b/>
          <w:sz w:val="22"/>
        </w:rPr>
        <w:t xml:space="preserve">Problema planteado </w:t>
      </w:r>
    </w:p>
    <w:p w14:paraId="74E8BCE5" w14:textId="77777777" w:rsidR="00444B5E" w:rsidRPr="00444B5E" w:rsidRDefault="00444B5E" w:rsidP="00444B5E">
      <w:pPr>
        <w:tabs>
          <w:tab w:val="left" w:pos="284"/>
        </w:tabs>
        <w:spacing w:after="0" w:line="240" w:lineRule="auto"/>
        <w:ind w:left="426"/>
        <w:contextualSpacing/>
        <w:rPr>
          <w:rFonts w:ascii="Arial" w:eastAsia="Calibri" w:hAnsi="Arial" w:cs="Arial"/>
          <w:b/>
          <w:sz w:val="22"/>
        </w:rPr>
      </w:pPr>
    </w:p>
    <w:p w14:paraId="1FA38FD6" w14:textId="77777777" w:rsidR="00444B5E" w:rsidRPr="00444B5E" w:rsidRDefault="00444B5E" w:rsidP="00444B5E">
      <w:pPr>
        <w:tabs>
          <w:tab w:val="left" w:pos="284"/>
        </w:tabs>
        <w:spacing w:after="0"/>
        <w:rPr>
          <w:rFonts w:ascii="Arial" w:eastAsia="Calibri" w:hAnsi="Arial" w:cs="Arial"/>
          <w:bCs/>
          <w:sz w:val="22"/>
          <w:szCs w:val="20"/>
        </w:rPr>
      </w:pPr>
      <w:r w:rsidRPr="00444B5E">
        <w:rPr>
          <w:rFonts w:ascii="Arial" w:eastAsia="Calibri" w:hAnsi="Arial" w:cs="Arial"/>
          <w:bCs/>
          <w:sz w:val="22"/>
          <w:szCs w:val="20"/>
        </w:rPr>
        <w:lastRenderedPageBreak/>
        <w:t>En relación con el factor de desempate del numeral 4 del artículo 35 de la Ley 2069 de 2020 y el parágrafo segundo del mismo artículo, usted formula solicitud de consulta en los siguientes términos:</w:t>
      </w:r>
    </w:p>
    <w:p w14:paraId="60D1B4EB" w14:textId="77777777" w:rsidR="00444B5E" w:rsidRPr="00444B5E" w:rsidRDefault="00444B5E" w:rsidP="00444B5E">
      <w:pPr>
        <w:tabs>
          <w:tab w:val="left" w:pos="284"/>
        </w:tabs>
        <w:spacing w:after="0"/>
        <w:rPr>
          <w:rFonts w:ascii="Arial" w:eastAsia="Calibri" w:hAnsi="Arial" w:cs="Arial"/>
          <w:bCs/>
        </w:rPr>
      </w:pPr>
    </w:p>
    <w:p w14:paraId="681693B4" w14:textId="77777777" w:rsidR="00444B5E" w:rsidRPr="00444B5E" w:rsidRDefault="00444B5E" w:rsidP="00444B5E">
      <w:pPr>
        <w:tabs>
          <w:tab w:val="left" w:pos="284"/>
        </w:tabs>
        <w:spacing w:after="0"/>
        <w:ind w:left="709" w:right="709"/>
        <w:rPr>
          <w:rFonts w:ascii="Arial" w:eastAsia="Calibri" w:hAnsi="Arial" w:cs="Arial"/>
          <w:bCs/>
          <w:sz w:val="21"/>
          <w:szCs w:val="21"/>
        </w:rPr>
      </w:pPr>
      <w:bookmarkStart w:id="1" w:name="_Hlk125450339"/>
      <w:r w:rsidRPr="00444B5E">
        <w:rPr>
          <w:rFonts w:ascii="Arial" w:eastAsia="Calibri" w:hAnsi="Arial" w:cs="Arial"/>
          <w:bCs/>
          <w:sz w:val="21"/>
          <w:szCs w:val="21"/>
        </w:rPr>
        <w:t>«1. [¿]Como se calcula la mayor proporción mencionada? [¿]sobre el total de empleados?</w:t>
      </w:r>
    </w:p>
    <w:p w14:paraId="452D55A7" w14:textId="77777777" w:rsidR="00444B5E" w:rsidRPr="00444B5E" w:rsidRDefault="00444B5E" w:rsidP="00444B5E">
      <w:pPr>
        <w:tabs>
          <w:tab w:val="left" w:pos="284"/>
        </w:tabs>
        <w:spacing w:before="120" w:after="0"/>
        <w:ind w:left="709" w:right="709"/>
        <w:rPr>
          <w:rFonts w:ascii="Arial" w:eastAsia="Calibri" w:hAnsi="Arial" w:cs="Arial"/>
          <w:bCs/>
          <w:sz w:val="21"/>
          <w:szCs w:val="21"/>
        </w:rPr>
      </w:pPr>
      <w:r w:rsidRPr="00444B5E">
        <w:rPr>
          <w:rFonts w:ascii="Arial" w:eastAsia="Calibri" w:hAnsi="Arial" w:cs="Arial"/>
          <w:bCs/>
          <w:sz w:val="21"/>
          <w:szCs w:val="21"/>
        </w:rPr>
        <w:t>»2. ¿Esta antigüedad se puede demostrar con personas vinculadas diferentes? Es decir, en la misma empresa la Persona Mayor A (cumple con las condiciones ) estuvo en la empresa de Enero a Octubre de 2022 (en octubre sale de la empresa), pero otra persona mayor B (también cumple con las condiciones) ha estado en la empresa desde septiembre de 2022 (sigue actualmente). ¿Quiere decir que la empresa ya cumple un año con el requisito de antigüedad en Enero de 203? [sic]»</w:t>
      </w:r>
    </w:p>
    <w:bookmarkEnd w:id="1"/>
    <w:p w14:paraId="773BCBC5" w14:textId="77777777" w:rsidR="00444B5E" w:rsidRPr="00444B5E" w:rsidRDefault="00444B5E" w:rsidP="00444B5E">
      <w:pPr>
        <w:tabs>
          <w:tab w:val="left" w:pos="284"/>
        </w:tabs>
        <w:spacing w:after="0"/>
        <w:rPr>
          <w:rFonts w:ascii="Arial" w:eastAsia="Calibri" w:hAnsi="Arial" w:cs="Arial"/>
          <w:bCs/>
        </w:rPr>
      </w:pPr>
    </w:p>
    <w:p w14:paraId="4C05382E" w14:textId="77777777" w:rsidR="00444B5E" w:rsidRPr="00444B5E" w:rsidRDefault="00444B5E" w:rsidP="00444B5E">
      <w:pPr>
        <w:spacing w:after="0"/>
        <w:rPr>
          <w:rFonts w:ascii="Arial" w:eastAsia="Calibri" w:hAnsi="Arial" w:cs="Arial"/>
          <w:bCs/>
          <w:sz w:val="22"/>
        </w:rPr>
      </w:pPr>
      <w:r w:rsidRPr="00444B5E">
        <w:rPr>
          <w:rFonts w:ascii="Arial" w:eastAsia="Calibri" w:hAnsi="Arial" w:cs="Arial"/>
          <w:b/>
          <w:sz w:val="22"/>
        </w:rPr>
        <w:t>2. Consideraciones</w:t>
      </w:r>
      <w:r w:rsidRPr="00444B5E">
        <w:rPr>
          <w:rFonts w:ascii="Arial" w:eastAsia="Calibri" w:hAnsi="Arial" w:cs="Arial"/>
          <w:bCs/>
          <w:sz w:val="22"/>
        </w:rPr>
        <w:t xml:space="preserve"> </w:t>
      </w:r>
    </w:p>
    <w:p w14:paraId="7F492109" w14:textId="77777777" w:rsidR="00444B5E" w:rsidRPr="00444B5E" w:rsidRDefault="00444B5E" w:rsidP="00444B5E">
      <w:pPr>
        <w:spacing w:after="0"/>
        <w:rPr>
          <w:rFonts w:ascii="Arial" w:eastAsia="Calibri" w:hAnsi="Arial" w:cs="Arial"/>
          <w:bCs/>
          <w:sz w:val="22"/>
        </w:rPr>
      </w:pPr>
    </w:p>
    <w:p w14:paraId="33855ECA" w14:textId="77777777" w:rsidR="00444B5E" w:rsidRPr="00444B5E" w:rsidRDefault="00444B5E" w:rsidP="00444B5E">
      <w:pPr>
        <w:spacing w:after="0"/>
        <w:rPr>
          <w:rFonts w:ascii="Arial" w:eastAsia="Calibri" w:hAnsi="Arial" w:cs="Arial"/>
          <w:bCs/>
          <w:sz w:val="22"/>
        </w:rPr>
      </w:pPr>
      <w:r w:rsidRPr="00444B5E">
        <w:rPr>
          <w:rFonts w:ascii="Arial" w:eastAsia="Calibri" w:hAnsi="Arial" w:cs="Arial"/>
          <w:bCs/>
          <w:sz w:val="22"/>
        </w:rPr>
        <w:t>En ejercicio de las competencias establecidas en los artículos 3.5 y 11.8 del Decreto 4170 de 2011, la Agencia Nacional de Contratación Pública – Colombia Compra Eficiente resuelve consultas sobre los asuntos de su competencia, esto es, sobre temáticas de la contratación estatal y compras públicas relacionadas en los artículos citados.</w:t>
      </w:r>
    </w:p>
    <w:p w14:paraId="1E92436D" w14:textId="77777777" w:rsidR="00444B5E" w:rsidRPr="00444B5E" w:rsidRDefault="00444B5E" w:rsidP="00444B5E">
      <w:pPr>
        <w:spacing w:before="120" w:after="0"/>
        <w:ind w:firstLine="708"/>
        <w:rPr>
          <w:rFonts w:ascii="Arial" w:eastAsia="Calibri" w:hAnsi="Arial" w:cs="Arial"/>
          <w:sz w:val="22"/>
          <w:lang w:val="es-ES"/>
        </w:rPr>
      </w:pPr>
      <w:r w:rsidRPr="00444B5E">
        <w:rPr>
          <w:rFonts w:ascii="Arial" w:eastAsia="Calibri" w:hAnsi="Arial" w:cs="Arial"/>
          <w:sz w:val="22"/>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6C31707B" w14:textId="77777777" w:rsidR="00444B5E" w:rsidRPr="00444B5E" w:rsidRDefault="00444B5E" w:rsidP="00444B5E">
      <w:pPr>
        <w:spacing w:before="120" w:after="0"/>
        <w:ind w:firstLine="708"/>
        <w:rPr>
          <w:rFonts w:ascii="Arial" w:eastAsia="Calibri" w:hAnsi="Arial" w:cs="Arial"/>
          <w:sz w:val="22"/>
          <w:lang w:val="es-ES"/>
        </w:rPr>
      </w:pPr>
      <w:r w:rsidRPr="00444B5E">
        <w:rPr>
          <w:rFonts w:ascii="Arial" w:eastAsia="Calibri"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p>
    <w:p w14:paraId="3FB50E41" w14:textId="77777777" w:rsidR="00444B5E" w:rsidRPr="00444B5E" w:rsidRDefault="00444B5E" w:rsidP="00444B5E">
      <w:pPr>
        <w:spacing w:before="120" w:after="0"/>
        <w:ind w:firstLine="708"/>
        <w:rPr>
          <w:rFonts w:ascii="Arial" w:eastAsia="Calibri" w:hAnsi="Arial" w:cs="Arial"/>
          <w:sz w:val="22"/>
          <w:lang w:val="es-ES"/>
        </w:rPr>
      </w:pPr>
      <w:r w:rsidRPr="00444B5E">
        <w:rPr>
          <w:rFonts w:ascii="Arial" w:eastAsia="Calibri" w:hAnsi="Arial" w:cs="Arial"/>
          <w:sz w:val="22"/>
          <w:lang w:val="es-ES"/>
        </w:rPr>
        <w:lastRenderedPageBreak/>
        <w:t xml:space="preserve">En este contexto, la Subdirección de Gestión Contractual –dentro de los límites de sus atribuciones, esto es, </w:t>
      </w:r>
      <w:bookmarkStart w:id="2" w:name="_Hlk61025408"/>
      <w:r w:rsidRPr="00444B5E">
        <w:rPr>
          <w:rFonts w:ascii="Arial" w:eastAsia="Calibri" w:hAnsi="Arial" w:cs="Arial"/>
          <w:sz w:val="22"/>
          <w:lang w:val="es-ES"/>
        </w:rPr>
        <w:t>haciendo abstracción del caso particular expuesto por el peticionario</w:t>
      </w:r>
      <w:bookmarkEnd w:id="2"/>
      <w:r w:rsidRPr="00444B5E">
        <w:rPr>
          <w:rFonts w:ascii="Arial" w:eastAsia="Calibri" w:hAnsi="Arial" w:cs="Arial"/>
          <w:sz w:val="22"/>
          <w:lang w:val="es-ES"/>
        </w:rPr>
        <w:t>– resolverá la consulta conforme a las normas generales en materia de contratación estatal</w:t>
      </w:r>
      <w:r w:rsidRPr="00444B5E">
        <w:rPr>
          <w:rFonts w:ascii="Arial" w:eastAsia="Calibri" w:hAnsi="Arial" w:cs="Arial"/>
          <w:bCs/>
          <w:sz w:val="22"/>
          <w:lang w:val="es-ES"/>
        </w:rPr>
        <w:t xml:space="preserve">. </w:t>
      </w:r>
      <w:r w:rsidRPr="00444B5E">
        <w:rPr>
          <w:rFonts w:ascii="Arial" w:eastAsia="Calibri" w:hAnsi="Arial" w:cs="Arial"/>
          <w:bCs/>
          <w:sz w:val="22"/>
        </w:rPr>
        <w:t xml:space="preserve">Para estos efectos, </w:t>
      </w:r>
      <w:r w:rsidRPr="00444B5E">
        <w:rPr>
          <w:rFonts w:ascii="Arial" w:eastAsia="Calibri" w:hAnsi="Arial" w:cs="Arial"/>
          <w:bCs/>
          <w:sz w:val="22"/>
          <w:lang w:val="es-ES"/>
        </w:rPr>
        <w:t>se analizarán los siguientes temas:</w:t>
      </w:r>
      <w:r w:rsidRPr="00444B5E">
        <w:rPr>
          <w:rFonts w:ascii="Arial" w:eastAsia="Calibri" w:hAnsi="Arial" w:cs="Arial"/>
          <w:bCs/>
          <w:sz w:val="22"/>
        </w:rPr>
        <w:t xml:space="preserve"> </w:t>
      </w:r>
      <w:r w:rsidRPr="00444B5E">
        <w:rPr>
          <w:rFonts w:ascii="Arial" w:eastAsia="Calibri" w:hAnsi="Arial" w:cs="Arial"/>
          <w:sz w:val="22"/>
          <w:lang w:val="es-ES_tradnl"/>
        </w:rPr>
        <w:t xml:space="preserve">i) </w:t>
      </w:r>
      <w:bookmarkStart w:id="3" w:name="_Hlk122096831"/>
      <w:r w:rsidRPr="00444B5E">
        <w:rPr>
          <w:rFonts w:ascii="Arial" w:eastAsia="Calibri" w:hAnsi="Arial" w:cs="Arial"/>
          <w:sz w:val="22"/>
        </w:rPr>
        <w:t xml:space="preserve">factores de desempate en la contratación estatal, </w:t>
      </w:r>
      <w:proofErr w:type="spellStart"/>
      <w:r w:rsidRPr="00444B5E">
        <w:rPr>
          <w:rFonts w:ascii="Arial" w:eastAsia="Calibri" w:hAnsi="Arial" w:cs="Arial"/>
          <w:sz w:val="22"/>
        </w:rPr>
        <w:t>ii</w:t>
      </w:r>
      <w:proofErr w:type="spellEnd"/>
      <w:r w:rsidRPr="00444B5E">
        <w:rPr>
          <w:rFonts w:ascii="Arial" w:eastAsia="Calibri" w:hAnsi="Arial" w:cs="Arial"/>
          <w:sz w:val="22"/>
        </w:rPr>
        <w:t xml:space="preserve">) ámbito de aplicación, vigencia y reglamentación de la Ley 2069 de 2020 y, </w:t>
      </w:r>
      <w:proofErr w:type="spellStart"/>
      <w:r w:rsidRPr="00444B5E">
        <w:rPr>
          <w:rFonts w:ascii="Arial" w:eastAsia="Calibri" w:hAnsi="Arial" w:cs="Arial"/>
          <w:sz w:val="22"/>
        </w:rPr>
        <w:t>iii</w:t>
      </w:r>
      <w:proofErr w:type="spellEnd"/>
      <w:r w:rsidRPr="00444B5E">
        <w:rPr>
          <w:rFonts w:ascii="Arial" w:eastAsia="Calibri" w:hAnsi="Arial" w:cs="Arial"/>
          <w:sz w:val="22"/>
        </w:rPr>
        <w:t>)</w:t>
      </w:r>
      <w:r w:rsidRPr="00444B5E">
        <w:rPr>
          <w:rFonts w:ascii="Arial" w:hAnsi="Arial" w:cs="Arial"/>
        </w:rPr>
        <w:t xml:space="preserve"> </w:t>
      </w:r>
      <w:r w:rsidRPr="00444B5E">
        <w:rPr>
          <w:rFonts w:ascii="Arial" w:eastAsia="Calibri" w:hAnsi="Arial" w:cs="Arial"/>
          <w:sz w:val="22"/>
        </w:rPr>
        <w:t>alcance del factor de desempate establecido en el numeral 4 del artículo 35 de la Ley 2069 de 2020.</w:t>
      </w:r>
    </w:p>
    <w:bookmarkEnd w:id="3"/>
    <w:p w14:paraId="1FF098ED" w14:textId="77777777" w:rsidR="00444B5E" w:rsidRPr="00444B5E" w:rsidRDefault="00444B5E" w:rsidP="00444B5E">
      <w:pPr>
        <w:spacing w:before="120" w:after="0"/>
        <w:ind w:firstLine="709"/>
        <w:rPr>
          <w:rFonts w:ascii="Arial" w:eastAsia="Calibri" w:hAnsi="Arial" w:cs="Arial"/>
          <w:sz w:val="22"/>
          <w:lang w:val="es-ES_tradnl"/>
        </w:rPr>
      </w:pPr>
      <w:r w:rsidRPr="00444B5E">
        <w:rPr>
          <w:rFonts w:ascii="Arial" w:eastAsia="Calibri" w:hAnsi="Arial" w:cs="Arial"/>
          <w:sz w:val="22"/>
          <w:lang w:val="es-ES_tradnl"/>
        </w:rPr>
        <w:t xml:space="preserve">La Agencia Nacional de Contratación Pública – Colombia Compra Eficiente se pronunció, en términos generales, sobre los factores de desempate en los procedimientos de contratación estatal, en los conceptos </w:t>
      </w:r>
      <w:r w:rsidRPr="00444B5E">
        <w:rPr>
          <w:rFonts w:ascii="Arial" w:hAnsi="Arial" w:cs="Arial"/>
          <w:sz w:val="22"/>
          <w:shd w:val="clear" w:color="auto" w:fill="FFFFFF"/>
        </w:rPr>
        <w:t>conceptos C-285 del 4 de mayo de 2020, C-481 del 27 de julio de 2020, C-514 y C-535 del 26 de agosto de 2020 y C-556 del 31 de agosto de 2020. De igual manera,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 C-320 del 1 de julio de 2021, C-338 del 12 de julio de 2021, C-444 del 23 de julio de, 2021, C-437 del 24 de agosto de 2021,  C-518 del 20 de septiembre de 2021,   C-438 del 28 de septiembre de 2021, C-576 del 13 de octubre de 2021, C-582 del 14 de octubre de 2021, C-586 del 14 de octubre de 2021, C-617 del 6 diciembre de 2021,  C-584 del 13 de diciembre de 2021, C-689 del 5 de enero de 2022, C-741 del 1 de febrero de 2022 y C-750 del 4 de febrero de 2022 y C-322 del 20 de mayo de 2022</w:t>
      </w:r>
      <w:r w:rsidRPr="00444B5E">
        <w:rPr>
          <w:rFonts w:ascii="Arial" w:hAnsi="Arial" w:cs="Arial"/>
          <w:sz w:val="22"/>
          <w:shd w:val="clear" w:color="auto" w:fill="FFFFFF"/>
          <w:vertAlign w:val="superscript"/>
        </w:rPr>
        <w:footnoteReference w:id="2"/>
      </w:r>
      <w:r w:rsidRPr="00444B5E">
        <w:rPr>
          <w:rFonts w:ascii="Arial" w:hAnsi="Arial" w:cs="Arial"/>
          <w:sz w:val="22"/>
          <w:shd w:val="clear" w:color="auto" w:fill="FFFFFF"/>
        </w:rPr>
        <w:t>, entre otros</w:t>
      </w:r>
      <w:r w:rsidRPr="00444B5E">
        <w:rPr>
          <w:rFonts w:ascii="Arial" w:eastAsia="Calibri" w:hAnsi="Arial" w:cs="Arial"/>
          <w:sz w:val="22"/>
          <w:lang w:val="es-ES_tradnl"/>
        </w:rPr>
        <w:t>. Algunas de las consideraciones de estos conceptos se reiteran a continuación y se complementan en lo pertinente.</w:t>
      </w:r>
    </w:p>
    <w:p w14:paraId="6C27703F" w14:textId="77777777" w:rsidR="00444B5E" w:rsidRPr="00444B5E" w:rsidRDefault="00444B5E" w:rsidP="00444B5E">
      <w:pPr>
        <w:spacing w:after="0"/>
        <w:rPr>
          <w:rFonts w:ascii="Arial" w:eastAsia="Calibri" w:hAnsi="Arial" w:cs="Arial"/>
          <w:sz w:val="22"/>
        </w:rPr>
      </w:pPr>
    </w:p>
    <w:p w14:paraId="400A0AE9" w14:textId="77777777" w:rsidR="00444B5E" w:rsidRPr="00444B5E" w:rsidRDefault="00444B5E" w:rsidP="00444B5E">
      <w:pPr>
        <w:spacing w:after="0"/>
        <w:rPr>
          <w:rFonts w:ascii="Arial" w:eastAsia="Calibri" w:hAnsi="Arial" w:cs="Arial"/>
          <w:b/>
          <w:bCs/>
        </w:rPr>
      </w:pPr>
      <w:r w:rsidRPr="00444B5E">
        <w:rPr>
          <w:rFonts w:ascii="Arial" w:eastAsia="Calibri" w:hAnsi="Arial" w:cs="Arial"/>
          <w:b/>
          <w:bCs/>
        </w:rPr>
        <w:t>2.1. Factores de desempate en la contratación estatal: concepto y características</w:t>
      </w:r>
    </w:p>
    <w:p w14:paraId="5C516762" w14:textId="77777777" w:rsidR="00444B5E" w:rsidRPr="00444B5E" w:rsidRDefault="00444B5E" w:rsidP="00444B5E">
      <w:pPr>
        <w:spacing w:after="0"/>
        <w:rPr>
          <w:rFonts w:ascii="Arial" w:eastAsia="Calibri" w:hAnsi="Arial" w:cs="Arial"/>
          <w:b/>
          <w:bCs/>
        </w:rPr>
      </w:pPr>
    </w:p>
    <w:p w14:paraId="39F7F32B" w14:textId="77777777" w:rsidR="00444B5E" w:rsidRPr="00444B5E" w:rsidRDefault="00444B5E" w:rsidP="00444B5E">
      <w:pPr>
        <w:spacing w:after="120"/>
        <w:rPr>
          <w:rFonts w:ascii="Arial" w:eastAsia="Calibri" w:hAnsi="Arial" w:cs="Arial"/>
          <w:sz w:val="22"/>
          <w:lang w:val="es-ES_tradnl" w:eastAsia="es-ES_tradnl"/>
        </w:rPr>
      </w:pPr>
      <w:r w:rsidRPr="00444B5E">
        <w:rPr>
          <w:rFonts w:ascii="Arial" w:eastAsia="Calibri" w:hAnsi="Arial" w:cs="Arial"/>
        </w:rPr>
        <w:lastRenderedPageBreak/>
        <w:t>Al ser la selección objetiva uno de los principios medulares de la contratación estatal, la escogencia del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w:t>
      </w:r>
      <w:r w:rsidRPr="00444B5E">
        <w:rPr>
          <w:rFonts w:ascii="Arial" w:eastAsia="Calibri" w:hAnsi="Arial" w:cs="Arial"/>
          <w:sz w:val="22"/>
          <w:lang w:val="es-ES_tradnl" w:eastAsia="es-ES_tradnl"/>
        </w:rPr>
        <w:t xml:space="preserve"> interés y, en general, cualquier clase de motivación subjetiva». Además, la norma citada agrega que los factores de habilitación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783886EB" w14:textId="77777777" w:rsidR="00444B5E" w:rsidRPr="00444B5E" w:rsidRDefault="00444B5E" w:rsidP="00444B5E">
      <w:pPr>
        <w:spacing w:after="120"/>
        <w:ind w:firstLine="709"/>
        <w:rPr>
          <w:rFonts w:ascii="Arial" w:eastAsia="Calibri" w:hAnsi="Arial" w:cs="Arial"/>
          <w:sz w:val="22"/>
          <w:lang w:val="es-ES_tradnl" w:eastAsia="es-ES_tradnl"/>
        </w:rPr>
      </w:pPr>
      <w:r w:rsidRPr="00444B5E">
        <w:rPr>
          <w:rFonts w:ascii="Arial" w:eastAsia="Calibri" w:hAnsi="Arial" w:cs="Arial"/>
          <w:sz w:val="22"/>
          <w:lang w:val="es-ES_tradnl" w:eastAsia="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los mismos.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contractual. </w:t>
      </w:r>
    </w:p>
    <w:p w14:paraId="2B9CDE75" w14:textId="77777777" w:rsidR="00444B5E" w:rsidRPr="00444B5E" w:rsidRDefault="00444B5E" w:rsidP="00444B5E">
      <w:pPr>
        <w:spacing w:after="120"/>
        <w:ind w:firstLine="709"/>
        <w:rPr>
          <w:rFonts w:ascii="Arial" w:eastAsia="Calibri" w:hAnsi="Arial" w:cs="Arial"/>
          <w:sz w:val="22"/>
          <w:lang w:val="es-ES_tradnl" w:eastAsia="es-ES_tradnl"/>
        </w:rPr>
      </w:pPr>
      <w:r w:rsidRPr="00444B5E">
        <w:rPr>
          <w:rFonts w:ascii="Arial" w:eastAsia="Calibri" w:hAnsi="Arial" w:cs="Arial"/>
          <w:sz w:val="22"/>
          <w:lang w:val="es-ES_tradnl" w:eastAsia="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los que se encuentra el artículo 35 de la Ley 2069 de 2020. La jurisprudencia comparte la idea de que los criterios de desempate deben estar establecidos de antemano y constituyen un límite a la discrecionalidad administrativa en los procedimientos de selección</w:t>
      </w:r>
      <w:r w:rsidRPr="00444B5E">
        <w:rPr>
          <w:rFonts w:ascii="Arial" w:eastAsia="Calibri" w:hAnsi="Arial" w:cs="Arial"/>
          <w:sz w:val="22"/>
          <w:vertAlign w:val="superscript"/>
          <w:lang w:val="es-ES_tradnl" w:eastAsia="es-ES_tradnl"/>
        </w:rPr>
        <w:footnoteReference w:id="3"/>
      </w:r>
      <w:r w:rsidRPr="00444B5E">
        <w:rPr>
          <w:rFonts w:ascii="Arial" w:eastAsia="Calibri" w:hAnsi="Arial" w:cs="Arial"/>
          <w:sz w:val="22"/>
          <w:lang w:val="es-ES_tradnl" w:eastAsia="es-ES_tradnl"/>
        </w:rPr>
        <w:t xml:space="preserve">. </w:t>
      </w:r>
    </w:p>
    <w:p w14:paraId="3C0EF65C" w14:textId="77777777" w:rsidR="00444B5E" w:rsidRPr="00444B5E" w:rsidRDefault="00444B5E" w:rsidP="00444B5E">
      <w:pPr>
        <w:rPr>
          <w:rFonts w:ascii="Arial" w:eastAsia="Calibri" w:hAnsi="Arial" w:cs="Arial"/>
          <w:sz w:val="22"/>
        </w:rPr>
      </w:pPr>
      <w:r w:rsidRPr="00444B5E">
        <w:rPr>
          <w:rFonts w:ascii="Arial" w:eastAsia="Calibri" w:hAnsi="Arial" w:cs="Arial"/>
          <w:sz w:val="22"/>
        </w:rPr>
        <w:lastRenderedPageBreak/>
        <w:tab/>
        <w:t>En tal sentido, la Corte Constitucional explica que cuando la Ley establece factores de desempate obligatorios, las Entidades Estatales no pueden inpalicarlos, porque ello podría vulnerar el principio de igualdad, espacialmente, cuando algunos de estos criterios surgen como acciones afirmativas para ciertos sectores de la población</w:t>
      </w:r>
      <w:r w:rsidRPr="00444B5E">
        <w:rPr>
          <w:rFonts w:ascii="Arial" w:eastAsia="Calibri" w:hAnsi="Arial" w:cs="Arial"/>
          <w:sz w:val="22"/>
          <w:vertAlign w:val="superscript"/>
          <w:lang w:val="es-ES_tradnl"/>
        </w:rPr>
        <w:footnoteReference w:id="4"/>
      </w:r>
      <w:r w:rsidRPr="00444B5E">
        <w:rPr>
          <w:rFonts w:ascii="Arial" w:eastAsia="Calibri" w:hAnsi="Arial" w:cs="Arial"/>
          <w:sz w:val="22"/>
          <w:lang w:val="es-ES_tradnl"/>
        </w:rPr>
        <w:t>.</w:t>
      </w:r>
    </w:p>
    <w:p w14:paraId="250E08AE" w14:textId="77777777" w:rsidR="00444B5E" w:rsidRPr="00444B5E" w:rsidRDefault="00444B5E" w:rsidP="00444B5E">
      <w:pPr>
        <w:spacing w:after="0"/>
        <w:ind w:firstLine="709"/>
        <w:rPr>
          <w:rFonts w:ascii="Arial" w:eastAsia="Times New Roman" w:hAnsi="Arial" w:cs="Arial"/>
          <w:sz w:val="22"/>
          <w:lang w:val="es-ES" w:eastAsia="es-CO"/>
        </w:rPr>
      </w:pPr>
      <w:r w:rsidRPr="00444B5E">
        <w:rPr>
          <w:rFonts w:ascii="Arial" w:eastAsia="Calibri" w:hAnsi="Arial" w:cs="Arial"/>
          <w:sz w:val="22"/>
          <w:lang w:val="es-ES_tradnl" w:eastAsia="es-ES_tradnl"/>
        </w:rPr>
        <w:t>Ahora bien, en cumplimiento de los principios de reciprocidad y de </w:t>
      </w:r>
      <w:r w:rsidRPr="00444B5E">
        <w:rPr>
          <w:rFonts w:ascii="Arial" w:eastAsia="Calibri" w:hAnsi="Arial" w:cs="Arial"/>
          <w:i/>
          <w:iCs/>
          <w:sz w:val="22"/>
          <w:lang w:val="es-ES_tradnl" w:eastAsia="es-ES_tradnl"/>
        </w:rPr>
        <w:t>pacta sunt </w:t>
      </w:r>
      <w:proofErr w:type="spellStart"/>
      <w:r w:rsidRPr="00444B5E">
        <w:rPr>
          <w:rFonts w:ascii="Arial" w:eastAsia="Calibri" w:hAnsi="Arial" w:cs="Arial"/>
          <w:i/>
          <w:iCs/>
          <w:sz w:val="22"/>
          <w:lang w:val="es-ES_tradnl" w:eastAsia="es-ES_tradnl"/>
        </w:rPr>
        <w:t>servanda</w:t>
      </w:r>
      <w:proofErr w:type="spellEnd"/>
      <w:r w:rsidRPr="00444B5E">
        <w:rPr>
          <w:rFonts w:ascii="Arial" w:eastAsia="Calibri" w:hAnsi="Arial" w:cs="Arial"/>
          <w:sz w:val="22"/>
          <w:lang w:val="es-ES_tradnl" w:eastAsia="es-ES_tradnl"/>
        </w:rPr>
        <w:t>,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w:t>
      </w:r>
      <w:r w:rsidRPr="00444B5E">
        <w:rPr>
          <w:rFonts w:ascii="Arial" w:eastAsia="Times New Roman" w:hAnsi="Arial" w:cs="Arial"/>
          <w:sz w:val="22"/>
          <w:lang w:val="es-ES" w:eastAsia="es-CO"/>
        </w:rPr>
        <w:t>».</w:t>
      </w:r>
    </w:p>
    <w:p w14:paraId="266FCC36" w14:textId="77777777" w:rsidR="00444B5E" w:rsidRPr="00444B5E" w:rsidRDefault="00444B5E" w:rsidP="00444B5E">
      <w:pPr>
        <w:spacing w:after="0"/>
        <w:rPr>
          <w:rFonts w:ascii="Arial" w:eastAsia="Calibri" w:hAnsi="Arial" w:cs="Arial"/>
        </w:rPr>
      </w:pPr>
    </w:p>
    <w:p w14:paraId="29F9F4A8" w14:textId="77777777" w:rsidR="00444B5E" w:rsidRPr="00444B5E" w:rsidRDefault="00444B5E" w:rsidP="00444B5E">
      <w:pPr>
        <w:spacing w:after="0"/>
        <w:rPr>
          <w:rFonts w:ascii="Arial" w:eastAsia="Calibri" w:hAnsi="Arial" w:cs="Arial"/>
          <w:b/>
          <w:bCs/>
        </w:rPr>
      </w:pPr>
      <w:r w:rsidRPr="00444B5E">
        <w:rPr>
          <w:rFonts w:ascii="Arial" w:eastAsia="Calibri" w:hAnsi="Arial" w:cs="Arial"/>
          <w:b/>
          <w:bCs/>
        </w:rPr>
        <w:t>2.2. Ámbito de aplicación, vigencia y reglamentación de la Ley 2069 de 2020</w:t>
      </w:r>
    </w:p>
    <w:p w14:paraId="752B9DFB" w14:textId="77777777" w:rsidR="00444B5E" w:rsidRPr="00444B5E" w:rsidRDefault="00444B5E" w:rsidP="00444B5E">
      <w:pPr>
        <w:spacing w:after="0"/>
        <w:rPr>
          <w:rFonts w:ascii="Arial" w:eastAsia="Calibri" w:hAnsi="Arial" w:cs="Arial"/>
        </w:rPr>
      </w:pPr>
    </w:p>
    <w:p w14:paraId="255894EE" w14:textId="77777777" w:rsidR="00444B5E" w:rsidRPr="00444B5E" w:rsidRDefault="00444B5E" w:rsidP="00444B5E">
      <w:pPr>
        <w:spacing w:after="120"/>
        <w:rPr>
          <w:rFonts w:ascii="Arial" w:eastAsia="Calibri" w:hAnsi="Arial" w:cs="Arial"/>
          <w:sz w:val="22"/>
          <w:lang w:val="es-ES_tradnl" w:eastAsia="es-ES_tradnl"/>
        </w:rPr>
      </w:pPr>
      <w:r w:rsidRPr="00444B5E">
        <w:rPr>
          <w:rFonts w:ascii="Arial" w:eastAsia="Calibri" w:hAnsi="Arial" w:cs="Arial"/>
          <w:sz w:val="22"/>
          <w:lang w:val="es-ES_tradnl" w:eastAsia="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expidiera el decreto correspondiente que permitiera la cumplida ejecución de esta Ley, tal como aconteció con el Decreto 1860 de 2021, al cual se hará referencia más adelante.</w:t>
      </w:r>
    </w:p>
    <w:p w14:paraId="525633EB" w14:textId="77777777" w:rsidR="00444B5E" w:rsidRPr="00444B5E" w:rsidRDefault="00444B5E" w:rsidP="00444B5E">
      <w:pPr>
        <w:spacing w:after="120"/>
        <w:ind w:firstLine="709"/>
        <w:rPr>
          <w:rFonts w:ascii="Arial" w:eastAsia="Calibri" w:hAnsi="Arial" w:cs="Arial"/>
          <w:sz w:val="22"/>
          <w:lang w:val="es-ES_tradnl" w:eastAsia="es-ES_tradnl"/>
        </w:rPr>
      </w:pPr>
      <w:r w:rsidRPr="00444B5E">
        <w:rPr>
          <w:rFonts w:ascii="Arial" w:eastAsia="Calibri" w:hAnsi="Arial" w:cs="Arial"/>
          <w:sz w:val="22"/>
          <w:lang w:val="es-ES_tradnl" w:eastAsia="es-ES_tradnl"/>
        </w:rPr>
        <w:t>En cuanto al contenido de la Ley 2069 de 2020,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w:t>
      </w:r>
      <w:r w:rsidRPr="00444B5E">
        <w:rPr>
          <w:rFonts w:ascii="Arial" w:eastAsia="Calibri" w:hAnsi="Arial" w:cs="Arial"/>
          <w:sz w:val="22"/>
          <w:vertAlign w:val="superscript"/>
          <w:lang w:val="es-ES_tradnl" w:eastAsia="es-ES_tradnl"/>
        </w:rPr>
        <w:footnoteReference w:id="5"/>
      </w:r>
      <w:r w:rsidRPr="00444B5E">
        <w:rPr>
          <w:rFonts w:ascii="Arial" w:eastAsia="Calibri" w:hAnsi="Arial" w:cs="Arial"/>
          <w:sz w:val="22"/>
          <w:lang w:val="es-ES_tradnl" w:eastAsia="es-ES_tradnl"/>
        </w:rPr>
        <w:t xml:space="preserve">, así como incentivos a favor de aquellas dentro del sistema de compras y contratación </w:t>
      </w:r>
      <w:r w:rsidRPr="00444B5E">
        <w:rPr>
          <w:rFonts w:ascii="Arial" w:eastAsia="Calibri" w:hAnsi="Arial" w:cs="Arial"/>
          <w:sz w:val="22"/>
          <w:lang w:val="es-ES_tradnl" w:eastAsia="es-ES_tradnl"/>
        </w:rPr>
        <w:lastRenderedPageBreak/>
        <w:t>pública</w:t>
      </w:r>
      <w:r w:rsidRPr="00444B5E">
        <w:rPr>
          <w:rFonts w:ascii="Arial" w:eastAsia="Calibri" w:hAnsi="Arial" w:cs="Arial"/>
          <w:sz w:val="22"/>
          <w:vertAlign w:val="superscript"/>
          <w:lang w:val="es-ES_tradnl" w:eastAsia="es-ES_tradnl"/>
        </w:rPr>
        <w:footnoteReference w:id="6"/>
      </w:r>
      <w:r w:rsidRPr="00444B5E">
        <w:rPr>
          <w:rFonts w:ascii="Arial" w:eastAsia="Calibri" w:hAnsi="Arial" w:cs="Arial"/>
          <w:sz w:val="22"/>
          <w:lang w:val="es-ES_tradnl" w:eastAsia="es-ES_tradnl"/>
        </w:rPr>
        <w:t>. También se consagran mecanismos de acceso al financiamiento</w:t>
      </w:r>
      <w:r w:rsidRPr="00444B5E">
        <w:rPr>
          <w:rFonts w:ascii="Arial" w:eastAsia="Calibri" w:hAnsi="Arial" w:cs="Arial"/>
          <w:sz w:val="22"/>
          <w:vertAlign w:val="superscript"/>
          <w:lang w:val="es-ES_tradnl" w:eastAsia="es-ES_tradnl"/>
        </w:rPr>
        <w:footnoteReference w:id="7"/>
      </w:r>
      <w:r w:rsidRPr="00444B5E">
        <w:rPr>
          <w:rFonts w:ascii="Arial" w:eastAsia="Calibri" w:hAnsi="Arial" w:cs="Arial"/>
          <w:sz w:val="22"/>
          <w:lang w:val="es-ES_tradnl" w:eastAsia="es-ES_tradnl"/>
        </w:rPr>
        <w:t>, se unifican las fuentes de emprendimiento y de desarrollo empresarial, para fortalecer y promover los distintos sectores de la economía</w:t>
      </w:r>
      <w:r w:rsidRPr="00444B5E">
        <w:rPr>
          <w:rFonts w:ascii="Arial" w:eastAsia="Calibri" w:hAnsi="Arial" w:cs="Arial"/>
          <w:sz w:val="22"/>
          <w:vertAlign w:val="superscript"/>
          <w:lang w:val="es-ES_tradnl" w:eastAsia="es-ES_tradnl"/>
        </w:rPr>
        <w:footnoteReference w:id="8"/>
      </w:r>
      <w:r w:rsidRPr="00444B5E">
        <w:rPr>
          <w:rFonts w:ascii="Arial" w:eastAsia="Calibri" w:hAnsi="Arial" w:cs="Arial"/>
          <w:sz w:val="22"/>
          <w:lang w:val="es-ES_tradnl" w:eastAsia="es-ES_tradnl"/>
        </w:rPr>
        <w:t xml:space="preserve"> y se prevén medidas de educación para el emprendimiento y la innovación</w:t>
      </w:r>
      <w:r w:rsidRPr="00444B5E">
        <w:rPr>
          <w:rFonts w:ascii="Arial" w:eastAsia="Calibri" w:hAnsi="Arial" w:cs="Arial"/>
          <w:sz w:val="22"/>
          <w:vertAlign w:val="superscript"/>
          <w:lang w:val="es-ES_tradnl" w:eastAsia="es-ES_tradnl"/>
        </w:rPr>
        <w:footnoteReference w:id="9"/>
      </w:r>
      <w:r w:rsidRPr="00444B5E">
        <w:rPr>
          <w:rFonts w:ascii="Arial" w:eastAsia="Calibri" w:hAnsi="Arial" w:cs="Arial"/>
          <w:sz w:val="22"/>
          <w:lang w:val="es-ES_tradnl" w:eastAsia="es-ES_tradnl"/>
        </w:rPr>
        <w:t>.</w:t>
      </w:r>
    </w:p>
    <w:p w14:paraId="5012A6D2" w14:textId="77777777" w:rsidR="00444B5E" w:rsidRPr="00444B5E" w:rsidRDefault="00444B5E" w:rsidP="00444B5E">
      <w:pPr>
        <w:spacing w:after="120"/>
        <w:ind w:firstLine="709"/>
        <w:rPr>
          <w:rFonts w:ascii="Arial" w:eastAsia="Calibri" w:hAnsi="Arial" w:cs="Arial"/>
          <w:sz w:val="22"/>
          <w:lang w:val="es-ES_tradnl" w:eastAsia="es-ES_tradnl"/>
        </w:rPr>
      </w:pPr>
      <w:r w:rsidRPr="00444B5E">
        <w:rPr>
          <w:rFonts w:ascii="Arial" w:eastAsia="Calibri" w:hAnsi="Arial" w:cs="Arial"/>
          <w:sz w:val="22"/>
          <w:lang w:val="es-ES_tradnl" w:eastAsia="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w:t>
      </w:r>
      <w:proofErr w:type="spellStart"/>
      <w:r w:rsidRPr="00444B5E">
        <w:rPr>
          <w:rFonts w:ascii="Arial" w:eastAsia="Calibri" w:hAnsi="Arial" w:cs="Arial"/>
          <w:sz w:val="22"/>
          <w:lang w:val="es-ES_tradnl" w:eastAsia="es-ES_tradnl"/>
        </w:rPr>
        <w:t>ii</w:t>
      </w:r>
      <w:proofErr w:type="spellEnd"/>
      <w:r w:rsidRPr="00444B5E">
        <w:rPr>
          <w:rFonts w:ascii="Arial" w:eastAsia="Calibri" w:hAnsi="Arial" w:cs="Arial"/>
          <w:sz w:val="22"/>
          <w:lang w:val="es-ES_tradnl" w:eastAsia="es-ES_tradnl"/>
        </w:rPr>
        <w:t xml:space="preserve">) criterios diferenciales para Mipymes en el sistema de compras públicas, </w:t>
      </w:r>
      <w:proofErr w:type="spellStart"/>
      <w:r w:rsidRPr="00444B5E">
        <w:rPr>
          <w:rFonts w:ascii="Arial" w:eastAsia="Calibri" w:hAnsi="Arial" w:cs="Arial"/>
          <w:sz w:val="22"/>
          <w:lang w:val="es-ES_tradnl" w:eastAsia="es-ES_tradnl"/>
        </w:rPr>
        <w:t>iii</w:t>
      </w:r>
      <w:proofErr w:type="spellEnd"/>
      <w:r w:rsidRPr="00444B5E">
        <w:rPr>
          <w:rFonts w:ascii="Arial" w:eastAsia="Calibri" w:hAnsi="Arial" w:cs="Arial"/>
          <w:sz w:val="22"/>
          <w:lang w:val="es-ES_tradnl" w:eastAsia="es-ES_tradnl"/>
        </w:rPr>
        <w:t xml:space="preserve">) criterios diferenciales para emprendimientos y empresas de mujeres en el sistema de compras públicas, </w:t>
      </w:r>
      <w:proofErr w:type="spellStart"/>
      <w:r w:rsidRPr="00444B5E">
        <w:rPr>
          <w:rFonts w:ascii="Arial" w:eastAsia="Calibri" w:hAnsi="Arial" w:cs="Arial"/>
          <w:sz w:val="22"/>
          <w:lang w:val="es-ES_tradnl" w:eastAsia="es-ES_tradnl"/>
        </w:rPr>
        <w:t>iv</w:t>
      </w:r>
      <w:proofErr w:type="spellEnd"/>
      <w:r w:rsidRPr="00444B5E">
        <w:rPr>
          <w:rFonts w:ascii="Arial" w:eastAsia="Calibri" w:hAnsi="Arial" w:cs="Arial"/>
          <w:sz w:val="22"/>
          <w:lang w:val="es-ES_tradnl" w:eastAsia="es-ES_tradnl"/>
        </w:rPr>
        <w:t xml:space="preserve">)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  </w:t>
      </w:r>
    </w:p>
    <w:p w14:paraId="7696A811" w14:textId="77777777" w:rsidR="00444B5E" w:rsidRPr="00444B5E" w:rsidRDefault="00444B5E" w:rsidP="00444B5E">
      <w:pPr>
        <w:ind w:firstLine="708"/>
        <w:rPr>
          <w:rFonts w:ascii="Arial" w:eastAsia="Calibri" w:hAnsi="Arial" w:cs="Arial"/>
        </w:rPr>
      </w:pPr>
      <w:r w:rsidRPr="00444B5E">
        <w:rPr>
          <w:rFonts w:ascii="Arial" w:eastAsia="Calibri" w:hAnsi="Arial" w:cs="Arial"/>
          <w:sz w:val="22"/>
          <w:lang w:val="es-ES_tradnl" w:eastAsia="es-ES_tradnl"/>
        </w:rPr>
        <w:t>El artículo 35 de la Ley 2069 de 2020 modifica la regulación de los factores de desempate en la contratación estatal. 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requería de una reglamentación previa como presupuesto para su eficacia. Esta precisión reviste de importancia, porque algunos enunciados normativos de la Ley bajo análisis establecen un mandato de reglamentación, dirigido al Gobierno Nacional, como condición para aplicar lo dispuesto en ella.</w:t>
      </w:r>
    </w:p>
    <w:p w14:paraId="0CBA95F4" w14:textId="77777777" w:rsidR="00444B5E" w:rsidRPr="00444B5E" w:rsidRDefault="00444B5E" w:rsidP="00444B5E">
      <w:pPr>
        <w:spacing w:after="120"/>
        <w:ind w:firstLine="709"/>
        <w:rPr>
          <w:rFonts w:ascii="Arial" w:eastAsia="Calibri" w:hAnsi="Arial" w:cs="Arial"/>
          <w:sz w:val="22"/>
          <w:lang w:val="es-ES_tradnl" w:eastAsia="es-ES_tradnl"/>
        </w:rPr>
      </w:pPr>
      <w:r w:rsidRPr="00444B5E">
        <w:rPr>
          <w:rFonts w:ascii="Arial" w:eastAsia="Calibri" w:hAnsi="Arial" w:cs="Arial"/>
          <w:sz w:val="22"/>
        </w:rPr>
        <w:t xml:space="preserve">En ese orden, </w:t>
      </w:r>
      <w:r w:rsidRPr="00444B5E">
        <w:rPr>
          <w:rFonts w:ascii="Arial" w:eastAsia="Times New Roman" w:hAnsi="Arial" w:cs="Arial"/>
          <w:sz w:val="22"/>
          <w:lang w:val="es-ES_tradnl" w:eastAsia="es-ES_tradnl"/>
        </w:rPr>
        <w:t xml:space="preserve">bien los factores de desempate regulados en el artículo 35 </w:t>
      </w:r>
      <w:r w:rsidRPr="00444B5E">
        <w:rPr>
          <w:rFonts w:ascii="Arial" w:eastAsia="Times New Roman" w:hAnsi="Arial" w:cs="Arial"/>
          <w:i/>
          <w:iCs/>
          <w:sz w:val="22"/>
          <w:lang w:val="es-ES_tradnl" w:eastAsia="es-ES_tradnl"/>
        </w:rPr>
        <w:t xml:space="preserve">ibídem </w:t>
      </w:r>
      <w:r w:rsidRPr="00444B5E">
        <w:rPr>
          <w:rFonts w:ascii="Arial" w:eastAsia="Times New Roman" w:hAnsi="Arial" w:cs="Arial"/>
          <w:sz w:val="22"/>
          <w:lang w:val="es-ES_tradnl" w:eastAsia="es-ES_tradnl"/>
        </w:rPr>
        <w:t>deben aplicarse «</w:t>
      </w:r>
      <w:r w:rsidRPr="00444B5E">
        <w:rPr>
          <w:rFonts w:ascii="Arial" w:eastAsia="Times New Roman" w:hAnsi="Arial" w:cs="Arial"/>
          <w:szCs w:val="24"/>
          <w:lang w:val="es-ES_tradnl" w:eastAsia="es-ES_tradnl"/>
        </w:rPr>
        <w:t xml:space="preserve">[…] </w:t>
      </w:r>
      <w:r w:rsidRPr="00444B5E">
        <w:rPr>
          <w:rFonts w:ascii="Arial" w:eastAsia="Times New Roman" w:hAnsi="Arial" w:cs="Arial"/>
          <w:sz w:val="22"/>
          <w:lang w:val="es-ES_tradnl" w:eastAsia="es-ES_tradnl"/>
        </w:rPr>
        <w:t xml:space="preserve">de forma sucesiva y excluyente para seleccionar al oferente favorecido, respetando en todo caso los compromisos internacionales vigentes» –según lo </w:t>
      </w:r>
      <w:r w:rsidRPr="00444B5E">
        <w:rPr>
          <w:rFonts w:ascii="Arial" w:eastAsia="Times New Roman" w:hAnsi="Arial" w:cs="Arial"/>
          <w:sz w:val="22"/>
          <w:lang w:val="es-ES_tradnl" w:eastAsia="es-ES_tradnl"/>
        </w:rPr>
        <w:lastRenderedPageBreak/>
        <w:t>dispone el inciso primero–, el parágrafo tercero del mencionado artículo establece que «El Gobierno Nacional podrá reglamentar la aplicación de factores de desempate en casos en que concurran dos o más de los factores aquí previstos». En otras palabras, sin perjuicio de la competencia general prevista en el artículo 189.11 de Constitución Política de 1991, este parágrafo le asigna potestad reglamentaria al gobierno nacional para definir factores que permitan desempatar las ofertas en aquellos casos en que varios oferentes reúnan al tiempo dos o más de los factores previstos en el artículo 35 de la Ley 2069 de 2020.</w:t>
      </w:r>
    </w:p>
    <w:p w14:paraId="6D177C31" w14:textId="77777777" w:rsidR="00444B5E" w:rsidRPr="00444B5E" w:rsidRDefault="00444B5E" w:rsidP="00444B5E">
      <w:pPr>
        <w:ind w:firstLine="708"/>
        <w:rPr>
          <w:rFonts w:ascii="Arial" w:eastAsia="Calibri" w:hAnsi="Arial" w:cs="Arial"/>
        </w:rPr>
      </w:pPr>
      <w:r w:rsidRPr="00444B5E">
        <w:rPr>
          <w:rFonts w:ascii="Arial" w:eastAsia="Calibri" w:hAnsi="Arial" w:cs="Arial"/>
          <w:sz w:val="22"/>
          <w:lang w:val="es-ES_tradnl" w:eastAsia="es-ES_tradnl"/>
        </w:rPr>
        <w:t>Lo explicado en los párrafos precedentes es importante, porque el pasado 24 de diciembre, el gobierno nacional expidió el Decreto 1860 de 2021,</w:t>
      </w:r>
      <w:r w:rsidRPr="00444B5E">
        <w:rPr>
          <w:rFonts w:ascii="Arial" w:eastAsia="Times New Roman" w:hAnsi="Arial" w:cs="Arial"/>
          <w:szCs w:val="24"/>
          <w:lang w:val="es-CO" w:eastAsia="es-ES_tradnl"/>
        </w:rPr>
        <w:t xml:space="preserve"> </w:t>
      </w:r>
      <w:r w:rsidRPr="00444B5E">
        <w:rPr>
          <w:rFonts w:ascii="Arial" w:eastAsia="Calibri" w:hAnsi="Arial" w:cs="Arial"/>
          <w:sz w:val="22"/>
          <w:lang w:val="es-ES_tradnl" w:eastAsia="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444B5E">
        <w:rPr>
          <w:rFonts w:ascii="Arial" w:eastAsia="Calibri" w:hAnsi="Arial" w:cs="Arial"/>
          <w:sz w:val="22"/>
          <w:vertAlign w:val="superscript"/>
          <w:lang w:val="es-ES_tradnl" w:eastAsia="es-ES_tradnl"/>
        </w:rPr>
        <w:footnoteReference w:id="10"/>
      </w:r>
      <w:r w:rsidRPr="00444B5E">
        <w:rPr>
          <w:rFonts w:ascii="Arial" w:eastAsia="Calibri" w:hAnsi="Arial" w:cs="Arial"/>
          <w:sz w:val="22"/>
          <w:lang w:val="es-ES_tradnl" w:eastAsia="es-ES_tradnl"/>
        </w:rPr>
        <w:t xml:space="preserve">.  </w:t>
      </w:r>
    </w:p>
    <w:p w14:paraId="390459BD" w14:textId="77777777" w:rsidR="00444B5E" w:rsidRPr="00444B5E" w:rsidRDefault="00444B5E" w:rsidP="00444B5E">
      <w:pPr>
        <w:spacing w:after="120"/>
        <w:ind w:firstLine="708"/>
        <w:rPr>
          <w:rFonts w:ascii="Arial" w:eastAsia="Times New Roman" w:hAnsi="Arial" w:cs="Arial"/>
          <w:sz w:val="22"/>
          <w:lang w:val="es-CO" w:eastAsia="es-CO"/>
        </w:rPr>
      </w:pPr>
      <w:r w:rsidRPr="00444B5E">
        <w:rPr>
          <w:rFonts w:ascii="Arial" w:eastAsia="Calibri" w:hAnsi="Arial" w:cs="Arial"/>
          <w:sz w:val="22"/>
          <w:lang w:val="es-ES_tradnl" w:eastAsia="es-ES_tradnl"/>
        </w:rPr>
        <w:t>En lo relativo al artículo 35 de la Ley 2069 de 2020, el artículo 3 del Decreto 1860 de 2021 adiciona el artículo 2.2.1.2.4.2.17. a la Subsección 2 de la Sección 4 del Capítulo 2 del Título 1 de la Parte 2 del Libro 2 del Decreto 1082 de 2015</w:t>
      </w:r>
      <w:r w:rsidRPr="00444B5E">
        <w:rPr>
          <w:rFonts w:ascii="Arial" w:eastAsia="Times New Roman" w:hAnsi="Arial" w:cs="Arial"/>
          <w:sz w:val="22"/>
          <w:lang w:val="es-CO" w:eastAsia="es-CO"/>
        </w:rPr>
        <w:t xml:space="preserve">, el cual reglamenta los factores de desempate del artículo 35 </w:t>
      </w:r>
      <w:r w:rsidRPr="00444B5E">
        <w:rPr>
          <w:rFonts w:ascii="Arial" w:eastAsia="Times New Roman" w:hAnsi="Arial" w:cs="Arial"/>
          <w:i/>
          <w:iCs/>
          <w:sz w:val="22"/>
          <w:lang w:val="es-CO" w:eastAsia="es-CO"/>
        </w:rPr>
        <w:t>ibídem</w:t>
      </w:r>
      <w:r w:rsidRPr="00444B5E">
        <w:rPr>
          <w:rFonts w:ascii="Arial" w:eastAsia="Times New Roman" w:hAnsi="Arial" w:cs="Arial"/>
          <w:sz w:val="22"/>
          <w:lang w:val="es-CO" w:eastAsia="es-CO"/>
        </w:rPr>
        <w:t>, estableciendo los medios de acreditación de cada uno de los supuestos de hecho en función de los cuales operan.</w:t>
      </w:r>
    </w:p>
    <w:p w14:paraId="76F37DE6" w14:textId="77777777" w:rsidR="00444B5E" w:rsidRPr="00444B5E" w:rsidRDefault="00444B5E" w:rsidP="00444B5E">
      <w:pPr>
        <w:shd w:val="clear" w:color="auto" w:fill="FFFFFF"/>
        <w:spacing w:after="120"/>
        <w:rPr>
          <w:rFonts w:ascii="Arial" w:eastAsia="Times New Roman" w:hAnsi="Arial" w:cs="Arial"/>
          <w:sz w:val="22"/>
          <w:lang w:val="es-CO" w:eastAsia="es-CO"/>
        </w:rPr>
      </w:pPr>
      <w:r w:rsidRPr="00444B5E">
        <w:rPr>
          <w:rFonts w:ascii="Arial" w:eastAsia="Times New Roman" w:hAnsi="Arial" w:cs="Arial"/>
          <w:sz w:val="22"/>
          <w:lang w:val="es-CO" w:eastAsia="es-CO"/>
        </w:rPr>
        <w:tab/>
        <w:t xml:space="preserve">De otra parte, el artículo 7 del Decreto recientemente expedido modificó el contenido del artículo 2.2.1.2.4.2.8 </w:t>
      </w:r>
      <w:r w:rsidRPr="00444B5E">
        <w:rPr>
          <w:rFonts w:ascii="Arial" w:eastAsia="Times New Roman" w:hAnsi="Arial" w:cs="Arial"/>
          <w:sz w:val="22"/>
          <w:shd w:val="clear" w:color="auto" w:fill="FFFFFF"/>
          <w:lang w:val="es-CO" w:eastAsia="es-CO"/>
        </w:rPr>
        <w:t xml:space="preserve">de la Subsección 2 de la Sección 4 del Capítulo 2 del Título 1 de la Parte 2 del Libro 2 del Decreto 1082 de 2015, alusivo al sistema de preferencias en favor de las personas con discapacidad. </w:t>
      </w:r>
      <w:r w:rsidRPr="00444B5E">
        <w:rPr>
          <w:rFonts w:ascii="Arial" w:eastAsia="Times New Roman" w:hAnsi="Arial" w:cs="Arial"/>
          <w:sz w:val="22"/>
          <w:lang w:val="es-CO" w:eastAsia="es-CO"/>
        </w:rPr>
        <w:t xml:space="preserve">La modificación realizada reemplazó la referencia al artículo 2.2.1.1.2.2.9 del Decreto 1082 de 2015, que anteriormente reglamentaba los </w:t>
      </w:r>
      <w:r w:rsidRPr="00444B5E">
        <w:rPr>
          <w:rFonts w:ascii="Arial" w:eastAsia="Times New Roman" w:hAnsi="Arial" w:cs="Arial"/>
          <w:sz w:val="22"/>
          <w:lang w:val="es-CO" w:eastAsia="es-CO"/>
        </w:rPr>
        <w:lastRenderedPageBreak/>
        <w:t>factores de desempate, por una remisión al artículo 35 de la Ley 2069 de 2020 y el artículo 2.2.1.2.4.2.17 del Decreto 1082 de 2015, disposiciones por las que ahora se rigen los criterios de desempate.</w:t>
      </w:r>
    </w:p>
    <w:p w14:paraId="7631E360" w14:textId="77777777" w:rsidR="00444B5E" w:rsidRPr="00444B5E" w:rsidRDefault="00444B5E" w:rsidP="00444B5E">
      <w:pPr>
        <w:spacing w:after="120"/>
        <w:rPr>
          <w:rFonts w:ascii="Arial" w:eastAsia="Times New Roman" w:hAnsi="Arial" w:cs="Arial"/>
          <w:sz w:val="22"/>
          <w:lang w:val="es-CO" w:eastAsia="es-CO"/>
        </w:rPr>
      </w:pPr>
      <w:r w:rsidRPr="00444B5E">
        <w:rPr>
          <w:rFonts w:ascii="Arial" w:eastAsia="Times New Roman" w:hAnsi="Arial" w:cs="Arial"/>
          <w:sz w:val="22"/>
          <w:lang w:val="es-CO" w:eastAsia="es-CO"/>
        </w:rPr>
        <w:tab/>
        <w:t>Por último, debe precisarse que la vigencia del Decreto 1860 de 2021 es regulada por su artículo 8, el cual establece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deberá comenzar una vez transcurridos tres (3) meses contados a partir de entonces, en los procesos cuyos avisos de convocatorias, invitaciones o documentos equivalentes se publiquen con posterioridad a dicho término</w:t>
      </w:r>
      <w:r w:rsidRPr="00444B5E">
        <w:rPr>
          <w:rFonts w:ascii="Arial" w:eastAsia="Times New Roman" w:hAnsi="Arial" w:cs="Arial"/>
          <w:sz w:val="22"/>
          <w:vertAlign w:val="superscript"/>
          <w:lang w:val="es-CO" w:eastAsia="es-CO"/>
        </w:rPr>
        <w:footnoteReference w:id="11"/>
      </w:r>
      <w:r w:rsidRPr="00444B5E">
        <w:rPr>
          <w:rFonts w:ascii="Arial" w:eastAsia="Times New Roman" w:hAnsi="Arial" w:cs="Arial"/>
          <w:sz w:val="22"/>
          <w:lang w:val="es-CO" w:eastAsia="es-CO"/>
        </w:rPr>
        <w:t xml:space="preserve">. </w:t>
      </w:r>
    </w:p>
    <w:p w14:paraId="72ECDFC5" w14:textId="77777777" w:rsidR="00444B5E" w:rsidRPr="00444B5E" w:rsidRDefault="00444B5E" w:rsidP="00444B5E">
      <w:pPr>
        <w:spacing w:after="0"/>
        <w:ind w:firstLine="709"/>
        <w:rPr>
          <w:rFonts w:ascii="Arial" w:eastAsia="Arial" w:hAnsi="Arial" w:cs="Arial"/>
          <w:bCs/>
          <w:sz w:val="22"/>
          <w:lang w:val="es-ES_tradnl" w:eastAsia="es-ES" w:bidi="es-ES"/>
        </w:rPr>
      </w:pPr>
      <w:r w:rsidRPr="00444B5E">
        <w:rPr>
          <w:rFonts w:ascii="Arial" w:eastAsia="Calibri" w:hAnsi="Arial" w:cs="Arial"/>
          <w:bCs/>
          <w:color w:val="000000"/>
          <w:sz w:val="22"/>
          <w:szCs w:val="24"/>
          <w:lang w:val="es-ES_tradnl" w:eastAsia="es-ES_tradnl"/>
        </w:rPr>
        <w:t xml:space="preserve">En tal sentido, tratándose de la acreditación de los factores de desempate dichas modificaciones tiene efectos en los procesos </w:t>
      </w:r>
      <w:r w:rsidRPr="00444B5E">
        <w:rPr>
          <w:rFonts w:ascii="Arial" w:eastAsia="Arial" w:hAnsi="Arial" w:cs="Arial"/>
          <w:bCs/>
          <w:sz w:val="22"/>
          <w:lang w:val="es-ES_tradnl" w:eastAsia="es-ES" w:bidi="es-ES"/>
        </w:rPr>
        <w:t xml:space="preserve">cuya invitación o aviso de convocatoria </w:t>
      </w:r>
      <w:r w:rsidRPr="00444B5E">
        <w:rPr>
          <w:rFonts w:ascii="Arial" w:eastAsia="Calibri" w:hAnsi="Arial" w:cs="Arial"/>
          <w:bCs/>
          <w:color w:val="000000"/>
          <w:sz w:val="22"/>
          <w:szCs w:val="24"/>
          <w:lang w:val="es-ES_tradnl" w:eastAsia="es-ES_tradnl"/>
        </w:rPr>
        <w:t xml:space="preserve">se hubiese publicado a partir del 24 de marzo de 2022, </w:t>
      </w:r>
      <w:r w:rsidRPr="00444B5E">
        <w:rPr>
          <w:rFonts w:ascii="Arial" w:eastAsia="Times New Roman" w:hAnsi="Arial" w:cs="Arial"/>
          <w:color w:val="000000"/>
          <w:sz w:val="22"/>
          <w:lang w:val="es-CO" w:eastAsia="es-ES_tradnl"/>
        </w:rPr>
        <w:t xml:space="preserve">sin perjuicio de que la entidad lo aplique de forma potestativa, incluyendo dichos contenidos en el pliego de condiciones o documento equivalente, para </w:t>
      </w:r>
      <w:r w:rsidRPr="00444B5E">
        <w:rPr>
          <w:rFonts w:ascii="Arial" w:eastAsia="Arial" w:hAnsi="Arial" w:cs="Arial"/>
          <w:bCs/>
          <w:sz w:val="22"/>
          <w:lang w:val="es-ES_tradnl" w:eastAsia="es-ES" w:bidi="es-ES"/>
        </w:rPr>
        <w:t>procesos publicados en una fecha anterior.</w:t>
      </w:r>
    </w:p>
    <w:p w14:paraId="04517930" w14:textId="77777777" w:rsidR="00444B5E" w:rsidRPr="00444B5E" w:rsidRDefault="00444B5E" w:rsidP="00444B5E">
      <w:pPr>
        <w:spacing w:after="0"/>
        <w:rPr>
          <w:rFonts w:ascii="Arial" w:eastAsia="Calibri" w:hAnsi="Arial" w:cs="Arial"/>
        </w:rPr>
      </w:pPr>
    </w:p>
    <w:p w14:paraId="44A2DA37" w14:textId="77777777" w:rsidR="00444B5E" w:rsidRPr="00444B5E" w:rsidRDefault="00444B5E" w:rsidP="00444B5E">
      <w:pPr>
        <w:spacing w:after="0"/>
        <w:rPr>
          <w:rFonts w:ascii="Arial" w:eastAsia="Calibri" w:hAnsi="Arial" w:cs="Arial"/>
          <w:b/>
          <w:bCs/>
        </w:rPr>
      </w:pPr>
      <w:r w:rsidRPr="00444B5E">
        <w:rPr>
          <w:rFonts w:ascii="Arial" w:eastAsia="Calibri" w:hAnsi="Arial" w:cs="Arial"/>
          <w:b/>
          <w:bCs/>
        </w:rPr>
        <w:t>2.3. Alcance del factor de desempate establecido en el numeral 4 del artículo 34 de la Ley 2069 de 2020</w:t>
      </w:r>
    </w:p>
    <w:p w14:paraId="369A372A" w14:textId="77777777" w:rsidR="00444B5E" w:rsidRPr="00444B5E" w:rsidRDefault="00444B5E" w:rsidP="00444B5E">
      <w:pPr>
        <w:spacing w:after="0"/>
        <w:rPr>
          <w:rFonts w:ascii="Arial" w:eastAsia="Calibri" w:hAnsi="Arial" w:cs="Arial"/>
        </w:rPr>
      </w:pPr>
    </w:p>
    <w:p w14:paraId="55430F29" w14:textId="77777777" w:rsidR="00444B5E" w:rsidRPr="00444B5E" w:rsidRDefault="00444B5E" w:rsidP="00444B5E">
      <w:pPr>
        <w:rPr>
          <w:rFonts w:ascii="Arial" w:eastAsia="Calibri" w:hAnsi="Arial" w:cs="Arial"/>
          <w:sz w:val="22"/>
        </w:rPr>
      </w:pPr>
      <w:r w:rsidRPr="00444B5E">
        <w:rPr>
          <w:rFonts w:ascii="Arial" w:eastAsia="Calibri" w:hAnsi="Arial" w:cs="Arial"/>
          <w:sz w:val="22"/>
        </w:rPr>
        <w:t>En lo que respecta al numeral 4 del artículo 2.2..2.4.2.17 del Decreto 1082 de 2015 adicionado por el artículo 3 del Decreto 1860 de 2021 que reglamenta el numeral 4 del artículo 35 de la Ley 2069 de 2020, se señalarán las consideraciones que esta Agencia en su momento expresó, en lo atinente a la acreditación de esta factor de desempate, previo a la expedición del Decreto 1860 de 2021, para posteriormente, indicar cuál es el alcance que la norma reglamentaria brinda al referido factor de desempate.</w:t>
      </w:r>
    </w:p>
    <w:p w14:paraId="08A98DFC" w14:textId="77777777" w:rsidR="00444B5E" w:rsidRPr="00444B5E" w:rsidRDefault="00444B5E" w:rsidP="00444B5E">
      <w:pPr>
        <w:rPr>
          <w:rFonts w:ascii="Arial" w:eastAsia="Calibri" w:hAnsi="Arial" w:cs="Arial"/>
          <w:sz w:val="22"/>
        </w:rPr>
      </w:pPr>
      <w:r w:rsidRPr="00444B5E">
        <w:rPr>
          <w:rFonts w:ascii="Arial" w:eastAsia="Calibri" w:hAnsi="Arial" w:cs="Arial"/>
          <w:sz w:val="22"/>
        </w:rPr>
        <w:tab/>
        <w:t xml:space="preserve">En ese orden, de conformidad con lo previsto en el numeral 4 de la norma precitada, cuando el legislador alude al concepto de </w:t>
      </w:r>
      <w:r w:rsidRPr="00444B5E">
        <w:rPr>
          <w:rFonts w:ascii="Arial" w:eastAsia="Calibri" w:hAnsi="Arial" w:cs="Arial"/>
          <w:i/>
          <w:iCs/>
          <w:sz w:val="22"/>
        </w:rPr>
        <w:t xml:space="preserve">«personas mayores» </w:t>
      </w:r>
      <w:r w:rsidRPr="00444B5E">
        <w:rPr>
          <w:rFonts w:ascii="Arial" w:eastAsia="Calibri" w:hAnsi="Arial" w:cs="Arial"/>
          <w:sz w:val="22"/>
        </w:rPr>
        <w:t xml:space="preserve">que no sean beneficiarias de la pensión de vejez, familiar o de sobrevivencia y que hayan cumplido la edad para obtenerla, una posible interpretación es entender que la norma se refiere al «adulto mayor». Este concepto lo define el artículo 3 de la Ley 1251 de 2008 </w:t>
      </w:r>
      <w:r w:rsidRPr="00444B5E">
        <w:rPr>
          <w:rFonts w:ascii="Arial" w:eastAsia="Calibri" w:hAnsi="Arial" w:cs="Arial"/>
          <w:i/>
          <w:iCs/>
          <w:sz w:val="22"/>
        </w:rPr>
        <w:t xml:space="preserve">«Por la cual se dictan normas tendientes a procurar la protección, promoción y defensa de los derechos de los adultos mayores» </w:t>
      </w:r>
      <w:r w:rsidRPr="00444B5E">
        <w:rPr>
          <w:rFonts w:ascii="Arial" w:eastAsia="Calibri" w:hAnsi="Arial" w:cs="Arial"/>
          <w:sz w:val="22"/>
        </w:rPr>
        <w:t>como «[…] aquella persona que cuenta con sesenta (60) años de edad o más, lo cual se puede acreditar con el documento de identidad correspondiente. En todo caso, también se señaló que existe la posibilidad de entender que esta causal aplica a todas las personas que –en el rango de edad correspondiente a cada género– no han alcanzado la pensión, interpretación que está más ajustada al principio de favorabilidad y que, como se expresará, se acogió en la reglamentación realizada por el Decreto 1860 de 2021.</w:t>
      </w:r>
    </w:p>
    <w:p w14:paraId="6BB8BA36" w14:textId="77777777" w:rsidR="00444B5E" w:rsidRPr="00444B5E" w:rsidRDefault="00444B5E" w:rsidP="00444B5E">
      <w:pPr>
        <w:rPr>
          <w:rFonts w:ascii="Arial" w:eastAsia="Calibri" w:hAnsi="Arial" w:cs="Arial"/>
          <w:sz w:val="22"/>
        </w:rPr>
      </w:pPr>
      <w:r w:rsidRPr="00444B5E">
        <w:rPr>
          <w:rFonts w:ascii="Arial" w:eastAsia="Calibri" w:hAnsi="Arial" w:cs="Arial"/>
          <w:sz w:val="22"/>
        </w:rPr>
        <w:tab/>
        <w:t xml:space="preserve">El numeral 4 señala que en dicho evento la regla de desempate se aplica a favor del «[…] oferente que acredite la vinculación en </w:t>
      </w:r>
      <w:r w:rsidRPr="00444B5E">
        <w:rPr>
          <w:rFonts w:ascii="Arial" w:eastAsia="Calibri" w:hAnsi="Arial" w:cs="Arial"/>
          <w:i/>
          <w:iCs/>
          <w:sz w:val="22"/>
        </w:rPr>
        <w:t xml:space="preserve">mayor proporción </w:t>
      </w:r>
      <w:r w:rsidRPr="00444B5E">
        <w:rPr>
          <w:rFonts w:ascii="Arial" w:eastAsia="Calibri" w:hAnsi="Arial" w:cs="Arial"/>
          <w:sz w:val="22"/>
        </w:rPr>
        <w:t xml:space="preserve">de personas 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que «no sean beneficiarios de la pensión de vejez, familiar o de sobrevivencia y que hayan cumplido </w:t>
      </w:r>
      <w:proofErr w:type="spellStart"/>
      <w:r w:rsidRPr="00444B5E">
        <w:rPr>
          <w:rFonts w:ascii="Arial" w:eastAsia="Calibri" w:hAnsi="Arial" w:cs="Arial"/>
          <w:sz w:val="22"/>
        </w:rPr>
        <w:t>el</w:t>
      </w:r>
      <w:proofErr w:type="spellEnd"/>
      <w:r w:rsidRPr="00444B5E">
        <w:rPr>
          <w:rFonts w:ascii="Arial" w:eastAsia="Calibri" w:hAnsi="Arial" w:cs="Arial"/>
          <w:sz w:val="22"/>
        </w:rPr>
        <w:t xml:space="preserve"> requiso de edad de pensión establecido en la Ley».</w:t>
      </w:r>
    </w:p>
    <w:p w14:paraId="28CC9644" w14:textId="77777777" w:rsidR="00444B5E" w:rsidRPr="00444B5E" w:rsidRDefault="00444B5E" w:rsidP="00444B5E">
      <w:pPr>
        <w:rPr>
          <w:rFonts w:ascii="Arial" w:eastAsia="Calibri" w:hAnsi="Arial" w:cs="Arial"/>
          <w:sz w:val="22"/>
        </w:rPr>
      </w:pPr>
      <w:r w:rsidRPr="00444B5E">
        <w:rPr>
          <w:rFonts w:ascii="Arial" w:eastAsia="Calibri" w:hAnsi="Arial" w:cs="Arial"/>
          <w:sz w:val="22"/>
        </w:rPr>
        <w:tab/>
        <w:t>El factor de desempate del artículo 35.4 de la Ley 2069 de 2020 no se refiere a la vinculación en mayor cantidad de personas mayores. En este caso, bastaría comparar el número de personas vinculadas entre cada uno de los proponentes empatados, adjudicando el contrato a aquel que más tenga. Sin embargo, esta interpretación no es posible en la medida que la norma se refiere a la «vinculación en mayor proporción», es decir el número de personas vinculadas en relación con la planta de personal de los oferentes.</w:t>
      </w:r>
    </w:p>
    <w:p w14:paraId="4BAD70DD" w14:textId="77777777" w:rsidR="00444B5E" w:rsidRPr="00444B5E" w:rsidRDefault="00444B5E" w:rsidP="00444B5E">
      <w:pPr>
        <w:spacing w:after="0"/>
        <w:rPr>
          <w:rFonts w:ascii="Arial" w:eastAsia="Calibri" w:hAnsi="Arial" w:cs="Arial"/>
          <w:sz w:val="22"/>
        </w:rPr>
      </w:pPr>
      <w:r w:rsidRPr="00444B5E">
        <w:rPr>
          <w:rFonts w:ascii="Arial" w:eastAsia="Calibri" w:hAnsi="Arial" w:cs="Arial"/>
          <w:sz w:val="22"/>
        </w:rPr>
        <w:lastRenderedPageBreak/>
        <w:tab/>
        <w:t>Lo expuesto se ratifica en el artículo 3 del Decreto Reglamentario 1860 de 2021, que adicionó el artículo 2.2.1.2.4.2.17 al Decreto 1082 de 2015, cuyo numeral 4 desarrolla el factor de desempate que se está analizando:</w:t>
      </w:r>
    </w:p>
    <w:p w14:paraId="57CFB709" w14:textId="77777777" w:rsidR="00444B5E" w:rsidRPr="00444B5E" w:rsidRDefault="00444B5E" w:rsidP="00444B5E">
      <w:pPr>
        <w:spacing w:after="0"/>
        <w:rPr>
          <w:rFonts w:ascii="Arial" w:eastAsia="Calibri" w:hAnsi="Arial" w:cs="Arial"/>
          <w:sz w:val="22"/>
        </w:rPr>
      </w:pPr>
    </w:p>
    <w:p w14:paraId="56ADAB8F" w14:textId="77777777" w:rsidR="00444B5E" w:rsidRPr="00444B5E" w:rsidRDefault="00444B5E" w:rsidP="00444B5E">
      <w:pPr>
        <w:spacing w:after="0"/>
        <w:ind w:left="709" w:right="709"/>
        <w:rPr>
          <w:rFonts w:ascii="Arial" w:eastAsia="Calibri" w:hAnsi="Arial" w:cs="Arial"/>
          <w:sz w:val="21"/>
          <w:szCs w:val="21"/>
        </w:rPr>
      </w:pPr>
      <w:r w:rsidRPr="00444B5E">
        <w:rPr>
          <w:rFonts w:ascii="Arial" w:eastAsia="Calibri" w:hAnsi="Arial" w:cs="Arial"/>
          <w:sz w:val="21"/>
          <w:szCs w:val="21"/>
        </w:rPr>
        <w:t xml:space="preserve">4. Preferir la propuesta presentada por el oferente que acredite la vinculación en mayor proporción de personas mayores que no sean beneficiarias de la pensión de vejez, familiar o de sobrevivencia y que hayan cumplido el requisito de edad de pensión establecido en la ley, para ello, la persona natural, el representante legal de la persona jurídica o el revisor fiscal, según corresponda, entregará un certificado, en el que se acredite, bajo la gravedad de juramento, las personas vinculadas a su nómina y el número de trabajadores que no son beneficiarios de la pensión de vejez, familiar o de sobrevivencia y que cumplieron el requisito de edad de pensión. </w:t>
      </w:r>
      <w:r w:rsidRPr="00444B5E">
        <w:rPr>
          <w:rFonts w:ascii="Arial" w:eastAsia="Calibri" w:hAnsi="Arial" w:cs="Arial"/>
          <w:i/>
          <w:iCs/>
          <w:sz w:val="21"/>
          <w:szCs w:val="21"/>
        </w:rPr>
        <w:t>Solo se tendrá en cuenta la vinculación de aquellas personas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w:t>
      </w:r>
    </w:p>
    <w:p w14:paraId="5F9B7E3D" w14:textId="77777777" w:rsidR="00444B5E" w:rsidRPr="00444B5E" w:rsidRDefault="00444B5E" w:rsidP="00444B5E">
      <w:pPr>
        <w:spacing w:after="0"/>
        <w:ind w:left="709" w:right="709"/>
        <w:rPr>
          <w:rFonts w:ascii="Arial" w:eastAsia="Calibri" w:hAnsi="Arial" w:cs="Arial"/>
          <w:sz w:val="21"/>
          <w:szCs w:val="21"/>
        </w:rPr>
      </w:pPr>
    </w:p>
    <w:p w14:paraId="6B46DC93" w14:textId="77777777" w:rsidR="00444B5E" w:rsidRPr="00444B5E" w:rsidRDefault="00444B5E" w:rsidP="00444B5E">
      <w:pPr>
        <w:spacing w:after="0"/>
        <w:ind w:left="709" w:right="709"/>
        <w:rPr>
          <w:rFonts w:ascii="Arial" w:eastAsia="Calibri" w:hAnsi="Arial" w:cs="Arial"/>
          <w:sz w:val="21"/>
          <w:szCs w:val="21"/>
        </w:rPr>
      </w:pPr>
      <w:r w:rsidRPr="00444B5E">
        <w:rPr>
          <w:rFonts w:ascii="Arial" w:eastAsia="Calibri" w:hAnsi="Arial" w:cs="Arial"/>
          <w:sz w:val="21"/>
          <w:szCs w:val="21"/>
        </w:rPr>
        <w:t>El tiempo de vinculación a la planta referida, de que trata el inciso anterior, se acreditará con el certificado de aportes a seguridad social del último año o del tiempo de constitución de la persona jurídica, cuando su conformación es inferior a un (1) año, en el que se demuestren los pagos realizados por el empleador. En el caso de los proponentes plurales, su representante legal acreditará el número de trabajadores vinculados que son personas mayores no beneficiarias de la pensión de vejez, familiar o de sobrevivencia, y que cumplieron con el requisito de edad de pensión establecido en la ley, de todos los integrantes del proponente. Las personas enunciadas anteriormente podrán estar vinculadas a cualquiera de sus integrantes.</w:t>
      </w:r>
    </w:p>
    <w:p w14:paraId="1888DB41" w14:textId="77777777" w:rsidR="00444B5E" w:rsidRPr="00444B5E" w:rsidRDefault="00444B5E" w:rsidP="00444B5E">
      <w:pPr>
        <w:spacing w:after="0"/>
        <w:ind w:left="709" w:right="709"/>
        <w:rPr>
          <w:rFonts w:ascii="Arial" w:eastAsia="Calibri" w:hAnsi="Arial" w:cs="Arial"/>
          <w:sz w:val="21"/>
          <w:szCs w:val="21"/>
        </w:rPr>
      </w:pPr>
    </w:p>
    <w:p w14:paraId="55501D29" w14:textId="77777777" w:rsidR="00444B5E" w:rsidRPr="00444B5E" w:rsidRDefault="00444B5E" w:rsidP="00444B5E">
      <w:pPr>
        <w:spacing w:after="0"/>
        <w:ind w:left="709" w:right="709"/>
        <w:rPr>
          <w:rFonts w:ascii="Arial" w:eastAsia="Calibri" w:hAnsi="Arial" w:cs="Arial"/>
          <w:sz w:val="21"/>
          <w:szCs w:val="21"/>
        </w:rPr>
      </w:pPr>
      <w:r w:rsidRPr="00444B5E">
        <w:rPr>
          <w:rFonts w:ascii="Arial" w:eastAsia="Calibri" w:hAnsi="Arial" w:cs="Arial"/>
          <w:sz w:val="21"/>
          <w:szCs w:val="21"/>
        </w:rPr>
        <w:t>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sobrevivencia, y cumple la edad de pensión, además, se deberá allegar el documento de identificación del trabajador que lo firma.</w:t>
      </w:r>
    </w:p>
    <w:p w14:paraId="7D7B91D8" w14:textId="77777777" w:rsidR="00444B5E" w:rsidRPr="00444B5E" w:rsidRDefault="00444B5E" w:rsidP="00444B5E">
      <w:pPr>
        <w:spacing w:after="0"/>
        <w:ind w:left="709" w:right="709"/>
        <w:rPr>
          <w:rFonts w:ascii="Arial" w:eastAsia="Calibri" w:hAnsi="Arial" w:cs="Arial"/>
          <w:sz w:val="21"/>
          <w:szCs w:val="21"/>
        </w:rPr>
      </w:pPr>
    </w:p>
    <w:p w14:paraId="08971783" w14:textId="77777777" w:rsidR="00444B5E" w:rsidRPr="00444B5E" w:rsidRDefault="00444B5E" w:rsidP="00444B5E">
      <w:pPr>
        <w:spacing w:after="0"/>
        <w:ind w:left="709" w:right="709"/>
        <w:rPr>
          <w:rFonts w:ascii="Arial" w:eastAsia="Calibri" w:hAnsi="Arial" w:cs="Arial"/>
          <w:sz w:val="21"/>
          <w:szCs w:val="21"/>
        </w:rPr>
      </w:pPr>
      <w:r w:rsidRPr="00444B5E">
        <w:rPr>
          <w:rFonts w:ascii="Arial" w:eastAsia="Calibri" w:hAnsi="Arial" w:cs="Arial"/>
          <w:i/>
          <w:iCs/>
          <w:sz w:val="21"/>
          <w:szCs w:val="21"/>
        </w:rPr>
        <w:lastRenderedPageBreak/>
        <w:t xml:space="preserve">La mayor proporción se definirá en relación con el número toral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interrogantes. </w:t>
      </w:r>
      <w:r w:rsidRPr="00444B5E">
        <w:rPr>
          <w:rFonts w:ascii="Arial" w:eastAsia="Calibri" w:hAnsi="Arial" w:cs="Arial"/>
          <w:sz w:val="21"/>
          <w:szCs w:val="21"/>
        </w:rPr>
        <w:t>[Énfasis fuera de texto]</w:t>
      </w:r>
    </w:p>
    <w:p w14:paraId="276DC2CD" w14:textId="77777777" w:rsidR="00444B5E" w:rsidRPr="00444B5E" w:rsidRDefault="00444B5E" w:rsidP="00444B5E">
      <w:pPr>
        <w:spacing w:after="0"/>
        <w:rPr>
          <w:rFonts w:ascii="Arial" w:eastAsia="Calibri" w:hAnsi="Arial" w:cs="Arial"/>
          <w:sz w:val="22"/>
        </w:rPr>
      </w:pPr>
    </w:p>
    <w:p w14:paraId="38D6ED84" w14:textId="77777777" w:rsidR="00444B5E" w:rsidRPr="00444B5E" w:rsidRDefault="00444B5E" w:rsidP="00444B5E">
      <w:pPr>
        <w:spacing w:after="0"/>
        <w:ind w:firstLine="708"/>
        <w:rPr>
          <w:rFonts w:ascii="Arial" w:eastAsia="Calibri" w:hAnsi="Arial" w:cs="Arial"/>
          <w:sz w:val="22"/>
        </w:rPr>
      </w:pPr>
      <w:r w:rsidRPr="00444B5E">
        <w:rPr>
          <w:rFonts w:ascii="Arial" w:eastAsia="Calibri" w:hAnsi="Arial" w:cs="Arial"/>
          <w:sz w:val="22"/>
        </w:rPr>
        <w:t xml:space="preserve">De conformidad con lo anterior, la reglamentación actual, expresamente, señala que se preferirá la propuesta del oferente que acredite la vinculación en mayor proporción de personas mayores que no sean beneficiarias de la pensión de vejez, familiar o de sobrevivencia y que hayan cumplido el requisito de edad de pensión establecido en la ley, para lo cual deberán presentar los siguientes documentos: i) un certificado mediante el cual, el representante legal de la persona jurídica o el revisor fiscal, acredite bajo gravedad de juramento las personas vinculadas a la nómina y el número de trabajadores que no son beneficiarios de la pensión de vejez, familiar o sobrevivencia, </w:t>
      </w:r>
      <w:proofErr w:type="spellStart"/>
      <w:r w:rsidRPr="00444B5E">
        <w:rPr>
          <w:rFonts w:ascii="Arial" w:eastAsia="Calibri" w:hAnsi="Arial" w:cs="Arial"/>
          <w:sz w:val="22"/>
        </w:rPr>
        <w:t>ii</w:t>
      </w:r>
      <w:proofErr w:type="spellEnd"/>
      <w:r w:rsidRPr="00444B5E">
        <w:rPr>
          <w:rFonts w:ascii="Arial" w:eastAsia="Calibri" w:hAnsi="Arial" w:cs="Arial"/>
          <w:sz w:val="22"/>
        </w:rPr>
        <w:t xml:space="preserve">) un certificado mediante el cual, cada uno de los trabajadores sujetos a la condición prevista en el numeral, acredite bajo la gravedad de juramento que no es beneficiario de pensión de vejez, familiar o sobrevivencia, y que cumple la edad de pensión; y </w:t>
      </w:r>
      <w:proofErr w:type="spellStart"/>
      <w:r w:rsidRPr="00444B5E">
        <w:rPr>
          <w:rFonts w:ascii="Arial" w:eastAsia="Calibri" w:hAnsi="Arial" w:cs="Arial"/>
          <w:sz w:val="22"/>
        </w:rPr>
        <w:t>iii</w:t>
      </w:r>
      <w:proofErr w:type="spellEnd"/>
      <w:r w:rsidRPr="00444B5E">
        <w:rPr>
          <w:rFonts w:ascii="Arial" w:eastAsia="Calibri" w:hAnsi="Arial" w:cs="Arial"/>
          <w:sz w:val="22"/>
        </w:rPr>
        <w:t>) además, el documento de identificación del trabajado que lo firma.</w:t>
      </w:r>
    </w:p>
    <w:p w14:paraId="2862BFE4" w14:textId="77777777" w:rsidR="00444B5E" w:rsidRPr="00444B5E" w:rsidRDefault="00444B5E" w:rsidP="00444B5E">
      <w:pPr>
        <w:tabs>
          <w:tab w:val="left" w:pos="0"/>
        </w:tabs>
        <w:spacing w:before="120" w:after="120"/>
        <w:ind w:firstLine="709"/>
        <w:rPr>
          <w:rFonts w:ascii="Arial" w:eastAsia="Calibri" w:hAnsi="Arial" w:cs="Arial"/>
          <w:bCs/>
          <w:sz w:val="22"/>
          <w:szCs w:val="24"/>
          <w:lang w:val="es-ES_tradnl" w:eastAsia="es-ES_tradnl"/>
        </w:rPr>
      </w:pPr>
      <w:r w:rsidRPr="00444B5E">
        <w:rPr>
          <w:rFonts w:ascii="Arial" w:eastAsia="Calibri" w:hAnsi="Arial" w:cs="Arial"/>
          <w:bCs/>
          <w:sz w:val="22"/>
          <w:szCs w:val="24"/>
          <w:lang w:val="es-ES_tradnl" w:eastAsia="es-ES_tradnl"/>
        </w:rPr>
        <w:t xml:space="preserve">Según la norma citada, se estipula que la vinculación de estas personas se tendrá en cuenta si han estado vinculadas con anterioridad a un año desde la fecha de cierre del proceso y que para el caso de las personas jurídicas nuevas o con constitución inferior a un año, se tendrá en cuenta que hayan estado vinculadas desde el momento de constitución de la persona jurídica. De otro lado, para el caso de los proponentes plurales, se establece que las personas referenciadas podrán estar vinculadas a cualquiera de los integrantes de la estructura plural. </w:t>
      </w:r>
    </w:p>
    <w:p w14:paraId="6F68469F" w14:textId="77777777" w:rsidR="00444B5E" w:rsidRPr="00444B5E" w:rsidRDefault="00444B5E" w:rsidP="00444B5E">
      <w:pPr>
        <w:tabs>
          <w:tab w:val="left" w:pos="0"/>
        </w:tabs>
        <w:spacing w:after="0"/>
        <w:ind w:firstLine="709"/>
        <w:rPr>
          <w:rFonts w:ascii="Arial" w:eastAsia="Calibri" w:hAnsi="Arial" w:cs="Arial"/>
          <w:bCs/>
          <w:sz w:val="22"/>
          <w:szCs w:val="24"/>
          <w:lang w:val="es-ES_tradnl" w:eastAsia="es-ES_tradnl"/>
        </w:rPr>
      </w:pPr>
      <w:r w:rsidRPr="00444B5E">
        <w:rPr>
          <w:rFonts w:ascii="Arial" w:eastAsia="Calibri" w:hAnsi="Arial" w:cs="Arial"/>
          <w:bCs/>
          <w:sz w:val="22"/>
          <w:szCs w:val="24"/>
          <w:lang w:val="es-ES_tradnl" w:eastAsia="es-ES_tradnl"/>
        </w:rPr>
        <w:t xml:space="preserve">De acuerdo con la norma en cita, la expresión «mayor proporción» alude al número de personas vinculadas por el oferente, la cual </w:t>
      </w:r>
      <w:r w:rsidRPr="00444B5E">
        <w:rPr>
          <w:rFonts w:ascii="Arial" w:eastAsia="Times New Roman" w:hAnsi="Arial" w:cs="Arial"/>
          <w:sz w:val="22"/>
          <w:lang w:val="es-ES_tradnl" w:eastAsia="es-ES_tradnl"/>
        </w:rPr>
        <w:t>«</w:t>
      </w:r>
      <w:r w:rsidRPr="00444B5E">
        <w:rPr>
          <w:rFonts w:ascii="Arial" w:eastAsia="Calibri" w:hAnsi="Arial" w:cs="Arial"/>
          <w:bCs/>
          <w:sz w:val="22"/>
          <w:szCs w:val="24"/>
          <w:lang w:val="es-ES_tradnl" w:eastAsia="es-ES_tradnl"/>
        </w:rPr>
        <w:t xml:space="preserve">se definirá en relación con el número total de trabajadores vinculados en la planta de personal, por lo que se preferirá al oferente que acredite un </w:t>
      </w:r>
      <w:r w:rsidRPr="00444B5E">
        <w:rPr>
          <w:rFonts w:ascii="Arial" w:eastAsia="Calibri" w:hAnsi="Arial" w:cs="Arial"/>
          <w:bCs/>
          <w:i/>
          <w:iCs/>
          <w:sz w:val="22"/>
          <w:szCs w:val="24"/>
          <w:lang w:val="es-ES_tradnl" w:eastAsia="es-ES_tradnl"/>
        </w:rPr>
        <w:t>porcentaje mayor</w:t>
      </w:r>
      <w:r w:rsidRPr="00444B5E">
        <w:rPr>
          <w:rFonts w:ascii="Arial" w:eastAsia="Times New Roman" w:hAnsi="Arial" w:cs="Arial"/>
          <w:sz w:val="22"/>
          <w:lang w:val="es-ES_tradnl" w:eastAsia="es-ES_tradnl"/>
        </w:rPr>
        <w:t>»</w:t>
      </w:r>
      <w:r w:rsidRPr="00444B5E">
        <w:rPr>
          <w:rFonts w:ascii="Arial" w:eastAsia="Calibri" w:hAnsi="Arial" w:cs="Arial"/>
          <w:bCs/>
          <w:sz w:val="22"/>
          <w:szCs w:val="24"/>
          <w:lang w:val="es-ES_tradnl" w:eastAsia="es-ES_tradnl"/>
        </w:rPr>
        <w:t xml:space="preserve"> de vinculación laboral de personas que reúnan la condición de ser mayores y que «no sean beneficiarios de la pensión de vejez, familiar o de sobrevivencia y que hayan cumplido el requisito de edad de pensión establecido en la Ley». Para el caso de los proponentes plurales, </w:t>
      </w:r>
      <w:r w:rsidRPr="00444B5E">
        <w:rPr>
          <w:rFonts w:ascii="Arial" w:eastAsia="Times New Roman" w:hAnsi="Arial" w:cs="Arial"/>
          <w:sz w:val="22"/>
          <w:lang w:val="es-ES_tradnl" w:eastAsia="es-ES_tradnl"/>
        </w:rPr>
        <w:t xml:space="preserve">«la mayor proporción se definirá con la sumatoria de trabajadores vinculados en la planta de personal de cada uno de sus integrantes».  </w:t>
      </w:r>
    </w:p>
    <w:p w14:paraId="0E6A35D4" w14:textId="77777777" w:rsidR="00444B5E" w:rsidRPr="00444B5E" w:rsidRDefault="00444B5E" w:rsidP="00444B5E">
      <w:pPr>
        <w:tabs>
          <w:tab w:val="left" w:pos="971"/>
        </w:tabs>
        <w:spacing w:before="120" w:after="0"/>
        <w:rPr>
          <w:rFonts w:ascii="Arial" w:eastAsia="Calibri" w:hAnsi="Arial" w:cs="Arial"/>
          <w:sz w:val="22"/>
        </w:rPr>
      </w:pPr>
      <w:r w:rsidRPr="00444B5E">
        <w:rPr>
          <w:rFonts w:ascii="Arial" w:eastAsia="Calibri" w:hAnsi="Arial" w:cs="Arial"/>
          <w:sz w:val="22"/>
        </w:rPr>
        <w:tab/>
        <w:t xml:space="preserve">Ahora bien, como se señaló en el concepto C-390 de 2021, es necesario tener en cuenta que el artículo 28 del Código Civil dispone que «Las palabras de la ley se entenderán en su sentido natural y obvio, según el uso general de las mismas palabras; pero cuando el </w:t>
      </w:r>
      <w:r w:rsidRPr="00444B5E">
        <w:rPr>
          <w:rFonts w:ascii="Arial" w:eastAsia="Calibri" w:hAnsi="Arial" w:cs="Arial"/>
          <w:sz w:val="22"/>
        </w:rPr>
        <w:lastRenderedPageBreak/>
        <w:t xml:space="preserve">legislador las haya definido expresamente para ciertas materias, se les dará en éstas su significado legal». Igualmente, del artículo 29 </w:t>
      </w:r>
      <w:r w:rsidRPr="00444B5E">
        <w:rPr>
          <w:rFonts w:ascii="Arial" w:eastAsia="Calibri" w:hAnsi="Arial" w:cs="Arial"/>
          <w:i/>
          <w:iCs/>
          <w:sz w:val="22"/>
        </w:rPr>
        <w:t xml:space="preserve">ibídem, </w:t>
      </w:r>
      <w:r w:rsidRPr="00444B5E">
        <w:rPr>
          <w:rFonts w:ascii="Arial" w:eastAsia="Calibri" w:hAnsi="Arial" w:cs="Arial"/>
          <w:sz w:val="22"/>
        </w:rPr>
        <w:t>también se prescribe que «Las palabras técnicas de toda ciencia o arte se tomarán en el sentido que les den los que profesan la misma ciencia o arte; a menos que aparezca claramente que han tomado sentido diverso».</w:t>
      </w:r>
    </w:p>
    <w:p w14:paraId="1B9FC76E" w14:textId="77777777" w:rsidR="00444B5E" w:rsidRPr="00444B5E" w:rsidRDefault="00444B5E" w:rsidP="00444B5E">
      <w:pPr>
        <w:tabs>
          <w:tab w:val="left" w:pos="971"/>
        </w:tabs>
        <w:spacing w:before="120" w:after="120"/>
        <w:rPr>
          <w:rFonts w:ascii="Arial" w:eastAsia="Calibri" w:hAnsi="Arial" w:cs="Arial"/>
          <w:sz w:val="22"/>
        </w:rPr>
      </w:pPr>
      <w:r w:rsidRPr="00444B5E">
        <w:rPr>
          <w:rFonts w:ascii="Arial" w:eastAsia="Calibri" w:hAnsi="Arial" w:cs="Arial"/>
          <w:sz w:val="22"/>
        </w:rPr>
        <w:tab/>
        <w:t>Así pues, respecto del requisito de vinculación laboral de personas con un año mínimo de antigüedad al que alude el parágrafo 2 del artículo 35 de la Ley 2060 de 2020, se tiene que esta es una condición intrínseca del numeral 4 sin el cual el proponente no podrá ser favorecido de esta regla de desempate. Por ello, el proponente además de acreditar la vinculación de personas mayores que no sean beneficiarias de la pensión de vejez, familiar o de sobrevivencia y que hayan cumplido el requisito de edad de pensión establecido en la ley, deberá acreditar que dicha vinculación es, como mínimo, de un año de antigüedad. La única excepción a este término está relacionada con el proponente que se haya constituido con una anterioridad menor al año, pues en este caso, como se expuso, deberá acreditar que el capital humano está vinculado al menos desde el momento de la constitución.</w:t>
      </w:r>
    </w:p>
    <w:p w14:paraId="5BB29064" w14:textId="77777777" w:rsidR="00444B5E" w:rsidRPr="00444B5E" w:rsidRDefault="00444B5E" w:rsidP="00444B5E">
      <w:pPr>
        <w:tabs>
          <w:tab w:val="left" w:pos="971"/>
        </w:tabs>
        <w:rPr>
          <w:rFonts w:ascii="Arial" w:eastAsia="Calibri" w:hAnsi="Arial" w:cs="Arial"/>
          <w:sz w:val="22"/>
        </w:rPr>
      </w:pPr>
      <w:r w:rsidRPr="00444B5E">
        <w:rPr>
          <w:rFonts w:ascii="Arial" w:eastAsia="Calibri" w:hAnsi="Arial" w:cs="Arial"/>
          <w:sz w:val="22"/>
        </w:rPr>
        <w:tab/>
        <w:t>Sin embargo, esta salvedad no puede extenderse a otros eventos o situaciones particulares diferentes a la descrita en la norma en favor de un proponente. En efecto, como se explicó, los factores de desempate son de obligatoria observancia y su aplicación es estricta de manera que no pueden aplicarse incluyendo eventos excepcionales que no estén amparados en el ordenamiento jurídico. De este modo, aceptar criterios diferentes a los señalados en la norma, bajo interpretaciones subjetivas, no solo permitiría que la entidad discrecionalmente determine múltiples formas de aplicación de los factores de desempate para cada caso concreto, sino que también contraviene los principios de selección objetiva y de igualdad.</w:t>
      </w:r>
    </w:p>
    <w:p w14:paraId="6C5A2677" w14:textId="77777777" w:rsidR="00444B5E" w:rsidRPr="00444B5E" w:rsidRDefault="00444B5E" w:rsidP="00444B5E">
      <w:pPr>
        <w:tabs>
          <w:tab w:val="left" w:pos="971"/>
        </w:tabs>
        <w:rPr>
          <w:rFonts w:ascii="Arial" w:eastAsia="Calibri" w:hAnsi="Arial" w:cs="Arial"/>
          <w:sz w:val="22"/>
        </w:rPr>
      </w:pPr>
      <w:r w:rsidRPr="00444B5E">
        <w:rPr>
          <w:rFonts w:ascii="Arial" w:eastAsia="Calibri" w:hAnsi="Arial" w:cs="Arial"/>
          <w:sz w:val="22"/>
        </w:rPr>
        <w:tab/>
        <w:t xml:space="preserve">En consecuencia, para efectos del numeral 4 citado, no se considera viable la situación de un trabajador adulto mayor con otro de igual condición que no cumpla con el periodo de antigüedad exigido, bajo el supuesto de que el primero se desvinculó antes del año y que el segundo se vinculó un mes previo a la desvinculación de este, pues la norma no contempló tal excepción. Aunado a lo anterior, es preciso indicar que todos los requisitos exigidos en la norma en cuestión, deberán cumplirse de forma individual por cada trabajador vinculado, es decir, que el proponente deberá acreditar por persona que: i) no sea beneficiaria de la pensión de vejez, familiar o de sobrevivencia, </w:t>
      </w:r>
      <w:proofErr w:type="spellStart"/>
      <w:r w:rsidRPr="00444B5E">
        <w:rPr>
          <w:rFonts w:ascii="Arial" w:eastAsia="Calibri" w:hAnsi="Arial" w:cs="Arial"/>
          <w:sz w:val="22"/>
        </w:rPr>
        <w:t>ii</w:t>
      </w:r>
      <w:proofErr w:type="spellEnd"/>
      <w:r w:rsidRPr="00444B5E">
        <w:rPr>
          <w:rFonts w:ascii="Arial" w:eastAsia="Calibri" w:hAnsi="Arial" w:cs="Arial"/>
          <w:sz w:val="22"/>
        </w:rPr>
        <w:t xml:space="preserve">) que haya cumplido el requisito de edad de la pensión establecido en la ley, y </w:t>
      </w:r>
      <w:proofErr w:type="spellStart"/>
      <w:r w:rsidRPr="00444B5E">
        <w:rPr>
          <w:rFonts w:ascii="Arial" w:eastAsia="Calibri" w:hAnsi="Arial" w:cs="Arial"/>
          <w:sz w:val="22"/>
        </w:rPr>
        <w:t>iii</w:t>
      </w:r>
      <w:proofErr w:type="spellEnd"/>
      <w:r w:rsidRPr="00444B5E">
        <w:rPr>
          <w:rFonts w:ascii="Arial" w:eastAsia="Calibri" w:hAnsi="Arial" w:cs="Arial"/>
          <w:sz w:val="22"/>
        </w:rPr>
        <w:t xml:space="preserve">) que cuente una vinculación igual </w:t>
      </w:r>
      <w:r w:rsidRPr="00444B5E">
        <w:rPr>
          <w:rFonts w:ascii="Arial" w:eastAsia="Calibri" w:hAnsi="Arial" w:cs="Arial"/>
          <w:sz w:val="22"/>
        </w:rPr>
        <w:lastRenderedPageBreak/>
        <w:t>o mayor a un año. Estas condiciones no son transferibles en la medida en que son inherentes a la persona misma.</w:t>
      </w:r>
    </w:p>
    <w:p w14:paraId="598290C6" w14:textId="77777777" w:rsidR="00444B5E" w:rsidRPr="00444B5E" w:rsidRDefault="00444B5E" w:rsidP="00444B5E">
      <w:pPr>
        <w:tabs>
          <w:tab w:val="left" w:pos="971"/>
        </w:tabs>
        <w:rPr>
          <w:rFonts w:ascii="Arial" w:eastAsia="Calibri" w:hAnsi="Arial" w:cs="Arial"/>
          <w:sz w:val="22"/>
        </w:rPr>
      </w:pPr>
      <w:r w:rsidRPr="00444B5E">
        <w:rPr>
          <w:rFonts w:ascii="Arial" w:eastAsia="Calibri" w:hAnsi="Arial" w:cs="Arial"/>
          <w:sz w:val="22"/>
        </w:rPr>
        <w:tab/>
        <w:t>En este contexto, el tiempo de vinculación de un trabajador no puede ser utilizado para otro trabajador que no cumpla con la antigüedad requerida. Ello por cuanto un elemento esencial del contrato de trabajo es la actividad personal del trabajador, es decir, que sea realizado por sí mismo</w:t>
      </w:r>
      <w:r w:rsidRPr="00444B5E">
        <w:rPr>
          <w:rFonts w:ascii="Arial" w:eastAsia="Calibri" w:hAnsi="Arial" w:cs="Arial"/>
          <w:sz w:val="22"/>
          <w:vertAlign w:val="superscript"/>
        </w:rPr>
        <w:footnoteReference w:id="12"/>
      </w:r>
      <w:r w:rsidRPr="00444B5E">
        <w:rPr>
          <w:rFonts w:ascii="Arial" w:eastAsia="Calibri" w:hAnsi="Arial" w:cs="Arial"/>
          <w:sz w:val="22"/>
        </w:rPr>
        <w:t xml:space="preserve">. Esto significa que las condiciones en las cuales se realiza el contrato de trabajo son inherentes a la actividad personal del trabajador, lo que por supuesto incluye el tiempo de duración del contrato de trabajo. Por tanto, tampoco podría considerarse el tiempo de vinculación de un trabajador para otro trabajador con el fin de determinar el cumplimiento del periodo de antigüedad exigido en el parágrafo 2 del artículo 35 de la Ley 2069 de 2020.  </w:t>
      </w:r>
    </w:p>
    <w:p w14:paraId="00F8EB5A" w14:textId="77777777" w:rsidR="00444B5E" w:rsidRPr="00444B5E" w:rsidRDefault="00444B5E" w:rsidP="00444B5E">
      <w:pPr>
        <w:tabs>
          <w:tab w:val="left" w:pos="971"/>
        </w:tabs>
        <w:rPr>
          <w:rFonts w:ascii="Arial" w:eastAsia="Calibri" w:hAnsi="Arial" w:cs="Arial"/>
          <w:sz w:val="22"/>
        </w:rPr>
      </w:pPr>
      <w:r w:rsidRPr="00444B5E">
        <w:rPr>
          <w:rFonts w:ascii="Arial" w:eastAsia="Calibri" w:hAnsi="Arial" w:cs="Arial"/>
          <w:sz w:val="22"/>
        </w:rPr>
        <w:tab/>
        <w:t xml:space="preserve">En conclusión, todos los requisitos señalados en el numeral 4 del artículo 35 de la Ley 2069 de 2020 y en el parágrafo segundo del mismo artículo son indispensables para la aplicación de este factor de desempate. De este modo, como la única excepción al plazo de vinculación exigido está determinada para los casos en que la constitución del oferente sea inferior a un año, no podrá ser favorecido con esta regla de desempate el proponente que acredite la vinculación del adulto mayor en condiciones diferentes a las establecidas en el numeral 4 del artículo 35 de la Ley 2069 de 2020, en concordancia con lo dispuesto en su parágrafo 2.   </w:t>
      </w:r>
    </w:p>
    <w:p w14:paraId="686992FE" w14:textId="77777777" w:rsidR="00444B5E" w:rsidRPr="00444B5E" w:rsidRDefault="00444B5E" w:rsidP="00444B5E">
      <w:pPr>
        <w:spacing w:after="0"/>
        <w:rPr>
          <w:rFonts w:ascii="Arial" w:eastAsia="Calibri" w:hAnsi="Arial" w:cs="Arial"/>
          <w:b/>
          <w:lang w:eastAsia="es-CO"/>
        </w:rPr>
      </w:pPr>
      <w:bookmarkStart w:id="4" w:name="_Hlk113872595"/>
    </w:p>
    <w:p w14:paraId="3538F610" w14:textId="77777777" w:rsidR="00444B5E" w:rsidRPr="00444B5E" w:rsidRDefault="00444B5E" w:rsidP="00444B5E">
      <w:pPr>
        <w:spacing w:after="0"/>
        <w:rPr>
          <w:rFonts w:ascii="Arial" w:eastAsia="Calibri" w:hAnsi="Arial" w:cs="Arial"/>
          <w:b/>
          <w:lang w:eastAsia="es-CO"/>
        </w:rPr>
      </w:pPr>
      <w:r w:rsidRPr="00444B5E">
        <w:rPr>
          <w:rFonts w:ascii="Arial" w:eastAsia="Calibri" w:hAnsi="Arial" w:cs="Arial"/>
          <w:b/>
          <w:lang w:eastAsia="es-CO"/>
        </w:rPr>
        <w:lastRenderedPageBreak/>
        <w:t>3. Respuesta</w:t>
      </w:r>
    </w:p>
    <w:p w14:paraId="6544964E" w14:textId="77777777" w:rsidR="00444B5E" w:rsidRPr="00444B5E" w:rsidRDefault="00444B5E" w:rsidP="00444B5E">
      <w:pPr>
        <w:spacing w:after="0"/>
        <w:ind w:firstLine="709"/>
        <w:rPr>
          <w:rFonts w:ascii="Arial" w:eastAsia="Calibri" w:hAnsi="Arial" w:cs="Arial"/>
          <w:bCs/>
        </w:rPr>
      </w:pPr>
    </w:p>
    <w:p w14:paraId="13472E04" w14:textId="77777777" w:rsidR="00444B5E" w:rsidRPr="00444B5E" w:rsidRDefault="00444B5E" w:rsidP="00444B5E">
      <w:pPr>
        <w:tabs>
          <w:tab w:val="left" w:pos="284"/>
        </w:tabs>
        <w:spacing w:after="0"/>
        <w:ind w:left="709" w:right="709"/>
        <w:rPr>
          <w:rFonts w:ascii="Arial" w:eastAsia="Calibri" w:hAnsi="Arial" w:cs="Arial"/>
          <w:bCs/>
          <w:sz w:val="21"/>
          <w:szCs w:val="21"/>
        </w:rPr>
      </w:pPr>
      <w:r w:rsidRPr="00444B5E">
        <w:rPr>
          <w:rFonts w:ascii="Arial" w:eastAsia="Calibri" w:hAnsi="Arial" w:cs="Arial"/>
          <w:bCs/>
          <w:sz w:val="21"/>
          <w:szCs w:val="21"/>
        </w:rPr>
        <w:t>«1. [¿]Como se calcula la mayor proporción mencionada? [¿]sobre el total de empleados?</w:t>
      </w:r>
    </w:p>
    <w:p w14:paraId="2CBD16B6" w14:textId="77777777" w:rsidR="00444B5E" w:rsidRPr="00444B5E" w:rsidRDefault="00444B5E" w:rsidP="00444B5E">
      <w:pPr>
        <w:tabs>
          <w:tab w:val="left" w:pos="284"/>
        </w:tabs>
        <w:spacing w:before="120" w:after="0"/>
        <w:ind w:left="709" w:right="709"/>
        <w:rPr>
          <w:rFonts w:ascii="Arial" w:eastAsia="Calibri" w:hAnsi="Arial" w:cs="Arial"/>
          <w:bCs/>
          <w:sz w:val="21"/>
          <w:szCs w:val="21"/>
        </w:rPr>
      </w:pPr>
      <w:r w:rsidRPr="00444B5E">
        <w:rPr>
          <w:rFonts w:ascii="Arial" w:eastAsia="Calibri" w:hAnsi="Arial" w:cs="Arial"/>
          <w:bCs/>
          <w:sz w:val="21"/>
          <w:szCs w:val="21"/>
        </w:rPr>
        <w:t>»2. ¿Esta antigüedad se puede demostrar con personas vinculadas diferentes? Es decir, en la misma empresa la Persona Mayor A (cumple con las condiciones ) estuvo en la empresa de Enero a Octubre de 2022 (en octubre sale de la empresa), pero otra persona mayor B (también cumple con las condiciones) ha estado en la empresa desde septiembre de 2022 (sigue actualmente). ¿Quiere decir que la empresa ya cumple un año con el requisito de antigüedad en Enero de 203? [sic]»</w:t>
      </w:r>
    </w:p>
    <w:p w14:paraId="6D1D13FD" w14:textId="77777777" w:rsidR="00444B5E" w:rsidRPr="00444B5E" w:rsidRDefault="00444B5E" w:rsidP="00444B5E">
      <w:pPr>
        <w:spacing w:after="0"/>
        <w:rPr>
          <w:rFonts w:ascii="Arial" w:eastAsia="Calibri" w:hAnsi="Arial" w:cs="Arial"/>
        </w:rPr>
      </w:pPr>
    </w:p>
    <w:bookmarkEnd w:id="4"/>
    <w:p w14:paraId="0F94C2E1" w14:textId="77777777" w:rsidR="00444B5E" w:rsidRPr="00444B5E" w:rsidRDefault="00444B5E" w:rsidP="00444B5E">
      <w:pPr>
        <w:spacing w:after="120"/>
        <w:ind w:firstLine="709"/>
        <w:rPr>
          <w:rFonts w:ascii="Arial" w:eastAsia="Times New Roman" w:hAnsi="Arial" w:cs="Arial"/>
          <w:sz w:val="22"/>
          <w:lang w:val="es-ES_tradnl" w:eastAsia="es-ES_tradnl"/>
        </w:rPr>
      </w:pPr>
      <w:r w:rsidRPr="00444B5E">
        <w:rPr>
          <w:rFonts w:ascii="Arial" w:eastAsia="Calibri" w:hAnsi="Arial" w:cs="Arial"/>
          <w:sz w:val="22"/>
          <w:szCs w:val="20"/>
        </w:rPr>
        <w:t xml:space="preserve">De conformidad con las consideraciones expuestas, se reitera que el factor de desempate consagrado en el numeral 4 del artículo 35 de la Ley 2069 de 2020, reglamentado en el numeral 4 del artículo 2.2.1.2.4.2.17 del Decreto 1082 de 2015 adicionado por el artículo 3 del Decreto 1860 de 2021, que la regla de desempate se aplica a favor del </w:t>
      </w:r>
      <w:r w:rsidRPr="00444B5E">
        <w:rPr>
          <w:rFonts w:ascii="Arial" w:eastAsia="Times New Roman" w:hAnsi="Arial" w:cs="Arial"/>
          <w:sz w:val="22"/>
          <w:lang w:val="es-ES_tradnl" w:eastAsia="es-ES_tradnl"/>
        </w:rPr>
        <w:t xml:space="preserve">«[…] oferente que acredite la vinculación en mayor proporción de personas 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 Interpretación, que, entre otras cosas, es consistente con la reglamentación del numeral 4 del artículo 2.2.1.2.4.2.17 del Decreto 1860 de 2021, en el que se determina que «[l]a mayor proporción se definirá en relación con el número total de trabajadores vinculados en la planta de personal, por lo que se preferirá al oferente que acredite un </w:t>
      </w:r>
      <w:r w:rsidRPr="00444B5E">
        <w:rPr>
          <w:rFonts w:ascii="Arial" w:eastAsia="Times New Roman" w:hAnsi="Arial" w:cs="Arial"/>
          <w:i/>
          <w:iCs/>
          <w:sz w:val="22"/>
          <w:lang w:val="es-ES_tradnl" w:eastAsia="es-ES_tradnl"/>
        </w:rPr>
        <w:t>porcentaje mayor</w:t>
      </w:r>
      <w:r w:rsidRPr="00444B5E">
        <w:rPr>
          <w:rFonts w:ascii="Arial" w:eastAsia="Times New Roman" w:hAnsi="Arial" w:cs="Arial"/>
          <w:sz w:val="22"/>
          <w:lang w:val="es-ES_tradnl" w:eastAsia="es-ES_tradnl"/>
        </w:rPr>
        <w:t xml:space="preserve">». Y dice que, para el caso de proponentes plurales, «la mayor proporción se definirá con la sumatoria de trabajadores vinculados en la planta de personal de cada uno de sus integrantes».  </w:t>
      </w:r>
    </w:p>
    <w:p w14:paraId="5904EFDA" w14:textId="77777777" w:rsidR="00444B5E" w:rsidRPr="00444B5E" w:rsidRDefault="00444B5E" w:rsidP="00444B5E">
      <w:pPr>
        <w:tabs>
          <w:tab w:val="left" w:pos="971"/>
        </w:tabs>
        <w:spacing w:before="120" w:after="0"/>
        <w:rPr>
          <w:rFonts w:ascii="Arial" w:eastAsia="Calibri" w:hAnsi="Arial" w:cs="Arial"/>
          <w:sz w:val="22"/>
        </w:rPr>
      </w:pPr>
      <w:r w:rsidRPr="00444B5E">
        <w:rPr>
          <w:rFonts w:ascii="Arial" w:eastAsia="Calibri" w:hAnsi="Arial" w:cs="Arial"/>
          <w:sz w:val="22"/>
        </w:rPr>
        <w:tab/>
        <w:t xml:space="preserve">Ahora bien, como se señaló en el concepto C-390 de 2021, es necesario tener en cuenta que 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del artículo 29 </w:t>
      </w:r>
      <w:r w:rsidRPr="00444B5E">
        <w:rPr>
          <w:rFonts w:ascii="Arial" w:eastAsia="Calibri" w:hAnsi="Arial" w:cs="Arial"/>
          <w:i/>
          <w:iCs/>
          <w:sz w:val="22"/>
        </w:rPr>
        <w:t xml:space="preserve">ibídem, </w:t>
      </w:r>
      <w:r w:rsidRPr="00444B5E">
        <w:rPr>
          <w:rFonts w:ascii="Arial" w:eastAsia="Calibri" w:hAnsi="Arial" w:cs="Arial"/>
          <w:sz w:val="22"/>
        </w:rPr>
        <w:t xml:space="preserve">también se prescribe que «Las palabras técnicas de toda ciencia o arte se tomarán en el sentido que les den los que </w:t>
      </w:r>
      <w:r w:rsidRPr="00444B5E">
        <w:rPr>
          <w:rFonts w:ascii="Arial" w:eastAsia="Calibri" w:hAnsi="Arial" w:cs="Arial"/>
          <w:sz w:val="22"/>
        </w:rPr>
        <w:lastRenderedPageBreak/>
        <w:t>profesan la misma ciencia o arte; a menos que aparezca claramente que han tomado sentido diverso».</w:t>
      </w:r>
    </w:p>
    <w:p w14:paraId="2D726E4A" w14:textId="77777777" w:rsidR="00444B5E" w:rsidRPr="00444B5E" w:rsidRDefault="00444B5E" w:rsidP="00444B5E">
      <w:pPr>
        <w:tabs>
          <w:tab w:val="left" w:pos="971"/>
        </w:tabs>
        <w:spacing w:before="120" w:after="120"/>
        <w:rPr>
          <w:rFonts w:ascii="Arial" w:eastAsia="Calibri" w:hAnsi="Arial" w:cs="Arial"/>
          <w:sz w:val="22"/>
        </w:rPr>
      </w:pPr>
      <w:r w:rsidRPr="00444B5E">
        <w:rPr>
          <w:rFonts w:ascii="Arial" w:eastAsia="Calibri" w:hAnsi="Arial" w:cs="Arial"/>
          <w:sz w:val="22"/>
        </w:rPr>
        <w:tab/>
        <w:t>Así pues, respecto del requisito de vinculación laboral de personas con un año mínimo de antigüedad al que alude el parágrafo 2 del artículo 35 de la Ley 2060 de 2020, se tiene que esta es una condición intrínseca del numeral 4 sin el cual el proponente no podrá ser favorecido de esta regla de desempate. Por ello, el proponente además de acreditar la vinculación de personas mayores que no sean beneficiarias de la pensión de vejez, familiar o de sobrevivencia y que hayan cumplido el requisito de edad de pensión establecido en la ley, deberá acreditar que dicha vinculación es, como mínimo, de un año de antigüedad. La única excepción a este término está relacionada con el proponente que se haya constituido con una anterioridad menor al año, pues en este caso, como se expuso, deberá acreditar que el capital humano está vinculado al menos desde el momento de la constitución.</w:t>
      </w:r>
    </w:p>
    <w:p w14:paraId="19FDDC89" w14:textId="77777777" w:rsidR="00444B5E" w:rsidRPr="00444B5E" w:rsidRDefault="00444B5E" w:rsidP="00444B5E">
      <w:pPr>
        <w:tabs>
          <w:tab w:val="left" w:pos="971"/>
        </w:tabs>
        <w:rPr>
          <w:rFonts w:ascii="Arial" w:eastAsia="Calibri" w:hAnsi="Arial" w:cs="Arial"/>
          <w:sz w:val="22"/>
        </w:rPr>
      </w:pPr>
      <w:r w:rsidRPr="00444B5E">
        <w:rPr>
          <w:rFonts w:ascii="Arial" w:eastAsia="Calibri" w:hAnsi="Arial" w:cs="Arial"/>
          <w:sz w:val="22"/>
        </w:rPr>
        <w:tab/>
        <w:t>Sin embargo, esta salvedad no puede extenderse a otros eventos o situaciones particulares diferentes a la descrita en la norma en favor de un proponente. En efecto, como se explicó, los factores de desempate son de obligatoria observancia y su aplicación es estricta de manera que no pueden aplicarse incluyendo eventos excepcionales que no estén amparados en el ordenamiento jurídico. De este modo, aceptar criterios diferentes a los señalados en la norma, bajo interpretaciones subjetivas, no solo permitiría que la entidad discrecionalmente determine múltiples formas de aplicación de los factores de desempate para cada caso concreto, sino que también contraviene los principios de selección objetiva y de igualdad.</w:t>
      </w:r>
    </w:p>
    <w:p w14:paraId="3B022A78" w14:textId="77777777" w:rsidR="00444B5E" w:rsidRPr="00444B5E" w:rsidRDefault="00444B5E" w:rsidP="00444B5E">
      <w:pPr>
        <w:tabs>
          <w:tab w:val="left" w:pos="971"/>
        </w:tabs>
        <w:rPr>
          <w:rFonts w:ascii="Arial" w:eastAsia="Calibri" w:hAnsi="Arial" w:cs="Arial"/>
          <w:sz w:val="22"/>
        </w:rPr>
      </w:pPr>
      <w:r w:rsidRPr="00444B5E">
        <w:rPr>
          <w:rFonts w:ascii="Arial" w:eastAsia="Calibri" w:hAnsi="Arial" w:cs="Arial"/>
          <w:sz w:val="22"/>
        </w:rPr>
        <w:tab/>
        <w:t xml:space="preserve">En consecuencia, para efectos del numeral 4 citado, no se considera viable la situación de un trabajador adulto mayor con otro de igual condición que no cumpla con el periodo de antigüedad exigido, bajo el supuesto de que el primero se desvinculó antes del año y que el segundo se vinculó un mes previo a la desvinculación de este, pues la norma no contempló tal excepción. Aunado a lo anterior, es preciso indicar que todos los requisitos exigidos en la norma en cuestión deberán cumplirse de forma individual por cada trabajador vinculado, es decir, que el proponente deberá acreditar por persona que: i) no sea beneficiaria de la pensión de vejez, familiar o de sobrevivencia, </w:t>
      </w:r>
      <w:proofErr w:type="spellStart"/>
      <w:r w:rsidRPr="00444B5E">
        <w:rPr>
          <w:rFonts w:ascii="Arial" w:eastAsia="Calibri" w:hAnsi="Arial" w:cs="Arial"/>
          <w:sz w:val="22"/>
        </w:rPr>
        <w:t>ii</w:t>
      </w:r>
      <w:proofErr w:type="spellEnd"/>
      <w:r w:rsidRPr="00444B5E">
        <w:rPr>
          <w:rFonts w:ascii="Arial" w:eastAsia="Calibri" w:hAnsi="Arial" w:cs="Arial"/>
          <w:sz w:val="22"/>
        </w:rPr>
        <w:t xml:space="preserve">) que haya cumplido el requisito de edad de la pensión establecido en la ley, y </w:t>
      </w:r>
      <w:proofErr w:type="spellStart"/>
      <w:r w:rsidRPr="00444B5E">
        <w:rPr>
          <w:rFonts w:ascii="Arial" w:eastAsia="Calibri" w:hAnsi="Arial" w:cs="Arial"/>
          <w:sz w:val="22"/>
        </w:rPr>
        <w:t>iii</w:t>
      </w:r>
      <w:proofErr w:type="spellEnd"/>
      <w:r w:rsidRPr="00444B5E">
        <w:rPr>
          <w:rFonts w:ascii="Arial" w:eastAsia="Calibri" w:hAnsi="Arial" w:cs="Arial"/>
          <w:sz w:val="22"/>
        </w:rPr>
        <w:t>) que cuente una vinculación igual o mayor a un año. Estas condiciones no son transferibles en la medida en que son inherentes a la persona misma.</w:t>
      </w:r>
    </w:p>
    <w:p w14:paraId="5D2407FF" w14:textId="77777777" w:rsidR="00444B5E" w:rsidRPr="00444B5E" w:rsidRDefault="00444B5E" w:rsidP="00444B5E">
      <w:pPr>
        <w:widowControl w:val="0"/>
        <w:autoSpaceDE w:val="0"/>
        <w:autoSpaceDN w:val="0"/>
        <w:spacing w:after="0" w:line="240" w:lineRule="auto"/>
        <w:contextualSpacing/>
        <w:rPr>
          <w:rFonts w:ascii="Arial" w:eastAsia="Calibri" w:hAnsi="Arial" w:cs="Arial"/>
          <w:sz w:val="22"/>
          <w:szCs w:val="20"/>
        </w:rPr>
      </w:pPr>
    </w:p>
    <w:p w14:paraId="4A53A9A3" w14:textId="77777777" w:rsidR="00444B5E" w:rsidRPr="00444B5E" w:rsidRDefault="00444B5E" w:rsidP="00444B5E">
      <w:pPr>
        <w:widowControl w:val="0"/>
        <w:autoSpaceDE w:val="0"/>
        <w:autoSpaceDN w:val="0"/>
        <w:spacing w:after="0"/>
        <w:contextualSpacing/>
        <w:rPr>
          <w:rFonts w:ascii="Arial" w:eastAsia="Calibri" w:hAnsi="Arial" w:cs="Arial"/>
        </w:rPr>
      </w:pPr>
      <w:r w:rsidRPr="00444B5E">
        <w:rPr>
          <w:rFonts w:ascii="Arial" w:hAnsi="Arial" w:cs="Arial"/>
          <w:color w:val="000000"/>
          <w:sz w:val="22"/>
          <w:shd w:val="clear" w:color="auto" w:fill="FFFFFF"/>
          <w:lang w:val="es-ES"/>
        </w:rPr>
        <w:t xml:space="preserve">Este concepto tiene el alcance previsto en el artículo 28 del Código de Procedimiento </w:t>
      </w:r>
      <w:r w:rsidRPr="00444B5E">
        <w:rPr>
          <w:rFonts w:ascii="Arial" w:hAnsi="Arial" w:cs="Arial"/>
          <w:color w:val="000000"/>
          <w:sz w:val="22"/>
          <w:shd w:val="clear" w:color="auto" w:fill="FFFFFF"/>
          <w:lang w:val="es-ES"/>
        </w:rPr>
        <w:lastRenderedPageBreak/>
        <w:t xml:space="preserve">Administrativo y de lo Contencioso Administrativo y las expresiones aquí utilizadas con mayúscula inicial deben ser entendidas con el significado que les otorga el artículo </w:t>
      </w:r>
      <w:r w:rsidRPr="00444B5E">
        <w:rPr>
          <w:rFonts w:ascii="Arial" w:hAnsi="Arial" w:cs="Arial"/>
          <w:color w:val="000000"/>
          <w:sz w:val="22"/>
          <w:shd w:val="clear" w:color="auto" w:fill="FFFFFF"/>
        </w:rPr>
        <w:t>2.2.1.1.1.3.1. del Decreto 1082 de 2015. </w:t>
      </w:r>
    </w:p>
    <w:p w14:paraId="069FB08E" w14:textId="77777777" w:rsidR="00444B5E" w:rsidRPr="00444B5E" w:rsidRDefault="00444B5E" w:rsidP="00444B5E">
      <w:pPr>
        <w:spacing w:after="0" w:line="240" w:lineRule="auto"/>
        <w:rPr>
          <w:rFonts w:ascii="Arial" w:eastAsia="Calibri" w:hAnsi="Arial" w:cs="Arial"/>
          <w:lang w:val="es-ES" w:eastAsia="es-MX"/>
        </w:rPr>
      </w:pPr>
    </w:p>
    <w:p w14:paraId="3744DF00" w14:textId="77777777" w:rsidR="00444B5E" w:rsidRPr="00444B5E" w:rsidRDefault="00444B5E" w:rsidP="00444B5E">
      <w:pPr>
        <w:spacing w:after="0" w:line="240" w:lineRule="auto"/>
        <w:rPr>
          <w:rFonts w:ascii="Arial" w:eastAsia="Times New Roman" w:hAnsi="Arial" w:cs="Arial"/>
          <w:sz w:val="22"/>
          <w:szCs w:val="20"/>
          <w:lang w:val="es-ES" w:eastAsia="es-CO"/>
        </w:rPr>
      </w:pPr>
      <w:r w:rsidRPr="00444B5E">
        <w:rPr>
          <w:rFonts w:ascii="Arial" w:eastAsia="Times New Roman" w:hAnsi="Arial" w:cs="Arial"/>
          <w:sz w:val="22"/>
          <w:szCs w:val="20"/>
          <w:lang w:val="es-ES" w:eastAsia="es-CO"/>
        </w:rPr>
        <w:t>Atentamente,</w:t>
      </w:r>
    </w:p>
    <w:p w14:paraId="682BCB4E" w14:textId="77777777" w:rsidR="00444B5E" w:rsidRPr="00444B5E" w:rsidRDefault="00444B5E" w:rsidP="00444B5E">
      <w:pPr>
        <w:spacing w:after="0" w:line="240" w:lineRule="auto"/>
        <w:rPr>
          <w:rFonts w:ascii="Arial" w:eastAsia="Times New Roman" w:hAnsi="Arial" w:cs="Arial"/>
          <w:lang w:val="es-ES" w:eastAsia="es-CO"/>
        </w:rPr>
      </w:pPr>
    </w:p>
    <w:p w14:paraId="73235409" w14:textId="77777777" w:rsidR="00444B5E" w:rsidRPr="00444B5E" w:rsidRDefault="00444B5E" w:rsidP="00444B5E">
      <w:pPr>
        <w:spacing w:after="0" w:line="240" w:lineRule="auto"/>
        <w:jc w:val="center"/>
        <w:rPr>
          <w:rFonts w:ascii="Arial" w:eastAsia="Times New Roman" w:hAnsi="Arial" w:cs="Arial"/>
          <w:lang w:val="es-ES" w:eastAsia="es-CO"/>
        </w:rPr>
      </w:pPr>
      <w:r w:rsidRPr="00444B5E">
        <w:rPr>
          <w:rFonts w:ascii="Arial" w:hAnsi="Arial" w:cs="Arial"/>
          <w:noProof/>
          <w:lang w:val="es-ES"/>
        </w:rPr>
        <w:drawing>
          <wp:inline distT="0" distB="0" distL="0" distR="0" wp14:anchorId="4DF3D3F3" wp14:editId="1E16E1D4">
            <wp:extent cx="3200400" cy="1003300"/>
            <wp:effectExtent l="0" t="0" r="0" b="6350"/>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1003300"/>
                    </a:xfrm>
                    <a:prstGeom prst="rect">
                      <a:avLst/>
                    </a:prstGeom>
                    <a:noFill/>
                    <a:ln>
                      <a:noFill/>
                    </a:ln>
                  </pic:spPr>
                </pic:pic>
              </a:graphicData>
            </a:graphic>
          </wp:inline>
        </w:drawing>
      </w:r>
      <w:r w:rsidRPr="00444B5E">
        <w:rPr>
          <w:rFonts w:ascii="Arial" w:hAnsi="Arial" w:cs="Arial"/>
          <w:shd w:val="clear" w:color="auto" w:fill="FFFFFF"/>
        </w:rPr>
        <w:br/>
      </w:r>
    </w:p>
    <w:p w14:paraId="2D5BE245" w14:textId="77777777" w:rsidR="00444B5E" w:rsidRPr="00444B5E" w:rsidRDefault="00444B5E" w:rsidP="00444B5E">
      <w:pPr>
        <w:spacing w:after="0"/>
        <w:rPr>
          <w:rFonts w:ascii="Arial" w:eastAsia="Times New Roman" w:hAnsi="Arial" w:cs="Arial"/>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444B5E" w:rsidRPr="00444B5E" w14:paraId="0D91F561" w14:textId="77777777" w:rsidTr="007625D1">
        <w:trPr>
          <w:trHeight w:val="315"/>
        </w:trPr>
        <w:tc>
          <w:tcPr>
            <w:tcW w:w="810" w:type="dxa"/>
            <w:tcBorders>
              <w:top w:val="nil"/>
              <w:left w:val="nil"/>
              <w:bottom w:val="nil"/>
              <w:right w:val="nil"/>
            </w:tcBorders>
            <w:shd w:val="clear" w:color="auto" w:fill="auto"/>
            <w:vAlign w:val="center"/>
            <w:hideMark/>
          </w:tcPr>
          <w:p w14:paraId="3904346D" w14:textId="77777777" w:rsidR="00444B5E" w:rsidRPr="00444B5E" w:rsidRDefault="00444B5E" w:rsidP="00444B5E">
            <w:pPr>
              <w:spacing w:after="0" w:line="240" w:lineRule="auto"/>
              <w:textAlignment w:val="baseline"/>
              <w:rPr>
                <w:rFonts w:ascii="Arial" w:eastAsia="Times New Roman" w:hAnsi="Arial" w:cs="Arial"/>
                <w:sz w:val="18"/>
                <w:szCs w:val="18"/>
                <w:lang w:eastAsia="es-CO"/>
              </w:rPr>
            </w:pPr>
            <w:r w:rsidRPr="00444B5E">
              <w:rPr>
                <w:rFonts w:ascii="Arial" w:eastAsia="Times New Roman" w:hAnsi="Arial" w:cs="Arial"/>
                <w:sz w:val="16"/>
                <w:szCs w:val="16"/>
                <w:lang w:val="es-ES" w:eastAsia="es-CO"/>
              </w:rPr>
              <w:t>Elaboró:</w:t>
            </w:r>
            <w:r w:rsidRPr="00444B5E">
              <w:rPr>
                <w:rFonts w:ascii="Arial" w:eastAsia="Times New Roman" w:hAnsi="Arial" w:cs="Arial"/>
                <w:sz w:val="16"/>
                <w:szCs w:val="16"/>
                <w:lang w:eastAsia="es-CO"/>
              </w:rPr>
              <w:t> </w:t>
            </w:r>
          </w:p>
        </w:tc>
        <w:tc>
          <w:tcPr>
            <w:tcW w:w="4410" w:type="dxa"/>
            <w:tcBorders>
              <w:top w:val="nil"/>
              <w:left w:val="nil"/>
              <w:bottom w:val="dotted" w:sz="6" w:space="0" w:color="7F7F7F" w:themeColor="text1" w:themeTint="80"/>
              <w:right w:val="nil"/>
            </w:tcBorders>
            <w:shd w:val="clear" w:color="auto" w:fill="auto"/>
            <w:vAlign w:val="center"/>
            <w:hideMark/>
          </w:tcPr>
          <w:p w14:paraId="715C1EC0" w14:textId="77777777" w:rsidR="00444B5E" w:rsidRPr="00444B5E" w:rsidRDefault="00444B5E" w:rsidP="00444B5E">
            <w:pPr>
              <w:spacing w:after="0" w:line="240" w:lineRule="auto"/>
              <w:textAlignment w:val="baseline"/>
              <w:rPr>
                <w:rFonts w:ascii="Arial" w:eastAsia="Times New Roman" w:hAnsi="Arial" w:cs="Arial"/>
                <w:sz w:val="18"/>
                <w:szCs w:val="18"/>
                <w:lang w:eastAsia="es-CO"/>
              </w:rPr>
            </w:pPr>
            <w:r w:rsidRPr="00444B5E">
              <w:rPr>
                <w:rFonts w:ascii="Arial" w:eastAsia="Times New Roman" w:hAnsi="Arial" w:cs="Arial"/>
                <w:sz w:val="16"/>
                <w:szCs w:val="16"/>
                <w:lang w:eastAsia="es-CO"/>
              </w:rPr>
              <w:t>Nasly Yeana Mosquera Rivas </w:t>
            </w:r>
          </w:p>
          <w:p w14:paraId="76148DD4" w14:textId="77777777" w:rsidR="00444B5E" w:rsidRPr="00444B5E" w:rsidRDefault="00444B5E" w:rsidP="00444B5E">
            <w:pPr>
              <w:spacing w:after="0" w:line="240" w:lineRule="auto"/>
              <w:textAlignment w:val="baseline"/>
              <w:rPr>
                <w:rFonts w:ascii="Arial" w:eastAsia="Times New Roman" w:hAnsi="Arial" w:cs="Arial"/>
                <w:sz w:val="18"/>
                <w:szCs w:val="18"/>
                <w:lang w:eastAsia="es-CO"/>
              </w:rPr>
            </w:pPr>
            <w:r w:rsidRPr="00444B5E">
              <w:rPr>
                <w:rFonts w:ascii="Arial" w:eastAsia="Times New Roman" w:hAnsi="Arial" w:cs="Arial"/>
                <w:sz w:val="16"/>
                <w:szCs w:val="16"/>
                <w:lang w:val="es-ES" w:eastAsia="es-CO"/>
              </w:rPr>
              <w:t>Analista T2 – 06 de la Subdirección de Gestión Contractual</w:t>
            </w:r>
            <w:r w:rsidRPr="00444B5E">
              <w:rPr>
                <w:rFonts w:ascii="Arial" w:eastAsia="Times New Roman" w:hAnsi="Arial" w:cs="Arial"/>
                <w:sz w:val="16"/>
                <w:szCs w:val="16"/>
                <w:lang w:eastAsia="es-CO"/>
              </w:rPr>
              <w:t> </w:t>
            </w:r>
          </w:p>
        </w:tc>
      </w:tr>
      <w:tr w:rsidR="00444B5E" w:rsidRPr="00444B5E" w14:paraId="09F66D15" w14:textId="77777777" w:rsidTr="007625D1">
        <w:trPr>
          <w:trHeight w:val="315"/>
        </w:trPr>
        <w:tc>
          <w:tcPr>
            <w:tcW w:w="810" w:type="dxa"/>
            <w:tcBorders>
              <w:top w:val="nil"/>
              <w:left w:val="nil"/>
              <w:bottom w:val="nil"/>
              <w:right w:val="nil"/>
            </w:tcBorders>
            <w:shd w:val="clear" w:color="auto" w:fill="auto"/>
            <w:vAlign w:val="center"/>
            <w:hideMark/>
          </w:tcPr>
          <w:p w14:paraId="337F4B5A" w14:textId="77777777" w:rsidR="00444B5E" w:rsidRPr="00444B5E" w:rsidRDefault="00444B5E" w:rsidP="00444B5E">
            <w:pPr>
              <w:spacing w:after="0" w:line="240" w:lineRule="auto"/>
              <w:textAlignment w:val="baseline"/>
              <w:rPr>
                <w:rFonts w:ascii="Arial" w:eastAsia="Times New Roman" w:hAnsi="Arial" w:cs="Arial"/>
                <w:sz w:val="18"/>
                <w:szCs w:val="18"/>
                <w:lang w:eastAsia="es-CO"/>
              </w:rPr>
            </w:pPr>
            <w:r w:rsidRPr="00444B5E">
              <w:rPr>
                <w:rFonts w:ascii="Arial" w:eastAsia="Times New Roman" w:hAnsi="Arial" w:cs="Arial"/>
                <w:sz w:val="16"/>
                <w:szCs w:val="16"/>
                <w:lang w:val="es-ES" w:eastAsia="es-CO"/>
              </w:rPr>
              <w:t>Revisó:</w:t>
            </w:r>
            <w:r w:rsidRPr="00444B5E">
              <w:rPr>
                <w:rFonts w:ascii="Arial" w:eastAsia="Times New Roman" w:hAnsi="Arial" w:cs="Arial"/>
                <w:sz w:val="16"/>
                <w:szCs w:val="16"/>
                <w:lang w:eastAsia="es-CO"/>
              </w:rPr>
              <w:t> </w:t>
            </w:r>
          </w:p>
        </w:tc>
        <w:tc>
          <w:tcPr>
            <w:tcW w:w="4410"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357A8F9E" w14:textId="77777777" w:rsidR="00444B5E" w:rsidRPr="00444B5E" w:rsidRDefault="00444B5E" w:rsidP="00444B5E">
            <w:pPr>
              <w:spacing w:after="0" w:line="240" w:lineRule="auto"/>
              <w:textAlignment w:val="baseline"/>
              <w:rPr>
                <w:rFonts w:ascii="Arial" w:eastAsia="Times New Roman" w:hAnsi="Arial" w:cs="Arial"/>
                <w:sz w:val="18"/>
                <w:szCs w:val="18"/>
                <w:lang w:eastAsia="es-CO"/>
              </w:rPr>
            </w:pPr>
            <w:r w:rsidRPr="00444B5E">
              <w:rPr>
                <w:rFonts w:ascii="Arial" w:eastAsia="Times New Roman" w:hAnsi="Arial" w:cs="Arial"/>
                <w:sz w:val="16"/>
                <w:szCs w:val="16"/>
                <w:lang w:val="es-ES" w:eastAsia="es-CO"/>
              </w:rPr>
              <w:t>Melissa Fernández Reinoso</w:t>
            </w:r>
          </w:p>
          <w:p w14:paraId="39E464A9" w14:textId="77777777" w:rsidR="00444B5E" w:rsidRPr="00444B5E" w:rsidRDefault="00444B5E" w:rsidP="00444B5E">
            <w:pPr>
              <w:spacing w:after="0" w:line="240" w:lineRule="auto"/>
              <w:textAlignment w:val="baseline"/>
              <w:rPr>
                <w:rFonts w:ascii="Arial" w:eastAsia="Times New Roman" w:hAnsi="Arial" w:cs="Arial"/>
                <w:sz w:val="14"/>
                <w:szCs w:val="14"/>
                <w:lang w:eastAsia="es-CO"/>
              </w:rPr>
            </w:pPr>
            <w:r w:rsidRPr="00444B5E">
              <w:rPr>
                <w:rFonts w:ascii="Arial" w:eastAsia="Times New Roman" w:hAnsi="Arial" w:cs="Arial"/>
                <w:sz w:val="16"/>
                <w:szCs w:val="16"/>
                <w:lang w:val="es-ES" w:eastAsia="es-CO"/>
              </w:rPr>
              <w:t>Analista T2 – 02 de la Subdirección de Gestión Contractual</w:t>
            </w:r>
            <w:r w:rsidRPr="00444B5E">
              <w:rPr>
                <w:rFonts w:ascii="Arial" w:eastAsia="Times New Roman" w:hAnsi="Arial" w:cs="Arial"/>
                <w:sz w:val="16"/>
                <w:szCs w:val="16"/>
                <w:lang w:eastAsia="es-CO"/>
              </w:rPr>
              <w:t> </w:t>
            </w:r>
          </w:p>
        </w:tc>
      </w:tr>
      <w:tr w:rsidR="00444B5E" w:rsidRPr="00444B5E" w14:paraId="5F10A66C" w14:textId="77777777" w:rsidTr="007625D1">
        <w:trPr>
          <w:trHeight w:val="300"/>
        </w:trPr>
        <w:tc>
          <w:tcPr>
            <w:tcW w:w="810" w:type="dxa"/>
            <w:tcBorders>
              <w:top w:val="nil"/>
              <w:left w:val="nil"/>
              <w:bottom w:val="nil"/>
              <w:right w:val="nil"/>
            </w:tcBorders>
            <w:shd w:val="clear" w:color="auto" w:fill="auto"/>
            <w:vAlign w:val="center"/>
            <w:hideMark/>
          </w:tcPr>
          <w:p w14:paraId="4DC36F42" w14:textId="77777777" w:rsidR="00444B5E" w:rsidRPr="00444B5E" w:rsidRDefault="00444B5E" w:rsidP="00444B5E">
            <w:pPr>
              <w:spacing w:after="0" w:line="240" w:lineRule="auto"/>
              <w:textAlignment w:val="baseline"/>
              <w:rPr>
                <w:rFonts w:ascii="Arial" w:eastAsia="Times New Roman" w:hAnsi="Arial" w:cs="Arial"/>
                <w:sz w:val="18"/>
                <w:szCs w:val="18"/>
                <w:lang w:eastAsia="es-CO"/>
              </w:rPr>
            </w:pPr>
            <w:r w:rsidRPr="00444B5E">
              <w:rPr>
                <w:rFonts w:ascii="Arial" w:eastAsia="Times New Roman" w:hAnsi="Arial" w:cs="Arial"/>
                <w:sz w:val="16"/>
                <w:szCs w:val="16"/>
                <w:lang w:val="es-ES" w:eastAsia="es-CO"/>
              </w:rPr>
              <w:t>Aprobó:</w:t>
            </w:r>
            <w:r w:rsidRPr="00444B5E">
              <w:rPr>
                <w:rFonts w:ascii="Arial" w:eastAsia="Times New Roman" w:hAnsi="Arial" w:cs="Arial"/>
                <w:sz w:val="16"/>
                <w:szCs w:val="16"/>
                <w:lang w:eastAsia="es-CO"/>
              </w:rPr>
              <w:t> </w:t>
            </w:r>
          </w:p>
        </w:tc>
        <w:tc>
          <w:tcPr>
            <w:tcW w:w="4410"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5D900C65" w14:textId="77777777" w:rsidR="00444B5E" w:rsidRPr="00444B5E" w:rsidRDefault="00444B5E" w:rsidP="00444B5E">
            <w:pPr>
              <w:spacing w:after="0" w:line="240" w:lineRule="auto"/>
              <w:textAlignment w:val="baseline"/>
              <w:rPr>
                <w:rFonts w:ascii="Arial" w:eastAsia="Times New Roman" w:hAnsi="Arial" w:cs="Arial"/>
                <w:sz w:val="18"/>
                <w:szCs w:val="18"/>
                <w:lang w:eastAsia="es-CO"/>
              </w:rPr>
            </w:pPr>
            <w:r w:rsidRPr="00444B5E">
              <w:rPr>
                <w:rFonts w:ascii="Arial" w:eastAsia="Times New Roman" w:hAnsi="Arial" w:cs="Arial"/>
                <w:sz w:val="16"/>
                <w:szCs w:val="16"/>
                <w:lang w:eastAsia="es-CO"/>
              </w:rPr>
              <w:t xml:space="preserve">Nohelia del Carmen </w:t>
            </w:r>
            <w:proofErr w:type="spellStart"/>
            <w:r w:rsidRPr="00444B5E">
              <w:rPr>
                <w:rFonts w:ascii="Arial" w:eastAsia="Times New Roman" w:hAnsi="Arial" w:cs="Arial"/>
                <w:sz w:val="16"/>
                <w:szCs w:val="16"/>
                <w:lang w:eastAsia="es-CO"/>
              </w:rPr>
              <w:t>Zawady</w:t>
            </w:r>
            <w:proofErr w:type="spellEnd"/>
            <w:r w:rsidRPr="00444B5E">
              <w:rPr>
                <w:rFonts w:ascii="Arial" w:eastAsia="Times New Roman" w:hAnsi="Arial" w:cs="Arial"/>
                <w:sz w:val="16"/>
                <w:szCs w:val="16"/>
                <w:lang w:eastAsia="es-CO"/>
              </w:rPr>
              <w:t xml:space="preserve"> Palacio </w:t>
            </w:r>
          </w:p>
          <w:p w14:paraId="7A385B3A" w14:textId="77777777" w:rsidR="00444B5E" w:rsidRPr="00444B5E" w:rsidRDefault="00444B5E" w:rsidP="00444B5E">
            <w:pPr>
              <w:spacing w:after="0" w:line="240" w:lineRule="auto"/>
              <w:textAlignment w:val="baseline"/>
              <w:rPr>
                <w:rFonts w:ascii="Arial" w:eastAsia="Times New Roman" w:hAnsi="Arial" w:cs="Arial"/>
                <w:sz w:val="18"/>
                <w:szCs w:val="18"/>
                <w:lang w:eastAsia="es-CO"/>
              </w:rPr>
            </w:pPr>
            <w:r w:rsidRPr="00444B5E">
              <w:rPr>
                <w:rFonts w:ascii="Arial" w:eastAsia="Times New Roman" w:hAnsi="Arial" w:cs="Arial"/>
                <w:sz w:val="16"/>
                <w:szCs w:val="16"/>
                <w:lang w:eastAsia="es-CO"/>
              </w:rPr>
              <w:t>Subdirectora de Gestión Contractual    </w:t>
            </w:r>
          </w:p>
        </w:tc>
      </w:tr>
      <w:bookmarkEnd w:id="0"/>
    </w:tbl>
    <w:p w14:paraId="1CCD5BDF" w14:textId="77777777" w:rsidR="00444B5E" w:rsidRPr="00444B5E" w:rsidRDefault="00444B5E" w:rsidP="00444B5E">
      <w:pPr>
        <w:rPr>
          <w:rFonts w:ascii="Arial" w:eastAsia="Geomanist Light" w:hAnsi="Arial" w:cs="Arial"/>
        </w:rPr>
      </w:pPr>
    </w:p>
    <w:p w14:paraId="0D4A3D4D" w14:textId="77777777" w:rsidR="00444B5E" w:rsidRPr="00444B5E" w:rsidRDefault="00444B5E" w:rsidP="00444B5E">
      <w:pPr>
        <w:rPr>
          <w:rFonts w:ascii="Arial" w:hAnsi="Arial" w:cs="Arial"/>
        </w:rPr>
      </w:pPr>
    </w:p>
    <w:p w14:paraId="741E6ACB" w14:textId="77777777" w:rsidR="00444B5E" w:rsidRPr="00444B5E" w:rsidRDefault="00444B5E" w:rsidP="00444B5E">
      <w:pPr>
        <w:spacing w:after="160" w:line="259" w:lineRule="auto"/>
        <w:jc w:val="left"/>
        <w:rPr>
          <w:rFonts w:ascii="Arial" w:hAnsi="Arial" w:cs="Arial"/>
          <w:sz w:val="22"/>
          <w:lang w:val="es-CO"/>
        </w:rPr>
      </w:pPr>
    </w:p>
    <w:p w14:paraId="1317B56F" w14:textId="6C82844D" w:rsidR="00267E6A" w:rsidRPr="00BB45CC" w:rsidRDefault="00267E6A" w:rsidP="00444B5E">
      <w:pPr>
        <w:rPr>
          <w:rFonts w:ascii="Arial" w:hAnsi="Arial" w:cs="Arial"/>
        </w:rPr>
      </w:pPr>
    </w:p>
    <w:sectPr w:rsidR="00267E6A" w:rsidRPr="00BB45CC" w:rsidSect="00491E2D">
      <w:headerReference w:type="default" r:id="rId14"/>
      <w:footerReference w:type="default" r:id="rId15"/>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F589" w14:textId="77777777" w:rsidR="00392225" w:rsidRDefault="00392225" w:rsidP="00267E6A">
      <w:pPr>
        <w:spacing w:after="0" w:line="240" w:lineRule="auto"/>
      </w:pPr>
      <w:r>
        <w:separator/>
      </w:r>
    </w:p>
  </w:endnote>
  <w:endnote w:type="continuationSeparator" w:id="0">
    <w:p w14:paraId="4AC4968B" w14:textId="77777777" w:rsidR="00392225" w:rsidRDefault="00392225" w:rsidP="00267E6A">
      <w:pPr>
        <w:spacing w:after="0" w:line="240" w:lineRule="auto"/>
      </w:pPr>
      <w:r>
        <w:continuationSeparator/>
      </w:r>
    </w:p>
  </w:endnote>
  <w:endnote w:type="continuationNotice" w:id="1">
    <w:p w14:paraId="38FC5D00" w14:textId="77777777" w:rsidR="00392225" w:rsidRDefault="003922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60BE" w14:textId="77777777" w:rsidR="00412132" w:rsidRDefault="00CA22D2" w:rsidP="00B6444C">
    <w:pPr>
      <w:pStyle w:val="Sinespaciado"/>
      <w:rPr>
        <w:rFonts w:ascii="Arial" w:hAnsi="Arial" w:cs="Arial"/>
        <w:sz w:val="18"/>
        <w:szCs w:val="18"/>
      </w:rPr>
    </w:pPr>
  </w:p>
  <w:p w14:paraId="1CDB126C" w14:textId="77777777" w:rsidR="00412132" w:rsidRPr="005A79FE" w:rsidRDefault="0089565F"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2FA13C43" w14:textId="77777777" w:rsidR="004208C4" w:rsidRDefault="004208C4" w:rsidP="004208C4">
    <w:pPr>
      <w:pStyle w:val="Piedepgina"/>
    </w:pPr>
    <w:r>
      <w:rPr>
        <w:noProof/>
      </w:rPr>
      <w:drawing>
        <wp:inline distT="0" distB="0" distL="0" distR="0" wp14:anchorId="30574F9B" wp14:editId="2095B192">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3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43"/>
      <w:gridCol w:w="844"/>
      <w:gridCol w:w="1663"/>
      <w:gridCol w:w="657"/>
      <w:gridCol w:w="720"/>
      <w:gridCol w:w="2603"/>
      <w:gridCol w:w="1426"/>
    </w:tblGrid>
    <w:tr w:rsidR="004208C4" w:rsidRPr="00080DA3" w14:paraId="3334627F" w14:textId="77777777" w:rsidTr="007625D1">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791968D" w14:textId="77777777" w:rsidR="004208C4" w:rsidRPr="00080DA3" w:rsidRDefault="004208C4" w:rsidP="004208C4">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4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749929E" w14:textId="77777777" w:rsidR="004208C4" w:rsidRPr="00080DA3" w:rsidRDefault="004208C4" w:rsidP="004208C4">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C8A6063" w14:textId="77777777" w:rsidR="004208C4" w:rsidRPr="00080DA3" w:rsidRDefault="004208C4" w:rsidP="004208C4">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66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3A07727" w14:textId="77777777" w:rsidR="004208C4" w:rsidRPr="004B6B0E" w:rsidRDefault="004208C4" w:rsidP="004208C4">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657" w:type="dxa"/>
          <w:tcBorders>
            <w:top w:val="dotted" w:sz="4" w:space="0" w:color="808080" w:themeColor="background1" w:themeShade="80"/>
            <w:bottom w:val="dotted" w:sz="4" w:space="0" w:color="808080" w:themeColor="background1" w:themeShade="80"/>
            <w:right w:val="dotted" w:sz="4" w:space="0" w:color="808080" w:themeColor="background1" w:themeShade="80"/>
          </w:tcBorders>
        </w:tcPr>
        <w:p w14:paraId="4E07EE0E" w14:textId="77777777" w:rsidR="004208C4" w:rsidRPr="00080DA3" w:rsidRDefault="004208C4" w:rsidP="004208C4">
          <w:pPr>
            <w:pStyle w:val="Piedepgina"/>
            <w:jc w:val="center"/>
            <w:rPr>
              <w:rFonts w:ascii="Geomanist Light" w:hAnsi="Geomanist Light"/>
              <w:sz w:val="18"/>
              <w:szCs w:val="18"/>
            </w:rPr>
          </w:pP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1447597" w14:textId="77777777" w:rsidR="004208C4" w:rsidRPr="00080DA3" w:rsidRDefault="004208C4" w:rsidP="004208C4">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0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A5FE7EA" w14:textId="77777777" w:rsidR="004208C4" w:rsidRPr="00080DA3" w:rsidRDefault="004208C4" w:rsidP="004208C4">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42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C50CF7B" w14:textId="77777777" w:rsidR="004208C4" w:rsidRPr="00080DA3" w:rsidRDefault="004208C4" w:rsidP="004208C4">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19</w:t>
          </w:r>
          <w:r w:rsidRPr="00080DA3">
            <w:rPr>
              <w:rFonts w:ascii="Geomanist Light" w:hAnsi="Geomanist Light"/>
              <w:b/>
              <w:bCs/>
              <w:sz w:val="18"/>
              <w:szCs w:val="18"/>
            </w:rPr>
            <w:fldChar w:fldCharType="end"/>
          </w:r>
        </w:p>
      </w:tc>
    </w:tr>
  </w:tbl>
  <w:p w14:paraId="11468ABD" w14:textId="77777777" w:rsidR="00412132" w:rsidRPr="007B0854" w:rsidRDefault="00CA22D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9C2C" w14:textId="77777777" w:rsidR="00392225" w:rsidRDefault="00392225" w:rsidP="00267E6A">
      <w:pPr>
        <w:spacing w:after="0" w:line="240" w:lineRule="auto"/>
      </w:pPr>
      <w:r>
        <w:separator/>
      </w:r>
    </w:p>
  </w:footnote>
  <w:footnote w:type="continuationSeparator" w:id="0">
    <w:p w14:paraId="1BDD09C4" w14:textId="77777777" w:rsidR="00392225" w:rsidRDefault="00392225" w:rsidP="00267E6A">
      <w:pPr>
        <w:spacing w:after="0" w:line="240" w:lineRule="auto"/>
      </w:pPr>
      <w:r>
        <w:continuationSeparator/>
      </w:r>
    </w:p>
  </w:footnote>
  <w:footnote w:type="continuationNotice" w:id="1">
    <w:p w14:paraId="03ECCA9B" w14:textId="77777777" w:rsidR="00392225" w:rsidRDefault="00392225">
      <w:pPr>
        <w:spacing w:after="0" w:line="240" w:lineRule="auto"/>
      </w:pPr>
    </w:p>
  </w:footnote>
  <w:footnote w:id="2">
    <w:p w14:paraId="6EE23F9B" w14:textId="77777777" w:rsidR="00444B5E" w:rsidRPr="00F04FBD" w:rsidRDefault="00444B5E" w:rsidP="00444B5E">
      <w:pPr>
        <w:pStyle w:val="Textonotapie"/>
        <w:ind w:firstLine="708"/>
        <w:rPr>
          <w:lang w:val="es-ES"/>
        </w:rPr>
      </w:pPr>
      <w:r>
        <w:rPr>
          <w:rStyle w:val="Refdenotaalpie"/>
        </w:rPr>
        <w:footnoteRef/>
      </w:r>
      <w:r>
        <w:t xml:space="preserve"> </w:t>
      </w:r>
      <w:r w:rsidRPr="002F436E">
        <w:rPr>
          <w:rFonts w:ascii="Arial" w:hAnsi="Arial" w:cs="Arial"/>
          <w:sz w:val="19"/>
          <w:szCs w:val="19"/>
        </w:rPr>
        <w:t>Estos conceptos pueden ser consultados en la relatoría de Colombia Compra Eficiente en el siguiente enlace:</w:t>
      </w:r>
      <w:r>
        <w:rPr>
          <w:rFonts w:ascii="Arial" w:hAnsi="Arial" w:cs="Arial"/>
          <w:sz w:val="19"/>
          <w:szCs w:val="19"/>
        </w:rPr>
        <w:t xml:space="preserve">  </w:t>
      </w:r>
      <w:hyperlink r:id="rId1" w:history="1">
        <w:r w:rsidRPr="002F436E">
          <w:rPr>
            <w:rStyle w:val="Hipervnculo"/>
            <w:rFonts w:ascii="Arial" w:hAnsi="Arial" w:cs="Arial"/>
            <w:sz w:val="19"/>
            <w:szCs w:val="19"/>
          </w:rPr>
          <w:t>http://relatoria.colombiacompra.gov.co/busqueda/conceptos</w:t>
        </w:r>
      </w:hyperlink>
    </w:p>
  </w:footnote>
  <w:footnote w:id="3">
    <w:p w14:paraId="78AF02FC" w14:textId="77777777" w:rsidR="00444B5E" w:rsidRPr="005E022D" w:rsidRDefault="00444B5E" w:rsidP="00444B5E">
      <w:pPr>
        <w:pStyle w:val="Textonotapie"/>
        <w:ind w:firstLine="709"/>
        <w:rPr>
          <w:rFonts w:ascii="Arial" w:hAnsi="Arial" w:cs="Arial"/>
          <w:sz w:val="19"/>
          <w:szCs w:val="19"/>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Consejo de Estado. Sección Tercera. Sentencia del 29 de octubre de 2.015. Consejera Ponente: Stella Conto Díaz Del Castillo. Expediente: 31.918.</w:t>
      </w:r>
    </w:p>
  </w:footnote>
  <w:footnote w:id="4">
    <w:p w14:paraId="6D126A1E" w14:textId="77777777" w:rsidR="00444B5E" w:rsidRDefault="00444B5E" w:rsidP="00444B5E">
      <w:pPr>
        <w:pStyle w:val="Textonotapie"/>
        <w:ind w:firstLine="709"/>
      </w:pPr>
      <w:r>
        <w:rPr>
          <w:rStyle w:val="Refdenotaalpie"/>
        </w:rPr>
        <w:footnoteRef/>
      </w:r>
      <w:r>
        <w:t xml:space="preserve"> </w:t>
      </w:r>
      <w:r w:rsidRPr="00892E76">
        <w:rPr>
          <w:rFonts w:ascii="Arial" w:hAnsi="Arial" w:cs="Arial"/>
          <w:sz w:val="19"/>
          <w:szCs w:val="19"/>
          <w:lang w:val="es-ES"/>
        </w:rPr>
        <w:t>Corte Constitucional. Sentencia T-684A del 14 de septiembre de 2011. Magistrado Ponente: Mauricio González Cuervo.</w:t>
      </w:r>
    </w:p>
  </w:footnote>
  <w:footnote w:id="5">
    <w:p w14:paraId="767DE261" w14:textId="77777777" w:rsidR="00444B5E" w:rsidRPr="005E022D" w:rsidRDefault="00444B5E" w:rsidP="00444B5E">
      <w:pPr>
        <w:pStyle w:val="Textonotapie"/>
        <w:ind w:firstLine="709"/>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Artículos 2 al 29.</w:t>
      </w:r>
    </w:p>
  </w:footnote>
  <w:footnote w:id="6">
    <w:p w14:paraId="56628937" w14:textId="77777777" w:rsidR="00444B5E" w:rsidRPr="005E022D" w:rsidRDefault="00444B5E" w:rsidP="00444B5E">
      <w:pPr>
        <w:pStyle w:val="Textonotapie"/>
        <w:ind w:firstLine="709"/>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Artículos 30 al 36.</w:t>
      </w:r>
    </w:p>
  </w:footnote>
  <w:footnote w:id="7">
    <w:p w14:paraId="1D36E510" w14:textId="77777777" w:rsidR="00444B5E" w:rsidRPr="005E022D" w:rsidRDefault="00444B5E" w:rsidP="00444B5E">
      <w:pPr>
        <w:pStyle w:val="Textonotapie"/>
        <w:ind w:firstLine="709"/>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Artículos 37 al 45.</w:t>
      </w:r>
    </w:p>
  </w:footnote>
  <w:footnote w:id="8">
    <w:p w14:paraId="5DFE67BC" w14:textId="77777777" w:rsidR="00444B5E" w:rsidRPr="005E022D" w:rsidRDefault="00444B5E" w:rsidP="00444B5E">
      <w:pPr>
        <w:pStyle w:val="Textonotapie"/>
        <w:ind w:firstLine="709"/>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Artículos 46 al 73.</w:t>
      </w:r>
    </w:p>
  </w:footnote>
  <w:footnote w:id="9">
    <w:p w14:paraId="03DE77BC" w14:textId="77777777" w:rsidR="00444B5E" w:rsidRPr="005E022D" w:rsidRDefault="00444B5E" w:rsidP="00444B5E">
      <w:pPr>
        <w:pStyle w:val="Textonotapie"/>
        <w:ind w:firstLine="709"/>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Artículos 74 al 83.</w:t>
      </w:r>
    </w:p>
  </w:footnote>
  <w:footnote w:id="10">
    <w:p w14:paraId="08A41202" w14:textId="77777777" w:rsidR="00444B5E" w:rsidRPr="005E022D" w:rsidRDefault="00444B5E" w:rsidP="00444B5E">
      <w:pPr>
        <w:pStyle w:val="Textonotapie"/>
        <w:ind w:firstLine="708"/>
        <w:rPr>
          <w:rFonts w:ascii="Arial" w:hAnsi="Arial" w:cs="Arial"/>
          <w:sz w:val="19"/>
          <w:szCs w:val="19"/>
        </w:rPr>
      </w:pPr>
      <w:r w:rsidRPr="005E022D">
        <w:rPr>
          <w:rStyle w:val="Refdenotaalpie"/>
          <w:rFonts w:ascii="Arial" w:hAnsi="Arial" w:cs="Arial"/>
          <w:sz w:val="19"/>
          <w:szCs w:val="19"/>
        </w:rPr>
        <w:footnoteRef/>
      </w:r>
      <w:r w:rsidRPr="005E022D">
        <w:rPr>
          <w:rFonts w:ascii="Arial" w:hAnsi="Arial" w:cs="Arial"/>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1">
    <w:p w14:paraId="19539EBC" w14:textId="77777777" w:rsidR="00444B5E" w:rsidRPr="005E022D" w:rsidRDefault="00444B5E" w:rsidP="00444B5E">
      <w:pPr>
        <w:pStyle w:val="NormalWeb"/>
        <w:shd w:val="clear" w:color="auto" w:fill="FFFFFF"/>
        <w:spacing w:before="0" w:beforeAutospacing="0" w:after="0" w:afterAutospacing="0"/>
        <w:ind w:firstLine="709"/>
        <w:rPr>
          <w:rFonts w:ascii="Arial" w:hAnsi="Arial" w:cs="Arial"/>
          <w:sz w:val="19"/>
          <w:szCs w:val="19"/>
        </w:rPr>
      </w:pPr>
      <w:r w:rsidRPr="005E022D">
        <w:rPr>
          <w:rStyle w:val="Refdenotaalpie"/>
          <w:rFonts w:ascii="Arial" w:hAnsi="Arial" w:cs="Arial"/>
          <w:sz w:val="19"/>
          <w:szCs w:val="19"/>
        </w:rPr>
        <w:footnoteRef/>
      </w:r>
      <w:r w:rsidRPr="005E022D">
        <w:rPr>
          <w:rFonts w:ascii="Arial" w:hAnsi="Arial" w:cs="Arial"/>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5E022D">
          <w:rPr>
            <w:rStyle w:val="Hipervnculo"/>
            <w:rFonts w:ascii="Arial" w:eastAsiaTheme="majorEastAsia" w:hAnsi="Arial" w:cs="Arial"/>
            <w:sz w:val="19"/>
            <w:szCs w:val="19"/>
          </w:rPr>
          <w:t>5 </w:t>
        </w:r>
      </w:hyperlink>
      <w:r w:rsidRPr="005E022D">
        <w:rPr>
          <w:rFonts w:ascii="Arial" w:hAnsi="Arial" w:cs="Arial"/>
          <w:sz w:val="19"/>
          <w:szCs w:val="19"/>
        </w:rPr>
        <w:t>de la Sección 1 del Capítulo 2 del Título 1 de la Parte 2 del Libro 2, así como los artículos </w:t>
      </w:r>
      <w:hyperlink r:id="rId3" w:anchor="2.2.1.2.4.2.2" w:history="1">
        <w:r w:rsidRPr="005E022D">
          <w:rPr>
            <w:rStyle w:val="Hipervnculo"/>
            <w:rFonts w:ascii="Arial" w:eastAsiaTheme="majorEastAsia" w:hAnsi="Arial" w:cs="Arial"/>
            <w:sz w:val="19"/>
            <w:szCs w:val="19"/>
          </w:rPr>
          <w:t>2.2.1.2.4.2.2</w:t>
        </w:r>
      </w:hyperlink>
      <w:r w:rsidRPr="005E022D">
        <w:rPr>
          <w:rFonts w:ascii="Arial" w:hAnsi="Arial" w:cs="Arial"/>
          <w:sz w:val="19"/>
          <w:szCs w:val="19"/>
        </w:rPr>
        <w:t>., </w:t>
      </w:r>
      <w:hyperlink r:id="rId4" w:anchor="2.2.1.2.4.2.3" w:history="1">
        <w:r w:rsidRPr="005E022D">
          <w:rPr>
            <w:rStyle w:val="Hipervnculo"/>
            <w:rFonts w:ascii="Arial" w:eastAsiaTheme="majorEastAsia" w:hAnsi="Arial" w:cs="Arial"/>
            <w:sz w:val="19"/>
            <w:szCs w:val="19"/>
          </w:rPr>
          <w:t>2.2.1.2.4.2.3</w:t>
        </w:r>
      </w:hyperlink>
      <w:r w:rsidRPr="005E022D">
        <w:rPr>
          <w:rFonts w:ascii="Arial" w:hAnsi="Arial" w:cs="Arial"/>
          <w:sz w:val="19"/>
          <w:szCs w:val="19"/>
        </w:rPr>
        <w:t>., </w:t>
      </w:r>
      <w:hyperlink r:id="rId5" w:anchor="2.2.1.2.4.2.4" w:history="1">
        <w:r w:rsidRPr="005E022D">
          <w:rPr>
            <w:rStyle w:val="Hipervnculo"/>
            <w:rFonts w:ascii="Arial" w:eastAsiaTheme="majorEastAsia" w:hAnsi="Arial" w:cs="Arial"/>
            <w:sz w:val="19"/>
            <w:szCs w:val="19"/>
          </w:rPr>
          <w:t>2.2.1.2.4.2.4</w:t>
        </w:r>
      </w:hyperlink>
      <w:r w:rsidRPr="005E022D">
        <w:rPr>
          <w:rFonts w:ascii="Arial" w:hAnsi="Arial" w:cs="Arial"/>
          <w:sz w:val="19"/>
          <w:szCs w:val="19"/>
        </w:rPr>
        <w:t>., </w:t>
      </w:r>
      <w:hyperlink r:id="rId6" w:anchor="2.2.1.2.1.2.2" w:history="1">
        <w:r w:rsidRPr="005E022D">
          <w:rPr>
            <w:rStyle w:val="Hipervnculo"/>
            <w:rFonts w:ascii="Arial" w:eastAsiaTheme="majorEastAsia" w:hAnsi="Arial" w:cs="Arial"/>
            <w:sz w:val="19"/>
            <w:szCs w:val="19"/>
          </w:rPr>
          <w:t>2.2.1.2.1.2.2</w:t>
        </w:r>
      </w:hyperlink>
      <w:r w:rsidRPr="005E022D">
        <w:rPr>
          <w:rFonts w:ascii="Arial" w:hAnsi="Arial" w:cs="Arial"/>
          <w:sz w:val="19"/>
          <w:szCs w:val="19"/>
        </w:rPr>
        <w:t xml:space="preserve"> y </w:t>
      </w:r>
      <w:hyperlink r:id="rId7" w:anchor="2.2.1.2.4.2.8" w:history="1">
        <w:r w:rsidRPr="005E022D">
          <w:rPr>
            <w:rStyle w:val="Hipervnculo"/>
            <w:rFonts w:ascii="Arial" w:eastAsiaTheme="majorEastAsia" w:hAnsi="Arial" w:cs="Arial"/>
            <w:sz w:val="19"/>
            <w:szCs w:val="19"/>
          </w:rPr>
          <w:t>2.2.1.2.4.2.8</w:t>
        </w:r>
      </w:hyperlink>
      <w:r w:rsidRPr="005E022D">
        <w:rPr>
          <w:rFonts w:ascii="Arial" w:hAnsi="Arial" w:cs="Arial"/>
          <w:sz w:val="19"/>
          <w:szCs w:val="19"/>
        </w:rPr>
        <w:t>.; adiciona los artículos </w:t>
      </w:r>
      <w:hyperlink r:id="rId8" w:anchor="2.2.1.2.4.2.14" w:history="1">
        <w:r w:rsidRPr="005E022D">
          <w:rPr>
            <w:rStyle w:val="Hipervnculo"/>
            <w:rFonts w:ascii="Arial" w:eastAsiaTheme="majorEastAsia" w:hAnsi="Arial" w:cs="Arial"/>
            <w:sz w:val="19"/>
            <w:szCs w:val="19"/>
          </w:rPr>
          <w:t>2.2.1.2.4.2.14</w:t>
        </w:r>
      </w:hyperlink>
      <w:r w:rsidRPr="005E022D">
        <w:rPr>
          <w:rFonts w:ascii="Arial" w:hAnsi="Arial" w:cs="Arial"/>
          <w:sz w:val="19"/>
          <w:szCs w:val="19"/>
        </w:rPr>
        <w:t>., </w:t>
      </w:r>
      <w:hyperlink r:id="rId9" w:anchor="2.2.1.2.4.2.15" w:history="1">
        <w:r w:rsidRPr="005E022D">
          <w:rPr>
            <w:rStyle w:val="Hipervnculo"/>
            <w:rFonts w:ascii="Arial" w:eastAsiaTheme="majorEastAsia" w:hAnsi="Arial" w:cs="Arial"/>
            <w:sz w:val="19"/>
            <w:szCs w:val="19"/>
          </w:rPr>
          <w:t>2.2.1.2.4.2.15</w:t>
        </w:r>
      </w:hyperlink>
      <w:r w:rsidRPr="005E022D">
        <w:rPr>
          <w:rFonts w:ascii="Arial" w:hAnsi="Arial" w:cs="Arial"/>
          <w:sz w:val="19"/>
          <w:szCs w:val="19"/>
        </w:rPr>
        <w:t>., </w:t>
      </w:r>
      <w:hyperlink r:id="rId10" w:anchor="2.2.1.2.4.2.16" w:history="1">
        <w:r w:rsidRPr="005E022D">
          <w:rPr>
            <w:rStyle w:val="Hipervnculo"/>
            <w:rFonts w:ascii="Arial" w:eastAsiaTheme="majorEastAsia" w:hAnsi="Arial" w:cs="Arial"/>
            <w:sz w:val="19"/>
            <w:szCs w:val="19"/>
          </w:rPr>
          <w:t>2.2.1.2.4.2.16</w:t>
        </w:r>
      </w:hyperlink>
      <w:r w:rsidRPr="005E022D">
        <w:rPr>
          <w:rFonts w:ascii="Arial" w:hAnsi="Arial" w:cs="Arial"/>
          <w:sz w:val="19"/>
          <w:szCs w:val="19"/>
        </w:rPr>
        <w:t>., </w:t>
      </w:r>
      <w:hyperlink r:id="rId11" w:anchor="2.2.1.2.4.2.17" w:history="1">
        <w:r w:rsidRPr="005E022D">
          <w:rPr>
            <w:rStyle w:val="Hipervnculo"/>
            <w:rFonts w:ascii="Arial" w:eastAsiaTheme="majorEastAsia" w:hAnsi="Arial" w:cs="Arial"/>
            <w:sz w:val="19"/>
            <w:szCs w:val="19"/>
          </w:rPr>
          <w:t>2.2.1.2.4.2.17</w:t>
        </w:r>
      </w:hyperlink>
      <w:r w:rsidRPr="005E022D">
        <w:rPr>
          <w:rFonts w:ascii="Arial" w:hAnsi="Arial" w:cs="Arial"/>
          <w:sz w:val="19"/>
          <w:szCs w:val="19"/>
        </w:rPr>
        <w:t>. y </w:t>
      </w:r>
      <w:hyperlink r:id="rId12" w:anchor="2.2.1.2.4.2.18" w:history="1">
        <w:r w:rsidRPr="005E022D">
          <w:rPr>
            <w:rStyle w:val="Hipervnculo"/>
            <w:rFonts w:ascii="Arial" w:eastAsiaTheme="majorEastAsia" w:hAnsi="Arial" w:cs="Arial"/>
            <w:sz w:val="19"/>
            <w:szCs w:val="19"/>
          </w:rPr>
          <w:t>2.2.1.2.4.2.18</w:t>
        </w:r>
      </w:hyperlink>
      <w:r w:rsidRPr="005E022D">
        <w:rPr>
          <w:rFonts w:ascii="Arial" w:hAnsi="Arial" w:cs="Arial"/>
          <w:sz w:val="19"/>
          <w:szCs w:val="19"/>
        </w:rPr>
        <w:t>.; adiciona un </w:t>
      </w:r>
      <w:hyperlink r:id="rId13" w:anchor="2.2.1.2.3.1.9.p" w:history="1">
        <w:r w:rsidRPr="005E022D">
          <w:rPr>
            <w:rStyle w:val="Hipervnculo"/>
            <w:rFonts w:ascii="Arial" w:eastAsiaTheme="majorEastAsia" w:hAnsi="Arial" w:cs="Arial"/>
            <w:sz w:val="19"/>
            <w:szCs w:val="19"/>
          </w:rPr>
          <w:t>parágrafo </w:t>
        </w:r>
      </w:hyperlink>
      <w:r w:rsidRPr="005E022D">
        <w:rPr>
          <w:rFonts w:ascii="Arial" w:hAnsi="Arial" w:cs="Arial"/>
          <w:sz w:val="19"/>
          <w:szCs w:val="19"/>
        </w:rPr>
        <w:t>al artículo </w:t>
      </w:r>
      <w:hyperlink r:id="rId14" w:anchor="2.2.1.2.3.1.9" w:history="1">
        <w:r w:rsidRPr="005E022D">
          <w:rPr>
            <w:rStyle w:val="Hipervnculo"/>
            <w:rFonts w:ascii="Arial" w:eastAsiaTheme="majorEastAsia" w:hAnsi="Arial" w:cs="Arial"/>
            <w:sz w:val="19"/>
            <w:szCs w:val="19"/>
          </w:rPr>
          <w:t>2.2.1.2.3.1.9</w:t>
        </w:r>
      </w:hyperlink>
      <w:r w:rsidRPr="005E022D">
        <w:rPr>
          <w:rFonts w:ascii="Arial" w:hAnsi="Arial" w:cs="Arial"/>
          <w:sz w:val="19"/>
          <w:szCs w:val="19"/>
        </w:rPr>
        <w:t>; y deroga el artículo </w:t>
      </w:r>
      <w:hyperlink r:id="rId15" w:anchor="2.2.1.1.2.2.9" w:history="1">
        <w:r w:rsidRPr="005E022D">
          <w:rPr>
            <w:rStyle w:val="Hipervnculo"/>
            <w:rFonts w:ascii="Arial" w:eastAsiaTheme="majorEastAsia" w:hAnsi="Arial" w:cs="Arial"/>
            <w:sz w:val="19"/>
            <w:szCs w:val="19"/>
          </w:rPr>
          <w:t>2.2.1.1.2.2.9</w:t>
        </w:r>
      </w:hyperlink>
      <w:r w:rsidRPr="005E022D">
        <w:rPr>
          <w:rFonts w:ascii="Arial" w:hAnsi="Arial" w:cs="Arial"/>
          <w:sz w:val="19"/>
          <w:szCs w:val="19"/>
        </w:rPr>
        <w:t>. del Decreto 1082 de 2015, Único Reglamentario del Sector Administrativo de Planeación Nacional.</w:t>
      </w:r>
    </w:p>
    <w:p w14:paraId="37FD5B21" w14:textId="77777777" w:rsidR="00444B5E" w:rsidRPr="005E022D" w:rsidRDefault="00444B5E" w:rsidP="00444B5E">
      <w:pPr>
        <w:pStyle w:val="NormalWeb"/>
        <w:shd w:val="clear" w:color="auto" w:fill="FFFFFF"/>
        <w:spacing w:before="0" w:beforeAutospacing="0" w:after="0" w:afterAutospacing="0"/>
        <w:rPr>
          <w:rFonts w:ascii="Arial" w:hAnsi="Arial" w:cs="Arial"/>
          <w:sz w:val="19"/>
          <w:szCs w:val="19"/>
        </w:rPr>
      </w:pPr>
      <w:r w:rsidRPr="005E022D">
        <w:rPr>
          <w:rFonts w:ascii="Arial" w:hAnsi="Arial" w:cs="Arial"/>
          <w:b/>
          <w:bCs/>
          <w:sz w:val="19"/>
          <w:szCs w:val="19"/>
        </w:rPr>
        <w:t> </w:t>
      </w:r>
      <w:r w:rsidRPr="005E022D">
        <w:rPr>
          <w:rFonts w:ascii="Arial" w:hAnsi="Arial" w:cs="Arial"/>
          <w:b/>
          <w:bCs/>
          <w:sz w:val="19"/>
          <w:szCs w:val="19"/>
        </w:rPr>
        <w:tab/>
        <w:t>»</w:t>
      </w:r>
      <w:r w:rsidRPr="005E022D">
        <w:rPr>
          <w:rFonts w:ascii="Arial" w:hAnsi="Arial" w:cs="Arial"/>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0D9DC9BF" w14:textId="77777777" w:rsidR="00444B5E" w:rsidRPr="005E022D" w:rsidRDefault="00444B5E" w:rsidP="00444B5E">
      <w:pPr>
        <w:pStyle w:val="NormalWeb"/>
        <w:shd w:val="clear" w:color="auto" w:fill="FFFFFF"/>
        <w:spacing w:before="0" w:beforeAutospacing="0" w:after="0" w:afterAutospacing="0"/>
        <w:rPr>
          <w:rFonts w:ascii="Arial" w:hAnsi="Arial" w:cs="Arial"/>
          <w:sz w:val="19"/>
          <w:szCs w:val="19"/>
        </w:rPr>
      </w:pPr>
      <w:r w:rsidRPr="005E022D">
        <w:rPr>
          <w:rFonts w:ascii="Arial" w:hAnsi="Arial" w:cs="Arial"/>
          <w:sz w:val="19"/>
          <w:szCs w:val="19"/>
        </w:rPr>
        <w:t> </w:t>
      </w:r>
      <w:r w:rsidRPr="005E022D">
        <w:rPr>
          <w:rFonts w:ascii="Arial" w:hAnsi="Arial" w:cs="Arial"/>
          <w:sz w:val="19"/>
          <w:szCs w:val="19"/>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2">
    <w:p w14:paraId="7951662C" w14:textId="77777777" w:rsidR="00444B5E" w:rsidRDefault="00444B5E" w:rsidP="00444B5E">
      <w:pPr>
        <w:pStyle w:val="paragraph"/>
        <w:spacing w:before="0" w:beforeAutospacing="0" w:after="0" w:afterAutospacing="0"/>
        <w:ind w:firstLine="705"/>
        <w:jc w:val="both"/>
        <w:textAlignment w:val="baseline"/>
        <w:rPr>
          <w:rFonts w:ascii="Segoe UI" w:hAnsi="Segoe UI" w:cs="Segoe UI"/>
          <w:sz w:val="18"/>
          <w:szCs w:val="18"/>
        </w:rPr>
      </w:pPr>
      <w:r>
        <w:rPr>
          <w:rStyle w:val="Refdenotaalpie"/>
        </w:rPr>
        <w:footnoteRef/>
      </w:r>
      <w:r>
        <w:t xml:space="preserve"> </w:t>
      </w:r>
      <w:r>
        <w:rPr>
          <w:rStyle w:val="normaltextrun"/>
          <w:rFonts w:ascii="Arial" w:hAnsi="Arial" w:cs="Arial"/>
          <w:sz w:val="19"/>
          <w:szCs w:val="19"/>
        </w:rPr>
        <w:t>Código Sustantivo del Trabajo </w:t>
      </w:r>
      <w:r>
        <w:rPr>
          <w:rStyle w:val="normaltextrun"/>
          <w:rFonts w:ascii="Arial" w:hAnsi="Arial" w:cs="Arial"/>
          <w:color w:val="000000"/>
          <w:sz w:val="22"/>
          <w:szCs w:val="22"/>
          <w:lang w:val="es-ES"/>
        </w:rPr>
        <w:t>«</w:t>
      </w:r>
      <w:r>
        <w:rPr>
          <w:rStyle w:val="normaltextrun"/>
          <w:rFonts w:ascii="Arial" w:hAnsi="Arial" w:cs="Arial"/>
          <w:sz w:val="19"/>
          <w:szCs w:val="19"/>
        </w:rPr>
        <w:t>Artículo 23. Elementos Esenciales. &lt;Artículo subrogado por el artículo 1o. de la Ley 50 de 1990. El nuevo texto es el siguiente:&gt;</w:t>
      </w:r>
      <w:r>
        <w:rPr>
          <w:rStyle w:val="eop"/>
          <w:rFonts w:ascii="Arial" w:hAnsi="Arial" w:cs="Arial"/>
          <w:sz w:val="19"/>
          <w:szCs w:val="19"/>
        </w:rPr>
        <w:t> </w:t>
      </w:r>
    </w:p>
    <w:p w14:paraId="42C99242" w14:textId="77777777" w:rsidR="00444B5E" w:rsidRDefault="00444B5E" w:rsidP="00444B5E">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sz w:val="19"/>
          <w:szCs w:val="19"/>
          <w:lang w:val="es-ES"/>
        </w:rPr>
        <w:t>»</w:t>
      </w:r>
      <w:r>
        <w:rPr>
          <w:rStyle w:val="normaltextrun"/>
          <w:rFonts w:ascii="Arial" w:hAnsi="Arial" w:cs="Arial"/>
          <w:sz w:val="19"/>
          <w:szCs w:val="19"/>
        </w:rPr>
        <w:t>1. Para que haya contrato de trabajo se requiere que concurran estos tres elementos esenciales:</w:t>
      </w:r>
      <w:r>
        <w:rPr>
          <w:rStyle w:val="eop"/>
          <w:rFonts w:ascii="Arial" w:hAnsi="Arial" w:cs="Arial"/>
          <w:sz w:val="19"/>
          <w:szCs w:val="19"/>
        </w:rPr>
        <w:t> </w:t>
      </w:r>
    </w:p>
    <w:p w14:paraId="49FCB396" w14:textId="77777777" w:rsidR="00444B5E" w:rsidRDefault="00444B5E" w:rsidP="00444B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9"/>
          <w:szCs w:val="19"/>
        </w:rPr>
        <w:t>a. La actividad personal del trabajador, es decir, realizada por sí mismo;</w:t>
      </w:r>
      <w:r>
        <w:rPr>
          <w:rStyle w:val="eop"/>
          <w:rFonts w:ascii="Arial" w:hAnsi="Arial" w:cs="Arial"/>
          <w:sz w:val="19"/>
          <w:szCs w:val="19"/>
        </w:rPr>
        <w:t> </w:t>
      </w:r>
    </w:p>
    <w:p w14:paraId="7E825183" w14:textId="77777777" w:rsidR="00444B5E" w:rsidRDefault="00444B5E" w:rsidP="00444B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9"/>
          <w:szCs w:val="19"/>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r>
        <w:rPr>
          <w:rStyle w:val="eop"/>
          <w:rFonts w:ascii="Arial" w:hAnsi="Arial" w:cs="Arial"/>
          <w:sz w:val="19"/>
          <w:szCs w:val="19"/>
        </w:rPr>
        <w:t> </w:t>
      </w:r>
    </w:p>
    <w:p w14:paraId="687E0E7E" w14:textId="77777777" w:rsidR="00444B5E" w:rsidRDefault="00444B5E" w:rsidP="00444B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9"/>
          <w:szCs w:val="19"/>
        </w:rPr>
        <w:t>c. Un salario como retribución del servicio.</w:t>
      </w:r>
      <w:r>
        <w:rPr>
          <w:rStyle w:val="eop"/>
          <w:rFonts w:ascii="Arial" w:hAnsi="Arial" w:cs="Arial"/>
          <w:sz w:val="19"/>
          <w:szCs w:val="19"/>
        </w:rPr>
        <w:t> </w:t>
      </w:r>
    </w:p>
    <w:p w14:paraId="46FED403" w14:textId="77777777" w:rsidR="00444B5E" w:rsidRDefault="00444B5E" w:rsidP="00444B5E">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sz w:val="19"/>
          <w:szCs w:val="19"/>
          <w:lang w:val="es-ES"/>
        </w:rPr>
        <w:t>»</w:t>
      </w:r>
      <w:r>
        <w:rPr>
          <w:rStyle w:val="normaltextrun"/>
          <w:rFonts w:ascii="Arial" w:hAnsi="Arial" w:cs="Arial"/>
          <w:sz w:val="19"/>
          <w:szCs w:val="19"/>
        </w:rPr>
        <w:t>2. Una vez reunidos los tres elementos de que trata este artículo, se entiende que existe contrato de trabajo y no deja de serlo por razón del nombre que se le dé ni de otras condiciones o modalidades que se le agreguen</w:t>
      </w:r>
      <w:r>
        <w:rPr>
          <w:rStyle w:val="normaltextrun"/>
          <w:rFonts w:ascii="Arial" w:hAnsi="Arial" w:cs="Arial"/>
          <w:sz w:val="19"/>
          <w:szCs w:val="19"/>
          <w:lang w:val="es-ES"/>
        </w:rPr>
        <w:t>».</w:t>
      </w:r>
      <w:r>
        <w:rPr>
          <w:rStyle w:val="eop"/>
          <w:rFonts w:ascii="Arial" w:hAnsi="Arial" w:cs="Arial"/>
          <w:sz w:val="19"/>
          <w:szCs w:val="19"/>
        </w:rPr>
        <w:t> </w:t>
      </w:r>
    </w:p>
    <w:p w14:paraId="39184192" w14:textId="77777777" w:rsidR="00444B5E" w:rsidRPr="00765EBD" w:rsidRDefault="00444B5E" w:rsidP="00444B5E">
      <w:pPr>
        <w:pStyle w:val="Textonotapie"/>
        <w:ind w:firstLine="708"/>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4F09" w14:textId="77777777" w:rsidR="00DA2EEB" w:rsidRPr="007566FE" w:rsidRDefault="00DA2EEB" w:rsidP="00DA2EEB">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7728" behindDoc="1" locked="0" layoutInCell="1" hidden="0" allowOverlap="1" wp14:anchorId="735FDD43" wp14:editId="3FB859FD">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0DAADEC5" w14:textId="77777777" w:rsidR="00DA2EEB" w:rsidRPr="007566FE" w:rsidRDefault="00DA2EEB" w:rsidP="00DA2EEB">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6F30DE84" w14:textId="77777777" w:rsidR="00DA2EEB" w:rsidRDefault="00DA2EEB" w:rsidP="00DA2EEB">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9776" behindDoc="1" locked="0" layoutInCell="1" allowOverlap="1" wp14:anchorId="1E610220" wp14:editId="0A9B367B">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40D55B93" w14:textId="77777777" w:rsidR="00DA2EEB" w:rsidRPr="007566FE" w:rsidRDefault="00DA2EEB" w:rsidP="00DA2EEB">
    <w:pPr>
      <w:spacing w:after="0"/>
      <w:rPr>
        <w:rFonts w:ascii="Geomanist Light" w:hAnsi="Geomanist Light"/>
        <w:color w:val="002060"/>
        <w:sz w:val="16"/>
        <w:szCs w:val="16"/>
      </w:rPr>
    </w:pPr>
  </w:p>
  <w:p w14:paraId="5426E65A" w14:textId="77777777" w:rsidR="00DA2EEB" w:rsidRPr="00906B3C" w:rsidRDefault="00DA2EEB" w:rsidP="00DA2EEB">
    <w:pPr>
      <w:pStyle w:val="Encabezado"/>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F488C"/>
    <w:multiLevelType w:val="hybridMultilevel"/>
    <w:tmpl w:val="3E128A9E"/>
    <w:lvl w:ilvl="0" w:tplc="64EC136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B50263C"/>
    <w:multiLevelType w:val="hybridMultilevel"/>
    <w:tmpl w:val="63E22CF2"/>
    <w:lvl w:ilvl="0" w:tplc="19D095A4">
      <w:start w:val="1"/>
      <w:numFmt w:val="upperLetter"/>
      <w:lvlText w:val="%1."/>
      <w:lvlJc w:val="left"/>
      <w:pPr>
        <w:ind w:left="1564" w:hanging="710"/>
      </w:pPr>
      <w:rPr>
        <w:rFonts w:hint="default"/>
      </w:rPr>
    </w:lvl>
    <w:lvl w:ilvl="1" w:tplc="240A0019" w:tentative="1">
      <w:start w:val="1"/>
      <w:numFmt w:val="lowerLetter"/>
      <w:lvlText w:val="%2."/>
      <w:lvlJc w:val="left"/>
      <w:pPr>
        <w:ind w:left="1934" w:hanging="360"/>
      </w:pPr>
    </w:lvl>
    <w:lvl w:ilvl="2" w:tplc="240A001B" w:tentative="1">
      <w:start w:val="1"/>
      <w:numFmt w:val="lowerRoman"/>
      <w:lvlText w:val="%3."/>
      <w:lvlJc w:val="right"/>
      <w:pPr>
        <w:ind w:left="2654" w:hanging="180"/>
      </w:pPr>
    </w:lvl>
    <w:lvl w:ilvl="3" w:tplc="240A000F" w:tentative="1">
      <w:start w:val="1"/>
      <w:numFmt w:val="decimal"/>
      <w:lvlText w:val="%4."/>
      <w:lvlJc w:val="left"/>
      <w:pPr>
        <w:ind w:left="3374" w:hanging="360"/>
      </w:pPr>
    </w:lvl>
    <w:lvl w:ilvl="4" w:tplc="240A0019" w:tentative="1">
      <w:start w:val="1"/>
      <w:numFmt w:val="lowerLetter"/>
      <w:lvlText w:val="%5."/>
      <w:lvlJc w:val="left"/>
      <w:pPr>
        <w:ind w:left="4094" w:hanging="360"/>
      </w:pPr>
    </w:lvl>
    <w:lvl w:ilvl="5" w:tplc="240A001B" w:tentative="1">
      <w:start w:val="1"/>
      <w:numFmt w:val="lowerRoman"/>
      <w:lvlText w:val="%6."/>
      <w:lvlJc w:val="right"/>
      <w:pPr>
        <w:ind w:left="4814" w:hanging="180"/>
      </w:pPr>
    </w:lvl>
    <w:lvl w:ilvl="6" w:tplc="240A000F" w:tentative="1">
      <w:start w:val="1"/>
      <w:numFmt w:val="decimal"/>
      <w:lvlText w:val="%7."/>
      <w:lvlJc w:val="left"/>
      <w:pPr>
        <w:ind w:left="5534" w:hanging="360"/>
      </w:pPr>
    </w:lvl>
    <w:lvl w:ilvl="7" w:tplc="240A0019" w:tentative="1">
      <w:start w:val="1"/>
      <w:numFmt w:val="lowerLetter"/>
      <w:lvlText w:val="%8."/>
      <w:lvlJc w:val="left"/>
      <w:pPr>
        <w:ind w:left="6254" w:hanging="360"/>
      </w:pPr>
    </w:lvl>
    <w:lvl w:ilvl="8" w:tplc="240A001B" w:tentative="1">
      <w:start w:val="1"/>
      <w:numFmt w:val="lowerRoman"/>
      <w:lvlText w:val="%9."/>
      <w:lvlJc w:val="right"/>
      <w:pPr>
        <w:ind w:left="6974" w:hanging="180"/>
      </w:pPr>
    </w:lvl>
  </w:abstractNum>
  <w:num w:numId="1" w16cid:durableId="1132744405">
    <w:abstractNumId w:val="0"/>
  </w:num>
  <w:num w:numId="2" w16cid:durableId="309795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6A"/>
    <w:rsid w:val="0000509C"/>
    <w:rsid w:val="00033355"/>
    <w:rsid w:val="00040EE9"/>
    <w:rsid w:val="000433F5"/>
    <w:rsid w:val="00053C6A"/>
    <w:rsid w:val="0005768F"/>
    <w:rsid w:val="000618CC"/>
    <w:rsid w:val="00062CFB"/>
    <w:rsid w:val="0006685F"/>
    <w:rsid w:val="00070E78"/>
    <w:rsid w:val="00074B0E"/>
    <w:rsid w:val="0008361C"/>
    <w:rsid w:val="00085B83"/>
    <w:rsid w:val="0009072B"/>
    <w:rsid w:val="000971AE"/>
    <w:rsid w:val="000A50A4"/>
    <w:rsid w:val="000D2937"/>
    <w:rsid w:val="000E43EB"/>
    <w:rsid w:val="000E5278"/>
    <w:rsid w:val="000F163B"/>
    <w:rsid w:val="000F2C39"/>
    <w:rsid w:val="000F500B"/>
    <w:rsid w:val="000F5DDC"/>
    <w:rsid w:val="0010194D"/>
    <w:rsid w:val="001076E2"/>
    <w:rsid w:val="00120248"/>
    <w:rsid w:val="00125436"/>
    <w:rsid w:val="00140F74"/>
    <w:rsid w:val="0015443C"/>
    <w:rsid w:val="00175FA0"/>
    <w:rsid w:val="0017711A"/>
    <w:rsid w:val="0018032A"/>
    <w:rsid w:val="00184B32"/>
    <w:rsid w:val="001929F9"/>
    <w:rsid w:val="001A2CB8"/>
    <w:rsid w:val="001A5948"/>
    <w:rsid w:val="001A71F4"/>
    <w:rsid w:val="001B1CD2"/>
    <w:rsid w:val="001C0DC3"/>
    <w:rsid w:val="001C6697"/>
    <w:rsid w:val="001D6561"/>
    <w:rsid w:val="001D7F6F"/>
    <w:rsid w:val="001E08A7"/>
    <w:rsid w:val="001F2E76"/>
    <w:rsid w:val="001F54D7"/>
    <w:rsid w:val="002053A4"/>
    <w:rsid w:val="00207FA9"/>
    <w:rsid w:val="00213820"/>
    <w:rsid w:val="002218FD"/>
    <w:rsid w:val="002255E3"/>
    <w:rsid w:val="002264FF"/>
    <w:rsid w:val="00227642"/>
    <w:rsid w:val="00251013"/>
    <w:rsid w:val="0025665C"/>
    <w:rsid w:val="002567A0"/>
    <w:rsid w:val="00257156"/>
    <w:rsid w:val="0026293E"/>
    <w:rsid w:val="00267E6A"/>
    <w:rsid w:val="0027230B"/>
    <w:rsid w:val="00282A8C"/>
    <w:rsid w:val="00287233"/>
    <w:rsid w:val="00290A4A"/>
    <w:rsid w:val="002A112F"/>
    <w:rsid w:val="002B6FBA"/>
    <w:rsid w:val="002C4C7E"/>
    <w:rsid w:val="002C5392"/>
    <w:rsid w:val="002D6051"/>
    <w:rsid w:val="00312F25"/>
    <w:rsid w:val="003174D9"/>
    <w:rsid w:val="00321AC2"/>
    <w:rsid w:val="003360C6"/>
    <w:rsid w:val="00337BB2"/>
    <w:rsid w:val="00340FBF"/>
    <w:rsid w:val="0034137F"/>
    <w:rsid w:val="003517AB"/>
    <w:rsid w:val="00354567"/>
    <w:rsid w:val="00357CEB"/>
    <w:rsid w:val="00373815"/>
    <w:rsid w:val="00374C34"/>
    <w:rsid w:val="003773C0"/>
    <w:rsid w:val="0038682E"/>
    <w:rsid w:val="00392225"/>
    <w:rsid w:val="003B37D9"/>
    <w:rsid w:val="003B69CA"/>
    <w:rsid w:val="003C3EEF"/>
    <w:rsid w:val="003D1016"/>
    <w:rsid w:val="003D4F89"/>
    <w:rsid w:val="003D6958"/>
    <w:rsid w:val="003E3515"/>
    <w:rsid w:val="003F0F66"/>
    <w:rsid w:val="003F5147"/>
    <w:rsid w:val="004015F0"/>
    <w:rsid w:val="0041147D"/>
    <w:rsid w:val="00414378"/>
    <w:rsid w:val="004208C4"/>
    <w:rsid w:val="004211C0"/>
    <w:rsid w:val="00426A12"/>
    <w:rsid w:val="004329D1"/>
    <w:rsid w:val="00434902"/>
    <w:rsid w:val="00443C88"/>
    <w:rsid w:val="00444B5E"/>
    <w:rsid w:val="00463C95"/>
    <w:rsid w:val="0046604C"/>
    <w:rsid w:val="00470AB7"/>
    <w:rsid w:val="00473C9B"/>
    <w:rsid w:val="004741A8"/>
    <w:rsid w:val="00481460"/>
    <w:rsid w:val="00487573"/>
    <w:rsid w:val="00490325"/>
    <w:rsid w:val="004924AD"/>
    <w:rsid w:val="00497FB1"/>
    <w:rsid w:val="004A7275"/>
    <w:rsid w:val="004B1413"/>
    <w:rsid w:val="004B2127"/>
    <w:rsid w:val="004B479B"/>
    <w:rsid w:val="004C0853"/>
    <w:rsid w:val="004C2E02"/>
    <w:rsid w:val="004D30C8"/>
    <w:rsid w:val="004D633E"/>
    <w:rsid w:val="004D63C0"/>
    <w:rsid w:val="004E1F31"/>
    <w:rsid w:val="004E3CCA"/>
    <w:rsid w:val="004E49BD"/>
    <w:rsid w:val="004F492C"/>
    <w:rsid w:val="00501293"/>
    <w:rsid w:val="00511F49"/>
    <w:rsid w:val="00516939"/>
    <w:rsid w:val="00516FE2"/>
    <w:rsid w:val="00521866"/>
    <w:rsid w:val="00521E5A"/>
    <w:rsid w:val="00522F4E"/>
    <w:rsid w:val="005346AD"/>
    <w:rsid w:val="00537B41"/>
    <w:rsid w:val="0054080B"/>
    <w:rsid w:val="005439B0"/>
    <w:rsid w:val="0057292B"/>
    <w:rsid w:val="005813CA"/>
    <w:rsid w:val="00583A50"/>
    <w:rsid w:val="00585003"/>
    <w:rsid w:val="005918E4"/>
    <w:rsid w:val="005A6E23"/>
    <w:rsid w:val="005B0CD3"/>
    <w:rsid w:val="005C05BF"/>
    <w:rsid w:val="005C6E3A"/>
    <w:rsid w:val="005E0380"/>
    <w:rsid w:val="005E2159"/>
    <w:rsid w:val="005E2E0B"/>
    <w:rsid w:val="005F4200"/>
    <w:rsid w:val="005F5770"/>
    <w:rsid w:val="0062014A"/>
    <w:rsid w:val="0062523A"/>
    <w:rsid w:val="00626700"/>
    <w:rsid w:val="006304C1"/>
    <w:rsid w:val="0063167B"/>
    <w:rsid w:val="00631A52"/>
    <w:rsid w:val="00634F77"/>
    <w:rsid w:val="0063611F"/>
    <w:rsid w:val="0064390B"/>
    <w:rsid w:val="006501E2"/>
    <w:rsid w:val="00662654"/>
    <w:rsid w:val="00663F5F"/>
    <w:rsid w:val="00671D9A"/>
    <w:rsid w:val="00672DFC"/>
    <w:rsid w:val="006815E9"/>
    <w:rsid w:val="006A0B3B"/>
    <w:rsid w:val="006A237D"/>
    <w:rsid w:val="006B0E5F"/>
    <w:rsid w:val="006B2D47"/>
    <w:rsid w:val="006B3455"/>
    <w:rsid w:val="006C0283"/>
    <w:rsid w:val="006C2B3E"/>
    <w:rsid w:val="006C4F78"/>
    <w:rsid w:val="006C50C8"/>
    <w:rsid w:val="006D53F3"/>
    <w:rsid w:val="006E389D"/>
    <w:rsid w:val="006E467E"/>
    <w:rsid w:val="006E64EF"/>
    <w:rsid w:val="00711D8E"/>
    <w:rsid w:val="0071738A"/>
    <w:rsid w:val="00727132"/>
    <w:rsid w:val="007375E6"/>
    <w:rsid w:val="00742CB2"/>
    <w:rsid w:val="00751055"/>
    <w:rsid w:val="0075562B"/>
    <w:rsid w:val="0075641A"/>
    <w:rsid w:val="00764AA3"/>
    <w:rsid w:val="00765C9A"/>
    <w:rsid w:val="00765EBD"/>
    <w:rsid w:val="00770253"/>
    <w:rsid w:val="00793B14"/>
    <w:rsid w:val="00797B38"/>
    <w:rsid w:val="007A236A"/>
    <w:rsid w:val="007B7188"/>
    <w:rsid w:val="007C2810"/>
    <w:rsid w:val="007C475F"/>
    <w:rsid w:val="007C4C5C"/>
    <w:rsid w:val="007C71D6"/>
    <w:rsid w:val="007D1774"/>
    <w:rsid w:val="007F15C7"/>
    <w:rsid w:val="007F3281"/>
    <w:rsid w:val="008051EA"/>
    <w:rsid w:val="00805391"/>
    <w:rsid w:val="008134D6"/>
    <w:rsid w:val="00815478"/>
    <w:rsid w:val="00816772"/>
    <w:rsid w:val="0083012D"/>
    <w:rsid w:val="00832F63"/>
    <w:rsid w:val="00845045"/>
    <w:rsid w:val="00850DD9"/>
    <w:rsid w:val="00852C90"/>
    <w:rsid w:val="0085390C"/>
    <w:rsid w:val="008668D3"/>
    <w:rsid w:val="00875EB9"/>
    <w:rsid w:val="008803B3"/>
    <w:rsid w:val="00883294"/>
    <w:rsid w:val="0089565F"/>
    <w:rsid w:val="00895DCA"/>
    <w:rsid w:val="008A13AF"/>
    <w:rsid w:val="008B7972"/>
    <w:rsid w:val="008C082D"/>
    <w:rsid w:val="008C4A7D"/>
    <w:rsid w:val="008C4F12"/>
    <w:rsid w:val="008D5D0C"/>
    <w:rsid w:val="008E27F4"/>
    <w:rsid w:val="009044E8"/>
    <w:rsid w:val="00906E21"/>
    <w:rsid w:val="0091304B"/>
    <w:rsid w:val="009248E7"/>
    <w:rsid w:val="0092735E"/>
    <w:rsid w:val="0092746E"/>
    <w:rsid w:val="009464EC"/>
    <w:rsid w:val="00961B27"/>
    <w:rsid w:val="009739D1"/>
    <w:rsid w:val="00981E2B"/>
    <w:rsid w:val="00984A85"/>
    <w:rsid w:val="009862BB"/>
    <w:rsid w:val="009916F3"/>
    <w:rsid w:val="00994A56"/>
    <w:rsid w:val="009B126E"/>
    <w:rsid w:val="009B3EA7"/>
    <w:rsid w:val="009C54F6"/>
    <w:rsid w:val="009C6923"/>
    <w:rsid w:val="009C6A45"/>
    <w:rsid w:val="009D0442"/>
    <w:rsid w:val="009E141D"/>
    <w:rsid w:val="009E1874"/>
    <w:rsid w:val="009F1BD9"/>
    <w:rsid w:val="009F40EB"/>
    <w:rsid w:val="00A05711"/>
    <w:rsid w:val="00A06679"/>
    <w:rsid w:val="00A12AD6"/>
    <w:rsid w:val="00A14E7F"/>
    <w:rsid w:val="00A224D9"/>
    <w:rsid w:val="00A25B0B"/>
    <w:rsid w:val="00A25F20"/>
    <w:rsid w:val="00A326A8"/>
    <w:rsid w:val="00A36A13"/>
    <w:rsid w:val="00A464CC"/>
    <w:rsid w:val="00A57B51"/>
    <w:rsid w:val="00A60A99"/>
    <w:rsid w:val="00A61CE0"/>
    <w:rsid w:val="00A6252A"/>
    <w:rsid w:val="00A628F1"/>
    <w:rsid w:val="00A66F38"/>
    <w:rsid w:val="00A84D56"/>
    <w:rsid w:val="00A932D1"/>
    <w:rsid w:val="00A94D81"/>
    <w:rsid w:val="00AA49E1"/>
    <w:rsid w:val="00AA713C"/>
    <w:rsid w:val="00AB3899"/>
    <w:rsid w:val="00AC40B2"/>
    <w:rsid w:val="00AD0EF8"/>
    <w:rsid w:val="00AD4180"/>
    <w:rsid w:val="00AD42FB"/>
    <w:rsid w:val="00AD58F8"/>
    <w:rsid w:val="00AD7B44"/>
    <w:rsid w:val="00AE04B5"/>
    <w:rsid w:val="00AE6298"/>
    <w:rsid w:val="00B036D2"/>
    <w:rsid w:val="00B05E04"/>
    <w:rsid w:val="00B07B38"/>
    <w:rsid w:val="00B14574"/>
    <w:rsid w:val="00B162D7"/>
    <w:rsid w:val="00B27628"/>
    <w:rsid w:val="00B27B4C"/>
    <w:rsid w:val="00B37ACE"/>
    <w:rsid w:val="00B43748"/>
    <w:rsid w:val="00B457A3"/>
    <w:rsid w:val="00B62100"/>
    <w:rsid w:val="00B7702B"/>
    <w:rsid w:val="00B901D5"/>
    <w:rsid w:val="00B93612"/>
    <w:rsid w:val="00BA3E37"/>
    <w:rsid w:val="00BB08E5"/>
    <w:rsid w:val="00BB0F50"/>
    <w:rsid w:val="00BB45CC"/>
    <w:rsid w:val="00BB4789"/>
    <w:rsid w:val="00BB7DA0"/>
    <w:rsid w:val="00BD145E"/>
    <w:rsid w:val="00BD3042"/>
    <w:rsid w:val="00BD3E63"/>
    <w:rsid w:val="00BD681D"/>
    <w:rsid w:val="00BF3C15"/>
    <w:rsid w:val="00BF73AA"/>
    <w:rsid w:val="00C007FF"/>
    <w:rsid w:val="00C07685"/>
    <w:rsid w:val="00C10A32"/>
    <w:rsid w:val="00C1179B"/>
    <w:rsid w:val="00C17635"/>
    <w:rsid w:val="00C32EAC"/>
    <w:rsid w:val="00C36978"/>
    <w:rsid w:val="00C4069F"/>
    <w:rsid w:val="00C4368F"/>
    <w:rsid w:val="00C447E7"/>
    <w:rsid w:val="00C45C68"/>
    <w:rsid w:val="00C652F1"/>
    <w:rsid w:val="00C9089D"/>
    <w:rsid w:val="00C95A9F"/>
    <w:rsid w:val="00CA22D2"/>
    <w:rsid w:val="00CA286C"/>
    <w:rsid w:val="00CA4C18"/>
    <w:rsid w:val="00CA5019"/>
    <w:rsid w:val="00CB1E25"/>
    <w:rsid w:val="00CC269E"/>
    <w:rsid w:val="00CC26AE"/>
    <w:rsid w:val="00CC5879"/>
    <w:rsid w:val="00CD0A72"/>
    <w:rsid w:val="00CD6E28"/>
    <w:rsid w:val="00CE6C01"/>
    <w:rsid w:val="00D06B4C"/>
    <w:rsid w:val="00D16744"/>
    <w:rsid w:val="00D208FE"/>
    <w:rsid w:val="00D3268E"/>
    <w:rsid w:val="00D35ADF"/>
    <w:rsid w:val="00D454F3"/>
    <w:rsid w:val="00D54F12"/>
    <w:rsid w:val="00D57539"/>
    <w:rsid w:val="00D71A4C"/>
    <w:rsid w:val="00D77322"/>
    <w:rsid w:val="00D95143"/>
    <w:rsid w:val="00D97A72"/>
    <w:rsid w:val="00DA2EEB"/>
    <w:rsid w:val="00DA3AB4"/>
    <w:rsid w:val="00DA7D28"/>
    <w:rsid w:val="00DB1F6E"/>
    <w:rsid w:val="00DC5790"/>
    <w:rsid w:val="00DD0261"/>
    <w:rsid w:val="00DD1407"/>
    <w:rsid w:val="00DD36AA"/>
    <w:rsid w:val="00DF55BB"/>
    <w:rsid w:val="00E014D9"/>
    <w:rsid w:val="00E224F0"/>
    <w:rsid w:val="00E31012"/>
    <w:rsid w:val="00E32492"/>
    <w:rsid w:val="00E355FF"/>
    <w:rsid w:val="00E56E87"/>
    <w:rsid w:val="00E61C1D"/>
    <w:rsid w:val="00E7443C"/>
    <w:rsid w:val="00E76391"/>
    <w:rsid w:val="00E77960"/>
    <w:rsid w:val="00E77979"/>
    <w:rsid w:val="00E825F5"/>
    <w:rsid w:val="00E83AAD"/>
    <w:rsid w:val="00E83C1F"/>
    <w:rsid w:val="00E866DE"/>
    <w:rsid w:val="00E86E2A"/>
    <w:rsid w:val="00E90CD9"/>
    <w:rsid w:val="00EB4FB8"/>
    <w:rsid w:val="00EC5B11"/>
    <w:rsid w:val="00EE4F0E"/>
    <w:rsid w:val="00EF174B"/>
    <w:rsid w:val="00EF3B33"/>
    <w:rsid w:val="00EF73E8"/>
    <w:rsid w:val="00F019E8"/>
    <w:rsid w:val="00F01E49"/>
    <w:rsid w:val="00F020DD"/>
    <w:rsid w:val="00F02533"/>
    <w:rsid w:val="00F1215C"/>
    <w:rsid w:val="00F257C8"/>
    <w:rsid w:val="00F315BD"/>
    <w:rsid w:val="00F33C9B"/>
    <w:rsid w:val="00F35AA6"/>
    <w:rsid w:val="00F4375A"/>
    <w:rsid w:val="00F546BD"/>
    <w:rsid w:val="00F55C70"/>
    <w:rsid w:val="00F8194D"/>
    <w:rsid w:val="00F93D07"/>
    <w:rsid w:val="00FA484A"/>
    <w:rsid w:val="00FB3F0C"/>
    <w:rsid w:val="00FB5E05"/>
    <w:rsid w:val="00FC309C"/>
    <w:rsid w:val="00FD39D3"/>
    <w:rsid w:val="00FF6F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8B47"/>
  <w15:chartTrackingRefBased/>
  <w15:docId w15:val="{EBECCFEE-7BC1-492A-8603-DE4E94F4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F20"/>
    <w:pPr>
      <w:spacing w:after="200" w:line="276" w:lineRule="auto"/>
      <w:jc w:val="both"/>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67E6A"/>
    <w:pPr>
      <w:tabs>
        <w:tab w:val="center" w:pos="4419"/>
        <w:tab w:val="right" w:pos="8838"/>
      </w:tabs>
    </w:pPr>
  </w:style>
  <w:style w:type="character" w:customStyle="1" w:styleId="PiedepginaCar">
    <w:name w:val="Pie de página Car"/>
    <w:basedOn w:val="Fuentedeprrafopredeter"/>
    <w:link w:val="Piedepgina"/>
    <w:uiPriority w:val="99"/>
    <w:rsid w:val="00267E6A"/>
    <w:rPr>
      <w:sz w:val="24"/>
      <w:lang w:val="es-MX"/>
    </w:rPr>
  </w:style>
  <w:style w:type="paragraph" w:styleId="Encabezado">
    <w:name w:val="header"/>
    <w:basedOn w:val="Normal"/>
    <w:link w:val="EncabezadoCar"/>
    <w:uiPriority w:val="99"/>
    <w:unhideWhenUsed/>
    <w:rsid w:val="00267E6A"/>
    <w:pPr>
      <w:tabs>
        <w:tab w:val="center" w:pos="4252"/>
        <w:tab w:val="right" w:pos="8504"/>
      </w:tabs>
    </w:pPr>
  </w:style>
  <w:style w:type="character" w:customStyle="1" w:styleId="EncabezadoCar">
    <w:name w:val="Encabezado Car"/>
    <w:basedOn w:val="Fuentedeprrafopredeter"/>
    <w:link w:val="Encabezado"/>
    <w:uiPriority w:val="99"/>
    <w:rsid w:val="00267E6A"/>
    <w:rPr>
      <w:sz w:val="24"/>
      <w:lang w:val="es-MX"/>
    </w:rPr>
  </w:style>
  <w:style w:type="table" w:styleId="Tablaconcuadrcula">
    <w:name w:val="Table Grid"/>
    <w:basedOn w:val="Tablanormal"/>
    <w:uiPriority w:val="59"/>
    <w:qFormat/>
    <w:rsid w:val="00267E6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267E6A"/>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267E6A"/>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67E6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267E6A"/>
    <w:rPr>
      <w:sz w:val="20"/>
      <w:szCs w:val="20"/>
    </w:rPr>
  </w:style>
  <w:style w:type="character" w:customStyle="1" w:styleId="TextonotapieCar1">
    <w:name w:val="Texto nota pie Car1"/>
    <w:basedOn w:val="Fuentedeprrafopredeter"/>
    <w:uiPriority w:val="99"/>
    <w:semiHidden/>
    <w:rsid w:val="00267E6A"/>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267E6A"/>
    <w:rPr>
      <w:vertAlign w:val="superscript"/>
    </w:rPr>
  </w:style>
  <w:style w:type="paragraph" w:customStyle="1" w:styleId="Appelnotedebasde">
    <w:name w:val="Appel note de bas de..."/>
    <w:basedOn w:val="Normal"/>
    <w:link w:val="Refdenotaalpie"/>
    <w:uiPriority w:val="99"/>
    <w:rsid w:val="00267E6A"/>
    <w:pPr>
      <w:spacing w:after="160" w:line="240" w:lineRule="exact"/>
    </w:pPr>
    <w:rPr>
      <w:sz w:val="22"/>
      <w:vertAlign w:val="superscript"/>
      <w:lang w:val="es-CO"/>
    </w:rPr>
  </w:style>
  <w:style w:type="character" w:customStyle="1" w:styleId="NormalWebCar">
    <w:name w:val="Normal (Web) Car"/>
    <w:link w:val="NormalWeb"/>
    <w:uiPriority w:val="99"/>
    <w:locked/>
    <w:rsid w:val="00267E6A"/>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267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267E6A"/>
    <w:pPr>
      <w:spacing w:after="0" w:line="240" w:lineRule="auto"/>
      <w:ind w:left="720"/>
      <w:contextualSpacing/>
      <w:jc w:val="left"/>
    </w:pPr>
    <w:rPr>
      <w:szCs w:val="24"/>
      <w:lang w:val="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67E6A"/>
    <w:rPr>
      <w:sz w:val="24"/>
      <w:szCs w:val="24"/>
    </w:rPr>
  </w:style>
  <w:style w:type="character" w:customStyle="1" w:styleId="normaltextrun">
    <w:name w:val="normaltextrun"/>
    <w:basedOn w:val="Fuentedeprrafopredeter"/>
    <w:rsid w:val="00BF3C15"/>
  </w:style>
  <w:style w:type="character" w:customStyle="1" w:styleId="eop">
    <w:name w:val="eop"/>
    <w:basedOn w:val="Fuentedeprrafopredeter"/>
    <w:rsid w:val="00BF3C15"/>
  </w:style>
  <w:style w:type="character" w:customStyle="1" w:styleId="findhit">
    <w:name w:val="findhit"/>
    <w:basedOn w:val="Fuentedeprrafopredeter"/>
    <w:rsid w:val="00671D9A"/>
  </w:style>
  <w:style w:type="paragraph" w:customStyle="1" w:styleId="paragraph">
    <w:name w:val="paragraph"/>
    <w:basedOn w:val="Normal"/>
    <w:rsid w:val="00F93D07"/>
    <w:pPr>
      <w:spacing w:before="100" w:beforeAutospacing="1" w:after="100" w:afterAutospacing="1" w:line="240" w:lineRule="auto"/>
      <w:jc w:val="left"/>
    </w:pPr>
    <w:rPr>
      <w:rFonts w:ascii="Times New Roman" w:eastAsia="Times New Roman" w:hAnsi="Times New Roman" w:cs="Times New Roman"/>
      <w:szCs w:val="24"/>
      <w:lang w:val="es-CO" w:eastAsia="es-CO"/>
    </w:rPr>
  </w:style>
  <w:style w:type="character" w:styleId="Hipervnculo">
    <w:name w:val="Hyperlink"/>
    <w:basedOn w:val="Fuentedeprrafopredeter"/>
    <w:uiPriority w:val="99"/>
    <w:unhideWhenUsed/>
    <w:rsid w:val="00B93612"/>
    <w:rPr>
      <w:color w:val="0563C1" w:themeColor="hyperlink"/>
      <w:u w:val="single"/>
    </w:rPr>
  </w:style>
  <w:style w:type="character" w:styleId="Mencinsinresolver">
    <w:name w:val="Unresolved Mention"/>
    <w:basedOn w:val="Fuentedeprrafopredeter"/>
    <w:uiPriority w:val="99"/>
    <w:semiHidden/>
    <w:unhideWhenUsed/>
    <w:rsid w:val="00B93612"/>
    <w:rPr>
      <w:color w:val="605E5C"/>
      <w:shd w:val="clear" w:color="auto" w:fill="E1DFDD"/>
    </w:rPr>
  </w:style>
  <w:style w:type="table" w:customStyle="1" w:styleId="Tablaconcuadrcula11">
    <w:name w:val="Tabla con cuadrícula11"/>
    <w:basedOn w:val="Tablanormal"/>
    <w:next w:val="Tablaconcuadrcula"/>
    <w:uiPriority w:val="39"/>
    <w:rsid w:val="00444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73903">
      <w:bodyDiv w:val="1"/>
      <w:marLeft w:val="0"/>
      <w:marRight w:val="0"/>
      <w:marTop w:val="0"/>
      <w:marBottom w:val="0"/>
      <w:divBdr>
        <w:top w:val="none" w:sz="0" w:space="0" w:color="auto"/>
        <w:left w:val="none" w:sz="0" w:space="0" w:color="auto"/>
        <w:bottom w:val="none" w:sz="0" w:space="0" w:color="auto"/>
        <w:right w:val="none" w:sz="0" w:space="0" w:color="auto"/>
      </w:divBdr>
      <w:divsChild>
        <w:div w:id="1477333180">
          <w:marLeft w:val="0"/>
          <w:marRight w:val="0"/>
          <w:marTop w:val="0"/>
          <w:marBottom w:val="0"/>
          <w:divBdr>
            <w:top w:val="none" w:sz="0" w:space="0" w:color="auto"/>
            <w:left w:val="none" w:sz="0" w:space="0" w:color="auto"/>
            <w:bottom w:val="none" w:sz="0" w:space="0" w:color="auto"/>
            <w:right w:val="none" w:sz="0" w:space="0" w:color="auto"/>
          </w:divBdr>
        </w:div>
        <w:div w:id="1654749005">
          <w:marLeft w:val="0"/>
          <w:marRight w:val="0"/>
          <w:marTop w:val="0"/>
          <w:marBottom w:val="0"/>
          <w:divBdr>
            <w:top w:val="none" w:sz="0" w:space="0" w:color="auto"/>
            <w:left w:val="none" w:sz="0" w:space="0" w:color="auto"/>
            <w:bottom w:val="none" w:sz="0" w:space="0" w:color="auto"/>
            <w:right w:val="none" w:sz="0" w:space="0" w:color="auto"/>
          </w:divBdr>
        </w:div>
        <w:div w:id="1720007317">
          <w:marLeft w:val="0"/>
          <w:marRight w:val="0"/>
          <w:marTop w:val="0"/>
          <w:marBottom w:val="0"/>
          <w:divBdr>
            <w:top w:val="none" w:sz="0" w:space="0" w:color="auto"/>
            <w:left w:val="none" w:sz="0" w:space="0" w:color="auto"/>
            <w:bottom w:val="none" w:sz="0" w:space="0" w:color="auto"/>
            <w:right w:val="none" w:sz="0" w:space="0" w:color="auto"/>
          </w:divBdr>
        </w:div>
        <w:div w:id="147596637">
          <w:marLeft w:val="0"/>
          <w:marRight w:val="0"/>
          <w:marTop w:val="0"/>
          <w:marBottom w:val="0"/>
          <w:divBdr>
            <w:top w:val="none" w:sz="0" w:space="0" w:color="auto"/>
            <w:left w:val="none" w:sz="0" w:space="0" w:color="auto"/>
            <w:bottom w:val="none" w:sz="0" w:space="0" w:color="auto"/>
            <w:right w:val="none" w:sz="0" w:space="0" w:color="auto"/>
          </w:divBdr>
        </w:div>
        <w:div w:id="1960450595">
          <w:marLeft w:val="0"/>
          <w:marRight w:val="0"/>
          <w:marTop w:val="0"/>
          <w:marBottom w:val="0"/>
          <w:divBdr>
            <w:top w:val="none" w:sz="0" w:space="0" w:color="auto"/>
            <w:left w:val="none" w:sz="0" w:space="0" w:color="auto"/>
            <w:bottom w:val="none" w:sz="0" w:space="0" w:color="auto"/>
            <w:right w:val="none" w:sz="0" w:space="0" w:color="auto"/>
          </w:divBdr>
        </w:div>
      </w:divsChild>
    </w:div>
    <w:div w:id="1284339830">
      <w:bodyDiv w:val="1"/>
      <w:marLeft w:val="0"/>
      <w:marRight w:val="0"/>
      <w:marTop w:val="0"/>
      <w:marBottom w:val="0"/>
      <w:divBdr>
        <w:top w:val="none" w:sz="0" w:space="0" w:color="auto"/>
        <w:left w:val="none" w:sz="0" w:space="0" w:color="auto"/>
        <w:bottom w:val="none" w:sz="0" w:space="0" w:color="auto"/>
        <w:right w:val="none" w:sz="0" w:space="0" w:color="auto"/>
      </w:divBdr>
      <w:divsChild>
        <w:div w:id="639070619">
          <w:marLeft w:val="0"/>
          <w:marRight w:val="0"/>
          <w:marTop w:val="0"/>
          <w:marBottom w:val="0"/>
          <w:divBdr>
            <w:top w:val="none" w:sz="0" w:space="0" w:color="auto"/>
            <w:left w:val="none" w:sz="0" w:space="0" w:color="auto"/>
            <w:bottom w:val="none" w:sz="0" w:space="0" w:color="auto"/>
            <w:right w:val="none" w:sz="0" w:space="0" w:color="auto"/>
          </w:divBdr>
        </w:div>
        <w:div w:id="1868987624">
          <w:marLeft w:val="0"/>
          <w:marRight w:val="0"/>
          <w:marTop w:val="0"/>
          <w:marBottom w:val="0"/>
          <w:divBdr>
            <w:top w:val="none" w:sz="0" w:space="0" w:color="auto"/>
            <w:left w:val="none" w:sz="0" w:space="0" w:color="auto"/>
            <w:bottom w:val="none" w:sz="0" w:space="0" w:color="auto"/>
            <w:right w:val="none" w:sz="0" w:space="0" w:color="auto"/>
          </w:divBdr>
        </w:div>
        <w:div w:id="200481481">
          <w:marLeft w:val="0"/>
          <w:marRight w:val="0"/>
          <w:marTop w:val="0"/>
          <w:marBottom w:val="0"/>
          <w:divBdr>
            <w:top w:val="none" w:sz="0" w:space="0" w:color="auto"/>
            <w:left w:val="none" w:sz="0" w:space="0" w:color="auto"/>
            <w:bottom w:val="none" w:sz="0" w:space="0" w:color="auto"/>
            <w:right w:val="none" w:sz="0" w:space="0" w:color="auto"/>
          </w:divBdr>
        </w:div>
        <w:div w:id="283730598">
          <w:marLeft w:val="0"/>
          <w:marRight w:val="0"/>
          <w:marTop w:val="0"/>
          <w:marBottom w:val="0"/>
          <w:divBdr>
            <w:top w:val="none" w:sz="0" w:space="0" w:color="auto"/>
            <w:left w:val="none" w:sz="0" w:space="0" w:color="auto"/>
            <w:bottom w:val="none" w:sz="0" w:space="0" w:color="auto"/>
            <w:right w:val="none" w:sz="0" w:space="0" w:color="auto"/>
          </w:divBdr>
        </w:div>
        <w:div w:id="841239889">
          <w:marLeft w:val="0"/>
          <w:marRight w:val="0"/>
          <w:marTop w:val="0"/>
          <w:marBottom w:val="0"/>
          <w:divBdr>
            <w:top w:val="none" w:sz="0" w:space="0" w:color="auto"/>
            <w:left w:val="none" w:sz="0" w:space="0" w:color="auto"/>
            <w:bottom w:val="none" w:sz="0" w:space="0" w:color="auto"/>
            <w:right w:val="none" w:sz="0" w:space="0" w:color="auto"/>
          </w:divBdr>
        </w:div>
        <w:div w:id="798959174">
          <w:marLeft w:val="0"/>
          <w:marRight w:val="0"/>
          <w:marTop w:val="0"/>
          <w:marBottom w:val="0"/>
          <w:divBdr>
            <w:top w:val="none" w:sz="0" w:space="0" w:color="auto"/>
            <w:left w:val="none" w:sz="0" w:space="0" w:color="auto"/>
            <w:bottom w:val="none" w:sz="0" w:space="0" w:color="auto"/>
            <w:right w:val="none" w:sz="0" w:space="0" w:color="auto"/>
          </w:divBdr>
        </w:div>
      </w:divsChild>
    </w:div>
    <w:div w:id="1352219802">
      <w:bodyDiv w:val="1"/>
      <w:marLeft w:val="0"/>
      <w:marRight w:val="0"/>
      <w:marTop w:val="0"/>
      <w:marBottom w:val="0"/>
      <w:divBdr>
        <w:top w:val="none" w:sz="0" w:space="0" w:color="auto"/>
        <w:left w:val="none" w:sz="0" w:space="0" w:color="auto"/>
        <w:bottom w:val="none" w:sz="0" w:space="0" w:color="auto"/>
        <w:right w:val="none" w:sz="0" w:space="0" w:color="auto"/>
      </w:divBdr>
      <w:divsChild>
        <w:div w:id="1027831022">
          <w:marLeft w:val="0"/>
          <w:marRight w:val="0"/>
          <w:marTop w:val="0"/>
          <w:marBottom w:val="0"/>
          <w:divBdr>
            <w:top w:val="none" w:sz="0" w:space="0" w:color="auto"/>
            <w:left w:val="none" w:sz="0" w:space="0" w:color="auto"/>
            <w:bottom w:val="none" w:sz="0" w:space="0" w:color="auto"/>
            <w:right w:val="none" w:sz="0" w:space="0" w:color="auto"/>
          </w:divBdr>
          <w:divsChild>
            <w:div w:id="2106612240">
              <w:marLeft w:val="0"/>
              <w:marRight w:val="0"/>
              <w:marTop w:val="0"/>
              <w:marBottom w:val="0"/>
              <w:divBdr>
                <w:top w:val="none" w:sz="0" w:space="0" w:color="auto"/>
                <w:left w:val="none" w:sz="0" w:space="0" w:color="auto"/>
                <w:bottom w:val="none" w:sz="0" w:space="0" w:color="auto"/>
                <w:right w:val="none" w:sz="0" w:space="0" w:color="auto"/>
              </w:divBdr>
            </w:div>
          </w:divsChild>
        </w:div>
        <w:div w:id="283780959">
          <w:marLeft w:val="0"/>
          <w:marRight w:val="0"/>
          <w:marTop w:val="0"/>
          <w:marBottom w:val="0"/>
          <w:divBdr>
            <w:top w:val="none" w:sz="0" w:space="0" w:color="auto"/>
            <w:left w:val="none" w:sz="0" w:space="0" w:color="auto"/>
            <w:bottom w:val="none" w:sz="0" w:space="0" w:color="auto"/>
            <w:right w:val="none" w:sz="0" w:space="0" w:color="auto"/>
          </w:divBdr>
          <w:divsChild>
            <w:div w:id="124278673">
              <w:marLeft w:val="0"/>
              <w:marRight w:val="0"/>
              <w:marTop w:val="0"/>
              <w:marBottom w:val="0"/>
              <w:divBdr>
                <w:top w:val="none" w:sz="0" w:space="0" w:color="auto"/>
                <w:left w:val="none" w:sz="0" w:space="0" w:color="auto"/>
                <w:bottom w:val="none" w:sz="0" w:space="0" w:color="auto"/>
                <w:right w:val="none" w:sz="0" w:space="0" w:color="auto"/>
              </w:divBdr>
            </w:div>
            <w:div w:id="112602656">
              <w:marLeft w:val="0"/>
              <w:marRight w:val="0"/>
              <w:marTop w:val="0"/>
              <w:marBottom w:val="0"/>
              <w:divBdr>
                <w:top w:val="none" w:sz="0" w:space="0" w:color="auto"/>
                <w:left w:val="none" w:sz="0" w:space="0" w:color="auto"/>
                <w:bottom w:val="none" w:sz="0" w:space="0" w:color="auto"/>
                <w:right w:val="none" w:sz="0" w:space="0" w:color="auto"/>
              </w:divBdr>
            </w:div>
          </w:divsChild>
        </w:div>
        <w:div w:id="655426271">
          <w:marLeft w:val="0"/>
          <w:marRight w:val="0"/>
          <w:marTop w:val="0"/>
          <w:marBottom w:val="0"/>
          <w:divBdr>
            <w:top w:val="none" w:sz="0" w:space="0" w:color="auto"/>
            <w:left w:val="none" w:sz="0" w:space="0" w:color="auto"/>
            <w:bottom w:val="none" w:sz="0" w:space="0" w:color="auto"/>
            <w:right w:val="none" w:sz="0" w:space="0" w:color="auto"/>
          </w:divBdr>
          <w:divsChild>
            <w:div w:id="2036689395">
              <w:marLeft w:val="0"/>
              <w:marRight w:val="0"/>
              <w:marTop w:val="0"/>
              <w:marBottom w:val="0"/>
              <w:divBdr>
                <w:top w:val="none" w:sz="0" w:space="0" w:color="auto"/>
                <w:left w:val="none" w:sz="0" w:space="0" w:color="auto"/>
                <w:bottom w:val="none" w:sz="0" w:space="0" w:color="auto"/>
                <w:right w:val="none" w:sz="0" w:space="0" w:color="auto"/>
              </w:divBdr>
            </w:div>
          </w:divsChild>
        </w:div>
        <w:div w:id="1309699867">
          <w:marLeft w:val="0"/>
          <w:marRight w:val="0"/>
          <w:marTop w:val="0"/>
          <w:marBottom w:val="0"/>
          <w:divBdr>
            <w:top w:val="none" w:sz="0" w:space="0" w:color="auto"/>
            <w:left w:val="none" w:sz="0" w:space="0" w:color="auto"/>
            <w:bottom w:val="none" w:sz="0" w:space="0" w:color="auto"/>
            <w:right w:val="none" w:sz="0" w:space="0" w:color="auto"/>
          </w:divBdr>
          <w:divsChild>
            <w:div w:id="515191008">
              <w:marLeft w:val="0"/>
              <w:marRight w:val="0"/>
              <w:marTop w:val="0"/>
              <w:marBottom w:val="0"/>
              <w:divBdr>
                <w:top w:val="none" w:sz="0" w:space="0" w:color="auto"/>
                <w:left w:val="none" w:sz="0" w:space="0" w:color="auto"/>
                <w:bottom w:val="none" w:sz="0" w:space="0" w:color="auto"/>
                <w:right w:val="none" w:sz="0" w:space="0" w:color="auto"/>
              </w:divBdr>
            </w:div>
            <w:div w:id="99691008">
              <w:marLeft w:val="0"/>
              <w:marRight w:val="0"/>
              <w:marTop w:val="0"/>
              <w:marBottom w:val="0"/>
              <w:divBdr>
                <w:top w:val="none" w:sz="0" w:space="0" w:color="auto"/>
                <w:left w:val="none" w:sz="0" w:space="0" w:color="auto"/>
                <w:bottom w:val="none" w:sz="0" w:space="0" w:color="auto"/>
                <w:right w:val="none" w:sz="0" w:space="0" w:color="auto"/>
              </w:divBdr>
            </w:div>
          </w:divsChild>
        </w:div>
        <w:div w:id="2020158880">
          <w:marLeft w:val="0"/>
          <w:marRight w:val="0"/>
          <w:marTop w:val="0"/>
          <w:marBottom w:val="0"/>
          <w:divBdr>
            <w:top w:val="none" w:sz="0" w:space="0" w:color="auto"/>
            <w:left w:val="none" w:sz="0" w:space="0" w:color="auto"/>
            <w:bottom w:val="none" w:sz="0" w:space="0" w:color="auto"/>
            <w:right w:val="none" w:sz="0" w:space="0" w:color="auto"/>
          </w:divBdr>
          <w:divsChild>
            <w:div w:id="245266293">
              <w:marLeft w:val="0"/>
              <w:marRight w:val="0"/>
              <w:marTop w:val="0"/>
              <w:marBottom w:val="0"/>
              <w:divBdr>
                <w:top w:val="none" w:sz="0" w:space="0" w:color="auto"/>
                <w:left w:val="none" w:sz="0" w:space="0" w:color="auto"/>
                <w:bottom w:val="none" w:sz="0" w:space="0" w:color="auto"/>
                <w:right w:val="none" w:sz="0" w:space="0" w:color="auto"/>
              </w:divBdr>
            </w:div>
          </w:divsChild>
        </w:div>
        <w:div w:id="1628005867">
          <w:marLeft w:val="0"/>
          <w:marRight w:val="0"/>
          <w:marTop w:val="0"/>
          <w:marBottom w:val="0"/>
          <w:divBdr>
            <w:top w:val="none" w:sz="0" w:space="0" w:color="auto"/>
            <w:left w:val="none" w:sz="0" w:space="0" w:color="auto"/>
            <w:bottom w:val="none" w:sz="0" w:space="0" w:color="auto"/>
            <w:right w:val="none" w:sz="0" w:space="0" w:color="auto"/>
          </w:divBdr>
          <w:divsChild>
            <w:div w:id="1891335360">
              <w:marLeft w:val="0"/>
              <w:marRight w:val="0"/>
              <w:marTop w:val="0"/>
              <w:marBottom w:val="0"/>
              <w:divBdr>
                <w:top w:val="none" w:sz="0" w:space="0" w:color="auto"/>
                <w:left w:val="none" w:sz="0" w:space="0" w:color="auto"/>
                <w:bottom w:val="none" w:sz="0" w:space="0" w:color="auto"/>
                <w:right w:val="none" w:sz="0" w:space="0" w:color="auto"/>
              </w:divBdr>
            </w:div>
            <w:div w:id="2202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macho12@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relatoria.colombiacompra.gov.co/busqueda/conceptos"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80733-8DC8-43F0-B959-6EED4D795D45}">
  <ds:schemaRefs>
    <ds:schemaRef ds:uri="http://purl.org/dc/elements/1.1/"/>
    <ds:schemaRef ds:uri="http://purl.org/dc/dcmitype/"/>
    <ds:schemaRef ds:uri="http://purl.org/dc/terms/"/>
    <ds:schemaRef ds:uri="http://www.w3.org/XML/1998/namespace"/>
    <ds:schemaRef ds:uri="9d85dbaf-23eb-4e57-a637-93dcacc8b1a1"/>
    <ds:schemaRef ds:uri="a6cb9e4b-f1d1-4245-83ec-6cad768d538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B36A70F-DE3A-4FAF-9A38-AE5D469AA445}">
  <ds:schemaRefs>
    <ds:schemaRef ds:uri="http://schemas.microsoft.com/sharepoint/v3/contenttype/forms"/>
  </ds:schemaRefs>
</ds:datastoreItem>
</file>

<file path=customXml/itemProps3.xml><?xml version="1.0" encoding="utf-8"?>
<ds:datastoreItem xmlns:ds="http://schemas.openxmlformats.org/officeDocument/2006/customXml" ds:itemID="{43A48D3E-E724-4445-8AB9-0B23DC2C2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EBF0D-5D87-4790-9BCD-DE81DDD4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6042</Words>
  <Characters>33233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Diego German Revelo Bolívar</cp:lastModifiedBy>
  <cp:revision>2</cp:revision>
  <dcterms:created xsi:type="dcterms:W3CDTF">2023-03-21T18:29:00Z</dcterms:created>
  <dcterms:modified xsi:type="dcterms:W3CDTF">2023-03-21T18:29:00Z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