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8BCD6" w14:textId="77777777" w:rsidR="00F40E14" w:rsidRPr="00407AEF" w:rsidRDefault="00F40E14" w:rsidP="00F40E14">
      <w:pPr>
        <w:rPr>
          <w:rFonts w:ascii="Arial" w:eastAsia="Times New Roman" w:hAnsi="Arial" w:cs="Arial"/>
          <w:b/>
          <w:bCs/>
          <w:lang w:val="es-MX" w:eastAsia="es-CO"/>
        </w:rPr>
      </w:pPr>
    </w:p>
    <w:p w14:paraId="1F912587" w14:textId="77777777" w:rsidR="00F40E14" w:rsidRPr="00407AEF" w:rsidRDefault="00F40E14" w:rsidP="00F40E14">
      <w:pPr>
        <w:jc w:val="both"/>
        <w:rPr>
          <w:rFonts w:ascii="Arial" w:eastAsia="Arial" w:hAnsi="Arial" w:cs="Arial"/>
          <w:b/>
          <w:bCs/>
          <w:sz w:val="20"/>
          <w:szCs w:val="20"/>
          <w:lang w:eastAsia="es-CO"/>
        </w:rPr>
      </w:pPr>
      <w:bookmarkStart w:id="0" w:name="_Hlk34951122"/>
      <w:r w:rsidRPr="00407AEF">
        <w:rPr>
          <w:rFonts w:ascii="Arial" w:eastAsia="Arial" w:hAnsi="Arial" w:cs="Arial"/>
          <w:b/>
          <w:bCs/>
          <w:sz w:val="20"/>
          <w:szCs w:val="20"/>
          <w:lang w:eastAsia="es-CO"/>
        </w:rPr>
        <w:t xml:space="preserve">EMPRESAS DE SERVICIOS PÚBLICOS – Naturaleza especial </w:t>
      </w:r>
    </w:p>
    <w:p w14:paraId="1E595FF8" w14:textId="77777777" w:rsidR="00F40E14" w:rsidRPr="00407AEF" w:rsidRDefault="00F40E14" w:rsidP="00F40E14">
      <w:pPr>
        <w:widowControl w:val="0"/>
        <w:ind w:right="107"/>
        <w:jc w:val="both"/>
        <w:rPr>
          <w:rFonts w:ascii="Arial" w:eastAsia="Calibri" w:hAnsi="Arial" w:cs="Arial"/>
          <w:sz w:val="20"/>
          <w:szCs w:val="20"/>
          <w:lang w:eastAsia="es-CO"/>
        </w:rPr>
      </w:pPr>
      <w:r w:rsidRPr="00407AEF">
        <w:rPr>
          <w:rFonts w:ascii="Arial" w:eastAsia="Arial" w:hAnsi="Arial" w:cs="Arial"/>
          <w:sz w:val="20"/>
          <w:szCs w:val="20"/>
          <w:lang w:eastAsia="es-CO"/>
        </w:rPr>
        <w:t>[…] las empresas de servicios públicos tienen una naturaleza jurídica especial que viene dada directamente por el artículo 356 de la Constitución Política. El hecho de que su composición accionaria esté compartida por recursos públicos y privados no la convierte en sociedad de economía mixta, pues las empresas de servicios públicos tienen su clasificación propia dependiendo de la composición de su capital accionario: empresas de servicios públicos oficiales, mixtas y privadas. Ahora, sin importar su clasificación, todas hacen parte de la Rama Ejecutiva, del sector descentralizado por servicios.</w:t>
      </w:r>
      <w:r w:rsidRPr="00407AEF">
        <w:rPr>
          <w:rFonts w:ascii="Arial" w:eastAsia="Calibri" w:hAnsi="Arial" w:cs="Arial"/>
          <w:sz w:val="20"/>
          <w:szCs w:val="20"/>
          <w:lang w:eastAsia="es-CO"/>
        </w:rPr>
        <w:t xml:space="preserve"> </w:t>
      </w:r>
    </w:p>
    <w:p w14:paraId="65C38236" w14:textId="77777777" w:rsidR="00F40E14" w:rsidRPr="00407AEF" w:rsidRDefault="00F40E14" w:rsidP="00F40E14">
      <w:pPr>
        <w:jc w:val="both"/>
        <w:rPr>
          <w:rFonts w:ascii="Arial" w:eastAsia="Calibri" w:hAnsi="Arial" w:cs="Arial"/>
          <w:b/>
          <w:sz w:val="20"/>
          <w:szCs w:val="20"/>
          <w:lang w:val="es-ES_tradnl" w:eastAsia="es-ES_tradnl"/>
        </w:rPr>
      </w:pPr>
      <w:r w:rsidRPr="00407AEF">
        <w:rPr>
          <w:rFonts w:ascii="Arial" w:eastAsia="Calibri" w:hAnsi="Arial" w:cs="Arial"/>
          <w:b/>
          <w:sz w:val="20"/>
          <w:szCs w:val="20"/>
          <w:lang w:val="es-ES_tradnl" w:eastAsia="es-ES_tradnl"/>
        </w:rPr>
        <w:t xml:space="preserve">SERVICIOS PÚBLICOS DOMICILIARIOS </w:t>
      </w:r>
      <w:r w:rsidRPr="00407AEF">
        <w:rPr>
          <w:rFonts w:ascii="Arial" w:eastAsia="Calibri" w:hAnsi="Arial" w:cs="Arial"/>
          <w:b/>
          <w:color w:val="000000" w:themeColor="text1"/>
          <w:sz w:val="20"/>
          <w:szCs w:val="20"/>
          <w:lang w:val="es-ES_tradnl" w:eastAsia="es-ES_tradnl"/>
        </w:rPr>
        <w:t>–</w:t>
      </w:r>
      <w:r w:rsidRPr="00407AEF">
        <w:rPr>
          <w:rFonts w:ascii="Arial" w:eastAsia="Calibri" w:hAnsi="Arial" w:cs="Arial"/>
          <w:b/>
          <w:sz w:val="20"/>
          <w:szCs w:val="20"/>
          <w:lang w:val="es-ES_tradnl" w:eastAsia="es-ES_tradnl"/>
        </w:rPr>
        <w:t xml:space="preserve"> Régimen contractual </w:t>
      </w:r>
      <w:r w:rsidRPr="00407AEF">
        <w:rPr>
          <w:rFonts w:ascii="Arial" w:eastAsia="Calibri" w:hAnsi="Arial" w:cs="Arial"/>
          <w:b/>
          <w:color w:val="000000" w:themeColor="text1"/>
          <w:sz w:val="20"/>
          <w:szCs w:val="20"/>
          <w:lang w:val="es-ES_tradnl" w:eastAsia="es-ES_tradnl"/>
        </w:rPr>
        <w:t xml:space="preserve">– Derecho privado </w:t>
      </w:r>
    </w:p>
    <w:p w14:paraId="186738A5" w14:textId="77777777" w:rsidR="00F40E14" w:rsidRPr="00407AEF" w:rsidRDefault="00F40E14" w:rsidP="00F40E14">
      <w:pPr>
        <w:jc w:val="both"/>
        <w:rPr>
          <w:rFonts w:ascii="Arial" w:eastAsia="Calibri" w:hAnsi="Arial" w:cs="Arial"/>
          <w:sz w:val="20"/>
          <w:szCs w:val="20"/>
          <w:lang w:val="es-ES_tradnl" w:eastAsia="es-ES_tradnl"/>
        </w:rPr>
      </w:pPr>
      <w:r w:rsidRPr="00407AEF">
        <w:rPr>
          <w:rFonts w:ascii="Arial" w:eastAsia="Calibri" w:hAnsi="Arial" w:cs="Arial"/>
          <w:sz w:val="20"/>
          <w:szCs w:val="20"/>
          <w:lang w:val="es-ES_tradnl" w:eastAsia="es-ES_tradnl"/>
        </w:rPr>
        <w:t>El artículo 31 de la Ley 142 de 1994, modificado por el artículo 3 de la Ley 689 de 2001, dispone que</w:t>
      </w:r>
      <w:r w:rsidRPr="00407AEF">
        <w:rPr>
          <w:rFonts w:ascii="Arial" w:eastAsia="Calibri" w:hAnsi="Arial" w:cs="Arial"/>
          <w:sz w:val="20"/>
          <w:szCs w:val="20"/>
          <w:lang w:eastAsia="es-ES_tradnl"/>
        </w:rPr>
        <w:t xml:space="preserve"> los contratos que celebren las entidades estatales que prestan los servicios públicos domiciliarios «no estarán sujetos a las disposiciones del Estatuto General de Contratación de la Administración Pública, salvo en lo que la presente ley disponga otra cosa»</w:t>
      </w:r>
      <w:r w:rsidRPr="00407AEF">
        <w:rPr>
          <w:rFonts w:ascii="Arial" w:eastAsia="Calibri" w:hAnsi="Arial" w:cs="Arial"/>
          <w:sz w:val="20"/>
          <w:szCs w:val="20"/>
          <w:lang w:val="es-ES_tradnl" w:eastAsia="es-ES_tradnl"/>
        </w:rPr>
        <w:t>. Por su parte, el artículo 32 de la Ley 142 consagra el régimen de derecho privado para las empresas de servicios públicos domiciliarios, indicando que, sus actos se rigen por los principios y reglas aplicables a los particulares.</w:t>
      </w:r>
    </w:p>
    <w:p w14:paraId="4AF4E26A" w14:textId="77777777" w:rsidR="00F40E14" w:rsidRPr="00407AEF" w:rsidRDefault="00F40E14" w:rsidP="00F40E14">
      <w:pPr>
        <w:jc w:val="both"/>
        <w:rPr>
          <w:rFonts w:ascii="Arial" w:eastAsia="Calibri" w:hAnsi="Arial" w:cs="Arial"/>
          <w:b/>
          <w:color w:val="000000" w:themeColor="text1"/>
          <w:lang w:val="es-ES_tradnl"/>
        </w:rPr>
      </w:pPr>
      <w:r w:rsidRPr="00407AEF">
        <w:rPr>
          <w:rFonts w:ascii="Arial" w:eastAsia="Calibri" w:hAnsi="Arial" w:cs="Arial"/>
          <w:b/>
          <w:color w:val="000000" w:themeColor="text1"/>
          <w:lang w:val="es-ES_tradnl"/>
        </w:rPr>
        <w:t>ENTIDADES DE RÉGIMEN ESPECIAL – Manual de Contratación – Contenido</w:t>
      </w:r>
    </w:p>
    <w:p w14:paraId="7C0AA092" w14:textId="6E08375E" w:rsidR="00F40E14" w:rsidRPr="00407AEF" w:rsidRDefault="00F40E14" w:rsidP="00F40E14">
      <w:pPr>
        <w:jc w:val="both"/>
        <w:rPr>
          <w:rFonts w:ascii="Arial" w:eastAsia="Calibri" w:hAnsi="Arial" w:cs="Arial"/>
          <w:color w:val="000000" w:themeColor="text1"/>
          <w:sz w:val="20"/>
          <w:szCs w:val="20"/>
          <w:lang w:val="es-ES_tradnl"/>
        </w:rPr>
      </w:pPr>
      <w:r w:rsidRPr="00407AEF">
        <w:rPr>
          <w:rFonts w:ascii="Arial" w:eastAsia="Calibri" w:hAnsi="Arial" w:cs="Arial"/>
          <w:color w:val="000000" w:themeColor="text1"/>
          <w:sz w:val="20"/>
          <w:szCs w:val="20"/>
          <w:lang w:val="es-ES_tradnl"/>
        </w:rPr>
        <w:t>Teniendo en cuenta que las entidades de régimen especial administran recursos públicos, sus manuales de contratación deben sujetarse a unas reglas mínimas que garanticen el cumplimiento de los principios de la función pública, el control fiscal y los principios rectores de la contratación estatal. Estas reglas deben indicar el contenido de las propuestas y los procedimientos de selección, realizar una descripción precisa del procedimiento, los plazos de las etapas y los criterios de evaluación y desempate, así como todos los criterios necesarios para garantizar la selección objetiva y la protección del interés general. Lo anterior, sin perjuicio de que algunas de estas reglas se establezcan, complementen o detallen en los documentos que se expiden en desarrollo de sus procedimientos contractuales.</w:t>
      </w:r>
    </w:p>
    <w:p w14:paraId="3EBEED29" w14:textId="77777777" w:rsidR="00F40E14" w:rsidRPr="00407AEF" w:rsidRDefault="00F40E14" w:rsidP="00F40E14">
      <w:pPr>
        <w:jc w:val="both"/>
        <w:rPr>
          <w:rFonts w:ascii="Arial" w:eastAsia="Calibri" w:hAnsi="Arial" w:cs="Arial"/>
          <w:color w:val="000000" w:themeColor="text1"/>
          <w:lang w:val="es-ES_tradnl"/>
        </w:rPr>
      </w:pPr>
      <w:r w:rsidRPr="00407AEF">
        <w:rPr>
          <w:rFonts w:ascii="Arial" w:eastAsia="Calibri" w:hAnsi="Arial" w:cs="Arial"/>
          <w:b/>
          <w:bCs/>
          <w:color w:val="000000" w:themeColor="text1"/>
          <w:lang w:val="es-ES_tradnl"/>
        </w:rPr>
        <w:t>MANUAL DE CONTRATACIÓN – Reglamento interno de contratación – Naturaleza jurídica – Reglamento – Inderogabilidad singular</w:t>
      </w:r>
    </w:p>
    <w:p w14:paraId="3D9D1BEE" w14:textId="77777777" w:rsidR="00F40E14" w:rsidRPr="00407AEF" w:rsidRDefault="00F40E14" w:rsidP="00F40E14">
      <w:pPr>
        <w:jc w:val="both"/>
        <w:rPr>
          <w:rFonts w:ascii="Arial" w:eastAsia="Calibri" w:hAnsi="Arial" w:cs="Arial"/>
          <w:color w:val="000000" w:themeColor="text1"/>
          <w:sz w:val="20"/>
          <w:szCs w:val="20"/>
          <w:lang w:val="es-ES_tradnl"/>
        </w:rPr>
      </w:pPr>
    </w:p>
    <w:p w14:paraId="4F4551BA" w14:textId="77777777" w:rsidR="00F40E14" w:rsidRPr="00407AEF" w:rsidRDefault="00F40E14" w:rsidP="00F40E14">
      <w:pPr>
        <w:spacing w:after="120"/>
        <w:jc w:val="both"/>
        <w:rPr>
          <w:rFonts w:ascii="Arial" w:eastAsia="Calibri" w:hAnsi="Arial" w:cs="Arial"/>
          <w:color w:val="000000" w:themeColor="text1"/>
          <w:sz w:val="20"/>
          <w:szCs w:val="20"/>
          <w:lang w:val="es-ES_tradnl"/>
        </w:rPr>
      </w:pPr>
      <w:r w:rsidRPr="00407AEF">
        <w:rPr>
          <w:rFonts w:ascii="Arial" w:eastAsia="Calibri" w:hAnsi="Arial" w:cs="Arial"/>
          <w:color w:val="000000" w:themeColor="text1"/>
          <w:sz w:val="20"/>
          <w:szCs w:val="20"/>
          <w:lang w:val="es-ES_tradnl"/>
        </w:rPr>
        <w:t>[…] las entidades estatales que, por disposición legal, cuentan con un régimen especial , exceptuado del Estatuto General de Contratación de la Administración Pública –Leyes 80 de 1993, 1150 de 2007 y normas complementarias – pueden expedir un reglamento interno de contratación –comúnmente denominado manual de contratación–, que regule aspectos asociados a la actividad contractual, como los procedimientos de selección, los requisitos de participación, las condiciones de ejecución del contrato, etc. En otras palabras, el manual de contratación de las entidades exceptuadas es un acto administrativo y, de manera más concreta, un reglamento, pues, además de consistir en una manifestación unilateral de voluntad efectuada por la entidad estatal, en ejercicio de función administrativa, dirigida a producir efectos jurídicos, tiene vocación de permanencia en el tiempo. Esto significa que el manual de contratación despliega sus efectos de manera indefinida en el futuro, no agotándose con una sola aplicación. Además, pese a que existe un alto grado de discrecionalidad en su elaboración, el manual de contratación, al ser un reglamento vincula a la propia entidad.</w:t>
      </w:r>
    </w:p>
    <w:p w14:paraId="315D255D" w14:textId="77777777" w:rsidR="00F40E14" w:rsidRPr="00407AEF" w:rsidRDefault="00F40E14" w:rsidP="00F40E14">
      <w:pPr>
        <w:jc w:val="both"/>
        <w:rPr>
          <w:rFonts w:ascii="Arial" w:eastAsia="Calibri" w:hAnsi="Arial" w:cs="Arial"/>
          <w:color w:val="000000" w:themeColor="text1"/>
          <w:sz w:val="20"/>
          <w:szCs w:val="20"/>
          <w:lang w:val="es-ES_tradnl"/>
        </w:rPr>
      </w:pPr>
      <w:r w:rsidRPr="00407AEF">
        <w:rPr>
          <w:rFonts w:ascii="Arial" w:eastAsia="Calibri" w:hAnsi="Arial" w:cs="Arial"/>
          <w:color w:val="000000" w:themeColor="text1"/>
          <w:sz w:val="20"/>
          <w:szCs w:val="20"/>
          <w:lang w:val="es-ES_tradnl"/>
        </w:rPr>
        <w:lastRenderedPageBreak/>
        <w:t>En todo caso, se reitera que las reglas establecidas en los manuales o reglamentos internos de contratación son muy importantes, toda vez que las entidades se obligan a cumplir su contenido. Además, tratándose de un acto administrativo, concretamente de un reglamento, le aplican los atributos propios de estos tipos de actos, entre otras cosas, la presunción de legalidad y la regla de inderogabilidad singular del reglamento. En tal sentido, su contenido vincula a la propia entidad que lo expidió y no puede desconocerlo a su capricho en casos específicos. Ello sin perjuicio de la posibilidad de expedir un nuevo manual o de modificar el existente.</w:t>
      </w:r>
    </w:p>
    <w:p w14:paraId="5D6F1DA0" w14:textId="77777777" w:rsidR="00F40E14" w:rsidRPr="00407AEF" w:rsidRDefault="00F40E14" w:rsidP="00F40E14">
      <w:pPr>
        <w:jc w:val="both"/>
        <w:rPr>
          <w:rFonts w:ascii="Arial" w:eastAsia="Calibri" w:hAnsi="Arial" w:cs="Arial"/>
          <w:color w:val="000000" w:themeColor="text1"/>
          <w:sz w:val="20"/>
          <w:szCs w:val="20"/>
          <w:lang w:val="es-ES_tradnl"/>
        </w:rPr>
      </w:pPr>
    </w:p>
    <w:p w14:paraId="0AD06FD9" w14:textId="77777777" w:rsidR="00F40E14" w:rsidRPr="00407AEF" w:rsidRDefault="00F40E14" w:rsidP="00F40E14">
      <w:pPr>
        <w:jc w:val="both"/>
        <w:rPr>
          <w:rFonts w:ascii="Arial" w:eastAsia="Calibri" w:hAnsi="Arial" w:cs="Arial"/>
          <w:sz w:val="20"/>
          <w:szCs w:val="20"/>
          <w:lang w:val="es-ES_tradnl" w:eastAsia="es-ES_tradnl"/>
        </w:rPr>
      </w:pPr>
    </w:p>
    <w:p w14:paraId="795FA0CF" w14:textId="77777777" w:rsidR="00F40E14" w:rsidRPr="00407AEF" w:rsidRDefault="00F40E14" w:rsidP="00F40E14">
      <w:pPr>
        <w:spacing w:after="0" w:line="240" w:lineRule="auto"/>
        <w:contextualSpacing/>
        <w:rPr>
          <w:rFonts w:ascii="Arial" w:eastAsia="Calibri" w:hAnsi="Arial" w:cs="Arial"/>
          <w:b/>
          <w:bCs/>
          <w:color w:val="000000" w:themeColor="text1"/>
          <w:sz w:val="20"/>
          <w:szCs w:val="20"/>
          <w:lang w:val="es-ES"/>
        </w:rPr>
      </w:pPr>
    </w:p>
    <w:p w14:paraId="64A92241" w14:textId="77777777" w:rsidR="00F40E14" w:rsidRPr="00407AEF" w:rsidRDefault="00F40E14" w:rsidP="00F40E14">
      <w:pPr>
        <w:spacing w:after="0" w:line="240" w:lineRule="auto"/>
        <w:contextualSpacing/>
        <w:rPr>
          <w:rFonts w:ascii="Arial" w:eastAsia="Calibri" w:hAnsi="Arial" w:cs="Arial"/>
          <w:b/>
          <w:bCs/>
          <w:color w:val="000000" w:themeColor="text1"/>
          <w:sz w:val="20"/>
          <w:szCs w:val="20"/>
          <w:lang w:val="es-ES"/>
        </w:rPr>
      </w:pPr>
    </w:p>
    <w:p w14:paraId="4793F799" w14:textId="77777777" w:rsidR="00F40E14" w:rsidRPr="00407AEF" w:rsidRDefault="00F40E14" w:rsidP="00F40E14">
      <w:pPr>
        <w:spacing w:after="0" w:line="240" w:lineRule="auto"/>
        <w:contextualSpacing/>
        <w:rPr>
          <w:rFonts w:ascii="Arial" w:eastAsia="Calibri" w:hAnsi="Arial" w:cs="Arial"/>
          <w:b/>
          <w:bCs/>
          <w:color w:val="000000" w:themeColor="text1"/>
          <w:sz w:val="20"/>
          <w:szCs w:val="20"/>
          <w:lang w:val="es-ES"/>
        </w:rPr>
      </w:pPr>
    </w:p>
    <w:p w14:paraId="128E7636" w14:textId="77777777" w:rsidR="00F40E14" w:rsidRPr="00407AEF" w:rsidRDefault="00F40E14" w:rsidP="00F40E14">
      <w:pPr>
        <w:spacing w:after="0" w:line="240" w:lineRule="auto"/>
        <w:contextualSpacing/>
        <w:rPr>
          <w:rFonts w:ascii="Arial" w:eastAsia="Calibri" w:hAnsi="Arial" w:cs="Arial"/>
          <w:b/>
          <w:bCs/>
          <w:color w:val="000000" w:themeColor="text1"/>
          <w:sz w:val="20"/>
          <w:szCs w:val="20"/>
          <w:lang w:val="es-ES"/>
        </w:rPr>
      </w:pPr>
    </w:p>
    <w:p w14:paraId="7E59AFFC" w14:textId="77777777" w:rsidR="00F40E14" w:rsidRPr="00407AEF" w:rsidRDefault="00F40E14" w:rsidP="00F40E14">
      <w:pPr>
        <w:spacing w:after="0" w:line="240" w:lineRule="auto"/>
        <w:contextualSpacing/>
        <w:rPr>
          <w:rFonts w:ascii="Arial" w:eastAsia="Calibri" w:hAnsi="Arial" w:cs="Arial"/>
          <w:b/>
          <w:bCs/>
          <w:color w:val="000000" w:themeColor="text1"/>
          <w:sz w:val="20"/>
          <w:szCs w:val="20"/>
          <w:lang w:val="es-ES"/>
        </w:rPr>
      </w:pPr>
    </w:p>
    <w:p w14:paraId="51C1437E" w14:textId="77777777" w:rsidR="00F40E14" w:rsidRPr="00407AEF" w:rsidRDefault="00F40E14" w:rsidP="00F40E14">
      <w:pPr>
        <w:spacing w:after="0" w:line="240" w:lineRule="auto"/>
        <w:contextualSpacing/>
        <w:rPr>
          <w:rFonts w:ascii="Arial" w:eastAsia="Calibri" w:hAnsi="Arial" w:cs="Arial"/>
          <w:b/>
          <w:bCs/>
          <w:color w:val="000000" w:themeColor="text1"/>
          <w:sz w:val="20"/>
          <w:szCs w:val="20"/>
          <w:lang w:val="es-ES"/>
        </w:rPr>
      </w:pPr>
    </w:p>
    <w:p w14:paraId="7E4716CE" w14:textId="77777777" w:rsidR="00F40E14" w:rsidRPr="00407AEF" w:rsidRDefault="00F40E14" w:rsidP="00F40E14">
      <w:pPr>
        <w:spacing w:after="0" w:line="240" w:lineRule="auto"/>
        <w:contextualSpacing/>
        <w:rPr>
          <w:rFonts w:ascii="Arial" w:eastAsia="Calibri" w:hAnsi="Arial" w:cs="Arial"/>
          <w:b/>
          <w:bCs/>
          <w:color w:val="000000" w:themeColor="text1"/>
          <w:sz w:val="20"/>
          <w:szCs w:val="20"/>
          <w:lang w:val="es-ES"/>
        </w:rPr>
      </w:pPr>
    </w:p>
    <w:p w14:paraId="0842DB78" w14:textId="77777777" w:rsidR="00F40E14" w:rsidRPr="00407AEF" w:rsidRDefault="00F40E14" w:rsidP="00F40E14">
      <w:pPr>
        <w:spacing w:after="0" w:line="240" w:lineRule="auto"/>
        <w:contextualSpacing/>
        <w:rPr>
          <w:rFonts w:ascii="Arial" w:eastAsia="Calibri" w:hAnsi="Arial" w:cs="Arial"/>
          <w:b/>
          <w:bCs/>
          <w:color w:val="000000" w:themeColor="text1"/>
          <w:sz w:val="20"/>
          <w:szCs w:val="20"/>
          <w:lang w:val="es-ES"/>
        </w:rPr>
      </w:pPr>
    </w:p>
    <w:p w14:paraId="07EA3D2D" w14:textId="77777777" w:rsidR="00F40E14" w:rsidRPr="00407AEF" w:rsidRDefault="00F40E14" w:rsidP="00F40E14">
      <w:pPr>
        <w:spacing w:after="0" w:line="240" w:lineRule="auto"/>
        <w:contextualSpacing/>
        <w:rPr>
          <w:rFonts w:ascii="Arial" w:eastAsia="Calibri" w:hAnsi="Arial" w:cs="Arial"/>
          <w:b/>
          <w:bCs/>
          <w:color w:val="000000" w:themeColor="text1"/>
          <w:sz w:val="20"/>
          <w:szCs w:val="20"/>
          <w:lang w:val="es-ES"/>
        </w:rPr>
      </w:pPr>
    </w:p>
    <w:p w14:paraId="40398BC3" w14:textId="77777777" w:rsidR="00F40E14" w:rsidRPr="00407AEF" w:rsidRDefault="00F40E14" w:rsidP="00F40E14">
      <w:pPr>
        <w:spacing w:after="0" w:line="240" w:lineRule="auto"/>
        <w:contextualSpacing/>
        <w:rPr>
          <w:rFonts w:ascii="Arial" w:eastAsia="Calibri" w:hAnsi="Arial" w:cs="Arial"/>
          <w:b/>
          <w:bCs/>
          <w:color w:val="000000" w:themeColor="text1"/>
          <w:sz w:val="20"/>
          <w:szCs w:val="20"/>
          <w:lang w:val="es-ES"/>
        </w:rPr>
      </w:pPr>
    </w:p>
    <w:p w14:paraId="7AB39C51" w14:textId="77777777" w:rsidR="00F40E14" w:rsidRPr="00407AEF" w:rsidRDefault="00F40E14" w:rsidP="00F40E14">
      <w:pPr>
        <w:spacing w:after="0" w:line="240" w:lineRule="auto"/>
        <w:contextualSpacing/>
        <w:rPr>
          <w:rFonts w:ascii="Arial" w:eastAsia="Calibri" w:hAnsi="Arial" w:cs="Arial"/>
          <w:b/>
          <w:bCs/>
          <w:color w:val="000000" w:themeColor="text1"/>
          <w:sz w:val="20"/>
          <w:szCs w:val="20"/>
          <w:lang w:val="es-ES"/>
        </w:rPr>
      </w:pPr>
    </w:p>
    <w:p w14:paraId="5780BF84" w14:textId="77777777" w:rsidR="00F40E14" w:rsidRPr="00407AEF" w:rsidRDefault="00F40E14" w:rsidP="00F40E14">
      <w:pPr>
        <w:spacing w:after="0" w:line="240" w:lineRule="auto"/>
        <w:contextualSpacing/>
        <w:rPr>
          <w:rFonts w:ascii="Arial" w:eastAsia="Calibri" w:hAnsi="Arial" w:cs="Arial"/>
          <w:b/>
          <w:bCs/>
          <w:color w:val="000000" w:themeColor="text1"/>
          <w:sz w:val="20"/>
          <w:szCs w:val="20"/>
          <w:lang w:val="es-ES"/>
        </w:rPr>
      </w:pPr>
    </w:p>
    <w:p w14:paraId="014020F8" w14:textId="77777777" w:rsidR="00F40E14" w:rsidRPr="00407AEF" w:rsidRDefault="00F40E14" w:rsidP="00F40E14">
      <w:pPr>
        <w:spacing w:after="0" w:line="240" w:lineRule="auto"/>
        <w:contextualSpacing/>
        <w:rPr>
          <w:rFonts w:ascii="Arial" w:eastAsia="Calibri" w:hAnsi="Arial" w:cs="Arial"/>
          <w:b/>
          <w:bCs/>
          <w:color w:val="000000" w:themeColor="text1"/>
          <w:sz w:val="20"/>
          <w:szCs w:val="20"/>
          <w:lang w:val="es-ES"/>
        </w:rPr>
      </w:pPr>
    </w:p>
    <w:p w14:paraId="143D80CB" w14:textId="77777777" w:rsidR="00F40E14" w:rsidRPr="00407AEF" w:rsidRDefault="00F40E14" w:rsidP="00F40E14">
      <w:pPr>
        <w:spacing w:after="0" w:line="240" w:lineRule="auto"/>
        <w:contextualSpacing/>
        <w:rPr>
          <w:rFonts w:ascii="Arial" w:eastAsia="Calibri" w:hAnsi="Arial" w:cs="Arial"/>
          <w:b/>
          <w:bCs/>
          <w:color w:val="000000" w:themeColor="text1"/>
          <w:sz w:val="20"/>
          <w:szCs w:val="20"/>
          <w:lang w:val="es-ES"/>
        </w:rPr>
      </w:pPr>
    </w:p>
    <w:p w14:paraId="1682B627" w14:textId="77777777" w:rsidR="00F40E14" w:rsidRPr="00407AEF" w:rsidRDefault="00F40E14" w:rsidP="00F40E14">
      <w:pPr>
        <w:spacing w:after="0" w:line="240" w:lineRule="auto"/>
        <w:contextualSpacing/>
        <w:rPr>
          <w:rFonts w:ascii="Arial" w:eastAsia="Calibri" w:hAnsi="Arial" w:cs="Arial"/>
          <w:b/>
          <w:bCs/>
          <w:color w:val="000000" w:themeColor="text1"/>
          <w:sz w:val="20"/>
          <w:szCs w:val="20"/>
          <w:lang w:val="es-ES"/>
        </w:rPr>
      </w:pPr>
    </w:p>
    <w:p w14:paraId="2F92C34F" w14:textId="77777777" w:rsidR="00F40E14" w:rsidRPr="00407AEF" w:rsidRDefault="00F40E14" w:rsidP="00F40E14">
      <w:pPr>
        <w:spacing w:after="0" w:line="240" w:lineRule="auto"/>
        <w:contextualSpacing/>
        <w:rPr>
          <w:rFonts w:ascii="Arial" w:eastAsia="Calibri" w:hAnsi="Arial" w:cs="Arial"/>
          <w:b/>
          <w:bCs/>
          <w:color w:val="000000" w:themeColor="text1"/>
          <w:sz w:val="20"/>
          <w:szCs w:val="20"/>
          <w:lang w:val="es-ES"/>
        </w:rPr>
      </w:pPr>
    </w:p>
    <w:p w14:paraId="2C5B7452" w14:textId="77777777" w:rsidR="00F40E14" w:rsidRPr="00407AEF" w:rsidRDefault="00F40E14" w:rsidP="00F40E14">
      <w:pPr>
        <w:spacing w:after="0" w:line="240" w:lineRule="auto"/>
        <w:contextualSpacing/>
        <w:rPr>
          <w:rFonts w:ascii="Arial" w:eastAsia="Calibri" w:hAnsi="Arial" w:cs="Arial"/>
        </w:rPr>
      </w:pPr>
    </w:p>
    <w:p w14:paraId="4B8A3BFA" w14:textId="77777777" w:rsidR="00F40E14" w:rsidRPr="00407AEF" w:rsidRDefault="00F40E14" w:rsidP="00F40E14">
      <w:pPr>
        <w:spacing w:after="0" w:line="240" w:lineRule="auto"/>
        <w:contextualSpacing/>
        <w:rPr>
          <w:rFonts w:ascii="Arial" w:eastAsia="Calibri" w:hAnsi="Arial" w:cs="Arial"/>
        </w:rPr>
      </w:pPr>
    </w:p>
    <w:p w14:paraId="112BC146" w14:textId="77777777" w:rsidR="00F40E14" w:rsidRPr="00407AEF" w:rsidRDefault="00F40E14" w:rsidP="00F40E14">
      <w:pPr>
        <w:spacing w:after="0" w:line="240" w:lineRule="auto"/>
        <w:contextualSpacing/>
        <w:rPr>
          <w:rFonts w:ascii="Arial" w:eastAsia="Calibri" w:hAnsi="Arial" w:cs="Arial"/>
        </w:rPr>
      </w:pPr>
    </w:p>
    <w:p w14:paraId="56A25553" w14:textId="77777777" w:rsidR="00F40E14" w:rsidRPr="00407AEF" w:rsidRDefault="00F40E14" w:rsidP="00F40E14">
      <w:pPr>
        <w:spacing w:after="0" w:line="240" w:lineRule="auto"/>
        <w:contextualSpacing/>
        <w:rPr>
          <w:rFonts w:ascii="Arial" w:eastAsia="Calibri" w:hAnsi="Arial" w:cs="Arial"/>
        </w:rPr>
      </w:pPr>
    </w:p>
    <w:p w14:paraId="2CB02227" w14:textId="77777777" w:rsidR="00F40E14" w:rsidRPr="00407AEF" w:rsidRDefault="00F40E14" w:rsidP="00F40E14">
      <w:pPr>
        <w:spacing w:after="0" w:line="240" w:lineRule="auto"/>
        <w:contextualSpacing/>
        <w:rPr>
          <w:rFonts w:ascii="Arial" w:eastAsia="Calibri" w:hAnsi="Arial" w:cs="Arial"/>
        </w:rPr>
      </w:pPr>
    </w:p>
    <w:p w14:paraId="7C1AF334" w14:textId="77777777" w:rsidR="00F40E14" w:rsidRPr="00407AEF" w:rsidRDefault="00F40E14" w:rsidP="00F40E14">
      <w:pPr>
        <w:spacing w:after="0" w:line="240" w:lineRule="auto"/>
        <w:contextualSpacing/>
        <w:rPr>
          <w:rFonts w:ascii="Arial" w:eastAsia="Calibri" w:hAnsi="Arial" w:cs="Arial"/>
        </w:rPr>
      </w:pPr>
    </w:p>
    <w:p w14:paraId="30F10535" w14:textId="77777777" w:rsidR="00F40E14" w:rsidRPr="00407AEF" w:rsidRDefault="00F40E14" w:rsidP="00F40E14">
      <w:pPr>
        <w:spacing w:after="0" w:line="240" w:lineRule="auto"/>
        <w:contextualSpacing/>
        <w:rPr>
          <w:rFonts w:ascii="Arial" w:eastAsia="Calibri" w:hAnsi="Arial" w:cs="Arial"/>
        </w:rPr>
      </w:pPr>
    </w:p>
    <w:p w14:paraId="29618AB6" w14:textId="77777777" w:rsidR="00F40E14" w:rsidRPr="00407AEF" w:rsidRDefault="00F40E14" w:rsidP="00F40E14">
      <w:pPr>
        <w:spacing w:after="0" w:line="240" w:lineRule="auto"/>
        <w:contextualSpacing/>
        <w:rPr>
          <w:rFonts w:ascii="Arial" w:eastAsia="Calibri" w:hAnsi="Arial" w:cs="Arial"/>
        </w:rPr>
      </w:pPr>
    </w:p>
    <w:p w14:paraId="1E133466" w14:textId="77777777" w:rsidR="00F40E14" w:rsidRPr="00407AEF" w:rsidRDefault="00F40E14" w:rsidP="00F40E14">
      <w:pPr>
        <w:spacing w:after="0" w:line="240" w:lineRule="auto"/>
        <w:contextualSpacing/>
        <w:rPr>
          <w:rFonts w:ascii="Arial" w:eastAsia="Calibri" w:hAnsi="Arial" w:cs="Arial"/>
        </w:rPr>
      </w:pPr>
    </w:p>
    <w:p w14:paraId="61CDDD15" w14:textId="77777777" w:rsidR="00F40E14" w:rsidRPr="00407AEF" w:rsidRDefault="00F40E14" w:rsidP="00F40E14">
      <w:pPr>
        <w:spacing w:after="0" w:line="240" w:lineRule="auto"/>
        <w:contextualSpacing/>
        <w:rPr>
          <w:rFonts w:ascii="Arial" w:eastAsia="Calibri" w:hAnsi="Arial" w:cs="Arial"/>
        </w:rPr>
      </w:pPr>
    </w:p>
    <w:p w14:paraId="31A75907" w14:textId="77777777" w:rsidR="00F40E14" w:rsidRPr="00407AEF" w:rsidRDefault="00F40E14" w:rsidP="00F40E14">
      <w:pPr>
        <w:spacing w:after="0" w:line="240" w:lineRule="auto"/>
        <w:contextualSpacing/>
        <w:rPr>
          <w:rFonts w:ascii="Arial" w:eastAsia="Calibri" w:hAnsi="Arial" w:cs="Arial"/>
        </w:rPr>
      </w:pPr>
    </w:p>
    <w:p w14:paraId="7C0F38AE" w14:textId="77777777" w:rsidR="00F40E14" w:rsidRPr="00407AEF" w:rsidRDefault="00F40E14" w:rsidP="00F40E14">
      <w:pPr>
        <w:spacing w:after="0" w:line="240" w:lineRule="auto"/>
        <w:contextualSpacing/>
        <w:rPr>
          <w:rFonts w:ascii="Arial" w:eastAsia="Calibri" w:hAnsi="Arial" w:cs="Arial"/>
        </w:rPr>
      </w:pPr>
    </w:p>
    <w:p w14:paraId="6EFE74ED" w14:textId="77777777" w:rsidR="00F40E14" w:rsidRPr="00407AEF" w:rsidRDefault="00F40E14" w:rsidP="00F40E14">
      <w:pPr>
        <w:spacing w:after="0" w:line="240" w:lineRule="auto"/>
        <w:contextualSpacing/>
        <w:rPr>
          <w:rFonts w:ascii="Arial" w:eastAsia="Calibri" w:hAnsi="Arial" w:cs="Arial"/>
        </w:rPr>
      </w:pPr>
    </w:p>
    <w:p w14:paraId="32D8A2E8" w14:textId="77777777" w:rsidR="00F40E14" w:rsidRPr="00407AEF" w:rsidRDefault="00F40E14" w:rsidP="00F40E14">
      <w:pPr>
        <w:spacing w:after="0" w:line="240" w:lineRule="auto"/>
        <w:contextualSpacing/>
        <w:rPr>
          <w:rFonts w:ascii="Arial" w:eastAsia="Calibri" w:hAnsi="Arial" w:cs="Arial"/>
        </w:rPr>
      </w:pPr>
    </w:p>
    <w:p w14:paraId="3BEE6D08" w14:textId="77777777" w:rsidR="00F40E14" w:rsidRPr="00407AEF" w:rsidRDefault="00F40E14" w:rsidP="00F40E14">
      <w:pPr>
        <w:spacing w:after="0" w:line="240" w:lineRule="auto"/>
        <w:contextualSpacing/>
        <w:rPr>
          <w:rFonts w:ascii="Arial" w:eastAsia="Calibri" w:hAnsi="Arial" w:cs="Arial"/>
        </w:rPr>
      </w:pPr>
    </w:p>
    <w:p w14:paraId="44D9A213" w14:textId="77777777" w:rsidR="00F40E14" w:rsidRPr="00407AEF" w:rsidRDefault="00F40E14" w:rsidP="00F40E14">
      <w:pPr>
        <w:spacing w:after="0" w:line="240" w:lineRule="auto"/>
        <w:contextualSpacing/>
        <w:rPr>
          <w:rFonts w:ascii="Arial" w:eastAsia="Calibri" w:hAnsi="Arial" w:cs="Arial"/>
        </w:rPr>
      </w:pPr>
    </w:p>
    <w:p w14:paraId="6C2B8865" w14:textId="77777777" w:rsidR="00F40E14" w:rsidRPr="00407AEF" w:rsidRDefault="00F40E14" w:rsidP="00F40E14">
      <w:pPr>
        <w:spacing w:after="0" w:line="240" w:lineRule="auto"/>
        <w:contextualSpacing/>
        <w:rPr>
          <w:rFonts w:ascii="Arial" w:eastAsia="Calibri" w:hAnsi="Arial" w:cs="Arial"/>
        </w:rPr>
      </w:pPr>
    </w:p>
    <w:p w14:paraId="5D1C6E32" w14:textId="77777777" w:rsidR="00F40E14" w:rsidRPr="00407AEF" w:rsidRDefault="00F40E14" w:rsidP="00F40E14">
      <w:pPr>
        <w:spacing w:after="0" w:line="240" w:lineRule="auto"/>
        <w:contextualSpacing/>
        <w:rPr>
          <w:rFonts w:ascii="Arial" w:eastAsia="Calibri" w:hAnsi="Arial" w:cs="Arial"/>
        </w:rPr>
      </w:pPr>
    </w:p>
    <w:p w14:paraId="26BC5666" w14:textId="77777777" w:rsidR="00F40E14" w:rsidRPr="00407AEF" w:rsidRDefault="00F40E14" w:rsidP="00F40E14">
      <w:pPr>
        <w:spacing w:after="0" w:line="240" w:lineRule="auto"/>
        <w:contextualSpacing/>
        <w:rPr>
          <w:rFonts w:ascii="Arial" w:eastAsia="Calibri" w:hAnsi="Arial" w:cs="Arial"/>
        </w:rPr>
      </w:pPr>
    </w:p>
    <w:p w14:paraId="224B3F8E" w14:textId="77777777" w:rsidR="00F40E14" w:rsidRDefault="00F40E14" w:rsidP="00F40E14">
      <w:pPr>
        <w:spacing w:after="0" w:line="240" w:lineRule="auto"/>
        <w:contextualSpacing/>
        <w:rPr>
          <w:rFonts w:ascii="Arial" w:eastAsia="Calibri" w:hAnsi="Arial" w:cs="Arial"/>
        </w:rPr>
      </w:pPr>
    </w:p>
    <w:p w14:paraId="3BD1DC6A" w14:textId="77777777" w:rsidR="00F40E14" w:rsidRDefault="00F40E14" w:rsidP="00F40E14">
      <w:pPr>
        <w:rPr>
          <w:rFonts w:ascii="Geomanist Light" w:eastAsia="Times New Roman" w:hAnsi="Geomanist Light" w:cs="Arial"/>
          <w:b/>
          <w:bCs/>
          <w:lang w:val="es-MX" w:eastAsia="es-CO"/>
        </w:rPr>
      </w:pPr>
    </w:p>
    <w:p w14:paraId="7D01A053" w14:textId="60D6B59D" w:rsidR="00F40E14" w:rsidRPr="007566FE" w:rsidRDefault="00F40E14" w:rsidP="00F40E14">
      <w:pPr>
        <w:rPr>
          <w:rFonts w:ascii="Geomanist Light" w:eastAsia="Geomanist Light" w:hAnsi="Geomanist Light" w:cs="Geomanist Light"/>
          <w:color w:val="201F1E"/>
          <w:lang w:val="es-MX"/>
        </w:rPr>
      </w:pPr>
      <w:r w:rsidRPr="6B8BD3AC">
        <w:rPr>
          <w:rFonts w:ascii="Geomanist Light" w:eastAsia="Geomanist Light" w:hAnsi="Geomanist Light" w:cs="Geomanist Light"/>
          <w:color w:val="000000" w:themeColor="text1"/>
          <w:lang w:val="es-MX"/>
        </w:rPr>
        <w:t>Bogotá D.C., </w:t>
      </w:r>
      <w:r w:rsidR="00F31469">
        <w:rPr>
          <w:rFonts w:ascii="Geomanist Light" w:eastAsia="Geomanist Light" w:hAnsi="Geomanist Light" w:cs="Geomanist Light"/>
          <w:color w:val="201F1E"/>
          <w:lang w:val="es-MX"/>
        </w:rPr>
        <w:t>01 de febrero de 2023</w:t>
      </w:r>
    </w:p>
    <w:p w14:paraId="42709DD8" w14:textId="669A02B7" w:rsidR="00F40E14" w:rsidRDefault="00F40E14" w:rsidP="00F40E14">
      <w:pPr>
        <w:spacing w:after="0" w:line="240" w:lineRule="auto"/>
        <w:contextualSpacing/>
        <w:rPr>
          <w:rFonts w:ascii="Arial" w:eastAsia="Calibri" w:hAnsi="Arial" w:cs="Arial"/>
          <w:lang w:val="es-MX"/>
        </w:rPr>
      </w:pPr>
    </w:p>
    <w:p w14:paraId="3D67257C" w14:textId="3915DB51" w:rsidR="00F31469" w:rsidRDefault="00F31469" w:rsidP="00F40E14">
      <w:pPr>
        <w:spacing w:after="0" w:line="240" w:lineRule="auto"/>
        <w:contextualSpacing/>
        <w:rPr>
          <w:rFonts w:ascii="Arial" w:eastAsia="Calibri" w:hAnsi="Arial" w:cs="Arial"/>
          <w:lang w:val="es-MX"/>
        </w:rPr>
      </w:pPr>
    </w:p>
    <w:p w14:paraId="168B8107" w14:textId="4A6497BF" w:rsidR="00F31469" w:rsidRPr="00C13611" w:rsidRDefault="00F31469" w:rsidP="00F31469">
      <w:pPr>
        <w:spacing w:after="0" w:line="240" w:lineRule="auto"/>
        <w:contextualSpacing/>
        <w:jc w:val="right"/>
        <w:rPr>
          <w:rFonts w:ascii="Arial" w:eastAsia="Calibri" w:hAnsi="Arial" w:cs="Arial"/>
          <w:lang w:val="es-MX"/>
        </w:rPr>
      </w:pPr>
      <w:r w:rsidRPr="00F31469">
        <w:rPr>
          <w:rFonts w:ascii="Arial" w:eastAsia="Calibri" w:hAnsi="Arial" w:cs="Arial"/>
          <w:noProof/>
          <w:lang w:val="es-MX"/>
        </w:rPr>
        <w:drawing>
          <wp:inline distT="0" distB="0" distL="0" distR="0" wp14:anchorId="101E4458" wp14:editId="7430A228">
            <wp:extent cx="3229426" cy="1038370"/>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29426" cy="1038370"/>
                    </a:xfrm>
                    <a:prstGeom prst="rect">
                      <a:avLst/>
                    </a:prstGeom>
                  </pic:spPr>
                </pic:pic>
              </a:graphicData>
            </a:graphic>
          </wp:inline>
        </w:drawing>
      </w:r>
    </w:p>
    <w:p w14:paraId="75642D86" w14:textId="77777777" w:rsidR="00F40E14" w:rsidRPr="00407AEF" w:rsidRDefault="00F40E14" w:rsidP="00F40E14">
      <w:pPr>
        <w:spacing w:after="0" w:line="240" w:lineRule="auto"/>
        <w:contextualSpacing/>
        <w:rPr>
          <w:rFonts w:ascii="Arial" w:eastAsia="Calibri" w:hAnsi="Arial" w:cs="Arial"/>
        </w:rPr>
      </w:pPr>
      <w:r w:rsidRPr="00407AEF">
        <w:rPr>
          <w:rFonts w:ascii="Arial" w:eastAsia="Calibri" w:hAnsi="Arial" w:cs="Arial"/>
        </w:rPr>
        <w:t>Señor</w:t>
      </w:r>
    </w:p>
    <w:p w14:paraId="1F336784" w14:textId="77777777" w:rsidR="00F40E14" w:rsidRPr="00407AEF" w:rsidRDefault="00F40E14" w:rsidP="00F40E14">
      <w:pPr>
        <w:autoSpaceDE w:val="0"/>
        <w:autoSpaceDN w:val="0"/>
        <w:adjustRightInd w:val="0"/>
        <w:spacing w:after="0" w:line="240" w:lineRule="auto"/>
        <w:rPr>
          <w:rFonts w:ascii="Arial" w:hAnsi="Arial" w:cs="Arial"/>
          <w:b/>
          <w:bCs/>
        </w:rPr>
      </w:pPr>
      <w:r w:rsidRPr="00407AEF">
        <w:rPr>
          <w:rFonts w:ascii="Arial" w:hAnsi="Arial" w:cs="Arial"/>
          <w:b/>
          <w:bCs/>
        </w:rPr>
        <w:t>ARNULFO MENESES VILLAMARIN</w:t>
      </w:r>
    </w:p>
    <w:p w14:paraId="1216F3EB" w14:textId="77777777" w:rsidR="00F40E14" w:rsidRPr="00407AEF" w:rsidRDefault="00482EE0" w:rsidP="00F40E14">
      <w:pPr>
        <w:spacing w:after="0" w:line="240" w:lineRule="auto"/>
        <w:contextualSpacing/>
        <w:rPr>
          <w:rFonts w:ascii="Arial" w:hAnsi="Arial" w:cs="Arial"/>
        </w:rPr>
      </w:pPr>
      <w:hyperlink r:id="rId12" w:history="1">
        <w:r w:rsidR="00F40E14" w:rsidRPr="00407AEF">
          <w:rPr>
            <w:rStyle w:val="Hipervnculo"/>
            <w:rFonts w:ascii="Arial" w:hAnsi="Arial" w:cs="Arial"/>
          </w:rPr>
          <w:t>asesor.derechoglobal@gmail.com</w:t>
        </w:r>
      </w:hyperlink>
    </w:p>
    <w:p w14:paraId="1598445B" w14:textId="77777777" w:rsidR="00F40E14" w:rsidRPr="00407AEF" w:rsidRDefault="00F40E14" w:rsidP="00F40E14">
      <w:pPr>
        <w:spacing w:after="0" w:line="240" w:lineRule="auto"/>
        <w:contextualSpacing/>
        <w:rPr>
          <w:rFonts w:ascii="Arial" w:eastAsia="Calibri" w:hAnsi="Arial" w:cs="Arial"/>
          <w:b/>
          <w:bCs/>
        </w:rPr>
      </w:pPr>
      <w:r w:rsidRPr="00407AEF">
        <w:rPr>
          <w:rFonts w:ascii="Arial" w:hAnsi="Arial" w:cs="Arial"/>
        </w:rPr>
        <w:t>Ciudad</w:t>
      </w:r>
    </w:p>
    <w:p w14:paraId="0D832390" w14:textId="77777777" w:rsidR="00F40E14" w:rsidRPr="00407AEF" w:rsidRDefault="00F40E14" w:rsidP="00F40E14">
      <w:pPr>
        <w:spacing w:after="0" w:line="240" w:lineRule="auto"/>
        <w:contextualSpacing/>
        <w:rPr>
          <w:rFonts w:ascii="Arial" w:eastAsia="Calibri" w:hAnsi="Arial" w:cs="Arial"/>
          <w:b/>
        </w:rPr>
      </w:pPr>
    </w:p>
    <w:p w14:paraId="7AF8103E" w14:textId="77777777" w:rsidR="00F40E14" w:rsidRPr="00407AEF" w:rsidRDefault="00F40E14" w:rsidP="00F40E14">
      <w:pPr>
        <w:spacing w:after="0" w:line="240" w:lineRule="auto"/>
        <w:contextualSpacing/>
        <w:jc w:val="center"/>
        <w:rPr>
          <w:rFonts w:ascii="Arial" w:eastAsia="Calibri" w:hAnsi="Arial" w:cs="Arial"/>
          <w:b/>
        </w:rPr>
      </w:pPr>
      <w:r w:rsidRPr="00407AEF">
        <w:rPr>
          <w:rFonts w:ascii="Arial" w:eastAsia="Calibri" w:hAnsi="Arial" w:cs="Arial"/>
          <w:b/>
        </w:rPr>
        <w:t>Concepto C – 967 de 2022</w:t>
      </w:r>
    </w:p>
    <w:p w14:paraId="19941EED" w14:textId="77777777" w:rsidR="00F40E14" w:rsidRPr="00407AEF" w:rsidRDefault="00F40E14" w:rsidP="00F40E14">
      <w:pPr>
        <w:spacing w:after="0" w:line="240" w:lineRule="auto"/>
        <w:contextualSpacing/>
        <w:jc w:val="center"/>
        <w:rPr>
          <w:rFonts w:ascii="Arial" w:eastAsia="Calibri" w:hAnsi="Arial" w:cs="Arial"/>
          <w:b/>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516"/>
      </w:tblGrid>
      <w:tr w:rsidR="00F40E14" w:rsidRPr="00407AEF" w14:paraId="33BA637E" w14:textId="77777777" w:rsidTr="006C2828">
        <w:trPr>
          <w:trHeight w:val="823"/>
        </w:trPr>
        <w:tc>
          <w:tcPr>
            <w:tcW w:w="2410" w:type="dxa"/>
          </w:tcPr>
          <w:p w14:paraId="62731C13" w14:textId="77777777" w:rsidR="00F40E14" w:rsidRPr="00407AEF" w:rsidRDefault="00F40E14" w:rsidP="006C2828">
            <w:pPr>
              <w:contextualSpacing/>
              <w:rPr>
                <w:rFonts w:ascii="Arial" w:eastAsia="Calibri" w:hAnsi="Arial" w:cs="Arial"/>
              </w:rPr>
            </w:pPr>
            <w:r w:rsidRPr="00407AEF">
              <w:rPr>
                <w:rFonts w:ascii="Arial" w:eastAsia="Calibri" w:hAnsi="Arial" w:cs="Arial"/>
                <w:b/>
              </w:rPr>
              <w:t>Temas:</w:t>
            </w:r>
            <w:r w:rsidRPr="00407AEF">
              <w:rPr>
                <w:rFonts w:ascii="Arial" w:eastAsia="Calibri" w:hAnsi="Arial" w:cs="Arial"/>
              </w:rPr>
              <w:t xml:space="preserve">                                     </w:t>
            </w:r>
          </w:p>
        </w:tc>
        <w:tc>
          <w:tcPr>
            <w:tcW w:w="6516" w:type="dxa"/>
          </w:tcPr>
          <w:p w14:paraId="7508E4A8" w14:textId="77777777" w:rsidR="00F40E14" w:rsidRPr="00407AEF" w:rsidRDefault="00F40E14" w:rsidP="006C2828">
            <w:pPr>
              <w:widowControl w:val="0"/>
              <w:autoSpaceDE w:val="0"/>
              <w:autoSpaceDN w:val="0"/>
              <w:spacing w:before="120" w:line="276" w:lineRule="auto"/>
              <w:jc w:val="both"/>
              <w:rPr>
                <w:rFonts w:ascii="Arial" w:eastAsia="Calibri" w:hAnsi="Arial" w:cs="Arial"/>
                <w:bCs/>
                <w:color w:val="000000"/>
                <w:sz w:val="21"/>
                <w:szCs w:val="21"/>
                <w:lang w:val="es-ES_tradnl"/>
              </w:rPr>
            </w:pPr>
            <w:r w:rsidRPr="00407AEF">
              <w:rPr>
                <w:rFonts w:ascii="Arial" w:eastAsia="Calibri" w:hAnsi="Arial" w:cs="Arial"/>
                <w:bCs/>
                <w:color w:val="1A1A1A" w:themeColor="background1" w:themeShade="1A"/>
                <w:sz w:val="21"/>
                <w:szCs w:val="21"/>
                <w:lang w:val="es-ES_tradnl"/>
              </w:rPr>
              <w:t>EMPRESAS DE SERVICIOS PÚBLICOS – Naturaleza especial / SERVICIOS PÚBLICOS DOMICILIARIOS – Operadores autorizados / SERVICIOS PÚBLICOS DOMICILIARIOS – Régimen contractual – Derecho privado / ENTIDADES DE RÉGIMEN ESPECIAL – Manual de Contratación – Contenido / MANUAL DE CONTRATACIÓN – Reglamento interno de contratación – Naturaleza jurídica</w:t>
            </w:r>
          </w:p>
          <w:p w14:paraId="7139067A" w14:textId="77777777" w:rsidR="00F40E14" w:rsidRPr="00407AEF" w:rsidRDefault="00F40E14" w:rsidP="006C2828">
            <w:pPr>
              <w:contextualSpacing/>
              <w:jc w:val="both"/>
              <w:rPr>
                <w:rFonts w:ascii="Arial" w:hAnsi="Arial" w:cs="Arial"/>
                <w:bCs/>
                <w:lang w:val="es-ES"/>
              </w:rPr>
            </w:pPr>
          </w:p>
        </w:tc>
      </w:tr>
      <w:tr w:rsidR="00F40E14" w:rsidRPr="00407AEF" w14:paraId="74B59C92" w14:textId="77777777" w:rsidTr="006C2828">
        <w:tc>
          <w:tcPr>
            <w:tcW w:w="2410" w:type="dxa"/>
          </w:tcPr>
          <w:p w14:paraId="1087A547" w14:textId="77777777" w:rsidR="00F40E14" w:rsidRPr="00407AEF" w:rsidRDefault="00F40E14" w:rsidP="006C2828">
            <w:pPr>
              <w:contextualSpacing/>
              <w:rPr>
                <w:rFonts w:ascii="Arial" w:eastAsia="Calibri" w:hAnsi="Arial" w:cs="Arial"/>
              </w:rPr>
            </w:pPr>
            <w:r w:rsidRPr="00407AEF">
              <w:rPr>
                <w:rFonts w:ascii="Arial" w:eastAsia="Calibri" w:hAnsi="Arial" w:cs="Arial"/>
                <w:b/>
              </w:rPr>
              <w:t>Radicación:</w:t>
            </w:r>
            <w:r w:rsidRPr="00407AEF">
              <w:rPr>
                <w:rFonts w:ascii="Arial" w:eastAsia="Calibri" w:hAnsi="Arial" w:cs="Arial"/>
              </w:rPr>
              <w:t xml:space="preserve">                              </w:t>
            </w:r>
          </w:p>
        </w:tc>
        <w:tc>
          <w:tcPr>
            <w:tcW w:w="6516" w:type="dxa"/>
          </w:tcPr>
          <w:p w14:paraId="3EDC59BA" w14:textId="77777777" w:rsidR="00F40E14" w:rsidRPr="00407AEF" w:rsidRDefault="00F40E14" w:rsidP="006C2828">
            <w:pPr>
              <w:contextualSpacing/>
              <w:jc w:val="both"/>
              <w:rPr>
                <w:rFonts w:ascii="Arial" w:hAnsi="Arial" w:cs="Arial"/>
              </w:rPr>
            </w:pPr>
            <w:r w:rsidRPr="00407AEF">
              <w:rPr>
                <w:rFonts w:ascii="Arial" w:eastAsia="Calibri" w:hAnsi="Arial" w:cs="Arial"/>
              </w:rPr>
              <w:t>Respuesta a la consulta P20221221012395</w:t>
            </w:r>
          </w:p>
          <w:p w14:paraId="266B129B" w14:textId="77777777" w:rsidR="00F40E14" w:rsidRPr="00407AEF" w:rsidRDefault="00F40E14" w:rsidP="006C2828">
            <w:pPr>
              <w:contextualSpacing/>
              <w:jc w:val="both"/>
              <w:rPr>
                <w:rFonts w:ascii="Arial" w:hAnsi="Arial" w:cs="Arial"/>
              </w:rPr>
            </w:pPr>
          </w:p>
        </w:tc>
      </w:tr>
    </w:tbl>
    <w:p w14:paraId="76448C30" w14:textId="77777777" w:rsidR="00F40E14" w:rsidRPr="00407AEF" w:rsidRDefault="00F40E14" w:rsidP="00F40E14">
      <w:pPr>
        <w:spacing w:after="0" w:line="276" w:lineRule="auto"/>
        <w:contextualSpacing/>
        <w:rPr>
          <w:rFonts w:ascii="Arial" w:eastAsia="Calibri" w:hAnsi="Arial" w:cs="Arial"/>
        </w:rPr>
      </w:pPr>
    </w:p>
    <w:p w14:paraId="3EC31715" w14:textId="77777777" w:rsidR="00F40E14" w:rsidRPr="00407AEF" w:rsidRDefault="00F40E14" w:rsidP="00F40E14">
      <w:pPr>
        <w:spacing w:after="0" w:line="276" w:lineRule="auto"/>
        <w:contextualSpacing/>
        <w:rPr>
          <w:rFonts w:ascii="Arial" w:eastAsia="Calibri" w:hAnsi="Arial" w:cs="Arial"/>
        </w:rPr>
      </w:pPr>
    </w:p>
    <w:p w14:paraId="5D594E07" w14:textId="77777777" w:rsidR="00F40E14" w:rsidRPr="00407AEF" w:rsidRDefault="00F40E14" w:rsidP="00F40E14">
      <w:pPr>
        <w:tabs>
          <w:tab w:val="left" w:pos="3736"/>
        </w:tabs>
        <w:spacing w:after="0" w:line="276" w:lineRule="auto"/>
        <w:contextualSpacing/>
        <w:rPr>
          <w:rFonts w:ascii="Arial" w:eastAsia="Calibri" w:hAnsi="Arial" w:cs="Arial"/>
        </w:rPr>
      </w:pPr>
      <w:r w:rsidRPr="00407AEF">
        <w:rPr>
          <w:rFonts w:ascii="Arial" w:eastAsia="Calibri" w:hAnsi="Arial" w:cs="Arial"/>
        </w:rPr>
        <w:t>Estimado señor Meneses:</w:t>
      </w:r>
    </w:p>
    <w:p w14:paraId="461354BC" w14:textId="77777777" w:rsidR="00F40E14" w:rsidRPr="00407AEF" w:rsidRDefault="00F40E14" w:rsidP="00F40E14">
      <w:pPr>
        <w:tabs>
          <w:tab w:val="left" w:pos="3736"/>
        </w:tabs>
        <w:spacing w:after="0" w:line="276" w:lineRule="auto"/>
        <w:contextualSpacing/>
        <w:rPr>
          <w:rFonts w:ascii="Arial" w:eastAsia="Calibri" w:hAnsi="Arial" w:cs="Arial"/>
        </w:rPr>
      </w:pPr>
    </w:p>
    <w:p w14:paraId="6EA6833D" w14:textId="77777777" w:rsidR="00F40E14" w:rsidRPr="00407AEF" w:rsidRDefault="00F40E14" w:rsidP="00F40E14">
      <w:pPr>
        <w:spacing w:after="0" w:line="276" w:lineRule="auto"/>
        <w:contextualSpacing/>
        <w:jc w:val="both"/>
        <w:rPr>
          <w:rFonts w:ascii="Arial" w:eastAsia="Calibri" w:hAnsi="Arial" w:cs="Arial"/>
        </w:rPr>
      </w:pPr>
      <w:r w:rsidRPr="00407AEF">
        <w:rPr>
          <w:rFonts w:ascii="Arial" w:eastAsia="Calibri" w:hAnsi="Arial" w:cs="Arial"/>
        </w:rPr>
        <w:t xml:space="preserve">En ejercicio de la competencia otorgada por el numeral 8 del artículo 11 y el numeral 5 del artículo 3 del Decreto Ley 4170 de 2011, la Agencia Nacional de Contratación Pública – Colombia Compra Eficiente responde su consulta remitida el 20 de noviembre de 2022. </w:t>
      </w:r>
    </w:p>
    <w:p w14:paraId="0505BE4A" w14:textId="77777777" w:rsidR="00F40E14" w:rsidRPr="00407AEF" w:rsidRDefault="00F40E14" w:rsidP="00F40E14">
      <w:pPr>
        <w:spacing w:after="0" w:line="276" w:lineRule="auto"/>
        <w:contextualSpacing/>
        <w:jc w:val="both"/>
        <w:rPr>
          <w:rFonts w:ascii="Arial" w:eastAsia="Calibri" w:hAnsi="Arial" w:cs="Arial"/>
        </w:rPr>
      </w:pPr>
    </w:p>
    <w:p w14:paraId="4861CB90" w14:textId="77777777" w:rsidR="00F40E14" w:rsidRPr="00407AEF" w:rsidRDefault="00F40E14" w:rsidP="00F40E14">
      <w:pPr>
        <w:tabs>
          <w:tab w:val="left" w:pos="0"/>
        </w:tabs>
        <w:spacing w:after="0" w:line="276" w:lineRule="auto"/>
        <w:contextualSpacing/>
        <w:jc w:val="both"/>
        <w:rPr>
          <w:rFonts w:ascii="Arial" w:eastAsia="Calibri" w:hAnsi="Arial" w:cs="Arial"/>
          <w:b/>
        </w:rPr>
      </w:pPr>
      <w:r w:rsidRPr="00407AEF">
        <w:rPr>
          <w:rFonts w:ascii="Arial" w:eastAsia="Calibri" w:hAnsi="Arial" w:cs="Arial"/>
          <w:b/>
        </w:rPr>
        <w:t>1. Problema planteado</w:t>
      </w:r>
    </w:p>
    <w:p w14:paraId="6ACB335E" w14:textId="77777777" w:rsidR="00F40E14" w:rsidRPr="00407AEF" w:rsidRDefault="00F40E14" w:rsidP="00F40E14">
      <w:pPr>
        <w:tabs>
          <w:tab w:val="left" w:pos="0"/>
        </w:tabs>
        <w:spacing w:after="0" w:line="276" w:lineRule="auto"/>
        <w:contextualSpacing/>
        <w:jc w:val="both"/>
        <w:rPr>
          <w:rFonts w:ascii="Arial" w:eastAsia="Calibri" w:hAnsi="Arial" w:cs="Arial"/>
          <w:b/>
        </w:rPr>
      </w:pPr>
    </w:p>
    <w:p w14:paraId="107E981C" w14:textId="77777777" w:rsidR="00F40E14" w:rsidRPr="00407AEF" w:rsidRDefault="00F40E14" w:rsidP="00F40E14">
      <w:pPr>
        <w:pStyle w:val="gmail-msonospacing"/>
        <w:spacing w:before="0" w:beforeAutospacing="0" w:after="0" w:afterAutospacing="0" w:line="276" w:lineRule="auto"/>
        <w:ind w:right="48"/>
        <w:contextualSpacing/>
        <w:jc w:val="both"/>
        <w:rPr>
          <w:rFonts w:ascii="Arial" w:eastAsia="Calibri" w:hAnsi="Arial" w:cs="Arial"/>
          <w:lang w:val="es-ES_tradnl"/>
        </w:rPr>
      </w:pPr>
      <w:r w:rsidRPr="00407AEF">
        <w:rPr>
          <w:rFonts w:ascii="Arial" w:eastAsia="Calibri" w:hAnsi="Arial" w:cs="Arial"/>
          <w:lang w:val="es-ES_tradnl"/>
        </w:rPr>
        <w:t xml:space="preserve">De acuerdo con la solicitud, usted realiza la siguiente pregunta: </w:t>
      </w:r>
    </w:p>
    <w:p w14:paraId="639E207E" w14:textId="77777777" w:rsidR="00F40E14" w:rsidRPr="00407AEF" w:rsidRDefault="00F40E14" w:rsidP="00F40E14">
      <w:pPr>
        <w:autoSpaceDE w:val="0"/>
        <w:autoSpaceDN w:val="0"/>
        <w:adjustRightInd w:val="0"/>
        <w:spacing w:after="0" w:line="240" w:lineRule="auto"/>
        <w:contextualSpacing/>
        <w:jc w:val="both"/>
        <w:rPr>
          <w:rFonts w:ascii="Arial" w:hAnsi="Arial" w:cs="Arial"/>
          <w:sz w:val="21"/>
          <w:szCs w:val="21"/>
        </w:rPr>
      </w:pPr>
    </w:p>
    <w:p w14:paraId="44517610" w14:textId="77777777" w:rsidR="00F40E14" w:rsidRPr="00407AEF" w:rsidRDefault="00F40E14" w:rsidP="00F40E14">
      <w:pPr>
        <w:autoSpaceDE w:val="0"/>
        <w:autoSpaceDN w:val="0"/>
        <w:adjustRightInd w:val="0"/>
        <w:spacing w:after="0" w:line="240" w:lineRule="auto"/>
        <w:ind w:left="708"/>
        <w:contextualSpacing/>
        <w:jc w:val="both"/>
        <w:rPr>
          <w:rFonts w:ascii="Arial" w:hAnsi="Arial" w:cs="Arial"/>
          <w:sz w:val="21"/>
          <w:szCs w:val="21"/>
        </w:rPr>
      </w:pPr>
      <w:r w:rsidRPr="00407AEF">
        <w:rPr>
          <w:rFonts w:ascii="Arial" w:hAnsi="Arial" w:cs="Arial"/>
          <w:sz w:val="21"/>
          <w:szCs w:val="21"/>
        </w:rPr>
        <w:t>«¿Las empresas de servicios públicos de carácter oficial o mixto pueden adoptar internamente en el manual de contratación, un procedimiento para declarar el incumplimiento de sus contratistas con apego estricto al debido proceso y derecho de defensa?»</w:t>
      </w:r>
    </w:p>
    <w:p w14:paraId="042B1A0F" w14:textId="77777777" w:rsidR="00F40E14" w:rsidRPr="00407AEF" w:rsidRDefault="00F40E14" w:rsidP="00F40E14">
      <w:pPr>
        <w:autoSpaceDE w:val="0"/>
        <w:autoSpaceDN w:val="0"/>
        <w:adjustRightInd w:val="0"/>
        <w:spacing w:after="0" w:line="240" w:lineRule="auto"/>
        <w:contextualSpacing/>
        <w:jc w:val="both"/>
        <w:rPr>
          <w:rFonts w:ascii="Arial" w:hAnsi="Arial" w:cs="Arial"/>
        </w:rPr>
      </w:pPr>
    </w:p>
    <w:p w14:paraId="0493678D" w14:textId="77777777" w:rsidR="00F40E14" w:rsidRPr="00407AEF" w:rsidRDefault="00F40E14" w:rsidP="00F40E14">
      <w:pPr>
        <w:pStyle w:val="NormalWeb"/>
        <w:spacing w:before="0" w:beforeAutospacing="0" w:after="0" w:afterAutospacing="0" w:line="276" w:lineRule="auto"/>
        <w:ind w:right="51"/>
        <w:contextualSpacing/>
        <w:jc w:val="both"/>
        <w:rPr>
          <w:rFonts w:ascii="Arial" w:eastAsia="Calibri" w:hAnsi="Arial" w:cs="Arial"/>
          <w:b/>
          <w:sz w:val="22"/>
          <w:szCs w:val="22"/>
        </w:rPr>
      </w:pPr>
      <w:r w:rsidRPr="00407AEF">
        <w:rPr>
          <w:rFonts w:ascii="Arial" w:eastAsia="Calibri" w:hAnsi="Arial" w:cs="Arial"/>
          <w:b/>
          <w:sz w:val="22"/>
          <w:szCs w:val="22"/>
        </w:rPr>
        <w:t>2. Consideraciones</w:t>
      </w:r>
    </w:p>
    <w:p w14:paraId="25F8453F" w14:textId="77777777" w:rsidR="00F40E14" w:rsidRPr="00407AEF" w:rsidRDefault="00F40E14" w:rsidP="00F40E14">
      <w:pPr>
        <w:pStyle w:val="NormalWeb"/>
        <w:spacing w:before="0" w:beforeAutospacing="0" w:after="0" w:afterAutospacing="0" w:line="276" w:lineRule="auto"/>
        <w:ind w:right="51"/>
        <w:contextualSpacing/>
        <w:jc w:val="both"/>
        <w:rPr>
          <w:rFonts w:ascii="Arial" w:eastAsia="Calibri" w:hAnsi="Arial" w:cs="Arial"/>
          <w:b/>
          <w:sz w:val="22"/>
          <w:szCs w:val="22"/>
        </w:rPr>
      </w:pPr>
    </w:p>
    <w:p w14:paraId="40853E21" w14:textId="77777777" w:rsidR="00F40E14" w:rsidRPr="00407AEF" w:rsidRDefault="00F40E14" w:rsidP="00F40E14">
      <w:pPr>
        <w:spacing w:after="120" w:line="276" w:lineRule="auto"/>
        <w:jc w:val="both"/>
        <w:rPr>
          <w:rFonts w:ascii="Arial" w:hAnsi="Arial" w:cs="Arial"/>
        </w:rPr>
      </w:pPr>
      <w:r w:rsidRPr="00407AEF">
        <w:rPr>
          <w:rFonts w:ascii="Arial" w:hAnsi="Arial" w:cs="Arial"/>
          <w:bCs/>
        </w:rPr>
        <w:t xml:space="preserve">En ejercicio de las competencias establecidas en el numeral 5° del artículo 3 y el numeral 8° del artículo 11 del Decreto 4170 de 2011, la Agencia Nacional de Contratación Pública – Colombia Compra Eficiente resuelve las consultas sobre los asuntos de su competencia, esto es, sobre las temáticas de la contratación estatal y compras públicas relacionadas en los artículos citados. </w:t>
      </w:r>
      <w:bookmarkStart w:id="1" w:name="_Hlk61701014"/>
      <w:bookmarkStart w:id="2" w:name="_Hlk62136649"/>
      <w:r w:rsidRPr="00407AEF">
        <w:rPr>
          <w:rFonts w:ascii="Arial" w:hAnsi="Arial" w:cs="Arial"/>
        </w:rPr>
        <w:t xml:space="preserve">Es necesario tener en cuenta que </w:t>
      </w:r>
      <w:bookmarkStart w:id="3" w:name="_Hlk61026958"/>
      <w:r w:rsidRPr="00407AEF">
        <w:rPr>
          <w:rFonts w:ascii="Arial" w:hAnsi="Arial" w:cs="Aria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407AEF">
        <w:rPr>
          <w:rFonts w:ascii="Arial" w:hAnsi="Arial" w:cs="Arial"/>
          <w:bCs/>
        </w:rPr>
        <w:t xml:space="preserve"> de todos los partícipes de la contratación estatal.</w:t>
      </w:r>
    </w:p>
    <w:p w14:paraId="52AD5353" w14:textId="77777777" w:rsidR="00F40E14" w:rsidRPr="00407AEF" w:rsidRDefault="00F40E14" w:rsidP="00F40E14">
      <w:pPr>
        <w:spacing w:after="120" w:line="276" w:lineRule="auto"/>
        <w:ind w:firstLine="708"/>
        <w:jc w:val="both"/>
        <w:rPr>
          <w:rFonts w:ascii="Arial" w:hAnsi="Arial" w:cs="Arial"/>
        </w:rPr>
      </w:pPr>
      <w:r w:rsidRPr="00407AEF">
        <w:rPr>
          <w:rFonts w:ascii="Arial" w:hAnsi="Arial" w:cs="Aria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407AEF">
        <w:rPr>
          <w:rFonts w:ascii="Arial" w:hAnsi="Arial" w:cs="Arial"/>
          <w:vertAlign w:val="superscript"/>
        </w:rPr>
        <w:footnoteReference w:id="2"/>
      </w:r>
      <w:r w:rsidRPr="00407AEF">
        <w:rPr>
          <w:rFonts w:ascii="Arial" w:hAnsi="Arial" w:cs="Arial"/>
        </w:rPr>
        <w:t xml:space="preserve">. Esta competencia de interpretación de normas generales, por definición, no puede extenderse a la resolución de controversias, ni a brindar asesorías sobre casos puntuales. </w:t>
      </w:r>
      <w:bookmarkEnd w:id="1"/>
      <w:bookmarkEnd w:id="3"/>
    </w:p>
    <w:p w14:paraId="5E628119" w14:textId="77777777" w:rsidR="00F40E14" w:rsidRPr="00407AEF" w:rsidRDefault="00F40E14" w:rsidP="00F40E14">
      <w:pPr>
        <w:spacing w:before="120" w:line="276" w:lineRule="auto"/>
        <w:jc w:val="both"/>
        <w:rPr>
          <w:rFonts w:ascii="Arial" w:eastAsia="Calibri" w:hAnsi="Arial" w:cs="Arial"/>
          <w:b/>
          <w:bCs/>
          <w:color w:val="000000" w:themeColor="text1"/>
          <w:szCs w:val="24"/>
          <w:lang w:val="es-ES_tradnl" w:eastAsia="es-ES_tradnl"/>
        </w:rPr>
      </w:pPr>
      <w:r w:rsidRPr="00407AEF">
        <w:rPr>
          <w:rFonts w:ascii="Arial" w:hAnsi="Arial" w:cs="Arial"/>
        </w:rPr>
        <w:tab/>
        <w:t>En atención a lo anterior, esta Subdirección -dentro de los límites de su competencia- responderá su consulta, pata lo cual</w:t>
      </w:r>
      <w:r w:rsidRPr="00407AEF">
        <w:rPr>
          <w:rFonts w:ascii="Arial" w:eastAsia="Calibri" w:hAnsi="Arial" w:cs="Arial"/>
          <w:color w:val="000000" w:themeColor="text1"/>
          <w:lang w:eastAsia="es-ES_tradnl"/>
        </w:rPr>
        <w:t xml:space="preserve"> </w:t>
      </w:r>
      <w:r w:rsidRPr="00407AEF">
        <w:rPr>
          <w:rFonts w:ascii="Arial" w:eastAsia="Calibri" w:hAnsi="Arial" w:cs="Arial"/>
          <w:color w:val="000000" w:themeColor="text1"/>
          <w:lang w:val="es-ES" w:eastAsia="es-ES_tradnl"/>
        </w:rPr>
        <w:t xml:space="preserve">se analizará los siguientes temas: </w:t>
      </w:r>
      <w:bookmarkStart w:id="4" w:name="_Hlk38448224"/>
      <w:r w:rsidRPr="00407AEF">
        <w:rPr>
          <w:rFonts w:ascii="Arial" w:hAnsi="Arial" w:cs="Arial"/>
          <w:color w:val="000000" w:themeColor="text1"/>
        </w:rPr>
        <w:t xml:space="preserve">i) Naturaleza </w:t>
      </w:r>
      <w:r w:rsidRPr="00407AEF">
        <w:rPr>
          <w:rFonts w:ascii="Arial" w:hAnsi="Arial" w:cs="Arial"/>
        </w:rPr>
        <w:t xml:space="preserve">de las </w:t>
      </w:r>
      <w:r w:rsidRPr="00407AEF">
        <w:rPr>
          <w:rFonts w:ascii="Arial" w:eastAsia="Arial" w:hAnsi="Arial" w:cs="Arial"/>
          <w:color w:val="000000"/>
          <w:lang w:eastAsia="es-CO"/>
        </w:rPr>
        <w:t xml:space="preserve">Empresas de Servicios Públicos Domiciliarios, ii) </w:t>
      </w:r>
      <w:r w:rsidRPr="00407AEF">
        <w:rPr>
          <w:rFonts w:ascii="Arial" w:eastAsia="Calibri" w:hAnsi="Arial" w:cs="Arial"/>
          <w:bCs/>
          <w:color w:val="000000" w:themeColor="text1"/>
          <w:szCs w:val="24"/>
          <w:lang w:val="es-ES_tradnl" w:eastAsia="es-ES_tradnl"/>
        </w:rPr>
        <w:t>Régimen contractual aplicable a las empresas prestadoras de servicios públicos domiciliarios</w:t>
      </w:r>
      <w:r w:rsidRPr="00407AEF">
        <w:rPr>
          <w:rFonts w:ascii="Arial" w:eastAsia="Calibri" w:hAnsi="Arial" w:cs="Arial"/>
          <w:b/>
          <w:color w:val="000000" w:themeColor="text1"/>
          <w:szCs w:val="24"/>
          <w:lang w:val="es-ES_tradnl" w:eastAsia="es-ES_tradnl"/>
        </w:rPr>
        <w:t xml:space="preserve">, </w:t>
      </w:r>
      <w:r w:rsidRPr="00407AEF">
        <w:rPr>
          <w:rFonts w:ascii="Arial" w:eastAsia="Calibri" w:hAnsi="Arial" w:cs="Arial"/>
          <w:bCs/>
          <w:color w:val="000000" w:themeColor="text1"/>
          <w:szCs w:val="24"/>
          <w:lang w:val="es-ES_tradnl" w:eastAsia="es-ES_tradnl"/>
        </w:rPr>
        <w:t>iii)</w:t>
      </w:r>
      <w:r w:rsidRPr="00407AEF">
        <w:rPr>
          <w:rFonts w:ascii="Arial" w:eastAsia="Calibri" w:hAnsi="Arial" w:cs="Arial"/>
          <w:bCs/>
          <w:color w:val="000000" w:themeColor="text1"/>
          <w:lang w:val="es-ES_tradnl"/>
        </w:rPr>
        <w:t xml:space="preserve"> Manual o reglamento interno de contratación de las entidades de régimen especial</w:t>
      </w:r>
      <w:r w:rsidRPr="00407AEF">
        <w:rPr>
          <w:rFonts w:ascii="Arial" w:eastAsia="Calibri" w:hAnsi="Arial" w:cs="Arial"/>
          <w:b/>
          <w:color w:val="000000" w:themeColor="text1"/>
          <w:szCs w:val="24"/>
          <w:lang w:val="es-ES_tradnl" w:eastAsia="es-ES_tradnl"/>
        </w:rPr>
        <w:t>.</w:t>
      </w:r>
    </w:p>
    <w:bookmarkEnd w:id="4"/>
    <w:p w14:paraId="03FF9625" w14:textId="77777777" w:rsidR="00F40E14" w:rsidRPr="00407AEF" w:rsidRDefault="00F40E14" w:rsidP="00F40E14">
      <w:pPr>
        <w:spacing w:after="120" w:line="276" w:lineRule="auto"/>
        <w:ind w:firstLine="708"/>
        <w:jc w:val="both"/>
        <w:rPr>
          <w:rFonts w:ascii="Arial" w:eastAsia="Arial" w:hAnsi="Arial" w:cs="Arial"/>
        </w:rPr>
      </w:pPr>
      <w:r w:rsidRPr="00407AEF">
        <w:rPr>
          <w:rFonts w:ascii="Arial" w:hAnsi="Arial" w:cs="Arial"/>
          <w:lang w:val="es-ES"/>
        </w:rPr>
        <w:t xml:space="preserve">La Agencia Nacional de Contratación Pública – Colombia Compra Eficiente se ha pronunciado sobre </w:t>
      </w:r>
      <w:r w:rsidRPr="00407AEF">
        <w:rPr>
          <w:rFonts w:ascii="Arial" w:eastAsia="Arial" w:hAnsi="Arial" w:cs="Arial"/>
        </w:rPr>
        <w:t>las definiciones para la correcta aplicación e interpretación del régimen de servicios públicos domiciliarios en los conceptos 4201912000004354 –radicado de salida 2201913000006639– del 9 de septiembre de 2019 y 4201913000007243 –radicado de salida 2201913000008999– del 5 de diciembre de 2019 y C-307 de 18 de junio de 2021</w:t>
      </w:r>
      <w:r w:rsidRPr="00407AEF">
        <w:rPr>
          <w:rFonts w:ascii="Arial" w:hAnsi="Arial" w:cs="Arial"/>
          <w:lang w:val="es-ES"/>
        </w:rPr>
        <w:t xml:space="preserve">. Así mismo, </w:t>
      </w:r>
      <w:r w:rsidRPr="00407AEF">
        <w:rPr>
          <w:rFonts w:ascii="Arial" w:eastAsia="Calibri" w:hAnsi="Arial" w:cs="Arial"/>
          <w:bCs/>
          <w:lang w:val="es-ES_tradnl"/>
        </w:rPr>
        <w:t xml:space="preserve">se pronunció sobre el régimen contractual de los prestadores de servicios públicos </w:t>
      </w:r>
      <w:r w:rsidRPr="00407AEF">
        <w:rPr>
          <w:rFonts w:ascii="Arial" w:eastAsia="Calibri" w:hAnsi="Arial" w:cs="Arial"/>
          <w:bCs/>
          <w:color w:val="000000" w:themeColor="text1"/>
          <w:lang w:val="es-ES_tradnl"/>
        </w:rPr>
        <w:t xml:space="preserve">domiciliarios en los Conceptos C-027 del 23 de enero de 2020, </w:t>
      </w:r>
      <w:r w:rsidRPr="00407AEF">
        <w:rPr>
          <w:rFonts w:ascii="Arial" w:hAnsi="Arial" w:cs="Arial"/>
          <w:lang w:val="es-ES_tradnl"/>
        </w:rPr>
        <w:t xml:space="preserve">C-032 del 19 de febrero de 2020, C-157 del 16 de marzo de 2020, el C-147 del 17 de marzo de 2020, C-168 del 31 de marzo de 2020, C-158 del 3 </w:t>
      </w:r>
      <w:r w:rsidRPr="00407AEF">
        <w:rPr>
          <w:rFonts w:ascii="Arial" w:hAnsi="Arial" w:cs="Arial"/>
          <w:lang w:val="es-ES_tradnl"/>
        </w:rPr>
        <w:lastRenderedPageBreak/>
        <w:t>de abril de 2020, C-227 del 7 de abril de 2020, C-362 del 3 de julio de 2020, C-462 del 24 de julio de 2020</w:t>
      </w:r>
      <w:r w:rsidRPr="00407AEF">
        <w:rPr>
          <w:rFonts w:ascii="Arial" w:eastAsia="Calibri" w:hAnsi="Arial" w:cs="Arial"/>
          <w:bCs/>
          <w:color w:val="000000" w:themeColor="text1"/>
          <w:lang w:val="es-ES_tradnl"/>
        </w:rPr>
        <w:t xml:space="preserve">, C-718 del 17 de diciembre de 2020, C-053 del 9 de marzo de 2021, C-072 del 16 de marzo de 2021, C-077 del 16 de marzo de 2021, , C-218 del 14 de mayo de 2021 , C-080 del 17 de marzo de 2022, </w:t>
      </w:r>
      <w:r w:rsidRPr="00407AEF">
        <w:rPr>
          <w:rFonts w:ascii="Arial" w:eastAsia="Arial" w:hAnsi="Arial" w:cs="Arial"/>
        </w:rPr>
        <w:t>C-699 del 6 de enero de 2022</w:t>
      </w:r>
    </w:p>
    <w:p w14:paraId="7F2FB8CB" w14:textId="77777777" w:rsidR="00F40E14" w:rsidRPr="00407AEF" w:rsidRDefault="00F40E14" w:rsidP="00F40E14">
      <w:pPr>
        <w:spacing w:after="120" w:line="276" w:lineRule="auto"/>
        <w:ind w:firstLine="708"/>
        <w:jc w:val="both"/>
        <w:rPr>
          <w:rFonts w:ascii="Arial" w:eastAsia="Arial" w:hAnsi="Arial" w:cs="Arial"/>
        </w:rPr>
      </w:pPr>
      <w:r w:rsidRPr="00407AEF">
        <w:rPr>
          <w:rFonts w:ascii="Arial" w:eastAsia="Calibri" w:hAnsi="Arial" w:cs="Arial"/>
          <w:color w:val="000000"/>
          <w:lang w:val="es-ES_tradnl" w:eastAsia="en-GB"/>
        </w:rPr>
        <w:t xml:space="preserve"> Las tesis desarrolladas en aquellas oportunidades se exponen a continuación y se complementan con algunos argumentos. </w:t>
      </w:r>
    </w:p>
    <w:p w14:paraId="64D13C27" w14:textId="77777777" w:rsidR="00F40E14" w:rsidRPr="00407AEF" w:rsidRDefault="00F40E14" w:rsidP="00F40E14">
      <w:pPr>
        <w:spacing w:after="0" w:line="276" w:lineRule="auto"/>
        <w:ind w:firstLine="709"/>
        <w:contextualSpacing/>
        <w:jc w:val="both"/>
        <w:rPr>
          <w:rFonts w:ascii="Arial" w:hAnsi="Arial" w:cs="Arial"/>
        </w:rPr>
      </w:pPr>
    </w:p>
    <w:bookmarkEnd w:id="2"/>
    <w:p w14:paraId="49FDA079" w14:textId="77777777" w:rsidR="00F40E14" w:rsidRPr="00407AEF" w:rsidRDefault="00F40E14" w:rsidP="00F40E14">
      <w:pPr>
        <w:spacing w:line="276" w:lineRule="auto"/>
        <w:jc w:val="both"/>
        <w:rPr>
          <w:rFonts w:ascii="Arial" w:eastAsia="Arial" w:hAnsi="Arial" w:cs="Arial"/>
          <w:b/>
          <w:color w:val="000000"/>
          <w:lang w:eastAsia="es-CO"/>
        </w:rPr>
      </w:pPr>
      <w:r w:rsidRPr="00407AEF">
        <w:rPr>
          <w:rFonts w:ascii="Arial" w:hAnsi="Arial" w:cs="Arial"/>
          <w:b/>
          <w:bCs/>
        </w:rPr>
        <w:t xml:space="preserve">2.1. Naturaleza de las </w:t>
      </w:r>
      <w:r w:rsidRPr="00407AEF">
        <w:rPr>
          <w:rFonts w:ascii="Arial" w:eastAsia="Arial" w:hAnsi="Arial" w:cs="Arial"/>
          <w:b/>
          <w:color w:val="000000"/>
          <w:lang w:eastAsia="es-CO"/>
        </w:rPr>
        <w:t>Empresas de Servicios Públicos Domiciliarios</w:t>
      </w:r>
    </w:p>
    <w:p w14:paraId="220228E9" w14:textId="77777777" w:rsidR="00F40E14" w:rsidRPr="00407AEF" w:rsidRDefault="00F40E14" w:rsidP="00F40E14">
      <w:pPr>
        <w:widowControl w:val="0"/>
        <w:spacing w:line="276" w:lineRule="auto"/>
        <w:ind w:right="112"/>
        <w:jc w:val="both"/>
        <w:rPr>
          <w:rFonts w:ascii="Arial" w:eastAsia="Arial" w:hAnsi="Arial" w:cs="Arial"/>
          <w:lang w:eastAsia="es-CO"/>
        </w:rPr>
      </w:pPr>
      <w:r w:rsidRPr="00407AEF">
        <w:rPr>
          <w:rFonts w:ascii="Arial" w:eastAsia="Arial" w:hAnsi="Arial" w:cs="Arial"/>
          <w:lang w:eastAsia="es-CO"/>
        </w:rPr>
        <w:t xml:space="preserve">Esta Agencia reiterará la postura sostenida en los conceptos 4201912000004354 –radicado de salida 2201913000006639– del 9 de septiembre de 2019, 4201913000007243 – radicado de salida 2201913000008999– del 5 de diciembre de 2019 y C-699 de 6 de enero de 2022. Así, sea lo primero precisar que el artículo 14 de la Ley 142 de 1994 contiene las definiciones para la correcta aplicación e interpretación del régimen de servicios públicos domiciliarios. Esta norma define las Empresas de Servicios Públicos Oficial, la mixta y la privada, en los siguientes términos: </w:t>
      </w:r>
    </w:p>
    <w:p w14:paraId="47E83C26" w14:textId="77777777" w:rsidR="00F40E14" w:rsidRPr="00407AEF" w:rsidRDefault="00F40E14" w:rsidP="00F40E14">
      <w:pPr>
        <w:widowControl w:val="0"/>
        <w:spacing w:line="276" w:lineRule="auto"/>
        <w:ind w:left="709" w:right="112"/>
        <w:jc w:val="both"/>
        <w:rPr>
          <w:rFonts w:ascii="Arial" w:eastAsia="Arial" w:hAnsi="Arial" w:cs="Arial"/>
          <w:lang w:eastAsia="es-CO"/>
        </w:rPr>
      </w:pPr>
      <w:r w:rsidRPr="00407AEF">
        <w:rPr>
          <w:rFonts w:ascii="Arial" w:eastAsia="Arial" w:hAnsi="Arial" w:cs="Arial"/>
          <w:lang w:eastAsia="es-CO"/>
        </w:rPr>
        <w:t>«[…]</w:t>
      </w:r>
    </w:p>
    <w:p w14:paraId="33585EEA" w14:textId="77777777" w:rsidR="00F40E14" w:rsidRPr="00407AEF" w:rsidRDefault="00F40E14" w:rsidP="00F40E14">
      <w:pPr>
        <w:widowControl w:val="0"/>
        <w:numPr>
          <w:ilvl w:val="1"/>
          <w:numId w:val="4"/>
        </w:numPr>
        <w:tabs>
          <w:tab w:val="left" w:pos="1361"/>
        </w:tabs>
        <w:spacing w:before="93" w:after="120" w:line="240" w:lineRule="auto"/>
        <w:ind w:left="709" w:right="709" w:firstLine="0"/>
        <w:jc w:val="both"/>
        <w:rPr>
          <w:rFonts w:ascii="Arial" w:eastAsia="Calibri" w:hAnsi="Arial" w:cs="Arial"/>
          <w:szCs w:val="24"/>
          <w:lang w:eastAsia="es-CO"/>
        </w:rPr>
      </w:pPr>
      <w:r w:rsidRPr="00407AEF">
        <w:rPr>
          <w:rFonts w:ascii="Arial" w:eastAsia="Arial" w:hAnsi="Arial" w:cs="Arial"/>
          <w:lang w:eastAsia="es-CO"/>
        </w:rPr>
        <w:t>Empresa de servicios públicos oficial. Es aquella en cuyo capital la Nación, las entidades territoriales, o las entidades descentralizadas de aquella o estas tienen el 100% de los aportes.</w:t>
      </w:r>
    </w:p>
    <w:p w14:paraId="603DFA11" w14:textId="77777777" w:rsidR="00F40E14" w:rsidRPr="00407AEF" w:rsidRDefault="00F40E14" w:rsidP="00F40E14">
      <w:pPr>
        <w:widowControl w:val="0"/>
        <w:numPr>
          <w:ilvl w:val="1"/>
          <w:numId w:val="4"/>
        </w:numPr>
        <w:tabs>
          <w:tab w:val="left" w:pos="1363"/>
        </w:tabs>
        <w:spacing w:after="120" w:line="240" w:lineRule="auto"/>
        <w:ind w:left="709" w:right="709" w:firstLine="0"/>
        <w:jc w:val="both"/>
        <w:rPr>
          <w:rFonts w:ascii="Arial" w:eastAsia="Calibri" w:hAnsi="Arial" w:cs="Arial"/>
          <w:szCs w:val="24"/>
          <w:lang w:eastAsia="es-CO"/>
        </w:rPr>
      </w:pPr>
      <w:r w:rsidRPr="00407AEF">
        <w:rPr>
          <w:rFonts w:ascii="Arial" w:eastAsia="Arial" w:hAnsi="Arial" w:cs="Arial"/>
          <w:lang w:eastAsia="es-CO"/>
        </w:rPr>
        <w:t>Empresa de servicios públicos mixta. Es aquella en cuyo capital la Nación, las entidades territoriales, o las entidades descentralizadas de aquella o éstas tienen aportes iguales o superiores al 50%.</w:t>
      </w:r>
    </w:p>
    <w:p w14:paraId="44AF4DD2" w14:textId="77777777" w:rsidR="00F40E14" w:rsidRPr="00407AEF" w:rsidRDefault="00F40E14" w:rsidP="00F40E14">
      <w:pPr>
        <w:widowControl w:val="0"/>
        <w:numPr>
          <w:ilvl w:val="1"/>
          <w:numId w:val="4"/>
        </w:numPr>
        <w:tabs>
          <w:tab w:val="left" w:pos="1531"/>
        </w:tabs>
        <w:spacing w:after="0" w:line="276" w:lineRule="auto"/>
        <w:ind w:left="709" w:right="709" w:firstLine="0"/>
        <w:jc w:val="both"/>
        <w:rPr>
          <w:rFonts w:ascii="Arial" w:eastAsia="Calibri" w:hAnsi="Arial" w:cs="Arial"/>
          <w:szCs w:val="24"/>
          <w:lang w:eastAsia="es-CO"/>
        </w:rPr>
      </w:pPr>
      <w:r w:rsidRPr="00407AEF">
        <w:rPr>
          <w:rFonts w:ascii="Arial" w:eastAsia="Arial" w:hAnsi="Arial" w:cs="Arial"/>
          <w:lang w:eastAsia="es-CO"/>
        </w:rPr>
        <w:t>Empresa de servicios públicos privada. Es aquella cuyo capital pertenece mayoritariamente a particulares, o a entidades surgidas de convenios internacionales que deseen someterse íntegramente para estos efectos a las reglas a las que se someten los particulares».</w:t>
      </w:r>
    </w:p>
    <w:p w14:paraId="14493D7E" w14:textId="77777777" w:rsidR="00F40E14" w:rsidRPr="00407AEF" w:rsidRDefault="00F40E14" w:rsidP="00F40E14">
      <w:pPr>
        <w:widowControl w:val="0"/>
        <w:spacing w:after="0" w:line="276" w:lineRule="auto"/>
        <w:ind w:right="112" w:firstLine="708"/>
        <w:jc w:val="both"/>
        <w:rPr>
          <w:rFonts w:ascii="Arial" w:eastAsia="Arial" w:hAnsi="Arial" w:cs="Arial"/>
          <w:lang w:eastAsia="es-CO"/>
        </w:rPr>
      </w:pPr>
    </w:p>
    <w:p w14:paraId="58C8DA32" w14:textId="77777777" w:rsidR="00F40E14" w:rsidRPr="00407AEF" w:rsidRDefault="00F40E14" w:rsidP="00F40E14">
      <w:pPr>
        <w:widowControl w:val="0"/>
        <w:spacing w:after="120" w:line="276" w:lineRule="auto"/>
        <w:ind w:right="112" w:firstLine="708"/>
        <w:jc w:val="both"/>
        <w:rPr>
          <w:rFonts w:ascii="Arial" w:eastAsia="Calibri" w:hAnsi="Arial" w:cs="Arial"/>
          <w:szCs w:val="24"/>
          <w:lang w:eastAsia="es-CO"/>
        </w:rPr>
      </w:pPr>
      <w:r w:rsidRPr="00407AEF">
        <w:rPr>
          <w:rFonts w:ascii="Arial" w:eastAsia="Arial" w:hAnsi="Arial" w:cs="Arial"/>
          <w:lang w:eastAsia="es-CO"/>
        </w:rPr>
        <w:t xml:space="preserve">A su turno, el artículo 17 de la ley citada señala que «las empresas de servicios públicos son sociedades por acciones cuyo objeto es la prestación de los servicios públicos de que trata esta ley». De otro lado, el artículo 38 de la Ley 489 de 1998 determina la integración de la Rama Ejecutiva del Poder Público en el orden nacional, y en su literal d) señala que las empresas sociales del Estado y las empresas oficiales de servicios públicos domiciliarios pertenecen a las entidades de la Rama Ejecutiva del sector descentralizado por servicios. El artículo 68 de esta ley, al listar las entidades descentralizadas del orden nacional, se refirió únicamente a las empresas oficiales de servicios públicos, esto es, aquellas en las que la participación del Estado </w:t>
      </w:r>
      <w:r w:rsidRPr="00407AEF">
        <w:rPr>
          <w:rFonts w:ascii="Arial" w:eastAsia="Arial" w:hAnsi="Arial" w:cs="Arial"/>
          <w:lang w:eastAsia="es-CO"/>
        </w:rPr>
        <w:lastRenderedPageBreak/>
        <w:t>es del 100%</w:t>
      </w:r>
      <w:r w:rsidRPr="00407AEF">
        <w:rPr>
          <w:rFonts w:ascii="Arial" w:eastAsia="Arial" w:hAnsi="Arial" w:cs="Arial"/>
          <w:vertAlign w:val="superscript"/>
          <w:lang w:eastAsia="es-CO"/>
        </w:rPr>
        <w:footnoteReference w:id="3"/>
      </w:r>
      <w:r w:rsidRPr="00407AEF">
        <w:rPr>
          <w:rFonts w:ascii="Arial" w:eastAsia="Arial" w:hAnsi="Arial" w:cs="Arial"/>
          <w:lang w:eastAsia="es-CO"/>
        </w:rPr>
        <w:t>.</w:t>
      </w:r>
    </w:p>
    <w:p w14:paraId="2C679EAF" w14:textId="77777777" w:rsidR="00F40E14" w:rsidRPr="00407AEF" w:rsidRDefault="00F40E14" w:rsidP="00F40E14">
      <w:pPr>
        <w:widowControl w:val="0"/>
        <w:spacing w:after="120" w:line="276" w:lineRule="auto"/>
        <w:ind w:right="104" w:firstLine="720"/>
        <w:jc w:val="both"/>
        <w:rPr>
          <w:rFonts w:ascii="Arial" w:eastAsia="Calibri" w:hAnsi="Arial" w:cs="Arial"/>
          <w:szCs w:val="24"/>
          <w:lang w:eastAsia="es-CO"/>
        </w:rPr>
      </w:pPr>
      <w:r w:rsidRPr="00407AEF">
        <w:rPr>
          <w:rFonts w:ascii="Arial" w:eastAsia="Arial" w:hAnsi="Arial" w:cs="Arial"/>
          <w:lang w:eastAsia="es-CO"/>
        </w:rPr>
        <w:t xml:space="preserve">Lo anterior llevó a pensar que el legislador había excluido de la Rama Ejecutiva a las empresas de servicios públicos mixta –capital público superior al 50%– y las privadas –capital público inferior al 50%–. Sin embargo, la Corte Constitucional determinó que tanto las empresas de servicios públicos mixta como las privadas hacían parte de la Rama Ejecutiva, toda vez que el literal g) del artículo 38 de la Ley 489 de 1998 dice: «g) Las demás entidades administrativas nacionales con personería jurídica que cree, organice o autorice la ley para que formen parte de la Rama Ejecutiva del Poder Público». </w:t>
      </w:r>
    </w:p>
    <w:p w14:paraId="1E3F7658" w14:textId="77777777" w:rsidR="00F40E14" w:rsidRPr="00407AEF" w:rsidRDefault="00F40E14" w:rsidP="00F40E14">
      <w:pPr>
        <w:widowControl w:val="0"/>
        <w:spacing w:before="93" w:line="276" w:lineRule="auto"/>
        <w:ind w:right="106" w:firstLine="720"/>
        <w:jc w:val="both"/>
        <w:rPr>
          <w:rFonts w:ascii="Arial" w:eastAsia="Calibri" w:hAnsi="Arial" w:cs="Arial"/>
          <w:szCs w:val="24"/>
          <w:lang w:eastAsia="es-CO"/>
        </w:rPr>
      </w:pPr>
      <w:r w:rsidRPr="00407AEF">
        <w:rPr>
          <w:rFonts w:ascii="Arial" w:eastAsia="Arial" w:hAnsi="Arial" w:cs="Arial"/>
          <w:lang w:eastAsia="es-CO"/>
        </w:rPr>
        <w:t>La Corte Constitucional, además de señalar la pertenencia a la Rama Ejecutiva de las empresas de servicios públicos mixtas y privadas, también sostuvo que se trataba de entidades descentralizadas por servicios, en los términos del artículo 68 de la Ley 489 de 1998:</w:t>
      </w:r>
    </w:p>
    <w:p w14:paraId="03ABCE7C" w14:textId="77777777" w:rsidR="00F40E14" w:rsidRPr="00407AEF" w:rsidRDefault="00F40E14" w:rsidP="00F40E14">
      <w:pPr>
        <w:widowControl w:val="0"/>
        <w:spacing w:after="120"/>
        <w:ind w:left="709" w:right="709"/>
        <w:jc w:val="both"/>
        <w:rPr>
          <w:rFonts w:ascii="Arial" w:eastAsia="Arial" w:hAnsi="Arial" w:cs="Arial"/>
          <w:sz w:val="21"/>
          <w:szCs w:val="21"/>
          <w:lang w:eastAsia="es-CO"/>
        </w:rPr>
      </w:pPr>
      <w:r w:rsidRPr="00407AEF">
        <w:rPr>
          <w:rFonts w:ascii="Arial" w:eastAsia="Arial" w:hAnsi="Arial" w:cs="Arial"/>
          <w:sz w:val="21"/>
          <w:szCs w:val="21"/>
          <w:lang w:eastAsia="es-CO"/>
        </w:rPr>
        <w:t>«Nótese   cómo   una   empresa   de   servicios   públicos   privada   es   aquella   que mayoritariamente pertenece a particulares, lo cual, a contrario sensu, significa que minoritariamente pertenece al Estado o a sus entidades. Y que una empresa de servicios públicos mixta es aquella en la cual el capital público es igual o superior al cincuenta por ciento (50%), lo cual significa que minoritariamente pertenece a particulares. Así las cosas, una y otra se conforman con aporte de capital público, por lo cual su exclusión de la estructura de la Rama Ejecutiva y de la categoría jurídica denominada “entidades descentralizadas” resulta constitucionalmente cuestionable, toda vez que implica, a su vez, la exclusión de las consecuencias jurídicas derivadas de tal naturaleza jurídica, dispuestas expresamente por la Constitución.</w:t>
      </w:r>
    </w:p>
    <w:p w14:paraId="711D2D95" w14:textId="77777777" w:rsidR="00F40E14" w:rsidRPr="00407AEF" w:rsidRDefault="00F40E14" w:rsidP="00F40E14">
      <w:pPr>
        <w:widowControl w:val="0"/>
        <w:spacing w:after="120"/>
        <w:ind w:left="709" w:right="709"/>
        <w:jc w:val="both"/>
        <w:rPr>
          <w:rFonts w:ascii="Arial" w:eastAsia="Arial" w:hAnsi="Arial" w:cs="Arial"/>
          <w:sz w:val="21"/>
          <w:szCs w:val="21"/>
          <w:lang w:eastAsia="es-CO"/>
        </w:rPr>
      </w:pPr>
      <w:r w:rsidRPr="00407AEF">
        <w:rPr>
          <w:rFonts w:ascii="Arial" w:eastAsia="Arial" w:hAnsi="Arial" w:cs="Arial"/>
          <w:sz w:val="21"/>
          <w:szCs w:val="21"/>
          <w:lang w:eastAsia="es-CO"/>
        </w:rPr>
        <w:t>No obstante, la Corte observa que una interpretación armónica del literal d) del artículo 38 de la Ley 489 de 1998, junto con el literal g) de la misma norma, permiten entender que la voluntad legislativa no fue excluir a las empresas de servicios públicos mixtas o privadas de la pertenencia a la Rama Ejecutiva del poder público. […]</w:t>
      </w:r>
    </w:p>
    <w:p w14:paraId="076A925C" w14:textId="77777777" w:rsidR="00F40E14" w:rsidRPr="00407AEF" w:rsidRDefault="00F40E14" w:rsidP="00F40E14">
      <w:pPr>
        <w:widowControl w:val="0"/>
        <w:spacing w:after="120"/>
        <w:ind w:left="709" w:right="709"/>
        <w:jc w:val="both"/>
        <w:rPr>
          <w:rFonts w:ascii="Arial" w:eastAsia="Arial" w:hAnsi="Arial" w:cs="Arial"/>
          <w:sz w:val="21"/>
          <w:szCs w:val="21"/>
          <w:lang w:eastAsia="es-CO"/>
        </w:rPr>
      </w:pPr>
      <w:r w:rsidRPr="00407AEF">
        <w:rPr>
          <w:rFonts w:ascii="Arial" w:eastAsia="Arial" w:hAnsi="Arial" w:cs="Arial"/>
          <w:sz w:val="21"/>
          <w:szCs w:val="21"/>
          <w:lang w:eastAsia="es-CO"/>
        </w:rPr>
        <w:t xml:space="preserve">Nótese cómo en el literal d) el legislador incluye a las “demás entidades administrativas nacionales con personería jurídica que cree, organice o autorice la ley para que formen parte de la Rama Ejecutiva del Poder Público”, categoría dentro de la cual deben entenderse incluidas las empresas de servicios públicos mixtas o privadas, que de esta </w:t>
      </w:r>
      <w:r w:rsidRPr="00407AEF">
        <w:rPr>
          <w:rFonts w:ascii="Arial" w:eastAsia="Arial" w:hAnsi="Arial" w:cs="Arial"/>
          <w:sz w:val="21"/>
          <w:szCs w:val="21"/>
          <w:lang w:eastAsia="es-CO"/>
        </w:rPr>
        <w:lastRenderedPageBreak/>
        <w:t>manera, se entienden como parte de la Rama Ejecutiva en su sector descentralizado nacional.</w:t>
      </w:r>
    </w:p>
    <w:p w14:paraId="1E7D962F" w14:textId="77777777" w:rsidR="00F40E14" w:rsidRPr="00407AEF" w:rsidRDefault="00F40E14" w:rsidP="00F40E14">
      <w:pPr>
        <w:widowControl w:val="0"/>
        <w:spacing w:after="120"/>
        <w:ind w:left="709" w:right="709"/>
        <w:jc w:val="both"/>
        <w:rPr>
          <w:rFonts w:ascii="Arial" w:eastAsia="Arial" w:hAnsi="Arial" w:cs="Arial"/>
          <w:sz w:val="21"/>
          <w:szCs w:val="21"/>
          <w:lang w:eastAsia="es-CO"/>
        </w:rPr>
      </w:pPr>
      <w:r w:rsidRPr="00407AEF">
        <w:rPr>
          <w:rFonts w:ascii="Arial" w:eastAsia="Arial" w:hAnsi="Arial" w:cs="Arial"/>
          <w:sz w:val="21"/>
          <w:szCs w:val="21"/>
          <w:lang w:eastAsia="es-CO"/>
        </w:rPr>
        <w:t>Así las cosas, de cara a la constitucionalidad del artículo 38 de la Ley 498 de 1998, y concretamente de la expresión “las empresas oficiales de servicios públicos domiciliarios” contenida en su literal d), la Corte declarará su exequibilidad, por considerar que dentro del supuesto normativo del literal g) se comprenden las empresas mixtas o privadas de servicios públicos, que de esta manera viene a conformar también la Rama Ejecutiva del poder público.</w:t>
      </w:r>
    </w:p>
    <w:p w14:paraId="52F75CD8" w14:textId="77777777" w:rsidR="00F40E14" w:rsidRPr="00407AEF" w:rsidRDefault="00F40E14" w:rsidP="00F40E14">
      <w:pPr>
        <w:widowControl w:val="0"/>
        <w:spacing w:after="120"/>
        <w:ind w:left="709" w:right="709"/>
        <w:rPr>
          <w:rFonts w:ascii="Arial" w:eastAsia="Arial" w:hAnsi="Arial" w:cs="Arial"/>
          <w:sz w:val="21"/>
          <w:szCs w:val="21"/>
          <w:lang w:eastAsia="es-CO"/>
        </w:rPr>
      </w:pPr>
      <w:r w:rsidRPr="00407AEF">
        <w:rPr>
          <w:rFonts w:ascii="Arial" w:eastAsia="Arial" w:hAnsi="Arial" w:cs="Arial"/>
          <w:sz w:val="21"/>
          <w:szCs w:val="21"/>
          <w:lang w:eastAsia="es-CO"/>
        </w:rPr>
        <w:t>[…]</w:t>
      </w:r>
    </w:p>
    <w:p w14:paraId="76B1A727" w14:textId="77777777" w:rsidR="00F40E14" w:rsidRPr="00407AEF" w:rsidRDefault="00F40E14" w:rsidP="00F40E14">
      <w:pPr>
        <w:widowControl w:val="0"/>
        <w:spacing w:after="120"/>
        <w:ind w:left="709" w:right="709"/>
        <w:jc w:val="both"/>
        <w:rPr>
          <w:rFonts w:ascii="Arial" w:eastAsia="Arial" w:hAnsi="Arial" w:cs="Arial"/>
          <w:sz w:val="21"/>
          <w:szCs w:val="21"/>
          <w:lang w:eastAsia="es-CO"/>
        </w:rPr>
      </w:pPr>
      <w:r w:rsidRPr="00407AEF">
        <w:rPr>
          <w:rFonts w:ascii="Arial" w:eastAsia="Arial" w:hAnsi="Arial" w:cs="Arial"/>
          <w:sz w:val="21"/>
          <w:szCs w:val="21"/>
          <w:lang w:eastAsia="es-CO"/>
        </w:rPr>
        <w:t>Obsérvese que si bien el legislador sólo considera explícitamente como entidades descentralizadas a las empresas oficiales de servicios públicos, es decir a aquellas con un capital cien por ciento (100%) estatal, lo cual haría pensar que las mixtas y las privadas no ostentarían esta naturaleza jurídica, a continuación indica que también son entidades descentralizadas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(Subraya la Corte). Así las cosas, de manera implícita incluye a las empresas de servicios públicos mixtas o privadas como entidades descentralizadas, por lo cual la Corte no encuentra obstáculo para declarar su constitucionalidad»</w:t>
      </w:r>
      <w:r w:rsidRPr="00407AEF">
        <w:rPr>
          <w:rFonts w:ascii="Arial" w:eastAsia="Arial" w:hAnsi="Arial" w:cs="Arial"/>
          <w:sz w:val="21"/>
          <w:szCs w:val="21"/>
          <w:vertAlign w:val="superscript"/>
          <w:lang w:eastAsia="es-CO"/>
        </w:rPr>
        <w:footnoteReference w:id="4"/>
      </w:r>
      <w:r w:rsidRPr="00407AEF">
        <w:rPr>
          <w:rFonts w:ascii="Arial" w:eastAsia="Arial" w:hAnsi="Arial" w:cs="Arial"/>
          <w:sz w:val="21"/>
          <w:szCs w:val="21"/>
          <w:lang w:eastAsia="es-CO"/>
        </w:rPr>
        <w:t>.</w:t>
      </w:r>
    </w:p>
    <w:p w14:paraId="18667776" w14:textId="77777777" w:rsidR="00F40E14" w:rsidRPr="00407AEF" w:rsidRDefault="00F40E14" w:rsidP="00F40E14">
      <w:pPr>
        <w:widowControl w:val="0"/>
        <w:spacing w:before="1" w:line="276" w:lineRule="auto"/>
        <w:ind w:right="110" w:firstLine="720"/>
        <w:jc w:val="both"/>
        <w:rPr>
          <w:rFonts w:ascii="Arial" w:eastAsia="Calibri" w:hAnsi="Arial" w:cs="Arial"/>
          <w:szCs w:val="24"/>
          <w:lang w:eastAsia="es-CO"/>
        </w:rPr>
      </w:pPr>
      <w:r w:rsidRPr="00407AEF">
        <w:rPr>
          <w:rFonts w:ascii="Arial" w:eastAsia="Arial" w:hAnsi="Arial" w:cs="Arial"/>
          <w:lang w:eastAsia="es-CO"/>
        </w:rPr>
        <w:t>En esta providencia también se hace una aclaración que resulta importante: las empresas prestadoras de servicios públicos, de carácter mixto no deben ser consideradas como sociedades de economía mixta. La anterior conclusión fue fundamentada sobre la idea del carácter o naturaleza especial que la Constitución le dio a las Empresas de Servicios Públicos:</w:t>
      </w:r>
    </w:p>
    <w:p w14:paraId="2E0199BF" w14:textId="77777777" w:rsidR="00F40E14" w:rsidRPr="00407AEF" w:rsidRDefault="00F40E14" w:rsidP="00F40E14">
      <w:pPr>
        <w:widowControl w:val="0"/>
        <w:ind w:left="709" w:right="709"/>
        <w:jc w:val="both"/>
        <w:rPr>
          <w:rFonts w:ascii="Arial" w:eastAsia="Arial" w:hAnsi="Arial" w:cs="Arial"/>
          <w:sz w:val="21"/>
          <w:szCs w:val="21"/>
          <w:lang w:eastAsia="es-CO"/>
        </w:rPr>
      </w:pPr>
      <w:r w:rsidRPr="00407AEF">
        <w:rPr>
          <w:rFonts w:ascii="Arial" w:eastAsia="Arial" w:hAnsi="Arial" w:cs="Arial"/>
          <w:sz w:val="21"/>
          <w:szCs w:val="21"/>
          <w:lang w:eastAsia="es-CO"/>
        </w:rPr>
        <w:t>«No obstante, después de haber estudiado los conceptos de sociedad de economía mixta y de empresa de servicios públicos, la Corte estima que la naturaleza y el régimen jurídico especial de la prestación de los servicios públicos dispuesto por el constituyente en el artículo 365 de la Carta impiden considerar que las empresas de servicios públicos constituidas bajo la forma de sociedades por acciones, en las cuales concurran en cualquier proporción el capital público y el privado, sean “sociedades de economía mixta”. A juicio de la Corporación, y por lo dicho anteriormente, se trata de entidades de tipología especial expresamente definida por el legislador en desarrollo de las normas superiores antes mencionadas, que señalan las particularidades de esta actividad.</w:t>
      </w:r>
    </w:p>
    <w:p w14:paraId="0E7410DA" w14:textId="77777777" w:rsidR="00F40E14" w:rsidRPr="00407AEF" w:rsidRDefault="00F40E14" w:rsidP="00F40E14">
      <w:pPr>
        <w:widowControl w:val="0"/>
        <w:spacing w:before="1" w:after="120"/>
        <w:ind w:left="709" w:right="709"/>
        <w:rPr>
          <w:rFonts w:ascii="Arial" w:eastAsia="Calibri" w:hAnsi="Arial" w:cs="Arial"/>
          <w:sz w:val="21"/>
          <w:szCs w:val="21"/>
          <w:lang w:eastAsia="es-CO"/>
        </w:rPr>
      </w:pPr>
      <w:r w:rsidRPr="00407AEF">
        <w:rPr>
          <w:rFonts w:ascii="Arial" w:eastAsia="Arial" w:hAnsi="Arial" w:cs="Arial"/>
          <w:sz w:val="21"/>
          <w:szCs w:val="21"/>
          <w:lang w:eastAsia="es-CO"/>
        </w:rPr>
        <w:t>[…]</w:t>
      </w:r>
    </w:p>
    <w:p w14:paraId="15B73438" w14:textId="77777777" w:rsidR="00F40E14" w:rsidRPr="00407AEF" w:rsidRDefault="00F40E14" w:rsidP="00F40E14">
      <w:pPr>
        <w:widowControl w:val="0"/>
        <w:spacing w:before="1"/>
        <w:ind w:left="709" w:right="709"/>
        <w:jc w:val="both"/>
        <w:rPr>
          <w:rFonts w:ascii="Arial" w:eastAsia="Arial" w:hAnsi="Arial" w:cs="Arial"/>
          <w:sz w:val="21"/>
          <w:szCs w:val="21"/>
          <w:lang w:eastAsia="es-CO"/>
        </w:rPr>
      </w:pPr>
      <w:r w:rsidRPr="00407AEF">
        <w:rPr>
          <w:rFonts w:ascii="Arial" w:eastAsia="Arial" w:hAnsi="Arial" w:cs="Arial"/>
          <w:sz w:val="21"/>
          <w:szCs w:val="21"/>
          <w:lang w:eastAsia="es-CO"/>
        </w:rPr>
        <w:t xml:space="preserve">Al parecer de la Corte, la interpretación según la cual las empresas de servicios públicos son sociedades de economía mixta resulta contraria a la Constitución. Ciertamente, según se dijo arriba, del artículo 365 superior se desprende que el </w:t>
      </w:r>
      <w:r w:rsidRPr="00407AEF">
        <w:rPr>
          <w:rFonts w:ascii="Arial" w:eastAsia="Arial" w:hAnsi="Arial" w:cs="Arial"/>
          <w:sz w:val="21"/>
          <w:szCs w:val="21"/>
          <w:lang w:eastAsia="es-CO"/>
        </w:rPr>
        <w:lastRenderedPageBreak/>
        <w:t>régimen y la naturaleza jurídica de los prestadores de servicios públicos es especial; además, del numeral 7° del artículo 150 de la Carta, se extrae que el legislador está constitucionalmente autorizado para crear o autorizar la creación de “otras entidades del orden nacional”, distintas de los establecimientos públicos, las empresas comerciales e industriales de Estado y las sociedades de economía mixta»</w:t>
      </w:r>
      <w:r w:rsidRPr="00407AEF">
        <w:rPr>
          <w:rFonts w:ascii="Arial" w:eastAsia="Arial" w:hAnsi="Arial" w:cs="Arial"/>
          <w:sz w:val="21"/>
          <w:szCs w:val="21"/>
          <w:vertAlign w:val="superscript"/>
          <w:lang w:eastAsia="es-CO"/>
        </w:rPr>
        <w:footnoteReference w:id="5"/>
      </w:r>
      <w:r w:rsidRPr="00407AEF">
        <w:rPr>
          <w:rFonts w:ascii="Arial" w:eastAsia="Arial" w:hAnsi="Arial" w:cs="Arial"/>
          <w:sz w:val="21"/>
          <w:szCs w:val="21"/>
          <w:lang w:eastAsia="es-CO"/>
        </w:rPr>
        <w:t>.</w:t>
      </w:r>
    </w:p>
    <w:p w14:paraId="305B0496" w14:textId="77777777" w:rsidR="00F40E14" w:rsidRPr="00407AEF" w:rsidRDefault="00F40E14" w:rsidP="00F40E14">
      <w:pPr>
        <w:pStyle w:val="Prrafodelista"/>
        <w:tabs>
          <w:tab w:val="left" w:pos="284"/>
        </w:tabs>
        <w:spacing w:line="276" w:lineRule="auto"/>
        <w:ind w:left="0" w:firstLine="567"/>
        <w:jc w:val="both"/>
        <w:rPr>
          <w:rFonts w:ascii="Arial" w:eastAsia="Arial" w:hAnsi="Arial" w:cs="Arial"/>
          <w:lang w:eastAsia="es-CO"/>
        </w:rPr>
      </w:pPr>
      <w:r w:rsidRPr="00407AEF">
        <w:rPr>
          <w:rFonts w:ascii="Arial" w:eastAsia="Arial" w:hAnsi="Arial" w:cs="Arial"/>
          <w:lang w:eastAsia="es-CO"/>
        </w:rPr>
        <w:tab/>
        <w:t>Así las cosas, es impreciso afirmar que existen empresas de servicios públicos, cuya naturaleza jurídica es de sociedad de economía mixta, toda vez que, como quedó visto, las empresas de servicios públicos tienen una naturaleza jurídica especial que viene dada directamente por el artículo 356 de la Constitución Política. El hecho de que su composición accionaria esté compartida por recursos públicos y privados no la convierte en sociedad de economía mixta, pues las empresas de servicios públicos tienen su clasificación propia dependiendo de la composición de su capital accionario: empresas de servicios públicos oficiales, mixtas y privadas. Ahora, sin importar su clasificación, todas hacen parte de la Rama Ejecutiva, del sector descentralizado por servicios.</w:t>
      </w:r>
    </w:p>
    <w:p w14:paraId="2ECBC9D5" w14:textId="77777777" w:rsidR="00F40E14" w:rsidRPr="00407AEF" w:rsidRDefault="00F40E14" w:rsidP="00F40E14">
      <w:pPr>
        <w:pStyle w:val="Prrafodelista"/>
        <w:tabs>
          <w:tab w:val="left" w:pos="284"/>
        </w:tabs>
        <w:spacing w:after="0" w:line="276" w:lineRule="auto"/>
        <w:ind w:left="0" w:firstLine="567"/>
        <w:jc w:val="both"/>
        <w:rPr>
          <w:rFonts w:ascii="Arial" w:eastAsia="Calibri" w:hAnsi="Arial" w:cs="Arial"/>
          <w:b/>
          <w:lang w:val="es-CO"/>
        </w:rPr>
      </w:pPr>
    </w:p>
    <w:p w14:paraId="5B0AB3F7" w14:textId="77777777" w:rsidR="00F40E14" w:rsidRPr="00407AEF" w:rsidRDefault="00F40E14" w:rsidP="00F40E14">
      <w:pPr>
        <w:spacing w:line="276" w:lineRule="auto"/>
        <w:jc w:val="both"/>
        <w:rPr>
          <w:rFonts w:ascii="Arial" w:eastAsia="Calibri" w:hAnsi="Arial" w:cs="Arial"/>
          <w:color w:val="000000" w:themeColor="text1"/>
          <w:lang w:val="es-ES_tradnl"/>
        </w:rPr>
      </w:pPr>
      <w:r w:rsidRPr="00407AEF">
        <w:rPr>
          <w:rFonts w:ascii="Arial" w:eastAsia="Calibri" w:hAnsi="Arial" w:cs="Arial"/>
          <w:b/>
          <w:color w:val="000000" w:themeColor="text1"/>
          <w:lang w:val="es-ES_tradnl"/>
        </w:rPr>
        <w:t xml:space="preserve">2.2. </w:t>
      </w:r>
      <w:r w:rsidRPr="00407AEF">
        <w:rPr>
          <w:rFonts w:ascii="Arial" w:eastAsia="Calibri" w:hAnsi="Arial" w:cs="Arial"/>
          <w:b/>
          <w:color w:val="000000" w:themeColor="text1"/>
          <w:szCs w:val="24"/>
          <w:lang w:val="es-ES_tradnl" w:eastAsia="es-ES_tradnl"/>
        </w:rPr>
        <w:t xml:space="preserve">Régimen contractual aplicable a las empresas prestadoras de servicios públicos domiciliarios </w:t>
      </w:r>
    </w:p>
    <w:p w14:paraId="44A6DE6D" w14:textId="77777777" w:rsidR="00F40E14" w:rsidRPr="00407AEF" w:rsidRDefault="00F40E14" w:rsidP="00F40E14">
      <w:pPr>
        <w:spacing w:after="0" w:line="276" w:lineRule="auto"/>
        <w:jc w:val="both"/>
        <w:rPr>
          <w:rFonts w:ascii="Arial" w:eastAsia="Calibri" w:hAnsi="Arial" w:cs="Arial"/>
          <w:color w:val="000000" w:themeColor="text1"/>
          <w:szCs w:val="24"/>
          <w:lang w:val="es-ES_tradnl" w:eastAsia="es-ES_tradnl"/>
        </w:rPr>
      </w:pPr>
      <w:r w:rsidRPr="00407AEF">
        <w:rPr>
          <w:rFonts w:ascii="Arial" w:eastAsia="Calibri" w:hAnsi="Arial" w:cs="Arial"/>
          <w:color w:val="000000" w:themeColor="text1"/>
          <w:szCs w:val="24"/>
          <w:lang w:val="es-ES_tradnl" w:eastAsia="es-ES_tradnl"/>
        </w:rPr>
        <w:t>La Constitución Política de 1991 incorporó un modelo de liberalización para prestar servicios públicos domiciliarios, con arreglo al cual estos pueden ofrecerse en el mercado, en un esquema de libre competencia, directamente por el Estado, por particulares o por comunidades organizadas</w:t>
      </w:r>
      <w:r w:rsidRPr="00407AEF">
        <w:rPr>
          <w:rFonts w:ascii="Arial" w:eastAsia="Calibri" w:hAnsi="Arial" w:cs="Arial"/>
          <w:color w:val="000000" w:themeColor="text1"/>
          <w:szCs w:val="24"/>
          <w:vertAlign w:val="superscript"/>
          <w:lang w:val="es-ES_tradnl" w:eastAsia="es-ES_tradnl"/>
        </w:rPr>
        <w:footnoteReference w:id="6"/>
      </w:r>
      <w:r w:rsidRPr="00407AEF">
        <w:rPr>
          <w:rFonts w:ascii="Arial" w:eastAsia="Calibri" w:hAnsi="Arial" w:cs="Arial"/>
          <w:color w:val="000000" w:themeColor="text1"/>
          <w:szCs w:val="24"/>
          <w:lang w:val="es-ES_tradnl" w:eastAsia="es-ES_tradnl"/>
        </w:rPr>
        <w:t>. En tal sentido, el artículo 365 de la Constitución dispone lo siguiente:</w:t>
      </w:r>
    </w:p>
    <w:p w14:paraId="50AFD151" w14:textId="77777777" w:rsidR="00F40E14" w:rsidRPr="00407AEF" w:rsidRDefault="00F40E14" w:rsidP="00F40E14">
      <w:pPr>
        <w:spacing w:after="0"/>
        <w:ind w:left="709" w:right="709"/>
        <w:jc w:val="both"/>
        <w:rPr>
          <w:rFonts w:ascii="Arial" w:eastAsia="Calibri" w:hAnsi="Arial" w:cs="Arial"/>
          <w:color w:val="000000" w:themeColor="text1"/>
          <w:sz w:val="21"/>
          <w:szCs w:val="21"/>
          <w:lang w:val="es-ES_tradnl" w:eastAsia="es-ES_tradnl"/>
        </w:rPr>
      </w:pPr>
    </w:p>
    <w:p w14:paraId="03FDE27A" w14:textId="77777777" w:rsidR="00F40E14" w:rsidRPr="00407AEF" w:rsidRDefault="00F40E14" w:rsidP="00F40E14">
      <w:pPr>
        <w:spacing w:after="120"/>
        <w:ind w:left="709" w:right="709"/>
        <w:jc w:val="both"/>
        <w:rPr>
          <w:rFonts w:ascii="Arial" w:eastAsia="Calibri" w:hAnsi="Arial" w:cs="Arial"/>
          <w:color w:val="000000" w:themeColor="text1"/>
          <w:sz w:val="21"/>
          <w:szCs w:val="21"/>
          <w:lang w:val="es-ES_tradnl" w:eastAsia="es-ES_tradnl"/>
        </w:rPr>
      </w:pPr>
      <w:r w:rsidRPr="00407AEF">
        <w:rPr>
          <w:rFonts w:ascii="Arial" w:eastAsia="Calibri" w:hAnsi="Arial" w:cs="Arial"/>
          <w:color w:val="000000" w:themeColor="text1"/>
          <w:sz w:val="21"/>
          <w:szCs w:val="21"/>
          <w:lang w:val="es-ES_tradnl" w:eastAsia="es-ES_tradnl"/>
        </w:rPr>
        <w:t>«Los servicios públicos son inherentes a la finalidad social del Estado. Es deber del Estado asegurar su prestación eficiente a todos los habitantes del territorio nacional.</w:t>
      </w:r>
    </w:p>
    <w:p w14:paraId="3DE611D3" w14:textId="77777777" w:rsidR="00F40E14" w:rsidRPr="00407AEF" w:rsidRDefault="00F40E14" w:rsidP="00F40E14">
      <w:pPr>
        <w:ind w:left="709" w:right="709"/>
        <w:jc w:val="both"/>
        <w:rPr>
          <w:rFonts w:ascii="Arial" w:eastAsia="Calibri" w:hAnsi="Arial" w:cs="Arial"/>
          <w:color w:val="000000" w:themeColor="text1"/>
          <w:sz w:val="21"/>
          <w:szCs w:val="21"/>
          <w:lang w:val="es-ES_tradnl" w:eastAsia="es-ES_tradnl"/>
        </w:rPr>
      </w:pPr>
      <w:r w:rsidRPr="00407AEF">
        <w:rPr>
          <w:rFonts w:ascii="Arial" w:eastAsia="Calibri" w:hAnsi="Arial" w:cs="Arial"/>
          <w:color w:val="000000" w:themeColor="text1"/>
          <w:sz w:val="21"/>
          <w:szCs w:val="21"/>
          <w:lang w:val="es-ES_tradnl" w:eastAsia="es-ES_tradnl"/>
        </w:rPr>
        <w:lastRenderedPageBreak/>
        <w:t>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que en virtud de dicha ley, queden privadas del ejercicio de una actividad lícita».</w:t>
      </w:r>
    </w:p>
    <w:p w14:paraId="3E46ABA3" w14:textId="77777777" w:rsidR="00F40E14" w:rsidRPr="00407AEF" w:rsidRDefault="00F40E14" w:rsidP="00F40E14">
      <w:pPr>
        <w:spacing w:line="276" w:lineRule="auto"/>
        <w:ind w:firstLine="709"/>
        <w:jc w:val="both"/>
        <w:rPr>
          <w:rFonts w:ascii="Arial" w:eastAsia="Calibri" w:hAnsi="Arial" w:cs="Arial"/>
          <w:color w:val="000000" w:themeColor="text1"/>
          <w:szCs w:val="24"/>
          <w:lang w:val="es-ES_tradnl" w:eastAsia="es-ES_tradnl"/>
        </w:rPr>
      </w:pPr>
      <w:bookmarkStart w:id="5" w:name="_Hlk71791168"/>
      <w:r w:rsidRPr="00407AEF">
        <w:rPr>
          <w:rFonts w:ascii="Arial" w:hAnsi="Arial" w:cs="Arial"/>
          <w:color w:val="000000"/>
          <w:bdr w:val="none" w:sz="0" w:space="0" w:color="auto" w:frame="1"/>
        </w:rPr>
        <w:t xml:space="preserve">Con base en este presupuesto constitucional de liberalización de los servicios públicos domiciliarios el legislador expidió la Ley 142 de 1994, mediante la cual se establece el régimen de los servicios públicos domiciliarios. </w:t>
      </w:r>
      <w:r w:rsidRPr="00407AEF">
        <w:rPr>
          <w:rFonts w:ascii="Arial" w:eastAsia="Calibri" w:hAnsi="Arial" w:cs="Arial"/>
          <w:color w:val="000000" w:themeColor="text1"/>
          <w:szCs w:val="24"/>
          <w:lang w:eastAsia="es-ES_tradnl"/>
        </w:rPr>
        <w:t>E</w:t>
      </w:r>
      <w:r w:rsidRPr="00407AEF">
        <w:rPr>
          <w:rFonts w:ascii="Arial" w:eastAsia="Calibri" w:hAnsi="Arial" w:cs="Arial"/>
          <w:color w:val="000000" w:themeColor="text1"/>
          <w:szCs w:val="24"/>
          <w:lang w:val="es-ES_tradnl" w:eastAsia="es-ES_tradnl"/>
        </w:rPr>
        <w:t xml:space="preserve">l </w:t>
      </w:r>
      <w:bookmarkStart w:id="6" w:name="_Hlk71294880"/>
      <w:r w:rsidRPr="00407AEF">
        <w:rPr>
          <w:rFonts w:ascii="Arial" w:eastAsia="Calibri" w:hAnsi="Arial" w:cs="Arial"/>
          <w:color w:val="000000" w:themeColor="text1"/>
          <w:szCs w:val="24"/>
          <w:lang w:val="es-ES_tradnl" w:eastAsia="es-ES_tradnl"/>
        </w:rPr>
        <w:t xml:space="preserve">artículo 15 </w:t>
      </w:r>
      <w:bookmarkStart w:id="7" w:name="_Hlk71296753"/>
      <w:bookmarkEnd w:id="6"/>
      <w:r w:rsidRPr="00407AEF">
        <w:rPr>
          <w:rFonts w:ascii="Arial" w:eastAsia="Calibri" w:hAnsi="Arial" w:cs="Arial"/>
          <w:i/>
          <w:iCs/>
          <w:color w:val="000000" w:themeColor="text1"/>
          <w:szCs w:val="24"/>
          <w:lang w:val="es-ES_tradnl" w:eastAsia="es-ES_tradnl"/>
        </w:rPr>
        <w:t>ibídem</w:t>
      </w:r>
      <w:r w:rsidRPr="00407AEF">
        <w:rPr>
          <w:rFonts w:ascii="Arial" w:eastAsia="Calibri" w:hAnsi="Arial" w:cs="Arial"/>
          <w:color w:val="000000" w:themeColor="text1"/>
          <w:szCs w:val="24"/>
          <w:lang w:val="es-ES_tradnl" w:eastAsia="es-ES_tradnl"/>
        </w:rPr>
        <w:t xml:space="preserve"> enuncia las </w:t>
      </w:r>
      <w:bookmarkStart w:id="8" w:name="_Hlk71294901"/>
      <w:r w:rsidRPr="00407AEF">
        <w:rPr>
          <w:rFonts w:ascii="Arial" w:eastAsia="Calibri" w:hAnsi="Arial" w:cs="Arial"/>
          <w:color w:val="000000" w:themeColor="text1"/>
          <w:szCs w:val="24"/>
          <w:lang w:val="es-ES_tradnl" w:eastAsia="es-ES_tradnl"/>
        </w:rPr>
        <w:t xml:space="preserve">personas autorizadas para prestar los servicios públicos domiciliarios: </w:t>
      </w:r>
      <w:bookmarkEnd w:id="8"/>
      <w:r w:rsidRPr="00407AEF">
        <w:rPr>
          <w:rFonts w:ascii="Arial" w:eastAsia="Calibri" w:hAnsi="Arial" w:cs="Arial"/>
          <w:color w:val="000000" w:themeColor="text1"/>
          <w:szCs w:val="24"/>
          <w:lang w:val="es-ES_tradnl" w:eastAsia="es-ES_tradnl"/>
        </w:rPr>
        <w:t>i) las empresas de servicios públicos, ii) los productores marginales, iii) los municipios, en ciertos casos, iv) las organizaciones autorizadas y v) las entidades descentralizadas que se encontraran prestándolos y cumplan los requisitos establecidos en la le</w:t>
      </w:r>
      <w:bookmarkEnd w:id="7"/>
      <w:r w:rsidRPr="00407AEF">
        <w:rPr>
          <w:rFonts w:ascii="Arial" w:eastAsia="Calibri" w:hAnsi="Arial" w:cs="Arial"/>
          <w:color w:val="000000" w:themeColor="text1"/>
          <w:szCs w:val="24"/>
          <w:lang w:val="es-ES_tradnl" w:eastAsia="es-ES_tradnl"/>
        </w:rPr>
        <w:t>y</w:t>
      </w:r>
      <w:bookmarkEnd w:id="5"/>
      <w:r w:rsidRPr="00407AEF">
        <w:rPr>
          <w:rFonts w:ascii="Arial" w:eastAsia="Calibri" w:hAnsi="Arial" w:cs="Arial"/>
          <w:color w:val="000000" w:themeColor="text1"/>
          <w:szCs w:val="24"/>
          <w:vertAlign w:val="superscript"/>
          <w:lang w:val="es-ES_tradnl" w:eastAsia="es-ES_tradnl"/>
        </w:rPr>
        <w:footnoteReference w:id="7"/>
      </w:r>
      <w:r w:rsidRPr="00407AEF">
        <w:rPr>
          <w:rFonts w:ascii="Arial" w:eastAsia="Calibri" w:hAnsi="Arial" w:cs="Arial"/>
          <w:color w:val="000000" w:themeColor="text1"/>
          <w:szCs w:val="24"/>
          <w:lang w:val="es-ES_tradnl" w:eastAsia="es-ES_tradnl"/>
        </w:rPr>
        <w:t>.</w:t>
      </w:r>
    </w:p>
    <w:p w14:paraId="383359D7" w14:textId="77777777" w:rsidR="00F40E14" w:rsidRPr="00407AEF" w:rsidRDefault="00F40E14" w:rsidP="00F40E14">
      <w:pPr>
        <w:spacing w:before="120" w:line="276" w:lineRule="auto"/>
        <w:ind w:firstLine="709"/>
        <w:jc w:val="both"/>
        <w:rPr>
          <w:rFonts w:ascii="Arial" w:eastAsia="Calibri" w:hAnsi="Arial" w:cs="Arial"/>
          <w:color w:val="000000" w:themeColor="text1"/>
          <w:szCs w:val="24"/>
          <w:lang w:val="es-ES_tradnl" w:eastAsia="es-ES_tradnl"/>
        </w:rPr>
      </w:pPr>
      <w:r w:rsidRPr="00407AEF">
        <w:rPr>
          <w:rFonts w:ascii="Arial" w:eastAsia="Calibri" w:hAnsi="Arial" w:cs="Arial"/>
          <w:color w:val="000000" w:themeColor="text1"/>
          <w:szCs w:val="24"/>
          <w:lang w:val="es-ES_tradnl" w:eastAsia="es-ES_tradnl"/>
        </w:rPr>
        <w:t>Ahora bien, en lo que atañe específicamente al régimen de contratación, el artículo 31 de la Ley 142 de 1994, modificado por el artículo 3 de la Ley 689 de 2001, dispone que</w:t>
      </w:r>
      <w:r w:rsidRPr="00407AEF">
        <w:rPr>
          <w:rFonts w:ascii="Arial" w:hAnsi="Arial" w:cs="Arial"/>
          <w:color w:val="000000"/>
          <w:bdr w:val="none" w:sz="0" w:space="0" w:color="auto" w:frame="1"/>
        </w:rPr>
        <w:t xml:space="preserve"> los contratos que celebren las entidades estatales que prestan los servicios públicos domiciliarios «no estarán sujetos a las disposiciones del Estatuto General de Contratación de la Administración Pública, salvo en lo que la presente ley disponga otra cosa»</w:t>
      </w:r>
      <w:r w:rsidRPr="00407AEF">
        <w:rPr>
          <w:rFonts w:ascii="Arial" w:eastAsia="Calibri" w:hAnsi="Arial" w:cs="Arial"/>
          <w:color w:val="000000" w:themeColor="text1"/>
          <w:szCs w:val="24"/>
          <w:lang w:val="es-ES_tradnl" w:eastAsia="es-ES_tradnl"/>
        </w:rPr>
        <w:t>. Por su parte, el artículo 32 de la Ley 142 consagra el régimen de derecho privado para las empresas de servicios públicos domiciliarios, indicando que sus actos se rigen por los principios y reglas aplicables a los particulares</w:t>
      </w:r>
      <w:r w:rsidRPr="00407AEF">
        <w:rPr>
          <w:rFonts w:ascii="Arial" w:eastAsia="Calibri" w:hAnsi="Arial" w:cs="Arial"/>
          <w:color w:val="000000" w:themeColor="text1"/>
          <w:szCs w:val="24"/>
          <w:vertAlign w:val="superscript"/>
          <w:lang w:val="es-ES_tradnl" w:eastAsia="es-ES_tradnl"/>
        </w:rPr>
        <w:footnoteReference w:id="8"/>
      </w:r>
      <w:r w:rsidRPr="00407AEF">
        <w:rPr>
          <w:rFonts w:ascii="Arial" w:eastAsia="Calibri" w:hAnsi="Arial" w:cs="Arial"/>
          <w:color w:val="000000" w:themeColor="text1"/>
          <w:szCs w:val="24"/>
          <w:lang w:val="es-ES_tradnl" w:eastAsia="es-ES_tradnl"/>
        </w:rPr>
        <w:t>.</w:t>
      </w:r>
    </w:p>
    <w:p w14:paraId="250A6DD7" w14:textId="77777777" w:rsidR="00F40E14" w:rsidRPr="00407AEF" w:rsidRDefault="00F40E14" w:rsidP="00F40E14">
      <w:pPr>
        <w:spacing w:before="120" w:line="276" w:lineRule="auto"/>
        <w:ind w:firstLine="709"/>
        <w:jc w:val="both"/>
        <w:rPr>
          <w:rFonts w:ascii="Arial" w:eastAsia="Calibri" w:hAnsi="Arial" w:cs="Arial"/>
          <w:color w:val="000000" w:themeColor="text1"/>
          <w:szCs w:val="24"/>
          <w:lang w:val="es-ES_tradnl" w:eastAsia="es-ES_tradnl"/>
        </w:rPr>
      </w:pPr>
      <w:r w:rsidRPr="00407AEF">
        <w:rPr>
          <w:rFonts w:ascii="Arial" w:eastAsia="Calibri" w:hAnsi="Arial" w:cs="Arial"/>
          <w:color w:val="000000" w:themeColor="text1"/>
          <w:szCs w:val="24"/>
          <w:lang w:val="es-ES_tradnl" w:eastAsia="es-ES_tradnl"/>
        </w:rPr>
        <w:lastRenderedPageBreak/>
        <w:t>En consecuencia, de la lectura sistemática de las normas referidas puede concluirse que el régimen jurídico que, por regla general, debe aplicarse a la contratación que efectúan las empresas prestadoras de servicios públicos domiciliarios es el derecho privado, y solo excepcionalmente el contenido en el Estatuto General de Contratación de la Administración Pública</w:t>
      </w:r>
      <w:r w:rsidRPr="00407AEF">
        <w:rPr>
          <w:rFonts w:ascii="Arial" w:eastAsia="Calibri" w:hAnsi="Arial" w:cs="Arial"/>
          <w:color w:val="000000" w:themeColor="text1"/>
          <w:sz w:val="21"/>
          <w:szCs w:val="21"/>
          <w:vertAlign w:val="superscript"/>
          <w:lang w:val="es-ES_tradnl" w:eastAsia="es-ES_tradnl"/>
        </w:rPr>
        <w:footnoteReference w:id="9"/>
      </w:r>
      <w:r w:rsidRPr="00407AEF">
        <w:rPr>
          <w:rFonts w:ascii="Arial" w:eastAsia="Calibri" w:hAnsi="Arial" w:cs="Arial"/>
          <w:color w:val="000000" w:themeColor="text1"/>
          <w:sz w:val="21"/>
          <w:szCs w:val="21"/>
          <w:lang w:val="es-ES_tradnl" w:eastAsia="es-ES_tradnl"/>
        </w:rPr>
        <w:t>.</w:t>
      </w:r>
      <w:r w:rsidRPr="00407AEF">
        <w:rPr>
          <w:rFonts w:ascii="Arial" w:eastAsia="Calibri" w:hAnsi="Arial" w:cs="Arial"/>
          <w:color w:val="000000" w:themeColor="text1"/>
          <w:szCs w:val="24"/>
          <w:lang w:val="es-ES_tradnl" w:eastAsia="es-ES_tradnl"/>
        </w:rPr>
        <w:t xml:space="preserve"> En otras palabras, </w:t>
      </w:r>
      <w:bookmarkStart w:id="9" w:name="_Hlk71653647"/>
      <w:r w:rsidRPr="00407AEF">
        <w:rPr>
          <w:rFonts w:ascii="Arial" w:eastAsia="Calibri" w:hAnsi="Arial" w:cs="Arial"/>
          <w:color w:val="000000" w:themeColor="text1"/>
          <w:szCs w:val="24"/>
          <w:lang w:val="es-ES_tradnl" w:eastAsia="es-ES_tradnl"/>
        </w:rPr>
        <w:t xml:space="preserve">las empresas prestadoras de servicios públicos domiciliarios </w:t>
      </w:r>
      <w:bookmarkStart w:id="10" w:name="_Hlk71738505"/>
      <w:r w:rsidRPr="00407AEF">
        <w:rPr>
          <w:rFonts w:ascii="Arial" w:eastAsia="Calibri" w:hAnsi="Arial" w:cs="Arial"/>
          <w:color w:val="000000" w:themeColor="text1"/>
          <w:szCs w:val="24"/>
          <w:lang w:val="es-ES_tradnl" w:eastAsia="es-ES_tradnl"/>
        </w:rPr>
        <w:t xml:space="preserve">se sujetan, en su actividad contractual, a las disposiciones del derecho privado, salvo en aquellos casos en los que la Constitución, la Ley 142 de 1994 u otras leyes especiales, sometan tal conducta al Estatuto General de Contratación de la Administración Pública, es decir, a la Ley 80 de 1993, Ley 1150 de 2007 y demás normas complementarias. </w:t>
      </w:r>
    </w:p>
    <w:bookmarkEnd w:id="9"/>
    <w:bookmarkEnd w:id="10"/>
    <w:p w14:paraId="1C2497B1" w14:textId="77777777" w:rsidR="00F40E14" w:rsidRPr="00407AEF" w:rsidRDefault="00F40E14" w:rsidP="00F40E14">
      <w:pPr>
        <w:spacing w:after="0" w:line="276" w:lineRule="auto"/>
        <w:ind w:firstLine="709"/>
        <w:jc w:val="both"/>
        <w:rPr>
          <w:rFonts w:ascii="Arial" w:eastAsia="Calibri" w:hAnsi="Arial" w:cs="Arial"/>
          <w:color w:val="000000" w:themeColor="text1"/>
          <w:lang w:val="es-ES_tradnl" w:eastAsia="es-ES_tradnl"/>
        </w:rPr>
      </w:pPr>
      <w:r w:rsidRPr="00407AEF">
        <w:rPr>
          <w:rFonts w:ascii="Arial" w:eastAsia="Calibri" w:hAnsi="Arial" w:cs="Arial"/>
          <w:color w:val="000000" w:themeColor="text1"/>
          <w:lang w:val="es-ES_tradnl" w:eastAsia="es-ES_tradnl"/>
        </w:rPr>
        <w:t>Lo anterior no significa que la actividad contractual de las empresas prestadoras de servicios públicos domiciliarios se rija por un «derecho privado puro», pues este se encuentra irrigado, entre otras cosas, por los principios de la función administrativa y de la gestión fiscal, previstos en los artículos 209 y 267 de la Constitución, y sometida al régimen de inhabilidades e incompatibilidades previsto legalmente para la contratación estatal, toda vez que así lo dispone el artículo 13 de la Ley 1150 de 2007</w:t>
      </w:r>
      <w:r w:rsidRPr="00407AEF">
        <w:rPr>
          <w:rFonts w:ascii="Arial" w:eastAsia="Calibri" w:hAnsi="Arial" w:cs="Arial"/>
          <w:color w:val="000000" w:themeColor="text1"/>
          <w:vertAlign w:val="superscript"/>
          <w:lang w:val="es-ES_tradnl" w:eastAsia="es-ES_tradnl"/>
        </w:rPr>
        <w:footnoteReference w:id="10"/>
      </w:r>
      <w:r w:rsidRPr="00407AEF">
        <w:rPr>
          <w:rFonts w:ascii="Arial" w:eastAsia="Calibri" w:hAnsi="Arial" w:cs="Arial"/>
          <w:color w:val="000000" w:themeColor="text1"/>
          <w:lang w:val="es-ES_tradnl" w:eastAsia="es-ES_tradnl"/>
        </w:rPr>
        <w:t>.</w:t>
      </w:r>
    </w:p>
    <w:p w14:paraId="42DC18D3" w14:textId="77777777" w:rsidR="00F40E14" w:rsidRPr="00407AEF" w:rsidRDefault="00F40E14" w:rsidP="00F40E14">
      <w:pPr>
        <w:widowControl w:val="0"/>
        <w:autoSpaceDE w:val="0"/>
        <w:autoSpaceDN w:val="0"/>
        <w:spacing w:before="120" w:line="276" w:lineRule="auto"/>
        <w:ind w:firstLine="708"/>
        <w:jc w:val="both"/>
        <w:rPr>
          <w:rFonts w:ascii="Arial" w:eastAsia="Calibri" w:hAnsi="Arial" w:cs="Arial"/>
          <w:color w:val="000000"/>
          <w:lang w:val="es-ES_tradnl" w:eastAsia="es-ES" w:bidi="es-ES"/>
        </w:rPr>
      </w:pPr>
      <w:r w:rsidRPr="00407AEF">
        <w:rPr>
          <w:rFonts w:ascii="Arial" w:eastAsia="Calibri" w:hAnsi="Arial" w:cs="Arial"/>
          <w:color w:val="000000"/>
          <w:lang w:val="es-ES_tradnl" w:eastAsia="es-ES" w:bidi="es-ES"/>
        </w:rPr>
        <w:t xml:space="preserve">Ahora bien, de conformidad con lo arriba expuesto, las empresas de servicios públicos domiciliarios, aun aquellas que sean estatales, por regla general, no están sujetas a las disposiciones del EGCAP, por cuanto, en virtud del artículo 32 de la Ley 142 de 1994, sus actos y contratos se rigen únicamente por las normas del derecho privado. En este sentido, la </w:t>
      </w:r>
      <w:r w:rsidRPr="00407AEF">
        <w:rPr>
          <w:rFonts w:ascii="Arial" w:eastAsia="Calibri" w:hAnsi="Arial" w:cs="Arial"/>
          <w:color w:val="000000"/>
          <w:lang w:val="es-ES_tradnl" w:eastAsia="es-ES" w:bidi="es-ES"/>
        </w:rPr>
        <w:lastRenderedPageBreak/>
        <w:t>jurisprudencia del Consejo de Estado ha puntualizado</w:t>
      </w:r>
      <w:r w:rsidRPr="00407AEF">
        <w:rPr>
          <w:rStyle w:val="Refdenotaalpie"/>
          <w:rFonts w:ascii="Arial" w:eastAsia="Calibri" w:hAnsi="Arial" w:cs="Arial"/>
          <w:color w:val="000000"/>
          <w:lang w:val="es-ES_tradnl" w:eastAsia="es-ES" w:bidi="es-ES"/>
        </w:rPr>
        <w:footnoteReference w:id="11"/>
      </w:r>
      <w:r w:rsidRPr="00407AEF">
        <w:rPr>
          <w:rFonts w:ascii="Arial" w:eastAsia="Calibri" w:hAnsi="Arial" w:cs="Arial"/>
          <w:color w:val="000000"/>
          <w:lang w:val="es-ES_tradnl" w:eastAsia="es-ES" w:bidi="es-ES"/>
        </w:rPr>
        <w:t>:</w:t>
      </w:r>
    </w:p>
    <w:p w14:paraId="10B120FC" w14:textId="77777777" w:rsidR="00F40E14" w:rsidRPr="00407AEF" w:rsidRDefault="00F40E14" w:rsidP="00F40E14">
      <w:pPr>
        <w:widowControl w:val="0"/>
        <w:autoSpaceDE w:val="0"/>
        <w:autoSpaceDN w:val="0"/>
        <w:ind w:left="709" w:right="709"/>
        <w:jc w:val="both"/>
        <w:rPr>
          <w:rFonts w:ascii="Arial" w:eastAsia="Calibri" w:hAnsi="Arial" w:cs="Arial"/>
          <w:color w:val="000000"/>
          <w:sz w:val="21"/>
          <w:szCs w:val="21"/>
          <w:lang w:val="es-ES_tradnl" w:eastAsia="es-ES" w:bidi="es-ES"/>
        </w:rPr>
      </w:pPr>
      <w:r w:rsidRPr="00407AEF">
        <w:rPr>
          <w:rFonts w:ascii="Arial" w:eastAsia="Calibri" w:hAnsi="Arial" w:cs="Arial"/>
          <w:color w:val="000000"/>
          <w:sz w:val="21"/>
          <w:szCs w:val="21"/>
          <w:lang w:val="es-ES_tradnl" w:eastAsia="es-ES" w:bidi="es-ES"/>
        </w:rPr>
        <w:t>«[E]l régimen colombiano de los servicios públicos domiciliarios busca garantizar la libre iniciativa y competencia [...]. y garantizar la igualdad todas las prestadoras de tales servicios. Para ello, resulta indispensable que se defina un régimen único de contratación el cual, en atención al esquema de libre competencia en el que se prestan los servicios públicos domiciliarios, debe ser preponderantemente ius privatista, como lo ha venido manifestando esta Corporación desde la sentencia de 23 de septiembre de 1997»</w:t>
      </w:r>
      <w:r w:rsidRPr="00407AEF">
        <w:rPr>
          <w:rStyle w:val="Refdenotaalpie"/>
          <w:rFonts w:ascii="Arial" w:eastAsia="Calibri" w:hAnsi="Arial" w:cs="Arial"/>
          <w:color w:val="000000"/>
          <w:sz w:val="21"/>
          <w:szCs w:val="21"/>
          <w:lang w:val="es-ES_tradnl" w:eastAsia="es-ES" w:bidi="es-ES"/>
        </w:rPr>
        <w:footnoteReference w:id="12"/>
      </w:r>
      <w:r w:rsidRPr="00407AEF">
        <w:rPr>
          <w:rFonts w:ascii="Arial" w:eastAsia="Calibri" w:hAnsi="Arial" w:cs="Arial"/>
          <w:color w:val="000000"/>
          <w:sz w:val="21"/>
          <w:szCs w:val="21"/>
          <w:lang w:val="es-ES_tradnl" w:eastAsia="es-ES" w:bidi="es-ES"/>
        </w:rPr>
        <w:t xml:space="preserve">. </w:t>
      </w:r>
    </w:p>
    <w:p w14:paraId="764B1E36" w14:textId="77777777" w:rsidR="00F40E14" w:rsidRPr="00407AEF" w:rsidRDefault="00F40E14" w:rsidP="00F40E14">
      <w:pPr>
        <w:widowControl w:val="0"/>
        <w:autoSpaceDE w:val="0"/>
        <w:autoSpaceDN w:val="0"/>
        <w:ind w:left="709" w:right="709"/>
        <w:jc w:val="both"/>
        <w:rPr>
          <w:rFonts w:ascii="Arial" w:eastAsia="Calibri" w:hAnsi="Arial" w:cs="Arial"/>
          <w:color w:val="000000"/>
          <w:sz w:val="21"/>
          <w:szCs w:val="21"/>
          <w:lang w:val="es-ES_tradnl" w:eastAsia="es-ES" w:bidi="es-ES"/>
        </w:rPr>
      </w:pPr>
      <w:r w:rsidRPr="00407AEF">
        <w:rPr>
          <w:rFonts w:ascii="Arial" w:eastAsia="Calibri" w:hAnsi="Arial" w:cs="Arial"/>
          <w:color w:val="000000"/>
          <w:sz w:val="21"/>
          <w:szCs w:val="21"/>
          <w:lang w:val="es-ES_tradnl" w:eastAsia="es-ES" w:bidi="es-ES"/>
        </w:rPr>
        <w:t>La Sala Plena de la Sección Tercera ha definido los siguientes aspectos generales del régimen contractual de las empresas y entidades prestadoras de servicios públicos domiciliarios:</w:t>
      </w:r>
    </w:p>
    <w:p w14:paraId="3AD30670" w14:textId="77777777" w:rsidR="00F40E14" w:rsidRPr="00407AEF" w:rsidRDefault="00F40E14" w:rsidP="00F40E14">
      <w:pPr>
        <w:widowControl w:val="0"/>
        <w:autoSpaceDE w:val="0"/>
        <w:autoSpaceDN w:val="0"/>
        <w:ind w:left="709" w:right="709"/>
        <w:jc w:val="both"/>
        <w:rPr>
          <w:rFonts w:ascii="Arial" w:eastAsia="Calibri" w:hAnsi="Arial" w:cs="Arial"/>
          <w:color w:val="000000"/>
          <w:sz w:val="21"/>
          <w:szCs w:val="21"/>
          <w:lang w:val="es-ES_tradnl" w:eastAsia="es-ES" w:bidi="es-ES"/>
        </w:rPr>
      </w:pPr>
      <w:r w:rsidRPr="00407AEF">
        <w:rPr>
          <w:rFonts w:ascii="Arial" w:eastAsia="Calibri" w:hAnsi="Arial" w:cs="Arial"/>
          <w:color w:val="000000"/>
          <w:sz w:val="21"/>
          <w:szCs w:val="21"/>
          <w:lang w:val="es-ES_tradnl" w:eastAsia="es-ES" w:bidi="es-ES"/>
        </w:rPr>
        <w:t>'a) Los prestadores de servicios públicos domiciliarios, incluyendo a aquellos que tienen la calidad de entidades estatales, se rigen por las reglas del derecho privado y no por el Estatuto General de Contratación de la Administración Pública, salvo disposiciones que así lo indican, para el efecto: los contratos en los que se utilizan cláusulas exorbitantes autorizadas por las Comisiones de Regulación, así como los contratos mediante los cuales los entes territoriales trasladan la prestación directamente o en razón de la disolución o liquidación de empresas estatales encargadas de hacerlo -arts. 31 y 32-.</w:t>
      </w:r>
    </w:p>
    <w:p w14:paraId="4CAAC43D" w14:textId="77777777" w:rsidR="00F40E14" w:rsidRPr="00407AEF" w:rsidRDefault="00F40E14" w:rsidP="00F40E14">
      <w:pPr>
        <w:widowControl w:val="0"/>
        <w:autoSpaceDE w:val="0"/>
        <w:autoSpaceDN w:val="0"/>
        <w:ind w:left="709" w:right="709"/>
        <w:jc w:val="both"/>
        <w:rPr>
          <w:rFonts w:ascii="Arial" w:eastAsia="Calibri" w:hAnsi="Arial" w:cs="Arial"/>
          <w:color w:val="000000"/>
          <w:sz w:val="21"/>
          <w:szCs w:val="21"/>
          <w:lang w:val="es-ES_tradnl" w:eastAsia="es-ES" w:bidi="es-ES"/>
        </w:rPr>
      </w:pPr>
      <w:r w:rsidRPr="00407AEF">
        <w:rPr>
          <w:rFonts w:ascii="Arial" w:eastAsia="Calibri" w:hAnsi="Arial" w:cs="Arial"/>
          <w:color w:val="000000"/>
          <w:sz w:val="21"/>
          <w:szCs w:val="21"/>
          <w:lang w:val="es-ES_tradnl" w:eastAsia="es-ES" w:bidi="es-ES"/>
        </w:rPr>
        <w:t>b) Las normas contractuales establecidas para los prestadores de servicios públicos domiciliarios, incluyendo las del derecho privado, se interpretarán –se destaca- '[...]. de acuerdo con los principios que contiene el título preliminar; en la forma que mejor garantice la libre competencia y que mejor impida los abusos de la posición dominante [...].; y que más favorezca la continuidad y calidad en la prestación de los servicios' (art. 30), esto es, con sujeción a los principios de libre competencia y eficiencia económica [...].</w:t>
      </w:r>
    </w:p>
    <w:p w14:paraId="4E3731EC" w14:textId="77777777" w:rsidR="00F40E14" w:rsidRPr="00407AEF" w:rsidRDefault="00F40E14" w:rsidP="00F40E14">
      <w:pPr>
        <w:widowControl w:val="0"/>
        <w:autoSpaceDE w:val="0"/>
        <w:autoSpaceDN w:val="0"/>
        <w:ind w:left="709" w:right="709"/>
        <w:jc w:val="both"/>
        <w:rPr>
          <w:rFonts w:ascii="Arial" w:eastAsia="Calibri" w:hAnsi="Arial" w:cs="Arial"/>
          <w:color w:val="000000"/>
          <w:sz w:val="21"/>
          <w:szCs w:val="21"/>
          <w:lang w:val="es-ES_tradnl" w:eastAsia="es-ES" w:bidi="es-ES"/>
        </w:rPr>
      </w:pPr>
      <w:r w:rsidRPr="00407AEF">
        <w:rPr>
          <w:rFonts w:ascii="Arial" w:eastAsia="Calibri" w:hAnsi="Arial" w:cs="Arial"/>
          <w:color w:val="000000"/>
          <w:sz w:val="21"/>
          <w:szCs w:val="21"/>
          <w:lang w:val="es-ES_tradnl" w:eastAsia="es-ES" w:bidi="es-ES"/>
        </w:rPr>
        <w:t xml:space="preserve">Sin embargo, la Sala Plena de la Sección Tercera precisó que el régimen contractual especial de las prestadoras de servicios públicos domiciliarios 'no excluye la aplicación de los principios constitucionales que rigen la actividad de las entidades públicas, sino que debe acompasarse en todo aquello que no desvirtúe su naturaleza y régimen jurídico'. Por lo tanto, el desarrollo de sus actividades, lo que comprende tanto sus actos como sus contratos, 'se sujeta a los principios de buena fe, igualdad, moralidad, celeridad, economía, imparcialidad, eficacia, eficiencia, participación, publicidad, responsabilidad y transparencia, en cuanto compatibles con su naturaleza y régimen, al tenor de lo dispuesto en los artículos 209 constitucional, 2, 3 y 39 de la Ley 489 de </w:t>
      </w:r>
      <w:r w:rsidRPr="00407AEF">
        <w:rPr>
          <w:rFonts w:ascii="Arial" w:eastAsia="Calibri" w:hAnsi="Arial" w:cs="Arial"/>
          <w:color w:val="000000"/>
          <w:sz w:val="21"/>
          <w:szCs w:val="21"/>
          <w:lang w:val="es-ES_tradnl" w:eastAsia="es-ES" w:bidi="es-ES"/>
        </w:rPr>
        <w:lastRenderedPageBreak/>
        <w:t>1998'»</w:t>
      </w:r>
      <w:r w:rsidRPr="00407AEF">
        <w:rPr>
          <w:rStyle w:val="Refdenotaalpie"/>
          <w:rFonts w:ascii="Arial" w:eastAsia="Calibri" w:hAnsi="Arial" w:cs="Arial"/>
          <w:color w:val="000000"/>
          <w:lang w:val="es-ES_tradnl" w:eastAsia="es-ES" w:bidi="es-ES"/>
        </w:rPr>
        <w:footnoteReference w:id="13"/>
      </w:r>
      <w:r w:rsidRPr="00407AEF">
        <w:rPr>
          <w:rFonts w:ascii="Arial" w:eastAsia="Calibri" w:hAnsi="Arial" w:cs="Arial"/>
          <w:color w:val="000000"/>
          <w:sz w:val="21"/>
          <w:szCs w:val="21"/>
          <w:lang w:val="es-ES_tradnl" w:eastAsia="es-ES" w:bidi="es-ES"/>
        </w:rPr>
        <w:t>.</w:t>
      </w:r>
    </w:p>
    <w:p w14:paraId="36831BCD" w14:textId="77777777" w:rsidR="00F40E14" w:rsidRPr="00407AEF" w:rsidRDefault="00F40E14" w:rsidP="00F40E14">
      <w:pPr>
        <w:spacing w:line="276" w:lineRule="auto"/>
        <w:jc w:val="both"/>
        <w:rPr>
          <w:rFonts w:ascii="Arial" w:eastAsia="Calibri" w:hAnsi="Arial" w:cs="Arial"/>
          <w:b/>
          <w:color w:val="000000" w:themeColor="text1"/>
          <w:lang w:val="es-ES_tradnl"/>
        </w:rPr>
      </w:pPr>
      <w:r w:rsidRPr="00407AEF">
        <w:rPr>
          <w:rFonts w:ascii="Arial" w:eastAsia="Calibri" w:hAnsi="Arial" w:cs="Arial"/>
          <w:b/>
          <w:color w:val="000000" w:themeColor="text1"/>
          <w:lang w:val="es-ES_tradnl"/>
        </w:rPr>
        <w:t xml:space="preserve">2.3. Manual o reglamento interno de contratación de las entidades de régimen especial: límites derivados de la reserva de ley y forma de llenar sus vacíos </w:t>
      </w:r>
    </w:p>
    <w:p w14:paraId="5ECE64FB" w14:textId="77777777" w:rsidR="00F40E14" w:rsidRPr="00407AEF" w:rsidRDefault="00F40E14" w:rsidP="00F40E14">
      <w:pPr>
        <w:spacing w:line="276" w:lineRule="auto"/>
        <w:jc w:val="both"/>
        <w:rPr>
          <w:rFonts w:ascii="Arial" w:eastAsia="Calibri" w:hAnsi="Arial" w:cs="Arial"/>
          <w:color w:val="000000" w:themeColor="text1"/>
          <w:lang w:val="es-ES_tradnl"/>
        </w:rPr>
      </w:pPr>
    </w:p>
    <w:p w14:paraId="2F04E566" w14:textId="77777777" w:rsidR="00F40E14" w:rsidRPr="00407AEF" w:rsidRDefault="00F40E14" w:rsidP="00F40E14">
      <w:pPr>
        <w:spacing w:line="276" w:lineRule="auto"/>
        <w:jc w:val="both"/>
        <w:rPr>
          <w:rFonts w:ascii="Arial" w:eastAsia="Calibri" w:hAnsi="Arial" w:cs="Arial"/>
          <w:color w:val="000000" w:themeColor="text1"/>
          <w:lang w:val="es-ES_tradnl"/>
        </w:rPr>
      </w:pPr>
      <w:r w:rsidRPr="00407AEF">
        <w:rPr>
          <w:rFonts w:ascii="Arial" w:eastAsia="Calibri" w:hAnsi="Arial" w:cs="Arial"/>
          <w:color w:val="000000" w:themeColor="text1"/>
          <w:lang w:val="es-ES_tradnl"/>
        </w:rPr>
        <w:t>Según se indicó anteriormente, las entidades estatales que, por disposición legal, cuentan con un régimen especial</w:t>
      </w:r>
      <w:r w:rsidRPr="00407AEF">
        <w:rPr>
          <w:rFonts w:ascii="Arial" w:eastAsia="Calibri" w:hAnsi="Arial" w:cs="Arial"/>
          <w:color w:val="000000" w:themeColor="text1"/>
          <w:vertAlign w:val="superscript"/>
          <w:lang w:val="es-ES_tradnl"/>
        </w:rPr>
        <w:footnoteReference w:id="14"/>
      </w:r>
      <w:r w:rsidRPr="00407AEF">
        <w:rPr>
          <w:rFonts w:ascii="Arial" w:eastAsia="Calibri" w:hAnsi="Arial" w:cs="Arial"/>
          <w:color w:val="000000" w:themeColor="text1"/>
          <w:lang w:val="es-ES_tradnl"/>
        </w:rPr>
        <w:t>, exceptuado del Estatuto General de Contratación de la Administración Pública –Leyes 80 de 1993, 1150 de 2007 y normas complementarias</w:t>
      </w:r>
      <w:r w:rsidRPr="00407AEF">
        <w:rPr>
          <w:rFonts w:ascii="Arial" w:eastAsia="Calibri" w:hAnsi="Arial" w:cs="Arial"/>
          <w:color w:val="000000" w:themeColor="text1"/>
          <w:vertAlign w:val="superscript"/>
          <w:lang w:val="es-ES_tradnl"/>
        </w:rPr>
        <w:footnoteReference w:id="15"/>
      </w:r>
      <w:r w:rsidRPr="00407AEF">
        <w:rPr>
          <w:rFonts w:ascii="Arial" w:eastAsia="Calibri" w:hAnsi="Arial" w:cs="Arial"/>
          <w:color w:val="000000" w:themeColor="text1"/>
          <w:lang w:val="es-ES_tradnl"/>
        </w:rPr>
        <w:t xml:space="preserve">– pueden expedir un reglamento interno de contratación –comúnmente denominado </w:t>
      </w:r>
      <w:r w:rsidRPr="00407AEF">
        <w:rPr>
          <w:rFonts w:ascii="Arial" w:eastAsia="Calibri" w:hAnsi="Arial" w:cs="Arial"/>
          <w:i/>
          <w:color w:val="000000" w:themeColor="text1"/>
          <w:lang w:val="es-ES_tradnl"/>
        </w:rPr>
        <w:t>manual de contratación</w:t>
      </w:r>
      <w:r w:rsidRPr="00407AEF">
        <w:rPr>
          <w:rFonts w:ascii="Arial" w:eastAsia="Calibri" w:hAnsi="Arial" w:cs="Arial"/>
          <w:color w:val="000000" w:themeColor="text1"/>
          <w:lang w:val="es-ES_tradnl"/>
        </w:rPr>
        <w:t>–, que regule aspectos asociados a la actividad contractual, como los procedimientos de selección, los requisitos de participación, las condiciones de ejecución del contrato, entre otros. En otras palabras, el manual de contratación de las entidades exceptuadas es un acto administrativo y, de manera más concreta, un reglamento, pues, además de consistir en una manifestación unilateral de voluntad efectuada por la entidad estatal, en ejercicio de función administrativa, dirigida a producir efectos jurídicos, tiene vocación de permanencia en el tiempo. Esto significa que el manual de contratación despliega sus efectos de manera indefinida en el futuro, no agotándose con una sola aplicación. Además, pese a que existe un alto grado de discrecionalidad en su elaboración, el manual de contratación, al ser un reglamento vincula a la propia entidad.</w:t>
      </w:r>
    </w:p>
    <w:p w14:paraId="69E14954" w14:textId="77777777" w:rsidR="00F40E14" w:rsidRPr="00407AEF" w:rsidRDefault="00F40E14" w:rsidP="00F40E14">
      <w:pPr>
        <w:spacing w:before="120" w:after="120" w:line="276" w:lineRule="auto"/>
        <w:ind w:firstLine="709"/>
        <w:jc w:val="both"/>
        <w:rPr>
          <w:rFonts w:ascii="Arial" w:eastAsia="Calibri" w:hAnsi="Arial" w:cs="Arial"/>
          <w:color w:val="000000" w:themeColor="text1"/>
          <w:lang w:val="es-ES_tradnl"/>
        </w:rPr>
      </w:pPr>
      <w:r w:rsidRPr="00407AEF">
        <w:rPr>
          <w:rFonts w:ascii="Arial" w:eastAsia="Calibri" w:hAnsi="Arial" w:cs="Arial"/>
          <w:color w:val="000000" w:themeColor="text1"/>
          <w:lang w:val="es-ES_tradnl"/>
        </w:rPr>
        <w:t xml:space="preserve">Sin embargo, la libertad de configuración reglamentaria de las entidades estatales, expresada en el manual de contratación, no es absoluta. A pesar de que están facultadas para regular ciertos temas relacionados con la actividad contractual, deben hacerlo respetando la reserva legal de la que gozan ciertas materias. En tal sentido, asuntos como: i) los requisitos de existencia y validez del contrato, ii) causales de inhabilidad e incompatibilidad, iii) el principio de anualidad del gasto, y iv) restricciones al acceso a la administración de justicia para discutir las controversias contractuales, son, entre otros, temas cuya regulación está reservada al legislador </w:t>
      </w:r>
      <w:r w:rsidRPr="00407AEF">
        <w:rPr>
          <w:rFonts w:ascii="Arial" w:eastAsia="Calibri" w:hAnsi="Arial" w:cs="Arial"/>
          <w:color w:val="000000" w:themeColor="text1"/>
          <w:lang w:val="es-ES_tradnl"/>
        </w:rPr>
        <w:lastRenderedPageBreak/>
        <w:t>y que, por tanto, las entidades exceptuadas no pueden reglamentar en su manual de contratación</w:t>
      </w:r>
      <w:r w:rsidRPr="00407AEF">
        <w:rPr>
          <w:rFonts w:ascii="Arial" w:eastAsia="Calibri" w:hAnsi="Arial" w:cs="Arial"/>
          <w:color w:val="000000" w:themeColor="text1"/>
          <w:vertAlign w:val="superscript"/>
          <w:lang w:val="es-ES_tradnl"/>
        </w:rPr>
        <w:footnoteReference w:id="16"/>
      </w:r>
      <w:r w:rsidRPr="00407AEF">
        <w:rPr>
          <w:rFonts w:ascii="Arial" w:eastAsia="Calibri" w:hAnsi="Arial" w:cs="Arial"/>
          <w:color w:val="000000" w:themeColor="text1"/>
          <w:lang w:val="es-ES_tradnl"/>
        </w:rPr>
        <w:t xml:space="preserve">. </w:t>
      </w:r>
    </w:p>
    <w:p w14:paraId="02C6FC1A" w14:textId="77777777" w:rsidR="00F40E14" w:rsidRPr="00407AEF" w:rsidRDefault="00F40E14" w:rsidP="00F40E14">
      <w:pPr>
        <w:spacing w:after="120" w:line="276" w:lineRule="auto"/>
        <w:ind w:firstLine="709"/>
        <w:jc w:val="both"/>
        <w:rPr>
          <w:rFonts w:ascii="Arial" w:eastAsia="Calibri" w:hAnsi="Arial" w:cs="Arial"/>
          <w:color w:val="000000" w:themeColor="text1"/>
          <w:lang w:val="es-ES_tradnl"/>
        </w:rPr>
      </w:pPr>
      <w:r w:rsidRPr="00407AEF">
        <w:rPr>
          <w:rFonts w:ascii="Arial" w:eastAsia="Calibri" w:hAnsi="Arial" w:cs="Arial"/>
          <w:color w:val="000000" w:themeColor="text1"/>
          <w:lang w:val="es-ES_tradnl"/>
        </w:rPr>
        <w:t>Sin perjuicio de lo anterior, existen múltiples contenidos que pueden ser objeto de regulación en el manual de contratación, por hacer parte del ámbito de configuración en desarrollo de su autonomía contractual que no riñe con la ley. Este sería el caso de, por ejemplo, la definición de requisitos de ejecución del contrato, la definición de si cierta actuación de la actividad contractual la debe realizar cierta dependencia de la entidad, establecer límites en cuanto a posibilidad de realizar adiciones en los contratos, detallar los trámites internos que se surten al interior de la entidad y demás aspectos que hagan parte de su ámbito de configuración. Estos aspectos, por ser desarrollo de su autonomía en la configuración de su actividad contractual, no desconocen los requisitos o parámetros establecidos en la Constitución o la ley.</w:t>
      </w:r>
    </w:p>
    <w:p w14:paraId="26C22A18" w14:textId="77777777" w:rsidR="00F40E14" w:rsidRPr="00407AEF" w:rsidRDefault="00F40E14" w:rsidP="00F40E14">
      <w:pPr>
        <w:spacing w:after="120" w:line="276" w:lineRule="auto"/>
        <w:ind w:firstLine="709"/>
        <w:jc w:val="both"/>
        <w:rPr>
          <w:rFonts w:ascii="Arial" w:eastAsia="Calibri" w:hAnsi="Arial" w:cs="Arial"/>
          <w:color w:val="000000" w:themeColor="text1"/>
          <w:lang w:val="es-ES_tradnl"/>
        </w:rPr>
      </w:pPr>
      <w:r w:rsidRPr="00407AEF">
        <w:rPr>
          <w:rFonts w:ascii="Arial" w:eastAsia="Calibri" w:hAnsi="Arial" w:cs="Arial"/>
          <w:color w:val="000000" w:themeColor="text1"/>
          <w:lang w:val="es-ES_tradnl"/>
        </w:rPr>
        <w:t xml:space="preserve">En todo caso, se reitera que las reglas establecidas en los manuales o reglamentos internos de contratación son muy importantes, toda vez que las entidades se obligan a cumplir su contenido. Además, tratándose de un acto administrativo, concretamente de un reglamento, le aplican los atributos propios de estos tipos de actos, entre otras cosas, la presunción de legalidad y la regla de </w:t>
      </w:r>
      <w:r w:rsidRPr="00407AEF">
        <w:rPr>
          <w:rFonts w:ascii="Arial" w:eastAsia="Calibri" w:hAnsi="Arial" w:cs="Arial"/>
          <w:i/>
          <w:iCs/>
          <w:color w:val="000000" w:themeColor="text1"/>
          <w:lang w:val="es-ES_tradnl"/>
        </w:rPr>
        <w:t>inderogabilidad singular del reglamento</w:t>
      </w:r>
      <w:r w:rsidRPr="00407AEF">
        <w:rPr>
          <w:rFonts w:ascii="Arial" w:eastAsia="Calibri" w:hAnsi="Arial" w:cs="Arial"/>
          <w:i/>
          <w:iCs/>
          <w:color w:val="000000" w:themeColor="text1"/>
          <w:vertAlign w:val="superscript"/>
          <w:lang w:val="es-ES_tradnl"/>
        </w:rPr>
        <w:footnoteReference w:id="17"/>
      </w:r>
      <w:r w:rsidRPr="00407AEF">
        <w:rPr>
          <w:rFonts w:ascii="Arial" w:eastAsia="Calibri" w:hAnsi="Arial" w:cs="Arial"/>
          <w:color w:val="000000" w:themeColor="text1"/>
          <w:lang w:val="es-ES_tradnl"/>
        </w:rPr>
        <w:t xml:space="preserve">. En tal sentido, su contenido vincula a la </w:t>
      </w:r>
      <w:r w:rsidRPr="00407AEF">
        <w:rPr>
          <w:rFonts w:ascii="Arial" w:eastAsia="Calibri" w:hAnsi="Arial" w:cs="Arial"/>
          <w:color w:val="000000" w:themeColor="text1"/>
          <w:lang w:val="es-ES_tradnl"/>
        </w:rPr>
        <w:lastRenderedPageBreak/>
        <w:t>propia entidad que lo expidió y no puede desconocerlo a su capricho en casos específicos. Ello sin perjuicio de la posibilidad de expedir un nuevo manual o de modificar el existente.</w:t>
      </w:r>
    </w:p>
    <w:p w14:paraId="01D59A7D" w14:textId="77777777" w:rsidR="00F40E14" w:rsidRPr="00407AEF" w:rsidRDefault="00F40E14" w:rsidP="00F40E14">
      <w:pPr>
        <w:spacing w:before="120" w:after="120" w:line="276" w:lineRule="auto"/>
        <w:ind w:firstLine="709"/>
        <w:jc w:val="both"/>
        <w:rPr>
          <w:rFonts w:ascii="Arial" w:eastAsia="Calibri" w:hAnsi="Arial" w:cs="Arial"/>
          <w:color w:val="000000" w:themeColor="text1"/>
          <w:lang w:val="es-ES_tradnl"/>
        </w:rPr>
      </w:pPr>
      <w:r w:rsidRPr="00407AEF">
        <w:rPr>
          <w:rFonts w:ascii="Arial" w:eastAsia="Calibri" w:hAnsi="Arial" w:cs="Arial"/>
          <w:color w:val="000000" w:themeColor="text1"/>
          <w:lang w:val="es-ES_tradnl"/>
        </w:rPr>
        <w:t>Ahora bien, ¿a qué normas deben acudir las entidades estatales y los interesados, cuando se presenten lagunas jurídicas –es decir, vacíos o ausencia de regulación de ciertos temas–</w:t>
      </w:r>
      <w:r w:rsidRPr="00407AEF">
        <w:rPr>
          <w:rFonts w:ascii="Arial" w:eastAsia="Calibri" w:hAnsi="Arial" w:cs="Arial"/>
          <w:color w:val="000000" w:themeColor="text1"/>
          <w:vertAlign w:val="superscript"/>
          <w:lang w:val="es-ES_tradnl"/>
        </w:rPr>
        <w:footnoteReference w:id="18"/>
      </w:r>
      <w:r w:rsidRPr="00407AEF">
        <w:rPr>
          <w:rFonts w:ascii="Arial" w:eastAsia="Calibri" w:hAnsi="Arial" w:cs="Arial"/>
          <w:color w:val="000000" w:themeColor="text1"/>
          <w:lang w:val="es-ES_tradnl"/>
        </w:rPr>
        <w:t>, en los manuales de contratación de las entidades de régimen especial? Como lo establece la «Guía para las Entidades Estatales con régimen especial de Contratación»</w:t>
      </w:r>
      <w:r w:rsidRPr="00407AEF">
        <w:rPr>
          <w:rFonts w:ascii="Arial" w:eastAsia="Calibri" w:hAnsi="Arial" w:cs="Arial"/>
          <w:color w:val="000000" w:themeColor="text1"/>
          <w:vertAlign w:val="superscript"/>
          <w:lang w:val="es-ES_tradnl"/>
        </w:rPr>
        <w:footnoteReference w:id="19"/>
      </w:r>
      <w:r w:rsidRPr="00407AEF">
        <w:rPr>
          <w:rFonts w:ascii="Arial" w:eastAsia="Calibri" w:hAnsi="Arial" w:cs="Arial"/>
          <w:color w:val="000000" w:themeColor="text1"/>
          <w:lang w:val="es-ES_tradnl"/>
        </w:rPr>
        <w:t xml:space="preserve">, expedida por esta Agencia, en principio, la actividad contractual de las entidades excluidas de la aplicación del Estatuto General de Contratación de la Administración Pública «se somete a las reglas del derecho privado». En consecuencia, si bien deben cumplir algunas obligaciones transversales propias del sistema de compra pública, señaladas en dicha guía y que se mencionaron en el numeral anterior, el régimen jurídico de base es el derecho privado, o sea el integrado por las normas civiles y comerciales. </w:t>
      </w:r>
    </w:p>
    <w:p w14:paraId="7A9467A0" w14:textId="77777777" w:rsidR="00F40E14" w:rsidRPr="00407AEF" w:rsidRDefault="00F40E14" w:rsidP="00F40E14">
      <w:pPr>
        <w:spacing w:before="120" w:after="120" w:line="276" w:lineRule="auto"/>
        <w:ind w:firstLine="709"/>
        <w:jc w:val="both"/>
        <w:rPr>
          <w:rFonts w:ascii="Arial" w:eastAsia="Calibri" w:hAnsi="Arial" w:cs="Arial"/>
          <w:color w:val="000000" w:themeColor="text1"/>
          <w:lang w:val="es-ES_tradnl"/>
        </w:rPr>
      </w:pPr>
      <w:r w:rsidRPr="00407AEF">
        <w:rPr>
          <w:rFonts w:ascii="Arial" w:eastAsia="Calibri" w:hAnsi="Arial" w:cs="Arial"/>
          <w:color w:val="000000" w:themeColor="text1"/>
          <w:lang w:val="es-ES_tradnl"/>
        </w:rPr>
        <w:t xml:space="preserve">Sin embargo, para determinar el método hermenéutico que ha de seguirse al momento de llenar el vacío de regulación presente en los manuales de contratación de las entidades con régimen especial, el operador jurídico debe indagar sobre en qué materia existiría una laguna. Ello por cuanto existen </w:t>
      </w:r>
      <w:r w:rsidRPr="00407AEF">
        <w:rPr>
          <w:rFonts w:ascii="Arial" w:eastAsia="Calibri" w:hAnsi="Arial" w:cs="Arial"/>
          <w:i/>
          <w:color w:val="000000" w:themeColor="text1"/>
          <w:lang w:val="es-ES_tradnl"/>
        </w:rPr>
        <w:t>tres</w:t>
      </w:r>
      <w:r w:rsidRPr="00407AEF">
        <w:rPr>
          <w:rFonts w:ascii="Arial" w:eastAsia="Calibri" w:hAnsi="Arial" w:cs="Arial"/>
          <w:color w:val="000000" w:themeColor="text1"/>
          <w:lang w:val="es-ES_tradnl"/>
        </w:rPr>
        <w:t xml:space="preserve"> –eventualmente </w:t>
      </w:r>
      <w:r w:rsidRPr="00407AEF">
        <w:rPr>
          <w:rFonts w:ascii="Arial" w:eastAsia="Calibri" w:hAnsi="Arial" w:cs="Arial"/>
          <w:i/>
          <w:iCs/>
          <w:color w:val="000000" w:themeColor="text1"/>
          <w:lang w:val="es-ES_tradnl"/>
        </w:rPr>
        <w:t>cuatro</w:t>
      </w:r>
      <w:r w:rsidRPr="00407AEF">
        <w:rPr>
          <w:rFonts w:ascii="Arial" w:eastAsia="Calibri" w:hAnsi="Arial" w:cs="Arial"/>
          <w:color w:val="000000" w:themeColor="text1"/>
          <w:lang w:val="es-ES_tradnl"/>
        </w:rPr>
        <w:t xml:space="preserve">– remisiones legales, que deben interpretarse sistemáticamente: i) la que efectúa hacia el derecho privado la norma legal que constituye el régimen especial de la entidad correspondiente –por ejemplo, el artículo 31 de la Ley 142 de 1994, el artículo 195, numeral 6, de la Ley 100 de 1993, el artículo 93 de la Ley 30 de 1992 o el artículo 19 de la Ley 805 de 2003, por mencionar algunos casos–; ii) la que prevén los artículos 2, 34 y 47 de la Ley 1437 de 2011, los cuales disponen que las normas de la primera parte del Código de Procedimiento Administrativo y de lo Contencioso Administrativo –CPACA– deben aplicarse en ausencia de lo establecido en leyes especiales; y iii) la que establece el artículo 13 de la Ley 1150 de 2007 respecto de la aplicación de los principios de la función administrativa –artículo 209 C.P.– y de la gestión fiscal –artículo 267 C.P.–, así como del régimen de inhabilidades e incompatibilidades previsto para la contratación estatal. iv) Ahora bien, excepcionalmente a </w:t>
      </w:r>
      <w:r w:rsidRPr="00407AEF">
        <w:rPr>
          <w:rFonts w:ascii="Arial" w:eastAsia="Calibri" w:hAnsi="Arial" w:cs="Arial"/>
          <w:color w:val="000000" w:themeColor="text1"/>
          <w:lang w:val="es-ES_tradnl"/>
        </w:rPr>
        <w:lastRenderedPageBreak/>
        <w:t>algunas entidades de régimen especial de contratación se les faculta para hacer uso de ciertos contenidos propios de los contratos regidos por el EGCAP, caso en el cual, salvo que la norma que atribuya la facultad permita variar dichos contenidos, estos aspectos se regulan por las disposiciones del Estatuto General, sin que la entidad de régimen especial pueda modificar el alcance de dichas facultades.</w:t>
      </w:r>
    </w:p>
    <w:p w14:paraId="2A586A80" w14:textId="77777777" w:rsidR="00F40E14" w:rsidRPr="00407AEF" w:rsidRDefault="00F40E14" w:rsidP="00F40E14">
      <w:pPr>
        <w:spacing w:before="120" w:after="120" w:line="276" w:lineRule="auto"/>
        <w:ind w:firstLine="709"/>
        <w:jc w:val="both"/>
        <w:rPr>
          <w:rFonts w:ascii="Arial" w:eastAsia="Calibri" w:hAnsi="Arial" w:cs="Arial"/>
          <w:color w:val="000000" w:themeColor="text1"/>
          <w:lang w:val="es-ES_tradnl"/>
        </w:rPr>
      </w:pPr>
      <w:r w:rsidRPr="00407AEF">
        <w:rPr>
          <w:rFonts w:ascii="Arial" w:eastAsia="Calibri" w:hAnsi="Arial" w:cs="Arial"/>
          <w:color w:val="000000" w:themeColor="text1"/>
          <w:lang w:val="es-ES_tradnl"/>
        </w:rPr>
        <w:t>En consecuencia, si el manual de contratación de la entidad de régimen especial no prevé normas –es decir, si tiene vacíos–</w:t>
      </w:r>
      <w:r w:rsidRPr="00407AEF">
        <w:rPr>
          <w:rFonts w:ascii="Arial" w:eastAsia="Calibri" w:hAnsi="Arial" w:cs="Arial"/>
          <w:color w:val="000000" w:themeColor="text1"/>
          <w:vertAlign w:val="superscript"/>
          <w:lang w:val="es-ES_tradnl"/>
        </w:rPr>
        <w:footnoteReference w:id="20"/>
      </w:r>
      <w:r w:rsidRPr="00407AEF">
        <w:rPr>
          <w:rFonts w:ascii="Arial" w:eastAsia="Calibri" w:hAnsi="Arial" w:cs="Arial"/>
          <w:color w:val="000000" w:themeColor="text1"/>
          <w:lang w:val="es-ES_tradnl"/>
        </w:rPr>
        <w:t xml:space="preserve"> sobre: i) los elementos de existencia y validez del contrato, ii) los vicios que pueden generar su anulación, iii) la tipología de los negocios jurídicos, iv) los criterios de interpretación de las estipulaciones contractuales, v) el concepto y los requisitos de la oferta, vi) las formas de extinción de las obligaciones, vii) la responsabilidad contractual, y otras materias similares relacionadas con el régimen sustantivo del contrato, la ausencia de tales disposiciones en el reglamento interno de contratación de la entidad exceptuada debe suplirse con las normas del Código Civil y del Código de Comercio</w:t>
      </w:r>
      <w:r w:rsidRPr="00407AEF">
        <w:rPr>
          <w:rFonts w:ascii="Arial" w:eastAsia="Calibri" w:hAnsi="Arial" w:cs="Arial"/>
          <w:color w:val="000000" w:themeColor="text1"/>
          <w:vertAlign w:val="superscript"/>
          <w:lang w:val="es-ES_tradnl"/>
        </w:rPr>
        <w:footnoteReference w:id="21"/>
      </w:r>
      <w:r w:rsidRPr="00407AEF">
        <w:rPr>
          <w:rFonts w:ascii="Arial" w:eastAsia="Calibri" w:hAnsi="Arial" w:cs="Arial"/>
          <w:color w:val="000000" w:themeColor="text1"/>
          <w:lang w:val="es-ES_tradnl"/>
        </w:rPr>
        <w:t>, con la costumbre mercantil</w:t>
      </w:r>
      <w:r w:rsidRPr="00407AEF">
        <w:rPr>
          <w:rFonts w:ascii="Arial" w:eastAsia="Calibri" w:hAnsi="Arial" w:cs="Arial"/>
          <w:color w:val="000000" w:themeColor="text1"/>
          <w:vertAlign w:val="superscript"/>
          <w:lang w:val="es-ES_tradnl"/>
        </w:rPr>
        <w:footnoteReference w:id="22"/>
      </w:r>
      <w:r w:rsidRPr="00407AEF">
        <w:rPr>
          <w:rFonts w:ascii="Arial" w:eastAsia="Calibri" w:hAnsi="Arial" w:cs="Arial"/>
          <w:color w:val="000000" w:themeColor="text1"/>
          <w:lang w:val="es-ES_tradnl"/>
        </w:rPr>
        <w:t xml:space="preserve"> y con los principios generales que rigen las relaciones contractuales de los particulares, que ingresan dentro de la categoría de la </w:t>
      </w:r>
      <w:r w:rsidRPr="00407AEF">
        <w:rPr>
          <w:rFonts w:ascii="Arial" w:eastAsia="Calibri" w:hAnsi="Arial" w:cs="Arial"/>
          <w:i/>
          <w:color w:val="000000" w:themeColor="text1"/>
          <w:lang w:val="es-ES_tradnl"/>
        </w:rPr>
        <w:t>lex mercatoria</w:t>
      </w:r>
      <w:r w:rsidRPr="00407AEF">
        <w:rPr>
          <w:rFonts w:ascii="Arial" w:eastAsia="Calibri" w:hAnsi="Arial" w:cs="Arial"/>
          <w:color w:val="000000" w:themeColor="text1"/>
          <w:vertAlign w:val="superscript"/>
          <w:lang w:val="es-ES_tradnl"/>
        </w:rPr>
        <w:footnoteReference w:id="23"/>
      </w:r>
      <w:r w:rsidRPr="00407AEF">
        <w:rPr>
          <w:rFonts w:ascii="Arial" w:eastAsia="Calibri" w:hAnsi="Arial" w:cs="Arial"/>
          <w:color w:val="000000" w:themeColor="text1"/>
          <w:lang w:val="es-ES_tradnl"/>
        </w:rPr>
        <w:t>.</w:t>
      </w:r>
    </w:p>
    <w:p w14:paraId="1CFA8758" w14:textId="77777777" w:rsidR="00F40E14" w:rsidRPr="00407AEF" w:rsidRDefault="00F40E14" w:rsidP="00F40E14">
      <w:pPr>
        <w:spacing w:before="120" w:after="120" w:line="276" w:lineRule="auto"/>
        <w:ind w:firstLine="709"/>
        <w:jc w:val="both"/>
        <w:rPr>
          <w:rFonts w:ascii="Arial" w:eastAsia="Calibri" w:hAnsi="Arial" w:cs="Arial"/>
          <w:color w:val="000000" w:themeColor="text1"/>
          <w:lang w:val="es-ES_tradnl"/>
        </w:rPr>
      </w:pPr>
      <w:r w:rsidRPr="00407AEF">
        <w:rPr>
          <w:rFonts w:ascii="Arial" w:eastAsia="Calibri" w:hAnsi="Arial" w:cs="Arial"/>
          <w:color w:val="000000" w:themeColor="text1"/>
          <w:lang w:val="es-ES_tradnl"/>
        </w:rPr>
        <w:t>Por el contrario, si el vacío del manual de contratación tiene que ver con asuntos asociados a los procedimientos administrativos, tales como: i) la forma de iniciar la actuación administrativa, ii) los derechos y deberes de las entidades y de los particulares en los procedimientos administrativos, iii) el trámite de las peticiones, iv) la notificación, comunicación o publicación de los actos administrativos, v) la presunción de legalidad, firmeza y ejecutoriedad de los actos administrativos, vi) los recursos contra los actos administrativos, entre otros. –asuntos que, como se dijo, gozan de reserva de ley–, la entidad de régimen especial debe aplicar el principio de subsidiariedad previsto en los artículos 2, 34 y 47 de la Ley 1437 de 2011, es decir, debe llenar tales lagunas con las normas de la primera parte del CPACA.</w:t>
      </w:r>
    </w:p>
    <w:p w14:paraId="52270273" w14:textId="77777777" w:rsidR="00F40E14" w:rsidRPr="00407AEF" w:rsidRDefault="00F40E14" w:rsidP="00F40E14">
      <w:pPr>
        <w:spacing w:before="120" w:after="120" w:line="276" w:lineRule="auto"/>
        <w:ind w:firstLine="709"/>
        <w:jc w:val="both"/>
        <w:rPr>
          <w:rFonts w:ascii="Arial" w:eastAsia="Calibri" w:hAnsi="Arial" w:cs="Arial"/>
          <w:color w:val="000000" w:themeColor="text1"/>
          <w:lang w:val="es-ES_tradnl"/>
        </w:rPr>
      </w:pPr>
      <w:r w:rsidRPr="00407AEF">
        <w:rPr>
          <w:rFonts w:ascii="Arial" w:eastAsia="Calibri" w:hAnsi="Arial" w:cs="Arial"/>
          <w:color w:val="000000" w:themeColor="text1"/>
          <w:lang w:val="es-ES_tradnl"/>
        </w:rPr>
        <w:t xml:space="preserve">Ahora bien, si lo que falta en el manual –precisamente porque está reservado a la ley– son normas que regulen las inhabilidades e incompatibilidades, en este caso sí se debe acudir a las disposiciones que las consagran y que establecen sus consecuencias, tanto en el Estatuto </w:t>
      </w:r>
      <w:r w:rsidRPr="00407AEF">
        <w:rPr>
          <w:rFonts w:ascii="Arial" w:eastAsia="Calibri" w:hAnsi="Arial" w:cs="Arial"/>
          <w:color w:val="000000" w:themeColor="text1"/>
          <w:lang w:val="es-ES_tradnl"/>
        </w:rPr>
        <w:lastRenderedPageBreak/>
        <w:t>General de Contratación de la Administración Pública, como en leyes complementarias. Por último, si excepcionalmente a la entidad de régimen especial se la habilita o faculta para hacer uso de disposiciones o prerrogativas establecidas en el EGCAP, los vacíos respecto a su ejercicio se llenan con las disposiciones del Estatuto General de Contratación.</w:t>
      </w:r>
    </w:p>
    <w:p w14:paraId="3D95DA8E" w14:textId="77777777" w:rsidR="00F40E14" w:rsidRPr="00407AEF" w:rsidRDefault="00F40E14" w:rsidP="00F40E14">
      <w:pPr>
        <w:spacing w:after="120" w:line="276" w:lineRule="auto"/>
        <w:ind w:firstLine="709"/>
        <w:jc w:val="both"/>
        <w:rPr>
          <w:rFonts w:ascii="Arial" w:eastAsia="Calibri" w:hAnsi="Arial" w:cs="Arial"/>
          <w:color w:val="000000" w:themeColor="text1"/>
          <w:lang w:val="es-ES_tradnl"/>
        </w:rPr>
      </w:pPr>
      <w:r w:rsidRPr="00407AEF">
        <w:rPr>
          <w:rFonts w:ascii="Arial" w:eastAsia="Calibri" w:hAnsi="Arial" w:cs="Arial"/>
          <w:color w:val="000000" w:themeColor="text1"/>
          <w:lang w:val="es-ES_tradnl"/>
        </w:rPr>
        <w:t xml:space="preserve">En síntesis, </w:t>
      </w:r>
      <w:bookmarkStart w:id="11" w:name="_Hlk96454556"/>
      <w:r w:rsidRPr="00407AEF">
        <w:rPr>
          <w:rFonts w:ascii="Arial" w:eastAsia="Calibri" w:hAnsi="Arial" w:cs="Arial"/>
          <w:color w:val="000000" w:themeColor="text1"/>
          <w:lang w:val="es-ES_tradnl"/>
        </w:rPr>
        <w:t xml:space="preserve">los vacíos de los manuales de contratación de las entidades con régimen especial no siempre se llenan de la misma manera, pues depende de las materias sobre las cuales exista ausencia de regulación en dicho reglamento y la ley que crea el régimen especial. En tal sentido, sin perjuicio del deber de cumplir ciertas obligaciones transversales a la contratación pública, los vacíos en los aspectos sustantivos y en la regulación del contrato se deben llenar con las normas civiles y comerciales, según el caso; los que tengan que ver con asuntos relacionados con el procedimiento administrativo se deben integrar con las normas de la primera parte del CPACA; los relacionados con las normas sobre inhabilidades e incompatibilidades, con las disposiciones que las regulen, contenidas bien sea en el Estatuto General de Contratación de la Administración Pública o en leyes complementarias. </w:t>
      </w:r>
    </w:p>
    <w:p w14:paraId="38EE5F31" w14:textId="77777777" w:rsidR="00F40E14" w:rsidRPr="00407AEF" w:rsidRDefault="00F40E14" w:rsidP="00F40E14">
      <w:pPr>
        <w:spacing w:after="120" w:line="276" w:lineRule="auto"/>
        <w:ind w:firstLine="709"/>
        <w:jc w:val="both"/>
        <w:rPr>
          <w:rFonts w:ascii="Arial" w:eastAsia="Calibri" w:hAnsi="Arial" w:cs="Arial"/>
          <w:color w:val="000000" w:themeColor="text1"/>
          <w:lang w:val="es-ES_tradnl"/>
        </w:rPr>
      </w:pPr>
      <w:r w:rsidRPr="00407AEF">
        <w:rPr>
          <w:rFonts w:ascii="Arial" w:eastAsia="Calibri" w:hAnsi="Arial" w:cs="Arial"/>
          <w:color w:val="000000" w:themeColor="text1"/>
          <w:lang w:val="es-ES_tradnl"/>
        </w:rPr>
        <w:t xml:space="preserve">De otro lado, pero no por ello menos importante, los vacíos en la definición o alcance de los principios de la función administrativa y de la gestión fiscal –a los que aluden los artículos 209 y 267 de la Constitución– deben llenarse con una interpretación integral de la carta política, así como con la jurisprudencia constitucional que exista sobre la materia, emanada de la Corte Constitucional o del Consejo de Estado –cuando actúe como tribunal constitucional–. Por último, si excepcionalmente a la entidad de régimen especial se la habilita o faculta para hacer uso de disposiciones o prerrogativas establecidas en el EGCAP, los vacíos respecto a su ejercicio se llenan con las disposiciones del Estatuto General de Contratación. </w:t>
      </w:r>
      <w:bookmarkEnd w:id="11"/>
    </w:p>
    <w:p w14:paraId="2BC699F8" w14:textId="77777777" w:rsidR="00F40E14" w:rsidRPr="00407AEF" w:rsidRDefault="00F40E14" w:rsidP="00F40E14">
      <w:pPr>
        <w:tabs>
          <w:tab w:val="left" w:pos="709"/>
        </w:tabs>
        <w:spacing w:after="0" w:line="276" w:lineRule="auto"/>
        <w:contextualSpacing/>
        <w:jc w:val="both"/>
        <w:rPr>
          <w:rFonts w:ascii="Arial" w:eastAsia="Calibri" w:hAnsi="Arial" w:cs="Arial"/>
          <w:b/>
        </w:rPr>
      </w:pPr>
      <w:r w:rsidRPr="00407AEF">
        <w:rPr>
          <w:rFonts w:ascii="Arial" w:eastAsia="Calibri" w:hAnsi="Arial" w:cs="Arial"/>
          <w:b/>
        </w:rPr>
        <w:t>3. Respuesta</w:t>
      </w:r>
    </w:p>
    <w:p w14:paraId="7D0D7749" w14:textId="77777777" w:rsidR="00F40E14" w:rsidRPr="00407AEF" w:rsidRDefault="00F40E14" w:rsidP="00F40E14">
      <w:pPr>
        <w:tabs>
          <w:tab w:val="left" w:pos="709"/>
        </w:tabs>
        <w:spacing w:after="0" w:line="276" w:lineRule="auto"/>
        <w:contextualSpacing/>
        <w:jc w:val="both"/>
        <w:rPr>
          <w:rFonts w:ascii="Arial" w:eastAsia="Calibri" w:hAnsi="Arial" w:cs="Arial"/>
          <w:b/>
        </w:rPr>
      </w:pPr>
    </w:p>
    <w:p w14:paraId="08A63491" w14:textId="77777777" w:rsidR="00F40E14" w:rsidRPr="00407AEF" w:rsidRDefault="00F40E14" w:rsidP="00F40E14">
      <w:pPr>
        <w:autoSpaceDE w:val="0"/>
        <w:autoSpaceDN w:val="0"/>
        <w:adjustRightInd w:val="0"/>
        <w:spacing w:after="0" w:line="240" w:lineRule="auto"/>
        <w:ind w:left="708"/>
        <w:contextualSpacing/>
        <w:jc w:val="both"/>
        <w:rPr>
          <w:rFonts w:ascii="Arial" w:hAnsi="Arial" w:cs="Arial"/>
          <w:sz w:val="21"/>
          <w:szCs w:val="21"/>
        </w:rPr>
      </w:pPr>
      <w:r w:rsidRPr="00407AEF">
        <w:rPr>
          <w:rFonts w:ascii="Arial" w:hAnsi="Arial" w:cs="Arial"/>
          <w:sz w:val="21"/>
          <w:szCs w:val="21"/>
        </w:rPr>
        <w:t>«¿Las empresas de servicios públicos de carácter oficial o mixto pueden adoptar internamente en el manual de contratación, un procedimiento para declarar el incumplimiento de sus contratistas con apego estricto al debido proceso y derecho de defensa?»</w:t>
      </w:r>
    </w:p>
    <w:p w14:paraId="6B3B5AB1" w14:textId="77777777" w:rsidR="00F40E14" w:rsidRPr="00407AEF" w:rsidRDefault="00F40E14" w:rsidP="00F40E14">
      <w:pPr>
        <w:autoSpaceDE w:val="0"/>
        <w:autoSpaceDN w:val="0"/>
        <w:adjustRightInd w:val="0"/>
        <w:spacing w:after="0" w:line="240" w:lineRule="auto"/>
        <w:ind w:left="708"/>
        <w:contextualSpacing/>
        <w:jc w:val="both"/>
        <w:rPr>
          <w:rFonts w:ascii="Arial" w:hAnsi="Arial" w:cs="Arial"/>
          <w:sz w:val="21"/>
          <w:szCs w:val="21"/>
        </w:rPr>
      </w:pPr>
    </w:p>
    <w:p w14:paraId="5F132518" w14:textId="77777777" w:rsidR="00F40E14" w:rsidRPr="00407AEF" w:rsidRDefault="00F40E14" w:rsidP="00F40E14">
      <w:pPr>
        <w:widowControl w:val="0"/>
        <w:autoSpaceDE w:val="0"/>
        <w:autoSpaceDN w:val="0"/>
        <w:spacing w:after="120" w:line="276" w:lineRule="auto"/>
        <w:ind w:firstLine="708"/>
        <w:jc w:val="both"/>
        <w:rPr>
          <w:rFonts w:ascii="Arial" w:eastAsia="Calibri" w:hAnsi="Arial" w:cs="Arial"/>
          <w:color w:val="000000"/>
          <w:lang w:val="es-ES_tradnl" w:eastAsia="es-ES" w:bidi="es-ES"/>
        </w:rPr>
      </w:pPr>
      <w:r w:rsidRPr="00407AEF">
        <w:rPr>
          <w:rFonts w:ascii="Arial" w:eastAsia="Calibri" w:hAnsi="Arial" w:cs="Arial"/>
          <w:color w:val="000000"/>
          <w:lang w:eastAsia="es-ES" w:bidi="es-ES"/>
        </w:rPr>
        <w:t>L</w:t>
      </w:r>
      <w:r w:rsidRPr="00407AEF">
        <w:rPr>
          <w:rFonts w:ascii="Arial" w:eastAsia="Calibri" w:hAnsi="Arial" w:cs="Arial"/>
          <w:color w:val="000000"/>
          <w:lang w:val="es-ES_tradnl" w:eastAsia="es-ES" w:bidi="es-ES"/>
        </w:rPr>
        <w:t>as empresas de servicios públicos domiciliarios, aun aquellas que sean estatales, por regla general, no están sujetas a las disposiciones del EGCAP, por cuanto, en virtud del artículo 32 de la Ley 142 de 1994, sus actos y contratos se rigen únicamente por las normas del derecho privado.</w:t>
      </w:r>
    </w:p>
    <w:p w14:paraId="7C830007" w14:textId="77777777" w:rsidR="00F40E14" w:rsidRPr="00407AEF" w:rsidRDefault="00F40E14" w:rsidP="00F40E14">
      <w:pPr>
        <w:spacing w:after="0" w:line="276" w:lineRule="auto"/>
        <w:ind w:firstLine="708"/>
        <w:contextualSpacing/>
        <w:jc w:val="both"/>
        <w:rPr>
          <w:rFonts w:ascii="Arial" w:eastAsia="Calibri" w:hAnsi="Arial" w:cs="Arial"/>
          <w:color w:val="000000" w:themeColor="text1"/>
          <w:lang w:val="es-ES"/>
        </w:rPr>
      </w:pPr>
      <w:r w:rsidRPr="07555AA8">
        <w:rPr>
          <w:rFonts w:ascii="Arial" w:eastAsia="Calibri" w:hAnsi="Arial" w:cs="Arial"/>
          <w:color w:val="000000" w:themeColor="text1"/>
          <w:lang w:val="es-ES"/>
        </w:rPr>
        <w:t xml:space="preserve">Sin embargo, tienen la facultad de expedir un reglamento interno de contratación –comúnmente denominado </w:t>
      </w:r>
      <w:r w:rsidRPr="07555AA8">
        <w:rPr>
          <w:rFonts w:ascii="Arial" w:eastAsia="Calibri" w:hAnsi="Arial" w:cs="Arial"/>
          <w:i/>
          <w:iCs/>
          <w:color w:val="000000" w:themeColor="text1"/>
          <w:lang w:val="es-ES"/>
        </w:rPr>
        <w:t>manual de contratación</w:t>
      </w:r>
      <w:r w:rsidRPr="07555AA8">
        <w:rPr>
          <w:rFonts w:ascii="Arial" w:eastAsia="Calibri" w:hAnsi="Arial" w:cs="Arial"/>
          <w:color w:val="000000" w:themeColor="text1"/>
          <w:lang w:val="es-ES"/>
        </w:rPr>
        <w:t>–, que regule aspectos asociados a la actividad contractual, como los procedimientos de selección, los requisitos de participación, las condiciones de ejecución del contrato, entre otros. En otras palabras, el manual de contratación de las entidades exceptuadas es un acto administrativo y, de manera más concreta, un reglamento, pues, además de consistir en una manifestación unilateral de voluntad efectuada por la entidad estatal, en ejercicio de función administrativa, dirigida a producir efectos jurídicos</w:t>
      </w:r>
    </w:p>
    <w:p w14:paraId="48A5057A" w14:textId="77777777" w:rsidR="00F40E14" w:rsidRDefault="00F40E14" w:rsidP="00F40E14">
      <w:pPr>
        <w:spacing w:before="120" w:after="120" w:line="276" w:lineRule="auto"/>
        <w:ind w:firstLine="709"/>
        <w:jc w:val="both"/>
        <w:rPr>
          <w:rFonts w:ascii="Arial" w:eastAsia="Calibri" w:hAnsi="Arial" w:cs="Arial"/>
          <w:color w:val="000000" w:themeColor="text1"/>
          <w:lang w:val="es-ES"/>
        </w:rPr>
      </w:pPr>
    </w:p>
    <w:p w14:paraId="7DCFF9C0" w14:textId="77777777" w:rsidR="00F40E14" w:rsidRPr="00407AEF" w:rsidRDefault="00F40E14" w:rsidP="00F40E14">
      <w:pPr>
        <w:spacing w:before="120" w:after="120" w:line="276" w:lineRule="auto"/>
        <w:ind w:firstLine="709"/>
        <w:jc w:val="both"/>
        <w:rPr>
          <w:rFonts w:ascii="Arial" w:eastAsia="Calibri" w:hAnsi="Arial" w:cs="Arial"/>
          <w:color w:val="000000" w:themeColor="text1"/>
          <w:lang w:val="es-ES_tradnl"/>
        </w:rPr>
      </w:pPr>
      <w:r w:rsidRPr="00407AEF">
        <w:rPr>
          <w:rFonts w:ascii="Arial" w:eastAsia="Calibri" w:hAnsi="Arial" w:cs="Arial"/>
          <w:color w:val="000000" w:themeColor="text1"/>
          <w:lang w:val="es-ES_tradnl"/>
        </w:rPr>
        <w:t>Por otra parte, si el manual de contratación tiene que ver con asuntos asociados a los procedimientos administrativos, tales como: i) la forma de iniciar la actuación administrativa, ii) los derechos y deberes de las entidades y de los particulares en los procedimientos administrativos, iii) el trámite de las peticiones, iv) la notificación, comunicación o publicación de los actos administrativos, v) la presunción de legalidad, firmeza y ejecutoriedad de los actos administrativos, vi) los recursos contra los actos administrativos, entre otros. –asuntos que, como se dijo, gozan de reserva de ley–, la entidad de régimen especial debe aplicar el principio de subsidiariedad previsto en los artículos 2, 34 y 47 de la Ley 1437 de 2011.</w:t>
      </w:r>
    </w:p>
    <w:p w14:paraId="2EAD3230" w14:textId="77777777" w:rsidR="00F40E14" w:rsidRPr="00407AEF" w:rsidRDefault="00F40E14" w:rsidP="00F40E14">
      <w:pPr>
        <w:spacing w:after="0" w:line="276" w:lineRule="auto"/>
        <w:ind w:firstLine="708"/>
        <w:contextualSpacing/>
        <w:jc w:val="both"/>
        <w:rPr>
          <w:rFonts w:ascii="Arial" w:eastAsia="Calibri" w:hAnsi="Arial" w:cs="Arial"/>
          <w:color w:val="1A1A1A" w:themeColor="background1" w:themeShade="1A"/>
          <w:lang w:val="es-ES_tradnl"/>
        </w:rPr>
      </w:pPr>
    </w:p>
    <w:p w14:paraId="456B2398" w14:textId="77777777" w:rsidR="00F40E14" w:rsidRPr="00407AEF" w:rsidRDefault="00F40E14" w:rsidP="00F40E14">
      <w:pPr>
        <w:spacing w:after="0" w:line="276" w:lineRule="auto"/>
        <w:contextualSpacing/>
        <w:jc w:val="both"/>
        <w:rPr>
          <w:rFonts w:ascii="Arial" w:eastAsia="Calibri" w:hAnsi="Arial" w:cs="Arial"/>
          <w:color w:val="1A1A1A" w:themeColor="background1" w:themeShade="1A"/>
          <w:lang w:val="es-ES_tradnl"/>
        </w:rPr>
      </w:pPr>
      <w:r w:rsidRPr="00407AEF">
        <w:rPr>
          <w:rFonts w:ascii="Arial" w:eastAsia="Calibri" w:hAnsi="Arial" w:cs="Arial"/>
          <w:color w:val="1A1A1A" w:themeColor="background1" w:themeShade="1A"/>
          <w:lang w:val="es-ES_tradnl"/>
        </w:rPr>
        <w:t xml:space="preserve">Este concepto tiene el alcance previsto en el artículo 28 del Código de Procedimiento Administrativo y de lo Contencioso Administrativo </w:t>
      </w:r>
      <w:r w:rsidRPr="00407AEF">
        <w:rPr>
          <w:rFonts w:ascii="Arial" w:hAnsi="Arial" w:cs="Arial"/>
          <w:bCs/>
          <w:color w:val="000000" w:themeColor="text1"/>
        </w:rPr>
        <w:t xml:space="preserve">y </w:t>
      </w:r>
      <w:r w:rsidRPr="00407AEF">
        <w:rPr>
          <w:rFonts w:ascii="Arial" w:hAnsi="Arial" w:cs="Arial"/>
        </w:rPr>
        <w:t>las expresiones aquí utilizadas con mayúscula inicial deben ser entendidas con el significado que les otorga el artículo 2.2.1.1.1.3.1. del Decreto 1082 de 2015</w:t>
      </w:r>
      <w:r w:rsidRPr="00407AEF">
        <w:rPr>
          <w:rFonts w:ascii="Arial" w:eastAsia="Calibri" w:hAnsi="Arial" w:cs="Arial"/>
          <w:color w:val="1A1A1A" w:themeColor="background1" w:themeShade="1A"/>
          <w:lang w:val="es-ES_tradnl"/>
        </w:rPr>
        <w:t>.</w:t>
      </w:r>
    </w:p>
    <w:p w14:paraId="3A4154FD" w14:textId="77777777" w:rsidR="00F40E14" w:rsidRPr="00407AEF" w:rsidRDefault="00F40E14" w:rsidP="00F40E14">
      <w:pPr>
        <w:spacing w:after="0" w:line="276" w:lineRule="auto"/>
        <w:contextualSpacing/>
        <w:jc w:val="both"/>
        <w:rPr>
          <w:rFonts w:ascii="Arial" w:eastAsia="Calibri" w:hAnsi="Arial" w:cs="Arial"/>
          <w:color w:val="1A1A1A" w:themeColor="background1" w:themeShade="1A"/>
          <w:lang w:val="es-ES_tradnl"/>
        </w:rPr>
      </w:pPr>
    </w:p>
    <w:p w14:paraId="77662E6C" w14:textId="77777777" w:rsidR="00F40E14" w:rsidRPr="00407AEF" w:rsidRDefault="00F40E14" w:rsidP="00F40E14">
      <w:pPr>
        <w:spacing w:line="276" w:lineRule="auto"/>
        <w:contextualSpacing/>
        <w:jc w:val="both"/>
        <w:rPr>
          <w:rFonts w:ascii="Arial" w:eastAsia="Calibri" w:hAnsi="Arial" w:cs="Arial"/>
          <w:lang w:val="es-ES_tradnl"/>
        </w:rPr>
      </w:pPr>
    </w:p>
    <w:p w14:paraId="260FCE23" w14:textId="77777777" w:rsidR="00F40E14" w:rsidRPr="00407AEF" w:rsidRDefault="00F40E14" w:rsidP="00F40E14">
      <w:pPr>
        <w:spacing w:line="276" w:lineRule="auto"/>
        <w:contextualSpacing/>
        <w:jc w:val="both"/>
        <w:rPr>
          <w:rFonts w:ascii="Arial" w:hAnsi="Arial" w:cs="Arial"/>
          <w:lang w:eastAsia="es-CO"/>
        </w:rPr>
      </w:pPr>
      <w:r w:rsidRPr="00407AEF">
        <w:rPr>
          <w:rFonts w:ascii="Arial" w:hAnsi="Arial" w:cs="Arial"/>
          <w:lang w:eastAsia="es-CO"/>
        </w:rPr>
        <w:t>Atentamente,</w:t>
      </w:r>
    </w:p>
    <w:p w14:paraId="4763D394" w14:textId="7D9647D8" w:rsidR="00F40E14" w:rsidRDefault="00F40E14" w:rsidP="00F40E14">
      <w:pPr>
        <w:spacing w:line="276" w:lineRule="auto"/>
        <w:jc w:val="both"/>
        <w:rPr>
          <w:rFonts w:ascii="Arial" w:eastAsia="Arial" w:hAnsi="Arial" w:cs="Arial"/>
          <w:color w:val="000000"/>
          <w:lang w:eastAsia="es-ES_tradnl"/>
        </w:rPr>
      </w:pPr>
    </w:p>
    <w:p w14:paraId="094F15D2" w14:textId="3A04BF94" w:rsidR="003B4C21" w:rsidRPr="00407AEF" w:rsidRDefault="003B4C21" w:rsidP="003B4C21">
      <w:pPr>
        <w:spacing w:line="276" w:lineRule="auto"/>
        <w:jc w:val="center"/>
        <w:rPr>
          <w:rFonts w:ascii="Arial" w:eastAsia="Arial" w:hAnsi="Arial" w:cs="Arial"/>
          <w:color w:val="000000"/>
          <w:lang w:eastAsia="es-ES_tradnl"/>
        </w:rPr>
      </w:pPr>
      <w:r>
        <w:rPr>
          <w:noProof/>
        </w:rPr>
        <w:drawing>
          <wp:inline distT="0" distB="0" distL="0" distR="0" wp14:anchorId="633663A2" wp14:editId="38993A02">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p>
    <w:p w14:paraId="5BB8BDD0" w14:textId="77777777" w:rsidR="00F40E14" w:rsidRPr="00407AEF" w:rsidRDefault="00F40E14" w:rsidP="00F40E14">
      <w:pPr>
        <w:spacing w:line="276" w:lineRule="auto"/>
        <w:jc w:val="center"/>
        <w:rPr>
          <w:rFonts w:ascii="Arial" w:eastAsia="Arial" w:hAnsi="Arial" w:cs="Arial"/>
          <w:color w:val="000000"/>
          <w:lang w:eastAsia="es-ES_tradnl"/>
        </w:rPr>
      </w:pPr>
    </w:p>
    <w:p w14:paraId="5956C7BA" w14:textId="77777777" w:rsidR="00F40E14" w:rsidRPr="00407AEF" w:rsidRDefault="00F40E14" w:rsidP="00F40E14">
      <w:pPr>
        <w:spacing w:line="276" w:lineRule="auto"/>
        <w:jc w:val="center"/>
        <w:rPr>
          <w:rFonts w:ascii="Arial" w:hAnsi="Arial" w:cs="Arial"/>
          <w:lang w:eastAsia="es-ES_tradnl"/>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40E14" w:rsidRPr="00407AEF" w14:paraId="59035C61" w14:textId="77777777" w:rsidTr="006C2828">
        <w:trPr>
          <w:trHeight w:val="315"/>
        </w:trPr>
        <w:tc>
          <w:tcPr>
            <w:tcW w:w="812" w:type="dxa"/>
            <w:vAlign w:val="center"/>
            <w:hideMark/>
          </w:tcPr>
          <w:p w14:paraId="71390B60" w14:textId="77777777" w:rsidR="00F40E14" w:rsidRPr="00407AEF" w:rsidRDefault="00F40E14" w:rsidP="006C2828">
            <w:pPr>
              <w:jc w:val="both"/>
              <w:rPr>
                <w:rFonts w:ascii="Arial" w:hAnsi="Arial" w:cs="Arial"/>
                <w:sz w:val="15"/>
                <w:szCs w:val="15"/>
                <w:lang w:eastAsia="es-ES"/>
              </w:rPr>
            </w:pPr>
            <w:r w:rsidRPr="00407AEF">
              <w:rPr>
                <w:rFonts w:ascii="Arial" w:hAnsi="Arial" w:cs="Arial"/>
                <w:sz w:val="15"/>
                <w:szCs w:val="15"/>
                <w:lang w:eastAsia="es-ES"/>
              </w:rPr>
              <w:t>Elaboró:</w:t>
            </w:r>
          </w:p>
        </w:tc>
        <w:tc>
          <w:tcPr>
            <w:tcW w:w="4413" w:type="dxa"/>
            <w:tcBorders>
              <w:top w:val="nil"/>
              <w:left w:val="nil"/>
              <w:bottom w:val="dotted" w:sz="4" w:space="0" w:color="7F7F7F" w:themeColor="text1" w:themeTint="80"/>
              <w:right w:val="nil"/>
            </w:tcBorders>
            <w:vAlign w:val="center"/>
            <w:hideMark/>
          </w:tcPr>
          <w:p w14:paraId="347655CA" w14:textId="77777777" w:rsidR="00F40E14" w:rsidRPr="00407AEF" w:rsidRDefault="00F40E14" w:rsidP="006C2828">
            <w:pPr>
              <w:jc w:val="both"/>
              <w:rPr>
                <w:rFonts w:ascii="Arial" w:hAnsi="Arial" w:cs="Arial"/>
                <w:sz w:val="15"/>
                <w:szCs w:val="15"/>
                <w:lang w:eastAsia="es-ES"/>
              </w:rPr>
            </w:pPr>
            <w:r w:rsidRPr="00407AEF">
              <w:rPr>
                <w:rFonts w:ascii="Arial" w:hAnsi="Arial" w:cs="Arial"/>
                <w:sz w:val="15"/>
                <w:szCs w:val="15"/>
                <w:lang w:eastAsia="es-ES"/>
              </w:rPr>
              <w:t xml:space="preserve">María Valeska Medellín Mora </w:t>
            </w:r>
          </w:p>
          <w:p w14:paraId="3AC60039" w14:textId="77777777" w:rsidR="00F40E14" w:rsidRPr="00407AEF" w:rsidRDefault="00F40E14" w:rsidP="006C2828">
            <w:pPr>
              <w:jc w:val="both"/>
              <w:rPr>
                <w:rFonts w:ascii="Arial" w:hAnsi="Arial" w:cs="Arial"/>
                <w:sz w:val="15"/>
                <w:szCs w:val="15"/>
                <w:lang w:eastAsia="es-ES"/>
              </w:rPr>
            </w:pPr>
            <w:r w:rsidRPr="00407AEF">
              <w:rPr>
                <w:rFonts w:ascii="Arial" w:hAnsi="Arial" w:cs="Arial"/>
                <w:sz w:val="15"/>
                <w:szCs w:val="15"/>
                <w:lang w:eastAsia="es-ES"/>
              </w:rPr>
              <w:t xml:space="preserve">Gestor T1-15 de la Subdirección de Gestión Contractual  </w:t>
            </w:r>
          </w:p>
        </w:tc>
      </w:tr>
      <w:tr w:rsidR="00F40E14" w:rsidRPr="00407AEF" w14:paraId="4E9205C6" w14:textId="77777777" w:rsidTr="006C2828">
        <w:trPr>
          <w:trHeight w:val="330"/>
        </w:trPr>
        <w:tc>
          <w:tcPr>
            <w:tcW w:w="812" w:type="dxa"/>
            <w:vAlign w:val="center"/>
            <w:hideMark/>
          </w:tcPr>
          <w:p w14:paraId="70FBCEA0" w14:textId="77777777" w:rsidR="00F40E14" w:rsidRPr="00407AEF" w:rsidRDefault="00F40E14" w:rsidP="006C2828">
            <w:pPr>
              <w:jc w:val="both"/>
              <w:rPr>
                <w:rFonts w:ascii="Arial" w:hAnsi="Arial" w:cs="Arial"/>
                <w:sz w:val="15"/>
                <w:szCs w:val="15"/>
                <w:lang w:eastAsia="es-ES"/>
              </w:rPr>
            </w:pPr>
            <w:r w:rsidRPr="00407AEF">
              <w:rPr>
                <w:rFonts w:ascii="Arial" w:hAnsi="Arial" w:cs="Arial"/>
                <w:sz w:val="15"/>
                <w:szCs w:val="15"/>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732C4B8" w14:textId="77777777" w:rsidR="00F40E14" w:rsidRPr="00407AEF" w:rsidRDefault="00F40E14" w:rsidP="006C2828">
            <w:pPr>
              <w:jc w:val="both"/>
              <w:rPr>
                <w:rFonts w:ascii="Arial" w:hAnsi="Arial" w:cs="Arial"/>
                <w:sz w:val="15"/>
                <w:szCs w:val="15"/>
                <w:lang w:eastAsia="es-ES"/>
              </w:rPr>
            </w:pPr>
            <w:r w:rsidRPr="00407AEF">
              <w:rPr>
                <w:rFonts w:ascii="Arial" w:hAnsi="Arial" w:cs="Arial"/>
                <w:sz w:val="15"/>
                <w:szCs w:val="15"/>
                <w:lang w:eastAsia="es-ES"/>
              </w:rPr>
              <w:t>Martha Alicia Romero Vargas</w:t>
            </w:r>
          </w:p>
          <w:p w14:paraId="41B16C3C" w14:textId="77777777" w:rsidR="00F40E14" w:rsidRPr="00407AEF" w:rsidRDefault="00F40E14" w:rsidP="006C2828">
            <w:pPr>
              <w:jc w:val="both"/>
              <w:rPr>
                <w:rFonts w:ascii="Arial" w:hAnsi="Arial" w:cs="Arial"/>
                <w:sz w:val="15"/>
                <w:szCs w:val="15"/>
                <w:lang w:eastAsia="es-ES"/>
              </w:rPr>
            </w:pPr>
            <w:r w:rsidRPr="00407AEF">
              <w:rPr>
                <w:rFonts w:ascii="Arial" w:hAnsi="Arial" w:cs="Arial"/>
                <w:sz w:val="15"/>
                <w:szCs w:val="15"/>
                <w:lang w:eastAsia="es-ES"/>
              </w:rPr>
              <w:t>Gestor T1-15 de la Subdirección de Gestión Contractual</w:t>
            </w:r>
          </w:p>
        </w:tc>
      </w:tr>
      <w:tr w:rsidR="00F40E14" w:rsidRPr="00407AEF" w14:paraId="4F214882" w14:textId="77777777" w:rsidTr="006C2828">
        <w:trPr>
          <w:trHeight w:val="300"/>
        </w:trPr>
        <w:tc>
          <w:tcPr>
            <w:tcW w:w="812" w:type="dxa"/>
            <w:vAlign w:val="center"/>
            <w:hideMark/>
          </w:tcPr>
          <w:p w14:paraId="52F45DD0" w14:textId="77777777" w:rsidR="00F40E14" w:rsidRPr="00407AEF" w:rsidRDefault="00F40E14" w:rsidP="006C2828">
            <w:pPr>
              <w:jc w:val="both"/>
              <w:rPr>
                <w:rFonts w:ascii="Arial" w:hAnsi="Arial" w:cs="Arial"/>
                <w:sz w:val="15"/>
                <w:szCs w:val="15"/>
                <w:lang w:eastAsia="es-ES"/>
              </w:rPr>
            </w:pPr>
            <w:r w:rsidRPr="00407AEF">
              <w:rPr>
                <w:rFonts w:ascii="Arial" w:hAnsi="Arial" w:cs="Arial"/>
                <w:sz w:val="15"/>
                <w:szCs w:val="15"/>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BFC916" w14:textId="77777777" w:rsidR="00F40E14" w:rsidRPr="00407AEF" w:rsidRDefault="00F40E14" w:rsidP="006C2828">
            <w:pPr>
              <w:jc w:val="both"/>
              <w:rPr>
                <w:rFonts w:ascii="Arial" w:hAnsi="Arial" w:cs="Arial"/>
                <w:sz w:val="15"/>
                <w:szCs w:val="15"/>
                <w:lang w:eastAsia="es-ES"/>
              </w:rPr>
            </w:pPr>
            <w:r w:rsidRPr="00407AEF">
              <w:rPr>
                <w:rFonts w:ascii="Arial" w:hAnsi="Arial" w:cs="Arial"/>
                <w:sz w:val="15"/>
                <w:szCs w:val="15"/>
                <w:lang w:eastAsia="es-ES"/>
              </w:rPr>
              <w:t xml:space="preserve">Nohelia del Carmen Zawady Palacio </w:t>
            </w:r>
          </w:p>
          <w:p w14:paraId="6F920045" w14:textId="77777777" w:rsidR="00F40E14" w:rsidRPr="00407AEF" w:rsidRDefault="00F40E14" w:rsidP="006C2828">
            <w:pPr>
              <w:jc w:val="both"/>
              <w:rPr>
                <w:rFonts w:ascii="Arial" w:hAnsi="Arial" w:cs="Arial"/>
                <w:sz w:val="15"/>
                <w:szCs w:val="15"/>
                <w:lang w:eastAsia="es-ES"/>
              </w:rPr>
            </w:pPr>
            <w:r w:rsidRPr="00407AEF">
              <w:rPr>
                <w:rFonts w:ascii="Arial" w:hAnsi="Arial" w:cs="Arial"/>
                <w:sz w:val="15"/>
                <w:szCs w:val="15"/>
                <w:lang w:eastAsia="es-ES"/>
              </w:rPr>
              <w:t xml:space="preserve">Subdirectora de Gestión Contractual </w:t>
            </w:r>
          </w:p>
        </w:tc>
      </w:tr>
    </w:tbl>
    <w:p w14:paraId="4AE77D5D" w14:textId="77777777" w:rsidR="00F40E14" w:rsidRPr="00407AEF" w:rsidRDefault="00F40E14" w:rsidP="00F40E14">
      <w:pPr>
        <w:spacing w:after="120" w:line="276" w:lineRule="auto"/>
        <w:jc w:val="both"/>
        <w:rPr>
          <w:rFonts w:ascii="Arial" w:hAnsi="Arial" w:cs="Arial"/>
        </w:rPr>
      </w:pPr>
    </w:p>
    <w:p w14:paraId="2DC14655" w14:textId="77777777" w:rsidR="00F40E14" w:rsidRPr="00407AEF" w:rsidRDefault="00F40E14" w:rsidP="00F40E14">
      <w:pPr>
        <w:rPr>
          <w:rFonts w:ascii="Arial" w:eastAsia="Times New Roman" w:hAnsi="Arial" w:cs="Arial"/>
          <w:b/>
          <w:lang w:eastAsia="es-CO"/>
        </w:rPr>
      </w:pPr>
    </w:p>
    <w:bookmarkEnd w:id="0"/>
    <w:p w14:paraId="6AB3F3C8" w14:textId="77777777" w:rsidR="00F40E14" w:rsidRPr="00407AEF" w:rsidRDefault="00F40E14" w:rsidP="00F40E14">
      <w:pPr>
        <w:pStyle w:val="gmail-msonospacing"/>
        <w:spacing w:before="0" w:beforeAutospacing="0" w:after="0" w:afterAutospacing="0" w:line="276" w:lineRule="auto"/>
        <w:ind w:right="48"/>
        <w:contextualSpacing/>
        <w:jc w:val="both"/>
        <w:rPr>
          <w:rFonts w:ascii="Arial" w:hAnsi="Arial" w:cs="Arial"/>
          <w:lang w:val="es-MX"/>
        </w:rPr>
      </w:pPr>
    </w:p>
    <w:p w14:paraId="149C35BF" w14:textId="77777777" w:rsidR="00F40E14" w:rsidRPr="00C13611" w:rsidRDefault="00F40E14" w:rsidP="00F40E14">
      <w:pPr>
        <w:spacing w:after="0" w:line="240" w:lineRule="auto"/>
        <w:jc w:val="right"/>
        <w:textAlignment w:val="baseline"/>
        <w:rPr>
          <w:rFonts w:ascii="Geomanist Light" w:eastAsia="Times New Roman" w:hAnsi="Geomanist Light" w:cs="Arial"/>
          <w:lang w:val="es-MX" w:eastAsia="es-CO"/>
        </w:rPr>
      </w:pPr>
    </w:p>
    <w:p w14:paraId="0F293BF4" w14:textId="0F6FB6C1" w:rsidR="00127233" w:rsidRPr="00F40E14" w:rsidRDefault="00127233" w:rsidP="00F40E14"/>
    <w:sectPr w:rsidR="00127233" w:rsidRPr="00F40E14"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21506" w14:textId="77777777" w:rsidR="00915A86" w:rsidRDefault="00915A86" w:rsidP="004A1847">
      <w:pPr>
        <w:spacing w:after="0" w:line="240" w:lineRule="auto"/>
      </w:pPr>
      <w:r>
        <w:separator/>
      </w:r>
    </w:p>
  </w:endnote>
  <w:endnote w:type="continuationSeparator" w:id="0">
    <w:p w14:paraId="29661B2A" w14:textId="77777777" w:rsidR="00915A86" w:rsidRDefault="00915A86" w:rsidP="004A1847">
      <w:pPr>
        <w:spacing w:after="0" w:line="240" w:lineRule="auto"/>
      </w:pPr>
      <w:r>
        <w:continuationSeparator/>
      </w:r>
    </w:p>
  </w:endnote>
  <w:endnote w:type="continuationNotice" w:id="1">
    <w:p w14:paraId="4DD454D3" w14:textId="77777777" w:rsidR="00915A86" w:rsidRDefault="00915A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panose1 w:val="00000000000000000000"/>
    <w:charset w:val="00"/>
    <w:family w:val="modern"/>
    <w:notTrueType/>
    <w:pitch w:val="variable"/>
    <w:sig w:usb0="A000002F" w:usb1="1000004A" w:usb2="00000000" w:usb3="00000000" w:csb0="00000193" w:csb1="00000000"/>
  </w:font>
  <w:font w:name="Arial Nova">
    <w:altName w:val="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A127B" w14:textId="77777777" w:rsidR="00915A86" w:rsidRDefault="00915A86" w:rsidP="004A1847">
      <w:pPr>
        <w:spacing w:after="0" w:line="240" w:lineRule="auto"/>
      </w:pPr>
      <w:r>
        <w:separator/>
      </w:r>
    </w:p>
  </w:footnote>
  <w:footnote w:type="continuationSeparator" w:id="0">
    <w:p w14:paraId="3CF8492F" w14:textId="77777777" w:rsidR="00915A86" w:rsidRDefault="00915A86" w:rsidP="004A1847">
      <w:pPr>
        <w:spacing w:after="0" w:line="240" w:lineRule="auto"/>
      </w:pPr>
      <w:r>
        <w:continuationSeparator/>
      </w:r>
    </w:p>
  </w:footnote>
  <w:footnote w:type="continuationNotice" w:id="1">
    <w:p w14:paraId="06DEE14A" w14:textId="77777777" w:rsidR="00915A86" w:rsidRDefault="00915A86">
      <w:pPr>
        <w:spacing w:after="0" w:line="240" w:lineRule="auto"/>
      </w:pPr>
    </w:p>
  </w:footnote>
  <w:footnote w:id="2">
    <w:p w14:paraId="47C69E0D" w14:textId="77777777" w:rsidR="00F40E14" w:rsidRPr="00E60D18" w:rsidRDefault="00F40E14" w:rsidP="00F40E14">
      <w:pPr>
        <w:pStyle w:val="Textonotapie"/>
        <w:ind w:firstLine="708"/>
        <w:jc w:val="both"/>
        <w:rPr>
          <w:rFonts w:ascii="Arial" w:hAnsi="Arial" w:cs="Arial"/>
          <w:sz w:val="19"/>
          <w:szCs w:val="19"/>
          <w:lang w:val="es-ES"/>
        </w:rPr>
      </w:pPr>
      <w:r w:rsidRPr="00E60D18">
        <w:rPr>
          <w:rStyle w:val="Refdenotaalpie"/>
          <w:rFonts w:ascii="Arial" w:hAnsi="Arial" w:cs="Arial"/>
          <w:sz w:val="19"/>
          <w:szCs w:val="19"/>
        </w:rPr>
        <w:footnoteRef/>
      </w:r>
      <w:r w:rsidRPr="00E60D18">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E60D18">
        <w:rPr>
          <w:rFonts w:ascii="Arial" w:hAnsi="Arial" w:cs="Arial"/>
          <w:i/>
          <w:iCs/>
          <w:sz w:val="19"/>
          <w:szCs w:val="19"/>
        </w:rPr>
        <w:t xml:space="preserve">ibidem </w:t>
      </w:r>
      <w:r w:rsidRPr="00E60D18">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29AA455F" w14:textId="77777777" w:rsidR="00F40E14" w:rsidRPr="00E60D18" w:rsidRDefault="00F40E14" w:rsidP="00F40E14">
      <w:pPr>
        <w:ind w:firstLine="707"/>
        <w:jc w:val="both"/>
        <w:rPr>
          <w:rFonts w:ascii="Arial" w:eastAsia="Arial" w:hAnsi="Arial" w:cs="Arial"/>
          <w:sz w:val="19"/>
          <w:szCs w:val="19"/>
        </w:rPr>
      </w:pPr>
      <w:r w:rsidRPr="00E60D18">
        <w:rPr>
          <w:rFonts w:ascii="Arial" w:hAnsi="Arial" w:cs="Arial"/>
          <w:sz w:val="19"/>
          <w:szCs w:val="19"/>
          <w:vertAlign w:val="superscript"/>
        </w:rPr>
        <w:footnoteRef/>
      </w:r>
      <w:r w:rsidRPr="00E60D18">
        <w:rPr>
          <w:rFonts w:ascii="Arial" w:eastAsia="Arial" w:hAnsi="Arial" w:cs="Arial"/>
          <w:sz w:val="19"/>
          <w:szCs w:val="19"/>
        </w:rPr>
        <w:t xml:space="preserve"> Ley 489 de 1998: «Artículo 68: Entidades descentralizadas.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w:t>
      </w:r>
      <w:r w:rsidRPr="00E60D18">
        <w:rPr>
          <w:rFonts w:ascii="Arial" w:eastAsia="Arial" w:hAnsi="Arial" w:cs="Arial"/>
          <w:b/>
          <w:sz w:val="19"/>
          <w:szCs w:val="19"/>
        </w:rPr>
        <w:t xml:space="preserve">las empresas oficiales de servicios públicos </w:t>
      </w:r>
      <w:r w:rsidRPr="00E60D18">
        <w:rPr>
          <w:rFonts w:ascii="Arial" w:eastAsia="Arial" w:hAnsi="Arial" w:cs="Arial"/>
          <w:sz w:val="19"/>
          <w:szCs w:val="19"/>
        </w:rPr>
        <w:t>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p>
    <w:p w14:paraId="04340F87" w14:textId="77777777" w:rsidR="00F40E14" w:rsidRPr="00E60D18" w:rsidRDefault="00F40E14" w:rsidP="00F40E14">
      <w:pPr>
        <w:pBdr>
          <w:top w:val="nil"/>
          <w:left w:val="nil"/>
          <w:bottom w:val="nil"/>
          <w:right w:val="nil"/>
          <w:between w:val="nil"/>
        </w:pBdr>
        <w:jc w:val="both"/>
        <w:rPr>
          <w:rFonts w:ascii="Arial" w:eastAsia="Arial" w:hAnsi="Arial" w:cs="Arial"/>
          <w:color w:val="000000"/>
          <w:sz w:val="19"/>
          <w:szCs w:val="19"/>
        </w:rPr>
      </w:pPr>
    </w:p>
  </w:footnote>
  <w:footnote w:id="4">
    <w:p w14:paraId="5C44627E" w14:textId="77777777" w:rsidR="00F40E14" w:rsidRPr="00E60D18" w:rsidRDefault="00F40E14" w:rsidP="00F40E14">
      <w:pPr>
        <w:pBdr>
          <w:top w:val="nil"/>
          <w:left w:val="nil"/>
          <w:bottom w:val="nil"/>
          <w:right w:val="nil"/>
          <w:between w:val="nil"/>
        </w:pBdr>
        <w:ind w:firstLine="708"/>
        <w:rPr>
          <w:rFonts w:ascii="Arial" w:eastAsia="Arial" w:hAnsi="Arial" w:cs="Arial"/>
          <w:color w:val="000000"/>
          <w:sz w:val="19"/>
          <w:szCs w:val="19"/>
        </w:rPr>
      </w:pPr>
      <w:r w:rsidRPr="00E60D18">
        <w:rPr>
          <w:rFonts w:ascii="Arial" w:hAnsi="Arial" w:cs="Arial"/>
          <w:sz w:val="19"/>
          <w:szCs w:val="19"/>
          <w:vertAlign w:val="superscript"/>
        </w:rPr>
        <w:footnoteRef/>
      </w:r>
      <w:r w:rsidRPr="00E60D18">
        <w:rPr>
          <w:rFonts w:ascii="Arial" w:eastAsia="Arial" w:hAnsi="Arial" w:cs="Arial"/>
          <w:color w:val="000000"/>
          <w:sz w:val="19"/>
          <w:szCs w:val="19"/>
        </w:rPr>
        <w:t xml:space="preserve"> Corte Constitucional. Sentencia C-736 de 2007. C.P. Marco Gerardo Monroy Cabra.</w:t>
      </w:r>
    </w:p>
  </w:footnote>
  <w:footnote w:id="5">
    <w:p w14:paraId="46835B4F" w14:textId="77777777" w:rsidR="00F40E14" w:rsidRPr="00E60D18" w:rsidRDefault="00F40E14" w:rsidP="00F40E14">
      <w:pPr>
        <w:pBdr>
          <w:top w:val="nil"/>
          <w:left w:val="nil"/>
          <w:bottom w:val="nil"/>
          <w:right w:val="nil"/>
          <w:between w:val="nil"/>
        </w:pBdr>
        <w:ind w:firstLine="606"/>
        <w:rPr>
          <w:rFonts w:ascii="Arial" w:eastAsia="Arial" w:hAnsi="Arial" w:cs="Arial"/>
          <w:color w:val="000000"/>
          <w:sz w:val="19"/>
          <w:szCs w:val="19"/>
        </w:rPr>
      </w:pPr>
      <w:r w:rsidRPr="00E60D18">
        <w:rPr>
          <w:rFonts w:ascii="Arial" w:hAnsi="Arial" w:cs="Arial"/>
          <w:sz w:val="19"/>
          <w:szCs w:val="19"/>
          <w:vertAlign w:val="superscript"/>
        </w:rPr>
        <w:footnoteRef/>
      </w:r>
      <w:r w:rsidRPr="00E60D18">
        <w:rPr>
          <w:rFonts w:ascii="Arial" w:eastAsia="Arial" w:hAnsi="Arial" w:cs="Arial"/>
          <w:color w:val="000000"/>
          <w:sz w:val="19"/>
          <w:szCs w:val="19"/>
        </w:rPr>
        <w:t xml:space="preserve"> Ibíd.</w:t>
      </w:r>
    </w:p>
  </w:footnote>
  <w:footnote w:id="6">
    <w:p w14:paraId="3852AFE1" w14:textId="77777777" w:rsidR="00F40E14" w:rsidRPr="00E60D18" w:rsidRDefault="00F40E14" w:rsidP="00F40E14">
      <w:pPr>
        <w:pStyle w:val="Textonotapie"/>
        <w:ind w:firstLine="709"/>
        <w:jc w:val="both"/>
        <w:rPr>
          <w:rFonts w:ascii="Arial" w:hAnsi="Arial" w:cs="Arial"/>
          <w:color w:val="000000" w:themeColor="text1"/>
          <w:sz w:val="19"/>
          <w:szCs w:val="19"/>
          <w:lang w:val="es-ES_tradnl"/>
        </w:rPr>
      </w:pPr>
      <w:r w:rsidRPr="00E60D18">
        <w:rPr>
          <w:rStyle w:val="Refdenotaalpie"/>
          <w:rFonts w:ascii="Arial" w:hAnsi="Arial" w:cs="Arial"/>
          <w:color w:val="000000" w:themeColor="text1"/>
          <w:sz w:val="19"/>
          <w:szCs w:val="19"/>
          <w:lang w:val="es-ES_tradnl"/>
        </w:rPr>
        <w:footnoteRef/>
      </w:r>
      <w:r w:rsidRPr="00E60D18">
        <w:rPr>
          <w:rFonts w:ascii="Arial" w:hAnsi="Arial" w:cs="Arial"/>
          <w:color w:val="000000" w:themeColor="text1"/>
          <w:sz w:val="19"/>
          <w:szCs w:val="19"/>
          <w:lang w:val="es-ES_tradnl"/>
        </w:rPr>
        <w:t xml:space="preserve"> Así lo ha reconocido la doctrina en la materia, al afirmar: «El modelo que se adoptó en la Constitución de 1991 para los servicios públicos se caracteriza por la liberalización de su prestación, por un fuerte poder del Estado para intervenir en ellos y por la adopción de instituciones para lidiar con los principales problemas que respecto de las tarifas enfrentaron históricamente estos servicios: la interferencia política en su fijación y el abuso por parte de los prestadores de su posición cuando no tienen suficiente competencia en sus mercados.</w:t>
      </w:r>
    </w:p>
    <w:p w14:paraId="57321DD5" w14:textId="77777777" w:rsidR="00F40E14" w:rsidRPr="00E60D18" w:rsidRDefault="00F40E14" w:rsidP="00F40E14">
      <w:pPr>
        <w:pStyle w:val="Textonotapie"/>
        <w:ind w:firstLine="709"/>
        <w:jc w:val="both"/>
        <w:rPr>
          <w:rFonts w:ascii="Arial" w:hAnsi="Arial" w:cs="Arial"/>
          <w:color w:val="000000" w:themeColor="text1"/>
          <w:sz w:val="19"/>
          <w:szCs w:val="19"/>
          <w:lang w:val="es-ES_tradnl"/>
        </w:rPr>
      </w:pPr>
      <w:r w:rsidRPr="00E60D18">
        <w:rPr>
          <w:rFonts w:ascii="Arial" w:hAnsi="Arial" w:cs="Arial"/>
          <w:color w:val="000000" w:themeColor="text1"/>
          <w:sz w:val="19"/>
          <w:szCs w:val="19"/>
          <w:lang w:val="es-ES_tradnl"/>
        </w:rPr>
        <w:t>»Como base del modelo de liberalización, la Constitución removió las barreras jurídicas de entrada a la prestación de los servicios públicos y estableció como regla general que ellos “podrán ser prestados por el Estado, directa o indirectamente, por comunidades organizadas o por particulares” […].</w:t>
      </w:r>
    </w:p>
    <w:p w14:paraId="38AF5F14" w14:textId="77777777" w:rsidR="00F40E14" w:rsidRPr="00E60D18" w:rsidRDefault="00F40E14" w:rsidP="00F40E14">
      <w:pPr>
        <w:pStyle w:val="Textonotapie"/>
        <w:ind w:firstLine="709"/>
        <w:jc w:val="both"/>
        <w:rPr>
          <w:rFonts w:ascii="Arial" w:hAnsi="Arial" w:cs="Arial"/>
          <w:color w:val="000000" w:themeColor="text1"/>
          <w:sz w:val="19"/>
          <w:szCs w:val="19"/>
          <w:lang w:val="es-ES_tradnl"/>
        </w:rPr>
      </w:pPr>
      <w:r w:rsidRPr="00E60D18">
        <w:rPr>
          <w:rFonts w:ascii="Arial" w:hAnsi="Arial" w:cs="Arial"/>
          <w:color w:val="000000" w:themeColor="text1"/>
          <w:sz w:val="19"/>
          <w:szCs w:val="19"/>
          <w:lang w:val="es-ES_tradnl"/>
        </w:rPr>
        <w:t>»Al establecer esta libertad de entrada, la Constitución abrió la puerta para romper con el modelo de prestación basado exclusivamente en los monopolios estatales que estuvo vigente por más de medio siglo. Y aunque bajo la Constitución de 1991 es posible aún la creación de monopolios de derecho para los servicios públicos, para ello deben cumplirse procedimientos muy exigentes desde el punto de vista político y jurídico: debe hacerse mediante una ley de iniciativa gubernamental aprobada por ambas cámaras del Congreso y, en todo caso, puede ocurrir solo mediando indemnización previa y plena» (NÚÑEZ FORERO, Felipe. Servicios públicos domiciliarios, telecomunicaciones e infraestructura (instituciones, regulación y competencia). Bogotá: Universidad Externado de Colombia, 2017. p. 43).</w:t>
      </w:r>
    </w:p>
    <w:p w14:paraId="3ADF4EEB" w14:textId="77777777" w:rsidR="00F40E14" w:rsidRPr="00E60D18" w:rsidRDefault="00F40E14" w:rsidP="00F40E14">
      <w:pPr>
        <w:pStyle w:val="Textonotapie"/>
        <w:ind w:firstLine="709"/>
        <w:jc w:val="both"/>
        <w:rPr>
          <w:rFonts w:ascii="Arial" w:hAnsi="Arial" w:cs="Arial"/>
          <w:color w:val="000000" w:themeColor="text1"/>
          <w:sz w:val="19"/>
          <w:szCs w:val="19"/>
          <w:lang w:val="es-ES_tradnl"/>
        </w:rPr>
      </w:pPr>
    </w:p>
  </w:footnote>
  <w:footnote w:id="7">
    <w:p w14:paraId="23E3603E" w14:textId="77777777" w:rsidR="00F40E14" w:rsidRPr="00E60D18" w:rsidRDefault="00F40E14" w:rsidP="00F40E14">
      <w:pPr>
        <w:pStyle w:val="Textonotapie"/>
        <w:ind w:firstLine="709"/>
        <w:jc w:val="both"/>
        <w:rPr>
          <w:rFonts w:ascii="Arial" w:hAnsi="Arial" w:cs="Arial"/>
          <w:color w:val="000000" w:themeColor="text1"/>
          <w:sz w:val="19"/>
          <w:szCs w:val="19"/>
        </w:rPr>
      </w:pPr>
      <w:r w:rsidRPr="00E60D18">
        <w:rPr>
          <w:rStyle w:val="Refdenotaalpie"/>
          <w:rFonts w:ascii="Arial" w:hAnsi="Arial" w:cs="Arial"/>
          <w:color w:val="000000" w:themeColor="text1"/>
          <w:sz w:val="19"/>
          <w:szCs w:val="19"/>
        </w:rPr>
        <w:footnoteRef/>
      </w:r>
      <w:r w:rsidRPr="00E60D18">
        <w:rPr>
          <w:rFonts w:ascii="Arial" w:hAnsi="Arial" w:cs="Arial"/>
          <w:color w:val="000000" w:themeColor="text1"/>
          <w:sz w:val="19"/>
          <w:szCs w:val="19"/>
        </w:rPr>
        <w:t xml:space="preserve"> En efecto, dicho artículo establece: «Pueden prestar los servicios públicos:</w:t>
      </w:r>
    </w:p>
    <w:p w14:paraId="64F00050" w14:textId="77777777" w:rsidR="00F40E14" w:rsidRPr="00E60D18" w:rsidRDefault="00F40E14" w:rsidP="00F40E14">
      <w:pPr>
        <w:pStyle w:val="Textonotapie"/>
        <w:ind w:firstLine="709"/>
        <w:jc w:val="both"/>
        <w:rPr>
          <w:rFonts w:ascii="Arial" w:hAnsi="Arial" w:cs="Arial"/>
          <w:color w:val="000000" w:themeColor="text1"/>
          <w:sz w:val="19"/>
          <w:szCs w:val="19"/>
        </w:rPr>
      </w:pPr>
      <w:r w:rsidRPr="00E60D18">
        <w:rPr>
          <w:rFonts w:ascii="Arial" w:hAnsi="Arial" w:cs="Arial"/>
          <w:color w:val="000000" w:themeColor="text1"/>
          <w:sz w:val="19"/>
          <w:szCs w:val="19"/>
        </w:rPr>
        <w:t>»15.1. Las empresas de servicios públicos.</w:t>
      </w:r>
    </w:p>
    <w:p w14:paraId="6648FC70" w14:textId="77777777" w:rsidR="00F40E14" w:rsidRPr="00E60D18" w:rsidRDefault="00F40E14" w:rsidP="00F40E14">
      <w:pPr>
        <w:pStyle w:val="Textonotapie"/>
        <w:ind w:firstLine="709"/>
        <w:jc w:val="both"/>
        <w:rPr>
          <w:rFonts w:ascii="Arial" w:hAnsi="Arial" w:cs="Arial"/>
          <w:color w:val="000000" w:themeColor="text1"/>
          <w:sz w:val="19"/>
          <w:szCs w:val="19"/>
        </w:rPr>
      </w:pPr>
      <w:r w:rsidRPr="00E60D18">
        <w:rPr>
          <w:rFonts w:ascii="Arial" w:hAnsi="Arial" w:cs="Arial"/>
          <w:color w:val="000000" w:themeColor="text1"/>
          <w:sz w:val="19"/>
          <w:szCs w:val="19"/>
        </w:rPr>
        <w:t>»15.2. Las personas naturales o jurídicas que produzcan para ellas mismas, o como consecuencia o complemento de su actividad principal, los bienes y servicios propios del objeto de las empresas de servicios públicos.</w:t>
      </w:r>
    </w:p>
    <w:p w14:paraId="19094CCD" w14:textId="77777777" w:rsidR="00F40E14" w:rsidRPr="00E60D18" w:rsidRDefault="00F40E14" w:rsidP="00F40E14">
      <w:pPr>
        <w:pStyle w:val="Textonotapie"/>
        <w:ind w:firstLine="709"/>
        <w:jc w:val="both"/>
        <w:rPr>
          <w:rFonts w:ascii="Arial" w:hAnsi="Arial" w:cs="Arial"/>
          <w:color w:val="000000" w:themeColor="text1"/>
          <w:sz w:val="19"/>
          <w:szCs w:val="19"/>
        </w:rPr>
      </w:pPr>
      <w:r w:rsidRPr="00E60D18">
        <w:rPr>
          <w:rFonts w:ascii="Arial" w:hAnsi="Arial" w:cs="Arial"/>
          <w:color w:val="000000" w:themeColor="text1"/>
          <w:sz w:val="19"/>
          <w:szCs w:val="19"/>
        </w:rPr>
        <w:t>»15.3. Los municipios cuando asuman en forma directa, a través de su administración central, la prestación de los servicios públicos, conforme a lo dispuesto en esta Ley.</w:t>
      </w:r>
    </w:p>
    <w:p w14:paraId="14D40E78" w14:textId="77777777" w:rsidR="00F40E14" w:rsidRPr="00E60D18" w:rsidRDefault="00F40E14" w:rsidP="00F40E14">
      <w:pPr>
        <w:pStyle w:val="Textonotapie"/>
        <w:ind w:firstLine="709"/>
        <w:jc w:val="both"/>
        <w:rPr>
          <w:rFonts w:ascii="Arial" w:hAnsi="Arial" w:cs="Arial"/>
          <w:color w:val="000000" w:themeColor="text1"/>
          <w:sz w:val="19"/>
          <w:szCs w:val="19"/>
        </w:rPr>
      </w:pPr>
      <w:r w:rsidRPr="00E60D18">
        <w:rPr>
          <w:rFonts w:ascii="Arial" w:hAnsi="Arial" w:cs="Arial"/>
          <w:color w:val="000000" w:themeColor="text1"/>
          <w:sz w:val="19"/>
          <w:szCs w:val="19"/>
        </w:rPr>
        <w:t>»15.4. Las organizaciones autorizadas conforme a esta Ley para prestar servicios públicos en municipios menores en zonas rurales y en áreas o zonas urbanas específicas.</w:t>
      </w:r>
    </w:p>
    <w:p w14:paraId="263BDBB3" w14:textId="77777777" w:rsidR="00F40E14" w:rsidRPr="00E60D18" w:rsidRDefault="00F40E14" w:rsidP="00F40E14">
      <w:pPr>
        <w:pStyle w:val="Textonotapie"/>
        <w:ind w:firstLine="709"/>
        <w:jc w:val="both"/>
        <w:rPr>
          <w:rFonts w:ascii="Arial" w:hAnsi="Arial" w:cs="Arial"/>
          <w:color w:val="000000" w:themeColor="text1"/>
          <w:sz w:val="19"/>
          <w:szCs w:val="19"/>
        </w:rPr>
      </w:pPr>
      <w:r w:rsidRPr="00E60D18">
        <w:rPr>
          <w:rFonts w:ascii="Arial" w:hAnsi="Arial" w:cs="Arial"/>
          <w:color w:val="000000" w:themeColor="text1"/>
          <w:sz w:val="19"/>
          <w:szCs w:val="19"/>
        </w:rPr>
        <w:t>»15.5. Las entidades autorizadas para prestar servicios públicos durante los períodos de transición previstos en esta Ley.</w:t>
      </w:r>
    </w:p>
    <w:p w14:paraId="61682E27" w14:textId="77777777" w:rsidR="00F40E14" w:rsidRPr="00E60D18" w:rsidRDefault="00F40E14" w:rsidP="00F40E14">
      <w:pPr>
        <w:pStyle w:val="Textonotapie"/>
        <w:ind w:firstLine="709"/>
        <w:jc w:val="both"/>
        <w:rPr>
          <w:rFonts w:ascii="Arial" w:hAnsi="Arial" w:cs="Arial"/>
          <w:color w:val="000000" w:themeColor="text1"/>
          <w:sz w:val="19"/>
          <w:szCs w:val="19"/>
        </w:rPr>
      </w:pPr>
      <w:r w:rsidRPr="00E60D18">
        <w:rPr>
          <w:rFonts w:ascii="Arial" w:hAnsi="Arial" w:cs="Arial"/>
          <w:color w:val="000000" w:themeColor="text1"/>
          <w:sz w:val="19"/>
          <w:szCs w:val="19"/>
        </w:rPr>
        <w:t>»15.6. Las entidades descentralizadas de cualquier orden territorial o nacional que al momento de expedirse esta Ley estén prestando cualquiera de los servicios públicos y se ajusten a lo establecido en el parágrafo del artículo 17».</w:t>
      </w:r>
    </w:p>
    <w:p w14:paraId="74BF7CFC" w14:textId="77777777" w:rsidR="00F40E14" w:rsidRPr="00E60D18" w:rsidRDefault="00F40E14" w:rsidP="00F40E14">
      <w:pPr>
        <w:pStyle w:val="Textonotapie"/>
        <w:ind w:firstLine="709"/>
        <w:jc w:val="both"/>
        <w:rPr>
          <w:rFonts w:ascii="Arial" w:hAnsi="Arial" w:cs="Arial"/>
          <w:color w:val="000000" w:themeColor="text1"/>
          <w:sz w:val="19"/>
          <w:szCs w:val="19"/>
          <w:lang w:val="es-ES"/>
        </w:rPr>
      </w:pPr>
    </w:p>
  </w:footnote>
  <w:footnote w:id="8">
    <w:p w14:paraId="712AC22F" w14:textId="77777777" w:rsidR="00F40E14" w:rsidRPr="00E60D18" w:rsidRDefault="00F40E14" w:rsidP="00F40E14">
      <w:pPr>
        <w:pStyle w:val="Textonotapie"/>
        <w:ind w:firstLine="709"/>
        <w:jc w:val="both"/>
        <w:rPr>
          <w:rFonts w:ascii="Arial" w:hAnsi="Arial" w:cs="Arial"/>
          <w:color w:val="000000" w:themeColor="text1"/>
          <w:sz w:val="19"/>
          <w:szCs w:val="19"/>
        </w:rPr>
      </w:pPr>
      <w:r w:rsidRPr="00E60D18">
        <w:rPr>
          <w:rStyle w:val="Refdenotaalpie"/>
          <w:rFonts w:ascii="Arial" w:hAnsi="Arial" w:cs="Arial"/>
          <w:color w:val="000000" w:themeColor="text1"/>
          <w:sz w:val="19"/>
          <w:szCs w:val="19"/>
        </w:rPr>
        <w:footnoteRef/>
      </w:r>
      <w:r w:rsidRPr="00E60D18">
        <w:rPr>
          <w:rFonts w:ascii="Arial" w:hAnsi="Arial" w:cs="Arial"/>
          <w:color w:val="000000" w:themeColor="text1"/>
          <w:sz w:val="19"/>
          <w:szCs w:val="19"/>
        </w:rPr>
        <w:t xml:space="preserve"> Así lo establece la norma: «Salvo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w:t>
      </w:r>
    </w:p>
    <w:p w14:paraId="106881FC" w14:textId="77777777" w:rsidR="00F40E14" w:rsidRPr="00E60D18" w:rsidRDefault="00F40E14" w:rsidP="00F40E14">
      <w:pPr>
        <w:pStyle w:val="Textonotapie"/>
        <w:ind w:firstLine="709"/>
        <w:jc w:val="both"/>
        <w:rPr>
          <w:rFonts w:ascii="Arial" w:hAnsi="Arial" w:cs="Arial"/>
          <w:color w:val="000000" w:themeColor="text1"/>
          <w:sz w:val="19"/>
          <w:szCs w:val="19"/>
        </w:rPr>
      </w:pPr>
      <w:r w:rsidRPr="00E60D18">
        <w:rPr>
          <w:rFonts w:ascii="Arial" w:hAnsi="Arial" w:cs="Arial"/>
          <w:color w:val="000000" w:themeColor="text1"/>
          <w:sz w:val="19"/>
          <w:szCs w:val="19"/>
        </w:rPr>
        <w:t>»La regla precedente se aplicará, inclusive, a las sociedades en las que las entidades públicas sean parte, sin atender al porcentaje que sus aportes representen dentro del capital social, ni a la naturaleza del acto o del derecho que se ejerce.</w:t>
      </w:r>
    </w:p>
    <w:p w14:paraId="144F4C3C" w14:textId="77777777" w:rsidR="00F40E14" w:rsidRPr="00E60D18" w:rsidRDefault="00F40E14" w:rsidP="00F40E14">
      <w:pPr>
        <w:pStyle w:val="Textonotapie"/>
        <w:ind w:firstLine="709"/>
        <w:jc w:val="both"/>
        <w:rPr>
          <w:rFonts w:ascii="Arial" w:hAnsi="Arial" w:cs="Arial"/>
          <w:color w:val="000000" w:themeColor="text1"/>
          <w:sz w:val="19"/>
          <w:szCs w:val="19"/>
        </w:rPr>
      </w:pPr>
      <w:r w:rsidRPr="00E60D18">
        <w:rPr>
          <w:rFonts w:ascii="Arial" w:hAnsi="Arial" w:cs="Arial"/>
          <w:color w:val="000000" w:themeColor="text1"/>
          <w:sz w:val="19"/>
          <w:szCs w:val="19"/>
        </w:rPr>
        <w:t>»Se entiende que la autorización para que una entidad pública haga parte de una empresa de servicios públicos organizada como sociedad por acciones, faculta a su representante legal, de acuerdo con los estatutos de la entidad, para realizar respecto de la sociedad, las acciones y los derechos inherentes a ellas [y] todos los actos que la ley y los estatutos permiten a los socios particulares».</w:t>
      </w:r>
    </w:p>
    <w:p w14:paraId="412C494D" w14:textId="77777777" w:rsidR="00F40E14" w:rsidRPr="00E60D18" w:rsidRDefault="00F40E14" w:rsidP="00F40E14">
      <w:pPr>
        <w:pStyle w:val="Textonotapie"/>
        <w:ind w:firstLine="709"/>
        <w:jc w:val="both"/>
        <w:rPr>
          <w:rFonts w:ascii="Arial" w:hAnsi="Arial" w:cs="Arial"/>
          <w:color w:val="000000" w:themeColor="text1"/>
          <w:sz w:val="19"/>
          <w:szCs w:val="19"/>
        </w:rPr>
      </w:pPr>
    </w:p>
  </w:footnote>
  <w:footnote w:id="9">
    <w:p w14:paraId="5B04EEF4" w14:textId="77777777" w:rsidR="00F40E14" w:rsidRPr="00E60D18" w:rsidRDefault="00F40E14" w:rsidP="00F40E14">
      <w:pPr>
        <w:ind w:firstLine="709"/>
        <w:jc w:val="both"/>
        <w:rPr>
          <w:rFonts w:ascii="Arial" w:hAnsi="Arial" w:cs="Arial"/>
          <w:color w:val="000000" w:themeColor="text1"/>
          <w:sz w:val="19"/>
          <w:szCs w:val="19"/>
          <w:lang w:val="es-ES_tradnl"/>
        </w:rPr>
      </w:pPr>
      <w:r w:rsidRPr="00E60D18">
        <w:rPr>
          <w:rStyle w:val="Refdenotaalpie"/>
          <w:rFonts w:ascii="Arial" w:hAnsi="Arial" w:cs="Arial"/>
          <w:color w:val="000000" w:themeColor="text1"/>
          <w:sz w:val="19"/>
          <w:szCs w:val="19"/>
          <w:lang w:val="es-ES_tradnl"/>
        </w:rPr>
        <w:footnoteRef/>
      </w:r>
      <w:r w:rsidRPr="00E60D18">
        <w:rPr>
          <w:rFonts w:ascii="Arial" w:hAnsi="Arial" w:cs="Arial"/>
          <w:color w:val="000000" w:themeColor="text1"/>
          <w:sz w:val="19"/>
          <w:szCs w:val="19"/>
          <w:lang w:val="es-ES_tradnl"/>
        </w:rPr>
        <w:t xml:space="preserve"> Consejo de Estado. Sección Tercera, Subsección C. Sentencia del 13 de abril de 2011. Exp. 37423. Consejero Ponente: Jaime Orlando Santofimio Gamboa. En similar sentido, puede verse la Sentencia del Consejo de Estado. Sección Tercera. Subsección B, del 15 de noviembre de 2011. Exp. 21178. Consejera ponente: Ruth Stella Correa Palacio.</w:t>
      </w:r>
    </w:p>
  </w:footnote>
  <w:footnote w:id="10">
    <w:p w14:paraId="674FFAA1" w14:textId="77777777" w:rsidR="00F40E14" w:rsidRPr="00E60D18" w:rsidRDefault="00F40E14" w:rsidP="00F40E14">
      <w:pPr>
        <w:ind w:firstLine="709"/>
        <w:jc w:val="both"/>
        <w:rPr>
          <w:rFonts w:ascii="Arial" w:eastAsia="Calibri" w:hAnsi="Arial" w:cs="Arial"/>
          <w:color w:val="000000" w:themeColor="text1"/>
          <w:sz w:val="19"/>
          <w:szCs w:val="19"/>
          <w:lang w:val="es-ES_tradnl"/>
        </w:rPr>
      </w:pPr>
      <w:r w:rsidRPr="00E60D18">
        <w:rPr>
          <w:rStyle w:val="Refdenotaalpie"/>
          <w:rFonts w:ascii="Arial" w:hAnsi="Arial" w:cs="Arial"/>
          <w:color w:val="000000" w:themeColor="text1"/>
          <w:sz w:val="19"/>
          <w:szCs w:val="19"/>
        </w:rPr>
        <w:footnoteRef/>
      </w:r>
      <w:r w:rsidRPr="00E60D18">
        <w:rPr>
          <w:rFonts w:ascii="Arial" w:hAnsi="Arial" w:cs="Arial"/>
          <w:color w:val="000000" w:themeColor="text1"/>
          <w:sz w:val="19"/>
          <w:szCs w:val="19"/>
        </w:rPr>
        <w:t xml:space="preserve"> </w:t>
      </w:r>
      <w:r w:rsidRPr="00E60D18">
        <w:rPr>
          <w:rFonts w:ascii="Arial" w:hAnsi="Arial" w:cs="Arial"/>
          <w:color w:val="000000" w:themeColor="text1"/>
          <w:sz w:val="19"/>
          <w:szCs w:val="19"/>
          <w:lang w:val="es-ES"/>
        </w:rPr>
        <w:t>Esta norma dispone: «</w:t>
      </w:r>
      <w:r w:rsidRPr="00E60D18">
        <w:rPr>
          <w:rFonts w:ascii="Arial" w:eastAsia="Calibri" w:hAnsi="Arial" w:cs="Arial"/>
          <w:color w:val="000000" w:themeColor="text1"/>
          <w:sz w:val="19"/>
          <w:szCs w:val="19"/>
          <w:lang w:val="es-ES_tradnl"/>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024ED33A" w14:textId="77777777" w:rsidR="00F40E14" w:rsidRPr="00E60D18" w:rsidRDefault="00F40E14" w:rsidP="00F40E14">
      <w:pPr>
        <w:ind w:firstLine="709"/>
        <w:jc w:val="both"/>
        <w:rPr>
          <w:rFonts w:ascii="Arial" w:eastAsia="Calibri" w:hAnsi="Arial" w:cs="Arial"/>
          <w:color w:val="000000" w:themeColor="text1"/>
          <w:sz w:val="19"/>
          <w:szCs w:val="19"/>
          <w:lang w:val="es-ES_tradnl"/>
        </w:rPr>
      </w:pPr>
    </w:p>
  </w:footnote>
  <w:footnote w:id="11">
    <w:p w14:paraId="2509F84B" w14:textId="77777777" w:rsidR="00F40E14" w:rsidRPr="00421837" w:rsidRDefault="00F40E14" w:rsidP="00F40E14">
      <w:pPr>
        <w:pStyle w:val="Textonotapie"/>
        <w:ind w:firstLine="709"/>
        <w:jc w:val="both"/>
        <w:rPr>
          <w:rFonts w:ascii="Arial" w:hAnsi="Arial" w:cs="Arial"/>
          <w:sz w:val="19"/>
          <w:szCs w:val="19"/>
        </w:rPr>
      </w:pPr>
      <w:r w:rsidRPr="00421837">
        <w:rPr>
          <w:rStyle w:val="Refdenotaalpie"/>
          <w:rFonts w:ascii="Arial" w:hAnsi="Arial" w:cs="Arial"/>
          <w:sz w:val="19"/>
          <w:szCs w:val="19"/>
        </w:rPr>
        <w:footnoteRef/>
      </w:r>
      <w:r w:rsidRPr="00421837">
        <w:rPr>
          <w:rFonts w:ascii="Arial" w:hAnsi="Arial" w:cs="Arial"/>
          <w:sz w:val="19"/>
          <w:szCs w:val="19"/>
        </w:rPr>
        <w:t xml:space="preserve"> Consejo de Estado. </w:t>
      </w:r>
      <w:r w:rsidRPr="00421837">
        <w:rPr>
          <w:rFonts w:ascii="Arial" w:hAnsi="Arial" w:cs="Arial"/>
        </w:rPr>
        <w:t xml:space="preserve">Sala de lo Contencioso Administrativo. </w:t>
      </w:r>
      <w:r w:rsidRPr="00421837">
        <w:rPr>
          <w:rFonts w:ascii="Arial" w:hAnsi="Arial" w:cs="Arial"/>
          <w:sz w:val="19"/>
          <w:szCs w:val="19"/>
        </w:rPr>
        <w:t>Sección Tercera-Subsección B. Sentencia del 8 de junio de 2018, exp. N° 25000-23-26-000-1999-01988- 01(38120). M.P. Jaime Enrique Rodríguez Navas.</w:t>
      </w:r>
    </w:p>
  </w:footnote>
  <w:footnote w:id="12">
    <w:p w14:paraId="0A870CC6" w14:textId="77777777" w:rsidR="00F40E14" w:rsidRDefault="00F40E14" w:rsidP="00F40E14">
      <w:pPr>
        <w:pStyle w:val="Textonotapie"/>
        <w:ind w:firstLine="709"/>
        <w:jc w:val="both"/>
        <w:rPr>
          <w:rFonts w:ascii="Arial" w:hAnsi="Arial" w:cs="Arial"/>
          <w:sz w:val="19"/>
          <w:szCs w:val="19"/>
        </w:rPr>
      </w:pPr>
    </w:p>
    <w:p w14:paraId="7A01C2E5" w14:textId="77777777" w:rsidR="00F40E14" w:rsidRPr="00421837" w:rsidRDefault="00F40E14" w:rsidP="00F40E14">
      <w:pPr>
        <w:pStyle w:val="Textonotapie"/>
        <w:ind w:firstLine="709"/>
        <w:jc w:val="both"/>
        <w:rPr>
          <w:rFonts w:ascii="Arial" w:eastAsia="Calibri" w:hAnsi="Arial" w:cs="Arial"/>
          <w:color w:val="000000"/>
          <w:sz w:val="19"/>
          <w:szCs w:val="19"/>
          <w:lang w:val="es-ES_tradnl" w:eastAsia="es-ES" w:bidi="es-ES"/>
        </w:rPr>
      </w:pPr>
      <w:r w:rsidRPr="00421837">
        <w:rPr>
          <w:rStyle w:val="Refdenotaalpie"/>
          <w:rFonts w:ascii="Arial" w:hAnsi="Arial" w:cs="Arial"/>
          <w:sz w:val="19"/>
          <w:szCs w:val="19"/>
        </w:rPr>
        <w:footnoteRef/>
      </w:r>
      <w:r w:rsidRPr="00421837">
        <w:rPr>
          <w:rFonts w:ascii="Arial" w:hAnsi="Arial" w:cs="Arial"/>
          <w:sz w:val="19"/>
          <w:szCs w:val="19"/>
        </w:rPr>
        <w:t xml:space="preserve"> </w:t>
      </w:r>
      <w:r w:rsidRPr="00421837">
        <w:rPr>
          <w:rFonts w:ascii="Arial" w:eastAsia="Calibri" w:hAnsi="Arial" w:cs="Arial"/>
          <w:color w:val="000000"/>
          <w:sz w:val="19"/>
          <w:szCs w:val="19"/>
          <w:lang w:val="es-ES_tradnl" w:eastAsia="es-ES" w:bidi="es-ES"/>
        </w:rPr>
        <w:t xml:space="preserve">Nota original: </w:t>
      </w:r>
      <w:r w:rsidRPr="00421837">
        <w:rPr>
          <w:rFonts w:ascii="Arial" w:eastAsia="Calibri" w:hAnsi="Arial" w:cs="Arial"/>
          <w:color w:val="000000"/>
          <w:lang w:val="es-ES_tradnl" w:eastAsia="es-ES" w:bidi="es-ES"/>
        </w:rPr>
        <w:t>«</w:t>
      </w:r>
      <w:r w:rsidRPr="00421837">
        <w:rPr>
          <w:rFonts w:ascii="Arial" w:eastAsia="Calibri" w:hAnsi="Arial" w:cs="Arial"/>
          <w:color w:val="000000"/>
          <w:sz w:val="19"/>
          <w:szCs w:val="19"/>
          <w:lang w:val="es-ES_tradnl" w:eastAsia="es-ES" w:bidi="es-ES"/>
        </w:rPr>
        <w:t>Radicación número: S-701».</w:t>
      </w:r>
    </w:p>
    <w:p w14:paraId="309EC986" w14:textId="77777777" w:rsidR="00F40E14" w:rsidRPr="00E60D18" w:rsidRDefault="00F40E14" w:rsidP="00F40E14">
      <w:pPr>
        <w:pStyle w:val="Textonotapie"/>
        <w:rPr>
          <w:rFonts w:ascii="Arial" w:hAnsi="Arial" w:cs="Arial"/>
          <w:sz w:val="19"/>
          <w:szCs w:val="19"/>
          <w:lang w:val="es-ES_tradnl"/>
        </w:rPr>
      </w:pPr>
    </w:p>
  </w:footnote>
  <w:footnote w:id="13">
    <w:p w14:paraId="56A5D6BF" w14:textId="77777777" w:rsidR="00F40E14" w:rsidRDefault="00F40E14" w:rsidP="00F40E14">
      <w:pPr>
        <w:pStyle w:val="Textonotapie"/>
        <w:ind w:firstLine="709"/>
        <w:jc w:val="both"/>
        <w:rPr>
          <w:rFonts w:ascii="Arial" w:eastAsia="Calibri" w:hAnsi="Arial" w:cs="Arial"/>
          <w:color w:val="000000"/>
          <w:sz w:val="19"/>
          <w:szCs w:val="19"/>
          <w:lang w:val="es-ES_tradnl" w:eastAsia="es-ES" w:bidi="es-ES"/>
        </w:rPr>
      </w:pPr>
      <w:r w:rsidRPr="00E60D18">
        <w:rPr>
          <w:rStyle w:val="Refdenotaalpie"/>
          <w:rFonts w:ascii="Arial" w:hAnsi="Arial" w:cs="Arial"/>
          <w:sz w:val="19"/>
          <w:szCs w:val="19"/>
        </w:rPr>
        <w:footnoteRef/>
      </w:r>
    </w:p>
    <w:p w14:paraId="332C38A7" w14:textId="77777777" w:rsidR="00F40E14" w:rsidRPr="00E60D18" w:rsidRDefault="00F40E14" w:rsidP="00F40E14">
      <w:pPr>
        <w:pStyle w:val="Textonotapie"/>
        <w:ind w:firstLine="709"/>
        <w:jc w:val="both"/>
        <w:rPr>
          <w:rFonts w:ascii="Arial" w:eastAsia="Calibri" w:hAnsi="Arial" w:cs="Arial"/>
          <w:color w:val="000000"/>
          <w:sz w:val="19"/>
          <w:szCs w:val="19"/>
          <w:lang w:val="es-ES_tradnl" w:eastAsia="es-ES" w:bidi="es-ES"/>
        </w:rPr>
      </w:pPr>
      <w:r w:rsidRPr="00421837">
        <w:rPr>
          <w:rFonts w:ascii="Arial" w:hAnsi="Arial" w:cs="Arial"/>
          <w:sz w:val="19"/>
          <w:szCs w:val="19"/>
        </w:rPr>
        <w:t xml:space="preserve"> </w:t>
      </w:r>
      <w:r w:rsidRPr="00421837">
        <w:rPr>
          <w:rFonts w:ascii="Arial" w:eastAsia="Calibri" w:hAnsi="Arial" w:cs="Arial"/>
          <w:color w:val="000000"/>
          <w:sz w:val="19"/>
          <w:szCs w:val="19"/>
          <w:lang w:val="es-ES_tradnl" w:eastAsia="es-ES" w:bidi="es-ES"/>
        </w:rPr>
        <w:t xml:space="preserve">Cita textual: </w:t>
      </w:r>
      <w:r w:rsidRPr="00421837">
        <w:rPr>
          <w:rFonts w:ascii="Arial" w:eastAsia="Calibri" w:hAnsi="Arial" w:cs="Arial"/>
          <w:color w:val="000000"/>
          <w:lang w:val="es-ES_tradnl" w:eastAsia="es-ES" w:bidi="es-ES"/>
        </w:rPr>
        <w:t>«</w:t>
      </w:r>
      <w:r w:rsidRPr="00421837">
        <w:rPr>
          <w:rFonts w:ascii="Arial" w:eastAsia="Calibri" w:hAnsi="Arial" w:cs="Arial"/>
          <w:color w:val="000000"/>
          <w:sz w:val="19"/>
          <w:szCs w:val="19"/>
          <w:lang w:val="es-ES_tradnl" w:eastAsia="es-ES" w:bidi="es-ES"/>
        </w:rPr>
        <w:t>CONSEJO DE ESTADO, Sección Tercera, Sala Plena. Sentencia de 2 de diciembre de 2013, radicación número 76001-23-31-000-2005-02130-01(AP)».</w:t>
      </w:r>
    </w:p>
  </w:footnote>
  <w:footnote w:id="14">
    <w:p w14:paraId="42861B49" w14:textId="77777777" w:rsidR="00F40E14" w:rsidRPr="003D11EB" w:rsidRDefault="00F40E14" w:rsidP="00F40E14">
      <w:pPr>
        <w:pStyle w:val="Textonotapie"/>
        <w:ind w:firstLine="709"/>
        <w:jc w:val="both"/>
        <w:rPr>
          <w:rFonts w:ascii="Arial" w:hAnsi="Arial" w:cs="Arial"/>
          <w:color w:val="000000" w:themeColor="text1"/>
          <w:sz w:val="19"/>
          <w:szCs w:val="19"/>
          <w:lang w:val="es-ES"/>
        </w:rPr>
      </w:pPr>
      <w:r w:rsidRPr="003D11EB">
        <w:rPr>
          <w:rStyle w:val="Refdenotaalpie"/>
          <w:rFonts w:ascii="Arial" w:hAnsi="Arial" w:cs="Arial"/>
          <w:color w:val="000000" w:themeColor="text1"/>
          <w:sz w:val="19"/>
          <w:szCs w:val="19"/>
        </w:rPr>
        <w:footnoteRef/>
      </w:r>
      <w:r w:rsidRPr="003D11EB">
        <w:rPr>
          <w:rFonts w:ascii="Arial" w:hAnsi="Arial" w:cs="Arial"/>
          <w:color w:val="000000" w:themeColor="text1"/>
          <w:sz w:val="19"/>
          <w:szCs w:val="19"/>
        </w:rPr>
        <w:t xml:space="preserve"> </w:t>
      </w:r>
      <w:r w:rsidRPr="003D11EB">
        <w:rPr>
          <w:rFonts w:ascii="Arial" w:hAnsi="Arial" w:cs="Arial"/>
          <w:color w:val="000000" w:themeColor="text1"/>
          <w:sz w:val="19"/>
          <w:szCs w:val="19"/>
          <w:lang w:val="es-ES"/>
        </w:rPr>
        <w:t xml:space="preserve">Es el caso de: i) las empresas sociales del Estado (art. 195, num. 6, Ley 100/1993), ii) las empresas prestadoras de servicios públicos domiciliarios (arts. 31 y 32, Ley 142/94); iii) las empresas industriales y comerciales del Estado, sociedades públicas y sociedades de economía mixta con capital público mayoritario, siempre que las tres entidades mencionadas anteriormente se encuentren en competencia con el sector público o privado, a nivel nacional o internacional, o ejerzan su actividad en un mercado regulado (art. 14, Ley 1150/07); iv) las universidades públicas (art. 93, Ley 30/92); entre otras. </w:t>
      </w:r>
    </w:p>
  </w:footnote>
  <w:footnote w:id="15">
    <w:p w14:paraId="2DD19756" w14:textId="77777777" w:rsidR="00F40E14" w:rsidRPr="003D11EB" w:rsidRDefault="00F40E14" w:rsidP="00F40E14">
      <w:pPr>
        <w:pStyle w:val="Textonotapie"/>
        <w:ind w:firstLine="709"/>
        <w:jc w:val="both"/>
        <w:rPr>
          <w:rFonts w:ascii="Arial" w:hAnsi="Arial" w:cs="Arial"/>
          <w:color w:val="000000" w:themeColor="text1"/>
          <w:sz w:val="19"/>
          <w:szCs w:val="19"/>
          <w:lang w:val="es-ES"/>
        </w:rPr>
      </w:pPr>
      <w:r w:rsidRPr="003D11EB">
        <w:rPr>
          <w:rStyle w:val="Refdenotaalpie"/>
          <w:rFonts w:ascii="Arial" w:hAnsi="Arial" w:cs="Arial"/>
          <w:color w:val="000000" w:themeColor="text1"/>
          <w:sz w:val="19"/>
          <w:szCs w:val="19"/>
        </w:rPr>
        <w:footnoteRef/>
      </w:r>
      <w:r w:rsidRPr="003D11EB">
        <w:rPr>
          <w:rFonts w:ascii="Arial" w:hAnsi="Arial" w:cs="Arial"/>
          <w:color w:val="000000" w:themeColor="text1"/>
          <w:sz w:val="19"/>
          <w:szCs w:val="19"/>
        </w:rPr>
        <w:t xml:space="preserve"> </w:t>
      </w:r>
      <w:r w:rsidRPr="003D11EB">
        <w:rPr>
          <w:rFonts w:ascii="Arial" w:hAnsi="Arial" w:cs="Arial"/>
          <w:color w:val="000000" w:themeColor="text1"/>
          <w:sz w:val="19"/>
          <w:szCs w:val="19"/>
          <w:lang w:val="es-ES"/>
        </w:rPr>
        <w:t>Leyes que, a su vez, han sido modificadas por otras posteriores, como las Leyes 1474 de 2011 y 1882 de 2018, entre otras. Así mismo, se recuerda que el Estatuto General de Contratación de la Administración Pública se encuentra reglamentado actualmente por el Decreto 1082 de 2015.</w:t>
      </w:r>
    </w:p>
  </w:footnote>
  <w:footnote w:id="16">
    <w:p w14:paraId="5CA79396" w14:textId="77777777" w:rsidR="00F40E14" w:rsidRPr="003D11EB" w:rsidRDefault="00F40E14" w:rsidP="00F40E14">
      <w:pPr>
        <w:pStyle w:val="Textonotapie"/>
        <w:ind w:firstLine="709"/>
        <w:jc w:val="both"/>
        <w:rPr>
          <w:rFonts w:ascii="Arial" w:hAnsi="Arial" w:cs="Arial"/>
          <w:color w:val="000000" w:themeColor="text1"/>
          <w:sz w:val="19"/>
          <w:szCs w:val="19"/>
        </w:rPr>
      </w:pPr>
      <w:r w:rsidRPr="003D11EB">
        <w:rPr>
          <w:rStyle w:val="Refdenotaalpie"/>
          <w:rFonts w:ascii="Arial" w:hAnsi="Arial" w:cs="Arial"/>
          <w:color w:val="000000" w:themeColor="text1"/>
          <w:sz w:val="19"/>
          <w:szCs w:val="19"/>
        </w:rPr>
        <w:footnoteRef/>
      </w:r>
      <w:r w:rsidRPr="003D11EB">
        <w:rPr>
          <w:rFonts w:ascii="Arial" w:hAnsi="Arial" w:cs="Arial"/>
          <w:color w:val="000000" w:themeColor="text1"/>
          <w:sz w:val="19"/>
          <w:szCs w:val="19"/>
        </w:rPr>
        <w:t xml:space="preserve"> Así lo sostuvo el Consejo de Estado: «Esta Sala, en sentido contrario al del tribunal, recuerda que las normas que establecen la manera como se perfecciona un contrato son de orden público, por tanto indisponibles por las partes, así que para las entidades excluidas de la Ley 80, un contrato existe si cumple las exigencias del ordenamiento privado; ni siquiera las del manual de contratación que expide cada hospital, ni las que prevean las partes en un contrato específico, porque los últimos no pueden reducirlas o adicionarlas, puesto que semejante acuerdo adolecerá de nulidad, al transgredir el derecho público de la nación. </w:t>
      </w:r>
    </w:p>
    <w:p w14:paraId="23D5B710" w14:textId="77777777" w:rsidR="00F40E14" w:rsidRPr="003D11EB" w:rsidRDefault="00F40E14" w:rsidP="00F40E14">
      <w:pPr>
        <w:pStyle w:val="Textonotapie"/>
        <w:ind w:firstLine="709"/>
        <w:jc w:val="both"/>
        <w:rPr>
          <w:rFonts w:ascii="Arial" w:hAnsi="Arial" w:cs="Arial"/>
          <w:color w:val="000000" w:themeColor="text1"/>
          <w:sz w:val="19"/>
          <w:szCs w:val="19"/>
        </w:rPr>
      </w:pPr>
      <w:r w:rsidRPr="003D11EB">
        <w:rPr>
          <w:rFonts w:ascii="Arial" w:hAnsi="Arial" w:cs="Arial"/>
          <w:color w:val="000000" w:themeColor="text1"/>
          <w:sz w:val="19"/>
          <w:szCs w:val="19"/>
        </w:rPr>
        <w:t>»Lo anterior explica por qué en el derecho privado las partes no pueden condicionar la existencia de un contrato, que por ley sea consensual, al hecho de que conste por escrito; ni uno que requiere escritura pública al hecho de que el acuerdo verbal sea suficiente. Esto significa que si la ley impuso formalidades especiales para que exista un contrato, las partes no sólo no pueden obviarlas, sino que tampoco las pueden incrementar o adicionar; y a la inversa, si la ley no estableció formalidades especiales para que exista determinado negocio, las partes no las pueden crear con ese propósito –aunque sí podrían hacerlo para otros efectos, pero no para que exista el acuerdo de voluntades-. Lo expresado hasta ahora debe entenderse en los siguientes sentidos:</w:t>
      </w:r>
    </w:p>
    <w:p w14:paraId="58DCA4EC" w14:textId="77777777" w:rsidR="00F40E14" w:rsidRPr="003D11EB" w:rsidRDefault="00F40E14" w:rsidP="00F40E14">
      <w:pPr>
        <w:pStyle w:val="Textonotapie"/>
        <w:ind w:firstLine="709"/>
        <w:jc w:val="both"/>
        <w:rPr>
          <w:rFonts w:ascii="Arial" w:hAnsi="Arial" w:cs="Arial"/>
          <w:color w:val="000000" w:themeColor="text1"/>
          <w:sz w:val="19"/>
          <w:szCs w:val="19"/>
        </w:rPr>
      </w:pPr>
      <w:r w:rsidRPr="003D11EB">
        <w:rPr>
          <w:rFonts w:ascii="Arial" w:hAnsi="Arial" w:cs="Arial"/>
          <w:color w:val="000000" w:themeColor="text1"/>
          <w:sz w:val="19"/>
          <w:szCs w:val="19"/>
        </w:rPr>
        <w:t>»a. Si la norma aplicable al contrato es la Ley 80, los requisitos de perfeccionamiento son los que ella establezca; de manera que las partes, en ejercicio de la autonomía de la voluntad –que autorizan los arts. 13, 32 y 40- no pueden atenuar ni hacer más exigentes los que contempla.</w:t>
      </w:r>
    </w:p>
    <w:p w14:paraId="23AFCFD9" w14:textId="77777777" w:rsidR="00F40E14" w:rsidRPr="003D11EB" w:rsidRDefault="00F40E14" w:rsidP="00F40E14">
      <w:pPr>
        <w:pStyle w:val="Textonotapie"/>
        <w:ind w:firstLine="709"/>
        <w:jc w:val="both"/>
        <w:rPr>
          <w:rFonts w:ascii="Arial" w:hAnsi="Arial" w:cs="Arial"/>
          <w:color w:val="000000" w:themeColor="text1"/>
          <w:sz w:val="19"/>
          <w:szCs w:val="19"/>
        </w:rPr>
      </w:pPr>
      <w:r w:rsidRPr="003D11EB">
        <w:rPr>
          <w:rFonts w:ascii="Arial" w:hAnsi="Arial" w:cs="Arial"/>
          <w:color w:val="000000" w:themeColor="text1"/>
          <w:sz w:val="19"/>
          <w:szCs w:val="19"/>
        </w:rPr>
        <w:t>»b. Si la norma aplicable al contrato estatal es el derecho privado más los principios de la función administrativa, los requisitos de perfeccionamiento también son los que aquél establezca; por tanto, las partes, en ejercicio de la autonomía de la voluntad, tampoco pueden atenuar ni hacer más exigentes los que contempla.</w:t>
      </w:r>
    </w:p>
    <w:p w14:paraId="2AC570B4" w14:textId="77777777" w:rsidR="00F40E14" w:rsidRPr="003D11EB" w:rsidRDefault="00F40E14" w:rsidP="00F40E14">
      <w:pPr>
        <w:pStyle w:val="Textonotapie"/>
        <w:ind w:firstLine="709"/>
        <w:jc w:val="both"/>
        <w:rPr>
          <w:rFonts w:ascii="Arial" w:hAnsi="Arial" w:cs="Arial"/>
          <w:color w:val="000000" w:themeColor="text1"/>
          <w:sz w:val="19"/>
          <w:szCs w:val="19"/>
          <w:lang w:val="es-ES"/>
        </w:rPr>
      </w:pPr>
      <w:r w:rsidRPr="003D11EB">
        <w:rPr>
          <w:rFonts w:ascii="Arial" w:hAnsi="Arial" w:cs="Arial"/>
          <w:color w:val="000000" w:themeColor="text1"/>
          <w:sz w:val="19"/>
          <w:szCs w:val="19"/>
        </w:rPr>
        <w:t xml:space="preserve">»c. Si la entidad excluida de Ley 80 profirió un reglamento o manual de contratación, para señalar con certidumbre la manera como contratará los bienes, obras y servicios de su interés, los requisitos de perfeccionamiento de sus contratos tampoco son disponibles por ese estatuto, porque esta materia está reservada a la ley. Por tanto, cuándo existe un contrato es un aspecto que define el derecho privado, y la entidad no lo puede alterar, ni para atenuar ni para hacer más exigentes los requisitos» (Consejo de Estado. Sección Tercera. Subsección C. Sentencia del 8 de abril de 2014. Exp. 25.801 C.P. Enrique Gil Botero). </w:t>
      </w:r>
    </w:p>
  </w:footnote>
  <w:footnote w:id="17">
    <w:p w14:paraId="73817E0F" w14:textId="77777777" w:rsidR="00F40E14" w:rsidRPr="003D11EB" w:rsidRDefault="00F40E14" w:rsidP="00F40E14">
      <w:pPr>
        <w:pStyle w:val="Textonotapie"/>
        <w:ind w:firstLine="708"/>
        <w:jc w:val="both"/>
        <w:rPr>
          <w:rFonts w:ascii="Arial" w:hAnsi="Arial" w:cs="Arial"/>
          <w:color w:val="000000" w:themeColor="text1"/>
          <w:sz w:val="19"/>
          <w:szCs w:val="19"/>
        </w:rPr>
      </w:pPr>
      <w:r w:rsidRPr="003D11EB">
        <w:rPr>
          <w:rStyle w:val="Refdenotaalpie"/>
          <w:rFonts w:ascii="Arial" w:hAnsi="Arial" w:cs="Arial"/>
          <w:color w:val="000000" w:themeColor="text1"/>
          <w:sz w:val="19"/>
          <w:szCs w:val="19"/>
        </w:rPr>
        <w:footnoteRef/>
      </w:r>
      <w:r w:rsidRPr="003D11EB">
        <w:rPr>
          <w:rFonts w:ascii="Arial" w:hAnsi="Arial" w:cs="Arial"/>
          <w:color w:val="000000" w:themeColor="text1"/>
          <w:sz w:val="19"/>
          <w:szCs w:val="19"/>
        </w:rPr>
        <w:t xml:space="preserve"> «La fuerza vinculante de los reglamentos –tanto para los administrados como para la propia administración– surge del hecho de ser una norma jurídica, y de compartir la naturaleza del acto administrativo, luego, de allí también se desprende que se presuman legales y sean ejecutorios. </w:t>
      </w:r>
    </w:p>
    <w:p w14:paraId="49CDE907" w14:textId="77777777" w:rsidR="00F40E14" w:rsidRPr="003D11EB" w:rsidRDefault="00F40E14" w:rsidP="00F40E14">
      <w:pPr>
        <w:pStyle w:val="Textonotapie"/>
        <w:ind w:firstLine="708"/>
        <w:jc w:val="both"/>
        <w:rPr>
          <w:rFonts w:ascii="Arial" w:hAnsi="Arial" w:cs="Arial"/>
          <w:color w:val="000000" w:themeColor="text1"/>
          <w:sz w:val="19"/>
          <w:szCs w:val="19"/>
        </w:rPr>
      </w:pPr>
      <w:r w:rsidRPr="003D11EB">
        <w:rPr>
          <w:rFonts w:ascii="Arial" w:hAnsi="Arial" w:cs="Arial"/>
          <w:color w:val="000000" w:themeColor="text1"/>
          <w:sz w:val="19"/>
          <w:szCs w:val="19"/>
        </w:rPr>
        <w:t xml:space="preserve">»Por esta misma razón, la doctrina española –con especial fuerza– ha señalado que su observancia no queda al capricho del órgano que la expidió, pues si quisiera él lo puede desconocer. De algún modo, como acontece con todo acto administrativo, el acto cobra vida propia, y autonomía en relación con su propio creador. A este último evento se le denomina la inderogabilidad singular del reglamento, que no es otra cosa que la prohibición de insertarlo en un caso particular. </w:t>
      </w:r>
    </w:p>
    <w:p w14:paraId="7B719AD0" w14:textId="77777777" w:rsidR="00F40E14" w:rsidRPr="003D11EB" w:rsidRDefault="00F40E14" w:rsidP="00F40E14">
      <w:pPr>
        <w:pStyle w:val="Textonotapie"/>
        <w:ind w:firstLine="708"/>
        <w:jc w:val="both"/>
        <w:rPr>
          <w:rFonts w:ascii="Arial" w:hAnsi="Arial" w:cs="Arial"/>
          <w:color w:val="000000" w:themeColor="text1"/>
          <w:sz w:val="19"/>
          <w:szCs w:val="19"/>
          <w:lang w:val="es-CO"/>
        </w:rPr>
      </w:pPr>
      <w:r w:rsidRPr="003D11EB">
        <w:rPr>
          <w:rFonts w:ascii="Arial" w:hAnsi="Arial" w:cs="Arial"/>
          <w:color w:val="000000" w:themeColor="text1"/>
          <w:sz w:val="19"/>
          <w:szCs w:val="19"/>
        </w:rPr>
        <w:t>»Esta tesis –de absoluta razonabilidad–, protege tanto al ciudadano como al ordenamiento jurídico en general, de la arbitrariedad de la administración, pues si se admitiera que pese a estar en vigencia un reglamento la propia administración que lo dictó lo pudiera inaplicar, aduciendo que si ella lo produjo entonces cuenta con la autoridad para desconocerlo, los abusos y la violación a sus propias reglas propiciaría el atropello y la corrupción». (MARÍN CORTÉS, Fabián G. El reglamento como fuente del derecho administrativo. En: Las fuentes del derecho administrativo. Texto inédito. 2010. pp. 200-201).</w:t>
      </w:r>
    </w:p>
  </w:footnote>
  <w:footnote w:id="18">
    <w:p w14:paraId="504D25A2" w14:textId="77777777" w:rsidR="00F40E14" w:rsidRPr="003D11EB" w:rsidRDefault="00F40E14" w:rsidP="00F40E14">
      <w:pPr>
        <w:pStyle w:val="Textonotapie"/>
        <w:ind w:firstLine="709"/>
        <w:jc w:val="both"/>
        <w:rPr>
          <w:rFonts w:ascii="Arial" w:hAnsi="Arial" w:cs="Arial"/>
          <w:color w:val="000000" w:themeColor="text1"/>
          <w:sz w:val="19"/>
          <w:szCs w:val="19"/>
          <w:lang w:val="es-ES"/>
        </w:rPr>
      </w:pPr>
      <w:r w:rsidRPr="003D11EB">
        <w:rPr>
          <w:rStyle w:val="Refdenotaalpie"/>
          <w:rFonts w:ascii="Arial" w:hAnsi="Arial" w:cs="Arial"/>
          <w:color w:val="000000" w:themeColor="text1"/>
          <w:sz w:val="19"/>
          <w:szCs w:val="19"/>
        </w:rPr>
        <w:footnoteRef/>
      </w:r>
      <w:r w:rsidRPr="003D11EB">
        <w:rPr>
          <w:rFonts w:ascii="Arial" w:hAnsi="Arial" w:cs="Arial"/>
          <w:color w:val="000000" w:themeColor="text1"/>
          <w:sz w:val="19"/>
          <w:szCs w:val="19"/>
        </w:rPr>
        <w:t xml:space="preserve"> </w:t>
      </w:r>
      <w:r w:rsidRPr="003D11EB">
        <w:rPr>
          <w:rFonts w:ascii="Arial" w:hAnsi="Arial" w:cs="Arial"/>
          <w:color w:val="000000" w:themeColor="text1"/>
          <w:sz w:val="19"/>
          <w:szCs w:val="19"/>
          <w:lang w:val="es-ES"/>
        </w:rPr>
        <w:t xml:space="preserve">Sobre el concepto de </w:t>
      </w:r>
      <w:r w:rsidRPr="003D11EB">
        <w:rPr>
          <w:rFonts w:ascii="Arial" w:hAnsi="Arial" w:cs="Arial"/>
          <w:i/>
          <w:color w:val="000000" w:themeColor="text1"/>
          <w:sz w:val="19"/>
          <w:szCs w:val="19"/>
          <w:lang w:val="es-ES"/>
        </w:rPr>
        <w:t>lagunas</w:t>
      </w:r>
      <w:r w:rsidRPr="003D11EB">
        <w:rPr>
          <w:rFonts w:ascii="Arial" w:hAnsi="Arial" w:cs="Arial"/>
          <w:color w:val="000000" w:themeColor="text1"/>
          <w:sz w:val="19"/>
          <w:szCs w:val="19"/>
          <w:lang w:val="es-ES"/>
        </w:rPr>
        <w:t xml:space="preserve"> en el sistema normativo, es decir, de </w:t>
      </w:r>
      <w:r w:rsidRPr="003D11EB">
        <w:rPr>
          <w:rFonts w:ascii="Arial" w:hAnsi="Arial" w:cs="Arial"/>
          <w:i/>
          <w:color w:val="000000" w:themeColor="text1"/>
          <w:sz w:val="19"/>
          <w:szCs w:val="19"/>
          <w:lang w:val="es-ES"/>
        </w:rPr>
        <w:t>vacíos</w:t>
      </w:r>
      <w:r w:rsidRPr="003D11EB">
        <w:rPr>
          <w:rFonts w:ascii="Arial" w:hAnsi="Arial" w:cs="Arial"/>
          <w:color w:val="000000" w:themeColor="text1"/>
          <w:sz w:val="19"/>
          <w:szCs w:val="19"/>
          <w:lang w:val="es-ES"/>
        </w:rPr>
        <w:t xml:space="preserve"> de regulación, puede verse: GARCÍA MÁYNEZ, Eduardo. Filosofía del Derecho. 17ª ed. México: Porrúa, 2011. pp. 222-245.</w:t>
      </w:r>
    </w:p>
  </w:footnote>
  <w:footnote w:id="19">
    <w:p w14:paraId="3AA98C4C" w14:textId="77777777" w:rsidR="00F40E14" w:rsidRPr="003D11EB" w:rsidRDefault="00F40E14" w:rsidP="00F40E14">
      <w:pPr>
        <w:pStyle w:val="Textonotapie"/>
        <w:ind w:firstLine="709"/>
        <w:jc w:val="both"/>
        <w:rPr>
          <w:rFonts w:ascii="Arial" w:hAnsi="Arial" w:cs="Arial"/>
          <w:color w:val="000000" w:themeColor="text1"/>
          <w:sz w:val="19"/>
          <w:szCs w:val="19"/>
          <w:lang w:val="es-ES"/>
        </w:rPr>
      </w:pPr>
      <w:r w:rsidRPr="003D11EB">
        <w:rPr>
          <w:rStyle w:val="Refdenotaalpie"/>
          <w:rFonts w:ascii="Arial" w:hAnsi="Arial" w:cs="Arial"/>
          <w:color w:val="000000" w:themeColor="text1"/>
          <w:sz w:val="19"/>
          <w:szCs w:val="19"/>
        </w:rPr>
        <w:footnoteRef/>
      </w:r>
      <w:r w:rsidRPr="003D11EB">
        <w:rPr>
          <w:rFonts w:ascii="Arial" w:hAnsi="Arial" w:cs="Arial"/>
          <w:color w:val="000000" w:themeColor="text1"/>
          <w:sz w:val="19"/>
          <w:szCs w:val="19"/>
        </w:rPr>
        <w:t xml:space="preserve"> </w:t>
      </w:r>
      <w:r w:rsidRPr="003D11EB">
        <w:rPr>
          <w:rFonts w:ascii="Arial" w:hAnsi="Arial" w:cs="Arial"/>
          <w:color w:val="000000" w:themeColor="text1"/>
          <w:sz w:val="19"/>
          <w:szCs w:val="19"/>
          <w:lang w:val="es-ES"/>
        </w:rPr>
        <w:t>Identificada con la referencia G-EEREC-01 y publicada en el siguiente enlace: https://colombiacompra.gov.co/sites/cce_public/files/cce_documents/cce_guia_regimen_especial.pdf</w:t>
      </w:r>
    </w:p>
  </w:footnote>
  <w:footnote w:id="20">
    <w:p w14:paraId="15780E49" w14:textId="77777777" w:rsidR="00F40E14" w:rsidRPr="003D11EB" w:rsidRDefault="00F40E14" w:rsidP="00F40E14">
      <w:pPr>
        <w:pStyle w:val="Textonotapie"/>
        <w:ind w:firstLine="709"/>
        <w:jc w:val="both"/>
        <w:rPr>
          <w:rFonts w:ascii="Arial" w:hAnsi="Arial" w:cs="Arial"/>
          <w:color w:val="000000" w:themeColor="text1"/>
          <w:sz w:val="19"/>
          <w:szCs w:val="19"/>
          <w:lang w:val="es-ES_tradnl"/>
        </w:rPr>
      </w:pPr>
      <w:r w:rsidRPr="003D11EB">
        <w:rPr>
          <w:rStyle w:val="Refdenotaalpie"/>
          <w:rFonts w:ascii="Arial" w:hAnsi="Arial" w:cs="Arial"/>
          <w:color w:val="000000" w:themeColor="text1"/>
          <w:sz w:val="19"/>
          <w:szCs w:val="19"/>
        </w:rPr>
        <w:footnoteRef/>
      </w:r>
      <w:r w:rsidRPr="003D11EB">
        <w:rPr>
          <w:rFonts w:ascii="Arial" w:hAnsi="Arial" w:cs="Arial"/>
          <w:color w:val="000000" w:themeColor="text1"/>
          <w:sz w:val="19"/>
          <w:szCs w:val="19"/>
        </w:rPr>
        <w:t xml:space="preserve"> </w:t>
      </w:r>
      <w:r w:rsidRPr="003D11EB">
        <w:rPr>
          <w:rFonts w:ascii="Arial" w:eastAsia="Calibri" w:hAnsi="Arial" w:cs="Arial"/>
          <w:color w:val="000000" w:themeColor="text1"/>
          <w:sz w:val="19"/>
          <w:szCs w:val="19"/>
          <w:lang w:val="es-ES_tradnl"/>
        </w:rPr>
        <w:t>Bien por la reserva legal de las materias o porque no las reguló.</w:t>
      </w:r>
    </w:p>
  </w:footnote>
  <w:footnote w:id="21">
    <w:p w14:paraId="39C8D5B8" w14:textId="77777777" w:rsidR="00F40E14" w:rsidRPr="003D11EB" w:rsidRDefault="00F40E14" w:rsidP="00F40E14">
      <w:pPr>
        <w:pStyle w:val="Textonotapie"/>
        <w:ind w:firstLine="709"/>
        <w:jc w:val="both"/>
        <w:rPr>
          <w:rFonts w:ascii="Arial" w:hAnsi="Arial" w:cs="Arial"/>
          <w:color w:val="000000" w:themeColor="text1"/>
          <w:sz w:val="19"/>
          <w:szCs w:val="19"/>
          <w:lang w:val="es-ES"/>
        </w:rPr>
      </w:pPr>
      <w:r w:rsidRPr="003D11EB">
        <w:rPr>
          <w:rStyle w:val="Refdenotaalpie"/>
          <w:rFonts w:ascii="Arial" w:hAnsi="Arial" w:cs="Arial"/>
          <w:color w:val="000000" w:themeColor="text1"/>
          <w:sz w:val="19"/>
          <w:szCs w:val="19"/>
        </w:rPr>
        <w:footnoteRef/>
      </w:r>
      <w:r w:rsidRPr="003D11EB">
        <w:rPr>
          <w:rFonts w:ascii="Arial" w:hAnsi="Arial" w:cs="Arial"/>
          <w:color w:val="000000" w:themeColor="text1"/>
          <w:sz w:val="19"/>
          <w:szCs w:val="19"/>
        </w:rPr>
        <w:t xml:space="preserve"> </w:t>
      </w:r>
      <w:r w:rsidRPr="003D11EB">
        <w:rPr>
          <w:rFonts w:ascii="Arial" w:hAnsi="Arial" w:cs="Arial"/>
          <w:color w:val="000000" w:themeColor="text1"/>
          <w:sz w:val="19"/>
          <w:szCs w:val="19"/>
          <w:lang w:val="es-ES"/>
        </w:rPr>
        <w:t>El artículo 1º del Código de Comercio establece que: «Los comerciantes y los asuntos mercantiles se regirán por las disposiciones de la ley comercial, y los casos no regulados expresamente en ella serán decididos por analogía de sus normas»; mientras que el artículo 2º señala que: «En las cuestiones comerciales que no pudieren regularse conforme a la regla anterior, se aplicarán las disposiciones de la legislación civil». Esto significa que en el derecho privado las normas comerciales prevalecen sobre las civiles en asuntos mercantiles.</w:t>
      </w:r>
    </w:p>
  </w:footnote>
  <w:footnote w:id="22">
    <w:p w14:paraId="68BBCD75" w14:textId="77777777" w:rsidR="00F40E14" w:rsidRPr="003D11EB" w:rsidRDefault="00F40E14" w:rsidP="00F40E14">
      <w:pPr>
        <w:pStyle w:val="Textonotapie"/>
        <w:ind w:firstLine="709"/>
        <w:jc w:val="both"/>
        <w:rPr>
          <w:rFonts w:ascii="Arial" w:hAnsi="Arial" w:cs="Arial"/>
          <w:color w:val="000000" w:themeColor="text1"/>
          <w:sz w:val="19"/>
          <w:szCs w:val="19"/>
          <w:lang w:val="es-ES"/>
        </w:rPr>
      </w:pPr>
      <w:r w:rsidRPr="003D11EB">
        <w:rPr>
          <w:rStyle w:val="Refdenotaalpie"/>
          <w:rFonts w:ascii="Arial" w:hAnsi="Arial" w:cs="Arial"/>
          <w:color w:val="000000" w:themeColor="text1"/>
          <w:sz w:val="19"/>
          <w:szCs w:val="19"/>
        </w:rPr>
        <w:footnoteRef/>
      </w:r>
      <w:r w:rsidRPr="003D11EB">
        <w:rPr>
          <w:rFonts w:ascii="Arial" w:hAnsi="Arial" w:cs="Arial"/>
          <w:color w:val="000000" w:themeColor="text1"/>
          <w:sz w:val="19"/>
          <w:szCs w:val="19"/>
        </w:rPr>
        <w:t xml:space="preserve"> </w:t>
      </w:r>
      <w:r w:rsidRPr="003D11EB">
        <w:rPr>
          <w:rFonts w:ascii="Arial" w:hAnsi="Arial" w:cs="Arial"/>
          <w:color w:val="000000" w:themeColor="text1"/>
          <w:sz w:val="19"/>
          <w:szCs w:val="19"/>
          <w:lang w:val="es-ES"/>
        </w:rPr>
        <w:t>«La costumbre mercantil tendrá la misma autoridad que la ley comercial, siempre que no la contraríe manifiesta o tácitamente y que los hechos constitutivos de la misma sean públicos, uniformes y reiterados en el lugar donde hayan de cumplirse las prestaciones o surgido las relaciones que deban regularse por ella.</w:t>
      </w:r>
    </w:p>
    <w:p w14:paraId="07C5E4A3" w14:textId="77777777" w:rsidR="00F40E14" w:rsidRPr="003D11EB" w:rsidRDefault="00F40E14" w:rsidP="00F40E14">
      <w:pPr>
        <w:pStyle w:val="Textonotapie"/>
        <w:ind w:firstLine="709"/>
        <w:jc w:val="both"/>
        <w:rPr>
          <w:rFonts w:ascii="Arial" w:hAnsi="Arial" w:cs="Arial"/>
          <w:color w:val="000000" w:themeColor="text1"/>
          <w:sz w:val="19"/>
          <w:szCs w:val="19"/>
          <w:lang w:val="es-ES"/>
        </w:rPr>
      </w:pPr>
      <w:r w:rsidRPr="003D11EB">
        <w:rPr>
          <w:rFonts w:ascii="Arial" w:hAnsi="Arial" w:cs="Arial"/>
          <w:color w:val="000000" w:themeColor="text1"/>
          <w:sz w:val="19"/>
          <w:szCs w:val="19"/>
          <w:lang w:val="es-ES"/>
        </w:rPr>
        <w:t>»En defecto de costumbre local se tendrá en cuenta la general del país, siempre que reúna los requisitos exigidos en el inciso anterior» (art. 3 del Código de Comercio).</w:t>
      </w:r>
    </w:p>
  </w:footnote>
  <w:footnote w:id="23">
    <w:p w14:paraId="4DE1009B" w14:textId="77777777" w:rsidR="00F40E14" w:rsidRPr="003D11EB" w:rsidRDefault="00F40E14" w:rsidP="00F40E14">
      <w:pPr>
        <w:pStyle w:val="Textonotapie"/>
        <w:ind w:firstLine="709"/>
        <w:jc w:val="both"/>
        <w:rPr>
          <w:rFonts w:ascii="Arial" w:hAnsi="Arial" w:cs="Arial"/>
          <w:b/>
          <w:color w:val="000000" w:themeColor="text1"/>
          <w:sz w:val="19"/>
          <w:szCs w:val="19"/>
          <w:lang w:val="es-ES"/>
        </w:rPr>
      </w:pPr>
      <w:r w:rsidRPr="003D11EB">
        <w:rPr>
          <w:rStyle w:val="Refdenotaalpie"/>
          <w:rFonts w:ascii="Arial" w:hAnsi="Arial" w:cs="Arial"/>
          <w:color w:val="000000" w:themeColor="text1"/>
          <w:sz w:val="19"/>
          <w:szCs w:val="19"/>
        </w:rPr>
        <w:footnoteRef/>
      </w:r>
      <w:r w:rsidRPr="003D11EB">
        <w:rPr>
          <w:rFonts w:ascii="Arial" w:hAnsi="Arial" w:cs="Arial"/>
          <w:color w:val="000000" w:themeColor="text1"/>
          <w:sz w:val="19"/>
          <w:szCs w:val="19"/>
        </w:rPr>
        <w:t xml:space="preserve"> </w:t>
      </w:r>
      <w:r w:rsidRPr="003D11EB">
        <w:rPr>
          <w:rFonts w:ascii="Arial" w:hAnsi="Arial" w:cs="Arial"/>
          <w:color w:val="000000" w:themeColor="text1"/>
          <w:sz w:val="19"/>
          <w:szCs w:val="19"/>
          <w:lang w:val="es-ES"/>
        </w:rPr>
        <w:t>Dentro de tales principios se encuentran, por ejemplo, los principios UNIDROIT sobre los contratos comerciales internacionales. Ver: https://www.unidroit.org/spanish/principles/contracts/principles2010/blackletter2010-spanish.pdf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11A"/>
    <w:multiLevelType w:val="multilevel"/>
    <w:tmpl w:val="A754E2EC"/>
    <w:lvl w:ilvl="0">
      <w:start w:val="14"/>
      <w:numFmt w:val="decimal"/>
      <w:lvlText w:val="%1"/>
      <w:lvlJc w:val="left"/>
      <w:pPr>
        <w:ind w:left="810" w:hanging="550"/>
      </w:pPr>
    </w:lvl>
    <w:lvl w:ilvl="1">
      <w:start w:val="5"/>
      <w:numFmt w:val="decimal"/>
      <w:lvlText w:val="%1.%2."/>
      <w:lvlJc w:val="left"/>
      <w:pPr>
        <w:ind w:left="810" w:hanging="550"/>
      </w:pPr>
      <w:rPr>
        <w:rFonts w:ascii="Arial" w:eastAsia="Arial" w:hAnsi="Arial" w:cs="Arial"/>
        <w:color w:val="000000"/>
        <w:sz w:val="22"/>
        <w:szCs w:val="22"/>
      </w:rPr>
    </w:lvl>
    <w:lvl w:ilvl="2">
      <w:start w:val="1"/>
      <w:numFmt w:val="bullet"/>
      <w:lvlText w:val="•"/>
      <w:lvlJc w:val="left"/>
      <w:pPr>
        <w:ind w:left="2484" w:hanging="550"/>
      </w:pPr>
    </w:lvl>
    <w:lvl w:ilvl="3">
      <w:start w:val="1"/>
      <w:numFmt w:val="bullet"/>
      <w:lvlText w:val="•"/>
      <w:lvlJc w:val="left"/>
      <w:pPr>
        <w:ind w:left="3316" w:hanging="550"/>
      </w:pPr>
    </w:lvl>
    <w:lvl w:ilvl="4">
      <w:start w:val="1"/>
      <w:numFmt w:val="bullet"/>
      <w:lvlText w:val="•"/>
      <w:lvlJc w:val="left"/>
      <w:pPr>
        <w:ind w:left="4148" w:hanging="550"/>
      </w:pPr>
    </w:lvl>
    <w:lvl w:ilvl="5">
      <w:start w:val="1"/>
      <w:numFmt w:val="bullet"/>
      <w:lvlText w:val="•"/>
      <w:lvlJc w:val="left"/>
      <w:pPr>
        <w:ind w:left="4980" w:hanging="550"/>
      </w:pPr>
    </w:lvl>
    <w:lvl w:ilvl="6">
      <w:start w:val="1"/>
      <w:numFmt w:val="bullet"/>
      <w:lvlText w:val="•"/>
      <w:lvlJc w:val="left"/>
      <w:pPr>
        <w:ind w:left="5812" w:hanging="550"/>
      </w:pPr>
    </w:lvl>
    <w:lvl w:ilvl="7">
      <w:start w:val="1"/>
      <w:numFmt w:val="bullet"/>
      <w:lvlText w:val="•"/>
      <w:lvlJc w:val="left"/>
      <w:pPr>
        <w:ind w:left="6644" w:hanging="550"/>
      </w:pPr>
    </w:lvl>
    <w:lvl w:ilvl="8">
      <w:start w:val="1"/>
      <w:numFmt w:val="bullet"/>
      <w:lvlText w:val="•"/>
      <w:lvlJc w:val="left"/>
      <w:pPr>
        <w:ind w:left="7476" w:hanging="55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321128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58D2"/>
    <w:rsid w:val="00010C32"/>
    <w:rsid w:val="0004253C"/>
    <w:rsid w:val="00045565"/>
    <w:rsid w:val="00082464"/>
    <w:rsid w:val="00083334"/>
    <w:rsid w:val="000956CF"/>
    <w:rsid w:val="000A0284"/>
    <w:rsid w:val="000A683E"/>
    <w:rsid w:val="0011595A"/>
    <w:rsid w:val="00117C42"/>
    <w:rsid w:val="001220C5"/>
    <w:rsid w:val="001267F7"/>
    <w:rsid w:val="00127233"/>
    <w:rsid w:val="00130999"/>
    <w:rsid w:val="00164D81"/>
    <w:rsid w:val="00167F0A"/>
    <w:rsid w:val="001A1011"/>
    <w:rsid w:val="001A48D0"/>
    <w:rsid w:val="001C73C1"/>
    <w:rsid w:val="00223C35"/>
    <w:rsid w:val="00232171"/>
    <w:rsid w:val="00243E30"/>
    <w:rsid w:val="002653C1"/>
    <w:rsid w:val="0026611D"/>
    <w:rsid w:val="002951A0"/>
    <w:rsid w:val="002A64FD"/>
    <w:rsid w:val="002A6EA2"/>
    <w:rsid w:val="002D6CD2"/>
    <w:rsid w:val="002D7CB5"/>
    <w:rsid w:val="002F0839"/>
    <w:rsid w:val="00301469"/>
    <w:rsid w:val="00306EE1"/>
    <w:rsid w:val="00310B9B"/>
    <w:rsid w:val="003414A0"/>
    <w:rsid w:val="0036461C"/>
    <w:rsid w:val="00367884"/>
    <w:rsid w:val="0039439C"/>
    <w:rsid w:val="003B4C21"/>
    <w:rsid w:val="003B69E7"/>
    <w:rsid w:val="003C013B"/>
    <w:rsid w:val="003D0F4D"/>
    <w:rsid w:val="003D63F6"/>
    <w:rsid w:val="003F58A1"/>
    <w:rsid w:val="003F5D45"/>
    <w:rsid w:val="00407AEF"/>
    <w:rsid w:val="00410DD6"/>
    <w:rsid w:val="004134C9"/>
    <w:rsid w:val="004138A5"/>
    <w:rsid w:val="00423595"/>
    <w:rsid w:val="0043138C"/>
    <w:rsid w:val="004322F9"/>
    <w:rsid w:val="0043288A"/>
    <w:rsid w:val="00443856"/>
    <w:rsid w:val="00462A59"/>
    <w:rsid w:val="00462B93"/>
    <w:rsid w:val="00482EE0"/>
    <w:rsid w:val="00487409"/>
    <w:rsid w:val="004A1847"/>
    <w:rsid w:val="004B6B0E"/>
    <w:rsid w:val="004C2740"/>
    <w:rsid w:val="004D25B3"/>
    <w:rsid w:val="004F242B"/>
    <w:rsid w:val="00505E25"/>
    <w:rsid w:val="00511405"/>
    <w:rsid w:val="005230B4"/>
    <w:rsid w:val="00526E9D"/>
    <w:rsid w:val="00534234"/>
    <w:rsid w:val="00547856"/>
    <w:rsid w:val="00547A74"/>
    <w:rsid w:val="005566E8"/>
    <w:rsid w:val="005746AB"/>
    <w:rsid w:val="0059357F"/>
    <w:rsid w:val="005A1130"/>
    <w:rsid w:val="005A78F7"/>
    <w:rsid w:val="005D34D9"/>
    <w:rsid w:val="005D65C8"/>
    <w:rsid w:val="00620A6E"/>
    <w:rsid w:val="006219F8"/>
    <w:rsid w:val="00651B36"/>
    <w:rsid w:val="00675621"/>
    <w:rsid w:val="00681FDB"/>
    <w:rsid w:val="006A7DAD"/>
    <w:rsid w:val="006B1D7F"/>
    <w:rsid w:val="006B7293"/>
    <w:rsid w:val="006D70BA"/>
    <w:rsid w:val="0071619C"/>
    <w:rsid w:val="0073569A"/>
    <w:rsid w:val="007566FE"/>
    <w:rsid w:val="0076726F"/>
    <w:rsid w:val="0077144B"/>
    <w:rsid w:val="00781238"/>
    <w:rsid w:val="0078580D"/>
    <w:rsid w:val="0079013A"/>
    <w:rsid w:val="00793403"/>
    <w:rsid w:val="007C0CDF"/>
    <w:rsid w:val="007E2A2F"/>
    <w:rsid w:val="007E32A0"/>
    <w:rsid w:val="007F2B7C"/>
    <w:rsid w:val="00811651"/>
    <w:rsid w:val="00820F5B"/>
    <w:rsid w:val="00833452"/>
    <w:rsid w:val="00837566"/>
    <w:rsid w:val="00857D93"/>
    <w:rsid w:val="008614E5"/>
    <w:rsid w:val="008678EB"/>
    <w:rsid w:val="00870755"/>
    <w:rsid w:val="00875894"/>
    <w:rsid w:val="00881C10"/>
    <w:rsid w:val="00890411"/>
    <w:rsid w:val="008D5C70"/>
    <w:rsid w:val="008F01EF"/>
    <w:rsid w:val="008F1F8D"/>
    <w:rsid w:val="009025AF"/>
    <w:rsid w:val="00904F23"/>
    <w:rsid w:val="00906B3C"/>
    <w:rsid w:val="00915A86"/>
    <w:rsid w:val="0095342C"/>
    <w:rsid w:val="0095623B"/>
    <w:rsid w:val="009B3899"/>
    <w:rsid w:val="009B71A8"/>
    <w:rsid w:val="009F28A9"/>
    <w:rsid w:val="009F33F2"/>
    <w:rsid w:val="009F6C77"/>
    <w:rsid w:val="00A07532"/>
    <w:rsid w:val="00A1085C"/>
    <w:rsid w:val="00A11E83"/>
    <w:rsid w:val="00A309E2"/>
    <w:rsid w:val="00A52C3F"/>
    <w:rsid w:val="00A52F50"/>
    <w:rsid w:val="00A56620"/>
    <w:rsid w:val="00A73044"/>
    <w:rsid w:val="00A8066E"/>
    <w:rsid w:val="00A972AE"/>
    <w:rsid w:val="00AA4B8A"/>
    <w:rsid w:val="00AA6BF7"/>
    <w:rsid w:val="00AC57B3"/>
    <w:rsid w:val="00B01ED6"/>
    <w:rsid w:val="00B055C1"/>
    <w:rsid w:val="00B06D09"/>
    <w:rsid w:val="00B67266"/>
    <w:rsid w:val="00B771A9"/>
    <w:rsid w:val="00B809BB"/>
    <w:rsid w:val="00B8248A"/>
    <w:rsid w:val="00B977CE"/>
    <w:rsid w:val="00BB7726"/>
    <w:rsid w:val="00BC6E8A"/>
    <w:rsid w:val="00BD574B"/>
    <w:rsid w:val="00C2329E"/>
    <w:rsid w:val="00C27AC1"/>
    <w:rsid w:val="00C30461"/>
    <w:rsid w:val="00C754BE"/>
    <w:rsid w:val="00C87572"/>
    <w:rsid w:val="00C9405D"/>
    <w:rsid w:val="00CC069C"/>
    <w:rsid w:val="00CC1B26"/>
    <w:rsid w:val="00CD284F"/>
    <w:rsid w:val="00CD3C81"/>
    <w:rsid w:val="00CF23AA"/>
    <w:rsid w:val="00D01921"/>
    <w:rsid w:val="00D11354"/>
    <w:rsid w:val="00D752B7"/>
    <w:rsid w:val="00D95927"/>
    <w:rsid w:val="00DA1854"/>
    <w:rsid w:val="00DB0887"/>
    <w:rsid w:val="00DE4EFD"/>
    <w:rsid w:val="00DF1E43"/>
    <w:rsid w:val="00E20894"/>
    <w:rsid w:val="00E26B7C"/>
    <w:rsid w:val="00E67CDB"/>
    <w:rsid w:val="00EA3003"/>
    <w:rsid w:val="00EB3C91"/>
    <w:rsid w:val="00EB66DA"/>
    <w:rsid w:val="00EB731A"/>
    <w:rsid w:val="00ED2C0E"/>
    <w:rsid w:val="00F13C01"/>
    <w:rsid w:val="00F31469"/>
    <w:rsid w:val="00F40E14"/>
    <w:rsid w:val="00F605F2"/>
    <w:rsid w:val="00F76AFC"/>
    <w:rsid w:val="00F8319B"/>
    <w:rsid w:val="00FA5516"/>
    <w:rsid w:val="00FB09AA"/>
    <w:rsid w:val="00FC627A"/>
    <w:rsid w:val="00FD6F73"/>
    <w:rsid w:val="07CB27E0"/>
    <w:rsid w:val="16AE3F37"/>
    <w:rsid w:val="1CC63BF5"/>
    <w:rsid w:val="2DA22F91"/>
    <w:rsid w:val="2F9951DC"/>
    <w:rsid w:val="340F5EF6"/>
    <w:rsid w:val="3EA2D60F"/>
    <w:rsid w:val="46001595"/>
    <w:rsid w:val="4B8381AC"/>
    <w:rsid w:val="56F62036"/>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E14"/>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1619C"/>
    <w:rPr>
      <w:rFonts w:ascii="Geomanist Light" w:hAnsi="Geomanist Light"/>
      <w:lang w:val="es-ES"/>
    </w:rPr>
  </w:style>
  <w:style w:type="paragraph" w:customStyle="1" w:styleId="Appelnotedebasde">
    <w:name w:val="Appel note de bas de..."/>
    <w:basedOn w:val="Normal"/>
    <w:link w:val="Refdenotaalpie"/>
    <w:rsid w:val="0071619C"/>
    <w:pPr>
      <w:spacing w:line="240" w:lineRule="exact"/>
    </w:pPr>
    <w:rPr>
      <w:vertAlign w:val="superscript"/>
    </w:rPr>
  </w:style>
  <w:style w:type="paragraph" w:styleId="NormalWeb">
    <w:name w:val="Normal (Web)"/>
    <w:basedOn w:val="Normal"/>
    <w:link w:val="NormalWebCar"/>
    <w:uiPriority w:val="99"/>
    <w:unhideWhenUsed/>
    <w:rsid w:val="0071619C"/>
    <w:pPr>
      <w:spacing w:before="100" w:beforeAutospacing="1" w:after="100" w:afterAutospacing="1" w:line="240" w:lineRule="auto"/>
    </w:pPr>
    <w:rPr>
      <w:rFonts w:ascii="Times New Roman" w:eastAsia="Times New Roman" w:hAnsi="Times New Roman" w:cs="Times New Roman"/>
      <w:sz w:val="24"/>
      <w:szCs w:val="24"/>
      <w:lang w:val="es-ES_tradnl" w:eastAsia="es-MX"/>
    </w:rPr>
  </w:style>
  <w:style w:type="character" w:customStyle="1" w:styleId="NormalWebCar">
    <w:name w:val="Normal (Web) Car"/>
    <w:link w:val="NormalWeb"/>
    <w:uiPriority w:val="99"/>
    <w:rsid w:val="0071619C"/>
    <w:rPr>
      <w:rFonts w:ascii="Times New Roman" w:eastAsia="Times New Roman" w:hAnsi="Times New Roman" w:cs="Times New Roman"/>
      <w:sz w:val="24"/>
      <w:szCs w:val="24"/>
      <w:lang w:val="es-ES_tradnl" w:eastAsia="es-MX"/>
    </w:rPr>
  </w:style>
  <w:style w:type="paragraph" w:customStyle="1" w:styleId="gmail-msonospacing">
    <w:name w:val="gmail-msonospacing"/>
    <w:basedOn w:val="Normal"/>
    <w:rsid w:val="0071619C"/>
    <w:pPr>
      <w:spacing w:before="100" w:beforeAutospacing="1" w:after="100" w:afterAutospacing="1" w:line="240" w:lineRule="auto"/>
    </w:pPr>
    <w:rPr>
      <w:rFonts w:ascii="Calibri" w:hAnsi="Calibri" w:cs="Calibri"/>
      <w:lang w:val="es-ES" w:eastAsia="es-ES"/>
    </w:rPr>
  </w:style>
  <w:style w:type="table" w:customStyle="1" w:styleId="Tablaconcuadrcula1">
    <w:name w:val="Tabla con cuadrícula1"/>
    <w:basedOn w:val="Tablanormal"/>
    <w:next w:val="Tablaconcuadrcula"/>
    <w:uiPriority w:val="59"/>
    <w:rsid w:val="00716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D63F6"/>
    <w:rPr>
      <w:color w:val="0563C1" w:themeColor="hyperlink"/>
      <w:u w:val="single"/>
    </w:rPr>
  </w:style>
  <w:style w:type="character" w:styleId="Mencinsinresolver">
    <w:name w:val="Unresolved Mention"/>
    <w:basedOn w:val="Fuentedeprrafopredeter"/>
    <w:uiPriority w:val="99"/>
    <w:semiHidden/>
    <w:unhideWhenUsed/>
    <w:rsid w:val="003D6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4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esor.derechoglobal@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openxmlformats.org/package/2006/metadata/core-properties"/>
    <ds:schemaRef ds:uri="http://schemas.microsoft.com/office/2006/metadata/properties"/>
    <ds:schemaRef ds:uri="a6cb9e4b-f1d1-4245-83ec-6cad768d538a"/>
    <ds:schemaRef ds:uri="http://purl.org/dc/elements/1.1/"/>
    <ds:schemaRef ds:uri="9d85dbaf-23eb-4e57-a637-93dcacc8b1a1"/>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BE19636D-4FB4-4D2F-9C4B-E1DD6BCA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5621</Words>
  <Characters>30917</Characters>
  <Application>Microsoft Office Word</Application>
  <DocSecurity>0</DocSecurity>
  <Lines>257</Lines>
  <Paragraphs>72</Paragraphs>
  <ScaleCrop>false</ScaleCrop>
  <Company/>
  <LinksUpToDate>false</LinksUpToDate>
  <CharactersWithSpaces>36466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Diego German Revelo Bolívar</cp:lastModifiedBy>
  <cp:revision>2</cp:revision>
  <dcterms:created xsi:type="dcterms:W3CDTF">2023-03-22T15:26:00Z</dcterms:created>
  <dcterms:modified xsi:type="dcterms:W3CDTF">2023-03-22T15:26:00Z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