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FC3D" w14:textId="77777777" w:rsidR="00895D6F" w:rsidRDefault="00895D6F" w:rsidP="00895D6F">
      <w:pPr>
        <w:rPr>
          <w:rFonts w:ascii="Geomanist Light" w:eastAsia="Times New Roman" w:hAnsi="Geomanist Light" w:cs="Arial"/>
          <w:b/>
          <w:bCs/>
          <w:lang w:val="es-MX" w:eastAsia="es-CO"/>
        </w:rPr>
      </w:pPr>
    </w:p>
    <w:p w14:paraId="7EB47DB5" w14:textId="77777777" w:rsidR="00895D6F" w:rsidRPr="00D47C6A" w:rsidRDefault="00895D6F" w:rsidP="00895D6F">
      <w:pPr>
        <w:spacing w:after="0" w:line="240" w:lineRule="auto"/>
        <w:contextualSpacing/>
        <w:jc w:val="both"/>
        <w:textAlignment w:val="baseline"/>
        <w:rPr>
          <w:rFonts w:ascii="Arial" w:eastAsia="Times New Roman" w:hAnsi="Arial" w:cs="Arial"/>
          <w:lang w:eastAsia="es-CO"/>
        </w:rPr>
      </w:pPr>
      <w:r w:rsidRPr="00D47C6A">
        <w:rPr>
          <w:rFonts w:ascii="Arial" w:eastAsia="Times New Roman" w:hAnsi="Arial" w:cs="Arial"/>
          <w:b/>
          <w:bCs/>
          <w:lang w:val="es-MX" w:eastAsia="es-CO"/>
        </w:rPr>
        <w:t>SELECCIÓN ABREVIADA– Modalidad de selección – Naturaleza </w:t>
      </w:r>
      <w:r w:rsidRPr="00D47C6A">
        <w:rPr>
          <w:rFonts w:ascii="Arial" w:eastAsia="Times New Roman" w:hAnsi="Arial" w:cs="Arial"/>
          <w:lang w:eastAsia="es-CO"/>
        </w:rPr>
        <w:t> </w:t>
      </w:r>
    </w:p>
    <w:p w14:paraId="6D4788E1" w14:textId="77777777" w:rsidR="00895D6F" w:rsidRPr="00D47C6A" w:rsidRDefault="00895D6F" w:rsidP="00895D6F">
      <w:pPr>
        <w:spacing w:after="0" w:line="240" w:lineRule="auto"/>
        <w:contextualSpacing/>
        <w:jc w:val="both"/>
        <w:textAlignment w:val="baseline"/>
        <w:rPr>
          <w:rFonts w:ascii="Arial" w:eastAsia="Times New Roman" w:hAnsi="Arial" w:cs="Arial"/>
          <w:lang w:eastAsia="es-CO"/>
        </w:rPr>
      </w:pPr>
    </w:p>
    <w:p w14:paraId="6C5B10F4" w14:textId="77777777" w:rsidR="00895D6F" w:rsidRPr="00D47C6A" w:rsidRDefault="00895D6F" w:rsidP="00895D6F">
      <w:pPr>
        <w:spacing w:after="0" w:line="240" w:lineRule="auto"/>
        <w:contextualSpacing/>
        <w:jc w:val="both"/>
        <w:textAlignment w:val="baseline"/>
        <w:rPr>
          <w:rFonts w:ascii="Arial" w:eastAsia="Times New Roman" w:hAnsi="Arial" w:cs="Arial"/>
          <w:shd w:val="clear" w:color="auto" w:fill="FFFFFF"/>
          <w:lang w:eastAsia="es-CO"/>
        </w:rPr>
      </w:pPr>
      <w:r w:rsidRPr="00D47C6A">
        <w:rPr>
          <w:rFonts w:ascii="Arial" w:eastAsia="Times New Roman" w:hAnsi="Arial" w:cs="Arial"/>
          <w:lang w:val="es-MX" w:eastAsia="es-CO"/>
        </w:rPr>
        <w:t xml:space="preserve">[…] </w:t>
      </w:r>
      <w:r w:rsidRPr="00D47C6A">
        <w:rPr>
          <w:rFonts w:ascii="Arial" w:eastAsia="Times New Roman" w:hAnsi="Arial" w:cs="Arial"/>
          <w:shd w:val="clear" w:color="auto" w:fill="FFFFFF"/>
          <w:lang w:eastAsia="es-CO"/>
        </w:rPr>
        <w:t xml:space="preserve">Nótese que, de la transcripción literal de la norma, el legislador divide de forma disyuntiva los supuestos bajo los cuales se configura la eventual utilización de esta modalidad de selección, bien sea </w:t>
      </w:r>
      <w:r w:rsidRPr="00D47C6A">
        <w:rPr>
          <w:rFonts w:ascii="Arial" w:eastAsia="Times New Roman" w:hAnsi="Arial" w:cs="Arial"/>
          <w:lang w:eastAsia="es-CO"/>
        </w:rPr>
        <w:t>por las características del objeto a contratar, las circunstancias de la contratación o la cuantía o destinación del bien, obra o servicio.</w:t>
      </w:r>
      <w:r w:rsidRPr="00D47C6A">
        <w:rPr>
          <w:rFonts w:ascii="Arial" w:eastAsia="Times New Roman" w:hAnsi="Arial" w:cs="Arial"/>
          <w:shd w:val="clear" w:color="auto" w:fill="FFFFFF"/>
          <w:lang w:eastAsia="es-CO"/>
        </w:rPr>
        <w:t xml:space="preserve"> En ese orden de ideas, esta modalidad de selección procede por las causales previstas en la ley, las cuales determinan, entre otras cosas, los criterios </w:t>
      </w:r>
      <w:proofErr w:type="gramStart"/>
      <w:r w:rsidRPr="00D47C6A">
        <w:rPr>
          <w:rFonts w:ascii="Arial" w:eastAsia="Times New Roman" w:hAnsi="Arial" w:cs="Arial"/>
          <w:shd w:val="clear" w:color="auto" w:fill="FFFFFF"/>
          <w:lang w:eastAsia="es-CO"/>
        </w:rPr>
        <w:t>a</w:t>
      </w:r>
      <w:proofErr w:type="gramEnd"/>
      <w:r w:rsidRPr="00D47C6A">
        <w:rPr>
          <w:rFonts w:ascii="Arial" w:eastAsia="Times New Roman" w:hAnsi="Arial" w:cs="Arial"/>
          <w:shd w:val="clear" w:color="auto" w:fill="FFFFFF"/>
          <w:lang w:eastAsia="es-CO"/>
        </w:rPr>
        <w:t xml:space="preserve"> tener en cuenta para la escogencia del contratista que proveerá el bien o servicio, además de sus respectivas reglas para llevar a cabo el proceso de selección bajo la modalidad estudiada, siendo una de ellas, pero no la única, el valor presupuestado como precio del contrato. </w:t>
      </w:r>
    </w:p>
    <w:p w14:paraId="7CA64C29" w14:textId="77777777" w:rsidR="00895D6F" w:rsidRPr="00D47C6A" w:rsidRDefault="00895D6F" w:rsidP="00895D6F">
      <w:pPr>
        <w:spacing w:after="0" w:line="240" w:lineRule="auto"/>
        <w:contextualSpacing/>
        <w:jc w:val="both"/>
        <w:textAlignment w:val="baseline"/>
        <w:rPr>
          <w:rFonts w:ascii="Arial" w:eastAsia="Calibri" w:hAnsi="Arial" w:cs="Arial"/>
        </w:rPr>
      </w:pPr>
    </w:p>
    <w:p w14:paraId="12C4B3EA" w14:textId="77777777" w:rsidR="00895D6F" w:rsidRPr="00D47C6A" w:rsidRDefault="00895D6F" w:rsidP="00895D6F">
      <w:pPr>
        <w:spacing w:after="0" w:line="240" w:lineRule="auto"/>
        <w:contextualSpacing/>
        <w:jc w:val="both"/>
        <w:textAlignment w:val="baseline"/>
        <w:rPr>
          <w:rFonts w:ascii="Arial" w:eastAsia="Calibri" w:hAnsi="Arial" w:cs="Arial"/>
        </w:rPr>
      </w:pPr>
      <w:r w:rsidRPr="00D47C6A">
        <w:rPr>
          <w:rFonts w:ascii="Arial" w:eastAsia="Calibri" w:hAnsi="Arial" w:cs="Arial"/>
        </w:rPr>
        <w:t>A su turno, el Decreto 1082 de 2015 reglamenta las causales para acudir al procedimiento de selección abreviada establecidas en el numeral 2 del artículo 2 de la Ley 1150 de 2007, y regula el procedimiento, detallando el contenido del pliego de condiciones, las etapas, entre otros. Dentro de dichas causales se desataca la contratación de menor cuantía y la subasta inversa.</w:t>
      </w:r>
    </w:p>
    <w:p w14:paraId="1F36C498" w14:textId="77777777" w:rsidR="00895D6F" w:rsidRPr="00D47C6A" w:rsidRDefault="00895D6F" w:rsidP="00895D6F">
      <w:pPr>
        <w:spacing w:after="0" w:line="240" w:lineRule="auto"/>
        <w:contextualSpacing/>
        <w:jc w:val="both"/>
        <w:textAlignment w:val="baseline"/>
        <w:rPr>
          <w:rFonts w:ascii="Arial" w:eastAsia="Times New Roman" w:hAnsi="Arial" w:cs="Arial"/>
          <w:b/>
          <w:bCs/>
          <w:lang w:val="es-MX" w:eastAsia="es-CO"/>
        </w:rPr>
      </w:pPr>
    </w:p>
    <w:p w14:paraId="1320B19F" w14:textId="77777777" w:rsidR="00895D6F" w:rsidRPr="00D47C6A" w:rsidRDefault="00895D6F" w:rsidP="00895D6F">
      <w:pPr>
        <w:spacing w:after="0" w:line="240" w:lineRule="auto"/>
        <w:contextualSpacing/>
        <w:jc w:val="both"/>
        <w:textAlignment w:val="baseline"/>
        <w:rPr>
          <w:rFonts w:ascii="Arial" w:eastAsia="Times New Roman" w:hAnsi="Arial" w:cs="Arial"/>
          <w:lang w:eastAsia="es-CO"/>
        </w:rPr>
      </w:pPr>
      <w:r w:rsidRPr="00D47C6A">
        <w:rPr>
          <w:rFonts w:ascii="Arial" w:eastAsia="Times New Roman" w:hAnsi="Arial" w:cs="Arial"/>
          <w:b/>
          <w:bCs/>
          <w:lang w:val="es-MX" w:eastAsia="es-CO"/>
        </w:rPr>
        <w:t>SELECCIÓN ABREVIADA MENOR CUANTÍA – Modalidad de selección – Procedencia </w:t>
      </w:r>
      <w:r w:rsidRPr="00D47C6A">
        <w:rPr>
          <w:rFonts w:ascii="Arial" w:eastAsia="Times New Roman" w:hAnsi="Arial" w:cs="Arial"/>
          <w:lang w:eastAsia="es-CO"/>
        </w:rPr>
        <w:t> </w:t>
      </w:r>
    </w:p>
    <w:p w14:paraId="684ACF4A" w14:textId="77777777" w:rsidR="00895D6F" w:rsidRPr="00D47C6A" w:rsidRDefault="00895D6F" w:rsidP="00895D6F">
      <w:pPr>
        <w:spacing w:after="0" w:line="240" w:lineRule="auto"/>
        <w:contextualSpacing/>
        <w:jc w:val="both"/>
        <w:rPr>
          <w:rFonts w:ascii="Arial" w:eastAsia="Times New Roman" w:hAnsi="Arial" w:cs="Arial"/>
          <w:lang w:val="es-MX" w:eastAsia="es-CO"/>
        </w:rPr>
      </w:pPr>
    </w:p>
    <w:p w14:paraId="18FF425F" w14:textId="77777777" w:rsidR="00895D6F" w:rsidRPr="00D47C6A" w:rsidRDefault="00895D6F" w:rsidP="00895D6F">
      <w:pPr>
        <w:spacing w:after="0" w:line="240" w:lineRule="auto"/>
        <w:contextualSpacing/>
        <w:jc w:val="both"/>
        <w:rPr>
          <w:rFonts w:ascii="Arial" w:eastAsia="Calibri" w:hAnsi="Arial" w:cs="Arial"/>
          <w:shd w:val="clear" w:color="auto" w:fill="FFFFFF"/>
        </w:rPr>
      </w:pPr>
      <w:r w:rsidRPr="00D47C6A">
        <w:rPr>
          <w:rFonts w:ascii="Arial" w:eastAsia="Times New Roman" w:hAnsi="Arial" w:cs="Arial"/>
          <w:lang w:val="es-MX" w:eastAsia="es-CO"/>
        </w:rPr>
        <w:t xml:space="preserve">[…] </w:t>
      </w:r>
      <w:r w:rsidRPr="00D47C6A">
        <w:rPr>
          <w:rFonts w:ascii="Arial" w:eastAsia="Calibri" w:hAnsi="Arial" w:cs="Arial"/>
          <w:shd w:val="clear" w:color="auto" w:fill="FFFFFF"/>
        </w:rPr>
        <w:t xml:space="preserve">De este modo, se evidencia que la procedencia de la causal de selección abreviada de menor cuantía se encuentra directamente vinculada con el presupuesto anual de cada Entidad Estatal, de manera que los procedimientos de selección cuyo presupuesto oficial no superen el tope de la menor cuantía, se adelantarán bajo la modalidad de selección abreviada, ya que si se supera este tope corresponderá adelantar una licitación pública, siempre y cuando el único factor que pueda o deba tenerse en consideración es el valor estimado del contrato, esto es, sin considerar factores tales como la naturaleza de los productos, su destinación o características, por lo que  en cada contrato en específico se debe analizar la procedencia la causal o las causales, independientemente de que, en algunos casos, cualquiera de ellas remita al mismo procedimiento de selección. </w:t>
      </w:r>
    </w:p>
    <w:p w14:paraId="13A1ECFD" w14:textId="77777777" w:rsidR="00895D6F" w:rsidRPr="00D47C6A" w:rsidRDefault="00895D6F" w:rsidP="00895D6F">
      <w:pPr>
        <w:spacing w:after="0" w:line="240" w:lineRule="auto"/>
        <w:contextualSpacing/>
        <w:jc w:val="both"/>
        <w:rPr>
          <w:rFonts w:ascii="Arial" w:eastAsia="Calibri" w:hAnsi="Arial" w:cs="Arial"/>
          <w:shd w:val="clear" w:color="auto" w:fill="FFFFFF"/>
        </w:rPr>
      </w:pPr>
    </w:p>
    <w:p w14:paraId="460D5B69" w14:textId="77777777" w:rsidR="00895D6F" w:rsidRPr="00D47C6A" w:rsidRDefault="00895D6F" w:rsidP="00895D6F">
      <w:pPr>
        <w:spacing w:after="0" w:line="240" w:lineRule="auto"/>
        <w:contextualSpacing/>
        <w:jc w:val="both"/>
        <w:textAlignment w:val="baseline"/>
        <w:rPr>
          <w:rFonts w:ascii="Arial" w:eastAsia="Times New Roman" w:hAnsi="Arial" w:cs="Arial"/>
          <w:b/>
          <w:bCs/>
          <w:lang w:eastAsia="es-CO"/>
        </w:rPr>
      </w:pPr>
      <w:r w:rsidRPr="00D47C6A">
        <w:rPr>
          <w:rFonts w:ascii="Arial" w:eastAsia="Times New Roman" w:hAnsi="Arial" w:cs="Arial"/>
          <w:b/>
          <w:bCs/>
          <w:lang w:val="es-MX" w:eastAsia="es-CO"/>
        </w:rPr>
        <w:t>SELECCIÓN ABREVIADA SUBASTA INVERSA – Modalidad de selección – Finalidad – Articulo 2 Numeral 2 de la Ley 1150 de 2007 </w:t>
      </w:r>
      <w:r w:rsidRPr="00D47C6A">
        <w:rPr>
          <w:rFonts w:ascii="Arial" w:eastAsia="Times New Roman" w:hAnsi="Arial" w:cs="Arial"/>
          <w:b/>
          <w:bCs/>
          <w:lang w:eastAsia="es-CO"/>
        </w:rPr>
        <w:t> </w:t>
      </w:r>
    </w:p>
    <w:p w14:paraId="09789926" w14:textId="77777777" w:rsidR="00895D6F" w:rsidRPr="00D47C6A" w:rsidRDefault="00895D6F" w:rsidP="00895D6F">
      <w:pPr>
        <w:spacing w:after="0" w:line="240" w:lineRule="auto"/>
        <w:contextualSpacing/>
        <w:jc w:val="both"/>
        <w:textAlignment w:val="baseline"/>
        <w:rPr>
          <w:rFonts w:ascii="Arial" w:eastAsia="Times New Roman" w:hAnsi="Arial" w:cs="Arial"/>
          <w:lang w:val="es-MX" w:eastAsia="es-CO"/>
        </w:rPr>
      </w:pPr>
    </w:p>
    <w:p w14:paraId="7297FDA6" w14:textId="77777777" w:rsidR="00895D6F" w:rsidRPr="00D47C6A" w:rsidRDefault="00895D6F" w:rsidP="00895D6F">
      <w:pPr>
        <w:spacing w:after="0" w:line="240" w:lineRule="auto"/>
        <w:contextualSpacing/>
        <w:jc w:val="both"/>
        <w:textAlignment w:val="baseline"/>
        <w:rPr>
          <w:rFonts w:ascii="Arial" w:eastAsia="Times New Roman" w:hAnsi="Arial" w:cs="Arial"/>
          <w:lang w:val="es-MX" w:eastAsia="es-CO"/>
        </w:rPr>
      </w:pPr>
      <w:r w:rsidRPr="00D47C6A">
        <w:rPr>
          <w:rFonts w:ascii="Arial" w:eastAsia="Times New Roman" w:hAnsi="Arial" w:cs="Arial"/>
          <w:lang w:val="es-MX" w:eastAsia="es-CO"/>
        </w:rPr>
        <w:t xml:space="preserve">La subasta inversa es un mecanismo que se concibió con la finalidad de introducir una metodología alternativa para el proceso de negociación y perfeccionamiento del contrato estatal. Su regulación se encuentra en el artículo 2 de la Ley 1150 de 2007, disposición en la cual se señala que procede para los procesos de selección abreviada que tienen por finalidad la adquisición de bienes y servicios de características técnicas uniformes y de común utilización y en los procesos de enajenación de bienes del Estado. </w:t>
      </w:r>
    </w:p>
    <w:p w14:paraId="4BEAC802" w14:textId="77777777" w:rsidR="00895D6F" w:rsidRPr="00D47C6A" w:rsidRDefault="00895D6F" w:rsidP="00895D6F">
      <w:pPr>
        <w:spacing w:after="0" w:line="240" w:lineRule="auto"/>
        <w:contextualSpacing/>
        <w:jc w:val="both"/>
        <w:textAlignment w:val="baseline"/>
        <w:rPr>
          <w:rFonts w:ascii="Arial" w:eastAsia="Times New Roman" w:hAnsi="Arial" w:cs="Arial"/>
          <w:b/>
          <w:bCs/>
          <w:lang w:val="es-MX" w:eastAsia="es-CO"/>
        </w:rPr>
      </w:pPr>
    </w:p>
    <w:p w14:paraId="0907D490" w14:textId="77777777" w:rsidR="00895D6F" w:rsidRPr="00D47C6A" w:rsidRDefault="00895D6F" w:rsidP="00895D6F">
      <w:pPr>
        <w:spacing w:after="0" w:line="240" w:lineRule="auto"/>
        <w:contextualSpacing/>
        <w:jc w:val="both"/>
        <w:textAlignment w:val="baseline"/>
        <w:rPr>
          <w:rFonts w:ascii="Arial" w:eastAsia="Times New Roman" w:hAnsi="Arial" w:cs="Arial"/>
          <w:b/>
          <w:bCs/>
          <w:lang w:val="es-MX" w:eastAsia="es-CO"/>
        </w:rPr>
      </w:pPr>
      <w:r w:rsidRPr="00D47C6A">
        <w:rPr>
          <w:rFonts w:ascii="Arial" w:eastAsia="Times New Roman" w:hAnsi="Arial" w:cs="Arial"/>
          <w:b/>
          <w:bCs/>
          <w:lang w:val="es-MX" w:eastAsia="es-CO"/>
        </w:rPr>
        <w:t>SELECCIÓN ABREVIADA SUBASTA INVERSA – Modalidad de selección – Procedencia</w:t>
      </w:r>
    </w:p>
    <w:p w14:paraId="0C725801" w14:textId="77777777" w:rsidR="00895D6F" w:rsidRPr="00D47C6A" w:rsidRDefault="00895D6F" w:rsidP="00895D6F">
      <w:pPr>
        <w:spacing w:after="0" w:line="240" w:lineRule="auto"/>
        <w:contextualSpacing/>
        <w:jc w:val="both"/>
        <w:textAlignment w:val="baseline"/>
        <w:rPr>
          <w:rFonts w:ascii="Arial" w:eastAsia="Times New Roman" w:hAnsi="Arial" w:cs="Arial"/>
          <w:lang w:val="es-MX" w:eastAsia="es-CO"/>
        </w:rPr>
      </w:pPr>
    </w:p>
    <w:p w14:paraId="19A6E0FA" w14:textId="77777777" w:rsidR="00895D6F" w:rsidRPr="00D47C6A" w:rsidRDefault="00895D6F" w:rsidP="00895D6F">
      <w:pPr>
        <w:spacing w:after="0" w:line="240" w:lineRule="auto"/>
        <w:contextualSpacing/>
        <w:jc w:val="both"/>
        <w:textAlignment w:val="baseline"/>
        <w:rPr>
          <w:rFonts w:ascii="Arial" w:eastAsia="Times New Roman" w:hAnsi="Arial" w:cs="Arial"/>
          <w:lang w:eastAsia="es-CO"/>
        </w:rPr>
      </w:pPr>
      <w:r w:rsidRPr="00D47C6A">
        <w:rPr>
          <w:rFonts w:ascii="Arial" w:eastAsia="Times New Roman" w:hAnsi="Arial" w:cs="Arial"/>
          <w:lang w:val="es-MX" w:eastAsia="es-CO"/>
        </w:rPr>
        <w:t xml:space="preserve">El literal a) del numeral 2 del artículo 2 de la Ley 1150 de 2007, en relación con la adquisición de bienes y servicios de características técnicas uniformes y de común utilización, establece que «Para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En este evento, contrario a lo que ocurre en la licitación pública, el ordenamiento jurídico prescribe la utilización de la subasta </w:t>
      </w:r>
      <w:r w:rsidRPr="00D47C6A">
        <w:rPr>
          <w:rFonts w:ascii="Arial" w:eastAsia="Times New Roman" w:hAnsi="Arial" w:cs="Arial"/>
          <w:lang w:val="es-MX" w:eastAsia="es-CO"/>
        </w:rPr>
        <w:lastRenderedPageBreak/>
        <w:t>inversa en los procedimientos de selección abreviada cuando se pretendan adquirir bienes y servicios de características técnicas uniformes y de común utilización. </w:t>
      </w:r>
      <w:r w:rsidRPr="00D47C6A">
        <w:rPr>
          <w:rFonts w:ascii="Arial" w:eastAsia="Times New Roman" w:hAnsi="Arial" w:cs="Arial"/>
          <w:lang w:eastAsia="es-CO"/>
        </w:rPr>
        <w:t> </w:t>
      </w:r>
    </w:p>
    <w:p w14:paraId="32119CA8" w14:textId="77777777" w:rsidR="00895D6F" w:rsidRPr="00D47C6A" w:rsidRDefault="00895D6F" w:rsidP="00895D6F">
      <w:pPr>
        <w:spacing w:after="0" w:line="240" w:lineRule="auto"/>
        <w:contextualSpacing/>
        <w:jc w:val="both"/>
        <w:textAlignment w:val="baseline"/>
        <w:rPr>
          <w:rFonts w:ascii="Arial" w:eastAsia="Times New Roman" w:hAnsi="Arial" w:cs="Arial"/>
          <w:b/>
          <w:lang w:val="es-MX" w:eastAsia="es-CO"/>
        </w:rPr>
      </w:pPr>
    </w:p>
    <w:p w14:paraId="68B39798" w14:textId="77777777" w:rsidR="00895D6F" w:rsidRPr="00D47C6A" w:rsidRDefault="00895D6F" w:rsidP="00895D6F">
      <w:pPr>
        <w:spacing w:after="0" w:line="240" w:lineRule="auto"/>
        <w:contextualSpacing/>
        <w:jc w:val="both"/>
        <w:textAlignment w:val="baseline"/>
        <w:rPr>
          <w:rFonts w:ascii="Arial" w:eastAsia="Times New Roman" w:hAnsi="Arial" w:cs="Arial"/>
          <w:b/>
          <w:lang w:val="es-MX" w:eastAsia="es-CO"/>
        </w:rPr>
      </w:pPr>
      <w:r w:rsidRPr="00D47C6A">
        <w:rPr>
          <w:rFonts w:ascii="Arial" w:eastAsia="Times New Roman" w:hAnsi="Arial" w:cs="Arial"/>
          <w:b/>
          <w:lang w:val="es-MX" w:eastAsia="es-CO"/>
        </w:rPr>
        <w:t>BIENES Y SERVICIOS DE CARACTERISTICAS TECNICAS UNIFORMES – Elementos</w:t>
      </w:r>
    </w:p>
    <w:p w14:paraId="4CCB95C2" w14:textId="77777777" w:rsidR="00895D6F" w:rsidRPr="00D47C6A" w:rsidRDefault="00895D6F" w:rsidP="00895D6F">
      <w:pPr>
        <w:spacing w:after="0" w:line="240" w:lineRule="auto"/>
        <w:contextualSpacing/>
        <w:jc w:val="both"/>
        <w:textAlignment w:val="baseline"/>
        <w:rPr>
          <w:rFonts w:ascii="Arial" w:eastAsia="Times New Roman" w:hAnsi="Arial" w:cs="Arial"/>
          <w:lang w:val="es-ES" w:eastAsia="es-CO"/>
        </w:rPr>
      </w:pPr>
    </w:p>
    <w:p w14:paraId="393D10C3" w14:textId="77777777" w:rsidR="00895D6F" w:rsidRPr="00D47C6A" w:rsidRDefault="00895D6F" w:rsidP="00895D6F">
      <w:pPr>
        <w:spacing w:after="0" w:line="240" w:lineRule="auto"/>
        <w:contextualSpacing/>
        <w:jc w:val="both"/>
        <w:textAlignment w:val="baseline"/>
        <w:rPr>
          <w:rFonts w:ascii="Arial" w:eastAsia="Times New Roman" w:hAnsi="Arial" w:cs="Arial"/>
          <w:lang w:eastAsia="es-CO"/>
        </w:rPr>
      </w:pPr>
      <w:r w:rsidRPr="00D47C6A">
        <w:rPr>
          <w:rFonts w:ascii="Arial" w:eastAsia="Times New Roman" w:hAnsi="Arial" w:cs="Arial"/>
          <w:lang w:val="es-ES" w:eastAsia="es-CO"/>
        </w:rPr>
        <w:t>Como se advierte de lo anterior, los elementos centrales para definir si un bien o servicio se considera de características técnicas uniformes consiste en que posea las mismas especificaciones técnicas y compartan patrones de desempeño y calidad objetivamente definidos, de manera que sea posible adquirirlos en el mercado en condiciones estandarizadas u homogéneas, con independencia de su diseño o de sus características descriptivas, que no afectan su funcionalidad. En este sentido, la forma como se adquieren en el mercado incide en la determinación de si un bien o servicio se encuadra en esta categoría. De ahí que el Decreto 1082 de 2015 disponga que «pueden ser agrupados como bienes y servicios homogéneos para su adquisición», dado que son bienes y servicios con especificaciones técnicas y patrones de desempeño y calidad iguales o similares. </w:t>
      </w:r>
      <w:r w:rsidRPr="00D47C6A">
        <w:rPr>
          <w:rFonts w:ascii="Arial" w:eastAsia="Times New Roman" w:hAnsi="Arial" w:cs="Arial"/>
          <w:lang w:eastAsia="es-CO"/>
        </w:rPr>
        <w:t> </w:t>
      </w:r>
    </w:p>
    <w:p w14:paraId="76B8E825" w14:textId="77777777" w:rsidR="00895D6F" w:rsidRPr="00D47C6A" w:rsidRDefault="00895D6F" w:rsidP="00895D6F">
      <w:pPr>
        <w:spacing w:after="0" w:line="240" w:lineRule="auto"/>
        <w:contextualSpacing/>
        <w:jc w:val="both"/>
        <w:textAlignment w:val="baseline"/>
        <w:rPr>
          <w:rFonts w:ascii="Arial" w:eastAsia="Times New Roman" w:hAnsi="Arial" w:cs="Arial"/>
          <w:b/>
          <w:bCs/>
          <w:lang w:val="es-MX" w:eastAsia="es-CO"/>
        </w:rPr>
      </w:pPr>
    </w:p>
    <w:p w14:paraId="2EAED572" w14:textId="77777777" w:rsidR="00895D6F" w:rsidRPr="00D47C6A" w:rsidRDefault="00895D6F" w:rsidP="00895D6F">
      <w:pPr>
        <w:spacing w:line="240" w:lineRule="auto"/>
        <w:rPr>
          <w:rFonts w:ascii="Arial" w:eastAsia="Times New Roman" w:hAnsi="Arial" w:cs="Arial"/>
          <w:b/>
          <w:lang w:eastAsia="es-CO"/>
        </w:rPr>
      </w:pPr>
      <w:r w:rsidRPr="00D47C6A">
        <w:rPr>
          <w:rFonts w:ascii="Arial" w:eastAsia="Times New Roman" w:hAnsi="Arial" w:cs="Arial"/>
          <w:b/>
          <w:lang w:eastAsia="es-CO"/>
        </w:rPr>
        <w:br w:type="page"/>
      </w:r>
    </w:p>
    <w:p w14:paraId="043F2F97" w14:textId="77777777" w:rsidR="00895D6F" w:rsidRPr="00D47C6A" w:rsidRDefault="00895D6F" w:rsidP="00895D6F">
      <w:pPr>
        <w:spacing w:after="0" w:line="240" w:lineRule="auto"/>
        <w:contextualSpacing/>
        <w:jc w:val="both"/>
        <w:rPr>
          <w:rFonts w:ascii="Arial" w:eastAsia="Calibri" w:hAnsi="Arial" w:cs="Arial"/>
          <w:lang w:val="es-ES_tradnl" w:eastAsia="es-ES_tradnl"/>
        </w:rPr>
      </w:pPr>
    </w:p>
    <w:p w14:paraId="071157AD" w14:textId="77777777" w:rsidR="00895D6F" w:rsidRPr="00D47C6A" w:rsidRDefault="00895D6F" w:rsidP="00895D6F">
      <w:pPr>
        <w:spacing w:after="0" w:line="240" w:lineRule="auto"/>
        <w:contextualSpacing/>
        <w:jc w:val="right"/>
        <w:rPr>
          <w:rFonts w:ascii="Arial" w:eastAsia="Calibri" w:hAnsi="Arial" w:cs="Arial"/>
          <w:lang w:val="es-ES_tradnl" w:eastAsia="es-ES_tradnl"/>
        </w:rPr>
      </w:pPr>
    </w:p>
    <w:p w14:paraId="3F5D3495" w14:textId="77777777" w:rsidR="00895D6F" w:rsidRPr="00D47C6A" w:rsidRDefault="00895D6F" w:rsidP="00895D6F">
      <w:pPr>
        <w:spacing w:after="0" w:line="240" w:lineRule="auto"/>
        <w:contextualSpacing/>
        <w:jc w:val="both"/>
        <w:rPr>
          <w:rFonts w:ascii="Arial" w:eastAsia="Calibri" w:hAnsi="Arial" w:cs="Arial"/>
          <w:lang w:val="es-ES_tradnl" w:eastAsia="es-ES_tradnl"/>
        </w:rPr>
      </w:pPr>
    </w:p>
    <w:p w14:paraId="75B6FC76" w14:textId="0E4B344C" w:rsidR="00895D6F" w:rsidRDefault="00895D6F" w:rsidP="00895D6F">
      <w:pPr>
        <w:rPr>
          <w:rFonts w:ascii="Geomanist Light" w:eastAsia="Geomanist Light" w:hAnsi="Geomanist Light" w:cs="Geomanist Light"/>
          <w:color w:val="201F1E"/>
          <w:lang w:val="es-MX"/>
        </w:rPr>
      </w:pPr>
      <w:r w:rsidRPr="62C2E4D9">
        <w:rPr>
          <w:rFonts w:ascii="Geomanist Light" w:eastAsia="Geomanist Light" w:hAnsi="Geomanist Light" w:cs="Geomanist Light"/>
          <w:color w:val="000000" w:themeColor="text1"/>
          <w:lang w:val="es-MX"/>
        </w:rPr>
        <w:t>Bogotá D.C., </w:t>
      </w:r>
      <w:r w:rsidR="001430C0">
        <w:rPr>
          <w:rFonts w:ascii="Geomanist Light" w:eastAsia="Geomanist Light" w:hAnsi="Geomanist Light" w:cs="Geomanist Light"/>
          <w:color w:val="201F1E"/>
          <w:lang w:val="es-MX"/>
        </w:rPr>
        <w:t>30 de enero de 2023</w:t>
      </w:r>
    </w:p>
    <w:p w14:paraId="0DF556C7" w14:textId="5FDAEA7F" w:rsidR="00FF7798" w:rsidRDefault="00FF7798" w:rsidP="00FF7798">
      <w:pPr>
        <w:jc w:val="right"/>
        <w:rPr>
          <w:rFonts w:ascii="Geomanist Light" w:eastAsia="Geomanist Light" w:hAnsi="Geomanist Light" w:cs="Geomanist Light"/>
          <w:color w:val="201F1E"/>
          <w:lang w:val="es-MX"/>
        </w:rPr>
      </w:pPr>
      <w:r w:rsidRPr="00FF7798">
        <w:rPr>
          <w:rFonts w:ascii="Geomanist Light" w:eastAsia="Geomanist Light" w:hAnsi="Geomanist Light" w:cs="Geomanist Light"/>
          <w:noProof/>
          <w:color w:val="201F1E"/>
          <w:lang w:val="es-MX"/>
        </w:rPr>
        <w:drawing>
          <wp:inline distT="0" distB="0" distL="0" distR="0" wp14:anchorId="6C62E925" wp14:editId="29971692">
            <wp:extent cx="3305636" cy="924054"/>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0"/>
                    <a:stretch>
                      <a:fillRect/>
                    </a:stretch>
                  </pic:blipFill>
                  <pic:spPr>
                    <a:xfrm>
                      <a:off x="0" y="0"/>
                      <a:ext cx="3305636" cy="924054"/>
                    </a:xfrm>
                    <a:prstGeom prst="rect">
                      <a:avLst/>
                    </a:prstGeom>
                  </pic:spPr>
                </pic:pic>
              </a:graphicData>
            </a:graphic>
          </wp:inline>
        </w:drawing>
      </w:r>
    </w:p>
    <w:p w14:paraId="08002DE3" w14:textId="77777777" w:rsidR="00895D6F" w:rsidRDefault="00895D6F" w:rsidP="00895D6F">
      <w:pPr>
        <w:spacing w:after="0" w:line="240" w:lineRule="auto"/>
        <w:contextualSpacing/>
        <w:jc w:val="both"/>
        <w:rPr>
          <w:rFonts w:ascii="Arial" w:eastAsia="Calibri" w:hAnsi="Arial" w:cs="Arial"/>
          <w:lang w:val="es-ES" w:eastAsia="es-ES"/>
        </w:rPr>
      </w:pPr>
    </w:p>
    <w:p w14:paraId="09ED0A0D" w14:textId="77777777" w:rsidR="00895D6F" w:rsidRDefault="00895D6F" w:rsidP="00895D6F">
      <w:pPr>
        <w:spacing w:after="0" w:line="240" w:lineRule="auto"/>
        <w:contextualSpacing/>
        <w:jc w:val="both"/>
        <w:rPr>
          <w:rFonts w:ascii="Arial" w:eastAsia="Calibri" w:hAnsi="Arial" w:cs="Arial"/>
          <w:lang w:val="es-ES" w:eastAsia="es-ES"/>
        </w:rPr>
      </w:pPr>
    </w:p>
    <w:p w14:paraId="65A74B1E" w14:textId="77777777" w:rsidR="00895D6F" w:rsidRPr="00D47C6A" w:rsidRDefault="00895D6F" w:rsidP="00895D6F">
      <w:pPr>
        <w:spacing w:after="0" w:line="240" w:lineRule="auto"/>
        <w:contextualSpacing/>
        <w:jc w:val="both"/>
        <w:rPr>
          <w:rFonts w:ascii="Arial" w:eastAsia="Calibri" w:hAnsi="Arial" w:cs="Arial"/>
          <w:b/>
          <w:bCs/>
          <w:lang w:val="es-ES_tradnl" w:eastAsia="es-ES_tradnl"/>
        </w:rPr>
      </w:pPr>
      <w:r w:rsidRPr="00D47C6A">
        <w:rPr>
          <w:rFonts w:ascii="Arial" w:eastAsia="Calibri" w:hAnsi="Arial" w:cs="Arial"/>
          <w:lang w:val="es-ES_tradnl" w:eastAsia="es-ES_tradnl"/>
        </w:rPr>
        <w:t>Señor</w:t>
      </w:r>
    </w:p>
    <w:p w14:paraId="5DF9B927" w14:textId="77777777" w:rsidR="00895D6F" w:rsidRPr="00D47C6A" w:rsidRDefault="00895D6F" w:rsidP="00895D6F">
      <w:pPr>
        <w:autoSpaceDE w:val="0"/>
        <w:autoSpaceDN w:val="0"/>
        <w:adjustRightInd w:val="0"/>
        <w:spacing w:after="0" w:line="240" w:lineRule="auto"/>
        <w:rPr>
          <w:rFonts w:ascii="Arial" w:hAnsi="Arial" w:cs="Arial"/>
          <w:b/>
          <w:bCs/>
        </w:rPr>
      </w:pPr>
      <w:r w:rsidRPr="00D47C6A">
        <w:rPr>
          <w:rFonts w:ascii="Arial" w:hAnsi="Arial" w:cs="Arial"/>
          <w:b/>
          <w:bCs/>
        </w:rPr>
        <w:t>Lenin Augusto Pardo Porras</w:t>
      </w:r>
    </w:p>
    <w:p w14:paraId="504105A7" w14:textId="77777777" w:rsidR="00895D6F" w:rsidRPr="00D47C6A" w:rsidRDefault="001E66BF" w:rsidP="00895D6F">
      <w:pPr>
        <w:spacing w:after="0" w:line="240" w:lineRule="auto"/>
        <w:contextualSpacing/>
        <w:rPr>
          <w:rFonts w:ascii="Arial" w:hAnsi="Arial" w:cs="Arial"/>
        </w:rPr>
      </w:pPr>
      <w:hyperlink r:id="rId11" w:history="1">
        <w:r w:rsidR="00895D6F" w:rsidRPr="00D47C6A">
          <w:rPr>
            <w:rStyle w:val="Hipervnculo"/>
            <w:rFonts w:ascii="Arial" w:hAnsi="Arial" w:cs="Arial"/>
          </w:rPr>
          <w:t>leninpp11@gmail.com</w:t>
        </w:r>
      </w:hyperlink>
    </w:p>
    <w:p w14:paraId="6982B480" w14:textId="77777777" w:rsidR="00895D6F" w:rsidRPr="00D47C6A" w:rsidRDefault="00895D6F" w:rsidP="00895D6F">
      <w:pPr>
        <w:spacing w:after="0" w:line="240" w:lineRule="auto"/>
        <w:contextualSpacing/>
        <w:rPr>
          <w:rFonts w:ascii="Arial" w:eastAsia="Calibri" w:hAnsi="Arial" w:cs="Arial"/>
          <w:lang w:val="es-ES_tradnl" w:eastAsia="es-ES_tradnl"/>
        </w:rPr>
      </w:pPr>
      <w:r w:rsidRPr="00D47C6A">
        <w:rPr>
          <w:rFonts w:ascii="Arial" w:hAnsi="Arial" w:cs="Arial"/>
        </w:rPr>
        <w:t>Ciudad</w:t>
      </w:r>
    </w:p>
    <w:p w14:paraId="565394B9" w14:textId="77777777" w:rsidR="00895D6F" w:rsidRPr="00D47C6A" w:rsidRDefault="00895D6F" w:rsidP="00895D6F">
      <w:pPr>
        <w:spacing w:after="0" w:line="240" w:lineRule="auto"/>
        <w:contextualSpacing/>
        <w:rPr>
          <w:rFonts w:ascii="Arial" w:eastAsia="Calibri" w:hAnsi="Arial" w:cs="Arial"/>
          <w:lang w:val="es-ES_tradnl" w:eastAsia="es-ES_tradnl"/>
        </w:rPr>
      </w:pPr>
    </w:p>
    <w:p w14:paraId="5F7D7192" w14:textId="77777777" w:rsidR="00895D6F" w:rsidRPr="00D47C6A" w:rsidRDefault="00895D6F" w:rsidP="00895D6F">
      <w:pPr>
        <w:spacing w:after="0" w:line="240" w:lineRule="auto"/>
        <w:contextualSpacing/>
        <w:rPr>
          <w:rFonts w:ascii="Arial" w:eastAsia="Calibri" w:hAnsi="Arial" w:cs="Arial"/>
          <w:b/>
          <w:lang w:val="es-ES_tradnl" w:eastAsia="es-ES_tradnl"/>
        </w:rPr>
      </w:pPr>
      <w:r w:rsidRPr="00D47C6A">
        <w:rPr>
          <w:rFonts w:ascii="Arial" w:eastAsia="Calibri" w:hAnsi="Arial" w:cs="Arial"/>
          <w:lang w:val="es-ES_tradnl" w:eastAsia="es-ES_tradnl"/>
        </w:rPr>
        <w:t xml:space="preserve">                                            </w:t>
      </w:r>
      <w:r w:rsidRPr="00D47C6A">
        <w:rPr>
          <w:rFonts w:ascii="Arial" w:eastAsia="Calibri" w:hAnsi="Arial" w:cs="Arial"/>
          <w:b/>
          <w:lang w:val="es-ES_tradnl" w:eastAsia="es-ES_tradnl"/>
        </w:rPr>
        <w:t>Concepto C ‒ 957 de 2022</w:t>
      </w:r>
    </w:p>
    <w:p w14:paraId="6A7ACB3F" w14:textId="77777777" w:rsidR="00895D6F" w:rsidRPr="00D47C6A" w:rsidRDefault="00895D6F" w:rsidP="00895D6F">
      <w:pPr>
        <w:spacing w:after="0" w:line="240" w:lineRule="auto"/>
        <w:contextualSpacing/>
        <w:jc w:val="both"/>
        <w:rPr>
          <w:rFonts w:ascii="Arial" w:eastAsia="Calibri" w:hAnsi="Arial" w:cs="Arial"/>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95D6F" w:rsidRPr="00D47C6A" w14:paraId="23E2E012" w14:textId="77777777" w:rsidTr="000E622A">
        <w:tc>
          <w:tcPr>
            <w:tcW w:w="2689" w:type="dxa"/>
          </w:tcPr>
          <w:p w14:paraId="03D42E98" w14:textId="77777777" w:rsidR="00895D6F" w:rsidRPr="00D47C6A" w:rsidRDefault="00895D6F" w:rsidP="000E622A">
            <w:pPr>
              <w:spacing w:line="276" w:lineRule="auto"/>
              <w:contextualSpacing/>
              <w:jc w:val="both"/>
              <w:rPr>
                <w:rFonts w:ascii="Arial" w:eastAsia="Calibri" w:hAnsi="Arial" w:cs="Arial"/>
                <w:lang w:val="es-ES_tradnl" w:eastAsia="es-ES_tradnl"/>
              </w:rPr>
            </w:pPr>
            <w:r w:rsidRPr="00D47C6A">
              <w:rPr>
                <w:rFonts w:ascii="Arial" w:eastAsia="Calibri" w:hAnsi="Arial" w:cs="Arial"/>
                <w:b/>
                <w:lang w:val="es-ES_tradnl" w:eastAsia="es-ES_tradnl"/>
              </w:rPr>
              <w:t>Temas:</w:t>
            </w:r>
            <w:r w:rsidRPr="00D47C6A">
              <w:rPr>
                <w:rFonts w:ascii="Arial" w:eastAsia="Calibri" w:hAnsi="Arial" w:cs="Arial"/>
                <w:lang w:val="es-ES_tradnl" w:eastAsia="es-ES_tradnl"/>
              </w:rPr>
              <w:t xml:space="preserve">                                      </w:t>
            </w:r>
          </w:p>
        </w:tc>
        <w:tc>
          <w:tcPr>
            <w:tcW w:w="6237" w:type="dxa"/>
          </w:tcPr>
          <w:p w14:paraId="7E0C369C" w14:textId="77777777" w:rsidR="00895D6F" w:rsidRPr="00D47C6A" w:rsidRDefault="00895D6F" w:rsidP="000E622A">
            <w:pPr>
              <w:spacing w:line="276" w:lineRule="auto"/>
              <w:contextualSpacing/>
              <w:jc w:val="both"/>
              <w:textAlignment w:val="baseline"/>
              <w:rPr>
                <w:rFonts w:ascii="Arial" w:eastAsia="Times New Roman" w:hAnsi="Arial" w:cs="Arial"/>
                <w:b/>
                <w:bCs/>
                <w:lang w:val="es-MX" w:eastAsia="es-CO"/>
              </w:rPr>
            </w:pPr>
            <w:r w:rsidRPr="62C2E4D9">
              <w:rPr>
                <w:rFonts w:ascii="Arial" w:eastAsia="Times New Roman" w:hAnsi="Arial" w:cs="Arial"/>
                <w:lang w:val="es-MX" w:eastAsia="es-CO"/>
              </w:rPr>
              <w:t>SELECCIÓN ABREVIADA– Modalidad de selección – Naturaleza </w:t>
            </w:r>
            <w:r w:rsidRPr="62C2E4D9">
              <w:rPr>
                <w:rFonts w:ascii="Arial" w:eastAsia="Times New Roman" w:hAnsi="Arial" w:cs="Arial"/>
                <w:lang w:eastAsia="es-CO"/>
              </w:rPr>
              <w:t xml:space="preserve">/ </w:t>
            </w:r>
            <w:r w:rsidRPr="62C2E4D9">
              <w:rPr>
                <w:rFonts w:ascii="Arial" w:eastAsia="Times New Roman" w:hAnsi="Arial" w:cs="Arial"/>
                <w:lang w:val="es-MX" w:eastAsia="es-CO"/>
              </w:rPr>
              <w:t>SELECCIÓN ABREVIADA SUBASTA INVERSA – Modalidad de selección – Finalidad / SUBASTA INVERSA – Informe de evaluación – Procedencia.</w:t>
            </w:r>
          </w:p>
          <w:p w14:paraId="3598041F" w14:textId="77777777" w:rsidR="00895D6F" w:rsidRPr="00D47C6A" w:rsidRDefault="00895D6F" w:rsidP="000E622A">
            <w:pPr>
              <w:spacing w:line="276" w:lineRule="auto"/>
              <w:contextualSpacing/>
              <w:jc w:val="both"/>
              <w:rPr>
                <w:rFonts w:ascii="Arial" w:eastAsia="Times New Roman" w:hAnsi="Arial" w:cs="Arial"/>
                <w:lang w:val="es-ES_tradnl" w:eastAsia="es-ES_tradnl"/>
              </w:rPr>
            </w:pPr>
          </w:p>
        </w:tc>
      </w:tr>
      <w:tr w:rsidR="00895D6F" w:rsidRPr="00D47C6A" w14:paraId="283EB79B" w14:textId="77777777" w:rsidTr="000E622A">
        <w:tc>
          <w:tcPr>
            <w:tcW w:w="2689" w:type="dxa"/>
          </w:tcPr>
          <w:p w14:paraId="51BADEF7" w14:textId="77777777" w:rsidR="00895D6F" w:rsidRPr="00D47C6A" w:rsidRDefault="00895D6F" w:rsidP="000E622A">
            <w:pPr>
              <w:spacing w:line="276" w:lineRule="auto"/>
              <w:contextualSpacing/>
              <w:jc w:val="both"/>
              <w:rPr>
                <w:rFonts w:ascii="Arial" w:eastAsia="Calibri" w:hAnsi="Arial" w:cs="Arial"/>
                <w:b/>
                <w:lang w:val="es-ES_tradnl" w:eastAsia="es-ES_tradnl"/>
              </w:rPr>
            </w:pPr>
            <w:r w:rsidRPr="00D47C6A">
              <w:rPr>
                <w:rFonts w:ascii="Arial" w:eastAsia="Calibri" w:hAnsi="Arial" w:cs="Arial"/>
                <w:b/>
                <w:lang w:val="es-ES_tradnl" w:eastAsia="es-ES_tradnl"/>
              </w:rPr>
              <w:t>Radicación:</w:t>
            </w:r>
            <w:r w:rsidRPr="00D47C6A">
              <w:rPr>
                <w:rFonts w:ascii="Arial" w:eastAsia="Calibri" w:hAnsi="Arial" w:cs="Arial"/>
                <w:lang w:val="es-ES_tradnl" w:eastAsia="es-ES_tradnl"/>
              </w:rPr>
              <w:t xml:space="preserve">                              </w:t>
            </w:r>
          </w:p>
        </w:tc>
        <w:tc>
          <w:tcPr>
            <w:tcW w:w="6237" w:type="dxa"/>
          </w:tcPr>
          <w:p w14:paraId="09088E10" w14:textId="77777777" w:rsidR="00895D6F" w:rsidRPr="00D47C6A" w:rsidRDefault="00895D6F" w:rsidP="000E622A">
            <w:pPr>
              <w:spacing w:line="276" w:lineRule="auto"/>
              <w:contextualSpacing/>
              <w:jc w:val="both"/>
              <w:rPr>
                <w:rFonts w:ascii="Arial" w:eastAsia="Calibri" w:hAnsi="Arial" w:cs="Arial"/>
                <w:lang w:val="es-ES_tradnl" w:eastAsia="es-ES_tradnl"/>
              </w:rPr>
            </w:pPr>
            <w:r w:rsidRPr="00D47C6A">
              <w:rPr>
                <w:rFonts w:ascii="Arial" w:eastAsia="Calibri" w:hAnsi="Arial" w:cs="Arial"/>
                <w:lang w:val="es-ES_tradnl" w:eastAsia="es-ES_tradnl"/>
              </w:rPr>
              <w:t>Respuesta de la consulta P20221216012261</w:t>
            </w:r>
          </w:p>
        </w:tc>
      </w:tr>
    </w:tbl>
    <w:p w14:paraId="09168D34" w14:textId="77777777" w:rsidR="00895D6F" w:rsidRPr="00D47C6A" w:rsidRDefault="00895D6F" w:rsidP="00895D6F">
      <w:pPr>
        <w:spacing w:after="0" w:line="276" w:lineRule="auto"/>
        <w:contextualSpacing/>
        <w:jc w:val="both"/>
        <w:rPr>
          <w:rFonts w:ascii="Arial" w:eastAsia="Calibri" w:hAnsi="Arial" w:cs="Arial"/>
          <w:lang w:val="es-ES_tradnl" w:eastAsia="es-ES_tradnl"/>
        </w:rPr>
      </w:pPr>
    </w:p>
    <w:p w14:paraId="4133B9D7" w14:textId="77777777" w:rsidR="00895D6F" w:rsidRPr="00D47C6A" w:rsidRDefault="00895D6F" w:rsidP="00895D6F">
      <w:pPr>
        <w:spacing w:after="0" w:line="276" w:lineRule="auto"/>
        <w:contextualSpacing/>
        <w:jc w:val="both"/>
        <w:rPr>
          <w:rFonts w:ascii="Arial" w:eastAsia="Calibri" w:hAnsi="Arial" w:cs="Arial"/>
          <w:lang w:val="es-ES_tradnl" w:eastAsia="es-ES_tradnl"/>
        </w:rPr>
      </w:pPr>
    </w:p>
    <w:p w14:paraId="786D3E8D" w14:textId="77777777" w:rsidR="00895D6F" w:rsidRPr="00D47C6A" w:rsidRDefault="00895D6F" w:rsidP="00895D6F">
      <w:pPr>
        <w:spacing w:after="0" w:line="276" w:lineRule="auto"/>
        <w:contextualSpacing/>
        <w:jc w:val="both"/>
        <w:rPr>
          <w:rFonts w:ascii="Arial" w:eastAsia="Calibri" w:hAnsi="Arial" w:cs="Arial"/>
          <w:lang w:val="es-ES" w:eastAsia="es-ES"/>
        </w:rPr>
      </w:pPr>
      <w:r w:rsidRPr="62C2E4D9">
        <w:rPr>
          <w:rFonts w:ascii="Arial" w:eastAsia="Calibri" w:hAnsi="Arial" w:cs="Arial"/>
          <w:lang w:val="es-ES" w:eastAsia="es-ES"/>
        </w:rPr>
        <w:t xml:space="preserve">Estimado </w:t>
      </w:r>
      <w:proofErr w:type="gramStart"/>
      <w:r w:rsidRPr="62C2E4D9">
        <w:rPr>
          <w:rFonts w:ascii="Arial" w:eastAsia="Calibri" w:hAnsi="Arial" w:cs="Arial"/>
          <w:lang w:val="es-ES" w:eastAsia="es-ES"/>
        </w:rPr>
        <w:t xml:space="preserve">señor </w:t>
      </w:r>
      <w:r w:rsidRPr="62C2E4D9">
        <w:rPr>
          <w:rFonts w:ascii="Arial" w:hAnsi="Arial" w:cs="Arial"/>
          <w:b/>
          <w:bCs/>
        </w:rPr>
        <w:t xml:space="preserve"> Pardo</w:t>
      </w:r>
      <w:proofErr w:type="gramEnd"/>
      <w:r w:rsidRPr="62C2E4D9">
        <w:rPr>
          <w:rFonts w:ascii="Arial" w:hAnsi="Arial" w:cs="Arial"/>
          <w:b/>
          <w:bCs/>
        </w:rPr>
        <w:t xml:space="preserve"> Porras</w:t>
      </w:r>
      <w:r w:rsidRPr="62C2E4D9">
        <w:rPr>
          <w:rFonts w:ascii="Arial" w:eastAsia="Calibri" w:hAnsi="Arial" w:cs="Arial"/>
          <w:lang w:val="es-ES" w:eastAsia="es-ES"/>
        </w:rPr>
        <w:t>:</w:t>
      </w:r>
    </w:p>
    <w:p w14:paraId="12059213" w14:textId="77777777" w:rsidR="00895D6F" w:rsidRPr="00D47C6A" w:rsidRDefault="00895D6F" w:rsidP="00895D6F">
      <w:pPr>
        <w:spacing w:after="0" w:line="276" w:lineRule="auto"/>
        <w:contextualSpacing/>
        <w:jc w:val="both"/>
        <w:rPr>
          <w:rFonts w:ascii="Arial" w:eastAsia="Calibri" w:hAnsi="Arial" w:cs="Arial"/>
          <w:lang w:val="es-ES_tradnl" w:eastAsia="es-ES_tradnl"/>
        </w:rPr>
      </w:pPr>
    </w:p>
    <w:p w14:paraId="7AC19746" w14:textId="77777777" w:rsidR="00895D6F" w:rsidRPr="00D47C6A" w:rsidRDefault="00895D6F" w:rsidP="00895D6F">
      <w:pPr>
        <w:spacing w:after="0" w:line="276" w:lineRule="auto"/>
        <w:contextualSpacing/>
        <w:jc w:val="both"/>
        <w:rPr>
          <w:rFonts w:ascii="Arial" w:eastAsia="Calibri" w:hAnsi="Arial" w:cs="Arial"/>
          <w:lang w:val="es-ES_tradnl" w:eastAsia="es-ES_tradnl"/>
        </w:rPr>
      </w:pPr>
      <w:r w:rsidRPr="00D47C6A">
        <w:rPr>
          <w:rFonts w:ascii="Arial" w:eastAsia="Calibri" w:hAnsi="Arial" w:cs="Arial"/>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16 de diciembre de 2022.</w:t>
      </w:r>
    </w:p>
    <w:p w14:paraId="6FD5575B" w14:textId="77777777" w:rsidR="00895D6F" w:rsidRPr="00D47C6A" w:rsidRDefault="00895D6F" w:rsidP="00895D6F">
      <w:pPr>
        <w:spacing w:after="0" w:line="240" w:lineRule="auto"/>
        <w:contextualSpacing/>
        <w:jc w:val="both"/>
        <w:rPr>
          <w:rFonts w:ascii="Arial" w:eastAsia="Calibri" w:hAnsi="Arial" w:cs="Arial"/>
          <w:b/>
          <w:lang w:val="es-ES_tradnl" w:eastAsia="es-ES_tradnl"/>
        </w:rPr>
      </w:pPr>
    </w:p>
    <w:p w14:paraId="668532DF" w14:textId="77777777" w:rsidR="00895D6F" w:rsidRPr="00D47C6A" w:rsidRDefault="00895D6F" w:rsidP="00895D6F">
      <w:pPr>
        <w:numPr>
          <w:ilvl w:val="0"/>
          <w:numId w:val="1"/>
        </w:numPr>
        <w:tabs>
          <w:tab w:val="left" w:pos="0"/>
          <w:tab w:val="left" w:pos="142"/>
          <w:tab w:val="left" w:pos="284"/>
        </w:tabs>
        <w:spacing w:after="0" w:line="276" w:lineRule="auto"/>
        <w:contextualSpacing/>
        <w:jc w:val="both"/>
        <w:rPr>
          <w:rFonts w:ascii="Arial" w:eastAsia="Calibri" w:hAnsi="Arial" w:cs="Arial"/>
          <w:b/>
          <w:lang w:val="es-ES_tradnl" w:eastAsia="es-ES_tradnl"/>
        </w:rPr>
      </w:pPr>
      <w:r w:rsidRPr="00D47C6A">
        <w:rPr>
          <w:rFonts w:ascii="Arial" w:eastAsia="Calibri" w:hAnsi="Arial" w:cs="Arial"/>
          <w:b/>
          <w:lang w:val="es-ES_tradnl"/>
        </w:rPr>
        <w:t xml:space="preserve">Problema planteado </w:t>
      </w:r>
    </w:p>
    <w:p w14:paraId="1EFD75BF" w14:textId="77777777" w:rsidR="00895D6F" w:rsidRPr="00D47C6A" w:rsidRDefault="00895D6F" w:rsidP="00895D6F">
      <w:pPr>
        <w:tabs>
          <w:tab w:val="left" w:pos="0"/>
          <w:tab w:val="left" w:pos="142"/>
          <w:tab w:val="left" w:pos="284"/>
        </w:tabs>
        <w:spacing w:after="0" w:line="276" w:lineRule="auto"/>
        <w:ind w:left="360"/>
        <w:contextualSpacing/>
        <w:jc w:val="both"/>
        <w:rPr>
          <w:rFonts w:ascii="Arial" w:eastAsia="Calibri" w:hAnsi="Arial" w:cs="Arial"/>
          <w:b/>
          <w:lang w:val="es-ES_tradnl" w:eastAsia="es-ES_tradnl"/>
        </w:rPr>
      </w:pPr>
    </w:p>
    <w:p w14:paraId="7C9AE6F7" w14:textId="77777777" w:rsidR="00895D6F" w:rsidRPr="00D47C6A" w:rsidRDefault="00895D6F" w:rsidP="00895D6F">
      <w:pPr>
        <w:spacing w:after="0" w:line="276" w:lineRule="auto"/>
        <w:contextualSpacing/>
        <w:jc w:val="both"/>
        <w:rPr>
          <w:rFonts w:ascii="Arial" w:eastAsia="Calibri" w:hAnsi="Arial" w:cs="Arial"/>
        </w:rPr>
      </w:pPr>
      <w:r w:rsidRPr="00D47C6A">
        <w:rPr>
          <w:rFonts w:ascii="Arial" w:eastAsia="Calibri" w:hAnsi="Arial" w:cs="Arial"/>
        </w:rPr>
        <w:t xml:space="preserve">Usted formula la siguiente consulta: </w:t>
      </w:r>
      <w:r w:rsidRPr="00D47C6A">
        <w:rPr>
          <w:rFonts w:ascii="Arial" w:eastAsia="Arial" w:hAnsi="Arial" w:cs="Arial"/>
          <w:lang w:val="es-ES" w:eastAsia="es-ES" w:bidi="es-ES"/>
        </w:rPr>
        <w:t>«</w:t>
      </w:r>
      <w:r w:rsidRPr="00D47C6A">
        <w:rPr>
          <w:rFonts w:ascii="Arial" w:hAnsi="Arial" w:cs="Arial"/>
        </w:rPr>
        <w:t>En consideración que a diferencia de la selección abreviada de menor cuantía (artículo 2.2.1.2.1.2.20 del Decreto 1082 de 2015) entre otras modalidades, la selección abreviada de subasta inversa no tiene señalado un plazo mínimo de traslado del informe de evaluación de las ofertas, se hace la siguiente consulta ¿una entidad pública podría señalar en una subasta inversa un traslado de evaluación de ofertas por un día hábil?</w:t>
      </w:r>
      <w:r w:rsidRPr="00D47C6A">
        <w:rPr>
          <w:rFonts w:ascii="Arial" w:eastAsia="Arial" w:hAnsi="Arial" w:cs="Arial"/>
        </w:rPr>
        <w:t>»</w:t>
      </w:r>
      <w:r>
        <w:rPr>
          <w:rFonts w:ascii="Arial" w:eastAsia="Arial" w:hAnsi="Arial" w:cs="Arial"/>
        </w:rPr>
        <w:t>.</w:t>
      </w:r>
      <w:r w:rsidRPr="00D47C6A">
        <w:rPr>
          <w:rFonts w:ascii="Arial" w:eastAsia="Arial" w:hAnsi="Arial" w:cs="Arial"/>
          <w:lang w:val="es-ES" w:eastAsia="es-ES" w:bidi="es-ES"/>
        </w:rPr>
        <w:t xml:space="preserve"> </w:t>
      </w:r>
    </w:p>
    <w:p w14:paraId="5D9B95FA" w14:textId="77777777" w:rsidR="00895D6F" w:rsidRPr="00D47C6A" w:rsidRDefault="00895D6F" w:rsidP="00895D6F">
      <w:pPr>
        <w:spacing w:after="0" w:line="276" w:lineRule="auto"/>
        <w:ind w:right="709"/>
        <w:contextualSpacing/>
        <w:jc w:val="both"/>
        <w:rPr>
          <w:rFonts w:ascii="Arial" w:eastAsia="Times New Roman" w:hAnsi="Arial" w:cs="Arial"/>
          <w:lang w:eastAsia="es-ES_tradnl"/>
        </w:rPr>
      </w:pPr>
    </w:p>
    <w:p w14:paraId="34D58897" w14:textId="77777777" w:rsidR="00895D6F" w:rsidRPr="00D47C6A" w:rsidRDefault="00895D6F" w:rsidP="00895D6F">
      <w:pPr>
        <w:numPr>
          <w:ilvl w:val="0"/>
          <w:numId w:val="1"/>
        </w:numPr>
        <w:tabs>
          <w:tab w:val="left" w:pos="0"/>
          <w:tab w:val="left" w:pos="284"/>
        </w:tabs>
        <w:spacing w:after="0" w:line="276" w:lineRule="auto"/>
        <w:contextualSpacing/>
        <w:jc w:val="both"/>
        <w:rPr>
          <w:rFonts w:ascii="Arial" w:eastAsia="Calibri" w:hAnsi="Arial" w:cs="Arial"/>
          <w:b/>
          <w:lang w:val="es-ES_tradnl"/>
        </w:rPr>
      </w:pPr>
      <w:r w:rsidRPr="00D47C6A">
        <w:rPr>
          <w:rFonts w:ascii="Arial" w:eastAsia="Calibri" w:hAnsi="Arial" w:cs="Arial"/>
          <w:b/>
          <w:lang w:val="es-ES_tradnl"/>
        </w:rPr>
        <w:t>Consideraciones</w:t>
      </w:r>
    </w:p>
    <w:p w14:paraId="7EE5CA7D" w14:textId="77777777" w:rsidR="00895D6F" w:rsidRPr="00D47C6A" w:rsidRDefault="00895D6F" w:rsidP="00895D6F">
      <w:pPr>
        <w:tabs>
          <w:tab w:val="left" w:pos="0"/>
          <w:tab w:val="left" w:pos="284"/>
        </w:tabs>
        <w:spacing w:after="0" w:line="276" w:lineRule="auto"/>
        <w:ind w:left="360"/>
        <w:contextualSpacing/>
        <w:jc w:val="both"/>
        <w:rPr>
          <w:rFonts w:ascii="Arial" w:eastAsia="Calibri" w:hAnsi="Arial" w:cs="Arial"/>
          <w:b/>
          <w:lang w:val="es-ES_tradnl"/>
        </w:rPr>
      </w:pPr>
    </w:p>
    <w:p w14:paraId="5096221C" w14:textId="77777777" w:rsidR="00895D6F" w:rsidRPr="00D47C6A" w:rsidRDefault="00895D6F" w:rsidP="00895D6F">
      <w:pPr>
        <w:spacing w:after="120" w:line="276" w:lineRule="auto"/>
        <w:jc w:val="both"/>
        <w:rPr>
          <w:rFonts w:ascii="Arial" w:eastAsia="Calibri" w:hAnsi="Arial" w:cs="Arial"/>
          <w:lang w:val="es-ES_tradnl"/>
        </w:rPr>
      </w:pPr>
      <w:r w:rsidRPr="00D47C6A">
        <w:rPr>
          <w:rFonts w:ascii="Arial" w:eastAsia="Arial" w:hAnsi="Arial" w:cs="Arial"/>
          <w:lang w:val="es-MX" w:eastAsia="es-ES_tradnl"/>
        </w:rPr>
        <w:t xml:space="preserve">En ejercicio de las competencias establecidas en los numerales 5 del artículo 3 y el numeral 8 del artículo 11 del Decreto Ley 4170 de 2011, la Agencia Nacional de Contratación Pública – Colombia Compra Eficiente resuelve las consultas sobre los asuntos de su competencia, </w:t>
      </w:r>
      <w:r w:rsidRPr="00D47C6A">
        <w:rPr>
          <w:rFonts w:ascii="Arial" w:eastAsia="Arial" w:hAnsi="Arial" w:cs="Arial"/>
          <w:lang w:val="es-MX" w:eastAsia="es-ES_tradnl"/>
        </w:rPr>
        <w:lastRenderedPageBreak/>
        <w:t>esto es, sobre las temáticas de la contratación estatal y compras públicas relacionadas en los artículos citados</w:t>
      </w:r>
      <w:r w:rsidRPr="00D47C6A">
        <w:rPr>
          <w:rFonts w:ascii="Arial" w:eastAsia="Arial" w:hAnsi="Arial" w:cs="Arial"/>
          <w:vertAlign w:val="superscript"/>
          <w:lang w:val="es-MX" w:eastAsia="es-ES_tradnl"/>
        </w:rPr>
        <w:footnoteReference w:id="1"/>
      </w:r>
      <w:r w:rsidRPr="00D47C6A">
        <w:rPr>
          <w:rFonts w:ascii="Arial" w:eastAsia="Arial" w:hAnsi="Arial" w:cs="Arial"/>
          <w:lang w:val="es-MX" w:eastAsia="es-ES_tradnl"/>
        </w:rPr>
        <w:t xml:space="preserve">. </w:t>
      </w:r>
      <w:r w:rsidRPr="00D47C6A">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w:t>
      </w:r>
    </w:p>
    <w:p w14:paraId="2AA75A06" w14:textId="77777777" w:rsidR="00895D6F" w:rsidRPr="00D47C6A" w:rsidRDefault="00895D6F" w:rsidP="00895D6F">
      <w:pPr>
        <w:spacing w:after="120" w:line="276" w:lineRule="auto"/>
        <w:ind w:firstLine="705"/>
        <w:jc w:val="both"/>
        <w:textAlignment w:val="baseline"/>
        <w:rPr>
          <w:rFonts w:ascii="Arial" w:eastAsia="Times New Roman" w:hAnsi="Arial" w:cs="Arial"/>
          <w:lang w:eastAsia="es-CO"/>
        </w:rPr>
      </w:pPr>
      <w:r w:rsidRPr="00D47C6A">
        <w:rPr>
          <w:rFonts w:ascii="Arial" w:eastAsia="Times New Roman" w:hAnsi="Arial" w:cs="Arial"/>
          <w:lang w:val="es-ES" w:eastAsia="es-CO"/>
        </w:rPr>
        <w:t>En ese sentido, resolver casos particulares desborda las atribuciones asignadas por el legislador extraordinario, que no concibió a esta Agencia como una autoridad para solucionar problemas jurídicos particulares de todos los partícipes de la contratación estatal.</w:t>
      </w:r>
      <w:r w:rsidRPr="00D47C6A">
        <w:rPr>
          <w:rFonts w:ascii="Arial" w:eastAsia="Times New Roman" w:hAnsi="Arial" w:cs="Arial"/>
          <w:lang w:eastAsia="es-CO"/>
        </w:rPr>
        <w:t> </w:t>
      </w:r>
    </w:p>
    <w:p w14:paraId="71356773" w14:textId="77777777" w:rsidR="00895D6F" w:rsidRPr="00D47C6A" w:rsidRDefault="00895D6F" w:rsidP="00895D6F">
      <w:pPr>
        <w:spacing w:after="120" w:line="276" w:lineRule="auto"/>
        <w:ind w:firstLine="705"/>
        <w:jc w:val="both"/>
        <w:textAlignment w:val="baseline"/>
        <w:rPr>
          <w:rFonts w:ascii="Arial" w:eastAsia="Times New Roman" w:hAnsi="Arial" w:cs="Arial"/>
          <w:lang w:eastAsia="es-CO"/>
        </w:rPr>
      </w:pPr>
      <w:r w:rsidRPr="00D47C6A">
        <w:rPr>
          <w:rFonts w:ascii="Arial" w:eastAsia="Times New Roman" w:hAnsi="Arial" w:cs="Arial"/>
          <w:lang w:val="es-ES" w:eastAsia="es-CO"/>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47C6A">
        <w:rPr>
          <w:rFonts w:ascii="Arial" w:eastAsia="Times New Roman" w:hAnsi="Arial" w:cs="Arial"/>
          <w:lang w:eastAsia="es-CO"/>
        </w:rPr>
        <w:t> </w:t>
      </w:r>
    </w:p>
    <w:p w14:paraId="28CEADBA" w14:textId="77777777" w:rsidR="00895D6F" w:rsidRPr="00D47C6A" w:rsidRDefault="00895D6F" w:rsidP="00895D6F">
      <w:pPr>
        <w:spacing w:after="120" w:line="276" w:lineRule="auto"/>
        <w:ind w:firstLine="703"/>
        <w:jc w:val="both"/>
        <w:rPr>
          <w:rFonts w:ascii="Arial" w:eastAsia="Calibri" w:hAnsi="Arial" w:cs="Arial"/>
          <w:lang w:val="es-ES_tradnl"/>
        </w:rPr>
      </w:pPr>
      <w:r w:rsidRPr="00D47C6A">
        <w:rPr>
          <w:rFonts w:ascii="Arial" w:eastAsia="Calibri" w:hAnsi="Arial" w:cs="Arial"/>
          <w:shd w:val="clear" w:color="auto" w:fill="FFFFFF"/>
        </w:rPr>
        <w:t xml:space="preserve">Así las cosas, </w:t>
      </w:r>
      <w:r w:rsidRPr="00D47C6A">
        <w:rPr>
          <w:rFonts w:ascii="Arial" w:eastAsia="Calibri" w:hAnsi="Arial" w:cs="Arial"/>
          <w:shd w:val="clear" w:color="auto" w:fill="FFFFFF"/>
          <w:lang w:val="es-ES"/>
        </w:rPr>
        <w:t xml:space="preserve">la Agencia –dentro de los límites de sus atribuciones–, resolverá la consulta conforme a las normas generales en materia de contratación estatal. </w:t>
      </w:r>
      <w:r w:rsidRPr="00D47C6A">
        <w:rPr>
          <w:rFonts w:ascii="Arial" w:eastAsia="Calibri" w:hAnsi="Arial" w:cs="Arial"/>
          <w:shd w:val="clear" w:color="auto" w:fill="FFFFFF"/>
          <w:lang w:val="es-MX"/>
        </w:rPr>
        <w:t xml:space="preserve">Para responder los interrogantes se realizarán algunas consideraciones en torno a los siguientes temas: i) Fundamento normativo de la modalidad de selección abreviada: Análisis del numeral 2° del artículo 2 de la Ley 1150 de 2007; </w:t>
      </w:r>
      <w:proofErr w:type="spellStart"/>
      <w:r w:rsidRPr="00D47C6A">
        <w:rPr>
          <w:rFonts w:ascii="Arial" w:eastAsia="Calibri" w:hAnsi="Arial" w:cs="Arial"/>
          <w:shd w:val="clear" w:color="auto" w:fill="FFFFFF"/>
          <w:lang w:val="es-MX"/>
        </w:rPr>
        <w:t>ii</w:t>
      </w:r>
      <w:proofErr w:type="spellEnd"/>
      <w:r w:rsidRPr="00D47C6A">
        <w:rPr>
          <w:rFonts w:ascii="Arial" w:eastAsia="Calibri" w:hAnsi="Arial" w:cs="Arial"/>
          <w:shd w:val="clear" w:color="auto" w:fill="FFFFFF"/>
          <w:lang w:val="es-MX"/>
        </w:rPr>
        <w:t>) p</w:t>
      </w:r>
      <w:proofErr w:type="spellStart"/>
      <w:r w:rsidRPr="00D47C6A">
        <w:rPr>
          <w:rFonts w:ascii="Arial" w:eastAsia="Calibri" w:hAnsi="Arial" w:cs="Arial"/>
        </w:rPr>
        <w:t>rocedencia</w:t>
      </w:r>
      <w:proofErr w:type="spellEnd"/>
      <w:r w:rsidRPr="00D47C6A">
        <w:rPr>
          <w:rFonts w:ascii="Arial" w:eastAsia="Calibri" w:hAnsi="Arial" w:cs="Arial"/>
        </w:rPr>
        <w:t xml:space="preserve"> de la </w:t>
      </w:r>
      <w:r w:rsidRPr="00D47C6A">
        <w:rPr>
          <w:rFonts w:ascii="Arial" w:eastAsia="Calibri" w:hAnsi="Arial" w:cs="Arial"/>
          <w:lang w:val="es-ES_tradnl"/>
        </w:rPr>
        <w:t xml:space="preserve">modalidad de Selección Abreviada por la causal de menor cuantía </w:t>
      </w:r>
      <w:r w:rsidRPr="00D47C6A">
        <w:rPr>
          <w:rFonts w:ascii="Arial" w:eastAsia="Calibri" w:hAnsi="Arial" w:cs="Arial"/>
          <w:shd w:val="clear" w:color="auto" w:fill="FFFFFF"/>
          <w:lang w:val="es-MX"/>
        </w:rPr>
        <w:t>y; ii) procedencia de la selección abreviada por subasta inversa para la adquisición de bienes y servicios de características técnicas uniformes.</w:t>
      </w:r>
      <w:r w:rsidRPr="00D47C6A">
        <w:rPr>
          <w:rFonts w:ascii="Arial" w:eastAsia="Calibri" w:hAnsi="Arial" w:cs="Arial"/>
          <w:shd w:val="clear" w:color="auto" w:fill="FFFFFF"/>
        </w:rPr>
        <w:t> </w:t>
      </w:r>
    </w:p>
    <w:p w14:paraId="1BEB714B" w14:textId="77777777" w:rsidR="00895D6F" w:rsidRPr="00D47C6A" w:rsidRDefault="00895D6F" w:rsidP="00895D6F">
      <w:pPr>
        <w:spacing w:after="0" w:line="276" w:lineRule="auto"/>
        <w:ind w:firstLine="703"/>
        <w:contextualSpacing/>
        <w:jc w:val="both"/>
        <w:textAlignment w:val="baseline"/>
        <w:rPr>
          <w:rFonts w:ascii="Arial" w:eastAsia="Calibri" w:hAnsi="Arial" w:cs="Arial"/>
          <w:bdr w:val="none" w:sz="0" w:space="0" w:color="auto" w:frame="1"/>
        </w:rPr>
      </w:pPr>
      <w:r w:rsidRPr="00D47C6A">
        <w:rPr>
          <w:rFonts w:ascii="Arial" w:eastAsia="Times New Roman" w:hAnsi="Arial" w:cs="Arial"/>
          <w:shd w:val="clear" w:color="auto" w:fill="FFFFFF"/>
          <w:lang w:eastAsia="es-CO"/>
        </w:rPr>
        <w:t>La Agencia Nacional de Contratación Pública – Colombia Compra Eficiente, en los conceptos 4201913000004928 del 20 de agosto de 2019, 4201912000004846 del 3 de septiembre de 2019, en el C-008 del 14 de mayo de 2020 y en el C-024 del 24 de febrero de 2021, C-123 de 5 de abril de 2021, C-568 del 11 de octubre de 2021, C-850 del 16 de diciembre de 2022 y el C-905 del 28 de diciembre de 2022. Las</w:t>
      </w:r>
      <w:r w:rsidRPr="00D47C6A">
        <w:rPr>
          <w:rFonts w:ascii="Arial" w:eastAsia="Times New Roman" w:hAnsi="Arial" w:cs="Arial"/>
          <w:bdr w:val="none" w:sz="0" w:space="0" w:color="auto" w:frame="1"/>
          <w:lang w:eastAsia="es-CO"/>
        </w:rPr>
        <w:t xml:space="preserve"> tesis planteadas en dichos conceptos se reiteran a continuación y se complementan en lo pertinente</w:t>
      </w:r>
      <w:r w:rsidRPr="00D47C6A">
        <w:rPr>
          <w:rFonts w:ascii="Arial" w:eastAsia="Calibri" w:hAnsi="Arial" w:cs="Arial"/>
          <w:vertAlign w:val="superscript"/>
          <w:lang w:eastAsia="es-CO"/>
        </w:rPr>
        <w:footnoteReference w:id="2"/>
      </w:r>
      <w:r w:rsidRPr="00D47C6A">
        <w:rPr>
          <w:rFonts w:ascii="Arial" w:eastAsia="Times New Roman" w:hAnsi="Arial" w:cs="Arial"/>
          <w:bdr w:val="none" w:sz="0" w:space="0" w:color="auto" w:frame="1"/>
          <w:lang w:eastAsia="es-CO"/>
        </w:rPr>
        <w:t>.</w:t>
      </w:r>
    </w:p>
    <w:p w14:paraId="326610FB" w14:textId="77777777" w:rsidR="00895D6F" w:rsidRPr="00D47C6A" w:rsidRDefault="00895D6F" w:rsidP="00895D6F">
      <w:pPr>
        <w:spacing w:after="0" w:line="240" w:lineRule="auto"/>
        <w:ind w:firstLine="703"/>
        <w:contextualSpacing/>
        <w:jc w:val="both"/>
        <w:textAlignment w:val="baseline"/>
        <w:rPr>
          <w:rFonts w:ascii="Arial" w:eastAsia="Times New Roman" w:hAnsi="Arial" w:cs="Arial"/>
          <w:lang w:eastAsia="es-CO"/>
        </w:rPr>
      </w:pPr>
    </w:p>
    <w:p w14:paraId="10A632A5" w14:textId="77777777" w:rsidR="00895D6F" w:rsidRPr="00D47C6A" w:rsidRDefault="00895D6F" w:rsidP="00895D6F">
      <w:pPr>
        <w:spacing w:after="0" w:line="240" w:lineRule="auto"/>
        <w:contextualSpacing/>
        <w:jc w:val="both"/>
        <w:rPr>
          <w:rFonts w:ascii="Arial" w:eastAsia="Calibri" w:hAnsi="Arial" w:cs="Arial"/>
          <w:b/>
          <w:bCs/>
          <w:lang w:val="es-ES_tradnl"/>
        </w:rPr>
      </w:pPr>
      <w:r w:rsidRPr="00D47C6A">
        <w:rPr>
          <w:rFonts w:ascii="Arial" w:eastAsia="Calibri" w:hAnsi="Arial" w:cs="Arial"/>
          <w:b/>
          <w:bCs/>
          <w:lang w:val="es-ES_tradnl"/>
        </w:rPr>
        <w:t xml:space="preserve">2.1. Fundamento normativo de la modalidad </w:t>
      </w:r>
      <w:r>
        <w:rPr>
          <w:rFonts w:ascii="Arial" w:eastAsia="Calibri" w:hAnsi="Arial" w:cs="Arial"/>
          <w:b/>
          <w:bCs/>
          <w:lang w:val="es-ES_tradnl"/>
        </w:rPr>
        <w:t>s</w:t>
      </w:r>
      <w:r w:rsidRPr="00D47C6A">
        <w:rPr>
          <w:rFonts w:ascii="Arial" w:eastAsia="Calibri" w:hAnsi="Arial" w:cs="Arial"/>
          <w:b/>
          <w:bCs/>
          <w:lang w:val="es-ES_tradnl"/>
        </w:rPr>
        <w:t>elección abreviada</w:t>
      </w:r>
    </w:p>
    <w:p w14:paraId="52F1A607" w14:textId="77777777" w:rsidR="00895D6F" w:rsidRPr="00D47C6A" w:rsidRDefault="00895D6F" w:rsidP="00895D6F">
      <w:pPr>
        <w:spacing w:after="0" w:line="240" w:lineRule="auto"/>
        <w:ind w:left="374"/>
        <w:contextualSpacing/>
        <w:rPr>
          <w:rFonts w:ascii="Arial" w:eastAsia="Calibri" w:hAnsi="Arial" w:cs="Arial"/>
          <w:b/>
          <w:bCs/>
          <w:lang w:val="es-ES_tradnl"/>
        </w:rPr>
      </w:pPr>
    </w:p>
    <w:p w14:paraId="1B7B3C54" w14:textId="77777777" w:rsidR="00895D6F" w:rsidRPr="00D47C6A" w:rsidRDefault="00895D6F" w:rsidP="00895D6F">
      <w:pPr>
        <w:spacing w:after="120" w:line="276" w:lineRule="auto"/>
        <w:jc w:val="both"/>
        <w:textAlignment w:val="baseline"/>
        <w:rPr>
          <w:rFonts w:ascii="Arial" w:eastAsia="Times New Roman" w:hAnsi="Arial" w:cs="Arial"/>
          <w:lang w:eastAsia="es-CO"/>
        </w:rPr>
      </w:pPr>
      <w:r w:rsidRPr="00D47C6A">
        <w:rPr>
          <w:rFonts w:ascii="Arial" w:eastAsia="Times New Roman" w:hAnsi="Arial" w:cs="Arial"/>
          <w:lang w:val="es-ES" w:eastAsia="es-CO"/>
        </w:rPr>
        <w:t xml:space="preserve">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estructuran procedimientos de </w:t>
      </w:r>
      <w:r w:rsidRPr="00D47C6A">
        <w:rPr>
          <w:rFonts w:ascii="Arial" w:eastAsia="Times New Roman" w:hAnsi="Arial" w:cs="Arial"/>
          <w:lang w:val="es-ES" w:eastAsia="es-CO"/>
        </w:rPr>
        <w:lastRenderedPageBreak/>
        <w:t>contratación previamente definidos por la ley, consultando las normas que los rigen para determinar la forma que el ordenamiento prevé para adelantarlos. En esta medida, conforme al artículo 29 de la Constitución Política, los procedimientos de selección son una manifestación de la legalidad de las formas de cada proceso en sede administrativa</w:t>
      </w:r>
      <w:r w:rsidRPr="00D47C6A">
        <w:rPr>
          <w:rFonts w:ascii="Arial" w:eastAsia="Times New Roman" w:hAnsi="Arial" w:cs="Arial"/>
          <w:vertAlign w:val="superscript"/>
          <w:lang w:val="es-ES" w:eastAsia="es-CO"/>
        </w:rPr>
        <w:footnoteReference w:id="3"/>
      </w:r>
      <w:r w:rsidRPr="00D47C6A">
        <w:rPr>
          <w:rFonts w:ascii="Arial" w:eastAsia="Times New Roman" w:hAnsi="Arial" w:cs="Arial"/>
          <w:lang w:val="es-ES" w:eastAsia="es-CO"/>
        </w:rPr>
        <w:t>.</w:t>
      </w:r>
      <w:r w:rsidRPr="00D47C6A">
        <w:rPr>
          <w:rFonts w:ascii="Arial" w:eastAsia="Times New Roman" w:hAnsi="Arial" w:cs="Arial"/>
          <w:lang w:eastAsia="es-CO"/>
        </w:rPr>
        <w:t> </w:t>
      </w:r>
    </w:p>
    <w:p w14:paraId="61C61790" w14:textId="77777777" w:rsidR="00895D6F" w:rsidRPr="00D47C6A" w:rsidRDefault="00895D6F" w:rsidP="00895D6F">
      <w:pPr>
        <w:spacing w:after="120" w:line="276" w:lineRule="auto"/>
        <w:ind w:firstLine="705"/>
        <w:jc w:val="both"/>
        <w:textAlignment w:val="baseline"/>
        <w:rPr>
          <w:rFonts w:ascii="Arial" w:eastAsia="Times New Roman" w:hAnsi="Arial" w:cs="Arial"/>
          <w:lang w:eastAsia="es-CO"/>
        </w:rPr>
      </w:pPr>
      <w:r w:rsidRPr="00D47C6A">
        <w:rPr>
          <w:rFonts w:ascii="Arial" w:eastAsia="Times New Roman" w:hAnsi="Arial" w:cs="Arial"/>
          <w:lang w:val="es-ES" w:eastAsia="es-CO"/>
        </w:rPr>
        <w:t xml:space="preserve">El legislador estableció un modelo dual de modalidades y procedimientos de selección. En efecto, en el artículo 2 de la Ley 1150 de 2007 se regulan las modalidades de licitación pública, selección abreviada, concurso de méritos, contratación directa y contratación de mínima cuantía. Cada procedimiento establecido dentro de estas modalidades consta de </w:t>
      </w:r>
      <w:r w:rsidRPr="00D47C6A">
        <w:rPr>
          <w:rFonts w:ascii="Arial" w:eastAsia="Times New Roman" w:hAnsi="Arial" w:cs="Arial"/>
          <w:lang w:eastAsia="es-CO"/>
        </w:rPr>
        <w:t xml:space="preserve">etapas para la adquisición de obras, bienes y servicios, por lo que cada entidad es responsable de estructurarlos, siempre que respete el principio de legalidad. </w:t>
      </w:r>
    </w:p>
    <w:p w14:paraId="0782E03C" w14:textId="77777777" w:rsidR="00895D6F" w:rsidRPr="00D47C6A" w:rsidRDefault="00895D6F" w:rsidP="00895D6F">
      <w:pPr>
        <w:spacing w:after="0" w:line="276" w:lineRule="auto"/>
        <w:ind w:firstLine="703"/>
        <w:jc w:val="both"/>
        <w:textAlignment w:val="baseline"/>
        <w:rPr>
          <w:rFonts w:ascii="Arial" w:eastAsia="Times New Roman" w:hAnsi="Arial" w:cs="Arial"/>
          <w:lang w:eastAsia="es-CO"/>
        </w:rPr>
      </w:pPr>
      <w:r w:rsidRPr="00D47C6A">
        <w:rPr>
          <w:rFonts w:ascii="Arial" w:eastAsia="Times New Roman" w:hAnsi="Arial" w:cs="Arial"/>
          <w:lang w:eastAsia="es-CO"/>
        </w:rPr>
        <w:t>Respecto de la selección abreviada, el numeral 2° del artículo 2 de Ley 1150 de 2007 la define en los siguientes términos: </w:t>
      </w:r>
    </w:p>
    <w:p w14:paraId="42E10702" w14:textId="77777777" w:rsidR="00895D6F" w:rsidRPr="00D47C6A" w:rsidRDefault="00895D6F" w:rsidP="00895D6F">
      <w:pPr>
        <w:spacing w:after="0" w:line="240" w:lineRule="auto"/>
        <w:ind w:firstLine="703"/>
        <w:contextualSpacing/>
        <w:jc w:val="both"/>
        <w:textAlignment w:val="baseline"/>
        <w:rPr>
          <w:rFonts w:ascii="Arial" w:eastAsia="Times New Roman" w:hAnsi="Arial" w:cs="Arial"/>
          <w:lang w:eastAsia="es-CO"/>
        </w:rPr>
      </w:pPr>
      <w:r w:rsidRPr="00D47C6A">
        <w:rPr>
          <w:rFonts w:ascii="Arial" w:eastAsia="Times New Roman" w:hAnsi="Arial" w:cs="Arial"/>
          <w:lang w:eastAsia="es-CO"/>
        </w:rPr>
        <w:t> </w:t>
      </w:r>
    </w:p>
    <w:p w14:paraId="4DD6ADD2" w14:textId="77777777" w:rsidR="00895D6F" w:rsidRPr="000E622A" w:rsidRDefault="00895D6F" w:rsidP="00895D6F">
      <w:pPr>
        <w:spacing w:after="0" w:line="240" w:lineRule="auto"/>
        <w:ind w:left="709" w:right="709"/>
        <w:contextualSpacing/>
        <w:jc w:val="both"/>
        <w:textAlignment w:val="baseline"/>
        <w:rPr>
          <w:rFonts w:ascii="Arial" w:eastAsia="Times New Roman" w:hAnsi="Arial" w:cs="Arial"/>
          <w:sz w:val="21"/>
          <w:szCs w:val="21"/>
          <w:lang w:eastAsia="es-CO"/>
        </w:rPr>
      </w:pPr>
      <w:r w:rsidRPr="000E622A">
        <w:rPr>
          <w:rFonts w:ascii="Arial" w:eastAsia="Times New Roman" w:hAnsi="Arial" w:cs="Arial"/>
          <w:sz w:val="21"/>
          <w:szCs w:val="21"/>
          <w:shd w:val="clear" w:color="auto" w:fill="FFFFFF"/>
          <w:lang w:eastAsia="es-CO"/>
        </w:rPr>
        <w:t>«</w:t>
      </w:r>
      <w:r w:rsidRPr="000E622A">
        <w:rPr>
          <w:rFonts w:ascii="Arial" w:eastAsia="Times New Roman" w:hAnsi="Arial" w:cs="Arial"/>
          <w:sz w:val="21"/>
          <w:szCs w:val="21"/>
          <w:lang w:eastAsia="es-CO"/>
        </w:rPr>
        <w:t xml:space="preserve">2. Selección abreviada. La Selección abreviada corresponde a la modalidad de selección objetiva prevista para aquellos casos en </w:t>
      </w:r>
      <w:proofErr w:type="gramStart"/>
      <w:r w:rsidRPr="000E622A">
        <w:rPr>
          <w:rFonts w:ascii="Arial" w:eastAsia="Times New Roman" w:hAnsi="Arial" w:cs="Arial"/>
          <w:sz w:val="21"/>
          <w:szCs w:val="21"/>
          <w:lang w:eastAsia="es-CO"/>
        </w:rPr>
        <w:t>que</w:t>
      </w:r>
      <w:proofErr w:type="gramEnd"/>
      <w:r w:rsidRPr="000E622A">
        <w:rPr>
          <w:rFonts w:ascii="Arial" w:eastAsia="Times New Roman" w:hAnsi="Arial" w:cs="Arial"/>
          <w:sz w:val="21"/>
          <w:szCs w:val="21"/>
          <w:lang w:eastAsia="es-CO"/>
        </w:rPr>
        <w:t xml:space="preserve"> por las características del objeto a contratar, las circunstancias de la contratación o la cuantía o destinación del bien, obra o servicio, puedan adelantarse procesos simplificados para garantizar la eficiencia de la gestión contractual. </w:t>
      </w:r>
    </w:p>
    <w:p w14:paraId="3FD71FD0" w14:textId="77777777" w:rsidR="00895D6F" w:rsidRPr="000E622A" w:rsidRDefault="00895D6F" w:rsidP="00895D6F">
      <w:pPr>
        <w:spacing w:after="0" w:line="240" w:lineRule="auto"/>
        <w:ind w:left="709" w:right="709"/>
        <w:contextualSpacing/>
        <w:jc w:val="both"/>
        <w:textAlignment w:val="baseline"/>
        <w:rPr>
          <w:rFonts w:ascii="Arial" w:eastAsia="Times New Roman" w:hAnsi="Arial" w:cs="Arial"/>
          <w:sz w:val="21"/>
          <w:szCs w:val="21"/>
          <w:lang w:eastAsia="es-CO"/>
        </w:rPr>
      </w:pPr>
    </w:p>
    <w:p w14:paraId="3AEC5630" w14:textId="77777777" w:rsidR="00895D6F" w:rsidRPr="000E622A" w:rsidRDefault="00895D6F" w:rsidP="00895D6F">
      <w:pPr>
        <w:spacing w:after="0" w:line="240" w:lineRule="auto"/>
        <w:ind w:left="709" w:right="709"/>
        <w:contextualSpacing/>
        <w:jc w:val="both"/>
        <w:textAlignment w:val="baseline"/>
        <w:rPr>
          <w:rFonts w:ascii="Arial" w:eastAsia="Times New Roman" w:hAnsi="Arial" w:cs="Arial"/>
          <w:sz w:val="21"/>
          <w:szCs w:val="21"/>
          <w:lang w:eastAsia="es-CO"/>
        </w:rPr>
      </w:pPr>
      <w:r w:rsidRPr="000E622A">
        <w:rPr>
          <w:rFonts w:ascii="Arial" w:eastAsia="Times New Roman" w:hAnsi="Arial" w:cs="Arial"/>
          <w:sz w:val="21"/>
          <w:szCs w:val="21"/>
          <w:lang w:eastAsia="es-CO"/>
        </w:rPr>
        <w:t>El Gobierno Nacional reglamentará la materia.  </w:t>
      </w:r>
    </w:p>
    <w:p w14:paraId="17B3514C" w14:textId="77777777" w:rsidR="00895D6F" w:rsidRPr="000E622A" w:rsidRDefault="00895D6F" w:rsidP="00895D6F">
      <w:pPr>
        <w:spacing w:after="0" w:line="240" w:lineRule="auto"/>
        <w:ind w:left="709" w:right="709"/>
        <w:contextualSpacing/>
        <w:jc w:val="both"/>
        <w:textAlignment w:val="baseline"/>
        <w:rPr>
          <w:rFonts w:ascii="Arial" w:eastAsia="Times New Roman" w:hAnsi="Arial" w:cs="Arial"/>
          <w:sz w:val="21"/>
          <w:szCs w:val="21"/>
          <w:lang w:eastAsia="es-CO"/>
        </w:rPr>
      </w:pPr>
    </w:p>
    <w:p w14:paraId="55428CA0" w14:textId="77777777" w:rsidR="00895D6F" w:rsidRPr="000E622A" w:rsidRDefault="00895D6F" w:rsidP="00895D6F">
      <w:pPr>
        <w:spacing w:after="0" w:line="240" w:lineRule="auto"/>
        <w:ind w:left="709" w:right="709"/>
        <w:contextualSpacing/>
        <w:jc w:val="both"/>
        <w:textAlignment w:val="baseline"/>
        <w:rPr>
          <w:rFonts w:ascii="Arial" w:eastAsia="Times New Roman" w:hAnsi="Arial" w:cs="Arial"/>
          <w:sz w:val="21"/>
          <w:szCs w:val="21"/>
          <w:lang w:eastAsia="es-CO"/>
        </w:rPr>
      </w:pPr>
      <w:r w:rsidRPr="000E622A">
        <w:rPr>
          <w:rFonts w:ascii="Arial" w:eastAsia="Times New Roman" w:hAnsi="Arial" w:cs="Arial"/>
          <w:sz w:val="21"/>
          <w:szCs w:val="21"/>
          <w:lang w:eastAsia="es-CO"/>
        </w:rPr>
        <w:t>[...]</w:t>
      </w:r>
      <w:r w:rsidRPr="000E622A">
        <w:rPr>
          <w:rFonts w:ascii="Arial" w:eastAsia="Times New Roman" w:hAnsi="Arial" w:cs="Arial"/>
          <w:sz w:val="21"/>
          <w:szCs w:val="21"/>
          <w:shd w:val="clear" w:color="auto" w:fill="FFFFFF"/>
          <w:lang w:eastAsia="es-CO"/>
        </w:rPr>
        <w:t>».</w:t>
      </w:r>
    </w:p>
    <w:p w14:paraId="7519C2EB" w14:textId="77777777" w:rsidR="00895D6F" w:rsidRPr="00D47C6A" w:rsidRDefault="00895D6F" w:rsidP="00895D6F">
      <w:pPr>
        <w:spacing w:after="0" w:line="240" w:lineRule="auto"/>
        <w:ind w:left="703" w:right="675"/>
        <w:contextualSpacing/>
        <w:jc w:val="both"/>
        <w:textAlignment w:val="baseline"/>
        <w:rPr>
          <w:rFonts w:ascii="Arial" w:eastAsia="Times New Roman" w:hAnsi="Arial" w:cs="Arial"/>
          <w:lang w:eastAsia="es-CO"/>
        </w:rPr>
      </w:pPr>
    </w:p>
    <w:p w14:paraId="7857A7AE" w14:textId="77777777" w:rsidR="00895D6F" w:rsidRPr="00D47C6A" w:rsidRDefault="00895D6F" w:rsidP="00895D6F">
      <w:pPr>
        <w:spacing w:after="120" w:line="276" w:lineRule="auto"/>
        <w:ind w:firstLine="703"/>
        <w:jc w:val="both"/>
        <w:textAlignment w:val="baseline"/>
        <w:rPr>
          <w:rFonts w:ascii="Arial" w:eastAsia="Times New Roman" w:hAnsi="Arial" w:cs="Arial"/>
          <w:shd w:val="clear" w:color="auto" w:fill="FFFFFF"/>
          <w:lang w:eastAsia="es-CO"/>
        </w:rPr>
      </w:pPr>
      <w:r w:rsidRPr="00D47C6A">
        <w:rPr>
          <w:rFonts w:ascii="Arial" w:eastAsia="Times New Roman" w:hAnsi="Arial" w:cs="Arial"/>
          <w:shd w:val="clear" w:color="auto" w:fill="FFFFFF"/>
          <w:lang w:eastAsia="es-CO"/>
        </w:rPr>
        <w:t xml:space="preserve">Nótese que, de la transcripción literal de la norma, el legislador divide de forma disyuntiva los supuestos bajo los cuales se configura la eventual utilización de esta modalidad de selección, bien sea </w:t>
      </w:r>
      <w:r w:rsidRPr="00D47C6A">
        <w:rPr>
          <w:rFonts w:ascii="Arial" w:eastAsia="Times New Roman" w:hAnsi="Arial" w:cs="Arial"/>
          <w:lang w:eastAsia="es-CO"/>
        </w:rPr>
        <w:t>por las características del objeto a contratar, las circunstancias de la contratación o la cuantía o destinación del bien, obra o servicio.</w:t>
      </w:r>
      <w:r w:rsidRPr="00D47C6A">
        <w:rPr>
          <w:rFonts w:ascii="Arial" w:eastAsia="Times New Roman" w:hAnsi="Arial" w:cs="Arial"/>
          <w:shd w:val="clear" w:color="auto" w:fill="FFFFFF"/>
          <w:lang w:eastAsia="es-CO"/>
        </w:rPr>
        <w:t xml:space="preserve"> En ese orden de ideas, esta modalidad de selección procede por las causales previstas en la ley</w:t>
      </w:r>
      <w:r w:rsidRPr="00D47C6A">
        <w:rPr>
          <w:rFonts w:ascii="Arial" w:eastAsia="Times New Roman" w:hAnsi="Arial" w:cs="Arial"/>
          <w:shd w:val="clear" w:color="auto" w:fill="FFFFFF"/>
          <w:vertAlign w:val="superscript"/>
          <w:lang w:eastAsia="es-CO"/>
        </w:rPr>
        <w:footnoteReference w:id="4"/>
      </w:r>
      <w:r w:rsidRPr="00D47C6A">
        <w:rPr>
          <w:rFonts w:ascii="Arial" w:eastAsia="Times New Roman" w:hAnsi="Arial" w:cs="Arial"/>
          <w:shd w:val="clear" w:color="auto" w:fill="FFFFFF"/>
          <w:lang w:eastAsia="es-CO"/>
        </w:rPr>
        <w:t xml:space="preserve">, las cuales determinan, </w:t>
      </w:r>
      <w:r w:rsidRPr="00D47C6A">
        <w:rPr>
          <w:rFonts w:ascii="Arial" w:eastAsia="Times New Roman" w:hAnsi="Arial" w:cs="Arial"/>
          <w:shd w:val="clear" w:color="auto" w:fill="FFFFFF"/>
          <w:lang w:eastAsia="es-CO"/>
        </w:rPr>
        <w:lastRenderedPageBreak/>
        <w:t xml:space="preserve">entre otras cosas, los criterios </w:t>
      </w:r>
      <w:proofErr w:type="gramStart"/>
      <w:r w:rsidRPr="00D47C6A">
        <w:rPr>
          <w:rFonts w:ascii="Arial" w:eastAsia="Times New Roman" w:hAnsi="Arial" w:cs="Arial"/>
          <w:shd w:val="clear" w:color="auto" w:fill="FFFFFF"/>
          <w:lang w:eastAsia="es-CO"/>
        </w:rPr>
        <w:t>a</w:t>
      </w:r>
      <w:proofErr w:type="gramEnd"/>
      <w:r w:rsidRPr="00D47C6A">
        <w:rPr>
          <w:rFonts w:ascii="Arial" w:eastAsia="Times New Roman" w:hAnsi="Arial" w:cs="Arial"/>
          <w:shd w:val="clear" w:color="auto" w:fill="FFFFFF"/>
          <w:lang w:eastAsia="es-CO"/>
        </w:rPr>
        <w:t xml:space="preserve"> tener en cuenta para la escogencia del contratista que proveerá el bien o servicio, además de sus respectivas reglas para llevar a cabo el proceso de selección bajo la modalidad estudiada, siendo una de ellas, pero no la única, el valor presupuestado como precio del contrato. </w:t>
      </w:r>
    </w:p>
    <w:p w14:paraId="55C8B738" w14:textId="77777777" w:rsidR="00895D6F" w:rsidRPr="00D47C6A" w:rsidRDefault="00895D6F" w:rsidP="00895D6F">
      <w:pPr>
        <w:spacing w:after="0" w:line="276" w:lineRule="auto"/>
        <w:ind w:firstLine="703"/>
        <w:jc w:val="both"/>
        <w:textAlignment w:val="baseline"/>
        <w:rPr>
          <w:rFonts w:ascii="Arial" w:eastAsia="Calibri" w:hAnsi="Arial" w:cs="Arial"/>
        </w:rPr>
      </w:pPr>
      <w:r w:rsidRPr="00D47C6A">
        <w:rPr>
          <w:rFonts w:ascii="Arial" w:eastAsia="Calibri" w:hAnsi="Arial" w:cs="Arial"/>
        </w:rPr>
        <w:t>A su turno, el Decreto 1082 de 2015 reglamenta las causales para acudir al procedimiento de selección abreviada establecidas en el numeral 2 del artículo 2 de la Ley 1150 de 2007, y regula el procedimiento, detallando el contenido del pliego de condiciones, las etapas, entre otros. Dentro de dichas causales se desataca la contratación de menor cuantía y la subasta inversa.</w:t>
      </w:r>
    </w:p>
    <w:p w14:paraId="1029C6AC" w14:textId="77777777" w:rsidR="00895D6F" w:rsidRPr="00D47C6A" w:rsidRDefault="00895D6F" w:rsidP="00895D6F">
      <w:pPr>
        <w:spacing w:after="0" w:line="240" w:lineRule="auto"/>
        <w:ind w:firstLine="703"/>
        <w:contextualSpacing/>
        <w:jc w:val="both"/>
        <w:textAlignment w:val="baseline"/>
        <w:rPr>
          <w:rFonts w:ascii="Arial" w:eastAsia="Times New Roman" w:hAnsi="Arial" w:cs="Arial"/>
          <w:shd w:val="clear" w:color="auto" w:fill="FFFFFF"/>
          <w:lang w:eastAsia="es-CO"/>
        </w:rPr>
      </w:pPr>
    </w:p>
    <w:p w14:paraId="2DB77A78" w14:textId="77777777" w:rsidR="00895D6F" w:rsidRPr="00D47C6A" w:rsidRDefault="00895D6F" w:rsidP="00895D6F">
      <w:pPr>
        <w:spacing w:after="0" w:line="240" w:lineRule="auto"/>
        <w:contextualSpacing/>
        <w:jc w:val="both"/>
        <w:rPr>
          <w:rFonts w:ascii="Arial" w:eastAsia="Calibri" w:hAnsi="Arial" w:cs="Arial"/>
          <w:b/>
          <w:bCs/>
          <w:lang w:val="es-ES_tradnl"/>
        </w:rPr>
      </w:pPr>
      <w:r w:rsidRPr="00D47C6A">
        <w:rPr>
          <w:rFonts w:ascii="Arial" w:eastAsia="Calibri" w:hAnsi="Arial" w:cs="Arial"/>
          <w:b/>
          <w:bCs/>
        </w:rPr>
        <w:t xml:space="preserve">2.2. Procedencia de la </w:t>
      </w:r>
      <w:r w:rsidRPr="00D47C6A">
        <w:rPr>
          <w:rFonts w:ascii="Arial" w:eastAsia="Calibri" w:hAnsi="Arial" w:cs="Arial"/>
          <w:b/>
          <w:bCs/>
          <w:lang w:val="es-ES_tradnl"/>
        </w:rPr>
        <w:t xml:space="preserve">modalidad de Selección Abreviada por la causal de menor cuantía </w:t>
      </w:r>
    </w:p>
    <w:p w14:paraId="72E21A18" w14:textId="77777777" w:rsidR="00895D6F" w:rsidRPr="00D47C6A" w:rsidRDefault="00895D6F" w:rsidP="00895D6F">
      <w:pPr>
        <w:spacing w:after="0" w:line="240" w:lineRule="auto"/>
        <w:ind w:left="374"/>
        <w:contextualSpacing/>
        <w:rPr>
          <w:rFonts w:ascii="Arial" w:eastAsia="Calibri" w:hAnsi="Arial" w:cs="Arial"/>
          <w:b/>
          <w:bCs/>
          <w:lang w:val="es-ES_tradnl"/>
        </w:rPr>
      </w:pPr>
    </w:p>
    <w:p w14:paraId="670FF604" w14:textId="77777777" w:rsidR="00895D6F" w:rsidRPr="00D47C6A" w:rsidRDefault="00895D6F" w:rsidP="00895D6F">
      <w:pPr>
        <w:spacing w:after="0" w:line="276" w:lineRule="auto"/>
        <w:contextualSpacing/>
        <w:jc w:val="both"/>
        <w:rPr>
          <w:rFonts w:ascii="Arial" w:eastAsia="Calibri" w:hAnsi="Arial" w:cs="Arial"/>
          <w:lang w:val="es-MX"/>
        </w:rPr>
      </w:pPr>
      <w:r w:rsidRPr="00D47C6A">
        <w:rPr>
          <w:rFonts w:ascii="Arial" w:eastAsia="Calibri" w:hAnsi="Arial" w:cs="Arial"/>
          <w:lang w:val="es-MX"/>
        </w:rPr>
        <w:t>Los objetos respecto de los cuales procede el adelantamiento de procesos de selección abreviada están asociados a unas circunstancias diversas y concretas, delimitadas por unas causales expresamente consagradas en el numeral 2 del artículo 2 de la Ley 1150 de 2007. Una de las de mayor relevancia es la referida</w:t>
      </w:r>
      <w:r w:rsidRPr="00D47C6A">
        <w:rPr>
          <w:rFonts w:ascii="Arial" w:eastAsia="Calibri" w:hAnsi="Arial" w:cs="Arial"/>
          <w:b/>
          <w:bCs/>
          <w:lang w:val="es-MX"/>
        </w:rPr>
        <w:t xml:space="preserve"> </w:t>
      </w:r>
      <w:r w:rsidRPr="00D47C6A">
        <w:rPr>
          <w:rFonts w:ascii="Arial" w:eastAsia="Calibri" w:hAnsi="Arial" w:cs="Arial"/>
          <w:lang w:val="es-MX"/>
        </w:rPr>
        <w:t xml:space="preserve">a los negocios que no superan la menor cuantía de la entidad, la cual aplica en función de unos rangos y topes señalados por la propia norma, y medibles respecto del presupuesto anual de la entidad. El numeral 2° del artículo 2 de la Ley 1150 de 2007 regula esta causal de la siguiente forma:  </w:t>
      </w:r>
    </w:p>
    <w:p w14:paraId="6A5DD57C" w14:textId="77777777" w:rsidR="00895D6F" w:rsidRPr="00D47C6A" w:rsidRDefault="00895D6F" w:rsidP="00895D6F">
      <w:pPr>
        <w:spacing w:after="0" w:line="240" w:lineRule="auto"/>
        <w:contextualSpacing/>
        <w:jc w:val="both"/>
        <w:rPr>
          <w:rFonts w:ascii="Arial" w:eastAsia="Calibri" w:hAnsi="Arial" w:cs="Arial"/>
          <w:lang w:val="es-MX"/>
        </w:rPr>
      </w:pPr>
    </w:p>
    <w:p w14:paraId="2CD3F4AD"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r w:rsidRPr="000E622A">
        <w:rPr>
          <w:rFonts w:ascii="Arial" w:eastAsia="Calibri" w:hAnsi="Arial" w:cs="Arial"/>
          <w:sz w:val="21"/>
          <w:szCs w:val="21"/>
          <w:shd w:val="clear" w:color="auto" w:fill="FFFFFF"/>
        </w:rPr>
        <w:t>«</w:t>
      </w:r>
      <w:r w:rsidRPr="000E622A">
        <w:rPr>
          <w:rFonts w:ascii="Arial" w:eastAsia="Calibri" w:hAnsi="Arial" w:cs="Arial"/>
          <w:sz w:val="21"/>
          <w:szCs w:val="21"/>
          <w:lang w:val="es-MX"/>
        </w:rPr>
        <w:t xml:space="preserve">Serán causales de selección abreviada las siguientes: </w:t>
      </w:r>
    </w:p>
    <w:p w14:paraId="5A5E69A3"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p>
    <w:p w14:paraId="7307756B"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r w:rsidRPr="000E622A">
        <w:rPr>
          <w:rFonts w:ascii="Arial" w:eastAsia="Calibri" w:hAnsi="Arial" w:cs="Arial"/>
          <w:sz w:val="21"/>
          <w:szCs w:val="21"/>
          <w:lang w:val="es-MX"/>
        </w:rPr>
        <w:t>[….]</w:t>
      </w:r>
    </w:p>
    <w:p w14:paraId="00307699"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p>
    <w:p w14:paraId="5E426E46"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r w:rsidRPr="000E622A">
        <w:rPr>
          <w:rFonts w:ascii="Arial" w:eastAsia="Calibri" w:hAnsi="Arial" w:cs="Arial"/>
          <w:sz w:val="21"/>
          <w:szCs w:val="21"/>
          <w:lang w:val="es-MX"/>
        </w:rPr>
        <w:t xml:space="preserve">b) La contratación de menor cuantía. Se entenderá por menor cuantía los valores que a continuación se relacionan, determinados en función de los presupuestos anuales de las entidades públicas expresados en salarios mínimos legales mensuales. </w:t>
      </w:r>
    </w:p>
    <w:p w14:paraId="358D5118"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p>
    <w:p w14:paraId="096CC988"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r w:rsidRPr="000E622A">
        <w:rPr>
          <w:rFonts w:ascii="Arial" w:eastAsia="Calibri" w:hAnsi="Arial" w:cs="Arial"/>
          <w:sz w:val="21"/>
          <w:szCs w:val="21"/>
          <w:lang w:val="es-MX"/>
        </w:rPr>
        <w:lastRenderedPageBreak/>
        <w:t xml:space="preserve">Para las entidades que tengan un presupuesto anual superior o igual a 1.200.000 salarios mínimos legales mensuales, la menor cuantía será hasta 1.000 salarios mínimos legales mensuales. </w:t>
      </w:r>
    </w:p>
    <w:p w14:paraId="2D7C28A5"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p>
    <w:p w14:paraId="0F300B4D"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r w:rsidRPr="000E622A">
        <w:rPr>
          <w:rFonts w:ascii="Arial" w:eastAsia="Calibri" w:hAnsi="Arial" w:cs="Arial"/>
          <w:sz w:val="21"/>
          <w:szCs w:val="21"/>
          <w:lang w:val="es-MX"/>
        </w:rPr>
        <w:t xml:space="preserve">Las que tengan un presupuesto anual superior o igual a 850.000 salarios mínimos legales mensuales e inferiores a 1.200.000 salarios mínimos legales mensuales, la menor cuantía será hasta 850 salarios mínimos legales mensuales. </w:t>
      </w:r>
    </w:p>
    <w:p w14:paraId="412E35C8"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p>
    <w:p w14:paraId="24D204F6"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r w:rsidRPr="000E622A">
        <w:rPr>
          <w:rFonts w:ascii="Arial" w:eastAsia="Calibri" w:hAnsi="Arial" w:cs="Arial"/>
          <w:sz w:val="21"/>
          <w:szCs w:val="21"/>
          <w:lang w:val="es-MX"/>
        </w:rPr>
        <w:t xml:space="preserve">Las que tengan un presupuesto anual superior o igual a 400.000 salarios mínimos legales mensuales e inferior a 850.000 salarios mínimos legales mensuales, la menor cuantía será hasta 650 salarios mínimos legales mensuales. </w:t>
      </w:r>
    </w:p>
    <w:p w14:paraId="281519E6"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p>
    <w:p w14:paraId="4C8F5FCD"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r w:rsidRPr="000E622A">
        <w:rPr>
          <w:rFonts w:ascii="Arial" w:eastAsia="Calibri" w:hAnsi="Arial" w:cs="Arial"/>
          <w:sz w:val="21"/>
          <w:szCs w:val="21"/>
          <w:lang w:val="es-MX"/>
        </w:rPr>
        <w:t xml:space="preserve">Las que tengan un presupuesto anual superior o igual a 120.000 salarios mínimos legales mensuales e inferior a 400.000 salarios mínimos legales mensuales, la menor cuantía será hasta 450 salarios mínimos legales mensuales. </w:t>
      </w:r>
    </w:p>
    <w:p w14:paraId="335B0DBF"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p>
    <w:p w14:paraId="472B1CCC" w14:textId="77777777" w:rsidR="00895D6F" w:rsidRPr="000E622A" w:rsidRDefault="00895D6F" w:rsidP="00895D6F">
      <w:pPr>
        <w:spacing w:after="0" w:line="240" w:lineRule="auto"/>
        <w:ind w:left="709" w:right="709"/>
        <w:contextualSpacing/>
        <w:jc w:val="both"/>
        <w:rPr>
          <w:rFonts w:ascii="Arial" w:eastAsia="Calibri" w:hAnsi="Arial" w:cs="Arial"/>
          <w:sz w:val="21"/>
          <w:szCs w:val="21"/>
          <w:lang w:val="es-MX"/>
        </w:rPr>
      </w:pPr>
      <w:r w:rsidRPr="000E622A">
        <w:rPr>
          <w:rFonts w:ascii="Arial" w:eastAsia="Calibri" w:hAnsi="Arial" w:cs="Arial"/>
          <w:sz w:val="21"/>
          <w:szCs w:val="21"/>
          <w:lang w:val="es-MX"/>
        </w:rPr>
        <w:t>Las que tengan un presupuesto anual inferior a 120.000 salarios mínimos legales mensuales, la menor cuantía será hasta 280 salarios mínimos legales mensuales</w:t>
      </w:r>
      <w:r w:rsidRPr="000E622A">
        <w:rPr>
          <w:rFonts w:ascii="Arial" w:eastAsia="Calibri" w:hAnsi="Arial" w:cs="Arial"/>
          <w:sz w:val="21"/>
          <w:szCs w:val="21"/>
          <w:shd w:val="clear" w:color="auto" w:fill="FFFFFF"/>
        </w:rPr>
        <w:t>».</w:t>
      </w:r>
    </w:p>
    <w:p w14:paraId="5BFC91BA" w14:textId="77777777" w:rsidR="00895D6F" w:rsidRPr="00D47C6A" w:rsidRDefault="00895D6F" w:rsidP="00895D6F">
      <w:pPr>
        <w:spacing w:after="0" w:line="240" w:lineRule="auto"/>
        <w:ind w:left="709" w:right="680"/>
        <w:contextualSpacing/>
        <w:jc w:val="both"/>
        <w:rPr>
          <w:rFonts w:ascii="Arial" w:eastAsia="Calibri" w:hAnsi="Arial" w:cs="Arial"/>
          <w:lang w:val="es-MX"/>
        </w:rPr>
      </w:pPr>
    </w:p>
    <w:p w14:paraId="036F81B0" w14:textId="77777777" w:rsidR="00895D6F" w:rsidRPr="00D47C6A" w:rsidRDefault="00895D6F" w:rsidP="00895D6F">
      <w:pPr>
        <w:spacing w:after="120" w:line="276" w:lineRule="auto"/>
        <w:ind w:firstLine="357"/>
        <w:jc w:val="both"/>
        <w:rPr>
          <w:rFonts w:ascii="Arial" w:eastAsia="Calibri" w:hAnsi="Arial" w:cs="Arial"/>
          <w:shd w:val="clear" w:color="auto" w:fill="FFFFFF"/>
        </w:rPr>
      </w:pPr>
      <w:r w:rsidRPr="00D47C6A">
        <w:rPr>
          <w:rFonts w:ascii="Arial" w:eastAsia="Calibri" w:hAnsi="Arial" w:cs="Arial"/>
          <w:shd w:val="clear" w:color="auto" w:fill="FFFFFF"/>
        </w:rPr>
        <w:t>De este modo, se evidencia que la procedencia de la causal de selección abreviada de menor cuantía se encuentra directamente vinculada con el presupuesto anual de cada Entidad Estatal, de manera que los procedimientos de selección cuyo presupuesto oficial no superen el tope de la menor cuantía, se adelantarán bajo la modalidad de selección abreviada.</w:t>
      </w:r>
    </w:p>
    <w:p w14:paraId="67CEECBD" w14:textId="77777777" w:rsidR="00895D6F" w:rsidRPr="00D47C6A" w:rsidRDefault="00895D6F" w:rsidP="00895D6F">
      <w:pPr>
        <w:spacing w:after="120" w:line="276" w:lineRule="auto"/>
        <w:ind w:firstLine="357"/>
        <w:jc w:val="both"/>
        <w:rPr>
          <w:rFonts w:ascii="Arial" w:eastAsia="Calibri" w:hAnsi="Arial" w:cs="Arial"/>
          <w:shd w:val="clear" w:color="auto" w:fill="FFFFFF"/>
        </w:rPr>
      </w:pPr>
      <w:r w:rsidRPr="00D47C6A">
        <w:rPr>
          <w:rFonts w:ascii="Arial" w:eastAsia="Calibri" w:hAnsi="Arial" w:cs="Arial"/>
          <w:shd w:val="clear" w:color="auto" w:fill="FFFFFF"/>
        </w:rPr>
        <w:t>Por otra parte, el artículo </w:t>
      </w:r>
      <w:bookmarkStart w:id="0" w:name="2.2.1.2.1.2.20"/>
      <w:bookmarkEnd w:id="0"/>
      <w:r w:rsidRPr="00D47C6A">
        <w:rPr>
          <w:rFonts w:ascii="Arial" w:eastAsia="Calibri" w:hAnsi="Arial" w:cs="Arial"/>
          <w:shd w:val="clear" w:color="auto" w:fill="FFFFFF"/>
        </w:rPr>
        <w:t>2.2.1.2.1.2.20 del decreto en mención señaló el procedimiento para la selección abreviada de menor cuantía indicando las siguientes reglas</w:t>
      </w:r>
      <w:bookmarkStart w:id="1" w:name="2.2.1.2.1.2.20.1"/>
      <w:bookmarkEnd w:id="1"/>
      <w:r w:rsidRPr="00D47C6A">
        <w:rPr>
          <w:rFonts w:ascii="Arial" w:eastAsia="Calibri" w:hAnsi="Arial" w:cs="Arial"/>
          <w:shd w:val="clear" w:color="auto" w:fill="FFFFFF"/>
        </w:rPr>
        <w:t>:</w:t>
      </w:r>
    </w:p>
    <w:p w14:paraId="085D0A85" w14:textId="77777777" w:rsidR="00895D6F" w:rsidRPr="00D47C6A" w:rsidRDefault="00895D6F" w:rsidP="00895D6F">
      <w:pPr>
        <w:spacing w:after="120" w:line="276" w:lineRule="auto"/>
        <w:ind w:firstLine="357"/>
        <w:jc w:val="both"/>
        <w:rPr>
          <w:rFonts w:ascii="Arial" w:eastAsia="Calibri" w:hAnsi="Arial" w:cs="Arial"/>
          <w:shd w:val="clear" w:color="auto" w:fill="FFFFFF"/>
        </w:rPr>
      </w:pPr>
      <w:r>
        <w:rPr>
          <w:rFonts w:ascii="Arial" w:eastAsia="Calibri" w:hAnsi="Arial" w:cs="Arial"/>
          <w:shd w:val="clear" w:color="auto" w:fill="FFFFFF"/>
        </w:rPr>
        <w:t xml:space="preserve">i) </w:t>
      </w:r>
      <w:r w:rsidRPr="00D47C6A">
        <w:rPr>
          <w:rFonts w:ascii="Arial" w:eastAsia="Calibri" w:hAnsi="Arial" w:cs="Arial"/>
          <w:shd w:val="clear" w:color="auto" w:fill="FFFFFF"/>
        </w:rPr>
        <w:t>En un término no mayor a tres (3) días hábiles contados a partir de la fecha de apertura del Proceso de Contratación los interesados deben manifestar su intención de participar, a través del mecanismo establecido para el efecto en los pliegos de condiciones.</w:t>
      </w:r>
      <w:bookmarkStart w:id="2" w:name="2.2.1.2.1.2.20.2"/>
      <w:bookmarkEnd w:id="2"/>
    </w:p>
    <w:p w14:paraId="74694D74" w14:textId="77777777" w:rsidR="00895D6F" w:rsidRPr="00D47C6A" w:rsidRDefault="00895D6F" w:rsidP="00895D6F">
      <w:pPr>
        <w:spacing w:after="0" w:line="276" w:lineRule="auto"/>
        <w:ind w:firstLine="357"/>
        <w:contextualSpacing/>
        <w:jc w:val="both"/>
        <w:rPr>
          <w:rFonts w:ascii="Arial" w:eastAsia="Calibri" w:hAnsi="Arial" w:cs="Arial"/>
          <w:shd w:val="clear" w:color="auto" w:fill="FFFFFF"/>
        </w:rPr>
      </w:pPr>
      <w:r>
        <w:rPr>
          <w:rFonts w:ascii="Arial" w:eastAsia="Calibri" w:hAnsi="Arial" w:cs="Arial"/>
          <w:shd w:val="clear" w:color="auto" w:fill="FFFFFF"/>
        </w:rPr>
        <w:t xml:space="preserve">ii) </w:t>
      </w:r>
      <w:r w:rsidRPr="00D47C6A">
        <w:rPr>
          <w:rFonts w:ascii="Arial" w:eastAsia="Calibri" w:hAnsi="Arial" w:cs="Arial"/>
          <w:shd w:val="clear" w:color="auto" w:fill="FFFFFF"/>
        </w:rPr>
        <w:t>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bookmarkStart w:id="3" w:name="2.2.1.2.1.2.20.3"/>
      <w:bookmarkEnd w:id="3"/>
      <w:r w:rsidRPr="00D47C6A">
        <w:rPr>
          <w:rFonts w:ascii="Arial" w:eastAsia="Calibri" w:hAnsi="Arial" w:cs="Arial"/>
          <w:shd w:val="clear" w:color="auto" w:fill="FFFFFF"/>
        </w:rPr>
        <w:t xml:space="preserve"> </w:t>
      </w:r>
    </w:p>
    <w:p w14:paraId="06CD63BD" w14:textId="77777777" w:rsidR="00895D6F" w:rsidRPr="00D47C6A" w:rsidRDefault="00895D6F" w:rsidP="00895D6F">
      <w:pPr>
        <w:spacing w:after="0" w:line="240" w:lineRule="auto"/>
        <w:ind w:firstLine="357"/>
        <w:contextualSpacing/>
        <w:jc w:val="both"/>
        <w:rPr>
          <w:rFonts w:ascii="Arial" w:eastAsia="Calibri" w:hAnsi="Arial" w:cs="Arial"/>
          <w:shd w:val="clear" w:color="auto" w:fill="FFFFFF"/>
        </w:rPr>
      </w:pPr>
      <w:proofErr w:type="spellStart"/>
      <w:r>
        <w:rPr>
          <w:rFonts w:ascii="Arial" w:eastAsia="Calibri" w:hAnsi="Arial" w:cs="Arial"/>
          <w:shd w:val="clear" w:color="auto" w:fill="FFFFFF"/>
        </w:rPr>
        <w:t>iii</w:t>
      </w:r>
      <w:proofErr w:type="spellEnd"/>
      <w:r>
        <w:rPr>
          <w:rFonts w:ascii="Arial" w:eastAsia="Calibri" w:hAnsi="Arial" w:cs="Arial"/>
          <w:shd w:val="clear" w:color="auto" w:fill="FFFFFF"/>
        </w:rPr>
        <w:t>)</w:t>
      </w:r>
      <w:r w:rsidRPr="00D47C6A">
        <w:rPr>
          <w:rFonts w:ascii="Arial" w:eastAsia="Calibri" w:hAnsi="Arial" w:cs="Arial"/>
          <w:shd w:val="clear" w:color="auto" w:fill="FFFFFF"/>
        </w:rPr>
        <w:t xml:space="preserve"> Si hay lugar a sorteo, el plazo para la presentación de las ofertas empezará a correr el día hábil siguiente a la fecha en la cual la Entidad Estatal informe a los interesados el resultado del sorteo.</w:t>
      </w:r>
      <w:bookmarkStart w:id="4" w:name="2.2.1.2.1.2.20.4"/>
      <w:bookmarkEnd w:id="4"/>
    </w:p>
    <w:p w14:paraId="1078023C" w14:textId="77777777" w:rsidR="00895D6F" w:rsidRPr="00D47C6A" w:rsidRDefault="00895D6F" w:rsidP="00895D6F">
      <w:pPr>
        <w:spacing w:after="0" w:line="240" w:lineRule="auto"/>
        <w:ind w:firstLine="357"/>
        <w:contextualSpacing/>
        <w:jc w:val="both"/>
        <w:rPr>
          <w:rFonts w:ascii="Arial" w:eastAsia="Calibri" w:hAnsi="Arial" w:cs="Arial"/>
          <w:shd w:val="clear" w:color="auto" w:fill="FFFFFF"/>
        </w:rPr>
      </w:pPr>
      <w:proofErr w:type="spellStart"/>
      <w:r>
        <w:rPr>
          <w:rFonts w:ascii="Arial" w:eastAsia="Calibri" w:hAnsi="Arial" w:cs="Arial"/>
          <w:shd w:val="clear" w:color="auto" w:fill="FFFFFF"/>
        </w:rPr>
        <w:t>iv</w:t>
      </w:r>
      <w:proofErr w:type="spellEnd"/>
      <w:r>
        <w:rPr>
          <w:rFonts w:ascii="Arial" w:eastAsia="Calibri" w:hAnsi="Arial" w:cs="Arial"/>
          <w:shd w:val="clear" w:color="auto" w:fill="FFFFFF"/>
        </w:rPr>
        <w:t>)</w:t>
      </w:r>
      <w:r w:rsidRPr="00D47C6A">
        <w:rPr>
          <w:rFonts w:ascii="Arial" w:eastAsia="Calibri" w:hAnsi="Arial" w:cs="Arial"/>
          <w:shd w:val="clear" w:color="auto" w:fill="FFFFFF"/>
        </w:rPr>
        <w:t xml:space="preserve"> La Entidad Estatal debe publicar el informe de evaluación de ofertas durante tres (3) días hábiles.</w:t>
      </w:r>
    </w:p>
    <w:p w14:paraId="66FA7097" w14:textId="77777777" w:rsidR="00895D6F" w:rsidRPr="00D47C6A" w:rsidRDefault="00895D6F" w:rsidP="00895D6F">
      <w:pPr>
        <w:spacing w:after="0" w:line="240" w:lineRule="auto"/>
        <w:contextualSpacing/>
        <w:jc w:val="both"/>
        <w:rPr>
          <w:rFonts w:ascii="Arial" w:eastAsia="Calibri" w:hAnsi="Arial" w:cs="Arial"/>
          <w:lang w:val="es-MX"/>
        </w:rPr>
      </w:pPr>
    </w:p>
    <w:p w14:paraId="30BE44EC" w14:textId="77777777" w:rsidR="00895D6F" w:rsidRPr="00D47C6A" w:rsidRDefault="00895D6F" w:rsidP="00895D6F">
      <w:pPr>
        <w:spacing w:after="0" w:line="276" w:lineRule="auto"/>
        <w:contextualSpacing/>
        <w:jc w:val="both"/>
        <w:rPr>
          <w:rFonts w:ascii="Arial" w:eastAsia="Calibri" w:hAnsi="Arial" w:cs="Arial"/>
          <w:b/>
          <w:bCs/>
          <w:lang w:val="es-ES_tradnl"/>
        </w:rPr>
      </w:pPr>
      <w:r w:rsidRPr="00D47C6A">
        <w:rPr>
          <w:rFonts w:ascii="Arial" w:eastAsia="Calibri" w:hAnsi="Arial" w:cs="Arial"/>
          <w:b/>
          <w:bCs/>
          <w:lang w:val="es-ES_tradnl"/>
        </w:rPr>
        <w:t xml:space="preserve">2.3. Procedencia de la selección abreviada por subasta inversa para la adquisición de bienes y servicios de características técnicas uniformes </w:t>
      </w:r>
    </w:p>
    <w:p w14:paraId="0E66D313" w14:textId="77777777" w:rsidR="00895D6F" w:rsidRPr="00D47C6A" w:rsidRDefault="00895D6F" w:rsidP="00895D6F">
      <w:pPr>
        <w:spacing w:after="0" w:line="276" w:lineRule="auto"/>
        <w:contextualSpacing/>
        <w:jc w:val="both"/>
        <w:rPr>
          <w:rFonts w:ascii="Arial" w:eastAsia="Calibri" w:hAnsi="Arial" w:cs="Arial"/>
          <w:b/>
          <w:bCs/>
          <w:lang w:val="es-ES_tradnl"/>
        </w:rPr>
      </w:pPr>
    </w:p>
    <w:p w14:paraId="19BC425E" w14:textId="77777777" w:rsidR="00895D6F" w:rsidRPr="00D47C6A" w:rsidRDefault="00895D6F" w:rsidP="00895D6F">
      <w:pPr>
        <w:spacing w:after="0" w:line="276" w:lineRule="auto"/>
        <w:contextualSpacing/>
        <w:jc w:val="both"/>
        <w:rPr>
          <w:rFonts w:ascii="Arial" w:eastAsia="Calibri" w:hAnsi="Arial" w:cs="Arial"/>
          <w:b/>
          <w:bCs/>
          <w:lang w:val="es-ES_tradnl"/>
        </w:rPr>
      </w:pPr>
      <w:r w:rsidRPr="00D47C6A">
        <w:rPr>
          <w:rFonts w:ascii="Arial" w:eastAsia="Times New Roman" w:hAnsi="Arial" w:cs="Arial"/>
          <w:lang w:val="es-MX" w:eastAsia="es-CO"/>
        </w:rPr>
        <w:t xml:space="preserve">La subasta inversa es un mecanismo que se concibió con la finalidad de introducir una metodología alternativa para el proceso de negociación y perfeccionamiento del contrato estatal. Su regulación se encuentra en el artículo 2 de la Ley 1150 de 2007, disposición en la cual se señala que procede para los procesos de selección abreviada que tienen por finalidad </w:t>
      </w:r>
      <w:r w:rsidRPr="00D47C6A">
        <w:rPr>
          <w:rFonts w:ascii="Arial" w:eastAsia="Times New Roman" w:hAnsi="Arial" w:cs="Arial"/>
          <w:lang w:val="es-MX" w:eastAsia="es-CO"/>
        </w:rPr>
        <w:lastRenderedPageBreak/>
        <w:t>la adquisición de bienes y servicios de características técnicas uniformes y de común utilización y en los procesos de enajenación de bienes del Estado</w:t>
      </w:r>
      <w:r w:rsidRPr="00D47C6A">
        <w:rPr>
          <w:rFonts w:ascii="Arial" w:eastAsia="Times New Roman" w:hAnsi="Arial" w:cs="Arial"/>
          <w:vertAlign w:val="superscript"/>
          <w:lang w:val="es-MX" w:eastAsia="es-CO"/>
        </w:rPr>
        <w:footnoteReference w:id="5"/>
      </w:r>
      <w:r w:rsidRPr="00D47C6A">
        <w:rPr>
          <w:rFonts w:ascii="Arial" w:eastAsia="Times New Roman" w:hAnsi="Arial" w:cs="Arial"/>
          <w:lang w:val="es-MX" w:eastAsia="es-CO"/>
        </w:rPr>
        <w:t>.  </w:t>
      </w:r>
      <w:r w:rsidRPr="00D47C6A">
        <w:rPr>
          <w:rFonts w:ascii="Arial" w:eastAsia="Times New Roman" w:hAnsi="Arial" w:cs="Arial"/>
          <w:lang w:eastAsia="es-CO"/>
        </w:rPr>
        <w:t> </w:t>
      </w:r>
    </w:p>
    <w:p w14:paraId="664AC80B" w14:textId="77777777" w:rsidR="00895D6F" w:rsidRPr="00D47C6A" w:rsidRDefault="00895D6F" w:rsidP="00895D6F">
      <w:pPr>
        <w:spacing w:after="120" w:line="276" w:lineRule="auto"/>
        <w:ind w:firstLine="705"/>
        <w:jc w:val="both"/>
        <w:textAlignment w:val="baseline"/>
        <w:rPr>
          <w:rFonts w:ascii="Arial" w:eastAsia="Times New Roman" w:hAnsi="Arial" w:cs="Arial"/>
          <w:lang w:eastAsia="es-CO"/>
        </w:rPr>
      </w:pPr>
      <w:r w:rsidRPr="00D47C6A">
        <w:rPr>
          <w:rFonts w:ascii="Arial" w:eastAsia="Times New Roman" w:hAnsi="Arial" w:cs="Arial"/>
          <w:lang w:val="es-MX" w:eastAsia="es-CO"/>
        </w:rPr>
        <w:t>En este contexto, la doctrina ha señalado que «se entiende por subasta inversa para la presentación de la oferta, la puja dinámica, mediante la cual los oferentes, durante un tiempo determinado, ajustan su oferta respecto de aquellas variables susceptibles de ser mejoradas, con el fin de lograr el ofrecimiento que representa la mejor relación costo-beneficio para la entidad, de acuerdo con lo señalado en el pliego de condiciones»</w:t>
      </w:r>
      <w:r w:rsidRPr="00D47C6A">
        <w:rPr>
          <w:rFonts w:ascii="Arial" w:eastAsia="Times New Roman" w:hAnsi="Arial" w:cs="Arial"/>
          <w:vertAlign w:val="superscript"/>
          <w:lang w:val="es-MX" w:eastAsia="es-CO"/>
        </w:rPr>
        <w:footnoteReference w:id="6"/>
      </w:r>
      <w:r w:rsidRPr="00D47C6A">
        <w:rPr>
          <w:rFonts w:ascii="Arial" w:eastAsia="Times New Roman" w:hAnsi="Arial" w:cs="Arial"/>
          <w:lang w:val="es-MX" w:eastAsia="es-CO"/>
        </w:rPr>
        <w:t>. En igual sentido, la doctrina especializada destaca de este mecanismo que «al encontrarse definidas las características del bien, lo que se va a evaluar únicamente es el precio, porque se entiende que todos los bienes que se propongan tienen idéntica característica técnica al tratarse de bienes comunes, de ahí la falencia de la modalidad de subasta inversa que se tiene en Colombia, en tanto está limitada a la puja con base al precio»</w:t>
      </w:r>
      <w:r w:rsidRPr="00D47C6A">
        <w:rPr>
          <w:rFonts w:ascii="Arial" w:eastAsia="Times New Roman" w:hAnsi="Arial" w:cs="Arial"/>
          <w:vertAlign w:val="superscript"/>
          <w:lang w:val="es-MX" w:eastAsia="es-CO"/>
        </w:rPr>
        <w:footnoteReference w:id="7"/>
      </w:r>
      <w:r w:rsidRPr="00D47C6A">
        <w:rPr>
          <w:rFonts w:ascii="Arial" w:eastAsia="Times New Roman" w:hAnsi="Arial" w:cs="Arial"/>
          <w:lang w:val="es-MX" w:eastAsia="es-CO"/>
        </w:rPr>
        <w:t>.  </w:t>
      </w:r>
      <w:r w:rsidRPr="00D47C6A">
        <w:rPr>
          <w:rFonts w:ascii="Arial" w:eastAsia="Times New Roman" w:hAnsi="Arial" w:cs="Arial"/>
          <w:lang w:eastAsia="es-CO"/>
        </w:rPr>
        <w:t> </w:t>
      </w:r>
    </w:p>
    <w:p w14:paraId="5DE93B2A" w14:textId="77777777" w:rsidR="00895D6F" w:rsidRDefault="00895D6F" w:rsidP="00895D6F">
      <w:pPr>
        <w:spacing w:after="120" w:line="276" w:lineRule="auto"/>
        <w:ind w:firstLine="705"/>
        <w:jc w:val="both"/>
        <w:textAlignment w:val="baseline"/>
        <w:rPr>
          <w:rFonts w:ascii="Arial" w:eastAsia="Times New Roman" w:hAnsi="Arial" w:cs="Arial"/>
          <w:lang w:eastAsia="es-CO"/>
        </w:rPr>
      </w:pPr>
      <w:r w:rsidRPr="00D47C6A">
        <w:rPr>
          <w:rFonts w:ascii="Arial" w:eastAsia="Times New Roman" w:hAnsi="Arial" w:cs="Arial"/>
          <w:lang w:val="es-MX" w:eastAsia="es-CO"/>
        </w:rPr>
        <w:lastRenderedPageBreak/>
        <w:t>El literal a) del numeral 2 del artículo 2 de la Ley 1150 de 2007, en relación con la adquisición de bienes y servicios de características técnicas uniformes y de común utilización, establece que «Para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En este evento, contrario a lo que ocurre en la licitación pública, el ordenamiento jurídico prescribe la utilización de la subasta inversa en los procedimientos de selección abreviada cuando se pretendan adquirir bienes y servicios de características técnicas uniformes y de común utilización. </w:t>
      </w:r>
      <w:r w:rsidRPr="00D47C6A">
        <w:rPr>
          <w:rFonts w:ascii="Arial" w:eastAsia="Times New Roman" w:hAnsi="Arial" w:cs="Arial"/>
          <w:lang w:eastAsia="es-CO"/>
        </w:rPr>
        <w:t> </w:t>
      </w:r>
    </w:p>
    <w:p w14:paraId="578FAD0C" w14:textId="77777777" w:rsidR="00895D6F" w:rsidRDefault="00895D6F" w:rsidP="00895D6F">
      <w:pPr>
        <w:spacing w:after="120" w:line="276" w:lineRule="auto"/>
        <w:ind w:firstLine="705"/>
        <w:jc w:val="both"/>
        <w:rPr>
          <w:rFonts w:ascii="Arial" w:eastAsia="Calibri" w:hAnsi="Arial" w:cs="Arial"/>
          <w:shd w:val="clear" w:color="auto" w:fill="FFFFFF"/>
        </w:rPr>
      </w:pPr>
      <w:r w:rsidRPr="00D47C6A">
        <w:rPr>
          <w:rFonts w:ascii="Arial" w:eastAsia="Calibri" w:hAnsi="Arial" w:cs="Arial"/>
          <w:shd w:val="clear" w:color="auto" w:fill="FFFFFF"/>
        </w:rPr>
        <w:t>Por otra parte, el artículo </w:t>
      </w:r>
      <w:r w:rsidRPr="00A22F6C">
        <w:rPr>
          <w:rFonts w:ascii="Arial" w:eastAsia="Calibri" w:hAnsi="Arial" w:cs="Arial"/>
          <w:shd w:val="clear" w:color="auto" w:fill="FFFFFF"/>
        </w:rPr>
        <w:t>2.2.1.2.1.2.2.</w:t>
      </w:r>
      <w:r w:rsidRPr="00D47C6A">
        <w:rPr>
          <w:rFonts w:ascii="Arial" w:eastAsia="Calibri" w:hAnsi="Arial" w:cs="Arial"/>
          <w:shd w:val="clear" w:color="auto" w:fill="FFFFFF"/>
        </w:rPr>
        <w:t xml:space="preserve">del decreto en mención señaló el procedimiento </w:t>
      </w:r>
      <w:r>
        <w:rPr>
          <w:rFonts w:ascii="Arial" w:eastAsia="Calibri" w:hAnsi="Arial" w:cs="Arial"/>
          <w:shd w:val="clear" w:color="auto" w:fill="FFFFFF"/>
        </w:rPr>
        <w:t xml:space="preserve">de </w:t>
      </w:r>
      <w:r w:rsidRPr="00D47C6A">
        <w:rPr>
          <w:rFonts w:ascii="Arial" w:eastAsia="Calibri" w:hAnsi="Arial" w:cs="Arial"/>
          <w:shd w:val="clear" w:color="auto" w:fill="FFFFFF"/>
        </w:rPr>
        <w:t xml:space="preserve">la selección abreviada </w:t>
      </w:r>
      <w:r>
        <w:rPr>
          <w:rFonts w:ascii="Arial" w:eastAsia="Calibri" w:hAnsi="Arial" w:cs="Arial"/>
          <w:shd w:val="clear" w:color="auto" w:fill="FFFFFF"/>
        </w:rPr>
        <w:t>para la subasta inversa,</w:t>
      </w:r>
      <w:r w:rsidRPr="00D47C6A">
        <w:rPr>
          <w:rFonts w:ascii="Arial" w:eastAsia="Calibri" w:hAnsi="Arial" w:cs="Arial"/>
          <w:shd w:val="clear" w:color="auto" w:fill="FFFFFF"/>
        </w:rPr>
        <w:t xml:space="preserve"> indicando las siguientes reglas:</w:t>
      </w:r>
      <w:bookmarkStart w:id="5" w:name="2.2.1.2.1.2.2.1"/>
      <w:bookmarkEnd w:id="5"/>
    </w:p>
    <w:p w14:paraId="3DEE89B0" w14:textId="77777777" w:rsidR="00895D6F" w:rsidRPr="000E622A" w:rsidRDefault="00895D6F" w:rsidP="00895D6F">
      <w:pPr>
        <w:spacing w:after="120" w:line="276" w:lineRule="auto"/>
        <w:ind w:firstLine="357"/>
        <w:jc w:val="both"/>
        <w:rPr>
          <w:rFonts w:ascii="Arial" w:hAnsi="Arial" w:cs="Arial"/>
        </w:rPr>
      </w:pPr>
      <w:r>
        <w:rPr>
          <w:rFonts w:ascii="Arial" w:eastAsia="Calibri" w:hAnsi="Arial" w:cs="Arial"/>
          <w:shd w:val="clear" w:color="auto" w:fill="FFFFFF"/>
        </w:rPr>
        <w:tab/>
      </w:r>
      <w:r>
        <w:rPr>
          <w:rFonts w:ascii="Arial" w:hAnsi="Arial" w:cs="Arial"/>
        </w:rPr>
        <w:t xml:space="preserve">i) </w:t>
      </w:r>
      <w:r w:rsidRPr="000E622A">
        <w:rPr>
          <w:rFonts w:ascii="Arial" w:hAnsi="Arial" w:cs="Arial"/>
        </w:rPr>
        <w:t>Los pliegos de condiciones deben indicar: a) la fecha y hora de inicio de la subasta; b) la periodicidad de los Lances; y c) el Margen Mínimo para mejorar la oferta durante la subasta inversa.</w:t>
      </w:r>
      <w:bookmarkStart w:id="6" w:name="2.2.1.2.1.2.2.2"/>
      <w:bookmarkEnd w:id="6"/>
    </w:p>
    <w:p w14:paraId="03250719" w14:textId="77777777" w:rsidR="00895D6F" w:rsidRPr="00131D8C" w:rsidRDefault="00895D6F" w:rsidP="00895D6F">
      <w:pPr>
        <w:spacing w:after="120" w:line="276" w:lineRule="auto"/>
        <w:ind w:firstLine="357"/>
        <w:jc w:val="both"/>
        <w:rPr>
          <w:rFonts w:ascii="Arial" w:hAnsi="Arial" w:cs="Arial"/>
        </w:rPr>
      </w:pPr>
      <w:r>
        <w:rPr>
          <w:rFonts w:ascii="Arial" w:hAnsi="Arial" w:cs="Arial"/>
        </w:rPr>
        <w:tab/>
        <w:t>ii)</w:t>
      </w:r>
      <w:r w:rsidRPr="00131D8C">
        <w:rPr>
          <w:rFonts w:ascii="Arial" w:hAnsi="Arial" w:cs="Arial"/>
        </w:rPr>
        <w:t xml:space="preserve"> La oferta debe contener dos par</w:t>
      </w:r>
      <w:r>
        <w:rPr>
          <w:rFonts w:ascii="Arial" w:hAnsi="Arial" w:cs="Arial"/>
        </w:rPr>
        <w:t>t</w:t>
      </w:r>
      <w:r w:rsidRPr="00131D8C">
        <w:rPr>
          <w:rFonts w:ascii="Arial" w:hAnsi="Arial" w:cs="Arial"/>
        </w:rPr>
        <w:t>es, la primera en la cual el interesado acredite su capacidad de participar en el Proceso de Contratación y acredite el cumplimiento de la ficha técnica; y la segunda parle debe contener el precio inicial propuesto por el oferente.</w:t>
      </w:r>
      <w:bookmarkStart w:id="7" w:name="2.2.1.2.1.2.2.3"/>
      <w:bookmarkEnd w:id="7"/>
    </w:p>
    <w:p w14:paraId="3E8DFB9C" w14:textId="77777777" w:rsidR="00895D6F" w:rsidRPr="00131D8C" w:rsidRDefault="00895D6F" w:rsidP="00895D6F">
      <w:pPr>
        <w:spacing w:after="120" w:line="276" w:lineRule="auto"/>
        <w:jc w:val="both"/>
        <w:rPr>
          <w:rFonts w:ascii="Arial" w:hAnsi="Arial" w:cs="Arial"/>
        </w:rPr>
      </w:pPr>
      <w:r>
        <w:rPr>
          <w:rFonts w:ascii="Arial" w:hAnsi="Arial" w:cs="Arial"/>
        </w:rPr>
        <w:tab/>
      </w:r>
      <w:proofErr w:type="spellStart"/>
      <w:r>
        <w:rPr>
          <w:rFonts w:ascii="Arial" w:hAnsi="Arial" w:cs="Arial"/>
        </w:rPr>
        <w:t>iii</w:t>
      </w:r>
      <w:proofErr w:type="spellEnd"/>
      <w:r>
        <w:rPr>
          <w:rFonts w:ascii="Arial" w:hAnsi="Arial" w:cs="Arial"/>
        </w:rPr>
        <w:t>)</w:t>
      </w:r>
      <w:r w:rsidRPr="00131D8C">
        <w:rPr>
          <w:rFonts w:ascii="Arial" w:hAnsi="Arial" w:cs="Arial"/>
        </w:rPr>
        <w:t xml:space="preserve"> La Entidad Estatal debe publicar un informe de habilitación de los oferentes, en el cual debe indicar si los bienes o servicios ofrecidos por el interesado cumplen con la ficha técnica y si el oferente se encuentra habilitado.</w:t>
      </w:r>
      <w:bookmarkStart w:id="8" w:name="2.2.1.2.1.2.2.4"/>
      <w:bookmarkEnd w:id="8"/>
    </w:p>
    <w:p w14:paraId="67FA6BFC" w14:textId="77777777" w:rsidR="00895D6F" w:rsidRPr="00131D8C" w:rsidRDefault="00895D6F" w:rsidP="00895D6F">
      <w:pPr>
        <w:spacing w:after="120" w:line="276" w:lineRule="auto"/>
        <w:ind w:firstLine="708"/>
        <w:jc w:val="both"/>
        <w:rPr>
          <w:rFonts w:ascii="Arial" w:hAnsi="Arial" w:cs="Arial"/>
        </w:rPr>
      </w:pPr>
      <w:proofErr w:type="spellStart"/>
      <w:r>
        <w:rPr>
          <w:rFonts w:ascii="Arial" w:hAnsi="Arial" w:cs="Arial"/>
        </w:rPr>
        <w:t>iv</w:t>
      </w:r>
      <w:proofErr w:type="spellEnd"/>
      <w:r>
        <w:rPr>
          <w:rFonts w:ascii="Arial" w:hAnsi="Arial" w:cs="Arial"/>
        </w:rPr>
        <w:t xml:space="preserve">) </w:t>
      </w:r>
      <w:r w:rsidRPr="00131D8C">
        <w:rPr>
          <w:rFonts w:ascii="Arial" w:hAnsi="Arial" w:cs="Arial"/>
        </w:rPr>
        <w:t>Hay subasta inversa siempre que haya como mínimo dos oferentes habilitados cuyos bienes o servicios cumplen con la ficha técnica.</w:t>
      </w:r>
      <w:bookmarkStart w:id="9" w:name="2.2.1.2.1.2.2.5"/>
      <w:bookmarkEnd w:id="9"/>
    </w:p>
    <w:p w14:paraId="0D0D8B00" w14:textId="77777777" w:rsidR="00895D6F" w:rsidRPr="00131D8C" w:rsidRDefault="00895D6F" w:rsidP="00895D6F">
      <w:pPr>
        <w:spacing w:after="120" w:line="276" w:lineRule="auto"/>
        <w:ind w:firstLine="357"/>
        <w:jc w:val="both"/>
        <w:rPr>
          <w:rFonts w:ascii="Arial" w:hAnsi="Arial" w:cs="Arial"/>
        </w:rPr>
      </w:pPr>
      <w:r>
        <w:rPr>
          <w:rFonts w:ascii="Arial" w:hAnsi="Arial" w:cs="Arial"/>
        </w:rPr>
        <w:tab/>
        <w:t>v)</w:t>
      </w:r>
      <w:r w:rsidRPr="00131D8C">
        <w:rPr>
          <w:rFonts w:ascii="Arial" w:hAnsi="Arial" w:cs="Arial"/>
        </w:rPr>
        <w:t xml:space="preserve">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w:t>
      </w:r>
      <w:bookmarkStart w:id="10" w:name="2.2.1.2.1.2.2.6"/>
      <w:bookmarkEnd w:id="10"/>
      <w:r w:rsidRPr="00131D8C">
        <w:rPr>
          <w:rFonts w:ascii="Arial" w:hAnsi="Arial" w:cs="Arial"/>
        </w:rPr>
        <w:t xml:space="preserve"> </w:t>
      </w:r>
    </w:p>
    <w:p w14:paraId="5B9A3A6B" w14:textId="77777777" w:rsidR="00895D6F" w:rsidRPr="00131D8C" w:rsidRDefault="00895D6F" w:rsidP="00895D6F">
      <w:pPr>
        <w:spacing w:after="120" w:line="276" w:lineRule="auto"/>
        <w:ind w:firstLine="357"/>
        <w:jc w:val="both"/>
        <w:rPr>
          <w:rFonts w:ascii="Arial" w:hAnsi="Arial" w:cs="Arial"/>
        </w:rPr>
      </w:pPr>
      <w:r>
        <w:rPr>
          <w:rFonts w:ascii="Arial" w:hAnsi="Arial" w:cs="Arial"/>
        </w:rPr>
        <w:tab/>
        <w:t xml:space="preserve">vi) </w:t>
      </w:r>
      <w:r w:rsidRPr="00131D8C">
        <w:rPr>
          <w:rFonts w:ascii="Arial" w:hAnsi="Arial" w:cs="Arial"/>
        </w:rPr>
        <w:t>La subasta debe iniciar con el precio más bajo indicado por los oferentes y en consecuencia, solamente serán válidos los Lances efectuados durante la subasta inversa en los cuales la oferta sea mejorada en por lo menos el Margen Mínimo establecido.</w:t>
      </w:r>
      <w:bookmarkStart w:id="11" w:name="2.2.1.2.1.2.2.7"/>
      <w:bookmarkEnd w:id="11"/>
    </w:p>
    <w:p w14:paraId="46BFF649" w14:textId="77777777" w:rsidR="00895D6F" w:rsidRPr="00131D8C" w:rsidRDefault="00895D6F" w:rsidP="00895D6F">
      <w:pPr>
        <w:spacing w:after="120" w:line="276" w:lineRule="auto"/>
        <w:ind w:firstLine="708"/>
        <w:jc w:val="both"/>
        <w:rPr>
          <w:rFonts w:ascii="Arial" w:hAnsi="Arial" w:cs="Arial"/>
        </w:rPr>
      </w:pPr>
      <w:proofErr w:type="spellStart"/>
      <w:r>
        <w:rPr>
          <w:rFonts w:ascii="Arial" w:hAnsi="Arial" w:cs="Arial"/>
        </w:rPr>
        <w:t>vii</w:t>
      </w:r>
      <w:proofErr w:type="spellEnd"/>
      <w:r>
        <w:rPr>
          <w:rFonts w:ascii="Arial" w:hAnsi="Arial" w:cs="Arial"/>
        </w:rPr>
        <w:t xml:space="preserve">) </w:t>
      </w:r>
      <w:r w:rsidRPr="00131D8C">
        <w:rPr>
          <w:rFonts w:ascii="Arial" w:hAnsi="Arial" w:cs="Arial"/>
        </w:rPr>
        <w:t>Si los oferentes no presentan Lances durante la subasta, la Entidad Estatal debe adjudicar el contrato al oferente que haya presentado el precio inicial más bajo.</w:t>
      </w:r>
      <w:bookmarkStart w:id="12" w:name="2.2.1.2.1.2.2.8"/>
      <w:bookmarkEnd w:id="12"/>
    </w:p>
    <w:p w14:paraId="4D581913" w14:textId="77777777" w:rsidR="00895D6F" w:rsidRPr="00131D8C" w:rsidRDefault="00895D6F" w:rsidP="00895D6F">
      <w:pPr>
        <w:spacing w:after="120" w:line="276" w:lineRule="auto"/>
        <w:ind w:firstLine="357"/>
        <w:jc w:val="both"/>
        <w:rPr>
          <w:rFonts w:ascii="Arial" w:hAnsi="Arial" w:cs="Arial"/>
        </w:rPr>
      </w:pPr>
      <w:r>
        <w:rPr>
          <w:rFonts w:ascii="Arial" w:hAnsi="Arial" w:cs="Arial"/>
        </w:rPr>
        <w:tab/>
      </w:r>
      <w:proofErr w:type="spellStart"/>
      <w:r>
        <w:rPr>
          <w:rFonts w:ascii="Arial" w:hAnsi="Arial" w:cs="Arial"/>
        </w:rPr>
        <w:t>viii</w:t>
      </w:r>
      <w:proofErr w:type="spellEnd"/>
      <w:r>
        <w:rPr>
          <w:rFonts w:ascii="Arial" w:hAnsi="Arial" w:cs="Arial"/>
        </w:rPr>
        <w:t>)</w:t>
      </w:r>
      <w:r w:rsidRPr="00131D8C">
        <w:rPr>
          <w:rFonts w:ascii="Arial" w:hAnsi="Arial" w:cs="Arial"/>
        </w:rPr>
        <w:t>. Al terminar la presentación de cada Lance, la Entidad Estatal debe informar el valor del Lance más bajo.</w:t>
      </w:r>
      <w:bookmarkStart w:id="13" w:name="2.2.1.2.1.2.2.9"/>
      <w:bookmarkEnd w:id="13"/>
    </w:p>
    <w:p w14:paraId="47C6BD7A" w14:textId="77777777" w:rsidR="00895D6F" w:rsidRPr="00131D8C" w:rsidRDefault="00895D6F" w:rsidP="00895D6F">
      <w:pPr>
        <w:spacing w:after="120" w:line="276" w:lineRule="auto"/>
        <w:ind w:firstLine="708"/>
        <w:jc w:val="both"/>
        <w:rPr>
          <w:rFonts w:ascii="Arial" w:hAnsi="Arial" w:cs="Arial"/>
        </w:rPr>
      </w:pPr>
      <w:proofErr w:type="spellStart"/>
      <w:r>
        <w:rPr>
          <w:rFonts w:ascii="Arial" w:hAnsi="Arial" w:cs="Arial"/>
        </w:rPr>
        <w:t>ix</w:t>
      </w:r>
      <w:proofErr w:type="spellEnd"/>
      <w:r>
        <w:rPr>
          <w:rFonts w:ascii="Arial" w:hAnsi="Arial" w:cs="Arial"/>
        </w:rPr>
        <w:t xml:space="preserve">) </w:t>
      </w:r>
      <w:r w:rsidRPr="00131D8C">
        <w:rPr>
          <w:rFonts w:ascii="Arial" w:hAnsi="Arial" w:cs="Arial"/>
        </w:rPr>
        <w:t>Si al terminar la subasta inversa hay empate, la Entidad Estatal debe aplicar los criterios del artículo</w:t>
      </w:r>
      <w:r w:rsidRPr="00772710">
        <w:rPr>
          <w:rFonts w:ascii="Arial" w:hAnsi="Arial" w:cs="Arial"/>
        </w:rPr>
        <w:t> </w:t>
      </w:r>
      <w:hyperlink r:id="rId12" w:anchor="35" w:history="1">
        <w:r w:rsidRPr="000E622A">
          <w:rPr>
            <w:rStyle w:val="Hipervnculo"/>
            <w:rFonts w:ascii="Arial" w:hAnsi="Arial" w:cs="Arial"/>
          </w:rPr>
          <w:t>35</w:t>
        </w:r>
        <w:r w:rsidRPr="00131D8C">
          <w:rPr>
            <w:rStyle w:val="Hipervnculo"/>
            <w:rFonts w:ascii="Arial" w:hAnsi="Arial" w:cs="Arial"/>
          </w:rPr>
          <w:t> </w:t>
        </w:r>
      </w:hyperlink>
      <w:r w:rsidRPr="00131D8C">
        <w:rPr>
          <w:rFonts w:ascii="Arial" w:hAnsi="Arial" w:cs="Arial"/>
        </w:rPr>
        <w:t>de la Ley 2069 de 2020 conforme con los medios de acreditación del artículo 2.2.1.2.4.2 17 del presente Decreto.</w:t>
      </w:r>
    </w:p>
    <w:p w14:paraId="2E5FC76A" w14:textId="77777777" w:rsidR="00895D6F" w:rsidRPr="000E622A" w:rsidRDefault="00895D6F" w:rsidP="00895D6F">
      <w:pPr>
        <w:spacing w:after="120" w:line="276" w:lineRule="auto"/>
        <w:jc w:val="both"/>
        <w:textAlignment w:val="baseline"/>
        <w:rPr>
          <w:rFonts w:ascii="Arial" w:hAnsi="Arial" w:cs="Arial"/>
        </w:rPr>
      </w:pPr>
      <w:r w:rsidRPr="006A429D">
        <w:rPr>
          <w:rFonts w:ascii="Arial" w:eastAsia="Calibri" w:hAnsi="Arial" w:cs="Arial"/>
          <w:shd w:val="clear" w:color="auto" w:fill="FFFFFF"/>
        </w:rPr>
        <w:tab/>
        <w:t>De acuerdo con lo anterior, en aras de responder la consulta es necesario indicar que, a diferencia de lo previsto en el artículo 2.2.1.2.1.2.20 para el procedimiento de selección abreviada de menor cuantía</w:t>
      </w:r>
      <w:r w:rsidRPr="000E622A">
        <w:rPr>
          <w:rFonts w:ascii="Arial" w:hAnsi="Arial" w:cs="Arial"/>
        </w:rPr>
        <w:t>, el artículo 2.2.1.2.1.2.2</w:t>
      </w:r>
      <w:r w:rsidRPr="006A429D">
        <w:rPr>
          <w:rFonts w:ascii="Arial" w:hAnsi="Arial" w:cs="Arial"/>
        </w:rPr>
        <w:t xml:space="preserve"> no indica que deba publicarse un informe de evaluación tras la terminación de la subasta inversa. Si bien el numeral 2 de esta última </w:t>
      </w:r>
      <w:r w:rsidRPr="006A429D">
        <w:rPr>
          <w:rFonts w:ascii="Arial" w:hAnsi="Arial" w:cs="Arial"/>
        </w:rPr>
        <w:lastRenderedPageBreak/>
        <w:t xml:space="preserve">disposición señala que debe publicarse un informe, el contenido del mismo se limita al resultado del estudio dirigido a determinar si los oferentes se encuentran habilitados, </w:t>
      </w:r>
      <w:r>
        <w:rPr>
          <w:rFonts w:ascii="Arial" w:hAnsi="Arial" w:cs="Arial"/>
        </w:rPr>
        <w:t xml:space="preserve">por lo cual se refiere al documento como </w:t>
      </w:r>
      <w:r w:rsidRPr="000E622A">
        <w:rPr>
          <w:rFonts w:ascii="Arial" w:hAnsi="Arial" w:cs="Arial"/>
          <w:i/>
          <w:iCs/>
        </w:rPr>
        <w:t>informe de habilitación,</w:t>
      </w:r>
      <w:r>
        <w:rPr>
          <w:rFonts w:ascii="Arial" w:hAnsi="Arial" w:cs="Arial"/>
        </w:rPr>
        <w:t xml:space="preserve"> </w:t>
      </w:r>
      <w:r w:rsidRPr="006A429D">
        <w:rPr>
          <w:rFonts w:ascii="Arial" w:hAnsi="Arial" w:cs="Arial"/>
        </w:rPr>
        <w:t>el cual debe publicarse antes de la de la realización de la subasta a efectos de esclarecer quienes podrían participar en la misma</w:t>
      </w:r>
      <w:r>
        <w:rPr>
          <w:rFonts w:ascii="Arial" w:hAnsi="Arial" w:cs="Arial"/>
        </w:rPr>
        <w:t>, no habiendo óbice que impida publicarlo por el término de un día hábil a efectos de dar traslado del mismo a los interesados.</w:t>
      </w:r>
      <w:r w:rsidRPr="006A429D">
        <w:rPr>
          <w:rFonts w:ascii="Arial" w:hAnsi="Arial" w:cs="Arial"/>
        </w:rPr>
        <w:t xml:space="preserve"> </w:t>
      </w:r>
    </w:p>
    <w:p w14:paraId="2B71FC09" w14:textId="77777777" w:rsidR="00895D6F" w:rsidRDefault="00895D6F" w:rsidP="00895D6F">
      <w:pPr>
        <w:spacing w:after="120" w:line="276" w:lineRule="auto"/>
        <w:ind w:firstLine="705"/>
        <w:jc w:val="both"/>
        <w:textAlignment w:val="baseline"/>
        <w:rPr>
          <w:rFonts w:ascii="Arial" w:eastAsia="Calibri" w:hAnsi="Arial" w:cs="Arial"/>
          <w:shd w:val="clear" w:color="auto" w:fill="FFFFFF"/>
        </w:rPr>
      </w:pPr>
      <w:r w:rsidRPr="006A429D">
        <w:rPr>
          <w:rFonts w:ascii="Arial" w:eastAsia="Calibri" w:hAnsi="Arial" w:cs="Arial"/>
          <w:shd w:val="clear" w:color="auto" w:fill="FFFFFF"/>
        </w:rPr>
        <w:t xml:space="preserve">En cuanto a la terminación de la subasta, el artículo 2.2.1.2.1.2.4 del Decreto 1082 de 2015 señala que esta: «[…] </w:t>
      </w:r>
      <w:r w:rsidRPr="000E622A">
        <w:rPr>
          <w:rFonts w:ascii="Arial" w:hAnsi="Arial" w:cs="Arial"/>
          <w:color w:val="000000"/>
        </w:rPr>
        <w:t>termina cuando los oferentes no hagan Lances adicionales durante un período para la presentación de Lances. La Entidad Estatal debe adjudicar el contrato al oferente que haya presentado el Lance más bajo. En el acto de adjudicación, la Entidad Estatal indicará el nombre de los oferentes y el precio del último Lance presentado por cada uno de ellos».</w:t>
      </w:r>
      <w:r>
        <w:rPr>
          <w:rFonts w:ascii="Arial" w:hAnsi="Arial" w:cs="Arial"/>
          <w:color w:val="000000"/>
        </w:rPr>
        <w:t xml:space="preserve"> De acuerdo con esta norma, el procedimiento de subasta inversa termina sin la necesidad de que se publique un informe de evaluación análogo al establecido en el artículo </w:t>
      </w:r>
      <w:r w:rsidRPr="006A429D">
        <w:rPr>
          <w:rFonts w:ascii="Arial" w:eastAsia="Calibri" w:hAnsi="Arial" w:cs="Arial"/>
          <w:shd w:val="clear" w:color="auto" w:fill="FFFFFF"/>
        </w:rPr>
        <w:t>2.2.1.2.1.2.20</w:t>
      </w:r>
      <w:r>
        <w:rPr>
          <w:rFonts w:ascii="Arial" w:eastAsia="Calibri" w:hAnsi="Arial" w:cs="Arial"/>
          <w:shd w:val="clear" w:color="auto" w:fill="FFFFFF"/>
        </w:rPr>
        <w:t xml:space="preserve"> para procesos de selección abreviada de menor cuantía. </w:t>
      </w:r>
    </w:p>
    <w:p w14:paraId="4EDEA688" w14:textId="77777777" w:rsidR="00895D6F" w:rsidRDefault="00895D6F" w:rsidP="00895D6F">
      <w:pPr>
        <w:spacing w:after="120" w:line="276" w:lineRule="auto"/>
        <w:ind w:firstLine="705"/>
        <w:jc w:val="both"/>
        <w:textAlignment w:val="baseline"/>
        <w:rPr>
          <w:rFonts w:ascii="Arial" w:eastAsia="Calibri" w:hAnsi="Arial" w:cs="Arial"/>
          <w:shd w:val="clear" w:color="auto" w:fill="FFFFFF"/>
        </w:rPr>
      </w:pPr>
      <w:r>
        <w:rPr>
          <w:rFonts w:ascii="Arial" w:eastAsia="Calibri" w:hAnsi="Arial" w:cs="Arial"/>
          <w:shd w:val="clear" w:color="auto" w:fill="FFFFFF"/>
        </w:rPr>
        <w:t xml:space="preserve">Conforme a lo anterior, los artículos </w:t>
      </w:r>
      <w:r w:rsidRPr="00F307DE">
        <w:rPr>
          <w:rFonts w:ascii="Arial" w:hAnsi="Arial" w:cs="Arial"/>
        </w:rPr>
        <w:t>2.2.1.2.1.2.2</w:t>
      </w:r>
      <w:r w:rsidRPr="006A429D">
        <w:rPr>
          <w:rFonts w:ascii="Arial" w:hAnsi="Arial" w:cs="Arial"/>
        </w:rPr>
        <w:t xml:space="preserve"> </w:t>
      </w:r>
      <w:r>
        <w:rPr>
          <w:rFonts w:ascii="Arial" w:hAnsi="Arial" w:cs="Arial"/>
        </w:rPr>
        <w:t xml:space="preserve">y </w:t>
      </w:r>
      <w:r w:rsidRPr="006A429D">
        <w:rPr>
          <w:rFonts w:ascii="Arial" w:eastAsia="Calibri" w:hAnsi="Arial" w:cs="Arial"/>
          <w:shd w:val="clear" w:color="auto" w:fill="FFFFFF"/>
        </w:rPr>
        <w:t>2.2.1.2.1.2.4</w:t>
      </w:r>
      <w:r>
        <w:rPr>
          <w:rFonts w:ascii="Arial" w:eastAsia="Calibri" w:hAnsi="Arial" w:cs="Arial"/>
          <w:shd w:val="clear" w:color="auto" w:fill="FFFFFF"/>
        </w:rPr>
        <w:t xml:space="preserve"> no prevén la publicación de un informe de evaluación</w:t>
      </w:r>
      <w:r w:rsidRPr="006A429D">
        <w:rPr>
          <w:rFonts w:ascii="Arial" w:eastAsia="Calibri" w:hAnsi="Arial" w:cs="Arial"/>
          <w:shd w:val="clear" w:color="auto" w:fill="FFFFFF"/>
        </w:rPr>
        <w:t xml:space="preserve"> </w:t>
      </w:r>
      <w:r>
        <w:rPr>
          <w:rFonts w:ascii="Arial" w:eastAsia="Calibri" w:hAnsi="Arial" w:cs="Arial"/>
          <w:shd w:val="clear" w:color="auto" w:fill="FFFFFF"/>
        </w:rPr>
        <w:t xml:space="preserve">como una actuación que haga parte del procedimiento establecido por el reglamento para desarrollar compras a través de la modalidad de selección abreviada mediante el mecanismo de subasta inversa, por esta razón se estima que no resulta procedente su elaboración y publicación, en tanto comportaría una actuación contemplada en el procedimiento. Esto en particular considerando que la eventual contradicción de los aspectos relativos a la evaluación debe darse, ya sea dentro del traslado del informe de habilitación o, dentro del término preciso para recurrir el acto de adjudicación. </w:t>
      </w:r>
    </w:p>
    <w:p w14:paraId="4EA79143" w14:textId="77777777" w:rsidR="00895D6F" w:rsidRPr="006A429D" w:rsidRDefault="00895D6F" w:rsidP="00895D6F">
      <w:pPr>
        <w:spacing w:after="120" w:line="276" w:lineRule="auto"/>
        <w:ind w:firstLine="705"/>
        <w:jc w:val="both"/>
        <w:textAlignment w:val="baseline"/>
        <w:rPr>
          <w:rFonts w:ascii="Arial" w:eastAsia="Calibri" w:hAnsi="Arial" w:cs="Arial"/>
          <w:shd w:val="clear" w:color="auto" w:fill="FFFFFF"/>
        </w:rPr>
      </w:pPr>
      <w:r>
        <w:rPr>
          <w:rFonts w:ascii="Arial" w:eastAsia="Calibri" w:hAnsi="Arial" w:cs="Arial"/>
          <w:shd w:val="clear" w:color="auto" w:fill="FFFFFF"/>
        </w:rPr>
        <w:t xml:space="preserve">  </w:t>
      </w:r>
    </w:p>
    <w:p w14:paraId="0D7C99B9" w14:textId="77777777" w:rsidR="00895D6F" w:rsidRPr="00D47C6A" w:rsidRDefault="00895D6F" w:rsidP="00895D6F">
      <w:pPr>
        <w:numPr>
          <w:ilvl w:val="0"/>
          <w:numId w:val="1"/>
        </w:numPr>
        <w:spacing w:after="0" w:line="240" w:lineRule="auto"/>
        <w:contextualSpacing/>
        <w:jc w:val="both"/>
        <w:textAlignment w:val="baseline"/>
        <w:rPr>
          <w:rFonts w:ascii="Arial" w:eastAsia="Times New Roman" w:hAnsi="Arial" w:cs="Arial"/>
          <w:b/>
          <w:bCs/>
          <w:lang w:eastAsia="es-CO"/>
        </w:rPr>
      </w:pPr>
      <w:r w:rsidRPr="00D47C6A">
        <w:rPr>
          <w:rFonts w:ascii="Arial" w:eastAsia="Times New Roman" w:hAnsi="Arial" w:cs="Arial"/>
          <w:b/>
          <w:bCs/>
          <w:lang w:eastAsia="es-CO"/>
        </w:rPr>
        <w:t>Respuesta</w:t>
      </w:r>
    </w:p>
    <w:p w14:paraId="002214A5" w14:textId="77777777" w:rsidR="00895D6F" w:rsidRPr="00D47C6A" w:rsidRDefault="00895D6F" w:rsidP="00895D6F">
      <w:pPr>
        <w:spacing w:after="0" w:line="240" w:lineRule="auto"/>
        <w:ind w:left="360"/>
        <w:contextualSpacing/>
        <w:jc w:val="both"/>
        <w:textAlignment w:val="baseline"/>
        <w:rPr>
          <w:rFonts w:ascii="Arial" w:eastAsia="Times New Roman" w:hAnsi="Arial" w:cs="Arial"/>
          <w:b/>
          <w:bCs/>
          <w:lang w:eastAsia="es-CO"/>
        </w:rPr>
      </w:pPr>
    </w:p>
    <w:p w14:paraId="367EA787" w14:textId="77777777" w:rsidR="00895D6F" w:rsidRPr="000E622A" w:rsidRDefault="00895D6F" w:rsidP="00895D6F">
      <w:pPr>
        <w:spacing w:after="0" w:line="240" w:lineRule="auto"/>
        <w:ind w:left="709" w:right="709"/>
        <w:contextualSpacing/>
        <w:jc w:val="both"/>
        <w:rPr>
          <w:rFonts w:ascii="Arial" w:eastAsia="Arial" w:hAnsi="Arial" w:cs="Arial"/>
          <w:sz w:val="21"/>
          <w:szCs w:val="21"/>
          <w:lang w:val="es-ES" w:eastAsia="es-ES" w:bidi="es-ES"/>
        </w:rPr>
      </w:pPr>
      <w:r w:rsidRPr="000E622A">
        <w:rPr>
          <w:rFonts w:ascii="Arial" w:eastAsia="Arial" w:hAnsi="Arial" w:cs="Arial"/>
          <w:sz w:val="21"/>
          <w:szCs w:val="21"/>
          <w:lang w:val="es-ES" w:eastAsia="es-ES" w:bidi="es-ES"/>
        </w:rPr>
        <w:t>«</w:t>
      </w:r>
      <w:r w:rsidRPr="000E622A">
        <w:rPr>
          <w:rFonts w:ascii="Arial" w:hAnsi="Arial" w:cs="Arial"/>
          <w:sz w:val="21"/>
          <w:szCs w:val="21"/>
        </w:rPr>
        <w:t>En consideración que a diferencia de la selección abreviada de menor cuantía (artículo 2.2.1.2.1.2.20 del Decreto 1082 de 2015) entre otras modalidades, la selección abreviada de subasta inversa no tiene señalado un plazo mínimo de traslado del informe de evaluación de las ofertas, se hace la siguiente consulta ¿una entidad pública podría señalar en una subasta inversa un traslado de evaluación de ofertas por un día hábil?</w:t>
      </w:r>
      <w:r w:rsidRPr="000E622A">
        <w:rPr>
          <w:rFonts w:ascii="Arial" w:eastAsia="Arial" w:hAnsi="Arial" w:cs="Arial"/>
          <w:sz w:val="21"/>
          <w:szCs w:val="21"/>
        </w:rPr>
        <w:t>»</w:t>
      </w:r>
      <w:r w:rsidRPr="000E622A">
        <w:rPr>
          <w:rFonts w:ascii="Arial" w:eastAsia="Arial" w:hAnsi="Arial" w:cs="Arial"/>
          <w:sz w:val="21"/>
          <w:szCs w:val="21"/>
          <w:lang w:val="es-ES" w:eastAsia="es-ES" w:bidi="es-ES"/>
        </w:rPr>
        <w:t xml:space="preserve"> </w:t>
      </w:r>
    </w:p>
    <w:p w14:paraId="33EDB89E" w14:textId="77777777" w:rsidR="00895D6F" w:rsidRPr="00D47C6A" w:rsidRDefault="00895D6F" w:rsidP="00895D6F">
      <w:pPr>
        <w:spacing w:after="0" w:line="240" w:lineRule="auto"/>
        <w:contextualSpacing/>
        <w:jc w:val="both"/>
        <w:rPr>
          <w:rFonts w:ascii="Arial" w:eastAsia="Arial" w:hAnsi="Arial" w:cs="Arial"/>
          <w:lang w:val="es-ES" w:eastAsia="es-ES" w:bidi="es-ES"/>
        </w:rPr>
      </w:pPr>
    </w:p>
    <w:p w14:paraId="41D04DB4" w14:textId="77777777" w:rsidR="00895D6F" w:rsidRDefault="00895D6F" w:rsidP="00895D6F">
      <w:pPr>
        <w:spacing w:after="120" w:line="276" w:lineRule="auto"/>
        <w:jc w:val="both"/>
        <w:rPr>
          <w:rFonts w:ascii="Arial" w:hAnsi="Arial" w:cs="Arial"/>
        </w:rPr>
      </w:pPr>
      <w:r>
        <w:rPr>
          <w:rFonts w:ascii="Arial" w:hAnsi="Arial" w:cs="Arial"/>
          <w:lang w:val="es-ES"/>
        </w:rPr>
        <w:t xml:space="preserve">Conforme a lo expuesto, a diferencia de lo establecido en el </w:t>
      </w:r>
      <w:r w:rsidRPr="00D47C6A">
        <w:rPr>
          <w:rFonts w:ascii="Arial" w:hAnsi="Arial" w:cs="Arial"/>
        </w:rPr>
        <w:t xml:space="preserve">numeral 4 del artículo 2.2.1.2.1.2.20 del Decreto 1082 de 2015 </w:t>
      </w:r>
      <w:r>
        <w:rPr>
          <w:rFonts w:ascii="Arial" w:hAnsi="Arial" w:cs="Arial"/>
        </w:rPr>
        <w:t xml:space="preserve">para </w:t>
      </w:r>
      <w:r w:rsidRPr="00D47C6A">
        <w:rPr>
          <w:rFonts w:ascii="Arial" w:hAnsi="Arial" w:cs="Arial"/>
        </w:rPr>
        <w:t xml:space="preserve">el procedimiento para la selección abreviada de menor cuantía, </w:t>
      </w:r>
      <w:r>
        <w:rPr>
          <w:rFonts w:ascii="Arial" w:hAnsi="Arial" w:cs="Arial"/>
        </w:rPr>
        <w:t xml:space="preserve">en el que se indica que tras analizarse la propuesta la Entidad Estatal </w:t>
      </w:r>
      <w:r w:rsidRPr="00D47C6A">
        <w:rPr>
          <w:rFonts w:ascii="Arial" w:hAnsi="Arial" w:cs="Arial"/>
        </w:rPr>
        <w:t xml:space="preserve">  </w:t>
      </w:r>
      <w:proofErr w:type="gramStart"/>
      <w:r w:rsidRPr="00D47C6A">
        <w:rPr>
          <w:rFonts w:ascii="Arial" w:hAnsi="Arial" w:cs="Arial"/>
        </w:rPr>
        <w:t>debe  publicar</w:t>
      </w:r>
      <w:proofErr w:type="gramEnd"/>
      <w:r w:rsidRPr="00D47C6A">
        <w:rPr>
          <w:rFonts w:ascii="Arial" w:hAnsi="Arial" w:cs="Arial"/>
        </w:rPr>
        <w:t xml:space="preserve"> </w:t>
      </w:r>
      <w:r>
        <w:rPr>
          <w:rFonts w:ascii="Arial" w:hAnsi="Arial" w:cs="Arial"/>
        </w:rPr>
        <w:t xml:space="preserve">un </w:t>
      </w:r>
      <w:r w:rsidRPr="00D47C6A">
        <w:rPr>
          <w:rFonts w:ascii="Arial" w:hAnsi="Arial" w:cs="Arial"/>
        </w:rPr>
        <w:t xml:space="preserve">informe de evaluación durante tres (3) días hábiles,  </w:t>
      </w:r>
      <w:r>
        <w:rPr>
          <w:rFonts w:ascii="Arial" w:hAnsi="Arial" w:cs="Arial"/>
        </w:rPr>
        <w:t xml:space="preserve">el artículo </w:t>
      </w:r>
      <w:r w:rsidRPr="00F307DE">
        <w:rPr>
          <w:rFonts w:ascii="Arial" w:hAnsi="Arial" w:cs="Arial"/>
        </w:rPr>
        <w:t>2.2.1.2.1.2.2</w:t>
      </w:r>
      <w:r>
        <w:rPr>
          <w:rFonts w:ascii="Arial" w:hAnsi="Arial" w:cs="Arial"/>
        </w:rPr>
        <w:t xml:space="preserve"> no prevé una actuación análoga para el procedimiento de selección abreviada mediante el mecanismo de subasta inversa. De hecho, </w:t>
      </w:r>
      <w:r w:rsidRPr="006A429D">
        <w:rPr>
          <w:rFonts w:ascii="Arial" w:eastAsia="Calibri" w:hAnsi="Arial" w:cs="Arial"/>
          <w:shd w:val="clear" w:color="auto" w:fill="FFFFFF"/>
        </w:rPr>
        <w:t>el artículo 2.2.1.2.1.2.4 del Decreto 1082 de 2015 señala que esta: «</w:t>
      </w:r>
      <w:r>
        <w:rPr>
          <w:rFonts w:ascii="Arial" w:eastAsia="Calibri" w:hAnsi="Arial" w:cs="Arial"/>
          <w:shd w:val="clear" w:color="auto" w:fill="FFFFFF"/>
        </w:rPr>
        <w:t>La subasta</w:t>
      </w:r>
      <w:r w:rsidRPr="006A429D">
        <w:rPr>
          <w:rFonts w:ascii="Arial" w:eastAsia="Calibri" w:hAnsi="Arial" w:cs="Arial"/>
          <w:shd w:val="clear" w:color="auto" w:fill="FFFFFF"/>
        </w:rPr>
        <w:t xml:space="preserve"> </w:t>
      </w:r>
      <w:r w:rsidRPr="00F307DE">
        <w:rPr>
          <w:rFonts w:ascii="Arial" w:hAnsi="Arial" w:cs="Arial"/>
          <w:color w:val="000000"/>
        </w:rPr>
        <w:t>termina cuando los oferentes no hagan Lances adicionales durante un período para la presentación de Lances. La Entidad Estatal debe adjudicar el contrato al oferente que haya presentado el Lance más bajo. En el acto de adjudicación, la Entidad Estatal indicará el nombre de los oferentes y el precio del último Lance presentado por cada uno de ellos».</w:t>
      </w:r>
    </w:p>
    <w:p w14:paraId="6F41D717" w14:textId="77777777" w:rsidR="00895D6F" w:rsidRDefault="00895D6F" w:rsidP="00895D6F">
      <w:pPr>
        <w:spacing w:after="0" w:line="276" w:lineRule="auto"/>
        <w:contextualSpacing/>
        <w:jc w:val="both"/>
        <w:rPr>
          <w:rFonts w:ascii="Arial" w:hAnsi="Arial" w:cs="Arial"/>
        </w:rPr>
      </w:pPr>
      <w:r>
        <w:rPr>
          <w:rFonts w:ascii="Arial" w:hAnsi="Arial" w:cs="Arial"/>
        </w:rPr>
        <w:tab/>
        <w:t xml:space="preserve">De acuerdo con esto, no estando prevista la publicación de un informe de evaluación como una actuación que haga parte del procedimiento de selección abreviada de subasta </w:t>
      </w:r>
      <w:r>
        <w:rPr>
          <w:rFonts w:ascii="Arial" w:hAnsi="Arial" w:cs="Arial"/>
        </w:rPr>
        <w:lastRenderedPageBreak/>
        <w:t xml:space="preserve">inversa, se estima que resulta improcedente su elaboración y publicación. Esto por supuesto sin prejuicio de la publicación del informe de habilitación al que hace referencia el numeral 2 del artículo </w:t>
      </w:r>
      <w:r w:rsidRPr="00F307DE">
        <w:rPr>
          <w:rFonts w:ascii="Arial" w:hAnsi="Arial" w:cs="Arial"/>
        </w:rPr>
        <w:t>2.2.1.2.1.2.2</w:t>
      </w:r>
      <w:r>
        <w:rPr>
          <w:rFonts w:ascii="Arial" w:hAnsi="Arial" w:cs="Arial"/>
        </w:rPr>
        <w:t xml:space="preserve"> del Decreto 1082 de 2015, el cual se debe publicar antes de la realización de la subasta. </w:t>
      </w:r>
    </w:p>
    <w:p w14:paraId="4BE5925A" w14:textId="77777777" w:rsidR="00895D6F" w:rsidRPr="00D47C6A" w:rsidRDefault="00895D6F" w:rsidP="00895D6F">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412C706B" w14:textId="77777777" w:rsidR="00895D6F" w:rsidRPr="00D47C6A" w:rsidRDefault="00895D6F" w:rsidP="00895D6F">
      <w:pPr>
        <w:spacing w:after="0" w:line="276" w:lineRule="auto"/>
        <w:contextualSpacing/>
        <w:jc w:val="both"/>
        <w:rPr>
          <w:rFonts w:ascii="Arial" w:eastAsia="Arial" w:hAnsi="Arial" w:cs="Arial"/>
          <w:lang w:val="es-MX" w:eastAsia="es-ES_tradnl"/>
        </w:rPr>
      </w:pPr>
      <w:r w:rsidRPr="00D47C6A">
        <w:rPr>
          <w:rFonts w:ascii="Arial" w:eastAsia="Arial" w:hAnsi="Arial" w:cs="Arial"/>
          <w:lang w:val="es-MX" w:eastAsia="es-ES_tradnl"/>
        </w:rPr>
        <w:t>Este concepto tiene el alcance previsto en el artículo 28 del Código de Procedimiento Administrativo y de lo Contencioso Administrativo</w:t>
      </w:r>
      <w:r w:rsidRPr="00D47C6A">
        <w:rPr>
          <w:rFonts w:ascii="Arial" w:eastAsia="Calibri" w:hAnsi="Arial" w:cs="Arial"/>
        </w:rPr>
        <w:t xml:space="preserve"> las expresiones aquí utilizadas con mayúscula inicial deben ser entendidas con el significado que les otorga el artículo 2.2.1.1.1.3.1. del Decreto 1082 de 2015</w:t>
      </w:r>
      <w:r w:rsidRPr="00D47C6A">
        <w:rPr>
          <w:rFonts w:ascii="Arial" w:eastAsia="Arial" w:hAnsi="Arial" w:cs="Arial"/>
          <w:lang w:val="es-MX" w:eastAsia="es-ES_tradnl"/>
        </w:rPr>
        <w:t>.</w:t>
      </w:r>
    </w:p>
    <w:p w14:paraId="60E19E06" w14:textId="77777777" w:rsidR="00895D6F" w:rsidRPr="00D47C6A" w:rsidRDefault="00895D6F" w:rsidP="00895D6F">
      <w:pPr>
        <w:spacing w:after="0" w:line="240" w:lineRule="auto"/>
        <w:contextualSpacing/>
        <w:jc w:val="both"/>
        <w:rPr>
          <w:rFonts w:ascii="Arial" w:eastAsia="Arial" w:hAnsi="Arial" w:cs="Arial"/>
          <w:lang w:val="es-MX" w:eastAsia="es-ES_tradnl"/>
        </w:rPr>
      </w:pPr>
    </w:p>
    <w:p w14:paraId="4A782E43" w14:textId="77777777" w:rsidR="00895D6F" w:rsidRPr="00D47C6A" w:rsidRDefault="00895D6F" w:rsidP="00895D6F">
      <w:pPr>
        <w:spacing w:after="0" w:line="240" w:lineRule="auto"/>
        <w:contextualSpacing/>
        <w:jc w:val="both"/>
        <w:rPr>
          <w:rFonts w:ascii="Arial" w:eastAsia="Calibri" w:hAnsi="Arial" w:cs="Arial"/>
          <w:noProof/>
          <w:lang w:val="es-MX" w:eastAsia="es-CO"/>
        </w:rPr>
      </w:pPr>
      <w:r w:rsidRPr="00D47C6A">
        <w:rPr>
          <w:rFonts w:ascii="Arial" w:eastAsia="Times New Roman" w:hAnsi="Arial" w:cs="Arial"/>
          <w:lang w:val="es-ES" w:eastAsia="es-CO"/>
        </w:rPr>
        <w:t>Atentamente,</w:t>
      </w:r>
      <w:r w:rsidRPr="00D47C6A">
        <w:rPr>
          <w:rFonts w:ascii="Arial" w:eastAsia="Calibri" w:hAnsi="Arial" w:cs="Arial"/>
          <w:noProof/>
          <w:lang w:val="es-MX" w:eastAsia="es-CO"/>
        </w:rPr>
        <w:t xml:space="preserve"> </w:t>
      </w:r>
    </w:p>
    <w:p w14:paraId="7F939142" w14:textId="77777777" w:rsidR="00895D6F" w:rsidRPr="00D47C6A" w:rsidRDefault="00895D6F" w:rsidP="00895D6F">
      <w:pPr>
        <w:spacing w:after="0" w:line="240" w:lineRule="auto"/>
        <w:contextualSpacing/>
        <w:jc w:val="both"/>
        <w:rPr>
          <w:rFonts w:ascii="Arial" w:eastAsia="Calibri" w:hAnsi="Arial" w:cs="Arial"/>
          <w:noProof/>
          <w:lang w:val="es-MX" w:eastAsia="es-CO"/>
        </w:rPr>
      </w:pPr>
    </w:p>
    <w:p w14:paraId="5B3897C5" w14:textId="23819629" w:rsidR="00895D6F" w:rsidRPr="00D47C6A" w:rsidRDefault="00FB77F9" w:rsidP="00895D6F">
      <w:pPr>
        <w:spacing w:after="0" w:line="240" w:lineRule="auto"/>
        <w:contextualSpacing/>
        <w:jc w:val="center"/>
        <w:rPr>
          <w:rFonts w:ascii="Arial" w:eastAsia="Times New Roman" w:hAnsi="Arial" w:cs="Arial"/>
          <w:lang w:val="es-ES" w:eastAsia="es-CO"/>
        </w:rPr>
      </w:pPr>
      <w:r>
        <w:rPr>
          <w:noProof/>
        </w:rPr>
        <w:drawing>
          <wp:inline distT="0" distB="0" distL="0" distR="0" wp14:anchorId="3D6A5911" wp14:editId="33E7C787">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25235814" w14:textId="77777777" w:rsidR="00895D6F" w:rsidRPr="00D47C6A" w:rsidRDefault="00895D6F" w:rsidP="00895D6F">
      <w:pPr>
        <w:spacing w:after="0" w:line="240" w:lineRule="auto"/>
        <w:ind w:left="708" w:hanging="708"/>
        <w:jc w:val="center"/>
        <w:rPr>
          <w:rFonts w:ascii="Arial" w:eastAsia="Times New Roman" w:hAnsi="Arial" w:cs="Arial"/>
          <w:lang w:val="es-ES" w:eastAsia="es-CO"/>
        </w:rPr>
      </w:pPr>
      <w:r w:rsidRPr="00D47C6A">
        <w:rPr>
          <w:rFonts w:ascii="Arial" w:hAnsi="Arial" w:cs="Arial"/>
          <w:color w:val="000000"/>
          <w:shd w:val="clear" w:color="auto" w:fill="FFFFFF"/>
          <w:lang w:val="es-ES"/>
        </w:rPr>
        <w:br/>
      </w:r>
    </w:p>
    <w:tbl>
      <w:tblP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895D6F" w:rsidRPr="00D47C6A" w14:paraId="2063FBBB" w14:textId="77777777" w:rsidTr="000E622A">
        <w:trPr>
          <w:trHeight w:val="315"/>
        </w:trPr>
        <w:tc>
          <w:tcPr>
            <w:tcW w:w="812" w:type="dxa"/>
            <w:vAlign w:val="center"/>
          </w:tcPr>
          <w:p w14:paraId="57F6C63D" w14:textId="77777777" w:rsidR="00895D6F" w:rsidRPr="00D47C6A" w:rsidRDefault="00895D6F" w:rsidP="000E622A">
            <w:pPr>
              <w:spacing w:after="0" w:line="240" w:lineRule="auto"/>
              <w:rPr>
                <w:rFonts w:ascii="Arial" w:hAnsi="Arial" w:cs="Arial"/>
                <w:bCs/>
                <w:sz w:val="16"/>
                <w:szCs w:val="16"/>
                <w:lang w:eastAsia="es-CO"/>
              </w:rPr>
            </w:pPr>
            <w:r w:rsidRPr="00D47C6A">
              <w:rPr>
                <w:rFonts w:ascii="Arial" w:hAnsi="Arial" w:cs="Arial"/>
                <w:bCs/>
                <w:sz w:val="16"/>
                <w:szCs w:val="16"/>
                <w:lang w:eastAsia="es-CO"/>
              </w:rPr>
              <w:t>Elaboró:</w:t>
            </w:r>
          </w:p>
        </w:tc>
        <w:tc>
          <w:tcPr>
            <w:tcW w:w="4413" w:type="dxa"/>
            <w:tcBorders>
              <w:top w:val="nil"/>
              <w:left w:val="nil"/>
              <w:bottom w:val="dotted" w:sz="4" w:space="0" w:color="7F7F7F"/>
              <w:right w:val="nil"/>
            </w:tcBorders>
            <w:vAlign w:val="center"/>
          </w:tcPr>
          <w:p w14:paraId="311FFD3C" w14:textId="77777777" w:rsidR="00895D6F" w:rsidRPr="00D47C6A" w:rsidRDefault="00895D6F" w:rsidP="000E622A">
            <w:pPr>
              <w:spacing w:after="0" w:line="240" w:lineRule="auto"/>
              <w:rPr>
                <w:rFonts w:ascii="Arial" w:hAnsi="Arial" w:cs="Arial"/>
                <w:bCs/>
                <w:sz w:val="16"/>
                <w:szCs w:val="16"/>
                <w:lang w:eastAsia="es-CO"/>
              </w:rPr>
            </w:pPr>
            <w:r w:rsidRPr="00D47C6A">
              <w:rPr>
                <w:rFonts w:ascii="Arial" w:hAnsi="Arial" w:cs="Arial"/>
                <w:bCs/>
                <w:sz w:val="16"/>
                <w:szCs w:val="16"/>
                <w:lang w:eastAsia="es-CO"/>
              </w:rPr>
              <w:t xml:space="preserve">María Valeska Medellín Mora </w:t>
            </w:r>
          </w:p>
          <w:p w14:paraId="3342AFEE" w14:textId="77777777" w:rsidR="00895D6F" w:rsidRPr="00D47C6A" w:rsidRDefault="00895D6F" w:rsidP="000E622A">
            <w:pPr>
              <w:spacing w:after="0" w:line="240" w:lineRule="auto"/>
              <w:rPr>
                <w:rFonts w:ascii="Arial" w:hAnsi="Arial" w:cs="Arial"/>
                <w:bCs/>
                <w:sz w:val="16"/>
                <w:szCs w:val="16"/>
                <w:lang w:eastAsia="es-CO"/>
              </w:rPr>
            </w:pPr>
            <w:r w:rsidRPr="00D47C6A">
              <w:rPr>
                <w:rFonts w:ascii="Arial" w:hAnsi="Arial" w:cs="Arial"/>
                <w:bCs/>
                <w:sz w:val="16"/>
                <w:szCs w:val="16"/>
                <w:lang w:eastAsia="es-CO"/>
              </w:rPr>
              <w:t>Gestor T1- 15 Subdirección de Gestión Contractual</w:t>
            </w:r>
          </w:p>
        </w:tc>
      </w:tr>
      <w:tr w:rsidR="00895D6F" w:rsidRPr="00D47C6A" w14:paraId="1855B7C6" w14:textId="77777777" w:rsidTr="000E622A">
        <w:trPr>
          <w:trHeight w:val="330"/>
        </w:trPr>
        <w:tc>
          <w:tcPr>
            <w:tcW w:w="812" w:type="dxa"/>
            <w:vAlign w:val="center"/>
          </w:tcPr>
          <w:p w14:paraId="36BCE63D" w14:textId="77777777" w:rsidR="00895D6F" w:rsidRPr="00D47C6A" w:rsidRDefault="00895D6F" w:rsidP="000E622A">
            <w:pPr>
              <w:spacing w:after="0" w:line="240" w:lineRule="auto"/>
              <w:rPr>
                <w:rFonts w:ascii="Arial" w:hAnsi="Arial" w:cs="Arial"/>
                <w:bCs/>
                <w:sz w:val="16"/>
                <w:szCs w:val="16"/>
                <w:lang w:eastAsia="es-CO"/>
              </w:rPr>
            </w:pPr>
            <w:r w:rsidRPr="00D47C6A">
              <w:rPr>
                <w:rFonts w:ascii="Arial" w:hAnsi="Arial" w:cs="Arial"/>
                <w:bCs/>
                <w:sz w:val="16"/>
                <w:szCs w:val="16"/>
                <w:lang w:eastAsia="es-CO"/>
              </w:rPr>
              <w:t>Revisó:</w:t>
            </w:r>
          </w:p>
        </w:tc>
        <w:tc>
          <w:tcPr>
            <w:tcW w:w="4413" w:type="dxa"/>
            <w:tcBorders>
              <w:top w:val="dotted" w:sz="4" w:space="0" w:color="7F7F7F"/>
              <w:left w:val="nil"/>
              <w:bottom w:val="dotted" w:sz="4" w:space="0" w:color="7F7F7F"/>
              <w:right w:val="nil"/>
            </w:tcBorders>
            <w:vAlign w:val="center"/>
          </w:tcPr>
          <w:p w14:paraId="07D97992" w14:textId="77777777" w:rsidR="00895D6F" w:rsidRPr="00D47C6A" w:rsidRDefault="00895D6F" w:rsidP="000E622A">
            <w:pPr>
              <w:spacing w:after="0" w:line="240" w:lineRule="auto"/>
              <w:rPr>
                <w:rFonts w:ascii="Arial" w:hAnsi="Arial" w:cs="Arial"/>
                <w:bCs/>
                <w:sz w:val="16"/>
                <w:szCs w:val="16"/>
                <w:lang w:eastAsia="es-CO"/>
              </w:rPr>
            </w:pPr>
            <w:r w:rsidRPr="00D47C6A">
              <w:rPr>
                <w:rFonts w:ascii="Arial" w:hAnsi="Arial" w:cs="Arial"/>
                <w:bCs/>
                <w:sz w:val="16"/>
                <w:szCs w:val="16"/>
                <w:lang w:eastAsia="es-CO"/>
              </w:rPr>
              <w:t xml:space="preserve">Alejandro Sarmiento </w:t>
            </w:r>
            <w:r>
              <w:rPr>
                <w:rFonts w:ascii="Arial" w:hAnsi="Arial" w:cs="Arial"/>
                <w:bCs/>
                <w:sz w:val="16"/>
                <w:szCs w:val="16"/>
                <w:lang w:eastAsia="es-CO"/>
              </w:rPr>
              <w:t>Cantillo</w:t>
            </w:r>
          </w:p>
          <w:p w14:paraId="3D198D7D" w14:textId="77777777" w:rsidR="00895D6F" w:rsidRPr="00D47C6A" w:rsidRDefault="00895D6F" w:rsidP="000E622A">
            <w:pPr>
              <w:spacing w:after="0" w:line="240" w:lineRule="auto"/>
              <w:rPr>
                <w:rFonts w:ascii="Arial" w:hAnsi="Arial" w:cs="Arial"/>
                <w:bCs/>
                <w:sz w:val="16"/>
                <w:szCs w:val="16"/>
                <w:lang w:eastAsia="es-CO"/>
              </w:rPr>
            </w:pPr>
            <w:r w:rsidRPr="00D47C6A">
              <w:rPr>
                <w:rFonts w:ascii="Arial" w:hAnsi="Arial" w:cs="Arial"/>
                <w:bCs/>
                <w:sz w:val="16"/>
                <w:szCs w:val="16"/>
                <w:lang w:eastAsia="es-CO"/>
              </w:rPr>
              <w:t>Gestor T1- 15 Subdirección de Gestión Contractual</w:t>
            </w:r>
          </w:p>
        </w:tc>
      </w:tr>
      <w:tr w:rsidR="00895D6F" w:rsidRPr="00C73BEF" w14:paraId="27E10E40" w14:textId="77777777" w:rsidTr="000E622A">
        <w:trPr>
          <w:trHeight w:val="300"/>
        </w:trPr>
        <w:tc>
          <w:tcPr>
            <w:tcW w:w="812" w:type="dxa"/>
            <w:vAlign w:val="center"/>
          </w:tcPr>
          <w:p w14:paraId="2B77E5B9" w14:textId="77777777" w:rsidR="00895D6F" w:rsidRPr="00D47C6A" w:rsidRDefault="00895D6F" w:rsidP="000E622A">
            <w:pPr>
              <w:spacing w:after="0" w:line="240" w:lineRule="auto"/>
              <w:rPr>
                <w:rFonts w:ascii="Arial" w:hAnsi="Arial" w:cs="Arial"/>
                <w:bCs/>
                <w:sz w:val="16"/>
                <w:szCs w:val="16"/>
                <w:lang w:eastAsia="es-CO"/>
              </w:rPr>
            </w:pPr>
            <w:r w:rsidRPr="00D47C6A">
              <w:rPr>
                <w:rFonts w:ascii="Arial" w:hAnsi="Arial" w:cs="Arial"/>
                <w:bCs/>
                <w:sz w:val="16"/>
                <w:szCs w:val="16"/>
                <w:lang w:eastAsia="es-CO"/>
              </w:rPr>
              <w:t>Aprobó:</w:t>
            </w:r>
          </w:p>
        </w:tc>
        <w:tc>
          <w:tcPr>
            <w:tcW w:w="4413" w:type="dxa"/>
            <w:tcBorders>
              <w:top w:val="dotted" w:sz="4" w:space="0" w:color="7F7F7F"/>
              <w:left w:val="nil"/>
              <w:bottom w:val="dotted" w:sz="4" w:space="0" w:color="7F7F7F"/>
              <w:right w:val="nil"/>
            </w:tcBorders>
            <w:vAlign w:val="center"/>
          </w:tcPr>
          <w:p w14:paraId="31B4A5ED" w14:textId="77777777" w:rsidR="00895D6F" w:rsidRPr="00D47C6A" w:rsidRDefault="00895D6F" w:rsidP="000E622A">
            <w:pPr>
              <w:spacing w:after="0" w:line="240" w:lineRule="auto"/>
              <w:rPr>
                <w:rFonts w:ascii="Arial" w:hAnsi="Arial" w:cs="Arial"/>
                <w:bCs/>
                <w:sz w:val="16"/>
                <w:szCs w:val="16"/>
                <w:lang w:eastAsia="es-CO"/>
              </w:rPr>
            </w:pPr>
            <w:r w:rsidRPr="00D47C6A">
              <w:rPr>
                <w:rFonts w:ascii="Arial" w:hAnsi="Arial" w:cs="Arial"/>
                <w:bCs/>
                <w:sz w:val="16"/>
                <w:szCs w:val="16"/>
                <w:lang w:eastAsia="es-CO"/>
              </w:rPr>
              <w:t xml:space="preserve"> Nohelia del Carmen Zawady Palacio </w:t>
            </w:r>
          </w:p>
          <w:p w14:paraId="7A4E4604" w14:textId="77777777" w:rsidR="00895D6F" w:rsidRPr="00C73BEF" w:rsidRDefault="00895D6F" w:rsidP="000E622A">
            <w:pPr>
              <w:spacing w:after="0" w:line="240" w:lineRule="auto"/>
              <w:rPr>
                <w:rFonts w:ascii="Arial" w:hAnsi="Arial" w:cs="Arial"/>
                <w:bCs/>
                <w:sz w:val="16"/>
                <w:szCs w:val="16"/>
                <w:lang w:eastAsia="es-CO"/>
              </w:rPr>
            </w:pPr>
            <w:r w:rsidRPr="00D47C6A">
              <w:rPr>
                <w:rFonts w:ascii="Arial" w:hAnsi="Arial" w:cs="Arial"/>
                <w:bCs/>
                <w:sz w:val="16"/>
                <w:szCs w:val="16"/>
                <w:lang w:eastAsia="es-CO"/>
              </w:rPr>
              <w:t>Subdirectora de Gestión Contractual ANCP – CCE</w:t>
            </w:r>
          </w:p>
        </w:tc>
      </w:tr>
    </w:tbl>
    <w:p w14:paraId="7FEC7E65" w14:textId="77777777" w:rsidR="00895D6F" w:rsidRPr="00622EDB" w:rsidRDefault="00895D6F" w:rsidP="00895D6F">
      <w:pPr>
        <w:spacing w:line="240" w:lineRule="auto"/>
        <w:rPr>
          <w:rFonts w:ascii="Arial" w:hAnsi="Arial" w:cs="Arial"/>
        </w:rPr>
      </w:pPr>
    </w:p>
    <w:p w14:paraId="2EB9DE08" w14:textId="77777777" w:rsidR="00895D6F" w:rsidRPr="007566FE" w:rsidRDefault="00895D6F" w:rsidP="00895D6F">
      <w:pPr>
        <w:rPr>
          <w:rFonts w:ascii="Arial Nova" w:hAnsi="Arial Nova"/>
          <w:color w:val="000000" w:themeColor="text1"/>
        </w:rPr>
      </w:pPr>
    </w:p>
    <w:p w14:paraId="1BD8D1F7" w14:textId="77777777" w:rsidR="00AC7AE9" w:rsidRPr="00895D6F" w:rsidRDefault="00AC7AE9" w:rsidP="00895D6F"/>
    <w:sectPr w:rsidR="00AC7AE9" w:rsidRPr="00895D6F">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F1E3" w14:textId="77777777" w:rsidR="00DC46C5" w:rsidRDefault="00DC46C5" w:rsidP="00535F27">
      <w:pPr>
        <w:spacing w:after="0" w:line="240" w:lineRule="auto"/>
      </w:pPr>
      <w:r>
        <w:separator/>
      </w:r>
    </w:p>
  </w:endnote>
  <w:endnote w:type="continuationSeparator" w:id="0">
    <w:p w14:paraId="6DC6CE12" w14:textId="77777777" w:rsidR="00DC46C5" w:rsidRDefault="00DC46C5" w:rsidP="0053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9C28" w14:textId="77777777" w:rsidR="001018E8" w:rsidRDefault="00FE3414">
    <w:pPr>
      <w:pStyle w:val="Piedepgina1"/>
    </w:pPr>
    <w:r>
      <w:rPr>
        <w:noProof/>
        <w:lang w:eastAsia="es-CO"/>
      </w:rPr>
      <w:drawing>
        <wp:inline distT="0" distB="0" distL="0" distR="0" wp14:anchorId="18F1A00F" wp14:editId="089614F4">
          <wp:extent cx="5731510" cy="890270"/>
          <wp:effectExtent l="0" t="0" r="2540" b="508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31510" cy="890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2E29" w14:textId="77777777" w:rsidR="00DC46C5" w:rsidRDefault="00DC46C5" w:rsidP="00535F27">
      <w:pPr>
        <w:spacing w:after="0" w:line="240" w:lineRule="auto"/>
      </w:pPr>
      <w:r>
        <w:separator/>
      </w:r>
    </w:p>
  </w:footnote>
  <w:footnote w:type="continuationSeparator" w:id="0">
    <w:p w14:paraId="77C46E70" w14:textId="77777777" w:rsidR="00DC46C5" w:rsidRDefault="00DC46C5" w:rsidP="00535F27">
      <w:pPr>
        <w:spacing w:after="0" w:line="240" w:lineRule="auto"/>
      </w:pPr>
      <w:r>
        <w:continuationSeparator/>
      </w:r>
    </w:p>
  </w:footnote>
  <w:footnote w:id="1">
    <w:p w14:paraId="1E398607" w14:textId="77777777" w:rsidR="00895D6F" w:rsidRPr="00611497" w:rsidRDefault="00895D6F" w:rsidP="00895D6F">
      <w:pPr>
        <w:pBdr>
          <w:top w:val="nil"/>
          <w:left w:val="nil"/>
          <w:bottom w:val="nil"/>
          <w:right w:val="nil"/>
          <w:between w:val="nil"/>
        </w:pBdr>
        <w:spacing w:after="0" w:line="240" w:lineRule="auto"/>
        <w:ind w:firstLine="709"/>
        <w:contextualSpacing/>
        <w:jc w:val="both"/>
        <w:rPr>
          <w:rFonts w:ascii="Arial" w:eastAsia="Arial" w:hAnsi="Arial" w:cs="Arial"/>
          <w:sz w:val="18"/>
          <w:szCs w:val="18"/>
        </w:rPr>
      </w:pPr>
      <w:r w:rsidRPr="00611497">
        <w:rPr>
          <w:rFonts w:ascii="Arial" w:hAnsi="Arial" w:cs="Arial"/>
          <w:sz w:val="18"/>
          <w:szCs w:val="18"/>
          <w:vertAlign w:val="superscript"/>
        </w:rPr>
        <w:footnoteRef/>
      </w:r>
      <w:r w:rsidRPr="00611497">
        <w:rPr>
          <w:rFonts w:ascii="Arial" w:eastAsia="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11497">
        <w:rPr>
          <w:rFonts w:ascii="Arial" w:eastAsia="Arial" w:hAnsi="Arial" w:cs="Arial"/>
          <w:i/>
          <w:sz w:val="18"/>
          <w:szCs w:val="18"/>
        </w:rPr>
        <w:t xml:space="preserve">ibídem </w:t>
      </w:r>
      <w:r w:rsidRPr="00611497">
        <w:rPr>
          <w:rFonts w:ascii="Arial" w:eastAsia="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1FD781A7" w14:textId="77777777" w:rsidR="00895D6F" w:rsidRPr="00611497" w:rsidRDefault="00895D6F" w:rsidP="00895D6F">
      <w:pPr>
        <w:pBdr>
          <w:top w:val="nil"/>
          <w:left w:val="nil"/>
          <w:bottom w:val="nil"/>
          <w:right w:val="nil"/>
          <w:between w:val="nil"/>
        </w:pBdr>
        <w:spacing w:after="0" w:line="240" w:lineRule="auto"/>
        <w:ind w:firstLine="709"/>
        <w:contextualSpacing/>
        <w:jc w:val="both"/>
        <w:rPr>
          <w:rFonts w:ascii="Arial" w:eastAsia="Arial" w:hAnsi="Arial" w:cs="Arial"/>
          <w:sz w:val="18"/>
          <w:szCs w:val="18"/>
        </w:rPr>
      </w:pPr>
    </w:p>
  </w:footnote>
  <w:footnote w:id="2">
    <w:p w14:paraId="2995A59B" w14:textId="77777777" w:rsidR="00895D6F" w:rsidRPr="00611497" w:rsidRDefault="00895D6F" w:rsidP="00895D6F">
      <w:pPr>
        <w:pStyle w:val="fn1"/>
        <w:ind w:firstLine="709"/>
        <w:contextualSpacing/>
        <w:jc w:val="both"/>
        <w:rPr>
          <w:rFonts w:ascii="Arial" w:hAnsi="Arial" w:cs="Arial"/>
          <w:sz w:val="18"/>
          <w:szCs w:val="18"/>
          <w:lang w:val="es-CO"/>
        </w:rPr>
      </w:pPr>
      <w:r w:rsidRPr="00611497">
        <w:rPr>
          <w:rStyle w:val="Refdenotaalpie"/>
          <w:rFonts w:ascii="Arial" w:hAnsi="Arial" w:cs="Arial"/>
          <w:sz w:val="18"/>
          <w:szCs w:val="18"/>
        </w:rPr>
        <w:footnoteRef/>
      </w:r>
      <w:r w:rsidRPr="00611497">
        <w:rPr>
          <w:rFonts w:ascii="Arial" w:hAnsi="Arial" w:cs="Arial"/>
          <w:sz w:val="18"/>
          <w:szCs w:val="18"/>
        </w:rPr>
        <w:t xml:space="preserve"> </w:t>
      </w:r>
      <w:r w:rsidRPr="00611497">
        <w:rPr>
          <w:rFonts w:ascii="Arial" w:hAnsi="Arial" w:cs="Arial"/>
          <w:sz w:val="18"/>
          <w:szCs w:val="18"/>
          <w:lang w:val="es-CO"/>
        </w:rPr>
        <w:t xml:space="preserve">Estos conceptos pueden ser consultados en: </w:t>
      </w:r>
      <w:hyperlink r:id="rId1" w:history="1">
        <w:r w:rsidRPr="00611497">
          <w:rPr>
            <w:rStyle w:val="Hipervnculo"/>
            <w:rFonts w:ascii="Arial" w:hAnsi="Arial" w:cs="Arial"/>
            <w:sz w:val="18"/>
            <w:szCs w:val="18"/>
          </w:rPr>
          <w:t>https://relatoria.colombiacompra.gov.co/busqueda/conceptos#</w:t>
        </w:r>
      </w:hyperlink>
    </w:p>
    <w:p w14:paraId="6CFEFF27" w14:textId="77777777" w:rsidR="00895D6F" w:rsidRPr="00611497" w:rsidRDefault="00895D6F" w:rsidP="00895D6F">
      <w:pPr>
        <w:pStyle w:val="fn1"/>
        <w:ind w:firstLine="709"/>
        <w:contextualSpacing/>
        <w:jc w:val="both"/>
        <w:rPr>
          <w:rFonts w:ascii="Arial" w:hAnsi="Arial" w:cs="Arial"/>
          <w:sz w:val="18"/>
          <w:szCs w:val="18"/>
          <w:lang w:val="es-CO"/>
        </w:rPr>
      </w:pPr>
    </w:p>
  </w:footnote>
  <w:footnote w:id="3">
    <w:p w14:paraId="0D8F5ED3" w14:textId="77777777" w:rsidR="00895D6F" w:rsidRPr="00611497" w:rsidRDefault="00895D6F" w:rsidP="00895D6F">
      <w:pPr>
        <w:pStyle w:val="fn1"/>
        <w:ind w:firstLine="708"/>
        <w:contextualSpacing/>
        <w:jc w:val="both"/>
        <w:rPr>
          <w:rFonts w:ascii="Arial" w:hAnsi="Arial" w:cs="Arial"/>
          <w:sz w:val="18"/>
          <w:szCs w:val="18"/>
        </w:rPr>
      </w:pPr>
      <w:r w:rsidRPr="00611497">
        <w:rPr>
          <w:rStyle w:val="Refdenotaalpie"/>
          <w:rFonts w:ascii="Arial" w:hAnsi="Arial" w:cs="Arial"/>
          <w:sz w:val="18"/>
          <w:szCs w:val="18"/>
        </w:rPr>
        <w:footnoteRef/>
      </w:r>
      <w:r w:rsidRPr="00611497">
        <w:rPr>
          <w:rFonts w:ascii="Arial" w:hAnsi="Arial" w:cs="Arial"/>
          <w:sz w:val="18"/>
          <w:szCs w:val="18"/>
        </w:rPr>
        <w:t xml:space="preserve"> </w:t>
      </w:r>
      <w:r w:rsidRPr="00611497">
        <w:rPr>
          <w:rStyle w:val="normaltextrun"/>
          <w:rFonts w:ascii="Arial" w:hAnsi="Arial" w:cs="Arial"/>
          <w:color w:val="000000"/>
          <w:sz w:val="18"/>
          <w:szCs w:val="18"/>
          <w:shd w:val="clear" w:color="auto" w:fill="FFFFFF"/>
        </w:rPr>
        <w:t>Al respecto, la jurisprudencia explica que la garantía del debido proceso «[…]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 (CONSEJO DE ESTADO. Sección Tercera. Sentencia del 23 de junio de 2010. Rad. 16.367. C.P. Enrique Gil Botero). </w:t>
      </w:r>
      <w:r w:rsidRPr="00611497">
        <w:rPr>
          <w:rStyle w:val="eop"/>
          <w:rFonts w:ascii="Arial" w:hAnsi="Arial" w:cs="Arial"/>
          <w:color w:val="000000"/>
          <w:sz w:val="18"/>
          <w:szCs w:val="18"/>
          <w:shd w:val="clear" w:color="auto" w:fill="FFFFFF"/>
        </w:rPr>
        <w:t> </w:t>
      </w:r>
    </w:p>
  </w:footnote>
  <w:footnote w:id="4">
    <w:p w14:paraId="50358E9B"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Refdenotaalpie"/>
          <w:rFonts w:ascii="Arial" w:hAnsi="Arial" w:cs="Arial"/>
          <w:sz w:val="18"/>
          <w:szCs w:val="18"/>
        </w:rPr>
        <w:footnoteRef/>
      </w:r>
      <w:r w:rsidRPr="00611497">
        <w:rPr>
          <w:rFonts w:ascii="Arial" w:hAnsi="Arial" w:cs="Arial"/>
          <w:sz w:val="18"/>
          <w:szCs w:val="18"/>
        </w:rPr>
        <w:t xml:space="preserve"> </w:t>
      </w:r>
      <w:r w:rsidRPr="00611497">
        <w:rPr>
          <w:rStyle w:val="normaltextrun"/>
          <w:rFonts w:ascii="Arial" w:hAnsi="Arial" w:cs="Arial"/>
          <w:color w:val="000000"/>
          <w:sz w:val="18"/>
          <w:szCs w:val="18"/>
        </w:rPr>
        <w:t>El numeral 2 del artículo 2 de la Ley 1150 de 2007 prescribe: «[…] Serán causales de selección abreviada las siguientes:</w:t>
      </w:r>
      <w:r w:rsidRPr="00611497">
        <w:rPr>
          <w:rStyle w:val="eop"/>
          <w:rFonts w:ascii="Arial" w:hAnsi="Arial" w:cs="Arial"/>
          <w:color w:val="000000"/>
          <w:sz w:val="18"/>
          <w:szCs w:val="18"/>
        </w:rPr>
        <w:t> </w:t>
      </w:r>
    </w:p>
    <w:p w14:paraId="31ACB4DD"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Pr="00611497">
        <w:rPr>
          <w:rStyle w:val="eop"/>
          <w:rFonts w:ascii="Arial" w:hAnsi="Arial" w:cs="Arial"/>
          <w:color w:val="000000"/>
          <w:sz w:val="18"/>
          <w:szCs w:val="18"/>
        </w:rPr>
        <w:t> </w:t>
      </w:r>
    </w:p>
    <w:p w14:paraId="49A352FC"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r w:rsidRPr="00611497">
        <w:rPr>
          <w:rStyle w:val="eop"/>
          <w:rFonts w:ascii="Arial" w:hAnsi="Arial" w:cs="Arial"/>
          <w:color w:val="000000"/>
          <w:sz w:val="18"/>
          <w:szCs w:val="18"/>
        </w:rPr>
        <w:t> </w:t>
      </w:r>
    </w:p>
    <w:p w14:paraId="19B35914"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»b) La contratación de menor cuantía. Se entenderá por menor cuantía los valores que a continuación se relacionan, determinados en función de los presupuestos anuales de las entidades públicas expresados en salarios mínimos legales mensuales.</w:t>
      </w:r>
      <w:r w:rsidRPr="00611497">
        <w:rPr>
          <w:rStyle w:val="eop"/>
          <w:rFonts w:ascii="Arial" w:hAnsi="Arial" w:cs="Arial"/>
          <w:color w:val="000000"/>
          <w:sz w:val="18"/>
          <w:szCs w:val="18"/>
        </w:rPr>
        <w:t> </w:t>
      </w:r>
    </w:p>
    <w:p w14:paraId="106D0B57"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w:t>
      </w:r>
      <w:r w:rsidRPr="00611497">
        <w:rPr>
          <w:rStyle w:val="eop"/>
          <w:rFonts w:ascii="Arial" w:hAnsi="Arial" w:cs="Arial"/>
          <w:color w:val="000000"/>
          <w:sz w:val="18"/>
          <w:szCs w:val="18"/>
        </w:rPr>
        <w:t> </w:t>
      </w:r>
    </w:p>
    <w:p w14:paraId="4258CF7D"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r w:rsidRPr="00611497">
        <w:rPr>
          <w:rStyle w:val="eop"/>
          <w:rFonts w:ascii="Arial" w:hAnsi="Arial" w:cs="Arial"/>
          <w:color w:val="000000"/>
          <w:sz w:val="18"/>
          <w:szCs w:val="18"/>
        </w:rPr>
        <w:t> </w:t>
      </w:r>
    </w:p>
    <w:p w14:paraId="641CC1CE"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»d) La contratación cuyo proceso de licitación pública haya sido declarado desierto; en cuyo caso la entidad deberá iniciar la selección abreviada dentro de los cuatro meses siguientes a la declaración de desierta del proceso inicial;</w:t>
      </w:r>
      <w:r w:rsidRPr="00611497">
        <w:rPr>
          <w:rStyle w:val="eop"/>
          <w:rFonts w:ascii="Arial" w:hAnsi="Arial" w:cs="Arial"/>
          <w:color w:val="000000"/>
          <w:sz w:val="18"/>
          <w:szCs w:val="18"/>
        </w:rPr>
        <w:t> </w:t>
      </w:r>
    </w:p>
    <w:p w14:paraId="3E43DC0B"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»e) La enajenación de bienes del Estado, con excepción de aquellos a que se refiere la Ley 226 de 1995.</w:t>
      </w:r>
      <w:r w:rsidRPr="00611497">
        <w:rPr>
          <w:rStyle w:val="eop"/>
          <w:rFonts w:ascii="Arial" w:hAnsi="Arial" w:cs="Arial"/>
          <w:color w:val="000000"/>
          <w:sz w:val="18"/>
          <w:szCs w:val="18"/>
        </w:rPr>
        <w:t> </w:t>
      </w:r>
    </w:p>
    <w:p w14:paraId="4C5D7487"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 </w:t>
      </w:r>
      <w:r w:rsidRPr="00611497">
        <w:rPr>
          <w:rStyle w:val="eop"/>
          <w:rFonts w:ascii="Arial" w:hAnsi="Arial" w:cs="Arial"/>
          <w:color w:val="000000"/>
          <w:sz w:val="18"/>
          <w:szCs w:val="18"/>
        </w:rPr>
        <w:t> </w:t>
      </w:r>
    </w:p>
    <w:p w14:paraId="384C336A"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»f) Productos de origen o destinación agropecuarios que se ofrezcan en las bolsas de productos legalmente constituidas; </w:t>
      </w:r>
      <w:r w:rsidRPr="00611497">
        <w:rPr>
          <w:rStyle w:val="eop"/>
          <w:rFonts w:ascii="Arial" w:hAnsi="Arial" w:cs="Arial"/>
          <w:color w:val="000000"/>
          <w:sz w:val="18"/>
          <w:szCs w:val="18"/>
        </w:rPr>
        <w:t> </w:t>
      </w:r>
    </w:p>
    <w:p w14:paraId="5E5D3136"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r w:rsidRPr="00611497">
        <w:rPr>
          <w:rStyle w:val="eop"/>
          <w:rFonts w:ascii="Arial" w:hAnsi="Arial" w:cs="Arial"/>
          <w:color w:val="000000"/>
          <w:sz w:val="18"/>
          <w:szCs w:val="18"/>
        </w:rPr>
        <w:t> </w:t>
      </w:r>
    </w:p>
    <w:p w14:paraId="3835DE4D"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r w:rsidRPr="00611497">
        <w:rPr>
          <w:rStyle w:val="eop"/>
          <w:rFonts w:ascii="Arial" w:hAnsi="Arial" w:cs="Arial"/>
          <w:color w:val="000000"/>
          <w:sz w:val="18"/>
          <w:szCs w:val="18"/>
        </w:rPr>
        <w:t> </w:t>
      </w:r>
    </w:p>
    <w:p w14:paraId="059E0937"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»i) La contratación de bienes y servicios que se requieran para la defensa y seguridad nacional».</w:t>
      </w:r>
      <w:r w:rsidRPr="00611497">
        <w:rPr>
          <w:rStyle w:val="eop"/>
          <w:rFonts w:ascii="Arial" w:hAnsi="Arial" w:cs="Arial"/>
          <w:color w:val="000000"/>
          <w:sz w:val="18"/>
          <w:szCs w:val="18"/>
        </w:rPr>
        <w:t> </w:t>
      </w:r>
    </w:p>
    <w:p w14:paraId="1AD44346"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eop"/>
          <w:rFonts w:ascii="Arial" w:hAnsi="Arial" w:cs="Arial"/>
          <w:color w:val="000000"/>
          <w:sz w:val="18"/>
          <w:szCs w:val="18"/>
        </w:rPr>
        <w:t> </w:t>
      </w:r>
    </w:p>
    <w:p w14:paraId="5C25820F" w14:textId="77777777" w:rsidR="00895D6F" w:rsidRPr="00611497" w:rsidRDefault="00895D6F" w:rsidP="00895D6F">
      <w:pPr>
        <w:pStyle w:val="fn1"/>
        <w:contextualSpacing/>
        <w:jc w:val="both"/>
        <w:rPr>
          <w:rFonts w:ascii="Arial" w:hAnsi="Arial" w:cs="Arial"/>
          <w:sz w:val="18"/>
          <w:szCs w:val="18"/>
          <w:lang w:val="es-CO"/>
        </w:rPr>
      </w:pPr>
    </w:p>
  </w:footnote>
  <w:footnote w:id="5">
    <w:p w14:paraId="25FB6B0B"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Refdenotaalpie"/>
          <w:rFonts w:ascii="Arial" w:hAnsi="Arial" w:cs="Arial"/>
          <w:sz w:val="18"/>
          <w:szCs w:val="18"/>
        </w:rPr>
        <w:footnoteRef/>
      </w:r>
      <w:r w:rsidRPr="00611497">
        <w:rPr>
          <w:rStyle w:val="normaltextrun"/>
          <w:rFonts w:ascii="Arial" w:hAnsi="Arial" w:cs="Arial"/>
          <w:color w:val="000000"/>
          <w:sz w:val="18"/>
          <w:szCs w:val="18"/>
        </w:rPr>
        <w:t> Ley 1150 de 2007 «Artículo 2o. De las modalidades de selección. La escogencia del contratista se efectuará con arreglo a las modalidades de selección de licitación pública, selección abreviada, concurso de méritos y contratación directa, con base en las siguientes reglas:</w:t>
      </w:r>
      <w:r w:rsidRPr="00611497">
        <w:rPr>
          <w:rStyle w:val="eop"/>
          <w:rFonts w:ascii="Arial" w:hAnsi="Arial" w:cs="Arial"/>
          <w:color w:val="000000"/>
          <w:sz w:val="18"/>
          <w:szCs w:val="18"/>
        </w:rPr>
        <w:t> </w:t>
      </w:r>
    </w:p>
    <w:p w14:paraId="3946468F"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»1. Licitación pública. La escogencia del contratista se efectuará por regla general a través de licitación pública, con las excepciones que se señalan en los numerales 2, 3 y 4 del presente artículo.</w:t>
      </w:r>
      <w:r w:rsidRPr="00611497">
        <w:rPr>
          <w:rStyle w:val="eop"/>
          <w:rFonts w:ascii="Arial" w:hAnsi="Arial" w:cs="Arial"/>
          <w:color w:val="000000"/>
          <w:sz w:val="18"/>
          <w:szCs w:val="18"/>
        </w:rPr>
        <w:t> </w:t>
      </w:r>
    </w:p>
    <w:p w14:paraId="580DB351"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i/>
          <w:iCs/>
          <w:color w:val="000000"/>
          <w:sz w:val="18"/>
          <w:szCs w:val="18"/>
        </w:rPr>
        <w:t>Cuando la entidad estatal así lo determine, la oferta en un proceso de la licitación pública podrá ser presentada total o parcialmente de manera dinámica mediante subasta inversa, en las condiciones que fije el reglamento</w:t>
      </w:r>
      <w:r w:rsidRPr="00611497">
        <w:rPr>
          <w:rStyle w:val="normaltextrun"/>
          <w:rFonts w:ascii="Arial" w:hAnsi="Arial" w:cs="Arial"/>
          <w:color w:val="000000"/>
          <w:sz w:val="18"/>
          <w:szCs w:val="18"/>
        </w:rPr>
        <w:t>.</w:t>
      </w:r>
      <w:r w:rsidRPr="00611497">
        <w:rPr>
          <w:rStyle w:val="eop"/>
          <w:rFonts w:ascii="Arial" w:hAnsi="Arial" w:cs="Arial"/>
          <w:color w:val="000000"/>
          <w:sz w:val="18"/>
          <w:szCs w:val="18"/>
        </w:rPr>
        <w:t> </w:t>
      </w:r>
    </w:p>
    <w:p w14:paraId="20A4FC53"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r w:rsidRPr="00611497">
        <w:rPr>
          <w:rStyle w:val="eop"/>
          <w:rFonts w:ascii="Arial" w:hAnsi="Arial" w:cs="Arial"/>
          <w:color w:val="000000"/>
          <w:sz w:val="18"/>
          <w:szCs w:val="18"/>
        </w:rPr>
        <w:t> </w:t>
      </w:r>
    </w:p>
    <w:p w14:paraId="7470C415"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»El Gobierno Nacional reglamentará la materia.</w:t>
      </w:r>
      <w:r w:rsidRPr="00611497">
        <w:rPr>
          <w:rStyle w:val="eop"/>
          <w:rFonts w:ascii="Arial" w:hAnsi="Arial" w:cs="Arial"/>
          <w:color w:val="000000"/>
          <w:sz w:val="18"/>
          <w:szCs w:val="18"/>
        </w:rPr>
        <w:t> </w:t>
      </w:r>
    </w:p>
    <w:p w14:paraId="251F41DB"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»Serán causales de selección abreviada las siguientes:</w:t>
      </w:r>
      <w:r w:rsidRPr="00611497">
        <w:rPr>
          <w:rStyle w:val="eop"/>
          <w:rFonts w:ascii="Arial" w:hAnsi="Arial" w:cs="Arial"/>
          <w:color w:val="000000"/>
          <w:sz w:val="18"/>
          <w:szCs w:val="18"/>
        </w:rPr>
        <w:t> </w:t>
      </w:r>
    </w:p>
    <w:p w14:paraId="3B2E3B83"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Pr="00611497">
        <w:rPr>
          <w:rStyle w:val="eop"/>
          <w:rFonts w:ascii="Arial" w:hAnsi="Arial" w:cs="Arial"/>
          <w:color w:val="000000"/>
          <w:sz w:val="18"/>
          <w:szCs w:val="18"/>
        </w:rPr>
        <w:t> </w:t>
      </w:r>
    </w:p>
    <w:p w14:paraId="77ADD8F8"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w:t>
      </w:r>
      <w:r w:rsidRPr="00611497">
        <w:rPr>
          <w:rStyle w:val="normaltextrun"/>
          <w:rFonts w:ascii="Arial" w:hAnsi="Arial" w:cs="Arial"/>
          <w:i/>
          <w:iCs/>
          <w:color w:val="000000"/>
          <w:sz w:val="18"/>
          <w:szCs w:val="18"/>
        </w:rPr>
        <w:t>Para la adquisición de estos bienes y servicios las entidades deberán, siempre que el reglamento así lo señale, hacer uso de procedimientos de subasta inversa</w:t>
      </w:r>
      <w:r w:rsidRPr="00611497">
        <w:rPr>
          <w:rStyle w:val="normaltextrun"/>
          <w:rFonts w:ascii="Arial" w:hAnsi="Arial" w:cs="Arial"/>
          <w:color w:val="000000"/>
          <w:sz w:val="18"/>
          <w:szCs w:val="18"/>
        </w:rPr>
        <w:t> o de instrumentos de compra por catálogo derivados de la celebración de acuerdos marco de precios o de procedimientos de adquisición en bolsas de productos; </w:t>
      </w:r>
      <w:r w:rsidRPr="00611497">
        <w:rPr>
          <w:rStyle w:val="eop"/>
          <w:rFonts w:ascii="Arial" w:hAnsi="Arial" w:cs="Arial"/>
          <w:color w:val="000000"/>
          <w:sz w:val="18"/>
          <w:szCs w:val="18"/>
        </w:rPr>
        <w:t> </w:t>
      </w:r>
    </w:p>
    <w:p w14:paraId="63698DC4" w14:textId="77777777" w:rsidR="00895D6F" w:rsidRPr="00611497" w:rsidRDefault="00895D6F" w:rsidP="00895D6F">
      <w:pPr>
        <w:pStyle w:val="paragraph"/>
        <w:spacing w:before="0" w:beforeAutospacing="0" w:after="0" w:afterAutospacing="0"/>
        <w:ind w:left="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w:t>
      </w:r>
      <w:r w:rsidRPr="00611497">
        <w:rPr>
          <w:rStyle w:val="eop"/>
          <w:rFonts w:ascii="Arial" w:hAnsi="Arial" w:cs="Arial"/>
          <w:color w:val="000000"/>
          <w:sz w:val="18"/>
          <w:szCs w:val="18"/>
        </w:rPr>
        <w:t> </w:t>
      </w:r>
    </w:p>
    <w:p w14:paraId="637072CA"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»e) La enajenación de bienes del Estado, con excepción de aquellos a que se refiere la Ley 226 de 1995.</w:t>
      </w:r>
      <w:r w:rsidRPr="00611497">
        <w:rPr>
          <w:rStyle w:val="eop"/>
          <w:rFonts w:ascii="Arial" w:hAnsi="Arial" w:cs="Arial"/>
          <w:color w:val="000000"/>
          <w:sz w:val="18"/>
          <w:szCs w:val="18"/>
        </w:rPr>
        <w:t> </w:t>
      </w:r>
    </w:p>
    <w:p w14:paraId="6BF0A05F"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w:t>
      </w:r>
      <w:r w:rsidRPr="00611497">
        <w:rPr>
          <w:rStyle w:val="normaltextrun"/>
          <w:rFonts w:ascii="Arial" w:hAnsi="Arial" w:cs="Arial"/>
          <w:i/>
          <w:iCs/>
          <w:color w:val="000000"/>
          <w:sz w:val="18"/>
          <w:szCs w:val="18"/>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r w:rsidRPr="00611497">
        <w:rPr>
          <w:rStyle w:val="normaltextrun"/>
          <w:rFonts w:ascii="Arial" w:hAnsi="Arial" w:cs="Arial"/>
          <w:color w:val="000000"/>
          <w:sz w:val="18"/>
          <w:szCs w:val="18"/>
        </w:rPr>
        <w:t>.</w:t>
      </w:r>
      <w:r w:rsidRPr="00611497">
        <w:rPr>
          <w:rStyle w:val="eop"/>
          <w:rFonts w:ascii="Arial" w:hAnsi="Arial" w:cs="Arial"/>
          <w:color w:val="000000"/>
          <w:sz w:val="18"/>
          <w:szCs w:val="18"/>
        </w:rPr>
        <w:t> </w:t>
      </w:r>
    </w:p>
    <w:p w14:paraId="0945596C"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w:t>
      </w:r>
      <w:r w:rsidRPr="00611497">
        <w:rPr>
          <w:rStyle w:val="eop"/>
          <w:rFonts w:ascii="Arial" w:hAnsi="Arial" w:cs="Arial"/>
          <w:color w:val="000000"/>
          <w:sz w:val="18"/>
          <w:szCs w:val="18"/>
        </w:rPr>
        <w:t> </w:t>
      </w:r>
    </w:p>
    <w:p w14:paraId="44842FEB"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»Las reglas y procedimientos que deberán atender la administración y los promotores y la publicidad del proceso deberán garantizar la libre concurrencia y oportunidad de quienes participen en el mismo.</w:t>
      </w:r>
      <w:r w:rsidRPr="00611497">
        <w:rPr>
          <w:rStyle w:val="eop"/>
          <w:rFonts w:ascii="Arial" w:hAnsi="Arial" w:cs="Arial"/>
          <w:color w:val="000000"/>
          <w:sz w:val="18"/>
          <w:szCs w:val="18"/>
        </w:rPr>
        <w:t> </w:t>
      </w:r>
    </w:p>
    <w:p w14:paraId="1E2F203E"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w:t>
      </w:r>
      <w:r w:rsidRPr="00611497">
        <w:rPr>
          <w:rStyle w:val="normaltextrun"/>
          <w:rFonts w:ascii="Arial" w:hAnsi="Arial" w:cs="Arial"/>
          <w:i/>
          <w:iCs/>
          <w:color w:val="000000"/>
          <w:sz w:val="18"/>
          <w:szCs w:val="18"/>
        </w:rPr>
        <w:t>Los bienes serán enajenados a través de venta directa en sobre cerrado o en pública subasta</w:t>
      </w:r>
      <w:r w:rsidRPr="00611497">
        <w:rPr>
          <w:rStyle w:val="normaltextrun"/>
          <w:rFonts w:ascii="Arial" w:hAnsi="Arial" w:cs="Arial"/>
          <w:color w:val="000000"/>
          <w:sz w:val="18"/>
          <w:szCs w:val="18"/>
        </w:rPr>
        <w:t>. La adjudicación para la venta directa deberá hacerse en audiencia pública, en donde se conozcan las ofertas iniciales y se efectúe un segundo ofrecimiento, frente al cual se adjudicará el bien a quien oferte el mejor precio. </w:t>
      </w:r>
      <w:r w:rsidRPr="00611497">
        <w:rPr>
          <w:rStyle w:val="normaltextrun"/>
          <w:rFonts w:ascii="Arial" w:hAnsi="Arial" w:cs="Arial"/>
          <w:i/>
          <w:iCs/>
          <w:color w:val="000000"/>
          <w:sz w:val="18"/>
          <w:szCs w:val="18"/>
        </w:rPr>
        <w:t>En la subasta pública, de acuerdo con el reglamento definido para su realización, el bien será adjudicado al mejor postor</w:t>
      </w:r>
      <w:r w:rsidRPr="00611497">
        <w:rPr>
          <w:rStyle w:val="normaltextrun"/>
          <w:rFonts w:ascii="Arial" w:hAnsi="Arial" w:cs="Arial"/>
          <w:color w:val="000000"/>
          <w:sz w:val="18"/>
          <w:szCs w:val="18"/>
        </w:rPr>
        <w:t>.</w:t>
      </w:r>
      <w:r w:rsidRPr="00611497">
        <w:rPr>
          <w:rStyle w:val="eop"/>
          <w:rFonts w:ascii="Arial" w:hAnsi="Arial" w:cs="Arial"/>
          <w:color w:val="000000"/>
          <w:sz w:val="18"/>
          <w:szCs w:val="18"/>
        </w:rPr>
        <w:t> </w:t>
      </w:r>
    </w:p>
    <w:p w14:paraId="10F4A426" w14:textId="77777777" w:rsidR="00895D6F" w:rsidRDefault="00895D6F" w:rsidP="00895D6F">
      <w:pPr>
        <w:pStyle w:val="paragraph"/>
        <w:spacing w:before="0" w:beforeAutospacing="0" w:after="0" w:afterAutospacing="0"/>
        <w:ind w:firstLine="705"/>
        <w:contextualSpacing/>
        <w:jc w:val="both"/>
        <w:textAlignment w:val="baseline"/>
        <w:rPr>
          <w:rStyle w:val="normaltextrun"/>
          <w:rFonts w:ascii="Arial" w:hAnsi="Arial" w:cs="Arial"/>
          <w:color w:val="000000"/>
          <w:sz w:val="18"/>
          <w:szCs w:val="18"/>
        </w:rPr>
      </w:pPr>
      <w:r w:rsidRPr="00611497">
        <w:rPr>
          <w:rStyle w:val="normaltextrun"/>
          <w:rFonts w:ascii="Arial" w:hAnsi="Arial" w:cs="Arial"/>
          <w:color w:val="000000"/>
          <w:sz w:val="18"/>
          <w:szCs w:val="18"/>
        </w:rPr>
        <w:t>»La venta implica la publicación previa de los bienes en un diario de amplia circulación nacional, con la determinación del precio base. El interesado en adquirir bienes deberá consignar al menos el 20% del valor base de venta para participar en la oferta […]». (Cursivas fuera del original).</w:t>
      </w:r>
    </w:p>
    <w:p w14:paraId="1449ED12" w14:textId="77777777" w:rsidR="00895D6F" w:rsidRPr="00611497" w:rsidRDefault="00895D6F" w:rsidP="00895D6F">
      <w:pPr>
        <w:pStyle w:val="paragraph"/>
        <w:spacing w:before="0" w:beforeAutospacing="0" w:after="0" w:afterAutospacing="0"/>
        <w:ind w:firstLine="705"/>
        <w:contextualSpacing/>
        <w:jc w:val="both"/>
        <w:textAlignment w:val="baseline"/>
        <w:rPr>
          <w:rFonts w:ascii="Arial" w:hAnsi="Arial" w:cs="Arial"/>
          <w:sz w:val="18"/>
          <w:szCs w:val="18"/>
        </w:rPr>
      </w:pPr>
    </w:p>
  </w:footnote>
  <w:footnote w:id="6">
    <w:p w14:paraId="731885E8" w14:textId="77777777" w:rsidR="00895D6F" w:rsidRPr="00611497" w:rsidRDefault="00895D6F" w:rsidP="00895D6F">
      <w:pPr>
        <w:pStyle w:val="fn1"/>
        <w:ind w:firstLine="705"/>
        <w:contextualSpacing/>
        <w:jc w:val="both"/>
        <w:rPr>
          <w:rFonts w:ascii="Arial" w:hAnsi="Arial" w:cs="Arial"/>
          <w:sz w:val="18"/>
          <w:szCs w:val="18"/>
        </w:rPr>
      </w:pPr>
      <w:r w:rsidRPr="00611497">
        <w:rPr>
          <w:rStyle w:val="Refdenotaalpie"/>
          <w:rFonts w:ascii="Arial" w:hAnsi="Arial" w:cs="Arial"/>
          <w:sz w:val="18"/>
          <w:szCs w:val="18"/>
        </w:rPr>
        <w:footnoteRef/>
      </w:r>
      <w:r w:rsidRPr="00611497">
        <w:rPr>
          <w:rFonts w:ascii="Arial" w:hAnsi="Arial" w:cs="Arial"/>
          <w:sz w:val="18"/>
          <w:szCs w:val="18"/>
        </w:rPr>
        <w:t xml:space="preserve"> </w:t>
      </w:r>
      <w:r w:rsidRPr="00611497">
        <w:rPr>
          <w:rStyle w:val="normaltextrun"/>
          <w:rFonts w:ascii="Arial" w:hAnsi="Arial" w:cs="Arial"/>
          <w:color w:val="000000"/>
          <w:sz w:val="18"/>
          <w:szCs w:val="18"/>
          <w:shd w:val="clear" w:color="auto" w:fill="FFFFFF"/>
        </w:rPr>
        <w:t>MATALLANA CAMACHO, Ernesto. Manual de Contratación de la Administración Pública. 3a ed. Bogotá D. C. Editorial Universidad externado de Colombia, 2013. p. 579.</w:t>
      </w:r>
      <w:r w:rsidRPr="00611497">
        <w:rPr>
          <w:rStyle w:val="eop"/>
          <w:rFonts w:ascii="Arial" w:hAnsi="Arial" w:cs="Arial"/>
          <w:color w:val="000000"/>
          <w:sz w:val="18"/>
          <w:szCs w:val="18"/>
          <w:shd w:val="clear" w:color="auto" w:fill="FFFFFF"/>
        </w:rPr>
        <w:t> </w:t>
      </w:r>
    </w:p>
  </w:footnote>
  <w:footnote w:id="7">
    <w:p w14:paraId="0ED6023B" w14:textId="77777777" w:rsidR="00895D6F" w:rsidRDefault="00895D6F" w:rsidP="00895D6F">
      <w:pPr>
        <w:pStyle w:val="fn1"/>
        <w:ind w:firstLine="705"/>
        <w:contextualSpacing/>
        <w:jc w:val="both"/>
        <w:rPr>
          <w:rFonts w:ascii="Arial" w:hAnsi="Arial" w:cs="Arial"/>
          <w:sz w:val="18"/>
          <w:szCs w:val="18"/>
        </w:rPr>
      </w:pPr>
    </w:p>
    <w:p w14:paraId="4320491B" w14:textId="77777777" w:rsidR="00895D6F" w:rsidRPr="00611497" w:rsidRDefault="00895D6F" w:rsidP="00895D6F">
      <w:pPr>
        <w:pStyle w:val="fn1"/>
        <w:ind w:firstLine="705"/>
        <w:contextualSpacing/>
        <w:jc w:val="both"/>
        <w:rPr>
          <w:rFonts w:ascii="Arial" w:hAnsi="Arial" w:cs="Arial"/>
          <w:sz w:val="18"/>
          <w:szCs w:val="18"/>
        </w:rPr>
      </w:pPr>
      <w:r w:rsidRPr="00611497">
        <w:rPr>
          <w:rStyle w:val="Refdenotaalpie"/>
          <w:rFonts w:ascii="Arial" w:hAnsi="Arial" w:cs="Arial"/>
          <w:sz w:val="18"/>
          <w:szCs w:val="18"/>
        </w:rPr>
        <w:footnoteRef/>
      </w:r>
      <w:r w:rsidRPr="00611497">
        <w:rPr>
          <w:rFonts w:ascii="Arial" w:hAnsi="Arial" w:cs="Arial"/>
          <w:sz w:val="18"/>
          <w:szCs w:val="18"/>
        </w:rPr>
        <w:t xml:space="preserve"> </w:t>
      </w:r>
      <w:r w:rsidRPr="00611497">
        <w:rPr>
          <w:rStyle w:val="normaltextrun"/>
          <w:rFonts w:ascii="Arial" w:hAnsi="Arial" w:cs="Arial"/>
          <w:color w:val="000000"/>
          <w:sz w:val="18"/>
          <w:szCs w:val="18"/>
          <w:bdr w:val="none" w:sz="0" w:space="0" w:color="auto" w:frame="1"/>
        </w:rPr>
        <w:t>SOLANO SIERRA, Jairo E. Contratación Administrativa, Modalidades de selección del Contratista. 4a. ed. Bogotá D.C.: Editorial Doctrina y Ley Ltda., 2010. p. 283.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987B" w14:textId="77777777" w:rsidR="00E84315" w:rsidRDefault="00FE3414">
    <w:pPr>
      <w:pStyle w:val="Encabezado1"/>
    </w:pPr>
    <w:r>
      <w:rPr>
        <w:noProof/>
        <w:lang w:eastAsia="es-CO"/>
      </w:rPr>
      <w:drawing>
        <wp:anchor distT="0" distB="0" distL="114300" distR="114300" simplePos="0" relativeHeight="251659264" behindDoc="0" locked="0" layoutInCell="1" allowOverlap="1" wp14:anchorId="6EB519DD" wp14:editId="34AE2C98">
          <wp:simplePos x="0" y="0"/>
          <wp:positionH relativeFrom="margin">
            <wp:align>right</wp:align>
          </wp:positionH>
          <wp:positionV relativeFrom="paragraph">
            <wp:posOffset>-266700</wp:posOffset>
          </wp:positionV>
          <wp:extent cx="1420507" cy="589741"/>
          <wp:effectExtent l="0" t="0" r="8255" b="1270"/>
          <wp:wrapNone/>
          <wp:docPr id="2" name="Imagen 2"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7B1E"/>
    <w:multiLevelType w:val="multilevel"/>
    <w:tmpl w:val="6F14CB5E"/>
    <w:lvl w:ilvl="0">
      <w:start w:val="1"/>
      <w:numFmt w:val="decimal"/>
      <w:lvlText w:val="%1."/>
      <w:lvlJc w:val="left"/>
      <w:pPr>
        <w:ind w:left="360" w:hanging="360"/>
      </w:pPr>
      <w:rPr>
        <w:rFonts w:hint="default"/>
        <w:b/>
        <w:bCs/>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E597019"/>
    <w:multiLevelType w:val="hybridMultilevel"/>
    <w:tmpl w:val="C3FC3684"/>
    <w:lvl w:ilvl="0" w:tplc="8A58EE2C">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num w:numId="1" w16cid:durableId="11419874">
    <w:abstractNumId w:val="0"/>
  </w:num>
  <w:num w:numId="2" w16cid:durableId="180211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27"/>
    <w:rsid w:val="000B7CB4"/>
    <w:rsid w:val="000C15A5"/>
    <w:rsid w:val="000D72E4"/>
    <w:rsid w:val="000E49ED"/>
    <w:rsid w:val="000F028E"/>
    <w:rsid w:val="00131D8C"/>
    <w:rsid w:val="00140B75"/>
    <w:rsid w:val="001430C0"/>
    <w:rsid w:val="0019075C"/>
    <w:rsid w:val="001E66BF"/>
    <w:rsid w:val="002035E1"/>
    <w:rsid w:val="002046F2"/>
    <w:rsid w:val="0023753D"/>
    <w:rsid w:val="00262D2D"/>
    <w:rsid w:val="002A1CDF"/>
    <w:rsid w:val="002A1DF6"/>
    <w:rsid w:val="002A1F35"/>
    <w:rsid w:val="002B4D88"/>
    <w:rsid w:val="002D5932"/>
    <w:rsid w:val="003166A8"/>
    <w:rsid w:val="00322CF0"/>
    <w:rsid w:val="00322F80"/>
    <w:rsid w:val="00340DFC"/>
    <w:rsid w:val="0034141E"/>
    <w:rsid w:val="00375F44"/>
    <w:rsid w:val="003B263E"/>
    <w:rsid w:val="00415E90"/>
    <w:rsid w:val="00422C8D"/>
    <w:rsid w:val="00423D61"/>
    <w:rsid w:val="00433E52"/>
    <w:rsid w:val="00437EFE"/>
    <w:rsid w:val="00492A7C"/>
    <w:rsid w:val="004B03BE"/>
    <w:rsid w:val="004D41A8"/>
    <w:rsid w:val="004F092C"/>
    <w:rsid w:val="00507923"/>
    <w:rsid w:val="005238B0"/>
    <w:rsid w:val="00535F27"/>
    <w:rsid w:val="005417DE"/>
    <w:rsid w:val="00572954"/>
    <w:rsid w:val="00580495"/>
    <w:rsid w:val="005945D6"/>
    <w:rsid w:val="00596FCC"/>
    <w:rsid w:val="005B4B6A"/>
    <w:rsid w:val="005E3F7E"/>
    <w:rsid w:val="0060392B"/>
    <w:rsid w:val="00610486"/>
    <w:rsid w:val="00611497"/>
    <w:rsid w:val="00622EDB"/>
    <w:rsid w:val="00640577"/>
    <w:rsid w:val="006607B7"/>
    <w:rsid w:val="00684771"/>
    <w:rsid w:val="006B58EE"/>
    <w:rsid w:val="006E70C6"/>
    <w:rsid w:val="00701A7A"/>
    <w:rsid w:val="00710131"/>
    <w:rsid w:val="0071466B"/>
    <w:rsid w:val="00722CA9"/>
    <w:rsid w:val="00763CB4"/>
    <w:rsid w:val="007754F4"/>
    <w:rsid w:val="007938BE"/>
    <w:rsid w:val="007C434C"/>
    <w:rsid w:val="008171DD"/>
    <w:rsid w:val="00825CD5"/>
    <w:rsid w:val="0086310F"/>
    <w:rsid w:val="00895D6F"/>
    <w:rsid w:val="008A5104"/>
    <w:rsid w:val="008A52B1"/>
    <w:rsid w:val="008B3D2D"/>
    <w:rsid w:val="008C75F9"/>
    <w:rsid w:val="008F59AE"/>
    <w:rsid w:val="008F6C2F"/>
    <w:rsid w:val="00951F9A"/>
    <w:rsid w:val="00970D24"/>
    <w:rsid w:val="00987F69"/>
    <w:rsid w:val="009A2DE6"/>
    <w:rsid w:val="009D0E5E"/>
    <w:rsid w:val="00A02E6D"/>
    <w:rsid w:val="00A06FBC"/>
    <w:rsid w:val="00A12CA8"/>
    <w:rsid w:val="00A141DD"/>
    <w:rsid w:val="00A33AB5"/>
    <w:rsid w:val="00A47D22"/>
    <w:rsid w:val="00A97F51"/>
    <w:rsid w:val="00AA2197"/>
    <w:rsid w:val="00AA7F41"/>
    <w:rsid w:val="00AC7AE9"/>
    <w:rsid w:val="00AD5FAA"/>
    <w:rsid w:val="00AF1369"/>
    <w:rsid w:val="00AF2E38"/>
    <w:rsid w:val="00B36503"/>
    <w:rsid w:val="00B5434C"/>
    <w:rsid w:val="00B7131C"/>
    <w:rsid w:val="00B90FA7"/>
    <w:rsid w:val="00B92375"/>
    <w:rsid w:val="00C24737"/>
    <w:rsid w:val="00C30724"/>
    <w:rsid w:val="00C64F25"/>
    <w:rsid w:val="00D113CB"/>
    <w:rsid w:val="00D3543F"/>
    <w:rsid w:val="00D47C6A"/>
    <w:rsid w:val="00D62619"/>
    <w:rsid w:val="00D721EB"/>
    <w:rsid w:val="00DC46C5"/>
    <w:rsid w:val="00DF6E6F"/>
    <w:rsid w:val="00E3766E"/>
    <w:rsid w:val="00E44210"/>
    <w:rsid w:val="00E51310"/>
    <w:rsid w:val="00E6623D"/>
    <w:rsid w:val="00E66A63"/>
    <w:rsid w:val="00E82FED"/>
    <w:rsid w:val="00EA6F3F"/>
    <w:rsid w:val="00EF589B"/>
    <w:rsid w:val="00EF7ED2"/>
    <w:rsid w:val="00F1345D"/>
    <w:rsid w:val="00FA0AC7"/>
    <w:rsid w:val="00FA282C"/>
    <w:rsid w:val="00FB6626"/>
    <w:rsid w:val="00FB77F9"/>
    <w:rsid w:val="00FC21DD"/>
    <w:rsid w:val="00FE3414"/>
    <w:rsid w:val="00FF77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2E85"/>
  <w15:chartTrackingRefBased/>
  <w15:docId w15:val="{99AF56DA-8332-4531-88E2-48E94F99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535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35F2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1">
    <w:name w:val="Encabezado1"/>
    <w:basedOn w:val="Normal"/>
    <w:next w:val="Encabezado"/>
    <w:link w:val="EncabezadoCar"/>
    <w:uiPriority w:val="99"/>
    <w:unhideWhenUsed/>
    <w:rsid w:val="00535F27"/>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535F27"/>
    <w:rPr>
      <w:lang w:val="es-CO"/>
    </w:rPr>
  </w:style>
  <w:style w:type="paragraph" w:customStyle="1" w:styleId="Piedepgina1">
    <w:name w:val="Pie de página1"/>
    <w:basedOn w:val="Normal"/>
    <w:next w:val="Piedepgina"/>
    <w:link w:val="PiedepginaCar"/>
    <w:uiPriority w:val="99"/>
    <w:unhideWhenUsed/>
    <w:rsid w:val="00535F27"/>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535F27"/>
    <w:rPr>
      <w:lang w:val="es-CO"/>
    </w:rPr>
  </w:style>
  <w:style w:type="paragraph" w:customStyle="1" w:styleId="paragraph">
    <w:name w:val="paragraph"/>
    <w:basedOn w:val="Normal"/>
    <w:rsid w:val="00535F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535F27"/>
  </w:style>
  <w:style w:type="character" w:customStyle="1" w:styleId="eop">
    <w:name w:val="eop"/>
    <w:basedOn w:val="Fuentedeprrafopredeter"/>
    <w:rsid w:val="00535F27"/>
  </w:style>
  <w:style w:type="character" w:customStyle="1" w:styleId="TextonotapieCar">
    <w:name w:val="Texto nota pie Car"/>
    <w:basedOn w:val="Fuentedeprrafopredeter"/>
    <w:link w:val="Textonotapie"/>
    <w:uiPriority w:val="99"/>
    <w:qFormat/>
    <w:locked/>
    <w:rsid w:val="00535F27"/>
    <w:rPr>
      <w:sz w:val="20"/>
      <w:szCs w:val="20"/>
      <w:lang w:val="es-MX"/>
    </w:rPr>
  </w:style>
  <w:style w:type="paragraph" w:customStyle="1" w:styleId="fn1">
    <w:name w:val="fn1"/>
    <w:basedOn w:val="Normal"/>
    <w:next w:val="Textonotapie"/>
    <w:uiPriority w:val="99"/>
    <w:unhideWhenUsed/>
    <w:qFormat/>
    <w:rsid w:val="00535F27"/>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535F27"/>
    <w:rPr>
      <w:vertAlign w:val="superscript"/>
    </w:rPr>
  </w:style>
  <w:style w:type="paragraph" w:customStyle="1" w:styleId="Appelnotedebasde">
    <w:name w:val="Appel note de bas de..."/>
    <w:basedOn w:val="Normal"/>
    <w:link w:val="Refdenotaalpie"/>
    <w:uiPriority w:val="99"/>
    <w:rsid w:val="00535F27"/>
    <w:pPr>
      <w:spacing w:line="240" w:lineRule="exact"/>
    </w:pPr>
    <w:rPr>
      <w:vertAlign w:val="superscript"/>
    </w:rPr>
  </w:style>
  <w:style w:type="character" w:styleId="Hipervnculo">
    <w:name w:val="Hyperlink"/>
    <w:basedOn w:val="Fuentedeprrafopredeter"/>
    <w:uiPriority w:val="99"/>
    <w:unhideWhenUsed/>
    <w:rsid w:val="00535F27"/>
    <w:rPr>
      <w:color w:val="0000FF"/>
      <w:u w:val="single"/>
    </w:rPr>
  </w:style>
  <w:style w:type="character" w:styleId="Refdecomentario">
    <w:name w:val="annotation reference"/>
    <w:basedOn w:val="Fuentedeprrafopredeter"/>
    <w:uiPriority w:val="99"/>
    <w:semiHidden/>
    <w:unhideWhenUsed/>
    <w:rsid w:val="00535F27"/>
    <w:rPr>
      <w:sz w:val="16"/>
      <w:szCs w:val="16"/>
    </w:rPr>
  </w:style>
  <w:style w:type="paragraph" w:customStyle="1" w:styleId="Textocomentario1">
    <w:name w:val="Texto comentario1"/>
    <w:basedOn w:val="Normal"/>
    <w:next w:val="Textocomentario"/>
    <w:link w:val="TextocomentarioCar"/>
    <w:uiPriority w:val="99"/>
    <w:unhideWhenUsed/>
    <w:rsid w:val="00535F27"/>
    <w:pPr>
      <w:spacing w:line="240" w:lineRule="auto"/>
    </w:pPr>
    <w:rPr>
      <w:sz w:val="20"/>
      <w:szCs w:val="20"/>
    </w:rPr>
  </w:style>
  <w:style w:type="character" w:customStyle="1" w:styleId="TextocomentarioCar">
    <w:name w:val="Texto comentario Car"/>
    <w:basedOn w:val="Fuentedeprrafopredeter"/>
    <w:link w:val="Textocomentario1"/>
    <w:uiPriority w:val="99"/>
    <w:rsid w:val="00535F27"/>
    <w:rPr>
      <w:sz w:val="20"/>
      <w:szCs w:val="20"/>
      <w:lang w:val="es-CO"/>
    </w:rPr>
  </w:style>
  <w:style w:type="table" w:styleId="Tablaconcuadrcula">
    <w:name w:val="Table Grid"/>
    <w:basedOn w:val="Tablanormal"/>
    <w:uiPriority w:val="39"/>
    <w:rsid w:val="00535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1"/>
    <w:uiPriority w:val="99"/>
    <w:semiHidden/>
    <w:unhideWhenUsed/>
    <w:rsid w:val="00535F27"/>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535F27"/>
  </w:style>
  <w:style w:type="paragraph" w:styleId="Piedepgina">
    <w:name w:val="footer"/>
    <w:basedOn w:val="Normal"/>
    <w:link w:val="PiedepginaCar1"/>
    <w:uiPriority w:val="99"/>
    <w:semiHidden/>
    <w:unhideWhenUsed/>
    <w:rsid w:val="00535F27"/>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535F27"/>
  </w:style>
  <w:style w:type="paragraph" w:styleId="Textonotapie">
    <w:name w:val="footnote text"/>
    <w:basedOn w:val="Normal"/>
    <w:link w:val="TextonotapieCar"/>
    <w:uiPriority w:val="99"/>
    <w:semiHidden/>
    <w:unhideWhenUsed/>
    <w:rsid w:val="00535F27"/>
    <w:pPr>
      <w:spacing w:after="0" w:line="240" w:lineRule="auto"/>
    </w:pPr>
    <w:rPr>
      <w:sz w:val="20"/>
      <w:szCs w:val="20"/>
      <w:lang w:val="es-MX"/>
    </w:rPr>
  </w:style>
  <w:style w:type="character" w:customStyle="1" w:styleId="TextonotapieCar1">
    <w:name w:val="Texto nota pie Car1"/>
    <w:basedOn w:val="Fuentedeprrafopredeter"/>
    <w:uiPriority w:val="99"/>
    <w:semiHidden/>
    <w:rsid w:val="00535F27"/>
    <w:rPr>
      <w:sz w:val="20"/>
      <w:szCs w:val="20"/>
    </w:rPr>
  </w:style>
  <w:style w:type="paragraph" w:styleId="Textocomentario">
    <w:name w:val="annotation text"/>
    <w:basedOn w:val="Normal"/>
    <w:link w:val="TextocomentarioCar1"/>
    <w:uiPriority w:val="99"/>
    <w:unhideWhenUsed/>
    <w:rsid w:val="00535F27"/>
    <w:pPr>
      <w:spacing w:line="240" w:lineRule="auto"/>
    </w:pPr>
    <w:rPr>
      <w:sz w:val="20"/>
      <w:szCs w:val="20"/>
    </w:rPr>
  </w:style>
  <w:style w:type="character" w:customStyle="1" w:styleId="TextocomentarioCar1">
    <w:name w:val="Texto comentario Car1"/>
    <w:basedOn w:val="Fuentedeprrafopredeter"/>
    <w:link w:val="Textocomentario"/>
    <w:uiPriority w:val="99"/>
    <w:rsid w:val="00535F27"/>
    <w:rPr>
      <w:sz w:val="20"/>
      <w:szCs w:val="20"/>
    </w:rPr>
  </w:style>
  <w:style w:type="paragraph" w:customStyle="1" w:styleId="gmail-msolistparagraph">
    <w:name w:val="gmail-msolistparagraph"/>
    <w:basedOn w:val="Normal"/>
    <w:rsid w:val="00E66A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721EB"/>
    <w:pPr>
      <w:ind w:left="720"/>
      <w:contextualSpacing/>
    </w:pPr>
  </w:style>
  <w:style w:type="paragraph" w:styleId="Revisin">
    <w:name w:val="Revision"/>
    <w:hidden/>
    <w:uiPriority w:val="99"/>
    <w:semiHidden/>
    <w:rsid w:val="005238B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238B0"/>
    <w:rPr>
      <w:b/>
      <w:bCs/>
    </w:rPr>
  </w:style>
  <w:style w:type="character" w:customStyle="1" w:styleId="AsuntodelcomentarioCar">
    <w:name w:val="Asunto del comentario Car"/>
    <w:basedOn w:val="TextocomentarioCar1"/>
    <w:link w:val="Asuntodelcomentario"/>
    <w:uiPriority w:val="99"/>
    <w:semiHidden/>
    <w:rsid w:val="005238B0"/>
    <w:rPr>
      <w:b/>
      <w:bCs/>
      <w:sz w:val="20"/>
      <w:szCs w:val="20"/>
    </w:rPr>
  </w:style>
  <w:style w:type="character" w:styleId="Mencinsinresolver">
    <w:name w:val="Unresolved Mention"/>
    <w:basedOn w:val="Fuentedeprrafopredeter"/>
    <w:uiPriority w:val="99"/>
    <w:semiHidden/>
    <w:unhideWhenUsed/>
    <w:rsid w:val="00B90FA7"/>
    <w:rPr>
      <w:color w:val="605E5C"/>
      <w:shd w:val="clear" w:color="auto" w:fill="E1DFDD"/>
    </w:rPr>
  </w:style>
  <w:style w:type="character" w:styleId="nfasis">
    <w:name w:val="Emphasis"/>
    <w:basedOn w:val="Fuentedeprrafopredeter"/>
    <w:uiPriority w:val="20"/>
    <w:qFormat/>
    <w:rsid w:val="00E51310"/>
    <w:rPr>
      <w:i/>
      <w:iCs/>
    </w:rPr>
  </w:style>
  <w:style w:type="paragraph" w:styleId="NormalWeb">
    <w:name w:val="Normal (Web)"/>
    <w:basedOn w:val="Normal"/>
    <w:uiPriority w:val="99"/>
    <w:semiHidden/>
    <w:unhideWhenUsed/>
    <w:rsid w:val="006B58E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B5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0332">
      <w:bodyDiv w:val="1"/>
      <w:marLeft w:val="0"/>
      <w:marRight w:val="0"/>
      <w:marTop w:val="0"/>
      <w:marBottom w:val="0"/>
      <w:divBdr>
        <w:top w:val="none" w:sz="0" w:space="0" w:color="auto"/>
        <w:left w:val="none" w:sz="0" w:space="0" w:color="auto"/>
        <w:bottom w:val="none" w:sz="0" w:space="0" w:color="auto"/>
        <w:right w:val="none" w:sz="0" w:space="0" w:color="auto"/>
      </w:divBdr>
    </w:div>
    <w:div w:id="1509367129">
      <w:bodyDiv w:val="1"/>
      <w:marLeft w:val="0"/>
      <w:marRight w:val="0"/>
      <w:marTop w:val="0"/>
      <w:marBottom w:val="0"/>
      <w:divBdr>
        <w:top w:val="none" w:sz="0" w:space="0" w:color="auto"/>
        <w:left w:val="none" w:sz="0" w:space="0" w:color="auto"/>
        <w:bottom w:val="none" w:sz="0" w:space="0" w:color="auto"/>
        <w:right w:val="none" w:sz="0" w:space="0" w:color="auto"/>
      </w:divBdr>
    </w:div>
    <w:div w:id="18619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ncionpublica.gov.co/sisjur/home/Norma1.jsp?i=1609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inpp11@g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7573B-3265-432D-B837-A00BA323CF51}">
  <ds:schemaRefs>
    <ds:schemaRef ds:uri="http://schemas.microsoft.com/sharepoint/v3/contenttype/forms"/>
  </ds:schemaRefs>
</ds:datastoreItem>
</file>

<file path=customXml/itemProps2.xml><?xml version="1.0" encoding="utf-8"?>
<ds:datastoreItem xmlns:ds="http://schemas.openxmlformats.org/officeDocument/2006/customXml" ds:itemID="{E71B8777-565F-4612-AC28-13A40472439F}">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a6cb9e4b-f1d1-4245-83ec-6cad768d538a"/>
    <ds:schemaRef ds:uri="9d85dbaf-23eb-4e57-a637-93dcacc8b1a1"/>
    <ds:schemaRef ds:uri="http://schemas.microsoft.com/office/2006/metadata/properties"/>
  </ds:schemaRefs>
</ds:datastoreItem>
</file>

<file path=customXml/itemProps3.xml><?xml version="1.0" encoding="utf-8"?>
<ds:datastoreItem xmlns:ds="http://schemas.openxmlformats.org/officeDocument/2006/customXml" ds:itemID="{E9A153C8-C716-424B-B62E-A6D36C02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3719</Words>
  <Characters>20460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Diego German Revelo Bolívar</cp:lastModifiedBy>
  <cp:revision>2</cp:revision>
  <dcterms:created xsi:type="dcterms:W3CDTF">2023-03-23T13:00:00Z</dcterms:created>
  <dcterms:modified xsi:type="dcterms:W3CDTF">2023-03-23T13:00:00Z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