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E3DF" w14:textId="77777777" w:rsidR="00B353AD" w:rsidRPr="00117F45" w:rsidRDefault="00B353AD" w:rsidP="00CA10CC">
      <w:pPr>
        <w:spacing w:line="276" w:lineRule="auto"/>
        <w:jc w:val="both"/>
        <w:rPr>
          <w:rFonts w:ascii="Arial" w:eastAsia="Calibri" w:hAnsi="Arial" w:cs="Arial"/>
          <w:b/>
          <w:bCs/>
          <w:color w:val="000000" w:themeColor="text1"/>
          <w:sz w:val="22"/>
          <w:szCs w:val="22"/>
          <w:lang w:val="es-ES_tradnl"/>
        </w:rPr>
      </w:pPr>
      <w:bookmarkStart w:id="0" w:name="_Hlk96417464"/>
      <w:r w:rsidRPr="00117F45">
        <w:rPr>
          <w:rFonts w:ascii="Arial" w:eastAsia="Calibri" w:hAnsi="Arial" w:cs="Arial"/>
          <w:b/>
          <w:bCs/>
          <w:color w:val="000000" w:themeColor="text1"/>
          <w:sz w:val="22"/>
          <w:szCs w:val="22"/>
          <w:lang w:val="es-ES_tradnl"/>
        </w:rPr>
        <w:t xml:space="preserve">RÉGIMEN DE INHABILIDADES E INCOMPATIBILIDADES </w:t>
      </w:r>
      <w:r w:rsidRPr="00117F45">
        <w:rPr>
          <w:rFonts w:ascii="Arial" w:eastAsia="Calibri" w:hAnsi="Arial" w:cs="Arial"/>
          <w:b/>
          <w:color w:val="000000" w:themeColor="text1"/>
          <w:sz w:val="22"/>
          <w:szCs w:val="22"/>
        </w:rPr>
        <w:t>–</w:t>
      </w:r>
      <w:r w:rsidRPr="00117F45">
        <w:rPr>
          <w:rFonts w:ascii="Arial" w:eastAsia="Calibri" w:hAnsi="Arial" w:cs="Arial"/>
          <w:b/>
          <w:bCs/>
          <w:color w:val="000000" w:themeColor="text1"/>
          <w:sz w:val="22"/>
          <w:szCs w:val="22"/>
          <w:lang w:val="es-ES_tradnl"/>
        </w:rPr>
        <w:t xml:space="preserve"> Concepto </w:t>
      </w:r>
      <w:r w:rsidRPr="00117F45">
        <w:rPr>
          <w:rFonts w:ascii="Arial" w:eastAsia="Calibri" w:hAnsi="Arial" w:cs="Arial"/>
          <w:b/>
          <w:color w:val="000000" w:themeColor="text1"/>
          <w:sz w:val="22"/>
          <w:szCs w:val="22"/>
        </w:rPr>
        <w:t>–</w:t>
      </w:r>
      <w:r w:rsidRPr="00117F45">
        <w:rPr>
          <w:rFonts w:ascii="Arial" w:eastAsia="Calibri" w:hAnsi="Arial" w:cs="Arial"/>
          <w:b/>
          <w:bCs/>
          <w:color w:val="000000" w:themeColor="text1"/>
          <w:sz w:val="22"/>
          <w:szCs w:val="22"/>
          <w:lang w:val="es-ES_tradnl"/>
        </w:rPr>
        <w:t xml:space="preserve"> Principio de legalidad </w:t>
      </w:r>
      <w:r w:rsidRPr="00117F45">
        <w:rPr>
          <w:rFonts w:ascii="Arial" w:eastAsia="Calibri" w:hAnsi="Arial" w:cs="Arial"/>
          <w:b/>
          <w:color w:val="000000" w:themeColor="text1"/>
          <w:sz w:val="22"/>
          <w:szCs w:val="22"/>
        </w:rPr>
        <w:t>–</w:t>
      </w:r>
      <w:r w:rsidRPr="00117F45">
        <w:rPr>
          <w:rFonts w:ascii="Arial" w:eastAsia="Calibri" w:hAnsi="Arial" w:cs="Arial"/>
          <w:b/>
          <w:bCs/>
          <w:color w:val="000000" w:themeColor="text1"/>
          <w:sz w:val="22"/>
          <w:szCs w:val="22"/>
          <w:lang w:val="es-ES_tradnl"/>
        </w:rPr>
        <w:t xml:space="preserve"> Interpretación restrictiva</w:t>
      </w:r>
    </w:p>
    <w:p w14:paraId="0292C1C6" w14:textId="77777777" w:rsidR="00B353AD" w:rsidRPr="00BB0C7F" w:rsidRDefault="00B353AD" w:rsidP="00CA10CC">
      <w:pPr>
        <w:spacing w:line="276" w:lineRule="auto"/>
        <w:jc w:val="both"/>
        <w:rPr>
          <w:rFonts w:ascii="Arial" w:eastAsia="Calibri" w:hAnsi="Arial" w:cs="Arial"/>
          <w:b/>
          <w:bCs/>
          <w:color w:val="000000" w:themeColor="text1"/>
          <w:lang w:val="es-ES_tradnl"/>
        </w:rPr>
      </w:pPr>
    </w:p>
    <w:p w14:paraId="532081A6" w14:textId="77777777" w:rsidR="00B353AD" w:rsidRPr="00BB0C7F" w:rsidRDefault="00B353AD" w:rsidP="00CA10CC">
      <w:pPr>
        <w:spacing w:line="276" w:lineRule="auto"/>
        <w:jc w:val="both"/>
        <w:rPr>
          <w:rFonts w:ascii="Arial" w:eastAsia="Calibri" w:hAnsi="Arial" w:cs="Arial"/>
          <w:color w:val="000000" w:themeColor="text1"/>
          <w:lang w:val="es-ES_tradnl"/>
        </w:rPr>
      </w:pPr>
      <w:r w:rsidRPr="00BB0C7F">
        <w:rPr>
          <w:rFonts w:ascii="Arial" w:eastAsia="Calibri" w:hAnsi="Arial" w:cs="Arial"/>
          <w:color w:val="000000" w:themeColor="text1"/>
          <w:lang w:val="es-ES_tradnl"/>
        </w:rPr>
        <w:t xml:space="preserve">Las </w:t>
      </w:r>
      <w:r w:rsidRPr="00BB0C7F">
        <w:rPr>
          <w:rFonts w:ascii="Arial" w:eastAsia="Calibri" w:hAnsi="Arial" w:cs="Arial"/>
          <w:i/>
          <w:iCs/>
          <w:color w:val="000000" w:themeColor="text1"/>
          <w:lang w:val="es-ES_tradnl"/>
        </w:rPr>
        <w:t>inhabilidades</w:t>
      </w:r>
      <w:r w:rsidRPr="00BB0C7F">
        <w:rPr>
          <w:rFonts w:ascii="Arial" w:eastAsia="Calibri" w:hAnsi="Arial" w:cs="Arial"/>
          <w:color w:val="000000" w:themeColor="text1"/>
          <w:lang w:val="es-ES_tradnl"/>
        </w:rPr>
        <w:t xml:space="preserve"> son prohibiciones para concurrir a los procedimientos de selección y para contratar con el Estado, que se derivan de i) de la existencia de comportamientos reprochables o de sanciones anteriormente impuestas, ii) de vínculos personales relativos al parentesco o al estado civil o </w:t>
      </w:r>
      <w:proofErr w:type="spellStart"/>
      <w:r w:rsidRPr="00BB0C7F">
        <w:rPr>
          <w:rFonts w:ascii="Arial" w:eastAsia="Calibri" w:hAnsi="Arial" w:cs="Arial"/>
          <w:color w:val="000000" w:themeColor="text1"/>
          <w:lang w:val="es-ES_tradnl"/>
        </w:rPr>
        <w:t>iii</w:t>
      </w:r>
      <w:proofErr w:type="spellEnd"/>
      <w:r w:rsidRPr="00BB0C7F">
        <w:rPr>
          <w:rFonts w:ascii="Arial" w:eastAsia="Calibri" w:hAnsi="Arial" w:cs="Arial"/>
          <w:color w:val="000000" w:themeColor="text1"/>
          <w:lang w:val="es-ES_tradnl"/>
        </w:rPr>
        <w:t xml:space="preserve">) de una actividad u oficio que se desempeñó en el pasado. De otro lado, las </w:t>
      </w:r>
      <w:r w:rsidRPr="00BB0C7F">
        <w:rPr>
          <w:rFonts w:ascii="Arial" w:eastAsia="Calibri" w:hAnsi="Arial" w:cs="Arial"/>
          <w:i/>
          <w:iCs/>
          <w:color w:val="000000" w:themeColor="text1"/>
          <w:lang w:val="es-ES_tradnl"/>
        </w:rPr>
        <w:t>incompatibilidades</w:t>
      </w:r>
      <w:r w:rsidRPr="00BB0C7F">
        <w:rPr>
          <w:rFonts w:ascii="Arial" w:eastAsia="Calibri" w:hAnsi="Arial" w:cs="Arial"/>
          <w:color w:val="000000" w:themeColor="text1"/>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211AAA68" w14:textId="77777777" w:rsidR="00B353AD" w:rsidRPr="00BB0C7F" w:rsidRDefault="00B353AD" w:rsidP="00CA10CC">
      <w:pPr>
        <w:spacing w:line="276" w:lineRule="auto"/>
        <w:jc w:val="both"/>
        <w:rPr>
          <w:rFonts w:ascii="Arial" w:eastAsia="Calibri" w:hAnsi="Arial" w:cs="Arial"/>
          <w:color w:val="000000" w:themeColor="text1"/>
          <w:lang w:val="es-ES_tradnl"/>
        </w:rPr>
      </w:pPr>
    </w:p>
    <w:p w14:paraId="17080DE2" w14:textId="1C43C3AD" w:rsidR="00B353AD" w:rsidRPr="00BB0C7F" w:rsidRDefault="00B353AD" w:rsidP="00CA10CC">
      <w:pPr>
        <w:spacing w:line="276" w:lineRule="auto"/>
        <w:jc w:val="both"/>
        <w:rPr>
          <w:rFonts w:ascii="Arial" w:eastAsia="Calibri" w:hAnsi="Arial" w:cs="Arial"/>
          <w:b/>
          <w:bCs/>
          <w:color w:val="000000" w:themeColor="text1"/>
          <w:lang w:val="es-ES_tradnl"/>
        </w:rPr>
      </w:pPr>
      <w:r w:rsidRPr="00BB0C7F">
        <w:rPr>
          <w:rFonts w:ascii="Arial" w:eastAsia="Calibri" w:hAnsi="Arial" w:cs="Arial"/>
          <w:b/>
          <w:bCs/>
          <w:color w:val="000000" w:themeColor="text1"/>
          <w:lang w:val="es-ES_tradnl"/>
        </w:rPr>
        <w:t xml:space="preserve">INHABILIDADES ― Interpretación restrictiva ― </w:t>
      </w:r>
    </w:p>
    <w:p w14:paraId="2B095020" w14:textId="77777777" w:rsidR="00B353AD" w:rsidRPr="00BB0C7F" w:rsidRDefault="00B353AD" w:rsidP="00CA10CC">
      <w:pPr>
        <w:spacing w:line="276" w:lineRule="auto"/>
        <w:jc w:val="both"/>
        <w:rPr>
          <w:rFonts w:ascii="Arial" w:eastAsia="Calibri" w:hAnsi="Arial" w:cs="Arial"/>
          <w:color w:val="000000" w:themeColor="text1"/>
          <w:lang w:val="es-ES_tradnl"/>
        </w:rPr>
      </w:pPr>
    </w:p>
    <w:p w14:paraId="1F5397DF" w14:textId="77777777" w:rsidR="00B353AD" w:rsidRPr="00BB0C7F" w:rsidRDefault="00B353AD" w:rsidP="00CA10CC">
      <w:pPr>
        <w:spacing w:line="276" w:lineRule="auto"/>
        <w:jc w:val="both"/>
        <w:rPr>
          <w:rFonts w:ascii="Arial" w:eastAsia="Calibri" w:hAnsi="Arial" w:cs="Arial"/>
          <w:color w:val="000000" w:themeColor="text1"/>
          <w:lang w:val="es-ES_tradnl"/>
        </w:rPr>
      </w:pPr>
      <w:r w:rsidRPr="00BB0C7F">
        <w:rPr>
          <w:rFonts w:ascii="Arial" w:eastAsia="Calibri" w:hAnsi="Arial" w:cs="Arial"/>
          <w:color w:val="000000" w:themeColor="text1"/>
          <w:lang w:val="es-ES_tradnl"/>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64F5FAFC" w14:textId="77777777" w:rsidR="00B353AD" w:rsidRPr="00BB0C7F" w:rsidRDefault="00B353AD" w:rsidP="00CA10CC">
      <w:pPr>
        <w:spacing w:line="276" w:lineRule="auto"/>
        <w:jc w:val="both"/>
        <w:rPr>
          <w:rFonts w:ascii="Arial" w:eastAsia="Calibri" w:hAnsi="Arial" w:cs="Arial"/>
          <w:color w:val="000000" w:themeColor="text1"/>
          <w:lang w:val="es-ES_tradnl"/>
        </w:rPr>
      </w:pPr>
    </w:p>
    <w:p w14:paraId="4BAA7F7F" w14:textId="0DFF3EC9" w:rsidR="00B353AD" w:rsidRPr="00BB0C7F" w:rsidRDefault="00B353AD" w:rsidP="00CA10CC">
      <w:pPr>
        <w:spacing w:line="276" w:lineRule="auto"/>
        <w:jc w:val="both"/>
        <w:rPr>
          <w:rFonts w:ascii="Arial" w:eastAsia="Calibri" w:hAnsi="Arial" w:cs="Arial"/>
          <w:color w:val="000000" w:themeColor="text1"/>
          <w:lang w:val="es-ES_tradnl"/>
        </w:rPr>
      </w:pPr>
      <w:r w:rsidRPr="00BB0C7F">
        <w:rPr>
          <w:rFonts w:ascii="Arial" w:eastAsia="Calibri" w:hAnsi="Arial" w:cs="Arial"/>
          <w:color w:val="000000" w:themeColor="text1"/>
          <w:lang w:val="es-ES_tradnl"/>
        </w:rPr>
        <w:t xml:space="preserve">Como se aprecia, el principio </w:t>
      </w:r>
      <w:r w:rsidRPr="00BB0C7F">
        <w:rPr>
          <w:rFonts w:ascii="Arial" w:eastAsia="Calibri" w:hAnsi="Arial" w:cs="Arial"/>
          <w:i/>
          <w:iCs/>
          <w:color w:val="000000" w:themeColor="text1"/>
          <w:lang w:val="es-ES_tradnl"/>
        </w:rPr>
        <w:t xml:space="preserve">pro </w:t>
      </w:r>
      <w:proofErr w:type="spellStart"/>
      <w:r w:rsidRPr="00BB0C7F">
        <w:rPr>
          <w:rFonts w:ascii="Arial" w:eastAsia="Calibri" w:hAnsi="Arial" w:cs="Arial"/>
          <w:i/>
          <w:iCs/>
          <w:color w:val="000000" w:themeColor="text1"/>
          <w:lang w:val="es-ES_tradnl"/>
        </w:rPr>
        <w:t>libertate</w:t>
      </w:r>
      <w:proofErr w:type="spellEnd"/>
      <w:r w:rsidRPr="00BB0C7F">
        <w:rPr>
          <w:rFonts w:ascii="Arial" w:eastAsia="Calibri" w:hAnsi="Arial" w:cs="Arial"/>
          <w:color w:val="000000" w:themeColor="text1"/>
          <w:lang w:val="es-ES_tradnl"/>
        </w:rPr>
        <w:t xml:space="preserve"> es el que debe dirigir la interpretación de las disposiciones normativas que consagran restricciones de derechos, como sucede con las causales de inhabilidad e incompatibilidad en la contratación estatal. </w:t>
      </w:r>
    </w:p>
    <w:p w14:paraId="1418671C" w14:textId="07385898" w:rsidR="00BC28C1" w:rsidRDefault="00BC28C1" w:rsidP="00CA10CC">
      <w:pPr>
        <w:spacing w:line="276" w:lineRule="auto"/>
        <w:jc w:val="both"/>
        <w:rPr>
          <w:rFonts w:ascii="Arial" w:eastAsia="Calibri" w:hAnsi="Arial" w:cs="Arial"/>
          <w:color w:val="000000" w:themeColor="text1"/>
          <w:sz w:val="22"/>
          <w:szCs w:val="22"/>
          <w:lang w:val="es-ES_tradnl"/>
        </w:rPr>
      </w:pPr>
    </w:p>
    <w:p w14:paraId="17AB7445" w14:textId="75EA1E03" w:rsidR="00BC28C1" w:rsidRDefault="00BC28C1" w:rsidP="00CA10CC">
      <w:pPr>
        <w:spacing w:line="276" w:lineRule="auto"/>
        <w:jc w:val="both"/>
        <w:rPr>
          <w:rFonts w:ascii="Arial" w:eastAsia="Calibri" w:hAnsi="Arial" w:cs="Arial"/>
          <w:b/>
          <w:bCs/>
          <w:lang w:val="es-ES_tradnl"/>
        </w:rPr>
      </w:pPr>
      <w:r w:rsidRPr="00BC28C1">
        <w:rPr>
          <w:rFonts w:ascii="Arial" w:eastAsia="Calibri" w:hAnsi="Arial" w:cs="Arial"/>
          <w:b/>
          <w:bCs/>
          <w:lang w:val="es-ES_tradnl"/>
        </w:rPr>
        <w:t>PROHIBICIÓN PARA EXSERVIDORES PÚBLICOS – Ley 734 de 2022 –Ley 1952 de 2019 – Alcance</w:t>
      </w:r>
    </w:p>
    <w:p w14:paraId="318E4344" w14:textId="40128B9C" w:rsidR="005D7C96" w:rsidRPr="00BC28C1" w:rsidRDefault="00BB0C7F" w:rsidP="00CA10CC">
      <w:pPr>
        <w:spacing w:line="276" w:lineRule="auto"/>
        <w:jc w:val="both"/>
        <w:rPr>
          <w:rFonts w:ascii="Arial" w:eastAsia="Calibri" w:hAnsi="Arial" w:cs="Arial"/>
          <w:b/>
          <w:bCs/>
          <w:color w:val="000000" w:themeColor="text1"/>
          <w:sz w:val="22"/>
          <w:szCs w:val="22"/>
          <w:lang w:val="es-ES_tradnl"/>
        </w:rPr>
      </w:pPr>
      <w:r>
        <w:rPr>
          <w:rFonts w:ascii="Arial" w:hAnsi="Arial" w:cs="Arial"/>
        </w:rPr>
        <w:t>[…] S</w:t>
      </w:r>
      <w:r w:rsidR="005D7C96" w:rsidRPr="00A037C9">
        <w:rPr>
          <w:rFonts w:ascii="Arial" w:hAnsi="Arial" w:cs="Arial"/>
        </w:rPr>
        <w:t xml:space="preserve">e advierte que el numeral 4 del artículo 56  del  Código General Disciplinario también consagró una prohibición en términos casi idénticos a la establecida en  el artículo 35, numeral 22 de la Ley 734 de 2002, en virtud de la cual se impide a los </w:t>
      </w:r>
      <w:r w:rsidR="005D7C96" w:rsidRPr="00A037C9">
        <w:rPr>
          <w:rFonts w:ascii="Arial" w:hAnsi="Arial" w:cs="Arial"/>
        </w:rPr>
        <w:lastRenderedPageBreak/>
        <w:t xml:space="preserve">funcionarios y exfuncionarios prestar, a título personal o por interpuesta persona, servicios de asistencia, representación o asesoría en asuntos relacionados con las funciones propias del cargo, o permitir que ello ocurra con posterioridad a la desvinculación del cargo. La diferencia sustancial con lo dispuesto por la disposición modificada por el artículo 3 de la Ley 1474 de 2011 estriba en que, en lo relativo a los exfuncionarios, la disposición hoy día vigente varió el plazo durante el cual se extiende la prohibición para los exfuncionarios, en la medida en que ahora dicho término es un año y no de dos.    </w:t>
      </w:r>
    </w:p>
    <w:p w14:paraId="66E9FED4" w14:textId="77777777" w:rsidR="00B353AD" w:rsidRPr="00117F45" w:rsidRDefault="00B353AD" w:rsidP="00CA10CC">
      <w:pPr>
        <w:spacing w:line="276" w:lineRule="auto"/>
        <w:jc w:val="both"/>
        <w:rPr>
          <w:rFonts w:ascii="Arial" w:eastAsia="Calibri" w:hAnsi="Arial" w:cs="Arial"/>
          <w:color w:val="000000" w:themeColor="text1"/>
          <w:sz w:val="22"/>
          <w:szCs w:val="22"/>
          <w:lang w:val="es-ES_tradnl"/>
        </w:rPr>
      </w:pPr>
    </w:p>
    <w:p w14:paraId="3A1DF88B" w14:textId="77777777" w:rsidR="00B353AD" w:rsidRPr="00117F45" w:rsidRDefault="00B353AD" w:rsidP="00CA10CC">
      <w:pPr>
        <w:spacing w:line="276" w:lineRule="auto"/>
        <w:jc w:val="both"/>
        <w:rPr>
          <w:rFonts w:ascii="Arial" w:hAnsi="Arial" w:cs="Arial"/>
          <w:color w:val="000000" w:themeColor="text1"/>
          <w:sz w:val="22"/>
          <w:szCs w:val="22"/>
          <w:lang w:val="es-ES_tradnl"/>
        </w:rPr>
      </w:pPr>
    </w:p>
    <w:p w14:paraId="46E79E04" w14:textId="77777777" w:rsidR="001F333E" w:rsidRPr="00117F45" w:rsidRDefault="001F333E" w:rsidP="00CA10CC">
      <w:pPr>
        <w:spacing w:line="276" w:lineRule="auto"/>
        <w:jc w:val="both"/>
        <w:rPr>
          <w:rFonts w:ascii="Arial" w:eastAsia="Calibri" w:hAnsi="Arial" w:cs="Arial"/>
          <w:sz w:val="22"/>
          <w:szCs w:val="22"/>
          <w:lang w:val="es-ES_tradnl"/>
        </w:rPr>
      </w:pPr>
    </w:p>
    <w:p w14:paraId="3A8CBD47" w14:textId="77777777" w:rsidR="00B353AD" w:rsidRPr="00117F45" w:rsidRDefault="00B353AD" w:rsidP="00CA10CC">
      <w:pPr>
        <w:spacing w:line="276" w:lineRule="auto"/>
        <w:jc w:val="both"/>
        <w:rPr>
          <w:rFonts w:ascii="Arial" w:eastAsia="Calibri" w:hAnsi="Arial" w:cs="Arial"/>
          <w:sz w:val="22"/>
          <w:szCs w:val="22"/>
          <w:lang w:val="es-ES_tradnl"/>
        </w:rPr>
      </w:pPr>
    </w:p>
    <w:p w14:paraId="51872F0F" w14:textId="77777777" w:rsidR="00B353AD" w:rsidRPr="00117F45" w:rsidRDefault="00B353AD" w:rsidP="00CA10CC">
      <w:pPr>
        <w:spacing w:line="276" w:lineRule="auto"/>
        <w:jc w:val="both"/>
        <w:rPr>
          <w:rFonts w:ascii="Arial" w:eastAsia="Calibri" w:hAnsi="Arial" w:cs="Arial"/>
          <w:sz w:val="22"/>
          <w:szCs w:val="22"/>
          <w:lang w:val="es-ES_tradnl"/>
        </w:rPr>
      </w:pPr>
    </w:p>
    <w:p w14:paraId="0F93DF63" w14:textId="77777777" w:rsidR="00B353AD" w:rsidRPr="00117F45" w:rsidRDefault="00B353AD" w:rsidP="00CA10CC">
      <w:pPr>
        <w:spacing w:line="276" w:lineRule="auto"/>
        <w:jc w:val="both"/>
        <w:rPr>
          <w:rFonts w:ascii="Arial" w:eastAsia="Calibri" w:hAnsi="Arial" w:cs="Arial"/>
          <w:sz w:val="22"/>
          <w:szCs w:val="22"/>
          <w:lang w:val="es-ES_tradnl"/>
        </w:rPr>
      </w:pPr>
    </w:p>
    <w:p w14:paraId="506B7128" w14:textId="77777777" w:rsidR="00B353AD" w:rsidRPr="00117F45" w:rsidRDefault="00B353AD" w:rsidP="00CA10CC">
      <w:pPr>
        <w:spacing w:line="276" w:lineRule="auto"/>
        <w:jc w:val="both"/>
        <w:rPr>
          <w:rFonts w:ascii="Arial" w:eastAsia="Calibri" w:hAnsi="Arial" w:cs="Arial"/>
          <w:sz w:val="22"/>
          <w:szCs w:val="22"/>
          <w:lang w:val="es-ES_tradnl"/>
        </w:rPr>
      </w:pPr>
    </w:p>
    <w:p w14:paraId="559870A8" w14:textId="77777777" w:rsidR="00C2132D" w:rsidRPr="00117F45" w:rsidRDefault="00C2132D" w:rsidP="00CA10CC">
      <w:pPr>
        <w:spacing w:line="276" w:lineRule="auto"/>
        <w:jc w:val="both"/>
        <w:rPr>
          <w:rFonts w:ascii="Arial" w:eastAsia="Calibri" w:hAnsi="Arial" w:cs="Arial"/>
          <w:sz w:val="22"/>
          <w:szCs w:val="22"/>
          <w:lang w:val="es-ES_tradnl"/>
        </w:rPr>
      </w:pPr>
    </w:p>
    <w:p w14:paraId="6D9B4B29" w14:textId="77777777" w:rsidR="00C2132D" w:rsidRPr="00117F45" w:rsidRDefault="00C2132D" w:rsidP="00CA10CC">
      <w:pPr>
        <w:spacing w:line="276" w:lineRule="auto"/>
        <w:jc w:val="both"/>
        <w:rPr>
          <w:rFonts w:ascii="Arial" w:eastAsia="Calibri" w:hAnsi="Arial" w:cs="Arial"/>
          <w:sz w:val="22"/>
          <w:szCs w:val="22"/>
          <w:lang w:val="es-ES_tradnl"/>
        </w:rPr>
      </w:pPr>
    </w:p>
    <w:p w14:paraId="0060F222" w14:textId="77777777" w:rsidR="00C2132D" w:rsidRPr="00117F45" w:rsidRDefault="00C2132D" w:rsidP="00CA10CC">
      <w:pPr>
        <w:spacing w:line="276" w:lineRule="auto"/>
        <w:jc w:val="both"/>
        <w:rPr>
          <w:rFonts w:ascii="Arial" w:eastAsia="Calibri" w:hAnsi="Arial" w:cs="Arial"/>
          <w:sz w:val="22"/>
          <w:szCs w:val="22"/>
          <w:lang w:val="es-ES_tradnl"/>
        </w:rPr>
      </w:pPr>
    </w:p>
    <w:p w14:paraId="47336B01" w14:textId="77777777" w:rsidR="004E3054" w:rsidRPr="00117F45" w:rsidRDefault="004E3054" w:rsidP="004E3054">
      <w:pPr>
        <w:rPr>
          <w:rFonts w:ascii="Arial" w:hAnsi="Arial" w:cs="Arial"/>
          <w:b/>
          <w:lang w:val="es-MX" w:eastAsia="es-CO"/>
        </w:rPr>
      </w:pPr>
    </w:p>
    <w:p w14:paraId="3A38AA6D" w14:textId="77777777" w:rsidR="001F3152" w:rsidRDefault="001F3152" w:rsidP="004E3054">
      <w:pPr>
        <w:rPr>
          <w:rFonts w:ascii="Arial" w:eastAsia="Geomanist Light" w:hAnsi="Arial" w:cs="Arial"/>
          <w:color w:val="000000" w:themeColor="text1"/>
          <w:lang w:val="es-MX"/>
        </w:rPr>
      </w:pPr>
    </w:p>
    <w:p w14:paraId="2CF03901" w14:textId="77777777" w:rsidR="001F3152" w:rsidRDefault="001F3152" w:rsidP="004E3054">
      <w:pPr>
        <w:rPr>
          <w:rFonts w:ascii="Arial" w:eastAsia="Geomanist Light" w:hAnsi="Arial" w:cs="Arial"/>
          <w:color w:val="000000" w:themeColor="text1"/>
          <w:lang w:val="es-MX"/>
        </w:rPr>
      </w:pPr>
    </w:p>
    <w:p w14:paraId="06DE394C" w14:textId="77777777" w:rsidR="001F3152" w:rsidRDefault="001F3152" w:rsidP="004E3054">
      <w:pPr>
        <w:rPr>
          <w:rFonts w:ascii="Arial" w:eastAsia="Geomanist Light" w:hAnsi="Arial" w:cs="Arial"/>
          <w:color w:val="000000" w:themeColor="text1"/>
          <w:lang w:val="es-MX"/>
        </w:rPr>
      </w:pPr>
    </w:p>
    <w:p w14:paraId="0456BC50" w14:textId="77777777" w:rsidR="001F3152" w:rsidRDefault="001F3152" w:rsidP="004E3054">
      <w:pPr>
        <w:rPr>
          <w:rFonts w:ascii="Arial" w:eastAsia="Geomanist Light" w:hAnsi="Arial" w:cs="Arial"/>
          <w:color w:val="000000" w:themeColor="text1"/>
          <w:lang w:val="es-MX"/>
        </w:rPr>
      </w:pPr>
    </w:p>
    <w:p w14:paraId="4FD7860F" w14:textId="77777777" w:rsidR="001F3152" w:rsidRDefault="001F3152" w:rsidP="004E3054">
      <w:pPr>
        <w:rPr>
          <w:rFonts w:ascii="Arial" w:eastAsia="Geomanist Light" w:hAnsi="Arial" w:cs="Arial"/>
          <w:color w:val="000000" w:themeColor="text1"/>
          <w:lang w:val="es-MX"/>
        </w:rPr>
      </w:pPr>
    </w:p>
    <w:p w14:paraId="74426122" w14:textId="77777777" w:rsidR="001F3152" w:rsidRDefault="001F3152" w:rsidP="004E3054">
      <w:pPr>
        <w:rPr>
          <w:rFonts w:ascii="Arial" w:eastAsia="Geomanist Light" w:hAnsi="Arial" w:cs="Arial"/>
          <w:color w:val="000000" w:themeColor="text1"/>
          <w:lang w:val="es-MX"/>
        </w:rPr>
      </w:pPr>
    </w:p>
    <w:p w14:paraId="44CA0AC1" w14:textId="77777777" w:rsidR="001F3152" w:rsidRDefault="001F3152" w:rsidP="004E3054">
      <w:pPr>
        <w:rPr>
          <w:rFonts w:ascii="Arial" w:eastAsia="Geomanist Light" w:hAnsi="Arial" w:cs="Arial"/>
          <w:color w:val="000000" w:themeColor="text1"/>
          <w:lang w:val="es-MX"/>
        </w:rPr>
      </w:pPr>
    </w:p>
    <w:p w14:paraId="502F5B56" w14:textId="77777777" w:rsidR="001F3152" w:rsidRDefault="001F3152" w:rsidP="004E3054">
      <w:pPr>
        <w:rPr>
          <w:rFonts w:ascii="Arial" w:eastAsia="Geomanist Light" w:hAnsi="Arial" w:cs="Arial"/>
          <w:color w:val="000000" w:themeColor="text1"/>
          <w:lang w:val="es-MX"/>
        </w:rPr>
      </w:pPr>
    </w:p>
    <w:p w14:paraId="16286F8E" w14:textId="77777777" w:rsidR="001F3152" w:rsidRDefault="001F3152" w:rsidP="004E3054">
      <w:pPr>
        <w:rPr>
          <w:rFonts w:ascii="Arial" w:eastAsia="Geomanist Light" w:hAnsi="Arial" w:cs="Arial"/>
          <w:color w:val="000000" w:themeColor="text1"/>
          <w:lang w:val="es-MX"/>
        </w:rPr>
      </w:pPr>
    </w:p>
    <w:p w14:paraId="11A0B5E5" w14:textId="77777777" w:rsidR="001F3152" w:rsidRDefault="001F3152" w:rsidP="004E3054">
      <w:pPr>
        <w:rPr>
          <w:rFonts w:ascii="Arial" w:eastAsia="Geomanist Light" w:hAnsi="Arial" w:cs="Arial"/>
          <w:color w:val="000000" w:themeColor="text1"/>
          <w:lang w:val="es-MX"/>
        </w:rPr>
      </w:pPr>
    </w:p>
    <w:p w14:paraId="7D76E4BB" w14:textId="77777777" w:rsidR="001F3152" w:rsidRDefault="001F3152" w:rsidP="004E3054">
      <w:pPr>
        <w:rPr>
          <w:rFonts w:ascii="Arial" w:eastAsia="Geomanist Light" w:hAnsi="Arial" w:cs="Arial"/>
          <w:color w:val="000000" w:themeColor="text1"/>
          <w:lang w:val="es-MX"/>
        </w:rPr>
      </w:pPr>
    </w:p>
    <w:p w14:paraId="723CFD0C" w14:textId="77777777" w:rsidR="001F3152" w:rsidRDefault="001F3152" w:rsidP="004E3054">
      <w:pPr>
        <w:rPr>
          <w:rFonts w:ascii="Arial" w:eastAsia="Geomanist Light" w:hAnsi="Arial" w:cs="Arial"/>
          <w:color w:val="000000" w:themeColor="text1"/>
          <w:lang w:val="es-MX"/>
        </w:rPr>
      </w:pPr>
    </w:p>
    <w:p w14:paraId="19DB70A7" w14:textId="77777777" w:rsidR="001F3152" w:rsidRDefault="001F3152" w:rsidP="004E3054">
      <w:pPr>
        <w:rPr>
          <w:rFonts w:ascii="Arial" w:eastAsia="Geomanist Light" w:hAnsi="Arial" w:cs="Arial"/>
          <w:color w:val="000000" w:themeColor="text1"/>
          <w:lang w:val="es-MX"/>
        </w:rPr>
      </w:pPr>
    </w:p>
    <w:p w14:paraId="6F698A1A" w14:textId="77777777" w:rsidR="001F3152" w:rsidRDefault="001F3152" w:rsidP="004E3054">
      <w:pPr>
        <w:rPr>
          <w:rFonts w:ascii="Arial" w:eastAsia="Geomanist Light" w:hAnsi="Arial" w:cs="Arial"/>
          <w:color w:val="000000" w:themeColor="text1"/>
          <w:lang w:val="es-MX"/>
        </w:rPr>
      </w:pPr>
    </w:p>
    <w:p w14:paraId="4DB59516" w14:textId="77777777" w:rsidR="001F3152" w:rsidRDefault="001F3152" w:rsidP="004E3054">
      <w:pPr>
        <w:rPr>
          <w:rFonts w:ascii="Arial" w:eastAsia="Geomanist Light" w:hAnsi="Arial" w:cs="Arial"/>
          <w:color w:val="000000" w:themeColor="text1"/>
          <w:lang w:val="es-MX"/>
        </w:rPr>
      </w:pPr>
    </w:p>
    <w:p w14:paraId="159C2E37" w14:textId="77777777" w:rsidR="001F3152" w:rsidRDefault="001F3152" w:rsidP="004E3054">
      <w:pPr>
        <w:rPr>
          <w:rFonts w:ascii="Arial" w:eastAsia="Geomanist Light" w:hAnsi="Arial" w:cs="Arial"/>
          <w:color w:val="000000" w:themeColor="text1"/>
          <w:lang w:val="es-MX"/>
        </w:rPr>
      </w:pPr>
    </w:p>
    <w:p w14:paraId="2546E2FB" w14:textId="77777777" w:rsidR="001F3152" w:rsidRDefault="001F3152" w:rsidP="004E3054">
      <w:pPr>
        <w:rPr>
          <w:rFonts w:ascii="Arial" w:eastAsia="Geomanist Light" w:hAnsi="Arial" w:cs="Arial"/>
          <w:color w:val="000000" w:themeColor="text1"/>
          <w:lang w:val="es-MX"/>
        </w:rPr>
      </w:pPr>
    </w:p>
    <w:p w14:paraId="2CBD3C55" w14:textId="77777777" w:rsidR="001F3152" w:rsidRDefault="001F3152" w:rsidP="004E3054">
      <w:pPr>
        <w:rPr>
          <w:rFonts w:ascii="Arial" w:eastAsia="Geomanist Light" w:hAnsi="Arial" w:cs="Arial"/>
          <w:color w:val="000000" w:themeColor="text1"/>
          <w:lang w:val="es-MX"/>
        </w:rPr>
      </w:pPr>
    </w:p>
    <w:p w14:paraId="1A9CDF34" w14:textId="4EB0C734" w:rsidR="004E3054" w:rsidRPr="00117F45" w:rsidRDefault="004E3054" w:rsidP="004E3054">
      <w:pPr>
        <w:rPr>
          <w:rFonts w:ascii="Arial" w:eastAsia="Geomanist Light" w:hAnsi="Arial" w:cs="Arial"/>
          <w:color w:val="201F1E"/>
          <w:lang w:val="es-MX"/>
        </w:rPr>
      </w:pPr>
      <w:r w:rsidRPr="00117F45">
        <w:rPr>
          <w:rFonts w:ascii="Arial" w:eastAsia="Geomanist Light" w:hAnsi="Arial" w:cs="Arial"/>
          <w:color w:val="000000" w:themeColor="text1"/>
          <w:lang w:val="es-MX"/>
        </w:rPr>
        <w:lastRenderedPageBreak/>
        <w:t>Bogotá D.C.,</w:t>
      </w:r>
      <w:r w:rsidR="007E564A">
        <w:rPr>
          <w:rFonts w:ascii="Arial" w:eastAsia="Geomanist Light" w:hAnsi="Arial" w:cs="Arial"/>
          <w:color w:val="201F1E"/>
          <w:lang w:val="es-MX"/>
        </w:rPr>
        <w:t>13 de febrero de 2023</w:t>
      </w:r>
    </w:p>
    <w:p w14:paraId="0F2B9F91" w14:textId="1C9EFB43" w:rsidR="004E3054" w:rsidRDefault="004E3054" w:rsidP="004E3054">
      <w:pPr>
        <w:spacing w:line="276" w:lineRule="auto"/>
        <w:jc w:val="both"/>
        <w:rPr>
          <w:rFonts w:ascii="Arial" w:eastAsia="Calibri" w:hAnsi="Arial" w:cs="Arial"/>
          <w:lang w:val="es-ES_tradnl"/>
        </w:rPr>
      </w:pPr>
    </w:p>
    <w:p w14:paraId="1A1A022C" w14:textId="41EA6D9F" w:rsidR="007E564A" w:rsidRDefault="007E564A" w:rsidP="004E3054">
      <w:pPr>
        <w:spacing w:line="276" w:lineRule="auto"/>
        <w:jc w:val="both"/>
        <w:rPr>
          <w:rFonts w:ascii="Arial" w:eastAsia="Calibri" w:hAnsi="Arial" w:cs="Arial"/>
          <w:lang w:val="es-ES_tradnl"/>
        </w:rPr>
      </w:pPr>
    </w:p>
    <w:p w14:paraId="597C403B" w14:textId="251DEB49" w:rsidR="007E564A" w:rsidRPr="00117F45" w:rsidRDefault="007E564A" w:rsidP="007E564A">
      <w:pPr>
        <w:spacing w:line="276" w:lineRule="auto"/>
        <w:jc w:val="right"/>
        <w:rPr>
          <w:rFonts w:ascii="Arial" w:eastAsia="Calibri" w:hAnsi="Arial" w:cs="Arial"/>
          <w:lang w:val="es-ES_tradnl"/>
        </w:rPr>
      </w:pPr>
      <w:r w:rsidRPr="007E564A">
        <w:rPr>
          <w:rFonts w:ascii="Arial" w:eastAsia="Calibri" w:hAnsi="Arial" w:cs="Arial"/>
          <w:noProof/>
          <w:lang w:val="es-ES_tradnl"/>
        </w:rPr>
        <w:drawing>
          <wp:inline distT="0" distB="0" distL="0" distR="0" wp14:anchorId="07D80792" wp14:editId="05A71A6C">
            <wp:extent cx="3134162" cy="933580"/>
            <wp:effectExtent l="0" t="0" r="952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134162" cy="933580"/>
                    </a:xfrm>
                    <a:prstGeom prst="rect">
                      <a:avLst/>
                    </a:prstGeom>
                  </pic:spPr>
                </pic:pic>
              </a:graphicData>
            </a:graphic>
          </wp:inline>
        </w:drawing>
      </w:r>
    </w:p>
    <w:p w14:paraId="179530B4" w14:textId="77777777" w:rsidR="004E3054" w:rsidRPr="00117F45" w:rsidRDefault="004E3054" w:rsidP="004E3054">
      <w:pPr>
        <w:jc w:val="both"/>
        <w:rPr>
          <w:rFonts w:ascii="Arial" w:eastAsia="Calibri" w:hAnsi="Arial" w:cs="Arial"/>
          <w:lang w:val="es-ES_tradnl"/>
        </w:rPr>
      </w:pPr>
      <w:r w:rsidRPr="00117F45">
        <w:rPr>
          <w:rFonts w:ascii="Arial" w:eastAsia="Calibri" w:hAnsi="Arial" w:cs="Arial"/>
          <w:lang w:val="es-ES_tradnl"/>
        </w:rPr>
        <w:t>Señora</w:t>
      </w:r>
    </w:p>
    <w:p w14:paraId="517A379D" w14:textId="77777777" w:rsidR="004E3054" w:rsidRPr="00117F45" w:rsidRDefault="004E3054" w:rsidP="004E3054">
      <w:pPr>
        <w:jc w:val="both"/>
        <w:rPr>
          <w:rFonts w:ascii="Arial" w:eastAsia="Calibri" w:hAnsi="Arial" w:cs="Arial"/>
          <w:b/>
          <w:lang w:val="es-ES_tradnl"/>
        </w:rPr>
      </w:pPr>
      <w:r w:rsidRPr="00117F45">
        <w:rPr>
          <w:rFonts w:ascii="Arial" w:eastAsia="Calibri" w:hAnsi="Arial" w:cs="Arial"/>
          <w:b/>
          <w:lang w:val="es-ES_tradnl"/>
        </w:rPr>
        <w:t xml:space="preserve">Ana </w:t>
      </w:r>
      <w:proofErr w:type="spellStart"/>
      <w:r w:rsidRPr="00117F45">
        <w:rPr>
          <w:rFonts w:ascii="Arial" w:eastAsia="Calibri" w:hAnsi="Arial" w:cs="Arial"/>
          <w:b/>
          <w:lang w:val="es-ES_tradnl"/>
        </w:rPr>
        <w:t>Pavlova</w:t>
      </w:r>
      <w:proofErr w:type="spellEnd"/>
      <w:r w:rsidRPr="00117F45">
        <w:rPr>
          <w:rFonts w:ascii="Arial" w:eastAsia="Calibri" w:hAnsi="Arial" w:cs="Arial"/>
          <w:b/>
          <w:lang w:val="es-ES_tradnl"/>
        </w:rPr>
        <w:t xml:space="preserve"> </w:t>
      </w:r>
      <w:proofErr w:type="spellStart"/>
      <w:r w:rsidRPr="00117F45">
        <w:rPr>
          <w:rFonts w:ascii="Arial" w:eastAsia="Calibri" w:hAnsi="Arial" w:cs="Arial"/>
          <w:b/>
          <w:lang w:val="es-ES_tradnl"/>
        </w:rPr>
        <w:t>Negron</w:t>
      </w:r>
      <w:proofErr w:type="spellEnd"/>
      <w:r w:rsidRPr="00117F45">
        <w:rPr>
          <w:rFonts w:ascii="Arial" w:eastAsia="Calibri" w:hAnsi="Arial" w:cs="Arial"/>
          <w:b/>
          <w:lang w:val="es-ES_tradnl"/>
        </w:rPr>
        <w:t xml:space="preserve"> Rivera</w:t>
      </w:r>
    </w:p>
    <w:p w14:paraId="58B47426" w14:textId="77777777" w:rsidR="004E3054" w:rsidRPr="00117F45" w:rsidRDefault="004C694E" w:rsidP="004E3054">
      <w:pPr>
        <w:jc w:val="both"/>
        <w:rPr>
          <w:rFonts w:ascii="Arial" w:hAnsi="Arial" w:cs="Arial"/>
          <w:b/>
        </w:rPr>
      </w:pPr>
      <w:hyperlink r:id="rId12" w:history="1">
        <w:r w:rsidR="004E3054" w:rsidRPr="00117F45">
          <w:rPr>
            <w:rStyle w:val="Hipervnculo"/>
            <w:rFonts w:ascii="Arial" w:hAnsi="Arial" w:cs="Arial"/>
          </w:rPr>
          <w:t>tnegronr@gmail.com</w:t>
        </w:r>
      </w:hyperlink>
    </w:p>
    <w:p w14:paraId="1DD8C826" w14:textId="77777777" w:rsidR="004E3054" w:rsidRPr="00117F45" w:rsidRDefault="004E3054" w:rsidP="004E3054">
      <w:pPr>
        <w:jc w:val="both"/>
        <w:rPr>
          <w:rFonts w:ascii="Arial" w:eastAsia="Calibri" w:hAnsi="Arial" w:cs="Arial"/>
          <w:lang w:val="es-ES_tradnl"/>
        </w:rPr>
      </w:pPr>
      <w:r w:rsidRPr="00117F45">
        <w:rPr>
          <w:rFonts w:ascii="Arial" w:hAnsi="Arial" w:cs="Arial"/>
        </w:rPr>
        <w:t>Ciudad</w:t>
      </w:r>
      <w:r w:rsidRPr="00117F45">
        <w:rPr>
          <w:rFonts w:ascii="Arial" w:eastAsia="Calibri" w:hAnsi="Arial" w:cs="Arial"/>
          <w:lang w:val="es-ES_tradnl"/>
        </w:rPr>
        <w:t xml:space="preserve">                                        </w:t>
      </w:r>
    </w:p>
    <w:p w14:paraId="20831453" w14:textId="72C0657D" w:rsidR="004E3054" w:rsidRDefault="004E3054" w:rsidP="004E3054">
      <w:pPr>
        <w:spacing w:line="276" w:lineRule="auto"/>
        <w:jc w:val="center"/>
        <w:rPr>
          <w:rFonts w:ascii="Arial" w:eastAsia="Calibri" w:hAnsi="Arial" w:cs="Arial"/>
          <w:b/>
          <w:lang w:val="es-ES_tradnl"/>
        </w:rPr>
      </w:pPr>
      <w:r w:rsidRPr="00117F45">
        <w:rPr>
          <w:rFonts w:ascii="Arial" w:eastAsia="Calibri" w:hAnsi="Arial" w:cs="Arial"/>
          <w:b/>
          <w:lang w:val="es-ES_tradnl"/>
        </w:rPr>
        <w:t>Concepto C – 908 de 2022</w:t>
      </w:r>
    </w:p>
    <w:p w14:paraId="5A0259BB" w14:textId="77777777" w:rsidR="001F3152" w:rsidRPr="00117F45" w:rsidRDefault="001F3152" w:rsidP="004E3054">
      <w:pPr>
        <w:spacing w:line="276" w:lineRule="auto"/>
        <w:jc w:val="center"/>
        <w:rPr>
          <w:rFonts w:ascii="Arial" w:eastAsia="Calibri" w:hAnsi="Arial" w:cs="Arial"/>
          <w:b/>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3054" w:rsidRPr="00117F45" w14:paraId="61B93350" w14:textId="77777777" w:rsidTr="00F524B4">
        <w:tc>
          <w:tcPr>
            <w:tcW w:w="2689" w:type="dxa"/>
            <w:hideMark/>
          </w:tcPr>
          <w:p w14:paraId="5FAF88AB" w14:textId="77777777" w:rsidR="004E3054" w:rsidRPr="00117F45" w:rsidRDefault="004E3054" w:rsidP="00F524B4">
            <w:pPr>
              <w:spacing w:line="276" w:lineRule="auto"/>
              <w:rPr>
                <w:rFonts w:ascii="Arial" w:eastAsia="Calibri" w:hAnsi="Arial" w:cs="Arial"/>
                <w:lang w:val="es-ES_tradnl"/>
              </w:rPr>
            </w:pPr>
            <w:r w:rsidRPr="00117F45">
              <w:rPr>
                <w:rFonts w:ascii="Arial" w:eastAsia="Calibri" w:hAnsi="Arial" w:cs="Arial"/>
                <w:b/>
                <w:lang w:val="es-ES_tradnl"/>
              </w:rPr>
              <w:t>Temas:</w:t>
            </w:r>
            <w:r w:rsidRPr="00117F45">
              <w:rPr>
                <w:rFonts w:ascii="Arial" w:eastAsia="Calibri" w:hAnsi="Arial" w:cs="Arial"/>
                <w:lang w:val="es-ES_tradnl"/>
              </w:rPr>
              <w:t xml:space="preserve">           </w:t>
            </w:r>
          </w:p>
          <w:p w14:paraId="6C1B0420" w14:textId="77777777" w:rsidR="004E3054" w:rsidRPr="00117F45" w:rsidRDefault="004E3054" w:rsidP="00F524B4">
            <w:pPr>
              <w:spacing w:line="276" w:lineRule="auto"/>
              <w:rPr>
                <w:rFonts w:ascii="Arial" w:eastAsia="Calibri" w:hAnsi="Arial" w:cs="Arial"/>
                <w:lang w:val="es-ES_tradnl"/>
              </w:rPr>
            </w:pPr>
            <w:r w:rsidRPr="00117F45">
              <w:rPr>
                <w:rFonts w:ascii="Arial" w:eastAsia="Calibri" w:hAnsi="Arial" w:cs="Arial"/>
                <w:lang w:val="es-ES_tradnl"/>
              </w:rPr>
              <w:t xml:space="preserve">                           </w:t>
            </w:r>
          </w:p>
        </w:tc>
        <w:tc>
          <w:tcPr>
            <w:tcW w:w="6237" w:type="dxa"/>
            <w:hideMark/>
          </w:tcPr>
          <w:p w14:paraId="637A3111" w14:textId="77777777" w:rsidR="004E3054" w:rsidRPr="00117F45" w:rsidRDefault="004E3054" w:rsidP="00F524B4">
            <w:pPr>
              <w:spacing w:after="120" w:line="276" w:lineRule="auto"/>
              <w:rPr>
                <w:rFonts w:ascii="Arial" w:eastAsia="Calibri" w:hAnsi="Arial" w:cs="Arial"/>
                <w:lang w:val="es-ES_tradnl"/>
              </w:rPr>
            </w:pPr>
            <w:r w:rsidRPr="00117F45">
              <w:rPr>
                <w:rFonts w:ascii="Arial" w:eastAsia="Calibri" w:hAnsi="Arial" w:cs="Arial"/>
                <w:lang w:val="es-ES_tradnl"/>
              </w:rPr>
              <w:t>RÉGIMEN DE INHABILIDADES E INCOMPATIBILIDADES –– Interpretación restrictiva – PROHIBICIÓN PARA EXSERVIDORES PÚBLICOS – Ley 734 de 2022 –Ley 1952 de 2019 – Alcance</w:t>
            </w:r>
          </w:p>
        </w:tc>
      </w:tr>
      <w:tr w:rsidR="004E3054" w:rsidRPr="00117F45" w14:paraId="38239B7D" w14:textId="77777777" w:rsidTr="00F524B4">
        <w:tc>
          <w:tcPr>
            <w:tcW w:w="2689" w:type="dxa"/>
          </w:tcPr>
          <w:p w14:paraId="18F2719C" w14:textId="77777777" w:rsidR="004E3054" w:rsidRPr="00117F45" w:rsidRDefault="004E3054" w:rsidP="00F524B4">
            <w:pPr>
              <w:spacing w:line="276" w:lineRule="auto"/>
              <w:rPr>
                <w:rFonts w:ascii="Arial" w:eastAsia="Calibri" w:hAnsi="Arial" w:cs="Arial"/>
                <w:b/>
                <w:lang w:val="es-ES_tradnl"/>
              </w:rPr>
            </w:pPr>
            <w:r w:rsidRPr="00117F45">
              <w:rPr>
                <w:rFonts w:ascii="Arial" w:eastAsia="Calibri" w:hAnsi="Arial" w:cs="Arial"/>
                <w:b/>
                <w:lang w:val="es-ES_tradnl"/>
              </w:rPr>
              <w:t>Radicación:</w:t>
            </w:r>
            <w:r w:rsidRPr="00117F45">
              <w:rPr>
                <w:rFonts w:ascii="Arial" w:eastAsia="Calibri" w:hAnsi="Arial" w:cs="Arial"/>
                <w:lang w:val="es-ES_tradnl"/>
              </w:rPr>
              <w:t xml:space="preserve">                              </w:t>
            </w:r>
          </w:p>
        </w:tc>
        <w:tc>
          <w:tcPr>
            <w:tcW w:w="6237" w:type="dxa"/>
          </w:tcPr>
          <w:p w14:paraId="27FD3694" w14:textId="77777777" w:rsidR="004E3054" w:rsidRPr="00117F45" w:rsidRDefault="004E3054" w:rsidP="00F524B4">
            <w:pPr>
              <w:spacing w:line="276" w:lineRule="auto"/>
              <w:rPr>
                <w:rFonts w:ascii="Arial" w:eastAsia="Calibri" w:hAnsi="Arial" w:cs="Arial"/>
                <w:lang w:val="es-ES_tradnl"/>
              </w:rPr>
            </w:pPr>
            <w:r w:rsidRPr="00117F45">
              <w:rPr>
                <w:rFonts w:ascii="Arial" w:eastAsia="Calibri" w:hAnsi="Arial" w:cs="Arial"/>
                <w:lang w:val="es-ES_tradnl"/>
              </w:rPr>
              <w:t>Respuesta a consulta P20221219012347​</w:t>
            </w:r>
          </w:p>
        </w:tc>
      </w:tr>
    </w:tbl>
    <w:p w14:paraId="4910EE70" w14:textId="77777777" w:rsidR="004E3054" w:rsidRPr="00117F45" w:rsidRDefault="004E3054" w:rsidP="004E3054">
      <w:pPr>
        <w:spacing w:line="276" w:lineRule="auto"/>
        <w:jc w:val="both"/>
        <w:rPr>
          <w:rFonts w:ascii="Arial" w:eastAsia="Calibri" w:hAnsi="Arial" w:cs="Arial"/>
          <w:lang w:val="es-ES_tradnl"/>
        </w:rPr>
      </w:pPr>
    </w:p>
    <w:p w14:paraId="29982B56" w14:textId="77777777" w:rsidR="004E3054" w:rsidRPr="00117F45" w:rsidRDefault="004E3054" w:rsidP="004E3054">
      <w:pPr>
        <w:spacing w:line="276" w:lineRule="auto"/>
        <w:jc w:val="both"/>
        <w:rPr>
          <w:rFonts w:ascii="Arial" w:eastAsia="Calibri" w:hAnsi="Arial" w:cs="Arial"/>
          <w:lang w:val="es-ES_tradnl"/>
        </w:rPr>
      </w:pPr>
      <w:r w:rsidRPr="00117F45">
        <w:rPr>
          <w:rFonts w:ascii="Arial" w:eastAsia="Calibri" w:hAnsi="Arial" w:cs="Arial"/>
          <w:lang w:val="es-ES_tradnl"/>
        </w:rPr>
        <w:t xml:space="preserve">Estimada señora </w:t>
      </w:r>
      <w:proofErr w:type="spellStart"/>
      <w:r w:rsidRPr="00117F45">
        <w:rPr>
          <w:rFonts w:ascii="Arial" w:eastAsia="Calibri" w:hAnsi="Arial" w:cs="Arial"/>
          <w:lang w:val="es-ES_tradnl"/>
        </w:rPr>
        <w:t>Pavlova</w:t>
      </w:r>
      <w:proofErr w:type="spellEnd"/>
      <w:r w:rsidRPr="00117F45">
        <w:rPr>
          <w:rFonts w:ascii="Arial" w:eastAsia="Calibri" w:hAnsi="Arial" w:cs="Arial"/>
          <w:lang w:val="es-ES_tradnl"/>
        </w:rPr>
        <w:t xml:space="preserve"> </w:t>
      </w:r>
      <w:proofErr w:type="spellStart"/>
      <w:r w:rsidRPr="00117F45">
        <w:rPr>
          <w:rFonts w:ascii="Arial" w:eastAsia="Calibri" w:hAnsi="Arial" w:cs="Arial"/>
          <w:lang w:val="es-ES_tradnl"/>
        </w:rPr>
        <w:t>Negron</w:t>
      </w:r>
      <w:proofErr w:type="spellEnd"/>
      <w:r w:rsidRPr="00117F45">
        <w:rPr>
          <w:rFonts w:ascii="Arial" w:eastAsia="Calibri" w:hAnsi="Arial" w:cs="Arial"/>
          <w:lang w:val="es-ES_tradnl"/>
        </w:rPr>
        <w:t>:</w:t>
      </w:r>
    </w:p>
    <w:p w14:paraId="4DC34441" w14:textId="77777777" w:rsidR="004E3054" w:rsidRPr="00117F45" w:rsidRDefault="004E3054" w:rsidP="004E3054">
      <w:pPr>
        <w:spacing w:line="276" w:lineRule="auto"/>
        <w:jc w:val="both"/>
        <w:rPr>
          <w:rFonts w:ascii="Arial" w:eastAsia="Calibri" w:hAnsi="Arial" w:cs="Arial"/>
          <w:lang w:val="es-ES_tradnl"/>
        </w:rPr>
      </w:pPr>
      <w:r w:rsidRPr="00117F45">
        <w:rPr>
          <w:rFonts w:ascii="Arial" w:eastAsia="Calibri" w:hAnsi="Arial" w:cs="Arial"/>
          <w:lang w:val="es-ES_tradnl"/>
        </w:rPr>
        <w:t xml:space="preserve">En ejercicio de la competencia otorgada por los artículos 11, numeral 8º, y 3º, numeral 5º, del Decreto Ley 4170 de 2011, la Agencia Nacional de Contratación Pública―Colombia Compra Eficiente responde sus peticiones de consulta del 19 de diciembre de 2022. </w:t>
      </w:r>
    </w:p>
    <w:p w14:paraId="571E4C6D" w14:textId="77777777" w:rsidR="004E3054" w:rsidRPr="00117F45" w:rsidRDefault="004E3054" w:rsidP="004E3054">
      <w:pPr>
        <w:spacing w:line="276" w:lineRule="auto"/>
        <w:jc w:val="both"/>
        <w:rPr>
          <w:rFonts w:ascii="Arial" w:eastAsia="Calibri" w:hAnsi="Arial" w:cs="Arial"/>
          <w:lang w:val="es-ES_tradnl"/>
        </w:rPr>
      </w:pPr>
    </w:p>
    <w:p w14:paraId="4066D122" w14:textId="77777777" w:rsidR="004E3054" w:rsidRPr="00117F45" w:rsidRDefault="004E3054" w:rsidP="004E3054">
      <w:pPr>
        <w:pStyle w:val="Prrafodelista"/>
        <w:numPr>
          <w:ilvl w:val="0"/>
          <w:numId w:val="3"/>
        </w:numPr>
        <w:spacing w:line="276" w:lineRule="auto"/>
        <w:ind w:left="426"/>
        <w:jc w:val="both"/>
        <w:rPr>
          <w:rFonts w:ascii="Arial" w:eastAsia="Calibri" w:hAnsi="Arial" w:cs="Arial"/>
          <w:b/>
        </w:rPr>
      </w:pPr>
      <w:r w:rsidRPr="00117F45">
        <w:rPr>
          <w:rFonts w:ascii="Arial" w:eastAsia="Calibri" w:hAnsi="Arial" w:cs="Arial"/>
          <w:b/>
        </w:rPr>
        <w:t xml:space="preserve">Problemas planteados </w:t>
      </w:r>
    </w:p>
    <w:p w14:paraId="4371CF88" w14:textId="77777777" w:rsidR="004E3054" w:rsidRPr="00117F45" w:rsidRDefault="004E3054" w:rsidP="004E3054">
      <w:pPr>
        <w:autoSpaceDE w:val="0"/>
        <w:autoSpaceDN w:val="0"/>
        <w:adjustRightInd w:val="0"/>
        <w:spacing w:line="276" w:lineRule="auto"/>
        <w:jc w:val="both"/>
        <w:rPr>
          <w:rFonts w:ascii="Arial" w:eastAsia="Calibri" w:hAnsi="Arial" w:cs="Arial"/>
          <w:lang w:val="es-MX"/>
        </w:rPr>
      </w:pPr>
    </w:p>
    <w:p w14:paraId="00336782" w14:textId="77777777" w:rsidR="004E3054" w:rsidRPr="00117F45" w:rsidRDefault="004E3054" w:rsidP="004E3054">
      <w:pPr>
        <w:autoSpaceDE w:val="0"/>
        <w:autoSpaceDN w:val="0"/>
        <w:adjustRightInd w:val="0"/>
        <w:spacing w:line="276" w:lineRule="auto"/>
        <w:jc w:val="both"/>
        <w:rPr>
          <w:rFonts w:ascii="Arial" w:eastAsia="Calibri" w:hAnsi="Arial" w:cs="Arial"/>
          <w:lang w:val="es-MX"/>
        </w:rPr>
      </w:pPr>
      <w:r w:rsidRPr="00117F45">
        <w:rPr>
          <w:rFonts w:ascii="Arial" w:eastAsia="Calibri" w:hAnsi="Arial" w:cs="Arial"/>
          <w:lang w:val="es-MX"/>
        </w:rPr>
        <w:t>Usted realiza la siguiente consulta:</w:t>
      </w:r>
      <w:bookmarkStart w:id="1" w:name="_Hlk63944432"/>
      <w:r w:rsidRPr="00117F45">
        <w:rPr>
          <w:rFonts w:ascii="Arial" w:eastAsia="Calibri" w:hAnsi="Arial" w:cs="Arial"/>
          <w:lang w:val="es-MX"/>
        </w:rPr>
        <w:t xml:space="preserve"> </w:t>
      </w:r>
    </w:p>
    <w:p w14:paraId="4F168433" w14:textId="77777777" w:rsidR="004E3054" w:rsidRPr="00117F45" w:rsidRDefault="004E3054" w:rsidP="004E3054">
      <w:pPr>
        <w:autoSpaceDE w:val="0"/>
        <w:autoSpaceDN w:val="0"/>
        <w:adjustRightInd w:val="0"/>
        <w:spacing w:line="276" w:lineRule="auto"/>
        <w:ind w:left="709" w:right="709"/>
        <w:jc w:val="both"/>
        <w:rPr>
          <w:rFonts w:ascii="Arial" w:hAnsi="Arial" w:cs="Arial"/>
          <w:sz w:val="21"/>
          <w:szCs w:val="21"/>
        </w:rPr>
      </w:pPr>
      <w:proofErr w:type="gramStart"/>
      <w:r w:rsidRPr="00117F45">
        <w:rPr>
          <w:rFonts w:ascii="Arial" w:eastAsia="Calibri" w:hAnsi="Arial" w:cs="Arial"/>
          <w:sz w:val="21"/>
          <w:szCs w:val="21"/>
          <w:lang w:val="es-MX"/>
        </w:rPr>
        <w:t>« Por</w:t>
      </w:r>
      <w:proofErr w:type="gramEnd"/>
      <w:r w:rsidRPr="00117F45">
        <w:rPr>
          <w:rFonts w:ascii="Arial" w:eastAsia="Calibri" w:hAnsi="Arial" w:cs="Arial"/>
          <w:sz w:val="21"/>
          <w:szCs w:val="21"/>
          <w:lang w:val="es-MX"/>
        </w:rPr>
        <w:t xml:space="preserve"> medio de la presente, me permito solicitar consultar</w:t>
      </w:r>
      <w:r w:rsidRPr="00117F45">
        <w:rPr>
          <w:rFonts w:ascii="Arial" w:hAnsi="Arial" w:cs="Arial"/>
          <w:b/>
          <w:sz w:val="21"/>
          <w:szCs w:val="21"/>
        </w:rPr>
        <w:t xml:space="preserve"> </w:t>
      </w:r>
      <w:r w:rsidRPr="00117F45">
        <w:rPr>
          <w:rFonts w:ascii="Arial" w:hAnsi="Arial" w:cs="Arial"/>
          <w:sz w:val="21"/>
          <w:szCs w:val="21"/>
        </w:rPr>
        <w:t xml:space="preserve">sobre si la </w:t>
      </w:r>
      <w:proofErr w:type="spellStart"/>
      <w:r w:rsidRPr="00117F45">
        <w:rPr>
          <w:rFonts w:ascii="Arial" w:hAnsi="Arial" w:cs="Arial"/>
          <w:sz w:val="21"/>
          <w:szCs w:val="21"/>
        </w:rPr>
        <w:t>prohibici?n</w:t>
      </w:r>
      <w:proofErr w:type="spellEnd"/>
      <w:r w:rsidRPr="00117F45">
        <w:rPr>
          <w:rFonts w:ascii="Arial" w:hAnsi="Arial" w:cs="Arial"/>
          <w:sz w:val="21"/>
          <w:szCs w:val="21"/>
        </w:rPr>
        <w:t xml:space="preserve"> que </w:t>
      </w:r>
      <w:proofErr w:type="spellStart"/>
      <w:r w:rsidRPr="00117F45">
        <w:rPr>
          <w:rFonts w:ascii="Arial" w:hAnsi="Arial" w:cs="Arial"/>
          <w:sz w:val="21"/>
          <w:szCs w:val="21"/>
        </w:rPr>
        <w:t>tra?a</w:t>
      </w:r>
      <w:proofErr w:type="spellEnd"/>
      <w:r w:rsidRPr="00117F45">
        <w:rPr>
          <w:rFonts w:ascii="Arial" w:hAnsi="Arial" w:cs="Arial"/>
          <w:sz w:val="21"/>
          <w:szCs w:val="21"/>
        </w:rPr>
        <w:t xml:space="preserve"> el </w:t>
      </w:r>
      <w:proofErr w:type="spellStart"/>
      <w:r w:rsidRPr="00117F45">
        <w:rPr>
          <w:rFonts w:ascii="Arial" w:hAnsi="Arial" w:cs="Arial"/>
          <w:sz w:val="21"/>
          <w:szCs w:val="21"/>
        </w:rPr>
        <w:t>art?culo</w:t>
      </w:r>
      <w:proofErr w:type="spellEnd"/>
      <w:r w:rsidRPr="00117F45">
        <w:rPr>
          <w:rFonts w:ascii="Arial" w:hAnsi="Arial" w:cs="Arial"/>
          <w:sz w:val="21"/>
          <w:szCs w:val="21"/>
        </w:rPr>
        <w:t xml:space="preserve"> 35 de la ley 734 de 2002, modificada por el </w:t>
      </w:r>
      <w:proofErr w:type="spellStart"/>
      <w:r w:rsidRPr="00117F45">
        <w:rPr>
          <w:rFonts w:ascii="Arial" w:hAnsi="Arial" w:cs="Arial"/>
          <w:sz w:val="21"/>
          <w:szCs w:val="21"/>
        </w:rPr>
        <w:t>art?culo</w:t>
      </w:r>
      <w:proofErr w:type="spellEnd"/>
      <w:r w:rsidRPr="00117F45">
        <w:rPr>
          <w:rFonts w:ascii="Arial" w:hAnsi="Arial" w:cs="Arial"/>
          <w:sz w:val="21"/>
          <w:szCs w:val="21"/>
        </w:rPr>
        <w:t xml:space="preserve"> 3o de la Ley 1474 de 2011, </w:t>
      </w:r>
      <w:proofErr w:type="spellStart"/>
      <w:r w:rsidRPr="00117F45">
        <w:rPr>
          <w:rFonts w:ascii="Arial" w:hAnsi="Arial" w:cs="Arial"/>
          <w:sz w:val="21"/>
          <w:szCs w:val="21"/>
        </w:rPr>
        <w:t>a?n</w:t>
      </w:r>
      <w:proofErr w:type="spellEnd"/>
      <w:r w:rsidRPr="00117F45">
        <w:rPr>
          <w:rFonts w:ascii="Arial" w:hAnsi="Arial" w:cs="Arial"/>
          <w:sz w:val="21"/>
          <w:szCs w:val="21"/>
        </w:rPr>
        <w:t xml:space="preserve"> se mantiene.</w:t>
      </w:r>
    </w:p>
    <w:p w14:paraId="2DDA652F" w14:textId="77777777" w:rsidR="004E3054" w:rsidRPr="00117F45" w:rsidRDefault="004E3054" w:rsidP="004E3054">
      <w:pPr>
        <w:autoSpaceDE w:val="0"/>
        <w:autoSpaceDN w:val="0"/>
        <w:adjustRightInd w:val="0"/>
        <w:spacing w:line="276" w:lineRule="auto"/>
        <w:ind w:left="709" w:right="709"/>
        <w:jc w:val="both"/>
        <w:rPr>
          <w:rFonts w:ascii="Arial" w:eastAsia="Calibri" w:hAnsi="Arial" w:cs="Arial"/>
          <w:sz w:val="21"/>
          <w:szCs w:val="21"/>
          <w:lang w:val="es-MX"/>
        </w:rPr>
      </w:pPr>
      <w:r w:rsidRPr="00117F45">
        <w:rPr>
          <w:rFonts w:ascii="Arial" w:hAnsi="Arial" w:cs="Arial"/>
          <w:sz w:val="21"/>
          <w:szCs w:val="21"/>
        </w:rPr>
        <w:t xml:space="preserve">Al respecto, el citado </w:t>
      </w:r>
      <w:proofErr w:type="spellStart"/>
      <w:r w:rsidRPr="00117F45">
        <w:rPr>
          <w:rFonts w:ascii="Arial" w:hAnsi="Arial" w:cs="Arial"/>
          <w:sz w:val="21"/>
          <w:szCs w:val="21"/>
        </w:rPr>
        <w:t>art?culo</w:t>
      </w:r>
      <w:proofErr w:type="spellEnd"/>
      <w:r w:rsidRPr="00117F45">
        <w:rPr>
          <w:rFonts w:ascii="Arial" w:hAnsi="Arial" w:cs="Arial"/>
          <w:sz w:val="21"/>
          <w:szCs w:val="21"/>
        </w:rPr>
        <w:t xml:space="preserve"> </w:t>
      </w:r>
      <w:proofErr w:type="spellStart"/>
      <w:r w:rsidRPr="00117F45">
        <w:rPr>
          <w:rFonts w:ascii="Arial" w:hAnsi="Arial" w:cs="Arial"/>
          <w:sz w:val="21"/>
          <w:szCs w:val="21"/>
        </w:rPr>
        <w:t>establec?a</w:t>
      </w:r>
      <w:proofErr w:type="spellEnd"/>
      <w:r w:rsidRPr="00117F45">
        <w:rPr>
          <w:rFonts w:ascii="Arial" w:hAnsi="Arial" w:cs="Arial"/>
          <w:sz w:val="21"/>
          <w:szCs w:val="21"/>
        </w:rPr>
        <w:t xml:space="preserve"> la imposibilidad de ser contratista del Estado luego de haber ejercido un cargo en una Entidad en asuntos relacionados con las funciones propias del cargo durante los dos </w:t>
      </w:r>
      <w:proofErr w:type="spellStart"/>
      <w:r w:rsidRPr="00117F45">
        <w:rPr>
          <w:rFonts w:ascii="Arial" w:hAnsi="Arial" w:cs="Arial"/>
          <w:sz w:val="21"/>
          <w:szCs w:val="21"/>
        </w:rPr>
        <w:t>a?os</w:t>
      </w:r>
      <w:proofErr w:type="spellEnd"/>
      <w:r w:rsidRPr="00117F45">
        <w:rPr>
          <w:rFonts w:ascii="Arial" w:hAnsi="Arial" w:cs="Arial"/>
          <w:sz w:val="21"/>
          <w:szCs w:val="21"/>
        </w:rPr>
        <w:t xml:space="preserve"> posteriores a la </w:t>
      </w:r>
      <w:proofErr w:type="spellStart"/>
      <w:r w:rsidRPr="00117F45">
        <w:rPr>
          <w:rFonts w:ascii="Arial" w:hAnsi="Arial" w:cs="Arial"/>
          <w:sz w:val="21"/>
          <w:szCs w:val="21"/>
        </w:rPr>
        <w:t>dejaci?n</w:t>
      </w:r>
      <w:proofErr w:type="spellEnd"/>
      <w:r w:rsidRPr="00117F45">
        <w:rPr>
          <w:rFonts w:ascii="Arial" w:hAnsi="Arial" w:cs="Arial"/>
          <w:sz w:val="21"/>
          <w:szCs w:val="21"/>
        </w:rPr>
        <w:t xml:space="preserve"> del respectivo cargo as?: 22.Prestar, a </w:t>
      </w:r>
      <w:proofErr w:type="spellStart"/>
      <w:r w:rsidRPr="00117F45">
        <w:rPr>
          <w:rFonts w:ascii="Arial" w:hAnsi="Arial" w:cs="Arial"/>
          <w:sz w:val="21"/>
          <w:szCs w:val="21"/>
        </w:rPr>
        <w:t>t?tulo</w:t>
      </w:r>
      <w:proofErr w:type="spellEnd"/>
      <w:r w:rsidRPr="00117F45">
        <w:rPr>
          <w:rFonts w:ascii="Arial" w:hAnsi="Arial" w:cs="Arial"/>
          <w:sz w:val="21"/>
          <w:szCs w:val="21"/>
        </w:rPr>
        <w:t xml:space="preserve"> personal o por interpuesta </w:t>
      </w:r>
      <w:r w:rsidRPr="00117F45">
        <w:rPr>
          <w:rFonts w:ascii="Arial" w:hAnsi="Arial" w:cs="Arial"/>
          <w:sz w:val="21"/>
          <w:szCs w:val="21"/>
        </w:rPr>
        <w:lastRenderedPageBreak/>
        <w:t xml:space="preserve">persona, servicios de asistencia, </w:t>
      </w:r>
      <w:proofErr w:type="spellStart"/>
      <w:r w:rsidRPr="00117F45">
        <w:rPr>
          <w:rFonts w:ascii="Arial" w:hAnsi="Arial" w:cs="Arial"/>
          <w:sz w:val="21"/>
          <w:szCs w:val="21"/>
        </w:rPr>
        <w:t>representaci?n</w:t>
      </w:r>
      <w:proofErr w:type="spellEnd"/>
      <w:r w:rsidRPr="00117F45">
        <w:rPr>
          <w:rFonts w:ascii="Arial" w:hAnsi="Arial" w:cs="Arial"/>
          <w:sz w:val="21"/>
          <w:szCs w:val="21"/>
        </w:rPr>
        <w:t xml:space="preserve"> o </w:t>
      </w:r>
      <w:proofErr w:type="spellStart"/>
      <w:r w:rsidRPr="00117F45">
        <w:rPr>
          <w:rFonts w:ascii="Arial" w:hAnsi="Arial" w:cs="Arial"/>
          <w:sz w:val="21"/>
          <w:szCs w:val="21"/>
        </w:rPr>
        <w:t>asesor?a</w:t>
      </w:r>
      <w:proofErr w:type="spellEnd"/>
      <w:r w:rsidRPr="00117F45">
        <w:rPr>
          <w:rFonts w:ascii="Arial" w:hAnsi="Arial" w:cs="Arial"/>
          <w:sz w:val="21"/>
          <w:szCs w:val="21"/>
        </w:rPr>
        <w:t xml:space="preserve"> en asuntos relacionados con las funciones propias del cargo, o permitir que ello ocurra, hasta por el </w:t>
      </w:r>
      <w:proofErr w:type="spellStart"/>
      <w:r w:rsidRPr="00117F45">
        <w:rPr>
          <w:rFonts w:ascii="Arial" w:hAnsi="Arial" w:cs="Arial"/>
          <w:sz w:val="21"/>
          <w:szCs w:val="21"/>
        </w:rPr>
        <w:t>t?rmino</w:t>
      </w:r>
      <w:proofErr w:type="spellEnd"/>
      <w:r w:rsidRPr="00117F45">
        <w:rPr>
          <w:rFonts w:ascii="Arial" w:hAnsi="Arial" w:cs="Arial"/>
          <w:sz w:val="21"/>
          <w:szCs w:val="21"/>
        </w:rPr>
        <w:t xml:space="preserve"> de dos (2) </w:t>
      </w:r>
      <w:proofErr w:type="spellStart"/>
      <w:r w:rsidRPr="00117F45">
        <w:rPr>
          <w:rFonts w:ascii="Arial" w:hAnsi="Arial" w:cs="Arial"/>
          <w:sz w:val="21"/>
          <w:szCs w:val="21"/>
        </w:rPr>
        <w:t>a?os</w:t>
      </w:r>
      <w:proofErr w:type="spellEnd"/>
      <w:r w:rsidRPr="00117F45">
        <w:rPr>
          <w:rFonts w:ascii="Arial" w:hAnsi="Arial" w:cs="Arial"/>
          <w:sz w:val="21"/>
          <w:szCs w:val="21"/>
        </w:rPr>
        <w:t xml:space="preserve"> </w:t>
      </w:r>
      <w:proofErr w:type="spellStart"/>
      <w:r w:rsidRPr="00117F45">
        <w:rPr>
          <w:rFonts w:ascii="Arial" w:hAnsi="Arial" w:cs="Arial"/>
          <w:sz w:val="21"/>
          <w:szCs w:val="21"/>
        </w:rPr>
        <w:t>despu?s</w:t>
      </w:r>
      <w:proofErr w:type="spellEnd"/>
      <w:r w:rsidRPr="00117F45">
        <w:rPr>
          <w:rFonts w:ascii="Arial" w:hAnsi="Arial" w:cs="Arial"/>
          <w:sz w:val="21"/>
          <w:szCs w:val="21"/>
        </w:rPr>
        <w:t xml:space="preserve"> de la </w:t>
      </w:r>
      <w:proofErr w:type="spellStart"/>
      <w:r w:rsidRPr="00117F45">
        <w:rPr>
          <w:rFonts w:ascii="Arial" w:hAnsi="Arial" w:cs="Arial"/>
          <w:sz w:val="21"/>
          <w:szCs w:val="21"/>
        </w:rPr>
        <w:t>dejaci?n</w:t>
      </w:r>
      <w:proofErr w:type="spellEnd"/>
      <w:r w:rsidRPr="00117F45">
        <w:rPr>
          <w:rFonts w:ascii="Arial" w:hAnsi="Arial" w:cs="Arial"/>
          <w:sz w:val="21"/>
          <w:szCs w:val="21"/>
        </w:rPr>
        <w:t xml:space="preserve"> del cargo, con respecto del organismo, entidad o </w:t>
      </w:r>
      <w:proofErr w:type="spellStart"/>
      <w:r w:rsidRPr="00117F45">
        <w:rPr>
          <w:rFonts w:ascii="Arial" w:hAnsi="Arial" w:cs="Arial"/>
          <w:sz w:val="21"/>
          <w:szCs w:val="21"/>
        </w:rPr>
        <w:t>corporaci?n</w:t>
      </w:r>
      <w:proofErr w:type="spellEnd"/>
      <w:r w:rsidRPr="00117F45">
        <w:rPr>
          <w:rFonts w:ascii="Arial" w:hAnsi="Arial" w:cs="Arial"/>
          <w:sz w:val="21"/>
          <w:szCs w:val="21"/>
        </w:rPr>
        <w:t xml:space="preserve"> en la </w:t>
      </w:r>
      <w:proofErr w:type="spellStart"/>
      <w:r w:rsidRPr="00117F45">
        <w:rPr>
          <w:rFonts w:ascii="Arial" w:hAnsi="Arial" w:cs="Arial"/>
          <w:sz w:val="21"/>
          <w:szCs w:val="21"/>
        </w:rPr>
        <w:t>cu?l</w:t>
      </w:r>
      <w:proofErr w:type="spellEnd"/>
      <w:r w:rsidRPr="00117F45">
        <w:rPr>
          <w:rFonts w:ascii="Arial" w:hAnsi="Arial" w:cs="Arial"/>
          <w:sz w:val="21"/>
          <w:szCs w:val="21"/>
        </w:rPr>
        <w:t xml:space="preserve"> presto sus servicios, y para la </w:t>
      </w:r>
      <w:proofErr w:type="spellStart"/>
      <w:r w:rsidRPr="00117F45">
        <w:rPr>
          <w:rFonts w:ascii="Arial" w:hAnsi="Arial" w:cs="Arial"/>
          <w:sz w:val="21"/>
          <w:szCs w:val="21"/>
        </w:rPr>
        <w:t>prestaci?n</w:t>
      </w:r>
      <w:proofErr w:type="spellEnd"/>
      <w:r w:rsidRPr="00117F45">
        <w:rPr>
          <w:rFonts w:ascii="Arial" w:hAnsi="Arial" w:cs="Arial"/>
          <w:sz w:val="21"/>
          <w:szCs w:val="21"/>
        </w:rPr>
        <w:t xml:space="preserve"> de servicios de asistencia, </w:t>
      </w:r>
      <w:proofErr w:type="spellStart"/>
      <w:r w:rsidRPr="00117F45">
        <w:rPr>
          <w:rFonts w:ascii="Arial" w:hAnsi="Arial" w:cs="Arial"/>
          <w:sz w:val="21"/>
          <w:szCs w:val="21"/>
        </w:rPr>
        <w:t>representaci?n</w:t>
      </w:r>
      <w:proofErr w:type="spellEnd"/>
      <w:r w:rsidRPr="00117F45">
        <w:rPr>
          <w:rFonts w:ascii="Arial" w:hAnsi="Arial" w:cs="Arial"/>
          <w:sz w:val="21"/>
          <w:szCs w:val="21"/>
        </w:rPr>
        <w:t xml:space="preserve"> o </w:t>
      </w:r>
      <w:proofErr w:type="spellStart"/>
      <w:r w:rsidRPr="00117F45">
        <w:rPr>
          <w:rFonts w:ascii="Arial" w:hAnsi="Arial" w:cs="Arial"/>
          <w:sz w:val="21"/>
          <w:szCs w:val="21"/>
        </w:rPr>
        <w:t>asesor?a</w:t>
      </w:r>
      <w:proofErr w:type="spellEnd"/>
      <w:r w:rsidRPr="00117F45">
        <w:rPr>
          <w:rFonts w:ascii="Arial" w:hAnsi="Arial" w:cs="Arial"/>
          <w:sz w:val="21"/>
          <w:szCs w:val="21"/>
        </w:rPr>
        <w:t xml:space="preserve"> a quienes estuvieron sujetos a la </w:t>
      </w:r>
      <w:proofErr w:type="spellStart"/>
      <w:r w:rsidRPr="00117F45">
        <w:rPr>
          <w:rFonts w:ascii="Arial" w:hAnsi="Arial" w:cs="Arial"/>
          <w:sz w:val="21"/>
          <w:szCs w:val="21"/>
        </w:rPr>
        <w:t>inspecci?n</w:t>
      </w:r>
      <w:proofErr w:type="spellEnd"/>
      <w:r w:rsidRPr="00117F45">
        <w:rPr>
          <w:rFonts w:ascii="Arial" w:hAnsi="Arial" w:cs="Arial"/>
          <w:sz w:val="21"/>
          <w:szCs w:val="21"/>
        </w:rPr>
        <w:t xml:space="preserve">, vigilancia, control o </w:t>
      </w:r>
      <w:proofErr w:type="spellStart"/>
      <w:r w:rsidRPr="00117F45">
        <w:rPr>
          <w:rFonts w:ascii="Arial" w:hAnsi="Arial" w:cs="Arial"/>
          <w:sz w:val="21"/>
          <w:szCs w:val="21"/>
        </w:rPr>
        <w:t>regulaci?n</w:t>
      </w:r>
      <w:proofErr w:type="spellEnd"/>
      <w:r w:rsidRPr="00117F45">
        <w:rPr>
          <w:rFonts w:ascii="Arial" w:hAnsi="Arial" w:cs="Arial"/>
          <w:sz w:val="21"/>
          <w:szCs w:val="21"/>
        </w:rPr>
        <w:t xml:space="preserve"> de la entidad, </w:t>
      </w:r>
      <w:proofErr w:type="spellStart"/>
      <w:r w:rsidRPr="00117F45">
        <w:rPr>
          <w:rFonts w:ascii="Arial" w:hAnsi="Arial" w:cs="Arial"/>
          <w:sz w:val="21"/>
          <w:szCs w:val="21"/>
        </w:rPr>
        <w:t>corporaci?n</w:t>
      </w:r>
      <w:proofErr w:type="spellEnd"/>
      <w:r w:rsidRPr="00117F45">
        <w:rPr>
          <w:rFonts w:ascii="Arial" w:hAnsi="Arial" w:cs="Arial"/>
          <w:sz w:val="21"/>
          <w:szCs w:val="21"/>
        </w:rPr>
        <w:t xml:space="preserve"> u organismos al que se haya estado vinculado. Esta </w:t>
      </w:r>
      <w:proofErr w:type="spellStart"/>
      <w:proofErr w:type="gramStart"/>
      <w:r w:rsidRPr="00117F45">
        <w:rPr>
          <w:rFonts w:ascii="Arial" w:hAnsi="Arial" w:cs="Arial"/>
          <w:sz w:val="21"/>
          <w:szCs w:val="21"/>
        </w:rPr>
        <w:t>prohibici?n</w:t>
      </w:r>
      <w:proofErr w:type="spellEnd"/>
      <w:proofErr w:type="gramEnd"/>
      <w:r w:rsidRPr="00117F45">
        <w:rPr>
          <w:rFonts w:ascii="Arial" w:hAnsi="Arial" w:cs="Arial"/>
          <w:sz w:val="21"/>
          <w:szCs w:val="21"/>
        </w:rPr>
        <w:t xml:space="preserve"> </w:t>
      </w:r>
      <w:proofErr w:type="spellStart"/>
      <w:r w:rsidRPr="00117F45">
        <w:rPr>
          <w:rFonts w:ascii="Arial" w:hAnsi="Arial" w:cs="Arial"/>
          <w:sz w:val="21"/>
          <w:szCs w:val="21"/>
        </w:rPr>
        <w:t>sera</w:t>
      </w:r>
      <w:proofErr w:type="spellEnd"/>
      <w:r w:rsidRPr="00117F45">
        <w:rPr>
          <w:rFonts w:ascii="Arial" w:hAnsi="Arial" w:cs="Arial"/>
          <w:sz w:val="21"/>
          <w:szCs w:val="21"/>
        </w:rPr>
        <w:t xml:space="preserve"> indefinida en el tiempo respecto de los asuntos concretos de los </w:t>
      </w:r>
      <w:proofErr w:type="spellStart"/>
      <w:r w:rsidRPr="00117F45">
        <w:rPr>
          <w:rFonts w:ascii="Arial" w:hAnsi="Arial" w:cs="Arial"/>
          <w:sz w:val="21"/>
          <w:szCs w:val="21"/>
        </w:rPr>
        <w:t>cu?les</w:t>
      </w:r>
      <w:proofErr w:type="spellEnd"/>
      <w:r w:rsidRPr="00117F45">
        <w:rPr>
          <w:rFonts w:ascii="Arial" w:hAnsi="Arial" w:cs="Arial"/>
          <w:sz w:val="21"/>
          <w:szCs w:val="21"/>
        </w:rPr>
        <w:t xml:space="preserve"> el servidor </w:t>
      </w:r>
      <w:proofErr w:type="spellStart"/>
      <w:r w:rsidRPr="00117F45">
        <w:rPr>
          <w:rFonts w:ascii="Arial" w:hAnsi="Arial" w:cs="Arial"/>
          <w:sz w:val="21"/>
          <w:szCs w:val="21"/>
        </w:rPr>
        <w:t>conoci</w:t>
      </w:r>
      <w:proofErr w:type="spellEnd"/>
      <w:r w:rsidRPr="00117F45">
        <w:rPr>
          <w:rFonts w:ascii="Arial" w:hAnsi="Arial" w:cs="Arial"/>
          <w:sz w:val="21"/>
          <w:szCs w:val="21"/>
        </w:rPr>
        <w:t xml:space="preserve">? en ejercicio de sus funciones. Se entiende por asuntos concretos de los </w:t>
      </w:r>
      <w:proofErr w:type="spellStart"/>
      <w:proofErr w:type="gramStart"/>
      <w:r w:rsidRPr="00117F45">
        <w:rPr>
          <w:rFonts w:ascii="Arial" w:hAnsi="Arial" w:cs="Arial"/>
          <w:sz w:val="21"/>
          <w:szCs w:val="21"/>
        </w:rPr>
        <w:t>cu?les</w:t>
      </w:r>
      <w:proofErr w:type="spellEnd"/>
      <w:proofErr w:type="gramEnd"/>
      <w:r w:rsidRPr="00117F45">
        <w:rPr>
          <w:rFonts w:ascii="Arial" w:hAnsi="Arial" w:cs="Arial"/>
          <w:sz w:val="21"/>
          <w:szCs w:val="21"/>
        </w:rPr>
        <w:t xml:space="preserve"> </w:t>
      </w:r>
      <w:proofErr w:type="spellStart"/>
      <w:r w:rsidRPr="00117F45">
        <w:rPr>
          <w:rFonts w:ascii="Arial" w:hAnsi="Arial" w:cs="Arial"/>
          <w:sz w:val="21"/>
          <w:szCs w:val="21"/>
        </w:rPr>
        <w:t>conoci</w:t>
      </w:r>
      <w:proofErr w:type="spellEnd"/>
      <w:r w:rsidRPr="00117F45">
        <w:rPr>
          <w:rFonts w:ascii="Arial" w:hAnsi="Arial" w:cs="Arial"/>
          <w:sz w:val="21"/>
          <w:szCs w:val="21"/>
        </w:rPr>
        <w:t xml:space="preserve">? en ejercicio de sus funciones aquellos de </w:t>
      </w:r>
      <w:proofErr w:type="spellStart"/>
      <w:r w:rsidRPr="00117F45">
        <w:rPr>
          <w:rFonts w:ascii="Arial" w:hAnsi="Arial" w:cs="Arial"/>
          <w:sz w:val="21"/>
          <w:szCs w:val="21"/>
        </w:rPr>
        <w:t>car?cter</w:t>
      </w:r>
      <w:proofErr w:type="spellEnd"/>
      <w:r w:rsidRPr="00117F45">
        <w:rPr>
          <w:rFonts w:ascii="Arial" w:hAnsi="Arial" w:cs="Arial"/>
          <w:sz w:val="21"/>
          <w:szCs w:val="21"/>
        </w:rPr>
        <w:t xml:space="preserve"> particular y concreto que fueron objeto de </w:t>
      </w:r>
      <w:proofErr w:type="spellStart"/>
      <w:r w:rsidRPr="00117F45">
        <w:rPr>
          <w:rFonts w:ascii="Arial" w:hAnsi="Arial" w:cs="Arial"/>
          <w:sz w:val="21"/>
          <w:szCs w:val="21"/>
        </w:rPr>
        <w:t>decisi?n</w:t>
      </w:r>
      <w:proofErr w:type="spellEnd"/>
      <w:r w:rsidRPr="00117F45">
        <w:rPr>
          <w:rFonts w:ascii="Arial" w:hAnsi="Arial" w:cs="Arial"/>
          <w:sz w:val="21"/>
          <w:szCs w:val="21"/>
        </w:rPr>
        <w:t xml:space="preserve"> durante el ejercicio de sus funciones y de los </w:t>
      </w:r>
      <w:proofErr w:type="spellStart"/>
      <w:r w:rsidRPr="00117F45">
        <w:rPr>
          <w:rFonts w:ascii="Arial" w:hAnsi="Arial" w:cs="Arial"/>
          <w:sz w:val="21"/>
          <w:szCs w:val="21"/>
        </w:rPr>
        <w:t>cu?les</w:t>
      </w:r>
      <w:proofErr w:type="spellEnd"/>
      <w:r w:rsidRPr="00117F45">
        <w:rPr>
          <w:rFonts w:ascii="Arial" w:hAnsi="Arial" w:cs="Arial"/>
          <w:sz w:val="21"/>
          <w:szCs w:val="21"/>
        </w:rPr>
        <w:t xml:space="preserve"> existe sujetos claramente determinados. Al respecto es menester </w:t>
      </w:r>
      <w:proofErr w:type="spellStart"/>
      <w:r w:rsidRPr="00117F45">
        <w:rPr>
          <w:rFonts w:ascii="Arial" w:hAnsi="Arial" w:cs="Arial"/>
          <w:sz w:val="21"/>
          <w:szCs w:val="21"/>
        </w:rPr>
        <w:t>se?alar</w:t>
      </w:r>
      <w:proofErr w:type="spellEnd"/>
      <w:r w:rsidRPr="00117F45">
        <w:rPr>
          <w:rFonts w:ascii="Arial" w:hAnsi="Arial" w:cs="Arial"/>
          <w:sz w:val="21"/>
          <w:szCs w:val="21"/>
        </w:rPr>
        <w:t xml:space="preserve"> que la citada </w:t>
      </w:r>
      <w:proofErr w:type="spellStart"/>
      <w:r w:rsidRPr="00117F45">
        <w:rPr>
          <w:rFonts w:ascii="Arial" w:hAnsi="Arial" w:cs="Arial"/>
          <w:sz w:val="21"/>
          <w:szCs w:val="21"/>
        </w:rPr>
        <w:t>disposici?n</w:t>
      </w:r>
      <w:proofErr w:type="spellEnd"/>
      <w:r w:rsidRPr="00117F45">
        <w:rPr>
          <w:rFonts w:ascii="Arial" w:hAnsi="Arial" w:cs="Arial"/>
          <w:sz w:val="21"/>
          <w:szCs w:val="21"/>
        </w:rPr>
        <w:t xml:space="preserve"> no se reproduce ni en la ley 1952 de 2019 ni en la ley 2094 de 2021, por lo que en principio considero que en la actualidad ya no es ?</w:t>
      </w:r>
      <w:proofErr w:type="spellStart"/>
      <w:r w:rsidRPr="00117F45">
        <w:rPr>
          <w:rFonts w:ascii="Arial" w:hAnsi="Arial" w:cs="Arial"/>
          <w:sz w:val="21"/>
          <w:szCs w:val="21"/>
        </w:rPr>
        <w:t>bice</w:t>
      </w:r>
      <w:proofErr w:type="spellEnd"/>
      <w:r w:rsidRPr="00117F45">
        <w:rPr>
          <w:rFonts w:ascii="Arial" w:hAnsi="Arial" w:cs="Arial"/>
          <w:sz w:val="21"/>
          <w:szCs w:val="21"/>
        </w:rPr>
        <w:t xml:space="preserve"> el haber sido funcionario de una Entidad para poder contratar con la misma luego de haber dejado el cargo, por lo que solicito conceptuar sobre el particular a efectos de contar con una </w:t>
      </w:r>
      <w:proofErr w:type="spellStart"/>
      <w:r w:rsidRPr="00117F45">
        <w:rPr>
          <w:rFonts w:ascii="Arial" w:hAnsi="Arial" w:cs="Arial"/>
          <w:sz w:val="21"/>
          <w:szCs w:val="21"/>
        </w:rPr>
        <w:t>posici?n</w:t>
      </w:r>
      <w:proofErr w:type="spellEnd"/>
      <w:r w:rsidRPr="00117F45">
        <w:rPr>
          <w:rFonts w:ascii="Arial" w:hAnsi="Arial" w:cs="Arial"/>
          <w:sz w:val="21"/>
          <w:szCs w:val="21"/>
        </w:rPr>
        <w:t xml:space="preserve"> oficial al respecto,</w:t>
      </w:r>
      <w:r w:rsidRPr="00117F45">
        <w:rPr>
          <w:rFonts w:ascii="Arial" w:hAnsi="Arial" w:cs="Arial"/>
          <w:b/>
          <w:bCs/>
          <w:sz w:val="21"/>
          <w:szCs w:val="21"/>
        </w:rPr>
        <w:t xml:space="preserve"> </w:t>
      </w:r>
      <w:r w:rsidRPr="00117F45">
        <w:rPr>
          <w:rFonts w:ascii="Arial" w:eastAsia="Calibri" w:hAnsi="Arial" w:cs="Arial"/>
          <w:sz w:val="21"/>
          <w:szCs w:val="21"/>
          <w:lang w:val="es-MX"/>
        </w:rPr>
        <w:t xml:space="preserve">» [SIC].  </w:t>
      </w:r>
      <w:bookmarkEnd w:id="1"/>
    </w:p>
    <w:p w14:paraId="2E6876F8" w14:textId="77777777" w:rsidR="004E3054" w:rsidRPr="00117F45" w:rsidRDefault="004E3054" w:rsidP="004E3054">
      <w:pPr>
        <w:autoSpaceDE w:val="0"/>
        <w:autoSpaceDN w:val="0"/>
        <w:adjustRightInd w:val="0"/>
        <w:spacing w:line="276" w:lineRule="auto"/>
        <w:ind w:left="709" w:right="709"/>
        <w:jc w:val="both"/>
        <w:rPr>
          <w:rFonts w:ascii="Arial" w:hAnsi="Arial" w:cs="Arial"/>
          <w:sz w:val="21"/>
          <w:szCs w:val="21"/>
        </w:rPr>
      </w:pPr>
    </w:p>
    <w:p w14:paraId="78A8D917" w14:textId="77777777" w:rsidR="004E3054" w:rsidRPr="00117F45" w:rsidRDefault="004E3054" w:rsidP="004E3054">
      <w:pPr>
        <w:pStyle w:val="NormalWeb"/>
        <w:numPr>
          <w:ilvl w:val="0"/>
          <w:numId w:val="3"/>
        </w:numPr>
        <w:spacing w:before="0" w:beforeAutospacing="0" w:after="0" w:afterAutospacing="0"/>
        <w:ind w:left="426" w:right="709"/>
        <w:contextualSpacing/>
        <w:rPr>
          <w:rFonts w:ascii="Arial" w:eastAsia="Calibri" w:hAnsi="Arial" w:cs="Arial"/>
          <w:b/>
          <w:sz w:val="22"/>
          <w:szCs w:val="22"/>
        </w:rPr>
      </w:pPr>
      <w:r w:rsidRPr="00117F45">
        <w:rPr>
          <w:rFonts w:ascii="Arial" w:eastAsia="Calibri" w:hAnsi="Arial" w:cs="Arial"/>
          <w:b/>
          <w:sz w:val="22"/>
          <w:szCs w:val="22"/>
        </w:rPr>
        <w:t>Consideraciones</w:t>
      </w:r>
    </w:p>
    <w:p w14:paraId="009D2EC3" w14:textId="77777777" w:rsidR="004E3054" w:rsidRPr="00117F45" w:rsidRDefault="004E3054" w:rsidP="004E3054">
      <w:pPr>
        <w:pStyle w:val="NormalWeb"/>
        <w:spacing w:before="0" w:beforeAutospacing="0" w:after="0" w:afterAutospacing="0"/>
        <w:ind w:left="426" w:right="709"/>
        <w:contextualSpacing/>
        <w:rPr>
          <w:rFonts w:ascii="Arial" w:eastAsia="Calibri" w:hAnsi="Arial" w:cs="Arial"/>
          <w:b/>
          <w:sz w:val="22"/>
          <w:szCs w:val="22"/>
        </w:rPr>
      </w:pPr>
    </w:p>
    <w:p w14:paraId="2917956E" w14:textId="77777777" w:rsidR="004E3054" w:rsidRPr="00117F45" w:rsidRDefault="004E3054" w:rsidP="004E3054">
      <w:pPr>
        <w:spacing w:line="276" w:lineRule="auto"/>
        <w:jc w:val="both"/>
        <w:rPr>
          <w:rFonts w:ascii="Arial" w:eastAsia="Calibri" w:hAnsi="Arial" w:cs="Arial"/>
          <w:color w:val="000000" w:themeColor="text1"/>
          <w:lang w:val="es-ES"/>
        </w:rPr>
      </w:pPr>
      <w:bookmarkStart w:id="2" w:name="_Hlk96420298"/>
      <w:bookmarkStart w:id="3" w:name="_Hlk57650395"/>
      <w:r w:rsidRPr="00117F45">
        <w:rPr>
          <w:rFonts w:ascii="Arial" w:eastAsia="Calibri" w:hAnsi="Arial" w:cs="Arial"/>
          <w:bCs/>
          <w:color w:val="000000" w:themeColor="text1"/>
        </w:rPr>
        <w:t xml:space="preserve">En ejercicio de las competencias establecidas en los artículos 3.5 y 11.8 del Decreto 4170 de 2011, la Agencia Nacional de Contratación Pública </w:t>
      </w:r>
      <w:bookmarkStart w:id="4" w:name="_Hlk99611965"/>
      <w:r w:rsidRPr="00117F45">
        <w:rPr>
          <w:rFonts w:ascii="Arial" w:eastAsia="Calibri" w:hAnsi="Arial" w:cs="Arial"/>
          <w:bCs/>
          <w:color w:val="000000" w:themeColor="text1"/>
        </w:rPr>
        <w:t>–</w:t>
      </w:r>
      <w:bookmarkEnd w:id="4"/>
      <w:r w:rsidRPr="00117F45">
        <w:rPr>
          <w:rFonts w:ascii="Arial" w:eastAsia="Calibri" w:hAnsi="Arial" w:cs="Arial"/>
          <w:bCs/>
          <w:color w:val="000000" w:themeColor="text1"/>
        </w:rPr>
        <w:t xml:space="preserve"> Colombia Compra Eficiente resuelve consultas sobre </w:t>
      </w:r>
      <w:bookmarkStart w:id="5" w:name="_Hlk61026958"/>
      <w:bookmarkStart w:id="6" w:name="_Hlk61701014"/>
      <w:bookmarkStart w:id="7" w:name="_Hlk62136649"/>
      <w:r w:rsidRPr="00117F45">
        <w:rPr>
          <w:rFonts w:ascii="Arial" w:eastAsia="Calibri" w:hAnsi="Arial" w:cs="Arial"/>
          <w:color w:val="000000" w:themeColor="text1"/>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117F45">
        <w:rPr>
          <w:rFonts w:ascii="Arial" w:eastAsia="Calibri" w:hAnsi="Arial" w:cs="Arial"/>
          <w:bCs/>
          <w:color w:val="000000" w:themeColor="text1"/>
        </w:rPr>
        <w:t xml:space="preserve"> de todos los partícipes de la contratación estatal ni para interpretar el alcance de cualquier norma vigente en el ordenamiento jurídico.</w:t>
      </w:r>
    </w:p>
    <w:bookmarkEnd w:id="5"/>
    <w:bookmarkEnd w:id="6"/>
    <w:bookmarkEnd w:id="7"/>
    <w:p w14:paraId="08CC6559" w14:textId="77777777" w:rsidR="004E3054" w:rsidRPr="00117F45" w:rsidRDefault="004E3054" w:rsidP="004E3054">
      <w:pPr>
        <w:spacing w:before="120" w:line="276" w:lineRule="auto"/>
        <w:ind w:firstLine="708"/>
        <w:jc w:val="both"/>
        <w:rPr>
          <w:rFonts w:ascii="Arial" w:eastAsia="Calibri" w:hAnsi="Arial" w:cs="Arial"/>
          <w:color w:val="000000" w:themeColor="text1"/>
        </w:rPr>
      </w:pPr>
      <w:r w:rsidRPr="00117F45">
        <w:rPr>
          <w:rFonts w:ascii="Arial" w:eastAsia="Calibri" w:hAnsi="Arial" w:cs="Arial"/>
          <w:color w:val="000000" w:themeColor="text1"/>
        </w:rPr>
        <w:t xml:space="preserve">Sin perjuicio de lo anterior, la Agencia –dentro de los límites de sus atribuciones– resolverá la consulta conforme a las normas generales en materia de contratación estatal. En este sentido, se analizarán los siguiente temas: i) régimen jurídico de las inhabilidades e incompatibilidades en la contratación estatal; y ii) prohibición para que funcionarios y exservidores públicos gestionen intereses privados. </w:t>
      </w:r>
    </w:p>
    <w:p w14:paraId="2458B1C8" w14:textId="77777777" w:rsidR="004E3054" w:rsidRPr="00117F45" w:rsidRDefault="004E3054" w:rsidP="004E3054">
      <w:pPr>
        <w:spacing w:before="120" w:line="276" w:lineRule="auto"/>
        <w:ind w:firstLine="708"/>
        <w:jc w:val="both"/>
        <w:rPr>
          <w:rFonts w:ascii="Arial" w:eastAsia="Calibri" w:hAnsi="Arial" w:cs="Arial"/>
          <w:color w:val="000000" w:themeColor="text1"/>
          <w:lang w:val="es-ES"/>
        </w:rPr>
      </w:pPr>
      <w:r w:rsidRPr="00117F45">
        <w:rPr>
          <w:rFonts w:ascii="Arial" w:hAnsi="Arial" w:cs="Arial"/>
          <w:color w:val="000000"/>
          <w:lang w:val="es-ES_tradnl"/>
        </w:rPr>
        <w:lastRenderedPageBreak/>
        <w:t xml:space="preserve">La Agencia Nacional de Contratación Pública – Colombia Compra Eficiente, Eficiente analizó desde una perspectiva general el régimen de inhabilidades e incompatibilidades en la 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w:t>
      </w:r>
      <w:r w:rsidRPr="00117F45">
        <w:rPr>
          <w:rFonts w:ascii="Arial" w:hAnsi="Arial" w:cs="Arial"/>
          <w:noProof/>
          <w:lang w:val="es-ES_tradnl"/>
        </w:rPr>
        <w:t xml:space="preserve">C-321 del 2 de julio de 2021, </w:t>
      </w:r>
      <w:r w:rsidRPr="00117F45">
        <w:rPr>
          <w:rFonts w:ascii="Arial" w:hAnsi="Arial" w:cs="Arial"/>
          <w:color w:val="000000"/>
          <w:lang w:val="es-ES_tradnl"/>
        </w:rPr>
        <w:t>C-410 del 7 de julio del 2021,</w:t>
      </w:r>
      <w:r w:rsidRPr="00117F45">
        <w:rPr>
          <w:rFonts w:ascii="Arial" w:hAnsi="Arial" w:cs="Arial"/>
          <w:noProof/>
          <w:lang w:val="es-ES_tradnl"/>
        </w:rPr>
        <w:t xml:space="preserve"> C-491 del 14 de septiembre de 2021, C-128 de 28 de marzo de 2022, C-252 del 3 de mayo de 2022, C-318 del 18 de mayo de 2022, C-457 del 12 de julio de 2022, C-570 del 13 de septiembre de 2022, C-674 del 14 de octubre de 2022 y C783 del 5 de diciembre de 2022, entre otros</w:t>
      </w:r>
      <w:r w:rsidRPr="00117F45">
        <w:rPr>
          <w:rStyle w:val="Refdenotaalpie"/>
          <w:rFonts w:ascii="Arial" w:hAnsi="Arial" w:cs="Arial"/>
          <w:noProof/>
          <w:lang w:val="es-ES_tradnl"/>
        </w:rPr>
        <w:footnoteReference w:id="1"/>
      </w:r>
      <w:r w:rsidRPr="00117F45">
        <w:rPr>
          <w:rFonts w:ascii="Arial" w:hAnsi="Arial" w:cs="Arial"/>
          <w:noProof/>
          <w:lang w:val="es-ES_tradnl"/>
        </w:rPr>
        <w:t>.</w:t>
      </w:r>
      <w:r w:rsidRPr="00117F45">
        <w:rPr>
          <w:rFonts w:ascii="Arial" w:eastAsia="Calibri" w:hAnsi="Arial" w:cs="Arial"/>
          <w:color w:val="000000" w:themeColor="text1"/>
          <w:lang w:val="es-ES"/>
        </w:rPr>
        <w:t xml:space="preserve"> Los argumentos expuestos en estos conceptos se reiteran y complementan a continuación.</w:t>
      </w:r>
    </w:p>
    <w:bookmarkEnd w:id="2"/>
    <w:p w14:paraId="79A90874" w14:textId="77777777" w:rsidR="004E3054" w:rsidRPr="00117F45" w:rsidRDefault="004E3054" w:rsidP="004E3054">
      <w:pPr>
        <w:spacing w:line="276" w:lineRule="auto"/>
        <w:jc w:val="both"/>
        <w:rPr>
          <w:rFonts w:ascii="Arial" w:eastAsia="Calibri" w:hAnsi="Arial" w:cs="Arial"/>
          <w:b/>
          <w:bCs/>
          <w:color w:val="000000" w:themeColor="text1"/>
        </w:rPr>
      </w:pPr>
      <w:r w:rsidRPr="00117F45">
        <w:rPr>
          <w:rFonts w:ascii="Arial" w:eastAsia="Calibri" w:hAnsi="Arial" w:cs="Arial"/>
          <w:b/>
          <w:bCs/>
          <w:color w:val="000000" w:themeColor="text1"/>
        </w:rPr>
        <w:t>2.1. Régimen jurídico de las inhabilidades e incompatibilidades en la contratación estatal</w:t>
      </w:r>
    </w:p>
    <w:p w14:paraId="64B63493" w14:textId="77777777" w:rsidR="004E3054" w:rsidRPr="00117F45" w:rsidRDefault="004E3054" w:rsidP="004E3054">
      <w:pPr>
        <w:spacing w:after="120" w:line="276" w:lineRule="auto"/>
        <w:jc w:val="both"/>
        <w:rPr>
          <w:rFonts w:ascii="Arial" w:eastAsia="Calibri" w:hAnsi="Arial" w:cs="Arial"/>
          <w:color w:val="000000" w:themeColor="text1"/>
          <w:lang w:val="es-ES_tradnl"/>
        </w:rPr>
      </w:pPr>
      <w:r w:rsidRPr="00117F45">
        <w:rPr>
          <w:rFonts w:ascii="Arial" w:eastAsia="Calibri" w:hAnsi="Arial" w:cs="Arial"/>
          <w:color w:val="000000" w:themeColor="text1"/>
          <w:lang w:val="es-ES_tradnl"/>
        </w:rPr>
        <w:t xml:space="preserve">En la contratación estatal, la </w:t>
      </w:r>
      <w:r w:rsidRPr="00117F45">
        <w:rPr>
          <w:rFonts w:ascii="Arial" w:eastAsia="Calibri" w:hAnsi="Arial" w:cs="Arial"/>
          <w:i/>
          <w:iCs/>
          <w:color w:val="000000" w:themeColor="text1"/>
          <w:lang w:val="es-ES_tradnl"/>
        </w:rPr>
        <w:t>capacidad</w:t>
      </w:r>
      <w:r w:rsidRPr="00117F45">
        <w:rPr>
          <w:rFonts w:ascii="Arial" w:eastAsia="Calibri" w:hAnsi="Arial" w:cs="Arial"/>
          <w:color w:val="000000" w:themeColor="text1"/>
          <w:lang w:val="es-ES_tradnl"/>
        </w:rPr>
        <w:t xml:space="preserve"> también es un requisito de validez de los contratos, tanto en el régimen de las entidades sujetas al Estatuto General de Contratación de la Administración Pública</w:t>
      </w:r>
      <w:r w:rsidRPr="00117F45">
        <w:rPr>
          <w:rFonts w:ascii="Arial" w:eastAsia="Calibri" w:hAnsi="Arial" w:cs="Arial"/>
          <w:color w:val="000000" w:themeColor="text1"/>
          <w:vertAlign w:val="superscript"/>
          <w:lang w:val="es-ES_tradnl"/>
        </w:rPr>
        <w:footnoteReference w:id="2"/>
      </w:r>
      <w:r w:rsidRPr="00117F45">
        <w:rPr>
          <w:rFonts w:ascii="Arial" w:eastAsia="Calibri" w:hAnsi="Arial" w:cs="Arial"/>
          <w:color w:val="000000" w:themeColor="text1"/>
          <w:lang w:val="es-ES_tradnl"/>
        </w:rPr>
        <w:t xml:space="preserve"> como en el de las entidades exceptuadas de aquel</w:t>
      </w:r>
      <w:r w:rsidRPr="00117F45">
        <w:rPr>
          <w:rFonts w:ascii="Arial" w:eastAsia="Calibri" w:hAnsi="Arial" w:cs="Arial"/>
          <w:color w:val="000000" w:themeColor="text1"/>
          <w:vertAlign w:val="superscript"/>
          <w:lang w:val="es-ES_tradnl"/>
        </w:rPr>
        <w:footnoteReference w:id="3"/>
      </w:r>
      <w:r w:rsidRPr="00117F45">
        <w:rPr>
          <w:rFonts w:ascii="Arial" w:eastAsia="Calibri" w:hAnsi="Arial" w:cs="Arial"/>
          <w:color w:val="000000" w:themeColor="text1"/>
          <w:lang w:val="es-ES_tradnl"/>
        </w:rPr>
        <w:t xml:space="preserve">. Si bien la regulación de la capacidad se integra por varias disposiciones </w:t>
      </w:r>
      <w:r w:rsidRPr="00117F45">
        <w:rPr>
          <w:rFonts w:ascii="Arial" w:eastAsia="Calibri" w:hAnsi="Arial" w:cs="Arial"/>
          <w:color w:val="000000" w:themeColor="text1"/>
          <w:lang w:val="es-ES_tradnl"/>
        </w:rPr>
        <w:lastRenderedPageBreak/>
        <w:t>y exigencias especiales –como el requisito de inscribirse, por regla general, en el Registro Único de Proponentes RUP), establecido en el artículo 6 de la Ley 1150 de 2007, modificado por el artículo 221 del Decreto-Ley 19 de 2012</w:t>
      </w:r>
      <w:r w:rsidRPr="00117F45">
        <w:rPr>
          <w:rFonts w:ascii="Arial" w:eastAsia="Calibri" w:hAnsi="Arial" w:cs="Arial"/>
          <w:color w:val="000000" w:themeColor="text1"/>
          <w:vertAlign w:val="superscript"/>
          <w:lang w:val="es-ES_tradnl"/>
        </w:rPr>
        <w:footnoteReference w:id="4"/>
      </w:r>
      <w:r w:rsidRPr="00117F45">
        <w:rPr>
          <w:rFonts w:ascii="Arial" w:eastAsia="Calibri" w:hAnsi="Arial" w:cs="Arial"/>
          <w:color w:val="000000" w:themeColor="text1"/>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117F45">
        <w:rPr>
          <w:rFonts w:ascii="Arial" w:eastAsia="Calibri" w:hAnsi="Arial" w:cs="Arial"/>
          <w:color w:val="000000" w:themeColor="text1"/>
          <w:vertAlign w:val="superscript"/>
          <w:lang w:val="es-ES_tradnl"/>
        </w:rPr>
        <w:footnoteReference w:id="5"/>
      </w:r>
      <w:r w:rsidRPr="00117F45">
        <w:rPr>
          <w:rFonts w:ascii="Arial" w:eastAsia="Calibri" w:hAnsi="Arial" w:cs="Arial"/>
          <w:color w:val="000000" w:themeColor="text1"/>
          <w:lang w:val="es-ES_tradnl"/>
        </w:rPr>
        <w:t>. Este régimen de inhabilidades e incompatibilidades aplica, incluso en el marco de los contratos no sometidos a la Ley 80 de 1993, en los términos del artículo 13 de la Ley 1150 de 2007.</w:t>
      </w:r>
    </w:p>
    <w:p w14:paraId="3D0BD953" w14:textId="77777777" w:rsidR="004E3054" w:rsidRPr="00117F45" w:rsidRDefault="004E3054" w:rsidP="004E3054">
      <w:pPr>
        <w:spacing w:after="120" w:line="276" w:lineRule="auto"/>
        <w:ind w:firstLine="709"/>
        <w:jc w:val="both"/>
        <w:rPr>
          <w:rFonts w:ascii="Arial" w:eastAsia="Calibri" w:hAnsi="Arial" w:cs="Arial"/>
          <w:color w:val="000000" w:themeColor="text1"/>
          <w:lang w:val="es-ES_tradnl"/>
        </w:rPr>
      </w:pPr>
      <w:r w:rsidRPr="00117F45">
        <w:rPr>
          <w:rFonts w:ascii="Arial" w:eastAsia="Calibri" w:hAnsi="Arial" w:cs="Arial"/>
          <w:color w:val="000000" w:themeColor="text1"/>
          <w:lang w:val="es-ES_tradnl"/>
        </w:rPr>
        <w:t>Las inhabilidades son prohibiciones para concurrir a los procedimientos de selección y para contratar con el Estado, que se derivan i) de la existencia de comportamientos reprochables o de sanciones anteriormente impuestas</w:t>
      </w:r>
      <w:r w:rsidRPr="00117F45">
        <w:rPr>
          <w:rFonts w:ascii="Arial" w:eastAsia="Calibri" w:hAnsi="Arial" w:cs="Arial"/>
          <w:color w:val="000000" w:themeColor="text1"/>
          <w:vertAlign w:val="superscript"/>
          <w:lang w:val="es-ES_tradnl"/>
        </w:rPr>
        <w:footnoteReference w:id="6"/>
      </w:r>
      <w:r w:rsidRPr="00117F45">
        <w:rPr>
          <w:rFonts w:ascii="Arial" w:eastAsia="Calibri" w:hAnsi="Arial" w:cs="Arial"/>
          <w:color w:val="000000" w:themeColor="text1"/>
          <w:lang w:val="es-ES_tradnl"/>
        </w:rPr>
        <w:t xml:space="preserve">, ii) de </w:t>
      </w:r>
      <w:r w:rsidRPr="00117F45">
        <w:rPr>
          <w:rFonts w:ascii="Arial" w:eastAsia="Calibri" w:hAnsi="Arial" w:cs="Arial"/>
          <w:color w:val="000000" w:themeColor="text1"/>
          <w:lang w:val="es-ES_tradnl"/>
        </w:rPr>
        <w:lastRenderedPageBreak/>
        <w:t>vínculos personales relativos al parentesco o al estado civil</w:t>
      </w:r>
      <w:r w:rsidRPr="00117F45">
        <w:rPr>
          <w:rFonts w:ascii="Arial" w:eastAsia="Calibri" w:hAnsi="Arial" w:cs="Arial"/>
          <w:color w:val="000000" w:themeColor="text1"/>
          <w:vertAlign w:val="superscript"/>
          <w:lang w:val="es-ES_tradnl"/>
        </w:rPr>
        <w:footnoteReference w:id="7"/>
      </w:r>
      <w:r w:rsidRPr="00117F45">
        <w:rPr>
          <w:rFonts w:ascii="Arial" w:eastAsia="Calibri" w:hAnsi="Arial" w:cs="Arial"/>
          <w:color w:val="000000" w:themeColor="text1"/>
          <w:lang w:val="es-ES_tradnl"/>
        </w:rPr>
        <w:t xml:space="preserve"> o </w:t>
      </w:r>
      <w:proofErr w:type="spellStart"/>
      <w:r w:rsidRPr="00117F45">
        <w:rPr>
          <w:rFonts w:ascii="Arial" w:eastAsia="Calibri" w:hAnsi="Arial" w:cs="Arial"/>
          <w:color w:val="000000" w:themeColor="text1"/>
          <w:lang w:val="es-ES_tradnl"/>
        </w:rPr>
        <w:t>iii</w:t>
      </w:r>
      <w:proofErr w:type="spellEnd"/>
      <w:r w:rsidRPr="00117F45">
        <w:rPr>
          <w:rFonts w:ascii="Arial" w:eastAsia="Calibri" w:hAnsi="Arial" w:cs="Arial"/>
          <w:color w:val="000000" w:themeColor="text1"/>
          <w:lang w:val="es-ES_tradnl"/>
        </w:rPr>
        <w:t>) de una actividad u oficio que se desempeñó en el pasado</w:t>
      </w:r>
      <w:r w:rsidRPr="00117F45">
        <w:rPr>
          <w:rFonts w:ascii="Arial" w:eastAsia="Calibri" w:hAnsi="Arial" w:cs="Arial"/>
          <w:color w:val="000000" w:themeColor="text1"/>
          <w:vertAlign w:val="superscript"/>
          <w:lang w:val="es-ES_tradnl"/>
        </w:rPr>
        <w:footnoteReference w:id="8"/>
      </w:r>
      <w:r w:rsidRPr="00117F45">
        <w:rPr>
          <w:rFonts w:ascii="Arial" w:eastAsia="Calibri" w:hAnsi="Arial" w:cs="Arial"/>
          <w:color w:val="000000" w:themeColor="text1"/>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117F45">
        <w:rPr>
          <w:rFonts w:ascii="Arial" w:eastAsia="Calibri" w:hAnsi="Arial" w:cs="Arial"/>
          <w:color w:val="000000" w:themeColor="text1"/>
          <w:vertAlign w:val="superscript"/>
          <w:lang w:val="es-ES_tradnl"/>
        </w:rPr>
        <w:footnoteReference w:id="9"/>
      </w:r>
      <w:r w:rsidRPr="00117F45">
        <w:rPr>
          <w:rFonts w:ascii="Arial" w:eastAsia="Calibri" w:hAnsi="Arial" w:cs="Arial"/>
          <w:color w:val="000000" w:themeColor="text1"/>
          <w:lang w:val="es-ES_tradnl"/>
        </w:rPr>
        <w:t xml:space="preserve">. </w:t>
      </w:r>
    </w:p>
    <w:p w14:paraId="0A9D0A8A" w14:textId="77777777" w:rsidR="004E3054" w:rsidRPr="00117F45" w:rsidRDefault="004E3054" w:rsidP="004E3054">
      <w:pPr>
        <w:spacing w:after="120" w:line="276" w:lineRule="auto"/>
        <w:ind w:firstLine="709"/>
        <w:jc w:val="both"/>
        <w:rPr>
          <w:rFonts w:ascii="Arial" w:eastAsia="Calibri" w:hAnsi="Arial" w:cs="Arial"/>
          <w:color w:val="000000" w:themeColor="text1"/>
          <w:lang w:val="es-ES_tradnl"/>
        </w:rPr>
      </w:pPr>
      <w:r w:rsidRPr="00117F45">
        <w:rPr>
          <w:rFonts w:ascii="Arial" w:eastAsia="Calibri" w:hAnsi="Arial" w:cs="Arial"/>
          <w:color w:val="000000" w:themeColor="text1"/>
          <w:lang w:val="es-ES_tradnl"/>
        </w:rPr>
        <w:lastRenderedPageBreak/>
        <w:t>El régimen de inhabilidades e incompatibilidades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e incompatibilidades son herramientas en la lucha contra la corrupción, adoptando paulatinamente un carácter sancionatorio o «</w:t>
      </w:r>
      <w:proofErr w:type="spellStart"/>
      <w:r w:rsidRPr="00117F45">
        <w:rPr>
          <w:rFonts w:ascii="Arial" w:eastAsia="Calibri" w:hAnsi="Arial" w:cs="Arial"/>
          <w:color w:val="000000" w:themeColor="text1"/>
          <w:lang w:val="es-ES_tradnl"/>
        </w:rPr>
        <w:t>neopunitivo</w:t>
      </w:r>
      <w:proofErr w:type="spellEnd"/>
      <w:r w:rsidRPr="00117F45">
        <w:rPr>
          <w:rFonts w:ascii="Arial" w:eastAsia="Calibri" w:hAnsi="Arial" w:cs="Arial"/>
          <w:color w:val="000000" w:themeColor="text1"/>
          <w:lang w:val="es-ES_tradnl"/>
        </w:rPr>
        <w:t>»</w:t>
      </w:r>
      <w:r w:rsidRPr="00117F45">
        <w:rPr>
          <w:rFonts w:ascii="Arial" w:eastAsia="Calibri" w:hAnsi="Arial" w:cs="Arial"/>
          <w:color w:val="000000" w:themeColor="text1"/>
          <w:vertAlign w:val="superscript"/>
          <w:lang w:val="es-ES_tradnl"/>
        </w:rPr>
        <w:footnoteReference w:id="10"/>
      </w:r>
      <w:r w:rsidRPr="00117F45">
        <w:rPr>
          <w:rFonts w:ascii="Arial" w:eastAsia="Calibri" w:hAnsi="Arial" w:cs="Arial"/>
          <w:color w:val="000000" w:themeColor="text1"/>
          <w:lang w:val="es-ES_tradnl"/>
        </w:rPr>
        <w:t xml:space="preserve">. </w:t>
      </w:r>
    </w:p>
    <w:p w14:paraId="45AA0B40" w14:textId="77777777" w:rsidR="004E3054" w:rsidRPr="00117F45" w:rsidRDefault="004E3054" w:rsidP="004E3054">
      <w:pPr>
        <w:spacing w:after="120" w:line="276" w:lineRule="auto"/>
        <w:ind w:firstLine="709"/>
        <w:jc w:val="both"/>
        <w:rPr>
          <w:rFonts w:ascii="Arial" w:eastAsia="Calibri" w:hAnsi="Arial" w:cs="Arial"/>
          <w:color w:val="000000" w:themeColor="text1"/>
          <w:lang w:val="es-ES_tradnl"/>
        </w:rPr>
      </w:pPr>
      <w:r w:rsidRPr="00117F45">
        <w:rPr>
          <w:rFonts w:ascii="Arial" w:eastAsia="Calibri" w:hAnsi="Arial" w:cs="Arial"/>
          <w:color w:val="000000" w:themeColor="text1"/>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117F45">
        <w:rPr>
          <w:rFonts w:ascii="Arial" w:eastAsia="Calibri" w:hAnsi="Arial" w:cs="Arial"/>
          <w:i/>
          <w:iCs/>
          <w:color w:val="000000" w:themeColor="text1"/>
          <w:lang w:val="es-ES_tradnl"/>
        </w:rPr>
        <w:t>restrictiva</w:t>
      </w:r>
      <w:r w:rsidRPr="00117F45">
        <w:rPr>
          <w:rFonts w:ascii="Arial" w:eastAsia="Calibri" w:hAnsi="Arial" w:cs="Arial"/>
          <w:color w:val="000000" w:themeColor="text1"/>
          <w:vertAlign w:val="superscript"/>
          <w:lang w:val="es-ES_tradnl"/>
        </w:rPr>
        <w:footnoteReference w:id="11"/>
      </w:r>
      <w:r w:rsidRPr="00117F45">
        <w:rPr>
          <w:rFonts w:ascii="Arial" w:eastAsia="Calibri" w:hAnsi="Arial" w:cs="Arial"/>
          <w:color w:val="000000" w:themeColor="text1"/>
          <w:lang w:val="es-ES_tradnl"/>
        </w:rPr>
        <w:t xml:space="preserve">.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277E7C28" w14:textId="0B30BBBE" w:rsidR="004E3054" w:rsidRDefault="004E3054" w:rsidP="004E3054">
      <w:pPr>
        <w:spacing w:line="276" w:lineRule="auto"/>
        <w:ind w:firstLine="709"/>
        <w:jc w:val="both"/>
        <w:rPr>
          <w:rFonts w:ascii="Arial" w:eastAsia="Calibri" w:hAnsi="Arial" w:cs="Arial"/>
          <w:color w:val="000000" w:themeColor="text1"/>
          <w:lang w:val="es-ES_tradnl"/>
        </w:rPr>
      </w:pPr>
      <w:r w:rsidRPr="00117F45">
        <w:rPr>
          <w:rFonts w:ascii="Arial" w:eastAsia="Calibri" w:hAnsi="Arial" w:cs="Arial"/>
          <w:color w:val="000000" w:themeColor="text1"/>
          <w:lang w:val="es-ES_tradnl"/>
        </w:rPr>
        <w:t>En efecto, la Corte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117F45">
        <w:rPr>
          <w:rFonts w:ascii="Arial" w:eastAsia="Calibri" w:hAnsi="Arial" w:cs="Arial"/>
          <w:color w:val="000000" w:themeColor="text1"/>
          <w:vertAlign w:val="superscript"/>
          <w:lang w:val="es-ES_tradnl"/>
        </w:rPr>
        <w:footnoteReference w:id="12"/>
      </w:r>
      <w:r w:rsidRPr="00117F45">
        <w:rPr>
          <w:rFonts w:ascii="Arial" w:eastAsia="Calibri" w:hAnsi="Arial" w:cs="Arial"/>
          <w:color w:val="000000" w:themeColor="text1"/>
          <w:lang w:val="es-ES_tradnl"/>
        </w:rPr>
        <w:t xml:space="preserve">. Por su parte, el Consejo de Estado ha acogido también este criterio, considerando –como expresa la Sala de Consulta </w:t>
      </w:r>
      <w:r w:rsidRPr="00117F45">
        <w:rPr>
          <w:rFonts w:ascii="Arial" w:eastAsia="Calibri" w:hAnsi="Arial" w:cs="Arial"/>
          <w:color w:val="000000" w:themeColor="text1"/>
          <w:lang w:val="es-ES_tradnl"/>
        </w:rPr>
        <w:lastRenderedPageBreak/>
        <w:t>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117F45">
        <w:rPr>
          <w:rFonts w:ascii="Arial" w:eastAsia="Calibri" w:hAnsi="Arial" w:cs="Arial"/>
          <w:color w:val="000000" w:themeColor="text1"/>
          <w:vertAlign w:val="superscript"/>
          <w:lang w:val="es-ES_tradnl"/>
        </w:rPr>
        <w:footnoteReference w:id="13"/>
      </w:r>
      <w:r w:rsidRPr="00117F45">
        <w:rPr>
          <w:rFonts w:ascii="Arial" w:eastAsia="Calibri" w:hAnsi="Arial" w:cs="Arial"/>
          <w:color w:val="000000" w:themeColor="text1"/>
          <w:lang w:val="es-ES_tradnl"/>
        </w:rPr>
        <w:t>. En tal sentido, la Sección Tercera ha señalado que:</w:t>
      </w:r>
      <w:r w:rsidR="00092B28">
        <w:rPr>
          <w:rFonts w:ascii="Arial" w:eastAsia="Calibri" w:hAnsi="Arial" w:cs="Arial"/>
          <w:color w:val="000000" w:themeColor="text1"/>
          <w:lang w:val="es-ES_tradnl"/>
        </w:rPr>
        <w:t xml:space="preserve"> </w:t>
      </w:r>
    </w:p>
    <w:p w14:paraId="679F25D6" w14:textId="77777777" w:rsidR="00092B28" w:rsidRPr="00117F45" w:rsidRDefault="00092B28" w:rsidP="004E3054">
      <w:pPr>
        <w:spacing w:line="276" w:lineRule="auto"/>
        <w:ind w:firstLine="709"/>
        <w:jc w:val="both"/>
        <w:rPr>
          <w:rFonts w:ascii="Arial" w:eastAsia="Calibri" w:hAnsi="Arial" w:cs="Arial"/>
          <w:color w:val="000000" w:themeColor="text1"/>
          <w:lang w:val="es-ES_tradnl"/>
        </w:rPr>
      </w:pPr>
    </w:p>
    <w:p w14:paraId="3A6DBF35" w14:textId="77777777" w:rsidR="004E3054" w:rsidRPr="00117F45" w:rsidRDefault="004E3054" w:rsidP="004E3054">
      <w:pPr>
        <w:ind w:left="708" w:right="709"/>
        <w:jc w:val="both"/>
        <w:rPr>
          <w:rFonts w:ascii="Arial" w:eastAsia="Calibri" w:hAnsi="Arial" w:cs="Arial"/>
          <w:color w:val="000000" w:themeColor="text1"/>
          <w:sz w:val="21"/>
          <w:szCs w:val="21"/>
          <w:lang w:val="es-ES_tradnl"/>
        </w:rPr>
      </w:pPr>
      <w:r w:rsidRPr="00117F45">
        <w:rPr>
          <w:rFonts w:ascii="Arial" w:eastAsia="Calibri" w:hAnsi="Arial" w:cs="Arial"/>
          <w:color w:val="000000" w:themeColor="text1"/>
          <w:sz w:val="21"/>
          <w:szCs w:val="21"/>
          <w:lang w:val="es-ES_tradnl"/>
        </w:rPr>
        <w:t xml:space="preserve">«[…] de conformidad con la jurisprudencia uniforme y reiterada de esta Corporación, la aplicación de las normas que contemplan inhabilidades e incompatibilidades, como en general de todas aquellas que comportan prohibiciones o limitaciones, </w:t>
      </w:r>
    </w:p>
    <w:p w14:paraId="1F4D2255" w14:textId="77777777" w:rsidR="004E3054" w:rsidRPr="00117F45" w:rsidRDefault="004E3054" w:rsidP="004E3054">
      <w:pPr>
        <w:ind w:left="708" w:right="709"/>
        <w:jc w:val="both"/>
        <w:rPr>
          <w:rFonts w:ascii="Arial" w:eastAsia="Calibri" w:hAnsi="Arial" w:cs="Arial"/>
          <w:color w:val="000000" w:themeColor="text1"/>
          <w:sz w:val="21"/>
          <w:szCs w:val="21"/>
          <w:lang w:val="es-ES_tradnl"/>
        </w:rPr>
      </w:pPr>
      <w:r w:rsidRPr="00117F45">
        <w:rPr>
          <w:rFonts w:ascii="Arial" w:eastAsia="Calibri" w:hAnsi="Arial" w:cs="Arial"/>
          <w:color w:val="000000" w:themeColor="text1"/>
          <w:sz w:val="21"/>
          <w:szCs w:val="21"/>
          <w:lang w:val="es-ES_tradnl"/>
        </w:rPr>
        <w:t>deben responder a una interpretación restrictiva que no permite su extensión, por vía de la figura de la analogía, a supuestos no contemplados por el ordenamiento</w:t>
      </w:r>
      <w:r w:rsidRPr="00117F45">
        <w:rPr>
          <w:rFonts w:ascii="Arial" w:eastAsia="Calibri" w:hAnsi="Arial" w:cs="Arial"/>
          <w:color w:val="000000" w:themeColor="text1"/>
          <w:sz w:val="21"/>
          <w:szCs w:val="21"/>
          <w:vertAlign w:val="superscript"/>
          <w:lang w:val="es-ES_tradnl"/>
        </w:rPr>
        <w:footnoteReference w:id="14"/>
      </w:r>
      <w:r w:rsidRPr="00117F45">
        <w:rPr>
          <w:rFonts w:ascii="Arial" w:eastAsia="Calibri" w:hAnsi="Arial" w:cs="Arial"/>
          <w:color w:val="000000" w:themeColor="text1"/>
          <w:sz w:val="21"/>
          <w:szCs w:val="21"/>
          <w:lang w:val="es-ES_tradnl"/>
        </w:rPr>
        <w:t>.</w:t>
      </w:r>
    </w:p>
    <w:p w14:paraId="6D2AD4B1" w14:textId="77777777" w:rsidR="004E3054" w:rsidRPr="00117F45" w:rsidRDefault="004E3054" w:rsidP="004E3054">
      <w:pPr>
        <w:ind w:firstLine="708"/>
        <w:jc w:val="both"/>
        <w:rPr>
          <w:rFonts w:ascii="Arial" w:eastAsia="Calibri" w:hAnsi="Arial" w:cs="Arial"/>
          <w:color w:val="000000" w:themeColor="text1"/>
          <w:sz w:val="21"/>
          <w:szCs w:val="21"/>
          <w:lang w:val="es-ES_tradnl"/>
        </w:rPr>
      </w:pPr>
      <w:r w:rsidRPr="00117F45">
        <w:rPr>
          <w:rFonts w:ascii="Arial" w:eastAsia="Calibri" w:hAnsi="Arial" w:cs="Arial"/>
          <w:color w:val="000000" w:themeColor="text1"/>
          <w:sz w:val="21"/>
          <w:szCs w:val="21"/>
          <w:lang w:val="es-ES_tradnl"/>
        </w:rPr>
        <w:t>También ha dicho que:</w:t>
      </w:r>
    </w:p>
    <w:p w14:paraId="1F2E84E3" w14:textId="5F7B7D53" w:rsidR="004E3054" w:rsidRDefault="004E3054" w:rsidP="004E3054">
      <w:pPr>
        <w:ind w:left="708" w:right="709"/>
        <w:jc w:val="both"/>
        <w:rPr>
          <w:rFonts w:ascii="Arial" w:eastAsia="Calibri" w:hAnsi="Arial" w:cs="Arial"/>
          <w:color w:val="000000" w:themeColor="text1"/>
          <w:sz w:val="21"/>
          <w:szCs w:val="21"/>
          <w:lang w:val="es-ES_tradnl"/>
        </w:rPr>
      </w:pPr>
      <w:r w:rsidRPr="00117F45">
        <w:rPr>
          <w:rFonts w:ascii="Arial" w:eastAsia="Calibri" w:hAnsi="Arial" w:cs="Arial"/>
          <w:color w:val="000000" w:themeColor="text1"/>
          <w:sz w:val="21"/>
          <w:szCs w:val="21"/>
          <w:lang w:val="es-ES_tradnl"/>
        </w:rPr>
        <w:t xml:space="preserve">[…] la aplicación de estos preceptos exige una interpretación restrictiva, dado que según el principio hermenéutico </w:t>
      </w:r>
      <w:r w:rsidRPr="00117F45">
        <w:rPr>
          <w:rFonts w:ascii="Arial" w:eastAsia="Calibri" w:hAnsi="Arial" w:cs="Arial"/>
          <w:i/>
          <w:color w:val="000000" w:themeColor="text1"/>
          <w:sz w:val="21"/>
          <w:szCs w:val="21"/>
          <w:lang w:val="es-ES_tradnl"/>
        </w:rPr>
        <w:t xml:space="preserve">pro </w:t>
      </w:r>
      <w:proofErr w:type="spellStart"/>
      <w:r w:rsidRPr="00117F45">
        <w:rPr>
          <w:rFonts w:ascii="Arial" w:eastAsia="Calibri" w:hAnsi="Arial" w:cs="Arial"/>
          <w:i/>
          <w:color w:val="000000" w:themeColor="text1"/>
          <w:sz w:val="21"/>
          <w:szCs w:val="21"/>
          <w:lang w:val="es-ES_tradnl"/>
        </w:rPr>
        <w:t>libertate</w:t>
      </w:r>
      <w:proofErr w:type="spellEnd"/>
      <w:r w:rsidRPr="00117F45">
        <w:rPr>
          <w:rFonts w:ascii="Arial" w:eastAsia="Calibri"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117F45">
        <w:rPr>
          <w:rFonts w:ascii="Arial" w:eastAsia="Calibri" w:hAnsi="Arial" w:cs="Arial"/>
          <w:color w:val="000000" w:themeColor="text1"/>
          <w:sz w:val="21"/>
          <w:szCs w:val="21"/>
          <w:vertAlign w:val="superscript"/>
          <w:lang w:val="es-ES_tradnl"/>
        </w:rPr>
        <w:footnoteReference w:id="15"/>
      </w:r>
      <w:r w:rsidRPr="00117F45">
        <w:rPr>
          <w:rFonts w:ascii="Arial" w:eastAsia="Calibri" w:hAnsi="Arial" w:cs="Arial"/>
          <w:color w:val="000000" w:themeColor="text1"/>
          <w:sz w:val="21"/>
          <w:szCs w:val="21"/>
          <w:lang w:val="es-ES_tradnl"/>
        </w:rPr>
        <w:t>.</w:t>
      </w:r>
    </w:p>
    <w:p w14:paraId="1F83B94A" w14:textId="77777777" w:rsidR="00092B28" w:rsidRPr="00117F45" w:rsidRDefault="00092B28" w:rsidP="004E3054">
      <w:pPr>
        <w:ind w:left="708" w:right="709"/>
        <w:jc w:val="both"/>
        <w:rPr>
          <w:rFonts w:ascii="Arial" w:eastAsia="Calibri" w:hAnsi="Arial" w:cs="Arial"/>
          <w:color w:val="000000" w:themeColor="text1"/>
          <w:sz w:val="21"/>
          <w:szCs w:val="21"/>
          <w:lang w:val="es-ES_tradnl"/>
        </w:rPr>
      </w:pPr>
    </w:p>
    <w:p w14:paraId="56ACB23C" w14:textId="77777777" w:rsidR="004E3054" w:rsidRPr="00117F45" w:rsidRDefault="004E3054" w:rsidP="004E3054">
      <w:pPr>
        <w:spacing w:after="120" w:line="276" w:lineRule="auto"/>
        <w:ind w:firstLine="709"/>
        <w:jc w:val="both"/>
        <w:rPr>
          <w:rFonts w:ascii="Arial" w:eastAsia="Calibri" w:hAnsi="Arial" w:cs="Arial"/>
          <w:color w:val="000000" w:themeColor="text1"/>
        </w:rPr>
      </w:pPr>
      <w:r w:rsidRPr="00117F45">
        <w:rPr>
          <w:rFonts w:ascii="Arial" w:eastAsia="Calibri" w:hAnsi="Arial" w:cs="Arial"/>
          <w:color w:val="000000" w:themeColor="text1"/>
          <w:lang w:val="es-ES_tradnl"/>
        </w:rPr>
        <w:t xml:space="preserve">Como se aprecia, el principio </w:t>
      </w:r>
      <w:r w:rsidRPr="00117F45">
        <w:rPr>
          <w:rFonts w:ascii="Arial" w:eastAsia="Calibri" w:hAnsi="Arial" w:cs="Arial"/>
          <w:i/>
          <w:iCs/>
          <w:color w:val="000000" w:themeColor="text1"/>
          <w:lang w:val="es-ES_tradnl"/>
        </w:rPr>
        <w:t xml:space="preserve">pro </w:t>
      </w:r>
      <w:proofErr w:type="spellStart"/>
      <w:r w:rsidRPr="00117F45">
        <w:rPr>
          <w:rFonts w:ascii="Arial" w:eastAsia="Calibri" w:hAnsi="Arial" w:cs="Arial"/>
          <w:i/>
          <w:iCs/>
          <w:color w:val="000000" w:themeColor="text1"/>
          <w:lang w:val="es-ES_tradnl"/>
        </w:rPr>
        <w:t>libertate</w:t>
      </w:r>
      <w:proofErr w:type="spellEnd"/>
      <w:r w:rsidRPr="00117F45">
        <w:rPr>
          <w:rFonts w:ascii="Arial" w:eastAsia="Calibri" w:hAnsi="Arial" w:cs="Arial"/>
          <w:color w:val="000000" w:themeColor="text1"/>
          <w:lang w:val="es-ES_tradnl"/>
        </w:rPr>
        <w:t xml:space="preserve"> es el que debe dirigir la interpretación de las disposiciones normativas que consagran restricciones de derechos, como sucede con las causales de inhabilidad e incompatibilidad en la contratación estatal. El carácter reconocidamente taxativo y restrictivo de régimen de inhabilidades obedece a la necesidad de salvaguardar el interés general inherente en la contratación pública, de forma que implique el menor sacrificio </w:t>
      </w:r>
      <w:r w:rsidRPr="00117F45">
        <w:rPr>
          <w:rFonts w:ascii="Arial" w:eastAsia="Calibri" w:hAnsi="Arial" w:cs="Arial"/>
          <w:color w:val="000000" w:themeColor="text1"/>
          <w:lang w:val="es-ES_tradnl"/>
        </w:rPr>
        <w:lastRenderedPageBreak/>
        <w:t>posible al derecho de igualdad y de reconocimiento de la personalidad jurídica de quienes aspiran a contratar con el Estado</w:t>
      </w:r>
      <w:r w:rsidRPr="00117F45">
        <w:rPr>
          <w:rFonts w:ascii="Arial" w:eastAsia="Calibri" w:hAnsi="Arial" w:cs="Arial"/>
          <w:color w:val="000000" w:themeColor="text1"/>
        </w:rPr>
        <w:t xml:space="preserve">. </w:t>
      </w:r>
    </w:p>
    <w:p w14:paraId="3A3E835C" w14:textId="17B3B457" w:rsidR="004E3054" w:rsidRDefault="004E3054" w:rsidP="004E3054">
      <w:pPr>
        <w:spacing w:line="276" w:lineRule="auto"/>
        <w:ind w:firstLine="708"/>
        <w:jc w:val="both"/>
        <w:rPr>
          <w:rFonts w:ascii="Arial" w:eastAsia="Calibri" w:hAnsi="Arial" w:cs="Arial"/>
          <w:color w:val="000000" w:themeColor="text1"/>
        </w:rPr>
      </w:pPr>
      <w:r w:rsidRPr="00117F45">
        <w:rPr>
          <w:rFonts w:ascii="Arial" w:eastAsia="Calibri" w:hAnsi="Arial" w:cs="Arial"/>
          <w:color w:val="000000" w:themeColor="text1"/>
        </w:rPr>
        <w:t xml:space="preserve">Finalmente, resulta importante aclarar que el régimen jurídico de inhabilidades e incompatibilidades aplicable a la contratación estatal se encuentra en los artículos 8 y siguientes de la Ley 80 de 1993. De manera que, como se pasa a explicar en el acápite siguiente, por regla general no resulta extrapolable a la contratación estatal la normativa en materia de control disciplinario establecida en la Ley 734 de 2002 y en la </w:t>
      </w:r>
      <w:r w:rsidRPr="00117F45">
        <w:rPr>
          <w:rFonts w:ascii="Arial" w:eastAsia="Calibri" w:hAnsi="Arial" w:cs="Arial"/>
          <w:color w:val="000000" w:themeColor="text1"/>
          <w:lang w:val="es-MX"/>
        </w:rPr>
        <w:t>Ley 1952 de 2019</w:t>
      </w:r>
      <w:r w:rsidRPr="00117F45">
        <w:rPr>
          <w:rFonts w:ascii="Arial" w:eastAsia="Calibri" w:hAnsi="Arial" w:cs="Arial"/>
          <w:color w:val="000000" w:themeColor="text1"/>
        </w:rPr>
        <w:t>, a excepción de las excepciones específicas establecidas en dicha normativa y en la jurisprudencia.</w:t>
      </w:r>
    </w:p>
    <w:p w14:paraId="641A1D55" w14:textId="77777777" w:rsidR="00BC28C1" w:rsidRPr="00117F45" w:rsidRDefault="00BC28C1" w:rsidP="004E3054">
      <w:pPr>
        <w:spacing w:line="276" w:lineRule="auto"/>
        <w:ind w:firstLine="708"/>
        <w:jc w:val="both"/>
        <w:rPr>
          <w:rFonts w:ascii="Arial" w:eastAsia="Calibri" w:hAnsi="Arial" w:cs="Arial"/>
          <w:color w:val="000000" w:themeColor="text1"/>
        </w:rPr>
      </w:pPr>
    </w:p>
    <w:p w14:paraId="0B4238EA" w14:textId="58D7A754" w:rsidR="004E3054" w:rsidRPr="00117F45" w:rsidRDefault="004E3054" w:rsidP="004E3054">
      <w:pPr>
        <w:spacing w:line="276" w:lineRule="auto"/>
        <w:jc w:val="both"/>
        <w:rPr>
          <w:rFonts w:ascii="Arial" w:eastAsia="Calibri" w:hAnsi="Arial" w:cs="Arial"/>
          <w:b/>
          <w:bCs/>
          <w:color w:val="000000" w:themeColor="text1"/>
        </w:rPr>
      </w:pPr>
      <w:r w:rsidRPr="00117F45">
        <w:rPr>
          <w:rFonts w:ascii="Arial" w:eastAsia="Calibri" w:hAnsi="Arial" w:cs="Arial"/>
          <w:b/>
          <w:bCs/>
          <w:color w:val="000000" w:themeColor="text1"/>
        </w:rPr>
        <w:t xml:space="preserve">2.2 </w:t>
      </w:r>
      <w:bookmarkStart w:id="8" w:name="_Hlk127197330"/>
      <w:r w:rsidRPr="00117F45">
        <w:rPr>
          <w:rFonts w:ascii="Arial" w:eastAsia="Calibri" w:hAnsi="Arial" w:cs="Arial"/>
          <w:b/>
          <w:bCs/>
          <w:color w:val="000000" w:themeColor="text1"/>
        </w:rPr>
        <w:t>Prohibición para que funcionarios y exservidores públicos gestionen intereses privados</w:t>
      </w:r>
      <w:r w:rsidRPr="00117F45" w:rsidDel="00BD2338">
        <w:rPr>
          <w:rFonts w:ascii="Arial" w:eastAsia="Calibri" w:hAnsi="Arial" w:cs="Arial"/>
          <w:b/>
          <w:bCs/>
          <w:color w:val="000000" w:themeColor="text1"/>
        </w:rPr>
        <w:t xml:space="preserve"> </w:t>
      </w:r>
      <w:bookmarkEnd w:id="8"/>
    </w:p>
    <w:p w14:paraId="643B2FBC" w14:textId="77777777" w:rsidR="004E3054" w:rsidRPr="00117F45" w:rsidRDefault="004E3054" w:rsidP="004E3054">
      <w:pPr>
        <w:spacing w:line="276" w:lineRule="auto"/>
        <w:jc w:val="both"/>
        <w:rPr>
          <w:rFonts w:ascii="Arial" w:eastAsia="Calibri" w:hAnsi="Arial" w:cs="Arial"/>
          <w:b/>
          <w:bCs/>
          <w:color w:val="000000" w:themeColor="text1"/>
        </w:rPr>
      </w:pPr>
    </w:p>
    <w:p w14:paraId="068E3058" w14:textId="58E43AC4" w:rsidR="004E3054" w:rsidRPr="00117F45" w:rsidRDefault="004E3054" w:rsidP="004E3054">
      <w:pPr>
        <w:spacing w:line="276" w:lineRule="auto"/>
        <w:jc w:val="both"/>
        <w:rPr>
          <w:rFonts w:ascii="Arial" w:eastAsia="Calibri" w:hAnsi="Arial" w:cs="Arial"/>
          <w:color w:val="000000" w:themeColor="text1"/>
        </w:rPr>
      </w:pPr>
      <w:r w:rsidRPr="00117F45">
        <w:rPr>
          <w:rStyle w:val="normaltextrun"/>
          <w:rFonts w:ascii="Arial" w:hAnsi="Arial" w:cs="Arial"/>
          <w:color w:val="000000"/>
          <w:bdr w:val="none" w:sz="0" w:space="0" w:color="auto" w:frame="1"/>
          <w:lang w:val="es-ES"/>
        </w:rPr>
        <w:t xml:space="preserve">El artículo 35, numeral 22 de la Ley 734 de 2002, contentiva del Código Disciplinario único, </w:t>
      </w:r>
      <w:r w:rsidRPr="00117F45">
        <w:rPr>
          <w:rStyle w:val="normaltextrun"/>
          <w:rFonts w:ascii="Arial" w:hAnsi="Arial" w:cs="Arial"/>
          <w:color w:val="000000"/>
          <w:sz w:val="22"/>
          <w:szCs w:val="22"/>
          <w:bdr w:val="none" w:sz="0" w:space="0" w:color="auto" w:frame="1"/>
          <w:lang w:val="es-ES"/>
        </w:rPr>
        <w:t>esta</w:t>
      </w:r>
      <w:r w:rsidRPr="00117F45">
        <w:rPr>
          <w:rStyle w:val="normaltextrun"/>
          <w:rFonts w:ascii="Arial" w:hAnsi="Arial" w:cs="Arial"/>
          <w:color w:val="000000"/>
          <w:bdr w:val="none" w:sz="0" w:space="0" w:color="auto" w:frame="1"/>
          <w:lang w:val="es-ES"/>
        </w:rPr>
        <w:t>bleció en su momento una prohibición dirigida a los funcionarios y exfuncionarios públicos, en virtud de la cual estaba proscrita servicios de asistencia, representación o asesoría en asuntos relacionados con las funciones propias del cargo. El texto de esta disposición</w:t>
      </w:r>
      <w:r w:rsidRPr="00117F45">
        <w:rPr>
          <w:rFonts w:ascii="Arial" w:eastAsia="Calibri" w:hAnsi="Arial" w:cs="Arial"/>
          <w:color w:val="000000" w:themeColor="text1"/>
        </w:rPr>
        <w:t>, modificado por el artículo 3° de la Ley 1474 de 2011, señalaba lo siguiente:</w:t>
      </w:r>
    </w:p>
    <w:p w14:paraId="17E15073" w14:textId="77777777" w:rsidR="004E3054" w:rsidRPr="00117F45" w:rsidRDefault="004E3054" w:rsidP="004E3054">
      <w:pPr>
        <w:shd w:val="clear" w:color="auto" w:fill="FFFFFF"/>
        <w:spacing w:after="100" w:afterAutospacing="1" w:line="276" w:lineRule="auto"/>
        <w:ind w:left="709" w:right="709"/>
        <w:jc w:val="both"/>
        <w:rPr>
          <w:rFonts w:ascii="Arial" w:eastAsia="Calibri" w:hAnsi="Arial" w:cs="Arial"/>
          <w:color w:val="000000" w:themeColor="text1"/>
          <w:sz w:val="21"/>
          <w:szCs w:val="21"/>
          <w:lang w:val="es-ES_tradnl"/>
        </w:rPr>
      </w:pPr>
      <w:r w:rsidRPr="00117F45">
        <w:rPr>
          <w:rFonts w:ascii="Arial" w:eastAsia="Calibri" w:hAnsi="Arial" w:cs="Arial"/>
          <w:color w:val="000000" w:themeColor="text1"/>
          <w:lang w:val="es-ES_tradnl"/>
        </w:rPr>
        <w:t>«</w:t>
      </w:r>
      <w:r w:rsidRPr="00117F45">
        <w:rPr>
          <w:rStyle w:val="Textoennegrita"/>
          <w:rFonts w:ascii="Arial" w:hAnsi="Arial" w:cs="Arial"/>
          <w:color w:val="000000"/>
          <w:sz w:val="20"/>
          <w:szCs w:val="20"/>
        </w:rPr>
        <w:t xml:space="preserve">Artículo </w:t>
      </w:r>
      <w:proofErr w:type="gramStart"/>
      <w:r w:rsidRPr="00117F45">
        <w:rPr>
          <w:rStyle w:val="Textoennegrita"/>
          <w:rFonts w:ascii="Arial" w:hAnsi="Arial" w:cs="Arial"/>
          <w:color w:val="000000"/>
          <w:sz w:val="20"/>
          <w:szCs w:val="20"/>
        </w:rPr>
        <w:t>35.</w:t>
      </w:r>
      <w:r w:rsidRPr="00117F45">
        <w:rPr>
          <w:rStyle w:val="nfasis"/>
          <w:rFonts w:ascii="Arial" w:hAnsi="Arial" w:cs="Arial"/>
          <w:color w:val="000000"/>
          <w:sz w:val="20"/>
          <w:szCs w:val="20"/>
        </w:rPr>
        <w:t>Prohibiciones</w:t>
      </w:r>
      <w:proofErr w:type="gramEnd"/>
      <w:r w:rsidRPr="00117F45">
        <w:rPr>
          <w:rFonts w:ascii="Arial" w:hAnsi="Arial" w:cs="Arial"/>
          <w:color w:val="000000"/>
          <w:sz w:val="20"/>
          <w:szCs w:val="20"/>
        </w:rPr>
        <w:t>. A todo servidor público le está prohibido: </w:t>
      </w:r>
      <w:r w:rsidRPr="00117F45">
        <w:rPr>
          <w:rFonts w:ascii="Arial" w:eastAsia="Calibri" w:hAnsi="Arial" w:cs="Arial"/>
          <w:color w:val="000000" w:themeColor="text1"/>
          <w:sz w:val="21"/>
          <w:szCs w:val="21"/>
          <w:lang w:val="es-ES_tradnl"/>
        </w:rPr>
        <w:t xml:space="preserve"> </w:t>
      </w:r>
    </w:p>
    <w:p w14:paraId="39D81342" w14:textId="77777777" w:rsidR="004E3054" w:rsidRPr="00117F45" w:rsidRDefault="004E3054" w:rsidP="004E3054">
      <w:pPr>
        <w:shd w:val="clear" w:color="auto" w:fill="FFFFFF"/>
        <w:spacing w:after="100" w:afterAutospacing="1" w:line="276" w:lineRule="auto"/>
        <w:ind w:left="709" w:right="709"/>
        <w:jc w:val="both"/>
        <w:rPr>
          <w:rFonts w:ascii="Arial" w:eastAsia="Calibri" w:hAnsi="Arial" w:cs="Arial"/>
          <w:color w:val="000000" w:themeColor="text1"/>
          <w:sz w:val="21"/>
          <w:szCs w:val="21"/>
          <w:lang w:val="es-ES_tradnl"/>
        </w:rPr>
      </w:pPr>
      <w:r w:rsidRPr="00117F45">
        <w:rPr>
          <w:rFonts w:ascii="Arial" w:eastAsia="Calibri" w:hAnsi="Arial" w:cs="Arial"/>
          <w:color w:val="000000" w:themeColor="text1"/>
          <w:sz w:val="21"/>
          <w:szCs w:val="21"/>
          <w:lang w:val="es-ES_tradnl"/>
        </w:rPr>
        <w:t>[…]</w:t>
      </w:r>
    </w:p>
    <w:p w14:paraId="3167AFC2" w14:textId="77777777" w:rsidR="004E3054" w:rsidRPr="00117F45" w:rsidRDefault="004E3054" w:rsidP="004E3054">
      <w:pPr>
        <w:shd w:val="clear" w:color="auto" w:fill="FFFFFF"/>
        <w:spacing w:after="100" w:afterAutospacing="1" w:line="276" w:lineRule="auto"/>
        <w:ind w:left="709" w:right="709"/>
        <w:jc w:val="both"/>
        <w:rPr>
          <w:rFonts w:ascii="Arial" w:eastAsia="Calibri" w:hAnsi="Arial" w:cs="Arial"/>
          <w:i/>
          <w:color w:val="000000" w:themeColor="text1"/>
          <w:sz w:val="21"/>
          <w:szCs w:val="21"/>
          <w:lang w:val="es-ES_tradnl"/>
        </w:rPr>
      </w:pPr>
      <w:r w:rsidRPr="00117F45">
        <w:rPr>
          <w:rFonts w:ascii="Arial" w:eastAsia="Calibri" w:hAnsi="Arial" w:cs="Arial"/>
          <w:i/>
          <w:color w:val="000000" w:themeColor="text1"/>
          <w:sz w:val="21"/>
          <w:szCs w:val="21"/>
          <w:lang w:val="es-ES_tradnl"/>
        </w:rPr>
        <w:t>22. 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r w:rsidRPr="00117F45">
        <w:rPr>
          <w:rFonts w:ascii="Arial" w:eastAsia="Calibri" w:hAnsi="Arial" w:cs="Arial"/>
          <w:color w:val="000000" w:themeColor="text1"/>
          <w:sz w:val="21"/>
          <w:szCs w:val="21"/>
          <w:lang w:val="es-ES_tradnl"/>
        </w:rPr>
        <w:t>»</w:t>
      </w:r>
      <w:r w:rsidRPr="00117F45">
        <w:rPr>
          <w:rFonts w:ascii="Arial" w:eastAsia="Calibri" w:hAnsi="Arial" w:cs="Arial"/>
          <w:i/>
          <w:iCs/>
          <w:color w:val="000000" w:themeColor="text1"/>
          <w:sz w:val="21"/>
          <w:szCs w:val="21"/>
          <w:lang w:val="es-ES_tradnl"/>
        </w:rPr>
        <w:t xml:space="preserve"> </w:t>
      </w:r>
      <w:r w:rsidRPr="00117F45">
        <w:rPr>
          <w:rFonts w:ascii="Arial" w:eastAsia="Calibri" w:hAnsi="Arial" w:cs="Arial"/>
          <w:color w:val="000000" w:themeColor="text1"/>
          <w:sz w:val="21"/>
          <w:szCs w:val="21"/>
          <w:lang w:val="es-ES_tradnl"/>
        </w:rPr>
        <w:t>[Énfasis fuera de texto]</w:t>
      </w:r>
      <w:r w:rsidRPr="00117F45">
        <w:rPr>
          <w:rFonts w:ascii="Arial" w:eastAsia="Calibri" w:hAnsi="Arial" w:cs="Arial"/>
          <w:i/>
          <w:iCs/>
          <w:color w:val="000000" w:themeColor="text1"/>
          <w:sz w:val="21"/>
          <w:szCs w:val="21"/>
          <w:lang w:val="es-ES_tradnl"/>
        </w:rPr>
        <w:t>.</w:t>
      </w:r>
    </w:p>
    <w:p w14:paraId="71CE64B7" w14:textId="77777777" w:rsidR="004E3054" w:rsidRPr="00117F45" w:rsidRDefault="004E3054" w:rsidP="004E3054">
      <w:pPr>
        <w:shd w:val="clear" w:color="auto" w:fill="FFFFFF"/>
        <w:spacing w:after="120" w:line="276" w:lineRule="auto"/>
        <w:ind w:firstLine="709"/>
        <w:jc w:val="both"/>
        <w:rPr>
          <w:rStyle w:val="normaltextrun"/>
          <w:rFonts w:ascii="Arial" w:hAnsi="Arial" w:cs="Arial"/>
          <w:color w:val="000000"/>
          <w:bdr w:val="none" w:sz="0" w:space="0" w:color="auto" w:frame="1"/>
          <w:lang w:val="es-ES"/>
        </w:rPr>
      </w:pPr>
      <w:r w:rsidRPr="00117F45">
        <w:rPr>
          <w:rStyle w:val="normaltextrun"/>
          <w:rFonts w:ascii="Arial" w:hAnsi="Arial" w:cs="Arial"/>
          <w:color w:val="000000"/>
          <w:bdr w:val="none" w:sz="0" w:space="0" w:color="auto" w:frame="1"/>
          <w:lang w:val="es-ES"/>
        </w:rPr>
        <w:t xml:space="preserve">De acuerdo con el artículo citado, un empleado no podría prestar, a título personal o por interpuesta persona, servicios de asistencia, representación o asesoría en asuntos relacionados con las funciones propias del cargo, con respecto </w:t>
      </w:r>
      <w:r w:rsidRPr="00117F45">
        <w:rPr>
          <w:rStyle w:val="normaltextrun"/>
          <w:rFonts w:ascii="Arial" w:hAnsi="Arial" w:cs="Arial"/>
          <w:color w:val="000000"/>
          <w:bdr w:val="none" w:sz="0" w:space="0" w:color="auto" w:frame="1"/>
          <w:lang w:val="es-ES"/>
        </w:rPr>
        <w:lastRenderedPageBreak/>
        <w:t xml:space="preserve">de la entidad en la cual presta sus servicios. Tampoco podría prestar servicios de asistencia, representación o asesoría a quienes están sujetos a la inspección, vigilancia, control o regulación de la entidad, corporación u organismos al que está vinculado. De acuerdo con el texto de esta prohibición introducido por el artículo 3 de la Ley 1474 de 2011, su ámbito de aplicación se extendía durante el término de permanencia en el respectivo empleo y hasta por el periodo de dos años contados a partir de su dejación, lo que redundaba en la imposibilidad de que los exfuncionarios se vincularan como contratistas durante dicho periodo, para desempeñar objetos asociados a los asuntos que fueron de su conocimiento mientras estuvieron vinculados como empleados públicos.  </w:t>
      </w:r>
    </w:p>
    <w:p w14:paraId="15FAA603" w14:textId="77777777" w:rsidR="004E3054" w:rsidRPr="00117F45" w:rsidRDefault="004E3054" w:rsidP="004E3054">
      <w:pPr>
        <w:shd w:val="clear" w:color="auto" w:fill="FFFFFF"/>
        <w:spacing w:after="100" w:afterAutospacing="1" w:line="276" w:lineRule="auto"/>
        <w:ind w:firstLine="708"/>
        <w:jc w:val="both"/>
        <w:rPr>
          <w:rStyle w:val="normaltextrun"/>
          <w:rFonts w:ascii="Arial" w:hAnsi="Arial" w:cs="Arial"/>
          <w:color w:val="000000"/>
          <w:bdr w:val="none" w:sz="0" w:space="0" w:color="auto" w:frame="1"/>
          <w:lang w:val="es-ES"/>
        </w:rPr>
      </w:pPr>
      <w:r w:rsidRPr="00117F45">
        <w:rPr>
          <w:rStyle w:val="normaltextrun"/>
          <w:rFonts w:ascii="Arial" w:hAnsi="Arial" w:cs="Arial"/>
          <w:color w:val="000000"/>
          <w:bdr w:val="none" w:sz="0" w:space="0" w:color="auto" w:frame="1"/>
          <w:lang w:val="es-ES"/>
        </w:rPr>
        <w:t xml:space="preserve">Sin embargo, el 28 de enero de 2019, se expidió la Ley 1952 «Por medio de la cual se expide el código general disciplinario se derogan la Ley 734 de 2002 y algunas disposiciones de la ley 1474 de 2011, relacionadas con el derecho disciplinario». Es importante señalar que la mencionada norma en el artículo 56 estableció un conjunto de faltas disciplinarias particularmente relacionadas con el régimen de incompatibilidades, inhabilidades, impedimentos y conflictos de intereses de los servidores públicos, las cuales son relevantes para el tema objeto de consulta. </w:t>
      </w:r>
    </w:p>
    <w:p w14:paraId="4BBF795C" w14:textId="77777777" w:rsidR="004E3054" w:rsidRPr="00117F45" w:rsidRDefault="004E3054" w:rsidP="004E3054">
      <w:pPr>
        <w:shd w:val="clear" w:color="auto" w:fill="FFFFFF"/>
        <w:ind w:left="709" w:right="709"/>
        <w:jc w:val="both"/>
        <w:rPr>
          <w:rFonts w:ascii="Arial" w:hAnsi="Arial" w:cs="Arial"/>
          <w:sz w:val="21"/>
          <w:szCs w:val="21"/>
        </w:rPr>
      </w:pPr>
      <w:r w:rsidRPr="00117F45">
        <w:rPr>
          <w:rFonts w:ascii="Arial" w:hAnsi="Arial" w:cs="Arial"/>
          <w:sz w:val="21"/>
          <w:szCs w:val="21"/>
          <w:lang w:eastAsia="en-US"/>
        </w:rPr>
        <w:t>«</w:t>
      </w:r>
      <w:r w:rsidRPr="00117F45">
        <w:rPr>
          <w:rFonts w:ascii="Arial" w:hAnsi="Arial" w:cs="Arial"/>
          <w:sz w:val="21"/>
          <w:szCs w:val="21"/>
        </w:rPr>
        <w:t xml:space="preserve">Artículo </w:t>
      </w:r>
      <w:r w:rsidRPr="00117F45">
        <w:rPr>
          <w:rFonts w:ascii="Arial" w:hAnsi="Arial" w:cs="Arial"/>
          <w:sz w:val="21"/>
          <w:szCs w:val="21"/>
          <w:lang w:eastAsia="en-US"/>
        </w:rPr>
        <w:t>56. Faltas relacionadas con el régimen de incompatibilidades, inhabilidades, impedimentos y conflictos de intereses.</w:t>
      </w:r>
    </w:p>
    <w:p w14:paraId="0B9FA813" w14:textId="77777777" w:rsidR="004E3054" w:rsidRPr="00117F45" w:rsidRDefault="004E3054" w:rsidP="004E3054">
      <w:pPr>
        <w:shd w:val="clear" w:color="auto" w:fill="FFFFFF"/>
        <w:ind w:left="709" w:right="709"/>
        <w:jc w:val="both"/>
        <w:rPr>
          <w:rFonts w:ascii="Arial" w:hAnsi="Arial" w:cs="Arial"/>
          <w:sz w:val="21"/>
          <w:szCs w:val="21"/>
          <w:lang w:eastAsia="en-US"/>
        </w:rPr>
      </w:pPr>
    </w:p>
    <w:p w14:paraId="06FF98BA" w14:textId="77777777" w:rsidR="004E3054" w:rsidRPr="00117F45" w:rsidRDefault="004E3054" w:rsidP="004E3054">
      <w:pPr>
        <w:shd w:val="clear" w:color="auto" w:fill="FFFFFF"/>
        <w:spacing w:after="100" w:afterAutospacing="1"/>
        <w:ind w:left="709" w:right="709"/>
        <w:jc w:val="both"/>
        <w:rPr>
          <w:rFonts w:ascii="Arial" w:hAnsi="Arial" w:cs="Arial"/>
          <w:sz w:val="21"/>
          <w:szCs w:val="21"/>
        </w:rPr>
      </w:pPr>
      <w:r w:rsidRPr="00117F45">
        <w:rPr>
          <w:rFonts w:ascii="Arial" w:hAnsi="Arial" w:cs="Arial"/>
          <w:sz w:val="21"/>
          <w:szCs w:val="21"/>
        </w:rPr>
        <w:t>1. Actuar u omitir, a pesar de la existencia de causales de incompatibilidad, inhabilidad y conflicto de intereses, de acuerdo con las previsiones constitucionales y legales.</w:t>
      </w:r>
    </w:p>
    <w:p w14:paraId="1692D769" w14:textId="77777777" w:rsidR="004E3054" w:rsidRPr="00117F45" w:rsidRDefault="004E3054" w:rsidP="004E3054">
      <w:pPr>
        <w:shd w:val="clear" w:color="auto" w:fill="FFFFFF"/>
        <w:spacing w:after="100" w:afterAutospacing="1"/>
        <w:ind w:left="709" w:right="709"/>
        <w:jc w:val="both"/>
        <w:rPr>
          <w:rFonts w:ascii="Arial" w:hAnsi="Arial" w:cs="Arial"/>
          <w:sz w:val="21"/>
          <w:szCs w:val="21"/>
        </w:rPr>
      </w:pPr>
      <w:r w:rsidRPr="00117F45">
        <w:rPr>
          <w:rFonts w:ascii="Arial" w:hAnsi="Arial" w:cs="Arial"/>
          <w:sz w:val="21"/>
          <w:szCs w:val="21"/>
        </w:rPr>
        <w:t>2. Nombrar, designar, elegir, postular o intervenir en la postulación de una persona a sabiendas de que en ella concurre causal de inhabilidad, incompatibilidad o conflicto de intereses.</w:t>
      </w:r>
    </w:p>
    <w:p w14:paraId="1A5EA7B2" w14:textId="77777777" w:rsidR="004E3054" w:rsidRPr="00117F45" w:rsidRDefault="004E3054" w:rsidP="004E3054">
      <w:pPr>
        <w:shd w:val="clear" w:color="auto" w:fill="FFFFFF"/>
        <w:spacing w:after="100" w:afterAutospacing="1"/>
        <w:ind w:left="709" w:right="709"/>
        <w:jc w:val="both"/>
        <w:rPr>
          <w:rFonts w:ascii="Arial" w:hAnsi="Arial" w:cs="Arial"/>
          <w:sz w:val="21"/>
          <w:szCs w:val="21"/>
        </w:rPr>
      </w:pPr>
      <w:r w:rsidRPr="00117F45">
        <w:rPr>
          <w:rFonts w:ascii="Arial" w:hAnsi="Arial" w:cs="Arial"/>
          <w:sz w:val="21"/>
          <w:szCs w:val="21"/>
        </w:rPr>
        <w:t xml:space="preserve">3. Contraer obligaciones con personas naturales o jurídicas con las cuales se tengan relaciones oficiales </w:t>
      </w:r>
      <w:proofErr w:type="gramStart"/>
      <w:r w:rsidRPr="00117F45">
        <w:rPr>
          <w:rFonts w:ascii="Arial" w:hAnsi="Arial" w:cs="Arial"/>
          <w:sz w:val="21"/>
          <w:szCs w:val="21"/>
        </w:rPr>
        <w:t>en razón del</w:t>
      </w:r>
      <w:proofErr w:type="gramEnd"/>
      <w:r w:rsidRPr="00117F45">
        <w:rPr>
          <w:rFonts w:ascii="Arial" w:hAnsi="Arial" w:cs="Arial"/>
          <w:sz w:val="21"/>
          <w:szCs w:val="21"/>
        </w:rPr>
        <w:t xml:space="preserve"> cargo que desempeña violando el régimen de inhabilidades e incompatibilidades señaladas en las normas vigentes.</w:t>
      </w:r>
    </w:p>
    <w:p w14:paraId="3C541541" w14:textId="77777777" w:rsidR="004E3054" w:rsidRPr="00117F45" w:rsidRDefault="004E3054" w:rsidP="004E3054">
      <w:pPr>
        <w:shd w:val="clear" w:color="auto" w:fill="FFFFFF"/>
        <w:spacing w:after="100" w:afterAutospacing="1"/>
        <w:ind w:left="709" w:right="709"/>
        <w:jc w:val="both"/>
        <w:rPr>
          <w:rFonts w:ascii="Arial" w:hAnsi="Arial" w:cs="Arial"/>
          <w:i/>
          <w:sz w:val="21"/>
          <w:szCs w:val="21"/>
        </w:rPr>
      </w:pPr>
      <w:r w:rsidRPr="00117F45">
        <w:rPr>
          <w:rFonts w:ascii="Arial" w:hAnsi="Arial" w:cs="Arial"/>
          <w:sz w:val="21"/>
          <w:szCs w:val="21"/>
        </w:rPr>
        <w:t xml:space="preserve">4. Prestar, a título personal o por interpuesta persona, servicios de asistencia, representación o asesoría en asuntos relacionados con las funciones propias del cargo, </w:t>
      </w:r>
      <w:r w:rsidRPr="00117F45">
        <w:rPr>
          <w:rFonts w:ascii="Arial" w:hAnsi="Arial" w:cs="Arial"/>
          <w:i/>
          <w:sz w:val="21"/>
          <w:szCs w:val="21"/>
        </w:rPr>
        <w:t xml:space="preserve">o permitir que ello ocurra, hasta por el término de </w:t>
      </w:r>
      <w:r w:rsidRPr="00117F45">
        <w:rPr>
          <w:rFonts w:ascii="Arial" w:hAnsi="Arial" w:cs="Arial"/>
          <w:b/>
          <w:i/>
          <w:sz w:val="21"/>
          <w:szCs w:val="21"/>
        </w:rPr>
        <w:t>un (1) año</w:t>
      </w:r>
      <w:r w:rsidRPr="00117F45">
        <w:rPr>
          <w:rFonts w:ascii="Arial" w:hAnsi="Arial" w:cs="Arial"/>
          <w:i/>
          <w:sz w:val="21"/>
          <w:szCs w:val="21"/>
        </w:rPr>
        <w:t xml:space="preserve"> después de </w:t>
      </w:r>
      <w:r w:rsidRPr="00117F45">
        <w:rPr>
          <w:rFonts w:ascii="Arial" w:hAnsi="Arial" w:cs="Arial"/>
          <w:i/>
          <w:sz w:val="21"/>
          <w:szCs w:val="21"/>
        </w:rPr>
        <w:lastRenderedPageBreak/>
        <w:t>la dejación del cargo, con respecto del organismo, entidad o corporación en la cual presto sus servicios, y para la prestación de servicios de asistencia, representación o asesoría a quienes estuvieron sujetos a la inspección, vigilancia, control o regulación de la entidad, corporación u organismo al que haya estado vinculado.</w:t>
      </w:r>
    </w:p>
    <w:p w14:paraId="00C0444C" w14:textId="77777777" w:rsidR="004E3054" w:rsidRPr="00117F45" w:rsidRDefault="004E3054" w:rsidP="004E3054">
      <w:pPr>
        <w:shd w:val="clear" w:color="auto" w:fill="FFFFFF"/>
        <w:spacing w:after="100" w:afterAutospacing="1"/>
        <w:ind w:left="709" w:right="709"/>
        <w:jc w:val="both"/>
        <w:rPr>
          <w:rFonts w:ascii="Arial" w:hAnsi="Arial" w:cs="Arial"/>
          <w:sz w:val="21"/>
          <w:szCs w:val="21"/>
        </w:rPr>
      </w:pPr>
      <w:r w:rsidRPr="00117F45">
        <w:rPr>
          <w:rFonts w:ascii="Arial" w:hAnsi="Arial" w:cs="Arial"/>
          <w:sz w:val="21"/>
          <w:szCs w:val="21"/>
        </w:rPr>
        <w:t>Esta incompatibilidad será indefinida en el tiempo respecto de los asuntos concretos de los cuales el servidor público conoció en ejercicio de sus funciones.</w:t>
      </w:r>
    </w:p>
    <w:p w14:paraId="6B08B760" w14:textId="77777777" w:rsidR="004E3054" w:rsidRPr="00117F45" w:rsidRDefault="004E3054" w:rsidP="004E3054">
      <w:pPr>
        <w:shd w:val="clear" w:color="auto" w:fill="FFFFFF"/>
        <w:spacing w:after="100" w:afterAutospacing="1"/>
        <w:ind w:left="709" w:right="709"/>
        <w:jc w:val="both"/>
        <w:rPr>
          <w:rFonts w:ascii="Arial" w:hAnsi="Arial" w:cs="Arial"/>
          <w:sz w:val="21"/>
          <w:szCs w:val="21"/>
        </w:rPr>
      </w:pPr>
      <w:r w:rsidRPr="00117F45">
        <w:rPr>
          <w:rFonts w:ascii="Arial" w:hAnsi="Arial" w:cs="Arial"/>
          <w:sz w:val="21"/>
          <w:szCs w:val="21"/>
        </w:rPr>
        <w:t>Se entiende por asuntos concretos de los cuales conoció en ejercicio de sus funciones aquellos de carácter particular y concreto que fueron objeto de decisión durante el ejercicio de sus funciones y de los cuales existen sujetos claramente determinados.</w:t>
      </w:r>
    </w:p>
    <w:p w14:paraId="486FDEAD" w14:textId="77777777" w:rsidR="004E3054" w:rsidRPr="00117F45" w:rsidRDefault="004E3054" w:rsidP="004E3054">
      <w:pPr>
        <w:shd w:val="clear" w:color="auto" w:fill="FFFFFF"/>
        <w:spacing w:after="100" w:afterAutospacing="1"/>
        <w:ind w:left="709" w:right="709"/>
        <w:jc w:val="both"/>
        <w:rPr>
          <w:rFonts w:ascii="Arial" w:hAnsi="Arial" w:cs="Arial"/>
          <w:sz w:val="21"/>
          <w:szCs w:val="21"/>
        </w:rPr>
      </w:pPr>
      <w:r w:rsidRPr="00117F45">
        <w:rPr>
          <w:rFonts w:ascii="Arial" w:hAnsi="Arial" w:cs="Arial"/>
          <w:sz w:val="21"/>
          <w:szCs w:val="21"/>
        </w:rPr>
        <w:t>5. No declararse impedido oportunamente, cuando exista la obligación de hacerlo, demorar el trámite de las recusaciones, o actuar después de separado del asunto» [Énfasis fuera texto].</w:t>
      </w:r>
    </w:p>
    <w:p w14:paraId="06BE8185" w14:textId="36B011DE" w:rsidR="004E3054" w:rsidRPr="00A037C9" w:rsidRDefault="004E3054" w:rsidP="004E3054">
      <w:pPr>
        <w:spacing w:line="276" w:lineRule="auto"/>
        <w:ind w:firstLine="708"/>
        <w:jc w:val="both"/>
        <w:rPr>
          <w:rFonts w:ascii="Arial" w:hAnsi="Arial" w:cs="Arial"/>
        </w:rPr>
      </w:pPr>
      <w:r w:rsidRPr="00A037C9">
        <w:rPr>
          <w:rFonts w:ascii="Arial" w:hAnsi="Arial" w:cs="Arial"/>
        </w:rPr>
        <w:t xml:space="preserve">Como se colige del texto en cita, se advierte que el numeral 4 del artículo 56  del  Código General Disciplinario también consagró una prohibición en términos casi idénticos a la establecida en  el artículo 35, numeral 22 de la Ley 734 de 2002, en virtud de la cual se impide a los funcionarios y exfuncionarios prestar, a título personal o por interpuesta persona, servicios de asistencia, representación o asesoría en asuntos relacionados con las funciones propias del cargo, o permitir que ello ocurra con posterioridad a la desvinculación del cargo. La diferencia sustancial con lo dispuesto por la disposición modificada por el artículo 3 de la Ley 1474 de 2011 estriba en que, en lo relativo a los exfuncionarios, la disposición hoy día vigente varió el plazo durante el cual se extiende la prohibición para los exfuncionarios, en la medida en que ahora dicho término es un año y no de dos.    </w:t>
      </w:r>
    </w:p>
    <w:p w14:paraId="1BAA5202" w14:textId="77777777" w:rsidR="00A037C9" w:rsidRPr="00117F45" w:rsidRDefault="00A037C9" w:rsidP="004E3054">
      <w:pPr>
        <w:spacing w:line="276" w:lineRule="auto"/>
        <w:ind w:firstLine="708"/>
        <w:jc w:val="both"/>
        <w:rPr>
          <w:rFonts w:ascii="Arial" w:hAnsi="Arial" w:cs="Arial"/>
          <w:sz w:val="21"/>
          <w:szCs w:val="21"/>
        </w:rPr>
      </w:pPr>
    </w:p>
    <w:p w14:paraId="557B89A8" w14:textId="0E967D0A" w:rsidR="004E3054" w:rsidRPr="00117F45" w:rsidRDefault="004E3054" w:rsidP="00117F45">
      <w:pPr>
        <w:pStyle w:val="Prrafodelista"/>
        <w:numPr>
          <w:ilvl w:val="0"/>
          <w:numId w:val="3"/>
        </w:numPr>
        <w:spacing w:line="276" w:lineRule="auto"/>
        <w:jc w:val="both"/>
        <w:rPr>
          <w:rFonts w:ascii="Arial" w:eastAsia="Calibri" w:hAnsi="Arial" w:cs="Arial"/>
          <w:b/>
          <w:bCs/>
          <w:color w:val="000000" w:themeColor="text1"/>
          <w:lang w:val="es-ES_tradnl"/>
        </w:rPr>
      </w:pPr>
      <w:r w:rsidRPr="00117F45">
        <w:rPr>
          <w:rFonts w:ascii="Arial" w:eastAsia="Calibri" w:hAnsi="Arial" w:cs="Arial"/>
          <w:b/>
          <w:bCs/>
          <w:color w:val="000000" w:themeColor="text1"/>
          <w:lang w:val="es-ES_tradnl"/>
        </w:rPr>
        <w:t>Respuesta</w:t>
      </w:r>
    </w:p>
    <w:p w14:paraId="242084E1" w14:textId="77777777" w:rsidR="00117F45" w:rsidRPr="00117F45" w:rsidRDefault="00117F45" w:rsidP="00117F45">
      <w:pPr>
        <w:pStyle w:val="Prrafodelista"/>
        <w:spacing w:line="276" w:lineRule="auto"/>
        <w:jc w:val="both"/>
        <w:rPr>
          <w:rFonts w:ascii="Arial" w:eastAsia="Calibri" w:hAnsi="Arial" w:cs="Arial"/>
          <w:b/>
          <w:bCs/>
          <w:color w:val="000000" w:themeColor="text1"/>
          <w:lang w:val="es-ES_tradnl"/>
        </w:rPr>
      </w:pPr>
    </w:p>
    <w:p w14:paraId="7F5CD0AA" w14:textId="77777777" w:rsidR="004E3054" w:rsidRPr="00117F45" w:rsidRDefault="004E3054" w:rsidP="004E3054">
      <w:pPr>
        <w:autoSpaceDE w:val="0"/>
        <w:autoSpaceDN w:val="0"/>
        <w:adjustRightInd w:val="0"/>
        <w:spacing w:line="276" w:lineRule="auto"/>
        <w:ind w:left="709" w:right="709"/>
        <w:jc w:val="both"/>
        <w:rPr>
          <w:rFonts w:ascii="Arial" w:hAnsi="Arial" w:cs="Arial"/>
          <w:sz w:val="21"/>
          <w:szCs w:val="21"/>
        </w:rPr>
      </w:pPr>
      <w:proofErr w:type="gramStart"/>
      <w:r w:rsidRPr="00117F45">
        <w:rPr>
          <w:rFonts w:ascii="Arial" w:eastAsia="Calibri" w:hAnsi="Arial" w:cs="Arial"/>
          <w:sz w:val="21"/>
          <w:szCs w:val="21"/>
          <w:lang w:val="es-MX"/>
        </w:rPr>
        <w:t>« Por</w:t>
      </w:r>
      <w:proofErr w:type="gramEnd"/>
      <w:r w:rsidRPr="00117F45">
        <w:rPr>
          <w:rFonts w:ascii="Arial" w:eastAsia="Calibri" w:hAnsi="Arial" w:cs="Arial"/>
          <w:sz w:val="21"/>
          <w:szCs w:val="21"/>
          <w:lang w:val="es-MX"/>
        </w:rPr>
        <w:t xml:space="preserve"> medio de la presente, me permito solicitar consultar</w:t>
      </w:r>
      <w:r w:rsidRPr="00117F45">
        <w:rPr>
          <w:rFonts w:ascii="Arial" w:hAnsi="Arial" w:cs="Arial"/>
          <w:b/>
          <w:sz w:val="21"/>
          <w:szCs w:val="21"/>
        </w:rPr>
        <w:t xml:space="preserve"> </w:t>
      </w:r>
      <w:r w:rsidRPr="00117F45">
        <w:rPr>
          <w:rFonts w:ascii="Arial" w:hAnsi="Arial" w:cs="Arial"/>
          <w:sz w:val="21"/>
          <w:szCs w:val="21"/>
        </w:rPr>
        <w:t xml:space="preserve">sobre si la </w:t>
      </w:r>
      <w:proofErr w:type="spellStart"/>
      <w:r w:rsidRPr="00117F45">
        <w:rPr>
          <w:rFonts w:ascii="Arial" w:hAnsi="Arial" w:cs="Arial"/>
          <w:sz w:val="21"/>
          <w:szCs w:val="21"/>
        </w:rPr>
        <w:t>prohibici?n</w:t>
      </w:r>
      <w:proofErr w:type="spellEnd"/>
      <w:r w:rsidRPr="00117F45">
        <w:rPr>
          <w:rFonts w:ascii="Arial" w:hAnsi="Arial" w:cs="Arial"/>
          <w:sz w:val="21"/>
          <w:szCs w:val="21"/>
        </w:rPr>
        <w:t xml:space="preserve"> que </w:t>
      </w:r>
      <w:proofErr w:type="spellStart"/>
      <w:r w:rsidRPr="00117F45">
        <w:rPr>
          <w:rFonts w:ascii="Arial" w:hAnsi="Arial" w:cs="Arial"/>
          <w:sz w:val="21"/>
          <w:szCs w:val="21"/>
        </w:rPr>
        <w:t>tra?a</w:t>
      </w:r>
      <w:proofErr w:type="spellEnd"/>
      <w:r w:rsidRPr="00117F45">
        <w:rPr>
          <w:rFonts w:ascii="Arial" w:hAnsi="Arial" w:cs="Arial"/>
          <w:sz w:val="21"/>
          <w:szCs w:val="21"/>
        </w:rPr>
        <w:t xml:space="preserve"> el </w:t>
      </w:r>
      <w:proofErr w:type="spellStart"/>
      <w:r w:rsidRPr="00117F45">
        <w:rPr>
          <w:rFonts w:ascii="Arial" w:hAnsi="Arial" w:cs="Arial"/>
          <w:sz w:val="21"/>
          <w:szCs w:val="21"/>
        </w:rPr>
        <w:t>art?culo</w:t>
      </w:r>
      <w:proofErr w:type="spellEnd"/>
      <w:r w:rsidRPr="00117F45">
        <w:rPr>
          <w:rFonts w:ascii="Arial" w:hAnsi="Arial" w:cs="Arial"/>
          <w:sz w:val="21"/>
          <w:szCs w:val="21"/>
        </w:rPr>
        <w:t xml:space="preserve"> 35 de la ley 734 de 2002, modificada por el </w:t>
      </w:r>
      <w:proofErr w:type="spellStart"/>
      <w:r w:rsidRPr="00117F45">
        <w:rPr>
          <w:rFonts w:ascii="Arial" w:hAnsi="Arial" w:cs="Arial"/>
          <w:sz w:val="21"/>
          <w:szCs w:val="21"/>
        </w:rPr>
        <w:t>art?culo</w:t>
      </w:r>
      <w:proofErr w:type="spellEnd"/>
      <w:r w:rsidRPr="00117F45">
        <w:rPr>
          <w:rFonts w:ascii="Arial" w:hAnsi="Arial" w:cs="Arial"/>
          <w:sz w:val="21"/>
          <w:szCs w:val="21"/>
        </w:rPr>
        <w:t xml:space="preserve"> 3o de la Ley 1474 de 2011, </w:t>
      </w:r>
      <w:proofErr w:type="spellStart"/>
      <w:r w:rsidRPr="00117F45">
        <w:rPr>
          <w:rFonts w:ascii="Arial" w:hAnsi="Arial" w:cs="Arial"/>
          <w:sz w:val="21"/>
          <w:szCs w:val="21"/>
        </w:rPr>
        <w:t>a?n</w:t>
      </w:r>
      <w:proofErr w:type="spellEnd"/>
      <w:r w:rsidRPr="00117F45">
        <w:rPr>
          <w:rFonts w:ascii="Arial" w:hAnsi="Arial" w:cs="Arial"/>
          <w:sz w:val="21"/>
          <w:szCs w:val="21"/>
        </w:rPr>
        <w:t xml:space="preserve"> se mantiene.</w:t>
      </w:r>
    </w:p>
    <w:p w14:paraId="26BDF369" w14:textId="4D1A4127" w:rsidR="004E3054" w:rsidRPr="00117F45" w:rsidRDefault="004E3054" w:rsidP="004E3054">
      <w:pPr>
        <w:autoSpaceDE w:val="0"/>
        <w:autoSpaceDN w:val="0"/>
        <w:adjustRightInd w:val="0"/>
        <w:spacing w:line="276" w:lineRule="auto"/>
        <w:ind w:left="709" w:right="709"/>
        <w:jc w:val="both"/>
        <w:rPr>
          <w:rFonts w:ascii="Arial" w:eastAsia="Calibri" w:hAnsi="Arial" w:cs="Arial"/>
          <w:sz w:val="21"/>
          <w:szCs w:val="21"/>
          <w:lang w:val="es-MX"/>
        </w:rPr>
      </w:pPr>
      <w:r w:rsidRPr="00117F45">
        <w:rPr>
          <w:rFonts w:ascii="Arial" w:hAnsi="Arial" w:cs="Arial"/>
          <w:sz w:val="21"/>
          <w:szCs w:val="21"/>
        </w:rPr>
        <w:t xml:space="preserve">Al respecto, el citado </w:t>
      </w:r>
      <w:proofErr w:type="spellStart"/>
      <w:r w:rsidRPr="00117F45">
        <w:rPr>
          <w:rFonts w:ascii="Arial" w:hAnsi="Arial" w:cs="Arial"/>
          <w:sz w:val="21"/>
          <w:szCs w:val="21"/>
        </w:rPr>
        <w:t>art?culo</w:t>
      </w:r>
      <w:proofErr w:type="spellEnd"/>
      <w:r w:rsidRPr="00117F45">
        <w:rPr>
          <w:rFonts w:ascii="Arial" w:hAnsi="Arial" w:cs="Arial"/>
          <w:sz w:val="21"/>
          <w:szCs w:val="21"/>
        </w:rPr>
        <w:t xml:space="preserve"> </w:t>
      </w:r>
      <w:proofErr w:type="spellStart"/>
      <w:r w:rsidRPr="00117F45">
        <w:rPr>
          <w:rFonts w:ascii="Arial" w:hAnsi="Arial" w:cs="Arial"/>
          <w:sz w:val="21"/>
          <w:szCs w:val="21"/>
        </w:rPr>
        <w:t>establec?a</w:t>
      </w:r>
      <w:proofErr w:type="spellEnd"/>
      <w:r w:rsidRPr="00117F45">
        <w:rPr>
          <w:rFonts w:ascii="Arial" w:hAnsi="Arial" w:cs="Arial"/>
          <w:sz w:val="21"/>
          <w:szCs w:val="21"/>
        </w:rPr>
        <w:t xml:space="preserve"> la imposibilidad de ser contratista del Estado luego de haber ejercido un cargo en una Entidad en asuntos relacionados con las funciones propias del cargo durante los dos </w:t>
      </w:r>
      <w:proofErr w:type="spellStart"/>
      <w:r w:rsidRPr="00117F45">
        <w:rPr>
          <w:rFonts w:ascii="Arial" w:hAnsi="Arial" w:cs="Arial"/>
          <w:sz w:val="21"/>
          <w:szCs w:val="21"/>
        </w:rPr>
        <w:t>a?os</w:t>
      </w:r>
      <w:proofErr w:type="spellEnd"/>
      <w:r w:rsidRPr="00117F45">
        <w:rPr>
          <w:rFonts w:ascii="Arial" w:hAnsi="Arial" w:cs="Arial"/>
          <w:sz w:val="21"/>
          <w:szCs w:val="21"/>
        </w:rPr>
        <w:t xml:space="preserve"> posteriores a la </w:t>
      </w:r>
      <w:proofErr w:type="spellStart"/>
      <w:r w:rsidRPr="00117F45">
        <w:rPr>
          <w:rFonts w:ascii="Arial" w:hAnsi="Arial" w:cs="Arial"/>
          <w:sz w:val="21"/>
          <w:szCs w:val="21"/>
        </w:rPr>
        <w:t>dejaci?n</w:t>
      </w:r>
      <w:proofErr w:type="spellEnd"/>
      <w:r w:rsidRPr="00117F45">
        <w:rPr>
          <w:rFonts w:ascii="Arial" w:hAnsi="Arial" w:cs="Arial"/>
          <w:sz w:val="21"/>
          <w:szCs w:val="21"/>
        </w:rPr>
        <w:t xml:space="preserve"> del respectivo cargo as?: 22.Prestar, a </w:t>
      </w:r>
      <w:proofErr w:type="spellStart"/>
      <w:r w:rsidRPr="00117F45">
        <w:rPr>
          <w:rFonts w:ascii="Arial" w:hAnsi="Arial" w:cs="Arial"/>
          <w:sz w:val="21"/>
          <w:szCs w:val="21"/>
        </w:rPr>
        <w:t>t?tulo</w:t>
      </w:r>
      <w:proofErr w:type="spellEnd"/>
      <w:r w:rsidRPr="00117F45">
        <w:rPr>
          <w:rFonts w:ascii="Arial" w:hAnsi="Arial" w:cs="Arial"/>
          <w:sz w:val="21"/>
          <w:szCs w:val="21"/>
        </w:rPr>
        <w:t xml:space="preserve"> personal o por interpuesta </w:t>
      </w:r>
      <w:r w:rsidRPr="00117F45">
        <w:rPr>
          <w:rFonts w:ascii="Arial" w:hAnsi="Arial" w:cs="Arial"/>
          <w:sz w:val="21"/>
          <w:szCs w:val="21"/>
        </w:rPr>
        <w:lastRenderedPageBreak/>
        <w:t xml:space="preserve">persona, servicios de asistencia, </w:t>
      </w:r>
      <w:proofErr w:type="spellStart"/>
      <w:r w:rsidRPr="00117F45">
        <w:rPr>
          <w:rFonts w:ascii="Arial" w:hAnsi="Arial" w:cs="Arial"/>
          <w:sz w:val="21"/>
          <w:szCs w:val="21"/>
        </w:rPr>
        <w:t>representaci?n</w:t>
      </w:r>
      <w:proofErr w:type="spellEnd"/>
      <w:r w:rsidRPr="00117F45">
        <w:rPr>
          <w:rFonts w:ascii="Arial" w:hAnsi="Arial" w:cs="Arial"/>
          <w:sz w:val="21"/>
          <w:szCs w:val="21"/>
        </w:rPr>
        <w:t xml:space="preserve"> o </w:t>
      </w:r>
      <w:proofErr w:type="spellStart"/>
      <w:r w:rsidRPr="00117F45">
        <w:rPr>
          <w:rFonts w:ascii="Arial" w:hAnsi="Arial" w:cs="Arial"/>
          <w:sz w:val="21"/>
          <w:szCs w:val="21"/>
        </w:rPr>
        <w:t>asesor?a</w:t>
      </w:r>
      <w:proofErr w:type="spellEnd"/>
      <w:r w:rsidRPr="00117F45">
        <w:rPr>
          <w:rFonts w:ascii="Arial" w:hAnsi="Arial" w:cs="Arial"/>
          <w:sz w:val="21"/>
          <w:szCs w:val="21"/>
        </w:rPr>
        <w:t xml:space="preserve"> en asuntos relacionados con las funciones propias del cargo, o permitir que ello ocurra, hasta por el </w:t>
      </w:r>
      <w:proofErr w:type="spellStart"/>
      <w:r w:rsidRPr="00117F45">
        <w:rPr>
          <w:rFonts w:ascii="Arial" w:hAnsi="Arial" w:cs="Arial"/>
          <w:sz w:val="21"/>
          <w:szCs w:val="21"/>
        </w:rPr>
        <w:t>t?rmino</w:t>
      </w:r>
      <w:proofErr w:type="spellEnd"/>
      <w:r w:rsidRPr="00117F45">
        <w:rPr>
          <w:rFonts w:ascii="Arial" w:hAnsi="Arial" w:cs="Arial"/>
          <w:sz w:val="21"/>
          <w:szCs w:val="21"/>
        </w:rPr>
        <w:t xml:space="preserve"> de dos (2) </w:t>
      </w:r>
      <w:proofErr w:type="spellStart"/>
      <w:r w:rsidRPr="00117F45">
        <w:rPr>
          <w:rFonts w:ascii="Arial" w:hAnsi="Arial" w:cs="Arial"/>
          <w:sz w:val="21"/>
          <w:szCs w:val="21"/>
        </w:rPr>
        <w:t>a?os</w:t>
      </w:r>
      <w:proofErr w:type="spellEnd"/>
      <w:r w:rsidRPr="00117F45">
        <w:rPr>
          <w:rFonts w:ascii="Arial" w:hAnsi="Arial" w:cs="Arial"/>
          <w:sz w:val="21"/>
          <w:szCs w:val="21"/>
        </w:rPr>
        <w:t xml:space="preserve"> </w:t>
      </w:r>
      <w:proofErr w:type="spellStart"/>
      <w:r w:rsidRPr="00117F45">
        <w:rPr>
          <w:rFonts w:ascii="Arial" w:hAnsi="Arial" w:cs="Arial"/>
          <w:sz w:val="21"/>
          <w:szCs w:val="21"/>
        </w:rPr>
        <w:t>despu?s</w:t>
      </w:r>
      <w:proofErr w:type="spellEnd"/>
      <w:r w:rsidRPr="00117F45">
        <w:rPr>
          <w:rFonts w:ascii="Arial" w:hAnsi="Arial" w:cs="Arial"/>
          <w:sz w:val="21"/>
          <w:szCs w:val="21"/>
        </w:rPr>
        <w:t xml:space="preserve"> de la </w:t>
      </w:r>
      <w:proofErr w:type="spellStart"/>
      <w:r w:rsidRPr="00117F45">
        <w:rPr>
          <w:rFonts w:ascii="Arial" w:hAnsi="Arial" w:cs="Arial"/>
          <w:sz w:val="21"/>
          <w:szCs w:val="21"/>
        </w:rPr>
        <w:t>dejaci?n</w:t>
      </w:r>
      <w:proofErr w:type="spellEnd"/>
      <w:r w:rsidRPr="00117F45">
        <w:rPr>
          <w:rFonts w:ascii="Arial" w:hAnsi="Arial" w:cs="Arial"/>
          <w:sz w:val="21"/>
          <w:szCs w:val="21"/>
        </w:rPr>
        <w:t xml:space="preserve"> del cargo, con respecto del organismo, entidad o </w:t>
      </w:r>
      <w:proofErr w:type="spellStart"/>
      <w:r w:rsidRPr="00117F45">
        <w:rPr>
          <w:rFonts w:ascii="Arial" w:hAnsi="Arial" w:cs="Arial"/>
          <w:sz w:val="21"/>
          <w:szCs w:val="21"/>
        </w:rPr>
        <w:t>corporaci?n</w:t>
      </w:r>
      <w:proofErr w:type="spellEnd"/>
      <w:r w:rsidRPr="00117F45">
        <w:rPr>
          <w:rFonts w:ascii="Arial" w:hAnsi="Arial" w:cs="Arial"/>
          <w:sz w:val="21"/>
          <w:szCs w:val="21"/>
        </w:rPr>
        <w:t xml:space="preserve"> en la </w:t>
      </w:r>
      <w:proofErr w:type="spellStart"/>
      <w:r w:rsidRPr="00117F45">
        <w:rPr>
          <w:rFonts w:ascii="Arial" w:hAnsi="Arial" w:cs="Arial"/>
          <w:sz w:val="21"/>
          <w:szCs w:val="21"/>
        </w:rPr>
        <w:t>cu?l</w:t>
      </w:r>
      <w:proofErr w:type="spellEnd"/>
      <w:r w:rsidRPr="00117F45">
        <w:rPr>
          <w:rFonts w:ascii="Arial" w:hAnsi="Arial" w:cs="Arial"/>
          <w:sz w:val="21"/>
          <w:szCs w:val="21"/>
        </w:rPr>
        <w:t xml:space="preserve"> presto sus servicios, y para la </w:t>
      </w:r>
      <w:proofErr w:type="spellStart"/>
      <w:r w:rsidRPr="00117F45">
        <w:rPr>
          <w:rFonts w:ascii="Arial" w:hAnsi="Arial" w:cs="Arial"/>
          <w:sz w:val="21"/>
          <w:szCs w:val="21"/>
        </w:rPr>
        <w:t>prestaci?n</w:t>
      </w:r>
      <w:proofErr w:type="spellEnd"/>
      <w:r w:rsidRPr="00117F45">
        <w:rPr>
          <w:rFonts w:ascii="Arial" w:hAnsi="Arial" w:cs="Arial"/>
          <w:sz w:val="21"/>
          <w:szCs w:val="21"/>
        </w:rPr>
        <w:t xml:space="preserve"> de servicios de asistencia, </w:t>
      </w:r>
      <w:proofErr w:type="spellStart"/>
      <w:r w:rsidRPr="00117F45">
        <w:rPr>
          <w:rFonts w:ascii="Arial" w:hAnsi="Arial" w:cs="Arial"/>
          <w:sz w:val="21"/>
          <w:szCs w:val="21"/>
        </w:rPr>
        <w:t>representaci?n</w:t>
      </w:r>
      <w:proofErr w:type="spellEnd"/>
      <w:r w:rsidRPr="00117F45">
        <w:rPr>
          <w:rFonts w:ascii="Arial" w:hAnsi="Arial" w:cs="Arial"/>
          <w:sz w:val="21"/>
          <w:szCs w:val="21"/>
        </w:rPr>
        <w:t xml:space="preserve"> o </w:t>
      </w:r>
      <w:proofErr w:type="spellStart"/>
      <w:r w:rsidRPr="00117F45">
        <w:rPr>
          <w:rFonts w:ascii="Arial" w:hAnsi="Arial" w:cs="Arial"/>
          <w:sz w:val="21"/>
          <w:szCs w:val="21"/>
        </w:rPr>
        <w:t>asesor?a</w:t>
      </w:r>
      <w:proofErr w:type="spellEnd"/>
      <w:r w:rsidRPr="00117F45">
        <w:rPr>
          <w:rFonts w:ascii="Arial" w:hAnsi="Arial" w:cs="Arial"/>
          <w:sz w:val="21"/>
          <w:szCs w:val="21"/>
        </w:rPr>
        <w:t xml:space="preserve"> a quienes estuvieron sujetos a la </w:t>
      </w:r>
      <w:proofErr w:type="spellStart"/>
      <w:r w:rsidRPr="00117F45">
        <w:rPr>
          <w:rFonts w:ascii="Arial" w:hAnsi="Arial" w:cs="Arial"/>
          <w:sz w:val="21"/>
          <w:szCs w:val="21"/>
        </w:rPr>
        <w:t>inspecci?n</w:t>
      </w:r>
      <w:proofErr w:type="spellEnd"/>
      <w:r w:rsidRPr="00117F45">
        <w:rPr>
          <w:rFonts w:ascii="Arial" w:hAnsi="Arial" w:cs="Arial"/>
          <w:sz w:val="21"/>
          <w:szCs w:val="21"/>
        </w:rPr>
        <w:t xml:space="preserve">, vigilancia, control o </w:t>
      </w:r>
      <w:proofErr w:type="spellStart"/>
      <w:r w:rsidRPr="00117F45">
        <w:rPr>
          <w:rFonts w:ascii="Arial" w:hAnsi="Arial" w:cs="Arial"/>
          <w:sz w:val="21"/>
          <w:szCs w:val="21"/>
        </w:rPr>
        <w:t>regulaci?n</w:t>
      </w:r>
      <w:proofErr w:type="spellEnd"/>
      <w:r w:rsidRPr="00117F45">
        <w:rPr>
          <w:rFonts w:ascii="Arial" w:hAnsi="Arial" w:cs="Arial"/>
          <w:sz w:val="21"/>
          <w:szCs w:val="21"/>
        </w:rPr>
        <w:t xml:space="preserve"> de la entidad, </w:t>
      </w:r>
      <w:proofErr w:type="spellStart"/>
      <w:r w:rsidRPr="00117F45">
        <w:rPr>
          <w:rFonts w:ascii="Arial" w:hAnsi="Arial" w:cs="Arial"/>
          <w:sz w:val="21"/>
          <w:szCs w:val="21"/>
        </w:rPr>
        <w:t>corporaci?n</w:t>
      </w:r>
      <w:proofErr w:type="spellEnd"/>
      <w:r w:rsidRPr="00117F45">
        <w:rPr>
          <w:rFonts w:ascii="Arial" w:hAnsi="Arial" w:cs="Arial"/>
          <w:sz w:val="21"/>
          <w:szCs w:val="21"/>
        </w:rPr>
        <w:t xml:space="preserve"> u organismos al que se haya estado vinculado. Esta </w:t>
      </w:r>
      <w:proofErr w:type="spellStart"/>
      <w:proofErr w:type="gramStart"/>
      <w:r w:rsidRPr="00117F45">
        <w:rPr>
          <w:rFonts w:ascii="Arial" w:hAnsi="Arial" w:cs="Arial"/>
          <w:sz w:val="21"/>
          <w:szCs w:val="21"/>
        </w:rPr>
        <w:t>prohibici?n</w:t>
      </w:r>
      <w:proofErr w:type="spellEnd"/>
      <w:proofErr w:type="gramEnd"/>
      <w:r w:rsidRPr="00117F45">
        <w:rPr>
          <w:rFonts w:ascii="Arial" w:hAnsi="Arial" w:cs="Arial"/>
          <w:sz w:val="21"/>
          <w:szCs w:val="21"/>
        </w:rPr>
        <w:t xml:space="preserve"> </w:t>
      </w:r>
      <w:proofErr w:type="spellStart"/>
      <w:r w:rsidRPr="00117F45">
        <w:rPr>
          <w:rFonts w:ascii="Arial" w:hAnsi="Arial" w:cs="Arial"/>
          <w:sz w:val="21"/>
          <w:szCs w:val="21"/>
        </w:rPr>
        <w:t>sera</w:t>
      </w:r>
      <w:proofErr w:type="spellEnd"/>
      <w:r w:rsidRPr="00117F45">
        <w:rPr>
          <w:rFonts w:ascii="Arial" w:hAnsi="Arial" w:cs="Arial"/>
          <w:sz w:val="21"/>
          <w:szCs w:val="21"/>
        </w:rPr>
        <w:t xml:space="preserve"> indefinida en el tiempo respecto de los asuntos concretos de los </w:t>
      </w:r>
      <w:proofErr w:type="spellStart"/>
      <w:r w:rsidRPr="00117F45">
        <w:rPr>
          <w:rFonts w:ascii="Arial" w:hAnsi="Arial" w:cs="Arial"/>
          <w:sz w:val="21"/>
          <w:szCs w:val="21"/>
        </w:rPr>
        <w:t>cu?les</w:t>
      </w:r>
      <w:proofErr w:type="spellEnd"/>
      <w:r w:rsidRPr="00117F45">
        <w:rPr>
          <w:rFonts w:ascii="Arial" w:hAnsi="Arial" w:cs="Arial"/>
          <w:sz w:val="21"/>
          <w:szCs w:val="21"/>
        </w:rPr>
        <w:t xml:space="preserve"> el servidor </w:t>
      </w:r>
      <w:proofErr w:type="spellStart"/>
      <w:r w:rsidRPr="00117F45">
        <w:rPr>
          <w:rFonts w:ascii="Arial" w:hAnsi="Arial" w:cs="Arial"/>
          <w:sz w:val="21"/>
          <w:szCs w:val="21"/>
        </w:rPr>
        <w:t>conoci</w:t>
      </w:r>
      <w:proofErr w:type="spellEnd"/>
      <w:r w:rsidRPr="00117F45">
        <w:rPr>
          <w:rFonts w:ascii="Arial" w:hAnsi="Arial" w:cs="Arial"/>
          <w:sz w:val="21"/>
          <w:szCs w:val="21"/>
        </w:rPr>
        <w:t xml:space="preserve">? en ejercicio de sus funciones. Se entiende por asuntos concretos de los </w:t>
      </w:r>
      <w:proofErr w:type="spellStart"/>
      <w:proofErr w:type="gramStart"/>
      <w:r w:rsidRPr="00117F45">
        <w:rPr>
          <w:rFonts w:ascii="Arial" w:hAnsi="Arial" w:cs="Arial"/>
          <w:sz w:val="21"/>
          <w:szCs w:val="21"/>
        </w:rPr>
        <w:t>cu?les</w:t>
      </w:r>
      <w:proofErr w:type="spellEnd"/>
      <w:proofErr w:type="gramEnd"/>
      <w:r w:rsidRPr="00117F45">
        <w:rPr>
          <w:rFonts w:ascii="Arial" w:hAnsi="Arial" w:cs="Arial"/>
          <w:sz w:val="21"/>
          <w:szCs w:val="21"/>
        </w:rPr>
        <w:t xml:space="preserve"> </w:t>
      </w:r>
      <w:proofErr w:type="spellStart"/>
      <w:r w:rsidRPr="00117F45">
        <w:rPr>
          <w:rFonts w:ascii="Arial" w:hAnsi="Arial" w:cs="Arial"/>
          <w:sz w:val="21"/>
          <w:szCs w:val="21"/>
        </w:rPr>
        <w:t>conoci</w:t>
      </w:r>
      <w:proofErr w:type="spellEnd"/>
      <w:r w:rsidRPr="00117F45">
        <w:rPr>
          <w:rFonts w:ascii="Arial" w:hAnsi="Arial" w:cs="Arial"/>
          <w:sz w:val="21"/>
          <w:szCs w:val="21"/>
        </w:rPr>
        <w:t xml:space="preserve">? en ejercicio de sus funciones aquellos de </w:t>
      </w:r>
      <w:proofErr w:type="spellStart"/>
      <w:r w:rsidRPr="00117F45">
        <w:rPr>
          <w:rFonts w:ascii="Arial" w:hAnsi="Arial" w:cs="Arial"/>
          <w:sz w:val="21"/>
          <w:szCs w:val="21"/>
        </w:rPr>
        <w:t>car?cter</w:t>
      </w:r>
      <w:proofErr w:type="spellEnd"/>
      <w:r w:rsidRPr="00117F45">
        <w:rPr>
          <w:rFonts w:ascii="Arial" w:hAnsi="Arial" w:cs="Arial"/>
          <w:sz w:val="21"/>
          <w:szCs w:val="21"/>
        </w:rPr>
        <w:t xml:space="preserve"> particular y concreto que fueron objeto de </w:t>
      </w:r>
      <w:proofErr w:type="spellStart"/>
      <w:r w:rsidRPr="00117F45">
        <w:rPr>
          <w:rFonts w:ascii="Arial" w:hAnsi="Arial" w:cs="Arial"/>
          <w:sz w:val="21"/>
          <w:szCs w:val="21"/>
        </w:rPr>
        <w:t>decisi?n</w:t>
      </w:r>
      <w:proofErr w:type="spellEnd"/>
      <w:r w:rsidRPr="00117F45">
        <w:rPr>
          <w:rFonts w:ascii="Arial" w:hAnsi="Arial" w:cs="Arial"/>
          <w:sz w:val="21"/>
          <w:szCs w:val="21"/>
        </w:rPr>
        <w:t xml:space="preserve"> durante el ejercicio de sus funciones y de los </w:t>
      </w:r>
      <w:proofErr w:type="spellStart"/>
      <w:r w:rsidRPr="00117F45">
        <w:rPr>
          <w:rFonts w:ascii="Arial" w:hAnsi="Arial" w:cs="Arial"/>
          <w:sz w:val="21"/>
          <w:szCs w:val="21"/>
        </w:rPr>
        <w:t>cu?les</w:t>
      </w:r>
      <w:proofErr w:type="spellEnd"/>
      <w:r w:rsidRPr="00117F45">
        <w:rPr>
          <w:rFonts w:ascii="Arial" w:hAnsi="Arial" w:cs="Arial"/>
          <w:sz w:val="21"/>
          <w:szCs w:val="21"/>
        </w:rPr>
        <w:t xml:space="preserve"> existe sujetos claramente determinados. Al respecto es menester </w:t>
      </w:r>
      <w:proofErr w:type="spellStart"/>
      <w:proofErr w:type="gramStart"/>
      <w:r w:rsidRPr="00117F45">
        <w:rPr>
          <w:rFonts w:ascii="Arial" w:hAnsi="Arial" w:cs="Arial"/>
          <w:sz w:val="21"/>
          <w:szCs w:val="21"/>
        </w:rPr>
        <w:t>se?alar</w:t>
      </w:r>
      <w:proofErr w:type="spellEnd"/>
      <w:proofErr w:type="gramEnd"/>
      <w:r w:rsidRPr="00117F45">
        <w:rPr>
          <w:rFonts w:ascii="Arial" w:hAnsi="Arial" w:cs="Arial"/>
          <w:sz w:val="21"/>
          <w:szCs w:val="21"/>
        </w:rPr>
        <w:t xml:space="preserve"> que la citada </w:t>
      </w:r>
      <w:proofErr w:type="spellStart"/>
      <w:r w:rsidRPr="00117F45">
        <w:rPr>
          <w:rFonts w:ascii="Arial" w:hAnsi="Arial" w:cs="Arial"/>
          <w:sz w:val="21"/>
          <w:szCs w:val="21"/>
        </w:rPr>
        <w:t>disposici?n</w:t>
      </w:r>
      <w:proofErr w:type="spellEnd"/>
      <w:r w:rsidRPr="00117F45">
        <w:rPr>
          <w:rFonts w:ascii="Arial" w:hAnsi="Arial" w:cs="Arial"/>
          <w:sz w:val="21"/>
          <w:szCs w:val="21"/>
        </w:rPr>
        <w:t xml:space="preserve"> no se reproduce ni en la ley 1952 de 2019 ni en la ley 2094 de 2021, por lo que en principio considero que en la actualidad ya no es ?</w:t>
      </w:r>
      <w:proofErr w:type="spellStart"/>
      <w:r w:rsidRPr="00117F45">
        <w:rPr>
          <w:rFonts w:ascii="Arial" w:hAnsi="Arial" w:cs="Arial"/>
          <w:sz w:val="21"/>
          <w:szCs w:val="21"/>
        </w:rPr>
        <w:t>bice</w:t>
      </w:r>
      <w:proofErr w:type="spellEnd"/>
      <w:r w:rsidRPr="00117F45">
        <w:rPr>
          <w:rFonts w:ascii="Arial" w:hAnsi="Arial" w:cs="Arial"/>
          <w:sz w:val="21"/>
          <w:szCs w:val="21"/>
        </w:rPr>
        <w:t xml:space="preserve"> el haber sido funcionario de una Entidad para poder contratar con la misma luego de haber dejado el cargo, por lo que solicito conceptuar sobre el particular a efectos de contar con una </w:t>
      </w:r>
      <w:proofErr w:type="spellStart"/>
      <w:r w:rsidRPr="00117F45">
        <w:rPr>
          <w:rFonts w:ascii="Arial" w:hAnsi="Arial" w:cs="Arial"/>
          <w:sz w:val="21"/>
          <w:szCs w:val="21"/>
        </w:rPr>
        <w:t>posici?n</w:t>
      </w:r>
      <w:proofErr w:type="spellEnd"/>
      <w:r w:rsidRPr="00117F45">
        <w:rPr>
          <w:rFonts w:ascii="Arial" w:hAnsi="Arial" w:cs="Arial"/>
          <w:sz w:val="21"/>
          <w:szCs w:val="21"/>
        </w:rPr>
        <w:t xml:space="preserve"> oficial al respecto,</w:t>
      </w:r>
      <w:r w:rsidRPr="00117F45">
        <w:rPr>
          <w:rFonts w:ascii="Arial" w:hAnsi="Arial" w:cs="Arial"/>
          <w:b/>
          <w:bCs/>
          <w:sz w:val="21"/>
          <w:szCs w:val="21"/>
        </w:rPr>
        <w:t xml:space="preserve"> </w:t>
      </w:r>
      <w:r w:rsidRPr="00117F45">
        <w:rPr>
          <w:rFonts w:ascii="Arial" w:eastAsia="Calibri" w:hAnsi="Arial" w:cs="Arial"/>
          <w:sz w:val="21"/>
          <w:szCs w:val="21"/>
          <w:lang w:val="es-MX"/>
        </w:rPr>
        <w:t xml:space="preserve">» [SIC].  </w:t>
      </w:r>
    </w:p>
    <w:p w14:paraId="0342559B" w14:textId="77777777" w:rsidR="00117F45" w:rsidRPr="00117F45" w:rsidRDefault="00117F45" w:rsidP="004E3054">
      <w:pPr>
        <w:autoSpaceDE w:val="0"/>
        <w:autoSpaceDN w:val="0"/>
        <w:adjustRightInd w:val="0"/>
        <w:spacing w:line="276" w:lineRule="auto"/>
        <w:ind w:left="709" w:right="709"/>
        <w:jc w:val="both"/>
        <w:rPr>
          <w:rFonts w:ascii="Arial" w:hAnsi="Arial" w:cs="Arial"/>
          <w:sz w:val="21"/>
          <w:szCs w:val="21"/>
        </w:rPr>
      </w:pPr>
    </w:p>
    <w:p w14:paraId="602FBB1D" w14:textId="533D1E19" w:rsidR="004E3054" w:rsidRPr="00A037C9" w:rsidRDefault="004E3054" w:rsidP="004E3054">
      <w:pPr>
        <w:spacing w:line="276" w:lineRule="auto"/>
        <w:jc w:val="both"/>
        <w:rPr>
          <w:rFonts w:ascii="Arial" w:hAnsi="Arial" w:cs="Arial"/>
        </w:rPr>
      </w:pPr>
      <w:r w:rsidRPr="00A037C9">
        <w:rPr>
          <w:rFonts w:ascii="Arial" w:hAnsi="Arial" w:cs="Arial"/>
        </w:rPr>
        <w:t xml:space="preserve">Conforme a lo expuesto, el numeral 22 del artículo 35 de la Ley 734 de 2002, modificado por el artículo 3 de la Ley 1474 de 2011, establecía una prohibición en virtud de la cual le estaba prohibido a los funcionarios públicos «Prestar,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 No </w:t>
      </w:r>
      <w:r w:rsidR="00117F45" w:rsidRPr="00A037C9">
        <w:rPr>
          <w:rFonts w:ascii="Arial" w:hAnsi="Arial" w:cs="Arial"/>
        </w:rPr>
        <w:t>obstante,</w:t>
      </w:r>
      <w:r w:rsidRPr="00A037C9">
        <w:rPr>
          <w:rFonts w:ascii="Arial" w:hAnsi="Arial" w:cs="Arial"/>
        </w:rPr>
        <w:t xml:space="preserve"> dicha prohibición fue derogada de manera expresa por la Ley 1952 de 2019 «Por medio de la cual se expide el Código General Disciplinario se derogan la Ley 734 de 2002 y algunas disposiciones de la ley 1474 de 2011, relacionadas con el derecho disciplinario».</w:t>
      </w:r>
    </w:p>
    <w:p w14:paraId="6AB88E0E" w14:textId="77777777" w:rsidR="00117F45" w:rsidRPr="00A037C9" w:rsidRDefault="00117F45" w:rsidP="004E3054">
      <w:pPr>
        <w:spacing w:line="276" w:lineRule="auto"/>
        <w:jc w:val="both"/>
        <w:rPr>
          <w:rFonts w:ascii="Arial" w:hAnsi="Arial" w:cs="Arial"/>
        </w:rPr>
      </w:pPr>
    </w:p>
    <w:p w14:paraId="222A3BAD" w14:textId="35C88B4D" w:rsidR="004E3054" w:rsidRPr="00A037C9" w:rsidRDefault="004E3054" w:rsidP="004E3054">
      <w:pPr>
        <w:spacing w:line="276" w:lineRule="auto"/>
        <w:ind w:firstLine="708"/>
        <w:jc w:val="both"/>
        <w:rPr>
          <w:rFonts w:ascii="Arial" w:hAnsi="Arial" w:cs="Arial"/>
        </w:rPr>
      </w:pPr>
      <w:r w:rsidRPr="00A037C9">
        <w:rPr>
          <w:rFonts w:ascii="Arial" w:hAnsi="Arial" w:cs="Arial"/>
        </w:rPr>
        <w:t xml:space="preserve">Sin embargo, el numeral 4 del artículo 56 de la Ley 1952 de 2019, estableció como falta disciplinaria «Prestar, a título personal o por interpuesta persona, </w:t>
      </w:r>
      <w:r w:rsidRPr="00A037C9">
        <w:rPr>
          <w:rFonts w:ascii="Arial" w:hAnsi="Arial" w:cs="Arial"/>
        </w:rPr>
        <w:lastRenderedPageBreak/>
        <w:t>servicios de asistencia, representación o asesoría en asuntos relacionados con las funciones propias del cargo, o permitir que ello ocurra, hasta por el término de un (1) año después de la dejación del cargo, con respecto del organismo, entidad o corporación en la cual presto sus servicios, y para la prestación de servicios de asistencia, representación o asesoría a quienes estuvieron sujetos a la inspección, vigilancia, control o regulación de la entidad, corporación u organismo al que haya estado vinculado».</w:t>
      </w:r>
    </w:p>
    <w:p w14:paraId="6994CC68" w14:textId="77777777" w:rsidR="00117F45" w:rsidRPr="00A037C9" w:rsidRDefault="00117F45" w:rsidP="004E3054">
      <w:pPr>
        <w:spacing w:line="276" w:lineRule="auto"/>
        <w:ind w:firstLine="708"/>
        <w:jc w:val="both"/>
        <w:rPr>
          <w:rFonts w:ascii="Arial" w:eastAsia="Calibri" w:hAnsi="Arial" w:cs="Arial"/>
          <w:color w:val="000000" w:themeColor="text1"/>
        </w:rPr>
      </w:pPr>
    </w:p>
    <w:p w14:paraId="49402427" w14:textId="63127583" w:rsidR="004E3054" w:rsidRPr="00A037C9" w:rsidRDefault="004E3054" w:rsidP="004E3054">
      <w:pPr>
        <w:spacing w:line="276" w:lineRule="auto"/>
        <w:ind w:firstLine="708"/>
        <w:jc w:val="both"/>
        <w:rPr>
          <w:rFonts w:ascii="Arial" w:hAnsi="Arial" w:cs="Arial"/>
        </w:rPr>
      </w:pPr>
      <w:r w:rsidRPr="00A037C9">
        <w:rPr>
          <w:rFonts w:ascii="Arial" w:hAnsi="Arial" w:cs="Arial"/>
        </w:rPr>
        <w:t>De acuerdo con lo anterior, los artículos 35, numeral 22 de la Ley 734 de 2002 y 56, numeral 4 de la Ley 1952 de 2019, coinciden en señalar la prohibición en virtud de la cual funcionarios y exfuncionarios tienen vedada la posibilidad de prestar, a título personal o por interpuesta persona, servicios de asistencia, representación o asesoría en asuntos relacionados con las funciones propias del cargo o permitir que eso suceda con posterioridad a la dejación del cargo. La diferencia sustancial entre lo dispuesto en tales normas consiste en que, en lo relativo a los exfuncionarios, la disposición hoy día vigente redujo de dos a un año el periodo durante el cual rige la restricción para los exfuncionarios, el cual debe ser contado a partir de la dejación del cargo.</w:t>
      </w:r>
    </w:p>
    <w:p w14:paraId="56330EB6" w14:textId="77777777" w:rsidR="00117F45" w:rsidRPr="00A037C9" w:rsidRDefault="00117F45" w:rsidP="004E3054">
      <w:pPr>
        <w:spacing w:line="276" w:lineRule="auto"/>
        <w:ind w:firstLine="708"/>
        <w:jc w:val="both"/>
        <w:rPr>
          <w:rFonts w:ascii="Arial" w:hAnsi="Arial" w:cs="Arial"/>
        </w:rPr>
      </w:pPr>
    </w:p>
    <w:p w14:paraId="4AD77FED" w14:textId="77777777" w:rsidR="00EE6C29" w:rsidRDefault="00EE6C29" w:rsidP="004E3054">
      <w:pPr>
        <w:spacing w:line="276" w:lineRule="auto"/>
        <w:jc w:val="both"/>
        <w:rPr>
          <w:rFonts w:ascii="Arial" w:hAnsi="Arial" w:cs="Arial"/>
        </w:rPr>
      </w:pPr>
    </w:p>
    <w:p w14:paraId="470D62C8" w14:textId="77777777" w:rsidR="00EE6C29" w:rsidRDefault="00EE6C29" w:rsidP="004E3054">
      <w:pPr>
        <w:spacing w:line="276" w:lineRule="auto"/>
        <w:jc w:val="both"/>
        <w:rPr>
          <w:rFonts w:ascii="Arial" w:hAnsi="Arial" w:cs="Arial"/>
        </w:rPr>
      </w:pPr>
    </w:p>
    <w:p w14:paraId="1D5CF9D2" w14:textId="77777777" w:rsidR="00EE6C29" w:rsidRDefault="00EE6C29" w:rsidP="004E3054">
      <w:pPr>
        <w:spacing w:line="276" w:lineRule="auto"/>
        <w:jc w:val="both"/>
        <w:rPr>
          <w:rFonts w:ascii="Arial" w:hAnsi="Arial" w:cs="Arial"/>
        </w:rPr>
      </w:pPr>
    </w:p>
    <w:p w14:paraId="0340DBCD" w14:textId="77777777" w:rsidR="00EE6C29" w:rsidRDefault="00EE6C29" w:rsidP="004E3054">
      <w:pPr>
        <w:spacing w:line="276" w:lineRule="auto"/>
        <w:jc w:val="both"/>
        <w:rPr>
          <w:rFonts w:ascii="Arial" w:hAnsi="Arial" w:cs="Arial"/>
        </w:rPr>
      </w:pPr>
    </w:p>
    <w:p w14:paraId="3D74907B" w14:textId="77777777" w:rsidR="00EE6C29" w:rsidRDefault="00EE6C29" w:rsidP="004E3054">
      <w:pPr>
        <w:spacing w:line="276" w:lineRule="auto"/>
        <w:jc w:val="both"/>
        <w:rPr>
          <w:rFonts w:ascii="Arial" w:hAnsi="Arial" w:cs="Arial"/>
        </w:rPr>
      </w:pPr>
    </w:p>
    <w:p w14:paraId="5A8FCC81" w14:textId="77777777" w:rsidR="00EE6C29" w:rsidRDefault="00EE6C29" w:rsidP="004E3054">
      <w:pPr>
        <w:spacing w:line="276" w:lineRule="auto"/>
        <w:jc w:val="both"/>
        <w:rPr>
          <w:rFonts w:ascii="Arial" w:hAnsi="Arial" w:cs="Arial"/>
        </w:rPr>
      </w:pPr>
    </w:p>
    <w:p w14:paraId="36212233" w14:textId="77777777" w:rsidR="00EE6C29" w:rsidRDefault="00EE6C29" w:rsidP="004E3054">
      <w:pPr>
        <w:spacing w:line="276" w:lineRule="auto"/>
        <w:jc w:val="both"/>
        <w:rPr>
          <w:rFonts w:ascii="Arial" w:hAnsi="Arial" w:cs="Arial"/>
        </w:rPr>
      </w:pPr>
    </w:p>
    <w:p w14:paraId="3CB7D0DF" w14:textId="59A550FF" w:rsidR="004E3054" w:rsidRPr="00A037C9" w:rsidRDefault="004E3054" w:rsidP="004E3054">
      <w:pPr>
        <w:spacing w:line="276" w:lineRule="auto"/>
        <w:jc w:val="both"/>
        <w:rPr>
          <w:rFonts w:ascii="Arial" w:hAnsi="Arial" w:cs="Arial"/>
        </w:rPr>
      </w:pPr>
      <w:r w:rsidRPr="00A037C9">
        <w:rPr>
          <w:rFonts w:ascii="Arial" w:hAnsi="Arial" w:cs="Arial"/>
        </w:rPr>
        <w:t>Este concepto tiene el alcance previsto en el artículo 28 del Código de Procedimiento Administrativo y de lo Contencioso Administrativo.</w:t>
      </w:r>
    </w:p>
    <w:p w14:paraId="72D4D9A5" w14:textId="77777777" w:rsidR="004E3054" w:rsidRPr="00A037C9" w:rsidRDefault="004E3054" w:rsidP="004E3054">
      <w:pPr>
        <w:spacing w:line="276" w:lineRule="auto"/>
        <w:jc w:val="both"/>
        <w:rPr>
          <w:rFonts w:ascii="Arial" w:hAnsi="Arial" w:cs="Arial"/>
        </w:rPr>
      </w:pPr>
    </w:p>
    <w:p w14:paraId="6AAE7897" w14:textId="77777777" w:rsidR="004E3054" w:rsidRPr="00A037C9" w:rsidRDefault="004E3054" w:rsidP="004E3054">
      <w:pPr>
        <w:spacing w:line="276" w:lineRule="auto"/>
        <w:jc w:val="both"/>
        <w:rPr>
          <w:rFonts w:ascii="Arial" w:hAnsi="Arial" w:cs="Arial"/>
        </w:rPr>
      </w:pPr>
      <w:r w:rsidRPr="00A037C9">
        <w:rPr>
          <w:rFonts w:ascii="Arial" w:hAnsi="Arial" w:cs="Arial"/>
        </w:rPr>
        <w:t>Atentamente,</w:t>
      </w:r>
      <w:bookmarkEnd w:id="3"/>
    </w:p>
    <w:p w14:paraId="42551731" w14:textId="689B3AE4" w:rsidR="004E3054" w:rsidRPr="00117F45" w:rsidRDefault="00155219" w:rsidP="004E3054">
      <w:pPr>
        <w:spacing w:line="276" w:lineRule="auto"/>
        <w:jc w:val="center"/>
        <w:rPr>
          <w:rFonts w:ascii="Arial" w:hAnsi="Arial" w:cs="Arial"/>
          <w:lang w:eastAsia="es-CO"/>
        </w:rPr>
      </w:pPr>
      <w:r>
        <w:rPr>
          <w:noProof/>
        </w:rPr>
        <w:lastRenderedPageBreak/>
        <w:drawing>
          <wp:inline distT="0" distB="0" distL="0" distR="0" wp14:anchorId="262F311E" wp14:editId="7B7C222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55678093" w14:textId="77777777" w:rsidR="004E3054" w:rsidRPr="00117F45" w:rsidRDefault="004E3054" w:rsidP="004E3054">
      <w:pPr>
        <w:spacing w:line="276" w:lineRule="auto"/>
        <w:jc w:val="center"/>
        <w:rPr>
          <w:rFonts w:ascii="Arial" w:hAnsi="Arial" w:cs="Arial"/>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3054" w:rsidRPr="00117F45" w14:paraId="1ECCAA2F" w14:textId="77777777" w:rsidTr="00F524B4">
        <w:trPr>
          <w:trHeight w:val="315"/>
        </w:trPr>
        <w:tc>
          <w:tcPr>
            <w:tcW w:w="812" w:type="dxa"/>
            <w:vAlign w:val="center"/>
          </w:tcPr>
          <w:p w14:paraId="7EBC7611" w14:textId="77777777" w:rsidR="004E3054" w:rsidRPr="00117F45" w:rsidRDefault="004E3054" w:rsidP="00F524B4">
            <w:pPr>
              <w:spacing w:line="276" w:lineRule="auto"/>
              <w:rPr>
                <w:rFonts w:ascii="Arial" w:hAnsi="Arial" w:cs="Arial"/>
                <w:sz w:val="16"/>
                <w:szCs w:val="16"/>
                <w:lang w:eastAsia="es-ES"/>
              </w:rPr>
            </w:pPr>
            <w:r w:rsidRPr="00117F45">
              <w:rPr>
                <w:rFonts w:ascii="Arial" w:hAnsi="Arial" w:cs="Arial"/>
                <w:sz w:val="16"/>
                <w:szCs w:val="16"/>
                <w:lang w:eastAsia="es-ES"/>
              </w:rPr>
              <w:t>Elaboró:</w:t>
            </w:r>
          </w:p>
        </w:tc>
        <w:tc>
          <w:tcPr>
            <w:tcW w:w="4413" w:type="dxa"/>
            <w:tcBorders>
              <w:bottom w:val="dotted" w:sz="4" w:space="0" w:color="7F7F7F" w:themeColor="text1" w:themeTint="80"/>
            </w:tcBorders>
            <w:vAlign w:val="center"/>
          </w:tcPr>
          <w:p w14:paraId="1F0A753F" w14:textId="77777777" w:rsidR="004E3054" w:rsidRPr="00117F45" w:rsidRDefault="004E3054" w:rsidP="00F524B4">
            <w:pPr>
              <w:spacing w:line="276" w:lineRule="auto"/>
              <w:rPr>
                <w:rFonts w:ascii="Arial" w:hAnsi="Arial" w:cs="Arial"/>
                <w:color w:val="000000" w:themeColor="text1"/>
                <w:sz w:val="16"/>
                <w:szCs w:val="16"/>
                <w:lang w:val="es-ES_tradnl" w:eastAsia="es-ES"/>
              </w:rPr>
            </w:pPr>
            <w:r w:rsidRPr="00117F45">
              <w:rPr>
                <w:rFonts w:ascii="Arial" w:hAnsi="Arial" w:cs="Arial"/>
                <w:color w:val="000000" w:themeColor="text1"/>
                <w:sz w:val="16"/>
                <w:szCs w:val="16"/>
                <w:lang w:val="es-ES_tradnl" w:eastAsia="es-ES"/>
              </w:rPr>
              <w:t xml:space="preserve">María Valeska Medellín Mora </w:t>
            </w:r>
          </w:p>
          <w:p w14:paraId="6F40AA28" w14:textId="77777777" w:rsidR="004E3054" w:rsidRPr="00117F45" w:rsidRDefault="004E3054" w:rsidP="00F524B4">
            <w:pPr>
              <w:spacing w:line="276" w:lineRule="auto"/>
              <w:rPr>
                <w:rFonts w:ascii="Arial" w:hAnsi="Arial" w:cs="Arial"/>
                <w:sz w:val="16"/>
                <w:szCs w:val="16"/>
                <w:lang w:eastAsia="es-ES"/>
              </w:rPr>
            </w:pPr>
            <w:r w:rsidRPr="00117F45">
              <w:rPr>
                <w:rFonts w:ascii="Arial" w:hAnsi="Arial" w:cs="Arial"/>
                <w:color w:val="000000" w:themeColor="text1"/>
                <w:sz w:val="16"/>
                <w:szCs w:val="16"/>
                <w:lang w:val="es-ES_tradnl" w:eastAsia="es-ES"/>
              </w:rPr>
              <w:t>Gestor T1-15 de la Subdirección de Gestión Contractual</w:t>
            </w:r>
          </w:p>
        </w:tc>
      </w:tr>
      <w:tr w:rsidR="004E3054" w:rsidRPr="00117F45" w14:paraId="7804B298" w14:textId="77777777" w:rsidTr="00F524B4">
        <w:trPr>
          <w:trHeight w:val="330"/>
        </w:trPr>
        <w:tc>
          <w:tcPr>
            <w:tcW w:w="812" w:type="dxa"/>
            <w:vAlign w:val="center"/>
          </w:tcPr>
          <w:p w14:paraId="2CA9850C" w14:textId="77777777" w:rsidR="004E3054" w:rsidRPr="00117F45" w:rsidRDefault="004E3054" w:rsidP="00F524B4">
            <w:pPr>
              <w:spacing w:line="276" w:lineRule="auto"/>
              <w:rPr>
                <w:rFonts w:ascii="Arial" w:hAnsi="Arial" w:cs="Arial"/>
                <w:sz w:val="16"/>
                <w:szCs w:val="16"/>
                <w:lang w:eastAsia="es-ES"/>
              </w:rPr>
            </w:pPr>
            <w:r w:rsidRPr="00117F45">
              <w:rPr>
                <w:rFonts w:ascii="Arial"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E61EB22" w14:textId="77777777" w:rsidR="004E3054" w:rsidRPr="00117F45" w:rsidRDefault="004E3054" w:rsidP="00F524B4">
            <w:pPr>
              <w:spacing w:line="276" w:lineRule="auto"/>
              <w:rPr>
                <w:rFonts w:ascii="Arial" w:hAnsi="Arial" w:cs="Arial"/>
                <w:sz w:val="16"/>
                <w:szCs w:val="16"/>
                <w:lang w:eastAsia="es-ES"/>
              </w:rPr>
            </w:pPr>
            <w:r w:rsidRPr="00117F45">
              <w:rPr>
                <w:rFonts w:ascii="Arial" w:hAnsi="Arial" w:cs="Arial"/>
                <w:sz w:val="16"/>
                <w:szCs w:val="16"/>
                <w:lang w:eastAsia="es-ES"/>
              </w:rPr>
              <w:t>Alejandro Sarmiento Cantillo</w:t>
            </w:r>
          </w:p>
          <w:p w14:paraId="0D866606" w14:textId="77777777" w:rsidR="004E3054" w:rsidRPr="00117F45" w:rsidRDefault="004E3054" w:rsidP="00F524B4">
            <w:pPr>
              <w:spacing w:line="276" w:lineRule="auto"/>
              <w:rPr>
                <w:rFonts w:ascii="Arial" w:hAnsi="Arial" w:cs="Arial"/>
                <w:sz w:val="16"/>
                <w:szCs w:val="16"/>
                <w:lang w:eastAsia="es-ES"/>
              </w:rPr>
            </w:pPr>
            <w:r w:rsidRPr="00117F45">
              <w:rPr>
                <w:rFonts w:ascii="Arial" w:hAnsi="Arial" w:cs="Arial"/>
                <w:color w:val="000000" w:themeColor="text1"/>
                <w:sz w:val="16"/>
                <w:szCs w:val="16"/>
                <w:lang w:val="es-ES_tradnl" w:eastAsia="es-ES"/>
              </w:rPr>
              <w:t>Gestor T1-15 de la Subdirección de Gestión Contractual</w:t>
            </w:r>
          </w:p>
        </w:tc>
      </w:tr>
      <w:tr w:rsidR="004E3054" w:rsidRPr="00117F45" w14:paraId="4C509ABA" w14:textId="77777777" w:rsidTr="00F524B4">
        <w:trPr>
          <w:trHeight w:val="300"/>
        </w:trPr>
        <w:tc>
          <w:tcPr>
            <w:tcW w:w="812" w:type="dxa"/>
            <w:vAlign w:val="center"/>
          </w:tcPr>
          <w:p w14:paraId="674456D2" w14:textId="77777777" w:rsidR="004E3054" w:rsidRPr="00117F45" w:rsidRDefault="004E3054" w:rsidP="00F524B4">
            <w:pPr>
              <w:spacing w:line="276" w:lineRule="auto"/>
              <w:rPr>
                <w:rFonts w:ascii="Arial" w:hAnsi="Arial" w:cs="Arial"/>
                <w:sz w:val="16"/>
                <w:szCs w:val="16"/>
                <w:lang w:eastAsia="es-ES"/>
              </w:rPr>
            </w:pPr>
            <w:r w:rsidRPr="00117F45">
              <w:rPr>
                <w:rFonts w:ascii="Arial"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3C39BD1" w14:textId="77777777" w:rsidR="004E3054" w:rsidRPr="00117F45" w:rsidRDefault="004E3054" w:rsidP="00F524B4">
            <w:pPr>
              <w:spacing w:line="276" w:lineRule="auto"/>
              <w:rPr>
                <w:rFonts w:ascii="Arial" w:eastAsia="Calibri" w:hAnsi="Arial" w:cs="Arial"/>
                <w:sz w:val="16"/>
                <w:szCs w:val="16"/>
                <w:lang w:val="pt-BR" w:eastAsia="es-ES"/>
              </w:rPr>
            </w:pPr>
            <w:r w:rsidRPr="00117F45">
              <w:rPr>
                <w:rFonts w:ascii="Arial" w:eastAsia="Calibri" w:hAnsi="Arial" w:cs="Arial"/>
                <w:sz w:val="16"/>
                <w:szCs w:val="16"/>
                <w:lang w:val="pt-BR" w:eastAsia="es-ES"/>
              </w:rPr>
              <w:t>Nohelia Del Carmen Zawady Palacio</w:t>
            </w:r>
          </w:p>
          <w:p w14:paraId="423D7F7C" w14:textId="77777777" w:rsidR="004E3054" w:rsidRPr="00117F45" w:rsidRDefault="004E3054" w:rsidP="00F524B4">
            <w:pPr>
              <w:spacing w:line="276" w:lineRule="auto"/>
              <w:rPr>
                <w:rFonts w:ascii="Arial" w:hAnsi="Arial" w:cs="Arial"/>
                <w:sz w:val="16"/>
                <w:szCs w:val="16"/>
                <w:lang w:eastAsia="es-ES"/>
              </w:rPr>
            </w:pPr>
            <w:r w:rsidRPr="00117F45">
              <w:rPr>
                <w:rFonts w:ascii="Arial" w:eastAsia="Calibri" w:hAnsi="Arial" w:cs="Arial"/>
                <w:sz w:val="16"/>
                <w:szCs w:val="16"/>
                <w:lang w:eastAsia="es-ES"/>
              </w:rPr>
              <w:t xml:space="preserve">Subdirectora de Gestión Contractual </w:t>
            </w:r>
          </w:p>
        </w:tc>
      </w:tr>
    </w:tbl>
    <w:p w14:paraId="4B4CB3E0" w14:textId="77777777" w:rsidR="004E3054" w:rsidRPr="00117F45" w:rsidRDefault="004E3054" w:rsidP="004E3054">
      <w:pPr>
        <w:spacing w:line="276" w:lineRule="auto"/>
        <w:jc w:val="both"/>
        <w:rPr>
          <w:rFonts w:ascii="Arial" w:hAnsi="Arial" w:cs="Arial"/>
        </w:rPr>
      </w:pPr>
    </w:p>
    <w:p w14:paraId="589D7E34" w14:textId="77777777" w:rsidR="004E3054" w:rsidRPr="00117F45" w:rsidRDefault="004E3054" w:rsidP="004E3054">
      <w:pPr>
        <w:rPr>
          <w:rFonts w:ascii="Arial" w:hAnsi="Arial" w:cs="Arial"/>
          <w:color w:val="000000" w:themeColor="text1"/>
        </w:rPr>
      </w:pPr>
    </w:p>
    <w:p w14:paraId="0336C48E" w14:textId="77777777" w:rsidR="00C2132D" w:rsidRPr="00117F45" w:rsidRDefault="00C2132D" w:rsidP="00CA10CC">
      <w:pPr>
        <w:spacing w:line="276" w:lineRule="auto"/>
        <w:jc w:val="both"/>
        <w:rPr>
          <w:rFonts w:ascii="Arial" w:eastAsia="Calibri" w:hAnsi="Arial" w:cs="Arial"/>
          <w:sz w:val="22"/>
          <w:szCs w:val="22"/>
          <w:lang w:val="es-ES_tradnl"/>
        </w:rPr>
      </w:pPr>
    </w:p>
    <w:bookmarkEnd w:id="0"/>
    <w:sectPr w:rsidR="00C2132D" w:rsidRPr="00117F45" w:rsidSect="008F76EE">
      <w:headerReference w:type="default" r:id="rId14"/>
      <w:footerReference w:type="default" r:id="rId15"/>
      <w:pgSz w:w="12240" w:h="15840"/>
      <w:pgMar w:top="408" w:right="1701"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4865" w14:textId="77777777" w:rsidR="00D308C8" w:rsidRDefault="00D308C8" w:rsidP="0043584B">
      <w:r>
        <w:separator/>
      </w:r>
    </w:p>
  </w:endnote>
  <w:endnote w:type="continuationSeparator" w:id="0">
    <w:p w14:paraId="7186E387" w14:textId="77777777" w:rsidR="00D308C8" w:rsidRDefault="00D308C8" w:rsidP="004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2FFA" w14:textId="77777777" w:rsidR="00993A2A" w:rsidRDefault="00D133D4" w:rsidP="00993A2A">
    <w:pPr>
      <w:pStyle w:val="Piedepgina"/>
      <w:spacing w:after="0"/>
    </w:pPr>
    <w:r>
      <w:rPr>
        <w:noProof/>
        <w:lang w:val="en-US"/>
      </w:rPr>
      <w:drawing>
        <wp:inline distT="0" distB="0" distL="0" distR="0" wp14:anchorId="3D2B058D" wp14:editId="3680C76B">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3A1AF7F5"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70C452B"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C630B3"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A473810"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93EB386" w14:textId="77777777" w:rsidR="00993A2A" w:rsidRPr="004B6B0E" w:rsidRDefault="00D133D4" w:rsidP="00993A2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57A033A"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DAC978" w14:textId="77777777" w:rsidR="00993A2A" w:rsidRPr="00080DA3" w:rsidRDefault="00D133D4" w:rsidP="00993A2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86FF51C"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37A7421A" w14:textId="77777777" w:rsidR="00412132" w:rsidRPr="007B0854" w:rsidRDefault="004C694E" w:rsidP="00993A2A">
    <w:pPr>
      <w:pStyle w:val="Piedepgina"/>
      <w:spacing w:after="0" w:line="120" w:lineRule="auto"/>
      <w:rPr>
        <w:lang w:val="es-ES"/>
      </w:rPr>
    </w:pPr>
  </w:p>
  <w:p w14:paraId="269FBFF4" w14:textId="77777777" w:rsidR="00F7361C" w:rsidRDefault="004C694E"/>
  <w:p w14:paraId="5993CBAE" w14:textId="77777777" w:rsidR="00F7361C" w:rsidRDefault="004C69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44C8" w14:textId="77777777" w:rsidR="00D308C8" w:rsidRDefault="00D308C8" w:rsidP="0043584B">
      <w:r>
        <w:separator/>
      </w:r>
    </w:p>
  </w:footnote>
  <w:footnote w:type="continuationSeparator" w:id="0">
    <w:p w14:paraId="1DF937EC" w14:textId="77777777" w:rsidR="00D308C8" w:rsidRDefault="00D308C8" w:rsidP="0043584B">
      <w:r>
        <w:continuationSeparator/>
      </w:r>
    </w:p>
  </w:footnote>
  <w:footnote w:id="1">
    <w:p w14:paraId="578AF854" w14:textId="77777777" w:rsidR="004E3054" w:rsidRPr="00F524B4" w:rsidRDefault="004E3054" w:rsidP="004E3054">
      <w:pPr>
        <w:pStyle w:val="Textonotapie"/>
        <w:ind w:firstLine="708"/>
        <w:jc w:val="both"/>
        <w:rPr>
          <w:sz w:val="18"/>
          <w:szCs w:val="18"/>
        </w:rPr>
      </w:pPr>
      <w:r w:rsidRPr="00F524B4">
        <w:rPr>
          <w:rStyle w:val="Refdenotaalpie"/>
          <w:sz w:val="18"/>
          <w:szCs w:val="18"/>
        </w:rPr>
        <w:footnoteRef/>
      </w:r>
      <w:r w:rsidRPr="00F524B4">
        <w:rPr>
          <w:sz w:val="18"/>
          <w:szCs w:val="18"/>
        </w:rPr>
        <w:t xml:space="preserve"> Estos y los demás conceptos sobre el tema expedidos por la Agencia Nacional de Contratación Pública se encuentran disponibles para consulta en el portal web de relatoría, al cual se puede acceder a través del siguiente enlace: </w:t>
      </w:r>
      <w:hyperlink r:id="rId1" w:history="1">
        <w:r w:rsidRPr="00F524B4">
          <w:rPr>
            <w:rStyle w:val="Hipervnculo"/>
            <w:sz w:val="18"/>
            <w:szCs w:val="18"/>
          </w:rPr>
          <w:t xml:space="preserve">https://relatoria.colombiacompra.gov.co/ </w:t>
        </w:r>
      </w:hyperlink>
      <w:r w:rsidRPr="00F524B4">
        <w:rPr>
          <w:sz w:val="18"/>
          <w:szCs w:val="18"/>
        </w:rPr>
        <w:t xml:space="preserve"> </w:t>
      </w:r>
    </w:p>
  </w:footnote>
  <w:footnote w:id="2">
    <w:p w14:paraId="0965A415"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El artículo 6 de la Ley 80 de 1993, modificado por el artículo 1 de la Ley 2160 de 2021 expresa: </w:t>
      </w:r>
      <w:r w:rsidRPr="00F524B4">
        <w:rPr>
          <w:color w:val="000000" w:themeColor="text1"/>
          <w:sz w:val="16"/>
          <w:szCs w:val="16"/>
        </w:rPr>
        <w: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hyperlink r:id="rId2" w:anchor="INICIO" w:history="1">
        <w:r w:rsidRPr="00F524B4">
          <w:rPr>
            <w:rStyle w:val="Hipervnculo"/>
            <w:color w:val="000000" w:themeColor="text1"/>
            <w:sz w:val="16"/>
            <w:szCs w:val="16"/>
          </w:rPr>
          <w:t>70</w:t>
        </w:r>
      </w:hyperlink>
      <w:r w:rsidRPr="00F524B4">
        <w:rPr>
          <w:color w:val="000000" w:themeColor="text1"/>
          <w:sz w:val="16"/>
          <w:szCs w:val="16"/>
        </w:rPr>
        <w:t> de 1993</w:t>
      </w:r>
    </w:p>
    <w:p w14:paraId="1B546CE2" w14:textId="77777777" w:rsidR="004E3054" w:rsidRPr="00F524B4" w:rsidRDefault="004E3054" w:rsidP="004E3054">
      <w:pPr>
        <w:pStyle w:val="Textonotapie"/>
        <w:ind w:firstLine="709"/>
        <w:jc w:val="both"/>
        <w:rPr>
          <w:color w:val="000000" w:themeColor="text1"/>
          <w:sz w:val="16"/>
          <w:szCs w:val="16"/>
        </w:rPr>
      </w:pPr>
      <w:r w:rsidRPr="00F524B4">
        <w:rPr>
          <w:color w:val="000000" w:themeColor="text1"/>
          <w:sz w:val="16"/>
          <w:szCs w:val="16"/>
        </w:rPr>
        <w:t>» 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10E1D6DF" w14:textId="77777777" w:rsidR="004E3054" w:rsidRPr="00F524B4" w:rsidRDefault="004E3054" w:rsidP="004E3054">
      <w:pPr>
        <w:pStyle w:val="Textonotapie"/>
        <w:ind w:firstLine="709"/>
        <w:jc w:val="both"/>
        <w:rPr>
          <w:color w:val="000000" w:themeColor="text1"/>
          <w:sz w:val="16"/>
          <w:szCs w:val="16"/>
        </w:rPr>
      </w:pPr>
      <w:r w:rsidRPr="00F524B4">
        <w:rPr>
          <w:color w:val="000000" w:themeColor="text1"/>
          <w:sz w:val="16"/>
          <w:szCs w:val="16"/>
        </w:rPr>
        <w:t>» Las personas jurídicas nacionales y extranjeras deberán acreditar que su duración no será inferior a la del plazo del contrato y un año más».</w:t>
      </w:r>
    </w:p>
    <w:p w14:paraId="42FCE867" w14:textId="77777777" w:rsidR="004E3054" w:rsidRPr="00F524B4" w:rsidRDefault="004E3054" w:rsidP="004E3054">
      <w:pPr>
        <w:pStyle w:val="Textonotapie"/>
        <w:ind w:firstLine="709"/>
        <w:jc w:val="both"/>
        <w:rPr>
          <w:color w:val="000000" w:themeColor="text1"/>
          <w:sz w:val="16"/>
          <w:szCs w:val="16"/>
        </w:rPr>
      </w:pPr>
    </w:p>
  </w:footnote>
  <w:footnote w:id="3">
    <w:p w14:paraId="7B6C8484"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El artículo 1502 del Código Civil prevé la capacidad legal como requisito para obligarse contractualmente, en los siguientes términos: «Para que una persona se obligue a otra por un acto o declaración de voluntad, es necesario:</w:t>
      </w:r>
    </w:p>
    <w:p w14:paraId="0D24B8A3" w14:textId="77777777" w:rsidR="004E3054" w:rsidRPr="00F524B4" w:rsidRDefault="004E3054" w:rsidP="004E3054">
      <w:pPr>
        <w:pStyle w:val="Textonotapie"/>
        <w:ind w:firstLine="709"/>
        <w:jc w:val="both"/>
        <w:rPr>
          <w:color w:val="000000" w:themeColor="text1"/>
          <w:sz w:val="16"/>
          <w:szCs w:val="16"/>
        </w:rPr>
      </w:pPr>
      <w:r w:rsidRPr="00F524B4">
        <w:rPr>
          <w:color w:val="000000" w:themeColor="text1"/>
          <w:sz w:val="16"/>
          <w:szCs w:val="16"/>
        </w:rPr>
        <w:t>»1o.) que sea legalmente capaz.</w:t>
      </w:r>
    </w:p>
    <w:p w14:paraId="54CC0248" w14:textId="77777777" w:rsidR="004E3054" w:rsidRPr="00F524B4" w:rsidRDefault="004E3054" w:rsidP="004E3054">
      <w:pPr>
        <w:pStyle w:val="Textonotapie"/>
        <w:ind w:firstLine="709"/>
        <w:jc w:val="both"/>
        <w:rPr>
          <w:color w:val="000000" w:themeColor="text1"/>
          <w:sz w:val="16"/>
          <w:szCs w:val="16"/>
        </w:rPr>
      </w:pPr>
      <w:r w:rsidRPr="00F524B4">
        <w:rPr>
          <w:color w:val="000000" w:themeColor="text1"/>
          <w:sz w:val="16"/>
          <w:szCs w:val="16"/>
        </w:rPr>
        <w:t>[…]</w:t>
      </w:r>
    </w:p>
    <w:p w14:paraId="31805F6C" w14:textId="77777777" w:rsidR="004E3054" w:rsidRPr="00F524B4" w:rsidRDefault="004E3054" w:rsidP="004E3054">
      <w:pPr>
        <w:pStyle w:val="Textonotapie"/>
        <w:ind w:firstLine="709"/>
        <w:jc w:val="both"/>
        <w:rPr>
          <w:color w:val="000000" w:themeColor="text1"/>
          <w:sz w:val="16"/>
          <w:szCs w:val="16"/>
        </w:rPr>
      </w:pPr>
      <w:r w:rsidRPr="00F524B4">
        <w:rPr>
          <w:color w:val="000000" w:themeColor="text1"/>
          <w:sz w:val="16"/>
          <w:szCs w:val="16"/>
        </w:rPr>
        <w:t>»La capacidad legal de una persona consiste en poderse obligar por sí misma, sin el ministerio o la autorización de otra».</w:t>
      </w:r>
    </w:p>
    <w:p w14:paraId="24D96EDA" w14:textId="77777777" w:rsidR="004E3054" w:rsidRPr="00F524B4" w:rsidRDefault="004E3054" w:rsidP="004E3054">
      <w:pPr>
        <w:pStyle w:val="Textonotapie"/>
        <w:ind w:firstLine="709"/>
        <w:jc w:val="both"/>
        <w:rPr>
          <w:color w:val="000000" w:themeColor="text1"/>
          <w:sz w:val="16"/>
          <w:szCs w:val="16"/>
          <w:lang w:val="es-CO"/>
        </w:rPr>
      </w:pPr>
    </w:p>
  </w:footnote>
  <w:footnote w:id="4">
    <w:p w14:paraId="447E7903"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Los incisos 1 y 2 de dicho artículo disponen: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2F53D6F" w14:textId="77777777" w:rsidR="004E3054" w:rsidRPr="00F524B4" w:rsidRDefault="004E3054" w:rsidP="004E3054">
      <w:pPr>
        <w:pStyle w:val="Textonotapie"/>
        <w:ind w:firstLine="709"/>
        <w:jc w:val="both"/>
        <w:rPr>
          <w:color w:val="000000" w:themeColor="text1"/>
          <w:sz w:val="16"/>
          <w:szCs w:val="16"/>
        </w:rPr>
      </w:pPr>
      <w:r w:rsidRPr="00F524B4">
        <w:rPr>
          <w:color w:val="000000" w:themeColor="text1"/>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542A0E4" w14:textId="77777777" w:rsidR="004E3054" w:rsidRPr="00F524B4" w:rsidRDefault="004E3054" w:rsidP="004E3054">
      <w:pPr>
        <w:pStyle w:val="Textonotapie"/>
        <w:ind w:firstLine="709"/>
        <w:jc w:val="both"/>
        <w:rPr>
          <w:color w:val="000000" w:themeColor="text1"/>
          <w:sz w:val="16"/>
          <w:szCs w:val="16"/>
          <w:lang w:val="es-CO"/>
        </w:rPr>
      </w:pPr>
    </w:p>
  </w:footnote>
  <w:footnote w:id="5">
    <w:p w14:paraId="7823354C"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En tal sentido, José Luis Benavides comenta que «Aunque la mayoría de las reglas limitativas de la responsabilidad contractual se aplican a la administración, existen también algunas restricciones importantes a la capacidad de los contratistas: </w:t>
      </w:r>
      <w:r w:rsidRPr="00F524B4">
        <w:rPr>
          <w:i/>
          <w:color w:val="000000" w:themeColor="text1"/>
          <w:sz w:val="16"/>
          <w:szCs w:val="16"/>
        </w:rPr>
        <w:t>el régimen de inhabilidades e incompatibilidades</w:t>
      </w:r>
      <w:r w:rsidRPr="00F524B4">
        <w:rPr>
          <w:color w:val="000000" w:themeColor="text1"/>
          <w:sz w:val="16"/>
          <w:szCs w:val="16"/>
        </w:rPr>
        <w:t xml:space="preserve"> (1) y la obligación de ciertos proponentes de inscribirse en el </w:t>
      </w:r>
      <w:r w:rsidRPr="00F524B4">
        <w:rPr>
          <w:i/>
          <w:color w:val="000000" w:themeColor="text1"/>
          <w:sz w:val="16"/>
          <w:szCs w:val="16"/>
        </w:rPr>
        <w:t>registro único</w:t>
      </w:r>
      <w:r w:rsidRPr="00F524B4">
        <w:rPr>
          <w:color w:val="000000" w:themeColor="text1"/>
          <w:sz w:val="16"/>
          <w:szCs w:val="16"/>
        </w:rPr>
        <w:t xml:space="preserve"> (2)» (BENAVIDES, José Luis. El contrato estatal. Entre el Derecho público y el Derecho privado. 2ª ed. Bogotá: Universidad Externado de Colombia, 2004. p. 278). </w:t>
      </w:r>
    </w:p>
    <w:p w14:paraId="79C0A914" w14:textId="77777777" w:rsidR="004E3054" w:rsidRPr="00F524B4" w:rsidRDefault="004E3054" w:rsidP="004E3054">
      <w:pPr>
        <w:pStyle w:val="Textonotapie"/>
        <w:ind w:firstLine="709"/>
        <w:jc w:val="both"/>
        <w:rPr>
          <w:color w:val="000000" w:themeColor="text1"/>
          <w:sz w:val="16"/>
          <w:szCs w:val="16"/>
        </w:rPr>
      </w:pPr>
    </w:p>
  </w:footnote>
  <w:footnote w:id="6">
    <w:p w14:paraId="6F2369DC" w14:textId="77777777" w:rsidR="004E3054" w:rsidRDefault="004E3054" w:rsidP="004E3054">
      <w:pPr>
        <w:ind w:firstLine="709"/>
        <w:jc w:val="both"/>
        <w:rPr>
          <w:rFonts w:ascii="Arial" w:hAnsi="Arial" w:cs="Arial"/>
          <w:color w:val="000000" w:themeColor="text1"/>
          <w:sz w:val="16"/>
          <w:szCs w:val="16"/>
          <w:lang w:val="es-ES"/>
        </w:rPr>
      </w:pPr>
      <w:r w:rsidRPr="0016786B">
        <w:rPr>
          <w:rStyle w:val="Refdenotaalpie"/>
          <w:rFonts w:ascii="Arial" w:hAnsi="Arial" w:cs="Arial"/>
          <w:color w:val="000000" w:themeColor="text1"/>
          <w:sz w:val="16"/>
          <w:szCs w:val="16"/>
        </w:rPr>
        <w:footnoteRef/>
      </w:r>
      <w:r w:rsidRPr="0016786B">
        <w:rPr>
          <w:rFonts w:ascii="Arial" w:hAnsi="Arial" w:cs="Arial"/>
          <w:color w:val="000000" w:themeColor="text1"/>
          <w:sz w:val="16"/>
          <w:szCs w:val="16"/>
        </w:rPr>
        <w:t xml:space="preserve"> </w:t>
      </w:r>
      <w:r w:rsidRPr="0016786B">
        <w:rPr>
          <w:rFonts w:ascii="Arial" w:hAnsi="Arial" w:cs="Arial"/>
          <w:color w:val="000000" w:themeColor="text1"/>
          <w:sz w:val="16"/>
          <w:szCs w:val="16"/>
          <w:lang w:val="es-ES"/>
        </w:rPr>
        <w:t xml:space="preserve">Son inhabilidades que responden a esta circunstancia, entre otras, las siguientes: «Quienes participaron en las licitaciones o celebraron los contratos de que trata el literal anterior estando inhabilitados» (art. 8, </w:t>
      </w:r>
      <w:r w:rsidRPr="0016786B">
        <w:rPr>
          <w:rFonts w:ascii="Arial" w:hAnsi="Arial" w:cs="Arial"/>
          <w:color w:val="000000" w:themeColor="text1"/>
          <w:sz w:val="16"/>
          <w:szCs w:val="16"/>
          <w:lang w:val="es-ES"/>
        </w:rPr>
        <w:t>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3CA11808" w14:textId="77777777" w:rsidR="004E3054" w:rsidRPr="0016786B" w:rsidRDefault="004E3054" w:rsidP="004E3054">
      <w:pPr>
        <w:ind w:firstLine="709"/>
        <w:jc w:val="both"/>
        <w:rPr>
          <w:rFonts w:ascii="Arial" w:hAnsi="Arial" w:cs="Arial"/>
          <w:color w:val="000000" w:themeColor="text1"/>
          <w:sz w:val="16"/>
          <w:szCs w:val="16"/>
          <w:lang w:val="es-ES"/>
        </w:rPr>
      </w:pPr>
    </w:p>
  </w:footnote>
  <w:footnote w:id="7">
    <w:p w14:paraId="0B23AF2B"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r w:rsidRPr="00F524B4">
        <w:rPr>
          <w:color w:val="000000" w:themeColor="text1"/>
          <w:sz w:val="16"/>
          <w:szCs w:val="16"/>
        </w:rPr>
        <w:t>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7303CA4D" w14:textId="77777777" w:rsidR="004E3054" w:rsidRPr="00F524B4" w:rsidRDefault="004E3054" w:rsidP="004E3054">
      <w:pPr>
        <w:pStyle w:val="Textonotapie"/>
        <w:ind w:firstLine="709"/>
        <w:jc w:val="both"/>
        <w:rPr>
          <w:color w:val="000000" w:themeColor="text1"/>
          <w:sz w:val="16"/>
          <w:szCs w:val="16"/>
          <w:lang w:val="es-CO"/>
        </w:rPr>
      </w:pPr>
    </w:p>
  </w:footnote>
  <w:footnote w:id="8">
    <w:p w14:paraId="7374E953"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r w:rsidRPr="00F524B4">
        <w:rPr>
          <w:color w:val="000000" w:themeColor="text1"/>
          <w:sz w:val="16"/>
          <w:szCs w:val="16"/>
        </w:rPr>
        <w:t xml:space="preserve">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67281102" w14:textId="77777777" w:rsidR="004E3054" w:rsidRPr="00F524B4" w:rsidRDefault="004E3054" w:rsidP="004E3054">
      <w:pPr>
        <w:pStyle w:val="Textonotapie"/>
        <w:ind w:firstLine="709"/>
        <w:jc w:val="both"/>
        <w:rPr>
          <w:color w:val="000000" w:themeColor="text1"/>
          <w:sz w:val="16"/>
          <w:szCs w:val="16"/>
          <w:lang w:val="es-CO"/>
        </w:rPr>
      </w:pPr>
      <w:r w:rsidRPr="00F524B4">
        <w:rPr>
          <w:color w:val="000000" w:themeColor="text1"/>
          <w:sz w:val="16"/>
          <w:szCs w:val="16"/>
        </w:rPr>
        <w:t xml:space="preserve">  </w:t>
      </w:r>
    </w:p>
  </w:footnote>
  <w:footnote w:id="9">
    <w:p w14:paraId="07215D4F" w14:textId="77777777" w:rsidR="004E3054" w:rsidRPr="0016786B" w:rsidRDefault="004E3054" w:rsidP="004E3054">
      <w:pPr>
        <w:ind w:firstLine="709"/>
        <w:jc w:val="both"/>
        <w:rPr>
          <w:rFonts w:ascii="Arial" w:hAnsi="Arial" w:cs="Arial"/>
          <w:color w:val="000000" w:themeColor="text1"/>
          <w:sz w:val="16"/>
          <w:szCs w:val="16"/>
          <w:lang w:val="es-ES"/>
        </w:rPr>
      </w:pPr>
      <w:r w:rsidRPr="0016786B">
        <w:rPr>
          <w:rStyle w:val="Refdenotaalpie"/>
          <w:rFonts w:ascii="Arial" w:hAnsi="Arial" w:cs="Arial"/>
          <w:color w:val="000000" w:themeColor="text1"/>
          <w:sz w:val="16"/>
          <w:szCs w:val="16"/>
        </w:rPr>
        <w:footnoteRef/>
      </w:r>
      <w:r w:rsidRPr="0016786B">
        <w:rPr>
          <w:rFonts w:ascii="Arial" w:hAnsi="Arial" w:cs="Arial"/>
          <w:color w:val="000000" w:themeColor="text1"/>
          <w:sz w:val="16"/>
          <w:szCs w:val="16"/>
        </w:rPr>
        <w:t xml:space="preserve"> </w:t>
      </w:r>
      <w:r w:rsidRPr="0016786B">
        <w:rPr>
          <w:rFonts w:ascii="Arial" w:hAnsi="Arial" w:cs="Arial"/>
          <w:color w:val="000000" w:themeColor="text1"/>
          <w:sz w:val="16"/>
          <w:szCs w:val="16"/>
          <w:lang w:val="es-ES"/>
        </w:rPr>
        <w:t xml:space="preserve">Como las señaladas a continuación: «Los servidores públicos» (art. 8, </w:t>
      </w:r>
      <w:r w:rsidRPr="0016786B">
        <w:rPr>
          <w:rFonts w:ascii="Arial" w:hAnsi="Arial" w:cs="Arial"/>
          <w:color w:val="000000" w:themeColor="text1"/>
          <w:sz w:val="16"/>
          <w:szCs w:val="16"/>
          <w:lang w:val="es-ES"/>
        </w:rPr>
        <w:t xml:space="preserve">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2605628A" w14:textId="77777777" w:rsidR="004E3054" w:rsidRPr="0016786B" w:rsidRDefault="004E3054" w:rsidP="004E3054">
      <w:pPr>
        <w:ind w:firstLine="709"/>
        <w:jc w:val="both"/>
        <w:rPr>
          <w:rFonts w:ascii="Arial" w:hAnsi="Arial" w:cs="Arial"/>
          <w:color w:val="000000" w:themeColor="text1"/>
          <w:sz w:val="16"/>
          <w:szCs w:val="16"/>
          <w:lang w:val="es-ES"/>
        </w:rPr>
      </w:pPr>
    </w:p>
  </w:footnote>
  <w:footnote w:id="10">
    <w:p w14:paraId="37A1FC82"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BARRETO ROZO, Antonio Alejandro. Inhabilidades de la contratación estatal, efectos y </w:t>
      </w:r>
      <w:r w:rsidRPr="00F524B4">
        <w:rPr>
          <w:color w:val="000000" w:themeColor="text1"/>
          <w:sz w:val="16"/>
          <w:szCs w:val="16"/>
        </w:rPr>
        <w:t>neopunitivismo en el Estatuto Anticorrupción. En: ALVIAR GARCÍA, Helena (Coordinadora). Nuevas tendencias del Derecho administrativo. Bogotá: Universidad de los Andes; Temis, 2016. pp. 63-99.</w:t>
      </w:r>
    </w:p>
    <w:p w14:paraId="5C60DFCA" w14:textId="77777777" w:rsidR="004E3054" w:rsidRPr="00F524B4" w:rsidRDefault="004E3054" w:rsidP="004E3054">
      <w:pPr>
        <w:pStyle w:val="Textonotapie"/>
        <w:ind w:firstLine="709"/>
        <w:jc w:val="both"/>
        <w:rPr>
          <w:color w:val="000000" w:themeColor="text1"/>
          <w:sz w:val="16"/>
          <w:szCs w:val="16"/>
        </w:rPr>
      </w:pPr>
    </w:p>
  </w:footnote>
  <w:footnote w:id="11">
    <w:p w14:paraId="0B763D0D"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w:t>
      </w:r>
      <w:r w:rsidRPr="00F524B4">
        <w:rPr>
          <w:i/>
          <w:color w:val="000000" w:themeColor="text1"/>
          <w:sz w:val="16"/>
          <w:szCs w:val="16"/>
        </w:rPr>
        <w:t>Ibíd</w:t>
      </w:r>
      <w:r w:rsidRPr="00F524B4">
        <w:rPr>
          <w:color w:val="000000" w:themeColor="text1"/>
          <w:sz w:val="16"/>
          <w:szCs w:val="16"/>
        </w:rPr>
        <w:t>., p. 69.</w:t>
      </w:r>
    </w:p>
    <w:p w14:paraId="5210C814" w14:textId="77777777" w:rsidR="004E3054" w:rsidRPr="00F524B4" w:rsidRDefault="004E3054" w:rsidP="004E3054">
      <w:pPr>
        <w:pStyle w:val="Textonotapie"/>
        <w:ind w:firstLine="709"/>
        <w:jc w:val="both"/>
        <w:rPr>
          <w:color w:val="000000" w:themeColor="text1"/>
          <w:sz w:val="16"/>
          <w:szCs w:val="16"/>
        </w:rPr>
      </w:pPr>
    </w:p>
  </w:footnote>
  <w:footnote w:id="12">
    <w:p w14:paraId="68D8957C"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57EB974D" w14:textId="77777777" w:rsidR="004E3054" w:rsidRPr="00F524B4" w:rsidRDefault="004E3054" w:rsidP="004E3054">
      <w:pPr>
        <w:pStyle w:val="Textonotapie"/>
        <w:ind w:firstLine="709"/>
        <w:jc w:val="both"/>
        <w:rPr>
          <w:color w:val="000000" w:themeColor="text1"/>
          <w:sz w:val="16"/>
          <w:szCs w:val="16"/>
        </w:rPr>
      </w:pPr>
    </w:p>
  </w:footnote>
  <w:footnote w:id="13">
    <w:p w14:paraId="04185C56"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Consejo de Estado. Sala de Consulta y Servicio Civil. Concepto del 30 de abril de 2015. Expediente: 2251. Consejero Ponente: Álvaro </w:t>
      </w:r>
      <w:r w:rsidRPr="00F524B4">
        <w:rPr>
          <w:color w:val="000000" w:themeColor="text1"/>
          <w:sz w:val="16"/>
          <w:szCs w:val="16"/>
        </w:rPr>
        <w:t>Namén Vargas.</w:t>
      </w:r>
    </w:p>
    <w:p w14:paraId="359B1048" w14:textId="77777777" w:rsidR="004E3054" w:rsidRPr="00F524B4" w:rsidRDefault="004E3054" w:rsidP="004E3054">
      <w:pPr>
        <w:pStyle w:val="Textonotapie"/>
        <w:ind w:firstLine="709"/>
        <w:jc w:val="both"/>
        <w:rPr>
          <w:color w:val="000000" w:themeColor="text1"/>
          <w:sz w:val="16"/>
          <w:szCs w:val="16"/>
        </w:rPr>
      </w:pPr>
    </w:p>
  </w:footnote>
  <w:footnote w:id="14">
    <w:p w14:paraId="18CC671C"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Consejo de Estado. Sección Tercera. Subsección A. Sentencia del 24 de junio de 2015. </w:t>
      </w:r>
      <w:r w:rsidRPr="00F524B4">
        <w:rPr>
          <w:color w:val="000000" w:themeColor="text1"/>
          <w:sz w:val="16"/>
          <w:szCs w:val="16"/>
        </w:rPr>
        <w:t>Exp. 40.635. Consejero Ponente: Hernán Andrade Rincón (E).</w:t>
      </w:r>
    </w:p>
    <w:p w14:paraId="749C658D" w14:textId="77777777" w:rsidR="004E3054" w:rsidRPr="00F524B4" w:rsidRDefault="004E3054" w:rsidP="004E3054">
      <w:pPr>
        <w:pStyle w:val="Textonotapie"/>
        <w:ind w:firstLine="709"/>
        <w:jc w:val="both"/>
        <w:rPr>
          <w:color w:val="000000" w:themeColor="text1"/>
          <w:sz w:val="16"/>
          <w:szCs w:val="16"/>
        </w:rPr>
      </w:pPr>
    </w:p>
  </w:footnote>
  <w:footnote w:id="15">
    <w:p w14:paraId="2EF0BDE5" w14:textId="77777777" w:rsidR="004E3054" w:rsidRPr="00F524B4" w:rsidRDefault="004E3054" w:rsidP="004E3054">
      <w:pPr>
        <w:pStyle w:val="Textonotapie"/>
        <w:ind w:firstLine="709"/>
        <w:jc w:val="both"/>
        <w:rPr>
          <w:color w:val="000000" w:themeColor="text1"/>
          <w:sz w:val="16"/>
          <w:szCs w:val="16"/>
        </w:rPr>
      </w:pPr>
      <w:r w:rsidRPr="00F524B4">
        <w:rPr>
          <w:rStyle w:val="Refdenotaalpie"/>
          <w:color w:val="000000" w:themeColor="text1"/>
          <w:sz w:val="16"/>
          <w:szCs w:val="16"/>
        </w:rPr>
        <w:footnoteRef/>
      </w:r>
      <w:r w:rsidRPr="00F524B4">
        <w:rPr>
          <w:color w:val="000000" w:themeColor="text1"/>
          <w:sz w:val="16"/>
          <w:szCs w:val="16"/>
        </w:rPr>
        <w:t xml:space="preserve"> Consejo de Estado. Sección Tercera. Subsección C. Sentencia del 22 de mayo de 2013. </w:t>
      </w:r>
      <w:r w:rsidRPr="00F524B4">
        <w:rPr>
          <w:color w:val="000000" w:themeColor="text1"/>
          <w:sz w:val="16"/>
          <w:szCs w:val="16"/>
        </w:rPr>
        <w:t>Exp. 24.057. Consejera Ponente: Olga Melida Valle De De La Hoz.</w:t>
      </w:r>
    </w:p>
    <w:p w14:paraId="64B1D4C7" w14:textId="77777777" w:rsidR="004E3054" w:rsidRPr="00F524B4" w:rsidRDefault="004E3054" w:rsidP="004E3054">
      <w:pPr>
        <w:pStyle w:val="Textonotapie"/>
        <w:ind w:firstLine="709"/>
        <w:jc w:val="both"/>
        <w:rPr>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C29" w14:textId="77777777" w:rsidR="00B80D63" w:rsidRDefault="00B80D63" w:rsidP="00993A2A">
    <w:pPr>
      <w:rPr>
        <w:rFonts w:ascii="Geomanist Bold" w:hAnsi="Geomanist Bold"/>
        <w:color w:val="002060"/>
      </w:rPr>
    </w:pPr>
  </w:p>
  <w:p w14:paraId="61D8C171" w14:textId="24C646CC" w:rsidR="00712B28" w:rsidRDefault="00F3129C" w:rsidP="00993A2A">
    <w:pPr>
      <w:rPr>
        <w:rFonts w:ascii="Geomanist Bold" w:hAnsi="Geomanist Bold"/>
        <w:color w:val="002060"/>
      </w:rPr>
    </w:pPr>
    <w:r w:rsidRPr="008614E5">
      <w:rPr>
        <w:rFonts w:ascii="Geomanist Bold" w:hAnsi="Geomanist Bold"/>
        <w:color w:val="002060"/>
      </w:rPr>
      <w:t>FORMATO PQRSD</w:t>
    </w:r>
  </w:p>
  <w:p w14:paraId="6813E419" w14:textId="389E00B1" w:rsidR="00993A2A" w:rsidRPr="003F58A1" w:rsidRDefault="00D133D4" w:rsidP="00993A2A">
    <w:pPr>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28BFC413" wp14:editId="5FD1D22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5857935C" w14:textId="77777777" w:rsidTr="00B53489">
      <w:tc>
        <w:tcPr>
          <w:tcW w:w="6756" w:type="dxa"/>
        </w:tcPr>
        <w:p w14:paraId="5E228DAA" w14:textId="77777777" w:rsidR="00993A2A" w:rsidRPr="006478E3" w:rsidRDefault="00D133D4" w:rsidP="00993A2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6EA192E3" w14:textId="77777777" w:rsidR="00993A2A" w:rsidRPr="0057618A" w:rsidRDefault="00D133D4" w:rsidP="00993A2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78D1064" w14:textId="77777777" w:rsidR="00993A2A" w:rsidRPr="00367110" w:rsidRDefault="004C694E" w:rsidP="00993A2A">
          <w:pPr>
            <w:jc w:val="right"/>
            <w:rPr>
              <w:rFonts w:eastAsia="Arial Nova" w:cs="Arial Nova"/>
              <w:lang w:eastAsia="es-CO"/>
            </w:rPr>
          </w:pPr>
        </w:p>
      </w:tc>
      <w:tc>
        <w:tcPr>
          <w:tcW w:w="1324" w:type="dxa"/>
        </w:tcPr>
        <w:p w14:paraId="09BAA4F9" w14:textId="77777777" w:rsidR="00993A2A" w:rsidRPr="00367110" w:rsidRDefault="004C694E" w:rsidP="00993A2A">
          <w:pPr>
            <w:jc w:val="right"/>
            <w:rPr>
              <w:rFonts w:eastAsia="Arial Nova" w:cs="Arial Nova"/>
              <w:lang w:eastAsia="es-CO"/>
            </w:rPr>
          </w:pPr>
        </w:p>
      </w:tc>
    </w:tr>
  </w:tbl>
  <w:p w14:paraId="32BD2563" w14:textId="77777777" w:rsidR="00993A2A" w:rsidRPr="00906B3C" w:rsidRDefault="00D133D4"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0F775C43" wp14:editId="711B3E1E">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8C0398"/>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91165310">
    <w:abstractNumId w:val="1"/>
  </w:num>
  <w:num w:numId="2" w16cid:durableId="12901595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51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4B"/>
    <w:rsid w:val="00015FB9"/>
    <w:rsid w:val="000250AD"/>
    <w:rsid w:val="000354F1"/>
    <w:rsid w:val="00042124"/>
    <w:rsid w:val="00045B0C"/>
    <w:rsid w:val="0007502A"/>
    <w:rsid w:val="00092B28"/>
    <w:rsid w:val="000A24C4"/>
    <w:rsid w:val="000B0B66"/>
    <w:rsid w:val="000C4829"/>
    <w:rsid w:val="000E7751"/>
    <w:rsid w:val="00117F45"/>
    <w:rsid w:val="00126B96"/>
    <w:rsid w:val="00154315"/>
    <w:rsid w:val="00155219"/>
    <w:rsid w:val="001579E5"/>
    <w:rsid w:val="00157AB6"/>
    <w:rsid w:val="0016786B"/>
    <w:rsid w:val="0017184B"/>
    <w:rsid w:val="001A1831"/>
    <w:rsid w:val="001D31E6"/>
    <w:rsid w:val="001F21EB"/>
    <w:rsid w:val="001F238C"/>
    <w:rsid w:val="001F3152"/>
    <w:rsid w:val="001F333E"/>
    <w:rsid w:val="001F3549"/>
    <w:rsid w:val="002155A0"/>
    <w:rsid w:val="00223B6A"/>
    <w:rsid w:val="002363B4"/>
    <w:rsid w:val="00236E9F"/>
    <w:rsid w:val="002532AD"/>
    <w:rsid w:val="00276738"/>
    <w:rsid w:val="002B7B3C"/>
    <w:rsid w:val="002C64BF"/>
    <w:rsid w:val="002D4666"/>
    <w:rsid w:val="002E6DC1"/>
    <w:rsid w:val="00315259"/>
    <w:rsid w:val="00324EAE"/>
    <w:rsid w:val="00360EA0"/>
    <w:rsid w:val="00372329"/>
    <w:rsid w:val="00393621"/>
    <w:rsid w:val="003C797B"/>
    <w:rsid w:val="003C7A48"/>
    <w:rsid w:val="003E19E4"/>
    <w:rsid w:val="003E2D33"/>
    <w:rsid w:val="0040282C"/>
    <w:rsid w:val="00424979"/>
    <w:rsid w:val="0043584B"/>
    <w:rsid w:val="004367EF"/>
    <w:rsid w:val="00443098"/>
    <w:rsid w:val="00463163"/>
    <w:rsid w:val="00466AA8"/>
    <w:rsid w:val="00473C15"/>
    <w:rsid w:val="00487310"/>
    <w:rsid w:val="0048782F"/>
    <w:rsid w:val="0049219F"/>
    <w:rsid w:val="00495C45"/>
    <w:rsid w:val="004A6431"/>
    <w:rsid w:val="004C694E"/>
    <w:rsid w:val="004E3054"/>
    <w:rsid w:val="004E651F"/>
    <w:rsid w:val="004E6691"/>
    <w:rsid w:val="0050715F"/>
    <w:rsid w:val="005072CE"/>
    <w:rsid w:val="005241D8"/>
    <w:rsid w:val="005466D1"/>
    <w:rsid w:val="0055219E"/>
    <w:rsid w:val="00555A74"/>
    <w:rsid w:val="00567B77"/>
    <w:rsid w:val="0057467A"/>
    <w:rsid w:val="005750E5"/>
    <w:rsid w:val="00575269"/>
    <w:rsid w:val="005D6EAF"/>
    <w:rsid w:val="005D7C96"/>
    <w:rsid w:val="005E44B2"/>
    <w:rsid w:val="0060640E"/>
    <w:rsid w:val="00617D22"/>
    <w:rsid w:val="00620DC6"/>
    <w:rsid w:val="00633C03"/>
    <w:rsid w:val="00651A7A"/>
    <w:rsid w:val="00652BCC"/>
    <w:rsid w:val="006808E3"/>
    <w:rsid w:val="006849E3"/>
    <w:rsid w:val="006911B6"/>
    <w:rsid w:val="00692F96"/>
    <w:rsid w:val="006A5C6C"/>
    <w:rsid w:val="006A67C9"/>
    <w:rsid w:val="006B0BC6"/>
    <w:rsid w:val="006B7C2E"/>
    <w:rsid w:val="006B7FA1"/>
    <w:rsid w:val="006C2EB8"/>
    <w:rsid w:val="006C6AEE"/>
    <w:rsid w:val="006F57E3"/>
    <w:rsid w:val="00712B28"/>
    <w:rsid w:val="007173AE"/>
    <w:rsid w:val="00720DAD"/>
    <w:rsid w:val="00745357"/>
    <w:rsid w:val="00747F7F"/>
    <w:rsid w:val="0075544F"/>
    <w:rsid w:val="007B6B6E"/>
    <w:rsid w:val="007E04D1"/>
    <w:rsid w:val="007E564A"/>
    <w:rsid w:val="007E7A5B"/>
    <w:rsid w:val="007F0F3F"/>
    <w:rsid w:val="007F5423"/>
    <w:rsid w:val="0085671C"/>
    <w:rsid w:val="00870F97"/>
    <w:rsid w:val="0087241B"/>
    <w:rsid w:val="00874106"/>
    <w:rsid w:val="00883954"/>
    <w:rsid w:val="008976EF"/>
    <w:rsid w:val="008A495E"/>
    <w:rsid w:val="008A4AD8"/>
    <w:rsid w:val="008D55FE"/>
    <w:rsid w:val="008E7C12"/>
    <w:rsid w:val="008F76EE"/>
    <w:rsid w:val="009132B2"/>
    <w:rsid w:val="00956731"/>
    <w:rsid w:val="009633F9"/>
    <w:rsid w:val="00965EC9"/>
    <w:rsid w:val="0096799C"/>
    <w:rsid w:val="00985376"/>
    <w:rsid w:val="009A0393"/>
    <w:rsid w:val="009A7616"/>
    <w:rsid w:val="009B5AF6"/>
    <w:rsid w:val="009B7FFC"/>
    <w:rsid w:val="009D1B4A"/>
    <w:rsid w:val="009D2F25"/>
    <w:rsid w:val="00A032E7"/>
    <w:rsid w:val="00A037C9"/>
    <w:rsid w:val="00A347E4"/>
    <w:rsid w:val="00A405FD"/>
    <w:rsid w:val="00A41F26"/>
    <w:rsid w:val="00A65F44"/>
    <w:rsid w:val="00A66480"/>
    <w:rsid w:val="00AA48CD"/>
    <w:rsid w:val="00AB690B"/>
    <w:rsid w:val="00AC3889"/>
    <w:rsid w:val="00AC591F"/>
    <w:rsid w:val="00AD4670"/>
    <w:rsid w:val="00AE5E58"/>
    <w:rsid w:val="00AF1DDE"/>
    <w:rsid w:val="00AF2D89"/>
    <w:rsid w:val="00AF4914"/>
    <w:rsid w:val="00B07756"/>
    <w:rsid w:val="00B1420C"/>
    <w:rsid w:val="00B23FED"/>
    <w:rsid w:val="00B244B4"/>
    <w:rsid w:val="00B353AD"/>
    <w:rsid w:val="00B43C80"/>
    <w:rsid w:val="00B45F8F"/>
    <w:rsid w:val="00B80D63"/>
    <w:rsid w:val="00B80DC1"/>
    <w:rsid w:val="00B815AA"/>
    <w:rsid w:val="00B875F3"/>
    <w:rsid w:val="00BA1EB7"/>
    <w:rsid w:val="00BB06A0"/>
    <w:rsid w:val="00BB0C7F"/>
    <w:rsid w:val="00BB3089"/>
    <w:rsid w:val="00BC28C1"/>
    <w:rsid w:val="00BD2D93"/>
    <w:rsid w:val="00BD50C8"/>
    <w:rsid w:val="00BE00D9"/>
    <w:rsid w:val="00BF32DC"/>
    <w:rsid w:val="00C2132D"/>
    <w:rsid w:val="00C448F3"/>
    <w:rsid w:val="00C45C61"/>
    <w:rsid w:val="00C7455E"/>
    <w:rsid w:val="00C8582E"/>
    <w:rsid w:val="00CA10CC"/>
    <w:rsid w:val="00CA3AE5"/>
    <w:rsid w:val="00CA6FEC"/>
    <w:rsid w:val="00CB0E0C"/>
    <w:rsid w:val="00CB124D"/>
    <w:rsid w:val="00CD3794"/>
    <w:rsid w:val="00CE04D9"/>
    <w:rsid w:val="00D062B9"/>
    <w:rsid w:val="00D11888"/>
    <w:rsid w:val="00D133D4"/>
    <w:rsid w:val="00D308C8"/>
    <w:rsid w:val="00D65CDF"/>
    <w:rsid w:val="00D80A29"/>
    <w:rsid w:val="00D81118"/>
    <w:rsid w:val="00D95564"/>
    <w:rsid w:val="00DE48A5"/>
    <w:rsid w:val="00DE7291"/>
    <w:rsid w:val="00E35F9F"/>
    <w:rsid w:val="00E53418"/>
    <w:rsid w:val="00E66C48"/>
    <w:rsid w:val="00E957A2"/>
    <w:rsid w:val="00E96CEC"/>
    <w:rsid w:val="00EB7BA8"/>
    <w:rsid w:val="00EC7431"/>
    <w:rsid w:val="00ED1774"/>
    <w:rsid w:val="00ED2C50"/>
    <w:rsid w:val="00EE6C29"/>
    <w:rsid w:val="00EF5A4E"/>
    <w:rsid w:val="00F06C20"/>
    <w:rsid w:val="00F3129C"/>
    <w:rsid w:val="00F425A1"/>
    <w:rsid w:val="00F47791"/>
    <w:rsid w:val="00F53F78"/>
    <w:rsid w:val="00F62449"/>
    <w:rsid w:val="00F636DB"/>
    <w:rsid w:val="00F736AE"/>
    <w:rsid w:val="00F83D50"/>
    <w:rsid w:val="00F910E4"/>
    <w:rsid w:val="00F96780"/>
    <w:rsid w:val="00FA2ED1"/>
    <w:rsid w:val="00FA3FC8"/>
    <w:rsid w:val="00FD157E"/>
    <w:rsid w:val="00FD1A66"/>
    <w:rsid w:val="00FD7F87"/>
    <w:rsid w:val="00FE0EED"/>
    <w:rsid w:val="00FE2A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6E9B"/>
  <w15:chartTrackingRefBased/>
  <w15:docId w15:val="{D8E8B09D-9D89-1A40-B7A3-C1796C47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B9"/>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584B"/>
    <w:pPr>
      <w:tabs>
        <w:tab w:val="center" w:pos="4419"/>
        <w:tab w:val="right" w:pos="8838"/>
      </w:tabs>
      <w:spacing w:after="20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43584B"/>
    <w:rPr>
      <w:szCs w:val="22"/>
      <w:lang w:val="es-MX"/>
    </w:rPr>
  </w:style>
  <w:style w:type="paragraph" w:styleId="Encabezado">
    <w:name w:val="header"/>
    <w:basedOn w:val="Normal"/>
    <w:link w:val="EncabezadoCar"/>
    <w:uiPriority w:val="99"/>
    <w:unhideWhenUsed/>
    <w:rsid w:val="0043584B"/>
    <w:pPr>
      <w:tabs>
        <w:tab w:val="center" w:pos="4252"/>
        <w:tab w:val="right" w:pos="8504"/>
      </w:tabs>
      <w:spacing w:after="20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43584B"/>
    <w:rPr>
      <w:szCs w:val="22"/>
      <w:lang w:val="es-MX"/>
    </w:rPr>
  </w:style>
  <w:style w:type="table" w:styleId="Tablaconcuadrcula">
    <w:name w:val="Table Grid"/>
    <w:basedOn w:val="Tablanormal"/>
    <w:uiPriority w:val="59"/>
    <w:qFormat/>
    <w:rsid w:val="0043584B"/>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3584B"/>
    <w:pPr>
      <w:spacing w:before="100" w:beforeAutospacing="1" w:after="100" w:afterAutospacing="1" w:line="276" w:lineRule="auto"/>
      <w:jc w:val="both"/>
    </w:pPr>
    <w:rPr>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3584B"/>
    <w:rPr>
      <w:vertAlign w:val="superscript"/>
    </w:rPr>
  </w:style>
  <w:style w:type="paragraph" w:customStyle="1" w:styleId="Appelnotedebasde">
    <w:name w:val="Appel note de bas de..."/>
    <w:basedOn w:val="Normal"/>
    <w:link w:val="Refdenotaalpie"/>
    <w:uiPriority w:val="99"/>
    <w:rsid w:val="0043584B"/>
    <w:pPr>
      <w:spacing w:after="160" w:line="240" w:lineRule="exact"/>
      <w:jc w:val="both"/>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locked/>
    <w:rsid w:val="0043584B"/>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4358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3584B"/>
    <w:pPr>
      <w:ind w:left="720"/>
      <w:contextualSpacing/>
    </w:pPr>
    <w:rPr>
      <w:rFonts w:asciiTheme="minorHAnsi" w:eastAsiaTheme="minorHAnsi" w:hAnsiTheme="minorHAnsi" w:cstheme="minorBidi"/>
      <w:lang w:eastAsia="en-US"/>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43584B"/>
    <w:pPr>
      <w:widowControl w:val="0"/>
      <w:autoSpaceDE w:val="0"/>
      <w:autoSpaceDN w:val="0"/>
    </w:pPr>
    <w:rPr>
      <w:rFonts w:ascii="Arial" w:eastAsia="Arial" w:hAnsi="Arial" w:cs="Arial"/>
      <w:sz w:val="20"/>
      <w:szCs w:val="20"/>
      <w:lang w:val="es-ES"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43584B"/>
    <w:rPr>
      <w:rFonts w:ascii="Arial" w:eastAsia="Arial" w:hAnsi="Arial" w:cs="Arial"/>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3584B"/>
  </w:style>
  <w:style w:type="character" w:styleId="Hipervnculo">
    <w:name w:val="Hyperlink"/>
    <w:basedOn w:val="Fuentedeprrafopredeter"/>
    <w:uiPriority w:val="99"/>
    <w:unhideWhenUsed/>
    <w:rsid w:val="0043584B"/>
    <w:rPr>
      <w:color w:val="0563C1" w:themeColor="hyperlink"/>
      <w:u w:val="single"/>
    </w:rPr>
  </w:style>
  <w:style w:type="character" w:styleId="Textoennegrita">
    <w:name w:val="Strong"/>
    <w:basedOn w:val="Fuentedeprrafopredeter"/>
    <w:uiPriority w:val="22"/>
    <w:qFormat/>
    <w:rsid w:val="002D4666"/>
    <w:rPr>
      <w:b/>
      <w:bCs/>
    </w:rPr>
  </w:style>
  <w:style w:type="character" w:styleId="nfasis">
    <w:name w:val="Emphasis"/>
    <w:basedOn w:val="Fuentedeprrafopredeter"/>
    <w:uiPriority w:val="20"/>
    <w:qFormat/>
    <w:rsid w:val="002D4666"/>
    <w:rPr>
      <w:i/>
      <w:iCs/>
    </w:rPr>
  </w:style>
  <w:style w:type="paragraph" w:customStyle="1" w:styleId="nueve">
    <w:name w:val="nueve"/>
    <w:basedOn w:val="Normal"/>
    <w:rsid w:val="002D4666"/>
    <w:pPr>
      <w:spacing w:before="100" w:beforeAutospacing="1" w:after="100" w:afterAutospacing="1"/>
    </w:pPr>
  </w:style>
  <w:style w:type="paragraph" w:styleId="Revisin">
    <w:name w:val="Revision"/>
    <w:hidden/>
    <w:uiPriority w:val="99"/>
    <w:semiHidden/>
    <w:rsid w:val="00F83D50"/>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E53418"/>
    <w:rPr>
      <w:sz w:val="16"/>
      <w:szCs w:val="16"/>
    </w:rPr>
  </w:style>
  <w:style w:type="paragraph" w:styleId="Textocomentario">
    <w:name w:val="annotation text"/>
    <w:basedOn w:val="Normal"/>
    <w:link w:val="TextocomentarioCar"/>
    <w:uiPriority w:val="99"/>
    <w:unhideWhenUsed/>
    <w:rsid w:val="00E53418"/>
    <w:rPr>
      <w:sz w:val="20"/>
      <w:szCs w:val="20"/>
    </w:rPr>
  </w:style>
  <w:style w:type="character" w:customStyle="1" w:styleId="TextocomentarioCar">
    <w:name w:val="Texto comentario Car"/>
    <w:basedOn w:val="Fuentedeprrafopredeter"/>
    <w:link w:val="Textocomentario"/>
    <w:uiPriority w:val="99"/>
    <w:rsid w:val="00E5341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53418"/>
    <w:rPr>
      <w:b/>
      <w:bCs/>
    </w:rPr>
  </w:style>
  <w:style w:type="character" w:customStyle="1" w:styleId="AsuntodelcomentarioCar">
    <w:name w:val="Asunto del comentario Car"/>
    <w:basedOn w:val="TextocomentarioCar"/>
    <w:link w:val="Asuntodelcomentario"/>
    <w:uiPriority w:val="99"/>
    <w:semiHidden/>
    <w:rsid w:val="00E53418"/>
    <w:rPr>
      <w:rFonts w:ascii="Times New Roman" w:eastAsia="Times New Roman" w:hAnsi="Times New Roman" w:cs="Times New Roman"/>
      <w:b/>
      <w:bCs/>
      <w:sz w:val="20"/>
      <w:szCs w:val="20"/>
      <w:lang w:eastAsia="es-MX"/>
    </w:rPr>
  </w:style>
  <w:style w:type="character" w:styleId="Mencinsinresolver">
    <w:name w:val="Unresolved Mention"/>
    <w:basedOn w:val="Fuentedeprrafopredeter"/>
    <w:uiPriority w:val="99"/>
    <w:semiHidden/>
    <w:unhideWhenUsed/>
    <w:rsid w:val="0096799C"/>
    <w:rPr>
      <w:color w:val="605E5C"/>
      <w:shd w:val="clear" w:color="auto" w:fill="E1DFDD"/>
    </w:rPr>
  </w:style>
  <w:style w:type="character" w:customStyle="1" w:styleId="normaltextrun">
    <w:name w:val="normaltextrun"/>
    <w:basedOn w:val="Fuentedeprrafopredeter"/>
    <w:rsid w:val="008A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7787">
      <w:bodyDiv w:val="1"/>
      <w:marLeft w:val="0"/>
      <w:marRight w:val="0"/>
      <w:marTop w:val="0"/>
      <w:marBottom w:val="0"/>
      <w:divBdr>
        <w:top w:val="none" w:sz="0" w:space="0" w:color="auto"/>
        <w:left w:val="none" w:sz="0" w:space="0" w:color="auto"/>
        <w:bottom w:val="none" w:sz="0" w:space="0" w:color="auto"/>
        <w:right w:val="none" w:sz="0" w:space="0" w:color="auto"/>
      </w:divBdr>
    </w:div>
    <w:div w:id="522942733">
      <w:bodyDiv w:val="1"/>
      <w:marLeft w:val="0"/>
      <w:marRight w:val="0"/>
      <w:marTop w:val="0"/>
      <w:marBottom w:val="0"/>
      <w:divBdr>
        <w:top w:val="none" w:sz="0" w:space="0" w:color="auto"/>
        <w:left w:val="none" w:sz="0" w:space="0" w:color="auto"/>
        <w:bottom w:val="none" w:sz="0" w:space="0" w:color="auto"/>
        <w:right w:val="none" w:sz="0" w:space="0" w:color="auto"/>
      </w:divBdr>
    </w:div>
    <w:div w:id="1133331590">
      <w:bodyDiv w:val="1"/>
      <w:marLeft w:val="0"/>
      <w:marRight w:val="0"/>
      <w:marTop w:val="0"/>
      <w:marBottom w:val="0"/>
      <w:divBdr>
        <w:top w:val="none" w:sz="0" w:space="0" w:color="auto"/>
        <w:left w:val="none" w:sz="0" w:space="0" w:color="auto"/>
        <w:bottom w:val="none" w:sz="0" w:space="0" w:color="auto"/>
        <w:right w:val="none" w:sz="0" w:space="0" w:color="auto"/>
      </w:divBdr>
    </w:div>
    <w:div w:id="1217543608">
      <w:bodyDiv w:val="1"/>
      <w:marLeft w:val="0"/>
      <w:marRight w:val="0"/>
      <w:marTop w:val="0"/>
      <w:marBottom w:val="0"/>
      <w:divBdr>
        <w:top w:val="none" w:sz="0" w:space="0" w:color="auto"/>
        <w:left w:val="none" w:sz="0" w:space="0" w:color="auto"/>
        <w:bottom w:val="none" w:sz="0" w:space="0" w:color="auto"/>
        <w:right w:val="none" w:sz="0" w:space="0" w:color="auto"/>
      </w:divBdr>
    </w:div>
    <w:div w:id="1503396984">
      <w:bodyDiv w:val="1"/>
      <w:marLeft w:val="0"/>
      <w:marRight w:val="0"/>
      <w:marTop w:val="0"/>
      <w:marBottom w:val="0"/>
      <w:divBdr>
        <w:top w:val="none" w:sz="0" w:space="0" w:color="auto"/>
        <w:left w:val="none" w:sz="0" w:space="0" w:color="auto"/>
        <w:bottom w:val="none" w:sz="0" w:space="0" w:color="auto"/>
        <w:right w:val="none" w:sz="0" w:space="0" w:color="auto"/>
      </w:divBdr>
    </w:div>
    <w:div w:id="1533615176">
      <w:bodyDiv w:val="1"/>
      <w:marLeft w:val="0"/>
      <w:marRight w:val="0"/>
      <w:marTop w:val="0"/>
      <w:marBottom w:val="0"/>
      <w:divBdr>
        <w:top w:val="none" w:sz="0" w:space="0" w:color="auto"/>
        <w:left w:val="none" w:sz="0" w:space="0" w:color="auto"/>
        <w:bottom w:val="none" w:sz="0" w:space="0" w:color="auto"/>
        <w:right w:val="none" w:sz="0" w:space="0" w:color="auto"/>
      </w:divBdr>
    </w:div>
    <w:div w:id="1638757601">
      <w:bodyDiv w:val="1"/>
      <w:marLeft w:val="0"/>
      <w:marRight w:val="0"/>
      <w:marTop w:val="0"/>
      <w:marBottom w:val="0"/>
      <w:divBdr>
        <w:top w:val="none" w:sz="0" w:space="0" w:color="auto"/>
        <w:left w:val="none" w:sz="0" w:space="0" w:color="auto"/>
        <w:bottom w:val="none" w:sz="0" w:space="0" w:color="auto"/>
        <w:right w:val="none" w:sz="0" w:space="0" w:color="auto"/>
      </w:divBdr>
    </w:div>
    <w:div w:id="1650553978">
      <w:bodyDiv w:val="1"/>
      <w:marLeft w:val="0"/>
      <w:marRight w:val="0"/>
      <w:marTop w:val="0"/>
      <w:marBottom w:val="0"/>
      <w:divBdr>
        <w:top w:val="none" w:sz="0" w:space="0" w:color="auto"/>
        <w:left w:val="none" w:sz="0" w:space="0" w:color="auto"/>
        <w:bottom w:val="none" w:sz="0" w:space="0" w:color="auto"/>
        <w:right w:val="none" w:sz="0" w:space="0" w:color="auto"/>
      </w:divBdr>
    </w:div>
    <w:div w:id="1748842128">
      <w:bodyDiv w:val="1"/>
      <w:marLeft w:val="0"/>
      <w:marRight w:val="0"/>
      <w:marTop w:val="0"/>
      <w:marBottom w:val="0"/>
      <w:divBdr>
        <w:top w:val="none" w:sz="0" w:space="0" w:color="auto"/>
        <w:left w:val="none" w:sz="0" w:space="0" w:color="auto"/>
        <w:bottom w:val="none" w:sz="0" w:space="0" w:color="auto"/>
        <w:right w:val="none" w:sz="0" w:space="0" w:color="auto"/>
      </w:divBdr>
    </w:div>
    <w:div w:id="1806925723">
      <w:bodyDiv w:val="1"/>
      <w:marLeft w:val="0"/>
      <w:marRight w:val="0"/>
      <w:marTop w:val="0"/>
      <w:marBottom w:val="0"/>
      <w:divBdr>
        <w:top w:val="none" w:sz="0" w:space="0" w:color="auto"/>
        <w:left w:val="none" w:sz="0" w:space="0" w:color="auto"/>
        <w:bottom w:val="none" w:sz="0" w:space="0" w:color="auto"/>
        <w:right w:val="none" w:sz="0" w:space="0" w:color="auto"/>
      </w:divBdr>
    </w:div>
    <w:div w:id="1936133877">
      <w:bodyDiv w:val="1"/>
      <w:marLeft w:val="0"/>
      <w:marRight w:val="0"/>
      <w:marTop w:val="0"/>
      <w:marBottom w:val="0"/>
      <w:divBdr>
        <w:top w:val="none" w:sz="0" w:space="0" w:color="auto"/>
        <w:left w:val="none" w:sz="0" w:space="0" w:color="auto"/>
        <w:bottom w:val="none" w:sz="0" w:space="0" w:color="auto"/>
        <w:right w:val="none" w:sz="0" w:space="0" w:color="auto"/>
      </w:divBdr>
      <w:divsChild>
        <w:div w:id="19408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negron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70_1993.html" TargetMode="External"/><Relationship Id="rId1"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F358E-40E5-491E-92E3-EE0D8BD30502}">
  <ds:schemaRefs>
    <ds:schemaRef ds:uri="http://schemas.microsoft.com/office/infopath/2007/PartnerControls"/>
    <ds:schemaRef ds:uri="http://purl.org/dc/dcmitype/"/>
    <ds:schemaRef ds:uri="http://schemas.microsoft.com/office/2006/documentManagement/types"/>
    <ds:schemaRef ds:uri="9d85dbaf-23eb-4e57-a637-93dcacc8b1a1"/>
    <ds:schemaRef ds:uri="http://purl.org/dc/elements/1.1/"/>
    <ds:schemaRef ds:uri="http://purl.org/dc/terms/"/>
    <ds:schemaRef ds:uri="http://schemas.openxmlformats.org/package/2006/metadata/core-properties"/>
    <ds:schemaRef ds:uri="a6cb9e4b-f1d1-4245-83ec-6cad768d538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6F2AB4-688F-4B6E-874F-38FB312B5268}">
  <ds:schemaRefs>
    <ds:schemaRef ds:uri="http://schemas.microsoft.com/sharepoint/v3/contenttype/forms"/>
  </ds:schemaRefs>
</ds:datastoreItem>
</file>

<file path=customXml/itemProps3.xml><?xml version="1.0" encoding="utf-8"?>
<ds:datastoreItem xmlns:ds="http://schemas.openxmlformats.org/officeDocument/2006/customXml" ds:itemID="{21F35E0C-350D-6E44-B50F-34F641E62E53}">
  <ds:schemaRefs>
    <ds:schemaRef ds:uri="http://schemas.openxmlformats.org/officeDocument/2006/bibliography"/>
  </ds:schemaRefs>
</ds:datastoreItem>
</file>

<file path=customXml/itemProps4.xml><?xml version="1.0" encoding="utf-8"?>
<ds:datastoreItem xmlns:ds="http://schemas.openxmlformats.org/officeDocument/2006/customXml" ds:itemID="{C3F053B8-61D1-4D96-8DFB-346FBC214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3785</Words>
  <Characters>20819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Diego German Revelo Bolívar</cp:lastModifiedBy>
  <cp:revision>2</cp:revision>
  <dcterms:created xsi:type="dcterms:W3CDTF">2023-03-23T13:22:00Z</dcterms:created>
  <dcterms:modified xsi:type="dcterms:W3CDTF">2023-03-23T13:22:00Z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