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3737F" w14:textId="77777777" w:rsidR="00421742" w:rsidRPr="00DD0DA7" w:rsidRDefault="00421742" w:rsidP="00421742">
      <w:pPr>
        <w:spacing w:after="0" w:line="240" w:lineRule="auto"/>
        <w:jc w:val="both"/>
        <w:rPr>
          <w:rFonts w:ascii="Arial" w:eastAsia="Calibri" w:hAnsi="Arial" w:cs="Arial"/>
          <w:b/>
          <w:bCs/>
          <w:color w:val="000000" w:themeColor="text1"/>
          <w:lang w:val="es-MX"/>
        </w:rPr>
      </w:pPr>
      <w:r w:rsidRPr="00DD0DA7">
        <w:rPr>
          <w:rFonts w:ascii="Arial" w:eastAsia="Calibri" w:hAnsi="Arial" w:cs="Arial"/>
          <w:b/>
          <w:bCs/>
          <w:color w:val="000000" w:themeColor="text1"/>
          <w:lang w:val="es-MX"/>
        </w:rPr>
        <w:t xml:space="preserve">LEY DE EMPRENDIMIENTO – Ley 2069 de 2020 – Finalidad </w:t>
      </w:r>
    </w:p>
    <w:p w14:paraId="51528A8E" w14:textId="77777777" w:rsidR="00421742" w:rsidRPr="00DD0DA7" w:rsidRDefault="00421742" w:rsidP="00421742">
      <w:pPr>
        <w:spacing w:after="0" w:line="240" w:lineRule="auto"/>
        <w:jc w:val="both"/>
        <w:rPr>
          <w:rFonts w:ascii="Arial" w:eastAsia="Calibri" w:hAnsi="Arial" w:cs="Arial"/>
          <w:b/>
          <w:bCs/>
          <w:color w:val="000000" w:themeColor="text1"/>
          <w:lang w:val="es-MX"/>
        </w:rPr>
      </w:pPr>
    </w:p>
    <w:p w14:paraId="669A44FF" w14:textId="77777777" w:rsidR="00421742" w:rsidRPr="00DD0DA7" w:rsidRDefault="00421742" w:rsidP="00421742">
      <w:pPr>
        <w:spacing w:after="0" w:line="240" w:lineRule="auto"/>
        <w:jc w:val="both"/>
        <w:rPr>
          <w:rFonts w:ascii="Arial" w:eastAsia="Calibri" w:hAnsi="Arial" w:cs="Arial"/>
          <w:color w:val="000000" w:themeColor="text1"/>
          <w:lang w:val="es-MX"/>
        </w:rPr>
      </w:pPr>
      <w:r w:rsidRPr="00DD0DA7">
        <w:rPr>
          <w:rFonts w:ascii="Arial" w:eastAsia="Calibri" w:hAnsi="Arial" w:cs="Arial"/>
          <w:color w:val="000000" w:themeColor="text1"/>
          <w:lang w:val="es-MX"/>
        </w:rPr>
        <w:t xml:space="preserve">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los decretos correspondientes que permitan la cumplida ejecución de esta Ley. 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DD0DA7">
        <w:rPr>
          <w:rFonts w:ascii="Arial" w:eastAsia="Calibri" w:hAnsi="Arial" w:cs="Arial"/>
          <w:color w:val="000000" w:themeColor="text1"/>
          <w:lang w:val="es-MX"/>
        </w:rPr>
        <w:t>de acuerdo a</w:t>
      </w:r>
      <w:proofErr w:type="gramEnd"/>
      <w:r w:rsidRPr="00DD0DA7">
        <w:rPr>
          <w:rFonts w:ascii="Arial" w:eastAsia="Calibri" w:hAnsi="Arial" w:cs="Arial"/>
          <w:color w:val="000000" w:themeColor="text1"/>
          <w:lang w:val="es-MX"/>
        </w:rPr>
        <w:t xml:space="preserve"> las realidades socioeconómicas de cada región». En desarrollo de esta finalidad, se establecen medidas de apoyo para las micro, pequeñas y medianas empresas –</w:t>
      </w:r>
      <w:proofErr w:type="spellStart"/>
      <w:r w:rsidRPr="00DD0DA7">
        <w:rPr>
          <w:rFonts w:ascii="Arial" w:eastAsia="Calibri" w:hAnsi="Arial" w:cs="Arial"/>
          <w:color w:val="000000" w:themeColor="text1"/>
          <w:lang w:val="es-MX"/>
        </w:rPr>
        <w:t>mipymes</w:t>
      </w:r>
      <w:proofErr w:type="spellEnd"/>
      <w:r w:rsidRPr="00DD0DA7">
        <w:rPr>
          <w:rFonts w:ascii="Arial" w:eastAsia="Calibri" w:hAnsi="Arial" w:cs="Arial"/>
          <w:color w:val="000000" w:themeColor="text1"/>
          <w:lang w:val="es-MX"/>
        </w:rPr>
        <w:t>–, mediante la racionalización y simplificación de los trámites y tarifas, así como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p>
    <w:p w14:paraId="4755DB8E" w14:textId="77777777" w:rsidR="00421742" w:rsidRPr="00DD0DA7" w:rsidRDefault="00421742" w:rsidP="00421742">
      <w:pPr>
        <w:spacing w:after="0" w:line="240" w:lineRule="auto"/>
        <w:jc w:val="both"/>
        <w:rPr>
          <w:rFonts w:ascii="Arial" w:eastAsia="Calibri" w:hAnsi="Arial" w:cs="Arial"/>
          <w:b/>
          <w:bCs/>
          <w:color w:val="000000" w:themeColor="text1"/>
          <w:lang w:val="es-MX"/>
        </w:rPr>
      </w:pPr>
    </w:p>
    <w:p w14:paraId="43D4A629" w14:textId="77777777" w:rsidR="00421742" w:rsidRPr="00DD0DA7" w:rsidRDefault="00421742" w:rsidP="00421742">
      <w:pPr>
        <w:spacing w:after="0" w:line="240" w:lineRule="auto"/>
        <w:jc w:val="both"/>
        <w:rPr>
          <w:rFonts w:ascii="Arial" w:eastAsia="Calibri" w:hAnsi="Arial" w:cs="Arial"/>
          <w:b/>
          <w:bCs/>
          <w:color w:val="000000" w:themeColor="text1"/>
          <w:lang w:val="es-MX"/>
        </w:rPr>
      </w:pPr>
      <w:r w:rsidRPr="00DD0DA7">
        <w:rPr>
          <w:rFonts w:ascii="Arial" w:eastAsia="Calibri" w:hAnsi="Arial" w:cs="Arial"/>
          <w:b/>
          <w:bCs/>
          <w:color w:val="000000" w:themeColor="text1"/>
          <w:lang w:val="es-MX"/>
        </w:rPr>
        <w:t>LEY DE EMPRENDIMIENTO – Ley 2069 de 2020 – Artículo 32 – Criterios diferenciales – Emprendimientos de mujeres – Empresas de mujeres – Necesidad de reglamentación – Decreto 1860 de 2021</w:t>
      </w:r>
    </w:p>
    <w:p w14:paraId="4FF748FD" w14:textId="77777777" w:rsidR="00421742" w:rsidRPr="00DD0DA7" w:rsidRDefault="00421742" w:rsidP="00421742">
      <w:pPr>
        <w:spacing w:after="0" w:line="240" w:lineRule="auto"/>
        <w:jc w:val="both"/>
        <w:rPr>
          <w:rFonts w:ascii="Arial" w:eastAsia="Calibri" w:hAnsi="Arial" w:cs="Arial"/>
          <w:b/>
          <w:bCs/>
          <w:color w:val="000000" w:themeColor="text1"/>
          <w:lang w:val="es-MX"/>
        </w:rPr>
      </w:pPr>
    </w:p>
    <w:p w14:paraId="5CB7E06F" w14:textId="77777777" w:rsidR="00421742" w:rsidRPr="00DD0DA7" w:rsidRDefault="00421742" w:rsidP="00421742">
      <w:pPr>
        <w:spacing w:after="0" w:line="240" w:lineRule="auto"/>
        <w:jc w:val="both"/>
        <w:rPr>
          <w:rFonts w:ascii="Arial" w:eastAsia="Calibri" w:hAnsi="Arial" w:cs="Arial"/>
          <w:color w:val="000000" w:themeColor="text1"/>
          <w:lang w:val="es-MX"/>
        </w:rPr>
      </w:pPr>
      <w:r w:rsidRPr="00DD0DA7">
        <w:rPr>
          <w:rFonts w:ascii="Arial" w:eastAsia="Calibri" w:hAnsi="Arial" w:cs="Arial"/>
          <w:color w:val="000000" w:themeColor="text1"/>
          <w:lang w:val="es-MX"/>
        </w:rPr>
        <w:t xml:space="preserve">[…] el artículo 32 de la Ley 2069 de 2020 –al igual que el artículo 31– también se refiere a la necesidad del desarrollo normativo posterior. Al respecto, el parágrafo dispone que «La definición de emprendimientos y empresas de mujeres se reglamentará por el gobierno nacional». En ese sentido, la aplicación de criterios diferenciales en favor de mujeres y emprendimientos de mujeres está condicionada por el ejercicio de potestad reglamentaria, en orden de establecer la regulación en marco de la cual las Entidades Estatales deben aplicar los criterios diferenciales del artículo 32 de la Ley 2069 de 2020. En este contexto, el pasado 24 de diciembre, el gobierno nacional expidió el Decreto 1860 de 2021 «Por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III de la Ley 2069 de 2020 –con excepción de los artículos 33 y 36–, realizando las adecuaciones requeridas para aplicar estas disposiciones, tal como indica el artículo 1 del Decreto 1860 de 2021. 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consagra la definición de emprendimientos y empresas de mujeres, mientras que la segunda establece los criterios diferenciales y regula su aplicación. </w:t>
      </w:r>
    </w:p>
    <w:p w14:paraId="1529E9F4" w14:textId="77777777" w:rsidR="00421742" w:rsidRPr="00DD0DA7" w:rsidRDefault="00421742" w:rsidP="00421742">
      <w:pPr>
        <w:spacing w:after="0" w:line="240" w:lineRule="auto"/>
        <w:jc w:val="both"/>
        <w:rPr>
          <w:rFonts w:ascii="Arial" w:eastAsia="Calibri" w:hAnsi="Arial" w:cs="Arial"/>
          <w:b/>
          <w:bCs/>
          <w:color w:val="000000" w:themeColor="text1"/>
          <w:lang w:val="es-MX"/>
        </w:rPr>
      </w:pPr>
    </w:p>
    <w:p w14:paraId="0400F123" w14:textId="77777777" w:rsidR="00421742" w:rsidRPr="00DD0DA7" w:rsidRDefault="00421742" w:rsidP="00421742">
      <w:pPr>
        <w:spacing w:after="0" w:line="240" w:lineRule="auto"/>
        <w:jc w:val="both"/>
        <w:rPr>
          <w:rFonts w:ascii="Arial" w:eastAsia="Calibri" w:hAnsi="Arial" w:cs="Arial"/>
          <w:b/>
          <w:bCs/>
          <w:color w:val="000000" w:themeColor="text1"/>
          <w:lang w:val="es-MX"/>
        </w:rPr>
      </w:pPr>
      <w:r w:rsidRPr="00DD0DA7">
        <w:rPr>
          <w:rFonts w:ascii="Arial" w:eastAsia="Calibri" w:hAnsi="Arial" w:cs="Arial"/>
          <w:b/>
          <w:bCs/>
          <w:color w:val="000000" w:themeColor="text1"/>
          <w:lang w:val="es-MX"/>
        </w:rPr>
        <w:lastRenderedPageBreak/>
        <w:t>DECRETO 1860 DE 2021 – Emprendimientos y empresas de mujeres – Definición – Artículo 2.2.1.2.4.2.14 – Numeral 3 – Persona natural</w:t>
      </w:r>
    </w:p>
    <w:p w14:paraId="332F87BC" w14:textId="77777777" w:rsidR="00421742" w:rsidRPr="00DD0DA7" w:rsidRDefault="00421742" w:rsidP="00421742">
      <w:pPr>
        <w:spacing w:after="0" w:line="240" w:lineRule="auto"/>
        <w:jc w:val="both"/>
        <w:rPr>
          <w:rFonts w:ascii="Arial" w:eastAsia="Calibri" w:hAnsi="Arial" w:cs="Arial"/>
          <w:b/>
          <w:bCs/>
          <w:color w:val="000000" w:themeColor="text1"/>
          <w:lang w:val="es-MX"/>
        </w:rPr>
      </w:pPr>
    </w:p>
    <w:p w14:paraId="4176FDBB" w14:textId="77777777" w:rsidR="00421742" w:rsidRPr="00DD0DA7" w:rsidRDefault="00421742" w:rsidP="00421742">
      <w:pPr>
        <w:spacing w:after="0" w:line="240" w:lineRule="auto"/>
        <w:jc w:val="both"/>
        <w:rPr>
          <w:rFonts w:ascii="Arial" w:eastAsia="Calibri" w:hAnsi="Arial" w:cs="Arial"/>
          <w:color w:val="000000" w:themeColor="text1"/>
          <w:lang w:val="es-MX"/>
        </w:rPr>
      </w:pPr>
      <w:r w:rsidRPr="00DD0DA7">
        <w:rPr>
          <w:rFonts w:ascii="Arial" w:eastAsia="Calibri" w:hAnsi="Arial" w:cs="Arial"/>
          <w:color w:val="000000" w:themeColor="text1"/>
          <w:lang w:val="es-MX"/>
        </w:rPr>
        <w:t xml:space="preserve">Teniendo en cuenta el objeto de la presente consulta, resulta relevante el análisis del numeral tercero del artículo antes citado, según el cual tratándose de personas naturales debe cumplirse con las siguientes condiciones para ser consideradas emprendimientos y empresas de mujeres y, en consecuencia, ser destinatarias de los criterios diferenciales de que trata el artículo 32 de la Ley de Emprendimiento: 1) que la persona natural sea una mujer; 2) que haya ejercido actividades comerciales a través de un establecimiento de comercio, 3) que haya ejercido esas actividades durante al menos el último año anterior a la fecha del cierre del proceso de selección. Adicionalmente, la misma disposición señala que la acreditación de dichas circunstancias deberá realizarse mediante la copia de la cédula de ciudadanía, la cédula de extranjería o el pasaporte, así como la copia del registro mercantil. </w:t>
      </w:r>
    </w:p>
    <w:p w14:paraId="0CF0BEE3" w14:textId="77777777" w:rsidR="00421742" w:rsidRPr="00DD0DA7" w:rsidRDefault="00421742" w:rsidP="00421742">
      <w:pPr>
        <w:spacing w:after="0" w:line="240" w:lineRule="auto"/>
        <w:jc w:val="both"/>
        <w:rPr>
          <w:rFonts w:ascii="Arial" w:eastAsia="Calibri" w:hAnsi="Arial" w:cs="Arial"/>
          <w:color w:val="000000" w:themeColor="text1"/>
          <w:lang w:val="es-MX"/>
        </w:rPr>
      </w:pPr>
    </w:p>
    <w:p w14:paraId="0AD7B6AD" w14:textId="1DEC470A" w:rsidR="00421742" w:rsidRDefault="00421742" w:rsidP="00421742">
      <w:pPr>
        <w:spacing w:after="0" w:line="240" w:lineRule="auto"/>
        <w:jc w:val="both"/>
        <w:rPr>
          <w:rFonts w:ascii="Arial" w:eastAsia="Calibri" w:hAnsi="Arial" w:cs="Arial"/>
          <w:color w:val="000000" w:themeColor="text1"/>
          <w:lang w:val="es-MX"/>
        </w:rPr>
      </w:pPr>
      <w:r w:rsidRPr="00DD0DA7">
        <w:rPr>
          <w:rFonts w:ascii="Arial" w:eastAsia="Calibri" w:hAnsi="Arial" w:cs="Arial"/>
          <w:color w:val="000000" w:themeColor="text1"/>
          <w:lang w:val="es-MX"/>
        </w:rPr>
        <w:t xml:space="preserve">Lo anterior quiere decir que, no basta con que la persona natural sea mujer para ser considerada como un emprendimiento o empresa de mujeres, sino que además es necesario que haya ejercido actividades comerciales a través de un establecimiento de comercio y que esa circunstancia se haya mantenido como mínimo durante un periodo de un año contado a partir de la fecha del cierre del proceso de selección. De esta manera, el criterio definido en el numeral tercero del artículo 3 del Decreto 1860 de 2021 – artículo 2.2.1.2.4.2.14. del Decreto 1082 de 2015 – deja por fuera a aquellas mujeres que no hayan ejercido actividades comerciales a través de un establecimiento de comercio y/o que no cumplan con el requerimiento del tiempo mínimo de un año de ejercicio de las actividades.  </w:t>
      </w:r>
    </w:p>
    <w:p w14:paraId="0C6DFCEA" w14:textId="77777777" w:rsidR="00421742" w:rsidRPr="00DD0DA7" w:rsidRDefault="00421742" w:rsidP="00421742">
      <w:pPr>
        <w:spacing w:after="0" w:line="240" w:lineRule="auto"/>
        <w:jc w:val="both"/>
        <w:rPr>
          <w:rFonts w:ascii="Arial" w:eastAsia="Calibri" w:hAnsi="Arial" w:cs="Arial"/>
          <w:color w:val="000000" w:themeColor="text1"/>
          <w:lang w:val="es-MX"/>
        </w:rPr>
      </w:pPr>
    </w:p>
    <w:p w14:paraId="1087C4C5" w14:textId="77777777" w:rsidR="00421742" w:rsidRPr="00DD0DA7" w:rsidRDefault="00421742" w:rsidP="00421742">
      <w:pPr>
        <w:spacing w:after="0" w:line="240" w:lineRule="auto"/>
        <w:jc w:val="both"/>
        <w:rPr>
          <w:rFonts w:ascii="Arial" w:eastAsia="Calibri" w:hAnsi="Arial" w:cs="Arial"/>
          <w:b/>
          <w:bCs/>
          <w:color w:val="000000" w:themeColor="text1"/>
          <w:lang w:val="es-ES"/>
        </w:rPr>
      </w:pPr>
      <w:r w:rsidRPr="00DD0DA7">
        <w:rPr>
          <w:rFonts w:ascii="Arial" w:eastAsia="Calibri" w:hAnsi="Arial" w:cs="Arial"/>
          <w:b/>
          <w:bCs/>
          <w:color w:val="000000" w:themeColor="text1"/>
          <w:lang w:val="es-ES"/>
        </w:rPr>
        <w:t>EMPRENDIMIENTOS Y EMPRESAS DE MUJERES – Definición – Artículo 2.2.1.2.4.2.14 – Numeral 3 – Persona natural – Registro mercantil</w:t>
      </w:r>
    </w:p>
    <w:p w14:paraId="43947CB4" w14:textId="77777777" w:rsidR="00421742" w:rsidRPr="00DD0DA7" w:rsidRDefault="00421742" w:rsidP="00421742">
      <w:pPr>
        <w:spacing w:after="0" w:line="240" w:lineRule="auto"/>
        <w:jc w:val="both"/>
        <w:rPr>
          <w:rFonts w:ascii="Arial" w:eastAsia="Calibri" w:hAnsi="Arial" w:cs="Arial"/>
          <w:color w:val="000000" w:themeColor="text1"/>
          <w:lang w:val="es-MX"/>
        </w:rPr>
      </w:pPr>
      <w:r w:rsidRPr="00DD0DA7">
        <w:rPr>
          <w:rFonts w:ascii="Arial" w:eastAsia="Calibri" w:hAnsi="Arial" w:cs="Arial"/>
          <w:color w:val="000000" w:themeColor="text1"/>
          <w:lang w:val="es-MX"/>
        </w:rPr>
        <w:t>De esta manera, se concluye que el numeral tercero del artículo 2.2.1.2.4.2.14 del Decreto 1082 de 2015 –adicionado por el artículo 3 del Decreto del Decreto 1860 de 2022– para definir los emprendimientos y empresas de mujeres, en el caso de las personas naturales, parte del ejercicio de una actividad comercial y, de acuerdo con el análisis normativo realizado, esta se desarrolla a través de un establecimiento de comercio, el cual debe estar matriculado en el registro mercantil.  Así las cosas, es necesario que la persona natural que realiza actividades de comercio a través de un establecimiento acredite dicho registro de acuerdo con lo dispuesto por la ley comercial.</w:t>
      </w:r>
    </w:p>
    <w:p w14:paraId="3280D5A4" w14:textId="77777777" w:rsidR="00421742" w:rsidRPr="00DD0DA7" w:rsidRDefault="00421742" w:rsidP="00421742">
      <w:pPr>
        <w:spacing w:after="0" w:line="240" w:lineRule="auto"/>
        <w:jc w:val="both"/>
        <w:rPr>
          <w:rFonts w:ascii="Arial" w:eastAsia="Calibri" w:hAnsi="Arial" w:cs="Arial"/>
          <w:color w:val="000000" w:themeColor="text1"/>
          <w:lang w:val="es-MX"/>
        </w:rPr>
      </w:pPr>
    </w:p>
    <w:p w14:paraId="1390BCAA" w14:textId="731C40BB" w:rsidR="00421742" w:rsidRPr="00DD0DA7" w:rsidRDefault="00421742" w:rsidP="00421742">
      <w:pPr>
        <w:spacing w:after="0" w:line="240" w:lineRule="auto"/>
        <w:jc w:val="both"/>
        <w:rPr>
          <w:rFonts w:ascii="Arial" w:eastAsia="Calibri" w:hAnsi="Arial" w:cs="Arial"/>
          <w:color w:val="000000" w:themeColor="text1"/>
          <w:lang w:val="es-MX"/>
        </w:rPr>
      </w:pPr>
      <w:r w:rsidRPr="00DD0DA7">
        <w:rPr>
          <w:rFonts w:ascii="Arial" w:eastAsia="Calibri" w:hAnsi="Arial" w:cs="Arial"/>
          <w:color w:val="000000" w:themeColor="text1"/>
          <w:lang w:val="es-MX"/>
        </w:rPr>
        <w:t>En este punto, es pertinente aclarar que el registro mercantil solicitado únicamente es requerido para ser acreedor de los criterios diferenciales consagrados a favor de los emprendimientos y empresas de mujeres en el artículo 32 de la Ley 2069 de 2020 y el Decreto 1860 de 2021, como acciones afirmativas para promover la participación de este segmento empresarial en el sistema de compras públicas y contratación estatal. Por tanto, deberá presentar dicho documento en caso de pretender beneficiarse de los requisitos habilitantes diferenciales u obtener el puntaje adicional. En este sentido, para efectos del artículo 2.2.1.2.4.2.14 del Decreto 1082 de 2015, la acreditación de la condición de mujer y del ejercicio de actividades comerciales a través de establecimiento de comercio de la persona natural, solo será válida mediante la presentación de los documentos establecidos en el numeral 3 de la norma señalada, esto es, adjuntando copia de la cédula de ciudadanía, cédula de extranjería o pasaporte y copia del registro mercanti</w:t>
      </w:r>
      <w:r>
        <w:rPr>
          <w:rFonts w:ascii="Arial" w:eastAsia="Calibri" w:hAnsi="Arial" w:cs="Arial"/>
          <w:color w:val="000000" w:themeColor="text1"/>
          <w:lang w:val="es-MX"/>
        </w:rPr>
        <w:t>l</w:t>
      </w:r>
    </w:p>
    <w:p w14:paraId="4D65C62A" w14:textId="5848DB4C" w:rsidR="0FADF8AF" w:rsidRDefault="0FADF8AF" w:rsidP="47F383B9">
      <w:pPr>
        <w:rPr>
          <w:rFonts w:ascii="Calibri" w:eastAsia="Calibri" w:hAnsi="Calibri" w:cs="Calibri"/>
        </w:rPr>
      </w:pPr>
      <w:r w:rsidRPr="47F383B9">
        <w:rPr>
          <w:rFonts w:ascii="Arial" w:eastAsia="Arial" w:hAnsi="Arial" w:cs="Arial"/>
          <w:color w:val="000000" w:themeColor="text1"/>
          <w:sz w:val="24"/>
          <w:szCs w:val="24"/>
          <w:lang w:val="es-MX"/>
        </w:rPr>
        <w:lastRenderedPageBreak/>
        <w:t>Bogotá D.C.,25</w:t>
      </w:r>
      <w:r w:rsidRPr="47F383B9">
        <w:rPr>
          <w:rFonts w:ascii="Arial" w:eastAsia="Arial" w:hAnsi="Arial" w:cs="Arial"/>
          <w:color w:val="201F1E"/>
          <w:sz w:val="24"/>
          <w:szCs w:val="24"/>
          <w:lang w:val="es-MX"/>
        </w:rPr>
        <w:t xml:space="preserve"> de enero de 2023</w:t>
      </w:r>
    </w:p>
    <w:p w14:paraId="46FD203A" w14:textId="2A8DE29C" w:rsidR="47F383B9" w:rsidRDefault="47F383B9" w:rsidP="47F383B9">
      <w:pPr>
        <w:jc w:val="right"/>
      </w:pPr>
    </w:p>
    <w:p w14:paraId="0B491E9C" w14:textId="3B7DEA75" w:rsidR="00421742" w:rsidRPr="00F751B0" w:rsidRDefault="001F6F88" w:rsidP="00F751B0">
      <w:pPr>
        <w:jc w:val="right"/>
        <w:rPr>
          <w:rFonts w:ascii="Geomanist Light" w:eastAsia="Geomanist Light" w:hAnsi="Geomanist Light" w:cs="Geomanist Light"/>
          <w:color w:val="201F1E"/>
          <w:lang w:val="es-MX"/>
        </w:rPr>
      </w:pPr>
      <w:r w:rsidRPr="001F6F88">
        <w:rPr>
          <w:rFonts w:ascii="Geomanist Light" w:eastAsia="Geomanist Light" w:hAnsi="Geomanist Light" w:cs="Geomanist Light"/>
          <w:noProof/>
          <w:color w:val="201F1E"/>
          <w:lang w:val="es-MX"/>
        </w:rPr>
        <w:drawing>
          <wp:inline distT="0" distB="0" distL="0" distR="0" wp14:anchorId="72959AD0" wp14:editId="70611A9D">
            <wp:extent cx="3181794" cy="924054"/>
            <wp:effectExtent l="0" t="0" r="0" b="9525"/>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pic:nvPicPr>
                  <pic:blipFill>
                    <a:blip r:embed="rId11"/>
                    <a:stretch>
                      <a:fillRect/>
                    </a:stretch>
                  </pic:blipFill>
                  <pic:spPr>
                    <a:xfrm>
                      <a:off x="0" y="0"/>
                      <a:ext cx="3181794" cy="924054"/>
                    </a:xfrm>
                    <a:prstGeom prst="rect">
                      <a:avLst/>
                    </a:prstGeom>
                  </pic:spPr>
                </pic:pic>
              </a:graphicData>
            </a:graphic>
          </wp:inline>
        </w:drawing>
      </w:r>
    </w:p>
    <w:p w14:paraId="70408167" w14:textId="728C4BE9" w:rsidR="00F01003" w:rsidRPr="00DD0DA7" w:rsidRDefault="00F01003" w:rsidP="00F01003">
      <w:pPr>
        <w:widowControl w:val="0"/>
        <w:autoSpaceDE w:val="0"/>
        <w:autoSpaceDN w:val="0"/>
        <w:spacing w:after="0" w:line="240" w:lineRule="auto"/>
        <w:rPr>
          <w:rFonts w:ascii="Arial" w:eastAsia="Calibri" w:hAnsi="Arial" w:cs="Arial"/>
          <w:color w:val="000000" w:themeColor="text1"/>
          <w:lang w:val="es-MX"/>
        </w:rPr>
      </w:pPr>
      <w:r w:rsidRPr="00DD0DA7">
        <w:rPr>
          <w:rFonts w:ascii="Arial" w:eastAsia="Calibri" w:hAnsi="Arial" w:cs="Arial"/>
          <w:color w:val="000000" w:themeColor="text1"/>
          <w:lang w:val="es-MX"/>
        </w:rPr>
        <w:t>Señor</w:t>
      </w:r>
    </w:p>
    <w:p w14:paraId="75B14AAB" w14:textId="77777777" w:rsidR="00F01003" w:rsidRPr="00DD0DA7" w:rsidRDefault="00F01003" w:rsidP="00F01003">
      <w:pPr>
        <w:widowControl w:val="0"/>
        <w:autoSpaceDE w:val="0"/>
        <w:autoSpaceDN w:val="0"/>
        <w:spacing w:after="0" w:line="240" w:lineRule="auto"/>
        <w:rPr>
          <w:rFonts w:ascii="Arial" w:eastAsia="Calibri" w:hAnsi="Arial" w:cs="Arial"/>
          <w:b/>
          <w:bCs/>
          <w:color w:val="000000" w:themeColor="text1"/>
          <w:lang w:val="es-MX"/>
        </w:rPr>
      </w:pPr>
      <w:proofErr w:type="spellStart"/>
      <w:r w:rsidRPr="00DD0DA7">
        <w:rPr>
          <w:rFonts w:ascii="Arial" w:eastAsia="Calibri" w:hAnsi="Arial" w:cs="Arial"/>
          <w:b/>
          <w:bCs/>
          <w:color w:val="000000" w:themeColor="text1"/>
          <w:lang w:val="es-MX"/>
        </w:rPr>
        <w:t>Alvaro</w:t>
      </w:r>
      <w:proofErr w:type="spellEnd"/>
      <w:r w:rsidRPr="00DD0DA7">
        <w:rPr>
          <w:rFonts w:ascii="Arial" w:eastAsia="Calibri" w:hAnsi="Arial" w:cs="Arial"/>
          <w:b/>
          <w:bCs/>
          <w:color w:val="000000" w:themeColor="text1"/>
          <w:lang w:val="es-MX"/>
        </w:rPr>
        <w:t xml:space="preserve"> Ramírez</w:t>
      </w:r>
    </w:p>
    <w:p w14:paraId="2D8A84DF" w14:textId="77777777" w:rsidR="00F01003" w:rsidRPr="00DD0DA7" w:rsidRDefault="003C11B1" w:rsidP="00F01003">
      <w:pPr>
        <w:widowControl w:val="0"/>
        <w:autoSpaceDE w:val="0"/>
        <w:autoSpaceDN w:val="0"/>
        <w:spacing w:after="0" w:line="240" w:lineRule="auto"/>
        <w:rPr>
          <w:rFonts w:ascii="Arial" w:hAnsi="Arial" w:cs="Arial"/>
          <w:color w:val="000000" w:themeColor="text1"/>
        </w:rPr>
      </w:pPr>
      <w:hyperlink r:id="rId12" w:history="1">
        <w:r w:rsidR="00F01003" w:rsidRPr="00DD0DA7">
          <w:rPr>
            <w:rStyle w:val="Hipervnculo"/>
            <w:rFonts w:ascii="Arial" w:hAnsi="Arial" w:cs="Arial"/>
            <w:color w:val="000000" w:themeColor="text1"/>
          </w:rPr>
          <w:t>aaramirez77@hotmail.com</w:t>
        </w:r>
      </w:hyperlink>
    </w:p>
    <w:p w14:paraId="36183781" w14:textId="77777777" w:rsidR="00F01003" w:rsidRPr="00DD0DA7" w:rsidRDefault="00F01003" w:rsidP="00F01003">
      <w:pPr>
        <w:widowControl w:val="0"/>
        <w:autoSpaceDE w:val="0"/>
        <w:autoSpaceDN w:val="0"/>
        <w:spacing w:after="0" w:line="240" w:lineRule="auto"/>
        <w:rPr>
          <w:rFonts w:ascii="Arial" w:eastAsia="Calibri" w:hAnsi="Arial" w:cs="Arial"/>
          <w:b/>
          <w:bCs/>
          <w:color w:val="000000" w:themeColor="text1"/>
          <w:lang w:val="es-MX"/>
        </w:rPr>
      </w:pPr>
      <w:r w:rsidRPr="00DD0DA7">
        <w:rPr>
          <w:rFonts w:ascii="Arial" w:hAnsi="Arial" w:cs="Arial"/>
          <w:color w:val="000000" w:themeColor="text1"/>
        </w:rPr>
        <w:t>Los patios</w:t>
      </w:r>
      <w:r w:rsidRPr="00DD0DA7">
        <w:rPr>
          <w:rFonts w:ascii="Arial" w:eastAsia="Calibri" w:hAnsi="Arial" w:cs="Arial"/>
          <w:b/>
          <w:bCs/>
          <w:color w:val="000000" w:themeColor="text1"/>
          <w:lang w:val="es-MX"/>
        </w:rPr>
        <w:t xml:space="preserve">  </w:t>
      </w:r>
    </w:p>
    <w:p w14:paraId="5A161732" w14:textId="77777777" w:rsidR="00F01003" w:rsidRPr="00DD0DA7" w:rsidRDefault="00F01003" w:rsidP="00F01003">
      <w:pPr>
        <w:widowControl w:val="0"/>
        <w:autoSpaceDE w:val="0"/>
        <w:autoSpaceDN w:val="0"/>
        <w:spacing w:after="0" w:line="240" w:lineRule="auto"/>
        <w:rPr>
          <w:rFonts w:ascii="Arial" w:eastAsia="Calibri" w:hAnsi="Arial" w:cs="Arial"/>
          <w:color w:val="000000" w:themeColor="text1"/>
          <w:lang w:val="es-MX"/>
        </w:rPr>
      </w:pPr>
    </w:p>
    <w:p w14:paraId="1C84B002" w14:textId="77777777" w:rsidR="00F01003" w:rsidRPr="00DD0DA7" w:rsidRDefault="00F01003" w:rsidP="00F01003">
      <w:pPr>
        <w:spacing w:after="0" w:line="240" w:lineRule="auto"/>
        <w:rPr>
          <w:rFonts w:ascii="Arial" w:eastAsia="Calibri" w:hAnsi="Arial" w:cs="Arial"/>
          <w:b/>
          <w:color w:val="000000" w:themeColor="text1"/>
        </w:rPr>
      </w:pPr>
    </w:p>
    <w:p w14:paraId="29610436" w14:textId="77777777" w:rsidR="00F01003" w:rsidRDefault="00F01003" w:rsidP="00F01003">
      <w:pPr>
        <w:spacing w:after="0" w:line="240" w:lineRule="auto"/>
        <w:ind w:left="2116" w:firstLine="708"/>
        <w:rPr>
          <w:rFonts w:ascii="Arial" w:eastAsia="Calibri" w:hAnsi="Arial" w:cs="Arial"/>
          <w:b/>
          <w:bCs/>
          <w:color w:val="000000" w:themeColor="text1"/>
          <w:lang w:val="es-MX"/>
        </w:rPr>
      </w:pPr>
      <w:r w:rsidRPr="00DD0DA7">
        <w:rPr>
          <w:rFonts w:ascii="Arial" w:eastAsia="Calibri" w:hAnsi="Arial" w:cs="Arial"/>
          <w:b/>
          <w:bCs/>
          <w:color w:val="000000" w:themeColor="text1"/>
          <w:lang w:val="es-MX"/>
        </w:rPr>
        <w:t>Concepto C – 871 de 2022</w:t>
      </w:r>
    </w:p>
    <w:p w14:paraId="09EB4A09" w14:textId="77777777" w:rsidR="00F01003" w:rsidRPr="00DD0DA7" w:rsidRDefault="00F01003" w:rsidP="00F01003">
      <w:pPr>
        <w:spacing w:after="0" w:line="240" w:lineRule="auto"/>
        <w:ind w:left="2116" w:firstLine="708"/>
        <w:rPr>
          <w:rFonts w:ascii="Arial" w:eastAsia="Calibri" w:hAnsi="Arial" w:cs="Arial"/>
          <w:b/>
          <w:bCs/>
          <w:color w:val="000000" w:themeColor="text1"/>
          <w:lang w:val="es-MX"/>
        </w:rPr>
      </w:pPr>
    </w:p>
    <w:p w14:paraId="2283FA83" w14:textId="77777777" w:rsidR="00F01003" w:rsidRDefault="00F01003" w:rsidP="00F01003">
      <w:pPr>
        <w:spacing w:after="0" w:line="240" w:lineRule="auto"/>
        <w:ind w:left="2824" w:hanging="2818"/>
        <w:jc w:val="both"/>
        <w:rPr>
          <w:rFonts w:ascii="Arial" w:eastAsia="Calibri" w:hAnsi="Arial" w:cs="Arial"/>
          <w:color w:val="000000" w:themeColor="text1"/>
          <w:lang w:val="es-MX"/>
        </w:rPr>
      </w:pPr>
      <w:r w:rsidRPr="00DD0DA7">
        <w:rPr>
          <w:rFonts w:ascii="Arial" w:eastAsia="Calibri" w:hAnsi="Arial" w:cs="Arial"/>
          <w:b/>
          <w:bCs/>
          <w:color w:val="000000" w:themeColor="text1"/>
          <w:lang w:val="es-MX"/>
        </w:rPr>
        <w:t>Temas:</w:t>
      </w:r>
      <w:r w:rsidRPr="00DD0DA7">
        <w:rPr>
          <w:rFonts w:ascii="Arial" w:eastAsia="Calibri" w:hAnsi="Arial" w:cs="Arial"/>
          <w:bCs/>
          <w:noProof/>
          <w:color w:val="000000" w:themeColor="text1"/>
          <w:lang w:val="es-ES_tradnl"/>
        </w:rPr>
        <w:t xml:space="preserve"> </w:t>
      </w:r>
      <w:r w:rsidRPr="00DD0DA7">
        <w:rPr>
          <w:rFonts w:ascii="Arial" w:eastAsia="Calibri" w:hAnsi="Arial" w:cs="Arial"/>
          <w:bCs/>
          <w:noProof/>
          <w:color w:val="000000" w:themeColor="text1"/>
          <w:lang w:val="es-ES_tradnl"/>
        </w:rPr>
        <w:tab/>
      </w:r>
      <w:r w:rsidRPr="00DD0DA7">
        <w:rPr>
          <w:rFonts w:ascii="Arial" w:eastAsia="Calibri" w:hAnsi="Arial" w:cs="Arial"/>
          <w:color w:val="000000" w:themeColor="text1"/>
          <w:lang w:val="es-MX"/>
        </w:rPr>
        <w:t xml:space="preserve">LEY DE EMPRENDIMIENTO – Ley 2069 de 2020– Finalidad / LEY DE EMPRENDIMIENTO – Ley 2069 de 2020 – Artículo 32 – Criterios diferenciales – Emprendimientos de mujeres – Empresas de mujeres – Necesidad de reglamentación – Decreto 1860 de 2021 / DECRETO 1860 DE 2021 – Emprendimientos y empresas de mujeres – Definición – Artículo 2.2.1.2.4.2.14 – </w:t>
      </w:r>
    </w:p>
    <w:p w14:paraId="3C2E32C1" w14:textId="77777777" w:rsidR="00F01003" w:rsidRPr="00DD0DA7" w:rsidRDefault="00F01003" w:rsidP="00F01003">
      <w:pPr>
        <w:spacing w:after="0" w:line="240" w:lineRule="auto"/>
        <w:ind w:left="2824" w:hanging="2818"/>
        <w:jc w:val="both"/>
        <w:rPr>
          <w:rFonts w:ascii="Arial" w:eastAsia="Calibri" w:hAnsi="Arial" w:cs="Arial"/>
          <w:color w:val="000000" w:themeColor="text1"/>
          <w:lang w:val="es-MX"/>
        </w:rPr>
      </w:pPr>
    </w:p>
    <w:p w14:paraId="535DF4AC" w14:textId="77777777" w:rsidR="00F01003" w:rsidRPr="00DD0DA7" w:rsidRDefault="00F01003" w:rsidP="00F01003">
      <w:pPr>
        <w:spacing w:after="0" w:line="240" w:lineRule="auto"/>
        <w:ind w:left="2824" w:hanging="2818"/>
        <w:jc w:val="both"/>
        <w:rPr>
          <w:rFonts w:ascii="Arial" w:eastAsia="Calibri" w:hAnsi="Arial" w:cs="Arial"/>
          <w:color w:val="000000" w:themeColor="text1"/>
          <w:lang w:val="es-MX"/>
        </w:rPr>
      </w:pPr>
      <w:r w:rsidRPr="00DD0DA7">
        <w:rPr>
          <w:rFonts w:ascii="Arial" w:eastAsia="Calibri" w:hAnsi="Arial" w:cs="Arial"/>
          <w:b/>
          <w:bCs/>
          <w:color w:val="000000" w:themeColor="text1"/>
          <w:lang w:val="es-MX"/>
        </w:rPr>
        <w:t>Radicación:</w:t>
      </w:r>
      <w:r w:rsidRPr="00DD0DA7">
        <w:rPr>
          <w:rFonts w:ascii="Arial" w:eastAsia="Calibri" w:hAnsi="Arial" w:cs="Arial"/>
          <w:bCs/>
          <w:noProof/>
          <w:color w:val="000000" w:themeColor="text1"/>
          <w:lang w:val="es-ES_tradnl"/>
        </w:rPr>
        <w:tab/>
      </w:r>
      <w:r w:rsidRPr="00DD0DA7">
        <w:rPr>
          <w:rFonts w:ascii="Arial" w:eastAsia="Calibri" w:hAnsi="Arial" w:cs="Arial"/>
          <w:color w:val="000000" w:themeColor="text1"/>
          <w:lang w:val="es-MX"/>
        </w:rPr>
        <w:t>Respuesta a consulta P20221215012249</w:t>
      </w:r>
    </w:p>
    <w:p w14:paraId="56804D2A" w14:textId="77777777" w:rsidR="00F01003" w:rsidRPr="00DD0DA7" w:rsidRDefault="00F01003" w:rsidP="00F01003">
      <w:pPr>
        <w:spacing w:after="0" w:line="240" w:lineRule="auto"/>
        <w:ind w:left="2824" w:hanging="2818"/>
        <w:jc w:val="both"/>
        <w:rPr>
          <w:rFonts w:ascii="Arial" w:eastAsia="Calibri" w:hAnsi="Arial" w:cs="Arial"/>
          <w:color w:val="000000" w:themeColor="text1"/>
          <w:lang w:val="es-ES_tradnl"/>
        </w:rPr>
      </w:pPr>
    </w:p>
    <w:p w14:paraId="131D2691" w14:textId="77777777" w:rsidR="00F01003" w:rsidRPr="00DD0DA7" w:rsidRDefault="00F01003" w:rsidP="00F01003">
      <w:pPr>
        <w:spacing w:after="0" w:line="240" w:lineRule="auto"/>
        <w:jc w:val="both"/>
        <w:rPr>
          <w:rFonts w:ascii="Arial" w:eastAsia="Calibri" w:hAnsi="Arial" w:cs="Arial"/>
          <w:color w:val="000000" w:themeColor="text1"/>
          <w:lang w:val="es-MX"/>
        </w:rPr>
      </w:pPr>
      <w:r w:rsidRPr="00DD0DA7">
        <w:rPr>
          <w:rFonts w:ascii="Arial" w:eastAsia="Calibri" w:hAnsi="Arial" w:cs="Arial"/>
          <w:color w:val="000000" w:themeColor="text1"/>
          <w:lang w:val="es-MX"/>
        </w:rPr>
        <w:t xml:space="preserve">Estimado señor Ramírez,    </w:t>
      </w:r>
    </w:p>
    <w:p w14:paraId="605D4823" w14:textId="77777777" w:rsidR="00F01003" w:rsidRPr="00DD0DA7" w:rsidRDefault="00F01003" w:rsidP="00F01003">
      <w:pPr>
        <w:spacing w:after="0" w:line="240" w:lineRule="auto"/>
        <w:jc w:val="both"/>
        <w:rPr>
          <w:rFonts w:ascii="Arial" w:eastAsia="Calibri" w:hAnsi="Arial" w:cs="Arial"/>
          <w:color w:val="000000" w:themeColor="text1"/>
          <w:lang w:val="es-MX"/>
        </w:rPr>
      </w:pPr>
    </w:p>
    <w:p w14:paraId="75A56125" w14:textId="77777777" w:rsidR="00F01003" w:rsidRPr="00DD0DA7" w:rsidRDefault="00F01003" w:rsidP="00F01003">
      <w:pPr>
        <w:spacing w:after="0" w:line="240" w:lineRule="auto"/>
        <w:jc w:val="both"/>
        <w:rPr>
          <w:rFonts w:ascii="Arial" w:eastAsia="Calibri" w:hAnsi="Arial" w:cs="Arial"/>
          <w:color w:val="000000" w:themeColor="text1"/>
          <w:lang w:val="es-MX"/>
        </w:rPr>
      </w:pPr>
      <w:r w:rsidRPr="00DD0DA7">
        <w:rPr>
          <w:rFonts w:ascii="Arial" w:eastAsia="Calibri" w:hAnsi="Arial" w:cs="Arial"/>
          <w:color w:val="000000" w:themeColor="text1"/>
          <w:lang w:val="es-MX"/>
        </w:rPr>
        <w:t>En ejercicio de la competencia otorgada por el numeral 8 del artículo 11 y el numeral 5 del artículo 3 del Decreto Ley 4170 de 2011, la Agencia Nacional de Contratación Pública− Colombia Compra Eficiente responde su consulta de fecha 15 de diciembre de 2022.</w:t>
      </w:r>
    </w:p>
    <w:p w14:paraId="648CC100" w14:textId="77777777" w:rsidR="00F01003" w:rsidRPr="00DD0DA7" w:rsidRDefault="00F01003" w:rsidP="00F01003">
      <w:pPr>
        <w:spacing w:after="0" w:line="240" w:lineRule="auto"/>
        <w:jc w:val="both"/>
        <w:rPr>
          <w:rFonts w:ascii="Arial" w:hAnsi="Arial" w:cs="Arial"/>
          <w:color w:val="000000" w:themeColor="text1"/>
          <w:lang w:val="es-ES_tradnl"/>
        </w:rPr>
      </w:pPr>
    </w:p>
    <w:p w14:paraId="06D500E2" w14:textId="77777777" w:rsidR="00F01003" w:rsidRPr="00DD0DA7" w:rsidRDefault="00F01003" w:rsidP="00F01003">
      <w:pPr>
        <w:tabs>
          <w:tab w:val="left" w:pos="284"/>
        </w:tabs>
        <w:spacing w:after="0" w:line="240" w:lineRule="auto"/>
        <w:contextualSpacing/>
        <w:jc w:val="both"/>
        <w:rPr>
          <w:rFonts w:ascii="Arial" w:eastAsia="Calibri" w:hAnsi="Arial" w:cs="Arial"/>
          <w:b/>
          <w:bCs/>
          <w:color w:val="000000" w:themeColor="text1"/>
          <w:lang w:val="es-MX"/>
        </w:rPr>
      </w:pPr>
      <w:r w:rsidRPr="00DD0DA7">
        <w:rPr>
          <w:rFonts w:ascii="Arial" w:eastAsia="Calibri" w:hAnsi="Arial" w:cs="Arial"/>
          <w:b/>
          <w:bCs/>
          <w:color w:val="000000" w:themeColor="text1"/>
          <w:lang w:val="es-MX"/>
        </w:rPr>
        <w:t xml:space="preserve">1. Problema planteado </w:t>
      </w:r>
    </w:p>
    <w:p w14:paraId="348F9673" w14:textId="77777777" w:rsidR="00F01003" w:rsidRPr="00DD0DA7" w:rsidRDefault="00F01003" w:rsidP="00F01003">
      <w:pPr>
        <w:tabs>
          <w:tab w:val="left" w:pos="426"/>
        </w:tabs>
        <w:spacing w:after="0" w:line="240" w:lineRule="auto"/>
        <w:jc w:val="both"/>
        <w:rPr>
          <w:rFonts w:ascii="Arial" w:eastAsia="Calibri" w:hAnsi="Arial" w:cs="Arial"/>
          <w:color w:val="000000" w:themeColor="text1"/>
        </w:rPr>
      </w:pPr>
    </w:p>
    <w:p w14:paraId="038B8409" w14:textId="77777777" w:rsidR="00F01003" w:rsidRDefault="00F01003" w:rsidP="00F01003">
      <w:pPr>
        <w:spacing w:after="0" w:line="240" w:lineRule="auto"/>
        <w:jc w:val="both"/>
        <w:rPr>
          <w:rFonts w:ascii="Arial" w:eastAsia="Calibri" w:hAnsi="Arial" w:cs="Arial"/>
          <w:color w:val="000000" w:themeColor="text1"/>
          <w:lang w:val="es-MX"/>
        </w:rPr>
      </w:pPr>
      <w:r w:rsidRPr="00DD0DA7">
        <w:rPr>
          <w:rFonts w:ascii="Arial" w:eastAsia="Calibri" w:hAnsi="Arial" w:cs="Arial"/>
          <w:color w:val="000000" w:themeColor="text1"/>
          <w:lang w:val="es-MX"/>
        </w:rPr>
        <w:t xml:space="preserve">Usted formula la siguiente consulta aclaratoria </w:t>
      </w:r>
      <w:r>
        <w:rPr>
          <w:rFonts w:ascii="Arial" w:eastAsia="Calibri" w:hAnsi="Arial" w:cs="Arial"/>
          <w:color w:val="000000" w:themeColor="text1"/>
          <w:lang w:val="es-MX"/>
        </w:rPr>
        <w:t>con</w:t>
      </w:r>
      <w:r w:rsidRPr="00DD0DA7">
        <w:rPr>
          <w:rFonts w:ascii="Arial" w:eastAsia="Calibri" w:hAnsi="Arial" w:cs="Arial"/>
          <w:color w:val="000000" w:themeColor="text1"/>
          <w:lang w:val="es-MX"/>
        </w:rPr>
        <w:t xml:space="preserve"> relación </w:t>
      </w:r>
      <w:r>
        <w:rPr>
          <w:rFonts w:ascii="Arial" w:eastAsia="Calibri" w:hAnsi="Arial" w:cs="Arial"/>
          <w:color w:val="000000" w:themeColor="text1"/>
          <w:lang w:val="es-MX"/>
        </w:rPr>
        <w:t>a</w:t>
      </w:r>
      <w:r w:rsidRPr="00DD0DA7">
        <w:rPr>
          <w:rFonts w:ascii="Arial" w:eastAsia="Calibri" w:hAnsi="Arial" w:cs="Arial"/>
          <w:color w:val="000000" w:themeColor="text1"/>
          <w:lang w:val="es-MX"/>
        </w:rPr>
        <w:t xml:space="preserve"> la asignación del puntaje adicional para emprendimientos y empresas de mujeres según lo establecido en el artículo 2.2.1.2.4.2.14 del Decreto 1082 de 2015, adicionado por el artículo 3 del Decreto 1860 de 2021:</w:t>
      </w:r>
    </w:p>
    <w:p w14:paraId="1A5500F9" w14:textId="77777777" w:rsidR="00F01003" w:rsidRPr="00DD0DA7" w:rsidRDefault="00F01003" w:rsidP="00F01003">
      <w:pPr>
        <w:spacing w:after="0" w:line="240" w:lineRule="auto"/>
        <w:jc w:val="both"/>
        <w:rPr>
          <w:rFonts w:ascii="Arial" w:eastAsia="Calibri" w:hAnsi="Arial" w:cs="Arial"/>
          <w:color w:val="000000" w:themeColor="text1"/>
          <w:lang w:val="es-MX"/>
        </w:rPr>
      </w:pPr>
    </w:p>
    <w:p w14:paraId="4A1310AC" w14:textId="7440A9DF" w:rsidR="00F01003" w:rsidRPr="00DD0DA7" w:rsidRDefault="00F01003" w:rsidP="00F01003">
      <w:pPr>
        <w:autoSpaceDE w:val="0"/>
        <w:autoSpaceDN w:val="0"/>
        <w:adjustRightInd w:val="0"/>
        <w:spacing w:after="0" w:line="240" w:lineRule="auto"/>
        <w:jc w:val="both"/>
        <w:rPr>
          <w:rFonts w:ascii="Arial" w:hAnsi="Arial" w:cs="Arial"/>
          <w:color w:val="000000" w:themeColor="text1"/>
        </w:rPr>
      </w:pPr>
      <w:bookmarkStart w:id="0" w:name="_Hlk106025682"/>
      <w:r w:rsidRPr="51AC5A12">
        <w:rPr>
          <w:rFonts w:ascii="Arial" w:eastAsia="Calibri" w:hAnsi="Arial" w:cs="Arial"/>
          <w:color w:val="000000" w:themeColor="text1"/>
          <w:lang w:val="es-MX"/>
        </w:rPr>
        <w:t xml:space="preserve">«[…] </w:t>
      </w:r>
      <w:r w:rsidRPr="51AC5A12">
        <w:rPr>
          <w:rFonts w:ascii="Arial" w:hAnsi="Arial" w:cs="Arial"/>
          <w:color w:val="000000" w:themeColor="text1"/>
        </w:rPr>
        <w:t xml:space="preserve">interpretación de lo establecido en el artículo 2.2.1.2.4.2.14 Definición de emprendimientos y empresas de mujeres, decreto 1860 de 2021. Solicito a la agencia </w:t>
      </w:r>
      <w:proofErr w:type="spellStart"/>
      <w:r w:rsidRPr="51AC5A12">
        <w:rPr>
          <w:rFonts w:ascii="Arial" w:hAnsi="Arial" w:cs="Arial"/>
          <w:color w:val="000000" w:themeColor="text1"/>
        </w:rPr>
        <w:t>publica</w:t>
      </w:r>
      <w:proofErr w:type="spellEnd"/>
      <w:r w:rsidRPr="51AC5A12">
        <w:rPr>
          <w:rFonts w:ascii="Arial" w:hAnsi="Arial" w:cs="Arial"/>
          <w:color w:val="000000" w:themeColor="text1"/>
        </w:rPr>
        <w:t xml:space="preserve"> de contratación CCE se aclare el contenido del numeral 2 del artículo en mención, ya que existen entidades en que se anexa el certificado mencionado en el </w:t>
      </w:r>
      <w:r w:rsidR="7160D41A" w:rsidRPr="51AC5A12">
        <w:rPr>
          <w:rFonts w:ascii="Arial" w:hAnsi="Arial" w:cs="Arial"/>
          <w:color w:val="000000" w:themeColor="text1"/>
        </w:rPr>
        <w:t>párrafo</w:t>
      </w:r>
      <w:r w:rsidRPr="51AC5A12">
        <w:rPr>
          <w:rFonts w:ascii="Arial" w:hAnsi="Arial" w:cs="Arial"/>
          <w:color w:val="000000" w:themeColor="text1"/>
        </w:rPr>
        <w:t xml:space="preserve"> tercero del numeral dos del ARTÍCULO 2.2.1.2.4.2.14. que exige una certificación expedida por el representante legal y el revisor fiscal; y se presenta con frecuencia en pequeñas empresas que estas solo tiene dos cargos en el nivel </w:t>
      </w:r>
      <w:r w:rsidRPr="51AC5A12">
        <w:rPr>
          <w:rFonts w:ascii="Arial" w:hAnsi="Arial" w:cs="Arial"/>
          <w:color w:val="000000" w:themeColor="text1"/>
        </w:rPr>
        <w:lastRenderedPageBreak/>
        <w:t xml:space="preserve">directivo, entre los cuales se encuentra el representante legal que se acredita con el certificado de existencia y representación legal y otro cargo como por </w:t>
      </w:r>
      <w:proofErr w:type="spellStart"/>
      <w:r w:rsidRPr="51AC5A12">
        <w:rPr>
          <w:rFonts w:ascii="Arial" w:hAnsi="Arial" w:cs="Arial"/>
          <w:color w:val="000000" w:themeColor="text1"/>
        </w:rPr>
        <w:t>ej</w:t>
      </w:r>
      <w:proofErr w:type="spellEnd"/>
      <w:r w:rsidRPr="51AC5A12">
        <w:rPr>
          <w:rFonts w:ascii="Arial" w:hAnsi="Arial" w:cs="Arial"/>
          <w:color w:val="000000" w:themeColor="text1"/>
        </w:rPr>
        <w:t xml:space="preserve">, jefe de talento humano, jefatura de compras, contratación etc... para obtener el beneficio de que trata el artículo </w:t>
      </w:r>
      <w:proofErr w:type="spellStart"/>
      <w:r w:rsidRPr="51AC5A12">
        <w:rPr>
          <w:rFonts w:ascii="Arial" w:hAnsi="Arial" w:cs="Arial"/>
          <w:color w:val="000000" w:themeColor="text1"/>
        </w:rPr>
        <w:t>ARTÍCULO</w:t>
      </w:r>
      <w:proofErr w:type="spellEnd"/>
      <w:r w:rsidRPr="51AC5A12">
        <w:rPr>
          <w:rFonts w:ascii="Arial" w:hAnsi="Arial" w:cs="Arial"/>
          <w:color w:val="000000" w:themeColor="text1"/>
        </w:rPr>
        <w:t xml:space="preserve"> 2.2.1.2.4.2.14., si por ejemplo la personal encarga de la dirección de talento humano, es mujer y lleva en la empresa con ese cargo </w:t>
      </w:r>
      <w:r w:rsidR="28A881FE" w:rsidRPr="51AC5A12">
        <w:rPr>
          <w:rFonts w:ascii="Arial" w:hAnsi="Arial" w:cs="Arial"/>
          <w:color w:val="000000" w:themeColor="text1"/>
        </w:rPr>
        <w:t>más</w:t>
      </w:r>
      <w:r w:rsidRPr="51AC5A12">
        <w:rPr>
          <w:rFonts w:ascii="Arial" w:hAnsi="Arial" w:cs="Arial"/>
          <w:color w:val="000000" w:themeColor="text1"/>
        </w:rPr>
        <w:t xml:space="preserve"> de un año, para obtener el incentivo de 0,25 puntos es necesario que se entreguen la planillas de pago de los </w:t>
      </w:r>
      <w:r w:rsidR="67DCE012" w:rsidRPr="51AC5A12">
        <w:rPr>
          <w:rFonts w:ascii="Arial" w:hAnsi="Arial" w:cs="Arial"/>
          <w:color w:val="000000" w:themeColor="text1"/>
        </w:rPr>
        <w:t>últimos</w:t>
      </w:r>
      <w:r w:rsidRPr="51AC5A12">
        <w:rPr>
          <w:rFonts w:ascii="Arial" w:hAnsi="Arial" w:cs="Arial"/>
          <w:color w:val="000000" w:themeColor="text1"/>
        </w:rPr>
        <w:t xml:space="preserve"> 12 meses tanto de la encargada de la dirección de talento humano quien es mujer, así como del representante legal de la empresa quien es hombre, o basta solamente con entregar el certificado de aportes a seguridad social del personal del nivel directivo que ocupan </w:t>
      </w:r>
      <w:proofErr w:type="spellStart"/>
      <w:r w:rsidRPr="51AC5A12">
        <w:rPr>
          <w:rFonts w:ascii="Arial" w:hAnsi="Arial" w:cs="Arial"/>
          <w:color w:val="000000" w:themeColor="text1"/>
        </w:rPr>
        <w:t>mas</w:t>
      </w:r>
      <w:proofErr w:type="spellEnd"/>
      <w:r w:rsidRPr="51AC5A12">
        <w:rPr>
          <w:rFonts w:ascii="Arial" w:hAnsi="Arial" w:cs="Arial"/>
          <w:color w:val="000000" w:themeColor="text1"/>
        </w:rPr>
        <w:t xml:space="preserve"> del 50% de los empleos ocupados por mujeres, es decir si el representante legal es hombre ocupa el 50% de los cargos de nivel directivo y NO aparece en los certificados de aportes al sistema de seguridad social de la empresa, y solamente aparecen los cargos de nivel directivo que demuestran la participación del otro 50% ocupado por mujeres estas empresas no obtienen el incentivo de 0,25 puntos (sic)?</w:t>
      </w:r>
      <w:r w:rsidRPr="51AC5A12">
        <w:rPr>
          <w:rFonts w:ascii="Arial" w:eastAsia="Calibri" w:hAnsi="Arial" w:cs="Arial"/>
          <w:color w:val="000000" w:themeColor="text1"/>
          <w:lang w:val="es-MX"/>
        </w:rPr>
        <w:t>»</w:t>
      </w:r>
      <w:bookmarkEnd w:id="0"/>
    </w:p>
    <w:p w14:paraId="58736382" w14:textId="77777777" w:rsidR="00F01003" w:rsidRPr="00DD0DA7" w:rsidRDefault="00F01003" w:rsidP="00F01003">
      <w:pPr>
        <w:spacing w:after="0" w:line="240" w:lineRule="auto"/>
        <w:ind w:right="709"/>
        <w:jc w:val="both"/>
        <w:rPr>
          <w:rFonts w:ascii="Arial" w:eastAsia="Calibri" w:hAnsi="Arial" w:cs="Arial"/>
          <w:b/>
          <w:color w:val="000000" w:themeColor="text1"/>
        </w:rPr>
      </w:pPr>
    </w:p>
    <w:p w14:paraId="5DBD67F0" w14:textId="77777777" w:rsidR="00F01003" w:rsidRPr="00DD0DA7" w:rsidRDefault="00F01003" w:rsidP="00F01003">
      <w:pPr>
        <w:tabs>
          <w:tab w:val="left" w:pos="284"/>
        </w:tabs>
        <w:spacing w:after="0" w:line="240" w:lineRule="auto"/>
        <w:contextualSpacing/>
        <w:jc w:val="both"/>
        <w:rPr>
          <w:rFonts w:ascii="Arial" w:eastAsia="Calibri" w:hAnsi="Arial" w:cs="Arial"/>
          <w:b/>
          <w:bCs/>
          <w:color w:val="000000" w:themeColor="text1"/>
          <w:lang w:val="es-MX"/>
        </w:rPr>
      </w:pPr>
      <w:r w:rsidRPr="00DD0DA7">
        <w:rPr>
          <w:rFonts w:ascii="Arial" w:eastAsia="Calibri" w:hAnsi="Arial" w:cs="Arial"/>
          <w:b/>
          <w:bCs/>
          <w:color w:val="000000" w:themeColor="text1"/>
          <w:lang w:val="es-MX"/>
        </w:rPr>
        <w:t>2. Consideraciones</w:t>
      </w:r>
    </w:p>
    <w:p w14:paraId="464949BD" w14:textId="77777777" w:rsidR="00F01003" w:rsidRPr="00DD0DA7" w:rsidRDefault="00F01003" w:rsidP="00F01003">
      <w:pPr>
        <w:spacing w:after="0" w:line="240" w:lineRule="auto"/>
        <w:ind w:right="709"/>
        <w:jc w:val="both"/>
        <w:rPr>
          <w:rFonts w:ascii="Arial" w:hAnsi="Arial" w:cs="Arial"/>
          <w:color w:val="000000" w:themeColor="text1"/>
        </w:rPr>
      </w:pPr>
    </w:p>
    <w:p w14:paraId="049EB28D" w14:textId="77777777" w:rsidR="00F01003" w:rsidRPr="00DD0DA7" w:rsidRDefault="00F01003" w:rsidP="00F01003">
      <w:pPr>
        <w:spacing w:after="0" w:line="240" w:lineRule="auto"/>
        <w:jc w:val="both"/>
        <w:rPr>
          <w:rFonts w:ascii="Arial" w:eastAsia="Calibri" w:hAnsi="Arial" w:cs="Arial"/>
          <w:color w:val="000000" w:themeColor="text1"/>
          <w:lang w:val="es-MX"/>
        </w:rPr>
      </w:pPr>
      <w:r w:rsidRPr="00DD0DA7">
        <w:rPr>
          <w:rFonts w:ascii="Arial" w:eastAsia="Calibri" w:hAnsi="Arial" w:cs="Arial"/>
          <w:color w:val="000000" w:themeColor="text1"/>
          <w:lang w:val="es-MX"/>
        </w:rPr>
        <w:t>Es necesario tener en cuenta que, de acuerdo con las competencias establecidas en los artículos 3.5 y 11.8 del Decreto 4170 de 2021, la Agencia Nacional de Contratación Pública - Colombia Compra Eficiente solo tiene competencia para responder solicitudes sobre la aplicación de normas de carácter general en materia de compras y contratación pública. 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DD0DA7">
        <w:rPr>
          <w:rFonts w:ascii="Arial" w:hAnsi="Arial" w:cs="Arial"/>
          <w:color w:val="000000" w:themeColor="text1"/>
          <w:vertAlign w:val="superscript"/>
          <w:lang w:val="es-ES"/>
        </w:rPr>
        <w:footnoteReference w:id="2"/>
      </w:r>
      <w:r w:rsidRPr="00DD0DA7">
        <w:rPr>
          <w:rFonts w:ascii="Arial" w:hAnsi="Arial" w:cs="Arial"/>
          <w:color w:val="000000" w:themeColor="text1"/>
          <w:lang w:val="es-ES"/>
        </w:rPr>
        <w:t xml:space="preserve">. </w:t>
      </w:r>
      <w:r w:rsidRPr="00DD0DA7">
        <w:rPr>
          <w:rFonts w:ascii="Arial" w:eastAsia="Calibri" w:hAnsi="Arial" w:cs="Arial"/>
          <w:color w:val="000000" w:themeColor="text1"/>
          <w:lang w:val="es-MX"/>
        </w:rPr>
        <w:t>Esta competencia de interpretación de normas generales, por definición, tampoco puede extenderse a la resolución de controversias, ni a brindar asesorías sobre casos puntuales.</w:t>
      </w:r>
    </w:p>
    <w:p w14:paraId="57348B5C" w14:textId="77777777" w:rsidR="00F01003" w:rsidRPr="00DD0DA7" w:rsidRDefault="00F01003" w:rsidP="00F01003">
      <w:pPr>
        <w:spacing w:after="0" w:line="240" w:lineRule="auto"/>
        <w:jc w:val="both"/>
        <w:rPr>
          <w:rFonts w:ascii="Arial" w:eastAsia="Calibri" w:hAnsi="Arial" w:cs="Arial"/>
          <w:color w:val="000000" w:themeColor="text1"/>
          <w:lang w:val="es-MX"/>
        </w:rPr>
      </w:pPr>
    </w:p>
    <w:p w14:paraId="15D334D9" w14:textId="77777777" w:rsidR="00F01003" w:rsidRPr="00DD0DA7" w:rsidRDefault="00F01003" w:rsidP="00F01003">
      <w:pPr>
        <w:widowControl w:val="0"/>
        <w:autoSpaceDE w:val="0"/>
        <w:autoSpaceDN w:val="0"/>
        <w:spacing w:after="0" w:line="240" w:lineRule="auto"/>
        <w:ind w:firstLine="708"/>
        <w:jc w:val="both"/>
        <w:rPr>
          <w:rFonts w:ascii="Arial" w:eastAsia="Calibri" w:hAnsi="Arial" w:cs="Arial"/>
          <w:color w:val="000000" w:themeColor="text1"/>
          <w:lang w:val="es-MX"/>
        </w:rPr>
      </w:pPr>
      <w:r w:rsidRPr="00DD0DA7">
        <w:rPr>
          <w:rFonts w:ascii="Arial" w:eastAsia="Calibri" w:hAnsi="Arial" w:cs="Arial"/>
          <w:color w:val="000000" w:themeColor="text1"/>
          <w:lang w:val="es-MX"/>
        </w:rPr>
        <w:t xml:space="preserve">Aclarado lo anterior, para responder su consulta, en desarrollo del presente concepto, se analizarán los siguientes temas: i) reglamentación de los criterios diferenciales de la Ley 2069 de 2020; y </w:t>
      </w:r>
      <w:proofErr w:type="spellStart"/>
      <w:r w:rsidRPr="00DD0DA7">
        <w:rPr>
          <w:rFonts w:ascii="Arial" w:eastAsia="Calibri" w:hAnsi="Arial" w:cs="Arial"/>
          <w:color w:val="000000" w:themeColor="text1"/>
          <w:lang w:val="es-MX"/>
        </w:rPr>
        <w:t>ii</w:t>
      </w:r>
      <w:proofErr w:type="spellEnd"/>
      <w:r w:rsidRPr="00DD0DA7">
        <w:rPr>
          <w:rFonts w:ascii="Arial" w:eastAsia="Calibri" w:hAnsi="Arial" w:cs="Arial"/>
          <w:color w:val="000000" w:themeColor="text1"/>
          <w:lang w:val="es-MX"/>
        </w:rPr>
        <w:t>) definición de emprendimientos y empresas de mujeres en el Decreto 1860 de 2021.</w:t>
      </w:r>
      <w:r w:rsidRPr="00DD0DA7">
        <w:rPr>
          <w:rFonts w:ascii="Arial" w:eastAsia="Arial" w:hAnsi="Arial" w:cs="Arial"/>
          <w:color w:val="000000" w:themeColor="text1"/>
          <w:lang w:val="es-ES"/>
        </w:rPr>
        <w:t xml:space="preserve"> </w:t>
      </w:r>
    </w:p>
    <w:p w14:paraId="629F15F0" w14:textId="15FA3405" w:rsidR="00F01003" w:rsidRPr="00DD0DA7" w:rsidRDefault="00F01003" w:rsidP="00F01003">
      <w:pPr>
        <w:widowControl w:val="0"/>
        <w:autoSpaceDE w:val="0"/>
        <w:autoSpaceDN w:val="0"/>
        <w:spacing w:before="240" w:after="0" w:line="240" w:lineRule="auto"/>
        <w:ind w:firstLine="708"/>
        <w:jc w:val="both"/>
        <w:rPr>
          <w:rFonts w:ascii="Arial" w:eastAsia="Calibri" w:hAnsi="Arial" w:cs="Arial"/>
          <w:color w:val="000000" w:themeColor="text1"/>
          <w:lang w:val="es-MX"/>
        </w:rPr>
      </w:pPr>
      <w:r w:rsidRPr="00DD0DA7">
        <w:rPr>
          <w:rFonts w:ascii="Arial" w:eastAsia="Calibri" w:hAnsi="Arial" w:cs="Arial"/>
          <w:color w:val="000000" w:themeColor="text1"/>
          <w:lang w:val="es-MX"/>
        </w:rPr>
        <w:t>La Agencia Nacional de Contratación Pública – Colombia Compra Eficiente se ha pronunciado, en términos generales, sobre el contenido de la Ley de Emprendimiento en diferentes conceptos</w:t>
      </w:r>
      <w:r w:rsidRPr="00DD0DA7">
        <w:rPr>
          <w:rFonts w:ascii="Arial" w:eastAsia="Calibri" w:hAnsi="Arial" w:cs="Arial"/>
          <w:color w:val="000000" w:themeColor="text1"/>
          <w:vertAlign w:val="superscript"/>
          <w:lang w:val="es-ES_tradnl"/>
        </w:rPr>
        <w:footnoteReference w:id="3"/>
      </w:r>
      <w:r w:rsidRPr="00DD0DA7">
        <w:rPr>
          <w:rFonts w:ascii="Arial" w:eastAsia="Calibri" w:hAnsi="Arial" w:cs="Arial"/>
          <w:color w:val="000000" w:themeColor="text1"/>
          <w:lang w:val="es-ES_tradnl"/>
        </w:rPr>
        <w:t xml:space="preserve">, </w:t>
      </w:r>
      <w:r w:rsidRPr="00DD0DA7">
        <w:rPr>
          <w:rFonts w:ascii="Arial" w:eastAsia="Calibri" w:hAnsi="Arial" w:cs="Arial"/>
          <w:color w:val="000000" w:themeColor="text1"/>
          <w:lang w:val="es-MX"/>
        </w:rPr>
        <w:t xml:space="preserve">refiriéndose, especialmente, a lo dispuesto en el artículo 32 de la precitada </w:t>
      </w:r>
      <w:r w:rsidRPr="00DD0DA7">
        <w:rPr>
          <w:rFonts w:ascii="Arial" w:eastAsia="Calibri" w:hAnsi="Arial" w:cs="Arial"/>
          <w:color w:val="000000" w:themeColor="text1"/>
          <w:lang w:val="es-MX"/>
        </w:rPr>
        <w:lastRenderedPageBreak/>
        <w:t xml:space="preserve">ley, alusivo a los criterios diferenciales para emprendimientos y empresas de mujeres, en los conceptos C-029 de 21 de febrero de 2021, C-037 del 26 de febrero de 2021, C-141 del 8 de abril de 2021, C-114 del 13 de abril de 2021, C-031 del 1 de marzo de 2022, C-217 del 21 de abril de 2022, C-476 de 21 de junio de 2022, C-509 de 8 de agosto de 2022, C-522 de 17 de agosto de 2022, C-533 de 25 de agosto de 2022, C-587 de 21 de septiembre de 2022, C-650 de 6 de octubre de 2022, C-698 de 24 de octubre de 2022, C-715 de 28 de octubre de 2022 y C-752 del 21 de diciembre de 2022. Algunas de las consideraciones de estos conceptos se reiteran y </w:t>
      </w:r>
      <w:r>
        <w:rPr>
          <w:rFonts w:ascii="Arial" w:eastAsia="Calibri" w:hAnsi="Arial" w:cs="Arial"/>
          <w:color w:val="000000" w:themeColor="text1"/>
          <w:lang w:val="es-MX"/>
        </w:rPr>
        <w:t xml:space="preserve">se </w:t>
      </w:r>
      <w:r w:rsidRPr="00DD0DA7">
        <w:rPr>
          <w:rFonts w:ascii="Arial" w:eastAsia="Calibri" w:hAnsi="Arial" w:cs="Arial"/>
          <w:color w:val="000000" w:themeColor="text1"/>
          <w:lang w:val="es-MX"/>
        </w:rPr>
        <w:t>complementan en lo pertinente</w:t>
      </w:r>
      <w:r>
        <w:rPr>
          <w:rFonts w:ascii="Arial" w:eastAsia="Calibri" w:hAnsi="Arial" w:cs="Arial"/>
          <w:color w:val="000000" w:themeColor="text1"/>
          <w:lang w:val="es-MX"/>
        </w:rPr>
        <w:t>.</w:t>
      </w:r>
    </w:p>
    <w:p w14:paraId="0C197F5E" w14:textId="77777777" w:rsidR="00F01003" w:rsidRPr="00DD0DA7" w:rsidRDefault="00F01003" w:rsidP="00F01003">
      <w:pPr>
        <w:spacing w:after="0" w:line="240" w:lineRule="auto"/>
        <w:jc w:val="both"/>
        <w:rPr>
          <w:rFonts w:ascii="Arial" w:eastAsia="Calibri" w:hAnsi="Arial" w:cs="Arial"/>
          <w:b/>
          <w:bCs/>
          <w:color w:val="000000" w:themeColor="text1"/>
          <w:lang w:val="es-ES_tradnl"/>
        </w:rPr>
      </w:pPr>
      <w:bookmarkStart w:id="1" w:name="_Hlk94018153"/>
    </w:p>
    <w:p w14:paraId="4937F132" w14:textId="77777777" w:rsidR="00F01003" w:rsidRPr="00DD0DA7" w:rsidRDefault="00F01003" w:rsidP="00F01003">
      <w:pPr>
        <w:spacing w:after="0" w:line="240" w:lineRule="auto"/>
        <w:jc w:val="both"/>
        <w:rPr>
          <w:rFonts w:ascii="Arial" w:eastAsia="Calibri" w:hAnsi="Arial" w:cs="Arial"/>
          <w:b/>
          <w:bCs/>
          <w:color w:val="000000" w:themeColor="text1"/>
          <w:lang w:val="es-MX"/>
        </w:rPr>
      </w:pPr>
      <w:r w:rsidRPr="00DD0DA7">
        <w:rPr>
          <w:rFonts w:ascii="Arial" w:eastAsia="Calibri" w:hAnsi="Arial" w:cs="Arial"/>
          <w:b/>
          <w:bCs/>
          <w:color w:val="000000" w:themeColor="text1"/>
          <w:lang w:val="es-MX"/>
        </w:rPr>
        <w:t xml:space="preserve">2.1. Reglamentación de los criterios diferenciales introducidos por la Ley 2069 de 2020 </w:t>
      </w:r>
      <w:bookmarkEnd w:id="1"/>
    </w:p>
    <w:p w14:paraId="022CDFE9" w14:textId="77777777" w:rsidR="00F01003" w:rsidRPr="00DD0DA7" w:rsidRDefault="00F01003" w:rsidP="00F01003">
      <w:pPr>
        <w:spacing w:after="0" w:line="240" w:lineRule="auto"/>
        <w:jc w:val="both"/>
        <w:rPr>
          <w:rFonts w:ascii="Arial" w:eastAsia="Calibri" w:hAnsi="Arial" w:cs="Arial"/>
          <w:color w:val="000000" w:themeColor="text1"/>
          <w:lang w:val="es-ES_tradnl"/>
        </w:rPr>
      </w:pPr>
    </w:p>
    <w:p w14:paraId="0E96B1D5" w14:textId="77777777" w:rsidR="00F01003" w:rsidRPr="00DD0DA7" w:rsidRDefault="00F01003" w:rsidP="00F01003">
      <w:pPr>
        <w:spacing w:after="0" w:line="240" w:lineRule="auto"/>
        <w:jc w:val="both"/>
        <w:rPr>
          <w:rFonts w:ascii="Arial" w:eastAsia="Calibri" w:hAnsi="Arial" w:cs="Arial"/>
          <w:color w:val="000000" w:themeColor="text1"/>
          <w:lang w:val="es-MX"/>
        </w:rPr>
      </w:pPr>
      <w:r w:rsidRPr="00DD0DA7">
        <w:rPr>
          <w:rFonts w:ascii="Arial" w:eastAsia="Calibri" w:hAnsi="Arial" w:cs="Arial"/>
          <w:color w:val="000000" w:themeColor="text1"/>
          <w:lang w:val="es-MX"/>
        </w:rPr>
        <w:t>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numeral 11 del artículo 189 de la Constitución Política, expida los decretos correspondientes que permitan la cumplida ejecución de esta Ley, potestad que fue ejercida mediante la expedición del Decreto 1860 de 2021, al cual se hará referencia más adelante.</w:t>
      </w:r>
    </w:p>
    <w:p w14:paraId="4630F719" w14:textId="77777777" w:rsidR="00F01003" w:rsidRPr="00DD0DA7" w:rsidRDefault="00F01003" w:rsidP="00F01003">
      <w:pPr>
        <w:spacing w:after="0" w:line="240" w:lineRule="auto"/>
        <w:jc w:val="both"/>
        <w:rPr>
          <w:rFonts w:ascii="Arial" w:eastAsia="Calibri" w:hAnsi="Arial" w:cs="Arial"/>
          <w:color w:val="000000" w:themeColor="text1"/>
          <w:lang w:val="es-MX"/>
        </w:rPr>
      </w:pPr>
    </w:p>
    <w:p w14:paraId="5F8445D5" w14:textId="77777777" w:rsidR="00F01003" w:rsidRPr="00DD0DA7" w:rsidRDefault="00F01003" w:rsidP="00F01003">
      <w:pPr>
        <w:spacing w:after="0" w:line="240" w:lineRule="auto"/>
        <w:ind w:firstLine="708"/>
        <w:jc w:val="both"/>
        <w:rPr>
          <w:rFonts w:ascii="Arial" w:eastAsia="Calibri" w:hAnsi="Arial" w:cs="Arial"/>
          <w:color w:val="000000" w:themeColor="text1"/>
          <w:lang w:val="es-ES_tradnl"/>
        </w:rPr>
      </w:pPr>
      <w:r w:rsidRPr="00DD0DA7">
        <w:rPr>
          <w:rFonts w:ascii="Arial" w:eastAsia="Calibri" w:hAnsi="Arial" w:cs="Arial"/>
          <w:color w:val="000000" w:themeColor="text1"/>
          <w:lang w:val="es-MX"/>
        </w:rPr>
        <w:t>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w:t>
      </w:r>
      <w:r w:rsidRPr="00DD0DA7">
        <w:rPr>
          <w:rFonts w:ascii="Arial" w:eastAsia="Calibri" w:hAnsi="Arial" w:cs="Arial"/>
          <w:color w:val="000000" w:themeColor="text1"/>
          <w:vertAlign w:val="superscript"/>
          <w:lang w:val="es-ES_tradnl"/>
        </w:rPr>
        <w:footnoteReference w:id="4"/>
      </w:r>
      <w:r w:rsidRPr="00DD0DA7">
        <w:rPr>
          <w:rFonts w:ascii="Arial" w:eastAsia="Calibri" w:hAnsi="Arial" w:cs="Arial"/>
          <w:color w:val="000000" w:themeColor="text1"/>
          <w:lang w:val="es-ES_tradnl"/>
        </w:rPr>
        <w:t xml:space="preserve">. </w:t>
      </w:r>
      <w:r w:rsidRPr="00DD0DA7">
        <w:rPr>
          <w:rFonts w:ascii="Arial" w:eastAsia="Calibri" w:hAnsi="Arial" w:cs="Arial"/>
          <w:color w:val="000000" w:themeColor="text1"/>
          <w:lang w:val="es-MX"/>
        </w:rPr>
        <w:t xml:space="preserve">Esto, a partir de «[…] un enfoque regionalizado </w:t>
      </w:r>
      <w:proofErr w:type="gramStart"/>
      <w:r w:rsidRPr="00DD0DA7">
        <w:rPr>
          <w:rFonts w:ascii="Arial" w:eastAsia="Calibri" w:hAnsi="Arial" w:cs="Arial"/>
          <w:color w:val="000000" w:themeColor="text1"/>
          <w:lang w:val="es-MX"/>
        </w:rPr>
        <w:t>de acuerdo a</w:t>
      </w:r>
      <w:proofErr w:type="gramEnd"/>
      <w:r w:rsidRPr="00DD0DA7">
        <w:rPr>
          <w:rFonts w:ascii="Arial" w:eastAsia="Calibri" w:hAnsi="Arial" w:cs="Arial"/>
          <w:color w:val="000000" w:themeColor="text1"/>
          <w:lang w:val="es-MX"/>
        </w:rPr>
        <w:t xml:space="preserve"> las realidades socioeconómicas de cada región». En desarrollo de esta finalidad, se establecen medidas de apoyo para las micro, pequeñas y medianas empresas –</w:t>
      </w:r>
      <w:proofErr w:type="spellStart"/>
      <w:r w:rsidRPr="00DD0DA7">
        <w:rPr>
          <w:rFonts w:ascii="Arial" w:eastAsia="Calibri" w:hAnsi="Arial" w:cs="Arial"/>
          <w:color w:val="000000" w:themeColor="text1"/>
          <w:lang w:val="es-MX"/>
        </w:rPr>
        <w:t>Mipymes</w:t>
      </w:r>
      <w:proofErr w:type="spellEnd"/>
      <w:r w:rsidRPr="00DD0DA7">
        <w:rPr>
          <w:rFonts w:ascii="Arial" w:eastAsia="Calibri" w:hAnsi="Arial" w:cs="Arial"/>
          <w:color w:val="000000" w:themeColor="text1"/>
          <w:lang w:val="es-MX"/>
        </w:rPr>
        <w:t>–, mediante la racionalización y simplificación de los trámites y tarifas</w:t>
      </w:r>
      <w:r w:rsidRPr="00DD0DA7">
        <w:rPr>
          <w:rFonts w:ascii="Arial" w:eastAsia="Calibri" w:hAnsi="Arial" w:cs="Arial"/>
          <w:color w:val="000000" w:themeColor="text1"/>
          <w:vertAlign w:val="superscript"/>
          <w:lang w:val="es-ES_tradnl"/>
        </w:rPr>
        <w:footnoteReference w:id="5"/>
      </w:r>
      <w:r w:rsidRPr="00DD0DA7">
        <w:rPr>
          <w:rFonts w:ascii="Arial" w:eastAsia="Calibri" w:hAnsi="Arial" w:cs="Arial"/>
          <w:color w:val="000000" w:themeColor="text1"/>
          <w:lang w:val="es-MX"/>
        </w:rPr>
        <w:t>, así como incentivos a favor de aquellas dentro del sistema de compras y contratación pública</w:t>
      </w:r>
      <w:r w:rsidRPr="00DD0DA7">
        <w:rPr>
          <w:rFonts w:ascii="Arial" w:eastAsia="Calibri" w:hAnsi="Arial" w:cs="Arial"/>
          <w:color w:val="000000" w:themeColor="text1"/>
          <w:vertAlign w:val="superscript"/>
          <w:lang w:val="es-ES_tradnl"/>
        </w:rPr>
        <w:footnoteReference w:id="6"/>
      </w:r>
      <w:r w:rsidRPr="00DD0DA7">
        <w:rPr>
          <w:rFonts w:ascii="Arial" w:eastAsia="Calibri" w:hAnsi="Arial" w:cs="Arial"/>
          <w:color w:val="000000" w:themeColor="text1"/>
          <w:lang w:val="es-ES_tradnl"/>
        </w:rPr>
        <w:t xml:space="preserve">. </w:t>
      </w:r>
      <w:r w:rsidRPr="00DD0DA7">
        <w:rPr>
          <w:rFonts w:ascii="Arial" w:eastAsia="Calibri" w:hAnsi="Arial" w:cs="Arial"/>
          <w:color w:val="000000" w:themeColor="text1"/>
          <w:lang w:val="es-MX"/>
        </w:rPr>
        <w:t>También se consagran mecanismos de acceso al financiamiento</w:t>
      </w:r>
      <w:r w:rsidRPr="00DD0DA7">
        <w:rPr>
          <w:rFonts w:ascii="Arial" w:eastAsia="Calibri" w:hAnsi="Arial" w:cs="Arial"/>
          <w:color w:val="000000" w:themeColor="text1"/>
          <w:vertAlign w:val="superscript"/>
          <w:lang w:val="es-ES_tradnl"/>
        </w:rPr>
        <w:footnoteReference w:id="7"/>
      </w:r>
      <w:r w:rsidRPr="00DD0DA7">
        <w:rPr>
          <w:rFonts w:ascii="Arial" w:eastAsia="Calibri" w:hAnsi="Arial" w:cs="Arial"/>
          <w:color w:val="000000" w:themeColor="text1"/>
          <w:lang w:val="es-ES_tradnl"/>
        </w:rPr>
        <w:t xml:space="preserve">, </w:t>
      </w:r>
      <w:r w:rsidRPr="00DD0DA7">
        <w:rPr>
          <w:rFonts w:ascii="Arial" w:eastAsia="Calibri" w:hAnsi="Arial" w:cs="Arial"/>
          <w:color w:val="000000" w:themeColor="text1"/>
          <w:lang w:val="es-MX"/>
        </w:rPr>
        <w:t xml:space="preserve">se unifican las fuentes de emprendimiento y de desarrollo empresarial, para </w:t>
      </w:r>
      <w:r w:rsidRPr="00DD0DA7">
        <w:rPr>
          <w:rFonts w:ascii="Arial" w:eastAsia="Calibri" w:hAnsi="Arial" w:cs="Arial"/>
          <w:color w:val="000000" w:themeColor="text1"/>
          <w:lang w:val="es-MX"/>
        </w:rPr>
        <w:lastRenderedPageBreak/>
        <w:t>fortalecer y promover los distintos sectores de la economía</w:t>
      </w:r>
      <w:r w:rsidRPr="00DD0DA7">
        <w:rPr>
          <w:rFonts w:ascii="Arial" w:eastAsia="Calibri" w:hAnsi="Arial" w:cs="Arial"/>
          <w:color w:val="000000" w:themeColor="text1"/>
          <w:vertAlign w:val="superscript"/>
          <w:lang w:val="es-ES_tradnl"/>
        </w:rPr>
        <w:footnoteReference w:id="8"/>
      </w:r>
      <w:r w:rsidRPr="00DD0DA7">
        <w:rPr>
          <w:rFonts w:ascii="Arial" w:eastAsia="Calibri" w:hAnsi="Arial" w:cs="Arial"/>
          <w:color w:val="000000" w:themeColor="text1"/>
          <w:lang w:val="es-ES_tradnl"/>
        </w:rPr>
        <w:t xml:space="preserve"> </w:t>
      </w:r>
      <w:r w:rsidRPr="00DD0DA7">
        <w:rPr>
          <w:rFonts w:ascii="Arial" w:eastAsia="Calibri" w:hAnsi="Arial" w:cs="Arial"/>
          <w:color w:val="000000" w:themeColor="text1"/>
          <w:lang w:val="es-MX"/>
        </w:rPr>
        <w:t>y se prevén medidas de educación para el emprendimiento y la innovación</w:t>
      </w:r>
      <w:r w:rsidRPr="00DD0DA7">
        <w:rPr>
          <w:rFonts w:ascii="Arial" w:eastAsia="Calibri" w:hAnsi="Arial" w:cs="Arial"/>
          <w:color w:val="000000" w:themeColor="text1"/>
          <w:vertAlign w:val="superscript"/>
          <w:lang w:val="es-ES_tradnl"/>
        </w:rPr>
        <w:footnoteReference w:id="9"/>
      </w:r>
      <w:r w:rsidRPr="00DD0DA7">
        <w:rPr>
          <w:rFonts w:ascii="Arial" w:eastAsia="Calibri" w:hAnsi="Arial" w:cs="Arial"/>
          <w:color w:val="000000" w:themeColor="text1"/>
          <w:lang w:val="es-ES_tradnl"/>
        </w:rPr>
        <w:t>.</w:t>
      </w:r>
    </w:p>
    <w:p w14:paraId="7077EEB8" w14:textId="77777777" w:rsidR="00F01003" w:rsidRPr="00DD0DA7" w:rsidRDefault="00F01003" w:rsidP="00F01003">
      <w:pPr>
        <w:spacing w:before="120" w:after="0" w:line="240" w:lineRule="auto"/>
        <w:ind w:firstLine="709"/>
        <w:jc w:val="both"/>
        <w:rPr>
          <w:rFonts w:ascii="Arial" w:eastAsia="Calibri" w:hAnsi="Arial" w:cs="Arial"/>
          <w:color w:val="000000" w:themeColor="text1"/>
          <w:lang w:val="es-ES_tradnl"/>
        </w:rPr>
      </w:pPr>
      <w:r w:rsidRPr="00DD0DA7">
        <w:rPr>
          <w:rFonts w:ascii="Arial" w:eastAsia="Calibri" w:hAnsi="Arial" w:cs="Arial"/>
          <w:color w:val="000000" w:themeColor="text1"/>
          <w:lang w:val="es-MX"/>
        </w:rPr>
        <w:t>Como se indicó, parte de la Ley 2069</w:t>
      </w:r>
      <w:r>
        <w:rPr>
          <w:rFonts w:ascii="Arial" w:eastAsia="Calibri" w:hAnsi="Arial" w:cs="Arial"/>
          <w:color w:val="000000" w:themeColor="text1"/>
          <w:lang w:val="es-MX"/>
        </w:rPr>
        <w:t xml:space="preserve"> de 2020</w:t>
      </w:r>
      <w:r w:rsidRPr="00DD0DA7">
        <w:rPr>
          <w:rFonts w:ascii="Arial" w:eastAsia="Calibri" w:hAnsi="Arial" w:cs="Arial"/>
          <w:color w:val="000000" w:themeColor="text1"/>
          <w:lang w:val="es-MX"/>
        </w:rPr>
        <w:t xml:space="preserve"> contiene normas que modifican algunos aspectos de la contratación estatal para promover el emprendimiento. Concretamente, aquellas se encuentran en el Capítulo II –artículos 30 al 36–. En su orden, tales artículos consagran: i) reglas sobre la participación de las </w:t>
      </w:r>
      <w:proofErr w:type="spellStart"/>
      <w:r w:rsidRPr="00DD0DA7">
        <w:rPr>
          <w:rFonts w:ascii="Arial" w:eastAsia="Calibri" w:hAnsi="Arial" w:cs="Arial"/>
          <w:color w:val="000000" w:themeColor="text1"/>
          <w:lang w:val="es-MX"/>
        </w:rPr>
        <w:t>Mipymes</w:t>
      </w:r>
      <w:proofErr w:type="spellEnd"/>
      <w:r w:rsidRPr="00DD0DA7">
        <w:rPr>
          <w:rFonts w:ascii="Arial" w:eastAsia="Calibri" w:hAnsi="Arial" w:cs="Arial"/>
          <w:color w:val="000000" w:themeColor="text1"/>
          <w:lang w:val="es-MX"/>
        </w:rPr>
        <w:t xml:space="preserve"> en el procedimiento de mínima cuantía, </w:t>
      </w:r>
      <w:proofErr w:type="spellStart"/>
      <w:r w:rsidRPr="00DD0DA7">
        <w:rPr>
          <w:rFonts w:ascii="Arial" w:eastAsia="Calibri" w:hAnsi="Arial" w:cs="Arial"/>
          <w:color w:val="000000" w:themeColor="text1"/>
          <w:lang w:val="es-MX"/>
        </w:rPr>
        <w:t>ii</w:t>
      </w:r>
      <w:proofErr w:type="spellEnd"/>
      <w:r w:rsidRPr="00DD0DA7">
        <w:rPr>
          <w:rFonts w:ascii="Arial" w:eastAsia="Calibri" w:hAnsi="Arial" w:cs="Arial"/>
          <w:color w:val="000000" w:themeColor="text1"/>
          <w:lang w:val="es-MX"/>
        </w:rPr>
        <w:t xml:space="preserve">) criterios diferenciales para </w:t>
      </w:r>
      <w:proofErr w:type="spellStart"/>
      <w:r w:rsidRPr="00DD0DA7">
        <w:rPr>
          <w:rFonts w:ascii="Arial" w:eastAsia="Calibri" w:hAnsi="Arial" w:cs="Arial"/>
          <w:color w:val="000000" w:themeColor="text1"/>
          <w:lang w:val="es-MX"/>
        </w:rPr>
        <w:t>Mipymes</w:t>
      </w:r>
      <w:proofErr w:type="spellEnd"/>
      <w:r w:rsidRPr="00DD0DA7">
        <w:rPr>
          <w:rFonts w:ascii="Arial" w:eastAsia="Calibri" w:hAnsi="Arial" w:cs="Arial"/>
          <w:color w:val="000000" w:themeColor="text1"/>
          <w:lang w:val="es-MX"/>
        </w:rPr>
        <w:t xml:space="preserve"> en el sistema de compras públicas, </w:t>
      </w:r>
      <w:proofErr w:type="spellStart"/>
      <w:r w:rsidRPr="00DD0DA7">
        <w:rPr>
          <w:rFonts w:ascii="Arial" w:eastAsia="Calibri" w:hAnsi="Arial" w:cs="Arial"/>
          <w:color w:val="000000" w:themeColor="text1"/>
          <w:lang w:val="es-MX"/>
        </w:rPr>
        <w:t>iii</w:t>
      </w:r>
      <w:proofErr w:type="spellEnd"/>
      <w:r w:rsidRPr="00DD0DA7">
        <w:rPr>
          <w:rFonts w:ascii="Arial" w:eastAsia="Calibri" w:hAnsi="Arial" w:cs="Arial"/>
          <w:color w:val="000000" w:themeColor="text1"/>
          <w:lang w:val="es-MX"/>
        </w:rPr>
        <w:t xml:space="preserve">) criterios diferenciales para emprendimientos y empresas de mujeres en el sistema de compras públicas, </w:t>
      </w:r>
      <w:proofErr w:type="spellStart"/>
      <w:r w:rsidRPr="00DD0DA7">
        <w:rPr>
          <w:rFonts w:ascii="Arial" w:eastAsia="Calibri" w:hAnsi="Arial" w:cs="Arial"/>
          <w:color w:val="000000" w:themeColor="text1"/>
          <w:lang w:val="es-MX"/>
        </w:rPr>
        <w:t>iv</w:t>
      </w:r>
      <w:proofErr w:type="spellEnd"/>
      <w:r w:rsidRPr="00DD0DA7">
        <w:rPr>
          <w:rFonts w:ascii="Arial" w:eastAsia="Calibri" w:hAnsi="Arial" w:cs="Arial"/>
          <w:color w:val="000000" w:themeColor="text1"/>
          <w:lang w:val="es-MX"/>
        </w:rPr>
        <w:t xml:space="preserve">) promoción del acceso de las </w:t>
      </w:r>
      <w:proofErr w:type="spellStart"/>
      <w:r w:rsidRPr="00DD0DA7">
        <w:rPr>
          <w:rFonts w:ascii="Arial" w:eastAsia="Calibri" w:hAnsi="Arial" w:cs="Arial"/>
          <w:color w:val="000000" w:themeColor="text1"/>
          <w:lang w:val="es-MX"/>
        </w:rPr>
        <w:t>Mipymes</w:t>
      </w:r>
      <w:proofErr w:type="spellEnd"/>
      <w:r w:rsidRPr="00DD0DA7">
        <w:rPr>
          <w:rFonts w:ascii="Arial" w:eastAsia="Calibri" w:hAnsi="Arial" w:cs="Arial"/>
          <w:color w:val="000000" w:themeColor="text1"/>
          <w:lang w:val="es-MX"/>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w:t>
      </w:r>
      <w:r w:rsidRPr="00DD0DA7">
        <w:rPr>
          <w:rFonts w:ascii="Arial" w:eastAsia="Calibri" w:hAnsi="Arial" w:cs="Arial"/>
          <w:color w:val="000000" w:themeColor="text1"/>
          <w:vertAlign w:val="superscript"/>
          <w:lang w:val="es-ES_tradnl"/>
        </w:rPr>
        <w:footnoteReference w:id="10"/>
      </w:r>
      <w:r w:rsidRPr="00DD0DA7">
        <w:rPr>
          <w:rFonts w:ascii="Arial" w:eastAsia="Calibri" w:hAnsi="Arial" w:cs="Arial"/>
          <w:color w:val="000000" w:themeColor="text1"/>
          <w:lang w:val="es-ES_tradnl"/>
        </w:rPr>
        <w:t xml:space="preserve">. </w:t>
      </w:r>
    </w:p>
    <w:p w14:paraId="440DE9BA" w14:textId="77777777" w:rsidR="00F01003" w:rsidRPr="00DD0DA7" w:rsidRDefault="00F01003" w:rsidP="00F01003">
      <w:pPr>
        <w:tabs>
          <w:tab w:val="left" w:pos="709"/>
        </w:tabs>
        <w:spacing w:after="0" w:line="240" w:lineRule="auto"/>
        <w:jc w:val="both"/>
        <w:rPr>
          <w:rFonts w:ascii="Arial" w:eastAsia="Calibri" w:hAnsi="Arial" w:cs="Arial"/>
          <w:color w:val="000000" w:themeColor="text1"/>
          <w:lang w:val="es-MX"/>
        </w:rPr>
      </w:pPr>
      <w:r w:rsidRPr="00DD0DA7">
        <w:rPr>
          <w:rFonts w:ascii="Arial" w:eastAsia="Calibri" w:hAnsi="Arial" w:cs="Arial"/>
          <w:bCs/>
          <w:color w:val="000000" w:themeColor="text1"/>
        </w:rPr>
        <w:tab/>
      </w:r>
      <w:r w:rsidRPr="00DD0DA7">
        <w:rPr>
          <w:rFonts w:ascii="Arial" w:eastAsia="Calibri" w:hAnsi="Arial" w:cs="Arial"/>
          <w:color w:val="000000" w:themeColor="text1"/>
          <w:lang w:val="es-MX"/>
        </w:rPr>
        <w:t xml:space="preserve">Dentro del referido capítulo se encuentran </w:t>
      </w:r>
      <w:bookmarkStart w:id="3" w:name="_Hlk63848566"/>
      <w:r w:rsidRPr="00DD0DA7">
        <w:rPr>
          <w:rFonts w:ascii="Arial" w:eastAsia="Calibri" w:hAnsi="Arial" w:cs="Arial"/>
          <w:color w:val="000000" w:themeColor="text1"/>
          <w:lang w:val="es-MX"/>
        </w:rPr>
        <w:t>los artículos 31 y 32 de la Ley 2069 de 2020</w:t>
      </w:r>
      <w:bookmarkEnd w:id="3"/>
      <w:r w:rsidRPr="00DD0DA7">
        <w:rPr>
          <w:rFonts w:ascii="Arial" w:eastAsia="Calibri" w:hAnsi="Arial" w:cs="Arial"/>
          <w:color w:val="000000" w:themeColor="text1"/>
          <w:lang w:val="es-MX"/>
        </w:rPr>
        <w:t xml:space="preserve">, los cuales crean una serie de incentivos para las personas interesadas en celebrar contratos con el Estado. Por un lado, el artículo 31 introduce criterios diferenciales para el acceso de las </w:t>
      </w:r>
      <w:proofErr w:type="spellStart"/>
      <w:r w:rsidRPr="00DD0DA7">
        <w:rPr>
          <w:rFonts w:ascii="Arial" w:eastAsia="Calibri" w:hAnsi="Arial" w:cs="Arial"/>
          <w:color w:val="000000" w:themeColor="text1"/>
          <w:lang w:val="es-MX"/>
        </w:rPr>
        <w:t>Mipymes</w:t>
      </w:r>
      <w:proofErr w:type="spellEnd"/>
      <w:r w:rsidRPr="00DD0DA7">
        <w:rPr>
          <w:rFonts w:ascii="Arial" w:eastAsia="Calibri" w:hAnsi="Arial" w:cs="Arial"/>
          <w:color w:val="000000" w:themeColor="text1"/>
          <w:lang w:val="es-MX"/>
        </w:rPr>
        <w:t xml:space="preserve"> al sistema de compras y contratación pública, estableciendo que «Las Entidades Estatales de acuerdo con el análisis de Sector </w:t>
      </w:r>
      <w:bookmarkStart w:id="4" w:name="_Hlk63767562"/>
      <w:r w:rsidRPr="00DD0DA7">
        <w:rPr>
          <w:rFonts w:ascii="Arial" w:eastAsia="Calibri" w:hAnsi="Arial" w:cs="Arial"/>
          <w:color w:val="000000" w:themeColor="text1"/>
          <w:lang w:val="es-MX"/>
        </w:rPr>
        <w:t>podrán incluir, en los Documentos del Proceso, requisitos diferenciales y puntajes adicionales</w:t>
      </w:r>
      <w:bookmarkEnd w:id="4"/>
      <w:r w:rsidRPr="00DD0DA7">
        <w:rPr>
          <w:rFonts w:ascii="Arial" w:eastAsia="Calibri" w:hAnsi="Arial" w:cs="Arial"/>
          <w:color w:val="000000" w:themeColor="text1"/>
          <w:lang w:val="es-MX"/>
        </w:rPr>
        <w:t xml:space="preserve">, en función del tamaño empresarial para la promoción del acceso de las MIPYMES al mercado de Compras Públicas». </w:t>
      </w:r>
    </w:p>
    <w:p w14:paraId="64CC592A" w14:textId="77777777" w:rsidR="00F01003" w:rsidRPr="00DD0DA7" w:rsidRDefault="00F01003" w:rsidP="00F01003">
      <w:pPr>
        <w:tabs>
          <w:tab w:val="left" w:pos="709"/>
        </w:tabs>
        <w:spacing w:after="0" w:line="240" w:lineRule="auto"/>
        <w:jc w:val="both"/>
        <w:rPr>
          <w:rFonts w:ascii="Arial" w:eastAsia="Calibri" w:hAnsi="Arial" w:cs="Arial"/>
          <w:color w:val="000000" w:themeColor="text1"/>
          <w:lang w:val="es-MX"/>
        </w:rPr>
      </w:pPr>
      <w:r w:rsidRPr="00DD0DA7">
        <w:rPr>
          <w:rFonts w:ascii="Arial" w:eastAsia="Calibri" w:hAnsi="Arial" w:cs="Arial"/>
          <w:color w:val="000000" w:themeColor="text1"/>
          <w:lang w:val="es-MX"/>
        </w:rPr>
        <w:t xml:space="preserve"> </w:t>
      </w:r>
    </w:p>
    <w:p w14:paraId="0E857CDF" w14:textId="77777777" w:rsidR="00F01003" w:rsidRPr="00DD0DA7" w:rsidRDefault="00F01003" w:rsidP="00F01003">
      <w:pPr>
        <w:tabs>
          <w:tab w:val="left" w:pos="709"/>
        </w:tabs>
        <w:spacing w:after="0" w:line="240" w:lineRule="auto"/>
        <w:jc w:val="both"/>
        <w:rPr>
          <w:rFonts w:ascii="Arial" w:eastAsia="Calibri" w:hAnsi="Arial" w:cs="Arial"/>
          <w:color w:val="000000" w:themeColor="text1"/>
          <w:lang w:val="es-MX"/>
        </w:rPr>
      </w:pPr>
      <w:r w:rsidRPr="00DD0DA7">
        <w:rPr>
          <w:rFonts w:ascii="Arial" w:eastAsia="Calibri" w:hAnsi="Arial" w:cs="Arial"/>
          <w:color w:val="000000" w:themeColor="text1"/>
          <w:lang w:val="es-MX"/>
        </w:rPr>
        <w:tab/>
        <w:t>Además, el inciso segundo y el parágrafo del artículo 31 de la Ley 2069 de 2020 disponen, respectivamente, que: «El Gobierno Nacional reglamentará la definición de los criterios diferenciales, sobre reglas objetivas [relacionadas con «requisitos diferenciales» y «puntajes adicionales»] que podrán implementar las Entidades Estatales» (Corchetes fuera de texto) y que «Dentro de los criterios diferenciales que reglamente el Gobierno Nacional se dará prioridad a la contratación de producción nacional sin perjuicio de los compromisos comerciales adquiridos con otros Estados». Es decir, esta norma requiere el desarrollo reglamentario como una condición previa para su aplicación.</w:t>
      </w:r>
    </w:p>
    <w:p w14:paraId="32143DF8" w14:textId="77777777" w:rsidR="00F01003" w:rsidRPr="00DD0DA7" w:rsidRDefault="00F01003" w:rsidP="00F01003">
      <w:pPr>
        <w:tabs>
          <w:tab w:val="left" w:pos="709"/>
        </w:tabs>
        <w:spacing w:after="0" w:line="240" w:lineRule="auto"/>
        <w:jc w:val="both"/>
        <w:rPr>
          <w:rFonts w:ascii="Arial" w:eastAsia="Calibri" w:hAnsi="Arial" w:cs="Arial"/>
          <w:color w:val="000000" w:themeColor="text1"/>
          <w:lang w:val="es-MX"/>
        </w:rPr>
      </w:pPr>
    </w:p>
    <w:p w14:paraId="4D9A2D75" w14:textId="77777777" w:rsidR="00F01003" w:rsidRPr="00DD0DA7" w:rsidRDefault="00F01003" w:rsidP="00F01003">
      <w:pPr>
        <w:tabs>
          <w:tab w:val="left" w:pos="709"/>
        </w:tabs>
        <w:spacing w:after="0" w:line="240" w:lineRule="auto"/>
        <w:jc w:val="both"/>
        <w:rPr>
          <w:rFonts w:ascii="Arial" w:eastAsia="Calibri" w:hAnsi="Arial" w:cs="Arial"/>
          <w:bCs/>
          <w:color w:val="000000" w:themeColor="text1"/>
        </w:rPr>
      </w:pPr>
      <w:r w:rsidRPr="00DD0DA7">
        <w:rPr>
          <w:rFonts w:ascii="Arial" w:eastAsia="Calibri" w:hAnsi="Arial" w:cs="Arial"/>
          <w:color w:val="000000" w:themeColor="text1"/>
          <w:lang w:val="es-MX"/>
        </w:rPr>
        <w:tab/>
        <w:t>Por otra parte, el artículo 32 de la Ley 2069 de 2020</w:t>
      </w:r>
      <w:r w:rsidRPr="00DD0DA7">
        <w:rPr>
          <w:rFonts w:ascii="Arial" w:eastAsia="Calibri" w:hAnsi="Arial" w:cs="Arial"/>
          <w:bCs/>
          <w:color w:val="000000" w:themeColor="text1"/>
          <w:vertAlign w:val="superscript"/>
        </w:rPr>
        <w:footnoteReference w:id="11"/>
      </w:r>
      <w:r w:rsidRPr="00DD0DA7">
        <w:rPr>
          <w:rFonts w:ascii="Arial" w:eastAsia="Calibri" w:hAnsi="Arial" w:cs="Arial"/>
          <w:bCs/>
          <w:color w:val="000000" w:themeColor="text1"/>
        </w:rPr>
        <w:t xml:space="preserve"> </w:t>
      </w:r>
      <w:r w:rsidRPr="00DD0DA7">
        <w:rPr>
          <w:rFonts w:ascii="Arial" w:eastAsia="Calibri" w:hAnsi="Arial" w:cs="Arial"/>
          <w:color w:val="000000" w:themeColor="text1"/>
          <w:lang w:val="es-MX"/>
        </w:rPr>
        <w:t>regula criterios diferenciales para los «emprendimientos y empresas de mujeres» en el sistema de compras y contratación pública. En relación con este aspecto, el inciso primero de la norma citada prescribe:</w:t>
      </w:r>
      <w:r w:rsidRPr="00DD0DA7">
        <w:rPr>
          <w:rFonts w:ascii="Arial" w:eastAsia="Calibri" w:hAnsi="Arial" w:cs="Arial"/>
          <w:bCs/>
          <w:color w:val="000000" w:themeColor="text1"/>
        </w:rPr>
        <w:t xml:space="preserve"> </w:t>
      </w:r>
    </w:p>
    <w:p w14:paraId="2ECEBD98" w14:textId="77777777" w:rsidR="00F01003" w:rsidRPr="00DD0DA7" w:rsidRDefault="00F01003" w:rsidP="00F01003">
      <w:pPr>
        <w:tabs>
          <w:tab w:val="left" w:pos="709"/>
        </w:tabs>
        <w:spacing w:after="0" w:line="240" w:lineRule="auto"/>
        <w:jc w:val="both"/>
        <w:rPr>
          <w:rFonts w:ascii="Arial" w:eastAsia="Calibri" w:hAnsi="Arial" w:cs="Arial"/>
          <w:bCs/>
          <w:color w:val="000000" w:themeColor="text1"/>
        </w:rPr>
      </w:pPr>
    </w:p>
    <w:p w14:paraId="4C4C2CC3" w14:textId="77777777" w:rsidR="00F01003" w:rsidRPr="00DD0DA7" w:rsidRDefault="00F01003" w:rsidP="00F01003">
      <w:pPr>
        <w:tabs>
          <w:tab w:val="left" w:pos="709"/>
        </w:tabs>
        <w:spacing w:after="0" w:line="240" w:lineRule="auto"/>
        <w:ind w:left="709" w:right="709"/>
        <w:jc w:val="both"/>
        <w:rPr>
          <w:rFonts w:ascii="Arial" w:eastAsia="Calibri" w:hAnsi="Arial" w:cs="Arial"/>
          <w:color w:val="000000" w:themeColor="text1"/>
          <w:lang w:val="es-MX"/>
        </w:rPr>
      </w:pPr>
      <w:r w:rsidRPr="00DD0DA7">
        <w:rPr>
          <w:rFonts w:ascii="Arial" w:hAnsi="Arial" w:cs="Arial"/>
          <w:color w:val="000000" w:themeColor="text1"/>
        </w:rPr>
        <w:lastRenderedPageBreak/>
        <w:t>«</w:t>
      </w:r>
      <w:r w:rsidRPr="00DD0DA7">
        <w:rPr>
          <w:rFonts w:ascii="Arial" w:eastAsia="Calibri" w:hAnsi="Arial" w:cs="Arial"/>
          <w:color w:val="000000" w:themeColor="text1"/>
          <w:lang w:val="es-MX"/>
        </w:rPr>
        <w:t xml:space="preserve">De acuerdo con el resultado del análisis del sector, las entidades estatales incluirán requisitos diferenciales y puntajes adicionales en los procesos de </w:t>
      </w:r>
      <w:bookmarkStart w:id="5" w:name="_Hlk63770487"/>
      <w:r w:rsidRPr="00DD0DA7">
        <w:rPr>
          <w:rFonts w:ascii="Arial" w:eastAsia="Calibri" w:hAnsi="Arial" w:cs="Arial"/>
          <w:color w:val="000000" w:themeColor="text1"/>
          <w:lang w:val="es-MX"/>
        </w:rPr>
        <w:t>licitación pública, selección abreviada de menor cuantía y concurso de méritos</w:t>
      </w:r>
      <w:bookmarkEnd w:id="5"/>
      <w:r w:rsidRPr="00DD0DA7">
        <w:rPr>
          <w:rFonts w:ascii="Arial" w:eastAsia="Calibri" w:hAnsi="Arial" w:cs="Arial"/>
          <w:color w:val="000000" w:themeColor="text1"/>
          <w:lang w:val="es-MX"/>
        </w:rPr>
        <w:t>,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w:t>
      </w:r>
    </w:p>
    <w:p w14:paraId="215E05B1" w14:textId="77777777" w:rsidR="00F01003" w:rsidRPr="00DD0DA7" w:rsidRDefault="00F01003" w:rsidP="00F01003">
      <w:pPr>
        <w:tabs>
          <w:tab w:val="left" w:pos="709"/>
        </w:tabs>
        <w:spacing w:after="0" w:line="240" w:lineRule="auto"/>
        <w:ind w:left="709" w:right="709"/>
        <w:jc w:val="both"/>
        <w:rPr>
          <w:rFonts w:ascii="Arial" w:eastAsia="Calibri" w:hAnsi="Arial" w:cs="Arial"/>
          <w:color w:val="000000" w:themeColor="text1"/>
          <w:lang w:val="es-MX"/>
        </w:rPr>
      </w:pPr>
    </w:p>
    <w:p w14:paraId="2F0D0A67" w14:textId="77777777" w:rsidR="00F01003" w:rsidRPr="00DD0DA7" w:rsidRDefault="00F01003" w:rsidP="00F01003">
      <w:pPr>
        <w:tabs>
          <w:tab w:val="left" w:pos="709"/>
        </w:tabs>
        <w:spacing w:after="0" w:line="240" w:lineRule="auto"/>
        <w:jc w:val="both"/>
        <w:rPr>
          <w:rFonts w:ascii="Arial" w:eastAsia="Calibri" w:hAnsi="Arial" w:cs="Arial"/>
          <w:color w:val="000000" w:themeColor="text1"/>
          <w:lang w:val="es-MX"/>
        </w:rPr>
      </w:pPr>
      <w:r w:rsidRPr="00DD0DA7">
        <w:rPr>
          <w:rFonts w:ascii="Arial" w:eastAsia="Calibri" w:hAnsi="Arial" w:cs="Arial"/>
          <w:bCs/>
          <w:color w:val="000000" w:themeColor="text1"/>
        </w:rPr>
        <w:tab/>
      </w:r>
      <w:r w:rsidRPr="00DD0DA7">
        <w:rPr>
          <w:rFonts w:ascii="Arial" w:eastAsia="Calibri" w:hAnsi="Arial" w:cs="Arial"/>
          <w:color w:val="000000" w:themeColor="text1"/>
          <w:lang w:val="es-MX"/>
        </w:rPr>
        <w:t xml:space="preserve">De esta manera, los denominados «criterios diferenciales» del artículo 32 ibidem –que incluyen tanto los «requisitos diferenciales» como los «puntajes adicionales»– aplican a «[…] los procesos de licitación pública, selección abreviada de menor cuantía y concurso de méritos […]», excluyendo las demás modalidades de selección del artículo 2 de la Ley 1150 de 2007. Así mismo, sin distinciones ulteriores, la norma en comento también se extiende a todos los procedimientos que realicen las entidades estatales excluidas de la Ley 80 de 1993.     </w:t>
      </w:r>
    </w:p>
    <w:p w14:paraId="2254E69D" w14:textId="77777777" w:rsidR="00F01003" w:rsidRPr="00DD0DA7" w:rsidRDefault="00F01003" w:rsidP="00F01003">
      <w:pPr>
        <w:spacing w:before="120" w:after="0" w:line="240" w:lineRule="auto"/>
        <w:ind w:firstLine="709"/>
        <w:jc w:val="both"/>
        <w:rPr>
          <w:rFonts w:ascii="Arial" w:eastAsia="Calibri" w:hAnsi="Arial" w:cs="Arial"/>
          <w:color w:val="000000" w:themeColor="text1"/>
          <w:lang w:val="es-MX"/>
        </w:rPr>
      </w:pPr>
      <w:r w:rsidRPr="00DD0DA7">
        <w:rPr>
          <w:rFonts w:ascii="Arial" w:eastAsia="Calibri" w:hAnsi="Arial" w:cs="Arial"/>
          <w:color w:val="000000" w:themeColor="text1"/>
          <w:lang w:val="es-MX"/>
        </w:rPr>
        <w:t xml:space="preserve">No obstante, el artículo 32 de la Ley 2069 de 2020 –al igual que el artículo 31– alude a la necesidad del desarrollo normativo posterior. Al respecto, el parágrafo dispone que «La definición de emprendimientos y empresas de mujeres se reglamentará por el gobierno nacional». En ese sentido, la aplicación de criterios diferenciales en favor de mujeres y emprendimientos de mujeres está condicionada por el ejercicio de potestad reglamentaria, en orden de establecer la regulación en marco de la cual las Entidades Estatales deben aplicar los criterios diferenciales establecidos en el artículo 32 de la Ley 2069 de 2020. </w:t>
      </w:r>
    </w:p>
    <w:p w14:paraId="2E1FDCAB" w14:textId="77777777" w:rsidR="00F01003" w:rsidRPr="00DD0DA7" w:rsidRDefault="00F01003" w:rsidP="00F01003">
      <w:pPr>
        <w:spacing w:before="120" w:after="0" w:line="240" w:lineRule="auto"/>
        <w:ind w:firstLine="709"/>
        <w:jc w:val="both"/>
        <w:rPr>
          <w:rFonts w:ascii="Arial" w:eastAsia="Calibri" w:hAnsi="Arial" w:cs="Arial"/>
          <w:color w:val="000000" w:themeColor="text1"/>
          <w:lang w:val="es-MX"/>
        </w:rPr>
      </w:pPr>
      <w:r w:rsidRPr="00DD0DA7">
        <w:rPr>
          <w:rFonts w:ascii="Arial" w:eastAsia="Calibri" w:hAnsi="Arial" w:cs="Arial"/>
          <w:color w:val="000000" w:themeColor="text1"/>
          <w:lang w:val="es-MX"/>
        </w:rPr>
        <w:t>Con fundamento en lo anterior, el Gobierno Nacional expidió el Decreto 1860 de 2021 «Por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 de la Ley 2069 de 2020 –con excepción de los artículos 33 y 36–, realizando las adecuaciones requeridas para aplicar estas disposiciones, tal como indica el artículo 1 del Decreto 1860 de 2021</w:t>
      </w:r>
      <w:r w:rsidRPr="00DD0DA7">
        <w:rPr>
          <w:rFonts w:ascii="Arial" w:eastAsia="Calibri" w:hAnsi="Arial" w:cs="Arial"/>
          <w:color w:val="000000" w:themeColor="text1"/>
          <w:vertAlign w:val="superscript"/>
          <w:lang w:val="es-ES_tradnl"/>
        </w:rPr>
        <w:footnoteReference w:id="12"/>
      </w:r>
      <w:r w:rsidRPr="00DD0DA7">
        <w:rPr>
          <w:rFonts w:ascii="Arial" w:eastAsia="Calibri" w:hAnsi="Arial" w:cs="Arial"/>
          <w:color w:val="000000" w:themeColor="text1"/>
          <w:lang w:val="es-ES_tradnl"/>
        </w:rPr>
        <w:t xml:space="preserve">.  </w:t>
      </w:r>
    </w:p>
    <w:p w14:paraId="1761587A" w14:textId="77777777" w:rsidR="00F01003" w:rsidRPr="00DD0DA7" w:rsidRDefault="00F01003" w:rsidP="00F01003">
      <w:pPr>
        <w:spacing w:after="0" w:line="240" w:lineRule="auto"/>
        <w:jc w:val="both"/>
        <w:rPr>
          <w:rFonts w:ascii="Arial" w:eastAsia="Calibri" w:hAnsi="Arial" w:cs="Arial"/>
          <w:color w:val="000000" w:themeColor="text1"/>
          <w:lang w:val="es-ES_tradnl"/>
        </w:rPr>
      </w:pPr>
    </w:p>
    <w:p w14:paraId="0C8BF752" w14:textId="77777777" w:rsidR="00F01003" w:rsidRPr="00DD0DA7" w:rsidRDefault="00F01003" w:rsidP="00F01003">
      <w:pPr>
        <w:tabs>
          <w:tab w:val="left" w:pos="709"/>
        </w:tabs>
        <w:spacing w:after="0" w:line="240" w:lineRule="auto"/>
        <w:jc w:val="both"/>
        <w:rPr>
          <w:rFonts w:ascii="Arial" w:eastAsia="Calibri" w:hAnsi="Arial" w:cs="Arial"/>
          <w:color w:val="000000" w:themeColor="text1"/>
          <w:lang w:val="es-MX"/>
        </w:rPr>
      </w:pPr>
      <w:r w:rsidRPr="00DD0DA7">
        <w:rPr>
          <w:rFonts w:ascii="Arial" w:eastAsia="Calibri" w:hAnsi="Arial" w:cs="Arial"/>
          <w:color w:val="000000" w:themeColor="text1"/>
          <w:lang w:val="es-ES_tradnl"/>
        </w:rPr>
        <w:tab/>
      </w:r>
      <w:r w:rsidRPr="00DD0DA7">
        <w:rPr>
          <w:rFonts w:ascii="Arial" w:eastAsia="Calibri" w:hAnsi="Arial" w:cs="Arial"/>
          <w:color w:val="000000" w:themeColor="text1"/>
          <w:lang w:val="es-MX"/>
        </w:rPr>
        <w:t xml:space="preserve">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consagra la </w:t>
      </w:r>
      <w:r w:rsidRPr="00DD0DA7">
        <w:rPr>
          <w:rFonts w:ascii="Arial" w:eastAsia="Calibri" w:hAnsi="Arial" w:cs="Arial"/>
          <w:i/>
          <w:iCs/>
          <w:color w:val="000000" w:themeColor="text1"/>
          <w:lang w:val="es-MX"/>
        </w:rPr>
        <w:t>definición</w:t>
      </w:r>
      <w:r w:rsidRPr="00DD0DA7">
        <w:rPr>
          <w:rFonts w:ascii="Arial" w:eastAsia="Calibri" w:hAnsi="Arial" w:cs="Arial"/>
          <w:color w:val="000000" w:themeColor="text1"/>
          <w:lang w:val="es-MX"/>
        </w:rPr>
        <w:t xml:space="preserve"> de emprendimientos y empresas de mujeres, mientras que la segunda establece los </w:t>
      </w:r>
      <w:r w:rsidRPr="00DD0DA7">
        <w:rPr>
          <w:rFonts w:ascii="Arial" w:eastAsia="Calibri" w:hAnsi="Arial" w:cs="Arial"/>
          <w:i/>
          <w:iCs/>
          <w:color w:val="000000" w:themeColor="text1"/>
          <w:lang w:val="es-MX"/>
        </w:rPr>
        <w:t>criterios diferenciales</w:t>
      </w:r>
      <w:r w:rsidRPr="00DD0DA7">
        <w:rPr>
          <w:rFonts w:ascii="Arial" w:eastAsia="Calibri" w:hAnsi="Arial" w:cs="Arial"/>
          <w:color w:val="000000" w:themeColor="text1"/>
          <w:lang w:val="es-MX"/>
        </w:rPr>
        <w:t xml:space="preserve"> y regula su aplicación. </w:t>
      </w:r>
    </w:p>
    <w:p w14:paraId="709BC4B3" w14:textId="77777777" w:rsidR="00F01003" w:rsidRPr="00DD0DA7" w:rsidRDefault="00F01003" w:rsidP="00F01003">
      <w:pPr>
        <w:tabs>
          <w:tab w:val="left" w:pos="709"/>
        </w:tabs>
        <w:spacing w:after="0" w:line="240" w:lineRule="auto"/>
        <w:jc w:val="both"/>
        <w:rPr>
          <w:rFonts w:ascii="Arial" w:eastAsia="Calibri" w:hAnsi="Arial" w:cs="Arial"/>
          <w:color w:val="000000" w:themeColor="text1"/>
          <w:lang w:val="es-MX"/>
        </w:rPr>
      </w:pPr>
    </w:p>
    <w:p w14:paraId="22D604E9" w14:textId="77777777" w:rsidR="00F01003" w:rsidRPr="00DD0DA7" w:rsidRDefault="00F01003" w:rsidP="00F01003">
      <w:pPr>
        <w:tabs>
          <w:tab w:val="left" w:pos="709"/>
        </w:tabs>
        <w:spacing w:after="0" w:line="240" w:lineRule="auto"/>
        <w:jc w:val="both"/>
        <w:rPr>
          <w:rFonts w:ascii="Arial" w:eastAsia="Calibri" w:hAnsi="Arial" w:cs="Arial"/>
          <w:color w:val="000000" w:themeColor="text1"/>
          <w:lang w:val="es-MX"/>
        </w:rPr>
      </w:pPr>
      <w:r w:rsidRPr="00DD0DA7">
        <w:rPr>
          <w:rFonts w:ascii="Arial" w:eastAsia="Calibri" w:hAnsi="Arial" w:cs="Arial"/>
          <w:color w:val="000000" w:themeColor="text1"/>
          <w:lang w:val="es-MX"/>
        </w:rPr>
        <w:lastRenderedPageBreak/>
        <w:tab/>
        <w:t>Ahora bien, para aplicar las disposiciones contenidas en el Decreto 1860 de 2021, el artículo 8</w:t>
      </w:r>
      <w:r w:rsidRPr="00DD0DA7">
        <w:rPr>
          <w:rFonts w:ascii="Arial" w:eastAsia="Times New Roman" w:hAnsi="Arial" w:cs="Arial"/>
          <w:color w:val="000000" w:themeColor="text1"/>
          <w:vertAlign w:val="superscript"/>
          <w:lang w:eastAsia="es-MX"/>
        </w:rPr>
        <w:footnoteReference w:id="13"/>
      </w:r>
      <w:r w:rsidRPr="00DD0DA7">
        <w:rPr>
          <w:rFonts w:ascii="Arial" w:eastAsia="Times New Roman" w:hAnsi="Arial" w:cs="Arial"/>
          <w:color w:val="000000" w:themeColor="text1"/>
          <w:lang w:eastAsia="es-MX"/>
        </w:rPr>
        <w:t xml:space="preserve"> </w:t>
      </w:r>
      <w:r w:rsidRPr="00DD0DA7">
        <w:rPr>
          <w:rFonts w:ascii="Arial" w:eastAsia="Calibri" w:hAnsi="Arial" w:cs="Arial"/>
          <w:color w:val="000000" w:themeColor="text1"/>
          <w:lang w:val="es-MX"/>
        </w:rPr>
        <w:t xml:space="preserve">indicó el momento a partir del cual sus disposiciones surtirían efectos. De esta forma, se estableció que estas aplicarán a los procesos de selección cuya invitación, aviso de convocatoria o documento equivalente –según corresponda–, se publique después de los tres (3) meses de su expedición, es decir, a partir del 24 de marzo de 2022, por lo que, actualmente, esta es la regulación vigente. </w:t>
      </w:r>
    </w:p>
    <w:p w14:paraId="0787181E" w14:textId="77777777" w:rsidR="00F01003" w:rsidRPr="00DD0DA7" w:rsidRDefault="00F01003" w:rsidP="00F01003">
      <w:pPr>
        <w:spacing w:after="0" w:line="240" w:lineRule="auto"/>
        <w:ind w:firstLine="709"/>
        <w:contextualSpacing/>
        <w:jc w:val="both"/>
        <w:rPr>
          <w:rFonts w:ascii="Arial" w:hAnsi="Arial" w:cs="Arial"/>
          <w:color w:val="000000" w:themeColor="text1"/>
          <w:lang w:eastAsia="es-CO"/>
        </w:rPr>
      </w:pPr>
    </w:p>
    <w:p w14:paraId="64B4F696" w14:textId="77777777" w:rsidR="00F01003" w:rsidRPr="00DD0DA7" w:rsidRDefault="00F01003" w:rsidP="00F01003">
      <w:pPr>
        <w:spacing w:after="0" w:line="240" w:lineRule="auto"/>
        <w:contextualSpacing/>
        <w:jc w:val="both"/>
        <w:rPr>
          <w:rFonts w:ascii="Arial" w:eastAsia="Calibri" w:hAnsi="Arial" w:cs="Arial"/>
          <w:b/>
          <w:bCs/>
          <w:color w:val="000000" w:themeColor="text1"/>
          <w:lang w:val="es-ES_tradnl"/>
        </w:rPr>
      </w:pPr>
      <w:r w:rsidRPr="00DD0DA7">
        <w:rPr>
          <w:rFonts w:ascii="Arial" w:eastAsia="Calibri" w:hAnsi="Arial" w:cs="Arial"/>
          <w:b/>
          <w:bCs/>
          <w:color w:val="000000" w:themeColor="text1"/>
          <w:lang w:val="es-MX"/>
        </w:rPr>
        <w:t>2.2. Definición de emprendimientos y empresas de mujeres en el Decreto 1860 de 2021. naturales.</w:t>
      </w:r>
      <w:r w:rsidRPr="00DD0DA7">
        <w:rPr>
          <w:rFonts w:ascii="Arial" w:eastAsia="Calibri" w:hAnsi="Arial" w:cs="Arial"/>
          <w:b/>
          <w:bCs/>
          <w:color w:val="000000" w:themeColor="text1"/>
          <w:lang w:val="es-ES_tradnl"/>
        </w:rPr>
        <w:t xml:space="preserve"> </w:t>
      </w:r>
    </w:p>
    <w:p w14:paraId="0D64C178" w14:textId="77777777" w:rsidR="00F01003" w:rsidRPr="00DD0DA7" w:rsidRDefault="00F01003" w:rsidP="00F01003">
      <w:pPr>
        <w:spacing w:after="0" w:line="240" w:lineRule="auto"/>
        <w:contextualSpacing/>
        <w:jc w:val="both"/>
        <w:rPr>
          <w:rFonts w:ascii="Arial" w:eastAsia="Calibri" w:hAnsi="Arial" w:cs="Arial"/>
          <w:color w:val="000000" w:themeColor="text1"/>
          <w:lang w:val="es-ES_tradnl"/>
        </w:rPr>
      </w:pPr>
    </w:p>
    <w:p w14:paraId="6D5EDE6D" w14:textId="77777777" w:rsidR="00F01003" w:rsidRPr="00DD0DA7" w:rsidRDefault="00F01003" w:rsidP="00F01003">
      <w:pPr>
        <w:spacing w:after="0" w:line="240" w:lineRule="auto"/>
        <w:jc w:val="both"/>
        <w:rPr>
          <w:rFonts w:ascii="Arial" w:eastAsia="Calibri" w:hAnsi="Arial" w:cs="Arial"/>
          <w:color w:val="000000" w:themeColor="text1"/>
          <w:lang w:val="es-MX"/>
        </w:rPr>
      </w:pPr>
      <w:r w:rsidRPr="00DD0DA7">
        <w:rPr>
          <w:rFonts w:ascii="Arial" w:eastAsia="Calibri" w:hAnsi="Arial" w:cs="Arial"/>
          <w:color w:val="000000" w:themeColor="text1"/>
          <w:lang w:val="es-MX"/>
        </w:rPr>
        <w:t>Conforme se viene explicando, el artículo 32 de la Ley 2069 de 2021 establece el deber de las entidades estatales de incluir en los procesos de licitación pública, selección abreviada de menor cuantía y concurso de méritos, así como en los procesos competitivos que adelanten las entidades estatales exceptuadas de aplicar el Estatuto General de Contratación de la Administración Pública, requisitos diferenciales y puntajes adicionales en favor de los emprendimientos y empresas de mujeres. Esto, a título de medidas de acción afirmativa para incentivar la participación de emprendimientos y empresas de mujeres en el sistema de compras públicas y contratación estatal, sin perjuicio de los compromisos adquiridos por Colombia en los acuerdos comerciales en vigor.</w:t>
      </w:r>
    </w:p>
    <w:p w14:paraId="6B87E086" w14:textId="77777777" w:rsidR="00F01003" w:rsidRPr="00DD0DA7" w:rsidRDefault="00F01003" w:rsidP="00F01003">
      <w:pPr>
        <w:spacing w:after="0" w:line="240" w:lineRule="auto"/>
        <w:jc w:val="both"/>
        <w:rPr>
          <w:rFonts w:ascii="Arial" w:eastAsia="Calibri" w:hAnsi="Arial" w:cs="Arial"/>
          <w:color w:val="000000" w:themeColor="text1"/>
          <w:lang w:val="es-MX"/>
        </w:rPr>
      </w:pPr>
    </w:p>
    <w:p w14:paraId="56BD684B" w14:textId="77777777" w:rsidR="00F01003" w:rsidRPr="00DD0DA7" w:rsidRDefault="00F01003" w:rsidP="00F01003">
      <w:pPr>
        <w:spacing w:after="0" w:line="240" w:lineRule="auto"/>
        <w:contextualSpacing/>
        <w:jc w:val="both"/>
        <w:rPr>
          <w:rFonts w:ascii="Arial" w:eastAsia="Calibri" w:hAnsi="Arial" w:cs="Arial"/>
          <w:color w:val="000000" w:themeColor="text1"/>
          <w:lang w:val="es-MX"/>
        </w:rPr>
      </w:pPr>
      <w:r w:rsidRPr="00DD0DA7">
        <w:rPr>
          <w:rFonts w:ascii="Arial" w:eastAsia="Calibri" w:hAnsi="Arial" w:cs="Arial"/>
          <w:color w:val="000000" w:themeColor="text1"/>
          <w:lang w:val="es-MX"/>
        </w:rPr>
        <w:tab/>
        <w:t xml:space="preserve">En desarrollo de lo dispuesto en el parágrafo del artículo 32 de la Ley 2069 de 2020, el Decreto 1860 de 2021 adicionó el artículo 2.2.1.2.4.2.14 al Decreto 1082 de 2015. Esta norma establece las condiciones y requisitos en atención a los cuales se definen los emprendimientos y empresas de mujeres, a las que les aplican los criterios diferenciales. Para estos efectos, cada uno de los cuatro numerales de la norma establecen unas condiciones alternativas que definen los emprendimientos y empresas de mujeres, a efectos de aplicar los criterios diferenciales. Dicha disposición señala lo siguiente:   </w:t>
      </w:r>
    </w:p>
    <w:p w14:paraId="3B56E993" w14:textId="77777777" w:rsidR="00F01003" w:rsidRPr="00DD0DA7" w:rsidRDefault="00F01003" w:rsidP="00F01003">
      <w:pPr>
        <w:shd w:val="clear" w:color="auto" w:fill="FFFFFF"/>
        <w:spacing w:after="0" w:line="240" w:lineRule="auto"/>
        <w:ind w:left="709" w:right="709"/>
        <w:contextualSpacing/>
        <w:jc w:val="both"/>
        <w:textAlignment w:val="baseline"/>
        <w:rPr>
          <w:rFonts w:ascii="Arial" w:hAnsi="Arial" w:cs="Arial"/>
          <w:color w:val="000000" w:themeColor="text1"/>
          <w:lang w:eastAsia="es-CO"/>
        </w:rPr>
      </w:pPr>
    </w:p>
    <w:p w14:paraId="104B8E90" w14:textId="77777777" w:rsidR="00F01003" w:rsidRPr="00DD0DA7" w:rsidRDefault="00F01003" w:rsidP="00F01003">
      <w:pPr>
        <w:shd w:val="clear" w:color="auto" w:fill="FFFFFF"/>
        <w:spacing w:after="0" w:line="240" w:lineRule="auto"/>
        <w:ind w:left="709" w:right="709"/>
        <w:contextualSpacing/>
        <w:jc w:val="both"/>
        <w:textAlignment w:val="baseline"/>
        <w:rPr>
          <w:rFonts w:ascii="Arial" w:eastAsia="Calibri" w:hAnsi="Arial" w:cs="Arial"/>
          <w:color w:val="000000" w:themeColor="text1"/>
          <w:lang w:val="es-MX"/>
        </w:rPr>
      </w:pPr>
      <w:r w:rsidRPr="00DD0DA7">
        <w:rPr>
          <w:rFonts w:ascii="Arial" w:hAnsi="Arial" w:cs="Arial"/>
          <w:color w:val="000000" w:themeColor="text1"/>
          <w:lang w:eastAsia="es-CO"/>
        </w:rPr>
        <w:t>«</w:t>
      </w:r>
      <w:r w:rsidRPr="00DD0DA7">
        <w:rPr>
          <w:rFonts w:ascii="Arial" w:eastAsia="Calibri" w:hAnsi="Arial" w:cs="Arial"/>
          <w:color w:val="000000" w:themeColor="text1"/>
          <w:lang w:val="es-MX"/>
        </w:rPr>
        <w:t>Artículo 2.2.1.2.4.2.14. Definición de emprendimientos y empresas de mujeres. Con el propósito de adoptar medidas afirmativas que incentiven la participación de las mujeres en el sistema de compras públicas, se entenderán como emprendimientos y empresas de mujeres aquellas que cumplan con alguna de las siguientes condiciones: </w:t>
      </w:r>
    </w:p>
    <w:p w14:paraId="3DA8DBD7" w14:textId="77777777" w:rsidR="00F01003" w:rsidRPr="00DD0DA7" w:rsidRDefault="00F01003" w:rsidP="00F01003">
      <w:pPr>
        <w:shd w:val="clear" w:color="auto" w:fill="FFFFFF"/>
        <w:spacing w:after="0" w:line="240" w:lineRule="auto"/>
        <w:ind w:left="709" w:right="709"/>
        <w:contextualSpacing/>
        <w:jc w:val="both"/>
        <w:textAlignment w:val="baseline"/>
        <w:rPr>
          <w:rFonts w:ascii="Arial" w:eastAsia="Calibri" w:hAnsi="Arial" w:cs="Arial"/>
          <w:color w:val="000000" w:themeColor="text1"/>
          <w:lang w:val="es-MX"/>
        </w:rPr>
      </w:pPr>
    </w:p>
    <w:p w14:paraId="1206A36C" w14:textId="77777777" w:rsidR="00F01003" w:rsidRPr="00DD0DA7" w:rsidRDefault="00F01003" w:rsidP="00F01003">
      <w:pPr>
        <w:shd w:val="clear" w:color="auto" w:fill="FFFFFF"/>
        <w:spacing w:after="0" w:line="240" w:lineRule="auto"/>
        <w:ind w:left="709" w:right="709"/>
        <w:contextualSpacing/>
        <w:jc w:val="both"/>
        <w:textAlignment w:val="baseline"/>
        <w:rPr>
          <w:rFonts w:ascii="Arial" w:eastAsia="Calibri" w:hAnsi="Arial" w:cs="Arial"/>
          <w:color w:val="000000" w:themeColor="text1"/>
          <w:lang w:val="es-MX"/>
        </w:rPr>
      </w:pPr>
      <w:r w:rsidRPr="00DD0DA7">
        <w:rPr>
          <w:rFonts w:ascii="Arial" w:eastAsia="Calibri" w:hAnsi="Arial" w:cs="Arial"/>
          <w:color w:val="000000" w:themeColor="text1"/>
          <w:lang w:val="es-MX"/>
        </w:rPr>
        <w:lastRenderedPageBreak/>
        <w:t xml:space="preserve"> 1. Cuando más del cincuenta por ciento (50%) de las acciones, partes de interés o cuotas de participación de la persona jurídica pertenezcan a mujeres y los derechos de propiedad </w:t>
      </w:r>
      <w:bookmarkStart w:id="6" w:name="_Hlk94001820"/>
      <w:r w:rsidRPr="00DD0DA7">
        <w:rPr>
          <w:rFonts w:ascii="Arial" w:eastAsia="Calibri" w:hAnsi="Arial" w:cs="Arial"/>
          <w:color w:val="000000" w:themeColor="text1"/>
          <w:lang w:val="es-MX"/>
        </w:rPr>
        <w:t>hayan pertenecido a estas durante al menos el último año anterior a la fecha de cierre del Proceso de Selección</w:t>
      </w:r>
      <w:bookmarkEnd w:id="6"/>
      <w:r w:rsidRPr="00DD0DA7">
        <w:rPr>
          <w:rFonts w:ascii="Arial" w:eastAsia="Calibri" w:hAnsi="Arial" w:cs="Arial"/>
          <w:color w:val="000000" w:themeColor="text1"/>
          <w:lang w:val="es-MX"/>
        </w:rPr>
        <w:t>. Esta circunstancia se acreditará mediante certificación expedida por el representante legal y el revisor fiscal, cuando exista de acuerdo con los requerimientos de ley, o el contador, donde conste la distribución de los derechos en la sociedad y el tiempo en el que las mujeres han mantenido su participación.</w:t>
      </w:r>
    </w:p>
    <w:p w14:paraId="23B81152" w14:textId="77777777" w:rsidR="00F01003" w:rsidRPr="00DD0DA7" w:rsidRDefault="00F01003" w:rsidP="00F01003">
      <w:pPr>
        <w:shd w:val="clear" w:color="auto" w:fill="FFFFFF"/>
        <w:spacing w:after="0" w:line="240" w:lineRule="auto"/>
        <w:ind w:left="709" w:right="709"/>
        <w:contextualSpacing/>
        <w:jc w:val="both"/>
        <w:textAlignment w:val="baseline"/>
        <w:rPr>
          <w:rFonts w:ascii="Arial" w:eastAsia="Calibri" w:hAnsi="Arial" w:cs="Arial"/>
          <w:color w:val="000000" w:themeColor="text1"/>
          <w:lang w:val="es-MX"/>
        </w:rPr>
      </w:pPr>
    </w:p>
    <w:p w14:paraId="677D3B45" w14:textId="77777777" w:rsidR="00F01003" w:rsidRPr="00DD0DA7" w:rsidRDefault="00F01003" w:rsidP="00F01003">
      <w:pPr>
        <w:shd w:val="clear" w:color="auto" w:fill="FFFFFF"/>
        <w:spacing w:after="0" w:line="240" w:lineRule="auto"/>
        <w:ind w:left="709" w:right="709"/>
        <w:contextualSpacing/>
        <w:jc w:val="both"/>
        <w:textAlignment w:val="baseline"/>
        <w:rPr>
          <w:rFonts w:ascii="Arial" w:eastAsia="Calibri" w:hAnsi="Arial" w:cs="Arial"/>
          <w:color w:val="000000" w:themeColor="text1"/>
          <w:lang w:val="es-MX"/>
        </w:rPr>
      </w:pPr>
      <w:r w:rsidRPr="00DD0DA7">
        <w:rPr>
          <w:rFonts w:ascii="Arial" w:eastAsia="Calibri" w:hAnsi="Arial" w:cs="Arial"/>
          <w:color w:val="000000" w:themeColor="text1"/>
          <w:lang w:val="es-MX"/>
        </w:rPr>
        <w:t>2. Cuando por lo menos el cincuenta por ciento (50%) de los empleos del nivel directivo de la persona jurídica sean ejercidos por mujeres y éstas hayan estado vinculadas laboralmente a la empresa durante al menos el último año anterior a la fecha de cierre del Proceso de Selección en el mismo cargo u otro del mismo nivel.</w:t>
      </w:r>
    </w:p>
    <w:p w14:paraId="4A57C705" w14:textId="77777777" w:rsidR="00F01003" w:rsidRPr="00DD0DA7" w:rsidRDefault="00F01003" w:rsidP="00F01003">
      <w:pPr>
        <w:shd w:val="clear" w:color="auto" w:fill="FFFFFF"/>
        <w:spacing w:after="0" w:line="240" w:lineRule="auto"/>
        <w:ind w:left="709" w:right="709"/>
        <w:contextualSpacing/>
        <w:jc w:val="both"/>
        <w:textAlignment w:val="baseline"/>
        <w:rPr>
          <w:rFonts w:ascii="Arial" w:eastAsia="Calibri" w:hAnsi="Arial" w:cs="Arial"/>
          <w:color w:val="000000" w:themeColor="text1"/>
          <w:lang w:val="es-MX"/>
        </w:rPr>
      </w:pPr>
    </w:p>
    <w:p w14:paraId="247AD572" w14:textId="77777777" w:rsidR="00F01003" w:rsidRPr="00DD0DA7" w:rsidRDefault="00F01003" w:rsidP="00F01003">
      <w:pPr>
        <w:shd w:val="clear" w:color="auto" w:fill="FFFFFF"/>
        <w:spacing w:after="0" w:line="240" w:lineRule="auto"/>
        <w:ind w:left="709" w:right="709"/>
        <w:contextualSpacing/>
        <w:jc w:val="both"/>
        <w:textAlignment w:val="baseline"/>
        <w:rPr>
          <w:rFonts w:ascii="Arial" w:eastAsia="Calibri" w:hAnsi="Arial" w:cs="Arial"/>
          <w:color w:val="000000" w:themeColor="text1"/>
          <w:lang w:val="es-MX"/>
        </w:rPr>
      </w:pPr>
      <w:r w:rsidRPr="00DD0DA7">
        <w:rPr>
          <w:rFonts w:ascii="Arial" w:eastAsia="Times New Roman" w:hAnsi="Arial" w:cs="Arial"/>
          <w:color w:val="000000" w:themeColor="text1"/>
          <w:lang w:eastAsia="es-CO"/>
        </w:rPr>
        <w:t xml:space="preserve"> </w:t>
      </w:r>
      <w:r w:rsidRPr="00E06035">
        <w:rPr>
          <w:rFonts w:ascii="Arial" w:eastAsia="Times New Roman" w:hAnsi="Arial" w:cs="Arial"/>
          <w:color w:val="000000" w:themeColor="text1"/>
          <w:lang w:eastAsia="es-CO"/>
        </w:rPr>
        <w:t>Se entenderá como empleos del nivel directivo aquellos cuyas funciones están relacionadas con la dirección de áreas misionales de la empresa y la toma de decisiones a nivel estratégico. En este sentido, serán cargos de nivel directivo los que dentro de la organización de la empresa se encuentran ubicados en un nivel de mando o los que por su jerarquía desempeñan cargos encaminados al cumplimiento de funciones orientadas a representar al empleador.</w:t>
      </w:r>
    </w:p>
    <w:p w14:paraId="175B4CF6" w14:textId="77777777" w:rsidR="00F01003" w:rsidRPr="00DD0DA7" w:rsidRDefault="00F01003" w:rsidP="00F01003">
      <w:pPr>
        <w:shd w:val="clear" w:color="auto" w:fill="FFFFFF"/>
        <w:spacing w:after="0" w:line="240" w:lineRule="auto"/>
        <w:ind w:left="709" w:right="709"/>
        <w:contextualSpacing/>
        <w:jc w:val="both"/>
        <w:textAlignment w:val="baseline"/>
        <w:rPr>
          <w:rFonts w:ascii="Arial" w:eastAsia="Calibri" w:hAnsi="Arial" w:cs="Arial"/>
          <w:color w:val="000000" w:themeColor="text1"/>
          <w:lang w:val="es-MX"/>
        </w:rPr>
      </w:pPr>
    </w:p>
    <w:p w14:paraId="24A424FA" w14:textId="77777777" w:rsidR="00F01003" w:rsidRPr="00DD0DA7" w:rsidRDefault="00F01003" w:rsidP="00F01003">
      <w:pPr>
        <w:shd w:val="clear" w:color="auto" w:fill="FFFFFF"/>
        <w:spacing w:after="0" w:line="240" w:lineRule="auto"/>
        <w:ind w:left="709" w:right="709"/>
        <w:contextualSpacing/>
        <w:jc w:val="both"/>
        <w:textAlignment w:val="baseline"/>
        <w:rPr>
          <w:rFonts w:ascii="Arial" w:eastAsia="Calibri" w:hAnsi="Arial" w:cs="Arial"/>
          <w:color w:val="000000" w:themeColor="text1"/>
          <w:lang w:val="es-MX"/>
        </w:rPr>
      </w:pPr>
      <w:r w:rsidRPr="00E06035">
        <w:rPr>
          <w:rFonts w:ascii="Arial" w:eastAsia="Times New Roman" w:hAnsi="Arial" w:cs="Arial"/>
          <w:color w:val="000000" w:themeColor="text1"/>
          <w:lang w:eastAsia="es-CO"/>
        </w:rPr>
        <w:t>Esta circunstancia se acreditará mediante certificación expedida por el representante legal y el revisor fiscal, cuando exista de acuerdo con los requerimientos de ley, o el contador, donde se señale de manera detallada todas las personas que conforman los cargos de nivel directivo del proponente, el número de mujeres y el tiempo de vinculación.</w:t>
      </w:r>
    </w:p>
    <w:p w14:paraId="482B59B8" w14:textId="77777777" w:rsidR="00F01003" w:rsidRPr="00DD0DA7" w:rsidRDefault="00F01003" w:rsidP="00F01003">
      <w:pPr>
        <w:shd w:val="clear" w:color="auto" w:fill="FFFFFF"/>
        <w:spacing w:after="0" w:line="240" w:lineRule="auto"/>
        <w:ind w:left="709" w:right="709"/>
        <w:contextualSpacing/>
        <w:jc w:val="both"/>
        <w:textAlignment w:val="baseline"/>
        <w:rPr>
          <w:rFonts w:ascii="Arial" w:eastAsia="Calibri" w:hAnsi="Arial" w:cs="Arial"/>
          <w:color w:val="000000" w:themeColor="text1"/>
          <w:lang w:val="es-MX"/>
        </w:rPr>
      </w:pPr>
    </w:p>
    <w:p w14:paraId="421DCBF3" w14:textId="77777777" w:rsidR="00F01003" w:rsidRPr="00DD0DA7" w:rsidRDefault="00F01003" w:rsidP="00F01003">
      <w:pPr>
        <w:shd w:val="clear" w:color="auto" w:fill="FFFFFF"/>
        <w:spacing w:after="0" w:line="240" w:lineRule="auto"/>
        <w:ind w:left="709" w:right="709"/>
        <w:contextualSpacing/>
        <w:jc w:val="both"/>
        <w:textAlignment w:val="baseline"/>
        <w:rPr>
          <w:rFonts w:ascii="Arial" w:eastAsia="Calibri" w:hAnsi="Arial" w:cs="Arial"/>
          <w:color w:val="000000" w:themeColor="text1"/>
          <w:lang w:val="es-MX"/>
        </w:rPr>
      </w:pPr>
      <w:r w:rsidRPr="00E06035">
        <w:rPr>
          <w:rFonts w:ascii="Arial" w:eastAsia="Times New Roman" w:hAnsi="Arial" w:cs="Arial"/>
          <w:color w:val="000000" w:themeColor="text1"/>
          <w:lang w:eastAsia="es-CO"/>
        </w:rPr>
        <w:t>La certificación deberá relacionar el nombre completo y el número de documento de identidad de cada una de las personas que conforman el nivel directivo del proponente. Como soporte, se anexará copia de los respectivos documentos de identidad, copia de los contratos de trabajo o certificación laboral con las funciones, así como el certificado de aportes a seguridad social del último año en el que se demuestren los pagos realizados por el empleador.</w:t>
      </w:r>
    </w:p>
    <w:p w14:paraId="0C25F688" w14:textId="77777777" w:rsidR="00F01003" w:rsidRPr="00DD0DA7" w:rsidRDefault="00F01003" w:rsidP="00F01003">
      <w:pPr>
        <w:shd w:val="clear" w:color="auto" w:fill="FFFFFF"/>
        <w:spacing w:after="0" w:line="240" w:lineRule="auto"/>
        <w:ind w:left="709" w:right="709"/>
        <w:contextualSpacing/>
        <w:jc w:val="both"/>
        <w:textAlignment w:val="baseline"/>
        <w:rPr>
          <w:rFonts w:ascii="Arial" w:eastAsia="Calibri" w:hAnsi="Arial" w:cs="Arial"/>
          <w:color w:val="000000" w:themeColor="text1"/>
        </w:rPr>
      </w:pPr>
    </w:p>
    <w:p w14:paraId="276F7D4D" w14:textId="77777777" w:rsidR="00F01003" w:rsidRPr="00DD0DA7" w:rsidRDefault="00F01003" w:rsidP="00F01003">
      <w:pPr>
        <w:shd w:val="clear" w:color="auto" w:fill="FFFFFF"/>
        <w:spacing w:after="0" w:line="240" w:lineRule="auto"/>
        <w:ind w:left="709" w:right="709"/>
        <w:contextualSpacing/>
        <w:jc w:val="both"/>
        <w:textAlignment w:val="baseline"/>
        <w:rPr>
          <w:rFonts w:ascii="Arial" w:eastAsia="Calibri" w:hAnsi="Arial" w:cs="Arial"/>
          <w:color w:val="000000" w:themeColor="text1"/>
          <w:lang w:val="es-MX"/>
        </w:rPr>
      </w:pPr>
      <w:r w:rsidRPr="00DD0DA7">
        <w:rPr>
          <w:rFonts w:ascii="Arial" w:eastAsia="Calibri" w:hAnsi="Arial" w:cs="Arial"/>
          <w:color w:val="000000" w:themeColor="text1"/>
          <w:lang w:val="es-MX"/>
        </w:rPr>
        <w:t xml:space="preserve">3. Cuando la </w:t>
      </w:r>
      <w:r w:rsidRPr="00DD0DA7">
        <w:rPr>
          <w:rFonts w:ascii="Arial" w:eastAsia="Calibri" w:hAnsi="Arial" w:cs="Arial"/>
          <w:i/>
          <w:iCs/>
          <w:color w:val="000000" w:themeColor="text1"/>
          <w:lang w:val="es-MX"/>
        </w:rPr>
        <w:t>persona natural</w:t>
      </w:r>
      <w:r w:rsidRPr="00DD0DA7">
        <w:rPr>
          <w:rFonts w:ascii="Arial" w:eastAsia="Calibri" w:hAnsi="Arial" w:cs="Arial"/>
          <w:color w:val="000000" w:themeColor="text1"/>
          <w:lang w:val="es-MX"/>
        </w:rPr>
        <w:t xml:space="preserve"> sea una mujer y haya ejercido actividades comerciales a través de un establecimiento de comercio durante al menos el último año anterior a la fecha de cierre del proceso de selección. Esta circunstancia se acreditará mediante la copia de cédula de ciudadanía, la cédula de extranjería o el pasaporte, así como la copia del registro mercantil.</w:t>
      </w:r>
    </w:p>
    <w:p w14:paraId="7B26A7CB" w14:textId="77777777" w:rsidR="00F01003" w:rsidRPr="00DD0DA7" w:rsidRDefault="00F01003" w:rsidP="00F01003">
      <w:pPr>
        <w:shd w:val="clear" w:color="auto" w:fill="FFFFFF"/>
        <w:spacing w:after="0" w:line="240" w:lineRule="auto"/>
        <w:ind w:left="709" w:right="709"/>
        <w:contextualSpacing/>
        <w:jc w:val="both"/>
        <w:textAlignment w:val="baseline"/>
        <w:rPr>
          <w:rFonts w:ascii="Arial" w:eastAsia="Calibri" w:hAnsi="Arial" w:cs="Arial"/>
          <w:color w:val="000000" w:themeColor="text1"/>
          <w:lang w:val="es-MX"/>
        </w:rPr>
      </w:pPr>
    </w:p>
    <w:p w14:paraId="15001920" w14:textId="77777777" w:rsidR="00F01003" w:rsidRPr="00DD0DA7" w:rsidRDefault="00F01003" w:rsidP="00F01003">
      <w:pPr>
        <w:shd w:val="clear" w:color="auto" w:fill="FFFFFF"/>
        <w:spacing w:after="0" w:line="240" w:lineRule="auto"/>
        <w:ind w:left="709" w:right="709"/>
        <w:contextualSpacing/>
        <w:jc w:val="both"/>
        <w:textAlignment w:val="baseline"/>
        <w:rPr>
          <w:rFonts w:ascii="Arial" w:eastAsia="Calibri" w:hAnsi="Arial" w:cs="Arial"/>
          <w:color w:val="000000" w:themeColor="text1"/>
          <w:lang w:val="es-MX"/>
        </w:rPr>
      </w:pPr>
      <w:r w:rsidRPr="00DD0DA7">
        <w:rPr>
          <w:rFonts w:ascii="Arial" w:eastAsia="Calibri" w:hAnsi="Arial" w:cs="Arial"/>
          <w:color w:val="000000" w:themeColor="text1"/>
          <w:lang w:val="es-MX"/>
        </w:rPr>
        <w:t>4. Para las asociaciones y cooperativas, cuando más del cincuenta por ciento (50%) de los asociados sean mujeres y la participación haya correspondido a estas durante al menos el último año anterior a la fecha de cierre del Proceso de Selección. Esta circunstancia se acreditará mediante certificación expedida por el representante legal.</w:t>
      </w:r>
    </w:p>
    <w:p w14:paraId="3FD09633" w14:textId="77777777" w:rsidR="00F01003" w:rsidRPr="00DD0DA7" w:rsidRDefault="00F01003" w:rsidP="00F01003">
      <w:pPr>
        <w:shd w:val="clear" w:color="auto" w:fill="FFFFFF"/>
        <w:spacing w:after="0" w:line="240" w:lineRule="auto"/>
        <w:ind w:left="709" w:right="709"/>
        <w:contextualSpacing/>
        <w:jc w:val="both"/>
        <w:textAlignment w:val="baseline"/>
        <w:rPr>
          <w:rFonts w:ascii="Arial" w:eastAsia="Calibri" w:hAnsi="Arial" w:cs="Arial"/>
          <w:color w:val="000000" w:themeColor="text1"/>
          <w:lang w:val="es-MX"/>
        </w:rPr>
      </w:pPr>
    </w:p>
    <w:p w14:paraId="401EF77F" w14:textId="77777777" w:rsidR="00F01003" w:rsidRPr="00DD0DA7" w:rsidRDefault="00F01003" w:rsidP="00F01003">
      <w:pPr>
        <w:shd w:val="clear" w:color="auto" w:fill="FFFFFF"/>
        <w:spacing w:after="0" w:line="240" w:lineRule="auto"/>
        <w:ind w:left="709" w:right="709"/>
        <w:contextualSpacing/>
        <w:jc w:val="both"/>
        <w:textAlignment w:val="baseline"/>
        <w:rPr>
          <w:rFonts w:ascii="Arial" w:eastAsia="Calibri" w:hAnsi="Arial" w:cs="Arial"/>
          <w:color w:val="000000" w:themeColor="text1"/>
          <w:lang w:val="es-MX"/>
        </w:rPr>
      </w:pPr>
      <w:r w:rsidRPr="00DD0DA7">
        <w:rPr>
          <w:rFonts w:ascii="Arial" w:eastAsia="Calibri" w:hAnsi="Arial" w:cs="Arial"/>
          <w:color w:val="000000" w:themeColor="text1"/>
          <w:lang w:val="es-MX"/>
        </w:rPr>
        <w:t>PARÁGRAFO. Respecto a los incentivos contractuales para los emprendimientos y empresas de mujeres, las certificaciones de trata el presente artículo deben expedirse bajo la gravedad de juramento con una fecha de máximo treinta (30) días calendario anteriores a la prevista para el cierre del procedimiento de selección [Énfasis fuera de texto].</w:t>
      </w:r>
    </w:p>
    <w:p w14:paraId="7F099C39" w14:textId="77777777" w:rsidR="00F01003" w:rsidRPr="00DD0DA7" w:rsidRDefault="00F01003" w:rsidP="00F01003">
      <w:pPr>
        <w:shd w:val="clear" w:color="auto" w:fill="FFFFFF"/>
        <w:spacing w:after="0" w:line="240" w:lineRule="auto"/>
        <w:ind w:left="709" w:right="709"/>
        <w:contextualSpacing/>
        <w:jc w:val="both"/>
        <w:textAlignment w:val="baseline"/>
        <w:rPr>
          <w:rFonts w:ascii="Arial" w:hAnsi="Arial" w:cs="Arial"/>
          <w:color w:val="000000" w:themeColor="text1"/>
          <w:lang w:eastAsia="es-CO"/>
        </w:rPr>
      </w:pPr>
    </w:p>
    <w:p w14:paraId="2EBB35C9" w14:textId="77777777" w:rsidR="00F01003" w:rsidRDefault="00F01003" w:rsidP="00F01003">
      <w:pPr>
        <w:spacing w:after="0" w:line="240" w:lineRule="auto"/>
        <w:ind w:firstLine="708"/>
        <w:jc w:val="both"/>
        <w:rPr>
          <w:rFonts w:ascii="Arial" w:eastAsia="Calibri" w:hAnsi="Arial" w:cs="Arial"/>
          <w:color w:val="000000" w:themeColor="text1"/>
          <w:lang w:val="es-MX"/>
        </w:rPr>
      </w:pPr>
      <w:r w:rsidRPr="00DD0DA7">
        <w:rPr>
          <w:rFonts w:ascii="Arial" w:eastAsia="Calibri" w:hAnsi="Arial" w:cs="Arial"/>
          <w:color w:val="000000" w:themeColor="text1"/>
          <w:lang w:val="es-MX"/>
        </w:rPr>
        <w:t xml:space="preserve">De esta manera, los criterios diferenciales y la asignación de puntajes adicionales en procesos de selección de contratistas del Estado, creados en favor de emprendimientos y empresas de mujeres; incluidos en el artículo 32 de la Ley 2069 de 2020 y reglamentados mediante el Decreto 1860 de 2021, únicamente, se aplicarán a los proponentes que acrediten alguna de las condiciones señaladas en el artículo 2.2.1.2.4.2.14 del Decreto 1082 de 2015 que define el concepto aludido en la ley. Respecto a la definición consagrada en la disposición objeto de estudio debe señalarse que, cada uno de los supuestos de hecho de los cuatro numerales de la norma transcrita exigen que se hayan cumplido, por lo menos, durante el año anterior a la fecha de cierre del proceso de selección. </w:t>
      </w:r>
    </w:p>
    <w:p w14:paraId="5F0B3C41" w14:textId="77777777" w:rsidR="00F01003" w:rsidRPr="00DD0DA7" w:rsidRDefault="00F01003" w:rsidP="00F01003">
      <w:pPr>
        <w:spacing w:after="0" w:line="240" w:lineRule="auto"/>
        <w:ind w:firstLine="708"/>
        <w:jc w:val="both"/>
        <w:rPr>
          <w:rFonts w:ascii="Arial" w:eastAsia="Calibri" w:hAnsi="Arial" w:cs="Arial"/>
          <w:color w:val="000000" w:themeColor="text1"/>
          <w:lang w:val="es-MX"/>
        </w:rPr>
      </w:pPr>
    </w:p>
    <w:p w14:paraId="4D137A74" w14:textId="77777777" w:rsidR="00F01003" w:rsidRDefault="00F01003" w:rsidP="00F01003">
      <w:pPr>
        <w:shd w:val="clear" w:color="auto" w:fill="FFFFFF"/>
        <w:spacing w:after="0" w:line="240" w:lineRule="auto"/>
        <w:ind w:left="709" w:right="709"/>
        <w:contextualSpacing/>
        <w:jc w:val="both"/>
        <w:textAlignment w:val="baseline"/>
        <w:rPr>
          <w:rFonts w:ascii="Arial" w:eastAsia="Calibri" w:hAnsi="Arial" w:cs="Arial"/>
          <w:color w:val="000000" w:themeColor="text1"/>
          <w:lang w:val="es-MX"/>
        </w:rPr>
      </w:pPr>
      <w:r w:rsidRPr="00DD0DA7">
        <w:rPr>
          <w:rFonts w:ascii="Arial" w:eastAsia="Calibri" w:hAnsi="Arial" w:cs="Arial"/>
          <w:color w:val="000000" w:themeColor="text1"/>
          <w:lang w:val="es-MX"/>
        </w:rPr>
        <w:tab/>
      </w:r>
      <w:bookmarkStart w:id="7" w:name="_Hlk112034608"/>
      <w:r w:rsidRPr="00DD0DA7">
        <w:rPr>
          <w:rFonts w:ascii="Arial" w:eastAsia="Calibri" w:hAnsi="Arial" w:cs="Arial"/>
          <w:color w:val="000000" w:themeColor="text1"/>
          <w:lang w:val="es-ES_tradnl"/>
        </w:rPr>
        <w:t xml:space="preserve">Teniendo en cuenta el objeto de la presente consulta, resulta relevante el análisis del numeral segundo del artículo antes citado, según el cual para obtener el </w:t>
      </w:r>
      <w:r>
        <w:rPr>
          <w:rFonts w:ascii="Arial" w:eastAsia="Calibri" w:hAnsi="Arial" w:cs="Arial"/>
          <w:color w:val="000000" w:themeColor="text1"/>
          <w:lang w:val="es-ES_tradnl"/>
        </w:rPr>
        <w:t>beneficio del requisito diferencial</w:t>
      </w:r>
      <w:r w:rsidRPr="00DD0DA7">
        <w:rPr>
          <w:rFonts w:ascii="Arial" w:eastAsia="Calibri" w:hAnsi="Arial" w:cs="Arial"/>
          <w:color w:val="000000" w:themeColor="text1"/>
          <w:lang w:val="es-ES_tradnl"/>
        </w:rPr>
        <w:t xml:space="preserve"> se requiere que al </w:t>
      </w:r>
      <w:r w:rsidRPr="00DD0DA7">
        <w:rPr>
          <w:rFonts w:ascii="Arial" w:eastAsia="Calibri" w:hAnsi="Arial" w:cs="Arial"/>
          <w:color w:val="000000" w:themeColor="text1"/>
          <w:lang w:val="es-MX"/>
        </w:rPr>
        <w:t xml:space="preserve">menos el cincuenta por ciento (50%) de los empleos del nivel directivo de la persona jurídica sean ejercidos por mujeres.  </w:t>
      </w:r>
    </w:p>
    <w:p w14:paraId="7F4DA31B" w14:textId="77777777" w:rsidR="00F01003" w:rsidRDefault="00F01003" w:rsidP="00F01003">
      <w:pPr>
        <w:shd w:val="clear" w:color="auto" w:fill="FFFFFF"/>
        <w:spacing w:after="0" w:line="240" w:lineRule="auto"/>
        <w:ind w:left="709" w:right="709"/>
        <w:contextualSpacing/>
        <w:jc w:val="both"/>
        <w:textAlignment w:val="baseline"/>
        <w:rPr>
          <w:rFonts w:ascii="Arial" w:eastAsia="Calibri" w:hAnsi="Arial" w:cs="Arial"/>
          <w:color w:val="000000" w:themeColor="text1"/>
          <w:lang w:val="es-MX"/>
        </w:rPr>
      </w:pPr>
    </w:p>
    <w:p w14:paraId="60774362" w14:textId="77777777" w:rsidR="00F01003" w:rsidRDefault="00F01003" w:rsidP="00F01003">
      <w:pPr>
        <w:shd w:val="clear" w:color="auto" w:fill="FFFFFF"/>
        <w:spacing w:after="0" w:line="240" w:lineRule="auto"/>
        <w:ind w:left="709" w:right="709"/>
        <w:contextualSpacing/>
        <w:jc w:val="both"/>
        <w:textAlignment w:val="baseline"/>
        <w:rPr>
          <w:rFonts w:ascii="Arial" w:eastAsia="Times New Roman" w:hAnsi="Arial" w:cs="Arial"/>
          <w:color w:val="000000" w:themeColor="text1"/>
          <w:lang w:eastAsia="es-CO"/>
        </w:rPr>
      </w:pPr>
      <w:r w:rsidRPr="00DD0DA7">
        <w:rPr>
          <w:rFonts w:ascii="Arial" w:eastAsia="Calibri" w:hAnsi="Arial" w:cs="Arial"/>
          <w:color w:val="000000" w:themeColor="text1"/>
          <w:lang w:val="es-ES_tradnl"/>
        </w:rPr>
        <w:t xml:space="preserve">La disposición señala que la acreditación de dicha circunstancia deberá realizarse mediante una certificación </w:t>
      </w:r>
      <w:r w:rsidRPr="00E06035">
        <w:rPr>
          <w:rFonts w:ascii="Arial" w:eastAsia="Times New Roman" w:hAnsi="Arial" w:cs="Arial"/>
          <w:color w:val="000000" w:themeColor="text1"/>
          <w:lang w:eastAsia="es-CO"/>
        </w:rPr>
        <w:t>expedida por el representante legal y el revisor fiscal</w:t>
      </w:r>
      <w:r w:rsidRPr="00DD0DA7">
        <w:rPr>
          <w:rFonts w:ascii="Arial" w:eastAsia="Times New Roman" w:hAnsi="Arial" w:cs="Arial"/>
          <w:color w:val="000000" w:themeColor="text1"/>
          <w:lang w:eastAsia="es-CO"/>
        </w:rPr>
        <w:t>, la cual debe contener los siguientes requisitos :1. Debe señalar</w:t>
      </w:r>
      <w:r>
        <w:rPr>
          <w:rFonts w:ascii="Arial" w:eastAsia="Times New Roman" w:hAnsi="Arial" w:cs="Arial"/>
          <w:color w:val="000000" w:themeColor="text1"/>
          <w:lang w:eastAsia="es-CO"/>
        </w:rPr>
        <w:t>se</w:t>
      </w:r>
      <w:r w:rsidRPr="00E06035">
        <w:rPr>
          <w:rFonts w:ascii="Arial" w:eastAsia="Times New Roman" w:hAnsi="Arial" w:cs="Arial"/>
          <w:color w:val="000000" w:themeColor="text1"/>
          <w:lang w:eastAsia="es-CO"/>
        </w:rPr>
        <w:t xml:space="preserve"> de manera detallada </w:t>
      </w:r>
      <w:r w:rsidRPr="00E06035">
        <w:rPr>
          <w:rFonts w:ascii="Arial" w:eastAsia="Times New Roman" w:hAnsi="Arial" w:cs="Arial"/>
          <w:color w:val="000000" w:themeColor="text1"/>
          <w:u w:val="single"/>
          <w:lang w:eastAsia="es-CO"/>
        </w:rPr>
        <w:t>todas las personas</w:t>
      </w:r>
      <w:r w:rsidRPr="00E06035">
        <w:rPr>
          <w:rFonts w:ascii="Arial" w:eastAsia="Times New Roman" w:hAnsi="Arial" w:cs="Arial"/>
          <w:color w:val="000000" w:themeColor="text1"/>
          <w:lang w:eastAsia="es-CO"/>
        </w:rPr>
        <w:t xml:space="preserve"> que conforman los cargos de nivel directivo del proponente</w:t>
      </w:r>
      <w:r w:rsidRPr="00DD0DA7">
        <w:rPr>
          <w:rFonts w:ascii="Arial" w:eastAsia="Times New Roman" w:hAnsi="Arial" w:cs="Arial"/>
          <w:color w:val="000000" w:themeColor="text1"/>
          <w:lang w:eastAsia="es-CO"/>
        </w:rPr>
        <w:t xml:space="preserve">.2. </w:t>
      </w:r>
      <w:r w:rsidRPr="00E06035">
        <w:rPr>
          <w:rFonts w:ascii="Arial" w:eastAsia="Times New Roman" w:hAnsi="Arial" w:cs="Arial"/>
          <w:color w:val="000000" w:themeColor="text1"/>
          <w:lang w:eastAsia="es-CO"/>
        </w:rPr>
        <w:t xml:space="preserve"> el número de mujeres y el tiempo de vinculación.</w:t>
      </w:r>
      <w:r w:rsidRPr="00DD0DA7">
        <w:rPr>
          <w:rFonts w:ascii="Arial" w:eastAsia="Calibri" w:hAnsi="Arial" w:cs="Arial"/>
          <w:color w:val="000000" w:themeColor="text1"/>
        </w:rPr>
        <w:t xml:space="preserve">3. </w:t>
      </w:r>
      <w:r w:rsidRPr="00E06035">
        <w:rPr>
          <w:rFonts w:ascii="Arial" w:eastAsia="Times New Roman" w:hAnsi="Arial" w:cs="Arial"/>
          <w:color w:val="000000" w:themeColor="text1"/>
          <w:lang w:eastAsia="es-CO"/>
        </w:rPr>
        <w:t xml:space="preserve"> el nombre completo</w:t>
      </w:r>
      <w:r w:rsidRPr="00DD0DA7">
        <w:rPr>
          <w:rFonts w:ascii="Arial" w:eastAsia="Times New Roman" w:hAnsi="Arial" w:cs="Arial"/>
          <w:color w:val="000000" w:themeColor="text1"/>
          <w:lang w:eastAsia="es-CO"/>
        </w:rPr>
        <w:t xml:space="preserve"> de las personas que conforman el nivel directivo 4. </w:t>
      </w:r>
      <w:r w:rsidRPr="00E06035">
        <w:rPr>
          <w:rFonts w:ascii="Arial" w:eastAsia="Times New Roman" w:hAnsi="Arial" w:cs="Arial"/>
          <w:color w:val="000000" w:themeColor="text1"/>
          <w:lang w:eastAsia="es-CO"/>
        </w:rPr>
        <w:t>el número de documento de identidad de cada una de las personas que conforman el nivel directivo del proponente</w:t>
      </w:r>
      <w:r w:rsidRPr="00DD0DA7">
        <w:rPr>
          <w:rFonts w:ascii="Arial" w:eastAsia="Times New Roman" w:hAnsi="Arial" w:cs="Arial"/>
          <w:color w:val="000000" w:themeColor="text1"/>
          <w:lang w:eastAsia="es-CO"/>
        </w:rPr>
        <w:t>. 5. Se deben anexar los soportes: documentos de identidad</w:t>
      </w:r>
      <w:r w:rsidRPr="00E06035">
        <w:rPr>
          <w:rFonts w:ascii="Arial" w:eastAsia="Times New Roman" w:hAnsi="Arial" w:cs="Arial"/>
          <w:color w:val="000000" w:themeColor="text1"/>
          <w:lang w:eastAsia="es-CO"/>
        </w:rPr>
        <w:t xml:space="preserve">, copia de los contratos de trabajo o certificación laboral con las funciones </w:t>
      </w:r>
      <w:r w:rsidRPr="00DD0DA7">
        <w:rPr>
          <w:rFonts w:ascii="Arial" w:eastAsia="Times New Roman" w:hAnsi="Arial" w:cs="Arial"/>
          <w:color w:val="000000" w:themeColor="text1"/>
          <w:lang w:eastAsia="es-CO"/>
        </w:rPr>
        <w:t>y</w:t>
      </w:r>
      <w:r w:rsidRPr="00E06035">
        <w:rPr>
          <w:rFonts w:ascii="Arial" w:eastAsia="Times New Roman" w:hAnsi="Arial" w:cs="Arial"/>
          <w:color w:val="000000" w:themeColor="text1"/>
          <w:lang w:eastAsia="es-CO"/>
        </w:rPr>
        <w:t xml:space="preserve"> el certificado de aportes a seguridad social del último año en el que se demuestren los pagos realizados por el empleador.</w:t>
      </w:r>
      <w:bookmarkEnd w:id="7"/>
    </w:p>
    <w:p w14:paraId="5A60FB1D" w14:textId="77777777" w:rsidR="00F01003" w:rsidRPr="00036DC8" w:rsidRDefault="00F01003" w:rsidP="00F01003">
      <w:pPr>
        <w:shd w:val="clear" w:color="auto" w:fill="FFFFFF"/>
        <w:spacing w:after="0" w:line="240" w:lineRule="auto"/>
        <w:ind w:left="709" w:right="709"/>
        <w:contextualSpacing/>
        <w:jc w:val="both"/>
        <w:textAlignment w:val="baseline"/>
        <w:rPr>
          <w:rFonts w:ascii="Arial" w:eastAsia="Calibri" w:hAnsi="Arial" w:cs="Arial"/>
          <w:color w:val="000000" w:themeColor="text1"/>
          <w:lang w:val="es-MX"/>
        </w:rPr>
      </w:pPr>
    </w:p>
    <w:p w14:paraId="558E72AE" w14:textId="77777777" w:rsidR="00F01003" w:rsidRPr="00DD0DA7" w:rsidRDefault="00F01003" w:rsidP="00F01003">
      <w:pPr>
        <w:tabs>
          <w:tab w:val="left" w:pos="284"/>
        </w:tabs>
        <w:spacing w:after="0" w:line="240" w:lineRule="auto"/>
        <w:contextualSpacing/>
        <w:jc w:val="both"/>
        <w:rPr>
          <w:rFonts w:ascii="Arial" w:eastAsia="Calibri" w:hAnsi="Arial" w:cs="Arial"/>
          <w:b/>
          <w:bCs/>
          <w:color w:val="000000" w:themeColor="text1"/>
          <w:lang w:val="es-MX"/>
        </w:rPr>
      </w:pPr>
      <w:r w:rsidRPr="00DD0DA7">
        <w:rPr>
          <w:rFonts w:ascii="Arial" w:eastAsia="Calibri" w:hAnsi="Arial" w:cs="Arial"/>
          <w:b/>
          <w:bCs/>
          <w:color w:val="000000" w:themeColor="text1"/>
          <w:lang w:val="es-MX"/>
        </w:rPr>
        <w:t>3. Respuesta</w:t>
      </w:r>
    </w:p>
    <w:p w14:paraId="54D273AC" w14:textId="77777777" w:rsidR="00F01003" w:rsidRPr="00DD0DA7" w:rsidRDefault="00F01003" w:rsidP="00F01003">
      <w:pPr>
        <w:tabs>
          <w:tab w:val="left" w:pos="284"/>
        </w:tabs>
        <w:spacing w:after="0" w:line="240" w:lineRule="auto"/>
        <w:contextualSpacing/>
        <w:jc w:val="both"/>
        <w:rPr>
          <w:rFonts w:ascii="Arial" w:eastAsia="Calibri" w:hAnsi="Arial" w:cs="Arial"/>
          <w:color w:val="000000" w:themeColor="text1"/>
        </w:rPr>
      </w:pPr>
    </w:p>
    <w:p w14:paraId="28AC6DFE" w14:textId="274F991E" w:rsidR="00F01003" w:rsidRDefault="00F01003" w:rsidP="00F01003">
      <w:pPr>
        <w:autoSpaceDE w:val="0"/>
        <w:autoSpaceDN w:val="0"/>
        <w:adjustRightInd w:val="0"/>
        <w:spacing w:after="0" w:line="240" w:lineRule="auto"/>
        <w:jc w:val="both"/>
        <w:rPr>
          <w:rFonts w:ascii="Arial" w:hAnsi="Arial" w:cs="Arial"/>
          <w:color w:val="000000" w:themeColor="text1"/>
        </w:rPr>
      </w:pPr>
      <w:r w:rsidRPr="00DD0DA7">
        <w:rPr>
          <w:rFonts w:ascii="Arial" w:eastAsia="Calibri" w:hAnsi="Arial" w:cs="Arial"/>
          <w:color w:val="000000" w:themeColor="text1"/>
          <w:lang w:val="es-MX"/>
        </w:rPr>
        <w:t xml:space="preserve">«[…] «[…] </w:t>
      </w:r>
      <w:r w:rsidRPr="00DD0DA7">
        <w:rPr>
          <w:rFonts w:ascii="Arial" w:hAnsi="Arial" w:cs="Arial"/>
          <w:color w:val="000000" w:themeColor="text1"/>
        </w:rPr>
        <w:t xml:space="preserve">interpretación de lo establecido en el artículo 2.2.1.2.4.2.14 Definición de emprendimientos y empresas de mujeres, decreto 1860 de 2021. Solicito a la agencia </w:t>
      </w:r>
      <w:r w:rsidR="0000270B" w:rsidRPr="00DD0DA7">
        <w:rPr>
          <w:rFonts w:ascii="Arial" w:hAnsi="Arial" w:cs="Arial"/>
          <w:color w:val="000000" w:themeColor="text1"/>
        </w:rPr>
        <w:t>pública</w:t>
      </w:r>
      <w:r w:rsidRPr="00DD0DA7">
        <w:rPr>
          <w:rFonts w:ascii="Arial" w:hAnsi="Arial" w:cs="Arial"/>
          <w:color w:val="000000" w:themeColor="text1"/>
        </w:rPr>
        <w:t xml:space="preserve"> de contratación CCE se aclare el contenido del numeral 2 del artículo en mención, ya que existen entidades en que se anexa el certificado mencionado en el </w:t>
      </w:r>
      <w:r w:rsidR="0000270B" w:rsidRPr="00DD0DA7">
        <w:rPr>
          <w:rFonts w:ascii="Arial" w:hAnsi="Arial" w:cs="Arial"/>
          <w:color w:val="000000" w:themeColor="text1"/>
        </w:rPr>
        <w:t>párrafo</w:t>
      </w:r>
      <w:r w:rsidRPr="00DD0DA7">
        <w:rPr>
          <w:rFonts w:ascii="Arial" w:hAnsi="Arial" w:cs="Arial"/>
          <w:color w:val="000000" w:themeColor="text1"/>
        </w:rPr>
        <w:t xml:space="preserve"> tercero del numeral dos del ARTÍCULO 2.2.1.2.4.2.14. que exige una certificación expedida por el representante legal y el revisor fiscal; y se presenta con frecuencia en pequeñas empresas que estas solo tiene dos cargos en el nivel directivo, entre los cuales se encuentra el representante legal que se acredita con el certificado de existencia y representación legal y otro cargo como por </w:t>
      </w:r>
      <w:proofErr w:type="spellStart"/>
      <w:r w:rsidRPr="00DD0DA7">
        <w:rPr>
          <w:rFonts w:ascii="Arial" w:hAnsi="Arial" w:cs="Arial"/>
          <w:color w:val="000000" w:themeColor="text1"/>
        </w:rPr>
        <w:t>ej</w:t>
      </w:r>
      <w:proofErr w:type="spellEnd"/>
      <w:r w:rsidRPr="00DD0DA7">
        <w:rPr>
          <w:rFonts w:ascii="Arial" w:hAnsi="Arial" w:cs="Arial"/>
          <w:color w:val="000000" w:themeColor="text1"/>
        </w:rPr>
        <w:t xml:space="preserve">, jefe de talento </w:t>
      </w:r>
      <w:r w:rsidRPr="00DD0DA7">
        <w:rPr>
          <w:rFonts w:ascii="Arial" w:hAnsi="Arial" w:cs="Arial"/>
          <w:color w:val="000000" w:themeColor="text1"/>
        </w:rPr>
        <w:lastRenderedPageBreak/>
        <w:t xml:space="preserve">humano, jefatura de compras, contratación etc... para obtener el beneficio de que trata el artículo </w:t>
      </w:r>
      <w:proofErr w:type="spellStart"/>
      <w:r w:rsidRPr="00DD0DA7">
        <w:rPr>
          <w:rFonts w:ascii="Arial" w:hAnsi="Arial" w:cs="Arial"/>
          <w:color w:val="000000" w:themeColor="text1"/>
        </w:rPr>
        <w:t>ARTÍCULO</w:t>
      </w:r>
      <w:proofErr w:type="spellEnd"/>
      <w:r w:rsidRPr="00DD0DA7">
        <w:rPr>
          <w:rFonts w:ascii="Arial" w:hAnsi="Arial" w:cs="Arial"/>
          <w:color w:val="000000" w:themeColor="text1"/>
        </w:rPr>
        <w:t xml:space="preserve"> 2.2.1.2.4.2.14., si por ejemplo la personal encarga de la dirección de talento humano, es mujer y lleva en la empresa con ese cargo </w:t>
      </w:r>
      <w:r w:rsidR="0000270B" w:rsidRPr="00DD0DA7">
        <w:rPr>
          <w:rFonts w:ascii="Arial" w:hAnsi="Arial" w:cs="Arial"/>
          <w:color w:val="000000" w:themeColor="text1"/>
        </w:rPr>
        <w:t>más</w:t>
      </w:r>
      <w:r w:rsidRPr="00DD0DA7">
        <w:rPr>
          <w:rFonts w:ascii="Arial" w:hAnsi="Arial" w:cs="Arial"/>
          <w:color w:val="000000" w:themeColor="text1"/>
        </w:rPr>
        <w:t xml:space="preserve"> de un año, para obtener el incentivo de 0,25 puntos es necesario que se entreguen la planillas de pago de los </w:t>
      </w:r>
      <w:r w:rsidR="0000270B" w:rsidRPr="00DD0DA7">
        <w:rPr>
          <w:rFonts w:ascii="Arial" w:hAnsi="Arial" w:cs="Arial"/>
          <w:color w:val="000000" w:themeColor="text1"/>
        </w:rPr>
        <w:t>últimos</w:t>
      </w:r>
      <w:r w:rsidRPr="00DD0DA7">
        <w:rPr>
          <w:rFonts w:ascii="Arial" w:hAnsi="Arial" w:cs="Arial"/>
          <w:color w:val="000000" w:themeColor="text1"/>
        </w:rPr>
        <w:t xml:space="preserve"> 12 meses tanto de la encargada de la dirección de talento humano quien es mujer, así como del representante legal de la empresa quien es hombre, o basta solamente con entregar el certificado de aportes a seguridad social del personal del nivel directivo que ocupan </w:t>
      </w:r>
      <w:r w:rsidR="0000270B" w:rsidRPr="00DD0DA7">
        <w:rPr>
          <w:rFonts w:ascii="Arial" w:hAnsi="Arial" w:cs="Arial"/>
          <w:color w:val="000000" w:themeColor="text1"/>
        </w:rPr>
        <w:t>más</w:t>
      </w:r>
      <w:r w:rsidRPr="00DD0DA7">
        <w:rPr>
          <w:rFonts w:ascii="Arial" w:hAnsi="Arial" w:cs="Arial"/>
          <w:color w:val="000000" w:themeColor="text1"/>
        </w:rPr>
        <w:t xml:space="preserve"> del 50% de los empleos ocupados por mujeres, es decir si el representante legal es hombre ocupa el 50% de los cargos de nivel directivo y NO aparece en los certificados de aportes al sistema de seguridad social de la empresa, y solamente aparecen los cargos de nivel directivo que demuestran la participación del otro 50% ocupado por mujeres estas empresas no obtienen el incentivo de 0,25 puntos (sic)?</w:t>
      </w:r>
      <w:r w:rsidRPr="00DD0DA7">
        <w:rPr>
          <w:rFonts w:ascii="Arial" w:eastAsia="Calibri" w:hAnsi="Arial" w:cs="Arial"/>
          <w:color w:val="000000" w:themeColor="text1"/>
          <w:lang w:val="es-MX"/>
        </w:rPr>
        <w:t>»</w:t>
      </w:r>
      <w:bookmarkStart w:id="8" w:name="_Hlk94281581"/>
    </w:p>
    <w:p w14:paraId="7A048150" w14:textId="77777777" w:rsidR="00F01003" w:rsidRDefault="00F01003" w:rsidP="00F01003">
      <w:pPr>
        <w:autoSpaceDE w:val="0"/>
        <w:autoSpaceDN w:val="0"/>
        <w:adjustRightInd w:val="0"/>
        <w:spacing w:after="0" w:line="240" w:lineRule="auto"/>
        <w:jc w:val="both"/>
        <w:rPr>
          <w:rFonts w:ascii="Arial" w:hAnsi="Arial" w:cs="Arial"/>
          <w:color w:val="000000" w:themeColor="text1"/>
        </w:rPr>
      </w:pPr>
    </w:p>
    <w:p w14:paraId="19E1C450" w14:textId="77777777" w:rsidR="00F01003" w:rsidRPr="00295428" w:rsidRDefault="00F01003" w:rsidP="00F01003">
      <w:pPr>
        <w:autoSpaceDE w:val="0"/>
        <w:autoSpaceDN w:val="0"/>
        <w:adjustRightInd w:val="0"/>
        <w:spacing w:after="0" w:line="240" w:lineRule="auto"/>
        <w:jc w:val="both"/>
        <w:rPr>
          <w:rFonts w:ascii="Arial" w:hAnsi="Arial" w:cs="Arial"/>
          <w:color w:val="000000" w:themeColor="text1"/>
        </w:rPr>
      </w:pPr>
      <w:r w:rsidRPr="06AB0E7F">
        <w:rPr>
          <w:rFonts w:ascii="Arial" w:eastAsia="Calibri" w:hAnsi="Arial" w:cs="Arial"/>
          <w:color w:val="000000" w:themeColor="text1"/>
          <w:lang w:val="es-MX"/>
        </w:rPr>
        <w:t xml:space="preserve">De conformidad con lo expuesto, los criterios diferenciales en favor de emprendimientos y empresas de mujeres incorporados por el artículo 32 de la Ley 2069 de 2020 y reglamentados mediante el Decreto 1860 de 2021, únicamente, le </w:t>
      </w:r>
      <w:r w:rsidRPr="06AB0E7F">
        <w:rPr>
          <w:rFonts w:ascii="Arial" w:eastAsia="Calibri" w:hAnsi="Arial" w:cs="Arial"/>
          <w:lang w:val="es-MX"/>
        </w:rPr>
        <w:t>son aplicables a los proponentes que acrediten alguna de las condiciones señaladas en el artículo 2.2.1.2.4.2.14 del Decreto 1082 de 2015, mediante el cual se definió el concepto de ‘emprendimientos y empresas de mujeres</w:t>
      </w:r>
      <w:proofErr w:type="gramStart"/>
      <w:r w:rsidRPr="06AB0E7F">
        <w:rPr>
          <w:rFonts w:ascii="Arial" w:eastAsia="Calibri" w:hAnsi="Arial" w:cs="Arial"/>
          <w:lang w:val="es-MX"/>
        </w:rPr>
        <w:t>’..</w:t>
      </w:r>
      <w:proofErr w:type="gramEnd"/>
      <w:r w:rsidRPr="06AB0E7F">
        <w:rPr>
          <w:rFonts w:ascii="Arial" w:eastAsia="Calibri" w:hAnsi="Arial" w:cs="Arial"/>
          <w:lang w:val="es-MX"/>
        </w:rPr>
        <w:t xml:space="preserve"> De acuerdo con lo establecido en el numeral 2 de la disposición anterior, para ser considerada como un emprendimiento o empresa de mujeres, se debe acreditar </w:t>
      </w:r>
      <w:r w:rsidRPr="06AB0E7F">
        <w:rPr>
          <w:rFonts w:ascii="Arial" w:eastAsia="Calibri" w:hAnsi="Arial" w:cs="Arial"/>
          <w:lang w:val="es-ES"/>
        </w:rPr>
        <w:t xml:space="preserve">que al </w:t>
      </w:r>
      <w:r w:rsidRPr="06AB0E7F">
        <w:rPr>
          <w:rFonts w:ascii="Arial" w:eastAsia="Calibri" w:hAnsi="Arial" w:cs="Arial"/>
          <w:lang w:val="es-MX"/>
        </w:rPr>
        <w:t xml:space="preserve">menos el cincuenta por ciento (50%) de los empleos del nivel directivo de la persona jurídica sean ejercidos por mujeres y éstas hayan estado vinculadas laboralmente a la empresa durante al menos el último año anterior a la fecha de cierre del Proceso de Contratación en el mismo cargo u otro del mismo nivel, cuyo requisito se acredita con una certificación emitida por el Representante Legal y el Revisor Fiscal o Contador según corresponda, </w:t>
      </w:r>
      <w:r w:rsidRPr="06AB0E7F">
        <w:rPr>
          <w:rFonts w:ascii="Arial" w:eastAsia="Times New Roman" w:hAnsi="Arial" w:cs="Arial"/>
          <w:lang w:val="es-MX" w:eastAsia="es-CO"/>
        </w:rPr>
        <w:t xml:space="preserve">la cual debe contener la información y anexos establecidos en el numeral 2 del artículo </w:t>
      </w:r>
      <w:r w:rsidRPr="06AB0E7F">
        <w:rPr>
          <w:rFonts w:ascii="Arial" w:eastAsia="Calibri" w:hAnsi="Arial" w:cs="Arial"/>
          <w:lang w:val="es-MX"/>
        </w:rPr>
        <w:t>2.2.1.2.4.2.14 del Decreto 1082 de 2015</w:t>
      </w:r>
      <w:r w:rsidRPr="06AB0E7F">
        <w:rPr>
          <w:rFonts w:ascii="Arial" w:eastAsia="Times New Roman" w:hAnsi="Arial" w:cs="Arial"/>
          <w:lang w:val="es-MX" w:eastAsia="es-CO"/>
        </w:rPr>
        <w:t xml:space="preserve"> </w:t>
      </w:r>
      <w:r w:rsidRPr="06AB0E7F">
        <w:rPr>
          <w:rFonts w:ascii="Arial" w:eastAsia="Times New Roman" w:hAnsi="Arial" w:cs="Arial"/>
          <w:lang w:eastAsia="es-CO"/>
        </w:rPr>
        <w:t xml:space="preserve">. </w:t>
      </w:r>
    </w:p>
    <w:p w14:paraId="0534FA6C" w14:textId="77777777" w:rsidR="00F01003" w:rsidRPr="00DD0DA7" w:rsidRDefault="00F01003" w:rsidP="00F01003">
      <w:pPr>
        <w:spacing w:after="0" w:line="240" w:lineRule="auto"/>
        <w:contextualSpacing/>
        <w:jc w:val="both"/>
        <w:rPr>
          <w:rFonts w:ascii="Arial" w:eastAsia="Calibri" w:hAnsi="Arial" w:cs="Arial"/>
          <w:color w:val="000000" w:themeColor="text1"/>
          <w:lang w:val="es-MX"/>
        </w:rPr>
      </w:pPr>
    </w:p>
    <w:p w14:paraId="5C77AE0A" w14:textId="77777777" w:rsidR="00F01003" w:rsidRDefault="00F01003" w:rsidP="00F01003">
      <w:pPr>
        <w:spacing w:after="0" w:line="240" w:lineRule="auto"/>
        <w:contextualSpacing/>
        <w:jc w:val="both"/>
        <w:rPr>
          <w:rFonts w:ascii="Arial" w:eastAsia="Calibri" w:hAnsi="Arial" w:cs="Arial"/>
          <w:color w:val="000000" w:themeColor="text1"/>
          <w:lang w:val="es-MX"/>
        </w:rPr>
      </w:pPr>
    </w:p>
    <w:p w14:paraId="765CA74C" w14:textId="77777777" w:rsidR="00F01003" w:rsidRPr="00DD0DA7" w:rsidRDefault="00F01003" w:rsidP="00F01003">
      <w:pPr>
        <w:spacing w:after="0" w:line="240" w:lineRule="auto"/>
        <w:contextualSpacing/>
        <w:jc w:val="both"/>
        <w:rPr>
          <w:rFonts w:ascii="Arial" w:eastAsia="Calibri" w:hAnsi="Arial" w:cs="Arial"/>
          <w:color w:val="000000" w:themeColor="text1"/>
          <w:lang w:val="es-MX"/>
        </w:rPr>
      </w:pPr>
      <w:r w:rsidRPr="00DD0DA7">
        <w:rPr>
          <w:rFonts w:ascii="Arial" w:eastAsia="Calibri" w:hAnsi="Arial" w:cs="Arial"/>
          <w:color w:val="000000" w:themeColor="text1"/>
          <w:lang w:val="es-MX"/>
        </w:rPr>
        <w:t>Este concepto tiene el alcance previsto en el artículo 28 del Código de Procedimiento Administrativo y de lo Contencioso Administrativo.</w:t>
      </w:r>
    </w:p>
    <w:p w14:paraId="5B8AFD80" w14:textId="77777777" w:rsidR="00F01003" w:rsidRPr="00DD0DA7" w:rsidRDefault="00F01003" w:rsidP="00F01003">
      <w:pPr>
        <w:spacing w:after="0" w:line="240" w:lineRule="auto"/>
        <w:contextualSpacing/>
        <w:jc w:val="both"/>
        <w:rPr>
          <w:rFonts w:ascii="Arial" w:eastAsia="Calibri" w:hAnsi="Arial" w:cs="Arial"/>
          <w:color w:val="000000" w:themeColor="text1"/>
          <w:lang w:val="es-MX"/>
        </w:rPr>
      </w:pPr>
    </w:p>
    <w:bookmarkEnd w:id="8"/>
    <w:p w14:paraId="7B993171" w14:textId="27E1787B" w:rsidR="00F01003" w:rsidRPr="00DD0DA7" w:rsidRDefault="00F01003" w:rsidP="00F751B0">
      <w:pPr>
        <w:spacing w:after="0" w:line="240" w:lineRule="auto"/>
        <w:contextualSpacing/>
        <w:jc w:val="both"/>
        <w:rPr>
          <w:rFonts w:ascii="Arial" w:hAnsi="Arial" w:cs="Arial"/>
          <w:b/>
          <w:color w:val="000000" w:themeColor="text1"/>
          <w:lang w:val="es-ES"/>
        </w:rPr>
      </w:pPr>
      <w:r w:rsidRPr="00DD0DA7">
        <w:rPr>
          <w:rFonts w:ascii="Arial" w:eastAsia="Calibri" w:hAnsi="Arial" w:cs="Arial"/>
          <w:color w:val="000000" w:themeColor="text1"/>
          <w:lang w:val="es-MX"/>
        </w:rPr>
        <w:t>Atentamente,</w:t>
      </w:r>
      <w:r w:rsidRPr="00DD0DA7">
        <w:rPr>
          <w:rFonts w:ascii="Arial" w:eastAsia="Calibri" w:hAnsi="Arial" w:cs="Arial"/>
          <w:color w:val="000000" w:themeColor="text1"/>
        </w:rPr>
        <w:t xml:space="preserve"> </w:t>
      </w:r>
    </w:p>
    <w:p w14:paraId="3F0AA6F9" w14:textId="6DCD8CE5" w:rsidR="00F01003" w:rsidRPr="00DD0DA7" w:rsidRDefault="00B20684" w:rsidP="00F01003">
      <w:pPr>
        <w:spacing w:line="276" w:lineRule="auto"/>
        <w:jc w:val="center"/>
        <w:textAlignment w:val="baseline"/>
        <w:rPr>
          <w:rFonts w:ascii="Arial" w:eastAsia="Calibri" w:hAnsi="Arial" w:cs="Arial"/>
          <w:color w:val="000000" w:themeColor="text1"/>
          <w:lang w:val="es-ES"/>
        </w:rPr>
      </w:pPr>
      <w:r>
        <w:rPr>
          <w:noProof/>
        </w:rPr>
        <w:drawing>
          <wp:inline distT="0" distB="0" distL="0" distR="0" wp14:anchorId="01A327EE" wp14:editId="6B3F76F4">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3"/>
                    <a:stretch>
                      <a:fillRect/>
                    </a:stretch>
                  </pic:blipFill>
                  <pic:spPr>
                    <a:xfrm>
                      <a:off x="0" y="0"/>
                      <a:ext cx="2785707" cy="1068836"/>
                    </a:xfrm>
                    <a:prstGeom prst="rect">
                      <a:avLst/>
                    </a:prstGeom>
                  </pic:spPr>
                </pic:pic>
              </a:graphicData>
            </a:graphic>
          </wp:inline>
        </w:drawing>
      </w:r>
      <w:r w:rsidR="00F01003" w:rsidRPr="00DD0DA7">
        <w:rPr>
          <w:rFonts w:ascii="Arial" w:eastAsia="Calibri" w:hAnsi="Arial" w:cs="Arial"/>
          <w:color w:val="000000" w:themeColor="text1"/>
          <w:sz w:val="16"/>
          <w:szCs w:val="16"/>
          <w:lang w:val="es-ES"/>
        </w:rPr>
        <w:t>  </w:t>
      </w:r>
    </w:p>
    <w:p w14:paraId="16B48017" w14:textId="77777777" w:rsidR="00F01003" w:rsidRPr="00DD0DA7" w:rsidRDefault="00F01003" w:rsidP="00F01003">
      <w:pPr>
        <w:spacing w:after="0" w:line="276" w:lineRule="auto"/>
        <w:jc w:val="center"/>
        <w:textAlignment w:val="baseline"/>
        <w:rPr>
          <w:rFonts w:ascii="Arial" w:eastAsia="Calibri" w:hAnsi="Arial" w:cs="Arial"/>
          <w:color w:val="000000" w:themeColor="text1"/>
          <w:sz w:val="16"/>
          <w:szCs w:val="16"/>
          <w:lang w:val="es-ES"/>
        </w:rPr>
      </w:pPr>
      <w:r w:rsidRPr="00DD0DA7">
        <w:rPr>
          <w:rFonts w:ascii="Arial" w:eastAsia="Calibri" w:hAnsi="Arial" w:cs="Arial"/>
          <w:color w:val="000000" w:themeColor="text1"/>
          <w:sz w:val="16"/>
          <w:szCs w:val="16"/>
          <w:lang w:val="es-E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4410"/>
      </w:tblGrid>
      <w:tr w:rsidR="00F01003" w:rsidRPr="00DD0DA7" w14:paraId="46E8971F" w14:textId="77777777" w:rsidTr="00773D00">
        <w:trPr>
          <w:trHeight w:val="315"/>
        </w:trPr>
        <w:tc>
          <w:tcPr>
            <w:tcW w:w="810" w:type="dxa"/>
            <w:tcBorders>
              <w:top w:val="nil"/>
              <w:left w:val="nil"/>
              <w:bottom w:val="nil"/>
              <w:right w:val="nil"/>
            </w:tcBorders>
            <w:shd w:val="clear" w:color="auto" w:fill="auto"/>
            <w:vAlign w:val="center"/>
            <w:hideMark/>
          </w:tcPr>
          <w:p w14:paraId="25A2BFD5" w14:textId="77777777" w:rsidR="00F01003" w:rsidRPr="00DD0DA7" w:rsidRDefault="00F01003" w:rsidP="00773D00">
            <w:pPr>
              <w:spacing w:after="0" w:line="276" w:lineRule="auto"/>
              <w:textAlignment w:val="baseline"/>
              <w:rPr>
                <w:rFonts w:ascii="Arial" w:eastAsia="Calibri" w:hAnsi="Arial" w:cs="Arial"/>
                <w:color w:val="000000" w:themeColor="text1"/>
                <w:sz w:val="16"/>
                <w:szCs w:val="16"/>
                <w:lang w:val="es-ES"/>
              </w:rPr>
            </w:pPr>
            <w:r w:rsidRPr="00DD0DA7">
              <w:rPr>
                <w:rFonts w:ascii="Arial" w:eastAsia="Calibri" w:hAnsi="Arial" w:cs="Arial"/>
                <w:color w:val="000000" w:themeColor="text1"/>
                <w:sz w:val="16"/>
                <w:szCs w:val="16"/>
                <w:lang w:val="es-ES"/>
              </w:rPr>
              <w:t>Elaboró:   </w:t>
            </w:r>
          </w:p>
        </w:tc>
        <w:tc>
          <w:tcPr>
            <w:tcW w:w="4410" w:type="dxa"/>
            <w:tcBorders>
              <w:top w:val="nil"/>
              <w:left w:val="nil"/>
              <w:bottom w:val="dotted" w:sz="6" w:space="0" w:color="7F7F7F"/>
              <w:right w:val="nil"/>
            </w:tcBorders>
            <w:shd w:val="clear" w:color="auto" w:fill="auto"/>
            <w:vAlign w:val="center"/>
            <w:hideMark/>
          </w:tcPr>
          <w:p w14:paraId="6FA6212C" w14:textId="77777777" w:rsidR="00F01003" w:rsidRPr="00DD0DA7" w:rsidRDefault="00F01003" w:rsidP="00773D00">
            <w:pPr>
              <w:spacing w:after="0" w:line="276" w:lineRule="auto"/>
              <w:textAlignment w:val="baseline"/>
              <w:rPr>
                <w:rFonts w:ascii="Arial" w:eastAsia="Calibri" w:hAnsi="Arial" w:cs="Arial"/>
                <w:color w:val="000000" w:themeColor="text1"/>
                <w:sz w:val="16"/>
                <w:szCs w:val="16"/>
              </w:rPr>
            </w:pPr>
            <w:r w:rsidRPr="00DD0DA7">
              <w:rPr>
                <w:rFonts w:ascii="Arial" w:eastAsia="Calibri" w:hAnsi="Arial" w:cs="Arial"/>
                <w:color w:val="000000" w:themeColor="text1"/>
                <w:sz w:val="16"/>
                <w:szCs w:val="16"/>
              </w:rPr>
              <w:t xml:space="preserve">Valeska Medellín Mora </w:t>
            </w:r>
          </w:p>
          <w:p w14:paraId="53538A2C" w14:textId="77777777" w:rsidR="00F01003" w:rsidRPr="00DD0DA7" w:rsidRDefault="00F01003" w:rsidP="00773D00">
            <w:pPr>
              <w:spacing w:after="0" w:line="276" w:lineRule="auto"/>
              <w:textAlignment w:val="baseline"/>
              <w:rPr>
                <w:rFonts w:ascii="Arial" w:eastAsia="Calibri" w:hAnsi="Arial" w:cs="Arial"/>
                <w:color w:val="000000" w:themeColor="text1"/>
                <w:sz w:val="16"/>
                <w:szCs w:val="16"/>
              </w:rPr>
            </w:pPr>
            <w:r w:rsidRPr="00DD0DA7">
              <w:rPr>
                <w:rFonts w:ascii="Arial" w:eastAsia="Calibri" w:hAnsi="Arial" w:cs="Arial"/>
                <w:color w:val="000000" w:themeColor="text1"/>
                <w:sz w:val="16"/>
                <w:szCs w:val="16"/>
              </w:rPr>
              <w:t>Gestor T1-15 de la Subdirección de Gestión Contractual</w:t>
            </w:r>
          </w:p>
        </w:tc>
      </w:tr>
      <w:tr w:rsidR="00F01003" w:rsidRPr="00DD0DA7" w14:paraId="6733E731" w14:textId="77777777" w:rsidTr="00773D00">
        <w:trPr>
          <w:trHeight w:val="315"/>
        </w:trPr>
        <w:tc>
          <w:tcPr>
            <w:tcW w:w="810" w:type="dxa"/>
            <w:tcBorders>
              <w:top w:val="nil"/>
              <w:left w:val="nil"/>
              <w:bottom w:val="nil"/>
              <w:right w:val="nil"/>
            </w:tcBorders>
            <w:shd w:val="clear" w:color="auto" w:fill="auto"/>
            <w:vAlign w:val="center"/>
            <w:hideMark/>
          </w:tcPr>
          <w:p w14:paraId="63FA51A2" w14:textId="77777777" w:rsidR="00F01003" w:rsidRPr="00DD0DA7" w:rsidRDefault="00F01003" w:rsidP="00773D00">
            <w:pPr>
              <w:spacing w:after="0" w:line="276" w:lineRule="auto"/>
              <w:textAlignment w:val="baseline"/>
              <w:rPr>
                <w:rFonts w:ascii="Arial" w:eastAsia="Calibri" w:hAnsi="Arial" w:cs="Arial"/>
                <w:color w:val="000000" w:themeColor="text1"/>
                <w:sz w:val="16"/>
                <w:szCs w:val="16"/>
                <w:lang w:val="es-ES"/>
              </w:rPr>
            </w:pPr>
            <w:r w:rsidRPr="00DD0DA7">
              <w:rPr>
                <w:rFonts w:ascii="Arial" w:eastAsia="Calibri" w:hAnsi="Arial" w:cs="Arial"/>
                <w:color w:val="000000" w:themeColor="text1"/>
                <w:sz w:val="16"/>
                <w:szCs w:val="16"/>
                <w:lang w:val="es-ES"/>
              </w:rPr>
              <w:t>Revisó:   </w:t>
            </w:r>
          </w:p>
        </w:tc>
        <w:tc>
          <w:tcPr>
            <w:tcW w:w="4410" w:type="dxa"/>
            <w:tcBorders>
              <w:top w:val="dotted" w:sz="6" w:space="0" w:color="7F7F7F"/>
              <w:left w:val="nil"/>
              <w:bottom w:val="dotted" w:sz="6" w:space="0" w:color="7F7F7F"/>
              <w:right w:val="nil"/>
            </w:tcBorders>
            <w:shd w:val="clear" w:color="auto" w:fill="auto"/>
            <w:vAlign w:val="center"/>
            <w:hideMark/>
          </w:tcPr>
          <w:p w14:paraId="151A97BC" w14:textId="77777777" w:rsidR="00F01003" w:rsidRPr="00DD0DA7" w:rsidRDefault="00F01003" w:rsidP="00773D00">
            <w:pPr>
              <w:spacing w:after="0" w:line="276" w:lineRule="auto"/>
              <w:textAlignment w:val="baseline"/>
              <w:rPr>
                <w:rFonts w:ascii="Arial" w:eastAsia="Calibri" w:hAnsi="Arial" w:cs="Arial"/>
                <w:color w:val="000000" w:themeColor="text1"/>
                <w:sz w:val="16"/>
                <w:szCs w:val="16"/>
                <w:lang w:val="es-ES_tradnl"/>
              </w:rPr>
            </w:pPr>
            <w:r w:rsidRPr="00DD0DA7">
              <w:rPr>
                <w:rFonts w:ascii="Arial" w:eastAsia="Calibri" w:hAnsi="Arial" w:cs="Arial"/>
                <w:color w:val="000000" w:themeColor="text1"/>
                <w:sz w:val="16"/>
                <w:szCs w:val="16"/>
                <w:lang w:val="es-ES_tradnl"/>
              </w:rPr>
              <w:t xml:space="preserve">Diana </w:t>
            </w:r>
            <w:r>
              <w:rPr>
                <w:rFonts w:ascii="Arial" w:eastAsia="Calibri" w:hAnsi="Arial" w:cs="Arial"/>
                <w:color w:val="000000" w:themeColor="text1"/>
                <w:sz w:val="16"/>
                <w:szCs w:val="16"/>
                <w:lang w:val="es-ES_tradnl"/>
              </w:rPr>
              <w:t xml:space="preserve">Carolina </w:t>
            </w:r>
            <w:r w:rsidRPr="00DD0DA7">
              <w:rPr>
                <w:rFonts w:ascii="Arial" w:eastAsia="Calibri" w:hAnsi="Arial" w:cs="Arial"/>
                <w:color w:val="000000" w:themeColor="text1"/>
                <w:sz w:val="16"/>
                <w:szCs w:val="16"/>
                <w:lang w:val="es-ES_tradnl"/>
              </w:rPr>
              <w:t>Armenta Celis</w:t>
            </w:r>
          </w:p>
          <w:p w14:paraId="383BBFA5" w14:textId="77777777" w:rsidR="00F01003" w:rsidRPr="00DD0DA7" w:rsidRDefault="00F01003" w:rsidP="00773D00">
            <w:pPr>
              <w:spacing w:after="0" w:line="276" w:lineRule="auto"/>
              <w:textAlignment w:val="baseline"/>
              <w:rPr>
                <w:rFonts w:ascii="Arial" w:eastAsia="Calibri" w:hAnsi="Arial" w:cs="Arial"/>
                <w:color w:val="000000" w:themeColor="text1"/>
                <w:sz w:val="16"/>
                <w:szCs w:val="16"/>
                <w:lang w:val="es-ES_tradnl"/>
              </w:rPr>
            </w:pPr>
            <w:r w:rsidRPr="00DD0DA7">
              <w:rPr>
                <w:rFonts w:ascii="Arial" w:eastAsia="Calibri" w:hAnsi="Arial" w:cs="Arial"/>
                <w:color w:val="000000" w:themeColor="text1"/>
                <w:sz w:val="16"/>
                <w:szCs w:val="16"/>
              </w:rPr>
              <w:t>Contratista de la Subdirección de Gestión Contractual</w:t>
            </w:r>
          </w:p>
        </w:tc>
      </w:tr>
      <w:tr w:rsidR="00F01003" w:rsidRPr="00DD0DA7" w14:paraId="645C433A" w14:textId="77777777" w:rsidTr="00773D00">
        <w:trPr>
          <w:trHeight w:val="300"/>
        </w:trPr>
        <w:tc>
          <w:tcPr>
            <w:tcW w:w="810" w:type="dxa"/>
            <w:tcBorders>
              <w:top w:val="nil"/>
              <w:left w:val="nil"/>
              <w:bottom w:val="nil"/>
              <w:right w:val="nil"/>
            </w:tcBorders>
            <w:shd w:val="clear" w:color="auto" w:fill="auto"/>
            <w:vAlign w:val="center"/>
            <w:hideMark/>
          </w:tcPr>
          <w:p w14:paraId="4D39433A" w14:textId="77777777" w:rsidR="00F01003" w:rsidRPr="00DD0DA7" w:rsidRDefault="00F01003" w:rsidP="00773D00">
            <w:pPr>
              <w:spacing w:after="0" w:line="276" w:lineRule="auto"/>
              <w:textAlignment w:val="baseline"/>
              <w:rPr>
                <w:rFonts w:ascii="Arial" w:eastAsia="Calibri" w:hAnsi="Arial" w:cs="Arial"/>
                <w:color w:val="000000" w:themeColor="text1"/>
                <w:sz w:val="16"/>
                <w:szCs w:val="16"/>
                <w:lang w:val="es-ES"/>
              </w:rPr>
            </w:pPr>
            <w:r w:rsidRPr="00DD0DA7">
              <w:rPr>
                <w:rFonts w:ascii="Arial" w:eastAsia="Calibri" w:hAnsi="Arial" w:cs="Arial"/>
                <w:color w:val="000000" w:themeColor="text1"/>
                <w:sz w:val="16"/>
                <w:szCs w:val="16"/>
                <w:lang w:val="es-ES"/>
              </w:rPr>
              <w:t>Aprobó:   </w:t>
            </w:r>
          </w:p>
        </w:tc>
        <w:tc>
          <w:tcPr>
            <w:tcW w:w="4410" w:type="dxa"/>
            <w:tcBorders>
              <w:top w:val="dotted" w:sz="6" w:space="0" w:color="7F7F7F"/>
              <w:left w:val="nil"/>
              <w:bottom w:val="dotted" w:sz="6" w:space="0" w:color="7F7F7F"/>
              <w:right w:val="nil"/>
            </w:tcBorders>
            <w:shd w:val="clear" w:color="auto" w:fill="auto"/>
            <w:vAlign w:val="center"/>
            <w:hideMark/>
          </w:tcPr>
          <w:p w14:paraId="28D4EEA6" w14:textId="77777777" w:rsidR="00F01003" w:rsidRPr="00DD0DA7" w:rsidRDefault="00F01003" w:rsidP="00773D00">
            <w:pPr>
              <w:spacing w:after="0" w:line="276" w:lineRule="auto"/>
              <w:textAlignment w:val="baseline"/>
              <w:rPr>
                <w:rFonts w:ascii="Arial" w:eastAsia="Calibri" w:hAnsi="Arial" w:cs="Arial"/>
                <w:color w:val="000000" w:themeColor="text1"/>
                <w:sz w:val="16"/>
                <w:szCs w:val="16"/>
                <w:lang w:val="es-ES_tradnl"/>
              </w:rPr>
            </w:pPr>
            <w:r w:rsidRPr="00DD0DA7">
              <w:rPr>
                <w:rFonts w:ascii="Arial" w:eastAsia="Calibri" w:hAnsi="Arial" w:cs="Arial"/>
                <w:color w:val="000000" w:themeColor="text1"/>
                <w:sz w:val="16"/>
                <w:szCs w:val="16"/>
                <w:lang w:val="es-ES_tradnl"/>
              </w:rPr>
              <w:t xml:space="preserve">Nohelia del Carmen </w:t>
            </w:r>
            <w:proofErr w:type="spellStart"/>
            <w:r w:rsidRPr="00DD0DA7">
              <w:rPr>
                <w:rFonts w:ascii="Arial" w:eastAsia="Calibri" w:hAnsi="Arial" w:cs="Arial"/>
                <w:color w:val="000000" w:themeColor="text1"/>
                <w:sz w:val="16"/>
                <w:szCs w:val="16"/>
                <w:lang w:val="es-ES_tradnl"/>
              </w:rPr>
              <w:t>Zawady</w:t>
            </w:r>
            <w:proofErr w:type="spellEnd"/>
            <w:r w:rsidRPr="00DD0DA7">
              <w:rPr>
                <w:rFonts w:ascii="Arial" w:eastAsia="Calibri" w:hAnsi="Arial" w:cs="Arial"/>
                <w:color w:val="000000" w:themeColor="text1"/>
                <w:sz w:val="16"/>
                <w:szCs w:val="16"/>
                <w:lang w:val="es-ES_tradnl"/>
              </w:rPr>
              <w:t xml:space="preserve"> Palacio</w:t>
            </w:r>
          </w:p>
          <w:p w14:paraId="0BD42356" w14:textId="77777777" w:rsidR="00F01003" w:rsidRPr="00DD0DA7" w:rsidRDefault="00F01003" w:rsidP="00773D00">
            <w:pPr>
              <w:spacing w:after="0" w:line="276" w:lineRule="auto"/>
              <w:textAlignment w:val="baseline"/>
              <w:rPr>
                <w:rFonts w:ascii="Arial" w:eastAsia="Calibri" w:hAnsi="Arial" w:cs="Arial"/>
                <w:color w:val="000000" w:themeColor="text1"/>
                <w:sz w:val="16"/>
                <w:szCs w:val="16"/>
                <w:lang w:val="es-ES"/>
              </w:rPr>
            </w:pPr>
            <w:r w:rsidRPr="00DD0DA7">
              <w:rPr>
                <w:rFonts w:ascii="Arial" w:eastAsia="Calibri" w:hAnsi="Arial" w:cs="Arial"/>
                <w:color w:val="000000" w:themeColor="text1"/>
                <w:sz w:val="16"/>
                <w:szCs w:val="16"/>
                <w:lang w:val="es-ES_tradnl"/>
              </w:rPr>
              <w:t>Subdirectora de Gestión Contractual ANCP-CCE</w:t>
            </w:r>
          </w:p>
        </w:tc>
      </w:tr>
    </w:tbl>
    <w:p w14:paraId="0F293BF4" w14:textId="0F6FB6C1" w:rsidR="00127233" w:rsidRPr="00F01003" w:rsidRDefault="00127233" w:rsidP="00F751B0"/>
    <w:sectPr w:rsidR="00127233" w:rsidRPr="00F01003" w:rsidSect="0039439C">
      <w:headerReference w:type="default" r:id="rId14"/>
      <w:footerReference w:type="default" r:id="rId15"/>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C434F" w14:textId="77777777" w:rsidR="009F3A7C" w:rsidRDefault="009F3A7C" w:rsidP="004A1847">
      <w:pPr>
        <w:spacing w:after="0" w:line="240" w:lineRule="auto"/>
      </w:pPr>
      <w:r>
        <w:separator/>
      </w:r>
    </w:p>
  </w:endnote>
  <w:endnote w:type="continuationSeparator" w:id="0">
    <w:p w14:paraId="255D0CD2" w14:textId="77777777" w:rsidR="009F3A7C" w:rsidRDefault="009F3A7C" w:rsidP="004A1847">
      <w:pPr>
        <w:spacing w:after="0" w:line="240" w:lineRule="auto"/>
      </w:pPr>
      <w:r>
        <w:continuationSeparator/>
      </w:r>
    </w:p>
  </w:endnote>
  <w:endnote w:type="continuationNotice" w:id="1">
    <w:p w14:paraId="05E3CBF9" w14:textId="77777777" w:rsidR="009F3A7C" w:rsidRDefault="009F3A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panose1 w:val="00000000000000000000"/>
    <w:charset w:val="00"/>
    <w:family w:val="modern"/>
    <w:notTrueType/>
    <w:pitch w:val="variable"/>
    <w:sig w:usb0="A000002F" w:usb1="1000004A" w:usb2="00000000" w:usb3="00000000" w:csb0="00000193" w:csb1="00000000"/>
  </w:font>
  <w:font w:name="Arial Nova">
    <w:altName w:val="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0117F" w14:textId="77777777" w:rsidR="009F3A7C" w:rsidRDefault="009F3A7C" w:rsidP="004A1847">
      <w:pPr>
        <w:spacing w:after="0" w:line="240" w:lineRule="auto"/>
      </w:pPr>
      <w:r>
        <w:separator/>
      </w:r>
    </w:p>
  </w:footnote>
  <w:footnote w:type="continuationSeparator" w:id="0">
    <w:p w14:paraId="54FBBDE7" w14:textId="77777777" w:rsidR="009F3A7C" w:rsidRDefault="009F3A7C" w:rsidP="004A1847">
      <w:pPr>
        <w:spacing w:after="0" w:line="240" w:lineRule="auto"/>
      </w:pPr>
      <w:r>
        <w:continuationSeparator/>
      </w:r>
    </w:p>
  </w:footnote>
  <w:footnote w:type="continuationNotice" w:id="1">
    <w:p w14:paraId="1DC9E096" w14:textId="77777777" w:rsidR="009F3A7C" w:rsidRDefault="009F3A7C">
      <w:pPr>
        <w:spacing w:after="0" w:line="240" w:lineRule="auto"/>
      </w:pPr>
    </w:p>
  </w:footnote>
  <w:footnote w:id="2">
    <w:p w14:paraId="2ECBAD2F" w14:textId="77777777" w:rsidR="00F01003" w:rsidRPr="00E80894" w:rsidRDefault="00F01003" w:rsidP="00F01003">
      <w:pPr>
        <w:pStyle w:val="Textonotapie"/>
        <w:ind w:firstLine="709"/>
        <w:jc w:val="both"/>
        <w:rPr>
          <w:rFonts w:ascii="Arial" w:hAnsi="Arial" w:cs="Arial"/>
          <w:color w:val="000000" w:themeColor="text1"/>
          <w:sz w:val="19"/>
          <w:szCs w:val="19"/>
        </w:rPr>
      </w:pPr>
      <w:r w:rsidRPr="00E80894">
        <w:rPr>
          <w:rStyle w:val="Refdenotaalpie"/>
          <w:rFonts w:ascii="Arial" w:hAnsi="Arial" w:cs="Arial"/>
          <w:color w:val="000000" w:themeColor="text1"/>
          <w:sz w:val="19"/>
          <w:szCs w:val="19"/>
        </w:rPr>
        <w:footnoteRef/>
      </w:r>
      <w:r w:rsidRPr="00E80894">
        <w:rPr>
          <w:rFonts w:ascii="Arial" w:hAnsi="Arial" w:cs="Arial"/>
          <w:color w:val="000000" w:themeColor="text1"/>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E80894">
        <w:rPr>
          <w:rFonts w:ascii="Arial" w:hAnsi="Arial" w:cs="Arial"/>
          <w:i/>
          <w:iCs/>
          <w:color w:val="000000" w:themeColor="text1"/>
          <w:sz w:val="19"/>
          <w:szCs w:val="19"/>
        </w:rPr>
        <w:t xml:space="preserve">ibidem </w:t>
      </w:r>
      <w:r w:rsidRPr="00E80894">
        <w:rPr>
          <w:rFonts w:ascii="Arial" w:hAnsi="Arial" w:cs="Arial"/>
          <w:color w:val="000000" w:themeColor="text1"/>
          <w:sz w:val="19"/>
          <w:szCs w:val="19"/>
        </w:rPr>
        <w:t>señala, de manera precisa, las funciones de Colombia Compra Eficiente. Concretamente, el numeral 5º de este artículo establece que le corresponde a esta entidad: «[a]</w:t>
      </w:r>
      <w:proofErr w:type="spellStart"/>
      <w:r w:rsidRPr="00E80894">
        <w:rPr>
          <w:rFonts w:ascii="Arial" w:hAnsi="Arial" w:cs="Arial"/>
          <w:color w:val="000000" w:themeColor="text1"/>
          <w:sz w:val="19"/>
          <w:szCs w:val="19"/>
        </w:rPr>
        <w:t>bsolver</w:t>
      </w:r>
      <w:proofErr w:type="spellEnd"/>
      <w:r w:rsidRPr="00E80894">
        <w:rPr>
          <w:rFonts w:ascii="Arial" w:hAnsi="Arial" w:cs="Arial"/>
          <w:color w:val="000000" w:themeColor="text1"/>
          <w:sz w:val="19"/>
          <w:szCs w:val="19"/>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E80894">
        <w:rPr>
          <w:rFonts w:ascii="Arial" w:hAnsi="Arial" w:cs="Arial"/>
          <w:color w:val="000000" w:themeColor="text1"/>
          <w:sz w:val="19"/>
          <w:szCs w:val="19"/>
        </w:rPr>
        <w:t>bsolver</w:t>
      </w:r>
      <w:proofErr w:type="spellEnd"/>
      <w:r w:rsidRPr="00E80894">
        <w:rPr>
          <w:rFonts w:ascii="Arial" w:hAnsi="Arial" w:cs="Arial"/>
          <w:color w:val="000000" w:themeColor="text1"/>
          <w:sz w:val="19"/>
          <w:szCs w:val="19"/>
        </w:rPr>
        <w:t xml:space="preserve"> consultas sobre la aplicación de normas de carácter general».</w:t>
      </w:r>
    </w:p>
  </w:footnote>
  <w:footnote w:id="3">
    <w:p w14:paraId="56BF9E5E" w14:textId="77777777" w:rsidR="00F01003" w:rsidRPr="00C20F3B" w:rsidRDefault="00F01003" w:rsidP="00F01003">
      <w:pPr>
        <w:pStyle w:val="Textonotapie"/>
        <w:ind w:firstLine="708"/>
        <w:jc w:val="both"/>
        <w:rPr>
          <w:rFonts w:ascii="Arial" w:hAnsi="Arial" w:cs="Arial"/>
          <w:color w:val="000000" w:themeColor="text1"/>
          <w:sz w:val="15"/>
          <w:szCs w:val="15"/>
          <w:lang w:val="es-CO"/>
        </w:rPr>
      </w:pPr>
      <w:r w:rsidRPr="00A55D75">
        <w:rPr>
          <w:rStyle w:val="Refdenotaalpie"/>
          <w:rFonts w:ascii="Arial" w:hAnsi="Arial" w:cs="Arial"/>
          <w:color w:val="000000" w:themeColor="text1"/>
          <w:sz w:val="19"/>
          <w:szCs w:val="19"/>
        </w:rPr>
        <w:footnoteRef/>
      </w:r>
      <w:r w:rsidRPr="00A55D75">
        <w:rPr>
          <w:rFonts w:ascii="Arial" w:hAnsi="Arial" w:cs="Arial"/>
          <w:color w:val="000000" w:themeColor="text1"/>
          <w:sz w:val="19"/>
          <w:szCs w:val="19"/>
        </w:rPr>
        <w:t xml:space="preserve"> </w:t>
      </w:r>
      <w:r w:rsidRPr="00C20F3B">
        <w:rPr>
          <w:rFonts w:ascii="Arial" w:hAnsi="Arial" w:cs="Arial"/>
          <w:color w:val="000000" w:themeColor="text1"/>
          <w:sz w:val="15"/>
          <w:szCs w:val="15"/>
          <w:lang w:val="es-CO"/>
        </w:rPr>
        <w:t>La Agencia también se ha pronunciado sobre las diferentes disposiciones de la Ley 2069 de 2020 en los conceptos: C-009 del 04 de febrero de 2021, C-012 del 04 de febrero de 2021, C-013 del 04 de febrero de 2021, C-015 del 04 de febrero de 2021, C-016 del 04 de febrero de 2021, C-026 del 04 de febrero de 2021, C-006 del 05 de febrero de 2021, C-043 del 09 de febrero de 2021, C-005 del 16 de febrero de 2021, C-007 del 16 de febrero de 2021, C-098 del 23 de febrero de 2021, C-028 de 23 de febrero de 2021, C-081 del 23 de febrero de 2021, C-087 del 23 de febrero de 2021, C-037 del 26 de febrero de 2021, C-035 del 02 de marzo de 2021, C-040 del 02 de marzo de 2021, C-044 del 03 de marzo de 2021, C-056 del 08 de marzo de 2021, C-061 del 10 de marzo de 2021, C-055 del 10 de marzo de 2021, C-058 del 11 de marzo de 2021, C-069 del 12 de marzo de 2021, C-102 del 25 de marzo de 2020, C-136 del 07 de abril de 2021, C-138 del 07 de abril de 2021, C-139 del 07 de abril de 2021, C-141 del 08 de abril de 2021, C-162 de 13 de abril de 2021, C-165 del 13 de abril de 2021, C-164 del 19 de abril de 2021, C−167 del 21 de abril de 2021, C-166 del 23 de abril de 2021, C-191 del 26 de abril de 2021, C-187 del 28 de abril de 2021, C-192 del 29 de abril de 2021, C-206 del 03 de mayo de 2021, C−198 del 5 de mayo de 2021, C-203 del 6 de mayo de 2021,  C-180 del 10 de mayo de 2021, C-210 del 10 de mayo de 2021, C-221 del 18 de mayo de 2021, C-239 del 25 de mayo de 2021, C-338 del 12 de julio de 2021, C-422 del 18 de agosto de 2021, C-437 del 24 de agosto de 2021, C-518 el 20 de septiembre de 2021, C-438 del 28 de septiembre de 2021, C-586 del 14 de octubre de 2021 y C-617 del 12 de diciembre de 2021, C-689 del 05 de enero de 2022, C-738 del 1 de febrero de 2022, C-741 del 1 de febrero de 2022, C-750 del 4 de febrero de 2022, C-031 del 1 de marzo de 2022, C-041 del 2 de marzo de 2022, C-057 del 8 de marzo de 2022, C-199 del 13 de abril de 2022 entre otros.</w:t>
      </w:r>
    </w:p>
    <w:p w14:paraId="102B6221" w14:textId="77777777" w:rsidR="00F01003" w:rsidRPr="00C20F3B" w:rsidRDefault="00F01003" w:rsidP="00F01003">
      <w:pPr>
        <w:pStyle w:val="Textonotapie"/>
        <w:ind w:firstLine="708"/>
        <w:jc w:val="both"/>
        <w:rPr>
          <w:rFonts w:ascii="Arial" w:hAnsi="Arial" w:cs="Arial"/>
          <w:color w:val="000000" w:themeColor="text1"/>
          <w:sz w:val="15"/>
          <w:szCs w:val="15"/>
        </w:rPr>
      </w:pPr>
    </w:p>
  </w:footnote>
  <w:footnote w:id="4">
    <w:p w14:paraId="6B6047A1" w14:textId="77777777" w:rsidR="00F01003" w:rsidRPr="00C20F3B" w:rsidRDefault="00F01003" w:rsidP="00F01003">
      <w:pPr>
        <w:pStyle w:val="Textonotapie"/>
        <w:ind w:firstLine="708"/>
        <w:jc w:val="both"/>
        <w:rPr>
          <w:rStyle w:val="Hipervnculo1"/>
          <w:rFonts w:ascii="Arial" w:hAnsi="Arial" w:cs="Arial"/>
          <w:color w:val="000000" w:themeColor="text1"/>
          <w:sz w:val="15"/>
          <w:szCs w:val="15"/>
        </w:rPr>
      </w:pPr>
      <w:r w:rsidRPr="00C20F3B">
        <w:rPr>
          <w:rStyle w:val="Refdenotaalpie"/>
          <w:rFonts w:ascii="Arial" w:hAnsi="Arial" w:cs="Arial"/>
          <w:color w:val="000000" w:themeColor="text1"/>
          <w:sz w:val="15"/>
          <w:szCs w:val="15"/>
        </w:rPr>
        <w:footnoteRef/>
      </w:r>
      <w:r w:rsidRPr="00C20F3B">
        <w:rPr>
          <w:rFonts w:ascii="Arial" w:hAnsi="Arial" w:cs="Arial"/>
          <w:color w:val="000000" w:themeColor="text1"/>
          <w:sz w:val="15"/>
          <w:szCs w:val="15"/>
        </w:rPr>
        <w:t xml:space="preserve"> Texto del Proyecto de Ley 122 de 2020 Cámara. Exposición de motivos. Consultado el 29 de diciembre de 2021 en la página web: </w:t>
      </w:r>
      <w:hyperlink r:id="rId1" w:history="1">
        <w:r w:rsidRPr="00C20F3B">
          <w:rPr>
            <w:rStyle w:val="Hipervnculo1"/>
            <w:rFonts w:ascii="Arial" w:hAnsi="Arial" w:cs="Arial"/>
            <w:color w:val="000000" w:themeColor="text1"/>
            <w:sz w:val="15"/>
            <w:szCs w:val="15"/>
          </w:rPr>
          <w:t>http://leyes.senado.gov.co/proyectos/index.php/textos-radicados-senado/p-ley-2020-2021/1957-proyecto-de-ley-161-de-2020</w:t>
        </w:r>
      </w:hyperlink>
    </w:p>
    <w:p w14:paraId="67A8DBCE" w14:textId="77777777" w:rsidR="00F01003" w:rsidRPr="00C20F3B" w:rsidRDefault="00F01003" w:rsidP="00F01003">
      <w:pPr>
        <w:pStyle w:val="Textonotapie"/>
        <w:ind w:firstLine="708"/>
        <w:jc w:val="both"/>
        <w:rPr>
          <w:rFonts w:ascii="Arial" w:hAnsi="Arial" w:cs="Arial"/>
          <w:color w:val="000000" w:themeColor="text1"/>
          <w:sz w:val="15"/>
          <w:szCs w:val="15"/>
        </w:rPr>
      </w:pPr>
    </w:p>
  </w:footnote>
  <w:footnote w:id="5">
    <w:p w14:paraId="54055277" w14:textId="77777777" w:rsidR="00F01003" w:rsidRPr="00C20F3B" w:rsidRDefault="00F01003" w:rsidP="00F01003">
      <w:pPr>
        <w:pStyle w:val="Textonotapie"/>
        <w:ind w:firstLine="709"/>
        <w:jc w:val="both"/>
        <w:rPr>
          <w:rFonts w:ascii="Arial" w:hAnsi="Arial" w:cs="Arial"/>
          <w:color w:val="000000" w:themeColor="text1"/>
          <w:sz w:val="15"/>
          <w:szCs w:val="15"/>
          <w:lang w:val="es-ES"/>
        </w:rPr>
      </w:pPr>
      <w:r w:rsidRPr="00C20F3B">
        <w:rPr>
          <w:rStyle w:val="Refdenotaalpie"/>
          <w:rFonts w:ascii="Arial" w:hAnsi="Arial" w:cs="Arial"/>
          <w:color w:val="000000" w:themeColor="text1"/>
          <w:sz w:val="15"/>
          <w:szCs w:val="15"/>
        </w:rPr>
        <w:footnoteRef/>
      </w:r>
      <w:r w:rsidRPr="00C20F3B">
        <w:rPr>
          <w:rFonts w:ascii="Arial" w:hAnsi="Arial" w:cs="Arial"/>
          <w:color w:val="000000" w:themeColor="text1"/>
          <w:sz w:val="15"/>
          <w:szCs w:val="15"/>
        </w:rPr>
        <w:t xml:space="preserve"> </w:t>
      </w:r>
      <w:r w:rsidRPr="00C20F3B">
        <w:rPr>
          <w:rFonts w:ascii="Arial" w:hAnsi="Arial" w:cs="Arial"/>
          <w:color w:val="000000" w:themeColor="text1"/>
          <w:sz w:val="15"/>
          <w:szCs w:val="15"/>
          <w:lang w:val="es-ES"/>
        </w:rPr>
        <w:t>Artículos 2 al 29.</w:t>
      </w:r>
    </w:p>
    <w:p w14:paraId="6B3976E5" w14:textId="77777777" w:rsidR="00F01003" w:rsidRPr="00C20F3B" w:rsidRDefault="00F01003" w:rsidP="00F01003">
      <w:pPr>
        <w:pStyle w:val="Textonotapie"/>
        <w:ind w:firstLine="709"/>
        <w:jc w:val="both"/>
        <w:rPr>
          <w:rFonts w:ascii="Arial" w:hAnsi="Arial" w:cs="Arial"/>
          <w:color w:val="000000" w:themeColor="text1"/>
          <w:sz w:val="15"/>
          <w:szCs w:val="15"/>
          <w:lang w:val="es-ES"/>
        </w:rPr>
      </w:pPr>
    </w:p>
  </w:footnote>
  <w:footnote w:id="6">
    <w:p w14:paraId="16931CF7" w14:textId="77777777" w:rsidR="00F01003" w:rsidRPr="00C20F3B" w:rsidRDefault="00F01003" w:rsidP="00F01003">
      <w:pPr>
        <w:pStyle w:val="Textonotapie"/>
        <w:ind w:firstLine="709"/>
        <w:jc w:val="both"/>
        <w:rPr>
          <w:rFonts w:ascii="Arial" w:hAnsi="Arial" w:cs="Arial"/>
          <w:color w:val="000000" w:themeColor="text1"/>
          <w:sz w:val="15"/>
          <w:szCs w:val="15"/>
          <w:lang w:val="es-ES"/>
        </w:rPr>
      </w:pPr>
      <w:r w:rsidRPr="00C20F3B">
        <w:rPr>
          <w:rStyle w:val="Refdenotaalpie"/>
          <w:rFonts w:ascii="Arial" w:hAnsi="Arial" w:cs="Arial"/>
          <w:color w:val="000000" w:themeColor="text1"/>
          <w:sz w:val="15"/>
          <w:szCs w:val="15"/>
        </w:rPr>
        <w:footnoteRef/>
      </w:r>
      <w:r w:rsidRPr="00C20F3B">
        <w:rPr>
          <w:rFonts w:ascii="Arial" w:hAnsi="Arial" w:cs="Arial"/>
          <w:color w:val="000000" w:themeColor="text1"/>
          <w:sz w:val="15"/>
          <w:szCs w:val="15"/>
        </w:rPr>
        <w:t xml:space="preserve"> </w:t>
      </w:r>
      <w:r w:rsidRPr="00C20F3B">
        <w:rPr>
          <w:rFonts w:ascii="Arial" w:hAnsi="Arial" w:cs="Arial"/>
          <w:color w:val="000000" w:themeColor="text1"/>
          <w:sz w:val="15"/>
          <w:szCs w:val="15"/>
          <w:lang w:val="es-ES"/>
        </w:rPr>
        <w:t>Artículos 30 al 36.</w:t>
      </w:r>
    </w:p>
    <w:p w14:paraId="24CAE741" w14:textId="77777777" w:rsidR="00F01003" w:rsidRPr="00C20F3B" w:rsidRDefault="00F01003" w:rsidP="00F01003">
      <w:pPr>
        <w:pStyle w:val="Textonotapie"/>
        <w:ind w:firstLine="709"/>
        <w:jc w:val="both"/>
        <w:rPr>
          <w:rFonts w:ascii="Arial" w:hAnsi="Arial" w:cs="Arial"/>
          <w:color w:val="000000" w:themeColor="text1"/>
          <w:sz w:val="15"/>
          <w:szCs w:val="15"/>
          <w:lang w:val="es-ES"/>
        </w:rPr>
      </w:pPr>
    </w:p>
  </w:footnote>
  <w:footnote w:id="7">
    <w:p w14:paraId="171672F2" w14:textId="77777777" w:rsidR="00F01003" w:rsidRPr="00C20F3B" w:rsidRDefault="00F01003" w:rsidP="00F01003">
      <w:pPr>
        <w:pStyle w:val="Textonotapie"/>
        <w:ind w:firstLine="709"/>
        <w:jc w:val="both"/>
        <w:rPr>
          <w:rFonts w:ascii="Arial" w:hAnsi="Arial" w:cs="Arial"/>
          <w:color w:val="000000" w:themeColor="text1"/>
          <w:sz w:val="15"/>
          <w:szCs w:val="15"/>
          <w:lang w:val="es-ES"/>
        </w:rPr>
      </w:pPr>
      <w:r w:rsidRPr="00C20F3B">
        <w:rPr>
          <w:rStyle w:val="Refdenotaalpie"/>
          <w:rFonts w:ascii="Arial" w:hAnsi="Arial" w:cs="Arial"/>
          <w:color w:val="000000" w:themeColor="text1"/>
          <w:sz w:val="15"/>
          <w:szCs w:val="15"/>
        </w:rPr>
        <w:footnoteRef/>
      </w:r>
      <w:r w:rsidRPr="00C20F3B">
        <w:rPr>
          <w:rFonts w:ascii="Arial" w:hAnsi="Arial" w:cs="Arial"/>
          <w:color w:val="000000" w:themeColor="text1"/>
          <w:sz w:val="15"/>
          <w:szCs w:val="15"/>
        </w:rPr>
        <w:t xml:space="preserve"> </w:t>
      </w:r>
      <w:r w:rsidRPr="00C20F3B">
        <w:rPr>
          <w:rFonts w:ascii="Arial" w:hAnsi="Arial" w:cs="Arial"/>
          <w:color w:val="000000" w:themeColor="text1"/>
          <w:sz w:val="15"/>
          <w:szCs w:val="15"/>
          <w:lang w:val="es-ES"/>
        </w:rPr>
        <w:t>Artículos 37 al 45.</w:t>
      </w:r>
    </w:p>
    <w:p w14:paraId="53446895" w14:textId="77777777" w:rsidR="00F01003" w:rsidRPr="00C20F3B" w:rsidRDefault="00F01003" w:rsidP="00F01003">
      <w:pPr>
        <w:pStyle w:val="Textonotapie"/>
        <w:ind w:firstLine="709"/>
        <w:jc w:val="both"/>
        <w:rPr>
          <w:rFonts w:ascii="Arial" w:hAnsi="Arial" w:cs="Arial"/>
          <w:color w:val="000000" w:themeColor="text1"/>
          <w:sz w:val="15"/>
          <w:szCs w:val="15"/>
          <w:lang w:val="es-ES"/>
        </w:rPr>
      </w:pPr>
    </w:p>
  </w:footnote>
  <w:footnote w:id="8">
    <w:p w14:paraId="026CFE97" w14:textId="77777777" w:rsidR="00F01003" w:rsidRPr="00C20F3B" w:rsidRDefault="00F01003" w:rsidP="00F01003">
      <w:pPr>
        <w:pStyle w:val="Textonotapie"/>
        <w:ind w:firstLine="709"/>
        <w:jc w:val="both"/>
        <w:rPr>
          <w:rFonts w:ascii="Arial" w:hAnsi="Arial" w:cs="Arial"/>
          <w:color w:val="000000" w:themeColor="text1"/>
          <w:sz w:val="15"/>
          <w:szCs w:val="15"/>
          <w:lang w:val="es-ES"/>
        </w:rPr>
      </w:pPr>
      <w:r w:rsidRPr="00C20F3B">
        <w:rPr>
          <w:rStyle w:val="Refdenotaalpie"/>
          <w:rFonts w:ascii="Arial" w:hAnsi="Arial" w:cs="Arial"/>
          <w:color w:val="000000" w:themeColor="text1"/>
          <w:sz w:val="15"/>
          <w:szCs w:val="15"/>
        </w:rPr>
        <w:footnoteRef/>
      </w:r>
      <w:r w:rsidRPr="00C20F3B">
        <w:rPr>
          <w:rFonts w:ascii="Arial" w:hAnsi="Arial" w:cs="Arial"/>
          <w:color w:val="000000" w:themeColor="text1"/>
          <w:sz w:val="15"/>
          <w:szCs w:val="15"/>
        </w:rPr>
        <w:t xml:space="preserve"> </w:t>
      </w:r>
      <w:r w:rsidRPr="00C20F3B">
        <w:rPr>
          <w:rFonts w:ascii="Arial" w:hAnsi="Arial" w:cs="Arial"/>
          <w:color w:val="000000" w:themeColor="text1"/>
          <w:sz w:val="15"/>
          <w:szCs w:val="15"/>
          <w:lang w:val="es-ES"/>
        </w:rPr>
        <w:t>Artículos 46 al 73.</w:t>
      </w:r>
    </w:p>
    <w:p w14:paraId="2A6F8DE5" w14:textId="77777777" w:rsidR="00F01003" w:rsidRPr="00C20F3B" w:rsidRDefault="00F01003" w:rsidP="00F01003">
      <w:pPr>
        <w:pStyle w:val="Textonotapie"/>
        <w:ind w:firstLine="709"/>
        <w:jc w:val="both"/>
        <w:rPr>
          <w:rFonts w:ascii="Arial" w:hAnsi="Arial" w:cs="Arial"/>
          <w:color w:val="000000" w:themeColor="text1"/>
          <w:sz w:val="15"/>
          <w:szCs w:val="15"/>
          <w:lang w:val="es-ES"/>
        </w:rPr>
      </w:pPr>
    </w:p>
  </w:footnote>
  <w:footnote w:id="9">
    <w:p w14:paraId="14A35606" w14:textId="77777777" w:rsidR="00F01003" w:rsidRPr="00C20F3B" w:rsidRDefault="00F01003" w:rsidP="00F01003">
      <w:pPr>
        <w:pStyle w:val="Textonotapie"/>
        <w:ind w:firstLine="709"/>
        <w:jc w:val="both"/>
        <w:rPr>
          <w:rFonts w:ascii="Arial" w:hAnsi="Arial" w:cs="Arial"/>
          <w:color w:val="000000" w:themeColor="text1"/>
          <w:sz w:val="15"/>
          <w:szCs w:val="15"/>
          <w:lang w:val="es-ES"/>
        </w:rPr>
      </w:pPr>
      <w:r w:rsidRPr="00C20F3B">
        <w:rPr>
          <w:rStyle w:val="Refdenotaalpie"/>
          <w:rFonts w:ascii="Arial" w:hAnsi="Arial" w:cs="Arial"/>
          <w:color w:val="000000" w:themeColor="text1"/>
          <w:sz w:val="15"/>
          <w:szCs w:val="15"/>
        </w:rPr>
        <w:footnoteRef/>
      </w:r>
      <w:r w:rsidRPr="00C20F3B">
        <w:rPr>
          <w:rFonts w:ascii="Arial" w:hAnsi="Arial" w:cs="Arial"/>
          <w:color w:val="000000" w:themeColor="text1"/>
          <w:sz w:val="15"/>
          <w:szCs w:val="15"/>
        </w:rPr>
        <w:t xml:space="preserve"> </w:t>
      </w:r>
      <w:r w:rsidRPr="00C20F3B">
        <w:rPr>
          <w:rFonts w:ascii="Arial" w:hAnsi="Arial" w:cs="Arial"/>
          <w:color w:val="000000" w:themeColor="text1"/>
          <w:sz w:val="15"/>
          <w:szCs w:val="15"/>
          <w:lang w:val="es-ES"/>
        </w:rPr>
        <w:t>Artículos 74 al 83.</w:t>
      </w:r>
    </w:p>
    <w:p w14:paraId="5927E7C4" w14:textId="77777777" w:rsidR="00F01003" w:rsidRPr="00C20F3B" w:rsidRDefault="00F01003" w:rsidP="00F01003">
      <w:pPr>
        <w:pStyle w:val="Textonotapie"/>
        <w:ind w:firstLine="709"/>
        <w:jc w:val="both"/>
        <w:rPr>
          <w:rFonts w:ascii="Arial" w:hAnsi="Arial" w:cs="Arial"/>
          <w:color w:val="000000" w:themeColor="text1"/>
          <w:sz w:val="15"/>
          <w:szCs w:val="15"/>
          <w:lang w:val="es-ES"/>
        </w:rPr>
      </w:pPr>
    </w:p>
  </w:footnote>
  <w:footnote w:id="10">
    <w:p w14:paraId="6AF31DE5" w14:textId="77777777" w:rsidR="00F01003" w:rsidRPr="00C20F3B" w:rsidRDefault="00F01003" w:rsidP="00F01003">
      <w:pPr>
        <w:pStyle w:val="Textonotapie"/>
        <w:ind w:firstLine="708"/>
        <w:jc w:val="both"/>
        <w:rPr>
          <w:rFonts w:ascii="Arial" w:hAnsi="Arial" w:cs="Arial"/>
          <w:sz w:val="15"/>
          <w:szCs w:val="15"/>
        </w:rPr>
      </w:pPr>
      <w:r w:rsidRPr="00C20F3B">
        <w:rPr>
          <w:rStyle w:val="Refdenotaalpie"/>
          <w:rFonts w:ascii="Arial" w:hAnsi="Arial" w:cs="Arial"/>
          <w:sz w:val="15"/>
          <w:szCs w:val="15"/>
        </w:rPr>
        <w:footnoteRef/>
      </w:r>
      <w:r w:rsidRPr="00C20F3B">
        <w:rPr>
          <w:rFonts w:ascii="Arial" w:hAnsi="Arial" w:cs="Arial"/>
          <w:sz w:val="15"/>
          <w:szCs w:val="15"/>
        </w:rPr>
        <w:t xml:space="preserve"> </w:t>
      </w:r>
      <w:bookmarkStart w:id="2" w:name="_Hlk63862868"/>
      <w:r w:rsidRPr="00C20F3B">
        <w:rPr>
          <w:rFonts w:ascii="Arial" w:hAnsi="Arial" w:cs="Arial"/>
          <w:sz w:val="15"/>
          <w:szCs w:val="15"/>
        </w:rPr>
        <w:t>CONGRESO DE LA REPÚBLICA. Gaceta No. 670 del 11 de agosto de 2020. Exposición de motivos del Proyecto de Ley No. 122 de 2020 Cámara. p. 13.</w:t>
      </w:r>
      <w:bookmarkEnd w:id="2"/>
    </w:p>
    <w:p w14:paraId="0BCED647" w14:textId="77777777" w:rsidR="00F01003" w:rsidRPr="00C20F3B" w:rsidRDefault="00F01003" w:rsidP="00F01003">
      <w:pPr>
        <w:pStyle w:val="Textonotapie"/>
        <w:ind w:firstLine="708"/>
        <w:jc w:val="both"/>
        <w:rPr>
          <w:rFonts w:ascii="Arial" w:hAnsi="Arial" w:cs="Arial"/>
          <w:sz w:val="15"/>
          <w:szCs w:val="15"/>
          <w:lang w:val="es-ES"/>
        </w:rPr>
      </w:pPr>
    </w:p>
  </w:footnote>
  <w:footnote w:id="11">
    <w:p w14:paraId="18FF0D7B" w14:textId="77777777" w:rsidR="00F01003" w:rsidRPr="00C20F3B" w:rsidRDefault="00F01003" w:rsidP="00F01003">
      <w:pPr>
        <w:pStyle w:val="Textonotapie"/>
        <w:ind w:firstLine="709"/>
        <w:jc w:val="both"/>
        <w:rPr>
          <w:rFonts w:ascii="Arial" w:hAnsi="Arial" w:cs="Arial"/>
          <w:color w:val="000000" w:themeColor="text1"/>
          <w:sz w:val="15"/>
          <w:szCs w:val="15"/>
        </w:rPr>
      </w:pPr>
      <w:r w:rsidRPr="00C20F3B">
        <w:rPr>
          <w:rStyle w:val="Refdenotaalpie"/>
          <w:rFonts w:ascii="Arial" w:hAnsi="Arial" w:cs="Arial"/>
          <w:color w:val="000000" w:themeColor="text1"/>
          <w:sz w:val="15"/>
          <w:szCs w:val="15"/>
        </w:rPr>
        <w:footnoteRef/>
      </w:r>
      <w:r w:rsidRPr="00C20F3B">
        <w:rPr>
          <w:rFonts w:ascii="Arial" w:hAnsi="Arial" w:cs="Arial"/>
          <w:color w:val="000000" w:themeColor="text1"/>
          <w:sz w:val="15"/>
          <w:szCs w:val="15"/>
        </w:rPr>
        <w:t xml:space="preserve"> Ley 2069 de 2020 «Artículo 32. Criterios Diferenciales para Emprendimientos y Empresas de mujeres en el Sistema De Compras Públicas. De acuerdo con el resultado del análisis del sector, las entidades estatales incluirán requisitos diferenciales y puntajes adicionales en los procesos de licitación pública, selección abreviada de menor cuantía y concurso de méritos,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  </w:t>
      </w:r>
    </w:p>
    <w:p w14:paraId="0BB4D731" w14:textId="77777777" w:rsidR="00F01003" w:rsidRPr="00C20F3B" w:rsidRDefault="00F01003" w:rsidP="00F01003">
      <w:pPr>
        <w:pStyle w:val="Textonotapie"/>
        <w:ind w:firstLine="708"/>
        <w:jc w:val="both"/>
        <w:rPr>
          <w:rFonts w:ascii="Arial" w:hAnsi="Arial" w:cs="Arial"/>
          <w:color w:val="000000" w:themeColor="text1"/>
          <w:sz w:val="15"/>
          <w:szCs w:val="15"/>
        </w:rPr>
      </w:pPr>
      <w:proofErr w:type="gramStart"/>
      <w:r w:rsidRPr="00C20F3B">
        <w:rPr>
          <w:rFonts w:ascii="Arial" w:hAnsi="Arial" w:cs="Arial"/>
          <w:color w:val="000000" w:themeColor="text1"/>
          <w:sz w:val="15"/>
          <w:szCs w:val="15"/>
        </w:rPr>
        <w:t>»Parágrafo</w:t>
      </w:r>
      <w:proofErr w:type="gramEnd"/>
      <w:r w:rsidRPr="00C20F3B">
        <w:rPr>
          <w:rFonts w:ascii="Arial" w:hAnsi="Arial" w:cs="Arial"/>
          <w:color w:val="000000" w:themeColor="text1"/>
          <w:sz w:val="15"/>
          <w:szCs w:val="15"/>
        </w:rPr>
        <w:t xml:space="preserve"> primero. La definición de emprendimientos y empresas de mujeres se reglamentará por el gobierno nacional».  </w:t>
      </w:r>
    </w:p>
  </w:footnote>
  <w:footnote w:id="12">
    <w:p w14:paraId="33B02C6C" w14:textId="77777777" w:rsidR="00F01003" w:rsidRPr="00C20F3B" w:rsidRDefault="00F01003" w:rsidP="00F01003">
      <w:pPr>
        <w:pStyle w:val="Textonotapie"/>
        <w:ind w:firstLine="709"/>
        <w:jc w:val="both"/>
        <w:rPr>
          <w:rFonts w:ascii="Arial" w:hAnsi="Arial" w:cs="Arial"/>
          <w:color w:val="000000" w:themeColor="text1"/>
          <w:sz w:val="15"/>
          <w:szCs w:val="15"/>
        </w:rPr>
      </w:pPr>
      <w:r w:rsidRPr="00C20F3B">
        <w:rPr>
          <w:rStyle w:val="Refdenotaalpie"/>
          <w:rFonts w:ascii="Arial" w:hAnsi="Arial" w:cs="Arial"/>
          <w:color w:val="000000" w:themeColor="text1"/>
          <w:sz w:val="15"/>
          <w:szCs w:val="15"/>
        </w:rPr>
        <w:footnoteRef/>
      </w:r>
      <w:r w:rsidRPr="00C20F3B">
        <w:rPr>
          <w:rFonts w:ascii="Arial" w:hAnsi="Arial" w:cs="Arial"/>
          <w:color w:val="000000" w:themeColor="text1"/>
          <w:sz w:val="15"/>
          <w:szCs w:val="15"/>
        </w:rPr>
        <w:t xml:space="preserve"> Decreto 1860 de 2021. «Artículo 1. Objeto. El presente Decreto tiene como propósito reglamentar los artículos 30, 31, 32,34 y 35 de la Ley 2069 de 2020, en relación con: el procedimiento de mínima cuantía, incluyendo disposiciones particulares que se refieren a la contratación con </w:t>
      </w:r>
      <w:proofErr w:type="spellStart"/>
      <w:r w:rsidRPr="00C20F3B">
        <w:rPr>
          <w:rFonts w:ascii="Arial" w:hAnsi="Arial" w:cs="Arial"/>
          <w:color w:val="000000" w:themeColor="text1"/>
          <w:sz w:val="15"/>
          <w:szCs w:val="15"/>
        </w:rPr>
        <w:t>Mipyme</w:t>
      </w:r>
      <w:proofErr w:type="spellEnd"/>
      <w:r w:rsidRPr="00C20F3B">
        <w:rPr>
          <w:rFonts w:ascii="Arial" w:hAnsi="Arial" w:cs="Arial"/>
          <w:color w:val="000000" w:themeColor="text1"/>
          <w:sz w:val="15"/>
          <w:szCs w:val="15"/>
        </w:rPr>
        <w:t xml:space="preserve"> y grandes almacenes; los criterios diferenciales para </w:t>
      </w:r>
      <w:proofErr w:type="spellStart"/>
      <w:r w:rsidRPr="00C20F3B">
        <w:rPr>
          <w:rFonts w:ascii="Arial" w:hAnsi="Arial" w:cs="Arial"/>
          <w:color w:val="000000" w:themeColor="text1"/>
          <w:sz w:val="15"/>
          <w:szCs w:val="15"/>
        </w:rPr>
        <w:t>Mipyme</w:t>
      </w:r>
      <w:proofErr w:type="spellEnd"/>
      <w:r w:rsidRPr="00C20F3B">
        <w:rPr>
          <w:rFonts w:ascii="Arial" w:hAnsi="Arial" w:cs="Arial"/>
          <w:color w:val="000000" w:themeColor="text1"/>
          <w:sz w:val="15"/>
          <w:szCs w:val="15"/>
        </w:rPr>
        <w:t xml:space="preserve">, y la definición y los criterios diferenciales para los emprendimientos y empresas de mujeres; las convocatorias limitadas a </w:t>
      </w:r>
      <w:proofErr w:type="spellStart"/>
      <w:r w:rsidRPr="00C20F3B">
        <w:rPr>
          <w:rFonts w:ascii="Arial" w:hAnsi="Arial" w:cs="Arial"/>
          <w:color w:val="000000" w:themeColor="text1"/>
          <w:sz w:val="15"/>
          <w:szCs w:val="15"/>
        </w:rPr>
        <w:t>Mipyme</w:t>
      </w:r>
      <w:proofErr w:type="spellEnd"/>
      <w:r w:rsidRPr="00C20F3B">
        <w:rPr>
          <w:rFonts w:ascii="Arial" w:hAnsi="Arial" w:cs="Arial"/>
          <w:color w:val="000000" w:themeColor="text1"/>
          <w:sz w:val="15"/>
          <w:szCs w:val="15"/>
        </w:rPr>
        <w:t>; el fomento a la ejecución de contratos estatales por parte de población en pobreza extrema, desplazados por la violencia, personas en proceso de reintegración o reincorporación y, sujetos de especial protección constitucional; así como la acreditación de los factores de desempate previstos en la Ley de Emprendimiento».</w:t>
      </w:r>
    </w:p>
  </w:footnote>
  <w:footnote w:id="13">
    <w:p w14:paraId="08A4F8DD" w14:textId="77777777" w:rsidR="00F01003" w:rsidRPr="00C20F3B" w:rsidRDefault="00F01003" w:rsidP="00F01003">
      <w:pPr>
        <w:pStyle w:val="NormalWeb"/>
        <w:shd w:val="clear" w:color="auto" w:fill="FFFFFF"/>
        <w:spacing w:after="0" w:line="240" w:lineRule="auto"/>
        <w:ind w:firstLine="708"/>
        <w:jc w:val="both"/>
        <w:rPr>
          <w:rFonts w:ascii="Arial" w:hAnsi="Arial" w:cs="Arial"/>
          <w:sz w:val="15"/>
          <w:szCs w:val="15"/>
        </w:rPr>
      </w:pPr>
      <w:r w:rsidRPr="00C20F3B">
        <w:rPr>
          <w:rStyle w:val="Refdenotaalpie"/>
          <w:rFonts w:ascii="Arial" w:hAnsi="Arial" w:cs="Arial"/>
          <w:sz w:val="15"/>
          <w:szCs w:val="15"/>
        </w:rPr>
        <w:footnoteRef/>
      </w:r>
      <w:r w:rsidRPr="00C20F3B">
        <w:rPr>
          <w:rFonts w:ascii="Arial" w:hAnsi="Arial" w:cs="Arial"/>
          <w:sz w:val="15"/>
          <w:szCs w:val="15"/>
        </w:rPr>
        <w:t xml:space="preserve"> «ARTÍCULO  8. Vigencia y derogatorias</w:t>
      </w:r>
      <w:r w:rsidRPr="00C20F3B">
        <w:rPr>
          <w:rFonts w:ascii="Arial" w:hAnsi="Arial" w:cs="Arial"/>
          <w:b/>
          <w:bCs/>
          <w:sz w:val="15"/>
          <w:szCs w:val="15"/>
        </w:rPr>
        <w:t>.</w:t>
      </w:r>
      <w:r w:rsidRPr="00C20F3B">
        <w:rPr>
          <w:rFonts w:ascii="Arial" w:hAnsi="Arial" w:cs="Arial"/>
          <w:sz w:val="15"/>
          <w:szCs w:val="15"/>
        </w:rPr>
        <w:t> Las disposiciones contenidas en el presente Decreto se aplicarán a los procedimientos de selección cuya invitación, aviso de convocatoria o documento equivalente se publique a los tres (3) meses contados a partir de su expedición. Este Decreto modifica la Subsección </w:t>
      </w:r>
      <w:hyperlink r:id="rId2" w:anchor="2.2.1.2.1.5.1" w:history="1">
        <w:r w:rsidRPr="00C20F3B">
          <w:rPr>
            <w:rFonts w:ascii="Arial" w:hAnsi="Arial" w:cs="Arial"/>
            <w:sz w:val="15"/>
            <w:szCs w:val="15"/>
          </w:rPr>
          <w:t>5 </w:t>
        </w:r>
      </w:hyperlink>
      <w:r w:rsidRPr="00C20F3B">
        <w:rPr>
          <w:rFonts w:ascii="Arial" w:hAnsi="Arial" w:cs="Arial"/>
          <w:sz w:val="15"/>
          <w:szCs w:val="15"/>
        </w:rPr>
        <w:t>de la Sección 1 del Capítulo 2 del Título 1 de la Parte 2 del Libro 2, así como los artículos </w:t>
      </w:r>
      <w:hyperlink r:id="rId3" w:anchor="2.2.1.2.4.2.2" w:history="1">
        <w:r w:rsidRPr="00C20F3B">
          <w:rPr>
            <w:rFonts w:ascii="Arial" w:hAnsi="Arial" w:cs="Arial"/>
            <w:sz w:val="15"/>
            <w:szCs w:val="15"/>
          </w:rPr>
          <w:t>2.2.1.2.4.2.2</w:t>
        </w:r>
      </w:hyperlink>
      <w:r w:rsidRPr="00C20F3B">
        <w:rPr>
          <w:rFonts w:ascii="Arial" w:hAnsi="Arial" w:cs="Arial"/>
          <w:sz w:val="15"/>
          <w:szCs w:val="15"/>
        </w:rPr>
        <w:t>., </w:t>
      </w:r>
      <w:hyperlink r:id="rId4" w:anchor="2.2.1.2.4.2.3" w:history="1">
        <w:r w:rsidRPr="00C20F3B">
          <w:rPr>
            <w:rFonts w:ascii="Arial" w:hAnsi="Arial" w:cs="Arial"/>
            <w:sz w:val="15"/>
            <w:szCs w:val="15"/>
          </w:rPr>
          <w:t>2.2.1.2.4.2.3</w:t>
        </w:r>
      </w:hyperlink>
      <w:r w:rsidRPr="00C20F3B">
        <w:rPr>
          <w:rFonts w:ascii="Arial" w:hAnsi="Arial" w:cs="Arial"/>
          <w:sz w:val="15"/>
          <w:szCs w:val="15"/>
        </w:rPr>
        <w:t>., </w:t>
      </w:r>
      <w:hyperlink r:id="rId5" w:anchor="2.2.1.2.4.2.4" w:history="1">
        <w:r w:rsidRPr="00C20F3B">
          <w:rPr>
            <w:rFonts w:ascii="Arial" w:hAnsi="Arial" w:cs="Arial"/>
            <w:sz w:val="15"/>
            <w:szCs w:val="15"/>
          </w:rPr>
          <w:t>2.2.1.2.4.2.4</w:t>
        </w:r>
      </w:hyperlink>
      <w:r w:rsidRPr="00C20F3B">
        <w:rPr>
          <w:rFonts w:ascii="Arial" w:hAnsi="Arial" w:cs="Arial"/>
          <w:sz w:val="15"/>
          <w:szCs w:val="15"/>
        </w:rPr>
        <w:t>., </w:t>
      </w:r>
      <w:hyperlink r:id="rId6" w:anchor="2.2.1.2.1.2.2" w:history="1">
        <w:r w:rsidRPr="00C20F3B">
          <w:rPr>
            <w:rFonts w:ascii="Arial" w:hAnsi="Arial" w:cs="Arial"/>
            <w:sz w:val="15"/>
            <w:szCs w:val="15"/>
          </w:rPr>
          <w:t>2.2.1.2.1.2.2</w:t>
        </w:r>
      </w:hyperlink>
      <w:r w:rsidRPr="00C20F3B">
        <w:rPr>
          <w:rFonts w:ascii="Arial" w:hAnsi="Arial" w:cs="Arial"/>
          <w:sz w:val="15"/>
          <w:szCs w:val="15"/>
        </w:rPr>
        <w:t>. y </w:t>
      </w:r>
      <w:hyperlink r:id="rId7" w:anchor="2.2.1.2.4.2.8" w:history="1">
        <w:r w:rsidRPr="00C20F3B">
          <w:rPr>
            <w:rFonts w:ascii="Arial" w:hAnsi="Arial" w:cs="Arial"/>
            <w:sz w:val="15"/>
            <w:szCs w:val="15"/>
          </w:rPr>
          <w:t>2.2.1.2.4.2.8</w:t>
        </w:r>
      </w:hyperlink>
      <w:r w:rsidRPr="00C20F3B">
        <w:rPr>
          <w:rFonts w:ascii="Arial" w:hAnsi="Arial" w:cs="Arial"/>
          <w:sz w:val="15"/>
          <w:szCs w:val="15"/>
        </w:rPr>
        <w:t>.; adiciona los artículos </w:t>
      </w:r>
      <w:hyperlink r:id="rId8" w:anchor="2.2.1.2.4.2.14" w:history="1">
        <w:r w:rsidRPr="00C20F3B">
          <w:rPr>
            <w:rFonts w:ascii="Arial" w:hAnsi="Arial" w:cs="Arial"/>
            <w:sz w:val="15"/>
            <w:szCs w:val="15"/>
          </w:rPr>
          <w:t>2.2.1.2.4.2.14</w:t>
        </w:r>
      </w:hyperlink>
      <w:r w:rsidRPr="00C20F3B">
        <w:rPr>
          <w:rFonts w:ascii="Arial" w:hAnsi="Arial" w:cs="Arial"/>
          <w:sz w:val="15"/>
          <w:szCs w:val="15"/>
        </w:rPr>
        <w:t>., </w:t>
      </w:r>
      <w:hyperlink r:id="rId9" w:anchor="2.2.1.2.4.2.15" w:history="1">
        <w:r w:rsidRPr="00C20F3B">
          <w:rPr>
            <w:rFonts w:ascii="Arial" w:hAnsi="Arial" w:cs="Arial"/>
            <w:sz w:val="15"/>
            <w:szCs w:val="15"/>
          </w:rPr>
          <w:t>2.2.1.2.4.2.15</w:t>
        </w:r>
      </w:hyperlink>
      <w:r w:rsidRPr="00C20F3B">
        <w:rPr>
          <w:rFonts w:ascii="Arial" w:hAnsi="Arial" w:cs="Arial"/>
          <w:sz w:val="15"/>
          <w:szCs w:val="15"/>
        </w:rPr>
        <w:t>., </w:t>
      </w:r>
      <w:hyperlink r:id="rId10" w:anchor="2.2.1.2.4.2.16" w:history="1">
        <w:r w:rsidRPr="00C20F3B">
          <w:rPr>
            <w:rFonts w:ascii="Arial" w:hAnsi="Arial" w:cs="Arial"/>
            <w:sz w:val="15"/>
            <w:szCs w:val="15"/>
          </w:rPr>
          <w:t>2.2.1.2.4.2.16</w:t>
        </w:r>
      </w:hyperlink>
      <w:r w:rsidRPr="00C20F3B">
        <w:rPr>
          <w:rFonts w:ascii="Arial" w:hAnsi="Arial" w:cs="Arial"/>
          <w:sz w:val="15"/>
          <w:szCs w:val="15"/>
        </w:rPr>
        <w:t>., </w:t>
      </w:r>
      <w:hyperlink r:id="rId11" w:anchor="2.2.1.2.4.2.17" w:history="1">
        <w:r w:rsidRPr="00C20F3B">
          <w:rPr>
            <w:rFonts w:ascii="Arial" w:hAnsi="Arial" w:cs="Arial"/>
            <w:sz w:val="15"/>
            <w:szCs w:val="15"/>
          </w:rPr>
          <w:t>2.2.1.2.4.2.17</w:t>
        </w:r>
      </w:hyperlink>
      <w:r w:rsidRPr="00C20F3B">
        <w:rPr>
          <w:rFonts w:ascii="Arial" w:hAnsi="Arial" w:cs="Arial"/>
          <w:sz w:val="15"/>
          <w:szCs w:val="15"/>
        </w:rPr>
        <w:t>.y </w:t>
      </w:r>
      <w:hyperlink r:id="rId12" w:anchor="2.2.1.2.4.2.18" w:history="1">
        <w:r w:rsidRPr="00C20F3B">
          <w:rPr>
            <w:rFonts w:ascii="Arial" w:hAnsi="Arial" w:cs="Arial"/>
            <w:sz w:val="15"/>
            <w:szCs w:val="15"/>
          </w:rPr>
          <w:t>2.2.1.2.4.2.18</w:t>
        </w:r>
      </w:hyperlink>
      <w:r w:rsidRPr="00C20F3B">
        <w:rPr>
          <w:rFonts w:ascii="Arial" w:hAnsi="Arial" w:cs="Arial"/>
          <w:sz w:val="15"/>
          <w:szCs w:val="15"/>
        </w:rPr>
        <w:t>.;adiciona un </w:t>
      </w:r>
      <w:hyperlink r:id="rId13" w:anchor="2.2.1.2.3.1.9.p" w:history="1">
        <w:r w:rsidRPr="00C20F3B">
          <w:rPr>
            <w:rFonts w:ascii="Arial" w:hAnsi="Arial" w:cs="Arial"/>
            <w:sz w:val="15"/>
            <w:szCs w:val="15"/>
          </w:rPr>
          <w:t>parágrafo </w:t>
        </w:r>
      </w:hyperlink>
      <w:r w:rsidRPr="00C20F3B">
        <w:rPr>
          <w:rFonts w:ascii="Arial" w:hAnsi="Arial" w:cs="Arial"/>
          <w:sz w:val="15"/>
          <w:szCs w:val="15"/>
        </w:rPr>
        <w:t>al artículo </w:t>
      </w:r>
      <w:hyperlink r:id="rId14" w:anchor="2.2.1.2.3.1.9" w:history="1">
        <w:r w:rsidRPr="00C20F3B">
          <w:rPr>
            <w:rFonts w:ascii="Arial" w:hAnsi="Arial" w:cs="Arial"/>
            <w:sz w:val="15"/>
            <w:szCs w:val="15"/>
          </w:rPr>
          <w:t>2.2.1.2.3.1.9</w:t>
        </w:r>
      </w:hyperlink>
      <w:r w:rsidRPr="00C20F3B">
        <w:rPr>
          <w:rFonts w:ascii="Arial" w:hAnsi="Arial" w:cs="Arial"/>
          <w:sz w:val="15"/>
          <w:szCs w:val="15"/>
        </w:rPr>
        <w:t>; y deroga el artículo </w:t>
      </w:r>
      <w:hyperlink r:id="rId15" w:anchor="2.2.1.1.2.2.9" w:history="1">
        <w:r w:rsidRPr="00C20F3B">
          <w:rPr>
            <w:rFonts w:ascii="Arial" w:hAnsi="Arial" w:cs="Arial"/>
            <w:sz w:val="15"/>
            <w:szCs w:val="15"/>
          </w:rPr>
          <w:t>2.2.1.1.2.2.9</w:t>
        </w:r>
      </w:hyperlink>
      <w:r w:rsidRPr="00C20F3B">
        <w:rPr>
          <w:rFonts w:ascii="Arial" w:hAnsi="Arial" w:cs="Arial"/>
          <w:sz w:val="15"/>
          <w:szCs w:val="15"/>
        </w:rPr>
        <w:t>. del Decreto 1082 de 2015, Único Reglamentario del Sector Administrativo de Planeación Nacional.</w:t>
      </w:r>
    </w:p>
    <w:p w14:paraId="3BEBF0A8" w14:textId="77777777" w:rsidR="00F01003" w:rsidRPr="00C20F3B" w:rsidRDefault="00F01003" w:rsidP="00F01003">
      <w:pPr>
        <w:pStyle w:val="NormalWeb"/>
        <w:shd w:val="clear" w:color="auto" w:fill="FFFFFF"/>
        <w:spacing w:after="0" w:line="240" w:lineRule="auto"/>
        <w:ind w:firstLine="708"/>
        <w:jc w:val="both"/>
        <w:rPr>
          <w:rFonts w:ascii="Arial" w:hAnsi="Arial" w:cs="Arial"/>
          <w:sz w:val="15"/>
          <w:szCs w:val="15"/>
        </w:rPr>
      </w:pPr>
      <w:r w:rsidRPr="00C20F3B">
        <w:rPr>
          <w:rFonts w:ascii="Arial" w:hAnsi="Arial" w:cs="Arial"/>
          <w:sz w:val="15"/>
          <w:szCs w:val="15"/>
        </w:rPr>
        <w:t>«PARÁGRAFO. Los Procesos de Contratación que se rijan por los Documento Tipo continuarán aplicando estos instrumentos y las normas vigentes anteriores a la expedición de este Decreto. Por tanto, estos procedimientos de selección se realizarán conforme la regulación actual contenida en los Documentos Tipo hasta que la Agencia Nacional de Contratación Pública - Colombia Compra Eficiente expida las modificaciones a que haya lugar, conforme con las disposiciones de esta reglamentación.</w:t>
      </w:r>
    </w:p>
    <w:p w14:paraId="657C239D" w14:textId="77777777" w:rsidR="00F01003" w:rsidRPr="00C20F3B" w:rsidRDefault="00F01003" w:rsidP="00F01003">
      <w:pPr>
        <w:pStyle w:val="NormalWeb"/>
        <w:shd w:val="clear" w:color="auto" w:fill="FFFFFF"/>
        <w:spacing w:after="0" w:line="240" w:lineRule="auto"/>
        <w:ind w:firstLine="708"/>
        <w:jc w:val="both"/>
        <w:rPr>
          <w:rFonts w:ascii="Arial" w:hAnsi="Arial" w:cs="Arial"/>
          <w:sz w:val="15"/>
          <w:szCs w:val="15"/>
        </w:rPr>
      </w:pPr>
      <w:r w:rsidRPr="00C20F3B">
        <w:rPr>
          <w:rFonts w:ascii="Arial" w:hAnsi="Arial" w:cs="Arial"/>
          <w:sz w:val="15"/>
          <w:szCs w:val="15"/>
        </w:rPr>
        <w:t> «La Agencia tendrá un plazo máximo de seis (6) meses contados a partir de la expedición de este Decreto para adecuar los Documentos Tipo a las disposiciones previstas en este reglamento. Sin perjuicio de lo anterior, el artículo 5 del presente Decreto regirá en los procesos sometidos a los Documentos Tipo en las condiciones establecidas en este artículo».</w:t>
      </w:r>
    </w:p>
    <w:p w14:paraId="666F1BEB" w14:textId="77777777" w:rsidR="00F01003" w:rsidRPr="00C20F3B" w:rsidRDefault="00F01003" w:rsidP="00F01003">
      <w:pPr>
        <w:pStyle w:val="Textonotapie"/>
        <w:jc w:val="both"/>
        <w:rPr>
          <w:rFonts w:ascii="Arial" w:hAnsi="Arial" w:cs="Arial"/>
          <w:sz w:val="15"/>
          <w:szCs w:val="15"/>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n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n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2"/>
  </w:num>
  <w:num w:numId="2" w16cid:durableId="1408454564">
    <w:abstractNumId w:val="0"/>
  </w:num>
  <w:num w:numId="3" w16cid:durableId="1897622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270B"/>
    <w:rsid w:val="000433CA"/>
    <w:rsid w:val="00060D2B"/>
    <w:rsid w:val="00065A05"/>
    <w:rsid w:val="00083334"/>
    <w:rsid w:val="000956CF"/>
    <w:rsid w:val="000A683E"/>
    <w:rsid w:val="000C5B0E"/>
    <w:rsid w:val="00111CD9"/>
    <w:rsid w:val="0011595A"/>
    <w:rsid w:val="001220C5"/>
    <w:rsid w:val="001267F7"/>
    <w:rsid w:val="00127233"/>
    <w:rsid w:val="00130999"/>
    <w:rsid w:val="00164D81"/>
    <w:rsid w:val="001812E8"/>
    <w:rsid w:val="001A1011"/>
    <w:rsid w:val="001A48D0"/>
    <w:rsid w:val="001A54FC"/>
    <w:rsid w:val="001A6659"/>
    <w:rsid w:val="001C273C"/>
    <w:rsid w:val="001F6F88"/>
    <w:rsid w:val="002653C1"/>
    <w:rsid w:val="0026611D"/>
    <w:rsid w:val="002751F2"/>
    <w:rsid w:val="002951A0"/>
    <w:rsid w:val="00295428"/>
    <w:rsid w:val="002A64FD"/>
    <w:rsid w:val="002C3B94"/>
    <w:rsid w:val="002F06C5"/>
    <w:rsid w:val="002F0839"/>
    <w:rsid w:val="00301469"/>
    <w:rsid w:val="003062C8"/>
    <w:rsid w:val="00306EE1"/>
    <w:rsid w:val="00310B9B"/>
    <w:rsid w:val="0036461C"/>
    <w:rsid w:val="00367884"/>
    <w:rsid w:val="0037490E"/>
    <w:rsid w:val="00384A13"/>
    <w:rsid w:val="00392212"/>
    <w:rsid w:val="0039439C"/>
    <w:rsid w:val="003B69E7"/>
    <w:rsid w:val="003C013B"/>
    <w:rsid w:val="003C11B1"/>
    <w:rsid w:val="003D0F4D"/>
    <w:rsid w:val="003F249B"/>
    <w:rsid w:val="003F58A1"/>
    <w:rsid w:val="00402E8E"/>
    <w:rsid w:val="00410DD6"/>
    <w:rsid w:val="004134C9"/>
    <w:rsid w:val="00421742"/>
    <w:rsid w:val="0043138C"/>
    <w:rsid w:val="004502B6"/>
    <w:rsid w:val="00462A59"/>
    <w:rsid w:val="00466F4F"/>
    <w:rsid w:val="00472977"/>
    <w:rsid w:val="004A1847"/>
    <w:rsid w:val="004B6B0E"/>
    <w:rsid w:val="004C5448"/>
    <w:rsid w:val="004C5ECC"/>
    <w:rsid w:val="004D25B3"/>
    <w:rsid w:val="004F3552"/>
    <w:rsid w:val="0050662D"/>
    <w:rsid w:val="00511405"/>
    <w:rsid w:val="00517435"/>
    <w:rsid w:val="00526E9D"/>
    <w:rsid w:val="00532E1F"/>
    <w:rsid w:val="00537DAD"/>
    <w:rsid w:val="00547856"/>
    <w:rsid w:val="00547A74"/>
    <w:rsid w:val="00554448"/>
    <w:rsid w:val="005566E8"/>
    <w:rsid w:val="005746AB"/>
    <w:rsid w:val="0059357F"/>
    <w:rsid w:val="005A1130"/>
    <w:rsid w:val="005D65C8"/>
    <w:rsid w:val="00600FDA"/>
    <w:rsid w:val="00601D0D"/>
    <w:rsid w:val="006122E3"/>
    <w:rsid w:val="006219F8"/>
    <w:rsid w:val="00621CD4"/>
    <w:rsid w:val="0063226F"/>
    <w:rsid w:val="00650143"/>
    <w:rsid w:val="00681FDB"/>
    <w:rsid w:val="006A7DAD"/>
    <w:rsid w:val="006C2E53"/>
    <w:rsid w:val="006D70BA"/>
    <w:rsid w:val="0073507C"/>
    <w:rsid w:val="00755A01"/>
    <w:rsid w:val="007566FE"/>
    <w:rsid w:val="0076726F"/>
    <w:rsid w:val="0077144B"/>
    <w:rsid w:val="00793403"/>
    <w:rsid w:val="007C0CDF"/>
    <w:rsid w:val="007D1770"/>
    <w:rsid w:val="007E1759"/>
    <w:rsid w:val="007E2A2F"/>
    <w:rsid w:val="007F2B7C"/>
    <w:rsid w:val="00811651"/>
    <w:rsid w:val="00814443"/>
    <w:rsid w:val="00815F0A"/>
    <w:rsid w:val="00816394"/>
    <w:rsid w:val="00820F5B"/>
    <w:rsid w:val="00832556"/>
    <w:rsid w:val="00833452"/>
    <w:rsid w:val="008614E5"/>
    <w:rsid w:val="008678EB"/>
    <w:rsid w:val="00875894"/>
    <w:rsid w:val="00881C10"/>
    <w:rsid w:val="008832B5"/>
    <w:rsid w:val="00883CBA"/>
    <w:rsid w:val="00890411"/>
    <w:rsid w:val="008B2596"/>
    <w:rsid w:val="008B549C"/>
    <w:rsid w:val="008B7EEA"/>
    <w:rsid w:val="008C1673"/>
    <w:rsid w:val="008D5C70"/>
    <w:rsid w:val="009025AF"/>
    <w:rsid w:val="00904F23"/>
    <w:rsid w:val="00906B3C"/>
    <w:rsid w:val="00926E7E"/>
    <w:rsid w:val="0095342C"/>
    <w:rsid w:val="00970B68"/>
    <w:rsid w:val="009C5F5A"/>
    <w:rsid w:val="009E3BCC"/>
    <w:rsid w:val="009F33F2"/>
    <w:rsid w:val="009F3A7C"/>
    <w:rsid w:val="009F6C77"/>
    <w:rsid w:val="00A07532"/>
    <w:rsid w:val="00A078E4"/>
    <w:rsid w:val="00A1085C"/>
    <w:rsid w:val="00A118F0"/>
    <w:rsid w:val="00A309E2"/>
    <w:rsid w:val="00A4034D"/>
    <w:rsid w:val="00A5243F"/>
    <w:rsid w:val="00A8066E"/>
    <w:rsid w:val="00A820B7"/>
    <w:rsid w:val="00AA4B8A"/>
    <w:rsid w:val="00AA6BF7"/>
    <w:rsid w:val="00AA6CCF"/>
    <w:rsid w:val="00AB0274"/>
    <w:rsid w:val="00AB3A9F"/>
    <w:rsid w:val="00AC0F7A"/>
    <w:rsid w:val="00AC2C77"/>
    <w:rsid w:val="00AD7F8B"/>
    <w:rsid w:val="00AE6F60"/>
    <w:rsid w:val="00B01ED6"/>
    <w:rsid w:val="00B06D09"/>
    <w:rsid w:val="00B11F35"/>
    <w:rsid w:val="00B15041"/>
    <w:rsid w:val="00B20684"/>
    <w:rsid w:val="00B20901"/>
    <w:rsid w:val="00B23BD5"/>
    <w:rsid w:val="00B43B4D"/>
    <w:rsid w:val="00B54C9F"/>
    <w:rsid w:val="00B771A9"/>
    <w:rsid w:val="00B809BB"/>
    <w:rsid w:val="00B8248A"/>
    <w:rsid w:val="00BB7726"/>
    <w:rsid w:val="00BC550D"/>
    <w:rsid w:val="00BF6DF5"/>
    <w:rsid w:val="00C20555"/>
    <w:rsid w:val="00C2329E"/>
    <w:rsid w:val="00C263F6"/>
    <w:rsid w:val="00C30461"/>
    <w:rsid w:val="00C5392E"/>
    <w:rsid w:val="00C71747"/>
    <w:rsid w:val="00C754BE"/>
    <w:rsid w:val="00C87572"/>
    <w:rsid w:val="00C91D4E"/>
    <w:rsid w:val="00C9405D"/>
    <w:rsid w:val="00CC1B26"/>
    <w:rsid w:val="00CD1338"/>
    <w:rsid w:val="00CD284F"/>
    <w:rsid w:val="00CF23AA"/>
    <w:rsid w:val="00D01921"/>
    <w:rsid w:val="00D22EE4"/>
    <w:rsid w:val="00D6628C"/>
    <w:rsid w:val="00D752B7"/>
    <w:rsid w:val="00DA1854"/>
    <w:rsid w:val="00DB0887"/>
    <w:rsid w:val="00DC4107"/>
    <w:rsid w:val="00DD0DA7"/>
    <w:rsid w:val="00DF1E43"/>
    <w:rsid w:val="00E06035"/>
    <w:rsid w:val="00E20894"/>
    <w:rsid w:val="00E26B7C"/>
    <w:rsid w:val="00E33A6F"/>
    <w:rsid w:val="00E34A84"/>
    <w:rsid w:val="00E565FE"/>
    <w:rsid w:val="00E66502"/>
    <w:rsid w:val="00E724E9"/>
    <w:rsid w:val="00EA29EF"/>
    <w:rsid w:val="00EA3003"/>
    <w:rsid w:val="00EB3C91"/>
    <w:rsid w:val="00EB66DA"/>
    <w:rsid w:val="00EB7D2A"/>
    <w:rsid w:val="00EC1D53"/>
    <w:rsid w:val="00EC6282"/>
    <w:rsid w:val="00ED4F70"/>
    <w:rsid w:val="00EE7503"/>
    <w:rsid w:val="00EF500D"/>
    <w:rsid w:val="00F01003"/>
    <w:rsid w:val="00F2580D"/>
    <w:rsid w:val="00F31C50"/>
    <w:rsid w:val="00F605F2"/>
    <w:rsid w:val="00F751B0"/>
    <w:rsid w:val="00F76AFC"/>
    <w:rsid w:val="00F8319B"/>
    <w:rsid w:val="00FA5516"/>
    <w:rsid w:val="00FB2FD4"/>
    <w:rsid w:val="00FB34B7"/>
    <w:rsid w:val="00FB71C2"/>
    <w:rsid w:val="00FD18CC"/>
    <w:rsid w:val="00FD6F73"/>
    <w:rsid w:val="00FE0320"/>
    <w:rsid w:val="00FE53A0"/>
    <w:rsid w:val="00FE6200"/>
    <w:rsid w:val="0FADF8AF"/>
    <w:rsid w:val="114DB4D9"/>
    <w:rsid w:val="1CC63BF5"/>
    <w:rsid w:val="28A881FE"/>
    <w:rsid w:val="2F9951DC"/>
    <w:rsid w:val="3EA2D60F"/>
    <w:rsid w:val="47F383B9"/>
    <w:rsid w:val="51AC5A12"/>
    <w:rsid w:val="67DCE012"/>
    <w:rsid w:val="6B8BD3AC"/>
    <w:rsid w:val="7160D41A"/>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003"/>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paragraph" w:styleId="NormalWeb">
    <w:name w:val="Normal (Web)"/>
    <w:basedOn w:val="Normal"/>
    <w:link w:val="NormalWebCar"/>
    <w:uiPriority w:val="99"/>
    <w:unhideWhenUsed/>
    <w:rsid w:val="00E724E9"/>
    <w:rPr>
      <w:rFonts w:ascii="Times New Roman" w:hAnsi="Times New Roman" w:cs="Times New Roman"/>
      <w:sz w:val="24"/>
      <w:szCs w:val="24"/>
    </w:rPr>
  </w:style>
  <w:style w:type="paragraph" w:customStyle="1" w:styleId="Appelnotedebasde">
    <w:name w:val="Appel note de bas de..."/>
    <w:basedOn w:val="Normal"/>
    <w:link w:val="Refdenotaalpie"/>
    <w:uiPriority w:val="99"/>
    <w:rsid w:val="00E724E9"/>
    <w:pPr>
      <w:spacing w:line="240" w:lineRule="exact"/>
    </w:pPr>
    <w:rPr>
      <w:vertAlign w:val="superscript"/>
    </w:rPr>
  </w:style>
  <w:style w:type="character" w:customStyle="1" w:styleId="NormalWebCar">
    <w:name w:val="Normal (Web) Car"/>
    <w:link w:val="NormalWeb"/>
    <w:uiPriority w:val="99"/>
    <w:rsid w:val="00E724E9"/>
    <w:rPr>
      <w:rFonts w:ascii="Times New Roman" w:hAnsi="Times New Roman" w:cs="Times New Roman"/>
      <w:sz w:val="24"/>
      <w:szCs w:val="24"/>
    </w:rPr>
  </w:style>
  <w:style w:type="character" w:customStyle="1" w:styleId="Hipervnculo1">
    <w:name w:val="Hipervínculo1"/>
    <w:basedOn w:val="Fuentedeprrafopredeter"/>
    <w:uiPriority w:val="99"/>
    <w:unhideWhenUsed/>
    <w:rsid w:val="00E724E9"/>
    <w:rPr>
      <w:color w:val="F2F2F2"/>
      <w:u w:val="single"/>
    </w:rPr>
  </w:style>
  <w:style w:type="paragraph" w:customStyle="1" w:styleId="Car1">
    <w:name w:val="Car1"/>
    <w:basedOn w:val="Normal"/>
    <w:next w:val="Textonotapie"/>
    <w:uiPriority w:val="99"/>
    <w:unhideWhenUsed/>
    <w:qFormat/>
    <w:rsid w:val="00E724E9"/>
    <w:pPr>
      <w:spacing w:after="0" w:line="240" w:lineRule="auto"/>
    </w:pPr>
    <w:rPr>
      <w:sz w:val="20"/>
      <w:szCs w:val="20"/>
      <w:lang w:val="es-MX"/>
    </w:rPr>
  </w:style>
  <w:style w:type="character" w:styleId="Hipervnculo">
    <w:name w:val="Hyperlink"/>
    <w:basedOn w:val="Fuentedeprrafopredeter"/>
    <w:uiPriority w:val="99"/>
    <w:unhideWhenUsed/>
    <w:rsid w:val="00532E1F"/>
    <w:rPr>
      <w:color w:val="0563C1" w:themeColor="hyperlink"/>
      <w:u w:val="single"/>
    </w:rPr>
  </w:style>
  <w:style w:type="character" w:styleId="Mencinsinresolver">
    <w:name w:val="Unresolved Mention"/>
    <w:basedOn w:val="Fuentedeprrafopredeter"/>
    <w:uiPriority w:val="99"/>
    <w:semiHidden/>
    <w:unhideWhenUsed/>
    <w:rsid w:val="00532E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2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aramirez77@hot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8" Type="http://schemas.openxmlformats.org/officeDocument/2006/relationships/hyperlink" Target="https://www.funcionpublica.gov.co/eva/gestornormativo/norma.php?i=77653" TargetMode="External"/><Relationship Id="rId13" Type="http://schemas.openxmlformats.org/officeDocument/2006/relationships/hyperlink" Target="https://www.funcionpublica.gov.co/eva/gestornormativo/norma.php?i=77653" TargetMode="External"/><Relationship Id="rId3" Type="http://schemas.openxmlformats.org/officeDocument/2006/relationships/hyperlink" Target="https://www.funcionpublica.gov.co/eva/gestornormativo/norma.php?i=77653" TargetMode="External"/><Relationship Id="rId7" Type="http://schemas.openxmlformats.org/officeDocument/2006/relationships/hyperlink" Target="https://www.funcionpublica.gov.co/eva/gestornormativo/norma.php?i=77653" TargetMode="External"/><Relationship Id="rId12" Type="http://schemas.openxmlformats.org/officeDocument/2006/relationships/hyperlink" Target="https://www.funcionpublica.gov.co/eva/gestornormativo/norma.php?i=77653" TargetMode="External"/><Relationship Id="rId2" Type="http://schemas.openxmlformats.org/officeDocument/2006/relationships/hyperlink" Target="https://www.funcionpublica.gov.co/eva/gestornormativo/norma.php?i=77653" TargetMode="External"/><Relationship Id="rId1" Type="http://schemas.openxmlformats.org/officeDocument/2006/relationships/hyperlink" Target="http://leyes.senado.gov.co/proyectos/index.php/textos-radicados-senado/p-ley-2020-2021/1957-proyecto-de-ley-161-de-2020" TargetMode="External"/><Relationship Id="rId6" Type="http://schemas.openxmlformats.org/officeDocument/2006/relationships/hyperlink" Target="https://www.funcionpublica.gov.co/eva/gestornormativo/norma.php?i=77653" TargetMode="External"/><Relationship Id="rId11" Type="http://schemas.openxmlformats.org/officeDocument/2006/relationships/hyperlink" Target="https://www.funcionpublica.gov.co/eva/gestornormativo/norma.php?i=77653" TargetMode="External"/><Relationship Id="rId5" Type="http://schemas.openxmlformats.org/officeDocument/2006/relationships/hyperlink" Target="https://www.funcionpublica.gov.co/eva/gestornormativo/norma.php?i=77653" TargetMode="External"/><Relationship Id="rId15" Type="http://schemas.openxmlformats.org/officeDocument/2006/relationships/hyperlink" Target="https://www.funcionpublica.gov.co/eva/gestornormativo/norma.php?i=77653" TargetMode="External"/><Relationship Id="rId10" Type="http://schemas.openxmlformats.org/officeDocument/2006/relationships/hyperlink" Target="https://www.funcionpublica.gov.co/eva/gestornormativo/norma.php?i=77653" TargetMode="External"/><Relationship Id="rId4" Type="http://schemas.openxmlformats.org/officeDocument/2006/relationships/hyperlink" Target="https://www.funcionpublica.gov.co/eva/gestornormativo/norma.php?i=77653" TargetMode="External"/><Relationship Id="rId9" Type="http://schemas.openxmlformats.org/officeDocument/2006/relationships/hyperlink" Target="https://www.funcionpublica.gov.co/eva/gestornormativo/norma.php?i=77653" TargetMode="External"/><Relationship Id="rId14" Type="http://schemas.openxmlformats.org/officeDocument/2006/relationships/hyperlink" Target="https://www.funcionpublica.gov.co/eva/gestornormativo/norma.php?i=7765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purl.org/dc/dcmitype/"/>
    <ds:schemaRef ds:uri="http://schemas.microsoft.com/office/2006/documentManagement/types"/>
    <ds:schemaRef ds:uri="a6cb9e4b-f1d1-4245-83ec-6cad768d538a"/>
    <ds:schemaRef ds:uri="http://purl.org/dc/terms/"/>
    <ds:schemaRef ds:uri="http://www.w3.org/XML/1998/namespace"/>
    <ds:schemaRef ds:uri="http://schemas.openxmlformats.org/package/2006/metadata/core-properties"/>
    <ds:schemaRef ds:uri="9d85dbaf-23eb-4e57-a637-93dcacc8b1a1"/>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1922876F-6016-4D27-8965-4407EBB7F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4662</Words>
  <Characters>25646</Characters>
  <Application>Microsoft Office Word</Application>
  <DocSecurity>0</DocSecurity>
  <Lines>213</Lines>
  <Paragraphs>60</Paragraphs>
  <ScaleCrop>false</ScaleCrop>
  <Company/>
  <LinksUpToDate>false</LinksUpToDate>
  <CharactersWithSpaces>30248</CharactersWithSpaces>
  <SharedDoc>false</SharedDoc>
  <HLinks>
    <vt:vector size="96" baseType="variant">
      <vt:variant>
        <vt:i4>3932187</vt:i4>
      </vt:variant>
      <vt:variant>
        <vt:i4>0</vt:i4>
      </vt:variant>
      <vt:variant>
        <vt:i4>0</vt:i4>
      </vt:variant>
      <vt:variant>
        <vt:i4>5</vt:i4>
      </vt:variant>
      <vt:variant>
        <vt:lpwstr>mailto:aaramirez77@hotmail.com</vt:lpwstr>
      </vt:variant>
      <vt:variant>
        <vt:lpwstr/>
      </vt:variant>
      <vt:variant>
        <vt:i4>2555940</vt:i4>
      </vt:variant>
      <vt:variant>
        <vt:i4>42</vt:i4>
      </vt:variant>
      <vt:variant>
        <vt:i4>0</vt:i4>
      </vt:variant>
      <vt:variant>
        <vt:i4>5</vt:i4>
      </vt:variant>
      <vt:variant>
        <vt:lpwstr>https://www.funcionpublica.gov.co/eva/gestornormativo/norma.php?i=77653</vt:lpwstr>
      </vt:variant>
      <vt:variant>
        <vt:lpwstr>2.2.1.1.2.2.9</vt:lpwstr>
      </vt:variant>
      <vt:variant>
        <vt:i4>2555941</vt:i4>
      </vt:variant>
      <vt:variant>
        <vt:i4>39</vt:i4>
      </vt:variant>
      <vt:variant>
        <vt:i4>0</vt:i4>
      </vt:variant>
      <vt:variant>
        <vt:i4>5</vt:i4>
      </vt:variant>
      <vt:variant>
        <vt:lpwstr>https://www.funcionpublica.gov.co/eva/gestornormativo/norma.php?i=77653</vt:lpwstr>
      </vt:variant>
      <vt:variant>
        <vt:lpwstr>2.2.1.2.3.1.9</vt:lpwstr>
      </vt:variant>
      <vt:variant>
        <vt:i4>589852</vt:i4>
      </vt:variant>
      <vt:variant>
        <vt:i4>36</vt:i4>
      </vt:variant>
      <vt:variant>
        <vt:i4>0</vt:i4>
      </vt:variant>
      <vt:variant>
        <vt:i4>5</vt:i4>
      </vt:variant>
      <vt:variant>
        <vt:lpwstr>https://www.funcionpublica.gov.co/eva/gestornormativo/norma.php?i=77653</vt:lpwstr>
      </vt:variant>
      <vt:variant>
        <vt:lpwstr>2.2.1.2.3.1.9.p</vt:lpwstr>
      </vt:variant>
      <vt:variant>
        <vt:i4>2031632</vt:i4>
      </vt:variant>
      <vt:variant>
        <vt:i4>33</vt:i4>
      </vt:variant>
      <vt:variant>
        <vt:i4>0</vt:i4>
      </vt:variant>
      <vt:variant>
        <vt:i4>5</vt:i4>
      </vt:variant>
      <vt:variant>
        <vt:lpwstr>https://www.funcionpublica.gov.co/eva/gestornormativo/norma.php?i=77653</vt:lpwstr>
      </vt:variant>
      <vt:variant>
        <vt:lpwstr>2.2.1.2.4.2.18</vt:lpwstr>
      </vt:variant>
      <vt:variant>
        <vt:i4>1048592</vt:i4>
      </vt:variant>
      <vt:variant>
        <vt:i4>30</vt:i4>
      </vt:variant>
      <vt:variant>
        <vt:i4>0</vt:i4>
      </vt:variant>
      <vt:variant>
        <vt:i4>5</vt:i4>
      </vt:variant>
      <vt:variant>
        <vt:lpwstr>https://www.funcionpublica.gov.co/eva/gestornormativo/norma.php?i=77653</vt:lpwstr>
      </vt:variant>
      <vt:variant>
        <vt:lpwstr>2.2.1.2.4.2.17</vt:lpwstr>
      </vt:variant>
      <vt:variant>
        <vt:i4>1114128</vt:i4>
      </vt:variant>
      <vt:variant>
        <vt:i4>27</vt:i4>
      </vt:variant>
      <vt:variant>
        <vt:i4>0</vt:i4>
      </vt:variant>
      <vt:variant>
        <vt:i4>5</vt:i4>
      </vt:variant>
      <vt:variant>
        <vt:lpwstr>https://www.funcionpublica.gov.co/eva/gestornormativo/norma.php?i=77653</vt:lpwstr>
      </vt:variant>
      <vt:variant>
        <vt:lpwstr>2.2.1.2.4.2.16</vt:lpwstr>
      </vt:variant>
      <vt:variant>
        <vt:i4>1179664</vt:i4>
      </vt:variant>
      <vt:variant>
        <vt:i4>24</vt:i4>
      </vt:variant>
      <vt:variant>
        <vt:i4>0</vt:i4>
      </vt:variant>
      <vt:variant>
        <vt:i4>5</vt:i4>
      </vt:variant>
      <vt:variant>
        <vt:lpwstr>https://www.funcionpublica.gov.co/eva/gestornormativo/norma.php?i=77653</vt:lpwstr>
      </vt:variant>
      <vt:variant>
        <vt:lpwstr>2.2.1.2.4.2.15</vt:lpwstr>
      </vt:variant>
      <vt:variant>
        <vt:i4>1245200</vt:i4>
      </vt:variant>
      <vt:variant>
        <vt:i4>21</vt:i4>
      </vt:variant>
      <vt:variant>
        <vt:i4>0</vt:i4>
      </vt:variant>
      <vt:variant>
        <vt:i4>5</vt:i4>
      </vt:variant>
      <vt:variant>
        <vt:lpwstr>https://www.funcionpublica.gov.co/eva/gestornormativo/norma.php?i=77653</vt:lpwstr>
      </vt:variant>
      <vt:variant>
        <vt:lpwstr>2.2.1.2.4.2.14</vt:lpwstr>
      </vt:variant>
      <vt:variant>
        <vt:i4>2555937</vt:i4>
      </vt:variant>
      <vt:variant>
        <vt:i4>18</vt:i4>
      </vt:variant>
      <vt:variant>
        <vt:i4>0</vt:i4>
      </vt:variant>
      <vt:variant>
        <vt:i4>5</vt:i4>
      </vt:variant>
      <vt:variant>
        <vt:lpwstr>https://www.funcionpublica.gov.co/eva/gestornormativo/norma.php?i=77653</vt:lpwstr>
      </vt:variant>
      <vt:variant>
        <vt:lpwstr>2.2.1.2.4.2.8</vt:lpwstr>
      </vt:variant>
      <vt:variant>
        <vt:i4>2555940</vt:i4>
      </vt:variant>
      <vt:variant>
        <vt:i4>15</vt:i4>
      </vt:variant>
      <vt:variant>
        <vt:i4>0</vt:i4>
      </vt:variant>
      <vt:variant>
        <vt:i4>5</vt:i4>
      </vt:variant>
      <vt:variant>
        <vt:lpwstr>https://www.funcionpublica.gov.co/eva/gestornormativo/norma.php?i=77653</vt:lpwstr>
      </vt:variant>
      <vt:variant>
        <vt:lpwstr>2.2.1.2.1.2.2</vt:lpwstr>
      </vt:variant>
      <vt:variant>
        <vt:i4>2555937</vt:i4>
      </vt:variant>
      <vt:variant>
        <vt:i4>12</vt:i4>
      </vt:variant>
      <vt:variant>
        <vt:i4>0</vt:i4>
      </vt:variant>
      <vt:variant>
        <vt:i4>5</vt:i4>
      </vt:variant>
      <vt:variant>
        <vt:lpwstr>https://www.funcionpublica.gov.co/eva/gestornormativo/norma.php?i=77653</vt:lpwstr>
      </vt:variant>
      <vt:variant>
        <vt:lpwstr>2.2.1.2.4.2.4</vt:lpwstr>
      </vt:variant>
      <vt:variant>
        <vt:i4>2555937</vt:i4>
      </vt:variant>
      <vt:variant>
        <vt:i4>9</vt:i4>
      </vt:variant>
      <vt:variant>
        <vt:i4>0</vt:i4>
      </vt:variant>
      <vt:variant>
        <vt:i4>5</vt:i4>
      </vt:variant>
      <vt:variant>
        <vt:lpwstr>https://www.funcionpublica.gov.co/eva/gestornormativo/norma.php?i=77653</vt:lpwstr>
      </vt:variant>
      <vt:variant>
        <vt:lpwstr>2.2.1.2.4.2.3</vt:lpwstr>
      </vt:variant>
      <vt:variant>
        <vt:i4>2555937</vt:i4>
      </vt:variant>
      <vt:variant>
        <vt:i4>6</vt:i4>
      </vt:variant>
      <vt:variant>
        <vt:i4>0</vt:i4>
      </vt:variant>
      <vt:variant>
        <vt:i4>5</vt:i4>
      </vt:variant>
      <vt:variant>
        <vt:lpwstr>https://www.funcionpublica.gov.co/eva/gestornormativo/norma.php?i=77653</vt:lpwstr>
      </vt:variant>
      <vt:variant>
        <vt:lpwstr>2.2.1.2.4.2.2</vt:lpwstr>
      </vt:variant>
      <vt:variant>
        <vt:i4>2555939</vt:i4>
      </vt:variant>
      <vt:variant>
        <vt:i4>3</vt:i4>
      </vt:variant>
      <vt:variant>
        <vt:i4>0</vt:i4>
      </vt:variant>
      <vt:variant>
        <vt:i4>5</vt:i4>
      </vt:variant>
      <vt:variant>
        <vt:lpwstr>https://www.funcionpublica.gov.co/eva/gestornormativo/norma.php?i=77653</vt:lpwstr>
      </vt:variant>
      <vt:variant>
        <vt:lpwstr>2.2.1.2.1.5.1</vt:lpwstr>
      </vt:variant>
      <vt:variant>
        <vt:i4>2752611</vt:i4>
      </vt:variant>
      <vt:variant>
        <vt:i4>0</vt:i4>
      </vt:variant>
      <vt:variant>
        <vt:i4>0</vt:i4>
      </vt:variant>
      <vt:variant>
        <vt:i4>5</vt:i4>
      </vt:variant>
      <vt:variant>
        <vt:lpwstr>http://leyes.senado.gov.co/proyectos/index.php/textos-radicados-senado/p-ley-2020-2021/1957-proyecto-de-ley-161-de-2020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Diego German Revelo Bolívar</cp:lastModifiedBy>
  <cp:revision>2</cp:revision>
  <cp:lastPrinted>2023-03-01T15:35:00Z</cp:lastPrinted>
  <dcterms:created xsi:type="dcterms:W3CDTF">2023-03-23T13:32:00Z</dcterms:created>
  <dcterms:modified xsi:type="dcterms:W3CDTF">2023-03-23T13:32:00Z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