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98A3" w14:textId="77777777" w:rsidR="00002BAF" w:rsidRDefault="00002BAF" w:rsidP="006219F8">
      <w:pPr>
        <w:spacing w:after="0" w:line="240" w:lineRule="auto"/>
        <w:rPr>
          <w:rFonts w:ascii="Geomanist Light" w:hAnsi="Geomanist Light"/>
          <w:b/>
          <w:color w:val="002060"/>
          <w:lang w:val="es-ES"/>
        </w:rPr>
      </w:pPr>
      <w:bookmarkStart w:id="0" w:name="_Hlk34951122"/>
    </w:p>
    <w:bookmarkEnd w:id="0"/>
    <w:p w14:paraId="4AC09F5E" w14:textId="77777777" w:rsidR="00002BAF" w:rsidRPr="00002BAF" w:rsidRDefault="00002BAF" w:rsidP="00002BAF">
      <w:pPr>
        <w:spacing w:after="0" w:line="240" w:lineRule="auto"/>
        <w:jc w:val="both"/>
        <w:rPr>
          <w:rFonts w:ascii="Arial" w:eastAsia="Calibri" w:hAnsi="Arial" w:cs="Arial"/>
          <w:b/>
          <w:szCs w:val="24"/>
          <w:lang w:val="es-ES_tradnl" w:eastAsia="es-ES_tradnl"/>
        </w:rPr>
      </w:pPr>
      <w:r w:rsidRPr="00002BAF">
        <w:rPr>
          <w:rFonts w:ascii="Arial" w:eastAsia="Calibri" w:hAnsi="Arial" w:cs="Arial"/>
          <w:b/>
          <w:szCs w:val="24"/>
          <w:lang w:val="es-ES_tradnl" w:eastAsia="es-ES_tradnl"/>
        </w:rPr>
        <w:t>CONCURSO DE MÉRITOS – Concepto – Modalidades</w:t>
      </w:r>
    </w:p>
    <w:p w14:paraId="5AAEAF64" w14:textId="77777777" w:rsidR="00002BAF" w:rsidRPr="00002BAF" w:rsidRDefault="00002BAF" w:rsidP="00002BAF">
      <w:pPr>
        <w:spacing w:after="0" w:line="240" w:lineRule="auto"/>
        <w:jc w:val="both"/>
        <w:rPr>
          <w:rFonts w:ascii="Arial" w:eastAsia="Calibri" w:hAnsi="Arial" w:cs="Arial"/>
          <w:b/>
          <w:szCs w:val="24"/>
          <w:lang w:val="es-ES_tradnl" w:eastAsia="es-ES_tradnl"/>
        </w:rPr>
      </w:pPr>
    </w:p>
    <w:p w14:paraId="0BE1762F" w14:textId="475C2BEF" w:rsidR="006E3847" w:rsidRDefault="006E3847" w:rsidP="006E3847">
      <w:pPr>
        <w:spacing w:after="0" w:line="240" w:lineRule="auto"/>
        <w:jc w:val="both"/>
        <w:rPr>
          <w:rFonts w:ascii="Arial" w:eastAsia="Times New Roman" w:hAnsi="Arial" w:cs="Arial"/>
          <w:color w:val="000000"/>
          <w:sz w:val="20"/>
          <w:szCs w:val="20"/>
          <w:lang w:val="es-ES_tradnl" w:eastAsia="es-ES_tradnl"/>
        </w:rPr>
      </w:pPr>
      <w:r w:rsidRPr="006E3847">
        <w:rPr>
          <w:rFonts w:ascii="Arial" w:eastAsia="Times New Roman" w:hAnsi="Arial" w:cs="Arial"/>
          <w:color w:val="000000"/>
          <w:sz w:val="20"/>
          <w:szCs w:val="20"/>
          <w:lang w:val="es-ES_tradnl" w:eastAsia="es-ES_tradnl"/>
        </w:rPr>
        <w:t>El concurso de méritos 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360E5624" w14:textId="77777777" w:rsidR="006E3847" w:rsidRPr="006E3847" w:rsidRDefault="006E3847" w:rsidP="006E3847">
      <w:pPr>
        <w:spacing w:after="0" w:line="240" w:lineRule="auto"/>
        <w:jc w:val="both"/>
        <w:rPr>
          <w:rFonts w:ascii="Arial" w:eastAsia="Times New Roman" w:hAnsi="Arial" w:cs="Arial"/>
          <w:color w:val="000000"/>
          <w:sz w:val="20"/>
          <w:szCs w:val="20"/>
          <w:lang w:val="es-ES_tradnl" w:eastAsia="es-ES_tradnl"/>
        </w:rPr>
      </w:pPr>
    </w:p>
    <w:p w14:paraId="5BA458E2" w14:textId="637FB041" w:rsidR="00002BAF" w:rsidRPr="00002BAF" w:rsidRDefault="006E3847" w:rsidP="006E3847">
      <w:pPr>
        <w:spacing w:after="0" w:line="240" w:lineRule="auto"/>
        <w:jc w:val="both"/>
        <w:rPr>
          <w:rFonts w:ascii="Arial" w:eastAsia="Times New Roman" w:hAnsi="Arial" w:cs="Arial"/>
          <w:color w:val="000000"/>
          <w:sz w:val="20"/>
          <w:szCs w:val="20"/>
          <w:lang w:val="es-ES_tradnl" w:eastAsia="es-ES_tradnl"/>
        </w:rPr>
      </w:pPr>
      <w:r w:rsidRPr="006E3847">
        <w:rPr>
          <w:rFonts w:ascii="Arial" w:eastAsia="Times New Roman" w:hAnsi="Arial" w:cs="Arial"/>
          <w:color w:val="000000"/>
          <w:sz w:val="20"/>
          <w:szCs w:val="20"/>
          <w:lang w:val="es-ES_tradnl" w:eastAsia="es-ES_tradnl"/>
        </w:rPr>
        <w:t xml:space="preserve">El Libro 2, Parte 2, Título 1, Capítulo 2, Sección 1, Subsección 3 del Decreto 1082 de 2015, regula las distintas modalidades del concurso de méritos: i) concurso de méritos abierto o sin precalificación, </w:t>
      </w:r>
      <w:proofErr w:type="spellStart"/>
      <w:r w:rsidRPr="006E3847">
        <w:rPr>
          <w:rFonts w:ascii="Arial" w:eastAsia="Times New Roman" w:hAnsi="Arial" w:cs="Arial"/>
          <w:color w:val="000000"/>
          <w:sz w:val="20"/>
          <w:szCs w:val="20"/>
          <w:lang w:val="es-ES_tradnl" w:eastAsia="es-ES_tradnl"/>
        </w:rPr>
        <w:t>ii</w:t>
      </w:r>
      <w:proofErr w:type="spellEnd"/>
      <w:r w:rsidRPr="006E3847">
        <w:rPr>
          <w:rFonts w:ascii="Arial" w:eastAsia="Times New Roman" w:hAnsi="Arial" w:cs="Arial"/>
          <w:color w:val="000000"/>
          <w:sz w:val="20"/>
          <w:szCs w:val="20"/>
          <w:lang w:val="es-ES_tradnl" w:eastAsia="es-ES_tradnl"/>
        </w:rPr>
        <w:t xml:space="preserve">) concurso de méritos cerrado o con precalificación y </w:t>
      </w:r>
      <w:proofErr w:type="spellStart"/>
      <w:r w:rsidRPr="006E3847">
        <w:rPr>
          <w:rFonts w:ascii="Arial" w:eastAsia="Times New Roman" w:hAnsi="Arial" w:cs="Arial"/>
          <w:color w:val="000000"/>
          <w:sz w:val="20"/>
          <w:szCs w:val="20"/>
          <w:lang w:val="es-ES_tradnl" w:eastAsia="es-ES_tradnl"/>
        </w:rPr>
        <w:t>iii</w:t>
      </w:r>
      <w:proofErr w:type="spellEnd"/>
      <w:r w:rsidRPr="006E3847">
        <w:rPr>
          <w:rFonts w:ascii="Arial" w:eastAsia="Times New Roman" w:hAnsi="Arial" w:cs="Arial"/>
          <w:color w:val="000000"/>
          <w:sz w:val="20"/>
          <w:szCs w:val="20"/>
          <w:lang w:val="es-ES_tradnl" w:eastAsia="es-ES_tradnl"/>
        </w:rPr>
        <w:t xml:space="preserve">) concurso de méritos «para la selección de consultores de diseño, planos, anteproyectos y proyectos arquitectónicos». El primero está regulado en los artículos 2.2.1.2.1.3.1. y 2.2.1.2.1.3.2. </w:t>
      </w:r>
      <w:proofErr w:type="spellStart"/>
      <w:r w:rsidRPr="006E3847">
        <w:rPr>
          <w:rFonts w:ascii="Arial" w:eastAsia="Times New Roman" w:hAnsi="Arial" w:cs="Arial"/>
          <w:color w:val="000000"/>
          <w:sz w:val="20"/>
          <w:szCs w:val="20"/>
          <w:lang w:val="es-ES_tradnl" w:eastAsia="es-ES_tradnl"/>
        </w:rPr>
        <w:t>ibídem</w:t>
      </w:r>
      <w:proofErr w:type="spellEnd"/>
      <w:r w:rsidRPr="006E3847">
        <w:rPr>
          <w:rFonts w:ascii="Arial" w:eastAsia="Times New Roman" w:hAnsi="Arial" w:cs="Arial"/>
          <w:color w:val="000000"/>
          <w:sz w:val="20"/>
          <w:szCs w:val="20"/>
          <w:lang w:val="es-ES_tradnl" w:eastAsia="es-ES_tradnl"/>
        </w:rPr>
        <w:t xml:space="preserve">. El segundo, además de los dos artículos anteriores, lo regulan los artículos 2.2.1.2.1.3.3. a 2.2.1.2.1.3.7. </w:t>
      </w:r>
      <w:proofErr w:type="spellStart"/>
      <w:r w:rsidRPr="006E3847">
        <w:rPr>
          <w:rFonts w:ascii="Arial" w:eastAsia="Times New Roman" w:hAnsi="Arial" w:cs="Arial"/>
          <w:color w:val="000000"/>
          <w:sz w:val="20"/>
          <w:szCs w:val="20"/>
          <w:lang w:val="es-ES_tradnl" w:eastAsia="es-ES_tradnl"/>
        </w:rPr>
        <w:t>ejusdem</w:t>
      </w:r>
      <w:proofErr w:type="spellEnd"/>
      <w:r w:rsidRPr="006E3847">
        <w:rPr>
          <w:rFonts w:ascii="Arial" w:eastAsia="Times New Roman" w:hAnsi="Arial" w:cs="Arial"/>
          <w:color w:val="000000"/>
          <w:sz w:val="20"/>
          <w:szCs w:val="20"/>
          <w:lang w:val="es-ES_tradnl" w:eastAsia="es-ES_tradnl"/>
        </w:rPr>
        <w:t>. El tercero lo regulan los artículos 2.2.1.2.1.3.8. a 2.2.1.2.1.3.25. del mencionado Decreto.</w:t>
      </w:r>
    </w:p>
    <w:p w14:paraId="4AF2B868" w14:textId="77777777" w:rsidR="00002BAF" w:rsidRPr="00002BAF" w:rsidRDefault="00002BAF" w:rsidP="00002BAF">
      <w:pPr>
        <w:spacing w:after="0" w:line="240" w:lineRule="auto"/>
        <w:jc w:val="both"/>
        <w:rPr>
          <w:rFonts w:ascii="Arial" w:eastAsia="Calibri" w:hAnsi="Arial" w:cs="Arial"/>
          <w:color w:val="000000"/>
          <w:sz w:val="20"/>
          <w:szCs w:val="20"/>
          <w:lang w:val="es-ES_tradnl" w:eastAsia="es-ES_tradnl"/>
        </w:rPr>
      </w:pPr>
    </w:p>
    <w:p w14:paraId="5C99539B" w14:textId="77777777" w:rsidR="00002BAF" w:rsidRPr="00002BAF" w:rsidRDefault="00002BAF" w:rsidP="00002BAF">
      <w:pPr>
        <w:spacing w:after="0" w:line="240" w:lineRule="auto"/>
        <w:jc w:val="both"/>
        <w:rPr>
          <w:rFonts w:ascii="Arial" w:eastAsia="Calibri" w:hAnsi="Arial" w:cs="Arial"/>
          <w:b/>
          <w:szCs w:val="24"/>
          <w:lang w:val="es-ES_tradnl" w:eastAsia="es-ES_tradnl"/>
        </w:rPr>
      </w:pPr>
      <w:r w:rsidRPr="00002BAF">
        <w:rPr>
          <w:rFonts w:ascii="Arial" w:eastAsia="Calibri" w:hAnsi="Arial" w:cs="Arial"/>
          <w:b/>
          <w:szCs w:val="24"/>
          <w:lang w:val="es-ES_tradnl" w:eastAsia="es-ES_tradnl"/>
        </w:rPr>
        <w:t>CONCURSO DE MÉRITOS – Decreto 1082 de 2015 – Artículo 2.2.1.2.1.3.2 –</w:t>
      </w:r>
      <w:r w:rsidRPr="00002BAF">
        <w:rPr>
          <w:rFonts w:ascii="Arial" w:eastAsia="Times New Roman" w:hAnsi="Arial" w:cs="Arial"/>
          <w:b/>
          <w:color w:val="000000"/>
          <w:sz w:val="20"/>
          <w:szCs w:val="20"/>
          <w:lang w:val="es-ES_tradnl" w:eastAsia="es-ES_tradnl"/>
        </w:rPr>
        <w:t xml:space="preserve"> </w:t>
      </w:r>
      <w:r w:rsidRPr="00002BAF">
        <w:rPr>
          <w:rFonts w:ascii="Arial" w:eastAsia="Calibri" w:hAnsi="Arial" w:cs="Arial"/>
          <w:b/>
          <w:szCs w:val="24"/>
          <w:lang w:val="es-ES_tradnl" w:eastAsia="es-ES_tradnl"/>
        </w:rPr>
        <w:t>Decreto 399 de 2021 – Artículo 2</w:t>
      </w:r>
    </w:p>
    <w:p w14:paraId="01295BBF" w14:textId="77777777" w:rsidR="00002BAF" w:rsidRPr="00002BAF" w:rsidRDefault="00002BAF" w:rsidP="00002BAF">
      <w:pPr>
        <w:spacing w:after="0" w:line="240" w:lineRule="auto"/>
        <w:jc w:val="both"/>
        <w:rPr>
          <w:rFonts w:ascii="Arial" w:eastAsia="Times New Roman" w:hAnsi="Arial" w:cs="Arial"/>
          <w:color w:val="000000"/>
          <w:sz w:val="20"/>
          <w:szCs w:val="20"/>
          <w:lang w:val="es-ES_tradnl" w:eastAsia="es-ES_tradnl"/>
        </w:rPr>
      </w:pPr>
    </w:p>
    <w:p w14:paraId="2888DFA0" w14:textId="4B40F4CA" w:rsidR="006E3847" w:rsidRDefault="00002BAF" w:rsidP="006E3847">
      <w:pPr>
        <w:spacing w:after="0" w:line="240" w:lineRule="auto"/>
        <w:jc w:val="both"/>
        <w:rPr>
          <w:rFonts w:ascii="Arial" w:eastAsia="Calibri" w:hAnsi="Arial" w:cs="Arial"/>
          <w:color w:val="000000"/>
          <w:sz w:val="20"/>
          <w:szCs w:val="20"/>
          <w:lang w:val="es-ES_tradnl" w:eastAsia="es-ES_tradnl"/>
        </w:rPr>
      </w:pPr>
      <w:r w:rsidRPr="00002BAF">
        <w:rPr>
          <w:rFonts w:ascii="Arial" w:eastAsia="Calibri" w:hAnsi="Arial" w:cs="Arial"/>
          <w:color w:val="000000"/>
          <w:sz w:val="20"/>
          <w:szCs w:val="20"/>
          <w:lang w:val="es-ES_tradnl" w:eastAsia="es-ES_tradnl"/>
        </w:rPr>
        <w:t xml:space="preserve">[…] </w:t>
      </w:r>
      <w:r w:rsidR="006E3847" w:rsidRPr="006E3847">
        <w:rPr>
          <w:rFonts w:ascii="Arial" w:eastAsia="Calibri" w:hAnsi="Arial" w:cs="Arial"/>
          <w:color w:val="000000"/>
          <w:sz w:val="20"/>
          <w:szCs w:val="20"/>
          <w:lang w:val="es-ES_tradnl" w:eastAsia="es-ES_tradnl"/>
        </w:rPr>
        <w:t xml:space="preserve">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w:t>
      </w:r>
      <w:proofErr w:type="gramStart"/>
      <w:r w:rsidR="006E3847" w:rsidRPr="006E3847">
        <w:rPr>
          <w:rFonts w:ascii="Arial" w:eastAsia="Calibri" w:hAnsi="Arial" w:cs="Arial"/>
          <w:color w:val="000000"/>
          <w:sz w:val="20"/>
          <w:szCs w:val="20"/>
          <w:lang w:val="es-ES_tradnl" w:eastAsia="es-ES_tradnl"/>
        </w:rPr>
        <w:t>entrada en vigencia</w:t>
      </w:r>
      <w:proofErr w:type="gramEnd"/>
      <w:r w:rsidR="006E3847" w:rsidRPr="006E3847">
        <w:rPr>
          <w:rFonts w:ascii="Arial" w:eastAsia="Calibri" w:hAnsi="Arial" w:cs="Arial"/>
          <w:color w:val="000000"/>
          <w:sz w:val="20"/>
          <w:szCs w:val="20"/>
          <w:lang w:val="es-ES_tradnl" w:eastAsia="es-ES_tradnl"/>
        </w:rPr>
        <w:t xml:space="preserve"> del artículo 2 del Decreto 399 de 2021 se observan los siguientes cambios:</w:t>
      </w:r>
    </w:p>
    <w:p w14:paraId="15FBC2A0" w14:textId="77777777" w:rsidR="006E3847" w:rsidRPr="006E3847" w:rsidRDefault="006E3847" w:rsidP="006E3847">
      <w:pPr>
        <w:spacing w:after="0" w:line="240" w:lineRule="auto"/>
        <w:jc w:val="both"/>
        <w:rPr>
          <w:rFonts w:ascii="Arial" w:eastAsia="Calibri" w:hAnsi="Arial" w:cs="Arial"/>
          <w:color w:val="000000"/>
          <w:sz w:val="20"/>
          <w:szCs w:val="20"/>
          <w:lang w:val="es-ES_tradnl" w:eastAsia="es-ES_tradnl"/>
        </w:rPr>
      </w:pPr>
    </w:p>
    <w:p w14:paraId="25F7B6F9" w14:textId="76663469" w:rsidR="006E3847" w:rsidRDefault="006E3847" w:rsidP="006E3847">
      <w:pPr>
        <w:spacing w:after="0" w:line="240" w:lineRule="auto"/>
        <w:jc w:val="both"/>
        <w:rPr>
          <w:rFonts w:ascii="Arial" w:eastAsia="Calibri" w:hAnsi="Arial" w:cs="Arial"/>
          <w:color w:val="000000"/>
          <w:sz w:val="20"/>
          <w:szCs w:val="20"/>
          <w:lang w:val="es-ES_tradnl" w:eastAsia="es-ES_tradnl"/>
        </w:rPr>
      </w:pPr>
      <w:r w:rsidRPr="006E3847">
        <w:rPr>
          <w:rFonts w:ascii="Arial" w:eastAsia="Calibri" w:hAnsi="Arial" w:cs="Arial"/>
          <w:color w:val="000000"/>
          <w:sz w:val="20"/>
          <w:szCs w:val="20"/>
          <w:lang w:val="es-ES_tradnl" w:eastAsia="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49F59A81" w14:textId="77777777" w:rsidR="006E3847" w:rsidRPr="006E3847" w:rsidRDefault="006E3847" w:rsidP="006E3847">
      <w:pPr>
        <w:spacing w:after="0" w:line="240" w:lineRule="auto"/>
        <w:jc w:val="both"/>
        <w:rPr>
          <w:rFonts w:ascii="Arial" w:eastAsia="Calibri" w:hAnsi="Arial" w:cs="Arial"/>
          <w:color w:val="000000"/>
          <w:sz w:val="20"/>
          <w:szCs w:val="20"/>
          <w:lang w:val="es-ES_tradnl" w:eastAsia="es-ES_tradnl"/>
        </w:rPr>
      </w:pPr>
    </w:p>
    <w:p w14:paraId="2B332AA0" w14:textId="49B2A811" w:rsidR="006E3847" w:rsidRDefault="006E3847" w:rsidP="006E3847">
      <w:pPr>
        <w:spacing w:after="0" w:line="240" w:lineRule="auto"/>
        <w:jc w:val="both"/>
        <w:rPr>
          <w:rFonts w:ascii="Arial" w:eastAsia="Calibri" w:hAnsi="Arial" w:cs="Arial"/>
          <w:color w:val="000000"/>
          <w:sz w:val="20"/>
          <w:szCs w:val="20"/>
          <w:lang w:val="es-ES_tradnl" w:eastAsia="es-ES_tradnl"/>
        </w:rPr>
      </w:pPr>
      <w:proofErr w:type="spellStart"/>
      <w:r w:rsidRPr="006E3847">
        <w:rPr>
          <w:rFonts w:ascii="Arial" w:eastAsia="Calibri" w:hAnsi="Arial" w:cs="Arial"/>
          <w:color w:val="000000"/>
          <w:sz w:val="20"/>
          <w:szCs w:val="20"/>
          <w:lang w:val="es-ES_tradnl" w:eastAsia="es-ES_tradnl"/>
        </w:rPr>
        <w:t>ii</w:t>
      </w:r>
      <w:proofErr w:type="spellEnd"/>
      <w:r w:rsidRPr="006E3847">
        <w:rPr>
          <w:rFonts w:ascii="Arial" w:eastAsia="Calibri" w:hAnsi="Arial" w:cs="Arial"/>
          <w:color w:val="000000"/>
          <w:sz w:val="20"/>
          <w:szCs w:val="20"/>
          <w:lang w:val="es-ES_tradnl" w:eastAsia="es-ES_tradnl"/>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65E67A9A" w14:textId="77777777" w:rsidR="006E3847" w:rsidRPr="006E3847" w:rsidRDefault="006E3847" w:rsidP="006E3847">
      <w:pPr>
        <w:spacing w:after="0" w:line="240" w:lineRule="auto"/>
        <w:jc w:val="both"/>
        <w:rPr>
          <w:rFonts w:ascii="Arial" w:eastAsia="Calibri" w:hAnsi="Arial" w:cs="Arial"/>
          <w:color w:val="000000"/>
          <w:sz w:val="20"/>
          <w:szCs w:val="20"/>
          <w:lang w:val="es-ES_tradnl" w:eastAsia="es-ES_tradnl"/>
        </w:rPr>
      </w:pPr>
    </w:p>
    <w:p w14:paraId="36CC1D82" w14:textId="64F7107E" w:rsidR="00002BAF" w:rsidRPr="00002BAF" w:rsidRDefault="006E3847" w:rsidP="006E3847">
      <w:pPr>
        <w:spacing w:after="0" w:line="240" w:lineRule="auto"/>
        <w:jc w:val="both"/>
        <w:rPr>
          <w:rFonts w:ascii="Arial" w:eastAsia="Calibri" w:hAnsi="Arial" w:cs="Arial"/>
          <w:color w:val="000000"/>
          <w:sz w:val="20"/>
          <w:szCs w:val="20"/>
          <w:lang w:val="es-ES_tradnl" w:eastAsia="es-ES_tradnl"/>
        </w:rPr>
      </w:pPr>
      <w:proofErr w:type="spellStart"/>
      <w:r w:rsidRPr="006E3847">
        <w:rPr>
          <w:rFonts w:ascii="Arial" w:eastAsia="Calibri" w:hAnsi="Arial" w:cs="Arial"/>
          <w:color w:val="000000"/>
          <w:sz w:val="20"/>
          <w:szCs w:val="20"/>
          <w:lang w:val="es-ES_tradnl" w:eastAsia="es-ES_tradnl"/>
        </w:rPr>
        <w:t>iii</w:t>
      </w:r>
      <w:proofErr w:type="spellEnd"/>
      <w:r w:rsidRPr="006E3847">
        <w:rPr>
          <w:rFonts w:ascii="Arial" w:eastAsia="Calibri" w:hAnsi="Arial" w:cs="Arial"/>
          <w:color w:val="000000"/>
          <w:sz w:val="20"/>
          <w:szCs w:val="20"/>
          <w:lang w:val="es-ES_tradnl" w:eastAsia="es-ES_tradnl"/>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52C0B65A" w14:textId="77777777" w:rsidR="00002BAF" w:rsidRPr="00002BAF" w:rsidRDefault="00002BAF" w:rsidP="00002BAF">
      <w:pPr>
        <w:spacing w:after="0" w:line="240" w:lineRule="auto"/>
        <w:jc w:val="both"/>
        <w:rPr>
          <w:rFonts w:ascii="Arial" w:eastAsia="Calibri" w:hAnsi="Arial" w:cs="Arial"/>
          <w:color w:val="000000"/>
          <w:sz w:val="20"/>
          <w:szCs w:val="20"/>
          <w:lang w:val="es-ES_tradnl" w:eastAsia="es-ES_tradnl"/>
        </w:rPr>
      </w:pPr>
    </w:p>
    <w:p w14:paraId="46207582" w14:textId="77777777" w:rsidR="00002BAF" w:rsidRPr="00002BAF" w:rsidRDefault="00002BAF" w:rsidP="00002BAF">
      <w:pPr>
        <w:spacing w:after="0" w:line="276" w:lineRule="auto"/>
        <w:jc w:val="both"/>
        <w:rPr>
          <w:rFonts w:ascii="Arial" w:eastAsia="Calibri" w:hAnsi="Arial" w:cs="Arial"/>
          <w:b/>
          <w:bCs/>
          <w:szCs w:val="24"/>
          <w:lang w:val="es-ES_tradnl" w:eastAsia="es-ES_tradnl"/>
        </w:rPr>
      </w:pPr>
      <w:r w:rsidRPr="00002BAF">
        <w:rPr>
          <w:rFonts w:ascii="Arial" w:eastAsia="Calibri" w:hAnsi="Arial" w:cs="Arial"/>
          <w:b/>
          <w:lang w:val="es-ES_tradnl" w:eastAsia="es-ES_tradnl"/>
        </w:rPr>
        <w:t xml:space="preserve">CONCURSO DE MÉRITOS </w:t>
      </w:r>
      <w:r w:rsidRPr="00002BAF">
        <w:rPr>
          <w:rFonts w:ascii="Arial" w:eastAsia="Calibri" w:hAnsi="Arial" w:cs="Arial"/>
          <w:b/>
          <w:bCs/>
          <w:szCs w:val="24"/>
          <w:lang w:val="es-ES_tradnl" w:eastAsia="es-ES_tradnl"/>
        </w:rPr>
        <w:t>– Calificación de la experiencia – Certificación de la experiencia</w:t>
      </w:r>
    </w:p>
    <w:p w14:paraId="6648DBC2" w14:textId="77777777" w:rsidR="00002BAF" w:rsidRPr="00002BAF" w:rsidRDefault="00002BAF" w:rsidP="00002BAF">
      <w:pPr>
        <w:spacing w:after="0" w:line="276" w:lineRule="auto"/>
        <w:jc w:val="both"/>
        <w:rPr>
          <w:rFonts w:ascii="Arial" w:eastAsia="Calibri" w:hAnsi="Arial" w:cs="Arial"/>
          <w:b/>
        </w:rPr>
      </w:pPr>
    </w:p>
    <w:p w14:paraId="156E6D01" w14:textId="0369FF7A" w:rsidR="00060FC3" w:rsidRPr="00060FC3" w:rsidRDefault="00060FC3" w:rsidP="00060FC3">
      <w:pPr>
        <w:spacing w:after="0" w:line="240" w:lineRule="auto"/>
        <w:jc w:val="both"/>
        <w:rPr>
          <w:rFonts w:ascii="Arial" w:eastAsia="Times New Roman" w:hAnsi="Arial" w:cs="Arial"/>
          <w:sz w:val="20"/>
          <w:szCs w:val="20"/>
          <w:shd w:val="clear" w:color="auto" w:fill="FFFFFF"/>
          <w:lang w:eastAsia="es-ES_tradnl"/>
        </w:rPr>
      </w:pPr>
      <w:r w:rsidRPr="00060FC3">
        <w:rPr>
          <w:rFonts w:ascii="Arial" w:eastAsia="Times New Roman" w:hAnsi="Arial" w:cs="Arial"/>
          <w:sz w:val="20"/>
          <w:szCs w:val="20"/>
          <w:shd w:val="clear" w:color="auto" w:fill="FFFFFF"/>
          <w:lang w:eastAsia="es-ES_tradnl"/>
        </w:rPr>
        <w:t xml:space="preserve">Ahora bien, se resalta que la oferta económica en esta modalidad de selección no es un criterio de asignación de puntaje, teniendo en cuenta lo prescrito en el artículo 5, numeral 4, de la Ley 1150 de 2007. De igual forma, de acuerdo con el numeral 1 del artículo 2.2.1.2.1.3.2 del Decreto 1082 de 2015, la experiencia y la formación académica del equipo de trabajo son criterios de asignación de puntaje. </w:t>
      </w:r>
    </w:p>
    <w:p w14:paraId="7FE385AF" w14:textId="77777777" w:rsidR="00060FC3" w:rsidRDefault="00060FC3" w:rsidP="00060FC3">
      <w:pPr>
        <w:spacing w:after="0" w:line="240" w:lineRule="auto"/>
        <w:jc w:val="both"/>
        <w:rPr>
          <w:rFonts w:ascii="Arial" w:eastAsia="Times New Roman" w:hAnsi="Arial" w:cs="Arial"/>
          <w:sz w:val="20"/>
          <w:szCs w:val="20"/>
          <w:shd w:val="clear" w:color="auto" w:fill="FFFFFF"/>
          <w:lang w:eastAsia="es-ES_tradnl"/>
        </w:rPr>
      </w:pPr>
    </w:p>
    <w:p w14:paraId="6B0BD342" w14:textId="208E14AA" w:rsidR="00060FC3" w:rsidRPr="00060FC3" w:rsidRDefault="00060FC3" w:rsidP="00060FC3">
      <w:pPr>
        <w:spacing w:after="0" w:line="240" w:lineRule="auto"/>
        <w:jc w:val="both"/>
        <w:rPr>
          <w:rFonts w:ascii="Arial" w:eastAsia="Times New Roman" w:hAnsi="Arial" w:cs="Arial"/>
          <w:sz w:val="20"/>
          <w:szCs w:val="20"/>
          <w:shd w:val="clear" w:color="auto" w:fill="FFFFFF"/>
          <w:lang w:eastAsia="es-ES_tradnl"/>
        </w:rPr>
      </w:pPr>
      <w:r w:rsidRPr="00060FC3">
        <w:rPr>
          <w:rFonts w:ascii="Arial" w:eastAsia="Times New Roman" w:hAnsi="Arial" w:cs="Arial"/>
          <w:sz w:val="20"/>
          <w:szCs w:val="20"/>
          <w:shd w:val="clear" w:color="auto" w:fill="FFFFFF"/>
          <w:lang w:eastAsia="es-ES_tradnl"/>
        </w:rPr>
        <w:t xml:space="preserve">Al respecto, es importante señalar que el artículo 12 del Decreto Ley 785 de 2005 dispone lo siguiente: </w:t>
      </w:r>
      <w:r>
        <w:rPr>
          <w:rFonts w:ascii="Arial" w:eastAsia="Times New Roman" w:hAnsi="Arial" w:cs="Arial"/>
          <w:sz w:val="20"/>
          <w:szCs w:val="20"/>
          <w:shd w:val="clear" w:color="auto" w:fill="FFFFFF"/>
          <w:lang w:eastAsia="es-ES_tradnl"/>
        </w:rPr>
        <w:t>[…]</w:t>
      </w:r>
    </w:p>
    <w:p w14:paraId="3FB48470" w14:textId="77777777" w:rsidR="00060FC3" w:rsidRPr="00060FC3" w:rsidRDefault="00060FC3" w:rsidP="00060FC3">
      <w:pPr>
        <w:spacing w:after="0" w:line="240" w:lineRule="auto"/>
        <w:jc w:val="both"/>
        <w:rPr>
          <w:rFonts w:ascii="Arial" w:eastAsia="Times New Roman" w:hAnsi="Arial" w:cs="Arial"/>
          <w:sz w:val="20"/>
          <w:szCs w:val="20"/>
          <w:shd w:val="clear" w:color="auto" w:fill="FFFFFF"/>
          <w:lang w:eastAsia="es-ES_tradnl"/>
        </w:rPr>
      </w:pPr>
    </w:p>
    <w:p w14:paraId="0B49811A" w14:textId="05BB7E6D" w:rsidR="00060FC3" w:rsidRDefault="00060FC3" w:rsidP="00060FC3">
      <w:pPr>
        <w:spacing w:after="0" w:line="240" w:lineRule="auto"/>
        <w:jc w:val="both"/>
        <w:rPr>
          <w:rFonts w:ascii="Arial" w:eastAsia="Times New Roman" w:hAnsi="Arial" w:cs="Arial"/>
          <w:sz w:val="20"/>
          <w:szCs w:val="20"/>
          <w:shd w:val="clear" w:color="auto" w:fill="FFFFFF"/>
          <w:lang w:eastAsia="es-ES_tradnl"/>
        </w:rPr>
      </w:pPr>
      <w:r w:rsidRPr="00060FC3">
        <w:rPr>
          <w:rFonts w:ascii="Arial" w:eastAsia="Times New Roman" w:hAnsi="Arial" w:cs="Arial"/>
          <w:sz w:val="20"/>
          <w:szCs w:val="20"/>
          <w:shd w:val="clear" w:color="auto" w:fill="FFFFFF"/>
          <w:lang w:eastAsia="es-ES_tradnl"/>
        </w:rPr>
        <w:t xml:space="preserve">Adicionalmente, el Decreto 1083 de 2015 contempla en su artículo 2.2.2.3.8 una regla de acreditación de experiencia similar a la citada con anterioridad, en el sentido de que ello debe realizarse a través de la presentación de constancias expedidas por la autoridad competente de las respectivas instituciones oficiales o privadas. </w:t>
      </w:r>
    </w:p>
    <w:p w14:paraId="04EDC5B6" w14:textId="77777777" w:rsidR="00060FC3" w:rsidRPr="00060FC3" w:rsidRDefault="00060FC3" w:rsidP="00060FC3">
      <w:pPr>
        <w:spacing w:after="0" w:line="240" w:lineRule="auto"/>
        <w:jc w:val="both"/>
        <w:rPr>
          <w:rFonts w:ascii="Arial" w:eastAsia="Times New Roman" w:hAnsi="Arial" w:cs="Arial"/>
          <w:sz w:val="20"/>
          <w:szCs w:val="20"/>
          <w:shd w:val="clear" w:color="auto" w:fill="FFFFFF"/>
          <w:lang w:eastAsia="es-ES_tradnl"/>
        </w:rPr>
      </w:pPr>
    </w:p>
    <w:p w14:paraId="3066BBD9" w14:textId="1DEA6FB4" w:rsidR="00002BAF" w:rsidRPr="00002BAF" w:rsidRDefault="00060FC3" w:rsidP="00060FC3">
      <w:pPr>
        <w:spacing w:after="0" w:line="240" w:lineRule="auto"/>
        <w:jc w:val="both"/>
        <w:rPr>
          <w:rFonts w:ascii="Arial" w:eastAsia="Times New Roman" w:hAnsi="Arial" w:cs="Arial"/>
          <w:sz w:val="20"/>
          <w:szCs w:val="20"/>
          <w:shd w:val="clear" w:color="auto" w:fill="FFFFFF"/>
          <w:lang w:eastAsia="es-ES_tradnl"/>
        </w:rPr>
      </w:pPr>
      <w:r w:rsidRPr="00060FC3">
        <w:rPr>
          <w:rFonts w:ascii="Arial" w:eastAsia="Times New Roman" w:hAnsi="Arial" w:cs="Arial"/>
          <w:sz w:val="20"/>
          <w:szCs w:val="20"/>
          <w:shd w:val="clear" w:color="auto" w:fill="FFFFFF"/>
          <w:lang w:eastAsia="es-ES_tradnl"/>
        </w:rPr>
        <w:t>Por lo tanto, para la calificación de la experiencia de un proponente y su equipo de trabajo en desarrollo de un concurso de méritos, es suficiente con la presentación de las respectivas constancias expedidas por las instituciones oficiales o privadas en las cuales hayan prestado sus servicios o desempeñado algún cargo o empleo. Así, es posible prescindir de la historia laboral para la acreditación de la experiencia.</w:t>
      </w:r>
    </w:p>
    <w:p w14:paraId="704145F3" w14:textId="77777777" w:rsidR="00002BAF" w:rsidRPr="00002BAF" w:rsidRDefault="00002BAF" w:rsidP="00002BAF">
      <w:pPr>
        <w:spacing w:after="0" w:line="240" w:lineRule="auto"/>
        <w:jc w:val="both"/>
        <w:rPr>
          <w:rFonts w:ascii="Arial" w:eastAsia="Times New Roman" w:hAnsi="Arial" w:cs="Arial"/>
          <w:shd w:val="clear" w:color="auto" w:fill="FFFFFF"/>
          <w:lang w:eastAsia="es-ES_tradnl"/>
        </w:rPr>
      </w:pPr>
    </w:p>
    <w:p w14:paraId="13257E7B" w14:textId="77777777" w:rsidR="00002BAF" w:rsidRPr="00002BAF" w:rsidRDefault="00002BAF" w:rsidP="00002BAF">
      <w:pPr>
        <w:spacing w:after="0"/>
        <w:jc w:val="both"/>
        <w:rPr>
          <w:rFonts w:ascii="Arial" w:eastAsia="Calibri" w:hAnsi="Arial" w:cs="Arial"/>
          <w:b/>
          <w:bCs/>
          <w:lang w:val="es-ES"/>
        </w:rPr>
      </w:pPr>
      <w:r w:rsidRPr="00002BAF">
        <w:rPr>
          <w:rFonts w:ascii="Arial" w:eastAsia="Calibri" w:hAnsi="Arial" w:cs="Arial"/>
          <w:b/>
          <w:bCs/>
          <w:lang w:val="es-ES"/>
        </w:rPr>
        <w:t>RESERVA DE INFORMACIÓN PÚBLICA – Fundamento – Constitución – Ley – Aplicación – Procesos contractuales</w:t>
      </w:r>
    </w:p>
    <w:p w14:paraId="2071EA42" w14:textId="77777777" w:rsidR="00002BAF" w:rsidRPr="00002BAF" w:rsidRDefault="00002BAF" w:rsidP="00002BAF">
      <w:pPr>
        <w:spacing w:after="0"/>
        <w:jc w:val="both"/>
        <w:rPr>
          <w:rFonts w:ascii="Arial" w:eastAsia="Calibri" w:hAnsi="Arial" w:cs="Arial"/>
          <w:b/>
          <w:bCs/>
          <w:lang w:val="es-ES"/>
        </w:rPr>
      </w:pPr>
    </w:p>
    <w:p w14:paraId="6776841D" w14:textId="270B4970" w:rsidR="00060FC3" w:rsidRDefault="00060FC3" w:rsidP="00060FC3">
      <w:pPr>
        <w:spacing w:after="0" w:line="240" w:lineRule="auto"/>
        <w:jc w:val="both"/>
        <w:rPr>
          <w:rFonts w:ascii="Arial" w:eastAsia="Calibri" w:hAnsi="Arial" w:cs="Arial"/>
          <w:sz w:val="20"/>
          <w:szCs w:val="20"/>
          <w:lang w:val="es-ES_tradnl"/>
        </w:rPr>
      </w:pPr>
      <w:r w:rsidRPr="00060FC3">
        <w:rPr>
          <w:rFonts w:ascii="Arial" w:eastAsia="Calibri" w:hAnsi="Arial" w:cs="Arial"/>
          <w:sz w:val="20"/>
          <w:szCs w:val="20"/>
          <w:lang w:val="es-ES_tradnl"/>
        </w:rPr>
        <w:t>En otras palabras, aunque el artículo 74 de la Constitución establezca que la información pública debe ser dada a conocer a la ciudadanía y así los documentos que hagan parte de la actividad contractual puedan catalogarse, prima facie,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 dicha disposición establece que la reserva de acceso a la información opera respecto al contenido de un documento público, pero no respecto de su existencia. Sin perjuicio de lo anterior, es posible que el contenido de todo el documento o expediente no deba ser objeto de publicidad por estar amparado de forma íntegra por la reserva, dada su conexión con las causales establecidas en la Constitución o la ley.</w:t>
      </w:r>
    </w:p>
    <w:p w14:paraId="770D0C66" w14:textId="77777777" w:rsidR="00060FC3" w:rsidRPr="00060FC3" w:rsidRDefault="00060FC3" w:rsidP="00060FC3">
      <w:pPr>
        <w:spacing w:after="0" w:line="240" w:lineRule="auto"/>
        <w:jc w:val="both"/>
        <w:rPr>
          <w:rFonts w:ascii="Arial" w:eastAsia="Calibri" w:hAnsi="Arial" w:cs="Arial"/>
          <w:sz w:val="20"/>
          <w:szCs w:val="20"/>
          <w:lang w:val="es-ES_tradnl"/>
        </w:rPr>
      </w:pPr>
    </w:p>
    <w:p w14:paraId="17EA9215" w14:textId="48B74851" w:rsidR="00002BAF" w:rsidRPr="00002BAF" w:rsidRDefault="00060FC3" w:rsidP="00060FC3">
      <w:pPr>
        <w:spacing w:after="0" w:line="240" w:lineRule="auto"/>
        <w:jc w:val="both"/>
        <w:rPr>
          <w:rFonts w:ascii="Arial" w:eastAsia="Calibri" w:hAnsi="Arial" w:cs="Arial"/>
          <w:lang w:val="es-ES_tradnl"/>
        </w:rPr>
      </w:pPr>
      <w:r w:rsidRPr="00060FC3">
        <w:rPr>
          <w:rFonts w:ascii="Arial" w:eastAsia="Calibri" w:hAnsi="Arial" w:cs="Arial"/>
          <w:sz w:val="20"/>
          <w:szCs w:val="20"/>
          <w:lang w:val="es-ES_tradnl"/>
        </w:rPr>
        <w:t xml:space="preserve">Por ello,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Particularmente, para efectos de su </w:t>
      </w:r>
      <w:r w:rsidRPr="00060FC3">
        <w:rPr>
          <w:rFonts w:ascii="Arial" w:eastAsia="Calibri" w:hAnsi="Arial" w:cs="Arial"/>
          <w:sz w:val="20"/>
          <w:szCs w:val="20"/>
          <w:lang w:val="es-ES_tradnl"/>
        </w:rPr>
        <w:lastRenderedPageBreak/>
        <w:t>consulta, el numeral 3 del artículo 24 de la Ley 1437 de 2011 dispone que los documentos y las informaciones que involucren derechos a la privacidad e intimidad de las personas, como las incluidas en hojas de vida e historias laborales, se encuentran sometidos a reserva.</w:t>
      </w:r>
    </w:p>
    <w:p w14:paraId="1CF2E581" w14:textId="77777777" w:rsidR="00002BAF" w:rsidRPr="00002BAF" w:rsidRDefault="00002BAF" w:rsidP="00002BAF">
      <w:pPr>
        <w:tabs>
          <w:tab w:val="left" w:pos="3374"/>
        </w:tabs>
        <w:spacing w:after="0" w:line="240" w:lineRule="auto"/>
        <w:jc w:val="right"/>
        <w:rPr>
          <w:rFonts w:ascii="Arial" w:eastAsia="Calibri" w:hAnsi="Arial" w:cs="Arial"/>
        </w:rPr>
      </w:pPr>
    </w:p>
    <w:p w14:paraId="2D5B5058"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23260894"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0523C99F"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48FA808C"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4D226602"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3BB02AD3"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7067C128"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576A19EF"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1C71D026"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554B11FA"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3BFD8B4C"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08D5B688"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09C843AB"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62D8BCCD"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2FD001D4"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59E2F76F"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733B39DC"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42279346"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0349C311"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3FCD2676"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3C495B0E"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6536FEED"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09DEB7F2"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40437D54"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782BE51E"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4701956D"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22CE553C"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60A8A215"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405EDDD0"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12705AC5"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7B56E1BF"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4F1F66B4"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02B3ED39"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4BA0516A"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606021B4"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62F9F132"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noProof/>
          <w:sz w:val="20"/>
          <w:lang w:val="es-ES"/>
        </w:rPr>
      </w:pPr>
    </w:p>
    <w:p w14:paraId="29A70034" w14:textId="77777777" w:rsidR="00002BAF" w:rsidRPr="00002BAF" w:rsidRDefault="00002BAF" w:rsidP="00002BAF">
      <w:pPr>
        <w:widowControl w:val="0"/>
        <w:autoSpaceDE w:val="0"/>
        <w:autoSpaceDN w:val="0"/>
        <w:spacing w:after="0" w:line="240" w:lineRule="auto"/>
        <w:ind w:left="4825"/>
        <w:rPr>
          <w:rFonts w:ascii="Times New Roman" w:eastAsia="Arial MT" w:hAnsi="Arial MT" w:cs="Arial MT"/>
          <w:sz w:val="20"/>
          <w:lang w:val="es-ES"/>
        </w:rPr>
      </w:pPr>
    </w:p>
    <w:p w14:paraId="06BF9A18" w14:textId="77777777" w:rsidR="00002BAF" w:rsidRPr="00002BAF" w:rsidRDefault="00002BAF" w:rsidP="00002BAF">
      <w:pPr>
        <w:widowControl w:val="0"/>
        <w:autoSpaceDE w:val="0"/>
        <w:autoSpaceDN w:val="0"/>
        <w:spacing w:before="1" w:after="0" w:line="240" w:lineRule="auto"/>
        <w:rPr>
          <w:rFonts w:ascii="Times New Roman" w:eastAsia="Arial MT" w:hAnsi="Arial MT" w:cs="Arial MT"/>
          <w:sz w:val="20"/>
          <w:lang w:val="es-ES"/>
        </w:rPr>
      </w:pPr>
    </w:p>
    <w:p w14:paraId="7F873DF7" w14:textId="77777777" w:rsidR="00002BAF" w:rsidRPr="00002BAF" w:rsidRDefault="00002BAF" w:rsidP="00002BAF">
      <w:pPr>
        <w:widowControl w:val="0"/>
        <w:autoSpaceDE w:val="0"/>
        <w:autoSpaceDN w:val="0"/>
        <w:spacing w:before="1" w:after="0" w:line="240" w:lineRule="auto"/>
        <w:rPr>
          <w:rFonts w:ascii="Times New Roman" w:eastAsia="Arial MT" w:hAnsi="Arial MT" w:cs="Arial MT"/>
          <w:sz w:val="18"/>
          <w:lang w:val="es-ES"/>
        </w:rPr>
      </w:pPr>
    </w:p>
    <w:p w14:paraId="666A0E88" w14:textId="3E7F7971" w:rsidR="00002BAF" w:rsidRPr="00002BAF" w:rsidRDefault="00002BAF" w:rsidP="004527E6">
      <w:pPr>
        <w:widowControl w:val="0"/>
        <w:autoSpaceDE w:val="0"/>
        <w:autoSpaceDN w:val="0"/>
        <w:spacing w:before="94" w:after="0" w:line="240" w:lineRule="auto"/>
        <w:ind w:right="533"/>
        <w:jc w:val="center"/>
        <w:rPr>
          <w:rFonts w:ascii="Arial" w:eastAsia="Arial MT" w:hAnsi="Arial MT" w:cs="Arial MT"/>
          <w:b/>
          <w:sz w:val="20"/>
          <w:lang w:val="es-ES"/>
        </w:rPr>
      </w:pPr>
    </w:p>
    <w:p w14:paraId="0DBC71D8" w14:textId="77777777" w:rsidR="00002BAF" w:rsidRPr="00002BAF" w:rsidRDefault="00002BAF" w:rsidP="00002BAF">
      <w:pPr>
        <w:widowControl w:val="0"/>
        <w:autoSpaceDE w:val="0"/>
        <w:autoSpaceDN w:val="0"/>
        <w:spacing w:after="0" w:line="240" w:lineRule="auto"/>
        <w:rPr>
          <w:rFonts w:ascii="Arial" w:eastAsia="Arial MT" w:hAnsi="Arial MT" w:cs="Arial MT"/>
          <w:b/>
          <w:sz w:val="20"/>
          <w:lang w:val="es-ES"/>
        </w:rPr>
      </w:pPr>
    </w:p>
    <w:p w14:paraId="64C54112" w14:textId="77777777" w:rsidR="00002BAF" w:rsidRPr="00002BAF" w:rsidRDefault="00002BAF" w:rsidP="00002BAF">
      <w:pPr>
        <w:widowControl w:val="0"/>
        <w:autoSpaceDE w:val="0"/>
        <w:autoSpaceDN w:val="0"/>
        <w:spacing w:after="0" w:line="240" w:lineRule="auto"/>
        <w:rPr>
          <w:rFonts w:ascii="Arial" w:eastAsia="Arial MT" w:hAnsi="Arial" w:cs="Arial"/>
          <w:lang w:val="es-ES"/>
        </w:rPr>
      </w:pPr>
    </w:p>
    <w:p w14:paraId="7E5E4E77" w14:textId="00E30844" w:rsidR="00002BAF" w:rsidRDefault="00002BAF" w:rsidP="00002BAF">
      <w:pPr>
        <w:widowControl w:val="0"/>
        <w:autoSpaceDE w:val="0"/>
        <w:autoSpaceDN w:val="0"/>
        <w:spacing w:after="0" w:line="240" w:lineRule="auto"/>
        <w:rPr>
          <w:rFonts w:ascii="Arial" w:eastAsia="Arial MT" w:hAnsi="Arial" w:cs="Arial"/>
          <w:lang w:val="es-ES"/>
        </w:rPr>
      </w:pPr>
    </w:p>
    <w:p w14:paraId="20C0DA31" w14:textId="217F5A34" w:rsidR="004F5577" w:rsidRDefault="004F5577" w:rsidP="00002BAF">
      <w:pPr>
        <w:widowControl w:val="0"/>
        <w:autoSpaceDE w:val="0"/>
        <w:autoSpaceDN w:val="0"/>
        <w:spacing w:after="0" w:line="240" w:lineRule="auto"/>
        <w:rPr>
          <w:rFonts w:ascii="Arial" w:eastAsia="Arial MT" w:hAnsi="Arial" w:cs="Arial"/>
          <w:lang w:val="es-ES"/>
        </w:rPr>
      </w:pPr>
    </w:p>
    <w:p w14:paraId="2DB4380C" w14:textId="75D6FA90" w:rsidR="004F5577" w:rsidRDefault="004F5577" w:rsidP="00002BAF">
      <w:pPr>
        <w:widowControl w:val="0"/>
        <w:autoSpaceDE w:val="0"/>
        <w:autoSpaceDN w:val="0"/>
        <w:spacing w:after="0" w:line="240" w:lineRule="auto"/>
        <w:rPr>
          <w:rFonts w:ascii="Arial" w:eastAsia="Arial MT" w:hAnsi="Arial" w:cs="Arial"/>
          <w:lang w:val="es-ES"/>
        </w:rPr>
      </w:pPr>
    </w:p>
    <w:p w14:paraId="4D0DFC7E" w14:textId="4E12CCF1" w:rsidR="00A84826" w:rsidRDefault="00A84826" w:rsidP="00A84826">
      <w:pPr>
        <w:spacing w:line="257" w:lineRule="auto"/>
        <w:rPr>
          <w:rFonts w:ascii="Arial" w:eastAsia="Geomanist Light" w:hAnsi="Arial" w:cs="Arial"/>
          <w:color w:val="201F1E"/>
        </w:rPr>
      </w:pPr>
      <w:r w:rsidRPr="736F5ACF">
        <w:rPr>
          <w:rFonts w:ascii="Arial" w:eastAsia="Arial" w:hAnsi="Arial" w:cs="Arial"/>
          <w:color w:val="000000" w:themeColor="text1"/>
          <w:szCs w:val="24"/>
        </w:rPr>
        <w:lastRenderedPageBreak/>
        <w:t>Bogotá D.C., 2</w:t>
      </w:r>
      <w:r>
        <w:rPr>
          <w:rFonts w:ascii="Arial" w:eastAsia="Arial" w:hAnsi="Arial" w:cs="Arial"/>
          <w:color w:val="000000" w:themeColor="text1"/>
          <w:szCs w:val="24"/>
        </w:rPr>
        <w:t>1</w:t>
      </w:r>
      <w:r w:rsidRPr="736F5ACF">
        <w:rPr>
          <w:rFonts w:ascii="Arial" w:eastAsia="Arial" w:hAnsi="Arial" w:cs="Arial"/>
          <w:color w:val="201F1E"/>
          <w:szCs w:val="24"/>
        </w:rPr>
        <w:t xml:space="preserve"> de </w:t>
      </w:r>
      <w:r>
        <w:rPr>
          <w:rFonts w:ascii="Arial" w:eastAsia="Arial" w:hAnsi="Arial" w:cs="Arial"/>
          <w:color w:val="201F1E"/>
          <w:szCs w:val="24"/>
        </w:rPr>
        <w:t>febrero</w:t>
      </w:r>
      <w:r w:rsidRPr="736F5ACF">
        <w:rPr>
          <w:rFonts w:ascii="Arial" w:eastAsia="Arial" w:hAnsi="Arial" w:cs="Arial"/>
          <w:color w:val="201F1E"/>
          <w:szCs w:val="24"/>
        </w:rPr>
        <w:t xml:space="preserve"> de 2023</w:t>
      </w:r>
    </w:p>
    <w:p w14:paraId="53575278" w14:textId="003D4EDD" w:rsidR="004F5577" w:rsidRDefault="004F5577" w:rsidP="00002BAF">
      <w:pPr>
        <w:widowControl w:val="0"/>
        <w:autoSpaceDE w:val="0"/>
        <w:autoSpaceDN w:val="0"/>
        <w:spacing w:after="0" w:line="240" w:lineRule="auto"/>
        <w:rPr>
          <w:rFonts w:ascii="Arial" w:eastAsia="Arial MT" w:hAnsi="Arial" w:cs="Arial"/>
          <w:lang w:val="es-ES"/>
        </w:rPr>
      </w:pPr>
    </w:p>
    <w:p w14:paraId="4B072716" w14:textId="7B5B2FE4" w:rsidR="008B612B" w:rsidRPr="00002BAF" w:rsidRDefault="006251F2" w:rsidP="006251F2">
      <w:pPr>
        <w:widowControl w:val="0"/>
        <w:tabs>
          <w:tab w:val="left" w:pos="8410"/>
        </w:tabs>
        <w:autoSpaceDE w:val="0"/>
        <w:autoSpaceDN w:val="0"/>
        <w:spacing w:after="0" w:line="240" w:lineRule="auto"/>
        <w:jc w:val="right"/>
        <w:rPr>
          <w:rFonts w:ascii="Arial" w:eastAsia="Arial MT" w:hAnsi="Arial" w:cs="Arial"/>
          <w:lang w:val="es-ES"/>
        </w:rPr>
      </w:pPr>
      <w:r>
        <w:rPr>
          <w:rFonts w:ascii="Arial" w:eastAsia="Arial MT" w:hAnsi="Arial" w:cs="Arial"/>
          <w:lang w:val="es-ES"/>
        </w:rPr>
        <w:tab/>
      </w:r>
      <w:r>
        <w:rPr>
          <w:rFonts w:ascii="Arial" w:eastAsia="Arial MT" w:hAnsi="Arial" w:cs="Arial"/>
          <w:noProof/>
          <w:lang w:val="es-ES"/>
        </w:rPr>
        <w:drawing>
          <wp:inline distT="0" distB="0" distL="0" distR="0" wp14:anchorId="74494140" wp14:editId="7521862F">
            <wp:extent cx="2853448" cy="780240"/>
            <wp:effectExtent l="0" t="0" r="4445" b="127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73475" cy="785716"/>
                    </a:xfrm>
                    <a:prstGeom prst="rect">
                      <a:avLst/>
                    </a:prstGeom>
                  </pic:spPr>
                </pic:pic>
              </a:graphicData>
            </a:graphic>
          </wp:inline>
        </w:drawing>
      </w:r>
    </w:p>
    <w:p w14:paraId="7FBEA2EC" w14:textId="77777777" w:rsidR="006251F2" w:rsidRDefault="006251F2" w:rsidP="00002BAF">
      <w:pPr>
        <w:widowControl w:val="0"/>
        <w:autoSpaceDE w:val="0"/>
        <w:autoSpaceDN w:val="0"/>
        <w:spacing w:after="0" w:line="240" w:lineRule="auto"/>
        <w:rPr>
          <w:rFonts w:ascii="Arial" w:eastAsia="Arial MT" w:hAnsi="Arial" w:cs="Arial"/>
          <w:lang w:val="es-ES"/>
        </w:rPr>
      </w:pPr>
    </w:p>
    <w:p w14:paraId="02F51FE6" w14:textId="4D7E4234" w:rsidR="00002BAF" w:rsidRPr="00002BAF" w:rsidRDefault="00002BAF" w:rsidP="00002BAF">
      <w:pPr>
        <w:widowControl w:val="0"/>
        <w:autoSpaceDE w:val="0"/>
        <w:autoSpaceDN w:val="0"/>
        <w:spacing w:after="0" w:line="240" w:lineRule="auto"/>
        <w:rPr>
          <w:rFonts w:ascii="Arial" w:eastAsia="Arial MT" w:hAnsi="Arial" w:cs="Arial"/>
          <w:lang w:val="es-ES"/>
        </w:rPr>
      </w:pPr>
      <w:r w:rsidRPr="00002BAF">
        <w:rPr>
          <w:rFonts w:ascii="Arial" w:eastAsia="Arial MT" w:hAnsi="Arial" w:cs="Arial"/>
          <w:lang w:val="es-ES"/>
        </w:rPr>
        <w:t>Señor</w:t>
      </w:r>
    </w:p>
    <w:p w14:paraId="10D566FE" w14:textId="77777777" w:rsidR="00002BAF" w:rsidRPr="00002BAF" w:rsidRDefault="00002BAF" w:rsidP="00002BAF">
      <w:pPr>
        <w:spacing w:after="0" w:line="240" w:lineRule="auto"/>
        <w:rPr>
          <w:rFonts w:ascii="Arial" w:eastAsia="Times New Roman" w:hAnsi="Arial" w:cs="Arial"/>
          <w:b/>
          <w:color w:val="000000"/>
          <w:lang w:val="es-ES"/>
        </w:rPr>
      </w:pPr>
      <w:r w:rsidRPr="00002BAF">
        <w:rPr>
          <w:rFonts w:ascii="Arial" w:eastAsia="Times New Roman" w:hAnsi="Arial" w:cs="Arial"/>
          <w:b/>
          <w:color w:val="000000"/>
          <w:lang w:val="es-ES"/>
        </w:rPr>
        <w:t>Lenin Augusto Pardo Porras</w:t>
      </w:r>
    </w:p>
    <w:p w14:paraId="65DCC6BC" w14:textId="77777777" w:rsidR="00002BAF" w:rsidRPr="00002BAF" w:rsidRDefault="00002BAF" w:rsidP="00002BAF">
      <w:pPr>
        <w:widowControl w:val="0"/>
        <w:autoSpaceDE w:val="0"/>
        <w:autoSpaceDN w:val="0"/>
        <w:spacing w:after="0" w:line="240" w:lineRule="auto"/>
        <w:rPr>
          <w:rFonts w:ascii="Arial" w:eastAsia="Arial MT" w:hAnsi="Arial" w:cs="Arial"/>
          <w:lang w:val="es-ES"/>
        </w:rPr>
      </w:pPr>
      <w:r w:rsidRPr="00002BAF">
        <w:rPr>
          <w:rFonts w:ascii="Arial" w:eastAsia="Arial MT" w:hAnsi="Arial" w:cs="Arial"/>
          <w:lang w:val="es-ES"/>
        </w:rPr>
        <w:t>Bogotá, D.C.</w:t>
      </w:r>
    </w:p>
    <w:p w14:paraId="61C10E6F" w14:textId="77777777" w:rsidR="00002BAF" w:rsidRPr="00002BAF" w:rsidRDefault="00002BAF" w:rsidP="00002BAF">
      <w:pPr>
        <w:widowControl w:val="0"/>
        <w:autoSpaceDE w:val="0"/>
        <w:autoSpaceDN w:val="0"/>
        <w:spacing w:before="11" w:after="0" w:line="240" w:lineRule="auto"/>
        <w:rPr>
          <w:rFonts w:ascii="Arial" w:eastAsia="Arial MT" w:hAnsi="Arial" w:cs="Arial"/>
          <w:lang w:val="es-ES"/>
        </w:rPr>
      </w:pPr>
    </w:p>
    <w:p w14:paraId="4653A6FE" w14:textId="77777777" w:rsidR="00002BAF" w:rsidRPr="00002BAF" w:rsidRDefault="00002BAF" w:rsidP="00002BAF">
      <w:pPr>
        <w:widowControl w:val="0"/>
        <w:autoSpaceDE w:val="0"/>
        <w:autoSpaceDN w:val="0"/>
        <w:spacing w:after="0" w:line="240" w:lineRule="auto"/>
        <w:outlineLvl w:val="0"/>
        <w:rPr>
          <w:rFonts w:ascii="Arial" w:eastAsia="Arial" w:hAnsi="Arial" w:cs="Arial"/>
          <w:b/>
          <w:bCs/>
          <w:lang w:val="es-ES"/>
        </w:rPr>
      </w:pPr>
      <w:r w:rsidRPr="00002BAF">
        <w:rPr>
          <w:rFonts w:ascii="Arial" w:eastAsia="Arial" w:hAnsi="Arial" w:cs="Arial"/>
          <w:b/>
          <w:bCs/>
          <w:lang w:val="es-ES"/>
        </w:rPr>
        <w:t xml:space="preserve">                                            Concepto</w:t>
      </w:r>
      <w:r w:rsidRPr="00002BAF">
        <w:rPr>
          <w:rFonts w:ascii="Arial" w:eastAsia="Arial" w:hAnsi="Arial" w:cs="Arial"/>
          <w:b/>
          <w:bCs/>
          <w:spacing w:val="-4"/>
          <w:lang w:val="es-ES"/>
        </w:rPr>
        <w:t xml:space="preserve"> </w:t>
      </w:r>
      <w:r w:rsidRPr="00002BAF">
        <w:rPr>
          <w:rFonts w:ascii="Arial" w:eastAsia="Arial" w:hAnsi="Arial" w:cs="Arial"/>
          <w:b/>
          <w:bCs/>
          <w:lang w:val="es-ES"/>
        </w:rPr>
        <w:t>C–</w:t>
      </w:r>
      <w:r w:rsidRPr="00002BAF">
        <w:rPr>
          <w:rFonts w:ascii="Arial" w:eastAsia="Arial" w:hAnsi="Arial" w:cs="Arial"/>
          <w:b/>
          <w:bCs/>
          <w:spacing w:val="-4"/>
          <w:lang w:val="es-ES"/>
        </w:rPr>
        <w:t xml:space="preserve">005 </w:t>
      </w:r>
      <w:r w:rsidRPr="00002BAF">
        <w:rPr>
          <w:rFonts w:ascii="Arial" w:eastAsia="Arial" w:hAnsi="Arial" w:cs="Arial"/>
          <w:b/>
          <w:bCs/>
          <w:lang w:val="es-ES"/>
        </w:rPr>
        <w:t>de</w:t>
      </w:r>
      <w:r w:rsidRPr="00002BAF">
        <w:rPr>
          <w:rFonts w:ascii="Arial" w:eastAsia="Arial" w:hAnsi="Arial" w:cs="Arial"/>
          <w:b/>
          <w:bCs/>
          <w:spacing w:val="-3"/>
          <w:lang w:val="es-ES"/>
        </w:rPr>
        <w:t xml:space="preserve"> </w:t>
      </w:r>
      <w:r w:rsidRPr="00002BAF">
        <w:rPr>
          <w:rFonts w:ascii="Arial" w:eastAsia="Arial" w:hAnsi="Arial" w:cs="Arial"/>
          <w:b/>
          <w:bCs/>
          <w:lang w:val="es-ES"/>
        </w:rPr>
        <w:t>2023</w:t>
      </w:r>
    </w:p>
    <w:p w14:paraId="123A42FB" w14:textId="77777777" w:rsidR="00002BAF" w:rsidRPr="00002BAF" w:rsidRDefault="00002BAF" w:rsidP="00002BAF">
      <w:pPr>
        <w:widowControl w:val="0"/>
        <w:tabs>
          <w:tab w:val="left" w:pos="2794"/>
        </w:tabs>
        <w:autoSpaceDE w:val="0"/>
        <w:autoSpaceDN w:val="0"/>
        <w:spacing w:before="92" w:after="0" w:line="240" w:lineRule="auto"/>
        <w:ind w:right="111"/>
        <w:jc w:val="both"/>
        <w:rPr>
          <w:rFonts w:ascii="Arial" w:eastAsia="Arial MT" w:hAnsi="Arial" w:cs="Arial"/>
          <w:b/>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002BAF" w:rsidRPr="00002BAF" w14:paraId="79A9C5E0" w14:textId="77777777" w:rsidTr="005036E9">
        <w:tc>
          <w:tcPr>
            <w:tcW w:w="2552" w:type="dxa"/>
          </w:tcPr>
          <w:p w14:paraId="60284F74" w14:textId="77777777" w:rsidR="00002BAF" w:rsidRPr="00002BAF" w:rsidRDefault="00002BAF" w:rsidP="00002BAF">
            <w:pPr>
              <w:jc w:val="both"/>
              <w:rPr>
                <w:rFonts w:ascii="Arial" w:eastAsia="Calibri" w:hAnsi="Arial" w:cs="Arial"/>
                <w:color w:val="000000"/>
                <w:szCs w:val="24"/>
                <w:lang w:val="es-ES_tradnl" w:eastAsia="es-ES_tradnl"/>
              </w:rPr>
            </w:pPr>
            <w:r w:rsidRPr="00002BAF">
              <w:rPr>
                <w:rFonts w:ascii="Arial" w:eastAsia="Calibri" w:hAnsi="Arial" w:cs="Arial"/>
                <w:b/>
                <w:color w:val="000000"/>
                <w:szCs w:val="24"/>
                <w:lang w:val="es-ES_tradnl" w:eastAsia="es-ES_tradnl"/>
              </w:rPr>
              <w:t>Temas:</w:t>
            </w:r>
            <w:r w:rsidRPr="00002BAF">
              <w:rPr>
                <w:rFonts w:ascii="Arial" w:eastAsia="Calibri" w:hAnsi="Arial" w:cs="Arial"/>
                <w:color w:val="000000"/>
                <w:szCs w:val="24"/>
                <w:lang w:val="es-ES_tradnl" w:eastAsia="es-ES_tradnl"/>
              </w:rPr>
              <w:t xml:space="preserve">                                      </w:t>
            </w:r>
          </w:p>
        </w:tc>
        <w:tc>
          <w:tcPr>
            <w:tcW w:w="6374" w:type="dxa"/>
          </w:tcPr>
          <w:p w14:paraId="057CFECB" w14:textId="77777777" w:rsidR="00002BAF" w:rsidRPr="00002BAF" w:rsidRDefault="00002BAF" w:rsidP="00002BAF">
            <w:pPr>
              <w:jc w:val="both"/>
              <w:rPr>
                <w:rFonts w:ascii="Arial" w:eastAsia="Calibri" w:hAnsi="Arial" w:cs="Arial"/>
                <w:lang w:val="es-ES_tradnl" w:eastAsia="es-ES_tradnl"/>
              </w:rPr>
            </w:pPr>
            <w:r w:rsidRPr="00002BAF">
              <w:rPr>
                <w:rFonts w:ascii="Arial" w:eastAsia="Calibri" w:hAnsi="Arial" w:cs="Arial"/>
                <w:bCs/>
                <w:szCs w:val="24"/>
                <w:lang w:val="es-ES_tradnl" w:eastAsia="es-ES_tradnl"/>
              </w:rPr>
              <w:t>CONCURSO DE MÉRITOS – Concepto – Modalidades / CONCURSO DE MÉRITOS – Decreto 1082 de 2015 – Artículo 2.2.1.2.1.3.2 – Decreto 399 de 2021 – Artículo 2 / CONCURSO DE MÉRITOS – Calificación de la experiencia – Certificación de la experiencia / RESERVA DE INFORMACIÓN PÚBLICA – Fundamento – Constitución – Ley – Aplicación – Procesos contractuales</w:t>
            </w:r>
          </w:p>
          <w:p w14:paraId="27476992" w14:textId="77777777" w:rsidR="00002BAF" w:rsidRPr="00002BAF" w:rsidRDefault="00002BAF" w:rsidP="00002BAF">
            <w:pPr>
              <w:jc w:val="both"/>
              <w:rPr>
                <w:rFonts w:ascii="Arial" w:eastAsia="Times New Roman" w:hAnsi="Arial" w:cs="Arial"/>
                <w:lang w:eastAsia="es-ES_tradnl"/>
              </w:rPr>
            </w:pPr>
          </w:p>
        </w:tc>
      </w:tr>
    </w:tbl>
    <w:p w14:paraId="0119194A" w14:textId="77777777" w:rsidR="00002BAF" w:rsidRPr="00002BAF" w:rsidRDefault="00002BAF" w:rsidP="00002BAF">
      <w:pPr>
        <w:widowControl w:val="0"/>
        <w:tabs>
          <w:tab w:val="left" w:pos="2694"/>
        </w:tabs>
        <w:autoSpaceDE w:val="0"/>
        <w:autoSpaceDN w:val="0"/>
        <w:spacing w:after="0" w:line="240" w:lineRule="auto"/>
        <w:jc w:val="both"/>
        <w:rPr>
          <w:rFonts w:ascii="Arial" w:eastAsia="Arial MT" w:hAnsi="Arial" w:cs="Arial"/>
          <w:lang w:eastAsia="es-ES_tradnl"/>
        </w:rPr>
      </w:pPr>
      <w:r w:rsidRPr="00002BAF">
        <w:rPr>
          <w:rFonts w:ascii="Arial" w:eastAsia="Arial MT" w:hAnsi="Arial" w:cs="Arial"/>
          <w:b/>
          <w:lang w:val="es-ES"/>
        </w:rPr>
        <w:t xml:space="preserve">Radicación:                  </w:t>
      </w:r>
      <w:r w:rsidRPr="00002BAF">
        <w:rPr>
          <w:rFonts w:ascii="Arial" w:eastAsia="Arial MT" w:hAnsi="Arial" w:cs="Arial"/>
          <w:b/>
          <w:lang w:val="es-ES"/>
        </w:rPr>
        <w:tab/>
      </w:r>
      <w:r w:rsidRPr="00002BAF">
        <w:rPr>
          <w:rFonts w:ascii="Arial" w:eastAsia="Arial MT" w:hAnsi="Arial" w:cs="Arial"/>
          <w:lang w:eastAsia="es-ES_tradnl"/>
        </w:rPr>
        <w:t>Respuesta a consulta P20230111000145</w:t>
      </w:r>
    </w:p>
    <w:p w14:paraId="3AEBE98D" w14:textId="77777777" w:rsidR="00002BAF" w:rsidRPr="00002BAF" w:rsidRDefault="00002BAF" w:rsidP="00002BAF">
      <w:pPr>
        <w:widowControl w:val="0"/>
        <w:autoSpaceDE w:val="0"/>
        <w:autoSpaceDN w:val="0"/>
        <w:spacing w:after="0" w:line="240" w:lineRule="auto"/>
        <w:rPr>
          <w:rFonts w:ascii="Arial" w:eastAsia="Arial MT" w:hAnsi="Arial" w:cs="Arial"/>
          <w:lang w:val="es-ES"/>
        </w:rPr>
      </w:pPr>
    </w:p>
    <w:p w14:paraId="076B8C83" w14:textId="77777777" w:rsidR="00002BAF" w:rsidRPr="00002BAF" w:rsidRDefault="00002BAF" w:rsidP="00002BAF">
      <w:pPr>
        <w:widowControl w:val="0"/>
        <w:autoSpaceDE w:val="0"/>
        <w:autoSpaceDN w:val="0"/>
        <w:spacing w:before="10" w:after="0" w:line="240" w:lineRule="auto"/>
        <w:rPr>
          <w:rFonts w:ascii="Arial" w:eastAsia="Arial MT" w:hAnsi="Arial" w:cs="Arial"/>
          <w:lang w:val="es-ES"/>
        </w:rPr>
      </w:pPr>
    </w:p>
    <w:p w14:paraId="43FA24B4" w14:textId="77777777" w:rsidR="00002BAF" w:rsidRPr="00002BAF" w:rsidRDefault="00002BAF" w:rsidP="00002BAF">
      <w:pPr>
        <w:widowControl w:val="0"/>
        <w:autoSpaceDE w:val="0"/>
        <w:autoSpaceDN w:val="0"/>
        <w:spacing w:after="0" w:line="240" w:lineRule="auto"/>
        <w:rPr>
          <w:rFonts w:ascii="Arial MT" w:eastAsia="Arial MT" w:hAnsi="Arial MT" w:cs="Arial MT"/>
          <w:lang w:val="es-ES"/>
        </w:rPr>
      </w:pPr>
      <w:r w:rsidRPr="00002BAF">
        <w:rPr>
          <w:rFonts w:ascii="Arial MT" w:eastAsia="Arial MT" w:hAnsi="Arial MT" w:cs="Arial MT"/>
          <w:lang w:val="es-ES"/>
        </w:rPr>
        <w:t>Estimad</w:t>
      </w:r>
      <w:r w:rsidRPr="00002BAF">
        <w:rPr>
          <w:rFonts w:ascii="Arial MT" w:eastAsia="Arial MT" w:hAnsi="Arial MT" w:cs="Arial MT"/>
          <w:spacing w:val="-7"/>
          <w:lang w:val="es-ES"/>
        </w:rPr>
        <w:t>o señor Pardo Porras</w:t>
      </w:r>
      <w:r w:rsidRPr="00002BAF">
        <w:rPr>
          <w:rFonts w:ascii="Arial" w:eastAsia="Arial MT" w:hAnsi="Arial" w:cs="Arial"/>
          <w:bCs/>
          <w:lang w:val="es-ES"/>
        </w:rPr>
        <w:t>:</w:t>
      </w:r>
    </w:p>
    <w:p w14:paraId="6E5EE02F" w14:textId="77777777" w:rsidR="00002BAF" w:rsidRPr="00002BAF" w:rsidRDefault="00002BAF" w:rsidP="00002BAF">
      <w:pPr>
        <w:widowControl w:val="0"/>
        <w:autoSpaceDE w:val="0"/>
        <w:autoSpaceDN w:val="0"/>
        <w:spacing w:before="7" w:after="0" w:line="240" w:lineRule="auto"/>
        <w:rPr>
          <w:rFonts w:ascii="Arial" w:eastAsia="Arial MT" w:hAnsi="Arial" w:cs="Arial"/>
          <w:lang w:val="es-ES"/>
        </w:rPr>
      </w:pPr>
    </w:p>
    <w:p w14:paraId="48CB6043" w14:textId="77777777" w:rsidR="00002BAF" w:rsidRPr="00002BAF" w:rsidRDefault="00002BAF" w:rsidP="00002BAF">
      <w:pPr>
        <w:widowControl w:val="0"/>
        <w:autoSpaceDE w:val="0"/>
        <w:autoSpaceDN w:val="0"/>
        <w:spacing w:after="0" w:line="276" w:lineRule="auto"/>
        <w:jc w:val="both"/>
        <w:rPr>
          <w:rFonts w:ascii="Arial MT" w:eastAsia="Arial MT" w:hAnsi="Arial MT" w:cs="Arial MT"/>
          <w:lang w:val="es-ES"/>
        </w:rPr>
      </w:pPr>
      <w:r w:rsidRPr="00002BAF">
        <w:rPr>
          <w:rFonts w:ascii="Arial MT" w:eastAsia="Arial MT" w:hAnsi="Arial MT" w:cs="Arial MT"/>
          <w:lang w:val="es-ES"/>
        </w:rPr>
        <w:t>En ejercicio de la competencia otorgada por el numeral 8 del artículo 11 y el numeral 5 del artículo</w:t>
      </w:r>
      <w:r w:rsidRPr="00002BAF">
        <w:rPr>
          <w:rFonts w:ascii="Arial MT" w:eastAsia="Arial MT" w:hAnsi="Arial MT" w:cs="Arial MT"/>
          <w:spacing w:val="-7"/>
          <w:lang w:val="es-ES"/>
        </w:rPr>
        <w:t xml:space="preserve"> </w:t>
      </w:r>
      <w:r w:rsidRPr="00002BAF">
        <w:rPr>
          <w:rFonts w:ascii="Arial MT" w:eastAsia="Arial MT" w:hAnsi="Arial MT" w:cs="Arial MT"/>
          <w:lang w:val="es-ES"/>
        </w:rPr>
        <w:t>3</w:t>
      </w:r>
      <w:r w:rsidRPr="00002BAF">
        <w:rPr>
          <w:rFonts w:ascii="Arial MT" w:eastAsia="Arial MT" w:hAnsi="Arial MT" w:cs="Arial MT"/>
          <w:spacing w:val="-7"/>
          <w:lang w:val="es-ES"/>
        </w:rPr>
        <w:t xml:space="preserve"> </w:t>
      </w:r>
      <w:r w:rsidRPr="00002BAF">
        <w:rPr>
          <w:rFonts w:ascii="Arial MT" w:eastAsia="Arial MT" w:hAnsi="Arial MT" w:cs="Arial MT"/>
          <w:lang w:val="es-ES"/>
        </w:rPr>
        <w:t>del</w:t>
      </w:r>
      <w:r w:rsidRPr="00002BAF">
        <w:rPr>
          <w:rFonts w:ascii="Arial MT" w:eastAsia="Arial MT" w:hAnsi="Arial MT" w:cs="Arial MT"/>
          <w:spacing w:val="-8"/>
          <w:lang w:val="es-ES"/>
        </w:rPr>
        <w:t xml:space="preserve"> </w:t>
      </w:r>
      <w:r w:rsidRPr="00002BAF">
        <w:rPr>
          <w:rFonts w:ascii="Arial MT" w:eastAsia="Arial MT" w:hAnsi="Arial MT" w:cs="Arial MT"/>
          <w:lang w:val="es-ES"/>
        </w:rPr>
        <w:t>Decreto</w:t>
      </w:r>
      <w:r w:rsidRPr="00002BAF">
        <w:rPr>
          <w:rFonts w:ascii="Arial MT" w:eastAsia="Arial MT" w:hAnsi="Arial MT" w:cs="Arial MT"/>
          <w:spacing w:val="-7"/>
          <w:lang w:val="es-ES"/>
        </w:rPr>
        <w:t xml:space="preserve"> </w:t>
      </w:r>
      <w:r w:rsidRPr="00002BAF">
        <w:rPr>
          <w:rFonts w:ascii="Arial MT" w:eastAsia="Arial MT" w:hAnsi="Arial MT" w:cs="Arial MT"/>
          <w:lang w:val="es-ES"/>
        </w:rPr>
        <w:t>Ley</w:t>
      </w:r>
      <w:r w:rsidRPr="00002BAF">
        <w:rPr>
          <w:rFonts w:ascii="Arial MT" w:eastAsia="Arial MT" w:hAnsi="Arial MT" w:cs="Arial MT"/>
          <w:spacing w:val="-7"/>
          <w:lang w:val="es-ES"/>
        </w:rPr>
        <w:t xml:space="preserve"> </w:t>
      </w:r>
      <w:r w:rsidRPr="00002BAF">
        <w:rPr>
          <w:rFonts w:ascii="Arial MT" w:eastAsia="Arial MT" w:hAnsi="Arial MT" w:cs="Arial MT"/>
          <w:lang w:val="es-ES"/>
        </w:rPr>
        <w:t>4170</w:t>
      </w:r>
      <w:r w:rsidRPr="00002BAF">
        <w:rPr>
          <w:rFonts w:ascii="Arial MT" w:eastAsia="Arial MT" w:hAnsi="Arial MT" w:cs="Arial MT"/>
          <w:spacing w:val="-7"/>
          <w:lang w:val="es-ES"/>
        </w:rPr>
        <w:t xml:space="preserve"> </w:t>
      </w:r>
      <w:r w:rsidRPr="00002BAF">
        <w:rPr>
          <w:rFonts w:ascii="Arial MT" w:eastAsia="Arial MT" w:hAnsi="Arial MT" w:cs="Arial MT"/>
          <w:lang w:val="es-ES"/>
        </w:rPr>
        <w:t>de</w:t>
      </w:r>
      <w:r w:rsidRPr="00002BAF">
        <w:rPr>
          <w:rFonts w:ascii="Arial MT" w:eastAsia="Arial MT" w:hAnsi="Arial MT" w:cs="Arial MT"/>
          <w:spacing w:val="-8"/>
          <w:lang w:val="es-ES"/>
        </w:rPr>
        <w:t xml:space="preserve"> </w:t>
      </w:r>
      <w:r w:rsidRPr="00002BAF">
        <w:rPr>
          <w:rFonts w:ascii="Arial MT" w:eastAsia="Arial MT" w:hAnsi="Arial MT" w:cs="Arial MT"/>
          <w:lang w:val="es-ES"/>
        </w:rPr>
        <w:t>2011,</w:t>
      </w:r>
      <w:r w:rsidRPr="00002BAF" w:rsidDel="004F57D5">
        <w:rPr>
          <w:rFonts w:ascii="Arial MT" w:eastAsia="Arial MT" w:hAnsi="Arial MT" w:cs="Arial MT"/>
          <w:spacing w:val="-6"/>
          <w:lang w:val="es-ES"/>
        </w:rPr>
        <w:t xml:space="preserve"> </w:t>
      </w:r>
      <w:r w:rsidRPr="00002BAF">
        <w:rPr>
          <w:rFonts w:ascii="Arial MT" w:eastAsia="Arial MT" w:hAnsi="Arial MT" w:cs="Arial MT"/>
          <w:lang w:val="es-ES"/>
        </w:rPr>
        <w:t>la Agencia Nacional de Contratación Pública – Colombia Compra Eficiente responde</w:t>
      </w:r>
      <w:r w:rsidRPr="00002BAF">
        <w:rPr>
          <w:rFonts w:ascii="Arial MT" w:eastAsia="Arial MT" w:hAnsi="Arial MT" w:cs="Arial MT"/>
          <w:spacing w:val="-1"/>
          <w:lang w:val="es-ES"/>
        </w:rPr>
        <w:t xml:space="preserve"> </w:t>
      </w:r>
      <w:r w:rsidRPr="00002BAF">
        <w:rPr>
          <w:rFonts w:ascii="Arial MT" w:eastAsia="Arial MT" w:hAnsi="Arial MT" w:cs="Arial MT"/>
          <w:lang w:val="es-ES"/>
        </w:rPr>
        <w:t>su</w:t>
      </w:r>
      <w:r w:rsidRPr="00002BAF">
        <w:rPr>
          <w:rFonts w:ascii="Arial MT" w:eastAsia="Arial MT" w:hAnsi="Arial MT" w:cs="Arial MT"/>
          <w:spacing w:val="-2"/>
          <w:lang w:val="es-ES"/>
        </w:rPr>
        <w:t xml:space="preserve"> </w:t>
      </w:r>
      <w:r w:rsidRPr="00002BAF">
        <w:rPr>
          <w:rFonts w:ascii="Arial MT" w:eastAsia="Arial MT" w:hAnsi="Arial MT" w:cs="Arial MT"/>
          <w:lang w:val="es-ES"/>
        </w:rPr>
        <w:t>consulta</w:t>
      </w:r>
      <w:r w:rsidRPr="00002BAF">
        <w:rPr>
          <w:rFonts w:ascii="Arial MT" w:eastAsia="Arial MT" w:hAnsi="Arial MT" w:cs="Arial MT"/>
          <w:spacing w:val="-2"/>
          <w:lang w:val="es-ES"/>
        </w:rPr>
        <w:t xml:space="preserve"> </w:t>
      </w:r>
      <w:r w:rsidRPr="00002BAF">
        <w:rPr>
          <w:rFonts w:ascii="Arial MT" w:eastAsia="Arial MT" w:hAnsi="Arial MT" w:cs="Arial MT"/>
          <w:lang w:val="es-ES"/>
        </w:rPr>
        <w:t xml:space="preserve">del 10 de enero de 2023. </w:t>
      </w:r>
    </w:p>
    <w:p w14:paraId="3D38C77A" w14:textId="77777777" w:rsidR="00002BAF" w:rsidRPr="00002BAF" w:rsidRDefault="00002BAF" w:rsidP="00002BAF">
      <w:pPr>
        <w:spacing w:after="0" w:line="276" w:lineRule="auto"/>
        <w:jc w:val="both"/>
        <w:rPr>
          <w:rFonts w:ascii="Arial" w:eastAsia="Calibri" w:hAnsi="Arial" w:cs="Arial"/>
          <w:b/>
          <w:color w:val="000000"/>
          <w:lang w:val="es-ES" w:eastAsia="es-ES_tradnl"/>
        </w:rPr>
      </w:pPr>
    </w:p>
    <w:p w14:paraId="464964B1" w14:textId="77777777" w:rsidR="00002BAF" w:rsidRPr="00002BAF" w:rsidRDefault="00002BAF" w:rsidP="00002BAF">
      <w:pPr>
        <w:numPr>
          <w:ilvl w:val="0"/>
          <w:numId w:val="4"/>
        </w:numPr>
        <w:tabs>
          <w:tab w:val="left" w:pos="0"/>
          <w:tab w:val="left" w:pos="142"/>
          <w:tab w:val="left" w:pos="284"/>
        </w:tabs>
        <w:spacing w:after="0" w:line="276" w:lineRule="auto"/>
        <w:ind w:left="357" w:hanging="357"/>
        <w:contextualSpacing/>
        <w:jc w:val="both"/>
        <w:rPr>
          <w:rFonts w:ascii="Arial" w:eastAsia="Calibri" w:hAnsi="Arial" w:cs="Arial"/>
          <w:b/>
          <w:color w:val="000000"/>
          <w:lang w:val="es-ES_tradnl"/>
        </w:rPr>
      </w:pPr>
      <w:r w:rsidRPr="00002BAF">
        <w:rPr>
          <w:rFonts w:ascii="Arial" w:eastAsia="Calibri" w:hAnsi="Arial" w:cs="Arial"/>
          <w:b/>
          <w:color w:val="000000"/>
          <w:lang w:val="es-ES_tradnl"/>
        </w:rPr>
        <w:t xml:space="preserve">Problema planteado </w:t>
      </w:r>
    </w:p>
    <w:p w14:paraId="08A8BE2F" w14:textId="77777777" w:rsidR="00002BAF" w:rsidRPr="00002BAF" w:rsidRDefault="00002BAF" w:rsidP="00002BAF">
      <w:pPr>
        <w:tabs>
          <w:tab w:val="left" w:pos="0"/>
          <w:tab w:val="left" w:pos="142"/>
          <w:tab w:val="left" w:pos="284"/>
        </w:tabs>
        <w:spacing w:after="0" w:line="276" w:lineRule="auto"/>
        <w:jc w:val="both"/>
        <w:rPr>
          <w:rFonts w:ascii="Arial" w:eastAsia="Calibri" w:hAnsi="Arial" w:cs="Arial"/>
          <w:b/>
          <w:color w:val="000000"/>
          <w:lang w:val="es-ES_tradnl" w:eastAsia="es-ES_tradnl"/>
        </w:rPr>
      </w:pPr>
    </w:p>
    <w:p w14:paraId="4C94C96B" w14:textId="77777777" w:rsidR="00002BAF" w:rsidRPr="00002BAF" w:rsidRDefault="00002BAF" w:rsidP="00002BAF">
      <w:pPr>
        <w:autoSpaceDE w:val="0"/>
        <w:autoSpaceDN w:val="0"/>
        <w:adjustRightInd w:val="0"/>
        <w:spacing w:after="0" w:line="276" w:lineRule="auto"/>
        <w:jc w:val="both"/>
        <w:rPr>
          <w:rFonts w:ascii="Arial" w:eastAsia="Calibri" w:hAnsi="Arial" w:cs="Arial"/>
          <w:bCs/>
          <w:color w:val="000000"/>
          <w:lang w:val="es-ES_tradnl"/>
        </w:rPr>
      </w:pPr>
      <w:r w:rsidRPr="00002BAF">
        <w:rPr>
          <w:rFonts w:ascii="Arial" w:eastAsia="Calibri" w:hAnsi="Arial" w:cs="Arial"/>
          <w:bCs/>
          <w:color w:val="000000"/>
          <w:lang w:val="es-ES_tradnl"/>
        </w:rPr>
        <w:t>Usted pone de presente los numerales 4 del artículo 5 de la Ley 1150 de 2007, 1 del artículo 2.2.1.2.1.3.2 del Decreto 1082 de 2015 y 3 del artículo 24 de la Ley 1437 de 2011. Al respecto, pregunta lo siguiente:</w:t>
      </w:r>
    </w:p>
    <w:p w14:paraId="02FFFE7E" w14:textId="77777777" w:rsidR="00002BAF" w:rsidRPr="00002BAF" w:rsidRDefault="00002BAF" w:rsidP="00002BAF">
      <w:pPr>
        <w:autoSpaceDE w:val="0"/>
        <w:autoSpaceDN w:val="0"/>
        <w:adjustRightInd w:val="0"/>
        <w:spacing w:after="0" w:line="276" w:lineRule="auto"/>
        <w:jc w:val="both"/>
        <w:rPr>
          <w:rFonts w:ascii="Arial" w:eastAsia="Calibri" w:hAnsi="Arial" w:cs="Arial"/>
          <w:bCs/>
          <w:color w:val="000000"/>
          <w:lang w:val="es-ES_tradnl"/>
        </w:rPr>
      </w:pPr>
    </w:p>
    <w:p w14:paraId="31D2DB7A" w14:textId="77777777" w:rsidR="00002BAF" w:rsidRPr="00002BAF" w:rsidRDefault="00002BAF" w:rsidP="00002BAF">
      <w:pPr>
        <w:autoSpaceDE w:val="0"/>
        <w:autoSpaceDN w:val="0"/>
        <w:adjustRightInd w:val="0"/>
        <w:spacing w:after="0" w:line="240" w:lineRule="auto"/>
        <w:ind w:left="709" w:right="709"/>
        <w:jc w:val="both"/>
        <w:rPr>
          <w:rFonts w:ascii="Arial" w:eastAsia="Calibri" w:hAnsi="Arial" w:cs="Arial"/>
          <w:bCs/>
          <w:color w:val="000000"/>
          <w:sz w:val="21"/>
          <w:szCs w:val="21"/>
          <w:lang w:val="es-ES_tradnl"/>
        </w:rPr>
      </w:pPr>
      <w:r w:rsidRPr="00002BAF">
        <w:rPr>
          <w:rFonts w:ascii="Arial" w:eastAsia="Calibri" w:hAnsi="Arial" w:cs="Arial"/>
          <w:bCs/>
          <w:color w:val="000000"/>
          <w:sz w:val="21"/>
          <w:szCs w:val="21"/>
          <w:lang w:val="es-ES_tradnl"/>
        </w:rPr>
        <w:t>«[…] si dentro de un proceso de selección de concurso de méritos un oferente solicita que una entidad contratante considere como confidencial su experiencia o la de su equipo, por ser tomadas de historias laborales y aportadas por el proponente para obtener calificación ¿la entidad contratante debe o no debe catalogarlas como confidencial?»</w:t>
      </w:r>
    </w:p>
    <w:p w14:paraId="3FD446CD" w14:textId="77777777" w:rsidR="00002BAF" w:rsidRPr="00002BAF" w:rsidRDefault="00002BAF" w:rsidP="00002BAF">
      <w:pPr>
        <w:spacing w:after="0" w:line="240" w:lineRule="auto"/>
        <w:ind w:right="709"/>
        <w:jc w:val="both"/>
        <w:rPr>
          <w:rFonts w:ascii="Arial" w:eastAsia="Times New Roman" w:hAnsi="Arial" w:cs="Arial"/>
          <w:color w:val="000000"/>
          <w:sz w:val="21"/>
          <w:szCs w:val="21"/>
          <w:lang w:val="es-ES_tradnl" w:eastAsia="es-ES_tradnl"/>
        </w:rPr>
      </w:pPr>
    </w:p>
    <w:p w14:paraId="4DACECC2" w14:textId="77777777" w:rsidR="00002BAF" w:rsidRPr="00002BAF" w:rsidRDefault="00002BAF" w:rsidP="00002BAF">
      <w:pPr>
        <w:numPr>
          <w:ilvl w:val="0"/>
          <w:numId w:val="4"/>
        </w:numPr>
        <w:tabs>
          <w:tab w:val="left" w:pos="0"/>
          <w:tab w:val="left" w:pos="284"/>
        </w:tabs>
        <w:spacing w:after="0" w:line="240" w:lineRule="auto"/>
        <w:ind w:left="357" w:hanging="357"/>
        <w:contextualSpacing/>
        <w:jc w:val="both"/>
        <w:rPr>
          <w:rFonts w:ascii="Arial" w:eastAsia="Calibri" w:hAnsi="Arial" w:cs="Arial"/>
          <w:b/>
          <w:color w:val="000000"/>
          <w:lang w:val="es-ES_tradnl"/>
        </w:rPr>
      </w:pPr>
      <w:r w:rsidRPr="00002BAF">
        <w:rPr>
          <w:rFonts w:ascii="Arial" w:eastAsia="Calibri" w:hAnsi="Arial" w:cs="Arial"/>
          <w:b/>
          <w:color w:val="000000"/>
          <w:lang w:val="es-ES_tradnl"/>
        </w:rPr>
        <w:t>Consideraciones</w:t>
      </w:r>
    </w:p>
    <w:p w14:paraId="7E039BF3" w14:textId="77777777" w:rsidR="00002BAF" w:rsidRPr="00002BAF" w:rsidRDefault="00002BAF" w:rsidP="00002BAF">
      <w:pPr>
        <w:spacing w:after="0" w:line="276" w:lineRule="auto"/>
        <w:jc w:val="both"/>
        <w:rPr>
          <w:rFonts w:ascii="Arial" w:eastAsia="Calibri" w:hAnsi="Arial" w:cs="Arial"/>
          <w:color w:val="000000"/>
          <w:lang w:val="es-ES_tradnl" w:eastAsia="es-ES_tradnl"/>
        </w:rPr>
      </w:pPr>
    </w:p>
    <w:p w14:paraId="6B82B26F" w14:textId="77777777" w:rsidR="00002BAF" w:rsidRPr="00002BAF" w:rsidRDefault="00002BAF" w:rsidP="00002BAF">
      <w:pPr>
        <w:spacing w:after="0" w:line="276" w:lineRule="auto"/>
        <w:jc w:val="both"/>
        <w:rPr>
          <w:rFonts w:ascii="Arial" w:eastAsia="Calibri" w:hAnsi="Arial" w:cs="Arial"/>
          <w:color w:val="000000"/>
          <w:lang w:val="es-ES_tradnl" w:eastAsia="es-ES_tradnl"/>
        </w:rPr>
      </w:pPr>
      <w:r w:rsidRPr="00002BAF">
        <w:rPr>
          <w:rFonts w:ascii="Arial" w:eastAsia="Calibri" w:hAnsi="Arial" w:cs="Arial"/>
          <w:color w:val="000000"/>
          <w:lang w:val="es-ES_tradnl" w:eastAsia="es-ES_tradnl"/>
        </w:rPr>
        <w:t xml:space="preserve">La Subdirección de Gestión Contractual responderá la consulta, luego de analizar los siguientes temas: i) el procedimiento del concurso de méritos después de los autos de suspensión provisional del Consejo de Estado; </w:t>
      </w:r>
      <w:proofErr w:type="spellStart"/>
      <w:r w:rsidRPr="00002BAF">
        <w:rPr>
          <w:rFonts w:ascii="Arial" w:eastAsia="Calibri" w:hAnsi="Arial" w:cs="Arial"/>
          <w:color w:val="000000"/>
          <w:lang w:val="es-ES_tradnl" w:eastAsia="es-ES_tradnl"/>
        </w:rPr>
        <w:t>ii</w:t>
      </w:r>
      <w:proofErr w:type="spellEnd"/>
      <w:r w:rsidRPr="00002BAF">
        <w:rPr>
          <w:rFonts w:ascii="Arial" w:eastAsia="Calibri" w:hAnsi="Arial" w:cs="Arial"/>
          <w:color w:val="000000"/>
          <w:lang w:val="es-ES_tradnl" w:eastAsia="es-ES_tradnl"/>
        </w:rPr>
        <w:t xml:space="preserve">) la reglamentación de esta modalidad de selección en el Decreto 399 de 2021, y </w:t>
      </w:r>
      <w:proofErr w:type="spellStart"/>
      <w:r w:rsidRPr="00002BAF">
        <w:rPr>
          <w:rFonts w:ascii="Arial" w:eastAsia="Calibri" w:hAnsi="Arial" w:cs="Arial"/>
          <w:color w:val="000000"/>
          <w:lang w:val="es-ES_tradnl" w:eastAsia="es-ES_tradnl"/>
        </w:rPr>
        <w:t>iii</w:t>
      </w:r>
      <w:proofErr w:type="spellEnd"/>
      <w:r w:rsidRPr="00002BAF">
        <w:rPr>
          <w:rFonts w:ascii="Arial" w:eastAsia="Calibri" w:hAnsi="Arial" w:cs="Arial"/>
          <w:color w:val="000000"/>
          <w:lang w:val="es-ES_tradnl" w:eastAsia="es-ES_tradnl"/>
        </w:rPr>
        <w:t>) la reserva de información pública como límite al deber de divulgación proactiva de la información en la contratación estatal</w:t>
      </w:r>
    </w:p>
    <w:p w14:paraId="10044197" w14:textId="77777777" w:rsidR="00002BAF" w:rsidRPr="00002BAF" w:rsidRDefault="00002BAF" w:rsidP="00002BAF">
      <w:pPr>
        <w:spacing w:before="120" w:after="0" w:line="276" w:lineRule="auto"/>
        <w:ind w:firstLine="709"/>
        <w:jc w:val="both"/>
        <w:rPr>
          <w:rFonts w:ascii="Arial" w:eastAsia="Calibri" w:hAnsi="Arial" w:cs="Arial"/>
          <w:color w:val="000000"/>
          <w:lang w:val="es-ES_tradnl" w:eastAsia="es-ES_tradnl"/>
        </w:rPr>
      </w:pPr>
      <w:r w:rsidRPr="00002BAF">
        <w:rPr>
          <w:rFonts w:ascii="Arial" w:eastAsia="Calibri" w:hAnsi="Arial" w:cs="Arial"/>
          <w:color w:val="000000"/>
          <w:lang w:val="es-ES_tradnl" w:eastAsia="es-ES_tradnl"/>
        </w:rPr>
        <w:t xml:space="preserve">Es importante destacar que la Agencia Nacional de Contratación Pública – Colombia Compra Eficiente </w:t>
      </w:r>
      <w:r w:rsidRPr="00002BAF">
        <w:rPr>
          <w:rFonts w:ascii="Arial" w:eastAsia="Calibri" w:hAnsi="Arial" w:cs="Arial"/>
          <w:color w:val="000000"/>
          <w:szCs w:val="24"/>
          <w:lang w:val="es-ES_tradnl" w:eastAsia="es-ES_tradnl"/>
        </w:rPr>
        <w:t xml:space="preserve">expidió los conceptos C-124 del 25 de marzo de 2020, C-406 y C-477 del 13 de julio de 2020, C-612 del 2 de octubre de 2020, C-761 del 5 de enero de 2021, C- 297 del 17 de junio de 2021, C-339 del 14 de junio de 2021, C-367 del 26 de julio de 2021, C-408 del 13 de agosto de 2021 y C-739 del 2 de febrero de 2022, en los cuales analizó el concurso de méritos. </w:t>
      </w:r>
      <w:r w:rsidRPr="00002BAF">
        <w:rPr>
          <w:rFonts w:ascii="Arial" w:eastAsia="Calibri" w:hAnsi="Arial" w:cs="Arial"/>
          <w:color w:val="000000"/>
          <w:lang w:val="es-ES_tradnl" w:eastAsia="es-ES_tradnl"/>
        </w:rPr>
        <w:t>Algunas de las consideraciones de estos conceptos se reiteran a continuación.</w:t>
      </w:r>
    </w:p>
    <w:p w14:paraId="0E54FBAD" w14:textId="77777777" w:rsidR="00002BAF" w:rsidRPr="00002BAF" w:rsidRDefault="00002BAF" w:rsidP="00002BAF">
      <w:pPr>
        <w:spacing w:after="0" w:line="276" w:lineRule="auto"/>
        <w:jc w:val="both"/>
        <w:rPr>
          <w:rFonts w:ascii="Arial" w:eastAsia="Calibri" w:hAnsi="Arial" w:cs="Arial"/>
          <w:color w:val="000000"/>
          <w:lang w:val="es-ES_tradnl" w:eastAsia="es-ES_tradnl"/>
        </w:rPr>
      </w:pPr>
    </w:p>
    <w:p w14:paraId="6D47C9B4" w14:textId="77777777" w:rsidR="00002BAF" w:rsidRPr="00002BAF" w:rsidRDefault="00002BAF" w:rsidP="00002BAF">
      <w:pPr>
        <w:spacing w:after="0" w:line="276" w:lineRule="auto"/>
        <w:jc w:val="both"/>
        <w:rPr>
          <w:rFonts w:ascii="Arial" w:eastAsia="Calibri" w:hAnsi="Arial" w:cs="Arial"/>
          <w:b/>
          <w:bCs/>
          <w:color w:val="000000"/>
          <w:szCs w:val="24"/>
          <w:lang w:val="es-ES_tradnl" w:eastAsia="es-ES_tradnl"/>
        </w:rPr>
      </w:pPr>
      <w:r w:rsidRPr="00002BAF">
        <w:rPr>
          <w:rFonts w:ascii="Arial" w:eastAsia="Calibri" w:hAnsi="Arial" w:cs="Arial"/>
          <w:b/>
          <w:bCs/>
          <w:color w:val="000000"/>
          <w:szCs w:val="24"/>
          <w:lang w:val="es-ES_tradnl" w:eastAsia="es-ES_tradnl"/>
        </w:rPr>
        <w:t>2.1. Procedimiento del concurso de méritos después de los autos de suspensión provisional del Consejo de Estado</w:t>
      </w:r>
    </w:p>
    <w:p w14:paraId="7611DE85" w14:textId="77777777" w:rsidR="00002BAF" w:rsidRPr="00002BAF" w:rsidRDefault="00002BAF" w:rsidP="00002BAF">
      <w:pPr>
        <w:spacing w:after="0" w:line="276" w:lineRule="auto"/>
        <w:jc w:val="both"/>
        <w:rPr>
          <w:rFonts w:ascii="Arial" w:eastAsia="Calibri" w:hAnsi="Arial" w:cs="Arial"/>
          <w:b/>
          <w:bCs/>
          <w:color w:val="000000"/>
          <w:szCs w:val="24"/>
          <w:lang w:val="es-ES_tradnl" w:eastAsia="es-ES_tradnl"/>
        </w:rPr>
      </w:pPr>
    </w:p>
    <w:p w14:paraId="26929652" w14:textId="77777777" w:rsidR="00002BAF" w:rsidRPr="00002BAF" w:rsidRDefault="00002BAF" w:rsidP="00002BAF">
      <w:pPr>
        <w:spacing w:after="0" w:line="276" w:lineRule="auto"/>
        <w:jc w:val="both"/>
        <w:rPr>
          <w:rFonts w:ascii="Arial" w:eastAsia="Times New Roman" w:hAnsi="Arial" w:cs="Arial"/>
          <w:color w:val="000000"/>
          <w:szCs w:val="24"/>
          <w:lang w:val="es-ES_tradnl" w:eastAsia="es-ES_tradnl"/>
        </w:rPr>
      </w:pPr>
      <w:r w:rsidRPr="00002BAF">
        <w:rPr>
          <w:rFonts w:ascii="Arial" w:eastAsia="Times New Roman" w:hAnsi="Arial" w:cs="Arial"/>
          <w:color w:val="000000"/>
          <w:szCs w:val="24"/>
          <w:lang w:val="es-ES_tradnl" w:eastAsia="es-ES_tradnl"/>
        </w:rPr>
        <w:t xml:space="preserve">El </w:t>
      </w:r>
      <w:r w:rsidRPr="00002BAF">
        <w:rPr>
          <w:rFonts w:ascii="Arial" w:eastAsia="Times New Roman" w:hAnsi="Arial" w:cs="Arial"/>
          <w:i/>
          <w:iCs/>
          <w:color w:val="000000"/>
          <w:szCs w:val="24"/>
          <w:lang w:val="es-ES_tradnl" w:eastAsia="es-ES_tradnl"/>
        </w:rPr>
        <w:t xml:space="preserve">concurso de méritos </w:t>
      </w:r>
      <w:r w:rsidRPr="00002BAF">
        <w:rPr>
          <w:rFonts w:ascii="Arial" w:eastAsia="Times New Roman" w:hAnsi="Arial" w:cs="Arial"/>
          <w:color w:val="000000"/>
          <w:szCs w:val="24"/>
          <w:lang w:val="es-ES_tradnl" w:eastAsia="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609D80F5" w14:textId="77777777" w:rsidR="00002BAF" w:rsidRPr="00002BAF" w:rsidRDefault="00002BAF" w:rsidP="00002BAF">
      <w:pPr>
        <w:spacing w:before="120" w:after="0" w:line="276" w:lineRule="auto"/>
        <w:ind w:firstLine="708"/>
        <w:jc w:val="both"/>
        <w:rPr>
          <w:rFonts w:ascii="Arial" w:eastAsia="Times New Roman" w:hAnsi="Arial" w:cs="Arial"/>
          <w:color w:val="000000"/>
          <w:szCs w:val="24"/>
          <w:lang w:val="es-ES_tradnl" w:eastAsia="es-ES_tradnl"/>
        </w:rPr>
      </w:pPr>
      <w:r w:rsidRPr="00002BAF">
        <w:rPr>
          <w:rFonts w:ascii="Arial" w:eastAsia="Times New Roman" w:hAnsi="Arial" w:cs="Arial"/>
          <w:color w:val="000000"/>
          <w:szCs w:val="24"/>
          <w:lang w:val="es-ES_tradnl" w:eastAsia="es-ES_tradnl"/>
        </w:rPr>
        <w:t xml:space="preserve">El Libro 2, Parte 2, Título 1, Capítulo 2, Sección 1, Subsección 3 del Decreto 1082 de 2015, regula las distintas modalidades del concurso de méritos: i) concurso de méritos abierto o sin precalificación, </w:t>
      </w:r>
      <w:proofErr w:type="spellStart"/>
      <w:r w:rsidRPr="00002BAF">
        <w:rPr>
          <w:rFonts w:ascii="Arial" w:eastAsia="Times New Roman" w:hAnsi="Arial" w:cs="Arial"/>
          <w:color w:val="000000"/>
          <w:szCs w:val="24"/>
          <w:lang w:val="es-ES_tradnl" w:eastAsia="es-ES_tradnl"/>
        </w:rPr>
        <w:t>ii</w:t>
      </w:r>
      <w:proofErr w:type="spellEnd"/>
      <w:r w:rsidRPr="00002BAF">
        <w:rPr>
          <w:rFonts w:ascii="Arial" w:eastAsia="Times New Roman" w:hAnsi="Arial" w:cs="Arial"/>
          <w:color w:val="000000"/>
          <w:szCs w:val="24"/>
          <w:lang w:val="es-ES_tradnl" w:eastAsia="es-ES_tradnl"/>
        </w:rPr>
        <w:t xml:space="preserve">) concurso de méritos cerrado o con precalificación y </w:t>
      </w:r>
      <w:proofErr w:type="spellStart"/>
      <w:r w:rsidRPr="00002BAF">
        <w:rPr>
          <w:rFonts w:ascii="Arial" w:eastAsia="Times New Roman" w:hAnsi="Arial" w:cs="Arial"/>
          <w:color w:val="000000"/>
          <w:szCs w:val="24"/>
          <w:lang w:val="es-ES_tradnl" w:eastAsia="es-ES_tradnl"/>
        </w:rPr>
        <w:t>iii</w:t>
      </w:r>
      <w:proofErr w:type="spellEnd"/>
      <w:r w:rsidRPr="00002BAF">
        <w:rPr>
          <w:rFonts w:ascii="Arial" w:eastAsia="Times New Roman" w:hAnsi="Arial" w:cs="Arial"/>
          <w:color w:val="000000"/>
          <w:szCs w:val="24"/>
          <w:lang w:val="es-ES_tradnl" w:eastAsia="es-ES_tradnl"/>
        </w:rPr>
        <w:t xml:space="preserve">) concurso de méritos «para la selección de consultores de diseño, planos, anteproyectos y proyectos arquitectónicos». El primero está regulado en los artículos 2.2.1.2.1.3.1. y 2.2.1.2.1.3.2. </w:t>
      </w:r>
      <w:proofErr w:type="spellStart"/>
      <w:r w:rsidRPr="00002BAF">
        <w:rPr>
          <w:rFonts w:ascii="Arial" w:eastAsia="Times New Roman" w:hAnsi="Arial" w:cs="Arial"/>
          <w:i/>
          <w:iCs/>
          <w:color w:val="000000"/>
          <w:szCs w:val="24"/>
          <w:lang w:val="es-ES_tradnl" w:eastAsia="es-ES_tradnl"/>
        </w:rPr>
        <w:t>ibídem</w:t>
      </w:r>
      <w:proofErr w:type="spellEnd"/>
      <w:r w:rsidRPr="00002BAF">
        <w:rPr>
          <w:rFonts w:ascii="Arial" w:eastAsia="Times New Roman" w:hAnsi="Arial" w:cs="Arial"/>
          <w:color w:val="000000"/>
          <w:szCs w:val="24"/>
          <w:lang w:val="es-ES_tradnl" w:eastAsia="es-ES_tradnl"/>
        </w:rPr>
        <w:t xml:space="preserve">. El segundo, además de los dos artículos anteriores, lo regulan los artículos 2.2.1.2.1.3.3. a 2.2.1.2.1.3.7. </w:t>
      </w:r>
      <w:proofErr w:type="spellStart"/>
      <w:r w:rsidRPr="00002BAF">
        <w:rPr>
          <w:rFonts w:ascii="Arial" w:eastAsia="Times New Roman" w:hAnsi="Arial" w:cs="Arial"/>
          <w:i/>
          <w:iCs/>
          <w:color w:val="000000"/>
          <w:szCs w:val="24"/>
          <w:lang w:val="es-ES_tradnl" w:eastAsia="es-ES_tradnl"/>
        </w:rPr>
        <w:t>ejusdem</w:t>
      </w:r>
      <w:proofErr w:type="spellEnd"/>
      <w:r w:rsidRPr="00002BAF">
        <w:rPr>
          <w:rFonts w:ascii="Arial" w:eastAsia="Times New Roman" w:hAnsi="Arial" w:cs="Arial"/>
          <w:color w:val="000000"/>
          <w:szCs w:val="24"/>
          <w:lang w:val="es-ES_tradnl" w:eastAsia="es-ES_tradnl"/>
        </w:rPr>
        <w:t>. El tercero lo regulan los artículos 2.2.1.2.1.3.8. a 2.2.1.2.1.3.25. del mencionado Decreto.</w:t>
      </w:r>
    </w:p>
    <w:p w14:paraId="1569278D" w14:textId="77777777" w:rsidR="00002BAF" w:rsidRPr="00002BAF" w:rsidRDefault="00002BAF" w:rsidP="00002BAF">
      <w:pPr>
        <w:spacing w:before="120" w:after="0" w:line="276" w:lineRule="auto"/>
        <w:ind w:firstLine="708"/>
        <w:jc w:val="both"/>
        <w:rPr>
          <w:rFonts w:ascii="Arial" w:eastAsia="Times New Roman" w:hAnsi="Arial" w:cs="Arial"/>
          <w:color w:val="000000"/>
          <w:szCs w:val="24"/>
          <w:lang w:val="es-ES_tradnl" w:eastAsia="es-ES_tradnl"/>
        </w:rPr>
      </w:pPr>
      <w:r w:rsidRPr="00002BAF">
        <w:rPr>
          <w:rFonts w:ascii="Arial" w:eastAsia="Times New Roman" w:hAnsi="Arial" w:cs="Arial"/>
          <w:color w:val="000000"/>
          <w:szCs w:val="24"/>
          <w:lang w:val="es-ES_tradnl" w:eastAsia="es-ES_tradnl"/>
        </w:rPr>
        <w:lastRenderedPageBreak/>
        <w:t xml:space="preserve">Ahora bien, </w:t>
      </w:r>
      <w:bookmarkStart w:id="1" w:name="_Hlk43918348"/>
      <w:r w:rsidRPr="00002BAF">
        <w:rPr>
          <w:rFonts w:ascii="Arial" w:eastAsia="Times New Roman" w:hAnsi="Arial" w:cs="Arial"/>
          <w:color w:val="000000"/>
          <w:szCs w:val="24"/>
          <w:lang w:val="es-ES_tradnl" w:eastAsia="es-ES_tradnl"/>
        </w:rPr>
        <w:t>la Sección Tercera del Consejo de Estado, en autos del 25 de julio de 2018</w:t>
      </w:r>
      <w:r w:rsidRPr="00002BAF">
        <w:rPr>
          <w:rFonts w:ascii="Arial" w:eastAsia="Times New Roman" w:hAnsi="Arial" w:cs="Arial"/>
          <w:color w:val="000000"/>
          <w:szCs w:val="24"/>
          <w:vertAlign w:val="superscript"/>
          <w:lang w:val="es-ES_tradnl" w:eastAsia="es-ES_tradnl"/>
        </w:rPr>
        <w:footnoteReference w:id="2"/>
      </w:r>
      <w:r w:rsidRPr="00002BAF">
        <w:rPr>
          <w:rFonts w:ascii="Arial" w:eastAsia="Times New Roman" w:hAnsi="Arial" w:cs="Arial"/>
          <w:color w:val="000000"/>
          <w:szCs w:val="24"/>
          <w:lang w:val="es-ES_tradnl" w:eastAsia="es-ES_tradnl"/>
        </w:rPr>
        <w:t xml:space="preserve"> y del 20 de febrero de 2019</w:t>
      </w:r>
      <w:r w:rsidRPr="00002BAF">
        <w:rPr>
          <w:rFonts w:ascii="Arial" w:eastAsia="Times New Roman" w:hAnsi="Arial" w:cs="Arial"/>
          <w:color w:val="000000"/>
          <w:szCs w:val="24"/>
          <w:vertAlign w:val="superscript"/>
          <w:lang w:val="es-ES_tradnl" w:eastAsia="es-ES_tradnl"/>
        </w:rPr>
        <w:footnoteReference w:id="3"/>
      </w:r>
      <w:r w:rsidRPr="00002BAF">
        <w:rPr>
          <w:rFonts w:ascii="Arial" w:eastAsia="Times New Roman" w:hAnsi="Arial" w:cs="Arial"/>
          <w:color w:val="000000"/>
          <w:szCs w:val="24"/>
          <w:lang w:val="es-ES_tradnl" w:eastAsia="es-ES_tradnl"/>
        </w:rPr>
        <w:t>,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w:t>
      </w:r>
      <w:bookmarkEnd w:id="1"/>
      <w:r w:rsidRPr="00002BAF">
        <w:rPr>
          <w:rFonts w:ascii="Arial" w:eastAsia="Times New Roman" w:hAnsi="Arial" w:cs="Arial"/>
          <w:color w:val="000000"/>
          <w:szCs w:val="24"/>
          <w:lang w:val="es-ES_tradnl" w:eastAsia="es-ES_tradnl"/>
        </w:rPr>
        <w:t xml:space="preserve">. El texto de estos numerales disponía lo siguiente: </w:t>
      </w:r>
    </w:p>
    <w:p w14:paraId="7E1EF8F4" w14:textId="77777777" w:rsidR="00002BAF" w:rsidRPr="00002BAF" w:rsidRDefault="00002BAF" w:rsidP="00002BAF">
      <w:pPr>
        <w:spacing w:after="0" w:line="276" w:lineRule="auto"/>
        <w:jc w:val="both"/>
        <w:rPr>
          <w:rFonts w:ascii="Arial" w:eastAsia="Calibri" w:hAnsi="Arial" w:cs="Arial"/>
          <w:color w:val="000000"/>
          <w:sz w:val="24"/>
          <w:lang w:val="es-ES_tradnl"/>
        </w:rPr>
      </w:pPr>
    </w:p>
    <w:p w14:paraId="05419358" w14:textId="11932487" w:rsidR="00002BAF" w:rsidRPr="00002BAF" w:rsidRDefault="002B4614" w:rsidP="00002BAF">
      <w:pPr>
        <w:spacing w:after="12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00002BAF" w:rsidRPr="00002BAF">
        <w:rPr>
          <w:rFonts w:ascii="Arial" w:eastAsia="Calibri" w:hAnsi="Arial" w:cs="Arial"/>
          <w:color w:val="000000"/>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3FBE3D42" w14:textId="77777777" w:rsidR="00002BAF" w:rsidRPr="00002BAF" w:rsidRDefault="00002BAF" w:rsidP="00002BAF">
      <w:pPr>
        <w:spacing w:after="120" w:line="240" w:lineRule="auto"/>
        <w:ind w:left="709" w:right="709"/>
        <w:jc w:val="both"/>
        <w:rPr>
          <w:rFonts w:ascii="Arial" w:eastAsia="Calibri" w:hAnsi="Arial" w:cs="Arial"/>
          <w:color w:val="000000"/>
          <w:sz w:val="21"/>
          <w:szCs w:val="21"/>
          <w:lang w:val="es-ES_tradnl"/>
        </w:rPr>
      </w:pPr>
      <w:r w:rsidRPr="00002BAF">
        <w:rPr>
          <w:rFonts w:ascii="Arial" w:eastAsia="Calibri" w:hAnsi="Arial" w:cs="Arial"/>
          <w:color w:val="000000"/>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0040DFDA" w14:textId="77777777" w:rsidR="00002BAF" w:rsidRPr="00002BAF" w:rsidRDefault="00002BAF" w:rsidP="00002BAF">
      <w:pPr>
        <w:spacing w:after="120" w:line="240" w:lineRule="auto"/>
        <w:ind w:left="709" w:right="709"/>
        <w:jc w:val="both"/>
        <w:rPr>
          <w:rFonts w:ascii="Arial" w:eastAsia="Calibri" w:hAnsi="Arial" w:cs="Arial"/>
          <w:color w:val="000000"/>
          <w:sz w:val="21"/>
          <w:szCs w:val="21"/>
          <w:lang w:val="es-ES_tradnl"/>
        </w:rPr>
      </w:pPr>
      <w:r w:rsidRPr="00002BAF">
        <w:rPr>
          <w:rFonts w:ascii="Arial" w:eastAsia="Calibri" w:hAnsi="Arial" w:cs="Arial"/>
          <w:color w:val="000000"/>
          <w:sz w:val="21"/>
          <w:szCs w:val="21"/>
          <w:lang w:val="es-ES_tradnl"/>
        </w:rPr>
        <w:t>2. La Entidad Estatal debe publicar durante tres (3) días hábiles el informe de evaluación, el cual debe contener la calificación técnica y el orden de elegibilidad.</w:t>
      </w:r>
    </w:p>
    <w:p w14:paraId="53D85DA0" w14:textId="77777777" w:rsidR="00002BAF" w:rsidRPr="00002BAF" w:rsidRDefault="00002BAF" w:rsidP="00002BAF">
      <w:pPr>
        <w:spacing w:after="120" w:line="240" w:lineRule="auto"/>
        <w:ind w:left="709" w:right="709"/>
        <w:jc w:val="both"/>
        <w:rPr>
          <w:rFonts w:ascii="Arial" w:eastAsia="Calibri" w:hAnsi="Arial" w:cs="Arial"/>
          <w:i/>
          <w:color w:val="000000"/>
          <w:sz w:val="21"/>
          <w:szCs w:val="21"/>
          <w:lang w:val="es-ES_tradnl"/>
        </w:rPr>
      </w:pPr>
      <w:r w:rsidRPr="00002BAF">
        <w:rPr>
          <w:rFonts w:ascii="Arial" w:eastAsia="Calibri" w:hAnsi="Arial" w:cs="Arial"/>
          <w:i/>
          <w:color w:val="000000"/>
          <w:sz w:val="21"/>
          <w:szCs w:val="21"/>
          <w:lang w:val="es-ES_tradnl"/>
        </w:rPr>
        <w:t>3. La Entidad Estatal debe revisar la oferta económica y verificar que está en el rango del valor estimado consignado en los documentos y estudios previos y del presupuesto asignado para el contrato.</w:t>
      </w:r>
    </w:p>
    <w:p w14:paraId="2E8C9C25" w14:textId="77777777" w:rsidR="00002BAF" w:rsidRPr="00002BAF" w:rsidRDefault="00002BAF" w:rsidP="00002BAF">
      <w:pPr>
        <w:spacing w:after="120" w:line="240" w:lineRule="auto"/>
        <w:ind w:left="709" w:right="709"/>
        <w:jc w:val="both"/>
        <w:rPr>
          <w:rFonts w:ascii="Arial" w:eastAsia="Calibri" w:hAnsi="Arial" w:cs="Arial"/>
          <w:i/>
          <w:color w:val="000000"/>
          <w:sz w:val="21"/>
          <w:szCs w:val="21"/>
          <w:lang w:val="es-ES_tradnl"/>
        </w:rPr>
      </w:pPr>
      <w:r w:rsidRPr="00002BAF">
        <w:rPr>
          <w:rFonts w:ascii="Arial" w:eastAsia="Calibri" w:hAnsi="Arial" w:cs="Arial"/>
          <w:i/>
          <w:color w:val="000000"/>
          <w:sz w:val="21"/>
          <w:szCs w:val="21"/>
          <w:lang w:val="es-ES_tradnl"/>
        </w:rPr>
        <w:t xml:space="preserve">4. La Entidad Estatal debe revisar con el oferente calificado en el primer lugar de elegibilidad la coherencia y consistencia entre: i) la necesidad identificada por la Entidad Estatal y el alcance de la oferta; </w:t>
      </w:r>
      <w:proofErr w:type="spellStart"/>
      <w:r w:rsidRPr="00002BAF">
        <w:rPr>
          <w:rFonts w:ascii="Arial" w:eastAsia="Calibri" w:hAnsi="Arial" w:cs="Arial"/>
          <w:i/>
          <w:color w:val="000000"/>
          <w:sz w:val="21"/>
          <w:szCs w:val="21"/>
          <w:lang w:val="es-ES_tradnl"/>
        </w:rPr>
        <w:t>ii</w:t>
      </w:r>
      <w:proofErr w:type="spellEnd"/>
      <w:r w:rsidRPr="00002BAF">
        <w:rPr>
          <w:rFonts w:ascii="Arial" w:eastAsia="Calibri" w:hAnsi="Arial" w:cs="Arial"/>
          <w:i/>
          <w:color w:val="000000"/>
          <w:sz w:val="21"/>
          <w:szCs w:val="21"/>
          <w:lang w:val="es-ES_tradnl"/>
        </w:rPr>
        <w:t xml:space="preserve">) la </w:t>
      </w:r>
      <w:proofErr w:type="gramStart"/>
      <w:r w:rsidRPr="00002BAF">
        <w:rPr>
          <w:rFonts w:ascii="Arial" w:eastAsia="Calibri" w:hAnsi="Arial" w:cs="Arial"/>
          <w:i/>
          <w:color w:val="000000"/>
          <w:sz w:val="21"/>
          <w:szCs w:val="21"/>
          <w:lang w:val="es-ES_tradnl"/>
        </w:rPr>
        <w:t>consultoría ofrecida y el precio ofrecido</w:t>
      </w:r>
      <w:proofErr w:type="gramEnd"/>
      <w:r w:rsidRPr="00002BAF">
        <w:rPr>
          <w:rFonts w:ascii="Arial" w:eastAsia="Calibri" w:hAnsi="Arial" w:cs="Arial"/>
          <w:i/>
          <w:color w:val="000000"/>
          <w:sz w:val="21"/>
          <w:szCs w:val="21"/>
          <w:lang w:val="es-ES_tradnl"/>
        </w:rPr>
        <w:t xml:space="preserve">, y </w:t>
      </w:r>
      <w:proofErr w:type="spellStart"/>
      <w:r w:rsidRPr="00002BAF">
        <w:rPr>
          <w:rFonts w:ascii="Arial" w:eastAsia="Calibri" w:hAnsi="Arial" w:cs="Arial"/>
          <w:i/>
          <w:color w:val="000000"/>
          <w:sz w:val="21"/>
          <w:szCs w:val="21"/>
          <w:lang w:val="es-ES_tradnl"/>
        </w:rPr>
        <w:t>iii</w:t>
      </w:r>
      <w:proofErr w:type="spellEnd"/>
      <w:r w:rsidRPr="00002BAF">
        <w:rPr>
          <w:rFonts w:ascii="Arial" w:eastAsia="Calibri" w:hAnsi="Arial" w:cs="Arial"/>
          <w:i/>
          <w:color w:val="000000"/>
          <w:sz w:val="21"/>
          <w:szCs w:val="21"/>
          <w:lang w:val="es-ES_tradnl"/>
        </w:rPr>
        <w:t xml:space="preserve">) el precio ofrecido y la disponibilidad presupuestal del respectivo Proceso de Contratación. Si la Entidad Estatal y el oferente llegan a un acuerdo sobre el alcance y el valor del contrato, dejarán constancia </w:t>
      </w:r>
      <w:proofErr w:type="gramStart"/>
      <w:r w:rsidRPr="00002BAF">
        <w:rPr>
          <w:rFonts w:ascii="Arial" w:eastAsia="Calibri" w:hAnsi="Arial" w:cs="Arial"/>
          <w:i/>
          <w:color w:val="000000"/>
          <w:sz w:val="21"/>
          <w:szCs w:val="21"/>
          <w:lang w:val="es-ES_tradnl"/>
        </w:rPr>
        <w:t>del mismo</w:t>
      </w:r>
      <w:proofErr w:type="gramEnd"/>
      <w:r w:rsidRPr="00002BAF">
        <w:rPr>
          <w:rFonts w:ascii="Arial" w:eastAsia="Calibri" w:hAnsi="Arial" w:cs="Arial"/>
          <w:i/>
          <w:color w:val="000000"/>
          <w:sz w:val="21"/>
          <w:szCs w:val="21"/>
          <w:lang w:val="es-ES_tradnl"/>
        </w:rPr>
        <w:t xml:space="preserve"> y firmarán el contrato.</w:t>
      </w:r>
    </w:p>
    <w:p w14:paraId="634EF136" w14:textId="77777777" w:rsidR="00002BAF" w:rsidRPr="00002BAF" w:rsidRDefault="00002BAF" w:rsidP="00002BAF">
      <w:pPr>
        <w:spacing w:after="120" w:line="240" w:lineRule="auto"/>
        <w:ind w:left="709" w:right="709"/>
        <w:jc w:val="both"/>
        <w:rPr>
          <w:rFonts w:ascii="Arial" w:eastAsia="Calibri" w:hAnsi="Arial" w:cs="Arial"/>
          <w:i/>
          <w:color w:val="000000"/>
          <w:sz w:val="21"/>
          <w:szCs w:val="21"/>
          <w:lang w:val="es-ES_tradnl"/>
        </w:rPr>
      </w:pPr>
      <w:r w:rsidRPr="00002BAF">
        <w:rPr>
          <w:rFonts w:ascii="Arial" w:eastAsia="Calibri" w:hAnsi="Arial" w:cs="Arial"/>
          <w:i/>
          <w:color w:val="000000"/>
          <w:sz w:val="21"/>
          <w:szCs w:val="21"/>
          <w:lang w:val="es-ES_tradnl"/>
        </w:rPr>
        <w:t xml:space="preserve">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002BAF">
        <w:rPr>
          <w:rFonts w:ascii="Arial" w:eastAsia="Calibri" w:hAnsi="Arial" w:cs="Arial"/>
          <w:i/>
          <w:color w:val="000000"/>
          <w:sz w:val="21"/>
          <w:szCs w:val="21"/>
          <w:lang w:val="es-ES_tradnl"/>
        </w:rPr>
        <w:t>del mismo</w:t>
      </w:r>
      <w:proofErr w:type="gramEnd"/>
      <w:r w:rsidRPr="00002BAF">
        <w:rPr>
          <w:rFonts w:ascii="Arial" w:eastAsia="Calibri" w:hAnsi="Arial" w:cs="Arial"/>
          <w:i/>
          <w:color w:val="000000"/>
          <w:sz w:val="21"/>
          <w:szCs w:val="21"/>
          <w:lang w:val="es-ES_tradnl"/>
        </w:rPr>
        <w:t xml:space="preserve"> y firmarán el contrato.</w:t>
      </w:r>
    </w:p>
    <w:p w14:paraId="6688802D" w14:textId="454B199F" w:rsidR="00002BAF" w:rsidRPr="00002BAF" w:rsidRDefault="00002BAF" w:rsidP="00002BAF">
      <w:pPr>
        <w:spacing w:after="0" w:line="240" w:lineRule="auto"/>
        <w:ind w:left="709" w:right="709"/>
        <w:jc w:val="both"/>
        <w:rPr>
          <w:rFonts w:ascii="Arial" w:eastAsia="Calibri" w:hAnsi="Arial" w:cs="Arial"/>
          <w:color w:val="000000"/>
          <w:sz w:val="21"/>
          <w:szCs w:val="21"/>
          <w:lang w:val="es-ES_tradnl"/>
        </w:rPr>
      </w:pPr>
      <w:r w:rsidRPr="00002BAF">
        <w:rPr>
          <w:rFonts w:ascii="Arial" w:eastAsia="Calibri" w:hAnsi="Arial" w:cs="Arial"/>
          <w:i/>
          <w:color w:val="000000"/>
          <w:sz w:val="21"/>
          <w:szCs w:val="21"/>
          <w:lang w:val="es-ES_tradnl"/>
        </w:rPr>
        <w:t>6. Si la Entidad Estatal y el oferente calificado en el segundo lugar de elegibilidad no llegan a un acuerdo, la Entidad Estatal debe declarar desierto el Proceso de Contratación</w:t>
      </w:r>
      <w:r w:rsidR="002B4614">
        <w:rPr>
          <w:rFonts w:ascii="Arial" w:eastAsia="Calibri" w:hAnsi="Arial" w:cs="Arial"/>
          <w:i/>
          <w:color w:val="000000"/>
          <w:sz w:val="21"/>
          <w:szCs w:val="21"/>
          <w:lang w:val="es-ES_tradnl"/>
        </w:rPr>
        <w:t>»</w:t>
      </w:r>
      <w:r w:rsidRPr="00002BAF">
        <w:rPr>
          <w:rFonts w:ascii="Arial" w:eastAsia="Calibri" w:hAnsi="Arial" w:cs="Arial"/>
          <w:color w:val="000000"/>
          <w:sz w:val="21"/>
          <w:szCs w:val="21"/>
          <w:lang w:val="es-ES_tradnl"/>
        </w:rPr>
        <w:t>. (Énfasis fuera de texto)</w:t>
      </w:r>
    </w:p>
    <w:p w14:paraId="1DAA3D34" w14:textId="77777777" w:rsidR="00002BAF" w:rsidRPr="00002BAF" w:rsidRDefault="00002BAF" w:rsidP="00002BAF">
      <w:pPr>
        <w:spacing w:after="0" w:line="240" w:lineRule="auto"/>
        <w:jc w:val="both"/>
        <w:rPr>
          <w:rFonts w:ascii="Arial" w:eastAsia="Times New Roman" w:hAnsi="Arial" w:cs="Arial"/>
          <w:color w:val="000000"/>
          <w:szCs w:val="24"/>
          <w:lang w:val="es-ES_tradnl" w:eastAsia="es-ES_tradnl"/>
        </w:rPr>
      </w:pPr>
    </w:p>
    <w:p w14:paraId="26FABB39" w14:textId="77777777" w:rsidR="00002BAF" w:rsidRPr="00002BAF" w:rsidRDefault="00002BAF" w:rsidP="00002BAF">
      <w:pPr>
        <w:spacing w:after="120" w:line="276" w:lineRule="auto"/>
        <w:ind w:firstLine="709"/>
        <w:jc w:val="both"/>
        <w:rPr>
          <w:rFonts w:ascii="Arial" w:eastAsia="Times New Roman" w:hAnsi="Arial" w:cs="Arial"/>
          <w:color w:val="000000"/>
          <w:szCs w:val="24"/>
          <w:lang w:val="es-ES_tradnl" w:eastAsia="es-ES_tradnl"/>
        </w:rPr>
      </w:pPr>
      <w:r w:rsidRPr="00002BAF">
        <w:rPr>
          <w:rFonts w:ascii="Arial" w:eastAsia="Times New Roman" w:hAnsi="Arial" w:cs="Arial"/>
          <w:color w:val="000000"/>
          <w:szCs w:val="24"/>
          <w:lang w:val="es-ES_tradnl" w:eastAsia="es-ES_tradnl"/>
        </w:rPr>
        <w:t xml:space="preserve">Los citados numerales 3, 4 y 5 disponían la verificación del precio. Por un lado, los numerales 3 y 4 exigían que estuviera dentro del presupuesto disponible y que este aspecto fuera </w:t>
      </w:r>
      <w:r w:rsidRPr="00002BAF">
        <w:rPr>
          <w:rFonts w:ascii="Arial" w:eastAsia="Times New Roman" w:hAnsi="Arial" w:cs="Arial"/>
          <w:color w:val="000000"/>
          <w:szCs w:val="24"/>
          <w:lang w:val="es-ES_tradnl" w:eastAsia="es-ES_tradnl"/>
        </w:rPr>
        <w:lastRenderedPageBreak/>
        <w:t xml:space="preserve">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w:t>
      </w:r>
      <w:proofErr w:type="gramStart"/>
      <w:r w:rsidRPr="00002BAF">
        <w:rPr>
          <w:rFonts w:ascii="Arial" w:eastAsia="Times New Roman" w:hAnsi="Arial" w:cs="Arial"/>
          <w:color w:val="000000"/>
          <w:szCs w:val="24"/>
          <w:lang w:val="es-ES_tradnl" w:eastAsia="es-ES_tradnl"/>
        </w:rPr>
        <w:t>que</w:t>
      </w:r>
      <w:proofErr w:type="gramEnd"/>
      <w:r w:rsidRPr="00002BAF">
        <w:rPr>
          <w:rFonts w:ascii="Arial" w:eastAsia="Times New Roman" w:hAnsi="Arial" w:cs="Arial"/>
          <w:color w:val="000000"/>
          <w:szCs w:val="24"/>
          <w:lang w:val="es-ES_tradnl" w:eastAsia="es-ES_tradnl"/>
        </w:rPr>
        <w:t xml:space="preserve"> si no era posible llegar a un acuerdo con este, procedía la declaración de desierto. </w:t>
      </w:r>
    </w:p>
    <w:p w14:paraId="7BED508C" w14:textId="77777777" w:rsidR="00002BAF" w:rsidRPr="00002BAF" w:rsidRDefault="00002BAF" w:rsidP="00002BAF">
      <w:pPr>
        <w:spacing w:after="120" w:line="276" w:lineRule="auto"/>
        <w:ind w:firstLine="709"/>
        <w:jc w:val="both"/>
        <w:rPr>
          <w:rFonts w:ascii="Arial" w:eastAsia="Times New Roman" w:hAnsi="Arial" w:cs="Arial"/>
          <w:color w:val="000000"/>
          <w:szCs w:val="24"/>
          <w:lang w:val="es-ES_tradnl" w:eastAsia="es-ES_tradnl"/>
        </w:rPr>
      </w:pPr>
      <w:bookmarkStart w:id="3" w:name="_Hlk43918393"/>
      <w:r w:rsidRPr="00002BAF">
        <w:rPr>
          <w:rFonts w:ascii="Arial" w:eastAsia="Times New Roman" w:hAnsi="Arial" w:cs="Arial"/>
          <w:color w:val="000000"/>
          <w:szCs w:val="24"/>
          <w:lang w:val="es-ES_tradnl" w:eastAsia="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002BAF">
        <w:rPr>
          <w:rFonts w:ascii="Arial" w:eastAsia="Times New Roman" w:hAnsi="Arial" w:cs="Arial"/>
          <w:color w:val="000000"/>
          <w:szCs w:val="24"/>
          <w:vertAlign w:val="superscript"/>
          <w:lang w:val="es-ES_tradnl" w:eastAsia="es-ES_tradnl"/>
        </w:rPr>
        <w:footnoteReference w:id="4"/>
      </w:r>
      <w:r w:rsidRPr="00002BAF">
        <w:rPr>
          <w:rFonts w:ascii="Arial" w:eastAsia="Times New Roman" w:hAnsi="Arial" w:cs="Arial"/>
          <w:color w:val="000000"/>
          <w:szCs w:val="24"/>
          <w:lang w:val="es-ES_tradnl" w:eastAsia="es-ES_tradnl"/>
        </w:rPr>
        <w:t>. En lo que respecta al artículo 6, este violaría especialmente el artículo 25.18 del Estatuto General y el artículo 5 de la Ley 1150 de 2007, pues la declaratoria de desierta solo procede cuando no es posible la selección objetiva del contratista</w:t>
      </w:r>
      <w:bookmarkEnd w:id="3"/>
      <w:r w:rsidRPr="00002BAF">
        <w:rPr>
          <w:rFonts w:ascii="Arial" w:eastAsia="Times New Roman" w:hAnsi="Arial" w:cs="Arial"/>
          <w:color w:val="000000"/>
          <w:szCs w:val="24"/>
          <w:vertAlign w:val="superscript"/>
          <w:lang w:val="es-ES_tradnl" w:eastAsia="es-ES_tradnl"/>
        </w:rPr>
        <w:footnoteReference w:id="5"/>
      </w:r>
      <w:r w:rsidRPr="00002BAF">
        <w:rPr>
          <w:rFonts w:ascii="Arial" w:eastAsia="Times New Roman" w:hAnsi="Arial" w:cs="Arial"/>
          <w:color w:val="000000"/>
          <w:szCs w:val="24"/>
          <w:lang w:val="es-ES_tradnl" w:eastAsia="es-ES_tradnl"/>
        </w:rPr>
        <w:t>.</w:t>
      </w:r>
    </w:p>
    <w:p w14:paraId="5A37F8B4" w14:textId="77777777" w:rsidR="00002BAF" w:rsidRPr="00002BAF" w:rsidRDefault="00002BAF" w:rsidP="00002BAF">
      <w:pPr>
        <w:spacing w:after="0" w:line="276" w:lineRule="auto"/>
        <w:ind w:firstLine="709"/>
        <w:jc w:val="both"/>
        <w:rPr>
          <w:rFonts w:ascii="Arial" w:eastAsia="Calibri" w:hAnsi="Arial" w:cs="Arial"/>
          <w:color w:val="000000"/>
          <w:szCs w:val="24"/>
          <w:lang w:val="es-ES_tradnl" w:eastAsia="es-ES_tradnl"/>
        </w:rPr>
      </w:pPr>
      <w:bookmarkStart w:id="4" w:name="_Hlk43916091"/>
      <w:r w:rsidRPr="00002BAF">
        <w:rPr>
          <w:rFonts w:ascii="Arial" w:eastAsia="Times New Roman" w:hAnsi="Arial" w:cs="Arial"/>
          <w:color w:val="000000"/>
          <w:szCs w:val="24"/>
          <w:lang w:val="es-ES_tradnl" w:eastAsia="es-ES_tradnl"/>
        </w:rPr>
        <w:lastRenderedPageBreak/>
        <w:t xml:space="preserve">En consecuencia, </w:t>
      </w:r>
      <w:r w:rsidRPr="00002BAF">
        <w:rPr>
          <w:rFonts w:ascii="Arial" w:eastAsia="Calibri" w:hAnsi="Arial" w:cs="Arial"/>
          <w:color w:val="000000"/>
          <w:szCs w:val="24"/>
          <w:lang w:val="es-ES_tradnl" w:eastAsia="es-ES_tradnl"/>
        </w:rPr>
        <w:t>con los autos de suspensión provisional, el concurso de méritos abierto debía desarrollarse aplicando únicamente los numerales 1 y 2 del</w:t>
      </w:r>
      <w:r w:rsidRPr="00002BAF">
        <w:rPr>
          <w:rFonts w:ascii="Arial" w:eastAsia="Times New Roman" w:hAnsi="Arial" w:cs="Arial"/>
          <w:color w:val="000000"/>
          <w:szCs w:val="24"/>
          <w:lang w:val="es-ES_tradnl" w:eastAsia="es-ES_tradnl"/>
        </w:rPr>
        <w:t xml:space="preserve"> artículo 2.2.1.2.1.3.2 original del Decreto 1082 de 2015, esto es, antes de la modificación realizada por el Decreto 399 de 2021, al que se hará referencia en el numeral siguiente.</w:t>
      </w:r>
      <w:bookmarkStart w:id="5" w:name="_Hlk43916290"/>
      <w:bookmarkEnd w:id="4"/>
      <w:r w:rsidRPr="00002BAF">
        <w:rPr>
          <w:rFonts w:ascii="Arial" w:eastAsia="Times New Roman" w:hAnsi="Arial" w:cs="Arial"/>
          <w:color w:val="000000"/>
          <w:szCs w:val="24"/>
          <w:lang w:val="es-ES_tradnl" w:eastAsia="es-ES_tradnl"/>
        </w:rPr>
        <w:t xml:space="preserve"> Por lo tanto, </w:t>
      </w:r>
      <w:r w:rsidRPr="00002BAF">
        <w:rPr>
          <w:rFonts w:ascii="Arial" w:eastAsia="Times New Roman" w:hAnsi="Arial" w:cs="Arial"/>
          <w:i/>
          <w:iCs/>
          <w:color w:val="000000"/>
          <w:szCs w:val="24"/>
          <w:lang w:val="es-ES_tradnl" w:eastAsia="es-ES_tradnl"/>
        </w:rPr>
        <w:t>siempre que estuviera dentro del presupuesto oficial</w:t>
      </w:r>
      <w:r w:rsidRPr="00002BAF">
        <w:rPr>
          <w:rFonts w:ascii="Arial" w:eastAsia="Times New Roman" w:hAnsi="Arial" w:cs="Arial"/>
          <w:color w:val="000000"/>
          <w:szCs w:val="24"/>
          <w:lang w:val="es-ES_tradnl" w:eastAsia="es-ES_tradnl"/>
        </w:rPr>
        <w:t>, la entidad estatal debía adjudicar el contrato al proponente que ocupara el primer puesto en el orden de elegibilidad, independientemente del valor ofrecido</w:t>
      </w:r>
      <w:r w:rsidRPr="00002BAF">
        <w:rPr>
          <w:rFonts w:ascii="Arial" w:eastAsia="Calibri" w:hAnsi="Arial" w:cs="Arial"/>
          <w:color w:val="000000"/>
          <w:szCs w:val="24"/>
          <w:lang w:val="es-ES_tradnl" w:eastAsia="es-ES_tradnl"/>
        </w:rPr>
        <w:t>.</w:t>
      </w:r>
    </w:p>
    <w:p w14:paraId="304CF652" w14:textId="77777777" w:rsidR="00002BAF" w:rsidRPr="00002BAF" w:rsidRDefault="00002BAF" w:rsidP="00002BAF">
      <w:pPr>
        <w:spacing w:after="0" w:line="276" w:lineRule="auto"/>
        <w:jc w:val="both"/>
        <w:rPr>
          <w:rFonts w:ascii="Arial" w:eastAsia="Calibri" w:hAnsi="Arial" w:cs="Arial"/>
          <w:b/>
          <w:bCs/>
          <w:color w:val="000000"/>
          <w:szCs w:val="24"/>
          <w:lang w:val="es-ES_tradnl" w:eastAsia="es-ES_tradnl"/>
        </w:rPr>
      </w:pPr>
    </w:p>
    <w:p w14:paraId="139274F8" w14:textId="77777777" w:rsidR="00002BAF" w:rsidRPr="00002BAF" w:rsidRDefault="00002BAF" w:rsidP="00002BAF">
      <w:pPr>
        <w:spacing w:after="0" w:line="276" w:lineRule="auto"/>
        <w:jc w:val="both"/>
        <w:rPr>
          <w:rFonts w:ascii="Arial" w:eastAsia="Calibri" w:hAnsi="Arial" w:cs="Arial"/>
          <w:color w:val="000000"/>
          <w:szCs w:val="24"/>
          <w:lang w:val="es-ES_tradnl" w:eastAsia="es-ES_tradnl"/>
        </w:rPr>
      </w:pPr>
      <w:r w:rsidRPr="00002BAF">
        <w:rPr>
          <w:rFonts w:ascii="Arial" w:eastAsia="Calibri" w:hAnsi="Arial" w:cs="Arial"/>
          <w:b/>
          <w:bCs/>
          <w:color w:val="000000"/>
          <w:szCs w:val="24"/>
          <w:lang w:val="es-ES_tradnl" w:eastAsia="es-ES_tradnl"/>
        </w:rPr>
        <w:t>2.2. Reglamentación del concurso de méritos abierto o con precalificación en el Decreto 399 de 2021</w:t>
      </w:r>
    </w:p>
    <w:p w14:paraId="749E0503" w14:textId="77777777" w:rsidR="00002BAF" w:rsidRPr="00002BAF" w:rsidRDefault="00002BAF" w:rsidP="00002BAF">
      <w:pPr>
        <w:spacing w:after="0" w:line="276" w:lineRule="auto"/>
        <w:jc w:val="both"/>
        <w:rPr>
          <w:rFonts w:ascii="Arial" w:eastAsia="Calibri" w:hAnsi="Arial" w:cs="Arial"/>
          <w:color w:val="000000"/>
          <w:szCs w:val="24"/>
          <w:lang w:val="es-ES_tradnl" w:eastAsia="es-ES_tradnl"/>
        </w:rPr>
      </w:pPr>
    </w:p>
    <w:p w14:paraId="6D3349C2" w14:textId="77777777" w:rsidR="00002BAF" w:rsidRPr="00002BAF" w:rsidRDefault="00002BAF" w:rsidP="00002BAF">
      <w:pPr>
        <w:spacing w:after="0" w:line="276" w:lineRule="auto"/>
        <w:jc w:val="both"/>
        <w:rPr>
          <w:rFonts w:ascii="Arial" w:eastAsia="Calibri" w:hAnsi="Arial" w:cs="Arial"/>
          <w:color w:val="000000"/>
          <w:szCs w:val="24"/>
          <w:lang w:val="es-ES_tradnl" w:eastAsia="es-ES_tradnl"/>
        </w:rPr>
      </w:pPr>
      <w:r w:rsidRPr="00002BAF">
        <w:rPr>
          <w:rFonts w:ascii="Arial" w:eastAsia="Calibri" w:hAnsi="Arial" w:cs="Arial"/>
          <w:color w:val="000000"/>
          <w:szCs w:val="24"/>
          <w:lang w:val="es-ES_tradnl" w:eastAsia="es-ES_tradnl"/>
        </w:rPr>
        <w:t>El artículo 2 del Decreto 399 de 2021 modificó el artículo 2.2.1.2.1.3.2. del Decreto 1082 de 2015, en los siguientes términos:</w:t>
      </w:r>
    </w:p>
    <w:p w14:paraId="63A1997A"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4989BCDB" w14:textId="6E3A1005" w:rsidR="00002BAF" w:rsidRPr="00002BAF" w:rsidRDefault="002B4614"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Pr>
          <w:rFonts w:ascii="Arial" w:eastAsia="Times New Roman" w:hAnsi="Arial" w:cs="Arial"/>
          <w:color w:val="000000"/>
          <w:sz w:val="21"/>
          <w:szCs w:val="21"/>
          <w:lang w:val="es-ES_tradnl" w:eastAsia="es-ES_tradnl"/>
        </w:rPr>
        <w:t>«</w:t>
      </w:r>
      <w:r w:rsidR="00002BAF" w:rsidRPr="00002BAF">
        <w:rPr>
          <w:rFonts w:ascii="Arial" w:eastAsia="Times New Roman" w:hAnsi="Arial" w:cs="Arial"/>
          <w:color w:val="000000"/>
          <w:sz w:val="21"/>
          <w:szCs w:val="21"/>
          <w:lang w:val="es-ES_tradnl" w:eastAsia="es-ES_tradnl"/>
        </w:rPr>
        <w:t>Artículo</w:t>
      </w:r>
      <w:bookmarkStart w:id="6" w:name="2"/>
      <w:r w:rsidR="00002BAF" w:rsidRPr="00002BAF">
        <w:rPr>
          <w:rFonts w:ascii="Arial" w:eastAsia="Times New Roman" w:hAnsi="Arial" w:cs="Arial"/>
          <w:color w:val="000000"/>
          <w:sz w:val="21"/>
          <w:szCs w:val="21"/>
          <w:lang w:val="es-ES_tradnl" w:eastAsia="es-ES_tradnl"/>
        </w:rPr>
        <w:t> </w:t>
      </w:r>
      <w:bookmarkEnd w:id="6"/>
      <w:r w:rsidR="00002BAF" w:rsidRPr="00002BAF">
        <w:rPr>
          <w:rFonts w:ascii="Arial" w:eastAsia="Times New Roman" w:hAnsi="Arial" w:cs="Arial"/>
          <w:color w:val="000000"/>
          <w:sz w:val="21"/>
          <w:szCs w:val="21"/>
          <w:lang w:val="es-ES_tradnl" w:eastAsia="es-ES_tradnl"/>
        </w:rPr>
        <w:t>2. Modificación del artículo </w:t>
      </w:r>
      <w:hyperlink r:id="rId12" w:anchor="2.2.1.2.1.3.2" w:history="1">
        <w:r w:rsidR="00002BAF" w:rsidRPr="00002BAF">
          <w:rPr>
            <w:rFonts w:ascii="Arial" w:eastAsia="Times New Roman" w:hAnsi="Arial" w:cs="Arial"/>
            <w:color w:val="000000"/>
            <w:sz w:val="21"/>
            <w:szCs w:val="21"/>
            <w:lang w:val="es-ES_tradnl" w:eastAsia="es-ES_tradnl"/>
          </w:rPr>
          <w:t>2.2.1.2.1.3.2</w:t>
        </w:r>
      </w:hyperlink>
      <w:r w:rsidR="00002BAF" w:rsidRPr="00002BAF">
        <w:rPr>
          <w:rFonts w:ascii="Arial" w:eastAsia="Times New Roman" w:hAnsi="Arial" w:cs="Arial"/>
          <w:color w:val="000000"/>
          <w:sz w:val="21"/>
          <w:szCs w:val="21"/>
          <w:lang w:val="es-ES_tradnl" w:eastAsia="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441EE7BD"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 </w:t>
      </w:r>
    </w:p>
    <w:p w14:paraId="70AD10C1"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"Artículo 2.2.1.2.1.3.2. Procedimiento del concurso de méritos. Además de las reglas generales previstas en la ley y en el presente título, las siguientes reglas son aplicables al concurso de méritos abierto o con precalificación:</w:t>
      </w:r>
    </w:p>
    <w:p w14:paraId="3A68A6D0"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 </w:t>
      </w:r>
    </w:p>
    <w:p w14:paraId="5BD44636"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1. La Entidad Estatal en los pliegos de condiciones debe indicar la forma como calificará, entre otros, los siguientes criterios: a) la experiencia del interesado y del equipo de trabajo y b) la formación académica del equipo de trabajo.</w:t>
      </w:r>
    </w:p>
    <w:p w14:paraId="79967ED9"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 </w:t>
      </w:r>
    </w:p>
    <w:p w14:paraId="1D8D46FE"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4FE93100"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 </w:t>
      </w:r>
    </w:p>
    <w:p w14:paraId="4009A5B7" w14:textId="01559AAC"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r w:rsidR="002B4614">
        <w:rPr>
          <w:rFonts w:ascii="Arial" w:eastAsia="Times New Roman" w:hAnsi="Arial" w:cs="Arial"/>
          <w:color w:val="000000"/>
          <w:sz w:val="21"/>
          <w:szCs w:val="21"/>
          <w:lang w:val="es-ES_tradnl" w:eastAsia="es-ES_tradnl"/>
        </w:rPr>
        <w:t>»</w:t>
      </w:r>
      <w:r w:rsidRPr="00002BAF">
        <w:rPr>
          <w:rFonts w:ascii="Arial" w:eastAsia="Times New Roman" w:hAnsi="Arial" w:cs="Arial"/>
          <w:color w:val="000000"/>
          <w:sz w:val="21"/>
          <w:szCs w:val="21"/>
          <w:lang w:val="es-ES_tradnl" w:eastAsia="es-ES_tradnl"/>
        </w:rPr>
        <w:t>.</w:t>
      </w:r>
    </w:p>
    <w:p w14:paraId="4D2739B7" w14:textId="77777777" w:rsidR="00002BAF" w:rsidRPr="00002BAF" w:rsidRDefault="00002BAF" w:rsidP="00002BAF">
      <w:pPr>
        <w:spacing w:after="0" w:line="240" w:lineRule="auto"/>
        <w:rPr>
          <w:rFonts w:ascii="Times New Roman" w:eastAsia="Times New Roman" w:hAnsi="Times New Roman" w:cs="Times New Roman"/>
          <w:color w:val="000000"/>
          <w:sz w:val="24"/>
          <w:szCs w:val="24"/>
          <w:lang w:val="es-ES_tradnl" w:eastAsia="es-ES_tradnl"/>
        </w:rPr>
      </w:pPr>
    </w:p>
    <w:p w14:paraId="74DE1252" w14:textId="77777777" w:rsidR="00002BAF" w:rsidRPr="00002BAF" w:rsidRDefault="00002BAF" w:rsidP="00002BAF">
      <w:pPr>
        <w:spacing w:after="0" w:line="276" w:lineRule="auto"/>
        <w:ind w:firstLine="709"/>
        <w:jc w:val="both"/>
        <w:rPr>
          <w:rFonts w:ascii="Arial" w:eastAsia="Calibri" w:hAnsi="Arial" w:cs="Arial"/>
          <w:color w:val="000000"/>
          <w:szCs w:val="24"/>
          <w:lang w:val="es-ES_tradnl" w:eastAsia="es-ES_tradnl"/>
        </w:rPr>
      </w:pPr>
      <w:r w:rsidRPr="00002BAF">
        <w:rPr>
          <w:rFonts w:ascii="Arial" w:eastAsia="Calibri" w:hAnsi="Arial" w:cs="Arial"/>
          <w:color w:val="000000"/>
          <w:szCs w:val="24"/>
          <w:lang w:val="es-ES_tradnl" w:eastAsia="es-ES_tradnl"/>
        </w:rPr>
        <w:t xml:space="preserve">Como se observa, el artículo 2 del Decreto 399 de 2021 reformó la reglamentación del concurso de méritos, para adecuarla a los pronunciamientos del Consejo de Estado que habían suspendido provisionalmente algunos numerales del artículo 2.2.1.2.1.3.2. del Decreto 1082 de </w:t>
      </w:r>
      <w:r w:rsidRPr="00002BAF">
        <w:rPr>
          <w:rFonts w:ascii="Arial" w:eastAsia="Calibri" w:hAnsi="Arial" w:cs="Arial"/>
          <w:color w:val="000000"/>
          <w:szCs w:val="24"/>
          <w:lang w:val="es-ES_tradnl" w:eastAsia="es-ES_tradnl"/>
        </w:rPr>
        <w:lastRenderedPageBreak/>
        <w:t>2015</w:t>
      </w:r>
      <w:r w:rsidRPr="00002BAF">
        <w:rPr>
          <w:rFonts w:ascii="Arial" w:eastAsia="Calibri" w:hAnsi="Arial" w:cs="Arial"/>
          <w:color w:val="000000"/>
          <w:szCs w:val="24"/>
          <w:vertAlign w:val="superscript"/>
          <w:lang w:val="es-ES_tradnl" w:eastAsia="es-ES_tradnl"/>
        </w:rPr>
        <w:footnoteReference w:id="6"/>
      </w:r>
      <w:r w:rsidRPr="00002BAF">
        <w:rPr>
          <w:rFonts w:ascii="Arial" w:eastAsia="Calibri" w:hAnsi="Arial" w:cs="Arial"/>
          <w:color w:val="000000"/>
          <w:szCs w:val="24"/>
          <w:lang w:val="es-ES_tradnl" w:eastAsia="es-ES_tradnl"/>
        </w:rPr>
        <w:t xml:space="preserve">. A diferencia de lo que establecía este artículo en su redacción inicial, con la </w:t>
      </w:r>
      <w:proofErr w:type="gramStart"/>
      <w:r w:rsidRPr="00002BAF">
        <w:rPr>
          <w:rFonts w:ascii="Arial" w:eastAsia="Calibri" w:hAnsi="Arial" w:cs="Arial"/>
          <w:color w:val="000000"/>
          <w:szCs w:val="24"/>
          <w:lang w:val="es-ES_tradnl" w:eastAsia="es-ES_tradnl"/>
        </w:rPr>
        <w:t>entrada en vigencia</w:t>
      </w:r>
      <w:proofErr w:type="gramEnd"/>
      <w:r w:rsidRPr="00002BAF">
        <w:rPr>
          <w:rFonts w:ascii="Arial" w:eastAsia="Calibri" w:hAnsi="Arial" w:cs="Arial"/>
          <w:color w:val="000000"/>
          <w:szCs w:val="24"/>
          <w:lang w:val="es-ES_tradnl" w:eastAsia="es-ES_tradnl"/>
        </w:rPr>
        <w:t xml:space="preserve"> del artículo 2 del Decreto 399 de 2021 se observan los siguientes cambios:</w:t>
      </w:r>
    </w:p>
    <w:p w14:paraId="0671C2C3" w14:textId="77777777" w:rsidR="00002BAF" w:rsidRPr="00002BAF" w:rsidRDefault="00002BAF" w:rsidP="00002BAF">
      <w:pPr>
        <w:spacing w:before="120" w:after="0" w:line="276" w:lineRule="auto"/>
        <w:ind w:firstLine="709"/>
        <w:jc w:val="both"/>
        <w:rPr>
          <w:rFonts w:ascii="Arial" w:eastAsia="Calibri" w:hAnsi="Arial" w:cs="Arial"/>
          <w:color w:val="000000"/>
          <w:szCs w:val="24"/>
          <w:lang w:val="es-ES_tradnl" w:eastAsia="es-ES_tradnl"/>
        </w:rPr>
      </w:pPr>
      <w:r w:rsidRPr="00002BAF">
        <w:rPr>
          <w:rFonts w:ascii="Arial" w:eastAsia="Calibri" w:hAnsi="Arial" w:cs="Arial"/>
          <w:color w:val="000000"/>
          <w:szCs w:val="24"/>
          <w:lang w:val="es-ES_tradnl" w:eastAsia="es-ES_tradnl"/>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554966C4" w14:textId="77777777" w:rsidR="00002BAF" w:rsidRPr="00002BAF" w:rsidRDefault="00002BAF" w:rsidP="00002BAF">
      <w:pPr>
        <w:spacing w:before="120" w:after="0" w:line="276" w:lineRule="auto"/>
        <w:ind w:firstLine="709"/>
        <w:jc w:val="both"/>
        <w:rPr>
          <w:rFonts w:ascii="Arial" w:eastAsia="Calibri" w:hAnsi="Arial" w:cs="Arial"/>
          <w:color w:val="000000"/>
          <w:szCs w:val="24"/>
          <w:lang w:val="es-ES_tradnl" w:eastAsia="es-ES_tradnl"/>
        </w:rPr>
      </w:pPr>
      <w:proofErr w:type="spellStart"/>
      <w:r w:rsidRPr="00002BAF">
        <w:rPr>
          <w:rFonts w:ascii="Arial" w:eastAsia="Calibri" w:hAnsi="Arial" w:cs="Arial"/>
          <w:color w:val="000000"/>
          <w:szCs w:val="24"/>
          <w:lang w:val="es-ES_tradnl" w:eastAsia="es-ES_tradnl"/>
        </w:rPr>
        <w:t>ii</w:t>
      </w:r>
      <w:proofErr w:type="spellEnd"/>
      <w:r w:rsidRPr="00002BAF">
        <w:rPr>
          <w:rFonts w:ascii="Arial" w:eastAsia="Calibri" w:hAnsi="Arial" w:cs="Arial"/>
          <w:color w:val="000000"/>
          <w:szCs w:val="24"/>
          <w:lang w:val="es-ES_tradnl" w:eastAsia="es-ES_tradnl"/>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7BF84251" w14:textId="77777777" w:rsidR="00002BAF" w:rsidRPr="00002BAF" w:rsidRDefault="00002BAF" w:rsidP="00002BAF">
      <w:pPr>
        <w:spacing w:before="120" w:after="0" w:line="276" w:lineRule="auto"/>
        <w:ind w:firstLine="709"/>
        <w:jc w:val="both"/>
        <w:rPr>
          <w:rFonts w:ascii="Arial" w:eastAsia="Calibri" w:hAnsi="Arial" w:cs="Arial"/>
          <w:color w:val="000000"/>
          <w:szCs w:val="24"/>
          <w:lang w:val="es-ES_tradnl" w:eastAsia="es-ES_tradnl"/>
        </w:rPr>
      </w:pPr>
      <w:proofErr w:type="spellStart"/>
      <w:r w:rsidRPr="00002BAF">
        <w:rPr>
          <w:rFonts w:ascii="Arial" w:eastAsia="Calibri" w:hAnsi="Arial" w:cs="Arial"/>
          <w:color w:val="000000"/>
          <w:szCs w:val="24"/>
          <w:lang w:val="es-ES_tradnl" w:eastAsia="es-ES_tradnl"/>
        </w:rPr>
        <w:t>iii</w:t>
      </w:r>
      <w:proofErr w:type="spellEnd"/>
      <w:r w:rsidRPr="00002BAF">
        <w:rPr>
          <w:rFonts w:ascii="Arial" w:eastAsia="Calibri" w:hAnsi="Arial" w:cs="Arial"/>
          <w:color w:val="000000"/>
          <w:szCs w:val="24"/>
          <w:lang w:val="es-ES_tradnl" w:eastAsia="es-ES_tradnl"/>
        </w:rPr>
        <w:t xml:space="preserve">) Como el nuevo artículo 2.2.1.2.1.3.2. del Decreto 1082 de 2015, modificado por el artículo 2 del Decreto 399 de 2021, ya no establece una fase de negociación entre la entidad </w:t>
      </w:r>
      <w:r w:rsidRPr="00002BAF">
        <w:rPr>
          <w:rFonts w:ascii="Arial" w:eastAsia="Calibri" w:hAnsi="Arial" w:cs="Arial"/>
          <w:color w:val="000000"/>
          <w:szCs w:val="24"/>
          <w:lang w:val="es-ES_tradnl" w:eastAsia="es-ES_tradnl"/>
        </w:rPr>
        <w:lastRenderedPageBreak/>
        <w:t>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7E152AD0" w14:textId="77777777" w:rsidR="00002BAF" w:rsidRPr="00002BAF" w:rsidRDefault="00002BAF" w:rsidP="00002BAF">
      <w:pPr>
        <w:spacing w:before="120" w:after="0" w:line="276" w:lineRule="auto"/>
        <w:ind w:firstLine="709"/>
        <w:jc w:val="both"/>
        <w:rPr>
          <w:rFonts w:ascii="Arial" w:eastAsia="Calibri" w:hAnsi="Arial" w:cs="Arial"/>
          <w:color w:val="000000"/>
          <w:szCs w:val="24"/>
          <w:lang w:val="es-ES_tradnl" w:eastAsia="es-ES_tradnl"/>
        </w:rPr>
      </w:pPr>
      <w:r w:rsidRPr="00002BAF">
        <w:rPr>
          <w:rFonts w:ascii="Arial" w:eastAsia="Calibri" w:hAnsi="Arial" w:cs="Arial"/>
          <w:color w:val="000000"/>
          <w:szCs w:val="24"/>
          <w:lang w:val="es-ES_tradnl" w:eastAsia="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0D18647A"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7BD359FC" w14:textId="1C949658" w:rsidR="00002BAF" w:rsidRPr="00002BAF" w:rsidRDefault="00BF217E"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Pr>
          <w:rFonts w:ascii="Arial" w:eastAsia="Times New Roman" w:hAnsi="Arial" w:cs="Arial"/>
          <w:color w:val="000000"/>
          <w:sz w:val="21"/>
          <w:szCs w:val="21"/>
          <w:lang w:val="es-ES_tradnl" w:eastAsia="es-ES_tradnl"/>
        </w:rPr>
        <w:t>«</w:t>
      </w:r>
      <w:r w:rsidR="00002BAF" w:rsidRPr="00002BAF">
        <w:rPr>
          <w:rFonts w:ascii="Arial" w:eastAsia="Times New Roman" w:hAnsi="Arial" w:cs="Arial"/>
          <w:color w:val="000000"/>
          <w:sz w:val="21"/>
          <w:szCs w:val="21"/>
          <w:lang w:val="es-ES_tradnl" w:eastAsia="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76300531" w14:textId="77777777"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 </w:t>
      </w:r>
    </w:p>
    <w:p w14:paraId="2B441154" w14:textId="63F96291" w:rsidR="00002BAF" w:rsidRPr="00002BAF" w:rsidRDefault="00002BAF" w:rsidP="00002BA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002BAF">
        <w:rPr>
          <w:rFonts w:ascii="Arial" w:eastAsia="Times New Roman" w:hAnsi="Arial" w:cs="Arial"/>
          <w:color w:val="000000"/>
          <w:sz w:val="21"/>
          <w:szCs w:val="21"/>
          <w:lang w:val="es-ES_tradnl" w:eastAsia="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00BF217E">
        <w:rPr>
          <w:rFonts w:ascii="Arial" w:eastAsia="Times New Roman" w:hAnsi="Arial" w:cs="Arial"/>
          <w:color w:val="000000"/>
          <w:sz w:val="21"/>
          <w:szCs w:val="21"/>
          <w:lang w:val="es-ES_tradnl" w:eastAsia="es-ES_tradnl"/>
        </w:rPr>
        <w:t>»</w:t>
      </w:r>
      <w:r w:rsidRPr="00002BAF">
        <w:rPr>
          <w:rFonts w:ascii="Arial" w:eastAsia="Times New Roman" w:hAnsi="Arial" w:cs="Arial"/>
          <w:color w:val="000000"/>
          <w:sz w:val="21"/>
          <w:szCs w:val="21"/>
          <w:lang w:val="es-ES_tradnl" w:eastAsia="es-ES_tradnl"/>
        </w:rPr>
        <w:t>.</w:t>
      </w:r>
      <w:r w:rsidRPr="00002BAF">
        <w:rPr>
          <w:rFonts w:ascii="Arial" w:eastAsia="Calibri" w:hAnsi="Arial" w:cs="Arial"/>
          <w:color w:val="000000"/>
          <w:szCs w:val="24"/>
          <w:lang w:val="es-ES_tradnl" w:eastAsia="es-ES_tradnl"/>
        </w:rPr>
        <w:t xml:space="preserve">  </w:t>
      </w:r>
    </w:p>
    <w:p w14:paraId="6D5985F9" w14:textId="77777777" w:rsidR="00002BAF" w:rsidRPr="00002BAF" w:rsidRDefault="00002BAF" w:rsidP="00002BAF">
      <w:pPr>
        <w:spacing w:after="0" w:line="276" w:lineRule="auto"/>
        <w:ind w:firstLine="709"/>
        <w:jc w:val="both"/>
        <w:rPr>
          <w:rFonts w:ascii="Arial" w:eastAsia="Calibri" w:hAnsi="Arial" w:cs="Arial"/>
          <w:color w:val="000000"/>
          <w:szCs w:val="24"/>
          <w:lang w:val="es-ES_tradnl" w:eastAsia="es-ES_tradnl"/>
        </w:rPr>
      </w:pPr>
    </w:p>
    <w:p w14:paraId="1E75A615" w14:textId="77777777" w:rsidR="00002BAF" w:rsidRPr="00002BAF" w:rsidRDefault="00002BAF" w:rsidP="00002BAF">
      <w:pPr>
        <w:spacing w:after="0" w:line="276" w:lineRule="auto"/>
        <w:ind w:firstLine="709"/>
        <w:jc w:val="both"/>
        <w:rPr>
          <w:rFonts w:ascii="Arial" w:eastAsia="Calibri" w:hAnsi="Arial" w:cs="Arial"/>
          <w:color w:val="000000"/>
          <w:szCs w:val="24"/>
          <w:lang w:val="es-ES_tradnl" w:eastAsia="es-ES_tradnl"/>
        </w:rPr>
      </w:pPr>
      <w:r w:rsidRPr="00002BAF">
        <w:rPr>
          <w:rFonts w:ascii="Arial" w:eastAsia="Calibri" w:hAnsi="Arial" w:cs="Arial"/>
          <w:color w:val="000000"/>
          <w:szCs w:val="24"/>
          <w:lang w:val="es-ES_tradnl" w:eastAsia="es-ES_tradnl"/>
        </w:rPr>
        <w:t xml:space="preserve">Por lo tanto, a partir de la </w:t>
      </w:r>
      <w:proofErr w:type="gramStart"/>
      <w:r w:rsidRPr="00002BAF">
        <w:rPr>
          <w:rFonts w:ascii="Arial" w:eastAsia="Calibri" w:hAnsi="Arial" w:cs="Arial"/>
          <w:color w:val="000000"/>
          <w:szCs w:val="24"/>
          <w:lang w:val="es-ES_tradnl" w:eastAsia="es-ES_tradnl"/>
        </w:rPr>
        <w:t>entrada en vigencia</w:t>
      </w:r>
      <w:proofErr w:type="gramEnd"/>
      <w:r w:rsidRPr="00002BAF">
        <w:rPr>
          <w:rFonts w:ascii="Arial" w:eastAsia="Calibri" w:hAnsi="Arial" w:cs="Arial"/>
          <w:color w:val="000000"/>
          <w:szCs w:val="24"/>
          <w:lang w:val="es-ES_tradnl" w:eastAsia="es-ES_tradnl"/>
        </w:rPr>
        <w:t xml:space="preserve">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w:t>
      </w:r>
      <w:r w:rsidRPr="00002BAF">
        <w:rPr>
          <w:rFonts w:ascii="Arial" w:eastAsia="Calibri" w:hAnsi="Arial" w:cs="Arial"/>
          <w:color w:val="000000"/>
          <w:szCs w:val="24"/>
          <w:lang w:val="es-ES_tradnl" w:eastAsia="es-ES_tradnl"/>
        </w:rPr>
        <w:lastRenderedPageBreak/>
        <w:t xml:space="preserve">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14:paraId="22713A97" w14:textId="77777777" w:rsidR="00002BAF" w:rsidRPr="00002BAF" w:rsidRDefault="00002BAF" w:rsidP="00002BAF">
      <w:pPr>
        <w:spacing w:before="120" w:after="0" w:line="276" w:lineRule="auto"/>
        <w:ind w:firstLine="709"/>
        <w:jc w:val="both"/>
        <w:rPr>
          <w:rFonts w:ascii="Arial" w:eastAsia="Calibri" w:hAnsi="Arial" w:cs="Arial"/>
          <w:color w:val="000000"/>
          <w:szCs w:val="24"/>
          <w:lang w:val="es-ES_tradnl" w:eastAsia="es-ES_tradnl"/>
        </w:rPr>
      </w:pPr>
      <w:r w:rsidRPr="00002BAF">
        <w:rPr>
          <w:rFonts w:ascii="Arial" w:eastAsia="Calibri" w:hAnsi="Arial" w:cs="Arial"/>
          <w:color w:val="000000"/>
          <w:szCs w:val="24"/>
          <w:lang w:val="es-ES_tradnl" w:eastAsia="es-ES_tradnl"/>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bookmarkEnd w:id="5"/>
    <w:p w14:paraId="6CE166DA" w14:textId="77777777" w:rsidR="00002BAF" w:rsidRPr="00002BAF" w:rsidRDefault="00002BAF" w:rsidP="00002BAF">
      <w:pPr>
        <w:spacing w:before="120" w:after="0" w:line="276" w:lineRule="auto"/>
        <w:ind w:firstLine="709"/>
        <w:jc w:val="both"/>
        <w:rPr>
          <w:rFonts w:ascii="Arial" w:eastAsia="Times New Roman" w:hAnsi="Arial" w:cs="Arial"/>
          <w:shd w:val="clear" w:color="auto" w:fill="FFFFFF"/>
          <w:lang w:eastAsia="es-ES_tradnl"/>
        </w:rPr>
      </w:pPr>
      <w:r w:rsidRPr="00002BAF">
        <w:rPr>
          <w:rFonts w:ascii="Arial" w:eastAsia="Calibri" w:hAnsi="Arial" w:cs="Arial"/>
          <w:szCs w:val="24"/>
          <w:lang w:val="es-ES_tradnl" w:eastAsia="es-ES_tradnl"/>
        </w:rPr>
        <w:t>De lo explicado previamente, surge el siguiente interrogante: ¿el artículo 2 del Decreto 399 de 2021, normativa que modifica el artículo 2.2.1.2.1.3.2 del Decreto 1082, varía el momento en el cual las entidades estatales evalúan las ofertas económicas? En la regulación inicialmente prevista por</w:t>
      </w:r>
      <w:r w:rsidRPr="00002BAF">
        <w:rPr>
          <w:rFonts w:ascii="Arial" w:eastAsia="Times New Roman" w:hAnsi="Arial" w:cs="Arial"/>
          <w:shd w:val="clear" w:color="auto" w:fill="FFFFFF"/>
          <w:lang w:eastAsia="es-ES_tradnl"/>
        </w:rPr>
        <w:t xml:space="preserve"> el Decreto 1082 de 201</w:t>
      </w:r>
      <w:r w:rsidRPr="00002BAF">
        <w:rPr>
          <w:rFonts w:ascii="Arial" w:eastAsia="Times New Roman" w:hAnsi="Arial" w:cs="Arial"/>
          <w:bCs/>
          <w:shd w:val="clear" w:color="auto" w:fill="FFFFFF"/>
          <w:lang w:eastAsia="es-ES_tradnl"/>
        </w:rPr>
        <w:t>5,</w:t>
      </w:r>
      <w:r w:rsidRPr="00002BAF">
        <w:rPr>
          <w:rFonts w:ascii="Arial" w:eastAsia="Times New Roman" w:hAnsi="Arial" w:cs="Arial"/>
          <w:shd w:val="clear" w:color="auto" w:fill="FFFFFF"/>
          <w:lang w:eastAsia="es-ES_tradnl"/>
        </w:rPr>
        <w:t xml:space="preserve"> la revisión de las ofertas económicas se realizaba luego de publicar el informe de evaluación que contenía la calificación técnica y el orden de elegibilidad</w:t>
      </w:r>
      <w:r w:rsidRPr="00002BAF">
        <w:rPr>
          <w:rFonts w:ascii="Arial" w:eastAsia="Times New Roman" w:hAnsi="Arial" w:cs="Arial"/>
          <w:shd w:val="clear" w:color="auto" w:fill="FFFFFF"/>
          <w:vertAlign w:val="superscript"/>
          <w:lang w:eastAsia="es-ES_tradnl"/>
        </w:rPr>
        <w:footnoteReference w:id="7"/>
      </w:r>
      <w:r w:rsidRPr="00002BAF">
        <w:rPr>
          <w:rFonts w:ascii="Arial" w:eastAsia="Times New Roman" w:hAnsi="Arial" w:cs="Arial"/>
          <w:shd w:val="clear" w:color="auto" w:fill="FFFFFF"/>
          <w:lang w:eastAsia="es-ES_tradnl"/>
        </w:rPr>
        <w:t xml:space="preserve">. En este sentido, vencido el plazo de la fecha del cierre del proceso se evaluaban los documentos referidos a la calificación técnica, cuyo análisis y revisión quedaba contenido en el informe de evaluación. Publicado este informe en la plataforma del Sistema Electrónico de Contratación Pública –SECOP–, se procedía a revisar la oferta económica para determinar que el valor de esta estuviera acorde con el valor del presupuesto estimado por la Entidad. </w:t>
      </w:r>
    </w:p>
    <w:p w14:paraId="1E33BBA6" w14:textId="77777777" w:rsidR="00002BAF" w:rsidRPr="00002BAF" w:rsidRDefault="00002BAF" w:rsidP="00002BAF">
      <w:pPr>
        <w:spacing w:before="120" w:after="0" w:line="276" w:lineRule="auto"/>
        <w:ind w:firstLine="709"/>
        <w:jc w:val="both"/>
        <w:rPr>
          <w:rFonts w:ascii="Arial" w:eastAsia="Times New Roman" w:hAnsi="Arial" w:cs="Arial"/>
          <w:shd w:val="clear" w:color="auto" w:fill="FFFFFF"/>
          <w:lang w:eastAsia="es-ES_tradnl"/>
        </w:rPr>
      </w:pPr>
      <w:r w:rsidRPr="00002BAF">
        <w:rPr>
          <w:rFonts w:ascii="Arial" w:eastAsia="Times New Roman" w:hAnsi="Arial" w:cs="Arial"/>
          <w:shd w:val="clear" w:color="auto" w:fill="FFFFFF"/>
          <w:lang w:eastAsia="es-ES_tradnl"/>
        </w:rPr>
        <w:lastRenderedPageBreak/>
        <w:t>Por su parte, con fundamento en el 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las ofertas económicas.</w:t>
      </w:r>
    </w:p>
    <w:p w14:paraId="41B28BEC" w14:textId="77777777" w:rsidR="00002BAF" w:rsidRPr="00002BAF" w:rsidRDefault="00002BAF" w:rsidP="00002BAF">
      <w:pPr>
        <w:spacing w:before="120" w:after="0" w:line="276" w:lineRule="auto"/>
        <w:ind w:firstLine="709"/>
        <w:jc w:val="both"/>
        <w:rPr>
          <w:rFonts w:ascii="Arial" w:eastAsia="Calibri" w:hAnsi="Arial" w:cs="Arial"/>
          <w:lang w:val="es-ES_tradnl"/>
        </w:rPr>
      </w:pPr>
      <w:bookmarkStart w:id="7" w:name="_Hlk94629410"/>
      <w:r w:rsidRPr="00002BAF">
        <w:rPr>
          <w:rFonts w:ascii="Arial" w:eastAsia="Times New Roman" w:hAnsi="Arial" w:cs="Arial"/>
          <w:shd w:val="clear" w:color="auto" w:fill="FFFFFF"/>
          <w:lang w:eastAsia="es-ES_tradnl"/>
        </w:rPr>
        <w:t>Ahora bien</w:t>
      </w:r>
      <w:r w:rsidRPr="00002BAF">
        <w:rPr>
          <w:rFonts w:ascii="Arial" w:eastAsia="Calibri" w:hAnsi="Arial" w:cs="Arial"/>
          <w:lang w:val="es-ES_tradnl"/>
        </w:rPr>
        <w:t xml:space="preserve">, se resalta que la oferta económica en esta modalidad de selección no es un criterio de asignación de puntaje, teniendo en cuenta lo prescrito en el artículo 5, numeral 4, de la Ley 1150 de 2007. De igual forma, de acuerdo con el numeral 1 del artículo 2.2.1.2.1.3.2 del Decreto 1082 de 2015, la experiencia y la formación académica del equipo de trabajo son criterios de asignación de puntaje. </w:t>
      </w:r>
    </w:p>
    <w:p w14:paraId="79AEB48C" w14:textId="77777777" w:rsidR="00002BAF" w:rsidRPr="00002BAF" w:rsidRDefault="00002BAF" w:rsidP="00002BAF">
      <w:pPr>
        <w:spacing w:before="120" w:after="0" w:line="276" w:lineRule="auto"/>
        <w:ind w:firstLine="709"/>
        <w:jc w:val="both"/>
        <w:rPr>
          <w:rFonts w:ascii="Arial" w:eastAsia="Calibri" w:hAnsi="Arial" w:cs="Arial"/>
          <w:lang w:val="es-ES_tradnl"/>
        </w:rPr>
      </w:pPr>
      <w:r w:rsidRPr="00002BAF">
        <w:rPr>
          <w:rFonts w:ascii="Arial" w:eastAsia="Calibri" w:hAnsi="Arial" w:cs="Arial"/>
          <w:lang w:val="es-ES_tradnl"/>
        </w:rPr>
        <w:t xml:space="preserve">Al respecto, es importante señalar que el artículo 12 del Decreto Ley 785 de 2005 dispone lo siguiente: </w:t>
      </w:r>
    </w:p>
    <w:p w14:paraId="3E515A91" w14:textId="77777777" w:rsidR="00002BAF" w:rsidRPr="00002BAF" w:rsidRDefault="00002BAF" w:rsidP="00002BAF">
      <w:pPr>
        <w:spacing w:after="0" w:line="240" w:lineRule="auto"/>
        <w:ind w:right="709"/>
        <w:jc w:val="both"/>
        <w:rPr>
          <w:rFonts w:ascii="Arial" w:eastAsia="Calibri" w:hAnsi="Arial" w:cs="Arial"/>
          <w:lang w:val="es-ES_tradnl"/>
        </w:rPr>
      </w:pPr>
    </w:p>
    <w:p w14:paraId="3B590EDE" w14:textId="5E41D420" w:rsidR="00002BAF" w:rsidRPr="00002BAF" w:rsidRDefault="00BF217E" w:rsidP="005E0E92">
      <w:pPr>
        <w:spacing w:after="0" w:line="240" w:lineRule="auto"/>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00002BAF" w:rsidRPr="00002BAF">
        <w:rPr>
          <w:rFonts w:ascii="Arial" w:eastAsia="Calibri" w:hAnsi="Arial" w:cs="Arial"/>
          <w:sz w:val="21"/>
          <w:szCs w:val="21"/>
          <w:lang w:val="es-ES_tradnl"/>
        </w:rPr>
        <w:t xml:space="preserve">Artículo 12. Certificación de la experiencia. La experiencia se acreditará mediante la presentación de constancias escritas, expedidas por la autoridad competente de las respectivas instituciones oficiales o privadas. Cuando el interesado haya ejercido su profesión o actividad en forma independiente, la experiencia se acreditará mediante declaración del </w:t>
      </w:r>
      <w:proofErr w:type="gramStart"/>
      <w:r w:rsidR="00002BAF" w:rsidRPr="00002BAF">
        <w:rPr>
          <w:rFonts w:ascii="Arial" w:eastAsia="Calibri" w:hAnsi="Arial" w:cs="Arial"/>
          <w:sz w:val="21"/>
          <w:szCs w:val="21"/>
          <w:lang w:val="es-ES_tradnl"/>
        </w:rPr>
        <w:t>mismo.[</w:t>
      </w:r>
      <w:proofErr w:type="gramEnd"/>
      <w:r w:rsidR="00002BAF" w:rsidRPr="00002BAF">
        <w:rPr>
          <w:rFonts w:ascii="Arial" w:eastAsia="Calibri" w:hAnsi="Arial" w:cs="Arial"/>
          <w:sz w:val="21"/>
          <w:szCs w:val="21"/>
          <w:lang w:val="es-ES_tradnl"/>
        </w:rPr>
        <w:t>…]</w:t>
      </w:r>
      <w:r w:rsidR="005E0E92">
        <w:rPr>
          <w:rFonts w:ascii="Arial" w:eastAsia="Calibri" w:hAnsi="Arial" w:cs="Arial"/>
          <w:sz w:val="21"/>
          <w:szCs w:val="21"/>
          <w:lang w:val="es-ES_tradnl"/>
        </w:rPr>
        <w:t>»</w:t>
      </w:r>
    </w:p>
    <w:p w14:paraId="629C34A3" w14:textId="77777777" w:rsidR="00002BAF" w:rsidRPr="00002BAF" w:rsidRDefault="00002BAF" w:rsidP="00002BAF">
      <w:pPr>
        <w:spacing w:after="0" w:line="240" w:lineRule="auto"/>
        <w:ind w:left="709" w:right="709"/>
        <w:jc w:val="both"/>
        <w:rPr>
          <w:rFonts w:ascii="Arial" w:eastAsia="Calibri" w:hAnsi="Arial" w:cs="Arial"/>
          <w:lang w:val="es-ES_tradnl"/>
        </w:rPr>
      </w:pPr>
    </w:p>
    <w:p w14:paraId="1D9C30D3" w14:textId="77777777" w:rsidR="00002BAF" w:rsidRPr="00002BAF" w:rsidRDefault="00002BAF" w:rsidP="00002BAF">
      <w:pPr>
        <w:spacing w:after="120" w:line="276" w:lineRule="auto"/>
        <w:ind w:firstLine="709"/>
        <w:jc w:val="both"/>
        <w:rPr>
          <w:rFonts w:ascii="Arial" w:eastAsia="Calibri" w:hAnsi="Arial" w:cs="Arial"/>
          <w:lang w:val="es-ES_tradnl"/>
        </w:rPr>
      </w:pPr>
      <w:r w:rsidRPr="00002BAF">
        <w:rPr>
          <w:rFonts w:ascii="Arial" w:eastAsia="Calibri" w:hAnsi="Arial" w:cs="Arial"/>
          <w:lang w:val="es-ES_tradnl"/>
        </w:rPr>
        <w:t xml:space="preserve">Adicionalmente, el Decreto 1083 de 2015 contempla en su artículo 2.2.2.3.8 una regla de acreditación de experiencia similar a la citada con anterioridad, en el sentido de que ello debe realizarse a través de la presentación de constancias expedidas por la autoridad competente de las respectivas instituciones oficiales o privadas. </w:t>
      </w:r>
    </w:p>
    <w:p w14:paraId="0C09DFCE" w14:textId="77777777" w:rsidR="00002BAF" w:rsidRPr="00002BAF" w:rsidRDefault="00002BAF" w:rsidP="00002BAF">
      <w:pPr>
        <w:spacing w:after="0" w:line="276" w:lineRule="auto"/>
        <w:ind w:firstLine="709"/>
        <w:jc w:val="both"/>
        <w:rPr>
          <w:rFonts w:ascii="Arial" w:eastAsia="Calibri" w:hAnsi="Arial" w:cs="Arial"/>
          <w:lang w:val="es-ES_tradnl"/>
        </w:rPr>
      </w:pPr>
      <w:r w:rsidRPr="00002BAF">
        <w:rPr>
          <w:rFonts w:ascii="Arial" w:eastAsia="Calibri" w:hAnsi="Arial" w:cs="Arial"/>
          <w:lang w:val="es-ES_tradnl"/>
        </w:rPr>
        <w:t>Por lo tanto, para la calificación de la experiencia de un proponente y su equipo de trabajo en desarrollo de un concurso de méritos, es suficiente con la presentación de las respectivas constancias expedidas por las instituciones oficiales o privadas en las cuales hayan prestado sus servicios o desempeñado algún cargo o empleo. Así, es posible prescindir de la historia laboral para la acreditación de la experiencia.</w:t>
      </w:r>
    </w:p>
    <w:bookmarkEnd w:id="7"/>
    <w:p w14:paraId="71DB8A72" w14:textId="77777777" w:rsidR="00002BAF" w:rsidRPr="00002BAF" w:rsidRDefault="00002BAF" w:rsidP="005304E3">
      <w:pPr>
        <w:spacing w:after="0" w:line="276" w:lineRule="auto"/>
        <w:jc w:val="both"/>
        <w:rPr>
          <w:rFonts w:ascii="Arial" w:eastAsia="Calibri" w:hAnsi="Arial" w:cs="Arial"/>
          <w:lang w:val="es-ES_tradnl"/>
        </w:rPr>
      </w:pPr>
    </w:p>
    <w:p w14:paraId="0E5B227D" w14:textId="77777777" w:rsidR="00002BAF" w:rsidRPr="00002BAF" w:rsidRDefault="00002BAF" w:rsidP="00002BAF">
      <w:pPr>
        <w:tabs>
          <w:tab w:val="left" w:pos="426"/>
        </w:tabs>
        <w:spacing w:after="0" w:line="276" w:lineRule="auto"/>
        <w:jc w:val="both"/>
        <w:rPr>
          <w:rFonts w:ascii="Arial" w:eastAsia="Calibri" w:hAnsi="Arial" w:cs="Arial"/>
          <w:b/>
          <w:bCs/>
          <w:color w:val="000000"/>
          <w:szCs w:val="24"/>
          <w:lang w:val="es-ES_tradnl" w:eastAsia="en-GB"/>
        </w:rPr>
      </w:pPr>
      <w:r w:rsidRPr="00002BAF">
        <w:rPr>
          <w:rFonts w:ascii="Arial" w:eastAsia="Calibri" w:hAnsi="Arial" w:cs="Arial"/>
          <w:b/>
          <w:bCs/>
          <w:color w:val="000000"/>
          <w:szCs w:val="24"/>
          <w:lang w:val="es-ES_tradnl" w:eastAsia="en-GB"/>
        </w:rPr>
        <w:t>2.3. La reserva de información pública como límite al deber de divulgación proactiva de la información en la contratación estatal</w:t>
      </w:r>
    </w:p>
    <w:p w14:paraId="5946DE9D" w14:textId="77777777" w:rsidR="00002BAF" w:rsidRPr="00002BAF" w:rsidRDefault="00002BAF" w:rsidP="00002BAF">
      <w:pPr>
        <w:tabs>
          <w:tab w:val="left" w:pos="426"/>
        </w:tabs>
        <w:spacing w:after="0" w:line="276" w:lineRule="auto"/>
        <w:jc w:val="both"/>
        <w:rPr>
          <w:rFonts w:ascii="Arial" w:eastAsia="Calibri" w:hAnsi="Arial" w:cs="Arial"/>
          <w:szCs w:val="24"/>
          <w:lang w:val="es-ES" w:eastAsia="es-ES_tradnl"/>
        </w:rPr>
      </w:pPr>
    </w:p>
    <w:p w14:paraId="0ED718A3" w14:textId="77777777" w:rsidR="00002BAF" w:rsidRPr="00002BAF" w:rsidRDefault="00002BAF" w:rsidP="00002BAF">
      <w:pPr>
        <w:tabs>
          <w:tab w:val="left" w:pos="426"/>
        </w:tabs>
        <w:spacing w:after="120" w:line="276" w:lineRule="auto"/>
        <w:jc w:val="both"/>
        <w:rPr>
          <w:rFonts w:ascii="Arial" w:eastAsia="Calibri" w:hAnsi="Arial" w:cs="Arial"/>
          <w:color w:val="000000"/>
          <w:szCs w:val="24"/>
          <w:lang w:val="es-ES_tradnl" w:eastAsia="en-GB"/>
        </w:rPr>
      </w:pPr>
      <w:r w:rsidRPr="00002BAF">
        <w:rPr>
          <w:rFonts w:ascii="Arial" w:eastAsia="Calibri" w:hAnsi="Arial" w:cs="Arial"/>
          <w:color w:val="000000"/>
          <w:szCs w:val="24"/>
          <w:lang w:val="es-ES_tradnl" w:eastAsia="en-GB"/>
        </w:rPr>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w:t>
      </w:r>
      <w:r w:rsidRPr="00002BAF">
        <w:rPr>
          <w:rFonts w:ascii="Arial" w:eastAsia="Calibri" w:hAnsi="Arial" w:cs="Arial"/>
          <w:color w:val="000000"/>
          <w:szCs w:val="24"/>
          <w:lang w:val="es-ES_tradnl" w:eastAsia="en-GB"/>
        </w:rPr>
        <w:lastRenderedPageBreak/>
        <w:t xml:space="preserve">integralmente en la Ley 1712 de 2014 «Ley de Transparencia y del Derecho de Acceso a la Información Pública Nacional». Esta Ley establece el </w:t>
      </w:r>
      <w:r w:rsidRPr="00002BAF">
        <w:rPr>
          <w:rFonts w:ascii="Arial" w:eastAsia="Calibri" w:hAnsi="Arial" w:cs="Arial"/>
          <w:i/>
          <w:iCs/>
          <w:color w:val="000000"/>
          <w:szCs w:val="24"/>
          <w:lang w:val="es-ES_tradnl" w:eastAsia="en-GB"/>
        </w:rPr>
        <w:t>deber de divulgación proactiva de la información</w:t>
      </w:r>
      <w:r w:rsidRPr="00002BAF">
        <w:rPr>
          <w:rFonts w:ascii="Arial" w:eastAsia="Calibri" w:hAnsi="Arial" w:cs="Arial"/>
          <w:color w:val="000000"/>
          <w:szCs w:val="24"/>
          <w:lang w:val="es-ES_tradnl" w:eastAsia="en-GB"/>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r w:rsidRPr="00002BAF">
        <w:rPr>
          <w:rFonts w:ascii="Arial" w:eastAsia="Arial" w:hAnsi="Arial" w:cs="Arial"/>
          <w:sz w:val="21"/>
          <w:szCs w:val="21"/>
          <w:vertAlign w:val="superscript"/>
          <w:lang w:val="es-ES" w:eastAsia="es-ES_tradnl"/>
        </w:rPr>
        <w:footnoteReference w:id="8"/>
      </w:r>
      <w:r w:rsidRPr="00002BAF">
        <w:rPr>
          <w:rFonts w:ascii="Arial" w:eastAsia="Arial" w:hAnsi="Arial" w:cs="Arial"/>
          <w:sz w:val="21"/>
          <w:szCs w:val="21"/>
          <w:lang w:val="es-ES" w:eastAsia="es-ES_tradnl"/>
        </w:rPr>
        <w:t>.</w:t>
      </w:r>
    </w:p>
    <w:p w14:paraId="6CD8D265" w14:textId="0F391928" w:rsidR="00002BAF" w:rsidRPr="00002BAF" w:rsidRDefault="00002BAF" w:rsidP="00002BAF">
      <w:pPr>
        <w:tabs>
          <w:tab w:val="left" w:pos="426"/>
        </w:tabs>
        <w:spacing w:after="0" w:line="276" w:lineRule="auto"/>
        <w:ind w:firstLine="425"/>
        <w:jc w:val="both"/>
        <w:rPr>
          <w:rFonts w:ascii="Arial" w:eastAsia="Calibri" w:hAnsi="Arial" w:cs="Arial"/>
          <w:color w:val="000000"/>
          <w:szCs w:val="24"/>
          <w:lang w:val="es-ES_tradnl" w:eastAsia="en-GB"/>
        </w:rPr>
      </w:pPr>
      <w:r w:rsidRPr="00002BAF">
        <w:rPr>
          <w:rFonts w:ascii="Arial" w:eastAsia="Calibri" w:hAnsi="Arial" w:cs="Arial"/>
          <w:szCs w:val="24"/>
          <w:lang w:val="es-ES" w:eastAsia="es-ES_tradnl"/>
        </w:rPr>
        <w:t xml:space="preserve">No </w:t>
      </w:r>
      <w:r w:rsidR="005E0E92" w:rsidRPr="00002BAF">
        <w:rPr>
          <w:rFonts w:ascii="Arial" w:eastAsia="Calibri" w:hAnsi="Arial" w:cs="Arial"/>
          <w:szCs w:val="24"/>
          <w:lang w:val="es-ES" w:eastAsia="es-ES_tradnl"/>
        </w:rPr>
        <w:t>obstante,</w:t>
      </w:r>
      <w:r w:rsidRPr="00002BAF">
        <w:rPr>
          <w:rFonts w:ascii="Arial" w:eastAsia="Calibri" w:hAnsi="Arial" w:cs="Arial"/>
          <w:szCs w:val="24"/>
          <w:lang w:val="es-ES" w:eastAsia="es-ES_tradnl"/>
        </w:rPr>
        <w:t xml:space="preserve"> vale la pena aclarar que el cumplimiento del deber de publicación de la documentación contractual debe armonizarse con las normas aplicables al tipo de información que estas contienen. Lo anterior significa que respecto de la información sometida a reserva o de la cual proceda un tratamiento especial que impida su publicidad, las entidades deberán proceder de conformidad con el tratamiento que impongan tales normas, absteniéndose, de ser el caso, de publicar los documentos del proceso, algunos de ellos o algunos apartes de dichos documentos en los que se evidencie este tipo de información. </w:t>
      </w:r>
    </w:p>
    <w:p w14:paraId="550C5AD6" w14:textId="77777777" w:rsidR="00002BAF" w:rsidRPr="00002BAF" w:rsidRDefault="00002BAF" w:rsidP="00002BAF">
      <w:pPr>
        <w:spacing w:before="120" w:after="0" w:line="276" w:lineRule="auto"/>
        <w:ind w:firstLine="709"/>
        <w:jc w:val="both"/>
        <w:rPr>
          <w:rFonts w:ascii="Arial" w:eastAsia="Calibri" w:hAnsi="Arial" w:cs="Arial"/>
          <w:color w:val="000000"/>
          <w:szCs w:val="24"/>
          <w:lang w:val="es-ES_tradnl" w:eastAsia="en-GB"/>
        </w:rPr>
      </w:pPr>
      <w:r w:rsidRPr="00002BAF">
        <w:rPr>
          <w:rFonts w:ascii="Arial" w:eastAsia="Calibri" w:hAnsi="Arial" w:cs="Arial"/>
          <w:color w:val="000000"/>
          <w:szCs w:val="24"/>
          <w:lang w:val="es-ES_tradnl" w:eastAsia="en-GB"/>
        </w:rPr>
        <w:t xml:space="preserve">En otras palabras, aunque el artículo 74 de la Constitución establezca que la información pública debe ser dada a conocer a la ciudadanía y así los documentos que hagan parte de la actividad contractual puedan catalogarse, </w:t>
      </w:r>
      <w:r w:rsidRPr="00002BAF">
        <w:rPr>
          <w:rFonts w:ascii="Arial" w:eastAsia="Calibri" w:hAnsi="Arial" w:cs="Arial"/>
          <w:i/>
          <w:iCs/>
          <w:color w:val="000000"/>
          <w:szCs w:val="24"/>
          <w:lang w:val="es-ES_tradnl" w:eastAsia="en-GB"/>
        </w:rPr>
        <w:t>prima facie,</w:t>
      </w:r>
      <w:r w:rsidRPr="00002BAF">
        <w:rPr>
          <w:rFonts w:ascii="Arial" w:eastAsia="Calibri" w:hAnsi="Arial" w:cs="Arial"/>
          <w:color w:val="000000"/>
          <w:szCs w:val="24"/>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 dicha disposición establece que la reserva de acceso a la información opera respecto al contenido de un documento público, pero no respecto de su existencia</w:t>
      </w:r>
      <w:r w:rsidRPr="00002BAF">
        <w:rPr>
          <w:rFonts w:ascii="Arial" w:eastAsia="Calibri" w:hAnsi="Arial" w:cs="Arial"/>
          <w:color w:val="000000"/>
          <w:szCs w:val="24"/>
          <w:vertAlign w:val="superscript"/>
          <w:lang w:val="es-ES_tradnl" w:eastAsia="en-GB"/>
        </w:rPr>
        <w:footnoteReference w:id="9"/>
      </w:r>
      <w:r w:rsidRPr="00002BAF">
        <w:rPr>
          <w:rFonts w:ascii="Arial" w:eastAsia="Calibri" w:hAnsi="Arial" w:cs="Arial"/>
          <w:color w:val="000000"/>
          <w:szCs w:val="24"/>
          <w:lang w:val="es-ES_tradnl" w:eastAsia="en-GB"/>
        </w:rPr>
        <w:t xml:space="preserve">. Sin perjuicio de lo anterior, es posible que el contenido de todo el documento o </w:t>
      </w:r>
      <w:r w:rsidRPr="00002BAF">
        <w:rPr>
          <w:rFonts w:ascii="Arial" w:eastAsia="Calibri" w:hAnsi="Arial" w:cs="Arial"/>
          <w:color w:val="000000"/>
          <w:szCs w:val="24"/>
          <w:lang w:val="es-ES_tradnl" w:eastAsia="en-GB"/>
        </w:rPr>
        <w:lastRenderedPageBreak/>
        <w:t>expediente no deba ser objeto de publicidad por estar amparado de forma íntegra por la reserva, dada su conexión con las causales establecidas en la Constitución o la ley.</w:t>
      </w:r>
    </w:p>
    <w:p w14:paraId="56059E2E" w14:textId="77777777" w:rsidR="00002BAF" w:rsidRPr="00002BAF" w:rsidRDefault="00002BAF" w:rsidP="00002BAF">
      <w:pPr>
        <w:tabs>
          <w:tab w:val="left" w:pos="426"/>
        </w:tabs>
        <w:spacing w:before="120" w:after="0" w:line="276" w:lineRule="auto"/>
        <w:ind w:firstLine="709"/>
        <w:jc w:val="both"/>
        <w:rPr>
          <w:rFonts w:ascii="Arial" w:eastAsia="Calibri" w:hAnsi="Arial" w:cs="Arial"/>
          <w:color w:val="000000"/>
          <w:szCs w:val="24"/>
          <w:lang w:val="es-ES_tradnl" w:eastAsia="en-GB"/>
        </w:rPr>
      </w:pPr>
      <w:r w:rsidRPr="00002BAF">
        <w:rPr>
          <w:rFonts w:ascii="Arial" w:eastAsia="Calibri" w:hAnsi="Arial" w:cs="Arial"/>
          <w:color w:val="000000"/>
          <w:szCs w:val="24"/>
          <w:lang w:val="es-ES_tradnl" w:eastAsia="en-GB"/>
        </w:rPr>
        <w:t>Por ello,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Particularmente, para efectos de su consulta, el numeral 3 del artículo 24 de la Ley 1437 de 2011 dispone que los documentos y las informaciones que involucren derechos a la privacidad e intimidad de las personas, como las incluidas en hojas de vida e historias laborales, se encuentran sometidos a reserva.</w:t>
      </w:r>
      <w:r w:rsidRPr="00002BAF">
        <w:rPr>
          <w:rFonts w:ascii="Arial" w:eastAsia="Calibri" w:hAnsi="Arial" w:cs="Arial"/>
          <w:color w:val="000000"/>
          <w:szCs w:val="24"/>
          <w:vertAlign w:val="superscript"/>
          <w:lang w:val="es-ES_tradnl" w:eastAsia="en-GB"/>
        </w:rPr>
        <w:footnoteReference w:id="10"/>
      </w:r>
    </w:p>
    <w:p w14:paraId="30922DC4" w14:textId="77777777" w:rsidR="00002BAF" w:rsidRPr="00002BAF" w:rsidRDefault="00002BAF" w:rsidP="00002BAF">
      <w:pPr>
        <w:tabs>
          <w:tab w:val="left" w:pos="426"/>
        </w:tabs>
        <w:spacing w:before="120" w:after="0" w:line="276" w:lineRule="auto"/>
        <w:ind w:firstLine="709"/>
        <w:jc w:val="both"/>
        <w:rPr>
          <w:rFonts w:ascii="Arial" w:eastAsia="Calibri" w:hAnsi="Arial" w:cs="Arial"/>
          <w:color w:val="000000"/>
          <w:szCs w:val="24"/>
          <w:lang w:val="es-ES_tradnl" w:eastAsia="en-GB"/>
        </w:rPr>
      </w:pPr>
      <w:r w:rsidRPr="00002BAF">
        <w:rPr>
          <w:rFonts w:ascii="Arial" w:eastAsia="Calibri" w:hAnsi="Arial" w:cs="Arial"/>
          <w:color w:val="000000"/>
          <w:szCs w:val="24"/>
          <w:lang w:val="es-ES_tradnl" w:eastAsia="en-GB"/>
        </w:rPr>
        <w:t xml:space="preserve">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artículo 2.2.2.25.1.3., numeral 3 –que compiló al Decreto 1377 de 2013 (art. 3)–, solo podrá divulgarse según las reglas establecidas en dichas normas. </w:t>
      </w:r>
    </w:p>
    <w:p w14:paraId="72F296FC" w14:textId="77777777" w:rsidR="00002BAF" w:rsidRPr="00002BAF" w:rsidRDefault="00002BAF" w:rsidP="00002BAF">
      <w:pPr>
        <w:tabs>
          <w:tab w:val="left" w:pos="426"/>
        </w:tabs>
        <w:spacing w:before="120" w:after="120" w:line="276" w:lineRule="auto"/>
        <w:ind w:firstLine="709"/>
        <w:jc w:val="both"/>
        <w:rPr>
          <w:rFonts w:ascii="Arial" w:eastAsia="Calibri" w:hAnsi="Arial" w:cs="Arial"/>
          <w:color w:val="000000"/>
          <w:szCs w:val="24"/>
          <w:lang w:val="es-ES_tradnl" w:eastAsia="en-GB"/>
        </w:rPr>
      </w:pPr>
      <w:r w:rsidRPr="00002BAF">
        <w:rPr>
          <w:rFonts w:ascii="Arial" w:eastAsia="Calibri" w:hAnsi="Arial" w:cs="Arial"/>
          <w:color w:val="000000"/>
          <w:szCs w:val="24"/>
          <w:lang w:val="es-ES_tradnl" w:eastAsia="en-GB"/>
        </w:rPr>
        <w:t>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estos,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5F973921" w14:textId="77777777" w:rsidR="00002BAF" w:rsidRPr="00002BAF" w:rsidRDefault="00002BAF" w:rsidP="00002BAF">
      <w:pPr>
        <w:tabs>
          <w:tab w:val="left" w:pos="426"/>
        </w:tabs>
        <w:spacing w:before="120" w:after="120" w:line="276" w:lineRule="auto"/>
        <w:ind w:firstLine="709"/>
        <w:jc w:val="both"/>
        <w:rPr>
          <w:rFonts w:ascii="Arial" w:eastAsia="Calibri" w:hAnsi="Arial" w:cs="Arial"/>
          <w:color w:val="000000"/>
          <w:szCs w:val="24"/>
          <w:lang w:val="es-ES_tradnl" w:eastAsia="en-GB"/>
        </w:rPr>
      </w:pPr>
      <w:r w:rsidRPr="00002BAF">
        <w:rPr>
          <w:rFonts w:ascii="Arial" w:eastAsia="Calibri" w:hAnsi="Arial" w:cs="Arial"/>
          <w:color w:val="000000"/>
          <w:szCs w:val="24"/>
          <w:lang w:val="es-ES_tradnl" w:eastAsia="en-GB"/>
        </w:rPr>
        <w:t xml:space="preserve">De igual forma, nada obsta para que los particulares, en desarrollo de procesos de contratación, pongan de presente la existencia de información sensible o sometida a reserva, a </w:t>
      </w:r>
      <w:r w:rsidRPr="00002BAF">
        <w:rPr>
          <w:rFonts w:ascii="Arial" w:eastAsia="Calibri" w:hAnsi="Arial" w:cs="Arial"/>
          <w:color w:val="000000"/>
          <w:szCs w:val="24"/>
          <w:lang w:val="es-ES_tradnl" w:eastAsia="en-GB"/>
        </w:rPr>
        <w:lastRenderedPageBreak/>
        <w:t>efectos de que las entidades públicas adopten las medidas necesarias para brindar un adecuado tratamiento de estos datos, una vez que se analice cada situación.</w:t>
      </w:r>
    </w:p>
    <w:p w14:paraId="4777A34B" w14:textId="77777777" w:rsidR="00002BAF" w:rsidRPr="00002BAF" w:rsidRDefault="00002BAF" w:rsidP="00002BAF">
      <w:pPr>
        <w:tabs>
          <w:tab w:val="left" w:pos="426"/>
        </w:tabs>
        <w:spacing w:after="0" w:line="276" w:lineRule="auto"/>
        <w:ind w:firstLine="709"/>
        <w:jc w:val="both"/>
        <w:rPr>
          <w:rFonts w:ascii="Arial" w:eastAsia="Calibri" w:hAnsi="Arial" w:cs="Arial"/>
          <w:color w:val="000000"/>
          <w:szCs w:val="24"/>
          <w:lang w:val="es-ES_tradnl" w:eastAsia="en-GB"/>
        </w:rPr>
      </w:pPr>
      <w:r w:rsidRPr="00002BAF">
        <w:rPr>
          <w:rFonts w:ascii="Arial" w:eastAsia="Calibri" w:hAnsi="Arial" w:cs="Arial"/>
          <w:color w:val="000000"/>
          <w:szCs w:val="24"/>
          <w:lang w:val="es-ES_tradnl" w:eastAsia="en-GB"/>
        </w:rPr>
        <w:t>En efecto, de conformidad con la Constitución y la jurisprudencia de las altas cortes, la reserva de información pública solo puede crearla el constituyente o el legislador. Además, como se viene explicando, las Leyes estatutarias 1712 de 2014 y la 1755 de 2015 –que sustituyó los artículos 13 a 33 de la Ley 1437 de 2011– establecen reservas particulares de información pública, coincidiendo ambas en establecer la reserva relacionada con la «defensa y seguridad nacional»</w:t>
      </w:r>
      <w:r w:rsidRPr="00002BAF">
        <w:rPr>
          <w:rFonts w:ascii="Arial" w:eastAsia="Calibri" w:hAnsi="Arial" w:cs="Arial"/>
          <w:color w:val="000000"/>
          <w:szCs w:val="24"/>
          <w:vertAlign w:val="superscript"/>
          <w:lang w:val="es-ES_tradnl" w:eastAsia="en-GB"/>
        </w:rPr>
        <w:footnoteReference w:id="11"/>
      </w:r>
      <w:r w:rsidRPr="00002BAF">
        <w:rPr>
          <w:rFonts w:ascii="Arial" w:eastAsia="Calibri" w:hAnsi="Arial" w:cs="Arial"/>
          <w:color w:val="000000"/>
          <w:szCs w:val="24"/>
          <w:lang w:val="es-ES_tradnl" w:eastAsia="en-GB"/>
        </w:rPr>
        <w:t xml:space="preserve">. En armonía con lo anterior, cabe reiterar lo que se afirmó anteriormente en el sentido de que la creación de reservas de información pública es un asunto reservado al constituyente o al legislador. </w:t>
      </w:r>
    </w:p>
    <w:p w14:paraId="53C05B32" w14:textId="77777777" w:rsidR="00002BAF" w:rsidRPr="00002BAF" w:rsidRDefault="00002BAF" w:rsidP="00002BAF">
      <w:pPr>
        <w:tabs>
          <w:tab w:val="left" w:pos="426"/>
        </w:tabs>
        <w:spacing w:after="0" w:line="276" w:lineRule="auto"/>
        <w:ind w:firstLine="709"/>
        <w:jc w:val="both"/>
        <w:rPr>
          <w:rFonts w:ascii="Arial" w:eastAsia="Calibri" w:hAnsi="Arial" w:cs="Arial"/>
          <w:color w:val="000000"/>
          <w:sz w:val="21"/>
          <w:szCs w:val="21"/>
          <w:lang w:val="es-ES_tradnl" w:eastAsia="en-GB"/>
        </w:rPr>
      </w:pPr>
    </w:p>
    <w:p w14:paraId="15777D09" w14:textId="77777777" w:rsidR="00002BAF" w:rsidRPr="00002BAF" w:rsidRDefault="00002BAF" w:rsidP="00002BAF">
      <w:pPr>
        <w:spacing w:after="0" w:line="276" w:lineRule="auto"/>
        <w:jc w:val="both"/>
        <w:rPr>
          <w:rFonts w:ascii="Arial" w:eastAsia="Calibri" w:hAnsi="Arial" w:cs="Arial"/>
          <w:color w:val="000000"/>
          <w:szCs w:val="24"/>
          <w:lang w:eastAsia="es-ES_tradnl"/>
        </w:rPr>
      </w:pPr>
      <w:r w:rsidRPr="00002BAF">
        <w:rPr>
          <w:rFonts w:ascii="Arial" w:eastAsia="Times New Roman" w:hAnsi="Arial" w:cs="Arial"/>
          <w:b/>
          <w:lang w:eastAsia="es-ES_tradnl"/>
        </w:rPr>
        <w:t>3. Respuesta</w:t>
      </w:r>
    </w:p>
    <w:p w14:paraId="24047D04" w14:textId="77777777" w:rsidR="00002BAF" w:rsidRPr="00002BAF" w:rsidRDefault="00002BAF" w:rsidP="00002BAF">
      <w:pPr>
        <w:spacing w:after="0" w:line="276" w:lineRule="auto"/>
        <w:ind w:left="709" w:right="709"/>
        <w:jc w:val="both"/>
        <w:rPr>
          <w:rFonts w:ascii="Arial" w:eastAsia="Calibri" w:hAnsi="Arial" w:cs="Arial"/>
          <w:bCs/>
          <w:lang w:val="es-ES_tradnl" w:eastAsia="es-CO"/>
        </w:rPr>
      </w:pPr>
    </w:p>
    <w:p w14:paraId="5B3CC583" w14:textId="77777777" w:rsidR="00002BAF" w:rsidRPr="00002BAF" w:rsidRDefault="00002BAF" w:rsidP="00002BAF">
      <w:pPr>
        <w:autoSpaceDE w:val="0"/>
        <w:autoSpaceDN w:val="0"/>
        <w:adjustRightInd w:val="0"/>
        <w:spacing w:after="0" w:line="240" w:lineRule="auto"/>
        <w:ind w:left="709" w:right="709"/>
        <w:jc w:val="both"/>
        <w:rPr>
          <w:rFonts w:ascii="Arial" w:eastAsia="Calibri" w:hAnsi="Arial" w:cs="Arial"/>
          <w:bCs/>
          <w:color w:val="000000"/>
          <w:sz w:val="21"/>
          <w:szCs w:val="21"/>
          <w:lang w:val="es-ES_tradnl"/>
        </w:rPr>
      </w:pPr>
      <w:r w:rsidRPr="00002BAF">
        <w:rPr>
          <w:rFonts w:ascii="Arial" w:eastAsia="Calibri" w:hAnsi="Arial" w:cs="Arial"/>
          <w:bCs/>
          <w:color w:val="000000"/>
          <w:sz w:val="21"/>
          <w:szCs w:val="21"/>
          <w:lang w:val="es-ES_tradnl"/>
        </w:rPr>
        <w:t>«[…] si dentro de un proceso de selección de concurso de méritos un oferente solicita que una entidad contratante considere como confidencial su experiencia o la de su equipo, por ser tomadas de historias laborales y aportadas por el proponente para obtener calificación ¿la entidad contratante debe o no debe catalogarlas como confidencial?»</w:t>
      </w:r>
    </w:p>
    <w:p w14:paraId="4572223C" w14:textId="77777777" w:rsidR="00002BAF" w:rsidRPr="00002BAF" w:rsidRDefault="00002BAF" w:rsidP="00002BAF">
      <w:pPr>
        <w:autoSpaceDE w:val="0"/>
        <w:autoSpaceDN w:val="0"/>
        <w:adjustRightInd w:val="0"/>
        <w:spacing w:after="0" w:line="240" w:lineRule="auto"/>
        <w:ind w:right="709"/>
        <w:jc w:val="both"/>
        <w:rPr>
          <w:rFonts w:ascii="Arial" w:eastAsia="Calibri" w:hAnsi="Arial" w:cs="Arial"/>
          <w:bCs/>
          <w:color w:val="000000"/>
          <w:lang w:val="es-ES_tradnl"/>
        </w:rPr>
      </w:pPr>
    </w:p>
    <w:p w14:paraId="55A9E36C" w14:textId="46AB7B45" w:rsidR="00002BAF" w:rsidRPr="00002BAF" w:rsidRDefault="00002BAF" w:rsidP="00002BAF">
      <w:pPr>
        <w:spacing w:after="0" w:line="276" w:lineRule="auto"/>
        <w:jc w:val="both"/>
        <w:rPr>
          <w:rFonts w:ascii="Arial" w:eastAsia="Calibri" w:hAnsi="Arial" w:cs="Arial"/>
          <w:lang w:val="es-ES_tradnl"/>
        </w:rPr>
      </w:pPr>
      <w:r w:rsidRPr="00002BAF">
        <w:rPr>
          <w:rFonts w:ascii="Arial" w:eastAsia="Times New Roman" w:hAnsi="Arial" w:cs="Arial"/>
          <w:sz w:val="21"/>
          <w:szCs w:val="21"/>
          <w:lang w:val="es-ES" w:eastAsia="es-ES_tradnl"/>
        </w:rPr>
        <w:t xml:space="preserve">En los procesos de concurso de méritos, </w:t>
      </w:r>
      <w:r w:rsidRPr="00002BAF">
        <w:rPr>
          <w:rFonts w:ascii="Arial" w:eastAsia="Calibri" w:hAnsi="Arial" w:cs="Arial"/>
          <w:lang w:val="es-ES_tradnl"/>
        </w:rPr>
        <w:t>se resalta que la oferta económica no es un criterio de asignación de puntaje, teniendo en cuenta lo prescrito en el artículo 5, numeral 4, de la Ley 1150 de 2007. De igual forma, de acuerdo con el numeral 1 del artículo 2.2.1.2.1.3.2 del Decreto 1082 de 2015, la experiencia y la formación académica del equipo de trabajo son criterios de asignación de puntaje.</w:t>
      </w:r>
    </w:p>
    <w:p w14:paraId="718694C0" w14:textId="77777777" w:rsidR="00002BAF" w:rsidRPr="00002BAF" w:rsidRDefault="00002BAF" w:rsidP="00002BAF">
      <w:pPr>
        <w:spacing w:before="120" w:after="0" w:line="276" w:lineRule="auto"/>
        <w:ind w:firstLine="709"/>
        <w:jc w:val="both"/>
        <w:rPr>
          <w:rFonts w:ascii="Arial" w:eastAsia="Calibri" w:hAnsi="Arial" w:cs="Arial"/>
          <w:lang w:val="es-ES_tradnl"/>
        </w:rPr>
      </w:pPr>
      <w:r w:rsidRPr="00002BAF">
        <w:rPr>
          <w:rFonts w:ascii="Arial" w:eastAsia="Calibri" w:hAnsi="Arial" w:cs="Arial"/>
          <w:lang w:val="es-ES_tradnl"/>
        </w:rPr>
        <w:t>Por otra parte, de acuerdo con los artículos 12 del Decreto Ley 785 de 2005 y 2.2.2.3.8 del Decreto 1083 de 2015, la experiencia se acredita mediante la presentación de constancias expedidas por las autoridades competentes de las respectivas instituciones oficiales o privadas en las que se haya prestado un servicio o desempeñado algún cargo o empleo. En consecuencia, la historia laboral no es el documento idóneo para la calificación de la experiencia en un proceso de selección como el concurso de méritos.</w:t>
      </w:r>
    </w:p>
    <w:p w14:paraId="530586E1" w14:textId="77777777" w:rsidR="00002BAF" w:rsidRPr="00002BAF" w:rsidRDefault="00002BAF" w:rsidP="00002BAF">
      <w:pPr>
        <w:spacing w:before="120" w:after="120" w:line="276" w:lineRule="auto"/>
        <w:ind w:firstLine="709"/>
        <w:jc w:val="both"/>
        <w:rPr>
          <w:rFonts w:ascii="Arial" w:eastAsia="Calibri" w:hAnsi="Arial" w:cs="Arial"/>
          <w:lang w:val="es-ES_tradnl"/>
        </w:rPr>
      </w:pPr>
      <w:r w:rsidRPr="00002BAF">
        <w:rPr>
          <w:rFonts w:ascii="Arial" w:eastAsia="Calibri" w:hAnsi="Arial" w:cs="Arial"/>
          <w:color w:val="000000"/>
          <w:szCs w:val="24"/>
          <w:lang w:val="es-ES_tradnl" w:eastAsia="en-GB"/>
        </w:rPr>
        <w:lastRenderedPageBreak/>
        <w:t xml:space="preserve">Sin perjuicio de lo anterior, es bueno señalar que el artículo 74 de la Constitución establece que la información pública debe ser dada a conocer a la ciudadanía y así los documentos que hacen parte de la actividad contractual pueden catalogarse, </w:t>
      </w:r>
      <w:r w:rsidRPr="00002BAF">
        <w:rPr>
          <w:rFonts w:ascii="Arial" w:eastAsia="Calibri" w:hAnsi="Arial" w:cs="Arial"/>
          <w:i/>
          <w:iCs/>
          <w:color w:val="000000"/>
          <w:szCs w:val="24"/>
          <w:lang w:val="es-ES_tradnl" w:eastAsia="en-GB"/>
        </w:rPr>
        <w:t>prima facie,</w:t>
      </w:r>
      <w:r w:rsidRPr="00002BAF">
        <w:rPr>
          <w:rFonts w:ascii="Arial" w:eastAsia="Calibri" w:hAnsi="Arial" w:cs="Arial"/>
          <w:color w:val="000000"/>
          <w:szCs w:val="24"/>
          <w:lang w:val="es-ES_tradnl" w:eastAsia="en-GB"/>
        </w:rPr>
        <w:t xml:space="preserve"> como información pública. No obstante,</w:t>
      </w:r>
      <w:r w:rsidRPr="00002BAF">
        <w:rPr>
          <w:rFonts w:ascii="Calibri" w:eastAsia="Calibri" w:hAnsi="Calibri" w:cs="Times New Roman"/>
        </w:rPr>
        <w:t xml:space="preserve"> </w:t>
      </w:r>
      <w:r w:rsidRPr="00002BAF">
        <w:rPr>
          <w:rFonts w:ascii="Arial" w:eastAsia="Calibri" w:hAnsi="Arial" w:cs="Arial"/>
          <w:color w:val="000000"/>
          <w:szCs w:val="24"/>
          <w:lang w:val="es-ES_tradnl" w:eastAsia="en-GB"/>
        </w:rPr>
        <w:t>en armonía con los artículos 18 y 19 de la Ley 1712 de 2014 y los artículos 24 y 25 de la Ley 1437 de 2011 –de acuerdo con la modificación realizada por la Ley 1755 de 2015–, el derecho de acceso a la información o documentación pública no es absoluto, sino que puede exceptuarse cuando se configuren causales de reserva. Particularmente, para efectos de su consulta, el numeral 3 del artículo 24 de la Ley 1437 de 2011 dispone que los documentos y las informaciones que involucren derechos a la privacidad e intimidad de las personas, como las incluidas en hojas de vida e historias laborales, se encuentran sometidos a reserva.</w:t>
      </w:r>
      <w:r w:rsidRPr="00002BAF">
        <w:rPr>
          <w:rFonts w:ascii="Arial" w:eastAsia="Calibri" w:hAnsi="Arial" w:cs="Arial"/>
          <w:color w:val="000000"/>
          <w:szCs w:val="24"/>
          <w:vertAlign w:val="superscript"/>
          <w:lang w:val="es-ES_tradnl" w:eastAsia="en-GB"/>
        </w:rPr>
        <w:footnoteReference w:id="12"/>
      </w:r>
    </w:p>
    <w:p w14:paraId="16144CC4" w14:textId="77777777" w:rsidR="00002BAF" w:rsidRPr="00002BAF" w:rsidRDefault="00002BAF" w:rsidP="00002BAF">
      <w:pPr>
        <w:spacing w:after="0" w:line="276" w:lineRule="auto"/>
        <w:ind w:firstLine="709"/>
        <w:jc w:val="both"/>
        <w:rPr>
          <w:rFonts w:ascii="Arial" w:eastAsia="Calibri" w:hAnsi="Arial" w:cs="Arial"/>
          <w:lang w:val="es-ES_tradnl"/>
        </w:rPr>
      </w:pPr>
      <w:r w:rsidRPr="00002BAF">
        <w:rPr>
          <w:rFonts w:ascii="Arial" w:eastAsia="Calibri" w:hAnsi="Arial" w:cs="Arial"/>
          <w:lang w:val="es-ES_tradnl"/>
        </w:rPr>
        <w:t xml:space="preserve">En este sentido, si bien la historia laboral no es el documento idóneo para acreditar la experiencia, sobre la información sensible contenida en esta opera una reserva de carácter legal. Por lo tanto, las autoridades deben darte el tratamiento adecuado a este tipo de datos, garantizando su confidencialidad. </w:t>
      </w:r>
    </w:p>
    <w:p w14:paraId="23D1CBAE" w14:textId="77777777" w:rsidR="00002BAF" w:rsidRPr="00002BAF" w:rsidRDefault="00002BAF" w:rsidP="00002BAF">
      <w:pPr>
        <w:spacing w:after="0" w:line="276" w:lineRule="auto"/>
        <w:jc w:val="both"/>
        <w:rPr>
          <w:rFonts w:ascii="Arial" w:eastAsia="Times New Roman" w:hAnsi="Arial" w:cs="Arial"/>
          <w:bCs/>
          <w:color w:val="FF0000"/>
          <w:shd w:val="clear" w:color="auto" w:fill="FFFFFF"/>
          <w:lang w:val="es-ES_tradnl" w:eastAsia="es-ES_tradnl"/>
        </w:rPr>
      </w:pPr>
    </w:p>
    <w:p w14:paraId="427F88D5" w14:textId="77777777" w:rsidR="00002BAF" w:rsidRPr="00002BAF" w:rsidRDefault="00002BAF" w:rsidP="00002BAF">
      <w:pPr>
        <w:spacing w:after="0" w:line="276" w:lineRule="auto"/>
        <w:jc w:val="both"/>
        <w:rPr>
          <w:rFonts w:ascii="Arial" w:eastAsia="Calibri" w:hAnsi="Arial" w:cs="Arial"/>
        </w:rPr>
      </w:pPr>
      <w:r w:rsidRPr="00002BAF">
        <w:rPr>
          <w:rFonts w:ascii="Arial" w:eastAsia="Calibri" w:hAnsi="Arial" w:cs="Arial"/>
        </w:rPr>
        <w:t>Este concepto tiene el alcance previsto en el artículo 28 del Código de Procedimiento Administrativo y de lo Contencioso Administrativo.</w:t>
      </w:r>
    </w:p>
    <w:p w14:paraId="31B13D2E" w14:textId="77777777" w:rsidR="00002BAF" w:rsidRPr="00002BAF" w:rsidRDefault="00002BAF" w:rsidP="00002BAF">
      <w:pPr>
        <w:spacing w:after="0" w:line="276" w:lineRule="auto"/>
        <w:jc w:val="both"/>
        <w:rPr>
          <w:rFonts w:ascii="Arial" w:eastAsia="Calibri" w:hAnsi="Arial" w:cs="Arial"/>
        </w:rPr>
      </w:pPr>
    </w:p>
    <w:p w14:paraId="7784D377" w14:textId="77777777" w:rsidR="00002BAF" w:rsidRPr="00002BAF" w:rsidRDefault="00002BAF" w:rsidP="00002BAF">
      <w:pPr>
        <w:spacing w:after="0" w:line="240" w:lineRule="auto"/>
        <w:rPr>
          <w:rFonts w:ascii="Arial" w:eastAsia="Times New Roman" w:hAnsi="Arial" w:cs="Arial"/>
          <w:lang w:eastAsia="es-CO"/>
        </w:rPr>
      </w:pPr>
      <w:r w:rsidRPr="00002BAF">
        <w:rPr>
          <w:rFonts w:ascii="Arial" w:eastAsia="Times New Roman" w:hAnsi="Arial" w:cs="Arial"/>
          <w:lang w:eastAsia="es-CO"/>
        </w:rPr>
        <w:t>Atentamente,</w:t>
      </w:r>
    </w:p>
    <w:p w14:paraId="3DB1808E" w14:textId="77777777" w:rsidR="00002BAF" w:rsidRPr="00002BAF" w:rsidRDefault="00002BAF" w:rsidP="00002BAF">
      <w:pPr>
        <w:spacing w:after="0" w:line="240" w:lineRule="auto"/>
        <w:rPr>
          <w:rFonts w:ascii="Arial" w:eastAsia="Times New Roman" w:hAnsi="Arial" w:cs="Arial"/>
          <w:lang w:eastAsia="es-CO"/>
        </w:rPr>
      </w:pPr>
    </w:p>
    <w:p w14:paraId="0204B2C2" w14:textId="665421F2" w:rsidR="00002BAF" w:rsidRPr="00002BAF" w:rsidRDefault="6B8910AB" w:rsidP="621341D9">
      <w:pPr>
        <w:spacing w:before="120" w:line="276" w:lineRule="auto"/>
        <w:jc w:val="center"/>
      </w:pPr>
      <w:r>
        <w:rPr>
          <w:noProof/>
        </w:rPr>
        <w:drawing>
          <wp:inline distT="0" distB="0" distL="0" distR="0" wp14:anchorId="2AD1941C" wp14:editId="621341D9">
            <wp:extent cx="2781300" cy="1066800"/>
            <wp:effectExtent l="0" t="0" r="0" b="0"/>
            <wp:docPr id="133871804" name="Imagen 1338718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81300" cy="1066800"/>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002BAF" w:rsidRPr="00002BAF" w14:paraId="06A149B6" w14:textId="77777777" w:rsidTr="00002BAF">
        <w:trPr>
          <w:trHeight w:val="286"/>
        </w:trPr>
        <w:tc>
          <w:tcPr>
            <w:tcW w:w="817" w:type="dxa"/>
            <w:vAlign w:val="center"/>
          </w:tcPr>
          <w:p w14:paraId="094A70B5"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Elaboró:</w:t>
            </w:r>
          </w:p>
        </w:tc>
        <w:tc>
          <w:tcPr>
            <w:tcW w:w="4445" w:type="dxa"/>
            <w:tcBorders>
              <w:bottom w:val="dotted" w:sz="4" w:space="0" w:color="7F7F7F"/>
            </w:tcBorders>
            <w:vAlign w:val="center"/>
          </w:tcPr>
          <w:p w14:paraId="07D27406"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Kevin Arlid Herrera Santa</w:t>
            </w:r>
          </w:p>
          <w:p w14:paraId="2FB9D15B"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Analista T2-04 de la Subdirección de Gestión Contractual</w:t>
            </w:r>
          </w:p>
        </w:tc>
      </w:tr>
      <w:tr w:rsidR="00002BAF" w:rsidRPr="00002BAF" w14:paraId="0C392756" w14:textId="77777777" w:rsidTr="00002BAF">
        <w:trPr>
          <w:trHeight w:val="299"/>
        </w:trPr>
        <w:tc>
          <w:tcPr>
            <w:tcW w:w="817" w:type="dxa"/>
            <w:vAlign w:val="center"/>
          </w:tcPr>
          <w:p w14:paraId="749579CB"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Revisó:</w:t>
            </w:r>
          </w:p>
        </w:tc>
        <w:tc>
          <w:tcPr>
            <w:tcW w:w="4445" w:type="dxa"/>
            <w:tcBorders>
              <w:top w:val="dotted" w:sz="4" w:space="0" w:color="7F7F7F"/>
              <w:bottom w:val="dotted" w:sz="4" w:space="0" w:color="7F7F7F"/>
            </w:tcBorders>
            <w:vAlign w:val="center"/>
          </w:tcPr>
          <w:p w14:paraId="256E672B"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Alejandro Sarmiento Cantillo</w:t>
            </w:r>
          </w:p>
          <w:p w14:paraId="1778B15E"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Gestor T1-15 de la Subdirección de Gestión Contractual</w:t>
            </w:r>
          </w:p>
        </w:tc>
      </w:tr>
      <w:tr w:rsidR="00002BAF" w:rsidRPr="00002BAF" w14:paraId="7D25C29B" w14:textId="77777777" w:rsidTr="00002BAF">
        <w:trPr>
          <w:trHeight w:val="272"/>
        </w:trPr>
        <w:tc>
          <w:tcPr>
            <w:tcW w:w="817" w:type="dxa"/>
            <w:vAlign w:val="center"/>
          </w:tcPr>
          <w:p w14:paraId="07A6CCF6"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Aprobó:</w:t>
            </w:r>
          </w:p>
        </w:tc>
        <w:tc>
          <w:tcPr>
            <w:tcW w:w="4445" w:type="dxa"/>
            <w:tcBorders>
              <w:top w:val="dotted" w:sz="4" w:space="0" w:color="7F7F7F"/>
              <w:bottom w:val="dotted" w:sz="4" w:space="0" w:color="7F7F7F"/>
            </w:tcBorders>
            <w:vAlign w:val="center"/>
          </w:tcPr>
          <w:p w14:paraId="2511AE1E"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Nohelia del Carmen Zawady Palacio</w:t>
            </w:r>
          </w:p>
          <w:p w14:paraId="325189F1" w14:textId="77777777" w:rsidR="00002BAF" w:rsidRPr="00002BAF" w:rsidRDefault="00002BAF" w:rsidP="00002BAF">
            <w:pPr>
              <w:rPr>
                <w:rFonts w:ascii="Arial" w:eastAsia="Calibri" w:hAnsi="Arial" w:cs="Arial"/>
                <w:sz w:val="16"/>
                <w:szCs w:val="16"/>
              </w:rPr>
            </w:pPr>
            <w:r w:rsidRPr="00002BAF">
              <w:rPr>
                <w:rFonts w:ascii="Arial" w:eastAsia="Calibri" w:hAnsi="Arial" w:cs="Arial"/>
                <w:sz w:val="16"/>
                <w:szCs w:val="16"/>
              </w:rPr>
              <w:t>Subdirectora de Gestión Contractual ANCP – CCE</w:t>
            </w:r>
          </w:p>
        </w:tc>
      </w:tr>
    </w:tbl>
    <w:p w14:paraId="2CA7AF44" w14:textId="77777777" w:rsidR="00002BAF" w:rsidRPr="00002BAF" w:rsidRDefault="00002BAF" w:rsidP="00002BAF">
      <w:pPr>
        <w:rPr>
          <w:rFonts w:ascii="Calibri" w:eastAsia="Calibri" w:hAnsi="Calibri" w:cs="Times New Roman"/>
        </w:rPr>
      </w:pPr>
    </w:p>
    <w:p w14:paraId="37FBA064" w14:textId="77777777" w:rsidR="00002BAF" w:rsidRPr="00002BAF" w:rsidRDefault="00002BAF" w:rsidP="00002BAF">
      <w:pPr>
        <w:rPr>
          <w:rFonts w:ascii="Calibri" w:eastAsia="Calibri" w:hAnsi="Calibri" w:cs="Times New Roman"/>
        </w:rPr>
      </w:pPr>
    </w:p>
    <w:p w14:paraId="0F293BF4" w14:textId="0F6FB6C1" w:rsidR="00127233" w:rsidRPr="00002BAF" w:rsidRDefault="00127233"/>
    <w:sectPr w:rsidR="00127233" w:rsidRPr="00002BAF"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1415" w14:textId="77777777" w:rsidR="00B672BE" w:rsidRDefault="00B672BE" w:rsidP="004A1847">
      <w:pPr>
        <w:spacing w:after="0" w:line="240" w:lineRule="auto"/>
      </w:pPr>
      <w:r>
        <w:separator/>
      </w:r>
    </w:p>
  </w:endnote>
  <w:endnote w:type="continuationSeparator" w:id="0">
    <w:p w14:paraId="630789C5" w14:textId="77777777" w:rsidR="00B672BE" w:rsidRDefault="00B672BE" w:rsidP="004A1847">
      <w:pPr>
        <w:spacing w:after="0" w:line="240" w:lineRule="auto"/>
      </w:pPr>
      <w:r>
        <w:continuationSeparator/>
      </w:r>
    </w:p>
  </w:endnote>
  <w:endnote w:type="continuationNotice" w:id="1">
    <w:p w14:paraId="4C797224" w14:textId="77777777" w:rsidR="00B672BE" w:rsidRDefault="00B67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6B52" w14:textId="77777777" w:rsidR="00B672BE" w:rsidRDefault="00B672BE" w:rsidP="004A1847">
      <w:pPr>
        <w:spacing w:after="0" w:line="240" w:lineRule="auto"/>
      </w:pPr>
      <w:r>
        <w:separator/>
      </w:r>
    </w:p>
  </w:footnote>
  <w:footnote w:type="continuationSeparator" w:id="0">
    <w:p w14:paraId="657A9B9B" w14:textId="77777777" w:rsidR="00B672BE" w:rsidRDefault="00B672BE" w:rsidP="004A1847">
      <w:pPr>
        <w:spacing w:after="0" w:line="240" w:lineRule="auto"/>
      </w:pPr>
      <w:r>
        <w:continuationSeparator/>
      </w:r>
    </w:p>
  </w:footnote>
  <w:footnote w:type="continuationNotice" w:id="1">
    <w:p w14:paraId="2A372AB3" w14:textId="77777777" w:rsidR="00B672BE" w:rsidRDefault="00B672BE">
      <w:pPr>
        <w:spacing w:after="0" w:line="240" w:lineRule="auto"/>
      </w:pPr>
    </w:p>
  </w:footnote>
  <w:footnote w:id="2">
    <w:p w14:paraId="5C10CF05" w14:textId="77777777" w:rsidR="00002BAF" w:rsidRPr="00EB50C0" w:rsidRDefault="00002BAF" w:rsidP="003F2CD1">
      <w:pPr>
        <w:pStyle w:val="Car1"/>
        <w:jc w:val="both"/>
        <w:rPr>
          <w:rFonts w:ascii="Arial" w:hAnsi="Arial" w:cs="Arial"/>
          <w:color w:val="000000"/>
          <w:sz w:val="19"/>
          <w:szCs w:val="19"/>
        </w:rPr>
      </w:pPr>
    </w:p>
    <w:p w14:paraId="0BE2D234" w14:textId="77777777" w:rsidR="00002BAF" w:rsidRPr="00EB50C0" w:rsidRDefault="00002BAF" w:rsidP="00002BAF">
      <w:pPr>
        <w:pStyle w:val="Car1"/>
        <w:ind w:firstLine="709"/>
        <w:jc w:val="both"/>
        <w:rPr>
          <w:rFonts w:ascii="Arial" w:hAnsi="Arial" w:cs="Arial"/>
          <w:color w:val="000000"/>
          <w:sz w:val="19"/>
          <w:szCs w:val="19"/>
        </w:rPr>
      </w:pPr>
      <w:r w:rsidRPr="00EB50C0">
        <w:rPr>
          <w:rStyle w:val="Refdenotaalpie"/>
          <w:rFonts w:ascii="Arial" w:hAnsi="Arial" w:cs="Arial"/>
          <w:color w:val="000000"/>
          <w:sz w:val="19"/>
          <w:szCs w:val="19"/>
        </w:rPr>
        <w:footnoteRef/>
      </w:r>
      <w:r w:rsidRPr="00EB50C0">
        <w:rPr>
          <w:rFonts w:ascii="Arial" w:hAnsi="Arial" w:cs="Arial"/>
          <w:color w:val="000000"/>
          <w:sz w:val="19"/>
          <w:szCs w:val="19"/>
        </w:rPr>
        <w:t xml:space="preserve"> CONSEJO DE ESTADO. Sección Tercera. Subsección A. Auto del 25 de julio de 2018. Rad. 56.165A. C.P. Marta Nubia Velásquez Rico. </w:t>
      </w:r>
    </w:p>
    <w:p w14:paraId="17A6D123" w14:textId="77777777" w:rsidR="00002BAF" w:rsidRPr="00EB50C0" w:rsidRDefault="00002BAF" w:rsidP="00002BAF">
      <w:pPr>
        <w:pStyle w:val="Car1"/>
        <w:ind w:firstLine="709"/>
        <w:jc w:val="both"/>
        <w:rPr>
          <w:rFonts w:ascii="Arial" w:hAnsi="Arial" w:cs="Arial"/>
          <w:color w:val="000000"/>
          <w:sz w:val="19"/>
          <w:szCs w:val="19"/>
          <w:lang w:val="es-ES"/>
        </w:rPr>
      </w:pPr>
    </w:p>
  </w:footnote>
  <w:footnote w:id="3">
    <w:p w14:paraId="75B1E0B0" w14:textId="77777777" w:rsidR="00002BAF" w:rsidRPr="00EB50C0" w:rsidRDefault="00002BAF" w:rsidP="00002BAF">
      <w:pPr>
        <w:pStyle w:val="Car1"/>
        <w:ind w:firstLine="709"/>
        <w:jc w:val="both"/>
        <w:rPr>
          <w:rFonts w:ascii="Arial" w:hAnsi="Arial" w:cs="Arial"/>
          <w:color w:val="000000"/>
          <w:sz w:val="19"/>
          <w:szCs w:val="19"/>
          <w:lang w:val="es-ES"/>
        </w:rPr>
      </w:pPr>
      <w:r w:rsidRPr="00EB50C0">
        <w:rPr>
          <w:rStyle w:val="Refdenotaalpie"/>
          <w:rFonts w:ascii="Arial" w:hAnsi="Arial" w:cs="Arial"/>
          <w:color w:val="000000"/>
          <w:sz w:val="19"/>
          <w:szCs w:val="19"/>
        </w:rPr>
        <w:footnoteRef/>
      </w:r>
      <w:r w:rsidRPr="00EB50C0">
        <w:rPr>
          <w:rFonts w:ascii="Arial" w:hAnsi="Arial" w:cs="Arial"/>
          <w:color w:val="000000"/>
          <w:sz w:val="19"/>
          <w:szCs w:val="19"/>
        </w:rPr>
        <w:t xml:space="preserve"> </w:t>
      </w:r>
      <w:bookmarkStart w:id="2" w:name="_Hlk43903111"/>
      <w:r w:rsidRPr="00EB50C0">
        <w:rPr>
          <w:rFonts w:ascii="Arial" w:hAnsi="Arial" w:cs="Arial"/>
          <w:color w:val="000000"/>
          <w:sz w:val="19"/>
          <w:szCs w:val="19"/>
        </w:rPr>
        <w:t>CONSEJO DE ESTADO. Sección Tercera. Subsección A. Auto del 20 de febrero de 2019. Rad. 61.463. C.P. Carlos Alberto Zambrano Barrera.</w:t>
      </w:r>
      <w:bookmarkEnd w:id="2"/>
    </w:p>
  </w:footnote>
  <w:footnote w:id="4">
    <w:p w14:paraId="4405A9E3" w14:textId="77777777" w:rsidR="00002BAF" w:rsidRDefault="00002BAF" w:rsidP="00002BAF">
      <w:pPr>
        <w:pStyle w:val="Car1"/>
        <w:ind w:firstLine="709"/>
        <w:jc w:val="both"/>
        <w:rPr>
          <w:rFonts w:ascii="Arial" w:hAnsi="Arial" w:cs="Arial"/>
          <w:sz w:val="19"/>
          <w:szCs w:val="19"/>
        </w:rPr>
      </w:pPr>
    </w:p>
    <w:p w14:paraId="28533D50" w14:textId="77777777" w:rsidR="00002BAF" w:rsidRPr="00B62F02" w:rsidRDefault="00002BAF" w:rsidP="00002BAF">
      <w:pPr>
        <w:pStyle w:val="Car1"/>
        <w:ind w:firstLine="709"/>
        <w:jc w:val="both"/>
        <w:rPr>
          <w:rFonts w:ascii="Arial" w:hAnsi="Arial" w:cs="Arial"/>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1C63E35B" w14:textId="77777777" w:rsidR="00002BAF" w:rsidRPr="00B62F02" w:rsidRDefault="00002BAF" w:rsidP="00002BAF">
      <w:pPr>
        <w:pStyle w:val="Car1"/>
        <w:ind w:firstLine="709"/>
        <w:jc w:val="both"/>
        <w:rPr>
          <w:rFonts w:ascii="Arial" w:hAnsi="Arial" w:cs="Arial"/>
          <w:sz w:val="19"/>
          <w:szCs w:val="19"/>
        </w:rPr>
      </w:pPr>
      <w:r w:rsidRPr="00B62F02">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3F15E3DD" w14:textId="77777777" w:rsidR="00002BAF" w:rsidRPr="00B62F02" w:rsidRDefault="00002BAF" w:rsidP="00002BAF">
      <w:pPr>
        <w:pStyle w:val="Car1"/>
        <w:ind w:firstLine="709"/>
        <w:jc w:val="both"/>
        <w:rPr>
          <w:rFonts w:ascii="Arial" w:hAnsi="Arial" w:cs="Arial"/>
          <w:sz w:val="19"/>
          <w:szCs w:val="19"/>
          <w:lang w:val="es-ES"/>
        </w:rPr>
      </w:pPr>
    </w:p>
  </w:footnote>
  <w:footnote w:id="5">
    <w:p w14:paraId="45D36BE7" w14:textId="77777777" w:rsidR="00002BAF" w:rsidRPr="00EB50C0" w:rsidRDefault="00002BAF" w:rsidP="00002BAF">
      <w:pPr>
        <w:pStyle w:val="Car1"/>
        <w:ind w:firstLine="709"/>
        <w:jc w:val="both"/>
        <w:rPr>
          <w:rFonts w:ascii="Arial" w:hAnsi="Arial" w:cs="Arial"/>
          <w:color w:val="000000"/>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EB50C0">
        <w:rPr>
          <w:rFonts w:ascii="Arial" w:hAnsi="Arial" w:cs="Arial"/>
          <w:color w:val="000000"/>
          <w:sz w:val="19"/>
          <w:szCs w:val="19"/>
        </w:rPr>
        <w:t>CONSEJO DE ESTADO. Sección Tercera. Subsección A. Auto del 25 de julio de 2018. Rad. 56.165A. C.P. Marta Nubia Velásquez Rico)</w:t>
      </w:r>
      <w:r w:rsidRPr="00B62F02">
        <w:rPr>
          <w:rFonts w:ascii="Arial" w:hAnsi="Arial" w:cs="Arial"/>
          <w:sz w:val="19"/>
          <w:szCs w:val="19"/>
        </w:rPr>
        <w:t>.</w:t>
      </w:r>
    </w:p>
  </w:footnote>
  <w:footnote w:id="6">
    <w:p w14:paraId="5ADF55DB" w14:textId="77777777" w:rsidR="00002BAF" w:rsidRDefault="00002BAF" w:rsidP="00002BAF">
      <w:pPr>
        <w:ind w:firstLine="709"/>
        <w:jc w:val="both"/>
        <w:rPr>
          <w:rFonts w:ascii="Arial" w:hAnsi="Arial" w:cs="Arial"/>
          <w:sz w:val="19"/>
          <w:szCs w:val="19"/>
        </w:rPr>
      </w:pPr>
    </w:p>
    <w:p w14:paraId="44EDA3B3" w14:textId="77777777" w:rsidR="00002BAF" w:rsidRPr="00B62F02" w:rsidRDefault="00002BAF" w:rsidP="00002BAF">
      <w:pPr>
        <w:ind w:firstLine="709"/>
        <w:jc w:val="both"/>
        <w:rPr>
          <w:rFonts w:ascii="Arial" w:hAnsi="Arial" w:cs="Arial"/>
          <w:sz w:val="19"/>
          <w:szCs w:val="19"/>
          <w:lang w:val="es-E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6BADEE81" w14:textId="77777777" w:rsidR="00002BAF" w:rsidRPr="00B62F02" w:rsidRDefault="00002BAF" w:rsidP="00002BAF">
      <w:pPr>
        <w:pStyle w:val="Car1"/>
        <w:ind w:firstLine="709"/>
        <w:jc w:val="both"/>
        <w:rPr>
          <w:rFonts w:ascii="Arial" w:hAnsi="Arial" w:cs="Arial"/>
          <w:sz w:val="19"/>
          <w:szCs w:val="19"/>
          <w:lang w:val="es-CO"/>
        </w:rPr>
      </w:pPr>
    </w:p>
  </w:footnote>
  <w:footnote w:id="7">
    <w:p w14:paraId="0AA3BAF6" w14:textId="77777777" w:rsidR="00002BAF" w:rsidRDefault="00002BAF" w:rsidP="00002BAF">
      <w:pPr>
        <w:pStyle w:val="Car1"/>
        <w:ind w:firstLine="708"/>
        <w:jc w:val="both"/>
        <w:rPr>
          <w:rFonts w:ascii="Arial" w:hAnsi="Arial" w:cs="Arial"/>
          <w:sz w:val="19"/>
          <w:szCs w:val="19"/>
        </w:rPr>
      </w:pPr>
    </w:p>
    <w:p w14:paraId="464818A7" w14:textId="77777777" w:rsidR="00002BAF" w:rsidRPr="00B62F02" w:rsidRDefault="00002BAF" w:rsidP="00002BAF">
      <w:pPr>
        <w:pStyle w:val="Car1"/>
        <w:ind w:firstLine="708"/>
        <w:jc w:val="both"/>
        <w:rPr>
          <w:rFonts w:ascii="Arial" w:hAnsi="Arial" w:cs="Arial"/>
          <w:sz w:val="19"/>
          <w:szCs w:val="19"/>
          <w:lang w:val="es-E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Decreto 1082 de 2015. Artículo 2.2.1.2.1.3.2. Procedimiento de Concurso de méritos. […]</w:t>
      </w:r>
    </w:p>
    <w:p w14:paraId="56E69BBA" w14:textId="77777777" w:rsidR="00002BAF" w:rsidRPr="00B62F02" w:rsidRDefault="00002BAF" w:rsidP="00002BAF">
      <w:pPr>
        <w:pStyle w:val="Car1"/>
        <w:ind w:firstLine="708"/>
        <w:jc w:val="both"/>
        <w:rPr>
          <w:rFonts w:ascii="Arial" w:hAnsi="Arial" w:cs="Arial"/>
          <w:sz w:val="19"/>
          <w:szCs w:val="19"/>
          <w:lang w:val="es-ES"/>
        </w:rPr>
      </w:pPr>
      <w:r w:rsidRPr="00B62F02">
        <w:rPr>
          <w:rFonts w:ascii="Arial" w:hAnsi="Arial" w:cs="Arial"/>
          <w:sz w:val="19"/>
          <w:szCs w:val="19"/>
          <w:lang w:val="es-ES"/>
        </w:rPr>
        <w:t xml:space="preserve">«1. </w:t>
      </w:r>
      <w:r w:rsidRPr="00B62F02">
        <w:rPr>
          <w:rFonts w:ascii="Arial" w:hAnsi="Arial" w:cs="Arial"/>
          <w:sz w:val="19"/>
          <w:szCs w:val="19"/>
          <w:lang w:val="es-CO"/>
        </w:rPr>
        <w:t xml:space="preserve">La </w:t>
      </w:r>
      <w:r w:rsidRPr="00B62F02">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67F11F56" w14:textId="77777777" w:rsidR="00002BAF" w:rsidRPr="00B62F02" w:rsidRDefault="00002BAF" w:rsidP="00002BAF">
      <w:pPr>
        <w:pStyle w:val="Car1"/>
        <w:ind w:firstLine="708"/>
        <w:jc w:val="both"/>
        <w:rPr>
          <w:rFonts w:ascii="Arial" w:hAnsi="Arial" w:cs="Arial"/>
          <w:sz w:val="19"/>
          <w:szCs w:val="19"/>
          <w:lang w:val="es-ES"/>
        </w:rPr>
      </w:pPr>
      <w:r w:rsidRPr="00B62F02">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284C0E3F" w14:textId="77777777" w:rsidR="00002BAF" w:rsidRPr="00B62F02" w:rsidRDefault="00002BAF" w:rsidP="00002BAF">
      <w:pPr>
        <w:pStyle w:val="Car1"/>
        <w:ind w:firstLine="708"/>
        <w:jc w:val="both"/>
        <w:rPr>
          <w:rFonts w:ascii="Arial" w:hAnsi="Arial" w:cs="Arial"/>
          <w:sz w:val="19"/>
          <w:szCs w:val="19"/>
          <w:lang w:val="es-ES"/>
        </w:rPr>
      </w:pPr>
      <w:r w:rsidRPr="00B62F02">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08CB3EDD" w14:textId="77777777" w:rsidR="00002BAF" w:rsidRPr="00B62F02" w:rsidRDefault="00002BAF" w:rsidP="00002BAF">
      <w:pPr>
        <w:pStyle w:val="Car1"/>
        <w:ind w:firstLine="708"/>
        <w:jc w:val="both"/>
        <w:rPr>
          <w:rFonts w:ascii="Arial" w:hAnsi="Arial" w:cs="Arial"/>
          <w:sz w:val="19"/>
          <w:szCs w:val="19"/>
          <w:lang w:val="es-ES"/>
        </w:rPr>
      </w:pPr>
      <w:r w:rsidRPr="00B62F02">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(ii) la consultoría y el precio ofrecidos; y (iii) el precio ofrecido y la disponibilidad presupuestal del respectivo Proceso de Contratación. Si la Entidad Estatal y el oferente llegan a un acuerdo sobre el alcance y el valor del contrato, dejarán constancia de este y firmarán el contrato.</w:t>
      </w:r>
    </w:p>
    <w:p w14:paraId="78374BB2" w14:textId="77777777" w:rsidR="00002BAF" w:rsidRPr="00B62F02" w:rsidRDefault="00002BAF" w:rsidP="00002BAF">
      <w:pPr>
        <w:pStyle w:val="Car1"/>
        <w:ind w:firstLine="708"/>
        <w:jc w:val="both"/>
        <w:rPr>
          <w:rFonts w:ascii="Arial" w:hAnsi="Arial" w:cs="Arial"/>
          <w:sz w:val="19"/>
          <w:szCs w:val="19"/>
          <w:lang w:val="es-ES"/>
        </w:rPr>
      </w:pPr>
      <w:r>
        <w:rPr>
          <w:rFonts w:ascii="Arial" w:hAnsi="Arial" w:cs="Arial"/>
          <w:sz w:val="19"/>
          <w:szCs w:val="19"/>
          <w:lang w:val="es-ES"/>
        </w:rPr>
        <w:t>»</w:t>
      </w:r>
      <w:r w:rsidRPr="00B62F02">
        <w:rPr>
          <w:rFonts w:ascii="Arial" w:hAnsi="Arial" w:cs="Arial"/>
          <w:sz w:val="19"/>
          <w:szCs w:val="19"/>
          <w:lang w:val="es-ES"/>
        </w:rPr>
        <w:t>[…]»</w:t>
      </w:r>
    </w:p>
  </w:footnote>
  <w:footnote w:id="8">
    <w:p w14:paraId="7C5FDA54" w14:textId="77777777" w:rsidR="00002BAF" w:rsidRPr="0026458F" w:rsidRDefault="00002BAF" w:rsidP="00002BAF">
      <w:pPr>
        <w:pStyle w:val="Textonotapie"/>
        <w:ind w:right="49" w:firstLine="709"/>
        <w:jc w:val="both"/>
        <w:rPr>
          <w:rFonts w:ascii="Arial" w:hAnsi="Arial" w:cs="Arial"/>
          <w:color w:val="000000"/>
          <w:sz w:val="19"/>
          <w:szCs w:val="19"/>
        </w:rPr>
      </w:pPr>
      <w:r w:rsidRPr="0026458F">
        <w:rPr>
          <w:rStyle w:val="Refdenotaalpie"/>
          <w:rFonts w:ascii="Arial" w:hAnsi="Arial" w:cs="Arial"/>
          <w:color w:val="000000"/>
          <w:sz w:val="19"/>
          <w:szCs w:val="19"/>
        </w:rPr>
        <w:footnoteRef/>
      </w:r>
      <w:r w:rsidRPr="0026458F">
        <w:rPr>
          <w:rFonts w:ascii="Arial" w:hAnsi="Arial" w:cs="Arial"/>
          <w:color w:val="000000"/>
          <w:sz w:val="19"/>
          <w:szCs w:val="19"/>
        </w:rPr>
        <w:t xml:space="preserve"> Corte Constitucional. Sentencia C- 341 del 4 de junio de 2014. M. P. Mauricio González Cuervo.</w:t>
      </w:r>
    </w:p>
    <w:p w14:paraId="0447D3A9" w14:textId="77777777" w:rsidR="00002BAF" w:rsidRPr="0026458F" w:rsidRDefault="00002BAF" w:rsidP="00002BAF">
      <w:pPr>
        <w:pStyle w:val="Textonotapie"/>
        <w:ind w:right="49" w:firstLine="709"/>
        <w:jc w:val="both"/>
        <w:rPr>
          <w:rFonts w:ascii="Arial" w:hAnsi="Arial" w:cs="Arial"/>
          <w:color w:val="000000"/>
          <w:sz w:val="19"/>
          <w:szCs w:val="19"/>
        </w:rPr>
      </w:pPr>
    </w:p>
  </w:footnote>
  <w:footnote w:id="9">
    <w:p w14:paraId="528FB9B5" w14:textId="77777777" w:rsidR="00002BAF" w:rsidRPr="0088099E" w:rsidRDefault="00002BAF" w:rsidP="00002BAF">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w:t>
      </w:r>
      <w:proofErr w:type="gramStart"/>
      <w:r w:rsidRPr="0088099E">
        <w:rPr>
          <w:rFonts w:ascii="Arial" w:hAnsi="Arial" w:cs="Arial"/>
          <w:sz w:val="19"/>
          <w:szCs w:val="19"/>
        </w:rPr>
        <w:t>público</w:t>
      </w:r>
      <w:proofErr w:type="gramEnd"/>
      <w:r w:rsidRPr="0088099E">
        <w:rPr>
          <w:rFonts w:ascii="Arial" w:hAnsi="Arial" w:cs="Arial"/>
          <w:sz w:val="19"/>
          <w:szCs w:val="19"/>
        </w:rPr>
        <w:t xml:space="preserve"> pero no de su existencia.</w:t>
      </w:r>
    </w:p>
    <w:p w14:paraId="6ED4413F" w14:textId="77777777" w:rsidR="00002BAF" w:rsidRPr="0088099E" w:rsidRDefault="00002BAF" w:rsidP="00002BAF">
      <w:pPr>
        <w:pStyle w:val="Textonotapie"/>
        <w:ind w:firstLine="708"/>
        <w:jc w:val="both"/>
        <w:rPr>
          <w:rFonts w:ascii="Arial" w:hAnsi="Arial" w:cs="Arial"/>
          <w:sz w:val="19"/>
          <w:szCs w:val="19"/>
        </w:rPr>
      </w:pPr>
      <w:proofErr w:type="gramStart"/>
      <w:r w:rsidRPr="0088099E">
        <w:rPr>
          <w:rFonts w:ascii="Arial" w:hAnsi="Arial" w:cs="Arial"/>
          <w:sz w:val="19"/>
          <w:szCs w:val="19"/>
        </w:rPr>
        <w:t>»Ninguna</w:t>
      </w:r>
      <w:proofErr w:type="gramEnd"/>
      <w:r w:rsidRPr="0088099E">
        <w:rPr>
          <w:rFonts w:ascii="Arial" w:hAnsi="Arial" w:cs="Arial"/>
          <w:sz w:val="19"/>
          <w:szCs w:val="19"/>
        </w:rPr>
        <w:t xml:space="preserve"> autoridad pública puede negarse a indicar si un documento obra o no en su poder o negar la divulgación de un documento, salvo que el daño causado al interés protegido sea mayor al interés público de obtener acceso a la información.</w:t>
      </w:r>
    </w:p>
    <w:p w14:paraId="5FD80EB0" w14:textId="77777777" w:rsidR="00002BAF" w:rsidRPr="0088099E" w:rsidRDefault="00002BAF" w:rsidP="00002BAF">
      <w:pPr>
        <w:pStyle w:val="Textonotapie"/>
        <w:ind w:firstLine="708"/>
        <w:jc w:val="both"/>
        <w:rPr>
          <w:rFonts w:ascii="Arial" w:hAnsi="Arial" w:cs="Arial"/>
          <w:sz w:val="19"/>
          <w:szCs w:val="19"/>
          <w:lang w:val="es-CO"/>
        </w:rPr>
      </w:pPr>
      <w:proofErr w:type="gramStart"/>
      <w:r w:rsidRPr="0088099E">
        <w:rPr>
          <w:rFonts w:ascii="Arial" w:hAnsi="Arial" w:cs="Arial"/>
          <w:sz w:val="19"/>
          <w:szCs w:val="19"/>
        </w:rPr>
        <w:t>»Las</w:t>
      </w:r>
      <w:proofErr w:type="gramEnd"/>
      <w:r w:rsidRPr="0088099E">
        <w:rPr>
          <w:rFonts w:ascii="Arial" w:hAnsi="Arial" w:cs="Arial"/>
          <w:sz w:val="19"/>
          <w:szCs w:val="19"/>
        </w:rPr>
        <w:t xml:space="preserve"> excepciones de acceso a la información contenidas en la presente ley no aplican en casos de violación de derechos humanos o delitos de lesa humanidad, y en todo caso deberán protegerse los derechos de las víctimas de dichas violaciones».</w:t>
      </w:r>
    </w:p>
  </w:footnote>
  <w:footnote w:id="10">
    <w:p w14:paraId="7EB85910" w14:textId="77777777" w:rsidR="00002BAF" w:rsidRPr="00597937" w:rsidRDefault="00002BAF" w:rsidP="00002BAF">
      <w:pPr>
        <w:pStyle w:val="Textonotapie"/>
        <w:ind w:firstLine="709"/>
        <w:jc w:val="both"/>
        <w:rPr>
          <w:rFonts w:ascii="Arial" w:hAnsi="Arial" w:cs="Arial"/>
          <w:sz w:val="19"/>
          <w:szCs w:val="19"/>
        </w:rPr>
      </w:pPr>
      <w:r w:rsidRPr="00597937">
        <w:rPr>
          <w:rStyle w:val="Refdenotaalpie"/>
          <w:rFonts w:ascii="Arial" w:hAnsi="Arial" w:cs="Arial"/>
          <w:sz w:val="19"/>
          <w:szCs w:val="19"/>
        </w:rPr>
        <w:footnoteRef/>
      </w:r>
      <w:r w:rsidRPr="00597937">
        <w:rPr>
          <w:rFonts w:ascii="Arial" w:hAnsi="Arial" w:cs="Arial"/>
          <w:sz w:val="19"/>
          <w:szCs w:val="19"/>
        </w:rPr>
        <w:t xml:space="preserve"> Ley 1437 de 2001: «Artículo 24. Solo tendrán carácter reservado las informaciones y documentos expresamente sometidos a reserva por la Constitución Política o la ley, y en especial:</w:t>
      </w:r>
    </w:p>
    <w:p w14:paraId="013DC6EF" w14:textId="77777777" w:rsidR="00002BAF" w:rsidRPr="00597937" w:rsidRDefault="00002BAF" w:rsidP="00002BAF">
      <w:pPr>
        <w:pStyle w:val="Textonotapie"/>
        <w:ind w:firstLine="709"/>
        <w:jc w:val="both"/>
        <w:rPr>
          <w:rFonts w:ascii="Arial" w:hAnsi="Arial" w:cs="Arial"/>
          <w:sz w:val="19"/>
          <w:szCs w:val="19"/>
        </w:rPr>
      </w:pPr>
      <w:r w:rsidRPr="00597937">
        <w:rPr>
          <w:rFonts w:ascii="Arial" w:hAnsi="Arial" w:cs="Arial"/>
          <w:sz w:val="19"/>
          <w:szCs w:val="19"/>
        </w:rPr>
        <w:t>»[…]</w:t>
      </w:r>
    </w:p>
    <w:p w14:paraId="3A0565B6" w14:textId="77777777" w:rsidR="00002BAF" w:rsidRPr="00597937" w:rsidRDefault="00002BAF" w:rsidP="00002BAF">
      <w:pPr>
        <w:pStyle w:val="Textonotapie"/>
        <w:ind w:firstLine="709"/>
        <w:jc w:val="both"/>
        <w:rPr>
          <w:rFonts w:ascii="Arial" w:hAnsi="Arial" w:cs="Arial"/>
          <w:sz w:val="19"/>
          <w:szCs w:val="19"/>
        </w:rPr>
      </w:pPr>
      <w:r w:rsidRPr="00597937">
        <w:rPr>
          <w:rFonts w:ascii="Arial" w:hAnsi="Arial" w:cs="Arial"/>
          <w:sz w:val="19"/>
          <w:szCs w:val="19"/>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7C1BDB5E" w14:textId="77777777" w:rsidR="00002BAF" w:rsidRDefault="00002BAF" w:rsidP="00002BAF">
      <w:pPr>
        <w:pStyle w:val="Textonotapie"/>
        <w:ind w:firstLine="709"/>
        <w:jc w:val="both"/>
      </w:pPr>
      <w:r w:rsidRPr="00597937">
        <w:rPr>
          <w:rFonts w:ascii="Arial" w:hAnsi="Arial" w:cs="Arial"/>
          <w:sz w:val="19"/>
          <w:szCs w:val="19"/>
        </w:rPr>
        <w:t>»[…]».</w:t>
      </w:r>
    </w:p>
  </w:footnote>
  <w:footnote w:id="11">
    <w:p w14:paraId="53BBB22A" w14:textId="77777777" w:rsidR="00002BAF" w:rsidRPr="0088099E" w:rsidRDefault="00002BAF" w:rsidP="00002BAF">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62AEC967" w14:textId="77777777" w:rsidR="00002BAF" w:rsidRPr="0088099E" w:rsidRDefault="00002BAF" w:rsidP="00002BAF">
      <w:pPr>
        <w:pStyle w:val="Textonotapie"/>
        <w:ind w:firstLine="708"/>
        <w:jc w:val="both"/>
        <w:rPr>
          <w:rFonts w:ascii="Arial" w:hAnsi="Arial" w:cs="Arial"/>
          <w:sz w:val="19"/>
          <w:szCs w:val="19"/>
        </w:rPr>
      </w:pPr>
      <w:r w:rsidRPr="0088099E">
        <w:rPr>
          <w:rFonts w:ascii="Arial" w:hAnsi="Arial" w:cs="Arial"/>
          <w:sz w:val="19"/>
          <w:szCs w:val="19"/>
        </w:rPr>
        <w:t>«a) La defensa y seguridad nacional;».</w:t>
      </w:r>
    </w:p>
    <w:p w14:paraId="66714D95" w14:textId="77777777" w:rsidR="00002BAF" w:rsidRPr="0088099E" w:rsidRDefault="00002BAF" w:rsidP="00002BAF">
      <w:pPr>
        <w:pStyle w:val="Textonotapie"/>
        <w:ind w:firstLine="708"/>
        <w:jc w:val="both"/>
        <w:rPr>
          <w:rFonts w:ascii="Arial" w:hAnsi="Arial" w:cs="Arial"/>
          <w:sz w:val="19"/>
          <w:szCs w:val="19"/>
        </w:rPr>
      </w:pPr>
      <w:r w:rsidRPr="0088099E">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23BA2CD0" w14:textId="77777777" w:rsidR="00002BAF" w:rsidRPr="0088099E" w:rsidRDefault="00002BAF" w:rsidP="00002BAF">
      <w:pPr>
        <w:pStyle w:val="Textonotapie"/>
        <w:ind w:firstLine="708"/>
        <w:jc w:val="both"/>
        <w:rPr>
          <w:rFonts w:ascii="Arial" w:hAnsi="Arial" w:cs="Arial"/>
          <w:sz w:val="19"/>
          <w:szCs w:val="19"/>
        </w:rPr>
      </w:pPr>
      <w:r w:rsidRPr="0088099E">
        <w:rPr>
          <w:rFonts w:ascii="Arial" w:hAnsi="Arial" w:cs="Arial"/>
          <w:sz w:val="19"/>
          <w:szCs w:val="19"/>
        </w:rPr>
        <w:t>»1. Los relacionados con la defensa o seguridad nacionales».</w:t>
      </w:r>
    </w:p>
    <w:p w14:paraId="3855FFAE" w14:textId="77777777" w:rsidR="00002BAF" w:rsidRPr="0088099E" w:rsidRDefault="00002BAF" w:rsidP="00002BAF">
      <w:pPr>
        <w:pStyle w:val="Textonotapie"/>
        <w:ind w:firstLine="708"/>
        <w:jc w:val="both"/>
        <w:rPr>
          <w:rFonts w:ascii="Arial" w:hAnsi="Arial" w:cs="Arial"/>
          <w:sz w:val="19"/>
          <w:szCs w:val="19"/>
          <w:lang w:val="es-CO"/>
        </w:rPr>
      </w:pPr>
    </w:p>
  </w:footnote>
  <w:footnote w:id="12">
    <w:p w14:paraId="563E8110" w14:textId="77777777" w:rsidR="00002BAF" w:rsidRPr="00597937" w:rsidRDefault="00002BAF" w:rsidP="00002BAF">
      <w:pPr>
        <w:pStyle w:val="Textonotapie"/>
        <w:ind w:firstLine="709"/>
        <w:jc w:val="both"/>
        <w:rPr>
          <w:rFonts w:ascii="Arial" w:hAnsi="Arial" w:cs="Arial"/>
          <w:sz w:val="19"/>
          <w:szCs w:val="19"/>
        </w:rPr>
      </w:pPr>
      <w:r w:rsidRPr="00597937">
        <w:rPr>
          <w:rStyle w:val="Refdenotaalpie"/>
          <w:rFonts w:ascii="Arial" w:hAnsi="Arial" w:cs="Arial"/>
          <w:sz w:val="19"/>
          <w:szCs w:val="19"/>
        </w:rPr>
        <w:footnoteRef/>
      </w:r>
      <w:r w:rsidRPr="00597937">
        <w:rPr>
          <w:rFonts w:ascii="Arial" w:hAnsi="Arial" w:cs="Arial"/>
          <w:sz w:val="19"/>
          <w:szCs w:val="19"/>
        </w:rPr>
        <w:t xml:space="preserve"> Ley 1437 de 2001: «Artículo 24. Solo tendrán carácter reservado las informaciones y documentos expresamente sometidos a reserva por la Constitución Política o la ley, y en especial:</w:t>
      </w:r>
    </w:p>
    <w:p w14:paraId="36EA2E43" w14:textId="77777777" w:rsidR="00002BAF" w:rsidRPr="00597937" w:rsidRDefault="00002BAF" w:rsidP="00002BAF">
      <w:pPr>
        <w:pStyle w:val="Textonotapie"/>
        <w:ind w:firstLine="709"/>
        <w:jc w:val="both"/>
        <w:rPr>
          <w:rFonts w:ascii="Arial" w:hAnsi="Arial" w:cs="Arial"/>
          <w:sz w:val="19"/>
          <w:szCs w:val="19"/>
        </w:rPr>
      </w:pPr>
      <w:r w:rsidRPr="00597937">
        <w:rPr>
          <w:rFonts w:ascii="Arial" w:hAnsi="Arial" w:cs="Arial"/>
          <w:sz w:val="19"/>
          <w:szCs w:val="19"/>
        </w:rPr>
        <w:t>»[…]</w:t>
      </w:r>
    </w:p>
    <w:p w14:paraId="50FD85F3" w14:textId="77777777" w:rsidR="00002BAF" w:rsidRPr="00597937" w:rsidRDefault="00002BAF" w:rsidP="00002BAF">
      <w:pPr>
        <w:pStyle w:val="Textonotapie"/>
        <w:ind w:firstLine="709"/>
        <w:jc w:val="both"/>
        <w:rPr>
          <w:rFonts w:ascii="Arial" w:hAnsi="Arial" w:cs="Arial"/>
          <w:sz w:val="19"/>
          <w:szCs w:val="19"/>
        </w:rPr>
      </w:pPr>
      <w:r w:rsidRPr="00597937">
        <w:rPr>
          <w:rFonts w:ascii="Arial" w:hAnsi="Arial" w:cs="Arial"/>
          <w:sz w:val="19"/>
          <w:szCs w:val="19"/>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29088B4D" w14:textId="77777777" w:rsidR="00002BAF" w:rsidRDefault="00002BAF" w:rsidP="00002BAF">
      <w:pPr>
        <w:pStyle w:val="Textonotapie"/>
        <w:ind w:firstLine="709"/>
        <w:jc w:val="both"/>
      </w:pPr>
      <w:r w:rsidRPr="00597937">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5670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BAF"/>
    <w:rsid w:val="00017D7A"/>
    <w:rsid w:val="00060FC3"/>
    <w:rsid w:val="00083334"/>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B4614"/>
    <w:rsid w:val="002F0839"/>
    <w:rsid w:val="00301469"/>
    <w:rsid w:val="00306EE1"/>
    <w:rsid w:val="00310B9B"/>
    <w:rsid w:val="0036461C"/>
    <w:rsid w:val="00367884"/>
    <w:rsid w:val="0039439C"/>
    <w:rsid w:val="003B69E7"/>
    <w:rsid w:val="003C013B"/>
    <w:rsid w:val="003D0F4D"/>
    <w:rsid w:val="003F2CD1"/>
    <w:rsid w:val="003F58A1"/>
    <w:rsid w:val="00410DD6"/>
    <w:rsid w:val="004134C9"/>
    <w:rsid w:val="0043138C"/>
    <w:rsid w:val="004527E6"/>
    <w:rsid w:val="00462A59"/>
    <w:rsid w:val="00463003"/>
    <w:rsid w:val="004A1847"/>
    <w:rsid w:val="004B6B0E"/>
    <w:rsid w:val="004D25B3"/>
    <w:rsid w:val="004F5577"/>
    <w:rsid w:val="00511405"/>
    <w:rsid w:val="00526E9D"/>
    <w:rsid w:val="005304E3"/>
    <w:rsid w:val="00547856"/>
    <w:rsid w:val="00547A74"/>
    <w:rsid w:val="005566E8"/>
    <w:rsid w:val="00571997"/>
    <w:rsid w:val="005746AB"/>
    <w:rsid w:val="0059357F"/>
    <w:rsid w:val="005A1130"/>
    <w:rsid w:val="005D65C8"/>
    <w:rsid w:val="005E0E92"/>
    <w:rsid w:val="006219F8"/>
    <w:rsid w:val="006251F2"/>
    <w:rsid w:val="00681FDB"/>
    <w:rsid w:val="006949D3"/>
    <w:rsid w:val="006A7DAD"/>
    <w:rsid w:val="006D70BA"/>
    <w:rsid w:val="006E3847"/>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B612B"/>
    <w:rsid w:val="008D5C70"/>
    <w:rsid w:val="009025AF"/>
    <w:rsid w:val="00904F23"/>
    <w:rsid w:val="00906B3C"/>
    <w:rsid w:val="0095342C"/>
    <w:rsid w:val="009F33F2"/>
    <w:rsid w:val="009F6C77"/>
    <w:rsid w:val="00A07532"/>
    <w:rsid w:val="00A1085C"/>
    <w:rsid w:val="00A309E2"/>
    <w:rsid w:val="00A8066E"/>
    <w:rsid w:val="00A84826"/>
    <w:rsid w:val="00AA4B8A"/>
    <w:rsid w:val="00AA6BF7"/>
    <w:rsid w:val="00AE2164"/>
    <w:rsid w:val="00B01ED6"/>
    <w:rsid w:val="00B06D09"/>
    <w:rsid w:val="00B672BE"/>
    <w:rsid w:val="00B771A9"/>
    <w:rsid w:val="00B809BB"/>
    <w:rsid w:val="00B8248A"/>
    <w:rsid w:val="00BB7726"/>
    <w:rsid w:val="00BF217E"/>
    <w:rsid w:val="00C2329E"/>
    <w:rsid w:val="00C30461"/>
    <w:rsid w:val="00C754BE"/>
    <w:rsid w:val="00C87572"/>
    <w:rsid w:val="00C9405D"/>
    <w:rsid w:val="00CC1B26"/>
    <w:rsid w:val="00CD284F"/>
    <w:rsid w:val="00CF23AA"/>
    <w:rsid w:val="00D01921"/>
    <w:rsid w:val="00D752B7"/>
    <w:rsid w:val="00DA155A"/>
    <w:rsid w:val="00DA1854"/>
    <w:rsid w:val="00DB0887"/>
    <w:rsid w:val="00DF1E43"/>
    <w:rsid w:val="00E20894"/>
    <w:rsid w:val="00E26B7C"/>
    <w:rsid w:val="00EA3003"/>
    <w:rsid w:val="00EB3C91"/>
    <w:rsid w:val="00EB66DA"/>
    <w:rsid w:val="00F25C4F"/>
    <w:rsid w:val="00F605F2"/>
    <w:rsid w:val="00F76AFC"/>
    <w:rsid w:val="00F8319B"/>
    <w:rsid w:val="00FA5516"/>
    <w:rsid w:val="00FD6F73"/>
    <w:rsid w:val="1CC63BF5"/>
    <w:rsid w:val="2F9951DC"/>
    <w:rsid w:val="3EA2D60F"/>
    <w:rsid w:val="621341D9"/>
    <w:rsid w:val="6B8910AB"/>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Car1">
    <w:name w:val="Car1"/>
    <w:basedOn w:val="Normal"/>
    <w:next w:val="Textonotapie"/>
    <w:uiPriority w:val="99"/>
    <w:unhideWhenUsed/>
    <w:qFormat/>
    <w:rsid w:val="00002BAF"/>
    <w:pPr>
      <w:spacing w:after="0" w:line="240" w:lineRule="auto"/>
    </w:pPr>
    <w:rPr>
      <w:sz w:val="20"/>
      <w:szCs w:val="20"/>
      <w:lang w:val="es-MX"/>
    </w:rPr>
  </w:style>
  <w:style w:type="paragraph" w:customStyle="1" w:styleId="Appelnotedebasde">
    <w:name w:val="Appel note de bas de..."/>
    <w:basedOn w:val="Normal"/>
    <w:link w:val="Refdenotaalpie"/>
    <w:uiPriority w:val="99"/>
    <w:rsid w:val="00002BAF"/>
    <w:pPr>
      <w:spacing w:line="240" w:lineRule="exact"/>
    </w:pPr>
    <w:rPr>
      <w:vertAlign w:val="superscript"/>
    </w:rPr>
  </w:style>
  <w:style w:type="table" w:customStyle="1" w:styleId="Tablaconcuadrcula1">
    <w:name w:val="Tabla con cuadrícula1"/>
    <w:basedOn w:val="Tablanormal"/>
    <w:next w:val="Tablaconcuadrcula"/>
    <w:uiPriority w:val="59"/>
    <w:rsid w:val="0000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F7BE903E-D173-4C42-875D-D86AA757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5973</Words>
  <Characters>32854</Characters>
  <Application>Microsoft Office Word</Application>
  <DocSecurity>0</DocSecurity>
  <Lines>273</Lines>
  <Paragraphs>77</Paragraphs>
  <ScaleCrop>false</ScaleCrop>
  <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2023-03-27T12:57:00Z</dcterms:created>
  <dcterms:modified xsi:type="dcterms:W3CDTF">2023-03-27T12:57:00Z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