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Pr="00316F2E" w:rsidRDefault="00833452" w:rsidP="00526E9D">
      <w:pPr>
        <w:rPr>
          <w:rFonts w:ascii="Geomanist Light" w:eastAsia="Times New Roman" w:hAnsi="Geomanist Light" w:cs="Arial"/>
          <w:b/>
          <w:bCs/>
          <w:lang w:eastAsia="es-CO"/>
        </w:rPr>
      </w:pPr>
    </w:p>
    <w:p w14:paraId="15563806" w14:textId="488682B5" w:rsidR="006219F8" w:rsidRPr="007566FE" w:rsidRDefault="006219F8" w:rsidP="00526E9D">
      <w:pPr>
        <w:rPr>
          <w:rFonts w:ascii="Arial Nova" w:hAnsi="Arial Nova"/>
          <w:color w:val="000000" w:themeColor="text1"/>
        </w:rPr>
      </w:pPr>
    </w:p>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p w14:paraId="2D664D16" w14:textId="77777777" w:rsidR="007D5F50" w:rsidRDefault="006830FE" w:rsidP="00EF5C1A">
      <w:pPr>
        <w:spacing w:after="0" w:line="240" w:lineRule="auto"/>
        <w:rPr>
          <w:rFonts w:ascii="Arial" w:eastAsia="Calibri" w:hAnsi="Arial" w:cs="Arial"/>
          <w:b/>
          <w:sz w:val="16"/>
          <w:szCs w:val="16"/>
          <w:lang w:val="es-ES_tradnl" w:eastAsia="es-ES"/>
        </w:rPr>
      </w:pPr>
      <w:bookmarkStart w:id="0" w:name="_Hlk120639752"/>
      <w:bookmarkStart w:id="1" w:name="_Hlk34951122"/>
      <w:r w:rsidRPr="006830FE">
        <w:rPr>
          <w:rFonts w:ascii="Arial" w:eastAsia="Calibri" w:hAnsi="Arial" w:cs="Arial"/>
          <w:b/>
          <w:bCs/>
          <w:lang w:val="es-MX"/>
        </w:rPr>
        <w:t>EMPRESAS DE SERIVICIOS PÚBLICOS DOMICILIARIOS – Naturaleza jurídica – Régimen contractual</w:t>
      </w:r>
      <w:r w:rsidRPr="006830FE">
        <w:rPr>
          <w:rFonts w:ascii="Arial" w:eastAsia="Calibri" w:hAnsi="Arial" w:cs="Arial"/>
          <w:b/>
          <w:sz w:val="16"/>
          <w:szCs w:val="16"/>
          <w:lang w:val="es-ES_tradnl" w:eastAsia="es-ES"/>
        </w:rPr>
        <w:tab/>
      </w:r>
    </w:p>
    <w:p w14:paraId="4CE0A006" w14:textId="4A98E37C" w:rsidR="006830FE" w:rsidRPr="00EF5C1A" w:rsidRDefault="007D5F50" w:rsidP="00EF5C1A">
      <w:pPr>
        <w:spacing w:after="0" w:line="240" w:lineRule="auto"/>
        <w:rPr>
          <w:rFonts w:ascii="Arial" w:eastAsia="Calibri" w:hAnsi="Arial" w:cs="Arial"/>
          <w:b/>
          <w:bCs/>
          <w:lang w:val="es-MX"/>
        </w:rPr>
      </w:pPr>
      <w:r>
        <w:rPr>
          <w:rFonts w:ascii="Arial" w:eastAsia="Calibri" w:hAnsi="Arial" w:cs="Arial"/>
          <w:sz w:val="20"/>
          <w:szCs w:val="20"/>
          <w:lang w:val="es-MX"/>
        </w:rPr>
        <w:t>L</w:t>
      </w:r>
      <w:r w:rsidR="006830FE" w:rsidRPr="006830FE">
        <w:rPr>
          <w:rFonts w:ascii="Arial" w:eastAsia="Calibri" w:hAnsi="Arial" w:cs="Arial"/>
          <w:sz w:val="20"/>
          <w:szCs w:val="20"/>
          <w:lang w:val="es-MX"/>
        </w:rPr>
        <w:t>as empresas de servicios públicos son sociedades por acciones cuyo objeto es la prestación de los servicios públicos.</w:t>
      </w:r>
    </w:p>
    <w:p w14:paraId="0EECB041" w14:textId="47570CA5" w:rsidR="006830FE" w:rsidRPr="006830FE" w:rsidRDefault="00BD2479" w:rsidP="006830FE">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L</w:t>
      </w:r>
      <w:r w:rsidR="006830FE" w:rsidRPr="006830FE">
        <w:rPr>
          <w:rFonts w:ascii="Arial" w:eastAsia="Calibri" w:hAnsi="Arial" w:cs="Arial"/>
          <w:sz w:val="20"/>
          <w:szCs w:val="20"/>
          <w:lang w:val="es-MX"/>
        </w:rPr>
        <w:t>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w:t>
      </w:r>
    </w:p>
    <w:p w14:paraId="29326FB4" w14:textId="77777777" w:rsidR="006830FE" w:rsidRPr="006830FE" w:rsidRDefault="006830FE" w:rsidP="006830FE">
      <w:pPr>
        <w:spacing w:after="0" w:line="240" w:lineRule="auto"/>
        <w:jc w:val="both"/>
        <w:rPr>
          <w:rFonts w:ascii="Arial" w:eastAsia="Calibri" w:hAnsi="Arial" w:cs="Arial"/>
          <w:sz w:val="20"/>
          <w:szCs w:val="20"/>
          <w:lang w:val="es-MX"/>
        </w:rPr>
      </w:pPr>
    </w:p>
    <w:p w14:paraId="0EF407D0" w14:textId="615FDB8B" w:rsidR="006830FE" w:rsidRPr="006830FE" w:rsidRDefault="00BD2479" w:rsidP="006830FE">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E</w:t>
      </w:r>
      <w:r w:rsidR="006830FE" w:rsidRPr="006830FE">
        <w:rPr>
          <w:rFonts w:ascii="Arial" w:eastAsia="Calibri" w:hAnsi="Arial" w:cs="Arial"/>
          <w:sz w:val="20"/>
          <w:szCs w:val="20"/>
          <w:lang w:val="es-MX"/>
        </w:rPr>
        <w:t>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p>
    <w:p w14:paraId="42DC6B9D" w14:textId="77777777" w:rsidR="006830FE" w:rsidRPr="006830FE" w:rsidRDefault="006830FE" w:rsidP="006830FE">
      <w:pPr>
        <w:spacing w:after="0" w:line="240" w:lineRule="auto"/>
        <w:jc w:val="both"/>
        <w:rPr>
          <w:rFonts w:ascii="Arial" w:eastAsia="Calibri" w:hAnsi="Arial" w:cs="Arial"/>
          <w:sz w:val="20"/>
          <w:szCs w:val="20"/>
          <w:lang w:val="es-MX"/>
        </w:rPr>
      </w:pPr>
    </w:p>
    <w:p w14:paraId="1D193097" w14:textId="19CA0D89" w:rsidR="006830FE" w:rsidRPr="006830FE" w:rsidRDefault="00BD2479" w:rsidP="006830FE">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E</w:t>
      </w:r>
      <w:r w:rsidR="006830FE" w:rsidRPr="006830FE">
        <w:rPr>
          <w:rFonts w:ascii="Arial" w:eastAsia="Calibri" w:hAnsi="Arial" w:cs="Arial"/>
          <w:sz w:val="20"/>
          <w:szCs w:val="20"/>
          <w:lang w:val="es-MX"/>
        </w:rPr>
        <w:t>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–Ley 80 de 1993–. En otras palabras, dichas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6A69E06D" w14:textId="77777777" w:rsidR="006830FE" w:rsidRPr="006830FE" w:rsidRDefault="006830FE" w:rsidP="006830FE">
      <w:pPr>
        <w:spacing w:after="0" w:line="240" w:lineRule="auto"/>
        <w:jc w:val="both"/>
        <w:rPr>
          <w:rFonts w:ascii="Arial" w:eastAsia="Calibri" w:hAnsi="Arial" w:cs="Arial"/>
          <w:sz w:val="20"/>
          <w:szCs w:val="20"/>
          <w:lang w:val="es-MX"/>
        </w:rPr>
      </w:pPr>
    </w:p>
    <w:p w14:paraId="7AD3B20D" w14:textId="77777777" w:rsidR="006830FE" w:rsidRPr="006830FE" w:rsidRDefault="006830FE" w:rsidP="006830FE">
      <w:pPr>
        <w:spacing w:after="0" w:line="240" w:lineRule="auto"/>
        <w:jc w:val="both"/>
        <w:rPr>
          <w:rFonts w:ascii="Arial" w:eastAsia="Calibri" w:hAnsi="Arial" w:cs="Arial"/>
          <w:b/>
          <w:bCs/>
          <w:lang w:val="es-MX"/>
        </w:rPr>
      </w:pPr>
      <w:r w:rsidRPr="006830FE">
        <w:rPr>
          <w:rFonts w:ascii="Arial" w:eastAsia="Calibri" w:hAnsi="Arial" w:cs="Arial"/>
          <w:b/>
          <w:bCs/>
          <w:lang w:val="es-MX"/>
        </w:rPr>
        <w:t xml:space="preserve">EMPRESAS DE SERVICIOS PÚBLICOS DOMICILIARIOS – Aplicabilidad Ley 80 de 1993 – Ley 142 de 1994 </w:t>
      </w:r>
    </w:p>
    <w:p w14:paraId="2662919D" w14:textId="77777777" w:rsidR="006830FE" w:rsidRPr="006830FE" w:rsidRDefault="006830FE" w:rsidP="006830FE">
      <w:pPr>
        <w:spacing w:after="0" w:line="240" w:lineRule="auto"/>
        <w:jc w:val="both"/>
        <w:rPr>
          <w:rFonts w:ascii="Arial" w:eastAsia="Calibri" w:hAnsi="Arial" w:cs="Arial"/>
          <w:b/>
          <w:bCs/>
          <w:sz w:val="20"/>
          <w:szCs w:val="20"/>
          <w:lang w:val="es-MX"/>
        </w:rPr>
      </w:pPr>
    </w:p>
    <w:p w14:paraId="2E78F54D" w14:textId="78C30B56" w:rsidR="006830FE" w:rsidRPr="006830FE" w:rsidRDefault="00BD2479" w:rsidP="006830FE">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A</w:t>
      </w:r>
      <w:r w:rsidR="006830FE" w:rsidRPr="006830FE">
        <w:rPr>
          <w:rFonts w:ascii="Arial" w:eastAsia="Calibri" w:hAnsi="Arial" w:cs="Arial"/>
          <w:sz w:val="20"/>
          <w:szCs w:val="20"/>
          <w:lang w:val="es-MX"/>
        </w:rPr>
        <w:t xml:space="preserve"> pesar de que 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Estatuto General de Contratación de la Administración Pública –Ley 80 de 1993–, la Ley 1150 de 2007 y demás normas complementarias, así como en las situaciones en las que la Ley 142 de 1994 u otras leyes especiales lo dispongan.</w:t>
      </w:r>
    </w:p>
    <w:p w14:paraId="71674677" w14:textId="77777777" w:rsidR="006830FE" w:rsidRPr="006830FE" w:rsidRDefault="006830FE" w:rsidP="006830FE">
      <w:pPr>
        <w:spacing w:after="0" w:line="240" w:lineRule="auto"/>
        <w:jc w:val="both"/>
        <w:rPr>
          <w:rFonts w:ascii="Arial" w:eastAsia="Calibri" w:hAnsi="Arial" w:cs="Arial"/>
          <w:sz w:val="20"/>
          <w:szCs w:val="20"/>
          <w:lang w:val="es-MX"/>
        </w:rPr>
      </w:pPr>
    </w:p>
    <w:p w14:paraId="2207259D" w14:textId="77777777" w:rsidR="006830FE" w:rsidRPr="006830FE" w:rsidRDefault="006830FE" w:rsidP="006830FE">
      <w:pPr>
        <w:spacing w:after="0" w:line="240" w:lineRule="auto"/>
        <w:jc w:val="both"/>
        <w:rPr>
          <w:rFonts w:ascii="Arial" w:eastAsia="Calibri" w:hAnsi="Arial" w:cs="Arial"/>
          <w:b/>
          <w:bCs/>
          <w:lang w:val="es-MX"/>
        </w:rPr>
      </w:pPr>
      <w:r w:rsidRPr="006830FE">
        <w:rPr>
          <w:rFonts w:ascii="Arial" w:eastAsia="Calibri" w:hAnsi="Arial" w:cs="Arial"/>
          <w:b/>
          <w:bCs/>
          <w:lang w:val="es-MX"/>
        </w:rPr>
        <w:t>PUBLICIDAD SECOP – Entidades exceptuadas – Estatuto general de contratación – Modificación del artículo 53 – Ley 2195 de 2022</w:t>
      </w:r>
    </w:p>
    <w:p w14:paraId="073ABE8C" w14:textId="77777777" w:rsidR="006830FE" w:rsidRPr="006830FE" w:rsidRDefault="006830FE" w:rsidP="006830FE">
      <w:pPr>
        <w:spacing w:after="0" w:line="240" w:lineRule="auto"/>
        <w:jc w:val="both"/>
        <w:rPr>
          <w:rFonts w:ascii="Arial" w:eastAsia="Calibri" w:hAnsi="Arial" w:cs="Arial"/>
          <w:b/>
          <w:bCs/>
          <w:sz w:val="20"/>
          <w:szCs w:val="20"/>
          <w:lang w:val="es-MX"/>
        </w:rPr>
      </w:pPr>
    </w:p>
    <w:p w14:paraId="73ACB169" w14:textId="77777777" w:rsidR="006830FE" w:rsidRPr="006830FE" w:rsidRDefault="006830FE" w:rsidP="006830FE">
      <w:pPr>
        <w:spacing w:after="0" w:line="240" w:lineRule="auto"/>
        <w:jc w:val="both"/>
        <w:rPr>
          <w:rFonts w:ascii="Arial" w:eastAsia="Calibri" w:hAnsi="Arial" w:cs="Arial"/>
          <w:sz w:val="20"/>
          <w:szCs w:val="20"/>
          <w:lang w:val="es-MX"/>
        </w:rPr>
      </w:pPr>
      <w:r w:rsidRPr="006830FE">
        <w:rPr>
          <w:rFonts w:ascii="Arial" w:eastAsia="Calibri" w:hAnsi="Arial" w:cs="Arial"/>
          <w:sz w:val="20"/>
          <w:szCs w:val="20"/>
          <w:lang w:val="es-MX"/>
        </w:rPr>
        <w:t xml:space="preserve">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w:t>
      </w:r>
      <w:r w:rsidRPr="006830FE">
        <w:rPr>
          <w:rFonts w:ascii="Arial" w:eastAsia="Calibri" w:hAnsi="Arial" w:cs="Arial"/>
          <w:sz w:val="20"/>
          <w:szCs w:val="20"/>
          <w:lang w:val="es-MX"/>
        </w:rPr>
        <w:lastRenderedPageBreak/>
        <w:t>oficial de la contratación realizada con dineros públicos, para lo cual establecerá los patrones a que haya lugar y se encargará de su difusión a través de canales electrónicos».</w:t>
      </w:r>
    </w:p>
    <w:p w14:paraId="4613A83F" w14:textId="77777777" w:rsidR="000C7B48" w:rsidRDefault="000C7B48" w:rsidP="006830FE">
      <w:pPr>
        <w:spacing w:after="0" w:line="240" w:lineRule="auto"/>
        <w:jc w:val="both"/>
        <w:rPr>
          <w:rFonts w:ascii="Arial" w:eastAsia="Calibri" w:hAnsi="Arial" w:cs="Arial"/>
          <w:sz w:val="20"/>
          <w:szCs w:val="20"/>
          <w:lang w:val="es-MX"/>
        </w:rPr>
      </w:pPr>
    </w:p>
    <w:p w14:paraId="170180BD" w14:textId="1EF71ACD" w:rsidR="006830FE" w:rsidRPr="006830FE" w:rsidRDefault="000C7B48" w:rsidP="006830FE">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L</w:t>
      </w:r>
      <w:r w:rsidR="006830FE" w:rsidRPr="006830FE">
        <w:rPr>
          <w:rFonts w:ascii="Arial" w:eastAsia="Calibri" w:hAnsi="Arial" w:cs="Arial"/>
          <w:sz w:val="20"/>
          <w:szCs w:val="20"/>
          <w:lang w:val="es-MX"/>
        </w:rPr>
        <w:t>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2FB4993E" w14:textId="77777777" w:rsidR="006830FE" w:rsidRPr="006830FE" w:rsidRDefault="006830FE" w:rsidP="006830FE">
      <w:pPr>
        <w:spacing w:after="0" w:line="240" w:lineRule="auto"/>
        <w:jc w:val="both"/>
        <w:rPr>
          <w:rFonts w:ascii="Arial" w:eastAsia="Calibri" w:hAnsi="Arial" w:cs="Arial"/>
          <w:sz w:val="20"/>
          <w:szCs w:val="20"/>
          <w:lang w:val="es-MX"/>
        </w:rPr>
      </w:pPr>
    </w:p>
    <w:p w14:paraId="3E67BD69" w14:textId="77777777" w:rsidR="006830FE" w:rsidRPr="006830FE" w:rsidRDefault="006830FE" w:rsidP="006830FE">
      <w:pPr>
        <w:spacing w:after="0" w:line="240" w:lineRule="auto"/>
        <w:jc w:val="both"/>
        <w:rPr>
          <w:rFonts w:ascii="Arial" w:eastAsia="Calibri" w:hAnsi="Arial" w:cs="Arial"/>
          <w:b/>
          <w:bCs/>
          <w:lang w:val="es-MX"/>
        </w:rPr>
      </w:pPr>
      <w:r w:rsidRPr="006830FE">
        <w:rPr>
          <w:rFonts w:ascii="Arial" w:eastAsia="Calibri" w:hAnsi="Arial" w:cs="Arial"/>
          <w:b/>
          <w:bCs/>
          <w:lang w:val="es-MX"/>
        </w:rPr>
        <w:t>SECOP II – Deber de publicidad – Entidades exceptuadas – Documentos relacionados con la actividad contractual</w:t>
      </w:r>
    </w:p>
    <w:p w14:paraId="2CDA2F7A" w14:textId="77777777" w:rsidR="006830FE" w:rsidRPr="006830FE" w:rsidRDefault="006830FE" w:rsidP="006830FE">
      <w:pPr>
        <w:spacing w:after="0" w:line="240" w:lineRule="auto"/>
        <w:jc w:val="both"/>
        <w:rPr>
          <w:rFonts w:ascii="Arial" w:eastAsia="Calibri" w:hAnsi="Arial" w:cs="Arial"/>
          <w:b/>
          <w:bCs/>
          <w:sz w:val="20"/>
          <w:szCs w:val="20"/>
          <w:lang w:val="es-MX"/>
        </w:rPr>
      </w:pPr>
    </w:p>
    <w:p w14:paraId="495C15FD" w14:textId="30CC1151" w:rsidR="006830FE" w:rsidRPr="006830FE" w:rsidRDefault="000C7B48" w:rsidP="006830FE">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E</w:t>
      </w:r>
      <w:r w:rsidR="006830FE" w:rsidRPr="006830FE">
        <w:rPr>
          <w:rFonts w:ascii="Arial" w:eastAsia="Calibri" w:hAnsi="Arial" w:cs="Arial"/>
          <w:sz w:val="20"/>
          <w:szCs w:val="20"/>
          <w:lang w:val="es-MX"/>
        </w:rPr>
        <w:t>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6CC46D5D" w14:textId="77777777" w:rsidR="006830FE" w:rsidRPr="006830FE" w:rsidRDefault="006830FE" w:rsidP="006830FE">
      <w:pPr>
        <w:spacing w:after="0" w:line="240" w:lineRule="auto"/>
        <w:jc w:val="both"/>
        <w:rPr>
          <w:rFonts w:ascii="Arial" w:eastAsia="Calibri" w:hAnsi="Arial" w:cs="Arial"/>
          <w:sz w:val="20"/>
          <w:szCs w:val="20"/>
          <w:lang w:val="es-MX"/>
        </w:rPr>
      </w:pPr>
    </w:p>
    <w:p w14:paraId="46A47C8D" w14:textId="77777777" w:rsidR="006830FE" w:rsidRPr="006830FE" w:rsidRDefault="006830FE" w:rsidP="006830FE">
      <w:pPr>
        <w:spacing w:after="0" w:line="240" w:lineRule="auto"/>
        <w:jc w:val="both"/>
        <w:rPr>
          <w:rFonts w:ascii="Arial" w:eastAsia="Calibri" w:hAnsi="Arial" w:cs="Arial"/>
          <w:sz w:val="20"/>
          <w:szCs w:val="20"/>
          <w:lang w:val="es-MX"/>
        </w:rPr>
      </w:pPr>
      <w:r w:rsidRPr="006830FE">
        <w:rPr>
          <w:rFonts w:ascii="Arial" w:eastAsia="Calibri" w:hAnsi="Arial" w:cs="Arial"/>
          <w:sz w:val="20"/>
          <w:szCs w:val="20"/>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6830FE">
        <w:rPr>
          <w:rFonts w:ascii="Arial" w:eastAsia="Calibri" w:hAnsi="Arial" w:cs="Arial"/>
          <w:sz w:val="20"/>
          <w:szCs w:val="20"/>
          <w:lang w:val="es-MX"/>
        </w:rPr>
        <w:t>postcontractual</w:t>
      </w:r>
      <w:proofErr w:type="spellEnd"/>
      <w:r w:rsidRPr="006830FE">
        <w:rPr>
          <w:rFonts w:ascii="Arial" w:eastAsia="Calibri" w:hAnsi="Arial" w:cs="Arial"/>
          <w:sz w:val="20"/>
          <w:szCs w:val="20"/>
          <w:lang w:val="es-MX"/>
        </w:rPr>
        <w:t>».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p>
    <w:p w14:paraId="2F4AF920" w14:textId="77777777" w:rsidR="006830FE" w:rsidRPr="006830FE" w:rsidRDefault="006830FE" w:rsidP="006830FE">
      <w:pPr>
        <w:spacing w:after="0" w:line="240" w:lineRule="auto"/>
        <w:rPr>
          <w:rFonts w:ascii="Arial" w:eastAsia="Calibri" w:hAnsi="Arial" w:cs="Arial"/>
          <w:szCs w:val="20"/>
          <w:lang w:val="es-ES_tradnl"/>
        </w:rPr>
      </w:pPr>
    </w:p>
    <w:p w14:paraId="74F0B49E" w14:textId="77777777" w:rsidR="00A46C3A" w:rsidRPr="00F02D69" w:rsidRDefault="00A46C3A" w:rsidP="00A46C3A">
      <w:pPr>
        <w:spacing w:after="0" w:line="240" w:lineRule="auto"/>
        <w:contextualSpacing/>
        <w:jc w:val="both"/>
        <w:rPr>
          <w:rFonts w:ascii="Arial" w:hAnsi="Arial" w:cs="Arial"/>
          <w:b/>
          <w:bCs/>
          <w:iCs/>
          <w:lang w:val="es-ES_tradnl"/>
        </w:rPr>
      </w:pPr>
      <w:r w:rsidRPr="00F02D69">
        <w:rPr>
          <w:rFonts w:ascii="Arial" w:hAnsi="Arial" w:cs="Arial"/>
          <w:b/>
          <w:bCs/>
          <w:iCs/>
          <w:lang w:val="es-ES_tradnl"/>
        </w:rPr>
        <w:t xml:space="preserve">DEBER DE PUBLICIDAD </w:t>
      </w:r>
      <w:r w:rsidRPr="00F02D69">
        <w:rPr>
          <w:rFonts w:ascii="Arial" w:eastAsia="Calibri" w:hAnsi="Arial" w:cs="Arial"/>
          <w:b/>
          <w:lang w:val="es-ES_tradnl"/>
        </w:rPr>
        <w:t>–</w:t>
      </w:r>
      <w:r w:rsidRPr="00F02D69">
        <w:rPr>
          <w:rFonts w:ascii="Arial" w:hAnsi="Arial" w:cs="Arial"/>
          <w:b/>
          <w:bCs/>
          <w:iCs/>
          <w:lang w:val="es-ES_tradnl"/>
        </w:rPr>
        <w:t xml:space="preserve"> SECOP II </w:t>
      </w:r>
      <w:r w:rsidRPr="00F02D69">
        <w:rPr>
          <w:rFonts w:ascii="Arial" w:eastAsia="Calibri" w:hAnsi="Arial" w:cs="Arial"/>
          <w:b/>
          <w:lang w:val="es-ES_tradnl"/>
        </w:rPr>
        <w:t>–</w:t>
      </w:r>
      <w:r w:rsidRPr="00F02D69">
        <w:rPr>
          <w:rFonts w:ascii="Arial" w:hAnsi="Arial" w:cs="Arial"/>
          <w:b/>
          <w:bCs/>
          <w:iCs/>
          <w:lang w:val="es-ES_tradnl"/>
        </w:rPr>
        <w:t xml:space="preserve"> Entidades estatales exceptuadas del estatuto general de contratación de la administración pública – Modificación artículo 53 de la Ley 2195 de 2022 – Alcance</w:t>
      </w:r>
    </w:p>
    <w:p w14:paraId="514E0649" w14:textId="77777777" w:rsidR="00A46C3A" w:rsidRPr="005A195F" w:rsidRDefault="00A46C3A" w:rsidP="00A46C3A">
      <w:pPr>
        <w:spacing w:after="0" w:line="240" w:lineRule="auto"/>
        <w:contextualSpacing/>
        <w:jc w:val="both"/>
        <w:rPr>
          <w:rFonts w:ascii="Arial" w:hAnsi="Arial" w:cs="Arial"/>
          <w:b/>
          <w:bCs/>
          <w:iCs/>
          <w:sz w:val="20"/>
          <w:szCs w:val="20"/>
          <w:lang w:val="es-ES_tradnl"/>
        </w:rPr>
      </w:pPr>
    </w:p>
    <w:p w14:paraId="39540625" w14:textId="77777777" w:rsidR="00A46C3A" w:rsidRDefault="00A46C3A" w:rsidP="00A46C3A">
      <w:pPr>
        <w:spacing w:after="0" w:line="240" w:lineRule="auto"/>
        <w:contextualSpacing/>
        <w:jc w:val="both"/>
        <w:rPr>
          <w:rStyle w:val="normaltextrun"/>
          <w:rFonts w:ascii="Arial" w:hAnsi="Arial" w:cs="Arial"/>
          <w:sz w:val="20"/>
          <w:szCs w:val="20"/>
          <w:shd w:val="clear" w:color="auto" w:fill="FFFFFF"/>
        </w:rPr>
      </w:pPr>
      <w:r w:rsidRPr="005A195F">
        <w:rPr>
          <w:rFonts w:ascii="Arial" w:eastAsia="Calibri" w:hAnsi="Arial" w:cs="Arial"/>
          <w:sz w:val="20"/>
          <w:szCs w:val="20"/>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5A195F">
        <w:rPr>
          <w:rStyle w:val="normaltextrun"/>
          <w:rFonts w:ascii="Arial" w:hAnsi="Arial" w:cs="Arial"/>
          <w:sz w:val="20"/>
          <w:szCs w:val="20"/>
          <w:shd w:val="clear" w:color="auto" w:fill="FFFFFF"/>
          <w:lang w:val="es-ES"/>
        </w:rPr>
        <w:t xml:space="preserve">Ley 2195 de 2022, debe interpretarse de forma sistemática con </w:t>
      </w:r>
      <w:r w:rsidRPr="005A195F">
        <w:rPr>
          <w:rStyle w:val="normaltextrun"/>
          <w:rFonts w:ascii="Arial" w:hAnsi="Arial" w:cs="Arial"/>
          <w:sz w:val="20"/>
          <w:szCs w:val="20"/>
          <w:shd w:val="clear" w:color="auto" w:fill="FFFFFF"/>
        </w:rPr>
        <w:t xml:space="preserve">los preceptos que existen sobre la materia, como, entre otros, los siguientes enunciados normativos: i) los artículos 74 y 209 de la Constitución, </w:t>
      </w:r>
      <w:proofErr w:type="spellStart"/>
      <w:r w:rsidRPr="005A195F">
        <w:rPr>
          <w:rStyle w:val="normaltextrun"/>
          <w:rFonts w:ascii="Arial" w:hAnsi="Arial" w:cs="Arial"/>
          <w:sz w:val="20"/>
          <w:szCs w:val="20"/>
          <w:shd w:val="clear" w:color="auto" w:fill="FFFFFF"/>
        </w:rPr>
        <w:t>ii</w:t>
      </w:r>
      <w:proofErr w:type="spellEnd"/>
      <w:r w:rsidRPr="005A195F">
        <w:rPr>
          <w:rStyle w:val="normaltextrun"/>
          <w:rFonts w:ascii="Arial" w:hAnsi="Arial" w:cs="Arial"/>
          <w:sz w:val="20"/>
          <w:szCs w:val="20"/>
          <w:shd w:val="clear" w:color="auto" w:fill="FFFFFF"/>
        </w:rPr>
        <w:t xml:space="preserve">) el artículo 3, literal c) de la Ley 1150 de 2007, </w:t>
      </w:r>
      <w:proofErr w:type="spellStart"/>
      <w:r w:rsidRPr="005A195F">
        <w:rPr>
          <w:rStyle w:val="normaltextrun"/>
          <w:rFonts w:ascii="Arial" w:hAnsi="Arial" w:cs="Arial"/>
          <w:sz w:val="20"/>
          <w:szCs w:val="20"/>
          <w:shd w:val="clear" w:color="auto" w:fill="FFFFFF"/>
        </w:rPr>
        <w:t>iii</w:t>
      </w:r>
      <w:proofErr w:type="spellEnd"/>
      <w:r w:rsidRPr="005A195F">
        <w:rPr>
          <w:rStyle w:val="normaltextrun"/>
          <w:rFonts w:ascii="Arial" w:hAnsi="Arial" w:cs="Arial"/>
          <w:sz w:val="20"/>
          <w:szCs w:val="20"/>
          <w:shd w:val="clear" w:color="auto" w:fill="FFFFFF"/>
        </w:rPr>
        <w:t xml:space="preserve">) los artículos 3, 9, literal e) y 11, literal g), de la Ley 1712 de </w:t>
      </w:r>
      <w:r w:rsidRPr="005A195F">
        <w:rPr>
          <w:rStyle w:val="normaltextrun"/>
          <w:rFonts w:ascii="Arial" w:hAnsi="Arial" w:cs="Arial"/>
          <w:sz w:val="20"/>
          <w:szCs w:val="20"/>
          <w:shd w:val="clear" w:color="auto" w:fill="FFFFFF"/>
        </w:rPr>
        <w:lastRenderedPageBreak/>
        <w:t xml:space="preserve">2014, y </w:t>
      </w:r>
      <w:proofErr w:type="spellStart"/>
      <w:r w:rsidRPr="005A195F">
        <w:rPr>
          <w:rStyle w:val="normaltextrun"/>
          <w:rFonts w:ascii="Arial" w:hAnsi="Arial" w:cs="Arial"/>
          <w:sz w:val="20"/>
          <w:szCs w:val="20"/>
          <w:shd w:val="clear" w:color="auto" w:fill="FFFFFF"/>
        </w:rPr>
        <w:t>iv</w:t>
      </w:r>
      <w:proofErr w:type="spellEnd"/>
      <w:r w:rsidRPr="005A195F">
        <w:rPr>
          <w:rStyle w:val="normaltextrun"/>
          <w:rFonts w:ascii="Arial" w:hAnsi="Arial" w:cs="Arial"/>
          <w:sz w:val="20"/>
          <w:szCs w:val="20"/>
          <w:shd w:val="clear" w:color="auto" w:fill="FFFFFF"/>
        </w:rPr>
        <w:t xml:space="preserve">) los artículos 7 al 10 del Decreto 103 de 2015 –compilado en los artículos 2.1.1.1.1. al 2.1.1.6.1. del Decreto 1081 de 2015–. </w:t>
      </w:r>
    </w:p>
    <w:p w14:paraId="677C9B4C" w14:textId="77777777" w:rsidR="00A46C3A" w:rsidRPr="005A195F" w:rsidRDefault="00A46C3A" w:rsidP="00A46C3A">
      <w:pPr>
        <w:spacing w:after="0" w:line="240" w:lineRule="auto"/>
        <w:contextualSpacing/>
        <w:jc w:val="both"/>
        <w:rPr>
          <w:rStyle w:val="normaltextrun"/>
          <w:rFonts w:ascii="Arial" w:hAnsi="Arial" w:cs="Arial"/>
          <w:sz w:val="20"/>
          <w:szCs w:val="20"/>
          <w:shd w:val="clear" w:color="auto" w:fill="FFFFFF"/>
        </w:rPr>
      </w:pPr>
    </w:p>
    <w:p w14:paraId="325E94FE" w14:textId="77777777" w:rsidR="00A46C3A" w:rsidRPr="005A195F" w:rsidRDefault="00A46C3A" w:rsidP="00A46C3A">
      <w:pPr>
        <w:spacing w:after="0" w:line="240" w:lineRule="auto"/>
        <w:contextualSpacing/>
        <w:jc w:val="both"/>
        <w:rPr>
          <w:rFonts w:ascii="Arial" w:hAnsi="Arial" w:cs="Arial"/>
          <w:sz w:val="20"/>
          <w:szCs w:val="20"/>
          <w:shd w:val="clear" w:color="auto" w:fill="FFFFFF"/>
          <w:lang w:val="es-ES"/>
        </w:rPr>
      </w:pPr>
      <w:r w:rsidRPr="005A195F">
        <w:rPr>
          <w:rStyle w:val="normaltextrun"/>
          <w:rFonts w:ascii="Arial" w:hAnsi="Arial" w:cs="Arial"/>
          <w:sz w:val="20"/>
          <w:szCs w:val="20"/>
          <w:shd w:val="clear" w:color="auto" w:fill="FFFFFF"/>
          <w:lang w:val="es-ES"/>
        </w:rPr>
        <w:t xml:space="preserve">Así las cosas, dado que el artículo 53 de la Ley 2195 de 2022 complementó las disposiciones ya establecidas en la Ley 1150 de 2007, la lectura que se haga de dicho artículo debe efectuarse de forma sistemática. </w:t>
      </w:r>
      <w:r w:rsidRPr="005A195F">
        <w:rPr>
          <w:rStyle w:val="eop"/>
          <w:rFonts w:ascii="Arial" w:hAnsi="Arial" w:cs="Arial"/>
          <w:sz w:val="20"/>
          <w:szCs w:val="20"/>
          <w:shd w:val="clear" w:color="auto" w:fill="FFFFFF"/>
        </w:rPr>
        <w:t xml:space="preserve"> En este sentido, debe </w:t>
      </w:r>
      <w:r w:rsidRPr="005A195F">
        <w:rPr>
          <w:rFonts w:ascii="Arial" w:eastAsia="Calibri" w:hAnsi="Arial" w:cs="Arial"/>
          <w:sz w:val="20"/>
          <w:szCs w:val="20"/>
          <w:lang w:val="es-ES_tradnl" w:eastAsia="es-ES_tradnl"/>
        </w:rPr>
        <w:t xml:space="preserve">señalarse que </w:t>
      </w:r>
      <w:r w:rsidRPr="005A195F">
        <w:rPr>
          <w:rFonts w:ascii="Arial" w:hAnsi="Arial" w:cs="Arial"/>
          <w:i/>
          <w:iCs/>
          <w:sz w:val="20"/>
          <w:szCs w:val="20"/>
          <w:lang w:val="es-ES_tradnl" w:eastAsia="es-CO"/>
        </w:rPr>
        <w:t>contratación con cargo a recursos públicos</w:t>
      </w:r>
      <w:r w:rsidRPr="005A195F">
        <w:rPr>
          <w:rFonts w:ascii="Arial" w:hAnsi="Arial" w:cs="Arial"/>
          <w:sz w:val="20"/>
          <w:szCs w:val="20"/>
          <w:lang w:val="es-ES_tradnl" w:eastAsia="es-CO"/>
        </w:rPr>
        <w:t xml:space="preserve"> es un concepto al que alude expresamente la Ley 1150 de 2007, incluso desde el mismo título, pues este indica que dicha Ley es </w:t>
      </w:r>
      <w:r w:rsidRPr="005A195F">
        <w:rPr>
          <w:rFonts w:ascii="Arial" w:eastAsia="Calibri" w:hAnsi="Arial" w:cs="Arial"/>
          <w:sz w:val="20"/>
          <w:szCs w:val="20"/>
          <w:lang w:val="es-ES_tradnl"/>
        </w:rPr>
        <w:t>«</w:t>
      </w:r>
      <w:r w:rsidRPr="005A195F">
        <w:rPr>
          <w:rFonts w:ascii="Arial" w:hAnsi="Arial" w:cs="Arial"/>
          <w:sz w:val="20"/>
          <w:szCs w:val="20"/>
        </w:rPr>
        <w:t>Por medio de la cual se introducen medidas para la eficiencia y la transparencia en la Ley </w:t>
      </w:r>
      <w:hyperlink r:id="rId11" w:anchor="1" w:history="1">
        <w:r w:rsidRPr="005A195F">
          <w:rPr>
            <w:rStyle w:val="Hipervnculo"/>
            <w:rFonts w:ascii="Arial" w:hAnsi="Arial" w:cs="Arial"/>
            <w:sz w:val="20"/>
            <w:szCs w:val="20"/>
          </w:rPr>
          <w:t>80</w:t>
        </w:r>
      </w:hyperlink>
      <w:r w:rsidRPr="005A195F">
        <w:rPr>
          <w:rFonts w:ascii="Arial" w:hAnsi="Arial" w:cs="Arial"/>
          <w:sz w:val="20"/>
          <w:szCs w:val="20"/>
        </w:rPr>
        <w:t xml:space="preserve"> de 1993 y se dictan otras disposiciones generales sobre la contratación con </w:t>
      </w:r>
      <w:r w:rsidRPr="005A195F">
        <w:rPr>
          <w:rFonts w:ascii="Arial" w:hAnsi="Arial" w:cs="Arial"/>
          <w:i/>
          <w:iCs/>
          <w:sz w:val="20"/>
          <w:szCs w:val="20"/>
        </w:rPr>
        <w:t>Recursos Públicos</w:t>
      </w:r>
      <w:r w:rsidRPr="005A195F">
        <w:rPr>
          <w:rFonts w:ascii="Arial" w:eastAsia="Calibri" w:hAnsi="Arial" w:cs="Arial"/>
          <w:sz w:val="20"/>
          <w:szCs w:val="20"/>
          <w:lang w:val="es-ES_tradnl"/>
        </w:rPr>
        <w:t>»</w:t>
      </w:r>
      <w:r w:rsidRPr="005A195F">
        <w:rPr>
          <w:rFonts w:ascii="Arial" w:hAnsi="Arial" w:cs="Arial"/>
          <w:sz w:val="20"/>
          <w:szCs w:val="20"/>
        </w:rPr>
        <w:t>.</w:t>
      </w:r>
      <w:r w:rsidRPr="005A195F">
        <w:rPr>
          <w:rFonts w:ascii="Arial" w:hAnsi="Arial" w:cs="Arial"/>
          <w:sz w:val="20"/>
          <w:szCs w:val="20"/>
          <w:lang w:val="es-ES_tradnl" w:eastAsia="es-CO"/>
        </w:rPr>
        <w:t xml:space="preserve"> Asimismo, la terminología </w:t>
      </w:r>
      <w:r w:rsidRPr="005A195F">
        <w:rPr>
          <w:rFonts w:ascii="Arial" w:hAnsi="Arial" w:cs="Arial"/>
          <w:i/>
          <w:iCs/>
          <w:sz w:val="20"/>
          <w:szCs w:val="20"/>
          <w:lang w:val="es-ES_tradnl" w:eastAsia="es-CO"/>
        </w:rPr>
        <w:t xml:space="preserve">contratación con cargo recursos públicos </w:t>
      </w:r>
      <w:r w:rsidRPr="005A195F">
        <w:rPr>
          <w:rFonts w:ascii="Arial" w:hAnsi="Arial" w:cs="Arial"/>
          <w:sz w:val="20"/>
          <w:szCs w:val="20"/>
          <w:lang w:val="es-ES_tradnl" w:eastAsia="es-CO"/>
        </w:rPr>
        <w:t xml:space="preserve">se encuentra en el artículo primero, al definir el ámbito de aplicación de sus disposiciones y en el literal c) del artículo 3 –del que surge el deber de publicar en el SECOP–, que expresamente </w:t>
      </w:r>
      <w:r w:rsidRPr="005A195F">
        <w:rPr>
          <w:rStyle w:val="normaltextrun"/>
          <w:rFonts w:ascii="Arial" w:hAnsi="Arial" w:cs="Arial"/>
          <w:sz w:val="20"/>
          <w:szCs w:val="20"/>
          <w:shd w:val="clear" w:color="auto" w:fill="FFFFFF"/>
          <w:lang w:val="es-ES"/>
        </w:rPr>
        <w:t>establece que ese aparte del artículo se aplica a la «</w:t>
      </w:r>
      <w:r w:rsidRPr="005A195F">
        <w:rPr>
          <w:rStyle w:val="normaltextrun"/>
          <w:rFonts w:ascii="Arial" w:hAnsi="Arial" w:cs="Arial"/>
          <w:i/>
          <w:iCs/>
          <w:sz w:val="20"/>
          <w:szCs w:val="20"/>
          <w:shd w:val="clear" w:color="auto" w:fill="FFFFFF"/>
          <w:lang w:val="es-ES"/>
        </w:rPr>
        <w:t>contratación realizada con dineros públicos</w:t>
      </w:r>
      <w:r w:rsidRPr="005A195F">
        <w:rPr>
          <w:rStyle w:val="normaltextrun"/>
          <w:rFonts w:ascii="Arial" w:hAnsi="Arial" w:cs="Arial"/>
          <w:sz w:val="20"/>
          <w:szCs w:val="20"/>
          <w:shd w:val="clear" w:color="auto" w:fill="FFFFFF"/>
          <w:lang w:val="es-ES"/>
        </w:rPr>
        <w:t xml:space="preserve">». </w:t>
      </w:r>
      <w:r w:rsidRPr="005A195F">
        <w:rPr>
          <w:rStyle w:val="normaltextrun"/>
          <w:rFonts w:ascii="Arial" w:hAnsi="Arial" w:cs="Arial"/>
          <w:sz w:val="20"/>
          <w:szCs w:val="20"/>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p w14:paraId="71869AB4" w14:textId="77777777" w:rsidR="00A46C3A" w:rsidRPr="005A195F" w:rsidRDefault="00A46C3A" w:rsidP="00A46C3A">
      <w:pPr>
        <w:spacing w:after="0" w:line="240" w:lineRule="auto"/>
        <w:contextualSpacing/>
        <w:jc w:val="both"/>
        <w:rPr>
          <w:rFonts w:ascii="Arial" w:hAnsi="Arial" w:cs="Arial"/>
          <w:sz w:val="20"/>
          <w:szCs w:val="20"/>
        </w:rPr>
      </w:pPr>
    </w:p>
    <w:p w14:paraId="53E9E1B4" w14:textId="77777777" w:rsidR="00A46C3A" w:rsidRPr="00F02D69" w:rsidRDefault="00A46C3A" w:rsidP="00A46C3A">
      <w:pPr>
        <w:spacing w:after="0" w:line="240" w:lineRule="auto"/>
        <w:contextualSpacing/>
        <w:jc w:val="both"/>
        <w:rPr>
          <w:rFonts w:ascii="Arial" w:hAnsi="Arial" w:cs="Arial"/>
          <w:b/>
          <w:bCs/>
          <w:iCs/>
          <w:lang w:val="es-ES_tradnl"/>
        </w:rPr>
      </w:pPr>
      <w:r w:rsidRPr="00F02D69">
        <w:rPr>
          <w:rFonts w:ascii="Arial" w:hAnsi="Arial" w:cs="Arial"/>
          <w:b/>
          <w:bCs/>
          <w:iCs/>
          <w:lang w:val="es-ES_tradnl"/>
        </w:rPr>
        <w:t xml:space="preserve">DEBER DE PUBLICIDAD </w:t>
      </w:r>
      <w:r w:rsidRPr="00F02D69">
        <w:rPr>
          <w:rFonts w:ascii="Arial" w:eastAsia="Calibri" w:hAnsi="Arial" w:cs="Arial"/>
          <w:b/>
          <w:lang w:val="es-ES_tradnl"/>
        </w:rPr>
        <w:t>–</w:t>
      </w:r>
      <w:r w:rsidRPr="00F02D69">
        <w:rPr>
          <w:rFonts w:ascii="Arial" w:hAnsi="Arial" w:cs="Arial"/>
          <w:b/>
          <w:bCs/>
          <w:iCs/>
          <w:lang w:val="es-ES_tradnl"/>
        </w:rPr>
        <w:t xml:space="preserve"> SECOP II </w:t>
      </w:r>
      <w:r w:rsidRPr="00F02D69">
        <w:rPr>
          <w:rFonts w:ascii="Arial" w:eastAsia="Calibri" w:hAnsi="Arial" w:cs="Arial"/>
          <w:b/>
          <w:lang w:val="es-ES_tradnl"/>
        </w:rPr>
        <w:t>–</w:t>
      </w:r>
      <w:r w:rsidRPr="00F02D69">
        <w:rPr>
          <w:rFonts w:ascii="Arial" w:hAnsi="Arial" w:cs="Arial"/>
          <w:b/>
          <w:bCs/>
          <w:iCs/>
          <w:lang w:val="es-ES_tradnl"/>
        </w:rPr>
        <w:t xml:space="preserve"> Entidades estatales exceptuadas del estatuto general de contratación de la administración pública – Modificación artículo 53 de la Ley 2195 de 2022 – Procedencia de los recursos </w:t>
      </w:r>
    </w:p>
    <w:p w14:paraId="4E848909" w14:textId="77777777" w:rsidR="00A46C3A" w:rsidRPr="005A195F" w:rsidRDefault="00A46C3A" w:rsidP="00A46C3A">
      <w:pPr>
        <w:spacing w:after="0" w:line="240" w:lineRule="auto"/>
        <w:contextualSpacing/>
        <w:jc w:val="both"/>
        <w:rPr>
          <w:rFonts w:ascii="Arial" w:hAnsi="Arial" w:cs="Arial"/>
          <w:sz w:val="20"/>
          <w:szCs w:val="20"/>
        </w:rPr>
      </w:pPr>
    </w:p>
    <w:p w14:paraId="4D8A0585" w14:textId="77777777" w:rsidR="00A46C3A" w:rsidRPr="005A195F" w:rsidRDefault="00A46C3A" w:rsidP="00A46C3A">
      <w:pPr>
        <w:spacing w:after="0" w:line="240" w:lineRule="auto"/>
        <w:contextualSpacing/>
        <w:jc w:val="both"/>
        <w:rPr>
          <w:rFonts w:ascii="Arial" w:eastAsia="Calibri" w:hAnsi="Arial" w:cs="Arial"/>
          <w:sz w:val="20"/>
          <w:szCs w:val="20"/>
          <w:lang w:val="es-ES_tradnl" w:eastAsia="es-ES_tradnl"/>
        </w:rPr>
      </w:pPr>
      <w:r w:rsidRPr="005A195F">
        <w:rPr>
          <w:rFonts w:ascii="Arial" w:eastAsia="Calibri" w:hAnsi="Arial" w:cs="Arial"/>
          <w:sz w:val="20"/>
          <w:szCs w:val="20"/>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p w14:paraId="4302A4B2" w14:textId="77777777" w:rsidR="00A46C3A" w:rsidRPr="00C24652" w:rsidRDefault="00A46C3A" w:rsidP="00A46C3A">
      <w:pPr>
        <w:spacing w:after="0" w:line="276" w:lineRule="auto"/>
        <w:jc w:val="both"/>
        <w:rPr>
          <w:rFonts w:ascii="Arial" w:eastAsia="Calibri" w:hAnsi="Arial" w:cs="Arial"/>
          <w:b/>
          <w:szCs w:val="24"/>
          <w:lang w:val="es-ES_tradnl" w:eastAsia="es-ES_tradnl"/>
        </w:rPr>
      </w:pPr>
    </w:p>
    <w:p w14:paraId="51BAF8C6" w14:textId="68887499" w:rsidR="00A46C3A" w:rsidRDefault="00A46C3A">
      <w:pPr>
        <w:rPr>
          <w:rFonts w:ascii="Arial" w:eastAsia="Calibri" w:hAnsi="Arial" w:cs="Arial"/>
          <w:szCs w:val="20"/>
          <w:lang w:val="es-ES_tradnl"/>
        </w:rPr>
      </w:pPr>
      <w:r>
        <w:rPr>
          <w:rFonts w:ascii="Arial" w:eastAsia="Calibri" w:hAnsi="Arial" w:cs="Arial"/>
          <w:szCs w:val="20"/>
          <w:lang w:val="es-ES_tradnl"/>
        </w:rPr>
        <w:br w:type="page"/>
      </w:r>
    </w:p>
    <w:p w14:paraId="2FB14105" w14:textId="77777777" w:rsidR="00776D53" w:rsidRDefault="00776D53" w:rsidP="006830FE">
      <w:pPr>
        <w:spacing w:after="0" w:line="240" w:lineRule="auto"/>
        <w:rPr>
          <w:rFonts w:ascii="Arial" w:eastAsia="Calibri" w:hAnsi="Arial" w:cs="Arial"/>
          <w:szCs w:val="20"/>
          <w:lang w:val="es-ES_tradnl"/>
        </w:rPr>
      </w:pPr>
    </w:p>
    <w:p w14:paraId="3F0D1E33" w14:textId="77777777" w:rsidR="00776D53" w:rsidRDefault="00776D53" w:rsidP="006830FE">
      <w:pPr>
        <w:spacing w:after="0" w:line="240" w:lineRule="auto"/>
        <w:rPr>
          <w:rFonts w:ascii="Arial" w:eastAsia="Calibri" w:hAnsi="Arial" w:cs="Arial"/>
          <w:szCs w:val="20"/>
          <w:lang w:val="es-ES_tradnl"/>
        </w:rPr>
      </w:pPr>
    </w:p>
    <w:p w14:paraId="7EBBCCAB" w14:textId="77777777" w:rsidR="00F21B66" w:rsidRDefault="00F21B66" w:rsidP="00F21B66">
      <w:pPr>
        <w:pStyle w:val="Textoindependiente"/>
        <w:spacing w:before="2"/>
        <w:rPr>
          <w:rFonts w:ascii="Times New Roman"/>
          <w:sz w:val="20"/>
        </w:rPr>
      </w:pPr>
    </w:p>
    <w:p w14:paraId="05A7ABB1" w14:textId="2865FA41" w:rsidR="00F21B66" w:rsidRDefault="00F21B66" w:rsidP="00F21B66">
      <w:pPr>
        <w:pStyle w:val="Textoindependiente"/>
        <w:spacing w:before="56"/>
        <w:ind w:left="118"/>
        <w:rPr>
          <w:rFonts w:ascii="Calibri" w:hAnsi="Calibri"/>
        </w:rPr>
      </w:pPr>
      <w:r w:rsidRPr="00763CDE">
        <w:rPr>
          <w:rFonts w:ascii="Arial" w:hAnsi="Arial" w:cs="Arial"/>
          <w:noProof/>
        </w:rPr>
        <w:drawing>
          <wp:anchor distT="0" distB="0" distL="0" distR="0" simplePos="0" relativeHeight="251658240" behindDoc="0" locked="0" layoutInCell="1" allowOverlap="1" wp14:anchorId="194F13FC" wp14:editId="09BE7D0C">
            <wp:simplePos x="0" y="0"/>
            <wp:positionH relativeFrom="page">
              <wp:posOffset>4471670</wp:posOffset>
            </wp:positionH>
            <wp:positionV relativeFrom="paragraph">
              <wp:posOffset>-250073</wp:posOffset>
            </wp:positionV>
            <wp:extent cx="2400300" cy="615949"/>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2" cstate="print"/>
                    <a:stretch>
                      <a:fillRect/>
                    </a:stretch>
                  </pic:blipFill>
                  <pic:spPr>
                    <a:xfrm>
                      <a:off x="0" y="0"/>
                      <a:ext cx="2400300" cy="615949"/>
                    </a:xfrm>
                    <a:prstGeom prst="rect">
                      <a:avLst/>
                    </a:prstGeom>
                  </pic:spPr>
                </pic:pic>
              </a:graphicData>
            </a:graphic>
          </wp:anchor>
        </w:drawing>
      </w:r>
      <w:r w:rsidRPr="00763CDE">
        <w:rPr>
          <w:rFonts w:ascii="Arial" w:hAnsi="Arial" w:cs="Arial"/>
        </w:rPr>
        <w:t>Bogotá</w:t>
      </w:r>
      <w:r w:rsidRPr="00763CDE">
        <w:rPr>
          <w:rFonts w:ascii="Arial" w:hAnsi="Arial" w:cs="Arial"/>
          <w:spacing w:val="-4"/>
        </w:rPr>
        <w:t xml:space="preserve"> </w:t>
      </w:r>
      <w:r w:rsidRPr="00763CDE">
        <w:rPr>
          <w:rFonts w:ascii="Arial" w:hAnsi="Arial" w:cs="Arial"/>
        </w:rPr>
        <w:t>D.C.,</w:t>
      </w:r>
      <w:r w:rsidRPr="00763CDE">
        <w:rPr>
          <w:rFonts w:ascii="Arial" w:hAnsi="Arial" w:cs="Arial"/>
          <w:spacing w:val="-1"/>
        </w:rPr>
        <w:t xml:space="preserve"> </w:t>
      </w:r>
      <w:r w:rsidRPr="00763CDE">
        <w:rPr>
          <w:rFonts w:ascii="Arial" w:hAnsi="Arial" w:cs="Arial"/>
          <w:color w:val="201E1E"/>
        </w:rPr>
        <w:t>28</w:t>
      </w:r>
      <w:r w:rsidRPr="00763CDE">
        <w:rPr>
          <w:rFonts w:ascii="Arial" w:hAnsi="Arial" w:cs="Arial"/>
          <w:color w:val="201E1E"/>
          <w:spacing w:val="-4"/>
        </w:rPr>
        <w:t xml:space="preserve"> </w:t>
      </w:r>
      <w:r w:rsidRPr="00763CDE">
        <w:rPr>
          <w:rFonts w:ascii="Arial" w:hAnsi="Arial" w:cs="Arial"/>
          <w:color w:val="201E1E"/>
        </w:rPr>
        <w:t>de</w:t>
      </w:r>
      <w:r w:rsidRPr="00763CDE">
        <w:rPr>
          <w:rFonts w:ascii="Arial" w:hAnsi="Arial" w:cs="Arial"/>
          <w:color w:val="201E1E"/>
          <w:spacing w:val="-3"/>
        </w:rPr>
        <w:t xml:space="preserve"> </w:t>
      </w:r>
      <w:proofErr w:type="gramStart"/>
      <w:r w:rsidRPr="00763CDE">
        <w:rPr>
          <w:rFonts w:ascii="Arial" w:hAnsi="Arial" w:cs="Arial"/>
          <w:color w:val="201E1E"/>
        </w:rPr>
        <w:t>Marzo</w:t>
      </w:r>
      <w:proofErr w:type="gramEnd"/>
      <w:r w:rsidRPr="00763CDE">
        <w:rPr>
          <w:rFonts w:ascii="Arial" w:hAnsi="Arial" w:cs="Arial"/>
          <w:color w:val="201E1E"/>
          <w:spacing w:val="-4"/>
        </w:rPr>
        <w:t xml:space="preserve"> </w:t>
      </w:r>
      <w:r w:rsidRPr="00763CDE">
        <w:rPr>
          <w:rFonts w:ascii="Arial" w:hAnsi="Arial" w:cs="Arial"/>
          <w:color w:val="201E1E"/>
        </w:rPr>
        <w:t>de</w:t>
      </w:r>
      <w:r w:rsidRPr="00763CDE">
        <w:rPr>
          <w:rFonts w:ascii="Arial" w:hAnsi="Arial" w:cs="Arial"/>
          <w:color w:val="201E1E"/>
          <w:spacing w:val="-4"/>
        </w:rPr>
        <w:t xml:space="preserve"> </w:t>
      </w:r>
      <w:r w:rsidRPr="00763CDE">
        <w:rPr>
          <w:rFonts w:ascii="Arial" w:hAnsi="Arial" w:cs="Arial"/>
          <w:color w:val="201E1E"/>
        </w:rPr>
        <w:t>202</w:t>
      </w:r>
      <w:r w:rsidR="00DD73B5">
        <w:rPr>
          <w:rFonts w:ascii="Arial" w:hAnsi="Arial" w:cs="Arial"/>
          <w:color w:val="201E1E"/>
        </w:rPr>
        <w:t>3</w:t>
      </w:r>
    </w:p>
    <w:p w14:paraId="0C726A9D" w14:textId="77777777" w:rsidR="00F21B66" w:rsidRDefault="00F21B66" w:rsidP="00F21B66">
      <w:pPr>
        <w:pStyle w:val="Textoindependiente"/>
        <w:rPr>
          <w:rFonts w:ascii="Calibri"/>
        </w:rPr>
      </w:pPr>
    </w:p>
    <w:p w14:paraId="0D9C685E" w14:textId="30C7317A" w:rsidR="00776D53" w:rsidRDefault="00776D53" w:rsidP="006830FE">
      <w:pPr>
        <w:spacing w:after="0" w:line="240" w:lineRule="auto"/>
        <w:rPr>
          <w:rFonts w:ascii="Arial" w:eastAsia="Calibri" w:hAnsi="Arial" w:cs="Arial"/>
          <w:szCs w:val="20"/>
          <w:lang w:val="es-ES_tradnl"/>
        </w:rPr>
      </w:pPr>
    </w:p>
    <w:p w14:paraId="64C1ED5C" w14:textId="77777777" w:rsidR="00F21B66" w:rsidRPr="006830FE" w:rsidRDefault="00F21B66" w:rsidP="006830FE">
      <w:pPr>
        <w:spacing w:after="0" w:line="240" w:lineRule="auto"/>
        <w:rPr>
          <w:rFonts w:ascii="Arial" w:eastAsia="Calibri" w:hAnsi="Arial" w:cs="Arial"/>
          <w:szCs w:val="20"/>
          <w:lang w:val="es-ES_tradnl"/>
        </w:rPr>
      </w:pPr>
    </w:p>
    <w:p w14:paraId="0194A239" w14:textId="77777777" w:rsidR="006830FE" w:rsidRPr="006830FE" w:rsidRDefault="006830FE" w:rsidP="006830FE">
      <w:pPr>
        <w:spacing w:after="0" w:line="240" w:lineRule="auto"/>
        <w:rPr>
          <w:rFonts w:ascii="Arial" w:eastAsia="Calibri" w:hAnsi="Arial" w:cs="Arial"/>
          <w:szCs w:val="20"/>
          <w:lang w:val="es-ES_tradnl"/>
        </w:rPr>
      </w:pPr>
      <w:r w:rsidRPr="006830FE">
        <w:rPr>
          <w:rFonts w:ascii="Arial" w:eastAsia="Calibri" w:hAnsi="Arial" w:cs="Arial"/>
          <w:szCs w:val="20"/>
          <w:lang w:val="es-ES_tradnl"/>
        </w:rPr>
        <w:t>Señora</w:t>
      </w:r>
    </w:p>
    <w:p w14:paraId="3E201C14" w14:textId="77777777" w:rsidR="006830FE" w:rsidRPr="006830FE" w:rsidRDefault="006830FE" w:rsidP="006830FE">
      <w:pPr>
        <w:spacing w:after="0" w:line="240" w:lineRule="auto"/>
        <w:rPr>
          <w:rFonts w:ascii="Arial" w:eastAsia="Calibri" w:hAnsi="Arial" w:cs="Arial"/>
          <w:b/>
          <w:szCs w:val="20"/>
          <w:lang w:val="es-ES_tradnl"/>
        </w:rPr>
      </w:pPr>
      <w:r w:rsidRPr="006830FE">
        <w:rPr>
          <w:rFonts w:ascii="Arial" w:eastAsia="Calibri" w:hAnsi="Arial" w:cs="Arial"/>
          <w:b/>
          <w:szCs w:val="20"/>
          <w:lang w:val="es-ES_tradnl"/>
        </w:rPr>
        <w:t xml:space="preserve">Carolina Montenegro Cruz </w:t>
      </w:r>
    </w:p>
    <w:p w14:paraId="70E20E05" w14:textId="77777777" w:rsidR="006830FE" w:rsidRPr="006830FE" w:rsidRDefault="006830FE" w:rsidP="006830FE">
      <w:pPr>
        <w:spacing w:after="0" w:line="240" w:lineRule="auto"/>
        <w:rPr>
          <w:rFonts w:ascii="Arial" w:eastAsia="Calibri" w:hAnsi="Arial" w:cs="Arial"/>
          <w:szCs w:val="20"/>
          <w:lang w:val="es-ES_tradnl"/>
        </w:rPr>
      </w:pPr>
      <w:r w:rsidRPr="006830FE">
        <w:rPr>
          <w:rFonts w:ascii="Arial" w:eastAsia="Calibri" w:hAnsi="Arial" w:cs="Arial"/>
          <w:noProof/>
          <w:color w:val="000000"/>
          <w:lang w:val="es-ES_tradnl"/>
        </w:rPr>
        <w:t>Girardot, Cundinamarca</w:t>
      </w:r>
    </w:p>
    <w:p w14:paraId="2B40CA8E" w14:textId="77777777" w:rsidR="006830FE" w:rsidRPr="006830FE" w:rsidRDefault="006830FE" w:rsidP="006830FE">
      <w:pPr>
        <w:spacing w:after="0" w:line="240" w:lineRule="auto"/>
        <w:rPr>
          <w:rFonts w:ascii="Arial" w:eastAsia="Calibri" w:hAnsi="Arial" w:cs="Arial"/>
          <w:szCs w:val="20"/>
          <w:lang w:val="es-ES_tradnl"/>
        </w:rPr>
      </w:pPr>
    </w:p>
    <w:p w14:paraId="6FA7836C" w14:textId="77777777" w:rsidR="006830FE" w:rsidRPr="006830FE" w:rsidRDefault="006830FE" w:rsidP="006830FE">
      <w:pPr>
        <w:spacing w:after="0" w:line="240" w:lineRule="auto"/>
        <w:rPr>
          <w:rFonts w:ascii="Arial" w:eastAsia="Calibri" w:hAnsi="Arial" w:cs="Arial"/>
          <w:szCs w:val="20"/>
          <w:lang w:val="es-ES_tradnl"/>
        </w:rPr>
      </w:pPr>
    </w:p>
    <w:p w14:paraId="0869BE46" w14:textId="7E791814" w:rsidR="006830FE" w:rsidRPr="006830FE" w:rsidRDefault="006830FE" w:rsidP="006830FE">
      <w:pPr>
        <w:spacing w:after="0" w:line="240" w:lineRule="auto"/>
        <w:rPr>
          <w:rFonts w:ascii="Arial" w:eastAsia="Calibri" w:hAnsi="Arial" w:cs="Arial"/>
          <w:b/>
          <w:lang w:val="es-ES_tradnl"/>
        </w:rPr>
      </w:pPr>
      <w:r w:rsidRPr="006830FE">
        <w:rPr>
          <w:rFonts w:ascii="Arial" w:eastAsia="Calibri" w:hAnsi="Arial" w:cs="Arial"/>
          <w:b/>
          <w:lang w:val="es-ES_tradnl"/>
        </w:rPr>
        <w:t xml:space="preserve">                                            </w:t>
      </w:r>
      <w:r w:rsidRPr="006830FE">
        <w:rPr>
          <w:rFonts w:ascii="Arial" w:eastAsia="Calibri" w:hAnsi="Arial" w:cs="Arial"/>
          <w:b/>
          <w:lang w:val="es-ES_tradnl"/>
        </w:rPr>
        <w:tab/>
        <w:t xml:space="preserve">Concepto C </w:t>
      </w:r>
      <w:r w:rsidR="00F21B66">
        <w:rPr>
          <w:rFonts w:ascii="Arial" w:eastAsia="Calibri" w:hAnsi="Arial" w:cs="Arial"/>
          <w:b/>
          <w:lang w:val="es-ES_tradnl"/>
        </w:rPr>
        <w:t>–</w:t>
      </w:r>
      <w:r w:rsidRPr="006830FE">
        <w:rPr>
          <w:rFonts w:ascii="Arial" w:eastAsia="Calibri" w:hAnsi="Arial" w:cs="Arial"/>
          <w:b/>
          <w:lang w:val="es-ES_tradnl"/>
        </w:rPr>
        <w:t xml:space="preserve"> </w:t>
      </w:r>
      <w:r w:rsidR="00F21B66">
        <w:rPr>
          <w:rFonts w:ascii="Arial" w:eastAsia="Calibri" w:hAnsi="Arial" w:cs="Arial"/>
          <w:b/>
          <w:lang w:val="es-ES_tradnl"/>
        </w:rPr>
        <w:t>071 de 2023</w:t>
      </w:r>
    </w:p>
    <w:p w14:paraId="5BB5369B" w14:textId="77777777" w:rsidR="006830FE" w:rsidRPr="006830FE" w:rsidRDefault="006830FE" w:rsidP="006830FE">
      <w:pPr>
        <w:spacing w:after="0" w:line="240" w:lineRule="auto"/>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830FE" w:rsidRPr="006830FE" w14:paraId="5756E448" w14:textId="77777777" w:rsidTr="00F21B66">
        <w:trPr>
          <w:trHeight w:val="4120"/>
        </w:trPr>
        <w:tc>
          <w:tcPr>
            <w:tcW w:w="2689" w:type="dxa"/>
            <w:hideMark/>
          </w:tcPr>
          <w:p w14:paraId="51FCB478" w14:textId="77777777" w:rsidR="006830FE" w:rsidRPr="006830FE" w:rsidRDefault="006830FE" w:rsidP="006830FE">
            <w:pPr>
              <w:rPr>
                <w:rFonts w:ascii="Arial" w:eastAsia="Calibri" w:hAnsi="Arial" w:cs="Arial"/>
                <w:lang w:val="es-ES_tradnl"/>
              </w:rPr>
            </w:pPr>
            <w:r w:rsidRPr="006830FE">
              <w:rPr>
                <w:rFonts w:ascii="Arial" w:eastAsia="Calibri" w:hAnsi="Arial" w:cs="Arial"/>
                <w:b/>
                <w:lang w:val="es-ES_tradnl"/>
              </w:rPr>
              <w:t>Temas:</w:t>
            </w:r>
            <w:r w:rsidRPr="006830FE">
              <w:rPr>
                <w:rFonts w:ascii="Arial" w:eastAsia="Calibri" w:hAnsi="Arial" w:cs="Arial"/>
                <w:lang w:val="es-ES_tradnl"/>
              </w:rPr>
              <w:t xml:space="preserve">           </w:t>
            </w:r>
          </w:p>
          <w:p w14:paraId="66A44977" w14:textId="77777777" w:rsidR="006830FE" w:rsidRPr="006830FE" w:rsidRDefault="006830FE" w:rsidP="006830FE">
            <w:pPr>
              <w:rPr>
                <w:rFonts w:ascii="Arial" w:eastAsia="Calibri" w:hAnsi="Arial" w:cs="Arial"/>
                <w:lang w:val="es-ES_tradnl"/>
              </w:rPr>
            </w:pPr>
            <w:r w:rsidRPr="006830FE">
              <w:rPr>
                <w:rFonts w:ascii="Arial" w:eastAsia="Calibri" w:hAnsi="Arial" w:cs="Arial"/>
                <w:lang w:val="es-ES_tradnl"/>
              </w:rPr>
              <w:t xml:space="preserve">                           </w:t>
            </w:r>
          </w:p>
        </w:tc>
        <w:tc>
          <w:tcPr>
            <w:tcW w:w="6237" w:type="dxa"/>
            <w:hideMark/>
          </w:tcPr>
          <w:p w14:paraId="2F792744" w14:textId="77777777" w:rsidR="00831C8F" w:rsidRPr="00F02D69" w:rsidRDefault="006830FE" w:rsidP="00831C8F">
            <w:pPr>
              <w:contextualSpacing/>
              <w:jc w:val="both"/>
              <w:rPr>
                <w:rFonts w:ascii="Arial" w:hAnsi="Arial" w:cs="Arial"/>
                <w:iCs/>
                <w:lang w:val="es-ES_tradnl"/>
              </w:rPr>
            </w:pPr>
            <w:r w:rsidRPr="006830FE">
              <w:rPr>
                <w:rFonts w:ascii="Arial" w:eastAsia="Calibri" w:hAnsi="Arial" w:cs="Arial"/>
                <w:bCs/>
                <w:color w:val="000000"/>
                <w:lang w:val="es-ES_tradnl"/>
              </w:rPr>
              <w:t>EMPRESAS DE SERVICIOS PÚBLICOS DOMICILIARIOS – Naturaleza jurídica – Régimen contractual / EMPRESAS DE SERVICIOS PÚBLICOS DOMICILIARIOS – Aplicabilidad Estatuto General de Contratación de la Administración Pública – Ley 142 de 1994 – Ley 689 de 2001 / PUBLICIIDAD SECOP – Entidades exceptuadas del Estatuto General de Contratación de la Administración Pública – Modificación artículo 53 de la Ley 2195 de 2022 / SECOP II – Deber de publicidad – Entidades exceptuadas – Documentos relacionados con la actividad contractual</w:t>
            </w:r>
            <w:r w:rsidR="00831C8F">
              <w:rPr>
                <w:rFonts w:ascii="Arial" w:eastAsia="Calibri" w:hAnsi="Arial" w:cs="Arial"/>
                <w:bCs/>
                <w:color w:val="000000"/>
                <w:lang w:val="es-ES_tradnl"/>
              </w:rPr>
              <w:t xml:space="preserve"> </w:t>
            </w:r>
            <w:r w:rsidR="00831C8F" w:rsidRPr="00F02D69">
              <w:rPr>
                <w:rFonts w:ascii="Arial" w:hAnsi="Arial" w:cs="Arial"/>
                <w:iCs/>
                <w:lang w:val="es-ES_tradnl"/>
              </w:rPr>
              <w:t xml:space="preserve">/ DEBER DE PUBLICIDAD </w:t>
            </w:r>
            <w:r w:rsidR="00831C8F" w:rsidRPr="00F02D69">
              <w:rPr>
                <w:rFonts w:ascii="Arial" w:eastAsia="Calibri" w:hAnsi="Arial" w:cs="Arial"/>
                <w:lang w:val="es-ES_tradnl"/>
              </w:rPr>
              <w:t>–</w:t>
            </w:r>
            <w:r w:rsidR="00831C8F" w:rsidRPr="00F02D69">
              <w:rPr>
                <w:rFonts w:ascii="Arial" w:hAnsi="Arial" w:cs="Arial"/>
                <w:iCs/>
                <w:lang w:val="es-ES_tradnl"/>
              </w:rPr>
              <w:t xml:space="preserve"> SECOP II </w:t>
            </w:r>
            <w:r w:rsidR="00831C8F" w:rsidRPr="00F02D69">
              <w:rPr>
                <w:rFonts w:ascii="Arial" w:eastAsia="Calibri" w:hAnsi="Arial" w:cs="Arial"/>
                <w:lang w:val="es-ES_tradnl"/>
              </w:rPr>
              <w:t>–</w:t>
            </w:r>
            <w:r w:rsidR="00831C8F" w:rsidRPr="00F02D69">
              <w:rPr>
                <w:rFonts w:ascii="Arial" w:hAnsi="Arial" w:cs="Arial"/>
                <w:iCs/>
                <w:lang w:val="es-ES_tradnl"/>
              </w:rPr>
              <w:t xml:space="preserve"> Entidades estatales exceptuadas del estatuto general de contratación de la administración pública – Modificación artículo 53 de la Ley 2195 de 2022 – Alcance / DEBER DE PUBLICIDAD </w:t>
            </w:r>
            <w:r w:rsidR="00831C8F" w:rsidRPr="00F02D69">
              <w:rPr>
                <w:rFonts w:ascii="Arial" w:eastAsia="Calibri" w:hAnsi="Arial" w:cs="Arial"/>
                <w:lang w:val="es-ES_tradnl"/>
              </w:rPr>
              <w:t>–</w:t>
            </w:r>
            <w:r w:rsidR="00831C8F" w:rsidRPr="00F02D69">
              <w:rPr>
                <w:rFonts w:ascii="Arial" w:hAnsi="Arial" w:cs="Arial"/>
                <w:iCs/>
                <w:lang w:val="es-ES_tradnl"/>
              </w:rPr>
              <w:t xml:space="preserve"> SECOP II </w:t>
            </w:r>
            <w:r w:rsidR="00831C8F" w:rsidRPr="00F02D69">
              <w:rPr>
                <w:rFonts w:ascii="Arial" w:eastAsia="Calibri" w:hAnsi="Arial" w:cs="Arial"/>
                <w:lang w:val="es-ES_tradnl"/>
              </w:rPr>
              <w:t>–</w:t>
            </w:r>
            <w:r w:rsidR="00831C8F" w:rsidRPr="00F02D69">
              <w:rPr>
                <w:rFonts w:ascii="Arial" w:hAnsi="Arial" w:cs="Arial"/>
                <w:iCs/>
                <w:lang w:val="es-ES_tradnl"/>
              </w:rPr>
              <w:t xml:space="preserve"> Entidades Estatales exceptuadas del estatuto general de contratación de la administración pública – Modificación artículo 53 de la Ley 2195 de 2022 – Procedencia de los recursos </w:t>
            </w:r>
          </w:p>
          <w:p w14:paraId="5EDA1CA0" w14:textId="77777777" w:rsidR="006830FE" w:rsidRPr="006830FE" w:rsidRDefault="006830FE" w:rsidP="006830FE">
            <w:pPr>
              <w:jc w:val="both"/>
              <w:rPr>
                <w:rFonts w:ascii="Arial" w:eastAsia="Calibri" w:hAnsi="Arial" w:cs="Arial"/>
                <w:bCs/>
                <w:color w:val="000000"/>
                <w:lang w:val="es-ES_tradnl"/>
              </w:rPr>
            </w:pPr>
          </w:p>
          <w:p w14:paraId="70891E28" w14:textId="77777777" w:rsidR="006830FE" w:rsidRPr="006830FE" w:rsidRDefault="006830FE" w:rsidP="006830FE">
            <w:pPr>
              <w:jc w:val="both"/>
              <w:rPr>
                <w:rFonts w:ascii="Arial" w:eastAsia="Calibri" w:hAnsi="Arial" w:cs="Arial"/>
              </w:rPr>
            </w:pPr>
          </w:p>
        </w:tc>
      </w:tr>
      <w:tr w:rsidR="006830FE" w:rsidRPr="006830FE" w14:paraId="1F031BF3" w14:textId="77777777">
        <w:trPr>
          <w:trHeight w:val="239"/>
        </w:trPr>
        <w:tc>
          <w:tcPr>
            <w:tcW w:w="2689" w:type="dxa"/>
          </w:tcPr>
          <w:p w14:paraId="3B8092D2" w14:textId="77777777" w:rsidR="006830FE" w:rsidRPr="006830FE" w:rsidRDefault="006830FE" w:rsidP="006830FE">
            <w:pPr>
              <w:rPr>
                <w:rFonts w:ascii="Arial" w:eastAsia="Calibri" w:hAnsi="Arial" w:cs="Arial"/>
                <w:b/>
                <w:lang w:val="es-ES_tradnl"/>
              </w:rPr>
            </w:pPr>
            <w:r w:rsidRPr="006830FE">
              <w:rPr>
                <w:rFonts w:ascii="Arial" w:eastAsia="Calibri" w:hAnsi="Arial" w:cs="Arial"/>
                <w:b/>
                <w:lang w:val="es-ES_tradnl"/>
              </w:rPr>
              <w:t>Radicación:</w:t>
            </w:r>
            <w:r w:rsidRPr="006830FE">
              <w:rPr>
                <w:rFonts w:ascii="Arial" w:eastAsia="Calibri" w:hAnsi="Arial" w:cs="Arial"/>
                <w:lang w:val="es-ES_tradnl"/>
              </w:rPr>
              <w:t xml:space="preserve">                              </w:t>
            </w:r>
          </w:p>
        </w:tc>
        <w:tc>
          <w:tcPr>
            <w:tcW w:w="6237" w:type="dxa"/>
          </w:tcPr>
          <w:p w14:paraId="4E8D5502" w14:textId="77777777" w:rsidR="006830FE" w:rsidRPr="006830FE" w:rsidRDefault="006830FE" w:rsidP="006830FE">
            <w:pPr>
              <w:jc w:val="both"/>
              <w:rPr>
                <w:rFonts w:ascii="Arial" w:eastAsia="Calibri" w:hAnsi="Arial" w:cs="Arial"/>
                <w:lang w:val="es-ES_tradnl"/>
              </w:rPr>
            </w:pPr>
            <w:r w:rsidRPr="006830FE">
              <w:rPr>
                <w:rFonts w:ascii="Arial" w:eastAsia="Calibri" w:hAnsi="Arial" w:cs="Arial"/>
                <w:lang w:val="es-ES_tradnl"/>
              </w:rPr>
              <w:t>Respuesta a consulta # P20230130000790</w:t>
            </w:r>
            <w:r w:rsidRPr="006830FE">
              <w:rPr>
                <w:rFonts w:ascii="Arial" w:eastAsia="Calibri" w:hAnsi="Arial" w:cs="Arial"/>
                <w:lang w:val="es-ES_tradnl"/>
              </w:rPr>
              <w:tab/>
            </w:r>
          </w:p>
        </w:tc>
      </w:tr>
    </w:tbl>
    <w:p w14:paraId="5553F42C" w14:textId="77777777" w:rsidR="006830FE" w:rsidRPr="006830FE" w:rsidRDefault="006830FE" w:rsidP="006830FE">
      <w:pPr>
        <w:spacing w:after="0" w:line="240" w:lineRule="auto"/>
        <w:contextualSpacing/>
        <w:jc w:val="both"/>
        <w:rPr>
          <w:rFonts w:ascii="Arial" w:eastAsia="Calibri" w:hAnsi="Arial" w:cs="Arial"/>
          <w:lang w:val="es-ES_tradnl"/>
        </w:rPr>
      </w:pPr>
    </w:p>
    <w:p w14:paraId="10CB0CFC" w14:textId="77777777" w:rsidR="006830FE" w:rsidRPr="006830FE" w:rsidRDefault="006830FE" w:rsidP="006830FE">
      <w:pPr>
        <w:spacing w:after="0" w:line="240" w:lineRule="auto"/>
        <w:contextualSpacing/>
        <w:rPr>
          <w:rFonts w:ascii="Arial" w:eastAsia="Calibri" w:hAnsi="Arial" w:cs="Arial"/>
          <w:lang w:val="es-ES_tradnl"/>
        </w:rPr>
      </w:pPr>
    </w:p>
    <w:p w14:paraId="58BDE095" w14:textId="77777777" w:rsidR="006830FE" w:rsidRPr="006830FE" w:rsidRDefault="006830FE" w:rsidP="006B5F16">
      <w:pPr>
        <w:spacing w:after="0" w:line="276" w:lineRule="auto"/>
        <w:contextualSpacing/>
        <w:rPr>
          <w:rFonts w:ascii="Arial" w:eastAsia="Calibri" w:hAnsi="Arial" w:cs="Arial"/>
          <w:lang w:val="es-ES_tradnl"/>
        </w:rPr>
      </w:pPr>
      <w:r w:rsidRPr="006830FE">
        <w:rPr>
          <w:rFonts w:ascii="Arial" w:eastAsia="Calibri" w:hAnsi="Arial" w:cs="Arial"/>
          <w:lang w:val="es-ES_tradnl"/>
        </w:rPr>
        <w:t>Estimada señora Montenegro:</w:t>
      </w:r>
    </w:p>
    <w:p w14:paraId="075DA773" w14:textId="77777777" w:rsidR="006830FE" w:rsidRPr="006830FE" w:rsidRDefault="006830FE" w:rsidP="00C02E91">
      <w:pPr>
        <w:spacing w:after="0" w:line="276" w:lineRule="auto"/>
        <w:jc w:val="both"/>
        <w:rPr>
          <w:rFonts w:ascii="Arial" w:eastAsia="Calibri" w:hAnsi="Arial" w:cs="Arial"/>
          <w:lang w:val="es-ES_tradnl"/>
        </w:rPr>
      </w:pPr>
    </w:p>
    <w:p w14:paraId="2EED88CC" w14:textId="68F6F282" w:rsidR="006830FE" w:rsidRPr="006830FE" w:rsidRDefault="006830FE" w:rsidP="006B5F16">
      <w:pPr>
        <w:spacing w:after="0" w:line="276" w:lineRule="auto"/>
        <w:ind w:right="51"/>
        <w:contextualSpacing/>
        <w:jc w:val="both"/>
        <w:rPr>
          <w:rFonts w:ascii="Arial" w:eastAsia="Calibri" w:hAnsi="Arial" w:cs="Arial"/>
          <w:lang w:val="es-ES_tradnl"/>
        </w:rPr>
      </w:pPr>
      <w:r w:rsidRPr="006830FE">
        <w:rPr>
          <w:rFonts w:ascii="Arial" w:eastAsia="Calibri" w:hAnsi="Arial" w:cs="Arial"/>
          <w:lang w:val="es-ES_tradnl"/>
        </w:rPr>
        <w:t>En ejercicio de la competencia otorgada por el numeral 8 del artículo 11 y el numeral 5 del artículo 3 del Decreto Ley 4170 de 2011</w:t>
      </w:r>
      <w:r w:rsidRPr="006830FE">
        <w:rPr>
          <w:rFonts w:ascii="Arial" w:eastAsia="Arial MT" w:hAnsi="Arial" w:cs="Arial"/>
          <w:lang w:val="es-ES"/>
        </w:rPr>
        <w:t>, l</w:t>
      </w:r>
      <w:r w:rsidRPr="006830FE">
        <w:rPr>
          <w:rFonts w:ascii="Arial" w:eastAsia="Calibri" w:hAnsi="Arial" w:cs="Arial"/>
          <w:lang w:val="es-ES_tradnl"/>
        </w:rPr>
        <w:t xml:space="preserve">a Agencia Nacional de Contratación Pública – Colombia Compra Eficiente responde su consulta radicada el 30 de enero de 2023. </w:t>
      </w:r>
    </w:p>
    <w:p w14:paraId="69A5BF6A" w14:textId="77777777" w:rsidR="006830FE" w:rsidRPr="006830FE" w:rsidRDefault="006830FE" w:rsidP="006B5F16">
      <w:pPr>
        <w:tabs>
          <w:tab w:val="left" w:pos="284"/>
        </w:tabs>
        <w:spacing w:after="0" w:line="276" w:lineRule="auto"/>
        <w:contextualSpacing/>
        <w:jc w:val="both"/>
        <w:rPr>
          <w:rFonts w:ascii="Arial" w:eastAsia="Calibri" w:hAnsi="Arial" w:cs="Arial"/>
          <w:lang w:val="es-ES_tradnl"/>
        </w:rPr>
      </w:pPr>
    </w:p>
    <w:p w14:paraId="16AD4663" w14:textId="77777777" w:rsidR="006830FE" w:rsidRPr="006830FE" w:rsidRDefault="006830FE" w:rsidP="006830FE">
      <w:pPr>
        <w:tabs>
          <w:tab w:val="left" w:pos="284"/>
        </w:tabs>
        <w:spacing w:after="0" w:line="276" w:lineRule="auto"/>
        <w:contextualSpacing/>
        <w:jc w:val="both"/>
        <w:rPr>
          <w:rFonts w:ascii="Arial" w:eastAsia="Calibri" w:hAnsi="Arial" w:cs="Arial"/>
          <w:b/>
          <w:lang w:val="es-ES_tradnl"/>
        </w:rPr>
      </w:pPr>
      <w:r w:rsidRPr="006830FE">
        <w:rPr>
          <w:rFonts w:ascii="Arial" w:eastAsia="Calibri" w:hAnsi="Arial" w:cs="Arial"/>
          <w:b/>
          <w:lang w:val="es-ES_tradnl"/>
        </w:rPr>
        <w:t>1.</w:t>
      </w:r>
      <w:r w:rsidRPr="006830FE">
        <w:rPr>
          <w:rFonts w:ascii="Arial" w:eastAsia="Calibri" w:hAnsi="Arial" w:cs="Arial"/>
          <w:lang w:val="es-ES_tradnl"/>
        </w:rPr>
        <w:t xml:space="preserve"> </w:t>
      </w:r>
      <w:r w:rsidRPr="006830FE">
        <w:rPr>
          <w:rFonts w:ascii="Arial" w:eastAsia="Calibri" w:hAnsi="Arial" w:cs="Arial"/>
          <w:b/>
          <w:lang w:val="es-ES_tradnl"/>
        </w:rPr>
        <w:t xml:space="preserve">Problema planteado </w:t>
      </w:r>
    </w:p>
    <w:p w14:paraId="107207A1" w14:textId="77777777" w:rsidR="006830FE" w:rsidRPr="006830FE" w:rsidRDefault="006830FE" w:rsidP="006830FE">
      <w:pPr>
        <w:tabs>
          <w:tab w:val="left" w:pos="284"/>
        </w:tabs>
        <w:spacing w:after="0" w:line="276" w:lineRule="auto"/>
        <w:contextualSpacing/>
        <w:jc w:val="both"/>
        <w:rPr>
          <w:rFonts w:ascii="Arial" w:eastAsia="Calibri" w:hAnsi="Arial" w:cs="Arial"/>
          <w:b/>
          <w:lang w:val="es-ES_tradnl"/>
        </w:rPr>
      </w:pPr>
    </w:p>
    <w:p w14:paraId="019B5FCB" w14:textId="64C2589D" w:rsidR="006830FE" w:rsidRPr="006830FE" w:rsidRDefault="006830FE" w:rsidP="006830FE">
      <w:pPr>
        <w:spacing w:after="0" w:line="276" w:lineRule="auto"/>
        <w:jc w:val="both"/>
        <w:rPr>
          <w:rFonts w:ascii="Arial" w:eastAsia="Calibri" w:hAnsi="Arial" w:cs="Arial"/>
          <w:color w:val="000000"/>
          <w:lang w:val="es-ES_tradnl"/>
        </w:rPr>
      </w:pPr>
      <w:r w:rsidRPr="006830FE">
        <w:rPr>
          <w:rFonts w:ascii="Arial" w:eastAsia="Calibri" w:hAnsi="Arial" w:cs="Arial"/>
          <w:color w:val="000000"/>
          <w:lang w:val="es-ES_tradnl"/>
        </w:rPr>
        <w:lastRenderedPageBreak/>
        <w:t>El peticionario planteó</w:t>
      </w:r>
      <w:r w:rsidR="004B2D3B">
        <w:rPr>
          <w:rFonts w:ascii="Arial" w:eastAsia="Calibri" w:hAnsi="Arial" w:cs="Arial"/>
          <w:color w:val="000000"/>
          <w:lang w:val="es-ES_tradnl"/>
        </w:rPr>
        <w:t xml:space="preserve"> los siguientes</w:t>
      </w:r>
      <w:r w:rsidRPr="006830FE">
        <w:rPr>
          <w:rFonts w:ascii="Arial" w:eastAsia="Calibri" w:hAnsi="Arial" w:cs="Arial"/>
          <w:color w:val="000000"/>
          <w:lang w:val="es-ES_tradnl"/>
        </w:rPr>
        <w:t xml:space="preserve"> interrogantes relacionados con la obligatoriedad de publicación en el Sistema Electrónico para la Contratación Pública –SECOP– por parte de las Empresas Prestadoras de Servicios Públicos Domiciliarios:</w:t>
      </w:r>
    </w:p>
    <w:p w14:paraId="40B699FB" w14:textId="77777777" w:rsidR="006830FE" w:rsidRPr="006830FE" w:rsidRDefault="006830FE" w:rsidP="006830FE">
      <w:pPr>
        <w:spacing w:after="0" w:line="276" w:lineRule="auto"/>
        <w:jc w:val="both"/>
        <w:rPr>
          <w:rFonts w:ascii="Arial" w:eastAsia="Calibri" w:hAnsi="Arial" w:cs="Arial"/>
          <w:lang w:val="es-ES_tradnl"/>
        </w:rPr>
      </w:pPr>
    </w:p>
    <w:p w14:paraId="383E049B" w14:textId="44B2E2EA" w:rsidR="006830FE" w:rsidRPr="006830FE" w:rsidRDefault="006830FE" w:rsidP="006830FE">
      <w:pPr>
        <w:spacing w:after="0" w:line="240" w:lineRule="auto"/>
        <w:ind w:left="709" w:right="709"/>
        <w:jc w:val="both"/>
        <w:rPr>
          <w:rFonts w:ascii="Arial" w:eastAsia="Calibri" w:hAnsi="Arial" w:cs="Arial"/>
          <w:sz w:val="21"/>
          <w:szCs w:val="21"/>
          <w:lang w:val="es-MX"/>
        </w:rPr>
      </w:pPr>
      <w:bookmarkStart w:id="2" w:name="_Hlk117585473"/>
      <w:r w:rsidRPr="006830FE">
        <w:rPr>
          <w:rFonts w:ascii="Arial" w:eastAsia="Calibri" w:hAnsi="Arial" w:cs="Arial"/>
          <w:sz w:val="21"/>
          <w:szCs w:val="21"/>
          <w:lang w:val="es-MX"/>
        </w:rPr>
        <w:t>«[…]</w:t>
      </w:r>
      <w:r w:rsidRPr="006830FE">
        <w:rPr>
          <w:rFonts w:ascii="Arial" w:eastAsia="Calibri" w:hAnsi="Arial" w:cs="Arial"/>
          <w:sz w:val="24"/>
          <w:lang w:val="es-MX"/>
        </w:rPr>
        <w:t xml:space="preserve"> </w:t>
      </w:r>
      <w:r w:rsidRPr="006830FE">
        <w:rPr>
          <w:rFonts w:ascii="Arial" w:eastAsia="Calibri" w:hAnsi="Arial" w:cs="Arial"/>
          <w:sz w:val="21"/>
          <w:szCs w:val="21"/>
          <w:lang w:val="es-MX"/>
        </w:rPr>
        <w:t>si los contratos de servicios públicos como el de aseo (recolección, transporte, disposición final transferencia), energía o agua que deben pagar las administraciones municipales deben ser cargados al SECOP II. La empresa para la que trabajo es una empresa privada 100% que presta el servicio público domiciliario de aseo en varios municipios, (ley 142 de 1994) y prestamos el servicio de disposición final de residuos para algunos municipios, ellos llevan los residuos a nuestro relleno sanitario que es de carácter regional, sin embargo nos están exigiendo que debemos cargar documentación al SECOP II cuando esto nunca se ha hecho, pues no nos rige la ley 80 sino que nos cobija la ley 142 de 1994, ley especial de servicios públicos domiciliarios. Razón por la cual elevo esta consulta, agradezco su atención quedo pendiente a sus comentarios»</w:t>
      </w:r>
      <w:r w:rsidR="00821CDC">
        <w:rPr>
          <w:rFonts w:ascii="Arial" w:eastAsia="Calibri" w:hAnsi="Arial" w:cs="Arial"/>
          <w:sz w:val="21"/>
          <w:szCs w:val="21"/>
          <w:lang w:val="es-MX"/>
        </w:rPr>
        <w:t xml:space="preserve"> (sic).</w:t>
      </w:r>
    </w:p>
    <w:bookmarkEnd w:id="2"/>
    <w:p w14:paraId="3E438C1F" w14:textId="77777777" w:rsidR="006830FE" w:rsidRPr="006830FE" w:rsidRDefault="006830FE" w:rsidP="006830FE">
      <w:pPr>
        <w:spacing w:after="0" w:line="276" w:lineRule="auto"/>
        <w:jc w:val="both"/>
        <w:rPr>
          <w:rFonts w:ascii="Arial" w:eastAsia="Calibri" w:hAnsi="Arial" w:cs="Arial"/>
          <w:lang w:val="es-ES_tradnl"/>
        </w:rPr>
      </w:pPr>
    </w:p>
    <w:p w14:paraId="4063449F" w14:textId="77777777" w:rsidR="006830FE" w:rsidRPr="006830FE" w:rsidRDefault="006830FE" w:rsidP="006830FE">
      <w:pPr>
        <w:tabs>
          <w:tab w:val="left" w:pos="426"/>
        </w:tabs>
        <w:spacing w:after="0" w:line="276" w:lineRule="auto"/>
        <w:jc w:val="both"/>
        <w:rPr>
          <w:rFonts w:ascii="Arial" w:eastAsia="Calibri" w:hAnsi="Arial" w:cs="Arial"/>
          <w:b/>
          <w:lang w:val="es-ES_tradnl"/>
        </w:rPr>
      </w:pPr>
      <w:r w:rsidRPr="006830FE">
        <w:rPr>
          <w:rFonts w:ascii="Arial" w:eastAsia="Calibri" w:hAnsi="Arial" w:cs="Arial"/>
          <w:b/>
          <w:lang w:val="es-ES_tradnl"/>
        </w:rPr>
        <w:t>2.</w:t>
      </w:r>
      <w:r w:rsidRPr="006830FE">
        <w:rPr>
          <w:rFonts w:ascii="Arial" w:eastAsia="Calibri" w:hAnsi="Arial" w:cs="Arial"/>
          <w:lang w:val="es-ES_tradnl"/>
        </w:rPr>
        <w:t xml:space="preserve"> </w:t>
      </w:r>
      <w:r w:rsidRPr="006830FE">
        <w:rPr>
          <w:rFonts w:ascii="Arial" w:eastAsia="Calibri" w:hAnsi="Arial" w:cs="Arial"/>
          <w:b/>
          <w:lang w:val="es-ES_tradnl"/>
        </w:rPr>
        <w:t>Consideraciones</w:t>
      </w:r>
    </w:p>
    <w:p w14:paraId="3B4C6CEA" w14:textId="77777777" w:rsidR="006830FE" w:rsidRPr="006830FE" w:rsidRDefault="006830FE" w:rsidP="006830FE">
      <w:pPr>
        <w:spacing w:after="0" w:line="276" w:lineRule="auto"/>
        <w:jc w:val="both"/>
        <w:rPr>
          <w:rFonts w:ascii="Arial" w:eastAsia="Calibri" w:hAnsi="Arial" w:cs="Arial"/>
          <w:color w:val="000000"/>
          <w:lang w:val="es-ES_tradnl"/>
        </w:rPr>
      </w:pPr>
    </w:p>
    <w:p w14:paraId="284A5648" w14:textId="3AE79413" w:rsidR="006830FE" w:rsidRPr="006830FE" w:rsidRDefault="006830FE" w:rsidP="00C02E91">
      <w:pPr>
        <w:spacing w:after="120" w:line="276" w:lineRule="auto"/>
        <w:jc w:val="both"/>
        <w:rPr>
          <w:rFonts w:ascii="Arial" w:eastAsia="Calibri" w:hAnsi="Arial" w:cs="Arial"/>
          <w:bCs/>
          <w:lang w:val="es-MX"/>
        </w:rPr>
      </w:pPr>
      <w:r w:rsidRPr="006830FE">
        <w:rPr>
          <w:rFonts w:ascii="Arial" w:eastAsia="Calibri" w:hAnsi="Arial" w:cs="Arial"/>
          <w:color w:val="000000"/>
          <w:lang w:val="es-MX"/>
        </w:rPr>
        <w:t>E</w:t>
      </w:r>
      <w:r w:rsidRPr="006830FE">
        <w:rPr>
          <w:rFonts w:ascii="Arial" w:eastAsia="Calibri" w:hAnsi="Arial" w:cs="Arial"/>
          <w:bCs/>
          <w:lang w:val="es-MX"/>
        </w:rPr>
        <w:t xml:space="preserve">n ejercicio de las competencias establecidas en los artículos 3.5 y 11.8 del Decreto </w:t>
      </w:r>
      <w:r w:rsidR="000A11B7">
        <w:rPr>
          <w:rFonts w:ascii="Arial" w:eastAsia="Calibri" w:hAnsi="Arial" w:cs="Arial"/>
          <w:bCs/>
          <w:lang w:val="es-MX"/>
        </w:rPr>
        <w:t xml:space="preserve">Ley </w:t>
      </w:r>
      <w:r w:rsidRPr="006830FE">
        <w:rPr>
          <w:rFonts w:ascii="Arial" w:eastAsia="Calibri" w:hAnsi="Arial" w:cs="Arial"/>
          <w:bCs/>
          <w:lang w:val="es-MX"/>
        </w:rPr>
        <w:t>4170 de 2011, la Agencia Nacional de Contratación Pública – Colombia Compra Eficiente resuelve las consultas sobre los asuntos de su competencia, esto es, sobre las temáticas de la contratación estatal y compras públicas relacionadas en los artículos citados.</w:t>
      </w:r>
      <w:r w:rsidR="009D6D41">
        <w:rPr>
          <w:rFonts w:ascii="Arial" w:eastAsia="Calibri" w:hAnsi="Arial" w:cs="Arial"/>
          <w:bCs/>
          <w:lang w:val="es-MX"/>
        </w:rPr>
        <w:t xml:space="preserve"> </w:t>
      </w:r>
      <w:r w:rsidRPr="006830FE">
        <w:rPr>
          <w:rFonts w:ascii="Arial" w:eastAsia="Calibri" w:hAnsi="Arial" w:cs="Arial"/>
          <w:bCs/>
          <w:lang w:val="es-MX"/>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46DCC23A" w14:textId="77777777"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02E91">
        <w:rPr>
          <w:rFonts w:ascii="Arial" w:eastAsia="Calibri" w:hAnsi="Arial" w:cs="Arial"/>
          <w:bCs/>
          <w:vertAlign w:val="superscript"/>
          <w:lang w:val="es-MX"/>
        </w:rPr>
        <w:footnoteReference w:id="2"/>
      </w:r>
      <w:r w:rsidRPr="006830FE">
        <w:rPr>
          <w:rFonts w:ascii="Arial" w:eastAsia="Calibri" w:hAnsi="Arial" w:cs="Arial"/>
          <w:bCs/>
          <w:lang w:val="es-MX"/>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w:t>
      </w:r>
      <w:r w:rsidRPr="006830FE">
        <w:rPr>
          <w:rFonts w:ascii="Arial" w:eastAsia="Calibri" w:hAnsi="Arial" w:cs="Arial"/>
          <w:bCs/>
          <w:lang w:val="es-MX"/>
        </w:rPr>
        <w:lastRenderedPageBreak/>
        <w:t xml:space="preserve">actuación administrativa, es necesario acceder al expediente y a los documentos del procedimiento contractual donde surge la inquietud. </w:t>
      </w:r>
    </w:p>
    <w:p w14:paraId="1E13FC25" w14:textId="14565091" w:rsidR="006830FE" w:rsidRPr="006830FE" w:rsidRDefault="006830FE" w:rsidP="00C02E91">
      <w:pPr>
        <w:spacing w:after="120" w:line="276" w:lineRule="auto"/>
        <w:ind w:firstLine="708"/>
        <w:jc w:val="both"/>
        <w:rPr>
          <w:rFonts w:ascii="Arial" w:eastAsia="Calibri" w:hAnsi="Arial" w:cs="Arial"/>
          <w:bCs/>
          <w:lang w:val="es-MX"/>
        </w:rPr>
      </w:pPr>
      <w:r w:rsidRPr="006830FE">
        <w:rPr>
          <w:rFonts w:ascii="Arial" w:eastAsia="Calibri" w:hAnsi="Arial" w:cs="Arial"/>
          <w:bCs/>
          <w:lang w:val="es-MX"/>
        </w:rPr>
        <w:t>De conformidad con lo anterior, la Subdirección de Gestión Contractual –dentro de los límites de sus atribuciones</w:t>
      </w:r>
      <w:r w:rsidR="00C7508D">
        <w:rPr>
          <w:rFonts w:ascii="Arial" w:eastAsia="Calibri" w:hAnsi="Arial" w:cs="Arial"/>
          <w:bCs/>
          <w:lang w:val="es-MX"/>
        </w:rPr>
        <w:t xml:space="preserve">, esto es, haciendo abstracción del caso </w:t>
      </w:r>
      <w:r w:rsidR="007304DF">
        <w:rPr>
          <w:rFonts w:ascii="Arial" w:eastAsia="Calibri" w:hAnsi="Arial" w:cs="Arial"/>
          <w:bCs/>
          <w:lang w:val="es-MX"/>
        </w:rPr>
        <w:t xml:space="preserve">particular expuesto por el peticionario </w:t>
      </w:r>
      <w:r w:rsidRPr="006830FE">
        <w:rPr>
          <w:rFonts w:ascii="Arial" w:eastAsia="Calibri" w:hAnsi="Arial" w:cs="Arial"/>
          <w:bCs/>
          <w:lang w:val="es-MX"/>
        </w:rPr>
        <w:t xml:space="preserve">– resolverá la consulta conforme a las normas generales en materia de contratación estatal. Con este objetivo se analizarán los siguientes temas: i) naturaleza jurídica de las Empresas Prestadoras de Servicios Públicos Domiciliarios; </w:t>
      </w:r>
      <w:proofErr w:type="spellStart"/>
      <w:r w:rsidRPr="006830FE">
        <w:rPr>
          <w:rFonts w:ascii="Arial" w:eastAsia="Calibri" w:hAnsi="Arial" w:cs="Arial"/>
          <w:bCs/>
          <w:lang w:val="es-MX"/>
        </w:rPr>
        <w:t>ii</w:t>
      </w:r>
      <w:proofErr w:type="spellEnd"/>
      <w:r w:rsidRPr="006830FE">
        <w:rPr>
          <w:rFonts w:ascii="Arial" w:eastAsia="Calibri" w:hAnsi="Arial" w:cs="Arial"/>
          <w:bCs/>
          <w:lang w:val="es-MX"/>
        </w:rPr>
        <w:t xml:space="preserve">) régimen contractual de las Empresas Prestadoras de Servicios Públicos Domiciliarios. Situaciones de aplicabilidad de la Ley 80 de 1993; </w:t>
      </w:r>
      <w:proofErr w:type="spellStart"/>
      <w:r w:rsidRPr="006830FE">
        <w:rPr>
          <w:rFonts w:ascii="Arial" w:eastAsia="Calibri" w:hAnsi="Arial" w:cs="Arial"/>
          <w:bCs/>
          <w:lang w:val="es-MX"/>
        </w:rPr>
        <w:t>iii</w:t>
      </w:r>
      <w:proofErr w:type="spellEnd"/>
      <w:r w:rsidRPr="006830FE">
        <w:rPr>
          <w:rFonts w:ascii="Arial" w:eastAsia="Calibri" w:hAnsi="Arial" w:cs="Arial"/>
          <w:bCs/>
          <w:lang w:val="es-MX"/>
        </w:rPr>
        <w:t xml:space="preserve">) deber de las entidades estatales exceptuadas del Estatuto General de Contratación de la Administración Pública de publicar los documentos relacionados con su actividad contractual en el SECOP II y; </w:t>
      </w:r>
      <w:proofErr w:type="spellStart"/>
      <w:r w:rsidRPr="006830FE">
        <w:rPr>
          <w:rFonts w:ascii="Arial" w:eastAsia="Calibri" w:hAnsi="Arial" w:cs="Arial"/>
          <w:bCs/>
          <w:lang w:val="es-MX"/>
        </w:rPr>
        <w:t>iv</w:t>
      </w:r>
      <w:proofErr w:type="spellEnd"/>
      <w:r w:rsidRPr="006830FE">
        <w:rPr>
          <w:rFonts w:ascii="Arial" w:eastAsia="Calibri" w:hAnsi="Arial" w:cs="Arial"/>
          <w:bCs/>
          <w:lang w:val="es-MX"/>
        </w:rPr>
        <w:t>) Uso del SECOP II por las entidades exceptuadas del Estatuto General de Contratación de la Administración Pública.</w:t>
      </w:r>
    </w:p>
    <w:p w14:paraId="7FBCDF72" w14:textId="77777777"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La Agencia Nacional de Contratación Pública – Colombia Compra Eficiente se pronunció sobre 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 Así mismo, se pronunció sobre el régimen contractual de los prestadores de servicios públicos domiciliarios en los Conceptos C-027 del 23 de enero de 2020, C-032 del 19 de febrero de 2020, C-157 del 16 de marzo de 2020, el C-147 del 17 de marzo de 2020, C-168 del 31 de marzo de 2020, C-158 del 3 de abril de 2020, C-227 del 7 de abril de 2020, C-362 del 3 de julio de 2020, C-462 del 24 de julio de 2020, C-718 del 17 de diciembre de 2020, C-053 del 9 de marzo de 2021, C-072 del 16 de marzo de 2021, C-077 del 16 de marzo de 2021, C-218 del 14 de mayo de 2021, C-290 del 15 de junio de 2021, C-163 del 29 de marzo de 2022 y C-651 del 07 de octubre de 2022.</w:t>
      </w:r>
    </w:p>
    <w:p w14:paraId="0BD5079C" w14:textId="1D77BC4F" w:rsidR="006830FE" w:rsidRPr="006830FE" w:rsidRDefault="006830FE" w:rsidP="006830FE">
      <w:pPr>
        <w:spacing w:after="0" w:line="276" w:lineRule="auto"/>
        <w:ind w:firstLine="709"/>
        <w:jc w:val="both"/>
        <w:rPr>
          <w:rFonts w:ascii="Arial" w:eastAsia="Calibri" w:hAnsi="Arial" w:cs="Arial"/>
          <w:bCs/>
          <w:lang w:val="es-MX"/>
        </w:rPr>
      </w:pPr>
      <w:r w:rsidRPr="006830FE">
        <w:rPr>
          <w:rFonts w:ascii="Arial" w:eastAsia="Calibri" w:hAnsi="Arial" w:cs="Arial"/>
          <w:bCs/>
          <w:lang w:val="es-MX"/>
        </w:rPr>
        <w:t>Por otro lado, esta entidad se ha pronunciado en diferentes oportunidades respecto a la aplicación los principios de publicidad y de acceso a la información pública en la contratación estatal sus fundamentos normativos y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w:t>
      </w:r>
      <w:r w:rsidR="001D0E9B">
        <w:rPr>
          <w:rFonts w:ascii="Arial" w:eastAsia="Calibri" w:hAnsi="Arial" w:cs="Arial"/>
          <w:bCs/>
          <w:lang w:val="es-MX"/>
        </w:rPr>
        <w:t>,</w:t>
      </w:r>
      <w:r w:rsidRPr="006830FE">
        <w:rPr>
          <w:rFonts w:ascii="Arial" w:eastAsia="Calibri" w:hAnsi="Arial" w:cs="Arial"/>
          <w:bCs/>
          <w:lang w:val="es-MX"/>
        </w:rPr>
        <w:t xml:space="preserv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w:t>
      </w:r>
      <w:r w:rsidRPr="006830FE">
        <w:rPr>
          <w:rFonts w:ascii="Arial" w:eastAsia="Calibri" w:hAnsi="Arial" w:cs="Arial"/>
          <w:bCs/>
          <w:lang w:val="es-MX"/>
        </w:rPr>
        <w:lastRenderedPageBreak/>
        <w:t>de 2022</w:t>
      </w:r>
      <w:r w:rsidR="00A337AF">
        <w:rPr>
          <w:rFonts w:ascii="Arial" w:eastAsia="Calibri" w:hAnsi="Arial" w:cs="Arial"/>
          <w:bCs/>
          <w:lang w:val="es-MX"/>
        </w:rPr>
        <w:t>,</w:t>
      </w:r>
      <w:r w:rsidRPr="006830FE">
        <w:rPr>
          <w:rFonts w:ascii="Arial" w:eastAsia="Calibri" w:hAnsi="Arial" w:cs="Arial"/>
          <w:bCs/>
          <w:lang w:val="es-MX"/>
        </w:rPr>
        <w:t xml:space="preserve"> C-555 del 6 de septiembre de 2022 </w:t>
      </w:r>
      <w:r w:rsidR="005E0E27">
        <w:rPr>
          <w:rFonts w:ascii="Arial" w:eastAsia="Calibri" w:hAnsi="Arial" w:cs="Arial"/>
          <w:bCs/>
          <w:lang w:val="es-MX"/>
        </w:rPr>
        <w:t xml:space="preserve">y </w:t>
      </w:r>
      <w:r w:rsidRPr="006830FE">
        <w:rPr>
          <w:rFonts w:ascii="Arial" w:eastAsia="Calibri" w:hAnsi="Arial" w:cs="Arial"/>
          <w:bCs/>
          <w:lang w:val="es-MX"/>
        </w:rPr>
        <w:t>C- 821 de 29 de noviembre de 2022</w:t>
      </w:r>
      <w:r w:rsidR="00815209" w:rsidRPr="00781AC2">
        <w:rPr>
          <w:rStyle w:val="Refdenotaalpie"/>
          <w:rFonts w:ascii="Arial" w:eastAsia="Calibri" w:hAnsi="Arial" w:cs="Arial"/>
        </w:rPr>
        <w:footnoteReference w:id="3"/>
      </w:r>
      <w:r w:rsidRPr="006830FE">
        <w:rPr>
          <w:rFonts w:ascii="Arial" w:eastAsia="Calibri" w:hAnsi="Arial" w:cs="Arial"/>
          <w:bCs/>
          <w:lang w:val="es-MX"/>
        </w:rPr>
        <w:t xml:space="preserve">. Las tesis expuestas en los anteriores conceptos se reiteran a continuación y se complementan en lo pertinente: </w:t>
      </w:r>
    </w:p>
    <w:p w14:paraId="0691B46E" w14:textId="77777777" w:rsidR="006830FE" w:rsidRPr="006830FE" w:rsidRDefault="006830FE" w:rsidP="006830FE">
      <w:pPr>
        <w:spacing w:after="0" w:line="276" w:lineRule="auto"/>
        <w:contextualSpacing/>
        <w:jc w:val="both"/>
        <w:rPr>
          <w:rFonts w:ascii="Arial" w:eastAsia="Calibri" w:hAnsi="Arial" w:cs="Arial"/>
          <w:bCs/>
          <w:lang w:val="es-MX"/>
        </w:rPr>
      </w:pPr>
    </w:p>
    <w:p w14:paraId="1EC3A1C0" w14:textId="77777777" w:rsidR="006830FE" w:rsidRPr="006830FE" w:rsidRDefault="006830FE" w:rsidP="006830FE">
      <w:pPr>
        <w:spacing w:after="0" w:line="276" w:lineRule="auto"/>
        <w:contextualSpacing/>
        <w:jc w:val="both"/>
        <w:rPr>
          <w:rFonts w:ascii="Arial" w:eastAsia="Calibri" w:hAnsi="Arial" w:cs="Arial"/>
          <w:b/>
          <w:lang w:val="es-MX"/>
        </w:rPr>
      </w:pPr>
      <w:r w:rsidRPr="006830FE">
        <w:rPr>
          <w:rFonts w:ascii="Arial" w:eastAsia="Calibri" w:hAnsi="Arial" w:cs="Arial"/>
          <w:b/>
          <w:lang w:val="es-MX"/>
        </w:rPr>
        <w:t>2.1. Naturaleza jurídica de las Empresas Prestadoras de Servicios Públicos Domiciliarios</w:t>
      </w:r>
    </w:p>
    <w:p w14:paraId="522108A8" w14:textId="77777777" w:rsidR="006830FE" w:rsidRPr="006830FE" w:rsidRDefault="006830FE" w:rsidP="006830FE">
      <w:pPr>
        <w:spacing w:after="0" w:line="276" w:lineRule="auto"/>
        <w:contextualSpacing/>
        <w:jc w:val="both"/>
        <w:rPr>
          <w:rFonts w:ascii="Arial" w:eastAsia="Calibri" w:hAnsi="Arial" w:cs="Arial"/>
          <w:bCs/>
          <w:lang w:val="es-MX"/>
        </w:rPr>
      </w:pPr>
    </w:p>
    <w:p w14:paraId="585600ED" w14:textId="77777777" w:rsidR="006830FE" w:rsidRPr="006830FE" w:rsidRDefault="006830FE" w:rsidP="006830FE">
      <w:pPr>
        <w:spacing w:after="0" w:line="276" w:lineRule="auto"/>
        <w:contextualSpacing/>
        <w:jc w:val="both"/>
        <w:rPr>
          <w:rFonts w:ascii="Arial" w:eastAsia="Calibri" w:hAnsi="Arial" w:cs="Arial"/>
          <w:bCs/>
          <w:lang w:val="es-MX"/>
        </w:rPr>
      </w:pPr>
      <w:r w:rsidRPr="006830FE">
        <w:rPr>
          <w:rFonts w:ascii="Arial" w:eastAsia="Calibri" w:hAnsi="Arial" w:cs="Arial"/>
          <w:bCs/>
          <w:lang w:val="es-MX"/>
        </w:rPr>
        <w:t>El artículo 14 de la Ley 142 de 1994 contiene las definiciones para la correcta aplicación e interpretación del régimen de servicios públicos domiciliarios. Esta norma define las empresas de servicios públicos oficial, mixta y privada en los siguientes términos:</w:t>
      </w:r>
    </w:p>
    <w:p w14:paraId="766E7383" w14:textId="77777777" w:rsidR="006830FE" w:rsidRPr="006830FE" w:rsidRDefault="006830FE" w:rsidP="006830FE">
      <w:pPr>
        <w:spacing w:after="0" w:line="276" w:lineRule="auto"/>
        <w:contextualSpacing/>
        <w:rPr>
          <w:rFonts w:ascii="Arial" w:eastAsia="Calibri" w:hAnsi="Arial" w:cs="Arial"/>
          <w:bCs/>
          <w:lang w:val="es-MX"/>
        </w:rPr>
      </w:pPr>
    </w:p>
    <w:p w14:paraId="06526C9E"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“14.5. Empresa de servicios públicos oficial. Es aquella en cuyo capital la Nación, las entidades territoriales, o las entidades descentralizadas de aquella o estas tienen el 100% de los aportes.</w:t>
      </w:r>
    </w:p>
    <w:p w14:paraId="231D9EF9"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42688B6D"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14.6. Empresa de servicios públicos mixta. Es aquella en cuyo capital la Nación, las entidades territoriales, o las entidades descentralizadas de aquella o éstas tienen aportes iguales o superiores al 50%. </w:t>
      </w:r>
    </w:p>
    <w:p w14:paraId="3FB9ADB0"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514911A7"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7B370FE7" w14:textId="77777777" w:rsidR="006830FE" w:rsidRPr="006830FE" w:rsidRDefault="006830FE" w:rsidP="00C02E91">
      <w:pPr>
        <w:spacing w:after="0" w:line="276" w:lineRule="auto"/>
        <w:rPr>
          <w:rFonts w:ascii="Arial" w:eastAsia="Calibri" w:hAnsi="Arial" w:cs="Arial"/>
          <w:bCs/>
          <w:lang w:val="es-MX"/>
        </w:rPr>
      </w:pPr>
    </w:p>
    <w:p w14:paraId="0A6A01C3" w14:textId="68CBDA07" w:rsidR="006830FE" w:rsidRPr="006830FE" w:rsidRDefault="006830FE" w:rsidP="00C02E91">
      <w:pPr>
        <w:spacing w:after="120" w:line="276" w:lineRule="auto"/>
        <w:ind w:firstLine="708"/>
        <w:jc w:val="both"/>
        <w:rPr>
          <w:rFonts w:ascii="Arial" w:eastAsia="Calibri" w:hAnsi="Arial" w:cs="Arial"/>
          <w:bCs/>
          <w:lang w:val="es-MX"/>
        </w:rPr>
      </w:pPr>
      <w:r w:rsidRPr="006830FE">
        <w:rPr>
          <w:rFonts w:ascii="Arial" w:eastAsia="Calibri" w:hAnsi="Arial" w:cs="Arial"/>
          <w:bCs/>
          <w:lang w:val="es-MX"/>
        </w:rPr>
        <w:t xml:space="preserve">A su vez, el artículo 17 de la citada Ley señala que </w:t>
      </w:r>
      <w:r w:rsidR="00E632E1">
        <w:rPr>
          <w:rFonts w:ascii="Arial" w:eastAsia="Calibri" w:hAnsi="Arial" w:cs="Arial"/>
          <w:bCs/>
          <w:lang w:val="es-MX"/>
        </w:rPr>
        <w:t>“</w:t>
      </w:r>
      <w:r w:rsidRPr="006830FE">
        <w:rPr>
          <w:rFonts w:ascii="Arial" w:eastAsia="Calibri" w:hAnsi="Arial" w:cs="Arial"/>
          <w:bCs/>
          <w:lang w:val="es-MX"/>
        </w:rPr>
        <w:t>las empresas de servicios públicos son sociedades por acciones cuyo objeto es la prestación de los servicios públicos de que trata esta ley</w:t>
      </w:r>
      <w:r w:rsidR="00E632E1">
        <w:rPr>
          <w:rFonts w:ascii="Arial" w:eastAsia="Calibri" w:hAnsi="Arial" w:cs="Arial"/>
          <w:bCs/>
          <w:lang w:val="es-MX"/>
        </w:rPr>
        <w:t>”</w:t>
      </w:r>
      <w:r w:rsidR="00E632E1" w:rsidRPr="006830FE">
        <w:rPr>
          <w:rFonts w:ascii="Arial" w:eastAsia="Calibri" w:hAnsi="Arial" w:cs="Arial"/>
          <w:bCs/>
          <w:lang w:val="es-MX"/>
        </w:rPr>
        <w:t xml:space="preserve">. </w:t>
      </w:r>
      <w:r w:rsidRPr="006830FE">
        <w:rPr>
          <w:rFonts w:ascii="Arial" w:eastAsia="Calibri" w:hAnsi="Arial" w:cs="Arial"/>
          <w:bCs/>
          <w:lang w:val="es-MX"/>
        </w:rPr>
        <w:t xml:space="preserve">De otro lado, la Ley 489 de 1998 determina la integración de la Rama Ejecutiva del Poder Público en el orden nacional, y en el artículo 38, numeral 2, literal d) señala que las empresas sociales del Estado y las empresas oficiales de servicios públicos domiciliarios pertenecen a las entidades de la Rama Ejecutiva del sector descentralizado por servicios. El artículo 68 </w:t>
      </w:r>
      <w:proofErr w:type="spellStart"/>
      <w:r w:rsidRPr="00C02E91">
        <w:rPr>
          <w:rFonts w:ascii="Arial" w:eastAsia="Calibri" w:hAnsi="Arial" w:cs="Arial"/>
          <w:bCs/>
          <w:i/>
          <w:iCs/>
          <w:lang w:val="es-MX"/>
        </w:rPr>
        <w:t>ibídem</w:t>
      </w:r>
      <w:proofErr w:type="spellEnd"/>
      <w:r w:rsidRPr="006830FE">
        <w:rPr>
          <w:rFonts w:ascii="Arial" w:eastAsia="Calibri" w:hAnsi="Arial" w:cs="Arial"/>
          <w:bCs/>
          <w:lang w:val="es-MX"/>
        </w:rPr>
        <w:t>, al enlistar las entidades descentralizadas del orden nacional, se refirió únicamente a las empresas oficiales de servicios públicos, esto es, aquellas en las que la participación del Estado es del 100%</w:t>
      </w:r>
      <w:r w:rsidRPr="00C02E91">
        <w:rPr>
          <w:rFonts w:ascii="Arial" w:eastAsia="Calibri" w:hAnsi="Arial" w:cs="Arial"/>
          <w:bCs/>
          <w:vertAlign w:val="superscript"/>
          <w:lang w:val="es-MX"/>
        </w:rPr>
        <w:footnoteReference w:id="4"/>
      </w:r>
    </w:p>
    <w:p w14:paraId="1FD25E99" w14:textId="71EC83FD"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lastRenderedPageBreak/>
        <w:t xml:space="preserve">Lo anterior llevó a pensar a las entidades y participes del sistema de compras públicas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numeral 2 de la Ley 489 de 1998 dice en su literal </w:t>
      </w:r>
      <w:r w:rsidR="00FB656C">
        <w:rPr>
          <w:rFonts w:ascii="Arial" w:eastAsia="Calibri" w:hAnsi="Arial" w:cs="Arial"/>
          <w:bCs/>
          <w:lang w:val="es-MX"/>
        </w:rPr>
        <w:t>“</w:t>
      </w:r>
      <w:r w:rsidRPr="006830FE">
        <w:rPr>
          <w:rFonts w:ascii="Arial" w:eastAsia="Calibri" w:hAnsi="Arial" w:cs="Arial"/>
          <w:bCs/>
          <w:lang w:val="es-MX"/>
        </w:rPr>
        <w:t>g) Las demás entidades administrativas nacionales con personería jurídica que cree, organice o autorice la ley para que formen parte de la Rama Ejecutiva del Poder Público</w:t>
      </w:r>
      <w:r w:rsidR="00FB656C">
        <w:rPr>
          <w:rFonts w:ascii="Arial" w:eastAsia="Calibri" w:hAnsi="Arial" w:cs="Arial"/>
          <w:bCs/>
          <w:lang w:val="es-MX"/>
        </w:rPr>
        <w:t>”.</w:t>
      </w:r>
    </w:p>
    <w:p w14:paraId="6483D55E" w14:textId="199076ED" w:rsidR="006830FE" w:rsidRPr="006830FE" w:rsidRDefault="006830FE" w:rsidP="006830FE">
      <w:pPr>
        <w:spacing w:before="120" w:after="0" w:line="276" w:lineRule="auto"/>
        <w:ind w:firstLine="709"/>
        <w:jc w:val="both"/>
        <w:rPr>
          <w:rFonts w:ascii="Arial" w:eastAsia="Calibri" w:hAnsi="Arial" w:cs="Arial"/>
          <w:bCs/>
          <w:lang w:val="es-MX"/>
        </w:rPr>
      </w:pPr>
      <w:r w:rsidRPr="006830FE">
        <w:rPr>
          <w:rFonts w:ascii="Arial" w:eastAsia="Calibri" w:hAnsi="Arial" w:cs="Arial"/>
          <w:bCs/>
          <w:lang w:val="es-MX"/>
        </w:rPr>
        <w:t>La Corte Constitucional, además de señalar la pertenencia a la Rama Ejecutiva de las empresas de servicios públicos mixtas y privadas, sostuvo que se trataba de entidades descentralizadas por servicios, en los términos del artículo 68 de la Ley 489 de 1998:</w:t>
      </w:r>
    </w:p>
    <w:p w14:paraId="309D636C" w14:textId="77777777" w:rsidR="006830FE" w:rsidRPr="006830FE" w:rsidRDefault="006830FE" w:rsidP="006830FE">
      <w:pPr>
        <w:spacing w:after="0" w:line="276" w:lineRule="auto"/>
        <w:contextualSpacing/>
        <w:jc w:val="both"/>
        <w:rPr>
          <w:rFonts w:ascii="Arial" w:eastAsia="Calibri" w:hAnsi="Arial" w:cs="Arial"/>
          <w:bCs/>
          <w:lang w:val="es-MX"/>
        </w:rPr>
      </w:pPr>
    </w:p>
    <w:p w14:paraId="20FBEBC5"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7B90AD9E"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78618A6B"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51082D2C"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41B9C607"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0EEEDA9B"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7C451A89"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 xml:space="preserve">Así las cosas, de cara a la constitucionalidad del artículo 38 de la Ley 489 de 1998, y concretamente de la expresión “las empresas oficiales de servicios públicos domiciliarios” contenida en su literal d), la Corte declarará su </w:t>
      </w:r>
      <w:proofErr w:type="spellStart"/>
      <w:r w:rsidRPr="00C02E91">
        <w:rPr>
          <w:rFonts w:ascii="Arial" w:eastAsia="Calibri" w:hAnsi="Arial" w:cs="Arial"/>
          <w:bCs/>
          <w:sz w:val="21"/>
          <w:szCs w:val="21"/>
          <w:lang w:val="es-MX"/>
        </w:rPr>
        <w:t>exequibiliad</w:t>
      </w:r>
      <w:proofErr w:type="spellEnd"/>
      <w:r w:rsidRPr="00C02E91">
        <w:rPr>
          <w:rFonts w:ascii="Arial" w:eastAsia="Calibri" w:hAnsi="Arial" w:cs="Arial"/>
          <w:bCs/>
          <w:sz w:val="21"/>
          <w:szCs w:val="21"/>
          <w:lang w:val="es-MX"/>
        </w:rPr>
        <w:t>, por considerar que dentro del supuesto normativo del literal g) se comprenden las empresas mixtas o privadas de servicios públicos, que de esta manera viene a conformar también la Rama Ejecutiva del poder público.</w:t>
      </w:r>
    </w:p>
    <w:p w14:paraId="0217FCC0"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6D47F257"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w:t>
      </w:r>
    </w:p>
    <w:p w14:paraId="7C28F455"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4A32540B" w14:textId="562F18DF"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 xml:space="preserve">Obsérvese que si bien sólo considera explícitamente como entidades descentralizadas a las empresas oficiales de servicios públicos, es decir a aquellas con un capital cien </w:t>
      </w:r>
      <w:r w:rsidRPr="00C02E91">
        <w:rPr>
          <w:rFonts w:ascii="Arial" w:eastAsia="Calibri" w:hAnsi="Arial" w:cs="Arial"/>
          <w:bCs/>
          <w:sz w:val="21"/>
          <w:szCs w:val="21"/>
          <w:lang w:val="es-MX"/>
        </w:rPr>
        <w:lastRenderedPageBreak/>
        <w:t>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C02E91">
        <w:rPr>
          <w:rFonts w:ascii="Arial" w:eastAsia="Calibri" w:hAnsi="Arial" w:cs="Arial"/>
          <w:bCs/>
          <w:sz w:val="21"/>
          <w:szCs w:val="21"/>
          <w:vertAlign w:val="superscript"/>
          <w:lang w:val="es-MX"/>
        </w:rPr>
        <w:footnoteReference w:id="5"/>
      </w:r>
    </w:p>
    <w:p w14:paraId="07CF0AE2" w14:textId="77777777" w:rsidR="006830FE" w:rsidRPr="006830FE" w:rsidRDefault="006830FE" w:rsidP="006830FE">
      <w:pPr>
        <w:spacing w:after="0" w:line="276" w:lineRule="auto"/>
        <w:contextualSpacing/>
        <w:rPr>
          <w:rFonts w:ascii="Arial" w:eastAsia="Calibri" w:hAnsi="Arial" w:cs="Arial"/>
          <w:bCs/>
          <w:lang w:val="es-MX"/>
        </w:rPr>
      </w:pPr>
    </w:p>
    <w:p w14:paraId="2CE12E42" w14:textId="77777777" w:rsidR="006830FE" w:rsidRPr="006830FE" w:rsidRDefault="006830FE" w:rsidP="006830FE">
      <w:pPr>
        <w:spacing w:after="0" w:line="276" w:lineRule="auto"/>
        <w:contextualSpacing/>
        <w:jc w:val="both"/>
        <w:rPr>
          <w:rFonts w:ascii="Arial" w:eastAsia="Calibri" w:hAnsi="Arial" w:cs="Arial"/>
          <w:bCs/>
          <w:lang w:val="es-MX"/>
        </w:rPr>
      </w:pPr>
      <w:r w:rsidRPr="006830FE">
        <w:rPr>
          <w:rFonts w:ascii="Arial" w:eastAsia="Calibri" w:hAnsi="Arial" w:cs="Arial"/>
          <w:bCs/>
          <w:lang w:val="es-MX"/>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55B86F9E" w14:textId="77777777" w:rsidR="006830FE" w:rsidRPr="006830FE" w:rsidRDefault="006830FE" w:rsidP="006830FE">
      <w:pPr>
        <w:spacing w:after="0" w:line="276" w:lineRule="auto"/>
        <w:contextualSpacing/>
        <w:rPr>
          <w:rFonts w:ascii="Arial" w:eastAsia="Calibri" w:hAnsi="Arial" w:cs="Arial"/>
          <w:bCs/>
          <w:lang w:val="es-MX"/>
        </w:rPr>
      </w:pPr>
    </w:p>
    <w:p w14:paraId="1F9EF1D8"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2FB09F18"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25D43B54"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w:t>
      </w:r>
    </w:p>
    <w:p w14:paraId="59F4D6A9"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20DC06BC" w14:textId="67D9F462"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 distintas de los establecimientos públicos, las empresas comerciales e industriales del Estado y las Sociedades de economía mixta”</w:t>
      </w:r>
      <w:r w:rsidRPr="00C02E91">
        <w:rPr>
          <w:rFonts w:ascii="Arial" w:eastAsia="Calibri" w:hAnsi="Arial" w:cs="Arial"/>
          <w:bCs/>
          <w:sz w:val="21"/>
          <w:szCs w:val="21"/>
          <w:vertAlign w:val="superscript"/>
          <w:lang w:val="es-MX"/>
        </w:rPr>
        <w:footnoteReference w:id="6"/>
      </w:r>
      <w:r w:rsidRPr="00C02E91">
        <w:rPr>
          <w:rFonts w:ascii="Arial" w:eastAsia="Calibri" w:hAnsi="Arial" w:cs="Arial"/>
          <w:bCs/>
          <w:sz w:val="21"/>
          <w:szCs w:val="21"/>
          <w:lang w:val="es-MX"/>
        </w:rPr>
        <w:t xml:space="preserve"> </w:t>
      </w:r>
    </w:p>
    <w:p w14:paraId="33FB1F02" w14:textId="77777777" w:rsidR="006830FE" w:rsidRPr="006830FE" w:rsidRDefault="006830FE" w:rsidP="006830FE">
      <w:pPr>
        <w:spacing w:after="0" w:line="276" w:lineRule="auto"/>
        <w:ind w:left="709" w:right="709"/>
        <w:contextualSpacing/>
        <w:jc w:val="both"/>
        <w:rPr>
          <w:rFonts w:ascii="Arial" w:eastAsia="Calibri" w:hAnsi="Arial" w:cs="Arial"/>
          <w:bCs/>
          <w:lang w:val="es-MX"/>
        </w:rPr>
      </w:pPr>
    </w:p>
    <w:p w14:paraId="43E158DB" w14:textId="77777777" w:rsidR="006830FE" w:rsidRPr="006830FE" w:rsidRDefault="006830FE" w:rsidP="006830FE">
      <w:pPr>
        <w:spacing w:after="0" w:line="276" w:lineRule="auto"/>
        <w:ind w:firstLine="709"/>
        <w:contextualSpacing/>
        <w:jc w:val="both"/>
        <w:rPr>
          <w:rFonts w:ascii="Arial" w:eastAsia="Calibri" w:hAnsi="Arial" w:cs="Arial"/>
          <w:bCs/>
          <w:lang w:val="es-MX"/>
        </w:rPr>
      </w:pPr>
      <w:r w:rsidRPr="006830FE">
        <w:rPr>
          <w:rFonts w:ascii="Arial" w:eastAsia="Calibri" w:hAnsi="Arial" w:cs="Arial"/>
          <w:bCs/>
          <w:lang w:val="es-MX"/>
        </w:rPr>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w:t>
      </w:r>
      <w:r w:rsidRPr="006830FE">
        <w:rPr>
          <w:rFonts w:ascii="Arial" w:eastAsia="Calibri" w:hAnsi="Arial" w:cs="Arial"/>
          <w:bCs/>
          <w:lang w:val="es-MX"/>
        </w:rPr>
        <w:lastRenderedPageBreak/>
        <w:t xml:space="preserve">servicios públicos oficiales, mixtas y privadas. Ahora, sin importar su clasificación, todas hacen parte de la Rama ejecutiva, del sector descentralizado por servicios. Una vez expuesta la naturaleza jurídica de las empresas prestadoras de servicios públicos domiciliarios, teniendo en cuenta el objeto de la consulta, a continuación, se procede a explicar el régimen contractual que les aplica. </w:t>
      </w:r>
    </w:p>
    <w:p w14:paraId="371AAE30" w14:textId="77777777" w:rsidR="006830FE" w:rsidRPr="006830FE" w:rsidRDefault="006830FE" w:rsidP="006830FE">
      <w:pPr>
        <w:spacing w:after="0" w:line="276" w:lineRule="auto"/>
        <w:contextualSpacing/>
        <w:jc w:val="both"/>
        <w:rPr>
          <w:rFonts w:ascii="Arial" w:eastAsia="Calibri" w:hAnsi="Arial" w:cs="Arial"/>
          <w:bCs/>
          <w:lang w:val="es-MX"/>
        </w:rPr>
      </w:pPr>
    </w:p>
    <w:p w14:paraId="15993F1B" w14:textId="77777777" w:rsidR="006830FE" w:rsidRPr="006830FE" w:rsidRDefault="006830FE" w:rsidP="006830FE">
      <w:pPr>
        <w:spacing w:after="0" w:line="276" w:lineRule="auto"/>
        <w:contextualSpacing/>
        <w:jc w:val="both"/>
        <w:rPr>
          <w:rFonts w:ascii="Arial" w:eastAsia="Calibri" w:hAnsi="Arial" w:cs="Arial"/>
          <w:b/>
          <w:lang w:val="es-MX"/>
        </w:rPr>
      </w:pPr>
      <w:r w:rsidRPr="006830FE">
        <w:rPr>
          <w:rFonts w:ascii="Arial" w:eastAsia="Calibri" w:hAnsi="Arial" w:cs="Arial"/>
          <w:b/>
          <w:lang w:val="es-MX"/>
        </w:rPr>
        <w:t>2.2. Régimen contractual de las empresas prestadoras de servicios públicos domiciliarios. Situaciones de aplicabilidad de la Ley 80 de 1993</w:t>
      </w:r>
    </w:p>
    <w:p w14:paraId="3316B637" w14:textId="77777777" w:rsidR="006830FE" w:rsidRPr="006830FE" w:rsidRDefault="006830FE" w:rsidP="006830FE">
      <w:pPr>
        <w:spacing w:after="0" w:line="276" w:lineRule="auto"/>
        <w:contextualSpacing/>
        <w:jc w:val="both"/>
        <w:rPr>
          <w:rFonts w:ascii="Arial" w:eastAsia="Calibri" w:hAnsi="Arial" w:cs="Arial"/>
          <w:bCs/>
          <w:lang w:val="es-MX"/>
        </w:rPr>
      </w:pPr>
    </w:p>
    <w:p w14:paraId="095939CB" w14:textId="77777777" w:rsidR="006830FE" w:rsidRPr="006830FE" w:rsidRDefault="006830FE" w:rsidP="006830FE">
      <w:pPr>
        <w:spacing w:after="0" w:line="276" w:lineRule="auto"/>
        <w:contextualSpacing/>
        <w:jc w:val="both"/>
        <w:rPr>
          <w:rFonts w:ascii="Arial" w:eastAsia="Calibri" w:hAnsi="Arial" w:cs="Arial"/>
          <w:bCs/>
          <w:lang w:val="es-MX"/>
        </w:rPr>
      </w:pPr>
      <w:r w:rsidRPr="006830FE">
        <w:rPr>
          <w:rFonts w:ascii="Arial" w:eastAsia="Calibri" w:hAnsi="Arial" w:cs="Arial"/>
          <w:bCs/>
          <w:lang w:val="es-MX"/>
        </w:rPr>
        <w:t>La Constitución Política de 1991 incorporó un modelo de liberación para prestar servicios públicos domiciliarios, con arreglo al cual estos pueden ofrecerse en el mercado, en un esquema de libre competencia, directamente por el Estado, por particulares o por comunidades organizadas.</w:t>
      </w:r>
      <w:r w:rsidRPr="00C02E91">
        <w:rPr>
          <w:rFonts w:ascii="Arial" w:eastAsia="Calibri" w:hAnsi="Arial" w:cs="Arial"/>
          <w:bCs/>
          <w:vertAlign w:val="superscript"/>
          <w:lang w:val="es-MX"/>
        </w:rPr>
        <w:footnoteReference w:id="7"/>
      </w:r>
      <w:r w:rsidRPr="006830FE">
        <w:rPr>
          <w:rFonts w:ascii="Arial" w:eastAsia="Calibri" w:hAnsi="Arial" w:cs="Arial"/>
          <w:bCs/>
          <w:lang w:val="es-MX"/>
        </w:rPr>
        <w:t xml:space="preserve"> En tal sentido, el artículo 365 de la Constitución dispone lo siguiente:</w:t>
      </w:r>
    </w:p>
    <w:p w14:paraId="3F0AE41B" w14:textId="77777777" w:rsidR="006830FE" w:rsidRPr="006830FE" w:rsidRDefault="006830FE" w:rsidP="006830FE">
      <w:pPr>
        <w:spacing w:after="0" w:line="276" w:lineRule="auto"/>
        <w:contextualSpacing/>
        <w:jc w:val="both"/>
        <w:rPr>
          <w:rFonts w:ascii="Arial" w:eastAsia="Calibri" w:hAnsi="Arial" w:cs="Arial"/>
          <w:bCs/>
          <w:lang w:val="es-MX"/>
        </w:rPr>
      </w:pPr>
    </w:p>
    <w:p w14:paraId="1FDDC4F7"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“Los servicios públicos son inherentes a la finalidad social del Estado. Es deber del Estado asegurar su prestación eficiente a todos los habitantes del territorio nacional.</w:t>
      </w:r>
    </w:p>
    <w:p w14:paraId="19D9F373"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595D53B3" w14:textId="77777777" w:rsidR="006830FE" w:rsidRPr="006830FE" w:rsidRDefault="006830FE" w:rsidP="006830FE">
      <w:pPr>
        <w:spacing w:after="0" w:line="240" w:lineRule="auto"/>
        <w:ind w:left="709" w:right="709"/>
        <w:contextualSpacing/>
        <w:jc w:val="both"/>
        <w:rPr>
          <w:rFonts w:ascii="Arial" w:eastAsia="Calibri" w:hAnsi="Arial" w:cs="Arial"/>
          <w:bCs/>
          <w:lang w:val="es-MX"/>
        </w:rPr>
      </w:pPr>
      <w:r w:rsidRPr="00C02E91">
        <w:rPr>
          <w:rFonts w:ascii="Arial" w:eastAsia="Calibri" w:hAnsi="Arial" w:cs="Arial"/>
          <w:bCs/>
          <w:sz w:val="21"/>
          <w:szCs w:val="21"/>
          <w:lang w:val="es-MX"/>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6C60DA75" w14:textId="77777777" w:rsidR="006830FE" w:rsidRPr="006830FE" w:rsidRDefault="006830FE" w:rsidP="00C02E91">
      <w:pPr>
        <w:spacing w:after="0" w:line="276" w:lineRule="auto"/>
        <w:ind w:left="709" w:right="709"/>
        <w:jc w:val="both"/>
        <w:rPr>
          <w:rFonts w:ascii="Arial" w:eastAsia="Calibri" w:hAnsi="Arial" w:cs="Arial"/>
          <w:bCs/>
          <w:lang w:val="es-MX"/>
        </w:rPr>
      </w:pPr>
    </w:p>
    <w:p w14:paraId="5AA9B1F0" w14:textId="77777777" w:rsidR="006830FE" w:rsidRPr="006830FE" w:rsidRDefault="006830FE" w:rsidP="00C02E91">
      <w:pPr>
        <w:spacing w:after="120" w:line="276" w:lineRule="auto"/>
        <w:ind w:firstLine="708"/>
        <w:jc w:val="both"/>
        <w:rPr>
          <w:rFonts w:ascii="Arial" w:eastAsia="Calibri" w:hAnsi="Arial" w:cs="Arial"/>
          <w:bCs/>
          <w:lang w:val="es-MX"/>
        </w:rPr>
      </w:pPr>
      <w:r w:rsidRPr="006830FE">
        <w:rPr>
          <w:rFonts w:ascii="Arial" w:eastAsia="Calibri" w:hAnsi="Arial" w:cs="Arial"/>
          <w:bCs/>
          <w:lang w:val="es-MX"/>
        </w:rPr>
        <w:t xml:space="preserve">Con base en este presupuesto constitucional de liberación de los servicios públicos domiciliarios, el legislador expidió la Ley 142 de 1994, mediante la cual se establece el régimen de los servicios públicos domiciliarios. El artículo 15 </w:t>
      </w:r>
      <w:r w:rsidRPr="00C02E91">
        <w:rPr>
          <w:rFonts w:ascii="Arial" w:eastAsia="Calibri" w:hAnsi="Arial" w:cs="Arial"/>
          <w:bCs/>
          <w:i/>
          <w:iCs/>
          <w:lang w:val="es-MX"/>
        </w:rPr>
        <w:t>Ibidem</w:t>
      </w:r>
      <w:r w:rsidRPr="006830FE">
        <w:rPr>
          <w:rFonts w:ascii="Arial" w:eastAsia="Calibri" w:hAnsi="Arial" w:cs="Arial"/>
          <w:bCs/>
          <w:lang w:val="es-MX"/>
        </w:rPr>
        <w:t xml:space="preserve"> enuncia las personas autorizadas </w:t>
      </w:r>
      <w:r w:rsidRPr="006830FE">
        <w:rPr>
          <w:rFonts w:ascii="Arial" w:eastAsia="Calibri" w:hAnsi="Arial" w:cs="Arial"/>
          <w:bCs/>
          <w:lang w:val="es-MX"/>
        </w:rPr>
        <w:lastRenderedPageBreak/>
        <w:t xml:space="preserve">para prestar los servicios públicos domiciliarios: i) las empresas de servicios públicos, </w:t>
      </w:r>
      <w:proofErr w:type="spellStart"/>
      <w:r w:rsidRPr="006830FE">
        <w:rPr>
          <w:rFonts w:ascii="Arial" w:eastAsia="Calibri" w:hAnsi="Arial" w:cs="Arial"/>
          <w:bCs/>
          <w:lang w:val="es-MX"/>
        </w:rPr>
        <w:t>ii</w:t>
      </w:r>
      <w:proofErr w:type="spellEnd"/>
      <w:r w:rsidRPr="006830FE">
        <w:rPr>
          <w:rFonts w:ascii="Arial" w:eastAsia="Calibri" w:hAnsi="Arial" w:cs="Arial"/>
          <w:bCs/>
          <w:lang w:val="es-MX"/>
        </w:rPr>
        <w:t xml:space="preserve">) los productores marginales, </w:t>
      </w:r>
      <w:proofErr w:type="spellStart"/>
      <w:r w:rsidRPr="006830FE">
        <w:rPr>
          <w:rFonts w:ascii="Arial" w:eastAsia="Calibri" w:hAnsi="Arial" w:cs="Arial"/>
          <w:bCs/>
          <w:lang w:val="es-MX"/>
        </w:rPr>
        <w:t>iii</w:t>
      </w:r>
      <w:proofErr w:type="spellEnd"/>
      <w:r w:rsidRPr="006830FE">
        <w:rPr>
          <w:rFonts w:ascii="Arial" w:eastAsia="Calibri" w:hAnsi="Arial" w:cs="Arial"/>
          <w:bCs/>
          <w:lang w:val="es-MX"/>
        </w:rPr>
        <w:t xml:space="preserve">) los municipios, en ciertos casos, </w:t>
      </w:r>
      <w:proofErr w:type="spellStart"/>
      <w:r w:rsidRPr="006830FE">
        <w:rPr>
          <w:rFonts w:ascii="Arial" w:eastAsia="Calibri" w:hAnsi="Arial" w:cs="Arial"/>
          <w:bCs/>
          <w:lang w:val="es-MX"/>
        </w:rPr>
        <w:t>iv</w:t>
      </w:r>
      <w:proofErr w:type="spellEnd"/>
      <w:r w:rsidRPr="006830FE">
        <w:rPr>
          <w:rFonts w:ascii="Arial" w:eastAsia="Calibri" w:hAnsi="Arial" w:cs="Arial"/>
          <w:bCs/>
          <w:lang w:val="es-MX"/>
        </w:rPr>
        <w:t>) las organizaciones autorizadas y v) las entidades descentralizadas que se encontraran prestándolos y cumplan los requisitos establecidos en la ley</w:t>
      </w:r>
      <w:r w:rsidRPr="00C02E91">
        <w:rPr>
          <w:rFonts w:ascii="Arial" w:eastAsia="Calibri" w:hAnsi="Arial" w:cs="Arial"/>
          <w:bCs/>
          <w:vertAlign w:val="superscript"/>
          <w:lang w:val="es-MX"/>
        </w:rPr>
        <w:footnoteReference w:id="8"/>
      </w:r>
      <w:r w:rsidRPr="006830FE">
        <w:rPr>
          <w:rFonts w:ascii="Arial" w:eastAsia="Calibri" w:hAnsi="Arial" w:cs="Arial"/>
          <w:bCs/>
          <w:lang w:val="es-MX"/>
        </w:rPr>
        <w:t>.</w:t>
      </w:r>
    </w:p>
    <w:p w14:paraId="3B1C32B5" w14:textId="0B3A4866"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Ahora bien, </w:t>
      </w:r>
      <w:bookmarkStart w:id="3" w:name="_Hlk120622020"/>
      <w:r w:rsidRPr="006830FE">
        <w:rPr>
          <w:rFonts w:ascii="Arial" w:eastAsia="Calibri" w:hAnsi="Arial" w:cs="Arial"/>
          <w:bCs/>
          <w:lang w:val="es-MX"/>
        </w:rPr>
        <w:t xml:space="preserve">en lo que atañe específicamente al régimen de contratación, el artículo 31 de la le Ley 142 de 1994, modificado por el artículo 3 de la Ley 689 de 2001, dispone que los contratos que celebren las entidades estatales que prestan los servicios públicos domiciliarios </w:t>
      </w:r>
      <w:r w:rsidR="0000252F">
        <w:rPr>
          <w:rFonts w:ascii="Arial" w:eastAsia="Calibri" w:hAnsi="Arial" w:cs="Arial"/>
          <w:bCs/>
          <w:lang w:val="es-MX"/>
        </w:rPr>
        <w:t>“</w:t>
      </w:r>
      <w:r w:rsidRPr="006830FE">
        <w:rPr>
          <w:rFonts w:ascii="Arial" w:eastAsia="Calibri" w:hAnsi="Arial" w:cs="Arial"/>
          <w:bCs/>
          <w:lang w:val="es-MX"/>
        </w:rPr>
        <w:t>no estarán sujetos a las disposiciones del Estatuto General de Contratación de la Administración Pública, salvo en lo que la presente ley disponga otra cosa</w:t>
      </w:r>
      <w:r w:rsidR="0000252F">
        <w:rPr>
          <w:rFonts w:ascii="Arial" w:eastAsia="Calibri" w:hAnsi="Arial" w:cs="Arial"/>
          <w:bCs/>
          <w:lang w:val="es-MX"/>
        </w:rPr>
        <w:t>”</w:t>
      </w:r>
      <w:r w:rsidRPr="006830FE">
        <w:rPr>
          <w:rFonts w:ascii="Arial" w:eastAsia="Calibri" w:hAnsi="Arial" w:cs="Arial"/>
          <w:bCs/>
          <w:lang w:val="es-MX"/>
        </w:rPr>
        <w:t>. Por su parte, el artículo 32 de la Ley 142 de 1994, consagra el régimen de derecho privado para las empresas de servicios públicos domiciliarios, indicando que sus actos se rigen por los principios y reglas aplicables a los particulares</w:t>
      </w:r>
      <w:r w:rsidRPr="00C02E91">
        <w:rPr>
          <w:rFonts w:ascii="Arial" w:eastAsia="Calibri" w:hAnsi="Arial" w:cs="Arial"/>
          <w:bCs/>
          <w:vertAlign w:val="superscript"/>
          <w:lang w:val="es-MX"/>
        </w:rPr>
        <w:footnoteReference w:id="9"/>
      </w:r>
      <w:r w:rsidRPr="006830FE">
        <w:rPr>
          <w:rFonts w:ascii="Arial" w:eastAsia="Calibri" w:hAnsi="Arial" w:cs="Arial"/>
          <w:bCs/>
          <w:lang w:val="es-MX"/>
        </w:rPr>
        <w:t>.</w:t>
      </w:r>
      <w:bookmarkEnd w:id="3"/>
    </w:p>
    <w:p w14:paraId="43D22085" w14:textId="58E39A65"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En consecuencia, </w:t>
      </w:r>
      <w:bookmarkStart w:id="4" w:name="_Hlk120622006"/>
      <w:r w:rsidRPr="006830FE">
        <w:rPr>
          <w:rFonts w:ascii="Arial" w:eastAsia="Calibri" w:hAnsi="Arial" w:cs="Arial"/>
          <w:bCs/>
          <w:lang w:val="es-MX"/>
        </w:rPr>
        <w:t xml:space="preserve">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w:t>
      </w:r>
      <w:r w:rsidR="00A00C16">
        <w:rPr>
          <w:rFonts w:ascii="Arial" w:eastAsia="Calibri" w:hAnsi="Arial" w:cs="Arial"/>
          <w:bCs/>
          <w:lang w:val="es-MX"/>
        </w:rPr>
        <w:t>-en adelante EGCAP-</w:t>
      </w:r>
      <w:r w:rsidRPr="00C02E91">
        <w:rPr>
          <w:rFonts w:ascii="Arial" w:eastAsia="Calibri" w:hAnsi="Arial" w:cs="Arial"/>
          <w:bCs/>
          <w:vertAlign w:val="superscript"/>
          <w:lang w:val="es-MX"/>
        </w:rPr>
        <w:footnoteReference w:id="10"/>
      </w:r>
      <w:r w:rsidRPr="006830FE">
        <w:rPr>
          <w:rFonts w:ascii="Arial" w:eastAsia="Calibri" w:hAnsi="Arial" w:cs="Arial"/>
          <w:bCs/>
          <w:lang w:val="es-MX"/>
        </w:rPr>
        <w:t xml:space="preserve">. En otras palabras, dichas empresas se sujetan, en su actividad </w:t>
      </w:r>
      <w:r w:rsidRPr="006830FE">
        <w:rPr>
          <w:rFonts w:ascii="Arial" w:eastAsia="Calibri" w:hAnsi="Arial" w:cs="Arial"/>
          <w:bCs/>
          <w:lang w:val="es-MX"/>
        </w:rPr>
        <w:lastRenderedPageBreak/>
        <w:t xml:space="preserve">contractual, a las disposiciones del derecho privado, salvo en aquellos casos en los que la Constitución, la Ley 142 de 1994 u otras leyes especiales, sometan tal conducta al </w:t>
      </w:r>
      <w:r w:rsidR="00FE2E94">
        <w:rPr>
          <w:rFonts w:ascii="Arial" w:eastAsia="Calibri" w:hAnsi="Arial" w:cs="Arial"/>
          <w:bCs/>
          <w:lang w:val="es-MX"/>
        </w:rPr>
        <w:t>EGCAP,</w:t>
      </w:r>
      <w:r w:rsidR="00FE2E94" w:rsidRPr="006830FE">
        <w:rPr>
          <w:rFonts w:ascii="Arial" w:eastAsia="Calibri" w:hAnsi="Arial" w:cs="Arial"/>
          <w:bCs/>
          <w:lang w:val="es-MX"/>
        </w:rPr>
        <w:t xml:space="preserve"> </w:t>
      </w:r>
      <w:r w:rsidRPr="006830FE">
        <w:rPr>
          <w:rFonts w:ascii="Arial" w:eastAsia="Calibri" w:hAnsi="Arial" w:cs="Arial"/>
          <w:bCs/>
          <w:lang w:val="es-MX"/>
        </w:rPr>
        <w:t>es decir, a la Ley 80 de 1993, Ley 1150 de 2007 y demás normas complementarias.</w:t>
      </w:r>
    </w:p>
    <w:bookmarkEnd w:id="4"/>
    <w:p w14:paraId="6F367531" w14:textId="77777777"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Lo anterior no significa que la actividad contractual de las empresas prestadoras de servicios públicos domiciliarios se rija por un «derecho privado puro», pues este se encuentra irrigado, entre otras cosas, por los principios de la función administrativa y de la gestión fiscal, previstos en los artículos 209 y 267 de la Constitución, toda vez que así lo dispone el artículo 13 de la Ley 1150 de 2007</w:t>
      </w:r>
      <w:r w:rsidRPr="006830FE">
        <w:rPr>
          <w:rFonts w:ascii="Arial" w:eastAsia="Calibri" w:hAnsi="Arial" w:cs="Arial"/>
          <w:bCs/>
          <w:lang w:val="es-MX"/>
        </w:rPr>
        <w:footnoteReference w:id="11"/>
      </w:r>
      <w:r w:rsidRPr="006830FE">
        <w:rPr>
          <w:rFonts w:ascii="Arial" w:eastAsia="Calibri" w:hAnsi="Arial" w:cs="Arial"/>
          <w:bCs/>
          <w:lang w:val="es-MX"/>
        </w:rPr>
        <w:t>.</w:t>
      </w:r>
    </w:p>
    <w:p w14:paraId="173AC1B4" w14:textId="3554A4EC" w:rsidR="006830FE" w:rsidRPr="006830FE" w:rsidRDefault="006830FE" w:rsidP="00C02E91">
      <w:pPr>
        <w:spacing w:before="120" w:after="0" w:line="276" w:lineRule="auto"/>
        <w:ind w:firstLine="709"/>
        <w:jc w:val="both"/>
        <w:rPr>
          <w:rFonts w:ascii="Arial" w:eastAsia="Calibri" w:hAnsi="Arial" w:cs="Arial"/>
          <w:bCs/>
          <w:lang w:val="es-MX"/>
        </w:rPr>
      </w:pPr>
      <w:r w:rsidRPr="006830FE">
        <w:rPr>
          <w:rFonts w:ascii="Arial" w:eastAsia="Calibri" w:hAnsi="Arial" w:cs="Arial"/>
          <w:bCs/>
          <w:lang w:val="es-MX"/>
        </w:rPr>
        <w:t>Ahora bien, pese a que el artículo 31 de la Ley 142 de 1994, modificado por el artículo 3 de la Ley 689 de 2001, dispuso que los contratos celebrados por las entidades prestadoras de servicios públicos no se regirían por las disposiciones contenidas en el EGCAP, dicha norma estableció como excepción a esta regla general, las situaciones en las que estas entidades deberán aplicarlo, así:</w:t>
      </w:r>
    </w:p>
    <w:p w14:paraId="4425D541" w14:textId="77777777" w:rsidR="006830FE" w:rsidRPr="006830FE" w:rsidRDefault="006830FE" w:rsidP="006830FE">
      <w:pPr>
        <w:spacing w:after="0" w:line="276" w:lineRule="auto"/>
        <w:contextualSpacing/>
        <w:jc w:val="both"/>
        <w:rPr>
          <w:rFonts w:ascii="Arial" w:eastAsia="Calibri" w:hAnsi="Arial" w:cs="Arial"/>
          <w:bCs/>
          <w:lang w:val="es-MX"/>
        </w:rPr>
      </w:pPr>
    </w:p>
    <w:p w14:paraId="7A7307A9" w14:textId="0D0C826D" w:rsidR="006830FE" w:rsidRPr="00C02E91" w:rsidRDefault="00871755"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w:t>
      </w:r>
      <w:r w:rsidRPr="00871755">
        <w:rPr>
          <w:rFonts w:ascii="Arial" w:eastAsia="Calibri" w:hAnsi="Arial" w:cs="Arial"/>
          <w:bCs/>
          <w:sz w:val="21"/>
          <w:szCs w:val="21"/>
          <w:lang w:val="es-MX"/>
        </w:rPr>
        <w:t xml:space="preserve">Artículo 31. Régimen de la Contratación. </w:t>
      </w:r>
    </w:p>
    <w:p w14:paraId="47BF67B0" w14:textId="77777777" w:rsidR="00871755" w:rsidRDefault="00871755" w:rsidP="006830FE">
      <w:pPr>
        <w:spacing w:after="0" w:line="240" w:lineRule="auto"/>
        <w:ind w:left="709" w:right="709"/>
        <w:contextualSpacing/>
        <w:jc w:val="both"/>
        <w:rPr>
          <w:rFonts w:ascii="Arial" w:eastAsia="Calibri" w:hAnsi="Arial" w:cs="Arial"/>
          <w:bCs/>
          <w:sz w:val="21"/>
          <w:szCs w:val="21"/>
          <w:lang w:val="es-MX"/>
        </w:rPr>
      </w:pPr>
    </w:p>
    <w:p w14:paraId="29F9D190" w14:textId="1978BB8A" w:rsidR="006830FE" w:rsidRPr="00C02E91" w:rsidRDefault="00871755" w:rsidP="006830FE">
      <w:pPr>
        <w:spacing w:after="0" w:line="240" w:lineRule="auto"/>
        <w:ind w:left="709" w:right="709"/>
        <w:contextualSpacing/>
        <w:jc w:val="both"/>
        <w:rPr>
          <w:rFonts w:ascii="Arial" w:eastAsia="Calibri" w:hAnsi="Arial" w:cs="Arial"/>
          <w:bCs/>
          <w:sz w:val="21"/>
          <w:szCs w:val="21"/>
          <w:lang w:val="es-MX"/>
        </w:rPr>
      </w:pPr>
      <w:r w:rsidRPr="00871755">
        <w:rPr>
          <w:rFonts w:ascii="Arial" w:eastAsia="Calibri" w:hAnsi="Arial" w:cs="Arial"/>
          <w:bCs/>
          <w:sz w:val="21"/>
          <w:szCs w:val="21"/>
          <w:lang w:val="es-MX"/>
        </w:rPr>
        <w:t>[…]</w:t>
      </w:r>
    </w:p>
    <w:p w14:paraId="15B9660A" w14:textId="77777777" w:rsidR="00871755" w:rsidRDefault="00871755" w:rsidP="00871755">
      <w:pPr>
        <w:spacing w:after="0" w:line="240" w:lineRule="auto"/>
        <w:ind w:left="709" w:right="709"/>
        <w:contextualSpacing/>
        <w:jc w:val="both"/>
        <w:rPr>
          <w:rFonts w:ascii="Arial" w:eastAsia="Calibri" w:hAnsi="Arial" w:cs="Arial"/>
          <w:bCs/>
          <w:sz w:val="21"/>
          <w:szCs w:val="21"/>
          <w:lang w:val="es-MX"/>
        </w:rPr>
      </w:pPr>
    </w:p>
    <w:p w14:paraId="6E0D6628" w14:textId="7B01F8F9" w:rsidR="00871755" w:rsidRPr="00C02E91" w:rsidRDefault="006830FE" w:rsidP="00871755">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C02E91">
        <w:rPr>
          <w:rFonts w:ascii="Arial" w:eastAsia="Calibri" w:hAnsi="Arial" w:cs="Arial"/>
          <w:bCs/>
          <w:i/>
          <w:iCs/>
          <w:sz w:val="21"/>
          <w:szCs w:val="21"/>
          <w:lang w:val="es-MX"/>
        </w:rPr>
        <w:t>Cuando la inclusión sea forzosa, todo lo relativo a tales cláusulas se regirá, en cuanto sea pertinente, por lo dispuesto en la Ley 80 de 1993</w:t>
      </w:r>
      <w:r w:rsidRPr="00C02E91">
        <w:rPr>
          <w:rFonts w:ascii="Arial" w:eastAsia="Calibri" w:hAnsi="Arial" w:cs="Arial"/>
          <w:b/>
          <w:i/>
          <w:iCs/>
          <w:sz w:val="21"/>
          <w:szCs w:val="21"/>
          <w:lang w:val="es-MX"/>
        </w:rPr>
        <w:t>,</w:t>
      </w:r>
      <w:r w:rsidRPr="00C02E91">
        <w:rPr>
          <w:rFonts w:ascii="Arial" w:eastAsia="Calibri" w:hAnsi="Arial" w:cs="Arial"/>
          <w:bCs/>
          <w:sz w:val="21"/>
          <w:szCs w:val="21"/>
          <w:lang w:val="es-MX"/>
        </w:rPr>
        <w:t xml:space="preserve"> y los actos y contratos en los que se utilicen esas cláusulas y/o se ejerciten esas facultades estarán sujetos al control de la jurisdicción </w:t>
      </w:r>
      <w:proofErr w:type="gramStart"/>
      <w:r w:rsidRPr="00C02E91">
        <w:rPr>
          <w:rFonts w:ascii="Arial" w:eastAsia="Calibri" w:hAnsi="Arial" w:cs="Arial"/>
          <w:bCs/>
          <w:sz w:val="21"/>
          <w:szCs w:val="21"/>
          <w:lang w:val="es-MX"/>
        </w:rPr>
        <w:t>contencioso administrativa</w:t>
      </w:r>
      <w:proofErr w:type="gramEnd"/>
      <w:r w:rsidRPr="00C02E91">
        <w:rPr>
          <w:rFonts w:ascii="Arial" w:eastAsia="Calibri" w:hAnsi="Arial" w:cs="Arial"/>
          <w:bCs/>
          <w:sz w:val="21"/>
          <w:szCs w:val="21"/>
          <w:lang w:val="es-MX"/>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B6AC966" w14:textId="77777777" w:rsidR="00871755" w:rsidRPr="00C02E91" w:rsidRDefault="00871755" w:rsidP="00871755">
      <w:pPr>
        <w:spacing w:after="0" w:line="240" w:lineRule="auto"/>
        <w:ind w:left="709" w:right="709"/>
        <w:contextualSpacing/>
        <w:jc w:val="both"/>
        <w:rPr>
          <w:rFonts w:ascii="Arial" w:eastAsia="Calibri" w:hAnsi="Arial" w:cs="Arial"/>
          <w:bCs/>
          <w:sz w:val="21"/>
          <w:szCs w:val="21"/>
          <w:lang w:val="es-MX"/>
        </w:rPr>
      </w:pPr>
    </w:p>
    <w:p w14:paraId="6FE93BD4" w14:textId="6327852C" w:rsidR="006830FE" w:rsidRPr="00C02E91" w:rsidRDefault="00871755" w:rsidP="00871755">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w:t>
      </w:r>
      <w:r w:rsidR="006830FE" w:rsidRPr="00C02E91">
        <w:rPr>
          <w:rFonts w:ascii="Arial" w:eastAsia="Calibri" w:hAnsi="Arial" w:cs="Arial"/>
          <w:bCs/>
          <w:sz w:val="21"/>
          <w:szCs w:val="21"/>
          <w:lang w:val="es-MX"/>
        </w:rPr>
        <w:t>. [Énfasis fuera de texto]</w:t>
      </w:r>
    </w:p>
    <w:p w14:paraId="32790333" w14:textId="77777777" w:rsidR="006830FE" w:rsidRPr="006830FE" w:rsidRDefault="006830FE" w:rsidP="006830FE">
      <w:pPr>
        <w:spacing w:after="0" w:line="276" w:lineRule="auto"/>
        <w:contextualSpacing/>
        <w:jc w:val="both"/>
        <w:rPr>
          <w:rFonts w:ascii="Arial" w:eastAsia="Calibri" w:hAnsi="Arial" w:cs="Arial"/>
          <w:bCs/>
          <w:lang w:val="es-MX"/>
        </w:rPr>
      </w:pPr>
    </w:p>
    <w:p w14:paraId="677C869A" w14:textId="1C5F1970" w:rsid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De lo anterior se colige </w:t>
      </w:r>
      <w:bookmarkStart w:id="5" w:name="_Hlk120625815"/>
      <w:r w:rsidRPr="006830FE">
        <w:rPr>
          <w:rFonts w:ascii="Arial" w:eastAsia="Calibri" w:hAnsi="Arial" w:cs="Arial"/>
          <w:bCs/>
          <w:lang w:val="es-MX"/>
        </w:rPr>
        <w:t>que</w:t>
      </w:r>
      <w:r w:rsidR="007262CC">
        <w:rPr>
          <w:rFonts w:ascii="Arial" w:eastAsia="Calibri" w:hAnsi="Arial" w:cs="Arial"/>
          <w:bCs/>
          <w:lang w:val="es-MX"/>
        </w:rPr>
        <w:t>,</w:t>
      </w:r>
      <w:r w:rsidRPr="006830FE">
        <w:rPr>
          <w:rFonts w:ascii="Arial" w:eastAsia="Calibri" w:hAnsi="Arial" w:cs="Arial"/>
          <w:bCs/>
          <w:lang w:val="es-MX"/>
        </w:rPr>
        <w:t xml:space="preserve"> a pesar de que las empresas prestadoras de servicios públicos domiciliarios en lo concerniente a sus actividades contractuales, por regla general, se </w:t>
      </w:r>
      <w:r w:rsidRPr="006830FE">
        <w:rPr>
          <w:rFonts w:ascii="Arial" w:eastAsia="Calibri" w:hAnsi="Arial" w:cs="Arial"/>
          <w:bCs/>
          <w:lang w:val="es-MX"/>
        </w:rPr>
        <w:lastRenderedPageBreak/>
        <w:t xml:space="preserve">rigen por lo dispuesto en las normas del derecho privado, en casos en los que se establezcan cláusulas excepcionales en sus contratos, bien sea por mandato de las Comisiones de Regulación o por solicitud de dichas empresas, deberán someterse a lo dispuesto en el </w:t>
      </w:r>
      <w:r w:rsidR="00451D09">
        <w:rPr>
          <w:rFonts w:ascii="Arial" w:eastAsia="Calibri" w:hAnsi="Arial" w:cs="Arial"/>
          <w:bCs/>
          <w:lang w:val="es-MX"/>
        </w:rPr>
        <w:t>EGCAP</w:t>
      </w:r>
      <w:r w:rsidRPr="006830FE">
        <w:rPr>
          <w:rFonts w:ascii="Arial" w:eastAsia="Calibri" w:hAnsi="Arial" w:cs="Arial"/>
          <w:bCs/>
          <w:lang w:val="es-MX"/>
        </w:rPr>
        <w:t xml:space="preserve"> –Ley 80 de 1993–, la Ley 1150 de 2007 y demás normas complementarias, así como en las situaciones en las que la Ley 142 de 1994 u otras leyes especiales lo dispongan.</w:t>
      </w:r>
      <w:bookmarkEnd w:id="5"/>
    </w:p>
    <w:p w14:paraId="106673E8" w14:textId="79E2EF92" w:rsidR="00451D09" w:rsidRPr="006830FE" w:rsidRDefault="00215603" w:rsidP="00C02E91">
      <w:pPr>
        <w:spacing w:after="0" w:line="276" w:lineRule="auto"/>
        <w:ind w:firstLine="709"/>
        <w:contextualSpacing/>
        <w:jc w:val="both"/>
        <w:rPr>
          <w:rFonts w:ascii="Arial" w:eastAsia="Calibri" w:hAnsi="Arial" w:cs="Arial"/>
          <w:bCs/>
          <w:lang w:val="es-MX"/>
        </w:rPr>
      </w:pPr>
      <w:r>
        <w:rPr>
          <w:rFonts w:ascii="Arial" w:eastAsia="Calibri" w:hAnsi="Arial" w:cs="Arial"/>
          <w:bCs/>
          <w:lang w:val="es-MX"/>
        </w:rPr>
        <w:t xml:space="preserve">Teniendo en cuenta lo </w:t>
      </w:r>
      <w:r w:rsidR="00E565B6">
        <w:rPr>
          <w:rFonts w:ascii="Arial" w:eastAsia="Calibri" w:hAnsi="Arial" w:cs="Arial"/>
          <w:bCs/>
          <w:lang w:val="es-MX"/>
        </w:rPr>
        <w:t>expuesto</w:t>
      </w:r>
      <w:r>
        <w:rPr>
          <w:rFonts w:ascii="Arial" w:eastAsia="Calibri" w:hAnsi="Arial" w:cs="Arial"/>
          <w:bCs/>
          <w:lang w:val="es-MX"/>
        </w:rPr>
        <w:t xml:space="preserve">, a </w:t>
      </w:r>
      <w:r w:rsidR="00AE00A5">
        <w:rPr>
          <w:rFonts w:ascii="Arial" w:eastAsia="Calibri" w:hAnsi="Arial" w:cs="Arial"/>
          <w:bCs/>
          <w:lang w:val="es-MX"/>
        </w:rPr>
        <w:t>continuación,</w:t>
      </w:r>
      <w:r>
        <w:rPr>
          <w:rFonts w:ascii="Arial" w:eastAsia="Calibri" w:hAnsi="Arial" w:cs="Arial"/>
          <w:bCs/>
          <w:lang w:val="es-MX"/>
        </w:rPr>
        <w:t xml:space="preserve"> se procede a analizar la obligación de las empresas prestadoras de servicios públicos domiciliarios de publicar todo lo relacionado con su actividad </w:t>
      </w:r>
      <w:r w:rsidR="00E565B6">
        <w:rPr>
          <w:rFonts w:ascii="Arial" w:eastAsia="Calibri" w:hAnsi="Arial" w:cs="Arial"/>
          <w:bCs/>
          <w:lang w:val="es-MX"/>
        </w:rPr>
        <w:t>contractual</w:t>
      </w:r>
      <w:r>
        <w:rPr>
          <w:rFonts w:ascii="Arial" w:eastAsia="Calibri" w:hAnsi="Arial" w:cs="Arial"/>
          <w:bCs/>
          <w:lang w:val="es-MX"/>
        </w:rPr>
        <w:t xml:space="preserve"> en la plataforma SECOP II. </w:t>
      </w:r>
    </w:p>
    <w:p w14:paraId="2F44C24C" w14:textId="77777777" w:rsidR="006830FE" w:rsidRPr="006830FE" w:rsidRDefault="006830FE" w:rsidP="00C02E91">
      <w:pPr>
        <w:spacing w:after="0" w:line="276" w:lineRule="auto"/>
        <w:ind w:firstLine="709"/>
        <w:contextualSpacing/>
        <w:jc w:val="both"/>
        <w:rPr>
          <w:rFonts w:ascii="Arial" w:eastAsia="Calibri" w:hAnsi="Arial" w:cs="Arial"/>
          <w:bCs/>
          <w:lang w:val="es-MX"/>
        </w:rPr>
      </w:pPr>
    </w:p>
    <w:p w14:paraId="7BDEBD37" w14:textId="77777777" w:rsidR="006830FE" w:rsidRPr="006830FE" w:rsidRDefault="006830FE" w:rsidP="0098014A">
      <w:pPr>
        <w:spacing w:after="0" w:line="276" w:lineRule="auto"/>
        <w:contextualSpacing/>
        <w:jc w:val="both"/>
        <w:rPr>
          <w:rFonts w:ascii="Arial" w:eastAsia="Calibri" w:hAnsi="Arial" w:cs="Arial"/>
          <w:b/>
          <w:lang w:val="es-MX"/>
        </w:rPr>
      </w:pPr>
      <w:r w:rsidRPr="006830FE">
        <w:rPr>
          <w:rFonts w:ascii="Arial" w:eastAsia="Calibri" w:hAnsi="Arial" w:cs="Arial"/>
          <w:b/>
          <w:lang w:val="es-MX"/>
        </w:rPr>
        <w:t>2.3. Deber de las entidades estatales, exceptuadas del Estatuto General de Contratación de la Administración Pública, de publicar los documentos relacionados con su actividad contractual en el SECOP II. Modificación introducida por el artículo 53 de la Ley 2195 de 2022</w:t>
      </w:r>
    </w:p>
    <w:p w14:paraId="2B0DDE7E" w14:textId="77777777" w:rsidR="006830FE" w:rsidRPr="006830FE" w:rsidRDefault="006830FE" w:rsidP="0098014A">
      <w:pPr>
        <w:spacing w:after="0" w:line="276" w:lineRule="auto"/>
        <w:contextualSpacing/>
        <w:jc w:val="both"/>
        <w:rPr>
          <w:rFonts w:ascii="Arial" w:eastAsia="Calibri" w:hAnsi="Arial" w:cs="Arial"/>
          <w:bCs/>
          <w:lang w:val="es-MX"/>
        </w:rPr>
      </w:pPr>
    </w:p>
    <w:p w14:paraId="5698A854" w14:textId="286DBD65" w:rsidR="006830FE" w:rsidRPr="006830FE" w:rsidRDefault="006830FE" w:rsidP="00C02E91">
      <w:pPr>
        <w:spacing w:after="0" w:line="276" w:lineRule="auto"/>
        <w:contextualSpacing/>
        <w:jc w:val="both"/>
        <w:rPr>
          <w:rFonts w:ascii="Arial" w:eastAsia="Calibri" w:hAnsi="Arial" w:cs="Arial"/>
          <w:bCs/>
          <w:lang w:val="es-MX"/>
        </w:rPr>
      </w:pPr>
      <w:r w:rsidRPr="006830FE">
        <w:rPr>
          <w:rFonts w:ascii="Arial" w:eastAsia="Calibri" w:hAnsi="Arial" w:cs="Arial"/>
          <w:bCs/>
          <w:lang w:val="es-MX"/>
        </w:rPr>
        <w:t xml:space="preserve">Uno de los postulados más importantes de un Estado Social y Democrático de Derecho es el </w:t>
      </w:r>
      <w:r w:rsidRPr="00C02E91">
        <w:rPr>
          <w:rFonts w:ascii="Arial" w:eastAsia="Calibri" w:hAnsi="Arial" w:cs="Arial"/>
          <w:bCs/>
          <w:i/>
          <w:iCs/>
          <w:lang w:val="es-MX"/>
        </w:rPr>
        <w:t>principio de publicidad</w:t>
      </w:r>
      <w:r w:rsidRPr="006830FE">
        <w:rPr>
          <w:rFonts w:ascii="Arial" w:eastAsia="Calibri" w:hAnsi="Arial" w:cs="Arial"/>
          <w:bCs/>
          <w:lang w:val="es-MX"/>
        </w:rPr>
        <w:t xml:space="preserve">, pues este permite que las actuaciones de las autoridades gocen de visibilidad. </w:t>
      </w:r>
      <w:r w:rsidR="00A00536">
        <w:rPr>
          <w:rFonts w:ascii="Arial" w:eastAsia="Calibri" w:hAnsi="Arial" w:cs="Arial"/>
          <w:bCs/>
          <w:lang w:val="es-MX"/>
        </w:rPr>
        <w:t>L</w:t>
      </w:r>
      <w:r w:rsidRPr="006830FE">
        <w:rPr>
          <w:rFonts w:ascii="Arial" w:eastAsia="Calibri" w:hAnsi="Arial" w:cs="Arial"/>
          <w:bCs/>
          <w:lang w:val="es-MX"/>
        </w:rPr>
        <w:t>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w:t>
      </w:r>
      <w:r w:rsidR="00327A3A">
        <w:rPr>
          <w:rFonts w:ascii="Arial" w:eastAsia="Calibri" w:hAnsi="Arial" w:cs="Arial"/>
          <w:bCs/>
          <w:lang w:val="es-MX"/>
        </w:rPr>
        <w:t>,</w:t>
      </w:r>
      <w:r w:rsidRPr="006830FE">
        <w:rPr>
          <w:rFonts w:ascii="Arial" w:eastAsia="Calibri" w:hAnsi="Arial" w:cs="Arial"/>
          <w:bCs/>
          <w:lang w:val="es-MX"/>
        </w:rPr>
        <w:t xml:space="preserve"> y el</w:t>
      </w:r>
      <w:r w:rsidR="00327A3A">
        <w:rPr>
          <w:rFonts w:ascii="Arial" w:eastAsia="Calibri" w:hAnsi="Arial" w:cs="Arial"/>
          <w:bCs/>
          <w:lang w:val="es-MX"/>
        </w:rPr>
        <w:t xml:space="preserve"> artículo</w:t>
      </w:r>
      <w:r w:rsidRPr="006830FE">
        <w:rPr>
          <w:rFonts w:ascii="Arial" w:eastAsia="Calibri" w:hAnsi="Arial" w:cs="Arial"/>
          <w:bCs/>
          <w:lang w:val="es-MX"/>
        </w:rPr>
        <w:t xml:space="preserve">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397E89E3" w14:textId="77777777" w:rsidR="006830FE" w:rsidRPr="006830FE" w:rsidRDefault="006830FE" w:rsidP="00C02E91">
      <w:pPr>
        <w:spacing w:after="0" w:line="276" w:lineRule="auto"/>
        <w:ind w:firstLine="709"/>
        <w:contextualSpacing/>
        <w:jc w:val="both"/>
        <w:rPr>
          <w:rFonts w:ascii="Arial" w:eastAsia="Calibri" w:hAnsi="Arial" w:cs="Arial"/>
          <w:bCs/>
          <w:lang w:val="es-MX"/>
        </w:rPr>
      </w:pPr>
    </w:p>
    <w:p w14:paraId="467CAE78" w14:textId="150789E3" w:rsidR="006830FE" w:rsidRPr="00C02E91" w:rsidRDefault="006830FE" w:rsidP="00C02E91">
      <w:pPr>
        <w:tabs>
          <w:tab w:val="left" w:pos="3885"/>
        </w:tabs>
        <w:spacing w:after="0" w:line="240" w:lineRule="auto"/>
        <w:ind w:left="709" w:right="709"/>
        <w:contextualSpacing/>
        <w:jc w:val="both"/>
        <w:rPr>
          <w:rFonts w:ascii="Arial" w:eastAsia="Calibri" w:hAnsi="Arial" w:cs="Arial"/>
          <w:bCs/>
          <w:sz w:val="21"/>
          <w:szCs w:val="21"/>
          <w:lang w:val="es-MX"/>
        </w:rPr>
      </w:pPr>
      <m:oMath>
        <m:r>
          <m:rPr>
            <m:sty m:val="p"/>
          </m:rPr>
          <w:rPr>
            <w:rFonts w:ascii="Cambria Math" w:eastAsia="Calibri" w:hAnsi="Cambria Math" w:cs="Arial"/>
            <w:sz w:val="21"/>
            <w:szCs w:val="21"/>
            <w:lang w:val="es-MX"/>
          </w:rPr>
          <m:t>"</m:t>
        </m:r>
      </m:oMath>
      <w:r w:rsidRPr="00C02E91">
        <w:rPr>
          <w:rFonts w:ascii="Arial" w:eastAsia="Calibri" w:hAnsi="Arial" w:cs="Arial"/>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83E05BD" w14:textId="77777777" w:rsidR="006830FE" w:rsidRPr="00C02E91" w:rsidRDefault="006830FE" w:rsidP="00C02E91">
      <w:pPr>
        <w:tabs>
          <w:tab w:val="left" w:pos="3885"/>
        </w:tabs>
        <w:spacing w:after="0" w:line="240" w:lineRule="auto"/>
        <w:ind w:left="709" w:right="709"/>
        <w:contextualSpacing/>
        <w:jc w:val="both"/>
        <w:rPr>
          <w:rFonts w:ascii="Arial" w:eastAsia="Calibri" w:hAnsi="Arial" w:cs="Arial"/>
          <w:bCs/>
          <w:sz w:val="21"/>
          <w:szCs w:val="21"/>
          <w:lang w:val="es-MX"/>
        </w:rPr>
      </w:pPr>
    </w:p>
    <w:p w14:paraId="3E6EFCD3" w14:textId="5D4173CC" w:rsidR="006830FE" w:rsidRPr="00C02E91" w:rsidRDefault="006830FE" w:rsidP="00C02E91">
      <w:pPr>
        <w:tabs>
          <w:tab w:val="left" w:pos="3885"/>
          <w:tab w:val="left" w:pos="8222"/>
        </w:tabs>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C02E91">
        <w:rPr>
          <w:rFonts w:ascii="Arial" w:eastAsia="Calibri" w:hAnsi="Arial" w:cs="Arial"/>
          <w:bCs/>
          <w:sz w:val="21"/>
          <w:szCs w:val="21"/>
          <w:lang w:val="es-MX"/>
        </w:rPr>
        <w:t>autoridades públicas</w:t>
      </w:r>
      <w:proofErr w:type="gramEnd"/>
      <w:r w:rsidRPr="00C02E91">
        <w:rPr>
          <w:rFonts w:ascii="Arial" w:eastAsia="Calibri" w:hAnsi="Arial" w:cs="Arial"/>
          <w:bCs/>
          <w:sz w:val="21"/>
          <w:szCs w:val="21"/>
          <w:lang w:val="es-MX"/>
        </w:rPr>
        <w:t xml:space="preserve"> y, a través de ese conocimiento, a exigir que ellas se surtan conforme a la ley</w:t>
      </w:r>
      <w:r w:rsidR="0098014A">
        <w:rPr>
          <w:rFonts w:ascii="Arial" w:eastAsia="Calibri" w:hAnsi="Arial" w:cs="Arial"/>
          <w:bCs/>
          <w:sz w:val="21"/>
          <w:szCs w:val="21"/>
          <w:lang w:val="es-MX"/>
        </w:rPr>
        <w:t>”.</w:t>
      </w:r>
      <w:r w:rsidRPr="00C02E91">
        <w:rPr>
          <w:rFonts w:ascii="Arial" w:eastAsia="Calibri" w:hAnsi="Arial" w:cs="Arial"/>
          <w:bCs/>
          <w:sz w:val="21"/>
          <w:szCs w:val="21"/>
          <w:vertAlign w:val="superscript"/>
          <w:lang w:val="es-MX"/>
        </w:rPr>
        <w:footnoteReference w:id="12"/>
      </w:r>
    </w:p>
    <w:p w14:paraId="42E60A56" w14:textId="77777777" w:rsidR="006830FE" w:rsidRPr="006830FE" w:rsidRDefault="006830FE" w:rsidP="006830FE">
      <w:pPr>
        <w:spacing w:after="0" w:line="276" w:lineRule="auto"/>
        <w:ind w:firstLine="709"/>
        <w:contextualSpacing/>
        <w:jc w:val="both"/>
        <w:rPr>
          <w:rFonts w:ascii="Arial" w:eastAsia="Calibri" w:hAnsi="Arial" w:cs="Arial"/>
          <w:bCs/>
          <w:lang w:val="es-MX"/>
        </w:rPr>
      </w:pPr>
    </w:p>
    <w:p w14:paraId="0E275D5C" w14:textId="46BE1C6F" w:rsidR="006830FE" w:rsidRPr="006830FE" w:rsidRDefault="006830FE" w:rsidP="0098014A">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lastRenderedPageBreak/>
        <w:t>El principio de publicidad impone a las autoridades el deber de dar a conocer sus actos, contratos y decisiones, para que se divulguen y</w:t>
      </w:r>
      <w:r w:rsidR="00E240DE">
        <w:rPr>
          <w:rFonts w:ascii="Arial" w:eastAsia="Calibri" w:hAnsi="Arial" w:cs="Arial"/>
          <w:bCs/>
          <w:lang w:val="es-MX"/>
        </w:rPr>
        <w:t>,</w:t>
      </w:r>
      <w:r w:rsidRPr="006830FE">
        <w:rPr>
          <w:rFonts w:ascii="Arial" w:eastAsia="Calibri" w:hAnsi="Arial" w:cs="Arial"/>
          <w:bCs/>
          <w:lang w:val="es-MX"/>
        </w:rPr>
        <w:t xml:space="preserve"> eventualmente</w:t>
      </w:r>
      <w:r w:rsidR="00E240DE">
        <w:rPr>
          <w:rFonts w:ascii="Arial" w:eastAsia="Calibri" w:hAnsi="Arial" w:cs="Arial"/>
          <w:bCs/>
          <w:lang w:val="es-MX"/>
        </w:rPr>
        <w:t>,</w:t>
      </w:r>
      <w:r w:rsidRPr="006830FE">
        <w:rPr>
          <w:rFonts w:ascii="Arial" w:eastAsia="Calibri" w:hAnsi="Arial" w:cs="Arial"/>
          <w:bCs/>
          <w:lang w:val="es-MX"/>
        </w:rPr>
        <w:t xml:space="preserve"> se controlen dichas actuaciones. Es por eso que, en materia de la contratación estatal, el literal c) del artículo 3 de la Ley 1150 de 2007 establece el Sistema Electrónico para la Contratación Pública –SECOP– como un mecanismo que </w:t>
      </w:r>
      <w:r w:rsidR="00AE1748">
        <w:rPr>
          <w:rFonts w:ascii="Arial" w:eastAsia="Calibri" w:hAnsi="Arial" w:cs="Arial"/>
          <w:bCs/>
          <w:lang w:val="es-MX"/>
        </w:rPr>
        <w:t>“</w:t>
      </w:r>
      <w:r w:rsidRPr="006830FE">
        <w:rPr>
          <w:rFonts w:ascii="Arial" w:eastAsia="Calibri" w:hAnsi="Arial" w:cs="Arial"/>
          <w:bCs/>
          <w:lang w:val="es-MX"/>
        </w:rPr>
        <w:t>contará con la información oficial de la contratación realizada con dineros públicos, para lo cual establecerá los patrones a que haya lugar y se encargará de su difusión a través de canales electrónicos</w:t>
      </w:r>
      <w:r w:rsidR="00AE1748">
        <w:rPr>
          <w:rFonts w:ascii="Arial" w:eastAsia="Calibri" w:hAnsi="Arial" w:cs="Arial"/>
          <w:bCs/>
          <w:lang w:val="es-MX"/>
        </w:rPr>
        <w:t>”</w:t>
      </w:r>
      <w:r w:rsidRPr="00C02E91">
        <w:rPr>
          <w:rFonts w:ascii="Arial" w:eastAsia="Calibri" w:hAnsi="Arial" w:cs="Arial"/>
          <w:bCs/>
          <w:vertAlign w:val="superscript"/>
          <w:lang w:val="es-MX"/>
        </w:rPr>
        <w:footnoteReference w:id="13"/>
      </w:r>
      <w:r w:rsidRPr="006830FE">
        <w:rPr>
          <w:rFonts w:ascii="Arial" w:eastAsia="Calibri" w:hAnsi="Arial" w:cs="Arial"/>
          <w:bCs/>
          <w:lang w:val="es-MX"/>
        </w:rPr>
        <w:t xml:space="preserve">. </w:t>
      </w:r>
    </w:p>
    <w:p w14:paraId="17355D47" w14:textId="58292CA8" w:rsidR="006830FE" w:rsidRPr="006830FE" w:rsidRDefault="00246504" w:rsidP="0098014A">
      <w:pPr>
        <w:spacing w:after="120" w:line="276" w:lineRule="auto"/>
        <w:ind w:firstLine="708"/>
        <w:jc w:val="both"/>
        <w:rPr>
          <w:rFonts w:ascii="Arial" w:eastAsia="Calibri" w:hAnsi="Arial" w:cs="Arial"/>
          <w:bCs/>
          <w:lang w:val="es-MX"/>
        </w:rPr>
      </w:pPr>
      <w:r>
        <w:rPr>
          <w:rFonts w:ascii="Arial" w:eastAsia="Calibri" w:hAnsi="Arial" w:cs="Arial"/>
          <w:bCs/>
          <w:lang w:val="es-MX"/>
        </w:rPr>
        <w:t>De otra parte, l</w:t>
      </w:r>
      <w:r w:rsidR="006830FE" w:rsidRPr="006830FE">
        <w:rPr>
          <w:rFonts w:ascii="Arial" w:eastAsia="Calibri" w:hAnsi="Arial" w:cs="Arial"/>
          <w:bCs/>
          <w:lang w:val="es-MX"/>
        </w:rPr>
        <w:t>a Ley 1712 de 2014</w:t>
      </w:r>
      <w:r w:rsidR="00E06F54">
        <w:rPr>
          <w:rFonts w:ascii="Arial" w:eastAsia="Calibri" w:hAnsi="Arial" w:cs="Arial"/>
          <w:bCs/>
          <w:lang w:val="es-MX"/>
        </w:rPr>
        <w:t>, “</w:t>
      </w:r>
      <w:r w:rsidR="00E06F54" w:rsidRPr="00C24652">
        <w:rPr>
          <w:rFonts w:ascii="Arial" w:eastAsia="Calibri" w:hAnsi="Arial" w:cs="Arial"/>
        </w:rPr>
        <w:t>P</w:t>
      </w:r>
      <w:r w:rsidR="00E06F54" w:rsidRPr="00C24652">
        <w:rPr>
          <w:rFonts w:ascii="Arial" w:eastAsia="Times New Roman" w:hAnsi="Arial" w:cs="Arial"/>
          <w:lang w:eastAsia="es-CO"/>
        </w:rPr>
        <w:t>or medio de la cual se crea la Ley de Transparencia y del Derecho de Acceso a la Información Pública Nacional y se dictan otras disposiciones</w:t>
      </w:r>
      <w:r w:rsidR="00E06F54">
        <w:rPr>
          <w:rFonts w:ascii="Arial" w:eastAsia="Calibri" w:hAnsi="Arial" w:cs="Arial"/>
          <w:bCs/>
          <w:lang w:val="es-MX"/>
        </w:rPr>
        <w:t>”</w:t>
      </w:r>
      <w:r w:rsidR="006830FE" w:rsidRPr="006830FE">
        <w:rPr>
          <w:rFonts w:ascii="Arial" w:eastAsia="Calibri" w:hAnsi="Arial"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006830FE" w:rsidRPr="00C02E91">
        <w:rPr>
          <w:rFonts w:ascii="Arial" w:eastAsia="Calibri" w:hAnsi="Arial" w:cs="Arial"/>
          <w:bCs/>
          <w:i/>
          <w:iCs/>
          <w:lang w:val="es-MX"/>
        </w:rPr>
        <w:t>máxima publicidad</w:t>
      </w:r>
      <w:r w:rsidR="006830FE" w:rsidRPr="006830FE">
        <w:rPr>
          <w:rFonts w:ascii="Arial" w:eastAsia="Calibri" w:hAnsi="Arial" w:cs="Arial"/>
          <w:bCs/>
          <w:lang w:val="es-MX"/>
        </w:rPr>
        <w:t xml:space="preserve"> establece que </w:t>
      </w:r>
      <w:r w:rsidR="00F94C65">
        <w:rPr>
          <w:rFonts w:ascii="Arial" w:eastAsia="Calibri" w:hAnsi="Arial" w:cs="Arial"/>
          <w:bCs/>
          <w:lang w:val="es-MX"/>
        </w:rPr>
        <w:t>“</w:t>
      </w:r>
      <w:r w:rsidR="006830FE" w:rsidRPr="006830FE">
        <w:rPr>
          <w:rFonts w:ascii="Arial" w:eastAsia="Calibri" w:hAnsi="Arial" w:cs="Arial"/>
          <w:bCs/>
          <w:lang w:val="es-MX"/>
        </w:rPr>
        <w:t>toda información en posesión, bajo control o custodia de un sujeto obligado es pública y no podrá ser reservada o limitada sino por disposición constitucional o legal</w:t>
      </w:r>
      <w:r w:rsidR="00F94C65">
        <w:rPr>
          <w:rFonts w:ascii="Arial" w:eastAsia="Calibri" w:hAnsi="Arial" w:cs="Arial"/>
          <w:bCs/>
          <w:lang w:val="es-MX"/>
        </w:rPr>
        <w:t>”</w:t>
      </w:r>
      <w:r w:rsidR="006830FE" w:rsidRPr="00C02E91">
        <w:rPr>
          <w:rFonts w:ascii="Arial" w:eastAsia="Calibri" w:hAnsi="Arial" w:cs="Arial"/>
          <w:bCs/>
          <w:vertAlign w:val="superscript"/>
          <w:lang w:val="es-MX"/>
        </w:rPr>
        <w:footnoteReference w:id="14"/>
      </w:r>
      <w:r w:rsidR="006830FE" w:rsidRPr="006830FE">
        <w:rPr>
          <w:rFonts w:ascii="Arial" w:eastAsia="Calibri" w:hAnsi="Arial" w:cs="Arial"/>
          <w:bCs/>
          <w:lang w:val="es-MX"/>
        </w:rPr>
        <w:t xml:space="preserve">. El </w:t>
      </w:r>
      <w:r w:rsidR="006830FE" w:rsidRPr="00C02E91">
        <w:rPr>
          <w:rFonts w:ascii="Arial" w:eastAsia="Calibri" w:hAnsi="Arial" w:cs="Arial"/>
          <w:bCs/>
          <w:i/>
          <w:iCs/>
          <w:lang w:val="es-MX"/>
        </w:rPr>
        <w:t>principio de transparencia</w:t>
      </w:r>
      <w:r w:rsidR="006830FE" w:rsidRPr="006830FE">
        <w:rPr>
          <w:rFonts w:ascii="Arial" w:eastAsia="Calibri" w:hAnsi="Arial" w:cs="Arial"/>
          <w:bCs/>
          <w:lang w:val="es-MX"/>
        </w:rPr>
        <w:t xml:space="preserve"> en la información alude al deber de los sujetos de proporcionar y facilitar el acceso a la misma en los términos más amplios posibles, a través de los medios y procedimientos legales</w:t>
      </w:r>
      <w:r w:rsidR="00D07BB4" w:rsidRPr="00C24652">
        <w:rPr>
          <w:rFonts w:ascii="Arial" w:eastAsia="Times New Roman" w:hAnsi="Arial" w:cs="Arial"/>
          <w:vertAlign w:val="superscript"/>
          <w:lang w:eastAsia="es-CO"/>
        </w:rPr>
        <w:footnoteReference w:id="15"/>
      </w:r>
      <w:r w:rsidR="006830FE" w:rsidRPr="006830FE">
        <w:rPr>
          <w:rFonts w:ascii="Arial" w:eastAsia="Calibri" w:hAnsi="Arial" w:cs="Arial"/>
          <w:bCs/>
          <w:lang w:val="es-MX"/>
        </w:rPr>
        <w:t xml:space="preserve">. Y el </w:t>
      </w:r>
      <w:r w:rsidR="006830FE" w:rsidRPr="00C02E91">
        <w:rPr>
          <w:rFonts w:ascii="Arial" w:eastAsia="Calibri" w:hAnsi="Arial" w:cs="Arial"/>
          <w:bCs/>
          <w:i/>
          <w:iCs/>
          <w:lang w:val="es-MX"/>
        </w:rPr>
        <w:t>principio de buena fe</w:t>
      </w:r>
      <w:r w:rsidR="006830FE" w:rsidRPr="006830FE">
        <w:rPr>
          <w:rFonts w:ascii="Arial" w:eastAsia="Calibri" w:hAnsi="Arial" w:cs="Arial"/>
          <w:bCs/>
          <w:lang w:val="es-MX"/>
        </w:rPr>
        <w:t xml:space="preserve"> hace referencia al deber de todo sujeto obligado de cumplir con las obligaciones derivadas del derecho de acceso </w:t>
      </w:r>
      <w:r w:rsidR="006830FE" w:rsidRPr="006830FE">
        <w:rPr>
          <w:rFonts w:ascii="Arial" w:eastAsia="Calibri" w:hAnsi="Arial" w:cs="Arial"/>
          <w:bCs/>
          <w:lang w:val="es-MX"/>
        </w:rPr>
        <w:lastRenderedPageBreak/>
        <w:t>a la información pública con motivación honesta, leal y desprovista de cualquier intención dolosa o culposa</w:t>
      </w:r>
      <w:r w:rsidR="006830FE" w:rsidRPr="00C02E91">
        <w:rPr>
          <w:rFonts w:ascii="Arial" w:eastAsia="Calibri" w:hAnsi="Arial" w:cs="Arial"/>
          <w:bCs/>
          <w:vertAlign w:val="superscript"/>
          <w:lang w:val="es-MX"/>
        </w:rPr>
        <w:footnoteReference w:id="16"/>
      </w:r>
      <w:r w:rsidR="006830FE" w:rsidRPr="006830FE">
        <w:rPr>
          <w:rFonts w:ascii="Arial" w:eastAsia="Calibri" w:hAnsi="Arial" w:cs="Arial"/>
          <w:bCs/>
          <w:lang w:val="es-MX"/>
        </w:rPr>
        <w:t xml:space="preserve">. </w:t>
      </w:r>
    </w:p>
    <w:p w14:paraId="2A7A7B72" w14:textId="62E55727" w:rsidR="008D3A70" w:rsidRPr="00C24652" w:rsidRDefault="006830FE" w:rsidP="008D3A70">
      <w:pPr>
        <w:spacing w:after="120" w:line="276" w:lineRule="auto"/>
        <w:ind w:firstLine="709"/>
        <w:jc w:val="both"/>
        <w:rPr>
          <w:rFonts w:ascii="Arial" w:eastAsia="Times New Roman" w:hAnsi="Arial" w:cs="Arial"/>
          <w:lang w:eastAsia="es-CO"/>
        </w:rPr>
      </w:pPr>
      <w:r w:rsidRPr="006830FE">
        <w:rPr>
          <w:rFonts w:ascii="Arial" w:eastAsia="Calibri" w:hAnsi="Arial" w:cs="Arial"/>
          <w:bCs/>
          <w:lang w:val="es-MX"/>
        </w:rPr>
        <w:t xml:space="preserve">La citada Ley establece, </w:t>
      </w:r>
      <w:bookmarkStart w:id="7" w:name="_Hlk112225357"/>
      <w:r w:rsidRPr="006830FE">
        <w:rPr>
          <w:rFonts w:ascii="Arial" w:eastAsia="Calibri" w:hAnsi="Arial" w:cs="Arial"/>
          <w:bCs/>
          <w:lang w:val="es-MX"/>
        </w:rPr>
        <w:t xml:space="preserve">en el literal e) del artículo 9, que los </w:t>
      </w:r>
      <w:r w:rsidRPr="00C02E91">
        <w:rPr>
          <w:rFonts w:ascii="Arial" w:eastAsia="Calibri" w:hAnsi="Arial" w:cs="Arial"/>
          <w:bCs/>
          <w:i/>
          <w:iCs/>
          <w:lang w:val="es-MX"/>
        </w:rPr>
        <w:t>sujetos obligados</w:t>
      </w:r>
      <w:r w:rsidRPr="006830FE">
        <w:rPr>
          <w:rFonts w:ascii="Arial" w:eastAsia="Calibri" w:hAnsi="Arial" w:cs="Arial"/>
          <w:bCs/>
          <w:lang w:val="es-MX"/>
        </w:rPr>
        <w:t xml:space="preserve"> deben publicar la información relativa a su contratación</w:t>
      </w:r>
      <w:r w:rsidR="00934D1F" w:rsidRPr="00C24652">
        <w:rPr>
          <w:rStyle w:val="Refdenotaalpie"/>
          <w:rFonts w:ascii="Arial" w:eastAsia="Times New Roman" w:hAnsi="Arial" w:cs="Arial"/>
          <w:lang w:eastAsia="es-CO"/>
        </w:rPr>
        <w:footnoteReference w:id="17"/>
      </w:r>
      <w:r w:rsidRPr="006830FE">
        <w:rPr>
          <w:rFonts w:ascii="Arial" w:eastAsia="Calibri" w:hAnsi="Arial"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008D3A70" w:rsidRPr="00C24652">
        <w:rPr>
          <w:rFonts w:ascii="Arial" w:eastAsia="Arial MT" w:hAnsi="Arial" w:cs="Arial"/>
          <w:lang w:val="es-ES"/>
        </w:rPr>
        <w:t>Igualmente, establece que son sujetos obligados las empresas públicas, las empresas del Estado y las sociedades en las que el Estado tenga participación, sin que importe su monto</w:t>
      </w:r>
      <w:r w:rsidR="008D3A70" w:rsidRPr="00C24652">
        <w:rPr>
          <w:rFonts w:ascii="Arial" w:eastAsia="Times New Roman" w:hAnsi="Arial" w:cs="Arial"/>
          <w:vertAlign w:val="superscript"/>
          <w:lang w:eastAsia="es-CO"/>
        </w:rPr>
        <w:footnoteReference w:id="18"/>
      </w:r>
      <w:r w:rsidR="008D3A70" w:rsidRPr="00C24652">
        <w:rPr>
          <w:rFonts w:ascii="Arial" w:eastAsia="Arial MT" w:hAnsi="Arial" w:cs="Arial"/>
          <w:lang w:val="es-ES"/>
        </w:rPr>
        <w:t>.</w:t>
      </w:r>
      <w:r w:rsidR="008D3A70" w:rsidRPr="00C24652">
        <w:rPr>
          <w:rFonts w:ascii="Arial" w:eastAsia="Times New Roman" w:hAnsi="Arial" w:cs="Arial"/>
          <w:lang w:eastAsia="es-CO"/>
        </w:rPr>
        <w:t xml:space="preserve"> Asimismo, de acuerdo con el literal g) del artículo 11 de la misma Ley, todos los destinatarios de la ley de transparencia deben garantizar la publicidad de </w:t>
      </w:r>
      <w:r w:rsidR="006D4650">
        <w:rPr>
          <w:rFonts w:ascii="Arial" w:eastAsia="Times New Roman" w:hAnsi="Arial" w:cs="Arial"/>
          <w:lang w:eastAsia="es-CO"/>
        </w:rPr>
        <w:t>“</w:t>
      </w:r>
      <w:r w:rsidR="008D3A70" w:rsidRPr="00C24652">
        <w:rPr>
          <w:rFonts w:ascii="Arial" w:eastAsia="Times New Roman" w:hAnsi="Arial" w:cs="Arial"/>
          <w:lang w:eastAsia="es-CO"/>
        </w:rPr>
        <w:t>sus procedimientos, lineamientos, políticas en materia de adquisiciones y compras, así como todos los datos de adjudicación y ejecución de contratos, incluidos concursos y licitaciones</w:t>
      </w:r>
      <w:r w:rsidR="006D4650">
        <w:rPr>
          <w:rFonts w:ascii="Arial" w:eastAsia="Times New Roman" w:hAnsi="Arial" w:cs="Arial"/>
          <w:lang w:eastAsia="es-CO"/>
        </w:rPr>
        <w:t>”</w:t>
      </w:r>
      <w:r w:rsidR="008D3A70" w:rsidRPr="00C24652">
        <w:rPr>
          <w:rFonts w:ascii="Arial" w:eastAsia="Times New Roman" w:hAnsi="Arial" w:cs="Arial"/>
          <w:lang w:eastAsia="es-CO"/>
        </w:rPr>
        <w:t xml:space="preserve">, y esta información también debe estar en el SECOP. </w:t>
      </w:r>
    </w:p>
    <w:bookmarkEnd w:id="7"/>
    <w:p w14:paraId="6DAE4A58" w14:textId="7BF36976" w:rsidR="006830FE" w:rsidRPr="006830FE" w:rsidRDefault="006830FE" w:rsidP="00C02E91">
      <w:pPr>
        <w:spacing w:after="120" w:line="276" w:lineRule="auto"/>
        <w:ind w:firstLine="708"/>
        <w:jc w:val="both"/>
        <w:rPr>
          <w:rFonts w:ascii="Arial" w:eastAsia="Calibri" w:hAnsi="Arial" w:cs="Arial"/>
          <w:bCs/>
          <w:lang w:val="es-MX"/>
        </w:rPr>
      </w:pPr>
      <w:r w:rsidRPr="006830FE">
        <w:rPr>
          <w:rFonts w:ascii="Arial" w:eastAsia="Calibri" w:hAnsi="Arial" w:cs="Arial"/>
          <w:bCs/>
          <w:lang w:val="es-MX"/>
        </w:rPr>
        <w:t>Esta obligación fue desarrollada por el artículo 2.1.1.2.1.7. del Decreto Único Reglamentario 1081 de 2015</w:t>
      </w:r>
      <w:r w:rsidRPr="00C02E91">
        <w:rPr>
          <w:rFonts w:ascii="Arial" w:eastAsia="Calibri" w:hAnsi="Arial" w:cs="Arial"/>
          <w:bCs/>
          <w:vertAlign w:val="superscript"/>
          <w:lang w:val="es-MX"/>
        </w:rPr>
        <w:footnoteReference w:id="19"/>
      </w:r>
      <w:r w:rsidRPr="006830FE">
        <w:rPr>
          <w:rFonts w:ascii="Arial" w:eastAsia="Calibri" w:hAnsi="Arial" w:cs="Arial"/>
          <w:bCs/>
          <w:lang w:val="es-MX"/>
        </w:rPr>
        <w:t xml:space="preserve">, el cual dispuso que la publicación de la información contractual </w:t>
      </w:r>
      <w:r w:rsidRPr="006830FE">
        <w:rPr>
          <w:rFonts w:ascii="Arial" w:eastAsia="Calibri" w:hAnsi="Arial" w:cs="Arial"/>
          <w:bCs/>
          <w:lang w:val="es-MX"/>
        </w:rPr>
        <w:lastRenderedPageBreak/>
        <w:t>de los sujetos obligados, que contratan con cargo a recursos públicos, debe hacerse en el Sistema Electrónico para la Contratación Pública ─</w:t>
      </w:r>
      <w:r w:rsidRPr="006830FE">
        <w:rPr>
          <w:rFonts w:ascii="Arial" w:eastAsia="Calibri" w:hAnsi="Arial" w:cs="Arial"/>
          <w:bCs/>
          <w:lang w:val="es-MX"/>
        </w:rPr>
        <w:softHyphen/>
        <w:t xml:space="preserve"> </w:t>
      </w:r>
      <w:r w:rsidRPr="006830FE">
        <w:rPr>
          <w:rFonts w:ascii="Arial" w:eastAsia="Calibri" w:hAnsi="Arial" w:cs="Arial"/>
          <w:bCs/>
          <w:lang w:val="es-MX"/>
        </w:rPr>
        <w:softHyphen/>
        <w:t>SECOP–</w:t>
      </w:r>
      <w:r w:rsidR="004C0803">
        <w:rPr>
          <w:rFonts w:ascii="Arial" w:eastAsia="Calibri" w:hAnsi="Arial" w:cs="Arial"/>
          <w:bCs/>
          <w:lang w:val="es-MX"/>
        </w:rPr>
        <w:t>.</w:t>
      </w:r>
    </w:p>
    <w:p w14:paraId="55BB448B" w14:textId="565CE463" w:rsidR="006830FE" w:rsidRPr="006830FE" w:rsidRDefault="006830FE" w:rsidP="00C02E91">
      <w:pPr>
        <w:spacing w:after="0" w:line="276" w:lineRule="auto"/>
        <w:ind w:firstLine="709"/>
        <w:contextualSpacing/>
        <w:jc w:val="both"/>
        <w:rPr>
          <w:rFonts w:ascii="Arial" w:eastAsia="Calibri" w:hAnsi="Arial" w:cs="Arial"/>
          <w:bCs/>
          <w:lang w:val="es-MX"/>
        </w:rPr>
      </w:pPr>
      <w:r w:rsidRPr="006830FE">
        <w:rPr>
          <w:rFonts w:ascii="Arial" w:eastAsia="Calibri" w:hAnsi="Arial" w:cs="Arial"/>
          <w:bCs/>
          <w:lang w:val="es-MX"/>
        </w:rPr>
        <w:t xml:space="preserve">Las anteriores disposiciones normativas fueron complementadas con la expedición de la </w:t>
      </w:r>
      <w:bookmarkStart w:id="8" w:name="_Hlk109111930"/>
      <w:r w:rsidRPr="006830FE">
        <w:rPr>
          <w:rFonts w:ascii="Arial" w:eastAsia="Calibri" w:hAnsi="Arial" w:cs="Arial"/>
          <w:bCs/>
          <w:lang w:val="es-MX"/>
        </w:rPr>
        <w:t xml:space="preserve">Ley 2195 de 2022, </w:t>
      </w:r>
      <w:r w:rsidR="00BE5869">
        <w:rPr>
          <w:rFonts w:ascii="Arial" w:eastAsia="Calibri" w:hAnsi="Arial" w:cs="Arial"/>
          <w:bCs/>
          <w:lang w:val="es-MX"/>
        </w:rPr>
        <w:t>“P</w:t>
      </w:r>
      <w:r w:rsidRPr="006830FE">
        <w:rPr>
          <w:rFonts w:ascii="Arial" w:eastAsia="Calibri" w:hAnsi="Arial" w:cs="Arial"/>
          <w:bCs/>
          <w:lang w:val="es-MX"/>
        </w:rPr>
        <w:t>or medio de la cual se adoptan medidas en materia de transparencia, prevención y lucha contra la corrupción</w:t>
      </w:r>
      <w:r w:rsidR="00BE5869">
        <w:rPr>
          <w:rFonts w:ascii="Arial" w:eastAsia="Calibri" w:hAnsi="Arial" w:cs="Arial"/>
          <w:bCs/>
          <w:lang w:val="es-MX"/>
        </w:rPr>
        <w:t>”</w:t>
      </w:r>
      <w:r w:rsidRPr="006830FE">
        <w:rPr>
          <w:rFonts w:ascii="Arial" w:eastAsia="Calibri" w:hAnsi="Arial" w:cs="Arial"/>
          <w:bCs/>
          <w:lang w:val="es-MX"/>
        </w:rPr>
        <w:t xml:space="preserve">. Según lo dispone su artículo 1, esta Ley </w:t>
      </w:r>
      <w:r w:rsidR="008D3CB2">
        <w:rPr>
          <w:rFonts w:ascii="Arial" w:eastAsia="Calibri" w:hAnsi="Arial" w:cs="Arial"/>
          <w:bCs/>
          <w:lang w:val="es-MX"/>
        </w:rPr>
        <w:t>“</w:t>
      </w:r>
      <w:r w:rsidRPr="006830FE">
        <w:rPr>
          <w:rFonts w:ascii="Arial" w:eastAsia="Calibri" w:hAnsi="Arial" w:cs="Arial"/>
          <w:bCs/>
          <w:lang w:val="es-MX"/>
        </w:rPr>
        <w:t>[…]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C82859">
        <w:rPr>
          <w:rFonts w:ascii="Arial" w:eastAsia="Calibri" w:hAnsi="Arial" w:cs="Arial"/>
          <w:bCs/>
          <w:lang w:val="es-MX"/>
        </w:rPr>
        <w:t>”</w:t>
      </w:r>
      <w:r w:rsidRPr="006830FE">
        <w:rPr>
          <w:rFonts w:ascii="Arial" w:eastAsia="Calibri" w:hAnsi="Arial" w:cs="Arial"/>
          <w:bCs/>
          <w:lang w:val="es-MX"/>
        </w:rPr>
        <w:t xml:space="preserve">. Dentro del capítulo VIII de esta Ley, que lleva por título </w:t>
      </w:r>
      <w:r w:rsidR="008675BC">
        <w:rPr>
          <w:rFonts w:ascii="Arial" w:eastAsia="Calibri" w:hAnsi="Arial" w:cs="Arial"/>
          <w:bCs/>
          <w:lang w:val="es-MX"/>
        </w:rPr>
        <w:t>“</w:t>
      </w:r>
      <w:r w:rsidRPr="006830FE">
        <w:rPr>
          <w:rFonts w:ascii="Arial" w:eastAsia="Calibri" w:hAnsi="Arial" w:cs="Arial"/>
          <w:bCs/>
          <w:lang w:val="es-MX"/>
        </w:rPr>
        <w:t>Disposiciones en materia contractual para la moralización y la transparencia</w:t>
      </w:r>
      <w:r w:rsidR="008675BC">
        <w:rPr>
          <w:rFonts w:ascii="Arial" w:eastAsia="Calibri" w:hAnsi="Arial" w:cs="Arial"/>
          <w:bCs/>
          <w:lang w:val="es-MX"/>
        </w:rPr>
        <w:t>”</w:t>
      </w:r>
      <w:r w:rsidRPr="006830FE">
        <w:rPr>
          <w:rFonts w:ascii="Arial" w:eastAsia="Calibri" w:hAnsi="Arial" w:cs="Arial"/>
          <w:bCs/>
          <w:lang w:val="es-MX"/>
        </w:rPr>
        <w:t xml:space="preserve">,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8"/>
      <w:r w:rsidRPr="006830FE">
        <w:rPr>
          <w:rFonts w:ascii="Arial" w:eastAsia="Calibri" w:hAnsi="Arial" w:cs="Arial"/>
          <w:bCs/>
          <w:lang w:val="es-MX"/>
        </w:rPr>
        <w:t>Al respecto, la norma citada, de manera expresa, señala:</w:t>
      </w:r>
    </w:p>
    <w:p w14:paraId="0C416782" w14:textId="77777777" w:rsidR="006830FE" w:rsidRPr="006830FE" w:rsidRDefault="006830FE" w:rsidP="00C02E91">
      <w:pPr>
        <w:spacing w:after="0" w:line="276" w:lineRule="auto"/>
        <w:ind w:firstLine="301"/>
        <w:contextualSpacing/>
        <w:rPr>
          <w:rFonts w:ascii="Arial" w:eastAsia="Calibri" w:hAnsi="Arial" w:cs="Arial"/>
          <w:bCs/>
          <w:lang w:val="es-MX"/>
        </w:rPr>
      </w:pPr>
    </w:p>
    <w:p w14:paraId="442CA5FE"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“Adiciónese los siguientes incisos al artículo 13 de la Ley 1150 de 2007, el cual quedará así:</w:t>
      </w:r>
    </w:p>
    <w:p w14:paraId="7FE8CAD9"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20BAF546"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F603D72"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6A220F09" w14:textId="77777777" w:rsidR="006830FE" w:rsidRPr="00C02E91" w:rsidRDefault="006830FE" w:rsidP="006830FE">
      <w:pPr>
        <w:spacing w:after="0" w:line="240" w:lineRule="auto"/>
        <w:ind w:left="709" w:right="709"/>
        <w:contextualSpacing/>
        <w:jc w:val="both"/>
        <w:rPr>
          <w:rFonts w:ascii="Arial" w:eastAsia="Calibri" w:hAnsi="Arial" w:cs="Arial"/>
          <w:bCs/>
          <w:i/>
          <w:iCs/>
          <w:sz w:val="21"/>
          <w:szCs w:val="21"/>
          <w:lang w:val="es-MX"/>
        </w:rPr>
      </w:pPr>
      <w:r w:rsidRPr="00C02E91">
        <w:rPr>
          <w:rFonts w:ascii="Arial" w:eastAsia="Calibri" w:hAnsi="Arial" w:cs="Arial"/>
          <w:bCs/>
          <w:i/>
          <w:iCs/>
          <w:sz w:val="21"/>
          <w:szCs w:val="21"/>
          <w:lang w:val="es-MX"/>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C02E91">
        <w:rPr>
          <w:rFonts w:ascii="Arial" w:eastAsia="Calibri" w:hAnsi="Arial" w:cs="Arial"/>
          <w:bCs/>
          <w:i/>
          <w:iCs/>
          <w:sz w:val="21"/>
          <w:szCs w:val="21"/>
          <w:lang w:val="es-MX"/>
        </w:rPr>
        <w:t>postcontractual</w:t>
      </w:r>
      <w:proofErr w:type="spellEnd"/>
      <w:r w:rsidRPr="00C02E91">
        <w:rPr>
          <w:rFonts w:ascii="Arial" w:eastAsia="Calibri" w:hAnsi="Arial" w:cs="Arial"/>
          <w:bCs/>
          <w:i/>
          <w:iCs/>
          <w:sz w:val="21"/>
          <w:szCs w:val="21"/>
          <w:lang w:val="es-MX"/>
        </w:rPr>
        <w:t>.</w:t>
      </w:r>
    </w:p>
    <w:p w14:paraId="37A7B731" w14:textId="77777777" w:rsidR="006830FE" w:rsidRPr="00C02E91" w:rsidRDefault="006830FE" w:rsidP="006830FE">
      <w:pPr>
        <w:spacing w:after="0" w:line="240" w:lineRule="auto"/>
        <w:ind w:left="709" w:right="709"/>
        <w:contextualSpacing/>
        <w:jc w:val="both"/>
        <w:rPr>
          <w:rFonts w:ascii="Arial" w:eastAsia="Calibri" w:hAnsi="Arial" w:cs="Arial"/>
          <w:bCs/>
          <w:sz w:val="21"/>
          <w:szCs w:val="21"/>
          <w:lang w:val="es-MX"/>
        </w:rPr>
      </w:pPr>
    </w:p>
    <w:p w14:paraId="382BB45C" w14:textId="44B28767" w:rsidR="006830FE" w:rsidRPr="00C02E91" w:rsidRDefault="006830FE" w:rsidP="004C0803">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lastRenderedPageBreak/>
        <w:t>A partir de la entrada en vigencia de la presente Ley, se establecerá un periodo de transición de seis (6) meses, para que las entidades den cumplimiento efectivo a lo aquí establecido”. [</w:t>
      </w:r>
      <w:r w:rsidR="004C0803">
        <w:rPr>
          <w:rFonts w:ascii="Arial" w:eastAsia="Calibri" w:hAnsi="Arial" w:cs="Arial"/>
          <w:bCs/>
          <w:sz w:val="21"/>
          <w:szCs w:val="21"/>
          <w:lang w:val="es-MX"/>
        </w:rPr>
        <w:t>Énfasis</w:t>
      </w:r>
      <w:r w:rsidR="004C0803" w:rsidRPr="00C02E91">
        <w:rPr>
          <w:rFonts w:ascii="Arial" w:eastAsia="Calibri" w:hAnsi="Arial" w:cs="Arial"/>
          <w:bCs/>
          <w:sz w:val="21"/>
          <w:szCs w:val="21"/>
          <w:lang w:val="es-MX"/>
        </w:rPr>
        <w:t xml:space="preserve"> </w:t>
      </w:r>
      <w:r w:rsidRPr="00C02E91">
        <w:rPr>
          <w:rFonts w:ascii="Arial" w:eastAsia="Calibri" w:hAnsi="Arial" w:cs="Arial"/>
          <w:bCs/>
          <w:sz w:val="21"/>
          <w:szCs w:val="21"/>
          <w:lang w:val="es-MX"/>
        </w:rPr>
        <w:t>fuera de texto].</w:t>
      </w:r>
    </w:p>
    <w:p w14:paraId="7FB2F3ED" w14:textId="77777777" w:rsidR="006830FE" w:rsidRPr="006830FE" w:rsidRDefault="006830FE" w:rsidP="00C02E91">
      <w:pPr>
        <w:spacing w:after="0" w:line="276" w:lineRule="auto"/>
        <w:ind w:firstLine="709"/>
        <w:contextualSpacing/>
        <w:jc w:val="both"/>
        <w:rPr>
          <w:rFonts w:ascii="Arial" w:eastAsia="Calibri" w:hAnsi="Arial" w:cs="Arial"/>
          <w:bCs/>
          <w:lang w:val="es-MX"/>
        </w:rPr>
      </w:pPr>
    </w:p>
    <w:p w14:paraId="613A2471" w14:textId="41219E1D" w:rsidR="00BF50BB" w:rsidRPr="00C24652" w:rsidRDefault="00BF50BB" w:rsidP="00195095">
      <w:pPr>
        <w:spacing w:after="120" w:line="276" w:lineRule="auto"/>
        <w:ind w:firstLine="709"/>
        <w:jc w:val="both"/>
        <w:rPr>
          <w:rFonts w:ascii="Arial" w:eastAsia="Calibri" w:hAnsi="Arial" w:cs="Arial"/>
          <w:lang w:val="es-ES_tradnl"/>
        </w:rPr>
      </w:pPr>
      <w:r w:rsidRPr="00C24652">
        <w:rPr>
          <w:rFonts w:ascii="Arial" w:eastAsia="Calibri" w:hAnsi="Arial" w:cs="Arial"/>
          <w:lang w:val="es-ES_tradnl"/>
        </w:rPr>
        <w:t>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w:t>
      </w:r>
      <w:r w:rsidR="00C571EC">
        <w:rPr>
          <w:rFonts w:ascii="Arial" w:eastAsia="Calibri" w:hAnsi="Arial" w:cs="Arial"/>
          <w:lang w:val="es-ES_tradnl"/>
        </w:rPr>
        <w:t>,</w:t>
      </w:r>
      <w:r w:rsidRPr="00C24652">
        <w:rPr>
          <w:rFonts w:ascii="Arial" w:eastAsia="Calibri" w:hAnsi="Arial" w:cs="Arial"/>
          <w:lang w:val="es-ES_tradnl"/>
        </w:rPr>
        <w:t xml:space="preserve"> el Congreso de la República dispone que las entidades estatales exceptuadas del EGCAP deben publicar en el SECOP II –es decir en la plataforma transaccional vigente– su actividad contractual. </w:t>
      </w:r>
    </w:p>
    <w:p w14:paraId="0F44C862" w14:textId="22434EEE" w:rsidR="006830FE" w:rsidRPr="006830FE" w:rsidRDefault="00C74F88" w:rsidP="00195095">
      <w:pPr>
        <w:spacing w:after="120" w:line="276" w:lineRule="auto"/>
        <w:ind w:firstLine="709"/>
        <w:jc w:val="both"/>
        <w:rPr>
          <w:rFonts w:ascii="Arial" w:eastAsia="Calibri" w:hAnsi="Arial" w:cs="Arial"/>
          <w:bCs/>
          <w:lang w:val="es-MX"/>
        </w:rPr>
      </w:pPr>
      <w:r>
        <w:rPr>
          <w:rFonts w:ascii="Arial" w:eastAsia="Calibri" w:hAnsi="Arial" w:cs="Arial"/>
          <w:bCs/>
          <w:lang w:val="es-MX"/>
        </w:rPr>
        <w:t>Ahora bien, c</w:t>
      </w:r>
      <w:r w:rsidR="006830FE" w:rsidRPr="006830FE">
        <w:rPr>
          <w:rFonts w:ascii="Arial" w:eastAsia="Calibri" w:hAnsi="Arial" w:cs="Arial"/>
          <w:bCs/>
          <w:lang w:val="es-MX"/>
        </w:rPr>
        <w:t xml:space="preserve">abe destacar que cuando la norma trascrita hace referencia a que el mencionado deber de publicidad debe cumplirse en el SECOP II o </w:t>
      </w:r>
      <w:r w:rsidR="00EF380E">
        <w:rPr>
          <w:rFonts w:ascii="Arial" w:eastAsia="Calibri" w:hAnsi="Arial" w:cs="Arial"/>
          <w:bCs/>
          <w:lang w:val="es-MX"/>
        </w:rPr>
        <w:t>“</w:t>
      </w:r>
      <w:r w:rsidR="006830FE" w:rsidRPr="006830FE">
        <w:rPr>
          <w:rFonts w:ascii="Arial" w:eastAsia="Calibri" w:hAnsi="Arial" w:cs="Arial"/>
          <w:bCs/>
          <w:lang w:val="es-MX"/>
        </w:rPr>
        <w:t>la plataforma transaccional que haga sus veces</w:t>
      </w:r>
      <w:r w:rsidR="00C17CB5">
        <w:rPr>
          <w:rFonts w:ascii="Arial" w:eastAsia="Calibri" w:hAnsi="Arial" w:cs="Arial"/>
          <w:bCs/>
          <w:lang w:val="es-MX"/>
        </w:rPr>
        <w:t>”</w:t>
      </w:r>
      <w:r w:rsidR="006830FE" w:rsidRPr="006830FE">
        <w:rPr>
          <w:rFonts w:ascii="Arial" w:eastAsia="Calibri" w:hAnsi="Arial" w:cs="Arial"/>
          <w:bCs/>
          <w:lang w:val="es-MX"/>
        </w:rPr>
        <w:t>, esta expresión debe interpretarse bajo el entendido de que si bien el SECOP II es la plataforma oficial que actualmente se utiliza como mecanismo transaccional, en caso de que</w:t>
      </w:r>
      <w:r w:rsidR="00A4457F">
        <w:rPr>
          <w:rFonts w:ascii="Arial" w:eastAsia="Calibri" w:hAnsi="Arial" w:cs="Arial"/>
          <w:bCs/>
          <w:lang w:val="es-MX"/>
        </w:rPr>
        <w:t xml:space="preserve"> en el futuro</w:t>
      </w:r>
      <w:r w:rsidR="006830FE" w:rsidRPr="006830FE">
        <w:rPr>
          <w:rFonts w:ascii="Arial" w:eastAsia="Calibri" w:hAnsi="Arial" w:cs="Arial"/>
          <w:bCs/>
          <w:lang w:val="es-MX"/>
        </w:rPr>
        <w:t xml:space="preserve"> dicha plataforma sea remplazada por otra que tenga una denominación distinta, las entidades que tienen un régimen exceptuado deben continuar publicando la documentación de su actividad contractual en la nueva plataforma</w:t>
      </w:r>
      <w:r w:rsidR="008C7AEF">
        <w:rPr>
          <w:rFonts w:ascii="Arial" w:eastAsia="Calibri" w:hAnsi="Arial" w:cs="Arial"/>
          <w:bCs/>
          <w:lang w:val="es-MX"/>
        </w:rPr>
        <w:t xml:space="preserve"> transaccional que para el efecto se cree</w:t>
      </w:r>
      <w:r w:rsidR="006830FE" w:rsidRPr="006830FE">
        <w:rPr>
          <w:rFonts w:ascii="Arial" w:eastAsia="Calibri" w:hAnsi="Arial" w:cs="Arial"/>
          <w:bCs/>
          <w:lang w:val="es-MX"/>
        </w:rPr>
        <w:t xml:space="preserve">. En ese sentido, la locución </w:t>
      </w:r>
      <w:r w:rsidR="008C7AEF">
        <w:rPr>
          <w:rFonts w:ascii="Arial" w:eastAsia="Calibri" w:hAnsi="Arial" w:cs="Arial"/>
          <w:bCs/>
          <w:lang w:val="es-MX"/>
        </w:rPr>
        <w:t>“</w:t>
      </w:r>
      <w:r w:rsidR="006830FE" w:rsidRPr="006830FE">
        <w:rPr>
          <w:rFonts w:ascii="Arial" w:eastAsia="Calibri" w:hAnsi="Arial" w:cs="Arial"/>
          <w:bCs/>
          <w:lang w:val="es-MX"/>
        </w:rPr>
        <w:t>la plataforma que haga sus veces</w:t>
      </w:r>
      <w:r w:rsidR="008C7AEF">
        <w:rPr>
          <w:rFonts w:ascii="Arial" w:eastAsia="Calibri" w:hAnsi="Arial" w:cs="Arial"/>
          <w:bCs/>
          <w:lang w:val="es-MX"/>
        </w:rPr>
        <w:t>”</w:t>
      </w:r>
      <w:r w:rsidR="006830FE" w:rsidRPr="006830FE">
        <w:rPr>
          <w:rFonts w:ascii="Arial" w:eastAsia="Calibri" w:hAnsi="Arial" w:cs="Arial"/>
          <w:bCs/>
          <w:lang w:val="es-MX"/>
        </w:rPr>
        <w:t xml:space="preserve"> no puede interpretarse como una autorización para que las entidades obligadas en virtud del artículo 53 de la Ley 2195 de 2022 </w:t>
      </w:r>
      <w:r w:rsidR="00086E72">
        <w:rPr>
          <w:rFonts w:ascii="Arial" w:eastAsia="Calibri" w:hAnsi="Arial" w:cs="Arial"/>
          <w:bCs/>
          <w:lang w:val="es-MX"/>
        </w:rPr>
        <w:t>empleen</w:t>
      </w:r>
      <w:r w:rsidR="006830FE" w:rsidRPr="006830FE">
        <w:rPr>
          <w:rFonts w:ascii="Arial" w:eastAsia="Calibri" w:hAnsi="Arial" w:cs="Arial"/>
          <w:bCs/>
          <w:lang w:val="es-MX"/>
        </w:rPr>
        <w:t xml:space="preserve">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7FA8E397" w14:textId="2E960157" w:rsidR="006830FE" w:rsidRPr="006830FE" w:rsidRDefault="006830FE" w:rsidP="00C02E91">
      <w:pPr>
        <w:spacing w:after="120" w:line="276" w:lineRule="auto"/>
        <w:ind w:firstLine="709"/>
        <w:jc w:val="both"/>
        <w:rPr>
          <w:rFonts w:ascii="Arial" w:eastAsia="Calibri" w:hAnsi="Arial" w:cs="Arial"/>
          <w:bCs/>
          <w:lang w:val="es-MX"/>
        </w:rPr>
      </w:pPr>
      <w:bookmarkStart w:id="9" w:name="_Hlk109111956"/>
      <w:r w:rsidRPr="006830FE">
        <w:rPr>
          <w:rFonts w:ascii="Arial" w:eastAsia="Calibri" w:hAnsi="Arial" w:cs="Arial"/>
          <w:bCs/>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C02E91">
        <w:rPr>
          <w:rFonts w:ascii="Arial" w:eastAsia="Calibri" w:hAnsi="Arial" w:cs="Arial"/>
          <w:bCs/>
          <w:i/>
          <w:iCs/>
          <w:lang w:val="es-MX"/>
        </w:rPr>
        <w:t>actividad contractual</w:t>
      </w:r>
      <w:r w:rsidRPr="006830FE">
        <w:rPr>
          <w:rFonts w:ascii="Arial" w:eastAsia="Calibri" w:hAnsi="Arial" w:cs="Arial"/>
          <w:bCs/>
          <w:lang w:val="es-MX"/>
        </w:rPr>
        <w:t xml:space="preserve">, la cual define como </w:t>
      </w:r>
      <w:r w:rsidR="001B4415">
        <w:rPr>
          <w:rFonts w:ascii="Arial" w:eastAsia="Calibri" w:hAnsi="Arial" w:cs="Arial"/>
          <w:bCs/>
          <w:lang w:val="es-MX"/>
        </w:rPr>
        <w:t>“</w:t>
      </w:r>
      <w:r w:rsidRPr="006830FE">
        <w:rPr>
          <w:rFonts w:ascii="Arial" w:eastAsia="Calibri" w:hAnsi="Arial" w:cs="Arial"/>
          <w:bCs/>
          <w:lang w:val="es-MX"/>
        </w:rPr>
        <w:t xml:space="preserve">[…] los documentos, contratos, actos e información generada por oferentes, contratista, contratante, supervisor o interventor, tanto en la etapa precontractual, como en la contractual y la </w:t>
      </w:r>
      <w:proofErr w:type="spellStart"/>
      <w:r w:rsidRPr="006830FE">
        <w:rPr>
          <w:rFonts w:ascii="Arial" w:eastAsia="Calibri" w:hAnsi="Arial" w:cs="Arial"/>
          <w:bCs/>
          <w:lang w:val="es-MX"/>
        </w:rPr>
        <w:t>postcontractual</w:t>
      </w:r>
      <w:proofErr w:type="spellEnd"/>
      <w:r w:rsidR="001B4415">
        <w:rPr>
          <w:rFonts w:ascii="Arial" w:eastAsia="Calibri" w:hAnsi="Arial" w:cs="Arial"/>
          <w:bCs/>
          <w:lang w:val="es-MX"/>
        </w:rPr>
        <w:t>”</w:t>
      </w:r>
      <w:r w:rsidRPr="006830FE">
        <w:rPr>
          <w:rFonts w:ascii="Arial" w:eastAsia="Calibri" w:hAnsi="Arial" w:cs="Arial"/>
          <w:bCs/>
          <w:lang w:val="es-MX"/>
        </w:rPr>
        <w:t>. En ese sentido, el artículo 53 de la Ley 2195 de 2022 establece el deber de publicar toda aquella información relacionada con el respectivo contrato, sin incluir ninguna excepción relacionada con la naturaleza u objeto contractual</w:t>
      </w:r>
      <w:r w:rsidR="00825ED5">
        <w:rPr>
          <w:rFonts w:ascii="Arial" w:eastAsia="Calibri" w:hAnsi="Arial" w:cs="Arial"/>
          <w:bCs/>
          <w:lang w:val="es-MX"/>
        </w:rPr>
        <w:t>.</w:t>
      </w:r>
      <w:r w:rsidRPr="006830FE">
        <w:rPr>
          <w:rFonts w:ascii="Arial" w:eastAsia="Calibri" w:hAnsi="Arial" w:cs="Arial"/>
          <w:bCs/>
          <w:lang w:val="es-MX"/>
        </w:rPr>
        <w:t xml:space="preserve"> </w:t>
      </w:r>
      <w:r w:rsidR="00825ED5" w:rsidRPr="006830FE">
        <w:rPr>
          <w:rFonts w:ascii="Arial" w:eastAsia="Calibri" w:hAnsi="Arial" w:cs="Arial"/>
          <w:bCs/>
          <w:lang w:val="es-MX"/>
        </w:rPr>
        <w:t xml:space="preserve">Por </w:t>
      </w:r>
      <w:r w:rsidRPr="006830FE">
        <w:rPr>
          <w:rFonts w:ascii="Arial" w:eastAsia="Calibri" w:hAnsi="Arial" w:cs="Arial"/>
          <w:bCs/>
          <w:lang w:val="es-MX"/>
        </w:rPr>
        <w:t>lo</w:t>
      </w:r>
      <w:r w:rsidR="00825ED5">
        <w:rPr>
          <w:rFonts w:ascii="Arial" w:eastAsia="Calibri" w:hAnsi="Arial" w:cs="Arial"/>
          <w:bCs/>
          <w:lang w:val="es-MX"/>
        </w:rPr>
        <w:t xml:space="preserve"> tanto, </w:t>
      </w:r>
      <w:bookmarkEnd w:id="9"/>
      <w:r w:rsidRPr="006830FE">
        <w:rPr>
          <w:rFonts w:ascii="Arial" w:eastAsia="Calibri" w:hAnsi="Arial"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0D302433" w14:textId="77777777" w:rsidR="006830FE" w:rsidRP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Sin perjuicio de lo anterior, vale la pena aclarar que el cumplimiento del deber de publicación de la documentación contractual debe armonizarse con las normas aplicables al tipo </w:t>
      </w:r>
      <w:r w:rsidRPr="006830FE">
        <w:rPr>
          <w:rFonts w:ascii="Arial" w:eastAsia="Calibri" w:hAnsi="Arial" w:cs="Arial"/>
          <w:bCs/>
          <w:lang w:val="es-MX"/>
        </w:rPr>
        <w:lastRenderedPageBreak/>
        <w:t>de información que estas contienen</w:t>
      </w:r>
      <w:r w:rsidRPr="00C02E91">
        <w:rPr>
          <w:rFonts w:ascii="Arial" w:eastAsia="Calibri" w:hAnsi="Arial" w:cs="Arial"/>
          <w:bCs/>
          <w:vertAlign w:val="superscript"/>
          <w:lang w:val="es-MX"/>
        </w:rPr>
        <w:footnoteReference w:id="20"/>
      </w:r>
      <w:r w:rsidRPr="006830FE">
        <w:rPr>
          <w:rFonts w:ascii="Arial" w:eastAsia="Calibri" w:hAnsi="Arial" w:cs="Arial"/>
          <w:bCs/>
          <w:lang w:val="es-MX"/>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391D65CF" w14:textId="7B79EFFF" w:rsidR="006830FE" w:rsidRPr="006830FE" w:rsidRDefault="005230E3" w:rsidP="00C02E91">
      <w:pPr>
        <w:spacing w:after="120" w:line="276" w:lineRule="auto"/>
        <w:ind w:firstLine="709"/>
        <w:jc w:val="both"/>
        <w:rPr>
          <w:rFonts w:ascii="Arial" w:eastAsia="Calibri" w:hAnsi="Arial" w:cs="Arial"/>
          <w:bCs/>
          <w:lang w:val="es-MX"/>
        </w:rPr>
      </w:pPr>
      <w:bookmarkStart w:id="10" w:name="_Hlk109111976"/>
      <w:r>
        <w:rPr>
          <w:rFonts w:ascii="Arial" w:eastAsia="Calibri" w:hAnsi="Arial" w:cs="Arial"/>
          <w:bCs/>
          <w:lang w:val="es-MX"/>
        </w:rPr>
        <w:t>Por otro lado</w:t>
      </w:r>
      <w:r w:rsidR="006830FE" w:rsidRPr="006830FE">
        <w:rPr>
          <w:rFonts w:ascii="Arial" w:eastAsia="Calibri" w:hAnsi="Arial" w:cs="Arial"/>
          <w:bCs/>
          <w:lang w:val="es-MX"/>
        </w:rPr>
        <w:t xml:space="preserve">, el inciso final del artículo 53 dispone que </w:t>
      </w:r>
      <w:r w:rsidR="00E934D6">
        <w:rPr>
          <w:rFonts w:ascii="Arial" w:eastAsia="Calibri" w:hAnsi="Arial" w:cs="Arial"/>
          <w:bCs/>
          <w:lang w:val="es-MX"/>
        </w:rPr>
        <w:t>“</w:t>
      </w:r>
      <w:r w:rsidR="006830FE" w:rsidRPr="006830FE">
        <w:rPr>
          <w:rFonts w:ascii="Arial" w:eastAsia="Calibri" w:hAnsi="Arial" w:cs="Arial"/>
          <w:bCs/>
          <w:lang w:val="es-MX"/>
        </w:rPr>
        <w:t>A partir de la entrada en vigencia de la presente Ley, se establecerá un periodo de transición de seis (6) meses, para que las entidades den cumplimiento efectivo a lo aquí establecido</w:t>
      </w:r>
      <w:r w:rsidR="00315680">
        <w:rPr>
          <w:rFonts w:ascii="Arial" w:eastAsia="Calibri" w:hAnsi="Arial" w:cs="Arial"/>
          <w:bCs/>
          <w:lang w:val="es-MX"/>
        </w:rPr>
        <w:t>”</w:t>
      </w:r>
      <w:r w:rsidR="006830FE" w:rsidRPr="006830FE">
        <w:rPr>
          <w:rFonts w:ascii="Arial" w:eastAsia="Calibri" w:hAnsi="Arial" w:cs="Arial"/>
          <w:bCs/>
          <w:lang w:val="es-MX"/>
        </w:rPr>
        <w:t>.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10"/>
      <w:r w:rsidR="00B2029A">
        <w:rPr>
          <w:rFonts w:ascii="Arial" w:eastAsia="Calibri" w:hAnsi="Arial" w:cs="Arial"/>
          <w:bCs/>
          <w:lang w:val="es-MX"/>
        </w:rPr>
        <w:t xml:space="preserve"> </w:t>
      </w:r>
      <w:r w:rsidR="006830FE" w:rsidRPr="006830FE">
        <w:rPr>
          <w:rFonts w:ascii="Arial" w:eastAsia="Calibri" w:hAnsi="Arial" w:cs="Arial"/>
          <w:bCs/>
          <w:lang w:val="es-MX"/>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006830FE" w:rsidRPr="00C02E91">
        <w:rPr>
          <w:rFonts w:ascii="Arial" w:eastAsia="Calibri" w:hAnsi="Arial" w:cs="Arial"/>
          <w:bCs/>
          <w:vertAlign w:val="superscript"/>
          <w:lang w:val="es-MX"/>
        </w:rPr>
        <w:footnoteReference w:id="21"/>
      </w:r>
      <w:r w:rsidR="006830FE" w:rsidRPr="006830FE">
        <w:rPr>
          <w:rFonts w:ascii="Arial" w:eastAsia="Calibri" w:hAnsi="Arial" w:cs="Arial"/>
          <w:bCs/>
          <w:lang w:val="es-MX"/>
        </w:rPr>
        <w:t xml:space="preserve">. </w:t>
      </w:r>
    </w:p>
    <w:p w14:paraId="37D796A2" w14:textId="553409E0" w:rsidR="006830FE" w:rsidRPr="006830FE" w:rsidRDefault="0002437F" w:rsidP="00C02E91">
      <w:pPr>
        <w:spacing w:after="120" w:line="276" w:lineRule="auto"/>
        <w:ind w:firstLine="709"/>
        <w:jc w:val="both"/>
        <w:rPr>
          <w:rFonts w:ascii="Arial" w:eastAsia="Calibri" w:hAnsi="Arial" w:cs="Arial"/>
          <w:bCs/>
          <w:lang w:val="es-MX"/>
        </w:rPr>
      </w:pPr>
      <w:r>
        <w:rPr>
          <w:rFonts w:ascii="Arial" w:eastAsia="Calibri" w:hAnsi="Arial" w:cs="Arial"/>
          <w:bCs/>
          <w:lang w:val="es-MX"/>
        </w:rPr>
        <w:t>Teniendo en cuenta el marco normativo antes reseñado</w:t>
      </w:r>
      <w:r w:rsidR="006830FE" w:rsidRPr="006830FE">
        <w:rPr>
          <w:rFonts w:ascii="Arial" w:eastAsia="Calibri" w:hAnsi="Arial" w:cs="Arial"/>
          <w:bCs/>
          <w:lang w:val="es-MX"/>
        </w:rPr>
        <w:t xml:space="preserve">, </w:t>
      </w:r>
      <w:r w:rsidR="00727D5C">
        <w:rPr>
          <w:rFonts w:ascii="Arial" w:eastAsia="Calibri" w:hAnsi="Arial" w:cs="Arial"/>
          <w:bCs/>
          <w:lang w:val="es-MX"/>
        </w:rPr>
        <w:t>l</w:t>
      </w:r>
      <w:r w:rsidR="006830FE" w:rsidRPr="006830FE">
        <w:rPr>
          <w:rFonts w:ascii="Arial" w:eastAsia="Calibri" w:hAnsi="Arial" w:cs="Arial"/>
          <w:bCs/>
          <w:lang w:val="es-MX"/>
        </w:rPr>
        <w:t xml:space="preserve">a Circular Externa Única expedida por la Agencia Nacional de Contratación Pública - Colombia Compra Eficiente estableció que todas las entidades del Estado tienen el deber de publicar oportunamente la </w:t>
      </w:r>
      <w:r w:rsidR="006830FE" w:rsidRPr="006830FE">
        <w:rPr>
          <w:rFonts w:ascii="Arial" w:eastAsia="Calibri" w:hAnsi="Arial" w:cs="Arial"/>
          <w:bCs/>
          <w:lang w:val="es-MX"/>
        </w:rPr>
        <w:lastRenderedPageBreak/>
        <w:t>información oficial de la contratación en el SECOP, sin distinción de su régimen jurídico, naturaleza jurídica o la pertenencia a una u otra rama del poder público</w:t>
      </w:r>
      <w:r w:rsidR="006830FE" w:rsidRPr="00C02E91">
        <w:rPr>
          <w:rFonts w:ascii="Arial" w:eastAsia="Calibri" w:hAnsi="Arial" w:cs="Arial"/>
          <w:bCs/>
          <w:vertAlign w:val="superscript"/>
          <w:lang w:val="es-MX"/>
        </w:rPr>
        <w:footnoteReference w:id="22"/>
      </w:r>
      <w:r w:rsidR="006830FE" w:rsidRPr="006830FE">
        <w:rPr>
          <w:rFonts w:ascii="Arial" w:eastAsia="Calibri" w:hAnsi="Arial" w:cs="Arial"/>
          <w:bCs/>
          <w:lang w:val="es-MX"/>
        </w:rPr>
        <w:t xml:space="preserve">. </w:t>
      </w:r>
    </w:p>
    <w:p w14:paraId="64BA95EC" w14:textId="15C1A627" w:rsidR="006830FE" w:rsidRPr="006830FE" w:rsidRDefault="00A7685F" w:rsidP="00C02E91">
      <w:pPr>
        <w:spacing w:after="120" w:line="276" w:lineRule="auto"/>
        <w:ind w:firstLine="709"/>
        <w:jc w:val="both"/>
        <w:rPr>
          <w:rFonts w:ascii="Arial" w:eastAsia="Calibri" w:hAnsi="Arial" w:cs="Arial"/>
          <w:bCs/>
          <w:lang w:val="es-MX"/>
        </w:rPr>
      </w:pPr>
      <w:r>
        <w:rPr>
          <w:rFonts w:ascii="Arial" w:eastAsia="Calibri" w:hAnsi="Arial" w:cs="Arial"/>
          <w:bCs/>
          <w:lang w:val="es-MX"/>
        </w:rPr>
        <w:t>D</w:t>
      </w:r>
      <w:r w:rsidR="006830FE" w:rsidRPr="006830FE">
        <w:rPr>
          <w:rFonts w:ascii="Arial" w:eastAsia="Calibri" w:hAnsi="Arial" w:cs="Arial"/>
          <w:bCs/>
          <w:lang w:val="es-MX"/>
        </w:rPr>
        <w:t>e lo expuesto en los considerandos de este concepto, de cara a la consulta planteada acerca de la obligación</w:t>
      </w:r>
      <w:r w:rsidR="00EB15E7">
        <w:rPr>
          <w:rFonts w:ascii="Arial" w:eastAsia="Calibri" w:hAnsi="Arial" w:cs="Arial"/>
          <w:bCs/>
          <w:lang w:val="es-MX"/>
        </w:rPr>
        <w:t xml:space="preserve"> de publicación</w:t>
      </w:r>
      <w:r w:rsidR="006830FE" w:rsidRPr="006830FE">
        <w:rPr>
          <w:rFonts w:ascii="Arial" w:eastAsia="Calibri" w:hAnsi="Arial" w:cs="Arial"/>
          <w:bCs/>
          <w:lang w:val="es-MX"/>
        </w:rPr>
        <w:t xml:space="preserve"> de las empresas de servicios públicos,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14:paraId="65166D1A" w14:textId="77777777" w:rsidR="006830FE" w:rsidRPr="006830FE" w:rsidRDefault="006830FE" w:rsidP="00195095">
      <w:pPr>
        <w:spacing w:before="120" w:after="0" w:line="276" w:lineRule="auto"/>
        <w:ind w:firstLine="709"/>
        <w:jc w:val="both"/>
        <w:rPr>
          <w:rFonts w:ascii="Arial" w:eastAsia="Calibri" w:hAnsi="Arial" w:cs="Arial"/>
          <w:bCs/>
          <w:lang w:val="es-MX"/>
        </w:rPr>
      </w:pPr>
      <w:r w:rsidRPr="006830FE">
        <w:rPr>
          <w:rFonts w:ascii="Arial" w:eastAsia="Calibri" w:hAnsi="Arial" w:cs="Arial"/>
          <w:bCs/>
          <w:lang w:val="es-MX"/>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w:t>
      </w:r>
      <w:r w:rsidRPr="00C02E91">
        <w:rPr>
          <w:rFonts w:ascii="Arial" w:eastAsia="Calibri" w:hAnsi="Arial" w:cs="Arial"/>
          <w:bCs/>
          <w:i/>
          <w:iCs/>
          <w:lang w:val="es-MX"/>
        </w:rPr>
        <w:t>sujetos obligados</w:t>
      </w:r>
      <w:r w:rsidRPr="006830FE">
        <w:rPr>
          <w:rFonts w:ascii="Arial" w:eastAsia="Calibri" w:hAnsi="Arial" w:cs="Arial"/>
          <w:bCs/>
          <w:lang w:val="es-MX"/>
        </w:rPr>
        <w:t xml:space="preserve"> a garantizar el derecho de acceso a la información y a los documentos públicos, deben publicar en el SECOP los documentos relacionados con su gestión contractual.</w:t>
      </w:r>
    </w:p>
    <w:p w14:paraId="28646DA4" w14:textId="77777777" w:rsidR="006830FE" w:rsidRPr="006830FE" w:rsidRDefault="006830FE" w:rsidP="006830FE">
      <w:pPr>
        <w:spacing w:after="0" w:line="276" w:lineRule="auto"/>
        <w:contextualSpacing/>
        <w:jc w:val="both"/>
        <w:rPr>
          <w:rFonts w:ascii="Arial" w:eastAsia="Calibri" w:hAnsi="Arial" w:cs="Arial"/>
          <w:b/>
          <w:lang w:val="es-MX"/>
        </w:rPr>
      </w:pPr>
    </w:p>
    <w:p w14:paraId="482A8FA8" w14:textId="7AA81014" w:rsidR="008D4C29" w:rsidRPr="00C24652" w:rsidRDefault="006830FE" w:rsidP="008D4C29">
      <w:pPr>
        <w:spacing w:after="0" w:line="276" w:lineRule="auto"/>
        <w:contextualSpacing/>
        <w:jc w:val="both"/>
        <w:rPr>
          <w:rFonts w:ascii="Arial" w:eastAsia="Calibri" w:hAnsi="Arial" w:cs="Arial"/>
          <w:b/>
          <w:bCs/>
          <w:lang w:val="es-ES_tradnl" w:eastAsia="es-ES_tradnl"/>
        </w:rPr>
      </w:pPr>
      <w:r w:rsidRPr="006830FE">
        <w:rPr>
          <w:rFonts w:ascii="Arial" w:eastAsia="Calibri" w:hAnsi="Arial" w:cs="Arial"/>
          <w:b/>
          <w:lang w:val="es-MX"/>
        </w:rPr>
        <w:t xml:space="preserve">2.4. </w:t>
      </w:r>
      <w:r w:rsidR="008D4C29" w:rsidRPr="00C24652">
        <w:rPr>
          <w:rFonts w:ascii="Arial" w:eastAsia="Calibri" w:hAnsi="Arial" w:cs="Arial"/>
          <w:b/>
          <w:bCs/>
          <w:lang w:val="es-ES_tradnl" w:eastAsia="es-ES_tradnl"/>
        </w:rPr>
        <w:t>Alcance del deber de las entidades con regímenes especiales de publicar en el SECOP II la información concerniente a su actividad contractual</w:t>
      </w:r>
    </w:p>
    <w:p w14:paraId="23D5F8F9" w14:textId="77777777" w:rsidR="008D4C29" w:rsidRPr="00C24652" w:rsidRDefault="008D4C29" w:rsidP="008D4C29">
      <w:pPr>
        <w:spacing w:after="0" w:line="276" w:lineRule="auto"/>
        <w:contextualSpacing/>
        <w:jc w:val="both"/>
        <w:rPr>
          <w:rFonts w:ascii="Arial" w:eastAsia="Calibri" w:hAnsi="Arial" w:cs="Arial"/>
          <w:b/>
          <w:bCs/>
          <w:lang w:val="es-ES_tradnl" w:eastAsia="es-ES_tradnl"/>
        </w:rPr>
      </w:pPr>
    </w:p>
    <w:p w14:paraId="62BD333C" w14:textId="2DC67196" w:rsidR="008D4C29" w:rsidRPr="00331F85" w:rsidRDefault="008D4C29" w:rsidP="00331F85">
      <w:pPr>
        <w:spacing w:after="120" w:line="276" w:lineRule="auto"/>
        <w:jc w:val="both"/>
        <w:rPr>
          <w:rFonts w:ascii="Arial" w:eastAsia="Calibri" w:hAnsi="Arial" w:cs="Arial"/>
          <w:lang w:val="es-ES_tradnl" w:eastAsia="es-ES_tradnl"/>
        </w:rPr>
      </w:pPr>
      <w:r w:rsidRPr="00331F85">
        <w:rPr>
          <w:rFonts w:ascii="Arial" w:eastAsia="Calibri" w:hAnsi="Arial" w:cs="Arial"/>
          <w:lang w:val="es-ES_tradnl" w:eastAsia="es-ES_tradnl"/>
        </w:rPr>
        <w:t xml:space="preserve">Una vez </w:t>
      </w:r>
      <w:r w:rsidR="004F5E70">
        <w:rPr>
          <w:rFonts w:ascii="Arial" w:eastAsia="Calibri" w:hAnsi="Arial" w:cs="Arial"/>
          <w:lang w:val="es-ES_tradnl" w:eastAsia="es-ES_tradnl"/>
        </w:rPr>
        <w:t>explicada</w:t>
      </w:r>
      <w:r w:rsidRPr="00331F85">
        <w:rPr>
          <w:rFonts w:ascii="Arial" w:eastAsia="Calibri" w:hAnsi="Arial" w:cs="Arial"/>
          <w:lang w:val="es-ES_tradnl" w:eastAsia="es-ES_tradnl"/>
        </w:rPr>
        <w:t xml:space="preserve"> la obligación que les asiste a las entidades con regímenes exceptuados de publicar en el SECOP II lo concerniente a su actividad contractual y</w:t>
      </w:r>
      <w:r w:rsidR="006578D8">
        <w:rPr>
          <w:rFonts w:ascii="Arial" w:eastAsia="Calibri" w:hAnsi="Arial" w:cs="Arial"/>
          <w:lang w:val="es-ES_tradnl" w:eastAsia="es-ES_tradnl"/>
        </w:rPr>
        <w:t>,</w:t>
      </w:r>
      <w:r w:rsidRPr="00331F85">
        <w:rPr>
          <w:rFonts w:ascii="Arial" w:eastAsia="Calibri" w:hAnsi="Arial" w:cs="Arial"/>
          <w:lang w:val="es-ES_tradnl" w:eastAsia="es-ES_tradnl"/>
        </w:rPr>
        <w:t xml:space="preserve"> teniendo en cuenta la consulta planteada, debe analizarse el alcance de esta obligación para determinar si esta aplica a toda la actividad contractual de este tipo de entidades. </w:t>
      </w:r>
    </w:p>
    <w:p w14:paraId="0F636947" w14:textId="2C48A0D8" w:rsidR="008D4C29" w:rsidRPr="00331F85" w:rsidRDefault="008D4C29" w:rsidP="00331F85">
      <w:pPr>
        <w:spacing w:after="120" w:line="276" w:lineRule="auto"/>
        <w:ind w:firstLine="708"/>
        <w:jc w:val="both"/>
        <w:rPr>
          <w:rFonts w:ascii="Arial" w:eastAsia="Calibri" w:hAnsi="Arial" w:cs="Arial"/>
          <w:lang w:val="es-ES_tradnl" w:eastAsia="es-ES_tradnl"/>
        </w:rPr>
      </w:pPr>
      <w:r w:rsidRPr="00331F85">
        <w:rPr>
          <w:rFonts w:ascii="Arial" w:eastAsia="Calibri" w:hAnsi="Arial" w:cs="Arial"/>
          <w:lang w:val="es-ES_tradnl" w:eastAsia="es-ES_tradnl"/>
        </w:rPr>
        <w:t xml:space="preserve">El artículo 53 de la Ley 2195 de 2022 dispone que las entidades con regímenes especiales </w:t>
      </w:r>
      <w:r w:rsidR="00F0320B">
        <w:rPr>
          <w:rFonts w:ascii="Arial" w:eastAsia="Calibri" w:hAnsi="Arial" w:cs="Arial"/>
          <w:lang w:val="es-ES_tradnl" w:eastAsia="es-ES_tradnl"/>
        </w:rPr>
        <w:t>“</w:t>
      </w:r>
      <w:r w:rsidRPr="00331F85">
        <w:rPr>
          <w:rStyle w:val="normaltextrun"/>
          <w:rFonts w:ascii="Arial" w:hAnsi="Arial" w:cs="Arial"/>
          <w:shd w:val="clear" w:color="auto" w:fill="FFFFFF"/>
        </w:rPr>
        <w:t>deberán publicar los documentos relacionados con su actividad contractual en el Sistema Electrónico para la Contratación Pública –SECOP II– o la plataforma transaccional que haga sus veces</w:t>
      </w:r>
      <w:r w:rsidR="0042683C">
        <w:rPr>
          <w:rStyle w:val="normaltextrun"/>
          <w:rFonts w:ascii="Arial" w:hAnsi="Arial" w:cs="Arial"/>
          <w:shd w:val="clear" w:color="auto" w:fill="FFFFFF"/>
        </w:rPr>
        <w:t>”</w:t>
      </w:r>
      <w:r w:rsidRPr="00331F85">
        <w:rPr>
          <w:rFonts w:ascii="Arial" w:eastAsia="Calibri" w:hAnsi="Arial" w:cs="Arial"/>
          <w:lang w:val="es-ES_tradnl"/>
        </w:rPr>
        <w:t>. Como</w:t>
      </w:r>
      <w:r w:rsidRPr="00331F85">
        <w:rPr>
          <w:rStyle w:val="normaltextrun"/>
          <w:rFonts w:ascii="Arial" w:hAnsi="Arial" w:cs="Arial"/>
          <w:shd w:val="clear" w:color="auto" w:fill="FFFFFF"/>
        </w:rPr>
        <w:t xml:space="preserve"> puede observarse, la disposición objeto de estudio </w:t>
      </w:r>
      <w:r w:rsidRPr="00331F85">
        <w:rPr>
          <w:rFonts w:ascii="Arial" w:eastAsia="Calibri" w:hAnsi="Arial" w:cs="Arial"/>
          <w:lang w:val="es-ES_tradnl" w:eastAsia="es-ES_tradnl"/>
        </w:rPr>
        <w:t xml:space="preserve">no señala de forma expresa si el deber de las entidades exceptuadas de publicar todos los documentos relacionados con su actividad contractual aplica para todos los contratos que celebren o si, por el contrario, esta obligación solo se impone respecto de aquellos contratos cuya fuente de financiación proviene de </w:t>
      </w:r>
      <w:r w:rsidRPr="00331F85">
        <w:rPr>
          <w:rFonts w:ascii="Arial" w:eastAsia="Calibri" w:hAnsi="Arial" w:cs="Arial"/>
          <w:i/>
          <w:iCs/>
          <w:lang w:val="es-ES_tradnl" w:eastAsia="es-ES_tradnl"/>
        </w:rPr>
        <w:t>recursos públicos</w:t>
      </w:r>
      <w:r w:rsidRPr="00331F85">
        <w:rPr>
          <w:rFonts w:ascii="Arial" w:eastAsia="Calibri" w:hAnsi="Arial" w:cs="Arial"/>
          <w:lang w:val="es-ES_tradnl" w:eastAsia="es-ES_tradnl"/>
        </w:rPr>
        <w:t xml:space="preserve">.  </w:t>
      </w:r>
    </w:p>
    <w:p w14:paraId="73CA9285" w14:textId="104E8EB4" w:rsidR="008D4C29" w:rsidRPr="00331F85" w:rsidRDefault="008D4C29" w:rsidP="00331F85">
      <w:pPr>
        <w:spacing w:after="120" w:line="276" w:lineRule="auto"/>
        <w:ind w:firstLine="708"/>
        <w:jc w:val="both"/>
        <w:rPr>
          <w:rFonts w:ascii="Arial" w:eastAsia="Calibri" w:hAnsi="Arial" w:cs="Arial"/>
          <w:lang w:val="es-ES_tradnl" w:eastAsia="es-ES_tradnl"/>
        </w:rPr>
      </w:pPr>
      <w:r w:rsidRPr="00331F85">
        <w:rPr>
          <w:rFonts w:ascii="Arial" w:eastAsia="Calibri" w:hAnsi="Arial" w:cs="Arial"/>
          <w:lang w:val="es-ES_tradnl" w:eastAsia="es-ES_tradnl"/>
        </w:rPr>
        <w:lastRenderedPageBreak/>
        <w:t>D</w:t>
      </w:r>
      <w:proofErr w:type="spellStart"/>
      <w:r w:rsidRPr="00331F85">
        <w:rPr>
          <w:rStyle w:val="normaltextrun"/>
          <w:rFonts w:ascii="Arial" w:hAnsi="Arial" w:cs="Arial"/>
          <w:shd w:val="clear" w:color="auto" w:fill="FFFFFF"/>
        </w:rPr>
        <w:t>e</w:t>
      </w:r>
      <w:proofErr w:type="spellEnd"/>
      <w:r w:rsidRPr="00331F85">
        <w:rPr>
          <w:rStyle w:val="normaltextrun"/>
          <w:rFonts w:ascii="Arial" w:hAnsi="Arial" w:cs="Arial"/>
          <w:shd w:val="clear" w:color="auto" w:fill="FFFFFF"/>
        </w:rPr>
        <w:t xml:space="preserve"> la lectura del artículo antes citado se pueden extraer al menos dos posturas contrapuestas relacionadas con la interpretación que se realice de la norma. </w:t>
      </w:r>
      <w:r w:rsidRPr="00331F85">
        <w:rPr>
          <w:rFonts w:ascii="Arial" w:eastAsia="Calibri" w:hAnsi="Arial" w:cs="Arial"/>
          <w:lang w:val="es-ES_tradnl" w:eastAsia="es-ES_tradnl"/>
        </w:rPr>
        <w:t xml:space="preserve">En primer lugar, una interpretación </w:t>
      </w:r>
      <w:r w:rsidRPr="00C02E91">
        <w:rPr>
          <w:rFonts w:ascii="Arial" w:eastAsia="Calibri" w:hAnsi="Arial" w:cs="Arial"/>
          <w:i/>
          <w:iCs/>
          <w:lang w:val="es-ES_tradnl" w:eastAsia="es-ES_tradnl"/>
        </w:rPr>
        <w:t>exegética</w:t>
      </w:r>
      <w:r w:rsidRPr="00331F85">
        <w:rPr>
          <w:rFonts w:ascii="Arial" w:eastAsia="Calibri" w:hAnsi="Arial" w:cs="Arial"/>
          <w:lang w:val="es-ES_tradnl" w:eastAsia="es-ES_tradnl"/>
        </w:rPr>
        <w:t xml:space="preserve"> de la disposición plantearía que, dado que el artículo 53 no señala que 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331F85">
        <w:rPr>
          <w:rFonts w:ascii="Arial" w:eastAsia="Calibri" w:hAnsi="Arial" w:cs="Arial"/>
          <w:i/>
          <w:iCs/>
          <w:lang w:val="es-ES_tradnl" w:eastAsia="es-ES_tradnl"/>
        </w:rPr>
        <w:t>sistemática</w:t>
      </w:r>
      <w:r w:rsidRPr="00331F85">
        <w:rPr>
          <w:rFonts w:ascii="Arial" w:eastAsia="Calibri" w:hAnsi="Arial" w:cs="Arial"/>
          <w:lang w:val="es-ES_tradnl" w:eastAsia="es-ES_tradnl"/>
        </w:rPr>
        <w:t xml:space="preserve"> de la norma concluiría que el </w:t>
      </w:r>
      <w:r w:rsidR="0024679A" w:rsidRPr="00331F85">
        <w:rPr>
          <w:rFonts w:ascii="Arial" w:eastAsia="Calibri" w:hAnsi="Arial" w:cs="Arial"/>
          <w:lang w:val="es-ES_tradnl" w:eastAsia="es-ES_tradnl"/>
        </w:rPr>
        <w:t>artículo</w:t>
      </w:r>
      <w:r w:rsidRPr="00331F85">
        <w:rPr>
          <w:rFonts w:ascii="Arial" w:eastAsia="Calibri" w:hAnsi="Arial" w:cs="Arial"/>
          <w:lang w:val="es-ES_tradnl" w:eastAsia="es-ES_tradnl"/>
        </w:rPr>
        <w:t xml:space="preserve"> 53, al modificar una disposición de la Ley 1150 de 2007, debe armonizarse con todo el cuerpo normativo consagrado en dicha Ley y, dado que este se refiere a la contratación que se realiza </w:t>
      </w:r>
      <w:r w:rsidRPr="00331F85">
        <w:rPr>
          <w:rFonts w:ascii="Arial" w:eastAsia="Calibri" w:hAnsi="Arial" w:cs="Arial"/>
          <w:i/>
          <w:iCs/>
          <w:lang w:val="es-ES_tradnl" w:eastAsia="es-ES_tradnl"/>
        </w:rPr>
        <w:t>con dineros públicos</w:t>
      </w:r>
      <w:r w:rsidRPr="00331F85">
        <w:rPr>
          <w:rFonts w:ascii="Arial" w:eastAsia="Calibri" w:hAnsi="Arial" w:cs="Arial"/>
          <w:lang w:val="es-ES_tradnl" w:eastAsia="es-ES_tradnl"/>
        </w:rPr>
        <w:t>, 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solo la información relacionada con la actividad contractual efectuada con recursos públicos.</w:t>
      </w:r>
    </w:p>
    <w:p w14:paraId="3D63EE54" w14:textId="6D82CC9F" w:rsidR="008D4C29" w:rsidRPr="00331F85" w:rsidRDefault="008D4C29" w:rsidP="00331F85">
      <w:pPr>
        <w:spacing w:after="120" w:line="276" w:lineRule="auto"/>
        <w:ind w:firstLine="709"/>
        <w:jc w:val="both"/>
        <w:rPr>
          <w:rStyle w:val="normaltextrun"/>
          <w:rFonts w:ascii="Arial" w:hAnsi="Arial" w:cs="Arial"/>
          <w:shd w:val="clear" w:color="auto" w:fill="FFFFFF"/>
        </w:rPr>
      </w:pPr>
      <w:bookmarkStart w:id="11" w:name="_Hlk110869120"/>
      <w:r w:rsidRPr="00331F85">
        <w:rPr>
          <w:rFonts w:ascii="Arial" w:eastAsia="Calibri" w:hAnsi="Arial" w:cs="Arial"/>
          <w:lang w:val="es-ES_tradnl" w:eastAsia="es-ES_tradnl"/>
        </w:rPr>
        <w:t>Esta Agencia considera que</w:t>
      </w:r>
      <w:r w:rsidR="00F56E1A">
        <w:rPr>
          <w:rFonts w:ascii="Arial" w:eastAsia="Calibri" w:hAnsi="Arial" w:cs="Arial"/>
          <w:lang w:val="es-ES_tradnl" w:eastAsia="es-ES_tradnl"/>
        </w:rPr>
        <w:t>,</w:t>
      </w:r>
      <w:r w:rsidRPr="00331F85">
        <w:rPr>
          <w:rFonts w:ascii="Arial" w:eastAsia="Calibri" w:hAnsi="Arial" w:cs="Arial"/>
          <w:lang w:val="es-ES_tradnl" w:eastAsia="es-ES_tradnl"/>
        </w:rPr>
        <w:t xml:space="preserve"> la obligación de publicar en el SECOP II todos los documentos relacionados con la actividad contractual de las entidades con regímenes especiales contenida en el artículo 53 de la </w:t>
      </w:r>
      <w:r w:rsidRPr="00331F85">
        <w:rPr>
          <w:rStyle w:val="normaltextrun"/>
          <w:rFonts w:ascii="Arial" w:hAnsi="Arial" w:cs="Arial"/>
          <w:shd w:val="clear" w:color="auto" w:fill="FFFFFF"/>
          <w:lang w:val="es-ES"/>
        </w:rPr>
        <w:t xml:space="preserve">Ley 2195 de 2022 debe interpretarse de forma sistemática con </w:t>
      </w:r>
      <w:r w:rsidRPr="00331F85">
        <w:rPr>
          <w:rStyle w:val="normaltextrun"/>
          <w:rFonts w:ascii="Arial" w:hAnsi="Arial" w:cs="Arial"/>
          <w:shd w:val="clear" w:color="auto" w:fill="FFFFFF"/>
        </w:rPr>
        <w:t xml:space="preserve">los preceptos que existen sobre la materia, como, entre otros, los siguientes enunciados normativos: i) los artículos 74 y 209 de la Constitución, </w:t>
      </w:r>
      <w:proofErr w:type="spellStart"/>
      <w:r w:rsidRPr="00331F85">
        <w:rPr>
          <w:rStyle w:val="normaltextrun"/>
          <w:rFonts w:ascii="Arial" w:hAnsi="Arial" w:cs="Arial"/>
          <w:shd w:val="clear" w:color="auto" w:fill="FFFFFF"/>
        </w:rPr>
        <w:t>ii</w:t>
      </w:r>
      <w:proofErr w:type="spellEnd"/>
      <w:r w:rsidRPr="00331F85">
        <w:rPr>
          <w:rStyle w:val="normaltextrun"/>
          <w:rFonts w:ascii="Arial" w:hAnsi="Arial" w:cs="Arial"/>
          <w:shd w:val="clear" w:color="auto" w:fill="FFFFFF"/>
        </w:rPr>
        <w:t xml:space="preserve">) el artículo 3, literal c) de la Ley 1150 de 2007, </w:t>
      </w:r>
      <w:proofErr w:type="spellStart"/>
      <w:r w:rsidRPr="00331F85">
        <w:rPr>
          <w:rStyle w:val="normaltextrun"/>
          <w:rFonts w:ascii="Arial" w:hAnsi="Arial" w:cs="Arial"/>
          <w:shd w:val="clear" w:color="auto" w:fill="FFFFFF"/>
        </w:rPr>
        <w:t>iii</w:t>
      </w:r>
      <w:proofErr w:type="spellEnd"/>
      <w:r w:rsidRPr="00331F85">
        <w:rPr>
          <w:rStyle w:val="normaltextrun"/>
          <w:rFonts w:ascii="Arial" w:hAnsi="Arial" w:cs="Arial"/>
          <w:shd w:val="clear" w:color="auto" w:fill="FFFFFF"/>
        </w:rPr>
        <w:t xml:space="preserve">) los artículos 3, 9, literal e) y 11, literal g), de la Ley 1712 de 2014, y </w:t>
      </w:r>
      <w:proofErr w:type="spellStart"/>
      <w:r w:rsidRPr="00331F85">
        <w:rPr>
          <w:rStyle w:val="normaltextrun"/>
          <w:rFonts w:ascii="Arial" w:hAnsi="Arial" w:cs="Arial"/>
          <w:shd w:val="clear" w:color="auto" w:fill="FFFFFF"/>
        </w:rPr>
        <w:t>iv</w:t>
      </w:r>
      <w:proofErr w:type="spellEnd"/>
      <w:r w:rsidRPr="00331F85">
        <w:rPr>
          <w:rStyle w:val="normaltextrun"/>
          <w:rFonts w:ascii="Arial" w:hAnsi="Arial" w:cs="Arial"/>
          <w:shd w:val="clear" w:color="auto" w:fill="FFFFFF"/>
        </w:rPr>
        <w:t xml:space="preserve">) los artículos 7 al 10 del Decreto 103 de 2015 –compilado en los artículos 2.1.1.1.1. al 2.1.1.6.1. del Decreto 1081 de 2015–. </w:t>
      </w:r>
    </w:p>
    <w:p w14:paraId="3DBAE9A7" w14:textId="2E5E4763" w:rsidR="008D4C29" w:rsidRPr="00331F85" w:rsidRDefault="008D4C29" w:rsidP="00331F85">
      <w:pPr>
        <w:spacing w:after="120" w:line="276" w:lineRule="auto"/>
        <w:ind w:firstLine="709"/>
        <w:jc w:val="both"/>
        <w:rPr>
          <w:rFonts w:ascii="Arial" w:hAnsi="Arial" w:cs="Arial"/>
          <w:shd w:val="clear" w:color="auto" w:fill="FFFFFF"/>
          <w:lang w:val="es-ES"/>
        </w:rPr>
      </w:pPr>
      <w:r w:rsidRPr="00331F85">
        <w:rPr>
          <w:rStyle w:val="normaltextrun"/>
          <w:rFonts w:ascii="Arial" w:hAnsi="Arial" w:cs="Arial"/>
          <w:shd w:val="clear" w:color="auto" w:fill="FFFFFF"/>
          <w:lang w:val="es-ES"/>
        </w:rPr>
        <w:t xml:space="preserve">Así las cosas, dado que el artículo 53 de la Ley 2195 de 2022 complementó las disposiciones ya establecidas en la Ley 1150 de 2007, la lectura que se haga de dicho artículo debe efectuarse de forma </w:t>
      </w:r>
      <w:r w:rsidRPr="00C02E91">
        <w:rPr>
          <w:rStyle w:val="normaltextrun"/>
          <w:rFonts w:ascii="Arial" w:hAnsi="Arial" w:cs="Arial"/>
          <w:i/>
          <w:iCs/>
          <w:shd w:val="clear" w:color="auto" w:fill="FFFFFF"/>
          <w:lang w:val="es-ES"/>
        </w:rPr>
        <w:t>sistemática</w:t>
      </w:r>
      <w:r w:rsidRPr="00331F85">
        <w:rPr>
          <w:rStyle w:val="normaltextrun"/>
          <w:rFonts w:ascii="Arial" w:hAnsi="Arial" w:cs="Arial"/>
          <w:shd w:val="clear" w:color="auto" w:fill="FFFFFF"/>
          <w:lang w:val="es-ES"/>
        </w:rPr>
        <w:t xml:space="preserve">. </w:t>
      </w:r>
      <w:r w:rsidRPr="00331F85">
        <w:rPr>
          <w:rStyle w:val="eop"/>
          <w:rFonts w:ascii="Arial" w:hAnsi="Arial" w:cs="Arial"/>
          <w:shd w:val="clear" w:color="auto" w:fill="FFFFFF"/>
        </w:rPr>
        <w:t xml:space="preserve"> En este sentido, debe </w:t>
      </w:r>
      <w:r w:rsidRPr="00331F85">
        <w:rPr>
          <w:rFonts w:ascii="Arial" w:eastAsia="Calibri" w:hAnsi="Arial" w:cs="Arial"/>
          <w:lang w:val="es-ES_tradnl" w:eastAsia="es-ES_tradnl"/>
        </w:rPr>
        <w:t xml:space="preserve">señalarse que </w:t>
      </w:r>
      <w:r w:rsidRPr="00331F85">
        <w:rPr>
          <w:rFonts w:ascii="Arial" w:hAnsi="Arial" w:cs="Arial"/>
          <w:i/>
          <w:iCs/>
          <w:lang w:val="es-ES_tradnl" w:eastAsia="es-CO"/>
        </w:rPr>
        <w:t>contratación con cargo a recursos públicos</w:t>
      </w:r>
      <w:r w:rsidRPr="00331F85">
        <w:rPr>
          <w:rFonts w:ascii="Arial" w:hAnsi="Arial" w:cs="Arial"/>
          <w:lang w:val="es-ES_tradnl" w:eastAsia="es-CO"/>
        </w:rPr>
        <w:t xml:space="preserve"> es un concepto al que alude expresamente la Ley 1150 de 2007, incluso desde el mismo título, pues este indica que dicha Ley </w:t>
      </w:r>
      <w:r w:rsidRPr="00F56E1A">
        <w:rPr>
          <w:rFonts w:ascii="Arial" w:hAnsi="Arial" w:cs="Arial"/>
          <w:lang w:val="es-ES_tradnl" w:eastAsia="es-CO"/>
        </w:rPr>
        <w:t xml:space="preserve">es </w:t>
      </w:r>
      <w:r w:rsidR="00F56E1A" w:rsidRPr="00F56E1A">
        <w:rPr>
          <w:rFonts w:ascii="Arial" w:eastAsia="Calibri" w:hAnsi="Arial" w:cs="Arial"/>
          <w:lang w:val="es-ES_tradnl"/>
        </w:rPr>
        <w:t>“</w:t>
      </w:r>
      <w:r w:rsidRPr="00F56E1A">
        <w:rPr>
          <w:rFonts w:ascii="Arial" w:hAnsi="Arial" w:cs="Arial"/>
        </w:rPr>
        <w:t>Por medio de la cual se introducen medidas para la eficiencia y la transparencia en la Ley </w:t>
      </w:r>
      <w:hyperlink r:id="rId13" w:anchor="1" w:history="1">
        <w:r w:rsidRPr="00C02E91">
          <w:rPr>
            <w:rStyle w:val="Hipervnculo"/>
            <w:rFonts w:ascii="Arial" w:hAnsi="Arial" w:cs="Arial"/>
            <w:color w:val="auto"/>
            <w:u w:val="none"/>
          </w:rPr>
          <w:t>80</w:t>
        </w:r>
      </w:hyperlink>
      <w:r w:rsidRPr="00F56E1A">
        <w:rPr>
          <w:rFonts w:ascii="Arial" w:hAnsi="Arial" w:cs="Arial"/>
        </w:rPr>
        <w:t xml:space="preserve"> de 1993 y se dictan otras disposiciones generales sobre la contratación con </w:t>
      </w:r>
      <w:r w:rsidRPr="00F56E1A">
        <w:rPr>
          <w:rFonts w:ascii="Arial" w:hAnsi="Arial" w:cs="Arial"/>
          <w:i/>
          <w:iCs/>
        </w:rPr>
        <w:t>Recursos Públicos</w:t>
      </w:r>
      <w:r w:rsidR="00F56E1A" w:rsidRPr="00F56E1A">
        <w:rPr>
          <w:rFonts w:ascii="Arial" w:eastAsia="Calibri" w:hAnsi="Arial" w:cs="Arial"/>
          <w:lang w:val="es-ES_tradnl"/>
        </w:rPr>
        <w:t>”</w:t>
      </w:r>
      <w:r w:rsidRPr="00F56E1A">
        <w:rPr>
          <w:rFonts w:ascii="Arial" w:hAnsi="Arial" w:cs="Arial"/>
        </w:rPr>
        <w:t>.</w:t>
      </w:r>
      <w:r w:rsidRPr="00331F85">
        <w:rPr>
          <w:rFonts w:ascii="Arial" w:hAnsi="Arial" w:cs="Arial"/>
          <w:lang w:val="es-ES_tradnl" w:eastAsia="es-CO"/>
        </w:rPr>
        <w:t xml:space="preserve"> Asimismo, la terminología </w:t>
      </w:r>
      <w:r w:rsidRPr="00331F85">
        <w:rPr>
          <w:rFonts w:ascii="Arial" w:hAnsi="Arial" w:cs="Arial"/>
          <w:i/>
          <w:iCs/>
          <w:lang w:val="es-ES_tradnl" w:eastAsia="es-CO"/>
        </w:rPr>
        <w:t xml:space="preserve">contratación con cargo recursos públicos </w:t>
      </w:r>
      <w:r w:rsidRPr="00331F85">
        <w:rPr>
          <w:rFonts w:ascii="Arial" w:hAnsi="Arial" w:cs="Arial"/>
          <w:lang w:val="es-ES_tradnl" w:eastAsia="es-CO"/>
        </w:rPr>
        <w:t>se encuentra en el artículo primero, al definir el ámbito de aplicación de sus disposiciones</w:t>
      </w:r>
      <w:r w:rsidRPr="00331F85">
        <w:rPr>
          <w:rStyle w:val="Refdenotaalpie"/>
          <w:rFonts w:ascii="Arial" w:hAnsi="Arial" w:cs="Arial"/>
          <w:lang w:val="es-ES_tradnl" w:eastAsia="es-CO"/>
        </w:rPr>
        <w:footnoteReference w:id="23"/>
      </w:r>
      <w:r w:rsidRPr="00331F85">
        <w:rPr>
          <w:rFonts w:ascii="Arial" w:hAnsi="Arial" w:cs="Arial"/>
          <w:lang w:val="es-ES_tradnl" w:eastAsia="es-CO"/>
        </w:rPr>
        <w:t xml:space="preserve"> y en el literal c) del artículo 3 –del que surge el deber de publicar en el SECOP–, que expresamente </w:t>
      </w:r>
      <w:r w:rsidRPr="00331F85">
        <w:rPr>
          <w:rStyle w:val="normaltextrun"/>
          <w:rFonts w:ascii="Arial" w:hAnsi="Arial" w:cs="Arial"/>
          <w:shd w:val="clear" w:color="auto" w:fill="FFFFFF"/>
          <w:lang w:val="es-ES"/>
        </w:rPr>
        <w:t xml:space="preserve">establece que ese aparte del artículo se aplica a la </w:t>
      </w:r>
      <w:r w:rsidR="00CF5D29" w:rsidRPr="00C02E91">
        <w:rPr>
          <w:rStyle w:val="normaltextrun"/>
          <w:rFonts w:ascii="Arial" w:hAnsi="Arial" w:cs="Arial"/>
          <w:i/>
          <w:iCs/>
          <w:shd w:val="clear" w:color="auto" w:fill="FFFFFF"/>
          <w:lang w:val="es-ES"/>
        </w:rPr>
        <w:t>“</w:t>
      </w:r>
      <w:r w:rsidRPr="00331F85">
        <w:rPr>
          <w:rStyle w:val="normaltextrun"/>
          <w:rFonts w:ascii="Arial" w:hAnsi="Arial" w:cs="Arial"/>
          <w:i/>
          <w:iCs/>
          <w:shd w:val="clear" w:color="auto" w:fill="FFFFFF"/>
          <w:lang w:val="es-ES"/>
        </w:rPr>
        <w:t>contratación realizada con dineros públicos</w:t>
      </w:r>
      <w:r w:rsidR="00CF5D29" w:rsidRPr="00C02E91">
        <w:rPr>
          <w:rStyle w:val="normaltextrun"/>
          <w:rFonts w:ascii="Arial" w:hAnsi="Arial" w:cs="Arial"/>
          <w:i/>
          <w:iCs/>
          <w:shd w:val="clear" w:color="auto" w:fill="FFFFFF"/>
          <w:lang w:val="es-ES"/>
        </w:rPr>
        <w:t>”</w:t>
      </w:r>
      <w:r w:rsidRPr="00331F85">
        <w:rPr>
          <w:rStyle w:val="normaltextrun"/>
          <w:rFonts w:ascii="Arial" w:hAnsi="Arial" w:cs="Arial"/>
          <w:shd w:val="clear" w:color="auto" w:fill="FFFFFF"/>
          <w:lang w:val="es-ES"/>
        </w:rPr>
        <w:t xml:space="preserve">. </w:t>
      </w:r>
      <w:r w:rsidRPr="00331F85">
        <w:rPr>
          <w:rStyle w:val="normaltextrun"/>
          <w:rFonts w:ascii="Arial" w:hAnsi="Arial" w:cs="Arial"/>
          <w:shd w:val="clear" w:color="auto" w:fill="FFFFFF"/>
        </w:rPr>
        <w:t xml:space="preserve">Esta interpretación concuerda con el ámbito al que se encuentran destinadas las disposiciones del Título II de dicha norma, titulado </w:t>
      </w:r>
      <w:r w:rsidR="002A5673">
        <w:rPr>
          <w:rStyle w:val="normaltextrun"/>
          <w:rFonts w:ascii="Arial" w:hAnsi="Arial" w:cs="Arial"/>
          <w:shd w:val="clear" w:color="auto" w:fill="FFFFFF"/>
        </w:rPr>
        <w:t>“</w:t>
      </w:r>
      <w:r w:rsidRPr="00331F85">
        <w:rPr>
          <w:rStyle w:val="normaltextrun"/>
          <w:rFonts w:ascii="Arial" w:hAnsi="Arial" w:cs="Arial"/>
          <w:shd w:val="clear" w:color="auto" w:fill="FFFFFF"/>
        </w:rPr>
        <w:t xml:space="preserve">DISPOSICIONES </w:t>
      </w:r>
      <w:r w:rsidRPr="00331F85">
        <w:rPr>
          <w:rStyle w:val="normaltextrun"/>
          <w:rFonts w:ascii="Arial" w:hAnsi="Arial" w:cs="Arial"/>
          <w:shd w:val="clear" w:color="auto" w:fill="FFFFFF"/>
        </w:rPr>
        <w:lastRenderedPageBreak/>
        <w:t>GENERALES PARA LA CONTRATACION CON RECURSOS PUBLICOS</w:t>
      </w:r>
      <w:r w:rsidR="002A5673">
        <w:rPr>
          <w:rStyle w:val="normaltextrun"/>
          <w:rFonts w:ascii="Arial" w:hAnsi="Arial" w:cs="Arial"/>
          <w:shd w:val="clear" w:color="auto" w:fill="FFFFFF"/>
        </w:rPr>
        <w:t>”</w:t>
      </w:r>
      <w:r w:rsidRPr="00331F85">
        <w:rPr>
          <w:rStyle w:val="normaltextrun"/>
          <w:rFonts w:ascii="Arial" w:hAnsi="Arial" w:cs="Arial"/>
          <w:shd w:val="clear" w:color="auto" w:fill="FFFFFF"/>
        </w:rPr>
        <w:t>, en el cual se ubica el artículo 13 que fue modificado por el artículo 53 de la Ley 2195 de 2022.</w:t>
      </w:r>
    </w:p>
    <w:bookmarkEnd w:id="11"/>
    <w:p w14:paraId="46A27D0A" w14:textId="77777777" w:rsidR="008D4C29" w:rsidRPr="00331F85" w:rsidRDefault="008D4C29" w:rsidP="004D3EC2">
      <w:pPr>
        <w:spacing w:after="0" w:line="276" w:lineRule="auto"/>
        <w:ind w:firstLine="709"/>
        <w:jc w:val="both"/>
        <w:rPr>
          <w:rFonts w:ascii="Arial" w:hAnsi="Arial" w:cs="Arial"/>
        </w:rPr>
      </w:pPr>
      <w:r w:rsidRPr="00331F85">
        <w:rPr>
          <w:rFonts w:ascii="Arial" w:hAnsi="Arial" w:cs="Arial"/>
          <w:lang w:val="es-ES_tradnl" w:eastAsia="es-CO"/>
        </w:rPr>
        <w:t xml:space="preserve">Por otro lado, </w:t>
      </w:r>
      <w:r w:rsidRPr="00331F85">
        <w:rPr>
          <w:rFonts w:ascii="Arial" w:hAnsi="Arial" w:cs="Arial"/>
        </w:rPr>
        <w:t xml:space="preserve">el Decreto 103, mediante el cual se reglamentó la Ley 1712 de 2014, y que fue compilado </w:t>
      </w:r>
      <w:r w:rsidRPr="00331F85">
        <w:rPr>
          <w:rStyle w:val="normaltextrun"/>
          <w:rFonts w:ascii="Arial" w:hAnsi="Arial" w:cs="Arial"/>
          <w:shd w:val="clear" w:color="auto" w:fill="FFFFFF"/>
        </w:rPr>
        <w:t xml:space="preserve">en los artículos 2.1.1.1.1. al 2.1.1.6.1. del Decreto 1081 de 2015–.  </w:t>
      </w:r>
      <w:r w:rsidRPr="00331F85">
        <w:rPr>
          <w:rFonts w:ascii="Arial" w:hAnsi="Arial" w:cs="Arial"/>
        </w:rPr>
        <w:t>señala:</w:t>
      </w:r>
    </w:p>
    <w:p w14:paraId="62A3CC83" w14:textId="77777777" w:rsidR="008D4C29" w:rsidRPr="00331F85" w:rsidRDefault="008D4C29" w:rsidP="00C02E91">
      <w:pPr>
        <w:spacing w:after="0" w:line="276" w:lineRule="auto"/>
        <w:ind w:firstLine="709"/>
        <w:contextualSpacing/>
        <w:jc w:val="both"/>
        <w:rPr>
          <w:rFonts w:ascii="Arial" w:hAnsi="Arial" w:cs="Arial"/>
        </w:rPr>
      </w:pPr>
      <w:r w:rsidRPr="00331F85">
        <w:rPr>
          <w:rFonts w:ascii="Arial" w:hAnsi="Arial" w:cs="Arial"/>
        </w:rPr>
        <w:t xml:space="preserve"> </w:t>
      </w:r>
    </w:p>
    <w:p w14:paraId="40E99C4D" w14:textId="6D016D15" w:rsidR="008D4C29" w:rsidRPr="00C24652" w:rsidRDefault="004D3EC2" w:rsidP="008D4C29">
      <w:pPr>
        <w:spacing w:after="0" w:line="240" w:lineRule="auto"/>
        <w:ind w:left="709" w:right="709"/>
        <w:contextualSpacing/>
        <w:jc w:val="both"/>
        <w:rPr>
          <w:rFonts w:ascii="Arial" w:eastAsia="Times New Roman" w:hAnsi="Arial" w:cs="Arial"/>
          <w:sz w:val="21"/>
          <w:szCs w:val="21"/>
          <w:lang w:eastAsia="es-CO"/>
        </w:rPr>
      </w:pPr>
      <w:r>
        <w:rPr>
          <w:rFonts w:ascii="Arial" w:eastAsia="Times New Roman" w:hAnsi="Arial" w:cs="Arial"/>
          <w:sz w:val="21"/>
          <w:szCs w:val="21"/>
          <w:lang w:eastAsia="es-CO"/>
        </w:rPr>
        <w:t>“</w:t>
      </w:r>
      <w:r w:rsidR="008D4C29" w:rsidRPr="00C24652">
        <w:rPr>
          <w:rFonts w:ascii="Arial" w:eastAsia="Times New Roman" w:hAnsi="Arial" w:cs="Arial"/>
          <w:sz w:val="21"/>
          <w:szCs w:val="21"/>
          <w:lang w:eastAsia="es-CO"/>
        </w:rPr>
        <w:t>Artículo 7°.</w:t>
      </w:r>
      <w:r w:rsidR="008D4C29" w:rsidRPr="00C24652">
        <w:rPr>
          <w:rFonts w:ascii="Arial" w:eastAsia="Times New Roman" w:hAnsi="Arial" w:cs="Arial"/>
          <w:i/>
          <w:iCs/>
          <w:sz w:val="21"/>
          <w:szCs w:val="21"/>
          <w:lang w:eastAsia="es-CO"/>
        </w:rPr>
        <w:t xml:space="preserve"> Publicación de la información contractual. </w:t>
      </w:r>
      <w:r w:rsidR="008D4C29" w:rsidRPr="00C24652">
        <w:rPr>
          <w:rFonts w:ascii="Arial" w:eastAsia="Times New Roman" w:hAnsi="Arial" w:cs="Arial"/>
          <w:sz w:val="21"/>
          <w:szCs w:val="21"/>
          <w:lang w:eastAsia="es-CO"/>
        </w:rPr>
        <w:t xml:space="preserve">De conformidad con el literal (c) del artículo 3° de la Ley 1150 de 2007, el sistema de información del Estado en el cual los sujetos obligados que contratan </w:t>
      </w:r>
      <w:r w:rsidR="008D4C29" w:rsidRPr="00C24652">
        <w:rPr>
          <w:rFonts w:ascii="Arial" w:eastAsia="Times New Roman" w:hAnsi="Arial" w:cs="Arial"/>
          <w:i/>
          <w:iCs/>
          <w:sz w:val="21"/>
          <w:szCs w:val="21"/>
          <w:lang w:eastAsia="es-CO"/>
        </w:rPr>
        <w:t>con cargo a recursos públicos</w:t>
      </w:r>
      <w:r w:rsidR="008D4C29" w:rsidRPr="00C24652">
        <w:rPr>
          <w:rFonts w:ascii="Arial" w:eastAsia="Times New Roman" w:hAnsi="Arial" w:cs="Arial"/>
          <w:sz w:val="21"/>
          <w:szCs w:val="21"/>
          <w:lang w:eastAsia="es-CO"/>
        </w:rPr>
        <w:t xml:space="preserve"> deben cumplir la obligación de publicar la información de su gestión contractual es el Sistema Electrónico para la Contratación Pública (</w:t>
      </w:r>
      <w:proofErr w:type="spellStart"/>
      <w:r w:rsidR="008D4C29" w:rsidRPr="00C24652">
        <w:rPr>
          <w:rFonts w:ascii="Arial" w:eastAsia="Times New Roman" w:hAnsi="Arial" w:cs="Arial"/>
          <w:sz w:val="21"/>
          <w:szCs w:val="21"/>
          <w:lang w:eastAsia="es-CO"/>
        </w:rPr>
        <w:t>Secop</w:t>
      </w:r>
      <w:proofErr w:type="spellEnd"/>
      <w:r w:rsidR="008D4C29" w:rsidRPr="00C24652">
        <w:rPr>
          <w:rFonts w:ascii="Arial" w:eastAsia="Times New Roman" w:hAnsi="Arial" w:cs="Arial"/>
          <w:sz w:val="21"/>
          <w:szCs w:val="21"/>
          <w:lang w:eastAsia="es-CO"/>
        </w:rPr>
        <w:t>). </w:t>
      </w:r>
    </w:p>
    <w:p w14:paraId="5D1E003A" w14:textId="77777777" w:rsidR="008D4C29" w:rsidRPr="00C24652" w:rsidRDefault="008D4C29" w:rsidP="008D4C29">
      <w:pPr>
        <w:spacing w:after="0" w:line="240" w:lineRule="auto"/>
        <w:ind w:left="709" w:right="709"/>
        <w:contextualSpacing/>
        <w:jc w:val="both"/>
        <w:rPr>
          <w:rFonts w:ascii="Arial" w:eastAsia="Times New Roman" w:hAnsi="Arial" w:cs="Arial"/>
          <w:sz w:val="21"/>
          <w:szCs w:val="21"/>
          <w:lang w:eastAsia="es-CO"/>
        </w:rPr>
      </w:pPr>
      <w:r w:rsidRPr="00C24652">
        <w:rPr>
          <w:rFonts w:ascii="Arial" w:eastAsia="Times New Roman" w:hAnsi="Arial" w:cs="Arial"/>
          <w:sz w:val="21"/>
          <w:szCs w:val="21"/>
          <w:lang w:eastAsia="es-CO"/>
        </w:rPr>
        <w:t>  </w:t>
      </w:r>
    </w:p>
    <w:p w14:paraId="62FB8B22" w14:textId="77777777" w:rsidR="008D4C29" w:rsidRPr="00C24652" w:rsidRDefault="008D4C29" w:rsidP="008D4C29">
      <w:pPr>
        <w:spacing w:after="0" w:line="240" w:lineRule="auto"/>
        <w:ind w:left="709" w:right="709"/>
        <w:contextualSpacing/>
        <w:jc w:val="both"/>
        <w:rPr>
          <w:rFonts w:ascii="Arial" w:eastAsia="Times New Roman" w:hAnsi="Arial" w:cs="Arial"/>
          <w:sz w:val="21"/>
          <w:szCs w:val="21"/>
          <w:lang w:eastAsia="es-CO"/>
        </w:rPr>
      </w:pPr>
      <w:r w:rsidRPr="00C24652">
        <w:rPr>
          <w:rFonts w:ascii="Arial" w:eastAsia="Times New Roman" w:hAnsi="Arial" w:cs="Arial"/>
          <w:sz w:val="21"/>
          <w:szCs w:val="21"/>
          <w:lang w:eastAsia="es-CO"/>
        </w:rPr>
        <w:t xml:space="preserve">Los sujetos obligados que contratan </w:t>
      </w:r>
      <w:r w:rsidRPr="00C24652">
        <w:rPr>
          <w:rFonts w:ascii="Arial" w:eastAsia="Times New Roman" w:hAnsi="Arial" w:cs="Arial"/>
          <w:i/>
          <w:iCs/>
          <w:sz w:val="21"/>
          <w:szCs w:val="21"/>
          <w:lang w:eastAsia="es-CO"/>
        </w:rPr>
        <w:t>con cargo a recursos públicos</w:t>
      </w:r>
      <w:r w:rsidRPr="00C24652">
        <w:rPr>
          <w:rFonts w:ascii="Arial" w:eastAsia="Times New Roman" w:hAnsi="Arial" w:cs="Arial"/>
          <w:sz w:val="21"/>
          <w:szCs w:val="21"/>
          <w:lang w:eastAsia="es-CO"/>
        </w:rPr>
        <w:t xml:space="preserve"> deben publicar la información de su gestión contractual en el plazo previsto en el artículo 19 del Decreto 1510 de 2013, o el que lo modifique, sustituya o adicione. </w:t>
      </w:r>
    </w:p>
    <w:p w14:paraId="67157DED" w14:textId="77777777" w:rsidR="008D4C29" w:rsidRPr="00C24652" w:rsidRDefault="008D4C29" w:rsidP="008D4C29">
      <w:pPr>
        <w:spacing w:after="0" w:line="240" w:lineRule="auto"/>
        <w:ind w:left="709" w:right="709"/>
        <w:contextualSpacing/>
        <w:jc w:val="both"/>
        <w:rPr>
          <w:rFonts w:ascii="Arial" w:eastAsia="Times New Roman" w:hAnsi="Arial" w:cs="Arial"/>
          <w:sz w:val="21"/>
          <w:szCs w:val="21"/>
          <w:lang w:eastAsia="es-CO"/>
        </w:rPr>
      </w:pPr>
      <w:r w:rsidRPr="00C24652">
        <w:rPr>
          <w:rFonts w:ascii="Arial" w:eastAsia="Times New Roman" w:hAnsi="Arial" w:cs="Arial"/>
          <w:sz w:val="21"/>
          <w:szCs w:val="21"/>
          <w:lang w:eastAsia="es-CO"/>
        </w:rPr>
        <w:t>  </w:t>
      </w:r>
    </w:p>
    <w:p w14:paraId="3E8CE07D" w14:textId="03660881" w:rsidR="008D4C29" w:rsidRPr="00C24652" w:rsidRDefault="008D4C29" w:rsidP="008D4C29">
      <w:pPr>
        <w:spacing w:after="0" w:line="240" w:lineRule="auto"/>
        <w:ind w:left="709" w:right="709"/>
        <w:contextualSpacing/>
        <w:jc w:val="both"/>
        <w:rPr>
          <w:rFonts w:ascii="Arial" w:eastAsia="Times New Roman" w:hAnsi="Arial" w:cs="Arial"/>
          <w:sz w:val="21"/>
          <w:szCs w:val="21"/>
          <w:lang w:eastAsia="es-CO"/>
        </w:rPr>
      </w:pPr>
      <w:r w:rsidRPr="00C24652">
        <w:rPr>
          <w:rFonts w:ascii="Arial" w:eastAsia="Times New Roman" w:hAnsi="Arial" w:cs="Arial"/>
          <w:sz w:val="21"/>
          <w:szCs w:val="21"/>
          <w:lang w:eastAsia="es-CO"/>
        </w:rPr>
        <w:t>Los sujetos obligados que contratan con recursos públicos y recursos privados, deben publicar la información de su gestión contractual con cargo a recursos públicos en el Sistema Electrónico para la Contratación Pública (</w:t>
      </w:r>
      <w:proofErr w:type="spellStart"/>
      <w:r w:rsidRPr="00C24652">
        <w:rPr>
          <w:rFonts w:ascii="Arial" w:eastAsia="Times New Roman" w:hAnsi="Arial" w:cs="Arial"/>
          <w:sz w:val="21"/>
          <w:szCs w:val="21"/>
          <w:lang w:eastAsia="es-CO"/>
        </w:rPr>
        <w:t>Secop</w:t>
      </w:r>
      <w:proofErr w:type="spellEnd"/>
      <w:r w:rsidRPr="00C24652">
        <w:rPr>
          <w:rFonts w:ascii="Arial" w:eastAsia="Times New Roman" w:hAnsi="Arial" w:cs="Arial"/>
          <w:sz w:val="21"/>
          <w:szCs w:val="21"/>
          <w:lang w:eastAsia="es-CO"/>
        </w:rPr>
        <w:t>)</w:t>
      </w:r>
      <w:r w:rsidR="004D3EC2">
        <w:rPr>
          <w:rFonts w:ascii="Arial" w:eastAsia="Times New Roman" w:hAnsi="Arial" w:cs="Arial"/>
          <w:sz w:val="21"/>
          <w:szCs w:val="21"/>
          <w:lang w:eastAsia="es-CO"/>
        </w:rPr>
        <w:t>”</w:t>
      </w:r>
      <w:r w:rsidRPr="00C24652">
        <w:rPr>
          <w:rFonts w:ascii="Arial" w:eastAsia="Times New Roman" w:hAnsi="Arial" w:cs="Arial"/>
          <w:sz w:val="21"/>
          <w:szCs w:val="21"/>
          <w:lang w:eastAsia="es-CO"/>
        </w:rPr>
        <w:t>. (</w:t>
      </w:r>
      <w:r w:rsidR="004D3EC2">
        <w:rPr>
          <w:rFonts w:ascii="Arial" w:eastAsia="Times New Roman" w:hAnsi="Arial" w:cs="Arial"/>
          <w:sz w:val="21"/>
          <w:szCs w:val="21"/>
          <w:lang w:eastAsia="es-CO"/>
        </w:rPr>
        <w:t>Énfasis</w:t>
      </w:r>
      <w:r w:rsidRPr="00C24652">
        <w:rPr>
          <w:rFonts w:ascii="Arial" w:eastAsia="Times New Roman" w:hAnsi="Arial" w:cs="Arial"/>
          <w:sz w:val="21"/>
          <w:szCs w:val="21"/>
          <w:lang w:eastAsia="es-CO"/>
        </w:rPr>
        <w:t xml:space="preserve"> fuera del texto original). </w:t>
      </w:r>
    </w:p>
    <w:p w14:paraId="3D8CEAC2" w14:textId="77777777" w:rsidR="008D4C29" w:rsidRPr="00C24652" w:rsidRDefault="008D4C29" w:rsidP="00C02E91">
      <w:pPr>
        <w:spacing w:after="0" w:line="276" w:lineRule="auto"/>
        <w:ind w:left="709" w:right="709"/>
        <w:contextualSpacing/>
        <w:jc w:val="both"/>
        <w:rPr>
          <w:rFonts w:ascii="Arial" w:eastAsia="Times New Roman" w:hAnsi="Arial" w:cs="Arial"/>
          <w:lang w:eastAsia="es-CO"/>
        </w:rPr>
      </w:pPr>
      <w:r w:rsidRPr="00C24652">
        <w:rPr>
          <w:rFonts w:ascii="Arial" w:eastAsia="Times New Roman" w:hAnsi="Arial" w:cs="Arial"/>
          <w:lang w:eastAsia="es-CO"/>
        </w:rPr>
        <w:t>  </w:t>
      </w:r>
    </w:p>
    <w:p w14:paraId="6216FC07" w14:textId="77777777" w:rsidR="008D4C29" w:rsidRPr="00C24652" w:rsidRDefault="008D4C29" w:rsidP="0087712A">
      <w:pPr>
        <w:spacing w:after="120" w:line="276" w:lineRule="auto"/>
        <w:ind w:firstLine="709"/>
        <w:jc w:val="both"/>
        <w:rPr>
          <w:rFonts w:ascii="Arial" w:eastAsia="Calibri" w:hAnsi="Arial" w:cs="Arial"/>
          <w:lang w:val="es-ES_tradnl" w:eastAsia="es-ES_tradnl"/>
        </w:rPr>
      </w:pPr>
      <w:bookmarkStart w:id="12" w:name="_Hlk110869205"/>
      <w:r w:rsidRPr="00C24652">
        <w:rPr>
          <w:rFonts w:ascii="Arial" w:eastAsia="Calibri" w:hAnsi="Arial" w:cs="Arial"/>
          <w:lang w:val="es-ES_tradnl" w:eastAsia="es-ES_tradnl"/>
        </w:rPr>
        <w:t xml:space="preserve">De las normas antes citadas es posible establecer que la obligación de publicar la actividad contractual siempre ha estado encaminada </w:t>
      </w:r>
      <w:r>
        <w:rPr>
          <w:rFonts w:ascii="Arial" w:eastAsia="Calibri" w:hAnsi="Arial" w:cs="Arial"/>
          <w:lang w:val="es-ES_tradnl" w:eastAsia="es-ES_tradnl"/>
        </w:rPr>
        <w:t xml:space="preserve">a </w:t>
      </w:r>
      <w:r w:rsidRPr="00C24652">
        <w:rPr>
          <w:rFonts w:ascii="Arial" w:eastAsia="Calibri" w:hAnsi="Arial" w:cs="Arial"/>
          <w:lang w:val="es-ES_tradnl" w:eastAsia="es-ES_tradnl"/>
        </w:rPr>
        <w:t>que se publique aquella información relacionada con la ejecución de dineros públicos</w:t>
      </w:r>
      <w:r>
        <w:rPr>
          <w:rFonts w:ascii="Arial" w:eastAsia="Calibri" w:hAnsi="Arial" w:cs="Arial"/>
          <w:lang w:val="es-ES_tradnl" w:eastAsia="es-ES_tradnl"/>
        </w:rPr>
        <w:t>.</w:t>
      </w:r>
      <w:r w:rsidRPr="00C24652">
        <w:rPr>
          <w:rFonts w:ascii="Arial" w:eastAsia="Calibri" w:hAnsi="Arial" w:cs="Arial"/>
          <w:lang w:val="es-ES_tradnl" w:eastAsia="es-ES_tradnl"/>
        </w:rPr>
        <w:t xml:space="preserve"> </w:t>
      </w:r>
      <w:r>
        <w:rPr>
          <w:rFonts w:ascii="Arial" w:eastAsia="Calibri" w:hAnsi="Arial" w:cs="Arial"/>
          <w:lang w:val="es-ES_tradnl" w:eastAsia="es-ES_tradnl"/>
        </w:rPr>
        <w:t>Por tal razón, puede concluirse</w:t>
      </w:r>
      <w:r w:rsidRPr="00C24652">
        <w:rPr>
          <w:rFonts w:ascii="Arial" w:eastAsia="Calibri" w:hAnsi="Arial" w:cs="Arial"/>
          <w:lang w:val="es-ES_tradnl" w:eastAsia="es-ES_tradnl"/>
        </w:rPr>
        <w:t xml:space="preserve">, a la luz de las disposiciones que regulan la materia, </w:t>
      </w:r>
      <w:r>
        <w:rPr>
          <w:rFonts w:ascii="Arial" w:eastAsia="Calibri" w:hAnsi="Arial" w:cs="Arial"/>
          <w:lang w:val="es-ES_tradnl" w:eastAsia="es-ES_tradnl"/>
        </w:rPr>
        <w:t xml:space="preserve">que </w:t>
      </w:r>
      <w:r w:rsidRPr="00C24652">
        <w:rPr>
          <w:rFonts w:ascii="Arial" w:eastAsia="Calibri" w:hAnsi="Arial" w:cs="Arial"/>
          <w:lang w:val="es-ES_tradnl" w:eastAsia="es-ES_tradnl"/>
        </w:rPr>
        <w:t xml:space="preserve">el artículo 53 </w:t>
      </w:r>
      <w:r>
        <w:rPr>
          <w:rFonts w:ascii="Arial" w:eastAsia="Calibri" w:hAnsi="Arial" w:cs="Arial"/>
          <w:lang w:val="es-ES_tradnl" w:eastAsia="es-ES_tradnl"/>
        </w:rPr>
        <w:t>–</w:t>
      </w:r>
      <w:r w:rsidRPr="00C24652">
        <w:rPr>
          <w:rFonts w:ascii="Arial" w:eastAsia="Calibri" w:hAnsi="Arial" w:cs="Arial"/>
          <w:lang w:val="es-ES_tradnl" w:eastAsia="es-ES_tradnl"/>
        </w:rPr>
        <w:t>al ampliar la obligación de las entidades con regímenes especiales de publicar su actividad contractual en el SECOP II</w:t>
      </w:r>
      <w:r>
        <w:rPr>
          <w:rFonts w:ascii="Arial" w:eastAsia="Calibri" w:hAnsi="Arial" w:cs="Arial"/>
          <w:lang w:val="es-ES_tradnl" w:eastAsia="es-ES_tradnl"/>
        </w:rPr>
        <w:t>–</w:t>
      </w:r>
      <w:r w:rsidRPr="00C24652">
        <w:rPr>
          <w:rFonts w:ascii="Arial" w:eastAsia="Calibri" w:hAnsi="Arial" w:cs="Arial"/>
          <w:lang w:val="es-ES_tradnl" w:eastAsia="es-ES_tradnl"/>
        </w:rPr>
        <w:t xml:space="preserve"> se refiere a aquella actividad contractual cuya fuente de financiación provenga de recursos públicos. </w:t>
      </w:r>
    </w:p>
    <w:bookmarkEnd w:id="12"/>
    <w:p w14:paraId="26CF736F" w14:textId="77777777" w:rsidR="008D4C29" w:rsidRPr="00C24652" w:rsidRDefault="008D4C29" w:rsidP="0087712A">
      <w:pPr>
        <w:spacing w:after="0" w:line="276" w:lineRule="auto"/>
        <w:ind w:firstLine="709"/>
        <w:jc w:val="both"/>
        <w:rPr>
          <w:rFonts w:ascii="Arial" w:hAnsi="Arial" w:cs="Arial"/>
          <w:lang w:val="es-ES"/>
        </w:rPr>
      </w:pPr>
      <w:r w:rsidRPr="00C24652">
        <w:rPr>
          <w:rStyle w:val="normaltextrun"/>
          <w:rFonts w:ascii="Arial" w:hAnsi="Arial" w:cs="Arial"/>
          <w:shd w:val="clear" w:color="auto" w:fill="FFFFFF"/>
          <w:lang w:val="es-ES"/>
        </w:rPr>
        <w:t xml:space="preserve">En consonancia con </w:t>
      </w:r>
      <w:r>
        <w:rPr>
          <w:rStyle w:val="normaltextrun"/>
          <w:rFonts w:ascii="Arial" w:hAnsi="Arial" w:cs="Arial"/>
          <w:shd w:val="clear" w:color="auto" w:fill="FFFFFF"/>
          <w:lang w:val="es-ES"/>
        </w:rPr>
        <w:t xml:space="preserve">la </w:t>
      </w:r>
      <w:r w:rsidRPr="00C24652">
        <w:rPr>
          <w:rStyle w:val="normaltextrun"/>
          <w:rFonts w:ascii="Arial" w:hAnsi="Arial" w:cs="Arial"/>
          <w:shd w:val="clear" w:color="auto" w:fill="FFFFFF"/>
          <w:lang w:val="es-ES"/>
        </w:rPr>
        <w:t xml:space="preserve">interpretación antes expuesta, </w:t>
      </w:r>
      <w:r w:rsidRPr="00C24652">
        <w:rPr>
          <w:rFonts w:ascii="Arial" w:hAnsi="Arial" w:cs="Arial"/>
          <w:lang w:val="es-ES"/>
        </w:rPr>
        <w:t xml:space="preserve">la </w:t>
      </w:r>
      <w:r w:rsidRPr="00C24652">
        <w:rPr>
          <w:rFonts w:ascii="Arial" w:eastAsia="Calibri" w:hAnsi="Arial" w:cs="Arial"/>
          <w:lang w:val="es-ES"/>
        </w:rPr>
        <w:t>Circular 002 del 1 de junio de 2022</w:t>
      </w:r>
      <w:r w:rsidRPr="00C24652">
        <w:rPr>
          <w:rFonts w:ascii="Arial" w:eastAsia="Calibri" w:hAnsi="Arial" w:cs="Arial"/>
          <w:vertAlign w:val="superscript"/>
          <w:lang w:val="es-ES"/>
        </w:rPr>
        <w:footnoteReference w:id="24"/>
      </w:r>
      <w:r w:rsidRPr="00C24652">
        <w:rPr>
          <w:rFonts w:ascii="Arial" w:eastAsia="Calibri" w:hAnsi="Arial" w:cs="Arial"/>
          <w:lang w:val="es-ES"/>
        </w:rPr>
        <w:t>, dictada por el Departamento Administrativo de la Presidencia</w:t>
      </w:r>
      <w:r>
        <w:rPr>
          <w:rFonts w:ascii="Arial" w:eastAsia="Calibri" w:hAnsi="Arial" w:cs="Arial"/>
          <w:lang w:val="es-ES"/>
        </w:rPr>
        <w:t xml:space="preserve"> de la República</w:t>
      </w:r>
      <w:r w:rsidRPr="00C24652">
        <w:rPr>
          <w:rFonts w:ascii="Arial" w:hAnsi="Arial" w:cs="Arial"/>
          <w:lang w:val="es-ES"/>
        </w:rPr>
        <w:t xml:space="preserve">, a través de la cual fueron impartidas instrucciones relacionadas con la aplicación del artículo 53 de la Ley 2195 de 2022, en el numeral I </w:t>
      </w:r>
      <w:r>
        <w:rPr>
          <w:rFonts w:ascii="Arial" w:hAnsi="Arial" w:cs="Arial"/>
          <w:lang w:val="es-ES"/>
        </w:rPr>
        <w:t>–</w:t>
      </w:r>
      <w:r w:rsidRPr="00C24652">
        <w:rPr>
          <w:rFonts w:ascii="Arial" w:hAnsi="Arial" w:cs="Arial"/>
          <w:lang w:val="es-ES"/>
        </w:rPr>
        <w:t>denominado «Publicación de los documentos contractuales en el SECOP II»</w:t>
      </w:r>
      <w:r>
        <w:rPr>
          <w:rFonts w:ascii="Arial" w:hAnsi="Arial" w:cs="Arial"/>
          <w:lang w:val="es-ES"/>
        </w:rPr>
        <w:t>–, señala</w:t>
      </w:r>
      <w:r w:rsidRPr="00C24652">
        <w:rPr>
          <w:rFonts w:ascii="Arial" w:hAnsi="Arial" w:cs="Arial"/>
          <w:lang w:val="es-ES"/>
        </w:rPr>
        <w:t xml:space="preserve">: </w:t>
      </w:r>
    </w:p>
    <w:p w14:paraId="7F8C2976" w14:textId="77777777" w:rsidR="008D4C29" w:rsidRPr="00C24652" w:rsidRDefault="008D4C29" w:rsidP="00C02E91">
      <w:pPr>
        <w:spacing w:after="0" w:line="276" w:lineRule="auto"/>
        <w:ind w:left="709" w:right="709"/>
        <w:contextualSpacing/>
        <w:jc w:val="both"/>
        <w:rPr>
          <w:rFonts w:ascii="Arial" w:eastAsia="Calibri" w:hAnsi="Arial" w:cs="Arial"/>
          <w:lang w:val="es-ES_tradnl" w:eastAsia="es-ES_tradnl"/>
        </w:rPr>
      </w:pPr>
    </w:p>
    <w:p w14:paraId="3F1F804A" w14:textId="22B118A2" w:rsidR="008D4C29" w:rsidRPr="00C24652" w:rsidRDefault="00391813" w:rsidP="008D4C29">
      <w:pPr>
        <w:spacing w:after="0" w:line="240" w:lineRule="auto"/>
        <w:ind w:left="709" w:right="709"/>
        <w:contextualSpacing/>
        <w:jc w:val="both"/>
        <w:rPr>
          <w:rFonts w:ascii="Arial" w:eastAsia="Calibri" w:hAnsi="Arial" w:cs="Arial"/>
          <w:sz w:val="21"/>
          <w:szCs w:val="21"/>
          <w:lang w:val="es-ES_tradnl" w:eastAsia="es-ES_tradnl"/>
        </w:rPr>
      </w:pPr>
      <w:r>
        <w:rPr>
          <w:rFonts w:ascii="Arial" w:eastAsia="Calibri" w:hAnsi="Arial" w:cs="Arial"/>
          <w:sz w:val="21"/>
          <w:szCs w:val="21"/>
          <w:lang w:val="es-ES_tradnl" w:eastAsia="es-ES_tradnl"/>
        </w:rPr>
        <w:t>“</w:t>
      </w:r>
      <w:r w:rsidR="008D4C29" w:rsidRPr="00C24652">
        <w:rPr>
          <w:rFonts w:ascii="Arial" w:eastAsia="Calibri" w:hAnsi="Arial" w:cs="Arial"/>
          <w:sz w:val="21"/>
          <w:szCs w:val="21"/>
          <w:lang w:val="es-ES_tradnl" w:eastAsia="es-ES_tradnl"/>
        </w:rPr>
        <w:t xml:space="preserve">El Sistema Electrónico de Contratación Pública – SECOP – es una herramienta tecnológica de apoyo a la contratación pública, en la cual se encuentra la información </w:t>
      </w:r>
      <w:r w:rsidR="008D4C29" w:rsidRPr="00C24652">
        <w:rPr>
          <w:rFonts w:ascii="Arial" w:eastAsia="Calibri" w:hAnsi="Arial" w:cs="Arial"/>
          <w:sz w:val="21"/>
          <w:szCs w:val="21"/>
          <w:lang w:val="es-ES_tradnl" w:eastAsia="es-ES_tradnl"/>
        </w:rPr>
        <w:lastRenderedPageBreak/>
        <w:t xml:space="preserve">oficial de la contratación realizada </w:t>
      </w:r>
      <w:r w:rsidR="008D4C29" w:rsidRPr="00C24652">
        <w:rPr>
          <w:rFonts w:ascii="Arial" w:eastAsia="Calibri" w:hAnsi="Arial" w:cs="Arial"/>
          <w:i/>
          <w:iCs/>
          <w:sz w:val="21"/>
          <w:szCs w:val="21"/>
          <w:lang w:val="es-ES_tradnl" w:eastAsia="es-ES_tradnl"/>
        </w:rPr>
        <w:t>con dineros públicos</w:t>
      </w:r>
      <w:r w:rsidR="008D4C29" w:rsidRPr="00C24652">
        <w:rPr>
          <w:rFonts w:ascii="Arial" w:eastAsia="Calibri" w:hAnsi="Arial" w:cs="Arial"/>
          <w:sz w:val="21"/>
          <w:szCs w:val="21"/>
          <w:lang w:val="es-ES_tradnl" w:eastAsia="es-ES_tradnl"/>
        </w:rPr>
        <w:t xml:space="preserve">. Lo anterior, de conformidad con lo establecido en el literal c) del artículo 3 de la Ley 1150 de 2007. </w:t>
      </w:r>
    </w:p>
    <w:p w14:paraId="36896A6E" w14:textId="77777777" w:rsidR="008D4C29" w:rsidRPr="00C24652" w:rsidRDefault="008D4C29" w:rsidP="008D4C29">
      <w:pPr>
        <w:spacing w:after="0" w:line="240" w:lineRule="auto"/>
        <w:ind w:left="709" w:right="709"/>
        <w:contextualSpacing/>
        <w:jc w:val="both"/>
        <w:rPr>
          <w:rFonts w:ascii="Arial" w:eastAsia="Calibri" w:hAnsi="Arial" w:cs="Arial"/>
          <w:sz w:val="21"/>
          <w:szCs w:val="21"/>
          <w:lang w:val="es-ES_tradnl" w:eastAsia="es-ES_tradnl"/>
        </w:rPr>
      </w:pPr>
    </w:p>
    <w:p w14:paraId="50C4C5BE" w14:textId="4D0DF21B" w:rsidR="008D4C29" w:rsidRPr="00C24652" w:rsidRDefault="008D4C29" w:rsidP="008D4C29">
      <w:pPr>
        <w:spacing w:after="0" w:line="240" w:lineRule="auto"/>
        <w:ind w:left="709" w:right="709"/>
        <w:contextualSpacing/>
        <w:jc w:val="both"/>
        <w:rPr>
          <w:rFonts w:ascii="Arial" w:eastAsia="Calibri" w:hAnsi="Arial" w:cs="Arial"/>
          <w:sz w:val="21"/>
          <w:szCs w:val="21"/>
          <w:lang w:val="es-ES_tradnl" w:eastAsia="es-ES_tradnl"/>
        </w:rPr>
      </w:pPr>
      <w:r w:rsidRPr="00C24652">
        <w:rPr>
          <w:rFonts w:ascii="Arial" w:eastAsia="Calibri" w:hAnsi="Arial" w:cs="Arial"/>
          <w:sz w:val="21"/>
          <w:szCs w:val="21"/>
          <w:lang w:val="es-ES_tradnl" w:eastAsia="es-ES_tradnl"/>
        </w:rPr>
        <w:t xml:space="preserve">En ese sentido, las entidades obligadas en virtud del artículo 53 de la Ley 2195 de 2022, deberán realizar la publicación en el SECOP II </w:t>
      </w:r>
      <w:r w:rsidRPr="00C24652">
        <w:rPr>
          <w:rFonts w:ascii="Arial" w:eastAsia="Calibri" w:hAnsi="Arial" w:cs="Arial"/>
          <w:i/>
          <w:iCs/>
          <w:sz w:val="21"/>
          <w:szCs w:val="21"/>
          <w:lang w:val="es-ES_tradnl" w:eastAsia="es-ES_tradnl"/>
        </w:rPr>
        <w:t>de aquellos documentos relacionados con la actividad contractual que se realice con dineros públicos</w:t>
      </w:r>
      <w:r w:rsidR="00391813">
        <w:rPr>
          <w:rFonts w:ascii="Arial" w:eastAsia="Calibri" w:hAnsi="Arial" w:cs="Arial"/>
          <w:i/>
          <w:iCs/>
          <w:sz w:val="21"/>
          <w:szCs w:val="21"/>
          <w:lang w:val="es-ES_tradnl" w:eastAsia="es-ES_tradnl"/>
        </w:rPr>
        <w:t>”</w:t>
      </w:r>
      <w:r w:rsidRPr="00C24652">
        <w:rPr>
          <w:rFonts w:ascii="Arial" w:eastAsia="Calibri" w:hAnsi="Arial" w:cs="Arial"/>
          <w:sz w:val="21"/>
          <w:szCs w:val="21"/>
          <w:lang w:val="es-ES_tradnl" w:eastAsia="es-ES_tradnl"/>
        </w:rPr>
        <w:t xml:space="preserve"> […] </w:t>
      </w:r>
      <w:r w:rsidRPr="00C24652">
        <w:rPr>
          <w:rFonts w:ascii="Arial" w:hAnsi="Arial" w:cs="Arial"/>
          <w:sz w:val="21"/>
          <w:szCs w:val="21"/>
          <w:lang w:val="es-ES"/>
        </w:rPr>
        <w:t>(</w:t>
      </w:r>
      <w:r w:rsidR="00391813">
        <w:rPr>
          <w:rFonts w:ascii="Arial" w:hAnsi="Arial" w:cs="Arial"/>
          <w:sz w:val="21"/>
          <w:szCs w:val="21"/>
          <w:lang w:val="es-ES"/>
        </w:rPr>
        <w:t>Én</w:t>
      </w:r>
      <w:r w:rsidR="00FC0701">
        <w:rPr>
          <w:rFonts w:ascii="Arial" w:hAnsi="Arial" w:cs="Arial"/>
          <w:sz w:val="21"/>
          <w:szCs w:val="21"/>
          <w:lang w:val="es-ES"/>
        </w:rPr>
        <w:t>f</w:t>
      </w:r>
      <w:r w:rsidR="00391813">
        <w:rPr>
          <w:rFonts w:ascii="Arial" w:hAnsi="Arial" w:cs="Arial"/>
          <w:sz w:val="21"/>
          <w:szCs w:val="21"/>
          <w:lang w:val="es-ES"/>
        </w:rPr>
        <w:t>asis</w:t>
      </w:r>
      <w:r w:rsidRPr="00C24652">
        <w:rPr>
          <w:rFonts w:ascii="Arial" w:hAnsi="Arial" w:cs="Arial"/>
          <w:sz w:val="21"/>
          <w:szCs w:val="21"/>
          <w:lang w:val="es-ES"/>
        </w:rPr>
        <w:t xml:space="preserve"> fuera del texto original)</w:t>
      </w:r>
      <w:r w:rsidR="00391813">
        <w:rPr>
          <w:rFonts w:ascii="Arial" w:hAnsi="Arial" w:cs="Arial"/>
          <w:sz w:val="21"/>
          <w:szCs w:val="21"/>
          <w:lang w:val="es-ES"/>
        </w:rPr>
        <w:t>.</w:t>
      </w:r>
    </w:p>
    <w:p w14:paraId="27E2E450" w14:textId="77777777" w:rsidR="008D4C29" w:rsidRPr="00C24652" w:rsidRDefault="008D4C29" w:rsidP="008D4C29">
      <w:pPr>
        <w:spacing w:after="0" w:line="276" w:lineRule="auto"/>
        <w:ind w:firstLine="709"/>
        <w:contextualSpacing/>
        <w:jc w:val="both"/>
        <w:rPr>
          <w:rFonts w:ascii="Arial" w:eastAsia="Calibri" w:hAnsi="Arial" w:cs="Arial"/>
          <w:lang w:val="es-ES_tradnl" w:eastAsia="es-ES_tradnl"/>
        </w:rPr>
      </w:pPr>
    </w:p>
    <w:p w14:paraId="465DA62E" w14:textId="77777777" w:rsidR="008D4C29" w:rsidRPr="00C24652" w:rsidRDefault="008D4C29" w:rsidP="008D4C29">
      <w:pPr>
        <w:spacing w:after="0" w:line="276" w:lineRule="auto"/>
        <w:ind w:firstLine="709"/>
        <w:jc w:val="both"/>
        <w:rPr>
          <w:rFonts w:ascii="Arial" w:hAnsi="Arial" w:cs="Arial"/>
          <w:shd w:val="clear" w:color="auto" w:fill="FFFFFF"/>
        </w:rPr>
      </w:pPr>
      <w:r w:rsidRPr="00C24652">
        <w:rPr>
          <w:rFonts w:ascii="Arial" w:hAnsi="Arial" w:cs="Arial"/>
          <w:lang w:val="es-ES"/>
        </w:rPr>
        <w:t>De conformidad con lo expuesto, teniendo en cuenta que el artículo 53 complementa la disposición contenida en el artículo 3 de la Ley 1150 de 2007</w:t>
      </w:r>
      <w:r>
        <w:rPr>
          <w:rFonts w:ascii="Arial" w:hAnsi="Arial" w:cs="Arial"/>
          <w:lang w:val="es-ES"/>
        </w:rPr>
        <w:t>,</w:t>
      </w:r>
      <w:r w:rsidRPr="00C24652">
        <w:rPr>
          <w:rFonts w:ascii="Arial" w:hAnsi="Arial" w:cs="Arial"/>
          <w:lang w:val="es-ES"/>
        </w:rPr>
        <w:t xml:space="preserve"> debe entenderse que la contratación a la que se refiere es aquella realizada con recursos públicos, </w:t>
      </w:r>
      <w:r>
        <w:rPr>
          <w:rFonts w:ascii="Arial" w:hAnsi="Arial" w:cs="Arial"/>
          <w:lang w:val="es-ES"/>
        </w:rPr>
        <w:t>cuya información es la que debe publicarse en el</w:t>
      </w:r>
      <w:r w:rsidRPr="00C24652">
        <w:rPr>
          <w:rFonts w:ascii="Arial" w:hAnsi="Arial" w:cs="Arial"/>
          <w:lang w:val="es-ES"/>
        </w:rPr>
        <w:t xml:space="preserve"> SECOP II</w:t>
      </w:r>
      <w:r>
        <w:rPr>
          <w:rFonts w:ascii="Arial" w:hAnsi="Arial" w:cs="Arial"/>
          <w:lang w:val="es-ES"/>
        </w:rPr>
        <w:t>, acorde con la interpretación sistemática que permite armonizar el referido artículo 53 de la Ley 2195 de 2022 con todo el contexto normativo que establece que en dicha plataforma se debe publicar solo la información relativa a la actividad contractual con dineros públicos</w:t>
      </w:r>
      <w:r w:rsidRPr="00C24652">
        <w:rPr>
          <w:rFonts w:ascii="Arial" w:hAnsi="Arial" w:cs="Arial"/>
          <w:lang w:val="es-ES"/>
        </w:rPr>
        <w:t xml:space="preserve">. </w:t>
      </w:r>
      <w:r w:rsidRPr="00C24652">
        <w:rPr>
          <w:rStyle w:val="normaltextrun"/>
          <w:rFonts w:ascii="Arial" w:hAnsi="Arial" w:cs="Arial"/>
          <w:shd w:val="clear" w:color="auto" w:fill="FFFFFF"/>
        </w:rPr>
        <w:t>Así las cosas, la Agencia Nacional de Contratación Pública – Colombia Compra Eficiente considera que la modificación introducida por el artículo 53 de la Ley 2195 de 2022 no afecta la interpretación adoptada hasta el momento</w:t>
      </w:r>
      <w:r>
        <w:rPr>
          <w:rStyle w:val="normaltextrun"/>
          <w:rFonts w:ascii="Arial" w:hAnsi="Arial" w:cs="Arial"/>
          <w:shd w:val="clear" w:color="auto" w:fill="FFFFFF"/>
        </w:rPr>
        <w:t xml:space="preserve">, en el sentido de que </w:t>
      </w:r>
      <w:r w:rsidRPr="00C24652">
        <w:rPr>
          <w:rStyle w:val="normaltextrun"/>
          <w:rFonts w:ascii="Arial" w:hAnsi="Arial" w:cs="Arial"/>
          <w:shd w:val="clear" w:color="auto" w:fill="FFFFFF"/>
        </w:rPr>
        <w:t xml:space="preserve">la </w:t>
      </w:r>
      <w:r w:rsidRPr="00C24652">
        <w:rPr>
          <w:rStyle w:val="normaltextrun"/>
          <w:rFonts w:ascii="Arial" w:hAnsi="Arial" w:cs="Arial"/>
          <w:shd w:val="clear" w:color="auto" w:fill="FFFFFF"/>
          <w:lang w:val="es-ES"/>
        </w:rPr>
        <w:t xml:space="preserve">publicación de la información oficial de la contratación </w:t>
      </w:r>
      <w:r>
        <w:rPr>
          <w:rStyle w:val="normaltextrun"/>
          <w:rFonts w:ascii="Arial" w:hAnsi="Arial" w:cs="Arial"/>
          <w:shd w:val="clear" w:color="auto" w:fill="FFFFFF"/>
          <w:lang w:val="es-ES"/>
        </w:rPr>
        <w:t xml:space="preserve">en el SECOP </w:t>
      </w:r>
      <w:r w:rsidRPr="00C24652">
        <w:rPr>
          <w:rStyle w:val="normaltextrun"/>
          <w:rFonts w:ascii="Arial" w:hAnsi="Arial" w:cs="Arial"/>
          <w:shd w:val="clear" w:color="auto" w:fill="FFFFFF"/>
          <w:lang w:val="es-ES"/>
        </w:rPr>
        <w:t xml:space="preserve">debe realizarse si los negocios jurídicos adelantados fueron financiados con recursos públicos. </w:t>
      </w:r>
    </w:p>
    <w:p w14:paraId="5E713852" w14:textId="77777777" w:rsidR="006830FE" w:rsidRPr="006830FE" w:rsidRDefault="006830FE" w:rsidP="008D4C29">
      <w:pPr>
        <w:spacing w:after="0" w:line="276" w:lineRule="auto"/>
        <w:contextualSpacing/>
        <w:jc w:val="both"/>
        <w:rPr>
          <w:rFonts w:ascii="Arial" w:eastAsia="Calibri" w:hAnsi="Arial" w:cs="Arial"/>
          <w:bCs/>
          <w:lang w:val="es-MX"/>
        </w:rPr>
      </w:pPr>
    </w:p>
    <w:p w14:paraId="388A958E" w14:textId="77777777" w:rsidR="006830FE" w:rsidRPr="006830FE" w:rsidRDefault="006830FE" w:rsidP="006830FE">
      <w:pPr>
        <w:tabs>
          <w:tab w:val="left" w:pos="284"/>
        </w:tabs>
        <w:spacing w:after="0" w:line="276" w:lineRule="auto"/>
        <w:contextualSpacing/>
        <w:jc w:val="both"/>
        <w:rPr>
          <w:rFonts w:ascii="Arial" w:eastAsia="Calibri" w:hAnsi="Arial" w:cs="Arial"/>
          <w:b/>
          <w:lang w:val="es-MX"/>
        </w:rPr>
      </w:pPr>
      <w:r w:rsidRPr="006830FE">
        <w:rPr>
          <w:rFonts w:ascii="Arial" w:eastAsia="Calibri" w:hAnsi="Arial" w:cs="Arial"/>
          <w:b/>
          <w:lang w:val="es-MX"/>
        </w:rPr>
        <w:t>3. Respuesta</w:t>
      </w:r>
    </w:p>
    <w:p w14:paraId="64B61142" w14:textId="77777777" w:rsidR="00821CDC" w:rsidRPr="006830FE" w:rsidRDefault="00821CDC" w:rsidP="00821CDC">
      <w:pPr>
        <w:spacing w:after="0" w:line="276" w:lineRule="auto"/>
        <w:contextualSpacing/>
        <w:jc w:val="both"/>
        <w:rPr>
          <w:rFonts w:ascii="Arial" w:eastAsia="Calibri" w:hAnsi="Arial" w:cs="Arial"/>
          <w:lang w:val="es-ES_tradnl"/>
        </w:rPr>
      </w:pPr>
    </w:p>
    <w:p w14:paraId="37C0F562" w14:textId="0FB5EF7B" w:rsidR="00821CDC" w:rsidRPr="006830FE" w:rsidRDefault="00BB59F7" w:rsidP="00821CDC">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r w:rsidR="00821CDC" w:rsidRPr="006830FE">
        <w:rPr>
          <w:rFonts w:ascii="Arial" w:eastAsia="Calibri" w:hAnsi="Arial" w:cs="Arial"/>
          <w:sz w:val="21"/>
          <w:szCs w:val="21"/>
          <w:lang w:val="es-MX"/>
        </w:rPr>
        <w:t>[…]</w:t>
      </w:r>
      <w:r w:rsidR="00821CDC" w:rsidRPr="006830FE">
        <w:rPr>
          <w:rFonts w:ascii="Arial" w:eastAsia="Calibri" w:hAnsi="Arial" w:cs="Arial"/>
          <w:sz w:val="24"/>
          <w:lang w:val="es-MX"/>
        </w:rPr>
        <w:t xml:space="preserve"> </w:t>
      </w:r>
      <w:r w:rsidR="00821CDC" w:rsidRPr="006830FE">
        <w:rPr>
          <w:rFonts w:ascii="Arial" w:eastAsia="Calibri" w:hAnsi="Arial" w:cs="Arial"/>
          <w:sz w:val="21"/>
          <w:szCs w:val="21"/>
          <w:lang w:val="es-MX"/>
        </w:rPr>
        <w:t>si los contratos de servicios públicos como el de aseo (recolección, transporte, disposición final transferencia), energía o agua que deben pagar las administraciones municipales deben ser cargados al SECOP II. La empresa para la que trabajo es una empresa privada 100% que presta el servicio público domiciliario de aseo en varios municipios, (ley 142 de 1994) y prestamos el servicio de disposición final de residuos para algunos municipios, ellos llevan los residuos a nuestro relleno sanitario que es de carácter regional, sin embargo nos están exigiendo que debemos cargar documentación al SECOP II cuando esto nunca se ha hecho, pues no nos rige la ley 80 sino que nos cobija la ley 142 de 1994, ley especial de servicios públicos domiciliarios. Razón por la cual elevo esta consulta, agradezco su atención quedo pendiente a sus comentarios</w:t>
      </w:r>
      <w:r>
        <w:rPr>
          <w:rFonts w:ascii="Arial" w:eastAsia="Calibri" w:hAnsi="Arial" w:cs="Arial"/>
          <w:sz w:val="21"/>
          <w:szCs w:val="21"/>
          <w:lang w:val="es-MX"/>
        </w:rPr>
        <w:t>”</w:t>
      </w:r>
      <w:r w:rsidR="00821CDC">
        <w:rPr>
          <w:rFonts w:ascii="Arial" w:eastAsia="Calibri" w:hAnsi="Arial" w:cs="Arial"/>
          <w:sz w:val="21"/>
          <w:szCs w:val="21"/>
          <w:lang w:val="es-MX"/>
        </w:rPr>
        <w:t xml:space="preserve"> </w:t>
      </w:r>
      <w:r>
        <w:rPr>
          <w:rFonts w:ascii="Arial" w:eastAsia="Calibri" w:hAnsi="Arial" w:cs="Arial"/>
          <w:sz w:val="21"/>
          <w:szCs w:val="21"/>
          <w:lang w:val="es-MX"/>
        </w:rPr>
        <w:t>[</w:t>
      </w:r>
      <w:r w:rsidR="00821CDC">
        <w:rPr>
          <w:rFonts w:ascii="Arial" w:eastAsia="Calibri" w:hAnsi="Arial" w:cs="Arial"/>
          <w:sz w:val="21"/>
          <w:szCs w:val="21"/>
          <w:lang w:val="es-MX"/>
        </w:rPr>
        <w:t>sic</w:t>
      </w:r>
      <w:r>
        <w:rPr>
          <w:rFonts w:ascii="Arial" w:eastAsia="Calibri" w:hAnsi="Arial" w:cs="Arial"/>
          <w:sz w:val="21"/>
          <w:szCs w:val="21"/>
          <w:lang w:val="es-MX"/>
        </w:rPr>
        <w:t>]</w:t>
      </w:r>
    </w:p>
    <w:p w14:paraId="084ED3E8" w14:textId="77777777" w:rsidR="006830FE" w:rsidRPr="006830FE" w:rsidRDefault="006830FE" w:rsidP="006830FE">
      <w:pPr>
        <w:spacing w:after="0" w:line="276" w:lineRule="auto"/>
        <w:contextualSpacing/>
        <w:jc w:val="both"/>
        <w:rPr>
          <w:rFonts w:ascii="Arial" w:eastAsia="Calibri" w:hAnsi="Arial" w:cs="Arial"/>
          <w:bCs/>
          <w:lang w:val="es-MX"/>
        </w:rPr>
      </w:pPr>
    </w:p>
    <w:p w14:paraId="532419D0" w14:textId="11A7C2EF" w:rsidR="006830FE" w:rsidRPr="006830FE" w:rsidRDefault="006830FE" w:rsidP="006830FE">
      <w:pPr>
        <w:spacing w:after="120" w:line="276" w:lineRule="auto"/>
        <w:jc w:val="both"/>
        <w:rPr>
          <w:rFonts w:ascii="Arial" w:eastAsia="Calibri" w:hAnsi="Arial" w:cs="Arial"/>
          <w:bCs/>
          <w:lang w:val="es-MX"/>
        </w:rPr>
      </w:pPr>
      <w:r w:rsidRPr="006830FE">
        <w:rPr>
          <w:rFonts w:ascii="Arial" w:eastAsia="Calibri" w:hAnsi="Arial" w:cs="Arial"/>
          <w:bCs/>
          <w:lang w:val="es-MX"/>
        </w:rPr>
        <w:t xml:space="preserve">Por un lado, de conformidad con lo expuesto en este concepto, el artículo 53 de la Ley 2195 de 2022 hace referencia a la obligación de las entidades exceptuadas de publicar los documentos relacionados con su actividad contractual, la cual define como </w:t>
      </w:r>
      <w:r w:rsidR="00F72B2F">
        <w:rPr>
          <w:rFonts w:ascii="Arial" w:eastAsia="Calibri" w:hAnsi="Arial" w:cs="Arial"/>
          <w:bCs/>
          <w:lang w:val="es-MX"/>
        </w:rPr>
        <w:t>“</w:t>
      </w:r>
      <w:r w:rsidRPr="006830FE">
        <w:rPr>
          <w:rFonts w:ascii="Arial" w:eastAsia="Calibri" w:hAnsi="Arial" w:cs="Arial"/>
          <w:bCs/>
          <w:lang w:val="es-MX"/>
        </w:rPr>
        <w:t xml:space="preserve">[…] los documentos, contratos, actos e información generada por oferentes, contratista, contratante, supervisor o interventor, tanto en la etapa precontractual, como en la contractual y la </w:t>
      </w:r>
      <w:proofErr w:type="spellStart"/>
      <w:r w:rsidRPr="006830FE">
        <w:rPr>
          <w:rFonts w:ascii="Arial" w:eastAsia="Calibri" w:hAnsi="Arial" w:cs="Arial"/>
          <w:bCs/>
          <w:lang w:val="es-MX"/>
        </w:rPr>
        <w:t>postcontractual</w:t>
      </w:r>
      <w:proofErr w:type="spellEnd"/>
      <w:r w:rsidR="00F72B2F">
        <w:rPr>
          <w:rFonts w:ascii="Arial" w:eastAsia="Calibri" w:hAnsi="Arial" w:cs="Arial"/>
          <w:bCs/>
          <w:lang w:val="es-MX"/>
        </w:rPr>
        <w:t>”</w:t>
      </w:r>
      <w:r w:rsidRPr="006830FE">
        <w:rPr>
          <w:rFonts w:ascii="Arial" w:eastAsia="Calibri" w:hAnsi="Arial" w:cs="Arial"/>
          <w:bCs/>
          <w:lang w:val="es-MX"/>
        </w:rPr>
        <w:t>. En ese sentido, la citada disposición establece el deber de publicar toda aquella información relacionada con l</w:t>
      </w:r>
      <w:r w:rsidR="00172418">
        <w:rPr>
          <w:rFonts w:ascii="Arial" w:eastAsia="Calibri" w:hAnsi="Arial" w:cs="Arial"/>
          <w:bCs/>
          <w:lang w:val="es-MX"/>
        </w:rPr>
        <w:t>a</w:t>
      </w:r>
      <w:r w:rsidRPr="006830FE">
        <w:rPr>
          <w:rFonts w:ascii="Arial" w:eastAsia="Calibri" w:hAnsi="Arial" w:cs="Arial"/>
          <w:bCs/>
          <w:lang w:val="es-MX"/>
        </w:rPr>
        <w:t xml:space="preserve"> </w:t>
      </w:r>
      <w:r w:rsidR="00172418">
        <w:rPr>
          <w:rFonts w:ascii="Arial" w:eastAsia="Calibri" w:hAnsi="Arial" w:cs="Arial"/>
          <w:bCs/>
          <w:lang w:val="es-MX"/>
        </w:rPr>
        <w:t>actividad contractual</w:t>
      </w:r>
      <w:r w:rsidRPr="006830FE">
        <w:rPr>
          <w:rFonts w:ascii="Arial" w:eastAsia="Calibri" w:hAnsi="Arial" w:cs="Arial"/>
          <w:bCs/>
          <w:lang w:val="es-MX"/>
        </w:rPr>
        <w:t xml:space="preserve">, sin incluir ninguna excepción relacionada con la naturaleza u objeto contractual, sin incluir ninguna excepción relacionada con la naturaleza u objeto contractual. Por lo tanto, para que las entidades exceptuadas cumplan con el deber de publicidad, consagrado en </w:t>
      </w:r>
      <w:r w:rsidRPr="006830FE">
        <w:rPr>
          <w:rFonts w:ascii="Arial" w:eastAsia="Calibri" w:hAnsi="Arial" w:cs="Arial"/>
          <w:bCs/>
          <w:lang w:val="es-MX"/>
        </w:rPr>
        <w:lastRenderedPageBreak/>
        <w:t xml:space="preserve">el artículo 53 de la Ley 2195 de 2022, se requiere que publiquen en 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 </w:t>
      </w:r>
    </w:p>
    <w:p w14:paraId="2AFF12AF" w14:textId="307B3C03" w:rsidR="006830FE" w:rsidRPr="006830FE" w:rsidRDefault="006830FE" w:rsidP="006830FE">
      <w:pPr>
        <w:spacing w:after="0" w:line="276" w:lineRule="auto"/>
        <w:ind w:firstLine="708"/>
        <w:jc w:val="both"/>
        <w:rPr>
          <w:rFonts w:ascii="Arial" w:eastAsia="Calibri" w:hAnsi="Arial" w:cs="Arial"/>
          <w:bCs/>
          <w:lang w:val="es-MX"/>
        </w:rPr>
      </w:pPr>
      <w:r w:rsidRPr="006830FE">
        <w:rPr>
          <w:rFonts w:ascii="Arial" w:eastAsia="Calibri" w:hAnsi="Arial" w:cs="Arial"/>
          <w:bCs/>
          <w:lang w:val="es-MX"/>
        </w:rPr>
        <w:t xml:space="preserve">Ahora bien, en relación con las empresas prestadoras de servicios públicos domiciliarios debe señalarse que, conforme el artículo 31 y 32 de la Ley 142 de 1994, modificados por la Ley 689 de 2001, el régimen jurídico que, por regla general, debe aplicarse a la contratación que efectúan es el derecho privado y solo excepcionalmente el contenido en el EGCAP.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w:t>
      </w:r>
      <w:r w:rsidR="00A83F8A">
        <w:rPr>
          <w:rFonts w:ascii="Arial" w:eastAsia="Calibri" w:hAnsi="Arial" w:cs="Arial"/>
          <w:bCs/>
          <w:lang w:val="es-MX"/>
        </w:rPr>
        <w:t>EGCAP</w:t>
      </w:r>
      <w:r w:rsidRPr="006830FE">
        <w:rPr>
          <w:rFonts w:ascii="Arial" w:eastAsia="Calibri" w:hAnsi="Arial" w:cs="Arial"/>
          <w:bCs/>
          <w:lang w:val="es-MX"/>
        </w:rPr>
        <w:t xml:space="preserve">, es decir, a la Ley 80 de 1993, la Ley 1150 de 2007 y demás normas complementarias, como es el caso del artículo 53 de la Ley 2195 de 2022, objeto del presente concepto, que modificó el artículo 13 de la Ley 1150 de 2007, el cual consagra los principios de actividad contractual aplicables a las entidades no sujetas al Estatuto. </w:t>
      </w:r>
    </w:p>
    <w:p w14:paraId="167CA06A" w14:textId="393E49EB" w:rsidR="006830FE" w:rsidRPr="006830FE" w:rsidRDefault="006830FE" w:rsidP="006830FE">
      <w:pPr>
        <w:spacing w:before="120"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Así las cosas, aunque los contratos que celebren las empresas prestadoras de servicios públicos están excluidos del </w:t>
      </w:r>
      <w:r w:rsidR="00703E11">
        <w:rPr>
          <w:rFonts w:ascii="Arial" w:eastAsia="Calibri" w:hAnsi="Arial" w:cs="Arial"/>
          <w:bCs/>
          <w:lang w:val="es-MX"/>
        </w:rPr>
        <w:t>EGCAP</w:t>
      </w:r>
      <w:r w:rsidRPr="006830FE">
        <w:rPr>
          <w:rFonts w:ascii="Arial" w:eastAsia="Calibri" w:hAnsi="Arial" w:cs="Arial"/>
          <w:bCs/>
          <w:lang w:val="es-MX"/>
        </w:rPr>
        <w:t xml:space="preserve">, no se rigen exclusivamente por el derecho civil y comercial, pues –conforme al artículo 13 de la Ley 1150 de 2007– se les aplican tanto los principios de la función administrativa y de la gestión fiscal como el régimen de inhabilidades e incompatibilidades, además están sujetas cumplir con el deber de publicar su actividad contractual en los términos analizados, de acuerdo con la modificación introducida por el artículo 53 de la Ley 2195 de 2022 y conforme fue analizado en los acápites 2.3 y 2.4. del presente oficio. </w:t>
      </w:r>
    </w:p>
    <w:p w14:paraId="4622B802" w14:textId="00007F46" w:rsidR="006830FE" w:rsidRDefault="006830FE" w:rsidP="00C02E91">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Conviene señalar que la disposición precitada no consagra ninguna excepción respecto a su aplicación, por lo cual todas las entidades que no se encuentran sometidas al </w:t>
      </w:r>
      <w:r w:rsidR="005B178E">
        <w:rPr>
          <w:rFonts w:ascii="Arial" w:eastAsia="Calibri" w:hAnsi="Arial" w:cs="Arial"/>
          <w:bCs/>
          <w:lang w:val="es-MX"/>
        </w:rPr>
        <w:t>EGCAP</w:t>
      </w:r>
      <w:r w:rsidR="005B178E" w:rsidRPr="006830FE">
        <w:rPr>
          <w:rFonts w:ascii="Arial" w:eastAsia="Calibri" w:hAnsi="Arial" w:cs="Arial"/>
          <w:bCs/>
          <w:lang w:val="es-MX"/>
        </w:rPr>
        <w:t xml:space="preserve"> </w:t>
      </w:r>
      <w:r w:rsidRPr="006830FE">
        <w:rPr>
          <w:rFonts w:ascii="Arial" w:eastAsia="Calibri" w:hAnsi="Arial" w:cs="Arial"/>
          <w:bCs/>
          <w:lang w:val="es-MX"/>
        </w:rPr>
        <w:t>deberán cumplir con el deber de publicación analizado en el presente concepto, sin que sea posible modular sus efectos. Lo anterior se refuerza si se tiene en cuenta que, de conformidad con el literal e) del artículo 9 y el literal g) del artículo 11 de la Ley 1712 de 2014, desarrollados en el artículo 7 del Decreto 103 de 2015 –compilado en el artículo 2.1.1.2.1.7. del Decreto 1081 de 2015–, las entidades estatales –incluidas las que se rigen generalmente por el derecho privado en materia contractual–, al ser sujetos obligados a garantizar el derecho de acceso a la información y a los documentos públicos, deben publicar en el SECOP los documentos relacionados con su gestión contractual.</w:t>
      </w:r>
    </w:p>
    <w:p w14:paraId="27C91322" w14:textId="3402C3D6" w:rsidR="00DC08C8" w:rsidRPr="00C24652" w:rsidRDefault="00484F37" w:rsidP="00C02E91">
      <w:pPr>
        <w:spacing w:after="0" w:line="276" w:lineRule="auto"/>
        <w:ind w:firstLine="709"/>
        <w:jc w:val="both"/>
        <w:rPr>
          <w:rFonts w:ascii="Arial" w:eastAsia="Calibri" w:hAnsi="Arial" w:cs="Arial"/>
          <w:lang w:val="es-ES_tradnl" w:eastAsia="es-ES_tradnl"/>
        </w:rPr>
      </w:pPr>
      <w:r>
        <w:rPr>
          <w:rFonts w:ascii="Arial" w:eastAsia="Calibri" w:hAnsi="Arial" w:cs="Arial"/>
          <w:bCs/>
          <w:lang w:val="es-MX"/>
        </w:rPr>
        <w:t xml:space="preserve">Por otro lado, </w:t>
      </w:r>
      <w:r w:rsidR="00DC08C8">
        <w:rPr>
          <w:rFonts w:ascii="Arial" w:eastAsia="Calibri" w:hAnsi="Arial" w:cs="Arial"/>
          <w:bCs/>
          <w:lang w:val="es-MX"/>
        </w:rPr>
        <w:tab/>
      </w:r>
      <w:r w:rsidR="00E2379F">
        <w:rPr>
          <w:rFonts w:ascii="Arial" w:eastAsia="Calibri" w:hAnsi="Arial" w:cs="Arial"/>
          <w:bCs/>
          <w:lang w:val="es-MX"/>
        </w:rPr>
        <w:t>d</w:t>
      </w:r>
      <w:proofErr w:type="spellStart"/>
      <w:r w:rsidR="00DC08C8" w:rsidRPr="00C24652">
        <w:rPr>
          <w:rFonts w:ascii="Arial" w:eastAsia="Calibri" w:hAnsi="Arial" w:cs="Arial"/>
          <w:lang w:val="es-ES_tradnl" w:eastAsia="es-ES_tradnl"/>
        </w:rPr>
        <w:t>e</w:t>
      </w:r>
      <w:proofErr w:type="spellEnd"/>
      <w:r w:rsidR="00DC08C8" w:rsidRPr="00C24652">
        <w:rPr>
          <w:rFonts w:ascii="Arial" w:eastAsia="Calibri" w:hAnsi="Arial" w:cs="Arial"/>
          <w:lang w:val="es-ES_tradnl" w:eastAsia="es-ES_tradnl"/>
        </w:rPr>
        <w:t xml:space="preserve"> las normas citadas en los considerandos de este concepto</w:t>
      </w:r>
      <w:r w:rsidR="00DC08C8">
        <w:rPr>
          <w:rFonts w:ascii="Arial" w:eastAsia="Calibri" w:hAnsi="Arial" w:cs="Arial"/>
          <w:lang w:val="es-ES_tradnl" w:eastAsia="es-ES_tradnl"/>
        </w:rPr>
        <w:t xml:space="preserve"> </w:t>
      </w:r>
      <w:r w:rsidR="00DC08C8" w:rsidRPr="00C24652">
        <w:rPr>
          <w:rFonts w:ascii="Arial" w:eastAsia="Calibri" w:hAnsi="Arial" w:cs="Arial"/>
          <w:lang w:val="es-ES_tradnl" w:eastAsia="es-ES_tradnl"/>
        </w:rPr>
        <w:t xml:space="preserve">es posible establecer que la obligación de publicar la actividad contractual </w:t>
      </w:r>
      <w:r w:rsidR="00DC08C8">
        <w:rPr>
          <w:rFonts w:ascii="Arial" w:eastAsia="Calibri" w:hAnsi="Arial" w:cs="Arial"/>
          <w:lang w:val="es-ES_tradnl" w:eastAsia="es-ES_tradnl"/>
        </w:rPr>
        <w:t>en el SECOP</w:t>
      </w:r>
      <w:r w:rsidR="00DC08C8" w:rsidRPr="00C24652">
        <w:rPr>
          <w:rFonts w:ascii="Arial" w:eastAsia="Calibri" w:hAnsi="Arial" w:cs="Arial"/>
          <w:lang w:val="es-ES_tradnl" w:eastAsia="es-ES_tradnl"/>
        </w:rPr>
        <w:t xml:space="preserve"> </w:t>
      </w:r>
      <w:r w:rsidR="00DC08C8">
        <w:rPr>
          <w:rFonts w:ascii="Arial" w:eastAsia="Calibri" w:hAnsi="Arial" w:cs="Arial"/>
          <w:lang w:val="es-ES_tradnl" w:eastAsia="es-ES_tradnl"/>
        </w:rPr>
        <w:t>aplica sobre la</w:t>
      </w:r>
      <w:r w:rsidR="00DC08C8" w:rsidRPr="00C24652">
        <w:rPr>
          <w:rFonts w:ascii="Arial" w:eastAsia="Calibri" w:hAnsi="Arial" w:cs="Arial"/>
          <w:lang w:val="es-ES_tradnl" w:eastAsia="es-ES_tradnl"/>
        </w:rPr>
        <w:t xml:space="preserve"> información relacionada con la </w:t>
      </w:r>
      <w:r w:rsidR="00DC08C8">
        <w:rPr>
          <w:rFonts w:ascii="Arial" w:eastAsia="Calibri" w:hAnsi="Arial" w:cs="Arial"/>
          <w:lang w:val="es-ES_tradnl" w:eastAsia="es-ES_tradnl"/>
        </w:rPr>
        <w:t>actividad contractual ejecutada con</w:t>
      </w:r>
      <w:r w:rsidR="00DC08C8" w:rsidRPr="00C24652">
        <w:rPr>
          <w:rFonts w:ascii="Arial" w:eastAsia="Calibri" w:hAnsi="Arial" w:cs="Arial"/>
          <w:lang w:val="es-ES_tradnl" w:eastAsia="es-ES_tradnl"/>
        </w:rPr>
        <w:t xml:space="preserve"> </w:t>
      </w:r>
      <w:r w:rsidR="00DC08C8" w:rsidRPr="00C02E91">
        <w:rPr>
          <w:rFonts w:ascii="Arial" w:eastAsia="Calibri" w:hAnsi="Arial" w:cs="Arial"/>
          <w:i/>
          <w:iCs/>
          <w:lang w:val="es-ES_tradnl" w:eastAsia="es-ES_tradnl"/>
        </w:rPr>
        <w:t>dineros públicos</w:t>
      </w:r>
      <w:r w:rsidR="00DC08C8">
        <w:rPr>
          <w:rFonts w:ascii="Arial" w:eastAsia="Calibri" w:hAnsi="Arial" w:cs="Arial"/>
          <w:lang w:val="es-ES_tradnl" w:eastAsia="es-ES_tradnl"/>
        </w:rPr>
        <w:t>. Por tal razón, puede concluirse</w:t>
      </w:r>
      <w:r w:rsidR="00DC08C8" w:rsidRPr="00C24652">
        <w:rPr>
          <w:rFonts w:ascii="Arial" w:eastAsia="Calibri" w:hAnsi="Arial" w:cs="Arial"/>
          <w:lang w:val="es-ES_tradnl" w:eastAsia="es-ES_tradnl"/>
        </w:rPr>
        <w:t xml:space="preserve">, a la luz de las disposiciones que regulan la materia, </w:t>
      </w:r>
      <w:r w:rsidR="00DC08C8">
        <w:rPr>
          <w:rFonts w:ascii="Arial" w:eastAsia="Calibri" w:hAnsi="Arial" w:cs="Arial"/>
          <w:lang w:val="es-ES_tradnl" w:eastAsia="es-ES_tradnl"/>
        </w:rPr>
        <w:t xml:space="preserve">que </w:t>
      </w:r>
      <w:r w:rsidR="00DC08C8" w:rsidRPr="00C24652">
        <w:rPr>
          <w:rFonts w:ascii="Arial" w:eastAsia="Calibri" w:hAnsi="Arial" w:cs="Arial"/>
          <w:lang w:val="es-ES_tradnl" w:eastAsia="es-ES_tradnl"/>
        </w:rPr>
        <w:t>el artículo 53</w:t>
      </w:r>
      <w:r w:rsidR="00DC08C8">
        <w:rPr>
          <w:rFonts w:ascii="Arial" w:eastAsia="Calibri" w:hAnsi="Arial" w:cs="Arial"/>
          <w:lang w:val="es-ES_tradnl" w:eastAsia="es-ES_tradnl"/>
        </w:rPr>
        <w:t xml:space="preserve"> de la Ley 2195 de 2022</w:t>
      </w:r>
      <w:r w:rsidR="00DC08C8" w:rsidRPr="00C24652">
        <w:rPr>
          <w:rFonts w:ascii="Arial" w:eastAsia="Calibri" w:hAnsi="Arial" w:cs="Arial"/>
          <w:lang w:val="es-ES_tradnl" w:eastAsia="es-ES_tradnl"/>
        </w:rPr>
        <w:t xml:space="preserve"> </w:t>
      </w:r>
      <w:r w:rsidR="00DC08C8">
        <w:rPr>
          <w:rFonts w:ascii="Arial" w:eastAsia="Calibri" w:hAnsi="Arial" w:cs="Arial"/>
          <w:lang w:val="es-ES_tradnl" w:eastAsia="es-ES_tradnl"/>
        </w:rPr>
        <w:t>–</w:t>
      </w:r>
      <w:r w:rsidR="00DC08C8" w:rsidRPr="00C24652">
        <w:rPr>
          <w:rFonts w:ascii="Arial" w:eastAsia="Calibri" w:hAnsi="Arial" w:cs="Arial"/>
          <w:lang w:val="es-ES_tradnl" w:eastAsia="es-ES_tradnl"/>
        </w:rPr>
        <w:t xml:space="preserve">al ampliar la obligación de las entidades con regímenes especiales de publicar su </w:t>
      </w:r>
      <w:r w:rsidR="00DC08C8" w:rsidRPr="00C24652">
        <w:rPr>
          <w:rFonts w:ascii="Arial" w:eastAsia="Calibri" w:hAnsi="Arial" w:cs="Arial"/>
          <w:lang w:val="es-ES_tradnl" w:eastAsia="es-ES_tradnl"/>
        </w:rPr>
        <w:lastRenderedPageBreak/>
        <w:t>actividad contractual en el SECOP II</w:t>
      </w:r>
      <w:r w:rsidR="00DC08C8">
        <w:rPr>
          <w:rFonts w:ascii="Arial" w:eastAsia="Calibri" w:hAnsi="Arial" w:cs="Arial"/>
          <w:lang w:val="es-ES_tradnl" w:eastAsia="es-ES_tradnl"/>
        </w:rPr>
        <w:t>–</w:t>
      </w:r>
      <w:r w:rsidR="00DC08C8" w:rsidRPr="00C24652">
        <w:rPr>
          <w:rFonts w:ascii="Arial" w:eastAsia="Calibri" w:hAnsi="Arial" w:cs="Arial"/>
          <w:lang w:val="es-ES_tradnl" w:eastAsia="es-ES_tradnl"/>
        </w:rPr>
        <w:t xml:space="preserve"> se refiere a aquella actividad contractual cuya fuente de financiación provenga de recursos públicos.</w:t>
      </w:r>
      <w:r w:rsidR="00DC08C8">
        <w:rPr>
          <w:rFonts w:ascii="Arial" w:eastAsia="Calibri" w:hAnsi="Arial" w:cs="Arial"/>
          <w:lang w:val="es-ES_tradnl" w:eastAsia="es-ES_tradnl"/>
        </w:rPr>
        <w:t xml:space="preserve"> Lo anterior de conformidad con una interpretación sistemática de dicha norma con las disposiciones que regulan la publicidad en el SECOP, analizadas en las consideraciones de este concepto.</w:t>
      </w:r>
    </w:p>
    <w:p w14:paraId="6A59FC65" w14:textId="77777777" w:rsidR="006830FE" w:rsidRPr="006830FE" w:rsidRDefault="006830FE" w:rsidP="006830FE">
      <w:pPr>
        <w:spacing w:after="0" w:line="276" w:lineRule="auto"/>
        <w:jc w:val="both"/>
        <w:rPr>
          <w:rFonts w:ascii="Arial" w:eastAsia="Calibri" w:hAnsi="Arial" w:cs="Arial"/>
          <w:bCs/>
          <w:lang w:val="es-MX"/>
        </w:rPr>
      </w:pPr>
    </w:p>
    <w:p w14:paraId="19348DEE" w14:textId="77777777" w:rsidR="006830FE" w:rsidRPr="006830FE" w:rsidRDefault="006830FE" w:rsidP="006830FE">
      <w:pPr>
        <w:spacing w:after="0" w:line="276" w:lineRule="auto"/>
        <w:jc w:val="both"/>
        <w:rPr>
          <w:rFonts w:ascii="Arial" w:eastAsia="Calibri" w:hAnsi="Arial" w:cs="Arial"/>
          <w:bCs/>
          <w:lang w:val="es-MX"/>
        </w:rPr>
      </w:pPr>
      <w:r w:rsidRPr="006830FE">
        <w:rPr>
          <w:rFonts w:ascii="Arial" w:eastAsia="Calibri" w:hAnsi="Arial" w:cs="Arial"/>
          <w:bCs/>
          <w:lang w:val="es-MX"/>
        </w:rPr>
        <w:t>Este concepto tiene el alcance previsto en el artículo 28 del Código de Procedimiento Administrativo y de lo Contencioso Administrativo.</w:t>
      </w:r>
    </w:p>
    <w:p w14:paraId="103591C5" w14:textId="77777777" w:rsidR="006830FE" w:rsidRPr="006830FE" w:rsidRDefault="006830FE" w:rsidP="006830FE">
      <w:pPr>
        <w:spacing w:after="0" w:line="276" w:lineRule="auto"/>
        <w:jc w:val="center"/>
        <w:rPr>
          <w:rFonts w:ascii="Arial" w:eastAsia="Calibri" w:hAnsi="Arial" w:cs="Arial"/>
          <w:bCs/>
          <w:lang w:val="es-MX"/>
        </w:rPr>
      </w:pPr>
    </w:p>
    <w:p w14:paraId="7225EFC8" w14:textId="77777777" w:rsidR="006830FE" w:rsidRPr="006830FE" w:rsidRDefault="006830FE" w:rsidP="006830FE">
      <w:pPr>
        <w:spacing w:after="0" w:line="240" w:lineRule="auto"/>
        <w:rPr>
          <w:rFonts w:ascii="Arial" w:eastAsia="Calibri" w:hAnsi="Arial" w:cs="Arial"/>
          <w:bCs/>
          <w:lang w:val="es-MX"/>
        </w:rPr>
      </w:pPr>
      <w:r w:rsidRPr="006830FE">
        <w:rPr>
          <w:rFonts w:ascii="Arial" w:eastAsia="Calibri" w:hAnsi="Arial" w:cs="Arial"/>
          <w:bCs/>
          <w:lang w:val="es-MX"/>
        </w:rPr>
        <w:t>Atentamente,</w:t>
      </w:r>
    </w:p>
    <w:p w14:paraId="346CB4DB" w14:textId="77777777" w:rsidR="006830FE" w:rsidRPr="006830FE" w:rsidRDefault="006830FE" w:rsidP="006830FE">
      <w:pPr>
        <w:spacing w:after="0" w:line="240" w:lineRule="auto"/>
        <w:rPr>
          <w:rFonts w:ascii="Arial" w:eastAsia="Calibri" w:hAnsi="Arial" w:cs="Arial"/>
          <w:bCs/>
          <w:lang w:val="es-MX"/>
        </w:rPr>
      </w:pPr>
    </w:p>
    <w:p w14:paraId="4963104C" w14:textId="73A6CC0A" w:rsidR="006830FE" w:rsidRPr="006830FE" w:rsidRDefault="00F21B66" w:rsidP="006830FE">
      <w:pPr>
        <w:spacing w:after="0" w:line="240" w:lineRule="auto"/>
        <w:jc w:val="center"/>
        <w:rPr>
          <w:rFonts w:ascii="Arial" w:eastAsia="Times New Roman" w:hAnsi="Arial" w:cs="Arial"/>
          <w:sz w:val="18"/>
          <w:szCs w:val="20"/>
          <w:lang w:eastAsia="es-CO"/>
        </w:rPr>
      </w:pPr>
      <w:r>
        <w:rPr>
          <w:rFonts w:ascii="Arial" w:eastAsia="Calibri" w:hAnsi="Arial" w:cs="Arial"/>
          <w:b/>
          <w:bCs/>
          <w:noProof/>
          <w:color w:val="000000"/>
          <w:sz w:val="18"/>
          <w:szCs w:val="18"/>
          <w:shd w:val="clear" w:color="auto" w:fill="FFFFFF"/>
          <w:lang w:val="es-ES"/>
        </w:rPr>
        <w:drawing>
          <wp:inline distT="0" distB="0" distL="0" distR="0" wp14:anchorId="14C5BF06" wp14:editId="010338CD">
            <wp:extent cx="3152775" cy="1209675"/>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Arial" w:hAnsi="Arial" w:cs="Arial"/>
          <w:color w:val="000000"/>
          <w:shd w:val="clear" w:color="auto" w:fill="FFFFFF"/>
        </w:rPr>
        <w:br/>
      </w:r>
      <w:r w:rsidR="006830FE" w:rsidRPr="006830FE">
        <w:rPr>
          <w:rFonts w:ascii="Arial" w:eastAsia="Calibri" w:hAnsi="Arial" w:cs="Arial"/>
          <w:b/>
          <w:bCs/>
          <w:color w:val="000000"/>
          <w:sz w:val="18"/>
          <w:szCs w:val="18"/>
          <w:shd w:val="clear" w:color="auto" w:fill="FFFFFF"/>
          <w:lang w:val="es-ES"/>
        </w:rPr>
        <w:br/>
      </w:r>
      <w:r w:rsidR="006830FE" w:rsidRPr="006830FE">
        <w:rPr>
          <w:rFonts w:ascii="Arial" w:eastAsia="Calibri" w:hAnsi="Arial" w:cs="Arial"/>
          <w:color w:val="000000"/>
          <w:shd w:val="clear" w:color="auto" w:fill="FFFFFF"/>
          <w:lang w:val="es-MX"/>
        </w:rPr>
        <w:br/>
      </w:r>
    </w:p>
    <w:bookmarkEnd w:id="0"/>
    <w:p w14:paraId="7CCDFC80" w14:textId="77777777" w:rsidR="00776D53" w:rsidRPr="000733A0" w:rsidRDefault="00776D53" w:rsidP="00776D53">
      <w:pPr>
        <w:spacing w:after="0" w:line="24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776D53" w:rsidRPr="00A44D1E" w14:paraId="6DE6CD2C" w14:textId="77777777">
        <w:trPr>
          <w:trHeight w:val="315"/>
        </w:trPr>
        <w:tc>
          <w:tcPr>
            <w:tcW w:w="812" w:type="dxa"/>
            <w:vAlign w:val="center"/>
            <w:hideMark/>
          </w:tcPr>
          <w:p w14:paraId="055CC041" w14:textId="77777777" w:rsidR="00776D53" w:rsidRPr="00A44D1E" w:rsidRDefault="00776D53">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Elaboró:</w:t>
            </w:r>
          </w:p>
        </w:tc>
        <w:tc>
          <w:tcPr>
            <w:tcW w:w="4291" w:type="dxa"/>
            <w:tcBorders>
              <w:top w:val="nil"/>
              <w:left w:val="nil"/>
              <w:bottom w:val="dotted" w:sz="4" w:space="0" w:color="7F7F7F" w:themeColor="text1" w:themeTint="80"/>
              <w:right w:val="nil"/>
            </w:tcBorders>
            <w:vAlign w:val="center"/>
            <w:hideMark/>
          </w:tcPr>
          <w:p w14:paraId="52481F1B" w14:textId="77777777" w:rsidR="00776D53" w:rsidRPr="00A44D1E" w:rsidRDefault="00776D53">
            <w:pPr>
              <w:rPr>
                <w:rFonts w:ascii="Arial" w:eastAsia="Times New Roman" w:hAnsi="Arial" w:cs="Arial"/>
                <w:sz w:val="16"/>
                <w:szCs w:val="16"/>
                <w:lang w:val="es-ES_tradnl" w:eastAsia="es-ES_tradnl"/>
              </w:rPr>
            </w:pPr>
            <w:r w:rsidRPr="00A44D1E">
              <w:rPr>
                <w:rFonts w:ascii="Arial" w:eastAsia="Times New Roman" w:hAnsi="Arial" w:cs="Arial"/>
                <w:sz w:val="16"/>
                <w:szCs w:val="16"/>
                <w:lang w:val="es-ES_tradnl" w:eastAsia="es-ES_tradnl"/>
              </w:rPr>
              <w:t>Melissa Fernández Reinoso</w:t>
            </w:r>
          </w:p>
          <w:p w14:paraId="33DE3011" w14:textId="086A49BF" w:rsidR="00776D53" w:rsidRPr="00A44D1E" w:rsidRDefault="00776D53">
            <w:pPr>
              <w:rPr>
                <w:rFonts w:ascii="Arial" w:eastAsia="Times New Roman" w:hAnsi="Arial" w:cs="Arial"/>
                <w:sz w:val="16"/>
                <w:szCs w:val="16"/>
                <w:lang w:eastAsia="es-ES_tradnl"/>
              </w:rPr>
            </w:pPr>
            <w:r>
              <w:rPr>
                <w:rFonts w:ascii="Arial" w:eastAsia="Times New Roman" w:hAnsi="Arial" w:cs="Arial"/>
                <w:sz w:val="16"/>
                <w:szCs w:val="16"/>
                <w:lang w:val="es-ES_tradnl" w:eastAsia="es-ES_tradnl"/>
              </w:rPr>
              <w:t>Contratista</w:t>
            </w:r>
            <w:r w:rsidRPr="00A44D1E">
              <w:rPr>
                <w:rFonts w:ascii="Arial" w:eastAsia="Times New Roman" w:hAnsi="Arial" w:cs="Arial"/>
                <w:sz w:val="16"/>
                <w:szCs w:val="16"/>
                <w:lang w:val="es-ES_tradnl" w:eastAsia="es-ES_tradnl"/>
              </w:rPr>
              <w:t xml:space="preserve"> de la Subdirección de Gestión Contractual</w:t>
            </w:r>
          </w:p>
        </w:tc>
      </w:tr>
      <w:tr w:rsidR="00776D53" w:rsidRPr="00A44D1E" w14:paraId="4E415E92" w14:textId="77777777">
        <w:trPr>
          <w:trHeight w:val="330"/>
        </w:trPr>
        <w:tc>
          <w:tcPr>
            <w:tcW w:w="812" w:type="dxa"/>
            <w:vAlign w:val="center"/>
            <w:hideMark/>
          </w:tcPr>
          <w:p w14:paraId="4A59F863" w14:textId="77777777" w:rsidR="00776D53" w:rsidRPr="00A44D1E" w:rsidRDefault="00776D53">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89ABAEA" w14:textId="16F4BF65" w:rsidR="00776D53" w:rsidRPr="00A44D1E" w:rsidRDefault="00776D53">
            <w:pPr>
              <w:spacing w:line="276" w:lineRule="auto"/>
              <w:rPr>
                <w:rFonts w:ascii="Arial" w:eastAsia="Times New Roman" w:hAnsi="Arial" w:cs="Arial"/>
                <w:sz w:val="16"/>
                <w:szCs w:val="16"/>
                <w:lang w:val="es-ES_tradnl" w:eastAsia="es-ES"/>
              </w:rPr>
            </w:pPr>
            <w:r w:rsidRPr="00A44D1E">
              <w:rPr>
                <w:rFonts w:ascii="Arial" w:eastAsia="Times New Roman" w:hAnsi="Arial" w:cs="Arial"/>
                <w:sz w:val="16"/>
                <w:szCs w:val="16"/>
                <w:lang w:val="es-ES_tradnl" w:eastAsia="es-ES"/>
              </w:rPr>
              <w:t xml:space="preserve">Diana </w:t>
            </w:r>
            <w:r w:rsidR="00857D56">
              <w:rPr>
                <w:rFonts w:ascii="Arial" w:eastAsia="Times New Roman" w:hAnsi="Arial" w:cs="Arial"/>
                <w:sz w:val="16"/>
                <w:szCs w:val="16"/>
                <w:lang w:val="es-ES_tradnl" w:eastAsia="es-ES"/>
              </w:rPr>
              <w:t xml:space="preserve">Lucia </w:t>
            </w:r>
            <w:r w:rsidRPr="00A44D1E">
              <w:rPr>
                <w:rFonts w:ascii="Arial" w:eastAsia="Times New Roman" w:hAnsi="Arial" w:cs="Arial"/>
                <w:sz w:val="16"/>
                <w:szCs w:val="16"/>
                <w:lang w:val="es-ES_tradnl" w:eastAsia="es-ES"/>
              </w:rPr>
              <w:t>Saavedra</w:t>
            </w:r>
            <w:r w:rsidR="00857D56">
              <w:rPr>
                <w:rFonts w:ascii="Arial" w:eastAsia="Times New Roman" w:hAnsi="Arial" w:cs="Arial"/>
                <w:sz w:val="16"/>
                <w:szCs w:val="16"/>
                <w:lang w:val="es-ES_tradnl" w:eastAsia="es-ES"/>
              </w:rPr>
              <w:t xml:space="preserve"> Castañeda</w:t>
            </w:r>
            <w:r w:rsidRPr="00A44D1E">
              <w:rPr>
                <w:rFonts w:ascii="Arial" w:eastAsia="Times New Roman" w:hAnsi="Arial" w:cs="Arial"/>
                <w:sz w:val="16"/>
                <w:szCs w:val="16"/>
                <w:lang w:val="es-ES_tradnl" w:eastAsia="es-ES"/>
              </w:rPr>
              <w:t xml:space="preserve"> </w:t>
            </w:r>
          </w:p>
          <w:p w14:paraId="630191C0" w14:textId="77777777" w:rsidR="00776D53" w:rsidRPr="00A44D1E" w:rsidRDefault="00776D53">
            <w:pPr>
              <w:rPr>
                <w:rFonts w:ascii="Arial" w:eastAsia="Times New Roman" w:hAnsi="Arial" w:cs="Arial"/>
                <w:sz w:val="16"/>
                <w:szCs w:val="16"/>
                <w:lang w:eastAsia="es-ES_tradnl"/>
              </w:rPr>
            </w:pPr>
            <w:r w:rsidRPr="00A44D1E">
              <w:rPr>
                <w:rFonts w:ascii="Arial" w:eastAsia="Times New Roman" w:hAnsi="Arial" w:cs="Arial"/>
                <w:sz w:val="16"/>
                <w:szCs w:val="16"/>
                <w:lang w:val="es-ES_tradnl" w:eastAsia="es-ES"/>
              </w:rPr>
              <w:t>Contratista de la Subdirección de Gestión Contractual</w:t>
            </w:r>
          </w:p>
        </w:tc>
      </w:tr>
      <w:tr w:rsidR="00776D53" w:rsidRPr="00A44D1E" w14:paraId="069E7F8A" w14:textId="77777777">
        <w:trPr>
          <w:trHeight w:val="300"/>
        </w:trPr>
        <w:tc>
          <w:tcPr>
            <w:tcW w:w="812" w:type="dxa"/>
            <w:vAlign w:val="center"/>
            <w:hideMark/>
          </w:tcPr>
          <w:p w14:paraId="3CD5EF7D" w14:textId="77777777" w:rsidR="00776D53" w:rsidRPr="00A44D1E" w:rsidRDefault="00776D53">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6517030" w14:textId="77777777" w:rsidR="00776D53" w:rsidRPr="00A44D1E" w:rsidRDefault="00776D53">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Nohelia del Carmen Zawady Palacio</w:t>
            </w:r>
          </w:p>
          <w:p w14:paraId="2D49E337" w14:textId="77777777" w:rsidR="00776D53" w:rsidRPr="00A44D1E" w:rsidRDefault="00776D53">
            <w:pPr>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 xml:space="preserve">Subdirectora de Gestión Contractual </w:t>
            </w:r>
          </w:p>
        </w:tc>
      </w:tr>
    </w:tbl>
    <w:p w14:paraId="098F7A59" w14:textId="77777777" w:rsidR="00776D53" w:rsidRPr="00A44D1E" w:rsidRDefault="00776D53" w:rsidP="00776D53">
      <w:pPr>
        <w:spacing w:after="0" w:line="240" w:lineRule="auto"/>
        <w:rPr>
          <w:rFonts w:ascii="Arial" w:eastAsia="Times New Roman" w:hAnsi="Arial" w:cs="Arial"/>
          <w:sz w:val="24"/>
          <w:szCs w:val="24"/>
          <w:lang w:val="es-MX" w:eastAsia="es-ES_tradnl"/>
        </w:rPr>
      </w:pPr>
    </w:p>
    <w:p w14:paraId="6055580F" w14:textId="77777777" w:rsidR="00776D53" w:rsidRPr="00A44D1E" w:rsidRDefault="00776D53" w:rsidP="00776D53">
      <w:pPr>
        <w:spacing w:after="0" w:line="240" w:lineRule="auto"/>
        <w:rPr>
          <w:rFonts w:ascii="Geomanist Light" w:eastAsia="Times New Roman" w:hAnsi="Geomanist Light" w:cs="Times New Roman"/>
          <w:sz w:val="24"/>
          <w:szCs w:val="24"/>
          <w:lang w:val="es-MX" w:eastAsia="en-GB"/>
        </w:rPr>
      </w:pPr>
    </w:p>
    <w:p w14:paraId="45202C56" w14:textId="77777777" w:rsidR="00776D53" w:rsidRPr="00A44D1E" w:rsidRDefault="00776D53" w:rsidP="00776D53">
      <w:pPr>
        <w:spacing w:after="0" w:line="240" w:lineRule="auto"/>
        <w:jc w:val="both"/>
        <w:rPr>
          <w:rFonts w:ascii="Geomanist Light" w:eastAsia="Times New Roman" w:hAnsi="Geomanist Light" w:cs="Arial"/>
          <w:color w:val="000000" w:themeColor="text1"/>
          <w:sz w:val="24"/>
          <w:szCs w:val="24"/>
          <w:lang w:val="es-ES_tradnl" w:eastAsia="es-ES_tradnl"/>
        </w:rPr>
      </w:pPr>
    </w:p>
    <w:p w14:paraId="496079BB" w14:textId="77777777" w:rsidR="006830FE" w:rsidRPr="006830FE" w:rsidRDefault="006830FE" w:rsidP="006830FE">
      <w:pPr>
        <w:spacing w:before="120" w:after="0" w:line="276" w:lineRule="auto"/>
        <w:jc w:val="both"/>
        <w:rPr>
          <w:rFonts w:ascii="Arial" w:eastAsia="Calibri" w:hAnsi="Arial" w:cs="Arial"/>
          <w:sz w:val="24"/>
          <w:lang w:val="es-ES_tradnl"/>
        </w:rPr>
      </w:pPr>
    </w:p>
    <w:p w14:paraId="31D419DD" w14:textId="30F0F96B" w:rsidR="001A1011" w:rsidRPr="006830FE" w:rsidRDefault="001A1011" w:rsidP="006219F8">
      <w:pPr>
        <w:spacing w:after="0" w:line="240" w:lineRule="auto"/>
        <w:rPr>
          <w:rFonts w:ascii="Geomanist Light" w:hAnsi="Geomanist Light"/>
          <w:b/>
          <w:color w:val="404040" w:themeColor="text1" w:themeTint="BF"/>
          <w:lang w:val="es-ES_tradnl"/>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3256" w14:textId="77777777" w:rsidR="00C54F6E" w:rsidRDefault="00C54F6E" w:rsidP="004A1847">
      <w:pPr>
        <w:spacing w:after="0" w:line="240" w:lineRule="auto"/>
      </w:pPr>
      <w:r>
        <w:separator/>
      </w:r>
    </w:p>
  </w:endnote>
  <w:endnote w:type="continuationSeparator" w:id="0">
    <w:p w14:paraId="65301F66" w14:textId="77777777" w:rsidR="00C54F6E" w:rsidRDefault="00C54F6E" w:rsidP="004A1847">
      <w:pPr>
        <w:spacing w:after="0" w:line="240" w:lineRule="auto"/>
      </w:pPr>
      <w:r>
        <w:continuationSeparator/>
      </w:r>
    </w:p>
  </w:endnote>
  <w:endnote w:type="continuationNotice" w:id="1">
    <w:p w14:paraId="3D0A8942" w14:textId="77777777" w:rsidR="00C54F6E" w:rsidRDefault="00C54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7777777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31A8" w14:textId="77777777" w:rsidR="00C54F6E" w:rsidRDefault="00C54F6E" w:rsidP="004A1847">
      <w:pPr>
        <w:spacing w:after="0" w:line="240" w:lineRule="auto"/>
      </w:pPr>
      <w:r>
        <w:separator/>
      </w:r>
    </w:p>
  </w:footnote>
  <w:footnote w:type="continuationSeparator" w:id="0">
    <w:p w14:paraId="431FE2DB" w14:textId="77777777" w:rsidR="00C54F6E" w:rsidRDefault="00C54F6E" w:rsidP="004A1847">
      <w:pPr>
        <w:spacing w:after="0" w:line="240" w:lineRule="auto"/>
      </w:pPr>
      <w:r>
        <w:continuationSeparator/>
      </w:r>
    </w:p>
  </w:footnote>
  <w:footnote w:type="continuationNotice" w:id="1">
    <w:p w14:paraId="1DBB4E72" w14:textId="77777777" w:rsidR="00C54F6E" w:rsidRDefault="00C54F6E">
      <w:pPr>
        <w:spacing w:after="0" w:line="240" w:lineRule="auto"/>
      </w:pPr>
    </w:p>
  </w:footnote>
  <w:footnote w:id="2">
    <w:p w14:paraId="54F730C4" w14:textId="77777777" w:rsidR="006830FE" w:rsidRDefault="006830FE" w:rsidP="0087208B">
      <w:pPr>
        <w:pStyle w:val="Textonotapie"/>
        <w:ind w:firstLine="708"/>
        <w:contextualSpacing/>
        <w:jc w:val="both"/>
        <w:rPr>
          <w:rFonts w:ascii="Arial" w:hAnsi="Arial" w:cs="Arial"/>
          <w:color w:val="000000"/>
          <w:sz w:val="18"/>
          <w:szCs w:val="18"/>
        </w:rPr>
      </w:pPr>
      <w:r w:rsidRPr="00C02E91">
        <w:rPr>
          <w:rStyle w:val="Refdenotaalpie"/>
          <w:rFonts w:ascii="Arial" w:hAnsi="Arial" w:cs="Arial"/>
          <w:color w:val="000000"/>
          <w:sz w:val="18"/>
          <w:szCs w:val="18"/>
        </w:rPr>
        <w:footnoteRef/>
      </w:r>
      <w:r w:rsidRPr="00C02E91">
        <w:rPr>
          <w:rFonts w:ascii="Arial" w:hAnsi="Arial" w:cs="Arial"/>
          <w:color w:val="000000"/>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02E91">
        <w:rPr>
          <w:rFonts w:ascii="Arial" w:hAnsi="Arial" w:cs="Arial"/>
          <w:i/>
          <w:iCs/>
          <w:color w:val="000000"/>
          <w:sz w:val="18"/>
          <w:szCs w:val="18"/>
        </w:rPr>
        <w:t xml:space="preserve">ibidem </w:t>
      </w:r>
      <w:r w:rsidRPr="00C02E91">
        <w:rPr>
          <w:rFonts w:ascii="Arial" w:hAnsi="Arial" w:cs="Arial"/>
          <w:color w:val="000000"/>
          <w:sz w:val="18"/>
          <w:szCs w:val="18"/>
        </w:rPr>
        <w:t>señala, de manera precisa, las funciones de Colombia Compra Eficiente. Concretamente, el numeral 5º de este artículo establece que le corresponde a esta entidad: «[a]</w:t>
      </w:r>
      <w:proofErr w:type="spellStart"/>
      <w:r w:rsidRPr="00C02E91">
        <w:rPr>
          <w:rFonts w:ascii="Arial" w:hAnsi="Arial" w:cs="Arial"/>
          <w:color w:val="000000"/>
          <w:sz w:val="18"/>
          <w:szCs w:val="18"/>
        </w:rPr>
        <w:t>bsolver</w:t>
      </w:r>
      <w:proofErr w:type="spellEnd"/>
      <w:r w:rsidRPr="00C02E91">
        <w:rPr>
          <w:rFonts w:ascii="Arial" w:hAnsi="Arial" w:cs="Arial"/>
          <w:color w:val="000000"/>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02E91">
        <w:rPr>
          <w:rFonts w:ascii="Arial" w:hAnsi="Arial" w:cs="Arial"/>
          <w:color w:val="000000"/>
          <w:sz w:val="18"/>
          <w:szCs w:val="18"/>
        </w:rPr>
        <w:t>bsolver</w:t>
      </w:r>
      <w:proofErr w:type="spellEnd"/>
      <w:r w:rsidRPr="00C02E91">
        <w:rPr>
          <w:rFonts w:ascii="Arial" w:hAnsi="Arial" w:cs="Arial"/>
          <w:color w:val="000000"/>
          <w:sz w:val="18"/>
          <w:szCs w:val="18"/>
        </w:rPr>
        <w:t xml:space="preserve"> consultas sobre la aplicación de normas de carácter general».</w:t>
      </w:r>
    </w:p>
    <w:p w14:paraId="16DB9909" w14:textId="77777777" w:rsidR="005F74EF" w:rsidRPr="00C02E91" w:rsidRDefault="005F74EF" w:rsidP="00C02E91">
      <w:pPr>
        <w:pStyle w:val="Textonotapie"/>
        <w:ind w:firstLine="708"/>
        <w:contextualSpacing/>
        <w:jc w:val="both"/>
        <w:rPr>
          <w:rFonts w:ascii="Arial" w:hAnsi="Arial" w:cs="Arial"/>
          <w:color w:val="000000"/>
          <w:sz w:val="18"/>
          <w:szCs w:val="18"/>
          <w:lang w:val="es-ES"/>
        </w:rPr>
      </w:pPr>
    </w:p>
  </w:footnote>
  <w:footnote w:id="3">
    <w:p w14:paraId="52ADAD96" w14:textId="77777777" w:rsidR="00815209" w:rsidRDefault="00815209" w:rsidP="0087208B">
      <w:pPr>
        <w:pStyle w:val="Textonotapie"/>
        <w:ind w:firstLine="708"/>
        <w:contextualSpacing/>
        <w:jc w:val="both"/>
        <w:rPr>
          <w:rFonts w:ascii="Arial" w:hAnsi="Arial" w:cs="Arial"/>
          <w:sz w:val="18"/>
          <w:szCs w:val="18"/>
          <w:shd w:val="clear" w:color="auto" w:fill="E6E6E6"/>
        </w:rPr>
      </w:pPr>
      <w:r w:rsidRPr="0087208B">
        <w:rPr>
          <w:rStyle w:val="Refdenotaalpie"/>
          <w:rFonts w:ascii="Arial" w:hAnsi="Arial" w:cs="Arial"/>
          <w:sz w:val="18"/>
          <w:szCs w:val="18"/>
        </w:rPr>
        <w:footnoteRef/>
      </w:r>
      <w:r w:rsidRPr="0087208B">
        <w:rPr>
          <w:rFonts w:ascii="Arial" w:hAnsi="Arial" w:cs="Arial"/>
          <w:sz w:val="18"/>
          <w:szCs w:val="18"/>
          <w:shd w:val="clear" w:color="auto" w:fill="E6E6E6"/>
        </w:rPr>
        <w:t xml:space="preserve"> Los conceptos </w:t>
      </w:r>
      <w:r w:rsidRPr="0087208B">
        <w:rPr>
          <w:rFonts w:ascii="Arial" w:hAnsi="Arial" w:cs="Arial"/>
          <w:sz w:val="18"/>
          <w:szCs w:val="18"/>
        </w:rPr>
        <w:t>referenciados,</w:t>
      </w:r>
      <w:r w:rsidRPr="0087208B">
        <w:rPr>
          <w:rFonts w:ascii="Arial" w:hAnsi="Arial" w:cs="Arial"/>
          <w:sz w:val="18"/>
          <w:szCs w:val="18"/>
          <w:shd w:val="clear" w:color="auto" w:fill="E6E6E6"/>
        </w:rPr>
        <w:t xml:space="preserve"> así como otros expedidos por la Subdirección se encuentran disponibles para consulta</w:t>
      </w:r>
      <w:r w:rsidRPr="0087208B">
        <w:rPr>
          <w:rFonts w:ascii="Arial" w:hAnsi="Arial" w:cs="Arial"/>
          <w:sz w:val="18"/>
          <w:szCs w:val="18"/>
        </w:rPr>
        <w:t xml:space="preserve"> pública</w:t>
      </w:r>
      <w:r w:rsidRPr="0087208B">
        <w:rPr>
          <w:rFonts w:ascii="Arial" w:hAnsi="Arial" w:cs="Arial"/>
          <w:sz w:val="18"/>
          <w:szCs w:val="18"/>
          <w:shd w:val="clear" w:color="auto" w:fill="E6E6E6"/>
        </w:rPr>
        <w:t xml:space="preserve"> en el portal de relatoría de la Agencia, al cual se puede acceder a través del siguiente enlace: </w:t>
      </w:r>
      <w:hyperlink r:id="rId1" w:history="1">
        <w:r w:rsidRPr="0087208B">
          <w:rPr>
            <w:rStyle w:val="Hipervnculo"/>
            <w:rFonts w:ascii="Arial" w:hAnsi="Arial" w:cs="Arial"/>
            <w:sz w:val="18"/>
            <w:szCs w:val="18"/>
          </w:rPr>
          <w:t>https://relatoria.colombiacompra.gov.co/busqueda/conceptos</w:t>
        </w:r>
      </w:hyperlink>
      <w:r w:rsidRPr="0087208B">
        <w:rPr>
          <w:rFonts w:ascii="Arial" w:hAnsi="Arial" w:cs="Arial"/>
          <w:sz w:val="18"/>
          <w:szCs w:val="18"/>
          <w:shd w:val="clear" w:color="auto" w:fill="E6E6E6"/>
        </w:rPr>
        <w:t xml:space="preserve"> </w:t>
      </w:r>
    </w:p>
    <w:p w14:paraId="6E4D3B74" w14:textId="77777777" w:rsidR="005F74EF" w:rsidRPr="0087208B" w:rsidRDefault="005F74EF" w:rsidP="00C02E91">
      <w:pPr>
        <w:pStyle w:val="Textonotapie"/>
        <w:ind w:firstLine="708"/>
        <w:contextualSpacing/>
        <w:jc w:val="both"/>
        <w:rPr>
          <w:rFonts w:ascii="Arial" w:hAnsi="Arial" w:cs="Arial"/>
          <w:sz w:val="18"/>
          <w:szCs w:val="18"/>
        </w:rPr>
      </w:pPr>
    </w:p>
  </w:footnote>
  <w:footnote w:id="4">
    <w:p w14:paraId="2A16B8B4" w14:textId="77777777" w:rsidR="006830FE" w:rsidRDefault="006830FE" w:rsidP="0087208B">
      <w:pPr>
        <w:pStyle w:val="Textonotapie"/>
        <w:ind w:firstLine="708"/>
        <w:contextualSpacing/>
        <w:jc w:val="both"/>
        <w:rPr>
          <w:rFonts w:ascii="Arial" w:hAnsi="Arial" w:cs="Arial"/>
          <w:color w:val="000000"/>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w:t>
      </w:r>
      <w:r w:rsidRPr="00C02E91">
        <w:rPr>
          <w:rFonts w:ascii="Arial" w:hAnsi="Arial" w:cs="Arial"/>
          <w:color w:val="000000"/>
          <w:sz w:val="18"/>
          <w:szCs w:val="18"/>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C02E91">
        <w:rPr>
          <w:rFonts w:ascii="Arial" w:hAnsi="Arial" w:cs="Arial"/>
          <w:bCs/>
          <w:i/>
          <w:iCs/>
          <w:color w:val="000000"/>
          <w:sz w:val="18"/>
          <w:szCs w:val="18"/>
        </w:rPr>
        <w:t>las empresas oficiales de servicios públicos</w:t>
      </w:r>
      <w:r w:rsidRPr="00C02E91">
        <w:rPr>
          <w:rFonts w:ascii="Arial" w:hAnsi="Arial" w:cs="Arial"/>
          <w:color w:val="000000"/>
          <w:sz w:val="18"/>
          <w:szCs w:val="18"/>
        </w:rPr>
        <w:t> y las demás entidades creadas por la ley o con su autorización, cuyo objeto principal sea el ejercicio de funciones administrativas, la prestación de servicios públicos o la realización de actividades.</w:t>
      </w:r>
    </w:p>
    <w:p w14:paraId="14C2D017" w14:textId="77777777" w:rsidR="005F74EF" w:rsidRPr="00C02E91" w:rsidRDefault="005F74EF" w:rsidP="00C02E91">
      <w:pPr>
        <w:pStyle w:val="Textonotapie"/>
        <w:ind w:firstLine="708"/>
        <w:contextualSpacing/>
        <w:jc w:val="both"/>
        <w:rPr>
          <w:rFonts w:ascii="Arial" w:hAnsi="Arial" w:cs="Arial"/>
          <w:sz w:val="18"/>
          <w:szCs w:val="18"/>
        </w:rPr>
      </w:pPr>
    </w:p>
  </w:footnote>
  <w:footnote w:id="5">
    <w:p w14:paraId="44B8A1A4" w14:textId="77777777" w:rsidR="006830FE" w:rsidRDefault="006830FE" w:rsidP="0087208B">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lang w:val="pt-PT"/>
        </w:rPr>
        <w:t xml:space="preserve"> Corte Constitucional. Sentencia C-736 de 2007. </w:t>
      </w:r>
      <w:r w:rsidRPr="00C02E91">
        <w:rPr>
          <w:rFonts w:ascii="Arial" w:hAnsi="Arial" w:cs="Arial"/>
          <w:sz w:val="18"/>
          <w:szCs w:val="18"/>
        </w:rPr>
        <w:t>M.P. Marco Gerardo Monroy Cabra.</w:t>
      </w:r>
    </w:p>
    <w:p w14:paraId="11FDFAEA" w14:textId="77777777" w:rsidR="005F74EF" w:rsidRPr="00C02E91" w:rsidRDefault="005F74EF" w:rsidP="00C02E91">
      <w:pPr>
        <w:pStyle w:val="Textonotapie"/>
        <w:ind w:firstLine="708"/>
        <w:contextualSpacing/>
        <w:jc w:val="both"/>
        <w:rPr>
          <w:rFonts w:ascii="Arial" w:hAnsi="Arial" w:cs="Arial"/>
          <w:sz w:val="18"/>
          <w:szCs w:val="18"/>
        </w:rPr>
      </w:pPr>
    </w:p>
  </w:footnote>
  <w:footnote w:id="6">
    <w:p w14:paraId="7A1DD8A8" w14:textId="77777777" w:rsidR="006830FE" w:rsidRDefault="006830FE" w:rsidP="0087208B">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Ibid.</w:t>
      </w:r>
    </w:p>
    <w:p w14:paraId="49B72CFA" w14:textId="77777777" w:rsidR="005F74EF" w:rsidRPr="00C02E91" w:rsidRDefault="005F74EF" w:rsidP="00C02E91">
      <w:pPr>
        <w:pStyle w:val="Textonotapie"/>
        <w:ind w:firstLine="708"/>
        <w:contextualSpacing/>
        <w:jc w:val="both"/>
        <w:rPr>
          <w:rFonts w:ascii="Arial" w:hAnsi="Arial" w:cs="Arial"/>
          <w:sz w:val="18"/>
          <w:szCs w:val="18"/>
        </w:rPr>
      </w:pPr>
    </w:p>
  </w:footnote>
  <w:footnote w:id="7">
    <w:p w14:paraId="660D9B31" w14:textId="77777777" w:rsidR="006830FE" w:rsidRPr="00C02E91" w:rsidRDefault="006830FE" w:rsidP="00C02E91">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330791E0" w14:textId="77777777" w:rsidR="006830FE" w:rsidRPr="00C02E91" w:rsidRDefault="006830FE" w:rsidP="00C02E91">
      <w:pPr>
        <w:pStyle w:val="Textonotapie"/>
        <w:ind w:firstLine="708"/>
        <w:contextualSpacing/>
        <w:jc w:val="both"/>
        <w:rPr>
          <w:rFonts w:ascii="Arial" w:hAnsi="Arial" w:cs="Arial"/>
          <w:sz w:val="18"/>
          <w:szCs w:val="18"/>
        </w:rPr>
      </w:pPr>
      <w:proofErr w:type="gramStart"/>
      <w:r w:rsidRPr="00C02E91">
        <w:rPr>
          <w:rFonts w:ascii="Arial" w:hAnsi="Arial" w:cs="Arial"/>
          <w:sz w:val="18"/>
          <w:szCs w:val="18"/>
        </w:rPr>
        <w:t>»Como</w:t>
      </w:r>
      <w:proofErr w:type="gramEnd"/>
      <w:r w:rsidRPr="00C02E91">
        <w:rPr>
          <w:rFonts w:ascii="Arial" w:hAnsi="Arial" w:cs="Arial"/>
          <w:sz w:val="18"/>
          <w:szCs w:val="18"/>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44740781" w14:textId="77777777" w:rsidR="006830FE" w:rsidRPr="00C02E91" w:rsidRDefault="006830FE" w:rsidP="00C02E91">
      <w:pPr>
        <w:pStyle w:val="Textonotapie"/>
        <w:ind w:firstLine="708"/>
        <w:contextualSpacing/>
        <w:jc w:val="both"/>
        <w:rPr>
          <w:rFonts w:ascii="Arial" w:hAnsi="Arial" w:cs="Arial"/>
          <w:sz w:val="18"/>
          <w:szCs w:val="18"/>
        </w:rPr>
      </w:pPr>
      <w:proofErr w:type="gramStart"/>
      <w:r w:rsidRPr="00C02E91">
        <w:rPr>
          <w:rFonts w:ascii="Arial" w:hAnsi="Arial" w:cs="Arial"/>
          <w:sz w:val="18"/>
          <w:szCs w:val="18"/>
        </w:rPr>
        <w:t>»Al</w:t>
      </w:r>
      <w:proofErr w:type="gramEnd"/>
      <w:r w:rsidRPr="00C02E91">
        <w:rPr>
          <w:rFonts w:ascii="Arial" w:hAnsi="Arial" w:cs="Arial"/>
          <w:sz w:val="18"/>
          <w:szCs w:val="18"/>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3250C47E" w14:textId="77777777" w:rsidR="006830FE" w:rsidRPr="00C02E91" w:rsidRDefault="006830FE" w:rsidP="00C02E91">
      <w:pPr>
        <w:pStyle w:val="Textonotapie"/>
        <w:ind w:firstLine="708"/>
        <w:contextualSpacing/>
        <w:jc w:val="both"/>
        <w:rPr>
          <w:rFonts w:ascii="Arial" w:hAnsi="Arial" w:cs="Arial"/>
          <w:sz w:val="18"/>
          <w:szCs w:val="18"/>
        </w:rPr>
      </w:pPr>
    </w:p>
  </w:footnote>
  <w:footnote w:id="8">
    <w:p w14:paraId="5F8EED70" w14:textId="77777777" w:rsidR="006830FE" w:rsidRPr="00C02E91" w:rsidRDefault="006830FE" w:rsidP="00C02E91">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En efecto, dicho artículo establece: «Pueden prestar los servicios públicos:</w:t>
      </w:r>
    </w:p>
    <w:p w14:paraId="0937CF76"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»15.1. Las empresas de servicios públicos.</w:t>
      </w:r>
    </w:p>
    <w:p w14:paraId="3D1E9951"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»15.2. Las personas naturales o jurídicas que produzcan para ellas mismas, o como consecuencia o complemento de su actividad principal, los bienes y servicios propios del objeto de las empresas de servicios públicos.</w:t>
      </w:r>
    </w:p>
    <w:p w14:paraId="59EC7BC9"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»15.3. Los municipios cuando asuman en forma directa, a través de su administración central, la prestación de los servicios públicos, conforme a lo dispuesto en esta Ley.</w:t>
      </w:r>
    </w:p>
    <w:p w14:paraId="6055B32C"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»15.4. Las organizaciones autorizadas conforme a esta Ley para prestar servicios públicos en municipios menores en zonas rurales y en áreas o zonas urbanas específicas.</w:t>
      </w:r>
    </w:p>
    <w:p w14:paraId="52C78111"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»15.5. Las entidades autorizadas para prestar servicios públicos durante los períodos de transición previstos en esta Ley.</w:t>
      </w:r>
    </w:p>
    <w:p w14:paraId="4AAF3A19"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»15.6. Las entidades descentralizadas de cualquier orden territorial o nacional que al momento de expedirse esta Ley estén prestando cualquiera de los servicios públicos y se ajusten a lo establecido</w:t>
      </w:r>
    </w:p>
    <w:p w14:paraId="3F54B184"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en el parágrafo del artículo 17»</w:t>
      </w:r>
    </w:p>
    <w:p w14:paraId="2F2AE607" w14:textId="77777777" w:rsidR="006830FE" w:rsidRPr="00C02E91" w:rsidRDefault="006830FE" w:rsidP="00C02E91">
      <w:pPr>
        <w:pStyle w:val="Textonotapie"/>
        <w:ind w:firstLine="708"/>
        <w:contextualSpacing/>
        <w:jc w:val="both"/>
        <w:rPr>
          <w:rFonts w:ascii="Arial" w:hAnsi="Arial" w:cs="Arial"/>
          <w:sz w:val="18"/>
          <w:szCs w:val="18"/>
        </w:rPr>
      </w:pPr>
    </w:p>
  </w:footnote>
  <w:footnote w:id="9">
    <w:p w14:paraId="1BC7628D" w14:textId="77777777" w:rsidR="006830FE" w:rsidRPr="00C02E91" w:rsidRDefault="006830FE" w:rsidP="00C02E91">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4B1C840D" w14:textId="77777777" w:rsidR="006830FE" w:rsidRPr="00C02E91" w:rsidRDefault="006830FE" w:rsidP="00C02E91">
      <w:pPr>
        <w:pStyle w:val="Textonotapie"/>
        <w:ind w:firstLine="708"/>
        <w:contextualSpacing/>
        <w:jc w:val="both"/>
        <w:rPr>
          <w:rFonts w:ascii="Arial" w:hAnsi="Arial" w:cs="Arial"/>
          <w:sz w:val="18"/>
          <w:szCs w:val="18"/>
        </w:rPr>
      </w:pPr>
      <w:proofErr w:type="gramStart"/>
      <w:r w:rsidRPr="00C02E91">
        <w:rPr>
          <w:rFonts w:ascii="Arial" w:hAnsi="Arial" w:cs="Arial"/>
          <w:sz w:val="18"/>
          <w:szCs w:val="18"/>
        </w:rPr>
        <w:t>»La</w:t>
      </w:r>
      <w:proofErr w:type="gramEnd"/>
      <w:r w:rsidRPr="00C02E91">
        <w:rPr>
          <w:rFonts w:ascii="Arial" w:hAnsi="Arial" w:cs="Arial"/>
          <w:sz w:val="18"/>
          <w:szCs w:val="18"/>
        </w:rPr>
        <w:t xml:space="preserve"> regla precedente se aplicará, inclusive, a las sociedades en las que las entidades públicas sean parte, sin atender al porcentaje que sus aportes representen dentro del capital social, ni a la naturaleza del acto o del derecho que se ejerce.</w:t>
      </w:r>
    </w:p>
    <w:p w14:paraId="2002D5D8" w14:textId="77777777" w:rsidR="006830FE" w:rsidRPr="00C02E91" w:rsidRDefault="006830FE" w:rsidP="00C02E91">
      <w:pPr>
        <w:pStyle w:val="Textonotapie"/>
        <w:ind w:firstLine="708"/>
        <w:contextualSpacing/>
        <w:jc w:val="both"/>
        <w:rPr>
          <w:rFonts w:ascii="Arial" w:hAnsi="Arial" w:cs="Arial"/>
          <w:sz w:val="18"/>
          <w:szCs w:val="18"/>
        </w:rPr>
      </w:pPr>
      <w:r w:rsidRPr="00C02E91">
        <w:rPr>
          <w:rFonts w:ascii="Arial" w:hAnsi="Arial" w:cs="Arial"/>
          <w:sz w:val="18"/>
          <w:szCs w:val="18"/>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27D28142" w14:textId="77777777" w:rsidR="006830FE" w:rsidRPr="00C02E91" w:rsidRDefault="006830FE" w:rsidP="00C02E91">
      <w:pPr>
        <w:pStyle w:val="Textonotapie"/>
        <w:ind w:firstLine="708"/>
        <w:contextualSpacing/>
        <w:jc w:val="both"/>
        <w:rPr>
          <w:rFonts w:ascii="Arial" w:hAnsi="Arial" w:cs="Arial"/>
          <w:sz w:val="18"/>
          <w:szCs w:val="18"/>
        </w:rPr>
      </w:pPr>
    </w:p>
  </w:footnote>
  <w:footnote w:id="10">
    <w:p w14:paraId="51B586E2" w14:textId="77777777" w:rsidR="006830FE" w:rsidRDefault="006830FE" w:rsidP="0087208B">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Consejo de Estado. Sección Tercera, Subsección C. Sentencia del 13 de abril de 2011. </w:t>
      </w:r>
      <w:proofErr w:type="spellStart"/>
      <w:r w:rsidRPr="00C02E91">
        <w:rPr>
          <w:rFonts w:ascii="Arial" w:hAnsi="Arial" w:cs="Arial"/>
          <w:sz w:val="18"/>
          <w:szCs w:val="18"/>
        </w:rPr>
        <w:t>Exp</w:t>
      </w:r>
      <w:proofErr w:type="spellEnd"/>
      <w:r w:rsidRPr="00C02E91">
        <w:rPr>
          <w:rFonts w:ascii="Arial" w:hAnsi="Arial" w:cs="Arial"/>
          <w:sz w:val="18"/>
          <w:szCs w:val="18"/>
        </w:rPr>
        <w:t xml:space="preserve">. 37423. Consejero Ponente: Jaime Orlando Santofimio Gamboa. En similar sentido, puede verse la Sentencia del Consejo de Estado. Sección Tercera. Subsección B, del 15 de noviembre de 2011. </w:t>
      </w:r>
      <w:proofErr w:type="spellStart"/>
      <w:r w:rsidRPr="00C02E91">
        <w:rPr>
          <w:rFonts w:ascii="Arial" w:hAnsi="Arial" w:cs="Arial"/>
          <w:sz w:val="18"/>
          <w:szCs w:val="18"/>
        </w:rPr>
        <w:t>Exp</w:t>
      </w:r>
      <w:proofErr w:type="spellEnd"/>
      <w:r w:rsidRPr="00C02E91">
        <w:rPr>
          <w:rFonts w:ascii="Arial" w:hAnsi="Arial" w:cs="Arial"/>
          <w:sz w:val="18"/>
          <w:szCs w:val="18"/>
        </w:rPr>
        <w:t>. 21178. Consejera ponente: Ruth Stella Correa Palacio.</w:t>
      </w:r>
    </w:p>
    <w:p w14:paraId="18E411E2" w14:textId="77777777" w:rsidR="005F74EF" w:rsidRPr="00C02E91" w:rsidRDefault="005F74EF" w:rsidP="00C02E91">
      <w:pPr>
        <w:pStyle w:val="Textonotapie"/>
        <w:ind w:firstLine="708"/>
        <w:contextualSpacing/>
        <w:jc w:val="both"/>
        <w:rPr>
          <w:rFonts w:ascii="Arial" w:hAnsi="Arial" w:cs="Arial"/>
          <w:sz w:val="18"/>
          <w:szCs w:val="18"/>
        </w:rPr>
      </w:pPr>
    </w:p>
  </w:footnote>
  <w:footnote w:id="11">
    <w:p w14:paraId="3C047800" w14:textId="6ACA8A79" w:rsidR="006830FE" w:rsidRDefault="006830FE" w:rsidP="0087208B">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8 Esta norma dispone: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5F74EF">
        <w:rPr>
          <w:rFonts w:ascii="Arial" w:hAnsi="Arial" w:cs="Arial"/>
          <w:sz w:val="18"/>
          <w:szCs w:val="18"/>
        </w:rPr>
        <w:t xml:space="preserve">. </w:t>
      </w:r>
    </w:p>
    <w:p w14:paraId="4E68382B" w14:textId="77777777" w:rsidR="005F74EF" w:rsidRPr="00C02E91" w:rsidRDefault="005F74EF" w:rsidP="00C02E91">
      <w:pPr>
        <w:pStyle w:val="Textonotapie"/>
        <w:ind w:firstLine="708"/>
        <w:contextualSpacing/>
        <w:jc w:val="both"/>
        <w:rPr>
          <w:rFonts w:ascii="Arial" w:hAnsi="Arial" w:cs="Arial"/>
          <w:sz w:val="18"/>
          <w:szCs w:val="18"/>
        </w:rPr>
      </w:pPr>
    </w:p>
  </w:footnote>
  <w:footnote w:id="12">
    <w:p w14:paraId="5E62022C" w14:textId="77777777" w:rsidR="006830FE" w:rsidRPr="00C02E91" w:rsidRDefault="006830FE" w:rsidP="00C02E91">
      <w:pPr>
        <w:pStyle w:val="Textonotapie"/>
        <w:ind w:firstLine="709"/>
        <w:contextualSpacing/>
        <w:jc w:val="both"/>
        <w:rPr>
          <w:rFonts w:ascii="Arial" w:hAnsi="Arial" w:cs="Arial"/>
          <w:color w:val="000000"/>
          <w:sz w:val="18"/>
          <w:szCs w:val="18"/>
        </w:rPr>
      </w:pPr>
    </w:p>
    <w:p w14:paraId="70FA3F61" w14:textId="77777777" w:rsidR="006830FE" w:rsidRPr="00C02E91" w:rsidRDefault="006830FE" w:rsidP="00C02E91">
      <w:pPr>
        <w:pStyle w:val="Textonotapie"/>
        <w:ind w:firstLine="709"/>
        <w:contextualSpacing/>
        <w:jc w:val="both"/>
        <w:rPr>
          <w:rFonts w:ascii="Arial" w:hAnsi="Arial" w:cs="Arial"/>
          <w:color w:val="000000"/>
          <w:sz w:val="18"/>
          <w:szCs w:val="18"/>
        </w:rPr>
      </w:pPr>
      <w:r w:rsidRPr="00C02E91">
        <w:rPr>
          <w:rStyle w:val="Refdenotaalpie"/>
          <w:rFonts w:ascii="Arial" w:hAnsi="Arial" w:cs="Arial"/>
          <w:color w:val="000000"/>
          <w:sz w:val="18"/>
          <w:szCs w:val="18"/>
        </w:rPr>
        <w:footnoteRef/>
      </w:r>
      <w:r w:rsidRPr="00C02E91">
        <w:rPr>
          <w:rFonts w:ascii="Arial" w:hAnsi="Arial" w:cs="Arial"/>
          <w:color w:val="000000"/>
          <w:sz w:val="18"/>
          <w:szCs w:val="18"/>
        </w:rPr>
        <w:t xml:space="preserve"> Corte Constitucional. Sentencia C- 341 del 4 de junio de 2014. M. P. Mauricio González Cuervo.</w:t>
      </w:r>
    </w:p>
    <w:p w14:paraId="4B5E4D92" w14:textId="77777777" w:rsidR="006830FE" w:rsidRPr="00C02E91" w:rsidRDefault="006830FE" w:rsidP="00C02E91">
      <w:pPr>
        <w:pStyle w:val="Textonotapie"/>
        <w:ind w:firstLine="709"/>
        <w:contextualSpacing/>
        <w:jc w:val="both"/>
        <w:rPr>
          <w:rFonts w:ascii="Arial" w:hAnsi="Arial" w:cs="Arial"/>
          <w:color w:val="000000"/>
          <w:sz w:val="18"/>
          <w:szCs w:val="18"/>
        </w:rPr>
      </w:pPr>
    </w:p>
  </w:footnote>
  <w:footnote w:id="13">
    <w:p w14:paraId="7BD2B214" w14:textId="77777777" w:rsidR="006830FE" w:rsidRPr="00C02E91" w:rsidRDefault="006830FE" w:rsidP="00C02E91">
      <w:pPr>
        <w:pStyle w:val="Textonotapie"/>
        <w:ind w:firstLine="709"/>
        <w:contextualSpacing/>
        <w:jc w:val="both"/>
        <w:rPr>
          <w:rFonts w:ascii="Arial" w:hAnsi="Arial" w:cs="Arial"/>
          <w:color w:val="000000"/>
          <w:sz w:val="18"/>
          <w:szCs w:val="18"/>
        </w:rPr>
      </w:pPr>
      <w:r w:rsidRPr="00C02E91">
        <w:rPr>
          <w:rStyle w:val="Refdenotaalpie"/>
          <w:rFonts w:ascii="Arial" w:hAnsi="Arial" w:cs="Arial"/>
          <w:color w:val="000000"/>
          <w:sz w:val="18"/>
          <w:szCs w:val="18"/>
        </w:rPr>
        <w:footnoteRef/>
      </w:r>
      <w:r w:rsidRPr="00C02E91">
        <w:rPr>
          <w:rFonts w:ascii="Arial" w:hAnsi="Arial" w:cs="Arial"/>
          <w:color w:val="000000"/>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D069383" w14:textId="77777777" w:rsidR="006830FE" w:rsidRPr="00C02E91" w:rsidRDefault="006830FE" w:rsidP="00C02E91">
      <w:pPr>
        <w:pStyle w:val="Textonotapie"/>
        <w:ind w:firstLine="709"/>
        <w:contextualSpacing/>
        <w:jc w:val="both"/>
        <w:rPr>
          <w:rFonts w:ascii="Arial" w:hAnsi="Arial" w:cs="Arial"/>
          <w:color w:val="000000"/>
          <w:sz w:val="18"/>
          <w:szCs w:val="18"/>
        </w:rPr>
      </w:pPr>
    </w:p>
    <w:p w14:paraId="6055F84E" w14:textId="77777777" w:rsidR="006830FE" w:rsidRPr="00C02E91" w:rsidRDefault="006830FE" w:rsidP="00C02E91">
      <w:pPr>
        <w:pStyle w:val="Textonotapie"/>
        <w:ind w:firstLine="709"/>
        <w:contextualSpacing/>
        <w:jc w:val="both"/>
        <w:rPr>
          <w:rFonts w:ascii="Arial" w:hAnsi="Arial" w:cs="Arial"/>
          <w:color w:val="000000"/>
          <w:sz w:val="18"/>
          <w:szCs w:val="18"/>
        </w:rPr>
      </w:pPr>
      <w:proofErr w:type="gramStart"/>
      <w:r w:rsidRPr="00C02E91">
        <w:rPr>
          <w:rFonts w:ascii="Arial" w:hAnsi="Arial" w:cs="Arial"/>
          <w:color w:val="000000"/>
          <w:sz w:val="18"/>
          <w:szCs w:val="18"/>
        </w:rPr>
        <w:t>»Lo</w:t>
      </w:r>
      <w:proofErr w:type="gramEnd"/>
      <w:r w:rsidRPr="00C02E91">
        <w:rPr>
          <w:rFonts w:ascii="Arial" w:hAnsi="Arial" w:cs="Arial"/>
          <w:color w:val="000000"/>
          <w:sz w:val="18"/>
          <w:szCs w:val="18"/>
        </w:rPr>
        <w:t xml:space="preserve"> anterior, sin perjuicio de las publicaciones previstas en el numeral 3 del artículo 30 de la Ley 80 de 1993.</w:t>
      </w:r>
    </w:p>
    <w:p w14:paraId="5D23C1DE" w14:textId="77777777" w:rsidR="006830FE" w:rsidRPr="00C02E91" w:rsidRDefault="006830FE" w:rsidP="00C02E91">
      <w:pPr>
        <w:pStyle w:val="Textonotapie"/>
        <w:ind w:firstLine="709"/>
        <w:contextualSpacing/>
        <w:jc w:val="both"/>
        <w:rPr>
          <w:rFonts w:ascii="Arial" w:hAnsi="Arial" w:cs="Arial"/>
          <w:color w:val="000000"/>
          <w:sz w:val="18"/>
          <w:szCs w:val="18"/>
        </w:rPr>
      </w:pPr>
      <w:proofErr w:type="gramStart"/>
      <w:r w:rsidRPr="00C02E91">
        <w:rPr>
          <w:rFonts w:ascii="Arial" w:hAnsi="Arial" w:cs="Arial"/>
          <w:color w:val="000000"/>
          <w:sz w:val="18"/>
          <w:szCs w:val="18"/>
        </w:rPr>
        <w:t>»Con</w:t>
      </w:r>
      <w:proofErr w:type="gramEnd"/>
      <w:r w:rsidRPr="00C02E91">
        <w:rPr>
          <w:rFonts w:ascii="Arial" w:hAnsi="Arial" w:cs="Arial"/>
          <w:color w:val="000000"/>
          <w:sz w:val="18"/>
          <w:szCs w:val="18"/>
        </w:rPr>
        <w:t xml:space="preserve"> el fin de materializar los objetivos a que se refiere el inciso anterior, el Gobierno Nacional desarrollará el Sistema Electrónico para la Contratación Pública, </w:t>
      </w:r>
      <w:proofErr w:type="spellStart"/>
      <w:r w:rsidRPr="00C02E91">
        <w:rPr>
          <w:rFonts w:ascii="Arial" w:hAnsi="Arial" w:cs="Arial"/>
          <w:color w:val="000000"/>
          <w:sz w:val="18"/>
          <w:szCs w:val="18"/>
        </w:rPr>
        <w:t>Secop</w:t>
      </w:r>
      <w:proofErr w:type="spellEnd"/>
      <w:r w:rsidRPr="00C02E91">
        <w:rPr>
          <w:rFonts w:ascii="Arial" w:hAnsi="Arial" w:cs="Arial"/>
          <w:color w:val="000000"/>
          <w:sz w:val="18"/>
          <w:szCs w:val="18"/>
        </w:rPr>
        <w:t xml:space="preserve">, el cual: </w:t>
      </w:r>
    </w:p>
    <w:p w14:paraId="3FD15351" w14:textId="77777777" w:rsidR="006830FE" w:rsidRPr="00C02E91" w:rsidRDefault="006830FE" w:rsidP="00C02E91">
      <w:pPr>
        <w:pStyle w:val="Textonotapie"/>
        <w:ind w:firstLine="709"/>
        <w:contextualSpacing/>
        <w:jc w:val="both"/>
        <w:rPr>
          <w:rFonts w:ascii="Arial" w:hAnsi="Arial" w:cs="Arial"/>
          <w:color w:val="000000"/>
          <w:sz w:val="18"/>
          <w:szCs w:val="18"/>
        </w:rPr>
      </w:pPr>
      <w:r w:rsidRPr="00C02E91">
        <w:rPr>
          <w:rFonts w:ascii="Arial" w:hAnsi="Arial" w:cs="Arial"/>
          <w:color w:val="000000"/>
          <w:sz w:val="18"/>
          <w:szCs w:val="18"/>
        </w:rPr>
        <w:t>[…]</w:t>
      </w:r>
    </w:p>
    <w:p w14:paraId="5C7612F4" w14:textId="77777777" w:rsidR="006830FE" w:rsidRPr="00C02E91" w:rsidRDefault="006830FE" w:rsidP="00C02E91">
      <w:pPr>
        <w:pStyle w:val="Textonotapie"/>
        <w:ind w:firstLine="709"/>
        <w:contextualSpacing/>
        <w:jc w:val="both"/>
        <w:rPr>
          <w:rFonts w:ascii="Arial" w:hAnsi="Arial" w:cs="Arial"/>
          <w:color w:val="000000"/>
          <w:sz w:val="18"/>
          <w:szCs w:val="18"/>
        </w:rPr>
      </w:pPr>
      <w:r w:rsidRPr="00C02E91">
        <w:rPr>
          <w:rFonts w:ascii="Arial" w:hAnsi="Arial" w:cs="Arial"/>
          <w:color w:val="000000"/>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38C21440" w14:textId="77777777" w:rsidR="006830FE" w:rsidRPr="00C02E91" w:rsidRDefault="006830FE" w:rsidP="00C02E91">
      <w:pPr>
        <w:pStyle w:val="Textonotapie"/>
        <w:ind w:firstLine="709"/>
        <w:contextualSpacing/>
        <w:jc w:val="both"/>
        <w:rPr>
          <w:rFonts w:ascii="Arial" w:hAnsi="Arial" w:cs="Arial"/>
          <w:color w:val="000000"/>
          <w:sz w:val="18"/>
          <w:szCs w:val="18"/>
        </w:rPr>
      </w:pPr>
    </w:p>
  </w:footnote>
  <w:footnote w:id="14">
    <w:p w14:paraId="0B00B218" w14:textId="693B55CD" w:rsidR="006830FE" w:rsidRPr="00C02E91" w:rsidRDefault="006830FE" w:rsidP="00C02E91">
      <w:pPr>
        <w:pStyle w:val="Textonotapie"/>
        <w:ind w:firstLine="709"/>
        <w:contextualSpacing/>
        <w:jc w:val="both"/>
        <w:rPr>
          <w:rFonts w:ascii="Arial" w:hAnsi="Arial" w:cs="Arial"/>
          <w:color w:val="000000"/>
          <w:sz w:val="18"/>
          <w:szCs w:val="18"/>
        </w:rPr>
      </w:pPr>
      <w:r w:rsidRPr="00C02E91">
        <w:rPr>
          <w:rStyle w:val="Refdenotaalpie"/>
          <w:rFonts w:ascii="Arial" w:hAnsi="Arial" w:cs="Arial"/>
          <w:color w:val="000000"/>
          <w:sz w:val="18"/>
          <w:szCs w:val="18"/>
        </w:rPr>
        <w:footnoteRef/>
      </w:r>
      <w:r w:rsidRPr="00C02E91">
        <w:rPr>
          <w:rFonts w:ascii="Arial" w:hAnsi="Arial" w:cs="Arial"/>
          <w:color w:val="000000"/>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15">
    <w:p w14:paraId="63A1A871" w14:textId="77777777" w:rsidR="00D07BB4" w:rsidRPr="00C02E91" w:rsidRDefault="00D07BB4" w:rsidP="0087208B">
      <w:pPr>
        <w:pStyle w:val="Textonotapie"/>
        <w:contextualSpacing/>
        <w:jc w:val="both"/>
        <w:rPr>
          <w:rFonts w:ascii="Arial" w:hAnsi="Arial" w:cs="Arial"/>
          <w:sz w:val="18"/>
          <w:szCs w:val="18"/>
        </w:rPr>
      </w:pPr>
    </w:p>
    <w:p w14:paraId="4BC7F501" w14:textId="77777777" w:rsidR="00D07BB4" w:rsidRPr="00C02E91" w:rsidRDefault="00D07BB4" w:rsidP="0087208B">
      <w:pPr>
        <w:pStyle w:val="Textonotapie"/>
        <w:ind w:firstLine="707"/>
        <w:contextualSpacing/>
        <w:jc w:val="both"/>
        <w:rPr>
          <w:rFonts w:ascii="Arial" w:hAnsi="Arial" w:cs="Arial"/>
          <w:sz w:val="18"/>
          <w:szCs w:val="18"/>
          <w:lang w:val="es-CO"/>
        </w:rPr>
      </w:pPr>
      <w:r w:rsidRPr="00C02E91">
        <w:rPr>
          <w:rStyle w:val="Refdenotaalpie"/>
          <w:rFonts w:ascii="Arial" w:hAnsi="Arial" w:cs="Arial"/>
          <w:sz w:val="18"/>
          <w:szCs w:val="18"/>
        </w:rPr>
        <w:footnoteRef/>
      </w:r>
      <w:r w:rsidRPr="00C02E91">
        <w:rPr>
          <w:rFonts w:ascii="Arial" w:hAnsi="Arial" w:cs="Arial"/>
          <w:sz w:val="18"/>
          <w:szCs w:val="18"/>
          <w:vertAlign w:val="superscript"/>
        </w:rPr>
        <w:t xml:space="preserve"> </w:t>
      </w:r>
      <w:r w:rsidRPr="00C02E91">
        <w:rPr>
          <w:rFonts w:ascii="Arial" w:hAnsi="Arial" w:cs="Arial"/>
          <w:sz w:val="18"/>
          <w:szCs w:val="18"/>
        </w:rPr>
        <w:t xml:space="preserve">Ley 1712 de 2014: «Artículo 3. </w:t>
      </w:r>
      <w:bookmarkStart w:id="6" w:name="3"/>
      <w:r w:rsidRPr="00C02E91">
        <w:rPr>
          <w:rFonts w:ascii="Arial" w:hAnsi="Arial" w:cs="Arial"/>
          <w:sz w:val="18"/>
          <w:szCs w:val="18"/>
          <w:lang w:val="es-CO"/>
        </w:rPr>
        <w:t>Otros principios de la transparencia y acceso a la información pública.</w:t>
      </w:r>
      <w:bookmarkEnd w:id="6"/>
      <w:r w:rsidRPr="00C02E91">
        <w:rPr>
          <w:rFonts w:ascii="Arial" w:hAnsi="Arial" w:cs="Arial"/>
          <w:sz w:val="18"/>
          <w:szCs w:val="18"/>
          <w:lang w:val="es-CO"/>
        </w:rPr>
        <w:t> </w:t>
      </w:r>
    </w:p>
    <w:p w14:paraId="510F0E2A" w14:textId="77777777" w:rsidR="00D07BB4" w:rsidRPr="00C02E91" w:rsidRDefault="00D07BB4" w:rsidP="0087208B">
      <w:pPr>
        <w:pStyle w:val="Textonotapie"/>
        <w:ind w:firstLine="707"/>
        <w:contextualSpacing/>
        <w:jc w:val="both"/>
        <w:rPr>
          <w:rFonts w:ascii="Arial" w:hAnsi="Arial" w:cs="Arial"/>
          <w:sz w:val="18"/>
          <w:szCs w:val="18"/>
          <w:lang w:val="es-CO"/>
        </w:rPr>
      </w:pPr>
      <w:r w:rsidRPr="00C02E91">
        <w:rPr>
          <w:rFonts w:ascii="Arial" w:hAnsi="Arial" w:cs="Arial"/>
          <w:sz w:val="18"/>
          <w:szCs w:val="18"/>
          <w:lang w:val="es-CO"/>
        </w:rPr>
        <w:t>[…]</w:t>
      </w:r>
    </w:p>
    <w:p w14:paraId="499F4330" w14:textId="77777777" w:rsidR="00D07BB4" w:rsidRPr="00C02E91" w:rsidRDefault="00D07BB4" w:rsidP="0087208B">
      <w:pPr>
        <w:pStyle w:val="Textonotapie"/>
        <w:ind w:firstLine="707"/>
        <w:contextualSpacing/>
        <w:jc w:val="both"/>
        <w:rPr>
          <w:rFonts w:ascii="Arial" w:hAnsi="Arial" w:cs="Arial"/>
          <w:sz w:val="18"/>
          <w:szCs w:val="18"/>
        </w:rPr>
      </w:pPr>
      <w:r w:rsidRPr="00C02E91">
        <w:rPr>
          <w:rStyle w:val="baj"/>
          <w:rFonts w:ascii="Arial" w:hAnsi="Arial" w:cs="Arial"/>
          <w:sz w:val="18"/>
          <w:szCs w:val="18"/>
        </w:rPr>
        <w:t>Principio de transparencia</w:t>
      </w:r>
      <w:r w:rsidRPr="00C02E91">
        <w:rPr>
          <w:rFonts w:ascii="Arial" w:hAnsi="Arial"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7DE171C9" w14:textId="77777777" w:rsidR="00D07BB4" w:rsidRPr="00C02E91" w:rsidRDefault="00D07BB4" w:rsidP="0087208B">
      <w:pPr>
        <w:pStyle w:val="Textonotapie"/>
        <w:contextualSpacing/>
        <w:jc w:val="both"/>
        <w:rPr>
          <w:rFonts w:ascii="Arial" w:hAnsi="Arial" w:cs="Arial"/>
          <w:sz w:val="18"/>
          <w:szCs w:val="18"/>
          <w:lang w:val="es-CO"/>
        </w:rPr>
      </w:pPr>
    </w:p>
  </w:footnote>
  <w:footnote w:id="16">
    <w:p w14:paraId="34BCEFFA" w14:textId="77777777" w:rsidR="006830FE" w:rsidRPr="00C02E91" w:rsidRDefault="006830FE" w:rsidP="0087208B">
      <w:pPr>
        <w:pStyle w:val="Textonotapie"/>
        <w:ind w:firstLine="707"/>
        <w:contextualSpacing/>
        <w:jc w:val="both"/>
        <w:rPr>
          <w:rFonts w:ascii="Arial" w:hAnsi="Arial" w:cs="Arial"/>
          <w:sz w:val="18"/>
          <w:szCs w:val="18"/>
          <w:lang w:val="es-CO"/>
        </w:rPr>
      </w:pPr>
      <w:r w:rsidRPr="00C02E91">
        <w:rPr>
          <w:rStyle w:val="Refdenotaalpie"/>
          <w:rFonts w:ascii="Arial" w:hAnsi="Arial" w:cs="Arial"/>
          <w:sz w:val="18"/>
          <w:szCs w:val="18"/>
        </w:rPr>
        <w:footnoteRef/>
      </w:r>
      <w:r w:rsidRPr="00C02E91">
        <w:rPr>
          <w:rFonts w:ascii="Arial" w:hAnsi="Arial" w:cs="Arial"/>
          <w:sz w:val="18"/>
          <w:szCs w:val="18"/>
          <w:vertAlign w:val="superscript"/>
        </w:rPr>
        <w:t xml:space="preserve"> </w:t>
      </w:r>
      <w:r w:rsidRPr="00C02E91">
        <w:rPr>
          <w:rFonts w:ascii="Arial" w:hAnsi="Arial" w:cs="Arial"/>
          <w:sz w:val="18"/>
          <w:szCs w:val="18"/>
        </w:rPr>
        <w:t xml:space="preserve">Ley 1712 de 2014: «Artículo 3. </w:t>
      </w:r>
      <w:r w:rsidRPr="00C02E91">
        <w:rPr>
          <w:rFonts w:ascii="Arial" w:hAnsi="Arial" w:cs="Arial"/>
          <w:sz w:val="18"/>
          <w:szCs w:val="18"/>
          <w:lang w:val="es-CO"/>
        </w:rPr>
        <w:t>Otros principios de la transparencia y acceso a la información pública. </w:t>
      </w:r>
    </w:p>
    <w:p w14:paraId="4F4F1892" w14:textId="77777777" w:rsidR="006830FE" w:rsidRPr="00C02E91" w:rsidRDefault="006830FE" w:rsidP="0087208B">
      <w:pPr>
        <w:pStyle w:val="Textonotapie"/>
        <w:ind w:firstLine="707"/>
        <w:contextualSpacing/>
        <w:jc w:val="both"/>
        <w:rPr>
          <w:rFonts w:ascii="Arial" w:hAnsi="Arial" w:cs="Arial"/>
          <w:sz w:val="18"/>
          <w:szCs w:val="18"/>
          <w:lang w:val="es-ES"/>
        </w:rPr>
      </w:pPr>
      <w:r w:rsidRPr="00C02E91">
        <w:rPr>
          <w:rFonts w:ascii="Arial" w:hAnsi="Arial" w:cs="Arial"/>
          <w:sz w:val="18"/>
          <w:szCs w:val="18"/>
          <w:lang w:val="es-ES"/>
        </w:rPr>
        <w:t>[…]</w:t>
      </w:r>
    </w:p>
    <w:p w14:paraId="286E6F35" w14:textId="77777777" w:rsidR="006830FE" w:rsidRPr="00C02E91" w:rsidRDefault="006830FE" w:rsidP="0087208B">
      <w:pPr>
        <w:pStyle w:val="Textonotapie"/>
        <w:ind w:firstLine="707"/>
        <w:contextualSpacing/>
        <w:jc w:val="both"/>
        <w:rPr>
          <w:rFonts w:ascii="Arial" w:hAnsi="Arial" w:cs="Arial"/>
          <w:sz w:val="18"/>
          <w:szCs w:val="18"/>
          <w:lang w:val="es-ES"/>
        </w:rPr>
      </w:pPr>
      <w:r w:rsidRPr="00C02E91">
        <w:rPr>
          <w:rStyle w:val="baj"/>
          <w:rFonts w:ascii="Arial" w:hAnsi="Arial" w:cs="Arial"/>
          <w:b/>
          <w:bCs/>
          <w:sz w:val="18"/>
          <w:szCs w:val="18"/>
        </w:rPr>
        <w:t>Principio de buena fe</w:t>
      </w:r>
      <w:r w:rsidRPr="00C02E91">
        <w:rPr>
          <w:rFonts w:ascii="Arial" w:hAnsi="Arial"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17">
    <w:p w14:paraId="4F402D95" w14:textId="77777777" w:rsidR="00934D1F" w:rsidRPr="00740AA8" w:rsidRDefault="00934D1F" w:rsidP="00934D1F">
      <w:pPr>
        <w:pStyle w:val="Textonotapie"/>
        <w:ind w:firstLine="707"/>
        <w:contextualSpacing/>
        <w:jc w:val="both"/>
        <w:rPr>
          <w:rFonts w:ascii="Arial" w:hAnsi="Arial" w:cs="Arial"/>
          <w:sz w:val="19"/>
          <w:szCs w:val="19"/>
        </w:rPr>
      </w:pPr>
    </w:p>
    <w:p w14:paraId="6C218578" w14:textId="77777777" w:rsidR="00934D1F" w:rsidRPr="00740AA8" w:rsidRDefault="00934D1F" w:rsidP="00934D1F">
      <w:pPr>
        <w:pStyle w:val="Textonotapie"/>
        <w:ind w:firstLine="707"/>
        <w:contextualSpacing/>
        <w:jc w:val="both"/>
        <w:rPr>
          <w:rFonts w:ascii="Arial" w:hAnsi="Arial" w:cs="Arial"/>
          <w:sz w:val="19"/>
          <w:szCs w:val="19"/>
          <w:shd w:val="clear" w:color="auto" w:fill="FFFFFF"/>
        </w:rPr>
      </w:pPr>
      <w:r w:rsidRPr="00740AA8">
        <w:rPr>
          <w:rStyle w:val="Refdenotaalpie"/>
          <w:rFonts w:ascii="Arial" w:hAnsi="Arial" w:cs="Arial"/>
          <w:sz w:val="19"/>
          <w:szCs w:val="19"/>
        </w:rPr>
        <w:footnoteRef/>
      </w:r>
      <w:r w:rsidRPr="00740AA8">
        <w:rPr>
          <w:rFonts w:ascii="Arial" w:hAnsi="Arial" w:cs="Arial"/>
          <w:sz w:val="19"/>
          <w:szCs w:val="19"/>
        </w:rPr>
        <w:t xml:space="preserve"> Ley 1712 de 2014: «Artículo 9. </w:t>
      </w:r>
      <w:r w:rsidRPr="00740AA8">
        <w:rPr>
          <w:rFonts w:ascii="Arial" w:hAnsi="Arial" w:cs="Arial"/>
          <w:sz w:val="19"/>
          <w:szCs w:val="19"/>
          <w:shd w:val="clear" w:color="auto" w:fill="FFFFFF"/>
        </w:rPr>
        <w:t> </w:t>
      </w:r>
      <w:r w:rsidRPr="00116C24">
        <w:rPr>
          <w:rStyle w:val="nfasis"/>
          <w:rFonts w:ascii="Arial" w:hAnsi="Arial" w:cs="Arial"/>
          <w:sz w:val="19"/>
          <w:szCs w:val="19"/>
          <w:shd w:val="clear" w:color="auto" w:fill="FFFFFF"/>
        </w:rPr>
        <w:t>Información mínima obligatoria respecto a la estructura del sujeto obligado. </w:t>
      </w:r>
      <w:r w:rsidRPr="00740AA8">
        <w:rPr>
          <w:rFonts w:ascii="Arial" w:hAnsi="Arial" w:cs="Arial"/>
          <w:sz w:val="19"/>
          <w:szCs w:val="19"/>
          <w:shd w:val="clear" w:color="auto" w:fill="FFFFFF"/>
        </w:rPr>
        <w:t>Todo sujeto obligado deberá publicar la siguiente información mínima obligatoria de manera proactiva en los sistemas de información del Estado o herramientas que lo sustituyan:</w:t>
      </w:r>
    </w:p>
    <w:p w14:paraId="5D0A2C5A" w14:textId="77777777" w:rsidR="00934D1F" w:rsidRPr="00740AA8" w:rsidRDefault="00934D1F" w:rsidP="00934D1F">
      <w:pPr>
        <w:pStyle w:val="Textonotapie"/>
        <w:ind w:firstLine="707"/>
        <w:contextualSpacing/>
        <w:jc w:val="both"/>
        <w:rPr>
          <w:rFonts w:ascii="Arial" w:hAnsi="Arial" w:cs="Arial"/>
          <w:sz w:val="19"/>
          <w:szCs w:val="19"/>
          <w:shd w:val="clear" w:color="auto" w:fill="FFFFFF"/>
        </w:rPr>
      </w:pPr>
      <w:r w:rsidRPr="00740AA8">
        <w:rPr>
          <w:rFonts w:ascii="Arial" w:hAnsi="Arial" w:cs="Arial"/>
          <w:sz w:val="19"/>
          <w:szCs w:val="19"/>
          <w:shd w:val="clear" w:color="auto" w:fill="FFFFFF"/>
        </w:rPr>
        <w:t>[…]</w:t>
      </w:r>
    </w:p>
    <w:p w14:paraId="6A5457ED" w14:textId="77777777" w:rsidR="00934D1F" w:rsidRPr="00740AA8" w:rsidRDefault="00934D1F" w:rsidP="00934D1F">
      <w:pPr>
        <w:pStyle w:val="Textonotapie"/>
        <w:ind w:firstLine="707"/>
        <w:contextualSpacing/>
        <w:jc w:val="both"/>
        <w:rPr>
          <w:rFonts w:ascii="Arial" w:hAnsi="Arial" w:cs="Arial"/>
          <w:sz w:val="19"/>
          <w:szCs w:val="19"/>
          <w:lang w:val="es-ES"/>
        </w:rPr>
      </w:pPr>
      <w:r w:rsidRPr="00740AA8">
        <w:rPr>
          <w:rFonts w:ascii="Arial" w:hAnsi="Arial" w:cs="Arial"/>
          <w:sz w:val="19"/>
          <w:szCs w:val="19"/>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740AA8">
        <w:rPr>
          <w:rFonts w:ascii="Arial" w:hAnsi="Arial" w:cs="Arial"/>
          <w:sz w:val="19"/>
          <w:szCs w:val="19"/>
        </w:rPr>
        <w:t xml:space="preserve"> </w:t>
      </w:r>
      <w:r w:rsidRPr="00740AA8">
        <w:rPr>
          <w:rFonts w:ascii="Arial" w:hAnsi="Arial" w:cs="Arial"/>
          <w:sz w:val="19"/>
          <w:szCs w:val="19"/>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740AA8">
        <w:rPr>
          <w:rFonts w:ascii="Arial" w:hAnsi="Arial" w:cs="Arial"/>
          <w:sz w:val="19"/>
          <w:szCs w:val="19"/>
        </w:rPr>
        <w:t>».</w:t>
      </w:r>
    </w:p>
  </w:footnote>
  <w:footnote w:id="18">
    <w:p w14:paraId="6FC673AD" w14:textId="77777777" w:rsidR="008D3A70" w:rsidRPr="00740AA8" w:rsidRDefault="008D3A70" w:rsidP="008D3A70">
      <w:pPr>
        <w:spacing w:after="0" w:line="240" w:lineRule="auto"/>
        <w:ind w:firstLine="707"/>
        <w:contextualSpacing/>
        <w:jc w:val="both"/>
        <w:rPr>
          <w:rFonts w:ascii="Arial" w:hAnsi="Arial" w:cs="Arial"/>
          <w:sz w:val="19"/>
          <w:szCs w:val="19"/>
        </w:rPr>
      </w:pPr>
    </w:p>
    <w:p w14:paraId="2B50969B" w14:textId="77777777" w:rsidR="008D3A70" w:rsidRPr="00740AA8" w:rsidRDefault="008D3A70" w:rsidP="008D3A70">
      <w:pPr>
        <w:spacing w:after="0" w:line="240" w:lineRule="auto"/>
        <w:ind w:firstLine="707"/>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Ley 1712 de 2014: «Artículo 5. Ámbito de aplicación. Las disposiciones de esta ley serán aplicables a las siguientes personas en calidad de sujetos obligados:</w:t>
      </w:r>
    </w:p>
    <w:p w14:paraId="4DAE7B5E" w14:textId="77777777" w:rsidR="008D3A70" w:rsidRPr="00740AA8" w:rsidRDefault="008D3A70" w:rsidP="008D3A70">
      <w:pPr>
        <w:spacing w:after="0" w:line="240" w:lineRule="auto"/>
        <w:ind w:firstLine="707"/>
        <w:contextualSpacing/>
        <w:jc w:val="both"/>
        <w:rPr>
          <w:rFonts w:ascii="Arial" w:hAnsi="Arial" w:cs="Arial"/>
          <w:sz w:val="19"/>
          <w:szCs w:val="19"/>
        </w:rPr>
      </w:pPr>
      <w:r w:rsidRPr="00740AA8">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9BFB4CB" w14:textId="77777777" w:rsidR="008D3A70" w:rsidRPr="00740AA8" w:rsidRDefault="008D3A70" w:rsidP="008D3A70">
      <w:pPr>
        <w:pStyle w:val="Textonotapie"/>
        <w:contextualSpacing/>
        <w:jc w:val="both"/>
        <w:rPr>
          <w:rFonts w:ascii="Arial" w:hAnsi="Arial" w:cs="Arial"/>
          <w:sz w:val="19"/>
          <w:szCs w:val="19"/>
        </w:rPr>
      </w:pPr>
    </w:p>
  </w:footnote>
  <w:footnote w:id="19">
    <w:p w14:paraId="4254BCE4" w14:textId="77777777" w:rsidR="006830FE" w:rsidRPr="00C02E91" w:rsidRDefault="006830FE" w:rsidP="00C02E91">
      <w:pPr>
        <w:pStyle w:val="Textonotapie"/>
        <w:ind w:firstLine="709"/>
        <w:contextualSpacing/>
        <w:jc w:val="both"/>
        <w:rPr>
          <w:rFonts w:ascii="Arial" w:hAnsi="Arial" w:cs="Arial"/>
          <w:color w:val="000000"/>
          <w:sz w:val="18"/>
          <w:szCs w:val="18"/>
        </w:rPr>
      </w:pPr>
      <w:r w:rsidRPr="00C02E91">
        <w:rPr>
          <w:rFonts w:ascii="Arial" w:eastAsia="Times New Roman" w:hAnsi="Arial" w:cs="Arial"/>
          <w:color w:val="000000"/>
          <w:sz w:val="18"/>
          <w:szCs w:val="18"/>
          <w:vertAlign w:val="superscript"/>
          <w:lang w:val="es-ES" w:eastAsia="es-ES"/>
        </w:rPr>
        <w:footnoteRef/>
      </w:r>
      <w:r w:rsidRPr="00C02E91">
        <w:rPr>
          <w:rFonts w:ascii="Arial" w:eastAsia="Times New Roman" w:hAnsi="Arial" w:cs="Arial"/>
          <w:color w:val="000000"/>
          <w:sz w:val="18"/>
          <w:szCs w:val="18"/>
          <w:vertAlign w:val="superscript"/>
          <w:lang w:val="es-ES" w:eastAsia="es-ES"/>
        </w:rPr>
        <w:t xml:space="preserve"> </w:t>
      </w:r>
      <w:r w:rsidRPr="00C02E91">
        <w:rPr>
          <w:rFonts w:ascii="Arial" w:eastAsia="Times New Roman" w:hAnsi="Arial" w:cs="Arial"/>
          <w:color w:val="000000"/>
          <w:sz w:val="18"/>
          <w:szCs w:val="18"/>
          <w:lang w:val="es-ES" w:eastAsia="es-ES"/>
        </w:rPr>
        <w:t>«</w:t>
      </w:r>
      <w:r w:rsidRPr="00C02E91">
        <w:rPr>
          <w:rFonts w:ascii="Arial" w:hAnsi="Arial"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7DF48A6" w14:textId="77777777" w:rsidR="006830FE" w:rsidRPr="00C02E91" w:rsidRDefault="006830FE" w:rsidP="00C02E91">
      <w:pPr>
        <w:pStyle w:val="Textonotapie"/>
        <w:ind w:firstLine="709"/>
        <w:contextualSpacing/>
        <w:jc w:val="both"/>
        <w:rPr>
          <w:rFonts w:ascii="Arial" w:eastAsia="Times New Roman" w:hAnsi="Arial" w:cs="Arial"/>
          <w:color w:val="000000"/>
          <w:sz w:val="18"/>
          <w:szCs w:val="18"/>
          <w:lang w:val="es-ES" w:eastAsia="es-ES"/>
        </w:rPr>
      </w:pPr>
      <w:r w:rsidRPr="00C02E91">
        <w:rPr>
          <w:rFonts w:ascii="Arial" w:hAnsi="Arial" w:cs="Arial"/>
          <w:color w:val="000000"/>
          <w:sz w:val="18"/>
          <w:szCs w:val="18"/>
        </w:rPr>
        <w:t>[…].</w:t>
      </w:r>
    </w:p>
    <w:p w14:paraId="5BF2EFA1" w14:textId="77777777" w:rsidR="006830FE" w:rsidRPr="00C02E91" w:rsidRDefault="006830FE" w:rsidP="00C02E91">
      <w:pPr>
        <w:pStyle w:val="Textonotapie"/>
        <w:ind w:firstLine="709"/>
        <w:contextualSpacing/>
        <w:jc w:val="both"/>
        <w:rPr>
          <w:rFonts w:ascii="Arial" w:eastAsia="Times New Roman" w:hAnsi="Arial" w:cs="Arial"/>
          <w:color w:val="000000"/>
          <w:sz w:val="18"/>
          <w:szCs w:val="18"/>
          <w:lang w:val="es-ES" w:eastAsia="es-ES"/>
        </w:rPr>
      </w:pPr>
      <w:r w:rsidRPr="00C02E91">
        <w:rPr>
          <w:rFonts w:ascii="Arial" w:eastAsia="Times New Roman" w:hAnsi="Arial" w:cs="Arial"/>
          <w:color w:val="000000"/>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1DFDFD6" w14:textId="77777777" w:rsidR="006830FE" w:rsidRPr="00C02E91" w:rsidRDefault="006830FE" w:rsidP="00C02E91">
      <w:pPr>
        <w:pStyle w:val="Textonotapie"/>
        <w:ind w:firstLine="709"/>
        <w:contextualSpacing/>
        <w:jc w:val="both"/>
        <w:rPr>
          <w:rFonts w:ascii="Arial" w:eastAsia="Times New Roman" w:hAnsi="Arial" w:cs="Arial"/>
          <w:color w:val="000000"/>
          <w:sz w:val="18"/>
          <w:szCs w:val="18"/>
          <w:lang w:val="es-ES" w:eastAsia="es-ES"/>
        </w:rPr>
      </w:pPr>
    </w:p>
  </w:footnote>
  <w:footnote w:id="20">
    <w:p w14:paraId="549AE13E" w14:textId="77777777" w:rsidR="006830FE" w:rsidRPr="00C02E91" w:rsidRDefault="006830FE" w:rsidP="00C02E91">
      <w:pPr>
        <w:pStyle w:val="Textonotapie"/>
        <w:ind w:firstLine="709"/>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54BFF2D2"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»1. Los relacionados con la defensa o seguridad nacionales.  </w:t>
      </w:r>
    </w:p>
    <w:p w14:paraId="62D34053"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»2. Las instrucciones en materia diplomática o sobre negociaciones reservadas.  </w:t>
      </w:r>
    </w:p>
    <w:p w14:paraId="5D57886B"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021949AA"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F2BBB9A"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»5. Los datos referentes a la información financiera y comercial, en los términos de la Ley Estatutaria 1266 de 2008.  </w:t>
      </w:r>
    </w:p>
    <w:p w14:paraId="6BC8C94E"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»6. Los protegidos por el secreto comercial o industrial, así como los planes estratégicos de las empresas públicas de servicios públicos.  </w:t>
      </w:r>
    </w:p>
    <w:p w14:paraId="10DF9553"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»7. Los amparados por el secreto profesional.  </w:t>
      </w:r>
    </w:p>
    <w:p w14:paraId="6C70387D" w14:textId="77777777" w:rsidR="006830FE" w:rsidRPr="00C02E91" w:rsidRDefault="006830FE" w:rsidP="00C02E91">
      <w:pPr>
        <w:pStyle w:val="Textonotapie"/>
        <w:ind w:firstLine="709"/>
        <w:contextualSpacing/>
        <w:jc w:val="both"/>
        <w:rPr>
          <w:rFonts w:ascii="Arial" w:hAnsi="Arial" w:cs="Arial"/>
          <w:sz w:val="18"/>
          <w:szCs w:val="18"/>
        </w:rPr>
      </w:pPr>
      <w:r w:rsidRPr="00C02E91">
        <w:rPr>
          <w:rFonts w:ascii="Arial" w:hAnsi="Arial" w:cs="Arial"/>
          <w:sz w:val="18"/>
          <w:szCs w:val="18"/>
        </w:rPr>
        <w:t xml:space="preserve">»8. Los datos genéticos humanos.  </w:t>
      </w:r>
    </w:p>
    <w:p w14:paraId="6D3549FE" w14:textId="45E2DEF1" w:rsidR="006830FE" w:rsidRPr="00C02E91" w:rsidRDefault="006830FE" w:rsidP="00C02E91">
      <w:pPr>
        <w:pStyle w:val="Textonotapie"/>
        <w:ind w:firstLine="709"/>
        <w:contextualSpacing/>
        <w:jc w:val="both"/>
        <w:rPr>
          <w:rFonts w:ascii="Arial" w:hAnsi="Arial" w:cs="Arial"/>
          <w:sz w:val="18"/>
          <w:szCs w:val="18"/>
        </w:rPr>
      </w:pPr>
      <w:proofErr w:type="gramStart"/>
      <w:r w:rsidRPr="00C02E91">
        <w:rPr>
          <w:rFonts w:ascii="Arial" w:hAnsi="Arial" w:cs="Arial"/>
          <w:sz w:val="18"/>
          <w:szCs w:val="18"/>
        </w:rPr>
        <w:t>»Parágrafo</w:t>
      </w:r>
      <w:proofErr w:type="gramEnd"/>
      <w:r w:rsidRPr="00C02E91">
        <w:rPr>
          <w:rFonts w:ascii="Arial" w:hAnsi="Arial" w:cs="Arial"/>
          <w:sz w:val="18"/>
          <w:szCs w:val="18"/>
        </w:rPr>
        <w:t xml:space="preserve">.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21">
    <w:p w14:paraId="306499E6" w14:textId="77777777" w:rsidR="006830FE" w:rsidRPr="00C02E91" w:rsidRDefault="006830FE" w:rsidP="00C02E91">
      <w:pPr>
        <w:pStyle w:val="Textonotapie"/>
        <w:contextualSpacing/>
        <w:jc w:val="both"/>
        <w:rPr>
          <w:rFonts w:ascii="Arial" w:hAnsi="Arial" w:cs="Arial"/>
          <w:sz w:val="18"/>
          <w:szCs w:val="18"/>
        </w:rPr>
      </w:pPr>
    </w:p>
    <w:p w14:paraId="1E70D384" w14:textId="77777777" w:rsidR="006830FE" w:rsidRPr="00C02E91" w:rsidRDefault="006830FE" w:rsidP="00C02E91">
      <w:pPr>
        <w:pStyle w:val="Textonotapie"/>
        <w:ind w:firstLine="708"/>
        <w:contextualSpacing/>
        <w:jc w:val="both"/>
        <w:rPr>
          <w:rFonts w:ascii="Arial" w:hAnsi="Arial" w:cs="Arial"/>
          <w:sz w:val="18"/>
          <w:szCs w:val="18"/>
        </w:rPr>
      </w:pPr>
      <w:r w:rsidRPr="00C02E91">
        <w:rPr>
          <w:rStyle w:val="Refdenotaalpie"/>
          <w:rFonts w:ascii="Arial" w:hAnsi="Arial" w:cs="Arial"/>
          <w:sz w:val="18"/>
          <w:szCs w:val="18"/>
        </w:rPr>
        <w:footnoteRef/>
      </w:r>
      <w:r w:rsidRPr="00C02E91">
        <w:rPr>
          <w:rFonts w:ascii="Arial" w:hAnsi="Arial" w:cs="Arial"/>
          <w:sz w:val="18"/>
          <w:szCs w:val="18"/>
        </w:rPr>
        <w:t xml:space="preserve"> </w:t>
      </w:r>
      <w:r w:rsidRPr="00C02E91">
        <w:rPr>
          <w:rFonts w:ascii="Arial" w:eastAsia="Calibri" w:hAnsi="Arial"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22">
    <w:p w14:paraId="696F22F3" w14:textId="77777777" w:rsidR="006830FE" w:rsidRPr="00C02E91" w:rsidRDefault="006830FE" w:rsidP="00C02E91">
      <w:pPr>
        <w:pStyle w:val="Textonotapie"/>
        <w:ind w:firstLine="709"/>
        <w:contextualSpacing/>
        <w:jc w:val="both"/>
        <w:rPr>
          <w:rFonts w:ascii="Arial" w:hAnsi="Arial" w:cs="Arial"/>
          <w:color w:val="000000"/>
          <w:sz w:val="18"/>
          <w:szCs w:val="18"/>
        </w:rPr>
      </w:pPr>
      <w:r w:rsidRPr="00C02E91">
        <w:rPr>
          <w:rStyle w:val="Refdenotaalpie"/>
          <w:rFonts w:ascii="Arial" w:hAnsi="Arial" w:cs="Arial"/>
          <w:color w:val="000000"/>
          <w:sz w:val="18"/>
          <w:szCs w:val="18"/>
        </w:rPr>
        <w:footnoteRef/>
      </w:r>
      <w:r w:rsidRPr="00C02E91">
        <w:rPr>
          <w:rFonts w:ascii="Arial" w:hAnsi="Arial" w:cs="Arial"/>
          <w:color w:val="000000"/>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p w14:paraId="679CC6BA" w14:textId="77777777" w:rsidR="006830FE" w:rsidRPr="00C02E91" w:rsidRDefault="006830FE" w:rsidP="00C02E91">
      <w:pPr>
        <w:pStyle w:val="Textonotapie"/>
        <w:ind w:firstLine="709"/>
        <w:contextualSpacing/>
        <w:jc w:val="both"/>
        <w:rPr>
          <w:rFonts w:ascii="Arial" w:hAnsi="Arial" w:cs="Arial"/>
          <w:color w:val="000000"/>
          <w:sz w:val="18"/>
          <w:szCs w:val="18"/>
        </w:rPr>
      </w:pPr>
    </w:p>
  </w:footnote>
  <w:footnote w:id="23">
    <w:p w14:paraId="1E913823" w14:textId="77777777" w:rsidR="008D4C29" w:rsidRPr="00740AA8" w:rsidRDefault="008D4C29" w:rsidP="008D4C29">
      <w:pPr>
        <w:pStyle w:val="Textonotapie"/>
        <w:ind w:firstLine="708"/>
        <w:contextualSpacing/>
        <w:rPr>
          <w:rFonts w:ascii="Arial" w:hAnsi="Arial" w:cs="Arial"/>
          <w:sz w:val="19"/>
          <w:szCs w:val="19"/>
        </w:rPr>
      </w:pPr>
    </w:p>
    <w:p w14:paraId="44234D56" w14:textId="77777777" w:rsidR="008D4C29" w:rsidRPr="00740AA8" w:rsidRDefault="008D4C29" w:rsidP="008D4C29">
      <w:pPr>
        <w:pStyle w:val="Textonotapie"/>
        <w:ind w:firstLine="708"/>
        <w:contextualSpacing/>
        <w:jc w:val="both"/>
        <w:rPr>
          <w:rFonts w:ascii="Arial" w:hAnsi="Arial" w:cs="Arial"/>
          <w:sz w:val="19"/>
          <w:szCs w:val="19"/>
          <w:lang w:val="es-CO"/>
        </w:rPr>
      </w:pPr>
      <w:r w:rsidRPr="00740AA8">
        <w:rPr>
          <w:rStyle w:val="Refdenotaalpie"/>
          <w:rFonts w:ascii="Arial" w:hAnsi="Arial" w:cs="Arial"/>
          <w:sz w:val="19"/>
          <w:szCs w:val="19"/>
        </w:rPr>
        <w:footnoteRef/>
      </w:r>
      <w:r w:rsidRPr="00740AA8">
        <w:rPr>
          <w:rFonts w:ascii="Arial" w:hAnsi="Arial" w:cs="Arial"/>
          <w:sz w:val="19"/>
          <w:szCs w:val="19"/>
        </w:rPr>
        <w:t xml:space="preserve"> Ley 1150 de 2007. «Artículo 1. Objeto. La presente ley tiene por objeto introducir modificaciones en la Ley 80 de 1993, así como dictar otras disposiciones generales aplicables a toda contratación con recursos públicos».</w:t>
      </w:r>
    </w:p>
  </w:footnote>
  <w:footnote w:id="24">
    <w:p w14:paraId="195AC60B" w14:textId="77777777" w:rsidR="008D4C29" w:rsidRPr="00740AA8" w:rsidRDefault="008D4C29" w:rsidP="008D4C29">
      <w:pPr>
        <w:autoSpaceDE w:val="0"/>
        <w:autoSpaceDN w:val="0"/>
        <w:adjustRightInd w:val="0"/>
        <w:spacing w:after="0" w:line="240" w:lineRule="auto"/>
        <w:ind w:firstLine="708"/>
        <w:contextualSpacing/>
        <w:jc w:val="both"/>
        <w:rPr>
          <w:rFonts w:ascii="Arial" w:eastAsia="Calibri" w:hAnsi="Arial" w:cs="Arial"/>
          <w:sz w:val="19"/>
          <w:szCs w:val="19"/>
          <w:lang w:val="es-ES" w:eastAsia="es-ES_tradnl"/>
        </w:rPr>
      </w:pPr>
      <w:r w:rsidRPr="00740AA8">
        <w:rPr>
          <w:rStyle w:val="Refdenotaalpie"/>
          <w:rFonts w:ascii="Arial" w:hAnsi="Arial" w:cs="Arial"/>
          <w:sz w:val="19"/>
          <w:szCs w:val="19"/>
        </w:rPr>
        <w:footnoteRef/>
      </w:r>
      <w:r w:rsidRPr="00740AA8">
        <w:rPr>
          <w:rFonts w:ascii="Arial" w:hAnsi="Arial" w:cs="Arial"/>
          <w:sz w:val="19"/>
          <w:szCs w:val="19"/>
        </w:rPr>
        <w:t xml:space="preserve"> E</w:t>
      </w:r>
      <w:r w:rsidRPr="00740AA8">
        <w:rPr>
          <w:rFonts w:ascii="Arial" w:eastAsia="Calibri" w:hAnsi="Arial" w:cs="Arial"/>
          <w:sz w:val="19"/>
          <w:szCs w:val="19"/>
          <w:lang w:val="es-ES_tradnl" w:eastAsia="es-ES_tradnl"/>
        </w:rPr>
        <w:t xml:space="preserve">l pasado </w:t>
      </w:r>
      <w:r w:rsidRPr="00740AA8">
        <w:rPr>
          <w:rFonts w:ascii="Arial" w:eastAsia="Calibri" w:hAnsi="Arial" w:cs="Arial"/>
          <w:sz w:val="19"/>
          <w:szCs w:val="19"/>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w:t>
      </w:r>
      <w:proofErr w:type="spellStart"/>
      <w:r w:rsidRPr="00740AA8">
        <w:rPr>
          <w:rFonts w:ascii="Arial" w:eastAsia="Calibri" w:hAnsi="Arial" w:cs="Arial"/>
          <w:sz w:val="19"/>
          <w:szCs w:val="19"/>
          <w:lang w:val="es-ES" w:eastAsia="es-ES_tradnl"/>
        </w:rPr>
        <w:t>ii</w:t>
      </w:r>
      <w:proofErr w:type="spellEnd"/>
      <w:r w:rsidRPr="00740AA8">
        <w:rPr>
          <w:rFonts w:ascii="Arial" w:eastAsia="Calibri" w:hAnsi="Arial" w:cs="Arial"/>
          <w:sz w:val="19"/>
          <w:szCs w:val="19"/>
          <w:lang w:val="es-ES" w:eastAsia="es-ES_tradnl"/>
        </w:rPr>
        <w:t xml:space="preserve">) reserva de los documentos relacionados con la actividad contractual y; </w:t>
      </w:r>
      <w:proofErr w:type="spellStart"/>
      <w:r w:rsidRPr="00740AA8">
        <w:rPr>
          <w:rFonts w:ascii="Arial" w:eastAsia="Calibri" w:hAnsi="Arial" w:cs="Arial"/>
          <w:sz w:val="19"/>
          <w:szCs w:val="19"/>
          <w:lang w:val="es-ES" w:eastAsia="es-ES_tradnl"/>
        </w:rPr>
        <w:t>iii</w:t>
      </w:r>
      <w:proofErr w:type="spellEnd"/>
      <w:r w:rsidRPr="00740AA8">
        <w:rPr>
          <w:rFonts w:ascii="Arial" w:eastAsia="Calibri" w:hAnsi="Arial" w:cs="Arial"/>
          <w:sz w:val="19"/>
          <w:szCs w:val="19"/>
          <w:lang w:val="es-ES" w:eastAsia="es-ES_tradnl"/>
        </w:rPr>
        <w:t xml:space="preserve">) régimen de transición de los contratos celebrados con anterioridad a la entrada en vigencia de la obligación consagrada en el artículo 53 de la Ley 2195 de 2022. La mencionada </w:t>
      </w:r>
      <w:r>
        <w:rPr>
          <w:rFonts w:ascii="Arial" w:eastAsia="Calibri" w:hAnsi="Arial" w:cs="Arial"/>
          <w:sz w:val="19"/>
          <w:szCs w:val="19"/>
          <w:lang w:val="es-ES" w:eastAsia="es-ES_tradnl"/>
        </w:rPr>
        <w:t>Circular</w:t>
      </w:r>
      <w:r w:rsidRPr="00740AA8">
        <w:rPr>
          <w:rFonts w:ascii="Arial" w:eastAsia="Calibri" w:hAnsi="Arial" w:cs="Arial"/>
          <w:sz w:val="19"/>
          <w:szCs w:val="19"/>
          <w:lang w:val="es-ES" w:eastAsia="es-ES_tradnl"/>
        </w:rPr>
        <w:t xml:space="preserve"> contiene una serie de instrucciones con miras a garantizar el cumplimiento del deber legal por parte de las entidades estatales exceptuadas del Estatuto General de Contratación Pública. </w:t>
      </w:r>
    </w:p>
    <w:p w14:paraId="4A6C59C1" w14:textId="77777777" w:rsidR="008D4C29" w:rsidRPr="00740AA8" w:rsidRDefault="008D4C29" w:rsidP="008D4C29">
      <w:pPr>
        <w:autoSpaceDE w:val="0"/>
        <w:autoSpaceDN w:val="0"/>
        <w:adjustRightInd w:val="0"/>
        <w:spacing w:after="0" w:line="240" w:lineRule="auto"/>
        <w:ind w:firstLine="708"/>
        <w:contextualSpacing/>
        <w:jc w:val="both"/>
        <w:rPr>
          <w:rFonts w:ascii="Arial" w:eastAsia="Times New Roman" w:hAnsi="Arial" w:cs="Arial"/>
          <w:sz w:val="19"/>
          <w:szCs w:val="19"/>
          <w:lang w:eastAsia="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33359B"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33359B">
      <w:rPr>
        <w:rFonts w:ascii="Geomanist Light" w:hAnsi="Geomanist Light"/>
        <w:color w:val="002060"/>
        <w:sz w:val="16"/>
        <w:szCs w:val="16"/>
        <w:lang w:val="pt-PT"/>
      </w:rPr>
      <w:t>FORMATO PQRSD</w:t>
    </w:r>
  </w:p>
  <w:p w14:paraId="077278A1" w14:textId="2CAB5B77" w:rsidR="007566FE" w:rsidRPr="0033359B"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33359B">
      <w:rPr>
        <w:rFonts w:ascii="Geomanist Light" w:eastAsia="Geo" w:hAnsi="Geomanist Light" w:cs="Geo"/>
        <w:b/>
        <w:color w:val="000000"/>
        <w:sz w:val="16"/>
        <w:szCs w:val="16"/>
        <w:lang w:val="pt-PT" w:eastAsia="es-CO"/>
      </w:rPr>
      <w:t xml:space="preserve">Código: </w:t>
    </w:r>
    <w:r w:rsidRPr="0033359B">
      <w:rPr>
        <w:rFonts w:ascii="Geomanist Light" w:eastAsia="Geo" w:hAnsi="Geomanist Light" w:cs="Geo"/>
        <w:bCs/>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F82114"/>
    <w:multiLevelType w:val="hybridMultilevel"/>
    <w:tmpl w:val="B6C06020"/>
    <w:lvl w:ilvl="0" w:tplc="2F4CFC7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539050594">
    <w:abstractNumId w:val="4"/>
  </w:num>
  <w:num w:numId="5" w16cid:durableId="90480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52F"/>
    <w:rsid w:val="0002437F"/>
    <w:rsid w:val="00060708"/>
    <w:rsid w:val="00083334"/>
    <w:rsid w:val="00086E72"/>
    <w:rsid w:val="000956CF"/>
    <w:rsid w:val="000A11B7"/>
    <w:rsid w:val="000A683E"/>
    <w:rsid w:val="000C7B48"/>
    <w:rsid w:val="00103BCE"/>
    <w:rsid w:val="0011595A"/>
    <w:rsid w:val="00115B35"/>
    <w:rsid w:val="001220C5"/>
    <w:rsid w:val="001267F7"/>
    <w:rsid w:val="00127233"/>
    <w:rsid w:val="00130999"/>
    <w:rsid w:val="00131D28"/>
    <w:rsid w:val="00164D81"/>
    <w:rsid w:val="00172418"/>
    <w:rsid w:val="00195095"/>
    <w:rsid w:val="001A1011"/>
    <w:rsid w:val="001A48D0"/>
    <w:rsid w:val="001B4415"/>
    <w:rsid w:val="001D0E9B"/>
    <w:rsid w:val="00215603"/>
    <w:rsid w:val="00235D12"/>
    <w:rsid w:val="0024062F"/>
    <w:rsid w:val="00246504"/>
    <w:rsid w:val="0024679A"/>
    <w:rsid w:val="002653C1"/>
    <w:rsid w:val="0026611D"/>
    <w:rsid w:val="002842EB"/>
    <w:rsid w:val="002951A0"/>
    <w:rsid w:val="002A5673"/>
    <w:rsid w:val="002A64FD"/>
    <w:rsid w:val="002D004A"/>
    <w:rsid w:val="002F0839"/>
    <w:rsid w:val="00301469"/>
    <w:rsid w:val="00306EE1"/>
    <w:rsid w:val="00310B9B"/>
    <w:rsid w:val="00315323"/>
    <w:rsid w:val="00315680"/>
    <w:rsid w:val="00316F2E"/>
    <w:rsid w:val="00327A3A"/>
    <w:rsid w:val="00331F85"/>
    <w:rsid w:val="0033359B"/>
    <w:rsid w:val="0036461C"/>
    <w:rsid w:val="00367884"/>
    <w:rsid w:val="00391813"/>
    <w:rsid w:val="0039439C"/>
    <w:rsid w:val="00394B12"/>
    <w:rsid w:val="003B69E7"/>
    <w:rsid w:val="003C013B"/>
    <w:rsid w:val="003C14E7"/>
    <w:rsid w:val="003D0F4D"/>
    <w:rsid w:val="003F3F42"/>
    <w:rsid w:val="003F58A1"/>
    <w:rsid w:val="0040035B"/>
    <w:rsid w:val="00410DD6"/>
    <w:rsid w:val="004134C9"/>
    <w:rsid w:val="0042683C"/>
    <w:rsid w:val="0043138C"/>
    <w:rsid w:val="00451D09"/>
    <w:rsid w:val="00462A59"/>
    <w:rsid w:val="0047753F"/>
    <w:rsid w:val="00484F37"/>
    <w:rsid w:val="004A1847"/>
    <w:rsid w:val="004B2D3B"/>
    <w:rsid w:val="004B6B0E"/>
    <w:rsid w:val="004C0803"/>
    <w:rsid w:val="004D25B3"/>
    <w:rsid w:val="004D3EC2"/>
    <w:rsid w:val="004D50BE"/>
    <w:rsid w:val="004F5E70"/>
    <w:rsid w:val="00511405"/>
    <w:rsid w:val="005230E3"/>
    <w:rsid w:val="00526E9D"/>
    <w:rsid w:val="00547856"/>
    <w:rsid w:val="00547A74"/>
    <w:rsid w:val="005566E8"/>
    <w:rsid w:val="00560CA2"/>
    <w:rsid w:val="005746AB"/>
    <w:rsid w:val="0059357F"/>
    <w:rsid w:val="0059726A"/>
    <w:rsid w:val="005A1130"/>
    <w:rsid w:val="005B178E"/>
    <w:rsid w:val="005D65C8"/>
    <w:rsid w:val="005E0E27"/>
    <w:rsid w:val="005F74EF"/>
    <w:rsid w:val="006219F8"/>
    <w:rsid w:val="006578D8"/>
    <w:rsid w:val="00681FDB"/>
    <w:rsid w:val="006830FE"/>
    <w:rsid w:val="006875DC"/>
    <w:rsid w:val="006923A2"/>
    <w:rsid w:val="006A7DAD"/>
    <w:rsid w:val="006B5F16"/>
    <w:rsid w:val="006C6533"/>
    <w:rsid w:val="006D4650"/>
    <w:rsid w:val="006D6D41"/>
    <w:rsid w:val="006D70BA"/>
    <w:rsid w:val="00703E11"/>
    <w:rsid w:val="00711497"/>
    <w:rsid w:val="007262CC"/>
    <w:rsid w:val="00727D5C"/>
    <w:rsid w:val="007304DF"/>
    <w:rsid w:val="007566FE"/>
    <w:rsid w:val="00763CDE"/>
    <w:rsid w:val="0076726F"/>
    <w:rsid w:val="0077144B"/>
    <w:rsid w:val="00776D53"/>
    <w:rsid w:val="007819D8"/>
    <w:rsid w:val="00793403"/>
    <w:rsid w:val="007C0CDF"/>
    <w:rsid w:val="007D5F50"/>
    <w:rsid w:val="007E2A2F"/>
    <w:rsid w:val="007F2B7C"/>
    <w:rsid w:val="00811651"/>
    <w:rsid w:val="00815209"/>
    <w:rsid w:val="00820F5B"/>
    <w:rsid w:val="00821CDC"/>
    <w:rsid w:val="00823471"/>
    <w:rsid w:val="00825ED5"/>
    <w:rsid w:val="00831C8F"/>
    <w:rsid w:val="00833452"/>
    <w:rsid w:val="008547F4"/>
    <w:rsid w:val="00857D56"/>
    <w:rsid w:val="008614E5"/>
    <w:rsid w:val="008675BC"/>
    <w:rsid w:val="008678EB"/>
    <w:rsid w:val="00871755"/>
    <w:rsid w:val="0087208B"/>
    <w:rsid w:val="00874F77"/>
    <w:rsid w:val="00875894"/>
    <w:rsid w:val="0087712A"/>
    <w:rsid w:val="00881C10"/>
    <w:rsid w:val="00890411"/>
    <w:rsid w:val="008B5AC2"/>
    <w:rsid w:val="008C7AEF"/>
    <w:rsid w:val="008D0B3A"/>
    <w:rsid w:val="008D3A70"/>
    <w:rsid w:val="008D3CB2"/>
    <w:rsid w:val="008D4C29"/>
    <w:rsid w:val="008D5C70"/>
    <w:rsid w:val="009025AF"/>
    <w:rsid w:val="00904F23"/>
    <w:rsid w:val="00906B3C"/>
    <w:rsid w:val="009220A4"/>
    <w:rsid w:val="00934D1F"/>
    <w:rsid w:val="0095342C"/>
    <w:rsid w:val="00972D48"/>
    <w:rsid w:val="0098014A"/>
    <w:rsid w:val="009D6D41"/>
    <w:rsid w:val="009F33F2"/>
    <w:rsid w:val="009F4BA2"/>
    <w:rsid w:val="009F6C77"/>
    <w:rsid w:val="00A00536"/>
    <w:rsid w:val="00A00C16"/>
    <w:rsid w:val="00A07532"/>
    <w:rsid w:val="00A1085C"/>
    <w:rsid w:val="00A309E2"/>
    <w:rsid w:val="00A337AF"/>
    <w:rsid w:val="00A4457F"/>
    <w:rsid w:val="00A46C3A"/>
    <w:rsid w:val="00A618FB"/>
    <w:rsid w:val="00A7685F"/>
    <w:rsid w:val="00A8066E"/>
    <w:rsid w:val="00A83F8A"/>
    <w:rsid w:val="00A9223C"/>
    <w:rsid w:val="00AA4B8A"/>
    <w:rsid w:val="00AA6BF7"/>
    <w:rsid w:val="00AE00A5"/>
    <w:rsid w:val="00AE1748"/>
    <w:rsid w:val="00B01ED6"/>
    <w:rsid w:val="00B02105"/>
    <w:rsid w:val="00B06D09"/>
    <w:rsid w:val="00B2029A"/>
    <w:rsid w:val="00B771A9"/>
    <w:rsid w:val="00B809BB"/>
    <w:rsid w:val="00B8248A"/>
    <w:rsid w:val="00BA2A68"/>
    <w:rsid w:val="00BB59F7"/>
    <w:rsid w:val="00BB7726"/>
    <w:rsid w:val="00BB7D1D"/>
    <w:rsid w:val="00BC2019"/>
    <w:rsid w:val="00BD2479"/>
    <w:rsid w:val="00BE5869"/>
    <w:rsid w:val="00BF50BB"/>
    <w:rsid w:val="00C02E91"/>
    <w:rsid w:val="00C17CB5"/>
    <w:rsid w:val="00C2329E"/>
    <w:rsid w:val="00C30461"/>
    <w:rsid w:val="00C54F6E"/>
    <w:rsid w:val="00C571EC"/>
    <w:rsid w:val="00C74F88"/>
    <w:rsid w:val="00C7508D"/>
    <w:rsid w:val="00C754BE"/>
    <w:rsid w:val="00C82859"/>
    <w:rsid w:val="00C87572"/>
    <w:rsid w:val="00C9405D"/>
    <w:rsid w:val="00CC1B26"/>
    <w:rsid w:val="00CD284F"/>
    <w:rsid w:val="00CF23AA"/>
    <w:rsid w:val="00CF5D29"/>
    <w:rsid w:val="00D01921"/>
    <w:rsid w:val="00D07BB4"/>
    <w:rsid w:val="00D323FC"/>
    <w:rsid w:val="00D4623D"/>
    <w:rsid w:val="00D752B7"/>
    <w:rsid w:val="00DA1854"/>
    <w:rsid w:val="00DB0887"/>
    <w:rsid w:val="00DC08C8"/>
    <w:rsid w:val="00DC3EA0"/>
    <w:rsid w:val="00DD21AD"/>
    <w:rsid w:val="00DD73B5"/>
    <w:rsid w:val="00DF1E43"/>
    <w:rsid w:val="00E06F54"/>
    <w:rsid w:val="00E20894"/>
    <w:rsid w:val="00E22265"/>
    <w:rsid w:val="00E2379F"/>
    <w:rsid w:val="00E240DE"/>
    <w:rsid w:val="00E26B7C"/>
    <w:rsid w:val="00E26DA2"/>
    <w:rsid w:val="00E565B6"/>
    <w:rsid w:val="00E60595"/>
    <w:rsid w:val="00E632E1"/>
    <w:rsid w:val="00E934D6"/>
    <w:rsid w:val="00EA3003"/>
    <w:rsid w:val="00EB15E7"/>
    <w:rsid w:val="00EB3C91"/>
    <w:rsid w:val="00EB66DA"/>
    <w:rsid w:val="00ED29D8"/>
    <w:rsid w:val="00EF380E"/>
    <w:rsid w:val="00EF5C1A"/>
    <w:rsid w:val="00EF72F1"/>
    <w:rsid w:val="00F0320B"/>
    <w:rsid w:val="00F21B66"/>
    <w:rsid w:val="00F56E1A"/>
    <w:rsid w:val="00F605F2"/>
    <w:rsid w:val="00F72B2F"/>
    <w:rsid w:val="00F75DF0"/>
    <w:rsid w:val="00F76AFC"/>
    <w:rsid w:val="00F8319B"/>
    <w:rsid w:val="00F94C65"/>
    <w:rsid w:val="00FA5516"/>
    <w:rsid w:val="00FB656C"/>
    <w:rsid w:val="00FC0701"/>
    <w:rsid w:val="00FD44F5"/>
    <w:rsid w:val="00FD6F73"/>
    <w:rsid w:val="00FE2E94"/>
    <w:rsid w:val="05F28626"/>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8C21C09-6D45-442D-9778-9DD21923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6830FE"/>
    <w:rPr>
      <w:color w:val="F2F2F2"/>
      <w:u w:val="single"/>
    </w:rPr>
  </w:style>
  <w:style w:type="paragraph" w:customStyle="1" w:styleId="Appelnotedebasde">
    <w:name w:val="Appel note de bas de..."/>
    <w:basedOn w:val="Normal"/>
    <w:link w:val="Refdenotaalpie"/>
    <w:uiPriority w:val="99"/>
    <w:rsid w:val="006830FE"/>
    <w:pPr>
      <w:spacing w:line="240" w:lineRule="exact"/>
    </w:pPr>
    <w:rPr>
      <w:vertAlign w:val="superscript"/>
    </w:rPr>
  </w:style>
  <w:style w:type="table" w:customStyle="1" w:styleId="Tablaconcuadrcula21">
    <w:name w:val="Tabla con cuadrícula21"/>
    <w:basedOn w:val="Tablanormal"/>
    <w:next w:val="Tablaconcuadrcula"/>
    <w:uiPriority w:val="59"/>
    <w:rsid w:val="0068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830FE"/>
  </w:style>
  <w:style w:type="character" w:styleId="Hipervnculo">
    <w:name w:val="Hyperlink"/>
    <w:basedOn w:val="Fuentedeprrafopredeter"/>
    <w:uiPriority w:val="99"/>
    <w:unhideWhenUsed/>
    <w:rsid w:val="006830FE"/>
    <w:rPr>
      <w:color w:val="0563C1" w:themeColor="hyperlink"/>
      <w:u w:val="single"/>
    </w:rPr>
  </w:style>
  <w:style w:type="character" w:styleId="nfasis">
    <w:name w:val="Emphasis"/>
    <w:basedOn w:val="Fuentedeprrafopredeter"/>
    <w:uiPriority w:val="20"/>
    <w:qFormat/>
    <w:rsid w:val="00934D1F"/>
    <w:rPr>
      <w:i/>
      <w:iCs/>
    </w:rPr>
  </w:style>
  <w:style w:type="character" w:customStyle="1" w:styleId="eop">
    <w:name w:val="eop"/>
    <w:basedOn w:val="Fuentedeprrafopredeter"/>
    <w:rsid w:val="008D4C29"/>
  </w:style>
  <w:style w:type="paragraph" w:styleId="Textoindependiente">
    <w:name w:val="Body Text"/>
    <w:basedOn w:val="Normal"/>
    <w:link w:val="TextoindependienteCar"/>
    <w:uiPriority w:val="1"/>
    <w:qFormat/>
    <w:rsid w:val="00F21B6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21B6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AF8E5923-4F96-492A-B6BF-BBBDEE8B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a6cb9e4b-f1d1-4245-83ec-6cad768d538a"/>
    <ds:schemaRef ds:uri="http://www.w3.org/XML/1998/namespace"/>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d85dbaf-23eb-4e57-a637-93dcacc8b1a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9106</Words>
  <Characters>50089</Characters>
  <Application>Microsoft Office Word</Application>
  <DocSecurity>0</DocSecurity>
  <Lines>417</Lines>
  <Paragraphs>118</Paragraphs>
  <ScaleCrop>false</ScaleCrop>
  <Company/>
  <LinksUpToDate>false</LinksUpToDate>
  <CharactersWithSpaces>59077</CharactersWithSpaces>
  <SharedDoc>false</SharedDoc>
  <HLinks>
    <vt:vector size="18" baseType="variant">
      <vt:variant>
        <vt:i4>3735575</vt:i4>
      </vt:variant>
      <vt:variant>
        <vt:i4>3</vt:i4>
      </vt:variant>
      <vt:variant>
        <vt:i4>0</vt:i4>
      </vt:variant>
      <vt:variant>
        <vt:i4>5</vt:i4>
      </vt:variant>
      <vt:variant>
        <vt:lpwstr>http://www.secretariasenado.gov.co/senado/basedoc/ley_0080_1993.html</vt:lpwstr>
      </vt:variant>
      <vt:variant>
        <vt:lpwstr>1</vt:lpwstr>
      </vt:variant>
      <vt:variant>
        <vt:i4>3735575</vt:i4>
      </vt:variant>
      <vt:variant>
        <vt:i4>0</vt:i4>
      </vt:variant>
      <vt:variant>
        <vt:i4>0</vt:i4>
      </vt:variant>
      <vt:variant>
        <vt:i4>5</vt:i4>
      </vt:variant>
      <vt:variant>
        <vt:lpwstr>http://www.secretariasenado.gov.co/senado/basedoc/ley_0080_1993.html</vt:lpwstr>
      </vt:variant>
      <vt:variant>
        <vt:lpwstr>1</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2023-03-31T13:23:00Z</dcterms:created>
  <dcterms:modified xsi:type="dcterms:W3CDTF">2023-03-31T13:23:00Z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