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EF19D" w14:textId="77777777" w:rsidR="00E44A29" w:rsidRPr="009E1763" w:rsidRDefault="00E44A29" w:rsidP="00E44A29">
      <w:pPr>
        <w:rPr>
          <w:rFonts w:ascii="Arial" w:hAnsi="Arial" w:cs="Arial"/>
          <w:b/>
          <w:bCs/>
          <w:color w:val="000000" w:themeColor="text1"/>
          <w:sz w:val="22"/>
          <w:lang w:eastAsia="es-ES"/>
        </w:rPr>
      </w:pPr>
      <w:bookmarkStart w:id="0" w:name="_Hlk96417464"/>
      <w:r w:rsidRPr="009E1763">
        <w:rPr>
          <w:rFonts w:ascii="Arial" w:hAnsi="Arial" w:cs="Arial"/>
          <w:b/>
          <w:bCs/>
          <w:color w:val="000000" w:themeColor="text1"/>
          <w:sz w:val="22"/>
          <w:lang w:eastAsia="es-ES"/>
        </w:rPr>
        <w:t xml:space="preserve">CONTRATOS Y CONVENIOS INTERADMINISTRATIVOS – Concepto – régimen jurídico </w:t>
      </w:r>
    </w:p>
    <w:p w14:paraId="5947CD5B" w14:textId="77777777" w:rsidR="00E44A29" w:rsidRPr="00917E73" w:rsidRDefault="00E44A29" w:rsidP="00E44A29">
      <w:pPr>
        <w:rPr>
          <w:rFonts w:ascii="Arial" w:hAnsi="Arial" w:cs="Arial"/>
          <w:bCs/>
          <w:color w:val="000000" w:themeColor="text1"/>
          <w:sz w:val="20"/>
          <w:szCs w:val="20"/>
          <w:lang w:bidi="es-ES"/>
        </w:rPr>
      </w:pPr>
      <w:r w:rsidRPr="00917E73">
        <w:rPr>
          <w:rFonts w:ascii="Arial" w:hAnsi="Arial" w:cs="Arial"/>
          <w:bCs/>
          <w:color w:val="000000" w:themeColor="text1"/>
          <w:sz w:val="20"/>
          <w:szCs w:val="20"/>
          <w:lang w:bidi="es-ES"/>
        </w:rPr>
        <w:t>Sobre la tipología de contrato interadministrativo, cabe señalar que fue creado en la Ley 80 de 1993. Aunque no lo definió ni desarrolló, el Decreto 1082 de 2015, «Por medio del cual se expide el Decreto único reglamentario del sector administrativo de planeación nacional», califica a los convenios o contratos interadministrativos como aquellos negocios celebrados entre entidades estatales.</w:t>
      </w:r>
      <w:r w:rsidRPr="009E1763">
        <w:rPr>
          <w:rFonts w:ascii="Arial" w:hAnsi="Arial" w:cs="Arial"/>
          <w:bCs/>
          <w:color w:val="000000" w:themeColor="text1"/>
          <w:sz w:val="20"/>
          <w:szCs w:val="20"/>
          <w:lang w:bidi="es-ES"/>
        </w:rPr>
        <w:t xml:space="preserve"> </w:t>
      </w:r>
      <w:r w:rsidRPr="00917E73">
        <w:rPr>
          <w:rFonts w:ascii="Arial" w:hAnsi="Arial" w:cs="Arial"/>
          <w:bCs/>
          <w:color w:val="000000" w:themeColor="text1"/>
          <w:sz w:val="20"/>
          <w:szCs w:val="20"/>
          <w:lang w:bidi="es-ES"/>
        </w:rPr>
        <w:t>Importante mencionar que esta disposición no diferencia el contrato del convenio interadministrativo, y los define como el acuerdo donde concurre la voluntad de dos o más entidades de naturaleza jurídica pública con la finalidad de cumplir, en el marco de sus objetivos misionales y sus competencias, con los fines del Estado. En otras palabras, se entiende que los contratos y convenios interadministrativos nominados en la Ley 80 de 1993 están determinados por un criterio orgánico, pues es necesario que los extremos de la relación contractual sean entidades estatales.</w:t>
      </w:r>
    </w:p>
    <w:p w14:paraId="329DF42D" w14:textId="77777777" w:rsidR="00E44A29" w:rsidRPr="00917E73" w:rsidRDefault="00E44A29" w:rsidP="00E44A29">
      <w:pPr>
        <w:rPr>
          <w:rFonts w:ascii="Arial" w:hAnsi="Arial" w:cs="Arial"/>
          <w:bCs/>
          <w:color w:val="000000" w:themeColor="text1"/>
          <w:sz w:val="20"/>
          <w:szCs w:val="20"/>
          <w:lang w:bidi="es-ES"/>
        </w:rPr>
      </w:pPr>
      <w:r w:rsidRPr="00917E73">
        <w:rPr>
          <w:rFonts w:ascii="Arial" w:hAnsi="Arial" w:cs="Arial"/>
          <w:bCs/>
          <w:color w:val="000000" w:themeColor="text1"/>
          <w:sz w:val="20"/>
          <w:szCs w:val="20"/>
          <w:lang w:bidi="es-ES"/>
        </w:rPr>
        <w:t>El Consejo de Estado define los convenios interadministrativos de la siguiente manera:</w:t>
      </w:r>
      <w:r w:rsidRPr="009E1763">
        <w:rPr>
          <w:rFonts w:ascii="Arial" w:hAnsi="Arial" w:cs="Arial"/>
          <w:bCs/>
          <w:color w:val="000000" w:themeColor="text1"/>
          <w:sz w:val="20"/>
          <w:szCs w:val="20"/>
          <w:lang w:bidi="es-ES"/>
        </w:rPr>
        <w:t xml:space="preserve"> </w:t>
      </w:r>
      <w:r w:rsidRPr="00917E73">
        <w:rPr>
          <w:rFonts w:ascii="Arial" w:hAnsi="Arial" w:cs="Arial"/>
          <w:bCs/>
          <w:color w:val="000000" w:themeColor="text1"/>
          <w:sz w:val="20"/>
          <w:szCs w:val="20"/>
          <w:lang w:bidi="es-ES"/>
        </w:rPr>
        <w:t>«aquellos acuerdos de voluntades celebrados por la entidad con personas de derecho público, que tienen por objeto el cumplimiento de las obligaciones constitucionales, legales y reglamentarias de la entidad, para el logro de objetivos comunes. Los Convenios pueden no tener un contenido patrimonial, en términos generales y en ellos no se persigue un interés puramente económico. Con ellos se busca primordialmente cumplir con objetivos de carácter general, ya sean estos sociales, culturales o de colaboración estratégica.»</w:t>
      </w:r>
      <w:r w:rsidRPr="009E1763">
        <w:rPr>
          <w:rFonts w:ascii="Arial" w:hAnsi="Arial" w:cs="Arial"/>
          <w:bCs/>
          <w:color w:val="000000" w:themeColor="text1"/>
          <w:sz w:val="20"/>
          <w:szCs w:val="20"/>
          <w:lang w:bidi="es-ES"/>
        </w:rPr>
        <w:t xml:space="preserve">. </w:t>
      </w:r>
      <w:r w:rsidRPr="00917E73">
        <w:rPr>
          <w:rFonts w:ascii="Arial" w:hAnsi="Arial" w:cs="Arial"/>
          <w:bCs/>
          <w:color w:val="000000" w:themeColor="text1"/>
          <w:sz w:val="20"/>
          <w:szCs w:val="20"/>
          <w:lang w:val="es-CO"/>
        </w:rPr>
        <w:t>Por su parte, define el contrato administrativo como:</w:t>
      </w:r>
      <w:r w:rsidRPr="009E1763">
        <w:rPr>
          <w:rFonts w:ascii="Arial" w:hAnsi="Arial" w:cs="Arial"/>
          <w:bCs/>
          <w:color w:val="000000" w:themeColor="text1"/>
          <w:sz w:val="20"/>
          <w:szCs w:val="20"/>
          <w:lang w:bidi="es-ES"/>
        </w:rPr>
        <w:t xml:space="preserve"> </w:t>
      </w:r>
      <w:r w:rsidRPr="00917E73">
        <w:rPr>
          <w:rFonts w:ascii="Arial" w:hAnsi="Arial" w:cs="Arial"/>
          <w:bCs/>
          <w:color w:val="000000" w:themeColor="text1"/>
          <w:sz w:val="20"/>
          <w:szCs w:val="20"/>
          <w:lang w:bidi="es-ES"/>
        </w:rPr>
        <w:t>«</w:t>
      </w:r>
      <w:r w:rsidRPr="00917E73">
        <w:rPr>
          <w:rFonts w:ascii="Arial" w:hAnsi="Arial" w:cs="Arial"/>
          <w:bCs/>
          <w:color w:val="000000" w:themeColor="text1"/>
          <w:sz w:val="20"/>
          <w:szCs w:val="20"/>
          <w:lang w:val="es-CO"/>
        </w:rPr>
        <w:t>aquel negocio jurídico celebrado entre dos entidades públicas, mediante el cual una de las dos partes se obliga para con la otra a una prestación (suministro de un bien, realización de una obra o prestación de un servicio), por la que, una vez cumplida, obtendrá una remuneración o precio.</w:t>
      </w:r>
      <w:r w:rsidRPr="00917E73">
        <w:rPr>
          <w:rFonts w:ascii="Arial" w:hAnsi="Arial" w:cs="Arial"/>
          <w:bCs/>
          <w:color w:val="000000" w:themeColor="text1"/>
          <w:sz w:val="20"/>
          <w:szCs w:val="20"/>
          <w:lang w:bidi="es-ES"/>
        </w:rPr>
        <w:t>»</w:t>
      </w:r>
    </w:p>
    <w:p w14:paraId="70AD2D33" w14:textId="77777777" w:rsidR="00E44A29" w:rsidRPr="009E1763" w:rsidRDefault="00E44A29" w:rsidP="00E44A29">
      <w:pPr>
        <w:rPr>
          <w:rFonts w:ascii="Arial" w:hAnsi="Arial" w:cs="Arial"/>
          <w:bCs/>
          <w:color w:val="000000" w:themeColor="text1"/>
          <w:sz w:val="20"/>
          <w:szCs w:val="20"/>
          <w:lang w:val="es-ES_tradnl"/>
        </w:rPr>
      </w:pPr>
      <w:r w:rsidRPr="00917E73">
        <w:rPr>
          <w:rFonts w:ascii="Arial" w:hAnsi="Arial" w:cs="Arial"/>
          <w:bCs/>
          <w:color w:val="000000" w:themeColor="text1"/>
          <w:sz w:val="20"/>
          <w:szCs w:val="20"/>
          <w:lang w:bidi="es-ES"/>
        </w:rPr>
        <w:t xml:space="preserve">Si bien los contratos y convenios interadministrativos están previstos en la Ley 80 de 1993, en la Ley 1150 de 2007 y en el Decreto en el 1082 de 2015, no quiere decir que solo puedan celebrarse entre entidades estatales que apliquen el régimen de contratación previsto en esa normatividad. En efecto, bien puede una entidad estatal sometida a la Ley 80 de 1993 celebrar esta clase de convenios con una entidad estatal de régimen especial y no por ello dejará de ser un contrato o convenio interadministrativo. </w:t>
      </w:r>
      <w:r w:rsidRPr="00917E73">
        <w:rPr>
          <w:rFonts w:ascii="Arial" w:hAnsi="Arial" w:cs="Arial"/>
          <w:bCs/>
          <w:color w:val="000000" w:themeColor="text1"/>
          <w:sz w:val="20"/>
          <w:szCs w:val="20"/>
          <w:lang w:val="es-ES_tradnl"/>
        </w:rPr>
        <w:t>Caso en el cual su ejecución se regirá por el Estatuto General de Contratación de la Administración Pública, si la entidad contratante se encuentra sometida a este.</w:t>
      </w:r>
    </w:p>
    <w:p w14:paraId="3EABE8FA" w14:textId="77777777" w:rsidR="00E44A29" w:rsidRPr="009E1763" w:rsidRDefault="00E44A29" w:rsidP="00E44A29">
      <w:pPr>
        <w:rPr>
          <w:rFonts w:ascii="Arial" w:hAnsi="Arial" w:cs="Arial"/>
          <w:bCs/>
          <w:color w:val="000000" w:themeColor="text1"/>
          <w:sz w:val="20"/>
          <w:szCs w:val="20"/>
          <w:lang w:val="es-ES_tradnl"/>
        </w:rPr>
      </w:pPr>
    </w:p>
    <w:p w14:paraId="64158494" w14:textId="77777777" w:rsidR="00E44A29" w:rsidRPr="009E1763" w:rsidRDefault="00E44A29" w:rsidP="00E44A29">
      <w:pPr>
        <w:rPr>
          <w:rFonts w:ascii="Arial" w:hAnsi="Arial" w:cs="Arial"/>
          <w:b/>
          <w:bCs/>
          <w:color w:val="000000" w:themeColor="text1"/>
          <w:sz w:val="22"/>
          <w:lang w:eastAsia="es-ES"/>
        </w:rPr>
      </w:pPr>
      <w:r w:rsidRPr="009E1763">
        <w:rPr>
          <w:rFonts w:ascii="Arial" w:hAnsi="Arial" w:cs="Arial"/>
          <w:b/>
          <w:bCs/>
          <w:color w:val="000000" w:themeColor="text1"/>
          <w:sz w:val="22"/>
          <w:lang w:eastAsia="es-ES"/>
        </w:rPr>
        <w:t xml:space="preserve">CONTRATOS Y CONVENIOS INTERADMINISTRATIVOS – Diferencias </w:t>
      </w:r>
    </w:p>
    <w:p w14:paraId="288BFFBA" w14:textId="77777777" w:rsidR="00E44A29" w:rsidRPr="00917E73" w:rsidRDefault="00E44A29" w:rsidP="00E44A29">
      <w:pPr>
        <w:rPr>
          <w:rFonts w:ascii="Arial" w:hAnsi="Arial" w:cs="Arial"/>
          <w:bCs/>
          <w:color w:val="000000" w:themeColor="text1"/>
          <w:sz w:val="20"/>
          <w:szCs w:val="20"/>
          <w:lang w:val="es-CO"/>
        </w:rPr>
      </w:pPr>
      <w:r w:rsidRPr="00917E73">
        <w:rPr>
          <w:rFonts w:ascii="Arial" w:hAnsi="Arial" w:cs="Arial"/>
          <w:bCs/>
          <w:color w:val="000000" w:themeColor="text1"/>
          <w:sz w:val="20"/>
          <w:szCs w:val="20"/>
          <w:lang w:val="es-CO"/>
        </w:rPr>
        <w:t>Actualmente la normativa en la materia no establece mayor diferenciación entre estas dos figuras jurídicas. El Estatuto General de Contratación de la Administración Pública hace referencia de manera expresa al contrato interadministrativo o, en términos generales, a los interadministrativos y no al convenio. No obstante, las entidades del Estado, en el marco de la Ley 80 de 1993, pueden acordar entre sí diferentes tipos de obligaciones, siempre que su objeto de creación les permita cumplirlas, con el objetivo común de materializar los fines del Estado. Por este motivo, puede entenderse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w:t>
      </w:r>
    </w:p>
    <w:p w14:paraId="1DDE53DF" w14:textId="77777777" w:rsidR="00E44A29" w:rsidRPr="009E1763" w:rsidRDefault="00E44A29" w:rsidP="00E44A29">
      <w:pPr>
        <w:rPr>
          <w:rFonts w:ascii="Arial" w:hAnsi="Arial" w:cs="Arial"/>
          <w:bCs/>
          <w:color w:val="000000" w:themeColor="text1"/>
          <w:sz w:val="20"/>
          <w:szCs w:val="20"/>
          <w:lang w:val="es-ES_tradnl"/>
        </w:rPr>
      </w:pPr>
      <w:r w:rsidRPr="00917E73">
        <w:rPr>
          <w:rFonts w:ascii="Arial" w:hAnsi="Arial" w:cs="Arial"/>
          <w:bCs/>
          <w:color w:val="000000" w:themeColor="text1"/>
          <w:sz w:val="20"/>
          <w:szCs w:val="20"/>
          <w:lang w:val="es-CO"/>
        </w:rPr>
        <w:lastRenderedPageBreak/>
        <w:t>Sin perjuicio de lo anterior, vale la pena tener en cuenta que cierto sector de la doctrina y la jurisprudencia ha resaltado algunas diferencias entre los contratos interadministrativos y los convenios interadministrativos de que trata el artículo 95 de la Ley 489 de 1998. Por ejemplo, el Consejo de Estado en sentencia del 14 de junio de 2019 expresó:</w:t>
      </w:r>
      <w:r w:rsidRPr="009E1763">
        <w:rPr>
          <w:rFonts w:ascii="Arial" w:hAnsi="Arial" w:cs="Arial"/>
          <w:bCs/>
          <w:color w:val="000000" w:themeColor="text1"/>
          <w:sz w:val="20"/>
          <w:szCs w:val="20"/>
          <w:lang w:val="es-CO"/>
        </w:rPr>
        <w:t xml:space="preserve"> </w:t>
      </w:r>
      <w:r w:rsidRPr="00917E73">
        <w:rPr>
          <w:rFonts w:ascii="Arial" w:hAnsi="Arial" w:cs="Arial"/>
          <w:bCs/>
          <w:color w:val="000000" w:themeColor="text1"/>
          <w:sz w:val="20"/>
          <w:szCs w:val="20"/>
          <w:lang w:val="es-ES_tradnl"/>
        </w:rPr>
        <w:t>«La Sala de Consulta y Servicio Civil</w:t>
      </w:r>
      <w:r w:rsidRPr="009E1763">
        <w:rPr>
          <w:rFonts w:ascii="Arial" w:hAnsi="Arial" w:cs="Arial"/>
          <w:bCs/>
          <w:color w:val="000000" w:themeColor="text1"/>
          <w:sz w:val="20"/>
          <w:szCs w:val="20"/>
          <w:lang w:val="es-ES_tradnl"/>
        </w:rPr>
        <w:t xml:space="preserve"> </w:t>
      </w:r>
      <w:r w:rsidRPr="00917E73">
        <w:rPr>
          <w:rFonts w:ascii="Arial" w:hAnsi="Arial" w:cs="Arial"/>
          <w:bCs/>
          <w:color w:val="000000" w:themeColor="text1"/>
          <w:sz w:val="20"/>
          <w:szCs w:val="20"/>
          <w:lang w:val="es-ES_tradnl"/>
        </w:rPr>
        <w:t xml:space="preserve">de esta Corporación se ha referido a los </w:t>
      </w:r>
      <w:r w:rsidRPr="00917E73">
        <w:rPr>
          <w:rFonts w:ascii="Arial" w:hAnsi="Arial" w:cs="Arial"/>
          <w:bCs/>
          <w:i/>
          <w:color w:val="000000" w:themeColor="text1"/>
          <w:sz w:val="20"/>
          <w:szCs w:val="20"/>
          <w:lang w:val="es-ES_tradnl"/>
        </w:rPr>
        <w:t>“convenios interadministrativos”</w:t>
      </w:r>
      <w:r w:rsidRPr="00917E73">
        <w:rPr>
          <w:rFonts w:ascii="Arial" w:hAnsi="Arial" w:cs="Arial"/>
          <w:bCs/>
          <w:color w:val="000000" w:themeColor="text1"/>
          <w:sz w:val="20"/>
          <w:szCs w:val="20"/>
          <w:lang w:val="es-ES_tradnl"/>
        </w:rPr>
        <w:t xml:space="preserve"> a los cuales alude el artículo 95 de la Ley 489 de 1998, calificándolos de </w:t>
      </w:r>
      <w:r w:rsidRPr="00917E73">
        <w:rPr>
          <w:rFonts w:ascii="Arial" w:hAnsi="Arial" w:cs="Arial"/>
          <w:bCs/>
          <w:i/>
          <w:color w:val="000000" w:themeColor="text1"/>
          <w:sz w:val="20"/>
          <w:szCs w:val="20"/>
          <w:lang w:val="es-ES_tradnl"/>
        </w:rPr>
        <w:t xml:space="preserve">“puros” </w:t>
      </w:r>
      <w:r w:rsidRPr="00917E73">
        <w:rPr>
          <w:rFonts w:ascii="Arial" w:hAnsi="Arial" w:cs="Arial"/>
          <w:bCs/>
          <w:color w:val="000000" w:themeColor="text1"/>
          <w:sz w:val="20"/>
          <w:szCs w:val="20"/>
          <w:lang w:val="es-ES_tradnl"/>
        </w:rPr>
        <w:t xml:space="preserve">y entendiendo que estos, además de perseguir la finalidad de cooperación antes indicada, no implican intereses contrapuestos ni tampoco se circunscriben a un </w:t>
      </w:r>
      <w:r w:rsidRPr="00917E73">
        <w:rPr>
          <w:rFonts w:ascii="Arial" w:hAnsi="Arial" w:cs="Arial"/>
          <w:bCs/>
          <w:i/>
          <w:color w:val="000000" w:themeColor="text1"/>
          <w:sz w:val="20"/>
          <w:szCs w:val="20"/>
          <w:lang w:val="es-ES_tradnl"/>
        </w:rPr>
        <w:t>“intercambio patrimonial”</w:t>
      </w:r>
      <w:r w:rsidRPr="00917E73">
        <w:rPr>
          <w:rFonts w:ascii="Arial" w:hAnsi="Arial" w:cs="Arial"/>
          <w:bCs/>
          <w:color w:val="000000" w:themeColor="text1"/>
          <w:sz w:val="20"/>
          <w:szCs w:val="20"/>
          <w:lang w:val="es-ES_tradnl"/>
        </w:rPr>
        <w:t xml:space="preserve">. Sin perjuicio de lo anterior, en otra oportunidad, la misma Sala había indicado que, si bien en dichos convenios no se daba un </w:t>
      </w:r>
      <w:r w:rsidRPr="00917E73">
        <w:rPr>
          <w:rFonts w:ascii="Arial" w:hAnsi="Arial" w:cs="Arial"/>
          <w:bCs/>
          <w:i/>
          <w:color w:val="000000" w:themeColor="text1"/>
          <w:sz w:val="20"/>
          <w:szCs w:val="20"/>
          <w:lang w:val="es-ES_tradnl"/>
        </w:rPr>
        <w:t>“verdadero intercambio de bienes o servicios (contrato conmutativo)”</w:t>
      </w:r>
      <w:r w:rsidRPr="00917E73">
        <w:rPr>
          <w:rFonts w:ascii="Arial" w:hAnsi="Arial" w:cs="Arial"/>
          <w:bCs/>
          <w:color w:val="000000" w:themeColor="text1"/>
          <w:sz w:val="20"/>
          <w:szCs w:val="20"/>
          <w:lang w:val="es-ES_tradnl"/>
        </w:rPr>
        <w:t>, ello no impedía que se conviniera una remuneración a cargo de alguna(s) entidad(es).</w:t>
      </w:r>
      <w:r w:rsidRPr="009E1763">
        <w:rPr>
          <w:rFonts w:ascii="Arial" w:hAnsi="Arial" w:cs="Arial"/>
          <w:bCs/>
          <w:color w:val="000000" w:themeColor="text1"/>
          <w:sz w:val="20"/>
          <w:szCs w:val="20"/>
          <w:lang w:val="es-CO"/>
        </w:rPr>
        <w:t xml:space="preserve"> </w:t>
      </w:r>
      <w:r w:rsidRPr="00917E73">
        <w:rPr>
          <w:rFonts w:ascii="Arial" w:hAnsi="Arial" w:cs="Arial"/>
          <w:bCs/>
          <w:color w:val="000000" w:themeColor="text1"/>
          <w:sz w:val="20"/>
          <w:szCs w:val="20"/>
          <w:lang w:val="es-ES_tradnl"/>
        </w:rPr>
        <w:t xml:space="preserve">Lo expuesto evidencia que, en general, las interpretaciones en torno a los </w:t>
      </w:r>
      <w:r w:rsidRPr="00917E73">
        <w:rPr>
          <w:rFonts w:ascii="Arial" w:hAnsi="Arial" w:cs="Arial"/>
          <w:bCs/>
          <w:i/>
          <w:color w:val="000000" w:themeColor="text1"/>
          <w:sz w:val="20"/>
          <w:szCs w:val="20"/>
          <w:lang w:val="es-ES_tradnl"/>
        </w:rPr>
        <w:t>“convenios interadministrativos”</w:t>
      </w:r>
      <w:r w:rsidRPr="00917E73">
        <w:rPr>
          <w:rFonts w:ascii="Arial" w:hAnsi="Arial" w:cs="Arial"/>
          <w:bCs/>
          <w:color w:val="000000" w:themeColor="text1"/>
          <w:sz w:val="20"/>
          <w:szCs w:val="20"/>
          <w:lang w:val="es-ES_tradnl"/>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 </w:t>
      </w:r>
      <w:r>
        <w:rPr>
          <w:rFonts w:ascii="Arial" w:hAnsi="Arial" w:cs="Arial"/>
          <w:bCs/>
          <w:color w:val="000000" w:themeColor="text1"/>
          <w:sz w:val="20"/>
          <w:szCs w:val="20"/>
          <w:lang w:val="es-ES_tradnl"/>
        </w:rPr>
        <w:t>[…]</w:t>
      </w:r>
    </w:p>
    <w:p w14:paraId="7544488E" w14:textId="77777777" w:rsidR="00E44A29" w:rsidRPr="009E1763" w:rsidRDefault="00E44A29" w:rsidP="00E44A29">
      <w:pPr>
        <w:rPr>
          <w:rFonts w:ascii="Arial" w:hAnsi="Arial" w:cs="Arial"/>
          <w:color w:val="000000" w:themeColor="text1"/>
          <w:sz w:val="20"/>
          <w:szCs w:val="20"/>
        </w:rPr>
      </w:pPr>
      <w:r w:rsidRPr="00EE2CBC">
        <w:rPr>
          <w:rFonts w:ascii="Arial" w:hAnsi="Arial" w:cs="Arial"/>
          <w:bCs/>
          <w:color w:val="000000" w:themeColor="text1"/>
          <w:sz w:val="20"/>
          <w:szCs w:val="20"/>
          <w:lang w:val="es-CO"/>
        </w:rPr>
        <w:t>De aquí que el Consejo de Estado  haya señalado la necesidad de diferenciar el régimen jurídico aplicable a ciertas situaciones específicas del convenio interadministrativo que se separan del régimen jurídico común</w:t>
      </w:r>
      <w:r>
        <w:rPr>
          <w:rFonts w:ascii="Arial" w:hAnsi="Arial" w:cs="Arial"/>
          <w:bCs/>
          <w:color w:val="000000" w:themeColor="text1"/>
          <w:sz w:val="20"/>
          <w:szCs w:val="20"/>
          <w:lang w:val="es-CO"/>
        </w:rPr>
        <w:t xml:space="preserve"> […]. </w:t>
      </w:r>
      <w:r w:rsidRPr="00EE2CBC">
        <w:rPr>
          <w:rFonts w:ascii="Arial" w:hAnsi="Arial" w:cs="Arial"/>
          <w:bCs/>
          <w:color w:val="000000" w:themeColor="text1"/>
          <w:sz w:val="20"/>
          <w:szCs w:val="20"/>
          <w:lang w:val="es-CO"/>
        </w:rPr>
        <w:t>A juicio de la sala si bien existe un régimen jurídico común compuesto por las normas del EGCAP que ordenan las declaraciones de voluntad negocial de las entidades estatales -el consentimiento y los efectos de las obligaciones-, y las normas de derecho público relacionadas con la capacidad o competencia de las entidades estatales para celebrar acuerdos de voluntades -que incluyen el régimen de inhabilidades, incompatibilidades y conflictos de interés-, para el resto de asuntos regulados en el EGCAP será necesario tener en cuenta el plano de igualdad o equivalencia en el que se encuentran las partes del convenio y, por ende, la aplicabilidad de cada disposición al caso concreto. En ese orden, por ejemplo, no serán aplicables cláusulas excepcionales al derecho común</w:t>
      </w:r>
      <w:r>
        <w:rPr>
          <w:rFonts w:ascii="Arial" w:hAnsi="Arial" w:cs="Arial"/>
          <w:bCs/>
          <w:color w:val="000000" w:themeColor="text1"/>
          <w:sz w:val="20"/>
          <w:szCs w:val="20"/>
          <w:lang w:val="es-CO"/>
        </w:rPr>
        <w:t>.</w:t>
      </w:r>
    </w:p>
    <w:p w14:paraId="7218E720" w14:textId="21F161E1" w:rsidR="00E44A29" w:rsidRDefault="00E44A29" w:rsidP="00E44A29">
      <w:pPr>
        <w:tabs>
          <w:tab w:val="left" w:pos="1073"/>
        </w:tabs>
        <w:rPr>
          <w:rFonts w:ascii="Arial" w:hAnsi="Arial" w:cs="Arial"/>
          <w:b/>
          <w:bCs/>
          <w:noProof/>
          <w:color w:val="000000" w:themeColor="text1"/>
          <w:sz w:val="22"/>
        </w:rPr>
      </w:pPr>
    </w:p>
    <w:p w14:paraId="4444B686" w14:textId="1B1B1EF4" w:rsidR="00E44A29" w:rsidRDefault="00E44A29" w:rsidP="00E44A29">
      <w:pPr>
        <w:tabs>
          <w:tab w:val="left" w:pos="1073"/>
        </w:tabs>
        <w:rPr>
          <w:rFonts w:ascii="Arial" w:hAnsi="Arial" w:cs="Arial"/>
          <w:b/>
          <w:bCs/>
          <w:noProof/>
          <w:color w:val="000000" w:themeColor="text1"/>
          <w:sz w:val="22"/>
        </w:rPr>
      </w:pPr>
    </w:p>
    <w:p w14:paraId="7A7F3C2C" w14:textId="7E345366" w:rsidR="00E44A29" w:rsidRDefault="00E44A29" w:rsidP="00E44A29">
      <w:pPr>
        <w:tabs>
          <w:tab w:val="left" w:pos="1073"/>
        </w:tabs>
        <w:rPr>
          <w:rFonts w:ascii="Arial" w:hAnsi="Arial" w:cs="Arial"/>
          <w:b/>
          <w:bCs/>
          <w:noProof/>
          <w:color w:val="000000" w:themeColor="text1"/>
          <w:sz w:val="22"/>
        </w:rPr>
      </w:pPr>
    </w:p>
    <w:p w14:paraId="38707427" w14:textId="77777777" w:rsidR="00E44A29" w:rsidRPr="009E1763" w:rsidRDefault="00E44A29" w:rsidP="00E44A29">
      <w:pPr>
        <w:tabs>
          <w:tab w:val="left" w:pos="1073"/>
        </w:tabs>
        <w:rPr>
          <w:rFonts w:ascii="Arial" w:hAnsi="Arial" w:cs="Arial"/>
          <w:b/>
          <w:noProof/>
          <w:color w:val="000000" w:themeColor="text1"/>
          <w:sz w:val="22"/>
          <w:lang w:val="es-ES_tradnl"/>
        </w:rPr>
      </w:pPr>
    </w:p>
    <w:p w14:paraId="40679928" w14:textId="77777777" w:rsidR="00E44A29" w:rsidRPr="009E1763" w:rsidRDefault="00E44A29" w:rsidP="00E44A29">
      <w:pPr>
        <w:spacing w:after="0" w:line="240" w:lineRule="auto"/>
        <w:rPr>
          <w:rFonts w:ascii="Arial" w:eastAsia="Calibri" w:hAnsi="Arial" w:cs="Arial"/>
          <w:sz w:val="22"/>
          <w:lang w:val="es-CO"/>
        </w:rPr>
      </w:pPr>
    </w:p>
    <w:p w14:paraId="616B67F9" w14:textId="77777777" w:rsidR="00E44A29" w:rsidRPr="009E1763" w:rsidRDefault="00E44A29" w:rsidP="00E44A29">
      <w:pPr>
        <w:spacing w:after="0" w:line="240" w:lineRule="auto"/>
        <w:rPr>
          <w:rFonts w:ascii="Arial" w:eastAsia="Calibri" w:hAnsi="Arial" w:cs="Arial"/>
          <w:sz w:val="22"/>
          <w:lang w:val="es-CO"/>
        </w:rPr>
      </w:pPr>
    </w:p>
    <w:p w14:paraId="7080B07E" w14:textId="77777777" w:rsidR="00E44A29" w:rsidRPr="009E1763" w:rsidRDefault="00E44A29" w:rsidP="00E44A29">
      <w:pPr>
        <w:spacing w:after="0" w:line="240" w:lineRule="auto"/>
        <w:rPr>
          <w:rFonts w:ascii="Arial" w:eastAsia="Calibri" w:hAnsi="Arial" w:cs="Arial"/>
          <w:sz w:val="22"/>
          <w:lang w:val="es-CO"/>
        </w:rPr>
      </w:pPr>
    </w:p>
    <w:p w14:paraId="13FFC757" w14:textId="77777777" w:rsidR="00E44A29" w:rsidRPr="009E1763" w:rsidRDefault="00E44A29" w:rsidP="00E44A29">
      <w:pPr>
        <w:spacing w:after="0" w:line="240" w:lineRule="auto"/>
        <w:rPr>
          <w:rFonts w:ascii="Arial" w:eastAsia="Calibri" w:hAnsi="Arial" w:cs="Arial"/>
          <w:sz w:val="22"/>
          <w:lang w:val="es-CO"/>
        </w:rPr>
      </w:pPr>
    </w:p>
    <w:p w14:paraId="568F07EE" w14:textId="77777777" w:rsidR="00E44A29" w:rsidRDefault="00E44A29" w:rsidP="00E44A29">
      <w:pPr>
        <w:spacing w:after="0" w:line="240" w:lineRule="auto"/>
        <w:rPr>
          <w:rFonts w:ascii="Arial" w:eastAsia="Calibri" w:hAnsi="Arial" w:cs="Arial"/>
          <w:sz w:val="22"/>
          <w:lang w:val="es-CO"/>
        </w:rPr>
      </w:pPr>
    </w:p>
    <w:p w14:paraId="48301F8F" w14:textId="77777777" w:rsidR="00E44A29" w:rsidRDefault="00E44A29" w:rsidP="00E44A29">
      <w:pPr>
        <w:spacing w:after="0" w:line="240" w:lineRule="auto"/>
        <w:rPr>
          <w:rFonts w:ascii="Arial" w:eastAsia="Calibri" w:hAnsi="Arial" w:cs="Arial"/>
          <w:sz w:val="22"/>
          <w:lang w:val="es-CO"/>
        </w:rPr>
      </w:pPr>
    </w:p>
    <w:p w14:paraId="79379294" w14:textId="77777777" w:rsidR="00E44A29" w:rsidRDefault="00E44A29" w:rsidP="00E44A29">
      <w:pPr>
        <w:spacing w:after="0" w:line="240" w:lineRule="auto"/>
        <w:rPr>
          <w:rFonts w:ascii="Arial" w:eastAsia="Calibri" w:hAnsi="Arial" w:cs="Arial"/>
          <w:sz w:val="22"/>
          <w:lang w:val="es-CO"/>
        </w:rPr>
      </w:pPr>
    </w:p>
    <w:p w14:paraId="63FF2B9A" w14:textId="77777777" w:rsidR="00E44A29" w:rsidRDefault="00E44A29" w:rsidP="00E44A29">
      <w:pPr>
        <w:spacing w:after="0" w:line="240" w:lineRule="auto"/>
        <w:rPr>
          <w:rFonts w:ascii="Arial" w:eastAsia="Calibri" w:hAnsi="Arial" w:cs="Arial"/>
          <w:sz w:val="22"/>
          <w:lang w:val="es-CO"/>
        </w:rPr>
      </w:pPr>
    </w:p>
    <w:p w14:paraId="4F38AC41" w14:textId="77777777" w:rsidR="00E44A29" w:rsidRDefault="00E44A29" w:rsidP="00E44A29">
      <w:pPr>
        <w:spacing w:after="0" w:line="240" w:lineRule="auto"/>
        <w:rPr>
          <w:rFonts w:ascii="Arial" w:eastAsia="Calibri" w:hAnsi="Arial" w:cs="Arial"/>
          <w:sz w:val="22"/>
          <w:lang w:val="es-CO"/>
        </w:rPr>
      </w:pPr>
    </w:p>
    <w:p w14:paraId="13E7CC50" w14:textId="49869501" w:rsidR="006B0110" w:rsidRDefault="006B0110" w:rsidP="00E44A29">
      <w:pPr>
        <w:spacing w:after="0" w:line="240" w:lineRule="auto"/>
        <w:rPr>
          <w:rFonts w:ascii="Arial" w:eastAsia="Calibri" w:hAnsi="Arial" w:cs="Arial"/>
          <w:sz w:val="22"/>
          <w:lang w:val="es-CO"/>
        </w:rPr>
      </w:pPr>
      <w:r w:rsidRPr="6B8BD3AC">
        <w:rPr>
          <w:rFonts w:ascii="Geomanist Light" w:eastAsia="Geomanist Light" w:hAnsi="Geomanist Light" w:cs="Geomanist Light"/>
          <w:color w:val="000000" w:themeColor="text1"/>
        </w:rPr>
        <w:lastRenderedPageBreak/>
        <w:t>Bogotá D.C., </w:t>
      </w:r>
      <w:r>
        <w:rPr>
          <w:rFonts w:ascii="Geomanist Light" w:eastAsia="Geomanist Light" w:hAnsi="Geomanist Light" w:cs="Geomanist Light"/>
          <w:color w:val="201F1E"/>
        </w:rPr>
        <w:t>30</w:t>
      </w:r>
      <w:r>
        <w:rPr>
          <w:rFonts w:ascii="Geomanist Light" w:eastAsia="Geomanist Light" w:hAnsi="Geomanist Light" w:cs="Geomanist Light"/>
          <w:color w:val="201F1E"/>
        </w:rPr>
        <w:t xml:space="preserve"> de diciembre de 2022</w:t>
      </w:r>
    </w:p>
    <w:p w14:paraId="16D9D905" w14:textId="77777777" w:rsidR="006B0110" w:rsidRDefault="006B0110" w:rsidP="00E44A29">
      <w:pPr>
        <w:spacing w:after="0" w:line="240" w:lineRule="auto"/>
        <w:rPr>
          <w:rFonts w:ascii="Arial" w:eastAsia="Calibri" w:hAnsi="Arial" w:cs="Arial"/>
          <w:sz w:val="22"/>
          <w:lang w:val="es-CO"/>
        </w:rPr>
      </w:pPr>
    </w:p>
    <w:p w14:paraId="4C351660" w14:textId="3E95E0B2" w:rsidR="00E44A29" w:rsidRPr="009E1763" w:rsidRDefault="004A321E" w:rsidP="00E44A29">
      <w:pPr>
        <w:spacing w:after="0" w:line="240" w:lineRule="auto"/>
        <w:rPr>
          <w:rFonts w:ascii="Arial" w:eastAsia="Calibri" w:hAnsi="Arial" w:cs="Arial"/>
          <w:sz w:val="22"/>
          <w:lang w:val="es-CO"/>
        </w:rPr>
      </w:pPr>
      <w:r>
        <w:rPr>
          <w:rFonts w:ascii="Arial" w:eastAsia="Calibri" w:hAnsi="Arial" w:cs="Arial"/>
          <w:noProof/>
          <w:sz w:val="22"/>
          <w:lang w:val="es-CO"/>
        </w:rPr>
        <w:drawing>
          <wp:anchor distT="0" distB="0" distL="114300" distR="114300" simplePos="0" relativeHeight="251658240" behindDoc="0" locked="0" layoutInCell="1" allowOverlap="1" wp14:anchorId="1A061266" wp14:editId="0C91F6ED">
            <wp:simplePos x="0" y="0"/>
            <wp:positionH relativeFrom="column">
              <wp:posOffset>2577465</wp:posOffset>
            </wp:positionH>
            <wp:positionV relativeFrom="paragraph">
              <wp:posOffset>-116855</wp:posOffset>
            </wp:positionV>
            <wp:extent cx="3033528" cy="822652"/>
            <wp:effectExtent l="0" t="0" r="1905" b="317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66928" cy="831710"/>
                    </a:xfrm>
                    <a:prstGeom prst="rect">
                      <a:avLst/>
                    </a:prstGeom>
                  </pic:spPr>
                </pic:pic>
              </a:graphicData>
            </a:graphic>
            <wp14:sizeRelH relativeFrom="page">
              <wp14:pctWidth>0</wp14:pctWidth>
            </wp14:sizeRelH>
            <wp14:sizeRelV relativeFrom="page">
              <wp14:pctHeight>0</wp14:pctHeight>
            </wp14:sizeRelV>
          </wp:anchor>
        </w:drawing>
      </w:r>
    </w:p>
    <w:p w14:paraId="2BA835C5" w14:textId="38012B0C" w:rsidR="00E44A29" w:rsidRPr="009E1763" w:rsidRDefault="00E44A29" w:rsidP="00E44A29">
      <w:pPr>
        <w:spacing w:after="0" w:line="240" w:lineRule="auto"/>
        <w:rPr>
          <w:rFonts w:ascii="Arial" w:eastAsia="Calibri" w:hAnsi="Arial" w:cs="Arial"/>
          <w:sz w:val="22"/>
          <w:lang w:val="es-CO"/>
        </w:rPr>
      </w:pPr>
      <w:r w:rsidRPr="009E1763">
        <w:rPr>
          <w:rFonts w:ascii="Arial" w:eastAsia="Calibri" w:hAnsi="Arial" w:cs="Arial"/>
          <w:sz w:val="22"/>
          <w:lang w:val="es-CO"/>
        </w:rPr>
        <w:t>Señor</w:t>
      </w:r>
    </w:p>
    <w:p w14:paraId="6F2398AF" w14:textId="532093AE" w:rsidR="00E44A29" w:rsidRPr="009E1763" w:rsidRDefault="00632DE2" w:rsidP="00E44A29">
      <w:pPr>
        <w:spacing w:after="0" w:line="240" w:lineRule="auto"/>
        <w:rPr>
          <w:rFonts w:ascii="Arial" w:eastAsia="Calibri" w:hAnsi="Arial" w:cs="Arial"/>
          <w:b/>
          <w:bCs/>
          <w:sz w:val="22"/>
          <w:lang w:val="es-CO"/>
        </w:rPr>
      </w:pPr>
      <w:r>
        <w:rPr>
          <w:rFonts w:ascii="Arial" w:eastAsia="Calibri" w:hAnsi="Arial" w:cs="Arial"/>
          <w:b/>
          <w:bCs/>
          <w:sz w:val="22"/>
          <w:lang w:val="es-CO"/>
        </w:rPr>
        <w:t xml:space="preserve">Walter David </w:t>
      </w:r>
      <w:proofErr w:type="spellStart"/>
      <w:r>
        <w:rPr>
          <w:rFonts w:ascii="Arial" w:eastAsia="Calibri" w:hAnsi="Arial" w:cs="Arial"/>
          <w:b/>
          <w:bCs/>
          <w:sz w:val="22"/>
          <w:lang w:val="es-CO"/>
        </w:rPr>
        <w:t>Marin</w:t>
      </w:r>
      <w:proofErr w:type="spellEnd"/>
      <w:r>
        <w:rPr>
          <w:rFonts w:ascii="Arial" w:eastAsia="Calibri" w:hAnsi="Arial" w:cs="Arial"/>
          <w:b/>
          <w:bCs/>
          <w:sz w:val="22"/>
          <w:lang w:val="es-CO"/>
        </w:rPr>
        <w:t xml:space="preserve"> Torres</w:t>
      </w:r>
    </w:p>
    <w:p w14:paraId="43A574C6" w14:textId="1E94256A" w:rsidR="00E44A29" w:rsidRPr="009E1763" w:rsidRDefault="00632DE2" w:rsidP="00E44A29">
      <w:pPr>
        <w:spacing w:after="0" w:line="240" w:lineRule="auto"/>
        <w:rPr>
          <w:rFonts w:ascii="Arial" w:eastAsia="Calibri" w:hAnsi="Arial" w:cs="Arial"/>
          <w:sz w:val="22"/>
          <w:lang w:val="es-CO"/>
        </w:rPr>
      </w:pPr>
      <w:r>
        <w:rPr>
          <w:rFonts w:ascii="Arial" w:eastAsia="Calibri" w:hAnsi="Arial" w:cs="Arial"/>
          <w:sz w:val="22"/>
          <w:lang w:val="es-CO"/>
        </w:rPr>
        <w:t>Pereira</w:t>
      </w:r>
      <w:r w:rsidR="00E44A29" w:rsidRPr="009E1763">
        <w:rPr>
          <w:rFonts w:ascii="Arial" w:eastAsia="Calibri" w:hAnsi="Arial" w:cs="Arial"/>
          <w:sz w:val="22"/>
          <w:lang w:val="es-CO"/>
        </w:rPr>
        <w:t xml:space="preserve">, </w:t>
      </w:r>
      <w:r>
        <w:rPr>
          <w:rFonts w:ascii="Arial" w:eastAsia="Calibri" w:hAnsi="Arial" w:cs="Arial"/>
          <w:sz w:val="22"/>
          <w:lang w:val="es-CO"/>
        </w:rPr>
        <w:t>Risaralda</w:t>
      </w:r>
    </w:p>
    <w:p w14:paraId="3D7DABDE" w14:textId="77777777" w:rsidR="00E44A29" w:rsidRPr="009E1763" w:rsidRDefault="00E44A29" w:rsidP="00E44A29">
      <w:pPr>
        <w:spacing w:after="0" w:line="240" w:lineRule="auto"/>
        <w:rPr>
          <w:rFonts w:ascii="Arial" w:eastAsia="Calibri" w:hAnsi="Arial" w:cs="Arial"/>
          <w:sz w:val="22"/>
          <w:lang w:val="es-CO"/>
        </w:rPr>
      </w:pPr>
    </w:p>
    <w:p w14:paraId="1937389F" w14:textId="77777777" w:rsidR="00E44A29" w:rsidRPr="009E1763" w:rsidRDefault="00E44A29" w:rsidP="00E44A29">
      <w:pPr>
        <w:spacing w:after="0" w:line="240" w:lineRule="auto"/>
        <w:rPr>
          <w:rFonts w:ascii="Arial" w:eastAsia="Calibri" w:hAnsi="Arial" w:cs="Arial"/>
          <w:sz w:val="22"/>
          <w:lang w:val="es-CO"/>
        </w:rPr>
      </w:pPr>
    </w:p>
    <w:p w14:paraId="7683DE7C" w14:textId="4ACDBDBB" w:rsidR="00E44A29" w:rsidRPr="009E1763" w:rsidRDefault="00E44A29" w:rsidP="00E44A29">
      <w:pPr>
        <w:spacing w:after="0" w:line="240" w:lineRule="auto"/>
        <w:rPr>
          <w:rFonts w:ascii="Arial" w:hAnsi="Arial" w:cs="Arial"/>
          <w:sz w:val="22"/>
          <w:lang w:val="es-CO"/>
        </w:rPr>
      </w:pPr>
      <w:r w:rsidRPr="009E1763">
        <w:rPr>
          <w:rFonts w:ascii="Arial" w:eastAsia="Calibri" w:hAnsi="Arial" w:cs="Arial"/>
          <w:sz w:val="22"/>
          <w:lang w:val="es-CO"/>
        </w:rPr>
        <w:t xml:space="preserve">                      </w:t>
      </w:r>
      <w:r w:rsidRPr="009E1763">
        <w:rPr>
          <w:rFonts w:ascii="Arial" w:eastAsia="Calibri" w:hAnsi="Arial" w:cs="Arial"/>
          <w:b/>
          <w:sz w:val="22"/>
          <w:lang w:val="es-CO"/>
        </w:rPr>
        <w:t xml:space="preserve">Concepto C – </w:t>
      </w:r>
      <w:r w:rsidR="00632DE2">
        <w:rPr>
          <w:rFonts w:ascii="Arial" w:eastAsia="Calibri" w:hAnsi="Arial" w:cs="Arial"/>
          <w:b/>
          <w:sz w:val="22"/>
          <w:lang w:val="es-CO"/>
        </w:rPr>
        <w:t>932</w:t>
      </w:r>
      <w:r w:rsidRPr="009E1763">
        <w:rPr>
          <w:rFonts w:ascii="Arial" w:eastAsia="Calibri" w:hAnsi="Arial" w:cs="Arial"/>
          <w:b/>
          <w:sz w:val="22"/>
          <w:lang w:val="es-CO"/>
        </w:rPr>
        <w:t xml:space="preserve"> de 2022</w:t>
      </w:r>
      <w:r w:rsidRPr="009E1763">
        <w:rPr>
          <w:rFonts w:ascii="Arial" w:hAnsi="Arial" w:cs="Arial"/>
          <w:sz w:val="22"/>
          <w:lang w:val="es-CO"/>
        </w:rPr>
        <w:t xml:space="preserve"> </w:t>
      </w:r>
    </w:p>
    <w:p w14:paraId="3BFB3A20" w14:textId="77777777" w:rsidR="00E44A29" w:rsidRPr="009E1763" w:rsidRDefault="00E44A29" w:rsidP="00E44A29">
      <w:pPr>
        <w:spacing w:after="0" w:line="240" w:lineRule="auto"/>
        <w:rPr>
          <w:rFonts w:ascii="Arial" w:eastAsia="Calibri" w:hAnsi="Arial" w:cs="Arial"/>
          <w:b/>
          <w:sz w:val="22"/>
          <w:lang w:val="es-CO"/>
        </w:rPr>
      </w:pP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E44A29" w:rsidRPr="009E1763" w14:paraId="6CA6B0CE" w14:textId="77777777" w:rsidTr="002B5ABF">
        <w:trPr>
          <w:trHeight w:val="485"/>
        </w:trPr>
        <w:tc>
          <w:tcPr>
            <w:tcW w:w="2689" w:type="dxa"/>
            <w:hideMark/>
          </w:tcPr>
          <w:p w14:paraId="2FF1B9DD" w14:textId="77777777" w:rsidR="00E44A29" w:rsidRPr="009E1763" w:rsidRDefault="00E44A29" w:rsidP="002B5ABF">
            <w:pPr>
              <w:contextualSpacing/>
              <w:rPr>
                <w:rFonts w:ascii="Arial" w:eastAsia="Calibri" w:hAnsi="Arial" w:cs="Arial"/>
                <w:noProof/>
                <w:lang w:val="es-ES_tradnl"/>
              </w:rPr>
            </w:pPr>
            <w:r w:rsidRPr="009E1763">
              <w:rPr>
                <w:rFonts w:ascii="Arial" w:eastAsia="Calibri" w:hAnsi="Arial" w:cs="Arial"/>
                <w:b/>
                <w:noProof/>
                <w:lang w:val="es-ES_tradnl"/>
              </w:rPr>
              <w:t>Temas:</w:t>
            </w:r>
            <w:r w:rsidRPr="009E1763">
              <w:rPr>
                <w:rFonts w:ascii="Arial" w:eastAsia="Calibri" w:hAnsi="Arial" w:cs="Arial"/>
                <w:noProof/>
                <w:lang w:val="es-ES_tradnl"/>
              </w:rPr>
              <w:t xml:space="preserve">    </w:t>
            </w:r>
          </w:p>
        </w:tc>
        <w:tc>
          <w:tcPr>
            <w:tcW w:w="6237" w:type="dxa"/>
            <w:hideMark/>
          </w:tcPr>
          <w:p w14:paraId="67741DC3" w14:textId="7F944F87" w:rsidR="00E44A29" w:rsidRPr="009E1763" w:rsidRDefault="00E44A29" w:rsidP="002B5ABF">
            <w:pPr>
              <w:spacing w:after="120"/>
              <w:ind w:right="703"/>
              <w:rPr>
                <w:rFonts w:ascii="Arial" w:eastAsia="Calibri" w:hAnsi="Arial" w:cs="Arial"/>
                <w:bCs/>
                <w:lang w:val="es-ES_tradnl"/>
              </w:rPr>
            </w:pPr>
            <w:r w:rsidRPr="009E1763">
              <w:rPr>
                <w:rFonts w:ascii="Arial" w:eastAsia="Calibri" w:hAnsi="Arial" w:cs="Arial"/>
                <w:bCs/>
              </w:rPr>
              <w:t xml:space="preserve">CONTRATOS Y CONVENIOS INTERADMINISTRATIVOS – Concepto </w:t>
            </w:r>
            <w:r w:rsidRPr="009E1763">
              <w:rPr>
                <w:rFonts w:ascii="Arial" w:hAnsi="Arial" w:cs="Arial"/>
                <w:bCs/>
                <w:color w:val="000000" w:themeColor="text1"/>
                <w:lang w:eastAsia="es-ES"/>
              </w:rPr>
              <w:t>–</w:t>
            </w:r>
            <w:r w:rsidRPr="009E1763">
              <w:rPr>
                <w:rFonts w:ascii="Arial" w:eastAsia="Calibri" w:hAnsi="Arial" w:cs="Arial"/>
                <w:bCs/>
              </w:rPr>
              <w:t xml:space="preserve"> régimen jurídico </w:t>
            </w:r>
            <w:r w:rsidRPr="009E1763">
              <w:rPr>
                <w:rFonts w:ascii="Arial" w:hAnsi="Arial" w:cs="Arial"/>
                <w:bCs/>
                <w:color w:val="000000" w:themeColor="text1"/>
                <w:lang w:eastAsia="es-ES"/>
              </w:rPr>
              <w:t xml:space="preserve">– Diferencias </w:t>
            </w:r>
            <w:r w:rsidRPr="009E1763">
              <w:rPr>
                <w:rFonts w:ascii="Arial" w:eastAsia="Calibri" w:hAnsi="Arial" w:cs="Arial"/>
                <w:bCs/>
              </w:rPr>
              <w:t xml:space="preserve">/ </w:t>
            </w:r>
            <w:r>
              <w:rPr>
                <w:rFonts w:ascii="Arial" w:eastAsia="Calibri" w:hAnsi="Arial" w:cs="Arial"/>
                <w:bCs/>
              </w:rPr>
              <w:t xml:space="preserve">SUPERVISIÓN </w:t>
            </w:r>
            <w:r w:rsidRPr="009E1763">
              <w:rPr>
                <w:rFonts w:ascii="Arial" w:eastAsia="Calibri" w:hAnsi="Arial" w:cs="Arial"/>
                <w:bCs/>
              </w:rPr>
              <w:t xml:space="preserve">– Régimen jurídico </w:t>
            </w:r>
            <w:r w:rsidRPr="009E1763">
              <w:rPr>
                <w:rFonts w:ascii="Arial" w:hAnsi="Arial" w:cs="Arial"/>
                <w:bCs/>
                <w:color w:val="000000" w:themeColor="text1"/>
                <w:lang w:eastAsia="es-ES"/>
              </w:rPr>
              <w:t xml:space="preserve">– </w:t>
            </w:r>
            <w:r w:rsidRPr="009E1763">
              <w:rPr>
                <w:rFonts w:ascii="Arial" w:hAnsi="Arial" w:cs="Arial"/>
                <w:noProof/>
                <w:color w:val="000000" w:themeColor="text1"/>
                <w:lang w:val="es-ES_tradnl"/>
              </w:rPr>
              <w:t>Aplicabilidad a los convenios interadministrativos</w:t>
            </w:r>
          </w:p>
        </w:tc>
      </w:tr>
      <w:tr w:rsidR="00E44A29" w:rsidRPr="009E1763" w14:paraId="46E9A7CF" w14:textId="77777777" w:rsidTr="002B5ABF">
        <w:tc>
          <w:tcPr>
            <w:tcW w:w="2689" w:type="dxa"/>
          </w:tcPr>
          <w:p w14:paraId="51D9CF6A" w14:textId="77777777" w:rsidR="00E44A29" w:rsidRPr="009E1763" w:rsidRDefault="00E44A29" w:rsidP="002B5ABF">
            <w:pPr>
              <w:contextualSpacing/>
              <w:rPr>
                <w:rFonts w:ascii="Arial" w:eastAsia="Calibri" w:hAnsi="Arial" w:cs="Arial"/>
                <w:b/>
                <w:noProof/>
                <w:lang w:val="es-ES_tradnl"/>
              </w:rPr>
            </w:pPr>
            <w:r w:rsidRPr="009E1763">
              <w:rPr>
                <w:rFonts w:ascii="Arial" w:eastAsia="Calibri" w:hAnsi="Arial" w:cs="Arial"/>
                <w:b/>
                <w:noProof/>
                <w:lang w:val="es-ES_tradnl"/>
              </w:rPr>
              <w:t xml:space="preserve"> Radicación:</w:t>
            </w:r>
            <w:r w:rsidRPr="009E1763">
              <w:rPr>
                <w:rFonts w:ascii="Arial" w:eastAsia="Calibri" w:hAnsi="Arial" w:cs="Arial"/>
                <w:noProof/>
                <w:lang w:val="es-ES_tradnl"/>
              </w:rPr>
              <w:t xml:space="preserve">               </w:t>
            </w:r>
          </w:p>
        </w:tc>
        <w:tc>
          <w:tcPr>
            <w:tcW w:w="6237" w:type="dxa"/>
          </w:tcPr>
          <w:p w14:paraId="2BF6E3A9" w14:textId="5244D032" w:rsidR="00E44A29" w:rsidRPr="009E1763" w:rsidRDefault="00E44A29" w:rsidP="002B5ABF">
            <w:pPr>
              <w:contextualSpacing/>
              <w:rPr>
                <w:rFonts w:ascii="Arial" w:eastAsia="Calibri" w:hAnsi="Arial" w:cs="Arial"/>
                <w:noProof/>
                <w:lang w:val="es-ES_tradnl"/>
              </w:rPr>
            </w:pPr>
            <w:r w:rsidRPr="009E1763">
              <w:rPr>
                <w:rFonts w:ascii="Arial" w:eastAsia="Calibri" w:hAnsi="Arial" w:cs="Arial"/>
                <w:noProof/>
                <w:lang w:val="es-ES_tradnl"/>
              </w:rPr>
              <w:t xml:space="preserve">Respuesta a consulta </w:t>
            </w:r>
            <w:r w:rsidR="00632DE2" w:rsidRPr="00632DE2">
              <w:rPr>
                <w:rFonts w:ascii="Arial" w:eastAsia="Calibri" w:hAnsi="Arial" w:cs="Arial"/>
                <w:noProof/>
                <w:lang w:val="es-ES_tradnl"/>
              </w:rPr>
              <w:t>P20221201011899</w:t>
            </w:r>
          </w:p>
          <w:p w14:paraId="39888F2E" w14:textId="77777777" w:rsidR="00E44A29" w:rsidRPr="009E1763" w:rsidRDefault="00E44A29" w:rsidP="002B5ABF">
            <w:pPr>
              <w:contextualSpacing/>
              <w:rPr>
                <w:rFonts w:ascii="Arial" w:eastAsia="Calibri" w:hAnsi="Arial" w:cs="Arial"/>
                <w:noProof/>
                <w:lang w:val="es-ES_tradnl"/>
              </w:rPr>
            </w:pPr>
            <w:r w:rsidRPr="009E1763">
              <w:rPr>
                <w:rFonts w:ascii="Arial" w:eastAsia="Calibri" w:hAnsi="Arial" w:cs="Arial"/>
                <w:noProof/>
                <w:lang w:val="es-ES_tradnl"/>
              </w:rPr>
              <w:t xml:space="preserve">                  </w:t>
            </w:r>
          </w:p>
        </w:tc>
      </w:tr>
    </w:tbl>
    <w:p w14:paraId="0CD790B6" w14:textId="77777777" w:rsidR="00E44A29" w:rsidRPr="009E1763" w:rsidRDefault="00E44A29" w:rsidP="00E44A29">
      <w:pPr>
        <w:spacing w:after="0" w:line="240" w:lineRule="auto"/>
        <w:rPr>
          <w:rFonts w:ascii="Arial" w:eastAsia="Calibri" w:hAnsi="Arial" w:cs="Arial"/>
          <w:sz w:val="22"/>
          <w:lang w:val="es-CO"/>
        </w:rPr>
      </w:pPr>
    </w:p>
    <w:p w14:paraId="44D747CB" w14:textId="4E61DA72" w:rsidR="00E44A29" w:rsidRPr="009E1763" w:rsidRDefault="00E44A29" w:rsidP="00E44A29">
      <w:pPr>
        <w:spacing w:after="0"/>
        <w:rPr>
          <w:rFonts w:ascii="Arial" w:eastAsia="Calibri" w:hAnsi="Arial" w:cs="Arial"/>
          <w:sz w:val="22"/>
          <w:lang w:val="es-CO"/>
        </w:rPr>
      </w:pPr>
      <w:r w:rsidRPr="009E1763">
        <w:rPr>
          <w:rFonts w:ascii="Arial" w:eastAsia="Calibri" w:hAnsi="Arial" w:cs="Arial"/>
          <w:sz w:val="22"/>
          <w:lang w:val="es-CO"/>
        </w:rPr>
        <w:t xml:space="preserve">Estimado Señor </w:t>
      </w:r>
      <w:proofErr w:type="spellStart"/>
      <w:r w:rsidR="00632DE2">
        <w:rPr>
          <w:rFonts w:ascii="Arial" w:eastAsia="Calibri" w:hAnsi="Arial" w:cs="Arial"/>
          <w:sz w:val="22"/>
          <w:lang w:val="es-CO"/>
        </w:rPr>
        <w:t>Marin</w:t>
      </w:r>
      <w:proofErr w:type="spellEnd"/>
      <w:r w:rsidRPr="009E1763">
        <w:rPr>
          <w:rFonts w:ascii="Arial" w:eastAsia="Calibri" w:hAnsi="Arial" w:cs="Arial"/>
          <w:sz w:val="22"/>
          <w:lang w:val="es-CO"/>
        </w:rPr>
        <w:t xml:space="preserve">: </w:t>
      </w:r>
    </w:p>
    <w:p w14:paraId="11EA20FF" w14:textId="77777777" w:rsidR="00E44A29" w:rsidRPr="009E1763" w:rsidRDefault="00E44A29" w:rsidP="00E44A29">
      <w:pPr>
        <w:spacing w:after="0"/>
        <w:ind w:firstLine="709"/>
        <w:rPr>
          <w:rFonts w:ascii="Arial" w:eastAsia="Calibri" w:hAnsi="Arial" w:cs="Arial"/>
          <w:sz w:val="22"/>
          <w:lang w:val="es-CO"/>
        </w:rPr>
      </w:pPr>
    </w:p>
    <w:p w14:paraId="5E009FD7" w14:textId="47E5ACA6" w:rsidR="00E44A29" w:rsidRPr="009E1763" w:rsidRDefault="00E44A29" w:rsidP="00E44A29">
      <w:pPr>
        <w:spacing w:after="0"/>
        <w:ind w:right="51"/>
        <w:rPr>
          <w:rFonts w:ascii="Arial" w:eastAsia="Calibri" w:hAnsi="Arial" w:cs="Arial"/>
          <w:sz w:val="22"/>
          <w:lang w:val="es-CO"/>
        </w:rPr>
      </w:pPr>
      <w:r w:rsidRPr="009E1763">
        <w:rPr>
          <w:rFonts w:ascii="Arial" w:eastAsia="Calibri" w:hAnsi="Arial" w:cs="Arial"/>
          <w:sz w:val="22"/>
          <w:lang w:val="es-CO"/>
        </w:rPr>
        <w:t xml:space="preserve">En ejercicio de la competencia otorgada por el numeral 8 del artículo 11 y el numeral 5 del artículo 3 del Decreto Ley 4170 de 2011, la Agencia Nacional de Contratación Pública – Colombia Compra Eficiente responde la consulta radicada el 1 de </w:t>
      </w:r>
      <w:r w:rsidR="001F6187">
        <w:rPr>
          <w:rFonts w:ascii="Arial" w:eastAsia="Calibri" w:hAnsi="Arial" w:cs="Arial"/>
          <w:sz w:val="22"/>
          <w:lang w:val="es-CO"/>
        </w:rPr>
        <w:t>diciembre</w:t>
      </w:r>
      <w:r w:rsidRPr="009E1763">
        <w:rPr>
          <w:rFonts w:ascii="Arial" w:eastAsia="Calibri" w:hAnsi="Arial" w:cs="Arial"/>
          <w:sz w:val="22"/>
          <w:lang w:val="es-CO"/>
        </w:rPr>
        <w:t xml:space="preserve"> de 2022. </w:t>
      </w:r>
    </w:p>
    <w:p w14:paraId="5900E6B4" w14:textId="77777777" w:rsidR="00E44A29" w:rsidRPr="009E1763" w:rsidRDefault="00E44A29" w:rsidP="00E44A29">
      <w:pPr>
        <w:spacing w:after="0"/>
        <w:ind w:right="51"/>
        <w:rPr>
          <w:rFonts w:ascii="Arial" w:eastAsia="Calibri" w:hAnsi="Arial" w:cs="Arial"/>
          <w:sz w:val="22"/>
          <w:lang w:val="es-CO"/>
        </w:rPr>
      </w:pPr>
    </w:p>
    <w:p w14:paraId="129F5AF0" w14:textId="77777777" w:rsidR="00E44A29" w:rsidRPr="009E1763" w:rsidRDefault="00E44A29" w:rsidP="00E44A29">
      <w:pPr>
        <w:pStyle w:val="Prrafodelista"/>
        <w:numPr>
          <w:ilvl w:val="0"/>
          <w:numId w:val="1"/>
        </w:numPr>
        <w:tabs>
          <w:tab w:val="left" w:pos="284"/>
        </w:tabs>
        <w:ind w:left="426"/>
        <w:rPr>
          <w:rFonts w:ascii="Arial" w:eastAsia="Calibri" w:hAnsi="Arial" w:cs="Arial"/>
          <w:b/>
          <w:sz w:val="22"/>
        </w:rPr>
      </w:pPr>
      <w:r w:rsidRPr="009E1763">
        <w:rPr>
          <w:rFonts w:ascii="Arial" w:eastAsia="Calibri" w:hAnsi="Arial" w:cs="Arial"/>
          <w:b/>
          <w:sz w:val="22"/>
        </w:rPr>
        <w:t xml:space="preserve">Problema planteado </w:t>
      </w:r>
    </w:p>
    <w:p w14:paraId="067070F9" w14:textId="77777777" w:rsidR="00E44A29" w:rsidRPr="009E1763" w:rsidRDefault="00E44A29" w:rsidP="00E44A29">
      <w:pPr>
        <w:pStyle w:val="Prrafodelista"/>
        <w:tabs>
          <w:tab w:val="left" w:pos="284"/>
        </w:tabs>
        <w:rPr>
          <w:rFonts w:ascii="Arial" w:eastAsia="Calibri" w:hAnsi="Arial" w:cs="Arial"/>
          <w:b/>
          <w:sz w:val="22"/>
        </w:rPr>
      </w:pPr>
    </w:p>
    <w:p w14:paraId="22AAB462" w14:textId="77777777" w:rsidR="00E44A29" w:rsidRPr="009E1763" w:rsidRDefault="00E44A29" w:rsidP="00E44A29">
      <w:pPr>
        <w:pStyle w:val="NormalWeb"/>
        <w:spacing w:before="0" w:beforeAutospacing="0" w:after="0" w:afterAutospacing="0"/>
        <w:ind w:right="49"/>
        <w:rPr>
          <w:rFonts w:ascii="Arial" w:hAnsi="Arial" w:cs="Arial"/>
          <w:sz w:val="22"/>
          <w:szCs w:val="22"/>
        </w:rPr>
      </w:pPr>
      <w:bookmarkStart w:id="1" w:name="_Hlk103091300"/>
      <w:r w:rsidRPr="009E1763">
        <w:rPr>
          <w:rFonts w:ascii="Arial" w:hAnsi="Arial" w:cs="Arial"/>
          <w:sz w:val="22"/>
          <w:szCs w:val="22"/>
        </w:rPr>
        <w:t>Usted formula solicitud de consulta:</w:t>
      </w:r>
    </w:p>
    <w:p w14:paraId="09478A94" w14:textId="0B7ABA0D" w:rsidR="00E44A29" w:rsidRPr="00632DE2" w:rsidRDefault="00E44A29" w:rsidP="00E44A29">
      <w:pPr>
        <w:pStyle w:val="NormalWeb"/>
        <w:spacing w:after="0" w:line="240" w:lineRule="auto"/>
        <w:ind w:left="709" w:right="709"/>
        <w:rPr>
          <w:rFonts w:ascii="Arial" w:hAnsi="Arial" w:cs="Arial"/>
          <w:sz w:val="21"/>
          <w:szCs w:val="21"/>
        </w:rPr>
      </w:pPr>
      <w:r w:rsidRPr="00632DE2">
        <w:rPr>
          <w:rFonts w:ascii="Arial" w:hAnsi="Arial" w:cs="Arial"/>
          <w:sz w:val="21"/>
          <w:szCs w:val="21"/>
        </w:rPr>
        <w:t>«- ¿Cuál es la diferencia entre contrato y convenio interadministrativo?</w:t>
      </w:r>
    </w:p>
    <w:p w14:paraId="34A82E06" w14:textId="02F7B457" w:rsidR="00E44A29" w:rsidRPr="00632DE2" w:rsidRDefault="00E44A29" w:rsidP="00E44A29">
      <w:pPr>
        <w:pStyle w:val="NormalWeb"/>
        <w:spacing w:after="0" w:line="240" w:lineRule="auto"/>
        <w:ind w:left="709" w:right="709"/>
        <w:rPr>
          <w:rFonts w:ascii="Arial" w:hAnsi="Arial" w:cs="Arial"/>
          <w:sz w:val="21"/>
          <w:szCs w:val="21"/>
        </w:rPr>
      </w:pPr>
      <w:r w:rsidRPr="00632DE2">
        <w:rPr>
          <w:rFonts w:ascii="Arial" w:hAnsi="Arial" w:cs="Arial"/>
          <w:sz w:val="21"/>
          <w:szCs w:val="21"/>
        </w:rPr>
        <w:t>- ¿Cuál es la responsabilidad y deberes del supervisor del contrato interadministrativo, en caso que se ejecuten obras con los recursos del contrato?</w:t>
      </w:r>
    </w:p>
    <w:p w14:paraId="4BC843EC" w14:textId="430394E5" w:rsidR="00E44A29" w:rsidRPr="00632DE2" w:rsidRDefault="00E44A29" w:rsidP="00E44A29">
      <w:pPr>
        <w:pStyle w:val="NormalWeb"/>
        <w:spacing w:after="0" w:line="240" w:lineRule="auto"/>
        <w:ind w:left="709" w:right="709"/>
        <w:rPr>
          <w:rFonts w:ascii="Arial" w:hAnsi="Arial" w:cs="Arial"/>
          <w:sz w:val="21"/>
          <w:szCs w:val="21"/>
        </w:rPr>
      </w:pPr>
      <w:r w:rsidRPr="00632DE2">
        <w:rPr>
          <w:rFonts w:ascii="Arial" w:hAnsi="Arial" w:cs="Arial"/>
          <w:sz w:val="21"/>
          <w:szCs w:val="21"/>
        </w:rPr>
        <w:t>- ¿Cuál es la responsabilidad y deberes del supervisor designado para el convenio interadministrativo con respecto a los contratos de obra que se deriven de este?</w:t>
      </w:r>
    </w:p>
    <w:p w14:paraId="09D6E8B9" w14:textId="27B1AE15" w:rsidR="00E44A29" w:rsidRPr="009E1763" w:rsidRDefault="00E44A29" w:rsidP="00E44A29">
      <w:pPr>
        <w:pStyle w:val="NormalWeb"/>
        <w:spacing w:after="0" w:line="240" w:lineRule="auto"/>
        <w:ind w:left="709" w:right="709"/>
        <w:rPr>
          <w:rFonts w:ascii="Arial" w:hAnsi="Arial" w:cs="Arial"/>
          <w:sz w:val="21"/>
          <w:szCs w:val="21"/>
        </w:rPr>
      </w:pPr>
      <w:r w:rsidRPr="00632DE2">
        <w:rPr>
          <w:rFonts w:ascii="Arial" w:hAnsi="Arial" w:cs="Arial"/>
          <w:sz w:val="21"/>
          <w:szCs w:val="21"/>
        </w:rPr>
        <w:t>- ¿A parte de la interventoría y supervisión, la norma establece otras figuras para que las entidades públicas realicen control y seguimiento a lo contratado por estas?.»</w:t>
      </w:r>
      <w:bookmarkEnd w:id="1"/>
      <w:r w:rsidRPr="00632DE2">
        <w:rPr>
          <w:rFonts w:ascii="Arial" w:hAnsi="Arial" w:cs="Arial"/>
          <w:sz w:val="21"/>
          <w:szCs w:val="21"/>
        </w:rPr>
        <w:t>.</w:t>
      </w:r>
    </w:p>
    <w:p w14:paraId="14AAC1E0" w14:textId="77777777" w:rsidR="00E44A29" w:rsidRPr="009E1763" w:rsidRDefault="00E44A29" w:rsidP="00E44A29">
      <w:pPr>
        <w:pStyle w:val="NormalWeb"/>
        <w:spacing w:after="0" w:afterAutospacing="0" w:line="240" w:lineRule="auto"/>
        <w:ind w:right="709"/>
        <w:rPr>
          <w:rFonts w:ascii="Arial" w:eastAsia="Calibri" w:hAnsi="Arial" w:cs="Arial"/>
          <w:b/>
          <w:sz w:val="22"/>
        </w:rPr>
      </w:pPr>
      <w:r w:rsidRPr="009E1763">
        <w:rPr>
          <w:rFonts w:ascii="Arial" w:eastAsia="Calibri" w:hAnsi="Arial" w:cs="Arial"/>
          <w:b/>
          <w:sz w:val="22"/>
        </w:rPr>
        <w:t>2. Consideraciones</w:t>
      </w:r>
    </w:p>
    <w:p w14:paraId="75DC587B" w14:textId="77777777" w:rsidR="00E44A29" w:rsidRPr="009E1763" w:rsidRDefault="00E44A29" w:rsidP="00E44A29">
      <w:pPr>
        <w:spacing w:after="0"/>
        <w:rPr>
          <w:rFonts w:ascii="Arial" w:hAnsi="Arial" w:cs="Arial"/>
          <w:bCs/>
          <w:sz w:val="22"/>
        </w:rPr>
      </w:pPr>
      <w:bookmarkStart w:id="2" w:name="_Hlk96420298"/>
    </w:p>
    <w:p w14:paraId="213B6A09" w14:textId="77777777" w:rsidR="00E44A29" w:rsidRPr="009E1763" w:rsidRDefault="00E44A29" w:rsidP="00E44A29">
      <w:pPr>
        <w:spacing w:after="120"/>
        <w:rPr>
          <w:rFonts w:ascii="Arial" w:hAnsi="Arial" w:cs="Arial"/>
          <w:bCs/>
          <w:sz w:val="22"/>
        </w:rPr>
      </w:pPr>
      <w:r w:rsidRPr="009E1763">
        <w:rPr>
          <w:rFonts w:ascii="Arial" w:hAnsi="Arial" w:cs="Arial"/>
          <w:bCs/>
          <w:sz w:val="22"/>
        </w:rPr>
        <w:t xml:space="preserve">En ejercicio de las competencias establecidas en los artículos 3.5 y 11.8 del Decreto 4170 de 2011, la Agencia Nacional de Contratación Pública </w:t>
      </w:r>
      <w:bookmarkStart w:id="3" w:name="_Hlk99611965"/>
      <w:r w:rsidRPr="009E1763">
        <w:rPr>
          <w:rFonts w:ascii="Arial" w:hAnsi="Arial" w:cs="Arial"/>
          <w:bCs/>
          <w:sz w:val="22"/>
        </w:rPr>
        <w:t>–</w:t>
      </w:r>
      <w:bookmarkEnd w:id="3"/>
      <w:r w:rsidRPr="009E1763">
        <w:rPr>
          <w:rFonts w:ascii="Arial" w:hAnsi="Arial" w:cs="Arial"/>
          <w:bCs/>
          <w:sz w:val="22"/>
        </w:rPr>
        <w:t xml:space="preserve"> Colombia Compra Eficiente </w:t>
      </w:r>
      <w:r w:rsidRPr="009E1763">
        <w:rPr>
          <w:rFonts w:ascii="Arial" w:hAnsi="Arial" w:cs="Arial"/>
          <w:bCs/>
          <w:sz w:val="22"/>
        </w:rPr>
        <w:lastRenderedPageBreak/>
        <w:t xml:space="preserve">resuelve consultas sobre </w:t>
      </w:r>
      <w:bookmarkStart w:id="4" w:name="_Hlk61026958"/>
      <w:bookmarkStart w:id="5" w:name="_Hlk61701014"/>
      <w:bookmarkStart w:id="6" w:name="_Hlk62136649"/>
      <w:r w:rsidRPr="009E1763">
        <w:rPr>
          <w:rFonts w:ascii="Arial" w:hAnsi="Arial" w:cs="Arial"/>
          <w:sz w:val="22"/>
          <w:lang w:val="es-ES"/>
        </w:rPr>
        <w:t>la aplicación de normas de carácter general en materia de compras y contratación pública. En ese sentido, resolver casos particulares o conceptuar sobre el alcance de normas ajenas a la contratación estatal desborda las atribuciones asignadas por el legislador extraordinario, que no concibió a Colombia Compra Eficiente como una autoridad para solucionar problemas jurídicos particulares</w:t>
      </w:r>
      <w:r w:rsidRPr="009E1763">
        <w:rPr>
          <w:rFonts w:ascii="Arial" w:hAnsi="Arial" w:cs="Arial"/>
          <w:bCs/>
          <w:sz w:val="22"/>
        </w:rPr>
        <w:t xml:space="preserve"> de todos los partícipes de la contratación estatal ni para interpretar el alcance de cualquier norma vigente en el ordenamiento jurídico.</w:t>
      </w:r>
    </w:p>
    <w:p w14:paraId="7F5F9EC7" w14:textId="77777777" w:rsidR="00E44A29" w:rsidRPr="009E1763" w:rsidRDefault="00E44A29" w:rsidP="00E44A29">
      <w:pPr>
        <w:tabs>
          <w:tab w:val="left" w:pos="0"/>
        </w:tabs>
        <w:spacing w:before="120"/>
        <w:ind w:firstLine="709"/>
        <w:rPr>
          <w:rFonts w:ascii="Arial" w:eastAsia="Calibri" w:hAnsi="Arial" w:cs="Arial"/>
          <w:bCs/>
          <w:color w:val="000000"/>
          <w:sz w:val="22"/>
          <w:lang w:val="es-ES_tradnl"/>
        </w:rPr>
      </w:pPr>
      <w:r w:rsidRPr="009E1763">
        <w:rPr>
          <w:rFonts w:ascii="Arial" w:eastAsia="Calibri" w:hAnsi="Arial" w:cs="Arial"/>
          <w:bCs/>
          <w:color w:val="000000"/>
          <w:sz w:val="22"/>
          <w:lang w:val="es-ES_tradnl"/>
        </w:rPr>
        <w:t xml:space="preserve">La Agencia Nacional de Contratación Pública – Colombia Compra Eficiente, en los conceptos con radicado No. 4201912000007298 de 23 de octubre de 2019, 4201913000006294 del 16 de septiembre de 2019, C–062 del 25 de marzo de 2020, C–100 del 27 de marzo de 2020, </w:t>
      </w:r>
      <w:r w:rsidRPr="009E1763">
        <w:rPr>
          <w:rFonts w:ascii="Arial" w:eastAsia="Calibri" w:hAnsi="Arial" w:cs="Arial"/>
          <w:bCs/>
          <w:color w:val="000000"/>
          <w:sz w:val="22"/>
          <w:lang w:val="es-ES"/>
        </w:rPr>
        <w:t>C–063 del 10 de marzo de 2021</w:t>
      </w:r>
      <w:r w:rsidRPr="009E1763">
        <w:rPr>
          <w:rFonts w:ascii="Arial" w:eastAsia="Calibri" w:hAnsi="Arial" w:cs="Arial"/>
          <w:bCs/>
          <w:color w:val="000000"/>
          <w:sz w:val="22"/>
        </w:rPr>
        <w:t>, C-073 del 16 de marzo de 2021 y C-625 del 22 de noviembre de 2021, estudió temas relacionados con la adición de los contratos estatales. También por medio de los conceptos</w:t>
      </w:r>
      <w:r w:rsidRPr="009E1763">
        <w:rPr>
          <w:rFonts w:ascii="Arial" w:eastAsia="Calibri" w:hAnsi="Arial" w:cs="Arial"/>
          <w:bCs/>
          <w:color w:val="000000"/>
          <w:sz w:val="22"/>
          <w:lang w:val="es-ES_tradnl"/>
        </w:rPr>
        <w:t xml:space="preserve"> No. </w:t>
      </w:r>
      <w:r w:rsidRPr="009E1763">
        <w:rPr>
          <w:rFonts w:ascii="Arial" w:eastAsia="Calibri" w:hAnsi="Arial" w:cs="Arial"/>
          <w:bCs/>
          <w:color w:val="000000"/>
          <w:sz w:val="22"/>
        </w:rPr>
        <w:t>4201913000004536 del 27 de julio de 2019, C−023 del 3 de febrero de 2020, C−702 del 11 de diciembre de 2020, C-097 de 23 de marzo de 202, C-350 del 16 de julio de 2021, C-352 del 27 de julio de 2021, C-508 del 20 de septiembre de 2021, C-625 del 22 de noviembre de 2021, entre otros, analizó las figuras del contrato y el convenio interadministrativo</w:t>
      </w:r>
      <w:r w:rsidRPr="009E1763">
        <w:rPr>
          <w:rFonts w:ascii="Arial" w:eastAsia="Calibri" w:hAnsi="Arial" w:cs="Arial"/>
          <w:bCs/>
          <w:color w:val="000000"/>
          <w:sz w:val="22"/>
          <w:lang w:val="es-ES_tradnl"/>
        </w:rPr>
        <w:t xml:space="preserve">. La tesis desarrollada se reitera a continuación y se complementa en lo pertinente. </w:t>
      </w:r>
    </w:p>
    <w:bookmarkEnd w:id="2"/>
    <w:bookmarkEnd w:id="4"/>
    <w:bookmarkEnd w:id="5"/>
    <w:bookmarkEnd w:id="6"/>
    <w:p w14:paraId="63653E42" w14:textId="77777777" w:rsidR="005A53C5" w:rsidRPr="00632DE2" w:rsidRDefault="005A53C5" w:rsidP="005A53C5">
      <w:pPr>
        <w:spacing w:after="0"/>
        <w:ind w:firstLine="709"/>
        <w:rPr>
          <w:rFonts w:ascii="Arial" w:eastAsia="Calibri" w:hAnsi="Arial" w:cs="Arial"/>
          <w:color w:val="000000" w:themeColor="text1"/>
          <w:sz w:val="22"/>
        </w:rPr>
      </w:pPr>
      <w:r w:rsidRPr="009E1763">
        <w:rPr>
          <w:rFonts w:ascii="Arial" w:eastAsia="Calibri" w:hAnsi="Arial" w:cs="Arial"/>
          <w:color w:val="000000" w:themeColor="text1"/>
          <w:sz w:val="22"/>
        </w:rPr>
        <w:t xml:space="preserve">Sin perjuicio de lo anterior, la Agencia –dentro de los límites de sus atribuciones, esto es, haciendo abstracción del caso particular expuesto–, resolverá la consulta conforme a las normas generales en materia de contratación estatal. Para responder sus interrogantes, se analizarán los siguientes temas: i) Contratos y convenios interadministrativos. Concepto y régimen jurídico; ii) Diferencias entre contratos y convenios interadministrativos; iii) Régimen jurídico </w:t>
      </w:r>
      <w:r>
        <w:rPr>
          <w:rFonts w:ascii="Arial" w:eastAsia="Calibri" w:hAnsi="Arial" w:cs="Arial"/>
          <w:color w:val="000000" w:themeColor="text1"/>
          <w:sz w:val="22"/>
        </w:rPr>
        <w:t>de la supervisión de contratos estatales.</w:t>
      </w:r>
    </w:p>
    <w:p w14:paraId="57C848B9" w14:textId="77777777" w:rsidR="00E44A29" w:rsidRPr="009E1763" w:rsidRDefault="00E44A29" w:rsidP="00E44A29">
      <w:pPr>
        <w:tabs>
          <w:tab w:val="left" w:pos="0"/>
        </w:tabs>
        <w:spacing w:after="0"/>
        <w:rPr>
          <w:rFonts w:ascii="Arial" w:eastAsia="Calibri" w:hAnsi="Arial" w:cs="Arial"/>
          <w:bCs/>
          <w:sz w:val="22"/>
        </w:rPr>
      </w:pPr>
    </w:p>
    <w:p w14:paraId="399ABA99" w14:textId="77777777" w:rsidR="00E44A29" w:rsidRPr="009E1763" w:rsidRDefault="00E44A29" w:rsidP="00E44A29">
      <w:pPr>
        <w:tabs>
          <w:tab w:val="left" w:pos="0"/>
        </w:tabs>
        <w:spacing w:after="0"/>
        <w:rPr>
          <w:rFonts w:ascii="Arial" w:eastAsia="Calibri" w:hAnsi="Arial" w:cs="Arial"/>
          <w:b/>
          <w:bCs/>
          <w:color w:val="000000"/>
          <w:sz w:val="22"/>
          <w:szCs w:val="24"/>
          <w:lang w:val="es-ES_tradnl" w:eastAsia="es-ES_tradnl" w:bidi="es-ES"/>
        </w:rPr>
      </w:pPr>
      <w:r w:rsidRPr="009E1763">
        <w:rPr>
          <w:rFonts w:ascii="Arial" w:eastAsia="Calibri" w:hAnsi="Arial" w:cs="Arial"/>
          <w:b/>
          <w:sz w:val="22"/>
        </w:rPr>
        <w:t>2.</w:t>
      </w:r>
      <w:r w:rsidRPr="009E1763">
        <w:rPr>
          <w:rFonts w:ascii="Arial" w:eastAsia="Calibri" w:hAnsi="Arial" w:cs="Arial"/>
          <w:b/>
          <w:bCs/>
          <w:color w:val="000000"/>
          <w:sz w:val="22"/>
          <w:szCs w:val="24"/>
          <w:lang w:val="pt-BR" w:eastAsia="es-ES_tradnl" w:bidi="es-ES"/>
        </w:rPr>
        <w:t>1</w:t>
      </w:r>
      <w:r w:rsidRPr="009E1763">
        <w:rPr>
          <w:rFonts w:ascii="Arial" w:eastAsia="Calibri" w:hAnsi="Arial" w:cs="Arial"/>
          <w:b/>
          <w:bCs/>
          <w:color w:val="000000"/>
          <w:sz w:val="22"/>
          <w:szCs w:val="24"/>
          <w:lang w:val="es-ES" w:eastAsia="es-ES_tradnl" w:bidi="es-ES"/>
        </w:rPr>
        <w:t xml:space="preserve">. </w:t>
      </w:r>
      <w:r w:rsidRPr="009E1763">
        <w:rPr>
          <w:rFonts w:ascii="Arial" w:eastAsia="Calibri" w:hAnsi="Arial" w:cs="Arial"/>
          <w:b/>
          <w:bCs/>
          <w:color w:val="000000"/>
          <w:sz w:val="22"/>
          <w:szCs w:val="24"/>
          <w:lang w:val="es-ES_tradnl" w:eastAsia="es-ES_tradnl" w:bidi="es-ES"/>
        </w:rPr>
        <w:t xml:space="preserve">Contratos y convenios interadministrativos. Concepto y régimen jurídico </w:t>
      </w:r>
    </w:p>
    <w:p w14:paraId="7FF54DCE" w14:textId="77777777" w:rsidR="00E44A29" w:rsidRPr="009E1763" w:rsidRDefault="00E44A29" w:rsidP="00E44A29">
      <w:pPr>
        <w:contextualSpacing/>
        <w:rPr>
          <w:rFonts w:ascii="Arial" w:eastAsia="Calibri" w:hAnsi="Arial" w:cs="Arial"/>
          <w:bCs/>
          <w:color w:val="000000"/>
          <w:sz w:val="22"/>
          <w:szCs w:val="24"/>
          <w:lang w:val="es-ES_tradnl" w:eastAsia="es-ES_tradnl" w:bidi="es-ES"/>
        </w:rPr>
      </w:pPr>
    </w:p>
    <w:p w14:paraId="00B6C9F5" w14:textId="77777777" w:rsidR="00E44A29" w:rsidRPr="009E1763" w:rsidRDefault="00E44A29" w:rsidP="00E44A2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 xml:space="preserve">Los procedimientos contractuales mediante los cuales las entidades ejecutan recursos públicos y satisfacen el interés general se rigen por la normativa de contratación pública ―Ley 80 de 1993, Ley 1150 de 2007 y Decreto 1082 de 2015―, que contiene los principios, reglas y procedimientos que rigen los contratos de las entidades estatales. Específicamente, el Estatuto General de Contratación de la Administración Pública ―Ley 80 de 1993― se aplica a las entidades estatales relacionadas en el artículo 2 y demás normas que lo complementan, con lo cual se puede determinar quiénes deben cumplir los principios y obligaciones señalados en las normas citadas. </w:t>
      </w:r>
    </w:p>
    <w:p w14:paraId="7F6E61B0" w14:textId="77777777" w:rsidR="00E44A29" w:rsidRPr="009E1763" w:rsidRDefault="00E44A29" w:rsidP="00E44A29">
      <w:pPr>
        <w:ind w:firstLine="708"/>
        <w:contextualSpacing/>
        <w:rPr>
          <w:rFonts w:ascii="Arial" w:eastAsia="Calibri" w:hAnsi="Arial" w:cs="Arial"/>
          <w:bCs/>
          <w:color w:val="000000"/>
          <w:sz w:val="22"/>
          <w:szCs w:val="24"/>
          <w:lang w:val="es-ES" w:eastAsia="es-ES_tradnl" w:bidi="es-ES"/>
        </w:rPr>
      </w:pPr>
    </w:p>
    <w:p w14:paraId="48A6AB27" w14:textId="77777777" w:rsidR="00E44A29" w:rsidRPr="009E1763" w:rsidRDefault="00E44A29" w:rsidP="00E44A2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 xml:space="preserve">Sobre la tipología de contrato interadministrativo, cabe señalar que fue creado en la Ley 80 de 1993. Aunque no lo definió ni desarrolló, el Decreto 1082 de 2015, «Por medio del cual se expide el Decreto único reglamentario del sector administrativo de planeación </w:t>
      </w:r>
      <w:r w:rsidRPr="009E1763">
        <w:rPr>
          <w:rFonts w:ascii="Arial" w:eastAsia="Calibri" w:hAnsi="Arial" w:cs="Arial"/>
          <w:bCs/>
          <w:color w:val="000000"/>
          <w:sz w:val="22"/>
          <w:szCs w:val="24"/>
          <w:lang w:val="es-ES" w:eastAsia="es-ES_tradnl" w:bidi="es-ES"/>
        </w:rPr>
        <w:lastRenderedPageBreak/>
        <w:t>nacional», califica a los convenios o contratos interadministrativos como aquellos negocios celebrados entre entidades estatales</w:t>
      </w:r>
      <w:r w:rsidRPr="009E1763">
        <w:rPr>
          <w:rFonts w:ascii="Arial" w:eastAsia="Calibri" w:hAnsi="Arial" w:cs="Arial"/>
          <w:bCs/>
          <w:color w:val="000000"/>
          <w:sz w:val="22"/>
          <w:szCs w:val="24"/>
          <w:vertAlign w:val="superscript"/>
          <w:lang w:val="es-ES" w:eastAsia="es-ES_tradnl" w:bidi="es-ES"/>
        </w:rPr>
        <w:footnoteReference w:id="1"/>
      </w:r>
      <w:r w:rsidRPr="009E1763">
        <w:rPr>
          <w:rFonts w:ascii="Arial" w:eastAsia="Calibri" w:hAnsi="Arial" w:cs="Arial"/>
          <w:bCs/>
          <w:color w:val="000000"/>
          <w:sz w:val="22"/>
          <w:szCs w:val="24"/>
          <w:lang w:val="es-ES" w:eastAsia="es-ES_tradnl" w:bidi="es-ES"/>
        </w:rPr>
        <w:t>.</w:t>
      </w:r>
    </w:p>
    <w:p w14:paraId="3D00D31B" w14:textId="77777777" w:rsidR="00E44A29" w:rsidRPr="009E1763" w:rsidRDefault="00E44A29" w:rsidP="00E44A29">
      <w:pPr>
        <w:ind w:firstLine="708"/>
        <w:contextualSpacing/>
        <w:rPr>
          <w:rFonts w:ascii="Arial" w:eastAsia="Calibri" w:hAnsi="Arial" w:cs="Arial"/>
          <w:bCs/>
          <w:color w:val="000000"/>
          <w:sz w:val="22"/>
          <w:szCs w:val="24"/>
          <w:lang w:val="es-ES" w:eastAsia="es-ES_tradnl" w:bidi="es-ES"/>
        </w:rPr>
      </w:pPr>
    </w:p>
    <w:p w14:paraId="63AF87C7" w14:textId="77777777" w:rsidR="00E44A29" w:rsidRPr="009E1763" w:rsidRDefault="00E44A29" w:rsidP="00E44A2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 xml:space="preserve">Importante </w:t>
      </w:r>
      <w:proofErr w:type="gramStart"/>
      <w:r w:rsidRPr="009E1763">
        <w:rPr>
          <w:rFonts w:ascii="Arial" w:eastAsia="Calibri" w:hAnsi="Arial" w:cs="Arial"/>
          <w:bCs/>
          <w:color w:val="000000"/>
          <w:sz w:val="22"/>
          <w:szCs w:val="24"/>
          <w:lang w:val="es-ES" w:eastAsia="es-ES_tradnl" w:bidi="es-ES"/>
        </w:rPr>
        <w:t>mencionar</w:t>
      </w:r>
      <w:proofErr w:type="gramEnd"/>
      <w:r w:rsidRPr="009E1763">
        <w:rPr>
          <w:rFonts w:ascii="Arial" w:eastAsia="Calibri" w:hAnsi="Arial" w:cs="Arial"/>
          <w:bCs/>
          <w:color w:val="000000"/>
          <w:sz w:val="22"/>
          <w:szCs w:val="24"/>
          <w:lang w:val="es-ES" w:eastAsia="es-ES_tradnl" w:bidi="es-ES"/>
        </w:rPr>
        <w:t xml:space="preserve"> que esta disposición no diferencia el contrato del convenio interadministrativo, y los define como el acuerdo donde concurre la voluntad de dos o más entidades de naturaleza jurídica pública con la finalidad de cumplir, en el marco de sus objetivos misionales y sus competencias, con los fines del Estado. En otras palabras, se entiende que los contratos y convenios interadministrativos nominados en la Ley 80 de 1993 están determinados por un criterio orgánico, pues es necesario que los extremos de la relación contractual sean entidades estatales.</w:t>
      </w:r>
    </w:p>
    <w:p w14:paraId="5FF8B662" w14:textId="77777777" w:rsidR="00E44A29" w:rsidRPr="009E1763" w:rsidRDefault="00E44A29" w:rsidP="00E44A29">
      <w:pPr>
        <w:ind w:firstLine="708"/>
        <w:contextualSpacing/>
        <w:rPr>
          <w:rFonts w:ascii="Arial" w:eastAsia="Calibri" w:hAnsi="Arial" w:cs="Arial"/>
          <w:bCs/>
          <w:color w:val="000000"/>
          <w:sz w:val="22"/>
          <w:szCs w:val="24"/>
          <w:lang w:val="es-ES" w:eastAsia="es-ES_tradnl" w:bidi="es-ES"/>
        </w:rPr>
      </w:pPr>
    </w:p>
    <w:p w14:paraId="6379A651" w14:textId="77777777" w:rsidR="00E44A29" w:rsidRPr="009E1763" w:rsidRDefault="00E44A29" w:rsidP="00E44A2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El Consejo de Estado define los convenios interadministrativos de la siguiente manera:</w:t>
      </w:r>
    </w:p>
    <w:p w14:paraId="4CEE4DA9" w14:textId="77777777" w:rsidR="00E44A29" w:rsidRPr="009E1763" w:rsidRDefault="00E44A29" w:rsidP="00E44A29">
      <w:pPr>
        <w:ind w:firstLine="708"/>
        <w:contextualSpacing/>
        <w:rPr>
          <w:rFonts w:ascii="Arial" w:eastAsia="Calibri" w:hAnsi="Arial" w:cs="Arial"/>
          <w:bCs/>
          <w:color w:val="000000"/>
          <w:sz w:val="22"/>
          <w:szCs w:val="24"/>
          <w:lang w:val="es-ES" w:eastAsia="es-ES_tradnl" w:bidi="es-ES"/>
        </w:rPr>
      </w:pPr>
    </w:p>
    <w:p w14:paraId="6D263D3C" w14:textId="1512A20E" w:rsidR="00E44A29" w:rsidRPr="00632DE2" w:rsidRDefault="00632DE2" w:rsidP="00632DE2">
      <w:pPr>
        <w:spacing w:line="240" w:lineRule="auto"/>
        <w:ind w:left="708" w:right="709"/>
        <w:contextualSpacing/>
        <w:rPr>
          <w:rFonts w:ascii="Arial" w:eastAsia="Calibri" w:hAnsi="Arial" w:cs="Arial"/>
          <w:bCs/>
          <w:color w:val="000000"/>
          <w:sz w:val="21"/>
          <w:lang w:val="es-ES" w:eastAsia="es-ES_tradnl" w:bidi="es-ES"/>
        </w:rPr>
      </w:pPr>
      <w:r>
        <w:rPr>
          <w:rFonts w:ascii="Arial" w:eastAsia="Calibri" w:hAnsi="Arial" w:cs="Arial"/>
          <w:bCs/>
          <w:color w:val="000000"/>
          <w:sz w:val="21"/>
          <w:lang w:val="es-ES" w:eastAsia="es-ES_tradnl" w:bidi="es-ES"/>
        </w:rPr>
        <w:t>[A]</w:t>
      </w:r>
      <w:proofErr w:type="spellStart"/>
      <w:r w:rsidR="00E44A29" w:rsidRPr="00632DE2">
        <w:rPr>
          <w:rFonts w:ascii="Arial" w:eastAsia="Calibri" w:hAnsi="Arial" w:cs="Arial"/>
          <w:bCs/>
          <w:color w:val="000000"/>
          <w:sz w:val="21"/>
          <w:lang w:val="es-ES" w:eastAsia="es-ES_tradnl" w:bidi="es-ES"/>
        </w:rPr>
        <w:t>quellos</w:t>
      </w:r>
      <w:proofErr w:type="spellEnd"/>
      <w:r w:rsidR="00E44A29" w:rsidRPr="00632DE2">
        <w:rPr>
          <w:rFonts w:ascii="Arial" w:eastAsia="Calibri" w:hAnsi="Arial" w:cs="Arial"/>
          <w:bCs/>
          <w:color w:val="000000"/>
          <w:sz w:val="21"/>
          <w:lang w:val="es-ES" w:eastAsia="es-ES_tradnl" w:bidi="es-ES"/>
        </w:rPr>
        <w:t xml:space="preserve"> acuerdos de voluntades celebrados por la entidad con personas de derecho público, que tienen por objeto el cumplimiento de las obligaciones constitucionales, legales y reglamentarias de la entidad, para el logro de objetivos comunes. Los Convenios pueden no tener un contenido patrimonial, en términos generales y en ellos no se persigue un interés puramente económico. Con ellos se busca primordialmente cumplir con objetivos de carácter general, ya sean estos sociales, culturales o de colaboración estratégica.»</w:t>
      </w:r>
      <w:r w:rsidR="00E44A29" w:rsidRPr="00632DE2">
        <w:rPr>
          <w:rFonts w:ascii="Arial" w:eastAsia="Calibri" w:hAnsi="Arial" w:cs="Arial"/>
          <w:bCs/>
          <w:color w:val="000000"/>
          <w:sz w:val="21"/>
          <w:vertAlign w:val="superscript"/>
          <w:lang w:val="es-ES" w:eastAsia="es-ES_tradnl" w:bidi="es-ES"/>
        </w:rPr>
        <w:footnoteReference w:id="2"/>
      </w:r>
    </w:p>
    <w:p w14:paraId="6F0815C3" w14:textId="77777777" w:rsidR="00E44A29" w:rsidRPr="00632DE2" w:rsidRDefault="00E44A29" w:rsidP="00632DE2">
      <w:pPr>
        <w:spacing w:line="240" w:lineRule="auto"/>
        <w:contextualSpacing/>
        <w:rPr>
          <w:rFonts w:ascii="Arial" w:eastAsia="Calibri" w:hAnsi="Arial" w:cs="Arial"/>
          <w:bCs/>
          <w:color w:val="000000"/>
          <w:sz w:val="21"/>
          <w:lang w:val="es-ES" w:eastAsia="es-ES_tradnl" w:bidi="es-ES"/>
        </w:rPr>
      </w:pPr>
    </w:p>
    <w:p w14:paraId="2437DA7E" w14:textId="77777777" w:rsidR="00E44A29" w:rsidRPr="00632DE2" w:rsidRDefault="00E44A29" w:rsidP="00632DE2">
      <w:pPr>
        <w:spacing w:line="240" w:lineRule="auto"/>
        <w:ind w:firstLine="708"/>
        <w:contextualSpacing/>
        <w:rPr>
          <w:rFonts w:ascii="Arial" w:eastAsia="Calibri" w:hAnsi="Arial" w:cs="Arial"/>
          <w:bCs/>
          <w:color w:val="000000"/>
          <w:sz w:val="21"/>
          <w:lang w:val="es-CO" w:eastAsia="es-ES_tradnl" w:bidi="es-ES"/>
        </w:rPr>
      </w:pPr>
      <w:r w:rsidRPr="00632DE2">
        <w:rPr>
          <w:rFonts w:ascii="Arial" w:eastAsia="Calibri" w:hAnsi="Arial" w:cs="Arial"/>
          <w:bCs/>
          <w:color w:val="000000"/>
          <w:sz w:val="21"/>
          <w:lang w:val="es-CO" w:eastAsia="es-ES_tradnl" w:bidi="es-ES"/>
        </w:rPr>
        <w:t>Por su parte, define el contrato administrativo como:</w:t>
      </w:r>
    </w:p>
    <w:p w14:paraId="0DC5E8F8" w14:textId="77777777" w:rsidR="00E44A29" w:rsidRPr="00632DE2" w:rsidRDefault="00E44A29" w:rsidP="00632DE2">
      <w:pPr>
        <w:spacing w:line="240" w:lineRule="auto"/>
        <w:contextualSpacing/>
        <w:rPr>
          <w:rFonts w:ascii="Arial" w:eastAsia="Calibri" w:hAnsi="Arial" w:cs="Arial"/>
          <w:bCs/>
          <w:color w:val="000000"/>
          <w:sz w:val="21"/>
          <w:lang w:val="es-CO" w:eastAsia="es-ES_tradnl" w:bidi="es-ES"/>
        </w:rPr>
      </w:pPr>
    </w:p>
    <w:p w14:paraId="7C8739B9" w14:textId="0B379230" w:rsidR="00E44A29" w:rsidRPr="00632DE2" w:rsidRDefault="00E44A29" w:rsidP="00632DE2">
      <w:pPr>
        <w:spacing w:line="240" w:lineRule="auto"/>
        <w:ind w:left="708" w:right="709"/>
        <w:contextualSpacing/>
        <w:rPr>
          <w:rFonts w:ascii="Arial" w:eastAsia="Calibri" w:hAnsi="Arial" w:cs="Arial"/>
          <w:bCs/>
          <w:color w:val="000000"/>
          <w:sz w:val="21"/>
          <w:lang w:val="es-ES" w:eastAsia="es-ES_tradnl" w:bidi="es-ES"/>
        </w:rPr>
      </w:pPr>
      <w:r w:rsidRPr="00632DE2">
        <w:rPr>
          <w:rFonts w:ascii="Arial" w:eastAsia="Calibri" w:hAnsi="Arial" w:cs="Arial"/>
          <w:bCs/>
          <w:color w:val="000000"/>
          <w:sz w:val="21"/>
          <w:lang w:val="es-ES" w:eastAsia="es-ES_tradnl" w:bidi="es-ES"/>
        </w:rPr>
        <w:t>«</w:t>
      </w:r>
      <w:r w:rsidRPr="00632DE2">
        <w:rPr>
          <w:rFonts w:ascii="Arial" w:eastAsia="Calibri" w:hAnsi="Arial" w:cs="Arial"/>
          <w:bCs/>
          <w:color w:val="000000"/>
          <w:sz w:val="21"/>
          <w:lang w:val="es-CO" w:eastAsia="es-ES_tradnl" w:bidi="es-ES"/>
        </w:rPr>
        <w:t>aquel negocio jurídico celebrado entre dos entidades públicas, mediante el cual una de las dos partes se obliga para con la otra a una prestación (suministro de un bien, realización de una obra o prestación de un servicio), por la que, una vez cumplida, obtendrá una remuneración o precio.</w:t>
      </w:r>
      <w:r w:rsidRPr="00632DE2">
        <w:rPr>
          <w:rFonts w:ascii="Arial" w:eastAsia="Calibri" w:hAnsi="Arial" w:cs="Arial"/>
          <w:bCs/>
          <w:color w:val="000000"/>
          <w:sz w:val="21"/>
          <w:vertAlign w:val="superscript"/>
          <w:lang w:val="es-ES" w:eastAsia="es-ES_tradnl" w:bidi="es-ES"/>
        </w:rPr>
        <w:footnoteReference w:id="3"/>
      </w:r>
    </w:p>
    <w:p w14:paraId="6ABE60EC" w14:textId="77777777" w:rsidR="00E44A29" w:rsidRPr="009E1763" w:rsidRDefault="00E44A29" w:rsidP="00E44A29">
      <w:pPr>
        <w:contextualSpacing/>
        <w:rPr>
          <w:rFonts w:ascii="Arial" w:eastAsia="Calibri" w:hAnsi="Arial" w:cs="Arial"/>
          <w:bCs/>
          <w:color w:val="000000"/>
          <w:sz w:val="22"/>
          <w:szCs w:val="24"/>
          <w:lang w:val="es-CO" w:eastAsia="es-ES_tradnl" w:bidi="es-ES"/>
        </w:rPr>
      </w:pPr>
    </w:p>
    <w:p w14:paraId="24991B2C" w14:textId="77777777" w:rsidR="00E44A29" w:rsidRPr="009E1763" w:rsidRDefault="00E44A29" w:rsidP="00E44A29">
      <w:pPr>
        <w:ind w:firstLine="708"/>
        <w:contextualSpacing/>
        <w:rPr>
          <w:rFonts w:ascii="Arial" w:eastAsia="Calibri" w:hAnsi="Arial" w:cs="Arial"/>
          <w:bCs/>
          <w:color w:val="000000"/>
          <w:sz w:val="22"/>
          <w:szCs w:val="24"/>
          <w:lang w:val="es-ES_tradnl" w:eastAsia="es-ES_tradnl" w:bidi="es-ES"/>
        </w:rPr>
      </w:pPr>
      <w:r w:rsidRPr="009E1763">
        <w:rPr>
          <w:rFonts w:ascii="Arial" w:eastAsia="Calibri" w:hAnsi="Arial" w:cs="Arial"/>
          <w:bCs/>
          <w:color w:val="000000"/>
          <w:sz w:val="22"/>
          <w:szCs w:val="24"/>
          <w:lang w:val="es-ES" w:eastAsia="es-ES_tradnl" w:bidi="es-ES"/>
        </w:rPr>
        <w:t xml:space="preserve">Si bien los contratos y convenios interadministrativos están previstos en la Ley 80 de 1993, en la Ley 1150 de 2007 y en el Decreto en el 1082 de 2015, no quiere decir que solo puedan celebrarse entre entidades estatales que apliquen el régimen de contratación previsto en esa normatividad. En efecto, bien puede una entidad estatal sometida a la Ley 80 de 1993 celebrar esta clase de convenios con una entidad estatal de régimen especial </w:t>
      </w:r>
      <w:r w:rsidRPr="009E1763">
        <w:rPr>
          <w:rFonts w:ascii="Arial" w:eastAsia="Calibri" w:hAnsi="Arial" w:cs="Arial"/>
          <w:bCs/>
          <w:color w:val="000000"/>
          <w:sz w:val="22"/>
          <w:szCs w:val="24"/>
          <w:lang w:val="es-ES" w:eastAsia="es-ES_tradnl" w:bidi="es-ES"/>
        </w:rPr>
        <w:lastRenderedPageBreak/>
        <w:t xml:space="preserve">y no por ello dejará de ser un contrato o convenio interadministrativo. </w:t>
      </w:r>
      <w:r w:rsidRPr="009E1763">
        <w:rPr>
          <w:rFonts w:ascii="Arial" w:eastAsia="Calibri" w:hAnsi="Arial" w:cs="Arial"/>
          <w:bCs/>
          <w:color w:val="000000"/>
          <w:sz w:val="22"/>
          <w:szCs w:val="24"/>
          <w:lang w:val="es-ES_tradnl" w:eastAsia="es-ES_tradnl" w:bidi="es-ES"/>
        </w:rPr>
        <w:t>Caso en el cual su ejecución se regirá por el Estatuto General de Contratación de la Administración Pública, si la entidad contratante se encuentra sometida a este.</w:t>
      </w:r>
    </w:p>
    <w:p w14:paraId="20B42DDE" w14:textId="77777777" w:rsidR="00E44A29" w:rsidRPr="009E1763" w:rsidRDefault="00E44A29" w:rsidP="00E44A29">
      <w:pPr>
        <w:ind w:firstLine="708"/>
        <w:contextualSpacing/>
        <w:rPr>
          <w:rFonts w:ascii="Arial" w:eastAsia="Calibri" w:hAnsi="Arial" w:cs="Arial"/>
          <w:bCs/>
          <w:color w:val="000000"/>
          <w:sz w:val="22"/>
          <w:szCs w:val="24"/>
          <w:lang w:val="es-ES" w:eastAsia="es-ES_tradnl" w:bidi="es-ES"/>
        </w:rPr>
      </w:pPr>
    </w:p>
    <w:p w14:paraId="3B50710B" w14:textId="77777777" w:rsidR="00E44A29" w:rsidRPr="009E1763" w:rsidRDefault="00E44A29" w:rsidP="00E44A2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Además, es necesario tener en cuenta que para que un contrato y convenio interadministrativo exista debe cumplir con los siguientes elementos: acuerdo sobre el objeto y la contraprestación y que conste por escrito</w:t>
      </w:r>
      <w:r w:rsidRPr="009E1763">
        <w:rPr>
          <w:rFonts w:ascii="Arial" w:eastAsia="Calibri" w:hAnsi="Arial" w:cs="Arial"/>
          <w:bCs/>
          <w:color w:val="000000"/>
          <w:sz w:val="22"/>
          <w:szCs w:val="24"/>
          <w:vertAlign w:val="superscript"/>
          <w:lang w:val="es-ES" w:eastAsia="es-ES_tradnl" w:bidi="es-ES"/>
        </w:rPr>
        <w:footnoteReference w:id="4"/>
      </w:r>
      <w:r w:rsidRPr="009E1763">
        <w:rPr>
          <w:rFonts w:ascii="Arial" w:eastAsia="Calibri" w:hAnsi="Arial" w:cs="Arial"/>
          <w:bCs/>
          <w:color w:val="000000"/>
          <w:sz w:val="22"/>
          <w:szCs w:val="24"/>
          <w:lang w:val="es-ES" w:eastAsia="es-ES_tradnl" w:bidi="es-ES"/>
        </w:rPr>
        <w:t>. Así,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r w:rsidRPr="009E1763">
        <w:rPr>
          <w:rFonts w:ascii="Arial" w:eastAsia="Calibri" w:hAnsi="Arial" w:cs="Arial"/>
          <w:bCs/>
          <w:color w:val="000000"/>
          <w:sz w:val="22"/>
          <w:szCs w:val="24"/>
          <w:vertAlign w:val="superscript"/>
          <w:lang w:val="es-ES" w:eastAsia="es-ES_tradnl" w:bidi="es-ES"/>
        </w:rPr>
        <w:footnoteReference w:id="5"/>
      </w:r>
      <w:r w:rsidRPr="009E1763">
        <w:rPr>
          <w:rFonts w:ascii="Arial" w:eastAsia="Calibri" w:hAnsi="Arial" w:cs="Arial"/>
          <w:bCs/>
          <w:color w:val="000000"/>
          <w:sz w:val="22"/>
          <w:szCs w:val="24"/>
          <w:lang w:val="es-ES" w:eastAsia="es-ES_tradnl" w:bidi="es-ES"/>
        </w:rPr>
        <w:t>.</w:t>
      </w:r>
    </w:p>
    <w:p w14:paraId="180D9335" w14:textId="77777777" w:rsidR="00E44A29" w:rsidRPr="009E1763" w:rsidRDefault="00E44A29" w:rsidP="00E44A29">
      <w:pPr>
        <w:ind w:firstLine="708"/>
        <w:contextualSpacing/>
        <w:rPr>
          <w:rFonts w:ascii="Arial" w:eastAsia="Calibri" w:hAnsi="Arial" w:cs="Arial"/>
          <w:bCs/>
          <w:color w:val="000000"/>
          <w:sz w:val="22"/>
          <w:szCs w:val="24"/>
          <w:lang w:val="es-ES" w:eastAsia="es-ES_tradnl" w:bidi="es-ES"/>
        </w:rPr>
      </w:pPr>
    </w:p>
    <w:p w14:paraId="5BD5146C" w14:textId="77777777" w:rsidR="00E44A29" w:rsidRPr="009E1763" w:rsidRDefault="00E44A29" w:rsidP="00E44A2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 xml:space="preserve">En ese sentido, los contratos y convenios interadministrativos se caracterizan por los sujetos que intervienen y por la modalidad de selección que la ley permite aplicar para su celebración, ya que </w:t>
      </w:r>
      <w:r w:rsidRPr="009E1763">
        <w:rPr>
          <w:rFonts w:ascii="Arial" w:eastAsia="Calibri" w:hAnsi="Arial" w:cs="Arial"/>
          <w:bCs/>
          <w:color w:val="000000"/>
          <w:sz w:val="22"/>
          <w:szCs w:val="24"/>
          <w:lang w:val="es-CO" w:eastAsia="es-ES_tradnl" w:bidi="es-ES"/>
        </w:rPr>
        <w:t>el Estatuto General de Contratación de la Administración Pública establece la contratación directa como la modalidad de selección aplicable, por regla general. Lo cual</w:t>
      </w:r>
      <w:r w:rsidRPr="009E1763">
        <w:rPr>
          <w:rFonts w:ascii="Arial" w:eastAsia="Calibri" w:hAnsi="Arial" w:cs="Arial"/>
          <w:bCs/>
          <w:color w:val="000000"/>
          <w:sz w:val="22"/>
          <w:szCs w:val="24"/>
          <w:lang w:val="es-ES" w:eastAsia="es-ES_tradnl" w:bidi="es-ES"/>
        </w:rPr>
        <w:t xml:space="preserve"> comporta un grado de excepcionalidad frente a las tipologías contractuales, donde los sujetos no están restringidos a una cualificación particular y aplican otras modalidades de selección. </w:t>
      </w:r>
      <w:r w:rsidRPr="009E1763">
        <w:rPr>
          <w:rFonts w:ascii="Arial" w:eastAsia="Calibri" w:hAnsi="Arial" w:cs="Arial"/>
          <w:bCs/>
          <w:color w:val="000000"/>
          <w:sz w:val="22"/>
          <w:szCs w:val="24"/>
          <w:lang w:val="es-ES_tradnl" w:eastAsia="es-ES_tradnl" w:bidi="es-ES"/>
        </w:rPr>
        <w:t>Adicionalmente, el Consejo de Estado ha indicado, frente al convenio interadministrativo y sus características, que:</w:t>
      </w:r>
    </w:p>
    <w:p w14:paraId="187D479B" w14:textId="77777777" w:rsidR="00E44A29" w:rsidRPr="009E1763" w:rsidRDefault="00E44A29" w:rsidP="00E44A29">
      <w:pPr>
        <w:contextualSpacing/>
        <w:rPr>
          <w:rFonts w:ascii="Arial" w:eastAsia="Calibri" w:hAnsi="Arial" w:cs="Arial"/>
          <w:bCs/>
          <w:color w:val="000000"/>
          <w:sz w:val="22"/>
          <w:szCs w:val="24"/>
          <w:lang w:val="es-ES_tradnl" w:eastAsia="es-ES_tradnl" w:bidi="es-ES"/>
        </w:rPr>
      </w:pPr>
    </w:p>
    <w:p w14:paraId="1930CD05" w14:textId="40B86407" w:rsidR="00E44A29" w:rsidRPr="00632DE2" w:rsidRDefault="00E44A29" w:rsidP="00632DE2">
      <w:pPr>
        <w:spacing w:line="240" w:lineRule="auto"/>
        <w:ind w:left="708" w:right="709"/>
        <w:contextualSpacing/>
        <w:rPr>
          <w:rFonts w:ascii="Arial" w:eastAsia="Calibri" w:hAnsi="Arial" w:cs="Arial"/>
          <w:bCs/>
          <w:color w:val="000000"/>
          <w:sz w:val="21"/>
          <w:lang w:val="es-ES_tradnl" w:eastAsia="es-ES_tradnl" w:bidi="es-ES"/>
        </w:rPr>
      </w:pPr>
      <w:r w:rsidRPr="00632DE2">
        <w:rPr>
          <w:rFonts w:ascii="Arial" w:eastAsia="Calibri" w:hAnsi="Arial" w:cs="Arial"/>
          <w:bCs/>
          <w:color w:val="000000"/>
          <w:sz w:val="21"/>
          <w:lang w:val="es-ES_tradnl" w:eastAsia="es-ES_tradnl" w:bidi="es-ES"/>
        </w:rPr>
        <w:t>[…] se puede señalar que los convenios o contratos interadministrativos tienen como características principales las siguientes:</w:t>
      </w:r>
    </w:p>
    <w:p w14:paraId="0035E5C7" w14:textId="7CE22879" w:rsidR="00E44A29" w:rsidRPr="00632DE2" w:rsidRDefault="00E44A29" w:rsidP="00632DE2">
      <w:pPr>
        <w:spacing w:line="240" w:lineRule="auto"/>
        <w:ind w:left="708" w:right="709"/>
        <w:contextualSpacing/>
        <w:rPr>
          <w:rFonts w:ascii="Arial" w:eastAsia="Calibri" w:hAnsi="Arial" w:cs="Arial"/>
          <w:bCs/>
          <w:color w:val="000000"/>
          <w:sz w:val="21"/>
          <w:lang w:val="es-ES_tradnl" w:eastAsia="es-ES_tradnl" w:bidi="es-ES"/>
        </w:rPr>
      </w:pPr>
      <w:r w:rsidRPr="00632DE2">
        <w:rPr>
          <w:rFonts w:ascii="Arial" w:eastAsia="Calibri" w:hAnsi="Arial" w:cs="Arial"/>
          <w:bCs/>
          <w:color w:val="000000"/>
          <w:sz w:val="21"/>
          <w:lang w:val="es-ES_tradnl" w:eastAsia="es-ES_tradnl" w:bidi="es-ES"/>
        </w:rPr>
        <w:t>(i) constituyen verdaderos contratos en los términos del Código de Comercio cuando su objeto lo constituyen obligaciones patrimoniales; (</w:t>
      </w:r>
      <w:proofErr w:type="spellStart"/>
      <w:r w:rsidRPr="00632DE2">
        <w:rPr>
          <w:rFonts w:ascii="Arial" w:eastAsia="Calibri" w:hAnsi="Arial" w:cs="Arial"/>
          <w:bCs/>
          <w:color w:val="000000"/>
          <w:sz w:val="21"/>
          <w:lang w:val="es-ES_tradnl" w:eastAsia="es-ES_tradnl" w:bidi="es-ES"/>
        </w:rPr>
        <w:t>ii</w:t>
      </w:r>
      <w:proofErr w:type="spellEnd"/>
      <w:r w:rsidRPr="00632DE2">
        <w:rPr>
          <w:rFonts w:ascii="Arial" w:eastAsia="Calibri" w:hAnsi="Arial" w:cs="Arial"/>
          <w:bCs/>
          <w:color w:val="000000"/>
          <w:sz w:val="21"/>
          <w:lang w:val="es-ES_tradnl" w:eastAsia="es-ES_tradnl" w:bidi="es-ES"/>
        </w:rPr>
        <w:t>) tienen como fuente la autonomía contractual; (</w:t>
      </w:r>
      <w:proofErr w:type="spellStart"/>
      <w:r w:rsidRPr="00632DE2">
        <w:rPr>
          <w:rFonts w:ascii="Arial" w:eastAsia="Calibri" w:hAnsi="Arial" w:cs="Arial"/>
          <w:bCs/>
          <w:color w:val="000000"/>
          <w:sz w:val="21"/>
          <w:lang w:val="es-ES_tradnl" w:eastAsia="es-ES_tradnl" w:bidi="es-ES"/>
        </w:rPr>
        <w:t>iii</w:t>
      </w:r>
      <w:proofErr w:type="spellEnd"/>
      <w:r w:rsidRPr="00632DE2">
        <w:rPr>
          <w:rFonts w:ascii="Arial" w:eastAsia="Calibri" w:hAnsi="Arial" w:cs="Arial"/>
          <w:bCs/>
          <w:color w:val="000000"/>
          <w:sz w:val="21"/>
          <w:lang w:val="es-ES_tradnl" w:eastAsia="es-ES_tradnl" w:bidi="es-ES"/>
        </w:rPr>
        <w:t>) son contratos nominados puesto que están mencionados en la ley; (</w:t>
      </w:r>
      <w:proofErr w:type="spellStart"/>
      <w:r w:rsidRPr="00632DE2">
        <w:rPr>
          <w:rFonts w:ascii="Arial" w:eastAsia="Calibri" w:hAnsi="Arial" w:cs="Arial"/>
          <w:bCs/>
          <w:color w:val="000000"/>
          <w:sz w:val="21"/>
          <w:lang w:val="es-ES_tradnl" w:eastAsia="es-ES_tradnl" w:bidi="es-ES"/>
        </w:rPr>
        <w:t>iv</w:t>
      </w:r>
      <w:proofErr w:type="spellEnd"/>
      <w:r w:rsidRPr="00632DE2">
        <w:rPr>
          <w:rFonts w:ascii="Arial" w:eastAsia="Calibri" w:hAnsi="Arial" w:cs="Arial"/>
          <w:bCs/>
          <w:color w:val="000000"/>
          <w:sz w:val="21"/>
          <w:lang w:val="es-ES_tradnl" w:eastAsia="es-ES_tradnl" w:bidi="es-ES"/>
        </w:rPr>
        <w:t>)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w:t>
      </w:r>
      <w:proofErr w:type="spellStart"/>
      <w:r w:rsidRPr="00632DE2">
        <w:rPr>
          <w:rFonts w:ascii="Arial" w:eastAsia="Calibri" w:hAnsi="Arial" w:cs="Arial"/>
          <w:bCs/>
          <w:color w:val="000000"/>
          <w:sz w:val="21"/>
          <w:lang w:val="es-ES_tradnl" w:eastAsia="es-ES_tradnl" w:bidi="es-ES"/>
        </w:rPr>
        <w:t>vii</w:t>
      </w:r>
      <w:proofErr w:type="spellEnd"/>
      <w:r w:rsidRPr="00632DE2">
        <w:rPr>
          <w:rFonts w:ascii="Arial" w:eastAsia="Calibri" w:hAnsi="Arial" w:cs="Arial"/>
          <w:bCs/>
          <w:color w:val="000000"/>
          <w:sz w:val="21"/>
          <w:lang w:val="es-ES_tradnl" w:eastAsia="es-ES_tradnl" w:bidi="es-ES"/>
        </w:rPr>
        <w:t>) persiguen una finalidad común a través de la realización de intereses compartidos entre las entidades vinculadas; (</w:t>
      </w:r>
      <w:proofErr w:type="spellStart"/>
      <w:r w:rsidRPr="00632DE2">
        <w:rPr>
          <w:rFonts w:ascii="Arial" w:eastAsia="Calibri" w:hAnsi="Arial" w:cs="Arial"/>
          <w:bCs/>
          <w:color w:val="000000"/>
          <w:sz w:val="21"/>
          <w:lang w:val="es-ES_tradnl" w:eastAsia="es-ES_tradnl" w:bidi="es-ES"/>
        </w:rPr>
        <w:t>viii</w:t>
      </w:r>
      <w:proofErr w:type="spellEnd"/>
      <w:r w:rsidRPr="00632DE2">
        <w:rPr>
          <w:rFonts w:ascii="Arial" w:eastAsia="Calibri" w:hAnsi="Arial" w:cs="Arial"/>
          <w:bCs/>
          <w:color w:val="000000"/>
          <w:sz w:val="21"/>
          <w:lang w:val="es-ES_tradnl" w:eastAsia="es-ES_tradnl" w:bidi="es-ES"/>
        </w:rPr>
        <w:t>) la acción mediante la cual se deben ventilar las diferencias que sobre el particular surjan es la de controversias contractuales</w:t>
      </w:r>
      <w:r w:rsidRPr="00632DE2">
        <w:rPr>
          <w:rFonts w:ascii="Arial" w:eastAsia="Calibri" w:hAnsi="Arial" w:cs="Arial"/>
          <w:bCs/>
          <w:color w:val="000000"/>
          <w:sz w:val="21"/>
          <w:vertAlign w:val="superscript"/>
          <w:lang w:val="es-ES_tradnl" w:eastAsia="es-ES_tradnl" w:bidi="es-ES"/>
        </w:rPr>
        <w:footnoteReference w:id="6"/>
      </w:r>
      <w:r w:rsidRPr="00632DE2">
        <w:rPr>
          <w:rFonts w:ascii="Arial" w:eastAsia="Calibri" w:hAnsi="Arial" w:cs="Arial"/>
          <w:bCs/>
          <w:color w:val="000000"/>
          <w:sz w:val="21"/>
          <w:lang w:val="es-ES_tradnl" w:eastAsia="es-ES_tradnl" w:bidi="es-ES"/>
        </w:rPr>
        <w:t>.</w:t>
      </w:r>
    </w:p>
    <w:p w14:paraId="2EBCB62C" w14:textId="77777777" w:rsidR="00E44A29" w:rsidRPr="009E1763" w:rsidRDefault="00E44A29" w:rsidP="00E44A29">
      <w:pPr>
        <w:contextualSpacing/>
        <w:rPr>
          <w:rFonts w:ascii="Arial" w:eastAsia="Calibri" w:hAnsi="Arial" w:cs="Arial"/>
          <w:bCs/>
          <w:color w:val="000000"/>
          <w:sz w:val="22"/>
          <w:szCs w:val="24"/>
          <w:lang w:val="es-ES_tradnl" w:eastAsia="es-ES_tradnl" w:bidi="es-ES"/>
        </w:rPr>
      </w:pPr>
    </w:p>
    <w:p w14:paraId="18A57647" w14:textId="77777777" w:rsidR="00E44A29" w:rsidRPr="009E1763" w:rsidRDefault="00E44A29" w:rsidP="00E44A29">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Así las cosas,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posible que se celebren contratos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 sino, entre otras cosas, de la calidad de las partes que lo suscriben, es decir, debe tratarse de entidades estatales.</w:t>
      </w:r>
    </w:p>
    <w:p w14:paraId="1EB73DD0" w14:textId="77777777" w:rsidR="00E44A29" w:rsidRPr="009E1763" w:rsidRDefault="00E44A29" w:rsidP="00E44A29">
      <w:pPr>
        <w:ind w:firstLine="708"/>
        <w:contextualSpacing/>
        <w:rPr>
          <w:rFonts w:ascii="Arial" w:eastAsia="Calibri" w:hAnsi="Arial" w:cs="Arial"/>
          <w:bCs/>
          <w:color w:val="000000"/>
          <w:sz w:val="22"/>
          <w:szCs w:val="24"/>
          <w:lang w:val="es-CO" w:eastAsia="es-ES_tradnl" w:bidi="es-ES"/>
        </w:rPr>
      </w:pPr>
    </w:p>
    <w:p w14:paraId="76CB1AFE" w14:textId="77777777" w:rsidR="00E44A29" w:rsidRPr="009E1763" w:rsidRDefault="00E44A29" w:rsidP="00E44A29">
      <w:pPr>
        <w:contextualSpacing/>
        <w:rPr>
          <w:rFonts w:ascii="Arial" w:eastAsia="Calibri" w:hAnsi="Arial" w:cs="Arial"/>
          <w:b/>
          <w:bCs/>
          <w:color w:val="000000"/>
          <w:sz w:val="22"/>
          <w:szCs w:val="24"/>
          <w:lang w:val="es-ES" w:eastAsia="es-ES_tradnl" w:bidi="es-ES"/>
        </w:rPr>
      </w:pPr>
      <w:r w:rsidRPr="009E1763">
        <w:rPr>
          <w:rFonts w:ascii="Arial" w:eastAsia="Calibri" w:hAnsi="Arial" w:cs="Arial"/>
          <w:b/>
          <w:bCs/>
          <w:color w:val="000000"/>
          <w:sz w:val="22"/>
          <w:szCs w:val="24"/>
          <w:lang w:val="es-ES" w:eastAsia="es-ES_tradnl" w:bidi="es-ES"/>
        </w:rPr>
        <w:t>2.2. Diferencias entre contratos y convenios interadministrativos</w:t>
      </w:r>
    </w:p>
    <w:p w14:paraId="68D77895" w14:textId="77777777" w:rsidR="00E44A29" w:rsidRPr="009E1763" w:rsidRDefault="00E44A29" w:rsidP="00E44A29">
      <w:pPr>
        <w:contextualSpacing/>
        <w:rPr>
          <w:rFonts w:ascii="Arial" w:eastAsia="Calibri" w:hAnsi="Arial" w:cs="Arial"/>
          <w:b/>
          <w:bCs/>
          <w:color w:val="000000"/>
          <w:sz w:val="22"/>
          <w:szCs w:val="24"/>
          <w:lang w:val="es-ES" w:eastAsia="es-ES_tradnl" w:bidi="es-ES"/>
        </w:rPr>
      </w:pPr>
    </w:p>
    <w:p w14:paraId="2D39E524" w14:textId="77777777" w:rsidR="00E44A29" w:rsidRPr="009E1763" w:rsidRDefault="00E44A29" w:rsidP="00E44A29">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Actualmente la normativa en la materia no establece mayor diferenciación entre estas dos figuras jurídicas. El Estatuto General de Contratación de la Administración Pública hace referencia de manera expresa al contrato interadministrativo o, en términos generales, a los interadministrativos y no al convenio. No obstante, las entidades del Estado, en el marco de la Ley 80 de 1993, pueden acordar entre sí diferentes tipos de obligaciones, siempre que su objeto de creación les permita cumplirlas, con el objetivo común de materializar los fines del Estado. Por este motivo, puede entenderse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w:t>
      </w:r>
    </w:p>
    <w:p w14:paraId="211856F8" w14:textId="77777777" w:rsidR="00E44A29" w:rsidRPr="009E1763" w:rsidRDefault="00E44A29" w:rsidP="00E44A29">
      <w:pPr>
        <w:ind w:firstLine="708"/>
        <w:contextualSpacing/>
        <w:rPr>
          <w:rFonts w:ascii="Arial" w:eastAsia="Calibri" w:hAnsi="Arial" w:cs="Arial"/>
          <w:bCs/>
          <w:color w:val="000000"/>
          <w:sz w:val="22"/>
          <w:szCs w:val="24"/>
          <w:lang w:val="es-CO" w:eastAsia="es-ES_tradnl" w:bidi="es-ES"/>
        </w:rPr>
      </w:pPr>
    </w:p>
    <w:p w14:paraId="3DCD271C" w14:textId="77777777" w:rsidR="00E44A29" w:rsidRPr="009E1763" w:rsidRDefault="00E44A29" w:rsidP="00E44A29">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Por su parte, el Decreto 1082 de 2015 dispone que los convenios o contratos interadministrativos, así denominados en su artículo 2.2.1.2.1.4.4, se contratan directamente, por lo que no hay lugar a dudas que representan lo mismo en la medida en que concurran entidades estatales en el acuerdo de voluntades. Así sucede también al dar aplicación al derecho privado y a la definición contenida en el Código Civil respecto de cada una de estas figuras.</w:t>
      </w:r>
    </w:p>
    <w:p w14:paraId="02622DCC" w14:textId="77777777" w:rsidR="00E44A29" w:rsidRPr="009E1763" w:rsidRDefault="00E44A29" w:rsidP="00E44A29">
      <w:pPr>
        <w:ind w:firstLine="708"/>
        <w:contextualSpacing/>
        <w:rPr>
          <w:rFonts w:ascii="Arial" w:eastAsia="Calibri" w:hAnsi="Arial" w:cs="Arial"/>
          <w:bCs/>
          <w:color w:val="000000"/>
          <w:sz w:val="22"/>
          <w:szCs w:val="24"/>
          <w:lang w:val="es-CO" w:eastAsia="es-ES_tradnl" w:bidi="es-ES"/>
        </w:rPr>
      </w:pPr>
    </w:p>
    <w:p w14:paraId="0B83AFAC" w14:textId="77777777" w:rsidR="00E44A29" w:rsidRPr="009E1763" w:rsidRDefault="00E44A29" w:rsidP="00E44A29">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 xml:space="preserve">Por tanto, aunque el artículo 95 de la Ley 489 de 1998 dispone que «Las entidades públicas podrán asociarse con el fin de cooperar en el cumplimiento de funciones administrativas o de prestar conjuntamente servicios que se hallen a su cargo, mediante la celebración de convenios interadministrativos […]», esto no significa que dichos acuerdos estén exceptuados del Estatuto General de Contratación de la Administración Pública por no tener carácter contractual. Por ello, la jurisprudencia considera que «Estos convenios cuentan con las características propias de los contratos, cuando su objeto lo constituyen </w:t>
      </w:r>
      <w:r w:rsidRPr="009E1763">
        <w:rPr>
          <w:rFonts w:ascii="Arial" w:eastAsia="Calibri" w:hAnsi="Arial" w:cs="Arial"/>
          <w:bCs/>
          <w:color w:val="000000"/>
          <w:sz w:val="22"/>
          <w:szCs w:val="24"/>
          <w:lang w:val="es-CO" w:eastAsia="es-ES_tradnl" w:bidi="es-ES"/>
        </w:rPr>
        <w:lastRenderedPageBreak/>
        <w:t>obligaciones patrimoniales, y las entidades estatales que los conforman están sujetas tanto a la normativa contractual pública, como a las normas del derecho civil […]»</w:t>
      </w:r>
      <w:r w:rsidRPr="009E1763">
        <w:rPr>
          <w:rFonts w:ascii="Arial" w:eastAsia="Calibri" w:hAnsi="Arial" w:cs="Arial"/>
          <w:bCs/>
          <w:color w:val="000000"/>
          <w:sz w:val="22"/>
          <w:szCs w:val="24"/>
          <w:vertAlign w:val="superscript"/>
          <w:lang w:val="es-CO" w:eastAsia="es-ES_tradnl" w:bidi="es-ES"/>
        </w:rPr>
        <w:footnoteReference w:id="7"/>
      </w:r>
      <w:r w:rsidRPr="009E1763">
        <w:rPr>
          <w:rFonts w:ascii="Arial" w:eastAsia="Calibri" w:hAnsi="Arial" w:cs="Arial"/>
          <w:bCs/>
          <w:color w:val="000000"/>
          <w:sz w:val="22"/>
          <w:szCs w:val="24"/>
          <w:lang w:val="es-CO" w:eastAsia="es-ES_tradnl" w:bidi="es-ES"/>
        </w:rPr>
        <w:t>.</w:t>
      </w:r>
    </w:p>
    <w:p w14:paraId="55F714AE" w14:textId="77777777" w:rsidR="00E44A29" w:rsidRPr="009E1763" w:rsidRDefault="00E44A29" w:rsidP="00E44A29">
      <w:pPr>
        <w:ind w:firstLine="708"/>
        <w:contextualSpacing/>
        <w:rPr>
          <w:rFonts w:ascii="Arial" w:eastAsia="Calibri" w:hAnsi="Arial" w:cs="Arial"/>
          <w:bCs/>
          <w:color w:val="000000"/>
          <w:sz w:val="22"/>
          <w:szCs w:val="24"/>
          <w:lang w:val="es-CO" w:eastAsia="es-ES_tradnl" w:bidi="es-ES"/>
        </w:rPr>
      </w:pPr>
    </w:p>
    <w:p w14:paraId="02E134B7" w14:textId="77777777" w:rsidR="00E44A29" w:rsidRPr="009E1763" w:rsidRDefault="00E44A29" w:rsidP="00E44A29">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Sin perjuicio de lo anterior, vale la pena tener en cuenta que cierto sector de la doctrina y la jurisprudencia ha resaltado algunas diferencias entre los contratos interadministrativos y los convenios interadministrativos de que trata el artículo 95 de la Ley 489 de 1998. Por ejemplo, el Consejo de Estado en sentencia del 14 de junio de 2019 expresó:</w:t>
      </w:r>
    </w:p>
    <w:p w14:paraId="14B00F0C" w14:textId="77777777" w:rsidR="00E44A29" w:rsidRPr="009E1763" w:rsidRDefault="00E44A29" w:rsidP="00E44A29">
      <w:pPr>
        <w:contextualSpacing/>
        <w:rPr>
          <w:rFonts w:ascii="Arial" w:eastAsia="Calibri" w:hAnsi="Arial" w:cs="Arial"/>
          <w:bCs/>
          <w:color w:val="000000"/>
          <w:sz w:val="22"/>
          <w:szCs w:val="24"/>
          <w:lang w:val="es-CO" w:eastAsia="es-ES_tradnl" w:bidi="es-ES"/>
        </w:rPr>
      </w:pPr>
    </w:p>
    <w:p w14:paraId="413E0C8A" w14:textId="21276B3E" w:rsidR="00E44A29" w:rsidRPr="00BA22AC" w:rsidRDefault="00E44A29" w:rsidP="00BA22AC">
      <w:pPr>
        <w:spacing w:line="240" w:lineRule="auto"/>
        <w:ind w:left="708" w:right="709"/>
        <w:contextualSpacing/>
        <w:rPr>
          <w:rFonts w:ascii="Arial" w:eastAsia="Calibri" w:hAnsi="Arial" w:cs="Arial"/>
          <w:bCs/>
          <w:color w:val="000000"/>
          <w:sz w:val="21"/>
          <w:lang w:val="es-ES_tradnl" w:eastAsia="es-ES_tradnl" w:bidi="es-ES"/>
        </w:rPr>
      </w:pPr>
      <w:r w:rsidRPr="00BA22AC">
        <w:rPr>
          <w:rFonts w:ascii="Arial" w:eastAsia="Calibri" w:hAnsi="Arial" w:cs="Arial"/>
          <w:bCs/>
          <w:color w:val="000000"/>
          <w:sz w:val="21"/>
          <w:lang w:val="es-ES_tradnl" w:eastAsia="es-ES_tradnl" w:bidi="es-ES"/>
        </w:rPr>
        <w:t>La Sala de Consulta y Servicio Civil</w:t>
      </w:r>
      <w:r w:rsidRPr="00BA22AC">
        <w:rPr>
          <w:rFonts w:ascii="Arial" w:eastAsia="Calibri" w:hAnsi="Arial" w:cs="Arial"/>
          <w:bCs/>
          <w:color w:val="000000"/>
          <w:sz w:val="21"/>
          <w:vertAlign w:val="superscript"/>
          <w:lang w:val="es-ES_tradnl" w:eastAsia="es-ES_tradnl" w:bidi="es-ES"/>
        </w:rPr>
        <w:footnoteReference w:id="8"/>
      </w:r>
      <w:r w:rsidRPr="00BA22AC">
        <w:rPr>
          <w:rFonts w:ascii="Arial" w:eastAsia="Calibri" w:hAnsi="Arial" w:cs="Arial"/>
          <w:bCs/>
          <w:color w:val="000000"/>
          <w:sz w:val="21"/>
          <w:lang w:val="es-ES_tradnl" w:eastAsia="es-ES_tradnl" w:bidi="es-ES"/>
        </w:rPr>
        <w:t xml:space="preserve"> de esta Corporación se ha referido a los </w:t>
      </w:r>
      <w:r w:rsidRPr="00BA22AC">
        <w:rPr>
          <w:rFonts w:ascii="Arial" w:eastAsia="Calibri" w:hAnsi="Arial" w:cs="Arial"/>
          <w:bCs/>
          <w:i/>
          <w:color w:val="000000"/>
          <w:sz w:val="21"/>
          <w:lang w:val="es-ES_tradnl" w:eastAsia="es-ES_tradnl" w:bidi="es-ES"/>
        </w:rPr>
        <w:t>“convenios interadministrativos”</w:t>
      </w:r>
      <w:r w:rsidRPr="00BA22AC">
        <w:rPr>
          <w:rFonts w:ascii="Arial" w:eastAsia="Calibri" w:hAnsi="Arial" w:cs="Arial"/>
          <w:bCs/>
          <w:color w:val="000000"/>
          <w:sz w:val="21"/>
          <w:lang w:val="es-ES_tradnl" w:eastAsia="es-ES_tradnl" w:bidi="es-ES"/>
        </w:rPr>
        <w:t xml:space="preserve"> a los cuales alude el artículo 95 de la Ley 489 de 1998, calificándolos de </w:t>
      </w:r>
      <w:r w:rsidRPr="00BA22AC">
        <w:rPr>
          <w:rFonts w:ascii="Arial" w:eastAsia="Calibri" w:hAnsi="Arial" w:cs="Arial"/>
          <w:bCs/>
          <w:i/>
          <w:color w:val="000000"/>
          <w:sz w:val="21"/>
          <w:lang w:val="es-ES_tradnl" w:eastAsia="es-ES_tradnl" w:bidi="es-ES"/>
        </w:rPr>
        <w:t xml:space="preserve">“puros” </w:t>
      </w:r>
      <w:r w:rsidRPr="00BA22AC">
        <w:rPr>
          <w:rFonts w:ascii="Arial" w:eastAsia="Calibri" w:hAnsi="Arial" w:cs="Arial"/>
          <w:bCs/>
          <w:color w:val="000000"/>
          <w:sz w:val="21"/>
          <w:lang w:val="es-ES_tradnl" w:eastAsia="es-ES_tradnl" w:bidi="es-ES"/>
        </w:rPr>
        <w:t xml:space="preserve">y entendiendo que estos, además de perseguir la finalidad de cooperación antes indicada, no implican intereses contrapuestos ni tampoco se circunscriben a un </w:t>
      </w:r>
      <w:r w:rsidRPr="00BA22AC">
        <w:rPr>
          <w:rFonts w:ascii="Arial" w:eastAsia="Calibri" w:hAnsi="Arial" w:cs="Arial"/>
          <w:bCs/>
          <w:i/>
          <w:color w:val="000000"/>
          <w:sz w:val="21"/>
          <w:lang w:val="es-ES_tradnl" w:eastAsia="es-ES_tradnl" w:bidi="es-ES"/>
        </w:rPr>
        <w:t>“intercambio patrimonial”</w:t>
      </w:r>
      <w:r w:rsidRPr="00BA22AC">
        <w:rPr>
          <w:rFonts w:ascii="Arial" w:eastAsia="Calibri" w:hAnsi="Arial" w:cs="Arial"/>
          <w:bCs/>
          <w:color w:val="000000"/>
          <w:sz w:val="21"/>
          <w:lang w:val="es-ES_tradnl" w:eastAsia="es-ES_tradnl" w:bidi="es-ES"/>
        </w:rPr>
        <w:t>. Sin perjuicio de lo anterior, en otra oportunidad, la misma Sala</w:t>
      </w:r>
      <w:r w:rsidRPr="00BA22AC">
        <w:rPr>
          <w:rFonts w:ascii="Arial" w:eastAsia="Calibri" w:hAnsi="Arial" w:cs="Arial"/>
          <w:bCs/>
          <w:color w:val="000000"/>
          <w:sz w:val="21"/>
          <w:vertAlign w:val="superscript"/>
          <w:lang w:val="es-ES_tradnl" w:eastAsia="es-ES_tradnl" w:bidi="es-ES"/>
        </w:rPr>
        <w:footnoteReference w:id="9"/>
      </w:r>
      <w:r w:rsidRPr="00BA22AC">
        <w:rPr>
          <w:rFonts w:ascii="Arial" w:eastAsia="Calibri" w:hAnsi="Arial" w:cs="Arial"/>
          <w:bCs/>
          <w:color w:val="000000"/>
          <w:sz w:val="21"/>
          <w:lang w:val="es-ES_tradnl" w:eastAsia="es-ES_tradnl" w:bidi="es-ES"/>
        </w:rPr>
        <w:t xml:space="preserve"> había indicado que, si bien en dichos convenios no se daba un </w:t>
      </w:r>
      <w:r w:rsidRPr="00BA22AC">
        <w:rPr>
          <w:rFonts w:ascii="Arial" w:eastAsia="Calibri" w:hAnsi="Arial" w:cs="Arial"/>
          <w:bCs/>
          <w:i/>
          <w:color w:val="000000"/>
          <w:sz w:val="21"/>
          <w:lang w:val="es-ES_tradnl" w:eastAsia="es-ES_tradnl" w:bidi="es-ES"/>
        </w:rPr>
        <w:t>“verdadero intercambio de bienes o servicios (contrato conmutativo)”</w:t>
      </w:r>
      <w:r w:rsidRPr="00BA22AC">
        <w:rPr>
          <w:rFonts w:ascii="Arial" w:eastAsia="Calibri" w:hAnsi="Arial" w:cs="Arial"/>
          <w:bCs/>
          <w:color w:val="000000"/>
          <w:sz w:val="21"/>
          <w:lang w:val="es-ES_tradnl" w:eastAsia="es-ES_tradnl" w:bidi="es-ES"/>
        </w:rPr>
        <w:t>, ello no impedía que se conviniera una remuneración a cargo de alguna(s) entidad(es).</w:t>
      </w:r>
    </w:p>
    <w:p w14:paraId="0473D810" w14:textId="77777777" w:rsidR="00E44A29" w:rsidRPr="00BA22AC" w:rsidRDefault="00E44A29" w:rsidP="00BA22AC">
      <w:pPr>
        <w:spacing w:line="240" w:lineRule="auto"/>
        <w:ind w:left="708" w:right="709" w:firstLine="708"/>
        <w:contextualSpacing/>
        <w:rPr>
          <w:rFonts w:ascii="Arial" w:eastAsia="Calibri" w:hAnsi="Arial" w:cs="Arial"/>
          <w:bCs/>
          <w:color w:val="000000"/>
          <w:sz w:val="21"/>
          <w:lang w:val="es-ES_tradnl" w:eastAsia="es-ES_tradnl" w:bidi="es-ES"/>
        </w:rPr>
      </w:pPr>
    </w:p>
    <w:p w14:paraId="6B348DB0" w14:textId="4C5A5695" w:rsidR="00E44A29" w:rsidRPr="00BA22AC" w:rsidRDefault="00E44A29" w:rsidP="00BA22AC">
      <w:pPr>
        <w:spacing w:line="240" w:lineRule="auto"/>
        <w:ind w:left="708" w:right="709"/>
        <w:contextualSpacing/>
        <w:rPr>
          <w:rFonts w:ascii="Arial" w:eastAsia="Calibri" w:hAnsi="Arial" w:cs="Arial"/>
          <w:bCs/>
          <w:color w:val="000000"/>
          <w:sz w:val="21"/>
          <w:lang w:val="es-CO" w:eastAsia="es-ES_tradnl" w:bidi="es-ES"/>
        </w:rPr>
      </w:pPr>
      <w:r w:rsidRPr="00BA22AC">
        <w:rPr>
          <w:rFonts w:ascii="Arial" w:eastAsia="Calibri" w:hAnsi="Arial" w:cs="Arial"/>
          <w:bCs/>
          <w:color w:val="000000"/>
          <w:sz w:val="21"/>
          <w:lang w:val="es-ES_tradnl" w:eastAsia="es-ES_tradnl" w:bidi="es-ES"/>
        </w:rPr>
        <w:t xml:space="preserve">Lo expuesto evidencia que, en general, las interpretaciones en torno a los </w:t>
      </w:r>
      <w:r w:rsidRPr="00BA22AC">
        <w:rPr>
          <w:rFonts w:ascii="Arial" w:eastAsia="Calibri" w:hAnsi="Arial" w:cs="Arial"/>
          <w:bCs/>
          <w:i/>
          <w:color w:val="000000"/>
          <w:sz w:val="21"/>
          <w:lang w:val="es-ES_tradnl" w:eastAsia="es-ES_tradnl" w:bidi="es-ES"/>
        </w:rPr>
        <w:t>“convenios interadministrativos”</w:t>
      </w:r>
      <w:r w:rsidRPr="00BA22AC">
        <w:rPr>
          <w:rFonts w:ascii="Arial" w:eastAsia="Calibri" w:hAnsi="Arial" w:cs="Arial"/>
          <w:bCs/>
          <w:color w:val="000000"/>
          <w:sz w:val="21"/>
          <w:lang w:val="es-ES_tradnl" w:eastAsia="es-ES_tradnl"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BA22AC">
        <w:rPr>
          <w:rFonts w:ascii="Arial" w:eastAsia="Calibri" w:hAnsi="Arial" w:cs="Arial"/>
          <w:bCs/>
          <w:color w:val="000000"/>
          <w:sz w:val="21"/>
          <w:vertAlign w:val="superscript"/>
          <w:lang w:val="es-ES_tradnl" w:eastAsia="es-ES_tradnl" w:bidi="es-ES"/>
        </w:rPr>
        <w:footnoteReference w:id="10"/>
      </w:r>
      <w:r w:rsidR="00632DE2">
        <w:rPr>
          <w:rFonts w:ascii="Arial" w:eastAsia="Calibri" w:hAnsi="Arial" w:cs="Arial"/>
          <w:bCs/>
          <w:color w:val="000000"/>
          <w:sz w:val="21"/>
          <w:lang w:val="es-ES_tradnl" w:eastAsia="es-ES_tradnl" w:bidi="es-ES"/>
        </w:rPr>
        <w:t>.</w:t>
      </w:r>
      <w:r w:rsidRPr="00BA22AC">
        <w:rPr>
          <w:rFonts w:ascii="Arial" w:eastAsia="Calibri" w:hAnsi="Arial" w:cs="Arial"/>
          <w:bCs/>
          <w:color w:val="000000"/>
          <w:sz w:val="21"/>
          <w:vertAlign w:val="superscript"/>
          <w:lang w:val="es-ES_tradnl" w:eastAsia="es-ES_tradnl" w:bidi="es-ES"/>
        </w:rPr>
        <w:footnoteReference w:id="11"/>
      </w:r>
      <w:r w:rsidRPr="00BA22AC">
        <w:rPr>
          <w:rFonts w:ascii="Arial" w:eastAsia="Calibri" w:hAnsi="Arial" w:cs="Arial"/>
          <w:bCs/>
          <w:color w:val="000000"/>
          <w:sz w:val="21"/>
          <w:lang w:val="es-ES_tradnl" w:eastAsia="es-ES_tradnl" w:bidi="es-ES"/>
        </w:rPr>
        <w:t xml:space="preserve"> </w:t>
      </w:r>
    </w:p>
    <w:p w14:paraId="5A2C9BC3" w14:textId="77777777" w:rsidR="00E44A29" w:rsidRPr="009E1763" w:rsidRDefault="00E44A29" w:rsidP="00E44A29">
      <w:pPr>
        <w:contextualSpacing/>
        <w:rPr>
          <w:rFonts w:ascii="Arial" w:eastAsia="Calibri" w:hAnsi="Arial" w:cs="Arial"/>
          <w:bCs/>
          <w:color w:val="000000"/>
          <w:sz w:val="22"/>
          <w:szCs w:val="24"/>
          <w:lang w:val="es-CO" w:eastAsia="es-ES_tradnl" w:bidi="es-ES"/>
        </w:rPr>
      </w:pPr>
    </w:p>
    <w:p w14:paraId="7C60675F" w14:textId="77777777" w:rsidR="00E44A29" w:rsidRPr="009E1763" w:rsidRDefault="00E44A29" w:rsidP="00E44A29">
      <w:pPr>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ab/>
        <w:t>En esta ocasión la Honorable Corporación resaltó la finalidad del acuerdo de voluntades como un factor de diferenciación entre las dos figuras. Si bien estas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mientras que los convenios interadministrativos involucran la ejecución de actividades en función de un interés común para las partes</w:t>
      </w:r>
      <w:r w:rsidRPr="007048BD">
        <w:rPr>
          <w:rFonts w:ascii="Arial" w:eastAsia="Calibri" w:hAnsi="Arial" w:cs="Arial"/>
          <w:bCs/>
          <w:color w:val="000000"/>
          <w:sz w:val="22"/>
          <w:szCs w:val="24"/>
          <w:lang w:val="es-CO" w:eastAsia="es-ES_tradnl" w:bidi="es-ES"/>
        </w:rPr>
        <w:t>; si bien se puede pactar remuneración</w:t>
      </w:r>
      <w:r>
        <w:rPr>
          <w:rStyle w:val="Refdenotaalpie"/>
          <w:rFonts w:ascii="Arial" w:eastAsia="Calibri" w:hAnsi="Arial" w:cs="Arial"/>
          <w:bCs/>
          <w:color w:val="000000"/>
          <w:sz w:val="22"/>
          <w:szCs w:val="24"/>
          <w:lang w:val="es-CO" w:eastAsia="es-ES_tradnl" w:bidi="es-ES"/>
        </w:rPr>
        <w:footnoteReference w:id="12"/>
      </w:r>
      <w:r w:rsidRPr="007048BD">
        <w:rPr>
          <w:rFonts w:ascii="Arial" w:eastAsia="Calibri" w:hAnsi="Arial" w:cs="Arial"/>
          <w:bCs/>
          <w:color w:val="000000"/>
          <w:sz w:val="22"/>
          <w:szCs w:val="24"/>
          <w:lang w:val="es-CO" w:eastAsia="es-ES_tradnl" w:bidi="es-ES"/>
        </w:rPr>
        <w:t>, en esencia se pretende el cumplimiento de fines coincidentes entre quienes lo ejecutan</w:t>
      </w:r>
      <w:r w:rsidRPr="009E1763">
        <w:rPr>
          <w:rFonts w:ascii="Arial" w:eastAsia="Calibri" w:hAnsi="Arial" w:cs="Arial"/>
          <w:bCs/>
          <w:color w:val="000000"/>
          <w:sz w:val="22"/>
          <w:szCs w:val="24"/>
          <w:lang w:val="es-CO" w:eastAsia="es-ES_tradnl" w:bidi="es-ES"/>
        </w:rPr>
        <w:t xml:space="preserve">. </w:t>
      </w:r>
    </w:p>
    <w:p w14:paraId="196A980F" w14:textId="77777777" w:rsidR="00E44A29" w:rsidRPr="009E1763" w:rsidRDefault="00E44A29" w:rsidP="00E44A29">
      <w:pPr>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ab/>
      </w:r>
    </w:p>
    <w:p w14:paraId="29582455" w14:textId="77777777" w:rsidR="00E44A29" w:rsidRDefault="00E44A29" w:rsidP="00E44A29">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en la que existe una relación de subordinación que cuenta con unas exigencias y restricciones normativas adicionales de manera que, en efecto, dista de la naturaleza y esencia del convenio interadministrativo.</w:t>
      </w:r>
    </w:p>
    <w:p w14:paraId="3576A327" w14:textId="77777777" w:rsidR="00E44A29" w:rsidRDefault="00E44A29" w:rsidP="00E44A29">
      <w:pPr>
        <w:ind w:firstLine="708"/>
        <w:contextualSpacing/>
        <w:rPr>
          <w:rFonts w:ascii="Arial" w:eastAsia="Calibri" w:hAnsi="Arial" w:cs="Arial"/>
          <w:bCs/>
          <w:color w:val="000000"/>
          <w:sz w:val="22"/>
          <w:szCs w:val="24"/>
          <w:lang w:val="es-CO" w:eastAsia="es-ES_tradnl" w:bidi="es-ES"/>
        </w:rPr>
      </w:pPr>
    </w:p>
    <w:p w14:paraId="235DD394" w14:textId="77777777" w:rsidR="00E44A29" w:rsidRDefault="00E44A29" w:rsidP="00E44A29">
      <w:pPr>
        <w:ind w:firstLine="708"/>
        <w:contextualSpacing/>
        <w:rPr>
          <w:rFonts w:ascii="Arial" w:eastAsia="Calibri" w:hAnsi="Arial" w:cs="Arial"/>
          <w:bCs/>
          <w:color w:val="000000"/>
          <w:sz w:val="22"/>
          <w:szCs w:val="24"/>
          <w:lang w:val="es-CO" w:eastAsia="es-ES_tradnl" w:bidi="es-ES"/>
        </w:rPr>
      </w:pPr>
      <w:r w:rsidRPr="007048BD">
        <w:rPr>
          <w:rFonts w:ascii="Arial" w:eastAsia="Calibri" w:hAnsi="Arial" w:cs="Arial"/>
          <w:bCs/>
          <w:color w:val="000000"/>
          <w:sz w:val="22"/>
          <w:szCs w:val="24"/>
          <w:lang w:val="es-CO" w:eastAsia="es-ES_tradnl" w:bidi="es-ES"/>
        </w:rPr>
        <w:t>De aquí que el Consejo de Estado</w:t>
      </w:r>
      <w:r w:rsidRPr="007048BD">
        <w:rPr>
          <w:rFonts w:ascii="Arial" w:eastAsia="Calibri" w:hAnsi="Arial" w:cs="Arial"/>
          <w:bCs/>
          <w:color w:val="000000"/>
          <w:sz w:val="22"/>
          <w:szCs w:val="24"/>
          <w:vertAlign w:val="superscript"/>
          <w:lang w:val="es-CO" w:eastAsia="es-ES_tradnl" w:bidi="es-ES"/>
        </w:rPr>
        <w:footnoteReference w:id="13"/>
      </w:r>
      <w:r w:rsidRPr="007048BD">
        <w:rPr>
          <w:rFonts w:ascii="Arial" w:eastAsia="Calibri" w:hAnsi="Arial" w:cs="Arial"/>
          <w:bCs/>
          <w:color w:val="000000"/>
          <w:sz w:val="22"/>
          <w:szCs w:val="24"/>
          <w:lang w:val="es-CO" w:eastAsia="es-ES_tradnl" w:bidi="es-ES"/>
        </w:rPr>
        <w:t xml:space="preserve"> haya señalado la necesidad de diferenciar el régimen jurídico aplicable a ciertas situaciones específicas del convenio interadministrativo que se separan del régimen jurídico común:</w:t>
      </w:r>
    </w:p>
    <w:p w14:paraId="618AA862" w14:textId="77777777" w:rsidR="00E44A29" w:rsidRDefault="00E44A29" w:rsidP="00E44A29">
      <w:pPr>
        <w:ind w:firstLine="708"/>
        <w:contextualSpacing/>
        <w:rPr>
          <w:rFonts w:ascii="Arial" w:eastAsia="Calibri" w:hAnsi="Arial" w:cs="Arial"/>
          <w:bCs/>
          <w:color w:val="000000"/>
          <w:sz w:val="22"/>
          <w:szCs w:val="24"/>
          <w:lang w:val="es-CO" w:eastAsia="es-ES_tradnl" w:bidi="es-ES"/>
        </w:rPr>
      </w:pPr>
    </w:p>
    <w:p w14:paraId="1F6AACB7" w14:textId="77777777" w:rsidR="00E44A29" w:rsidRPr="00383685" w:rsidRDefault="00E44A29" w:rsidP="00E44A29">
      <w:pPr>
        <w:spacing w:line="240" w:lineRule="auto"/>
        <w:ind w:left="708" w:right="709"/>
        <w:contextualSpacing/>
        <w:rPr>
          <w:rFonts w:ascii="Arial" w:eastAsia="Calibri" w:hAnsi="Arial" w:cs="Arial"/>
          <w:bCs/>
          <w:color w:val="000000"/>
          <w:sz w:val="21"/>
          <w:lang w:val="es-CO" w:eastAsia="es-ES_tradnl" w:bidi="es-ES"/>
        </w:rPr>
      </w:pPr>
      <w:r w:rsidRPr="00383685">
        <w:rPr>
          <w:rFonts w:ascii="Arial" w:eastAsia="Calibri" w:hAnsi="Arial" w:cs="Arial"/>
          <w:bCs/>
          <w:color w:val="000000"/>
          <w:sz w:val="21"/>
          <w:lang w:val="es-CO" w:eastAsia="es-ES_tradnl" w:bidi="es-ES"/>
        </w:rPr>
        <w:t xml:space="preserve">[E]s preciso señalar que los convenios interadministrativos se someten a los principios constitucionales y legales de la actividad contractual del Estado (transparencia, planeación, buena fe, entre otros) y, obviamente, a los principios de la función administrativa previstos en el artículo 209 CP (moralidad, economía, celeridad, entre otros), en virtud del carácter vinculante de los mismos, dentro del contexto de un ánimo de cooperación que se refleja en el plano de igualdad o equivalencia en que se celebran y ejecutan, lo que significa ausencia de prerrogativas en favor de una parte a costa de la otra. Ahora, dada </w:t>
      </w:r>
      <w:r w:rsidRPr="00383685">
        <w:rPr>
          <w:rFonts w:ascii="Arial" w:eastAsia="Calibri" w:hAnsi="Arial" w:cs="Arial"/>
          <w:bCs/>
          <w:color w:val="000000"/>
          <w:sz w:val="21"/>
          <w:lang w:val="es-CO" w:eastAsia="es-ES_tradnl" w:bidi="es-ES"/>
        </w:rPr>
        <w:lastRenderedPageBreak/>
        <w:t xml:space="preserve">la naturaleza jurídica explicada de los convenios interadministrativos, </w:t>
      </w:r>
      <w:r w:rsidRPr="00383685">
        <w:rPr>
          <w:rFonts w:ascii="Arial" w:eastAsia="Calibri" w:hAnsi="Arial" w:cs="Arial"/>
          <w:bCs/>
          <w:color w:val="000000"/>
          <w:sz w:val="21"/>
          <w:u w:val="single"/>
          <w:lang w:val="es-CO" w:eastAsia="es-ES_tradnl" w:bidi="es-ES"/>
        </w:rPr>
        <w:t>las reglas del Estatuto General de Contratación de la Administración Pública contenidas en la actualidad en las Leyes 80 de 1993, 1150 de 2007 y 1474 de 2011, no resultan de aplicación automática a tales convenios, toda vez que ese Estatuto lo que esencialmente regula son relaciones contractuales de contenido patrimonial y oneroso</w:t>
      </w:r>
      <w:r w:rsidRPr="00383685">
        <w:rPr>
          <w:rFonts w:ascii="Arial" w:eastAsia="Calibri" w:hAnsi="Arial" w:cs="Arial"/>
          <w:bCs/>
          <w:color w:val="000000"/>
          <w:sz w:val="21"/>
          <w:lang w:val="es-CO" w:eastAsia="es-ES_tradnl" w:bidi="es-ES"/>
        </w:rPr>
        <w:t xml:space="preserve">. </w:t>
      </w:r>
      <w:r w:rsidRPr="00383685">
        <w:rPr>
          <w:rFonts w:ascii="Arial" w:eastAsia="Calibri" w:hAnsi="Arial" w:cs="Arial"/>
          <w:bCs/>
          <w:color w:val="000000"/>
          <w:sz w:val="21"/>
          <w:u w:val="single"/>
          <w:lang w:val="es-CO" w:eastAsia="es-ES_tradnl" w:bidi="es-ES"/>
        </w:rPr>
        <w:t>En tal sentido, en cada caso concreto deberá analizarse, de conformidad con la naturaleza jurídica, objeto y finalidad que se pretende cumplir o desarrollar con el respectivo convenio, si la disposición correspondiente del Estatuto Contractual es aplicable o no</w:t>
      </w:r>
      <w:r w:rsidRPr="00383685">
        <w:rPr>
          <w:rFonts w:ascii="Arial" w:eastAsia="Calibri" w:hAnsi="Arial" w:cs="Arial"/>
          <w:bCs/>
          <w:color w:val="000000"/>
          <w:sz w:val="21"/>
          <w:lang w:val="es-CO" w:eastAsia="es-ES_tradnl" w:bidi="es-ES"/>
        </w:rPr>
        <w:t xml:space="preserve">. (subrayado fuera del texto original) </w:t>
      </w:r>
    </w:p>
    <w:p w14:paraId="5A70BEA6" w14:textId="77777777" w:rsidR="00E44A29" w:rsidRPr="007048BD" w:rsidRDefault="00E44A29" w:rsidP="00E44A29">
      <w:pPr>
        <w:ind w:firstLine="708"/>
        <w:contextualSpacing/>
        <w:rPr>
          <w:rFonts w:ascii="Arial" w:eastAsia="Calibri" w:hAnsi="Arial" w:cs="Arial"/>
          <w:bCs/>
          <w:color w:val="000000"/>
          <w:sz w:val="22"/>
          <w:szCs w:val="24"/>
          <w:lang w:val="es-CO" w:eastAsia="es-ES_tradnl" w:bidi="es-ES"/>
        </w:rPr>
      </w:pPr>
    </w:p>
    <w:p w14:paraId="324EBBCD" w14:textId="77777777" w:rsidR="00E44A29" w:rsidRPr="007048BD" w:rsidRDefault="00E44A29" w:rsidP="00E44A29">
      <w:pPr>
        <w:ind w:firstLine="708"/>
        <w:contextualSpacing/>
        <w:rPr>
          <w:rFonts w:ascii="Arial" w:eastAsia="Calibri" w:hAnsi="Arial" w:cs="Arial"/>
          <w:bCs/>
          <w:color w:val="000000"/>
          <w:sz w:val="22"/>
          <w:szCs w:val="24"/>
          <w:lang w:val="es-CO" w:eastAsia="es-ES_tradnl" w:bidi="es-ES"/>
        </w:rPr>
      </w:pPr>
      <w:r w:rsidRPr="007048BD">
        <w:rPr>
          <w:rFonts w:ascii="Arial" w:eastAsia="Calibri" w:hAnsi="Arial" w:cs="Arial"/>
          <w:bCs/>
          <w:color w:val="000000"/>
          <w:sz w:val="22"/>
          <w:szCs w:val="24"/>
          <w:lang w:val="es-CO" w:eastAsia="es-ES_tradnl" w:bidi="es-ES"/>
        </w:rPr>
        <w:t>A juicio de la sala si bien existe un régimen jurídico común compuesto por las normas del EGCAP que ordenan las declaraciones de voluntad negocial de las entidades estatales -el consentimiento y los efectos de las obligaciones-, y las normas de derecho público relacionadas con la capacidad o competencia de las entidades estatales para celebrar acuerdos de voluntades -que incluyen el régimen de inhabilidades, incompatibilidades y conflictos de interés-, para el resto de asuntos regulados en el EGCAP será necesario tener en cuenta el plano de igualdad o equivalencia en el que se encuentran las partes del convenio y, por ende, la aplicabilidad de cada disposición al caso concreto. En ese orden, por ejemplo, no serán aplicables cláusulas excepcionales al derecho común</w:t>
      </w:r>
      <w:r w:rsidRPr="007048BD">
        <w:rPr>
          <w:rFonts w:ascii="Arial" w:eastAsia="Calibri" w:hAnsi="Arial" w:cs="Arial"/>
          <w:bCs/>
          <w:color w:val="000000"/>
          <w:sz w:val="22"/>
          <w:szCs w:val="24"/>
          <w:vertAlign w:val="superscript"/>
          <w:lang w:val="es-CO" w:eastAsia="es-ES_tradnl" w:bidi="es-ES"/>
        </w:rPr>
        <w:footnoteReference w:id="14"/>
      </w:r>
      <w:r w:rsidRPr="007048BD">
        <w:rPr>
          <w:rFonts w:ascii="Arial" w:eastAsia="Calibri" w:hAnsi="Arial" w:cs="Arial"/>
          <w:bCs/>
          <w:color w:val="000000"/>
          <w:sz w:val="22"/>
          <w:szCs w:val="24"/>
          <w:lang w:val="es-CO" w:eastAsia="es-ES_tradnl" w:bidi="es-ES"/>
        </w:rPr>
        <w:t>.</w:t>
      </w:r>
    </w:p>
    <w:p w14:paraId="1187649E" w14:textId="77777777" w:rsidR="00E44A29" w:rsidRPr="009E1763" w:rsidRDefault="00E44A29" w:rsidP="00E44A29">
      <w:pPr>
        <w:contextualSpacing/>
        <w:rPr>
          <w:rFonts w:ascii="Arial" w:eastAsia="Calibri" w:hAnsi="Arial" w:cs="Arial"/>
          <w:bCs/>
          <w:color w:val="000000"/>
          <w:sz w:val="22"/>
          <w:szCs w:val="24"/>
          <w:lang w:val="es-CO" w:eastAsia="es-ES_tradnl" w:bidi="es-ES"/>
        </w:rPr>
      </w:pPr>
    </w:p>
    <w:p w14:paraId="61186229" w14:textId="1B38B7DC" w:rsidR="00E44A29" w:rsidRDefault="00E44A29" w:rsidP="00E44A29">
      <w:pPr>
        <w:contextualSpacing/>
        <w:rPr>
          <w:rFonts w:ascii="Arial" w:eastAsia="Calibri" w:hAnsi="Arial" w:cs="Arial"/>
          <w:b/>
          <w:color w:val="000000"/>
          <w:sz w:val="22"/>
          <w:szCs w:val="24"/>
          <w:lang w:val="es-ES" w:eastAsia="es-ES_tradnl" w:bidi="es-ES"/>
        </w:rPr>
      </w:pPr>
      <w:r>
        <w:rPr>
          <w:rFonts w:ascii="Arial" w:eastAsia="Calibri" w:hAnsi="Arial" w:cs="Arial"/>
          <w:b/>
          <w:color w:val="000000"/>
          <w:sz w:val="22"/>
          <w:szCs w:val="24"/>
          <w:lang w:val="es-ES" w:eastAsia="es-ES_tradnl" w:bidi="es-ES"/>
        </w:rPr>
        <w:t>2.3. Régimen jurídico de la supervisión de contratos estatales</w:t>
      </w:r>
    </w:p>
    <w:p w14:paraId="69F22EB6" w14:textId="0AF6FA60" w:rsidR="00E44A29" w:rsidRDefault="00E44A29" w:rsidP="00E44A29">
      <w:pPr>
        <w:contextualSpacing/>
        <w:rPr>
          <w:rFonts w:ascii="Arial" w:eastAsia="Calibri" w:hAnsi="Arial" w:cs="Arial"/>
          <w:b/>
          <w:color w:val="000000"/>
          <w:sz w:val="22"/>
          <w:szCs w:val="24"/>
          <w:lang w:val="es-ES" w:eastAsia="es-ES_tradnl" w:bidi="es-ES"/>
        </w:rPr>
      </w:pPr>
    </w:p>
    <w:p w14:paraId="7BF613ED" w14:textId="535A70B2" w:rsidR="00E44A29" w:rsidRPr="00034187" w:rsidRDefault="00E44A29" w:rsidP="00E44A29">
      <w:pPr>
        <w:ind w:firstLine="708"/>
        <w:rPr>
          <w:rFonts w:ascii="Arial" w:hAnsi="Arial" w:cs="Arial"/>
          <w:sz w:val="22"/>
          <w:lang w:val="es-ES"/>
        </w:rPr>
      </w:pPr>
      <w:r w:rsidRPr="00034187">
        <w:rPr>
          <w:rFonts w:ascii="Arial" w:hAnsi="Arial" w:cs="Arial"/>
          <w:sz w:val="22"/>
          <w:lang w:val="es-ES"/>
        </w:rPr>
        <w:t>De acuerdo con el principio de responsabilidad que rige la contratación estatal, las entidades públicas están obligadas a vigilar la correcta ejecución del objeto contratado y a proteger tanto los derechos de la propia entidad como los del contratista y terceros que puedan verse afectados por la ejecución del contrato</w:t>
      </w:r>
      <w:r w:rsidRPr="00034187">
        <w:rPr>
          <w:rFonts w:ascii="Arial" w:hAnsi="Arial" w:cs="Arial"/>
          <w:sz w:val="22"/>
          <w:vertAlign w:val="superscript"/>
          <w:lang w:val="es-ES"/>
        </w:rPr>
        <w:footnoteReference w:id="15"/>
      </w:r>
      <w:r w:rsidRPr="00034187">
        <w:rPr>
          <w:rFonts w:ascii="Arial" w:hAnsi="Arial" w:cs="Arial"/>
          <w:sz w:val="22"/>
          <w:lang w:val="es-ES"/>
        </w:rPr>
        <w:t>.</w:t>
      </w:r>
    </w:p>
    <w:p w14:paraId="5CAEB92B" w14:textId="4FA2463D" w:rsidR="00E44A29" w:rsidRPr="00034187" w:rsidRDefault="00E44A29" w:rsidP="00E44A29">
      <w:pPr>
        <w:ind w:firstLine="708"/>
        <w:rPr>
          <w:rFonts w:ascii="Arial" w:hAnsi="Arial" w:cs="Arial"/>
          <w:sz w:val="22"/>
          <w:lang w:val="es-ES"/>
        </w:rPr>
      </w:pPr>
      <w:r w:rsidRPr="00034187">
        <w:rPr>
          <w:rFonts w:ascii="Arial" w:hAnsi="Arial" w:cs="Arial"/>
          <w:sz w:val="22"/>
          <w:lang w:val="es-ES"/>
        </w:rPr>
        <w:t xml:space="preserve">La Ley 1474 de 2011, </w:t>
      </w:r>
      <w:r w:rsidRPr="00895272">
        <w:rPr>
          <w:rFonts w:ascii="Arial" w:hAnsi="Arial" w:cs="Arial"/>
          <w:sz w:val="22"/>
          <w:lang w:val="es-ES"/>
        </w:rPr>
        <w:t>«</w:t>
      </w:r>
      <w:r w:rsidRPr="00034187">
        <w:rPr>
          <w:rFonts w:ascii="Arial" w:hAnsi="Arial" w:cs="Arial"/>
          <w:sz w:val="22"/>
          <w:lang w:val="es-ES"/>
        </w:rPr>
        <w:t>por la cual se dictan normas orientadas a fortalecer los mecanismos de prevención, investigación y sanción de actos de corrupción y la efectividad del control de la gestión pública</w:t>
      </w:r>
      <w:r w:rsidRPr="00895272">
        <w:rPr>
          <w:rFonts w:ascii="Arial" w:hAnsi="Arial" w:cs="Arial"/>
          <w:sz w:val="22"/>
          <w:lang w:val="es-ES"/>
        </w:rPr>
        <w:t>»</w:t>
      </w:r>
      <w:r w:rsidRPr="00034187">
        <w:rPr>
          <w:rFonts w:ascii="Arial" w:hAnsi="Arial" w:cs="Arial"/>
          <w:sz w:val="22"/>
          <w:lang w:val="es-ES"/>
        </w:rPr>
        <w:t>, obliga a las entidades</w:t>
      </w:r>
      <w:r>
        <w:rPr>
          <w:rFonts w:ascii="Arial" w:hAnsi="Arial" w:cs="Arial"/>
          <w:sz w:val="22"/>
          <w:lang w:val="es-ES"/>
        </w:rPr>
        <w:t xml:space="preserve"> a</w:t>
      </w:r>
      <w:r w:rsidRPr="00034187">
        <w:rPr>
          <w:rFonts w:ascii="Arial" w:hAnsi="Arial" w:cs="Arial"/>
          <w:sz w:val="22"/>
          <w:lang w:val="es-ES"/>
        </w:rPr>
        <w:t xml:space="preserve"> vigilar la correcta ejecución del objeto contratado a través de las figuras de </w:t>
      </w:r>
      <w:r w:rsidRPr="00895272">
        <w:rPr>
          <w:rFonts w:ascii="Arial" w:hAnsi="Arial" w:cs="Arial"/>
          <w:sz w:val="22"/>
          <w:lang w:val="es-ES"/>
        </w:rPr>
        <w:t>«</w:t>
      </w:r>
      <w:r w:rsidRPr="00034187">
        <w:rPr>
          <w:rFonts w:ascii="Arial" w:hAnsi="Arial" w:cs="Arial"/>
          <w:sz w:val="22"/>
          <w:lang w:val="es-ES"/>
        </w:rPr>
        <w:t>supervisión</w:t>
      </w:r>
      <w:r w:rsidRPr="00895272">
        <w:rPr>
          <w:rFonts w:ascii="Arial" w:hAnsi="Arial" w:cs="Arial"/>
          <w:sz w:val="22"/>
          <w:lang w:val="es-ES"/>
        </w:rPr>
        <w:t>»</w:t>
      </w:r>
      <w:r w:rsidRPr="00034187">
        <w:rPr>
          <w:rFonts w:ascii="Arial" w:hAnsi="Arial" w:cs="Arial"/>
          <w:sz w:val="22"/>
          <w:lang w:val="es-ES"/>
        </w:rPr>
        <w:t xml:space="preserve"> o de </w:t>
      </w:r>
      <w:r w:rsidRPr="00895272">
        <w:rPr>
          <w:rFonts w:ascii="Arial" w:hAnsi="Arial" w:cs="Arial"/>
          <w:sz w:val="22"/>
          <w:lang w:val="es-ES"/>
        </w:rPr>
        <w:t>«</w:t>
      </w:r>
      <w:r w:rsidRPr="00034187">
        <w:rPr>
          <w:rFonts w:ascii="Arial" w:hAnsi="Arial" w:cs="Arial"/>
          <w:sz w:val="22"/>
          <w:lang w:val="es-ES"/>
        </w:rPr>
        <w:t>interventoría</w:t>
      </w:r>
      <w:r w:rsidRPr="00895272">
        <w:rPr>
          <w:rFonts w:ascii="Arial" w:hAnsi="Arial" w:cs="Arial"/>
          <w:sz w:val="22"/>
          <w:lang w:val="es-ES"/>
        </w:rPr>
        <w:t>»</w:t>
      </w:r>
      <w:r w:rsidRPr="00034187">
        <w:rPr>
          <w:rFonts w:ascii="Arial" w:hAnsi="Arial" w:cs="Arial"/>
          <w:sz w:val="22"/>
          <w:lang w:val="es-ES"/>
        </w:rPr>
        <w:t xml:space="preserve">, con la </w:t>
      </w:r>
      <w:r w:rsidRPr="00034187">
        <w:rPr>
          <w:rFonts w:ascii="Arial" w:hAnsi="Arial" w:cs="Arial"/>
          <w:sz w:val="22"/>
          <w:lang w:val="es-ES"/>
        </w:rPr>
        <w:lastRenderedPageBreak/>
        <w:t xml:space="preserve">finalidad de </w:t>
      </w:r>
      <w:r>
        <w:rPr>
          <w:rFonts w:ascii="Arial" w:hAnsi="Arial" w:cs="Arial"/>
          <w:sz w:val="22"/>
          <w:lang w:val="es-ES"/>
        </w:rPr>
        <w:t xml:space="preserve">lograr la correcta ejecución del contrato y </w:t>
      </w:r>
      <w:r w:rsidRPr="00034187">
        <w:rPr>
          <w:rFonts w:ascii="Arial" w:hAnsi="Arial" w:cs="Arial"/>
          <w:sz w:val="22"/>
          <w:lang w:val="es-ES"/>
        </w:rPr>
        <w:t>prevenir actos de corrupción que afecten la moralidad administrativa.</w:t>
      </w:r>
    </w:p>
    <w:p w14:paraId="36027BE4" w14:textId="77777777" w:rsidR="00E44A29" w:rsidRDefault="00E44A29" w:rsidP="00E44A29">
      <w:pPr>
        <w:ind w:firstLine="708"/>
        <w:rPr>
          <w:rFonts w:ascii="Arial" w:hAnsi="Arial" w:cs="Arial"/>
          <w:sz w:val="22"/>
          <w:lang w:val="es-ES"/>
        </w:rPr>
      </w:pPr>
      <w:r w:rsidRPr="00034187">
        <w:rPr>
          <w:rFonts w:ascii="Arial" w:hAnsi="Arial" w:cs="Arial"/>
          <w:sz w:val="22"/>
          <w:lang w:val="es-ES"/>
        </w:rPr>
        <w:t>En este sentido, el artículo 83 de la citada norma define la supervisión como el seguimiento técnico, administrativo, financiero, contable, y jurídico que debe ejercer la entidad contratante sobre el cumplimiento del objeto del contrato, cuando no se requiera un conocimiento especializado</w:t>
      </w:r>
      <w:r w:rsidRPr="00034187">
        <w:rPr>
          <w:rFonts w:ascii="Arial" w:hAnsi="Arial" w:cs="Arial"/>
          <w:sz w:val="22"/>
          <w:vertAlign w:val="superscript"/>
          <w:lang w:val="es-ES"/>
        </w:rPr>
        <w:footnoteReference w:id="16"/>
      </w:r>
      <w:r w:rsidRPr="00034187">
        <w:rPr>
          <w:rFonts w:ascii="Arial" w:hAnsi="Arial" w:cs="Arial"/>
          <w:sz w:val="22"/>
          <w:lang w:val="es-ES"/>
        </w:rPr>
        <w:t>.</w:t>
      </w:r>
    </w:p>
    <w:p w14:paraId="1857A86E" w14:textId="77777777" w:rsidR="00E44A29" w:rsidRPr="00A945B9" w:rsidRDefault="00E44A29" w:rsidP="00E44A29">
      <w:pPr>
        <w:pStyle w:val="Sinespaciado"/>
        <w:spacing w:before="120" w:line="276" w:lineRule="auto"/>
        <w:ind w:firstLine="708"/>
        <w:jc w:val="both"/>
        <w:rPr>
          <w:rFonts w:ascii="Arial" w:hAnsi="Arial" w:cs="Arial"/>
          <w:bCs/>
          <w:color w:val="000000" w:themeColor="text1"/>
          <w:sz w:val="22"/>
        </w:rPr>
      </w:pPr>
      <w:r w:rsidRPr="00632DE2">
        <w:rPr>
          <w:rFonts w:ascii="Arial" w:hAnsi="Arial" w:cs="Arial"/>
          <w:bCs/>
          <w:color w:val="000000" w:themeColor="text1"/>
          <w:sz w:val="22"/>
        </w:rPr>
        <w:t>La obligación mencionada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del mismo,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03F5FF62" w14:textId="77777777" w:rsidR="008B0BFB" w:rsidRDefault="00E44A29" w:rsidP="008B0BFB">
      <w:pPr>
        <w:pStyle w:val="Sinespaciado"/>
        <w:spacing w:before="120" w:line="276" w:lineRule="auto"/>
        <w:ind w:firstLine="708"/>
        <w:jc w:val="both"/>
        <w:rPr>
          <w:rFonts w:ascii="Arial" w:hAnsi="Arial" w:cs="Arial"/>
          <w:bCs/>
          <w:color w:val="000000" w:themeColor="text1"/>
          <w:sz w:val="22"/>
        </w:rPr>
      </w:pPr>
      <w:r w:rsidRPr="00A945B9">
        <w:rPr>
          <w:rFonts w:ascii="Arial" w:hAnsi="Arial" w:cs="Arial"/>
          <w:bCs/>
          <w:color w:val="000000" w:themeColor="text1"/>
          <w:sz w:val="22"/>
        </w:rPr>
        <w:t>Las Leyes 1150 de 2007 y 1474 de 2011 complementan el régimen jurídico de la obligación de vigilar la correcta ejecución de los contratos estatales. Allí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A945B9">
        <w:rPr>
          <w:rStyle w:val="Refdenotaalpie"/>
          <w:color w:val="000000" w:themeColor="text1"/>
          <w:sz w:val="22"/>
        </w:rPr>
        <w:footnoteReference w:id="17"/>
      </w:r>
      <w:r w:rsidRPr="00A945B9">
        <w:rPr>
          <w:rFonts w:ascii="Arial" w:hAnsi="Arial" w:cs="Arial"/>
          <w:bCs/>
          <w:color w:val="000000" w:themeColor="text1"/>
          <w:sz w:val="22"/>
        </w:rPr>
        <w:t>. También se establecen los límites de la responsabilidad del representante legal ante la delegación de sus funciones en materia contractual</w:t>
      </w:r>
      <w:r w:rsidRPr="00A945B9">
        <w:rPr>
          <w:rStyle w:val="Refdenotaalpie"/>
          <w:color w:val="000000" w:themeColor="text1"/>
          <w:sz w:val="22"/>
        </w:rPr>
        <w:footnoteReference w:id="18"/>
      </w:r>
      <w:r w:rsidRPr="00A945B9">
        <w:rPr>
          <w:rFonts w:ascii="Arial" w:hAnsi="Arial" w:cs="Arial"/>
          <w:bCs/>
          <w:color w:val="000000" w:themeColor="text1"/>
          <w:sz w:val="22"/>
        </w:rPr>
        <w:t xml:space="preserve"> y se regula la supervisión y la interventoría de los contratos estatales</w:t>
      </w:r>
      <w:r w:rsidRPr="00A945B9">
        <w:rPr>
          <w:rStyle w:val="Refdenotaalpie"/>
          <w:color w:val="000000" w:themeColor="text1"/>
          <w:sz w:val="22"/>
        </w:rPr>
        <w:footnoteReference w:id="19"/>
      </w:r>
      <w:r w:rsidRPr="00A945B9">
        <w:rPr>
          <w:rFonts w:ascii="Arial" w:hAnsi="Arial" w:cs="Arial"/>
          <w:bCs/>
          <w:color w:val="000000" w:themeColor="text1"/>
          <w:sz w:val="22"/>
        </w:rPr>
        <w:t xml:space="preserve">. </w:t>
      </w:r>
    </w:p>
    <w:p w14:paraId="7F7B5799" w14:textId="3E55FDCA" w:rsidR="00E44A29" w:rsidRPr="008B0BFB" w:rsidRDefault="00E44A29" w:rsidP="008B0BFB">
      <w:pPr>
        <w:pStyle w:val="Sinespaciado"/>
        <w:spacing w:before="120" w:line="276" w:lineRule="auto"/>
        <w:ind w:firstLine="708"/>
        <w:jc w:val="both"/>
        <w:rPr>
          <w:rFonts w:ascii="Arial" w:hAnsi="Arial" w:cs="Arial"/>
          <w:bCs/>
          <w:color w:val="000000" w:themeColor="text1"/>
          <w:sz w:val="22"/>
        </w:rPr>
      </w:pPr>
      <w:r w:rsidRPr="00034187">
        <w:rPr>
          <w:rFonts w:ascii="Arial" w:hAnsi="Arial" w:cs="Arial"/>
          <w:sz w:val="22"/>
          <w:lang w:val="es-ES"/>
        </w:rPr>
        <w:t xml:space="preserve">De conformidad con lo anterior, en la sentencia del Consejo de Estado, Sala de lo Contencioso Administrativo, Sección Tercera, Subsección B, radicado No. 25-000-23-26- 000-1996-13019-01(27.426), del 12 de diciembre de 2014, </w:t>
      </w:r>
      <w:proofErr w:type="gramStart"/>
      <w:r w:rsidRPr="00034187">
        <w:rPr>
          <w:rFonts w:ascii="Arial" w:hAnsi="Arial" w:cs="Arial"/>
          <w:sz w:val="22"/>
          <w:lang w:val="es-ES"/>
        </w:rPr>
        <w:t>Consejero</w:t>
      </w:r>
      <w:proofErr w:type="gramEnd"/>
      <w:r w:rsidRPr="00034187">
        <w:rPr>
          <w:rFonts w:ascii="Arial" w:hAnsi="Arial" w:cs="Arial"/>
          <w:sz w:val="22"/>
          <w:lang w:val="es-ES"/>
        </w:rPr>
        <w:t xml:space="preserve"> Ponente Ramiro de Jesús Pazos Guerrero, expresó que la supervisión est</w:t>
      </w:r>
      <w:r>
        <w:rPr>
          <w:rFonts w:ascii="Arial" w:hAnsi="Arial" w:cs="Arial"/>
          <w:sz w:val="22"/>
          <w:lang w:val="es-ES"/>
        </w:rPr>
        <w:t>á</w:t>
      </w:r>
      <w:r w:rsidRPr="00034187">
        <w:rPr>
          <w:rFonts w:ascii="Arial" w:hAnsi="Arial" w:cs="Arial"/>
          <w:sz w:val="22"/>
          <w:lang w:val="es-ES"/>
        </w:rPr>
        <w:t xml:space="preserve"> dirigida a controlar y vigilar la correcta ejecución de las obligaciones contractuales.</w:t>
      </w:r>
    </w:p>
    <w:p w14:paraId="39DC78E6" w14:textId="77777777" w:rsidR="00E44A29" w:rsidRPr="00034187" w:rsidRDefault="00E44A29" w:rsidP="00E44A29">
      <w:pPr>
        <w:pStyle w:val="Sinespaciado"/>
        <w:spacing w:before="120" w:line="276" w:lineRule="auto"/>
        <w:ind w:firstLine="709"/>
        <w:jc w:val="both"/>
        <w:rPr>
          <w:rFonts w:ascii="Arial" w:hAnsi="Arial" w:cs="Arial"/>
          <w:color w:val="000000" w:themeColor="text1"/>
          <w:sz w:val="22"/>
        </w:rPr>
      </w:pPr>
      <w:r w:rsidRPr="00632DE2">
        <w:rPr>
          <w:rFonts w:ascii="Arial" w:hAnsi="Arial" w:cs="Arial"/>
          <w:color w:val="000000" w:themeColor="text1"/>
          <w:sz w:val="22"/>
        </w:rPr>
        <w:lastRenderedPageBreak/>
        <w:t>Según lo expresado por esta Agencia</w:t>
      </w:r>
      <w:r w:rsidRPr="00632DE2">
        <w:rPr>
          <w:rStyle w:val="Refdenotaalpie"/>
          <w:color w:val="000000" w:themeColor="text1"/>
          <w:sz w:val="22"/>
        </w:rPr>
        <w:footnoteReference w:id="20"/>
      </w:r>
      <w:r w:rsidRPr="00632DE2">
        <w:rPr>
          <w:rFonts w:ascii="Arial" w:hAnsi="Arial" w:cs="Arial"/>
          <w:color w:val="000000" w:themeColor="text1"/>
          <w:sz w:val="22"/>
        </w:rPr>
        <w:t>, de las disposiciones contenidas en la Ley 1474 de 2011 se infieren las siguientes características, en relación con la supervisión: i) siempre existirá en relación con cualquier contrato estatal ―a diferencia de la interventoría que depende del análisis de su necesidad y extensión</w:t>
      </w:r>
      <w:r w:rsidRPr="00632DE2">
        <w:rPr>
          <w:color w:val="000000" w:themeColor="text1"/>
          <w:sz w:val="22"/>
          <w:vertAlign w:val="superscript"/>
        </w:rPr>
        <w:footnoteReference w:id="21"/>
      </w:r>
      <w:r w:rsidRPr="00632DE2">
        <w:rPr>
          <w:rFonts w:ascii="Arial" w:hAnsi="Arial" w:cs="Arial"/>
          <w:color w:val="000000" w:themeColor="text1"/>
          <w:sz w:val="22"/>
        </w:rPr>
        <w:t>―; ii) no requiere conocimientos tan especializados como la interventoría; iii) se ejerce por la entidad estatal por conducto de la designación de servidores públicos idóneos para cumplir la función; iv) puede recibir apoyo de personal contratado mediante contratos de prestación de servicios; v) le es inherente el seguimiento técnico, administrativo, financiero, contable y jurídico del contrato vigilado.</w:t>
      </w:r>
      <w:r>
        <w:rPr>
          <w:rFonts w:ascii="Arial" w:hAnsi="Arial" w:cs="Arial"/>
          <w:color w:val="000000" w:themeColor="text1"/>
          <w:sz w:val="22"/>
        </w:rPr>
        <w:tab/>
      </w:r>
      <w:r>
        <w:rPr>
          <w:rFonts w:ascii="Arial" w:hAnsi="Arial" w:cs="Arial"/>
          <w:color w:val="000000" w:themeColor="text1"/>
          <w:sz w:val="22"/>
        </w:rPr>
        <w:br/>
      </w:r>
    </w:p>
    <w:p w14:paraId="3DA286BE" w14:textId="66566C4F" w:rsidR="00E44A29" w:rsidRPr="00A945B9" w:rsidRDefault="00E44A29" w:rsidP="00F96B99">
      <w:pPr>
        <w:ind w:firstLine="709"/>
        <w:rPr>
          <w:rFonts w:ascii="Arial" w:eastAsia="Calibri" w:hAnsi="Arial" w:cs="Arial"/>
          <w:sz w:val="22"/>
        </w:rPr>
      </w:pPr>
      <w:r w:rsidRPr="001811CD">
        <w:rPr>
          <w:rFonts w:ascii="Arial" w:eastAsia="Calibri" w:hAnsi="Arial" w:cs="Arial"/>
          <w:sz w:val="22"/>
        </w:rPr>
        <w:t xml:space="preserve">En cuanto a la vigilancia de la ejecución de contratos de prestación de servicios debe advertirse que, ni en la «Guía para el ejercicio de las funciones de supervisión e interventoría de los contratos del Estado», ni en los demás instrumentos expedidos por esta Agencia de conformidad con las funciones atribuidas por el Decreto 4170 de 2011, se establecen lineamientos específicos aplicables en estos contratos. Sin embargo, en la mencionada guía se señala que tanto supervisores e interventores tienen la función general de ejercer el control y vigilancia sobre la ejecución contractual de los contratos respecto de los cuales ejercen sus correspondientes obligaciones. Dicha labor debe ir dirigida a verificar el cumplimiento de las condiciones pactadas, por lo que están facultados para solicitar informes, aclaraciones y explicaciones sobre el desarrollo de la ejecución contractual, impartir instrucciones al contratista y hacer recomendaciones encaminadas a lograr la correcta ejecución del objeto contratado. De hecho, conforme a lo manifestado por esta Agencia en la «Guía para el ejercicio de las funciones de supervisión e interventoría de los contratos del Estado», los supervisores e </w:t>
      </w:r>
      <w:r>
        <w:rPr>
          <w:rFonts w:ascii="Arial" w:eastAsia="Calibri" w:hAnsi="Arial" w:cs="Arial"/>
          <w:sz w:val="22"/>
        </w:rPr>
        <w:t>interventores</w:t>
      </w:r>
      <w:r w:rsidRPr="001811CD">
        <w:rPr>
          <w:rFonts w:ascii="Arial" w:eastAsia="Calibri" w:hAnsi="Arial" w:cs="Arial"/>
          <w:sz w:val="22"/>
        </w:rPr>
        <w:t xml:space="preserve"> tienen funciones generales como: </w:t>
      </w:r>
    </w:p>
    <w:p w14:paraId="7422CFC5" w14:textId="2C1283EC" w:rsidR="00E44A29" w:rsidRPr="00A945B9" w:rsidRDefault="00E44A29" w:rsidP="00F96B99">
      <w:pPr>
        <w:ind w:left="709" w:right="709"/>
        <w:rPr>
          <w:rFonts w:ascii="Arial" w:hAnsi="Arial" w:cs="Arial"/>
          <w:sz w:val="21"/>
          <w:szCs w:val="21"/>
        </w:rPr>
      </w:pPr>
      <w:r w:rsidRPr="00A945B9">
        <w:rPr>
          <w:rFonts w:ascii="Arial" w:hAnsi="Arial" w:cs="Arial"/>
          <w:sz w:val="21"/>
          <w:szCs w:val="21"/>
        </w:rPr>
        <w:t xml:space="preserve">• Apoyar el logro de los objetivos contractuales. </w:t>
      </w:r>
    </w:p>
    <w:p w14:paraId="1923D61D" w14:textId="5D5BC92D" w:rsidR="00E44A29" w:rsidRPr="00A945B9" w:rsidRDefault="00E44A29" w:rsidP="00F96B99">
      <w:pPr>
        <w:ind w:left="709" w:right="709"/>
        <w:rPr>
          <w:rFonts w:ascii="Arial" w:hAnsi="Arial" w:cs="Arial"/>
          <w:sz w:val="21"/>
          <w:szCs w:val="21"/>
        </w:rPr>
      </w:pPr>
      <w:r w:rsidRPr="00A945B9">
        <w:rPr>
          <w:rFonts w:ascii="Arial" w:hAnsi="Arial" w:cs="Arial"/>
          <w:sz w:val="21"/>
          <w:szCs w:val="21"/>
        </w:rPr>
        <w:t xml:space="preserve">• </w:t>
      </w:r>
      <w:r w:rsidRPr="00A945B9">
        <w:rPr>
          <w:rFonts w:ascii="Arial" w:hAnsi="Arial" w:cs="Arial"/>
          <w:i/>
          <w:iCs/>
          <w:sz w:val="21"/>
          <w:szCs w:val="21"/>
        </w:rPr>
        <w:t>Velar por el cumplimiento del contrato en términos de plazos, calidades, cantidades y adecuada ejecución de los recursos del contrato.</w:t>
      </w:r>
      <w:r w:rsidRPr="00A945B9">
        <w:rPr>
          <w:rFonts w:ascii="Arial" w:hAnsi="Arial" w:cs="Arial"/>
          <w:sz w:val="21"/>
          <w:szCs w:val="21"/>
        </w:rPr>
        <w:t xml:space="preserve"> </w:t>
      </w:r>
    </w:p>
    <w:p w14:paraId="56720C61" w14:textId="2541B863" w:rsidR="00E44A29" w:rsidRPr="00A945B9" w:rsidRDefault="00E44A29" w:rsidP="00F96B99">
      <w:pPr>
        <w:ind w:left="709" w:right="709"/>
        <w:rPr>
          <w:rFonts w:ascii="Arial" w:hAnsi="Arial" w:cs="Arial"/>
          <w:sz w:val="21"/>
          <w:szCs w:val="21"/>
        </w:rPr>
      </w:pPr>
      <w:r w:rsidRPr="00A945B9">
        <w:rPr>
          <w:rFonts w:ascii="Arial" w:hAnsi="Arial" w:cs="Arial"/>
          <w:sz w:val="21"/>
          <w:szCs w:val="21"/>
        </w:rPr>
        <w:t xml:space="preserve">• </w:t>
      </w:r>
      <w:r w:rsidRPr="00A945B9">
        <w:rPr>
          <w:rFonts w:ascii="Arial" w:hAnsi="Arial" w:cs="Arial"/>
          <w:i/>
          <w:iCs/>
          <w:sz w:val="21"/>
          <w:szCs w:val="21"/>
        </w:rPr>
        <w:t>Mantener en contacto a las partes del contrato.</w:t>
      </w:r>
      <w:r w:rsidRPr="00A945B9">
        <w:rPr>
          <w:rFonts w:ascii="Arial" w:hAnsi="Arial" w:cs="Arial"/>
          <w:sz w:val="21"/>
          <w:szCs w:val="21"/>
        </w:rPr>
        <w:t xml:space="preserve"> </w:t>
      </w:r>
    </w:p>
    <w:p w14:paraId="0B896F07" w14:textId="3A2A997B" w:rsidR="00E44A29" w:rsidRPr="00A945B9" w:rsidRDefault="00E44A29" w:rsidP="00F96B99">
      <w:pPr>
        <w:ind w:left="709" w:right="709"/>
        <w:rPr>
          <w:rFonts w:ascii="Arial" w:hAnsi="Arial" w:cs="Arial"/>
          <w:sz w:val="21"/>
          <w:szCs w:val="21"/>
        </w:rPr>
      </w:pPr>
      <w:r w:rsidRPr="00A945B9">
        <w:rPr>
          <w:rFonts w:ascii="Arial" w:hAnsi="Arial" w:cs="Arial"/>
          <w:sz w:val="21"/>
          <w:szCs w:val="21"/>
        </w:rPr>
        <w:t xml:space="preserve">• Evitar la generación de controversias y propender por su rápida solución. </w:t>
      </w:r>
    </w:p>
    <w:p w14:paraId="4FDD7EB2" w14:textId="0F4EDA01" w:rsidR="00E44A29" w:rsidRPr="00F96B99" w:rsidRDefault="00E44A29" w:rsidP="00F96B99">
      <w:pPr>
        <w:ind w:left="709" w:right="709"/>
        <w:rPr>
          <w:rFonts w:ascii="Arial" w:eastAsia="Calibri" w:hAnsi="Arial" w:cs="Arial"/>
          <w:sz w:val="21"/>
          <w:szCs w:val="21"/>
        </w:rPr>
      </w:pPr>
      <w:r w:rsidRPr="00A945B9">
        <w:rPr>
          <w:rFonts w:ascii="Arial" w:hAnsi="Arial" w:cs="Arial"/>
          <w:sz w:val="21"/>
          <w:szCs w:val="21"/>
        </w:rPr>
        <w:t>• Solicitar informes, llevar a cabo reuniones, integrar comités y desarrollar otras herramientas encaminadas a verificar la adecuada ejecución del contrato.</w:t>
      </w:r>
    </w:p>
    <w:p w14:paraId="142278F8" w14:textId="5F0E156E" w:rsidR="00E44A29" w:rsidRPr="00A945B9" w:rsidRDefault="00E44A29" w:rsidP="00F96B99">
      <w:pPr>
        <w:ind w:left="709" w:right="709"/>
        <w:rPr>
          <w:rFonts w:ascii="Arial" w:hAnsi="Arial" w:cs="Arial"/>
          <w:sz w:val="21"/>
          <w:szCs w:val="21"/>
        </w:rPr>
      </w:pPr>
      <w:r w:rsidRPr="00A945B9">
        <w:rPr>
          <w:rFonts w:ascii="Arial" w:hAnsi="Arial" w:cs="Arial"/>
          <w:sz w:val="21"/>
          <w:szCs w:val="21"/>
        </w:rPr>
        <w:t xml:space="preserve">• Llevar a cabo las labores de monitoreo y control de riesgos que se le asignen, en coordinación con el área responsable de cada riesgo incluido en el mapa </w:t>
      </w:r>
      <w:r w:rsidRPr="00A945B9">
        <w:rPr>
          <w:rFonts w:ascii="Arial" w:hAnsi="Arial" w:cs="Arial"/>
          <w:sz w:val="21"/>
          <w:szCs w:val="21"/>
        </w:rPr>
        <w:lastRenderedPageBreak/>
        <w:t xml:space="preserve">correspondiente, así como la identificación y tratamiento de los riesgos que puedan surgir durante las diversas etapas del contrato. </w:t>
      </w:r>
    </w:p>
    <w:p w14:paraId="2CEFB120" w14:textId="3A58F839" w:rsidR="00E44A29" w:rsidRPr="00F96B99" w:rsidRDefault="00E44A29" w:rsidP="00F96B99">
      <w:pPr>
        <w:ind w:left="709" w:right="709"/>
        <w:rPr>
          <w:rFonts w:ascii="Arial" w:hAnsi="Arial" w:cs="Arial"/>
          <w:sz w:val="21"/>
          <w:szCs w:val="21"/>
        </w:rPr>
      </w:pPr>
      <w:r w:rsidRPr="00A945B9">
        <w:rPr>
          <w:rFonts w:ascii="Arial" w:hAnsi="Arial" w:cs="Arial"/>
          <w:sz w:val="21"/>
          <w:szCs w:val="21"/>
        </w:rPr>
        <w:t xml:space="preserve">• </w:t>
      </w:r>
      <w:r w:rsidRPr="00A945B9">
        <w:rPr>
          <w:rFonts w:ascii="Arial" w:hAnsi="Arial" w:cs="Arial"/>
          <w:i/>
          <w:iCs/>
          <w:sz w:val="21"/>
          <w:szCs w:val="21"/>
        </w:rPr>
        <w:t>Aprobar o rechazar por escrito, de forma oportuna y motivada la entrega de los bienes o servicios, cuando éstos no se ajustan a lo requerido en el contrato, especificaciones técnicas, condiciones y/o calidades acordadas.</w:t>
      </w:r>
      <w:r w:rsidRPr="00A945B9">
        <w:rPr>
          <w:rFonts w:ascii="Arial" w:hAnsi="Arial" w:cs="Arial"/>
          <w:sz w:val="21"/>
          <w:szCs w:val="21"/>
        </w:rPr>
        <w:t xml:space="preserve"> </w:t>
      </w:r>
    </w:p>
    <w:p w14:paraId="5AF8DB81" w14:textId="023785B1" w:rsidR="00E44A29" w:rsidRPr="00A945B9" w:rsidRDefault="00E44A29" w:rsidP="00F96B99">
      <w:pPr>
        <w:ind w:left="709" w:right="709"/>
        <w:rPr>
          <w:rFonts w:ascii="Arial" w:hAnsi="Arial" w:cs="Arial"/>
          <w:sz w:val="21"/>
          <w:szCs w:val="21"/>
        </w:rPr>
      </w:pPr>
      <w:r w:rsidRPr="00A945B9">
        <w:rPr>
          <w:rFonts w:ascii="Arial" w:hAnsi="Arial" w:cs="Arial"/>
          <w:i/>
          <w:iCs/>
          <w:sz w:val="21"/>
          <w:szCs w:val="21"/>
        </w:rPr>
        <w:t>• Suscribir las actas que se generen durante la ejecución del contrato para dejar documentadas diversas situaciones y entre las que se encuentran: actas de actas parciales de avance, actas parciales de recibo y actas de recibo final</w:t>
      </w:r>
      <w:r w:rsidRPr="00A945B9">
        <w:rPr>
          <w:rFonts w:ascii="Arial" w:hAnsi="Arial" w:cs="Arial"/>
          <w:sz w:val="21"/>
          <w:szCs w:val="21"/>
        </w:rPr>
        <w:t xml:space="preserve">. </w:t>
      </w:r>
    </w:p>
    <w:p w14:paraId="4D54564D" w14:textId="271088C1" w:rsidR="00E44A29" w:rsidRPr="00A945B9" w:rsidRDefault="00E44A29" w:rsidP="00F96B99">
      <w:pPr>
        <w:ind w:left="709" w:right="709"/>
        <w:rPr>
          <w:rFonts w:ascii="Arial" w:hAnsi="Arial" w:cs="Arial"/>
          <w:sz w:val="21"/>
          <w:szCs w:val="21"/>
        </w:rPr>
      </w:pPr>
      <w:r w:rsidRPr="00A945B9">
        <w:rPr>
          <w:rFonts w:ascii="Arial" w:hAnsi="Arial" w:cs="Arial"/>
          <w:sz w:val="21"/>
          <w:szCs w:val="21"/>
        </w:rPr>
        <w:t xml:space="preserve">• Informar a la Entidad Estatal de hechos o circunstancias que puedan constituir actos de corrupción tipificados como conductas punibles, o que pongan en riesgo el cumplimiento del contrato; así como entregar los soportes necesarios para que la Entidad Estatal desarrolle las actividades correspondientes. </w:t>
      </w:r>
    </w:p>
    <w:p w14:paraId="35FF5F47" w14:textId="405B2976" w:rsidR="00E44A29" w:rsidRPr="00F96B99" w:rsidRDefault="00E44A29" w:rsidP="00F96B99">
      <w:pPr>
        <w:ind w:left="709" w:right="709"/>
        <w:rPr>
          <w:rFonts w:ascii="Arial" w:eastAsia="Calibri" w:hAnsi="Arial" w:cs="Arial"/>
          <w:sz w:val="21"/>
          <w:szCs w:val="21"/>
        </w:rPr>
      </w:pPr>
      <w:r w:rsidRPr="00A945B9">
        <w:rPr>
          <w:rFonts w:ascii="Arial" w:hAnsi="Arial" w:cs="Arial"/>
          <w:sz w:val="21"/>
          <w:szCs w:val="21"/>
        </w:rPr>
        <w:t xml:space="preserve">• Informar a la Entidad Estatal cuando se presente incumplimiento contractual; así como entregar los soportes necesarios para que la Entidad Estatal desarrolle las actividades correspondientes. (Énfasis fuera de texto). </w:t>
      </w:r>
    </w:p>
    <w:p w14:paraId="7F7A968F" w14:textId="10808CC2" w:rsidR="00E44A29" w:rsidRDefault="00E44A29" w:rsidP="00BA22AC">
      <w:pPr>
        <w:ind w:firstLine="708"/>
        <w:rPr>
          <w:rFonts w:ascii="Arial" w:hAnsi="Arial" w:cs="Arial"/>
          <w:bCs/>
          <w:sz w:val="22"/>
          <w:lang w:val="es-ES_tradnl"/>
        </w:rPr>
      </w:pPr>
      <w:r w:rsidRPr="00A945B9">
        <w:rPr>
          <w:rFonts w:ascii="Arial" w:eastAsia="Calibri" w:hAnsi="Arial" w:cs="Arial"/>
          <w:sz w:val="22"/>
        </w:rPr>
        <w:t>Según se desprende del apartado en cita, el ejercicio de la vigilancia de la ejecución del contrato estatal conlleva la tarea de velar por el cumplimiento de los plazos, calidades, cantidades y adecuada ejecución de los recursos del contrato.</w:t>
      </w:r>
      <w:r w:rsidR="00A47731">
        <w:rPr>
          <w:rFonts w:ascii="Arial" w:hAnsi="Arial" w:cs="Arial"/>
          <w:bCs/>
          <w:sz w:val="22"/>
          <w:lang w:val="es-ES_tradnl"/>
        </w:rPr>
        <w:t xml:space="preserve"> </w:t>
      </w:r>
      <w:r w:rsidR="001E53D7">
        <w:rPr>
          <w:rFonts w:ascii="Arial" w:hAnsi="Arial" w:cs="Arial"/>
          <w:bCs/>
          <w:sz w:val="22"/>
          <w:lang w:val="es-ES_tradnl"/>
        </w:rPr>
        <w:t>En ese sentido, conforme el numeral 6 del artículo 54 de la Ley 1952 de 2019, el supervisor del contrato será responsable por omisión de sus funciones legales.</w:t>
      </w:r>
    </w:p>
    <w:p w14:paraId="7FAEBF3C" w14:textId="77777777" w:rsidR="00A47731" w:rsidRDefault="00A47731" w:rsidP="00A47731">
      <w:pPr>
        <w:ind w:firstLine="708"/>
        <w:rPr>
          <w:rFonts w:ascii="Arial" w:hAnsi="Arial" w:cs="Arial"/>
          <w:bCs/>
          <w:sz w:val="22"/>
          <w:lang w:val="es-ES_tradnl"/>
        </w:rPr>
      </w:pPr>
      <w:r>
        <w:rPr>
          <w:rFonts w:ascii="Arial" w:hAnsi="Arial" w:cs="Arial"/>
          <w:bCs/>
          <w:sz w:val="22"/>
          <w:lang w:val="es-ES_tradnl"/>
        </w:rPr>
        <w:t xml:space="preserve">Ahora bien, frente a los contratos de obra coligados o derivados de un contrato o convenio interadministrativo principal, debe resaltarse que estos deben contar con su propio supervisor e interventor conforme lo establece el numeral 1 del artículo 32 de la Ley 80 de 1993 y el artículo 83 de la Ley 1474 de 2011, además del supervisor del contrato o convenio interadministrativo principal cuyas obligaciones de seguimiento, vigilancia y control son más generales. </w:t>
      </w:r>
    </w:p>
    <w:p w14:paraId="2EA4B489" w14:textId="77777777" w:rsidR="00A47731" w:rsidRPr="00A47731" w:rsidRDefault="00A47731" w:rsidP="00BA22AC">
      <w:pPr>
        <w:ind w:firstLine="708"/>
        <w:rPr>
          <w:rFonts w:ascii="Arial" w:eastAsia="Calibri" w:hAnsi="Arial" w:cs="Arial"/>
          <w:sz w:val="22"/>
          <w:lang w:val="es-ES_tradnl"/>
        </w:rPr>
      </w:pPr>
    </w:p>
    <w:p w14:paraId="122345BB" w14:textId="24A6FF07" w:rsidR="00E44A29" w:rsidRPr="009E1763" w:rsidRDefault="00E44A29" w:rsidP="00E44A29">
      <w:pPr>
        <w:tabs>
          <w:tab w:val="left" w:pos="426"/>
        </w:tabs>
        <w:spacing w:after="0" w:line="240" w:lineRule="auto"/>
        <w:rPr>
          <w:rFonts w:ascii="Arial" w:eastAsia="Calibri" w:hAnsi="Arial" w:cs="Arial"/>
          <w:b/>
          <w:sz w:val="22"/>
          <w:lang w:val="es-CO"/>
        </w:rPr>
      </w:pPr>
      <w:r w:rsidRPr="009E1763">
        <w:rPr>
          <w:rFonts w:ascii="Arial" w:eastAsia="Calibri" w:hAnsi="Arial" w:cs="Arial"/>
          <w:b/>
          <w:sz w:val="22"/>
          <w:lang w:val="es-CO"/>
        </w:rPr>
        <w:t>3. Respuesta</w:t>
      </w:r>
      <w:bookmarkStart w:id="7" w:name="_Hlk57650395"/>
    </w:p>
    <w:p w14:paraId="536C2505" w14:textId="4E7A7876" w:rsidR="00E44A29" w:rsidRDefault="00E44A29" w:rsidP="00E44A29">
      <w:pPr>
        <w:pStyle w:val="NormalWeb"/>
        <w:spacing w:after="0" w:line="240" w:lineRule="auto"/>
        <w:ind w:left="709" w:right="709"/>
        <w:rPr>
          <w:rFonts w:ascii="Arial" w:hAnsi="Arial" w:cs="Arial"/>
          <w:sz w:val="21"/>
          <w:szCs w:val="21"/>
        </w:rPr>
      </w:pPr>
      <w:r w:rsidRPr="009E1763">
        <w:rPr>
          <w:rFonts w:ascii="Arial" w:hAnsi="Arial" w:cs="Arial"/>
          <w:sz w:val="21"/>
          <w:szCs w:val="21"/>
        </w:rPr>
        <w:t>«</w:t>
      </w:r>
      <w:r w:rsidRPr="00E44A29">
        <w:rPr>
          <w:rFonts w:ascii="Arial" w:hAnsi="Arial" w:cs="Arial"/>
          <w:sz w:val="21"/>
          <w:szCs w:val="21"/>
        </w:rPr>
        <w:t>-</w:t>
      </w:r>
      <w:r>
        <w:rPr>
          <w:rFonts w:ascii="Arial" w:hAnsi="Arial" w:cs="Arial"/>
          <w:sz w:val="21"/>
          <w:szCs w:val="21"/>
        </w:rPr>
        <w:t xml:space="preserve"> </w:t>
      </w:r>
      <w:r w:rsidRPr="00E44A29">
        <w:rPr>
          <w:rFonts w:ascii="Arial" w:hAnsi="Arial" w:cs="Arial"/>
          <w:sz w:val="21"/>
          <w:szCs w:val="21"/>
        </w:rPr>
        <w:t>¿Cuál es la diferencia entre contrato y convenio interadministrativo?</w:t>
      </w:r>
      <w:r w:rsidR="00F96B99" w:rsidRPr="009E1763">
        <w:rPr>
          <w:rFonts w:ascii="Arial" w:hAnsi="Arial" w:cs="Arial"/>
          <w:sz w:val="21"/>
          <w:szCs w:val="21"/>
        </w:rPr>
        <w:t>»</w:t>
      </w:r>
    </w:p>
    <w:p w14:paraId="1023BAED" w14:textId="77777777" w:rsidR="00BA22AC" w:rsidRPr="009E1763" w:rsidRDefault="00BA22AC" w:rsidP="00BA22AC">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 xml:space="preserve">Actualmente la normativa en la materia no establece mayor diferenciación entre estas dos figuras jurídicas. El Estatuto General de Contratación de la Administración Pública hace referencia de manera expresa al contrato interadministrativo o, en términos generales, a los interadministrativos y no al convenio. No obstante, las entidades del Estado, en el marco de la Ley 80 de 1993, pueden acordar entre sí diferentes tipos de obligaciones, siempre que su objeto de creación les permita cumplirlas, con el objetivo común de </w:t>
      </w:r>
      <w:r w:rsidRPr="009E1763">
        <w:rPr>
          <w:rFonts w:ascii="Arial" w:eastAsia="Calibri" w:hAnsi="Arial" w:cs="Arial"/>
          <w:bCs/>
          <w:color w:val="000000"/>
          <w:sz w:val="22"/>
          <w:szCs w:val="24"/>
          <w:lang w:val="es-CO" w:eastAsia="es-ES_tradnl" w:bidi="es-ES"/>
        </w:rPr>
        <w:lastRenderedPageBreak/>
        <w:t>materializar los fines del Estado. Por este motivo, puede entenderse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w:t>
      </w:r>
    </w:p>
    <w:p w14:paraId="45C6D4F6" w14:textId="77777777" w:rsidR="00BA22AC" w:rsidRPr="009E1763" w:rsidRDefault="00BA22AC" w:rsidP="00BA22AC">
      <w:pPr>
        <w:ind w:firstLine="708"/>
        <w:contextualSpacing/>
        <w:rPr>
          <w:rFonts w:ascii="Arial" w:eastAsia="Calibri" w:hAnsi="Arial" w:cs="Arial"/>
          <w:bCs/>
          <w:color w:val="000000"/>
          <w:sz w:val="22"/>
          <w:szCs w:val="24"/>
          <w:lang w:val="es-CO" w:eastAsia="es-ES_tradnl" w:bidi="es-ES"/>
        </w:rPr>
      </w:pPr>
    </w:p>
    <w:p w14:paraId="7E02A25D" w14:textId="2F4E4076" w:rsidR="00BA22AC" w:rsidRPr="009E1763" w:rsidRDefault="00BA22AC" w:rsidP="00BA22AC">
      <w:pPr>
        <w:ind w:firstLine="708"/>
        <w:contextualSpacing/>
        <w:rPr>
          <w:rFonts w:ascii="Arial" w:eastAsia="Calibri" w:hAnsi="Arial" w:cs="Arial"/>
          <w:bCs/>
          <w:color w:val="000000"/>
          <w:sz w:val="22"/>
          <w:szCs w:val="24"/>
          <w:lang w:val="es-CO" w:eastAsia="es-ES_tradnl" w:bidi="es-ES"/>
        </w:rPr>
      </w:pPr>
      <w:r>
        <w:rPr>
          <w:rFonts w:ascii="Arial" w:eastAsia="Calibri" w:hAnsi="Arial" w:cs="Arial"/>
          <w:bCs/>
          <w:color w:val="000000"/>
          <w:sz w:val="22"/>
          <w:szCs w:val="24"/>
          <w:lang w:val="es-CO" w:eastAsia="es-ES_tradnl" w:bidi="es-ES"/>
        </w:rPr>
        <w:t>Aunque</w:t>
      </w:r>
      <w:r w:rsidRPr="009E1763">
        <w:rPr>
          <w:rFonts w:ascii="Arial" w:eastAsia="Calibri" w:hAnsi="Arial" w:cs="Arial"/>
          <w:bCs/>
          <w:color w:val="000000"/>
          <w:sz w:val="22"/>
          <w:szCs w:val="24"/>
          <w:lang w:val="es-CO" w:eastAsia="es-ES_tradnl" w:bidi="es-ES"/>
        </w:rPr>
        <w:t xml:space="preserve"> el artículo 95 de la Ley 489 de 1998 dispone que «Las entidades públicas podrán asociarse con el fin de cooperar en el cumplimiento de funciones administrativas o de prestar conjuntamente servicios que se hallen a su cargo, mediante la celebración de convenios interadministrativos […]», esto no significa que dichos acuerdos estén exceptuados del Estatuto General de Contratación de la Administración Pública por no tener carácter contractual. Por ello, la jurisprudencia considera que «Estos convenios cuentan con las características propias de los contratos, cuando su objeto lo constituyen obligaciones patrimoniales, y las entidades estatales que los conforman están sujetas tanto a la normativa contractual pública, como a las normas del derecho civil […]»</w:t>
      </w:r>
      <w:r w:rsidRPr="009E1763">
        <w:rPr>
          <w:rFonts w:ascii="Arial" w:eastAsia="Calibri" w:hAnsi="Arial" w:cs="Arial"/>
          <w:bCs/>
          <w:color w:val="000000"/>
          <w:sz w:val="22"/>
          <w:szCs w:val="24"/>
          <w:vertAlign w:val="superscript"/>
          <w:lang w:val="es-CO" w:eastAsia="es-ES_tradnl" w:bidi="es-ES"/>
        </w:rPr>
        <w:footnoteReference w:id="22"/>
      </w:r>
      <w:r w:rsidRPr="009E1763">
        <w:rPr>
          <w:rFonts w:ascii="Arial" w:eastAsia="Calibri" w:hAnsi="Arial" w:cs="Arial"/>
          <w:bCs/>
          <w:color w:val="000000"/>
          <w:sz w:val="22"/>
          <w:szCs w:val="24"/>
          <w:lang w:val="es-CO" w:eastAsia="es-ES_tradnl" w:bidi="es-ES"/>
        </w:rPr>
        <w:t>.</w:t>
      </w:r>
    </w:p>
    <w:p w14:paraId="461BC4AB" w14:textId="77777777" w:rsidR="00BA22AC" w:rsidRPr="009E1763" w:rsidRDefault="00BA22AC" w:rsidP="00BA22AC">
      <w:pPr>
        <w:ind w:firstLine="708"/>
        <w:contextualSpacing/>
        <w:rPr>
          <w:rFonts w:ascii="Arial" w:eastAsia="Calibri" w:hAnsi="Arial" w:cs="Arial"/>
          <w:bCs/>
          <w:color w:val="000000"/>
          <w:sz w:val="22"/>
          <w:szCs w:val="24"/>
          <w:lang w:val="es-CO" w:eastAsia="es-ES_tradnl" w:bidi="es-ES"/>
        </w:rPr>
      </w:pPr>
    </w:p>
    <w:p w14:paraId="3254A9C4" w14:textId="77777777" w:rsidR="00BA22AC" w:rsidRPr="009E1763" w:rsidRDefault="00BA22AC" w:rsidP="00BA22AC">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Sin perjuicio de lo anterior, vale la pena tener en cuenta que cierto sector de la doctrina y la jurisprudencia ha resaltado algunas diferencias entre los contratos interadministrativos y los convenios interadministrativos de que trata el artículo 95 de la Ley 489 de 1998. Por ejemplo, el Consejo de Estado en sentencia del 14 de junio de 2019 expresó:</w:t>
      </w:r>
    </w:p>
    <w:p w14:paraId="75018F47" w14:textId="77777777" w:rsidR="00BA22AC" w:rsidRPr="009E1763" w:rsidRDefault="00BA22AC" w:rsidP="00BA22AC">
      <w:pPr>
        <w:contextualSpacing/>
        <w:rPr>
          <w:rFonts w:ascii="Arial" w:eastAsia="Calibri" w:hAnsi="Arial" w:cs="Arial"/>
          <w:bCs/>
          <w:color w:val="000000"/>
          <w:sz w:val="22"/>
          <w:szCs w:val="24"/>
          <w:lang w:val="es-CO" w:eastAsia="es-ES_tradnl" w:bidi="es-ES"/>
        </w:rPr>
      </w:pPr>
    </w:p>
    <w:p w14:paraId="57E29725" w14:textId="77777777" w:rsidR="00BA22AC" w:rsidRPr="00BA22AC" w:rsidRDefault="00BA22AC" w:rsidP="00BA22AC">
      <w:pPr>
        <w:spacing w:line="240" w:lineRule="auto"/>
        <w:ind w:left="708" w:right="709"/>
        <w:contextualSpacing/>
        <w:rPr>
          <w:rFonts w:ascii="Arial" w:eastAsia="Calibri" w:hAnsi="Arial" w:cs="Arial"/>
          <w:bCs/>
          <w:color w:val="000000"/>
          <w:sz w:val="21"/>
          <w:lang w:val="es-ES_tradnl" w:eastAsia="es-ES_tradnl" w:bidi="es-ES"/>
        </w:rPr>
      </w:pPr>
      <w:r w:rsidRPr="00BA22AC">
        <w:rPr>
          <w:rFonts w:ascii="Arial" w:eastAsia="Calibri" w:hAnsi="Arial" w:cs="Arial"/>
          <w:bCs/>
          <w:color w:val="000000"/>
          <w:sz w:val="21"/>
          <w:lang w:val="es-ES_tradnl" w:eastAsia="es-ES_tradnl" w:bidi="es-ES"/>
        </w:rPr>
        <w:t>«La Sala de Consulta y Servicio Civil</w:t>
      </w:r>
      <w:r w:rsidRPr="00BA22AC">
        <w:rPr>
          <w:rFonts w:ascii="Arial" w:eastAsia="Calibri" w:hAnsi="Arial" w:cs="Arial"/>
          <w:bCs/>
          <w:color w:val="000000"/>
          <w:sz w:val="21"/>
          <w:vertAlign w:val="superscript"/>
          <w:lang w:val="es-ES_tradnl" w:eastAsia="es-ES_tradnl" w:bidi="es-ES"/>
        </w:rPr>
        <w:footnoteReference w:id="23"/>
      </w:r>
      <w:r w:rsidRPr="00BA22AC">
        <w:rPr>
          <w:rFonts w:ascii="Arial" w:eastAsia="Calibri" w:hAnsi="Arial" w:cs="Arial"/>
          <w:bCs/>
          <w:color w:val="000000"/>
          <w:sz w:val="21"/>
          <w:lang w:val="es-ES_tradnl" w:eastAsia="es-ES_tradnl" w:bidi="es-ES"/>
        </w:rPr>
        <w:t xml:space="preserve"> de esta Corporación se ha referido a los </w:t>
      </w:r>
      <w:r w:rsidRPr="00BA22AC">
        <w:rPr>
          <w:rFonts w:ascii="Arial" w:eastAsia="Calibri" w:hAnsi="Arial" w:cs="Arial"/>
          <w:bCs/>
          <w:i/>
          <w:color w:val="000000"/>
          <w:sz w:val="21"/>
          <w:lang w:val="es-ES_tradnl" w:eastAsia="es-ES_tradnl" w:bidi="es-ES"/>
        </w:rPr>
        <w:t>“convenios interadministrativos”</w:t>
      </w:r>
      <w:r w:rsidRPr="00BA22AC">
        <w:rPr>
          <w:rFonts w:ascii="Arial" w:eastAsia="Calibri" w:hAnsi="Arial" w:cs="Arial"/>
          <w:bCs/>
          <w:color w:val="000000"/>
          <w:sz w:val="21"/>
          <w:lang w:val="es-ES_tradnl" w:eastAsia="es-ES_tradnl" w:bidi="es-ES"/>
        </w:rPr>
        <w:t xml:space="preserve"> a los cuales alude el artículo 95 de la Ley 489 de 1998, calificándolos de </w:t>
      </w:r>
      <w:r w:rsidRPr="00BA22AC">
        <w:rPr>
          <w:rFonts w:ascii="Arial" w:eastAsia="Calibri" w:hAnsi="Arial" w:cs="Arial"/>
          <w:bCs/>
          <w:i/>
          <w:color w:val="000000"/>
          <w:sz w:val="21"/>
          <w:lang w:val="es-ES_tradnl" w:eastAsia="es-ES_tradnl" w:bidi="es-ES"/>
        </w:rPr>
        <w:t xml:space="preserve">“puros” </w:t>
      </w:r>
      <w:r w:rsidRPr="00BA22AC">
        <w:rPr>
          <w:rFonts w:ascii="Arial" w:eastAsia="Calibri" w:hAnsi="Arial" w:cs="Arial"/>
          <w:bCs/>
          <w:color w:val="000000"/>
          <w:sz w:val="21"/>
          <w:lang w:val="es-ES_tradnl" w:eastAsia="es-ES_tradnl" w:bidi="es-ES"/>
        </w:rPr>
        <w:t xml:space="preserve">y entendiendo que estos, además de perseguir la finalidad de cooperación antes indicada, no implican intereses contrapuestos ni tampoco se circunscriben a un </w:t>
      </w:r>
      <w:r w:rsidRPr="00BA22AC">
        <w:rPr>
          <w:rFonts w:ascii="Arial" w:eastAsia="Calibri" w:hAnsi="Arial" w:cs="Arial"/>
          <w:bCs/>
          <w:i/>
          <w:color w:val="000000"/>
          <w:sz w:val="21"/>
          <w:lang w:val="es-ES_tradnl" w:eastAsia="es-ES_tradnl" w:bidi="es-ES"/>
        </w:rPr>
        <w:t>“intercambio patrimonial”</w:t>
      </w:r>
      <w:r w:rsidRPr="00BA22AC">
        <w:rPr>
          <w:rFonts w:ascii="Arial" w:eastAsia="Calibri" w:hAnsi="Arial" w:cs="Arial"/>
          <w:bCs/>
          <w:color w:val="000000"/>
          <w:sz w:val="21"/>
          <w:lang w:val="es-ES_tradnl" w:eastAsia="es-ES_tradnl" w:bidi="es-ES"/>
        </w:rPr>
        <w:t>. Sin perjuicio de lo anterior, en otra oportunidad, la misma Sala</w:t>
      </w:r>
      <w:r w:rsidRPr="00BA22AC">
        <w:rPr>
          <w:rFonts w:ascii="Arial" w:eastAsia="Calibri" w:hAnsi="Arial" w:cs="Arial"/>
          <w:bCs/>
          <w:color w:val="000000"/>
          <w:sz w:val="21"/>
          <w:vertAlign w:val="superscript"/>
          <w:lang w:val="es-ES_tradnl" w:eastAsia="es-ES_tradnl" w:bidi="es-ES"/>
        </w:rPr>
        <w:footnoteReference w:id="24"/>
      </w:r>
      <w:r w:rsidRPr="00BA22AC">
        <w:rPr>
          <w:rFonts w:ascii="Arial" w:eastAsia="Calibri" w:hAnsi="Arial" w:cs="Arial"/>
          <w:bCs/>
          <w:color w:val="000000"/>
          <w:sz w:val="21"/>
          <w:lang w:val="es-ES_tradnl" w:eastAsia="es-ES_tradnl" w:bidi="es-ES"/>
        </w:rPr>
        <w:t xml:space="preserve"> había indicado que, si bien en dichos convenios no se daba un </w:t>
      </w:r>
      <w:r w:rsidRPr="00BA22AC">
        <w:rPr>
          <w:rFonts w:ascii="Arial" w:eastAsia="Calibri" w:hAnsi="Arial" w:cs="Arial"/>
          <w:bCs/>
          <w:i/>
          <w:color w:val="000000"/>
          <w:sz w:val="21"/>
          <w:lang w:val="es-ES_tradnl" w:eastAsia="es-ES_tradnl" w:bidi="es-ES"/>
        </w:rPr>
        <w:t>“verdadero intercambio de bienes o servicios (contrato conmutativo)”</w:t>
      </w:r>
      <w:r w:rsidRPr="00BA22AC">
        <w:rPr>
          <w:rFonts w:ascii="Arial" w:eastAsia="Calibri" w:hAnsi="Arial" w:cs="Arial"/>
          <w:bCs/>
          <w:color w:val="000000"/>
          <w:sz w:val="21"/>
          <w:lang w:val="es-ES_tradnl" w:eastAsia="es-ES_tradnl" w:bidi="es-ES"/>
        </w:rPr>
        <w:t>, ello no impedía que se conviniera una remuneración a cargo de alguna(s) entidad(es).</w:t>
      </w:r>
    </w:p>
    <w:p w14:paraId="2ACD4620" w14:textId="77777777" w:rsidR="00BA22AC" w:rsidRPr="00BA22AC" w:rsidRDefault="00BA22AC" w:rsidP="00BA22AC">
      <w:pPr>
        <w:spacing w:line="240" w:lineRule="auto"/>
        <w:ind w:left="708" w:right="709" w:firstLine="708"/>
        <w:contextualSpacing/>
        <w:rPr>
          <w:rFonts w:ascii="Arial" w:eastAsia="Calibri" w:hAnsi="Arial" w:cs="Arial"/>
          <w:bCs/>
          <w:color w:val="000000"/>
          <w:sz w:val="21"/>
          <w:lang w:val="es-ES_tradnl" w:eastAsia="es-ES_tradnl" w:bidi="es-ES"/>
        </w:rPr>
      </w:pPr>
    </w:p>
    <w:p w14:paraId="200811BE" w14:textId="77777777" w:rsidR="00BA22AC" w:rsidRPr="00BA22AC" w:rsidRDefault="00BA22AC" w:rsidP="00BA22AC">
      <w:pPr>
        <w:spacing w:line="240" w:lineRule="auto"/>
        <w:ind w:left="708" w:right="709"/>
        <w:contextualSpacing/>
        <w:rPr>
          <w:rFonts w:ascii="Arial" w:eastAsia="Calibri" w:hAnsi="Arial" w:cs="Arial"/>
          <w:bCs/>
          <w:color w:val="000000"/>
          <w:sz w:val="21"/>
          <w:lang w:val="es-CO" w:eastAsia="es-ES_tradnl" w:bidi="es-ES"/>
        </w:rPr>
      </w:pPr>
      <w:r w:rsidRPr="00BA22AC">
        <w:rPr>
          <w:rFonts w:ascii="Arial" w:eastAsia="Calibri" w:hAnsi="Arial" w:cs="Arial"/>
          <w:bCs/>
          <w:color w:val="000000"/>
          <w:sz w:val="21"/>
          <w:lang w:val="es-ES_tradnl" w:eastAsia="es-ES_tradnl" w:bidi="es-ES"/>
        </w:rPr>
        <w:t xml:space="preserve">Lo expuesto evidencia que, en general, las interpretaciones en torno a los </w:t>
      </w:r>
      <w:r w:rsidRPr="00BA22AC">
        <w:rPr>
          <w:rFonts w:ascii="Arial" w:eastAsia="Calibri" w:hAnsi="Arial" w:cs="Arial"/>
          <w:bCs/>
          <w:i/>
          <w:color w:val="000000"/>
          <w:sz w:val="21"/>
          <w:lang w:val="es-ES_tradnl" w:eastAsia="es-ES_tradnl" w:bidi="es-ES"/>
        </w:rPr>
        <w:t>“convenios interadministrativos”</w:t>
      </w:r>
      <w:r w:rsidRPr="00BA22AC">
        <w:rPr>
          <w:rFonts w:ascii="Arial" w:eastAsia="Calibri" w:hAnsi="Arial" w:cs="Arial"/>
          <w:bCs/>
          <w:color w:val="000000"/>
          <w:sz w:val="21"/>
          <w:lang w:val="es-ES_tradnl" w:eastAsia="es-ES_tradnl" w:bidi="es-ES"/>
        </w:rPr>
        <w:t xml:space="preserve"> previstos en el artículo 95 de la Ley 489 de 1998, en el propósito de encasillarlos dentro de una categoría normativa delimitada en su estructura, elementos y régimen jurídico, han sido dubitativas </w:t>
      </w:r>
      <w:r w:rsidRPr="00BA22AC">
        <w:rPr>
          <w:rFonts w:ascii="Arial" w:eastAsia="Calibri" w:hAnsi="Arial" w:cs="Arial"/>
          <w:bCs/>
          <w:color w:val="000000"/>
          <w:sz w:val="21"/>
          <w:lang w:val="es-ES_tradnl" w:eastAsia="es-ES_tradnl" w:bidi="es-ES"/>
        </w:rPr>
        <w:lastRenderedPageBreak/>
        <w:t>al vincular o no las obligaciones propias de dichos convenios con las de los contratos estatales sometidos al EGCAP, las cuales tienen por objeto prestaciones patrimoniales</w:t>
      </w:r>
      <w:r w:rsidRPr="00BA22AC">
        <w:rPr>
          <w:rFonts w:ascii="Arial" w:eastAsia="Calibri" w:hAnsi="Arial" w:cs="Arial"/>
          <w:bCs/>
          <w:color w:val="000000"/>
          <w:sz w:val="21"/>
          <w:vertAlign w:val="superscript"/>
          <w:lang w:val="es-ES_tradnl" w:eastAsia="es-ES_tradnl" w:bidi="es-ES"/>
        </w:rPr>
        <w:footnoteReference w:id="25"/>
      </w:r>
      <w:r w:rsidRPr="00BA22AC">
        <w:rPr>
          <w:rFonts w:ascii="Arial" w:eastAsia="Calibri" w:hAnsi="Arial" w:cs="Arial"/>
          <w:bCs/>
          <w:color w:val="000000"/>
          <w:sz w:val="21"/>
          <w:lang w:val="es-ES_tradnl" w:eastAsia="es-ES_tradnl" w:bidi="es-ES"/>
        </w:rPr>
        <w:t>»</w:t>
      </w:r>
      <w:r w:rsidRPr="00BA22AC">
        <w:rPr>
          <w:rFonts w:ascii="Arial" w:eastAsia="Calibri" w:hAnsi="Arial" w:cs="Arial"/>
          <w:bCs/>
          <w:color w:val="000000"/>
          <w:sz w:val="21"/>
          <w:vertAlign w:val="superscript"/>
          <w:lang w:val="es-ES_tradnl" w:eastAsia="es-ES_tradnl" w:bidi="es-ES"/>
        </w:rPr>
        <w:footnoteReference w:id="26"/>
      </w:r>
      <w:r w:rsidRPr="00BA22AC">
        <w:rPr>
          <w:rFonts w:ascii="Arial" w:eastAsia="Calibri" w:hAnsi="Arial" w:cs="Arial"/>
          <w:bCs/>
          <w:color w:val="000000"/>
          <w:sz w:val="21"/>
          <w:lang w:val="es-ES_tradnl" w:eastAsia="es-ES_tradnl" w:bidi="es-ES"/>
        </w:rPr>
        <w:t xml:space="preserve">. </w:t>
      </w:r>
    </w:p>
    <w:p w14:paraId="709D70E0" w14:textId="77777777" w:rsidR="00BA22AC" w:rsidRPr="009E1763" w:rsidRDefault="00BA22AC" w:rsidP="00BA22AC">
      <w:pPr>
        <w:contextualSpacing/>
        <w:rPr>
          <w:rFonts w:ascii="Arial" w:eastAsia="Calibri" w:hAnsi="Arial" w:cs="Arial"/>
          <w:bCs/>
          <w:color w:val="000000"/>
          <w:sz w:val="22"/>
          <w:szCs w:val="24"/>
          <w:lang w:val="es-CO" w:eastAsia="es-ES_tradnl" w:bidi="es-ES"/>
        </w:rPr>
      </w:pPr>
    </w:p>
    <w:p w14:paraId="63002CD2" w14:textId="77777777" w:rsidR="00BA22AC" w:rsidRPr="009E1763" w:rsidRDefault="00BA22AC" w:rsidP="00BA22AC">
      <w:pPr>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ab/>
        <w:t>En esta ocasión la Honorable Corporación resaltó la finalidad del acuerdo de voluntades como un factor de diferenciación entre las dos figuras. Si bien estas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mientras que los convenios interadministrativos involucran la ejecución de actividades en función de un interés común para las partes</w:t>
      </w:r>
      <w:r w:rsidRPr="007048BD">
        <w:rPr>
          <w:rFonts w:ascii="Arial" w:eastAsia="Calibri" w:hAnsi="Arial" w:cs="Arial"/>
          <w:bCs/>
          <w:color w:val="000000"/>
          <w:sz w:val="22"/>
          <w:szCs w:val="24"/>
          <w:lang w:val="es-CO" w:eastAsia="es-ES_tradnl" w:bidi="es-ES"/>
        </w:rPr>
        <w:t>; si bien se puede pactar remuneración</w:t>
      </w:r>
      <w:r>
        <w:rPr>
          <w:rStyle w:val="Refdenotaalpie"/>
          <w:rFonts w:ascii="Arial" w:eastAsia="Calibri" w:hAnsi="Arial" w:cs="Arial"/>
          <w:bCs/>
          <w:color w:val="000000"/>
          <w:sz w:val="22"/>
          <w:szCs w:val="24"/>
          <w:lang w:val="es-CO" w:eastAsia="es-ES_tradnl" w:bidi="es-ES"/>
        </w:rPr>
        <w:footnoteReference w:id="27"/>
      </w:r>
      <w:r w:rsidRPr="007048BD">
        <w:rPr>
          <w:rFonts w:ascii="Arial" w:eastAsia="Calibri" w:hAnsi="Arial" w:cs="Arial"/>
          <w:bCs/>
          <w:color w:val="000000"/>
          <w:sz w:val="22"/>
          <w:szCs w:val="24"/>
          <w:lang w:val="es-CO" w:eastAsia="es-ES_tradnl" w:bidi="es-ES"/>
        </w:rPr>
        <w:t>, en esencia se pretende el cumplimiento de fines coincidentes entre quienes lo ejecutan</w:t>
      </w:r>
      <w:r w:rsidRPr="009E1763">
        <w:rPr>
          <w:rFonts w:ascii="Arial" w:eastAsia="Calibri" w:hAnsi="Arial" w:cs="Arial"/>
          <w:bCs/>
          <w:color w:val="000000"/>
          <w:sz w:val="22"/>
          <w:szCs w:val="24"/>
          <w:lang w:val="es-CO" w:eastAsia="es-ES_tradnl" w:bidi="es-ES"/>
        </w:rPr>
        <w:t xml:space="preserve">. </w:t>
      </w:r>
    </w:p>
    <w:p w14:paraId="18C4606A" w14:textId="77777777" w:rsidR="00BA22AC" w:rsidRPr="009E1763" w:rsidRDefault="00BA22AC" w:rsidP="00BA22AC">
      <w:pPr>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ab/>
      </w:r>
    </w:p>
    <w:p w14:paraId="40B37A1B" w14:textId="77777777" w:rsidR="00BA22AC" w:rsidRDefault="00BA22AC" w:rsidP="00BA22AC">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en la que existe una relación de subordinación que cuenta con unas exigencias y restricciones normativas adicionales de manera que, en efecto, dista de la naturaleza y esencia del convenio interadministrativo.</w:t>
      </w:r>
    </w:p>
    <w:p w14:paraId="40602F1B" w14:textId="77777777" w:rsidR="00BA22AC" w:rsidRDefault="00BA22AC" w:rsidP="00BA22AC">
      <w:pPr>
        <w:ind w:firstLine="708"/>
        <w:contextualSpacing/>
        <w:rPr>
          <w:rFonts w:ascii="Arial" w:eastAsia="Calibri" w:hAnsi="Arial" w:cs="Arial"/>
          <w:bCs/>
          <w:color w:val="000000"/>
          <w:sz w:val="22"/>
          <w:szCs w:val="24"/>
          <w:lang w:val="es-CO" w:eastAsia="es-ES_tradnl" w:bidi="es-ES"/>
        </w:rPr>
      </w:pPr>
    </w:p>
    <w:p w14:paraId="44FBFBB8" w14:textId="77777777" w:rsidR="00BA22AC" w:rsidRDefault="00BA22AC" w:rsidP="00BA22AC">
      <w:pPr>
        <w:ind w:firstLine="708"/>
        <w:contextualSpacing/>
        <w:rPr>
          <w:rFonts w:ascii="Arial" w:eastAsia="Calibri" w:hAnsi="Arial" w:cs="Arial"/>
          <w:bCs/>
          <w:color w:val="000000"/>
          <w:sz w:val="22"/>
          <w:szCs w:val="24"/>
          <w:lang w:val="es-CO" w:eastAsia="es-ES_tradnl" w:bidi="es-ES"/>
        </w:rPr>
      </w:pPr>
      <w:r w:rsidRPr="007048BD">
        <w:rPr>
          <w:rFonts w:ascii="Arial" w:eastAsia="Calibri" w:hAnsi="Arial" w:cs="Arial"/>
          <w:bCs/>
          <w:color w:val="000000"/>
          <w:sz w:val="22"/>
          <w:szCs w:val="24"/>
          <w:lang w:val="es-CO" w:eastAsia="es-ES_tradnl" w:bidi="es-ES"/>
        </w:rPr>
        <w:t>De aquí que el Consejo de Estado</w:t>
      </w:r>
      <w:r w:rsidRPr="007048BD">
        <w:rPr>
          <w:rFonts w:ascii="Arial" w:eastAsia="Calibri" w:hAnsi="Arial" w:cs="Arial"/>
          <w:bCs/>
          <w:color w:val="000000"/>
          <w:sz w:val="22"/>
          <w:szCs w:val="24"/>
          <w:vertAlign w:val="superscript"/>
          <w:lang w:val="es-CO" w:eastAsia="es-ES_tradnl" w:bidi="es-ES"/>
        </w:rPr>
        <w:footnoteReference w:id="28"/>
      </w:r>
      <w:r w:rsidRPr="007048BD">
        <w:rPr>
          <w:rFonts w:ascii="Arial" w:eastAsia="Calibri" w:hAnsi="Arial" w:cs="Arial"/>
          <w:bCs/>
          <w:color w:val="000000"/>
          <w:sz w:val="22"/>
          <w:szCs w:val="24"/>
          <w:lang w:val="es-CO" w:eastAsia="es-ES_tradnl" w:bidi="es-ES"/>
        </w:rPr>
        <w:t xml:space="preserve"> haya señalado la necesidad de diferenciar el régimen jurídico aplicable a ciertas situaciones específicas del convenio interadministrativo que se separan del régimen jurídico común:</w:t>
      </w:r>
    </w:p>
    <w:p w14:paraId="11F4A4AD" w14:textId="77777777" w:rsidR="00BA22AC" w:rsidRDefault="00BA22AC" w:rsidP="00BA22AC">
      <w:pPr>
        <w:ind w:firstLine="708"/>
        <w:contextualSpacing/>
        <w:rPr>
          <w:rFonts w:ascii="Arial" w:eastAsia="Calibri" w:hAnsi="Arial" w:cs="Arial"/>
          <w:bCs/>
          <w:color w:val="000000"/>
          <w:sz w:val="22"/>
          <w:szCs w:val="24"/>
          <w:lang w:val="es-CO" w:eastAsia="es-ES_tradnl" w:bidi="es-ES"/>
        </w:rPr>
      </w:pPr>
    </w:p>
    <w:p w14:paraId="715E4AB9" w14:textId="77777777" w:rsidR="00BA22AC" w:rsidRPr="00383685" w:rsidRDefault="00BA22AC" w:rsidP="00BA22AC">
      <w:pPr>
        <w:spacing w:line="240" w:lineRule="auto"/>
        <w:ind w:left="708" w:right="709"/>
        <w:contextualSpacing/>
        <w:rPr>
          <w:rFonts w:ascii="Arial" w:eastAsia="Calibri" w:hAnsi="Arial" w:cs="Arial"/>
          <w:bCs/>
          <w:color w:val="000000"/>
          <w:sz w:val="21"/>
          <w:lang w:val="es-CO" w:eastAsia="es-ES_tradnl" w:bidi="es-ES"/>
        </w:rPr>
      </w:pPr>
      <w:r w:rsidRPr="00383685">
        <w:rPr>
          <w:rFonts w:ascii="Arial" w:eastAsia="Calibri" w:hAnsi="Arial" w:cs="Arial"/>
          <w:bCs/>
          <w:color w:val="000000"/>
          <w:sz w:val="21"/>
          <w:lang w:val="es-CO" w:eastAsia="es-ES_tradnl" w:bidi="es-ES"/>
        </w:rPr>
        <w:t xml:space="preserve">[E]s preciso señalar que los convenios interadministrativos se someten a los principios constitucionales y legales de la actividad contractual del Estado (transparencia, planeación, buena fe, entre otros) y, obviamente, a los principios de la función administrativa previstos en el artículo 209 CP (moralidad, economía, celeridad, entre otros), en virtud del carácter vinculante de los mismos, dentro del contexto de un ánimo de cooperación que se refleja en el plano de igualdad o equivalencia en que se celebran y ejecutan, lo que significa ausencia de prerrogativas en favor de una parte a costa de la otra. Ahora, dada la naturaleza jurídica explicada de los convenios interadministrativos, </w:t>
      </w:r>
      <w:r w:rsidRPr="00383685">
        <w:rPr>
          <w:rFonts w:ascii="Arial" w:eastAsia="Calibri" w:hAnsi="Arial" w:cs="Arial"/>
          <w:bCs/>
          <w:color w:val="000000"/>
          <w:sz w:val="21"/>
          <w:u w:val="single"/>
          <w:lang w:val="es-CO" w:eastAsia="es-ES_tradnl" w:bidi="es-ES"/>
        </w:rPr>
        <w:t>las reglas del Estatuto General de Contratación de la Administración Pública contenidas en la actualidad en las Leyes 80 de 1993, 1150 de 2007 y 1474 de 2011, no resultan de aplicación automática a tales convenios, toda vez que ese Estatuto lo que esencialmente regula son relaciones contractuales de contenido patrimonial y oneroso</w:t>
      </w:r>
      <w:r w:rsidRPr="00383685">
        <w:rPr>
          <w:rFonts w:ascii="Arial" w:eastAsia="Calibri" w:hAnsi="Arial" w:cs="Arial"/>
          <w:bCs/>
          <w:color w:val="000000"/>
          <w:sz w:val="21"/>
          <w:lang w:val="es-CO" w:eastAsia="es-ES_tradnl" w:bidi="es-ES"/>
        </w:rPr>
        <w:t xml:space="preserve">. </w:t>
      </w:r>
      <w:r w:rsidRPr="00383685">
        <w:rPr>
          <w:rFonts w:ascii="Arial" w:eastAsia="Calibri" w:hAnsi="Arial" w:cs="Arial"/>
          <w:bCs/>
          <w:color w:val="000000"/>
          <w:sz w:val="21"/>
          <w:u w:val="single"/>
          <w:lang w:val="es-CO" w:eastAsia="es-ES_tradnl" w:bidi="es-ES"/>
        </w:rPr>
        <w:t>En tal sentido, en cada caso concreto deberá analizarse, de conformidad con la naturaleza jurídica, objeto y finalidad que se pretende cumplir o desarrollar con el respectivo convenio, si la disposición correspondiente del Estatuto Contractual es aplicable o no</w:t>
      </w:r>
      <w:r w:rsidRPr="00383685">
        <w:rPr>
          <w:rFonts w:ascii="Arial" w:eastAsia="Calibri" w:hAnsi="Arial" w:cs="Arial"/>
          <w:bCs/>
          <w:color w:val="000000"/>
          <w:sz w:val="21"/>
          <w:lang w:val="es-CO" w:eastAsia="es-ES_tradnl" w:bidi="es-ES"/>
        </w:rPr>
        <w:t xml:space="preserve">. (subrayado fuera del texto original) </w:t>
      </w:r>
    </w:p>
    <w:p w14:paraId="49659F28" w14:textId="77777777" w:rsidR="00BA22AC" w:rsidRPr="007048BD" w:rsidRDefault="00BA22AC" w:rsidP="00BA22AC">
      <w:pPr>
        <w:ind w:firstLine="708"/>
        <w:contextualSpacing/>
        <w:rPr>
          <w:rFonts w:ascii="Arial" w:eastAsia="Calibri" w:hAnsi="Arial" w:cs="Arial"/>
          <w:bCs/>
          <w:color w:val="000000"/>
          <w:sz w:val="22"/>
          <w:szCs w:val="24"/>
          <w:lang w:val="es-CO" w:eastAsia="es-ES_tradnl" w:bidi="es-ES"/>
        </w:rPr>
      </w:pPr>
    </w:p>
    <w:p w14:paraId="4B6C2DBE" w14:textId="0B0FE2B0" w:rsidR="00BA22AC" w:rsidRPr="00BA22AC" w:rsidRDefault="00BA22AC" w:rsidP="00BA22AC">
      <w:pPr>
        <w:ind w:firstLine="708"/>
        <w:contextualSpacing/>
        <w:rPr>
          <w:rFonts w:ascii="Arial" w:eastAsia="Calibri" w:hAnsi="Arial" w:cs="Arial"/>
          <w:bCs/>
          <w:color w:val="000000"/>
          <w:sz w:val="22"/>
          <w:szCs w:val="24"/>
          <w:lang w:val="es-CO" w:eastAsia="es-ES_tradnl" w:bidi="es-ES"/>
        </w:rPr>
      </w:pPr>
      <w:r w:rsidRPr="007048BD">
        <w:rPr>
          <w:rFonts w:ascii="Arial" w:eastAsia="Calibri" w:hAnsi="Arial" w:cs="Arial"/>
          <w:bCs/>
          <w:color w:val="000000"/>
          <w:sz w:val="22"/>
          <w:szCs w:val="24"/>
          <w:lang w:val="es-CO" w:eastAsia="es-ES_tradnl" w:bidi="es-ES"/>
        </w:rPr>
        <w:t>A juicio de la sala si bien existe un régimen jurídico común compuesto por las normas del EGCAP que ordenan las declaraciones de voluntad negocial de las entidades estatales -el consentimiento y los efectos de las obligaciones-, y las normas de derecho público relacionadas con la capacidad o competencia de las entidades estatales para celebrar acuerdos de voluntades -que incluyen el régimen de inhabilidades, incompatibilidades y conflictos de interés-, para el resto de asuntos regulados en el EGCAP será necesario tener en cuenta el plano de igualdad o equivalencia en el que se encuentran las partes del convenio y, por ende, la aplicabilidad de cada disposición al caso concreto. En ese orden, por ejemplo, no serán aplicables cláusulas excepcionales al derecho común</w:t>
      </w:r>
      <w:r w:rsidRPr="007048BD">
        <w:rPr>
          <w:rFonts w:ascii="Arial" w:eastAsia="Calibri" w:hAnsi="Arial" w:cs="Arial"/>
          <w:bCs/>
          <w:color w:val="000000"/>
          <w:sz w:val="22"/>
          <w:szCs w:val="24"/>
          <w:vertAlign w:val="superscript"/>
          <w:lang w:val="es-CO" w:eastAsia="es-ES_tradnl" w:bidi="es-ES"/>
        </w:rPr>
        <w:footnoteReference w:id="29"/>
      </w:r>
      <w:r w:rsidRPr="007048BD">
        <w:rPr>
          <w:rFonts w:ascii="Arial" w:eastAsia="Calibri" w:hAnsi="Arial" w:cs="Arial"/>
          <w:bCs/>
          <w:color w:val="000000"/>
          <w:sz w:val="22"/>
          <w:szCs w:val="24"/>
          <w:lang w:val="es-CO" w:eastAsia="es-ES_tradnl" w:bidi="es-ES"/>
        </w:rPr>
        <w:t>.</w:t>
      </w:r>
    </w:p>
    <w:p w14:paraId="4CF70B38" w14:textId="77777777" w:rsidR="00664CC9" w:rsidRDefault="00F96B99" w:rsidP="00664CC9">
      <w:pPr>
        <w:pStyle w:val="NormalWeb"/>
        <w:spacing w:after="0" w:line="240" w:lineRule="auto"/>
        <w:ind w:left="709" w:right="709"/>
        <w:rPr>
          <w:rFonts w:ascii="Arial" w:hAnsi="Arial" w:cs="Arial"/>
          <w:sz w:val="21"/>
          <w:szCs w:val="21"/>
        </w:rPr>
      </w:pPr>
      <w:r w:rsidRPr="009E1763">
        <w:rPr>
          <w:rFonts w:ascii="Arial" w:hAnsi="Arial" w:cs="Arial"/>
          <w:sz w:val="21"/>
          <w:szCs w:val="21"/>
        </w:rPr>
        <w:t>«</w:t>
      </w:r>
      <w:r w:rsidR="00E44A29" w:rsidRPr="00E44A29">
        <w:rPr>
          <w:rFonts w:ascii="Arial" w:hAnsi="Arial" w:cs="Arial"/>
          <w:sz w:val="21"/>
          <w:szCs w:val="21"/>
        </w:rPr>
        <w:t>-</w:t>
      </w:r>
      <w:r w:rsidR="00E44A29">
        <w:rPr>
          <w:rFonts w:ascii="Arial" w:hAnsi="Arial" w:cs="Arial"/>
          <w:sz w:val="21"/>
          <w:szCs w:val="21"/>
        </w:rPr>
        <w:t xml:space="preserve"> </w:t>
      </w:r>
      <w:r w:rsidR="00E44A29" w:rsidRPr="00E44A29">
        <w:rPr>
          <w:rFonts w:ascii="Arial" w:hAnsi="Arial" w:cs="Arial"/>
          <w:sz w:val="21"/>
          <w:szCs w:val="21"/>
        </w:rPr>
        <w:t>¿Cuál es la responsabilidad y deberes del supervisor del contrato interadministrativo, en caso que se ejecuten obras con los recursos del contrato?</w:t>
      </w:r>
    </w:p>
    <w:p w14:paraId="63322412" w14:textId="4398836F" w:rsidR="00664CC9" w:rsidRPr="00E44A29" w:rsidRDefault="00664CC9" w:rsidP="00664CC9">
      <w:pPr>
        <w:pStyle w:val="NormalWeb"/>
        <w:spacing w:after="0" w:line="240" w:lineRule="auto"/>
        <w:ind w:left="709" w:right="709"/>
        <w:rPr>
          <w:rFonts w:ascii="Arial" w:hAnsi="Arial" w:cs="Arial"/>
          <w:sz w:val="21"/>
          <w:szCs w:val="21"/>
        </w:rPr>
      </w:pPr>
      <w:r w:rsidRPr="00E44A29">
        <w:rPr>
          <w:rFonts w:ascii="Arial" w:hAnsi="Arial" w:cs="Arial"/>
          <w:sz w:val="21"/>
          <w:szCs w:val="21"/>
        </w:rPr>
        <w:lastRenderedPageBreak/>
        <w:t>-</w:t>
      </w:r>
      <w:r>
        <w:rPr>
          <w:rFonts w:ascii="Arial" w:hAnsi="Arial" w:cs="Arial"/>
          <w:sz w:val="21"/>
          <w:szCs w:val="21"/>
        </w:rPr>
        <w:t xml:space="preserve"> </w:t>
      </w:r>
      <w:r w:rsidRPr="00E44A29">
        <w:rPr>
          <w:rFonts w:ascii="Arial" w:hAnsi="Arial" w:cs="Arial"/>
          <w:sz w:val="21"/>
          <w:szCs w:val="21"/>
        </w:rPr>
        <w:t>¿Cuál es la responsabilidad y deberes del supervisor designado para el convenio interadministrativo con respecto a los contratos de obra que se deriven de este?</w:t>
      </w:r>
      <w:r w:rsidRPr="009E1763">
        <w:rPr>
          <w:rFonts w:ascii="Arial" w:hAnsi="Arial" w:cs="Arial"/>
          <w:sz w:val="21"/>
          <w:szCs w:val="21"/>
        </w:rPr>
        <w:t>»</w:t>
      </w:r>
    </w:p>
    <w:p w14:paraId="13D252C6" w14:textId="64383438" w:rsidR="00F96B99" w:rsidRPr="00A945B9" w:rsidRDefault="00F96B99" w:rsidP="00F96B99">
      <w:pPr>
        <w:ind w:firstLine="709"/>
        <w:rPr>
          <w:rFonts w:ascii="Arial" w:eastAsia="Calibri" w:hAnsi="Arial" w:cs="Arial"/>
          <w:sz w:val="22"/>
        </w:rPr>
      </w:pPr>
      <w:r>
        <w:rPr>
          <w:rFonts w:ascii="Arial" w:eastAsia="Calibri" w:hAnsi="Arial" w:cs="Arial"/>
          <w:sz w:val="22"/>
        </w:rPr>
        <w:t>T</w:t>
      </w:r>
      <w:r w:rsidRPr="001811CD">
        <w:rPr>
          <w:rFonts w:ascii="Arial" w:eastAsia="Calibri" w:hAnsi="Arial" w:cs="Arial"/>
          <w:sz w:val="22"/>
        </w:rPr>
        <w:t xml:space="preserve">anto supervisores e interventores tienen la función general de ejercer el control y vigilancia sobre la ejecución contractual de los contratos respecto de los cuales ejercen sus correspondientes obligaciones. Dicha labor debe ir dirigida a verificar el cumplimiento de las condiciones pactadas, por lo que están facultados para solicitar informes, aclaraciones y explicaciones sobre el desarrollo de la ejecución contractual, impartir instrucciones al contratista y hacer recomendaciones encaminadas a lograr la correcta ejecución del objeto contratado. De hecho, conforme a lo manifestado por esta Agencia en la «Guía para el ejercicio de las funciones de supervisión e interventoría de los contratos del Estado», los supervisores e </w:t>
      </w:r>
      <w:r>
        <w:rPr>
          <w:rFonts w:ascii="Arial" w:eastAsia="Calibri" w:hAnsi="Arial" w:cs="Arial"/>
          <w:sz w:val="22"/>
        </w:rPr>
        <w:t>interventores</w:t>
      </w:r>
      <w:r w:rsidRPr="001811CD">
        <w:rPr>
          <w:rFonts w:ascii="Arial" w:eastAsia="Calibri" w:hAnsi="Arial" w:cs="Arial"/>
          <w:sz w:val="22"/>
        </w:rPr>
        <w:t xml:space="preserve"> tienen funciones generales como: </w:t>
      </w:r>
    </w:p>
    <w:p w14:paraId="06BE444F" w14:textId="77777777" w:rsidR="00F96B99" w:rsidRPr="00A945B9" w:rsidRDefault="00F96B99" w:rsidP="00F96B99">
      <w:pPr>
        <w:ind w:left="709" w:right="709"/>
        <w:rPr>
          <w:rFonts w:ascii="Arial" w:hAnsi="Arial" w:cs="Arial"/>
          <w:sz w:val="21"/>
          <w:szCs w:val="21"/>
        </w:rPr>
      </w:pPr>
      <w:r w:rsidRPr="00A945B9">
        <w:rPr>
          <w:rFonts w:ascii="Arial" w:hAnsi="Arial" w:cs="Arial"/>
          <w:sz w:val="21"/>
          <w:szCs w:val="21"/>
        </w:rPr>
        <w:t xml:space="preserve">• Apoyar el logro de los objetivos contractuales. </w:t>
      </w:r>
    </w:p>
    <w:p w14:paraId="4C4F3E06" w14:textId="77777777" w:rsidR="00F96B99" w:rsidRPr="00A945B9" w:rsidRDefault="00F96B99" w:rsidP="00F96B99">
      <w:pPr>
        <w:ind w:left="709" w:right="709"/>
        <w:rPr>
          <w:rFonts w:ascii="Arial" w:hAnsi="Arial" w:cs="Arial"/>
          <w:sz w:val="21"/>
          <w:szCs w:val="21"/>
        </w:rPr>
      </w:pPr>
      <w:r w:rsidRPr="00A945B9">
        <w:rPr>
          <w:rFonts w:ascii="Arial" w:hAnsi="Arial" w:cs="Arial"/>
          <w:sz w:val="21"/>
          <w:szCs w:val="21"/>
        </w:rPr>
        <w:t xml:space="preserve">• </w:t>
      </w:r>
      <w:r w:rsidRPr="00A945B9">
        <w:rPr>
          <w:rFonts w:ascii="Arial" w:hAnsi="Arial" w:cs="Arial"/>
          <w:i/>
          <w:iCs/>
          <w:sz w:val="21"/>
          <w:szCs w:val="21"/>
        </w:rPr>
        <w:t>Velar por el cumplimiento del contrato en términos de plazos, calidades, cantidades y adecuada ejecución de los recursos del contrato.</w:t>
      </w:r>
      <w:r w:rsidRPr="00A945B9">
        <w:rPr>
          <w:rFonts w:ascii="Arial" w:hAnsi="Arial" w:cs="Arial"/>
          <w:sz w:val="21"/>
          <w:szCs w:val="21"/>
        </w:rPr>
        <w:t xml:space="preserve"> </w:t>
      </w:r>
    </w:p>
    <w:p w14:paraId="170B5648" w14:textId="77777777" w:rsidR="00F96B99" w:rsidRPr="00A945B9" w:rsidRDefault="00F96B99" w:rsidP="00F96B99">
      <w:pPr>
        <w:ind w:left="709" w:right="709"/>
        <w:rPr>
          <w:rFonts w:ascii="Arial" w:hAnsi="Arial" w:cs="Arial"/>
          <w:sz w:val="21"/>
          <w:szCs w:val="21"/>
        </w:rPr>
      </w:pPr>
      <w:r w:rsidRPr="00A945B9">
        <w:rPr>
          <w:rFonts w:ascii="Arial" w:hAnsi="Arial" w:cs="Arial"/>
          <w:sz w:val="21"/>
          <w:szCs w:val="21"/>
        </w:rPr>
        <w:t xml:space="preserve">• </w:t>
      </w:r>
      <w:r w:rsidRPr="00A945B9">
        <w:rPr>
          <w:rFonts w:ascii="Arial" w:hAnsi="Arial" w:cs="Arial"/>
          <w:i/>
          <w:iCs/>
          <w:sz w:val="21"/>
          <w:szCs w:val="21"/>
        </w:rPr>
        <w:t>Mantener en contacto a las partes del contrato.</w:t>
      </w:r>
      <w:r w:rsidRPr="00A945B9">
        <w:rPr>
          <w:rFonts w:ascii="Arial" w:hAnsi="Arial" w:cs="Arial"/>
          <w:sz w:val="21"/>
          <w:szCs w:val="21"/>
        </w:rPr>
        <w:t xml:space="preserve"> </w:t>
      </w:r>
    </w:p>
    <w:p w14:paraId="28F9C36D" w14:textId="77777777" w:rsidR="00F96B99" w:rsidRPr="00A945B9" w:rsidRDefault="00F96B99" w:rsidP="00F96B99">
      <w:pPr>
        <w:ind w:left="709" w:right="709"/>
        <w:rPr>
          <w:rFonts w:ascii="Arial" w:hAnsi="Arial" w:cs="Arial"/>
          <w:sz w:val="21"/>
          <w:szCs w:val="21"/>
        </w:rPr>
      </w:pPr>
      <w:r w:rsidRPr="00A945B9">
        <w:rPr>
          <w:rFonts w:ascii="Arial" w:hAnsi="Arial" w:cs="Arial"/>
          <w:sz w:val="21"/>
          <w:szCs w:val="21"/>
        </w:rPr>
        <w:t xml:space="preserve">• Evitar la generación de controversias y propender por su rápida solución. </w:t>
      </w:r>
    </w:p>
    <w:p w14:paraId="10CAFA14" w14:textId="77777777" w:rsidR="00F96B99" w:rsidRPr="00F96B99" w:rsidRDefault="00F96B99" w:rsidP="00F96B99">
      <w:pPr>
        <w:ind w:left="709" w:right="709"/>
        <w:rPr>
          <w:rFonts w:ascii="Arial" w:eastAsia="Calibri" w:hAnsi="Arial" w:cs="Arial"/>
          <w:sz w:val="21"/>
          <w:szCs w:val="21"/>
        </w:rPr>
      </w:pPr>
      <w:r w:rsidRPr="00A945B9">
        <w:rPr>
          <w:rFonts w:ascii="Arial" w:hAnsi="Arial" w:cs="Arial"/>
          <w:sz w:val="21"/>
          <w:szCs w:val="21"/>
        </w:rPr>
        <w:t>• Solicitar informes, llevar a cabo reuniones, integrar comités y desarrollar otras herramientas encaminadas a verificar la adecuada ejecución del contrato.</w:t>
      </w:r>
    </w:p>
    <w:p w14:paraId="55E87DB2" w14:textId="77777777" w:rsidR="00F96B99" w:rsidRPr="00A945B9" w:rsidRDefault="00F96B99" w:rsidP="00F96B99">
      <w:pPr>
        <w:ind w:left="709" w:right="709"/>
        <w:rPr>
          <w:rFonts w:ascii="Arial" w:hAnsi="Arial" w:cs="Arial"/>
          <w:sz w:val="21"/>
          <w:szCs w:val="21"/>
        </w:rPr>
      </w:pPr>
      <w:r w:rsidRPr="00A945B9">
        <w:rPr>
          <w:rFonts w:ascii="Arial" w:hAnsi="Arial" w:cs="Arial"/>
          <w:sz w:val="21"/>
          <w:szCs w:val="21"/>
        </w:rPr>
        <w:t xml:space="preserve">• Llevar a cabo las labores de monitoreo y control de riesgos que se le asignen, en coordinación con el área responsable de cada riesgo incluido en el mapa correspondiente, así como la identificación y tratamiento de los riesgos que puedan surgir durante las diversas etapas del contrato. </w:t>
      </w:r>
    </w:p>
    <w:p w14:paraId="532B0ADA" w14:textId="77777777" w:rsidR="00F96B99" w:rsidRPr="00F96B99" w:rsidRDefault="00F96B99" w:rsidP="00F96B99">
      <w:pPr>
        <w:ind w:left="709" w:right="709"/>
        <w:rPr>
          <w:rFonts w:ascii="Arial" w:hAnsi="Arial" w:cs="Arial"/>
          <w:sz w:val="21"/>
          <w:szCs w:val="21"/>
        </w:rPr>
      </w:pPr>
      <w:r w:rsidRPr="00A945B9">
        <w:rPr>
          <w:rFonts w:ascii="Arial" w:hAnsi="Arial" w:cs="Arial"/>
          <w:sz w:val="21"/>
          <w:szCs w:val="21"/>
        </w:rPr>
        <w:t xml:space="preserve">• </w:t>
      </w:r>
      <w:r w:rsidRPr="00A945B9">
        <w:rPr>
          <w:rFonts w:ascii="Arial" w:hAnsi="Arial" w:cs="Arial"/>
          <w:i/>
          <w:iCs/>
          <w:sz w:val="21"/>
          <w:szCs w:val="21"/>
        </w:rPr>
        <w:t>Aprobar o rechazar por escrito, de forma oportuna y motivada la entrega de los bienes o servicios, cuando éstos no se ajustan a lo requerido en el contrato, especificaciones técnicas, condiciones y/o calidades acordadas.</w:t>
      </w:r>
      <w:r w:rsidRPr="00A945B9">
        <w:rPr>
          <w:rFonts w:ascii="Arial" w:hAnsi="Arial" w:cs="Arial"/>
          <w:sz w:val="21"/>
          <w:szCs w:val="21"/>
        </w:rPr>
        <w:t xml:space="preserve"> </w:t>
      </w:r>
    </w:p>
    <w:p w14:paraId="354C2A55" w14:textId="77777777" w:rsidR="00F96B99" w:rsidRPr="00A945B9" w:rsidRDefault="00F96B99" w:rsidP="00F96B99">
      <w:pPr>
        <w:ind w:left="709" w:right="709"/>
        <w:rPr>
          <w:rFonts w:ascii="Arial" w:hAnsi="Arial" w:cs="Arial"/>
          <w:sz w:val="21"/>
          <w:szCs w:val="21"/>
        </w:rPr>
      </w:pPr>
      <w:r w:rsidRPr="00A945B9">
        <w:rPr>
          <w:rFonts w:ascii="Arial" w:hAnsi="Arial" w:cs="Arial"/>
          <w:i/>
          <w:iCs/>
          <w:sz w:val="21"/>
          <w:szCs w:val="21"/>
        </w:rPr>
        <w:t>• Suscribir las actas que se generen durante la ejecución del contrato para dejar documentadas diversas situaciones y entre las que se encuentran: actas de actas parciales de avance, actas parciales de recibo y actas de recibo final</w:t>
      </w:r>
      <w:r w:rsidRPr="00A945B9">
        <w:rPr>
          <w:rFonts w:ascii="Arial" w:hAnsi="Arial" w:cs="Arial"/>
          <w:sz w:val="21"/>
          <w:szCs w:val="21"/>
        </w:rPr>
        <w:t xml:space="preserve">. </w:t>
      </w:r>
    </w:p>
    <w:p w14:paraId="4600D040" w14:textId="77777777" w:rsidR="00F96B99" w:rsidRPr="00A945B9" w:rsidRDefault="00F96B99" w:rsidP="00F96B99">
      <w:pPr>
        <w:ind w:left="709" w:right="709"/>
        <w:rPr>
          <w:rFonts w:ascii="Arial" w:hAnsi="Arial" w:cs="Arial"/>
          <w:sz w:val="21"/>
          <w:szCs w:val="21"/>
        </w:rPr>
      </w:pPr>
      <w:r w:rsidRPr="00A945B9">
        <w:rPr>
          <w:rFonts w:ascii="Arial" w:hAnsi="Arial" w:cs="Arial"/>
          <w:sz w:val="21"/>
          <w:szCs w:val="21"/>
        </w:rPr>
        <w:t xml:space="preserve">• Informar a la Entidad Estatal de hechos o circunstancias que puedan constituir actos de corrupción tipificados como conductas punibles, o que pongan en riesgo el cumplimiento del contrato; así como entregar los soportes necesarios para que la Entidad Estatal desarrolle las actividades correspondientes. </w:t>
      </w:r>
    </w:p>
    <w:p w14:paraId="28420B22" w14:textId="77777777" w:rsidR="00F96B99" w:rsidRPr="00F96B99" w:rsidRDefault="00F96B99" w:rsidP="00F96B99">
      <w:pPr>
        <w:ind w:left="709" w:right="709"/>
        <w:rPr>
          <w:rFonts w:ascii="Arial" w:eastAsia="Calibri" w:hAnsi="Arial" w:cs="Arial"/>
          <w:sz w:val="21"/>
          <w:szCs w:val="21"/>
        </w:rPr>
      </w:pPr>
      <w:r w:rsidRPr="00A945B9">
        <w:rPr>
          <w:rFonts w:ascii="Arial" w:hAnsi="Arial" w:cs="Arial"/>
          <w:sz w:val="21"/>
          <w:szCs w:val="21"/>
        </w:rPr>
        <w:lastRenderedPageBreak/>
        <w:t xml:space="preserve">• Informar a la Entidad Estatal cuando se presente incumplimiento contractual; así como entregar los soportes necesarios para que la Entidad Estatal desarrolle las actividades correspondientes. (Énfasis fuera de texto). </w:t>
      </w:r>
    </w:p>
    <w:p w14:paraId="4A3CA6A8" w14:textId="67AB2F22" w:rsidR="00F96B99" w:rsidRDefault="00F96B99" w:rsidP="001E53D7">
      <w:pPr>
        <w:ind w:firstLine="708"/>
        <w:rPr>
          <w:rFonts w:ascii="Arial" w:hAnsi="Arial" w:cs="Arial"/>
          <w:bCs/>
          <w:sz w:val="22"/>
          <w:lang w:val="es-ES_tradnl"/>
        </w:rPr>
      </w:pPr>
      <w:r w:rsidRPr="00A945B9">
        <w:rPr>
          <w:rFonts w:ascii="Arial" w:eastAsia="Calibri" w:hAnsi="Arial" w:cs="Arial"/>
          <w:sz w:val="22"/>
        </w:rPr>
        <w:t>Según se desprende del apartado en cita, el ejercicio de la vigilancia de la ejecución del contrato estatal conlleva la tarea de velar por el cumplimiento de los plazos, calidades, cantidades y adecuada ejecución de los recursos del contrato</w:t>
      </w:r>
      <w:r w:rsidR="00A47731">
        <w:rPr>
          <w:rFonts w:ascii="Arial" w:eastAsia="Calibri" w:hAnsi="Arial" w:cs="Arial"/>
          <w:sz w:val="22"/>
        </w:rPr>
        <w:t xml:space="preserve">. </w:t>
      </w:r>
      <w:r w:rsidR="001E53D7">
        <w:rPr>
          <w:rFonts w:ascii="Arial" w:hAnsi="Arial" w:cs="Arial"/>
          <w:bCs/>
          <w:sz w:val="22"/>
          <w:lang w:val="es-ES_tradnl"/>
        </w:rPr>
        <w:t>En ese sentido, conforme el numeral 6 del artículo 54 de la Ley 1952 de 2019, el supervisor del contrato será responsable por omisión de sus funciones legales.</w:t>
      </w:r>
    </w:p>
    <w:p w14:paraId="042634F1" w14:textId="66F09B33" w:rsidR="00BA22AC" w:rsidRDefault="00664CC9" w:rsidP="00664CC9">
      <w:pPr>
        <w:ind w:firstLine="708"/>
        <w:rPr>
          <w:rFonts w:ascii="Arial" w:hAnsi="Arial" w:cs="Arial"/>
          <w:bCs/>
          <w:sz w:val="22"/>
          <w:lang w:val="es-ES_tradnl"/>
        </w:rPr>
      </w:pPr>
      <w:r>
        <w:rPr>
          <w:rFonts w:ascii="Arial" w:hAnsi="Arial" w:cs="Arial"/>
          <w:bCs/>
          <w:sz w:val="22"/>
          <w:lang w:val="es-ES_tradnl"/>
        </w:rPr>
        <w:t xml:space="preserve">Ahora bien, frente a los contratos de obra coligados o derivados de un contrato o convenio interadministrativo </w:t>
      </w:r>
      <w:r w:rsidR="00C75A95">
        <w:rPr>
          <w:rFonts w:ascii="Arial" w:hAnsi="Arial" w:cs="Arial"/>
          <w:bCs/>
          <w:sz w:val="22"/>
          <w:lang w:val="es-ES_tradnl"/>
        </w:rPr>
        <w:t>principal</w:t>
      </w:r>
      <w:r>
        <w:rPr>
          <w:rFonts w:ascii="Arial" w:hAnsi="Arial" w:cs="Arial"/>
          <w:bCs/>
          <w:sz w:val="22"/>
          <w:lang w:val="es-ES_tradnl"/>
        </w:rPr>
        <w:t xml:space="preserve">, debe resaltarse que estos deben contar con </w:t>
      </w:r>
      <w:r w:rsidR="00C75A95">
        <w:rPr>
          <w:rFonts w:ascii="Arial" w:hAnsi="Arial" w:cs="Arial"/>
          <w:bCs/>
          <w:sz w:val="22"/>
          <w:lang w:val="es-ES_tradnl"/>
        </w:rPr>
        <w:t>su propio supervisor e</w:t>
      </w:r>
      <w:r>
        <w:rPr>
          <w:rFonts w:ascii="Arial" w:hAnsi="Arial" w:cs="Arial"/>
          <w:bCs/>
          <w:sz w:val="22"/>
          <w:lang w:val="es-ES_tradnl"/>
        </w:rPr>
        <w:t xml:space="preserve"> interventor conforme lo establece el </w:t>
      </w:r>
      <w:r w:rsidR="00C75A95">
        <w:rPr>
          <w:rFonts w:ascii="Arial" w:hAnsi="Arial" w:cs="Arial"/>
          <w:bCs/>
          <w:sz w:val="22"/>
          <w:lang w:val="es-ES_tradnl"/>
        </w:rPr>
        <w:t xml:space="preserve">numeral 1 del </w:t>
      </w:r>
      <w:r>
        <w:rPr>
          <w:rFonts w:ascii="Arial" w:hAnsi="Arial" w:cs="Arial"/>
          <w:bCs/>
          <w:sz w:val="22"/>
          <w:lang w:val="es-ES_tradnl"/>
        </w:rPr>
        <w:t xml:space="preserve">artículo </w:t>
      </w:r>
      <w:r w:rsidR="00C75A95">
        <w:rPr>
          <w:rFonts w:ascii="Arial" w:hAnsi="Arial" w:cs="Arial"/>
          <w:bCs/>
          <w:sz w:val="22"/>
          <w:lang w:val="es-ES_tradnl"/>
        </w:rPr>
        <w:t>32</w:t>
      </w:r>
      <w:r>
        <w:rPr>
          <w:rFonts w:ascii="Arial" w:hAnsi="Arial" w:cs="Arial"/>
          <w:bCs/>
          <w:sz w:val="22"/>
          <w:lang w:val="es-ES_tradnl"/>
        </w:rPr>
        <w:t xml:space="preserve"> de la </w:t>
      </w:r>
      <w:r w:rsidR="00C75A95">
        <w:rPr>
          <w:rFonts w:ascii="Arial" w:hAnsi="Arial" w:cs="Arial"/>
          <w:bCs/>
          <w:sz w:val="22"/>
          <w:lang w:val="es-ES_tradnl"/>
        </w:rPr>
        <w:t xml:space="preserve">Ley 80 de 1993 y el artículo 83 de la </w:t>
      </w:r>
      <w:r>
        <w:rPr>
          <w:rFonts w:ascii="Arial" w:hAnsi="Arial" w:cs="Arial"/>
          <w:bCs/>
          <w:sz w:val="22"/>
          <w:lang w:val="es-ES_tradnl"/>
        </w:rPr>
        <w:t>Ley 1474 de 2011</w:t>
      </w:r>
      <w:r w:rsidR="00114CBB">
        <w:rPr>
          <w:rFonts w:ascii="Arial" w:hAnsi="Arial" w:cs="Arial"/>
          <w:bCs/>
          <w:sz w:val="22"/>
          <w:lang w:val="es-ES_tradnl"/>
        </w:rPr>
        <w:t>, además del supervisor del contrato o convenio interadministrativo principal</w:t>
      </w:r>
      <w:r w:rsidR="00F25945">
        <w:rPr>
          <w:rFonts w:ascii="Arial" w:hAnsi="Arial" w:cs="Arial"/>
          <w:bCs/>
          <w:sz w:val="22"/>
          <w:lang w:val="es-ES_tradnl"/>
        </w:rPr>
        <w:t xml:space="preserve"> cuyas obligaciones de seguimiento, vigilancia y control son más generales</w:t>
      </w:r>
      <w:r>
        <w:rPr>
          <w:rFonts w:ascii="Arial" w:hAnsi="Arial" w:cs="Arial"/>
          <w:bCs/>
          <w:sz w:val="22"/>
          <w:lang w:val="es-ES_tradnl"/>
        </w:rPr>
        <w:t xml:space="preserve">. </w:t>
      </w:r>
    </w:p>
    <w:p w14:paraId="0F061B33" w14:textId="153938E0" w:rsidR="00114CBB" w:rsidRDefault="00114CBB" w:rsidP="00C75A95">
      <w:pPr>
        <w:pStyle w:val="Sinespaciado"/>
        <w:spacing w:before="120" w:line="276" w:lineRule="auto"/>
        <w:ind w:firstLine="709"/>
        <w:jc w:val="both"/>
        <w:rPr>
          <w:rFonts w:ascii="Arial" w:hAnsi="Arial" w:cs="Arial"/>
          <w:color w:val="000000" w:themeColor="text1"/>
          <w:sz w:val="22"/>
        </w:rPr>
      </w:pPr>
      <w:r>
        <w:rPr>
          <w:rFonts w:ascii="Arial" w:hAnsi="Arial" w:cs="Arial"/>
          <w:color w:val="000000" w:themeColor="text1"/>
          <w:sz w:val="22"/>
        </w:rPr>
        <w:t>L</w:t>
      </w:r>
      <w:r w:rsidR="00C75A95" w:rsidRPr="007A7188">
        <w:rPr>
          <w:rFonts w:ascii="Arial" w:hAnsi="Arial" w:cs="Arial"/>
          <w:color w:val="000000" w:themeColor="text1"/>
          <w:sz w:val="22"/>
        </w:rPr>
        <w:t>a interventoría</w:t>
      </w:r>
      <w:r>
        <w:rPr>
          <w:rFonts w:ascii="Arial" w:hAnsi="Arial" w:cs="Arial"/>
          <w:color w:val="000000" w:themeColor="text1"/>
          <w:sz w:val="22"/>
        </w:rPr>
        <w:t xml:space="preserve"> constituye un </w:t>
      </w:r>
      <w:r w:rsidR="00C75A95" w:rsidRPr="007A7188">
        <w:rPr>
          <w:rFonts w:ascii="Arial" w:hAnsi="Arial" w:cs="Arial"/>
          <w:color w:val="000000" w:themeColor="text1"/>
          <w:sz w:val="22"/>
        </w:rPr>
        <w:t>mecanismo de vigilancia contingente en la medida que solo es obligatorio para el seguimiento de los contratos de obra adjudicados por licitación pública</w:t>
      </w:r>
      <w:r>
        <w:rPr>
          <w:rFonts w:ascii="Arial" w:hAnsi="Arial" w:cs="Arial"/>
          <w:color w:val="000000" w:themeColor="text1"/>
          <w:sz w:val="22"/>
        </w:rPr>
        <w:t xml:space="preserve"> </w:t>
      </w:r>
      <w:r w:rsidRPr="007A7188">
        <w:rPr>
          <w:rFonts w:ascii="Arial" w:hAnsi="Arial" w:cs="Arial"/>
          <w:color w:val="000000" w:themeColor="text1"/>
          <w:sz w:val="22"/>
        </w:rPr>
        <w:t>―</w:t>
      </w:r>
      <w:r>
        <w:rPr>
          <w:rFonts w:ascii="Arial" w:hAnsi="Arial" w:cs="Arial"/>
          <w:color w:val="000000" w:themeColor="text1"/>
          <w:sz w:val="22"/>
        </w:rPr>
        <w:t xml:space="preserve">numeral </w:t>
      </w:r>
      <w:r w:rsidR="00F25945">
        <w:rPr>
          <w:rFonts w:ascii="Arial" w:hAnsi="Arial" w:cs="Arial"/>
          <w:color w:val="000000" w:themeColor="text1"/>
          <w:sz w:val="22"/>
        </w:rPr>
        <w:t>1 del artículo 32</w:t>
      </w:r>
      <w:r>
        <w:rPr>
          <w:rFonts w:ascii="Arial" w:hAnsi="Arial" w:cs="Arial"/>
          <w:color w:val="000000" w:themeColor="text1"/>
          <w:sz w:val="22"/>
        </w:rPr>
        <w:t xml:space="preserve"> de la</w:t>
      </w:r>
      <w:r w:rsidRPr="007A7188">
        <w:rPr>
          <w:rFonts w:ascii="Arial" w:hAnsi="Arial" w:cs="Arial"/>
          <w:color w:val="000000" w:themeColor="text1"/>
          <w:sz w:val="22"/>
        </w:rPr>
        <w:t xml:space="preserve"> Ley </w:t>
      </w:r>
      <w:r w:rsidR="00F25945">
        <w:rPr>
          <w:rFonts w:ascii="Arial" w:hAnsi="Arial" w:cs="Arial"/>
          <w:color w:val="000000" w:themeColor="text1"/>
          <w:sz w:val="22"/>
        </w:rPr>
        <w:t>80</w:t>
      </w:r>
      <w:r w:rsidRPr="007A7188">
        <w:rPr>
          <w:rFonts w:ascii="Arial" w:hAnsi="Arial" w:cs="Arial"/>
          <w:color w:val="000000" w:themeColor="text1"/>
          <w:sz w:val="22"/>
        </w:rPr>
        <w:t xml:space="preserve"> de </w:t>
      </w:r>
      <w:r w:rsidR="00F25945">
        <w:rPr>
          <w:rFonts w:ascii="Arial" w:hAnsi="Arial" w:cs="Arial"/>
          <w:color w:val="000000" w:themeColor="text1"/>
          <w:sz w:val="22"/>
        </w:rPr>
        <w:t>1993</w:t>
      </w:r>
      <w:r w:rsidRPr="007A7188">
        <w:rPr>
          <w:rFonts w:ascii="Arial" w:hAnsi="Arial" w:cs="Arial"/>
          <w:color w:val="000000" w:themeColor="text1"/>
          <w:sz w:val="22"/>
        </w:rPr>
        <w:t>―</w:t>
      </w:r>
      <w:r w:rsidR="00C75A95" w:rsidRPr="007A7188">
        <w:rPr>
          <w:rFonts w:ascii="Arial" w:hAnsi="Arial" w:cs="Arial"/>
          <w:color w:val="000000" w:themeColor="text1"/>
          <w:sz w:val="22"/>
        </w:rPr>
        <w:t xml:space="preserve"> </w:t>
      </w:r>
      <w:r>
        <w:rPr>
          <w:rFonts w:ascii="Arial" w:hAnsi="Arial" w:cs="Arial"/>
          <w:color w:val="000000" w:themeColor="text1"/>
          <w:sz w:val="22"/>
        </w:rPr>
        <w:t>y</w:t>
      </w:r>
      <w:r w:rsidR="00C75A95" w:rsidRPr="007A7188">
        <w:rPr>
          <w:rFonts w:ascii="Arial" w:hAnsi="Arial" w:cs="Arial"/>
          <w:color w:val="000000" w:themeColor="text1"/>
          <w:sz w:val="22"/>
        </w:rPr>
        <w:t xml:space="preserve"> cuando «el seguimiento del contrato suponga conocimiento especializado en la materia, o cuando la complejidad o la extensión del mismo lo justifiquen» ―art</w:t>
      </w:r>
      <w:r w:rsidR="00F25945">
        <w:rPr>
          <w:rFonts w:ascii="Arial" w:hAnsi="Arial" w:cs="Arial"/>
          <w:color w:val="000000" w:themeColor="text1"/>
          <w:sz w:val="22"/>
        </w:rPr>
        <w:t>ículo</w:t>
      </w:r>
      <w:r w:rsidR="00C75A95" w:rsidRPr="007A7188">
        <w:rPr>
          <w:rFonts w:ascii="Arial" w:hAnsi="Arial" w:cs="Arial"/>
          <w:color w:val="000000" w:themeColor="text1"/>
          <w:sz w:val="22"/>
        </w:rPr>
        <w:t xml:space="preserve"> 8</w:t>
      </w:r>
      <w:r w:rsidR="00F25945">
        <w:rPr>
          <w:rFonts w:ascii="Arial" w:hAnsi="Arial" w:cs="Arial"/>
          <w:color w:val="000000" w:themeColor="text1"/>
          <w:sz w:val="22"/>
        </w:rPr>
        <w:t xml:space="preserve">3 </w:t>
      </w:r>
      <w:r w:rsidR="00F25945" w:rsidRPr="00F25945">
        <w:rPr>
          <w:rFonts w:ascii="Arial" w:hAnsi="Arial" w:cs="Arial"/>
          <w:i/>
          <w:iCs/>
          <w:color w:val="000000" w:themeColor="text1"/>
          <w:sz w:val="22"/>
        </w:rPr>
        <w:t>ibídem</w:t>
      </w:r>
      <w:r w:rsidR="00C75A95" w:rsidRPr="007A7188">
        <w:rPr>
          <w:rFonts w:ascii="Arial" w:hAnsi="Arial" w:cs="Arial"/>
          <w:color w:val="000000" w:themeColor="text1"/>
          <w:sz w:val="22"/>
        </w:rPr>
        <w:t>―</w:t>
      </w:r>
      <w:r w:rsidR="00F25945">
        <w:rPr>
          <w:rFonts w:ascii="Arial" w:hAnsi="Arial" w:cs="Arial"/>
          <w:color w:val="000000" w:themeColor="text1"/>
          <w:sz w:val="22"/>
        </w:rPr>
        <w:t xml:space="preserve">. De manera que en estos casos, según el artículo 83 </w:t>
      </w:r>
      <w:r w:rsidR="00F25945" w:rsidRPr="00F25945">
        <w:rPr>
          <w:rFonts w:ascii="Arial" w:hAnsi="Arial" w:cs="Arial"/>
          <w:i/>
          <w:iCs/>
          <w:color w:val="000000" w:themeColor="text1"/>
          <w:sz w:val="22"/>
        </w:rPr>
        <w:t>ibídem</w:t>
      </w:r>
      <w:r w:rsidR="00F25945" w:rsidRPr="00F25945">
        <w:rPr>
          <w:rFonts w:ascii="Arial" w:hAnsi="Arial" w:cs="Arial"/>
          <w:color w:val="000000" w:themeColor="text1"/>
          <w:sz w:val="22"/>
        </w:rPr>
        <w:t>, se</w:t>
      </w:r>
      <w:r>
        <w:rPr>
          <w:rFonts w:ascii="Arial" w:hAnsi="Arial" w:cs="Arial"/>
          <w:color w:val="000000" w:themeColor="text1"/>
          <w:sz w:val="22"/>
        </w:rPr>
        <w:t xml:space="preserve"> </w:t>
      </w:r>
      <w:r w:rsidR="00F25945">
        <w:rPr>
          <w:rFonts w:ascii="Arial" w:hAnsi="Arial" w:cs="Arial"/>
          <w:color w:val="000000" w:themeColor="text1"/>
          <w:sz w:val="22"/>
        </w:rPr>
        <w:t>requiere la contratación de</w:t>
      </w:r>
      <w:r w:rsidR="00F25945" w:rsidRPr="007A7188">
        <w:rPr>
          <w:rFonts w:ascii="Arial" w:hAnsi="Arial" w:cs="Arial"/>
          <w:color w:val="000000" w:themeColor="text1"/>
          <w:sz w:val="22"/>
        </w:rPr>
        <w:t xml:space="preserve"> un experto </w:t>
      </w:r>
      <w:r w:rsidR="00F25945">
        <w:rPr>
          <w:rFonts w:ascii="Arial" w:hAnsi="Arial" w:cs="Arial"/>
          <w:color w:val="000000" w:themeColor="text1"/>
          <w:sz w:val="22"/>
        </w:rPr>
        <w:t>el cual debe</w:t>
      </w:r>
      <w:r>
        <w:rPr>
          <w:rFonts w:ascii="Arial" w:hAnsi="Arial" w:cs="Arial"/>
          <w:color w:val="000000" w:themeColor="text1"/>
          <w:sz w:val="22"/>
        </w:rPr>
        <w:t xml:space="preserve"> ser una </w:t>
      </w:r>
      <w:r w:rsidR="00C75A95" w:rsidRPr="007A7188">
        <w:rPr>
          <w:rFonts w:ascii="Arial" w:hAnsi="Arial" w:cs="Arial"/>
          <w:color w:val="000000" w:themeColor="text1"/>
          <w:sz w:val="22"/>
        </w:rPr>
        <w:t>«persona natural o jurídica contratada para tal fin por la Entidad Estatal»</w:t>
      </w:r>
      <w:r w:rsidR="00F25945">
        <w:rPr>
          <w:rFonts w:ascii="Arial" w:hAnsi="Arial" w:cs="Arial"/>
          <w:color w:val="000000" w:themeColor="text1"/>
          <w:sz w:val="22"/>
        </w:rPr>
        <w:t xml:space="preserve"> seleccionada </w:t>
      </w:r>
      <w:r w:rsidR="00F25945" w:rsidRPr="007A7188">
        <w:rPr>
          <w:rFonts w:ascii="Arial" w:hAnsi="Arial" w:cs="Arial"/>
          <w:color w:val="000000" w:themeColor="text1"/>
          <w:sz w:val="22"/>
        </w:rPr>
        <w:t>a través de un concurso de mérito</w:t>
      </w:r>
      <w:r w:rsidR="00F25945">
        <w:rPr>
          <w:rFonts w:ascii="Arial" w:hAnsi="Arial" w:cs="Arial"/>
          <w:color w:val="000000" w:themeColor="text1"/>
          <w:sz w:val="22"/>
        </w:rPr>
        <w:t>s y vinculada</w:t>
      </w:r>
      <w:r w:rsidR="00C75A95" w:rsidRPr="007A7188">
        <w:rPr>
          <w:rFonts w:ascii="Arial" w:hAnsi="Arial" w:cs="Arial"/>
          <w:color w:val="000000" w:themeColor="text1"/>
          <w:sz w:val="22"/>
        </w:rPr>
        <w:t xml:space="preserve"> </w:t>
      </w:r>
      <w:r>
        <w:rPr>
          <w:rFonts w:ascii="Arial" w:hAnsi="Arial" w:cs="Arial"/>
          <w:color w:val="000000" w:themeColor="text1"/>
          <w:sz w:val="22"/>
        </w:rPr>
        <w:t xml:space="preserve">mediante un </w:t>
      </w:r>
      <w:r w:rsidRPr="007A7188">
        <w:rPr>
          <w:rFonts w:ascii="Arial" w:hAnsi="Arial" w:cs="Arial"/>
          <w:color w:val="000000" w:themeColor="text1"/>
          <w:sz w:val="22"/>
        </w:rPr>
        <w:t>contrato de consultoría</w:t>
      </w:r>
      <w:r w:rsidR="00F25945">
        <w:rPr>
          <w:rFonts w:ascii="Arial" w:hAnsi="Arial" w:cs="Arial"/>
          <w:color w:val="000000" w:themeColor="text1"/>
          <w:sz w:val="22"/>
        </w:rPr>
        <w:t xml:space="preserve">, conforme lo establece el numeral 2 del </w:t>
      </w:r>
      <w:r w:rsidRPr="007A7188">
        <w:rPr>
          <w:rFonts w:ascii="Arial" w:hAnsi="Arial" w:cs="Arial"/>
          <w:color w:val="000000" w:themeColor="text1"/>
          <w:sz w:val="22"/>
        </w:rPr>
        <w:t>art</w:t>
      </w:r>
      <w:r w:rsidR="00F25945">
        <w:rPr>
          <w:rFonts w:ascii="Arial" w:hAnsi="Arial" w:cs="Arial"/>
          <w:color w:val="000000" w:themeColor="text1"/>
          <w:sz w:val="22"/>
        </w:rPr>
        <w:t>ículo</w:t>
      </w:r>
      <w:r w:rsidRPr="007A7188">
        <w:rPr>
          <w:rFonts w:ascii="Arial" w:hAnsi="Arial" w:cs="Arial"/>
          <w:color w:val="000000" w:themeColor="text1"/>
          <w:sz w:val="22"/>
        </w:rPr>
        <w:t xml:space="preserve"> 32</w:t>
      </w:r>
      <w:r w:rsidR="00F25945">
        <w:rPr>
          <w:rFonts w:ascii="Arial" w:hAnsi="Arial" w:cs="Arial"/>
          <w:color w:val="000000" w:themeColor="text1"/>
          <w:sz w:val="22"/>
        </w:rPr>
        <w:t xml:space="preserve"> de la </w:t>
      </w:r>
      <w:r w:rsidRPr="007A7188">
        <w:rPr>
          <w:rFonts w:ascii="Arial" w:hAnsi="Arial" w:cs="Arial"/>
          <w:color w:val="000000" w:themeColor="text1"/>
          <w:sz w:val="22"/>
        </w:rPr>
        <w:t>Ley 80 de 1993</w:t>
      </w:r>
      <w:r w:rsidRPr="007A7188">
        <w:rPr>
          <w:rStyle w:val="Refdenotaalpie"/>
          <w:rFonts w:ascii="Arial" w:hAnsi="Arial" w:cs="Arial"/>
          <w:color w:val="000000" w:themeColor="text1"/>
          <w:sz w:val="22"/>
        </w:rPr>
        <w:footnoteReference w:id="30"/>
      </w:r>
      <w:r>
        <w:rPr>
          <w:rFonts w:ascii="Arial" w:hAnsi="Arial" w:cs="Arial"/>
          <w:color w:val="000000" w:themeColor="text1"/>
          <w:sz w:val="22"/>
        </w:rPr>
        <w:t>.</w:t>
      </w:r>
    </w:p>
    <w:p w14:paraId="7F4FD001" w14:textId="377EDE3A" w:rsidR="00114CBB" w:rsidRDefault="00F25945" w:rsidP="00C75A95">
      <w:pPr>
        <w:pStyle w:val="Sinespaciado"/>
        <w:spacing w:before="120" w:line="276" w:lineRule="auto"/>
        <w:ind w:firstLine="709"/>
        <w:jc w:val="both"/>
        <w:rPr>
          <w:rFonts w:ascii="Arial" w:hAnsi="Arial" w:cs="Arial"/>
          <w:color w:val="000000" w:themeColor="text1"/>
          <w:sz w:val="22"/>
        </w:rPr>
      </w:pPr>
      <w:r>
        <w:rPr>
          <w:rFonts w:ascii="Arial" w:hAnsi="Arial" w:cs="Arial"/>
          <w:color w:val="000000" w:themeColor="text1"/>
          <w:sz w:val="22"/>
        </w:rPr>
        <w:t>En estos términos, a</w:t>
      </w:r>
      <w:r w:rsidR="00114CBB">
        <w:rPr>
          <w:rFonts w:ascii="Arial" w:hAnsi="Arial" w:cs="Arial"/>
          <w:color w:val="000000" w:themeColor="text1"/>
          <w:sz w:val="22"/>
        </w:rPr>
        <w:t>l interventor l</w:t>
      </w:r>
      <w:r w:rsidR="00C75A95" w:rsidRPr="007A7188">
        <w:rPr>
          <w:rFonts w:ascii="Arial" w:hAnsi="Arial" w:cs="Arial"/>
          <w:color w:val="000000" w:themeColor="text1"/>
          <w:sz w:val="22"/>
        </w:rPr>
        <w:t>e es inherente el seguimiento técnico de la correcta ejecución del contrato vigilado</w:t>
      </w:r>
      <w:r w:rsidR="00114CBB">
        <w:rPr>
          <w:rFonts w:ascii="Arial" w:hAnsi="Arial" w:cs="Arial"/>
          <w:color w:val="000000" w:themeColor="text1"/>
          <w:sz w:val="22"/>
        </w:rPr>
        <w:t>. S</w:t>
      </w:r>
      <w:r w:rsidR="00C75A95" w:rsidRPr="007A7188">
        <w:rPr>
          <w:rFonts w:ascii="Arial" w:hAnsi="Arial" w:cs="Arial"/>
          <w:color w:val="000000" w:themeColor="text1"/>
          <w:sz w:val="22"/>
        </w:rPr>
        <w:t xml:space="preserve">in embargo, el artículo 83 de la Ley 1474 de 2011 permite que en el contrato de interventoría también se pacten obligaciones </w:t>
      </w:r>
      <w:r>
        <w:rPr>
          <w:rFonts w:ascii="Arial" w:hAnsi="Arial" w:cs="Arial"/>
          <w:color w:val="000000" w:themeColor="text1"/>
          <w:sz w:val="22"/>
        </w:rPr>
        <w:t>frente al</w:t>
      </w:r>
      <w:r w:rsidR="00C75A95" w:rsidRPr="007A7188">
        <w:rPr>
          <w:rFonts w:ascii="Arial" w:hAnsi="Arial" w:cs="Arial"/>
          <w:color w:val="000000" w:themeColor="text1"/>
          <w:sz w:val="22"/>
        </w:rPr>
        <w:t xml:space="preserve"> seguimiento administrativo, financiero, contable o jurídico. </w:t>
      </w:r>
      <w:r>
        <w:rPr>
          <w:rFonts w:ascii="Arial" w:hAnsi="Arial" w:cs="Arial"/>
          <w:color w:val="000000" w:themeColor="text1"/>
          <w:sz w:val="22"/>
        </w:rPr>
        <w:t>Y</w:t>
      </w:r>
      <w:r w:rsidR="00C75A95" w:rsidRPr="007A7188">
        <w:rPr>
          <w:rFonts w:ascii="Arial" w:hAnsi="Arial" w:cs="Arial"/>
          <w:color w:val="000000" w:themeColor="text1"/>
          <w:sz w:val="22"/>
        </w:rPr>
        <w:t xml:space="preserve"> caso de que no se encomiende el seguimiento total del contrato, </w:t>
      </w:r>
      <w:r w:rsidR="00114CBB">
        <w:rPr>
          <w:rFonts w:ascii="Arial" w:hAnsi="Arial" w:cs="Arial"/>
          <w:color w:val="000000" w:themeColor="text1"/>
          <w:sz w:val="22"/>
        </w:rPr>
        <w:t xml:space="preserve">conforme el inciso 3 del artículo 83 </w:t>
      </w:r>
      <w:r w:rsidR="00114CBB" w:rsidRPr="00114CBB">
        <w:rPr>
          <w:rFonts w:ascii="Arial" w:hAnsi="Arial" w:cs="Arial"/>
          <w:i/>
          <w:iCs/>
          <w:color w:val="000000" w:themeColor="text1"/>
          <w:sz w:val="22"/>
        </w:rPr>
        <w:t>ibidem</w:t>
      </w:r>
      <w:r>
        <w:rPr>
          <w:rFonts w:ascii="Arial" w:hAnsi="Arial" w:cs="Arial"/>
          <w:color w:val="000000" w:themeColor="text1"/>
          <w:sz w:val="22"/>
        </w:rPr>
        <w:t>,</w:t>
      </w:r>
      <w:r w:rsidR="00114CBB">
        <w:rPr>
          <w:rFonts w:ascii="Arial" w:hAnsi="Arial" w:cs="Arial"/>
          <w:color w:val="000000" w:themeColor="text1"/>
          <w:sz w:val="22"/>
        </w:rPr>
        <w:t xml:space="preserve"> </w:t>
      </w:r>
      <w:r w:rsidR="00C75A95" w:rsidRPr="007A7188">
        <w:rPr>
          <w:rFonts w:ascii="Arial" w:hAnsi="Arial" w:cs="Arial"/>
          <w:color w:val="000000" w:themeColor="text1"/>
          <w:sz w:val="22"/>
        </w:rPr>
        <w:t>en el contrato de interventoría «se deberán indicar las actividades técnicas a cargo del interventor y las demás quedarán a cargo de la Entidad a través del supervisor»</w:t>
      </w:r>
      <w:r>
        <w:rPr>
          <w:rFonts w:ascii="Arial" w:hAnsi="Arial" w:cs="Arial"/>
          <w:color w:val="000000" w:themeColor="text1"/>
          <w:sz w:val="22"/>
        </w:rPr>
        <w:t>, delimitando de esta manera las obligaciones a cargo de uno u otro.</w:t>
      </w:r>
    </w:p>
    <w:p w14:paraId="4B2F14E5" w14:textId="08B78F30" w:rsidR="00C75A95" w:rsidRPr="00632DE2" w:rsidRDefault="00C75A95" w:rsidP="00632DE2">
      <w:pPr>
        <w:pStyle w:val="Sinespaciado"/>
        <w:spacing w:before="120" w:line="276" w:lineRule="auto"/>
        <w:ind w:firstLine="709"/>
        <w:jc w:val="both"/>
        <w:rPr>
          <w:rFonts w:ascii="Arial" w:hAnsi="Arial" w:cs="Arial"/>
          <w:color w:val="000000" w:themeColor="text1"/>
          <w:sz w:val="22"/>
        </w:rPr>
      </w:pPr>
      <w:r w:rsidRPr="007A7188">
        <w:rPr>
          <w:rFonts w:ascii="Arial" w:hAnsi="Arial" w:cs="Arial"/>
          <w:color w:val="000000" w:themeColor="text1"/>
          <w:sz w:val="22"/>
        </w:rPr>
        <w:t xml:space="preserve">El contrato de interventoría lo supervisa directamente la entidad </w:t>
      </w:r>
      <w:r w:rsidR="00F25945">
        <w:rPr>
          <w:rFonts w:ascii="Arial" w:hAnsi="Arial" w:cs="Arial"/>
          <w:color w:val="000000" w:themeColor="text1"/>
          <w:sz w:val="22"/>
        </w:rPr>
        <w:t xml:space="preserve">conforme el inciso 4 del artículo 83 </w:t>
      </w:r>
      <w:r w:rsidR="00F25945" w:rsidRPr="00114CBB">
        <w:rPr>
          <w:rFonts w:ascii="Arial" w:hAnsi="Arial" w:cs="Arial"/>
          <w:i/>
          <w:iCs/>
          <w:color w:val="000000" w:themeColor="text1"/>
          <w:sz w:val="22"/>
        </w:rPr>
        <w:t>ibidem</w:t>
      </w:r>
      <w:r w:rsidR="00632DE2">
        <w:rPr>
          <w:rFonts w:ascii="Arial" w:hAnsi="Arial" w:cs="Arial"/>
          <w:color w:val="000000" w:themeColor="text1"/>
          <w:sz w:val="22"/>
        </w:rPr>
        <w:t xml:space="preserve"> y, en caso de omisión en sus funciones, el interventor podrá ser sujeto de responsabilidad disciplinaria </w:t>
      </w:r>
      <w:r w:rsidR="00632DE2">
        <w:rPr>
          <w:rFonts w:ascii="Arial" w:hAnsi="Arial" w:cs="Arial"/>
          <w:bCs/>
          <w:sz w:val="22"/>
          <w:lang w:val="es-ES_tradnl"/>
        </w:rPr>
        <w:t>conforme el numeral 6 del artículo 54 de la Ley 1952 de 2019, al igual que los supervisores.</w:t>
      </w:r>
    </w:p>
    <w:p w14:paraId="463AA861" w14:textId="054F328E" w:rsidR="00E44A29" w:rsidRPr="009E1763" w:rsidRDefault="00F96B99" w:rsidP="00E44A29">
      <w:pPr>
        <w:pStyle w:val="NormalWeb"/>
        <w:spacing w:after="0" w:line="240" w:lineRule="auto"/>
        <w:ind w:left="709" w:right="709"/>
        <w:rPr>
          <w:rFonts w:ascii="Arial" w:hAnsi="Arial" w:cs="Arial"/>
          <w:sz w:val="21"/>
          <w:szCs w:val="21"/>
        </w:rPr>
      </w:pPr>
      <w:r w:rsidRPr="009E1763">
        <w:rPr>
          <w:rFonts w:ascii="Arial" w:hAnsi="Arial" w:cs="Arial"/>
          <w:sz w:val="21"/>
          <w:szCs w:val="21"/>
        </w:rPr>
        <w:lastRenderedPageBreak/>
        <w:t>«</w:t>
      </w:r>
      <w:r w:rsidR="00E44A29" w:rsidRPr="00E44A29">
        <w:rPr>
          <w:rFonts w:ascii="Arial" w:hAnsi="Arial" w:cs="Arial"/>
          <w:sz w:val="21"/>
          <w:szCs w:val="21"/>
        </w:rPr>
        <w:t>-</w:t>
      </w:r>
      <w:r w:rsidR="00E44A29">
        <w:rPr>
          <w:rFonts w:ascii="Arial" w:hAnsi="Arial" w:cs="Arial"/>
          <w:sz w:val="21"/>
          <w:szCs w:val="21"/>
        </w:rPr>
        <w:t xml:space="preserve"> </w:t>
      </w:r>
      <w:r w:rsidR="00E44A29" w:rsidRPr="00E44A29">
        <w:rPr>
          <w:rFonts w:ascii="Arial" w:hAnsi="Arial" w:cs="Arial"/>
          <w:sz w:val="21"/>
          <w:szCs w:val="21"/>
        </w:rPr>
        <w:t>¿A parte de la interventoría y supervisión, la norma establece otras figuras para que las entidades públicas realicen control y seguimiento a lo contratado por estas?.</w:t>
      </w:r>
      <w:r w:rsidR="00E44A29" w:rsidRPr="009E1763">
        <w:rPr>
          <w:rFonts w:ascii="Arial" w:hAnsi="Arial" w:cs="Arial"/>
          <w:sz w:val="21"/>
          <w:szCs w:val="21"/>
        </w:rPr>
        <w:t>»</w:t>
      </w:r>
    </w:p>
    <w:p w14:paraId="32A25BC6" w14:textId="3046BBFF" w:rsidR="000339D9" w:rsidRPr="000339D9" w:rsidRDefault="00F96B99" w:rsidP="000339D9">
      <w:pPr>
        <w:tabs>
          <w:tab w:val="left" w:pos="0"/>
        </w:tabs>
        <w:spacing w:before="120"/>
        <w:rPr>
          <w:rFonts w:ascii="Arial" w:eastAsia="Calibri" w:hAnsi="Arial" w:cs="Arial"/>
          <w:color w:val="000000"/>
          <w:sz w:val="22"/>
          <w:lang w:val="es-ES_tradnl" w:eastAsia="en-GB"/>
        </w:rPr>
      </w:pPr>
      <w:r>
        <w:rPr>
          <w:rFonts w:ascii="Arial" w:hAnsi="Arial" w:cs="Arial"/>
          <w:bCs/>
          <w:color w:val="000000" w:themeColor="text1"/>
          <w:sz w:val="22"/>
        </w:rPr>
        <w:tab/>
      </w:r>
      <w:r w:rsidR="00BA22AC" w:rsidRPr="00632DE2">
        <w:rPr>
          <w:rFonts w:ascii="Arial" w:hAnsi="Arial" w:cs="Arial"/>
          <w:bCs/>
          <w:color w:val="000000" w:themeColor="text1"/>
          <w:sz w:val="22"/>
        </w:rPr>
        <w:t xml:space="preserve">El control y seguimiento de los contratos estatales </w:t>
      </w:r>
      <w:r w:rsidRPr="00632DE2">
        <w:rPr>
          <w:rFonts w:ascii="Arial" w:hAnsi="Arial" w:cs="Arial"/>
          <w:bCs/>
          <w:color w:val="000000" w:themeColor="text1"/>
          <w:sz w:val="22"/>
        </w:rPr>
        <w:t>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w:t>
      </w:r>
      <w:r w:rsidR="000339D9" w:rsidRPr="00632DE2">
        <w:rPr>
          <w:rFonts w:ascii="Arial" w:eastAsia="Calibri" w:hAnsi="Arial" w:cs="Arial"/>
          <w:color w:val="000000"/>
          <w:sz w:val="22"/>
          <w:lang w:eastAsia="en-GB"/>
        </w:rPr>
        <w:t xml:space="preserve"> </w:t>
      </w:r>
      <w:r w:rsidR="000339D9" w:rsidRPr="00632DE2">
        <w:rPr>
          <w:rFonts w:ascii="Arial" w:eastAsia="Calibri" w:hAnsi="Arial" w:cs="Arial"/>
          <w:sz w:val="22"/>
        </w:rPr>
        <w:t xml:space="preserve">Por su parte, </w:t>
      </w:r>
      <w:r w:rsidR="000339D9" w:rsidRPr="00632DE2">
        <w:rPr>
          <w:rFonts w:ascii="Arial" w:hAnsi="Arial" w:cs="Arial"/>
          <w:bCs/>
          <w:color w:val="000000" w:themeColor="text1"/>
          <w:sz w:val="22"/>
        </w:rPr>
        <w:t>las Leyes 1150 de 2007 y 1474 de 2011 complementan el régimen jurídico de la obligación de vigilar la correcta ejecución de los contratos estatales.</w:t>
      </w:r>
    </w:p>
    <w:p w14:paraId="5406CEDB" w14:textId="77777777" w:rsidR="00E44A29" w:rsidRPr="009E1763" w:rsidRDefault="00E44A29" w:rsidP="00E44A29">
      <w:pPr>
        <w:spacing w:after="0"/>
        <w:rPr>
          <w:rFonts w:ascii="Times New Roman" w:eastAsia="Times New Roman" w:hAnsi="Times New Roman" w:cs="Times New Roman"/>
          <w:szCs w:val="24"/>
          <w:lang w:val="es-CO" w:eastAsia="es-ES_tradnl"/>
        </w:rPr>
      </w:pPr>
      <w:r w:rsidRPr="009E1763">
        <w:rPr>
          <w:rFonts w:ascii="Arial" w:eastAsia="Calibri" w:hAnsi="Arial" w:cs="Arial"/>
          <w:sz w:val="22"/>
          <w:lang w:val="es-CO"/>
        </w:rPr>
        <w:t>Este concepto tiene el alcance previsto en el artículo 28 del Código de Procedimiento Administrativo y de lo Contencioso Administrativo.</w:t>
      </w:r>
    </w:p>
    <w:p w14:paraId="243A7AF5" w14:textId="77777777" w:rsidR="00E44A29" w:rsidRPr="009E1763" w:rsidRDefault="00E44A29" w:rsidP="00E44A29">
      <w:pPr>
        <w:spacing w:after="0"/>
        <w:rPr>
          <w:rFonts w:ascii="Times New Roman" w:eastAsia="Times New Roman" w:hAnsi="Times New Roman" w:cs="Times New Roman"/>
          <w:szCs w:val="24"/>
          <w:lang w:val="es-CO" w:eastAsia="es-ES_tradnl"/>
        </w:rPr>
      </w:pPr>
    </w:p>
    <w:p w14:paraId="728BC2D9" w14:textId="77777777" w:rsidR="00E44A29" w:rsidRPr="009E1763" w:rsidRDefault="00E44A29" w:rsidP="00E44A29">
      <w:pPr>
        <w:rPr>
          <w:rFonts w:ascii="Arial" w:eastAsia="Times New Roman" w:hAnsi="Arial" w:cs="Arial"/>
          <w:sz w:val="22"/>
          <w:lang w:val="es-CO" w:eastAsia="es-CO"/>
        </w:rPr>
      </w:pPr>
      <w:r w:rsidRPr="009E1763">
        <w:rPr>
          <w:rFonts w:ascii="Arial" w:eastAsia="Times New Roman" w:hAnsi="Arial" w:cs="Arial"/>
          <w:sz w:val="22"/>
          <w:lang w:val="es-CO" w:eastAsia="es-CO"/>
        </w:rPr>
        <w:t>Atentamente,</w:t>
      </w:r>
      <w:bookmarkEnd w:id="0"/>
      <w:bookmarkEnd w:id="7"/>
    </w:p>
    <w:p w14:paraId="771D5E05" w14:textId="38A8465C" w:rsidR="001F6187" w:rsidRPr="00085D03" w:rsidRDefault="004A321E" w:rsidP="001F6187">
      <w:pPr>
        <w:jc w:val="center"/>
        <w:rPr>
          <w:rFonts w:ascii="Geomanist Light" w:eastAsia="Times New Roman" w:hAnsi="Geomanist Light" w:cs="Arial"/>
          <w:lang w:eastAsia="es-CO"/>
        </w:rPr>
      </w:pPr>
      <w:r>
        <w:rPr>
          <w:noProof/>
        </w:rPr>
        <w:drawing>
          <wp:inline distT="0" distB="0" distL="0" distR="0" wp14:anchorId="2AA00B58" wp14:editId="58DFF33A">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1"/>
                    <a:stretch>
                      <a:fillRect/>
                    </a:stretch>
                  </pic:blipFill>
                  <pic:spPr>
                    <a:xfrm>
                      <a:off x="0" y="0"/>
                      <a:ext cx="2785707" cy="1068836"/>
                    </a:xfrm>
                    <a:prstGeom prst="rect">
                      <a:avLst/>
                    </a:prstGeom>
                  </pic:spPr>
                </pic:pic>
              </a:graphicData>
            </a:graphic>
          </wp:inline>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1F6187" w:rsidRPr="00085D03" w14:paraId="5EFAD175" w14:textId="77777777" w:rsidTr="002B5ABF">
        <w:trPr>
          <w:trHeight w:val="315"/>
        </w:trPr>
        <w:tc>
          <w:tcPr>
            <w:tcW w:w="812" w:type="dxa"/>
            <w:vAlign w:val="center"/>
          </w:tcPr>
          <w:p w14:paraId="3CACDA1B" w14:textId="77777777" w:rsidR="001F6187" w:rsidRPr="00085D03" w:rsidRDefault="001F6187" w:rsidP="002B5ABF">
            <w:pPr>
              <w:spacing w:after="0"/>
              <w:rPr>
                <w:rFonts w:ascii="Geomanist Light" w:eastAsia="Times New Roman" w:hAnsi="Geomanist Light" w:cs="Arial"/>
                <w:sz w:val="16"/>
                <w:szCs w:val="16"/>
                <w:lang w:eastAsia="es-ES"/>
              </w:rPr>
            </w:pPr>
            <w:r w:rsidRPr="00085D03">
              <w:rPr>
                <w:rFonts w:ascii="Geomanist Light" w:eastAsia="Times New Roman" w:hAnsi="Geomanist Light" w:cs="Arial"/>
                <w:sz w:val="16"/>
                <w:szCs w:val="16"/>
                <w:lang w:eastAsia="es-ES"/>
              </w:rPr>
              <w:t>Elaboró:</w:t>
            </w:r>
          </w:p>
        </w:tc>
        <w:tc>
          <w:tcPr>
            <w:tcW w:w="4413" w:type="dxa"/>
            <w:tcBorders>
              <w:bottom w:val="dotted" w:sz="4" w:space="0" w:color="7F7F7F" w:themeColor="text1" w:themeTint="80"/>
            </w:tcBorders>
            <w:vAlign w:val="center"/>
          </w:tcPr>
          <w:p w14:paraId="4E38140D" w14:textId="77777777" w:rsidR="001F6187" w:rsidRPr="00085D03" w:rsidRDefault="001F6187" w:rsidP="002B5ABF">
            <w:pPr>
              <w:spacing w:after="0"/>
              <w:rPr>
                <w:rFonts w:ascii="Geomanist Light" w:eastAsia="Times New Roman" w:hAnsi="Geomanist Light" w:cs="Arial"/>
                <w:sz w:val="16"/>
                <w:szCs w:val="16"/>
                <w:lang w:eastAsia="es-ES"/>
              </w:rPr>
            </w:pPr>
            <w:r w:rsidRPr="00085D03">
              <w:rPr>
                <w:rFonts w:ascii="Geomanist Light" w:eastAsia="Times New Roman" w:hAnsi="Geomanist Light" w:cs="Arial"/>
                <w:sz w:val="16"/>
                <w:szCs w:val="16"/>
                <w:lang w:eastAsia="es-ES"/>
              </w:rPr>
              <w:t>Juan Carlos Covilla Martínez</w:t>
            </w:r>
          </w:p>
          <w:p w14:paraId="5866132F" w14:textId="77777777" w:rsidR="001F6187" w:rsidRPr="00085D03" w:rsidRDefault="001F6187" w:rsidP="002B5ABF">
            <w:pPr>
              <w:spacing w:after="0"/>
              <w:rPr>
                <w:rFonts w:ascii="Geomanist Light" w:eastAsia="Times New Roman" w:hAnsi="Geomanist Light" w:cs="Arial"/>
                <w:sz w:val="16"/>
                <w:szCs w:val="16"/>
                <w:lang w:eastAsia="es-ES"/>
              </w:rPr>
            </w:pPr>
            <w:r w:rsidRPr="00085D03">
              <w:rPr>
                <w:rFonts w:ascii="Geomanist Light" w:eastAsia="Times New Roman" w:hAnsi="Geomanist Light" w:cs="Arial"/>
                <w:sz w:val="16"/>
                <w:szCs w:val="16"/>
                <w:lang w:eastAsia="es-ES"/>
              </w:rPr>
              <w:t xml:space="preserve">Contratista de la Subdirección de Gestión Contractual </w:t>
            </w:r>
          </w:p>
        </w:tc>
      </w:tr>
      <w:tr w:rsidR="001F6187" w:rsidRPr="00085D03" w14:paraId="5FDE300A" w14:textId="77777777" w:rsidTr="002B5ABF">
        <w:trPr>
          <w:trHeight w:val="330"/>
        </w:trPr>
        <w:tc>
          <w:tcPr>
            <w:tcW w:w="812" w:type="dxa"/>
            <w:vAlign w:val="center"/>
          </w:tcPr>
          <w:p w14:paraId="5742581C" w14:textId="77777777" w:rsidR="001F6187" w:rsidRPr="00085D03" w:rsidRDefault="001F6187" w:rsidP="002B5ABF">
            <w:pPr>
              <w:spacing w:after="0"/>
              <w:rPr>
                <w:rFonts w:ascii="Geomanist Light" w:eastAsia="Times New Roman" w:hAnsi="Geomanist Light" w:cs="Arial"/>
                <w:sz w:val="16"/>
                <w:szCs w:val="16"/>
                <w:lang w:eastAsia="es-ES"/>
              </w:rPr>
            </w:pPr>
            <w:r w:rsidRPr="00085D03">
              <w:rPr>
                <w:rFonts w:ascii="Geomanist Light" w:eastAsia="Times New Roman" w:hAnsi="Geomanist Light" w:cs="Arial"/>
                <w:sz w:val="16"/>
                <w:szCs w:val="16"/>
                <w:lang w:eastAsia="es-ES"/>
              </w:rPr>
              <w:t>Revisó:</w:t>
            </w:r>
          </w:p>
        </w:tc>
        <w:tc>
          <w:tcPr>
            <w:tcW w:w="4413" w:type="dxa"/>
            <w:tcBorders>
              <w:top w:val="dotted" w:sz="4" w:space="0" w:color="7F7F7F" w:themeColor="text1" w:themeTint="80"/>
              <w:bottom w:val="dotted" w:sz="4" w:space="0" w:color="7F7F7F" w:themeColor="text1" w:themeTint="80"/>
            </w:tcBorders>
            <w:vAlign w:val="center"/>
          </w:tcPr>
          <w:p w14:paraId="273B0583" w14:textId="77777777" w:rsidR="001F6187" w:rsidRPr="00085D03" w:rsidRDefault="001F6187" w:rsidP="002B5ABF">
            <w:pPr>
              <w:spacing w:after="0"/>
              <w:rPr>
                <w:rFonts w:ascii="Geomanist Light" w:hAnsi="Geomanist Light" w:cs="Arial"/>
                <w:sz w:val="16"/>
                <w:szCs w:val="16"/>
                <w:lang w:eastAsia="es-ES"/>
              </w:rPr>
            </w:pPr>
            <w:r w:rsidRPr="00085D03">
              <w:rPr>
                <w:rFonts w:ascii="Geomanist Light" w:hAnsi="Geomanist Light" w:cs="Arial"/>
                <w:sz w:val="16"/>
                <w:szCs w:val="16"/>
                <w:lang w:eastAsia="es-ES"/>
              </w:rPr>
              <w:t>Alejandro Sarmiento Cantillo</w:t>
            </w:r>
          </w:p>
          <w:p w14:paraId="1E4F362D" w14:textId="77777777" w:rsidR="001F6187" w:rsidRPr="00085D03" w:rsidRDefault="001F6187" w:rsidP="002B5ABF">
            <w:pPr>
              <w:spacing w:after="0"/>
              <w:rPr>
                <w:rFonts w:ascii="Geomanist Light" w:eastAsia="Times New Roman" w:hAnsi="Geomanist Light" w:cs="Arial"/>
                <w:sz w:val="16"/>
                <w:szCs w:val="16"/>
                <w:lang w:eastAsia="es-ES"/>
              </w:rPr>
            </w:pPr>
            <w:r w:rsidRPr="00085D03">
              <w:rPr>
                <w:rFonts w:ascii="Geomanist Light" w:hAnsi="Geomanist Light" w:cs="Arial"/>
                <w:sz w:val="16"/>
                <w:szCs w:val="16"/>
                <w:lang w:eastAsia="es-ES"/>
              </w:rPr>
              <w:t>Gestor T1-15 de la Subdirección de Gestión Contractual</w:t>
            </w:r>
          </w:p>
        </w:tc>
      </w:tr>
      <w:tr w:rsidR="001F6187" w:rsidRPr="000829C1" w14:paraId="0B06DFA2" w14:textId="77777777" w:rsidTr="002B5ABF">
        <w:trPr>
          <w:trHeight w:val="300"/>
        </w:trPr>
        <w:tc>
          <w:tcPr>
            <w:tcW w:w="812" w:type="dxa"/>
            <w:vAlign w:val="center"/>
          </w:tcPr>
          <w:p w14:paraId="69E5EBB6" w14:textId="77777777" w:rsidR="001F6187" w:rsidRPr="00085D03" w:rsidRDefault="001F6187" w:rsidP="002B5ABF">
            <w:pPr>
              <w:spacing w:after="0"/>
              <w:rPr>
                <w:rFonts w:ascii="Geomanist Light" w:eastAsia="Times New Roman" w:hAnsi="Geomanist Light" w:cs="Arial"/>
                <w:sz w:val="16"/>
                <w:szCs w:val="16"/>
                <w:lang w:eastAsia="es-ES"/>
              </w:rPr>
            </w:pPr>
            <w:r w:rsidRPr="00085D03">
              <w:rPr>
                <w:rFonts w:ascii="Geomanist Light" w:eastAsia="Times New Roman" w:hAnsi="Geomanist Light" w:cs="Arial"/>
                <w:sz w:val="16"/>
                <w:szCs w:val="16"/>
                <w:lang w:eastAsia="es-ES"/>
              </w:rPr>
              <w:t>Aprobó:</w:t>
            </w:r>
          </w:p>
        </w:tc>
        <w:tc>
          <w:tcPr>
            <w:tcW w:w="4413" w:type="dxa"/>
            <w:tcBorders>
              <w:top w:val="dotted" w:sz="4" w:space="0" w:color="7F7F7F" w:themeColor="text1" w:themeTint="80"/>
              <w:bottom w:val="dotted" w:sz="4" w:space="0" w:color="7F7F7F" w:themeColor="text1" w:themeTint="80"/>
            </w:tcBorders>
            <w:vAlign w:val="center"/>
          </w:tcPr>
          <w:p w14:paraId="34909D87" w14:textId="77777777" w:rsidR="001F6187" w:rsidRPr="00085D03" w:rsidRDefault="001F6187" w:rsidP="002B5ABF">
            <w:pPr>
              <w:spacing w:after="0"/>
              <w:rPr>
                <w:rFonts w:ascii="Geomanist Light" w:eastAsia="Calibri" w:hAnsi="Geomanist Light" w:cs="Arial"/>
                <w:sz w:val="16"/>
                <w:szCs w:val="16"/>
                <w:lang w:val="pt-BR" w:eastAsia="es-ES"/>
              </w:rPr>
            </w:pPr>
            <w:r w:rsidRPr="00085D03">
              <w:rPr>
                <w:rFonts w:ascii="Geomanist Light" w:eastAsia="Calibri" w:hAnsi="Geomanist Light" w:cs="Arial"/>
                <w:sz w:val="16"/>
                <w:szCs w:val="16"/>
                <w:lang w:val="pt-BR" w:eastAsia="es-ES"/>
              </w:rPr>
              <w:t xml:space="preserve">Nohelia </w:t>
            </w:r>
            <w:proofErr w:type="spellStart"/>
            <w:r w:rsidRPr="00085D03">
              <w:rPr>
                <w:rFonts w:ascii="Geomanist Light" w:eastAsia="Calibri" w:hAnsi="Geomanist Light" w:cs="Arial"/>
                <w:sz w:val="16"/>
                <w:szCs w:val="16"/>
                <w:lang w:val="pt-BR" w:eastAsia="es-ES"/>
              </w:rPr>
              <w:t>del</w:t>
            </w:r>
            <w:proofErr w:type="spellEnd"/>
            <w:r w:rsidRPr="00085D03">
              <w:rPr>
                <w:rFonts w:ascii="Geomanist Light" w:eastAsia="Calibri" w:hAnsi="Geomanist Light" w:cs="Arial"/>
                <w:sz w:val="16"/>
                <w:szCs w:val="16"/>
                <w:lang w:val="pt-BR" w:eastAsia="es-ES"/>
              </w:rPr>
              <w:t xml:space="preserve"> Carmen Zawady Palacio</w:t>
            </w:r>
          </w:p>
          <w:p w14:paraId="2AF819EA" w14:textId="77777777" w:rsidR="001F6187" w:rsidRPr="003C281F" w:rsidRDefault="001F6187" w:rsidP="002B5ABF">
            <w:pPr>
              <w:spacing w:after="0"/>
              <w:rPr>
                <w:rFonts w:ascii="Geomanist Light" w:eastAsia="Times New Roman" w:hAnsi="Geomanist Light" w:cs="Arial"/>
                <w:sz w:val="16"/>
                <w:szCs w:val="16"/>
                <w:lang w:eastAsia="es-ES"/>
              </w:rPr>
            </w:pPr>
            <w:r w:rsidRPr="00085D03">
              <w:rPr>
                <w:rFonts w:ascii="Geomanist Light" w:eastAsia="Calibri" w:hAnsi="Geomanist Light" w:cs="Arial"/>
                <w:sz w:val="16"/>
                <w:szCs w:val="16"/>
                <w:lang w:eastAsia="es-ES"/>
              </w:rPr>
              <w:t>Subdirectora de Gestión Contractual</w:t>
            </w:r>
            <w:r w:rsidRPr="003C281F">
              <w:rPr>
                <w:rFonts w:ascii="Geomanist Light" w:eastAsia="Calibri" w:hAnsi="Geomanist Light" w:cs="Arial"/>
                <w:sz w:val="16"/>
                <w:szCs w:val="16"/>
                <w:lang w:eastAsia="es-ES"/>
              </w:rPr>
              <w:t xml:space="preserve"> </w:t>
            </w:r>
          </w:p>
        </w:tc>
      </w:tr>
    </w:tbl>
    <w:p w14:paraId="779D5BC9" w14:textId="77777777" w:rsidR="00E44A29" w:rsidRDefault="00E44A29" w:rsidP="00E44A29"/>
    <w:p w14:paraId="3C7236EB" w14:textId="77777777" w:rsidR="00651A7A" w:rsidRDefault="00651A7A"/>
    <w:sectPr w:rsidR="00651A7A" w:rsidSect="00491E2D">
      <w:headerReference w:type="default" r:id="rId12"/>
      <w:footerReference w:type="default" r:id="rId13"/>
      <w:pgSz w:w="12240" w:h="15840"/>
      <w:pgMar w:top="408" w:right="1701"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D09DC2" w14:textId="77777777" w:rsidR="00D52D96" w:rsidRDefault="00D52D96" w:rsidP="00E44A29">
      <w:pPr>
        <w:spacing w:after="0" w:line="240" w:lineRule="auto"/>
      </w:pPr>
      <w:r>
        <w:separator/>
      </w:r>
    </w:p>
  </w:endnote>
  <w:endnote w:type="continuationSeparator" w:id="0">
    <w:p w14:paraId="1B554A04" w14:textId="77777777" w:rsidR="00D52D96" w:rsidRDefault="00D52D96" w:rsidP="00E44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Bold">
    <w:altName w:val="Calibri"/>
    <w:panose1 w:val="00000000000000000000"/>
    <w:charset w:val="00"/>
    <w:family w:val="modern"/>
    <w:notTrueType/>
    <w:pitch w:val="variable"/>
    <w:sig w:usb0="A000002F" w:usb1="1000004A" w:usb2="00000000" w:usb3="00000000" w:csb0="00000193"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D360B" w14:textId="77777777" w:rsidR="00993A2A" w:rsidRDefault="00A53FAC" w:rsidP="00993A2A">
    <w:pPr>
      <w:pStyle w:val="Piedepgina"/>
      <w:spacing w:after="0"/>
    </w:pPr>
    <w:r>
      <w:rPr>
        <w:noProof/>
        <w:lang w:val="en-US"/>
      </w:rPr>
      <w:drawing>
        <wp:inline distT="0" distB="0" distL="0" distR="0" wp14:anchorId="01ACB538" wp14:editId="59B0C5C9">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993A2A" w:rsidRPr="00080DA3" w14:paraId="79FD99A2" w14:textId="77777777" w:rsidTr="00993A2A">
      <w:trPr>
        <w:trHeight w:val="274"/>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659F10CC" w14:textId="77777777" w:rsidR="00993A2A" w:rsidRPr="00080DA3" w:rsidRDefault="00A53FAC" w:rsidP="00993A2A">
          <w:pPr>
            <w:pStyle w:val="Piedepgina"/>
            <w:spacing w:after="0"/>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225442EB" w14:textId="77777777" w:rsidR="00993A2A" w:rsidRPr="00080DA3" w:rsidRDefault="00A53FAC" w:rsidP="00993A2A">
          <w:pPr>
            <w:pStyle w:val="Piedepgina"/>
            <w:spacing w:after="0"/>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597FEED" w14:textId="77777777" w:rsidR="00993A2A" w:rsidRPr="00080DA3" w:rsidRDefault="00A53FAC" w:rsidP="00993A2A">
          <w:pPr>
            <w:pStyle w:val="Piedepgina"/>
            <w:spacing w:after="0"/>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031B7D81" w14:textId="77777777" w:rsidR="00993A2A" w:rsidRPr="004B6B0E" w:rsidRDefault="00A53FAC" w:rsidP="00993A2A">
          <w:pPr>
            <w:pBdr>
              <w:top w:val="nil"/>
              <w:left w:val="nil"/>
              <w:bottom w:val="nil"/>
              <w:right w:val="nil"/>
              <w:between w:val="nil"/>
            </w:pBdr>
            <w:tabs>
              <w:tab w:val="center" w:pos="4419"/>
              <w:tab w:val="right" w:pos="8838"/>
              <w:tab w:val="center" w:pos="5400"/>
            </w:tabs>
            <w:spacing w:after="0"/>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50AA6234" w14:textId="77777777" w:rsidR="00993A2A" w:rsidRPr="00080DA3" w:rsidRDefault="00A53FAC" w:rsidP="00993A2A">
          <w:pPr>
            <w:pStyle w:val="Piedepgina"/>
            <w:spacing w:after="0"/>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33864268" w14:textId="77777777" w:rsidR="00993A2A" w:rsidRPr="00080DA3" w:rsidRDefault="00A53FAC" w:rsidP="00993A2A">
          <w:pPr>
            <w:pStyle w:val="Piedepgina"/>
            <w:spacing w:after="0"/>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40AE4E46" w14:textId="77777777" w:rsidR="00993A2A" w:rsidRPr="00080DA3" w:rsidRDefault="00A53FAC" w:rsidP="00993A2A">
          <w:pPr>
            <w:pStyle w:val="Piedepgina"/>
            <w:spacing w:after="0"/>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29</w:t>
          </w:r>
          <w:r w:rsidRPr="00080DA3">
            <w:rPr>
              <w:rFonts w:ascii="Geomanist Light" w:hAnsi="Geomanist Light"/>
              <w:b/>
              <w:bCs/>
              <w:sz w:val="18"/>
              <w:szCs w:val="18"/>
            </w:rPr>
            <w:fldChar w:fldCharType="end"/>
          </w:r>
        </w:p>
      </w:tc>
    </w:tr>
  </w:tbl>
  <w:p w14:paraId="10FBE3A0" w14:textId="77777777" w:rsidR="00412132" w:rsidRPr="007B0854" w:rsidRDefault="00000000" w:rsidP="00993A2A">
    <w:pPr>
      <w:pStyle w:val="Piedepgina"/>
      <w:spacing w:after="0"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8B944A" w14:textId="77777777" w:rsidR="00D52D96" w:rsidRDefault="00D52D96" w:rsidP="00E44A29">
      <w:pPr>
        <w:spacing w:after="0" w:line="240" w:lineRule="auto"/>
      </w:pPr>
      <w:r>
        <w:separator/>
      </w:r>
    </w:p>
  </w:footnote>
  <w:footnote w:type="continuationSeparator" w:id="0">
    <w:p w14:paraId="4E0BE048" w14:textId="77777777" w:rsidR="00D52D96" w:rsidRDefault="00D52D96" w:rsidP="00E44A29">
      <w:pPr>
        <w:spacing w:after="0" w:line="240" w:lineRule="auto"/>
      </w:pPr>
      <w:r>
        <w:continuationSeparator/>
      </w:r>
    </w:p>
  </w:footnote>
  <w:footnote w:id="1">
    <w:p w14:paraId="0C9358CC" w14:textId="77777777" w:rsidR="00E44A29" w:rsidRPr="004A321E" w:rsidRDefault="00E44A29" w:rsidP="00E44A29">
      <w:pPr>
        <w:pStyle w:val="Textonotapie"/>
        <w:ind w:firstLine="709"/>
        <w:jc w:val="both"/>
        <w:rPr>
          <w:color w:val="000000" w:themeColor="text1"/>
          <w:sz w:val="18"/>
          <w:szCs w:val="18"/>
        </w:rPr>
      </w:pPr>
      <w:r w:rsidRPr="004A321E">
        <w:rPr>
          <w:rStyle w:val="Refdenotaalpie"/>
          <w:color w:val="000000" w:themeColor="text1"/>
          <w:sz w:val="18"/>
          <w:szCs w:val="18"/>
        </w:rPr>
        <w:footnoteRef/>
      </w:r>
      <w:r w:rsidRPr="004A321E">
        <w:rPr>
          <w:color w:val="000000" w:themeColor="text1"/>
          <w:sz w:val="18"/>
          <w:szCs w:val="18"/>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0BC24143" w14:textId="77777777" w:rsidR="00E44A29" w:rsidRPr="004A321E" w:rsidRDefault="00E44A29" w:rsidP="00E44A29">
      <w:pPr>
        <w:pStyle w:val="Textonotapie"/>
        <w:ind w:firstLine="709"/>
        <w:jc w:val="both"/>
        <w:rPr>
          <w:color w:val="000000" w:themeColor="text1"/>
          <w:sz w:val="18"/>
          <w:szCs w:val="18"/>
        </w:rPr>
      </w:pPr>
      <w:r w:rsidRPr="004A321E">
        <w:rPr>
          <w:color w:val="000000" w:themeColor="text1"/>
          <w:sz w:val="18"/>
          <w:szCs w:val="18"/>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footnote>
  <w:footnote w:id="2">
    <w:p w14:paraId="364E4ED4" w14:textId="77777777" w:rsidR="00E44A29" w:rsidRPr="004A321E" w:rsidRDefault="00E44A29" w:rsidP="00E44A29">
      <w:pPr>
        <w:pStyle w:val="Textonotapie"/>
        <w:ind w:firstLine="708"/>
        <w:jc w:val="both"/>
        <w:rPr>
          <w:sz w:val="18"/>
          <w:szCs w:val="18"/>
        </w:rPr>
      </w:pPr>
      <w:r w:rsidRPr="004A321E">
        <w:rPr>
          <w:rStyle w:val="Refdenotaalpie"/>
          <w:sz w:val="18"/>
          <w:szCs w:val="18"/>
        </w:rPr>
        <w:footnoteRef/>
      </w:r>
      <w:r w:rsidRPr="004A321E">
        <w:rPr>
          <w:sz w:val="18"/>
          <w:szCs w:val="18"/>
        </w:rPr>
        <w:t xml:space="preserve"> Consejo de Estado. Sala de lo Contencioso Administrativo, Sección Tercera, Sentencia de 23 de mayo de 2012, Exp. 1998-01471.</w:t>
      </w:r>
    </w:p>
  </w:footnote>
  <w:footnote w:id="3">
    <w:p w14:paraId="7532EA49" w14:textId="77777777" w:rsidR="00E44A29" w:rsidRPr="004A321E" w:rsidRDefault="00E44A29" w:rsidP="00E44A29">
      <w:pPr>
        <w:pStyle w:val="Textonotapie"/>
        <w:ind w:firstLine="708"/>
        <w:jc w:val="both"/>
        <w:rPr>
          <w:sz w:val="18"/>
          <w:szCs w:val="18"/>
        </w:rPr>
      </w:pPr>
      <w:r w:rsidRPr="004A321E">
        <w:rPr>
          <w:rStyle w:val="Refdenotaalpie"/>
          <w:sz w:val="18"/>
          <w:szCs w:val="18"/>
        </w:rPr>
        <w:footnoteRef/>
      </w:r>
      <w:r w:rsidRPr="004A321E">
        <w:rPr>
          <w:sz w:val="18"/>
          <w:szCs w:val="18"/>
        </w:rPr>
        <w:t xml:space="preserve"> Consejo de Estado. Sala de Consulta y Servicio Civil. Concepto 26 de julio de 2016. Exp. 2.257. C.P. Álvaro Namén Vargas.</w:t>
      </w:r>
    </w:p>
  </w:footnote>
  <w:footnote w:id="4">
    <w:p w14:paraId="3D52F977" w14:textId="77777777" w:rsidR="00E44A29" w:rsidRPr="004A321E" w:rsidRDefault="00E44A29" w:rsidP="00E44A29">
      <w:pPr>
        <w:pStyle w:val="Textonotapie"/>
        <w:ind w:firstLine="709"/>
        <w:jc w:val="both"/>
        <w:rPr>
          <w:color w:val="000000" w:themeColor="text1"/>
          <w:sz w:val="18"/>
          <w:szCs w:val="18"/>
        </w:rPr>
      </w:pPr>
      <w:r w:rsidRPr="004A321E">
        <w:rPr>
          <w:rStyle w:val="Refdenotaalpie"/>
          <w:color w:val="000000" w:themeColor="text1"/>
          <w:sz w:val="18"/>
          <w:szCs w:val="18"/>
        </w:rPr>
        <w:footnoteRef/>
      </w:r>
      <w:r w:rsidRPr="004A321E">
        <w:rPr>
          <w:color w:val="000000" w:themeColor="text1"/>
          <w:sz w:val="18"/>
          <w:szCs w:val="18"/>
        </w:rPr>
        <w:t xml:space="preserve"> Ley 80 de 1993: «Artículo 41. Del perfeccionamiento del contrato. Los contratos del Estado se perfeccionan cuando se logre acuerdo sobre el objeto y la contraprestación y éste se eleve a escrito.</w:t>
      </w:r>
    </w:p>
    <w:p w14:paraId="33392951" w14:textId="77777777" w:rsidR="00E44A29" w:rsidRPr="004A321E" w:rsidRDefault="00E44A29" w:rsidP="00E44A29">
      <w:pPr>
        <w:pStyle w:val="Textonotapie"/>
        <w:ind w:firstLine="709"/>
        <w:jc w:val="both"/>
        <w:rPr>
          <w:color w:val="000000" w:themeColor="text1"/>
          <w:sz w:val="18"/>
          <w:szCs w:val="18"/>
        </w:rPr>
      </w:pPr>
      <w:r w:rsidRPr="004A321E">
        <w:rPr>
          <w:color w:val="000000" w:themeColor="text1"/>
          <w:sz w:val="18"/>
          <w:szCs w:val="18"/>
        </w:rPr>
        <w:t>[…]».</w:t>
      </w:r>
    </w:p>
  </w:footnote>
  <w:footnote w:id="5">
    <w:p w14:paraId="32F2CF29" w14:textId="77777777" w:rsidR="00E44A29" w:rsidRPr="004A321E" w:rsidRDefault="00E44A29" w:rsidP="00E44A29">
      <w:pPr>
        <w:pStyle w:val="Textonotapie"/>
        <w:ind w:firstLine="709"/>
        <w:jc w:val="both"/>
        <w:rPr>
          <w:color w:val="000000" w:themeColor="text1"/>
          <w:sz w:val="18"/>
          <w:szCs w:val="18"/>
        </w:rPr>
      </w:pPr>
      <w:r w:rsidRPr="004A321E">
        <w:rPr>
          <w:rStyle w:val="Refdenotaalpie"/>
          <w:color w:val="000000" w:themeColor="text1"/>
          <w:sz w:val="18"/>
          <w:szCs w:val="18"/>
        </w:rPr>
        <w:footnoteRef/>
      </w:r>
      <w:r w:rsidRPr="004A321E">
        <w:rPr>
          <w:color w:val="000000" w:themeColor="text1"/>
          <w:sz w:val="18"/>
          <w:szCs w:val="18"/>
        </w:rPr>
        <w:t xml:space="preserve"> Consejo de Estado. Sección Tercera. Sentencia del 23 de junio de 2010. Radicación No. 66001-23-31-000-1998-00261-01(17.860). Consejero Ponente: Mauricio Fajardo Gómez.</w:t>
      </w:r>
    </w:p>
  </w:footnote>
  <w:footnote w:id="6">
    <w:p w14:paraId="28021D5B" w14:textId="77777777" w:rsidR="00E44A29" w:rsidRPr="004A321E" w:rsidRDefault="00E44A29" w:rsidP="00E44A29">
      <w:pPr>
        <w:pStyle w:val="Textonotapie"/>
        <w:ind w:firstLine="709"/>
        <w:jc w:val="both"/>
        <w:rPr>
          <w:color w:val="000000"/>
          <w:sz w:val="18"/>
          <w:szCs w:val="18"/>
        </w:rPr>
      </w:pPr>
      <w:r w:rsidRPr="004A321E">
        <w:rPr>
          <w:rStyle w:val="Refdenotaalpie"/>
          <w:color w:val="000000"/>
          <w:sz w:val="18"/>
          <w:szCs w:val="18"/>
        </w:rPr>
        <w:footnoteRef/>
      </w:r>
      <w:r w:rsidRPr="004A321E">
        <w:rPr>
          <w:color w:val="000000"/>
          <w:sz w:val="18"/>
          <w:szCs w:val="18"/>
        </w:rPr>
        <w:t xml:space="preserve"> Consejo de Estado. Sección Tercera. Sentencia del 23 de junio de 2010. Radicación No. 66001-23-31-000-1998-00261-01(17.860). Consejero Ponente: Mauricio Fajardo Gómez.</w:t>
      </w:r>
    </w:p>
    <w:p w14:paraId="742CEE24" w14:textId="77777777" w:rsidR="00E44A29" w:rsidRPr="004A321E" w:rsidRDefault="00E44A29" w:rsidP="00E44A29">
      <w:pPr>
        <w:pStyle w:val="Textonotapie"/>
        <w:ind w:firstLine="709"/>
        <w:jc w:val="both"/>
        <w:rPr>
          <w:color w:val="000000"/>
          <w:sz w:val="18"/>
          <w:szCs w:val="18"/>
        </w:rPr>
      </w:pPr>
    </w:p>
  </w:footnote>
  <w:footnote w:id="7">
    <w:p w14:paraId="7AB8E338" w14:textId="77777777" w:rsidR="00E44A29" w:rsidRPr="004A321E" w:rsidRDefault="00E44A29" w:rsidP="00E44A29">
      <w:pPr>
        <w:ind w:firstLine="709"/>
        <w:contextualSpacing/>
        <w:rPr>
          <w:rFonts w:ascii="Arial" w:hAnsi="Arial" w:cs="Arial"/>
          <w:sz w:val="18"/>
          <w:szCs w:val="18"/>
        </w:rPr>
      </w:pPr>
      <w:r w:rsidRPr="004A321E">
        <w:rPr>
          <w:rStyle w:val="Refdenotaalpie"/>
          <w:rFonts w:ascii="Arial" w:hAnsi="Arial" w:cs="Arial"/>
          <w:sz w:val="18"/>
          <w:szCs w:val="18"/>
        </w:rPr>
        <w:footnoteRef/>
      </w:r>
      <w:r w:rsidRPr="004A321E">
        <w:rPr>
          <w:rFonts w:ascii="Arial" w:hAnsi="Arial" w:cs="Arial"/>
          <w:sz w:val="18"/>
          <w:szCs w:val="18"/>
        </w:rPr>
        <w:t xml:space="preserve"> Consejo de Estado. Sección Tercera. Subsección C. Sentencia del 11 de diciembre de 2019. Exp. 46.986. C.P. Jaime Enrique Rodríguez Navas.</w:t>
      </w:r>
    </w:p>
  </w:footnote>
  <w:footnote w:id="8">
    <w:p w14:paraId="21F1DD32" w14:textId="77777777" w:rsidR="00E44A29" w:rsidRPr="004A321E" w:rsidRDefault="00E44A29" w:rsidP="00E44A29">
      <w:pPr>
        <w:ind w:firstLine="708"/>
        <w:contextualSpacing/>
        <w:rPr>
          <w:rFonts w:ascii="Arial" w:hAnsi="Arial" w:cs="Arial"/>
          <w:sz w:val="18"/>
          <w:szCs w:val="18"/>
        </w:rPr>
      </w:pPr>
      <w:r w:rsidRPr="004A321E">
        <w:rPr>
          <w:rStyle w:val="Refdenotaalpie"/>
          <w:rFonts w:ascii="Arial" w:hAnsi="Arial" w:cs="Arial"/>
          <w:sz w:val="18"/>
          <w:szCs w:val="18"/>
        </w:rPr>
        <w:footnoteRef/>
      </w:r>
      <w:r w:rsidRPr="004A321E">
        <w:rPr>
          <w:rFonts w:ascii="Arial" w:hAnsi="Arial" w:cs="Arial"/>
          <w:sz w:val="18"/>
          <w:szCs w:val="18"/>
        </w:rPr>
        <w:t xml:space="preserve"> [Referencia propia de la cita] «CE. SCSC. Concepto de 1 de noviembre de 2016 [Rad. 11001-03-06-000-2016-00125-00(2305)]. MP. Germán Alberto Bula Escobar».</w:t>
      </w:r>
    </w:p>
  </w:footnote>
  <w:footnote w:id="9">
    <w:p w14:paraId="56BF98C3" w14:textId="77777777" w:rsidR="00E44A29" w:rsidRPr="004A321E" w:rsidRDefault="00E44A29" w:rsidP="00E44A29">
      <w:pPr>
        <w:ind w:firstLine="708"/>
        <w:contextualSpacing/>
        <w:rPr>
          <w:rFonts w:ascii="Arial" w:hAnsi="Arial" w:cs="Arial"/>
          <w:sz w:val="18"/>
          <w:szCs w:val="18"/>
        </w:rPr>
      </w:pPr>
      <w:r w:rsidRPr="004A321E">
        <w:rPr>
          <w:rStyle w:val="Refdenotaalpie"/>
          <w:rFonts w:ascii="Arial" w:hAnsi="Arial" w:cs="Arial"/>
          <w:sz w:val="18"/>
          <w:szCs w:val="18"/>
        </w:rPr>
        <w:footnoteRef/>
      </w:r>
      <w:r w:rsidRPr="004A321E">
        <w:rPr>
          <w:rFonts w:ascii="Arial" w:hAnsi="Arial" w:cs="Arial"/>
          <w:sz w:val="18"/>
          <w:szCs w:val="18"/>
        </w:rPr>
        <w:t xml:space="preserve"> [Referencia propia de la cita] «CE. SCSC. Concepto de 30 de abril de 2008 [Rad. 11001-03-06-000-2008-00013-00(1881)]. MP. Enrique José Arboleda Perdomo. En esta oportunidad, la Sala indicó que el contenido </w:t>
      </w:r>
      <w:r w:rsidRPr="004A321E">
        <w:rPr>
          <w:rFonts w:ascii="Arial" w:hAnsi="Arial" w:cs="Arial"/>
          <w:i/>
          <w:sz w:val="18"/>
          <w:szCs w:val="18"/>
        </w:rPr>
        <w:t>“obligacional”</w:t>
      </w:r>
      <w:r w:rsidRPr="004A321E">
        <w:rPr>
          <w:rFonts w:ascii="Arial" w:hAnsi="Arial" w:cs="Arial"/>
          <w:sz w:val="18"/>
          <w:szCs w:val="18"/>
        </w:rPr>
        <w:t xml:space="preserve"> de los convenios se estructura definiendo el resultado querido por las partes y los medios que cada entidad despliega para la obtención del respectivo objeto».</w:t>
      </w:r>
    </w:p>
  </w:footnote>
  <w:footnote w:id="10">
    <w:p w14:paraId="0F544344" w14:textId="77777777" w:rsidR="00E44A29" w:rsidRPr="004A321E" w:rsidRDefault="00E44A29" w:rsidP="00E44A29">
      <w:pPr>
        <w:ind w:firstLine="708"/>
        <w:contextualSpacing/>
        <w:rPr>
          <w:rFonts w:ascii="Arial" w:hAnsi="Arial" w:cs="Arial"/>
          <w:sz w:val="18"/>
          <w:szCs w:val="18"/>
        </w:rPr>
      </w:pPr>
      <w:r w:rsidRPr="004A321E">
        <w:rPr>
          <w:rStyle w:val="Refdenotaalpie"/>
          <w:rFonts w:ascii="Arial" w:hAnsi="Arial" w:cs="Arial"/>
          <w:sz w:val="18"/>
          <w:szCs w:val="18"/>
        </w:rPr>
        <w:footnoteRef/>
      </w:r>
      <w:r w:rsidRPr="004A321E">
        <w:rPr>
          <w:rFonts w:ascii="Arial" w:hAnsi="Arial" w:cs="Arial"/>
          <w:sz w:val="18"/>
          <w:szCs w:val="18"/>
        </w:rPr>
        <w:t xml:space="preserve"> [Referencia propia de la cita] «La normativa vigente del EGCAP </w:t>
      </w:r>
      <w:r w:rsidRPr="004A321E">
        <w:rPr>
          <w:rFonts w:ascii="Arial" w:hAnsi="Arial" w:cs="Arial"/>
          <w:i/>
          <w:sz w:val="18"/>
          <w:szCs w:val="18"/>
        </w:rPr>
        <w:t>[literal c) del numeral 4. del artículo 2 de la Ley 1150/07]</w:t>
      </w:r>
      <w:r w:rsidRPr="004A321E">
        <w:rPr>
          <w:rFonts w:ascii="Arial" w:hAnsi="Arial" w:cs="Arial"/>
          <w:sz w:val="18"/>
          <w:szCs w:val="18"/>
        </w:rPr>
        <w:t xml:space="preserve"> se refiere a </w:t>
      </w:r>
      <w:r w:rsidRPr="004A321E">
        <w:rPr>
          <w:rFonts w:ascii="Arial" w:hAnsi="Arial" w:cs="Arial"/>
          <w:i/>
          <w:sz w:val="18"/>
          <w:szCs w:val="18"/>
        </w:rPr>
        <w:t>“contratos interadministrativos”</w:t>
      </w:r>
      <w:r w:rsidRPr="004A321E">
        <w:rPr>
          <w:rFonts w:ascii="Arial" w:hAnsi="Arial" w:cs="Arial"/>
          <w:sz w:val="18"/>
          <w:szCs w:val="18"/>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footnote>
  <w:footnote w:id="11">
    <w:p w14:paraId="2EA533B0" w14:textId="77777777" w:rsidR="00E44A29" w:rsidRPr="004A321E" w:rsidRDefault="00E44A29" w:rsidP="00E44A29">
      <w:pPr>
        <w:ind w:firstLine="708"/>
        <w:contextualSpacing/>
        <w:rPr>
          <w:rFonts w:ascii="Arial" w:hAnsi="Arial" w:cs="Arial"/>
          <w:sz w:val="18"/>
          <w:szCs w:val="18"/>
        </w:rPr>
      </w:pPr>
      <w:r w:rsidRPr="004A321E">
        <w:rPr>
          <w:rStyle w:val="Refdenotaalpie"/>
          <w:rFonts w:ascii="Arial" w:hAnsi="Arial" w:cs="Arial"/>
          <w:sz w:val="18"/>
          <w:szCs w:val="18"/>
        </w:rPr>
        <w:footnoteRef/>
      </w:r>
      <w:r w:rsidRPr="004A321E">
        <w:rPr>
          <w:rFonts w:ascii="Arial" w:hAnsi="Arial" w:cs="Arial"/>
          <w:sz w:val="18"/>
          <w:szCs w:val="18"/>
        </w:rPr>
        <w:t xml:space="preserve"> En línea con lo anterior, la Sala de Consulta y Servicio Civil del Consejo de Estado expresó lo siguiente: «La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 (Consejo de Estado. Sala de Consulta y Servicio Civil. Concepto 26 de julio de 2016. Exp. 2.257. C.P. Álvaro Namén Vargas).</w:t>
      </w:r>
    </w:p>
  </w:footnote>
  <w:footnote w:id="12">
    <w:p w14:paraId="12BCB252" w14:textId="77777777" w:rsidR="00E44A29" w:rsidRPr="004A321E" w:rsidRDefault="00E44A29" w:rsidP="00E44A29">
      <w:pPr>
        <w:pStyle w:val="Textonotapie"/>
        <w:ind w:firstLine="708"/>
        <w:jc w:val="both"/>
        <w:rPr>
          <w:sz w:val="18"/>
          <w:szCs w:val="18"/>
        </w:rPr>
      </w:pPr>
      <w:r w:rsidRPr="004A321E">
        <w:rPr>
          <w:rStyle w:val="Refdenotaalpie"/>
          <w:sz w:val="18"/>
          <w:szCs w:val="18"/>
        </w:rPr>
        <w:footnoteRef/>
      </w:r>
      <w:r w:rsidRPr="004A321E">
        <w:rPr>
          <w:sz w:val="18"/>
          <w:szCs w:val="18"/>
        </w:rPr>
        <w:t xml:space="preserve"> Sobre el particular, en ocasiones el Consejo de Estado ha establecido que en aquellos casos en que se pacte remuneración en el marco de un convenio interadministrativo, independientemente de la denominación que se adopte, el negocio jurídico podría no corresponder a su naturaleza y en consecuencia a sus efectos jurídicos. A juicio de esta corporación «en realidad, los convenios en los cuales las partes se obligan patrimonialmente constituyen contratos en toda la extensión del concepto y con todos los efectos de esa particular institución jurídica», de manera que indudablemente les será aplicable el EGCAP. (Consejo de Estado. Sala de lo Contencioso Administrativo, Sección Tercera. Sentencia de 23 de junio de 2010, Exp. 1998-00261. C.P. Mauricio Fajardo Gómez). Cfr. Consejo de Estado. Sala de Consulta y Servicio Civil. Concepto de 30 de abril de 2008. Rad. 1881.</w:t>
      </w:r>
    </w:p>
  </w:footnote>
  <w:footnote w:id="13">
    <w:p w14:paraId="6C119CEC" w14:textId="77777777" w:rsidR="00E44A29" w:rsidRPr="004A321E" w:rsidRDefault="00E44A29" w:rsidP="00E44A29">
      <w:pPr>
        <w:pStyle w:val="Textonotapie"/>
        <w:jc w:val="both"/>
        <w:rPr>
          <w:sz w:val="18"/>
          <w:szCs w:val="18"/>
        </w:rPr>
      </w:pPr>
      <w:r w:rsidRPr="004A321E">
        <w:rPr>
          <w:rStyle w:val="Refdenotaalpie"/>
          <w:sz w:val="18"/>
          <w:szCs w:val="18"/>
        </w:rPr>
        <w:footnoteRef/>
      </w:r>
      <w:r w:rsidRPr="004A321E">
        <w:rPr>
          <w:sz w:val="18"/>
          <w:szCs w:val="18"/>
        </w:rPr>
        <w:t xml:space="preserve"> Consejo de Estado. Sala de Consulta y Servicio Civil. Concepto 26 de julio de 2016. Exp. 2.257. C.P. Álvaro Namén Vargas.</w:t>
      </w:r>
    </w:p>
  </w:footnote>
  <w:footnote w:id="14">
    <w:p w14:paraId="7ABDFF38" w14:textId="77777777" w:rsidR="00E44A29" w:rsidRPr="004A321E" w:rsidRDefault="00E44A29" w:rsidP="00E44A29">
      <w:pPr>
        <w:pStyle w:val="Textonotapie"/>
        <w:ind w:firstLine="708"/>
        <w:jc w:val="both"/>
        <w:rPr>
          <w:sz w:val="18"/>
          <w:szCs w:val="18"/>
        </w:rPr>
      </w:pPr>
      <w:r w:rsidRPr="004A321E">
        <w:rPr>
          <w:rStyle w:val="Refdenotaalpie"/>
          <w:sz w:val="18"/>
          <w:szCs w:val="18"/>
        </w:rPr>
        <w:footnoteRef/>
      </w:r>
      <w:r w:rsidRPr="004A321E">
        <w:rPr>
          <w:sz w:val="18"/>
          <w:szCs w:val="18"/>
        </w:rPr>
        <w:t xml:space="preserve"> Si bien el parágrafo de artículo 14 de la Ley 80 de 1993 establece que se deberá prescindir de las cláusulas excepcionales en los ‘contratos interadministrativos’, el Consejo de Estado ha señalado que tal disposición aplica indiscutiblemente para los convenios, pero, para el caso de los contratos administrativos «dado el ámbito de subordinación, no puede descartarse </w:t>
      </w:r>
      <w:r w:rsidRPr="004A321E">
        <w:rPr>
          <w:i/>
          <w:iCs/>
          <w:sz w:val="18"/>
          <w:szCs w:val="18"/>
        </w:rPr>
        <w:t>prima facie</w:t>
      </w:r>
      <w:r w:rsidRPr="004A321E">
        <w:rPr>
          <w:sz w:val="18"/>
          <w:szCs w:val="18"/>
        </w:rPr>
        <w:t xml:space="preserve">». De hecho, se ha referido en concreto a la procedencia de la imposición de multas, sanciones y declaratorias de incumplimiento en contratos interadministrativos. (Consejo de Estado. Sala de Consulta y Servicio Civil, </w:t>
      </w:r>
      <w:r w:rsidRPr="004A321E">
        <w:rPr>
          <w:i/>
          <w:iCs/>
          <w:sz w:val="18"/>
          <w:szCs w:val="18"/>
        </w:rPr>
        <w:t>ibídem</w:t>
      </w:r>
      <w:r w:rsidRPr="004A321E">
        <w:rPr>
          <w:sz w:val="18"/>
          <w:szCs w:val="18"/>
        </w:rPr>
        <w:t>). Cfr. SANTOS Rodríguez Jorge Enrique. “Consideraciones sobre los contratos y convenios interadministrativos”. Revista Digital de Derecho Administrativo, Núm. 1, Universidad Externado de Colombia, Bogotá, 2009. Pág. 19.</w:t>
      </w:r>
    </w:p>
  </w:footnote>
  <w:footnote w:id="15">
    <w:p w14:paraId="3FE5ACC1" w14:textId="77777777" w:rsidR="00E44A29" w:rsidRPr="004A321E" w:rsidRDefault="00E44A29" w:rsidP="00E44A29">
      <w:pPr>
        <w:ind w:left="300" w:right="306"/>
        <w:rPr>
          <w:rFonts w:ascii="Arial" w:hAnsi="Arial" w:cs="Arial"/>
          <w:sz w:val="18"/>
          <w:szCs w:val="18"/>
        </w:rPr>
      </w:pPr>
      <w:r w:rsidRPr="004A321E">
        <w:rPr>
          <w:rStyle w:val="Refdenotaalpie"/>
          <w:rFonts w:ascii="Arial" w:hAnsi="Arial" w:cs="Arial"/>
          <w:sz w:val="18"/>
          <w:szCs w:val="18"/>
        </w:rPr>
        <w:footnoteRef/>
      </w:r>
      <w:r w:rsidRPr="004A321E">
        <w:rPr>
          <w:rFonts w:ascii="Arial" w:hAnsi="Arial" w:cs="Arial"/>
          <w:sz w:val="18"/>
          <w:szCs w:val="18"/>
        </w:rPr>
        <w:t xml:space="preserve"> Ley 80 de 1993: “Artículo 26. Del principio de responsabilidad. En virtud de este principio:</w:t>
      </w:r>
    </w:p>
    <w:p w14:paraId="69214A1E" w14:textId="77777777" w:rsidR="00E44A29" w:rsidRPr="004A321E" w:rsidRDefault="00E44A29" w:rsidP="00E44A29">
      <w:pPr>
        <w:ind w:left="300" w:right="306"/>
        <w:rPr>
          <w:rFonts w:ascii="Arial" w:hAnsi="Arial" w:cs="Arial"/>
          <w:sz w:val="18"/>
          <w:szCs w:val="18"/>
        </w:rPr>
      </w:pPr>
      <w:r w:rsidRPr="004A321E">
        <w:rPr>
          <w:rFonts w:ascii="Arial" w:hAnsi="Arial" w:cs="Arial"/>
          <w:sz w:val="18"/>
          <w:szCs w:val="18"/>
        </w:rPr>
        <w:t>“1. Los servidores públicos están obligados a buscar el cumplimiento de los fines de la contratación, a vigilar la correcta ejecución del objeto contratado y a proteger los derechos de la entidad, del contratista y de los terceros que puedan verse afectados por la ejecución del</w:t>
      </w:r>
      <w:r w:rsidRPr="004A321E">
        <w:rPr>
          <w:rFonts w:ascii="Arial" w:hAnsi="Arial" w:cs="Arial"/>
          <w:spacing w:val="-8"/>
          <w:sz w:val="18"/>
          <w:szCs w:val="18"/>
        </w:rPr>
        <w:t xml:space="preserve"> </w:t>
      </w:r>
      <w:r w:rsidRPr="004A321E">
        <w:rPr>
          <w:rFonts w:ascii="Arial" w:hAnsi="Arial" w:cs="Arial"/>
          <w:sz w:val="18"/>
          <w:szCs w:val="18"/>
        </w:rPr>
        <w:t>contrato”.</w:t>
      </w:r>
    </w:p>
  </w:footnote>
  <w:footnote w:id="16">
    <w:p w14:paraId="3D255137" w14:textId="77777777" w:rsidR="00E44A29" w:rsidRPr="004A321E" w:rsidRDefault="00E44A29" w:rsidP="00E44A29">
      <w:pPr>
        <w:ind w:left="300" w:right="306"/>
        <w:rPr>
          <w:rFonts w:ascii="Arial" w:hAnsi="Arial" w:cs="Arial"/>
          <w:sz w:val="18"/>
          <w:szCs w:val="18"/>
        </w:rPr>
      </w:pPr>
      <w:r w:rsidRPr="004A321E">
        <w:rPr>
          <w:rStyle w:val="Refdenotaalpie"/>
          <w:rFonts w:ascii="Arial" w:hAnsi="Arial" w:cs="Arial"/>
          <w:sz w:val="18"/>
          <w:szCs w:val="18"/>
        </w:rPr>
        <w:footnoteRef/>
      </w:r>
      <w:r w:rsidRPr="004A321E">
        <w:rPr>
          <w:rFonts w:ascii="Arial" w:hAnsi="Arial" w:cs="Arial"/>
          <w:sz w:val="18"/>
          <w:szCs w:val="18"/>
        </w:rPr>
        <w:t xml:space="preserve"> Ley 1474 de 2011, artículo 83: “La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footnote>
  <w:footnote w:id="17">
    <w:p w14:paraId="5BA98F88" w14:textId="77777777" w:rsidR="00E44A29" w:rsidRPr="004A321E" w:rsidRDefault="00E44A29" w:rsidP="00E44A29">
      <w:pPr>
        <w:pStyle w:val="Textonotapie"/>
        <w:ind w:firstLine="708"/>
        <w:jc w:val="both"/>
        <w:rPr>
          <w:iCs/>
          <w:color w:val="000000" w:themeColor="text1"/>
          <w:sz w:val="18"/>
          <w:szCs w:val="18"/>
        </w:rPr>
      </w:pPr>
      <w:r w:rsidRPr="004A321E">
        <w:rPr>
          <w:rStyle w:val="Refdenotaalpie"/>
          <w:color w:val="000000" w:themeColor="text1"/>
          <w:sz w:val="18"/>
          <w:szCs w:val="18"/>
        </w:rPr>
        <w:footnoteRef/>
      </w:r>
      <w:r w:rsidRPr="004A321E">
        <w:rPr>
          <w:color w:val="000000" w:themeColor="text1"/>
          <w:sz w:val="18"/>
          <w:szCs w:val="18"/>
        </w:rPr>
        <w:t xml:space="preserve"> </w:t>
      </w:r>
      <w:r w:rsidRPr="004A321E">
        <w:rPr>
          <w:iCs/>
          <w:color w:val="000000" w:themeColor="text1"/>
          <w:sz w:val="18"/>
          <w:szCs w:val="18"/>
        </w:rPr>
        <w:t>Artículo 17 de la Ley 1150 de 2007.</w:t>
      </w:r>
    </w:p>
  </w:footnote>
  <w:footnote w:id="18">
    <w:p w14:paraId="12F44B78" w14:textId="77777777" w:rsidR="00E44A29" w:rsidRPr="004A321E" w:rsidRDefault="00E44A29" w:rsidP="00E44A29">
      <w:pPr>
        <w:pStyle w:val="Textonotapie"/>
        <w:ind w:firstLine="708"/>
        <w:jc w:val="both"/>
        <w:rPr>
          <w:iCs/>
          <w:color w:val="000000" w:themeColor="text1"/>
          <w:sz w:val="18"/>
          <w:szCs w:val="18"/>
        </w:rPr>
      </w:pPr>
      <w:r w:rsidRPr="004A321E">
        <w:rPr>
          <w:rStyle w:val="Refdenotaalpie"/>
          <w:color w:val="000000" w:themeColor="text1"/>
          <w:sz w:val="18"/>
          <w:szCs w:val="18"/>
        </w:rPr>
        <w:footnoteRef/>
      </w:r>
      <w:r w:rsidRPr="004A321E">
        <w:rPr>
          <w:color w:val="000000" w:themeColor="text1"/>
          <w:sz w:val="18"/>
          <w:szCs w:val="18"/>
        </w:rPr>
        <w:t xml:space="preserve"> </w:t>
      </w:r>
      <w:r w:rsidRPr="004A321E">
        <w:rPr>
          <w:iCs/>
          <w:color w:val="000000" w:themeColor="text1"/>
          <w:sz w:val="18"/>
          <w:szCs w:val="18"/>
        </w:rPr>
        <w:t>Artículo 21 de la Ley 1150 de 2007.</w:t>
      </w:r>
    </w:p>
  </w:footnote>
  <w:footnote w:id="19">
    <w:p w14:paraId="4100061F" w14:textId="77777777" w:rsidR="00E44A29" w:rsidRPr="004A321E" w:rsidRDefault="00E44A29" w:rsidP="00E44A29">
      <w:pPr>
        <w:pStyle w:val="Textonotapie"/>
        <w:ind w:firstLine="708"/>
        <w:jc w:val="both"/>
        <w:rPr>
          <w:iCs/>
          <w:color w:val="000000" w:themeColor="text1"/>
          <w:sz w:val="18"/>
          <w:szCs w:val="18"/>
        </w:rPr>
      </w:pPr>
      <w:r w:rsidRPr="004A321E">
        <w:rPr>
          <w:rStyle w:val="Refdenotaalpie"/>
          <w:color w:val="000000" w:themeColor="text1"/>
          <w:sz w:val="18"/>
          <w:szCs w:val="18"/>
        </w:rPr>
        <w:footnoteRef/>
      </w:r>
      <w:r w:rsidRPr="004A321E">
        <w:rPr>
          <w:color w:val="000000" w:themeColor="text1"/>
          <w:sz w:val="18"/>
          <w:szCs w:val="18"/>
        </w:rPr>
        <w:t xml:space="preserve"> </w:t>
      </w:r>
      <w:r w:rsidRPr="004A321E">
        <w:rPr>
          <w:iCs/>
          <w:color w:val="000000" w:themeColor="text1"/>
          <w:sz w:val="18"/>
          <w:szCs w:val="18"/>
        </w:rPr>
        <w:t>Artículos 83 a 86 de la Ley 1474 de 2011.</w:t>
      </w:r>
    </w:p>
  </w:footnote>
  <w:footnote w:id="20">
    <w:p w14:paraId="38F7B0B3" w14:textId="77777777" w:rsidR="00E44A29" w:rsidRPr="004A321E" w:rsidRDefault="00E44A29" w:rsidP="00E44A29">
      <w:pPr>
        <w:pStyle w:val="Textonotapie"/>
        <w:ind w:firstLine="708"/>
        <w:jc w:val="both"/>
        <w:rPr>
          <w:color w:val="000000" w:themeColor="text1"/>
          <w:sz w:val="18"/>
          <w:szCs w:val="18"/>
        </w:rPr>
      </w:pPr>
      <w:r w:rsidRPr="004A321E">
        <w:rPr>
          <w:rStyle w:val="Refdenotaalpie"/>
          <w:color w:val="000000" w:themeColor="text1"/>
          <w:sz w:val="18"/>
          <w:szCs w:val="18"/>
        </w:rPr>
        <w:footnoteRef/>
      </w:r>
      <w:r w:rsidRPr="004A321E">
        <w:rPr>
          <w:color w:val="000000" w:themeColor="text1"/>
          <w:sz w:val="18"/>
          <w:szCs w:val="18"/>
        </w:rPr>
        <w:t xml:space="preserve"> Radicado No. 4201913000008240 del 20 de diciembre de 2019.</w:t>
      </w:r>
    </w:p>
  </w:footnote>
  <w:footnote w:id="21">
    <w:p w14:paraId="114289EA" w14:textId="77777777" w:rsidR="00E44A29" w:rsidRPr="004A321E" w:rsidRDefault="00E44A29" w:rsidP="00E44A29">
      <w:pPr>
        <w:pStyle w:val="Textonotapie"/>
        <w:ind w:firstLine="708"/>
        <w:jc w:val="both"/>
        <w:rPr>
          <w:iCs/>
          <w:color w:val="000000" w:themeColor="text1"/>
          <w:sz w:val="18"/>
          <w:szCs w:val="18"/>
        </w:rPr>
      </w:pPr>
      <w:r w:rsidRPr="004A321E">
        <w:rPr>
          <w:rStyle w:val="Refdenotaalpie"/>
          <w:color w:val="000000" w:themeColor="text1"/>
          <w:sz w:val="18"/>
          <w:szCs w:val="18"/>
        </w:rPr>
        <w:footnoteRef/>
      </w:r>
      <w:r w:rsidRPr="004A321E">
        <w:rPr>
          <w:color w:val="000000" w:themeColor="text1"/>
          <w:sz w:val="18"/>
          <w:szCs w:val="18"/>
        </w:rPr>
        <w:t xml:space="preserve"> </w:t>
      </w:r>
      <w:r w:rsidRPr="004A321E">
        <w:rPr>
          <w:iCs/>
          <w:color w:val="000000" w:themeColor="text1"/>
          <w:sz w:val="18"/>
          <w:szCs w:val="18"/>
        </w:rPr>
        <w:t>A excepción de la interventoría del contrato de obra adjudicado por licitación pública que es obligatoria según el numeral 1° del artículo 32 de la Ley 80 de 1993.</w:t>
      </w:r>
    </w:p>
    <w:p w14:paraId="40B1830A" w14:textId="77777777" w:rsidR="00E44A29" w:rsidRPr="004A321E" w:rsidRDefault="00E44A29" w:rsidP="00E44A29">
      <w:pPr>
        <w:pStyle w:val="Textonotapie"/>
        <w:jc w:val="both"/>
        <w:rPr>
          <w:iCs/>
          <w:color w:val="000000" w:themeColor="text1"/>
          <w:sz w:val="18"/>
          <w:szCs w:val="18"/>
        </w:rPr>
      </w:pPr>
    </w:p>
  </w:footnote>
  <w:footnote w:id="22">
    <w:p w14:paraId="0472A5B9" w14:textId="77777777" w:rsidR="00BA22AC" w:rsidRPr="004A321E" w:rsidRDefault="00BA22AC" w:rsidP="00BA22AC">
      <w:pPr>
        <w:ind w:firstLine="709"/>
        <w:contextualSpacing/>
        <w:rPr>
          <w:rFonts w:ascii="Arial" w:hAnsi="Arial" w:cs="Arial"/>
          <w:sz w:val="18"/>
          <w:szCs w:val="18"/>
        </w:rPr>
      </w:pPr>
      <w:r w:rsidRPr="004A321E">
        <w:rPr>
          <w:rStyle w:val="Refdenotaalpie"/>
          <w:rFonts w:ascii="Arial" w:hAnsi="Arial" w:cs="Arial"/>
          <w:sz w:val="18"/>
          <w:szCs w:val="18"/>
        </w:rPr>
        <w:footnoteRef/>
      </w:r>
      <w:r w:rsidRPr="004A321E">
        <w:rPr>
          <w:rFonts w:ascii="Arial" w:hAnsi="Arial" w:cs="Arial"/>
          <w:sz w:val="18"/>
          <w:szCs w:val="18"/>
        </w:rPr>
        <w:t xml:space="preserve"> Consejo de Estado. Sección Tercera. Subsección C. Sentencia del 11 de diciembre de 2019. Exp. 46.986. C.P. Jaime Enrique Rodríguez Navas.</w:t>
      </w:r>
    </w:p>
  </w:footnote>
  <w:footnote w:id="23">
    <w:p w14:paraId="3D4C60AE" w14:textId="77777777" w:rsidR="00BA22AC" w:rsidRPr="004A321E" w:rsidRDefault="00BA22AC" w:rsidP="00BA22AC">
      <w:pPr>
        <w:ind w:firstLine="708"/>
        <w:contextualSpacing/>
        <w:rPr>
          <w:rFonts w:ascii="Arial" w:hAnsi="Arial" w:cs="Arial"/>
          <w:sz w:val="18"/>
          <w:szCs w:val="18"/>
        </w:rPr>
      </w:pPr>
      <w:r w:rsidRPr="004A321E">
        <w:rPr>
          <w:rStyle w:val="Refdenotaalpie"/>
          <w:rFonts w:ascii="Arial" w:hAnsi="Arial" w:cs="Arial"/>
          <w:sz w:val="18"/>
          <w:szCs w:val="18"/>
        </w:rPr>
        <w:footnoteRef/>
      </w:r>
      <w:r w:rsidRPr="004A321E">
        <w:rPr>
          <w:rFonts w:ascii="Arial" w:hAnsi="Arial" w:cs="Arial"/>
          <w:sz w:val="18"/>
          <w:szCs w:val="18"/>
        </w:rPr>
        <w:t xml:space="preserve"> [Referencia propia de la cita] «CE. SCSC. Concepto de 1 de noviembre de 2016 [Rad. 11001-03-06-000-2016-00125-00(2305)]. MP. Germán Alberto Bula Escobar».</w:t>
      </w:r>
    </w:p>
  </w:footnote>
  <w:footnote w:id="24">
    <w:p w14:paraId="3625CF13" w14:textId="77777777" w:rsidR="00BA22AC" w:rsidRPr="004A321E" w:rsidRDefault="00BA22AC" w:rsidP="00BA22AC">
      <w:pPr>
        <w:ind w:firstLine="708"/>
        <w:contextualSpacing/>
        <w:rPr>
          <w:rFonts w:ascii="Arial" w:hAnsi="Arial" w:cs="Arial"/>
          <w:sz w:val="18"/>
          <w:szCs w:val="18"/>
        </w:rPr>
      </w:pPr>
      <w:r w:rsidRPr="004A321E">
        <w:rPr>
          <w:rStyle w:val="Refdenotaalpie"/>
          <w:rFonts w:ascii="Arial" w:hAnsi="Arial" w:cs="Arial"/>
          <w:sz w:val="18"/>
          <w:szCs w:val="18"/>
        </w:rPr>
        <w:footnoteRef/>
      </w:r>
      <w:r w:rsidRPr="004A321E">
        <w:rPr>
          <w:rFonts w:ascii="Arial" w:hAnsi="Arial" w:cs="Arial"/>
          <w:sz w:val="18"/>
          <w:szCs w:val="18"/>
        </w:rPr>
        <w:t xml:space="preserve"> [Referencia propia de la cita] «CE. SCSC. Concepto de 30 de abril de 2008 [Rad. 11001-03-06-000-2008-00013-00(1881)]. MP. Enrique José Arboleda Perdomo. En esta oportunidad, la Sala indicó que el contenido </w:t>
      </w:r>
      <w:r w:rsidRPr="004A321E">
        <w:rPr>
          <w:rFonts w:ascii="Arial" w:hAnsi="Arial" w:cs="Arial"/>
          <w:i/>
          <w:sz w:val="18"/>
          <w:szCs w:val="18"/>
        </w:rPr>
        <w:t>“obligacional”</w:t>
      </w:r>
      <w:r w:rsidRPr="004A321E">
        <w:rPr>
          <w:rFonts w:ascii="Arial" w:hAnsi="Arial" w:cs="Arial"/>
          <w:sz w:val="18"/>
          <w:szCs w:val="18"/>
        </w:rPr>
        <w:t xml:space="preserve"> de los convenios se estructura definiendo el resultado querido por las partes y los medios que cada entidad despliega para la obtención del respectivo objeto».</w:t>
      </w:r>
    </w:p>
  </w:footnote>
  <w:footnote w:id="25">
    <w:p w14:paraId="6385D9E7" w14:textId="77777777" w:rsidR="00BA22AC" w:rsidRPr="004A321E" w:rsidRDefault="00BA22AC" w:rsidP="00BA22AC">
      <w:pPr>
        <w:ind w:firstLine="708"/>
        <w:contextualSpacing/>
        <w:rPr>
          <w:rFonts w:ascii="Arial" w:hAnsi="Arial" w:cs="Arial"/>
          <w:sz w:val="18"/>
          <w:szCs w:val="18"/>
        </w:rPr>
      </w:pPr>
      <w:r w:rsidRPr="004A321E">
        <w:rPr>
          <w:rStyle w:val="Refdenotaalpie"/>
          <w:rFonts w:ascii="Arial" w:hAnsi="Arial" w:cs="Arial"/>
          <w:sz w:val="18"/>
          <w:szCs w:val="18"/>
        </w:rPr>
        <w:footnoteRef/>
      </w:r>
      <w:r w:rsidRPr="004A321E">
        <w:rPr>
          <w:rFonts w:ascii="Arial" w:hAnsi="Arial" w:cs="Arial"/>
          <w:sz w:val="18"/>
          <w:szCs w:val="18"/>
        </w:rPr>
        <w:t xml:space="preserve"> [Referencia propia de la cita] «La normativa vigente del EGCAP </w:t>
      </w:r>
      <w:r w:rsidRPr="004A321E">
        <w:rPr>
          <w:rFonts w:ascii="Arial" w:hAnsi="Arial" w:cs="Arial"/>
          <w:i/>
          <w:sz w:val="18"/>
          <w:szCs w:val="18"/>
        </w:rPr>
        <w:t>[literal c) del numeral 4. del artículo 2 de la Ley 1150/07]</w:t>
      </w:r>
      <w:r w:rsidRPr="004A321E">
        <w:rPr>
          <w:rFonts w:ascii="Arial" w:hAnsi="Arial" w:cs="Arial"/>
          <w:sz w:val="18"/>
          <w:szCs w:val="18"/>
        </w:rPr>
        <w:t xml:space="preserve"> se refiere a </w:t>
      </w:r>
      <w:r w:rsidRPr="004A321E">
        <w:rPr>
          <w:rFonts w:ascii="Arial" w:hAnsi="Arial" w:cs="Arial"/>
          <w:i/>
          <w:sz w:val="18"/>
          <w:szCs w:val="18"/>
        </w:rPr>
        <w:t>“contratos interadministrativos”</w:t>
      </w:r>
      <w:r w:rsidRPr="004A321E">
        <w:rPr>
          <w:rFonts w:ascii="Arial" w:hAnsi="Arial" w:cs="Arial"/>
          <w:sz w:val="18"/>
          <w:szCs w:val="18"/>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footnote>
  <w:footnote w:id="26">
    <w:p w14:paraId="21055022" w14:textId="77777777" w:rsidR="00BA22AC" w:rsidRPr="004A321E" w:rsidRDefault="00BA22AC" w:rsidP="00BA22AC">
      <w:pPr>
        <w:ind w:firstLine="708"/>
        <w:contextualSpacing/>
        <w:rPr>
          <w:rFonts w:ascii="Arial" w:hAnsi="Arial" w:cs="Arial"/>
          <w:sz w:val="18"/>
          <w:szCs w:val="18"/>
        </w:rPr>
      </w:pPr>
      <w:r w:rsidRPr="004A321E">
        <w:rPr>
          <w:rStyle w:val="Refdenotaalpie"/>
          <w:rFonts w:ascii="Arial" w:hAnsi="Arial" w:cs="Arial"/>
          <w:sz w:val="18"/>
          <w:szCs w:val="18"/>
        </w:rPr>
        <w:footnoteRef/>
      </w:r>
      <w:r w:rsidRPr="004A321E">
        <w:rPr>
          <w:rFonts w:ascii="Arial" w:hAnsi="Arial" w:cs="Arial"/>
          <w:sz w:val="18"/>
          <w:szCs w:val="18"/>
        </w:rPr>
        <w:t xml:space="preserve"> En línea con lo anterior, la Sala de Consulta y Servicio Civil del Consejo de Estado expresó lo siguiente: «La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 (Consejo de Estado. Sala de Consulta y Servicio Civil. Concepto 26 de julio de 2016. Exp. 2.257. C.P. Álvaro Namén Vargas).</w:t>
      </w:r>
    </w:p>
  </w:footnote>
  <w:footnote w:id="27">
    <w:p w14:paraId="63DFDA54" w14:textId="77777777" w:rsidR="00BA22AC" w:rsidRPr="004A321E" w:rsidRDefault="00BA22AC" w:rsidP="00BA22AC">
      <w:pPr>
        <w:pStyle w:val="Textonotapie"/>
        <w:ind w:firstLine="708"/>
        <w:jc w:val="both"/>
        <w:rPr>
          <w:sz w:val="18"/>
          <w:szCs w:val="18"/>
        </w:rPr>
      </w:pPr>
      <w:r w:rsidRPr="004A321E">
        <w:rPr>
          <w:rStyle w:val="Refdenotaalpie"/>
          <w:sz w:val="18"/>
          <w:szCs w:val="18"/>
        </w:rPr>
        <w:footnoteRef/>
      </w:r>
      <w:r w:rsidRPr="004A321E">
        <w:rPr>
          <w:sz w:val="18"/>
          <w:szCs w:val="18"/>
        </w:rPr>
        <w:t xml:space="preserve"> Sobre el particular, en ocasiones el Consejo de Estado ha establecido que en aquellos casos en que se pacte remuneración en el marco de un convenio interadministrativo, independientemente de la denominación que se adopte, el negocio jurídico podría no corresponder a su naturaleza y en consecuencia a sus efectos jurídicos. A juicio de esta corporación «en realidad, los convenios en los cuales las partes se obligan patrimonialmente constituyen contratos en toda la extensión del concepto y con todos los efectos de esa particular institución jurídica», de manera que indudablemente les será aplicable el EGCAP. (Consejo de Estado. Sala de lo Contencioso Administrativo, Sección Tercera. Sentencia de 23 de junio de 2010, Exp. 1998-00261. C.P. Mauricio Fajardo Gómez). Cfr. Consejo de Estado. Sala de Consulta y Servicio Civil. Concepto de 30 de abril de 2008. Rad. 1881.</w:t>
      </w:r>
    </w:p>
  </w:footnote>
  <w:footnote w:id="28">
    <w:p w14:paraId="1DC7A847" w14:textId="77777777" w:rsidR="00BA22AC" w:rsidRPr="004A321E" w:rsidRDefault="00BA22AC" w:rsidP="00BA22AC">
      <w:pPr>
        <w:pStyle w:val="Textonotapie"/>
        <w:jc w:val="both"/>
        <w:rPr>
          <w:sz w:val="18"/>
          <w:szCs w:val="18"/>
        </w:rPr>
      </w:pPr>
      <w:r w:rsidRPr="004A321E">
        <w:rPr>
          <w:rStyle w:val="Refdenotaalpie"/>
          <w:sz w:val="18"/>
          <w:szCs w:val="18"/>
        </w:rPr>
        <w:footnoteRef/>
      </w:r>
      <w:r w:rsidRPr="004A321E">
        <w:rPr>
          <w:sz w:val="18"/>
          <w:szCs w:val="18"/>
        </w:rPr>
        <w:t xml:space="preserve"> Consejo de Estado. Sala de Consulta y Servicio Civil. Concepto 26 de julio de 2016. Exp. 2.257. C.P. Álvaro Namén Vargas.</w:t>
      </w:r>
    </w:p>
  </w:footnote>
  <w:footnote w:id="29">
    <w:p w14:paraId="0F8F6484" w14:textId="77777777" w:rsidR="00BA22AC" w:rsidRPr="004A321E" w:rsidRDefault="00BA22AC" w:rsidP="00BA22AC">
      <w:pPr>
        <w:pStyle w:val="Textonotapie"/>
        <w:ind w:firstLine="708"/>
        <w:jc w:val="both"/>
        <w:rPr>
          <w:sz w:val="18"/>
          <w:szCs w:val="18"/>
        </w:rPr>
      </w:pPr>
      <w:r w:rsidRPr="004A321E">
        <w:rPr>
          <w:rStyle w:val="Refdenotaalpie"/>
          <w:sz w:val="18"/>
          <w:szCs w:val="18"/>
        </w:rPr>
        <w:footnoteRef/>
      </w:r>
      <w:r w:rsidRPr="004A321E">
        <w:rPr>
          <w:sz w:val="18"/>
          <w:szCs w:val="18"/>
        </w:rPr>
        <w:t xml:space="preserve"> Si bien el parágrafo de artículo 14 de la Ley 80 de 1993 establece que se deberá prescindir de las cláusulas excepcionales en los ‘contratos interadministrativos’, el Consejo de Estado ha señalado que tal disposición aplica indiscutiblemente para los convenios, pero, para el caso de los contratos administrativos «dado el ámbito de subordinación, no puede descartarse </w:t>
      </w:r>
      <w:r w:rsidRPr="004A321E">
        <w:rPr>
          <w:i/>
          <w:iCs/>
          <w:sz w:val="18"/>
          <w:szCs w:val="18"/>
        </w:rPr>
        <w:t>prima facie</w:t>
      </w:r>
      <w:r w:rsidRPr="004A321E">
        <w:rPr>
          <w:sz w:val="18"/>
          <w:szCs w:val="18"/>
        </w:rPr>
        <w:t xml:space="preserve">». De hecho, se ha referido en concreto a la procedencia de la imposición de multas, sanciones y declaratorias de incumplimiento en contratos interadministrativos. (Consejo de Estado. Sala de Consulta y Servicio Civil, </w:t>
      </w:r>
      <w:r w:rsidRPr="004A321E">
        <w:rPr>
          <w:i/>
          <w:iCs/>
          <w:sz w:val="18"/>
          <w:szCs w:val="18"/>
        </w:rPr>
        <w:t>ibídem</w:t>
      </w:r>
      <w:r w:rsidRPr="004A321E">
        <w:rPr>
          <w:sz w:val="18"/>
          <w:szCs w:val="18"/>
        </w:rPr>
        <w:t>). Cfr. SANTOS Rodríguez Jorge Enrique. “Consideraciones sobre los contratos y convenios interadministrativos”. Revista Digital de Derecho Administrativo, Núm. 1, Universidad Externado de Colombia, Bogotá, 2009. Pág. 19.</w:t>
      </w:r>
    </w:p>
  </w:footnote>
  <w:footnote w:id="30">
    <w:p w14:paraId="38530438" w14:textId="77777777" w:rsidR="00114CBB" w:rsidRPr="004A321E" w:rsidRDefault="00114CBB" w:rsidP="00114CBB">
      <w:pPr>
        <w:pStyle w:val="Textonotapie"/>
        <w:ind w:firstLine="708"/>
        <w:jc w:val="both"/>
        <w:rPr>
          <w:color w:val="000000" w:themeColor="text1"/>
          <w:sz w:val="18"/>
          <w:szCs w:val="18"/>
          <w:lang w:val="es-CO"/>
        </w:rPr>
      </w:pPr>
      <w:r w:rsidRPr="004A321E">
        <w:rPr>
          <w:rStyle w:val="Refdenotaalpie"/>
          <w:color w:val="000000" w:themeColor="text1"/>
          <w:sz w:val="18"/>
          <w:szCs w:val="18"/>
        </w:rPr>
        <w:footnoteRef/>
      </w:r>
      <w:r w:rsidRPr="004A321E">
        <w:rPr>
          <w:color w:val="000000" w:themeColor="text1"/>
          <w:sz w:val="18"/>
          <w:szCs w:val="18"/>
        </w:rPr>
        <w:t xml:space="preserve"> «Son también contratos de consultoría los que tienen por objeto la interventoría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49879" w14:textId="77777777" w:rsidR="00993A2A" w:rsidRPr="003F58A1" w:rsidRDefault="00A53FAC" w:rsidP="00993A2A">
    <w:pPr>
      <w:spacing w:after="0"/>
      <w:rPr>
        <w:rFonts w:ascii="Geomanist Bold" w:hAnsi="Geomanist Bold"/>
        <w:color w:val="002060"/>
        <w:szCs w:val="24"/>
      </w:rPr>
    </w:pPr>
    <w:r w:rsidRPr="008614E5">
      <w:rPr>
        <w:rFonts w:eastAsia="Arial Nova" w:cs="Arial Nova"/>
        <w:noProof/>
        <w:szCs w:val="24"/>
        <w:lang w:val="en-US"/>
      </w:rPr>
      <w:drawing>
        <wp:anchor distT="0" distB="0" distL="0" distR="0" simplePos="0" relativeHeight="251659264" behindDoc="1" locked="0" layoutInCell="1" hidden="0" allowOverlap="1" wp14:anchorId="134470D3" wp14:editId="43A91C5A">
          <wp:simplePos x="0" y="0"/>
          <wp:positionH relativeFrom="margin">
            <wp:align>right</wp:align>
          </wp:positionH>
          <wp:positionV relativeFrom="paragraph">
            <wp:posOffset>6985</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614E5">
      <w:rPr>
        <w:rFonts w:ascii="Geomanist Bold" w:hAnsi="Geomanist Bold"/>
        <w:color w:val="002060"/>
        <w:szCs w:val="24"/>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993A2A" w:rsidRPr="00367110" w14:paraId="1FA2BBFD" w14:textId="77777777" w:rsidTr="00B53489">
      <w:tc>
        <w:tcPr>
          <w:tcW w:w="6756" w:type="dxa"/>
        </w:tcPr>
        <w:p w14:paraId="5DEA22B6" w14:textId="77777777" w:rsidR="00993A2A" w:rsidRPr="006478E3" w:rsidRDefault="00A53FAC" w:rsidP="00993A2A">
          <w:pPr>
            <w:pBdr>
              <w:top w:val="nil"/>
              <w:left w:val="nil"/>
              <w:bottom w:val="nil"/>
              <w:right w:val="nil"/>
              <w:between w:val="nil"/>
            </w:pBdr>
            <w:tabs>
              <w:tab w:val="center" w:pos="4419"/>
              <w:tab w:val="right" w:pos="8838"/>
              <w:tab w:val="center" w:pos="5400"/>
            </w:tabs>
            <w:spacing w:after="0"/>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7A428844" w14:textId="77777777" w:rsidR="00993A2A" w:rsidRPr="0057618A" w:rsidRDefault="00A53FAC" w:rsidP="00993A2A">
          <w:pPr>
            <w:pBdr>
              <w:top w:val="nil"/>
              <w:left w:val="nil"/>
              <w:bottom w:val="nil"/>
              <w:right w:val="nil"/>
              <w:between w:val="nil"/>
            </w:pBdr>
            <w:tabs>
              <w:tab w:val="center" w:pos="4419"/>
              <w:tab w:val="right" w:pos="8838"/>
              <w:tab w:val="center" w:pos="5400"/>
            </w:tabs>
            <w:spacing w:after="0"/>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657284F9" w14:textId="77777777" w:rsidR="00993A2A" w:rsidRPr="00367110" w:rsidRDefault="00000000" w:rsidP="00993A2A">
          <w:pPr>
            <w:jc w:val="right"/>
            <w:rPr>
              <w:rFonts w:eastAsia="Arial Nova" w:cs="Arial Nova"/>
              <w:lang w:eastAsia="es-CO"/>
            </w:rPr>
          </w:pPr>
        </w:p>
      </w:tc>
      <w:tc>
        <w:tcPr>
          <w:tcW w:w="1324" w:type="dxa"/>
        </w:tcPr>
        <w:p w14:paraId="7564306D" w14:textId="77777777" w:rsidR="00993A2A" w:rsidRPr="00367110" w:rsidRDefault="00000000" w:rsidP="00993A2A">
          <w:pPr>
            <w:jc w:val="right"/>
            <w:rPr>
              <w:rFonts w:eastAsia="Arial Nova" w:cs="Arial Nova"/>
              <w:lang w:eastAsia="es-CO"/>
            </w:rPr>
          </w:pPr>
        </w:p>
      </w:tc>
    </w:tr>
  </w:tbl>
  <w:p w14:paraId="41128C16" w14:textId="77777777" w:rsidR="00993A2A" w:rsidRPr="00906B3C" w:rsidRDefault="00A53FAC" w:rsidP="00993A2A">
    <w:pPr>
      <w:pStyle w:val="Encabezado"/>
      <w:ind w:left="3545" w:firstLine="709"/>
      <w:rPr>
        <w:b/>
        <w:bCs/>
        <w:color w:val="A5A5A5" w:themeColor="accent3"/>
        <w:sz w:val="18"/>
        <w:szCs w:val="18"/>
      </w:rPr>
    </w:pPr>
    <w:r w:rsidRPr="00367110">
      <w:rPr>
        <w:rFonts w:eastAsia="Arial Nova" w:cs="Arial Nova"/>
        <w:noProof/>
        <w:color w:val="000000"/>
        <w:lang w:val="en-US"/>
      </w:rPr>
      <w:drawing>
        <wp:anchor distT="0" distB="0" distL="114300" distR="114300" simplePos="0" relativeHeight="251660288" behindDoc="1" locked="0" layoutInCell="1" allowOverlap="1" wp14:anchorId="49B19065" wp14:editId="3BFD5B84">
          <wp:simplePos x="0" y="0"/>
          <wp:positionH relativeFrom="column">
            <wp:posOffset>62866</wp:posOffset>
          </wp:positionH>
          <wp:positionV relativeFrom="paragraph">
            <wp:posOffset>1905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521652" cy="82862"/>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7522E"/>
    <w:multiLevelType w:val="hybridMultilevel"/>
    <w:tmpl w:val="4858EB3A"/>
    <w:lvl w:ilvl="0" w:tplc="FDD2E992">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8391548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A29"/>
    <w:rsid w:val="000339D9"/>
    <w:rsid w:val="00114CBB"/>
    <w:rsid w:val="001E53D7"/>
    <w:rsid w:val="001F6187"/>
    <w:rsid w:val="002F0EC9"/>
    <w:rsid w:val="004A321E"/>
    <w:rsid w:val="005A53C5"/>
    <w:rsid w:val="00632DE2"/>
    <w:rsid w:val="00651A7A"/>
    <w:rsid w:val="00664CC9"/>
    <w:rsid w:val="00687F1F"/>
    <w:rsid w:val="006B0110"/>
    <w:rsid w:val="007171A1"/>
    <w:rsid w:val="008B0BFB"/>
    <w:rsid w:val="00953F30"/>
    <w:rsid w:val="009633F9"/>
    <w:rsid w:val="00A07E81"/>
    <w:rsid w:val="00A47731"/>
    <w:rsid w:val="00A53FAC"/>
    <w:rsid w:val="00A65B71"/>
    <w:rsid w:val="00BA22AC"/>
    <w:rsid w:val="00C75A95"/>
    <w:rsid w:val="00C873FB"/>
    <w:rsid w:val="00CE04D9"/>
    <w:rsid w:val="00D52D96"/>
    <w:rsid w:val="00E44A29"/>
    <w:rsid w:val="00ED2C50"/>
    <w:rsid w:val="00F25945"/>
    <w:rsid w:val="00F96B9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C2E95"/>
  <w15:chartTrackingRefBased/>
  <w15:docId w15:val="{F40851DB-9BC6-A24A-8AA2-D53F0BFA4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4A29"/>
    <w:pPr>
      <w:spacing w:after="200" w:line="276" w:lineRule="auto"/>
      <w:jc w:val="both"/>
    </w:pPr>
    <w:rPr>
      <w:szCs w:val="2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E44A29"/>
    <w:pPr>
      <w:tabs>
        <w:tab w:val="center" w:pos="4419"/>
        <w:tab w:val="right" w:pos="8838"/>
      </w:tabs>
    </w:pPr>
  </w:style>
  <w:style w:type="character" w:customStyle="1" w:styleId="PiedepginaCar">
    <w:name w:val="Pie de página Car"/>
    <w:basedOn w:val="Fuentedeprrafopredeter"/>
    <w:link w:val="Piedepgina"/>
    <w:uiPriority w:val="99"/>
    <w:rsid w:val="00E44A29"/>
    <w:rPr>
      <w:szCs w:val="22"/>
      <w:lang w:val="es-MX"/>
    </w:rPr>
  </w:style>
  <w:style w:type="paragraph" w:styleId="Encabezado">
    <w:name w:val="header"/>
    <w:basedOn w:val="Normal"/>
    <w:link w:val="EncabezadoCar"/>
    <w:uiPriority w:val="99"/>
    <w:unhideWhenUsed/>
    <w:rsid w:val="00E44A29"/>
    <w:pPr>
      <w:tabs>
        <w:tab w:val="center" w:pos="4252"/>
        <w:tab w:val="right" w:pos="8504"/>
      </w:tabs>
    </w:pPr>
  </w:style>
  <w:style w:type="character" w:customStyle="1" w:styleId="EncabezadoCar">
    <w:name w:val="Encabezado Car"/>
    <w:basedOn w:val="Fuentedeprrafopredeter"/>
    <w:link w:val="Encabezado"/>
    <w:uiPriority w:val="99"/>
    <w:rsid w:val="00E44A29"/>
    <w:rPr>
      <w:szCs w:val="22"/>
      <w:lang w:val="es-MX"/>
    </w:rPr>
  </w:style>
  <w:style w:type="table" w:styleId="Tablaconcuadrcula">
    <w:name w:val="Table Grid"/>
    <w:basedOn w:val="Tablanormal"/>
    <w:uiPriority w:val="59"/>
    <w:qFormat/>
    <w:rsid w:val="00E44A29"/>
    <w:pPr>
      <w:jc w:val="both"/>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ar"/>
    <w:uiPriority w:val="99"/>
    <w:unhideWhenUsed/>
    <w:rsid w:val="00E44A29"/>
    <w:pPr>
      <w:spacing w:before="100" w:beforeAutospacing="1" w:after="100" w:afterAutospacing="1"/>
    </w:pPr>
    <w:rPr>
      <w:rFonts w:ascii="Times New Roman" w:eastAsia="Times New Roman" w:hAnsi="Times New Roman" w:cs="Times New Roman"/>
      <w:szCs w:val="24"/>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E44A29"/>
    <w:rPr>
      <w:vertAlign w:val="superscript"/>
    </w:rPr>
  </w:style>
  <w:style w:type="paragraph" w:customStyle="1" w:styleId="Appelnotedebasde">
    <w:name w:val="Appel note de bas de..."/>
    <w:basedOn w:val="Normal"/>
    <w:link w:val="Refdenotaalpie"/>
    <w:uiPriority w:val="99"/>
    <w:rsid w:val="00E44A29"/>
    <w:pPr>
      <w:spacing w:after="160" w:line="240" w:lineRule="exact"/>
    </w:pPr>
    <w:rPr>
      <w:szCs w:val="24"/>
      <w:vertAlign w:val="superscript"/>
      <w:lang w:val="es-CO"/>
    </w:rPr>
  </w:style>
  <w:style w:type="character" w:customStyle="1" w:styleId="NormalWebCar">
    <w:name w:val="Normal (Web) Car"/>
    <w:link w:val="NormalWeb"/>
    <w:uiPriority w:val="99"/>
    <w:locked/>
    <w:rsid w:val="00E44A29"/>
    <w:rPr>
      <w:rFonts w:ascii="Times New Roman" w:eastAsia="Times New Roman" w:hAnsi="Times New Roman" w:cs="Times New Roman"/>
      <w:lang w:eastAsia="es-CO"/>
    </w:rPr>
  </w:style>
  <w:style w:type="table" w:customStyle="1" w:styleId="Tablaconcuadrcula1">
    <w:name w:val="Tabla con cuadrícula1"/>
    <w:basedOn w:val="Tablanormal"/>
    <w:next w:val="Tablaconcuadrcula"/>
    <w:uiPriority w:val="39"/>
    <w:rsid w:val="00E44A29"/>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44A29"/>
    <w:pPr>
      <w:spacing w:after="0" w:line="240" w:lineRule="auto"/>
      <w:ind w:left="720"/>
      <w:contextualSpacing/>
      <w:jc w:val="left"/>
    </w:pPr>
    <w:rPr>
      <w:szCs w:val="24"/>
      <w:lang w:val="es-CO"/>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E44A29"/>
    <w:pPr>
      <w:widowControl w:val="0"/>
      <w:autoSpaceDE w:val="0"/>
      <w:autoSpaceDN w:val="0"/>
      <w:spacing w:after="0" w:line="240" w:lineRule="auto"/>
      <w:jc w:val="left"/>
    </w:pPr>
    <w:rPr>
      <w:rFonts w:ascii="Arial" w:eastAsia="Arial" w:hAnsi="Arial" w:cs="Arial"/>
      <w:sz w:val="20"/>
      <w:szCs w:val="20"/>
      <w:lang w:val="es-ES"/>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rsid w:val="00E44A29"/>
    <w:rPr>
      <w:rFonts w:ascii="Arial" w:eastAsia="Arial" w:hAnsi="Arial" w:cs="Arial"/>
      <w:sz w:val="20"/>
      <w:szCs w:val="20"/>
      <w:lang w:val="es-ES"/>
    </w:rPr>
  </w:style>
  <w:style w:type="paragraph" w:styleId="Sinespaciado">
    <w:name w:val="No Spacing"/>
    <w:aliases w:val="No Indent"/>
    <w:link w:val="SinespaciadoCar"/>
    <w:uiPriority w:val="3"/>
    <w:qFormat/>
    <w:rsid w:val="00E44A29"/>
    <w:rPr>
      <w:szCs w:val="22"/>
      <w:lang w:val="es-MX"/>
    </w:rPr>
  </w:style>
  <w:style w:type="character" w:customStyle="1" w:styleId="SinespaciadoCar">
    <w:name w:val="Sin espaciado Car"/>
    <w:aliases w:val="No Indent Car"/>
    <w:link w:val="Sinespaciado"/>
    <w:uiPriority w:val="3"/>
    <w:rsid w:val="00E44A29"/>
    <w:rPr>
      <w:szCs w:val="22"/>
      <w:lang w:val="es-MX"/>
    </w:rPr>
  </w:style>
  <w:style w:type="character" w:styleId="Refdecomentario">
    <w:name w:val="annotation reference"/>
    <w:basedOn w:val="Fuentedeprrafopredeter"/>
    <w:uiPriority w:val="99"/>
    <w:semiHidden/>
    <w:unhideWhenUsed/>
    <w:rsid w:val="007171A1"/>
    <w:rPr>
      <w:sz w:val="16"/>
      <w:szCs w:val="16"/>
    </w:rPr>
  </w:style>
  <w:style w:type="paragraph" w:styleId="Textocomentario">
    <w:name w:val="annotation text"/>
    <w:basedOn w:val="Normal"/>
    <w:link w:val="TextocomentarioCar"/>
    <w:uiPriority w:val="99"/>
    <w:semiHidden/>
    <w:unhideWhenUsed/>
    <w:rsid w:val="007171A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171A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71A1"/>
    <w:rPr>
      <w:b/>
      <w:bCs/>
    </w:rPr>
  </w:style>
  <w:style w:type="character" w:customStyle="1" w:styleId="AsuntodelcomentarioCar">
    <w:name w:val="Asunto del comentario Car"/>
    <w:basedOn w:val="TextocomentarioCar"/>
    <w:link w:val="Asuntodelcomentario"/>
    <w:uiPriority w:val="99"/>
    <w:semiHidden/>
    <w:rsid w:val="007171A1"/>
    <w:rPr>
      <w:b/>
      <w:bCs/>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0CD9270-7060-4835-80D2-BD793D0A9D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D1FD11-A715-4060-9634-1243B750188C}">
  <ds:schemaRefs>
    <ds:schemaRef ds:uri="http://schemas.microsoft.com/sharepoint/v3/contenttype/forms"/>
  </ds:schemaRefs>
</ds:datastoreItem>
</file>

<file path=customXml/itemProps3.xml><?xml version="1.0" encoding="utf-8"?>
<ds:datastoreItem xmlns:ds="http://schemas.openxmlformats.org/officeDocument/2006/customXml" ds:itemID="{A08D2279-AD6B-433E-9114-BB304083DC99}">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6930</Words>
  <Characters>38119</Characters>
  <Application>Microsoft Office Word</Application>
  <DocSecurity>0</DocSecurity>
  <Lines>317</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Carlos Covilla Martínez</dc:creator>
  <cp:keywords/>
  <dc:description/>
  <cp:lastModifiedBy>Diego German Revelo Bolívar</cp:lastModifiedBy>
  <cp:revision>3</cp:revision>
  <dcterms:created xsi:type="dcterms:W3CDTF">2023-04-12T13:03:00Z</dcterms:created>
  <dcterms:modified xsi:type="dcterms:W3CDTF">2023-04-12T14:47:00Z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