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9BC7" w14:textId="77777777" w:rsidR="007924AC" w:rsidRPr="007924AC" w:rsidRDefault="007924AC" w:rsidP="007924AC">
      <w:pPr>
        <w:spacing w:after="0" w:line="240" w:lineRule="auto"/>
        <w:jc w:val="both"/>
        <w:rPr>
          <w:rFonts w:ascii="Arial" w:eastAsia="Calibri" w:hAnsi="Arial" w:cs="Arial"/>
          <w:b/>
          <w:color w:val="000000"/>
          <w:lang w:val="es-MX"/>
        </w:rPr>
      </w:pPr>
      <w:bookmarkStart w:id="0" w:name="_Hlk77082508"/>
      <w:r w:rsidRPr="007924AC">
        <w:rPr>
          <w:rFonts w:ascii="Arial" w:eastAsia="Calibri" w:hAnsi="Arial" w:cs="Arial"/>
          <w:b/>
          <w:color w:val="000000"/>
          <w:lang w:val="es-MX"/>
        </w:rPr>
        <w:t xml:space="preserve">FONDOS MIXTOS DE LA CULTURA Y LAS ARTES – </w:t>
      </w:r>
      <w:r w:rsidRPr="00483F51">
        <w:rPr>
          <w:rFonts w:ascii="Arial" w:eastAsia="Calibri" w:hAnsi="Arial" w:cs="Arial"/>
          <w:bCs/>
          <w:color w:val="000000"/>
          <w:lang w:val="es-MX"/>
        </w:rPr>
        <w:t>Naturaleza jurídica</w:t>
      </w:r>
      <w:r w:rsidRPr="007924AC">
        <w:rPr>
          <w:rFonts w:ascii="Arial" w:eastAsia="Calibri" w:hAnsi="Arial" w:cs="Arial"/>
          <w:b/>
          <w:color w:val="000000"/>
          <w:lang w:val="es-MX"/>
        </w:rPr>
        <w:t xml:space="preserve"> </w:t>
      </w:r>
    </w:p>
    <w:bookmarkEnd w:id="0"/>
    <w:p w14:paraId="68D10A31"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p>
    <w:p w14:paraId="3680DF08"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t>El artículo 63 de la Ley 397 de 1997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bookmarkStart w:id="1" w:name="_Hlk77083940"/>
      <w:r w:rsidRPr="007924AC">
        <w:rPr>
          <w:rFonts w:ascii="Arial" w:eastAsia="Calibri" w:hAnsi="Arial" w:cs="Arial"/>
          <w:sz w:val="20"/>
          <w:szCs w:val="20"/>
          <w:lang w:val="es-MX"/>
        </w:rPr>
        <w:t xml:space="preserve"> </w:t>
      </w:r>
      <w:r w:rsidRPr="007924AC">
        <w:rPr>
          <w:rFonts w:ascii="Arial" w:eastAsia="Calibri" w:hAnsi="Arial" w:cs="Arial"/>
          <w:bCs/>
          <w:color w:val="000000"/>
          <w:sz w:val="20"/>
          <w:szCs w:val="20"/>
          <w:lang w:val="es-MX"/>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08F8F899"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t>[…]</w:t>
      </w:r>
    </w:p>
    <w:bookmarkEnd w:id="1"/>
    <w:p w14:paraId="5265AC05"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 […]</w:t>
      </w:r>
    </w:p>
    <w:p w14:paraId="21851CA0"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p>
    <w:p w14:paraId="0AA7F3AE" w14:textId="77777777" w:rsidR="007924AC" w:rsidRPr="007924AC" w:rsidRDefault="007924AC" w:rsidP="007924AC">
      <w:pPr>
        <w:spacing w:after="0" w:line="240" w:lineRule="auto"/>
        <w:jc w:val="both"/>
        <w:rPr>
          <w:rFonts w:ascii="Arial" w:eastAsia="Calibri" w:hAnsi="Arial" w:cs="Arial"/>
          <w:b/>
          <w:color w:val="000000"/>
          <w:sz w:val="20"/>
          <w:szCs w:val="20"/>
          <w:lang w:val="es-MX"/>
        </w:rPr>
      </w:pPr>
      <w:r w:rsidRPr="007924AC">
        <w:rPr>
          <w:rFonts w:ascii="Arial" w:eastAsia="Calibri" w:hAnsi="Arial" w:cs="Arial"/>
          <w:bCs/>
          <w:color w:val="000000"/>
          <w:sz w:val="20"/>
          <w:szCs w:val="20"/>
          <w:lang w:val="es-MX"/>
        </w:rPr>
        <w:t>Así pues, los fondos mixtos para la promoción de la cultura y de las artes son personas jurídicas sin ánimo de lucro, regidas por el derecho privado principalmente; hacen parte de la estructura de la Administración, como entidades descentralizadas indirectas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p w14:paraId="683C0D9C" w14:textId="77777777" w:rsidR="007924AC" w:rsidRPr="007924AC" w:rsidRDefault="007924AC" w:rsidP="007924AC">
      <w:pPr>
        <w:spacing w:after="0" w:line="240" w:lineRule="auto"/>
        <w:jc w:val="both"/>
        <w:rPr>
          <w:rFonts w:ascii="Arial" w:eastAsia="Calibri" w:hAnsi="Arial" w:cs="Arial"/>
          <w:b/>
          <w:color w:val="000000"/>
          <w:sz w:val="20"/>
          <w:szCs w:val="20"/>
          <w:lang w:val="es-MX"/>
        </w:rPr>
      </w:pPr>
      <w:bookmarkStart w:id="2" w:name="_Hlk77090286"/>
    </w:p>
    <w:p w14:paraId="62E30ABD" w14:textId="77777777" w:rsidR="007924AC" w:rsidRPr="007924AC" w:rsidRDefault="007924AC" w:rsidP="007924AC">
      <w:pPr>
        <w:spacing w:after="0" w:line="240" w:lineRule="auto"/>
        <w:jc w:val="both"/>
        <w:rPr>
          <w:rFonts w:ascii="Arial" w:eastAsia="Calibri" w:hAnsi="Arial" w:cs="Arial"/>
          <w:b/>
          <w:color w:val="000000"/>
          <w:lang w:val="es-MX"/>
        </w:rPr>
      </w:pPr>
      <w:r w:rsidRPr="007924AC">
        <w:rPr>
          <w:rFonts w:ascii="Arial" w:eastAsia="Calibri" w:hAnsi="Arial" w:cs="Arial"/>
          <w:b/>
          <w:color w:val="000000"/>
          <w:lang w:val="es-MX"/>
        </w:rPr>
        <w:t xml:space="preserve">FONDOS MIXTOS DE LA CULTURA Y LAS ARTES – </w:t>
      </w:r>
      <w:r w:rsidRPr="00483F51">
        <w:rPr>
          <w:rFonts w:ascii="Arial" w:eastAsia="Calibri" w:hAnsi="Arial" w:cs="Arial"/>
          <w:bCs/>
          <w:color w:val="000000"/>
          <w:lang w:val="es-MX"/>
        </w:rPr>
        <w:t>Régimen de contratación</w:t>
      </w:r>
      <w:r w:rsidRPr="007924AC">
        <w:rPr>
          <w:rFonts w:ascii="Arial" w:eastAsia="Calibri" w:hAnsi="Arial" w:cs="Arial"/>
          <w:b/>
          <w:color w:val="000000"/>
          <w:lang w:val="es-MX"/>
        </w:rPr>
        <w:t xml:space="preserve"> </w:t>
      </w:r>
    </w:p>
    <w:bookmarkEnd w:id="2"/>
    <w:p w14:paraId="3B1FD22C" w14:textId="77777777" w:rsidR="007924AC" w:rsidRPr="007924AC" w:rsidRDefault="007924AC" w:rsidP="007924AC">
      <w:pPr>
        <w:spacing w:after="0" w:line="240" w:lineRule="auto"/>
        <w:rPr>
          <w:rFonts w:ascii="Arial" w:eastAsia="Calibri" w:hAnsi="Arial" w:cs="Arial"/>
          <w:bCs/>
          <w:color w:val="000000"/>
          <w:sz w:val="20"/>
          <w:szCs w:val="20"/>
          <w:lang w:val="es-MX"/>
        </w:rPr>
      </w:pPr>
    </w:p>
    <w:p w14:paraId="4ECEAFD6"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t xml:space="preserve">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 de conformidad con el artículo 13 de la Ley 1150 de 2007. […] 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6A3C7404"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p>
    <w:p w14:paraId="2C3B9E0A" w14:textId="77777777" w:rsidR="007924AC" w:rsidRPr="00483F51" w:rsidRDefault="007924AC" w:rsidP="007924AC">
      <w:pPr>
        <w:spacing w:after="0" w:line="240" w:lineRule="auto"/>
        <w:jc w:val="both"/>
        <w:rPr>
          <w:rFonts w:ascii="Arial" w:eastAsia="Calibri" w:hAnsi="Arial" w:cs="Arial"/>
          <w:bCs/>
          <w:color w:val="000000"/>
          <w:lang w:val="es-MX"/>
        </w:rPr>
      </w:pPr>
      <w:r w:rsidRPr="007924AC">
        <w:rPr>
          <w:rFonts w:ascii="Arial" w:eastAsia="Calibri" w:hAnsi="Arial" w:cs="Arial"/>
          <w:b/>
          <w:color w:val="000000"/>
          <w:lang w:val="es-MX"/>
        </w:rPr>
        <w:t xml:space="preserve">CONTRATOS Y CONVENIOS INTERADMINISTRATIVOS – </w:t>
      </w:r>
      <w:r w:rsidRPr="00483F51">
        <w:rPr>
          <w:rFonts w:ascii="Arial" w:eastAsia="Calibri" w:hAnsi="Arial" w:cs="Arial"/>
          <w:bCs/>
          <w:color w:val="000000"/>
          <w:lang w:val="es-MX"/>
        </w:rPr>
        <w:t xml:space="preserve">Definición – Criterio orgánico </w:t>
      </w:r>
    </w:p>
    <w:p w14:paraId="062A9E48" w14:textId="77777777" w:rsidR="007924AC" w:rsidRPr="00483F51" w:rsidRDefault="007924AC" w:rsidP="007924AC">
      <w:pPr>
        <w:spacing w:after="0" w:line="240" w:lineRule="auto"/>
        <w:rPr>
          <w:rFonts w:ascii="Arial" w:eastAsia="Calibri" w:hAnsi="Arial" w:cs="Arial"/>
          <w:bCs/>
          <w:color w:val="000000"/>
          <w:sz w:val="20"/>
          <w:szCs w:val="20"/>
          <w:lang w:val="es-MX"/>
        </w:rPr>
      </w:pPr>
    </w:p>
    <w:p w14:paraId="2C06EFEC"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t>[…] el Decreto 1082 de 2015, «Por medio del cual se expide el Decreto único reglamentario del sector administrativo de planeación nacional», calificó a los convenios o contratos interadministrativos como aquella contratación entre entidades estatales. De esta manera, los convenios o contratos interadministrativos, nominados así en la Ley 80 de 1993 están determinados por un criterio orgánico o subjetivo, pues es necesario que los extremos de la relación contractual sean entidades estatales.</w:t>
      </w:r>
    </w:p>
    <w:p w14:paraId="212EFA51"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p>
    <w:p w14:paraId="2245B724"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t xml:space="preserve"> </w:t>
      </w:r>
    </w:p>
    <w:p w14:paraId="678F9F04" w14:textId="77777777" w:rsidR="007924AC" w:rsidRPr="00483F51" w:rsidRDefault="007924AC" w:rsidP="007924AC">
      <w:pPr>
        <w:spacing w:after="0" w:line="240" w:lineRule="auto"/>
        <w:jc w:val="both"/>
        <w:rPr>
          <w:rFonts w:ascii="Arial" w:eastAsia="Calibri" w:hAnsi="Arial" w:cs="Arial"/>
          <w:bCs/>
          <w:color w:val="000000"/>
          <w:lang w:val="es-MX"/>
        </w:rPr>
      </w:pPr>
      <w:r w:rsidRPr="007924AC">
        <w:rPr>
          <w:rFonts w:ascii="Arial" w:eastAsia="Calibri" w:hAnsi="Arial" w:cs="Arial"/>
          <w:b/>
          <w:color w:val="000000"/>
          <w:lang w:val="es-MX"/>
        </w:rPr>
        <w:t xml:space="preserve">CONTRATOS Y CONVENIOS INTERADMINISTRATIVOS – </w:t>
      </w:r>
      <w:r w:rsidRPr="00483F51">
        <w:rPr>
          <w:rFonts w:ascii="Arial" w:eastAsia="Calibri" w:hAnsi="Arial" w:cs="Arial"/>
          <w:bCs/>
          <w:color w:val="000000"/>
          <w:lang w:val="es-MX"/>
        </w:rPr>
        <w:t>Celebración – Entidades exceptuadas</w:t>
      </w:r>
    </w:p>
    <w:p w14:paraId="0BD44C79" w14:textId="77777777" w:rsidR="007924AC" w:rsidRPr="007924AC" w:rsidRDefault="007924AC" w:rsidP="007924AC">
      <w:pPr>
        <w:spacing w:after="0" w:line="240" w:lineRule="auto"/>
        <w:jc w:val="both"/>
        <w:rPr>
          <w:rFonts w:ascii="Arial" w:eastAsia="Calibri" w:hAnsi="Arial" w:cs="Arial"/>
          <w:bCs/>
          <w:color w:val="000000"/>
          <w:lang w:val="es-MX"/>
        </w:rPr>
      </w:pPr>
    </w:p>
    <w:p w14:paraId="6A8686A3"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r w:rsidRPr="007924AC">
        <w:rPr>
          <w:rFonts w:ascii="Arial" w:eastAsia="Calibri" w:hAnsi="Arial" w:cs="Arial"/>
          <w:bCs/>
          <w:color w:val="000000"/>
          <w:sz w:val="20"/>
          <w:szCs w:val="20"/>
          <w:lang w:val="es-MX"/>
        </w:rPr>
        <w:lastRenderedPageBreak/>
        <w:t>El hecho de que estos negocios jurídicos estén previstos en el Estatuto General de Contratación de la Administración Pública y en el Decreto en el 1082 de 2015, no quiere decir que solo puedan celebrarse entre entidades estatales que apliquen el régimen de contratación allí previsto, pues bien puede una entidad estatal de Ley 80 de 1993 celebrar esta clase de convenios con una entidad estatal exceptuada de esta y con régimen especial de contratación y no por ello dejará de ser un contrato o convenio interadministrativo, conforme se establece en el literal c), numeral 4 del artículo 2 de la Ley 1150 de 2007 –modificada por los artículos 92 y 95 de la Ley 1474 de 2011.</w:t>
      </w:r>
    </w:p>
    <w:p w14:paraId="45E7FC66" w14:textId="77777777" w:rsidR="007924AC" w:rsidRPr="007924AC" w:rsidRDefault="007924AC" w:rsidP="007924AC">
      <w:pPr>
        <w:spacing w:after="0" w:line="240" w:lineRule="auto"/>
        <w:jc w:val="both"/>
        <w:rPr>
          <w:rFonts w:ascii="Arial" w:eastAsia="Calibri" w:hAnsi="Arial" w:cs="Arial"/>
          <w:bCs/>
          <w:color w:val="000000"/>
          <w:sz w:val="20"/>
          <w:szCs w:val="20"/>
          <w:lang w:val="es-MX"/>
        </w:rPr>
      </w:pPr>
    </w:p>
    <w:p w14:paraId="6FCA9F15" w14:textId="77777777" w:rsidR="007924AC" w:rsidRPr="00483F51" w:rsidRDefault="007924AC" w:rsidP="007924AC">
      <w:pPr>
        <w:spacing w:after="0" w:line="240" w:lineRule="auto"/>
        <w:jc w:val="both"/>
        <w:rPr>
          <w:rFonts w:ascii="Arial" w:eastAsia="Calibri" w:hAnsi="Arial" w:cs="Arial"/>
          <w:bCs/>
          <w:color w:val="000000"/>
          <w:lang w:val="es-MX"/>
        </w:rPr>
      </w:pPr>
      <w:r w:rsidRPr="007924AC">
        <w:rPr>
          <w:rFonts w:ascii="Arial" w:eastAsia="Calibri" w:hAnsi="Arial" w:cs="Arial"/>
          <w:b/>
          <w:color w:val="000000"/>
          <w:lang w:val="es-MX"/>
        </w:rPr>
        <w:t xml:space="preserve">FONDOS MIXTOS DE LA CULTURA Y LAS ARTES – </w:t>
      </w:r>
      <w:r w:rsidRPr="00483F51">
        <w:rPr>
          <w:rFonts w:ascii="Arial" w:eastAsia="Calibri" w:hAnsi="Arial" w:cs="Arial"/>
          <w:bCs/>
          <w:color w:val="000000"/>
          <w:lang w:val="es-MX"/>
        </w:rPr>
        <w:t>Celebración de convenios interadministrativos</w:t>
      </w:r>
    </w:p>
    <w:p w14:paraId="4B45D427" w14:textId="77777777" w:rsidR="007924AC" w:rsidRPr="00483F51" w:rsidRDefault="007924AC" w:rsidP="007924AC">
      <w:pPr>
        <w:spacing w:after="0" w:line="240" w:lineRule="auto"/>
        <w:jc w:val="both"/>
        <w:rPr>
          <w:rFonts w:ascii="Arial" w:eastAsia="Calibri" w:hAnsi="Arial" w:cs="Arial"/>
          <w:bCs/>
          <w:color w:val="000000"/>
          <w:sz w:val="20"/>
          <w:szCs w:val="20"/>
          <w:lang w:val="es-MX"/>
        </w:rPr>
      </w:pPr>
    </w:p>
    <w:p w14:paraId="50E8A8D2" w14:textId="77777777" w:rsidR="007924AC" w:rsidRPr="007924AC" w:rsidRDefault="007924AC" w:rsidP="007924AC">
      <w:pPr>
        <w:spacing w:after="0" w:line="240" w:lineRule="auto"/>
        <w:jc w:val="both"/>
        <w:rPr>
          <w:rFonts w:ascii="Arial" w:eastAsia="Calibri" w:hAnsi="Arial" w:cs="Arial"/>
          <w:color w:val="000000"/>
          <w:sz w:val="20"/>
          <w:szCs w:val="20"/>
          <w:lang w:val="es-MX"/>
        </w:rPr>
      </w:pPr>
      <w:r w:rsidRPr="007924AC">
        <w:rPr>
          <w:rFonts w:ascii="Arial" w:eastAsia="Calibri" w:hAnsi="Arial" w:cs="Arial"/>
          <w:bCs/>
          <w:color w:val="000000"/>
          <w:sz w:val="20"/>
          <w:szCs w:val="20"/>
          <w:lang w:val="es-MX"/>
        </w:rPr>
        <w:t xml:space="preserve">[…] </w:t>
      </w:r>
      <w:r w:rsidRPr="007924AC">
        <w:rPr>
          <w:rFonts w:ascii="Arial" w:eastAsia="Calibri" w:hAnsi="Arial" w:cs="Arial"/>
          <w:color w:val="000000"/>
          <w:sz w:val="20"/>
          <w:szCs w:val="20"/>
          <w:lang w:val="es-MX"/>
        </w:rPr>
        <w:t>Así pues, conforme a lo expuesto en el acápite anterior, los fondos mixtos al ser entidades descentralizadas indirectas tienen la calidad de entidades públicas, independientemente del porcentaje de participación pública que involucren, razón por la cual tienen la posibilidad de suscribir convenios y contratos interadministrativos con otras entidades públicas sin importar su régimen de contratación.</w:t>
      </w:r>
    </w:p>
    <w:p w14:paraId="7D54A0D3" w14:textId="77777777" w:rsidR="00833452" w:rsidRDefault="00833452" w:rsidP="00526E9D">
      <w:pPr>
        <w:rPr>
          <w:rFonts w:ascii="Geomanist Light" w:eastAsia="Times New Roman" w:hAnsi="Geomanist Light" w:cs="Arial"/>
          <w:b/>
          <w:bCs/>
          <w:lang w:val="es-MX" w:eastAsia="es-CO"/>
        </w:rPr>
      </w:pPr>
    </w:p>
    <w:p w14:paraId="501763B4" w14:textId="77777777" w:rsidR="00FE72C6" w:rsidRDefault="00FE72C6" w:rsidP="00526E9D">
      <w:pPr>
        <w:rPr>
          <w:rFonts w:ascii="Geomanist Light" w:eastAsia="Times New Roman" w:hAnsi="Geomanist Light" w:cs="Arial"/>
          <w:b/>
          <w:bCs/>
          <w:lang w:val="es-MX" w:eastAsia="es-CO"/>
        </w:rPr>
      </w:pPr>
    </w:p>
    <w:p w14:paraId="646A3594" w14:textId="77777777" w:rsidR="00FE72C6" w:rsidRDefault="00FE72C6" w:rsidP="00526E9D">
      <w:pPr>
        <w:rPr>
          <w:rFonts w:ascii="Geomanist Light" w:eastAsia="Times New Roman" w:hAnsi="Geomanist Light" w:cs="Arial"/>
          <w:b/>
          <w:bCs/>
          <w:lang w:val="es-MX" w:eastAsia="es-CO"/>
        </w:rPr>
      </w:pPr>
    </w:p>
    <w:p w14:paraId="7962E653" w14:textId="77777777" w:rsidR="00FE72C6" w:rsidRDefault="00FE72C6" w:rsidP="00526E9D">
      <w:pPr>
        <w:rPr>
          <w:rFonts w:ascii="Geomanist Light" w:eastAsia="Times New Roman" w:hAnsi="Geomanist Light" w:cs="Arial"/>
          <w:b/>
          <w:bCs/>
          <w:lang w:val="es-MX" w:eastAsia="es-CO"/>
        </w:rPr>
      </w:pPr>
    </w:p>
    <w:p w14:paraId="26D1565B" w14:textId="77777777" w:rsidR="00FE72C6" w:rsidRDefault="00FE72C6" w:rsidP="00526E9D">
      <w:pPr>
        <w:rPr>
          <w:rFonts w:ascii="Geomanist Light" w:eastAsia="Times New Roman" w:hAnsi="Geomanist Light" w:cs="Arial"/>
          <w:b/>
          <w:bCs/>
          <w:lang w:val="es-MX" w:eastAsia="es-CO"/>
        </w:rPr>
      </w:pPr>
    </w:p>
    <w:p w14:paraId="10B81642" w14:textId="77777777" w:rsidR="00FE72C6" w:rsidRDefault="00FE72C6" w:rsidP="00526E9D">
      <w:pPr>
        <w:rPr>
          <w:rFonts w:ascii="Geomanist Light" w:eastAsia="Times New Roman" w:hAnsi="Geomanist Light" w:cs="Arial"/>
          <w:b/>
          <w:bCs/>
          <w:lang w:val="es-MX" w:eastAsia="es-CO"/>
        </w:rPr>
      </w:pPr>
    </w:p>
    <w:p w14:paraId="420B17B7" w14:textId="77777777" w:rsidR="00FE72C6" w:rsidRDefault="00FE72C6" w:rsidP="00526E9D">
      <w:pPr>
        <w:rPr>
          <w:rFonts w:ascii="Geomanist Light" w:eastAsia="Times New Roman" w:hAnsi="Geomanist Light" w:cs="Arial"/>
          <w:b/>
          <w:bCs/>
          <w:lang w:val="es-MX" w:eastAsia="es-CO"/>
        </w:rPr>
      </w:pPr>
    </w:p>
    <w:p w14:paraId="25C34FF4" w14:textId="77777777" w:rsidR="00FE72C6" w:rsidRDefault="00FE72C6" w:rsidP="00526E9D">
      <w:pPr>
        <w:rPr>
          <w:rFonts w:ascii="Geomanist Light" w:eastAsia="Times New Roman" w:hAnsi="Geomanist Light" w:cs="Arial"/>
          <w:b/>
          <w:bCs/>
          <w:lang w:val="es-MX" w:eastAsia="es-CO"/>
        </w:rPr>
      </w:pPr>
    </w:p>
    <w:p w14:paraId="1927989E" w14:textId="77777777" w:rsidR="00FE72C6" w:rsidRDefault="00FE72C6" w:rsidP="00526E9D">
      <w:pPr>
        <w:rPr>
          <w:rFonts w:ascii="Geomanist Light" w:eastAsia="Times New Roman" w:hAnsi="Geomanist Light" w:cs="Arial"/>
          <w:b/>
          <w:bCs/>
          <w:lang w:val="es-MX" w:eastAsia="es-CO"/>
        </w:rPr>
      </w:pPr>
    </w:p>
    <w:p w14:paraId="44C4EF13" w14:textId="77777777" w:rsidR="00FE72C6" w:rsidRDefault="00FE72C6" w:rsidP="00526E9D">
      <w:pPr>
        <w:rPr>
          <w:rFonts w:ascii="Geomanist Light" w:eastAsia="Times New Roman" w:hAnsi="Geomanist Light" w:cs="Arial"/>
          <w:b/>
          <w:bCs/>
          <w:lang w:val="es-MX" w:eastAsia="es-CO"/>
        </w:rPr>
      </w:pPr>
    </w:p>
    <w:p w14:paraId="7B07BCEA" w14:textId="77777777" w:rsidR="00FE72C6" w:rsidRDefault="00FE72C6" w:rsidP="00526E9D">
      <w:pPr>
        <w:rPr>
          <w:rFonts w:ascii="Geomanist Light" w:eastAsia="Times New Roman" w:hAnsi="Geomanist Light" w:cs="Arial"/>
          <w:b/>
          <w:bCs/>
          <w:lang w:val="es-MX" w:eastAsia="es-CO"/>
        </w:rPr>
      </w:pPr>
    </w:p>
    <w:p w14:paraId="2D9CD8A5" w14:textId="77777777" w:rsidR="00FE72C6" w:rsidRDefault="00FE72C6" w:rsidP="00526E9D">
      <w:pPr>
        <w:rPr>
          <w:rFonts w:ascii="Geomanist Light" w:eastAsia="Times New Roman" w:hAnsi="Geomanist Light" w:cs="Arial"/>
          <w:b/>
          <w:bCs/>
          <w:lang w:val="es-MX" w:eastAsia="es-CO"/>
        </w:rPr>
      </w:pPr>
    </w:p>
    <w:p w14:paraId="4F12CB66" w14:textId="77777777" w:rsidR="00FE72C6" w:rsidRDefault="00FE72C6" w:rsidP="00526E9D">
      <w:pPr>
        <w:rPr>
          <w:rFonts w:ascii="Geomanist Light" w:eastAsia="Times New Roman" w:hAnsi="Geomanist Light" w:cs="Arial"/>
          <w:b/>
          <w:bCs/>
          <w:lang w:val="es-MX" w:eastAsia="es-CO"/>
        </w:rPr>
      </w:pPr>
    </w:p>
    <w:p w14:paraId="0A6A7302" w14:textId="77777777" w:rsidR="00FE72C6" w:rsidRDefault="00FE72C6" w:rsidP="00526E9D">
      <w:pPr>
        <w:rPr>
          <w:rFonts w:ascii="Geomanist Light" w:eastAsia="Times New Roman" w:hAnsi="Geomanist Light" w:cs="Arial"/>
          <w:b/>
          <w:bCs/>
          <w:lang w:val="es-MX" w:eastAsia="es-CO"/>
        </w:rPr>
      </w:pPr>
    </w:p>
    <w:p w14:paraId="6DA22F10" w14:textId="77777777" w:rsidR="00FE72C6" w:rsidRDefault="00FE72C6" w:rsidP="00526E9D">
      <w:pPr>
        <w:rPr>
          <w:rFonts w:ascii="Geomanist Light" w:eastAsia="Times New Roman" w:hAnsi="Geomanist Light" w:cs="Arial"/>
          <w:b/>
          <w:bCs/>
          <w:lang w:val="es-MX" w:eastAsia="es-CO"/>
        </w:rPr>
      </w:pPr>
    </w:p>
    <w:p w14:paraId="165593EF" w14:textId="77777777" w:rsidR="00FE72C6" w:rsidRDefault="00FE72C6" w:rsidP="00526E9D">
      <w:pPr>
        <w:rPr>
          <w:rFonts w:ascii="Geomanist Light" w:eastAsia="Times New Roman" w:hAnsi="Geomanist Light" w:cs="Arial"/>
          <w:b/>
          <w:bCs/>
          <w:lang w:val="es-MX" w:eastAsia="es-CO"/>
        </w:rPr>
      </w:pPr>
    </w:p>
    <w:p w14:paraId="13D3E878" w14:textId="77777777" w:rsidR="00FE72C6" w:rsidRDefault="00FE72C6" w:rsidP="00526E9D">
      <w:pPr>
        <w:rPr>
          <w:rFonts w:ascii="Geomanist Light" w:eastAsia="Times New Roman" w:hAnsi="Geomanist Light" w:cs="Arial"/>
          <w:b/>
          <w:bCs/>
          <w:lang w:val="es-MX" w:eastAsia="es-CO"/>
        </w:rPr>
      </w:pPr>
    </w:p>
    <w:p w14:paraId="1F9036F0" w14:textId="77777777" w:rsidR="00FE72C6" w:rsidRDefault="00FE72C6" w:rsidP="00526E9D">
      <w:pPr>
        <w:rPr>
          <w:rFonts w:ascii="Geomanist Light" w:eastAsia="Times New Roman" w:hAnsi="Geomanist Light" w:cs="Arial"/>
          <w:b/>
          <w:bCs/>
          <w:lang w:val="es-MX" w:eastAsia="es-CO"/>
        </w:rPr>
      </w:pPr>
    </w:p>
    <w:p w14:paraId="3FCF2BEE" w14:textId="77777777" w:rsidR="00FE72C6" w:rsidRPr="007924AC" w:rsidRDefault="00FE72C6" w:rsidP="00526E9D">
      <w:pPr>
        <w:rPr>
          <w:rFonts w:ascii="Geomanist Light" w:eastAsia="Times New Roman" w:hAnsi="Geomanist Light" w:cs="Arial"/>
          <w:b/>
          <w:bCs/>
          <w:lang w:val="es-MX" w:eastAsia="es-CO"/>
        </w:rPr>
      </w:pPr>
    </w:p>
    <w:p w14:paraId="062F1ECA" w14:textId="00CCAF4C" w:rsidR="006219F8" w:rsidRPr="007566FE" w:rsidRDefault="1CC63BF5" w:rsidP="6B8BD3AC">
      <w:pPr>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 </w:t>
      </w:r>
      <w:r w:rsidR="006321D8">
        <w:rPr>
          <w:rFonts w:ascii="Geomanist Light" w:eastAsia="Geomanist Light" w:hAnsi="Geomanist Light" w:cs="Geomanist Light"/>
          <w:color w:val="201F1E"/>
          <w:lang w:val="es-MX"/>
        </w:rPr>
        <w:t xml:space="preserve">27 de diciembre de 2022                            </w:t>
      </w:r>
      <w:r w:rsidR="006321D8" w:rsidRPr="006321D8">
        <w:rPr>
          <w:rFonts w:ascii="Geomanist Light" w:eastAsia="Geomanist Light" w:hAnsi="Geomanist Light" w:cs="Geomanist Light"/>
          <w:noProof/>
          <w:color w:val="201F1E"/>
          <w:lang w:val="es-MX"/>
        </w:rPr>
        <w:drawing>
          <wp:inline distT="0" distB="0" distL="0" distR="0" wp14:anchorId="476DAAAF" wp14:editId="1004E310">
            <wp:extent cx="2803143" cy="74549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2603" cy="753325"/>
                    </a:xfrm>
                    <a:prstGeom prst="rect">
                      <a:avLst/>
                    </a:prstGeom>
                  </pic:spPr>
                </pic:pic>
              </a:graphicData>
            </a:graphic>
          </wp:inline>
        </w:drawing>
      </w:r>
    </w:p>
    <w:p w14:paraId="15563806" w14:textId="488682B5" w:rsidR="006219F8" w:rsidRPr="007566FE" w:rsidRDefault="006219F8" w:rsidP="00526E9D">
      <w:pPr>
        <w:rPr>
          <w:rFonts w:ascii="Arial Nova" w:hAnsi="Arial Nova"/>
          <w:color w:val="000000" w:themeColor="text1"/>
        </w:rPr>
      </w:pPr>
    </w:p>
    <w:p w14:paraId="27AFF8C7" w14:textId="77777777" w:rsidR="006219F8" w:rsidRPr="00080DA3" w:rsidRDefault="006219F8" w:rsidP="006219F8">
      <w:pPr>
        <w:spacing w:after="0" w:line="240" w:lineRule="auto"/>
        <w:jc w:val="right"/>
        <w:textAlignment w:val="baseline"/>
        <w:rPr>
          <w:rFonts w:ascii="Geomanist Light" w:eastAsia="Times New Roman" w:hAnsi="Geomanist Light" w:cs="Arial"/>
          <w:lang w:eastAsia="es-CO"/>
        </w:rPr>
      </w:pPr>
    </w:p>
    <w:p w14:paraId="70DE6BDB" w14:textId="77777777" w:rsidR="00FE72C6" w:rsidRPr="00FE72C6" w:rsidRDefault="00FE72C6" w:rsidP="00FE72C6">
      <w:pPr>
        <w:spacing w:after="0" w:line="240" w:lineRule="auto"/>
        <w:jc w:val="both"/>
        <w:rPr>
          <w:rFonts w:ascii="Arial" w:eastAsia="Calibri" w:hAnsi="Arial" w:cs="Arial"/>
          <w:color w:val="000000"/>
          <w:lang w:val="es-MX"/>
        </w:rPr>
      </w:pPr>
      <w:bookmarkStart w:id="3" w:name="_Hlk34951122"/>
      <w:r w:rsidRPr="00FE72C6">
        <w:rPr>
          <w:rFonts w:ascii="Arial" w:eastAsia="Calibri" w:hAnsi="Arial" w:cs="Arial"/>
          <w:color w:val="000000"/>
          <w:lang w:val="es-MX"/>
        </w:rPr>
        <w:t xml:space="preserve">Señor </w:t>
      </w:r>
    </w:p>
    <w:p w14:paraId="1FDCA8AC" w14:textId="77777777" w:rsidR="00FE72C6" w:rsidRPr="00FE72C6" w:rsidRDefault="00FE72C6" w:rsidP="00FE72C6">
      <w:pPr>
        <w:spacing w:after="0" w:line="240" w:lineRule="auto"/>
        <w:jc w:val="both"/>
        <w:rPr>
          <w:rFonts w:ascii="Arial" w:eastAsia="Calibri" w:hAnsi="Arial" w:cs="Arial"/>
          <w:b/>
          <w:color w:val="000000"/>
          <w:lang w:val="es-MX"/>
        </w:rPr>
      </w:pPr>
      <w:r w:rsidRPr="00FE72C6">
        <w:rPr>
          <w:rFonts w:ascii="Arial" w:eastAsia="Calibri" w:hAnsi="Arial" w:cs="Arial"/>
          <w:b/>
          <w:color w:val="000000"/>
          <w:lang w:val="es-MX"/>
        </w:rPr>
        <w:t>Alcides Manuel Sierra Peralta</w:t>
      </w:r>
    </w:p>
    <w:p w14:paraId="6F3F888D" w14:textId="77777777" w:rsidR="00FE72C6" w:rsidRPr="00FE72C6" w:rsidRDefault="00FE72C6" w:rsidP="00FE72C6">
      <w:pPr>
        <w:spacing w:after="0" w:line="240" w:lineRule="auto"/>
        <w:jc w:val="both"/>
        <w:rPr>
          <w:rFonts w:ascii="Arial" w:eastAsia="Calibri" w:hAnsi="Arial" w:cs="Arial"/>
          <w:color w:val="000000"/>
          <w:lang w:val="es-MX"/>
        </w:rPr>
      </w:pPr>
      <w:r w:rsidRPr="00FE72C6">
        <w:rPr>
          <w:rFonts w:ascii="Arial" w:eastAsia="Calibri" w:hAnsi="Arial" w:cs="Arial"/>
          <w:color w:val="000000"/>
          <w:lang w:val="es-MX"/>
        </w:rPr>
        <w:t>Ciudad.</w:t>
      </w:r>
    </w:p>
    <w:p w14:paraId="736680A8" w14:textId="77777777" w:rsidR="00FE72C6" w:rsidRPr="00FE72C6" w:rsidRDefault="00FE72C6" w:rsidP="00FE72C6">
      <w:pPr>
        <w:spacing w:after="0" w:line="240" w:lineRule="auto"/>
        <w:jc w:val="both"/>
        <w:rPr>
          <w:rFonts w:ascii="Arial" w:eastAsia="Calibri" w:hAnsi="Arial" w:cs="Arial"/>
          <w:color w:val="000000"/>
          <w:lang w:val="es-MX"/>
        </w:rPr>
      </w:pPr>
    </w:p>
    <w:p w14:paraId="3E629B8D" w14:textId="77777777" w:rsidR="00FE72C6" w:rsidRPr="00FE72C6" w:rsidRDefault="00FE72C6" w:rsidP="00FE72C6">
      <w:pPr>
        <w:spacing w:after="0" w:line="240" w:lineRule="auto"/>
        <w:jc w:val="center"/>
        <w:rPr>
          <w:rFonts w:ascii="Arial" w:eastAsia="Calibri" w:hAnsi="Arial" w:cs="Arial"/>
          <w:b/>
          <w:color w:val="000000"/>
          <w:lang w:val="es-MX"/>
        </w:rPr>
      </w:pPr>
      <w:r w:rsidRPr="00FE72C6">
        <w:rPr>
          <w:rFonts w:ascii="Arial" w:eastAsia="Calibri" w:hAnsi="Arial" w:cs="Arial"/>
          <w:b/>
          <w:color w:val="000000"/>
          <w:lang w:val="es-MX"/>
        </w:rPr>
        <w:t>Concepto C ̶ 910 de 2022</w:t>
      </w:r>
    </w:p>
    <w:p w14:paraId="67F64710" w14:textId="77777777" w:rsidR="00FE72C6" w:rsidRPr="00FE72C6" w:rsidRDefault="00FE72C6" w:rsidP="00FE72C6">
      <w:pPr>
        <w:spacing w:after="0" w:line="240" w:lineRule="auto"/>
        <w:jc w:val="both"/>
        <w:rPr>
          <w:rFonts w:ascii="Arial" w:eastAsia="Calibri" w:hAnsi="Arial" w:cs="Arial"/>
          <w:b/>
          <w:color w:val="000000"/>
          <w:lang w:val="es-MX"/>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72C6" w:rsidRPr="00FE72C6" w14:paraId="0F1CA5E1" w14:textId="77777777" w:rsidTr="001229B1">
        <w:tc>
          <w:tcPr>
            <w:tcW w:w="2689" w:type="dxa"/>
          </w:tcPr>
          <w:p w14:paraId="6E111EA8" w14:textId="77777777" w:rsidR="00FE72C6" w:rsidRPr="00FE72C6" w:rsidRDefault="00FE72C6" w:rsidP="00FE72C6">
            <w:pPr>
              <w:rPr>
                <w:rFonts w:ascii="Arial" w:eastAsia="Calibri" w:hAnsi="Arial" w:cs="Arial"/>
                <w:color w:val="000000"/>
                <w:lang w:val="es-MX"/>
              </w:rPr>
            </w:pPr>
            <w:r w:rsidRPr="00FE72C6">
              <w:rPr>
                <w:rFonts w:ascii="Arial" w:eastAsia="Calibri" w:hAnsi="Arial" w:cs="Arial"/>
                <w:b/>
                <w:color w:val="000000"/>
                <w:lang w:val="es-MX"/>
              </w:rPr>
              <w:t>Temas:</w:t>
            </w:r>
            <w:r w:rsidRPr="00FE72C6">
              <w:rPr>
                <w:rFonts w:ascii="Arial" w:eastAsia="Calibri" w:hAnsi="Arial" w:cs="Arial"/>
                <w:color w:val="000000"/>
                <w:lang w:val="es-MX"/>
              </w:rPr>
              <w:t xml:space="preserve">                                      </w:t>
            </w:r>
          </w:p>
        </w:tc>
        <w:tc>
          <w:tcPr>
            <w:tcW w:w="6237" w:type="dxa"/>
          </w:tcPr>
          <w:p w14:paraId="21D1F7D0" w14:textId="77777777" w:rsidR="00FE72C6" w:rsidRPr="00FE72C6" w:rsidRDefault="00FE72C6" w:rsidP="00FE72C6">
            <w:pPr>
              <w:rPr>
                <w:rFonts w:ascii="Arial" w:eastAsia="Calibri" w:hAnsi="Arial" w:cs="Arial"/>
                <w:b/>
                <w:color w:val="000000"/>
                <w:lang w:val="es-MX"/>
              </w:rPr>
            </w:pPr>
            <w:r w:rsidRPr="00FE72C6">
              <w:rPr>
                <w:rFonts w:ascii="Arial" w:eastAsia="Calibri" w:hAnsi="Arial" w:cs="Arial"/>
                <w:bCs/>
                <w:color w:val="000000"/>
                <w:lang w:val="es-MX"/>
              </w:rPr>
              <w:t xml:space="preserve">FONDOS MIXTOS PARA LA PROMOCIÓN DE LA CULTURA Y LAS ARTES – Naturaleza jurídica / FONDOS MIXTOS PARA LA PROMOCIÓN DE LA CULTURA Y LAS ARTES – Régimen de contratación / CONTRATOS Y CONVENIOS INTERADMINISTRATIVOS – Definición – Criterio orgánico / CONTRATOS Y CONVENIOS INTERADMINISTRATIVOS – Celebración – Entidades exceptuadas/ FONDOS MIXTOS PARA LA PROMOCIÓN DE LA CULTURA Y LAS ARTES – Celebración convenios y contratos interadministrativos </w:t>
            </w:r>
          </w:p>
        </w:tc>
      </w:tr>
      <w:tr w:rsidR="00FE72C6" w:rsidRPr="00FE72C6" w14:paraId="47E4F34C" w14:textId="77777777" w:rsidTr="001229B1">
        <w:tc>
          <w:tcPr>
            <w:tcW w:w="2689" w:type="dxa"/>
          </w:tcPr>
          <w:p w14:paraId="59146EDF" w14:textId="77777777" w:rsidR="00FE72C6" w:rsidRPr="00FE72C6" w:rsidRDefault="00FE72C6" w:rsidP="00FE72C6">
            <w:pPr>
              <w:rPr>
                <w:rFonts w:ascii="Arial" w:eastAsia="Calibri" w:hAnsi="Arial" w:cs="Arial"/>
                <w:b/>
                <w:color w:val="000000"/>
                <w:lang w:val="es-MX"/>
              </w:rPr>
            </w:pPr>
          </w:p>
          <w:p w14:paraId="7FEE3B72" w14:textId="77777777" w:rsidR="00FE72C6" w:rsidRPr="00FE72C6" w:rsidRDefault="00FE72C6" w:rsidP="00FE72C6">
            <w:pPr>
              <w:rPr>
                <w:rFonts w:ascii="Arial" w:eastAsia="Calibri" w:hAnsi="Arial" w:cs="Arial"/>
                <w:color w:val="000000"/>
                <w:lang w:val="es-MX"/>
              </w:rPr>
            </w:pPr>
            <w:r w:rsidRPr="00FE72C6">
              <w:rPr>
                <w:rFonts w:ascii="Arial" w:eastAsia="Calibri" w:hAnsi="Arial" w:cs="Arial"/>
                <w:b/>
                <w:color w:val="000000"/>
                <w:lang w:val="es-MX"/>
              </w:rPr>
              <w:t>Radicación:</w:t>
            </w:r>
            <w:r w:rsidRPr="00FE72C6">
              <w:rPr>
                <w:rFonts w:ascii="Arial" w:eastAsia="Calibri" w:hAnsi="Arial" w:cs="Arial"/>
                <w:color w:val="000000"/>
                <w:lang w:val="es-MX"/>
              </w:rPr>
              <w:t xml:space="preserve">                              </w:t>
            </w:r>
          </w:p>
        </w:tc>
        <w:tc>
          <w:tcPr>
            <w:tcW w:w="6237" w:type="dxa"/>
          </w:tcPr>
          <w:p w14:paraId="716B8DD4" w14:textId="77777777" w:rsidR="00FE72C6" w:rsidRPr="00FE72C6" w:rsidRDefault="00FE72C6" w:rsidP="00FE72C6">
            <w:pPr>
              <w:rPr>
                <w:rFonts w:ascii="Arial" w:eastAsia="Calibri" w:hAnsi="Arial" w:cs="Arial"/>
                <w:color w:val="000000"/>
                <w:lang w:val="es-MX"/>
              </w:rPr>
            </w:pPr>
          </w:p>
          <w:p w14:paraId="462D0350" w14:textId="77777777" w:rsidR="00FE72C6" w:rsidRPr="00FE72C6" w:rsidRDefault="00FE72C6" w:rsidP="00FE72C6">
            <w:pPr>
              <w:rPr>
                <w:rFonts w:ascii="Arial" w:eastAsia="Calibri" w:hAnsi="Arial" w:cs="Arial"/>
                <w:color w:val="000000"/>
                <w:lang w:val="es-MX"/>
              </w:rPr>
            </w:pPr>
            <w:r w:rsidRPr="00FE72C6">
              <w:rPr>
                <w:rFonts w:ascii="Arial" w:eastAsia="Calibri" w:hAnsi="Arial" w:cs="Arial"/>
                <w:color w:val="000000"/>
                <w:lang w:val="es-MX"/>
              </w:rPr>
              <w:t>Respuesta a consulta P20221123011668 y P20221220012384 (acumulados)</w:t>
            </w:r>
          </w:p>
        </w:tc>
      </w:tr>
    </w:tbl>
    <w:p w14:paraId="35567F48" w14:textId="77777777" w:rsidR="00FE72C6" w:rsidRPr="00FE72C6" w:rsidRDefault="00FE72C6" w:rsidP="00FE72C6">
      <w:pPr>
        <w:tabs>
          <w:tab w:val="left" w:pos="3736"/>
        </w:tabs>
        <w:spacing w:after="0" w:line="276" w:lineRule="auto"/>
        <w:jc w:val="both"/>
        <w:rPr>
          <w:rFonts w:ascii="Arial" w:eastAsia="Calibri" w:hAnsi="Arial" w:cs="Arial"/>
          <w:color w:val="000000"/>
          <w:lang w:val="es-MX"/>
        </w:rPr>
      </w:pPr>
    </w:p>
    <w:p w14:paraId="525DAA5F" w14:textId="77777777" w:rsidR="00FE72C6" w:rsidRPr="00FE72C6" w:rsidRDefault="00FE72C6" w:rsidP="00FE72C6">
      <w:pPr>
        <w:tabs>
          <w:tab w:val="left" w:pos="3736"/>
        </w:tabs>
        <w:spacing w:after="0" w:line="276" w:lineRule="auto"/>
        <w:jc w:val="both"/>
        <w:rPr>
          <w:rFonts w:ascii="Arial" w:eastAsia="Calibri" w:hAnsi="Arial" w:cs="Arial"/>
          <w:color w:val="000000"/>
          <w:lang w:val="es-MX"/>
        </w:rPr>
      </w:pPr>
    </w:p>
    <w:p w14:paraId="6E5DE7B5" w14:textId="77777777" w:rsidR="00FE72C6" w:rsidRPr="00FE72C6" w:rsidRDefault="00FE72C6" w:rsidP="00FE72C6">
      <w:pPr>
        <w:tabs>
          <w:tab w:val="left" w:pos="3736"/>
        </w:tabs>
        <w:spacing w:after="0" w:line="276" w:lineRule="auto"/>
        <w:jc w:val="both"/>
        <w:rPr>
          <w:rFonts w:ascii="Arial" w:eastAsia="Calibri" w:hAnsi="Arial" w:cs="Arial"/>
          <w:color w:val="000000"/>
          <w:lang w:val="es-MX"/>
        </w:rPr>
      </w:pPr>
      <w:r w:rsidRPr="00FE72C6">
        <w:rPr>
          <w:rFonts w:ascii="Arial" w:eastAsia="Calibri" w:hAnsi="Arial" w:cs="Arial"/>
          <w:color w:val="000000"/>
          <w:lang w:val="es-MX"/>
        </w:rPr>
        <w:t>Estimado señor Sierra,</w:t>
      </w:r>
      <w:r w:rsidRPr="00FE72C6">
        <w:rPr>
          <w:rFonts w:ascii="Arial" w:eastAsia="Calibri" w:hAnsi="Arial" w:cs="Arial"/>
          <w:color w:val="000000"/>
          <w:lang w:val="es-MX"/>
        </w:rPr>
        <w:tab/>
      </w:r>
    </w:p>
    <w:p w14:paraId="238F0BDB" w14:textId="77777777" w:rsidR="00FE72C6" w:rsidRPr="00FE72C6" w:rsidRDefault="00FE72C6" w:rsidP="00FE72C6">
      <w:pPr>
        <w:widowControl w:val="0"/>
        <w:autoSpaceDE w:val="0"/>
        <w:autoSpaceDN w:val="0"/>
        <w:spacing w:after="0" w:line="276" w:lineRule="auto"/>
        <w:ind w:firstLine="708"/>
        <w:jc w:val="both"/>
        <w:rPr>
          <w:rFonts w:ascii="Arial" w:eastAsia="Calibri" w:hAnsi="Arial" w:cs="Arial"/>
          <w:color w:val="000000"/>
          <w:lang w:val="es-MX"/>
        </w:rPr>
      </w:pPr>
    </w:p>
    <w:p w14:paraId="41C6A933" w14:textId="77777777" w:rsidR="00FE72C6" w:rsidRPr="00FE72C6" w:rsidRDefault="00FE72C6" w:rsidP="00FE72C6">
      <w:pPr>
        <w:spacing w:after="0" w:line="276" w:lineRule="auto"/>
        <w:jc w:val="both"/>
        <w:rPr>
          <w:rFonts w:ascii="Arial" w:eastAsia="Calibri" w:hAnsi="Arial" w:cs="Arial"/>
          <w:color w:val="000000"/>
          <w:lang w:val="es-MX"/>
        </w:rPr>
      </w:pPr>
      <w:r w:rsidRPr="00FE72C6">
        <w:rPr>
          <w:rFonts w:ascii="Arial" w:eastAsia="Calibri" w:hAnsi="Arial" w:cs="Arial"/>
          <w:color w:val="000000"/>
          <w:lang w:val="es-MX"/>
        </w:rPr>
        <w:t>La Agencia Nacional de Contratación Pública –Colombia Compra Eficiente–, en ejercicio de la competencia otorgada por el numeral 8 del artículo 11 y el numeral 5 del artículo 3 del Decreto Ley 4170 de 2011, responde su consulta  de 23 de noviembre de 2022, reiterada nuevamente el 20 de diciembre de 2022 por conducto del Ministerio de Hacienda y Crédito Público.</w:t>
      </w:r>
    </w:p>
    <w:p w14:paraId="7D55DECB" w14:textId="77777777" w:rsidR="00FE72C6" w:rsidRPr="00FE72C6" w:rsidRDefault="00FE72C6" w:rsidP="00FE72C6">
      <w:pPr>
        <w:spacing w:after="0" w:line="276" w:lineRule="auto"/>
        <w:jc w:val="both"/>
        <w:rPr>
          <w:rFonts w:ascii="Arial" w:eastAsia="Calibri" w:hAnsi="Arial" w:cs="Arial"/>
          <w:color w:val="000000"/>
          <w:lang w:val="es-MX"/>
        </w:rPr>
      </w:pPr>
    </w:p>
    <w:p w14:paraId="625106B5" w14:textId="77777777" w:rsidR="00FE72C6" w:rsidRPr="00FE72C6" w:rsidRDefault="00FE72C6" w:rsidP="00FE72C6">
      <w:pPr>
        <w:numPr>
          <w:ilvl w:val="0"/>
          <w:numId w:val="4"/>
        </w:numPr>
        <w:tabs>
          <w:tab w:val="left" w:pos="0"/>
        </w:tabs>
        <w:spacing w:after="0" w:line="240" w:lineRule="auto"/>
        <w:ind w:left="284" w:hanging="284"/>
        <w:contextualSpacing/>
        <w:jc w:val="both"/>
        <w:rPr>
          <w:rFonts w:ascii="Arial" w:eastAsia="Calibri" w:hAnsi="Arial" w:cs="Arial"/>
          <w:b/>
          <w:color w:val="000000"/>
          <w:lang w:val="es-MX"/>
        </w:rPr>
      </w:pPr>
      <w:r w:rsidRPr="00FE72C6">
        <w:rPr>
          <w:rFonts w:ascii="Arial" w:eastAsia="Calibri" w:hAnsi="Arial" w:cs="Arial"/>
          <w:b/>
          <w:color w:val="000000"/>
          <w:lang w:val="es-MX"/>
        </w:rPr>
        <w:t>Problema planteado</w:t>
      </w:r>
    </w:p>
    <w:p w14:paraId="597B3C6C" w14:textId="77777777" w:rsidR="00FE72C6" w:rsidRPr="00FE72C6" w:rsidRDefault="00FE72C6" w:rsidP="00FE72C6">
      <w:pPr>
        <w:tabs>
          <w:tab w:val="left" w:pos="0"/>
        </w:tabs>
        <w:spacing w:after="0" w:line="276" w:lineRule="auto"/>
        <w:ind w:left="284"/>
        <w:contextualSpacing/>
        <w:jc w:val="both"/>
        <w:rPr>
          <w:rFonts w:ascii="Arial" w:eastAsia="Calibri" w:hAnsi="Arial" w:cs="Arial"/>
          <w:b/>
          <w:color w:val="000000"/>
          <w:lang w:val="es-MX"/>
        </w:rPr>
      </w:pPr>
    </w:p>
    <w:p w14:paraId="45CFE4B7" w14:textId="662273B8" w:rsidR="00FE72C6" w:rsidRPr="0051120F" w:rsidRDefault="00FE72C6" w:rsidP="0051120F">
      <w:pPr>
        <w:spacing w:after="0" w:line="276" w:lineRule="auto"/>
        <w:jc w:val="both"/>
        <w:rPr>
          <w:rFonts w:ascii="Arial" w:eastAsia="Calibri" w:hAnsi="Arial" w:cs="Arial"/>
          <w:color w:val="000000"/>
          <w:lang w:val="es-MX"/>
        </w:rPr>
      </w:pPr>
      <w:r w:rsidRPr="00FE72C6">
        <w:rPr>
          <w:rFonts w:ascii="Arial" w:eastAsia="Calibri" w:hAnsi="Arial" w:cs="Arial"/>
          <w:color w:val="000000"/>
          <w:lang w:val="es-MX"/>
        </w:rPr>
        <w:t>Usted formuló la siguiente pregunta:</w:t>
      </w:r>
      <w:r w:rsidR="00F42679" w:rsidRPr="0051120F">
        <w:rPr>
          <w:rFonts w:ascii="Arial" w:eastAsia="Calibri" w:hAnsi="Arial" w:cs="Arial"/>
          <w:color w:val="000000"/>
          <w:lang w:val="es-MX"/>
        </w:rPr>
        <w:t xml:space="preserve"> </w:t>
      </w:r>
      <w:r w:rsidRPr="0051120F">
        <w:rPr>
          <w:rFonts w:ascii="Arial" w:eastAsia="Calibri" w:hAnsi="Arial" w:cs="Arial"/>
          <w:color w:val="000000"/>
          <w:lang w:val="es-MX"/>
        </w:rPr>
        <w:t>«Muy respetuosamente me dirijo a ustedes con el fin de solicitar información si los Fondos Mixtos pueden:</w:t>
      </w:r>
      <w:r w:rsidR="00F42679" w:rsidRPr="0051120F">
        <w:rPr>
          <w:rFonts w:ascii="Arial" w:eastAsia="Calibri" w:hAnsi="Arial" w:cs="Arial"/>
          <w:color w:val="000000"/>
          <w:lang w:val="es-MX"/>
        </w:rPr>
        <w:t xml:space="preserve"> […]  </w:t>
      </w:r>
      <w:r w:rsidRPr="0051120F">
        <w:rPr>
          <w:rFonts w:ascii="Arial" w:eastAsia="Calibri" w:hAnsi="Arial" w:cs="Arial"/>
          <w:color w:val="000000"/>
          <w:lang w:val="es-MX"/>
        </w:rPr>
        <w:t>1.Celebrar convenios interadministrativos con entidades estatales […]»</w:t>
      </w:r>
      <w:r w:rsidR="00F42679">
        <w:rPr>
          <w:rFonts w:ascii="Arial" w:eastAsia="Calibri" w:hAnsi="Arial" w:cs="Arial"/>
          <w:color w:val="000000"/>
          <w:lang w:val="es-MX"/>
        </w:rPr>
        <w:t>.</w:t>
      </w:r>
    </w:p>
    <w:p w14:paraId="53861107" w14:textId="77777777" w:rsidR="00FE72C6" w:rsidRPr="00FE72C6" w:rsidRDefault="00FE72C6" w:rsidP="00FE72C6">
      <w:pPr>
        <w:widowControl w:val="0"/>
        <w:autoSpaceDE w:val="0"/>
        <w:autoSpaceDN w:val="0"/>
        <w:spacing w:after="0" w:line="276" w:lineRule="auto"/>
        <w:contextualSpacing/>
        <w:jc w:val="both"/>
        <w:rPr>
          <w:rFonts w:ascii="Arial" w:eastAsia="Calibri" w:hAnsi="Arial" w:cs="Arial"/>
          <w:color w:val="000000"/>
          <w:lang w:val="es-MX"/>
        </w:rPr>
      </w:pPr>
    </w:p>
    <w:p w14:paraId="59481D7F" w14:textId="77777777" w:rsidR="00FE72C6" w:rsidRPr="00FE72C6" w:rsidRDefault="00FE72C6" w:rsidP="00FE72C6">
      <w:pPr>
        <w:numPr>
          <w:ilvl w:val="0"/>
          <w:numId w:val="4"/>
        </w:numPr>
        <w:spacing w:after="0" w:line="240" w:lineRule="auto"/>
        <w:ind w:left="284" w:hanging="284"/>
        <w:contextualSpacing/>
        <w:jc w:val="both"/>
        <w:rPr>
          <w:rFonts w:ascii="Arial" w:eastAsia="Calibri" w:hAnsi="Arial" w:cs="Arial"/>
          <w:color w:val="000000"/>
          <w:lang w:val="es-MX"/>
        </w:rPr>
      </w:pPr>
      <w:r w:rsidRPr="00FE72C6">
        <w:rPr>
          <w:rFonts w:ascii="Arial" w:eastAsia="Calibri" w:hAnsi="Arial" w:cs="Arial"/>
          <w:b/>
          <w:color w:val="000000"/>
          <w:lang w:val="es-MX"/>
        </w:rPr>
        <w:lastRenderedPageBreak/>
        <w:t>Consideraciones</w:t>
      </w:r>
    </w:p>
    <w:p w14:paraId="3EA076D1" w14:textId="77777777" w:rsidR="00FE72C6" w:rsidRPr="00FE72C6" w:rsidRDefault="00FE72C6" w:rsidP="00FE72C6">
      <w:pPr>
        <w:spacing w:after="0" w:line="276" w:lineRule="auto"/>
        <w:ind w:left="284"/>
        <w:contextualSpacing/>
        <w:jc w:val="both"/>
        <w:rPr>
          <w:rFonts w:ascii="Arial" w:eastAsia="Calibri" w:hAnsi="Arial" w:cs="Arial"/>
          <w:color w:val="000000"/>
          <w:lang w:val="es-MX"/>
        </w:rPr>
      </w:pPr>
    </w:p>
    <w:p w14:paraId="2CFAF60F" w14:textId="77777777" w:rsidR="00FE72C6" w:rsidRPr="00FE72C6" w:rsidRDefault="00FE72C6" w:rsidP="00FE72C6">
      <w:pPr>
        <w:widowControl w:val="0"/>
        <w:autoSpaceDE w:val="0"/>
        <w:autoSpaceDN w:val="0"/>
        <w:spacing w:after="120" w:line="276" w:lineRule="auto"/>
        <w:jc w:val="both"/>
        <w:rPr>
          <w:rFonts w:ascii="Arial" w:eastAsia="Calibri" w:hAnsi="Arial" w:cs="Arial"/>
          <w:color w:val="000000"/>
          <w:lang w:val="es-MX"/>
        </w:rPr>
      </w:pPr>
      <w:r w:rsidRPr="00FE72C6">
        <w:rPr>
          <w:rFonts w:ascii="Arial" w:eastAsia="Calibri" w:hAnsi="Arial" w:cs="Arial"/>
          <w:color w:val="000000"/>
          <w:lang w:val="es-MX"/>
        </w:rPr>
        <w:t>Para responder a las preguntas planteadas se estudiará: i) la naturaleza jurídica de los fondos mixtos para la promoción de la cultura y de las artes y ii) los convenios o contratos interadministrativos y su regulación.</w:t>
      </w:r>
    </w:p>
    <w:p w14:paraId="32BE77E4" w14:textId="77777777" w:rsidR="00FE72C6" w:rsidRPr="00FE72C6" w:rsidRDefault="00FE72C6" w:rsidP="00FE72C6">
      <w:pPr>
        <w:widowControl w:val="0"/>
        <w:autoSpaceDE w:val="0"/>
        <w:autoSpaceDN w:val="0"/>
        <w:spacing w:after="12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 xml:space="preserve">Respecto de la naturaleza jurídica de los fondos mixtos para la promoción de la cultura y de las artes, y los convenios o contratos interadministrativos y su regulación, la Agencia Nacional de Contratación Pública –Colombia Compra Eficiente– se pronunció en las consultas con radicados 4201913000007595 del 7 de noviembre de 2019, 4202012000000237, C-055 del 15 de enero de 2020, C-086 del 16 de marzo de 2020, C–101 del 13 de marzo de 2020 y C-347 de 23 de julio de 2021. En este último concepto, en particular, se resolvió una consulta con un objeto similar a la que motiva el presente concepto. </w:t>
      </w:r>
    </w:p>
    <w:p w14:paraId="500A2285" w14:textId="77777777" w:rsidR="00FE72C6" w:rsidRPr="00FE72C6" w:rsidRDefault="00FE72C6" w:rsidP="00FE72C6">
      <w:pPr>
        <w:widowControl w:val="0"/>
        <w:autoSpaceDE w:val="0"/>
        <w:autoSpaceDN w:val="0"/>
        <w:spacing w:after="12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De otra parte, en los conceptos con radicados No. 4201913000006540 del 21 de octubre de 2019, C-023 del 13 de febrero de 2020, C-032 del 19 de febrero de 2020, C-086 del 16 de marzo de 2020, C-101 del 16 de marzo de 2020, C-575 del 27 de agosto de 2020, C-350 del 16 de julio de 2021, C-352 del 27 de julio de 2021, C-508 del 20 de septiembre de 2021, C-625 del 22 de noviembre de 2021, C-664 del 20 de octubre de 2022, entre otros, se pronunció respecto de la naturaleza jurídica y características de los contratos y convenios interadministrativos. En lo pertinente, se reiterarán las consideraciones de dichos conceptos.</w:t>
      </w:r>
    </w:p>
    <w:p w14:paraId="2FDB271A" w14:textId="77777777" w:rsidR="00FE72C6" w:rsidRPr="00FE72C6" w:rsidRDefault="00FE72C6" w:rsidP="00FE72C6">
      <w:pPr>
        <w:spacing w:after="0" w:line="276" w:lineRule="auto"/>
        <w:jc w:val="both"/>
        <w:rPr>
          <w:rFonts w:ascii="Arial" w:eastAsia="Calibri" w:hAnsi="Arial" w:cs="Arial"/>
          <w:color w:val="000000"/>
          <w:lang w:val="es-MX"/>
        </w:rPr>
      </w:pPr>
    </w:p>
    <w:p w14:paraId="0577E1AC" w14:textId="77777777" w:rsidR="00FE72C6" w:rsidRPr="00FE72C6" w:rsidRDefault="00FE72C6" w:rsidP="00FE72C6">
      <w:pPr>
        <w:tabs>
          <w:tab w:val="left" w:pos="426"/>
        </w:tabs>
        <w:spacing w:after="0" w:line="276" w:lineRule="auto"/>
        <w:jc w:val="both"/>
        <w:rPr>
          <w:rFonts w:ascii="Arial" w:eastAsia="Calibri" w:hAnsi="Arial" w:cs="Arial"/>
          <w:b/>
          <w:bCs/>
          <w:color w:val="000000"/>
          <w:lang w:val="es-ES"/>
        </w:rPr>
      </w:pPr>
      <w:r w:rsidRPr="00FE72C6">
        <w:rPr>
          <w:rFonts w:ascii="Arial" w:eastAsia="Calibri" w:hAnsi="Arial" w:cs="Arial"/>
          <w:b/>
          <w:color w:val="000000"/>
          <w:lang w:val="es-MX"/>
        </w:rPr>
        <w:t xml:space="preserve">2.1. Naturaleza jurídica de los </w:t>
      </w:r>
      <w:r w:rsidRPr="00FE72C6">
        <w:rPr>
          <w:rFonts w:ascii="Arial" w:eastAsia="Calibri" w:hAnsi="Arial" w:cs="Arial"/>
          <w:b/>
          <w:bCs/>
          <w:color w:val="000000"/>
          <w:lang w:val="es-ES"/>
        </w:rPr>
        <w:t>fondos mixtos de promoción de la cultura y las artes</w:t>
      </w:r>
    </w:p>
    <w:p w14:paraId="63193310" w14:textId="77777777" w:rsidR="00FE72C6" w:rsidRPr="00FE72C6" w:rsidRDefault="00FE72C6" w:rsidP="00FE72C6">
      <w:pPr>
        <w:widowControl w:val="0"/>
        <w:autoSpaceDE w:val="0"/>
        <w:autoSpaceDN w:val="0"/>
        <w:spacing w:after="0" w:line="276" w:lineRule="auto"/>
        <w:jc w:val="both"/>
        <w:rPr>
          <w:rFonts w:ascii="Arial" w:eastAsia="Calibri" w:hAnsi="Arial" w:cs="Arial"/>
          <w:color w:val="000000"/>
          <w:lang w:val="es-ES"/>
        </w:rPr>
      </w:pPr>
    </w:p>
    <w:p w14:paraId="58C8D3C3" w14:textId="77777777" w:rsidR="00FE72C6" w:rsidRPr="00FE72C6" w:rsidRDefault="00FE72C6" w:rsidP="00FE72C6">
      <w:pPr>
        <w:widowControl w:val="0"/>
        <w:autoSpaceDE w:val="0"/>
        <w:autoSpaceDN w:val="0"/>
        <w:spacing w:after="120" w:line="276" w:lineRule="auto"/>
        <w:jc w:val="both"/>
        <w:rPr>
          <w:rFonts w:ascii="Arial" w:eastAsia="Calibri" w:hAnsi="Arial" w:cs="Arial"/>
          <w:color w:val="000000"/>
          <w:lang w:val="es-ES"/>
        </w:rPr>
      </w:pPr>
      <w:r w:rsidRPr="00FE72C6">
        <w:rPr>
          <w:rFonts w:ascii="Arial" w:eastAsia="Calibri" w:hAnsi="Arial" w:cs="Arial"/>
          <w:color w:val="000000"/>
          <w:lang w:val="es-ES"/>
        </w:rPr>
        <w:t>En desarrollo de los artículos 70, 71 y 72 de la Constitución Política, relativos al deber del Estado de promover, fomentar y proteger la cultura, el arte, la ciencia, la tecnología y el patrimonio cultural de la Nación, el legislador expidió la Ley 397 de 1997 por la cual se dictaron normas sobre patrimonio cultural, fomentos y estímulos a la cultura y acerca de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 autonomía</w:t>
      </w:r>
      <w:r w:rsidRPr="00FE72C6">
        <w:rPr>
          <w:rFonts w:ascii="Arial" w:eastAsia="Calibri" w:hAnsi="Arial" w:cs="Arial"/>
          <w:color w:val="000000"/>
          <w:vertAlign w:val="superscript"/>
          <w:lang w:val="es-ES"/>
        </w:rPr>
        <w:footnoteReference w:id="2"/>
      </w:r>
      <w:r w:rsidRPr="00FE72C6">
        <w:rPr>
          <w:rFonts w:ascii="Arial" w:eastAsia="Calibri" w:hAnsi="Arial" w:cs="Arial"/>
          <w:color w:val="000000"/>
          <w:lang w:val="es-ES"/>
        </w:rPr>
        <w:t xml:space="preserve">.  </w:t>
      </w:r>
    </w:p>
    <w:p w14:paraId="2B70CFB6" w14:textId="77777777" w:rsidR="00FE72C6" w:rsidRPr="00FE72C6" w:rsidRDefault="00FE72C6" w:rsidP="00FE72C6">
      <w:pPr>
        <w:widowControl w:val="0"/>
        <w:autoSpaceDE w:val="0"/>
        <w:autoSpaceDN w:val="0"/>
        <w:spacing w:after="12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 xml:space="preserve">Este sistema está conformado por el Ministerio de Cultura, los concejos municipales, distritales y departamentales de cultura, los fondos mixtos de promoción de la cultura y de las artes y, en general por las entidades públicas y privadas que desarrollen, financien, fomenten o ejecuten actividades culturales. </w:t>
      </w:r>
    </w:p>
    <w:p w14:paraId="21DD33DD" w14:textId="77777777" w:rsidR="00FE72C6" w:rsidRPr="00FE72C6" w:rsidRDefault="00FE72C6" w:rsidP="00FE72C6">
      <w:pPr>
        <w:widowControl w:val="0"/>
        <w:autoSpaceDE w:val="0"/>
        <w:autoSpaceDN w:val="0"/>
        <w:spacing w:after="12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 xml:space="preserve">El artículo 63 de la Ley 397 de 1997 creó el </w:t>
      </w:r>
      <w:r w:rsidRPr="00FE72C6">
        <w:rPr>
          <w:rFonts w:ascii="Arial" w:eastAsia="Calibri" w:hAnsi="Arial" w:cs="Arial"/>
          <w:i/>
          <w:iCs/>
          <w:color w:val="000000"/>
          <w:lang w:val="es-ES"/>
        </w:rPr>
        <w:t xml:space="preserve">Fondo Mixto Nacional de Promoción de la </w:t>
      </w:r>
      <w:r w:rsidRPr="00FE72C6">
        <w:rPr>
          <w:rFonts w:ascii="Arial" w:eastAsia="Calibri" w:hAnsi="Arial" w:cs="Arial"/>
          <w:i/>
          <w:iCs/>
          <w:color w:val="000000"/>
          <w:lang w:val="es-ES"/>
        </w:rPr>
        <w:lastRenderedPageBreak/>
        <w:t>Cultura y las Artes</w:t>
      </w:r>
      <w:r w:rsidRPr="00FE72C6">
        <w:rPr>
          <w:rFonts w:ascii="Arial" w:eastAsia="Calibri" w:hAnsi="Arial" w:cs="Arial"/>
          <w:color w:val="000000"/>
          <w:lang w:val="es-ES"/>
        </w:rPr>
        <w:t xml:space="preserve">,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 </w:t>
      </w:r>
    </w:p>
    <w:p w14:paraId="3E1B6859" w14:textId="77777777" w:rsidR="00FE72C6" w:rsidRPr="00FE72C6" w:rsidRDefault="00FE72C6" w:rsidP="00FE72C6">
      <w:pPr>
        <w:widowControl w:val="0"/>
        <w:autoSpaceDE w:val="0"/>
        <w:autoSpaceDN w:val="0"/>
        <w:spacing w:after="12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 xml:space="preserve">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w:t>
      </w:r>
    </w:p>
    <w:p w14:paraId="3C7EE79D" w14:textId="77777777" w:rsidR="00FE72C6" w:rsidRPr="00FE72C6" w:rsidRDefault="00FE72C6" w:rsidP="00FE72C6">
      <w:pPr>
        <w:widowControl w:val="0"/>
        <w:autoSpaceDE w:val="0"/>
        <w:autoSpaceDN w:val="0"/>
        <w:spacing w:after="12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La Corte Constitucional, al estudiar la constitucionalidad del artículo 63 de la Ley 397 de 1997</w:t>
      </w:r>
      <w:r w:rsidRPr="00FE72C6">
        <w:rPr>
          <w:rFonts w:ascii="Arial" w:eastAsia="Calibri" w:hAnsi="Arial" w:cs="Arial"/>
          <w:color w:val="000000"/>
          <w:vertAlign w:val="superscript"/>
          <w:lang w:val="es-ES"/>
        </w:rPr>
        <w:footnoteReference w:id="3"/>
      </w:r>
      <w:r w:rsidRPr="00FE72C6">
        <w:rPr>
          <w:rFonts w:ascii="Arial" w:eastAsia="Calibri" w:hAnsi="Arial" w:cs="Arial"/>
          <w:color w:val="000000"/>
          <w:lang w:val="es-ES"/>
        </w:rPr>
        <w:t>, lo encontró ajustado a la Constitución Política, por considerar que el legislador tiene la facultad de crear este tipo fondos, como personas jurídicas con régimen especial, para la ejecución de los gastos e inversiones que requiere la materialización del fomento de actividades culturales coordinadas por el Ministerio de Cultura como jefe superior de la administración en su ramo.</w:t>
      </w:r>
    </w:p>
    <w:p w14:paraId="6B883E3C" w14:textId="77777777" w:rsidR="00FE72C6" w:rsidRPr="00FE72C6" w:rsidRDefault="00FE72C6" w:rsidP="00FE72C6">
      <w:pPr>
        <w:widowControl w:val="0"/>
        <w:autoSpaceDE w:val="0"/>
        <w:autoSpaceDN w:val="0"/>
        <w:spacing w:after="0" w:line="276" w:lineRule="auto"/>
        <w:ind w:firstLine="708"/>
        <w:jc w:val="both"/>
        <w:rPr>
          <w:rFonts w:ascii="Arial" w:eastAsia="Calibri" w:hAnsi="Arial" w:cs="Arial"/>
          <w:color w:val="000000"/>
          <w:lang w:val="es-ES"/>
        </w:rPr>
      </w:pPr>
      <w:r w:rsidRPr="00FE72C6">
        <w:rPr>
          <w:rFonts w:ascii="Arial" w:eastAsia="Calibri" w:hAnsi="Arial" w:cs="Arial"/>
          <w:color w:val="000000"/>
          <w:lang w:val="es-ES"/>
        </w:rPr>
        <w:t xml:space="preserve">La Corte Constitucional también los diferenció de los fondos cuenta creados por el legislador como un mecanismo de manejo de recursos públicos para el cumplimiento de un fin específico y que son administrados por un ente público bajo el régimen aplicable a este último. Al respecto, el Alto Tribunal consideró lo siguiente: </w:t>
      </w:r>
    </w:p>
    <w:p w14:paraId="64C87995" w14:textId="77777777" w:rsidR="00FE72C6" w:rsidRPr="00FE72C6" w:rsidRDefault="00FE72C6" w:rsidP="00FE72C6">
      <w:pPr>
        <w:widowControl w:val="0"/>
        <w:tabs>
          <w:tab w:val="left" w:pos="2197"/>
        </w:tabs>
        <w:autoSpaceDE w:val="0"/>
        <w:autoSpaceDN w:val="0"/>
        <w:spacing w:after="0" w:line="276" w:lineRule="auto"/>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 xml:space="preserve"> </w:t>
      </w:r>
      <w:r w:rsidRPr="00FE72C6">
        <w:rPr>
          <w:rFonts w:ascii="Arial" w:eastAsia="Calibri" w:hAnsi="Arial" w:cs="Arial"/>
          <w:color w:val="000000"/>
          <w:sz w:val="21"/>
          <w:szCs w:val="21"/>
          <w:lang w:val="es-ES"/>
        </w:rPr>
        <w:tab/>
      </w:r>
    </w:p>
    <w:p w14:paraId="79ED37A5" w14:textId="77777777" w:rsidR="00FE72C6" w:rsidRPr="00FE72C6" w:rsidRDefault="00FE72C6" w:rsidP="00FE72C6">
      <w:pPr>
        <w:spacing w:after="0" w:line="240" w:lineRule="auto"/>
        <w:ind w:left="709" w:right="709"/>
        <w:jc w:val="both"/>
        <w:rPr>
          <w:rFonts w:ascii="Arial" w:eastAsia="Calibri" w:hAnsi="Arial" w:cs="Arial"/>
          <w:color w:val="000000"/>
          <w:sz w:val="21"/>
          <w:szCs w:val="21"/>
          <w:lang w:val="es-MX"/>
        </w:rPr>
      </w:pPr>
      <w:r w:rsidRPr="00FE72C6">
        <w:rPr>
          <w:rFonts w:ascii="Arial" w:eastAsia="Calibri" w:hAnsi="Arial" w:cs="Arial"/>
          <w:color w:val="000000"/>
          <w:sz w:val="21"/>
          <w:szCs w:val="21"/>
          <w:lang w:val="es-MX"/>
        </w:rPr>
        <w:t>Con todo, no puede perderse de vista que los fondos mixtos de promoción de la cultura y las artes pertenecen a la categoría de los fondos entidad.  En efecto,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 Cultura.</w:t>
      </w:r>
    </w:p>
    <w:p w14:paraId="1C7CB213" w14:textId="77777777" w:rsidR="00FE72C6" w:rsidRPr="00FE72C6" w:rsidRDefault="00FE72C6" w:rsidP="00FE72C6">
      <w:pPr>
        <w:spacing w:after="0" w:line="240" w:lineRule="auto"/>
        <w:ind w:left="709" w:right="709"/>
        <w:jc w:val="both"/>
        <w:rPr>
          <w:rFonts w:ascii="Arial" w:eastAsia="Calibri" w:hAnsi="Arial" w:cs="Arial"/>
          <w:color w:val="000000"/>
          <w:sz w:val="21"/>
          <w:szCs w:val="21"/>
          <w:lang w:val="es-MX"/>
        </w:rPr>
      </w:pPr>
    </w:p>
    <w:p w14:paraId="76C84390" w14:textId="77777777" w:rsidR="00FE72C6" w:rsidRPr="00FE72C6" w:rsidRDefault="00FE72C6" w:rsidP="00FE72C6">
      <w:pPr>
        <w:spacing w:after="0" w:line="240" w:lineRule="auto"/>
        <w:ind w:left="709" w:right="709"/>
        <w:jc w:val="both"/>
        <w:rPr>
          <w:rFonts w:ascii="Arial" w:eastAsia="Calibri" w:hAnsi="Arial" w:cs="Arial"/>
          <w:color w:val="000000"/>
          <w:sz w:val="21"/>
          <w:szCs w:val="21"/>
          <w:lang w:val="es-MX"/>
        </w:rPr>
      </w:pPr>
      <w:r w:rsidRPr="00FE72C6">
        <w:rPr>
          <w:rFonts w:ascii="Arial" w:eastAsia="Calibri" w:hAnsi="Arial" w:cs="Arial"/>
          <w:color w:val="000000"/>
          <w:sz w:val="21"/>
          <w:szCs w:val="21"/>
          <w:lang w:val="es-MX"/>
        </w:rPr>
        <w:t>En cambio, el Fondo Mixto Manuel Mejía Vallejo de Promoción de la Cultura y las Artes (i) es una cuenta especial sin personería jurídica; (ii) no puede, por ende, comprenderse como una «entidad»; y (iii) su administración corresponde al 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 jurídica</w:t>
      </w:r>
      <w:r w:rsidRPr="00FE72C6">
        <w:rPr>
          <w:rFonts w:ascii="Arial" w:eastAsia="Calibri" w:hAnsi="Arial" w:cs="Arial"/>
          <w:color w:val="000000"/>
          <w:sz w:val="24"/>
          <w:vertAlign w:val="superscript"/>
          <w:lang w:val="es-MX"/>
        </w:rPr>
        <w:footnoteReference w:id="4"/>
      </w:r>
      <w:r w:rsidRPr="00FE72C6">
        <w:rPr>
          <w:rFonts w:ascii="Arial" w:eastAsia="Calibri" w:hAnsi="Arial" w:cs="Arial"/>
          <w:color w:val="000000"/>
          <w:sz w:val="21"/>
          <w:szCs w:val="21"/>
          <w:lang w:val="es-MX"/>
        </w:rPr>
        <w:t xml:space="preserve">. </w:t>
      </w:r>
    </w:p>
    <w:p w14:paraId="7BD4E225" w14:textId="77777777" w:rsidR="00FE72C6" w:rsidRPr="00FE72C6" w:rsidRDefault="00FE72C6" w:rsidP="00FE72C6">
      <w:pPr>
        <w:spacing w:after="0" w:line="240" w:lineRule="auto"/>
        <w:ind w:left="709" w:right="709"/>
        <w:jc w:val="both"/>
        <w:rPr>
          <w:rFonts w:ascii="Arial" w:eastAsia="Calibri" w:hAnsi="Arial" w:cs="Arial"/>
          <w:color w:val="000000"/>
          <w:sz w:val="21"/>
          <w:szCs w:val="21"/>
          <w:lang w:val="es-MX"/>
        </w:rPr>
      </w:pPr>
    </w:p>
    <w:p w14:paraId="30F4A8F1" w14:textId="77777777" w:rsidR="00FE72C6" w:rsidRPr="00FE72C6" w:rsidRDefault="00FE72C6" w:rsidP="00FE72C6">
      <w:pPr>
        <w:widowControl w:val="0"/>
        <w:autoSpaceDE w:val="0"/>
        <w:autoSpaceDN w:val="0"/>
        <w:spacing w:after="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lastRenderedPageBreak/>
        <w:t xml:space="preserve">Debe señalarse que 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 </w:t>
      </w:r>
    </w:p>
    <w:p w14:paraId="3501F700" w14:textId="77777777" w:rsidR="00FE72C6" w:rsidRPr="00FE72C6" w:rsidRDefault="00FE72C6" w:rsidP="00FE72C6">
      <w:pPr>
        <w:widowControl w:val="0"/>
        <w:autoSpaceDE w:val="0"/>
        <w:autoSpaceDN w:val="0"/>
        <w:spacing w:after="0" w:line="276" w:lineRule="auto"/>
        <w:jc w:val="both"/>
        <w:rPr>
          <w:rFonts w:ascii="Arial" w:eastAsia="Calibri" w:hAnsi="Arial" w:cs="Arial"/>
          <w:color w:val="000000"/>
          <w:lang w:val="es-ES"/>
        </w:rPr>
      </w:pPr>
    </w:p>
    <w:p w14:paraId="276D7F7C"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2EC092A3"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p>
    <w:p w14:paraId="2CC641D8"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 xml:space="preserve">Artículo 2.2.2.2. Fondos Mixtos de Territorios Indígenas. Los Fondos Mixtos de los Territorios Indígenas sólo podrán crearse cuando se expida la Ley de Ordenamiento Territorial a que se refiere el artículo 329 de la Constitución Política. </w:t>
      </w:r>
    </w:p>
    <w:p w14:paraId="4CD8D203"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p>
    <w:p w14:paraId="34FD8F10"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w:t>
      </w:r>
    </w:p>
    <w:p w14:paraId="7E6627B5"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p>
    <w:p w14:paraId="300E5539"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Artículo 2.2.2.4. Régimen Jurídico. Las normas de este Decreto, en cuanto a la naturaleza jurídica, aplicación del régimen de derecho privado en la administración, dirección y contratación y régimen de convenios se extienden al Fondo Mixto de Promoción Cinematográfica y al Fondo Mixto Nacional de Cultura.</w:t>
      </w:r>
    </w:p>
    <w:p w14:paraId="30E838F6" w14:textId="77777777" w:rsidR="00FE72C6" w:rsidRPr="00FE72C6" w:rsidRDefault="00FE72C6" w:rsidP="00FE72C6">
      <w:pPr>
        <w:widowControl w:val="0"/>
        <w:autoSpaceDE w:val="0"/>
        <w:autoSpaceDN w:val="0"/>
        <w:spacing w:after="0" w:line="276" w:lineRule="auto"/>
        <w:jc w:val="both"/>
        <w:rPr>
          <w:rFonts w:ascii="Arial" w:eastAsia="Calibri" w:hAnsi="Arial" w:cs="Arial"/>
          <w:color w:val="000000"/>
          <w:lang w:val="es-ES"/>
        </w:rPr>
      </w:pPr>
    </w:p>
    <w:p w14:paraId="57DDF342" w14:textId="77777777" w:rsidR="00FE72C6" w:rsidRPr="00FE72C6" w:rsidRDefault="00FE72C6" w:rsidP="00FE72C6">
      <w:pPr>
        <w:widowControl w:val="0"/>
        <w:autoSpaceDE w:val="0"/>
        <w:autoSpaceDN w:val="0"/>
        <w:spacing w:after="12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t>De las normas citadas se desprende que los fondos mixtos de promoción de la cultura y las artes tienen un objeto que está dirigido a servir de mecanismo de financiamiento para canalizar recursos orientados a la promoción, creación, investigación y difusión de las diversas manifestaciones artísticas y culturales en las respectivas regiones donde se desarrollen.</w:t>
      </w:r>
    </w:p>
    <w:p w14:paraId="78CA0629" w14:textId="77777777" w:rsidR="00FE72C6" w:rsidRPr="00FE72C6" w:rsidRDefault="00FE72C6" w:rsidP="00FE72C6">
      <w:pPr>
        <w:widowControl w:val="0"/>
        <w:autoSpaceDE w:val="0"/>
        <w:autoSpaceDN w:val="0"/>
        <w:spacing w:after="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t xml:space="preserve">La Corte Constitucional, en la sentencia C-230 de 1995, al estudiar la naturaleza jurídica de los fondos para la promoción de la cultura y de las artes, a pesar de su naturaleza mixta y su sometimiento al derecho privado, ha establecido que estos constituyen entidades descentralizadas indirectas o de segundo orden de conformidad con el artículo 96 de la Ley 489 de 1998. En relación con ese punto, esa Corporación sostuvo: </w:t>
      </w:r>
    </w:p>
    <w:p w14:paraId="795B5544" w14:textId="77777777" w:rsidR="00FE72C6" w:rsidRPr="00FE72C6" w:rsidRDefault="00FE72C6" w:rsidP="00FE72C6">
      <w:pPr>
        <w:widowControl w:val="0"/>
        <w:autoSpaceDE w:val="0"/>
        <w:autoSpaceDN w:val="0"/>
        <w:spacing w:after="0" w:line="276" w:lineRule="auto"/>
        <w:jc w:val="both"/>
        <w:rPr>
          <w:rFonts w:ascii="Arial" w:eastAsia="Calibri" w:hAnsi="Arial" w:cs="Arial"/>
          <w:color w:val="000000"/>
          <w:lang w:val="es-ES"/>
        </w:rPr>
      </w:pPr>
    </w:p>
    <w:p w14:paraId="3FE31401" w14:textId="3842188F" w:rsidR="00FE72C6" w:rsidRPr="00FE72C6" w:rsidRDefault="00F42679"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FE72C6" w:rsidRPr="00FE72C6">
        <w:rPr>
          <w:rFonts w:ascii="Arial" w:eastAsia="Calibri" w:hAnsi="Arial" w:cs="Arial"/>
          <w:color w:val="000000"/>
          <w:sz w:val="21"/>
          <w:szCs w:val="21"/>
          <w:lang w:val="es-ES"/>
        </w:rPr>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w:t>
      </w:r>
    </w:p>
    <w:p w14:paraId="05833F69"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p>
    <w:p w14:paraId="172458D8" w14:textId="63603098"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La ley 80 de 1993 sometió a las corporaciones y fundaciones, en las cuales el Estado tenga una participación mayoritaria (art. 2</w:t>
      </w:r>
      <w:r w:rsidR="00F42679">
        <w:rPr>
          <w:rFonts w:ascii="Arial" w:eastAsia="Calibri" w:hAnsi="Arial" w:cs="Arial"/>
          <w:color w:val="000000"/>
          <w:sz w:val="21"/>
          <w:szCs w:val="21"/>
          <w:lang w:val="es-ES"/>
        </w:rPr>
        <w:t>º</w:t>
      </w:r>
      <w:r w:rsidRPr="00FE72C6">
        <w:rPr>
          <w:rFonts w:ascii="Arial" w:eastAsia="Calibri" w:hAnsi="Arial" w:cs="Arial"/>
          <w:color w:val="000000"/>
          <w:sz w:val="21"/>
          <w:szCs w:val="21"/>
          <w:lang w:val="es-ES"/>
        </w:rPr>
        <w:t xml:space="preserve">., </w:t>
      </w:r>
      <w:proofErr w:type="spellStart"/>
      <w:r w:rsidRPr="00FE72C6">
        <w:rPr>
          <w:rFonts w:ascii="Arial" w:eastAsia="Calibri" w:hAnsi="Arial" w:cs="Arial"/>
          <w:color w:val="000000"/>
          <w:sz w:val="21"/>
          <w:szCs w:val="21"/>
          <w:lang w:val="es-ES"/>
        </w:rPr>
        <w:t>ord</w:t>
      </w:r>
      <w:proofErr w:type="spellEnd"/>
      <w:r w:rsidRPr="00FE72C6">
        <w:rPr>
          <w:rFonts w:ascii="Arial" w:eastAsia="Calibri" w:hAnsi="Arial" w:cs="Arial"/>
          <w:color w:val="000000"/>
          <w:sz w:val="21"/>
          <w:szCs w:val="21"/>
          <w:lang w:val="es-ES"/>
        </w:rPr>
        <w:t>. 1</w:t>
      </w:r>
      <w:r w:rsidR="00F42679">
        <w:rPr>
          <w:rFonts w:ascii="Arial" w:eastAsia="Calibri" w:hAnsi="Arial" w:cs="Arial"/>
          <w:color w:val="000000"/>
          <w:sz w:val="21"/>
          <w:szCs w:val="21"/>
          <w:lang w:val="es-ES"/>
        </w:rPr>
        <w:t>º</w:t>
      </w:r>
      <w:r w:rsidRPr="00FE72C6">
        <w:rPr>
          <w:rFonts w:ascii="Arial" w:eastAsia="Calibri" w:hAnsi="Arial" w:cs="Arial"/>
          <w:color w:val="000000"/>
          <w:sz w:val="21"/>
          <w:szCs w:val="21"/>
          <w:lang w:val="es-ES"/>
        </w:rPr>
        <w:t xml:space="preserve">, </w:t>
      </w:r>
      <w:proofErr w:type="spellStart"/>
      <w:r w:rsidRPr="00FE72C6">
        <w:rPr>
          <w:rFonts w:ascii="Arial" w:eastAsia="Calibri" w:hAnsi="Arial" w:cs="Arial"/>
          <w:color w:val="000000"/>
          <w:sz w:val="21"/>
          <w:szCs w:val="21"/>
          <w:lang w:val="es-ES"/>
        </w:rPr>
        <w:t>lit.</w:t>
      </w:r>
      <w:proofErr w:type="spellEnd"/>
      <w:r w:rsidRPr="00FE72C6">
        <w:rPr>
          <w:rFonts w:ascii="Arial" w:eastAsia="Calibri" w:hAnsi="Arial" w:cs="Arial"/>
          <w:color w:val="000000"/>
          <w:sz w:val="21"/>
          <w:szCs w:val="21"/>
          <w:lang w:val="es-ES"/>
        </w:rPr>
        <w:t xml:space="preserve"> a.), a las reglas principios de la contratación de la administración pública y para ello las reconoció en el literal a) del ordinal 1 del art. 2 de dicha ley como entidades estatales. </w:t>
      </w:r>
    </w:p>
    <w:p w14:paraId="687104B3"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w:t>
      </w:r>
    </w:p>
    <w:p w14:paraId="52CE23A3"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p>
    <w:p w14:paraId="493A1189"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53BF8F22"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w:t>
      </w:r>
    </w:p>
    <w:p w14:paraId="76E2E76F" w14:textId="77777777"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p>
    <w:p w14:paraId="79D59697" w14:textId="10CE6C74" w:rsidR="00FE72C6" w:rsidRPr="00FE72C6" w:rsidRDefault="00FE72C6" w:rsidP="00FE72C6">
      <w:pPr>
        <w:widowControl w:val="0"/>
        <w:autoSpaceDE w:val="0"/>
        <w:autoSpaceDN w:val="0"/>
        <w:spacing w:after="0" w:line="240" w:lineRule="auto"/>
        <w:ind w:left="709" w:right="709"/>
        <w:jc w:val="both"/>
        <w:rPr>
          <w:rFonts w:ascii="Arial" w:eastAsia="Calibri" w:hAnsi="Arial" w:cs="Arial"/>
          <w:color w:val="000000"/>
          <w:sz w:val="21"/>
          <w:szCs w:val="21"/>
          <w:lang w:val="es-ES"/>
        </w:rPr>
      </w:pPr>
      <w:r w:rsidRPr="00FE72C6">
        <w:rPr>
          <w:rFonts w:ascii="Arial" w:eastAsia="Calibri" w:hAnsi="Arial" w:cs="Arial"/>
          <w:color w:val="000000"/>
          <w:sz w:val="21"/>
          <w:szCs w:val="21"/>
          <w:lang w:val="es-ES"/>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 entrega a título de aporte o participación bienes o recursos públicos</w:t>
      </w:r>
      <w:r w:rsidR="00F42679">
        <w:rPr>
          <w:rFonts w:ascii="Arial" w:eastAsia="Calibri" w:hAnsi="Arial" w:cs="Arial"/>
          <w:color w:val="000000"/>
          <w:sz w:val="21"/>
          <w:szCs w:val="21"/>
          <w:lang w:val="es-ES"/>
        </w:rPr>
        <w:t>»</w:t>
      </w:r>
      <w:r w:rsidRPr="00FE72C6">
        <w:rPr>
          <w:rFonts w:ascii="Arial" w:eastAsia="Calibri" w:hAnsi="Arial" w:cs="Arial"/>
          <w:color w:val="000000"/>
          <w:sz w:val="21"/>
          <w:szCs w:val="21"/>
          <w:vertAlign w:val="superscript"/>
          <w:lang w:val="es-ES"/>
        </w:rPr>
        <w:footnoteReference w:id="5"/>
      </w:r>
      <w:r w:rsidRPr="00FE72C6">
        <w:rPr>
          <w:rFonts w:ascii="Arial" w:eastAsia="Calibri" w:hAnsi="Arial" w:cs="Arial"/>
          <w:color w:val="000000"/>
          <w:sz w:val="21"/>
          <w:szCs w:val="21"/>
          <w:lang w:val="es-ES"/>
        </w:rPr>
        <w:t>.</w:t>
      </w:r>
    </w:p>
    <w:p w14:paraId="11FF1612" w14:textId="77777777" w:rsidR="00FE72C6" w:rsidRPr="00FE72C6" w:rsidRDefault="00FE72C6" w:rsidP="00FE72C6">
      <w:pPr>
        <w:widowControl w:val="0"/>
        <w:autoSpaceDE w:val="0"/>
        <w:autoSpaceDN w:val="0"/>
        <w:spacing w:after="0" w:line="276" w:lineRule="auto"/>
        <w:jc w:val="both"/>
        <w:rPr>
          <w:rFonts w:ascii="Arial" w:eastAsia="Calibri" w:hAnsi="Arial" w:cs="Arial"/>
          <w:color w:val="000000"/>
          <w:lang w:val="es-ES"/>
        </w:rPr>
      </w:pPr>
    </w:p>
    <w:p w14:paraId="01FE63B8" w14:textId="77777777" w:rsidR="00FE72C6" w:rsidRPr="00FE72C6" w:rsidRDefault="00FE72C6" w:rsidP="00FE72C6">
      <w:pPr>
        <w:widowControl w:val="0"/>
        <w:autoSpaceDE w:val="0"/>
        <w:autoSpaceDN w:val="0"/>
        <w:spacing w:after="12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t>Así pues, los fondos mixtos para la promoción de la cultura y de las artes son personas jurídicas sin ánimo de lucro, regidas por el derecho privado principalmente; hacen parte de la estructura de la Administración, como entidades descentralizadas indirectas</w:t>
      </w:r>
      <w:r w:rsidRPr="00FE72C6">
        <w:rPr>
          <w:rFonts w:ascii="Calibri" w:eastAsia="Calibri" w:hAnsi="Calibri" w:cs="Times New Roman"/>
          <w:sz w:val="24"/>
          <w:vertAlign w:val="superscript"/>
          <w:lang w:val="es-MX"/>
        </w:rPr>
        <w:footnoteReference w:id="6"/>
      </w:r>
      <w:r w:rsidRPr="00FE72C6">
        <w:rPr>
          <w:rFonts w:ascii="Arial" w:eastAsia="Calibri" w:hAnsi="Arial" w:cs="Arial"/>
          <w:color w:val="000000"/>
          <w:lang w:val="es-ES"/>
        </w:rPr>
        <w:t xml:space="preserve"> del orden territorial ―art. 96 Ley 489 de 1998―; desarrollan actividades de interés público; tienen en su conformación aportes públicos y pueden ejecutar recursos de igual naturaleza en desarrollo de su objeto, razón por la cual están sometidas al control fiscal ejercido por la Contraloría General de la República.</w:t>
      </w:r>
    </w:p>
    <w:p w14:paraId="17443FA5" w14:textId="77777777" w:rsidR="00FE72C6" w:rsidRPr="00FE72C6" w:rsidRDefault="00FE72C6" w:rsidP="00FE72C6">
      <w:pPr>
        <w:widowControl w:val="0"/>
        <w:autoSpaceDE w:val="0"/>
        <w:autoSpaceDN w:val="0"/>
        <w:spacing w:after="12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t xml:space="preserve"> </w:t>
      </w:r>
      <w:r w:rsidRPr="00FE72C6">
        <w:rPr>
          <w:rFonts w:ascii="Arial" w:eastAsia="Calibri" w:hAnsi="Arial" w:cs="Arial"/>
          <w:color w:val="000000"/>
          <w:lang w:val="es-ES" w:eastAsia="es-ES" w:bidi="es-ES"/>
        </w:rPr>
        <w:t>En cuanto al régimen contractual de estos fondos, el artículo 63 de la Ley 397 de 1997 definió que el régimen jurídico de sus contratos es el derecho privado. Tal exclusión del régimen jurídico contractual general de las entidades estatales no es absoluta, toda vez que estos fondos al administrar recursos públicos deben respetar los principios de la función administrativa y de la gestión fiscal</w:t>
      </w:r>
      <w:r w:rsidRPr="00FE72C6">
        <w:rPr>
          <w:rFonts w:ascii="Arial" w:eastAsia="Calibri" w:hAnsi="Arial" w:cs="Arial"/>
          <w:color w:val="000000"/>
          <w:vertAlign w:val="superscript"/>
          <w:lang w:val="es-ES" w:eastAsia="es-ES" w:bidi="es-ES"/>
        </w:rPr>
        <w:footnoteReference w:id="7"/>
      </w:r>
      <w:r w:rsidRPr="00FE72C6">
        <w:rPr>
          <w:rFonts w:ascii="Arial" w:eastAsia="Calibri" w:hAnsi="Arial" w:cs="Arial"/>
          <w:color w:val="000000"/>
          <w:lang w:val="es-ES" w:eastAsia="es-ES" w:bidi="es-ES"/>
        </w:rPr>
        <w:t>, de conformidad con el artículo 13 de la Ley 1150 de 2007</w:t>
      </w:r>
      <w:r w:rsidRPr="00FE72C6">
        <w:rPr>
          <w:rFonts w:ascii="Arial" w:eastAsia="Calibri" w:hAnsi="Arial" w:cs="Arial"/>
          <w:color w:val="000000"/>
          <w:vertAlign w:val="superscript"/>
          <w:lang w:val="es-ES" w:eastAsia="es-ES" w:bidi="es-ES"/>
        </w:rPr>
        <w:footnoteReference w:id="8"/>
      </w:r>
      <w:r w:rsidRPr="00FE72C6">
        <w:rPr>
          <w:rFonts w:ascii="Arial" w:eastAsia="Calibri" w:hAnsi="Arial" w:cs="Arial"/>
          <w:color w:val="000000"/>
          <w:lang w:val="es-ES" w:eastAsia="es-ES" w:bidi="es-ES"/>
        </w:rPr>
        <w:t xml:space="preserve">. </w:t>
      </w:r>
    </w:p>
    <w:p w14:paraId="304A6075" w14:textId="77777777" w:rsidR="00FE72C6" w:rsidRPr="00FE72C6" w:rsidRDefault="00FE72C6" w:rsidP="00FE72C6">
      <w:pPr>
        <w:widowControl w:val="0"/>
        <w:autoSpaceDE w:val="0"/>
        <w:autoSpaceDN w:val="0"/>
        <w:spacing w:after="12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lastRenderedPageBreak/>
        <w:t>La jurisprudencia del Consejo de Estado se ha pronunciado sobre la imbricación de ordenamientos que confluyen en el régimen contractual de las entidades excluidas del Estatuto General de Contratación de la Administración Pública y ha considerado que el régimen sustantivo del contrato ―derecho privado― no desvanece el sometimiento de la Administración al principio de legalidad y a los principios constitucionales.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 Pública</w:t>
      </w:r>
      <w:r w:rsidRPr="00FE72C6">
        <w:rPr>
          <w:rFonts w:ascii="Arial" w:eastAsia="Calibri" w:hAnsi="Arial" w:cs="Arial"/>
          <w:color w:val="000000"/>
          <w:vertAlign w:val="superscript"/>
          <w:lang w:val="es-ES"/>
        </w:rPr>
        <w:footnoteReference w:id="9"/>
      </w:r>
      <w:r w:rsidRPr="00FE72C6">
        <w:rPr>
          <w:rFonts w:ascii="Arial" w:eastAsia="Calibri" w:hAnsi="Arial" w:cs="Arial"/>
          <w:color w:val="000000"/>
          <w:lang w:val="es-ES"/>
        </w:rPr>
        <w:t xml:space="preserve">.     </w:t>
      </w:r>
    </w:p>
    <w:p w14:paraId="306325DF" w14:textId="77777777" w:rsidR="00FE72C6" w:rsidRPr="00FE72C6" w:rsidRDefault="00FE72C6" w:rsidP="00FE72C6">
      <w:pPr>
        <w:widowControl w:val="0"/>
        <w:autoSpaceDE w:val="0"/>
        <w:autoSpaceDN w:val="0"/>
        <w:spacing w:after="0" w:line="276" w:lineRule="auto"/>
        <w:ind w:firstLine="709"/>
        <w:jc w:val="both"/>
        <w:rPr>
          <w:rFonts w:ascii="Arial" w:eastAsia="Calibri" w:hAnsi="Arial" w:cs="Arial"/>
          <w:color w:val="000000"/>
          <w:lang w:val="es-ES"/>
        </w:rPr>
      </w:pPr>
      <w:r w:rsidRPr="00FE72C6">
        <w:rPr>
          <w:rFonts w:ascii="Arial" w:eastAsia="Calibri" w:hAnsi="Arial" w:cs="Arial"/>
          <w:color w:val="000000"/>
          <w:lang w:val="es-ES"/>
        </w:rPr>
        <w:t xml:space="preserve">Conforme a lo anterior, los contratos celebrados por los fondos mixtos para la promoción de la cultura y las artes, en cumplimiento de su objeto, están regidos, de manera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  </w:t>
      </w:r>
    </w:p>
    <w:p w14:paraId="66B0ACC8" w14:textId="77777777" w:rsidR="00FE72C6" w:rsidRPr="00FE72C6" w:rsidRDefault="00FE72C6" w:rsidP="00FE72C6">
      <w:pPr>
        <w:spacing w:after="0" w:line="276" w:lineRule="auto"/>
        <w:jc w:val="both"/>
        <w:rPr>
          <w:rFonts w:ascii="Arial" w:eastAsia="Calibri" w:hAnsi="Arial" w:cs="Arial"/>
          <w:b/>
          <w:color w:val="000000"/>
          <w:lang w:val="es-MX"/>
        </w:rPr>
      </w:pPr>
    </w:p>
    <w:p w14:paraId="22E16D85" w14:textId="77777777" w:rsidR="00FE72C6" w:rsidRPr="00FE72C6" w:rsidRDefault="00FE72C6" w:rsidP="00FE72C6">
      <w:pPr>
        <w:spacing w:after="0" w:line="276" w:lineRule="auto"/>
        <w:jc w:val="both"/>
        <w:rPr>
          <w:rFonts w:ascii="Arial" w:eastAsia="Calibri" w:hAnsi="Arial" w:cs="Arial"/>
          <w:b/>
          <w:color w:val="000000"/>
          <w:lang w:val="es-MX"/>
        </w:rPr>
      </w:pPr>
      <w:r w:rsidRPr="00FE72C6">
        <w:rPr>
          <w:rFonts w:ascii="Arial" w:eastAsia="Calibri" w:hAnsi="Arial" w:cs="Arial"/>
          <w:b/>
          <w:color w:val="000000"/>
          <w:lang w:val="es-MX"/>
        </w:rPr>
        <w:t xml:space="preserve">2.2. Los convenios o contratos interadministrativos y su regulación </w:t>
      </w:r>
    </w:p>
    <w:p w14:paraId="3D333A45" w14:textId="77777777" w:rsidR="00FE72C6" w:rsidRPr="00FE72C6" w:rsidRDefault="00FE72C6" w:rsidP="00FE72C6">
      <w:pPr>
        <w:spacing w:after="0" w:line="276" w:lineRule="auto"/>
        <w:jc w:val="both"/>
        <w:rPr>
          <w:rFonts w:ascii="Arial" w:eastAsia="Calibri" w:hAnsi="Arial" w:cs="Arial"/>
          <w:b/>
          <w:color w:val="000000"/>
          <w:lang w:val="es-MX"/>
        </w:rPr>
      </w:pPr>
    </w:p>
    <w:p w14:paraId="714F3052" w14:textId="77777777" w:rsidR="00FE72C6" w:rsidRPr="00FE72C6" w:rsidRDefault="00FE72C6" w:rsidP="00FE72C6">
      <w:pPr>
        <w:tabs>
          <w:tab w:val="left" w:pos="426"/>
        </w:tabs>
        <w:spacing w:after="120" w:line="276" w:lineRule="auto"/>
        <w:jc w:val="both"/>
        <w:rPr>
          <w:rFonts w:ascii="Arial" w:eastAsia="Calibri" w:hAnsi="Arial" w:cs="Arial"/>
          <w:bCs/>
        </w:rPr>
      </w:pPr>
      <w:r w:rsidRPr="00FE72C6">
        <w:rPr>
          <w:rFonts w:ascii="Arial" w:eastAsia="Calibri" w:hAnsi="Arial" w:cs="Arial"/>
          <w:bCs/>
        </w:rPr>
        <w:t>Los convenios o contratos interadministrativos son figuras contractuales mencionadas en la Ley 80 de 1993, aunque esta no las definió ni las desarrolló. En</w:t>
      </w:r>
      <w:r w:rsidRPr="00FE72C6">
        <w:rPr>
          <w:rFonts w:ascii="Arial" w:eastAsia="Calibri" w:hAnsi="Arial" w:cs="Arial"/>
          <w:lang w:val="es-MX"/>
        </w:rPr>
        <w:t xml:space="preserve"> sus disposiciones originales utilizó aisladamente la expresión «interadministrativos» para indicar que la modalidad de selección para celebrar los convenios o contratos de esa denominación es la de contratación directa –en el artículo 24, núm. 1, literal c–; los eximió de la constitución de las garantías para cubrir los riesgos derivados del incumplimiento de las obligaciones surgidas de los mismos –artículo 25, núm. 19, subrogado por el artículo 7 de la Ley 1150 de 2007– y prohibió en ellos, la utilización de las cláusulas excepcionales al derecho común –en el artículo 14, numeral 2, parágrafo</w:t>
      </w:r>
      <w:r w:rsidRPr="00FE72C6">
        <w:rPr>
          <w:rFonts w:ascii="Arial" w:eastAsia="Calibri" w:hAnsi="Arial" w:cs="Arial"/>
          <w:vertAlign w:val="superscript"/>
          <w:lang w:val="es-MX"/>
        </w:rPr>
        <w:footnoteReference w:id="10"/>
      </w:r>
      <w:r w:rsidRPr="00FE72C6">
        <w:rPr>
          <w:rFonts w:ascii="Arial" w:eastAsia="Calibri" w:hAnsi="Arial" w:cs="Arial"/>
          <w:lang w:val="es-MX"/>
        </w:rPr>
        <w:t xml:space="preserve">–. Sin </w:t>
      </w:r>
      <w:r w:rsidRPr="00FE72C6">
        <w:rPr>
          <w:rFonts w:ascii="Arial" w:eastAsia="Calibri" w:hAnsi="Arial" w:cs="Arial"/>
          <w:lang w:val="es-MX"/>
        </w:rPr>
        <w:lastRenderedPageBreak/>
        <w:t>embargo, se reitera, en ninguna de sus disposiciones, definió los contratos y los convenios interadministrativos.</w:t>
      </w:r>
      <w:r w:rsidRPr="00FE72C6">
        <w:rPr>
          <w:rFonts w:ascii="Arial" w:eastAsia="Calibri" w:hAnsi="Arial" w:cs="Arial"/>
          <w:bCs/>
        </w:rPr>
        <w:t xml:space="preserve"> </w:t>
      </w:r>
    </w:p>
    <w:p w14:paraId="05FDB008" w14:textId="77777777" w:rsidR="00FE72C6" w:rsidRPr="00FE72C6" w:rsidRDefault="00FE72C6" w:rsidP="00FE72C6">
      <w:pPr>
        <w:tabs>
          <w:tab w:val="left" w:pos="426"/>
        </w:tabs>
        <w:spacing w:after="120" w:line="276" w:lineRule="auto"/>
        <w:ind w:firstLine="709"/>
        <w:jc w:val="both"/>
        <w:rPr>
          <w:rFonts w:ascii="Arial" w:eastAsia="Calibri" w:hAnsi="Arial" w:cs="Arial"/>
          <w:bCs/>
        </w:rPr>
      </w:pPr>
      <w:r w:rsidRPr="00FE72C6">
        <w:rPr>
          <w:rFonts w:ascii="Arial" w:eastAsia="Calibri" w:hAnsi="Arial" w:cs="Arial"/>
          <w:lang w:eastAsia="es-ES"/>
        </w:rPr>
        <w:t>Sin perjuicio de lo anterior,</w:t>
      </w:r>
      <w:r w:rsidRPr="00FE72C6">
        <w:rPr>
          <w:rFonts w:ascii="Arial" w:eastAsia="Calibri" w:hAnsi="Arial" w:cs="Arial"/>
          <w:bCs/>
        </w:rPr>
        <w:t xml:space="preserve"> el Decreto 1082 de 2015, </w:t>
      </w:r>
      <w:r w:rsidRPr="00FE72C6">
        <w:rPr>
          <w:rFonts w:ascii="Arial" w:eastAsia="Calibri" w:hAnsi="Arial" w:cs="Arial"/>
          <w:lang w:val="es-MX"/>
        </w:rPr>
        <w:t xml:space="preserve">«Por medio del cual se expide el Decreto único reglamentario del sector administrativo de planeación nacional», </w:t>
      </w:r>
      <w:r w:rsidRPr="00FE72C6">
        <w:rPr>
          <w:rFonts w:ascii="Arial" w:eastAsia="Calibri" w:hAnsi="Arial" w:cs="Arial"/>
          <w:bCs/>
        </w:rPr>
        <w:t>calificó a los convenios o contratos interadministrativos como aquella contratación entre entidades estatales</w:t>
      </w:r>
      <w:r w:rsidRPr="00FE72C6">
        <w:rPr>
          <w:rFonts w:ascii="Arial" w:eastAsia="Calibri" w:hAnsi="Arial" w:cs="Arial"/>
          <w:vertAlign w:val="superscript"/>
          <w:lang w:val="es-MX"/>
        </w:rPr>
        <w:footnoteReference w:id="11"/>
      </w:r>
      <w:r w:rsidRPr="00FE72C6">
        <w:rPr>
          <w:rFonts w:ascii="Arial" w:eastAsia="Calibri" w:hAnsi="Arial" w:cs="Arial"/>
          <w:lang w:val="es-MX"/>
        </w:rPr>
        <w:t>.</w:t>
      </w:r>
      <w:r w:rsidRPr="00FE72C6">
        <w:rPr>
          <w:rFonts w:ascii="Arial" w:eastAsia="Calibri" w:hAnsi="Arial" w:cs="Arial"/>
          <w:bCs/>
        </w:rPr>
        <w:t xml:space="preserve"> </w:t>
      </w:r>
      <w:r w:rsidRPr="00FE72C6">
        <w:rPr>
          <w:rFonts w:ascii="Arial" w:eastAsia="Calibri" w:hAnsi="Arial" w:cs="Arial"/>
          <w:lang w:val="es-MX"/>
        </w:rPr>
        <w:t>De esta manera, los convenios o contratos interadministrativos, nominados así en la Ley 80 de 1993 están determinados por un criterio orgánico o subjetivo, pues es necesario que los extremos de la relación contractual sean entidades estatales.</w:t>
      </w:r>
    </w:p>
    <w:p w14:paraId="7056C84B" w14:textId="77777777" w:rsidR="00FE72C6" w:rsidRPr="00FE72C6" w:rsidRDefault="00FE72C6" w:rsidP="00FE72C6">
      <w:pPr>
        <w:spacing w:after="0" w:line="276" w:lineRule="auto"/>
        <w:ind w:firstLine="709"/>
        <w:jc w:val="both"/>
        <w:rPr>
          <w:rFonts w:ascii="Arial" w:eastAsia="Calibri" w:hAnsi="Arial" w:cs="Arial"/>
          <w:color w:val="000000"/>
          <w:lang w:val="es-MX"/>
        </w:rPr>
      </w:pPr>
      <w:r w:rsidRPr="00FE72C6">
        <w:rPr>
          <w:rFonts w:ascii="Arial" w:eastAsia="Calibri" w:hAnsi="Arial" w:cs="Arial"/>
          <w:color w:val="000000"/>
          <w:lang w:val="es-MX"/>
        </w:rPr>
        <w:t>Ahora bien, el hecho de que estos negocios jurídicos estén previstos en el Estatuto General de Contratación de la Administración Pública y en el Decreto en el 1082 de 2015, no quiere decir que solo puedan celebrarse entre entidades estatales que apliquen el régimen de contratación allí previsto, pues bien puede una entidad estatal de Ley 80 de 1993 celebrar esta clase de convenios con una entidad estatal exceptuada de esta y con régimen especial de contratación y no por ello dejará de ser un contrato o convenio interadministrativo, conforme se establece en el literal c), numeral 4 del artículo 2 de la Ley 1150 de 2007</w:t>
      </w:r>
      <w:r w:rsidRPr="00FE72C6">
        <w:rPr>
          <w:rFonts w:ascii="Calibri" w:eastAsia="Calibri" w:hAnsi="Calibri" w:cs="Times New Roman"/>
          <w:sz w:val="24"/>
          <w:lang w:val="es-MX"/>
        </w:rPr>
        <w:t xml:space="preserve"> –</w:t>
      </w:r>
      <w:r w:rsidRPr="00FE72C6">
        <w:rPr>
          <w:rFonts w:ascii="Arial" w:eastAsia="Calibri" w:hAnsi="Arial" w:cs="Arial"/>
          <w:color w:val="000000"/>
          <w:lang w:val="es-MX"/>
        </w:rPr>
        <w:t>modificada por los artículos 92 y 95 de la Ley 1474 de 2011–:</w:t>
      </w:r>
    </w:p>
    <w:p w14:paraId="4C4ED796" w14:textId="77777777" w:rsidR="00FE72C6" w:rsidRPr="00FE72C6" w:rsidRDefault="00FE72C6" w:rsidP="00FE72C6">
      <w:pPr>
        <w:spacing w:after="0" w:line="276" w:lineRule="auto"/>
        <w:ind w:firstLine="708"/>
        <w:jc w:val="both"/>
        <w:rPr>
          <w:rFonts w:ascii="Arial" w:eastAsia="Calibri" w:hAnsi="Arial" w:cs="Arial"/>
          <w:color w:val="000000"/>
          <w:lang w:val="es-MX"/>
        </w:rPr>
      </w:pPr>
    </w:p>
    <w:p w14:paraId="07B17687" w14:textId="23624D33" w:rsidR="00FE72C6" w:rsidRPr="00FE72C6" w:rsidRDefault="00F42679" w:rsidP="00FE72C6">
      <w:pPr>
        <w:spacing w:after="0" w:line="240" w:lineRule="auto"/>
        <w:ind w:left="709" w:right="709"/>
        <w:jc w:val="both"/>
        <w:rPr>
          <w:rFonts w:ascii="Arial" w:eastAsia="Calibri" w:hAnsi="Arial" w:cs="Arial"/>
          <w:color w:val="000000"/>
          <w:sz w:val="21"/>
          <w:szCs w:val="21"/>
          <w:lang w:val="es-MX"/>
        </w:rPr>
      </w:pPr>
      <w:r>
        <w:rPr>
          <w:rFonts w:ascii="Arial" w:eastAsia="Calibri" w:hAnsi="Arial" w:cs="Arial"/>
          <w:color w:val="000000"/>
          <w:sz w:val="21"/>
          <w:szCs w:val="21"/>
          <w:lang w:val="es-MX"/>
        </w:rPr>
        <w:t>«</w:t>
      </w:r>
      <w:r w:rsidR="00FE72C6" w:rsidRPr="00FE72C6">
        <w:rPr>
          <w:rFonts w:ascii="Arial" w:eastAsia="Calibri" w:hAnsi="Arial" w:cs="Arial"/>
          <w:color w:val="000000"/>
          <w:sz w:val="21"/>
          <w:szCs w:val="21"/>
          <w:lang w:val="es-MX"/>
        </w:rPr>
        <w:t>Artículo 2</w:t>
      </w:r>
      <w:r w:rsidR="00FE72C6" w:rsidRPr="00FE72C6">
        <w:rPr>
          <w:rFonts w:ascii="Arial" w:eastAsia="Calibri" w:hAnsi="Arial" w:cs="Arial"/>
          <w:i/>
          <w:iCs/>
          <w:color w:val="000000"/>
          <w:sz w:val="21"/>
          <w:szCs w:val="21"/>
          <w:lang w:val="es-MX"/>
        </w:rPr>
        <w:t>°.</w:t>
      </w:r>
      <w:r w:rsidR="00FE72C6" w:rsidRPr="00FE72C6">
        <w:rPr>
          <w:rFonts w:ascii="Arial" w:eastAsia="Calibri" w:hAnsi="Arial" w:cs="Arial"/>
          <w:color w:val="000000"/>
          <w:sz w:val="21"/>
          <w:szCs w:val="21"/>
          <w:lang w:val="es-MX"/>
        </w:rPr>
        <w:t xml:space="preserve"> De las modalidades de selección. La escogencia del contratista se efectuará con arreglo a las modalidades de selección de licitación pública, selección abreviada, concurso de méritos y contratación directa, con base en las siguientes reglas: </w:t>
      </w:r>
    </w:p>
    <w:p w14:paraId="3E1CD523" w14:textId="77777777" w:rsidR="00FE72C6" w:rsidRPr="00FE72C6" w:rsidRDefault="00FE72C6" w:rsidP="00FE72C6">
      <w:pPr>
        <w:spacing w:after="0" w:line="240" w:lineRule="auto"/>
        <w:ind w:left="1" w:right="709" w:firstLine="708"/>
        <w:jc w:val="both"/>
        <w:rPr>
          <w:rFonts w:ascii="Arial" w:eastAsia="Calibri" w:hAnsi="Arial" w:cs="Arial"/>
          <w:color w:val="000000"/>
          <w:sz w:val="21"/>
          <w:szCs w:val="21"/>
          <w:lang w:val="es-MX"/>
        </w:rPr>
      </w:pPr>
    </w:p>
    <w:p w14:paraId="73296D1D" w14:textId="77777777" w:rsidR="00FE72C6" w:rsidRPr="00FE72C6" w:rsidRDefault="00FE72C6" w:rsidP="00FE72C6">
      <w:pPr>
        <w:spacing w:after="0" w:line="240" w:lineRule="auto"/>
        <w:ind w:left="1" w:right="709" w:firstLine="708"/>
        <w:jc w:val="both"/>
        <w:rPr>
          <w:rFonts w:ascii="Arial" w:eastAsia="Calibri" w:hAnsi="Arial" w:cs="Arial"/>
          <w:color w:val="000000"/>
          <w:sz w:val="21"/>
          <w:szCs w:val="21"/>
          <w:lang w:val="es-MX"/>
        </w:rPr>
      </w:pPr>
      <w:r w:rsidRPr="00FE72C6">
        <w:rPr>
          <w:rFonts w:ascii="Arial" w:eastAsia="Calibri" w:hAnsi="Arial" w:cs="Arial"/>
          <w:color w:val="000000"/>
          <w:sz w:val="21"/>
          <w:szCs w:val="21"/>
          <w:lang w:val="es-MX"/>
        </w:rPr>
        <w:t>[…]</w:t>
      </w:r>
    </w:p>
    <w:p w14:paraId="174BE3BB" w14:textId="77777777" w:rsidR="00FE72C6" w:rsidRPr="00FE72C6" w:rsidRDefault="00FE72C6" w:rsidP="00FE72C6">
      <w:pPr>
        <w:spacing w:after="0" w:line="240" w:lineRule="auto"/>
        <w:ind w:left="709" w:right="709"/>
        <w:jc w:val="both"/>
        <w:rPr>
          <w:rFonts w:ascii="Arial" w:eastAsia="Calibri" w:hAnsi="Arial" w:cs="Arial"/>
          <w:color w:val="000000"/>
          <w:sz w:val="21"/>
          <w:szCs w:val="21"/>
          <w:lang w:val="es-MX"/>
        </w:rPr>
      </w:pPr>
    </w:p>
    <w:p w14:paraId="556C2984" w14:textId="77777777" w:rsidR="00FE72C6" w:rsidRPr="00FE72C6" w:rsidRDefault="00FE72C6" w:rsidP="00FE72C6">
      <w:pPr>
        <w:spacing w:after="0" w:line="240" w:lineRule="auto"/>
        <w:ind w:left="709" w:right="709"/>
        <w:jc w:val="both"/>
        <w:rPr>
          <w:rFonts w:ascii="Arial" w:eastAsia="Calibri" w:hAnsi="Arial" w:cs="Arial"/>
          <w:color w:val="000000"/>
          <w:sz w:val="21"/>
          <w:szCs w:val="21"/>
          <w:lang w:val="es-MX"/>
        </w:rPr>
      </w:pPr>
      <w:r w:rsidRPr="00FE72C6">
        <w:rPr>
          <w:rFonts w:ascii="Arial" w:eastAsia="Calibri" w:hAnsi="Arial" w:cs="Arial"/>
          <w:color w:val="000000"/>
          <w:sz w:val="21"/>
          <w:szCs w:val="21"/>
          <w:lang w:val="es-MX"/>
        </w:rPr>
        <w:lastRenderedPageBreak/>
        <w:t>»4. Contratación directa</w:t>
      </w:r>
      <w:r w:rsidRPr="00FE72C6">
        <w:rPr>
          <w:rFonts w:ascii="Arial" w:eastAsia="Calibri" w:hAnsi="Arial" w:cs="Arial"/>
          <w:b/>
          <w:bCs/>
          <w:color w:val="000000"/>
          <w:sz w:val="21"/>
          <w:szCs w:val="21"/>
          <w:lang w:val="es-MX"/>
        </w:rPr>
        <w:t>. </w:t>
      </w:r>
      <w:r w:rsidRPr="00FE72C6">
        <w:rPr>
          <w:rFonts w:ascii="Arial" w:eastAsia="Calibri" w:hAnsi="Arial" w:cs="Arial"/>
          <w:color w:val="000000"/>
          <w:sz w:val="21"/>
          <w:szCs w:val="21"/>
          <w:lang w:val="es-MX"/>
        </w:rPr>
        <w:t>La modalidad de selección de contratación directa solamente procederá en los siguientes casos: </w:t>
      </w:r>
    </w:p>
    <w:p w14:paraId="318189B7" w14:textId="77777777" w:rsidR="00FE72C6" w:rsidRPr="00FE72C6" w:rsidRDefault="00FE72C6" w:rsidP="00FE72C6">
      <w:pPr>
        <w:spacing w:after="0" w:line="240" w:lineRule="auto"/>
        <w:ind w:right="709" w:firstLine="708"/>
        <w:jc w:val="both"/>
        <w:rPr>
          <w:rFonts w:ascii="Arial" w:eastAsia="Calibri" w:hAnsi="Arial" w:cs="Arial"/>
          <w:color w:val="000000"/>
          <w:sz w:val="21"/>
          <w:szCs w:val="21"/>
          <w:lang w:val="es-MX"/>
        </w:rPr>
      </w:pPr>
      <w:r w:rsidRPr="00FE72C6">
        <w:rPr>
          <w:rFonts w:ascii="Arial" w:eastAsia="Calibri" w:hAnsi="Arial" w:cs="Arial"/>
          <w:color w:val="000000"/>
          <w:sz w:val="21"/>
          <w:szCs w:val="21"/>
          <w:lang w:val="es-MX"/>
        </w:rPr>
        <w:t>[…]</w:t>
      </w:r>
    </w:p>
    <w:p w14:paraId="518D0660"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p>
    <w:p w14:paraId="2A3A6300"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»c) Contratos interadministrativos, siempre que las obligaciones derivadas del mismo tengan relación directa con el objeto de la entidad ejecutora señalado en la ley o en sus reglamentos.  </w:t>
      </w:r>
    </w:p>
    <w:p w14:paraId="1CF4AD7A"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w:t>
      </w:r>
    </w:p>
    <w:p w14:paraId="71AFD6D1"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01D1044B" w14:textId="77777777" w:rsidR="00FE72C6" w:rsidRPr="00FE72C6" w:rsidRDefault="00FE72C6" w:rsidP="00FE72C6">
      <w:pPr>
        <w:spacing w:after="0" w:line="240" w:lineRule="auto"/>
        <w:ind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w:t>
      </w:r>
    </w:p>
    <w:p w14:paraId="4A9E682B"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3A0F18EF"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w:t>
      </w:r>
    </w:p>
    <w:p w14:paraId="703C5519" w14:textId="1BD53971"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00F42679">
        <w:rPr>
          <w:rFonts w:ascii="Arial" w:eastAsia="Times New Roman" w:hAnsi="Arial" w:cs="Arial"/>
          <w:color w:val="000000"/>
          <w:sz w:val="21"/>
          <w:szCs w:val="21"/>
          <w:lang w:eastAsia="es-CO"/>
        </w:rPr>
        <w:t>»</w:t>
      </w:r>
      <w:r w:rsidRPr="00FE72C6">
        <w:rPr>
          <w:rFonts w:ascii="Arial" w:eastAsia="Times New Roman" w:hAnsi="Arial" w:cs="Arial"/>
          <w:color w:val="000000"/>
          <w:sz w:val="21"/>
          <w:szCs w:val="21"/>
          <w:lang w:eastAsia="es-CO"/>
        </w:rPr>
        <w:t>. </w:t>
      </w:r>
    </w:p>
    <w:p w14:paraId="55999CD6"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p>
    <w:p w14:paraId="0122A838" w14:textId="77777777" w:rsidR="00FE72C6" w:rsidRPr="00FE72C6" w:rsidRDefault="00FE72C6" w:rsidP="00FE72C6">
      <w:pPr>
        <w:spacing w:after="120" w:line="276" w:lineRule="auto"/>
        <w:ind w:firstLine="709"/>
        <w:jc w:val="both"/>
        <w:rPr>
          <w:rFonts w:ascii="Arial" w:eastAsia="Calibri" w:hAnsi="Arial" w:cs="Arial"/>
          <w:color w:val="000000"/>
          <w:lang w:val="es-MX"/>
        </w:rPr>
      </w:pPr>
      <w:r w:rsidRPr="00FE72C6">
        <w:rPr>
          <w:rFonts w:ascii="Arial" w:eastAsia="Calibri" w:hAnsi="Arial" w:cs="Arial"/>
          <w:color w:val="000000"/>
          <w:lang w:val="es-MX"/>
        </w:rPr>
        <w:t>El artículo 2 de la Ley 1150 de 2007 en principio está dirigido a regular las modalidades de selección aplicables a los diferentes tipos de contratos estatales. Sin embargo, al referirse a los contratos interadministrativos no solo dispone reglas de selección, sino que también establece la forma para determinar el régimen aplicable a la ejecución de los pactos celebrados bajo esta modalidad contractual.</w:t>
      </w:r>
    </w:p>
    <w:p w14:paraId="299C2418" w14:textId="77777777" w:rsidR="00FE72C6" w:rsidRPr="00FE72C6" w:rsidRDefault="00FE72C6" w:rsidP="00FE72C6">
      <w:pPr>
        <w:spacing w:after="0" w:line="276" w:lineRule="auto"/>
        <w:ind w:firstLine="708"/>
        <w:jc w:val="both"/>
        <w:rPr>
          <w:rFonts w:ascii="Arial" w:eastAsia="Calibri" w:hAnsi="Arial" w:cs="Arial"/>
          <w:sz w:val="24"/>
          <w:szCs w:val="24"/>
          <w:lang w:val="es-MX"/>
        </w:rPr>
      </w:pPr>
      <w:r w:rsidRPr="00FE72C6">
        <w:rPr>
          <w:rFonts w:ascii="Arial" w:eastAsia="Calibri" w:hAnsi="Arial" w:cs="Arial"/>
          <w:color w:val="000000"/>
          <w:lang w:val="es-MX"/>
        </w:rPr>
        <w:t xml:space="preserve"> En efecto, la regla contenida en el numeral 4 –literal c., inciso tercero– indica que en los casos en que el régimen aplicable a la contratación de la entidad ejecutora no sea el de la Ley 80 de 1993, la ejecución de dichos contratos estará sometida a dicha ley, salvo que la entidad ejecutora desarrolle su actividad en competencia con el sector privado o cuando la ejecución del contrato interadministrativo tenga relación directa con el desarrollo de la actividad de la entidad ejecutora. </w:t>
      </w:r>
      <w:r w:rsidRPr="00FE72C6">
        <w:rPr>
          <w:rFonts w:ascii="Arial" w:eastAsia="Calibri" w:hAnsi="Arial" w:cs="Arial"/>
          <w:lang w:val="es-MX"/>
        </w:rPr>
        <w:t>La Sala de Consulta y Servicio Civil del Consejo de Estado ha señalado, a propósito de las reglas para los contratos interadministrativos, lo siguiente</w:t>
      </w:r>
      <w:r w:rsidRPr="00FE72C6">
        <w:rPr>
          <w:rFonts w:ascii="Arial" w:eastAsia="Calibri" w:hAnsi="Arial" w:cs="Arial"/>
          <w:vertAlign w:val="superscript"/>
          <w:lang w:val="es-MX"/>
        </w:rPr>
        <w:footnoteReference w:id="12"/>
      </w:r>
      <w:r w:rsidRPr="00FE72C6">
        <w:rPr>
          <w:rFonts w:ascii="Arial" w:eastAsia="Calibri" w:hAnsi="Arial" w:cs="Arial"/>
          <w:lang w:val="es-MX"/>
        </w:rPr>
        <w:t xml:space="preserve">: </w:t>
      </w:r>
    </w:p>
    <w:p w14:paraId="66216597" w14:textId="77777777" w:rsidR="00FE72C6" w:rsidRPr="00FE72C6" w:rsidRDefault="00FE72C6" w:rsidP="00FE72C6">
      <w:pPr>
        <w:spacing w:after="0" w:line="240" w:lineRule="auto"/>
        <w:ind w:left="708" w:right="-85"/>
        <w:jc w:val="both"/>
        <w:rPr>
          <w:rFonts w:ascii="Arial" w:eastAsia="Calibri" w:hAnsi="Arial" w:cs="Arial"/>
          <w:sz w:val="24"/>
          <w:szCs w:val="24"/>
          <w:lang w:val="es-MX"/>
        </w:rPr>
      </w:pPr>
    </w:p>
    <w:p w14:paraId="2A433207" w14:textId="77777777" w:rsidR="00FE72C6" w:rsidRPr="00FE72C6" w:rsidRDefault="00FE72C6" w:rsidP="00FE72C6">
      <w:pPr>
        <w:spacing w:after="0" w:line="240" w:lineRule="auto"/>
        <w:ind w:left="709" w:right="709"/>
        <w:contextualSpacing/>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xml:space="preserve">«a. </w:t>
      </w:r>
      <w:r w:rsidRPr="00FE72C6">
        <w:rPr>
          <w:rFonts w:ascii="Arial" w:eastAsia="Times New Roman" w:hAnsi="Arial" w:cs="Arial"/>
          <w:b/>
          <w:bCs/>
          <w:color w:val="000000"/>
          <w:sz w:val="21"/>
          <w:szCs w:val="21"/>
          <w:lang w:eastAsia="es-CO"/>
        </w:rPr>
        <w:t>Los contratos interadministrativos, en todos los casos</w:t>
      </w:r>
      <w:r w:rsidRPr="00FE72C6">
        <w:rPr>
          <w:rFonts w:ascii="Arial" w:eastAsia="Times New Roman" w:hAnsi="Arial" w:cs="Arial"/>
          <w:color w:val="000000"/>
          <w:sz w:val="21"/>
          <w:szCs w:val="21"/>
          <w:lang w:eastAsia="es-CO"/>
        </w:rPr>
        <w:t xml:space="preserve"> (contratación directa y aún en los eventos en que se ordene que sean el resultado de una licitación pública o selección abreviada), deben tener relación directa con el objeto de la entidad ejecutora señalado en la ley o en sus reglamentos, los cuales, naturalmente, están sometidos a la ley (literal c, numeral 4, inciso primero del artículo 2º de la Ley 1150 de 2007). Esta exigencia significa que la entidad estatal ejecutora (contratista) posee la capacidad jurídica y financiera, el soporte técnico y operativo y la experiencia acreditada para ejecutar ella misma el objeto contractual, por lo que todo tipo de “intermediación” en la materia se encuentra proscrito por la ley; además, se trata de un requisito general para poderse obligar válidamente (artículo 1502 C.C).</w:t>
      </w:r>
    </w:p>
    <w:p w14:paraId="6EE3025E"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p>
    <w:p w14:paraId="15DEC976" w14:textId="77777777" w:rsidR="00FE72C6" w:rsidRPr="00FE72C6" w:rsidRDefault="00FE72C6" w:rsidP="00FE72C6">
      <w:pPr>
        <w:spacing w:after="0" w:line="240" w:lineRule="auto"/>
        <w:ind w:left="709" w:right="709"/>
        <w:contextualSpacing/>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b.</w:t>
      </w:r>
      <w:r w:rsidRPr="00FE72C6">
        <w:rPr>
          <w:rFonts w:ascii="Arial" w:eastAsia="Times New Roman" w:hAnsi="Arial" w:cs="Arial"/>
          <w:b/>
          <w:bCs/>
          <w:color w:val="000000"/>
          <w:sz w:val="21"/>
          <w:szCs w:val="21"/>
          <w:lang w:eastAsia="es-CO"/>
        </w:rPr>
        <w:t xml:space="preserve"> La suscripción de contratos interadministrativos </w:t>
      </w:r>
      <w:r w:rsidRPr="00FE72C6">
        <w:rPr>
          <w:rFonts w:ascii="Arial" w:eastAsia="Times New Roman" w:hAnsi="Arial" w:cs="Arial"/>
          <w:color w:val="000000"/>
          <w:sz w:val="21"/>
          <w:szCs w:val="21"/>
          <w:lang w:eastAsia="es-CO"/>
        </w:rPr>
        <w:t xml:space="preserve">“de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debe estar precedida de licitación pública o selección abreviada; es decir, se introdujo la prohibición para suscribir por contratación directa contratos interadministrativos de determinados objetos, de manera que para celebrar los citados contratos las entidades mencionadas deberán participar en condiciones de igualdad en cualquiera de los procesos de selección que impliquen convocatoria pública y solamente en los demás casos, podrá acudirse a la modalidad de contratación directa (literal c, inciso 2, </w:t>
      </w:r>
      <w:proofErr w:type="spellStart"/>
      <w:r w:rsidRPr="00FE72C6">
        <w:rPr>
          <w:rFonts w:ascii="Arial" w:eastAsia="Times New Roman" w:hAnsi="Arial" w:cs="Arial"/>
          <w:color w:val="000000"/>
          <w:sz w:val="21"/>
          <w:szCs w:val="21"/>
          <w:lang w:eastAsia="es-CO"/>
        </w:rPr>
        <w:t>ibídem</w:t>
      </w:r>
      <w:proofErr w:type="spellEnd"/>
      <w:r w:rsidRPr="00FE72C6">
        <w:rPr>
          <w:rFonts w:ascii="Arial" w:eastAsia="Times New Roman" w:hAnsi="Arial" w:cs="Arial"/>
          <w:color w:val="000000"/>
          <w:sz w:val="21"/>
          <w:szCs w:val="21"/>
          <w:lang w:eastAsia="es-CO"/>
        </w:rPr>
        <w:t xml:space="preserve">). </w:t>
      </w:r>
    </w:p>
    <w:p w14:paraId="1EE36A58" w14:textId="77777777" w:rsidR="00FE72C6" w:rsidRPr="00FE72C6" w:rsidRDefault="00FE72C6" w:rsidP="00FE72C6">
      <w:pPr>
        <w:spacing w:after="0" w:line="240" w:lineRule="auto"/>
        <w:ind w:left="709" w:right="709"/>
        <w:contextualSpacing/>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w:t>
      </w:r>
    </w:p>
    <w:p w14:paraId="15736778" w14:textId="77777777" w:rsidR="00FE72C6" w:rsidRPr="00FE72C6" w:rsidRDefault="00FE72C6" w:rsidP="00FE72C6">
      <w:pPr>
        <w:spacing w:after="0" w:line="240" w:lineRule="auto"/>
        <w:ind w:left="709" w:right="709"/>
        <w:contextualSpacing/>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c.</w:t>
      </w:r>
      <w:r w:rsidRPr="00FE72C6">
        <w:rPr>
          <w:rFonts w:ascii="Arial" w:eastAsia="Times New Roman" w:hAnsi="Arial" w:cs="Arial"/>
          <w:b/>
          <w:bCs/>
          <w:color w:val="000000"/>
          <w:sz w:val="21"/>
          <w:szCs w:val="21"/>
          <w:lang w:eastAsia="es-CO"/>
        </w:rPr>
        <w:t xml:space="preserve"> La ejecución de los contratos interadministrativos</w:t>
      </w:r>
      <w:r w:rsidRPr="00FE72C6">
        <w:rPr>
          <w:rFonts w:ascii="Arial" w:eastAsia="Times New Roman" w:hAnsi="Arial" w:cs="Arial"/>
          <w:color w:val="000000"/>
          <w:sz w:val="21"/>
          <w:szCs w:val="21"/>
          <w:lang w:eastAsia="es-CO"/>
        </w:rPr>
        <w:t xml:space="preserve"> quedó sometida, por regla general, al Estatuto General de Contratación Pública, salvo los casos en que la entidad ejecutora actúa en régimen de competencia con el sector privado o cuando el contrato tenga relación directa con su actividad (modificación introducida por el artículo 95 de la Ley 1474 de 2011 al inciso 2º literal c del numeral 4 del artículo 2 de la Ley 1150 de 2007); dicho de otro modo, solamente si se da esa relación inmediata entre el objeto del contrato y la actividad propia de la entidad ejecutora, tal como debe ser, la ejecución del respectivo contrato interadministrativo podrá hacerse bajo las reglas de derecho diferentes a la Ley 80 de 1993 y demás normas que la modifiquen o adicionen.</w:t>
      </w:r>
    </w:p>
    <w:p w14:paraId="07553499"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p>
    <w:p w14:paraId="6ACF886D" w14:textId="77777777" w:rsidR="00FE72C6" w:rsidRPr="00FE72C6" w:rsidRDefault="00FE72C6" w:rsidP="00FE72C6">
      <w:pPr>
        <w:spacing w:after="0" w:line="240" w:lineRule="auto"/>
        <w:ind w:left="709" w:right="709"/>
        <w:contextualSpacing/>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d.</w:t>
      </w:r>
      <w:r w:rsidRPr="00FE72C6">
        <w:rPr>
          <w:rFonts w:ascii="Arial" w:eastAsia="Times New Roman" w:hAnsi="Arial" w:cs="Arial"/>
          <w:b/>
          <w:bCs/>
          <w:color w:val="000000"/>
          <w:sz w:val="21"/>
          <w:szCs w:val="21"/>
          <w:lang w:eastAsia="es-CO"/>
        </w:rPr>
        <w:t xml:space="preserve"> En cuanto a la subcontratación</w:t>
      </w:r>
      <w:r w:rsidRPr="00FE72C6">
        <w:rPr>
          <w:rFonts w:ascii="Arial" w:eastAsia="Times New Roman" w:hAnsi="Arial" w:cs="Arial"/>
          <w:color w:val="000000"/>
          <w:sz w:val="21"/>
          <w:szCs w:val="21"/>
          <w:lang w:eastAsia="es-CO"/>
        </w:rPr>
        <w:t xml:space="preserve"> se imponen restricciones. En aquellos casos en que la entidad estatal ejecutora debiera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36B1BC4D" w14:textId="77777777" w:rsidR="00FE72C6" w:rsidRPr="00FE72C6" w:rsidRDefault="00FE72C6" w:rsidP="00FE72C6">
      <w:pPr>
        <w:spacing w:after="0" w:line="240" w:lineRule="auto"/>
        <w:ind w:left="709" w:right="709"/>
        <w:jc w:val="both"/>
        <w:rPr>
          <w:rFonts w:ascii="Arial" w:eastAsia="Times New Roman" w:hAnsi="Arial" w:cs="Arial"/>
          <w:color w:val="000000"/>
          <w:sz w:val="21"/>
          <w:szCs w:val="21"/>
          <w:lang w:eastAsia="es-CO"/>
        </w:rPr>
      </w:pPr>
    </w:p>
    <w:p w14:paraId="5B91B5CE" w14:textId="2E927AAA" w:rsidR="00FE72C6" w:rsidRPr="00FE72C6" w:rsidRDefault="00FE72C6" w:rsidP="00FE72C6">
      <w:pPr>
        <w:spacing w:after="0" w:line="240" w:lineRule="auto"/>
        <w:ind w:left="709" w:right="709"/>
        <w:contextualSpacing/>
        <w:jc w:val="both"/>
        <w:rPr>
          <w:rFonts w:ascii="Arial" w:eastAsia="Times New Roman" w:hAnsi="Arial" w:cs="Arial"/>
          <w:color w:val="000000"/>
          <w:sz w:val="21"/>
          <w:szCs w:val="21"/>
          <w:lang w:eastAsia="es-CO"/>
        </w:rPr>
      </w:pPr>
      <w:r w:rsidRPr="00FE72C6">
        <w:rPr>
          <w:rFonts w:ascii="Arial" w:eastAsia="Times New Roman" w:hAnsi="Arial" w:cs="Arial"/>
          <w:color w:val="000000"/>
          <w:sz w:val="21"/>
          <w:szCs w:val="21"/>
          <w:lang w:eastAsia="es-CO"/>
        </w:rPr>
        <w:t xml:space="preserve">» e. Quedaron </w:t>
      </w:r>
      <w:r w:rsidRPr="00FE72C6">
        <w:rPr>
          <w:rFonts w:ascii="Arial" w:eastAsia="Times New Roman" w:hAnsi="Arial" w:cs="Arial"/>
          <w:b/>
          <w:bCs/>
          <w:color w:val="000000"/>
          <w:sz w:val="21"/>
          <w:szCs w:val="21"/>
          <w:lang w:eastAsia="es-CO"/>
        </w:rPr>
        <w:t xml:space="preserve">exceptuados </w:t>
      </w:r>
      <w:r w:rsidRPr="00FE72C6">
        <w:rPr>
          <w:rFonts w:ascii="Arial" w:eastAsia="Times New Roman" w:hAnsi="Arial" w:cs="Arial"/>
          <w:color w:val="000000"/>
          <w:sz w:val="21"/>
          <w:szCs w:val="21"/>
          <w:lang w:eastAsia="es-CO"/>
        </w:rPr>
        <w:t>de la figura del contrato interadministrativo, los contratos de seguro de las entidades estatales</w:t>
      </w:r>
      <w:r w:rsidR="00F42679">
        <w:rPr>
          <w:rFonts w:ascii="Arial" w:eastAsia="Times New Roman" w:hAnsi="Arial" w:cs="Arial"/>
          <w:color w:val="000000"/>
          <w:sz w:val="21"/>
          <w:szCs w:val="21"/>
          <w:lang w:eastAsia="es-CO"/>
        </w:rPr>
        <w:t>»</w:t>
      </w:r>
      <w:r w:rsidRPr="00FE72C6">
        <w:rPr>
          <w:rFonts w:ascii="Arial" w:eastAsia="Times New Roman" w:hAnsi="Arial" w:cs="Arial"/>
          <w:color w:val="000000"/>
          <w:sz w:val="21"/>
          <w:szCs w:val="21"/>
          <w:lang w:eastAsia="es-CO"/>
        </w:rPr>
        <w:t>.</w:t>
      </w:r>
    </w:p>
    <w:p w14:paraId="7FF885E2" w14:textId="77777777" w:rsidR="00FE72C6" w:rsidRPr="00FE72C6" w:rsidRDefault="00FE72C6" w:rsidP="00FE72C6">
      <w:pPr>
        <w:spacing w:after="0" w:line="276" w:lineRule="auto"/>
        <w:ind w:firstLine="708"/>
        <w:jc w:val="both"/>
        <w:rPr>
          <w:rFonts w:ascii="Arial" w:eastAsia="Calibri" w:hAnsi="Arial" w:cs="Arial"/>
          <w:color w:val="000000"/>
          <w:szCs w:val="24"/>
          <w:lang w:eastAsia="es-ES_tradnl"/>
        </w:rPr>
      </w:pPr>
    </w:p>
    <w:p w14:paraId="7C353E70" w14:textId="77777777" w:rsidR="00FE72C6" w:rsidRPr="00FE72C6" w:rsidRDefault="00FE72C6" w:rsidP="00FE72C6">
      <w:pPr>
        <w:spacing w:after="120" w:line="276" w:lineRule="auto"/>
        <w:ind w:firstLine="709"/>
        <w:jc w:val="both"/>
        <w:rPr>
          <w:rFonts w:ascii="Arial" w:eastAsia="Calibri" w:hAnsi="Arial" w:cs="Arial"/>
          <w:color w:val="000000"/>
          <w:szCs w:val="24"/>
          <w:lang w:eastAsia="es-ES_tradnl"/>
        </w:rPr>
      </w:pPr>
      <w:r w:rsidRPr="00FE72C6">
        <w:rPr>
          <w:rFonts w:ascii="Arial" w:eastAsia="Calibri" w:hAnsi="Arial" w:cs="Arial"/>
          <w:color w:val="000000"/>
          <w:szCs w:val="24"/>
          <w:lang w:eastAsia="es-ES_tradnl"/>
        </w:rPr>
        <w:lastRenderedPageBreak/>
        <w:t xml:space="preserve">Como puede apreciarse, la Ley 1150 de 2007 establece que las entidades estatales pueden celebrar directamente contratos o convenios interadministrativos, siempre que las obligaciones derivadas del mismo tengan relación directa con el objeto de la entidad ejecutora. Se exceptúa de la anterior regla ciertas tipologías contractuales –obra, suministro, prestación de servicios de evaluación de conformidad respecto de las normas o reglamentos técnicos, encargos fiduciarios y fiducia pública–, cuando las ejecutoras de estos sean las entidades estatales allí previstas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caso en el cual deben contratarse mediante procesos competitivos –licitación pública, selección abreviada, concurso de méritos o mínima cuantía–. Nótese que en este evento la ley no restringió su denominación de contrato interadministrativo, sino que exceptuó ese tipo de contratos a celebrar con tales entidades del procedimiento de contratación directa del contratista. </w:t>
      </w:r>
      <w:r w:rsidRPr="00FE72C6">
        <w:rPr>
          <w:rFonts w:ascii="Arial" w:eastAsia="Calibri" w:hAnsi="Arial" w:cs="Arial"/>
          <w:color w:val="000000"/>
          <w:lang w:val="es-MX"/>
        </w:rPr>
        <w:t>La calidad de interadministrativo de un contrato o convenio no está determinada entonces por la modalidad de selección utilizada para celebrarlo.</w:t>
      </w:r>
    </w:p>
    <w:p w14:paraId="21A93AF6" w14:textId="77777777" w:rsidR="00FE72C6" w:rsidRPr="00FE72C6" w:rsidRDefault="00FE72C6" w:rsidP="00FE72C6">
      <w:pPr>
        <w:spacing w:after="120" w:line="276" w:lineRule="auto"/>
        <w:ind w:firstLine="709"/>
        <w:jc w:val="both"/>
        <w:rPr>
          <w:rFonts w:ascii="Arial" w:eastAsia="Calibri" w:hAnsi="Arial" w:cs="Arial"/>
          <w:color w:val="000000"/>
          <w:lang w:val="es-MX"/>
        </w:rPr>
      </w:pPr>
      <w:r w:rsidRPr="00FE72C6">
        <w:rPr>
          <w:rFonts w:ascii="Arial" w:eastAsia="Calibri" w:hAnsi="Arial" w:cs="Arial"/>
          <w:color w:val="000000"/>
          <w:lang w:val="es-MX"/>
        </w:rPr>
        <w:t xml:space="preserve">Las anteriores consideraciones permiten inferir que, según el Estatuto General de la Contratación de la Administración Pública, los convenios interadministrativos son contratos estatales independientemente del régimen de contratación al que estén sometidas las partes entre quienes se celebra o de las normas por las que deba regirse su ejecución, siempre que se suscriban entre entidades que ostenten la calidad de estatales o de derecho público.  </w:t>
      </w:r>
    </w:p>
    <w:p w14:paraId="7447B4F9" w14:textId="77777777" w:rsidR="00FE72C6" w:rsidRPr="00FE72C6" w:rsidRDefault="00FE72C6" w:rsidP="00FE72C6">
      <w:pPr>
        <w:spacing w:after="120" w:line="276" w:lineRule="auto"/>
        <w:ind w:firstLine="709"/>
        <w:jc w:val="both"/>
        <w:rPr>
          <w:rFonts w:ascii="Arial" w:eastAsia="Calibri" w:hAnsi="Arial" w:cs="Arial"/>
          <w:color w:val="000000"/>
          <w:lang w:val="es-MX"/>
        </w:rPr>
      </w:pPr>
      <w:r w:rsidRPr="00FE72C6">
        <w:rPr>
          <w:rFonts w:ascii="Arial" w:eastAsia="Calibri" w:hAnsi="Arial" w:cs="Arial"/>
          <w:color w:val="000000"/>
          <w:lang w:val="es-MX"/>
        </w:rPr>
        <w:t xml:space="preserve">En el mismo sentido, la Corte Constitucional, en Sentencia C–671 de 2015, manifestó: «Lo que hace interadministrativo a un contrato o convenio no es el procedimiento de selección aplicable, sino la calidad de los sujetos contratantes, esto es que las dos partes de la relación jurídica contractual formen parte de la administración pública». </w:t>
      </w:r>
    </w:p>
    <w:p w14:paraId="7DF6AAD7" w14:textId="77777777" w:rsidR="00FE72C6" w:rsidRPr="00FE72C6" w:rsidRDefault="00FE72C6" w:rsidP="00FE72C6">
      <w:pPr>
        <w:spacing w:after="120" w:line="276" w:lineRule="auto"/>
        <w:ind w:firstLine="709"/>
        <w:jc w:val="both"/>
        <w:rPr>
          <w:rFonts w:ascii="Arial" w:eastAsia="Calibri" w:hAnsi="Arial" w:cs="Arial"/>
          <w:color w:val="000000"/>
          <w:lang w:val="es-MX"/>
        </w:rPr>
      </w:pPr>
      <w:r w:rsidRPr="00FE72C6">
        <w:rPr>
          <w:rFonts w:ascii="Arial" w:eastAsia="Calibri" w:hAnsi="Arial" w:cs="Arial"/>
          <w:color w:val="000000"/>
          <w:lang w:val="es-MX"/>
        </w:rPr>
        <w:t>Así pues, conforme a lo expuesto en el acápite anterior, los fondos mixtos al ser entidades descentralizadas indirectas tienen la calidad de entidades públicas, independientemente del porcentaje de participación pública que involucren, razón por la cual tienen la posibilidad de suscribir convenios y contratos interadministrativos con otras entidades públicas sin importar su régimen de contratación.</w:t>
      </w:r>
    </w:p>
    <w:p w14:paraId="7B04FA01" w14:textId="77777777" w:rsidR="00FE72C6" w:rsidRPr="00FE72C6" w:rsidRDefault="00FE72C6" w:rsidP="00FE72C6">
      <w:pPr>
        <w:spacing w:after="0" w:line="276" w:lineRule="auto"/>
        <w:jc w:val="both"/>
        <w:rPr>
          <w:rFonts w:ascii="Arial" w:eastAsia="Calibri" w:hAnsi="Arial" w:cs="Arial"/>
          <w:color w:val="000000"/>
          <w:sz w:val="20"/>
          <w:szCs w:val="20"/>
          <w:lang w:val="es-MX"/>
        </w:rPr>
      </w:pPr>
    </w:p>
    <w:p w14:paraId="08F7FAF8" w14:textId="77777777" w:rsidR="00FE72C6" w:rsidRPr="00FE72C6" w:rsidRDefault="00FE72C6" w:rsidP="00FE72C6">
      <w:pPr>
        <w:numPr>
          <w:ilvl w:val="0"/>
          <w:numId w:val="4"/>
        </w:numPr>
        <w:spacing w:after="0" w:line="240" w:lineRule="auto"/>
        <w:contextualSpacing/>
        <w:jc w:val="both"/>
        <w:rPr>
          <w:rFonts w:ascii="Arial" w:eastAsia="Calibri" w:hAnsi="Arial" w:cs="Arial"/>
          <w:color w:val="000000"/>
          <w:sz w:val="20"/>
          <w:szCs w:val="20"/>
          <w:lang w:val="es-MX"/>
        </w:rPr>
      </w:pPr>
      <w:r w:rsidRPr="00FE72C6">
        <w:rPr>
          <w:rFonts w:ascii="Arial" w:eastAsia="Calibri" w:hAnsi="Arial" w:cs="Arial"/>
          <w:b/>
          <w:color w:val="000000"/>
          <w:szCs w:val="20"/>
          <w:lang w:val="es-MX"/>
        </w:rPr>
        <w:t>Respuesta</w:t>
      </w:r>
    </w:p>
    <w:p w14:paraId="2C63A049" w14:textId="77777777" w:rsidR="00FE72C6" w:rsidRPr="00FE72C6" w:rsidRDefault="00FE72C6" w:rsidP="00FE72C6">
      <w:pPr>
        <w:spacing w:after="0" w:line="240" w:lineRule="auto"/>
        <w:jc w:val="both"/>
        <w:rPr>
          <w:rFonts w:ascii="Arial" w:eastAsia="Calibri" w:hAnsi="Arial" w:cs="Arial"/>
          <w:color w:val="000000"/>
          <w:sz w:val="20"/>
          <w:szCs w:val="20"/>
          <w:lang w:val="es-MX"/>
        </w:rPr>
      </w:pPr>
    </w:p>
    <w:p w14:paraId="4089CED0" w14:textId="4D16588E" w:rsidR="00FE72C6" w:rsidRPr="00FE72C6" w:rsidRDefault="00FE72C6" w:rsidP="00FE72C6">
      <w:pPr>
        <w:spacing w:after="0" w:line="276" w:lineRule="auto"/>
        <w:ind w:left="709" w:right="709"/>
        <w:jc w:val="both"/>
        <w:rPr>
          <w:rFonts w:ascii="Arial" w:eastAsia="Calibri" w:hAnsi="Arial" w:cs="Arial"/>
          <w:color w:val="000000"/>
          <w:sz w:val="21"/>
          <w:szCs w:val="21"/>
          <w:lang w:val="es-MX"/>
        </w:rPr>
      </w:pPr>
      <w:r w:rsidRPr="00FE72C6">
        <w:rPr>
          <w:rFonts w:ascii="Arial" w:eastAsia="Calibri" w:hAnsi="Arial" w:cs="Arial"/>
          <w:color w:val="000000"/>
          <w:sz w:val="21"/>
          <w:szCs w:val="21"/>
          <w:lang w:val="es-MX"/>
        </w:rPr>
        <w:t>«</w:t>
      </w:r>
      <w:r w:rsidRPr="00FE72C6">
        <w:rPr>
          <w:rFonts w:ascii="Calibri" w:eastAsia="Calibri" w:hAnsi="Calibri" w:cs="Calibri"/>
          <w:sz w:val="24"/>
          <w:szCs w:val="24"/>
          <w:lang w:val="es-MX" w:eastAsia="es-ES_tradnl"/>
        </w:rPr>
        <w:t xml:space="preserve"> </w:t>
      </w:r>
      <w:r w:rsidRPr="00FE72C6">
        <w:rPr>
          <w:rFonts w:ascii="Arial" w:eastAsia="Calibri" w:hAnsi="Arial" w:cs="Arial"/>
          <w:color w:val="000000"/>
          <w:sz w:val="21"/>
          <w:szCs w:val="21"/>
          <w:lang w:val="es-MX"/>
        </w:rPr>
        <w:t>Muy respetuosamente me dirijo a ustedes con el fin de solicitar información si los Fondos Mixtos pueden:</w:t>
      </w:r>
      <w:r w:rsidR="00F42679">
        <w:rPr>
          <w:rFonts w:ascii="Arial" w:eastAsia="Calibri" w:hAnsi="Arial" w:cs="Arial"/>
          <w:color w:val="000000"/>
          <w:sz w:val="21"/>
          <w:szCs w:val="21"/>
          <w:lang w:val="es-MX"/>
        </w:rPr>
        <w:t xml:space="preserve"> </w:t>
      </w:r>
      <w:r w:rsidRPr="00FE72C6">
        <w:rPr>
          <w:rFonts w:ascii="Arial" w:eastAsia="Calibri" w:hAnsi="Arial" w:cs="Arial"/>
          <w:color w:val="000000"/>
          <w:sz w:val="21"/>
          <w:szCs w:val="21"/>
          <w:lang w:val="es-MX"/>
        </w:rPr>
        <w:t>1.Celebrar convenios interadministrativos con entidades estatales»</w:t>
      </w:r>
    </w:p>
    <w:p w14:paraId="01CFD017" w14:textId="77777777" w:rsidR="00FE72C6" w:rsidRPr="00FE72C6" w:rsidRDefault="00FE72C6" w:rsidP="00FE72C6">
      <w:pPr>
        <w:spacing w:after="0" w:line="276" w:lineRule="auto"/>
        <w:ind w:firstLine="709"/>
        <w:jc w:val="both"/>
        <w:rPr>
          <w:rFonts w:ascii="Arial" w:eastAsia="Calibri" w:hAnsi="Arial" w:cs="Arial"/>
          <w:color w:val="000000"/>
          <w:lang w:val="es-MX"/>
        </w:rPr>
      </w:pPr>
    </w:p>
    <w:p w14:paraId="1C6EC39F" w14:textId="77777777" w:rsidR="00FE72C6" w:rsidRPr="00FE72C6" w:rsidRDefault="00FE72C6" w:rsidP="0051120F">
      <w:pPr>
        <w:spacing w:after="0" w:line="276" w:lineRule="auto"/>
        <w:jc w:val="both"/>
        <w:rPr>
          <w:rFonts w:ascii="Arial" w:eastAsia="Calibri" w:hAnsi="Arial" w:cs="Arial"/>
          <w:color w:val="000000"/>
          <w:lang w:val="es-MX"/>
        </w:rPr>
      </w:pPr>
      <w:r w:rsidRPr="00FE72C6">
        <w:rPr>
          <w:rFonts w:ascii="Arial" w:eastAsia="Calibri" w:hAnsi="Arial" w:cs="Arial"/>
          <w:color w:val="000000"/>
          <w:lang w:val="es-MX"/>
        </w:rPr>
        <w:t xml:space="preserve">De acuerdo con las consideraciones expuestas, las entidades estatales sujetas al Estatuto General de Contratación de la Administración Pública - EGCAP pueden celebrar convenios y </w:t>
      </w:r>
      <w:r w:rsidRPr="00FE72C6">
        <w:rPr>
          <w:rFonts w:ascii="Arial" w:eastAsia="Calibri" w:hAnsi="Arial" w:cs="Arial"/>
          <w:color w:val="000000"/>
          <w:lang w:val="es-MX"/>
        </w:rPr>
        <w:lastRenderedPageBreak/>
        <w:t xml:space="preserve">contratos interadministrativos con entidades estatales sometidas a un régimen especial o exceptuado de la aplicación del EGCAP, como es el caso de los los fondos mixtos para la promoción de la cultura y las artes previstos en el artículo 63 de la Ley 397 de 1997. Lo anterior, porque lo que hace interadministrativo a un contrato o convenio es la calidad de los sujetos de la relación contractual –criterio orgánico–, quienes deben formar parte de la administración pública, como es el caso de los fondos mixtos para la promoción de la cultura y de las artes, que tienen el carácter de entidades descentralizadas indirectas. </w:t>
      </w:r>
    </w:p>
    <w:p w14:paraId="60536641" w14:textId="77777777" w:rsidR="00FE72C6" w:rsidRPr="00FE72C6" w:rsidRDefault="00FE72C6" w:rsidP="00FE72C6">
      <w:pPr>
        <w:spacing w:after="0" w:line="276" w:lineRule="auto"/>
        <w:jc w:val="both"/>
        <w:rPr>
          <w:rFonts w:ascii="Arial" w:eastAsia="Calibri" w:hAnsi="Arial" w:cs="Arial"/>
          <w:color w:val="000000"/>
          <w:lang w:val="es-ES"/>
        </w:rPr>
      </w:pPr>
    </w:p>
    <w:p w14:paraId="7A86C4FE" w14:textId="77777777" w:rsidR="00FE72C6" w:rsidRPr="00FE72C6" w:rsidRDefault="00FE72C6" w:rsidP="00FE72C6">
      <w:pPr>
        <w:spacing w:after="0" w:line="276" w:lineRule="auto"/>
        <w:jc w:val="both"/>
        <w:rPr>
          <w:rFonts w:ascii="Arial" w:eastAsia="Calibri" w:hAnsi="Arial" w:cs="Arial"/>
          <w:color w:val="000000"/>
          <w:lang w:val="es-MX"/>
        </w:rPr>
      </w:pPr>
      <w:r w:rsidRPr="00FE72C6">
        <w:rPr>
          <w:rFonts w:ascii="Arial" w:eastAsia="Calibri" w:hAnsi="Arial" w:cs="Arial"/>
          <w:color w:val="000000"/>
          <w:lang w:val="es-MX"/>
        </w:rPr>
        <w:t>Este concepto tiene el alcance previsto en el artículo 28 del Código de Procedimiento Administrativo y de lo Contencioso Administrativo.</w:t>
      </w:r>
    </w:p>
    <w:p w14:paraId="1F404E5E" w14:textId="77777777" w:rsidR="00FE72C6" w:rsidRPr="00FE72C6" w:rsidRDefault="00FE72C6" w:rsidP="00FE72C6">
      <w:pPr>
        <w:spacing w:after="0" w:line="240" w:lineRule="auto"/>
        <w:rPr>
          <w:rFonts w:ascii="Arial" w:eastAsia="Calibri" w:hAnsi="Arial" w:cs="Arial"/>
          <w:color w:val="000000"/>
          <w:lang w:val="es-MX"/>
        </w:rPr>
      </w:pPr>
    </w:p>
    <w:p w14:paraId="010B3D00" w14:textId="77777777" w:rsidR="00FE72C6" w:rsidRPr="00FE72C6" w:rsidRDefault="00FE72C6" w:rsidP="00FE72C6">
      <w:pPr>
        <w:spacing w:after="0" w:line="276" w:lineRule="auto"/>
        <w:jc w:val="both"/>
        <w:rPr>
          <w:rFonts w:ascii="Arial" w:eastAsia="Times New Roman" w:hAnsi="Arial" w:cs="Arial"/>
          <w:color w:val="000000" w:themeColor="text1"/>
          <w:lang w:val="es-ES_tradnl" w:eastAsia="es-CO"/>
        </w:rPr>
      </w:pPr>
    </w:p>
    <w:p w14:paraId="272FDC1A" w14:textId="77777777" w:rsidR="00FE72C6" w:rsidRPr="00FE72C6" w:rsidRDefault="00FE72C6" w:rsidP="00FE72C6">
      <w:pPr>
        <w:spacing w:after="0" w:line="276" w:lineRule="auto"/>
        <w:jc w:val="both"/>
        <w:rPr>
          <w:rFonts w:ascii="Arial" w:eastAsia="Times New Roman" w:hAnsi="Arial" w:cs="Arial"/>
          <w:color w:val="000000" w:themeColor="text1"/>
          <w:lang w:val="es-ES_tradnl" w:eastAsia="es-CO"/>
        </w:rPr>
      </w:pPr>
      <w:r w:rsidRPr="00FE72C6">
        <w:rPr>
          <w:rFonts w:ascii="Arial" w:eastAsia="Times New Roman" w:hAnsi="Arial" w:cs="Arial"/>
          <w:color w:val="000000" w:themeColor="text1"/>
          <w:lang w:val="es-ES_tradnl" w:eastAsia="es-CO"/>
        </w:rPr>
        <w:t>Atentamente,</w:t>
      </w:r>
    </w:p>
    <w:p w14:paraId="721BA6A3" w14:textId="6757803A" w:rsidR="00FE72C6" w:rsidRPr="00FE72C6" w:rsidRDefault="0084585A" w:rsidP="00FE72C6">
      <w:pPr>
        <w:spacing w:after="200" w:line="276" w:lineRule="auto"/>
        <w:jc w:val="center"/>
        <w:rPr>
          <w:rFonts w:ascii="Arial" w:eastAsia="Calibri" w:hAnsi="Arial" w:cs="Arial"/>
          <w:sz w:val="24"/>
          <w:szCs w:val="24"/>
          <w:lang w:val="es-MX" w:eastAsia="es-CO"/>
        </w:rPr>
      </w:pPr>
      <w:r>
        <w:rPr>
          <w:noProof/>
        </w:rPr>
        <w:drawing>
          <wp:inline distT="0" distB="0" distL="0" distR="0" wp14:anchorId="22DF2CB4" wp14:editId="66C2C3F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29D4B4B6" w14:textId="77777777" w:rsidR="00FE72C6" w:rsidRPr="00FE72C6" w:rsidRDefault="00FE72C6" w:rsidP="00FE72C6">
      <w:pPr>
        <w:spacing w:after="200" w:line="276" w:lineRule="auto"/>
        <w:jc w:val="center"/>
        <w:rPr>
          <w:rFonts w:ascii="Arial" w:eastAsia="Calibri" w:hAnsi="Arial" w:cs="Arial"/>
          <w:sz w:val="24"/>
          <w:szCs w:val="24"/>
          <w:lang w:val="es-MX"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FE72C6" w:rsidRPr="00FE72C6" w14:paraId="79B43AA0" w14:textId="77777777" w:rsidTr="001229B1">
        <w:trPr>
          <w:trHeight w:val="291"/>
        </w:trPr>
        <w:tc>
          <w:tcPr>
            <w:tcW w:w="1266" w:type="dxa"/>
            <w:vAlign w:val="center"/>
            <w:hideMark/>
          </w:tcPr>
          <w:p w14:paraId="60258527"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Elaboró:</w:t>
            </w:r>
          </w:p>
        </w:tc>
        <w:tc>
          <w:tcPr>
            <w:tcW w:w="5276" w:type="dxa"/>
            <w:tcBorders>
              <w:top w:val="nil"/>
              <w:left w:val="nil"/>
              <w:bottom w:val="dotted" w:sz="4" w:space="0" w:color="7F7F7F"/>
              <w:right w:val="nil"/>
            </w:tcBorders>
            <w:vAlign w:val="center"/>
            <w:hideMark/>
          </w:tcPr>
          <w:p w14:paraId="1A721D9C"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Felipe Bastidas Paredes</w:t>
            </w:r>
          </w:p>
          <w:p w14:paraId="26E6A77D"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Contratista de la Subdirección de Gestión Contractual</w:t>
            </w:r>
          </w:p>
        </w:tc>
      </w:tr>
      <w:tr w:rsidR="00FE72C6" w:rsidRPr="00FE72C6" w14:paraId="277DD42A" w14:textId="77777777" w:rsidTr="001229B1">
        <w:trPr>
          <w:trHeight w:val="304"/>
        </w:trPr>
        <w:tc>
          <w:tcPr>
            <w:tcW w:w="1266" w:type="dxa"/>
            <w:vAlign w:val="center"/>
          </w:tcPr>
          <w:p w14:paraId="123A12A0"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Revisó:</w:t>
            </w:r>
          </w:p>
        </w:tc>
        <w:tc>
          <w:tcPr>
            <w:tcW w:w="5276" w:type="dxa"/>
            <w:tcBorders>
              <w:top w:val="dotted" w:sz="4" w:space="0" w:color="7F7F7F"/>
              <w:left w:val="nil"/>
              <w:bottom w:val="dotted" w:sz="4" w:space="0" w:color="7F7F7F"/>
              <w:right w:val="nil"/>
            </w:tcBorders>
            <w:vAlign w:val="center"/>
          </w:tcPr>
          <w:p w14:paraId="58E93966"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 xml:space="preserve">Alejandro Sarmiento Cantillo </w:t>
            </w:r>
          </w:p>
          <w:p w14:paraId="064BDD84"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 xml:space="preserve">Gestor de la Subdirección de Gestión Contractual </w:t>
            </w:r>
          </w:p>
        </w:tc>
      </w:tr>
      <w:tr w:rsidR="00FE72C6" w:rsidRPr="00FE72C6" w14:paraId="7CBA99FD" w14:textId="77777777" w:rsidTr="001229B1">
        <w:trPr>
          <w:trHeight w:val="277"/>
        </w:trPr>
        <w:tc>
          <w:tcPr>
            <w:tcW w:w="1266" w:type="dxa"/>
            <w:vAlign w:val="center"/>
            <w:hideMark/>
          </w:tcPr>
          <w:p w14:paraId="2141267A"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
              </w:rPr>
              <w:t>Aprobó:</w:t>
            </w:r>
          </w:p>
        </w:tc>
        <w:tc>
          <w:tcPr>
            <w:tcW w:w="5276" w:type="dxa"/>
            <w:tcBorders>
              <w:top w:val="dotted" w:sz="4" w:space="0" w:color="7F7F7F"/>
              <w:left w:val="nil"/>
              <w:bottom w:val="dotted" w:sz="4" w:space="0" w:color="7F7F7F"/>
              <w:right w:val="nil"/>
            </w:tcBorders>
            <w:vAlign w:val="center"/>
            <w:hideMark/>
          </w:tcPr>
          <w:p w14:paraId="5B6DDA47" w14:textId="77777777" w:rsidR="00FE72C6" w:rsidRPr="00FE72C6" w:rsidRDefault="00FE72C6" w:rsidP="00FE72C6">
            <w:pPr>
              <w:jc w:val="both"/>
              <w:rPr>
                <w:rFonts w:ascii="Arial" w:eastAsia="Calibri" w:hAnsi="Arial" w:cs="Arial"/>
                <w:sz w:val="14"/>
                <w:szCs w:val="14"/>
                <w:lang w:val="es-MX" w:eastAsia="es-ES_tradnl"/>
              </w:rPr>
            </w:pPr>
            <w:r w:rsidRPr="00FE72C6">
              <w:rPr>
                <w:rFonts w:ascii="Arial" w:eastAsia="Calibri" w:hAnsi="Arial" w:cs="Arial"/>
                <w:sz w:val="14"/>
                <w:szCs w:val="14"/>
                <w:lang w:val="es-MX" w:eastAsia="es-ES_tradnl"/>
              </w:rPr>
              <w:t>Nohelia del Carmen Zawady Palacio</w:t>
            </w:r>
          </w:p>
          <w:p w14:paraId="205BCC55" w14:textId="77777777" w:rsidR="00FE72C6" w:rsidRPr="00FE72C6" w:rsidRDefault="00FE72C6" w:rsidP="00FE72C6">
            <w:pPr>
              <w:jc w:val="both"/>
              <w:rPr>
                <w:rFonts w:ascii="Arial" w:eastAsia="Calibri" w:hAnsi="Arial" w:cs="Arial"/>
                <w:sz w:val="14"/>
                <w:szCs w:val="14"/>
                <w:lang w:val="es-MX" w:eastAsia="es-ES"/>
              </w:rPr>
            </w:pPr>
            <w:r w:rsidRPr="00FE72C6">
              <w:rPr>
                <w:rFonts w:ascii="Arial" w:eastAsia="Calibri" w:hAnsi="Arial" w:cs="Arial"/>
                <w:sz w:val="14"/>
                <w:szCs w:val="14"/>
                <w:lang w:val="es-MX" w:eastAsia="es-ES_tradnl"/>
              </w:rPr>
              <w:t>Subdirectora de Gestión Contractual ANCP – CCE</w:t>
            </w:r>
          </w:p>
        </w:tc>
      </w:tr>
    </w:tbl>
    <w:p w14:paraId="445AF486" w14:textId="77777777" w:rsidR="001A48D0" w:rsidRPr="00FE72C6" w:rsidRDefault="001A48D0" w:rsidP="001A48D0">
      <w:pPr>
        <w:spacing w:after="0" w:line="240" w:lineRule="auto"/>
        <w:rPr>
          <w:rFonts w:ascii="Geomanist Light" w:hAnsi="Geomanist Light"/>
          <w:b/>
          <w:color w:val="404040" w:themeColor="text1" w:themeTint="BF"/>
          <w:sz w:val="20"/>
          <w:szCs w:val="21"/>
          <w:lang w:val="es-MX"/>
        </w:rPr>
      </w:pPr>
    </w:p>
    <w:p w14:paraId="70639100" w14:textId="77777777" w:rsidR="001A48D0" w:rsidRDefault="001A48D0" w:rsidP="001A48D0">
      <w:pPr>
        <w:spacing w:after="0" w:line="240" w:lineRule="auto"/>
        <w:rPr>
          <w:rFonts w:ascii="Geomanist Light" w:hAnsi="Geomanist Light"/>
          <w:b/>
          <w:color w:val="404040" w:themeColor="text1" w:themeTint="BF"/>
          <w:lang w:val="es-ES"/>
        </w:rPr>
      </w:pPr>
    </w:p>
    <w:p w14:paraId="31D419DD" w14:textId="30F0F96B" w:rsidR="001A1011" w:rsidRDefault="001A1011" w:rsidP="006219F8">
      <w:pPr>
        <w:spacing w:after="0" w:line="240" w:lineRule="auto"/>
        <w:rPr>
          <w:rFonts w:ascii="Geomanist Light" w:hAnsi="Geomanist Light"/>
          <w:b/>
          <w:color w:val="404040" w:themeColor="text1" w:themeTint="BF"/>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3"/>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2027" w14:textId="77777777" w:rsidR="00446B44" w:rsidRDefault="00446B44" w:rsidP="004A1847">
      <w:pPr>
        <w:spacing w:after="0" w:line="240" w:lineRule="auto"/>
      </w:pPr>
      <w:r>
        <w:separator/>
      </w:r>
    </w:p>
  </w:endnote>
  <w:endnote w:type="continuationSeparator" w:id="0">
    <w:p w14:paraId="38AE9882" w14:textId="77777777" w:rsidR="00446B44" w:rsidRDefault="00446B44" w:rsidP="004A1847">
      <w:pPr>
        <w:spacing w:after="0" w:line="240" w:lineRule="auto"/>
      </w:pPr>
      <w:r>
        <w:continuationSeparator/>
      </w:r>
    </w:p>
  </w:endnote>
  <w:endnote w:type="continuationNotice" w:id="1">
    <w:p w14:paraId="116EDA37" w14:textId="77777777" w:rsidR="00446B44" w:rsidRDefault="00446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6332" w14:textId="77777777" w:rsidR="00446B44" w:rsidRDefault="00446B44" w:rsidP="004A1847">
      <w:pPr>
        <w:spacing w:after="0" w:line="240" w:lineRule="auto"/>
      </w:pPr>
      <w:r>
        <w:separator/>
      </w:r>
    </w:p>
  </w:footnote>
  <w:footnote w:type="continuationSeparator" w:id="0">
    <w:p w14:paraId="1FFBD69B" w14:textId="77777777" w:rsidR="00446B44" w:rsidRDefault="00446B44" w:rsidP="004A1847">
      <w:pPr>
        <w:spacing w:after="0" w:line="240" w:lineRule="auto"/>
      </w:pPr>
      <w:r>
        <w:continuationSeparator/>
      </w:r>
    </w:p>
  </w:footnote>
  <w:footnote w:type="continuationNotice" w:id="1">
    <w:p w14:paraId="00360EA9" w14:textId="77777777" w:rsidR="00446B44" w:rsidRDefault="00446B44">
      <w:pPr>
        <w:spacing w:after="0" w:line="240" w:lineRule="auto"/>
      </w:pPr>
    </w:p>
  </w:footnote>
  <w:footnote w:id="2">
    <w:p w14:paraId="4EBB1648" w14:textId="77777777" w:rsidR="00FE72C6" w:rsidRPr="00FB74F6" w:rsidRDefault="00FE72C6" w:rsidP="00FE72C6">
      <w:pPr>
        <w:pStyle w:val="Textonotapie"/>
        <w:ind w:firstLine="709"/>
        <w:jc w:val="both"/>
        <w:rPr>
          <w:rFonts w:ascii="Arial" w:hAnsi="Arial" w:cs="Arial"/>
          <w:color w:val="000000"/>
          <w:sz w:val="19"/>
          <w:szCs w:val="19"/>
          <w:lang w:val="es-CO"/>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w:t>
      </w:r>
      <w:r w:rsidRPr="00FB74F6">
        <w:rPr>
          <w:rFonts w:ascii="Arial" w:hAnsi="Arial" w:cs="Arial"/>
          <w:iCs/>
          <w:color w:val="000000"/>
          <w:sz w:val="19"/>
          <w:szCs w:val="19"/>
        </w:rPr>
        <w:t>Artículo 57 de la Ley 397 de 1997.</w:t>
      </w:r>
    </w:p>
    <w:p w14:paraId="7A529F25" w14:textId="77777777" w:rsidR="00FE72C6" w:rsidRPr="00FB74F6" w:rsidRDefault="00FE72C6" w:rsidP="00FE72C6">
      <w:pPr>
        <w:pStyle w:val="Textonotapie"/>
        <w:ind w:firstLine="709"/>
        <w:jc w:val="both"/>
        <w:rPr>
          <w:rFonts w:ascii="Arial" w:hAnsi="Arial" w:cs="Arial"/>
          <w:color w:val="000000"/>
          <w:sz w:val="19"/>
          <w:szCs w:val="19"/>
          <w:lang w:val="es-CO"/>
        </w:rPr>
      </w:pPr>
    </w:p>
  </w:footnote>
  <w:footnote w:id="3">
    <w:p w14:paraId="4EB04A39" w14:textId="77777777" w:rsidR="00FE72C6" w:rsidRPr="00FB74F6" w:rsidRDefault="00FE72C6" w:rsidP="00FE72C6">
      <w:pPr>
        <w:pStyle w:val="Textonotapie"/>
        <w:ind w:firstLine="709"/>
        <w:jc w:val="both"/>
        <w:rPr>
          <w:rFonts w:ascii="Arial" w:hAnsi="Arial" w:cs="Arial"/>
          <w:color w:val="000000"/>
          <w:sz w:val="19"/>
          <w:szCs w:val="19"/>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Sentencia C-671 de 1999. M.P. Alfredo Beltrán Sierra.</w:t>
      </w:r>
    </w:p>
    <w:p w14:paraId="5C1C493E" w14:textId="77777777" w:rsidR="00FE72C6" w:rsidRPr="00FB74F6" w:rsidRDefault="00FE72C6" w:rsidP="00FE72C6">
      <w:pPr>
        <w:pStyle w:val="Textonotapie"/>
        <w:ind w:firstLine="709"/>
        <w:jc w:val="both"/>
        <w:rPr>
          <w:rFonts w:ascii="Arial" w:hAnsi="Arial" w:cs="Arial"/>
          <w:color w:val="000000"/>
          <w:sz w:val="19"/>
          <w:szCs w:val="19"/>
          <w:lang w:val="es-CO"/>
        </w:rPr>
      </w:pPr>
    </w:p>
  </w:footnote>
  <w:footnote w:id="4">
    <w:p w14:paraId="4432B5E0" w14:textId="77777777" w:rsidR="00FE72C6" w:rsidRPr="00FB74F6" w:rsidRDefault="00FE72C6" w:rsidP="00FE72C6">
      <w:pPr>
        <w:pStyle w:val="Textonotapie"/>
        <w:ind w:firstLine="709"/>
        <w:jc w:val="both"/>
        <w:rPr>
          <w:rFonts w:ascii="Arial" w:hAnsi="Arial" w:cs="Arial"/>
          <w:color w:val="000000"/>
          <w:sz w:val="19"/>
          <w:szCs w:val="19"/>
          <w:lang w:val="es-CO"/>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Corte Constitucional. </w:t>
      </w:r>
      <w:r w:rsidRPr="00FB74F6">
        <w:rPr>
          <w:rFonts w:ascii="Arial" w:hAnsi="Arial" w:cs="Arial"/>
          <w:iCs/>
          <w:color w:val="000000"/>
          <w:sz w:val="19"/>
          <w:szCs w:val="19"/>
        </w:rPr>
        <w:t>Sentencia C-617 de 2012, M.P. Luis Ernesto Vargas Silva.</w:t>
      </w:r>
    </w:p>
  </w:footnote>
  <w:footnote w:id="5">
    <w:p w14:paraId="687830DC" w14:textId="77777777" w:rsidR="00FE72C6" w:rsidRPr="00FB74F6" w:rsidRDefault="00FE72C6" w:rsidP="00FE72C6">
      <w:pPr>
        <w:pStyle w:val="Textonotapie"/>
        <w:ind w:firstLine="709"/>
        <w:jc w:val="both"/>
        <w:rPr>
          <w:rFonts w:ascii="Arial" w:hAnsi="Arial" w:cs="Arial"/>
          <w:color w:val="000000"/>
          <w:sz w:val="19"/>
          <w:szCs w:val="19"/>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Corte Constitucional. Sentencia C-230 de 1995. M.P. Antonio Barrera Carbonell.</w:t>
      </w:r>
    </w:p>
    <w:p w14:paraId="65F743A2" w14:textId="77777777" w:rsidR="00FE72C6" w:rsidRPr="00FB74F6" w:rsidRDefault="00FE72C6" w:rsidP="00FE72C6">
      <w:pPr>
        <w:pStyle w:val="Textonotapie"/>
        <w:jc w:val="both"/>
        <w:rPr>
          <w:rFonts w:ascii="Arial" w:hAnsi="Arial" w:cs="Arial"/>
          <w:color w:val="000000"/>
          <w:sz w:val="19"/>
          <w:szCs w:val="19"/>
          <w:lang w:val="es-CO"/>
        </w:rPr>
      </w:pPr>
    </w:p>
  </w:footnote>
  <w:footnote w:id="6">
    <w:p w14:paraId="59EA8447" w14:textId="77777777" w:rsidR="00FE72C6" w:rsidRPr="00FB74F6" w:rsidRDefault="00FE72C6" w:rsidP="00FE72C6">
      <w:pPr>
        <w:pStyle w:val="Textonotapie"/>
        <w:ind w:firstLine="709"/>
        <w:jc w:val="both"/>
        <w:rPr>
          <w:rFonts w:ascii="Arial" w:hAnsi="Arial" w:cs="Arial"/>
          <w:iCs/>
          <w:color w:val="000000"/>
          <w:sz w:val="19"/>
          <w:szCs w:val="19"/>
        </w:rPr>
      </w:pPr>
      <w:r w:rsidRPr="00FB74F6">
        <w:rPr>
          <w:rStyle w:val="Refdenotaalpie"/>
          <w:rFonts w:ascii="Arial" w:hAnsi="Arial" w:cs="Arial"/>
          <w:color w:val="000000"/>
          <w:sz w:val="19"/>
          <w:szCs w:val="19"/>
        </w:rPr>
        <w:footnoteRef/>
      </w:r>
      <w:r w:rsidRPr="00FB74F6">
        <w:rPr>
          <w:rFonts w:ascii="Arial" w:hAnsi="Arial" w:cs="Arial"/>
          <w:iCs/>
          <w:color w:val="000000"/>
          <w:sz w:val="19"/>
          <w:szCs w:val="19"/>
        </w:rPr>
        <w:t xml:space="preserve"> 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 Civil. Concepto del 16 de febrero de 2016, rad. 2015-00110-00(2259). C.P. Álvaro Namén Vargas.</w:t>
      </w:r>
    </w:p>
    <w:p w14:paraId="14E17D40" w14:textId="77777777" w:rsidR="00FE72C6" w:rsidRPr="00FB74F6" w:rsidRDefault="00FE72C6" w:rsidP="00FE72C6">
      <w:pPr>
        <w:pStyle w:val="Textonotapie"/>
        <w:ind w:firstLine="709"/>
        <w:jc w:val="both"/>
        <w:rPr>
          <w:rFonts w:ascii="Arial" w:hAnsi="Arial" w:cs="Arial"/>
          <w:color w:val="000000"/>
          <w:sz w:val="19"/>
          <w:szCs w:val="19"/>
          <w:lang w:val="es-CO"/>
        </w:rPr>
      </w:pPr>
    </w:p>
  </w:footnote>
  <w:footnote w:id="7">
    <w:p w14:paraId="298EB17B" w14:textId="77777777" w:rsidR="00FE72C6" w:rsidRPr="00FB74F6" w:rsidRDefault="00FE72C6" w:rsidP="00FE72C6">
      <w:pPr>
        <w:pStyle w:val="Textonotapie"/>
        <w:ind w:firstLine="709"/>
        <w:jc w:val="both"/>
        <w:rPr>
          <w:rFonts w:ascii="Arial" w:hAnsi="Arial" w:cs="Arial"/>
          <w:iCs/>
          <w:color w:val="000000"/>
          <w:sz w:val="19"/>
          <w:szCs w:val="19"/>
        </w:rPr>
      </w:pPr>
      <w:r w:rsidRPr="00FB74F6">
        <w:rPr>
          <w:rStyle w:val="Refdenotaalpie"/>
          <w:rFonts w:ascii="Arial" w:hAnsi="Arial" w:cs="Arial"/>
          <w:color w:val="000000"/>
          <w:sz w:val="19"/>
          <w:szCs w:val="19"/>
        </w:rPr>
        <w:footnoteRef/>
      </w:r>
      <w:r w:rsidRPr="00FB74F6">
        <w:rPr>
          <w:rFonts w:ascii="Arial" w:hAnsi="Arial" w:cs="Arial"/>
          <w:iCs/>
          <w:color w:val="000000"/>
          <w:sz w:val="19"/>
          <w:szCs w:val="19"/>
        </w:rPr>
        <w:t xml:space="preserve"> Definición legal que hoy puede encontrarse en el artículo 3 del CPACA.</w:t>
      </w:r>
    </w:p>
    <w:p w14:paraId="623B7C1F" w14:textId="77777777" w:rsidR="00FE72C6" w:rsidRPr="00FB74F6" w:rsidRDefault="00FE72C6" w:rsidP="00FE72C6">
      <w:pPr>
        <w:pStyle w:val="Textonotapie"/>
        <w:ind w:firstLine="709"/>
        <w:jc w:val="both"/>
        <w:rPr>
          <w:rFonts w:ascii="Arial" w:hAnsi="Arial" w:cs="Arial"/>
          <w:iCs/>
          <w:color w:val="000000"/>
          <w:sz w:val="19"/>
          <w:szCs w:val="19"/>
        </w:rPr>
      </w:pPr>
    </w:p>
  </w:footnote>
  <w:footnote w:id="8">
    <w:p w14:paraId="1F159332" w14:textId="77777777" w:rsidR="00FE72C6" w:rsidRPr="00FB74F6" w:rsidRDefault="00FE72C6" w:rsidP="00FE72C6">
      <w:pPr>
        <w:pStyle w:val="Textonotapie"/>
        <w:ind w:firstLine="709"/>
        <w:jc w:val="both"/>
        <w:rPr>
          <w:rFonts w:ascii="Arial" w:hAnsi="Arial" w:cs="Arial"/>
          <w:color w:val="000000"/>
          <w:sz w:val="19"/>
          <w:szCs w:val="19"/>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«Artículo 13. 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9BCA827" w14:textId="77777777" w:rsidR="00FE72C6" w:rsidRPr="00FB74F6" w:rsidRDefault="00FE72C6" w:rsidP="00FE72C6">
      <w:pPr>
        <w:pStyle w:val="Textonotapie"/>
        <w:ind w:firstLine="709"/>
        <w:jc w:val="both"/>
        <w:rPr>
          <w:rFonts w:ascii="Arial" w:hAnsi="Arial" w:cs="Arial"/>
          <w:color w:val="000000"/>
          <w:sz w:val="19"/>
          <w:szCs w:val="19"/>
          <w:lang w:val="es-CO"/>
        </w:rPr>
      </w:pPr>
    </w:p>
  </w:footnote>
  <w:footnote w:id="9">
    <w:p w14:paraId="758BA27A" w14:textId="77777777" w:rsidR="00FE72C6" w:rsidRPr="00FB74F6" w:rsidRDefault="00FE72C6" w:rsidP="00FE72C6">
      <w:pPr>
        <w:pStyle w:val="Textonotapie"/>
        <w:ind w:firstLine="709"/>
        <w:jc w:val="both"/>
        <w:rPr>
          <w:rFonts w:ascii="Arial" w:hAnsi="Arial" w:cs="Arial"/>
          <w:iCs/>
          <w:color w:val="000000"/>
          <w:sz w:val="19"/>
          <w:szCs w:val="19"/>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w:t>
      </w:r>
      <w:r w:rsidRPr="00FB74F6">
        <w:rPr>
          <w:rFonts w:ascii="Arial" w:hAnsi="Arial" w:cs="Arial"/>
          <w:iCs/>
          <w:color w:val="000000"/>
          <w:sz w:val="19"/>
          <w:szCs w:val="19"/>
        </w:rPr>
        <w:t>Al respecto ver: Consejo de Estado, Sección 3ª, sentencia de 6 de julio de 2017, M.P. Marta Nubia Velázquez Rico, rad. 51920; sentencia de 13 de abril de 2011, M.P. Jaime Orlando Santofimio Gamboa, rad. 37.423; sentencia de 20 de abril de 2005, M.P. Ramiro Saavedra Becerra, rad. 14.519, entre otras.</w:t>
      </w:r>
    </w:p>
    <w:p w14:paraId="08E51903" w14:textId="77777777" w:rsidR="00FE72C6" w:rsidRPr="00FB74F6" w:rsidRDefault="00FE72C6" w:rsidP="00FE72C6">
      <w:pPr>
        <w:pStyle w:val="Textonotapie"/>
        <w:ind w:firstLine="709"/>
        <w:jc w:val="both"/>
        <w:rPr>
          <w:rFonts w:ascii="Arial" w:hAnsi="Arial" w:cs="Arial"/>
          <w:color w:val="000000"/>
          <w:sz w:val="19"/>
          <w:szCs w:val="19"/>
        </w:rPr>
      </w:pPr>
    </w:p>
  </w:footnote>
  <w:footnote w:id="10">
    <w:p w14:paraId="57FD30C6" w14:textId="77777777" w:rsidR="00FE72C6" w:rsidRPr="00FB74F6" w:rsidRDefault="00FE72C6" w:rsidP="00FE72C6">
      <w:pPr>
        <w:pStyle w:val="Textonotapie"/>
        <w:ind w:firstLine="709"/>
        <w:jc w:val="both"/>
        <w:rPr>
          <w:rFonts w:ascii="Arial" w:hAnsi="Arial" w:cs="Arial"/>
          <w:color w:val="000000"/>
          <w:sz w:val="19"/>
          <w:szCs w:val="19"/>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«Artículo 14. De los medios que pueden utilizar las entidades estatales para el cumplimiento del objeto contractual. Para el cumplimiento de los fines de la contratación, las entidades estatales al celebrar un contrato: </w:t>
      </w:r>
    </w:p>
    <w:p w14:paraId="27450DF9" w14:textId="77777777" w:rsidR="00FE72C6" w:rsidRPr="00FB74F6" w:rsidRDefault="00FE72C6" w:rsidP="00FE72C6">
      <w:pPr>
        <w:pStyle w:val="Textonotapie"/>
        <w:ind w:firstLine="709"/>
        <w:jc w:val="both"/>
        <w:rPr>
          <w:rFonts w:ascii="Arial" w:hAnsi="Arial" w:cs="Arial"/>
          <w:color w:val="000000"/>
          <w:sz w:val="19"/>
          <w:szCs w:val="19"/>
        </w:rPr>
      </w:pPr>
      <w:r w:rsidRPr="00FB74F6">
        <w:rPr>
          <w:rFonts w:ascii="Arial" w:hAnsi="Arial" w:cs="Arial"/>
          <w:color w:val="000000"/>
          <w:sz w:val="19"/>
          <w:szCs w:val="19"/>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1F35CE78" w14:textId="77777777" w:rsidR="00FE72C6" w:rsidRPr="00FB74F6" w:rsidRDefault="00FE72C6" w:rsidP="00FE72C6">
      <w:pPr>
        <w:pStyle w:val="Textonotapie"/>
        <w:ind w:firstLine="709"/>
        <w:jc w:val="both"/>
        <w:rPr>
          <w:rFonts w:ascii="Arial" w:hAnsi="Arial" w:cs="Arial"/>
          <w:color w:val="000000"/>
          <w:sz w:val="19"/>
          <w:szCs w:val="19"/>
        </w:rPr>
      </w:pPr>
      <w:r w:rsidRPr="00FB74F6">
        <w:rPr>
          <w:rFonts w:ascii="Arial" w:hAnsi="Arial" w:cs="Arial"/>
          <w:color w:val="000000"/>
          <w:sz w:val="19"/>
          <w:szCs w:val="19"/>
        </w:rPr>
        <w:t>[…]</w:t>
      </w:r>
    </w:p>
    <w:p w14:paraId="6E3E903B" w14:textId="77777777" w:rsidR="00FE72C6" w:rsidRPr="00FB74F6" w:rsidRDefault="00FE72C6" w:rsidP="00FE72C6">
      <w:pPr>
        <w:pStyle w:val="Textonotapie"/>
        <w:ind w:firstLine="709"/>
        <w:jc w:val="both"/>
        <w:rPr>
          <w:rFonts w:ascii="Arial" w:hAnsi="Arial" w:cs="Arial"/>
          <w:color w:val="000000"/>
          <w:sz w:val="19"/>
          <w:szCs w:val="19"/>
        </w:rPr>
      </w:pPr>
      <w:r w:rsidRPr="00FB74F6">
        <w:rPr>
          <w:rFonts w:ascii="Arial" w:hAnsi="Arial" w:cs="Arial"/>
          <w:color w:val="000000"/>
          <w:sz w:val="19"/>
          <w:szCs w:val="19"/>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713021F0" w14:textId="77777777" w:rsidR="00FE72C6" w:rsidRPr="00FB74F6" w:rsidRDefault="00FE72C6" w:rsidP="00FE72C6">
      <w:pPr>
        <w:pStyle w:val="Textonotapie"/>
        <w:ind w:firstLine="709"/>
        <w:jc w:val="both"/>
        <w:rPr>
          <w:rFonts w:ascii="Arial" w:hAnsi="Arial" w:cs="Arial"/>
          <w:color w:val="000000"/>
          <w:sz w:val="19"/>
          <w:szCs w:val="19"/>
        </w:rPr>
      </w:pPr>
    </w:p>
  </w:footnote>
  <w:footnote w:id="11">
    <w:p w14:paraId="5E92F3CA" w14:textId="77777777" w:rsidR="00FE72C6" w:rsidRPr="00FB74F6" w:rsidRDefault="00FE72C6" w:rsidP="00FE72C6">
      <w:pPr>
        <w:pStyle w:val="Textonotapie"/>
        <w:ind w:firstLine="709"/>
        <w:rPr>
          <w:rFonts w:ascii="Arial" w:hAnsi="Arial" w:cs="Arial"/>
          <w:color w:val="000000"/>
          <w:sz w:val="19"/>
          <w:szCs w:val="19"/>
        </w:rPr>
      </w:pPr>
      <w:r w:rsidRPr="00FB74F6">
        <w:rPr>
          <w:rStyle w:val="Refdenotaalpie"/>
          <w:rFonts w:ascii="Arial" w:hAnsi="Arial" w:cs="Arial"/>
          <w:color w:val="000000"/>
          <w:sz w:val="19"/>
          <w:szCs w:val="19"/>
        </w:rPr>
        <w:footnoteRef/>
      </w:r>
      <w:r w:rsidRPr="00FB74F6">
        <w:rPr>
          <w:rFonts w:ascii="Arial" w:hAnsi="Arial" w:cs="Arial"/>
          <w:color w:val="000000"/>
          <w:sz w:val="19"/>
          <w:szCs w:val="19"/>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69F731C" w14:textId="77777777" w:rsidR="00FE72C6" w:rsidRPr="00FB74F6" w:rsidRDefault="00FE72C6" w:rsidP="00FE72C6">
      <w:pPr>
        <w:pStyle w:val="Textonotapie"/>
        <w:ind w:firstLine="709"/>
        <w:rPr>
          <w:rFonts w:ascii="Arial" w:hAnsi="Arial" w:cs="Arial"/>
          <w:color w:val="000000"/>
          <w:sz w:val="19"/>
          <w:szCs w:val="19"/>
        </w:rPr>
      </w:pPr>
      <w:r w:rsidRPr="00FB74F6">
        <w:rPr>
          <w:rFonts w:ascii="Arial" w:hAnsi="Arial" w:cs="Arial"/>
          <w:color w:val="000000"/>
          <w:sz w:val="19"/>
          <w:szCs w:val="19"/>
        </w:rPr>
        <w:t xml:space="preserve">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6E0FD422" w14:textId="77777777" w:rsidR="00FE72C6" w:rsidRPr="00FB74F6" w:rsidRDefault="00FE72C6" w:rsidP="00FE72C6">
      <w:pPr>
        <w:pStyle w:val="Textonotapie"/>
        <w:ind w:firstLine="709"/>
        <w:rPr>
          <w:rFonts w:ascii="Arial" w:hAnsi="Arial" w:cs="Arial"/>
          <w:color w:val="000000"/>
          <w:sz w:val="19"/>
          <w:szCs w:val="19"/>
        </w:rPr>
      </w:pPr>
    </w:p>
  </w:footnote>
  <w:footnote w:id="12">
    <w:p w14:paraId="704A09D2" w14:textId="77777777" w:rsidR="00FE72C6" w:rsidRPr="003F3E7A" w:rsidRDefault="00FE72C6" w:rsidP="00FE72C6">
      <w:pPr>
        <w:pStyle w:val="Textonotapie"/>
        <w:ind w:firstLine="709"/>
        <w:jc w:val="both"/>
        <w:rPr>
          <w:rFonts w:ascii="Arial" w:hAnsi="Arial" w:cs="Arial"/>
          <w:sz w:val="19"/>
          <w:szCs w:val="19"/>
        </w:rPr>
      </w:pPr>
      <w:r w:rsidRPr="003F3E7A">
        <w:rPr>
          <w:rStyle w:val="Refdenotaalpie"/>
          <w:rFonts w:ascii="Arial" w:hAnsi="Arial" w:cs="Arial"/>
          <w:sz w:val="19"/>
          <w:szCs w:val="19"/>
        </w:rPr>
        <w:footnoteRef/>
      </w:r>
      <w:r w:rsidRPr="003F3E7A">
        <w:rPr>
          <w:rFonts w:ascii="Arial" w:hAnsi="Arial" w:cs="Arial"/>
          <w:sz w:val="19"/>
          <w:szCs w:val="19"/>
        </w:rPr>
        <w:t xml:space="preserve"> Consejo de Estado, Sala de Consulta y Servicio Civil, Concepto de 26 de julio de 2016. Radicado 11001-03-06-000-2015-00102-00 (2257). Consejero Ponente: Álvaro Namén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00395951">
    <w:abstractNumId w:val="2"/>
  </w:num>
  <w:num w:numId="2" w16cid:durableId="1408454564">
    <w:abstractNumId w:val="0"/>
  </w:num>
  <w:num w:numId="3" w16cid:durableId="1897622572">
    <w:abstractNumId w:val="1"/>
  </w:num>
  <w:num w:numId="4" w16cid:durableId="580484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73019"/>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46B44"/>
    <w:rsid w:val="00462A59"/>
    <w:rsid w:val="00483F51"/>
    <w:rsid w:val="004A1847"/>
    <w:rsid w:val="004B6B0E"/>
    <w:rsid w:val="004D25B3"/>
    <w:rsid w:val="0051120F"/>
    <w:rsid w:val="00511405"/>
    <w:rsid w:val="00526E9D"/>
    <w:rsid w:val="00547856"/>
    <w:rsid w:val="00547A74"/>
    <w:rsid w:val="005566E8"/>
    <w:rsid w:val="005746AB"/>
    <w:rsid w:val="0059357F"/>
    <w:rsid w:val="005A1130"/>
    <w:rsid w:val="005D65C8"/>
    <w:rsid w:val="006219F8"/>
    <w:rsid w:val="006321D8"/>
    <w:rsid w:val="00681FDB"/>
    <w:rsid w:val="006A7DAD"/>
    <w:rsid w:val="006D70BA"/>
    <w:rsid w:val="007566FE"/>
    <w:rsid w:val="0076726F"/>
    <w:rsid w:val="0077144B"/>
    <w:rsid w:val="007924AC"/>
    <w:rsid w:val="00793403"/>
    <w:rsid w:val="007C0CDF"/>
    <w:rsid w:val="007E2A2F"/>
    <w:rsid w:val="007F2B7C"/>
    <w:rsid w:val="00811651"/>
    <w:rsid w:val="00820F5B"/>
    <w:rsid w:val="00833452"/>
    <w:rsid w:val="0084585A"/>
    <w:rsid w:val="008614E5"/>
    <w:rsid w:val="00866EC7"/>
    <w:rsid w:val="008678EB"/>
    <w:rsid w:val="00875894"/>
    <w:rsid w:val="00881C10"/>
    <w:rsid w:val="00890411"/>
    <w:rsid w:val="008D5C70"/>
    <w:rsid w:val="008F144D"/>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00F3A"/>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61B2C"/>
    <w:rsid w:val="00EA3003"/>
    <w:rsid w:val="00EB3C91"/>
    <w:rsid w:val="00EB66DA"/>
    <w:rsid w:val="00F42679"/>
    <w:rsid w:val="00F605F2"/>
    <w:rsid w:val="00F76AFC"/>
    <w:rsid w:val="00F8319B"/>
    <w:rsid w:val="00FA5516"/>
    <w:rsid w:val="00FD6F73"/>
    <w:rsid w:val="00FE72C6"/>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rsid w:val="00FE72C6"/>
    <w:pPr>
      <w:spacing w:line="240" w:lineRule="exact"/>
      <w:jc w:val="both"/>
    </w:pPr>
    <w:rPr>
      <w:vertAlign w:val="superscript"/>
    </w:rPr>
  </w:style>
  <w:style w:type="table" w:customStyle="1" w:styleId="Tablaconcuadrcula11">
    <w:name w:val="Tabla con cuadrícula11"/>
    <w:basedOn w:val="Tablanormal"/>
    <w:next w:val="Tablaconcuadrcula"/>
    <w:uiPriority w:val="59"/>
    <w:rsid w:val="00FE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E72C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CC147A74-8F31-4037-9A65-B4BED591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a6cb9e4b-f1d1-4245-83ec-6cad768d538a"/>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4693</Words>
  <Characters>25815</Characters>
  <Application>Microsoft Office Word</Application>
  <DocSecurity>0</DocSecurity>
  <Lines>215</Lines>
  <Paragraphs>60</Paragraphs>
  <ScaleCrop>false</ScaleCrop>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3</cp:revision>
  <dcterms:created xsi:type="dcterms:W3CDTF">2023-03-03T13:19:00Z</dcterms:created>
  <dcterms:modified xsi:type="dcterms:W3CDTF">2023-04-18T15:09:00Z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