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p w14:paraId="355F1161" w14:textId="77777777" w:rsidR="001E10C1" w:rsidRPr="001E10C1" w:rsidRDefault="001E10C1" w:rsidP="001E10C1">
      <w:pPr>
        <w:spacing w:after="0" w:line="240" w:lineRule="auto"/>
        <w:jc w:val="both"/>
        <w:rPr>
          <w:rFonts w:ascii="Arial" w:eastAsia="Calibri" w:hAnsi="Arial" w:cs="Arial"/>
          <w:b/>
          <w:bCs/>
          <w:lang w:eastAsia="es-MX"/>
        </w:rPr>
      </w:pPr>
      <w:bookmarkStart w:id="0" w:name="_Hlk34951122"/>
      <w:r w:rsidRPr="001E10C1">
        <w:rPr>
          <w:rFonts w:ascii="Arial" w:eastAsia="Calibri" w:hAnsi="Arial" w:cs="Arial"/>
          <w:b/>
          <w:bCs/>
          <w:lang w:eastAsia="es-MX"/>
        </w:rPr>
        <w:t>CAPACIDAD RESIDUAL – Definición – Cálculo – Factores – Contratos de obra</w:t>
      </w:r>
    </w:p>
    <w:p w14:paraId="1B2A8BBC" w14:textId="77777777" w:rsidR="001E10C1" w:rsidRPr="001E10C1" w:rsidRDefault="001E10C1" w:rsidP="001E10C1">
      <w:pPr>
        <w:spacing w:after="0" w:line="240" w:lineRule="auto"/>
        <w:jc w:val="both"/>
        <w:rPr>
          <w:rFonts w:ascii="Arial" w:eastAsia="Calibri" w:hAnsi="Arial" w:cs="Arial"/>
          <w:b/>
          <w:sz w:val="20"/>
          <w:szCs w:val="20"/>
          <w:lang w:eastAsia="es-MX"/>
        </w:rPr>
      </w:pPr>
    </w:p>
    <w:p w14:paraId="4A3F6870" w14:textId="77777777" w:rsidR="001E10C1" w:rsidRPr="001E10C1" w:rsidRDefault="001E10C1" w:rsidP="001E10C1">
      <w:pPr>
        <w:spacing w:after="0" w:line="240" w:lineRule="auto"/>
        <w:jc w:val="both"/>
        <w:rPr>
          <w:rFonts w:ascii="Arial" w:eastAsia="Arial" w:hAnsi="Arial" w:cs="Arial"/>
          <w:sz w:val="20"/>
          <w:szCs w:val="20"/>
        </w:rPr>
      </w:pPr>
      <w:r w:rsidRPr="001E10C1">
        <w:rPr>
          <w:rFonts w:ascii="Arial" w:eastAsia="Arial" w:hAnsi="Arial" w:cs="Arial"/>
          <w:sz w:val="20"/>
          <w:szCs w:val="20"/>
        </w:rPr>
        <w:t>La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7D9672EA" w14:textId="77777777" w:rsidR="001E10C1" w:rsidRPr="001E10C1" w:rsidRDefault="001E10C1" w:rsidP="001E10C1">
      <w:pPr>
        <w:spacing w:after="0" w:line="240" w:lineRule="auto"/>
        <w:jc w:val="both"/>
        <w:rPr>
          <w:rFonts w:ascii="Arial" w:eastAsia="Calibri" w:hAnsi="Arial" w:cs="Arial"/>
          <w:b/>
          <w:sz w:val="20"/>
          <w:szCs w:val="20"/>
          <w:lang w:eastAsia="es-MX"/>
        </w:rPr>
      </w:pPr>
      <w:r w:rsidRPr="001E10C1">
        <w:rPr>
          <w:rFonts w:ascii="Arial" w:eastAsia="Arial" w:hAnsi="Arial" w:cs="Arial"/>
          <w:sz w:val="20"/>
          <w:szCs w:val="20"/>
        </w:rPr>
        <w:t>[…]</w:t>
      </w:r>
    </w:p>
    <w:p w14:paraId="0FC3803C" w14:textId="77777777" w:rsidR="001E10C1" w:rsidRPr="001E10C1" w:rsidRDefault="001E10C1" w:rsidP="001E10C1">
      <w:pPr>
        <w:spacing w:after="0" w:line="240" w:lineRule="auto"/>
        <w:jc w:val="both"/>
        <w:rPr>
          <w:rFonts w:ascii="Arial" w:eastAsia="Calibri" w:hAnsi="Arial" w:cs="Arial"/>
          <w:bCs/>
          <w:sz w:val="20"/>
          <w:szCs w:val="20"/>
          <w:lang w:eastAsia="es-MX"/>
        </w:rPr>
      </w:pPr>
      <w:r w:rsidRPr="001E10C1">
        <w:rPr>
          <w:rFonts w:ascii="Arial" w:eastAsia="Calibri" w:hAnsi="Arial" w:cs="Arial"/>
          <w:bCs/>
          <w:sz w:val="20"/>
          <w:szCs w:val="20"/>
          <w:lang w:eastAsia="es-MX"/>
        </w:rPr>
        <w:t>[…] la Ley 1150 de 2007 establece que la capacidad residual de los interesados en participar en procesos de selección para contratos de obra deberá ser igual o superior al que la entidad ha establecido en los pliegos de condiciones […].</w:t>
      </w:r>
    </w:p>
    <w:p w14:paraId="5A1B2FC6" w14:textId="77777777" w:rsidR="001E10C1" w:rsidRPr="001E10C1" w:rsidRDefault="001E10C1" w:rsidP="001E10C1">
      <w:pPr>
        <w:spacing w:after="0" w:line="240" w:lineRule="auto"/>
        <w:jc w:val="both"/>
        <w:rPr>
          <w:rFonts w:ascii="Arial" w:eastAsia="Calibri" w:hAnsi="Arial" w:cs="Arial"/>
          <w:bCs/>
          <w:sz w:val="20"/>
          <w:szCs w:val="20"/>
          <w:lang w:eastAsia="es-MX"/>
        </w:rPr>
      </w:pPr>
      <w:r w:rsidRPr="001E10C1">
        <w:rPr>
          <w:rFonts w:ascii="Arial" w:eastAsia="Calibri" w:hAnsi="Arial" w:cs="Arial"/>
          <w:bCs/>
          <w:sz w:val="20"/>
          <w:szCs w:val="20"/>
          <w:lang w:eastAsia="es-MX"/>
        </w:rPr>
        <w:t>[…]</w:t>
      </w:r>
    </w:p>
    <w:p w14:paraId="60049EB0" w14:textId="77777777" w:rsidR="001E10C1" w:rsidRPr="001E10C1" w:rsidRDefault="001E10C1" w:rsidP="001E10C1">
      <w:pPr>
        <w:spacing w:after="0" w:line="240" w:lineRule="auto"/>
        <w:jc w:val="both"/>
        <w:rPr>
          <w:rFonts w:ascii="Arial" w:eastAsia="Calibri" w:hAnsi="Arial" w:cs="Arial"/>
          <w:bCs/>
          <w:sz w:val="20"/>
          <w:szCs w:val="20"/>
          <w:lang w:eastAsia="es-MX"/>
        </w:rPr>
      </w:pPr>
      <w:r w:rsidRPr="001E10C1">
        <w:rPr>
          <w:rFonts w:ascii="Arial" w:eastAsia="Calibri" w:hAnsi="Arial" w:cs="Arial"/>
          <w:bCs/>
          <w:sz w:val="20"/>
          <w:szCs w:val="20"/>
          <w:lang w:eastAsia="es-MX"/>
        </w:rPr>
        <w:t>[…] 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2C48A506" w14:textId="77777777" w:rsidR="001E10C1" w:rsidRPr="001E10C1" w:rsidRDefault="001E10C1" w:rsidP="001E10C1">
      <w:pPr>
        <w:spacing w:after="0" w:line="240" w:lineRule="auto"/>
        <w:jc w:val="both"/>
        <w:rPr>
          <w:rFonts w:ascii="Arial" w:eastAsia="Calibri" w:hAnsi="Arial" w:cs="Arial"/>
          <w:bCs/>
          <w:sz w:val="20"/>
          <w:szCs w:val="20"/>
          <w:lang w:eastAsia="es-MX"/>
        </w:rPr>
      </w:pPr>
    </w:p>
    <w:p w14:paraId="79EF9DE9" w14:textId="77777777" w:rsidR="001E10C1" w:rsidRPr="001E10C1" w:rsidRDefault="001E10C1" w:rsidP="001E10C1">
      <w:pPr>
        <w:autoSpaceDE w:val="0"/>
        <w:autoSpaceDN w:val="0"/>
        <w:adjustRightInd w:val="0"/>
        <w:spacing w:after="0" w:line="240" w:lineRule="auto"/>
        <w:jc w:val="both"/>
        <w:rPr>
          <w:rFonts w:ascii="Arial" w:eastAsia="Calibri" w:hAnsi="Arial" w:cs="Arial"/>
          <w:b/>
          <w:bCs/>
          <w:lang w:eastAsia="es-MX"/>
        </w:rPr>
      </w:pPr>
      <w:r w:rsidRPr="001E10C1">
        <w:rPr>
          <w:rFonts w:ascii="Arial" w:eastAsia="Calibri" w:hAnsi="Arial" w:cs="Arial"/>
          <w:b/>
          <w:bCs/>
          <w:lang w:eastAsia="es-MX"/>
        </w:rPr>
        <w:t>CAPACIDAD RESIDUAL – Saldos de Contratos en Ejecución – SCE – Cálculo</w:t>
      </w:r>
    </w:p>
    <w:p w14:paraId="7889DF77" w14:textId="77777777" w:rsidR="001E10C1" w:rsidRPr="001E10C1" w:rsidRDefault="001E10C1" w:rsidP="001E10C1">
      <w:pPr>
        <w:autoSpaceDE w:val="0"/>
        <w:autoSpaceDN w:val="0"/>
        <w:adjustRightInd w:val="0"/>
        <w:spacing w:after="0" w:line="240" w:lineRule="auto"/>
        <w:jc w:val="both"/>
        <w:rPr>
          <w:rFonts w:ascii="Arial" w:eastAsia="Calibri" w:hAnsi="Arial" w:cs="Arial"/>
          <w:b/>
          <w:szCs w:val="24"/>
          <w:lang w:eastAsia="es-MX"/>
        </w:rPr>
      </w:pPr>
    </w:p>
    <w:p w14:paraId="5C4EC0C1" w14:textId="0D2E26E1" w:rsidR="001E10C1" w:rsidRPr="001E10C1" w:rsidRDefault="001E10C1" w:rsidP="001E10C1">
      <w:pPr>
        <w:spacing w:after="0" w:line="240" w:lineRule="auto"/>
        <w:jc w:val="both"/>
        <w:rPr>
          <w:rFonts w:ascii="Arial" w:eastAsia="Arial," w:hAnsi="Arial" w:cs="Arial"/>
          <w:sz w:val="20"/>
          <w:szCs w:val="20"/>
          <w:lang w:eastAsia="es-MX"/>
        </w:rPr>
      </w:pPr>
      <w:r w:rsidRPr="001E10C1">
        <w:rPr>
          <w:rFonts w:ascii="Arial" w:eastAsia="Arial," w:hAnsi="Arial" w:cs="Arial"/>
          <w:sz w:val="20"/>
          <w:szCs w:val="20"/>
          <w:lang w:eastAsia="es-MX"/>
        </w:rPr>
        <w:t xml:space="preserve">Esta Agencia ha manifestado en anteriores oportunidades que los contratos en ejecución son aquellos que, a la fecha de presentación de la oferta, obligan al proponente con entidades estatales y con entidades privadas para ejecutar obras públicas, incluyendo la ejecución de obras civiles en los contratos de concesión y los contratos de obra suscritos con concesionarios, incluyendo los contratos suspendidos y aquellos que no tengan acta de inicio. Es decir, los saldos pendientes se derivan de las obligaciones que se encuentran en ejecución al momento de la presentación de la oferta. A este respecto, no se entenderán como contratos en ejecución los que se encuentren en </w:t>
      </w:r>
      <w:r w:rsidR="00265094" w:rsidRPr="001E10C1">
        <w:rPr>
          <w:rFonts w:ascii="Arial" w:eastAsia="Arial," w:hAnsi="Arial" w:cs="Arial"/>
          <w:sz w:val="20"/>
          <w:szCs w:val="20"/>
          <w:lang w:eastAsia="es-MX"/>
        </w:rPr>
        <w:t>liquidación</w:t>
      </w:r>
      <w:r w:rsidRPr="001E10C1">
        <w:rPr>
          <w:rFonts w:ascii="Arial" w:eastAsia="Arial," w:hAnsi="Arial" w:cs="Arial"/>
          <w:sz w:val="20"/>
          <w:szCs w:val="20"/>
          <w:lang w:eastAsia="es-MX"/>
        </w:rPr>
        <w:t xml:space="preserve">. Teniendo en cuenta que los contratos en ejecución son aquellos que a la fecha de </w:t>
      </w:r>
      <w:r w:rsidR="00265094" w:rsidRPr="001E10C1">
        <w:rPr>
          <w:rFonts w:ascii="Arial" w:eastAsia="Arial," w:hAnsi="Arial" w:cs="Arial"/>
          <w:sz w:val="20"/>
          <w:szCs w:val="20"/>
          <w:lang w:eastAsia="es-MX"/>
        </w:rPr>
        <w:t>presentación</w:t>
      </w:r>
      <w:r w:rsidRPr="001E10C1">
        <w:rPr>
          <w:rFonts w:ascii="Arial" w:eastAsia="Arial," w:hAnsi="Arial" w:cs="Arial"/>
          <w:sz w:val="20"/>
          <w:szCs w:val="20"/>
          <w:lang w:eastAsia="es-MX"/>
        </w:rPr>
        <w:t xml:space="preserve"> de la oferta obligan al proponente, se aclara que deben tenerse en cuenta los contratos sin acta de inicio, pues el criterio determinante para establecer si un contrato se encuentra en ejecución no lo determina el acta de inicio, sino que el mismo obligue al proponente. </w:t>
      </w:r>
    </w:p>
    <w:p w14:paraId="544594F0" w14:textId="77777777" w:rsidR="001E10C1" w:rsidRPr="001E10C1" w:rsidRDefault="001E10C1" w:rsidP="001E10C1">
      <w:pPr>
        <w:spacing w:after="0" w:line="240" w:lineRule="auto"/>
        <w:jc w:val="both"/>
        <w:rPr>
          <w:rFonts w:ascii="Arial" w:eastAsia="Arial," w:hAnsi="Arial" w:cs="Arial"/>
          <w:sz w:val="20"/>
          <w:szCs w:val="20"/>
          <w:lang w:eastAsia="es-MX"/>
        </w:rPr>
      </w:pPr>
      <w:r w:rsidRPr="001E10C1">
        <w:rPr>
          <w:rFonts w:ascii="Arial" w:eastAsia="Arial," w:hAnsi="Arial" w:cs="Arial"/>
          <w:sz w:val="20"/>
          <w:szCs w:val="20"/>
          <w:lang w:eastAsia="es-MX"/>
        </w:rPr>
        <w:t>[…]</w:t>
      </w:r>
    </w:p>
    <w:p w14:paraId="0C6F9973" w14:textId="77777777" w:rsidR="001E10C1" w:rsidRPr="001E10C1" w:rsidRDefault="001E10C1" w:rsidP="001E10C1">
      <w:pPr>
        <w:spacing w:after="0" w:line="240" w:lineRule="auto"/>
        <w:jc w:val="both"/>
        <w:rPr>
          <w:rFonts w:ascii="Arial" w:eastAsia="Times New Roman" w:hAnsi="Arial" w:cs="Arial"/>
          <w:sz w:val="20"/>
          <w:szCs w:val="20"/>
          <w:lang w:eastAsia="es-MX"/>
        </w:rPr>
      </w:pPr>
      <w:r w:rsidRPr="001E10C1">
        <w:rPr>
          <w:rFonts w:ascii="Arial" w:eastAsia="Arial," w:hAnsi="Arial" w:cs="Arial"/>
          <w:sz w:val="20"/>
          <w:szCs w:val="20"/>
          <w:lang w:eastAsia="es-MX"/>
        </w:rPr>
        <w:t xml:space="preserve"> Como se observa, los saldos pendientes por ejecutar de los contratos suspendidos constituyen 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los saldos de los contratos pendientes por ejecutar de los contratos afectados por una suspensión constituyen, también, información relevante para calcular la capacidad residual del proponente (CRP).</w:t>
      </w:r>
    </w:p>
    <w:p w14:paraId="305E9796" w14:textId="77777777" w:rsidR="001E10C1" w:rsidRPr="001E10C1" w:rsidRDefault="001E10C1" w:rsidP="001E10C1">
      <w:pPr>
        <w:spacing w:after="0" w:line="240" w:lineRule="auto"/>
        <w:jc w:val="both"/>
        <w:rPr>
          <w:rFonts w:ascii="Arial" w:eastAsia="Times New Roman" w:hAnsi="Arial" w:cs="Arial"/>
          <w:sz w:val="20"/>
          <w:szCs w:val="20"/>
          <w:lang w:eastAsia="es-MX"/>
        </w:rPr>
      </w:pPr>
    </w:p>
    <w:p w14:paraId="37EA21EB" w14:textId="77777777" w:rsidR="001E10C1" w:rsidRPr="001E10C1" w:rsidRDefault="001E10C1" w:rsidP="001E10C1">
      <w:pPr>
        <w:spacing w:after="0" w:line="240" w:lineRule="auto"/>
        <w:ind w:right="49"/>
        <w:jc w:val="both"/>
        <w:rPr>
          <w:rFonts w:ascii="Arial" w:eastAsia="Calibri" w:hAnsi="Arial" w:cs="Arial"/>
          <w:b/>
          <w:bCs/>
          <w:lang w:eastAsia="es-MX"/>
        </w:rPr>
      </w:pPr>
      <w:r w:rsidRPr="001E10C1">
        <w:rPr>
          <w:rFonts w:ascii="Arial" w:eastAsia="Calibri" w:hAnsi="Arial" w:cs="Arial"/>
          <w:b/>
          <w:bCs/>
          <w:lang w:eastAsia="es-MX"/>
        </w:rPr>
        <w:t>CAPACIDAD RESIDUAL – Cálculo y aplicativo</w:t>
      </w:r>
    </w:p>
    <w:p w14:paraId="2C2418B4" w14:textId="77777777" w:rsidR="001E10C1" w:rsidRPr="001E10C1" w:rsidRDefault="001E10C1" w:rsidP="001E10C1">
      <w:pPr>
        <w:spacing w:after="0" w:line="240" w:lineRule="auto"/>
        <w:ind w:right="49"/>
        <w:jc w:val="both"/>
        <w:rPr>
          <w:rFonts w:ascii="Arial" w:eastAsia="Times New Roman" w:hAnsi="Arial" w:cs="Arial"/>
          <w:sz w:val="20"/>
          <w:szCs w:val="20"/>
          <w:lang w:eastAsia="es-MX"/>
        </w:rPr>
      </w:pPr>
    </w:p>
    <w:p w14:paraId="7FD46D2E" w14:textId="77777777" w:rsidR="001E10C1" w:rsidRPr="001E10C1" w:rsidRDefault="001E10C1" w:rsidP="001E10C1">
      <w:pPr>
        <w:spacing w:after="0" w:line="240" w:lineRule="auto"/>
        <w:jc w:val="both"/>
        <w:rPr>
          <w:rFonts w:ascii="Arial" w:eastAsia="Arial," w:hAnsi="Arial" w:cs="Arial"/>
          <w:sz w:val="20"/>
          <w:szCs w:val="20"/>
          <w:lang w:eastAsia="es-MX"/>
        </w:rPr>
      </w:pPr>
      <w:r w:rsidRPr="001E10C1">
        <w:rPr>
          <w:rFonts w:ascii="Arial" w:eastAsia="Arial," w:hAnsi="Arial" w:cs="Arial"/>
          <w:sz w:val="20"/>
          <w:szCs w:val="20"/>
          <w:lang w:eastAsia="es-MX"/>
        </w:rPr>
        <w:t xml:space="preserve">Para facilitar la implementación de la metodología para el cálculo de la capacidad residual, esta Agencia ha puesto a disposición de la ciudadanía una «Aplicación para establecer la Capacidad Residual», que </w:t>
      </w:r>
      <w:r w:rsidRPr="001E10C1">
        <w:rPr>
          <w:rFonts w:ascii="Arial" w:eastAsia="Arial," w:hAnsi="Arial" w:cs="Arial"/>
          <w:sz w:val="20"/>
          <w:szCs w:val="20"/>
          <w:lang w:eastAsia="es-MX"/>
        </w:rPr>
        <w:lastRenderedPageBreak/>
        <w:t xml:space="preserve">sirve para calcular la capacidad residual en los procesos de selección, a la cual se puede acceder mediante el enlace incluido en la siguiente nota al pie. </w:t>
      </w:r>
    </w:p>
    <w:p w14:paraId="136D7BF8" w14:textId="77777777" w:rsidR="001E10C1" w:rsidRPr="001E10C1" w:rsidRDefault="001E10C1" w:rsidP="001E10C1">
      <w:pPr>
        <w:spacing w:after="0" w:line="240" w:lineRule="auto"/>
        <w:jc w:val="both"/>
        <w:rPr>
          <w:rFonts w:ascii="Arial" w:eastAsia="Arial," w:hAnsi="Arial" w:cs="Arial"/>
          <w:sz w:val="20"/>
          <w:szCs w:val="20"/>
          <w:lang w:eastAsia="es-MX"/>
        </w:rPr>
      </w:pPr>
    </w:p>
    <w:p w14:paraId="6A398F1D" w14:textId="77777777" w:rsidR="001E10C1" w:rsidRPr="001E10C1" w:rsidRDefault="001E10C1" w:rsidP="001E10C1">
      <w:pPr>
        <w:spacing w:after="0" w:line="240" w:lineRule="auto"/>
        <w:jc w:val="both"/>
        <w:rPr>
          <w:rFonts w:ascii="Arial" w:eastAsia="Times New Roman" w:hAnsi="Arial" w:cs="Arial"/>
          <w:color w:val="000000" w:themeColor="text1"/>
          <w:szCs w:val="24"/>
          <w:lang w:eastAsia="es-MX"/>
        </w:rPr>
      </w:pPr>
      <w:r w:rsidRPr="001E10C1">
        <w:rPr>
          <w:rFonts w:ascii="Arial" w:eastAsia="Arial," w:hAnsi="Arial" w:cs="Arial"/>
          <w:sz w:val="20"/>
          <w:szCs w:val="20"/>
          <w:lang w:eastAsia="es-MX"/>
        </w:rPr>
        <w:t>Este, pregunta, en primer lugar, el número de contratos en ejecución, y tras darse clic en el botón «Guardar información» despliega una tabla con una fila para cada contrato, cada una de las cuales consta de cinco columnas en las que se debe indicar: i) valor en pesos colombianos del contrato; ii) la fecha inicio; iii) el plazo expresado en meses;  iv) establecer si trata o no de un contrato ejecutado por un contratista plural; v) el porcentaje de participación en la ejecución del contrato; vi) indicar si el contrato se encuentra suspendido o no; y vii) la fecha de suspensión. Referente a las ultimas columnas, es necesario resaltar que la información solicitada se refiere a si el contrato se encuentra suspendido, caso en el cual se debe informar la fecha de suspensión. Al respecto, es necesario aclarar que la información que se requiere es únicamente la solicitada por el aplicativo y no una distinta a esta, lo cual es plenamente coincidente con las consideraciones efectuadas en relación con la capacidad residual.</w:t>
      </w:r>
    </w:p>
    <w:p w14:paraId="3D344A50" w14:textId="77777777" w:rsidR="001E10C1" w:rsidRPr="001E10C1" w:rsidRDefault="001E10C1" w:rsidP="001E10C1">
      <w:pPr>
        <w:spacing w:after="0" w:line="240" w:lineRule="auto"/>
        <w:rPr>
          <w:rFonts w:ascii="Arial" w:eastAsia="Times New Roman" w:hAnsi="Arial" w:cs="Arial"/>
          <w:color w:val="000000" w:themeColor="text1"/>
          <w:szCs w:val="24"/>
          <w:lang w:eastAsia="es-MX"/>
        </w:rPr>
      </w:pPr>
    </w:p>
    <w:p w14:paraId="1A13C5CB" w14:textId="77777777" w:rsidR="001E10C1" w:rsidRPr="001E10C1" w:rsidRDefault="001E10C1" w:rsidP="001E10C1">
      <w:pPr>
        <w:spacing w:after="0" w:line="240" w:lineRule="auto"/>
        <w:jc w:val="right"/>
        <w:rPr>
          <w:rFonts w:ascii="Times New Roman" w:eastAsia="Times New Roman" w:hAnsi="Times New Roman" w:cs="Times New Roman"/>
          <w:sz w:val="24"/>
          <w:szCs w:val="24"/>
          <w:lang w:eastAsia="es-MX"/>
        </w:rPr>
      </w:pPr>
    </w:p>
    <w:p w14:paraId="0397B15A" w14:textId="77777777" w:rsidR="001E10C1" w:rsidRPr="001E10C1" w:rsidRDefault="001E10C1" w:rsidP="001E10C1">
      <w:pPr>
        <w:spacing w:after="0" w:line="240" w:lineRule="auto"/>
        <w:jc w:val="right"/>
        <w:rPr>
          <w:rFonts w:ascii="Arial" w:eastAsia="Times New Roman" w:hAnsi="Arial" w:cs="Arial"/>
          <w:b/>
          <w:color w:val="000000" w:themeColor="text1"/>
          <w:szCs w:val="24"/>
          <w:lang w:eastAsia="es-MX"/>
        </w:rPr>
      </w:pPr>
    </w:p>
    <w:p w14:paraId="6D7B6A70"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32AF32FD"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643E7C2"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761EBAC4"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13EFE160"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74A5D033"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18313ACD"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33A99122"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B3183D8"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59BBBAE"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427BBD41"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2018458D"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5E30EB04"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15B4EC85"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58E26BA7"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148CE7F"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61269608"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20569E15"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35FB3D28"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26603D9"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1EAE46EB"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1EE369DC"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1560E827"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41B6E1BB"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306A5CFB" w14:textId="77777777" w:rsidR="00877073" w:rsidRDefault="00877073" w:rsidP="001E10C1">
      <w:pPr>
        <w:spacing w:after="0" w:line="240" w:lineRule="auto"/>
        <w:rPr>
          <w:rFonts w:ascii="Arial" w:eastAsia="Calibri" w:hAnsi="Arial" w:cs="Arial"/>
          <w:color w:val="000000" w:themeColor="text1"/>
          <w:szCs w:val="24"/>
          <w:lang w:eastAsia="es-MX"/>
        </w:rPr>
      </w:pPr>
    </w:p>
    <w:p w14:paraId="2755D089" w14:textId="77777777" w:rsidR="00877073" w:rsidRDefault="00877073" w:rsidP="001E10C1">
      <w:pPr>
        <w:spacing w:after="0" w:line="240" w:lineRule="auto"/>
        <w:rPr>
          <w:rFonts w:ascii="Arial" w:eastAsia="Calibri" w:hAnsi="Arial" w:cs="Arial"/>
          <w:color w:val="000000" w:themeColor="text1"/>
          <w:szCs w:val="24"/>
          <w:lang w:eastAsia="es-MX"/>
        </w:rPr>
      </w:pPr>
    </w:p>
    <w:p w14:paraId="541427F3" w14:textId="77777777" w:rsidR="00877073" w:rsidRDefault="00877073" w:rsidP="001E10C1">
      <w:pPr>
        <w:spacing w:after="0" w:line="240" w:lineRule="auto"/>
        <w:rPr>
          <w:rFonts w:ascii="Arial" w:eastAsia="Calibri" w:hAnsi="Arial" w:cs="Arial"/>
          <w:color w:val="000000" w:themeColor="text1"/>
          <w:szCs w:val="24"/>
          <w:lang w:eastAsia="es-MX"/>
        </w:rPr>
      </w:pPr>
    </w:p>
    <w:p w14:paraId="4DCE73FA" w14:textId="77777777" w:rsidR="00877073" w:rsidRDefault="00877073" w:rsidP="001E10C1">
      <w:pPr>
        <w:spacing w:after="0" w:line="240" w:lineRule="auto"/>
        <w:rPr>
          <w:rFonts w:ascii="Arial" w:eastAsia="Calibri" w:hAnsi="Arial" w:cs="Arial"/>
          <w:color w:val="000000" w:themeColor="text1"/>
          <w:szCs w:val="24"/>
          <w:lang w:eastAsia="es-MX"/>
        </w:rPr>
      </w:pPr>
    </w:p>
    <w:p w14:paraId="45ED21CE" w14:textId="77777777" w:rsidR="00877073" w:rsidRPr="001E10C1" w:rsidRDefault="00877073" w:rsidP="001E10C1">
      <w:pPr>
        <w:spacing w:after="0" w:line="240" w:lineRule="auto"/>
        <w:rPr>
          <w:rFonts w:ascii="Arial" w:eastAsia="Calibri" w:hAnsi="Arial" w:cs="Arial"/>
          <w:color w:val="000000" w:themeColor="text1"/>
          <w:szCs w:val="24"/>
          <w:lang w:eastAsia="es-MX"/>
        </w:rPr>
      </w:pPr>
    </w:p>
    <w:p w14:paraId="1FFE9A4D"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5724DE0"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49889259" w14:textId="09652D9F" w:rsidR="00CB5496" w:rsidRDefault="00CB5496" w:rsidP="00CB5496">
      <w:pPr>
        <w:rPr>
          <w:rFonts w:ascii="Arial" w:eastAsia="Geomanist Light" w:hAnsi="Arial" w:cs="Arial"/>
          <w:color w:val="201F1E"/>
          <w:lang w:val="es-MX"/>
        </w:rPr>
      </w:pPr>
      <w:r w:rsidRPr="005668FC">
        <w:rPr>
          <w:rFonts w:ascii="Arial" w:eastAsia="Geomanist Light" w:hAnsi="Arial" w:cs="Arial"/>
          <w:color w:val="000000" w:themeColor="text1"/>
          <w:lang w:val="es-MX"/>
        </w:rPr>
        <w:t>Bogotá D.C., </w:t>
      </w:r>
      <w:r>
        <w:rPr>
          <w:rFonts w:ascii="Arial" w:eastAsia="Geomanist Light" w:hAnsi="Arial" w:cs="Arial"/>
          <w:color w:val="201F1E"/>
          <w:lang w:val="es-MX"/>
        </w:rPr>
        <w:t>17</w:t>
      </w:r>
      <w:r>
        <w:rPr>
          <w:rFonts w:ascii="Arial" w:eastAsia="Geomanist Light" w:hAnsi="Arial" w:cs="Arial"/>
          <w:color w:val="201F1E"/>
          <w:lang w:val="es-MX"/>
        </w:rPr>
        <w:t xml:space="preserve"> de</w:t>
      </w:r>
      <w:r>
        <w:rPr>
          <w:rFonts w:ascii="Arial" w:eastAsia="Geomanist Light" w:hAnsi="Arial" w:cs="Arial"/>
          <w:color w:val="201F1E"/>
          <w:lang w:val="es-MX"/>
        </w:rPr>
        <w:t xml:space="preserve"> enero</w:t>
      </w:r>
      <w:r>
        <w:rPr>
          <w:rFonts w:ascii="Arial" w:eastAsia="Geomanist Light" w:hAnsi="Arial" w:cs="Arial"/>
          <w:color w:val="201F1E"/>
          <w:lang w:val="es-MX"/>
        </w:rPr>
        <w:t xml:space="preserve"> de 2023 </w:t>
      </w:r>
    </w:p>
    <w:p w14:paraId="0D222BF2"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35343E85" w14:textId="17C50F10" w:rsidR="00ED0ABB" w:rsidRPr="00ED0ABB" w:rsidRDefault="00ED0ABB" w:rsidP="00ED0ABB">
      <w:pPr>
        <w:spacing w:after="0" w:line="240" w:lineRule="auto"/>
        <w:jc w:val="right"/>
        <w:rPr>
          <w:rFonts w:ascii="Arial" w:eastAsia="Calibri" w:hAnsi="Arial" w:cs="Arial"/>
          <w:bCs/>
          <w:color w:val="000000" w:themeColor="text1"/>
          <w:szCs w:val="24"/>
          <w:lang w:eastAsia="es-MX"/>
        </w:rPr>
      </w:pPr>
      <w:r>
        <w:rPr>
          <w:rFonts w:ascii="Arial" w:eastAsia="Calibri" w:hAnsi="Arial" w:cs="Arial"/>
          <w:bCs/>
          <w:noProof/>
          <w:color w:val="000000" w:themeColor="text1"/>
          <w:szCs w:val="24"/>
          <w:lang w:eastAsia="es-MX"/>
        </w:rPr>
        <w:drawing>
          <wp:inline distT="0" distB="0" distL="0" distR="0" wp14:anchorId="770CB4B0" wp14:editId="5267B625">
            <wp:extent cx="2959493" cy="818444"/>
            <wp:effectExtent l="0" t="0" r="0" b="0"/>
            <wp:docPr id="21342518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51858" name="Imagen 21342518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420" cy="819254"/>
                    </a:xfrm>
                    <a:prstGeom prst="rect">
                      <a:avLst/>
                    </a:prstGeom>
                  </pic:spPr>
                </pic:pic>
              </a:graphicData>
            </a:graphic>
          </wp:inline>
        </w:drawing>
      </w:r>
    </w:p>
    <w:p w14:paraId="7699E08B" w14:textId="77777777" w:rsidR="001E10C1" w:rsidRPr="001E10C1" w:rsidRDefault="001E10C1" w:rsidP="001E10C1">
      <w:pPr>
        <w:spacing w:after="0" w:line="240" w:lineRule="auto"/>
        <w:rPr>
          <w:rFonts w:ascii="Arial" w:eastAsia="Calibri" w:hAnsi="Arial" w:cs="Arial"/>
          <w:color w:val="000000" w:themeColor="text1"/>
          <w:szCs w:val="24"/>
          <w:lang w:eastAsia="es-MX"/>
        </w:rPr>
      </w:pPr>
      <w:r w:rsidRPr="001E10C1">
        <w:rPr>
          <w:rFonts w:ascii="Arial" w:eastAsia="Calibri" w:hAnsi="Arial" w:cs="Arial"/>
          <w:color w:val="000000" w:themeColor="text1"/>
          <w:szCs w:val="24"/>
          <w:lang w:eastAsia="es-MX"/>
        </w:rPr>
        <w:t>Señor</w:t>
      </w:r>
    </w:p>
    <w:p w14:paraId="0848323B" w14:textId="77777777" w:rsidR="001E10C1" w:rsidRPr="001E10C1" w:rsidRDefault="001E10C1" w:rsidP="001E10C1">
      <w:pPr>
        <w:spacing w:after="0" w:line="240" w:lineRule="auto"/>
        <w:rPr>
          <w:rFonts w:ascii="Arial" w:eastAsia="Calibri" w:hAnsi="Arial" w:cs="Arial"/>
          <w:b/>
          <w:color w:val="000000" w:themeColor="text1"/>
          <w:szCs w:val="24"/>
          <w:lang w:eastAsia="es-MX"/>
        </w:rPr>
      </w:pPr>
      <w:r w:rsidRPr="001E10C1">
        <w:rPr>
          <w:rFonts w:ascii="Arial" w:eastAsia="Calibri" w:hAnsi="Arial" w:cs="Arial"/>
          <w:b/>
          <w:color w:val="000000" w:themeColor="text1"/>
          <w:szCs w:val="24"/>
          <w:lang w:eastAsia="es-MX"/>
        </w:rPr>
        <w:t>José Mario Mosquera Gómez</w:t>
      </w:r>
    </w:p>
    <w:p w14:paraId="3EED2DC4"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2C019830"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2306F718" w14:textId="77777777" w:rsidR="00877073" w:rsidRPr="001E10C1" w:rsidRDefault="00877073" w:rsidP="001E10C1">
      <w:pPr>
        <w:spacing w:after="0" w:line="240" w:lineRule="auto"/>
        <w:rPr>
          <w:rFonts w:ascii="Arial" w:eastAsia="Calibri" w:hAnsi="Arial" w:cs="Arial"/>
          <w:color w:val="000000" w:themeColor="text1"/>
          <w:szCs w:val="24"/>
          <w:lang w:eastAsia="es-MX"/>
        </w:rPr>
      </w:pPr>
    </w:p>
    <w:p w14:paraId="54383710" w14:textId="77777777" w:rsidR="001E10C1" w:rsidRPr="001E10C1" w:rsidRDefault="001E10C1" w:rsidP="001E10C1">
      <w:pPr>
        <w:spacing w:after="0" w:line="240" w:lineRule="auto"/>
        <w:ind w:left="2124" w:firstLine="708"/>
        <w:rPr>
          <w:rFonts w:ascii="Arial" w:eastAsia="Calibri" w:hAnsi="Arial" w:cs="Arial"/>
          <w:b/>
          <w:color w:val="000000" w:themeColor="text1"/>
          <w:szCs w:val="24"/>
          <w:lang w:eastAsia="es-MX"/>
        </w:rPr>
      </w:pPr>
      <w:r w:rsidRPr="001E10C1">
        <w:rPr>
          <w:rFonts w:ascii="Arial" w:eastAsia="Calibri" w:hAnsi="Arial" w:cs="Arial"/>
          <w:b/>
          <w:color w:val="000000" w:themeColor="text1"/>
          <w:szCs w:val="24"/>
          <w:lang w:eastAsia="es-MX"/>
        </w:rPr>
        <w:t>Concepto C – 017 de 2023</w:t>
      </w:r>
    </w:p>
    <w:p w14:paraId="0BA5418C" w14:textId="77777777" w:rsidR="001E10C1" w:rsidRPr="001E10C1" w:rsidRDefault="001E10C1" w:rsidP="001E10C1">
      <w:pPr>
        <w:spacing w:after="0" w:line="240" w:lineRule="auto"/>
        <w:ind w:left="2124" w:firstLine="708"/>
        <w:rPr>
          <w:rFonts w:ascii="Arial" w:eastAsia="Calibri" w:hAnsi="Arial" w:cs="Arial"/>
          <w:b/>
          <w:color w:val="000000" w:themeColor="text1"/>
          <w:szCs w:val="24"/>
          <w:lang w:eastAsia="es-MX"/>
        </w:rPr>
      </w:pPr>
    </w:p>
    <w:p w14:paraId="5DD05E71" w14:textId="77777777" w:rsidR="001E10C1" w:rsidRPr="001E10C1" w:rsidRDefault="001E10C1" w:rsidP="001E10C1">
      <w:pPr>
        <w:spacing w:after="0" w:line="240" w:lineRule="auto"/>
        <w:rPr>
          <w:rFonts w:ascii="Arial" w:eastAsia="Calibri" w:hAnsi="Arial" w:cs="Arial"/>
          <w:color w:val="000000" w:themeColor="text1"/>
          <w:szCs w:val="24"/>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1E10C1" w:rsidRPr="001E10C1" w14:paraId="5971773E" w14:textId="77777777" w:rsidTr="00F4564E">
        <w:trPr>
          <w:trHeight w:val="331"/>
        </w:trPr>
        <w:tc>
          <w:tcPr>
            <w:tcW w:w="2552" w:type="dxa"/>
            <w:hideMark/>
          </w:tcPr>
          <w:p w14:paraId="1DC3F2F0" w14:textId="77777777" w:rsidR="001E10C1" w:rsidRPr="00F4564E" w:rsidRDefault="001E10C1" w:rsidP="001E10C1">
            <w:pPr>
              <w:rPr>
                <w:rFonts w:ascii="Arial" w:eastAsia="Calibri" w:hAnsi="Arial" w:cs="Arial"/>
                <w:color w:val="000000" w:themeColor="text1"/>
                <w:lang w:eastAsia="es-MX"/>
              </w:rPr>
            </w:pPr>
            <w:r w:rsidRPr="00F4564E">
              <w:rPr>
                <w:rFonts w:ascii="Arial" w:eastAsia="Calibri" w:hAnsi="Arial" w:cs="Arial"/>
                <w:b/>
                <w:color w:val="000000" w:themeColor="text1"/>
                <w:lang w:eastAsia="es-MX"/>
              </w:rPr>
              <w:t>Temas:</w:t>
            </w:r>
            <w:r w:rsidRPr="00F4564E">
              <w:rPr>
                <w:rFonts w:ascii="Arial" w:eastAsia="Calibri" w:hAnsi="Arial" w:cs="Arial"/>
                <w:color w:val="000000" w:themeColor="text1"/>
                <w:lang w:eastAsia="es-MX"/>
              </w:rPr>
              <w:t xml:space="preserve">           </w:t>
            </w:r>
          </w:p>
          <w:p w14:paraId="014BAB85" w14:textId="77777777" w:rsidR="001E10C1" w:rsidRPr="00F4564E" w:rsidRDefault="001E10C1" w:rsidP="001E10C1">
            <w:pPr>
              <w:rPr>
                <w:rFonts w:ascii="Arial" w:eastAsia="Calibri" w:hAnsi="Arial" w:cs="Arial"/>
                <w:color w:val="000000" w:themeColor="text1"/>
                <w:lang w:eastAsia="es-MX"/>
              </w:rPr>
            </w:pPr>
            <w:r w:rsidRPr="00F4564E">
              <w:rPr>
                <w:rFonts w:ascii="Arial" w:eastAsia="Calibri" w:hAnsi="Arial" w:cs="Arial"/>
                <w:color w:val="000000" w:themeColor="text1"/>
                <w:lang w:eastAsia="es-MX"/>
              </w:rPr>
              <w:t xml:space="preserve">                           </w:t>
            </w:r>
          </w:p>
        </w:tc>
        <w:tc>
          <w:tcPr>
            <w:tcW w:w="6374" w:type="dxa"/>
            <w:hideMark/>
          </w:tcPr>
          <w:p w14:paraId="4EFFC7FC" w14:textId="77777777" w:rsidR="001E10C1" w:rsidRPr="00F4564E" w:rsidRDefault="001E10C1" w:rsidP="001E10C1">
            <w:pPr>
              <w:jc w:val="both"/>
              <w:rPr>
                <w:rFonts w:ascii="Arial" w:eastAsia="Calibri" w:hAnsi="Arial" w:cs="Arial"/>
                <w:lang w:eastAsia="es-MX"/>
              </w:rPr>
            </w:pPr>
            <w:r w:rsidRPr="00F4564E">
              <w:rPr>
                <w:rFonts w:ascii="Arial" w:eastAsia="Calibri" w:hAnsi="Arial" w:cs="Arial"/>
                <w:lang w:eastAsia="es-MX"/>
              </w:rPr>
              <w:t>CAPACIDAD RESIDUAL – Definición – Cálculo – Factores – Contratos de obra / CAPACIDAD RESIDUAL – Saldos de Contratos en Ejecución – SCE – Cálculo / CAPACIDAD RESIDUAL – Cálculo y aplicativo</w:t>
            </w:r>
          </w:p>
          <w:p w14:paraId="45A7F101" w14:textId="77777777" w:rsidR="001E10C1" w:rsidRPr="00F4564E" w:rsidRDefault="001E10C1" w:rsidP="001E10C1">
            <w:pPr>
              <w:ind w:right="49"/>
              <w:jc w:val="both"/>
              <w:rPr>
                <w:rFonts w:ascii="Arial" w:eastAsia="Times New Roman" w:hAnsi="Arial" w:cs="Arial"/>
                <w:color w:val="000000" w:themeColor="text1"/>
                <w:lang w:eastAsia="es-ES"/>
              </w:rPr>
            </w:pPr>
            <w:r w:rsidRPr="00F4564E">
              <w:rPr>
                <w:rFonts w:ascii="Arial" w:eastAsia="Calibri" w:hAnsi="Arial" w:cs="Arial"/>
                <w:highlight w:val="yellow"/>
                <w:lang w:eastAsia="es-MX"/>
              </w:rPr>
              <w:t xml:space="preserve"> </w:t>
            </w:r>
          </w:p>
          <w:p w14:paraId="56D58C3A" w14:textId="77777777" w:rsidR="001E10C1" w:rsidRPr="00F4564E" w:rsidRDefault="001E10C1" w:rsidP="001E10C1">
            <w:pPr>
              <w:spacing w:line="276" w:lineRule="auto"/>
              <w:jc w:val="both"/>
              <w:rPr>
                <w:rFonts w:ascii="Arial" w:eastAsia="Calibri" w:hAnsi="Arial" w:cs="Arial"/>
                <w:color w:val="000000" w:themeColor="text1"/>
                <w:lang w:val="es-ES_tradnl" w:eastAsia="es-MX"/>
              </w:rPr>
            </w:pPr>
          </w:p>
        </w:tc>
      </w:tr>
      <w:tr w:rsidR="001E10C1" w:rsidRPr="001E10C1" w14:paraId="3AD1926E" w14:textId="77777777" w:rsidTr="00766CF6">
        <w:tc>
          <w:tcPr>
            <w:tcW w:w="2552" w:type="dxa"/>
          </w:tcPr>
          <w:p w14:paraId="70F86E1F" w14:textId="77777777" w:rsidR="001E10C1" w:rsidRPr="00F4564E" w:rsidRDefault="001E10C1" w:rsidP="001E10C1">
            <w:pPr>
              <w:spacing w:before="120"/>
              <w:rPr>
                <w:rFonts w:ascii="Arial" w:eastAsia="Calibri" w:hAnsi="Arial" w:cs="Arial"/>
                <w:b/>
                <w:color w:val="000000" w:themeColor="text1"/>
                <w:lang w:eastAsia="es-MX"/>
              </w:rPr>
            </w:pPr>
            <w:r w:rsidRPr="00F4564E">
              <w:rPr>
                <w:rFonts w:ascii="Arial" w:eastAsia="Calibri" w:hAnsi="Arial" w:cs="Arial"/>
                <w:b/>
                <w:color w:val="000000" w:themeColor="text1"/>
                <w:lang w:eastAsia="es-MX"/>
              </w:rPr>
              <w:t>Radicación:</w:t>
            </w:r>
            <w:r w:rsidRPr="00F4564E">
              <w:rPr>
                <w:rFonts w:ascii="Arial" w:eastAsia="Calibri" w:hAnsi="Arial" w:cs="Arial"/>
                <w:color w:val="000000" w:themeColor="text1"/>
                <w:lang w:eastAsia="es-MX"/>
              </w:rPr>
              <w:t xml:space="preserve">                              </w:t>
            </w:r>
          </w:p>
        </w:tc>
        <w:tc>
          <w:tcPr>
            <w:tcW w:w="6374" w:type="dxa"/>
          </w:tcPr>
          <w:p w14:paraId="05A58AFC" w14:textId="77777777" w:rsidR="001E10C1" w:rsidRPr="00F4564E" w:rsidRDefault="001E10C1" w:rsidP="001E10C1">
            <w:pPr>
              <w:spacing w:before="120"/>
              <w:jc w:val="both"/>
              <w:rPr>
                <w:rFonts w:ascii="Arial" w:eastAsia="Calibri" w:hAnsi="Arial" w:cs="Arial"/>
                <w:bCs/>
                <w:color w:val="000000" w:themeColor="text1"/>
                <w:lang w:eastAsia="es-MX"/>
              </w:rPr>
            </w:pPr>
            <w:r w:rsidRPr="00F4564E">
              <w:rPr>
                <w:rFonts w:ascii="Arial" w:eastAsia="Calibri" w:hAnsi="Arial" w:cs="Arial"/>
                <w:bCs/>
                <w:color w:val="000000" w:themeColor="text1"/>
                <w:lang w:eastAsia="es-MX"/>
              </w:rPr>
              <w:t>Respuesta a consulta P20230117000365</w:t>
            </w:r>
          </w:p>
        </w:tc>
      </w:tr>
      <w:tr w:rsidR="001E10C1" w:rsidRPr="001E10C1" w14:paraId="018856E1" w14:textId="77777777" w:rsidTr="00766CF6">
        <w:trPr>
          <w:trHeight w:val="80"/>
        </w:trPr>
        <w:tc>
          <w:tcPr>
            <w:tcW w:w="2552" w:type="dxa"/>
          </w:tcPr>
          <w:p w14:paraId="14EB583C" w14:textId="77777777" w:rsidR="001E10C1" w:rsidRPr="001E10C1" w:rsidRDefault="001E10C1" w:rsidP="001E10C1">
            <w:pPr>
              <w:spacing w:before="120"/>
              <w:rPr>
                <w:rFonts w:eastAsia="Calibri"/>
                <w:b/>
                <w:color w:val="000000" w:themeColor="text1"/>
                <w:lang w:eastAsia="es-MX"/>
              </w:rPr>
            </w:pPr>
          </w:p>
        </w:tc>
        <w:tc>
          <w:tcPr>
            <w:tcW w:w="6374" w:type="dxa"/>
          </w:tcPr>
          <w:p w14:paraId="23A4BA35" w14:textId="77777777" w:rsidR="001E10C1" w:rsidRPr="001E10C1" w:rsidRDefault="001E10C1" w:rsidP="001E10C1">
            <w:pPr>
              <w:spacing w:before="120"/>
              <w:jc w:val="both"/>
              <w:rPr>
                <w:rFonts w:eastAsia="Calibri"/>
                <w:color w:val="000000" w:themeColor="text1"/>
                <w:lang w:eastAsia="es-MX"/>
              </w:rPr>
            </w:pPr>
          </w:p>
        </w:tc>
      </w:tr>
    </w:tbl>
    <w:p w14:paraId="66799E1F"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62B407CB" w14:textId="77777777" w:rsidR="001E10C1" w:rsidRPr="001E10C1" w:rsidRDefault="001E10C1" w:rsidP="001E10C1">
      <w:pPr>
        <w:spacing w:after="0" w:line="240" w:lineRule="auto"/>
        <w:rPr>
          <w:rFonts w:ascii="Arial" w:eastAsia="Calibri" w:hAnsi="Arial" w:cs="Arial"/>
          <w:color w:val="000000" w:themeColor="text1"/>
          <w:szCs w:val="24"/>
          <w:lang w:eastAsia="es-MX"/>
        </w:rPr>
      </w:pPr>
      <w:r w:rsidRPr="001E10C1">
        <w:rPr>
          <w:rFonts w:ascii="Arial" w:eastAsia="Calibri" w:hAnsi="Arial" w:cs="Arial"/>
          <w:color w:val="000000" w:themeColor="text1"/>
          <w:szCs w:val="24"/>
          <w:lang w:eastAsia="es-MX"/>
        </w:rPr>
        <w:t>Estimado señor Mosquera Gómez:</w:t>
      </w:r>
    </w:p>
    <w:p w14:paraId="2F9BD7B4" w14:textId="77777777" w:rsidR="001E10C1" w:rsidRPr="001E10C1" w:rsidRDefault="001E10C1" w:rsidP="001E10C1">
      <w:pPr>
        <w:spacing w:after="0" w:line="240" w:lineRule="auto"/>
        <w:rPr>
          <w:rFonts w:ascii="Arial" w:eastAsia="Calibri" w:hAnsi="Arial" w:cs="Arial"/>
          <w:color w:val="000000" w:themeColor="text1"/>
          <w:szCs w:val="24"/>
          <w:lang w:eastAsia="es-MX"/>
        </w:rPr>
      </w:pPr>
    </w:p>
    <w:p w14:paraId="08AEEFE2" w14:textId="77777777" w:rsidR="001E10C1" w:rsidRPr="001E10C1" w:rsidRDefault="001E10C1" w:rsidP="001E10C1">
      <w:pPr>
        <w:spacing w:after="0" w:line="276" w:lineRule="auto"/>
        <w:jc w:val="both"/>
        <w:rPr>
          <w:rFonts w:ascii="Arial" w:eastAsia="Calibri" w:hAnsi="Arial" w:cs="Arial"/>
          <w:color w:val="000000" w:themeColor="text1"/>
          <w:szCs w:val="24"/>
          <w:lang w:eastAsia="es-MX"/>
        </w:rPr>
      </w:pPr>
      <w:r w:rsidRPr="001E10C1">
        <w:rPr>
          <w:rFonts w:ascii="Arial" w:eastAsia="Calibri" w:hAnsi="Arial" w:cs="Arial"/>
          <w:color w:val="000000" w:themeColor="text1"/>
          <w:szCs w:val="24"/>
          <w:lang w:eastAsia="es-MX"/>
        </w:rPr>
        <w:t xml:space="preserve">En ejercicio de la competencia otorgada por los artículos 11, numeral 8º, y 3º, numeral 5º, del Decreto Ley 4170 de 2011, la Agencia Nacional de Contratación Pública − Colombia Compra Eficiente responde su consulta del 17 de enero de 2023. </w:t>
      </w:r>
    </w:p>
    <w:p w14:paraId="3A355C43" w14:textId="77777777" w:rsidR="001E10C1" w:rsidRPr="001E10C1" w:rsidRDefault="001E10C1" w:rsidP="001E10C1">
      <w:pPr>
        <w:spacing w:after="0" w:line="276" w:lineRule="auto"/>
        <w:jc w:val="both"/>
        <w:rPr>
          <w:rFonts w:ascii="Arial" w:eastAsia="Calibri" w:hAnsi="Arial" w:cs="Arial"/>
          <w:color w:val="000000" w:themeColor="text1"/>
          <w:szCs w:val="24"/>
          <w:lang w:eastAsia="es-MX"/>
        </w:rPr>
      </w:pPr>
    </w:p>
    <w:p w14:paraId="2C2141CB" w14:textId="77777777" w:rsidR="001E10C1" w:rsidRPr="001E10C1" w:rsidRDefault="001E10C1" w:rsidP="001E10C1">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MX"/>
        </w:rPr>
      </w:pPr>
      <w:r w:rsidRPr="001E10C1">
        <w:rPr>
          <w:rFonts w:ascii="Arial" w:eastAsia="Calibri" w:hAnsi="Arial" w:cs="Arial"/>
          <w:b/>
          <w:color w:val="000000" w:themeColor="text1"/>
          <w:lang w:val="es-MX"/>
        </w:rPr>
        <w:t>Problema planteado</w:t>
      </w:r>
    </w:p>
    <w:p w14:paraId="12E5DF37" w14:textId="77777777" w:rsidR="001E10C1" w:rsidRPr="001E10C1" w:rsidRDefault="001E10C1" w:rsidP="001E10C1">
      <w:pPr>
        <w:tabs>
          <w:tab w:val="left" w:pos="284"/>
        </w:tabs>
        <w:spacing w:after="0" w:line="276" w:lineRule="auto"/>
        <w:contextualSpacing/>
        <w:jc w:val="both"/>
        <w:rPr>
          <w:rFonts w:ascii="Arial" w:eastAsia="Calibri" w:hAnsi="Arial" w:cs="Arial"/>
          <w:color w:val="000000" w:themeColor="text1"/>
          <w:lang w:val="es-MX"/>
        </w:rPr>
      </w:pPr>
      <w:r w:rsidRPr="001E10C1">
        <w:rPr>
          <w:rFonts w:ascii="Arial" w:eastAsia="Calibri" w:hAnsi="Arial" w:cs="Arial"/>
          <w:b/>
          <w:color w:val="000000" w:themeColor="text1"/>
          <w:lang w:val="es-MX"/>
        </w:rPr>
        <w:t xml:space="preserve"> </w:t>
      </w:r>
    </w:p>
    <w:p w14:paraId="17B10BFD" w14:textId="77777777" w:rsidR="001E10C1" w:rsidRPr="001E10C1" w:rsidRDefault="001E10C1" w:rsidP="001E10C1">
      <w:pPr>
        <w:spacing w:after="0" w:line="276" w:lineRule="auto"/>
        <w:jc w:val="both"/>
        <w:rPr>
          <w:rFonts w:ascii="Arial" w:eastAsia="Calibri" w:hAnsi="Arial" w:cs="Arial"/>
          <w:color w:val="000000" w:themeColor="text1"/>
          <w:lang w:eastAsia="es-MX"/>
        </w:rPr>
      </w:pPr>
      <w:r w:rsidRPr="001E10C1">
        <w:rPr>
          <w:rFonts w:ascii="Arial" w:eastAsia="Calibri" w:hAnsi="Arial" w:cs="Arial"/>
          <w:color w:val="000000" w:themeColor="text1"/>
          <w:lang w:eastAsia="es-MX"/>
        </w:rPr>
        <w:t>Usted realiza algunas consideraciones sobre la capacidad residual y el saldo de contratos en ejecución. Al respecto, pone de presente el siguiente supuesto y realiza las siguientes preguntas:</w:t>
      </w:r>
    </w:p>
    <w:p w14:paraId="7E259590" w14:textId="77777777" w:rsidR="001E10C1" w:rsidRPr="001E10C1" w:rsidRDefault="001E10C1" w:rsidP="001E10C1">
      <w:pPr>
        <w:spacing w:after="0" w:line="276" w:lineRule="auto"/>
        <w:jc w:val="both"/>
        <w:rPr>
          <w:rFonts w:ascii="Arial" w:eastAsia="Calibri" w:hAnsi="Arial" w:cs="Arial"/>
          <w:color w:val="000000" w:themeColor="text1"/>
          <w:lang w:eastAsia="es-MX"/>
        </w:rPr>
      </w:pPr>
    </w:p>
    <w:p w14:paraId="02E7BF69"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t>«Si aun teniendo claridad que el reporte de saldos de contratos en ejecución, de cada oferente  debe  ser  únicamente  a  la  fecha  de  cierre  de  cada  proceso,  una  Entidad Estatal  manifiesta  en  su  pliego  de  condiciones  que  realizara [sic] el  recalculo  de  la capacidad  residual  en  el  evento que  un  oferente resulte  adjudicatario  de  otro proceso adelantado por la misma Entidad Estatal.</w:t>
      </w:r>
    </w:p>
    <w:p w14:paraId="0FA6C9A2"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p>
    <w:p w14:paraId="0C91FEF5"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t xml:space="preserve">¿Se debe recalcular la capacidad residual de este oferente? </w:t>
      </w:r>
    </w:p>
    <w:p w14:paraId="57EEC2D6"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p>
    <w:p w14:paraId="7DB570AB"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lastRenderedPageBreak/>
        <w:t>¿Debe aplicarse la ineficacia de pleno derecho por yuxtaponerse a la Ley?</w:t>
      </w:r>
    </w:p>
    <w:p w14:paraId="34B043A9"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p>
    <w:p w14:paraId="692087D4"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t>¿Debe efectuar nuevo cálculo de  capacidad  residual aun cuando  sea  por  hechos o circunstancias  ocurridos  con  posterioridad  a  la  fecha  de  cierre  que  desfavorecen  la oferta?</w:t>
      </w:r>
    </w:p>
    <w:p w14:paraId="2007BD43" w14:textId="77777777" w:rsidR="001E10C1" w:rsidRPr="001E10C1" w:rsidRDefault="001E10C1" w:rsidP="001E10C1">
      <w:pPr>
        <w:spacing w:after="0" w:line="240" w:lineRule="auto"/>
        <w:ind w:left="709" w:right="709"/>
        <w:jc w:val="both"/>
        <w:rPr>
          <w:rFonts w:ascii="Arial" w:eastAsia="Calibri" w:hAnsi="Arial" w:cs="Arial"/>
          <w:color w:val="000000" w:themeColor="text1"/>
          <w:sz w:val="21"/>
          <w:szCs w:val="21"/>
          <w:lang w:eastAsia="es-MX"/>
        </w:rPr>
      </w:pPr>
    </w:p>
    <w:p w14:paraId="63F486BC" w14:textId="77777777" w:rsidR="001E10C1" w:rsidRPr="001E10C1" w:rsidRDefault="001E10C1" w:rsidP="001E10C1">
      <w:pPr>
        <w:spacing w:after="0" w:line="240" w:lineRule="auto"/>
        <w:ind w:left="709" w:right="709"/>
        <w:jc w:val="both"/>
        <w:rPr>
          <w:rFonts w:ascii="Arial" w:eastAsia="Times New Roman" w:hAnsi="Arial" w:cs="Arial"/>
          <w:color w:val="000000"/>
          <w:sz w:val="21"/>
          <w:szCs w:val="21"/>
          <w:bdr w:val="none" w:sz="0" w:space="0" w:color="auto" w:frame="1"/>
          <w:lang w:eastAsia="es-MX"/>
        </w:rPr>
      </w:pPr>
      <w:r w:rsidRPr="001E10C1">
        <w:rPr>
          <w:rFonts w:ascii="Arial" w:eastAsia="Calibri" w:hAnsi="Arial" w:cs="Arial"/>
          <w:color w:val="000000" w:themeColor="text1"/>
          <w:sz w:val="21"/>
          <w:szCs w:val="21"/>
          <w:lang w:eastAsia="es-MX"/>
        </w:rPr>
        <w:t>¿Contrario sensu de la pregunta anterior si después del cierre de la oferta se presenta hecho o circunstancias que mejoren la capacidad residual, el oferente puede acreditar estas circunstancias para realizar un recalculo que lo favorezcan?»</w:t>
      </w:r>
    </w:p>
    <w:p w14:paraId="36E1BA81" w14:textId="77777777" w:rsidR="001E10C1" w:rsidRPr="001E10C1" w:rsidRDefault="001E10C1" w:rsidP="001E10C1">
      <w:pPr>
        <w:shd w:val="clear" w:color="auto" w:fill="FFFFFF"/>
        <w:spacing w:after="100" w:afterAutospacing="1" w:line="276" w:lineRule="auto"/>
        <w:contextualSpacing/>
        <w:jc w:val="both"/>
        <w:textAlignment w:val="baseline"/>
        <w:rPr>
          <w:rFonts w:ascii="Arial" w:eastAsia="Times New Roman" w:hAnsi="Arial" w:cs="Arial"/>
          <w:color w:val="000000"/>
          <w:bdr w:val="none" w:sz="0" w:space="0" w:color="auto" w:frame="1"/>
          <w:lang w:eastAsia="es-MX"/>
        </w:rPr>
      </w:pPr>
    </w:p>
    <w:p w14:paraId="0CBCC966" w14:textId="77777777" w:rsidR="001E10C1" w:rsidRPr="001E10C1" w:rsidRDefault="001E10C1" w:rsidP="001E10C1">
      <w:pPr>
        <w:numPr>
          <w:ilvl w:val="0"/>
          <w:numId w:val="4"/>
        </w:numPr>
        <w:shd w:val="clear" w:color="auto" w:fill="FFFFFF"/>
        <w:spacing w:after="0" w:line="276" w:lineRule="auto"/>
        <w:contextualSpacing/>
        <w:jc w:val="both"/>
        <w:textAlignment w:val="baseline"/>
        <w:rPr>
          <w:rFonts w:ascii="Arial" w:eastAsia="Times New Roman" w:hAnsi="Arial" w:cs="Arial"/>
          <w:b/>
          <w:bCs/>
          <w:color w:val="000000"/>
          <w:bdr w:val="none" w:sz="0" w:space="0" w:color="auto" w:frame="1"/>
          <w:lang w:eastAsia="es-MX"/>
        </w:rPr>
      </w:pPr>
      <w:r w:rsidRPr="001E10C1">
        <w:rPr>
          <w:rFonts w:ascii="Arial" w:eastAsia="Calibri" w:hAnsi="Arial" w:cs="Arial"/>
          <w:b/>
          <w:bCs/>
          <w:color w:val="000000" w:themeColor="text1"/>
          <w:lang w:eastAsia="es-MX"/>
        </w:rPr>
        <w:t>Consideraciones</w:t>
      </w:r>
    </w:p>
    <w:p w14:paraId="4186FC10" w14:textId="77777777" w:rsidR="001E10C1" w:rsidRPr="001E10C1" w:rsidRDefault="001E10C1" w:rsidP="001E10C1">
      <w:pPr>
        <w:shd w:val="clear" w:color="auto" w:fill="FFFFFF"/>
        <w:spacing w:after="0" w:line="276" w:lineRule="auto"/>
        <w:contextualSpacing/>
        <w:jc w:val="both"/>
        <w:textAlignment w:val="baseline"/>
        <w:rPr>
          <w:rFonts w:ascii="Arial" w:eastAsia="Calibri" w:hAnsi="Arial" w:cs="Arial"/>
          <w:color w:val="000000" w:themeColor="text1"/>
          <w:lang w:eastAsia="es-MX"/>
        </w:rPr>
      </w:pPr>
    </w:p>
    <w:p w14:paraId="7280B984" w14:textId="77777777" w:rsidR="001E10C1" w:rsidRPr="001E10C1" w:rsidRDefault="001E10C1" w:rsidP="001E10C1">
      <w:pPr>
        <w:spacing w:after="120" w:line="276" w:lineRule="auto"/>
        <w:jc w:val="both"/>
        <w:rPr>
          <w:rFonts w:ascii="Arial" w:eastAsia="Times New Roman" w:hAnsi="Arial" w:cs="Arial"/>
          <w:bCs/>
          <w:szCs w:val="24"/>
          <w:lang w:eastAsia="es-MX"/>
        </w:rPr>
      </w:pPr>
      <w:r w:rsidRPr="001E10C1">
        <w:rPr>
          <w:rFonts w:ascii="Arial" w:eastAsia="Times New Roman" w:hAnsi="Arial" w:cs="Arial"/>
          <w:bCs/>
          <w:szCs w:val="24"/>
          <w:lang w:eastAsia="es-MX"/>
        </w:rPr>
        <w:t>En ejercicio de las competencias establecidas en los artículos 3.5 y 11.8 del Decreto 4170 de 2011, esta Agencia resuelve las consultas sobre los asuntos de su competencia, esto es, sobre las temáticas de la contratación estatal y compras públicas relacionadas en los artículos citados.</w:t>
      </w:r>
    </w:p>
    <w:p w14:paraId="4F59F6A3" w14:textId="77777777" w:rsidR="001E10C1" w:rsidRPr="001E10C1" w:rsidRDefault="001E10C1" w:rsidP="001E10C1">
      <w:pPr>
        <w:spacing w:after="120" w:line="276" w:lineRule="auto"/>
        <w:ind w:firstLine="708"/>
        <w:jc w:val="both"/>
        <w:rPr>
          <w:rFonts w:ascii="Arial" w:eastAsia="Times New Roman" w:hAnsi="Arial" w:cs="Arial"/>
          <w:szCs w:val="24"/>
          <w:lang w:val="es-ES" w:eastAsia="es-MX"/>
        </w:rPr>
      </w:pPr>
      <w:bookmarkStart w:id="1" w:name="_Hlk61701014"/>
      <w:bookmarkStart w:id="2" w:name="_Hlk62136649"/>
      <w:r w:rsidRPr="001E10C1">
        <w:rPr>
          <w:rFonts w:ascii="Arial" w:eastAsia="Times New Roman" w:hAnsi="Arial" w:cs="Arial"/>
          <w:szCs w:val="24"/>
          <w:lang w:val="es-ES" w:eastAsia="es-MX"/>
        </w:rPr>
        <w:t xml:space="preserve">Es necesario tener en cuenta que </w:t>
      </w:r>
      <w:bookmarkStart w:id="3" w:name="_Hlk61026958"/>
      <w:r w:rsidRPr="001E10C1">
        <w:rPr>
          <w:rFonts w:ascii="Arial" w:eastAsia="Times New Roman" w:hAnsi="Arial" w:cs="Arial"/>
          <w:szCs w:val="24"/>
          <w:lang w:val="es-ES" w:eastAsia="es-MX"/>
        </w:rPr>
        <w:t>esta entidad solo tiene facultad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1E10C1">
        <w:rPr>
          <w:rFonts w:ascii="Arial" w:eastAsia="Times New Roman" w:hAnsi="Arial" w:cs="Arial"/>
          <w:bCs/>
          <w:szCs w:val="24"/>
          <w:lang w:eastAsia="es-MX"/>
        </w:rPr>
        <w:t xml:space="preserve"> de todos los partícipes de la contratación estatal.</w:t>
      </w:r>
    </w:p>
    <w:p w14:paraId="4957A474" w14:textId="77777777" w:rsidR="001E10C1" w:rsidRPr="001E10C1" w:rsidRDefault="001E10C1" w:rsidP="001E10C1">
      <w:pPr>
        <w:spacing w:after="120" w:line="276" w:lineRule="auto"/>
        <w:ind w:firstLine="708"/>
        <w:jc w:val="both"/>
        <w:rPr>
          <w:rFonts w:ascii="Arial" w:eastAsia="Times New Roman" w:hAnsi="Arial" w:cs="Arial"/>
          <w:szCs w:val="24"/>
          <w:lang w:val="es-ES" w:eastAsia="es-MX"/>
        </w:rPr>
      </w:pPr>
      <w:r w:rsidRPr="001E10C1">
        <w:rPr>
          <w:rFonts w:ascii="Arial" w:eastAsia="Times New Roman" w:hAnsi="Arial" w:cs="Arial"/>
          <w:szCs w:val="24"/>
          <w:lang w:val="es-ES"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E10C1">
        <w:rPr>
          <w:rFonts w:ascii="Arial" w:eastAsia="Times New Roman" w:hAnsi="Arial" w:cs="Arial"/>
          <w:szCs w:val="24"/>
          <w:vertAlign w:val="superscript"/>
          <w:lang w:val="es-ES" w:eastAsia="es-MX"/>
        </w:rPr>
        <w:footnoteReference w:id="2"/>
      </w:r>
      <w:r w:rsidRPr="001E10C1">
        <w:rPr>
          <w:rFonts w:ascii="Arial" w:eastAsia="Times New Roman" w:hAnsi="Arial" w:cs="Arial"/>
          <w:szCs w:val="24"/>
          <w:lang w:val="es-ES"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1E10C1">
        <w:rPr>
          <w:rFonts w:ascii="Arial" w:eastAsia="Times New Roman" w:hAnsi="Arial" w:cs="Arial"/>
          <w:szCs w:val="24"/>
          <w:lang w:val="es-ES" w:eastAsia="es-MX"/>
        </w:rPr>
        <w:t xml:space="preserve">. Por lo anterior, previo concepto de sus órganos asesores, la solución de estos temas corresponde a la entidad que adelanta el </w:t>
      </w:r>
      <w:r w:rsidRPr="001E10C1">
        <w:rPr>
          <w:rFonts w:ascii="Arial" w:eastAsia="Times New Roman" w:hAnsi="Arial" w:cs="Arial"/>
          <w:szCs w:val="24"/>
          <w:lang w:val="es-ES" w:eastAsia="es-MX"/>
        </w:rPr>
        <w:lastRenderedPageBreak/>
        <w:t xml:space="preserve">procedimiento de selección y, en caso de conflicto, a las autoridades judiciales, fiscales y disciplinarias. </w:t>
      </w:r>
      <w:bookmarkEnd w:id="1"/>
      <w:bookmarkEnd w:id="2"/>
    </w:p>
    <w:p w14:paraId="424CDCCB" w14:textId="77777777" w:rsidR="001E10C1" w:rsidRPr="001E10C1" w:rsidRDefault="001E10C1" w:rsidP="001E10C1">
      <w:pPr>
        <w:spacing w:after="120" w:line="276" w:lineRule="auto"/>
        <w:ind w:firstLine="708"/>
        <w:jc w:val="both"/>
        <w:rPr>
          <w:rFonts w:ascii="Arial" w:eastAsia="Times New Roman" w:hAnsi="Arial" w:cs="Arial"/>
          <w:szCs w:val="24"/>
          <w:lang w:val="es-ES" w:eastAsia="es-MX"/>
        </w:rPr>
      </w:pPr>
      <w:r w:rsidRPr="001E10C1">
        <w:rPr>
          <w:rFonts w:ascii="Arial" w:eastAsia="Calibri" w:hAnsi="Arial" w:cs="Arial"/>
          <w:color w:val="000000" w:themeColor="text1"/>
          <w:szCs w:val="24"/>
          <w:lang w:eastAsia="es-MX"/>
        </w:rPr>
        <w:t xml:space="preserve">Sin perjuicio de lo anterior, </w:t>
      </w:r>
      <w:r w:rsidRPr="001E10C1">
        <w:rPr>
          <w:rFonts w:ascii="Arial" w:eastAsia="Calibri" w:hAnsi="Arial" w:cs="Arial"/>
          <w:color w:val="000000" w:themeColor="text1"/>
          <w:szCs w:val="24"/>
          <w:lang w:val="es-ES" w:eastAsia="es-MX"/>
        </w:rPr>
        <w:t xml:space="preserve">la Subdirección de Gestión Contractual –dentro de los límites de sus atribuciones, esto es, </w:t>
      </w:r>
      <w:bookmarkStart w:id="4" w:name="_Hlk61025408"/>
      <w:r w:rsidRPr="001E10C1">
        <w:rPr>
          <w:rFonts w:ascii="Arial" w:eastAsia="Calibri" w:hAnsi="Arial" w:cs="Arial"/>
          <w:color w:val="000000" w:themeColor="text1"/>
          <w:szCs w:val="24"/>
          <w:lang w:val="es-ES" w:eastAsia="es-MX"/>
        </w:rPr>
        <w:t>haciendo abstracción del caso particular expuesto por el peticionario</w:t>
      </w:r>
      <w:bookmarkEnd w:id="4"/>
      <w:r w:rsidRPr="001E10C1">
        <w:rPr>
          <w:rFonts w:ascii="Arial" w:eastAsia="Calibri" w:hAnsi="Arial" w:cs="Arial"/>
          <w:color w:val="000000" w:themeColor="text1"/>
          <w:szCs w:val="24"/>
          <w:lang w:val="es-ES" w:eastAsia="es-MX"/>
        </w:rPr>
        <w:t>– resolverá la consulta conforme a las normas generales en materia de contratación estatal.</w:t>
      </w:r>
    </w:p>
    <w:p w14:paraId="19BF2BBE" w14:textId="77777777" w:rsidR="001E10C1" w:rsidRPr="001E10C1" w:rsidRDefault="001E10C1" w:rsidP="001E10C1">
      <w:pPr>
        <w:spacing w:after="120" w:line="276" w:lineRule="auto"/>
        <w:ind w:firstLine="708"/>
        <w:jc w:val="both"/>
        <w:rPr>
          <w:rFonts w:ascii="Arial" w:eastAsia="Times New Roman" w:hAnsi="Arial" w:cs="Arial"/>
          <w:szCs w:val="24"/>
          <w:lang w:val="es-ES" w:eastAsia="es-MX"/>
        </w:rPr>
      </w:pPr>
      <w:r w:rsidRPr="001E10C1">
        <w:rPr>
          <w:rFonts w:ascii="Arial" w:eastAsia="Calibri" w:hAnsi="Arial" w:cs="Arial"/>
          <w:color w:val="000000" w:themeColor="text1"/>
          <w:lang w:eastAsia="es-MX"/>
        </w:rPr>
        <w:t xml:space="preserve">Para responder a sus interrogantes se estudiarán los siguientes temas: i) la capacidad residual en procesos de contratación de obra pública; ii) los saldos pendientes de los contratos en ejecución y iii) el aplicativo para el cálculo de capacidad residual. </w:t>
      </w:r>
    </w:p>
    <w:p w14:paraId="55FDE340" w14:textId="77777777" w:rsidR="001E10C1" w:rsidRPr="001E10C1" w:rsidRDefault="001E10C1" w:rsidP="001E10C1">
      <w:pPr>
        <w:spacing w:before="120" w:after="0" w:line="276" w:lineRule="auto"/>
        <w:ind w:firstLine="708"/>
        <w:jc w:val="both"/>
        <w:rPr>
          <w:rFonts w:ascii="Arial" w:eastAsia="Calibri" w:hAnsi="Arial" w:cs="Arial"/>
          <w:lang w:eastAsia="es-MX"/>
        </w:rPr>
      </w:pPr>
      <w:r w:rsidRPr="001E10C1">
        <w:rPr>
          <w:rFonts w:ascii="Arial" w:eastAsia="Calibri" w:hAnsi="Arial" w:cs="Arial"/>
          <w:lang w:eastAsia="es-MX"/>
        </w:rPr>
        <w:t xml:space="preserve">La Agencia Nacional de Contratación Pública − Colombia Compra Eficiente se ha pronunciado sobre la capacidad residual y la forma como esta se debe acreditar en los conceptos 2201913000006275 del 27 de agosto y el 20 y 26 del 2 de diciembre de 2019 −radicados Nos., 2201913000009465, 2201913000009642 y 2201913000009640−; así como en los conceptos C–022 del 20 de febrero de 2020, C–089 del 4 de marzo de 2020, C–112 del 16 de marzo del 2020, C–133 del 25 de marzo del 2020, C – 194 de 2020 del 21 de abril de 2020, C–326 del 9 de junio de 2020 y C-446 del 6 de julio de 2020, C-045 del 5 de marzo de 2021, C-003 del 26 de marzo de 2021, C-143 del 9 de abril de 2021 </w:t>
      </w:r>
      <w:r w:rsidRPr="001E10C1">
        <w:rPr>
          <w:rFonts w:ascii="Arial" w:eastAsia="Times New Roman" w:hAnsi="Arial" w:cs="Arial"/>
          <w:lang w:eastAsia="en-GB"/>
        </w:rPr>
        <w:t xml:space="preserve">C–202 del 7 de mayo de 2021, C–219 del 19 de mayo de 2021, C–368 del 28 de julio de 2021, C–392 del 5 de agosto de 2021, C–513 del 23 de septiembre de 2021, C–590 del 12 de octubre de 2021, </w:t>
      </w:r>
      <w:r w:rsidRPr="001E10C1">
        <w:rPr>
          <w:rFonts w:ascii="Arial" w:eastAsia="Times New Roman" w:hAnsi="Arial" w:cs="Arial"/>
          <w:bCs/>
          <w:lang w:eastAsia="en-GB"/>
        </w:rPr>
        <w:t xml:space="preserve">C-068 del 9 de marzo de 2022, </w:t>
      </w:r>
      <w:r w:rsidRPr="001E10C1">
        <w:rPr>
          <w:rFonts w:ascii="Arial" w:eastAsia="Calibri" w:hAnsi="Arial" w:cs="Arial"/>
          <w:bCs/>
          <w:lang w:val="es-ES" w:eastAsia="en-GB"/>
        </w:rPr>
        <w:t>C-220 del 22 de abril de 2022, C-306 de 16 de mayo de 2022, C-351 de 23 de mayo de 2022</w:t>
      </w:r>
      <w:r w:rsidRPr="001E10C1">
        <w:rPr>
          <w:rFonts w:ascii="Arial" w:eastAsia="Times New Roman" w:hAnsi="Arial" w:cs="Arial"/>
          <w:bCs/>
          <w:lang w:val="es-ES" w:eastAsia="en-GB"/>
        </w:rPr>
        <w:t>, C-392 del 16 de junio de 2022, C-402 del 28 de junio de 2022, C-463 del 19 de julio de 2022 y C-615 del 19 de agosto de 2022</w:t>
      </w:r>
      <w:r w:rsidRPr="001E10C1">
        <w:rPr>
          <w:rFonts w:ascii="Arial" w:eastAsia="Calibri" w:hAnsi="Arial" w:cs="Arial"/>
          <w:lang w:eastAsia="es-MX"/>
        </w:rPr>
        <w:t>. Las tesis propuestas en dichos conceptos se reiteran y, en lo pertinente, se complementan conforme a las siguientes consideraciones:</w:t>
      </w:r>
    </w:p>
    <w:p w14:paraId="0803F62E" w14:textId="77777777" w:rsidR="001E10C1" w:rsidRPr="001E10C1" w:rsidRDefault="001E10C1" w:rsidP="001E10C1">
      <w:pPr>
        <w:spacing w:after="0" w:line="276" w:lineRule="auto"/>
        <w:jc w:val="both"/>
        <w:rPr>
          <w:rFonts w:ascii="Arial" w:eastAsia="Times New Roman" w:hAnsi="Arial" w:cs="Arial"/>
          <w:color w:val="000000"/>
          <w:shd w:val="clear" w:color="auto" w:fill="FFFFFF"/>
          <w:lang w:eastAsia="es-MX"/>
        </w:rPr>
      </w:pPr>
    </w:p>
    <w:p w14:paraId="1B07F3B7" w14:textId="77777777" w:rsidR="001E10C1" w:rsidRPr="001E10C1" w:rsidRDefault="001E10C1" w:rsidP="001E10C1">
      <w:pPr>
        <w:tabs>
          <w:tab w:val="left" w:pos="426"/>
          <w:tab w:val="left" w:pos="851"/>
        </w:tabs>
        <w:spacing w:after="0" w:line="276" w:lineRule="auto"/>
        <w:jc w:val="both"/>
        <w:rPr>
          <w:rFonts w:ascii="Arial" w:eastAsia="Times New Roman" w:hAnsi="Arial" w:cs="Arial"/>
          <w:b/>
          <w:bCs/>
          <w:color w:val="000000"/>
          <w:bdr w:val="none" w:sz="0" w:space="0" w:color="auto" w:frame="1"/>
          <w:lang w:eastAsia="es-MX"/>
        </w:rPr>
      </w:pPr>
      <w:r w:rsidRPr="001E10C1">
        <w:rPr>
          <w:rFonts w:ascii="Arial" w:eastAsia="Times New Roman" w:hAnsi="Arial" w:cs="Arial"/>
          <w:b/>
          <w:bCs/>
          <w:color w:val="000000"/>
          <w:bdr w:val="none" w:sz="0" w:space="0" w:color="auto" w:frame="1"/>
          <w:lang w:eastAsia="es-MX"/>
        </w:rPr>
        <w:t xml:space="preserve">2.1. Capacidad residual en procesos de contratación de obra pública  </w:t>
      </w:r>
    </w:p>
    <w:p w14:paraId="1B1D8561" w14:textId="77777777" w:rsidR="001E10C1" w:rsidRPr="001E10C1" w:rsidRDefault="001E10C1" w:rsidP="001E10C1">
      <w:pPr>
        <w:widowControl w:val="0"/>
        <w:autoSpaceDE w:val="0"/>
        <w:autoSpaceDN w:val="0"/>
        <w:spacing w:after="0" w:line="276" w:lineRule="auto"/>
        <w:ind w:right="51"/>
        <w:jc w:val="both"/>
        <w:rPr>
          <w:rFonts w:ascii="Arial" w:eastAsia="Arial" w:hAnsi="Arial" w:cs="Arial"/>
        </w:rPr>
      </w:pPr>
    </w:p>
    <w:p w14:paraId="5692A22B" w14:textId="77777777" w:rsidR="001E10C1" w:rsidRPr="001E10C1" w:rsidRDefault="001E10C1" w:rsidP="001E10C1">
      <w:pPr>
        <w:widowControl w:val="0"/>
        <w:autoSpaceDE w:val="0"/>
        <w:autoSpaceDN w:val="0"/>
        <w:spacing w:after="0" w:line="276" w:lineRule="auto"/>
        <w:jc w:val="both"/>
        <w:rPr>
          <w:rFonts w:ascii="Arial" w:eastAsia="Arial" w:hAnsi="Arial" w:cs="Arial"/>
        </w:rPr>
      </w:pPr>
      <w:r w:rsidRPr="001E10C1">
        <w:rPr>
          <w:rFonts w:ascii="Arial" w:eastAsia="Arial" w:hAnsi="Arial" w:cs="Arial"/>
        </w:rPr>
        <w:t>La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w:t>
      </w:r>
      <w:r w:rsidRPr="001E10C1">
        <w:rPr>
          <w:rFonts w:ascii="Arial" w:eastAsia="Arial" w:hAnsi="Arial" w:cs="Arial"/>
          <w:vertAlign w:val="superscript"/>
        </w:rPr>
        <w:footnoteReference w:id="3"/>
      </w:r>
      <w:r w:rsidRPr="001E10C1">
        <w:rPr>
          <w:rFonts w:ascii="Arial" w:eastAsia="Arial" w:hAnsi="Arial" w:cs="Arial"/>
        </w:rPr>
        <w:t xml:space="preserve">. El Consejo de Estado ha definido la </w:t>
      </w:r>
      <w:r w:rsidRPr="001E10C1">
        <w:rPr>
          <w:rFonts w:ascii="Arial" w:eastAsia="Arial" w:hAnsi="Arial" w:cs="Arial"/>
        </w:rPr>
        <w:lastRenderedPageBreak/>
        <w:t>capacidad residual como «la diferencia que existe entre el potencial de contratación que se tiene y los compromisos que haya adquirido y que se encuentren en ejecución, para la fecha de presentación de la oferta»</w:t>
      </w:r>
      <w:r w:rsidRPr="001E10C1">
        <w:rPr>
          <w:rFonts w:ascii="Arial" w:eastAsia="Arial" w:hAnsi="Arial" w:cs="Arial"/>
          <w:vertAlign w:val="superscript"/>
        </w:rPr>
        <w:footnoteReference w:id="4"/>
      </w:r>
      <w:r w:rsidRPr="001E10C1">
        <w:rPr>
          <w:rFonts w:ascii="Arial" w:eastAsia="Arial" w:hAnsi="Arial" w:cs="Arial"/>
        </w:rPr>
        <w:t>.</w:t>
      </w:r>
    </w:p>
    <w:p w14:paraId="526433D8" w14:textId="77777777" w:rsidR="001E10C1" w:rsidRPr="001E10C1" w:rsidRDefault="001E10C1" w:rsidP="001E10C1">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Teniendo en cuenta lo anterior, esta Agencia ha considerado que la capacidad residual hace referencia a la suficiencia que se predica del proponente para asumir nuevas obligaciones que se derivan del contrato objeto del proceso de contratación, en relación con las obligaciones que ha adquirido simultáneamente en contratos ya perfeccionados y en ejecución.</w:t>
      </w:r>
    </w:p>
    <w:p w14:paraId="6925D8B5" w14:textId="77777777" w:rsidR="001E10C1" w:rsidRPr="001E10C1" w:rsidRDefault="001E10C1" w:rsidP="001E10C1">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Al respecto, la Ley 1150 de 2007 establece que la capacidad residual de los interesados en participar en procesos de selección para contratos de obra pública deberá ser igual o superior a la que la entidad ha establecido en los pliegos de condiciones, en los siguientes términos:</w:t>
      </w:r>
    </w:p>
    <w:p w14:paraId="6BF77F87" w14:textId="77777777" w:rsidR="001E10C1" w:rsidRPr="001E10C1" w:rsidRDefault="001E10C1" w:rsidP="001E10C1">
      <w:pPr>
        <w:widowControl w:val="0"/>
        <w:autoSpaceDE w:val="0"/>
        <w:autoSpaceDN w:val="0"/>
        <w:spacing w:after="0" w:line="240" w:lineRule="auto"/>
        <w:ind w:right="49"/>
        <w:rPr>
          <w:rFonts w:ascii="Arial" w:eastAsia="Arial" w:hAnsi="Arial" w:cs="Arial"/>
        </w:rPr>
      </w:pPr>
    </w:p>
    <w:p w14:paraId="10E44DD7" w14:textId="77777777" w:rsidR="001E10C1" w:rsidRPr="001E10C1" w:rsidRDefault="001E10C1" w:rsidP="001E10C1">
      <w:pPr>
        <w:widowControl w:val="0"/>
        <w:autoSpaceDE w:val="0"/>
        <w:autoSpaceDN w:val="0"/>
        <w:spacing w:after="0" w:line="240" w:lineRule="auto"/>
        <w:ind w:left="709" w:right="709"/>
        <w:jc w:val="both"/>
        <w:rPr>
          <w:rFonts w:ascii="Arial" w:eastAsia="Arial" w:hAnsi="Arial" w:cs="Arial"/>
          <w:sz w:val="21"/>
          <w:szCs w:val="21"/>
        </w:rPr>
      </w:pPr>
      <w:r w:rsidRPr="001E10C1">
        <w:rPr>
          <w:rFonts w:ascii="Arial" w:eastAsia="Calibri" w:hAnsi="Arial" w:cs="Arial"/>
          <w:color w:val="000000" w:themeColor="text1"/>
          <w:sz w:val="21"/>
          <w:szCs w:val="21"/>
          <w:lang w:val="es-ES"/>
        </w:rPr>
        <w:t>«</w:t>
      </w:r>
      <w:r w:rsidRPr="001E10C1">
        <w:rPr>
          <w:rFonts w:ascii="Arial" w:eastAsia="Arial" w:hAnsi="Arial" w:cs="Arial"/>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1E10C1">
        <w:rPr>
          <w:rFonts w:ascii="Arial" w:eastAsia="Arial" w:hAnsi="Arial" w:cs="Arial"/>
          <w:spacing w:val="-3"/>
          <w:sz w:val="21"/>
          <w:szCs w:val="21"/>
        </w:rPr>
        <w:t xml:space="preserve"> </w:t>
      </w:r>
      <w:r w:rsidRPr="001E10C1">
        <w:rPr>
          <w:rFonts w:ascii="Arial" w:eastAsia="Arial" w:hAnsi="Arial" w:cs="Arial"/>
          <w:sz w:val="21"/>
          <w:szCs w:val="21"/>
        </w:rPr>
        <w:t>principal.</w:t>
      </w:r>
    </w:p>
    <w:p w14:paraId="218AE4E2" w14:textId="77777777" w:rsidR="001E10C1" w:rsidRPr="001E10C1" w:rsidRDefault="001E10C1" w:rsidP="001E10C1">
      <w:pPr>
        <w:widowControl w:val="0"/>
        <w:autoSpaceDE w:val="0"/>
        <w:autoSpaceDN w:val="0"/>
        <w:spacing w:after="0" w:line="240" w:lineRule="auto"/>
        <w:ind w:left="709" w:right="709"/>
        <w:rPr>
          <w:rFonts w:ascii="Arial" w:eastAsia="Arial" w:hAnsi="Arial" w:cs="Arial"/>
          <w:sz w:val="21"/>
          <w:szCs w:val="21"/>
        </w:rPr>
      </w:pPr>
      <w:r w:rsidRPr="001E10C1">
        <w:rPr>
          <w:rFonts w:ascii="Arial" w:eastAsia="Arial" w:hAnsi="Arial" w:cs="Arial"/>
          <w:sz w:val="21"/>
          <w:szCs w:val="21"/>
        </w:rPr>
        <w:t>(…)</w:t>
      </w:r>
    </w:p>
    <w:p w14:paraId="687B7948" w14:textId="77777777" w:rsidR="001E10C1" w:rsidRPr="001E10C1" w:rsidRDefault="001E10C1" w:rsidP="001E10C1">
      <w:pPr>
        <w:widowControl w:val="0"/>
        <w:autoSpaceDE w:val="0"/>
        <w:autoSpaceDN w:val="0"/>
        <w:spacing w:before="2" w:after="0" w:line="240" w:lineRule="auto"/>
        <w:ind w:left="709" w:right="709"/>
        <w:rPr>
          <w:rFonts w:ascii="Arial" w:eastAsia="Arial" w:hAnsi="Arial" w:cs="Arial"/>
          <w:sz w:val="21"/>
          <w:szCs w:val="21"/>
        </w:rPr>
      </w:pPr>
    </w:p>
    <w:p w14:paraId="63E8AE6C" w14:textId="77777777" w:rsidR="001E10C1" w:rsidRPr="001E10C1" w:rsidRDefault="001E10C1" w:rsidP="001E10C1">
      <w:pPr>
        <w:widowControl w:val="0"/>
        <w:autoSpaceDE w:val="0"/>
        <w:autoSpaceDN w:val="0"/>
        <w:spacing w:after="0" w:line="240" w:lineRule="auto"/>
        <w:ind w:left="709" w:right="709"/>
        <w:jc w:val="both"/>
        <w:rPr>
          <w:rFonts w:ascii="Arial" w:eastAsia="Arial" w:hAnsi="Arial" w:cs="Arial"/>
        </w:rPr>
      </w:pPr>
      <w:r w:rsidRPr="001E10C1">
        <w:rPr>
          <w:rFonts w:ascii="Arial" w:eastAsia="Arial" w:hAnsi="Arial" w:cs="Arial"/>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r w:rsidRPr="001E10C1">
        <w:rPr>
          <w:rFonts w:ascii="Arial" w:eastAsia="Arial" w:hAnsi="Arial" w:cs="Arial"/>
        </w:rPr>
        <w:t>.</w:t>
      </w:r>
      <w:r w:rsidRPr="001E10C1">
        <w:rPr>
          <w:rFonts w:ascii="Arial" w:eastAsia="Calibri" w:hAnsi="Arial" w:cs="Arial"/>
          <w:color w:val="000000" w:themeColor="text1"/>
          <w:sz w:val="21"/>
          <w:szCs w:val="21"/>
          <w:lang w:val="es-ES"/>
        </w:rPr>
        <w:t>»</w:t>
      </w:r>
    </w:p>
    <w:p w14:paraId="70785B52" w14:textId="77777777" w:rsidR="001E10C1" w:rsidRPr="001E10C1" w:rsidRDefault="001E10C1" w:rsidP="001E10C1">
      <w:pPr>
        <w:widowControl w:val="0"/>
        <w:autoSpaceDE w:val="0"/>
        <w:autoSpaceDN w:val="0"/>
        <w:spacing w:after="0" w:line="240" w:lineRule="auto"/>
        <w:ind w:right="49"/>
        <w:rPr>
          <w:rFonts w:ascii="Arial" w:eastAsia="Arial" w:hAnsi="Arial" w:cs="Arial"/>
        </w:rPr>
      </w:pPr>
    </w:p>
    <w:p w14:paraId="54543CD1" w14:textId="77777777" w:rsidR="001E10C1" w:rsidRPr="001E10C1" w:rsidRDefault="001E10C1" w:rsidP="001E10C1">
      <w:pPr>
        <w:widowControl w:val="0"/>
        <w:autoSpaceDE w:val="0"/>
        <w:autoSpaceDN w:val="0"/>
        <w:spacing w:before="1" w:after="0" w:line="276" w:lineRule="auto"/>
        <w:ind w:firstLine="709"/>
        <w:jc w:val="both"/>
        <w:rPr>
          <w:rFonts w:ascii="Arial" w:eastAsia="Arial" w:hAnsi="Arial" w:cs="Arial"/>
        </w:rPr>
      </w:pPr>
      <w:r w:rsidRPr="001E10C1">
        <w:rPr>
          <w:rFonts w:ascii="Arial" w:eastAsia="Arial" w:hAnsi="Arial" w:cs="Arial"/>
        </w:rPr>
        <w:t>A su turno, 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3EAE0AA6" w14:textId="77777777" w:rsidR="001E10C1" w:rsidRPr="001E10C1" w:rsidRDefault="001E10C1" w:rsidP="001E10C1">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Por su parte, el artículo 2.2.1.1.1.6.4 del Decreto 1082 de 2015 dispuso que las entidades estatales deben calcular la capacidad residual conforme a la metodología definida por Colombia Compra Eficiente y precisó que, para tales fines, resulta necesario tener en cuenta los factores de: i) experiencia; ii) capacidad financiera; iii) capacidad técnica; iv) capacidad de organización; y v) los saldos de los contratos en ejecución, así:</w:t>
      </w:r>
    </w:p>
    <w:p w14:paraId="35DB4B49" w14:textId="77777777" w:rsidR="001E10C1" w:rsidRPr="001E10C1" w:rsidRDefault="001E10C1" w:rsidP="001E10C1">
      <w:pPr>
        <w:widowControl w:val="0"/>
        <w:autoSpaceDE w:val="0"/>
        <w:autoSpaceDN w:val="0"/>
        <w:spacing w:before="8" w:after="0" w:line="240" w:lineRule="auto"/>
        <w:ind w:right="49"/>
        <w:rPr>
          <w:rFonts w:ascii="Arial" w:eastAsia="Arial" w:hAnsi="Arial" w:cs="Arial"/>
        </w:rPr>
      </w:pPr>
    </w:p>
    <w:p w14:paraId="38E40636" w14:textId="77777777" w:rsidR="001E10C1" w:rsidRPr="001E10C1" w:rsidRDefault="001E10C1" w:rsidP="001E10C1">
      <w:pPr>
        <w:widowControl w:val="0"/>
        <w:autoSpaceDE w:val="0"/>
        <w:autoSpaceDN w:val="0"/>
        <w:spacing w:after="0" w:line="240" w:lineRule="auto"/>
        <w:ind w:left="709" w:right="709"/>
        <w:jc w:val="both"/>
        <w:rPr>
          <w:rFonts w:ascii="Arial" w:eastAsia="Arial" w:hAnsi="Arial" w:cs="Arial"/>
          <w:sz w:val="21"/>
          <w:szCs w:val="21"/>
        </w:rPr>
      </w:pPr>
      <w:r w:rsidRPr="001E10C1">
        <w:rPr>
          <w:rFonts w:ascii="Arial" w:eastAsia="Calibri" w:hAnsi="Arial" w:cs="Arial"/>
          <w:color w:val="000000" w:themeColor="text1"/>
          <w:sz w:val="21"/>
          <w:szCs w:val="21"/>
          <w:lang w:val="es-ES"/>
        </w:rPr>
        <w:lastRenderedPageBreak/>
        <w:t>«</w:t>
      </w:r>
      <w:r w:rsidRPr="001E10C1">
        <w:rPr>
          <w:rFonts w:ascii="Arial" w:eastAsia="Arial" w:hAnsi="Arial" w:cs="Arial"/>
          <w:sz w:val="21"/>
          <w:szCs w:val="21"/>
        </w:rPr>
        <w:t>Artículo 2.2.1.1.1.6.4. Capacidad Residual. El interesado en celebrar contratos de obra pública con Entidades Estatales debe acreditar su Capacidad Residual o K de Contratación con los siguientes documentos: (…)</w:t>
      </w:r>
    </w:p>
    <w:p w14:paraId="1ECF2587" w14:textId="77777777" w:rsidR="001E10C1" w:rsidRPr="001E10C1" w:rsidRDefault="001E10C1" w:rsidP="001E10C1">
      <w:pPr>
        <w:widowControl w:val="0"/>
        <w:autoSpaceDE w:val="0"/>
        <w:autoSpaceDN w:val="0"/>
        <w:spacing w:after="0" w:line="240" w:lineRule="auto"/>
        <w:ind w:left="709" w:right="760"/>
        <w:rPr>
          <w:rFonts w:ascii="Arial" w:eastAsia="Arial" w:hAnsi="Arial" w:cs="Arial"/>
          <w:sz w:val="21"/>
          <w:szCs w:val="21"/>
        </w:rPr>
      </w:pPr>
    </w:p>
    <w:p w14:paraId="0BDF72B4" w14:textId="77777777" w:rsidR="001E10C1" w:rsidRPr="001E10C1" w:rsidRDefault="001E10C1" w:rsidP="001E10C1">
      <w:pPr>
        <w:widowControl w:val="0"/>
        <w:autoSpaceDE w:val="0"/>
        <w:autoSpaceDN w:val="0"/>
        <w:spacing w:after="0" w:line="240" w:lineRule="auto"/>
        <w:ind w:left="709" w:right="709"/>
        <w:jc w:val="both"/>
        <w:rPr>
          <w:rFonts w:ascii="Arial" w:eastAsia="Arial" w:hAnsi="Arial" w:cs="Arial"/>
        </w:rPr>
      </w:pPr>
      <w:r w:rsidRPr="001E10C1">
        <w:rPr>
          <w:rFonts w:ascii="Arial" w:eastAsia="Arial" w:hAnsi="Arial" w:cs="Arial"/>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sidRPr="001E10C1">
        <w:rPr>
          <w:rFonts w:ascii="Arial" w:eastAsia="Calibri" w:hAnsi="Arial" w:cs="Arial"/>
          <w:color w:val="000000" w:themeColor="text1"/>
          <w:sz w:val="21"/>
          <w:szCs w:val="21"/>
          <w:lang w:val="es-ES"/>
        </w:rPr>
        <w:t>»</w:t>
      </w:r>
    </w:p>
    <w:p w14:paraId="164021E2" w14:textId="77777777" w:rsidR="001E10C1" w:rsidRPr="001E10C1" w:rsidRDefault="001E10C1" w:rsidP="001E10C1">
      <w:pPr>
        <w:widowControl w:val="0"/>
        <w:autoSpaceDE w:val="0"/>
        <w:autoSpaceDN w:val="0"/>
        <w:spacing w:after="0" w:line="240" w:lineRule="auto"/>
        <w:ind w:right="49"/>
        <w:rPr>
          <w:rFonts w:ascii="Arial" w:eastAsia="Arial" w:hAnsi="Arial" w:cs="Arial"/>
        </w:rPr>
      </w:pPr>
    </w:p>
    <w:p w14:paraId="3560A14F" w14:textId="77777777" w:rsidR="001E10C1" w:rsidRPr="001E10C1" w:rsidRDefault="001E10C1" w:rsidP="001E10C1">
      <w:pPr>
        <w:widowControl w:val="0"/>
        <w:autoSpaceDE w:val="0"/>
        <w:autoSpaceDN w:val="0"/>
        <w:spacing w:after="0" w:line="276" w:lineRule="auto"/>
        <w:ind w:firstLine="709"/>
        <w:jc w:val="both"/>
        <w:rPr>
          <w:rFonts w:ascii="Arial" w:eastAsia="Arial" w:hAnsi="Arial" w:cs="Arial"/>
        </w:rPr>
      </w:pPr>
      <w:r w:rsidRPr="001E10C1">
        <w:rPr>
          <w:rFonts w:ascii="Arial" w:eastAsia="Arial" w:hAnsi="Arial" w:cs="Arial"/>
        </w:rPr>
        <w:t>De conformidad con lo anterior, 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 claro está, teniendo en cuenta la siguiente información aportada por el proponente:</w:t>
      </w:r>
    </w:p>
    <w:p w14:paraId="5719351B" w14:textId="77777777" w:rsidR="001E10C1" w:rsidRPr="001E10C1" w:rsidRDefault="001E10C1" w:rsidP="001E10C1">
      <w:pPr>
        <w:widowControl w:val="0"/>
        <w:autoSpaceDE w:val="0"/>
        <w:autoSpaceDN w:val="0"/>
        <w:spacing w:after="0" w:line="240" w:lineRule="auto"/>
        <w:ind w:left="709" w:right="760"/>
        <w:jc w:val="both"/>
        <w:rPr>
          <w:rFonts w:ascii="Arial" w:eastAsia="Arial" w:hAnsi="Arial" w:cs="Arial"/>
        </w:rPr>
      </w:pPr>
    </w:p>
    <w:p w14:paraId="7D172BBD" w14:textId="77777777" w:rsidR="001E10C1" w:rsidRPr="001E10C1" w:rsidRDefault="001E10C1" w:rsidP="001E10C1">
      <w:pPr>
        <w:widowControl w:val="0"/>
        <w:numPr>
          <w:ilvl w:val="0"/>
          <w:numId w:val="5"/>
        </w:numPr>
        <w:tabs>
          <w:tab w:val="left" w:pos="993"/>
        </w:tabs>
        <w:autoSpaceDE w:val="0"/>
        <w:autoSpaceDN w:val="0"/>
        <w:spacing w:after="0" w:line="240" w:lineRule="auto"/>
        <w:ind w:left="709" w:right="709"/>
        <w:jc w:val="both"/>
        <w:rPr>
          <w:rFonts w:ascii="Arial" w:eastAsia="Arial" w:hAnsi="Arial" w:cs="Arial"/>
        </w:rPr>
      </w:pPr>
      <w:r w:rsidRPr="001E10C1">
        <w:rPr>
          <w:rFonts w:ascii="Arial" w:eastAsia="Arial" w:hAnsi="Arial" w:cs="Arial"/>
        </w:rPr>
        <w:t>La lista de los Contratos en Ejecución, así como el valor y plazo de tales contratos.</w:t>
      </w:r>
    </w:p>
    <w:p w14:paraId="7CF5F72E" w14:textId="77777777" w:rsidR="001E10C1" w:rsidRPr="001E10C1" w:rsidRDefault="001E10C1" w:rsidP="001E10C1">
      <w:pPr>
        <w:widowControl w:val="0"/>
        <w:tabs>
          <w:tab w:val="left" w:pos="993"/>
        </w:tabs>
        <w:autoSpaceDE w:val="0"/>
        <w:autoSpaceDN w:val="0"/>
        <w:spacing w:after="0" w:line="240" w:lineRule="auto"/>
        <w:ind w:left="709" w:right="709"/>
        <w:jc w:val="both"/>
        <w:rPr>
          <w:rFonts w:ascii="Arial" w:eastAsia="Arial" w:hAnsi="Arial" w:cs="Arial"/>
        </w:rPr>
      </w:pPr>
    </w:p>
    <w:p w14:paraId="031893EE" w14:textId="77777777" w:rsidR="001E10C1" w:rsidRPr="001E10C1" w:rsidRDefault="001E10C1" w:rsidP="001E10C1">
      <w:pPr>
        <w:widowControl w:val="0"/>
        <w:numPr>
          <w:ilvl w:val="0"/>
          <w:numId w:val="5"/>
        </w:numPr>
        <w:tabs>
          <w:tab w:val="left" w:pos="993"/>
        </w:tabs>
        <w:autoSpaceDE w:val="0"/>
        <w:autoSpaceDN w:val="0"/>
        <w:spacing w:after="0" w:line="240" w:lineRule="auto"/>
        <w:ind w:left="709" w:right="709"/>
        <w:jc w:val="both"/>
        <w:rPr>
          <w:rFonts w:ascii="Arial" w:eastAsia="Arial" w:hAnsi="Arial" w:cs="Arial"/>
        </w:rPr>
      </w:pPr>
      <w:r w:rsidRPr="001E10C1">
        <w:rPr>
          <w:rFonts w:ascii="Arial" w:eastAsia="Arial" w:hAnsi="Arial" w:cs="Arial"/>
        </w:rPr>
        <w:t>La lista de los Contratos en Ejecución, suscritos por sociedades, consorcios o uniones temporales, en los cuales el proponente tenga participación, así como el valor y plazo de tales contratos.</w:t>
      </w:r>
    </w:p>
    <w:p w14:paraId="60EFBA72" w14:textId="77777777" w:rsidR="001E10C1" w:rsidRPr="001E10C1" w:rsidRDefault="001E10C1" w:rsidP="001E10C1">
      <w:pPr>
        <w:widowControl w:val="0"/>
        <w:tabs>
          <w:tab w:val="left" w:pos="993"/>
        </w:tabs>
        <w:autoSpaceDE w:val="0"/>
        <w:autoSpaceDN w:val="0"/>
        <w:spacing w:after="0" w:line="240" w:lineRule="auto"/>
        <w:ind w:right="709"/>
        <w:jc w:val="both"/>
        <w:rPr>
          <w:rFonts w:ascii="Arial" w:eastAsia="Arial" w:hAnsi="Arial" w:cs="Arial"/>
        </w:rPr>
      </w:pPr>
    </w:p>
    <w:p w14:paraId="67D08EF7" w14:textId="77777777" w:rsidR="001E10C1" w:rsidRPr="001E10C1" w:rsidRDefault="001E10C1" w:rsidP="001E10C1">
      <w:pPr>
        <w:widowControl w:val="0"/>
        <w:numPr>
          <w:ilvl w:val="0"/>
          <w:numId w:val="5"/>
        </w:numPr>
        <w:tabs>
          <w:tab w:val="left" w:pos="993"/>
        </w:tabs>
        <w:autoSpaceDE w:val="0"/>
        <w:autoSpaceDN w:val="0"/>
        <w:spacing w:after="0" w:line="240" w:lineRule="auto"/>
        <w:ind w:left="709" w:right="709"/>
        <w:jc w:val="both"/>
        <w:rPr>
          <w:rFonts w:ascii="Arial" w:eastAsia="Arial" w:hAnsi="Arial" w:cs="Arial"/>
        </w:rPr>
      </w:pPr>
      <w:r w:rsidRPr="001E10C1">
        <w:rPr>
          <w:rFonts w:ascii="Arial" w:eastAsia="Arial" w:hAnsi="Arial" w:cs="Arial"/>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47098B9F" w14:textId="77777777" w:rsidR="001E10C1" w:rsidRPr="001E10C1" w:rsidRDefault="001E10C1" w:rsidP="001E10C1">
      <w:pPr>
        <w:widowControl w:val="0"/>
        <w:autoSpaceDE w:val="0"/>
        <w:autoSpaceDN w:val="0"/>
        <w:spacing w:after="0" w:line="276" w:lineRule="auto"/>
        <w:ind w:right="51" w:firstLine="709"/>
        <w:jc w:val="both"/>
        <w:rPr>
          <w:rFonts w:ascii="Arial" w:eastAsia="Arial" w:hAnsi="Arial" w:cs="Arial"/>
        </w:rPr>
      </w:pPr>
    </w:p>
    <w:p w14:paraId="543E3032" w14:textId="77777777" w:rsidR="001E10C1" w:rsidRPr="001E10C1" w:rsidRDefault="001E10C1" w:rsidP="001E10C1">
      <w:pPr>
        <w:widowControl w:val="0"/>
        <w:autoSpaceDE w:val="0"/>
        <w:autoSpaceDN w:val="0"/>
        <w:spacing w:after="0" w:line="276" w:lineRule="auto"/>
        <w:ind w:firstLine="709"/>
        <w:jc w:val="both"/>
        <w:rPr>
          <w:rFonts w:ascii="Arial" w:eastAsia="Arial" w:hAnsi="Arial" w:cs="Arial"/>
        </w:rPr>
      </w:pPr>
      <w:r w:rsidRPr="001E10C1">
        <w:rPr>
          <w:rFonts w:ascii="Arial" w:eastAsia="Arial" w:hAnsi="Arial" w:cs="Arial"/>
        </w:rPr>
        <w:t>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70CBDB68" w14:textId="77777777" w:rsidR="001E10C1" w:rsidRPr="001E10C1" w:rsidRDefault="001E10C1" w:rsidP="001E10C1">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fórmula:</w:t>
      </w:r>
    </w:p>
    <w:p w14:paraId="57AD1E8A" w14:textId="77777777" w:rsidR="001E10C1" w:rsidRPr="001E10C1" w:rsidRDefault="001E10C1" w:rsidP="001E10C1">
      <w:pPr>
        <w:widowControl w:val="0"/>
        <w:tabs>
          <w:tab w:val="left" w:pos="709"/>
          <w:tab w:val="left" w:pos="8080"/>
        </w:tabs>
        <w:autoSpaceDE w:val="0"/>
        <w:autoSpaceDN w:val="0"/>
        <w:spacing w:before="10" w:after="0" w:line="240" w:lineRule="auto"/>
        <w:ind w:right="49"/>
        <w:rPr>
          <w:rFonts w:ascii="Arial" w:eastAsia="Arial" w:hAnsi="Arial" w:cs="Arial"/>
        </w:rPr>
      </w:pPr>
      <w:r w:rsidRPr="001E10C1">
        <w:rPr>
          <w:rFonts w:ascii="Arial" w:eastAsia="Arial" w:hAnsi="Arial" w:cs="Arial"/>
          <w:noProof/>
          <w:lang w:eastAsia="es-ES_tradnl"/>
        </w:rPr>
        <w:lastRenderedPageBreak/>
        <w:drawing>
          <wp:anchor distT="0" distB="0" distL="0" distR="0" simplePos="0" relativeHeight="251658240" behindDoc="0" locked="0" layoutInCell="1" allowOverlap="1" wp14:anchorId="25E9EFB1" wp14:editId="1A9D188B">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2779746B" w14:textId="77777777" w:rsidR="001E10C1" w:rsidRPr="001E10C1" w:rsidRDefault="001E10C1" w:rsidP="001E10C1">
      <w:pPr>
        <w:widowControl w:val="0"/>
        <w:autoSpaceDE w:val="0"/>
        <w:autoSpaceDN w:val="0"/>
        <w:spacing w:before="120" w:after="0" w:line="276" w:lineRule="auto"/>
        <w:ind w:right="51" w:firstLine="709"/>
        <w:jc w:val="both"/>
        <w:rPr>
          <w:rFonts w:ascii="Arial" w:eastAsia="Arial" w:hAnsi="Arial" w:cs="Arial"/>
        </w:rPr>
      </w:pPr>
    </w:p>
    <w:p w14:paraId="7973F001" w14:textId="77777777" w:rsidR="001E10C1" w:rsidRPr="001E10C1" w:rsidRDefault="001E10C1" w:rsidP="001E10C1">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A cada uno de estos factores se les debe asignar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6FCB4CF9" w14:textId="77777777" w:rsidR="001E10C1" w:rsidRPr="001E10C1" w:rsidRDefault="001E10C1" w:rsidP="00225D3B">
      <w:pPr>
        <w:widowControl w:val="0"/>
        <w:numPr>
          <w:ilvl w:val="0"/>
          <w:numId w:val="6"/>
        </w:numPr>
        <w:tabs>
          <w:tab w:val="left" w:pos="993"/>
        </w:tabs>
        <w:autoSpaceDE w:val="0"/>
        <w:autoSpaceDN w:val="0"/>
        <w:spacing w:before="120" w:after="0" w:line="276" w:lineRule="auto"/>
        <w:ind w:left="0" w:firstLine="709"/>
        <w:jc w:val="both"/>
        <w:rPr>
          <w:rFonts w:ascii="Arial" w:eastAsia="Arial" w:hAnsi="Arial" w:cs="Arial"/>
          <w:i/>
          <w:iCs/>
        </w:rPr>
      </w:pPr>
      <w:r w:rsidRPr="001E10C1">
        <w:rPr>
          <w:rFonts w:ascii="Arial" w:eastAsia="Arial" w:hAnsi="Arial" w:cs="Arial"/>
          <w:i/>
          <w:iCs/>
        </w:rPr>
        <w:t>Capacidad financiera.</w:t>
      </w:r>
      <w:r w:rsidRPr="001E10C1">
        <w:rPr>
          <w:rFonts w:ascii="Arial" w:eastAsia="Arial" w:hAnsi="Arial" w:cs="Arial"/>
        </w:rPr>
        <w:t xml:space="preserve"> Se mide por el «índice de liquidez» y este, a su vez, corresponde al resultado de dividir el «activo corriente» sobre el «pasivo corriente». El resultado puede ser calificado entre 20 y cuarenta puntos, según se explica en la Guía.</w:t>
      </w:r>
    </w:p>
    <w:p w14:paraId="6554DAF9" w14:textId="77777777" w:rsidR="001E10C1" w:rsidRPr="001E10C1" w:rsidRDefault="001E10C1" w:rsidP="00225D3B">
      <w:pPr>
        <w:widowControl w:val="0"/>
        <w:numPr>
          <w:ilvl w:val="0"/>
          <w:numId w:val="6"/>
        </w:numPr>
        <w:tabs>
          <w:tab w:val="left" w:pos="993"/>
        </w:tabs>
        <w:autoSpaceDE w:val="0"/>
        <w:autoSpaceDN w:val="0"/>
        <w:spacing w:before="120" w:after="0" w:line="276" w:lineRule="auto"/>
        <w:ind w:left="0" w:firstLine="709"/>
        <w:jc w:val="both"/>
        <w:rPr>
          <w:rFonts w:ascii="Arial" w:eastAsia="Arial" w:hAnsi="Arial" w:cs="Arial"/>
          <w:i/>
          <w:iCs/>
        </w:rPr>
      </w:pPr>
      <w:r w:rsidRPr="001E10C1">
        <w:rPr>
          <w:rFonts w:ascii="Arial" w:eastAsia="Arial" w:hAnsi="Arial" w:cs="Arial"/>
          <w:i/>
          <w:iCs/>
        </w:rPr>
        <w:t>Capacidad técnica</w:t>
      </w:r>
      <w:r w:rsidRPr="001E10C1">
        <w:rPr>
          <w:rFonts w:ascii="Arial" w:eastAsia="Arial" w:hAnsi="Arial" w:cs="Arial"/>
        </w:rPr>
        <w: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 −este es diferente al Anexo 2 de los Documentos Tipo−.</w:t>
      </w:r>
    </w:p>
    <w:p w14:paraId="03617FAB" w14:textId="77777777" w:rsidR="001E10C1" w:rsidRPr="001E10C1" w:rsidRDefault="001E10C1" w:rsidP="00225D3B">
      <w:pPr>
        <w:widowControl w:val="0"/>
        <w:numPr>
          <w:ilvl w:val="0"/>
          <w:numId w:val="6"/>
        </w:numPr>
        <w:tabs>
          <w:tab w:val="left" w:pos="993"/>
        </w:tabs>
        <w:autoSpaceDE w:val="0"/>
        <w:autoSpaceDN w:val="0"/>
        <w:spacing w:before="120" w:after="0" w:line="276" w:lineRule="auto"/>
        <w:ind w:left="0" w:firstLine="709"/>
        <w:jc w:val="both"/>
        <w:rPr>
          <w:rFonts w:ascii="Arial" w:eastAsia="Arial" w:hAnsi="Arial" w:cs="Arial"/>
          <w:i/>
          <w:iCs/>
        </w:rPr>
      </w:pPr>
      <w:r w:rsidRPr="001E10C1">
        <w:rPr>
          <w:rFonts w:ascii="Arial" w:eastAsia="Arial" w:hAnsi="Arial" w:cs="Arial"/>
          <w:i/>
          <w:iCs/>
        </w:rPr>
        <w:t>Capacidad de organización</w:t>
      </w:r>
      <w:r w:rsidRPr="001E10C1">
        <w:rPr>
          <w:rFonts w:ascii="Arial" w:eastAsia="Arial" w:hAnsi="Arial" w:cs="Arial"/>
        </w:rPr>
        <w:t>. Corresponde a los ingresos operacionales, según el siguiente cuadro:</w:t>
      </w:r>
    </w:p>
    <w:p w14:paraId="4E6B643D" w14:textId="77777777" w:rsidR="001E10C1" w:rsidRPr="001E10C1" w:rsidRDefault="001E10C1" w:rsidP="00225D3B">
      <w:pPr>
        <w:widowControl w:val="0"/>
        <w:tabs>
          <w:tab w:val="left" w:pos="993"/>
        </w:tabs>
        <w:autoSpaceDE w:val="0"/>
        <w:autoSpaceDN w:val="0"/>
        <w:spacing w:before="120" w:after="0" w:line="276" w:lineRule="auto"/>
        <w:ind w:right="51"/>
        <w:jc w:val="both"/>
        <w:rPr>
          <w:rFonts w:ascii="Arial" w:eastAsia="Arial" w:hAnsi="Arial" w:cs="Arial"/>
          <w:i/>
          <w:iCs/>
        </w:rPr>
      </w:pPr>
    </w:p>
    <w:tbl>
      <w:tblPr>
        <w:tblStyle w:val="Tablaconcuadrcula"/>
        <w:tblW w:w="7366" w:type="dxa"/>
        <w:tblInd w:w="709" w:type="dxa"/>
        <w:tblLook w:val="04A0" w:firstRow="1" w:lastRow="0" w:firstColumn="1" w:lastColumn="0" w:noHBand="0" w:noVBand="1"/>
      </w:tblPr>
      <w:tblGrid>
        <w:gridCol w:w="4053"/>
        <w:gridCol w:w="3313"/>
      </w:tblGrid>
      <w:tr w:rsidR="001E10C1" w:rsidRPr="001E10C1" w14:paraId="170052EA" w14:textId="77777777" w:rsidTr="00766CF6">
        <w:tc>
          <w:tcPr>
            <w:tcW w:w="4053" w:type="dxa"/>
            <w:shd w:val="clear" w:color="auto" w:fill="D9D9D9" w:themeFill="background1" w:themeFillShade="D9"/>
          </w:tcPr>
          <w:p w14:paraId="08F15CF1" w14:textId="77777777" w:rsidR="001E10C1" w:rsidRPr="001E10C1" w:rsidRDefault="001E10C1" w:rsidP="001E10C1">
            <w:pPr>
              <w:widowControl w:val="0"/>
              <w:tabs>
                <w:tab w:val="left" w:pos="993"/>
              </w:tabs>
              <w:spacing w:before="120" w:line="276" w:lineRule="auto"/>
              <w:ind w:right="51"/>
              <w:jc w:val="center"/>
              <w:rPr>
                <w:rFonts w:ascii="Arial" w:eastAsia="Arial" w:hAnsi="Arial" w:cs="Arial"/>
                <w:b/>
                <w:bCs/>
              </w:rPr>
            </w:pPr>
            <w:r w:rsidRPr="001E10C1">
              <w:rPr>
                <w:rFonts w:ascii="Arial" w:eastAsia="Arial" w:hAnsi="Arial" w:cs="Arial"/>
                <w:b/>
                <w:bCs/>
              </w:rPr>
              <w:t>Años de información financiera</w:t>
            </w:r>
          </w:p>
        </w:tc>
        <w:tc>
          <w:tcPr>
            <w:tcW w:w="3313" w:type="dxa"/>
            <w:shd w:val="clear" w:color="auto" w:fill="D9D9D9" w:themeFill="background1" w:themeFillShade="D9"/>
          </w:tcPr>
          <w:p w14:paraId="2E8748CB" w14:textId="77777777" w:rsidR="001E10C1" w:rsidRPr="001E10C1" w:rsidRDefault="001E10C1" w:rsidP="001E10C1">
            <w:pPr>
              <w:widowControl w:val="0"/>
              <w:tabs>
                <w:tab w:val="left" w:pos="993"/>
              </w:tabs>
              <w:spacing w:before="120" w:line="276" w:lineRule="auto"/>
              <w:ind w:right="51"/>
              <w:jc w:val="center"/>
              <w:rPr>
                <w:rFonts w:ascii="Arial" w:eastAsia="Arial" w:hAnsi="Arial" w:cs="Arial"/>
                <w:b/>
                <w:bCs/>
              </w:rPr>
            </w:pPr>
            <w:r w:rsidRPr="001E10C1">
              <w:rPr>
                <w:rFonts w:ascii="Arial" w:eastAsia="Arial" w:hAnsi="Arial" w:cs="Arial"/>
                <w:b/>
                <w:bCs/>
              </w:rPr>
              <w:t>Capacidad de organización</w:t>
            </w:r>
          </w:p>
        </w:tc>
      </w:tr>
      <w:tr w:rsidR="001E10C1" w:rsidRPr="001E10C1" w14:paraId="634F0758" w14:textId="77777777" w:rsidTr="00766CF6">
        <w:tc>
          <w:tcPr>
            <w:tcW w:w="4053" w:type="dxa"/>
          </w:tcPr>
          <w:p w14:paraId="02799335" w14:textId="77777777" w:rsidR="001E10C1" w:rsidRPr="001E10C1" w:rsidRDefault="001E10C1" w:rsidP="001E10C1">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Cinco (5) años o más</w:t>
            </w:r>
          </w:p>
        </w:tc>
        <w:tc>
          <w:tcPr>
            <w:tcW w:w="3313" w:type="dxa"/>
          </w:tcPr>
          <w:p w14:paraId="0D111493" w14:textId="77777777" w:rsidR="001E10C1" w:rsidRPr="001E10C1" w:rsidRDefault="001E10C1" w:rsidP="001E10C1">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Mayor ingreso operacional de los últimos cinco años</w:t>
            </w:r>
          </w:p>
        </w:tc>
      </w:tr>
      <w:tr w:rsidR="001E10C1" w:rsidRPr="001E10C1" w14:paraId="42A18027" w14:textId="77777777" w:rsidTr="00766CF6">
        <w:tc>
          <w:tcPr>
            <w:tcW w:w="4053" w:type="dxa"/>
          </w:tcPr>
          <w:p w14:paraId="69D9B7CA" w14:textId="77777777" w:rsidR="001E10C1" w:rsidRPr="001E10C1" w:rsidRDefault="001E10C1" w:rsidP="001E10C1">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Entre uno (1) y cinco (5) años</w:t>
            </w:r>
          </w:p>
        </w:tc>
        <w:tc>
          <w:tcPr>
            <w:tcW w:w="3313" w:type="dxa"/>
          </w:tcPr>
          <w:p w14:paraId="606CA276" w14:textId="77777777" w:rsidR="001E10C1" w:rsidRPr="001E10C1" w:rsidRDefault="001E10C1" w:rsidP="001E10C1">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Mayor ingreso operacional de los años de vida del oferente</w:t>
            </w:r>
          </w:p>
        </w:tc>
      </w:tr>
      <w:tr w:rsidR="001E10C1" w:rsidRPr="001E10C1" w14:paraId="1FC7B0D3" w14:textId="77777777" w:rsidTr="00766CF6">
        <w:tc>
          <w:tcPr>
            <w:tcW w:w="4053" w:type="dxa"/>
          </w:tcPr>
          <w:p w14:paraId="48BE389A" w14:textId="77777777" w:rsidR="001E10C1" w:rsidRPr="001E10C1" w:rsidRDefault="001E10C1" w:rsidP="001E10C1">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Menos de un (1) año</w:t>
            </w:r>
          </w:p>
        </w:tc>
        <w:tc>
          <w:tcPr>
            <w:tcW w:w="3313" w:type="dxa"/>
          </w:tcPr>
          <w:p w14:paraId="448E3D05" w14:textId="77777777" w:rsidR="001E10C1" w:rsidRPr="001E10C1" w:rsidRDefault="001E10C1" w:rsidP="001E10C1">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USD 125.000</w:t>
            </w:r>
          </w:p>
        </w:tc>
      </w:tr>
    </w:tbl>
    <w:p w14:paraId="4AD7577B" w14:textId="77777777" w:rsidR="001E10C1" w:rsidRPr="001E10C1" w:rsidRDefault="001E10C1" w:rsidP="00225D3B">
      <w:pPr>
        <w:widowControl w:val="0"/>
        <w:tabs>
          <w:tab w:val="left" w:pos="993"/>
        </w:tabs>
        <w:autoSpaceDE w:val="0"/>
        <w:autoSpaceDN w:val="0"/>
        <w:spacing w:before="120" w:after="0" w:line="276" w:lineRule="auto"/>
        <w:ind w:right="51"/>
        <w:jc w:val="both"/>
        <w:rPr>
          <w:rFonts w:ascii="Arial" w:eastAsia="Arial" w:hAnsi="Arial" w:cs="Arial"/>
          <w:i/>
          <w:iCs/>
        </w:rPr>
      </w:pPr>
    </w:p>
    <w:p w14:paraId="4243F8CD" w14:textId="77777777" w:rsidR="001E10C1" w:rsidRPr="001E10C1" w:rsidRDefault="001E10C1" w:rsidP="00225D3B">
      <w:pPr>
        <w:widowControl w:val="0"/>
        <w:numPr>
          <w:ilvl w:val="0"/>
          <w:numId w:val="6"/>
        </w:numPr>
        <w:tabs>
          <w:tab w:val="left" w:pos="993"/>
        </w:tabs>
        <w:autoSpaceDE w:val="0"/>
        <w:autoSpaceDN w:val="0"/>
        <w:spacing w:before="120" w:after="0" w:line="276" w:lineRule="auto"/>
        <w:ind w:left="0" w:firstLine="709"/>
        <w:jc w:val="both"/>
        <w:rPr>
          <w:rFonts w:ascii="Arial" w:eastAsia="Arial" w:hAnsi="Arial" w:cs="Arial"/>
        </w:rPr>
      </w:pPr>
      <w:r w:rsidRPr="001E10C1">
        <w:rPr>
          <w:rFonts w:ascii="Arial" w:eastAsia="Arial" w:hAnsi="Arial" w:cs="Arial"/>
          <w:i/>
          <w:iCs/>
        </w:rPr>
        <w:t>Saldos de los contratos en ejecución</w:t>
      </w:r>
      <w:r w:rsidRPr="001E10C1">
        <w:rPr>
          <w:rFonts w:ascii="Arial" w:eastAsia="Arial" w:hAnsi="Arial" w:cs="Arial"/>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44ACB89F" w14:textId="77777777" w:rsidR="001E10C1" w:rsidRPr="001E10C1" w:rsidRDefault="001E10C1" w:rsidP="00225D3B">
      <w:pPr>
        <w:widowControl w:val="0"/>
        <w:numPr>
          <w:ilvl w:val="0"/>
          <w:numId w:val="6"/>
        </w:numPr>
        <w:tabs>
          <w:tab w:val="left" w:pos="993"/>
        </w:tabs>
        <w:autoSpaceDE w:val="0"/>
        <w:autoSpaceDN w:val="0"/>
        <w:spacing w:before="120" w:after="0" w:line="276" w:lineRule="auto"/>
        <w:ind w:left="0" w:firstLine="709"/>
        <w:jc w:val="both"/>
        <w:rPr>
          <w:rFonts w:ascii="Arial" w:eastAsia="Arial" w:hAnsi="Arial" w:cs="Arial"/>
        </w:rPr>
      </w:pPr>
      <w:r w:rsidRPr="001E10C1">
        <w:rPr>
          <w:rFonts w:ascii="Arial" w:eastAsia="Arial" w:hAnsi="Arial" w:cs="Arial"/>
          <w:i/>
          <w:iCs/>
        </w:rPr>
        <w:lastRenderedPageBreak/>
        <w:t>Experiencia</w:t>
      </w:r>
      <w:r w:rsidRPr="001E10C1">
        <w:rPr>
          <w:rFonts w:ascii="Arial" w:eastAsia="Arial" w:hAnsi="Arial" w:cs="Arial"/>
        </w:rPr>
        <w:t xml:space="preserve">. Para los efectos de la capacidad residual −no para la experiencia general que debe acreditar el contratista según la Matriz 1−,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31339809" w14:textId="77777777" w:rsidR="001E10C1" w:rsidRPr="001E10C1" w:rsidRDefault="001E10C1" w:rsidP="001E10C1">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sidRPr="001E10C1">
        <w:rPr>
          <w:rFonts w:ascii="Arial" w:eastAsia="Arial" w:hAnsi="Arial" w:cs="Arial"/>
          <w:vertAlign w:val="superscript"/>
        </w:rPr>
        <w:footnoteReference w:id="5"/>
      </w:r>
      <w:r w:rsidRPr="001E10C1">
        <w:rPr>
          <w:rFonts w:ascii="Arial" w:eastAsia="Arial" w:hAnsi="Arial" w:cs="Arial"/>
        </w:rPr>
        <w:t xml:space="preserve">. </w:t>
      </w:r>
    </w:p>
    <w:p w14:paraId="235C56CE" w14:textId="77777777" w:rsidR="001E10C1" w:rsidRPr="001E10C1" w:rsidRDefault="001E10C1" w:rsidP="001E10C1">
      <w:pPr>
        <w:widowControl w:val="0"/>
        <w:autoSpaceDE w:val="0"/>
        <w:autoSpaceDN w:val="0"/>
        <w:spacing w:after="0" w:line="276" w:lineRule="auto"/>
        <w:ind w:right="51" w:firstLine="709"/>
        <w:jc w:val="both"/>
        <w:rPr>
          <w:rFonts w:ascii="Arial" w:eastAsia="Arial" w:hAnsi="Arial" w:cs="Arial"/>
        </w:rPr>
      </w:pPr>
    </w:p>
    <w:p w14:paraId="287AE5E5" w14:textId="77777777" w:rsidR="001E10C1" w:rsidRPr="001E10C1" w:rsidRDefault="001E10C1" w:rsidP="001E10C1">
      <w:pPr>
        <w:spacing w:after="0" w:line="276" w:lineRule="auto"/>
        <w:jc w:val="both"/>
        <w:rPr>
          <w:rFonts w:ascii="Arial" w:eastAsia="Times New Roman" w:hAnsi="Arial" w:cs="Arial"/>
          <w:b/>
          <w:bCs/>
          <w:lang w:eastAsia="es-MX"/>
        </w:rPr>
      </w:pPr>
      <w:r w:rsidRPr="001E10C1">
        <w:rPr>
          <w:rFonts w:ascii="Arial" w:eastAsia="Times New Roman" w:hAnsi="Arial" w:cs="Arial"/>
          <w:b/>
          <w:bCs/>
          <w:lang w:eastAsia="es-MX"/>
        </w:rPr>
        <w:t xml:space="preserve">2.2. Saldos pendientes provenientes de los contratos en ejecución </w:t>
      </w:r>
    </w:p>
    <w:p w14:paraId="0DD2397E" w14:textId="77777777" w:rsidR="001E10C1" w:rsidRPr="001E10C1" w:rsidRDefault="001E10C1" w:rsidP="001E10C1">
      <w:pPr>
        <w:spacing w:after="0" w:line="276" w:lineRule="auto"/>
        <w:jc w:val="both"/>
        <w:rPr>
          <w:rFonts w:ascii="Arial" w:eastAsia="Times New Roman" w:hAnsi="Arial" w:cs="Arial"/>
          <w:b/>
          <w:bCs/>
          <w:lang w:eastAsia="es-MX"/>
        </w:rPr>
      </w:pPr>
    </w:p>
    <w:p w14:paraId="54F44C32" w14:textId="77777777" w:rsidR="001E10C1" w:rsidRPr="001E10C1" w:rsidRDefault="001E10C1" w:rsidP="001E10C1">
      <w:pPr>
        <w:spacing w:after="0" w:line="276" w:lineRule="auto"/>
        <w:jc w:val="both"/>
        <w:rPr>
          <w:rFonts w:ascii="Arial" w:eastAsia="Times New Roman" w:hAnsi="Arial" w:cs="Arial"/>
          <w:lang w:eastAsia="es-MX"/>
        </w:rPr>
      </w:pPr>
      <w:bookmarkStart w:id="5" w:name="_Hlk128390666"/>
      <w:r w:rsidRPr="001E10C1">
        <w:rPr>
          <w:rFonts w:ascii="Arial" w:eastAsia="Times New Roman" w:hAnsi="Arial" w:cs="Arial"/>
          <w:lang w:eastAsia="es-MX"/>
        </w:rPr>
        <w:t xml:space="preserve">Esta Agencia ha manifestado en anteriores oportunidades que los contratos en ejecución son aquellos que, a la fecha de presentación de la oferta, obligan al proponente con entidades estatales y con entidades privadas para ejecutar obras públicas, incluyendo la ejecución de obras civiles en los contratos de concesión y los contratos de obra suscritos con concesionarios, incluyendo los contratos suspendidos y aquellos que no tengan acta de inicio. Es decir, los saldos pendientes se derivan de las obligaciones que se encuentran en ejecución al momento de la presentación de la oferta. A este respecto, no se entenderán como contratos en ejecución los que se encuentren en liquidación. Teniendo en cuenta que los contratos en ejecución son aquellos que a la fecha de presentación de la oferta obligan al proponente, se aclara que deben tenerse en cuenta los contratos sin acta de inicio, pues el criterio determinante para establecer si un </w:t>
      </w:r>
      <w:r w:rsidRPr="001E10C1">
        <w:rPr>
          <w:rFonts w:ascii="Arial" w:eastAsia="Times New Roman" w:hAnsi="Arial" w:cs="Arial"/>
          <w:lang w:eastAsia="es-MX"/>
        </w:rPr>
        <w:lastRenderedPageBreak/>
        <w:t>contrato se encuentra en ejecución no lo determina el acta de inicio, sino que el mismo obligue al proponente</w:t>
      </w:r>
      <w:r w:rsidRPr="001E10C1">
        <w:rPr>
          <w:rFonts w:ascii="Arial" w:eastAsia="Times New Roman" w:hAnsi="Arial" w:cs="Arial"/>
          <w:vertAlign w:val="superscript"/>
          <w:lang w:eastAsia="es-MX"/>
        </w:rPr>
        <w:footnoteReference w:id="6"/>
      </w:r>
      <w:r w:rsidRPr="001E10C1">
        <w:rPr>
          <w:rFonts w:ascii="Arial" w:eastAsia="Times New Roman" w:hAnsi="Arial" w:cs="Arial"/>
          <w:lang w:eastAsia="es-MX"/>
        </w:rPr>
        <w:t xml:space="preserve">. </w:t>
      </w:r>
      <w:r w:rsidRPr="001E10C1">
        <w:rPr>
          <w:rFonts w:ascii="Arial" w:eastAsia="Times New Roman" w:hAnsi="Arial" w:cs="Arial"/>
          <w:sz w:val="20"/>
          <w:szCs w:val="20"/>
          <w:lang w:eastAsia="es-MX"/>
        </w:rPr>
        <w:t xml:space="preserve"> </w:t>
      </w:r>
    </w:p>
    <w:bookmarkEnd w:id="5"/>
    <w:p w14:paraId="3B1C078F" w14:textId="77777777" w:rsidR="001E10C1" w:rsidRPr="001E10C1" w:rsidRDefault="001E10C1" w:rsidP="001E10C1">
      <w:pPr>
        <w:spacing w:before="120" w:after="0" w:line="276" w:lineRule="auto"/>
        <w:ind w:firstLine="708"/>
        <w:jc w:val="both"/>
        <w:rPr>
          <w:rFonts w:ascii="Arial" w:eastAsia="Times New Roman" w:hAnsi="Arial" w:cs="Arial"/>
          <w:i/>
          <w:iCs/>
          <w:lang w:eastAsia="es-MX"/>
        </w:rPr>
      </w:pPr>
      <w:r w:rsidRPr="001E10C1">
        <w:rPr>
          <w:rFonts w:ascii="Arial" w:eastAsia="Times New Roman" w:hAnsi="Arial" w:cs="Arial"/>
          <w:lang w:eastAsia="es-MX"/>
        </w:rPr>
        <w:t>En este sentido, la «Guía para Determinar y Verificar la Capacidad Residual del Proponente en los Procesos de Contratación de Obra Pública</w:t>
      </w:r>
      <w:r w:rsidRPr="001E10C1">
        <w:rPr>
          <w:rFonts w:ascii="Arial" w:eastAsia="Times New Roman" w:hAnsi="Arial" w:cs="Arial"/>
          <w:i/>
          <w:iCs/>
          <w:lang w:eastAsia="es-MX"/>
        </w:rPr>
        <w:t xml:space="preserve">» </w:t>
      </w:r>
      <w:r w:rsidRPr="001E10C1">
        <w:rPr>
          <w:rFonts w:ascii="Arial" w:eastAsia="Times New Roman" w:hAnsi="Arial" w:cs="Arial"/>
          <w:lang w:eastAsia="es-MX"/>
        </w:rPr>
        <w:t xml:space="preserve">define los </w:t>
      </w:r>
      <w:r w:rsidRPr="001E10C1">
        <w:rPr>
          <w:rFonts w:ascii="Arial" w:eastAsia="Times New Roman" w:hAnsi="Arial" w:cs="Arial"/>
          <w:i/>
          <w:iCs/>
          <w:lang w:eastAsia="es-MX"/>
        </w:rPr>
        <w:t>Contratos en ejecución</w:t>
      </w:r>
      <w:r w:rsidRPr="001E10C1">
        <w:rPr>
          <w:rFonts w:ascii="Arial" w:eastAsia="Times New Roman" w:hAnsi="Arial" w:cs="Arial"/>
          <w:lang w:eastAsia="es-MX"/>
        </w:rPr>
        <w:t xml:space="preserve"> de la siguiente manera: </w:t>
      </w:r>
      <w:r w:rsidRPr="001E10C1">
        <w:rPr>
          <w:rFonts w:ascii="Arial" w:eastAsia="Times New Roman" w:hAnsi="Arial" w:cs="Arial"/>
          <w:i/>
          <w:iCs/>
          <w:lang w:eastAsia="es-MX"/>
        </w:rPr>
        <w:t xml:space="preserve"> </w:t>
      </w:r>
    </w:p>
    <w:p w14:paraId="3D5ADA48" w14:textId="77777777" w:rsidR="001E10C1" w:rsidRPr="001E10C1" w:rsidRDefault="001E10C1" w:rsidP="001E10C1">
      <w:pPr>
        <w:spacing w:after="0" w:line="240" w:lineRule="auto"/>
        <w:ind w:left="709" w:right="709"/>
        <w:jc w:val="both"/>
        <w:rPr>
          <w:rFonts w:ascii="Arial" w:eastAsia="Times New Roman" w:hAnsi="Arial" w:cs="Arial"/>
          <w:lang w:eastAsia="es-MX"/>
        </w:rPr>
      </w:pPr>
    </w:p>
    <w:p w14:paraId="6174D41F" w14:textId="77777777" w:rsidR="001E10C1" w:rsidRPr="001E10C1" w:rsidRDefault="001E10C1" w:rsidP="001E10C1">
      <w:pPr>
        <w:spacing w:after="0" w:line="240" w:lineRule="auto"/>
        <w:ind w:left="709" w:right="709"/>
        <w:jc w:val="both"/>
        <w:rPr>
          <w:rFonts w:ascii="Arial" w:eastAsia="Times New Roman" w:hAnsi="Arial" w:cs="Arial"/>
          <w:lang w:eastAsia="es-MX"/>
        </w:rPr>
      </w:pPr>
      <w:r w:rsidRPr="001E10C1">
        <w:rPr>
          <w:rFonts w:ascii="Arial" w:eastAsia="Calibri" w:hAnsi="Arial" w:cs="Arial"/>
          <w:color w:val="000000" w:themeColor="text1"/>
          <w:sz w:val="21"/>
          <w:szCs w:val="21"/>
          <w:lang w:val="es-ES" w:eastAsia="es-MX"/>
        </w:rPr>
        <w:t>«</w:t>
      </w:r>
      <w:r w:rsidRPr="001E10C1">
        <w:rPr>
          <w:rFonts w:ascii="Arial" w:eastAsia="Times New Roman" w:hAnsi="Arial" w:cs="Arial"/>
          <w:sz w:val="21"/>
          <w:szCs w:val="21"/>
          <w:lang w:eastAsia="es-MX"/>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1E10C1">
        <w:rPr>
          <w:rFonts w:ascii="Arial" w:eastAsia="Times New Roman" w:hAnsi="Arial" w:cs="Arial"/>
          <w:sz w:val="21"/>
          <w:szCs w:val="21"/>
          <w:u w:val="single"/>
          <w:lang w:eastAsia="es-MX"/>
        </w:rPr>
        <w:t xml:space="preserve">incluyendo los contratos suspendidos y aquellos que no tengan acta de inicio. </w:t>
      </w:r>
      <w:r w:rsidRPr="001E10C1">
        <w:rPr>
          <w:rFonts w:ascii="Arial" w:eastAsia="Times New Roman" w:hAnsi="Arial" w:cs="Arial"/>
          <w:sz w:val="21"/>
          <w:szCs w:val="21"/>
          <w:lang w:eastAsia="es-MX"/>
        </w:rPr>
        <w:t>No se entenderán como contratos en ejecución los que se encuentren en liquidación. (Subrayas fuera del texto)</w:t>
      </w:r>
      <w:r w:rsidRPr="001E10C1">
        <w:rPr>
          <w:rFonts w:ascii="Arial" w:eastAsia="Times New Roman" w:hAnsi="Arial" w:cs="Arial"/>
          <w:vertAlign w:val="superscript"/>
          <w:lang w:eastAsia="es-MX"/>
        </w:rPr>
        <w:footnoteReference w:id="7"/>
      </w:r>
      <w:r w:rsidRPr="001E10C1">
        <w:rPr>
          <w:rFonts w:ascii="Arial" w:eastAsia="Times New Roman" w:hAnsi="Arial" w:cs="Arial"/>
          <w:lang w:eastAsia="es-MX"/>
        </w:rPr>
        <w:t>.</w:t>
      </w:r>
      <w:r w:rsidRPr="001E10C1">
        <w:rPr>
          <w:rFonts w:ascii="Arial" w:eastAsia="Calibri" w:hAnsi="Arial" w:cs="Arial"/>
          <w:color w:val="000000" w:themeColor="text1"/>
          <w:sz w:val="21"/>
          <w:szCs w:val="21"/>
          <w:lang w:val="es-ES" w:eastAsia="es-MX"/>
        </w:rPr>
        <w:t>»</w:t>
      </w:r>
    </w:p>
    <w:p w14:paraId="59FA8C8A" w14:textId="77777777" w:rsidR="001E10C1" w:rsidRPr="001E10C1" w:rsidRDefault="001E10C1" w:rsidP="001E10C1">
      <w:pPr>
        <w:spacing w:after="0" w:line="276" w:lineRule="auto"/>
        <w:jc w:val="both"/>
        <w:rPr>
          <w:rFonts w:ascii="Arial" w:eastAsia="Times New Roman" w:hAnsi="Arial" w:cs="Arial"/>
          <w:b/>
          <w:bCs/>
          <w:lang w:eastAsia="es-MX"/>
        </w:rPr>
      </w:pPr>
    </w:p>
    <w:p w14:paraId="7BEE7DD2" w14:textId="77777777" w:rsidR="001E10C1" w:rsidRPr="001E10C1" w:rsidRDefault="001E10C1" w:rsidP="001E10C1">
      <w:pPr>
        <w:spacing w:after="120" w:line="276" w:lineRule="auto"/>
        <w:ind w:firstLine="709"/>
        <w:jc w:val="both"/>
        <w:rPr>
          <w:rFonts w:ascii="Arial" w:eastAsia="Times New Roman" w:hAnsi="Arial" w:cs="Arial"/>
          <w:lang w:eastAsia="es-MX"/>
        </w:rPr>
      </w:pPr>
      <w:r w:rsidRPr="001E10C1">
        <w:rPr>
          <w:rFonts w:ascii="Arial" w:eastAsia="Times New Roman" w:hAnsi="Arial" w:cs="Arial"/>
          <w:lang w:eastAsia="es-MX"/>
        </w:rPr>
        <w:t>Como se observa, los saldos pendientes por ejecutar de los contratos suspendidos constituyen información que interesa para el cálculo del factor (SCE) «Saldos contratos en ejecución». Al respecto debe mencionarse que si bien la suspensión de los contratos estatales no es una institución regulada explícitamente en el Estatuto General de Contratación de la Administración Pública, los saldos de los contratos pendientes por ejecutar de los contratos afectados por una suspensión constituyen, también, información relevante para calcular la capacidad residual del proponente (CRP).</w:t>
      </w:r>
    </w:p>
    <w:p w14:paraId="075DCC84" w14:textId="77777777" w:rsidR="001E10C1" w:rsidRPr="001E10C1" w:rsidRDefault="001E10C1" w:rsidP="001E10C1">
      <w:pPr>
        <w:spacing w:before="120" w:after="0" w:line="276" w:lineRule="auto"/>
        <w:ind w:firstLine="709"/>
        <w:jc w:val="both"/>
        <w:rPr>
          <w:rFonts w:ascii="Arial" w:eastAsia="Times New Roman" w:hAnsi="Arial" w:cs="Arial"/>
          <w:lang w:eastAsia="es-MX"/>
        </w:rPr>
      </w:pPr>
      <w:r w:rsidRPr="001E10C1">
        <w:rPr>
          <w:rFonts w:ascii="Arial" w:eastAsia="Times New Roman" w:hAnsi="Arial" w:cs="Arial"/>
          <w:lang w:eastAsia="es-MX"/>
        </w:rPr>
        <w:t>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47B94BC" w14:textId="77777777" w:rsidR="001E10C1" w:rsidRPr="001E10C1" w:rsidRDefault="001E10C1" w:rsidP="001E10C1">
      <w:pPr>
        <w:spacing w:before="120" w:after="0" w:line="276" w:lineRule="auto"/>
        <w:ind w:firstLine="709"/>
        <w:jc w:val="both"/>
        <w:rPr>
          <w:rFonts w:ascii="Arial" w:eastAsia="Times New Roman" w:hAnsi="Arial" w:cs="Arial"/>
          <w:lang w:eastAsia="es-MX"/>
        </w:rPr>
      </w:pPr>
      <w:r w:rsidRPr="001E10C1">
        <w:rPr>
          <w:rFonts w:ascii="Arial" w:eastAsia="Times New Roman" w:hAnsi="Arial" w:cs="Arial"/>
          <w:lang w:eastAsia="es-MX"/>
        </w:rPr>
        <w:t xml:space="preserve"> En efecto, su relevancia surge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 Conforme a esto, en virtud de la competencia otorgada a esta Agencia por el artículo 2.2.1.1.1.6.4 del Decreto 1082 de 2015 para </w:t>
      </w:r>
      <w:r w:rsidRPr="001E10C1">
        <w:rPr>
          <w:rFonts w:ascii="Arial" w:eastAsia="Times New Roman" w:hAnsi="Arial" w:cs="Arial"/>
          <w:lang w:eastAsia="es-MX"/>
        </w:rPr>
        <w:lastRenderedPageBreak/>
        <w:t xml:space="preserve">determinar la metodología para el cálculo de la capacidad residual, en el marco de la expedición de la guía mencionada, incluyó el saldo pendiente por ejecutar de los contratos suspendidos dentro del factor (SCE) «Saldos contratos en ejecución» en los términos antes precisados. </w:t>
      </w:r>
    </w:p>
    <w:p w14:paraId="0405AD4B" w14:textId="77777777" w:rsidR="001E10C1" w:rsidRPr="001E10C1" w:rsidRDefault="001E10C1" w:rsidP="001E10C1">
      <w:pPr>
        <w:spacing w:after="0" w:line="276" w:lineRule="auto"/>
        <w:ind w:firstLine="709"/>
        <w:jc w:val="both"/>
        <w:rPr>
          <w:rFonts w:ascii="Arial" w:eastAsia="Times New Roman" w:hAnsi="Arial" w:cs="Arial"/>
          <w:lang w:eastAsia="es-MX"/>
        </w:rPr>
      </w:pPr>
    </w:p>
    <w:p w14:paraId="68D5C42D" w14:textId="77777777" w:rsidR="001E10C1" w:rsidRPr="001E10C1" w:rsidRDefault="001E10C1" w:rsidP="001E10C1">
      <w:pPr>
        <w:numPr>
          <w:ilvl w:val="1"/>
          <w:numId w:val="7"/>
        </w:numPr>
        <w:spacing w:after="0" w:line="276" w:lineRule="auto"/>
        <w:contextualSpacing/>
        <w:jc w:val="both"/>
        <w:rPr>
          <w:rFonts w:ascii="Arial" w:hAnsi="Arial" w:cs="Arial"/>
          <w:b/>
          <w:bCs/>
          <w:lang w:val="es-MX"/>
        </w:rPr>
      </w:pPr>
      <w:r w:rsidRPr="001E10C1">
        <w:rPr>
          <w:rFonts w:ascii="Arial" w:hAnsi="Arial" w:cs="Arial"/>
          <w:b/>
          <w:bCs/>
          <w:lang w:val="es-MX"/>
        </w:rPr>
        <w:t xml:space="preserve">Aplicativo para establecer la capacidad residual </w:t>
      </w:r>
    </w:p>
    <w:p w14:paraId="6BD3D972" w14:textId="77777777" w:rsidR="001E10C1" w:rsidRPr="001E10C1" w:rsidRDefault="001E10C1" w:rsidP="001E10C1">
      <w:pPr>
        <w:spacing w:after="0" w:line="276" w:lineRule="auto"/>
        <w:ind w:left="720"/>
        <w:contextualSpacing/>
        <w:jc w:val="both"/>
        <w:rPr>
          <w:rFonts w:ascii="Arial" w:hAnsi="Arial" w:cs="Arial"/>
          <w:b/>
          <w:bCs/>
          <w:lang w:val="es-MX"/>
        </w:rPr>
      </w:pPr>
    </w:p>
    <w:p w14:paraId="3949E838" w14:textId="77777777" w:rsidR="001E10C1" w:rsidRPr="001E10C1" w:rsidRDefault="001E10C1" w:rsidP="001E10C1">
      <w:pPr>
        <w:spacing w:after="120" w:line="276" w:lineRule="auto"/>
        <w:jc w:val="both"/>
        <w:rPr>
          <w:rFonts w:ascii="Arial" w:eastAsia="Arial" w:hAnsi="Arial" w:cs="Arial"/>
          <w:szCs w:val="24"/>
          <w:lang w:eastAsia="es-ES" w:bidi="es-ES"/>
        </w:rPr>
      </w:pPr>
      <w:r w:rsidRPr="001E10C1">
        <w:rPr>
          <w:rFonts w:ascii="Arial" w:eastAsia="Arial," w:hAnsi="Arial" w:cs="Arial"/>
          <w:lang w:eastAsia="es-MX"/>
        </w:rPr>
        <w:t xml:space="preserve">Para facilitar la implementación de la metodología para el cálculo de la capacidad residual, esta Agencia ha puesto a disposición de la ciudadanía una «Aplicación para establecer la Capacidad Residual», que sirve para calcular la capacidad residual en los procesos de selección, a la cual se puede acceder mediante el </w:t>
      </w:r>
      <w:r w:rsidRPr="001E10C1">
        <w:rPr>
          <w:rFonts w:ascii="Arial" w:eastAsia="Arial" w:hAnsi="Arial" w:cs="Arial"/>
          <w:szCs w:val="24"/>
          <w:lang w:eastAsia="es-ES" w:bidi="es-ES"/>
        </w:rPr>
        <w:t>enlace incluido en la siguiente nota al pie</w:t>
      </w:r>
      <w:r w:rsidRPr="001E10C1">
        <w:rPr>
          <w:rFonts w:ascii="Arial" w:eastAsia="Arial" w:hAnsi="Arial" w:cs="Arial"/>
          <w:vertAlign w:val="superscript"/>
          <w:lang w:eastAsia="es-ES" w:bidi="es-ES"/>
        </w:rPr>
        <w:footnoteReference w:id="8"/>
      </w:r>
      <w:r w:rsidRPr="001E10C1">
        <w:rPr>
          <w:rFonts w:ascii="Arial" w:eastAsia="Arial" w:hAnsi="Arial" w:cs="Arial"/>
          <w:szCs w:val="24"/>
          <w:lang w:eastAsia="es-ES" w:bidi="es-ES"/>
        </w:rPr>
        <w:t xml:space="preserve">. </w:t>
      </w:r>
    </w:p>
    <w:p w14:paraId="635E8548" w14:textId="77777777" w:rsidR="001E10C1" w:rsidRPr="001E10C1" w:rsidRDefault="001E10C1" w:rsidP="001E10C1">
      <w:pPr>
        <w:spacing w:after="120" w:line="276" w:lineRule="auto"/>
        <w:ind w:firstLine="708"/>
        <w:jc w:val="both"/>
        <w:rPr>
          <w:rFonts w:ascii="Arial" w:eastAsia="Arial," w:hAnsi="Arial" w:cs="Arial"/>
          <w:lang w:eastAsia="es-MX"/>
        </w:rPr>
      </w:pPr>
      <w:r w:rsidRPr="001E10C1">
        <w:rPr>
          <w:rFonts w:ascii="Arial" w:eastAsia="Arial" w:hAnsi="Arial" w:cs="Arial"/>
          <w:szCs w:val="24"/>
          <w:lang w:eastAsia="es-ES" w:bidi="es-ES"/>
        </w:rPr>
        <w:t>Este, pregunta, en primer lugar, el número de contratos en ejecución, y tras darse clic en el botón «Guardar información» despliega una tabla con una fila para cada contrato, cada una de las cuales consta de cinco columnas en las que se debe indicar: i) valor en pesos colombianos del contrato; ii) la fecha inicio; iii) el plazo expresado en meses;  iv) establecer si trata o no de un contrato ejecutado por un contratista plural; v) el porcentaje de participación en la ejecución del contrato; vi) indicar si el contrato se encuentra suspendido o no; y vii) la fecha de suspensión.</w:t>
      </w:r>
      <w:r w:rsidRPr="001E10C1">
        <w:rPr>
          <w:rFonts w:ascii="Arial" w:eastAsia="Arial," w:hAnsi="Arial" w:cs="Arial"/>
          <w:lang w:eastAsia="es-MX"/>
        </w:rPr>
        <w:t xml:space="preserve"> Referente a las ultimas columnas, es necesario resaltar que la información solicitada se refiere a si el contrato se encuentra suspendido, caso en el cual se debe informar la fecha de suspensión. Al respecto, es necesario aclarar que la información que se requiere es únicamente la solicitada por el aplicativo y no una distinta a esta, lo cual es plenamente coincidente con las consideraciones efectuadas en relación con la capacidad residual. </w:t>
      </w:r>
    </w:p>
    <w:p w14:paraId="3C2C0C4C" w14:textId="77777777" w:rsidR="001E10C1" w:rsidRPr="001E10C1" w:rsidRDefault="001E10C1" w:rsidP="001E10C1">
      <w:pPr>
        <w:spacing w:after="120" w:line="276" w:lineRule="auto"/>
        <w:ind w:right="49" w:firstLine="709"/>
        <w:jc w:val="both"/>
        <w:rPr>
          <w:rFonts w:ascii="Arial" w:eastAsia="Arial," w:hAnsi="Arial" w:cs="Arial"/>
          <w:lang w:eastAsia="es-MX"/>
        </w:rPr>
      </w:pPr>
      <w:r w:rsidRPr="001E10C1">
        <w:rPr>
          <w:rFonts w:ascii="Arial" w:eastAsia="Arial," w:hAnsi="Arial" w:cs="Arial"/>
          <w:lang w:eastAsia="es-MX"/>
        </w:rPr>
        <w:t xml:space="preserve">Para diligenciar las señaladas columnas del aplicativo se deberá tener en cuenta lo dispuesto </w:t>
      </w:r>
      <w:r w:rsidRPr="001E10C1">
        <w:rPr>
          <w:rFonts w:ascii="Arial" w:eastAsia="Times New Roman" w:hAnsi="Arial" w:cs="Arial"/>
          <w:lang w:eastAsia="es-MX"/>
        </w:rPr>
        <w:t>en la señalada guía, por lo que en lo relativo a los contratos suspendidos el interesado deberá informar como valor los saldos pendientes por ejecutar y como fecha de inicio la de presentación de la oferta.</w:t>
      </w:r>
    </w:p>
    <w:p w14:paraId="00E0A418" w14:textId="77777777" w:rsidR="001E10C1" w:rsidRPr="001E10C1" w:rsidRDefault="001E10C1" w:rsidP="001E10C1">
      <w:pPr>
        <w:widowControl w:val="0"/>
        <w:autoSpaceDE w:val="0"/>
        <w:autoSpaceDN w:val="0"/>
        <w:spacing w:after="0" w:line="276" w:lineRule="auto"/>
        <w:ind w:firstLine="709"/>
        <w:jc w:val="both"/>
        <w:rPr>
          <w:rFonts w:ascii="Arial" w:eastAsia="Arial," w:hAnsi="Arial" w:cs="Arial"/>
        </w:rPr>
      </w:pPr>
      <w:r w:rsidRPr="001E10C1">
        <w:rPr>
          <w:rFonts w:ascii="Arial" w:eastAsia="Arial," w:hAnsi="Arial" w:cs="Arial"/>
        </w:rPr>
        <w:t>Si bien el aplicativo de Excel desarrollado por esta Agencia constituye una herramienta que facilita la implementación de la metodología establecida en la guía, su uso no exime del deber de aplicar lo dispuesto en la normativa pertinente. En virtud de esto, el aplicativo más que una herramienta para determinar si se cumple o no con la capacidad residual, constituye una herramienta de validación de la aplicación de la metodología dispuesta en la guía, en la medida en que si bien no es de uso obligatorio facilita el cálculo de la capacidad residual</w:t>
      </w:r>
      <w:r w:rsidRPr="001E10C1">
        <w:rPr>
          <w:rFonts w:ascii="Arial" w:eastAsia="Arial" w:hAnsi="Arial" w:cs="Arial"/>
          <w:sz w:val="20"/>
          <w:szCs w:val="20"/>
        </w:rPr>
        <w:t xml:space="preserve">. </w:t>
      </w:r>
      <w:r w:rsidRPr="001E10C1">
        <w:rPr>
          <w:rFonts w:ascii="Arial" w:eastAsia="Arial," w:hAnsi="Arial" w:cs="Arial"/>
        </w:rPr>
        <w:t>Así mismo, se reitera, la guía es el instrumento que detenta fuerza vinculante y, por tanto, son sus disposiciones las que deben observarse para la determinación de la capacidad residual.</w:t>
      </w:r>
    </w:p>
    <w:p w14:paraId="4503D016" w14:textId="77777777" w:rsidR="001E10C1" w:rsidRPr="001E10C1" w:rsidRDefault="001E10C1" w:rsidP="001E10C1">
      <w:pPr>
        <w:widowControl w:val="0"/>
        <w:autoSpaceDE w:val="0"/>
        <w:autoSpaceDN w:val="0"/>
        <w:spacing w:after="0" w:line="276" w:lineRule="auto"/>
        <w:ind w:firstLine="709"/>
        <w:jc w:val="both"/>
        <w:rPr>
          <w:rFonts w:ascii="Arial" w:eastAsia="Arial" w:hAnsi="Arial" w:cs="Arial"/>
          <w:sz w:val="20"/>
          <w:szCs w:val="20"/>
        </w:rPr>
      </w:pPr>
    </w:p>
    <w:p w14:paraId="3E52ABA4" w14:textId="77777777" w:rsidR="001E10C1" w:rsidRPr="001E10C1" w:rsidRDefault="001E10C1" w:rsidP="001E10C1">
      <w:pPr>
        <w:numPr>
          <w:ilvl w:val="0"/>
          <w:numId w:val="4"/>
        </w:numPr>
        <w:tabs>
          <w:tab w:val="left" w:pos="426"/>
          <w:tab w:val="left" w:pos="851"/>
        </w:tabs>
        <w:spacing w:after="0" w:line="276" w:lineRule="auto"/>
        <w:contextualSpacing/>
        <w:jc w:val="both"/>
        <w:rPr>
          <w:rFonts w:ascii="Arial" w:hAnsi="Arial" w:cs="Arial"/>
          <w:b/>
          <w:bCs/>
          <w:color w:val="000000"/>
          <w:bdr w:val="none" w:sz="0" w:space="0" w:color="auto" w:frame="1"/>
          <w:lang w:val="es-MX"/>
        </w:rPr>
      </w:pPr>
      <w:r w:rsidRPr="001E10C1">
        <w:rPr>
          <w:rFonts w:ascii="Arial" w:hAnsi="Arial" w:cs="Arial"/>
          <w:b/>
          <w:bCs/>
          <w:color w:val="000000"/>
          <w:bdr w:val="none" w:sz="0" w:space="0" w:color="auto" w:frame="1"/>
          <w:lang w:val="es-MX"/>
        </w:rPr>
        <w:t xml:space="preserve">Respuesta </w:t>
      </w:r>
    </w:p>
    <w:p w14:paraId="048F9B1B" w14:textId="77777777" w:rsidR="001E10C1" w:rsidRPr="001E10C1" w:rsidRDefault="001E10C1" w:rsidP="001E10C1">
      <w:pPr>
        <w:tabs>
          <w:tab w:val="left" w:pos="426"/>
          <w:tab w:val="left" w:pos="851"/>
        </w:tabs>
        <w:spacing w:after="0" w:line="276" w:lineRule="auto"/>
        <w:ind w:left="709" w:right="709"/>
        <w:jc w:val="both"/>
        <w:rPr>
          <w:rFonts w:ascii="Arial" w:eastAsia="Times New Roman" w:hAnsi="Arial" w:cs="Arial"/>
          <w:b/>
          <w:bCs/>
          <w:color w:val="000000"/>
          <w:szCs w:val="24"/>
          <w:bdr w:val="none" w:sz="0" w:space="0" w:color="auto" w:frame="1"/>
          <w:lang w:eastAsia="es-MX"/>
        </w:rPr>
      </w:pPr>
    </w:p>
    <w:p w14:paraId="143E1D33" w14:textId="77777777" w:rsidR="001E10C1" w:rsidRPr="001E10C1" w:rsidRDefault="001E10C1" w:rsidP="001E10C1">
      <w:pPr>
        <w:spacing w:after="0" w:line="240" w:lineRule="auto"/>
        <w:ind w:left="708"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lastRenderedPageBreak/>
        <w:t xml:space="preserve">«¿Se debe recalcular la capacidad residual de este oferente? </w:t>
      </w:r>
    </w:p>
    <w:p w14:paraId="2DF2DE75" w14:textId="77777777" w:rsidR="001E10C1" w:rsidRPr="001E10C1" w:rsidRDefault="001E10C1" w:rsidP="001E10C1">
      <w:pPr>
        <w:spacing w:after="0" w:line="240" w:lineRule="auto"/>
        <w:ind w:left="708" w:right="709"/>
        <w:jc w:val="both"/>
        <w:rPr>
          <w:rFonts w:ascii="Arial" w:eastAsia="Calibri" w:hAnsi="Arial" w:cs="Arial"/>
          <w:color w:val="000000" w:themeColor="text1"/>
          <w:sz w:val="21"/>
          <w:szCs w:val="21"/>
          <w:lang w:eastAsia="es-MX"/>
        </w:rPr>
      </w:pPr>
    </w:p>
    <w:p w14:paraId="594CF96E" w14:textId="77777777" w:rsidR="001E10C1" w:rsidRPr="001E10C1" w:rsidRDefault="001E10C1" w:rsidP="001E10C1">
      <w:pPr>
        <w:spacing w:after="0" w:line="240" w:lineRule="auto"/>
        <w:ind w:left="708"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t>¿Debe aplicarse la ineficacia de pleno derecho por yuxtaponerse a la Ley?</w:t>
      </w:r>
    </w:p>
    <w:p w14:paraId="7909E360" w14:textId="77777777" w:rsidR="001E10C1" w:rsidRPr="001E10C1" w:rsidRDefault="001E10C1" w:rsidP="001E10C1">
      <w:pPr>
        <w:spacing w:after="0" w:line="240" w:lineRule="auto"/>
        <w:ind w:left="708" w:right="709"/>
        <w:jc w:val="both"/>
        <w:rPr>
          <w:rFonts w:ascii="Arial" w:eastAsia="Calibri" w:hAnsi="Arial" w:cs="Arial"/>
          <w:color w:val="000000" w:themeColor="text1"/>
          <w:sz w:val="21"/>
          <w:szCs w:val="21"/>
          <w:lang w:eastAsia="es-MX"/>
        </w:rPr>
      </w:pPr>
    </w:p>
    <w:p w14:paraId="0B64C1BB" w14:textId="77777777" w:rsidR="001E10C1" w:rsidRPr="001E10C1" w:rsidRDefault="001E10C1" w:rsidP="001E10C1">
      <w:pPr>
        <w:spacing w:after="0" w:line="240" w:lineRule="auto"/>
        <w:ind w:left="708" w:right="709"/>
        <w:jc w:val="both"/>
        <w:rPr>
          <w:rFonts w:ascii="Arial" w:eastAsia="Calibri" w:hAnsi="Arial" w:cs="Arial"/>
          <w:color w:val="000000" w:themeColor="text1"/>
          <w:sz w:val="21"/>
          <w:szCs w:val="21"/>
          <w:lang w:eastAsia="es-MX"/>
        </w:rPr>
      </w:pPr>
      <w:r w:rsidRPr="001E10C1">
        <w:rPr>
          <w:rFonts w:ascii="Arial" w:eastAsia="Calibri" w:hAnsi="Arial" w:cs="Arial"/>
          <w:color w:val="000000" w:themeColor="text1"/>
          <w:sz w:val="21"/>
          <w:szCs w:val="21"/>
          <w:lang w:eastAsia="es-MX"/>
        </w:rPr>
        <w:t>¿Debe efectuar nuevo cálculo de  capacidad  residual aun cuando  sea  por  hechos o circunstancias  ocurridos  con  posterioridad  a  la  fecha  de  cierre  que  desfavorecen  la oferta?</w:t>
      </w:r>
    </w:p>
    <w:p w14:paraId="3368CD1F" w14:textId="77777777" w:rsidR="001E10C1" w:rsidRPr="001E10C1" w:rsidRDefault="001E10C1" w:rsidP="001E10C1">
      <w:pPr>
        <w:spacing w:after="0" w:line="240" w:lineRule="auto"/>
        <w:ind w:left="708" w:right="709"/>
        <w:jc w:val="both"/>
        <w:rPr>
          <w:rFonts w:ascii="Arial" w:eastAsia="Calibri" w:hAnsi="Arial" w:cs="Arial"/>
          <w:color w:val="000000" w:themeColor="text1"/>
          <w:sz w:val="21"/>
          <w:szCs w:val="21"/>
          <w:lang w:eastAsia="es-MX"/>
        </w:rPr>
      </w:pPr>
    </w:p>
    <w:p w14:paraId="5691DBDA" w14:textId="77777777" w:rsidR="001E10C1" w:rsidRPr="001E10C1" w:rsidRDefault="001E10C1" w:rsidP="001E10C1">
      <w:pPr>
        <w:spacing w:after="0" w:line="240" w:lineRule="auto"/>
        <w:ind w:left="708" w:right="709"/>
        <w:jc w:val="both"/>
        <w:rPr>
          <w:rFonts w:ascii="Arial" w:eastAsia="Times New Roman" w:hAnsi="Arial" w:cs="Arial"/>
          <w:color w:val="000000"/>
          <w:sz w:val="21"/>
          <w:szCs w:val="21"/>
          <w:bdr w:val="none" w:sz="0" w:space="0" w:color="auto" w:frame="1"/>
          <w:lang w:eastAsia="es-MX"/>
        </w:rPr>
      </w:pPr>
      <w:r w:rsidRPr="001E10C1">
        <w:rPr>
          <w:rFonts w:ascii="Arial" w:eastAsia="Calibri" w:hAnsi="Arial" w:cs="Arial"/>
          <w:color w:val="000000" w:themeColor="text1"/>
          <w:sz w:val="21"/>
          <w:szCs w:val="21"/>
          <w:lang w:eastAsia="es-MX"/>
        </w:rPr>
        <w:t>¿Contrario sensu de la pregunta anterior si después del cierre de la oferta se presenta hecho o circunstancias que mejoren la capacidad residual, el oferente puede acreditar estas circunstancias para realizar un recalculo que lo favorezcan?»</w:t>
      </w:r>
    </w:p>
    <w:p w14:paraId="34AC1FE0" w14:textId="77777777" w:rsidR="001E10C1" w:rsidRPr="001E10C1" w:rsidRDefault="001E10C1" w:rsidP="001E10C1">
      <w:pPr>
        <w:spacing w:after="0" w:line="240" w:lineRule="auto"/>
        <w:ind w:right="709"/>
        <w:jc w:val="both"/>
        <w:rPr>
          <w:rFonts w:ascii="Arial" w:eastAsia="Times New Roman" w:hAnsi="Arial" w:cs="Arial"/>
          <w:color w:val="000000"/>
          <w:sz w:val="21"/>
          <w:szCs w:val="21"/>
          <w:bdr w:val="none" w:sz="0" w:space="0" w:color="auto" w:frame="1"/>
          <w:lang w:eastAsia="es-MX"/>
        </w:rPr>
      </w:pPr>
    </w:p>
    <w:p w14:paraId="4A4F9A82" w14:textId="77777777" w:rsidR="001E10C1" w:rsidRPr="001E10C1" w:rsidRDefault="001E10C1" w:rsidP="001E10C1">
      <w:pPr>
        <w:widowControl w:val="0"/>
        <w:autoSpaceDE w:val="0"/>
        <w:autoSpaceDN w:val="0"/>
        <w:spacing w:after="120" w:line="276" w:lineRule="auto"/>
        <w:jc w:val="both"/>
        <w:rPr>
          <w:rFonts w:ascii="Arial" w:eastAsia="Arial" w:hAnsi="Arial" w:cs="Arial"/>
        </w:rPr>
      </w:pPr>
      <w:r w:rsidRPr="001E10C1">
        <w:rPr>
          <w:rFonts w:ascii="Arial" w:eastAsia="Arial" w:hAnsi="Arial" w:cs="Arial"/>
        </w:rPr>
        <w:t xml:space="preserve">La capacidad residual es una aptitud que se exige a los oferentes en los procesos de selección, con el objetivo de establecer o determinar si estos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 </w:t>
      </w:r>
    </w:p>
    <w:p w14:paraId="6AE747AA" w14:textId="77777777" w:rsidR="001E10C1" w:rsidRPr="001E10C1" w:rsidRDefault="001E10C1" w:rsidP="001E10C1">
      <w:pPr>
        <w:widowControl w:val="0"/>
        <w:autoSpaceDE w:val="0"/>
        <w:autoSpaceDN w:val="0"/>
        <w:spacing w:after="120" w:line="276" w:lineRule="auto"/>
        <w:ind w:firstLine="709"/>
        <w:jc w:val="both"/>
        <w:rPr>
          <w:rFonts w:ascii="Arial" w:eastAsia="Arial" w:hAnsi="Arial" w:cs="Arial"/>
        </w:rPr>
      </w:pPr>
      <w:r w:rsidRPr="001E10C1">
        <w:rPr>
          <w:rFonts w:ascii="Arial" w:eastAsia="Arial" w:hAnsi="Arial" w:cs="Arial"/>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45B527D0" w14:textId="77777777" w:rsidR="001E10C1" w:rsidRPr="001E10C1" w:rsidRDefault="001E10C1" w:rsidP="001E10C1">
      <w:pPr>
        <w:widowControl w:val="0"/>
        <w:autoSpaceDE w:val="0"/>
        <w:autoSpaceDN w:val="0"/>
        <w:spacing w:after="120" w:line="276" w:lineRule="auto"/>
        <w:ind w:firstLine="709"/>
        <w:jc w:val="both"/>
        <w:rPr>
          <w:rFonts w:ascii="Arial" w:eastAsia="Arial" w:hAnsi="Arial" w:cs="Arial"/>
        </w:rPr>
      </w:pPr>
      <w:r w:rsidRPr="001E10C1">
        <w:rPr>
          <w:rFonts w:ascii="Arial" w:eastAsia="Arial" w:hAnsi="Arial" w:cs="Arial"/>
        </w:rPr>
        <w:t>Por su parte, el artículo 2.2.1.1.1.6.4 del Decreto 1082 de 2015 dispuso que las entidades estatales deben calcular la capacidad residual conforme a la metodología definida por Colombia Compra Eficiente y precisó que, para tales fines, resulta necesario tener en cuenta los factores de: i) experiencia; ii) capacidad financiera; iii) capacidad técnica; iv) capacidad de organización; y v) los saldos de los contratos en ejecución.</w:t>
      </w:r>
    </w:p>
    <w:p w14:paraId="51C5357F" w14:textId="77777777" w:rsidR="001E10C1" w:rsidRPr="001E10C1" w:rsidRDefault="001E10C1" w:rsidP="001E10C1">
      <w:pPr>
        <w:widowControl w:val="0"/>
        <w:autoSpaceDE w:val="0"/>
        <w:autoSpaceDN w:val="0"/>
        <w:spacing w:after="120" w:line="276" w:lineRule="auto"/>
        <w:ind w:firstLine="709"/>
        <w:jc w:val="both"/>
        <w:rPr>
          <w:rFonts w:ascii="Arial" w:eastAsia="Arial" w:hAnsi="Arial" w:cs="Arial"/>
        </w:rPr>
      </w:pPr>
      <w:r w:rsidRPr="001E10C1">
        <w:rPr>
          <w:rFonts w:ascii="Arial" w:eastAsia="Arial" w:hAnsi="Arial" w:cs="Arial"/>
        </w:rPr>
        <w:t>De conformidad con lo anterior, esta Agencia expidió la «Guía para Determinar y Verificar la Capacidad Residual del Proponente en los Procesos de Contratación de Obra Pública». En este documento se establece, entre otras cuestiones, que a la entidad contratante le corresponde, primero, establecer la capacidad residual del proceso de contratación «CRPC» y, segundo, determinar si los proponentes cumplen con la capacidad residual del proceso de contratación.</w:t>
      </w:r>
    </w:p>
    <w:p w14:paraId="15A2284C" w14:textId="77777777" w:rsidR="001E10C1" w:rsidRPr="001E10C1" w:rsidRDefault="001E10C1" w:rsidP="001E10C1">
      <w:pPr>
        <w:widowControl w:val="0"/>
        <w:autoSpaceDE w:val="0"/>
        <w:autoSpaceDN w:val="0"/>
        <w:spacing w:after="120" w:line="276" w:lineRule="auto"/>
        <w:ind w:firstLine="709"/>
        <w:jc w:val="both"/>
        <w:rPr>
          <w:rFonts w:ascii="Arial" w:eastAsia="Arial" w:hAnsi="Arial" w:cs="Arial"/>
        </w:rPr>
      </w:pPr>
      <w:r w:rsidRPr="001E10C1">
        <w:rPr>
          <w:rFonts w:ascii="Arial" w:eastAsia="Arial" w:hAnsi="Arial" w:cs="Arial"/>
          <w:sz w:val="21"/>
          <w:szCs w:val="21"/>
          <w:lang w:val="es-ES"/>
        </w:rPr>
        <w:t>Según la referida Guía, los contratos en ejecución son aquellos que a la fecha de presentación de la oferta obligan al proponente con Entidades Estatales y con entidades privadas para ejecutar obras civiles, incluyendo la ejecución de obras civiles en los contratos de concesión y los contratos de obra suscritos con concesionarios, así como los contratos suspendidos y aquellos que no tengan acta de inicio. También, precisa que no se entenderán como contratos en ejecución los que se encuentren en liquidación.</w:t>
      </w:r>
    </w:p>
    <w:p w14:paraId="08F0B950" w14:textId="77777777" w:rsidR="001E10C1" w:rsidRPr="001E10C1" w:rsidRDefault="001E10C1" w:rsidP="001E10C1">
      <w:pPr>
        <w:widowControl w:val="0"/>
        <w:autoSpaceDE w:val="0"/>
        <w:autoSpaceDN w:val="0"/>
        <w:spacing w:after="120" w:line="276" w:lineRule="auto"/>
        <w:ind w:firstLine="709"/>
        <w:jc w:val="both"/>
        <w:rPr>
          <w:rFonts w:ascii="Arial" w:eastAsia="Arial" w:hAnsi="Arial" w:cs="Arial"/>
        </w:rPr>
      </w:pPr>
      <w:r w:rsidRPr="001E10C1">
        <w:rPr>
          <w:rFonts w:ascii="Arial" w:eastAsia="Arial" w:hAnsi="Arial" w:cs="Arial"/>
        </w:rPr>
        <w:lastRenderedPageBreak/>
        <w:t>Por su parte, en relación con el cálculo de los saldos de contratos en ejecución, es importante señalar que este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1601F367" w14:textId="77777777" w:rsidR="001E10C1" w:rsidRPr="001E10C1" w:rsidRDefault="001E10C1" w:rsidP="001E10C1">
      <w:pPr>
        <w:widowControl w:val="0"/>
        <w:autoSpaceDE w:val="0"/>
        <w:autoSpaceDN w:val="0"/>
        <w:spacing w:after="0" w:line="276" w:lineRule="auto"/>
        <w:ind w:firstLine="709"/>
        <w:jc w:val="both"/>
        <w:rPr>
          <w:rFonts w:ascii="Arial" w:eastAsia="Arial" w:hAnsi="Arial" w:cs="Arial"/>
        </w:rPr>
      </w:pPr>
      <w:r w:rsidRPr="001E10C1">
        <w:rPr>
          <w:rFonts w:ascii="Arial" w:eastAsia="Arial" w:hAnsi="Arial" w:cs="Arial"/>
        </w:rPr>
        <w:t xml:space="preserve">En virtud de lo expuesto, el cálculo de los saldos de contratos en ejecución no puede tener en cuenta contratos que sean adjudicados con posterioridad al cierre del respectivo proceso de contratación, ya que, como se explicó, los contratos en ejecución son aquellos que a la fecha de presentación de las ofertas, obligan al proponente con Entidades Estatales y con entidades privadas, y, en consecuencia, </w:t>
      </w:r>
      <w:r w:rsidRPr="001E10C1">
        <w:rPr>
          <w:rFonts w:ascii="Arial" w:eastAsia="Arial" w:hAnsi="Arial" w:cs="Arial"/>
          <w:lang w:val="es-ES"/>
        </w:rPr>
        <w:t>los saldos pendientes se derivan de las obligaciones que se encuentran en ejecución al momento de la presentación de la oferta, incluyendo los contratos suspendidos y aquellos que no tengan acta de inicio.</w:t>
      </w:r>
    </w:p>
    <w:p w14:paraId="63E378E1" w14:textId="77777777" w:rsidR="001E10C1" w:rsidRPr="001E10C1" w:rsidRDefault="001E10C1" w:rsidP="001E10C1">
      <w:pPr>
        <w:tabs>
          <w:tab w:val="left" w:pos="426"/>
          <w:tab w:val="left" w:pos="851"/>
        </w:tabs>
        <w:spacing w:after="0" w:line="276" w:lineRule="auto"/>
        <w:jc w:val="both"/>
        <w:rPr>
          <w:rFonts w:ascii="Arial" w:eastAsia="Times New Roman" w:hAnsi="Arial" w:cs="Arial"/>
          <w:b/>
          <w:bCs/>
          <w:color w:val="000000"/>
          <w:bdr w:val="none" w:sz="0" w:space="0" w:color="auto" w:frame="1"/>
          <w:lang w:eastAsia="es-MX"/>
        </w:rPr>
      </w:pPr>
    </w:p>
    <w:p w14:paraId="28A12E00" w14:textId="77777777" w:rsidR="001E10C1" w:rsidRPr="001E10C1" w:rsidRDefault="001E10C1" w:rsidP="001E10C1">
      <w:pPr>
        <w:spacing w:after="0" w:line="276" w:lineRule="auto"/>
        <w:jc w:val="both"/>
        <w:rPr>
          <w:rFonts w:ascii="Arial" w:eastAsia="Calibri" w:hAnsi="Arial" w:cs="Arial"/>
          <w:color w:val="000000" w:themeColor="text1"/>
          <w:lang w:eastAsia="es-MX"/>
        </w:rPr>
      </w:pPr>
      <w:r w:rsidRPr="001E10C1">
        <w:rPr>
          <w:rFonts w:ascii="Arial" w:eastAsia="Calibri" w:hAnsi="Arial" w:cs="Arial"/>
          <w:color w:val="000000" w:themeColor="text1"/>
          <w:lang w:eastAsia="es-MX"/>
        </w:rPr>
        <w:t>Este concepto tiene el alcance previsto en el artículo 28 del Código de Procedimiento Administrativo y de lo Contencioso Administrativo.</w:t>
      </w:r>
    </w:p>
    <w:p w14:paraId="4A6E7CCF" w14:textId="77777777" w:rsidR="001E10C1" w:rsidRPr="001E10C1" w:rsidRDefault="001E10C1" w:rsidP="001E10C1">
      <w:pPr>
        <w:spacing w:after="0" w:line="240" w:lineRule="auto"/>
        <w:ind w:firstLine="709"/>
        <w:jc w:val="both"/>
        <w:rPr>
          <w:rFonts w:ascii="Arial" w:eastAsia="Calibri" w:hAnsi="Arial" w:cs="Arial"/>
          <w:color w:val="000000" w:themeColor="text1"/>
          <w:szCs w:val="24"/>
          <w:lang w:eastAsia="es-MX"/>
        </w:rPr>
      </w:pPr>
    </w:p>
    <w:p w14:paraId="0BB6DDA1" w14:textId="77777777" w:rsidR="001E10C1" w:rsidRPr="001E10C1" w:rsidRDefault="001E10C1" w:rsidP="001E10C1">
      <w:pPr>
        <w:spacing w:after="0" w:line="240" w:lineRule="auto"/>
        <w:jc w:val="both"/>
        <w:rPr>
          <w:rFonts w:ascii="Arial" w:eastAsia="Times New Roman" w:hAnsi="Arial" w:cs="Arial"/>
          <w:color w:val="000000" w:themeColor="text1"/>
          <w:szCs w:val="24"/>
          <w:lang w:eastAsia="es-CO"/>
        </w:rPr>
      </w:pPr>
      <w:r w:rsidRPr="001E10C1">
        <w:rPr>
          <w:rFonts w:ascii="Arial" w:eastAsia="Times New Roman" w:hAnsi="Arial" w:cs="Arial"/>
          <w:color w:val="000000" w:themeColor="text1"/>
          <w:szCs w:val="24"/>
          <w:lang w:eastAsia="es-CO"/>
        </w:rPr>
        <w:t>Atentamente,</w:t>
      </w:r>
    </w:p>
    <w:p w14:paraId="01612775" w14:textId="77777777" w:rsidR="001E10C1" w:rsidRPr="001E10C1" w:rsidRDefault="001E10C1" w:rsidP="001E10C1">
      <w:pPr>
        <w:spacing w:after="0" w:line="240" w:lineRule="auto"/>
        <w:jc w:val="both"/>
        <w:rPr>
          <w:rFonts w:ascii="Arial" w:eastAsia="Times New Roman" w:hAnsi="Arial" w:cs="Arial"/>
          <w:color w:val="000000" w:themeColor="text1"/>
          <w:szCs w:val="24"/>
          <w:lang w:eastAsia="es-CO"/>
        </w:rPr>
      </w:pPr>
    </w:p>
    <w:p w14:paraId="5B418E80" w14:textId="3D096694" w:rsidR="001E10C1" w:rsidRPr="00630C9F" w:rsidRDefault="00630C9F" w:rsidP="00630C9F">
      <w:pPr>
        <w:spacing w:after="0" w:line="240" w:lineRule="auto"/>
        <w:jc w:val="center"/>
        <w:rPr>
          <w:rFonts w:ascii="Arial" w:eastAsia="Times New Roman" w:hAnsi="Arial" w:cs="Arial"/>
          <w:color w:val="000000" w:themeColor="text1"/>
          <w:szCs w:val="24"/>
          <w:lang w:eastAsia="es-CO"/>
        </w:rPr>
      </w:pPr>
      <w:r>
        <w:rPr>
          <w:rFonts w:ascii="Arial" w:hAnsi="Arial" w:cs="Arial"/>
          <w:noProof/>
          <w:color w:val="000000" w:themeColor="text1"/>
          <w:lang w:eastAsia="es-CO"/>
        </w:rPr>
        <w:drawing>
          <wp:inline distT="0" distB="0" distL="0" distR="0" wp14:anchorId="3D374E6B" wp14:editId="1C90CE91">
            <wp:extent cx="2736733" cy="1055514"/>
            <wp:effectExtent l="0" t="0" r="0" b="0"/>
            <wp:docPr id="16292545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0174" cy="1064555"/>
                    </a:xfrm>
                    <a:prstGeom prst="rect">
                      <a:avLst/>
                    </a:prstGeom>
                    <a:noFill/>
                    <a:ln>
                      <a:noFill/>
                    </a:ln>
                  </pic:spPr>
                </pic:pic>
              </a:graphicData>
            </a:graphic>
          </wp:inline>
        </w:drawing>
      </w:r>
      <w:r>
        <w:rPr>
          <w:rFonts w:ascii="Calibri" w:hAnsi="Calibri" w:cs="Calibri"/>
          <w:color w:val="000000"/>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E10C1" w:rsidRPr="001E10C1" w14:paraId="68A843E9" w14:textId="77777777" w:rsidTr="00766CF6">
        <w:trPr>
          <w:trHeight w:val="315"/>
        </w:trPr>
        <w:tc>
          <w:tcPr>
            <w:tcW w:w="812" w:type="dxa"/>
            <w:vAlign w:val="center"/>
            <w:hideMark/>
          </w:tcPr>
          <w:p w14:paraId="7D04AC4F"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753591F"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Kevin Arlid Herrera Santa</w:t>
            </w:r>
          </w:p>
          <w:p w14:paraId="138ECF02"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Analista T2-04 de la Subdirección de Gestión Contractual</w:t>
            </w:r>
          </w:p>
        </w:tc>
      </w:tr>
      <w:tr w:rsidR="001E10C1" w:rsidRPr="001E10C1" w14:paraId="64DBA383" w14:textId="77777777" w:rsidTr="00766CF6">
        <w:trPr>
          <w:trHeight w:val="330"/>
        </w:trPr>
        <w:tc>
          <w:tcPr>
            <w:tcW w:w="812" w:type="dxa"/>
            <w:vAlign w:val="center"/>
            <w:hideMark/>
          </w:tcPr>
          <w:p w14:paraId="1A4226BA"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D46251"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Diana Carolina Armenta Celis</w:t>
            </w:r>
          </w:p>
          <w:p w14:paraId="4CCCB8D5"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Contratista de la Subdirección de Gestión Contractual</w:t>
            </w:r>
          </w:p>
        </w:tc>
      </w:tr>
      <w:tr w:rsidR="001E10C1" w:rsidRPr="001E10C1" w14:paraId="03A7DC6B" w14:textId="77777777" w:rsidTr="00766CF6">
        <w:trPr>
          <w:trHeight w:val="300"/>
        </w:trPr>
        <w:tc>
          <w:tcPr>
            <w:tcW w:w="812" w:type="dxa"/>
            <w:vAlign w:val="center"/>
            <w:hideMark/>
          </w:tcPr>
          <w:p w14:paraId="591CB427"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3814A9"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Nohelia del Carmen Zawady Palacio</w:t>
            </w:r>
          </w:p>
          <w:p w14:paraId="2B7D5EBA" w14:textId="77777777" w:rsidR="001E10C1" w:rsidRPr="001E10C1" w:rsidRDefault="001E10C1" w:rsidP="001E10C1">
            <w:pPr>
              <w:rPr>
                <w:rFonts w:ascii="Arial" w:eastAsia="Times New Roman" w:hAnsi="Arial" w:cs="Arial"/>
                <w:color w:val="000000" w:themeColor="text1"/>
                <w:sz w:val="16"/>
                <w:szCs w:val="16"/>
                <w:lang w:eastAsia="es-ES"/>
              </w:rPr>
            </w:pPr>
            <w:r w:rsidRPr="001E10C1">
              <w:rPr>
                <w:rFonts w:ascii="Arial" w:eastAsia="Times New Roman" w:hAnsi="Arial" w:cs="Arial"/>
                <w:color w:val="000000" w:themeColor="text1"/>
                <w:sz w:val="16"/>
                <w:szCs w:val="16"/>
                <w:lang w:eastAsia="es-ES"/>
              </w:rPr>
              <w:t>Subdirectora de Gestión Contractual ANCP – CCE</w:t>
            </w:r>
          </w:p>
        </w:tc>
      </w:tr>
    </w:tbl>
    <w:p w14:paraId="7B23AD64" w14:textId="22BFE0EC" w:rsidR="00C9405D" w:rsidRDefault="00C9405D" w:rsidP="006219F8">
      <w:pPr>
        <w:spacing w:after="0" w:line="240" w:lineRule="auto"/>
        <w:rPr>
          <w:rFonts w:ascii="Geomanist Light" w:hAnsi="Geomanist Light"/>
          <w:b/>
          <w:color w:val="002060"/>
          <w:lang w:val="es-ES"/>
        </w:rPr>
      </w:pPr>
    </w:p>
    <w:bookmarkEnd w:id="0"/>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FA29" w14:textId="77777777" w:rsidR="00C9178F" w:rsidRDefault="00C9178F" w:rsidP="004A1847">
      <w:pPr>
        <w:spacing w:after="0" w:line="240" w:lineRule="auto"/>
      </w:pPr>
      <w:r>
        <w:separator/>
      </w:r>
    </w:p>
  </w:endnote>
  <w:endnote w:type="continuationSeparator" w:id="0">
    <w:p w14:paraId="24637349" w14:textId="77777777" w:rsidR="00C9178F" w:rsidRDefault="00C9178F" w:rsidP="004A1847">
      <w:pPr>
        <w:spacing w:after="0" w:line="240" w:lineRule="auto"/>
      </w:pPr>
      <w:r>
        <w:continuationSeparator/>
      </w:r>
    </w:p>
  </w:endnote>
  <w:endnote w:type="continuationNotice" w:id="1">
    <w:p w14:paraId="43980089" w14:textId="77777777" w:rsidR="00C9178F" w:rsidRDefault="00C91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w:altName w:val="Arial"/>
    <w:charset w:val="00"/>
    <w:family w:val="auto"/>
    <w:pitch w:val="default"/>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68B0" w14:textId="77777777" w:rsidR="00C9178F" w:rsidRDefault="00C9178F" w:rsidP="004A1847">
      <w:pPr>
        <w:spacing w:after="0" w:line="240" w:lineRule="auto"/>
      </w:pPr>
      <w:r>
        <w:separator/>
      </w:r>
    </w:p>
  </w:footnote>
  <w:footnote w:type="continuationSeparator" w:id="0">
    <w:p w14:paraId="47F8DF07" w14:textId="77777777" w:rsidR="00C9178F" w:rsidRDefault="00C9178F" w:rsidP="004A1847">
      <w:pPr>
        <w:spacing w:after="0" w:line="240" w:lineRule="auto"/>
      </w:pPr>
      <w:r>
        <w:continuationSeparator/>
      </w:r>
    </w:p>
  </w:footnote>
  <w:footnote w:type="continuationNotice" w:id="1">
    <w:p w14:paraId="21F9A7E2" w14:textId="77777777" w:rsidR="00C9178F" w:rsidRDefault="00C9178F">
      <w:pPr>
        <w:spacing w:after="0" w:line="240" w:lineRule="auto"/>
      </w:pPr>
    </w:p>
  </w:footnote>
  <w:footnote w:id="2">
    <w:p w14:paraId="6F0C2352" w14:textId="77777777" w:rsidR="001E10C1" w:rsidRPr="00946E9C" w:rsidRDefault="001E10C1" w:rsidP="00383984">
      <w:pPr>
        <w:pStyle w:val="Textonotapie"/>
        <w:ind w:firstLine="708"/>
        <w:jc w:val="both"/>
        <w:rPr>
          <w:rFonts w:ascii="Arial" w:hAnsi="Arial" w:cs="Arial"/>
          <w:sz w:val="19"/>
          <w:szCs w:val="19"/>
          <w:lang w:val="es-ES"/>
        </w:rPr>
      </w:pPr>
      <w:r w:rsidRPr="00946E9C">
        <w:rPr>
          <w:rStyle w:val="Refdenotaalpie"/>
          <w:rFonts w:ascii="Arial" w:hAnsi="Arial" w:cs="Arial"/>
          <w:sz w:val="19"/>
          <w:szCs w:val="19"/>
        </w:rPr>
        <w:footnoteRef/>
      </w:r>
      <w:r w:rsidRPr="00946E9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46E9C">
        <w:rPr>
          <w:rFonts w:ascii="Arial" w:hAnsi="Arial" w:cs="Arial"/>
          <w:i/>
          <w:iCs/>
          <w:sz w:val="19"/>
          <w:szCs w:val="19"/>
        </w:rPr>
        <w:t xml:space="preserve">ibidem </w:t>
      </w:r>
      <w:r w:rsidRPr="00946E9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FB3E318" w14:textId="77777777" w:rsidR="001E10C1" w:rsidRPr="00543959" w:rsidRDefault="001E10C1" w:rsidP="00383984">
      <w:pPr>
        <w:spacing w:after="0" w:line="240" w:lineRule="auto"/>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731BF58B" w14:textId="77777777" w:rsidR="001E10C1" w:rsidRPr="00543959" w:rsidRDefault="001E10C1" w:rsidP="00383984">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4AE0AFCF" w14:textId="07C71033" w:rsidR="001E10C1" w:rsidRPr="00543959" w:rsidRDefault="001E10C1" w:rsidP="00383984">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4">
    <w:p w14:paraId="28C56394" w14:textId="77777777" w:rsidR="001E10C1" w:rsidRPr="00543959" w:rsidRDefault="001E10C1" w:rsidP="00383984">
      <w:pPr>
        <w:spacing w:after="0" w:line="240" w:lineRule="auto"/>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Exp. 13.354</w:t>
      </w:r>
      <w:r>
        <w:rPr>
          <w:rFonts w:ascii="Arial" w:hAnsi="Arial" w:cs="Arial"/>
          <w:color w:val="000000" w:themeColor="text1"/>
          <w:sz w:val="19"/>
          <w:szCs w:val="19"/>
        </w:rPr>
        <w:t>.</w:t>
      </w:r>
    </w:p>
    <w:p w14:paraId="3789F444" w14:textId="77777777" w:rsidR="001E10C1" w:rsidRPr="00543959" w:rsidRDefault="001E10C1" w:rsidP="00383984">
      <w:pPr>
        <w:pStyle w:val="Textonotapie"/>
        <w:ind w:right="49"/>
        <w:jc w:val="both"/>
        <w:rPr>
          <w:rFonts w:ascii="Arial" w:hAnsi="Arial" w:cs="Arial"/>
          <w:color w:val="000000" w:themeColor="text1"/>
          <w:sz w:val="19"/>
          <w:szCs w:val="19"/>
          <w:lang w:val="es-CO"/>
        </w:rPr>
      </w:pPr>
    </w:p>
  </w:footnote>
  <w:footnote w:id="5">
    <w:p w14:paraId="426CA3D4" w14:textId="77777777" w:rsidR="001E10C1" w:rsidRPr="00543959" w:rsidRDefault="001E10C1" w:rsidP="00383984">
      <w:pPr>
        <w:spacing w:after="0" w:line="240" w:lineRule="auto"/>
        <w:ind w:right="49" w:firstLine="708"/>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543959">
        <w:rPr>
          <w:rFonts w:ascii="Arial" w:hAnsi="Arial" w:cs="Arial"/>
          <w:color w:val="000000" w:themeColor="text1"/>
          <w:spacing w:val="-3"/>
          <w:sz w:val="19"/>
          <w:szCs w:val="19"/>
        </w:rPr>
        <w:t xml:space="preserve"> </w:t>
      </w:r>
      <w:r w:rsidRPr="00543959">
        <w:rPr>
          <w:rFonts w:ascii="Arial" w:hAnsi="Arial" w:cs="Arial"/>
          <w:color w:val="000000" w:themeColor="text1"/>
          <w:sz w:val="19"/>
          <w:szCs w:val="19"/>
        </w:rPr>
        <w:t>documentos:</w:t>
      </w:r>
    </w:p>
    <w:p w14:paraId="5CD5CEA9" w14:textId="77777777" w:rsidR="001E10C1" w:rsidRDefault="001E10C1" w:rsidP="00383984">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543959">
        <w:rPr>
          <w:rFonts w:ascii="Arial" w:hAnsi="Arial" w:cs="Arial"/>
          <w:color w:val="000000" w:themeColor="text1"/>
          <w:spacing w:val="-4"/>
          <w:sz w:val="19"/>
          <w:szCs w:val="19"/>
        </w:rPr>
        <w:t xml:space="preserve"> </w:t>
      </w:r>
      <w:r w:rsidRPr="00543959">
        <w:rPr>
          <w:rFonts w:ascii="Arial" w:hAnsi="Arial" w:cs="Arial"/>
          <w:color w:val="000000" w:themeColor="text1"/>
          <w:sz w:val="19"/>
          <w:szCs w:val="19"/>
        </w:rPr>
        <w:t>concesionarios.</w:t>
      </w:r>
    </w:p>
    <w:p w14:paraId="116610A6" w14:textId="77777777" w:rsidR="001E10C1" w:rsidRPr="00543959" w:rsidRDefault="001E10C1" w:rsidP="00383984">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3996F53" w14:textId="77777777" w:rsidR="001E10C1" w:rsidRPr="00543959" w:rsidRDefault="001E10C1" w:rsidP="00383984">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00506D6B" w14:textId="77777777" w:rsidR="001E10C1" w:rsidRPr="00543959" w:rsidRDefault="001E10C1" w:rsidP="00383984">
      <w:pPr>
        <w:pStyle w:val="Textonotapie"/>
        <w:ind w:right="49"/>
        <w:jc w:val="both"/>
        <w:rPr>
          <w:rFonts w:ascii="Arial" w:hAnsi="Arial" w:cs="Arial"/>
          <w:color w:val="000000" w:themeColor="text1"/>
          <w:sz w:val="19"/>
          <w:szCs w:val="19"/>
        </w:rPr>
      </w:pPr>
    </w:p>
  </w:footnote>
  <w:footnote w:id="6">
    <w:p w14:paraId="28824012" w14:textId="77777777" w:rsidR="001E10C1" w:rsidRPr="00FB4D30" w:rsidRDefault="001E10C1" w:rsidP="00383984">
      <w:pPr>
        <w:pStyle w:val="NormalWeb"/>
        <w:shd w:val="clear" w:color="auto" w:fill="FFFFFF"/>
        <w:spacing w:after="0" w:line="240" w:lineRule="auto"/>
        <w:ind w:firstLine="708"/>
        <w:jc w:val="both"/>
        <w:rPr>
          <w:rFonts w:ascii="Arial" w:hAnsi="Arial" w:cs="Arial"/>
          <w:sz w:val="19"/>
          <w:szCs w:val="19"/>
        </w:rPr>
      </w:pPr>
      <w:r w:rsidRPr="00FB4D30">
        <w:rPr>
          <w:rStyle w:val="Refdenotaalpie"/>
          <w:rFonts w:ascii="Arial" w:hAnsi="Arial" w:cs="Arial"/>
          <w:sz w:val="19"/>
          <w:szCs w:val="19"/>
        </w:rPr>
        <w:footnoteRef/>
      </w:r>
      <w:r w:rsidRPr="00FB4D30">
        <w:rPr>
          <w:rFonts w:ascii="Arial" w:hAnsi="Arial" w:cs="Arial"/>
          <w:sz w:val="19"/>
          <w:szCs w:val="19"/>
        </w:rPr>
        <w:t xml:space="preserve"> </w:t>
      </w:r>
      <w:r w:rsidRPr="00FB4D30">
        <w:rPr>
          <w:rFonts w:ascii="Arial" w:hAnsi="Arial" w:cs="Arial"/>
          <w:sz w:val="19"/>
          <w:szCs w:val="19"/>
          <w:lang w:val="es-ES"/>
        </w:rPr>
        <w:t xml:space="preserve">Concepto con Radicado No. </w:t>
      </w:r>
      <w:r w:rsidRPr="00FB4D30">
        <w:rPr>
          <w:rFonts w:ascii="Arial" w:hAnsi="Arial" w:cs="Arial"/>
          <w:sz w:val="19"/>
          <w:szCs w:val="19"/>
        </w:rPr>
        <w:t xml:space="preserve">215130008786 </w:t>
      </w:r>
    </w:p>
  </w:footnote>
  <w:footnote w:id="7">
    <w:p w14:paraId="27E0ADBC" w14:textId="77777777" w:rsidR="001E10C1" w:rsidRPr="00EB4F7E" w:rsidRDefault="001E10C1" w:rsidP="00383984">
      <w:pPr>
        <w:pStyle w:val="Textonotapie"/>
        <w:ind w:firstLine="708"/>
        <w:jc w:val="both"/>
        <w:rPr>
          <w:lang w:val="es-CO"/>
        </w:rPr>
      </w:pPr>
      <w:r w:rsidRPr="00A16516">
        <w:rPr>
          <w:rStyle w:val="Refdenotaalpie"/>
          <w:rFonts w:ascii="Arial" w:hAnsi="Arial" w:cs="Arial"/>
          <w:sz w:val="19"/>
          <w:szCs w:val="19"/>
        </w:rPr>
        <w:footnoteRef/>
      </w:r>
      <w:r w:rsidRPr="00A16516">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Pág 4. Disponible en:</w:t>
      </w:r>
      <w:r>
        <w:rPr>
          <w:rFonts w:ascii="Arial" w:hAnsi="Arial" w:cs="Arial"/>
          <w:sz w:val="19"/>
          <w:szCs w:val="19"/>
        </w:rPr>
        <w:t xml:space="preserve"> </w:t>
      </w:r>
      <w:hyperlink r:id="rId1" w:history="1">
        <w:r w:rsidRPr="00A16516">
          <w:rPr>
            <w:rStyle w:val="Hipervnculo"/>
            <w:rFonts w:ascii="Arial" w:hAnsi="Arial" w:cs="Arial"/>
            <w:sz w:val="19"/>
            <w:szCs w:val="19"/>
          </w:rPr>
          <w:t>https://colombiacompra.gov.co/sites/cce_public/files/cce_documents/cce_guia_capacidad_residual.pdf</w:t>
        </w:r>
      </w:hyperlink>
      <w:r>
        <w:t xml:space="preserve"> </w:t>
      </w:r>
    </w:p>
  </w:footnote>
  <w:footnote w:id="8">
    <w:p w14:paraId="7175DA30" w14:textId="77777777" w:rsidR="001E10C1" w:rsidRPr="00C7187E" w:rsidRDefault="001E10C1" w:rsidP="00383984">
      <w:pPr>
        <w:pStyle w:val="Textonotapie"/>
        <w:ind w:firstLine="708"/>
        <w:rPr>
          <w:rFonts w:ascii="Arial" w:hAnsi="Arial" w:cs="Arial"/>
          <w:sz w:val="19"/>
          <w:szCs w:val="19"/>
          <w:lang w:val="es-CO"/>
        </w:rPr>
      </w:pPr>
      <w:r w:rsidRPr="00C7187E">
        <w:rPr>
          <w:rStyle w:val="Refdenotaalpie"/>
          <w:rFonts w:ascii="Arial" w:hAnsi="Arial" w:cs="Arial"/>
          <w:sz w:val="19"/>
          <w:szCs w:val="19"/>
        </w:rPr>
        <w:footnoteRef/>
      </w:r>
      <w:r w:rsidRPr="00C7187E">
        <w:rPr>
          <w:rFonts w:ascii="Arial" w:hAnsi="Arial" w:cs="Arial"/>
          <w:sz w:val="19"/>
          <w:szCs w:val="19"/>
        </w:rPr>
        <w:t xml:space="preserve"> </w:t>
      </w:r>
      <w:hyperlink r:id="rId2" w:history="1">
        <w:r w:rsidRPr="007C5637">
          <w:rPr>
            <w:rStyle w:val="Hipervnculo"/>
            <w:rFonts w:ascii="Arial" w:hAnsi="Arial" w:cs="Arial"/>
            <w:sz w:val="19"/>
            <w:szCs w:val="19"/>
          </w:rPr>
          <w:t>https://www.colombiacompra.gov.co/manuales-guias-y-pliegos-tipo/manuales-y-guias/aplicacion-para-establecer-la-capacidad-residual</w:t>
        </w:r>
      </w:hyperlink>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7C4233"/>
    <w:multiLevelType w:val="multilevel"/>
    <w:tmpl w:val="60A05F5C"/>
    <w:lvl w:ilvl="0">
      <w:start w:val="2"/>
      <w:numFmt w:val="upperRoman"/>
      <w:lvlText w:val="%1."/>
      <w:lvlJc w:val="right"/>
      <w:pPr>
        <w:ind w:left="1067" w:hanging="360"/>
      </w:pPr>
      <w:rPr>
        <w:rFonts w:hint="default"/>
        <w:color w:val="262626" w:themeColor="text1" w:themeTint="D9"/>
        <w:sz w:val="21"/>
        <w:szCs w:val="21"/>
      </w:rPr>
    </w:lvl>
    <w:lvl w:ilvl="1">
      <w:start w:val="3"/>
      <w:numFmt w:val="decimal"/>
      <w:isLgl/>
      <w:lvlText w:val="%1.%2."/>
      <w:lvlJc w:val="left"/>
      <w:pPr>
        <w:ind w:left="720" w:hanging="720"/>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787" w:hanging="108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7" w:hanging="1440"/>
      </w:pPr>
      <w:rPr>
        <w:rFonts w:hint="default"/>
      </w:rPr>
    </w:lvl>
    <w:lvl w:ilvl="6">
      <w:start w:val="1"/>
      <w:numFmt w:val="decimal"/>
      <w:isLgl/>
      <w:lvlText w:val="%1.%2.%3.%4.%5.%6.%7."/>
      <w:lvlJc w:val="left"/>
      <w:pPr>
        <w:ind w:left="2147" w:hanging="1440"/>
      </w:pPr>
      <w:rPr>
        <w:rFonts w:hint="default"/>
      </w:rPr>
    </w:lvl>
    <w:lvl w:ilvl="7">
      <w:start w:val="1"/>
      <w:numFmt w:val="decimal"/>
      <w:isLgl/>
      <w:lvlText w:val="%1.%2.%3.%4.%5.%6.%7.%8."/>
      <w:lvlJc w:val="left"/>
      <w:pPr>
        <w:ind w:left="2507" w:hanging="1800"/>
      </w:pPr>
      <w:rPr>
        <w:rFonts w:hint="default"/>
      </w:rPr>
    </w:lvl>
    <w:lvl w:ilvl="8">
      <w:start w:val="1"/>
      <w:numFmt w:val="decimal"/>
      <w:isLgl/>
      <w:lvlText w:val="%1.%2.%3.%4.%5.%6.%7.%8.%9."/>
      <w:lvlJc w:val="left"/>
      <w:pPr>
        <w:ind w:left="2507" w:hanging="1800"/>
      </w:pPr>
      <w:rPr>
        <w:rFonts w:hint="default"/>
      </w:rPr>
    </w:lvl>
  </w:abstractNum>
  <w:abstractNum w:abstractNumId="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6"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500395951">
    <w:abstractNumId w:val="3"/>
  </w:num>
  <w:num w:numId="2" w16cid:durableId="1408454564">
    <w:abstractNumId w:val="1"/>
  </w:num>
  <w:num w:numId="3" w16cid:durableId="1897622572">
    <w:abstractNumId w:val="2"/>
  </w:num>
  <w:num w:numId="4" w16cid:durableId="4369469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5307687">
    <w:abstractNumId w:val="6"/>
  </w:num>
  <w:num w:numId="6" w16cid:durableId="1297026363">
    <w:abstractNumId w:val="5"/>
  </w:num>
  <w:num w:numId="7" w16cid:durableId="1245533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F4F35"/>
    <w:rsid w:val="000F7131"/>
    <w:rsid w:val="0011595A"/>
    <w:rsid w:val="001220C5"/>
    <w:rsid w:val="001267F7"/>
    <w:rsid w:val="00127233"/>
    <w:rsid w:val="00130999"/>
    <w:rsid w:val="00164D81"/>
    <w:rsid w:val="001A1011"/>
    <w:rsid w:val="001A48D0"/>
    <w:rsid w:val="001E10C1"/>
    <w:rsid w:val="001F33D1"/>
    <w:rsid w:val="002158A9"/>
    <w:rsid w:val="00225D3B"/>
    <w:rsid w:val="00265094"/>
    <w:rsid w:val="002653C1"/>
    <w:rsid w:val="0026611D"/>
    <w:rsid w:val="002951A0"/>
    <w:rsid w:val="002A64FD"/>
    <w:rsid w:val="002F0839"/>
    <w:rsid w:val="002F793A"/>
    <w:rsid w:val="00301469"/>
    <w:rsid w:val="00306EE1"/>
    <w:rsid w:val="00310B9B"/>
    <w:rsid w:val="0036461C"/>
    <w:rsid w:val="00367884"/>
    <w:rsid w:val="00383984"/>
    <w:rsid w:val="0039439C"/>
    <w:rsid w:val="003B69E7"/>
    <w:rsid w:val="003C013B"/>
    <w:rsid w:val="003D0F4D"/>
    <w:rsid w:val="003F58A1"/>
    <w:rsid w:val="00410DD6"/>
    <w:rsid w:val="004134C9"/>
    <w:rsid w:val="0043138C"/>
    <w:rsid w:val="00462A59"/>
    <w:rsid w:val="0049775F"/>
    <w:rsid w:val="004A1847"/>
    <w:rsid w:val="004B6B0E"/>
    <w:rsid w:val="004D25B3"/>
    <w:rsid w:val="00511405"/>
    <w:rsid w:val="00526E9D"/>
    <w:rsid w:val="00547856"/>
    <w:rsid w:val="00547A74"/>
    <w:rsid w:val="005566E8"/>
    <w:rsid w:val="00557C8F"/>
    <w:rsid w:val="005746AB"/>
    <w:rsid w:val="0059357F"/>
    <w:rsid w:val="005A1130"/>
    <w:rsid w:val="005D0EEC"/>
    <w:rsid w:val="005D65C8"/>
    <w:rsid w:val="006219F8"/>
    <w:rsid w:val="00630C9F"/>
    <w:rsid w:val="006361CE"/>
    <w:rsid w:val="00681FDB"/>
    <w:rsid w:val="006A7DAD"/>
    <w:rsid w:val="006D70BA"/>
    <w:rsid w:val="007566FE"/>
    <w:rsid w:val="0076726F"/>
    <w:rsid w:val="0077144B"/>
    <w:rsid w:val="00793403"/>
    <w:rsid w:val="00795537"/>
    <w:rsid w:val="007C0CDF"/>
    <w:rsid w:val="007E2A2F"/>
    <w:rsid w:val="007F2B7C"/>
    <w:rsid w:val="00811651"/>
    <w:rsid w:val="00820F5B"/>
    <w:rsid w:val="00833452"/>
    <w:rsid w:val="008614E5"/>
    <w:rsid w:val="008678EB"/>
    <w:rsid w:val="00875894"/>
    <w:rsid w:val="00877073"/>
    <w:rsid w:val="00881C10"/>
    <w:rsid w:val="00890411"/>
    <w:rsid w:val="008D5C70"/>
    <w:rsid w:val="009025AF"/>
    <w:rsid w:val="00904F23"/>
    <w:rsid w:val="00906B3C"/>
    <w:rsid w:val="0095342C"/>
    <w:rsid w:val="009666A7"/>
    <w:rsid w:val="009F33F2"/>
    <w:rsid w:val="009F6C77"/>
    <w:rsid w:val="00A07532"/>
    <w:rsid w:val="00A1085C"/>
    <w:rsid w:val="00A309E2"/>
    <w:rsid w:val="00A8066E"/>
    <w:rsid w:val="00AA4B8A"/>
    <w:rsid w:val="00AA6BF7"/>
    <w:rsid w:val="00B01ED6"/>
    <w:rsid w:val="00B06D09"/>
    <w:rsid w:val="00B54286"/>
    <w:rsid w:val="00B771A9"/>
    <w:rsid w:val="00B809BB"/>
    <w:rsid w:val="00B8248A"/>
    <w:rsid w:val="00BB1D08"/>
    <w:rsid w:val="00BB7726"/>
    <w:rsid w:val="00BC1630"/>
    <w:rsid w:val="00BD4CF5"/>
    <w:rsid w:val="00C2329E"/>
    <w:rsid w:val="00C30461"/>
    <w:rsid w:val="00C754BE"/>
    <w:rsid w:val="00C87572"/>
    <w:rsid w:val="00C9178F"/>
    <w:rsid w:val="00C9405D"/>
    <w:rsid w:val="00CB5496"/>
    <w:rsid w:val="00CC1B26"/>
    <w:rsid w:val="00CC4A12"/>
    <w:rsid w:val="00CD284F"/>
    <w:rsid w:val="00CF23AA"/>
    <w:rsid w:val="00D01921"/>
    <w:rsid w:val="00D752B7"/>
    <w:rsid w:val="00DA1854"/>
    <w:rsid w:val="00DB0887"/>
    <w:rsid w:val="00DD6162"/>
    <w:rsid w:val="00DF1E43"/>
    <w:rsid w:val="00E20894"/>
    <w:rsid w:val="00E26B7C"/>
    <w:rsid w:val="00EA3003"/>
    <w:rsid w:val="00EB3C91"/>
    <w:rsid w:val="00EB66DA"/>
    <w:rsid w:val="00ED0ABB"/>
    <w:rsid w:val="00F4564E"/>
    <w:rsid w:val="00F605F2"/>
    <w:rsid w:val="00F76AFC"/>
    <w:rsid w:val="00F8319B"/>
    <w:rsid w:val="00FA2731"/>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1E10C1"/>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1E10C1"/>
    <w:pPr>
      <w:spacing w:line="240" w:lineRule="exact"/>
    </w:pPr>
    <w:rPr>
      <w:vertAlign w:val="superscript"/>
    </w:rPr>
  </w:style>
  <w:style w:type="character" w:styleId="Hipervnculo">
    <w:name w:val="Hyperlink"/>
    <w:basedOn w:val="Fuentedeprrafopredeter"/>
    <w:uiPriority w:val="99"/>
    <w:unhideWhenUsed/>
    <w:rsid w:val="001E1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aplicacion-para-establecer-la-capacidad-residual" TargetMode="External"/><Relationship Id="rId1" Type="http://schemas.openxmlformats.org/officeDocument/2006/relationships/hyperlink" Target="https://colombiacompra.gov.co/sites/cce_public/files/cce_documents/cce_guia_capacidad_residual.pdf%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21C94C41-5C6A-45BC-920D-1D6E5430F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4647</Words>
  <Characters>25563</Characters>
  <Application>Microsoft Office Word</Application>
  <DocSecurity>0</DocSecurity>
  <Lines>213</Lines>
  <Paragraphs>60</Paragraphs>
  <ScaleCrop>false</ScaleCrop>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10</cp:revision>
  <dcterms:created xsi:type="dcterms:W3CDTF">2023-04-10T22:21:00Z</dcterms:created>
  <dcterms:modified xsi:type="dcterms:W3CDTF">2023-04-11T16:26:00Z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