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80DA3" w:rsidR="006219F8" w:rsidP="00EE41AF" w:rsidRDefault="006219F8" w14:paraId="27AFF8C7" w14:textId="77777777">
      <w:pPr>
        <w:spacing w:after="0" w:line="240" w:lineRule="auto"/>
        <w:textAlignment w:val="baseline"/>
        <w:rPr>
          <w:rFonts w:ascii="Geomanist Light" w:hAnsi="Geomanist Light" w:eastAsia="Times New Roman" w:cs="Arial"/>
          <w:lang w:eastAsia="es-CO"/>
        </w:rPr>
      </w:pPr>
    </w:p>
    <w:p w:rsidRPr="000D356C" w:rsidR="00EE41AF" w:rsidP="00EE41AF" w:rsidRDefault="00EE41AF" w14:paraId="24FE5C37" w14:textId="77777777">
      <w:pPr>
        <w:widowControl w:val="0"/>
        <w:autoSpaceDE w:val="0"/>
        <w:autoSpaceDN w:val="0"/>
        <w:spacing w:before="93" w:after="0" w:line="240" w:lineRule="auto"/>
        <w:ind w:left="118"/>
        <w:jc w:val="both"/>
        <w:outlineLvl w:val="0"/>
        <w:rPr>
          <w:rFonts w:ascii="Arial" w:hAnsi="Arial" w:eastAsia="Arial" w:cs="Arial"/>
          <w:b/>
          <w:bCs/>
          <w:lang w:val="es-ES"/>
        </w:rPr>
      </w:pPr>
      <w:bookmarkStart w:name="_Hlk34951122" w:id="0"/>
      <w:r w:rsidRPr="000D356C">
        <w:rPr>
          <w:rFonts w:ascii="Arial" w:hAnsi="Arial" w:eastAsia="Arial" w:cs="Arial"/>
          <w:b/>
          <w:bCs/>
          <w:lang w:val="es-ES"/>
        </w:rPr>
        <w:t>LEY</w:t>
      </w:r>
      <w:r w:rsidRPr="000D356C">
        <w:rPr>
          <w:rFonts w:ascii="Arial" w:hAnsi="Arial" w:eastAsia="Arial" w:cs="Arial"/>
          <w:b/>
          <w:bCs/>
          <w:spacing w:val="-5"/>
          <w:lang w:val="es-ES"/>
        </w:rPr>
        <w:t xml:space="preserve"> </w:t>
      </w:r>
      <w:r w:rsidRPr="000D356C">
        <w:rPr>
          <w:rFonts w:ascii="Arial" w:hAnsi="Arial" w:eastAsia="Arial" w:cs="Arial"/>
          <w:b/>
          <w:bCs/>
          <w:lang w:val="es-ES"/>
        </w:rPr>
        <w:t>DE</w:t>
      </w:r>
      <w:r w:rsidRPr="000D356C">
        <w:rPr>
          <w:rFonts w:ascii="Arial" w:hAnsi="Arial" w:eastAsia="Arial" w:cs="Arial"/>
          <w:b/>
          <w:bCs/>
          <w:spacing w:val="-4"/>
          <w:lang w:val="es-ES"/>
        </w:rPr>
        <w:t xml:space="preserve"> </w:t>
      </w:r>
      <w:r w:rsidRPr="000D356C">
        <w:rPr>
          <w:rFonts w:ascii="Arial" w:hAnsi="Arial" w:eastAsia="Arial" w:cs="Arial"/>
          <w:b/>
          <w:bCs/>
          <w:lang w:val="es-ES"/>
        </w:rPr>
        <w:t>EMPRENDIMIENTO</w:t>
      </w:r>
      <w:r w:rsidRPr="000D356C">
        <w:rPr>
          <w:rFonts w:ascii="Arial" w:hAnsi="Arial" w:eastAsia="Arial" w:cs="Arial"/>
          <w:b/>
          <w:bCs/>
          <w:spacing w:val="3"/>
          <w:lang w:val="es-ES"/>
        </w:rPr>
        <w:t xml:space="preserve"> </w:t>
      </w:r>
      <w:r w:rsidRPr="000D356C">
        <w:rPr>
          <w:rFonts w:ascii="Arial" w:hAnsi="Arial" w:eastAsia="Arial" w:cs="Arial"/>
          <w:b/>
          <w:bCs/>
          <w:lang w:val="es-ES"/>
        </w:rPr>
        <w:t>–</w:t>
      </w:r>
      <w:r w:rsidRPr="000D356C">
        <w:rPr>
          <w:rFonts w:ascii="Arial" w:hAnsi="Arial" w:eastAsia="Arial" w:cs="Arial"/>
          <w:b/>
          <w:bCs/>
          <w:spacing w:val="-4"/>
          <w:lang w:val="es-ES"/>
        </w:rPr>
        <w:t xml:space="preserve"> </w:t>
      </w:r>
      <w:r w:rsidRPr="000D356C">
        <w:rPr>
          <w:rFonts w:ascii="Arial" w:hAnsi="Arial" w:eastAsia="Arial" w:cs="Arial"/>
          <w:b/>
          <w:bCs/>
          <w:lang w:val="es-ES"/>
        </w:rPr>
        <w:t>Ley</w:t>
      </w:r>
      <w:r w:rsidRPr="000D356C">
        <w:rPr>
          <w:rFonts w:ascii="Arial" w:hAnsi="Arial" w:eastAsia="Arial" w:cs="Arial"/>
          <w:b/>
          <w:bCs/>
          <w:spacing w:val="-4"/>
          <w:lang w:val="es-ES"/>
        </w:rPr>
        <w:t xml:space="preserve"> </w:t>
      </w:r>
      <w:r w:rsidRPr="000D356C">
        <w:rPr>
          <w:rFonts w:ascii="Arial" w:hAnsi="Arial" w:eastAsia="Arial" w:cs="Arial"/>
          <w:b/>
          <w:bCs/>
          <w:lang w:val="es-ES"/>
        </w:rPr>
        <w:t>2069</w:t>
      </w:r>
      <w:r w:rsidRPr="000D356C">
        <w:rPr>
          <w:rFonts w:ascii="Arial" w:hAnsi="Arial" w:eastAsia="Arial" w:cs="Arial"/>
          <w:b/>
          <w:bCs/>
          <w:spacing w:val="-5"/>
          <w:lang w:val="es-ES"/>
        </w:rPr>
        <w:t xml:space="preserve"> </w:t>
      </w:r>
      <w:r w:rsidRPr="000D356C">
        <w:rPr>
          <w:rFonts w:ascii="Arial" w:hAnsi="Arial" w:eastAsia="Arial" w:cs="Arial"/>
          <w:b/>
          <w:bCs/>
          <w:lang w:val="es-ES"/>
        </w:rPr>
        <w:t>de</w:t>
      </w:r>
      <w:r w:rsidRPr="000D356C">
        <w:rPr>
          <w:rFonts w:ascii="Arial" w:hAnsi="Arial" w:eastAsia="Arial" w:cs="Arial"/>
          <w:b/>
          <w:bCs/>
          <w:spacing w:val="-4"/>
          <w:lang w:val="es-ES"/>
        </w:rPr>
        <w:t xml:space="preserve"> </w:t>
      </w:r>
      <w:r w:rsidRPr="000D356C">
        <w:rPr>
          <w:rFonts w:ascii="Arial" w:hAnsi="Arial" w:eastAsia="Arial" w:cs="Arial"/>
          <w:b/>
          <w:bCs/>
          <w:lang w:val="es-ES"/>
        </w:rPr>
        <w:t>2020 –</w:t>
      </w:r>
      <w:r w:rsidRPr="000D356C">
        <w:rPr>
          <w:rFonts w:ascii="Arial" w:hAnsi="Arial" w:eastAsia="Arial" w:cs="Arial"/>
          <w:b/>
          <w:bCs/>
          <w:spacing w:val="-5"/>
          <w:lang w:val="es-ES"/>
        </w:rPr>
        <w:t xml:space="preserve"> </w:t>
      </w:r>
      <w:r w:rsidRPr="000D356C">
        <w:rPr>
          <w:rFonts w:ascii="Arial" w:hAnsi="Arial" w:eastAsia="Arial" w:cs="Arial"/>
          <w:b/>
          <w:bCs/>
          <w:lang w:val="es-ES"/>
        </w:rPr>
        <w:t>Finalidad</w:t>
      </w:r>
    </w:p>
    <w:p w:rsidRPr="000D356C" w:rsidR="00EE41AF" w:rsidP="00EE41AF" w:rsidRDefault="00EE41AF" w14:paraId="4D24604E" w14:textId="77777777">
      <w:pPr>
        <w:widowControl w:val="0"/>
        <w:autoSpaceDE w:val="0"/>
        <w:autoSpaceDN w:val="0"/>
        <w:spacing w:before="1" w:after="0" w:line="240" w:lineRule="auto"/>
        <w:jc w:val="both"/>
        <w:rPr>
          <w:rFonts w:ascii="Arial" w:hAnsi="Arial" w:eastAsia="Arial MT" w:cs="Arial"/>
          <w:b/>
          <w:sz w:val="20"/>
          <w:lang w:val="es-ES"/>
        </w:rPr>
      </w:pPr>
    </w:p>
    <w:p w:rsidR="007538EF" w:rsidP="007538EF" w:rsidRDefault="007538EF" w14:paraId="7F71A686" w14:textId="0CAF6714">
      <w:pPr>
        <w:widowControl w:val="0"/>
        <w:autoSpaceDE w:val="0"/>
        <w:autoSpaceDN w:val="0"/>
        <w:spacing w:after="0" w:line="240" w:lineRule="auto"/>
        <w:ind w:left="118" w:right="177"/>
        <w:jc w:val="both"/>
        <w:rPr>
          <w:rFonts w:ascii="Arial" w:hAnsi="Arial" w:eastAsia="Arial MT" w:cs="Arial"/>
          <w:spacing w:val="-5"/>
          <w:sz w:val="20"/>
          <w:lang w:val="es-ES"/>
        </w:rPr>
      </w:pPr>
      <w:r w:rsidRPr="007538EF">
        <w:rPr>
          <w:rFonts w:ascii="Arial" w:hAnsi="Arial" w:eastAsia="Arial MT" w:cs="Arial"/>
          <w:spacing w:val="-5"/>
          <w:sz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potestad que fue ejercida mediante la expedición del Decreto 1860 de 2021, al cual se hará referencia más adelante.</w:t>
      </w:r>
    </w:p>
    <w:p w:rsidRPr="007538EF" w:rsidR="007538EF" w:rsidP="007538EF" w:rsidRDefault="007538EF" w14:paraId="10F7E01D" w14:textId="77777777">
      <w:pPr>
        <w:widowControl w:val="0"/>
        <w:autoSpaceDE w:val="0"/>
        <w:autoSpaceDN w:val="0"/>
        <w:spacing w:after="0" w:line="240" w:lineRule="auto"/>
        <w:ind w:left="118" w:right="177"/>
        <w:jc w:val="both"/>
        <w:rPr>
          <w:rFonts w:ascii="Arial" w:hAnsi="Arial" w:eastAsia="Arial MT" w:cs="Arial"/>
          <w:spacing w:val="-5"/>
          <w:sz w:val="20"/>
          <w:lang w:val="es-ES"/>
        </w:rPr>
      </w:pPr>
    </w:p>
    <w:p w:rsidRPr="00943837" w:rsidR="00EE41AF" w:rsidP="007538EF" w:rsidRDefault="007538EF" w14:paraId="41A95E97" w14:textId="307DD42E">
      <w:pPr>
        <w:widowControl w:val="0"/>
        <w:autoSpaceDE w:val="0"/>
        <w:autoSpaceDN w:val="0"/>
        <w:spacing w:after="0" w:line="240" w:lineRule="auto"/>
        <w:ind w:left="118" w:right="177"/>
        <w:jc w:val="both"/>
        <w:rPr>
          <w:rFonts w:ascii="Arial" w:hAnsi="Arial" w:eastAsia="Arial MT" w:cs="Arial"/>
          <w:sz w:val="20"/>
          <w:lang w:val="es-ES_tradnl"/>
        </w:rPr>
      </w:pPr>
      <w:r w:rsidRPr="007538EF">
        <w:rPr>
          <w:rFonts w:ascii="Arial" w:hAnsi="Arial" w:eastAsia="Arial MT" w:cs="Arial"/>
          <w:spacing w:val="-5"/>
          <w:sz w:val="20"/>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7538EF">
        <w:rPr>
          <w:rFonts w:ascii="Arial" w:hAnsi="Arial" w:eastAsia="Arial MT" w:cs="Arial"/>
          <w:spacing w:val="-5"/>
          <w:sz w:val="20"/>
          <w:lang w:val="es-ES"/>
        </w:rPr>
        <w:t>Mipymes</w:t>
      </w:r>
      <w:proofErr w:type="spellEnd"/>
      <w:r w:rsidRPr="007538EF">
        <w:rPr>
          <w:rFonts w:ascii="Arial" w:hAnsi="Arial" w:eastAsia="Arial MT" w:cs="Arial"/>
          <w:spacing w:val="-5"/>
          <w:sz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hAnsi="Arial" w:eastAsia="Arial MT" w:cs="Arial"/>
          <w:spacing w:val="-5"/>
          <w:sz w:val="20"/>
          <w:lang w:val="es-ES"/>
        </w:rPr>
        <w:t>.</w:t>
      </w:r>
    </w:p>
    <w:p w:rsidRPr="000D356C" w:rsidR="00EE41AF" w:rsidP="00EE41AF" w:rsidRDefault="00EE41AF" w14:paraId="199EA63E" w14:textId="77777777">
      <w:pPr>
        <w:widowControl w:val="0"/>
        <w:autoSpaceDE w:val="0"/>
        <w:autoSpaceDN w:val="0"/>
        <w:spacing w:before="10" w:after="0" w:line="240" w:lineRule="auto"/>
        <w:jc w:val="both"/>
        <w:rPr>
          <w:rFonts w:ascii="Arial" w:hAnsi="Arial" w:eastAsia="Arial MT" w:cs="Arial"/>
          <w:sz w:val="21"/>
          <w:lang w:val="es-ES"/>
        </w:rPr>
      </w:pPr>
    </w:p>
    <w:p w:rsidRPr="0051214E" w:rsidR="00EE41AF" w:rsidP="00EE41AF" w:rsidRDefault="00EE41AF" w14:paraId="765C54C3" w14:textId="77777777">
      <w:pPr>
        <w:widowControl w:val="0"/>
        <w:autoSpaceDE w:val="0"/>
        <w:autoSpaceDN w:val="0"/>
        <w:spacing w:before="1" w:after="0"/>
        <w:ind w:left="118"/>
        <w:jc w:val="both"/>
        <w:outlineLvl w:val="0"/>
        <w:rPr>
          <w:rFonts w:ascii="Arial" w:hAnsi="Arial" w:eastAsia="Arial MT" w:cs="Arial"/>
          <w:b/>
          <w:lang w:val="es-ES"/>
        </w:rPr>
      </w:pPr>
      <w:r w:rsidRPr="000D356C">
        <w:rPr>
          <w:rFonts w:ascii="Arial" w:hAnsi="Arial" w:eastAsia="Arial" w:cs="Arial"/>
          <w:b/>
          <w:bCs/>
          <w:lang w:val="es-ES"/>
        </w:rPr>
        <w:t>LEY</w:t>
      </w:r>
      <w:r w:rsidRPr="000D356C">
        <w:rPr>
          <w:rFonts w:ascii="Arial" w:hAnsi="Arial" w:eastAsia="Arial" w:cs="Arial"/>
          <w:b/>
          <w:bCs/>
          <w:spacing w:val="22"/>
          <w:lang w:val="es-ES"/>
        </w:rPr>
        <w:t xml:space="preserve"> </w:t>
      </w:r>
      <w:r w:rsidRPr="000D356C">
        <w:rPr>
          <w:rFonts w:ascii="Arial" w:hAnsi="Arial" w:eastAsia="Arial" w:cs="Arial"/>
          <w:b/>
          <w:bCs/>
          <w:lang w:val="es-ES"/>
        </w:rPr>
        <w:t>DE</w:t>
      </w:r>
      <w:r w:rsidRPr="000D356C">
        <w:rPr>
          <w:rFonts w:ascii="Arial" w:hAnsi="Arial" w:eastAsia="Arial" w:cs="Arial"/>
          <w:b/>
          <w:bCs/>
          <w:spacing w:val="22"/>
          <w:lang w:val="es-ES"/>
        </w:rPr>
        <w:t xml:space="preserve"> </w:t>
      </w:r>
      <w:r w:rsidRPr="000D356C">
        <w:rPr>
          <w:rFonts w:ascii="Arial" w:hAnsi="Arial" w:eastAsia="Arial" w:cs="Arial"/>
          <w:b/>
          <w:bCs/>
          <w:lang w:val="es-ES"/>
        </w:rPr>
        <w:t>EMPRENDIMIENTO</w:t>
      </w:r>
      <w:r w:rsidRPr="000D356C">
        <w:rPr>
          <w:rFonts w:ascii="Arial" w:hAnsi="Arial" w:eastAsia="Arial" w:cs="Arial"/>
          <w:b/>
          <w:bCs/>
          <w:spacing w:val="26"/>
          <w:lang w:val="es-ES"/>
        </w:rPr>
        <w:t xml:space="preserve"> </w:t>
      </w:r>
      <w:r w:rsidRPr="000D356C">
        <w:rPr>
          <w:rFonts w:ascii="Arial" w:hAnsi="Arial" w:eastAsia="Arial" w:cs="Arial"/>
          <w:b/>
          <w:bCs/>
          <w:lang w:val="es-ES"/>
        </w:rPr>
        <w:t>–</w:t>
      </w:r>
      <w:r w:rsidRPr="000D356C">
        <w:rPr>
          <w:rFonts w:ascii="Arial" w:hAnsi="Arial" w:eastAsia="Arial" w:cs="Arial"/>
          <w:b/>
          <w:bCs/>
          <w:spacing w:val="22"/>
          <w:lang w:val="es-ES"/>
        </w:rPr>
        <w:t xml:space="preserve"> </w:t>
      </w:r>
      <w:r w:rsidRPr="000D356C">
        <w:rPr>
          <w:rFonts w:ascii="Arial" w:hAnsi="Arial" w:eastAsia="Arial" w:cs="Arial"/>
          <w:b/>
          <w:bCs/>
          <w:lang w:val="es-ES"/>
        </w:rPr>
        <w:t>Ley</w:t>
      </w:r>
      <w:r w:rsidRPr="000D356C">
        <w:rPr>
          <w:rFonts w:ascii="Arial" w:hAnsi="Arial" w:eastAsia="Arial" w:cs="Arial"/>
          <w:b/>
          <w:bCs/>
          <w:spacing w:val="22"/>
          <w:lang w:val="es-ES"/>
        </w:rPr>
        <w:t xml:space="preserve"> </w:t>
      </w:r>
      <w:r w:rsidRPr="000D356C">
        <w:rPr>
          <w:rFonts w:ascii="Arial" w:hAnsi="Arial" w:eastAsia="Arial" w:cs="Arial"/>
          <w:b/>
          <w:bCs/>
          <w:lang w:val="es-ES"/>
        </w:rPr>
        <w:t>2069</w:t>
      </w:r>
      <w:r w:rsidRPr="000D356C">
        <w:rPr>
          <w:rFonts w:ascii="Arial" w:hAnsi="Arial" w:eastAsia="Arial" w:cs="Arial"/>
          <w:b/>
          <w:bCs/>
          <w:spacing w:val="23"/>
          <w:lang w:val="es-ES"/>
        </w:rPr>
        <w:t xml:space="preserve"> </w:t>
      </w:r>
      <w:r w:rsidRPr="000D356C">
        <w:rPr>
          <w:rFonts w:ascii="Arial" w:hAnsi="Arial" w:eastAsia="Arial" w:cs="Arial"/>
          <w:b/>
          <w:bCs/>
          <w:lang w:val="es-ES"/>
        </w:rPr>
        <w:t>de</w:t>
      </w:r>
      <w:r w:rsidRPr="000D356C">
        <w:rPr>
          <w:rFonts w:ascii="Arial" w:hAnsi="Arial" w:eastAsia="Arial" w:cs="Arial"/>
          <w:b/>
          <w:bCs/>
          <w:spacing w:val="22"/>
          <w:lang w:val="es-ES"/>
        </w:rPr>
        <w:t xml:space="preserve"> </w:t>
      </w:r>
      <w:r w:rsidRPr="000D356C">
        <w:rPr>
          <w:rFonts w:ascii="Arial" w:hAnsi="Arial" w:eastAsia="Arial" w:cs="Arial"/>
          <w:b/>
          <w:bCs/>
          <w:lang w:val="es-ES"/>
        </w:rPr>
        <w:t>2020</w:t>
      </w:r>
      <w:r w:rsidRPr="000D356C">
        <w:rPr>
          <w:rFonts w:ascii="Arial" w:hAnsi="Arial" w:eastAsia="Arial" w:cs="Arial"/>
          <w:b/>
          <w:bCs/>
          <w:spacing w:val="23"/>
          <w:lang w:val="es-ES"/>
        </w:rPr>
        <w:t xml:space="preserve"> </w:t>
      </w:r>
      <w:r w:rsidRPr="000D356C">
        <w:rPr>
          <w:rFonts w:ascii="Arial" w:hAnsi="Arial" w:eastAsia="Arial" w:cs="Arial"/>
          <w:b/>
          <w:bCs/>
          <w:lang w:val="es-ES"/>
        </w:rPr>
        <w:t>–</w:t>
      </w:r>
      <w:r w:rsidRPr="000D356C">
        <w:rPr>
          <w:rFonts w:ascii="Arial" w:hAnsi="Arial" w:eastAsia="Arial" w:cs="Arial"/>
          <w:b/>
          <w:bCs/>
          <w:spacing w:val="22"/>
          <w:lang w:val="es-ES"/>
        </w:rPr>
        <w:t xml:space="preserve"> </w:t>
      </w:r>
      <w:r w:rsidRPr="000D356C">
        <w:rPr>
          <w:rFonts w:ascii="Arial" w:hAnsi="Arial" w:eastAsia="Arial" w:cs="Arial"/>
          <w:b/>
          <w:bCs/>
          <w:lang w:val="es-ES"/>
        </w:rPr>
        <w:t>Artículo</w:t>
      </w:r>
      <w:r w:rsidRPr="000D356C">
        <w:rPr>
          <w:rFonts w:ascii="Arial" w:hAnsi="Arial" w:eastAsia="Arial" w:cs="Arial"/>
          <w:b/>
          <w:bCs/>
          <w:spacing w:val="22"/>
          <w:lang w:val="es-ES"/>
        </w:rPr>
        <w:t xml:space="preserve"> </w:t>
      </w:r>
      <w:r w:rsidRPr="000D356C">
        <w:rPr>
          <w:rFonts w:ascii="Arial" w:hAnsi="Arial" w:eastAsia="Arial" w:cs="Arial"/>
          <w:b/>
          <w:bCs/>
          <w:lang w:val="es-ES"/>
        </w:rPr>
        <w:t>32</w:t>
      </w:r>
      <w:r w:rsidRPr="000D356C">
        <w:rPr>
          <w:rFonts w:ascii="Arial" w:hAnsi="Arial" w:eastAsia="Arial" w:cs="Arial"/>
          <w:b/>
          <w:bCs/>
          <w:spacing w:val="23"/>
          <w:lang w:val="es-ES"/>
        </w:rPr>
        <w:t xml:space="preserve"> </w:t>
      </w:r>
      <w:r w:rsidRPr="000D356C">
        <w:rPr>
          <w:rFonts w:ascii="Arial" w:hAnsi="Arial" w:eastAsia="Arial" w:cs="Arial"/>
          <w:b/>
          <w:bCs/>
          <w:lang w:val="es-ES"/>
        </w:rPr>
        <w:t>–</w:t>
      </w:r>
      <w:r w:rsidRPr="000D356C">
        <w:rPr>
          <w:rFonts w:ascii="Arial" w:hAnsi="Arial" w:eastAsia="Arial" w:cs="Arial"/>
          <w:b/>
          <w:bCs/>
          <w:spacing w:val="22"/>
          <w:lang w:val="es-ES"/>
        </w:rPr>
        <w:t xml:space="preserve"> </w:t>
      </w:r>
      <w:r w:rsidRPr="000D356C">
        <w:rPr>
          <w:rFonts w:ascii="Arial" w:hAnsi="Arial" w:eastAsia="Arial" w:cs="Arial"/>
          <w:b/>
          <w:bCs/>
          <w:lang w:val="es-ES"/>
        </w:rPr>
        <w:t>Criterios</w:t>
      </w:r>
      <w:r w:rsidRPr="000D356C">
        <w:rPr>
          <w:rFonts w:ascii="Arial" w:hAnsi="Arial" w:eastAsia="Arial" w:cs="Arial"/>
          <w:b/>
          <w:bCs/>
          <w:spacing w:val="22"/>
          <w:lang w:val="es-ES"/>
        </w:rPr>
        <w:t xml:space="preserve"> </w:t>
      </w:r>
      <w:r w:rsidRPr="000D356C">
        <w:rPr>
          <w:rFonts w:ascii="Arial" w:hAnsi="Arial" w:eastAsia="Arial" w:cs="Arial"/>
          <w:b/>
          <w:bCs/>
          <w:lang w:val="es-ES"/>
        </w:rPr>
        <w:t>diferenciales</w:t>
      </w:r>
      <w:r w:rsidRPr="000D356C">
        <w:rPr>
          <w:rFonts w:ascii="Arial" w:hAnsi="Arial" w:eastAsia="Arial" w:cs="Arial"/>
          <w:b/>
          <w:bCs/>
          <w:spacing w:val="25"/>
          <w:lang w:val="es-ES"/>
        </w:rPr>
        <w:t xml:space="preserve"> </w:t>
      </w:r>
      <w:r w:rsidRPr="000D356C">
        <w:rPr>
          <w:rFonts w:ascii="Arial" w:hAnsi="Arial" w:eastAsia="Arial" w:cs="Arial"/>
          <w:b/>
          <w:bCs/>
          <w:lang w:val="es-ES"/>
        </w:rPr>
        <w:t>–</w:t>
      </w:r>
      <w:r w:rsidRPr="000D356C">
        <w:rPr>
          <w:rFonts w:ascii="Arial" w:hAnsi="Arial" w:eastAsia="Arial" w:cs="Arial"/>
          <w:b/>
          <w:bCs/>
          <w:spacing w:val="-58"/>
          <w:lang w:val="es-ES"/>
        </w:rPr>
        <w:t xml:space="preserve"> </w:t>
      </w:r>
      <w:r w:rsidRPr="000D356C">
        <w:rPr>
          <w:rFonts w:ascii="Arial" w:hAnsi="Arial" w:eastAsia="Arial" w:cs="Arial"/>
          <w:b/>
          <w:bCs/>
          <w:lang w:val="es-ES"/>
        </w:rPr>
        <w:t>Emprendimientos</w:t>
      </w:r>
      <w:r w:rsidRPr="000D356C">
        <w:rPr>
          <w:rFonts w:ascii="Arial" w:hAnsi="Arial" w:eastAsia="Arial" w:cs="Arial"/>
          <w:b/>
          <w:bCs/>
          <w:spacing w:val="21"/>
          <w:lang w:val="es-ES"/>
        </w:rPr>
        <w:t xml:space="preserve"> </w:t>
      </w:r>
      <w:r w:rsidRPr="000D356C">
        <w:rPr>
          <w:rFonts w:ascii="Arial" w:hAnsi="Arial" w:eastAsia="Arial" w:cs="Arial"/>
          <w:b/>
          <w:bCs/>
          <w:lang w:val="es-ES"/>
        </w:rPr>
        <w:t>de</w:t>
      </w:r>
      <w:r w:rsidRPr="000D356C">
        <w:rPr>
          <w:rFonts w:ascii="Arial" w:hAnsi="Arial" w:eastAsia="Arial" w:cs="Arial"/>
          <w:b/>
          <w:bCs/>
          <w:spacing w:val="20"/>
          <w:lang w:val="es-ES"/>
        </w:rPr>
        <w:t xml:space="preserve"> </w:t>
      </w:r>
      <w:r w:rsidRPr="000D356C">
        <w:rPr>
          <w:rFonts w:ascii="Arial" w:hAnsi="Arial" w:eastAsia="Arial" w:cs="Arial"/>
          <w:b/>
          <w:bCs/>
          <w:lang w:val="es-ES"/>
        </w:rPr>
        <w:t>mujeres</w:t>
      </w:r>
      <w:r w:rsidRPr="000D356C">
        <w:rPr>
          <w:rFonts w:ascii="Arial" w:hAnsi="Arial" w:eastAsia="Arial" w:cs="Arial"/>
          <w:b/>
          <w:bCs/>
          <w:spacing w:val="19"/>
          <w:lang w:val="es-ES"/>
        </w:rPr>
        <w:t xml:space="preserve"> </w:t>
      </w:r>
      <w:r w:rsidRPr="000D356C">
        <w:rPr>
          <w:rFonts w:ascii="Arial" w:hAnsi="Arial" w:eastAsia="Arial" w:cs="Arial"/>
          <w:b/>
          <w:bCs/>
          <w:lang w:val="es-ES"/>
        </w:rPr>
        <w:t>–</w:t>
      </w:r>
      <w:r w:rsidRPr="000D356C">
        <w:rPr>
          <w:rFonts w:ascii="Arial" w:hAnsi="Arial" w:eastAsia="Arial" w:cs="Arial"/>
          <w:b/>
          <w:bCs/>
          <w:spacing w:val="19"/>
          <w:lang w:val="es-ES"/>
        </w:rPr>
        <w:t xml:space="preserve"> </w:t>
      </w:r>
      <w:r w:rsidRPr="000D356C">
        <w:rPr>
          <w:rFonts w:ascii="Arial" w:hAnsi="Arial" w:eastAsia="Arial" w:cs="Arial"/>
          <w:b/>
          <w:bCs/>
          <w:lang w:val="es-ES"/>
        </w:rPr>
        <w:t>Empresas</w:t>
      </w:r>
      <w:r w:rsidRPr="000D356C">
        <w:rPr>
          <w:rFonts w:ascii="Arial" w:hAnsi="Arial" w:eastAsia="Arial" w:cs="Arial"/>
          <w:b/>
          <w:bCs/>
          <w:spacing w:val="21"/>
          <w:lang w:val="es-ES"/>
        </w:rPr>
        <w:t xml:space="preserve"> </w:t>
      </w:r>
      <w:r w:rsidRPr="000D356C">
        <w:rPr>
          <w:rFonts w:ascii="Arial" w:hAnsi="Arial" w:eastAsia="Arial" w:cs="Arial"/>
          <w:b/>
          <w:bCs/>
          <w:lang w:val="es-ES"/>
        </w:rPr>
        <w:t>de</w:t>
      </w:r>
      <w:r w:rsidRPr="000D356C">
        <w:rPr>
          <w:rFonts w:ascii="Arial" w:hAnsi="Arial" w:eastAsia="Arial" w:cs="Arial"/>
          <w:b/>
          <w:bCs/>
          <w:spacing w:val="19"/>
          <w:lang w:val="es-ES"/>
        </w:rPr>
        <w:t xml:space="preserve"> </w:t>
      </w:r>
      <w:r w:rsidRPr="000D356C">
        <w:rPr>
          <w:rFonts w:ascii="Arial" w:hAnsi="Arial" w:eastAsia="Arial" w:cs="Arial"/>
          <w:b/>
          <w:bCs/>
          <w:lang w:val="es-ES"/>
        </w:rPr>
        <w:t>mujeres</w:t>
      </w:r>
      <w:r w:rsidRPr="000D356C">
        <w:rPr>
          <w:rFonts w:ascii="Arial" w:hAnsi="Arial" w:eastAsia="Arial" w:cs="Arial"/>
          <w:b/>
          <w:bCs/>
          <w:spacing w:val="19"/>
          <w:lang w:val="es-ES"/>
        </w:rPr>
        <w:t xml:space="preserve"> </w:t>
      </w:r>
      <w:r w:rsidRPr="000D356C">
        <w:rPr>
          <w:rFonts w:ascii="Arial" w:hAnsi="Arial" w:eastAsia="Arial" w:cs="Arial"/>
          <w:b/>
          <w:bCs/>
          <w:lang w:val="es-ES"/>
        </w:rPr>
        <w:t>–</w:t>
      </w:r>
      <w:r w:rsidRPr="000D356C">
        <w:rPr>
          <w:rFonts w:ascii="Arial" w:hAnsi="Arial" w:eastAsia="Arial" w:cs="Arial"/>
          <w:b/>
          <w:bCs/>
          <w:spacing w:val="19"/>
          <w:lang w:val="es-ES"/>
        </w:rPr>
        <w:t xml:space="preserve"> </w:t>
      </w:r>
      <w:r w:rsidRPr="000D356C">
        <w:rPr>
          <w:rFonts w:ascii="Arial" w:hAnsi="Arial" w:eastAsia="Arial" w:cs="Arial"/>
          <w:b/>
          <w:bCs/>
          <w:lang w:val="es-ES"/>
        </w:rPr>
        <w:t>Necesidad</w:t>
      </w:r>
      <w:r w:rsidRPr="000D356C">
        <w:rPr>
          <w:rFonts w:ascii="Arial" w:hAnsi="Arial" w:eastAsia="Arial" w:cs="Arial"/>
          <w:b/>
          <w:bCs/>
          <w:spacing w:val="20"/>
          <w:lang w:val="es-ES"/>
        </w:rPr>
        <w:t xml:space="preserve"> </w:t>
      </w:r>
      <w:r w:rsidRPr="000D356C">
        <w:rPr>
          <w:rFonts w:ascii="Arial" w:hAnsi="Arial" w:eastAsia="Arial" w:cs="Arial"/>
          <w:b/>
          <w:bCs/>
          <w:lang w:val="es-ES"/>
        </w:rPr>
        <w:t>de</w:t>
      </w:r>
      <w:r w:rsidRPr="000D356C">
        <w:rPr>
          <w:rFonts w:ascii="Arial" w:hAnsi="Arial" w:eastAsia="Arial" w:cs="Arial"/>
          <w:b/>
          <w:bCs/>
          <w:spacing w:val="19"/>
          <w:lang w:val="es-ES"/>
        </w:rPr>
        <w:t xml:space="preserve"> </w:t>
      </w:r>
      <w:r w:rsidRPr="000D356C">
        <w:rPr>
          <w:rFonts w:ascii="Arial" w:hAnsi="Arial" w:eastAsia="Arial" w:cs="Arial"/>
          <w:b/>
          <w:bCs/>
          <w:lang w:val="es-ES"/>
        </w:rPr>
        <w:t>reglamentación</w:t>
      </w:r>
      <w:r w:rsidRPr="000D356C">
        <w:rPr>
          <w:rFonts w:ascii="Arial" w:hAnsi="Arial" w:eastAsia="Arial" w:cs="Arial"/>
          <w:b/>
          <w:bCs/>
          <w:spacing w:val="20"/>
          <w:lang w:val="es-ES"/>
        </w:rPr>
        <w:t xml:space="preserve"> </w:t>
      </w:r>
      <w:r w:rsidRPr="000D356C">
        <w:rPr>
          <w:rFonts w:ascii="Arial" w:hAnsi="Arial" w:eastAsia="Arial" w:cs="Arial"/>
          <w:b/>
          <w:bCs/>
          <w:lang w:val="es-ES"/>
        </w:rPr>
        <w:t>–</w:t>
      </w:r>
      <w:r w:rsidRPr="0051214E">
        <w:rPr>
          <w:rFonts w:ascii="Arial" w:hAnsi="Arial" w:eastAsia="Arial" w:cs="Arial"/>
          <w:b/>
          <w:bCs/>
          <w:lang w:val="es-ES"/>
        </w:rPr>
        <w:t xml:space="preserve"> </w:t>
      </w:r>
      <w:r w:rsidRPr="000D356C">
        <w:rPr>
          <w:rFonts w:ascii="Arial" w:hAnsi="Arial" w:eastAsia="Arial MT" w:cs="Arial"/>
          <w:b/>
          <w:lang w:val="es-ES"/>
        </w:rPr>
        <w:t>Decreto</w:t>
      </w:r>
      <w:r w:rsidRPr="000D356C">
        <w:rPr>
          <w:rFonts w:ascii="Arial" w:hAnsi="Arial" w:eastAsia="Arial MT" w:cs="Arial"/>
          <w:b/>
          <w:spacing w:val="-5"/>
          <w:lang w:val="es-ES"/>
        </w:rPr>
        <w:t xml:space="preserve"> </w:t>
      </w:r>
      <w:r w:rsidRPr="000D356C">
        <w:rPr>
          <w:rFonts w:ascii="Arial" w:hAnsi="Arial" w:eastAsia="Arial MT" w:cs="Arial"/>
          <w:b/>
          <w:lang w:val="es-ES"/>
        </w:rPr>
        <w:t>1860</w:t>
      </w:r>
      <w:r w:rsidRPr="000D356C">
        <w:rPr>
          <w:rFonts w:ascii="Arial" w:hAnsi="Arial" w:eastAsia="Arial MT" w:cs="Arial"/>
          <w:b/>
          <w:spacing w:val="-4"/>
          <w:lang w:val="es-ES"/>
        </w:rPr>
        <w:t xml:space="preserve"> </w:t>
      </w:r>
      <w:r w:rsidRPr="000D356C">
        <w:rPr>
          <w:rFonts w:ascii="Arial" w:hAnsi="Arial" w:eastAsia="Arial MT" w:cs="Arial"/>
          <w:b/>
          <w:lang w:val="es-ES"/>
        </w:rPr>
        <w:t>de</w:t>
      </w:r>
      <w:r w:rsidRPr="000D356C">
        <w:rPr>
          <w:rFonts w:ascii="Arial" w:hAnsi="Arial" w:eastAsia="Arial MT" w:cs="Arial"/>
          <w:b/>
          <w:spacing w:val="-4"/>
          <w:lang w:val="es-ES"/>
        </w:rPr>
        <w:t xml:space="preserve"> </w:t>
      </w:r>
      <w:r w:rsidRPr="000D356C">
        <w:rPr>
          <w:rFonts w:ascii="Arial" w:hAnsi="Arial" w:eastAsia="Arial MT" w:cs="Arial"/>
          <w:b/>
          <w:lang w:val="es-ES"/>
        </w:rPr>
        <w:t>2021</w:t>
      </w:r>
    </w:p>
    <w:p w:rsidRPr="000D356C" w:rsidR="00EE41AF" w:rsidP="00EE41AF" w:rsidRDefault="00EE41AF" w14:paraId="4F2CBE8A" w14:textId="77777777">
      <w:pPr>
        <w:widowControl w:val="0"/>
        <w:autoSpaceDE w:val="0"/>
        <w:autoSpaceDN w:val="0"/>
        <w:spacing w:before="1" w:after="0"/>
        <w:ind w:left="118"/>
        <w:outlineLvl w:val="0"/>
        <w:rPr>
          <w:rFonts w:ascii="Arial" w:hAnsi="Arial" w:eastAsia="Arial" w:cs="Arial"/>
          <w:b/>
          <w:bCs/>
          <w:lang w:val="es-ES"/>
        </w:rPr>
      </w:pPr>
    </w:p>
    <w:p w:rsidRPr="007538EF" w:rsidR="007538EF" w:rsidP="007538EF" w:rsidRDefault="00EE41AF" w14:paraId="09A2A6FB" w14:textId="77777777">
      <w:pPr>
        <w:widowControl w:val="0"/>
        <w:autoSpaceDE w:val="0"/>
        <w:autoSpaceDN w:val="0"/>
        <w:spacing w:after="0" w:line="240" w:lineRule="auto"/>
        <w:ind w:left="119" w:right="176"/>
        <w:jc w:val="both"/>
        <w:rPr>
          <w:rFonts w:ascii="Arial" w:hAnsi="Arial" w:eastAsia="Arial MT" w:cs="Arial"/>
          <w:sz w:val="20"/>
          <w:lang w:val="es-ES"/>
        </w:rPr>
      </w:pPr>
      <w:r w:rsidRPr="000D356C">
        <w:rPr>
          <w:rFonts w:ascii="Arial" w:hAnsi="Arial" w:eastAsia="Arial MT" w:cs="Arial"/>
          <w:sz w:val="20"/>
          <w:lang w:val="es-ES"/>
        </w:rPr>
        <w:t>[…</w:t>
      </w:r>
      <w:r w:rsidRPr="0051214E">
        <w:rPr>
          <w:rFonts w:ascii="Arial" w:hAnsi="Arial" w:eastAsia="Arial MT" w:cs="Arial"/>
          <w:sz w:val="20"/>
          <w:lang w:val="es-ES"/>
        </w:rPr>
        <w:t xml:space="preserve">] </w:t>
      </w:r>
      <w:r w:rsidRPr="007538EF" w:rsidR="007538EF">
        <w:rPr>
          <w:rFonts w:ascii="Arial" w:hAnsi="Arial" w:eastAsia="Arial MT" w:cs="Arial"/>
          <w:sz w:val="20"/>
          <w:lang w:val="es-E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rsidR="007538EF" w:rsidP="007538EF" w:rsidRDefault="007538EF" w14:paraId="13FFFF8B" w14:textId="77777777">
      <w:pPr>
        <w:widowControl w:val="0"/>
        <w:autoSpaceDE w:val="0"/>
        <w:autoSpaceDN w:val="0"/>
        <w:spacing w:after="0" w:line="240" w:lineRule="auto"/>
        <w:ind w:left="119" w:right="176"/>
        <w:jc w:val="both"/>
        <w:rPr>
          <w:rFonts w:ascii="Arial" w:hAnsi="Arial" w:eastAsia="Arial MT" w:cs="Arial"/>
          <w:sz w:val="20"/>
          <w:lang w:val="es-ES"/>
        </w:rPr>
      </w:pPr>
    </w:p>
    <w:p w:rsidRPr="007538EF" w:rsidR="007538EF" w:rsidP="007538EF" w:rsidRDefault="007538EF" w14:paraId="3FECA374" w14:textId="43D8DE85">
      <w:pPr>
        <w:widowControl w:val="0"/>
        <w:autoSpaceDE w:val="0"/>
        <w:autoSpaceDN w:val="0"/>
        <w:spacing w:after="0" w:line="240" w:lineRule="auto"/>
        <w:ind w:left="119" w:right="176"/>
        <w:jc w:val="both"/>
        <w:rPr>
          <w:rFonts w:ascii="Arial" w:hAnsi="Arial" w:eastAsia="Arial MT" w:cs="Arial"/>
          <w:sz w:val="20"/>
          <w:lang w:val="es-ES"/>
        </w:rPr>
      </w:pPr>
      <w:r w:rsidRPr="007538EF">
        <w:rPr>
          <w:rFonts w:ascii="Arial" w:hAnsi="Arial" w:eastAsia="Arial MT" w:cs="Arial"/>
          <w:sz w:val="20"/>
          <w:lang w:val="es-ES"/>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rsidR="007538EF" w:rsidP="007538EF" w:rsidRDefault="007538EF" w14:paraId="620A6530" w14:textId="77777777">
      <w:pPr>
        <w:widowControl w:val="0"/>
        <w:autoSpaceDE w:val="0"/>
        <w:autoSpaceDN w:val="0"/>
        <w:spacing w:after="0" w:line="240" w:lineRule="auto"/>
        <w:ind w:right="176"/>
        <w:jc w:val="both"/>
        <w:rPr>
          <w:rFonts w:ascii="Arial" w:hAnsi="Arial" w:eastAsia="Arial MT" w:cs="Arial"/>
          <w:sz w:val="20"/>
          <w:lang w:val="es-ES"/>
        </w:rPr>
      </w:pPr>
    </w:p>
    <w:p w:rsidRPr="000D356C" w:rsidR="00EE41AF" w:rsidP="007538EF" w:rsidRDefault="007538EF" w14:paraId="7F2595FB" w14:textId="64E5E18A">
      <w:pPr>
        <w:widowControl w:val="0"/>
        <w:autoSpaceDE w:val="0"/>
        <w:autoSpaceDN w:val="0"/>
        <w:spacing w:after="0" w:line="240" w:lineRule="auto"/>
        <w:ind w:left="119" w:right="176"/>
        <w:jc w:val="both"/>
        <w:rPr>
          <w:rFonts w:ascii="Arial" w:hAnsi="Arial" w:eastAsia="Arial MT" w:cs="Arial"/>
          <w:sz w:val="20"/>
          <w:lang w:val="es-ES"/>
        </w:rPr>
      </w:pPr>
      <w:r w:rsidRPr="007538EF">
        <w:rPr>
          <w:rFonts w:ascii="Arial" w:hAnsi="Arial" w:eastAsia="Arial MT" w:cs="Arial"/>
          <w:sz w:val="20"/>
          <w:lang w:val="es-ES"/>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rsidRPr="000D356C" w:rsidR="00EE41AF" w:rsidP="00EE41AF" w:rsidRDefault="00EE41AF" w14:paraId="5FF7B0E6" w14:textId="77777777">
      <w:pPr>
        <w:widowControl w:val="0"/>
        <w:autoSpaceDE w:val="0"/>
        <w:autoSpaceDN w:val="0"/>
        <w:spacing w:after="0" w:line="240" w:lineRule="auto"/>
        <w:rPr>
          <w:rFonts w:ascii="Arial" w:hAnsi="Arial" w:eastAsia="Arial MT" w:cs="Arial"/>
          <w:szCs w:val="24"/>
          <w:lang w:val="es-ES"/>
        </w:rPr>
      </w:pPr>
    </w:p>
    <w:p w:rsidRPr="000D356C" w:rsidR="00EE41AF" w:rsidP="00EE41AF" w:rsidRDefault="00EE41AF" w14:paraId="3C4A44FE" w14:textId="0CAE4F15">
      <w:pPr>
        <w:widowControl w:val="0"/>
        <w:autoSpaceDE w:val="0"/>
        <w:autoSpaceDN w:val="0"/>
        <w:spacing w:after="0" w:line="240" w:lineRule="auto"/>
        <w:ind w:left="118" w:right="176"/>
        <w:jc w:val="both"/>
        <w:outlineLvl w:val="0"/>
        <w:rPr>
          <w:rFonts w:ascii="Arial" w:hAnsi="Arial" w:eastAsia="Arial" w:cs="Arial"/>
          <w:b/>
          <w:bCs/>
          <w:lang w:val="es-ES"/>
        </w:rPr>
      </w:pPr>
      <w:r w:rsidRPr="000D356C">
        <w:rPr>
          <w:rFonts w:ascii="Arial" w:hAnsi="Arial" w:eastAsia="Arial" w:cs="Arial"/>
          <w:b/>
          <w:bCs/>
          <w:lang w:val="es-ES"/>
        </w:rPr>
        <w:t>DECRETO</w:t>
      </w:r>
      <w:r w:rsidRPr="000D356C">
        <w:rPr>
          <w:rFonts w:ascii="Arial" w:hAnsi="Arial" w:eastAsia="Arial" w:cs="Arial"/>
          <w:b/>
          <w:bCs/>
          <w:spacing w:val="-15"/>
          <w:lang w:val="es-ES"/>
        </w:rPr>
        <w:t xml:space="preserve"> </w:t>
      </w:r>
      <w:r w:rsidRPr="000D356C">
        <w:rPr>
          <w:rFonts w:ascii="Arial" w:hAnsi="Arial" w:eastAsia="Arial" w:cs="Arial"/>
          <w:b/>
          <w:bCs/>
          <w:lang w:val="es-ES"/>
        </w:rPr>
        <w:t>1860</w:t>
      </w:r>
      <w:r w:rsidRPr="000D356C">
        <w:rPr>
          <w:rFonts w:ascii="Arial" w:hAnsi="Arial" w:eastAsia="Arial" w:cs="Arial"/>
          <w:b/>
          <w:bCs/>
          <w:spacing w:val="-14"/>
          <w:lang w:val="es-ES"/>
        </w:rPr>
        <w:t xml:space="preserve"> </w:t>
      </w:r>
      <w:r w:rsidRPr="000D356C">
        <w:rPr>
          <w:rFonts w:ascii="Arial" w:hAnsi="Arial" w:eastAsia="Arial" w:cs="Arial"/>
          <w:b/>
          <w:bCs/>
          <w:lang w:val="es-ES"/>
        </w:rPr>
        <w:t>DE</w:t>
      </w:r>
      <w:r w:rsidRPr="000D356C">
        <w:rPr>
          <w:rFonts w:ascii="Arial" w:hAnsi="Arial" w:eastAsia="Arial" w:cs="Arial"/>
          <w:b/>
          <w:bCs/>
          <w:spacing w:val="-14"/>
          <w:lang w:val="es-ES"/>
        </w:rPr>
        <w:t xml:space="preserve"> </w:t>
      </w:r>
      <w:r w:rsidRPr="000D356C">
        <w:rPr>
          <w:rFonts w:ascii="Arial" w:hAnsi="Arial" w:eastAsia="Arial" w:cs="Arial"/>
          <w:b/>
          <w:bCs/>
          <w:lang w:val="es-ES"/>
        </w:rPr>
        <w:t>2021</w:t>
      </w:r>
      <w:r w:rsidRPr="000D356C">
        <w:rPr>
          <w:rFonts w:ascii="Arial" w:hAnsi="Arial" w:eastAsia="Arial" w:cs="Arial"/>
          <w:b/>
          <w:bCs/>
          <w:spacing w:val="-14"/>
          <w:lang w:val="es-ES"/>
        </w:rPr>
        <w:t xml:space="preserve"> </w:t>
      </w:r>
      <w:r w:rsidRPr="000D356C">
        <w:rPr>
          <w:rFonts w:ascii="Arial" w:hAnsi="Arial" w:eastAsia="Arial" w:cs="Arial"/>
          <w:b/>
          <w:bCs/>
          <w:lang w:val="es-ES"/>
        </w:rPr>
        <w:t>–</w:t>
      </w:r>
      <w:r w:rsidRPr="000D356C">
        <w:rPr>
          <w:rFonts w:ascii="Arial" w:hAnsi="Arial" w:eastAsia="Arial" w:cs="Arial"/>
          <w:b/>
          <w:bCs/>
          <w:spacing w:val="-14"/>
          <w:lang w:val="es-ES"/>
        </w:rPr>
        <w:t xml:space="preserve"> </w:t>
      </w:r>
      <w:r w:rsidRPr="000D356C">
        <w:rPr>
          <w:rFonts w:ascii="Arial" w:hAnsi="Arial" w:eastAsia="Arial" w:cs="Arial"/>
          <w:b/>
          <w:bCs/>
          <w:lang w:val="es-ES"/>
        </w:rPr>
        <w:t>Emprendimientos</w:t>
      </w:r>
      <w:r w:rsidRPr="000D356C">
        <w:rPr>
          <w:rFonts w:ascii="Arial" w:hAnsi="Arial" w:eastAsia="Arial" w:cs="Arial"/>
          <w:b/>
          <w:bCs/>
          <w:spacing w:val="-11"/>
          <w:lang w:val="es-ES"/>
        </w:rPr>
        <w:t xml:space="preserve"> </w:t>
      </w:r>
      <w:r w:rsidRPr="000D356C">
        <w:rPr>
          <w:rFonts w:ascii="Arial" w:hAnsi="Arial" w:eastAsia="Arial" w:cs="Arial"/>
          <w:b/>
          <w:bCs/>
          <w:lang w:val="es-ES"/>
        </w:rPr>
        <w:t>y</w:t>
      </w:r>
      <w:r w:rsidRPr="000D356C">
        <w:rPr>
          <w:rFonts w:ascii="Arial" w:hAnsi="Arial" w:eastAsia="Arial" w:cs="Arial"/>
          <w:b/>
          <w:bCs/>
          <w:spacing w:val="-14"/>
          <w:lang w:val="es-ES"/>
        </w:rPr>
        <w:t xml:space="preserve"> </w:t>
      </w:r>
      <w:r w:rsidRPr="000D356C">
        <w:rPr>
          <w:rFonts w:ascii="Arial" w:hAnsi="Arial" w:eastAsia="Arial" w:cs="Arial"/>
          <w:b/>
          <w:bCs/>
          <w:lang w:val="es-ES"/>
        </w:rPr>
        <w:t>empresas</w:t>
      </w:r>
      <w:r w:rsidRPr="000D356C">
        <w:rPr>
          <w:rFonts w:ascii="Arial" w:hAnsi="Arial" w:eastAsia="Arial" w:cs="Arial"/>
          <w:b/>
          <w:bCs/>
          <w:spacing w:val="-14"/>
          <w:lang w:val="es-ES"/>
        </w:rPr>
        <w:t xml:space="preserve"> </w:t>
      </w:r>
      <w:r w:rsidRPr="000D356C">
        <w:rPr>
          <w:rFonts w:ascii="Arial" w:hAnsi="Arial" w:eastAsia="Arial" w:cs="Arial"/>
          <w:b/>
          <w:bCs/>
          <w:lang w:val="es-ES"/>
        </w:rPr>
        <w:t>de</w:t>
      </w:r>
      <w:r w:rsidRPr="000D356C">
        <w:rPr>
          <w:rFonts w:ascii="Arial" w:hAnsi="Arial" w:eastAsia="Arial" w:cs="Arial"/>
          <w:b/>
          <w:bCs/>
          <w:spacing w:val="-14"/>
          <w:lang w:val="es-ES"/>
        </w:rPr>
        <w:t xml:space="preserve"> </w:t>
      </w:r>
      <w:r w:rsidRPr="000D356C">
        <w:rPr>
          <w:rFonts w:ascii="Arial" w:hAnsi="Arial" w:eastAsia="Arial" w:cs="Arial"/>
          <w:b/>
          <w:bCs/>
          <w:lang w:val="es-ES"/>
        </w:rPr>
        <w:t>mujeres</w:t>
      </w:r>
      <w:r w:rsidRPr="000D356C">
        <w:rPr>
          <w:rFonts w:ascii="Arial" w:hAnsi="Arial" w:eastAsia="Arial" w:cs="Arial"/>
          <w:b/>
          <w:bCs/>
          <w:spacing w:val="-14"/>
          <w:lang w:val="es-ES"/>
        </w:rPr>
        <w:t xml:space="preserve"> </w:t>
      </w:r>
      <w:r w:rsidRPr="000D356C">
        <w:rPr>
          <w:rFonts w:ascii="Arial" w:hAnsi="Arial" w:eastAsia="Arial" w:cs="Arial"/>
          <w:b/>
          <w:bCs/>
          <w:lang w:val="es-ES"/>
        </w:rPr>
        <w:t>–</w:t>
      </w:r>
      <w:r w:rsidRPr="000D356C">
        <w:rPr>
          <w:rFonts w:ascii="Arial" w:hAnsi="Arial" w:eastAsia="Arial" w:cs="Arial"/>
          <w:b/>
          <w:bCs/>
          <w:spacing w:val="-14"/>
          <w:lang w:val="es-ES"/>
        </w:rPr>
        <w:t xml:space="preserve"> </w:t>
      </w:r>
      <w:r w:rsidRPr="000D356C">
        <w:rPr>
          <w:rFonts w:ascii="Arial" w:hAnsi="Arial" w:eastAsia="Arial" w:cs="Arial"/>
          <w:b/>
          <w:bCs/>
          <w:lang w:val="es-ES"/>
        </w:rPr>
        <w:t>Definición</w:t>
      </w:r>
      <w:r w:rsidRPr="000D356C">
        <w:rPr>
          <w:rFonts w:ascii="Arial" w:hAnsi="Arial" w:eastAsia="Arial" w:cs="Arial"/>
          <w:b/>
          <w:bCs/>
          <w:spacing w:val="-13"/>
          <w:lang w:val="es-ES"/>
        </w:rPr>
        <w:t xml:space="preserve"> </w:t>
      </w:r>
      <w:r w:rsidRPr="000D356C">
        <w:rPr>
          <w:rFonts w:ascii="Arial" w:hAnsi="Arial" w:eastAsia="Arial" w:cs="Arial"/>
          <w:b/>
          <w:bCs/>
          <w:lang w:val="es-ES"/>
        </w:rPr>
        <w:t>–</w:t>
      </w:r>
      <w:r w:rsidRPr="000D356C">
        <w:rPr>
          <w:rFonts w:ascii="Arial" w:hAnsi="Arial" w:eastAsia="Arial" w:cs="Arial"/>
          <w:b/>
          <w:bCs/>
          <w:spacing w:val="-14"/>
          <w:lang w:val="es-ES"/>
        </w:rPr>
        <w:t xml:space="preserve"> </w:t>
      </w:r>
      <w:r w:rsidRPr="000D356C">
        <w:rPr>
          <w:rFonts w:ascii="Arial" w:hAnsi="Arial" w:eastAsia="Arial" w:cs="Arial"/>
          <w:b/>
          <w:bCs/>
          <w:lang w:val="es-ES"/>
        </w:rPr>
        <w:t>Artículo</w:t>
      </w:r>
      <w:r w:rsidR="009455F8">
        <w:rPr>
          <w:rFonts w:ascii="Arial" w:hAnsi="Arial" w:eastAsia="Arial" w:cs="Arial"/>
          <w:b/>
          <w:bCs/>
          <w:lang w:val="es-ES"/>
        </w:rPr>
        <w:t xml:space="preserve"> </w:t>
      </w:r>
      <w:r w:rsidRPr="000D356C">
        <w:rPr>
          <w:rFonts w:ascii="Arial" w:hAnsi="Arial" w:eastAsia="Arial" w:cs="Arial"/>
          <w:b/>
          <w:bCs/>
          <w:spacing w:val="-59"/>
          <w:lang w:val="es-ES"/>
        </w:rPr>
        <w:t xml:space="preserve"> </w:t>
      </w:r>
      <w:r w:rsidRPr="000D356C">
        <w:rPr>
          <w:rFonts w:ascii="Arial" w:hAnsi="Arial" w:eastAsia="Arial" w:cs="Arial"/>
          <w:b/>
          <w:bCs/>
          <w:lang w:val="es-ES"/>
        </w:rPr>
        <w:t>2.2.1.2.4.2.14</w:t>
      </w:r>
      <w:r w:rsidRPr="000D356C">
        <w:rPr>
          <w:rFonts w:ascii="Arial" w:hAnsi="Arial" w:eastAsia="Arial" w:cs="Arial"/>
          <w:b/>
          <w:bCs/>
          <w:spacing w:val="-2"/>
          <w:lang w:val="es-ES"/>
        </w:rPr>
        <w:t xml:space="preserve"> </w:t>
      </w:r>
      <w:r w:rsidRPr="000D356C">
        <w:rPr>
          <w:rFonts w:ascii="Arial" w:hAnsi="Arial" w:eastAsia="Arial" w:cs="Arial"/>
          <w:b/>
          <w:bCs/>
          <w:lang w:val="es-ES"/>
        </w:rPr>
        <w:t>–</w:t>
      </w:r>
      <w:r w:rsidRPr="000D356C">
        <w:rPr>
          <w:rFonts w:ascii="Arial" w:hAnsi="Arial" w:eastAsia="Arial" w:cs="Arial"/>
          <w:b/>
          <w:bCs/>
          <w:spacing w:val="-2"/>
          <w:lang w:val="es-ES"/>
        </w:rPr>
        <w:t xml:space="preserve"> </w:t>
      </w:r>
      <w:r w:rsidRPr="0051214E">
        <w:rPr>
          <w:rFonts w:ascii="Arial" w:hAnsi="Arial" w:eastAsia="Arial" w:cs="Arial"/>
          <w:b/>
          <w:bCs/>
          <w:lang w:val="es-ES"/>
        </w:rPr>
        <w:t>Acreditación – Condición – Mujer – Regla general</w:t>
      </w:r>
    </w:p>
    <w:p w:rsidRPr="000D356C" w:rsidR="00EE41AF" w:rsidP="00EE41AF" w:rsidRDefault="00EE41AF" w14:paraId="08458B29" w14:textId="77777777">
      <w:pPr>
        <w:widowControl w:val="0"/>
        <w:autoSpaceDE w:val="0"/>
        <w:autoSpaceDN w:val="0"/>
        <w:spacing w:after="0" w:line="240" w:lineRule="auto"/>
        <w:rPr>
          <w:rFonts w:ascii="Arial" w:hAnsi="Arial" w:eastAsia="Arial MT" w:cs="Arial"/>
          <w:b/>
          <w:lang w:val="es-ES"/>
        </w:rPr>
      </w:pPr>
    </w:p>
    <w:p w:rsidRPr="0051214E" w:rsidR="00EE41AF" w:rsidP="00EE41AF" w:rsidRDefault="008E11B4" w14:paraId="6EF850ED" w14:textId="15DDE53B">
      <w:pPr>
        <w:widowControl w:val="0"/>
        <w:autoSpaceDE w:val="0"/>
        <w:autoSpaceDN w:val="0"/>
        <w:spacing w:after="0" w:line="240" w:lineRule="auto"/>
        <w:ind w:left="118" w:right="177"/>
        <w:jc w:val="both"/>
        <w:rPr>
          <w:rFonts w:ascii="Arial" w:hAnsi="Arial" w:eastAsia="Arial MT" w:cs="Arial"/>
          <w:sz w:val="20"/>
          <w:lang w:val="es-ES"/>
        </w:rPr>
      </w:pPr>
      <w:r w:rsidRPr="008E11B4">
        <w:rPr>
          <w:rFonts w:ascii="Arial" w:hAnsi="Arial" w:eastAsia="Arial MT" w:cs="Arial"/>
          <w:sz w:val="20"/>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segundo y el tercero de dichos numerales</w:t>
      </w:r>
      <w:r w:rsidRPr="0051214E" w:rsidR="00EE41AF">
        <w:rPr>
          <w:rFonts w:ascii="Arial" w:hAnsi="Arial" w:eastAsia="Arial MT" w:cs="Arial"/>
          <w:sz w:val="20"/>
          <w:lang w:val="es-ES"/>
        </w:rPr>
        <w:t xml:space="preserve"> […]</w:t>
      </w:r>
    </w:p>
    <w:p w:rsidRPr="0051214E" w:rsidR="00EE41AF" w:rsidP="00EE41AF" w:rsidRDefault="00EE41AF" w14:paraId="4745744E" w14:textId="77777777">
      <w:pPr>
        <w:widowControl w:val="0"/>
        <w:autoSpaceDE w:val="0"/>
        <w:autoSpaceDN w:val="0"/>
        <w:spacing w:after="0" w:line="240" w:lineRule="auto"/>
        <w:ind w:left="118" w:right="177"/>
        <w:jc w:val="both"/>
        <w:rPr>
          <w:rFonts w:ascii="Arial" w:hAnsi="Arial" w:eastAsia="Arial MT" w:cs="Arial"/>
          <w:sz w:val="20"/>
          <w:lang w:val="es-ES"/>
        </w:rPr>
      </w:pPr>
      <w:r w:rsidRPr="0051214E">
        <w:rPr>
          <w:rFonts w:ascii="Arial" w:hAnsi="Arial" w:eastAsia="Arial MT" w:cs="Arial"/>
          <w:sz w:val="20"/>
          <w:lang w:val="es-ES"/>
        </w:rPr>
        <w:t>[…]</w:t>
      </w:r>
    </w:p>
    <w:p w:rsidR="00EC35E4" w:rsidP="00EC35E4" w:rsidRDefault="00EC35E4" w14:paraId="2C0EF0C9" w14:textId="5C6BB0AF">
      <w:pPr>
        <w:widowControl w:val="0"/>
        <w:autoSpaceDE w:val="0"/>
        <w:autoSpaceDN w:val="0"/>
        <w:spacing w:after="0" w:line="240" w:lineRule="auto"/>
        <w:ind w:left="118" w:right="177"/>
        <w:jc w:val="both"/>
        <w:rPr>
          <w:rFonts w:ascii="Arial" w:hAnsi="Arial" w:eastAsia="Arial MT" w:cs="Arial"/>
          <w:sz w:val="20"/>
          <w:lang w:val="es-ES"/>
        </w:rPr>
      </w:pPr>
      <w:r w:rsidRPr="00EC35E4">
        <w:rPr>
          <w:rFonts w:ascii="Arial" w:hAnsi="Arial" w:eastAsia="Arial MT" w:cs="Arial"/>
          <w:sz w:val="20"/>
          <w:lang w:val="es-ES"/>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rsidRPr="00EC35E4" w:rsidR="00EC35E4" w:rsidP="00EC35E4" w:rsidRDefault="00EC35E4" w14:paraId="2B5DB47A" w14:textId="77777777">
      <w:pPr>
        <w:widowControl w:val="0"/>
        <w:autoSpaceDE w:val="0"/>
        <w:autoSpaceDN w:val="0"/>
        <w:spacing w:after="0" w:line="240" w:lineRule="auto"/>
        <w:ind w:left="118" w:right="177"/>
        <w:jc w:val="both"/>
        <w:rPr>
          <w:rFonts w:ascii="Arial" w:hAnsi="Arial" w:eastAsia="Arial MT" w:cs="Arial"/>
          <w:sz w:val="20"/>
          <w:lang w:val="es-ES"/>
        </w:rPr>
      </w:pPr>
    </w:p>
    <w:p w:rsidRPr="0051214E" w:rsidR="00EE41AF" w:rsidP="00EC35E4" w:rsidRDefault="00EC35E4" w14:paraId="6D928285" w14:textId="54381347">
      <w:pPr>
        <w:widowControl w:val="0"/>
        <w:autoSpaceDE w:val="0"/>
        <w:autoSpaceDN w:val="0"/>
        <w:spacing w:after="0" w:line="240" w:lineRule="auto"/>
        <w:ind w:left="118" w:right="177"/>
        <w:jc w:val="both"/>
        <w:rPr>
          <w:rFonts w:ascii="Arial" w:hAnsi="Arial" w:eastAsia="Arial MT" w:cs="Arial"/>
          <w:sz w:val="20"/>
          <w:lang w:val="es-ES"/>
        </w:rPr>
      </w:pPr>
      <w:r w:rsidRPr="00EC35E4">
        <w:rPr>
          <w:rFonts w:ascii="Arial" w:hAnsi="Arial" w:eastAsia="Arial MT" w:cs="Arial"/>
          <w:sz w:val="20"/>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rsidRPr="00EC35E4" w:rsidR="00EE41AF" w:rsidP="00EE41AF" w:rsidRDefault="00EE41AF" w14:paraId="28A62200" w14:textId="77777777">
      <w:pPr>
        <w:widowControl w:val="0"/>
        <w:autoSpaceDE w:val="0"/>
        <w:autoSpaceDN w:val="0"/>
        <w:spacing w:after="0" w:line="240" w:lineRule="auto"/>
        <w:ind w:left="118" w:right="177"/>
        <w:jc w:val="both"/>
        <w:rPr>
          <w:rFonts w:ascii="Arial" w:hAnsi="Arial" w:eastAsia="Arial MT" w:cs="Arial"/>
          <w:szCs w:val="24"/>
          <w:lang w:val="es-ES"/>
        </w:rPr>
      </w:pPr>
    </w:p>
    <w:p w:rsidRPr="0051214E" w:rsidR="00EE41AF" w:rsidP="00EE41AF" w:rsidRDefault="00EE41AF" w14:paraId="0873333E" w14:textId="77777777">
      <w:pPr>
        <w:widowControl w:val="0"/>
        <w:autoSpaceDE w:val="0"/>
        <w:autoSpaceDN w:val="0"/>
        <w:spacing w:after="0" w:line="240" w:lineRule="auto"/>
        <w:ind w:left="118" w:right="177"/>
        <w:jc w:val="both"/>
        <w:rPr>
          <w:rFonts w:ascii="Arial" w:hAnsi="Arial" w:eastAsia="Arial MT" w:cs="Arial"/>
          <w:b/>
          <w:bCs/>
          <w:szCs w:val="24"/>
          <w:lang w:val="es-ES"/>
        </w:rPr>
      </w:pPr>
      <w:r w:rsidRPr="0051214E">
        <w:rPr>
          <w:rFonts w:ascii="Arial" w:hAnsi="Arial" w:eastAsia="Arial MT" w:cs="Arial"/>
          <w:b/>
          <w:bCs/>
          <w:szCs w:val="24"/>
          <w:lang w:val="es-ES"/>
        </w:rPr>
        <w:t>IDENTIDAD DE GÉNERO – Concepto – Alcance – Importancia – Sexo</w:t>
      </w:r>
    </w:p>
    <w:p w:rsidRPr="0051214E" w:rsidR="00EE41AF" w:rsidP="00EE41AF" w:rsidRDefault="00EE41AF" w14:paraId="468191D0" w14:textId="77777777">
      <w:pPr>
        <w:widowControl w:val="0"/>
        <w:autoSpaceDE w:val="0"/>
        <w:autoSpaceDN w:val="0"/>
        <w:spacing w:after="0" w:line="240" w:lineRule="auto"/>
        <w:ind w:left="118" w:right="177"/>
        <w:jc w:val="both"/>
        <w:rPr>
          <w:rFonts w:ascii="Arial" w:hAnsi="Arial" w:eastAsia="Arial MT" w:cs="Arial"/>
          <w:sz w:val="20"/>
          <w:lang w:val="es-ES"/>
        </w:rPr>
      </w:pPr>
    </w:p>
    <w:p w:rsidRPr="0051214E" w:rsidR="00EE41AF" w:rsidP="00EE41AF" w:rsidRDefault="00EE41AF" w14:paraId="73C3AC8E" w14:textId="15DFF4BA">
      <w:pPr>
        <w:widowControl w:val="0"/>
        <w:autoSpaceDE w:val="0"/>
        <w:autoSpaceDN w:val="0"/>
        <w:spacing w:after="0" w:line="240" w:lineRule="auto"/>
        <w:ind w:left="118" w:right="177"/>
        <w:jc w:val="both"/>
        <w:rPr>
          <w:rFonts w:ascii="Arial" w:hAnsi="Arial" w:eastAsia="Arial MT" w:cs="Arial"/>
          <w:sz w:val="20"/>
          <w:lang w:val="es-ES"/>
        </w:rPr>
      </w:pPr>
      <w:r w:rsidRPr="0051214E">
        <w:rPr>
          <w:rFonts w:ascii="Arial" w:hAnsi="Arial" w:eastAsia="Arial MT" w:cs="Arial"/>
          <w:sz w:val="20"/>
          <w:lang w:val="es-ES"/>
        </w:rPr>
        <w:t xml:space="preserve">[…] </w:t>
      </w:r>
      <w:r w:rsidRPr="008A5E4A" w:rsidR="008A5E4A">
        <w:rPr>
          <w:rFonts w:ascii="Arial" w:hAnsi="Arial" w:eastAsia="Arial MT" w:cs="Arial"/>
          <w:sz w:val="20"/>
          <w:lang w:val="es-ES"/>
        </w:rPr>
        <w:t xml:space="preserve">la jurisprudencia constitucional, en congruencia con los lineamientos internacionales sobre la materia, desarrolló la tesis en la que se sitúa la identidad de género como un derecho fundamental, que comporta la facultad del individuo de definirse a sí mismo. En esta determinación autónoma resulta indispensable tener como referente que es el resultado de la voluntad humana y no de su naturaleza. En otras palabras, esta postura comprende el desarraigo de la concepción tradicional en la que el género estaba intrínsicamente asociado al sexo biológico de las personas, es decir, en la actualidad el género no se asigna, sino que se construye </w:t>
      </w:r>
      <w:r w:rsidRPr="0051214E">
        <w:rPr>
          <w:rFonts w:ascii="Arial" w:hAnsi="Arial" w:eastAsia="Arial MT" w:cs="Arial"/>
          <w:sz w:val="20"/>
          <w:lang w:val="es-ES"/>
        </w:rPr>
        <w:t>[…]</w:t>
      </w:r>
    </w:p>
    <w:p w:rsidRPr="0051214E" w:rsidR="00EE41AF" w:rsidP="00EE41AF" w:rsidRDefault="00EE41AF" w14:paraId="34BFB52E" w14:textId="77777777">
      <w:pPr>
        <w:widowControl w:val="0"/>
        <w:autoSpaceDE w:val="0"/>
        <w:autoSpaceDN w:val="0"/>
        <w:spacing w:after="0" w:line="240" w:lineRule="auto"/>
        <w:ind w:left="118" w:right="177"/>
        <w:jc w:val="both"/>
        <w:rPr>
          <w:rFonts w:ascii="Arial" w:hAnsi="Arial" w:eastAsia="Arial MT" w:cs="Arial"/>
          <w:sz w:val="20"/>
          <w:lang w:val="es-ES"/>
        </w:rPr>
      </w:pPr>
      <w:r w:rsidRPr="0051214E">
        <w:rPr>
          <w:rFonts w:ascii="Arial" w:hAnsi="Arial" w:eastAsia="Arial MT" w:cs="Arial"/>
          <w:sz w:val="20"/>
          <w:lang w:val="es-ES"/>
        </w:rPr>
        <w:t>[…]</w:t>
      </w:r>
    </w:p>
    <w:p w:rsidRPr="0042797D" w:rsidR="00EE41AF" w:rsidP="0042797D" w:rsidRDefault="00EE41AF" w14:paraId="5352F039" w14:textId="7E2809D2">
      <w:pPr>
        <w:widowControl w:val="0"/>
        <w:autoSpaceDE w:val="0"/>
        <w:autoSpaceDN w:val="0"/>
        <w:spacing w:after="0" w:line="240" w:lineRule="auto"/>
        <w:ind w:left="118" w:right="177"/>
        <w:jc w:val="both"/>
        <w:rPr>
          <w:rFonts w:ascii="Arial" w:hAnsi="Arial" w:eastAsia="Arial MT" w:cs="Arial"/>
          <w:sz w:val="20"/>
          <w:lang w:val="es-ES"/>
        </w:rPr>
      </w:pPr>
      <w:r w:rsidRPr="0051214E">
        <w:rPr>
          <w:rFonts w:ascii="Arial" w:hAnsi="Arial" w:eastAsia="Arial MT" w:cs="Arial"/>
          <w:sz w:val="20"/>
          <w:lang w:val="es-ES"/>
        </w:rPr>
        <w:t xml:space="preserve">En virtud </w:t>
      </w:r>
      <w:r w:rsidRPr="008A5E4A" w:rsidR="008A5E4A">
        <w:rPr>
          <w:rFonts w:ascii="Arial" w:hAnsi="Arial" w:eastAsia="Arial MT" w:cs="Arial"/>
          <w:sz w:val="20"/>
          <w:lang w:val="es-ES"/>
        </w:rPr>
        <w:t>En virtud de lo anterior, esto es, partiendo de la concepción de la identidad de género como una construcción individual, se precisa entonces que el componente “sexo” que registra en la identificación de las personas, evolucionó en tal medida que la información consignada en este campo o ítem, por decirlo de alguna manera, debe entenderse como una decisión personal y no como una asignación ligada al sexo con el que se nace. Es por ello por lo que las personas tienen la potestad de modificar su marcador de “sexo” para que coincida con su identidad, en caso de que requiera hacer el tránsito formal hacia otro género. Sobre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p>
    <w:p w:rsidR="008A5E4A" w:rsidP="005B6048" w:rsidRDefault="008A5E4A" w14:paraId="3D804D73" w14:textId="77777777">
      <w:pPr>
        <w:rPr>
          <w:rFonts w:ascii="Arial" w:hAnsi="Arial" w:eastAsia="Geomanist Light" w:cs="Arial"/>
          <w:color w:val="000000" w:themeColor="text1"/>
          <w:lang w:val="es-MX"/>
        </w:rPr>
      </w:pPr>
    </w:p>
    <w:p w:rsidRPr="002F6802" w:rsidR="005B6048" w:rsidP="005B6048" w:rsidRDefault="005B6048" w14:paraId="4AB91B17" w14:textId="0B8DA416">
      <w:pPr>
        <w:rPr>
          <w:rFonts w:ascii="Arial" w:hAnsi="Arial" w:eastAsia="Geomanist Light" w:cs="Arial"/>
          <w:color w:val="201F1E"/>
          <w:lang w:val="es-MX"/>
        </w:rPr>
      </w:pPr>
      <w:r w:rsidRPr="002F6802">
        <w:rPr>
          <w:rFonts w:ascii="Arial" w:hAnsi="Arial" w:eastAsia="Geomanist Light" w:cs="Arial"/>
          <w:color w:val="000000" w:themeColor="text1"/>
          <w:lang w:val="es-MX"/>
        </w:rPr>
        <w:t>Bogotá D.C.</w:t>
      </w:r>
      <w:r w:rsidR="008738D3">
        <w:rPr>
          <w:rFonts w:ascii="Arial" w:hAnsi="Arial" w:eastAsia="Geomanist Light" w:cs="Arial"/>
          <w:color w:val="000000" w:themeColor="text1"/>
          <w:lang w:val="es-MX"/>
        </w:rPr>
        <w:t xml:space="preserve"> 12 de </w:t>
      </w:r>
      <w:r w:rsidR="00703849">
        <w:rPr>
          <w:rFonts w:ascii="Arial" w:hAnsi="Arial" w:eastAsia="Geomanist Light" w:cs="Arial"/>
          <w:color w:val="000000" w:themeColor="text1"/>
          <w:lang w:val="es-MX"/>
        </w:rPr>
        <w:t>abril del 2023</w:t>
      </w:r>
    </w:p>
    <w:p w:rsidR="00EE41AF" w:rsidP="00397368" w:rsidRDefault="00397368" w14:paraId="580A59A4" w14:textId="227FB8C8">
      <w:pPr>
        <w:spacing w:after="0" w:line="240" w:lineRule="auto"/>
        <w:contextualSpacing/>
        <w:jc w:val="right"/>
        <w:rPr>
          <w:rFonts w:ascii="Arial" w:hAnsi="Arial" w:eastAsia="Times New Roman" w:cs="Arial"/>
          <w:b/>
          <w:bCs/>
          <w:lang w:val="es-MX" w:eastAsia="es-CO"/>
        </w:rPr>
      </w:pPr>
      <w:r>
        <w:rPr>
          <w:rFonts w:ascii="Arial" w:hAnsi="Arial" w:eastAsia="Times New Roman" w:cs="Arial"/>
          <w:b/>
          <w:bCs/>
          <w:noProof/>
          <w:lang w:val="es-MX" w:eastAsia="es-CO"/>
        </w:rPr>
        <w:drawing>
          <wp:inline distT="0" distB="0" distL="0" distR="0" wp14:anchorId="18E09C69" wp14:editId="5BEA94DD">
            <wp:extent cx="3093244" cy="824865"/>
            <wp:effectExtent l="0" t="0" r="0" b="0"/>
            <wp:docPr id="1" name="Picture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125749" cy="833533"/>
                    </a:xfrm>
                    <a:prstGeom prst="rect">
                      <a:avLst/>
                    </a:prstGeom>
                  </pic:spPr>
                </pic:pic>
              </a:graphicData>
            </a:graphic>
          </wp:inline>
        </w:drawing>
      </w:r>
    </w:p>
    <w:p w:rsidR="00EE41AF" w:rsidP="00EE41AF" w:rsidRDefault="00EE41AF" w14:paraId="3092F63A" w14:textId="77777777">
      <w:pPr>
        <w:spacing w:after="0" w:line="240" w:lineRule="auto"/>
        <w:contextualSpacing/>
        <w:jc w:val="both"/>
        <w:rPr>
          <w:rFonts w:ascii="Arial" w:hAnsi="Arial" w:eastAsia="Calibri" w:cs="Arial"/>
          <w:lang w:val="es-ES_tradnl" w:eastAsia="es-ES_tradnl"/>
        </w:rPr>
      </w:pPr>
    </w:p>
    <w:p w:rsidRPr="00F14B81" w:rsidR="00EE41AF" w:rsidP="00EE41AF" w:rsidRDefault="00EE41AF" w14:paraId="10FCD14F" w14:textId="77777777">
      <w:pPr>
        <w:spacing w:after="0" w:line="240" w:lineRule="auto"/>
        <w:contextualSpacing/>
        <w:jc w:val="both"/>
        <w:rPr>
          <w:rFonts w:ascii="Arial" w:hAnsi="Arial" w:eastAsia="Calibri" w:cs="Arial"/>
          <w:lang w:val="es-ES_tradnl" w:eastAsia="es-ES_tradnl"/>
        </w:rPr>
      </w:pPr>
      <w:r w:rsidRPr="00F14B81">
        <w:rPr>
          <w:rFonts w:ascii="Arial" w:hAnsi="Arial" w:eastAsia="Calibri" w:cs="Arial"/>
          <w:lang w:val="es-ES_tradnl" w:eastAsia="es-ES_tradnl"/>
        </w:rPr>
        <w:t>Señor</w:t>
      </w:r>
    </w:p>
    <w:p w:rsidRPr="00F14B81" w:rsidR="00EE41AF" w:rsidP="00EE41AF" w:rsidRDefault="00EE41AF" w14:paraId="4DF68D0E" w14:textId="77777777">
      <w:pPr>
        <w:spacing w:after="0" w:line="240" w:lineRule="auto"/>
        <w:contextualSpacing/>
        <w:jc w:val="both"/>
        <w:rPr>
          <w:rFonts w:ascii="Arial" w:hAnsi="Arial" w:eastAsia="Calibri" w:cs="Arial"/>
          <w:b/>
          <w:lang w:val="es-ES_tradnl" w:eastAsia="es-ES_tradnl"/>
        </w:rPr>
      </w:pPr>
      <w:r>
        <w:rPr>
          <w:rFonts w:ascii="Arial" w:hAnsi="Arial" w:eastAsia="Calibri" w:cs="Arial"/>
          <w:b/>
          <w:lang w:val="es-ES_tradnl" w:eastAsia="es-ES_tradnl"/>
        </w:rPr>
        <w:t>Hugo Ernesto Ortega Guerrero</w:t>
      </w:r>
    </w:p>
    <w:p w:rsidRPr="00F14B81" w:rsidR="00EE41AF" w:rsidP="00EE41AF" w:rsidRDefault="00EE41AF" w14:paraId="068E2543" w14:textId="77777777">
      <w:pPr>
        <w:spacing w:after="0" w:line="240" w:lineRule="auto"/>
        <w:contextualSpacing/>
        <w:jc w:val="both"/>
        <w:rPr>
          <w:rFonts w:ascii="Arial" w:hAnsi="Arial" w:eastAsia="Calibri" w:cs="Arial"/>
          <w:lang w:val="es-ES_tradnl" w:eastAsia="es-ES_tradnl"/>
        </w:rPr>
      </w:pPr>
      <w:r w:rsidRPr="5F9FDD92" w:rsidR="4AE21F5B">
        <w:rPr>
          <w:rFonts w:ascii="Arial" w:hAnsi="Arial" w:eastAsia="Calibri" w:cs="Arial"/>
          <w:lang w:val="es-ES" w:eastAsia="es-ES"/>
        </w:rPr>
        <w:t>Bogotá, D.C.</w:t>
      </w:r>
    </w:p>
    <w:p w:rsidRPr="00F14B81" w:rsidR="00EE41AF" w:rsidP="00EE41AF" w:rsidRDefault="00EE41AF" w14:paraId="023B32B1" w14:textId="77777777">
      <w:pPr>
        <w:spacing w:after="0" w:line="240" w:lineRule="auto"/>
        <w:contextualSpacing/>
        <w:jc w:val="both"/>
        <w:rPr>
          <w:rFonts w:ascii="Arial" w:hAnsi="Arial" w:eastAsia="Calibri" w:cs="Arial"/>
          <w:lang w:val="es-ES_tradnl" w:eastAsia="es-ES_tradnl"/>
        </w:rPr>
      </w:pPr>
    </w:p>
    <w:p w:rsidRPr="00F14B81" w:rsidR="00EE41AF" w:rsidP="00EE41AF" w:rsidRDefault="00EE41AF" w14:paraId="34145D2F" w14:textId="77777777">
      <w:pPr>
        <w:spacing w:after="0" w:line="240" w:lineRule="auto"/>
        <w:contextualSpacing/>
        <w:rPr>
          <w:rFonts w:ascii="Arial" w:hAnsi="Arial" w:eastAsia="Calibri" w:cs="Arial"/>
          <w:b/>
          <w:bCs/>
          <w:lang w:val="es-ES_tradnl" w:eastAsia="es-ES_tradnl"/>
        </w:rPr>
      </w:pPr>
      <w:r w:rsidRPr="00F14B81">
        <w:rPr>
          <w:rFonts w:ascii="Arial" w:hAnsi="Arial" w:eastAsia="Calibri" w:cs="Arial"/>
          <w:b/>
          <w:bCs/>
          <w:lang w:val="es-ES_tradnl" w:eastAsia="es-ES_tradnl"/>
        </w:rPr>
        <w:t xml:space="preserve">                                            Concepto C ‒ </w:t>
      </w:r>
      <w:r>
        <w:rPr>
          <w:rFonts w:ascii="Arial" w:hAnsi="Arial" w:eastAsia="Calibri" w:cs="Arial"/>
          <w:b/>
          <w:bCs/>
          <w:lang w:val="es-ES_tradnl" w:eastAsia="es-ES_tradnl"/>
        </w:rPr>
        <w:t>048</w:t>
      </w:r>
      <w:r w:rsidRPr="00F14B81">
        <w:rPr>
          <w:rFonts w:ascii="Arial" w:hAnsi="Arial" w:eastAsia="Calibri" w:cs="Arial"/>
          <w:b/>
          <w:bCs/>
          <w:lang w:val="es-ES_tradnl" w:eastAsia="es-ES_tradnl"/>
        </w:rPr>
        <w:t xml:space="preserve"> de 202</w:t>
      </w:r>
      <w:r>
        <w:rPr>
          <w:rFonts w:ascii="Arial" w:hAnsi="Arial" w:eastAsia="Calibri" w:cs="Arial"/>
          <w:b/>
          <w:bCs/>
          <w:lang w:val="es-ES_tradnl" w:eastAsia="es-ES_tradnl"/>
        </w:rPr>
        <w:t>3</w:t>
      </w:r>
    </w:p>
    <w:p w:rsidRPr="00F14B81" w:rsidR="00EE41AF" w:rsidP="00EE41AF" w:rsidRDefault="00EE41AF" w14:paraId="0C47A65A" w14:textId="77777777">
      <w:pPr>
        <w:spacing w:after="0" w:line="240" w:lineRule="auto"/>
        <w:contextualSpacing/>
        <w:jc w:val="both"/>
        <w:rPr>
          <w:rFonts w:ascii="Arial" w:hAnsi="Arial" w:eastAsia="Calibri" w:cs="Arial"/>
          <w:lang w:val="es-ES_tradnl" w:eastAsia="es-ES_tradnl"/>
        </w:rPr>
      </w:pPr>
    </w:p>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14B81" w:rsidR="00EE41AF" w14:paraId="7721A6B7" w14:textId="77777777">
        <w:trPr>
          <w:trHeight w:val="1099"/>
        </w:trPr>
        <w:tc>
          <w:tcPr>
            <w:tcW w:w="2689" w:type="dxa"/>
          </w:tcPr>
          <w:p w:rsidRPr="000D356C" w:rsidR="00EE41AF" w:rsidRDefault="00EE41AF" w14:paraId="33C57FBF" w14:textId="77777777">
            <w:pPr>
              <w:contextualSpacing/>
              <w:jc w:val="both"/>
              <w:rPr>
                <w:rFonts w:ascii="Arial" w:hAnsi="Arial" w:eastAsia="Calibri" w:cs="Arial"/>
                <w:highlight w:val="yellow"/>
                <w:lang w:val="es-ES_tradnl" w:eastAsia="es-ES_tradnl"/>
              </w:rPr>
            </w:pPr>
            <w:r w:rsidRPr="007C6C7A">
              <w:rPr>
                <w:rFonts w:ascii="Arial" w:hAnsi="Arial" w:eastAsia="Calibri" w:cs="Arial"/>
                <w:b/>
                <w:lang w:val="es-ES_tradnl" w:eastAsia="es-ES_tradnl"/>
              </w:rPr>
              <w:t>Temas:</w:t>
            </w:r>
            <w:r w:rsidRPr="007C6C7A">
              <w:rPr>
                <w:rFonts w:ascii="Arial" w:hAnsi="Arial" w:eastAsia="Calibri" w:cs="Arial"/>
                <w:lang w:val="es-ES_tradnl" w:eastAsia="es-ES_tradnl"/>
              </w:rPr>
              <w:t xml:space="preserve">                                      </w:t>
            </w:r>
          </w:p>
        </w:tc>
        <w:tc>
          <w:tcPr>
            <w:tcW w:w="6237" w:type="dxa"/>
          </w:tcPr>
          <w:p w:rsidR="00EE41AF" w:rsidRDefault="00EE41AF" w14:paraId="3AC28CF1" w14:textId="57B11A38">
            <w:pPr>
              <w:contextualSpacing/>
              <w:jc w:val="both"/>
              <w:rPr>
                <w:rFonts w:ascii="Arial" w:hAnsi="Arial" w:eastAsia="Calibri" w:cs="Arial"/>
                <w:bCs/>
                <w:lang w:val="es-ES_tradnl" w:eastAsia="es-ES_tradnl"/>
              </w:rPr>
            </w:pPr>
            <w:r w:rsidRPr="0051214E">
              <w:rPr>
                <w:rFonts w:ascii="Arial" w:hAnsi="Arial" w:eastAsia="Calibri" w:cs="Arial"/>
                <w:bCs/>
                <w:lang w:val="es-ES_tradnl" w:eastAsia="es-ES_tradnl"/>
              </w:rPr>
              <w:t>LEY DE EMPRENDIMIENTO – Ley 2069 de 2020 – Finalidad</w:t>
            </w:r>
            <w:r>
              <w:rPr>
                <w:rFonts w:ascii="Arial" w:hAnsi="Arial" w:eastAsia="Calibri" w:cs="Arial"/>
                <w:bCs/>
                <w:lang w:val="es-ES_tradnl" w:eastAsia="es-ES_tradnl"/>
              </w:rPr>
              <w:t xml:space="preserve"> / </w:t>
            </w:r>
            <w:r w:rsidRPr="0051214E">
              <w:rPr>
                <w:rFonts w:ascii="Arial" w:hAnsi="Arial" w:eastAsia="Calibri" w:cs="Arial"/>
                <w:bCs/>
                <w:lang w:val="es-ES_tradnl" w:eastAsia="es-ES_tradnl"/>
              </w:rPr>
              <w:t>LEY DE EMPRENDIMIENTO – Ley 2069 de 2020 – Artículo 32 – Criterios diferenciales – Emprendimientos de mujeres – Empresas de mujeres – Necesidad de reglamentación – Decreto 1860 de 2021</w:t>
            </w:r>
            <w:r>
              <w:rPr>
                <w:rFonts w:ascii="Arial" w:hAnsi="Arial" w:eastAsia="Calibri" w:cs="Arial"/>
                <w:bCs/>
                <w:lang w:val="es-ES_tradnl" w:eastAsia="es-ES_tradnl"/>
              </w:rPr>
              <w:t xml:space="preserve"> / </w:t>
            </w:r>
            <w:r w:rsidRPr="007C6C7A">
              <w:rPr>
                <w:rFonts w:ascii="Arial" w:hAnsi="Arial" w:eastAsia="Calibri" w:cs="Arial"/>
                <w:bCs/>
                <w:lang w:val="es-ES_tradnl" w:eastAsia="es-ES_tradnl"/>
              </w:rPr>
              <w:t>DECRETO 1860 DE 2021 – Emprendimientos y empresas de mujeres – Definición – Artículo 2.2.1.2.4.2.14 – Acreditación – Condición – Mujer – Regla general</w:t>
            </w:r>
            <w:r>
              <w:rPr>
                <w:rFonts w:ascii="Arial" w:hAnsi="Arial" w:eastAsia="Calibri" w:cs="Arial"/>
                <w:bCs/>
                <w:lang w:val="es-ES_tradnl" w:eastAsia="es-ES_tradnl"/>
              </w:rPr>
              <w:t xml:space="preserve"> / </w:t>
            </w:r>
            <w:r w:rsidRPr="007C6C7A">
              <w:rPr>
                <w:rFonts w:ascii="Arial" w:hAnsi="Arial" w:eastAsia="Calibri" w:cs="Arial"/>
                <w:bCs/>
                <w:lang w:val="es-ES_tradnl" w:eastAsia="es-ES_tradnl"/>
              </w:rPr>
              <w:t>IDENTIDAD DE GÉNERO – Concepto – Alcance – Sexo</w:t>
            </w:r>
          </w:p>
          <w:p w:rsidRPr="000D356C" w:rsidR="00EE41AF" w:rsidRDefault="00EE41AF" w14:paraId="54A5C920" w14:textId="77777777">
            <w:pPr>
              <w:contextualSpacing/>
              <w:jc w:val="both"/>
              <w:rPr>
                <w:rFonts w:ascii="Arial" w:hAnsi="Arial" w:eastAsia="Times New Roman" w:cs="Arial"/>
                <w:b/>
                <w:bCs/>
                <w:noProof/>
                <w:highlight w:val="yellow"/>
                <w:lang w:val="es-ES_tradnl" w:eastAsia="es-ES_tradnl"/>
              </w:rPr>
            </w:pPr>
          </w:p>
        </w:tc>
      </w:tr>
      <w:tr w:rsidRPr="00F14B81" w:rsidR="00EE41AF" w14:paraId="662FDDC9" w14:textId="77777777">
        <w:tc>
          <w:tcPr>
            <w:tcW w:w="2689" w:type="dxa"/>
          </w:tcPr>
          <w:p w:rsidRPr="00F14B81" w:rsidR="00EE41AF" w:rsidRDefault="00EE41AF" w14:paraId="6105AF5E" w14:textId="77777777">
            <w:pPr>
              <w:contextualSpacing/>
              <w:jc w:val="both"/>
              <w:rPr>
                <w:rFonts w:ascii="Arial" w:hAnsi="Arial" w:eastAsia="Calibri" w:cs="Arial"/>
                <w:b/>
                <w:lang w:val="es-ES_tradnl" w:eastAsia="es-ES_tradnl"/>
              </w:rPr>
            </w:pPr>
            <w:r w:rsidRPr="00F14B81">
              <w:rPr>
                <w:rFonts w:ascii="Arial" w:hAnsi="Arial" w:eastAsia="Calibri" w:cs="Arial"/>
                <w:b/>
                <w:lang w:val="es-ES_tradnl" w:eastAsia="es-ES_tradnl"/>
              </w:rPr>
              <w:t>Radicación:</w:t>
            </w:r>
            <w:r w:rsidRPr="00F14B81">
              <w:rPr>
                <w:rFonts w:ascii="Arial" w:hAnsi="Arial" w:eastAsia="Calibri" w:cs="Arial"/>
                <w:lang w:val="es-ES_tradnl" w:eastAsia="es-ES_tradnl"/>
              </w:rPr>
              <w:t xml:space="preserve">                              </w:t>
            </w:r>
          </w:p>
        </w:tc>
        <w:tc>
          <w:tcPr>
            <w:tcW w:w="6237" w:type="dxa"/>
          </w:tcPr>
          <w:p w:rsidRPr="00F14B81" w:rsidR="00EE41AF" w:rsidRDefault="00EE41AF" w14:paraId="322590C7" w14:textId="77777777">
            <w:pPr>
              <w:contextualSpacing/>
              <w:jc w:val="both"/>
              <w:rPr>
                <w:rFonts w:ascii="Arial" w:hAnsi="Arial" w:eastAsia="Calibri" w:cs="Arial"/>
                <w:lang w:val="es-ES_tradnl" w:eastAsia="es-ES_tradnl"/>
              </w:rPr>
            </w:pPr>
            <w:r w:rsidRPr="00F14B81">
              <w:rPr>
                <w:rFonts w:ascii="Arial" w:hAnsi="Arial" w:eastAsia="Calibri" w:cs="Arial"/>
                <w:lang w:val="es-ES_tradnl" w:eastAsia="es-ES_tradnl"/>
              </w:rPr>
              <w:t xml:space="preserve">Respuesta a consulta </w:t>
            </w:r>
            <w:r w:rsidRPr="000D356C">
              <w:rPr>
                <w:rFonts w:ascii="Arial" w:hAnsi="Arial" w:eastAsia="Calibri" w:cs="Arial"/>
                <w:lang w:val="es-ES_tradnl" w:eastAsia="es-ES_tradnl"/>
              </w:rPr>
              <w:t>P20230225001750</w:t>
            </w:r>
          </w:p>
        </w:tc>
      </w:tr>
    </w:tbl>
    <w:p w:rsidRPr="00F14B81" w:rsidR="00EE41AF" w:rsidP="00EE41AF" w:rsidRDefault="00EE41AF" w14:paraId="555C4A66" w14:textId="77777777">
      <w:pPr>
        <w:spacing w:after="0" w:line="276" w:lineRule="auto"/>
        <w:contextualSpacing/>
        <w:jc w:val="both"/>
        <w:rPr>
          <w:rFonts w:ascii="Arial" w:hAnsi="Arial" w:eastAsia="Calibri" w:cs="Arial"/>
          <w:lang w:val="es-ES_tradnl" w:eastAsia="es-ES_tradnl"/>
        </w:rPr>
      </w:pPr>
    </w:p>
    <w:p w:rsidRPr="00F14B81" w:rsidR="00EE41AF" w:rsidP="00EE41AF" w:rsidRDefault="00EE41AF" w14:paraId="509F17DA" w14:textId="77777777">
      <w:pPr>
        <w:spacing w:after="0" w:line="276" w:lineRule="auto"/>
        <w:contextualSpacing/>
        <w:jc w:val="both"/>
        <w:rPr>
          <w:rFonts w:ascii="Arial" w:hAnsi="Arial" w:eastAsia="Calibri" w:cs="Arial"/>
          <w:lang w:val="es-ES_tradnl" w:eastAsia="es-ES_tradnl"/>
        </w:rPr>
      </w:pPr>
    </w:p>
    <w:p w:rsidRPr="00362B16" w:rsidR="00EE41AF" w:rsidP="00EE41AF" w:rsidRDefault="00EE41AF" w14:paraId="0262D626" w14:textId="77777777">
      <w:pPr>
        <w:spacing w:after="0" w:line="276" w:lineRule="auto"/>
        <w:contextualSpacing/>
        <w:jc w:val="both"/>
        <w:rPr>
          <w:rFonts w:ascii="Arial" w:hAnsi="Arial" w:eastAsia="Calibri" w:cs="Arial"/>
          <w:szCs w:val="24"/>
          <w:lang w:val="es-ES_tradnl" w:eastAsia="es-ES_tradnl"/>
        </w:rPr>
      </w:pPr>
      <w:r w:rsidRPr="00362B16">
        <w:rPr>
          <w:rFonts w:ascii="Arial" w:hAnsi="Arial" w:eastAsia="Calibri" w:cs="Arial"/>
          <w:szCs w:val="24"/>
          <w:lang w:val="es-ES_tradnl" w:eastAsia="es-ES_tradnl"/>
        </w:rPr>
        <w:t xml:space="preserve">Estimado señor </w:t>
      </w:r>
      <w:r>
        <w:rPr>
          <w:rFonts w:ascii="Arial" w:hAnsi="Arial" w:eastAsia="Calibri" w:cs="Arial"/>
          <w:szCs w:val="24"/>
          <w:lang w:val="es-ES_tradnl" w:eastAsia="es-ES_tradnl"/>
        </w:rPr>
        <w:t>Ortega Guerrero</w:t>
      </w:r>
      <w:r w:rsidRPr="00362B16">
        <w:rPr>
          <w:rFonts w:ascii="Arial" w:hAnsi="Arial" w:eastAsia="Calibri" w:cs="Arial"/>
          <w:szCs w:val="24"/>
          <w:lang w:val="es-ES_tradnl" w:eastAsia="es-ES_tradnl"/>
        </w:rPr>
        <w:t xml:space="preserve">: </w:t>
      </w:r>
    </w:p>
    <w:p w:rsidRPr="00362B16" w:rsidR="00EE41AF" w:rsidP="00EE41AF" w:rsidRDefault="00EE41AF" w14:paraId="24BE1C04" w14:textId="77777777">
      <w:pPr>
        <w:spacing w:after="0" w:line="276" w:lineRule="auto"/>
        <w:contextualSpacing/>
        <w:jc w:val="both"/>
        <w:rPr>
          <w:rFonts w:ascii="Arial" w:hAnsi="Arial" w:eastAsia="Calibri" w:cs="Arial"/>
          <w:szCs w:val="24"/>
          <w:lang w:val="es-ES_tradnl" w:eastAsia="es-ES_tradnl"/>
        </w:rPr>
      </w:pPr>
    </w:p>
    <w:p w:rsidRPr="00362B16" w:rsidR="00EE41AF" w:rsidP="00EE41AF" w:rsidRDefault="00EE41AF" w14:paraId="2C457F60" w14:textId="77777777">
      <w:pPr>
        <w:spacing w:after="0" w:line="276" w:lineRule="auto"/>
        <w:contextualSpacing/>
        <w:jc w:val="both"/>
        <w:rPr>
          <w:rFonts w:ascii="Arial" w:hAnsi="Arial" w:eastAsia="Calibri" w:cs="Arial"/>
          <w:szCs w:val="24"/>
          <w:lang w:val="es-ES_tradnl" w:eastAsia="es-ES_tradnl"/>
        </w:rPr>
      </w:pPr>
      <w:r w:rsidRPr="00362B16">
        <w:rPr>
          <w:rFonts w:ascii="Arial" w:hAnsi="Arial" w:eastAsia="Calibri" w:cs="Arial"/>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Calibri" w:cs="Arial"/>
          <w:szCs w:val="24"/>
          <w:lang w:val="es-ES_tradnl" w:eastAsia="es-ES_tradnl"/>
        </w:rPr>
        <w:t>25</w:t>
      </w:r>
      <w:r w:rsidRPr="00362B16">
        <w:rPr>
          <w:rFonts w:ascii="Arial" w:hAnsi="Arial" w:eastAsia="Calibri" w:cs="Arial"/>
          <w:szCs w:val="24"/>
          <w:lang w:val="es-ES_tradnl" w:eastAsia="es-ES_tradnl"/>
        </w:rPr>
        <w:t xml:space="preserve"> de </w:t>
      </w:r>
      <w:r>
        <w:rPr>
          <w:rFonts w:ascii="Arial" w:hAnsi="Arial" w:eastAsia="Calibri" w:cs="Arial"/>
          <w:szCs w:val="24"/>
          <w:lang w:val="es-ES_tradnl" w:eastAsia="es-ES_tradnl"/>
        </w:rPr>
        <w:t>febrero</w:t>
      </w:r>
      <w:r w:rsidRPr="00362B16">
        <w:rPr>
          <w:rFonts w:ascii="Arial" w:hAnsi="Arial" w:eastAsia="Calibri" w:cs="Arial"/>
          <w:szCs w:val="24"/>
          <w:lang w:val="es-ES_tradnl" w:eastAsia="es-ES_tradnl"/>
        </w:rPr>
        <w:t xml:space="preserve"> de 202</w:t>
      </w:r>
      <w:r>
        <w:rPr>
          <w:rFonts w:ascii="Arial" w:hAnsi="Arial" w:eastAsia="Calibri" w:cs="Arial"/>
          <w:szCs w:val="24"/>
          <w:lang w:val="es-ES_tradnl" w:eastAsia="es-ES_tradnl"/>
        </w:rPr>
        <w:t>3</w:t>
      </w:r>
      <w:r w:rsidRPr="00362B16">
        <w:rPr>
          <w:rFonts w:ascii="Arial" w:hAnsi="Arial" w:eastAsia="Calibri" w:cs="Arial"/>
          <w:szCs w:val="24"/>
          <w:lang w:val="es-ES_tradnl" w:eastAsia="es-ES_tradnl"/>
        </w:rPr>
        <w:t>.</w:t>
      </w:r>
    </w:p>
    <w:p w:rsidRPr="00362B16" w:rsidR="00EE41AF" w:rsidP="00EE41AF" w:rsidRDefault="00EE41AF" w14:paraId="01346005" w14:textId="77777777">
      <w:pPr>
        <w:spacing w:after="0" w:line="276" w:lineRule="auto"/>
        <w:contextualSpacing/>
        <w:jc w:val="both"/>
        <w:rPr>
          <w:rFonts w:ascii="Arial" w:hAnsi="Arial" w:eastAsia="Calibri" w:cs="Arial"/>
          <w:b/>
          <w:szCs w:val="24"/>
          <w:lang w:val="es-ES_tradnl" w:eastAsia="es-ES_tradnl"/>
        </w:rPr>
      </w:pPr>
    </w:p>
    <w:p w:rsidRPr="00C27A6E" w:rsidR="00EE41AF" w:rsidP="00EE41AF" w:rsidRDefault="00EE41AF" w14:paraId="515440A2" w14:textId="77777777">
      <w:pPr>
        <w:pStyle w:val="ListParagraph"/>
        <w:numPr>
          <w:ilvl w:val="0"/>
          <w:numId w:val="4"/>
        </w:numPr>
        <w:tabs>
          <w:tab w:val="left" w:pos="0"/>
          <w:tab w:val="left" w:pos="142"/>
          <w:tab w:val="left" w:pos="284"/>
        </w:tabs>
        <w:spacing w:after="0" w:line="276" w:lineRule="auto"/>
        <w:ind w:hanging="720"/>
        <w:jc w:val="both"/>
        <w:rPr>
          <w:rFonts w:ascii="Arial" w:hAnsi="Arial" w:eastAsia="Calibri" w:cs="Arial"/>
          <w:b/>
          <w:lang w:val="es-ES_tradnl"/>
        </w:rPr>
      </w:pPr>
      <w:r>
        <w:rPr>
          <w:rFonts w:ascii="Arial" w:hAnsi="Arial" w:eastAsia="Calibri" w:cs="Arial"/>
          <w:b/>
          <w:lang w:val="es-ES_tradnl"/>
        </w:rPr>
        <w:t xml:space="preserve">Problema planteado </w:t>
      </w:r>
      <w:r w:rsidRPr="00C27A6E">
        <w:rPr>
          <w:rFonts w:ascii="Arial" w:hAnsi="Arial" w:eastAsia="Calibri" w:cs="Arial"/>
          <w:b/>
          <w:lang w:val="es-ES_tradnl"/>
        </w:rPr>
        <w:t xml:space="preserve"> </w:t>
      </w:r>
    </w:p>
    <w:p w:rsidRPr="00362B16" w:rsidR="00EE41AF" w:rsidP="00EE41AF" w:rsidRDefault="00EE41AF" w14:paraId="2840761F" w14:textId="77777777">
      <w:pPr>
        <w:tabs>
          <w:tab w:val="left" w:pos="426"/>
        </w:tabs>
        <w:spacing w:after="0" w:line="276" w:lineRule="auto"/>
        <w:contextualSpacing/>
        <w:jc w:val="both"/>
        <w:rPr>
          <w:rFonts w:ascii="Arial" w:hAnsi="Arial" w:eastAsia="Calibri" w:cs="Arial"/>
          <w:b/>
          <w:szCs w:val="24"/>
          <w:lang w:val="es-ES_tradnl" w:eastAsia="es-ES_tradnl"/>
        </w:rPr>
      </w:pPr>
    </w:p>
    <w:p w:rsidR="00EE41AF" w:rsidP="00EE41AF" w:rsidRDefault="00EE41AF" w14:paraId="4C005E73" w14:textId="77777777">
      <w:pPr>
        <w:autoSpaceDE w:val="0"/>
        <w:autoSpaceDN w:val="0"/>
        <w:adjustRightInd w:val="0"/>
        <w:spacing w:after="0" w:line="276" w:lineRule="auto"/>
        <w:contextualSpacing/>
        <w:jc w:val="both"/>
        <w:rPr>
          <w:rFonts w:ascii="Arial" w:hAnsi="Arial" w:eastAsia="Times New Roman" w:cs="Arial"/>
          <w:lang w:val="es-ES_tradnl" w:eastAsia="es-ES_tradnl"/>
        </w:rPr>
      </w:pPr>
      <w:r>
        <w:rPr>
          <w:rFonts w:ascii="Arial" w:hAnsi="Arial" w:eastAsia="Times New Roman" w:cs="Arial"/>
          <w:lang w:val="es-ES_tradnl" w:eastAsia="es-ES_tradnl"/>
        </w:rPr>
        <w:t>Usted pone de presente los artículos 2.2.1.2.4.2.14 y 2.2.1.2.4.2.15 del Decreto 1082 de 2015, introducidos por el Decreto 1860 de 2021</w:t>
      </w:r>
      <w:bookmarkStart w:name="_Hlk79503570" w:id="1"/>
      <w:bookmarkStart w:name="_Hlk79651438" w:id="2"/>
      <w:r>
        <w:rPr>
          <w:rFonts w:ascii="Arial" w:hAnsi="Arial" w:eastAsia="Times New Roman" w:cs="Arial"/>
          <w:lang w:val="es-ES_tradnl" w:eastAsia="es-ES_tradnl"/>
        </w:rPr>
        <w:t>. Al respecto, realiza algunas consideraciones sobre el término “mujer” y formula las siguientes preguntas:</w:t>
      </w:r>
    </w:p>
    <w:p w:rsidR="00EE41AF" w:rsidP="00EE41AF" w:rsidRDefault="00EE41AF" w14:paraId="45343DCA" w14:textId="77777777">
      <w:pPr>
        <w:autoSpaceDE w:val="0"/>
        <w:autoSpaceDN w:val="0"/>
        <w:adjustRightInd w:val="0"/>
        <w:spacing w:after="0" w:line="276" w:lineRule="auto"/>
        <w:contextualSpacing/>
        <w:jc w:val="both"/>
        <w:rPr>
          <w:rFonts w:ascii="Arial" w:hAnsi="Arial" w:eastAsia="Times New Roman" w:cs="Arial"/>
          <w:lang w:val="es-ES_tradnl" w:eastAsia="es-ES_tradnl"/>
        </w:rPr>
      </w:pPr>
    </w:p>
    <w:p w:rsidRPr="00A90F94" w:rsidR="00EE41AF" w:rsidP="00EE41AF" w:rsidRDefault="00EE41AF" w14:paraId="00334A53" w14:textId="3C1B63B3">
      <w:pPr>
        <w:autoSpaceDE w:val="0"/>
        <w:autoSpaceDN w:val="0"/>
        <w:adjustRightInd w:val="0"/>
        <w:spacing w:after="0" w:line="240" w:lineRule="auto"/>
        <w:ind w:left="709" w:right="709"/>
        <w:jc w:val="both"/>
        <w:rPr>
          <w:rFonts w:ascii="Arial" w:hAnsi="Arial" w:eastAsia="Times New Roman" w:cs="Arial"/>
          <w:sz w:val="21"/>
          <w:szCs w:val="21"/>
          <w:lang w:val="es-ES" w:eastAsia="es-ES"/>
        </w:rPr>
      </w:pPr>
      <w:r w:rsidRPr="1E15A5CB">
        <w:rPr>
          <w:rFonts w:ascii="Arial" w:hAnsi="Arial" w:eastAsia="Times New Roman" w:cs="Arial"/>
          <w:sz w:val="21"/>
          <w:szCs w:val="21"/>
          <w:lang w:val="es-ES" w:eastAsia="es-ES"/>
        </w:rPr>
        <w:t>“1. ¿La cédula de ciudadanía es el documento idóneo para certificar la condición de «Mujer», teniendo en cuenta que la cédula únicamente certifica el «Sexo» en términos de género donde se representa visualmente con una «F», para «Femenino» y con una «M» para «Masculino»?</w:t>
      </w:r>
    </w:p>
    <w:p w:rsidRPr="00A90F94" w:rsidR="00EE41AF" w:rsidP="00EE41AF" w:rsidRDefault="00EE41AF" w14:paraId="4AB700C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9A4EB9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2. En caso negativo al primer punto, ¿La condición de «Ser Mujer», puede ser acreditada mediante una manifestación de voluntad expresa del proponente en donde diga que es «Mujer», es decir, el «FORMATO — ACREDITACIÓN DE EMPRENDIMIENTOS Y EMPRESAS DE MUJERES», es suficiente para acreditar dicha condición?</w:t>
      </w:r>
    </w:p>
    <w:p w:rsidRPr="00A90F94" w:rsidR="00EE41AF" w:rsidP="00EE41AF" w:rsidRDefault="00EE41AF" w14:paraId="76EE00C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3A0A9B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3. Si un oferente aporta una cédula donde aparece en el descriptor «Sexo: M», es decir «Masculino», y radica el «FORMATO — ACREDITACIÓN DE EMPRENDIMIENTOS Y EMPRESAS DE MUJERES», identificándose como mujer.</w:t>
      </w:r>
    </w:p>
    <w:p w:rsidRPr="00A90F94" w:rsidR="00EE41AF" w:rsidP="00EE41AF" w:rsidRDefault="00EE41AF" w14:paraId="659C6A3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3CA470F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¿El hecho de que en la cédula de ciudadanía se certifique la característica «masculino», es excluyente de que se identifique como «Mujer»?</w:t>
      </w:r>
    </w:p>
    <w:p w:rsidRPr="00A90F94" w:rsidR="00EE41AF" w:rsidP="00EE41AF" w:rsidRDefault="00EE41AF" w14:paraId="0B8D8BA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033E8D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Esto teniendo en cuenta que la cédula no acredita la condición de «Ser Mujer», sino que</w:t>
      </w:r>
      <w:r>
        <w:rPr>
          <w:rFonts w:ascii="Arial" w:hAnsi="Arial" w:eastAsia="Times New Roman" w:cs="Arial"/>
          <w:sz w:val="21"/>
          <w:szCs w:val="21"/>
          <w:lang w:val="es-ES_tradnl" w:eastAsia="es-ES_tradnl"/>
        </w:rPr>
        <w:t xml:space="preserve"> </w:t>
      </w:r>
      <w:r w:rsidRPr="00A90F94">
        <w:rPr>
          <w:rFonts w:ascii="Arial" w:hAnsi="Arial" w:eastAsia="Times New Roman" w:cs="Arial"/>
          <w:sz w:val="21"/>
          <w:szCs w:val="21"/>
          <w:lang w:val="es-ES_tradnl" w:eastAsia="es-ES_tradnl"/>
        </w:rPr>
        <w:t>se limita a certificar lo «Masculino» y lo «Femenino».</w:t>
      </w:r>
    </w:p>
    <w:p w:rsidRPr="00A90F94" w:rsidR="00EE41AF" w:rsidP="00EE41AF" w:rsidRDefault="00EE41AF" w14:paraId="7278C2D7"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DD7B588"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4. Una persona natural que,</w:t>
      </w:r>
    </w:p>
    <w:p w:rsidRPr="00A90F94" w:rsidR="00EE41AF" w:rsidP="00EE41AF" w:rsidRDefault="00EE41AF" w14:paraId="775BECF5"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C9E68F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«Hombre».</w:t>
      </w:r>
    </w:p>
    <w:p w:rsidRPr="00A90F94" w:rsidR="00EE41AF" w:rsidP="00EE41AF" w:rsidRDefault="00EE41AF" w14:paraId="042CBBC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432D3735"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 y</w:t>
      </w:r>
    </w:p>
    <w:p w:rsidRPr="00A90F94" w:rsidR="00EE41AF" w:rsidP="00EE41AF" w:rsidRDefault="00EE41AF" w14:paraId="38ABCBA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31B00ED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w:t>
      </w:r>
    </w:p>
    <w:p w:rsidRPr="00A90F94" w:rsidR="00EE41AF" w:rsidP="00EE41AF" w:rsidRDefault="00EE41AF" w14:paraId="4A3569A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7E22091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¿La anotación de «M», entendida como «Masculino», lo excluye de identificarse como «Mujer», o debería ser tratado como «Mujer», toda vez que la cédula no certifica el «Ser»?</w:t>
      </w:r>
    </w:p>
    <w:p w:rsidRPr="00A90F94" w:rsidR="00EE41AF" w:rsidP="00EE41AF" w:rsidRDefault="00EE41AF" w14:paraId="7AC2F198"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3BB506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5. Una persona natural que,</w:t>
      </w:r>
    </w:p>
    <w:p w:rsidRPr="00A90F94" w:rsidR="00EE41AF" w:rsidP="00EE41AF" w:rsidRDefault="00EE41AF" w14:paraId="64074BF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6FA1B7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«Trans».</w:t>
      </w:r>
    </w:p>
    <w:p w:rsidRPr="00A90F94" w:rsidR="00EE41AF" w:rsidP="00EE41AF" w:rsidRDefault="00EE41AF" w14:paraId="43FBC0A7"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C1A912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 y</w:t>
      </w:r>
    </w:p>
    <w:p w:rsidRPr="00A90F94" w:rsidR="00EE41AF" w:rsidP="00EE41AF" w:rsidRDefault="00EE41AF" w14:paraId="123F276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BD7C15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w:t>
      </w:r>
    </w:p>
    <w:p w:rsidRPr="00A90F94" w:rsidR="00EE41AF" w:rsidP="00EE41AF" w:rsidRDefault="00EE41AF" w14:paraId="3F21B49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B19303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¿La anotación de «M», entendida como «Masculino», lo excluye de identificarse como «Mujer», o debería ser tratado como «Mujer», toda vez que la cédula no certifica el «Ser Mujer»?</w:t>
      </w:r>
    </w:p>
    <w:p w:rsidRPr="00A90F94" w:rsidR="00EE41AF" w:rsidP="00EE41AF" w:rsidRDefault="00EE41AF" w14:paraId="605A7189"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8C27548"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6. Una persona natural que,</w:t>
      </w:r>
    </w:p>
    <w:p w:rsidRPr="00A90F94" w:rsidR="00EE41AF" w:rsidP="00EE41AF" w:rsidRDefault="00EE41AF" w14:paraId="2719FCD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B0561A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«Hombre».</w:t>
      </w:r>
    </w:p>
    <w:p w:rsidRPr="00A90F94" w:rsidR="00EE41AF" w:rsidP="00EE41AF" w:rsidRDefault="00EE41AF" w14:paraId="087F26B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0FC3FE7"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w:t>
      </w:r>
    </w:p>
    <w:p w:rsidRPr="00A90F94" w:rsidR="00EE41AF" w:rsidP="00EE41AF" w:rsidRDefault="00EE41AF" w14:paraId="382C2E1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1F1633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 y</w:t>
      </w:r>
    </w:p>
    <w:p w:rsidRPr="00A90F94" w:rsidR="00EE41AF" w:rsidP="00EE41AF" w:rsidRDefault="00EE41AF" w14:paraId="7478825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4E2DD88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d. Cuando se le pregunta por su condición afirma que se identifica como «Mujer» con orientación sexual de «Lesbiana», pero que le gusta expresarse como la cultura ha denominado «Hombre».</w:t>
      </w:r>
    </w:p>
    <w:p w:rsidRPr="00A90F94" w:rsidR="00EE41AF" w:rsidP="00EE41AF" w:rsidRDefault="00EE41AF" w14:paraId="4FD90D29"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4DAAE5E"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¿Este contexto lo excluye de identificarse como «¿Mujer», o debería ser tratado como «Hombre»?</w:t>
      </w:r>
    </w:p>
    <w:p w:rsidRPr="00A90F94" w:rsidR="00EE41AF" w:rsidP="00EE41AF" w:rsidRDefault="00EE41AF" w14:paraId="6460292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816E72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Se plantea este caso, toda vez que el comité evaluador puede interpretar que no es «Mujer» y que eventualmente puede estar abusando del derecho.</w:t>
      </w:r>
    </w:p>
    <w:p w:rsidRPr="00A90F94" w:rsidR="00EE41AF" w:rsidP="00EE41AF" w:rsidRDefault="00EE41AF" w14:paraId="01AE88EE"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FC7CA0F"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7. El caso expresado en el punto 6, al ser un eventual conflicto entre un presunto abuso del derecho y un choque del derecho fundamental innominado a la Identidad de Género, reconocido por la Corte Constitucional</w:t>
      </w:r>
    </w:p>
    <w:p w:rsidRPr="00A90F94" w:rsidR="00EE41AF" w:rsidP="00EE41AF" w:rsidRDefault="00EE41AF" w14:paraId="4E9F72C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601FD4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¿Debería resolverse a través de una interpretación del comité evaluador como un abuso del derecho de parte del proponente?, o</w:t>
      </w:r>
    </w:p>
    <w:p w:rsidRPr="00A90F94" w:rsidR="00EE41AF" w:rsidP="00EE41AF" w:rsidRDefault="00EE41AF" w14:paraId="255F4CB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40FB95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¿Debería resolverse de una manera donde prime el Derecho Fundamental Innominado a la Identidad de Género, reconocido por la Corte Constitucional, y aceptarse la condición de «Mujer» del proponente, sin exigir requisitos adicionales?”</w:t>
      </w:r>
    </w:p>
    <w:bookmarkEnd w:id="1"/>
    <w:bookmarkEnd w:id="2"/>
    <w:p w:rsidRPr="00BC782A" w:rsidR="00EE41AF" w:rsidP="00EE41AF" w:rsidRDefault="00EE41AF" w14:paraId="7A47024B" w14:textId="77777777">
      <w:pPr>
        <w:spacing w:after="0" w:line="276" w:lineRule="auto"/>
        <w:ind w:right="709"/>
        <w:contextualSpacing/>
        <w:jc w:val="both"/>
        <w:rPr>
          <w:rFonts w:ascii="Arial" w:hAnsi="Arial" w:eastAsia="Times New Roman" w:cs="Arial"/>
          <w:lang w:val="es-ES_tradnl" w:eastAsia="es-ES_tradnl"/>
        </w:rPr>
      </w:pPr>
    </w:p>
    <w:p w:rsidRPr="00362B16" w:rsidR="00EE41AF" w:rsidP="00EE41AF" w:rsidRDefault="00EE41AF" w14:paraId="112FEB77" w14:textId="77777777">
      <w:pPr>
        <w:pStyle w:val="ListParagraph"/>
        <w:numPr>
          <w:ilvl w:val="0"/>
          <w:numId w:val="4"/>
        </w:numPr>
        <w:tabs>
          <w:tab w:val="left" w:pos="0"/>
          <w:tab w:val="left" w:pos="142"/>
          <w:tab w:val="left" w:pos="284"/>
        </w:tabs>
        <w:spacing w:after="0" w:line="276" w:lineRule="auto"/>
        <w:ind w:hanging="720"/>
        <w:jc w:val="both"/>
        <w:rPr>
          <w:rFonts w:ascii="Arial" w:hAnsi="Arial" w:eastAsia="Calibri" w:cs="Arial"/>
          <w:b/>
          <w:lang w:val="es-ES_tradnl"/>
        </w:rPr>
      </w:pPr>
      <w:r w:rsidRPr="00362B16">
        <w:rPr>
          <w:rFonts w:ascii="Arial" w:hAnsi="Arial" w:eastAsia="Calibri" w:cs="Arial"/>
          <w:b/>
          <w:lang w:val="es-ES_tradnl"/>
        </w:rPr>
        <w:t>Consideraciones</w:t>
      </w:r>
    </w:p>
    <w:p w:rsidRPr="00362B16" w:rsidR="00EE41AF" w:rsidP="00EE41AF" w:rsidRDefault="00EE41AF" w14:paraId="7668DD37" w14:textId="77777777">
      <w:pPr>
        <w:spacing w:after="0" w:line="276" w:lineRule="auto"/>
        <w:contextualSpacing/>
        <w:jc w:val="both"/>
        <w:rPr>
          <w:rFonts w:ascii="Arial" w:hAnsi="Arial" w:eastAsia="Calibri" w:cs="Arial"/>
          <w:lang w:val="es-ES_tradnl" w:eastAsia="es-ES_tradnl"/>
        </w:rPr>
      </w:pPr>
    </w:p>
    <w:p w:rsidRPr="00362B16" w:rsidR="00EE41AF" w:rsidP="00EE41AF" w:rsidRDefault="00EE41AF" w14:paraId="2FFB6E88" w14:textId="389D5C5B">
      <w:pPr>
        <w:spacing w:after="0" w:line="276" w:lineRule="auto"/>
        <w:jc w:val="both"/>
        <w:rPr>
          <w:rFonts w:ascii="Arial" w:hAnsi="Arial" w:eastAsia="Calibri" w:cs="Arial"/>
          <w:color w:val="000000"/>
          <w:szCs w:val="24"/>
          <w:lang w:eastAsia="es-ES_tradnl"/>
        </w:rPr>
      </w:pPr>
      <w:r w:rsidRPr="00362B16">
        <w:rPr>
          <w:rFonts w:ascii="Arial" w:hAnsi="Arial" w:eastAsia="Calibri" w:cs="Arial"/>
          <w:color w:val="000000"/>
          <w:szCs w:val="24"/>
          <w:lang w:eastAsia="es-ES_tradnl"/>
        </w:rPr>
        <w:t xml:space="preserve">En ejercicio de las competencias establecidas en </w:t>
      </w:r>
      <w:r>
        <w:rPr>
          <w:rFonts w:ascii="Arial" w:hAnsi="Arial" w:eastAsia="Calibri" w:cs="Arial"/>
          <w:color w:val="000000"/>
          <w:szCs w:val="24"/>
          <w:lang w:eastAsia="es-ES_tradnl"/>
        </w:rPr>
        <w:t>el numeral 5</w:t>
      </w:r>
      <w:r w:rsidR="00B45307">
        <w:rPr>
          <w:rFonts w:ascii="Arial" w:hAnsi="Arial" w:eastAsia="Calibri" w:cs="Arial"/>
          <w:color w:val="000000"/>
          <w:szCs w:val="24"/>
          <w:lang w:eastAsia="es-ES_tradnl"/>
        </w:rPr>
        <w:t>°</w:t>
      </w:r>
      <w:r>
        <w:rPr>
          <w:rFonts w:ascii="Arial" w:hAnsi="Arial" w:eastAsia="Calibri" w:cs="Arial"/>
          <w:color w:val="000000"/>
          <w:szCs w:val="24"/>
          <w:lang w:eastAsia="es-ES_tradnl"/>
        </w:rPr>
        <w:t xml:space="preserve"> del </w:t>
      </w:r>
      <w:r w:rsidRPr="00362B16">
        <w:rPr>
          <w:rFonts w:ascii="Arial" w:hAnsi="Arial" w:eastAsia="Calibri" w:cs="Arial"/>
          <w:color w:val="000000"/>
          <w:szCs w:val="24"/>
          <w:lang w:eastAsia="es-ES_tradnl"/>
        </w:rPr>
        <w:t>artículo 3 y</w:t>
      </w:r>
      <w:r>
        <w:rPr>
          <w:rFonts w:ascii="Arial" w:hAnsi="Arial" w:eastAsia="Calibri" w:cs="Arial"/>
          <w:color w:val="000000"/>
          <w:szCs w:val="24"/>
          <w:lang w:eastAsia="es-ES_tradnl"/>
        </w:rPr>
        <w:t xml:space="preserve"> el numeral </w:t>
      </w:r>
      <w:r w:rsidR="00B45307">
        <w:rPr>
          <w:rFonts w:ascii="Arial" w:hAnsi="Arial" w:eastAsia="Calibri" w:cs="Arial"/>
          <w:color w:val="000000"/>
          <w:szCs w:val="24"/>
          <w:lang w:eastAsia="es-ES_tradnl"/>
        </w:rPr>
        <w:t>8°</w:t>
      </w:r>
      <w:r>
        <w:rPr>
          <w:rFonts w:ascii="Arial" w:hAnsi="Arial" w:eastAsia="Calibri" w:cs="Arial"/>
          <w:color w:val="000000"/>
          <w:szCs w:val="24"/>
          <w:lang w:eastAsia="es-ES_tradnl"/>
        </w:rPr>
        <w:t xml:space="preserve"> del artículo </w:t>
      </w:r>
      <w:r w:rsidRPr="00362B16">
        <w:rPr>
          <w:rFonts w:ascii="Arial" w:hAnsi="Arial" w:eastAsia="Calibri" w:cs="Arial"/>
          <w:color w:val="000000"/>
          <w:szCs w:val="24"/>
          <w:lang w:eastAsia="es-ES_tradnl"/>
        </w:rPr>
        <w:t>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362B16">
        <w:rPr>
          <w:rFonts w:ascii="Arial" w:hAnsi="Arial" w:eastAsia="Calibri" w:cs="Arial"/>
          <w:color w:val="000000"/>
          <w:szCs w:val="24"/>
          <w:vertAlign w:val="superscript"/>
          <w:lang w:eastAsia="es-ES_tradnl"/>
        </w:rPr>
        <w:footnoteReference w:id="2"/>
      </w:r>
      <w:r w:rsidRPr="00362B16">
        <w:rPr>
          <w:rFonts w:ascii="Arial" w:hAnsi="Arial" w:eastAsia="Calibri" w:cs="Arial"/>
          <w:color w:val="000000"/>
          <w:szCs w:val="24"/>
          <w:lang w:eastAsia="es-ES_tradnl"/>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rsidRPr="00362B16" w:rsidR="00EE41AF" w:rsidP="00EE41AF" w:rsidRDefault="00EE41AF" w14:paraId="5BCC3271" w14:textId="77777777">
      <w:pPr>
        <w:spacing w:before="120" w:after="120" w:line="276" w:lineRule="auto"/>
        <w:ind w:firstLine="709"/>
        <w:jc w:val="both"/>
        <w:rPr>
          <w:rFonts w:ascii="Arial" w:hAnsi="Arial" w:eastAsia="Calibri" w:cs="Arial"/>
          <w:color w:val="000000"/>
          <w:szCs w:val="24"/>
          <w:lang w:eastAsia="es-ES_tradnl"/>
        </w:rPr>
      </w:pPr>
      <w:r w:rsidRPr="00362B16">
        <w:rPr>
          <w:rFonts w:ascii="Arial" w:hAnsi="Arial" w:eastAsia="Calibri" w:cs="Arial"/>
          <w:color w:val="000000"/>
          <w:szCs w:val="24"/>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rsidRPr="00940A6C" w:rsidR="00EE41AF" w:rsidP="00EE41AF" w:rsidRDefault="00EE41AF" w14:paraId="43B80D7D" w14:textId="27D7A3E8">
      <w:pPr>
        <w:spacing w:after="120" w:line="276" w:lineRule="auto"/>
        <w:ind w:firstLine="709"/>
        <w:jc w:val="both"/>
        <w:rPr>
          <w:rFonts w:ascii="Arial" w:hAnsi="Arial" w:eastAsia="Calibri" w:cs="Arial"/>
          <w:lang w:val="es-ES_tradnl" w:eastAsia="es-ES_tradnl"/>
        </w:rPr>
      </w:pPr>
      <w:r w:rsidRPr="00940A6C">
        <w:rPr>
          <w:rFonts w:ascii="Arial" w:hAnsi="Arial" w:eastAsia="Calibri" w:cs="Arial"/>
          <w:color w:val="000000"/>
        </w:rPr>
        <w:t>Teniendo en cuenta lo anterior, dentro de los límites de la competencia consultiva atribuida a esta entidad, se resolverán sus preguntas, previo análisis de los siguientes temas:</w:t>
      </w:r>
      <w:r w:rsidRPr="00940A6C">
        <w:rPr>
          <w:rFonts w:ascii="Arial" w:hAnsi="Arial" w:eastAsia="Calibri" w:cs="Arial"/>
          <w:lang w:val="es-ES_tradnl" w:eastAsia="es-ES_tradnl"/>
        </w:rPr>
        <w:t xml:space="preserve"> i) vigencia y reglamentación de los criterios diferenciales de la Ley 2069 de 2020; </w:t>
      </w:r>
      <w:proofErr w:type="spellStart"/>
      <w:r w:rsidRPr="00940A6C">
        <w:rPr>
          <w:rFonts w:ascii="Arial" w:hAnsi="Arial" w:eastAsia="Calibri" w:cs="Arial"/>
          <w:lang w:val="es-ES_tradnl" w:eastAsia="es-ES_tradnl"/>
        </w:rPr>
        <w:t>ii</w:t>
      </w:r>
      <w:proofErr w:type="spellEnd"/>
      <w:r w:rsidRPr="00940A6C">
        <w:rPr>
          <w:rFonts w:ascii="Arial" w:hAnsi="Arial" w:eastAsia="Calibri" w:cs="Arial"/>
          <w:lang w:val="es-ES_tradnl" w:eastAsia="es-ES_tradnl"/>
        </w:rPr>
        <w:t xml:space="preserve">) definición de emprendimientos y empresas de mujeres en el Decreto 1860 de 2021, y </w:t>
      </w:r>
      <w:proofErr w:type="spellStart"/>
      <w:r w:rsidRPr="00940A6C">
        <w:rPr>
          <w:rFonts w:ascii="Arial" w:hAnsi="Arial" w:eastAsia="Calibri" w:cs="Arial"/>
          <w:lang w:val="es-ES_tradnl" w:eastAsia="es-ES_tradnl"/>
        </w:rPr>
        <w:t>iii</w:t>
      </w:r>
      <w:proofErr w:type="spellEnd"/>
      <w:r w:rsidRPr="00940A6C">
        <w:rPr>
          <w:rFonts w:ascii="Arial" w:hAnsi="Arial" w:eastAsia="Calibri" w:cs="Arial"/>
          <w:lang w:val="es-ES_tradnl" w:eastAsia="es-ES_tradnl"/>
        </w:rPr>
        <w:t xml:space="preserve">) </w:t>
      </w:r>
      <w:r w:rsidR="005513E9">
        <w:rPr>
          <w:rFonts w:ascii="Arial" w:hAnsi="Arial" w:eastAsia="Calibri" w:cs="Arial"/>
          <w:lang w:val="es-ES_tradnl" w:eastAsia="es-ES_tradnl"/>
        </w:rPr>
        <w:t>la</w:t>
      </w:r>
      <w:r w:rsidRPr="009D4AA0" w:rsidR="009D4AA0">
        <w:rPr>
          <w:rFonts w:ascii="Arial" w:hAnsi="Arial" w:eastAsia="Calibri" w:cs="Arial"/>
          <w:lang w:val="es-ES_tradnl" w:eastAsia="es-ES_tradnl"/>
        </w:rPr>
        <w:t xml:space="preserve"> identidad de </w:t>
      </w:r>
      <w:r w:rsidRPr="009D4AA0" w:rsidR="005513E9">
        <w:rPr>
          <w:rFonts w:ascii="Arial" w:hAnsi="Arial" w:eastAsia="Calibri" w:cs="Arial"/>
          <w:lang w:val="es-ES_tradnl" w:eastAsia="es-ES_tradnl"/>
        </w:rPr>
        <w:t>género</w:t>
      </w:r>
      <w:r w:rsidRPr="009D4AA0" w:rsidR="009D4AA0">
        <w:rPr>
          <w:rFonts w:ascii="Arial" w:hAnsi="Arial" w:eastAsia="Calibri" w:cs="Arial"/>
          <w:lang w:val="es-ES_tradnl" w:eastAsia="es-ES_tradnl"/>
        </w:rPr>
        <w:t xml:space="preserve"> como derecho fundamental y su relación con las definiciones de emprendimientos y empresas de mujeres establecidas por el Decreto 1860 de 2021</w:t>
      </w:r>
      <w:r w:rsidR="005513E9">
        <w:rPr>
          <w:rFonts w:ascii="Arial" w:hAnsi="Arial" w:eastAsia="Calibri" w:cs="Arial"/>
          <w:lang w:val="es-ES_tradnl" w:eastAsia="es-ES_tradnl"/>
        </w:rPr>
        <w:t xml:space="preserve">. </w:t>
      </w:r>
      <w:r w:rsidRPr="009D4AA0" w:rsidR="009D4AA0">
        <w:rPr>
          <w:rFonts w:ascii="Arial" w:hAnsi="Arial" w:eastAsia="Calibri" w:cs="Arial"/>
          <w:lang w:val="es-ES_tradnl" w:eastAsia="es-ES_tradnl"/>
        </w:rPr>
        <w:t xml:space="preserve"> </w:t>
      </w:r>
    </w:p>
    <w:p w:rsidRPr="00362B16" w:rsidR="00EE41AF" w:rsidP="00EE41AF" w:rsidRDefault="00EE41AF" w14:paraId="06EA5898" w14:textId="77777777">
      <w:pPr>
        <w:spacing w:after="0" w:line="276" w:lineRule="auto"/>
        <w:ind w:firstLine="708"/>
        <w:jc w:val="both"/>
        <w:rPr>
          <w:rFonts w:ascii="Arial" w:hAnsi="Arial" w:eastAsia="Calibri" w:cs="Arial"/>
          <w:lang w:val="es-ES_tradnl" w:eastAsia="es-ES_tradnl"/>
        </w:rPr>
      </w:pPr>
      <w:r w:rsidRPr="00940A6C">
        <w:rPr>
          <w:rFonts w:ascii="Arial" w:hAnsi="Arial" w:eastAsia="Calibri" w:cs="Arial"/>
          <w:lang w:val="es-ES_tradnl" w:eastAsia="es-ES_tradnl"/>
        </w:rPr>
        <w:t>La Agencia Nacional de Contratación Pública – Colombia Compra Eficiente se ha pronunciado, en términos generales, sobre el contenido de la Ley de Emprendimiento en diferentes conceptos</w:t>
      </w:r>
      <w:r w:rsidRPr="00940A6C">
        <w:rPr>
          <w:rFonts w:ascii="Arial" w:hAnsi="Arial" w:eastAsia="Calibri" w:cs="Arial"/>
          <w:vertAlign w:val="superscript"/>
          <w:lang w:val="es-ES_tradnl" w:eastAsia="es-ES_tradnl"/>
        </w:rPr>
        <w:footnoteReference w:id="3"/>
      </w:r>
      <w:r w:rsidRPr="00940A6C">
        <w:rPr>
          <w:rFonts w:ascii="Arial" w:hAnsi="Arial" w:eastAsia="Calibri" w:cs="Arial"/>
          <w:lang w:val="es-ES_tradnl" w:eastAsia="es-ES_tradnl"/>
        </w:rPr>
        <w:t xml:space="preserve">, refiriéndose, especialmente, a lo dispuesto en el artículo 32 de dicha ley, alusivo a los criterios diferenciales para emprendimientos y empresas de mujeres, en los conceptos </w:t>
      </w:r>
      <w:r w:rsidRPr="00940A6C">
        <w:rPr>
          <w:rFonts w:ascii="Arial" w:hAnsi="Arial" w:eastAsia="Times New Roman" w:cs="Arial"/>
          <w:shd w:val="clear" w:color="auto" w:fill="FFFFFF"/>
          <w:lang w:eastAsia="es-ES_tradnl"/>
        </w:rPr>
        <w:t xml:space="preserve">C-029 de 21 de febrero de 2021, C-037 del 26 de febrero de 2021, C-141 del 8 de abril de 2021, C-114 del 13 de abril de 2015, C-031 del 1 de marzo de 2022, C-476 del 21 de junio de 2022, C-429 del 18 de julio de 2022, </w:t>
      </w:r>
      <w:r w:rsidRPr="00940A6C">
        <w:rPr>
          <w:rFonts w:ascii="Arial" w:hAnsi="Arial" w:cs="Arial"/>
          <w:shd w:val="clear" w:color="auto" w:fill="FFFFFF"/>
        </w:rPr>
        <w:t>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sidRPr="00940A6C">
        <w:rPr>
          <w:rFonts w:ascii="Arial" w:hAnsi="Arial" w:eastAsia="Times New Roman" w:cs="Arial"/>
          <w:shd w:val="clear" w:color="auto" w:fill="FFFFFF"/>
          <w:lang w:eastAsia="es-ES_tradnl"/>
        </w:rPr>
        <w:t xml:space="preserve"> entre otros</w:t>
      </w:r>
      <w:r w:rsidRPr="00940A6C">
        <w:rPr>
          <w:rFonts w:ascii="Arial" w:hAnsi="Arial" w:eastAsia="Arial" w:cs="Arial"/>
          <w:vertAlign w:val="superscript"/>
          <w:lang w:val="es-ES_tradnl" w:eastAsia="es-ES_tradnl"/>
        </w:rPr>
        <w:footnoteReference w:id="4"/>
      </w:r>
      <w:r w:rsidRPr="00940A6C">
        <w:rPr>
          <w:rFonts w:ascii="Arial" w:hAnsi="Arial" w:eastAsia="Times New Roman" w:cs="Arial"/>
          <w:shd w:val="clear" w:color="auto" w:fill="FFFFFF"/>
          <w:lang w:eastAsia="es-ES_tradnl"/>
        </w:rPr>
        <w:t>.</w:t>
      </w:r>
      <w:r w:rsidRPr="00940A6C">
        <w:rPr>
          <w:rFonts w:ascii="Arial" w:hAnsi="Arial" w:eastAsia="Calibri" w:cs="Arial"/>
          <w:lang w:val="es-ES_tradnl" w:eastAsia="es-ES_tradnl"/>
        </w:rPr>
        <w:t xml:space="preserve"> Algunas de las consideraciones de estos conceptos se reiteran y complementan a continuación.</w:t>
      </w:r>
    </w:p>
    <w:p w:rsidRPr="00362B16" w:rsidR="00EE41AF" w:rsidP="00EE41AF" w:rsidRDefault="00EE41AF" w14:paraId="67556D13" w14:textId="77777777">
      <w:pPr>
        <w:spacing w:after="0" w:line="276" w:lineRule="auto"/>
        <w:contextualSpacing/>
        <w:textAlignment w:val="baseline"/>
        <w:rPr>
          <w:rFonts w:ascii="Arial" w:hAnsi="Arial" w:eastAsia="Calibri" w:cs="Arial"/>
          <w:lang w:val="es-ES_tradnl" w:eastAsia="es-ES_tradnl"/>
        </w:rPr>
      </w:pPr>
    </w:p>
    <w:p w:rsidRPr="00362B16" w:rsidR="00EE41AF" w:rsidP="00EE41AF" w:rsidRDefault="00EE41AF" w14:paraId="53465209" w14:textId="77777777">
      <w:pPr>
        <w:spacing w:after="0" w:line="276" w:lineRule="auto"/>
        <w:contextualSpacing/>
        <w:jc w:val="both"/>
        <w:rPr>
          <w:rFonts w:ascii="Arial" w:hAnsi="Arial" w:eastAsia="Calibri" w:cs="Arial"/>
          <w:b/>
          <w:bCs/>
          <w:lang w:val="es-ES_tradnl" w:eastAsia="es-ES_tradnl"/>
        </w:rPr>
      </w:pPr>
      <w:r w:rsidRPr="00362B16">
        <w:rPr>
          <w:rFonts w:ascii="Arial" w:hAnsi="Arial" w:eastAsia="Calibri" w:cs="Arial"/>
          <w:b/>
          <w:bCs/>
          <w:lang w:val="es-ES_tradnl" w:eastAsia="es-ES_tradnl"/>
        </w:rPr>
        <w:t xml:space="preserve">2.1. </w:t>
      </w:r>
      <w:bookmarkStart w:name="_Hlk94018153" w:id="3"/>
      <w:r w:rsidRPr="00362B16">
        <w:rPr>
          <w:rFonts w:ascii="Arial" w:hAnsi="Arial" w:eastAsia="Calibri" w:cs="Arial"/>
          <w:b/>
          <w:bCs/>
          <w:lang w:val="es-ES_tradnl" w:eastAsia="es-ES_tradnl"/>
        </w:rPr>
        <w:t xml:space="preserve">Vigencia y reglamentación de los criterios diferenciales de la Ley 2069 de 2020 </w:t>
      </w:r>
      <w:bookmarkEnd w:id="3"/>
    </w:p>
    <w:p w:rsidRPr="00362B16" w:rsidR="00EE41AF" w:rsidP="00EE41AF" w:rsidRDefault="00EE41AF" w14:paraId="4BC5FED5" w14:textId="77777777">
      <w:pPr>
        <w:spacing w:after="0" w:line="276" w:lineRule="auto"/>
        <w:contextualSpacing/>
        <w:jc w:val="both"/>
        <w:rPr>
          <w:rFonts w:ascii="Arial" w:hAnsi="Arial" w:eastAsia="Calibri" w:cs="Arial"/>
          <w:lang w:val="es-ES_tradnl" w:eastAsia="es-ES_tradnl"/>
        </w:rPr>
      </w:pPr>
    </w:p>
    <w:p w:rsidRPr="00362B16" w:rsidR="00EE41AF" w:rsidP="00EE41AF" w:rsidRDefault="00EE41AF" w14:paraId="05CE09E0" w14:textId="02F83D51">
      <w:pPr>
        <w:spacing w:after="0" w:line="276" w:lineRule="auto"/>
        <w:jc w:val="both"/>
        <w:rPr>
          <w:rFonts w:ascii="Arial" w:hAnsi="Arial" w:eastAsia="Calibri" w:cs="Arial"/>
          <w:lang w:val="es-ES_tradnl" w:eastAsia="es-ES_tradnl"/>
        </w:rPr>
      </w:pPr>
      <w:r w:rsidRPr="00362B16">
        <w:rPr>
          <w:rFonts w:ascii="Arial" w:hAnsi="Arial" w:eastAsia="Calibri" w:cs="Arial"/>
          <w:lang w:val="es-ES_tradnl" w:eastAsia="es-ES_tradnl"/>
        </w:rPr>
        <w:t xml:space="preserve">El 31 de diciembre de 2020 se promulgó la Ley 2069, </w:t>
      </w:r>
      <w:r w:rsidR="00336735">
        <w:rPr>
          <w:rFonts w:ascii="Arial" w:hAnsi="Arial" w:eastAsia="Calibri" w:cs="Arial"/>
          <w:lang w:val="es-ES_tradnl" w:eastAsia="es-ES_tradnl"/>
        </w:rPr>
        <w:t>“</w:t>
      </w:r>
      <w:r w:rsidRPr="00362B16">
        <w:rPr>
          <w:rFonts w:ascii="Arial" w:hAnsi="Arial" w:eastAsia="Calibri" w:cs="Arial"/>
          <w:lang w:val="es-ES_tradnl" w:eastAsia="es-ES_tradnl"/>
        </w:rPr>
        <w:t>Por medio de la cual se impulsa el emprendimiento en Colombia</w:t>
      </w:r>
      <w:r w:rsidR="00943837">
        <w:rPr>
          <w:rFonts w:ascii="Arial" w:hAnsi="Arial" w:eastAsia="Calibri" w:cs="Arial"/>
          <w:lang w:val="es-ES_tradnl" w:eastAsia="es-ES_tradnl"/>
        </w:rPr>
        <w:t>”</w:t>
      </w:r>
      <w:r w:rsidRPr="00362B16">
        <w:rPr>
          <w:rFonts w:ascii="Arial" w:hAnsi="Arial" w:eastAsia="Calibri" w:cs="Arial"/>
          <w:lang w:val="es-ES_tradnl" w:eastAsia="es-ES_tradnl"/>
        </w:rPr>
        <w:t xml:space="preserve">. De acuerdo con el artículo 84, </w:t>
      </w:r>
      <w:r w:rsidR="00336735">
        <w:rPr>
          <w:rFonts w:ascii="Arial" w:hAnsi="Arial" w:eastAsia="Calibri" w:cs="Arial"/>
          <w:lang w:val="es-ES_tradnl" w:eastAsia="es-ES_tradnl"/>
        </w:rPr>
        <w:t>“</w:t>
      </w:r>
      <w:r w:rsidRPr="00362B16">
        <w:rPr>
          <w:rFonts w:ascii="Arial" w:hAnsi="Arial" w:eastAsia="Calibri" w:cs="Arial"/>
          <w:lang w:val="es-ES_tradnl" w:eastAsia="es-ES_tradnl"/>
        </w:rPr>
        <w:t>La presente Ley rige a partir del momento de su promulgación […]</w:t>
      </w:r>
      <w:r w:rsidR="00943837">
        <w:rPr>
          <w:rFonts w:ascii="Arial" w:hAnsi="Arial" w:eastAsia="Calibri" w:cs="Arial"/>
          <w:lang w:val="es-ES_tradnl" w:eastAsia="es-ES_tradnl"/>
        </w:rPr>
        <w:t>”</w:t>
      </w:r>
      <w:r w:rsidRPr="00362B16">
        <w:rPr>
          <w:rFonts w:ascii="Arial" w:hAnsi="Arial" w:eastAsia="Calibri" w:cs="Arial"/>
          <w:lang w:val="es-ES_tradnl" w:eastAsia="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881977">
        <w:rPr>
          <w:rFonts w:ascii="Arial" w:hAnsi="Arial" w:eastAsia="Calibri" w:cs="Arial"/>
          <w:color w:val="000000" w:themeColor="text1"/>
          <w:lang w:val="es-ES_tradnl"/>
        </w:rPr>
        <w:t>, potestad que fue ejercida mediante la expedición del Decreto 1860 de 2021, al cual se hará referencia más adelante</w:t>
      </w:r>
      <w:r w:rsidRPr="00362B16">
        <w:rPr>
          <w:rFonts w:ascii="Arial" w:hAnsi="Arial" w:eastAsia="Calibri" w:cs="Arial"/>
          <w:lang w:val="es-ES_tradnl" w:eastAsia="es-ES_tradnl"/>
        </w:rPr>
        <w:t>.</w:t>
      </w:r>
    </w:p>
    <w:p w:rsidRPr="00362B16" w:rsidR="00EE41AF" w:rsidP="00EE41AF" w:rsidRDefault="00EE41AF" w14:paraId="4C5D7758" w14:textId="58F16AE6">
      <w:pPr>
        <w:spacing w:before="120" w:after="0" w:line="276" w:lineRule="auto"/>
        <w:ind w:firstLine="709"/>
        <w:jc w:val="both"/>
        <w:rPr>
          <w:rFonts w:ascii="Arial" w:hAnsi="Arial" w:eastAsia="Calibri" w:cs="Arial"/>
          <w:lang w:val="es-ES_tradnl" w:eastAsia="es-ES_tradnl"/>
        </w:rPr>
      </w:pPr>
      <w:r w:rsidRPr="00362B16">
        <w:rPr>
          <w:rFonts w:ascii="Arial" w:hAnsi="Arial" w:eastAsia="Calibri" w:cs="Arial"/>
          <w:lang w:val="es-ES_tradnl" w:eastAsia="es-ES_tradnl"/>
        </w:rPr>
        <w:t xml:space="preserve">En cuanto a su contenido, es importante señalar que, como dispone el artículo 1, aquella </w:t>
      </w:r>
      <w:r w:rsidR="00336735">
        <w:rPr>
          <w:rFonts w:ascii="Arial" w:hAnsi="Arial" w:eastAsia="Calibri" w:cs="Arial"/>
          <w:lang w:val="es-ES_tradnl" w:eastAsia="es-ES_tradnl"/>
        </w:rPr>
        <w:t>“</w:t>
      </w:r>
      <w:r w:rsidRPr="00362B16">
        <w:rPr>
          <w:rFonts w:ascii="Arial" w:hAnsi="Arial" w:eastAsia="Calibri" w:cs="Arial"/>
          <w:lang w:val="es-ES_tradnl" w:eastAsia="es-ES_tradnl"/>
        </w:rPr>
        <w:t>tiene por objeto establecer un marco regulatorio que propicie el emprendimiento y el crecimiento, consolidación y sostenibilidad de las empresas, con el fin de aumentar el bienestar social y generar equidad</w:t>
      </w:r>
      <w:r w:rsidR="00032E86">
        <w:rPr>
          <w:rFonts w:ascii="Arial" w:hAnsi="Arial" w:eastAsia="Calibri" w:cs="Arial"/>
          <w:lang w:val="es-ES_tradnl" w:eastAsia="es-ES_tradnl"/>
        </w:rPr>
        <w:t>”</w:t>
      </w:r>
      <w:r w:rsidRPr="00362B16">
        <w:rPr>
          <w:rFonts w:ascii="Arial" w:hAnsi="Arial" w:eastAsia="Calibri" w:cs="Arial"/>
          <w:sz w:val="24"/>
          <w:szCs w:val="24"/>
          <w:vertAlign w:val="superscript"/>
          <w:lang w:val="es-ES_tradnl" w:eastAsia="es-ES_tradnl"/>
        </w:rPr>
        <w:footnoteReference w:id="5"/>
      </w:r>
      <w:r w:rsidRPr="00362B16">
        <w:rPr>
          <w:rFonts w:ascii="Arial" w:hAnsi="Arial" w:eastAsia="Calibri" w:cs="Arial"/>
          <w:lang w:val="es-ES_tradnl" w:eastAsia="es-ES_tradnl"/>
        </w:rPr>
        <w:t xml:space="preserve">. Esto, a partir de </w:t>
      </w:r>
      <w:r w:rsidR="00336735">
        <w:rPr>
          <w:rFonts w:ascii="Arial" w:hAnsi="Arial" w:eastAsia="Calibri" w:cs="Arial"/>
          <w:lang w:val="es-ES_tradnl" w:eastAsia="es-ES_tradnl"/>
        </w:rPr>
        <w:t>“</w:t>
      </w:r>
      <w:r w:rsidRPr="00362B16">
        <w:rPr>
          <w:rFonts w:ascii="Arial" w:hAnsi="Arial" w:eastAsia="Calibri" w:cs="Arial"/>
          <w:lang w:val="es-ES_tradnl" w:eastAsia="es-ES_tradnl"/>
        </w:rPr>
        <w:t>[…] un enfoque regionalizado de acuerdo a las realidades socioeconómicas de cada región</w:t>
      </w:r>
      <w:r w:rsidR="00943837">
        <w:rPr>
          <w:rFonts w:ascii="Arial" w:hAnsi="Arial" w:eastAsia="Calibri" w:cs="Arial"/>
          <w:lang w:val="es-ES_tradnl" w:eastAsia="es-ES_tradnl"/>
        </w:rPr>
        <w:t>”</w:t>
      </w:r>
      <w:r w:rsidRPr="00362B16">
        <w:rPr>
          <w:rFonts w:ascii="Arial" w:hAnsi="Arial" w:eastAsia="Calibri" w:cs="Arial"/>
          <w:lang w:val="es-ES_tradnl" w:eastAsia="es-ES_tradnl"/>
        </w:rPr>
        <w:t>. En desarrollo de esta finalidad, se establecen medidas de apoyo para las micro, pequeñas y medianas empresas –</w:t>
      </w:r>
      <w:proofErr w:type="spellStart"/>
      <w:r w:rsidRPr="00362B16">
        <w:rPr>
          <w:rFonts w:ascii="Arial" w:hAnsi="Arial" w:eastAsia="Calibri" w:cs="Arial"/>
          <w:lang w:val="es-ES_tradnl" w:eastAsia="es-ES_tradnl"/>
        </w:rPr>
        <w:t>Mipymes</w:t>
      </w:r>
      <w:proofErr w:type="spellEnd"/>
      <w:r w:rsidRPr="00362B16">
        <w:rPr>
          <w:rFonts w:ascii="Arial" w:hAnsi="Arial" w:eastAsia="Calibri" w:cs="Arial"/>
          <w:lang w:val="es-ES_tradnl" w:eastAsia="es-ES_tradnl"/>
        </w:rPr>
        <w:t>–, mediante la racionalización y simplificación de los trámites y tarifas</w:t>
      </w:r>
      <w:r w:rsidRPr="00362B16">
        <w:rPr>
          <w:rFonts w:ascii="Arial" w:hAnsi="Arial" w:eastAsia="Calibri" w:cs="Arial"/>
          <w:vertAlign w:val="superscript"/>
          <w:lang w:val="es-ES_tradnl" w:eastAsia="es-ES_tradnl"/>
        </w:rPr>
        <w:footnoteReference w:id="6"/>
      </w:r>
      <w:r w:rsidRPr="00362B16">
        <w:rPr>
          <w:rFonts w:ascii="Arial" w:hAnsi="Arial" w:eastAsia="Calibri" w:cs="Arial"/>
          <w:lang w:val="es-ES_tradnl" w:eastAsia="es-ES_tradnl"/>
        </w:rPr>
        <w:t>, así como incentivos a favor de aquellas dentro del sistema de compras y contratación pública</w:t>
      </w:r>
      <w:r w:rsidRPr="00362B16">
        <w:rPr>
          <w:rFonts w:ascii="Arial" w:hAnsi="Arial" w:eastAsia="Calibri" w:cs="Arial"/>
          <w:vertAlign w:val="superscript"/>
          <w:lang w:val="es-ES_tradnl" w:eastAsia="es-ES_tradnl"/>
        </w:rPr>
        <w:footnoteReference w:id="7"/>
      </w:r>
      <w:r w:rsidRPr="00362B16">
        <w:rPr>
          <w:rFonts w:ascii="Arial" w:hAnsi="Arial" w:eastAsia="Calibri" w:cs="Arial"/>
          <w:lang w:val="es-ES_tradnl" w:eastAsia="es-ES_tradnl"/>
        </w:rPr>
        <w:t>. También se consagran mecanismos de acceso al financiamiento</w:t>
      </w:r>
      <w:r w:rsidRPr="00362B16">
        <w:rPr>
          <w:rFonts w:ascii="Arial" w:hAnsi="Arial" w:eastAsia="Calibri" w:cs="Arial"/>
          <w:vertAlign w:val="superscript"/>
          <w:lang w:val="es-ES_tradnl" w:eastAsia="es-ES_tradnl"/>
        </w:rPr>
        <w:footnoteReference w:id="8"/>
      </w:r>
      <w:r w:rsidRPr="00362B16">
        <w:rPr>
          <w:rFonts w:ascii="Arial" w:hAnsi="Arial" w:eastAsia="Calibri" w:cs="Arial"/>
          <w:lang w:val="es-ES_tradnl" w:eastAsia="es-ES_tradnl"/>
        </w:rPr>
        <w:t>, se unifican las fuentes de emprendimiento y de desarrollo empresarial, para fortalecer y promover los distintos sectores de la economía</w:t>
      </w:r>
      <w:r w:rsidRPr="00362B16">
        <w:rPr>
          <w:rFonts w:ascii="Arial" w:hAnsi="Arial" w:eastAsia="Calibri" w:cs="Arial"/>
          <w:vertAlign w:val="superscript"/>
          <w:lang w:val="es-ES_tradnl" w:eastAsia="es-ES_tradnl"/>
        </w:rPr>
        <w:footnoteReference w:id="9"/>
      </w:r>
      <w:r w:rsidRPr="00362B16">
        <w:rPr>
          <w:rFonts w:ascii="Arial" w:hAnsi="Arial" w:eastAsia="Calibri" w:cs="Arial"/>
          <w:lang w:val="es-ES_tradnl" w:eastAsia="es-ES_tradnl"/>
        </w:rPr>
        <w:t xml:space="preserve"> y se prevén medidas de educación para el emprendimiento y la innovación</w:t>
      </w:r>
      <w:r w:rsidRPr="00362B16">
        <w:rPr>
          <w:rFonts w:ascii="Arial" w:hAnsi="Arial" w:eastAsia="Calibri" w:cs="Arial"/>
          <w:vertAlign w:val="superscript"/>
          <w:lang w:val="es-ES_tradnl" w:eastAsia="es-ES_tradnl"/>
        </w:rPr>
        <w:footnoteReference w:id="10"/>
      </w:r>
      <w:r w:rsidRPr="00362B16">
        <w:rPr>
          <w:rFonts w:ascii="Arial" w:hAnsi="Arial" w:eastAsia="Calibri" w:cs="Arial"/>
          <w:lang w:val="es-ES_tradnl" w:eastAsia="es-ES_tradnl"/>
        </w:rPr>
        <w:t>.</w:t>
      </w:r>
    </w:p>
    <w:p w:rsidRPr="00362B16" w:rsidR="00EE41AF" w:rsidP="00EE41AF" w:rsidRDefault="00EE41AF" w14:paraId="38B841D0" w14:textId="77777777">
      <w:pPr>
        <w:spacing w:before="120" w:after="120" w:line="276" w:lineRule="auto"/>
        <w:ind w:firstLine="709"/>
        <w:jc w:val="both"/>
        <w:rPr>
          <w:rFonts w:ascii="Arial" w:hAnsi="Arial" w:eastAsia="Calibri" w:cs="Arial"/>
          <w:lang w:val="es-ES_tradnl" w:eastAsia="es-ES_tradnl"/>
        </w:rPr>
      </w:pPr>
      <w:r w:rsidRPr="00362B16">
        <w:rPr>
          <w:rFonts w:ascii="Arial" w:hAnsi="Arial" w:eastAsia="Calibri"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62B16">
        <w:rPr>
          <w:rFonts w:ascii="Arial" w:hAnsi="Arial" w:eastAsia="Calibri" w:cs="Arial"/>
          <w:lang w:val="es-ES_tradnl" w:eastAsia="es-ES_tradnl"/>
        </w:rPr>
        <w:t>Mipyme</w:t>
      </w:r>
      <w:proofErr w:type="spellEnd"/>
      <w:r w:rsidRPr="00362B16">
        <w:rPr>
          <w:rFonts w:ascii="Arial" w:hAnsi="Arial" w:eastAsia="Calibri" w:cs="Arial"/>
          <w:lang w:val="es-ES_tradnl" w:eastAsia="es-ES_tradnl"/>
        </w:rPr>
        <w:t xml:space="preserve"> en el procedimiento de mínima cuantía, </w:t>
      </w:r>
      <w:proofErr w:type="spellStart"/>
      <w:r w:rsidRPr="00362B16">
        <w:rPr>
          <w:rFonts w:ascii="Arial" w:hAnsi="Arial" w:eastAsia="Calibri" w:cs="Arial"/>
          <w:lang w:val="es-ES_tradnl" w:eastAsia="es-ES_tradnl"/>
        </w:rPr>
        <w:t>ii</w:t>
      </w:r>
      <w:proofErr w:type="spellEnd"/>
      <w:r w:rsidRPr="00362B16">
        <w:rPr>
          <w:rFonts w:ascii="Arial" w:hAnsi="Arial" w:eastAsia="Calibri" w:cs="Arial"/>
          <w:lang w:val="es-ES_tradnl" w:eastAsia="es-ES_tradnl"/>
        </w:rPr>
        <w:t xml:space="preserve">) criterios diferenciales para </w:t>
      </w:r>
      <w:proofErr w:type="spellStart"/>
      <w:r w:rsidRPr="00362B16">
        <w:rPr>
          <w:rFonts w:ascii="Arial" w:hAnsi="Arial" w:eastAsia="Calibri" w:cs="Arial"/>
          <w:lang w:val="es-ES_tradnl" w:eastAsia="es-ES_tradnl"/>
        </w:rPr>
        <w:t>Mipyme</w:t>
      </w:r>
      <w:proofErr w:type="spellEnd"/>
      <w:r w:rsidRPr="00362B16">
        <w:rPr>
          <w:rFonts w:ascii="Arial" w:hAnsi="Arial" w:eastAsia="Calibri" w:cs="Arial"/>
          <w:lang w:val="es-ES_tradnl" w:eastAsia="es-ES_tradnl"/>
        </w:rPr>
        <w:t xml:space="preserve"> en el sistema de compras públicas</w:t>
      </w:r>
      <w:r w:rsidRPr="00F3020D">
        <w:rPr>
          <w:rFonts w:ascii="Arial" w:hAnsi="Arial" w:eastAsia="Calibri" w:cs="Arial"/>
          <w:lang w:val="es-ES_tradnl" w:eastAsia="es-ES_tradnl"/>
        </w:rPr>
        <w:t xml:space="preserve">, </w:t>
      </w:r>
      <w:proofErr w:type="spellStart"/>
      <w:r w:rsidRPr="00F3020D">
        <w:rPr>
          <w:rFonts w:ascii="Arial" w:hAnsi="Arial" w:eastAsia="Calibri" w:cs="Arial"/>
          <w:lang w:val="es-ES_tradnl" w:eastAsia="es-ES_tradnl"/>
        </w:rPr>
        <w:t>iii</w:t>
      </w:r>
      <w:proofErr w:type="spellEnd"/>
      <w:r w:rsidRPr="00F3020D">
        <w:rPr>
          <w:rFonts w:ascii="Arial" w:hAnsi="Arial" w:eastAsia="Calibri" w:cs="Arial"/>
          <w:lang w:val="es-ES_tradnl" w:eastAsia="es-ES_tradnl"/>
        </w:rPr>
        <w:t xml:space="preserve">) </w:t>
      </w:r>
      <w:r w:rsidRPr="00362B16">
        <w:rPr>
          <w:rFonts w:ascii="Arial" w:hAnsi="Arial" w:eastAsia="Calibri" w:cs="Arial"/>
          <w:lang w:val="es-ES_tradnl" w:eastAsia="es-ES_tradnl"/>
        </w:rPr>
        <w:t xml:space="preserve">criterios diferenciales para emprendimientos y empresas de mujeres en el sistema de compras públicas, </w:t>
      </w:r>
      <w:proofErr w:type="spellStart"/>
      <w:r w:rsidRPr="00362B16">
        <w:rPr>
          <w:rFonts w:ascii="Arial" w:hAnsi="Arial" w:eastAsia="Calibri" w:cs="Arial"/>
          <w:lang w:val="es-ES_tradnl" w:eastAsia="es-ES_tradnl"/>
        </w:rPr>
        <w:t>iv</w:t>
      </w:r>
      <w:proofErr w:type="spellEnd"/>
      <w:r w:rsidRPr="00362B16">
        <w:rPr>
          <w:rFonts w:ascii="Arial" w:hAnsi="Arial" w:eastAsia="Calibri" w:cs="Arial"/>
          <w:lang w:val="es-ES_tradnl" w:eastAsia="es-ES_tradnl"/>
        </w:rPr>
        <w:t xml:space="preserve">) promoción del acceso de las </w:t>
      </w:r>
      <w:proofErr w:type="spellStart"/>
      <w:r w:rsidRPr="00362B16">
        <w:rPr>
          <w:rFonts w:ascii="Arial" w:hAnsi="Arial" w:eastAsia="Calibri" w:cs="Arial"/>
          <w:lang w:val="es-ES_tradnl" w:eastAsia="es-ES_tradnl"/>
        </w:rPr>
        <w:t>Mipyme</w:t>
      </w:r>
      <w:proofErr w:type="spellEnd"/>
      <w:r w:rsidRPr="00362B16">
        <w:rPr>
          <w:rFonts w:ascii="Arial" w:hAnsi="Arial" w:eastAsia="Calibri" w:cs="Arial"/>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Pr>
          <w:rFonts w:ascii="Arial" w:hAnsi="Arial" w:eastAsia="Calibri" w:cs="Arial"/>
          <w:lang w:val="es-ES_tradnl" w:eastAsia="es-ES_tradnl"/>
        </w:rPr>
        <w:t>.</w:t>
      </w:r>
      <w:r w:rsidRPr="00362B16">
        <w:rPr>
          <w:rFonts w:ascii="Arial" w:hAnsi="Arial" w:eastAsia="Calibri" w:cs="Arial"/>
          <w:bCs/>
          <w:sz w:val="24"/>
          <w:szCs w:val="24"/>
          <w:vertAlign w:val="superscript"/>
          <w:lang w:val="es-MX" w:eastAsia="es-ES_tradnl"/>
        </w:rPr>
        <w:footnoteReference w:id="11"/>
      </w:r>
    </w:p>
    <w:p w:rsidRPr="00362B16" w:rsidR="00EE41AF" w:rsidP="00EE41AF" w:rsidRDefault="00EE41AF" w14:paraId="0FC1900C" w14:textId="0522C9CF">
      <w:pPr>
        <w:tabs>
          <w:tab w:val="left" w:pos="709"/>
        </w:tabs>
        <w:spacing w:after="120" w:line="276" w:lineRule="auto"/>
        <w:jc w:val="both"/>
        <w:rPr>
          <w:rFonts w:ascii="Arial" w:hAnsi="Arial" w:eastAsia="Calibri" w:cs="Arial"/>
          <w:bCs/>
          <w:szCs w:val="24"/>
          <w:lang w:eastAsia="es-ES_tradnl"/>
        </w:rPr>
      </w:pPr>
      <w:r w:rsidRPr="00362B16">
        <w:rPr>
          <w:rFonts w:ascii="Arial" w:hAnsi="Arial" w:eastAsia="Calibri" w:cs="Arial"/>
          <w:bCs/>
          <w:szCs w:val="24"/>
          <w:lang w:eastAsia="es-ES_tradnl"/>
        </w:rPr>
        <w:tab/>
      </w:r>
      <w:r w:rsidRPr="00362B16">
        <w:rPr>
          <w:rFonts w:ascii="Arial" w:hAnsi="Arial" w:eastAsia="Calibri" w:cs="Arial"/>
          <w:bCs/>
          <w:szCs w:val="24"/>
          <w:lang w:eastAsia="es-ES_tradnl"/>
        </w:rPr>
        <w:t xml:space="preserve">Dentro del referido capítulo se encuentran </w:t>
      </w:r>
      <w:bookmarkStart w:name="_Hlk63848566" w:id="5"/>
      <w:r w:rsidRPr="00362B16">
        <w:rPr>
          <w:rFonts w:ascii="Arial" w:hAnsi="Arial" w:eastAsia="Calibri" w:cs="Arial"/>
          <w:bCs/>
          <w:szCs w:val="24"/>
          <w:lang w:eastAsia="es-ES_tradnl"/>
        </w:rPr>
        <w:t>los artículos 31 y 32 de la Ley 2069 de 2020</w:t>
      </w:r>
      <w:bookmarkEnd w:id="5"/>
      <w:r w:rsidRPr="00362B16">
        <w:rPr>
          <w:rFonts w:ascii="Arial" w:hAnsi="Arial" w:eastAsia="Calibri" w:cs="Arial"/>
          <w:bCs/>
          <w:szCs w:val="24"/>
          <w:lang w:eastAsia="es-ES_tradnl"/>
        </w:rPr>
        <w:t xml:space="preserve">, </w:t>
      </w:r>
      <w:r>
        <w:rPr>
          <w:rFonts w:ascii="Arial" w:hAnsi="Arial" w:eastAsia="Calibri" w:cs="Arial"/>
          <w:bCs/>
          <w:szCs w:val="24"/>
          <w:lang w:eastAsia="es-ES_tradnl"/>
        </w:rPr>
        <w:t xml:space="preserve">a través de </w:t>
      </w:r>
      <w:r w:rsidRPr="00362B16">
        <w:rPr>
          <w:rFonts w:ascii="Arial" w:hAnsi="Arial" w:eastAsia="Calibri" w:cs="Arial"/>
          <w:bCs/>
          <w:szCs w:val="24"/>
          <w:lang w:eastAsia="es-ES_tradnl"/>
        </w:rPr>
        <w:t xml:space="preserve">los cuales </w:t>
      </w:r>
      <w:r>
        <w:rPr>
          <w:rFonts w:ascii="Arial" w:hAnsi="Arial" w:eastAsia="Calibri" w:cs="Arial"/>
          <w:bCs/>
          <w:szCs w:val="24"/>
          <w:lang w:eastAsia="es-ES_tradnl"/>
        </w:rPr>
        <w:t xml:space="preserve">se </w:t>
      </w:r>
      <w:r w:rsidRPr="00362B16">
        <w:rPr>
          <w:rFonts w:ascii="Arial" w:hAnsi="Arial" w:eastAsia="Calibri" w:cs="Arial"/>
          <w:bCs/>
          <w:szCs w:val="24"/>
          <w:lang w:eastAsia="es-ES_tradnl"/>
        </w:rPr>
        <w:t xml:space="preserve">crean una serie de incentivos para las personas interesadas en celebrar contratos con el Estado. </w:t>
      </w:r>
      <w:r w:rsidRPr="00362B16">
        <w:rPr>
          <w:rFonts w:ascii="Arial" w:hAnsi="Arial" w:eastAsia="Calibri" w:cs="Arial"/>
          <w:bCs/>
          <w:szCs w:val="24"/>
          <w:lang w:val="es-ES_tradnl" w:eastAsia="es-ES_tradnl"/>
        </w:rPr>
        <w:t xml:space="preserve">Por un lado, el artículo 31 </w:t>
      </w:r>
      <w:r w:rsidRPr="00362B16">
        <w:rPr>
          <w:rFonts w:ascii="Arial" w:hAnsi="Arial" w:eastAsia="Calibri" w:cs="Arial"/>
          <w:bCs/>
          <w:szCs w:val="24"/>
          <w:lang w:eastAsia="es-ES_tradnl"/>
        </w:rPr>
        <w:t xml:space="preserve">introduce criterios diferenciales para el acceso de las </w:t>
      </w:r>
      <w:proofErr w:type="spellStart"/>
      <w:r w:rsidRPr="00362B16">
        <w:rPr>
          <w:rFonts w:ascii="Arial" w:hAnsi="Arial" w:eastAsia="Calibri" w:cs="Arial"/>
          <w:bCs/>
          <w:szCs w:val="24"/>
          <w:lang w:eastAsia="es-ES_tradnl"/>
        </w:rPr>
        <w:t>Mipyme</w:t>
      </w:r>
      <w:proofErr w:type="spellEnd"/>
      <w:r w:rsidRPr="00362B16">
        <w:rPr>
          <w:rFonts w:ascii="Arial" w:hAnsi="Arial" w:eastAsia="Calibri" w:cs="Arial"/>
          <w:bCs/>
          <w:szCs w:val="24"/>
          <w:lang w:eastAsia="es-ES_tradnl"/>
        </w:rPr>
        <w:t xml:space="preserve"> al sistema de compras y contratación pública, estableciendo que </w:t>
      </w:r>
      <w:r w:rsidR="00336735">
        <w:rPr>
          <w:rFonts w:ascii="Arial" w:hAnsi="Arial" w:eastAsia="Calibri" w:cs="Arial"/>
          <w:lang w:val="es-ES_tradnl" w:eastAsia="es-ES_tradnl"/>
        </w:rPr>
        <w:t>“</w:t>
      </w:r>
      <w:r w:rsidRPr="00362B16">
        <w:rPr>
          <w:rFonts w:ascii="Arial" w:hAnsi="Arial" w:eastAsia="Calibri" w:cs="Arial"/>
          <w:bCs/>
          <w:szCs w:val="24"/>
          <w:lang w:eastAsia="es-ES_tradnl"/>
        </w:rPr>
        <w:t xml:space="preserve">Las Entidades Estatales de acuerdo con el análisis de </w:t>
      </w:r>
      <w:r>
        <w:rPr>
          <w:rFonts w:ascii="Arial" w:hAnsi="Arial" w:eastAsia="Calibri" w:cs="Arial"/>
          <w:bCs/>
          <w:szCs w:val="24"/>
          <w:lang w:eastAsia="es-ES_tradnl"/>
        </w:rPr>
        <w:t>S</w:t>
      </w:r>
      <w:r w:rsidRPr="00362B16">
        <w:rPr>
          <w:rFonts w:ascii="Arial" w:hAnsi="Arial" w:eastAsia="Calibri" w:cs="Arial"/>
          <w:bCs/>
          <w:szCs w:val="24"/>
          <w:lang w:eastAsia="es-ES_tradnl"/>
        </w:rPr>
        <w:t xml:space="preserve">ector </w:t>
      </w:r>
      <w:bookmarkStart w:name="_Hlk63767562" w:id="6"/>
      <w:r w:rsidRPr="00362B16">
        <w:rPr>
          <w:rFonts w:ascii="Arial" w:hAnsi="Arial" w:eastAsia="Calibri" w:cs="Arial"/>
          <w:bCs/>
          <w:szCs w:val="24"/>
          <w:lang w:eastAsia="es-ES_tradnl"/>
        </w:rPr>
        <w:t>podrán incluir, en los Documentos del Proceso, requisitos diferenciales y puntajes adicionales</w:t>
      </w:r>
      <w:bookmarkEnd w:id="6"/>
      <w:r w:rsidRPr="00362B16">
        <w:rPr>
          <w:rFonts w:ascii="Arial" w:hAnsi="Arial" w:eastAsia="Calibri" w:cs="Arial"/>
          <w:bCs/>
          <w:szCs w:val="24"/>
          <w:lang w:eastAsia="es-ES_tradnl"/>
        </w:rPr>
        <w:t>, en función del tamaño empresarial para la promoción del acceso de las MIPYMES al mercado de Compras Públicas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w:t>
      </w:r>
    </w:p>
    <w:p w:rsidRPr="00362B16" w:rsidR="00EE41AF" w:rsidP="00EE41AF" w:rsidRDefault="00EE41AF" w14:paraId="0FBFDAC7" w14:textId="142C7FF8">
      <w:pPr>
        <w:tabs>
          <w:tab w:val="left" w:pos="709"/>
        </w:tabs>
        <w:spacing w:after="120" w:line="276" w:lineRule="auto"/>
        <w:jc w:val="both"/>
        <w:rPr>
          <w:rFonts w:ascii="Arial" w:hAnsi="Arial" w:eastAsia="Calibri" w:cs="Arial"/>
          <w:bCs/>
          <w:szCs w:val="24"/>
          <w:lang w:eastAsia="es-ES_tradnl"/>
        </w:rPr>
      </w:pPr>
      <w:r w:rsidRPr="00362B16">
        <w:rPr>
          <w:rFonts w:ascii="Arial" w:hAnsi="Arial" w:eastAsia="Calibri" w:cs="Arial"/>
          <w:bCs/>
          <w:szCs w:val="24"/>
          <w:lang w:eastAsia="es-ES_tradnl"/>
        </w:rPr>
        <w:tab/>
      </w:r>
      <w:r w:rsidRPr="00362B16">
        <w:rPr>
          <w:rFonts w:ascii="Arial" w:hAnsi="Arial" w:eastAsia="Calibri" w:cs="Arial"/>
          <w:bCs/>
          <w:szCs w:val="24"/>
          <w:lang w:eastAsia="es-ES_tradnl"/>
        </w:rPr>
        <w:t xml:space="preserve">Además, el inciso segundo y el parágrafo del </w:t>
      </w:r>
      <w:r w:rsidRPr="00362B16">
        <w:rPr>
          <w:rFonts w:ascii="Arial" w:hAnsi="Arial" w:eastAsia="Calibri" w:cs="Arial"/>
          <w:bCs/>
          <w:szCs w:val="24"/>
          <w:lang w:val="es-ES_tradnl" w:eastAsia="es-ES_tradnl"/>
        </w:rPr>
        <w:t xml:space="preserve">artículo 31 </w:t>
      </w:r>
      <w:r w:rsidRPr="00362B16">
        <w:rPr>
          <w:rFonts w:ascii="Arial" w:hAnsi="Arial" w:eastAsia="Calibri" w:cs="Arial"/>
          <w:bCs/>
          <w:szCs w:val="24"/>
          <w:lang w:eastAsia="es-ES_tradnl"/>
        </w:rPr>
        <w:t xml:space="preserve">de la Ley 2069 de 2020 disponen, respectivamente, que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El Gobierno Nacional reglamentará la definición de los criterios diferenciales, sobre reglas objetivas [relacionadas con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requisitos diferenciales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y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puntajes adicionales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que podrán implementar las Entidades Estatales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(Corchetes fuera de texto) y que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Dentro de los criterios diferenciales que reglamente el Gobierno Nacional se dará prioridad a la contratación de producción nacional sin perjuicio de los compromisos comerciales adquiridos con otros Estados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Es decir, esta norma requiere el desarrollo reglamentario como una condición previa para su aplicación.</w:t>
      </w:r>
    </w:p>
    <w:p w:rsidRPr="00362B16" w:rsidR="00EE41AF" w:rsidP="00EE41AF" w:rsidRDefault="00EE41AF" w14:paraId="4E38C388" w14:textId="15FECA78">
      <w:pPr>
        <w:tabs>
          <w:tab w:val="left" w:pos="709"/>
        </w:tabs>
        <w:spacing w:after="0" w:line="276" w:lineRule="auto"/>
        <w:jc w:val="both"/>
        <w:rPr>
          <w:rFonts w:ascii="Arial" w:hAnsi="Arial" w:eastAsia="Calibri" w:cs="Arial"/>
          <w:bCs/>
          <w:szCs w:val="24"/>
          <w:lang w:eastAsia="es-ES_tradnl"/>
        </w:rPr>
      </w:pPr>
      <w:r w:rsidRPr="00362B16">
        <w:rPr>
          <w:rFonts w:ascii="Arial" w:hAnsi="Arial" w:eastAsia="Calibri" w:cs="Arial"/>
          <w:bCs/>
          <w:szCs w:val="24"/>
          <w:lang w:eastAsia="es-ES_tradnl"/>
        </w:rPr>
        <w:tab/>
      </w:r>
      <w:r w:rsidRPr="00071557">
        <w:rPr>
          <w:rFonts w:ascii="Arial" w:hAnsi="Arial" w:eastAsia="Calibri" w:cs="Arial"/>
          <w:bCs/>
          <w:szCs w:val="24"/>
          <w:lang w:eastAsia="es-ES_tradnl"/>
        </w:rPr>
        <w:t>Por otra parte, el artículo 32 de la Ley 2069 de 2020</w:t>
      </w:r>
      <w:r w:rsidRPr="00071557">
        <w:rPr>
          <w:rFonts w:ascii="Arial" w:hAnsi="Arial" w:eastAsia="Calibri" w:cs="Arial"/>
          <w:bCs/>
          <w:szCs w:val="24"/>
          <w:vertAlign w:val="superscript"/>
          <w:lang w:eastAsia="es-ES_tradnl"/>
        </w:rPr>
        <w:footnoteReference w:id="12"/>
      </w:r>
      <w:r w:rsidRPr="00071557">
        <w:rPr>
          <w:rFonts w:ascii="Arial" w:hAnsi="Arial" w:eastAsia="Calibri" w:cs="Arial"/>
          <w:bCs/>
          <w:szCs w:val="24"/>
          <w:lang w:eastAsia="es-ES_tradnl"/>
        </w:rPr>
        <w:t xml:space="preserve"> regula criterios diferenciales para los </w:t>
      </w:r>
      <w:r w:rsidR="00032E86">
        <w:rPr>
          <w:rFonts w:ascii="Arial" w:hAnsi="Arial" w:eastAsia="Calibri" w:cs="Arial"/>
          <w:bCs/>
          <w:szCs w:val="24"/>
          <w:lang w:eastAsia="es-ES_tradnl"/>
        </w:rPr>
        <w:t>“</w:t>
      </w:r>
      <w:r w:rsidRPr="00071557">
        <w:rPr>
          <w:rFonts w:ascii="Arial" w:hAnsi="Arial" w:eastAsia="Calibri" w:cs="Arial"/>
          <w:bCs/>
          <w:szCs w:val="24"/>
          <w:lang w:eastAsia="es-ES_tradnl"/>
        </w:rPr>
        <w:t>emprendimientos y empresas de mujeres</w:t>
      </w:r>
      <w:r w:rsidR="00032E86">
        <w:rPr>
          <w:rFonts w:ascii="Arial" w:hAnsi="Arial" w:eastAsia="Calibri" w:cs="Arial"/>
          <w:bCs/>
          <w:szCs w:val="24"/>
          <w:lang w:eastAsia="es-ES_tradnl"/>
        </w:rPr>
        <w:t>”</w:t>
      </w:r>
      <w:r w:rsidRPr="00071557">
        <w:rPr>
          <w:rFonts w:ascii="Arial" w:hAnsi="Arial" w:eastAsia="Calibri" w:cs="Arial"/>
          <w:bCs/>
          <w:szCs w:val="24"/>
          <w:lang w:eastAsia="es-ES_tradnl"/>
        </w:rPr>
        <w:t xml:space="preserve"> en el sistema de compras y contratación pública. En relación con este aspecto, el inciso primero de la norma citada prescribe lo siguiente:</w:t>
      </w:r>
      <w:r w:rsidRPr="00362B16">
        <w:rPr>
          <w:rFonts w:ascii="Arial" w:hAnsi="Arial" w:eastAsia="Calibri" w:cs="Arial"/>
          <w:bCs/>
          <w:szCs w:val="24"/>
          <w:lang w:eastAsia="es-ES_tradnl"/>
        </w:rPr>
        <w:t xml:space="preserve"> </w:t>
      </w:r>
    </w:p>
    <w:p w:rsidRPr="00362B16" w:rsidR="00EE41AF" w:rsidP="00EE41AF" w:rsidRDefault="00EE41AF" w14:paraId="72B21DEE" w14:textId="77777777">
      <w:pPr>
        <w:tabs>
          <w:tab w:val="left" w:pos="709"/>
        </w:tabs>
        <w:spacing w:after="0" w:line="276" w:lineRule="auto"/>
        <w:contextualSpacing/>
        <w:jc w:val="both"/>
        <w:rPr>
          <w:rFonts w:ascii="Arial" w:hAnsi="Arial" w:eastAsia="Calibri" w:cs="Arial"/>
          <w:bCs/>
          <w:szCs w:val="24"/>
          <w:lang w:eastAsia="es-ES_tradnl"/>
        </w:rPr>
      </w:pPr>
    </w:p>
    <w:p w:rsidRPr="00F3020D" w:rsidR="00EE41AF" w:rsidP="00EE41AF" w:rsidRDefault="00032E86" w14:paraId="36333862" w14:textId="313F6771">
      <w:pPr>
        <w:tabs>
          <w:tab w:val="left" w:pos="709"/>
        </w:tabs>
        <w:spacing w:after="0" w:line="240" w:lineRule="auto"/>
        <w:ind w:left="709" w:right="709"/>
        <w:contextualSpacing/>
        <w:jc w:val="both"/>
        <w:rPr>
          <w:rFonts w:ascii="Arial" w:hAnsi="Arial" w:eastAsia="Calibri" w:cs="Arial"/>
          <w:bCs/>
          <w:sz w:val="21"/>
          <w:szCs w:val="21"/>
          <w:lang w:eastAsia="es-ES_tradnl"/>
        </w:rPr>
      </w:pPr>
      <w:r>
        <w:rPr>
          <w:rFonts w:ascii="Arial" w:hAnsi="Arial" w:cs="Arial"/>
          <w:sz w:val="21"/>
          <w:szCs w:val="21"/>
        </w:rPr>
        <w:t>“</w:t>
      </w:r>
      <w:r w:rsidRPr="00F3020D" w:rsidR="00EE41AF">
        <w:rPr>
          <w:rFonts w:ascii="Arial" w:hAnsi="Arial" w:eastAsia="Calibri" w:cs="Arial"/>
          <w:bCs/>
          <w:sz w:val="21"/>
          <w:szCs w:val="21"/>
          <w:lang w:eastAsia="es-ES_tradnl"/>
        </w:rPr>
        <w:t xml:space="preserve">De acuerdo con el resultado del análisis del sector, las entidades estatales incluirán requisitos diferenciales y puntajes adicionales en los procesos de </w:t>
      </w:r>
      <w:bookmarkStart w:name="_Hlk63770487" w:id="7"/>
      <w:r w:rsidRPr="00F3020D" w:rsidR="00EE41AF">
        <w:rPr>
          <w:rFonts w:ascii="Arial" w:hAnsi="Arial" w:eastAsia="Calibri" w:cs="Arial"/>
          <w:bCs/>
          <w:sz w:val="21"/>
          <w:szCs w:val="21"/>
          <w:lang w:eastAsia="es-ES_tradnl"/>
        </w:rPr>
        <w:t>licitación pública, selección abreviada de menor cuantía y concurso de méritos</w:t>
      </w:r>
      <w:bookmarkEnd w:id="7"/>
      <w:r w:rsidRPr="00F3020D" w:rsidR="00EE41AF">
        <w:rPr>
          <w:rFonts w:ascii="Arial" w:hAnsi="Arial" w:eastAsia="Calibri"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Pr>
          <w:rFonts w:ascii="Arial" w:hAnsi="Arial" w:cs="Arial"/>
          <w:sz w:val="21"/>
          <w:szCs w:val="21"/>
        </w:rPr>
        <w:t>”</w:t>
      </w:r>
      <w:r w:rsidRPr="00F3020D" w:rsidR="00EE41AF">
        <w:rPr>
          <w:rFonts w:ascii="Arial" w:hAnsi="Arial" w:eastAsia="Calibri" w:cs="Arial"/>
          <w:bCs/>
          <w:sz w:val="21"/>
          <w:szCs w:val="21"/>
          <w:lang w:eastAsia="es-ES_tradnl"/>
        </w:rPr>
        <w:t>.</w:t>
      </w:r>
    </w:p>
    <w:p w:rsidRPr="00362B16" w:rsidR="00EE41AF" w:rsidP="00EE41AF" w:rsidRDefault="00EE41AF" w14:paraId="6606EA6E" w14:textId="77777777">
      <w:pPr>
        <w:tabs>
          <w:tab w:val="left" w:pos="709"/>
        </w:tabs>
        <w:spacing w:after="0" w:line="276" w:lineRule="auto"/>
        <w:ind w:left="709" w:right="709"/>
        <w:contextualSpacing/>
        <w:jc w:val="both"/>
        <w:rPr>
          <w:rFonts w:ascii="Arial" w:hAnsi="Arial" w:eastAsia="Calibri" w:cs="Arial"/>
          <w:bCs/>
          <w:szCs w:val="24"/>
          <w:lang w:eastAsia="es-ES_tradnl"/>
        </w:rPr>
      </w:pPr>
    </w:p>
    <w:p w:rsidRPr="00362B16" w:rsidR="00EE41AF" w:rsidP="00EE41AF" w:rsidRDefault="00EE41AF" w14:paraId="325C6E34" w14:textId="09C283B6">
      <w:pPr>
        <w:tabs>
          <w:tab w:val="left" w:pos="709"/>
        </w:tabs>
        <w:spacing w:after="120" w:line="276" w:lineRule="auto"/>
        <w:jc w:val="both"/>
        <w:rPr>
          <w:rFonts w:ascii="Arial" w:hAnsi="Arial" w:eastAsia="Calibri" w:cs="Arial"/>
          <w:bCs/>
          <w:szCs w:val="24"/>
          <w:lang w:eastAsia="es-ES_tradnl"/>
        </w:rPr>
      </w:pPr>
      <w:r w:rsidRPr="00362B16">
        <w:rPr>
          <w:rFonts w:ascii="Arial" w:hAnsi="Arial" w:eastAsia="Calibri" w:cs="Arial"/>
          <w:bCs/>
          <w:szCs w:val="24"/>
          <w:lang w:eastAsia="es-ES_tradnl"/>
        </w:rPr>
        <w:tab/>
      </w:r>
      <w:r>
        <w:rPr>
          <w:rFonts w:ascii="Arial" w:hAnsi="Arial" w:eastAsia="Calibri" w:cs="Arial"/>
          <w:bCs/>
          <w:szCs w:val="24"/>
          <w:lang w:eastAsia="es-ES_tradnl"/>
        </w:rPr>
        <w:t>De esta manera,</w:t>
      </w:r>
      <w:r w:rsidRPr="00362B16">
        <w:rPr>
          <w:rFonts w:ascii="Arial" w:hAnsi="Arial" w:eastAsia="Calibri" w:cs="Arial"/>
          <w:bCs/>
          <w:szCs w:val="24"/>
          <w:lang w:eastAsia="es-ES_tradnl"/>
        </w:rPr>
        <w:t xml:space="preserve"> los </w:t>
      </w:r>
      <w:r w:rsidR="00E779CE">
        <w:rPr>
          <w:rFonts w:ascii="Arial" w:hAnsi="Arial" w:eastAsia="Calibri" w:cs="Arial"/>
          <w:bCs/>
          <w:szCs w:val="24"/>
          <w:lang w:eastAsia="es-ES_tradnl"/>
        </w:rPr>
        <w:t>“</w:t>
      </w:r>
      <w:r w:rsidRPr="00362B16">
        <w:rPr>
          <w:rFonts w:ascii="Arial" w:hAnsi="Arial" w:eastAsia="Calibri" w:cs="Arial"/>
          <w:bCs/>
          <w:szCs w:val="24"/>
          <w:lang w:eastAsia="es-ES_tradnl"/>
        </w:rPr>
        <w:t>criterios diferenciales</w:t>
      </w:r>
      <w:r w:rsidR="00E779CE">
        <w:rPr>
          <w:rFonts w:ascii="Arial" w:hAnsi="Arial" w:eastAsia="Calibri" w:cs="Arial"/>
          <w:bCs/>
          <w:szCs w:val="24"/>
          <w:lang w:eastAsia="es-ES_tradnl"/>
        </w:rPr>
        <w:t>”</w:t>
      </w:r>
      <w:r w:rsidRPr="00362B16">
        <w:rPr>
          <w:rFonts w:ascii="Arial" w:hAnsi="Arial" w:eastAsia="Calibri" w:cs="Arial"/>
          <w:bCs/>
          <w:szCs w:val="24"/>
          <w:lang w:eastAsia="es-ES_tradnl"/>
        </w:rPr>
        <w:t xml:space="preserve"> del artículo 32 </w:t>
      </w:r>
      <w:r w:rsidRPr="00362B16">
        <w:rPr>
          <w:rFonts w:ascii="Arial" w:hAnsi="Arial" w:eastAsia="Calibri" w:cs="Arial"/>
          <w:bCs/>
          <w:i/>
          <w:iCs/>
          <w:szCs w:val="24"/>
          <w:lang w:eastAsia="es-ES_tradnl"/>
        </w:rPr>
        <w:t>ibidem</w:t>
      </w:r>
      <w:r w:rsidRPr="00362B16">
        <w:rPr>
          <w:rFonts w:ascii="Arial" w:hAnsi="Arial" w:eastAsia="Calibri" w:cs="Arial"/>
          <w:bCs/>
          <w:szCs w:val="24"/>
          <w:lang w:eastAsia="es-ES_tradnl"/>
        </w:rPr>
        <w:t xml:space="preserve"> –que incluyen tanto los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requisitos diferenciales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como los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puntajes adicionales</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aplican a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los procesos de licitación pública, selección abreviada de menor cuantía y concurso de méritos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excluyendo las demás modalidades de selección del artículo 2 de la Ley 1150 de 2007. </w:t>
      </w:r>
      <w:r>
        <w:rPr>
          <w:rFonts w:ascii="Arial" w:hAnsi="Arial" w:eastAsia="Calibri" w:cs="Arial"/>
          <w:bCs/>
          <w:szCs w:val="24"/>
          <w:lang w:eastAsia="es-ES_tradnl"/>
        </w:rPr>
        <w:t>Asimismo</w:t>
      </w:r>
      <w:r w:rsidRPr="00362B16">
        <w:rPr>
          <w:rFonts w:ascii="Arial" w:hAnsi="Arial" w:eastAsia="Calibri" w:cs="Arial"/>
          <w:bCs/>
          <w:szCs w:val="24"/>
          <w:lang w:eastAsia="es-ES_tradnl"/>
        </w:rPr>
        <w:t xml:space="preserve">, sin distinciones ulteriores, la norma en comento también se extiende a todos los procedimientos que realicen las entidades estatales excluidas de la Ley 80 de 1993.     </w:t>
      </w:r>
    </w:p>
    <w:p w:rsidRPr="00362B16" w:rsidR="00EE41AF" w:rsidP="00EE41AF" w:rsidRDefault="00EE41AF" w14:paraId="1EFC9E7A" w14:textId="6D10286D">
      <w:pPr>
        <w:spacing w:before="120" w:after="120" w:line="276" w:lineRule="auto"/>
        <w:ind w:firstLine="709"/>
        <w:jc w:val="both"/>
        <w:rPr>
          <w:rFonts w:ascii="Arial" w:hAnsi="Arial" w:eastAsia="Calibri" w:cs="Arial"/>
          <w:lang w:val="es-ES_tradnl" w:eastAsia="es-ES_tradnl"/>
        </w:rPr>
      </w:pPr>
      <w:r w:rsidRPr="00362B16">
        <w:rPr>
          <w:rFonts w:ascii="Arial" w:hAnsi="Arial" w:eastAsia="Calibri" w:cs="Arial"/>
          <w:bCs/>
          <w:szCs w:val="24"/>
          <w:lang w:eastAsia="es-ES_tradnl"/>
        </w:rPr>
        <w:t xml:space="preserve">No obstante, el artículo 32 de la Ley 2069 de 2020 –al igual que el artículo 31– también alude a la necesidad del desarrollo normativo posterior. Al respecto, el parágrafo dispone que </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La definición de emprendimientos y empresas de mujeres se reglamentará por el gobierno nacional</w:t>
      </w:r>
      <w:r w:rsidR="00032E86">
        <w:rPr>
          <w:rFonts w:ascii="Arial" w:hAnsi="Arial" w:eastAsia="Calibri" w:cs="Arial"/>
          <w:bCs/>
          <w:szCs w:val="24"/>
          <w:lang w:eastAsia="es-ES_tradnl"/>
        </w:rPr>
        <w:t>”</w:t>
      </w:r>
      <w:r w:rsidRPr="00362B16">
        <w:rPr>
          <w:rFonts w:ascii="Arial" w:hAnsi="Arial" w:eastAsia="Calibri" w:cs="Arial"/>
          <w:bCs/>
          <w:szCs w:val="24"/>
          <w:lang w:eastAsia="es-ES_tradnl"/>
        </w:rPr>
        <w:t xml:space="preserve">.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rsidRPr="00362B16" w:rsidR="00EE41AF" w:rsidP="00EE41AF" w:rsidRDefault="00EE41AF" w14:paraId="5C588323" w14:textId="7A1B476F">
      <w:pPr>
        <w:spacing w:after="120" w:line="276" w:lineRule="auto"/>
        <w:jc w:val="both"/>
        <w:rPr>
          <w:rFonts w:ascii="Arial" w:hAnsi="Arial" w:eastAsia="Calibri" w:cs="Arial"/>
          <w:lang w:val="es-ES_tradnl" w:eastAsia="es-ES_tradnl"/>
        </w:rPr>
      </w:pPr>
      <w:r w:rsidRPr="00362B16">
        <w:rPr>
          <w:rFonts w:ascii="Arial" w:hAnsi="Arial" w:eastAsia="Calibri" w:cs="Arial"/>
          <w:b/>
          <w:bCs/>
          <w:lang w:val="es-ES_tradnl" w:eastAsia="es-ES_tradnl"/>
        </w:rPr>
        <w:tab/>
      </w:r>
      <w:r w:rsidRPr="00362B16">
        <w:rPr>
          <w:rFonts w:ascii="Arial" w:hAnsi="Arial" w:eastAsia="Calibri" w:cs="Arial"/>
          <w:lang w:val="es-ES_tradnl" w:eastAsia="es-ES_tradnl"/>
        </w:rPr>
        <w:t>En este contexto, el Gobierno Nacional expidió el Decreto 1860 de 2021,</w:t>
      </w:r>
      <w:r w:rsidRPr="00362B16">
        <w:rPr>
          <w:rFonts w:ascii="Times New Roman" w:hAnsi="Times New Roman" w:eastAsia="Times New Roman" w:cs="Times New Roman"/>
          <w:sz w:val="24"/>
          <w:szCs w:val="24"/>
          <w:lang w:eastAsia="es-ES_tradnl"/>
        </w:rPr>
        <w:t xml:space="preserve"> </w:t>
      </w:r>
      <w:r w:rsidR="00032E86">
        <w:rPr>
          <w:rFonts w:ascii="Arial" w:hAnsi="Arial" w:eastAsia="Calibri" w:cs="Arial"/>
          <w:lang w:val="es-ES_tradnl" w:eastAsia="es-ES_tradnl"/>
        </w:rPr>
        <w:t>“</w:t>
      </w:r>
      <w:r w:rsidRPr="00362B16">
        <w:rPr>
          <w:rFonts w:ascii="Arial" w:hAnsi="Arial" w:eastAsia="Calibri"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032E86">
        <w:rPr>
          <w:rFonts w:ascii="Arial" w:hAnsi="Arial" w:eastAsia="Calibri" w:cs="Arial"/>
          <w:lang w:val="es-ES_tradnl" w:eastAsia="es-ES_tradnl"/>
        </w:rPr>
        <w:t>”</w:t>
      </w:r>
      <w:r w:rsidRPr="00362B16">
        <w:rPr>
          <w:rFonts w:ascii="Arial" w:hAnsi="Arial" w:eastAsia="Calibri" w:cs="Arial"/>
          <w:lang w:val="es-ES_tradnl" w:eastAsia="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62B16">
        <w:rPr>
          <w:rFonts w:ascii="Arial" w:hAnsi="Arial" w:eastAsia="Calibri" w:cs="Arial"/>
          <w:vertAlign w:val="superscript"/>
          <w:lang w:val="es-ES_tradnl" w:eastAsia="es-ES_tradnl"/>
        </w:rPr>
        <w:footnoteReference w:id="13"/>
      </w:r>
      <w:r w:rsidRPr="00362B16">
        <w:rPr>
          <w:rFonts w:ascii="Arial" w:hAnsi="Arial" w:eastAsia="Calibri" w:cs="Arial"/>
          <w:lang w:val="es-ES_tradnl" w:eastAsia="es-ES_tradnl"/>
        </w:rPr>
        <w:t xml:space="preserve">.  </w:t>
      </w:r>
    </w:p>
    <w:p w:rsidRPr="00362B16" w:rsidR="00EE41AF" w:rsidP="00EE41AF" w:rsidRDefault="00EE41AF" w14:paraId="4AABC73B" w14:textId="77777777">
      <w:pPr>
        <w:spacing w:after="120" w:line="276" w:lineRule="auto"/>
        <w:jc w:val="both"/>
        <w:rPr>
          <w:rFonts w:ascii="Arial" w:hAnsi="Arial" w:eastAsia="Times New Roman" w:cs="Arial"/>
          <w:lang w:eastAsia="es-CO"/>
        </w:rPr>
      </w:pPr>
      <w:r w:rsidRPr="00362B16">
        <w:rPr>
          <w:rFonts w:ascii="Arial" w:hAnsi="Arial" w:eastAsia="Calibri" w:cs="Arial"/>
          <w:lang w:val="es-ES_tradnl" w:eastAsia="es-ES_tradnl"/>
        </w:rPr>
        <w:tab/>
      </w:r>
      <w:r w:rsidRPr="00071557">
        <w:rPr>
          <w:rFonts w:ascii="Arial" w:hAnsi="Arial" w:eastAsia="Calibri" w:cs="Arial"/>
          <w:lang w:val="es-ES_tradnl" w:eastAsia="es-ES_tradnl"/>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362B16">
        <w:rPr>
          <w:rFonts w:ascii="Arial" w:hAnsi="Arial" w:eastAsia="Calibri" w:cs="Arial"/>
          <w:lang w:val="es-ES_tradnl" w:eastAsia="es-ES_tradnl"/>
        </w:rPr>
        <w:t xml:space="preserve"> </w:t>
      </w:r>
    </w:p>
    <w:p w:rsidRPr="00362B16" w:rsidR="00EE41AF" w:rsidP="00EE41AF" w:rsidRDefault="00EE41AF" w14:paraId="3B070364" w14:textId="6ECC998F">
      <w:pPr>
        <w:widowControl w:val="0"/>
        <w:autoSpaceDE w:val="0"/>
        <w:autoSpaceDN w:val="0"/>
        <w:spacing w:before="120" w:after="0" w:line="276" w:lineRule="auto"/>
        <w:ind w:firstLine="709"/>
        <w:jc w:val="both"/>
        <w:rPr>
          <w:rFonts w:ascii="Arial" w:hAnsi="Arial" w:eastAsia="Arial MT" w:cs="Arial"/>
          <w:lang w:val="es-ES"/>
        </w:rPr>
      </w:pPr>
      <w:r w:rsidRPr="00362B16">
        <w:rPr>
          <w:rFonts w:ascii="Arial" w:hAnsi="Arial" w:eastAsia="Times New Roman" w:cs="Arial"/>
          <w:lang w:eastAsia="es-CO"/>
        </w:rPr>
        <w:t xml:space="preserve">Debe precisarse que la vigencia del Decreto 1860 de 2021 está regida por lo establecido en su artículo 8, el cual señala que </w:t>
      </w:r>
      <w:r w:rsidR="00032E86">
        <w:rPr>
          <w:rFonts w:ascii="Arial" w:hAnsi="Arial" w:eastAsia="Times New Roman" w:cs="Arial"/>
          <w:lang w:eastAsia="es-CO"/>
        </w:rPr>
        <w:t>“</w:t>
      </w:r>
      <w:r w:rsidRPr="00362B16">
        <w:rPr>
          <w:rFonts w:ascii="Arial" w:hAnsi="Arial" w:eastAsia="Times New Roman" w:cs="Arial"/>
          <w:lang w:eastAsia="es-CO"/>
        </w:rPr>
        <w:t>Las disposiciones contenidas en el presente Decreto se aplicarán a los procedimientos de selección cuya invitación, aviso de convocatoria o documento equivalente se publique a los tres (3) meses contados a partir de su expedición</w:t>
      </w:r>
      <w:r w:rsidR="00032E86">
        <w:rPr>
          <w:rFonts w:ascii="Arial" w:hAnsi="Arial" w:eastAsia="Times New Roman" w:cs="Arial"/>
          <w:lang w:eastAsia="es-CO"/>
        </w:rPr>
        <w:t>”</w:t>
      </w:r>
      <w:r w:rsidRPr="00362B16">
        <w:rPr>
          <w:rFonts w:ascii="Arial" w:hAnsi="Arial" w:eastAsia="Times New Roman" w:cs="Arial"/>
          <w:lang w:eastAsia="es-CO"/>
        </w:rPr>
        <w:t xml:space="preserve">, </w:t>
      </w:r>
      <w:r w:rsidRPr="00362B16">
        <w:rPr>
          <w:rFonts w:ascii="Arial" w:hAnsi="Arial" w:eastAsia="Arial MT" w:cs="Arial"/>
          <w:lang w:val="es-ES"/>
        </w:rPr>
        <w:t>es decir, a</w:t>
      </w:r>
      <w:r w:rsidRPr="00362B16">
        <w:rPr>
          <w:rFonts w:ascii="Arial" w:hAnsi="Arial" w:eastAsia="Arial MT" w:cs="Arial"/>
          <w:spacing w:val="1"/>
          <w:lang w:val="es-ES"/>
        </w:rPr>
        <w:t xml:space="preserve"> </w:t>
      </w:r>
      <w:r w:rsidRPr="00362B16">
        <w:rPr>
          <w:rFonts w:ascii="Arial" w:hAnsi="Arial" w:eastAsia="Arial MT" w:cs="Arial"/>
          <w:spacing w:val="-1"/>
          <w:lang w:val="es-ES"/>
        </w:rPr>
        <w:t>partir</w:t>
      </w:r>
      <w:r w:rsidRPr="00362B16">
        <w:rPr>
          <w:rFonts w:ascii="Arial" w:hAnsi="Arial" w:eastAsia="Arial MT" w:cs="Arial"/>
          <w:spacing w:val="-15"/>
          <w:lang w:val="es-ES"/>
        </w:rPr>
        <w:t xml:space="preserve"> </w:t>
      </w:r>
      <w:r w:rsidRPr="00362B16">
        <w:rPr>
          <w:rFonts w:ascii="Arial" w:hAnsi="Arial" w:eastAsia="Arial MT" w:cs="Arial"/>
          <w:spacing w:val="-1"/>
          <w:lang w:val="es-ES"/>
        </w:rPr>
        <w:t>del</w:t>
      </w:r>
      <w:r w:rsidRPr="00362B16">
        <w:rPr>
          <w:rFonts w:ascii="Arial" w:hAnsi="Arial" w:eastAsia="Arial MT" w:cs="Arial"/>
          <w:spacing w:val="-14"/>
          <w:lang w:val="es-ES"/>
        </w:rPr>
        <w:t xml:space="preserve"> </w:t>
      </w:r>
      <w:r w:rsidRPr="00362B16">
        <w:rPr>
          <w:rFonts w:ascii="Arial" w:hAnsi="Arial" w:eastAsia="Arial MT" w:cs="Arial"/>
          <w:spacing w:val="-1"/>
          <w:lang w:val="es-ES"/>
        </w:rPr>
        <w:t>24</w:t>
      </w:r>
      <w:r w:rsidRPr="00362B16">
        <w:rPr>
          <w:rFonts w:ascii="Arial" w:hAnsi="Arial" w:eastAsia="Arial MT" w:cs="Arial"/>
          <w:spacing w:val="-14"/>
          <w:lang w:val="es-ES"/>
        </w:rPr>
        <w:t xml:space="preserve"> </w:t>
      </w:r>
      <w:r w:rsidRPr="00362B16">
        <w:rPr>
          <w:rFonts w:ascii="Arial" w:hAnsi="Arial" w:eastAsia="Arial MT" w:cs="Arial"/>
          <w:spacing w:val="-1"/>
          <w:lang w:val="es-ES"/>
        </w:rPr>
        <w:t>de</w:t>
      </w:r>
      <w:r w:rsidRPr="00362B16">
        <w:rPr>
          <w:rFonts w:ascii="Arial" w:hAnsi="Arial" w:eastAsia="Arial MT" w:cs="Arial"/>
          <w:spacing w:val="-14"/>
          <w:lang w:val="es-ES"/>
        </w:rPr>
        <w:t xml:space="preserve"> </w:t>
      </w:r>
      <w:r w:rsidRPr="00362B16">
        <w:rPr>
          <w:rFonts w:ascii="Arial" w:hAnsi="Arial" w:eastAsia="Arial MT" w:cs="Arial"/>
          <w:spacing w:val="-1"/>
          <w:lang w:val="es-ES"/>
        </w:rPr>
        <w:t>marzo</w:t>
      </w:r>
      <w:r w:rsidRPr="00362B16">
        <w:rPr>
          <w:rFonts w:ascii="Arial" w:hAnsi="Arial" w:eastAsia="Arial MT" w:cs="Arial"/>
          <w:spacing w:val="-14"/>
          <w:lang w:val="es-ES"/>
        </w:rPr>
        <w:t xml:space="preserve"> </w:t>
      </w:r>
      <w:r w:rsidRPr="00362B16">
        <w:rPr>
          <w:rFonts w:ascii="Arial" w:hAnsi="Arial" w:eastAsia="Arial MT" w:cs="Arial"/>
          <w:spacing w:val="-1"/>
          <w:lang w:val="es-ES"/>
        </w:rPr>
        <w:t>de</w:t>
      </w:r>
      <w:r w:rsidRPr="00362B16">
        <w:rPr>
          <w:rFonts w:ascii="Arial" w:hAnsi="Arial" w:eastAsia="Arial MT" w:cs="Arial"/>
          <w:spacing w:val="-14"/>
          <w:lang w:val="es-ES"/>
        </w:rPr>
        <w:t xml:space="preserve"> </w:t>
      </w:r>
      <w:r w:rsidRPr="00362B16">
        <w:rPr>
          <w:rFonts w:ascii="Arial" w:hAnsi="Arial" w:eastAsia="Arial MT" w:cs="Arial"/>
          <w:spacing w:val="-1"/>
          <w:lang w:val="es-ES"/>
        </w:rPr>
        <w:t xml:space="preserve">2022, </w:t>
      </w:r>
      <w:r w:rsidRPr="00362B16">
        <w:rPr>
          <w:rFonts w:ascii="Arial MT" w:hAnsi="Arial MT" w:eastAsia="Arial MT" w:cs="Arial MT"/>
          <w:lang w:val="es-ES"/>
        </w:rPr>
        <w:t>por lo que actualmente esta es la regulación vigente</w:t>
      </w:r>
      <w:r w:rsidRPr="00362B16">
        <w:rPr>
          <w:rFonts w:ascii="Arial" w:hAnsi="Arial" w:eastAsia="Times New Roman" w:cs="Arial"/>
          <w:vertAlign w:val="superscript"/>
          <w:lang w:eastAsia="es-CO"/>
        </w:rPr>
        <w:footnoteReference w:id="14"/>
      </w:r>
      <w:r w:rsidRPr="00362B16">
        <w:rPr>
          <w:rFonts w:ascii="Arial" w:hAnsi="Arial" w:eastAsia="Times New Roman" w:cs="Arial"/>
          <w:lang w:eastAsia="es-CO"/>
        </w:rPr>
        <w:t xml:space="preserve">. </w:t>
      </w:r>
    </w:p>
    <w:p w:rsidRPr="00362B16" w:rsidR="00EE41AF" w:rsidP="00EE41AF" w:rsidRDefault="00EE41AF" w14:paraId="1719EED2" w14:textId="77777777">
      <w:pPr>
        <w:spacing w:after="0" w:line="276" w:lineRule="auto"/>
        <w:jc w:val="both"/>
        <w:rPr>
          <w:rFonts w:ascii="Arial" w:hAnsi="Arial" w:eastAsia="Times New Roman" w:cs="Arial"/>
          <w:lang w:eastAsia="es-CO"/>
        </w:rPr>
      </w:pPr>
    </w:p>
    <w:p w:rsidRPr="00362B16" w:rsidR="00EE41AF" w:rsidP="00EE41AF" w:rsidRDefault="00EE41AF" w14:paraId="58EB9972" w14:textId="77777777">
      <w:pPr>
        <w:spacing w:after="0" w:line="276" w:lineRule="auto"/>
        <w:jc w:val="both"/>
        <w:rPr>
          <w:rFonts w:ascii="Arial" w:hAnsi="Arial" w:eastAsia="Calibri" w:cs="Arial"/>
          <w:b/>
          <w:bCs/>
          <w:lang w:val="es-ES_tradnl" w:eastAsia="es-ES_tradnl"/>
        </w:rPr>
      </w:pPr>
      <w:r w:rsidRPr="00362B16">
        <w:rPr>
          <w:rFonts w:ascii="Arial" w:hAnsi="Arial" w:eastAsia="Calibri" w:cs="Arial"/>
          <w:b/>
          <w:bCs/>
          <w:lang w:val="es-ES_tradnl" w:eastAsia="es-ES_tradnl"/>
        </w:rPr>
        <w:t xml:space="preserve">2.2. Definición de emprendimientos y empresas de mujeres en el Decreto 1860 de 2021 </w:t>
      </w:r>
    </w:p>
    <w:p w:rsidRPr="00362B16" w:rsidR="00EE41AF" w:rsidP="00EE41AF" w:rsidRDefault="00EE41AF" w14:paraId="616A9C3A" w14:textId="77777777">
      <w:pPr>
        <w:spacing w:after="0" w:line="276" w:lineRule="auto"/>
        <w:jc w:val="both"/>
        <w:rPr>
          <w:rFonts w:ascii="Arial" w:hAnsi="Arial" w:eastAsia="Calibri" w:cs="Arial"/>
          <w:b/>
          <w:bCs/>
          <w:lang w:val="es-ES_tradnl" w:eastAsia="es-ES_tradnl"/>
        </w:rPr>
      </w:pPr>
    </w:p>
    <w:p w:rsidRPr="00362B16" w:rsidR="00EE41AF" w:rsidP="00EE41AF" w:rsidRDefault="00EE41AF" w14:paraId="51F859E6" w14:textId="77777777">
      <w:pPr>
        <w:spacing w:after="120" w:line="276" w:lineRule="auto"/>
        <w:jc w:val="both"/>
        <w:rPr>
          <w:rFonts w:ascii="Arial" w:hAnsi="Arial" w:eastAsia="Calibri" w:cs="Arial"/>
          <w:lang w:val="es-ES_tradnl" w:eastAsia="es-ES_tradnl"/>
        </w:rPr>
      </w:pPr>
      <w:r w:rsidRPr="00362B16">
        <w:rPr>
          <w:rFonts w:ascii="Arial" w:hAnsi="Arial" w:eastAsia="Calibri" w:cs="Arial"/>
          <w:lang w:val="es-ES_tradnl" w:eastAsia="es-ES_tradnl"/>
        </w:rPr>
        <w:t xml:space="preserve">Conforme se viene explicando, el artículo 32 de la Ley 2069 de 2021 introduce el deber de las Entidades Estatales de incluir </w:t>
      </w:r>
      <w:r w:rsidRPr="00362B16">
        <w:rPr>
          <w:rFonts w:ascii="Arial" w:hAnsi="Arial" w:eastAsia="Times New Roman" w:cs="Arial"/>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w:t>
      </w:r>
      <w:r>
        <w:rPr>
          <w:rFonts w:ascii="Arial" w:hAnsi="Arial" w:eastAsia="Times New Roman" w:cs="Arial"/>
          <w:shd w:val="clear" w:color="auto" w:fill="FFFFFF"/>
          <w:lang w:val="es-ES" w:eastAsia="es-ES_tradnl"/>
        </w:rPr>
        <w:t xml:space="preserve"> –en adelante EGCAP–</w:t>
      </w:r>
      <w:r w:rsidRPr="00362B16">
        <w:rPr>
          <w:rFonts w:ascii="Arial" w:hAnsi="Arial" w:eastAsia="Times New Roman" w:cs="Arial"/>
          <w:shd w:val="clear" w:color="auto" w:fill="FFFFFF"/>
          <w:lang w:val="es-ES" w:eastAsia="es-ES_tradnl"/>
        </w:rPr>
        <w:t>, requisitos diferenciales y puntajes adicionales para emprendimientos y empresas de mujeres. Esto</w:t>
      </w:r>
      <w:r>
        <w:rPr>
          <w:rFonts w:ascii="Arial" w:hAnsi="Arial" w:eastAsia="Times New Roman" w:cs="Arial"/>
          <w:shd w:val="clear" w:color="auto" w:fill="FFFFFF"/>
          <w:lang w:val="es-ES" w:eastAsia="es-ES_tradnl"/>
        </w:rPr>
        <w:t>,</w:t>
      </w:r>
      <w:r w:rsidRPr="00362B16">
        <w:rPr>
          <w:rFonts w:ascii="Arial" w:hAnsi="Arial" w:eastAsia="Times New Roman" w:cs="Arial"/>
          <w:shd w:val="clear" w:color="auto" w:fill="FFFFFF"/>
          <w:lang w:val="es-ES" w:eastAsia="es-ES_tradnl"/>
        </w:rPr>
        <w:t xml:space="preserve"> a título de medidas de acción afirmativa para incentivar la participación de emprendimientos y empresas de mujeres en el sistema de compras públicas, sin perjuicio de los compromisos adquiridos por Colombia en los acuerdos comerciales en vigor.</w:t>
      </w:r>
      <w:r w:rsidRPr="00362B16">
        <w:rPr>
          <w:rFonts w:ascii="Arial" w:hAnsi="Arial" w:eastAsia="Times New Roman" w:cs="Arial"/>
          <w:shd w:val="clear" w:color="auto" w:fill="FFFFFF"/>
          <w:lang w:eastAsia="es-ES_tradnl"/>
        </w:rPr>
        <w:t> </w:t>
      </w:r>
    </w:p>
    <w:p w:rsidRPr="00362B16" w:rsidR="00EE41AF" w:rsidP="00EE41AF" w:rsidRDefault="00EE41AF" w14:paraId="3F9DBDEC" w14:textId="77777777">
      <w:pPr>
        <w:spacing w:after="0" w:line="276" w:lineRule="auto"/>
        <w:jc w:val="both"/>
        <w:rPr>
          <w:rFonts w:ascii="Arial" w:hAnsi="Arial" w:eastAsia="Calibri" w:cs="Arial"/>
          <w:lang w:val="es-ES_tradnl" w:eastAsia="es-ES_tradnl"/>
        </w:rPr>
      </w:pPr>
      <w:r w:rsidRPr="00362B16">
        <w:rPr>
          <w:rFonts w:ascii="Arial" w:hAnsi="Arial" w:eastAsia="Calibri" w:cs="Arial"/>
          <w:lang w:val="es-ES_tradnl" w:eastAsia="es-ES_tradnl"/>
        </w:rPr>
        <w:tab/>
      </w:r>
      <w:r w:rsidRPr="00362B16">
        <w:rPr>
          <w:rFonts w:ascii="Arial" w:hAnsi="Arial" w:eastAsia="Calibri" w:cs="Arial"/>
          <w:lang w:val="es-ES_tradnl" w:eastAsia="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w:t>
      </w:r>
      <w:r>
        <w:rPr>
          <w:rFonts w:ascii="Arial" w:hAnsi="Arial" w:eastAsia="Calibri" w:cs="Arial"/>
          <w:lang w:val="es-ES_tradnl" w:eastAsia="es-ES_tradnl"/>
        </w:rPr>
        <w:t>ndimientos</w:t>
      </w:r>
      <w:r w:rsidRPr="00362B16">
        <w:rPr>
          <w:rFonts w:ascii="Arial" w:hAnsi="Arial" w:eastAsia="Calibri" w:cs="Arial"/>
          <w:lang w:val="es-ES_tradnl" w:eastAsia="es-ES_tradnl"/>
        </w:rPr>
        <w:t xml:space="preserve"> y empre</w:t>
      </w:r>
      <w:r>
        <w:rPr>
          <w:rFonts w:ascii="Arial" w:hAnsi="Arial" w:eastAsia="Calibri" w:cs="Arial"/>
          <w:lang w:val="es-ES_tradnl" w:eastAsia="es-ES_tradnl"/>
        </w:rPr>
        <w:t xml:space="preserve">sas </w:t>
      </w:r>
      <w:r w:rsidRPr="00362B16">
        <w:rPr>
          <w:rFonts w:ascii="Arial" w:hAnsi="Arial" w:eastAsia="Calibri" w:cs="Arial"/>
          <w:lang w:val="es-ES_tradnl" w:eastAsia="es-ES_tradnl"/>
        </w:rPr>
        <w:t>de mujeres, a las que les aplican los criterios diferenciales. Para estos efectos, cada uno de los cuatro</w:t>
      </w:r>
      <w:r>
        <w:rPr>
          <w:rFonts w:ascii="Arial" w:hAnsi="Arial" w:eastAsia="Calibri" w:cs="Arial"/>
          <w:lang w:val="es-ES_tradnl" w:eastAsia="es-ES_tradnl"/>
        </w:rPr>
        <w:t xml:space="preserve"> (4)</w:t>
      </w:r>
      <w:r w:rsidRPr="00362B16">
        <w:rPr>
          <w:rFonts w:ascii="Arial" w:hAnsi="Arial" w:eastAsia="Calibri" w:cs="Arial"/>
          <w:lang w:val="es-ES_tradnl" w:eastAsia="es-ES_tradnl"/>
        </w:rPr>
        <w:t xml:space="preserve"> numerales de la norma establecen unas condiciones alternativas que definen los emprendimientos y empresas de mujeres, a efectos de aplicar los criterios diferenciales, siendo relevante para la consulta el </w:t>
      </w:r>
      <w:r>
        <w:rPr>
          <w:rFonts w:ascii="Arial" w:hAnsi="Arial" w:eastAsia="Calibri" w:cs="Arial"/>
          <w:lang w:val="es-ES_tradnl" w:eastAsia="es-ES_tradnl"/>
        </w:rPr>
        <w:t>segundo</w:t>
      </w:r>
      <w:r w:rsidRPr="00362B16">
        <w:rPr>
          <w:rFonts w:ascii="Arial" w:hAnsi="Arial" w:eastAsia="Calibri" w:cs="Arial"/>
          <w:lang w:val="es-ES_tradnl" w:eastAsia="es-ES_tradnl"/>
        </w:rPr>
        <w:t xml:space="preserve"> y el tercero de dich</w:t>
      </w:r>
      <w:r>
        <w:rPr>
          <w:rFonts w:ascii="Arial" w:hAnsi="Arial" w:eastAsia="Calibri" w:cs="Arial"/>
          <w:lang w:val="es-ES_tradnl" w:eastAsia="es-ES_tradnl"/>
        </w:rPr>
        <w:t>os</w:t>
      </w:r>
      <w:r w:rsidRPr="00362B16">
        <w:rPr>
          <w:rFonts w:ascii="Arial" w:hAnsi="Arial" w:eastAsia="Calibri" w:cs="Arial"/>
          <w:lang w:val="es-ES_tradnl" w:eastAsia="es-ES_tradnl"/>
        </w:rPr>
        <w:t xml:space="preserve"> numerales, cuyo tenor literal indica:   </w:t>
      </w:r>
    </w:p>
    <w:p w:rsidRPr="00362B16" w:rsidR="00EE41AF" w:rsidP="00EE41AF" w:rsidRDefault="00EE41AF" w14:paraId="218BD9C2" w14:textId="77777777">
      <w:pPr>
        <w:spacing w:after="0" w:line="276" w:lineRule="auto"/>
        <w:jc w:val="both"/>
        <w:rPr>
          <w:rFonts w:ascii="Arial" w:hAnsi="Arial" w:eastAsia="Calibri" w:cs="Arial"/>
          <w:lang w:val="es-ES_tradnl" w:eastAsia="es-ES_tradnl"/>
        </w:rPr>
      </w:pPr>
    </w:p>
    <w:p w:rsidRPr="00362B16" w:rsidR="00EE41AF" w:rsidP="00EE41AF" w:rsidRDefault="00EE41AF" w14:paraId="0D2DA4D9" w14:textId="77777777">
      <w:pPr>
        <w:shd w:val="clear" w:color="auto" w:fill="FFFFFF"/>
        <w:spacing w:after="0" w:line="240" w:lineRule="auto"/>
        <w:ind w:left="709" w:right="709"/>
        <w:jc w:val="both"/>
        <w:textAlignment w:val="baseline"/>
        <w:rPr>
          <w:rFonts w:ascii="Arial" w:hAnsi="Arial" w:eastAsia="Times New Roman" w:cs="Arial"/>
          <w:sz w:val="21"/>
          <w:szCs w:val="21"/>
          <w:lang w:eastAsia="es-CO"/>
        </w:rPr>
      </w:pPr>
      <w:r w:rsidRPr="00362B16">
        <w:rPr>
          <w:rFonts w:ascii="Arial" w:hAnsi="Arial" w:eastAsia="Times New Roman" w:cs="Arial"/>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rsidRPr="00362B16" w:rsidR="00EE41AF" w:rsidP="00EE41AF" w:rsidRDefault="00EE41AF" w14:paraId="2B19C33E" w14:textId="77777777">
      <w:pPr>
        <w:shd w:val="clear" w:color="auto" w:fill="FFFFFF"/>
        <w:spacing w:after="0" w:line="240" w:lineRule="auto"/>
        <w:ind w:left="709" w:right="709"/>
        <w:jc w:val="both"/>
        <w:textAlignment w:val="baseline"/>
        <w:rPr>
          <w:rFonts w:ascii="Arial" w:hAnsi="Arial" w:eastAsia="Times New Roman" w:cs="Arial"/>
          <w:sz w:val="21"/>
          <w:szCs w:val="21"/>
          <w:lang w:eastAsia="es-CO"/>
        </w:rPr>
      </w:pPr>
      <w:r w:rsidRPr="00362B16">
        <w:rPr>
          <w:rFonts w:ascii="Arial" w:hAnsi="Arial" w:eastAsia="Times New Roman" w:cs="Arial"/>
          <w:sz w:val="21"/>
          <w:szCs w:val="21"/>
          <w:lang w:eastAsia="es-CO"/>
        </w:rPr>
        <w:t>[…]</w:t>
      </w:r>
    </w:p>
    <w:p w:rsidRPr="003E6F28" w:rsidR="00EE41AF" w:rsidP="00EE41AF" w:rsidRDefault="00EE41AF" w14:paraId="1663F406"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rsidRPr="003E6F28" w:rsidR="00EE41AF" w:rsidP="00EE41AF" w:rsidRDefault="00EE41AF" w14:paraId="13953D22"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p>
    <w:p w:rsidRPr="003E6F28" w:rsidR="00EE41AF" w:rsidP="00EE41AF" w:rsidRDefault="00EE41AF" w14:paraId="5F57089B"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rsidRPr="003E6F28" w:rsidR="00EE41AF" w:rsidP="00EE41AF" w:rsidRDefault="00EE41AF" w14:paraId="28F2188C"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p>
    <w:p w:rsidRPr="003E6F28" w:rsidR="00EE41AF" w:rsidP="00EE41AF" w:rsidRDefault="00EE41AF" w14:paraId="6AA47E76"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rsidRPr="003E6F28" w:rsidR="00EE41AF" w:rsidP="00EE41AF" w:rsidRDefault="00EE41AF" w14:paraId="43945945"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p>
    <w:p w:rsidRPr="004F54C2" w:rsidR="00EE41AF" w:rsidP="00EE41AF" w:rsidRDefault="00EE41AF" w14:paraId="2D319531" w14:textId="77777777">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rsidRPr="00362B16" w:rsidR="00EE41AF" w:rsidP="00EE41AF" w:rsidRDefault="00EE41AF" w14:paraId="62354C92" w14:textId="77777777">
      <w:pPr>
        <w:shd w:val="clear" w:color="auto" w:fill="FFFFFF"/>
        <w:spacing w:after="0" w:line="240" w:lineRule="auto"/>
        <w:ind w:left="709" w:right="709"/>
        <w:jc w:val="both"/>
        <w:textAlignment w:val="baseline"/>
        <w:rPr>
          <w:rFonts w:ascii="Arial" w:hAnsi="Arial" w:eastAsia="Times New Roman" w:cs="Arial"/>
          <w:sz w:val="21"/>
          <w:szCs w:val="21"/>
          <w:lang w:eastAsia="es-CO"/>
        </w:rPr>
      </w:pPr>
    </w:p>
    <w:p w:rsidR="00EE41AF" w:rsidP="1E15A5CB" w:rsidRDefault="00EE41AF" w14:paraId="31C759BA" w14:textId="77777777">
      <w:pPr>
        <w:shd w:val="clear" w:color="auto" w:fill="FFFFFF" w:themeFill="background1"/>
        <w:spacing w:after="0" w:line="240" w:lineRule="auto"/>
        <w:ind w:left="709" w:right="709"/>
        <w:jc w:val="both"/>
        <w:textAlignment w:val="baseline"/>
        <w:rPr>
          <w:rFonts w:ascii="Arial" w:hAnsi="Arial" w:eastAsia="Times New Roman" w:cs="Arial"/>
          <w:sz w:val="21"/>
          <w:szCs w:val="21"/>
          <w:lang w:eastAsia="es-CO"/>
        </w:rPr>
      </w:pPr>
      <w:r w:rsidRPr="00362B16">
        <w:rPr>
          <w:rFonts w:ascii="Arial" w:hAnsi="Arial" w:eastAsia="Times New Roman" w:cs="Arial"/>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rsidRPr="00362B16" w:rsidR="00EE41AF" w:rsidP="1E15A5CB" w:rsidRDefault="00EE41AF" w14:paraId="47CA027F" w14:textId="01CC8B4B">
      <w:pPr>
        <w:shd w:val="clear" w:color="auto" w:fill="FFFFFF" w:themeFill="background1"/>
        <w:spacing w:after="0" w:line="240" w:lineRule="auto"/>
        <w:ind w:left="709" w:right="709"/>
        <w:jc w:val="both"/>
        <w:textAlignment w:val="baseline"/>
        <w:rPr>
          <w:rFonts w:ascii="Arial" w:hAnsi="Arial" w:eastAsia="Times New Roman" w:cs="Arial"/>
          <w:sz w:val="21"/>
          <w:szCs w:val="21"/>
          <w:lang w:eastAsia="es-CO"/>
        </w:rPr>
      </w:pPr>
      <w:r>
        <w:rPr>
          <w:rFonts w:ascii="Arial" w:hAnsi="Arial" w:eastAsia="Times New Roman" w:cs="Arial"/>
          <w:sz w:val="21"/>
          <w:szCs w:val="21"/>
          <w:lang w:eastAsia="es-CO"/>
        </w:rPr>
        <w:t>[…]</w:t>
      </w:r>
    </w:p>
    <w:p w:rsidRPr="00362B16" w:rsidR="00EE41AF" w:rsidP="00EE41AF" w:rsidRDefault="00EE41AF" w14:paraId="2BCE9861" w14:textId="77777777">
      <w:pPr>
        <w:spacing w:after="0" w:line="276" w:lineRule="auto"/>
        <w:jc w:val="both"/>
        <w:rPr>
          <w:rFonts w:ascii="Arial" w:hAnsi="Arial" w:eastAsia="Calibri" w:cs="Arial"/>
          <w:lang w:val="es-ES_tradnl" w:eastAsia="es-ES_tradnl"/>
        </w:rPr>
      </w:pPr>
    </w:p>
    <w:p w:rsidRPr="00F3020D" w:rsidR="00EE41AF" w:rsidP="00EE41AF" w:rsidRDefault="00EE41AF" w14:paraId="2FB89DB3" w14:textId="77777777">
      <w:pPr>
        <w:spacing w:after="120" w:line="276" w:lineRule="auto"/>
        <w:ind w:firstLine="709"/>
        <w:jc w:val="both"/>
        <w:rPr>
          <w:rFonts w:ascii="Arial" w:hAnsi="Arial" w:eastAsia="Calibri" w:cs="Arial"/>
          <w:bCs/>
          <w:color w:val="000000"/>
          <w:szCs w:val="24"/>
          <w:lang w:val="es-ES" w:eastAsia="es-ES_tradnl" w:bidi="es-ES"/>
        </w:rPr>
      </w:pPr>
      <w:r w:rsidRPr="00F3020D">
        <w:rPr>
          <w:rFonts w:ascii="Arial" w:hAnsi="Arial" w:eastAsia="Calibri" w:cs="Arial"/>
          <w:bCs/>
          <w:color w:val="000000"/>
          <w:szCs w:val="24"/>
          <w:lang w:eastAsia="es-ES_tradnl" w:bidi="es-ES"/>
        </w:rPr>
        <w:t xml:space="preserve">Conforme a lo anterior, el artículo </w:t>
      </w:r>
      <w:r w:rsidRPr="00F3020D">
        <w:rPr>
          <w:rFonts w:ascii="Arial" w:hAnsi="Arial" w:eastAsia="Calibri" w:cs="Arial"/>
          <w:bCs/>
          <w:color w:val="000000"/>
          <w:szCs w:val="24"/>
          <w:lang w:val="es-ES" w:eastAsia="es-ES_tradnl" w:bidi="es-ES"/>
        </w:rPr>
        <w:t>2.2.1.2.4.2.14 del Decreto 1082 de 2015 define cuatro alternativas distintas que definen los requisitos de las empresas y emprendimientos de mujeres, a las que les aplican los criterios diferenciales.</w:t>
      </w:r>
    </w:p>
    <w:p w:rsidRPr="00F3020D" w:rsidR="00EE41AF" w:rsidP="00EE41AF" w:rsidRDefault="00EE41AF" w14:paraId="5886BB69" w14:textId="77777777">
      <w:pPr>
        <w:spacing w:before="120" w:after="120"/>
        <w:ind w:firstLine="709"/>
        <w:jc w:val="both"/>
        <w:rPr>
          <w:rFonts w:ascii="Arial" w:hAnsi="Arial" w:eastAsia="Calibri" w:cs="Arial"/>
          <w:bCs/>
          <w:color w:val="000000"/>
          <w:szCs w:val="24"/>
          <w:lang w:eastAsia="es-ES_tradnl" w:bidi="es-ES"/>
        </w:rPr>
      </w:pPr>
      <w:r w:rsidRPr="00F3020D">
        <w:rPr>
          <w:rFonts w:ascii="Arial" w:hAnsi="Arial" w:eastAsia="Calibri" w:cs="Arial"/>
          <w:bCs/>
          <w:color w:val="000000"/>
          <w:szCs w:val="24"/>
          <w:lang w:eastAsia="es-ES_tradnl" w:bidi="es-ES"/>
        </w:rPr>
        <w:t xml:space="preserve">Por una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w:t>
      </w:r>
      <w:proofErr w:type="spellStart"/>
      <w:r w:rsidRPr="00F3020D">
        <w:rPr>
          <w:rFonts w:ascii="Arial" w:hAnsi="Arial" w:eastAsia="Calibri" w:cs="Arial"/>
          <w:bCs/>
          <w:color w:val="000000"/>
          <w:szCs w:val="24"/>
          <w:lang w:eastAsia="es-ES_tradnl" w:bidi="es-ES"/>
        </w:rPr>
        <w:t>ii</w:t>
      </w:r>
      <w:proofErr w:type="spellEnd"/>
      <w:r w:rsidRPr="00F3020D">
        <w:rPr>
          <w:rFonts w:ascii="Arial" w:hAnsi="Arial" w:eastAsia="Calibri" w:cs="Arial"/>
          <w:bCs/>
          <w:color w:val="000000"/>
          <w:szCs w:val="24"/>
          <w:lang w:eastAsia="es-ES_tradnl" w:bidi="es-ES"/>
        </w:rPr>
        <w:t xml:space="preserve">)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deberán probar que más del cincuenta por ciento (50%) de los asociados son mujeres y la participación haya correspondido a estas durante al menos el último año anterior a la fecha de cierre del proceso de selección. Por otra parte, el proponente persona natural deberá demostrar, mediante la copia del registro mercantil y de la cédula de ciudadanía, la cédula de extranjería o el pasaporte, que es una mujer y que ha ejercido actividades comerciales a través de un establecimiento de comercio durante al menos el último año anterior a la fecha de cierre del proceso de selección. </w:t>
      </w:r>
    </w:p>
    <w:p w:rsidRPr="00ED7E96" w:rsidR="00EE41AF" w:rsidP="00EE41AF" w:rsidRDefault="00EE41AF" w14:paraId="43D08DC0" w14:textId="77777777">
      <w:pPr>
        <w:spacing w:after="120" w:line="276" w:lineRule="auto"/>
        <w:ind w:firstLine="709"/>
        <w:jc w:val="both"/>
        <w:rPr>
          <w:rFonts w:ascii="Arial" w:hAnsi="Arial" w:cs="Arial"/>
          <w:lang w:eastAsia="es-CO"/>
        </w:rPr>
      </w:pPr>
      <w:r w:rsidRPr="00ED7E96">
        <w:rPr>
          <w:rFonts w:ascii="Arial" w:hAnsi="Arial" w:eastAsia="Calibri" w:cs="Arial"/>
          <w:lang w:val="es-ES_tradnl"/>
        </w:rPr>
        <w:t>De acuerdo con el numeral</w:t>
      </w:r>
      <w:r>
        <w:rPr>
          <w:rFonts w:ascii="Arial" w:hAnsi="Arial" w:eastAsia="Calibri" w:cs="Arial"/>
          <w:lang w:val="es-ES_tradnl"/>
        </w:rPr>
        <w:t xml:space="preserve"> 2 del artículo pre</w:t>
      </w:r>
      <w:r w:rsidRPr="00ED7E96">
        <w:rPr>
          <w:rFonts w:ascii="Arial" w:hAnsi="Arial" w:eastAsia="Calibri" w:cs="Arial"/>
          <w:lang w:val="es-ES_tradnl"/>
        </w:rPr>
        <w:t xml:space="preserve">citado, una persona jurídica podrá ser considerada como un emprendimiento o empresa de mujeres cuando más del </w:t>
      </w:r>
      <w:r>
        <w:rPr>
          <w:rFonts w:ascii="Arial" w:hAnsi="Arial" w:eastAsia="Calibri" w:cs="Arial"/>
          <w:lang w:val="es-ES_tradnl"/>
        </w:rPr>
        <w:t>cincuenta por ciento (</w:t>
      </w:r>
      <w:r w:rsidRPr="00ED7E96">
        <w:rPr>
          <w:rFonts w:ascii="Arial" w:hAnsi="Arial" w:eastAsia="Calibri" w:cs="Arial"/>
          <w:lang w:val="es-ES_tradnl"/>
        </w:rPr>
        <w:t>50%</w:t>
      </w:r>
      <w:r>
        <w:rPr>
          <w:rFonts w:ascii="Arial" w:hAnsi="Arial" w:eastAsia="Calibri" w:cs="Arial"/>
          <w:lang w:val="es-ES_tradnl"/>
        </w:rPr>
        <w:t>)</w:t>
      </w:r>
      <w:r w:rsidRPr="00ED7E96">
        <w:rPr>
          <w:rFonts w:ascii="Arial" w:hAnsi="Arial" w:eastAsia="Calibri" w:cs="Arial"/>
          <w:lang w:val="es-ES_tradnl"/>
        </w:rPr>
        <w:t xml:space="preserve"> de los empleos del nivel directivo de la persona jurídica sean ejercidos por mujeres. </w:t>
      </w:r>
      <w:r w:rsidRPr="00ED7E96">
        <w:rPr>
          <w:rFonts w:ascii="Arial" w:hAnsi="Arial" w:cs="Arial"/>
          <w:lang w:eastAsia="es-CO"/>
        </w:rPr>
        <w:t>Tales empleos son aquellos relacionados con la dirección de áreas misionales y las decisiones de nivel estratégico de la respectiva empresa</w:t>
      </w:r>
      <w:r>
        <w:rPr>
          <w:rFonts w:ascii="Arial" w:hAnsi="Arial" w:cs="Arial"/>
          <w:lang w:eastAsia="es-CO"/>
        </w:rPr>
        <w:t>.</w:t>
      </w:r>
      <w:r w:rsidRPr="00ED7E96">
        <w:rPr>
          <w:rFonts w:ascii="Arial" w:hAnsi="Arial" w:cs="Arial"/>
          <w:lang w:eastAsia="es-CO"/>
        </w:rPr>
        <w:t xml:space="preserve">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a su jerarquía, representan al empleador en los términos del artículo 32 del Código Sustantivo del Trabajo</w:t>
      </w:r>
      <w:r w:rsidRPr="00ED7E96">
        <w:rPr>
          <w:rStyle w:val="FootnoteReference"/>
          <w:rFonts w:ascii="Arial" w:hAnsi="Arial" w:cs="Arial"/>
          <w:lang w:eastAsia="es-CO"/>
        </w:rPr>
        <w:footnoteReference w:id="15"/>
      </w:r>
      <w:r w:rsidRPr="00ED7E96">
        <w:rPr>
          <w:rFonts w:ascii="Arial" w:hAnsi="Arial" w:cs="Arial"/>
          <w:lang w:eastAsia="es-CO"/>
        </w:rPr>
        <w:t xml:space="preserve">. </w:t>
      </w:r>
    </w:p>
    <w:p w:rsidRPr="00ED7E96" w:rsidR="00EE41AF" w:rsidP="00EE41AF" w:rsidRDefault="00EE41AF" w14:paraId="32DADA17" w14:textId="77777777">
      <w:pPr>
        <w:spacing w:after="120" w:line="276" w:lineRule="auto"/>
        <w:ind w:firstLine="708"/>
        <w:jc w:val="both"/>
        <w:rPr>
          <w:rFonts w:ascii="Arial" w:hAnsi="Arial" w:eastAsia="Calibri" w:cs="Arial"/>
          <w:lang w:val="es-ES_tradnl"/>
        </w:rPr>
      </w:pPr>
      <w:bookmarkStart w:name="_Hlk110603413" w:id="8"/>
      <w:r w:rsidRPr="00ED7E96">
        <w:rPr>
          <w:rFonts w:ascii="Arial" w:hAnsi="Arial" w:eastAsia="Calibri" w:cs="Arial"/>
          <w:lang w:val="es-ES_tradnl"/>
        </w:rPr>
        <w:t>Para la aplicación de la definición en comento debe tenerse en cuenta únicamente a los empleos del nivel directivo, lo que excluye a los demás empleos de la planta de personal, como por ejemplo los operativos. En segundo lugar, no basta con que los cargos directivos en una sociedad sean mayoritariamente de mujeres para que sea considerada como un empresa o emprendimiento a los que se refiere la norma, sino que además es necesario que dicha vinculación mayoritaria de mujeres en los empleos del nivel directivo de la empresa se haya mantenido como mínimo durante el periodo de un año, contado a partir de la fecha de cierre del proceso de selección</w:t>
      </w:r>
      <w:bookmarkEnd w:id="8"/>
      <w:r w:rsidRPr="00ED7E96">
        <w:rPr>
          <w:rFonts w:ascii="Arial" w:hAnsi="Arial" w:eastAsia="Calibri" w:cs="Arial"/>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año.</w:t>
      </w:r>
    </w:p>
    <w:p w:rsidRPr="00ED7E96" w:rsidR="00EE41AF" w:rsidP="00EE41AF" w:rsidRDefault="00EE41AF" w14:paraId="10ED67F2"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rsidRPr="00ED7E96" w:rsidR="00EE41AF" w:rsidP="00EE41AF" w:rsidRDefault="00EE41AF" w14:paraId="7EB95C3E"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rsidRPr="00ED7E96" w:rsidR="00EE41AF" w:rsidP="00EE41AF" w:rsidRDefault="00EE41AF" w14:paraId="2814B29B"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 xml:space="preserve">Sin perjuicio de lo anterior, la sola presentación de la certificación con las copias de los documentos de identidad, de los contratos laborales y los certificados de aportes a seguridad social no confiere automáticamente el acceso a los criterios diferenciales. Esto por cuanto es deber de la entidad verificar que los documentos presentados acrediten las condiciones descritas en el primer y segundo inciso del numeral 2 del artículo 2.2.1.2.4.2.14 del Decreto 1082 de 2015, </w:t>
      </w:r>
    </w:p>
    <w:p w:rsidRPr="00ED7E96" w:rsidR="00EE41AF" w:rsidP="00EE41AF" w:rsidRDefault="00EE41AF" w14:paraId="3D14B65B"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rsidRPr="00ED7E96" w:rsidR="00EE41AF" w:rsidP="00EE41AF" w:rsidRDefault="00EE41AF" w14:paraId="5EA496ED"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rsidRPr="00ED7E96" w:rsidR="00EE41AF" w:rsidP="00EE41AF" w:rsidRDefault="00EE41AF" w14:paraId="6B3EE214" w14:textId="5A14C0C0">
      <w:pPr>
        <w:spacing w:after="120" w:line="276" w:lineRule="auto"/>
        <w:jc w:val="both"/>
        <w:rPr>
          <w:rFonts w:ascii="Arial" w:hAnsi="Arial" w:eastAsia="Calibri" w:cs="Arial"/>
          <w:lang w:val="es-ES_tradnl"/>
        </w:rPr>
      </w:pPr>
      <w:r w:rsidRPr="00ED7E96">
        <w:rPr>
          <w:rFonts w:ascii="Arial" w:hAnsi="Arial" w:eastAsia="Calibri" w:cs="Arial"/>
          <w:lang w:val="es-ES_tradnl"/>
        </w:rPr>
        <w:tab/>
      </w:r>
      <w:r w:rsidRPr="00ED7E96">
        <w:rPr>
          <w:rFonts w:ascii="Arial" w:hAnsi="Arial" w:eastAsia="Calibri" w:cs="Arial"/>
          <w:lang w:val="es-ES_tradnl"/>
        </w:rPr>
        <w:t xml:space="preserve">Debe destacarse que, la noción de empleo del nivel directivo establecida en el inciso segundo del numeral 2 del artículo 2.2.1.2.4.2.14 se refiere exclusivamente a aquellos empleos </w:t>
      </w:r>
      <w:r w:rsidR="00032E86">
        <w:rPr>
          <w:rFonts w:ascii="Arial" w:hAnsi="Arial" w:eastAsia="Calibri" w:cs="Arial"/>
          <w:lang w:val="es-ES_tradnl"/>
        </w:rPr>
        <w:t>“</w:t>
      </w:r>
      <w:r w:rsidRPr="00ED7E96">
        <w:rPr>
          <w:rFonts w:ascii="Arial" w:hAnsi="Arial" w:eastAsia="Calibri" w:cs="Arial"/>
          <w:lang w:val="es-ES_tradnl"/>
        </w:rPr>
        <w:t>[…</w:t>
      </w:r>
      <w:r w:rsidRPr="00ED7E96">
        <w:rPr>
          <w:rFonts w:ascii="Arial" w:hAnsi="Arial" w:cs="Arial"/>
        </w:rPr>
        <w:t xml:space="preserve">] </w:t>
      </w:r>
      <w:r w:rsidRPr="00ED7E96">
        <w:rPr>
          <w:rFonts w:ascii="Arial" w:hAnsi="Arial" w:eastAsia="Calibri" w:cs="Arial"/>
          <w:lang w:val="es-ES_tradnl"/>
        </w:rPr>
        <w:t>cuyas funciones están relacionadas con la dirección de áreas misionales de la empresa y la toma de decisiones a nivel estratégico</w:t>
      </w:r>
      <w:r w:rsidR="00032E86">
        <w:rPr>
          <w:rFonts w:ascii="Arial" w:hAnsi="Arial" w:eastAsia="Calibri" w:cs="Arial"/>
          <w:lang w:val="es-ES_tradnl"/>
        </w:rPr>
        <w:t>”</w:t>
      </w:r>
      <w:r w:rsidRPr="00ED7E96">
        <w:rPr>
          <w:rFonts w:ascii="Arial" w:hAnsi="Arial" w:eastAsia="Calibri" w:cs="Arial"/>
          <w:lang w:val="es-ES_tradnl"/>
        </w:rPr>
        <w:t xml:space="preserve">. En ese orden, resulta claro que la norma no establece el monto de la remuneración como un criterio para determinar si un empleo es o no del nivel directivo, por cuanto solo se refiere a la de manera cualitativa a un tipo de funciones asociadas a estos empleos.  </w:t>
      </w:r>
    </w:p>
    <w:p w:rsidR="00EE41AF" w:rsidP="00EE41AF" w:rsidRDefault="00EE41AF" w14:paraId="66740D41" w14:textId="77777777">
      <w:pPr>
        <w:spacing w:after="120" w:line="276" w:lineRule="auto"/>
        <w:ind w:firstLine="708"/>
        <w:jc w:val="both"/>
        <w:rPr>
          <w:rFonts w:ascii="Arial" w:hAnsi="Arial" w:eastAsia="Calibri" w:cs="Arial"/>
          <w:lang w:val="es-ES_tradnl"/>
        </w:rPr>
      </w:pPr>
      <w:r w:rsidRPr="00ED7E96">
        <w:rPr>
          <w:rFonts w:ascii="Arial" w:hAnsi="Arial" w:eastAsia="Calibri" w:cs="Arial"/>
          <w:lang w:val="es-ES_tradnl"/>
        </w:rPr>
        <w:t xml:space="preserve">Esto implica que el hecho de que los empleos tengan una remuneración que pueda considerarse baja, </w:t>
      </w:r>
      <w:r w:rsidRPr="00ED7E96">
        <w:rPr>
          <w:rFonts w:ascii="Arial" w:hAnsi="Arial" w:eastAsia="Calibri" w:cs="Arial"/>
          <w:i/>
          <w:iCs/>
          <w:lang w:val="es-ES_tradnl"/>
        </w:rPr>
        <w:t>per se</w:t>
      </w:r>
      <w:r w:rsidRPr="00ED7E96">
        <w:rPr>
          <w:rFonts w:ascii="Arial" w:hAnsi="Arial" w:eastAsia="Calibri" w:cs="Arial"/>
          <w:lang w:val="es-ES_tradnl"/>
        </w:rPr>
        <w:t>, no es una razón suficiente para no aplicar la definición del numeral 2 del artículo 2.2.1.2.4.2.14, siempre que se encuentren acreditadas las demás condiciones a las que se refiere la norma. No obstante, si además de la baja remuneración si se advierte que las funciones asignadas a las trabajadoras certificadas no tienen que ver con la dirección de áreas misionales, ni con la toma de decisiones a nivel estratégico, ni supongan representación del empleador, tales empleos no serán susceptibles de ser tenidos en cuenta para la aplicación de la definición bajo estudio.</w:t>
      </w:r>
    </w:p>
    <w:p w:rsidRPr="003E6F28" w:rsidR="00EE41AF" w:rsidP="00EE41AF" w:rsidRDefault="00EE41AF" w14:paraId="0D2D5759" w14:textId="77777777">
      <w:pPr>
        <w:spacing w:after="120" w:line="276" w:lineRule="auto"/>
        <w:ind w:firstLine="708"/>
        <w:jc w:val="both"/>
        <w:rPr>
          <w:rFonts w:ascii="Arial" w:hAnsi="Arial" w:eastAsia="Calibri" w:cs="Arial"/>
          <w:lang w:val="es-ES_tradnl"/>
        </w:rPr>
      </w:pPr>
      <w:r>
        <w:rPr>
          <w:rFonts w:ascii="Arial" w:hAnsi="Arial" w:eastAsia="Calibri" w:cs="Arial"/>
          <w:lang w:val="es-ES_tradnl"/>
        </w:rPr>
        <w:t xml:space="preserve">De igual forma, </w:t>
      </w:r>
      <w:r w:rsidRPr="003E6F28">
        <w:rPr>
          <w:rFonts w:ascii="Arial" w:hAnsi="Arial" w:eastAsia="Calibri" w:cs="Arial"/>
          <w:lang w:val="es-ES_tradnl"/>
        </w:rPr>
        <w:t>resulta relevante el análisis del numeral tercero del artículo antes citado, según el cual</w:t>
      </w:r>
      <w:r>
        <w:rPr>
          <w:rFonts w:ascii="Arial" w:hAnsi="Arial" w:eastAsia="Calibri" w:cs="Arial"/>
          <w:lang w:val="es-ES_tradnl"/>
        </w:rPr>
        <w:t>,</w:t>
      </w:r>
      <w:r w:rsidRPr="003E6F28">
        <w:rPr>
          <w:rFonts w:ascii="Arial" w:hAnsi="Arial" w:eastAsia="Calibri" w:cs="Arial"/>
          <w:lang w:val="es-ES_tradnl"/>
        </w:rPr>
        <w:t xml:space="preserve"> tratándose de personas naturales</w:t>
      </w:r>
      <w:r>
        <w:rPr>
          <w:rFonts w:ascii="Arial" w:hAnsi="Arial" w:eastAsia="Calibri" w:cs="Arial"/>
          <w:lang w:val="es-ES_tradnl"/>
        </w:rPr>
        <w:t xml:space="preserve">, </w:t>
      </w:r>
      <w:r w:rsidRPr="003E6F28">
        <w:rPr>
          <w:rFonts w:ascii="Arial" w:hAnsi="Arial" w:eastAsia="Calibri" w:cs="Arial"/>
          <w:lang w:val="es-ES_tradnl"/>
        </w:rPr>
        <w:t xml:space="preserve">debe cumplirse con las siguientes condiciones para ser consideradas emprendimientos y empresas de mujeres y, en consecuencia, ser destinatarias de los criterios diferenciales de que trata el artículo 32 de la Ley de Emprendimiento: </w:t>
      </w:r>
      <w:r>
        <w:rPr>
          <w:rFonts w:ascii="Arial" w:hAnsi="Arial" w:eastAsia="Calibri" w:cs="Arial"/>
          <w:lang w:val="es-ES_tradnl"/>
        </w:rPr>
        <w:t>i</w:t>
      </w:r>
      <w:r w:rsidRPr="003E6F28">
        <w:rPr>
          <w:rFonts w:ascii="Arial" w:hAnsi="Arial" w:eastAsia="Calibri" w:cs="Arial"/>
          <w:lang w:val="es-ES_tradnl"/>
        </w:rPr>
        <w:t xml:space="preserve">) que la persona natural sea una mujer; </w:t>
      </w:r>
      <w:proofErr w:type="spellStart"/>
      <w:r>
        <w:rPr>
          <w:rFonts w:ascii="Arial" w:hAnsi="Arial" w:eastAsia="Calibri" w:cs="Arial"/>
          <w:lang w:val="es-ES_tradnl"/>
        </w:rPr>
        <w:t>ii</w:t>
      </w:r>
      <w:proofErr w:type="spellEnd"/>
      <w:r w:rsidRPr="003E6F28">
        <w:rPr>
          <w:rFonts w:ascii="Arial" w:hAnsi="Arial" w:eastAsia="Calibri" w:cs="Arial"/>
          <w:lang w:val="es-ES_tradnl"/>
        </w:rPr>
        <w:t xml:space="preserve">) que haya ejercido actividades comerciales a través de un establecimiento de comercio, </w:t>
      </w:r>
      <w:proofErr w:type="spellStart"/>
      <w:r>
        <w:rPr>
          <w:rFonts w:ascii="Arial" w:hAnsi="Arial" w:eastAsia="Calibri" w:cs="Arial"/>
          <w:lang w:val="es-ES_tradnl"/>
        </w:rPr>
        <w:t>iii</w:t>
      </w:r>
      <w:proofErr w:type="spellEnd"/>
      <w:r w:rsidRPr="003E6F28">
        <w:rPr>
          <w:rFonts w:ascii="Arial" w:hAnsi="Arial" w:eastAsia="Calibri" w:cs="Arial"/>
          <w:lang w:val="es-ES_tradnl"/>
        </w:rPr>
        <w:t xml:space="preserve">)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rsidRPr="003E6F28" w:rsidR="00EE41AF" w:rsidP="00EE41AF" w:rsidRDefault="00EE41AF" w14:paraId="1F7CB7EB" w14:textId="77777777">
      <w:pPr>
        <w:spacing w:after="120" w:line="276" w:lineRule="auto"/>
        <w:jc w:val="both"/>
        <w:rPr>
          <w:rFonts w:ascii="Arial" w:hAnsi="Arial" w:eastAsia="Calibri" w:cs="Arial"/>
          <w:lang w:val="es-ES_tradnl"/>
        </w:rPr>
      </w:pPr>
      <w:r w:rsidRPr="003E6F28">
        <w:rPr>
          <w:rFonts w:ascii="Arial" w:hAnsi="Arial" w:eastAsia="Calibri" w:cs="Arial"/>
          <w:lang w:val="es-ES_tradnl"/>
        </w:rPr>
        <w:tab/>
      </w:r>
      <w:r w:rsidRPr="003E6F28">
        <w:rPr>
          <w:rFonts w:ascii="Arial" w:hAnsi="Arial" w:eastAsia="Calibri" w:cs="Arial"/>
          <w:lang w:val="es-ES_tradnl"/>
        </w:rPr>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–artículo</w:t>
      </w:r>
      <w:r w:rsidRPr="003E6F28">
        <w:rPr>
          <w:rFonts w:ascii="Arial" w:hAnsi="Arial" w:eastAsia="Calibri" w:cs="Arial"/>
          <w:b/>
          <w:bCs/>
          <w:lang w:val="es-ES_tradnl"/>
        </w:rPr>
        <w:t xml:space="preserve"> </w:t>
      </w:r>
      <w:r w:rsidRPr="003E6F28">
        <w:rPr>
          <w:rFonts w:ascii="Arial" w:hAnsi="Arial" w:cs="Arial"/>
          <w:shd w:val="clear" w:color="auto" w:fill="FFFFFF"/>
        </w:rPr>
        <w:t xml:space="preserve">2.2.1.2.4.2.14. del Decreto 1082 de 2015 </w:t>
      </w:r>
      <w:r w:rsidRPr="003E6F28">
        <w:rPr>
          <w:rFonts w:ascii="Arial" w:hAnsi="Arial" w:eastAsia="Calibri" w:cs="Arial"/>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rsidRPr="00792422" w:rsidR="00EE41AF" w:rsidP="00EE41AF" w:rsidRDefault="00EE41AF" w14:paraId="0EA869E5" w14:textId="77777777">
      <w:pPr>
        <w:spacing w:line="276" w:lineRule="auto"/>
        <w:jc w:val="both"/>
        <w:rPr>
          <w:rFonts w:ascii="Arial" w:hAnsi="Arial" w:eastAsia="Calibri" w:cs="Arial"/>
          <w:bCs/>
          <w:lang w:val="es-ES_tradnl"/>
        </w:rPr>
      </w:pPr>
      <w:r w:rsidRPr="003E6F28">
        <w:rPr>
          <w:rFonts w:ascii="Arial" w:hAnsi="Arial" w:eastAsia="Calibri" w:cs="Arial"/>
          <w:bCs/>
          <w:lang w:val="es-ES_tradnl"/>
        </w:rPr>
        <w:tab/>
      </w:r>
      <w:r w:rsidRPr="003E6F28">
        <w:rPr>
          <w:rFonts w:ascii="Arial" w:hAnsi="Arial" w:eastAsia="Calibri" w:cs="Arial"/>
          <w:bCs/>
          <w:lang w:val="es-ES_tradnl"/>
        </w:rPr>
        <w:t xml:space="preserve">Dado que una de las condiciones para ser considerada emprendimiento y empresa de mujeres está relacionada con que la persona natural haya ejercido actividades comerciales a través de establecimiento de comercio, es indispensable referirse a qué se entiende por actividad comercial y el desarrollo de la misma a través de un establecimiento de comercio. </w:t>
      </w:r>
    </w:p>
    <w:p w:rsidRPr="003E6F28" w:rsidR="00EE41AF" w:rsidP="00EE41AF" w:rsidRDefault="00EE41AF" w14:paraId="6DF34085" w14:textId="7FAE2742">
      <w:pPr>
        <w:spacing w:after="120" w:line="276" w:lineRule="auto"/>
        <w:ind w:firstLine="708"/>
        <w:jc w:val="both"/>
        <w:rPr>
          <w:rFonts w:ascii="Arial" w:hAnsi="Arial" w:eastAsia="Calibri" w:cs="Arial"/>
          <w:bCs/>
          <w:lang w:val="es-ES_tradnl"/>
        </w:rPr>
      </w:pPr>
      <w:r w:rsidRPr="003E6F28">
        <w:rPr>
          <w:rFonts w:ascii="Arial" w:hAnsi="Arial" w:eastAsia="Calibri"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w:t>
      </w:r>
      <w:r w:rsidR="00032E86">
        <w:rPr>
          <w:rFonts w:ascii="Arial" w:hAnsi="Arial" w:eastAsia="Calibri" w:cs="Arial"/>
          <w:bCs/>
          <w:lang w:val="es-ES_tradnl"/>
        </w:rPr>
        <w:t>“</w:t>
      </w:r>
      <w:r w:rsidRPr="003E6F28">
        <w:rPr>
          <w:rFonts w:ascii="Arial" w:hAnsi="Arial" w:eastAsia="Calibri" w:cs="Arial"/>
          <w:bCs/>
          <w:lang w:val="es-ES_tradnl"/>
        </w:rPr>
        <w:t>acto de comercio</w:t>
      </w:r>
      <w:r w:rsidR="00032E86">
        <w:rPr>
          <w:rFonts w:ascii="Arial" w:hAnsi="Arial" w:eastAsia="Calibri" w:cs="Arial"/>
          <w:bCs/>
          <w:lang w:val="es-ES_tradnl"/>
        </w:rPr>
        <w:t>”</w:t>
      </w:r>
      <w:r w:rsidRPr="003E6F28">
        <w:rPr>
          <w:rFonts w:ascii="Arial" w:hAnsi="Arial" w:eastAsia="Calibri" w:cs="Arial"/>
          <w:bCs/>
          <w:lang w:val="es-ES_tradnl"/>
        </w:rPr>
        <w:t xml:space="preserve">, sin que dicha enumeración sea taxativa en </w:t>
      </w:r>
      <w:r w:rsidRPr="003E6F28">
        <w:rPr>
          <w:rFonts w:ascii="Arial" w:hAnsi="Arial" w:cs="Arial"/>
        </w:rPr>
        <w:t>nuestro sistema jurídico. Así las cosas, no se define estáticamente el acto de comercio, permitiendo mediante la analogía realizar la ampliación dinámica del derecho mercantil facilitando su adaptación a un cambiante mundo de negocios</w:t>
      </w:r>
      <w:r w:rsidRPr="003E6F28">
        <w:rPr>
          <w:rFonts w:ascii="Arial" w:hAnsi="Arial" w:cs="Arial"/>
          <w:vertAlign w:val="superscript"/>
        </w:rPr>
        <w:footnoteReference w:id="16"/>
      </w:r>
      <w:r w:rsidRPr="003E6F28">
        <w:rPr>
          <w:rFonts w:ascii="Arial" w:hAnsi="Arial" w:cs="Arial"/>
        </w:rPr>
        <w:t>.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3E6F28">
        <w:rPr>
          <w:rFonts w:ascii="Arial" w:hAnsi="Arial" w:cs="Arial"/>
          <w:vertAlign w:val="superscript"/>
        </w:rPr>
        <w:footnoteReference w:id="17"/>
      </w:r>
      <w:r w:rsidRPr="003E6F28">
        <w:rPr>
          <w:rFonts w:ascii="Arial" w:hAnsi="Arial" w:cs="Arial"/>
        </w:rPr>
        <w:t xml:space="preserve">. </w:t>
      </w:r>
    </w:p>
    <w:p w:rsidRPr="003E6F28" w:rsidR="00EE41AF" w:rsidP="00EE41AF" w:rsidRDefault="00EE41AF" w14:paraId="27FF0F5A" w14:textId="0F054E00">
      <w:pPr>
        <w:spacing w:after="120" w:line="276" w:lineRule="auto"/>
        <w:ind w:firstLine="708"/>
        <w:jc w:val="both"/>
        <w:rPr>
          <w:rFonts w:ascii="Arial" w:hAnsi="Arial" w:eastAsia="Calibri" w:cs="Arial"/>
          <w:bCs/>
          <w:lang w:val="es-ES_tradnl"/>
        </w:rPr>
      </w:pPr>
      <w:r w:rsidRPr="003E6F28">
        <w:rPr>
          <w:rFonts w:ascii="Arial" w:hAnsi="Arial" w:eastAsia="Calibri" w:cs="Arial"/>
          <w:bCs/>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w:t>
      </w:r>
      <w:r w:rsidR="00032E86">
        <w:rPr>
          <w:rFonts w:ascii="Arial" w:hAnsi="Arial" w:eastAsia="Calibri" w:cs="Arial"/>
          <w:bCs/>
          <w:lang w:val="es-ES_tradnl"/>
        </w:rPr>
        <w:t>“</w:t>
      </w:r>
      <w:r w:rsidRPr="003E6F28">
        <w:rPr>
          <w:rFonts w:ascii="Arial" w:hAnsi="Arial" w:eastAsia="Calibri" w:cs="Arial"/>
          <w:bCs/>
          <w:lang w:val="es-ES_tradnl"/>
        </w:rPr>
        <w:t xml:space="preserve">Se entenderá por empresa toda actividad económica organizada para la producción, transformación, circulación, administración o custodia de bienes, o para la prestación de servicios. </w:t>
      </w:r>
      <w:r w:rsidRPr="003E6F28">
        <w:rPr>
          <w:rFonts w:ascii="Arial" w:hAnsi="Arial" w:eastAsia="Calibri" w:cs="Arial"/>
          <w:bCs/>
          <w:i/>
          <w:iCs/>
          <w:lang w:val="es-ES_tradnl"/>
        </w:rPr>
        <w:t>Dicha actividad se realizará a través de uno o más establecimientos de comercio</w:t>
      </w:r>
      <w:r w:rsidR="00032E86">
        <w:rPr>
          <w:rFonts w:ascii="Arial" w:hAnsi="Arial" w:eastAsia="Calibri" w:cs="Arial"/>
          <w:bCs/>
          <w:lang w:val="es-ES_tradnl"/>
        </w:rPr>
        <w:t>”</w:t>
      </w:r>
      <w:r w:rsidRPr="003E6F28">
        <w:rPr>
          <w:rFonts w:ascii="Arial" w:hAnsi="Arial" w:eastAsia="Calibri" w:cs="Arial"/>
          <w:bCs/>
          <w:lang w:val="es-ES_tradnl"/>
        </w:rPr>
        <w:t xml:space="preserve"> </w:t>
      </w:r>
      <w:r w:rsidRPr="003E6F28">
        <w:rPr>
          <w:rFonts w:ascii="Arial" w:hAnsi="Arial" w:cs="Arial"/>
          <w:lang w:eastAsia="es-CO"/>
        </w:rPr>
        <w:t>(Énfasis fuera de texto)</w:t>
      </w:r>
      <w:r w:rsidRPr="003E6F28">
        <w:rPr>
          <w:rFonts w:ascii="Arial" w:hAnsi="Arial" w:eastAsia="Calibri" w:cs="Arial"/>
          <w:bCs/>
          <w:lang w:val="es-ES_tradnl"/>
        </w:rPr>
        <w:t xml:space="preserve">. </w:t>
      </w:r>
      <w:r w:rsidRPr="003E6F28">
        <w:rPr>
          <w:rFonts w:ascii="Arial" w:hAnsi="Arial" w:cs="Arial"/>
        </w:rPr>
        <w:t>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3E6F28">
        <w:rPr>
          <w:rFonts w:ascii="Arial" w:hAnsi="Arial" w:eastAsia="Calibri" w:cs="Arial"/>
          <w:bCs/>
          <w:vertAlign w:val="superscript"/>
          <w:lang w:val="es-ES_tradnl"/>
        </w:rPr>
        <w:footnoteReference w:id="18"/>
      </w:r>
      <w:r w:rsidRPr="003E6F28">
        <w:rPr>
          <w:rFonts w:ascii="Arial" w:hAnsi="Arial" w:eastAsia="Calibri" w:cs="Arial"/>
          <w:bCs/>
          <w:lang w:val="es-ES_tradnl"/>
        </w:rPr>
        <w:t xml:space="preserve">. </w:t>
      </w:r>
    </w:p>
    <w:p w:rsidRPr="003E6F28" w:rsidR="00EE41AF" w:rsidP="00EE41AF" w:rsidRDefault="00EE41AF" w14:paraId="7EFCABDC" w14:textId="0C10FA6C">
      <w:pPr>
        <w:spacing w:after="120" w:line="276" w:lineRule="auto"/>
        <w:ind w:firstLine="708"/>
        <w:jc w:val="both"/>
        <w:rPr>
          <w:rFonts w:ascii="Arial" w:hAnsi="Arial" w:eastAsia="Calibri" w:cs="Arial"/>
          <w:bCs/>
          <w:lang w:val="es-ES_tradnl"/>
        </w:rPr>
      </w:pPr>
      <w:r w:rsidRPr="003E6F28">
        <w:rPr>
          <w:rFonts w:ascii="Arial" w:hAnsi="Arial" w:eastAsia="Calibri" w:cs="Arial"/>
          <w:bCs/>
          <w:lang w:val="es-ES_tradnl"/>
        </w:rPr>
        <w:t xml:space="preserve">Ahora bien, frente al requisito del registro mercantil, el artículo del Código de Comercio dispone que </w:t>
      </w:r>
      <w:r w:rsidR="00032E86">
        <w:rPr>
          <w:rFonts w:ascii="Arial" w:hAnsi="Arial" w:eastAsia="Calibri" w:cs="Arial"/>
          <w:bCs/>
          <w:lang w:val="es-ES_tradnl"/>
        </w:rPr>
        <w:t>“</w:t>
      </w:r>
      <w:r w:rsidRPr="003E6F28">
        <w:rPr>
          <w:rFonts w:ascii="Arial" w:hAnsi="Arial" w:eastAsia="Calibri" w:cs="Arial"/>
          <w:bCs/>
          <w:lang w:val="es-ES_tradnl"/>
        </w:rPr>
        <w:t>el registro mercantil tendrá por objeto llevar la matrícula de los comerciantes y de los establecimientos de comercio, así como la inscripción de todos los actos, libros y documentos respecto de los cuales la ley exigiere esa formalidad</w:t>
      </w:r>
      <w:r w:rsidR="00032E86">
        <w:rPr>
          <w:rFonts w:ascii="Arial" w:hAnsi="Arial" w:eastAsia="Calibri" w:cs="Arial"/>
          <w:bCs/>
          <w:lang w:val="es-ES_tradnl"/>
        </w:rPr>
        <w:t>”</w:t>
      </w:r>
      <w:r w:rsidRPr="003E6F28">
        <w:rPr>
          <w:rFonts w:ascii="Arial" w:hAnsi="Arial" w:eastAsia="Calibri" w:cs="Arial"/>
          <w:bCs/>
          <w:lang w:val="es-ES_tradnl"/>
        </w:rPr>
        <w:t xml:space="preserve">. Asimismo, los numerales 6 y 33 del artículo 28 </w:t>
      </w:r>
      <w:r w:rsidRPr="003E6F28">
        <w:rPr>
          <w:rFonts w:ascii="Arial" w:hAnsi="Arial" w:eastAsia="Calibri" w:cs="Arial"/>
          <w:bCs/>
          <w:i/>
          <w:iCs/>
          <w:lang w:val="es-ES_tradnl"/>
        </w:rPr>
        <w:t>ibidem</w:t>
      </w:r>
      <w:r w:rsidRPr="003E6F28">
        <w:rPr>
          <w:rFonts w:ascii="Arial" w:hAnsi="Arial" w:eastAsia="Calibri" w:cs="Arial"/>
          <w:bCs/>
          <w:lang w:val="es-ES_tradnl"/>
        </w:rPr>
        <w:t xml:space="preserve"> señalan que cuando </w:t>
      </w:r>
      <w:r w:rsidRPr="003E6F28">
        <w:rPr>
          <w:rFonts w:ascii="Arial" w:hAnsi="Arial" w:cs="Aria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rsidRPr="003E6F28" w:rsidR="00EE41AF" w:rsidP="00EE41AF" w:rsidRDefault="00EE41AF" w14:paraId="3E5A11A8" w14:textId="77777777">
      <w:pPr>
        <w:spacing w:after="120" w:line="276" w:lineRule="auto"/>
        <w:ind w:firstLine="709"/>
        <w:jc w:val="both"/>
        <w:rPr>
          <w:rFonts w:ascii="Arial" w:hAnsi="Arial" w:cs="Arial"/>
        </w:rPr>
      </w:pPr>
      <w:bookmarkStart w:name="_Hlk112034643" w:id="9"/>
      <w:bookmarkStart w:name="_Hlk112310294" w:id="10"/>
      <w:r w:rsidRPr="003E6F28">
        <w:rPr>
          <w:rFonts w:ascii="Arial" w:hAnsi="Arial" w:cs="Arial"/>
        </w:rPr>
        <w:t>De est</w:t>
      </w:r>
      <w:r w:rsidRPr="003D54D0">
        <w:rPr>
          <w:rFonts w:ascii="Arial" w:hAnsi="Arial" w:cs="Arial"/>
        </w:rPr>
        <w:t xml:space="preserve">a manera, se concluye que el numeral tercero del </w:t>
      </w:r>
      <w:r w:rsidRPr="003D54D0">
        <w:rPr>
          <w:rFonts w:ascii="Arial" w:hAnsi="Arial" w:eastAsia="Calibri" w:cs="Arial"/>
          <w:lang w:val="es-ES_tradnl"/>
        </w:rPr>
        <w:t>artículo</w:t>
      </w:r>
      <w:r w:rsidRPr="003D54D0">
        <w:rPr>
          <w:rFonts w:ascii="Arial" w:hAnsi="Arial" w:eastAsia="Calibri" w:cs="Arial"/>
          <w:b/>
          <w:bCs/>
          <w:lang w:val="es-ES_tradnl"/>
        </w:rPr>
        <w:t xml:space="preserve"> </w:t>
      </w:r>
      <w:r w:rsidRPr="003D54D0">
        <w:rPr>
          <w:rFonts w:ascii="Arial" w:hAnsi="Arial" w:cs="Arial"/>
          <w:shd w:val="clear" w:color="auto" w:fill="FFFFFF"/>
        </w:rPr>
        <w:t>2.2.1.2.4.2.14</w:t>
      </w:r>
      <w:r w:rsidRPr="003D54D0">
        <w:rPr>
          <w:rFonts w:ascii="Arial" w:hAnsi="Arial" w:cs="Arial"/>
          <w:b/>
          <w:bCs/>
          <w:shd w:val="clear" w:color="auto" w:fill="FFFFFF"/>
        </w:rPr>
        <w:t xml:space="preserve"> </w:t>
      </w:r>
      <w:r w:rsidRPr="003D54D0">
        <w:rPr>
          <w:rFonts w:ascii="Arial" w:hAnsi="Arial" w:cs="Arial"/>
          <w:shd w:val="clear" w:color="auto" w:fill="FFFFFF"/>
        </w:rPr>
        <w:t xml:space="preserve">del Decreto 1082 de 2015 </w:t>
      </w:r>
      <w:r w:rsidRPr="003E6F28">
        <w:rPr>
          <w:rFonts w:ascii="Arial" w:hAnsi="Arial" w:eastAsia="Calibri" w:cs="Arial"/>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3E6F28">
        <w:rPr>
          <w:rFonts w:ascii="Arial" w:hAnsi="Arial" w:cs="Arial"/>
        </w:rPr>
        <w:t xml:space="preserve">Así las cosas, </w:t>
      </w:r>
      <w:r w:rsidRPr="003E6F28">
        <w:rPr>
          <w:rFonts w:ascii="Arial" w:hAnsi="Arial" w:eastAsia="Calibri" w:cs="Arial"/>
          <w:bCs/>
          <w:lang w:val="es-ES_tradnl"/>
        </w:rPr>
        <w:t>es necesario que la persona natural que realiza actividades de comercio a través de un establecimiento acredite dicho registro de acuerdo con lo dispuesto por la ley comercial.</w:t>
      </w:r>
    </w:p>
    <w:p w:rsidRPr="0051214E" w:rsidR="00EE41AF" w:rsidP="00EE41AF" w:rsidRDefault="00EE41AF" w14:paraId="206421E4" w14:textId="77777777">
      <w:pPr>
        <w:spacing w:before="120" w:after="120" w:line="276" w:lineRule="auto"/>
        <w:ind w:firstLine="709"/>
        <w:jc w:val="both"/>
        <w:rPr>
          <w:rFonts w:ascii="Arial" w:hAnsi="Arial" w:eastAsia="Calibri" w:cs="Arial"/>
          <w:bCs/>
        </w:rPr>
      </w:pPr>
      <w:bookmarkStart w:name="_Hlk106013026" w:id="11"/>
      <w:bookmarkEnd w:id="9"/>
      <w:r w:rsidRPr="003E6F28">
        <w:rPr>
          <w:rFonts w:ascii="Arial" w:hAnsi="Arial" w:eastAsia="Calibri" w:cs="Arial"/>
          <w:bCs/>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3E6F28">
        <w:rPr>
          <w:rFonts w:ascii="Arial" w:hAnsi="Arial" w:eastAsia="Calibri" w:cs="Arial"/>
          <w:bCs/>
          <w:lang w:val="es-ES_tradnl"/>
        </w:rPr>
        <w:t xml:space="preserve">artículo </w:t>
      </w:r>
      <w:r w:rsidRPr="003E6F28">
        <w:rPr>
          <w:rFonts w:ascii="Arial" w:hAnsi="Arial" w:cs="Arial"/>
          <w:lang w:val="es-ES" w:eastAsia="es-CO"/>
        </w:rPr>
        <w:t xml:space="preserve">2.2.1.2.4.2.14 </w:t>
      </w:r>
      <w:r w:rsidRPr="003E6F28">
        <w:rPr>
          <w:rFonts w:ascii="Arial" w:hAnsi="Arial" w:eastAsia="Calibri" w:cs="Arial"/>
          <w:bCs/>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w:t>
      </w:r>
      <w:r w:rsidRPr="003E6F28">
        <w:rPr>
          <w:rFonts w:ascii="Arial" w:hAnsi="Arial" w:eastAsia="Calibri" w:cs="Arial"/>
          <w:lang w:val="es-ES_tradnl"/>
        </w:rPr>
        <w:t>adjuntando copia de la cédula de ciudadanía, cédula de extranjería o pasaporte y copia del registro mercantil</w:t>
      </w:r>
      <w:r w:rsidRPr="003E6F28">
        <w:rPr>
          <w:rFonts w:ascii="Arial" w:hAnsi="Arial" w:cs="Arial"/>
        </w:rPr>
        <w:t xml:space="preserve">. </w:t>
      </w:r>
      <w:bookmarkStart w:name="_Hlk108537388" w:id="12"/>
      <w:bookmarkEnd w:id="10"/>
      <w:bookmarkEnd w:id="11"/>
    </w:p>
    <w:p w:rsidRPr="00362B16" w:rsidR="00EE41AF" w:rsidP="00EE41AF" w:rsidRDefault="00EE41AF" w14:paraId="3C74E2B9" w14:textId="0F1066A5">
      <w:pPr>
        <w:spacing w:before="120" w:after="120" w:line="276" w:lineRule="auto"/>
        <w:ind w:firstLine="709"/>
        <w:jc w:val="both"/>
        <w:rPr>
          <w:rFonts w:ascii="Arial" w:hAnsi="Arial" w:eastAsia="Calibri" w:cs="Arial"/>
          <w:bCs/>
          <w:color w:val="000000"/>
          <w:lang w:val="es-ES_tradnl"/>
        </w:rPr>
      </w:pPr>
      <w:r w:rsidRPr="00362B16">
        <w:rPr>
          <w:rFonts w:ascii="Arial" w:hAnsi="Arial" w:eastAsia="Calibri" w:cs="Arial"/>
          <w:bCs/>
          <w:color w:val="000000"/>
          <w:lang w:val="es-ES_tradnl"/>
        </w:rPr>
        <w:t xml:space="preserve">Debe agregarse a las consideraciones sobre la regulación de los criterios diferenciales a favor de las empresas y los emprendimientos de mujeres que el cuarto inciso del artículo 2.2.1.2.4.2.15. del Decreto 1082 de 2015, adicionado por el artículo 3 del Decreto 1860 de 2021, establece que </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 xml:space="preserve">.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 </w:t>
      </w:r>
    </w:p>
    <w:bookmarkEnd w:id="12"/>
    <w:p w:rsidR="00EE41AF" w:rsidP="00EE41AF" w:rsidRDefault="00EE41AF" w14:paraId="6B2AA434" w14:textId="23E6B0CA">
      <w:pPr>
        <w:spacing w:after="120" w:line="276" w:lineRule="auto"/>
        <w:ind w:firstLine="708"/>
        <w:jc w:val="both"/>
        <w:rPr>
          <w:rFonts w:ascii="Arial" w:hAnsi="Arial" w:eastAsia="Times New Roman" w:cs="Arial"/>
          <w:lang w:eastAsia="es-CO"/>
        </w:rPr>
      </w:pPr>
      <w:r w:rsidRPr="00071557">
        <w:rPr>
          <w:rFonts w:ascii="Arial" w:hAnsi="Arial" w:eastAsia="Times New Roman" w:cs="Arial"/>
          <w:lang w:eastAsia="es-CO"/>
        </w:rPr>
        <w:t>Finalmente, debe agregarse que el artículo 2.2.1.2.4.2.15 del Decreto 1082 de 2015</w:t>
      </w:r>
      <w:r w:rsidRPr="00071557">
        <w:rPr>
          <w:rFonts w:ascii="Arial" w:hAnsi="Arial" w:eastAsia="Times New Roman" w:cs="Arial"/>
          <w:vertAlign w:val="superscript"/>
          <w:lang w:eastAsia="es-CO"/>
        </w:rPr>
        <w:footnoteReference w:id="19"/>
      </w:r>
      <w:r w:rsidRPr="00071557">
        <w:rPr>
          <w:rFonts w:ascii="Arial" w:hAnsi="Arial" w:eastAsia="Times New Roman" w:cs="Arial"/>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w:t>
      </w:r>
      <w:r>
        <w:rPr>
          <w:rFonts w:ascii="Arial" w:hAnsi="Arial" w:eastAsia="Times New Roman" w:cs="Arial"/>
          <w:lang w:eastAsia="es-CO"/>
        </w:rPr>
        <w:t>o</w:t>
      </w:r>
      <w:r w:rsidRPr="00071557">
        <w:rPr>
          <w:rFonts w:ascii="Arial" w:hAnsi="Arial" w:eastAsia="Times New Roman" w:cs="Arial"/>
          <w:lang w:eastAsia="es-CO"/>
        </w:rPr>
        <w:t xml:space="preserve"> de los criterios del artículo 2.2.1.2.4.2.14. Del mismo modo, el artículo 2.2.1.2.4.2.15 también regula un puntaje adicional</w:t>
      </w:r>
      <w:r w:rsidRPr="00071557">
        <w:rPr>
          <w:rFonts w:ascii="Times New Roman" w:hAnsi="Times New Roman" w:eastAsia="Times New Roman" w:cs="Times New Roman"/>
          <w:lang w:eastAsia="es-ES_tradnl"/>
        </w:rPr>
        <w:t xml:space="preserve"> </w:t>
      </w:r>
      <w:r w:rsidRPr="00071557">
        <w:rPr>
          <w:rFonts w:ascii="Arial" w:hAnsi="Arial" w:eastAsia="Times New Roman"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w:t>
      </w:r>
      <w:r>
        <w:rPr>
          <w:rFonts w:ascii="Arial" w:hAnsi="Arial" w:eastAsia="Times New Roman" w:cs="Arial"/>
          <w:lang w:eastAsia="es-CO"/>
        </w:rPr>
        <w:t>,</w:t>
      </w:r>
      <w:r w:rsidRPr="00071557">
        <w:rPr>
          <w:rFonts w:ascii="Arial" w:hAnsi="Arial" w:eastAsia="Times New Roman" w:cs="Arial"/>
          <w:lang w:eastAsia="es-CO"/>
        </w:rPr>
        <w:t xml:space="preserve"> las condiciones para que esta sea catalogada como acreedora de un emprendimiento o empresa de mujeres, bajo el entendido en que </w:t>
      </w:r>
      <w:r w:rsidR="00032E86">
        <w:rPr>
          <w:rFonts w:ascii="Arial" w:hAnsi="Arial" w:eastAsia="Times New Roman" w:cs="Arial"/>
          <w:lang w:eastAsia="es-CO"/>
        </w:rPr>
        <w:t>“</w:t>
      </w:r>
      <w:r w:rsidRPr="00071557">
        <w:rPr>
          <w:rFonts w:ascii="Arial" w:hAnsi="Arial" w:eastAsia="Times New Roman" w:cs="Arial"/>
          <w:lang w:eastAsia="es-CO"/>
        </w:rPr>
        <w:t>sea una mujer y haya ejercido actividades comerciales a través de un establecimiento de comercio durante al menos el último año anterior a la fecha de cierre del proceso de selección</w:t>
      </w:r>
      <w:r w:rsidR="00032E86">
        <w:rPr>
          <w:rFonts w:ascii="Arial" w:hAnsi="Arial" w:eastAsia="Calibri" w:cs="Arial"/>
        </w:rPr>
        <w:t>”</w:t>
      </w:r>
      <w:r w:rsidRPr="00071557">
        <w:rPr>
          <w:rFonts w:ascii="Arial" w:hAnsi="Arial" w:eastAsia="Calibri" w:cs="Arial"/>
        </w:rPr>
        <w:t xml:space="preserve"> y acreditando esta circunstancia </w:t>
      </w:r>
      <w:r w:rsidR="00032E86">
        <w:rPr>
          <w:rFonts w:ascii="Arial" w:hAnsi="Arial" w:eastAsia="Times New Roman" w:cs="Arial"/>
          <w:lang w:eastAsia="es-CO"/>
        </w:rPr>
        <w:t>“</w:t>
      </w:r>
      <w:r w:rsidRPr="00071557">
        <w:rPr>
          <w:rFonts w:ascii="Arial" w:hAnsi="Arial" w:eastAsia="Times New Roman" w:cs="Arial"/>
          <w:lang w:eastAsia="es-CO"/>
        </w:rPr>
        <w:t>mediante la copia de cédula de ciudadanía, la cédula de extranjería o el pasaporte, así como la copia del registro mercantil</w:t>
      </w:r>
      <w:r w:rsidR="00032E86">
        <w:rPr>
          <w:rFonts w:ascii="Arial" w:hAnsi="Arial" w:eastAsia="Times New Roman" w:cs="Arial"/>
          <w:lang w:eastAsia="es-CO"/>
        </w:rPr>
        <w:t>”</w:t>
      </w:r>
      <w:r w:rsidRPr="00071557">
        <w:rPr>
          <w:rFonts w:ascii="Arial" w:hAnsi="Arial" w:eastAsia="Times New Roman" w:cs="Arial"/>
          <w:lang w:eastAsia="es-CO"/>
        </w:rPr>
        <w:t>. Los demás numerales del mencionado artículo corresponden a la acreditación de circunstancias que</w:t>
      </w:r>
      <w:r>
        <w:rPr>
          <w:rFonts w:ascii="Arial" w:hAnsi="Arial" w:eastAsia="Times New Roman" w:cs="Arial"/>
          <w:lang w:eastAsia="es-CO"/>
        </w:rPr>
        <w:t>,</w:t>
      </w:r>
      <w:r w:rsidRPr="00071557">
        <w:rPr>
          <w:rFonts w:ascii="Arial" w:hAnsi="Arial" w:eastAsia="Times New Roman" w:cs="Arial"/>
          <w:lang w:eastAsia="es-CO"/>
        </w:rPr>
        <w:t xml:space="preserve"> por sus particularidades jurídicas, deben acreditar exclusivamente las personas jurídicas, sociedades o asociaciones y cooperativas.</w:t>
      </w:r>
      <w:r w:rsidRPr="00362B16">
        <w:rPr>
          <w:rFonts w:ascii="Arial" w:hAnsi="Arial" w:eastAsia="Times New Roman" w:cs="Arial"/>
          <w:lang w:eastAsia="es-CO"/>
        </w:rPr>
        <w:t xml:space="preserve"> </w:t>
      </w:r>
    </w:p>
    <w:p w:rsidR="00EE41AF" w:rsidP="007B48AC" w:rsidRDefault="00EE41AF" w14:paraId="5DEA464A" w14:textId="4CFA61A8">
      <w:pPr>
        <w:spacing w:after="0" w:line="276" w:lineRule="auto"/>
        <w:ind w:firstLine="709"/>
        <w:jc w:val="both"/>
        <w:rPr>
          <w:rFonts w:ascii="Arial" w:hAnsi="Arial" w:eastAsia="Times New Roman" w:cs="Arial"/>
          <w:lang w:eastAsia="es-CO"/>
        </w:rPr>
      </w:pPr>
      <w:r>
        <w:rPr>
          <w:rFonts w:ascii="Arial" w:hAnsi="Arial" w:eastAsia="Times New Roman" w:cs="Arial"/>
          <w:lang w:eastAsia="es-CO"/>
        </w:rPr>
        <w:t>Conforme lo expuesto, el artículo citado</w:t>
      </w:r>
      <w:r w:rsidRPr="003E6F28">
        <w:rPr>
          <w:rFonts w:ascii="Arial" w:hAnsi="Arial" w:eastAsia="Calibri" w:cs="Arial"/>
          <w:lang w:val="es-ES_tradnl"/>
        </w:rPr>
        <w:t xml:space="preserve">, 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w:t>
      </w:r>
      <w:r>
        <w:rPr>
          <w:rFonts w:ascii="Arial" w:hAnsi="Arial" w:eastAsia="Calibri" w:cs="Arial"/>
          <w:lang w:val="es-ES_tradnl"/>
        </w:rPr>
        <w:t xml:space="preserve">Nótese que la disposición estudiada señala de forma taxativa los requisitos que se exigen cuando se trata de persona natural y cuando se trata de persona jurídica, pero no se dice que uno de los numerales sea extensivo frente a otros supuestos. </w:t>
      </w:r>
      <w:r w:rsidRPr="00362B16">
        <w:rPr>
          <w:rFonts w:ascii="Arial" w:hAnsi="Arial" w:eastAsia="Times New Roman" w:cs="Arial"/>
          <w:lang w:eastAsia="es-CO"/>
        </w:rPr>
        <w:t xml:space="preserve">Por lo tanto, la presente interpretación además se impone en virtud de aquella regla según la cual </w:t>
      </w:r>
      <w:r w:rsidRPr="00AF72BC" w:rsidR="00D372AB">
        <w:rPr>
          <w:rFonts w:ascii="Arial" w:hAnsi="Arial" w:eastAsia="Times New Roman" w:cs="Arial"/>
          <w:i/>
          <w:iCs/>
          <w:lang w:eastAsia="es-CO"/>
        </w:rPr>
        <w:t>“</w:t>
      </w:r>
      <w:r w:rsidRPr="00AF72BC">
        <w:rPr>
          <w:rFonts w:ascii="Arial" w:hAnsi="Arial" w:eastAsia="Times New Roman" w:cs="Arial"/>
          <w:i/>
          <w:lang w:eastAsia="es-CO"/>
        </w:rPr>
        <w:t>cuando el sentido de la ley sea claro, no se desatenderá su tenor literal a pretexto de consultar su espíritu</w:t>
      </w:r>
      <w:r w:rsidRPr="00AF72BC" w:rsidR="00D372AB">
        <w:rPr>
          <w:rFonts w:ascii="Arial" w:hAnsi="Arial" w:eastAsia="Times New Roman" w:cs="Arial"/>
          <w:i/>
          <w:iCs/>
          <w:lang w:eastAsia="es-CO"/>
        </w:rPr>
        <w:t>”</w:t>
      </w:r>
      <w:r w:rsidRPr="00362B16">
        <w:rPr>
          <w:rFonts w:ascii="Arial" w:hAnsi="Arial" w:eastAsia="Times New Roman" w:cs="Arial"/>
          <w:vertAlign w:val="superscript"/>
          <w:lang w:eastAsia="es-CO"/>
        </w:rPr>
        <w:footnoteReference w:id="20"/>
      </w:r>
      <w:r w:rsidRPr="00362B16">
        <w:rPr>
          <w:rFonts w:ascii="Arial" w:hAnsi="Arial" w:eastAsia="Times New Roman" w:cs="Arial"/>
          <w:lang w:eastAsia="es-CO"/>
        </w:rPr>
        <w:t xml:space="preserve">. </w:t>
      </w:r>
    </w:p>
    <w:p w:rsidR="00EE41AF" w:rsidP="00EE41AF" w:rsidRDefault="00EE41AF" w14:paraId="70EB04E8" w14:textId="77777777">
      <w:pPr>
        <w:spacing w:after="0" w:line="276" w:lineRule="auto"/>
        <w:jc w:val="both"/>
        <w:rPr>
          <w:rFonts w:ascii="Arial" w:hAnsi="Arial" w:eastAsia="Times New Roman" w:cs="Arial"/>
          <w:lang w:eastAsia="es-CO"/>
        </w:rPr>
      </w:pPr>
    </w:p>
    <w:p w:rsidR="00EE41AF" w:rsidP="00EE41AF" w:rsidRDefault="00EE41AF" w14:paraId="0328241B" w14:textId="41926E36">
      <w:pPr>
        <w:spacing w:after="0" w:line="276" w:lineRule="auto"/>
        <w:jc w:val="both"/>
        <w:rPr>
          <w:rFonts w:ascii="Arial" w:hAnsi="Arial" w:eastAsia="Times New Roman" w:cs="Arial"/>
          <w:b/>
          <w:bCs/>
          <w:lang w:eastAsia="es-CO"/>
        </w:rPr>
      </w:pPr>
      <w:r w:rsidRPr="1E15A5CB">
        <w:rPr>
          <w:rFonts w:ascii="Arial" w:hAnsi="Arial" w:eastAsia="Times New Roman" w:cs="Arial"/>
          <w:b/>
          <w:bCs/>
          <w:lang w:eastAsia="es-CO"/>
        </w:rPr>
        <w:t xml:space="preserve">2.3. </w:t>
      </w:r>
      <w:r w:rsidRPr="1E15A5CB" w:rsidR="00596F37">
        <w:rPr>
          <w:rFonts w:ascii="Arial" w:hAnsi="Arial" w:eastAsia="Times New Roman" w:cs="Arial"/>
          <w:b/>
          <w:bCs/>
          <w:lang w:eastAsia="es-CO"/>
        </w:rPr>
        <w:t xml:space="preserve">La identidad de </w:t>
      </w:r>
      <w:r w:rsidRPr="1E15A5CB" w:rsidR="031333F1">
        <w:rPr>
          <w:rFonts w:ascii="Arial" w:hAnsi="Arial" w:eastAsia="Times New Roman" w:cs="Arial"/>
          <w:b/>
          <w:bCs/>
          <w:lang w:eastAsia="es-CO"/>
        </w:rPr>
        <w:t>género</w:t>
      </w:r>
      <w:r w:rsidRPr="1E15A5CB" w:rsidR="00596F37">
        <w:rPr>
          <w:rFonts w:ascii="Arial" w:hAnsi="Arial" w:eastAsia="Times New Roman" w:cs="Arial"/>
          <w:b/>
          <w:bCs/>
          <w:lang w:eastAsia="es-CO"/>
        </w:rPr>
        <w:t xml:space="preserve"> como derecho fundamental y su relación con </w:t>
      </w:r>
      <w:r w:rsidRPr="1E15A5CB" w:rsidR="00415897">
        <w:rPr>
          <w:rFonts w:ascii="Arial" w:hAnsi="Arial" w:eastAsia="Times New Roman" w:cs="Arial"/>
          <w:b/>
          <w:bCs/>
          <w:lang w:eastAsia="es-CO"/>
        </w:rPr>
        <w:t>la</w:t>
      </w:r>
      <w:r w:rsidRPr="1E15A5CB" w:rsidR="00D17DFE">
        <w:rPr>
          <w:rFonts w:ascii="Arial" w:hAnsi="Arial" w:eastAsia="Times New Roman" w:cs="Arial"/>
          <w:b/>
          <w:bCs/>
          <w:lang w:eastAsia="es-CO"/>
        </w:rPr>
        <w:t>s definiciones</w:t>
      </w:r>
      <w:r w:rsidRPr="1E15A5CB" w:rsidR="00415897">
        <w:rPr>
          <w:rFonts w:ascii="Arial" w:hAnsi="Arial" w:eastAsia="Times New Roman" w:cs="Arial"/>
          <w:b/>
          <w:bCs/>
          <w:lang w:eastAsia="es-CO"/>
        </w:rPr>
        <w:t xml:space="preserve"> </w:t>
      </w:r>
      <w:r w:rsidRPr="1E15A5CB" w:rsidR="00DB70D0">
        <w:rPr>
          <w:rFonts w:ascii="Arial" w:hAnsi="Arial" w:eastAsia="Times New Roman" w:cs="Arial"/>
          <w:b/>
          <w:bCs/>
          <w:lang w:eastAsia="es-CO"/>
        </w:rPr>
        <w:t>de emprendimientos</w:t>
      </w:r>
      <w:r w:rsidRPr="1E15A5CB" w:rsidR="00415897">
        <w:rPr>
          <w:rFonts w:ascii="Arial" w:hAnsi="Arial" w:eastAsia="Times New Roman" w:cs="Arial"/>
          <w:b/>
          <w:bCs/>
          <w:lang w:eastAsia="es-CO"/>
        </w:rPr>
        <w:t xml:space="preserve"> y empresas de mujeres establecida</w:t>
      </w:r>
      <w:r w:rsidRPr="1E15A5CB" w:rsidR="00D17DFE">
        <w:rPr>
          <w:rFonts w:ascii="Arial" w:hAnsi="Arial" w:eastAsia="Times New Roman" w:cs="Arial"/>
          <w:b/>
          <w:bCs/>
          <w:lang w:eastAsia="es-CO"/>
        </w:rPr>
        <w:t>s</w:t>
      </w:r>
      <w:r w:rsidRPr="1E15A5CB" w:rsidR="00415897">
        <w:rPr>
          <w:rFonts w:ascii="Arial" w:hAnsi="Arial" w:eastAsia="Times New Roman" w:cs="Arial"/>
          <w:b/>
          <w:bCs/>
          <w:lang w:eastAsia="es-CO"/>
        </w:rPr>
        <w:t xml:space="preserve"> por el Decreto 1860 de 2021</w:t>
      </w:r>
      <w:r w:rsidRPr="1E15A5CB" w:rsidR="00673FD3">
        <w:rPr>
          <w:rFonts w:ascii="Arial" w:hAnsi="Arial" w:eastAsia="Times New Roman" w:cs="Arial"/>
          <w:b/>
          <w:bCs/>
          <w:lang w:eastAsia="es-CO"/>
        </w:rPr>
        <w:t xml:space="preserve"> </w:t>
      </w:r>
    </w:p>
    <w:p w:rsidR="00EE41AF" w:rsidP="00EE41AF" w:rsidRDefault="00EE41AF" w14:paraId="35FDE1F9" w14:textId="77777777">
      <w:pPr>
        <w:spacing w:after="0" w:line="276" w:lineRule="auto"/>
        <w:jc w:val="both"/>
        <w:rPr>
          <w:rFonts w:ascii="Arial" w:hAnsi="Arial" w:eastAsia="Times New Roman" w:cs="Arial"/>
          <w:b/>
          <w:bCs/>
          <w:lang w:eastAsia="es-CO"/>
        </w:rPr>
      </w:pPr>
    </w:p>
    <w:p w:rsidRPr="002E1305" w:rsidR="00EE41AF" w:rsidP="00EE41AF" w:rsidRDefault="00EE41AF" w14:paraId="67D2CFD8" w14:textId="2D76AAA8">
      <w:pPr>
        <w:spacing w:after="120" w:line="276" w:lineRule="auto"/>
        <w:jc w:val="both"/>
        <w:rPr>
          <w:rFonts w:ascii="Arial" w:hAnsi="Arial" w:cs="Arial"/>
          <w:lang w:val="es-ES"/>
        </w:rPr>
      </w:pPr>
      <w:r w:rsidRPr="002E1305">
        <w:rPr>
          <w:rFonts w:ascii="Arial" w:hAnsi="Arial" w:cs="Arial"/>
          <w:lang w:val="es-ES"/>
        </w:rPr>
        <w:t xml:space="preserve">La </w:t>
      </w:r>
      <w:r w:rsidRPr="00AF72BC">
        <w:rPr>
          <w:rFonts w:ascii="Arial" w:hAnsi="Arial" w:cs="Arial"/>
          <w:i/>
          <w:lang w:val="es-ES"/>
        </w:rPr>
        <w:t>identidad de género</w:t>
      </w:r>
      <w:r w:rsidRPr="002E1305">
        <w:rPr>
          <w:rFonts w:ascii="Arial" w:hAnsi="Arial" w:cs="Arial"/>
          <w:lang w:val="es-ES"/>
        </w:rPr>
        <w:t xml:space="preserve"> </w:t>
      </w:r>
      <w:r w:rsidR="008D658E">
        <w:rPr>
          <w:rFonts w:ascii="Arial" w:hAnsi="Arial" w:cs="Arial"/>
          <w:lang w:val="es-ES"/>
        </w:rPr>
        <w:t xml:space="preserve">es </w:t>
      </w:r>
      <w:r w:rsidRPr="002E1305">
        <w:rPr>
          <w:rFonts w:ascii="Arial" w:hAnsi="Arial" w:cs="Arial"/>
          <w:lang w:val="es-ES"/>
        </w:rPr>
        <w:t xml:space="preserve">un derecho que si bien no cuenta con una estipulación expresa dentro de la Constitución Política de 1991, ha </w:t>
      </w:r>
      <w:r w:rsidR="008D658E">
        <w:rPr>
          <w:rFonts w:ascii="Arial" w:hAnsi="Arial" w:cs="Arial"/>
          <w:lang w:val="es-ES"/>
        </w:rPr>
        <w:t>si objeto de un desarrollo jurisprudencial</w:t>
      </w:r>
      <w:r w:rsidRPr="002E1305" w:rsidR="008D658E">
        <w:rPr>
          <w:rFonts w:ascii="Arial" w:hAnsi="Arial" w:cs="Arial"/>
          <w:lang w:val="es-ES"/>
        </w:rPr>
        <w:t xml:space="preserve"> </w:t>
      </w:r>
      <w:r w:rsidRPr="002E1305">
        <w:rPr>
          <w:rFonts w:ascii="Arial" w:hAnsi="Arial" w:cs="Arial"/>
          <w:lang w:val="es-ES"/>
        </w:rPr>
        <w:t>bastante significativo</w:t>
      </w:r>
      <w:r w:rsidR="004D7CAA">
        <w:rPr>
          <w:rFonts w:ascii="Arial" w:hAnsi="Arial" w:cs="Arial"/>
          <w:lang w:val="es-ES"/>
        </w:rPr>
        <w:t xml:space="preserve"> </w:t>
      </w:r>
      <w:r w:rsidR="00673FD3">
        <w:rPr>
          <w:rFonts w:ascii="Arial" w:hAnsi="Arial" w:cs="Arial"/>
          <w:lang w:val="es-ES"/>
        </w:rPr>
        <w:t xml:space="preserve">hoy es considerada </w:t>
      </w:r>
      <w:r w:rsidRPr="002E1305">
        <w:rPr>
          <w:rFonts w:ascii="Arial" w:hAnsi="Arial" w:cs="Arial"/>
          <w:lang w:val="es-ES"/>
        </w:rPr>
        <w:t>como un derecho de carácter fundamental</w:t>
      </w:r>
      <w:r>
        <w:rPr>
          <w:rFonts w:ascii="Arial" w:hAnsi="Arial" w:cs="Arial"/>
          <w:lang w:val="es-ES"/>
        </w:rPr>
        <w:t>.</w:t>
      </w:r>
      <w:r w:rsidRPr="002E1305">
        <w:rPr>
          <w:rFonts w:ascii="Arial" w:hAnsi="Arial" w:cs="Arial"/>
          <w:lang w:val="es-ES"/>
        </w:rPr>
        <w:t xml:space="preserve"> </w:t>
      </w:r>
      <w:r w:rsidR="00CB014E">
        <w:rPr>
          <w:rFonts w:ascii="Arial" w:hAnsi="Arial" w:cs="Arial"/>
          <w:lang w:val="es-ES"/>
        </w:rPr>
        <w:t xml:space="preserve">La evolución de este </w:t>
      </w:r>
      <w:r w:rsidRPr="002E1305">
        <w:rPr>
          <w:rFonts w:ascii="Arial" w:hAnsi="Arial" w:cs="Arial"/>
          <w:lang w:val="es-ES"/>
        </w:rPr>
        <w:t xml:space="preserve">derecho innominado se </w:t>
      </w:r>
      <w:r w:rsidR="00F54FD2">
        <w:rPr>
          <w:rFonts w:ascii="Arial" w:hAnsi="Arial" w:cs="Arial"/>
          <w:lang w:val="es-ES"/>
        </w:rPr>
        <w:t>aprecia en múltiples</w:t>
      </w:r>
      <w:r w:rsidRPr="002E1305">
        <w:rPr>
          <w:rFonts w:ascii="Arial" w:hAnsi="Arial" w:cs="Arial"/>
          <w:lang w:val="es-ES"/>
        </w:rPr>
        <w:t xml:space="preserve"> pronunciamientos de la Corte Constitucional</w:t>
      </w:r>
      <w:r w:rsidRPr="002E1305" w:rsidR="004D7CAA">
        <w:rPr>
          <w:rFonts w:ascii="Arial" w:hAnsi="Arial" w:cs="Arial"/>
          <w:vertAlign w:val="superscript"/>
          <w:lang w:val="es-ES"/>
        </w:rPr>
        <w:footnoteReference w:id="21"/>
      </w:r>
      <w:r w:rsidRPr="002E1305">
        <w:rPr>
          <w:rFonts w:ascii="Arial" w:hAnsi="Arial" w:cs="Arial"/>
          <w:lang w:val="es-ES"/>
        </w:rPr>
        <w:t>, que no sólo ha</w:t>
      </w:r>
      <w:r>
        <w:rPr>
          <w:rFonts w:ascii="Arial" w:hAnsi="Arial" w:cs="Arial"/>
          <w:lang w:val="es-ES"/>
        </w:rPr>
        <w:t>n</w:t>
      </w:r>
      <w:r w:rsidRPr="002E1305">
        <w:rPr>
          <w:rFonts w:ascii="Arial" w:hAnsi="Arial" w:cs="Arial"/>
          <w:lang w:val="es-ES"/>
        </w:rPr>
        <w:t xml:space="preserve"> permitido concretar su marco de protección</w:t>
      </w:r>
      <w:r>
        <w:rPr>
          <w:rFonts w:ascii="Arial" w:hAnsi="Arial" w:cs="Arial"/>
          <w:lang w:val="es-ES"/>
        </w:rPr>
        <w:t xml:space="preserve">, </w:t>
      </w:r>
      <w:r w:rsidRPr="002E1305">
        <w:rPr>
          <w:rFonts w:ascii="Arial" w:hAnsi="Arial" w:cs="Arial"/>
          <w:lang w:val="es-ES"/>
        </w:rPr>
        <w:t>sino también conceptualizar su relación con otros derechos y pilares fundantes del Estado, como lo es el de la dignidad humana, cuyo núcleo esencial exige que cada individuo sea tratado acorde a su condición</w:t>
      </w:r>
      <w:r w:rsidRPr="002E1305">
        <w:rPr>
          <w:rFonts w:ascii="Arial" w:hAnsi="Arial" w:cs="Arial"/>
          <w:vertAlign w:val="superscript"/>
          <w:lang w:val="es-ES"/>
        </w:rPr>
        <w:footnoteReference w:id="22"/>
      </w:r>
      <w:r w:rsidRPr="002E1305">
        <w:rPr>
          <w:rFonts w:ascii="Arial" w:hAnsi="Arial" w:cs="Arial"/>
          <w:lang w:val="es-ES"/>
        </w:rPr>
        <w:t>. En ese orden de ideas, debe entenderse que la dignidad humana se concibe como la autonomía propia de las personas para diseñar un plan de vida y determinarse según sus características</w:t>
      </w:r>
      <w:r w:rsidR="00912F60">
        <w:rPr>
          <w:rFonts w:ascii="Arial" w:hAnsi="Arial" w:cs="Arial"/>
          <w:lang w:val="es-ES"/>
        </w:rPr>
        <w:t>,</w:t>
      </w:r>
      <w:r w:rsidRPr="002E1305">
        <w:rPr>
          <w:rFonts w:ascii="Arial" w:hAnsi="Arial" w:cs="Arial"/>
          <w:lang w:val="es-ES"/>
        </w:rPr>
        <w:t xml:space="preserve"> postulado</w:t>
      </w:r>
      <w:r w:rsidR="00912F60">
        <w:rPr>
          <w:rFonts w:ascii="Arial" w:hAnsi="Arial" w:cs="Arial"/>
          <w:lang w:val="es-ES"/>
        </w:rPr>
        <w:t xml:space="preserve"> que</w:t>
      </w:r>
      <w:r w:rsidRPr="002E1305">
        <w:rPr>
          <w:rFonts w:ascii="Arial" w:hAnsi="Arial" w:cs="Arial"/>
          <w:lang w:val="es-ES"/>
        </w:rPr>
        <w:t xml:space="preserve"> guarda una fuerte conexión con el libre desarrollo de la personalidad y la identidad personal, los cuales transcienden del plano individual y cuya manifestación a nivel público son objeto de amparo</w:t>
      </w:r>
      <w:r w:rsidRPr="002E1305">
        <w:rPr>
          <w:rFonts w:ascii="Arial" w:hAnsi="Arial" w:cs="Arial"/>
          <w:vertAlign w:val="superscript"/>
          <w:lang w:val="es-ES"/>
        </w:rPr>
        <w:footnoteReference w:id="23"/>
      </w:r>
      <w:r w:rsidRPr="002E1305">
        <w:rPr>
          <w:rFonts w:ascii="Arial" w:hAnsi="Arial" w:cs="Arial"/>
          <w:lang w:val="es-ES"/>
        </w:rPr>
        <w:t xml:space="preserve">. </w:t>
      </w:r>
    </w:p>
    <w:p w:rsidRPr="002E1305" w:rsidR="00EE41AF" w:rsidP="00EE41AF" w:rsidRDefault="00EE41AF" w14:paraId="1D7C7FC4" w14:textId="77F51144">
      <w:pPr>
        <w:spacing w:after="0" w:line="276" w:lineRule="auto"/>
        <w:ind w:firstLine="708"/>
        <w:jc w:val="both"/>
        <w:rPr>
          <w:rFonts w:ascii="Arial" w:hAnsi="Arial" w:cs="Arial"/>
        </w:rPr>
      </w:pPr>
      <w:r w:rsidRPr="002E1305">
        <w:rPr>
          <w:rFonts w:ascii="Arial" w:hAnsi="Arial" w:cs="Arial"/>
        </w:rPr>
        <w:t>En relación con lo expuesto en precedencia</w:t>
      </w:r>
      <w:r>
        <w:rPr>
          <w:rFonts w:ascii="Arial" w:hAnsi="Arial" w:cs="Arial"/>
        </w:rPr>
        <w:t>,</w:t>
      </w:r>
      <w:r w:rsidRPr="002E1305">
        <w:rPr>
          <w:rFonts w:ascii="Arial" w:hAnsi="Arial" w:cs="Arial"/>
        </w:rPr>
        <w:t xml:space="preserve"> la Corte Constitucional </w:t>
      </w:r>
      <w:r w:rsidR="007D7627">
        <w:rPr>
          <w:rFonts w:ascii="Arial" w:hAnsi="Arial" w:cs="Arial"/>
        </w:rPr>
        <w:t>ha sido</w:t>
      </w:r>
      <w:r w:rsidRPr="002E1305">
        <w:rPr>
          <w:rFonts w:ascii="Arial" w:hAnsi="Arial" w:cs="Arial"/>
        </w:rPr>
        <w:t xml:space="preserve"> clara en señalar que la noción de identidad es trascendental en tanto sitúa al sujeto en la sociedad</w:t>
      </w:r>
      <w:r>
        <w:rPr>
          <w:rFonts w:ascii="Arial" w:hAnsi="Arial" w:cs="Arial"/>
        </w:rPr>
        <w:t xml:space="preserve">, </w:t>
      </w:r>
      <w:r w:rsidRPr="002E1305">
        <w:rPr>
          <w:rFonts w:ascii="Arial" w:hAnsi="Arial" w:cs="Arial"/>
        </w:rPr>
        <w:t xml:space="preserve">y la ausencia de este elemento supone la reducción de las posibilidades de la participación en la dinámica social; y es en este sentido en el que el </w:t>
      </w:r>
      <w:r w:rsidRPr="00211AE9">
        <w:rPr>
          <w:rFonts w:ascii="Arial" w:hAnsi="Arial" w:cs="Arial"/>
          <w:i/>
        </w:rPr>
        <w:t>género</w:t>
      </w:r>
      <w:r w:rsidRPr="002E1305">
        <w:rPr>
          <w:rFonts w:ascii="Arial" w:hAnsi="Arial" w:cs="Arial"/>
        </w:rPr>
        <w:t xml:space="preserve"> se configura como un instrumento de autodeterminación en el que el ser humano se posesiona e interactúa. </w:t>
      </w:r>
      <w:r w:rsidR="007D7627">
        <w:rPr>
          <w:rFonts w:ascii="Arial" w:hAnsi="Arial" w:cs="Arial"/>
        </w:rPr>
        <w:t>Esta</w:t>
      </w:r>
      <w:r w:rsidRPr="002E1305">
        <w:rPr>
          <w:rFonts w:ascii="Arial" w:hAnsi="Arial" w:cs="Arial"/>
        </w:rPr>
        <w:t xml:space="preserve"> </w:t>
      </w:r>
      <w:r w:rsidRPr="002E1305">
        <w:rPr>
          <w:rFonts w:ascii="Arial" w:hAnsi="Arial" w:cs="Arial"/>
          <w:lang w:val="es-ES"/>
        </w:rPr>
        <w:t xml:space="preserve"> línea argumentativa</w:t>
      </w:r>
      <w:r>
        <w:rPr>
          <w:rFonts w:ascii="Arial" w:hAnsi="Arial" w:cs="Arial"/>
          <w:lang w:val="es-ES"/>
        </w:rPr>
        <w:t xml:space="preserve">, </w:t>
      </w:r>
      <w:r w:rsidRPr="002E1305">
        <w:rPr>
          <w:rFonts w:ascii="Arial" w:hAnsi="Arial" w:cs="Arial"/>
          <w:lang w:val="es-ES"/>
        </w:rPr>
        <w:t xml:space="preserve">junto con varios progresos </w:t>
      </w:r>
      <w:r w:rsidRPr="002E1305">
        <w:rPr>
          <w:rFonts w:ascii="Arial" w:hAnsi="Arial" w:eastAsia="Geomanist Light" w:cs="Arial"/>
          <w:lang w:val="es-ES"/>
        </w:rPr>
        <w:t xml:space="preserve">del </w:t>
      </w:r>
      <w:r w:rsidRPr="002E1305">
        <w:rPr>
          <w:rFonts w:ascii="Arial" w:hAnsi="Arial" w:eastAsia="Geomanist Light" w:cs="Arial"/>
          <w:i/>
          <w:iCs/>
          <w:lang w:val="es-ES"/>
        </w:rPr>
        <w:t>corpus iuris</w:t>
      </w:r>
      <w:r w:rsidRPr="002E1305">
        <w:rPr>
          <w:rFonts w:ascii="Arial" w:hAnsi="Arial" w:eastAsia="Geomanist Light" w:cs="Arial"/>
          <w:lang w:val="es-ES"/>
        </w:rPr>
        <w:t xml:space="preserve"> del derecho internacional de los derechos humanos, </w:t>
      </w:r>
      <w:r w:rsidRPr="002E1305">
        <w:rPr>
          <w:rFonts w:ascii="Arial" w:hAnsi="Arial" w:cs="Arial"/>
          <w:lang w:val="es-ES"/>
        </w:rPr>
        <w:t xml:space="preserve">estructuraron las bases para el reconocimiento de la </w:t>
      </w:r>
      <w:r w:rsidRPr="00211AE9">
        <w:rPr>
          <w:rFonts w:ascii="Arial" w:hAnsi="Arial" w:cs="Arial"/>
          <w:i/>
          <w:lang w:val="es-ES"/>
        </w:rPr>
        <w:t>identidad de género</w:t>
      </w:r>
      <w:r w:rsidRPr="002E1305">
        <w:rPr>
          <w:rFonts w:ascii="Arial" w:hAnsi="Arial" w:cs="Arial"/>
          <w:lang w:val="es-ES"/>
        </w:rPr>
        <w:t xml:space="preserve"> como un derecho que busca erradicar </w:t>
      </w:r>
      <w:r w:rsidRPr="00211AE9">
        <w:rPr>
          <w:rFonts w:ascii="Arial" w:hAnsi="Arial" w:cs="Arial"/>
          <w:i/>
          <w:lang w:val="es-ES"/>
        </w:rPr>
        <w:t>“nociones de determinismo biológico”</w:t>
      </w:r>
      <w:r w:rsidRPr="002E1305">
        <w:rPr>
          <w:rFonts w:ascii="Arial" w:hAnsi="Arial" w:cs="Arial"/>
          <w:vertAlign w:val="superscript"/>
          <w:lang w:val="es-ES"/>
        </w:rPr>
        <w:footnoteReference w:id="24"/>
      </w:r>
      <w:r w:rsidR="007D7627">
        <w:rPr>
          <w:rFonts w:ascii="Arial" w:hAnsi="Arial" w:cs="Arial"/>
          <w:lang w:val="es-ES"/>
        </w:rPr>
        <w:t>.</w:t>
      </w:r>
      <w:r w:rsidRPr="002E1305">
        <w:rPr>
          <w:rFonts w:ascii="Arial" w:hAnsi="Arial" w:cs="Arial"/>
          <w:lang w:val="es-ES"/>
        </w:rPr>
        <w:t xml:space="preserve"> </w:t>
      </w:r>
      <w:r w:rsidR="007D7627">
        <w:rPr>
          <w:rFonts w:ascii="Arial" w:hAnsi="Arial" w:cs="Arial"/>
          <w:lang w:val="es-ES"/>
        </w:rPr>
        <w:t>S</w:t>
      </w:r>
      <w:r w:rsidRPr="002E1305">
        <w:rPr>
          <w:rFonts w:ascii="Arial" w:hAnsi="Arial" w:cs="Arial"/>
          <w:lang w:val="es-ES"/>
        </w:rPr>
        <w:t>obre el asunto es procedente hacer alusión a los “</w:t>
      </w:r>
      <w:r w:rsidRPr="002E1305">
        <w:rPr>
          <w:rFonts w:ascii="Arial" w:hAnsi="Arial" w:cs="Arial"/>
          <w:color w:val="202124"/>
          <w:shd w:val="clear" w:color="auto" w:fill="FFFFFF"/>
        </w:rPr>
        <w:t>Principios de Yogyakarta”, puesto que este documento proporcionó una definición sobre lo que se debe entender por identidad de género:</w:t>
      </w:r>
    </w:p>
    <w:p w:rsidRPr="002E1305" w:rsidR="00EE41AF" w:rsidP="00EE41AF" w:rsidRDefault="00EE41AF" w14:paraId="4C3E4411" w14:textId="77777777">
      <w:pPr>
        <w:spacing w:after="0" w:line="240" w:lineRule="auto"/>
        <w:jc w:val="both"/>
        <w:rPr>
          <w:rFonts w:ascii="Arial" w:hAnsi="Arial" w:cs="Arial"/>
          <w:color w:val="202124"/>
          <w:shd w:val="clear" w:color="auto" w:fill="FFFFFF"/>
        </w:rPr>
      </w:pPr>
    </w:p>
    <w:p w:rsidRPr="002E1305" w:rsidR="00EE41AF" w:rsidP="00EE41AF" w:rsidRDefault="00EE41AF" w14:paraId="0BC60D0E" w14:textId="09DAFDED">
      <w:pPr>
        <w:spacing w:after="0" w:line="240" w:lineRule="auto"/>
        <w:ind w:left="708" w:right="709"/>
        <w:jc w:val="both"/>
        <w:rPr>
          <w:rFonts w:ascii="Arial" w:hAnsi="Arial" w:cs="Arial"/>
          <w:color w:val="202124"/>
          <w:sz w:val="21"/>
          <w:szCs w:val="21"/>
          <w:shd w:val="clear" w:color="auto" w:fill="FFFFFF"/>
        </w:rPr>
      </w:pPr>
      <w:r w:rsidRPr="002E1305">
        <w:rPr>
          <w:rFonts w:ascii="Arial" w:hAnsi="Arial" w:cs="Arial"/>
          <w:color w:val="202124"/>
          <w:sz w:val="21"/>
          <w:szCs w:val="21"/>
          <w:shd w:val="clear" w:color="auto" w:fill="FFFFFF"/>
        </w:rPr>
        <w:t>“La identidad de género se refiere a la vivencia interna e individual del género tal como cada persona la siente profundamente, la cual podría corresponder o no con el sexto asignado al momento del nacimiento, incluyendo la vivencia personal del cuerpo (que podría involucrar la modificación de la apariencia o la función corporal a través de medios médicos, quirúrgicos o de otra índole, siempre que la misma sea libremente escogida) y otras expresiones de género, incluyendo la vestimenta, el modo de hablar y los modales”</w:t>
      </w:r>
      <w:r w:rsidRPr="002E1305">
        <w:rPr>
          <w:rFonts w:ascii="Arial" w:hAnsi="Arial" w:cs="Arial"/>
          <w:color w:val="202124"/>
          <w:sz w:val="21"/>
          <w:szCs w:val="21"/>
          <w:shd w:val="clear" w:color="auto" w:fill="FFFFFF"/>
          <w:vertAlign w:val="superscript"/>
        </w:rPr>
        <w:footnoteReference w:id="25"/>
      </w:r>
    </w:p>
    <w:p w:rsidRPr="002E1305" w:rsidR="00EE41AF" w:rsidP="00EE41AF" w:rsidRDefault="00EE41AF" w14:paraId="47EF9380" w14:textId="77777777">
      <w:pPr>
        <w:spacing w:after="0" w:line="240" w:lineRule="auto"/>
        <w:jc w:val="both"/>
        <w:rPr>
          <w:rFonts w:ascii="Arial" w:hAnsi="Arial" w:cs="Arial"/>
        </w:rPr>
      </w:pPr>
    </w:p>
    <w:p w:rsidRPr="002E1305" w:rsidR="00EE41AF" w:rsidP="00EE41AF" w:rsidRDefault="00EE41AF" w14:paraId="4CFA5EEE" w14:textId="00BBE86D">
      <w:pPr>
        <w:spacing w:after="0" w:line="276" w:lineRule="auto"/>
        <w:ind w:firstLine="708"/>
        <w:jc w:val="both"/>
        <w:rPr>
          <w:rFonts w:ascii="Arial" w:hAnsi="Arial" w:cs="Arial"/>
        </w:rPr>
      </w:pPr>
      <w:r w:rsidRPr="002E1305">
        <w:rPr>
          <w:rFonts w:ascii="Arial" w:hAnsi="Arial" w:cs="Arial"/>
        </w:rPr>
        <w:t xml:space="preserve">Por su parte la </w:t>
      </w:r>
      <w:r w:rsidR="006D386A">
        <w:rPr>
          <w:rFonts w:ascii="Arial" w:hAnsi="Arial" w:cs="Arial"/>
        </w:rPr>
        <w:t>j</w:t>
      </w:r>
      <w:r w:rsidRPr="002E1305">
        <w:rPr>
          <w:rFonts w:ascii="Arial" w:hAnsi="Arial" w:cs="Arial"/>
        </w:rPr>
        <w:t xml:space="preserve">urisprudencia </w:t>
      </w:r>
      <w:r w:rsidR="006D386A">
        <w:rPr>
          <w:rFonts w:ascii="Arial" w:hAnsi="Arial" w:cs="Arial"/>
        </w:rPr>
        <w:t>c</w:t>
      </w:r>
      <w:r w:rsidRPr="002E1305">
        <w:rPr>
          <w:rFonts w:ascii="Arial" w:hAnsi="Arial" w:cs="Arial"/>
        </w:rPr>
        <w:t>onstitucional</w:t>
      </w:r>
      <w:r>
        <w:rPr>
          <w:rFonts w:ascii="Arial" w:hAnsi="Arial" w:cs="Arial"/>
        </w:rPr>
        <w:t>,</w:t>
      </w:r>
      <w:r w:rsidRPr="002E1305">
        <w:rPr>
          <w:rFonts w:ascii="Arial" w:hAnsi="Arial" w:cs="Arial"/>
        </w:rPr>
        <w:t xml:space="preserve"> en congruencia con los lineamientos internacionales sobre la materia, desarroll</w:t>
      </w:r>
      <w:r>
        <w:rPr>
          <w:rFonts w:ascii="Arial" w:hAnsi="Arial" w:cs="Arial"/>
        </w:rPr>
        <w:t>ó</w:t>
      </w:r>
      <w:r w:rsidRPr="002E1305">
        <w:rPr>
          <w:rFonts w:ascii="Arial" w:hAnsi="Arial" w:cs="Arial"/>
        </w:rPr>
        <w:t xml:space="preserve"> la tesis en la que se sitúa la </w:t>
      </w:r>
      <w:r w:rsidRPr="00A42D06">
        <w:rPr>
          <w:rFonts w:ascii="Arial" w:hAnsi="Arial" w:cs="Arial"/>
          <w:i/>
        </w:rPr>
        <w:t>identidad de género</w:t>
      </w:r>
      <w:r w:rsidRPr="002E1305">
        <w:rPr>
          <w:rFonts w:ascii="Arial" w:hAnsi="Arial" w:cs="Arial"/>
        </w:rPr>
        <w:t xml:space="preserve"> como un derecho fundamental, que comporta la facultad del individuo de definirse a</w:t>
      </w:r>
      <w:r>
        <w:rPr>
          <w:rFonts w:ascii="Arial" w:hAnsi="Arial" w:cs="Arial"/>
        </w:rPr>
        <w:t xml:space="preserve"> </w:t>
      </w:r>
      <w:r w:rsidRPr="002E1305">
        <w:rPr>
          <w:rFonts w:ascii="Arial" w:hAnsi="Arial" w:cs="Arial"/>
        </w:rPr>
        <w:t>sí mismo</w:t>
      </w:r>
      <w:r>
        <w:rPr>
          <w:rFonts w:ascii="Arial" w:hAnsi="Arial" w:cs="Arial"/>
        </w:rPr>
        <w:t>. E</w:t>
      </w:r>
      <w:r w:rsidRPr="002E1305">
        <w:rPr>
          <w:rFonts w:ascii="Arial" w:hAnsi="Arial" w:cs="Arial"/>
        </w:rPr>
        <w:t>n esta determinación autónoma resulta indispensable tener como referente que es el resultado de la voluntad humana y no de su naturaleza</w:t>
      </w:r>
      <w:r>
        <w:rPr>
          <w:rFonts w:ascii="Arial" w:hAnsi="Arial" w:cs="Arial"/>
        </w:rPr>
        <w:t>.</w:t>
      </w:r>
      <w:r w:rsidRPr="002E1305">
        <w:rPr>
          <w:rFonts w:ascii="Arial" w:hAnsi="Arial" w:cs="Arial"/>
        </w:rPr>
        <w:t xml:space="preserve"> </w:t>
      </w:r>
      <w:r>
        <w:rPr>
          <w:rFonts w:ascii="Arial" w:hAnsi="Arial" w:cs="Arial"/>
        </w:rPr>
        <w:t>E</w:t>
      </w:r>
      <w:r w:rsidRPr="002E1305">
        <w:rPr>
          <w:rFonts w:ascii="Arial" w:hAnsi="Arial" w:cs="Arial"/>
        </w:rPr>
        <w:t xml:space="preserve">n otras palabras, esta postura comprende el desarraigo de la concepción tradicional en la que el género estaba intrínsicamente asociado al sexo biológico de las personas, es decir, en la actualidad el género no se </w:t>
      </w:r>
      <w:r>
        <w:rPr>
          <w:rFonts w:ascii="Arial" w:hAnsi="Arial" w:cs="Arial"/>
        </w:rPr>
        <w:t>asigna, sino que</w:t>
      </w:r>
      <w:r w:rsidRPr="002E1305">
        <w:rPr>
          <w:rFonts w:ascii="Arial" w:hAnsi="Arial" w:cs="Arial"/>
        </w:rPr>
        <w:t xml:space="preserve"> se construye</w:t>
      </w:r>
      <w:r w:rsidRPr="002E1305">
        <w:rPr>
          <w:rFonts w:ascii="Arial" w:hAnsi="Arial" w:cs="Arial"/>
          <w:vertAlign w:val="superscript"/>
        </w:rPr>
        <w:footnoteReference w:id="26"/>
      </w:r>
      <w:r>
        <w:rPr>
          <w:rFonts w:ascii="Arial" w:hAnsi="Arial" w:cs="Arial"/>
        </w:rPr>
        <w:t>.</w:t>
      </w:r>
      <w:r w:rsidRPr="002E1305">
        <w:rPr>
          <w:rFonts w:ascii="Arial" w:hAnsi="Arial" w:cs="Arial"/>
        </w:rPr>
        <w:t xml:space="preserve"> </w:t>
      </w:r>
      <w:r>
        <w:rPr>
          <w:rFonts w:ascii="Arial" w:hAnsi="Arial" w:cs="Arial"/>
        </w:rPr>
        <w:t>S</w:t>
      </w:r>
      <w:r w:rsidRPr="002E1305">
        <w:rPr>
          <w:rFonts w:ascii="Arial" w:hAnsi="Arial" w:cs="Arial"/>
        </w:rPr>
        <w:t>obre el particular se observa que la Corte concretó la discusión del género sobre los siguientes ejes:</w:t>
      </w:r>
    </w:p>
    <w:p w:rsidRPr="002E1305" w:rsidR="00EE41AF" w:rsidP="00EE41AF" w:rsidRDefault="00EE41AF" w14:paraId="3C18AA9A" w14:textId="77777777">
      <w:pPr>
        <w:spacing w:after="0" w:line="240" w:lineRule="auto"/>
        <w:jc w:val="both"/>
        <w:rPr>
          <w:rFonts w:ascii="Arial" w:hAnsi="Arial" w:cs="Arial"/>
        </w:rPr>
      </w:pPr>
    </w:p>
    <w:p w:rsidRPr="002E1305" w:rsidR="00EE41AF" w:rsidP="00EE41AF" w:rsidRDefault="00EE41AF" w14:paraId="19559D21" w14:textId="77777777">
      <w:pPr>
        <w:spacing w:after="0" w:line="240" w:lineRule="auto"/>
        <w:ind w:left="708" w:right="709"/>
        <w:jc w:val="both"/>
        <w:rPr>
          <w:rFonts w:ascii="Arial" w:hAnsi="Arial" w:cs="Arial"/>
          <w:sz w:val="21"/>
          <w:szCs w:val="21"/>
        </w:rPr>
      </w:pPr>
      <w:r w:rsidRPr="002E1305">
        <w:rPr>
          <w:rFonts w:ascii="Arial" w:hAnsi="Arial" w:cs="Arial"/>
          <w:sz w:val="21"/>
          <w:szCs w:val="21"/>
        </w:rPr>
        <w:t xml:space="preserve">“De ahí que la discusión del género no termina con el sexo asignado, sino que es una compleja interrelación entre tres ejes: i) el </w:t>
      </w:r>
      <w:r w:rsidRPr="002E1305">
        <w:rPr>
          <w:rFonts w:ascii="Arial" w:hAnsi="Arial" w:cs="Arial"/>
          <w:b/>
          <w:bCs/>
          <w:sz w:val="21"/>
          <w:szCs w:val="21"/>
          <w:u w:val="single"/>
        </w:rPr>
        <w:t>cuerpo</w:t>
      </w:r>
      <w:r w:rsidRPr="002E1305">
        <w:rPr>
          <w:rFonts w:ascii="Arial" w:hAnsi="Arial" w:cs="Arial"/>
          <w:sz w:val="21"/>
          <w:szCs w:val="21"/>
        </w:rPr>
        <w:t xml:space="preserve"> de cada persona, su experiencia con este, cómo la sociedad le asigna géneros a los cuerpos con base en los órganos reproductivos y cómo esta interactúa entre sí con base en los cuerpos; </w:t>
      </w:r>
      <w:proofErr w:type="spellStart"/>
      <w:r w:rsidRPr="002E1305">
        <w:rPr>
          <w:rFonts w:ascii="Arial" w:hAnsi="Arial" w:cs="Arial"/>
          <w:sz w:val="21"/>
          <w:szCs w:val="21"/>
        </w:rPr>
        <w:t>ii</w:t>
      </w:r>
      <w:proofErr w:type="spellEnd"/>
      <w:r w:rsidRPr="002E1305">
        <w:rPr>
          <w:rFonts w:ascii="Arial" w:hAnsi="Arial" w:cs="Arial"/>
          <w:sz w:val="21"/>
          <w:szCs w:val="21"/>
        </w:rPr>
        <w:t>)</w:t>
      </w:r>
      <w:r w:rsidRPr="002E1305">
        <w:rPr>
          <w:rFonts w:ascii="Arial" w:hAnsi="Arial" w:cs="Arial"/>
          <w:b/>
          <w:bCs/>
          <w:sz w:val="21"/>
          <w:szCs w:val="21"/>
          <w:u w:val="single"/>
        </w:rPr>
        <w:t>[la] identidad</w:t>
      </w:r>
      <w:r w:rsidRPr="002E1305">
        <w:rPr>
          <w:rFonts w:ascii="Arial" w:hAnsi="Arial" w:cs="Arial"/>
          <w:sz w:val="21"/>
          <w:szCs w:val="21"/>
        </w:rPr>
        <w:t xml:space="preserve">, que comprende la concepción interna y el sentimiento de cada individuo de sentirse como hombre o mujer, en el sentido de una armonía interior entre quienes internamente sienten y saben que es cada uno; y </w:t>
      </w:r>
      <w:proofErr w:type="spellStart"/>
      <w:r w:rsidRPr="002E1305">
        <w:rPr>
          <w:rFonts w:ascii="Arial" w:hAnsi="Arial" w:cs="Arial"/>
          <w:sz w:val="21"/>
          <w:szCs w:val="21"/>
        </w:rPr>
        <w:t>iii</w:t>
      </w:r>
      <w:proofErr w:type="spellEnd"/>
      <w:r w:rsidRPr="002E1305">
        <w:rPr>
          <w:rFonts w:ascii="Arial" w:hAnsi="Arial" w:cs="Arial"/>
          <w:sz w:val="21"/>
          <w:szCs w:val="21"/>
        </w:rPr>
        <w:t xml:space="preserve">) Finalmente, </w:t>
      </w:r>
      <w:r w:rsidRPr="00A42D06">
        <w:rPr>
          <w:rFonts w:ascii="Arial" w:hAnsi="Arial" w:cs="Arial"/>
          <w:b/>
          <w:sz w:val="21"/>
          <w:szCs w:val="21"/>
        </w:rPr>
        <w:t>la manifestación o expresión</w:t>
      </w:r>
      <w:r w:rsidRPr="002E1305">
        <w:rPr>
          <w:rFonts w:ascii="Arial" w:hAnsi="Arial" w:cs="Arial"/>
          <w:sz w:val="21"/>
          <w:szCs w:val="21"/>
        </w:rPr>
        <w:t>, que consiste en la forma en que cada individuo presenta su género al mundo, a la sociedad, culturalmente, en su comunidad o en su familia, así como la manera que interactúa con su propio género y lo va moldeando con el paso de los años, en un proceso de constante desarrollo”</w:t>
      </w:r>
      <w:r>
        <w:rPr>
          <w:rFonts w:ascii="Arial" w:hAnsi="Arial" w:cs="Arial"/>
          <w:sz w:val="21"/>
          <w:szCs w:val="21"/>
        </w:rPr>
        <w:t>.</w:t>
      </w:r>
      <w:r w:rsidRPr="002E1305">
        <w:rPr>
          <w:rFonts w:ascii="Arial" w:hAnsi="Arial" w:cs="Arial"/>
          <w:sz w:val="21"/>
          <w:szCs w:val="21"/>
          <w:vertAlign w:val="superscript"/>
        </w:rPr>
        <w:footnoteReference w:id="27"/>
      </w:r>
    </w:p>
    <w:p w:rsidRPr="002E1305" w:rsidR="00EE41AF" w:rsidP="00EE41AF" w:rsidRDefault="00EE41AF" w14:paraId="0479C3E6" w14:textId="77777777">
      <w:pPr>
        <w:spacing w:after="0" w:line="240" w:lineRule="auto"/>
        <w:ind w:right="709"/>
        <w:jc w:val="both"/>
        <w:rPr>
          <w:rFonts w:ascii="Arial" w:hAnsi="Arial" w:cs="Arial"/>
          <w:sz w:val="21"/>
          <w:szCs w:val="21"/>
        </w:rPr>
      </w:pPr>
    </w:p>
    <w:p w:rsidRPr="002E1305" w:rsidR="00EE41AF" w:rsidP="00A42D06" w:rsidRDefault="00EE41AF" w14:paraId="4E5CF7EA" w14:textId="29E875E5">
      <w:pPr>
        <w:spacing w:after="120" w:line="276" w:lineRule="auto"/>
        <w:ind w:firstLine="709"/>
        <w:jc w:val="both"/>
        <w:rPr>
          <w:rFonts w:ascii="Arial" w:hAnsi="Arial" w:cs="Arial"/>
        </w:rPr>
      </w:pPr>
      <w:r w:rsidRPr="002E1305">
        <w:rPr>
          <w:rFonts w:ascii="Arial" w:hAnsi="Arial" w:cs="Arial"/>
        </w:rPr>
        <w:t xml:space="preserve">En virtud de lo anterior, esto es, partiendo de la concepción de la identidad de género como una construcción individual, se precisa entonces que el componente </w:t>
      </w:r>
      <w:r>
        <w:rPr>
          <w:rFonts w:ascii="Arial" w:hAnsi="Arial" w:cs="Arial"/>
        </w:rPr>
        <w:t>“</w:t>
      </w:r>
      <w:r w:rsidRPr="00A42D06">
        <w:rPr>
          <w:rFonts w:ascii="Arial" w:hAnsi="Arial" w:cs="Arial"/>
          <w:i/>
        </w:rPr>
        <w:t>sexo”</w:t>
      </w:r>
      <w:r w:rsidRPr="002E1305">
        <w:rPr>
          <w:rFonts w:ascii="Arial" w:hAnsi="Arial" w:cs="Arial"/>
        </w:rPr>
        <w:t xml:space="preserve"> que registra en la identificación de las personas, evolucionó en tal medida que la información consignada en este campo o ítem, por decirlo de alguna manera, debe entenderse como una decisión personal y no como una asignación ligada al sexo con el que se nace</w:t>
      </w:r>
      <w:r>
        <w:rPr>
          <w:rFonts w:ascii="Arial" w:hAnsi="Arial" w:cs="Arial"/>
        </w:rPr>
        <w:t>. Es</w:t>
      </w:r>
      <w:r w:rsidRPr="002E1305">
        <w:rPr>
          <w:rFonts w:ascii="Arial" w:hAnsi="Arial" w:cs="Arial"/>
        </w:rPr>
        <w:t xml:space="preserve"> por ello </w:t>
      </w:r>
      <w:r w:rsidRPr="002E1305" w:rsidR="006D386A">
        <w:rPr>
          <w:rFonts w:ascii="Arial" w:hAnsi="Arial" w:cs="Arial"/>
        </w:rPr>
        <w:t>por lo</w:t>
      </w:r>
      <w:r w:rsidRPr="002E1305">
        <w:rPr>
          <w:rFonts w:ascii="Arial" w:hAnsi="Arial" w:cs="Arial"/>
        </w:rPr>
        <w:t xml:space="preserve"> que las personas tienen la potestad de modificar su marcador de </w:t>
      </w:r>
      <w:r w:rsidR="00C56DE1">
        <w:rPr>
          <w:rFonts w:ascii="Arial" w:hAnsi="Arial" w:cs="Arial"/>
        </w:rPr>
        <w:t>“</w:t>
      </w:r>
      <w:r w:rsidRPr="002E1305">
        <w:rPr>
          <w:rFonts w:ascii="Arial" w:hAnsi="Arial" w:cs="Arial"/>
        </w:rPr>
        <w:t>sexo</w:t>
      </w:r>
      <w:r w:rsidR="00C56DE1">
        <w:rPr>
          <w:rFonts w:ascii="Arial" w:hAnsi="Arial" w:cs="Arial"/>
        </w:rPr>
        <w:t>”</w:t>
      </w:r>
      <w:r w:rsidRPr="002E1305">
        <w:rPr>
          <w:rFonts w:ascii="Arial" w:hAnsi="Arial" w:cs="Arial"/>
        </w:rPr>
        <w:t xml:space="preserve"> para que coincida con su identidad, en caso de que requiera hacer el tránsito formal hacia otro género</w:t>
      </w:r>
      <w:r>
        <w:rPr>
          <w:rFonts w:ascii="Arial" w:hAnsi="Arial" w:cs="Arial"/>
        </w:rPr>
        <w:t>. S</w:t>
      </w:r>
      <w:r w:rsidRPr="002E1305">
        <w:rPr>
          <w:rFonts w:ascii="Arial" w:hAnsi="Arial" w:cs="Arial"/>
        </w:rPr>
        <w:t>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r w:rsidRPr="002E1305">
        <w:rPr>
          <w:rFonts w:ascii="Arial" w:hAnsi="Arial" w:cs="Arial"/>
          <w:vertAlign w:val="superscript"/>
        </w:rPr>
        <w:footnoteReference w:id="28"/>
      </w:r>
      <w:r w:rsidR="00DB70D0">
        <w:rPr>
          <w:rFonts w:ascii="Arial" w:hAnsi="Arial" w:cs="Arial"/>
        </w:rPr>
        <w:t xml:space="preserve">. </w:t>
      </w:r>
    </w:p>
    <w:p w:rsidR="001F0F8A" w:rsidP="00A42D06" w:rsidRDefault="00F802ED" w14:paraId="30732912" w14:textId="4F9EBE0F">
      <w:pPr>
        <w:spacing w:after="120" w:line="276" w:lineRule="auto"/>
        <w:ind w:firstLine="709"/>
        <w:jc w:val="both"/>
        <w:rPr>
          <w:rFonts w:ascii="Arial" w:hAnsi="Arial" w:cs="Arial"/>
        </w:rPr>
      </w:pPr>
      <w:r>
        <w:rPr>
          <w:rFonts w:ascii="Arial" w:hAnsi="Arial" w:cs="Arial"/>
        </w:rPr>
        <w:t>Este último aspecto en particular se torna relevante para resolver el tema objeto de</w:t>
      </w:r>
      <w:r w:rsidR="0091562C">
        <w:rPr>
          <w:rFonts w:ascii="Arial" w:hAnsi="Arial" w:cs="Arial"/>
        </w:rPr>
        <w:t xml:space="preserve"> consulta en la medida en que, conforme a lo explicado en el numeral 2.2 del presente concepto</w:t>
      </w:r>
      <w:r w:rsidR="0089194C">
        <w:rPr>
          <w:rFonts w:ascii="Arial" w:hAnsi="Arial" w:cs="Arial"/>
        </w:rPr>
        <w:t xml:space="preserve">, el documento de </w:t>
      </w:r>
      <w:r w:rsidR="00690504">
        <w:rPr>
          <w:rFonts w:ascii="Arial" w:hAnsi="Arial" w:cs="Arial"/>
        </w:rPr>
        <w:t>identidad</w:t>
      </w:r>
      <w:r w:rsidR="0089194C">
        <w:rPr>
          <w:rFonts w:ascii="Arial" w:hAnsi="Arial" w:cs="Arial"/>
        </w:rPr>
        <w:t xml:space="preserve"> </w:t>
      </w:r>
      <w:r w:rsidR="00690504">
        <w:rPr>
          <w:rFonts w:ascii="Arial" w:hAnsi="Arial" w:cs="Arial"/>
        </w:rPr>
        <w:t>–</w:t>
      </w:r>
      <w:r w:rsidR="0089194C">
        <w:rPr>
          <w:rFonts w:ascii="Arial" w:hAnsi="Arial" w:cs="Arial"/>
        </w:rPr>
        <w:t>ya sea cédula de ciudadanía, cédula de extranjería o pasaporte</w:t>
      </w:r>
      <w:r w:rsidR="00690504">
        <w:rPr>
          <w:rFonts w:ascii="Arial" w:hAnsi="Arial" w:cs="Arial"/>
        </w:rPr>
        <w:t>–</w:t>
      </w:r>
      <w:r w:rsidR="0089194C">
        <w:rPr>
          <w:rFonts w:ascii="Arial" w:hAnsi="Arial" w:cs="Arial"/>
        </w:rPr>
        <w:t xml:space="preserve"> es uno de los medios </w:t>
      </w:r>
      <w:r w:rsidR="00690504">
        <w:rPr>
          <w:rFonts w:ascii="Arial" w:hAnsi="Arial" w:cs="Arial"/>
        </w:rPr>
        <w:t>requeridos para</w:t>
      </w:r>
      <w:r w:rsidR="0089194C">
        <w:rPr>
          <w:rFonts w:ascii="Arial" w:hAnsi="Arial" w:cs="Arial"/>
        </w:rPr>
        <w:t xml:space="preserve"> </w:t>
      </w:r>
      <w:r w:rsidR="00A6067B">
        <w:rPr>
          <w:rFonts w:ascii="Arial" w:hAnsi="Arial" w:cs="Arial"/>
        </w:rPr>
        <w:t xml:space="preserve">que un proponente </w:t>
      </w:r>
      <w:r w:rsidR="0089194C">
        <w:rPr>
          <w:rFonts w:ascii="Arial" w:hAnsi="Arial" w:cs="Arial"/>
        </w:rPr>
        <w:t>acredit</w:t>
      </w:r>
      <w:r w:rsidR="00A6067B">
        <w:rPr>
          <w:rFonts w:ascii="Arial" w:hAnsi="Arial" w:cs="Arial"/>
        </w:rPr>
        <w:t>e</w:t>
      </w:r>
      <w:r w:rsidR="0089194C">
        <w:rPr>
          <w:rFonts w:ascii="Arial" w:hAnsi="Arial" w:cs="Arial"/>
        </w:rPr>
        <w:t xml:space="preserve"> en un </w:t>
      </w:r>
      <w:r w:rsidR="00A6067B">
        <w:rPr>
          <w:rFonts w:ascii="Arial" w:hAnsi="Arial" w:cs="Arial"/>
        </w:rPr>
        <w:t>Proceso</w:t>
      </w:r>
      <w:r w:rsidR="0089194C">
        <w:rPr>
          <w:rFonts w:ascii="Arial" w:hAnsi="Arial" w:cs="Arial"/>
        </w:rPr>
        <w:t xml:space="preserve"> de </w:t>
      </w:r>
      <w:r w:rsidR="00A6067B">
        <w:rPr>
          <w:rFonts w:ascii="Arial" w:hAnsi="Arial" w:cs="Arial"/>
        </w:rPr>
        <w:t>Contratación que reúne las condiciones para ser considerado emprendimiento o empresa de mujer</w:t>
      </w:r>
      <w:r w:rsidR="00C13452">
        <w:rPr>
          <w:rFonts w:ascii="Arial" w:hAnsi="Arial" w:cs="Arial"/>
        </w:rPr>
        <w:t>es</w:t>
      </w:r>
      <w:r w:rsidR="00941AAF">
        <w:rPr>
          <w:rFonts w:ascii="Arial" w:hAnsi="Arial" w:cs="Arial"/>
        </w:rPr>
        <w:t xml:space="preserve">, </w:t>
      </w:r>
      <w:r w:rsidR="00FC0794">
        <w:rPr>
          <w:rFonts w:ascii="Arial" w:hAnsi="Arial" w:cs="Arial"/>
        </w:rPr>
        <w:t>de acuerdo</w:t>
      </w:r>
      <w:r w:rsidR="00941AAF">
        <w:rPr>
          <w:rFonts w:ascii="Arial" w:hAnsi="Arial" w:cs="Arial"/>
        </w:rPr>
        <w:t xml:space="preserve"> </w:t>
      </w:r>
      <w:r w:rsidR="00FC0794">
        <w:rPr>
          <w:rFonts w:ascii="Arial" w:hAnsi="Arial" w:cs="Arial"/>
        </w:rPr>
        <w:t>con</w:t>
      </w:r>
      <w:r w:rsidR="00941AAF">
        <w:rPr>
          <w:rFonts w:ascii="Arial" w:hAnsi="Arial" w:cs="Arial"/>
        </w:rPr>
        <w:t xml:space="preserve"> lo establecido en el artículo </w:t>
      </w:r>
      <w:r w:rsidRPr="00941AAF" w:rsidR="00941AAF">
        <w:rPr>
          <w:rFonts w:ascii="Arial" w:hAnsi="Arial" w:cs="Arial"/>
        </w:rPr>
        <w:t>2.2.1.2.4.2.14</w:t>
      </w:r>
      <w:r w:rsidR="00941AAF">
        <w:rPr>
          <w:rFonts w:ascii="Arial" w:hAnsi="Arial" w:cs="Arial"/>
        </w:rPr>
        <w:t xml:space="preserve"> del Decreto 1082 de 2015, adicionado por el Decreto 1860 de 2021. </w:t>
      </w:r>
      <w:r w:rsidR="00BB6B6B">
        <w:rPr>
          <w:rFonts w:ascii="Arial" w:hAnsi="Arial" w:cs="Arial"/>
        </w:rPr>
        <w:t>E</w:t>
      </w:r>
      <w:r w:rsidR="003C6D71">
        <w:rPr>
          <w:rFonts w:ascii="Arial" w:hAnsi="Arial" w:cs="Arial"/>
        </w:rPr>
        <w:t xml:space="preserve">sto obedece a que, en cada uno de estos supuestos, </w:t>
      </w:r>
      <w:r w:rsidR="006008E2">
        <w:rPr>
          <w:rFonts w:ascii="Arial" w:hAnsi="Arial" w:cs="Arial"/>
        </w:rPr>
        <w:t xml:space="preserve">la presentación de los documentos de identidad sirve para que la entidad estatal contratante verifique que las personas que se tienen en cuenta para </w:t>
      </w:r>
      <w:r w:rsidR="00A66053">
        <w:rPr>
          <w:rFonts w:ascii="Arial" w:hAnsi="Arial" w:cs="Arial"/>
        </w:rPr>
        <w:t xml:space="preserve">aplicar alguna de las definiciones establecidas en el artículo </w:t>
      </w:r>
      <w:r w:rsidRPr="00941AAF" w:rsidR="00A66053">
        <w:rPr>
          <w:rFonts w:ascii="Arial" w:hAnsi="Arial" w:cs="Arial"/>
        </w:rPr>
        <w:t>2.2.1.2.4.2.14</w:t>
      </w:r>
      <w:r w:rsidR="00A66053">
        <w:rPr>
          <w:rFonts w:ascii="Arial" w:hAnsi="Arial" w:cs="Arial"/>
        </w:rPr>
        <w:t xml:space="preserve"> del Decreto 1082 de 2015</w:t>
      </w:r>
      <w:r w:rsidR="007A42C3">
        <w:rPr>
          <w:rFonts w:ascii="Arial" w:hAnsi="Arial" w:cs="Arial"/>
        </w:rPr>
        <w:t xml:space="preserve">, </w:t>
      </w:r>
      <w:r w:rsidR="00D974B9">
        <w:rPr>
          <w:rFonts w:ascii="Arial" w:hAnsi="Arial" w:cs="Arial"/>
        </w:rPr>
        <w:t>efectivamente pertenecen al grupo</w:t>
      </w:r>
      <w:r w:rsidR="00A2260F">
        <w:rPr>
          <w:rFonts w:ascii="Arial" w:hAnsi="Arial" w:cs="Arial"/>
        </w:rPr>
        <w:t xml:space="preserve"> poblacional destinatario de los criterios diferenciales</w:t>
      </w:r>
      <w:r w:rsidR="00A67131">
        <w:rPr>
          <w:rFonts w:ascii="Arial" w:hAnsi="Arial" w:cs="Arial"/>
        </w:rPr>
        <w:t xml:space="preserve"> introducidos por el artículo 32 de la Ley 2069 de 2020, es decir</w:t>
      </w:r>
      <w:r w:rsidR="001F0F8A">
        <w:rPr>
          <w:rFonts w:ascii="Arial" w:hAnsi="Arial" w:cs="Arial"/>
        </w:rPr>
        <w:t>,</w:t>
      </w:r>
      <w:r w:rsidR="00A67131">
        <w:rPr>
          <w:rFonts w:ascii="Arial" w:hAnsi="Arial" w:cs="Arial"/>
        </w:rPr>
        <w:t xml:space="preserve"> que son mujeres. </w:t>
      </w:r>
    </w:p>
    <w:p w:rsidR="00B31E4B" w:rsidP="00A42D06" w:rsidRDefault="00A67131" w14:paraId="7A6B79E8" w14:textId="626174EF">
      <w:pPr>
        <w:spacing w:after="120" w:line="276" w:lineRule="auto"/>
        <w:ind w:firstLine="709"/>
        <w:jc w:val="both"/>
        <w:rPr>
          <w:rFonts w:ascii="Arial" w:hAnsi="Arial" w:cs="Arial"/>
        </w:rPr>
      </w:pPr>
      <w:r>
        <w:rPr>
          <w:rFonts w:ascii="Arial" w:hAnsi="Arial" w:cs="Arial"/>
        </w:rPr>
        <w:t xml:space="preserve"> </w:t>
      </w:r>
      <w:r w:rsidR="001F0F8A">
        <w:rPr>
          <w:rFonts w:ascii="Arial" w:hAnsi="Arial" w:cs="Arial"/>
        </w:rPr>
        <w:t xml:space="preserve">En ese sentido, la norma reglamentaria establece una suerte de tarifa legal </w:t>
      </w:r>
      <w:r w:rsidR="008951FD">
        <w:rPr>
          <w:rFonts w:ascii="Arial" w:hAnsi="Arial" w:cs="Arial"/>
        </w:rPr>
        <w:t>constituida por el documento de identidad, el cual debe servir</w:t>
      </w:r>
      <w:r w:rsidR="00CC3F7B">
        <w:rPr>
          <w:rFonts w:ascii="Arial" w:hAnsi="Arial" w:cs="Arial"/>
        </w:rPr>
        <w:t xml:space="preserve"> para constatar que las personas naturales a quienes pertenece la participación mayoritaria</w:t>
      </w:r>
      <w:r w:rsidR="00E04C11">
        <w:rPr>
          <w:rFonts w:ascii="Arial" w:hAnsi="Arial" w:cs="Arial"/>
        </w:rPr>
        <w:t xml:space="preserve"> de la persona jurídica, quienes ocupan los cargos directivos o</w:t>
      </w:r>
      <w:r w:rsidR="003E1A16">
        <w:rPr>
          <w:rFonts w:ascii="Arial" w:hAnsi="Arial" w:cs="Arial"/>
        </w:rPr>
        <w:t xml:space="preserve"> las personas naturales tengan la condición de mujeres, lo que se debe </w:t>
      </w:r>
      <w:r w:rsidR="00B04D45">
        <w:rPr>
          <w:rFonts w:ascii="Arial" w:hAnsi="Arial" w:cs="Arial"/>
        </w:rPr>
        <w:t xml:space="preserve">establecer que verificando dicho documento </w:t>
      </w:r>
      <w:r w:rsidR="009440DB">
        <w:rPr>
          <w:rFonts w:ascii="Arial" w:hAnsi="Arial" w:cs="Arial"/>
        </w:rPr>
        <w:t xml:space="preserve">en el marcador </w:t>
      </w:r>
      <w:r w:rsidRPr="00A42D06" w:rsidR="00373535">
        <w:rPr>
          <w:rFonts w:ascii="Arial" w:hAnsi="Arial" w:cs="Arial"/>
          <w:i/>
          <w:iCs/>
        </w:rPr>
        <w:t>“sexo”</w:t>
      </w:r>
      <w:r w:rsidR="00373535">
        <w:rPr>
          <w:rFonts w:ascii="Arial" w:hAnsi="Arial" w:cs="Arial"/>
        </w:rPr>
        <w:t xml:space="preserve"> haga alusión al género </w:t>
      </w:r>
      <w:r w:rsidR="00B04D45">
        <w:rPr>
          <w:rFonts w:ascii="Arial" w:hAnsi="Arial" w:cs="Arial"/>
        </w:rPr>
        <w:t xml:space="preserve">femenino. En ese sentido, </w:t>
      </w:r>
      <w:r w:rsidR="00B31E4B">
        <w:rPr>
          <w:rFonts w:ascii="Arial" w:hAnsi="Arial" w:cs="Arial"/>
        </w:rPr>
        <w:t xml:space="preserve">la </w:t>
      </w:r>
      <w:r w:rsidRPr="00A42D06" w:rsidR="00B31E4B">
        <w:rPr>
          <w:rFonts w:ascii="Arial" w:hAnsi="Arial" w:cs="Arial"/>
          <w:i/>
          <w:iCs/>
        </w:rPr>
        <w:t>identidad de género</w:t>
      </w:r>
      <w:r w:rsidR="00B31E4B">
        <w:rPr>
          <w:rFonts w:ascii="Arial" w:hAnsi="Arial" w:cs="Arial"/>
        </w:rPr>
        <w:t xml:space="preserve"> es un aspecto de importancia de cara a la aplicación de los referidos criterios diferenciales</w:t>
      </w:r>
      <w:r w:rsidR="00953BEC">
        <w:rPr>
          <w:rFonts w:ascii="Arial" w:hAnsi="Arial" w:cs="Arial"/>
        </w:rPr>
        <w:t xml:space="preserve"> en comento, comoquiera que estos se dirigen a</w:t>
      </w:r>
      <w:r w:rsidR="009C559D">
        <w:rPr>
          <w:rFonts w:ascii="Arial" w:hAnsi="Arial" w:cs="Arial"/>
        </w:rPr>
        <w:t xml:space="preserve"> personas que se identifique con el</w:t>
      </w:r>
      <w:r w:rsidR="00953BEC">
        <w:rPr>
          <w:rFonts w:ascii="Arial" w:hAnsi="Arial" w:cs="Arial"/>
        </w:rPr>
        <w:t xml:space="preserve"> </w:t>
      </w:r>
      <w:r w:rsidR="00162525">
        <w:rPr>
          <w:rFonts w:ascii="Arial" w:hAnsi="Arial" w:cs="Arial"/>
        </w:rPr>
        <w:t xml:space="preserve">género </w:t>
      </w:r>
      <w:r w:rsidRPr="00162525" w:rsidR="00162525">
        <w:rPr>
          <w:rFonts w:ascii="Arial" w:hAnsi="Arial" w:cs="Arial"/>
        </w:rPr>
        <w:t>femenino</w:t>
      </w:r>
      <w:r w:rsidR="009C559D">
        <w:rPr>
          <w:rFonts w:ascii="Arial" w:hAnsi="Arial" w:cs="Arial"/>
        </w:rPr>
        <w:t>, lo que necesariamente debe ser acreditado con el documento de identidad</w:t>
      </w:r>
      <w:r w:rsidR="00695319">
        <w:rPr>
          <w:rFonts w:ascii="Arial" w:hAnsi="Arial" w:cs="Arial"/>
        </w:rPr>
        <w:t xml:space="preserve"> el cual debe coincidir en el marcador </w:t>
      </w:r>
      <w:r w:rsidRPr="00A42D06" w:rsidR="00695319">
        <w:rPr>
          <w:rFonts w:ascii="Arial" w:hAnsi="Arial" w:cs="Arial"/>
          <w:i/>
          <w:iCs/>
        </w:rPr>
        <w:t>“sexo”</w:t>
      </w:r>
      <w:r w:rsidR="00695319">
        <w:rPr>
          <w:rFonts w:ascii="Arial" w:hAnsi="Arial" w:cs="Arial"/>
        </w:rPr>
        <w:t xml:space="preserve"> con la aludida identidad de género. </w:t>
      </w:r>
      <w:r w:rsidR="009C559D">
        <w:rPr>
          <w:rFonts w:ascii="Arial" w:hAnsi="Arial" w:cs="Arial"/>
        </w:rPr>
        <w:t xml:space="preserve"> </w:t>
      </w:r>
    </w:p>
    <w:p w:rsidR="006419C9" w:rsidP="00A42D06" w:rsidRDefault="004121C7" w14:paraId="751DBC03" w14:textId="7FDF2FCD">
      <w:pPr>
        <w:spacing w:after="120" w:line="276" w:lineRule="auto"/>
        <w:ind w:firstLine="709"/>
        <w:jc w:val="both"/>
        <w:rPr>
          <w:rFonts w:ascii="Arial" w:hAnsi="Arial" w:cs="Arial"/>
        </w:rPr>
      </w:pPr>
      <w:r>
        <w:rPr>
          <w:rFonts w:ascii="Arial" w:hAnsi="Arial" w:cs="Arial"/>
        </w:rPr>
        <w:t>Conforme a lo anterior</w:t>
      </w:r>
      <w:r w:rsidR="00895DAE">
        <w:rPr>
          <w:rFonts w:ascii="Arial" w:hAnsi="Arial" w:cs="Arial"/>
        </w:rPr>
        <w:t xml:space="preserve">, </w:t>
      </w:r>
      <w:r w:rsidR="00606784">
        <w:rPr>
          <w:rFonts w:ascii="Arial" w:hAnsi="Arial" w:cs="Arial"/>
        </w:rPr>
        <w:t xml:space="preserve">independientemente de </w:t>
      </w:r>
      <w:r w:rsidR="00DB1DEA">
        <w:rPr>
          <w:rFonts w:ascii="Arial" w:hAnsi="Arial" w:cs="Arial"/>
        </w:rPr>
        <w:t xml:space="preserve">la libertad </w:t>
      </w:r>
      <w:r w:rsidR="00606784">
        <w:rPr>
          <w:rFonts w:ascii="Arial" w:hAnsi="Arial" w:cs="Arial"/>
        </w:rPr>
        <w:t xml:space="preserve">y autonomía que asiste a las personas para </w:t>
      </w:r>
      <w:r>
        <w:rPr>
          <w:rFonts w:ascii="Arial" w:hAnsi="Arial" w:cs="Arial"/>
        </w:rPr>
        <w:t xml:space="preserve">ejercer su derecho a la </w:t>
      </w:r>
      <w:r w:rsidRPr="00A42D06">
        <w:rPr>
          <w:rFonts w:ascii="Arial" w:hAnsi="Arial" w:cs="Arial"/>
          <w:i/>
          <w:iCs/>
        </w:rPr>
        <w:t>identidad de género,</w:t>
      </w:r>
      <w:r>
        <w:rPr>
          <w:rFonts w:ascii="Arial" w:hAnsi="Arial" w:cs="Arial"/>
        </w:rPr>
        <w:t xml:space="preserve"> </w:t>
      </w:r>
      <w:r w:rsidR="00AE76C6">
        <w:rPr>
          <w:rFonts w:ascii="Arial" w:hAnsi="Arial" w:cs="Arial"/>
        </w:rPr>
        <w:t>la acreditación de la condición de mujer</w:t>
      </w:r>
      <w:r>
        <w:rPr>
          <w:rFonts w:ascii="Arial" w:hAnsi="Arial" w:cs="Arial"/>
        </w:rPr>
        <w:t xml:space="preserve"> en el marco de los Procesos de Contratación</w:t>
      </w:r>
      <w:r w:rsidR="0009098D">
        <w:rPr>
          <w:rFonts w:ascii="Arial" w:hAnsi="Arial" w:cs="Arial"/>
        </w:rPr>
        <w:t>,</w:t>
      </w:r>
      <w:r>
        <w:rPr>
          <w:rFonts w:ascii="Arial" w:hAnsi="Arial" w:cs="Arial"/>
        </w:rPr>
        <w:t xml:space="preserve"> </w:t>
      </w:r>
      <w:r w:rsidR="00AE76C6">
        <w:rPr>
          <w:rFonts w:ascii="Arial" w:hAnsi="Arial" w:cs="Arial"/>
        </w:rPr>
        <w:t xml:space="preserve">para efectos de </w:t>
      </w:r>
      <w:r>
        <w:rPr>
          <w:rFonts w:ascii="Arial" w:hAnsi="Arial" w:cs="Arial"/>
        </w:rPr>
        <w:t xml:space="preserve">la aplicación de los mencionados criterios </w:t>
      </w:r>
      <w:r w:rsidR="00AE76C6">
        <w:rPr>
          <w:rFonts w:ascii="Arial" w:hAnsi="Arial" w:cs="Arial"/>
        </w:rPr>
        <w:t>diferenciales</w:t>
      </w:r>
      <w:r w:rsidR="0009098D">
        <w:rPr>
          <w:rFonts w:ascii="Arial" w:hAnsi="Arial" w:cs="Arial"/>
        </w:rPr>
        <w:t>, se encuentra asociada a</w:t>
      </w:r>
      <w:r w:rsidR="00EB2BF7">
        <w:rPr>
          <w:rFonts w:ascii="Arial" w:hAnsi="Arial" w:cs="Arial"/>
        </w:rPr>
        <w:t xml:space="preserve"> la categoría “femenino” indicado en el marcado</w:t>
      </w:r>
      <w:r w:rsidR="0009098D">
        <w:rPr>
          <w:rFonts w:ascii="Arial" w:hAnsi="Arial" w:cs="Arial"/>
        </w:rPr>
        <w:t xml:space="preserve"> </w:t>
      </w:r>
      <w:r w:rsidR="00EB2BF7">
        <w:rPr>
          <w:rFonts w:ascii="Arial" w:hAnsi="Arial" w:cs="Arial"/>
        </w:rPr>
        <w:t>“</w:t>
      </w:r>
      <w:r w:rsidR="003B730A">
        <w:rPr>
          <w:rFonts w:ascii="Arial" w:hAnsi="Arial" w:cs="Arial"/>
        </w:rPr>
        <w:t>sexo</w:t>
      </w:r>
      <w:r w:rsidR="00EB2BF7">
        <w:rPr>
          <w:rFonts w:ascii="Arial" w:hAnsi="Arial" w:cs="Arial"/>
        </w:rPr>
        <w:t>”</w:t>
      </w:r>
      <w:r w:rsidR="0009098D">
        <w:rPr>
          <w:rFonts w:ascii="Arial" w:hAnsi="Arial" w:cs="Arial"/>
        </w:rPr>
        <w:t xml:space="preserve">, </w:t>
      </w:r>
      <w:r>
        <w:rPr>
          <w:rFonts w:ascii="Arial" w:hAnsi="Arial" w:cs="Arial"/>
        </w:rPr>
        <w:t xml:space="preserve"> </w:t>
      </w:r>
      <w:r w:rsidR="00AE1338">
        <w:rPr>
          <w:rFonts w:ascii="Arial" w:hAnsi="Arial" w:cs="Arial"/>
        </w:rPr>
        <w:t xml:space="preserve">por lo que </w:t>
      </w:r>
      <w:r>
        <w:rPr>
          <w:rFonts w:ascii="Arial" w:hAnsi="Arial" w:cs="Arial"/>
        </w:rPr>
        <w:t xml:space="preserve">necesariamente </w:t>
      </w:r>
      <w:r w:rsidR="00AE1338">
        <w:rPr>
          <w:rFonts w:ascii="Arial" w:hAnsi="Arial" w:cs="Arial"/>
        </w:rPr>
        <w:t xml:space="preserve">se </w:t>
      </w:r>
      <w:r>
        <w:rPr>
          <w:rFonts w:ascii="Arial" w:hAnsi="Arial" w:cs="Arial"/>
        </w:rPr>
        <w:t>exige la presentación de</w:t>
      </w:r>
      <w:r w:rsidR="00AE76C6">
        <w:rPr>
          <w:rFonts w:ascii="Arial" w:hAnsi="Arial" w:cs="Arial"/>
        </w:rPr>
        <w:t xml:space="preserve"> documentos de identidad en los que se indique </w:t>
      </w:r>
      <w:r w:rsidR="00EB2BF7">
        <w:rPr>
          <w:rFonts w:ascii="Arial" w:hAnsi="Arial" w:cs="Arial"/>
        </w:rPr>
        <w:t xml:space="preserve">la identidad de </w:t>
      </w:r>
      <w:r w:rsidR="00AE1338">
        <w:rPr>
          <w:rFonts w:ascii="Arial" w:hAnsi="Arial" w:cs="Arial"/>
        </w:rPr>
        <w:t>género</w:t>
      </w:r>
      <w:r w:rsidR="00EB2BF7">
        <w:rPr>
          <w:rFonts w:ascii="Arial" w:hAnsi="Arial" w:cs="Arial"/>
        </w:rPr>
        <w:t xml:space="preserve"> de esta</w:t>
      </w:r>
      <w:r w:rsidR="00E41CF6">
        <w:rPr>
          <w:rFonts w:ascii="Arial" w:hAnsi="Arial" w:cs="Arial"/>
        </w:rPr>
        <w:t xml:space="preserve"> </w:t>
      </w:r>
      <w:r w:rsidR="00EB2BF7">
        <w:rPr>
          <w:rFonts w:ascii="Arial" w:hAnsi="Arial" w:cs="Arial"/>
        </w:rPr>
        <w:t>manera</w:t>
      </w:r>
      <w:r w:rsidR="00E41CF6">
        <w:rPr>
          <w:rFonts w:ascii="Arial" w:hAnsi="Arial" w:cs="Arial"/>
        </w:rPr>
        <w:t>,</w:t>
      </w:r>
      <w:r w:rsidR="00AE1338">
        <w:rPr>
          <w:rFonts w:ascii="Arial" w:hAnsi="Arial" w:cs="Arial"/>
        </w:rPr>
        <w:t xml:space="preserve"> como presupuesto para acceder al incentivo,</w:t>
      </w:r>
      <w:r w:rsidR="00AE76C6">
        <w:rPr>
          <w:rFonts w:ascii="Arial" w:hAnsi="Arial" w:cs="Arial"/>
        </w:rPr>
        <w:t xml:space="preserve"> lo cual resulta apenas razonable ante la necesidad de que </w:t>
      </w:r>
      <w:r w:rsidR="003822E8">
        <w:rPr>
          <w:rFonts w:ascii="Arial" w:hAnsi="Arial" w:cs="Arial"/>
        </w:rPr>
        <w:t>estos in</w:t>
      </w:r>
      <w:r w:rsidR="006A6F6F">
        <w:rPr>
          <w:rFonts w:ascii="Arial" w:hAnsi="Arial" w:cs="Arial"/>
        </w:rPr>
        <w:t xml:space="preserve">centivos se apliquen a sus </w:t>
      </w:r>
      <w:r w:rsidR="00E41CF6">
        <w:rPr>
          <w:rFonts w:ascii="Arial" w:hAnsi="Arial" w:cs="Arial"/>
        </w:rPr>
        <w:t xml:space="preserve">reales </w:t>
      </w:r>
      <w:r w:rsidR="006A6F6F">
        <w:rPr>
          <w:rFonts w:ascii="Arial" w:hAnsi="Arial" w:cs="Arial"/>
        </w:rPr>
        <w:t xml:space="preserve">destinatarios. En ese sentido, sin </w:t>
      </w:r>
      <w:r w:rsidR="0032520F">
        <w:rPr>
          <w:rFonts w:ascii="Arial" w:hAnsi="Arial" w:cs="Arial"/>
        </w:rPr>
        <w:t xml:space="preserve">la presentación de un documento de identidad en estas condiciones, difícilmente podría una entidad dar por acreditada alguna de las definiciones de emprendimientos y empresas de mujeres establecidas en el artículo </w:t>
      </w:r>
      <w:r w:rsidRPr="00941AAF" w:rsidR="0032520F">
        <w:rPr>
          <w:rFonts w:ascii="Arial" w:hAnsi="Arial" w:cs="Arial"/>
        </w:rPr>
        <w:t>2.2.1.2.4.2.14</w:t>
      </w:r>
      <w:r w:rsidR="0032520F">
        <w:rPr>
          <w:rFonts w:ascii="Arial" w:hAnsi="Arial" w:cs="Arial"/>
        </w:rPr>
        <w:t xml:space="preserve"> del Decreto 1082 de 2015</w:t>
      </w:r>
      <w:r w:rsidR="00100759">
        <w:rPr>
          <w:rFonts w:ascii="Arial" w:hAnsi="Arial" w:cs="Arial"/>
        </w:rPr>
        <w:t xml:space="preserve">. </w:t>
      </w:r>
    </w:p>
    <w:p w:rsidRPr="00784E39" w:rsidR="009C559D" w:rsidP="00A42D06" w:rsidRDefault="006419C9" w14:paraId="4E3FDF38" w14:textId="55FFA7D5">
      <w:pPr>
        <w:spacing w:after="0" w:line="276" w:lineRule="auto"/>
        <w:ind w:firstLine="709"/>
        <w:jc w:val="both"/>
        <w:rPr>
          <w:rFonts w:ascii="Arial" w:hAnsi="Arial" w:cs="Arial"/>
        </w:rPr>
      </w:pPr>
      <w:r w:rsidRPr="1E15A5CB">
        <w:rPr>
          <w:rFonts w:ascii="Arial" w:hAnsi="Arial" w:cs="Arial"/>
        </w:rPr>
        <w:t xml:space="preserve"> </w:t>
      </w:r>
      <w:r w:rsidRPr="1E15A5CB" w:rsidR="19C04CF4">
        <w:rPr>
          <w:rFonts w:ascii="Arial" w:hAnsi="Arial" w:cs="Arial"/>
        </w:rPr>
        <w:t>Así mismo</w:t>
      </w:r>
      <w:r w:rsidRPr="1E15A5CB" w:rsidR="002D0342">
        <w:rPr>
          <w:rFonts w:ascii="Arial" w:hAnsi="Arial" w:cs="Arial"/>
        </w:rPr>
        <w:t xml:space="preserve">, un documento en el que se declare determinada persona se identifica con el </w:t>
      </w:r>
      <w:r w:rsidRPr="1E15A5CB" w:rsidR="009440DB">
        <w:rPr>
          <w:rFonts w:ascii="Arial" w:hAnsi="Arial" w:cs="Arial"/>
        </w:rPr>
        <w:t>género</w:t>
      </w:r>
      <w:r w:rsidRPr="1E15A5CB" w:rsidR="002D0342">
        <w:rPr>
          <w:rFonts w:ascii="Arial" w:hAnsi="Arial" w:cs="Arial"/>
        </w:rPr>
        <w:t xml:space="preserve"> femenino</w:t>
      </w:r>
      <w:r w:rsidRPr="1E15A5CB" w:rsidR="009440DB">
        <w:rPr>
          <w:rFonts w:ascii="Arial" w:hAnsi="Arial" w:cs="Arial"/>
        </w:rPr>
        <w:t xml:space="preserve"> o como mujer</w:t>
      </w:r>
      <w:r w:rsidRPr="1E15A5CB" w:rsidR="002D0342">
        <w:rPr>
          <w:rFonts w:ascii="Arial" w:hAnsi="Arial" w:cs="Arial"/>
        </w:rPr>
        <w:t xml:space="preserve"> no podría remplazar </w:t>
      </w:r>
      <w:r w:rsidRPr="1E15A5CB" w:rsidR="005A179A">
        <w:rPr>
          <w:rFonts w:ascii="Arial" w:hAnsi="Arial" w:cs="Arial"/>
        </w:rPr>
        <w:t xml:space="preserve">o sustituir el documento de identidad, conforme se colige de la referida tarifa legal. Es precisamente por esto por lo que, en los procesos adelantados </w:t>
      </w:r>
      <w:r w:rsidRPr="1E15A5CB" w:rsidR="008863B1">
        <w:rPr>
          <w:rFonts w:ascii="Arial" w:hAnsi="Arial" w:cs="Arial"/>
        </w:rPr>
        <w:t>con los documentos tipo expedidos por esta Agencia</w:t>
      </w:r>
      <w:r w:rsidRPr="1E15A5CB" w:rsidR="008137CF">
        <w:rPr>
          <w:rFonts w:ascii="Arial" w:hAnsi="Arial" w:cs="Arial"/>
        </w:rPr>
        <w:t xml:space="preserve">, se exige que la condición de emprendimiento y empresa de mujeres se acredite presentando el </w:t>
      </w:r>
      <w:r w:rsidRPr="00A42D06" w:rsidR="00895DAE">
        <w:rPr>
          <w:i/>
          <w:iCs/>
        </w:rPr>
        <w:t>“</w:t>
      </w:r>
      <w:r w:rsidRPr="00A42D06" w:rsidR="00CD73F5">
        <w:rPr>
          <w:rFonts w:ascii="Arial" w:hAnsi="Arial" w:cs="Arial"/>
          <w:i/>
          <w:iCs/>
        </w:rPr>
        <w:t>Formato 12 – ACREDITACIÓN DE EMPRENDIMIENTOS Y EMPRESAS DE MUJERES</w:t>
      </w:r>
      <w:r w:rsidRPr="00A42D06" w:rsidR="00895DAE">
        <w:rPr>
          <w:rFonts w:ascii="Arial" w:hAnsi="Arial" w:cs="Arial"/>
          <w:i/>
          <w:iCs/>
        </w:rPr>
        <w:t>”</w:t>
      </w:r>
      <w:r w:rsidRPr="1E15A5CB" w:rsidR="00784E39">
        <w:rPr>
          <w:rFonts w:ascii="Arial" w:hAnsi="Arial" w:cs="Arial"/>
        </w:rPr>
        <w:t xml:space="preserve">, el cual debe ser acompañado </w:t>
      </w:r>
      <w:r w:rsidRPr="1E15A5CB" w:rsidR="0078073D">
        <w:rPr>
          <w:rFonts w:ascii="Arial" w:hAnsi="Arial" w:cs="Arial"/>
        </w:rPr>
        <w:t>del respectivo documento de identidad, conforme se indica de manera expresa en las variantes a, b y c de dicho documento.</w:t>
      </w:r>
    </w:p>
    <w:p w:rsidRPr="002E1305" w:rsidR="00EE41AF" w:rsidP="00EE41AF" w:rsidRDefault="00EE41AF" w14:paraId="5F9FB009" w14:textId="77777777">
      <w:pPr>
        <w:spacing w:after="0" w:line="276" w:lineRule="auto"/>
        <w:jc w:val="both"/>
        <w:rPr>
          <w:rFonts w:ascii="Arial" w:hAnsi="Arial" w:eastAsia="Times New Roman" w:cs="Arial"/>
          <w:lang w:eastAsia="es-CO"/>
        </w:rPr>
      </w:pPr>
    </w:p>
    <w:p w:rsidRPr="00362B16" w:rsidR="00EE41AF" w:rsidP="00EE41AF" w:rsidRDefault="00EE41AF" w14:paraId="0C3135EB" w14:textId="77777777">
      <w:pPr>
        <w:tabs>
          <w:tab w:val="left" w:pos="0"/>
        </w:tabs>
        <w:spacing w:after="0" w:line="240" w:lineRule="auto"/>
        <w:jc w:val="both"/>
        <w:rPr>
          <w:rFonts w:ascii="Arial" w:hAnsi="Arial" w:eastAsia="Calibri" w:cs="Arial"/>
          <w:b/>
          <w:szCs w:val="24"/>
          <w:lang w:val="es-ES_tradnl" w:eastAsia="es-ES_tradnl"/>
        </w:rPr>
      </w:pPr>
      <w:r w:rsidRPr="00362B16">
        <w:rPr>
          <w:rFonts w:ascii="Arial" w:hAnsi="Arial" w:eastAsia="Calibri" w:cs="Arial"/>
          <w:b/>
          <w:szCs w:val="24"/>
          <w:lang w:val="es-ES_tradnl" w:eastAsia="es-ES_tradnl"/>
        </w:rPr>
        <w:t>3. Respuesta</w:t>
      </w:r>
    </w:p>
    <w:p w:rsidRPr="00362B16" w:rsidR="00EE41AF" w:rsidP="00EE41AF" w:rsidRDefault="00EE41AF" w14:paraId="56EE3A62" w14:textId="77777777">
      <w:pPr>
        <w:tabs>
          <w:tab w:val="left" w:pos="0"/>
        </w:tabs>
        <w:spacing w:after="0" w:line="240" w:lineRule="auto"/>
        <w:jc w:val="both"/>
        <w:rPr>
          <w:rFonts w:ascii="Arial" w:hAnsi="Arial" w:eastAsia="Calibri" w:cs="Arial"/>
          <w:szCs w:val="24"/>
          <w:lang w:val="es-ES_tradnl" w:eastAsia="es-ES_tradnl"/>
        </w:rPr>
      </w:pPr>
    </w:p>
    <w:p w:rsidRPr="00A90F94" w:rsidR="00EE41AF" w:rsidP="00EE41AF" w:rsidRDefault="00EE41AF" w14:paraId="0C429C6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“1. ¿La cédula de ciudadanía es el documento idóneo para certificar la condición de «Mujer», teniendo en cuenta que la cédula únicamente certifica el «Sexo» en términos de género donde se representa visualmente con una «F», para «Femenino» y con una «M» para «Masculino»?</w:t>
      </w:r>
    </w:p>
    <w:p w:rsidRPr="00A90F94" w:rsidR="00EE41AF" w:rsidP="00EE41AF" w:rsidRDefault="00EE41AF" w14:paraId="72776E0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AC5662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2. En caso negativo al primer punto, ¿La condición de «Ser Mujer», puede ser acreditada mediante una manifestación de voluntad expresa del proponente en donde diga que es «Mujer», es decir, el «FORMATO — ACREDITACIÓN DE EMPRENDIMIENTOS Y EMPRESAS DE MUJERES», es suficiente para acreditar dicha condición?</w:t>
      </w:r>
    </w:p>
    <w:p w:rsidRPr="00A90F94" w:rsidR="00EE41AF" w:rsidP="00EE41AF" w:rsidRDefault="00EE41AF" w14:paraId="31ED9F98"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4105C9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3. Si un oferente aporta una cédula donde aparece en el descriptor «Sexo: M», es decir «Masculino», y radica el «FORMATO — ACREDITACIÓN DE EMPRENDIMIENTOS Y EMPRESAS DE MUJERES», identificándose como mujer.</w:t>
      </w:r>
    </w:p>
    <w:p w:rsidRPr="00A90F94" w:rsidR="00EE41AF" w:rsidP="00EE41AF" w:rsidRDefault="00EE41AF" w14:paraId="02BBF20F"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7F41D295"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¿El hecho de que en la cédula de ciudadanía se certifique la característica «masculino», es excluyente de que se identifique como «Mujer»?</w:t>
      </w:r>
    </w:p>
    <w:p w:rsidRPr="00A90F94" w:rsidR="00EE41AF" w:rsidP="00EE41AF" w:rsidRDefault="00EE41AF" w14:paraId="1B38939F"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483FE1F"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Esto teniendo en cuenta que la cédula no acredita la condición de «Ser Mujer», sino que</w:t>
      </w:r>
      <w:r>
        <w:rPr>
          <w:rFonts w:ascii="Arial" w:hAnsi="Arial" w:eastAsia="Times New Roman" w:cs="Arial"/>
          <w:sz w:val="21"/>
          <w:szCs w:val="21"/>
          <w:lang w:val="es-ES_tradnl" w:eastAsia="es-ES_tradnl"/>
        </w:rPr>
        <w:t xml:space="preserve"> </w:t>
      </w:r>
      <w:r w:rsidRPr="00A90F94">
        <w:rPr>
          <w:rFonts w:ascii="Arial" w:hAnsi="Arial" w:eastAsia="Times New Roman" w:cs="Arial"/>
          <w:sz w:val="21"/>
          <w:szCs w:val="21"/>
          <w:lang w:val="es-ES_tradnl" w:eastAsia="es-ES_tradnl"/>
        </w:rPr>
        <w:t>se limita a certificar lo «Masculino» y lo «Femenino».</w:t>
      </w:r>
    </w:p>
    <w:p w:rsidRPr="00A90F94" w:rsidR="00EE41AF" w:rsidP="00EE41AF" w:rsidRDefault="00EE41AF" w14:paraId="36B8D06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B205496"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4. Una persona natural que,</w:t>
      </w:r>
    </w:p>
    <w:p w:rsidRPr="00A90F94" w:rsidR="00EE41AF" w:rsidP="00EE41AF" w:rsidRDefault="00EE41AF" w14:paraId="5259F5C7"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036B3B9"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«Hombre».</w:t>
      </w:r>
    </w:p>
    <w:p w:rsidRPr="00A90F94" w:rsidR="00EE41AF" w:rsidP="00EE41AF" w:rsidRDefault="00EE41AF" w14:paraId="2D99B7A5"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7D26FCF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 y</w:t>
      </w:r>
    </w:p>
    <w:p w:rsidRPr="00A90F94" w:rsidR="00EE41AF" w:rsidP="00EE41AF" w:rsidRDefault="00EE41AF" w14:paraId="5BC2BF1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92A5DE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w:t>
      </w:r>
    </w:p>
    <w:p w:rsidRPr="00A90F94" w:rsidR="00EE41AF" w:rsidP="00EE41AF" w:rsidRDefault="00EE41AF" w14:paraId="4962353F"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7A19E28"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¿La anotación de «M», entendida como «Masculino», lo excluye de identificarse como «Mujer», o debería ser tratado como «Mujer», toda vez que la cédula no certifica el «Ser»?</w:t>
      </w:r>
    </w:p>
    <w:p w:rsidRPr="00A90F94" w:rsidR="00EE41AF" w:rsidP="00EE41AF" w:rsidRDefault="00EE41AF" w14:paraId="6E3D506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41435504"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5. Una persona natural que,</w:t>
      </w:r>
    </w:p>
    <w:p w:rsidRPr="00A90F94" w:rsidR="00EE41AF" w:rsidP="00EE41AF" w:rsidRDefault="00EE41AF" w14:paraId="4F21583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4D410C3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«Trans».</w:t>
      </w:r>
    </w:p>
    <w:p w:rsidRPr="00A90F94" w:rsidR="00EE41AF" w:rsidP="00EE41AF" w:rsidRDefault="00EE41AF" w14:paraId="537D9D1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4FFC39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 y</w:t>
      </w:r>
    </w:p>
    <w:p w:rsidRPr="00A90F94" w:rsidR="00EE41AF" w:rsidP="00EE41AF" w:rsidRDefault="00EE41AF" w14:paraId="33000C1E"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3DDA99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w:t>
      </w:r>
    </w:p>
    <w:p w:rsidRPr="00A90F94" w:rsidR="00EE41AF" w:rsidP="00EE41AF" w:rsidRDefault="00EE41AF" w14:paraId="09BF3B9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85E5C9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¿La anotación de «M», entendida como «Masculino», lo excluye de identificarse como «Mujer», o debería ser tratado como «Mujer», toda vez que la cédula no certifica el «Ser Mujer»?</w:t>
      </w:r>
    </w:p>
    <w:p w:rsidRPr="00A90F94" w:rsidR="00EE41AF" w:rsidP="00EE41AF" w:rsidRDefault="00EE41AF" w14:paraId="2711BD15"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E8F8E04"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6. Una persona natural que,</w:t>
      </w:r>
    </w:p>
    <w:p w:rsidRPr="00A90F94" w:rsidR="00EE41AF" w:rsidP="00EE41AF" w:rsidRDefault="00EE41AF" w14:paraId="144822E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E7067C4"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Por los estereotipos del entorno cultural donde se encuentre el comité evaluador estos interpretan que es un «Hombre».</w:t>
      </w:r>
    </w:p>
    <w:p w:rsidRPr="00A90F94" w:rsidR="00EE41AF" w:rsidP="00EE41AF" w:rsidRDefault="00EE41AF" w14:paraId="29498E3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05E2914E"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Además, en su cédula aparece una «M» de Masculino.</w:t>
      </w:r>
    </w:p>
    <w:p w:rsidRPr="00A90F94" w:rsidR="00EE41AF" w:rsidP="00EE41AF" w:rsidRDefault="00EE41AF" w14:paraId="5FED1A5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617DCD0"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c. Certifica ser «Mujer» en el formato respectivo, y</w:t>
      </w:r>
    </w:p>
    <w:p w:rsidRPr="00A90F94" w:rsidR="00EE41AF" w:rsidP="00EE41AF" w:rsidRDefault="00EE41AF" w14:paraId="7C7ED84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293CD96A"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d. Cuando se le pregunta por su condición afirma que se identifica como «Mujer» con orientación sexual de «Lesbiana», pero que le gusta expresarse como la cultura ha denominado «Hombre».</w:t>
      </w:r>
    </w:p>
    <w:p w:rsidRPr="00A90F94" w:rsidR="00EE41AF" w:rsidP="00EE41AF" w:rsidRDefault="00EE41AF" w14:paraId="1E6D9073"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C4B568E"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¿Este contexto lo excluye de identificarse como «¿Mujer», o debería ser tratado como «Hombre»?</w:t>
      </w:r>
    </w:p>
    <w:p w:rsidRPr="00A90F94" w:rsidR="00EE41AF" w:rsidP="00EE41AF" w:rsidRDefault="00EE41AF" w14:paraId="21446A11"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58A5D7FB"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Se plantea este caso, toda vez que el comité evaluador puede interpretar que no es «Mujer» y que eventualmente puede estar abusando del derecho.</w:t>
      </w:r>
    </w:p>
    <w:p w:rsidRPr="00A90F94" w:rsidR="00EE41AF" w:rsidP="00EE41AF" w:rsidRDefault="00EE41AF" w14:paraId="6D5B8EC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C822769"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7. El caso expresado en el punto 6, al ser un eventual conflicto entre un presunto abuso del derecho y un choque del derecho fundamental innominado a la Identidad de Género, reconocido por la Corte Constitucional</w:t>
      </w:r>
    </w:p>
    <w:p w:rsidRPr="00A90F94" w:rsidR="00EE41AF" w:rsidP="00EE41AF" w:rsidRDefault="00EE41AF" w14:paraId="582ED85C"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182F2CF2"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a. ¿Debería resolverse a través de una interpretación del comité evaluador como un abuso del derecho de parte del proponente?, o</w:t>
      </w:r>
    </w:p>
    <w:p w:rsidRPr="00A90F94" w:rsidR="00EE41AF" w:rsidP="00EE41AF" w:rsidRDefault="00EE41AF" w14:paraId="64DC0C7D" w14:textId="77777777">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p>
    <w:p w:rsidRPr="00A90F94" w:rsidR="00EE41AF" w:rsidP="00EE41AF" w:rsidRDefault="00EE41AF" w14:paraId="68D809AC" w14:textId="0EBDC80C">
      <w:pPr>
        <w:autoSpaceDE w:val="0"/>
        <w:autoSpaceDN w:val="0"/>
        <w:adjustRightInd w:val="0"/>
        <w:spacing w:after="0" w:line="240" w:lineRule="auto"/>
        <w:ind w:left="709" w:right="709"/>
        <w:jc w:val="both"/>
        <w:rPr>
          <w:rFonts w:ascii="Arial" w:hAnsi="Arial" w:eastAsia="Times New Roman" w:cs="Arial"/>
          <w:sz w:val="21"/>
          <w:szCs w:val="21"/>
          <w:lang w:val="es-ES_tradnl" w:eastAsia="es-ES_tradnl"/>
        </w:rPr>
      </w:pPr>
      <w:r w:rsidRPr="00A90F94">
        <w:rPr>
          <w:rFonts w:ascii="Arial" w:hAnsi="Arial" w:eastAsia="Times New Roman" w:cs="Arial"/>
          <w:sz w:val="21"/>
          <w:szCs w:val="21"/>
          <w:lang w:val="es-ES_tradnl" w:eastAsia="es-ES_tradnl"/>
        </w:rPr>
        <w:t>b. ¿Debería resolverse de una manera donde prime el Derecho Fundamental Innominado a la Identidad de Género, reconocido por la Corte Constitucional, y aceptarse la condición de «Mujer» del proponente, sin exigir requisitos adicionales?”</w:t>
      </w:r>
      <w:r w:rsidR="00A5673E">
        <w:rPr>
          <w:rFonts w:ascii="Arial" w:hAnsi="Arial" w:eastAsia="Times New Roman" w:cs="Arial"/>
          <w:sz w:val="21"/>
          <w:szCs w:val="21"/>
          <w:lang w:val="es-ES_tradnl" w:eastAsia="es-ES_tradnl"/>
        </w:rPr>
        <w:t>.</w:t>
      </w:r>
    </w:p>
    <w:p w:rsidR="00893B4A" w:rsidP="00893B4A" w:rsidRDefault="00893B4A" w14:paraId="04436555" w14:textId="77777777">
      <w:pPr>
        <w:autoSpaceDE w:val="0"/>
        <w:autoSpaceDN w:val="0"/>
        <w:adjustRightInd w:val="0"/>
        <w:spacing w:after="0" w:line="240" w:lineRule="auto"/>
        <w:ind w:right="709"/>
        <w:jc w:val="both"/>
        <w:rPr>
          <w:rFonts w:ascii="Arial" w:hAnsi="Arial" w:eastAsia="Times New Roman" w:cs="Arial"/>
          <w:sz w:val="21"/>
          <w:szCs w:val="21"/>
          <w:lang w:val="es-ES_tradnl" w:eastAsia="es-ES_tradnl"/>
        </w:rPr>
      </w:pPr>
    </w:p>
    <w:p w:rsidRPr="006D7E12" w:rsidR="00893B4A" w:rsidP="00A42D06" w:rsidRDefault="00893B4A" w14:paraId="0837B9F9" w14:textId="74D296D4">
      <w:pPr>
        <w:spacing w:after="120" w:line="276" w:lineRule="auto"/>
        <w:jc w:val="both"/>
        <w:rPr>
          <w:rFonts w:ascii="Arial" w:hAnsi="Arial" w:cs="Arial"/>
          <w:lang w:val="es-ES"/>
        </w:rPr>
      </w:pPr>
      <w:r w:rsidRPr="006D7E12">
        <w:rPr>
          <w:rFonts w:ascii="Arial" w:hAnsi="Arial" w:cs="Arial"/>
          <w:bCs/>
        </w:rPr>
        <w:t xml:space="preserve">En ejercicio de las competencias </w:t>
      </w:r>
      <w:r>
        <w:rPr>
          <w:rFonts w:ascii="Arial" w:hAnsi="Arial" w:cs="Arial"/>
          <w:bCs/>
        </w:rPr>
        <w:t>de</w:t>
      </w:r>
      <w:r w:rsidRPr="006D7E12">
        <w:rPr>
          <w:rFonts w:ascii="Arial" w:hAnsi="Arial" w:cs="Arial"/>
          <w:bCs/>
        </w:rPr>
        <w:t xml:space="preserve"> los artículos 3</w:t>
      </w:r>
      <w:r>
        <w:rPr>
          <w:rFonts w:ascii="Arial" w:hAnsi="Arial" w:cs="Arial"/>
          <w:bCs/>
        </w:rPr>
        <w:t xml:space="preserve">, numeral </w:t>
      </w:r>
      <w:r w:rsidRPr="006D7E12">
        <w:rPr>
          <w:rFonts w:ascii="Arial" w:hAnsi="Arial" w:cs="Arial"/>
          <w:bCs/>
        </w:rPr>
        <w:t>5</w:t>
      </w:r>
      <w:r>
        <w:rPr>
          <w:rFonts w:ascii="Arial" w:hAnsi="Arial" w:cs="Arial"/>
          <w:bCs/>
        </w:rPr>
        <w:t>°</w:t>
      </w:r>
      <w:r w:rsidRPr="006D7E12">
        <w:rPr>
          <w:rFonts w:ascii="Arial" w:hAnsi="Arial" w:cs="Arial"/>
          <w:bCs/>
        </w:rPr>
        <w:t xml:space="preserve"> y 11</w:t>
      </w:r>
      <w:r>
        <w:rPr>
          <w:rFonts w:ascii="Arial" w:hAnsi="Arial" w:cs="Arial"/>
          <w:bCs/>
        </w:rPr>
        <w:t xml:space="preserve">, numeral </w:t>
      </w:r>
      <w:r w:rsidRPr="006D7E12">
        <w:rPr>
          <w:rFonts w:ascii="Arial" w:hAnsi="Arial" w:cs="Arial"/>
          <w:bCs/>
        </w:rPr>
        <w:t>8</w:t>
      </w:r>
      <w:r>
        <w:rPr>
          <w:rFonts w:ascii="Arial" w:hAnsi="Arial" w:cs="Arial"/>
          <w:bCs/>
        </w:rPr>
        <w:t>°</w:t>
      </w:r>
      <w:r w:rsidRPr="006D7E12">
        <w:rPr>
          <w:rFonts w:ascii="Arial" w:hAnsi="Arial" w:cs="Arial"/>
          <w:bCs/>
        </w:rPr>
        <w:t xml:space="preserve"> del Decreto</w:t>
      </w:r>
      <w:r>
        <w:rPr>
          <w:rFonts w:ascii="Arial" w:hAnsi="Arial" w:cs="Arial"/>
          <w:bCs/>
        </w:rPr>
        <w:t xml:space="preserve"> Ley</w:t>
      </w:r>
      <w:r w:rsidRPr="006D7E12">
        <w:rPr>
          <w:rFonts w:ascii="Arial" w:hAnsi="Arial" w:cs="Arial"/>
          <w:bCs/>
        </w:rPr>
        <w:t xml:space="preserve">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lang w:val="es-ES"/>
        </w:rPr>
        <w:t>concretos</w:t>
      </w:r>
      <w:r w:rsidRPr="006D7E12">
        <w:rPr>
          <w:rFonts w:ascii="Arial" w:hAnsi="Arial" w:cs="Arial"/>
          <w:bCs/>
        </w:rPr>
        <w:t xml:space="preserve"> de todos los partícipes de la contratación estatal</w:t>
      </w:r>
      <w:r>
        <w:rPr>
          <w:rFonts w:ascii="Arial" w:hAnsi="Arial" w:cs="Arial"/>
          <w:bCs/>
        </w:rPr>
        <w:t xml:space="preserve">. </w:t>
      </w: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actuación en específico</w:t>
      </w:r>
      <w:r w:rsidRPr="006D7E12">
        <w:rPr>
          <w:rFonts w:ascii="Arial" w:hAnsi="Arial" w:cs="Arial"/>
          <w:lang w:val="es-ES"/>
        </w:rPr>
        <w:t>.</w:t>
      </w:r>
    </w:p>
    <w:p w:rsidRPr="00A42D06" w:rsidR="00EE41AF" w:rsidP="004B558E" w:rsidRDefault="006E6157" w14:paraId="40E8107B" w14:textId="2577D9E0">
      <w:pPr>
        <w:spacing w:after="120" w:line="276" w:lineRule="auto"/>
        <w:ind w:firstLine="708"/>
        <w:jc w:val="both"/>
        <w:rPr>
          <w:rFonts w:ascii="Arial" w:hAnsi="Arial" w:cs="Arial"/>
        </w:rPr>
      </w:pPr>
      <w:r w:rsidRPr="1E15A5CB">
        <w:rPr>
          <w:rFonts w:ascii="Arial" w:hAnsi="Arial" w:cs="Arial"/>
        </w:rPr>
        <w:t>Sin perjuicio de lo anterior, de acuerdo con las consideraciones expuestas es posible afirmar que</w:t>
      </w:r>
      <w:r w:rsidRPr="00A42D06" w:rsidR="00EE41AF">
        <w:rPr>
          <w:rFonts w:ascii="Arial" w:hAnsi="Arial" w:cs="Arial"/>
        </w:rPr>
        <w:t xml:space="preserve"> el artículo </w:t>
      </w:r>
      <w:bookmarkStart w:name="_Hlk111037928" w:id="13"/>
      <w:r w:rsidRPr="00A42D06" w:rsidR="00EE41AF">
        <w:rPr>
          <w:rFonts w:ascii="Arial" w:hAnsi="Arial" w:cs="Arial"/>
        </w:rPr>
        <w:t>2.2.1.2.4.2.14</w:t>
      </w:r>
      <w:bookmarkEnd w:id="13"/>
      <w:r w:rsidRPr="00A42D06" w:rsidR="00EE41AF">
        <w:rPr>
          <w:rFonts w:ascii="Arial" w:hAnsi="Arial" w:cs="Arial"/>
        </w:rPr>
        <w:t xml:space="preserve"> del Decreto 1082 de 2015, adicionado por el Decreto 1860 de 2021, establece diferentes definiciones de emprendimientos y empresas de mujeres, a efectos de la aplicación de los criterios diferenciales a los que se refiere el artículo 32 de la Ley 2069 de 2020. De igual forma, el referido artículo 2.2.1.2.4.2.14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w:t>
      </w:r>
      <w:r w:rsidRPr="00A42D06" w:rsidR="00A17FC3">
        <w:rPr>
          <w:rFonts w:ascii="Arial" w:hAnsi="Arial" w:cs="Arial"/>
        </w:rPr>
        <w:t xml:space="preserve">, acompañadas de los respectivos documentos de </w:t>
      </w:r>
      <w:r w:rsidRPr="1E15A5CB" w:rsidR="684E8C2C">
        <w:rPr>
          <w:rFonts w:ascii="Arial" w:hAnsi="Arial" w:cs="Arial"/>
        </w:rPr>
        <w:t>identidad.</w:t>
      </w:r>
    </w:p>
    <w:p w:rsidRPr="00CF5546" w:rsidR="00EE41AF" w:rsidP="00EE41AF" w:rsidRDefault="00EE41AF" w14:paraId="21CD13F4" w14:textId="77777777">
      <w:pPr>
        <w:spacing w:after="120" w:line="276" w:lineRule="auto"/>
        <w:ind w:firstLine="709"/>
        <w:jc w:val="both"/>
        <w:rPr>
          <w:rFonts w:ascii="Arial" w:hAnsi="Arial" w:eastAsia="Calibri" w:cs="Arial"/>
          <w:bCs/>
          <w:color w:val="000000"/>
          <w:lang w:val="es-ES_tradnl"/>
        </w:rPr>
      </w:pPr>
      <w:r w:rsidRPr="00ED7E96">
        <w:rPr>
          <w:rFonts w:ascii="Arial" w:hAnsi="Arial" w:eastAsia="Calibri" w:cs="Arial"/>
          <w:lang w:val="es-ES_tradnl"/>
        </w:rPr>
        <w:t>De acuerdo con el numeral</w:t>
      </w:r>
      <w:r>
        <w:rPr>
          <w:rFonts w:ascii="Arial" w:hAnsi="Arial" w:eastAsia="Calibri" w:cs="Arial"/>
          <w:lang w:val="es-ES_tradnl"/>
        </w:rPr>
        <w:t xml:space="preserve"> 2 del artículo pre</w:t>
      </w:r>
      <w:r w:rsidRPr="00ED7E96">
        <w:rPr>
          <w:rFonts w:ascii="Arial" w:hAnsi="Arial" w:eastAsia="Calibri" w:cs="Arial"/>
          <w:lang w:val="es-ES_tradnl"/>
        </w:rPr>
        <w:t xml:space="preserve">citado, una persona jurídica podrá ser considerada como un emprendimiento o empresa de mujeres cuando más del </w:t>
      </w:r>
      <w:r>
        <w:rPr>
          <w:rFonts w:ascii="Arial" w:hAnsi="Arial" w:eastAsia="Calibri" w:cs="Arial"/>
          <w:lang w:val="es-ES_tradnl"/>
        </w:rPr>
        <w:t>cincuenta por ciento (</w:t>
      </w:r>
      <w:r w:rsidRPr="00ED7E96">
        <w:rPr>
          <w:rFonts w:ascii="Arial" w:hAnsi="Arial" w:eastAsia="Calibri" w:cs="Arial"/>
          <w:lang w:val="es-ES_tradnl"/>
        </w:rPr>
        <w:t>50%</w:t>
      </w:r>
      <w:r>
        <w:rPr>
          <w:rFonts w:ascii="Arial" w:hAnsi="Arial" w:eastAsia="Calibri" w:cs="Arial"/>
          <w:lang w:val="es-ES_tradnl"/>
        </w:rPr>
        <w:t>)</w:t>
      </w:r>
      <w:r w:rsidRPr="00ED7E96">
        <w:rPr>
          <w:rFonts w:ascii="Arial" w:hAnsi="Arial" w:eastAsia="Calibri" w:cs="Arial"/>
          <w:lang w:val="es-ES_tradnl"/>
        </w:rPr>
        <w:t xml:space="preserve"> de los empleos del nivel directivo de la persona jurídica sean ejercidos por mujeres.</w:t>
      </w:r>
      <w:r>
        <w:rPr>
          <w:rFonts w:ascii="Arial" w:hAnsi="Arial" w:eastAsia="Calibri" w:cs="Arial"/>
          <w:lang w:val="es-ES_tradnl"/>
        </w:rPr>
        <w:t xml:space="preserve"> </w:t>
      </w:r>
      <w:r w:rsidRPr="00ED7E96">
        <w:rPr>
          <w:rFonts w:ascii="Arial" w:hAnsi="Arial" w:eastAsia="Calibri" w:cs="Arial"/>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rsidR="00EE41AF" w:rsidP="00EE41AF" w:rsidRDefault="00EE41AF" w14:paraId="5383463D" w14:textId="5F78CF87">
      <w:pPr>
        <w:spacing w:before="120" w:after="120" w:line="276" w:lineRule="auto"/>
        <w:ind w:firstLine="709"/>
        <w:jc w:val="both"/>
        <w:rPr>
          <w:rFonts w:ascii="Arial" w:hAnsi="Arial" w:eastAsia="Calibri" w:cs="Arial"/>
          <w:bCs/>
          <w:color w:val="000000"/>
          <w:lang w:val="es-ES_tradnl"/>
        </w:rPr>
      </w:pPr>
      <w:r w:rsidRPr="00362B16">
        <w:rPr>
          <w:rFonts w:ascii="Arial" w:hAnsi="Arial" w:eastAsia="Calibri" w:cs="Arial"/>
          <w:bCs/>
          <w:color w:val="000000"/>
          <w:lang w:val="es-ES_tradnl"/>
        </w:rPr>
        <w:t>Frente a las personas naturales la norma dispuso, en el numeral 3 del artículo 2.2.1.2.4.2.14</w:t>
      </w:r>
      <w:r>
        <w:rPr>
          <w:rFonts w:ascii="Arial" w:hAnsi="Arial" w:eastAsia="Calibri" w:cs="Arial"/>
          <w:bCs/>
          <w:color w:val="000000"/>
          <w:lang w:val="es-ES_tradnl"/>
        </w:rPr>
        <w:t>,</w:t>
      </w:r>
      <w:r w:rsidRPr="00362B16">
        <w:rPr>
          <w:rFonts w:ascii="Arial" w:hAnsi="Arial" w:eastAsia="Calibri" w:cs="Arial"/>
          <w:bCs/>
          <w:color w:val="000000"/>
          <w:lang w:val="es-ES_tradnl"/>
        </w:rPr>
        <w:t xml:space="preserve"> las condiciones para que esta sea catalogada como acreedora de un emprendimiento o empresa de mujeres, bajo el entendido en que </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sea una mujer y haya ejercido actividades comerciales a través de un establecimiento de comercio durante al menos el último año anterior a la fecha de cierre del proceso de selección</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 xml:space="preserve"> y acreditando esta circunstancia </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mediante la copia de cédula de ciudadanía, la cédula de extranjería o el pasaporte, así como la copia del registro mercantil</w:t>
      </w:r>
      <w:r w:rsidR="00032E86">
        <w:rPr>
          <w:rFonts w:ascii="Arial" w:hAnsi="Arial" w:eastAsia="Calibri" w:cs="Arial"/>
          <w:bCs/>
          <w:color w:val="000000"/>
          <w:lang w:val="es-ES_tradnl"/>
        </w:rPr>
        <w:t>”</w:t>
      </w:r>
      <w:r w:rsidRPr="00362B16">
        <w:rPr>
          <w:rFonts w:ascii="Arial" w:hAnsi="Arial" w:eastAsia="Calibri" w:cs="Arial"/>
          <w:bCs/>
          <w:color w:val="000000"/>
          <w:lang w:val="es-ES_tradnl"/>
        </w:rPr>
        <w:t xml:space="preserve">. </w:t>
      </w:r>
    </w:p>
    <w:p w:rsidRPr="002E1305" w:rsidR="00EE41AF" w:rsidP="00EE41AF" w:rsidRDefault="00EE41AF" w14:paraId="6E2A80C0" w14:textId="3F9266E5">
      <w:pPr>
        <w:spacing w:after="0" w:line="276" w:lineRule="auto"/>
        <w:ind w:firstLine="708"/>
        <w:jc w:val="both"/>
        <w:rPr>
          <w:rFonts w:ascii="Arial" w:hAnsi="Arial" w:cs="Arial"/>
        </w:rPr>
      </w:pPr>
      <w:r>
        <w:rPr>
          <w:rFonts w:ascii="Arial" w:hAnsi="Arial" w:eastAsia="Calibri" w:cs="Arial"/>
          <w:bCs/>
          <w:color w:val="000000"/>
          <w:lang w:val="es-ES_tradnl"/>
        </w:rPr>
        <w:t xml:space="preserve">Por otra parte, es importante señalar que, </w:t>
      </w:r>
      <w:r w:rsidRPr="002E1305">
        <w:rPr>
          <w:rFonts w:ascii="Arial" w:hAnsi="Arial" w:cs="Arial"/>
        </w:rPr>
        <w:t xml:space="preserve">partiendo de la concepción de la </w:t>
      </w:r>
      <w:r w:rsidRPr="00A42D06">
        <w:rPr>
          <w:rFonts w:ascii="Arial" w:hAnsi="Arial" w:cs="Arial"/>
          <w:i/>
        </w:rPr>
        <w:t>identidad de género</w:t>
      </w:r>
      <w:r w:rsidRPr="002E1305">
        <w:rPr>
          <w:rFonts w:ascii="Arial" w:hAnsi="Arial" w:cs="Arial"/>
        </w:rPr>
        <w:t xml:space="preserve"> como una construcción individual, se precisa entonces que el componente </w:t>
      </w:r>
      <w:r w:rsidRPr="00A42D06">
        <w:rPr>
          <w:rFonts w:ascii="Arial" w:hAnsi="Arial" w:cs="Arial"/>
          <w:i/>
        </w:rPr>
        <w:t>“sexo”</w:t>
      </w:r>
      <w:r w:rsidRPr="002E1305">
        <w:rPr>
          <w:rFonts w:ascii="Arial" w:hAnsi="Arial" w:cs="Arial"/>
        </w:rPr>
        <w:t xml:space="preserve"> que registra en la identificación de las personas, evolucionó en tal medida que la información consignada en este campo o ítem, por decirlo de alguna manera, debe entenderse como una decisión personal y no como una asignación ligada al sexo con el que se nace</w:t>
      </w:r>
      <w:r>
        <w:rPr>
          <w:rFonts w:ascii="Arial" w:hAnsi="Arial" w:cs="Arial"/>
        </w:rPr>
        <w:t>. Es</w:t>
      </w:r>
      <w:r w:rsidRPr="002E1305">
        <w:rPr>
          <w:rFonts w:ascii="Arial" w:hAnsi="Arial" w:cs="Arial"/>
        </w:rPr>
        <w:t xml:space="preserve"> por ello que las personas tienen la potestad de modificar su marcador de </w:t>
      </w:r>
      <w:r w:rsidRPr="00A42D06" w:rsidR="00CC2B31">
        <w:rPr>
          <w:rFonts w:ascii="Arial" w:hAnsi="Arial" w:cs="Arial"/>
          <w:i/>
          <w:iCs/>
        </w:rPr>
        <w:t>“</w:t>
      </w:r>
      <w:r w:rsidRPr="00A42D06">
        <w:rPr>
          <w:rFonts w:ascii="Arial" w:hAnsi="Arial" w:cs="Arial"/>
          <w:i/>
        </w:rPr>
        <w:t>sexo</w:t>
      </w:r>
      <w:r w:rsidRPr="00A42D06" w:rsidR="00CC2B31">
        <w:rPr>
          <w:rFonts w:ascii="Arial" w:hAnsi="Arial" w:cs="Arial"/>
          <w:i/>
          <w:iCs/>
        </w:rPr>
        <w:t>”</w:t>
      </w:r>
      <w:r w:rsidRPr="002E1305">
        <w:rPr>
          <w:rFonts w:ascii="Arial" w:hAnsi="Arial" w:cs="Arial"/>
        </w:rPr>
        <w:t xml:space="preserve"> para que coincida con su identidad, en caso de que requiera hacer el tránsito formal hacia otro género</w:t>
      </w:r>
      <w:r>
        <w:rPr>
          <w:rFonts w:ascii="Arial" w:hAnsi="Arial" w:cs="Arial"/>
        </w:rPr>
        <w:t>. S</w:t>
      </w:r>
      <w:r w:rsidRPr="002E1305">
        <w:rPr>
          <w:rFonts w:ascii="Arial" w:hAnsi="Arial" w:cs="Arial"/>
        </w:rPr>
        <w:t>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p>
    <w:p w:rsidRPr="00C14BE6" w:rsidR="00EE41AF" w:rsidP="1E15A5CB" w:rsidRDefault="00EE41AF" w14:paraId="6F9A49D9" w14:textId="0EF7B005">
      <w:pPr>
        <w:spacing w:before="120" w:after="120" w:line="276" w:lineRule="auto"/>
        <w:ind w:firstLine="709"/>
        <w:jc w:val="both"/>
        <w:rPr>
          <w:rFonts w:ascii="Arial" w:hAnsi="Arial" w:eastAsia="Calibri" w:cs="Arial"/>
          <w:bCs/>
          <w:color w:val="000000"/>
        </w:rPr>
      </w:pPr>
      <w:r w:rsidRPr="1E15A5CB">
        <w:rPr>
          <w:rFonts w:ascii="Arial" w:hAnsi="Arial" w:eastAsia="Calibri" w:cs="Arial"/>
          <w:color w:val="000000" w:themeColor="text1"/>
        </w:rPr>
        <w:t xml:space="preserve">En línea con lo anterior, </w:t>
      </w:r>
      <w:r w:rsidRPr="1E15A5CB" w:rsidR="007A64E0">
        <w:rPr>
          <w:rFonts w:ascii="Arial" w:hAnsi="Arial" w:eastAsia="Calibri" w:cs="Arial"/>
          <w:color w:val="000000" w:themeColor="text1"/>
        </w:rPr>
        <w:t xml:space="preserve">se </w:t>
      </w:r>
      <w:r w:rsidRPr="1E15A5CB">
        <w:rPr>
          <w:rFonts w:ascii="Arial" w:hAnsi="Arial" w:eastAsia="Calibri" w:cs="Arial"/>
          <w:color w:val="000000" w:themeColor="text1"/>
        </w:rPr>
        <w:t xml:space="preserve">resalta la importancia de la </w:t>
      </w:r>
      <w:r w:rsidRPr="00A42D06">
        <w:rPr>
          <w:rFonts w:ascii="Arial" w:hAnsi="Arial" w:eastAsia="Calibri" w:cs="Arial"/>
          <w:i/>
          <w:color w:val="000000" w:themeColor="text1"/>
        </w:rPr>
        <w:t>identidad de género</w:t>
      </w:r>
      <w:r w:rsidRPr="1E15A5CB">
        <w:rPr>
          <w:rFonts w:ascii="Arial" w:hAnsi="Arial" w:eastAsia="Calibri" w:cs="Arial"/>
          <w:color w:val="000000" w:themeColor="text1"/>
        </w:rPr>
        <w:t xml:space="preserve"> como </w:t>
      </w:r>
      <w:r w:rsidRPr="1E15A5CB" w:rsidR="007A64E0">
        <w:rPr>
          <w:rFonts w:ascii="Arial" w:hAnsi="Arial" w:eastAsia="Calibri" w:cs="Arial"/>
          <w:color w:val="000000" w:themeColor="text1"/>
        </w:rPr>
        <w:t>derecho en virtud del cual</w:t>
      </w:r>
      <w:r w:rsidRPr="1E15A5CB">
        <w:rPr>
          <w:rFonts w:ascii="Arial" w:hAnsi="Arial" w:eastAsia="Calibri" w:cs="Arial"/>
          <w:color w:val="000000" w:themeColor="text1"/>
        </w:rPr>
        <w:t xml:space="preserve"> las personas </w:t>
      </w:r>
      <w:r w:rsidRPr="1E15A5CB" w:rsidR="007A64E0">
        <w:rPr>
          <w:rFonts w:ascii="Arial" w:hAnsi="Arial" w:eastAsia="Calibri" w:cs="Arial"/>
          <w:color w:val="000000" w:themeColor="text1"/>
        </w:rPr>
        <w:t>pueden</w:t>
      </w:r>
      <w:r w:rsidRPr="1E15A5CB">
        <w:rPr>
          <w:rFonts w:ascii="Arial" w:hAnsi="Arial" w:eastAsia="Calibri" w:cs="Arial"/>
          <w:color w:val="000000" w:themeColor="text1"/>
        </w:rPr>
        <w:t xml:space="preserve"> identificarse conforme a sus propias consideraciones. Sin embargo, la acreditación de la condición de </w:t>
      </w:r>
      <w:r w:rsidRPr="004B558E" w:rsidR="007A64E0">
        <w:rPr>
          <w:rFonts w:ascii="Arial" w:hAnsi="Arial" w:eastAsia="Calibri" w:cs="Arial"/>
          <w:i/>
          <w:iCs/>
          <w:color w:val="000000" w:themeColor="text1"/>
        </w:rPr>
        <w:t>“</w:t>
      </w:r>
      <w:r w:rsidRPr="00A42D06">
        <w:rPr>
          <w:rFonts w:ascii="Arial" w:hAnsi="Arial" w:eastAsia="Calibri" w:cs="Arial"/>
          <w:i/>
          <w:color w:val="000000" w:themeColor="text1"/>
        </w:rPr>
        <w:t>mujer</w:t>
      </w:r>
      <w:r w:rsidRPr="004B558E" w:rsidR="007A64E0">
        <w:rPr>
          <w:rFonts w:ascii="Arial" w:hAnsi="Arial" w:eastAsia="Calibri" w:cs="Arial"/>
          <w:i/>
          <w:iCs/>
          <w:color w:val="000000" w:themeColor="text1"/>
        </w:rPr>
        <w:t>”</w:t>
      </w:r>
      <w:r w:rsidRPr="1E15A5CB">
        <w:rPr>
          <w:rFonts w:ascii="Arial" w:hAnsi="Arial" w:eastAsia="Calibri" w:cs="Arial"/>
          <w:color w:val="000000" w:themeColor="text1"/>
        </w:rPr>
        <w:t xml:space="preserve">, para efectos de ser tenidas en cuenta como emprendimientos y empresas de mujeres, se realiza en atención </w:t>
      </w:r>
      <w:r w:rsidRPr="1E15A5CB" w:rsidR="007000F5">
        <w:rPr>
          <w:rFonts w:ascii="Arial" w:hAnsi="Arial" w:eastAsia="Calibri" w:cs="Arial"/>
          <w:color w:val="000000" w:themeColor="text1"/>
        </w:rPr>
        <w:t xml:space="preserve">a la identidad de género que se desprende de lo indicado en el marcador </w:t>
      </w:r>
      <w:r w:rsidRPr="00A42D06" w:rsidR="007000F5">
        <w:rPr>
          <w:rFonts w:ascii="Arial" w:hAnsi="Arial" w:eastAsia="Calibri" w:cs="Arial"/>
          <w:i/>
          <w:iCs/>
          <w:color w:val="000000" w:themeColor="text1"/>
        </w:rPr>
        <w:t>“</w:t>
      </w:r>
      <w:r w:rsidRPr="00A42D06">
        <w:rPr>
          <w:rFonts w:ascii="Arial" w:hAnsi="Arial" w:eastAsia="Calibri" w:cs="Arial"/>
          <w:i/>
          <w:color w:val="000000" w:themeColor="text1"/>
        </w:rPr>
        <w:t>sexo</w:t>
      </w:r>
      <w:r w:rsidRPr="004B558E" w:rsidR="007000F5">
        <w:rPr>
          <w:rFonts w:ascii="Arial" w:hAnsi="Arial" w:eastAsia="Calibri" w:cs="Arial"/>
          <w:i/>
          <w:iCs/>
          <w:color w:val="000000" w:themeColor="text1"/>
        </w:rPr>
        <w:t>”</w:t>
      </w:r>
      <w:r w:rsidRPr="1E15A5CB">
        <w:rPr>
          <w:rFonts w:ascii="Arial" w:hAnsi="Arial" w:eastAsia="Calibri" w:cs="Arial"/>
          <w:color w:val="000000" w:themeColor="text1"/>
        </w:rPr>
        <w:t xml:space="preserve"> establecido en los respectivos documentos de identificación de las personas</w:t>
      </w:r>
      <w:r w:rsidRPr="1E15A5CB" w:rsidR="00A7252B">
        <w:rPr>
          <w:rFonts w:ascii="Arial" w:hAnsi="Arial" w:eastAsia="Calibri" w:cs="Arial"/>
          <w:color w:val="000000" w:themeColor="text1"/>
        </w:rPr>
        <w:t>,</w:t>
      </w:r>
      <w:r w:rsidRPr="1E15A5CB">
        <w:rPr>
          <w:rFonts w:ascii="Arial" w:hAnsi="Arial" w:eastAsia="Calibri" w:cs="Arial"/>
          <w:color w:val="000000" w:themeColor="text1"/>
        </w:rPr>
        <w:t xml:space="preserve"> de conformidad con el artículo 2.2.1.2.4.2.14 del Decreto 1082 de 2015, introducido por el Decreto 1860 de 2021. De esta manera </w:t>
      </w:r>
      <w:r w:rsidRPr="1E15A5CB" w:rsidR="00250BB2">
        <w:rPr>
          <w:rFonts w:ascii="Arial" w:hAnsi="Arial" w:eastAsia="Calibri" w:cs="Arial"/>
          <w:color w:val="000000" w:themeColor="text1"/>
        </w:rPr>
        <w:t xml:space="preserve">para acceder a tales criterios diferenciales se precisa no solo identificarse con el género femenino, sino que se requiere que dicha identidad de </w:t>
      </w:r>
      <w:r w:rsidRPr="1E15A5CB" w:rsidR="01776390">
        <w:rPr>
          <w:rFonts w:ascii="Arial" w:hAnsi="Arial" w:eastAsia="Calibri" w:cs="Arial"/>
          <w:color w:val="000000" w:themeColor="text1"/>
        </w:rPr>
        <w:t>género</w:t>
      </w:r>
      <w:r w:rsidRPr="1E15A5CB" w:rsidR="00250BB2">
        <w:rPr>
          <w:rFonts w:ascii="Arial" w:hAnsi="Arial" w:eastAsia="Calibri" w:cs="Arial"/>
          <w:color w:val="000000" w:themeColor="text1"/>
        </w:rPr>
        <w:t xml:space="preserve"> coincida con lo indicado en el marcador de “sexo” del documento de identidad</w:t>
      </w:r>
      <w:r w:rsidRPr="1E15A5CB" w:rsidR="006E6157">
        <w:rPr>
          <w:rFonts w:ascii="Arial" w:hAnsi="Arial" w:eastAsia="Calibri" w:cs="Arial"/>
          <w:color w:val="000000" w:themeColor="text1"/>
        </w:rPr>
        <w:t xml:space="preserve">, el cual constituye una tarifa legal para efectos de </w:t>
      </w:r>
      <w:r w:rsidRPr="1E15A5CB" w:rsidR="00F8442F">
        <w:rPr>
          <w:rFonts w:ascii="Arial" w:hAnsi="Arial" w:eastAsia="Calibri" w:cs="Arial"/>
          <w:color w:val="000000" w:themeColor="text1"/>
        </w:rPr>
        <w:t>acreditar las condiciones establecidas en el artículo 2.2.1.2.4.2.14.</w:t>
      </w:r>
      <w:r w:rsidRPr="1E15A5CB" w:rsidR="004631EF">
        <w:rPr>
          <w:rFonts w:ascii="Arial" w:hAnsi="Arial" w:eastAsia="Calibri" w:cs="Arial"/>
          <w:color w:val="000000" w:themeColor="text1"/>
        </w:rPr>
        <w:t xml:space="preserve"> </w:t>
      </w:r>
    </w:p>
    <w:p w:rsidRPr="00784E39" w:rsidR="006E6157" w:rsidP="006E6157" w:rsidRDefault="00F8442F" w14:paraId="17AD2589" w14:textId="4133BA44">
      <w:pPr>
        <w:spacing w:after="0" w:line="276" w:lineRule="auto"/>
        <w:ind w:firstLine="709"/>
        <w:jc w:val="both"/>
        <w:rPr>
          <w:rFonts w:ascii="Arial" w:hAnsi="Arial" w:cs="Arial"/>
        </w:rPr>
      </w:pPr>
      <w:r w:rsidRPr="1E15A5CB">
        <w:rPr>
          <w:rFonts w:ascii="Arial" w:hAnsi="Arial" w:cs="Arial"/>
        </w:rPr>
        <w:t>Debido a</w:t>
      </w:r>
      <w:r w:rsidRPr="1E15A5CB" w:rsidR="006E6157">
        <w:rPr>
          <w:rFonts w:ascii="Arial" w:hAnsi="Arial" w:cs="Arial"/>
        </w:rPr>
        <w:t xml:space="preserve"> lo anterior, un documento en el que se declare determinada persona se identifica con el género femenino no podría remplazar o sustituir el documento de identidad, conforme se </w:t>
      </w:r>
      <w:r w:rsidRPr="1E15A5CB">
        <w:rPr>
          <w:rFonts w:ascii="Arial" w:hAnsi="Arial" w:cs="Arial"/>
        </w:rPr>
        <w:t>desprende</w:t>
      </w:r>
      <w:r w:rsidRPr="1E15A5CB" w:rsidR="006E6157">
        <w:rPr>
          <w:rFonts w:ascii="Arial" w:hAnsi="Arial" w:cs="Arial"/>
        </w:rPr>
        <w:t xml:space="preserve"> de la </w:t>
      </w:r>
      <w:r w:rsidRPr="1E15A5CB">
        <w:rPr>
          <w:rFonts w:ascii="Arial" w:hAnsi="Arial" w:cs="Arial"/>
        </w:rPr>
        <w:t>aludida</w:t>
      </w:r>
      <w:r w:rsidRPr="1E15A5CB" w:rsidR="006E6157">
        <w:rPr>
          <w:rFonts w:ascii="Arial" w:hAnsi="Arial" w:cs="Arial"/>
        </w:rPr>
        <w:t xml:space="preserve"> tarifa legal. </w:t>
      </w:r>
      <w:r w:rsidRPr="1E15A5CB" w:rsidR="004B46E7">
        <w:rPr>
          <w:rFonts w:ascii="Arial" w:hAnsi="Arial" w:cs="Arial"/>
        </w:rPr>
        <w:t>Por esta razón</w:t>
      </w:r>
      <w:r w:rsidRPr="1E15A5CB" w:rsidR="7B4BF365">
        <w:rPr>
          <w:rFonts w:ascii="Arial" w:hAnsi="Arial" w:cs="Arial"/>
        </w:rPr>
        <w:t>,</w:t>
      </w:r>
      <w:r w:rsidRPr="1E15A5CB" w:rsidR="004B46E7">
        <w:rPr>
          <w:rFonts w:ascii="Arial" w:hAnsi="Arial" w:cs="Arial"/>
        </w:rPr>
        <w:t xml:space="preserve"> en</w:t>
      </w:r>
      <w:r w:rsidRPr="1E15A5CB" w:rsidR="006E6157">
        <w:rPr>
          <w:rFonts w:ascii="Arial" w:hAnsi="Arial" w:cs="Arial"/>
        </w:rPr>
        <w:t xml:space="preserve"> los procesos adelantados con documentos tipo se exige que la condición de emprendimiento y empresa de mujeres se acredite presentando el </w:t>
      </w:r>
      <w:r w:rsidRPr="1E15A5CB" w:rsidR="006E6157">
        <w:rPr>
          <w:i/>
          <w:iCs/>
        </w:rPr>
        <w:t>“</w:t>
      </w:r>
      <w:r w:rsidRPr="1E15A5CB" w:rsidR="006E6157">
        <w:rPr>
          <w:rFonts w:ascii="Arial" w:hAnsi="Arial" w:cs="Arial"/>
          <w:i/>
          <w:iCs/>
        </w:rPr>
        <w:t>Formato 12 – ACREDITACIÓN DE EMPRENDIMIENTOS Y EMPRESAS DE MUJERES”</w:t>
      </w:r>
      <w:r w:rsidRPr="1E15A5CB" w:rsidR="006E6157">
        <w:rPr>
          <w:rFonts w:ascii="Arial" w:hAnsi="Arial" w:cs="Arial"/>
        </w:rPr>
        <w:t>, acompañado de</w:t>
      </w:r>
      <w:r w:rsidRPr="1E15A5CB" w:rsidR="004B46E7">
        <w:rPr>
          <w:rFonts w:ascii="Arial" w:hAnsi="Arial" w:cs="Arial"/>
        </w:rPr>
        <w:t xml:space="preserve"> </w:t>
      </w:r>
      <w:r w:rsidRPr="1E15A5CB" w:rsidR="006E6157">
        <w:rPr>
          <w:rFonts w:ascii="Arial" w:hAnsi="Arial" w:cs="Arial"/>
        </w:rPr>
        <w:t>l</w:t>
      </w:r>
      <w:r w:rsidRPr="1E15A5CB" w:rsidR="004B46E7">
        <w:rPr>
          <w:rFonts w:ascii="Arial" w:hAnsi="Arial" w:cs="Arial"/>
        </w:rPr>
        <w:t>os</w:t>
      </w:r>
      <w:r w:rsidRPr="1E15A5CB" w:rsidR="006E6157">
        <w:rPr>
          <w:rFonts w:ascii="Arial" w:hAnsi="Arial" w:cs="Arial"/>
        </w:rPr>
        <w:t xml:space="preserve"> respectivo</w:t>
      </w:r>
      <w:r w:rsidRPr="1E15A5CB" w:rsidR="004B46E7">
        <w:rPr>
          <w:rFonts w:ascii="Arial" w:hAnsi="Arial" w:cs="Arial"/>
        </w:rPr>
        <w:t>s</w:t>
      </w:r>
      <w:r w:rsidRPr="1E15A5CB" w:rsidR="006E6157">
        <w:rPr>
          <w:rFonts w:ascii="Arial" w:hAnsi="Arial" w:cs="Arial"/>
        </w:rPr>
        <w:t xml:space="preserve"> documento</w:t>
      </w:r>
      <w:r w:rsidRPr="1E15A5CB" w:rsidR="004B46E7">
        <w:rPr>
          <w:rFonts w:ascii="Arial" w:hAnsi="Arial" w:cs="Arial"/>
        </w:rPr>
        <w:t>s</w:t>
      </w:r>
      <w:r w:rsidRPr="1E15A5CB" w:rsidR="006E6157">
        <w:rPr>
          <w:rFonts w:ascii="Arial" w:hAnsi="Arial" w:cs="Arial"/>
        </w:rPr>
        <w:t xml:space="preserve"> de identidad, conforme se indica de manera expresa en las variantes a, b y c de dicho documento.</w:t>
      </w:r>
    </w:p>
    <w:p w:rsidRPr="00C14BE6" w:rsidR="006E6157" w:rsidP="1E15A5CB" w:rsidRDefault="003E4295" w14:paraId="638717DC" w14:textId="362CB30F">
      <w:pPr>
        <w:spacing w:before="120" w:after="0" w:line="276" w:lineRule="auto"/>
        <w:ind w:firstLine="709"/>
        <w:jc w:val="both"/>
        <w:rPr>
          <w:rFonts w:ascii="Arial" w:hAnsi="Arial" w:eastAsia="Calibri" w:cs="Arial"/>
          <w:color w:val="000000"/>
        </w:rPr>
      </w:pPr>
      <w:r w:rsidRPr="1E15A5CB">
        <w:rPr>
          <w:rFonts w:ascii="Arial" w:hAnsi="Arial" w:eastAsia="Calibri" w:cs="Arial"/>
          <w:color w:val="000000" w:themeColor="text1"/>
        </w:rPr>
        <w:t xml:space="preserve">Con todo, </w:t>
      </w:r>
      <w:r w:rsidRPr="1E15A5CB" w:rsidR="001C7C17">
        <w:rPr>
          <w:rFonts w:ascii="Arial" w:hAnsi="Arial" w:eastAsia="Calibri" w:cs="Arial"/>
          <w:color w:val="000000" w:themeColor="text1"/>
        </w:rPr>
        <w:t xml:space="preserve">es preciso advertir que corresponde a </w:t>
      </w:r>
      <w:r w:rsidRPr="1E15A5CB" w:rsidR="00156DF4">
        <w:rPr>
          <w:rFonts w:ascii="Arial" w:hAnsi="Arial" w:eastAsia="Calibri" w:cs="Arial"/>
          <w:color w:val="000000" w:themeColor="text1"/>
        </w:rPr>
        <w:t xml:space="preserve">las entidades estatales contratantes analizar las </w:t>
      </w:r>
      <w:r w:rsidRPr="1E15A5CB" w:rsidR="72094D33">
        <w:rPr>
          <w:rFonts w:ascii="Arial" w:hAnsi="Arial" w:eastAsia="Calibri" w:cs="Arial"/>
          <w:color w:val="000000" w:themeColor="text1"/>
        </w:rPr>
        <w:t>circunstancias particulares</w:t>
      </w:r>
      <w:r w:rsidRPr="1E15A5CB" w:rsidR="00156DF4">
        <w:rPr>
          <w:rFonts w:ascii="Arial" w:hAnsi="Arial" w:eastAsia="Calibri" w:cs="Arial"/>
          <w:color w:val="000000" w:themeColor="text1"/>
        </w:rPr>
        <w:t xml:space="preserve"> de cada caso concreto</w:t>
      </w:r>
      <w:r w:rsidRPr="1E15A5CB" w:rsidR="00DD6310">
        <w:rPr>
          <w:rFonts w:ascii="Arial" w:hAnsi="Arial" w:eastAsia="Calibri" w:cs="Arial"/>
          <w:color w:val="000000" w:themeColor="text1"/>
        </w:rPr>
        <w:t xml:space="preserve"> </w:t>
      </w:r>
      <w:r w:rsidRPr="1E15A5CB" w:rsidR="007A64E0">
        <w:rPr>
          <w:rFonts w:ascii="Arial" w:hAnsi="Arial" w:eastAsia="Calibri" w:cs="Arial"/>
          <w:color w:val="000000" w:themeColor="text1"/>
        </w:rPr>
        <w:t>para con sustento en ellas</w:t>
      </w:r>
      <w:r w:rsidRPr="1E15A5CB" w:rsidR="00DD6310">
        <w:rPr>
          <w:rFonts w:ascii="Arial" w:hAnsi="Arial" w:eastAsia="Calibri" w:cs="Arial"/>
          <w:color w:val="000000" w:themeColor="text1"/>
        </w:rPr>
        <w:t xml:space="preserve"> determinar </w:t>
      </w:r>
      <w:r w:rsidRPr="1E15A5CB" w:rsidR="00244BBD">
        <w:rPr>
          <w:rFonts w:ascii="Arial" w:hAnsi="Arial" w:eastAsia="Calibri" w:cs="Arial"/>
          <w:color w:val="000000" w:themeColor="text1"/>
        </w:rPr>
        <w:t xml:space="preserve">si efecto la documentación presentada </w:t>
      </w:r>
      <w:r w:rsidRPr="1E15A5CB" w:rsidR="00E11BFB">
        <w:rPr>
          <w:rFonts w:ascii="Arial" w:hAnsi="Arial" w:eastAsia="Calibri" w:cs="Arial"/>
          <w:color w:val="000000" w:themeColor="text1"/>
        </w:rPr>
        <w:t xml:space="preserve">es conducente para demostrar las definiciones establecidas en los numerales del artículo 2.2.1.2.4.2.14 del Decreto </w:t>
      </w:r>
      <w:r w:rsidRPr="1E15A5CB" w:rsidR="0045179E">
        <w:rPr>
          <w:rFonts w:ascii="Arial" w:hAnsi="Arial" w:eastAsia="Calibri" w:cs="Arial"/>
          <w:color w:val="000000" w:themeColor="text1"/>
        </w:rPr>
        <w:t xml:space="preserve">1082 de 2015. </w:t>
      </w:r>
      <w:r w:rsidRPr="1E15A5CB" w:rsidR="00AC36CE">
        <w:rPr>
          <w:rFonts w:ascii="Arial" w:hAnsi="Arial" w:eastAsia="Calibri" w:cs="Arial"/>
          <w:color w:val="000000" w:themeColor="text1"/>
        </w:rPr>
        <w:t xml:space="preserve">En todo caso, la entidad deberá ceñirse a </w:t>
      </w:r>
      <w:r w:rsidRPr="1E15A5CB" w:rsidR="004D728F">
        <w:rPr>
          <w:rFonts w:ascii="Arial" w:hAnsi="Arial" w:eastAsia="Calibri" w:cs="Arial"/>
          <w:color w:val="000000" w:themeColor="text1"/>
        </w:rPr>
        <w:t>los medios de acreditación indicados por esta última norma</w:t>
      </w:r>
      <w:r w:rsidRPr="1E15A5CB" w:rsidR="009D4AA0">
        <w:rPr>
          <w:rFonts w:ascii="Arial" w:hAnsi="Arial" w:eastAsia="Calibri" w:cs="Arial"/>
          <w:color w:val="000000" w:themeColor="text1"/>
        </w:rPr>
        <w:t xml:space="preserve">. </w:t>
      </w:r>
    </w:p>
    <w:p w:rsidRPr="00362B16" w:rsidR="00EE41AF" w:rsidP="00EE41AF" w:rsidRDefault="00EE41AF" w14:paraId="0D0FECAA" w14:textId="77777777">
      <w:pPr>
        <w:spacing w:after="0" w:line="276" w:lineRule="auto"/>
        <w:jc w:val="both"/>
        <w:rPr>
          <w:rFonts w:ascii="Arial" w:hAnsi="Arial" w:eastAsia="Calibri" w:cs="Arial"/>
          <w:bCs/>
          <w:color w:val="000000"/>
          <w:lang w:val="es-ES_tradnl"/>
        </w:rPr>
      </w:pPr>
    </w:p>
    <w:p w:rsidR="00EE41AF" w:rsidP="00EE41AF" w:rsidRDefault="00EE41AF" w14:paraId="36F6FFB7" w14:textId="77777777">
      <w:pPr>
        <w:widowControl w:val="0"/>
        <w:autoSpaceDE w:val="0"/>
        <w:autoSpaceDN w:val="0"/>
        <w:spacing w:after="0" w:line="276" w:lineRule="auto"/>
        <w:jc w:val="both"/>
        <w:rPr>
          <w:rFonts w:ascii="Arial" w:hAnsi="Arial" w:eastAsia="Times New Roman" w:cs="Arial"/>
          <w:lang w:val="es-ES_tradnl" w:eastAsia="es-ES_tradnl" w:bidi="es-ES"/>
        </w:rPr>
      </w:pPr>
      <w:r w:rsidRPr="00362B16">
        <w:rPr>
          <w:rFonts w:ascii="Arial" w:hAnsi="Arial" w:eastAsia="Times New Roman" w:cs="Arial"/>
          <w:color w:val="000000"/>
          <w:lang w:val="es-ES_tradnl" w:eastAsia="es-ES_tradnl"/>
        </w:rPr>
        <w:t xml:space="preserve">Este concepto tiene el alcance previsto en el artículo 28 del Código de Procedimiento Administrativo y de lo Contencioso Administrativo </w:t>
      </w:r>
      <w:r w:rsidRPr="00362B16">
        <w:rPr>
          <w:rFonts w:ascii="Arial" w:hAnsi="Arial" w:eastAsia="Times New Roman" w:cs="Arial"/>
          <w:bCs/>
          <w:color w:val="000000"/>
          <w:lang w:eastAsia="es-ES_tradnl"/>
        </w:rPr>
        <w:t xml:space="preserve">y </w:t>
      </w:r>
      <w:r w:rsidRPr="00362B16">
        <w:rPr>
          <w:rFonts w:ascii="Arial" w:hAnsi="Arial" w:eastAsia="Times New Roman" w:cs="Arial"/>
          <w:lang w:eastAsia="es-ES_tradnl"/>
        </w:rPr>
        <w:t>las expresiones aquí utilizadas con mayúscula inicial deben ser entendidas con el significado que les otorga el artículo 2.2.1.1.1.3.1. del Decreto 1082 de 2015</w:t>
      </w:r>
      <w:r w:rsidRPr="00362B16">
        <w:rPr>
          <w:rFonts w:ascii="Arial" w:hAnsi="Arial" w:eastAsia="Times New Roman" w:cs="Arial"/>
          <w:color w:val="000000"/>
          <w:lang w:val="es-ES_tradnl" w:eastAsia="es-ES_tradnl"/>
        </w:rPr>
        <w:t>.</w:t>
      </w:r>
    </w:p>
    <w:p w:rsidR="00EE41AF" w:rsidP="00EE41AF" w:rsidRDefault="00EE41AF" w14:paraId="3CBCCDAC" w14:textId="77777777">
      <w:pPr>
        <w:widowControl w:val="0"/>
        <w:autoSpaceDE w:val="0"/>
        <w:autoSpaceDN w:val="0"/>
        <w:spacing w:after="120" w:line="276" w:lineRule="auto"/>
        <w:jc w:val="both"/>
        <w:rPr>
          <w:rFonts w:ascii="Arial" w:hAnsi="Arial" w:eastAsia="Times New Roman" w:cs="Arial"/>
          <w:lang w:val="es-ES_tradnl" w:eastAsia="es-CO"/>
        </w:rPr>
      </w:pPr>
    </w:p>
    <w:p w:rsidRPr="00362B16" w:rsidR="00EE41AF" w:rsidP="00EE41AF" w:rsidRDefault="00EE41AF" w14:paraId="322B102F" w14:textId="77777777">
      <w:pPr>
        <w:widowControl w:val="0"/>
        <w:autoSpaceDE w:val="0"/>
        <w:autoSpaceDN w:val="0"/>
        <w:spacing w:after="120" w:line="276" w:lineRule="auto"/>
        <w:jc w:val="both"/>
        <w:rPr>
          <w:rFonts w:ascii="Arial" w:hAnsi="Arial" w:eastAsia="Times New Roman" w:cs="Arial"/>
          <w:lang w:val="es-ES_tradnl" w:eastAsia="es-ES_tradnl" w:bidi="es-ES"/>
        </w:rPr>
      </w:pPr>
      <w:r w:rsidRPr="00362B16">
        <w:rPr>
          <w:rFonts w:ascii="Arial" w:hAnsi="Arial" w:eastAsia="Times New Roman" w:cs="Arial"/>
          <w:lang w:val="es-ES_tradnl" w:eastAsia="es-CO"/>
        </w:rPr>
        <w:t>Atentamente,</w:t>
      </w:r>
    </w:p>
    <w:p w:rsidR="00EE41AF" w:rsidP="00AA6D19" w:rsidRDefault="00EE41AF" w14:paraId="01BC3F63" w14:textId="1F5E766B">
      <w:pPr>
        <w:spacing w:after="0" w:line="276" w:lineRule="auto"/>
        <w:jc w:val="center"/>
        <w:rPr>
          <w:rFonts w:ascii="Times New Roman" w:hAnsi="Times New Roman" w:eastAsia="Times New Roman" w:cs="Times New Roman"/>
          <w:noProof/>
          <w:sz w:val="24"/>
          <w:szCs w:val="24"/>
          <w:lang w:eastAsia="es-CO"/>
        </w:rPr>
      </w:pPr>
      <w:r w:rsidRPr="00362B16">
        <w:rPr>
          <w:rFonts w:ascii="Times New Roman" w:hAnsi="Times New Roman" w:eastAsia="Times New Roman" w:cs="Times New Roman"/>
          <w:noProof/>
          <w:sz w:val="24"/>
          <w:szCs w:val="24"/>
          <w:lang w:eastAsia="es-CO"/>
        </w:rPr>
        <w:t xml:space="preserve"> </w:t>
      </w:r>
      <w:r w:rsidR="00AA6D19">
        <w:rPr>
          <w:rFonts w:ascii="Arial" w:hAnsi="Arial" w:cs="Arial"/>
          <w:noProof/>
          <w:color w:val="000000"/>
          <w:lang w:val="es-ES_tradnl" w:eastAsia="es-CO"/>
        </w:rPr>
        <w:drawing>
          <wp:inline distT="0" distB="0" distL="0" distR="0" wp14:anchorId="45840633" wp14:editId="74EEA2D9">
            <wp:extent cx="2479250" cy="956207"/>
            <wp:effectExtent l="0" t="0" r="0" b="0"/>
            <wp:docPr id="1362792599" name="Picture 136279259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92599"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4665" cy="962152"/>
                    </a:xfrm>
                    <a:prstGeom prst="rect">
                      <a:avLst/>
                    </a:prstGeom>
                    <a:noFill/>
                    <a:ln>
                      <a:noFill/>
                    </a:ln>
                  </pic:spPr>
                </pic:pic>
              </a:graphicData>
            </a:graphic>
          </wp:inline>
        </w:drawing>
      </w:r>
    </w:p>
    <w:p w:rsidRPr="00AA6D19" w:rsidR="00AA6D19" w:rsidP="00AA6D19" w:rsidRDefault="00AA6D19" w14:paraId="254A2580" w14:textId="77777777">
      <w:pPr>
        <w:spacing w:after="0" w:line="276" w:lineRule="auto"/>
        <w:jc w:val="center"/>
        <w:rPr>
          <w:rFonts w:ascii="Times New Roman" w:hAnsi="Times New Roman" w:eastAsia="Times New Roman" w:cs="Times New Roman"/>
          <w:noProof/>
          <w:sz w:val="24"/>
          <w:szCs w:val="24"/>
          <w:lang w:eastAsia="es-CO"/>
        </w:rPr>
      </w:pPr>
    </w:p>
    <w:tbl>
      <w:tblPr>
        <w:tblStyle w:val="Tablaconcuadrcu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5"/>
        <w:gridCol w:w="5102"/>
      </w:tblGrid>
      <w:tr w:rsidRPr="00362B16" w:rsidR="00EE41AF" w14:paraId="0B9D648B" w14:textId="77777777">
        <w:trPr>
          <w:trHeight w:val="305"/>
        </w:trPr>
        <w:tc>
          <w:tcPr>
            <w:tcW w:w="1025" w:type="dxa"/>
            <w:vAlign w:val="center"/>
            <w:hideMark/>
          </w:tcPr>
          <w:p w:rsidRPr="00362B16" w:rsidR="00EE41AF" w:rsidP="00DC4C78" w:rsidRDefault="00EE41AF" w14:paraId="2DD8597C"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Elaboró:</w:t>
            </w:r>
          </w:p>
        </w:tc>
        <w:tc>
          <w:tcPr>
            <w:tcW w:w="5102" w:type="dxa"/>
            <w:tcBorders>
              <w:top w:val="nil"/>
              <w:left w:val="nil"/>
              <w:bottom w:val="dotted" w:color="7F7F7F" w:sz="4" w:space="0"/>
              <w:right w:val="nil"/>
            </w:tcBorders>
            <w:vAlign w:val="center"/>
            <w:hideMark/>
          </w:tcPr>
          <w:p w:rsidRPr="00362B16" w:rsidR="00EE41AF" w:rsidP="00DC4C78" w:rsidRDefault="00EE41AF" w14:paraId="5FEDBD71"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Kevin Arlid Herrera Santa</w:t>
            </w:r>
          </w:p>
          <w:p w:rsidR="00EE41AF" w:rsidP="00DC4C78" w:rsidRDefault="00EE41AF" w14:paraId="3E898F43"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Contratista de la Subdirección de Gestión Contractual</w:t>
            </w:r>
          </w:p>
          <w:p w:rsidR="00EE41AF" w:rsidP="00DC4C78" w:rsidRDefault="00EE41AF" w14:paraId="3E49D6CE"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Ana María Ortiz Ballesteros</w:t>
            </w:r>
          </w:p>
          <w:p w:rsidRPr="00362B16" w:rsidR="00EE41AF" w:rsidP="00DC4C78" w:rsidRDefault="00EE41AF" w14:paraId="31C27208"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Contratista de la Subdirección de Gestión Contractual</w:t>
            </w:r>
          </w:p>
        </w:tc>
      </w:tr>
      <w:tr w:rsidRPr="00362B16" w:rsidR="00EE41AF" w14:paraId="4F376B5D" w14:textId="77777777">
        <w:trPr>
          <w:trHeight w:val="319"/>
        </w:trPr>
        <w:tc>
          <w:tcPr>
            <w:tcW w:w="1025" w:type="dxa"/>
            <w:vAlign w:val="center"/>
            <w:hideMark/>
          </w:tcPr>
          <w:p w:rsidRPr="00362B16" w:rsidR="00EE41AF" w:rsidP="00DC4C78" w:rsidRDefault="00EE41AF" w14:paraId="3026CE7C"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Revisó:</w:t>
            </w:r>
          </w:p>
        </w:tc>
        <w:tc>
          <w:tcPr>
            <w:tcW w:w="5102" w:type="dxa"/>
            <w:tcBorders>
              <w:top w:val="dotted" w:color="7F7F7F" w:sz="4" w:space="0"/>
              <w:left w:val="nil"/>
              <w:bottom w:val="dotted" w:color="7F7F7F" w:sz="4" w:space="0"/>
              <w:right w:val="nil"/>
            </w:tcBorders>
            <w:vAlign w:val="center"/>
            <w:hideMark/>
          </w:tcPr>
          <w:p w:rsidRPr="00362B16" w:rsidR="00EE41AF" w:rsidP="00DC4C78" w:rsidRDefault="00EE41AF" w14:paraId="5BCC4868"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Alejandro Sarmiento Cantillo</w:t>
            </w:r>
          </w:p>
          <w:p w:rsidR="00EE41AF" w:rsidP="00DC4C78" w:rsidRDefault="00EE41AF" w14:paraId="4702A40F"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Gestor T1-15</w:t>
            </w:r>
            <w:r w:rsidRPr="00362B16">
              <w:rPr>
                <w:rFonts w:ascii="Arial" w:hAnsi="Arial" w:eastAsia="Calibri" w:cs="Arial"/>
                <w:sz w:val="16"/>
                <w:szCs w:val="16"/>
                <w:lang w:val="es-ES_tradnl" w:eastAsia="es-ES"/>
              </w:rPr>
              <w:t xml:space="preserve"> de la Subdirección de Gestión Contractual  </w:t>
            </w:r>
          </w:p>
          <w:p w:rsidR="00EE41AF" w:rsidP="00DC4C78" w:rsidRDefault="00EE41AF" w14:paraId="4B5CAAF7"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Martha Alicia Romero Vargas</w:t>
            </w:r>
          </w:p>
          <w:p w:rsidRPr="00362B16" w:rsidR="00EE41AF" w:rsidP="00DC4C78" w:rsidRDefault="00EE41AF" w14:paraId="3D17A590" w14:textId="77777777">
            <w:pPr>
              <w:jc w:val="both"/>
              <w:rPr>
                <w:rFonts w:ascii="Arial" w:hAnsi="Arial" w:eastAsia="Calibri" w:cs="Arial"/>
                <w:sz w:val="16"/>
                <w:szCs w:val="16"/>
                <w:lang w:val="es-ES_tradnl" w:eastAsia="es-ES"/>
              </w:rPr>
            </w:pPr>
            <w:r>
              <w:rPr>
                <w:rFonts w:ascii="Arial" w:hAnsi="Arial" w:eastAsia="Calibri" w:cs="Arial"/>
                <w:sz w:val="16"/>
                <w:szCs w:val="16"/>
                <w:lang w:val="es-ES_tradnl" w:eastAsia="es-ES"/>
              </w:rPr>
              <w:t xml:space="preserve">Gestor T1-15 de la </w:t>
            </w:r>
            <w:r w:rsidRPr="00362B16">
              <w:rPr>
                <w:rFonts w:ascii="Arial" w:hAnsi="Arial" w:eastAsia="Calibri" w:cs="Arial"/>
                <w:sz w:val="16"/>
                <w:szCs w:val="16"/>
                <w:lang w:val="es-ES_tradnl" w:eastAsia="es-ES"/>
              </w:rPr>
              <w:t xml:space="preserve">Subdirección de Gestión Contractual  </w:t>
            </w:r>
          </w:p>
        </w:tc>
      </w:tr>
      <w:tr w:rsidRPr="00362B16" w:rsidR="00EE41AF" w14:paraId="6C9ACFAE" w14:textId="77777777">
        <w:trPr>
          <w:trHeight w:val="290"/>
        </w:trPr>
        <w:tc>
          <w:tcPr>
            <w:tcW w:w="1025" w:type="dxa"/>
            <w:vAlign w:val="center"/>
            <w:hideMark/>
          </w:tcPr>
          <w:p w:rsidRPr="00362B16" w:rsidR="00EE41AF" w:rsidP="00DC4C78" w:rsidRDefault="00EE41AF" w14:paraId="1C1EB7C3"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Aprobó:</w:t>
            </w:r>
          </w:p>
        </w:tc>
        <w:tc>
          <w:tcPr>
            <w:tcW w:w="5102" w:type="dxa"/>
            <w:tcBorders>
              <w:top w:val="dotted" w:color="7F7F7F" w:sz="4" w:space="0"/>
              <w:left w:val="nil"/>
              <w:bottom w:val="dotted" w:color="7F7F7F" w:sz="4" w:space="0"/>
              <w:right w:val="nil"/>
            </w:tcBorders>
            <w:vAlign w:val="center"/>
            <w:hideMark/>
          </w:tcPr>
          <w:p w:rsidRPr="00362B16" w:rsidR="00EE41AF" w:rsidP="00DC4C78" w:rsidRDefault="00EE41AF" w14:paraId="617C79AC"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Nohelia del Carmen Zawady Palacio</w:t>
            </w:r>
          </w:p>
          <w:p w:rsidRPr="00362B16" w:rsidR="00EE41AF" w:rsidP="00DC4C78" w:rsidRDefault="00EE41AF" w14:paraId="7F54A069" w14:textId="77777777">
            <w:pPr>
              <w:jc w:val="both"/>
              <w:rPr>
                <w:rFonts w:ascii="Arial" w:hAnsi="Arial" w:eastAsia="Calibri" w:cs="Arial"/>
                <w:sz w:val="16"/>
                <w:szCs w:val="16"/>
                <w:lang w:val="es-ES_tradnl" w:eastAsia="es-ES"/>
              </w:rPr>
            </w:pPr>
            <w:r w:rsidRPr="00362B16">
              <w:rPr>
                <w:rFonts w:ascii="Arial" w:hAnsi="Arial" w:eastAsia="Calibri" w:cs="Arial"/>
                <w:sz w:val="16"/>
                <w:szCs w:val="16"/>
                <w:lang w:val="es-ES_tradnl" w:eastAsia="es-ES"/>
              </w:rPr>
              <w:t xml:space="preserve">Subdirectora de Gestión Contractual </w:t>
            </w:r>
            <w:r>
              <w:rPr>
                <w:rFonts w:ascii="Arial" w:hAnsi="Arial" w:eastAsia="Calibri" w:cs="Arial"/>
                <w:sz w:val="16"/>
                <w:szCs w:val="16"/>
                <w:lang w:val="es-ES_tradnl" w:eastAsia="es-ES"/>
              </w:rPr>
              <w:t>ANCP – CCE</w:t>
            </w:r>
          </w:p>
        </w:tc>
      </w:tr>
      <w:bookmarkEnd w:id="0"/>
    </w:tbl>
    <w:p w:rsidRPr="006219F8" w:rsidR="00EE41AF" w:rsidP="00DC4C78" w:rsidRDefault="00EE41AF" w14:paraId="0A1E4A03" w14:textId="77777777">
      <w:pPr>
        <w:spacing w:line="240" w:lineRule="auto"/>
        <w:rPr>
          <w:lang w:val="es-MX"/>
        </w:rPr>
      </w:pPr>
    </w:p>
    <w:p w:rsidRPr="006219F8" w:rsidR="00127233" w:rsidRDefault="00127233" w14:paraId="0F293BF4" w14:textId="0F6FB6C1">
      <w:pPr>
        <w:rPr>
          <w:lang w:val="es-MX"/>
        </w:rPr>
      </w:pPr>
    </w:p>
    <w:sectPr w:rsidRPr="006219F8" w:rsidR="00127233" w:rsidSect="0039439C">
      <w:headerReference w:type="default" r:id="rId13"/>
      <w:footerReference w:type="default" r:id="rId14"/>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9B1" w:rsidP="004A1847" w:rsidRDefault="009279B1" w14:paraId="2B130126" w14:textId="77777777">
      <w:pPr>
        <w:spacing w:after="0" w:line="240" w:lineRule="auto"/>
      </w:pPr>
      <w:r>
        <w:separator/>
      </w:r>
    </w:p>
  </w:endnote>
  <w:endnote w:type="continuationSeparator" w:id="0">
    <w:p w:rsidR="009279B1" w:rsidP="004A1847" w:rsidRDefault="009279B1" w14:paraId="4A40F2B5" w14:textId="77777777">
      <w:pPr>
        <w:spacing w:after="0" w:line="240" w:lineRule="auto"/>
      </w:pPr>
      <w:r>
        <w:continuationSeparator/>
      </w:r>
    </w:p>
  </w:endnote>
  <w:endnote w:type="continuationNotice" w:id="1">
    <w:p w:rsidR="009279B1" w:rsidRDefault="009279B1" w14:paraId="36A2E0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ova">
    <w:panose1 w:val="020B0504020202020204"/>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Footer"/>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eGrid"/>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Footer"/>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Footer"/>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Footer"/>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Footer"/>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Footer"/>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Footer"/>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9B1" w:rsidP="004A1847" w:rsidRDefault="009279B1" w14:paraId="47A18259" w14:textId="77777777">
      <w:pPr>
        <w:spacing w:after="0" w:line="240" w:lineRule="auto"/>
      </w:pPr>
      <w:r>
        <w:separator/>
      </w:r>
    </w:p>
  </w:footnote>
  <w:footnote w:type="continuationSeparator" w:id="0">
    <w:p w:rsidR="009279B1" w:rsidP="004A1847" w:rsidRDefault="009279B1" w14:paraId="4FB0C975" w14:textId="77777777">
      <w:pPr>
        <w:spacing w:after="0" w:line="240" w:lineRule="auto"/>
      </w:pPr>
      <w:r>
        <w:continuationSeparator/>
      </w:r>
    </w:p>
  </w:footnote>
  <w:footnote w:type="continuationNotice" w:id="1">
    <w:p w:rsidR="009279B1" w:rsidRDefault="009279B1" w14:paraId="05D101E9" w14:textId="77777777">
      <w:pPr>
        <w:spacing w:after="0" w:line="240" w:lineRule="auto"/>
      </w:pPr>
    </w:p>
  </w:footnote>
  <w:footnote w:id="2">
    <w:p w:rsidRPr="00A31007" w:rsidR="00EE41AF" w:rsidP="00EE41AF" w:rsidRDefault="00EE41AF" w14:paraId="3DBADF4B" w14:textId="01DA072C">
      <w:pPr>
        <w:pStyle w:val="FootnoteText"/>
        <w:ind w:firstLine="708"/>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00CA2089">
        <w:rPr>
          <w:rFonts w:ascii="Arial" w:hAnsi="Arial" w:cs="Arial"/>
          <w:sz w:val="16"/>
          <w:szCs w:val="16"/>
        </w:rPr>
        <w:t>“</w:t>
      </w:r>
      <w:r w:rsidRPr="00A31007">
        <w:rPr>
          <w:rFonts w:ascii="Arial" w:hAnsi="Arial" w:cs="Arial"/>
          <w:sz w:val="16"/>
          <w:szCs w:val="16"/>
        </w:rPr>
        <w:t xml:space="preserve">Artículo 3°. Funciones. La Agencia Nacional de Contratación Pública –Colombia Compra Eficiente– ejercerá las siguientes funciones: </w:t>
      </w:r>
    </w:p>
    <w:p w:rsidRPr="00A31007" w:rsidR="00EE41AF" w:rsidP="00EE41AF" w:rsidRDefault="00EE41AF" w14:paraId="45152327" w14:textId="2451D99C">
      <w:pPr>
        <w:pStyle w:val="FootnoteText"/>
        <w:ind w:firstLine="709"/>
        <w:jc w:val="both"/>
        <w:rPr>
          <w:rFonts w:ascii="Arial" w:hAnsi="Arial" w:cs="Arial"/>
          <w:sz w:val="16"/>
          <w:szCs w:val="16"/>
          <w:lang w:val="es-ES"/>
        </w:rPr>
      </w:pPr>
      <w:r w:rsidRPr="00A31007">
        <w:rPr>
          <w:rFonts w:ascii="Arial" w:hAnsi="Arial" w:cs="Arial"/>
          <w:sz w:val="16"/>
          <w:szCs w:val="16"/>
          <w:lang w:val="es-ES"/>
        </w:rPr>
        <w:t xml:space="preserve">[...] </w:t>
      </w:r>
    </w:p>
    <w:p w:rsidRPr="00A31007" w:rsidR="00EE41AF" w:rsidP="00EE41AF" w:rsidRDefault="00EE41AF" w14:paraId="56F26004" w14:textId="36740042">
      <w:pPr>
        <w:pStyle w:val="FootnoteText"/>
        <w:ind w:firstLine="709"/>
        <w:jc w:val="both"/>
        <w:rPr>
          <w:rFonts w:ascii="Arial" w:hAnsi="Arial" w:cs="Arial"/>
          <w:sz w:val="16"/>
          <w:szCs w:val="16"/>
          <w:lang w:val="es-ES"/>
        </w:rPr>
      </w:pPr>
      <w:r w:rsidRPr="00A31007">
        <w:rPr>
          <w:rFonts w:ascii="Arial" w:hAnsi="Arial" w:cs="Arial"/>
          <w:sz w:val="16"/>
          <w:szCs w:val="16"/>
          <w:lang w:val="es-ES"/>
        </w:rPr>
        <w:t>5. Absolver consultas sobre la aplicación de normas de carácter general y expedir circulares externas en materia de compras y contratación pública</w:t>
      </w:r>
      <w:r w:rsidR="00CA2089">
        <w:rPr>
          <w:rFonts w:ascii="Arial" w:hAnsi="Arial" w:cs="Arial"/>
          <w:sz w:val="16"/>
          <w:szCs w:val="16"/>
          <w:lang w:val="es-ES"/>
        </w:rPr>
        <w:t>”</w:t>
      </w:r>
      <w:r w:rsidRPr="00A31007">
        <w:rPr>
          <w:rFonts w:ascii="Arial" w:hAnsi="Arial" w:cs="Arial"/>
          <w:sz w:val="16"/>
          <w:szCs w:val="16"/>
          <w:lang w:val="es-ES"/>
        </w:rPr>
        <w:t>.</w:t>
      </w:r>
    </w:p>
    <w:p w:rsidRPr="00A31007" w:rsidR="00EE41AF" w:rsidP="00EE41AF" w:rsidRDefault="00CA2089" w14:paraId="2B5A52EB" w14:textId="544146F1">
      <w:pPr>
        <w:pStyle w:val="FootnoteText"/>
        <w:ind w:firstLine="709"/>
        <w:jc w:val="both"/>
        <w:rPr>
          <w:rFonts w:ascii="Arial" w:hAnsi="Arial" w:cs="Arial"/>
          <w:sz w:val="16"/>
          <w:szCs w:val="16"/>
          <w:lang w:val="es-ES"/>
        </w:rPr>
      </w:pPr>
      <w:r>
        <w:rPr>
          <w:rFonts w:ascii="Arial" w:hAnsi="Arial" w:eastAsia="Times New Roman" w:cs="Arial"/>
          <w:sz w:val="16"/>
          <w:szCs w:val="16"/>
          <w:lang w:val="es-CO" w:eastAsia="es-ES_tradnl"/>
        </w:rPr>
        <w:t>“</w:t>
      </w:r>
      <w:r w:rsidRPr="00A31007" w:rsidR="00EE41AF">
        <w:rPr>
          <w:rFonts w:ascii="Arial" w:hAnsi="Arial" w:cs="Arial"/>
          <w:sz w:val="16"/>
          <w:szCs w:val="16"/>
          <w:lang w:val="es-ES"/>
        </w:rPr>
        <w:t xml:space="preserve">Artículo 11. Subdirección de Gestión Contractual. Son funciones de la Subdirección de Gestión Contractual las siguientes: </w:t>
      </w:r>
    </w:p>
    <w:p w:rsidRPr="00A31007" w:rsidR="00EE41AF" w:rsidP="00EE41AF" w:rsidRDefault="00EE41AF" w14:paraId="432BD691" w14:textId="1B3AC7B5">
      <w:pPr>
        <w:pStyle w:val="FootnoteText"/>
        <w:ind w:firstLine="709"/>
        <w:jc w:val="both"/>
        <w:rPr>
          <w:rFonts w:ascii="Arial" w:hAnsi="Arial" w:cs="Arial"/>
          <w:sz w:val="16"/>
          <w:szCs w:val="16"/>
          <w:lang w:val="es-ES"/>
        </w:rPr>
      </w:pPr>
      <w:r w:rsidRPr="00A31007">
        <w:rPr>
          <w:rFonts w:ascii="Arial" w:hAnsi="Arial" w:cs="Arial"/>
          <w:sz w:val="16"/>
          <w:szCs w:val="16"/>
          <w:lang w:val="es-ES"/>
        </w:rPr>
        <w:t xml:space="preserve">[...] </w:t>
      </w:r>
    </w:p>
    <w:p w:rsidRPr="00A31007" w:rsidR="00EE41AF" w:rsidP="00EE41AF" w:rsidRDefault="00EE41AF" w14:paraId="03D34050" w14:textId="76750158">
      <w:pPr>
        <w:pStyle w:val="FootnoteText"/>
        <w:ind w:firstLine="708"/>
        <w:jc w:val="both"/>
        <w:rPr>
          <w:rFonts w:ascii="Arial" w:hAnsi="Arial" w:cs="Arial"/>
          <w:sz w:val="16"/>
          <w:szCs w:val="16"/>
          <w:lang w:val="es-ES"/>
        </w:rPr>
      </w:pPr>
      <w:r w:rsidRPr="00A31007">
        <w:rPr>
          <w:rFonts w:ascii="Arial" w:hAnsi="Arial" w:cs="Arial"/>
          <w:sz w:val="16"/>
          <w:szCs w:val="16"/>
          <w:lang w:val="es-ES"/>
        </w:rPr>
        <w:t>8. Absolver consultas sobre la aplicación de normas de carácter general</w:t>
      </w:r>
      <w:r w:rsidR="00943837">
        <w:rPr>
          <w:rFonts w:ascii="Arial" w:hAnsi="Arial" w:cs="Arial"/>
          <w:sz w:val="16"/>
          <w:szCs w:val="16"/>
          <w:lang w:val="es-ES"/>
        </w:rPr>
        <w:t>”</w:t>
      </w:r>
      <w:r w:rsidRPr="00A31007">
        <w:rPr>
          <w:rFonts w:ascii="Arial" w:hAnsi="Arial" w:cs="Arial"/>
          <w:sz w:val="16"/>
          <w:szCs w:val="16"/>
          <w:lang w:val="es-ES"/>
        </w:rPr>
        <w:t>.</w:t>
      </w:r>
    </w:p>
    <w:p w:rsidRPr="00A31007" w:rsidR="00EE41AF" w:rsidP="00EE41AF" w:rsidRDefault="00EE41AF" w14:paraId="5A56E30D" w14:textId="77777777">
      <w:pPr>
        <w:pStyle w:val="FootnoteText"/>
        <w:ind w:firstLine="708"/>
        <w:jc w:val="both"/>
        <w:rPr>
          <w:rFonts w:ascii="Arial" w:hAnsi="Arial" w:cs="Arial"/>
          <w:sz w:val="16"/>
          <w:szCs w:val="16"/>
        </w:rPr>
      </w:pPr>
    </w:p>
  </w:footnote>
  <w:footnote w:id="3">
    <w:p w:rsidRPr="00A31007" w:rsidR="00EE41AF" w:rsidP="00EE41AF" w:rsidRDefault="00EE41AF" w14:paraId="52514715" w14:textId="77777777">
      <w:pPr>
        <w:pStyle w:val="FootnoteText"/>
        <w:ind w:firstLine="708"/>
        <w:jc w:val="both"/>
        <w:rPr>
          <w:rFonts w:ascii="Arial" w:hAnsi="Arial" w:cs="Arial"/>
          <w:sz w:val="16"/>
          <w:szCs w:val="16"/>
          <w:lang w:val="es-CO"/>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rsidRPr="00A31007" w:rsidR="00EE41AF" w:rsidP="00EE41AF" w:rsidRDefault="00EE41AF" w14:paraId="1320D6E9" w14:textId="77777777">
      <w:pPr>
        <w:pStyle w:val="FootnoteText"/>
        <w:ind w:firstLine="708"/>
        <w:jc w:val="both"/>
        <w:rPr>
          <w:rFonts w:ascii="Arial" w:hAnsi="Arial" w:cs="Arial"/>
          <w:sz w:val="16"/>
          <w:szCs w:val="16"/>
        </w:rPr>
      </w:pPr>
    </w:p>
  </w:footnote>
  <w:footnote w:id="4">
    <w:p w:rsidRPr="00A31007" w:rsidR="00EE41AF" w:rsidP="00EE41AF" w:rsidRDefault="00EE41AF" w14:paraId="6DE159CC" w14:textId="77777777">
      <w:pPr>
        <w:pStyle w:val="FootnoteText"/>
        <w:ind w:firstLine="708"/>
        <w:contextualSpacing/>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Los conceptos indicados pueden consultarse en el siguiente enlace: </w:t>
      </w:r>
      <w:hyperlink w:history="1" r:id="rId1">
        <w:r w:rsidRPr="00A31007">
          <w:rPr>
            <w:rStyle w:val="Hyperlink"/>
            <w:rFonts w:ascii="Arial" w:hAnsi="Arial" w:cs="Arial"/>
            <w:color w:val="auto"/>
            <w:sz w:val="16"/>
            <w:szCs w:val="16"/>
          </w:rPr>
          <w:t>https://relatoria.colombiacompra.gov.co/busqueda/conceptos</w:t>
        </w:r>
      </w:hyperlink>
      <w:r w:rsidRPr="00A31007">
        <w:rPr>
          <w:rFonts w:ascii="Arial" w:hAnsi="Arial" w:cs="Arial"/>
          <w:sz w:val="16"/>
          <w:szCs w:val="16"/>
        </w:rPr>
        <w:t>.</w:t>
      </w:r>
    </w:p>
    <w:p w:rsidRPr="00A31007" w:rsidR="00EE41AF" w:rsidP="00EE41AF" w:rsidRDefault="00EE41AF" w14:paraId="793EC6F1" w14:textId="77777777">
      <w:pPr>
        <w:pStyle w:val="FootnoteText"/>
        <w:ind w:firstLine="708"/>
        <w:contextualSpacing/>
        <w:jc w:val="both"/>
        <w:rPr>
          <w:rFonts w:ascii="Arial" w:hAnsi="Arial" w:cs="Arial"/>
          <w:sz w:val="16"/>
          <w:szCs w:val="16"/>
        </w:rPr>
      </w:pPr>
    </w:p>
  </w:footnote>
  <w:footnote w:id="5">
    <w:p w:rsidRPr="00A31007" w:rsidR="00EE41AF" w:rsidP="00EE41AF" w:rsidRDefault="00EE41AF" w14:paraId="7862F1AD" w14:textId="77777777">
      <w:pPr>
        <w:pStyle w:val="FootnoteText"/>
        <w:ind w:firstLine="708"/>
        <w:jc w:val="both"/>
        <w:rPr>
          <w:rStyle w:val="Hipervnculo1"/>
          <w:rFonts w:ascii="Arial" w:hAnsi="Arial" w:cs="Arial"/>
          <w:color w:val="auto"/>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Texto del Proyecto de Ley 122 de 2020 Cámara. Exposición de motivos. Consultado el 29 de diciembre de 2021 en la página web: </w:t>
      </w:r>
      <w:hyperlink w:history="1" r:id="rId2">
        <w:r w:rsidRPr="00A31007">
          <w:rPr>
            <w:rStyle w:val="Hipervnculo1"/>
            <w:rFonts w:ascii="Arial" w:hAnsi="Arial" w:cs="Arial"/>
            <w:color w:val="auto"/>
            <w:sz w:val="16"/>
            <w:szCs w:val="16"/>
          </w:rPr>
          <w:t>http://leyes.senado.gov.co/proyectos/index.php/textos-radicados-senado/p-ley-2020-2021/1957-proyecto-de-ley-161-de-2020</w:t>
        </w:r>
      </w:hyperlink>
      <w:r w:rsidRPr="00A31007">
        <w:rPr>
          <w:rStyle w:val="Hipervnculo1"/>
          <w:rFonts w:ascii="Arial" w:hAnsi="Arial" w:cs="Arial"/>
          <w:color w:val="auto"/>
          <w:sz w:val="16"/>
          <w:szCs w:val="16"/>
        </w:rPr>
        <w:t xml:space="preserve"> </w:t>
      </w:r>
    </w:p>
    <w:p w:rsidRPr="00A31007" w:rsidR="00EE41AF" w:rsidP="00EE41AF" w:rsidRDefault="00EE41AF" w14:paraId="06DE69DF" w14:textId="77777777">
      <w:pPr>
        <w:pStyle w:val="FootnoteText"/>
        <w:ind w:firstLine="708"/>
        <w:jc w:val="both"/>
        <w:rPr>
          <w:rFonts w:ascii="Arial" w:hAnsi="Arial" w:cs="Arial"/>
          <w:sz w:val="16"/>
          <w:szCs w:val="16"/>
        </w:rPr>
      </w:pPr>
    </w:p>
  </w:footnote>
  <w:footnote w:id="6">
    <w:p w:rsidRPr="00A31007" w:rsidR="00EE41AF" w:rsidP="00EE41AF" w:rsidRDefault="00EE41AF" w14:paraId="1D903268" w14:textId="77777777">
      <w:pPr>
        <w:pStyle w:val="FootnoteText"/>
        <w:ind w:firstLine="709"/>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2 al 29.</w:t>
      </w:r>
    </w:p>
    <w:p w:rsidRPr="00A31007" w:rsidR="00EE41AF" w:rsidP="00EE41AF" w:rsidRDefault="00EE41AF" w14:paraId="3FEA8192" w14:textId="77777777">
      <w:pPr>
        <w:pStyle w:val="FootnoteText"/>
        <w:ind w:firstLine="709"/>
        <w:jc w:val="both"/>
        <w:rPr>
          <w:rFonts w:ascii="Arial" w:hAnsi="Arial" w:cs="Arial"/>
          <w:sz w:val="16"/>
          <w:szCs w:val="16"/>
          <w:lang w:val="es-ES"/>
        </w:rPr>
      </w:pPr>
    </w:p>
  </w:footnote>
  <w:footnote w:id="7">
    <w:p w:rsidRPr="00A31007" w:rsidR="00EE41AF" w:rsidP="00EE41AF" w:rsidRDefault="00EE41AF" w14:paraId="227983F3" w14:textId="77777777">
      <w:pPr>
        <w:pStyle w:val="FootnoteText"/>
        <w:ind w:firstLine="709"/>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30 al 36.</w:t>
      </w:r>
    </w:p>
    <w:p w:rsidRPr="00A31007" w:rsidR="00EE41AF" w:rsidP="00EE41AF" w:rsidRDefault="00EE41AF" w14:paraId="2AC7C6D0" w14:textId="77777777">
      <w:pPr>
        <w:pStyle w:val="FootnoteText"/>
        <w:ind w:firstLine="709"/>
        <w:jc w:val="both"/>
        <w:rPr>
          <w:rFonts w:ascii="Arial" w:hAnsi="Arial" w:cs="Arial"/>
          <w:sz w:val="16"/>
          <w:szCs w:val="16"/>
          <w:lang w:val="es-ES"/>
        </w:rPr>
      </w:pPr>
    </w:p>
  </w:footnote>
  <w:footnote w:id="8">
    <w:p w:rsidRPr="00A31007" w:rsidR="00EE41AF" w:rsidP="00EE41AF" w:rsidRDefault="00EE41AF" w14:paraId="4D22E29E" w14:textId="77777777">
      <w:pPr>
        <w:pStyle w:val="FootnoteText"/>
        <w:ind w:firstLine="709"/>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37 al 45.</w:t>
      </w:r>
    </w:p>
    <w:p w:rsidRPr="00A31007" w:rsidR="00EE41AF" w:rsidP="00EE41AF" w:rsidRDefault="00EE41AF" w14:paraId="4E5CA50F" w14:textId="77777777">
      <w:pPr>
        <w:pStyle w:val="FootnoteText"/>
        <w:ind w:firstLine="709"/>
        <w:jc w:val="both"/>
        <w:rPr>
          <w:rFonts w:ascii="Arial" w:hAnsi="Arial" w:cs="Arial"/>
          <w:sz w:val="16"/>
          <w:szCs w:val="16"/>
          <w:lang w:val="es-ES"/>
        </w:rPr>
      </w:pPr>
    </w:p>
  </w:footnote>
  <w:footnote w:id="9">
    <w:p w:rsidRPr="00A31007" w:rsidR="00EE41AF" w:rsidP="00EE41AF" w:rsidRDefault="00EE41AF" w14:paraId="53350C3C" w14:textId="77777777">
      <w:pPr>
        <w:pStyle w:val="FootnoteText"/>
        <w:ind w:firstLine="709"/>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46 al 73.</w:t>
      </w:r>
    </w:p>
    <w:p w:rsidRPr="00A31007" w:rsidR="00EE41AF" w:rsidP="00EE41AF" w:rsidRDefault="00EE41AF" w14:paraId="35234731" w14:textId="77777777">
      <w:pPr>
        <w:pStyle w:val="FootnoteText"/>
        <w:ind w:firstLine="709"/>
        <w:jc w:val="both"/>
        <w:rPr>
          <w:rFonts w:ascii="Arial" w:hAnsi="Arial" w:cs="Arial"/>
          <w:sz w:val="16"/>
          <w:szCs w:val="16"/>
          <w:lang w:val="es-ES"/>
        </w:rPr>
      </w:pPr>
    </w:p>
  </w:footnote>
  <w:footnote w:id="10">
    <w:p w:rsidRPr="00A31007" w:rsidR="00EE41AF" w:rsidP="00EE41AF" w:rsidRDefault="00EE41AF" w14:paraId="256F0422" w14:textId="77777777">
      <w:pPr>
        <w:pStyle w:val="FootnoteText"/>
        <w:ind w:firstLine="709"/>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ES"/>
        </w:rPr>
        <w:t>Artículos 74 al 83.</w:t>
      </w:r>
    </w:p>
    <w:p w:rsidRPr="00A31007" w:rsidR="00EE41AF" w:rsidP="00EE41AF" w:rsidRDefault="00EE41AF" w14:paraId="2EFE6452" w14:textId="77777777">
      <w:pPr>
        <w:pStyle w:val="FootnoteText"/>
        <w:ind w:firstLine="709"/>
        <w:jc w:val="both"/>
        <w:rPr>
          <w:rFonts w:ascii="Arial" w:hAnsi="Arial" w:cs="Arial"/>
          <w:sz w:val="16"/>
          <w:szCs w:val="16"/>
          <w:lang w:val="es-ES"/>
        </w:rPr>
      </w:pPr>
    </w:p>
  </w:footnote>
  <w:footnote w:id="11">
    <w:p w:rsidRPr="00A31007" w:rsidR="00EE41AF" w:rsidP="00EE41AF" w:rsidRDefault="00EE41AF" w14:paraId="705B5AB4" w14:textId="77777777">
      <w:pPr>
        <w:pStyle w:val="FootnoteText"/>
        <w:ind w:firstLine="708"/>
        <w:jc w:val="both"/>
        <w:rPr>
          <w:rFonts w:ascii="Arial" w:hAnsi="Arial" w:cs="Arial"/>
          <w:sz w:val="16"/>
          <w:szCs w:val="16"/>
          <w:lang w:val="es-ES"/>
        </w:rPr>
      </w:pPr>
      <w:r w:rsidRPr="00A31007">
        <w:rPr>
          <w:rStyle w:val="FootnoteReference"/>
          <w:rFonts w:ascii="Arial" w:hAnsi="Arial" w:cs="Arial"/>
          <w:sz w:val="16"/>
          <w:szCs w:val="16"/>
        </w:rPr>
        <w:footnoteRef/>
      </w:r>
      <w:r w:rsidRPr="00A31007">
        <w:rPr>
          <w:rFonts w:ascii="Arial" w:hAnsi="Arial" w:cs="Arial"/>
          <w:sz w:val="16"/>
          <w:szCs w:val="16"/>
        </w:rPr>
        <w:t xml:space="preserve"> </w:t>
      </w:r>
      <w:bookmarkStart w:name="_Hlk63862868" w:id="4"/>
      <w:r w:rsidRPr="00A31007">
        <w:rPr>
          <w:rFonts w:ascii="Arial" w:hAnsi="Arial" w:cs="Arial"/>
          <w:sz w:val="16"/>
          <w:szCs w:val="16"/>
        </w:rPr>
        <w:t xml:space="preserve">CONGRESO DE LA REPÚBLICA. Gaceta No. 670 del 11 de agosto de 2020. Exposición de motivos del Proyecto de Ley No. 122 de 2020 Cámara. p. 13. </w:t>
      </w:r>
      <w:bookmarkEnd w:id="4"/>
    </w:p>
  </w:footnote>
  <w:footnote w:id="12">
    <w:p w:rsidRPr="00A31007" w:rsidR="00EE41AF" w:rsidP="00EE41AF" w:rsidRDefault="00EE41AF" w14:paraId="7BB39F14" w14:textId="35D91327">
      <w:pPr>
        <w:pStyle w:val="FootnoteText"/>
        <w:ind w:firstLine="709"/>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Ley 2069 de 2020 </w:t>
      </w:r>
      <w:r w:rsidR="00AE50C1">
        <w:rPr>
          <w:rFonts w:ascii="Arial" w:hAnsi="Arial" w:cs="Arial"/>
          <w:sz w:val="16"/>
          <w:szCs w:val="16"/>
        </w:rPr>
        <w:t>“</w:t>
      </w:r>
      <w:r w:rsidRPr="00A31007">
        <w:rPr>
          <w:rFonts w:ascii="Arial" w:hAnsi="Arial" w:cs="Arial"/>
          <w:sz w:val="16"/>
          <w:szCs w:val="16"/>
        </w:rPr>
        <w:t xml:space="preserve">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rsidRPr="00A31007" w:rsidR="00EE41AF" w:rsidP="00EE41AF" w:rsidRDefault="00EE41AF" w14:paraId="34EAAD7D" w14:textId="5AD313E5">
      <w:pPr>
        <w:pStyle w:val="FootnoteText"/>
        <w:ind w:firstLine="708"/>
        <w:jc w:val="both"/>
        <w:rPr>
          <w:rFonts w:ascii="Arial" w:hAnsi="Arial" w:cs="Arial"/>
          <w:sz w:val="16"/>
          <w:szCs w:val="16"/>
        </w:rPr>
      </w:pPr>
      <w:r w:rsidRPr="00A31007">
        <w:rPr>
          <w:rFonts w:ascii="Arial" w:hAnsi="Arial" w:cs="Arial"/>
          <w:sz w:val="16"/>
          <w:szCs w:val="16"/>
        </w:rPr>
        <w:t>Parágrafo primero. La definición de emprendimientos y empresas de mujeres se reglamentará por el gobierno nacional</w:t>
      </w:r>
      <w:r w:rsidR="00AE50C1">
        <w:rPr>
          <w:rFonts w:ascii="Arial" w:hAnsi="Arial" w:cs="Arial"/>
          <w:sz w:val="16"/>
          <w:szCs w:val="16"/>
        </w:rPr>
        <w:t>”</w:t>
      </w:r>
      <w:r w:rsidRPr="00A31007">
        <w:rPr>
          <w:rFonts w:ascii="Arial" w:hAnsi="Arial" w:cs="Arial"/>
          <w:sz w:val="16"/>
          <w:szCs w:val="16"/>
        </w:rPr>
        <w:t xml:space="preserve">.  </w:t>
      </w:r>
    </w:p>
  </w:footnote>
  <w:footnote w:id="13">
    <w:p w:rsidRPr="00A31007" w:rsidR="00EE41AF" w:rsidP="00EE41AF" w:rsidRDefault="00EE41AF" w14:paraId="2A0E6B8E" w14:textId="6492DEC1">
      <w:pPr>
        <w:pStyle w:val="FootnoteText"/>
        <w:ind w:firstLine="709"/>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Decreto 1860 de 2021. </w:t>
      </w:r>
      <w:r w:rsidR="00AE50C1">
        <w:rPr>
          <w:rFonts w:ascii="Arial" w:hAnsi="Arial" w:cs="Arial"/>
          <w:sz w:val="16"/>
          <w:szCs w:val="16"/>
        </w:rPr>
        <w:t>“</w:t>
      </w:r>
      <w:r w:rsidRPr="00A31007">
        <w:rPr>
          <w:rFonts w:ascii="Arial" w:hAnsi="Arial" w:cs="Arial"/>
          <w:sz w:val="16"/>
          <w:szCs w:val="16"/>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r w:rsidR="00AE50C1">
        <w:rPr>
          <w:rFonts w:ascii="Arial" w:hAnsi="Arial" w:cs="Arial"/>
          <w:sz w:val="16"/>
          <w:szCs w:val="16"/>
        </w:rPr>
        <w:t>”</w:t>
      </w:r>
      <w:r w:rsidRPr="00A31007">
        <w:rPr>
          <w:rFonts w:ascii="Arial" w:hAnsi="Arial" w:cs="Arial"/>
          <w:sz w:val="16"/>
          <w:szCs w:val="16"/>
        </w:rPr>
        <w:t>.</w:t>
      </w:r>
    </w:p>
    <w:p w:rsidRPr="00A31007" w:rsidR="00EE41AF" w:rsidP="00EE41AF" w:rsidRDefault="00EE41AF" w14:paraId="0640E395" w14:textId="77777777">
      <w:pPr>
        <w:pStyle w:val="FootnoteText"/>
        <w:ind w:firstLine="709"/>
        <w:jc w:val="both"/>
        <w:rPr>
          <w:rFonts w:ascii="Arial" w:hAnsi="Arial" w:cs="Arial"/>
          <w:sz w:val="16"/>
          <w:szCs w:val="16"/>
        </w:rPr>
      </w:pPr>
    </w:p>
  </w:footnote>
  <w:footnote w:id="14">
    <w:p w:rsidRPr="00A31007" w:rsidR="00EE41AF" w:rsidP="00EE41AF" w:rsidRDefault="00EE41AF" w14:paraId="02677910" w14:textId="57D80BE6">
      <w:pPr>
        <w:pStyle w:val="NormalWeb"/>
        <w:shd w:val="clear" w:color="auto" w:fill="FFFFFF"/>
        <w:spacing w:after="0"/>
        <w:ind w:firstLine="709"/>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Decreto 1860 de 2021. </w:t>
      </w:r>
      <w:r w:rsidR="00AE50C1">
        <w:rPr>
          <w:rFonts w:ascii="Arial" w:hAnsi="Arial" w:cs="Arial"/>
          <w:sz w:val="16"/>
          <w:szCs w:val="16"/>
        </w:rPr>
        <w:t>“</w:t>
      </w:r>
      <w:r w:rsidRPr="00A31007">
        <w:rPr>
          <w:rFonts w:ascii="Arial" w:hAnsi="Arial" w:cs="Arial"/>
          <w:sz w:val="16"/>
          <w:szCs w:val="16"/>
        </w:rPr>
        <w:t>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3">
        <w:r w:rsidRPr="00A31007">
          <w:rPr>
            <w:rStyle w:val="Hipervnculo1"/>
            <w:rFonts w:ascii="Arial" w:hAnsi="Arial" w:cs="Arial"/>
            <w:color w:val="auto"/>
            <w:sz w:val="16"/>
            <w:szCs w:val="16"/>
          </w:rPr>
          <w:t>5 </w:t>
        </w:r>
      </w:hyperlink>
      <w:r w:rsidRPr="00A31007">
        <w:rPr>
          <w:rFonts w:ascii="Arial" w:hAnsi="Arial" w:cs="Arial"/>
          <w:sz w:val="16"/>
          <w:szCs w:val="16"/>
        </w:rPr>
        <w:t>de la Sección 1 del Capítulo 2 del Título 1 de la Parte 2 del Libro 2, así como los artículos </w:t>
      </w:r>
      <w:hyperlink w:history="1" w:anchor="2.2.1.2.4.2.2" r:id="rId4">
        <w:r w:rsidRPr="00A31007">
          <w:rPr>
            <w:rStyle w:val="Hipervnculo1"/>
            <w:rFonts w:ascii="Arial" w:hAnsi="Arial" w:cs="Arial"/>
            <w:color w:val="auto"/>
            <w:sz w:val="16"/>
            <w:szCs w:val="16"/>
          </w:rPr>
          <w:t>2.2.1.2.4.2.2</w:t>
        </w:r>
      </w:hyperlink>
      <w:r w:rsidRPr="00A31007">
        <w:rPr>
          <w:rFonts w:ascii="Arial" w:hAnsi="Arial" w:cs="Arial"/>
          <w:sz w:val="16"/>
          <w:szCs w:val="16"/>
        </w:rPr>
        <w:t>., </w:t>
      </w:r>
      <w:hyperlink w:history="1" w:anchor="2.2.1.2.4.2.3" r:id="rId5">
        <w:r w:rsidRPr="00A31007">
          <w:rPr>
            <w:rStyle w:val="Hipervnculo1"/>
            <w:rFonts w:ascii="Arial" w:hAnsi="Arial" w:cs="Arial"/>
            <w:color w:val="auto"/>
            <w:sz w:val="16"/>
            <w:szCs w:val="16"/>
          </w:rPr>
          <w:t>2.2.1.2.4.2.3</w:t>
        </w:r>
      </w:hyperlink>
      <w:r w:rsidRPr="00A31007">
        <w:rPr>
          <w:rFonts w:ascii="Arial" w:hAnsi="Arial" w:cs="Arial"/>
          <w:sz w:val="16"/>
          <w:szCs w:val="16"/>
        </w:rPr>
        <w:t>., </w:t>
      </w:r>
      <w:hyperlink w:history="1" w:anchor="2.2.1.2.4.2.4" r:id="rId6">
        <w:r w:rsidRPr="00A31007">
          <w:rPr>
            <w:rStyle w:val="Hipervnculo1"/>
            <w:rFonts w:ascii="Arial" w:hAnsi="Arial" w:cs="Arial"/>
            <w:color w:val="auto"/>
            <w:sz w:val="16"/>
            <w:szCs w:val="16"/>
          </w:rPr>
          <w:t>2.2.1.2.4.2.4</w:t>
        </w:r>
      </w:hyperlink>
      <w:r w:rsidRPr="00A31007">
        <w:rPr>
          <w:rFonts w:ascii="Arial" w:hAnsi="Arial" w:cs="Arial"/>
          <w:sz w:val="16"/>
          <w:szCs w:val="16"/>
        </w:rPr>
        <w:t>., </w:t>
      </w:r>
      <w:hyperlink w:history="1" w:anchor="2.2.1.2.1.2.2" r:id="rId7">
        <w:r w:rsidRPr="00A31007">
          <w:rPr>
            <w:rStyle w:val="Hipervnculo1"/>
            <w:rFonts w:ascii="Arial" w:hAnsi="Arial" w:cs="Arial"/>
            <w:color w:val="auto"/>
            <w:sz w:val="16"/>
            <w:szCs w:val="16"/>
          </w:rPr>
          <w:t>2.2.1.2.1.2.2</w:t>
        </w:r>
      </w:hyperlink>
      <w:r w:rsidRPr="00A31007">
        <w:rPr>
          <w:rFonts w:ascii="Arial" w:hAnsi="Arial" w:cs="Arial"/>
          <w:sz w:val="16"/>
          <w:szCs w:val="16"/>
        </w:rPr>
        <w:t xml:space="preserve"> y </w:t>
      </w:r>
      <w:hyperlink w:history="1" w:anchor="2.2.1.2.4.2.8" r:id="rId8">
        <w:r w:rsidRPr="00A31007">
          <w:rPr>
            <w:rStyle w:val="Hipervnculo1"/>
            <w:rFonts w:ascii="Arial" w:hAnsi="Arial" w:cs="Arial"/>
            <w:color w:val="auto"/>
            <w:sz w:val="16"/>
            <w:szCs w:val="16"/>
          </w:rPr>
          <w:t>2.2.1.2.4.2.8</w:t>
        </w:r>
      </w:hyperlink>
      <w:r w:rsidRPr="00A31007">
        <w:rPr>
          <w:rFonts w:ascii="Arial" w:hAnsi="Arial" w:cs="Arial"/>
          <w:sz w:val="16"/>
          <w:szCs w:val="16"/>
        </w:rPr>
        <w:t>.; adiciona los artículos </w:t>
      </w:r>
      <w:hyperlink w:history="1" w:anchor="2.2.1.2.4.2.14" r:id="rId9">
        <w:r w:rsidRPr="00A31007">
          <w:rPr>
            <w:rStyle w:val="Hipervnculo1"/>
            <w:rFonts w:ascii="Arial" w:hAnsi="Arial" w:cs="Arial"/>
            <w:color w:val="auto"/>
            <w:sz w:val="16"/>
            <w:szCs w:val="16"/>
          </w:rPr>
          <w:t>2.2.1.2.4.2.14</w:t>
        </w:r>
      </w:hyperlink>
      <w:r w:rsidRPr="00A31007">
        <w:rPr>
          <w:rFonts w:ascii="Arial" w:hAnsi="Arial" w:cs="Arial"/>
          <w:sz w:val="16"/>
          <w:szCs w:val="16"/>
        </w:rPr>
        <w:t>., </w:t>
      </w:r>
      <w:hyperlink w:history="1" w:anchor="2.2.1.2.4.2.15" r:id="rId10">
        <w:r w:rsidRPr="00A31007">
          <w:rPr>
            <w:rStyle w:val="Hipervnculo1"/>
            <w:rFonts w:ascii="Arial" w:hAnsi="Arial" w:cs="Arial"/>
            <w:color w:val="auto"/>
            <w:sz w:val="16"/>
            <w:szCs w:val="16"/>
          </w:rPr>
          <w:t>2.2.1.2.4.2.15</w:t>
        </w:r>
      </w:hyperlink>
      <w:r w:rsidRPr="00A31007">
        <w:rPr>
          <w:rFonts w:ascii="Arial" w:hAnsi="Arial" w:cs="Arial"/>
          <w:sz w:val="16"/>
          <w:szCs w:val="16"/>
        </w:rPr>
        <w:t>., </w:t>
      </w:r>
      <w:hyperlink w:history="1" w:anchor="2.2.1.2.4.2.16" r:id="rId11">
        <w:r w:rsidRPr="00A31007">
          <w:rPr>
            <w:rStyle w:val="Hipervnculo1"/>
            <w:rFonts w:ascii="Arial" w:hAnsi="Arial" w:cs="Arial"/>
            <w:color w:val="auto"/>
            <w:sz w:val="16"/>
            <w:szCs w:val="16"/>
          </w:rPr>
          <w:t>2.2.1.2.4.2.16</w:t>
        </w:r>
      </w:hyperlink>
      <w:r w:rsidRPr="00A31007">
        <w:rPr>
          <w:rFonts w:ascii="Arial" w:hAnsi="Arial" w:cs="Arial"/>
          <w:sz w:val="16"/>
          <w:szCs w:val="16"/>
        </w:rPr>
        <w:t>., </w:t>
      </w:r>
      <w:hyperlink w:history="1" w:anchor="2.2.1.2.4.2.17" r:id="rId12">
        <w:r w:rsidRPr="00A31007">
          <w:rPr>
            <w:rStyle w:val="Hipervnculo1"/>
            <w:rFonts w:ascii="Arial" w:hAnsi="Arial" w:cs="Arial"/>
            <w:color w:val="auto"/>
            <w:sz w:val="16"/>
            <w:szCs w:val="16"/>
          </w:rPr>
          <w:t>2.2.1.2.4.2.17</w:t>
        </w:r>
      </w:hyperlink>
      <w:r w:rsidRPr="00A31007">
        <w:rPr>
          <w:rFonts w:ascii="Arial" w:hAnsi="Arial" w:cs="Arial"/>
          <w:sz w:val="16"/>
          <w:szCs w:val="16"/>
        </w:rPr>
        <w:t>. y </w:t>
      </w:r>
      <w:hyperlink w:history="1" w:anchor="2.2.1.2.4.2.18" r:id="rId13">
        <w:r w:rsidRPr="00A31007">
          <w:rPr>
            <w:rStyle w:val="Hipervnculo1"/>
            <w:rFonts w:ascii="Arial" w:hAnsi="Arial" w:cs="Arial"/>
            <w:color w:val="auto"/>
            <w:sz w:val="16"/>
            <w:szCs w:val="16"/>
          </w:rPr>
          <w:t>2.2.1.2.4.2.18</w:t>
        </w:r>
      </w:hyperlink>
      <w:r w:rsidRPr="00A31007">
        <w:rPr>
          <w:rFonts w:ascii="Arial" w:hAnsi="Arial" w:cs="Arial"/>
          <w:sz w:val="16"/>
          <w:szCs w:val="16"/>
        </w:rPr>
        <w:t>.; adiciona un </w:t>
      </w:r>
      <w:hyperlink w:history="1" w:anchor="2.2.1.2.3.1.9.p" r:id="rId14">
        <w:r w:rsidRPr="00A31007">
          <w:rPr>
            <w:rStyle w:val="Hipervnculo1"/>
            <w:rFonts w:ascii="Arial" w:hAnsi="Arial" w:cs="Arial"/>
            <w:color w:val="auto"/>
            <w:sz w:val="16"/>
            <w:szCs w:val="16"/>
          </w:rPr>
          <w:t>parágrafo </w:t>
        </w:r>
      </w:hyperlink>
      <w:r w:rsidRPr="00A31007">
        <w:rPr>
          <w:rFonts w:ascii="Arial" w:hAnsi="Arial" w:cs="Arial"/>
          <w:sz w:val="16"/>
          <w:szCs w:val="16"/>
        </w:rPr>
        <w:t>al artículo </w:t>
      </w:r>
      <w:hyperlink w:history="1" w:anchor="2.2.1.2.3.1.9" r:id="rId15">
        <w:r w:rsidRPr="00A31007">
          <w:rPr>
            <w:rStyle w:val="Hipervnculo1"/>
            <w:rFonts w:ascii="Arial" w:hAnsi="Arial" w:cs="Arial"/>
            <w:color w:val="auto"/>
            <w:sz w:val="16"/>
            <w:szCs w:val="16"/>
          </w:rPr>
          <w:t>2.2.1.2.3.1.9</w:t>
        </w:r>
      </w:hyperlink>
      <w:r w:rsidRPr="00A31007">
        <w:rPr>
          <w:rFonts w:ascii="Arial" w:hAnsi="Arial" w:cs="Arial"/>
          <w:sz w:val="16"/>
          <w:szCs w:val="16"/>
        </w:rPr>
        <w:t>; y deroga el artículo </w:t>
      </w:r>
      <w:hyperlink w:history="1" w:anchor="2.2.1.1.2.2.9" r:id="rId16">
        <w:r w:rsidRPr="00A31007">
          <w:rPr>
            <w:rStyle w:val="Hipervnculo1"/>
            <w:rFonts w:ascii="Arial" w:hAnsi="Arial" w:cs="Arial"/>
            <w:color w:val="auto"/>
            <w:sz w:val="16"/>
            <w:szCs w:val="16"/>
          </w:rPr>
          <w:t>2.2.1.1.2.2.9</w:t>
        </w:r>
      </w:hyperlink>
      <w:r w:rsidRPr="00A31007">
        <w:rPr>
          <w:rFonts w:ascii="Arial" w:hAnsi="Arial" w:cs="Arial"/>
          <w:sz w:val="16"/>
          <w:szCs w:val="16"/>
        </w:rPr>
        <w:t>. del Decreto 1082 de 2015, Único Reglamentario del Sector Administrativo de Planeación Nacional.</w:t>
      </w:r>
    </w:p>
    <w:p w:rsidRPr="00A31007" w:rsidR="00EE41AF" w:rsidP="00EE41AF" w:rsidRDefault="00EE41AF" w14:paraId="569C1B8D" w14:textId="164D6048">
      <w:pPr>
        <w:pStyle w:val="NormalWeb"/>
        <w:shd w:val="clear" w:color="auto" w:fill="FFFFFF"/>
        <w:spacing w:after="0"/>
        <w:jc w:val="both"/>
        <w:rPr>
          <w:rFonts w:ascii="Arial" w:hAnsi="Arial" w:cs="Arial"/>
          <w:sz w:val="16"/>
          <w:szCs w:val="16"/>
        </w:rPr>
      </w:pPr>
      <w:r w:rsidRPr="00A31007">
        <w:rPr>
          <w:rFonts w:ascii="Arial" w:hAnsi="Arial" w:cs="Arial"/>
          <w:b/>
          <w:sz w:val="16"/>
          <w:szCs w:val="16"/>
        </w:rPr>
        <w:t> </w:t>
      </w:r>
      <w:r w:rsidRPr="00A31007">
        <w:rPr>
          <w:rFonts w:ascii="Arial" w:hAnsi="Arial" w:cs="Arial"/>
          <w:b/>
          <w:sz w:val="16"/>
          <w:szCs w:val="16"/>
        </w:rPr>
        <w:tab/>
      </w:r>
      <w:r w:rsidRPr="00A31007">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Pr="00A31007" w:rsidR="00EE41AF" w:rsidP="00EE41AF" w:rsidRDefault="00EE41AF" w14:paraId="3DD9C7AB" w14:textId="084EF6AD">
      <w:pPr>
        <w:pStyle w:val="NormalWeb"/>
        <w:shd w:val="clear" w:color="auto" w:fill="FFFFFF"/>
        <w:spacing w:after="0"/>
        <w:jc w:val="both"/>
        <w:rPr>
          <w:rFonts w:ascii="Arial" w:hAnsi="Arial" w:cs="Arial"/>
          <w:sz w:val="16"/>
          <w:szCs w:val="16"/>
        </w:rPr>
      </w:pPr>
      <w:r w:rsidRPr="00A31007">
        <w:rPr>
          <w:rFonts w:ascii="Arial" w:hAnsi="Arial" w:cs="Arial"/>
          <w:sz w:val="16"/>
          <w:szCs w:val="16"/>
        </w:rPr>
        <w:t> </w:t>
      </w:r>
      <w:r w:rsidRPr="00A31007">
        <w:rPr>
          <w:rFonts w:ascii="Arial" w:hAnsi="Arial" w:cs="Arial"/>
          <w:sz w:val="16"/>
          <w:szCs w:val="16"/>
        </w:rPr>
        <w:tab/>
      </w:r>
      <w:r w:rsidRPr="00A31007">
        <w:rPr>
          <w:rFonts w:ascii="Arial" w:hAnsi="Arial" w:cs="Arial"/>
          <w:sz w:val="16"/>
          <w:szCs w:val="16"/>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sidR="00AE50C1">
        <w:rPr>
          <w:rFonts w:ascii="Arial" w:hAnsi="Arial" w:cs="Arial"/>
          <w:sz w:val="16"/>
          <w:szCs w:val="16"/>
        </w:rPr>
        <w:t>”</w:t>
      </w:r>
      <w:r w:rsidRPr="00A31007">
        <w:rPr>
          <w:rFonts w:ascii="Arial" w:hAnsi="Arial" w:cs="Arial"/>
          <w:sz w:val="16"/>
          <w:szCs w:val="16"/>
        </w:rPr>
        <w:t>.</w:t>
      </w:r>
    </w:p>
  </w:footnote>
  <w:footnote w:id="15">
    <w:p w:rsidRPr="00A31007" w:rsidR="00EE41AF" w:rsidP="00EE41AF" w:rsidRDefault="00EE41AF" w14:paraId="66CDB4A0" w14:textId="33D617C7">
      <w:pPr>
        <w:pStyle w:val="NormalWeb"/>
        <w:spacing w:after="0"/>
        <w:ind w:firstLine="708"/>
        <w:jc w:val="both"/>
        <w:rPr>
          <w:rFonts w:ascii="Arial" w:hAnsi="Arial" w:cs="Arial"/>
          <w:sz w:val="16"/>
          <w:szCs w:val="16"/>
          <w:lang w:val="es-MX"/>
        </w:rPr>
      </w:pPr>
      <w:r w:rsidRPr="00A31007">
        <w:rPr>
          <w:rStyle w:val="FootnoteReference"/>
          <w:rFonts w:ascii="Arial" w:hAnsi="Arial" w:cs="Arial"/>
          <w:sz w:val="16"/>
          <w:szCs w:val="16"/>
          <w:lang w:val="es-MX"/>
        </w:rPr>
        <w:footnoteRef/>
      </w:r>
      <w:r w:rsidRPr="00A31007">
        <w:rPr>
          <w:rStyle w:val="FootnoteReference"/>
          <w:rFonts w:ascii="Arial" w:hAnsi="Arial" w:cs="Arial"/>
          <w:sz w:val="16"/>
          <w:szCs w:val="16"/>
          <w:lang w:val="es-MX"/>
        </w:rPr>
        <w:t xml:space="preserve"> </w:t>
      </w:r>
      <w:r w:rsidRPr="00A31007">
        <w:rPr>
          <w:rFonts w:ascii="Arial" w:hAnsi="Arial" w:cs="Arial"/>
          <w:sz w:val="16"/>
          <w:szCs w:val="16"/>
          <w:lang w:val="es-MX"/>
        </w:rPr>
        <w:t xml:space="preserve">Decreto Ley 2663 del 5 de agosto de 1950, Código Sustantivo del Trabajo: </w:t>
      </w:r>
      <w:r w:rsidR="00AE50C1">
        <w:rPr>
          <w:rFonts w:ascii="Arial" w:hAnsi="Arial" w:cs="Arial"/>
          <w:sz w:val="16"/>
          <w:szCs w:val="16"/>
          <w:lang w:val="es-MX"/>
        </w:rPr>
        <w:t>“</w:t>
      </w:r>
      <w:r w:rsidRPr="00A31007">
        <w:rPr>
          <w:rFonts w:ascii="Arial" w:hAnsi="Arial" w:cs="Arial"/>
          <w:sz w:val="16"/>
          <w:szCs w:val="16"/>
          <w:lang w:val="es-MX"/>
        </w:rPr>
        <w:t>Son representantes del {empleador} y como tales lo obligan frente a sus trabajadores además de quienes tienen ese carácter según la ley, la convención o el reglamento de trabajo, las siguientes personas:</w:t>
      </w:r>
    </w:p>
    <w:p w:rsidRPr="00A31007" w:rsidR="00EE41AF" w:rsidP="00EE41AF" w:rsidRDefault="00EE41AF" w14:paraId="7C973F3B" w14:textId="375AF719">
      <w:pPr>
        <w:spacing w:after="0"/>
        <w:ind w:left="709"/>
        <w:jc w:val="both"/>
        <w:rPr>
          <w:rFonts w:ascii="Arial" w:hAnsi="Arial" w:cs="Arial"/>
          <w:sz w:val="16"/>
          <w:szCs w:val="16"/>
          <w:lang w:val="es-MX"/>
        </w:rPr>
      </w:pPr>
      <w:r w:rsidRPr="00A31007">
        <w:rPr>
          <w:rFonts w:ascii="Arial" w:hAnsi="Arial" w:cs="Arial"/>
          <w:sz w:val="16"/>
          <w:szCs w:val="16"/>
          <w:lang w:val="es-MX"/>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rsidRPr="00A31007" w:rsidR="00EE41AF" w:rsidP="00EE41AF" w:rsidRDefault="00EE41AF" w14:paraId="5161A3DB" w14:textId="6B7E9980">
      <w:pPr>
        <w:ind w:left="709"/>
        <w:jc w:val="both"/>
        <w:rPr>
          <w:rFonts w:ascii="Arial" w:hAnsi="Arial" w:cs="Arial"/>
          <w:sz w:val="16"/>
          <w:szCs w:val="16"/>
          <w:lang w:val="es-MX"/>
        </w:rPr>
      </w:pPr>
      <w:r w:rsidRPr="00A31007">
        <w:rPr>
          <w:rFonts w:ascii="Arial" w:hAnsi="Arial" w:cs="Arial"/>
          <w:sz w:val="16"/>
          <w:szCs w:val="16"/>
          <w:lang w:val="es-MX"/>
        </w:rPr>
        <w:t>b) Los intermediarios</w:t>
      </w:r>
      <w:r w:rsidR="00AE50C1">
        <w:rPr>
          <w:rFonts w:ascii="Arial" w:hAnsi="Arial" w:cs="Arial"/>
          <w:sz w:val="16"/>
          <w:szCs w:val="16"/>
          <w:lang w:val="es-MX"/>
        </w:rPr>
        <w:t>”</w:t>
      </w:r>
      <w:r w:rsidRPr="00A31007">
        <w:rPr>
          <w:rFonts w:ascii="Arial" w:hAnsi="Arial" w:cs="Arial"/>
          <w:sz w:val="16"/>
          <w:szCs w:val="16"/>
          <w:lang w:val="es-MX"/>
        </w:rPr>
        <w:t>.</w:t>
      </w:r>
    </w:p>
    <w:p w:rsidRPr="00A31007" w:rsidR="00EE41AF" w:rsidP="00EE41AF" w:rsidRDefault="00EE41AF" w14:paraId="29D7F847" w14:textId="77777777">
      <w:pPr>
        <w:pStyle w:val="FootnoteText"/>
        <w:rPr>
          <w:rFonts w:ascii="Arial" w:hAnsi="Arial" w:cs="Arial"/>
          <w:sz w:val="16"/>
          <w:szCs w:val="16"/>
          <w:lang w:val="es-ES"/>
        </w:rPr>
      </w:pPr>
    </w:p>
  </w:footnote>
  <w:footnote w:id="16">
    <w:p w:rsidRPr="00A31007" w:rsidR="00EE41AF" w:rsidP="00EE41AF" w:rsidRDefault="00EE41AF" w14:paraId="5D5C8EF6" w14:textId="77777777">
      <w:pPr>
        <w:pStyle w:val="FootnoteText"/>
        <w:ind w:firstLine="708"/>
        <w:contextualSpacing/>
        <w:jc w:val="both"/>
        <w:rPr>
          <w:rFonts w:ascii="Arial" w:hAnsi="Arial" w:cs="Arial"/>
          <w:sz w:val="16"/>
          <w:szCs w:val="16"/>
          <w:lang w:val="es-ES"/>
        </w:rPr>
      </w:pPr>
      <w:r w:rsidRPr="00A31007">
        <w:rPr>
          <w:rStyle w:val="FootnoteReference"/>
          <w:rFonts w:ascii="Arial" w:hAnsi="Arial" w:cs="Arial" w:eastAsiaTheme="majorEastAsia"/>
          <w:sz w:val="16"/>
          <w:szCs w:val="16"/>
        </w:rPr>
        <w:footnoteRef/>
      </w:r>
      <w:r w:rsidRPr="00A31007">
        <w:rPr>
          <w:rFonts w:ascii="Arial" w:hAnsi="Arial" w:cs="Arial"/>
          <w:sz w:val="16"/>
          <w:szCs w:val="16"/>
        </w:rPr>
        <w:t xml:space="preserve"> </w:t>
      </w:r>
      <w:r w:rsidRPr="00A31007">
        <w:rPr>
          <w:rFonts w:ascii="Arial" w:hAnsi="Arial" w:cs="Arial"/>
          <w:sz w:val="16"/>
          <w:szCs w:val="16"/>
          <w:lang w:val="es-ES_tradnl"/>
        </w:rPr>
        <w:t xml:space="preserve">CASTRO DE CIFUENTES, Marcela. Derecho Comercial. Actos de comercio, empresas comerciantes y empresarios. Universidad de los Andes. 2016. </w:t>
      </w:r>
      <w:r w:rsidRPr="00A31007">
        <w:rPr>
          <w:rFonts w:ascii="Arial" w:hAnsi="Arial" w:cs="Arial"/>
          <w:sz w:val="16"/>
          <w:szCs w:val="16"/>
          <w:lang w:val="es-ES"/>
        </w:rPr>
        <w:t>Página 18.</w:t>
      </w:r>
    </w:p>
    <w:p w:rsidRPr="00A31007" w:rsidR="00EE41AF" w:rsidP="00EE41AF" w:rsidRDefault="00EE41AF" w14:paraId="42E56509" w14:textId="77777777">
      <w:pPr>
        <w:pStyle w:val="FootnoteText"/>
        <w:ind w:firstLine="708"/>
        <w:contextualSpacing/>
        <w:jc w:val="both"/>
        <w:rPr>
          <w:rFonts w:ascii="Arial" w:hAnsi="Arial" w:cs="Arial"/>
          <w:sz w:val="16"/>
          <w:szCs w:val="16"/>
          <w:lang w:val="es-ES"/>
        </w:rPr>
      </w:pPr>
    </w:p>
  </w:footnote>
  <w:footnote w:id="17">
    <w:p w:rsidRPr="00A31007" w:rsidR="00EE41AF" w:rsidP="00EE41AF" w:rsidRDefault="00EE41AF" w14:paraId="7561D2CC" w14:textId="77777777">
      <w:pPr>
        <w:pStyle w:val="FootnoteText"/>
        <w:ind w:firstLine="708"/>
        <w:contextualSpacing/>
        <w:jc w:val="both"/>
        <w:rPr>
          <w:rFonts w:ascii="Arial" w:hAnsi="Arial" w:cs="Arial"/>
          <w:sz w:val="16"/>
          <w:szCs w:val="16"/>
        </w:rPr>
      </w:pPr>
      <w:r w:rsidRPr="00A31007">
        <w:rPr>
          <w:rStyle w:val="FootnoteReference"/>
          <w:rFonts w:ascii="Arial" w:hAnsi="Arial" w:cs="Arial" w:eastAsiaTheme="majorEastAsia"/>
          <w:sz w:val="16"/>
          <w:szCs w:val="16"/>
        </w:rPr>
        <w:footnoteRef/>
      </w:r>
      <w:r w:rsidRPr="00A31007">
        <w:rPr>
          <w:rFonts w:ascii="Arial" w:hAnsi="Arial" w:cs="Arial"/>
          <w:sz w:val="16"/>
          <w:szCs w:val="16"/>
        </w:rPr>
        <w:t xml:space="preserve"> Ibidem. Página 45.</w:t>
      </w:r>
    </w:p>
  </w:footnote>
  <w:footnote w:id="18">
    <w:p w:rsidRPr="00A31007" w:rsidR="00EE41AF" w:rsidP="00EE41AF" w:rsidRDefault="00EE41AF" w14:paraId="44E0D5B8" w14:textId="77777777">
      <w:pPr>
        <w:pStyle w:val="Car1"/>
        <w:ind w:firstLine="709"/>
        <w:contextualSpacing/>
        <w:jc w:val="both"/>
        <w:rPr>
          <w:rFonts w:ascii="Arial" w:hAnsi="Arial" w:cs="Arial"/>
          <w:sz w:val="16"/>
          <w:szCs w:val="16"/>
        </w:rPr>
      </w:pPr>
    </w:p>
    <w:p w:rsidRPr="00A31007" w:rsidR="00EE41AF" w:rsidP="00EE41AF" w:rsidRDefault="00EE41AF" w14:paraId="0073C632" w14:textId="494290BC">
      <w:pPr>
        <w:pStyle w:val="Car1"/>
        <w:ind w:firstLine="709"/>
        <w:contextualSpacing/>
        <w:jc w:val="both"/>
        <w:rPr>
          <w:rFonts w:ascii="Arial" w:hAnsi="Arial" w:cs="Arial"/>
          <w:sz w:val="16"/>
          <w:szCs w:val="16"/>
          <w:lang w:val="es-ES_tradnl"/>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Pr>
          <w:rFonts w:ascii="Arial" w:hAnsi="Arial" w:cs="Arial"/>
          <w:sz w:val="16"/>
          <w:szCs w:val="16"/>
          <w:lang w:val="es-CO"/>
        </w:rPr>
        <w:t xml:space="preserve">Al respecto, la doctrina ha señalado que </w:t>
      </w:r>
      <w:r w:rsidR="00B208A8">
        <w:rPr>
          <w:rFonts w:ascii="Arial" w:hAnsi="Arial" w:eastAsia="Calibri" w:cs="Arial"/>
          <w:sz w:val="16"/>
          <w:szCs w:val="16"/>
          <w:lang w:val="es-ES_tradnl"/>
        </w:rPr>
        <w:t>“</w:t>
      </w:r>
      <w:r w:rsidRPr="00A31007">
        <w:rPr>
          <w:rFonts w:ascii="Arial" w:hAnsi="Arial" w:eastAsia="Calibri" w:cs="Arial"/>
          <w:sz w:val="16"/>
          <w:szCs w:val="16"/>
          <w:lang w:val="es-ES_tradnl"/>
        </w:rPr>
        <w:t xml:space="preserve">inseparable del elemento objetivo – actividad económica organizada- y del subjetivo – empresario mercantil - </w:t>
      </w:r>
      <w:r w:rsidRPr="00A31007">
        <w:rPr>
          <w:rFonts w:ascii="Arial" w:hAnsi="Arial" w:cs="Arial"/>
          <w:sz w:val="16"/>
          <w:szCs w:val="16"/>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A31007">
        <w:rPr>
          <w:rFonts w:ascii="Arial" w:hAnsi="Arial" w:cs="Arial"/>
          <w:sz w:val="16"/>
          <w:szCs w:val="16"/>
          <w:lang w:val="es-ES_tradnl"/>
        </w:rPr>
        <w:t>actividad se realizará a través de uno o más establecimientos de comercio”. (CASTRO DE CIFUENTES, Marcela. Derecho Comercial. Actos de comercio, empresas comerciantes y empresarios. Universidad de los Andes. 2016. Pág. 109).</w:t>
      </w:r>
    </w:p>
    <w:p w:rsidRPr="00A31007" w:rsidR="00EE41AF" w:rsidP="00EE41AF" w:rsidRDefault="00EE41AF" w14:paraId="7487112D" w14:textId="77777777">
      <w:pPr>
        <w:pStyle w:val="FootnoteText"/>
        <w:contextualSpacing/>
        <w:jc w:val="both"/>
        <w:rPr>
          <w:rFonts w:ascii="Arial" w:hAnsi="Arial" w:cs="Arial"/>
          <w:sz w:val="16"/>
          <w:szCs w:val="16"/>
          <w:lang w:val="es-ES_tradnl"/>
        </w:rPr>
      </w:pPr>
    </w:p>
  </w:footnote>
  <w:footnote w:id="19">
    <w:p w:rsidRPr="00A31007" w:rsidR="00EE41AF" w:rsidP="00EE41AF" w:rsidRDefault="00EE41AF" w14:paraId="7CAAE135" w14:textId="4477BDFC">
      <w:pPr>
        <w:pStyle w:val="FootnoteText"/>
        <w:ind w:firstLine="709"/>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Decreto 1082 de 2015, adicionado por el Decreto 1860 de 2021: </w:t>
      </w:r>
      <w:r w:rsidRPr="00A31007" w:rsidR="00CC30C0">
        <w:rPr>
          <w:rFonts w:ascii="Arial" w:hAnsi="Arial" w:cs="Arial"/>
          <w:sz w:val="16"/>
          <w:szCs w:val="16"/>
        </w:rPr>
        <w:t>“</w:t>
      </w:r>
      <w:r w:rsidRPr="00A31007">
        <w:rPr>
          <w:rFonts w:ascii="Arial" w:hAnsi="Arial" w:cs="Arial"/>
          <w:sz w:val="16"/>
          <w:szCs w:val="16"/>
        </w:rPr>
        <w:t xml:space="preserve">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rsidRPr="00A31007" w:rsidR="00EE41AF" w:rsidP="00EE41AF" w:rsidRDefault="00EE41AF" w14:paraId="428EAF5B" w14:textId="40C05286">
      <w:pPr>
        <w:pStyle w:val="FootnoteText"/>
        <w:ind w:firstLine="709"/>
        <w:jc w:val="both"/>
        <w:rPr>
          <w:rFonts w:ascii="Arial" w:hAnsi="Arial" w:cs="Arial"/>
          <w:sz w:val="16"/>
          <w:szCs w:val="16"/>
        </w:rPr>
      </w:pPr>
      <w:r w:rsidRPr="00A31007">
        <w:rPr>
          <w:rFonts w:ascii="Arial" w:hAnsi="Arial" w:cs="Arial"/>
          <w:sz w:val="16"/>
          <w:szCs w:val="16"/>
        </w:rPr>
        <w:t xml:space="preserve">1. Tiempo de experiencia. </w:t>
      </w:r>
    </w:p>
    <w:p w:rsidRPr="00A31007" w:rsidR="00EE41AF" w:rsidP="00EE41AF" w:rsidRDefault="00EE41AF" w14:paraId="76EA0EB2" w14:textId="2D2AC0B0">
      <w:pPr>
        <w:pStyle w:val="FootnoteText"/>
        <w:ind w:firstLine="709"/>
        <w:jc w:val="both"/>
        <w:rPr>
          <w:rFonts w:ascii="Arial" w:hAnsi="Arial" w:cs="Arial"/>
          <w:sz w:val="16"/>
          <w:szCs w:val="16"/>
        </w:rPr>
      </w:pPr>
      <w:r w:rsidRPr="00A31007">
        <w:rPr>
          <w:rFonts w:ascii="Arial" w:hAnsi="Arial" w:cs="Arial"/>
          <w:sz w:val="16"/>
          <w:szCs w:val="16"/>
        </w:rPr>
        <w:t xml:space="preserve">2. Número de contratos para la acreditación de la experiencia. </w:t>
      </w:r>
    </w:p>
    <w:p w:rsidRPr="00A31007" w:rsidR="00EE41AF" w:rsidP="00EE41AF" w:rsidRDefault="00EE41AF" w14:paraId="0C42BE4D" w14:textId="5C2EE9E4">
      <w:pPr>
        <w:pStyle w:val="FootnoteText"/>
        <w:ind w:firstLine="709"/>
        <w:jc w:val="both"/>
        <w:rPr>
          <w:rFonts w:ascii="Arial" w:hAnsi="Arial" w:cs="Arial"/>
          <w:sz w:val="16"/>
          <w:szCs w:val="16"/>
        </w:rPr>
      </w:pPr>
      <w:r w:rsidRPr="00A31007">
        <w:rPr>
          <w:rFonts w:ascii="Arial" w:hAnsi="Arial" w:cs="Arial"/>
          <w:sz w:val="16"/>
          <w:szCs w:val="16"/>
        </w:rPr>
        <w:t xml:space="preserve">3. Índices de capacidad financiera. </w:t>
      </w:r>
    </w:p>
    <w:p w:rsidRPr="00A31007" w:rsidR="00EE41AF" w:rsidP="00EE41AF" w:rsidRDefault="00EE41AF" w14:paraId="778B385B" w14:textId="0ECFB463">
      <w:pPr>
        <w:pStyle w:val="FootnoteText"/>
        <w:ind w:firstLine="709"/>
        <w:jc w:val="both"/>
        <w:rPr>
          <w:rFonts w:ascii="Arial" w:hAnsi="Arial" w:cs="Arial"/>
          <w:sz w:val="16"/>
          <w:szCs w:val="16"/>
        </w:rPr>
      </w:pPr>
      <w:r w:rsidRPr="00A31007">
        <w:rPr>
          <w:rFonts w:ascii="Arial" w:hAnsi="Arial" w:cs="Arial"/>
          <w:sz w:val="16"/>
          <w:szCs w:val="16"/>
        </w:rPr>
        <w:t xml:space="preserve">4. Índices de capacidad organizacional. </w:t>
      </w:r>
    </w:p>
    <w:p w:rsidRPr="00A31007" w:rsidR="00EE41AF" w:rsidP="00EE41AF" w:rsidRDefault="00EE41AF" w14:paraId="32FDF797" w14:textId="5147E44C">
      <w:pPr>
        <w:pStyle w:val="FootnoteText"/>
        <w:ind w:firstLine="709"/>
        <w:jc w:val="both"/>
        <w:rPr>
          <w:rFonts w:ascii="Arial" w:hAnsi="Arial" w:cs="Arial"/>
          <w:sz w:val="16"/>
          <w:szCs w:val="16"/>
        </w:rPr>
      </w:pPr>
      <w:r w:rsidRPr="00A31007">
        <w:rPr>
          <w:rFonts w:ascii="Arial" w:hAnsi="Arial" w:cs="Arial"/>
          <w:sz w:val="16"/>
          <w:szCs w:val="16"/>
        </w:rPr>
        <w:t xml:space="preserve">5. Valor de la garantía de seriedad de la oferta. </w:t>
      </w:r>
    </w:p>
    <w:p w:rsidRPr="00A31007" w:rsidR="00EE41AF" w:rsidP="00EE41AF" w:rsidRDefault="00EE41AF" w14:paraId="5410317F" w14:textId="105AF0F0">
      <w:pPr>
        <w:pStyle w:val="FootnoteText"/>
        <w:ind w:firstLine="709"/>
        <w:jc w:val="both"/>
        <w:rPr>
          <w:rFonts w:ascii="Arial" w:hAnsi="Arial" w:cs="Arial"/>
          <w:sz w:val="16"/>
          <w:szCs w:val="16"/>
        </w:rPr>
      </w:pPr>
      <w:r w:rsidRPr="00A31007">
        <w:rPr>
          <w:rFonts w:ascii="Arial" w:hAnsi="Arial" w:cs="Arial"/>
          <w:sz w:val="16"/>
          <w:szCs w:val="16"/>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rsidRPr="00A31007" w:rsidR="00EE41AF" w:rsidP="00EE41AF" w:rsidRDefault="00EE41AF" w14:paraId="0C47C695" w14:textId="0BD9EE13">
      <w:pPr>
        <w:pStyle w:val="FootnoteText"/>
        <w:ind w:firstLine="709"/>
        <w:jc w:val="both"/>
        <w:rPr>
          <w:rFonts w:ascii="Arial" w:hAnsi="Arial" w:cs="Arial"/>
          <w:sz w:val="16"/>
          <w:szCs w:val="16"/>
        </w:rPr>
      </w:pPr>
      <w:r w:rsidRPr="00A31007">
        <w:rPr>
          <w:rFonts w:ascii="Arial" w:hAnsi="Arial" w:cs="Arial"/>
          <w:sz w:val="16"/>
          <w:szCs w:val="16"/>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rsidRPr="00A31007" w:rsidR="00EE41AF" w:rsidP="00EE41AF" w:rsidRDefault="00EE41AF" w14:paraId="3899F5C1" w14:textId="428EFBEF">
      <w:pPr>
        <w:pStyle w:val="FootnoteText"/>
        <w:ind w:firstLine="709"/>
        <w:jc w:val="both"/>
        <w:rPr>
          <w:rFonts w:ascii="Arial" w:hAnsi="Arial" w:cs="Arial"/>
          <w:sz w:val="16"/>
          <w:szCs w:val="16"/>
        </w:rPr>
      </w:pPr>
      <w:r w:rsidRPr="00A31007">
        <w:rPr>
          <w:rFonts w:ascii="Arial" w:hAnsi="Arial" w:cs="Arial"/>
          <w:sz w:val="16"/>
          <w:szCs w:val="16"/>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rsidRPr="00A31007" w:rsidR="00EE41AF" w:rsidP="00EE41AF" w:rsidRDefault="00EE41AF" w14:paraId="0575CCBA" w14:textId="0263E009">
      <w:pPr>
        <w:pStyle w:val="FootnoteText"/>
        <w:ind w:firstLine="709"/>
        <w:jc w:val="both"/>
        <w:rPr>
          <w:rFonts w:ascii="Arial" w:hAnsi="Arial" w:cs="Arial"/>
          <w:sz w:val="16"/>
          <w:szCs w:val="16"/>
        </w:rPr>
      </w:pPr>
      <w:r w:rsidRPr="00A31007">
        <w:rPr>
          <w:rFonts w:ascii="Arial" w:hAnsi="Arial" w:cs="Arial"/>
          <w:sz w:val="16"/>
          <w:szCs w:val="16"/>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rsidRPr="00A31007" w:rsidR="00EE41AF" w:rsidP="00EE41AF" w:rsidRDefault="00EE41AF" w14:paraId="133BA65C" w14:textId="43241E0F">
      <w:pPr>
        <w:pStyle w:val="FootnoteText"/>
        <w:ind w:firstLine="709"/>
        <w:jc w:val="both"/>
        <w:rPr>
          <w:rFonts w:ascii="Arial" w:hAnsi="Arial" w:cs="Arial"/>
          <w:sz w:val="16"/>
          <w:szCs w:val="16"/>
        </w:rPr>
      </w:pPr>
      <w:r w:rsidRPr="00A31007">
        <w:rPr>
          <w:rFonts w:ascii="Arial" w:hAnsi="Arial" w:cs="Arial"/>
          <w:sz w:val="16"/>
          <w:szCs w:val="16"/>
        </w:rPr>
        <w:t>Parágrafo 2. Los incentivos contractuales para las empresas y emprendimientos de mujeres no excluyen la aplicación de los criterios diferenciales para Mipyme en el sistema de compras públicas</w:t>
      </w:r>
      <w:r w:rsidRPr="00A31007" w:rsidR="00CC30C0">
        <w:rPr>
          <w:rFonts w:ascii="Arial" w:hAnsi="Arial" w:cs="Arial"/>
          <w:sz w:val="16"/>
          <w:szCs w:val="16"/>
        </w:rPr>
        <w:t>”</w:t>
      </w:r>
      <w:r w:rsidRPr="00A31007">
        <w:rPr>
          <w:rFonts w:ascii="Arial" w:hAnsi="Arial" w:cs="Arial"/>
          <w:sz w:val="16"/>
          <w:szCs w:val="16"/>
        </w:rPr>
        <w:t xml:space="preserve">.  </w:t>
      </w:r>
    </w:p>
  </w:footnote>
  <w:footnote w:id="20">
    <w:p w:rsidRPr="00A31007" w:rsidR="00EE41AF" w:rsidP="00EE41AF" w:rsidRDefault="00EE41AF" w14:paraId="7269C008" w14:textId="4B9682DE">
      <w:pPr>
        <w:pStyle w:val="NormalWeb"/>
        <w:spacing w:after="0"/>
        <w:ind w:firstLine="709"/>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sidR="00CC30C0">
        <w:rPr>
          <w:rFonts w:ascii="Arial" w:hAnsi="Arial" w:cs="Arial"/>
          <w:sz w:val="16"/>
          <w:szCs w:val="16"/>
        </w:rPr>
        <w:t xml:space="preserve">CÓDIGO CIVIL: </w:t>
      </w:r>
      <w:r w:rsidRPr="00A31007" w:rsidR="00971FA3">
        <w:rPr>
          <w:rFonts w:ascii="Arial" w:hAnsi="Arial" w:cs="Arial"/>
          <w:sz w:val="16"/>
          <w:szCs w:val="16"/>
        </w:rPr>
        <w:t>“</w:t>
      </w:r>
      <w:r w:rsidRPr="00A31007">
        <w:rPr>
          <w:rFonts w:ascii="Arial" w:hAnsi="Arial" w:cs="Arial"/>
          <w:sz w:val="16"/>
          <w:szCs w:val="16"/>
        </w:rPr>
        <w:t>Artículo 27. Cuando el sentido de la ley sea claro, no se desatenderá su tenor literal a pretexto de consultar su espíritu. </w:t>
      </w:r>
    </w:p>
    <w:p w:rsidRPr="00A31007" w:rsidR="00EE41AF" w:rsidP="00EE41AF" w:rsidRDefault="00EE41AF" w14:paraId="5DF8DDFA" w14:textId="4A68EED6">
      <w:pPr>
        <w:jc w:val="both"/>
        <w:rPr>
          <w:rFonts w:ascii="Arial" w:hAnsi="Arial" w:cs="Arial"/>
          <w:sz w:val="16"/>
          <w:szCs w:val="16"/>
          <w:lang w:eastAsia="es-CO"/>
        </w:rPr>
      </w:pPr>
      <w:r w:rsidRPr="00A31007">
        <w:rPr>
          <w:rFonts w:ascii="Arial" w:hAnsi="Arial" w:cs="Arial"/>
          <w:sz w:val="16"/>
          <w:szCs w:val="16"/>
          <w:lang w:eastAsia="es-CO"/>
        </w:rPr>
        <w:t>  </w:t>
      </w:r>
      <w:r w:rsidRPr="00A31007">
        <w:rPr>
          <w:rFonts w:ascii="Arial" w:hAnsi="Arial" w:cs="Arial"/>
          <w:sz w:val="16"/>
          <w:szCs w:val="16"/>
          <w:lang w:eastAsia="es-CO"/>
        </w:rPr>
        <w:tab/>
      </w:r>
      <w:r w:rsidRPr="00A31007">
        <w:rPr>
          <w:rFonts w:ascii="Arial" w:hAnsi="Arial" w:cs="Arial"/>
          <w:sz w:val="16"/>
          <w:szCs w:val="16"/>
          <w:lang w:eastAsia="es-CO"/>
        </w:rPr>
        <w:t>Pero bien se puede, para interpretar una expresión </w:t>
      </w:r>
      <w:r w:rsidRPr="00A31007">
        <w:rPr>
          <w:rFonts w:ascii="Arial" w:hAnsi="Arial" w:cs="Arial"/>
          <w:i/>
          <w:sz w:val="16"/>
          <w:szCs w:val="16"/>
          <w:lang w:eastAsia="es-CO"/>
        </w:rPr>
        <w:t>oscura</w:t>
      </w:r>
      <w:r w:rsidRPr="00A31007">
        <w:rPr>
          <w:rFonts w:ascii="Arial" w:hAnsi="Arial" w:cs="Arial"/>
          <w:sz w:val="16"/>
          <w:szCs w:val="16"/>
          <w:lang w:eastAsia="es-CO"/>
        </w:rPr>
        <w:t> de la ley, recurrir a su intención o espíritu, claramente manifestados en ella misma o en la historia fidedigna de su establecimiento</w:t>
      </w:r>
      <w:r w:rsidRPr="00A31007" w:rsidR="00971FA3">
        <w:rPr>
          <w:rFonts w:ascii="Arial" w:hAnsi="Arial" w:cs="Arial"/>
          <w:sz w:val="16"/>
          <w:szCs w:val="16"/>
          <w:lang w:eastAsia="es-CO"/>
        </w:rPr>
        <w:t>”</w:t>
      </w:r>
      <w:r w:rsidRPr="00A31007">
        <w:rPr>
          <w:rFonts w:ascii="Arial" w:hAnsi="Arial" w:cs="Arial"/>
          <w:sz w:val="16"/>
          <w:szCs w:val="16"/>
          <w:lang w:eastAsia="es-CO"/>
        </w:rPr>
        <w:t>. </w:t>
      </w:r>
    </w:p>
    <w:p w:rsidRPr="00A31007" w:rsidR="00EE41AF" w:rsidP="00EE41AF" w:rsidRDefault="00EE41AF" w14:paraId="2F68AF64" w14:textId="77777777">
      <w:pPr>
        <w:pStyle w:val="FootnoteText"/>
        <w:rPr>
          <w:rFonts w:ascii="Arial" w:hAnsi="Arial" w:cs="Arial"/>
          <w:sz w:val="16"/>
          <w:szCs w:val="16"/>
        </w:rPr>
      </w:pPr>
    </w:p>
  </w:footnote>
  <w:footnote w:id="21">
    <w:p w:rsidRPr="00A31007" w:rsidR="004D7CAA" w:rsidP="004D7CAA" w:rsidRDefault="004D7CAA" w14:paraId="30F05376" w14:textId="662FB1CC">
      <w:pPr>
        <w:spacing w:after="0" w:line="240" w:lineRule="auto"/>
        <w:ind w:firstLine="708"/>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sidR="008B08F4">
        <w:rPr>
          <w:rFonts w:ascii="Arial" w:hAnsi="Arial" w:cs="Arial"/>
          <w:sz w:val="16"/>
          <w:szCs w:val="16"/>
        </w:rPr>
        <w:t xml:space="preserve">CORTE CONSTITUCIONAL. </w:t>
      </w:r>
      <w:r w:rsidRPr="00A31007">
        <w:rPr>
          <w:rFonts w:ascii="Arial" w:hAnsi="Arial" w:cs="Arial"/>
          <w:sz w:val="16"/>
          <w:szCs w:val="16"/>
        </w:rPr>
        <w:t>Sentencia SU-440 del 19 de diciembre del 2021. M</w:t>
      </w:r>
      <w:r w:rsidRPr="00A31007" w:rsidR="008B08F4">
        <w:rPr>
          <w:rFonts w:ascii="Arial" w:hAnsi="Arial" w:cs="Arial"/>
          <w:sz w:val="16"/>
          <w:szCs w:val="16"/>
        </w:rPr>
        <w:t>.P.</w:t>
      </w:r>
      <w:r w:rsidRPr="00A31007">
        <w:rPr>
          <w:rFonts w:ascii="Arial" w:hAnsi="Arial" w:cs="Arial"/>
          <w:sz w:val="16"/>
          <w:szCs w:val="16"/>
        </w:rPr>
        <w:t xml:space="preserve"> </w:t>
      </w:r>
      <w:r w:rsidRPr="00A31007" w:rsidR="008B08F4">
        <w:rPr>
          <w:rFonts w:ascii="Arial" w:hAnsi="Arial" w:cs="Arial"/>
          <w:sz w:val="16"/>
          <w:szCs w:val="16"/>
        </w:rPr>
        <w:t>Paola Andrea Meneses Mosquera</w:t>
      </w:r>
      <w:r w:rsidRPr="00A31007">
        <w:rPr>
          <w:rFonts w:ascii="Arial" w:hAnsi="Arial" w:cs="Arial"/>
          <w:sz w:val="16"/>
          <w:szCs w:val="16"/>
        </w:rPr>
        <w:t>.</w:t>
      </w:r>
    </w:p>
  </w:footnote>
  <w:footnote w:id="22">
    <w:p w:rsidRPr="00A31007" w:rsidR="00D00788" w:rsidP="00EE41AF" w:rsidRDefault="00D00788" w14:paraId="507574AC" w14:textId="77777777">
      <w:pPr>
        <w:pStyle w:val="FootnoteText"/>
        <w:ind w:firstLine="708"/>
        <w:jc w:val="both"/>
        <w:rPr>
          <w:rFonts w:ascii="Arial" w:hAnsi="Arial" w:cs="Arial"/>
          <w:sz w:val="16"/>
          <w:szCs w:val="16"/>
        </w:rPr>
      </w:pPr>
    </w:p>
    <w:p w:rsidRPr="00A31007" w:rsidR="00EE41AF" w:rsidP="00EE41AF" w:rsidRDefault="00EE41AF" w14:paraId="2641EBDC" w14:textId="1672572C">
      <w:pPr>
        <w:pStyle w:val="FootnoteText"/>
        <w:ind w:firstLine="708"/>
        <w:jc w:val="both"/>
        <w:rPr>
          <w:rFonts w:ascii="Arial" w:hAnsi="Arial" w:cs="Arial"/>
          <w:sz w:val="16"/>
          <w:szCs w:val="16"/>
          <w:shd w:val="clear" w:color="auto" w:fill="FFFFFF"/>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sidR="00D00788">
        <w:rPr>
          <w:rFonts w:ascii="Arial" w:hAnsi="Arial" w:cs="Arial"/>
          <w:sz w:val="16"/>
          <w:szCs w:val="16"/>
          <w:shd w:val="clear" w:color="auto" w:fill="FFFFFF"/>
        </w:rPr>
        <w:t>CORTE CONSTITUCIONAL</w:t>
      </w:r>
      <w:r w:rsidRPr="00A31007" w:rsidR="00D818C2">
        <w:rPr>
          <w:rFonts w:ascii="Arial" w:hAnsi="Arial" w:cs="Arial"/>
          <w:sz w:val="16"/>
          <w:szCs w:val="16"/>
          <w:shd w:val="clear" w:color="auto" w:fill="FFFFFF"/>
        </w:rPr>
        <w:t>.</w:t>
      </w:r>
      <w:r w:rsidRPr="00A31007">
        <w:rPr>
          <w:rFonts w:ascii="Arial" w:hAnsi="Arial" w:cs="Arial"/>
          <w:sz w:val="16"/>
          <w:szCs w:val="16"/>
          <w:shd w:val="clear" w:color="auto" w:fill="FFFFFF"/>
        </w:rPr>
        <w:t xml:space="preserve"> Sentencia T-443 del 14 de octubre del 2020.</w:t>
      </w:r>
      <w:r w:rsidRPr="00A31007" w:rsidR="00D00788">
        <w:rPr>
          <w:rFonts w:ascii="Arial" w:hAnsi="Arial" w:cs="Arial"/>
          <w:sz w:val="16"/>
          <w:szCs w:val="16"/>
          <w:shd w:val="clear" w:color="auto" w:fill="FFFFFF"/>
        </w:rPr>
        <w:t xml:space="preserve"> </w:t>
      </w:r>
      <w:r w:rsidRPr="00A31007">
        <w:rPr>
          <w:rFonts w:ascii="Arial" w:hAnsi="Arial" w:cs="Arial"/>
          <w:sz w:val="16"/>
          <w:szCs w:val="16"/>
        </w:rPr>
        <w:t>M</w:t>
      </w:r>
      <w:r w:rsidRPr="00A31007" w:rsidR="00D00788">
        <w:rPr>
          <w:rFonts w:ascii="Arial" w:hAnsi="Arial" w:cs="Arial"/>
          <w:sz w:val="16"/>
          <w:szCs w:val="16"/>
        </w:rPr>
        <w:t>.P.</w:t>
      </w:r>
      <w:r w:rsidRPr="00A31007">
        <w:rPr>
          <w:rFonts w:ascii="Arial" w:hAnsi="Arial" w:cs="Arial"/>
          <w:sz w:val="16"/>
          <w:szCs w:val="16"/>
        </w:rPr>
        <w:t xml:space="preserve"> </w:t>
      </w:r>
      <w:r w:rsidRPr="00A31007" w:rsidR="00D00788">
        <w:rPr>
          <w:rFonts w:ascii="Arial" w:hAnsi="Arial" w:cs="Arial"/>
          <w:sz w:val="16"/>
          <w:szCs w:val="16"/>
          <w:shd w:val="clear" w:color="auto" w:fill="FFFFFF"/>
        </w:rPr>
        <w:t>José Fernando Reyes Cuartas</w:t>
      </w:r>
      <w:r w:rsidRPr="00A31007">
        <w:rPr>
          <w:rFonts w:ascii="Arial" w:hAnsi="Arial" w:cs="Arial"/>
          <w:sz w:val="16"/>
          <w:szCs w:val="16"/>
          <w:shd w:val="clear" w:color="auto" w:fill="FFFFFF"/>
        </w:rPr>
        <w:t>.</w:t>
      </w:r>
    </w:p>
    <w:p w:rsidRPr="00A31007" w:rsidR="00EE41AF" w:rsidP="00EE41AF" w:rsidRDefault="00EE41AF" w14:paraId="01057246" w14:textId="587A784E">
      <w:pPr>
        <w:pStyle w:val="FootnoteText"/>
        <w:ind w:firstLine="708"/>
        <w:jc w:val="both"/>
        <w:rPr>
          <w:rFonts w:ascii="Arial" w:hAnsi="Arial" w:cs="Arial"/>
          <w:sz w:val="16"/>
          <w:szCs w:val="16"/>
          <w:lang w:val="es-ES"/>
        </w:rPr>
      </w:pPr>
    </w:p>
  </w:footnote>
  <w:footnote w:id="23">
    <w:p w:rsidRPr="00A31007" w:rsidR="00EE41AF" w:rsidP="00EE41AF" w:rsidRDefault="00EE41AF" w14:paraId="4A021EB4" w14:textId="5A396E61">
      <w:pPr>
        <w:pStyle w:val="FootnoteText"/>
        <w:ind w:firstLine="708"/>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sidR="00D818C2">
        <w:rPr>
          <w:rFonts w:ascii="Arial" w:hAnsi="Arial" w:cs="Arial"/>
          <w:sz w:val="16"/>
          <w:szCs w:val="16"/>
        </w:rPr>
        <w:t>CORTE CONSTITUCIONAL.</w:t>
      </w:r>
      <w:r w:rsidRPr="00A31007">
        <w:rPr>
          <w:rFonts w:ascii="Arial" w:hAnsi="Arial" w:cs="Arial"/>
          <w:sz w:val="16"/>
          <w:szCs w:val="16"/>
        </w:rPr>
        <w:t xml:space="preserve"> Sentencia T-099/2015 del 10 de marzo del 2015. M</w:t>
      </w:r>
      <w:r w:rsidRPr="00A31007" w:rsidR="00D818C2">
        <w:rPr>
          <w:rFonts w:ascii="Arial" w:hAnsi="Arial" w:cs="Arial"/>
          <w:sz w:val="16"/>
          <w:szCs w:val="16"/>
        </w:rPr>
        <w:t>.P.</w:t>
      </w:r>
      <w:r w:rsidRPr="00A31007">
        <w:rPr>
          <w:rFonts w:ascii="Arial" w:hAnsi="Arial" w:cs="Arial"/>
          <w:sz w:val="16"/>
          <w:szCs w:val="16"/>
        </w:rPr>
        <w:t xml:space="preserve"> </w:t>
      </w:r>
      <w:r w:rsidRPr="00A31007" w:rsidR="00D818C2">
        <w:rPr>
          <w:rFonts w:ascii="Arial" w:hAnsi="Arial" w:cs="Arial"/>
          <w:sz w:val="16"/>
          <w:szCs w:val="16"/>
        </w:rPr>
        <w:t>Gloria Stella Ortiz Delgado</w:t>
      </w:r>
      <w:r w:rsidRPr="00A31007">
        <w:rPr>
          <w:rFonts w:ascii="Arial" w:hAnsi="Arial" w:cs="Arial"/>
          <w:sz w:val="16"/>
          <w:szCs w:val="16"/>
        </w:rPr>
        <w:t>.</w:t>
      </w:r>
    </w:p>
    <w:p w:rsidRPr="00A31007" w:rsidR="00EE41AF" w:rsidP="00EE41AF" w:rsidRDefault="00EE41AF" w14:paraId="1A8C9B48" w14:textId="34CBA574">
      <w:pPr>
        <w:pStyle w:val="FootnoteText"/>
        <w:ind w:firstLine="708"/>
        <w:jc w:val="both"/>
        <w:rPr>
          <w:rFonts w:ascii="Arial" w:hAnsi="Arial" w:cs="Arial"/>
          <w:sz w:val="16"/>
          <w:szCs w:val="16"/>
        </w:rPr>
      </w:pPr>
    </w:p>
  </w:footnote>
  <w:footnote w:id="24">
    <w:p w:rsidRPr="00A31007" w:rsidR="00EE41AF" w:rsidP="00EE41AF" w:rsidRDefault="00EE41AF" w14:paraId="4E60B9AE" w14:textId="4A516AB7">
      <w:pPr>
        <w:pStyle w:val="FootnoteText"/>
        <w:ind w:firstLine="708"/>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w:t>
      </w:r>
      <w:r w:rsidRPr="00A31007" w:rsidR="00D818C2">
        <w:rPr>
          <w:rFonts w:ascii="Arial" w:hAnsi="Arial" w:cs="Arial"/>
          <w:sz w:val="16"/>
          <w:szCs w:val="16"/>
        </w:rPr>
        <w:t xml:space="preserve">CASTELLANOS, Lorena. </w:t>
      </w:r>
      <w:r w:rsidRPr="00A31007" w:rsidR="00D818C2">
        <w:rPr>
          <w:rFonts w:ascii="Arial" w:hAnsi="Arial" w:cs="Arial"/>
          <w:i/>
          <w:iCs/>
          <w:sz w:val="16"/>
          <w:szCs w:val="16"/>
        </w:rPr>
        <w:t>Desmontando el determinismo biológico mediante el género</w:t>
      </w:r>
      <w:r w:rsidRPr="00A31007" w:rsidR="00CD04B7">
        <w:rPr>
          <w:rFonts w:ascii="Arial" w:hAnsi="Arial" w:cs="Arial"/>
          <w:sz w:val="16"/>
          <w:szCs w:val="16"/>
        </w:rPr>
        <w:t xml:space="preserve"> en Musas: revista de investigación en mujer, salud y sociedad, </w:t>
      </w:r>
      <w:r w:rsidRPr="00A31007" w:rsidR="00E65668">
        <w:rPr>
          <w:rFonts w:ascii="Arial" w:hAnsi="Arial" w:cs="Arial"/>
          <w:sz w:val="16"/>
          <w:szCs w:val="16"/>
        </w:rPr>
        <w:t>Vol. 6</w:t>
      </w:r>
      <w:r w:rsidRPr="00A31007" w:rsidR="00CD04B7">
        <w:rPr>
          <w:rFonts w:ascii="Arial" w:hAnsi="Arial" w:cs="Arial"/>
          <w:sz w:val="16"/>
          <w:szCs w:val="16"/>
        </w:rPr>
        <w:t>,</w:t>
      </w:r>
      <w:r w:rsidRPr="00A31007" w:rsidR="003141DB">
        <w:rPr>
          <w:rFonts w:ascii="Arial" w:hAnsi="Arial" w:cs="Arial"/>
          <w:sz w:val="16"/>
          <w:szCs w:val="16"/>
        </w:rPr>
        <w:t xml:space="preserve"> </w:t>
      </w:r>
      <w:proofErr w:type="spellStart"/>
      <w:r w:rsidRPr="00A31007" w:rsidR="003141DB">
        <w:rPr>
          <w:rFonts w:ascii="Arial" w:hAnsi="Arial" w:cs="Arial"/>
          <w:sz w:val="16"/>
          <w:szCs w:val="16"/>
        </w:rPr>
        <w:t>num</w:t>
      </w:r>
      <w:proofErr w:type="spellEnd"/>
      <w:r w:rsidRPr="00A31007" w:rsidR="003141DB">
        <w:rPr>
          <w:rFonts w:ascii="Arial" w:hAnsi="Arial" w:cs="Arial"/>
          <w:sz w:val="16"/>
          <w:szCs w:val="16"/>
        </w:rPr>
        <w:t>. 1,</w:t>
      </w:r>
      <w:r w:rsidRPr="00A31007" w:rsidR="00CD04B7">
        <w:rPr>
          <w:rFonts w:ascii="Arial" w:hAnsi="Arial" w:cs="Arial"/>
          <w:sz w:val="16"/>
          <w:szCs w:val="16"/>
        </w:rPr>
        <w:t xml:space="preserve"> 2021</w:t>
      </w:r>
      <w:r w:rsidRPr="00A31007" w:rsidR="003141DB">
        <w:rPr>
          <w:rFonts w:ascii="Arial" w:hAnsi="Arial" w:cs="Arial"/>
          <w:sz w:val="16"/>
          <w:szCs w:val="16"/>
        </w:rPr>
        <w:t>, pp. 4-19. Consultado a las 19: 30 del 29 de marzo del 2023 en:</w:t>
      </w:r>
      <w:r w:rsidRPr="00A31007">
        <w:rPr>
          <w:rFonts w:ascii="Arial" w:hAnsi="Arial" w:cs="Arial"/>
          <w:sz w:val="16"/>
          <w:szCs w:val="16"/>
        </w:rPr>
        <w:t xml:space="preserve">  </w:t>
      </w:r>
      <w:hyperlink w:history="1" r:id="rId17">
        <w:r w:rsidRPr="00A31007">
          <w:rPr>
            <w:rStyle w:val="Hyperlink"/>
            <w:rFonts w:ascii="Arial" w:hAnsi="Arial" w:cs="Arial"/>
            <w:color w:val="auto"/>
            <w:sz w:val="16"/>
            <w:szCs w:val="16"/>
          </w:rPr>
          <w:t>https://revistes.ub.edu/index.php/MUSAS/article/view/vol6.num1.1/33136</w:t>
        </w:r>
      </w:hyperlink>
      <w:r w:rsidRPr="00A31007">
        <w:rPr>
          <w:rFonts w:ascii="Arial" w:hAnsi="Arial" w:cs="Arial"/>
          <w:sz w:val="16"/>
          <w:szCs w:val="16"/>
        </w:rPr>
        <w:t xml:space="preserve">. </w:t>
      </w:r>
    </w:p>
    <w:p w:rsidRPr="00A31007" w:rsidR="00EE41AF" w:rsidP="00EE41AF" w:rsidRDefault="00EE41AF" w14:paraId="16480B3D" w14:textId="652E1AEB">
      <w:pPr>
        <w:pStyle w:val="FootnoteText"/>
        <w:ind w:firstLine="708"/>
        <w:jc w:val="both"/>
        <w:rPr>
          <w:rFonts w:ascii="Arial" w:hAnsi="Arial" w:cs="Arial"/>
          <w:sz w:val="16"/>
          <w:szCs w:val="16"/>
        </w:rPr>
      </w:pPr>
    </w:p>
  </w:footnote>
  <w:footnote w:id="25">
    <w:p w:rsidRPr="00A31007" w:rsidR="00EE41AF" w:rsidP="00EE41AF" w:rsidRDefault="00EE41AF" w14:paraId="6FC01D54" w14:textId="3077DA87">
      <w:pPr>
        <w:spacing w:after="0" w:line="240" w:lineRule="auto"/>
        <w:ind w:firstLine="708"/>
        <w:jc w:val="both"/>
        <w:rPr>
          <w:rFonts w:ascii="Arial" w:hAnsi="Arial" w:cs="Arial"/>
          <w:sz w:val="16"/>
          <w:szCs w:val="16"/>
        </w:rPr>
      </w:pPr>
      <w:r w:rsidRPr="00A31007">
        <w:rPr>
          <w:rStyle w:val="FootnoteReference"/>
          <w:rFonts w:ascii="Arial" w:hAnsi="Arial" w:cs="Arial"/>
          <w:sz w:val="16"/>
          <w:szCs w:val="16"/>
        </w:rPr>
        <w:footnoteRef/>
      </w:r>
      <w:r w:rsidRPr="00A31007">
        <w:rPr>
          <w:rFonts w:ascii="Arial" w:hAnsi="Arial" w:cs="Arial"/>
          <w:sz w:val="16"/>
          <w:szCs w:val="16"/>
        </w:rPr>
        <w:t xml:space="preserve"> Principios sobre la aplicación de la legislación internacional de derechos humanos en relación con la orientación sexual y la identidad de género. </w:t>
      </w:r>
      <w:r w:rsidRPr="00A31007" w:rsidR="002001A9">
        <w:rPr>
          <w:rFonts w:ascii="Arial" w:hAnsi="Arial" w:cs="Arial"/>
          <w:sz w:val="16"/>
          <w:szCs w:val="16"/>
        </w:rPr>
        <w:t>Consultado a las 20:30 del 29 de marzo del 2023 en:</w:t>
      </w:r>
      <w:r w:rsidRPr="00A31007">
        <w:rPr>
          <w:rFonts w:ascii="Arial" w:hAnsi="Arial" w:cs="Arial"/>
          <w:sz w:val="16"/>
          <w:szCs w:val="16"/>
        </w:rPr>
        <w:t xml:space="preserve"> </w:t>
      </w:r>
      <w:hyperlink w:history="1" r:id="rId18">
        <w:r w:rsidRPr="00A31007">
          <w:rPr>
            <w:rStyle w:val="Hyperlink"/>
            <w:rFonts w:ascii="Arial" w:hAnsi="Arial" w:cs="Arial"/>
            <w:color w:val="auto"/>
            <w:sz w:val="16"/>
            <w:szCs w:val="16"/>
          </w:rPr>
          <w:t>http://yogyakartaprinciples.org/wp-content/uploads/2016/08/principles_sp.pdf</w:t>
        </w:r>
      </w:hyperlink>
      <w:r w:rsidRPr="00A31007">
        <w:rPr>
          <w:rStyle w:val="Hyperlink"/>
          <w:rFonts w:ascii="Arial" w:hAnsi="Arial" w:cs="Arial"/>
          <w:color w:val="auto"/>
          <w:sz w:val="16"/>
          <w:szCs w:val="16"/>
        </w:rPr>
        <w:t xml:space="preserve">. </w:t>
      </w:r>
    </w:p>
    <w:p w:rsidRPr="00A31007" w:rsidR="00EE41AF" w:rsidP="00EE41AF" w:rsidRDefault="00EE41AF" w14:paraId="1507AA29" w14:textId="77777777">
      <w:pPr>
        <w:spacing w:after="0" w:line="240" w:lineRule="auto"/>
        <w:ind w:firstLine="708"/>
        <w:jc w:val="both"/>
        <w:rPr>
          <w:rFonts w:ascii="Arial" w:hAnsi="Arial" w:cs="Arial"/>
          <w:sz w:val="16"/>
          <w:szCs w:val="16"/>
        </w:rPr>
      </w:pPr>
    </w:p>
  </w:footnote>
  <w:footnote w:id="26">
    <w:p w:rsidRPr="00A31007" w:rsidR="00EE41AF" w:rsidP="00EE41AF" w:rsidRDefault="00EE41AF" w14:paraId="3832068B" w14:textId="11A451D0">
      <w:pPr>
        <w:pStyle w:val="FootnoteText"/>
        <w:ind w:firstLine="708"/>
        <w:jc w:val="both"/>
        <w:rPr>
          <w:rFonts w:ascii="Arial" w:hAnsi="Arial" w:cs="Arial"/>
          <w:sz w:val="16"/>
          <w:szCs w:val="16"/>
          <w:lang w:val="es-ES"/>
        </w:rPr>
      </w:pPr>
      <w:r w:rsidRPr="00A31007">
        <w:rPr>
          <w:rStyle w:val="FootnoteReference"/>
          <w:rFonts w:ascii="Arial" w:hAnsi="Arial" w:cs="Arial"/>
          <w:sz w:val="16"/>
          <w:szCs w:val="16"/>
        </w:rPr>
        <w:footnoteRef/>
      </w:r>
      <w:r w:rsidRPr="00A31007" w:rsidR="00191A11">
        <w:rPr>
          <w:rFonts w:ascii="Arial" w:hAnsi="Arial" w:cs="Arial"/>
          <w:sz w:val="16"/>
          <w:szCs w:val="16"/>
        </w:rPr>
        <w:t xml:space="preserve"> </w:t>
      </w:r>
      <w:r w:rsidRPr="00A31007" w:rsidR="00D818C2">
        <w:rPr>
          <w:rFonts w:ascii="Arial" w:hAnsi="Arial" w:cs="Arial"/>
          <w:sz w:val="16"/>
          <w:szCs w:val="16"/>
          <w:lang w:val="es-ES"/>
        </w:rPr>
        <w:t>CORTE CONSTITUCIONAL.</w:t>
      </w:r>
      <w:r w:rsidRPr="00A31007" w:rsidR="00191A11">
        <w:rPr>
          <w:rFonts w:ascii="Arial" w:hAnsi="Arial" w:cs="Arial"/>
          <w:sz w:val="16"/>
          <w:szCs w:val="16"/>
        </w:rPr>
        <w:t xml:space="preserve"> </w:t>
      </w:r>
      <w:r w:rsidRPr="00A31007">
        <w:rPr>
          <w:rFonts w:ascii="Arial" w:hAnsi="Arial" w:cs="Arial"/>
          <w:sz w:val="16"/>
          <w:szCs w:val="16"/>
        </w:rPr>
        <w:t xml:space="preserve">Sentencia </w:t>
      </w:r>
      <w:r w:rsidRPr="00A31007">
        <w:rPr>
          <w:rFonts w:ascii="Arial" w:hAnsi="Arial" w:cs="Arial"/>
          <w:sz w:val="16"/>
          <w:szCs w:val="16"/>
          <w:lang w:val="es-ES"/>
        </w:rPr>
        <w:t>T-033 del 04 de febrero del 2022. M</w:t>
      </w:r>
      <w:r w:rsidRPr="00A31007" w:rsidR="00D818C2">
        <w:rPr>
          <w:rFonts w:ascii="Arial" w:hAnsi="Arial" w:cs="Arial"/>
          <w:sz w:val="16"/>
          <w:szCs w:val="16"/>
          <w:lang w:val="es-ES"/>
        </w:rPr>
        <w:t>.</w:t>
      </w:r>
      <w:r w:rsidRPr="00A31007">
        <w:rPr>
          <w:rFonts w:ascii="Arial" w:hAnsi="Arial" w:cs="Arial"/>
          <w:sz w:val="16"/>
          <w:szCs w:val="16"/>
          <w:lang w:val="es-ES"/>
        </w:rPr>
        <w:t>P</w:t>
      </w:r>
      <w:r w:rsidRPr="00A31007" w:rsidR="00191A11">
        <w:rPr>
          <w:rFonts w:ascii="Arial" w:hAnsi="Arial" w:cs="Arial"/>
          <w:sz w:val="16"/>
          <w:szCs w:val="16"/>
          <w:lang w:val="es-ES"/>
        </w:rPr>
        <w:t>.</w:t>
      </w:r>
      <w:r w:rsidRPr="00A31007" w:rsidR="00D818C2">
        <w:rPr>
          <w:rFonts w:ascii="Arial" w:hAnsi="Arial" w:cs="Arial"/>
          <w:sz w:val="16"/>
          <w:szCs w:val="16"/>
          <w:lang w:val="es-ES"/>
        </w:rPr>
        <w:t xml:space="preserve"> Gloria Stella Ortiz Delgado</w:t>
      </w:r>
      <w:r w:rsidRPr="00A31007">
        <w:rPr>
          <w:rFonts w:ascii="Arial" w:hAnsi="Arial" w:cs="Arial"/>
          <w:sz w:val="16"/>
          <w:szCs w:val="16"/>
          <w:lang w:val="es-ES"/>
        </w:rPr>
        <w:t>.</w:t>
      </w:r>
    </w:p>
    <w:p w:rsidRPr="00A31007" w:rsidR="00EE41AF" w:rsidP="00EE41AF" w:rsidRDefault="00EE41AF" w14:paraId="52AA2762" w14:textId="14503C83">
      <w:pPr>
        <w:pStyle w:val="FootnoteText"/>
        <w:ind w:firstLine="708"/>
        <w:jc w:val="both"/>
        <w:rPr>
          <w:rFonts w:ascii="Arial" w:hAnsi="Arial" w:cs="Arial"/>
          <w:sz w:val="16"/>
          <w:szCs w:val="16"/>
          <w:lang w:val="es-ES"/>
        </w:rPr>
      </w:pPr>
    </w:p>
  </w:footnote>
  <w:footnote w:id="27">
    <w:p w:rsidRPr="00A31007" w:rsidR="00EE41AF" w:rsidP="00EE41AF" w:rsidRDefault="00EE41AF" w14:paraId="7231D30B" w14:textId="33F918E4">
      <w:pPr>
        <w:pStyle w:val="FootnoteText"/>
        <w:ind w:firstLine="708"/>
        <w:jc w:val="both"/>
        <w:rPr>
          <w:rFonts w:ascii="Arial" w:hAnsi="Arial" w:cs="Arial"/>
          <w:sz w:val="16"/>
          <w:szCs w:val="16"/>
          <w:lang w:val="es-ES"/>
        </w:rPr>
      </w:pPr>
      <w:r w:rsidRPr="00A31007">
        <w:rPr>
          <w:rStyle w:val="FootnoteReference"/>
          <w:rFonts w:ascii="Arial" w:hAnsi="Arial" w:cs="Arial"/>
          <w:sz w:val="16"/>
          <w:szCs w:val="16"/>
        </w:rPr>
        <w:footnoteRef/>
      </w:r>
      <w:r w:rsidRPr="00A31007" w:rsidR="00191A11">
        <w:rPr>
          <w:rFonts w:ascii="Arial" w:hAnsi="Arial" w:cs="Arial"/>
          <w:sz w:val="16"/>
          <w:szCs w:val="16"/>
          <w:lang w:val="es-ES"/>
        </w:rPr>
        <w:t xml:space="preserve"> </w:t>
      </w:r>
      <w:r w:rsidRPr="00A31007" w:rsidR="00D818C2">
        <w:rPr>
          <w:rFonts w:ascii="Arial" w:hAnsi="Arial" w:cs="Arial"/>
          <w:sz w:val="16"/>
          <w:szCs w:val="16"/>
          <w:lang w:val="es-ES"/>
        </w:rPr>
        <w:t>CORTE CONSTITUCIONAL.</w:t>
      </w:r>
      <w:r w:rsidRPr="00A31007" w:rsidR="00191A11">
        <w:rPr>
          <w:rFonts w:ascii="Arial" w:hAnsi="Arial" w:cs="Arial"/>
          <w:sz w:val="16"/>
          <w:szCs w:val="16"/>
        </w:rPr>
        <w:t xml:space="preserve"> </w:t>
      </w:r>
      <w:r w:rsidRPr="00A31007">
        <w:rPr>
          <w:rFonts w:ascii="Arial" w:hAnsi="Arial" w:cs="Arial"/>
          <w:sz w:val="16"/>
          <w:szCs w:val="16"/>
          <w:shd w:val="clear" w:color="auto" w:fill="FFFFFF"/>
        </w:rPr>
        <w:t xml:space="preserve">Sentencia T-443 del 14 de octubre del 2020. Corte Constitucional.  </w:t>
      </w:r>
      <w:r w:rsidRPr="00A31007">
        <w:rPr>
          <w:rFonts w:ascii="Arial" w:hAnsi="Arial" w:cs="Arial"/>
          <w:sz w:val="16"/>
          <w:szCs w:val="16"/>
        </w:rPr>
        <w:t>M</w:t>
      </w:r>
      <w:r w:rsidRPr="00A31007" w:rsidR="00D818C2">
        <w:rPr>
          <w:rFonts w:ascii="Arial" w:hAnsi="Arial" w:cs="Arial"/>
          <w:sz w:val="16"/>
          <w:szCs w:val="16"/>
        </w:rPr>
        <w:t>.P.</w:t>
      </w:r>
      <w:r w:rsidRPr="00A31007">
        <w:rPr>
          <w:rFonts w:ascii="Arial" w:hAnsi="Arial" w:cs="Arial"/>
          <w:sz w:val="16"/>
          <w:szCs w:val="16"/>
        </w:rPr>
        <w:t xml:space="preserve"> </w:t>
      </w:r>
      <w:r w:rsidRPr="00A31007" w:rsidR="00D818C2">
        <w:rPr>
          <w:rFonts w:ascii="Arial" w:hAnsi="Arial" w:cs="Arial"/>
          <w:sz w:val="16"/>
          <w:szCs w:val="16"/>
          <w:shd w:val="clear" w:color="auto" w:fill="FFFFFF"/>
        </w:rPr>
        <w:t>José Fernando Reyes Cuartas</w:t>
      </w:r>
      <w:r w:rsidRPr="00A31007">
        <w:rPr>
          <w:rFonts w:ascii="Arial" w:hAnsi="Arial" w:cs="Arial"/>
          <w:sz w:val="16"/>
          <w:szCs w:val="16"/>
          <w:shd w:val="clear" w:color="auto" w:fill="FFFFFF"/>
        </w:rPr>
        <w:t>.</w:t>
      </w:r>
    </w:p>
  </w:footnote>
  <w:footnote w:id="28">
    <w:p w:rsidRPr="00A31007" w:rsidR="00EE41AF" w:rsidP="00EE41AF" w:rsidRDefault="00EE41AF" w14:paraId="7C7A30F2" w14:textId="7F258217">
      <w:pPr>
        <w:pStyle w:val="FootnoteText"/>
        <w:ind w:firstLine="708"/>
        <w:jc w:val="both"/>
        <w:rPr>
          <w:rFonts w:ascii="Arial" w:hAnsi="Arial" w:cs="Arial"/>
          <w:sz w:val="16"/>
          <w:szCs w:val="16"/>
          <w:lang w:val="es-ES"/>
        </w:rPr>
      </w:pPr>
      <w:r w:rsidRPr="00A31007">
        <w:rPr>
          <w:rStyle w:val="FootnoteReference"/>
          <w:rFonts w:ascii="Arial" w:hAnsi="Arial" w:cs="Arial"/>
          <w:sz w:val="16"/>
          <w:szCs w:val="16"/>
        </w:rPr>
        <w:footnoteRef/>
      </w:r>
      <w:r w:rsidRPr="00A31007" w:rsidR="00D818C2">
        <w:rPr>
          <w:rFonts w:ascii="Arial" w:hAnsi="Arial" w:cs="Arial"/>
          <w:sz w:val="16"/>
          <w:szCs w:val="16"/>
        </w:rPr>
        <w:t xml:space="preserve"> </w:t>
      </w:r>
      <w:r w:rsidRPr="00A31007" w:rsidR="00D818C2">
        <w:rPr>
          <w:rFonts w:ascii="Arial" w:hAnsi="Arial" w:cs="Arial"/>
          <w:sz w:val="16"/>
          <w:szCs w:val="16"/>
          <w:lang w:val="es-ES"/>
        </w:rPr>
        <w:t>CORTE CONSTITUCIONAL.</w:t>
      </w:r>
      <w:r w:rsidRPr="00A31007">
        <w:rPr>
          <w:rFonts w:ascii="Arial" w:hAnsi="Arial" w:cs="Arial"/>
          <w:sz w:val="16"/>
          <w:szCs w:val="16"/>
        </w:rPr>
        <w:t xml:space="preserve"> Sentencia </w:t>
      </w:r>
      <w:r w:rsidRPr="00A31007">
        <w:rPr>
          <w:rFonts w:ascii="Arial" w:hAnsi="Arial" w:cs="Arial"/>
          <w:sz w:val="16"/>
          <w:szCs w:val="16"/>
          <w:lang w:val="es-ES"/>
        </w:rPr>
        <w:t>T-033 del 04 de febrero del 2022.. M</w:t>
      </w:r>
      <w:r w:rsidRPr="00A31007" w:rsidR="00D818C2">
        <w:rPr>
          <w:rFonts w:ascii="Arial" w:hAnsi="Arial" w:cs="Arial"/>
          <w:sz w:val="16"/>
          <w:szCs w:val="16"/>
          <w:lang w:val="es-ES"/>
        </w:rPr>
        <w:t>.</w:t>
      </w:r>
      <w:r w:rsidRPr="00A31007">
        <w:rPr>
          <w:rFonts w:ascii="Arial" w:hAnsi="Arial" w:cs="Arial"/>
          <w:sz w:val="16"/>
          <w:szCs w:val="16"/>
          <w:lang w:val="es-ES"/>
        </w:rPr>
        <w:t>P</w:t>
      </w:r>
      <w:r w:rsidRPr="00A31007" w:rsidR="00D818C2">
        <w:rPr>
          <w:rFonts w:ascii="Arial" w:hAnsi="Arial" w:cs="Arial"/>
          <w:sz w:val="16"/>
          <w:szCs w:val="16"/>
          <w:lang w:val="es-ES"/>
        </w:rPr>
        <w:t>. Gloria Stella Ortiz Delgado</w:t>
      </w:r>
      <w:r w:rsidRPr="00A31007">
        <w:rPr>
          <w:rFonts w:ascii="Arial" w:hAnsi="Arial" w:cs="Arial"/>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Header"/>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DE7A46"/>
    <w:multiLevelType w:val="multilevel"/>
    <w:tmpl w:val="6C380ED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16cid:durableId="500395951">
    <w:abstractNumId w:val="2"/>
  </w:num>
  <w:num w:numId="2" w16cid:durableId="1408454564">
    <w:abstractNumId w:val="0"/>
  </w:num>
  <w:num w:numId="3" w16cid:durableId="1897622572">
    <w:abstractNumId w:val="1"/>
  </w:num>
  <w:num w:numId="4" w16cid:durableId="195193315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BFA"/>
    <w:rsid w:val="00032E86"/>
    <w:rsid w:val="0004580B"/>
    <w:rsid w:val="00083334"/>
    <w:rsid w:val="0009098D"/>
    <w:rsid w:val="000956CF"/>
    <w:rsid w:val="000A683E"/>
    <w:rsid w:val="000C7A85"/>
    <w:rsid w:val="00100759"/>
    <w:rsid w:val="0011595A"/>
    <w:rsid w:val="001220C5"/>
    <w:rsid w:val="001267F7"/>
    <w:rsid w:val="00127233"/>
    <w:rsid w:val="00130999"/>
    <w:rsid w:val="00143493"/>
    <w:rsid w:val="00156DF4"/>
    <w:rsid w:val="00162525"/>
    <w:rsid w:val="00164D81"/>
    <w:rsid w:val="00191A11"/>
    <w:rsid w:val="001A1011"/>
    <w:rsid w:val="001A48D0"/>
    <w:rsid w:val="001C7C17"/>
    <w:rsid w:val="001F0F8A"/>
    <w:rsid w:val="001F3355"/>
    <w:rsid w:val="002001A9"/>
    <w:rsid w:val="00200965"/>
    <w:rsid w:val="00211AE9"/>
    <w:rsid w:val="00244BBD"/>
    <w:rsid w:val="00250BB2"/>
    <w:rsid w:val="002653C1"/>
    <w:rsid w:val="0026611D"/>
    <w:rsid w:val="002951A0"/>
    <w:rsid w:val="002A64FD"/>
    <w:rsid w:val="002D0342"/>
    <w:rsid w:val="002D0EA3"/>
    <w:rsid w:val="002F0839"/>
    <w:rsid w:val="00301469"/>
    <w:rsid w:val="00306EE1"/>
    <w:rsid w:val="00310B9B"/>
    <w:rsid w:val="003141DB"/>
    <w:rsid w:val="00315BC3"/>
    <w:rsid w:val="0032520F"/>
    <w:rsid w:val="00336627"/>
    <w:rsid w:val="00336735"/>
    <w:rsid w:val="0036461C"/>
    <w:rsid w:val="00367884"/>
    <w:rsid w:val="00367F28"/>
    <w:rsid w:val="00370828"/>
    <w:rsid w:val="00373535"/>
    <w:rsid w:val="003822E8"/>
    <w:rsid w:val="003878BB"/>
    <w:rsid w:val="0039439C"/>
    <w:rsid w:val="00397368"/>
    <w:rsid w:val="003B69E7"/>
    <w:rsid w:val="003B730A"/>
    <w:rsid w:val="003C013B"/>
    <w:rsid w:val="003C6D71"/>
    <w:rsid w:val="003D0F4D"/>
    <w:rsid w:val="003E1A16"/>
    <w:rsid w:val="003E4295"/>
    <w:rsid w:val="003F58A1"/>
    <w:rsid w:val="00410DD6"/>
    <w:rsid w:val="004121C7"/>
    <w:rsid w:val="004134C9"/>
    <w:rsid w:val="00415897"/>
    <w:rsid w:val="0042797D"/>
    <w:rsid w:val="0043138C"/>
    <w:rsid w:val="0045179E"/>
    <w:rsid w:val="00454D7F"/>
    <w:rsid w:val="00462A59"/>
    <w:rsid w:val="004631EF"/>
    <w:rsid w:val="004A1847"/>
    <w:rsid w:val="004B1E24"/>
    <w:rsid w:val="004B46E7"/>
    <w:rsid w:val="004B558E"/>
    <w:rsid w:val="004B65E6"/>
    <w:rsid w:val="004B6B0E"/>
    <w:rsid w:val="004D25B3"/>
    <w:rsid w:val="004D728F"/>
    <w:rsid w:val="004D7CAA"/>
    <w:rsid w:val="004E4690"/>
    <w:rsid w:val="00511405"/>
    <w:rsid w:val="00526E9D"/>
    <w:rsid w:val="00547856"/>
    <w:rsid w:val="00547A74"/>
    <w:rsid w:val="005513E9"/>
    <w:rsid w:val="005566E8"/>
    <w:rsid w:val="005746AB"/>
    <w:rsid w:val="00587305"/>
    <w:rsid w:val="0059357F"/>
    <w:rsid w:val="00596F37"/>
    <w:rsid w:val="005A1130"/>
    <w:rsid w:val="005A179A"/>
    <w:rsid w:val="005A3BE0"/>
    <w:rsid w:val="005B6048"/>
    <w:rsid w:val="005D65C8"/>
    <w:rsid w:val="005E08E6"/>
    <w:rsid w:val="006008E2"/>
    <w:rsid w:val="00606784"/>
    <w:rsid w:val="006219F8"/>
    <w:rsid w:val="006419C9"/>
    <w:rsid w:val="0066550C"/>
    <w:rsid w:val="00673FD3"/>
    <w:rsid w:val="00681FDB"/>
    <w:rsid w:val="00690504"/>
    <w:rsid w:val="00695319"/>
    <w:rsid w:val="006A6F6F"/>
    <w:rsid w:val="006A7DAD"/>
    <w:rsid w:val="006C2B9C"/>
    <w:rsid w:val="006D386A"/>
    <w:rsid w:val="006D70BA"/>
    <w:rsid w:val="006E6157"/>
    <w:rsid w:val="007000F5"/>
    <w:rsid w:val="00703849"/>
    <w:rsid w:val="007538EF"/>
    <w:rsid w:val="007566FE"/>
    <w:rsid w:val="0076726F"/>
    <w:rsid w:val="007673DD"/>
    <w:rsid w:val="0077144B"/>
    <w:rsid w:val="0078073D"/>
    <w:rsid w:val="0078496A"/>
    <w:rsid w:val="00784E39"/>
    <w:rsid w:val="00793403"/>
    <w:rsid w:val="007A42C3"/>
    <w:rsid w:val="007A64E0"/>
    <w:rsid w:val="007B48AC"/>
    <w:rsid w:val="007C0CDF"/>
    <w:rsid w:val="007D09F2"/>
    <w:rsid w:val="007D7627"/>
    <w:rsid w:val="007E2A2F"/>
    <w:rsid w:val="007F2B7C"/>
    <w:rsid w:val="00811651"/>
    <w:rsid w:val="008137CF"/>
    <w:rsid w:val="00820F5B"/>
    <w:rsid w:val="00833452"/>
    <w:rsid w:val="008614E5"/>
    <w:rsid w:val="008678EB"/>
    <w:rsid w:val="008738D3"/>
    <w:rsid w:val="00875894"/>
    <w:rsid w:val="00881C10"/>
    <w:rsid w:val="008863B1"/>
    <w:rsid w:val="00890411"/>
    <w:rsid w:val="0089194C"/>
    <w:rsid w:val="0089338E"/>
    <w:rsid w:val="00893B4A"/>
    <w:rsid w:val="008951FD"/>
    <w:rsid w:val="00895DAE"/>
    <w:rsid w:val="008A5E4A"/>
    <w:rsid w:val="008B08F4"/>
    <w:rsid w:val="008D5C70"/>
    <w:rsid w:val="008D658E"/>
    <w:rsid w:val="008E11B4"/>
    <w:rsid w:val="008E1DC4"/>
    <w:rsid w:val="009025AF"/>
    <w:rsid w:val="00904F23"/>
    <w:rsid w:val="00906B3C"/>
    <w:rsid w:val="00912F60"/>
    <w:rsid w:val="0091562C"/>
    <w:rsid w:val="009279B1"/>
    <w:rsid w:val="00941AAF"/>
    <w:rsid w:val="00943837"/>
    <w:rsid w:val="009440DB"/>
    <w:rsid w:val="009455F8"/>
    <w:rsid w:val="0095342C"/>
    <w:rsid w:val="00953BEC"/>
    <w:rsid w:val="00971FA3"/>
    <w:rsid w:val="009C0B17"/>
    <w:rsid w:val="009C1605"/>
    <w:rsid w:val="009C559D"/>
    <w:rsid w:val="009D4AA0"/>
    <w:rsid w:val="009F33F2"/>
    <w:rsid w:val="009F5F7C"/>
    <w:rsid w:val="009F6C77"/>
    <w:rsid w:val="00A07532"/>
    <w:rsid w:val="00A1085C"/>
    <w:rsid w:val="00A17FC3"/>
    <w:rsid w:val="00A2260F"/>
    <w:rsid w:val="00A309E2"/>
    <w:rsid w:val="00A31007"/>
    <w:rsid w:val="00A42D06"/>
    <w:rsid w:val="00A5673E"/>
    <w:rsid w:val="00A6067B"/>
    <w:rsid w:val="00A66053"/>
    <w:rsid w:val="00A67131"/>
    <w:rsid w:val="00A7252B"/>
    <w:rsid w:val="00A8066E"/>
    <w:rsid w:val="00AA4B8A"/>
    <w:rsid w:val="00AA6BF7"/>
    <w:rsid w:val="00AA6D19"/>
    <w:rsid w:val="00AB23FF"/>
    <w:rsid w:val="00AB43A2"/>
    <w:rsid w:val="00AC1A66"/>
    <w:rsid w:val="00AC3262"/>
    <w:rsid w:val="00AC36CE"/>
    <w:rsid w:val="00AD5D03"/>
    <w:rsid w:val="00AE1338"/>
    <w:rsid w:val="00AE50C1"/>
    <w:rsid w:val="00AE76C6"/>
    <w:rsid w:val="00AF72BC"/>
    <w:rsid w:val="00B01ED6"/>
    <w:rsid w:val="00B04D45"/>
    <w:rsid w:val="00B06D09"/>
    <w:rsid w:val="00B12F01"/>
    <w:rsid w:val="00B208A8"/>
    <w:rsid w:val="00B23CFE"/>
    <w:rsid w:val="00B31E4B"/>
    <w:rsid w:val="00B45307"/>
    <w:rsid w:val="00B7660A"/>
    <w:rsid w:val="00B771A9"/>
    <w:rsid w:val="00B809BB"/>
    <w:rsid w:val="00B8248A"/>
    <w:rsid w:val="00B91A9D"/>
    <w:rsid w:val="00BB6B6B"/>
    <w:rsid w:val="00BB7726"/>
    <w:rsid w:val="00BF79B6"/>
    <w:rsid w:val="00C13452"/>
    <w:rsid w:val="00C2329E"/>
    <w:rsid w:val="00C30461"/>
    <w:rsid w:val="00C56DE1"/>
    <w:rsid w:val="00C70B40"/>
    <w:rsid w:val="00C754BE"/>
    <w:rsid w:val="00C76C5A"/>
    <w:rsid w:val="00C87572"/>
    <w:rsid w:val="00C9405D"/>
    <w:rsid w:val="00CA1627"/>
    <w:rsid w:val="00CA2089"/>
    <w:rsid w:val="00CB014E"/>
    <w:rsid w:val="00CC1B26"/>
    <w:rsid w:val="00CC2B31"/>
    <w:rsid w:val="00CC30C0"/>
    <w:rsid w:val="00CC3F7B"/>
    <w:rsid w:val="00CD04B7"/>
    <w:rsid w:val="00CD284F"/>
    <w:rsid w:val="00CD73F5"/>
    <w:rsid w:val="00CF23AA"/>
    <w:rsid w:val="00D00788"/>
    <w:rsid w:val="00D01921"/>
    <w:rsid w:val="00D024F5"/>
    <w:rsid w:val="00D17DFE"/>
    <w:rsid w:val="00D372AB"/>
    <w:rsid w:val="00D544E6"/>
    <w:rsid w:val="00D66F7B"/>
    <w:rsid w:val="00D752B7"/>
    <w:rsid w:val="00D818C2"/>
    <w:rsid w:val="00D974B9"/>
    <w:rsid w:val="00DA1854"/>
    <w:rsid w:val="00DB0887"/>
    <w:rsid w:val="00DB1DEA"/>
    <w:rsid w:val="00DB70D0"/>
    <w:rsid w:val="00DC4C78"/>
    <w:rsid w:val="00DD6310"/>
    <w:rsid w:val="00DF1E43"/>
    <w:rsid w:val="00E04C11"/>
    <w:rsid w:val="00E11BFB"/>
    <w:rsid w:val="00E20894"/>
    <w:rsid w:val="00E26B7C"/>
    <w:rsid w:val="00E37379"/>
    <w:rsid w:val="00E41CF6"/>
    <w:rsid w:val="00E65668"/>
    <w:rsid w:val="00E779CE"/>
    <w:rsid w:val="00E95F40"/>
    <w:rsid w:val="00EA3003"/>
    <w:rsid w:val="00EB2BF7"/>
    <w:rsid w:val="00EB3C91"/>
    <w:rsid w:val="00EB66DA"/>
    <w:rsid w:val="00EC35E4"/>
    <w:rsid w:val="00EE41AF"/>
    <w:rsid w:val="00F019EA"/>
    <w:rsid w:val="00F32E6D"/>
    <w:rsid w:val="00F54FD2"/>
    <w:rsid w:val="00F605F2"/>
    <w:rsid w:val="00F67C59"/>
    <w:rsid w:val="00F76AFC"/>
    <w:rsid w:val="00F802ED"/>
    <w:rsid w:val="00F8319B"/>
    <w:rsid w:val="00F8442F"/>
    <w:rsid w:val="00FA2A02"/>
    <w:rsid w:val="00FA5516"/>
    <w:rsid w:val="00FC0794"/>
    <w:rsid w:val="00FD6F73"/>
    <w:rsid w:val="01776390"/>
    <w:rsid w:val="031333F1"/>
    <w:rsid w:val="0FBEBF41"/>
    <w:rsid w:val="18CD5228"/>
    <w:rsid w:val="19C04CF4"/>
    <w:rsid w:val="1CC63BF5"/>
    <w:rsid w:val="1E15A5CB"/>
    <w:rsid w:val="2F9951DC"/>
    <w:rsid w:val="397ADF8F"/>
    <w:rsid w:val="3EA2D60F"/>
    <w:rsid w:val="47B08B99"/>
    <w:rsid w:val="4AE21F5B"/>
    <w:rsid w:val="506B9872"/>
    <w:rsid w:val="596A6D4A"/>
    <w:rsid w:val="5F9FDD92"/>
    <w:rsid w:val="684E8C2C"/>
    <w:rsid w:val="6B8BD3AC"/>
    <w:rsid w:val="6D4F046D"/>
    <w:rsid w:val="72094D33"/>
    <w:rsid w:val="777950C3"/>
    <w:rsid w:val="7B4BF365"/>
    <w:rsid w:val="7C03503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9218CDA-CCA1-4611-94E8-A9EA4FDF2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Heading1">
    <w:name w:val="heading 1"/>
    <w:basedOn w:val="Normal"/>
    <w:link w:val="Heading1Ch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styleId="HeaderChar" w:customStyle="1">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styleId="TextonotapieCar1" w:customStyle="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styleId="normaltextrun" w:customStyle="1">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itleChar" w:customStyle="1">
    <w:name w:val="Title Char"/>
    <w:basedOn w:val="DefaultParagraphFont"/>
    <w:link w:val="Title"/>
    <w:uiPriority w:val="10"/>
    <w:rsid w:val="005566E8"/>
    <w:rPr>
      <w:rFonts w:ascii="Geomanist" w:hAnsi="Geomanist" w:eastAsiaTheme="majorEastAsia" w:cstheme="majorBidi"/>
      <w:spacing w:val="-10"/>
      <w:kern w:val="28"/>
      <w:szCs w:val="56"/>
      <w:lang w:val="es-ES"/>
    </w:rPr>
  </w:style>
  <w:style w:type="character" w:styleId="Heading1Char" w:customStyle="1">
    <w:name w:val="Heading 1 Char"/>
    <w:basedOn w:val="DefaultParagraphFont"/>
    <w:link w:val="Heading1"/>
    <w:uiPriority w:val="9"/>
    <w:rsid w:val="00904F23"/>
    <w:rPr>
      <w:rFonts w:ascii="Arial" w:hAnsi="Arial" w:eastAsia="Arial" w:cs="Arial"/>
      <w:b/>
      <w:bCs/>
      <w:lang w:val="es-ES"/>
    </w:rPr>
  </w:style>
  <w:style w:type="character" w:styleId="CommentReference">
    <w:name w:val="annotation reference"/>
    <w:basedOn w:val="DefaultParagraphFont"/>
    <w:uiPriority w:val="99"/>
    <w:semiHidden/>
    <w:unhideWhenUsed/>
    <w:rsid w:val="00511405"/>
    <w:rPr>
      <w:sz w:val="16"/>
      <w:szCs w:val="16"/>
    </w:rPr>
  </w:style>
  <w:style w:type="paragraph" w:styleId="CommentText">
    <w:name w:val="annotation text"/>
    <w:basedOn w:val="Normal"/>
    <w:link w:val="CommentTextChar"/>
    <w:uiPriority w:val="99"/>
    <w:unhideWhenUsed/>
    <w:rsid w:val="00511405"/>
    <w:pPr>
      <w:spacing w:line="240" w:lineRule="auto"/>
    </w:pPr>
    <w:rPr>
      <w:sz w:val="20"/>
      <w:szCs w:val="20"/>
    </w:rPr>
  </w:style>
  <w:style w:type="character" w:styleId="CommentTextChar" w:customStyle="1">
    <w:name w:val="Comment Text Char"/>
    <w:basedOn w:val="DefaultParagraphFont"/>
    <w:link w:val="CommentText"/>
    <w:uiPriority w:val="99"/>
    <w:rsid w:val="00511405"/>
    <w:rPr>
      <w:sz w:val="20"/>
      <w:szCs w:val="20"/>
    </w:rPr>
  </w:style>
  <w:style w:type="paragraph" w:styleId="Revision">
    <w:name w:val="Revision"/>
    <w:hidden/>
    <w:uiPriority w:val="99"/>
    <w:semiHidden/>
    <w:rsid w:val="00511405"/>
    <w:pPr>
      <w:spacing w:after="0" w:line="240" w:lineRule="auto"/>
    </w:pPr>
  </w:style>
  <w:style w:type="paragraph" w:styleId="CommentSubject">
    <w:name w:val="annotation subject"/>
    <w:basedOn w:val="CommentText"/>
    <w:next w:val="CommentText"/>
    <w:link w:val="CommentSubjectChar"/>
    <w:uiPriority w:val="99"/>
    <w:semiHidden/>
    <w:unhideWhenUsed/>
    <w:rsid w:val="00511405"/>
    <w:rPr>
      <w:b/>
      <w:bCs/>
    </w:rPr>
  </w:style>
  <w:style w:type="character" w:styleId="CommentSubjectChar" w:customStyle="1">
    <w:name w:val="Comment Subject Char"/>
    <w:basedOn w:val="CommentTextChar"/>
    <w:link w:val="CommentSubject"/>
    <w:uiPriority w:val="99"/>
    <w:semiHidden/>
    <w:rsid w:val="00511405"/>
    <w:rPr>
      <w:b/>
      <w:bCs/>
      <w:sz w:val="20"/>
      <w:szCs w:val="20"/>
    </w:rPr>
  </w:style>
  <w:style w:type="paragraph" w:styleId="NormalWeb">
    <w:name w:val="Normal (Web)"/>
    <w:basedOn w:val="Normal"/>
    <w:link w:val="NormalWebChar"/>
    <w:uiPriority w:val="99"/>
    <w:unhideWhenUsed/>
    <w:rsid w:val="00EE41AF"/>
    <w:rPr>
      <w:rFonts w:ascii="Times New Roman" w:hAnsi="Times New Roman" w:cs="Times New Roman"/>
      <w:sz w:val="24"/>
      <w:szCs w:val="24"/>
    </w:rPr>
  </w:style>
  <w:style w:type="character" w:styleId="Hipervnculo1" w:customStyle="1">
    <w:name w:val="Hipervínculo1"/>
    <w:basedOn w:val="DefaultParagraphFont"/>
    <w:uiPriority w:val="99"/>
    <w:unhideWhenUsed/>
    <w:rsid w:val="00EE41AF"/>
    <w:rPr>
      <w:color w:val="F2F2F2"/>
      <w:u w:val="single"/>
    </w:rPr>
  </w:style>
  <w:style w:type="paragraph" w:styleId="Appelnotedebasde" w:customStyle="1">
    <w:name w:val="Appel note de bas de..."/>
    <w:basedOn w:val="Normal"/>
    <w:link w:val="FootnoteReference"/>
    <w:uiPriority w:val="99"/>
    <w:rsid w:val="00EE41AF"/>
    <w:pPr>
      <w:spacing w:line="240" w:lineRule="exact"/>
    </w:pPr>
    <w:rPr>
      <w:vertAlign w:val="superscript"/>
    </w:rPr>
  </w:style>
  <w:style w:type="table" w:styleId="Tablaconcuadrcula3" w:customStyle="1">
    <w:name w:val="Tabla con cuadrícula3"/>
    <w:basedOn w:val="TableNormal"/>
    <w:next w:val="TableGrid"/>
    <w:uiPriority w:val="59"/>
    <w:qFormat/>
    <w:rsid w:val="00EE41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E41AF"/>
    <w:rPr>
      <w:color w:val="0563C1" w:themeColor="hyperlink"/>
      <w:u w:val="single"/>
    </w:rPr>
  </w:style>
  <w:style w:type="character" w:styleId="NormalWebChar" w:customStyle="1">
    <w:name w:val="Normal (Web) Char"/>
    <w:link w:val="NormalWeb"/>
    <w:uiPriority w:val="99"/>
    <w:rsid w:val="00EE41AF"/>
    <w:rPr>
      <w:rFonts w:ascii="Times New Roman" w:hAnsi="Times New Roman" w:cs="Times New Roman"/>
      <w:sz w:val="24"/>
      <w:szCs w:val="24"/>
    </w:rPr>
  </w:style>
  <w:style w:type="paragraph" w:styleId="Car1" w:customStyle="1">
    <w:name w:val="Car1"/>
    <w:basedOn w:val="Normal"/>
    <w:next w:val="FootnoteText"/>
    <w:uiPriority w:val="99"/>
    <w:unhideWhenUsed/>
    <w:qFormat/>
    <w:rsid w:val="00EE41AF"/>
    <w:pPr>
      <w:spacing w:after="0" w:line="240" w:lineRule="auto"/>
    </w:pPr>
    <w:rPr>
      <w:sz w:val="20"/>
      <w:szCs w:val="20"/>
      <w:lang w:val="es-MX"/>
    </w:rPr>
  </w:style>
  <w:style w:type="character" w:styleId="FollowedHyperlink">
    <w:name w:val="FollowedHyperlink"/>
    <w:basedOn w:val="DefaultParagraphFont"/>
    <w:uiPriority w:val="99"/>
    <w:semiHidden/>
    <w:unhideWhenUsed/>
    <w:rsid w:val="00B7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yogyakartaprinciples.org/wp-content/uploads/2016/08/principles_sp.pdf"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revistes.ub.edu/index.php/MUSAS/article/view/vol6.num1.1/33136" TargetMode="External"/><Relationship Id="rId2" Type="http://schemas.openxmlformats.org/officeDocument/2006/relationships/hyperlink" Target="http://leyes.senado.gov.co/proyectos/index.php/textos-radicados-senado/p-ley-2020-2021/1957-proyecto-de-ley-161-de-2020"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E9A5C242-03AD-49B7-BC1B-D90A9EAA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Laura Estefania Albarracín Cequera</lastModifiedBy>
  <revision>8</revision>
  <dcterms:created xsi:type="dcterms:W3CDTF">2023-04-12T20:53:00.0000000Z</dcterms:created>
  <dcterms:modified xsi:type="dcterms:W3CDTF">2023-04-27T19:07:08.5340728Z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