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0AAC" w14:textId="77777777" w:rsidR="005D331F" w:rsidRPr="005C4CC9" w:rsidRDefault="005D331F" w:rsidP="005D331F">
      <w:pPr>
        <w:spacing w:after="0" w:line="240" w:lineRule="auto"/>
        <w:jc w:val="both"/>
        <w:rPr>
          <w:rFonts w:ascii="Arial" w:eastAsia="Calibri" w:hAnsi="Arial" w:cs="Arial"/>
          <w:b/>
          <w:szCs w:val="24"/>
          <w:lang w:val="es-ES_tradnl" w:eastAsia="es-ES_tradnl"/>
        </w:rPr>
      </w:pPr>
      <w:bookmarkStart w:id="0" w:name="_Hlk103947551"/>
      <w:r w:rsidRPr="005C4CC9">
        <w:rPr>
          <w:rFonts w:ascii="Arial" w:eastAsia="Calibri" w:hAnsi="Arial" w:cs="Arial"/>
          <w:b/>
          <w:szCs w:val="24"/>
          <w:lang w:val="es-ES_tradnl" w:eastAsia="es-ES_tradnl"/>
        </w:rPr>
        <w:t>CONCURSO DE MÉRITOS – Concepto – Modalidades</w:t>
      </w:r>
    </w:p>
    <w:p w14:paraId="53E53F40" w14:textId="77777777" w:rsidR="005D331F" w:rsidRPr="005C4CC9" w:rsidRDefault="005D331F" w:rsidP="005D331F">
      <w:pPr>
        <w:spacing w:after="0" w:line="240" w:lineRule="auto"/>
        <w:jc w:val="both"/>
        <w:rPr>
          <w:rFonts w:ascii="Arial" w:eastAsia="Calibri" w:hAnsi="Arial" w:cs="Arial"/>
          <w:b/>
          <w:szCs w:val="24"/>
          <w:lang w:val="es-ES_tradnl" w:eastAsia="es-ES_tradnl"/>
        </w:rPr>
      </w:pPr>
    </w:p>
    <w:p w14:paraId="1CB86121" w14:textId="3841E62B"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w:t>
      </w:r>
      <w:r w:rsidRPr="005C4CC9">
        <w:rPr>
          <w:rFonts w:ascii="Arial" w:eastAsia="Times New Roman" w:hAnsi="Arial" w:cs="Arial"/>
          <w:i/>
          <w:iCs/>
          <w:color w:val="000000"/>
          <w:sz w:val="20"/>
          <w:szCs w:val="20"/>
          <w:lang w:val="es-ES_tradnl" w:eastAsia="es-ES_tradnl"/>
        </w:rPr>
        <w:t xml:space="preserve">concurso de méritos </w:t>
      </w:r>
      <w:r w:rsidRPr="005C4CC9">
        <w:rPr>
          <w:rFonts w:ascii="Arial" w:eastAsia="Times New Roman" w:hAnsi="Arial" w:cs="Arial"/>
          <w:color w:val="000000"/>
          <w:sz w:val="20"/>
          <w:szCs w:val="20"/>
          <w:lang w:val="es-ES_tradnl" w:eastAsia="es-ES_tradnl"/>
        </w:rPr>
        <w:t xml:space="preserve">es un procedimiento de selección que deben realizar las entidades estatales para escoger </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consultores y proyectos</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xml:space="preserve">, es decir, para celebrar contratos de consultoría, entendidos estos últimos como aquellos </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según lo dispuesto en el artículo 32, numeral 2, de la Ley 80 de 1993.</w:t>
      </w:r>
    </w:p>
    <w:p w14:paraId="6872F186"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p>
    <w:p w14:paraId="1CA886E9" w14:textId="39476721"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para la selección de consultores de diseño, planos, anteproyectos y proyectos arquitectónicos</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xml:space="preserve">. El primero está regulado en los artículos 2.2.1.2.1.3.1. y 2.2.1.2.1.3.2. </w:t>
      </w:r>
      <w:r w:rsidRPr="005C4CC9">
        <w:rPr>
          <w:rFonts w:ascii="Arial" w:eastAsia="Times New Roman" w:hAnsi="Arial" w:cs="Arial"/>
          <w:i/>
          <w:iCs/>
          <w:color w:val="000000"/>
          <w:sz w:val="20"/>
          <w:szCs w:val="20"/>
          <w:lang w:val="es-ES_tradnl" w:eastAsia="es-ES_tradnl"/>
        </w:rPr>
        <w:t>ibídem</w:t>
      </w:r>
      <w:r w:rsidRPr="005C4CC9">
        <w:rPr>
          <w:rFonts w:ascii="Arial" w:eastAsia="Times New Roman" w:hAnsi="Arial" w:cs="Arial"/>
          <w:color w:val="000000"/>
          <w:sz w:val="20"/>
          <w:szCs w:val="20"/>
          <w:lang w:val="es-ES_tradnl" w:eastAsia="es-ES_tradnl"/>
        </w:rPr>
        <w:t xml:space="preserve">. El segundo, además de los dos artículos anteriores, lo regulan los artículos 2.2.1.2.1.3.3. a 2.2.1.2.1.3.7. </w:t>
      </w:r>
      <w:r w:rsidRPr="005C4CC9">
        <w:rPr>
          <w:rFonts w:ascii="Arial" w:eastAsia="Times New Roman" w:hAnsi="Arial" w:cs="Arial"/>
          <w:i/>
          <w:iCs/>
          <w:color w:val="000000"/>
          <w:sz w:val="20"/>
          <w:szCs w:val="20"/>
          <w:lang w:val="es-ES_tradnl" w:eastAsia="es-ES_tradnl"/>
        </w:rPr>
        <w:t>ejusdem</w:t>
      </w:r>
      <w:r w:rsidRPr="005C4CC9">
        <w:rPr>
          <w:rFonts w:ascii="Arial" w:eastAsia="Times New Roman" w:hAnsi="Arial" w:cs="Arial"/>
          <w:color w:val="000000"/>
          <w:sz w:val="20"/>
          <w:szCs w:val="20"/>
          <w:lang w:val="es-ES_tradnl" w:eastAsia="es-ES_tradnl"/>
        </w:rPr>
        <w:t>. El tercero lo regulan los artículos 2.2.1.2.1.3.8. a 2.2.1.2.1.3.25. del mencionado Decreto.</w:t>
      </w:r>
    </w:p>
    <w:p w14:paraId="084C5B56" w14:textId="77777777" w:rsidR="005D331F" w:rsidRPr="005C4CC9" w:rsidRDefault="005D331F" w:rsidP="005D331F">
      <w:pPr>
        <w:spacing w:after="0" w:line="240" w:lineRule="auto"/>
        <w:jc w:val="both"/>
        <w:rPr>
          <w:rFonts w:ascii="Arial" w:eastAsia="Calibri" w:hAnsi="Arial" w:cs="Arial"/>
          <w:b/>
          <w:szCs w:val="24"/>
          <w:lang w:val="es-ES_tradnl" w:eastAsia="es-ES_tradnl"/>
        </w:rPr>
      </w:pPr>
    </w:p>
    <w:p w14:paraId="745898AD" w14:textId="2C239AF3" w:rsidR="005D331F" w:rsidRPr="005C4CC9" w:rsidRDefault="005D331F" w:rsidP="005D331F">
      <w:pPr>
        <w:spacing w:after="0" w:line="240" w:lineRule="auto"/>
        <w:jc w:val="both"/>
        <w:rPr>
          <w:rFonts w:ascii="Arial" w:eastAsia="Calibri" w:hAnsi="Arial" w:cs="Arial"/>
          <w:b/>
          <w:szCs w:val="24"/>
          <w:lang w:val="es-ES_tradnl" w:eastAsia="es-ES_tradnl"/>
        </w:rPr>
      </w:pPr>
      <w:r w:rsidRPr="005C4CC9">
        <w:rPr>
          <w:rFonts w:ascii="Arial" w:eastAsia="Calibri" w:hAnsi="Arial" w:cs="Arial"/>
          <w:b/>
          <w:szCs w:val="24"/>
          <w:lang w:val="es-ES_tradnl" w:eastAsia="es-ES_tradnl"/>
        </w:rPr>
        <w:t xml:space="preserve">CONCURSO DE MÉRITOS – Decreto 1082 de 2015 – </w:t>
      </w:r>
      <w:r w:rsidR="002F78D4">
        <w:rPr>
          <w:rFonts w:ascii="Arial" w:eastAsia="Calibri" w:hAnsi="Arial" w:cs="Arial"/>
          <w:b/>
          <w:szCs w:val="24"/>
          <w:lang w:val="es-ES_tradnl" w:eastAsia="es-ES_tradnl"/>
        </w:rPr>
        <w:t>A</w:t>
      </w:r>
      <w:r w:rsidRPr="005C4CC9">
        <w:rPr>
          <w:rFonts w:ascii="Arial" w:eastAsia="Calibri" w:hAnsi="Arial" w:cs="Arial"/>
          <w:b/>
          <w:szCs w:val="24"/>
          <w:lang w:val="es-ES_tradnl" w:eastAsia="es-ES_tradnl"/>
        </w:rPr>
        <w:t>rtículo 2.2.1.2.1.3.2</w:t>
      </w:r>
      <w:r w:rsidRPr="005C4CC9">
        <w:rPr>
          <w:rFonts w:ascii="Arial" w:eastAsia="Times New Roman" w:hAnsi="Arial" w:cs="Arial"/>
          <w:b/>
          <w:color w:val="000000"/>
          <w:sz w:val="20"/>
          <w:szCs w:val="20"/>
          <w:lang w:val="es-ES_tradnl" w:eastAsia="es-ES_tradnl"/>
        </w:rPr>
        <w:t xml:space="preserve"> </w:t>
      </w:r>
      <w:r w:rsidRPr="005C4CC9">
        <w:rPr>
          <w:rFonts w:ascii="Arial" w:eastAsia="Calibri" w:hAnsi="Arial" w:cs="Arial"/>
          <w:b/>
          <w:szCs w:val="24"/>
          <w:lang w:val="es-ES_tradnl" w:eastAsia="es-ES_tradnl"/>
        </w:rPr>
        <w:t>–</w:t>
      </w:r>
      <w:r w:rsidRPr="005C4CC9">
        <w:rPr>
          <w:rFonts w:ascii="Arial" w:eastAsia="Times New Roman" w:hAnsi="Arial" w:cs="Arial"/>
          <w:b/>
          <w:color w:val="000000"/>
          <w:sz w:val="20"/>
          <w:szCs w:val="20"/>
          <w:lang w:val="es-ES_tradnl" w:eastAsia="es-ES_tradnl"/>
        </w:rPr>
        <w:t xml:space="preserve"> </w:t>
      </w:r>
      <w:r w:rsidRPr="005C4CC9">
        <w:rPr>
          <w:rFonts w:ascii="Arial" w:eastAsia="Calibri" w:hAnsi="Arial" w:cs="Arial"/>
          <w:b/>
          <w:szCs w:val="24"/>
          <w:lang w:val="es-ES_tradnl" w:eastAsia="es-ES_tradnl"/>
        </w:rPr>
        <w:t>Suspensión provisional</w:t>
      </w:r>
    </w:p>
    <w:p w14:paraId="05E62C06" w14:textId="77777777" w:rsidR="005D331F" w:rsidRPr="005C4CC9" w:rsidRDefault="005D331F" w:rsidP="005D331F">
      <w:pPr>
        <w:spacing w:after="0" w:line="240" w:lineRule="auto"/>
        <w:jc w:val="both"/>
        <w:rPr>
          <w:rFonts w:ascii="Arial" w:eastAsia="Calibri" w:hAnsi="Arial" w:cs="Arial"/>
          <w:b/>
          <w:szCs w:val="24"/>
          <w:lang w:val="es-ES_tradnl" w:eastAsia="es-ES_tradnl"/>
        </w:rPr>
      </w:pPr>
    </w:p>
    <w:p w14:paraId="6A33895D" w14:textId="6AD37AF9"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Consejo de Estado consideró que los numerales 3, 4 y 5 violarían el artículo 5, numeral 4, último inciso, de la Ley 1150 de 2007, pues señaló que: </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en ningún caso se podrá incluir el precio, como factor de escogencia para la selección de consultores</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xml:space="preserve">, así como el artículo 25, numeral 2, de la Ley 80 de 1993 que dispone lo siguiente: </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las normas de los procedimientos contractuales se interpretarán de tal manera que no den ocasión a seguir trámites distintos y adicionales a los expresamente previstos […]</w:t>
      </w:r>
      <w:r w:rsidR="000B5B6E">
        <w:rPr>
          <w:rFonts w:ascii="Arial" w:eastAsia="Times New Roman" w:hAnsi="Arial" w:cs="Arial"/>
          <w:color w:val="000000"/>
          <w:sz w:val="20"/>
          <w:szCs w:val="20"/>
          <w:lang w:val="es-ES_tradnl" w:eastAsia="es-ES_tradnl"/>
        </w:rPr>
        <w:t>”</w:t>
      </w:r>
      <w:r w:rsidRPr="005C4CC9">
        <w:rPr>
          <w:rFonts w:ascii="Arial" w:eastAsia="Times New Roman" w:hAnsi="Arial" w:cs="Arial"/>
          <w:color w:val="000000"/>
          <w:sz w:val="20"/>
          <w:szCs w:val="20"/>
          <w:lang w:val="es-ES_tradnl" w:eastAsia="es-ES_tradnl"/>
        </w:rPr>
        <w:t>.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5629B4E9"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p>
    <w:p w14:paraId="190E3FB7"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En consecuencia, </w:t>
      </w:r>
      <w:r w:rsidRPr="005C4CC9">
        <w:rPr>
          <w:rFonts w:ascii="Arial" w:eastAsia="Calibri" w:hAnsi="Arial" w:cs="Arial"/>
          <w:color w:val="000000"/>
          <w:sz w:val="20"/>
          <w:szCs w:val="20"/>
          <w:lang w:val="es-ES_tradnl" w:eastAsia="es-ES_tradnl"/>
        </w:rPr>
        <w:t>con los autos de suspensión provisional, el concurso de méritos abierto debía desarrollarse aplicando únicamente los numerales 1 y 2 del</w:t>
      </w:r>
      <w:r w:rsidRPr="005C4CC9">
        <w:rPr>
          <w:rFonts w:ascii="Arial" w:eastAsia="Times New Roman" w:hAnsi="Arial" w:cs="Arial"/>
          <w:color w:val="000000"/>
          <w:sz w:val="20"/>
          <w:szCs w:val="20"/>
          <w:lang w:val="es-ES_tradnl" w:eastAsia="es-ES_tradnl"/>
        </w:rPr>
        <w:t xml:space="preserve"> artículo 2.2.1.2.1.3.2 original del Decreto 1082 de 2015, esto es, antes de la modificación realizada por el Decreto 399 de 2021, al que se hará referencia en el numeral siguiente. Por lo tanto, </w:t>
      </w:r>
      <w:r w:rsidRPr="005C4CC9">
        <w:rPr>
          <w:rFonts w:ascii="Arial" w:eastAsia="Times New Roman" w:hAnsi="Arial" w:cs="Arial"/>
          <w:i/>
          <w:iCs/>
          <w:color w:val="000000"/>
          <w:sz w:val="20"/>
          <w:szCs w:val="20"/>
          <w:lang w:val="es-ES_tradnl" w:eastAsia="es-ES_tradnl"/>
        </w:rPr>
        <w:t>siempre que estuviera dentro del presupuesto oficial</w:t>
      </w:r>
      <w:r w:rsidRPr="005C4CC9">
        <w:rPr>
          <w:rFonts w:ascii="Arial" w:eastAsia="Times New Roman" w:hAnsi="Arial" w:cs="Arial"/>
          <w:color w:val="000000"/>
          <w:sz w:val="20"/>
          <w:szCs w:val="20"/>
          <w:lang w:val="es-ES_tradnl" w:eastAsia="es-ES_tradnl"/>
        </w:rPr>
        <w:t>, la entidad estatal debía adjudicar el contrato al proponente que ocupara el primer puesto en el orden de elegibilidad, independientemente del valor ofrecido</w:t>
      </w:r>
      <w:r w:rsidRPr="005C4CC9">
        <w:rPr>
          <w:rFonts w:ascii="Arial" w:eastAsia="Calibri" w:hAnsi="Arial" w:cs="Arial"/>
          <w:color w:val="000000"/>
          <w:sz w:val="20"/>
          <w:szCs w:val="20"/>
          <w:lang w:val="es-ES_tradnl" w:eastAsia="es-ES_tradnl"/>
        </w:rPr>
        <w:t>.</w:t>
      </w:r>
    </w:p>
    <w:p w14:paraId="52AF06A0"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1F9E1C57" w14:textId="77777777" w:rsidR="005D331F" w:rsidRPr="005C4CC9" w:rsidRDefault="005D331F" w:rsidP="005D331F">
      <w:pPr>
        <w:spacing w:after="0" w:line="240" w:lineRule="auto"/>
        <w:jc w:val="both"/>
        <w:rPr>
          <w:rFonts w:ascii="Arial" w:eastAsia="Calibri" w:hAnsi="Arial" w:cs="Arial"/>
          <w:b/>
          <w:szCs w:val="24"/>
          <w:lang w:val="es-ES_tradnl" w:eastAsia="es-ES_tradnl"/>
        </w:rPr>
      </w:pPr>
      <w:r w:rsidRPr="005C4CC9">
        <w:rPr>
          <w:rFonts w:ascii="Arial" w:eastAsia="Calibri" w:hAnsi="Arial" w:cs="Arial"/>
          <w:b/>
          <w:szCs w:val="24"/>
          <w:lang w:val="es-ES_tradnl" w:eastAsia="es-ES_tradnl"/>
        </w:rPr>
        <w:t>CONCURSO DE MÉRITOS –</w:t>
      </w:r>
      <w:r>
        <w:rPr>
          <w:rFonts w:ascii="Arial" w:eastAsia="Calibri" w:hAnsi="Arial" w:cs="Arial"/>
          <w:b/>
          <w:szCs w:val="24"/>
          <w:lang w:val="es-ES_tradnl" w:eastAsia="es-ES_tradnl"/>
        </w:rPr>
        <w:t xml:space="preserve"> Modificación – D</w:t>
      </w:r>
      <w:r w:rsidRPr="005C4CC9">
        <w:rPr>
          <w:rFonts w:ascii="Arial" w:eastAsia="Calibri" w:hAnsi="Arial" w:cs="Arial"/>
          <w:b/>
          <w:szCs w:val="24"/>
          <w:lang w:val="es-ES_tradnl" w:eastAsia="es-ES_tradnl"/>
        </w:rPr>
        <w:t>ecreto 399 de 2021 – Artículo 2</w:t>
      </w:r>
    </w:p>
    <w:p w14:paraId="0FB204E2"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p>
    <w:p w14:paraId="3B720C52"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vigencia del artículo 2 del Decreto 399 de 2021 se observan los siguientes cambios:</w:t>
      </w:r>
    </w:p>
    <w:p w14:paraId="214F84CD"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02A66C3E" w14:textId="776D9883"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xml:space="preserve">i) El informe de evaluación, que la entidad debe publicar durante tres </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3</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días hábiles, debe contener ya no solamente la calificación técnica y el orden de elegibilidad, sino </w:t>
      </w:r>
      <w:r w:rsidR="000B5B6E">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la evaluación de las ofertas frente a todos los requisitos exigidos en el pliego de condiciones, incluyendo los requisitos habilitantes y los de </w:t>
      </w:r>
      <w:r w:rsidRPr="005C4CC9">
        <w:rPr>
          <w:rFonts w:ascii="Arial" w:eastAsia="Calibri" w:hAnsi="Arial" w:cs="Arial"/>
          <w:color w:val="000000"/>
          <w:sz w:val="20"/>
          <w:szCs w:val="20"/>
          <w:lang w:val="es-ES_tradnl" w:eastAsia="es-ES_tradnl"/>
        </w:rPr>
        <w:lastRenderedPageBreak/>
        <w:t>asignación de puntaje</w:t>
      </w:r>
      <w:r w:rsidR="000B5B6E">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459329BD"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39B51FBD" w14:textId="74C46E7F"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xml:space="preserve">ii)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w:t>
      </w:r>
      <w:r w:rsidR="000B5B6E">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Una vez resueltas las observaciones al informe de evaluación, la entidad adjudicará el contrato mediante acto administrativo al oferente que haya cumplido todos los requisitos exigidos en el pliego de condiciones y haya obtenido el mayor puntaje</w:t>
      </w:r>
      <w:r w:rsidR="000B5B6E">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w:t>
      </w:r>
      <w:r w:rsidR="000B5B6E">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negociación</w:t>
      </w:r>
      <w:r w:rsidR="000B5B6E">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con el oferente calificado en primer lugar sobre el valor y alcance del contrato, sino que debe proceder a la adjudicación a quien haya presentado objetivamente la mejor oferta, teniendo en cuenta todos los requisitos exigidos en el pliego de condiciones.</w:t>
      </w:r>
    </w:p>
    <w:p w14:paraId="748F6B9A"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3D1FD9E6"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09F71636" w14:textId="77777777" w:rsidR="005D331F" w:rsidRPr="00982493" w:rsidRDefault="005D331F" w:rsidP="005D331F">
      <w:pPr>
        <w:spacing w:after="0" w:line="240" w:lineRule="auto"/>
        <w:contextualSpacing/>
        <w:rPr>
          <w:rFonts w:ascii="Arial" w:eastAsia="Geomanist Light" w:hAnsi="Arial" w:cs="Arial"/>
          <w:color w:val="000000" w:themeColor="text1"/>
          <w:lang w:val="es-MX"/>
        </w:rPr>
      </w:pPr>
    </w:p>
    <w:p w14:paraId="671BDE4C" w14:textId="77777777" w:rsidR="005D331F" w:rsidRPr="00E50222" w:rsidRDefault="005D331F" w:rsidP="005D331F">
      <w:pPr>
        <w:spacing w:after="0" w:line="240" w:lineRule="auto"/>
        <w:jc w:val="both"/>
        <w:rPr>
          <w:rFonts w:ascii="Arial" w:eastAsia="Calibri" w:hAnsi="Arial" w:cs="Arial"/>
          <w:b/>
          <w:lang w:val="es-MX"/>
        </w:rPr>
      </w:pPr>
      <w:r w:rsidRPr="00E50222">
        <w:rPr>
          <w:rFonts w:ascii="Arial" w:eastAsia="Calibri" w:hAnsi="Arial" w:cs="Arial"/>
          <w:b/>
          <w:color w:val="000000"/>
          <w:lang w:val="es-ES_tradnl"/>
        </w:rPr>
        <w:t xml:space="preserve">SUBSANABILIDAD DE LAS OFERTAS – Principio de selección objetiva </w:t>
      </w:r>
      <w:r w:rsidRPr="00E50222">
        <w:rPr>
          <w:rFonts w:ascii="Arial" w:eastAsia="Calibri" w:hAnsi="Arial" w:cs="Arial"/>
          <w:b/>
          <w:lang w:val="es-MX"/>
        </w:rPr>
        <w:t xml:space="preserve">– Ley 1882 de 2018 – Ámbito temporal </w:t>
      </w:r>
    </w:p>
    <w:p w14:paraId="332BEACB" w14:textId="77777777" w:rsidR="005D331F" w:rsidRPr="00E50222" w:rsidRDefault="005D331F" w:rsidP="005D331F">
      <w:pPr>
        <w:spacing w:after="0" w:line="240" w:lineRule="auto"/>
        <w:jc w:val="both"/>
        <w:rPr>
          <w:rFonts w:ascii="Arial" w:eastAsia="Calibri" w:hAnsi="Arial" w:cs="Arial"/>
          <w:b/>
          <w:lang w:val="es-MX"/>
        </w:rPr>
      </w:pPr>
    </w:p>
    <w:p w14:paraId="36DB37C7" w14:textId="77777777" w:rsidR="005D331F" w:rsidRPr="00E50222" w:rsidRDefault="005D331F" w:rsidP="005D331F">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 xml:space="preserve">Como puede observarse, la Ley 1882 de 2018: i) mantiene el criterio de la Ley 80 de 1993, relativo a que todo lo que no sea necesario para la comparación de propuestas no es título suficiente para su rechazo; y ii) mantiene el criterio aclaratorio de la Ley 1150 de 2007, según el cual todo lo que no afecte la asignación de puntaje puede subsanarse. </w:t>
      </w:r>
    </w:p>
    <w:p w14:paraId="12F79274" w14:textId="77777777" w:rsidR="005D331F" w:rsidRPr="00E50222" w:rsidRDefault="005D331F" w:rsidP="005D331F">
      <w:pPr>
        <w:spacing w:after="0" w:line="240" w:lineRule="auto"/>
        <w:jc w:val="both"/>
        <w:rPr>
          <w:rFonts w:ascii="Arial" w:eastAsia="Calibri" w:hAnsi="Arial" w:cs="Arial"/>
          <w:sz w:val="20"/>
          <w:szCs w:val="20"/>
          <w:lang w:val="es-ES_tradnl"/>
        </w:rPr>
      </w:pPr>
    </w:p>
    <w:p w14:paraId="3EBA38B8" w14:textId="7D23785A" w:rsidR="005D331F" w:rsidRPr="00E50222" w:rsidRDefault="005D331F" w:rsidP="005D331F">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 xml:space="preserve">De lo anterior se colige que, a la luz de la Ley 1882 de 2018 se introdujo una modificación frente al criterio material, directamente relacionado con los aspectos subsanables según el cual: </w:t>
      </w:r>
      <w:r w:rsidR="000B5B6E">
        <w:rPr>
          <w:rFonts w:ascii="Arial" w:eastAsia="Calibri" w:hAnsi="Arial" w:cs="Arial"/>
          <w:sz w:val="20"/>
          <w:szCs w:val="20"/>
          <w:lang w:val="es-ES_tradnl"/>
        </w:rPr>
        <w:t>“</w:t>
      </w:r>
      <w:r w:rsidRPr="00E50222">
        <w:rPr>
          <w:rFonts w:ascii="Arial" w:eastAsia="Calibri" w:hAnsi="Arial" w:cs="Arial"/>
          <w:sz w:val="20"/>
          <w:szCs w:val="20"/>
          <w:lang w:val="es-ES_tradnl"/>
        </w:rPr>
        <w:t>los proponentes no podrán acreditar circunstancias ocurridas con posterioridad al cierre del proceso</w:t>
      </w:r>
      <w:r w:rsidR="000B5B6E">
        <w:rPr>
          <w:rFonts w:ascii="Arial" w:eastAsia="Calibri" w:hAnsi="Arial" w:cs="Arial"/>
          <w:sz w:val="20"/>
          <w:szCs w:val="20"/>
          <w:lang w:val="es-ES_tradnl"/>
        </w:rPr>
        <w:t>”</w:t>
      </w:r>
      <w:r w:rsidRPr="00E50222">
        <w:rPr>
          <w:rFonts w:ascii="Arial" w:eastAsia="Calibri" w:hAnsi="Arial" w:cs="Arial"/>
          <w:sz w:val="20"/>
          <w:szCs w:val="20"/>
          <w:lang w:val="es-ES_tradnl"/>
        </w:rPr>
        <w:t>. Lo anterior ofrece dos aspectos que merecen clarificación; primero, qué debe entenderse por circunstancias ocurridas con posterioridad; y segundo, qué es el cierre del proceso.</w:t>
      </w:r>
    </w:p>
    <w:p w14:paraId="091EB6C0" w14:textId="77777777" w:rsidR="005D331F" w:rsidRPr="00E50222" w:rsidRDefault="005D331F" w:rsidP="005D331F">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w:t>
      </w:r>
    </w:p>
    <w:p w14:paraId="7A55974C" w14:textId="77777777" w:rsidR="005D331F" w:rsidRPr="00E50222" w:rsidRDefault="005D331F" w:rsidP="005D331F">
      <w:pPr>
        <w:spacing w:after="0" w:line="240" w:lineRule="auto"/>
        <w:jc w:val="both"/>
        <w:rPr>
          <w:rFonts w:ascii="Arial" w:eastAsia="Calibri" w:hAnsi="Arial" w:cs="Arial"/>
          <w:sz w:val="20"/>
          <w:szCs w:val="20"/>
          <w:lang w:val="es-ES"/>
        </w:rPr>
      </w:pPr>
      <w:r w:rsidRPr="1548CBE8">
        <w:rPr>
          <w:rFonts w:ascii="Arial" w:eastAsia="Calibri" w:hAnsi="Arial" w:cs="Arial"/>
          <w:sz w:val="20"/>
          <w:szCs w:val="20"/>
          <w:lang w:val="es-ES"/>
        </w:rPr>
        <w:t xml:space="preserve">Ahora bien, en lo relacionado con el aspecto temporal de la subsanabilidad, es menester analizar el ámbito temporal para ejercer la facultad de subsanar la oferta, frente a lo cual se puede afirmar que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 en el último, los documentos o requisitos subsanables pueden y deben solicitarse hasta el momento previo a la celebración de la audiencia. En cuanto al proceso de mínima cuantía, el Decreto 1082 de 2015, en su artículo 2.2.1.2.1.5.2., numeral 5 –modificado por el Decreto 1860 de 2021–, prescribe que las entidades </w:t>
      </w:r>
      <w:r w:rsidRPr="1548CBE8">
        <w:rPr>
          <w:rFonts w:ascii="Arial" w:eastAsia="Calibri" w:hAnsi="Arial" w:cs="Arial"/>
          <w:sz w:val="20"/>
          <w:szCs w:val="20"/>
          <w:lang w:val="es-ES"/>
        </w:rPr>
        <w:lastRenderedPageBreak/>
        <w:t>estatales establecerán en la invitación el término preclusivo para recibir los documentos subsanables, frente a cada uno de los requerimientos que formulen. Sin embargo, agrega que en los casos en que no se establezca dicho término, subsidiariamente, los proponentes podrán subsanar sus ofertas hasta antes que finalice el traslado del informe de evaluación.</w:t>
      </w:r>
    </w:p>
    <w:p w14:paraId="409A3D9D" w14:textId="77777777" w:rsidR="005D331F" w:rsidRDefault="005D331F" w:rsidP="005D331F">
      <w:pPr>
        <w:spacing w:after="0" w:line="240" w:lineRule="auto"/>
        <w:jc w:val="both"/>
        <w:rPr>
          <w:rFonts w:ascii="Arial" w:eastAsia="Calibri" w:hAnsi="Arial" w:cs="Arial"/>
          <w:sz w:val="20"/>
          <w:szCs w:val="20"/>
          <w:lang w:val="es-ES"/>
        </w:rPr>
      </w:pPr>
    </w:p>
    <w:p w14:paraId="783A8560" w14:textId="77777777" w:rsidR="005D331F" w:rsidRDefault="005D331F" w:rsidP="005D331F">
      <w:pPr>
        <w:jc w:val="both"/>
        <w:rPr>
          <w:rFonts w:ascii="Arial" w:eastAsia="Geomanist Light" w:hAnsi="Arial" w:cs="Arial"/>
          <w:b/>
          <w:bCs/>
          <w:color w:val="000000" w:themeColor="text1"/>
          <w:lang w:val="es-ES"/>
        </w:rPr>
      </w:pPr>
      <w:r w:rsidRPr="008B3300">
        <w:rPr>
          <w:rFonts w:ascii="Arial" w:eastAsia="Geomanist Light" w:hAnsi="Arial" w:cs="Arial"/>
          <w:b/>
          <w:bCs/>
          <w:color w:val="000000" w:themeColor="text1"/>
          <w:lang w:val="es-ES"/>
        </w:rPr>
        <w:t>SUBSANABILIDAD – Aspectos subsanables – No otorga puntaje</w:t>
      </w:r>
    </w:p>
    <w:p w14:paraId="781BAFCE" w14:textId="77777777" w:rsidR="005D331F" w:rsidRDefault="005D331F" w:rsidP="009049CA">
      <w:pPr>
        <w:spacing w:after="0"/>
        <w:jc w:val="both"/>
        <w:rPr>
          <w:rFonts w:ascii="Arial" w:eastAsia="Geomanist Light" w:hAnsi="Arial" w:cs="Arial"/>
          <w:color w:val="000000" w:themeColor="text1"/>
          <w:sz w:val="20"/>
          <w:szCs w:val="20"/>
          <w:lang w:val="es-ES"/>
        </w:rPr>
      </w:pPr>
      <w:r w:rsidRPr="008B3300">
        <w:rPr>
          <w:rFonts w:ascii="Arial" w:eastAsia="Geomanist Light" w:hAnsi="Arial" w:cs="Arial"/>
          <w:color w:val="000000" w:themeColor="text1"/>
          <w:sz w:val="20"/>
          <w:szCs w:val="20"/>
          <w:lang w:val="es-ES"/>
        </w:rPr>
        <w:t>Se reitera que si la Administración, al verificar, encuentra que lo omitido por el proponente es un aspecto que otorga puntaje, entonces no es posible subsanarlo; pero si lo omitido no otorga puntaje la Administración debe requerir al proponente para que lo subsane. Así las cosas, si un oferente no cumple con el requisito de experiencia, puede subsanarla, siempre y cuando lo acreditado no constituyan circunstancias ocurridas con posterioridad al cierre del proceso, en los términos ya explicados.</w:t>
      </w:r>
    </w:p>
    <w:p w14:paraId="0F8242DF" w14:textId="77777777" w:rsidR="00290D2C" w:rsidRDefault="00290D2C" w:rsidP="009049CA">
      <w:pPr>
        <w:spacing w:after="0"/>
        <w:jc w:val="both"/>
        <w:rPr>
          <w:rFonts w:ascii="Arial" w:eastAsia="Geomanist Light" w:hAnsi="Arial" w:cs="Arial"/>
          <w:color w:val="000000" w:themeColor="text1"/>
          <w:sz w:val="20"/>
          <w:szCs w:val="20"/>
          <w:lang w:val="es-ES"/>
        </w:rPr>
      </w:pPr>
    </w:p>
    <w:p w14:paraId="69E9C9DB" w14:textId="5C9EE7B8" w:rsidR="00290D2C" w:rsidRDefault="00290D2C" w:rsidP="009049CA">
      <w:pPr>
        <w:spacing w:after="0"/>
        <w:jc w:val="both"/>
        <w:rPr>
          <w:rFonts w:ascii="Arial" w:eastAsia="Geomanist Light" w:hAnsi="Arial" w:cs="Arial"/>
          <w:b/>
          <w:bCs/>
          <w:color w:val="000000" w:themeColor="text1"/>
          <w:lang w:val="es-ES"/>
        </w:rPr>
      </w:pPr>
      <w:r>
        <w:rPr>
          <w:rFonts w:ascii="Arial" w:eastAsia="Geomanist Light" w:hAnsi="Arial" w:cs="Arial"/>
          <w:b/>
          <w:bCs/>
          <w:color w:val="000000" w:themeColor="text1"/>
          <w:lang w:val="es-ES"/>
        </w:rPr>
        <w:t xml:space="preserve">GARANTÍA DE SERIEDAD </w:t>
      </w:r>
      <w:r w:rsidRPr="00290D2C">
        <w:rPr>
          <w:rFonts w:ascii="Arial" w:eastAsia="Geomanist Light" w:hAnsi="Arial" w:cs="Arial"/>
          <w:b/>
          <w:bCs/>
          <w:color w:val="000000" w:themeColor="text1"/>
          <w:lang w:val="es-ES"/>
        </w:rPr>
        <w:t>–</w:t>
      </w:r>
      <w:r>
        <w:rPr>
          <w:rFonts w:ascii="Arial" w:eastAsia="Geomanist Light" w:hAnsi="Arial" w:cs="Arial"/>
          <w:b/>
          <w:bCs/>
          <w:color w:val="000000" w:themeColor="text1"/>
          <w:lang w:val="es-ES"/>
        </w:rPr>
        <w:t xml:space="preserve"> </w:t>
      </w:r>
      <w:r w:rsidRPr="00290D2C">
        <w:rPr>
          <w:rFonts w:ascii="Arial" w:eastAsia="Geomanist Light" w:hAnsi="Arial" w:cs="Arial"/>
          <w:b/>
          <w:bCs/>
          <w:color w:val="000000" w:themeColor="text1"/>
          <w:lang w:val="es-ES"/>
        </w:rPr>
        <w:t>Alcance de la Subsanabilidad</w:t>
      </w:r>
    </w:p>
    <w:p w14:paraId="5DE446F3" w14:textId="77777777" w:rsidR="00290D2C" w:rsidRDefault="00290D2C" w:rsidP="009049CA">
      <w:pPr>
        <w:spacing w:after="0"/>
        <w:jc w:val="both"/>
        <w:rPr>
          <w:rFonts w:ascii="Arial" w:eastAsia="Geomanist Light" w:hAnsi="Arial" w:cs="Arial"/>
          <w:b/>
          <w:bCs/>
          <w:color w:val="000000" w:themeColor="text1"/>
          <w:lang w:val="es-ES"/>
        </w:rPr>
      </w:pPr>
    </w:p>
    <w:p w14:paraId="2C61CB2B" w14:textId="4B3FDCAB" w:rsidR="00290D2C" w:rsidRDefault="00290D2C" w:rsidP="00290D2C">
      <w:pPr>
        <w:spacing w:after="0"/>
        <w:jc w:val="both"/>
        <w:rPr>
          <w:rFonts w:ascii="Arial" w:eastAsia="Geomanist Light" w:hAnsi="Arial" w:cs="Arial"/>
          <w:color w:val="000000" w:themeColor="text1"/>
          <w:sz w:val="20"/>
          <w:szCs w:val="20"/>
          <w:lang w:val="es-ES"/>
        </w:rPr>
      </w:pPr>
      <w:r w:rsidRPr="00290D2C">
        <w:rPr>
          <w:rFonts w:ascii="Arial" w:eastAsia="Geomanist Light" w:hAnsi="Arial" w:cs="Arial"/>
          <w:color w:val="000000" w:themeColor="text1"/>
          <w:sz w:val="20"/>
          <w:szCs w:val="20"/>
          <w:lang w:val="es-ES"/>
        </w:rPr>
        <w:t>El artículo 5 de la Ley 1882 de 2018, que adicionó el parágrafo 3 al artículo 5 de la Ley 1150 de 2007, proscribe la subsanabilidad de la garantía de seriedad cuando esta no fue entregada junto con la propuesta y que esto será causal de rechazo</w:t>
      </w:r>
      <w:r>
        <w:rPr>
          <w:rFonts w:ascii="Arial" w:eastAsia="Geomanist Light" w:hAnsi="Arial" w:cs="Arial"/>
          <w:color w:val="000000" w:themeColor="text1"/>
          <w:sz w:val="20"/>
          <w:szCs w:val="20"/>
          <w:lang w:val="es-ES"/>
        </w:rPr>
        <w:t>.</w:t>
      </w:r>
    </w:p>
    <w:p w14:paraId="0FF01AAB" w14:textId="77777777" w:rsidR="00290D2C" w:rsidRPr="00290D2C" w:rsidRDefault="00290D2C" w:rsidP="00290D2C">
      <w:pPr>
        <w:spacing w:after="0"/>
        <w:jc w:val="both"/>
        <w:rPr>
          <w:rFonts w:ascii="Arial" w:eastAsia="Geomanist Light" w:hAnsi="Arial" w:cs="Arial"/>
          <w:color w:val="000000" w:themeColor="text1"/>
          <w:sz w:val="20"/>
          <w:szCs w:val="20"/>
          <w:lang w:val="es-ES"/>
        </w:rPr>
      </w:pPr>
    </w:p>
    <w:p w14:paraId="45EC7B16" w14:textId="3EBC06DD" w:rsidR="00290D2C" w:rsidRPr="00290D2C" w:rsidRDefault="00290D2C" w:rsidP="00290D2C">
      <w:pPr>
        <w:spacing w:after="0"/>
        <w:jc w:val="both"/>
        <w:rPr>
          <w:rFonts w:ascii="Arial" w:eastAsia="Geomanist Light" w:hAnsi="Arial" w:cs="Arial"/>
          <w:color w:val="000000" w:themeColor="text1"/>
          <w:sz w:val="20"/>
          <w:szCs w:val="20"/>
          <w:lang w:val="es-ES"/>
        </w:rPr>
      </w:pPr>
      <w:r w:rsidRPr="00290D2C">
        <w:rPr>
          <w:rFonts w:ascii="Arial" w:eastAsia="Geomanist Light" w:hAnsi="Arial" w:cs="Arial"/>
          <w:color w:val="000000" w:themeColor="text1"/>
          <w:sz w:val="20"/>
          <w:szCs w:val="20"/>
          <w:lang w:val="es-ES"/>
        </w:rPr>
        <w:t>De acuerdo con la Gaceta No. 605 del 2016, era necesario eliminar la posibilidad de subsanar la garantía de seriedad hasta antes de la adjudicación del contrato, porque si no se presentaba de manera concomitante con la oferta, en el evento que el proponente retirara su propuesta si la entidad no contaba con la póliza, no podía reclamarle por los perjuicios a ella generados y, por lo tanto, se vería afectado el proceso de selección del proceso de contratación</w:t>
      </w:r>
    </w:p>
    <w:p w14:paraId="59345C75" w14:textId="77777777" w:rsidR="005D331F" w:rsidRDefault="005D331F" w:rsidP="009049CA">
      <w:pPr>
        <w:spacing w:after="0" w:line="240" w:lineRule="auto"/>
        <w:jc w:val="both"/>
        <w:rPr>
          <w:rFonts w:ascii="Arial" w:eastAsia="Calibri" w:hAnsi="Arial" w:cs="Arial"/>
          <w:sz w:val="20"/>
          <w:szCs w:val="20"/>
          <w:lang w:val="es-ES"/>
        </w:rPr>
      </w:pPr>
    </w:p>
    <w:p w14:paraId="50753816" w14:textId="77777777" w:rsidR="005D331F" w:rsidRPr="004832A8" w:rsidRDefault="005D331F" w:rsidP="005D331F">
      <w:pPr>
        <w:spacing w:after="0" w:line="240" w:lineRule="auto"/>
        <w:contextualSpacing/>
        <w:rPr>
          <w:rFonts w:ascii="Arial" w:eastAsia="Geomanist Light" w:hAnsi="Arial" w:cs="Arial"/>
          <w:b/>
          <w:bCs/>
          <w:color w:val="000000" w:themeColor="text1"/>
          <w:lang w:val="es-MX"/>
        </w:rPr>
      </w:pPr>
      <w:r>
        <w:rPr>
          <w:rFonts w:ascii="Arial" w:eastAsia="Geomanist Light" w:hAnsi="Arial" w:cs="Arial"/>
          <w:b/>
          <w:bCs/>
          <w:color w:val="000000" w:themeColor="text1"/>
          <w:lang w:val="es-MX"/>
        </w:rPr>
        <w:t xml:space="preserve">PRESENTACIÓN DE OFERTAS EN SECOP II – Correcciones </w:t>
      </w:r>
    </w:p>
    <w:p w14:paraId="3BF5754A"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52A174CB" w14:textId="5837C970" w:rsidR="005D331F" w:rsidRPr="00D17270" w:rsidRDefault="005D331F" w:rsidP="005D331F">
      <w:pPr>
        <w:spacing w:after="0" w:line="240" w:lineRule="auto"/>
        <w:contextualSpacing/>
        <w:jc w:val="both"/>
        <w:rPr>
          <w:rFonts w:ascii="Arial" w:eastAsia="Geomanist Light" w:hAnsi="Arial" w:cs="Arial"/>
          <w:color w:val="000000" w:themeColor="text1"/>
          <w:sz w:val="20"/>
          <w:szCs w:val="20"/>
          <w:lang w:val="es-MX"/>
        </w:rPr>
      </w:pPr>
      <w:r>
        <w:rPr>
          <w:rFonts w:ascii="Arial" w:eastAsia="Geomanist Light" w:hAnsi="Arial" w:cs="Arial"/>
          <w:color w:val="000000" w:themeColor="text1"/>
          <w:sz w:val="20"/>
          <w:szCs w:val="20"/>
          <w:lang w:val="es-MX"/>
        </w:rPr>
        <w:t xml:space="preserve">[…] </w:t>
      </w:r>
      <w:r w:rsidRPr="00D17270">
        <w:rPr>
          <w:rFonts w:ascii="Arial" w:eastAsia="Geomanist Light" w:hAnsi="Arial" w:cs="Arial"/>
          <w:color w:val="000000" w:themeColor="text1"/>
          <w:sz w:val="20"/>
          <w:szCs w:val="20"/>
          <w:lang w:val="es-MX"/>
        </w:rPr>
        <w:t xml:space="preserve">los oferentes al momento de crear y presentar sus ofertas en un proceso de contratación en el SECOP II, deberán tener en cuenta que este comprende desde la edición del formulario electrónico de la oferta, hasta la aceptación de los términos y condiciones. De igual forma, esta plataforma controla que la presentación de las ofertas se realice hasta la fecha límite establecida para ello por la Entidad Estatal. Por ende, el SECOP II le permitirá al proveedor realizar los ajustes que requiera de su oferta, así como el enviar una nueva versión o retirarla definitivamente, siempre y cuando realice el proceso de edición, </w:t>
      </w:r>
      <w:r w:rsidR="000B5B6E">
        <w:rPr>
          <w:rFonts w:ascii="Arial" w:eastAsia="Geomanist Light" w:hAnsi="Arial" w:cs="Arial"/>
          <w:color w:val="000000" w:themeColor="text1"/>
          <w:sz w:val="20"/>
          <w:szCs w:val="20"/>
          <w:lang w:val="es-MX"/>
        </w:rPr>
        <w:t>“</w:t>
      </w:r>
      <w:r w:rsidRPr="00D17270">
        <w:rPr>
          <w:rFonts w:ascii="Arial" w:eastAsia="Geomanist Light" w:hAnsi="Arial" w:cs="Arial"/>
          <w:color w:val="000000" w:themeColor="text1"/>
          <w:sz w:val="20"/>
          <w:szCs w:val="20"/>
          <w:lang w:val="es-MX"/>
        </w:rPr>
        <w:t>retiro de la oferta anterior y confirmación de la nueva versión o retiro definitivo</w:t>
      </w:r>
      <w:r w:rsidR="000B5B6E">
        <w:rPr>
          <w:rFonts w:ascii="Arial" w:eastAsia="Geomanist Light" w:hAnsi="Arial" w:cs="Arial"/>
          <w:color w:val="000000" w:themeColor="text1"/>
          <w:sz w:val="20"/>
          <w:szCs w:val="20"/>
          <w:lang w:val="es-MX"/>
        </w:rPr>
        <w:t>”</w:t>
      </w:r>
      <w:r w:rsidRPr="00D17270">
        <w:rPr>
          <w:rFonts w:ascii="Arial" w:eastAsia="Geomanist Light" w:hAnsi="Arial" w:cs="Arial"/>
          <w:color w:val="000000" w:themeColor="text1"/>
          <w:sz w:val="20"/>
          <w:szCs w:val="20"/>
          <w:lang w:val="es-MX"/>
        </w:rPr>
        <w:t>, antes del vencimiento del plazo para la presentación de la misma.</w:t>
      </w:r>
    </w:p>
    <w:p w14:paraId="170A7294"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06DA61A6"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02E0D488"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064613DE"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4974D071"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216D50A4"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79BB66B6"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25604ABB"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7A1FB016"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2CB33920"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72A34149"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4CEC1285" w14:textId="77777777" w:rsidR="005D331F" w:rsidRPr="00482CF9" w:rsidRDefault="005D331F" w:rsidP="00D273DE">
      <w:pPr>
        <w:spacing w:after="0" w:line="240" w:lineRule="auto"/>
        <w:contextualSpacing/>
        <w:rPr>
          <w:rFonts w:ascii="Arial" w:eastAsia="Times New Roman" w:hAnsi="Arial" w:cs="Arial"/>
          <w:lang w:eastAsia="es-MX"/>
        </w:rPr>
      </w:pPr>
    </w:p>
    <w:p w14:paraId="178F52E9" w14:textId="77777777" w:rsidR="005D331F" w:rsidRPr="00482CF9" w:rsidRDefault="005D331F" w:rsidP="005D331F">
      <w:pPr>
        <w:spacing w:after="0" w:line="240" w:lineRule="auto"/>
        <w:contextualSpacing/>
        <w:jc w:val="right"/>
        <w:rPr>
          <w:rFonts w:ascii="Arial" w:eastAsia="Times New Roman" w:hAnsi="Arial" w:cs="Arial"/>
          <w:lang w:eastAsia="es-MX"/>
        </w:rPr>
      </w:pPr>
    </w:p>
    <w:p w14:paraId="30E097FA" w14:textId="6D2791BF" w:rsidR="00A61059" w:rsidRDefault="00A61059" w:rsidP="00A61059">
      <w:pPr>
        <w:spacing w:after="0" w:line="240" w:lineRule="auto"/>
        <w:contextualSpacing/>
        <w:jc w:val="right"/>
        <w:rPr>
          <w:rFonts w:ascii="Arial" w:eastAsia="Calibri" w:hAnsi="Arial" w:cs="Arial"/>
          <w:color w:val="000000"/>
          <w:lang w:val="es-ES_tradnl" w:eastAsia="es-ES_tradnl"/>
        </w:rPr>
      </w:pPr>
      <w:bookmarkStart w:id="1" w:name="_Hlk100051121"/>
      <w:r w:rsidRPr="00A61059">
        <w:rPr>
          <w:rFonts w:ascii="Arial" w:eastAsia="Calibri" w:hAnsi="Arial" w:cs="Arial"/>
          <w:noProof/>
          <w:color w:val="000000"/>
          <w:lang w:val="es-ES_tradnl" w:eastAsia="es-ES_tradnl"/>
        </w:rPr>
        <w:drawing>
          <wp:inline distT="0" distB="0" distL="0" distR="0" wp14:anchorId="08C9B2F5" wp14:editId="1B3FB71F">
            <wp:extent cx="2825261" cy="8674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200" cy="869233"/>
                    </a:xfrm>
                    <a:prstGeom prst="rect">
                      <a:avLst/>
                    </a:prstGeom>
                    <a:noFill/>
                    <a:ln>
                      <a:noFill/>
                    </a:ln>
                  </pic:spPr>
                </pic:pic>
              </a:graphicData>
            </a:graphic>
          </wp:inline>
        </w:drawing>
      </w:r>
    </w:p>
    <w:p w14:paraId="4AD45E73" w14:textId="77777777" w:rsidR="00A61059" w:rsidRDefault="00A61059" w:rsidP="005D331F">
      <w:pPr>
        <w:spacing w:after="0" w:line="240" w:lineRule="auto"/>
        <w:contextualSpacing/>
        <w:jc w:val="both"/>
        <w:rPr>
          <w:rFonts w:ascii="Arial" w:eastAsia="Calibri" w:hAnsi="Arial" w:cs="Arial"/>
          <w:color w:val="000000"/>
          <w:lang w:val="es-ES_tradnl" w:eastAsia="es-ES_tradnl"/>
        </w:rPr>
      </w:pPr>
    </w:p>
    <w:p w14:paraId="17C4348A" w14:textId="77777777" w:rsidR="00A61059" w:rsidRDefault="00A61059" w:rsidP="005D331F">
      <w:pPr>
        <w:spacing w:after="0" w:line="240" w:lineRule="auto"/>
        <w:contextualSpacing/>
        <w:jc w:val="both"/>
        <w:rPr>
          <w:rFonts w:ascii="Arial" w:eastAsia="Calibri" w:hAnsi="Arial" w:cs="Arial"/>
          <w:color w:val="000000"/>
          <w:lang w:val="es-ES_tradnl" w:eastAsia="es-ES_tradnl"/>
        </w:rPr>
      </w:pPr>
    </w:p>
    <w:p w14:paraId="3C2C2B8C" w14:textId="77777777" w:rsidR="00A61059" w:rsidRDefault="00A61059" w:rsidP="005D331F">
      <w:pPr>
        <w:spacing w:after="0" w:line="240" w:lineRule="auto"/>
        <w:contextualSpacing/>
        <w:jc w:val="both"/>
        <w:rPr>
          <w:rFonts w:ascii="Arial" w:eastAsia="Calibri" w:hAnsi="Arial" w:cs="Arial"/>
          <w:color w:val="000000"/>
          <w:lang w:val="es-ES_tradnl" w:eastAsia="es-ES_tradnl"/>
        </w:rPr>
      </w:pPr>
    </w:p>
    <w:p w14:paraId="706C6FE9" w14:textId="5D205365" w:rsidR="005D331F" w:rsidRPr="00482CF9" w:rsidRDefault="005D331F" w:rsidP="005D331F">
      <w:pPr>
        <w:spacing w:after="0" w:line="240" w:lineRule="auto"/>
        <w:contextualSpacing/>
        <w:jc w:val="both"/>
        <w:rPr>
          <w:rFonts w:ascii="Arial" w:eastAsia="Calibri" w:hAnsi="Arial" w:cs="Arial"/>
          <w:color w:val="000000"/>
          <w:lang w:val="es-ES_tradnl" w:eastAsia="es-ES_tradnl"/>
        </w:rPr>
      </w:pPr>
      <w:r w:rsidRPr="00482CF9">
        <w:rPr>
          <w:rFonts w:ascii="Arial" w:eastAsia="Calibri" w:hAnsi="Arial" w:cs="Arial"/>
          <w:color w:val="000000"/>
          <w:lang w:val="es-ES_tradnl" w:eastAsia="es-ES_tradnl"/>
        </w:rPr>
        <w:t>Señor</w:t>
      </w:r>
      <w:r w:rsidR="00F77EBD">
        <w:rPr>
          <w:rFonts w:ascii="Arial" w:eastAsia="Calibri" w:hAnsi="Arial" w:cs="Arial"/>
          <w:color w:val="000000"/>
          <w:lang w:val="es-ES_tradnl" w:eastAsia="es-ES_tradnl"/>
        </w:rPr>
        <w:t>a</w:t>
      </w:r>
    </w:p>
    <w:p w14:paraId="285E9963" w14:textId="5DAECA1F" w:rsidR="00F77EBD" w:rsidRPr="00482CF9" w:rsidRDefault="00F77EBD" w:rsidP="005D331F">
      <w:pPr>
        <w:tabs>
          <w:tab w:val="center" w:pos="4394"/>
        </w:tabs>
        <w:spacing w:after="0" w:line="240" w:lineRule="auto"/>
        <w:contextualSpacing/>
        <w:jc w:val="both"/>
        <w:rPr>
          <w:rFonts w:ascii="Arial" w:eastAsia="Calibri" w:hAnsi="Arial" w:cs="Arial"/>
          <w:b/>
          <w:color w:val="000000"/>
          <w:lang w:val="es-ES_tradnl" w:eastAsia="es-ES_tradnl"/>
        </w:rPr>
      </w:pPr>
      <w:r>
        <w:rPr>
          <w:rFonts w:ascii="Arial" w:eastAsia="Calibri" w:hAnsi="Arial" w:cs="Arial"/>
          <w:b/>
          <w:color w:val="000000"/>
          <w:lang w:val="es-ES_tradnl" w:eastAsia="es-ES_tradnl"/>
        </w:rPr>
        <w:t xml:space="preserve">Jacqueliene Henao Naranjo </w:t>
      </w:r>
    </w:p>
    <w:p w14:paraId="3A8D34FE" w14:textId="111A8A53" w:rsidR="005D331F" w:rsidRPr="00482CF9" w:rsidRDefault="00A61059" w:rsidP="005D331F">
      <w:pPr>
        <w:tabs>
          <w:tab w:val="center" w:pos="4394"/>
        </w:tabs>
        <w:spacing w:after="0" w:line="240" w:lineRule="auto"/>
        <w:contextualSpacing/>
        <w:jc w:val="both"/>
        <w:rPr>
          <w:rFonts w:ascii="Arial" w:eastAsia="Calibri" w:hAnsi="Arial" w:cs="Arial"/>
          <w:bCs/>
          <w:color w:val="000000"/>
          <w:lang w:val="es-ES_tradnl" w:eastAsia="es-ES_tradnl"/>
        </w:rPr>
      </w:pPr>
      <w:hyperlink r:id="rId11" w:history="1">
        <w:r w:rsidR="00F77EBD" w:rsidRPr="009F26E4">
          <w:rPr>
            <w:rStyle w:val="Hipervnculo"/>
            <w:rFonts w:ascii="Arial" w:eastAsia="Calibri" w:hAnsi="Arial" w:cs="Arial"/>
            <w:bCs/>
            <w:lang w:val="es-ES_tradnl" w:eastAsia="es-ES_tradnl"/>
          </w:rPr>
          <w:t>Jacquehenao@gmail.com</w:t>
        </w:r>
      </w:hyperlink>
      <w:r w:rsidR="00F77EBD">
        <w:rPr>
          <w:rFonts w:ascii="Arial" w:eastAsia="Calibri" w:hAnsi="Arial" w:cs="Arial"/>
          <w:bCs/>
          <w:color w:val="000000"/>
          <w:lang w:val="es-ES_tradnl" w:eastAsia="es-ES_tradnl"/>
        </w:rPr>
        <w:t xml:space="preserve"> </w:t>
      </w:r>
    </w:p>
    <w:p w14:paraId="5636D109" w14:textId="59C18C2B" w:rsidR="005D331F" w:rsidRPr="00482CF9" w:rsidRDefault="007A24BE" w:rsidP="005D331F">
      <w:pPr>
        <w:spacing w:after="0" w:line="240" w:lineRule="auto"/>
        <w:contextualSpacing/>
        <w:rPr>
          <w:rFonts w:ascii="Arial" w:eastAsia="Calibri" w:hAnsi="Arial" w:cs="Arial"/>
          <w:b/>
          <w:bCs/>
          <w:color w:val="000000"/>
          <w:lang w:val="es-ES_tradnl" w:eastAsia="es-ES_tradnl"/>
        </w:rPr>
      </w:pPr>
      <w:r>
        <w:rPr>
          <w:rFonts w:ascii="Arial" w:eastAsia="Calibri" w:hAnsi="Arial" w:cs="Arial"/>
          <w:bCs/>
          <w:color w:val="000000"/>
          <w:lang w:val="es-ES_tradnl" w:eastAsia="es-ES_tradnl"/>
        </w:rPr>
        <w:t xml:space="preserve">Ciudad </w:t>
      </w:r>
    </w:p>
    <w:p w14:paraId="0FFE1B2B" w14:textId="77777777" w:rsidR="005D331F" w:rsidRPr="00482CF9" w:rsidRDefault="005D331F" w:rsidP="005D331F">
      <w:pPr>
        <w:spacing w:after="0" w:line="240" w:lineRule="auto"/>
        <w:contextualSpacing/>
        <w:rPr>
          <w:rFonts w:ascii="Arial" w:eastAsia="Calibri" w:hAnsi="Arial" w:cs="Arial"/>
          <w:b/>
          <w:bCs/>
          <w:color w:val="000000"/>
          <w:lang w:val="es-ES_tradnl" w:eastAsia="es-ES_tradnl"/>
        </w:rPr>
      </w:pPr>
    </w:p>
    <w:p w14:paraId="2264EC62" w14:textId="033A0CB1" w:rsidR="005D331F" w:rsidRPr="00482CF9" w:rsidRDefault="005D331F" w:rsidP="005D331F">
      <w:pPr>
        <w:spacing w:after="0" w:line="240" w:lineRule="auto"/>
        <w:contextualSpacing/>
        <w:rPr>
          <w:rFonts w:ascii="Arial" w:eastAsia="Calibri" w:hAnsi="Arial" w:cs="Arial"/>
          <w:b/>
          <w:bCs/>
          <w:color w:val="000000"/>
          <w:lang w:val="es-ES_tradnl" w:eastAsia="es-ES_tradnl"/>
        </w:rPr>
      </w:pPr>
      <w:r w:rsidRPr="00482CF9">
        <w:rPr>
          <w:rFonts w:ascii="Arial" w:eastAsia="Calibri" w:hAnsi="Arial" w:cs="Arial"/>
          <w:b/>
          <w:bCs/>
          <w:color w:val="000000"/>
          <w:lang w:val="es-ES_tradnl" w:eastAsia="es-ES_tradnl"/>
        </w:rPr>
        <w:t xml:space="preserve">                                            Concepto C – </w:t>
      </w:r>
      <w:r w:rsidR="00F77EBD">
        <w:rPr>
          <w:rFonts w:ascii="Arial" w:eastAsia="Calibri" w:hAnsi="Arial" w:cs="Arial"/>
          <w:b/>
          <w:bCs/>
          <w:color w:val="000000"/>
          <w:lang w:val="es-ES_tradnl" w:eastAsia="es-ES_tradnl"/>
        </w:rPr>
        <w:t>082</w:t>
      </w:r>
      <w:r w:rsidRPr="00482CF9">
        <w:rPr>
          <w:rFonts w:ascii="Arial" w:eastAsia="Calibri" w:hAnsi="Arial" w:cs="Arial"/>
          <w:b/>
          <w:bCs/>
          <w:color w:val="000000"/>
          <w:lang w:val="es-ES_tradnl" w:eastAsia="es-ES_tradnl"/>
        </w:rPr>
        <w:t xml:space="preserve"> de 202</w:t>
      </w:r>
      <w:r w:rsidR="00C02E33">
        <w:rPr>
          <w:rFonts w:ascii="Arial" w:eastAsia="Calibri" w:hAnsi="Arial" w:cs="Arial"/>
          <w:b/>
          <w:bCs/>
          <w:color w:val="000000"/>
          <w:lang w:val="es-ES_tradnl" w:eastAsia="es-ES_tradnl"/>
        </w:rPr>
        <w:t>3</w:t>
      </w:r>
    </w:p>
    <w:p w14:paraId="14CD2214" w14:textId="77777777" w:rsidR="005D331F" w:rsidRPr="00482CF9" w:rsidRDefault="005D331F" w:rsidP="005D331F">
      <w:pPr>
        <w:spacing w:after="0" w:line="240" w:lineRule="auto"/>
        <w:contextualSpacing/>
        <w:rPr>
          <w:rFonts w:ascii="Arial" w:eastAsia="Calibri" w:hAnsi="Arial" w:cs="Arial"/>
          <w:b/>
          <w:bCs/>
          <w:color w:val="000000"/>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D331F" w:rsidRPr="00482CF9" w14:paraId="2DBD5787" w14:textId="77777777" w:rsidTr="009E204D">
        <w:trPr>
          <w:trHeight w:val="884"/>
        </w:trPr>
        <w:tc>
          <w:tcPr>
            <w:tcW w:w="2689" w:type="dxa"/>
          </w:tcPr>
          <w:p w14:paraId="1CA10EC4" w14:textId="77777777" w:rsidR="005D331F" w:rsidRPr="008706CC" w:rsidRDefault="005D331F" w:rsidP="009E204D">
            <w:pPr>
              <w:contextualSpacing/>
              <w:jc w:val="both"/>
              <w:rPr>
                <w:rFonts w:ascii="Arial" w:eastAsia="Calibri" w:hAnsi="Arial" w:cs="Arial"/>
                <w:color w:val="000000"/>
                <w:lang w:val="es-ES_tradnl" w:eastAsia="es-ES_tradnl"/>
              </w:rPr>
            </w:pPr>
            <w:r w:rsidRPr="008706CC">
              <w:rPr>
                <w:rFonts w:ascii="Arial" w:eastAsia="Calibri" w:hAnsi="Arial" w:cs="Arial"/>
                <w:b/>
                <w:color w:val="000000"/>
                <w:lang w:val="es-ES_tradnl" w:eastAsia="es-ES_tradnl"/>
              </w:rPr>
              <w:t>Temas:</w:t>
            </w:r>
            <w:r w:rsidRPr="008706CC">
              <w:rPr>
                <w:rFonts w:ascii="Arial" w:eastAsia="Calibri" w:hAnsi="Arial" w:cs="Arial"/>
                <w:color w:val="000000"/>
                <w:lang w:val="es-ES_tradnl" w:eastAsia="es-ES_tradnl"/>
              </w:rPr>
              <w:t xml:space="preserve">                   </w:t>
            </w:r>
          </w:p>
        </w:tc>
        <w:tc>
          <w:tcPr>
            <w:tcW w:w="6237" w:type="dxa"/>
          </w:tcPr>
          <w:p w14:paraId="69C04334" w14:textId="77777777" w:rsidR="005D331F" w:rsidRPr="008706CC" w:rsidRDefault="005D331F" w:rsidP="009E204D">
            <w:pPr>
              <w:contextualSpacing/>
              <w:jc w:val="both"/>
              <w:rPr>
                <w:rFonts w:ascii="Arial" w:eastAsia="Calibri" w:hAnsi="Arial" w:cs="Arial"/>
                <w:color w:val="000000"/>
                <w:lang w:val="es-ES_tradnl" w:eastAsia="es-ES_tradnl"/>
              </w:rPr>
            </w:pPr>
          </w:p>
          <w:p w14:paraId="0FDEFF1B" w14:textId="60992007" w:rsidR="005D331F" w:rsidRDefault="005D331F" w:rsidP="009E204D">
            <w:pPr>
              <w:contextualSpacing/>
              <w:jc w:val="both"/>
              <w:rPr>
                <w:rFonts w:ascii="Arial" w:eastAsia="Calibri" w:hAnsi="Arial" w:cs="Arial"/>
                <w:color w:val="000000"/>
                <w:lang w:val="es-ES_tradnl" w:eastAsia="es-ES_tradnl"/>
              </w:rPr>
            </w:pPr>
            <w:r w:rsidRPr="008706CC">
              <w:rPr>
                <w:rFonts w:ascii="Arial" w:eastAsia="Calibri" w:hAnsi="Arial" w:cs="Arial"/>
                <w:color w:val="000000"/>
                <w:lang w:val="es-ES_tradnl" w:eastAsia="es-ES_tradnl"/>
              </w:rPr>
              <w:t>CONCURSO DE MÉRITOS – Concepto – Modalidades / CONCURSO DE MÉRITOS</w:t>
            </w:r>
            <w:r>
              <w:rPr>
                <w:rFonts w:ascii="Arial" w:eastAsia="Calibri" w:hAnsi="Arial" w:cs="Arial"/>
                <w:color w:val="000000"/>
                <w:lang w:val="es-ES_tradnl" w:eastAsia="es-ES_tradnl"/>
              </w:rPr>
              <w:t xml:space="preserve"> –</w:t>
            </w:r>
            <w:r w:rsidRPr="008706CC">
              <w:rPr>
                <w:rFonts w:ascii="Arial" w:eastAsia="Calibri" w:hAnsi="Arial" w:cs="Arial"/>
                <w:color w:val="000000"/>
                <w:lang w:val="es-ES_tradnl" w:eastAsia="es-ES_tradnl"/>
              </w:rPr>
              <w:t xml:space="preserve"> Decreto 1082 de 2015 – Artículo 2.2.1.2.1.3.2 – Suspensión provisional / CONCURSO DE MÉRITOS –</w:t>
            </w:r>
            <w:r>
              <w:rPr>
                <w:rFonts w:ascii="Arial" w:eastAsia="Calibri" w:hAnsi="Arial" w:cs="Arial"/>
                <w:color w:val="000000"/>
                <w:lang w:val="es-ES_tradnl" w:eastAsia="es-ES_tradnl"/>
              </w:rPr>
              <w:t xml:space="preserve"> Modificación –</w:t>
            </w:r>
            <w:r w:rsidRPr="008706CC">
              <w:rPr>
                <w:rFonts w:ascii="Arial" w:eastAsia="Calibri" w:hAnsi="Arial" w:cs="Arial"/>
                <w:color w:val="000000"/>
                <w:lang w:val="es-ES_tradnl" w:eastAsia="es-ES_tradnl"/>
              </w:rPr>
              <w:t xml:space="preserve"> Decreto 399 de 2021 – Artículo 2 / SUBSANIBILIDAD DE LAS OFERTAS – Principio de selección objetiva – Ley 1882 de 2018 – Ámbito temporal </w:t>
            </w:r>
            <w:r w:rsidR="00D273DE">
              <w:rPr>
                <w:rFonts w:ascii="Arial" w:eastAsia="Calibri" w:hAnsi="Arial" w:cs="Arial"/>
                <w:color w:val="000000"/>
                <w:lang w:val="es-ES_tradnl" w:eastAsia="es-ES_tradnl"/>
              </w:rPr>
              <w:t>/ GARANTÍA</w:t>
            </w:r>
            <w:r w:rsidR="00D273DE" w:rsidRPr="00D273DE">
              <w:rPr>
                <w:rFonts w:ascii="Arial" w:eastAsia="Calibri" w:hAnsi="Arial" w:cs="Arial"/>
                <w:color w:val="000000"/>
                <w:lang w:val="es-ES_tradnl" w:eastAsia="es-ES_tradnl"/>
              </w:rPr>
              <w:t xml:space="preserve"> DE SERIEDAD – Alcance de la Subsanabilidad</w:t>
            </w:r>
            <w:r w:rsidR="00D273DE">
              <w:rPr>
                <w:rFonts w:ascii="Arial" w:eastAsia="Calibri" w:hAnsi="Arial" w:cs="Arial"/>
                <w:color w:val="000000"/>
                <w:lang w:val="es-ES_tradnl" w:eastAsia="es-ES_tradnl"/>
              </w:rPr>
              <w:t xml:space="preserve"> / </w:t>
            </w:r>
            <w:r>
              <w:rPr>
                <w:rFonts w:ascii="Arial" w:eastAsia="Calibri" w:hAnsi="Arial" w:cs="Arial"/>
                <w:color w:val="000000"/>
                <w:lang w:val="es-ES_tradnl" w:eastAsia="es-ES_tradnl"/>
              </w:rPr>
              <w:t>PRESENTACIÓN DE OFERTAS EN SECOP II – Correcciones</w:t>
            </w:r>
          </w:p>
          <w:p w14:paraId="78ED60C8" w14:textId="77777777" w:rsidR="005D331F" w:rsidRPr="008706CC" w:rsidRDefault="005D331F" w:rsidP="009E204D">
            <w:pPr>
              <w:contextualSpacing/>
              <w:jc w:val="both"/>
              <w:rPr>
                <w:rFonts w:ascii="Arial" w:eastAsia="Calibri" w:hAnsi="Arial" w:cs="Arial"/>
                <w:color w:val="000000"/>
                <w:lang w:val="es-ES_tradnl" w:eastAsia="es-ES_tradnl"/>
              </w:rPr>
            </w:pPr>
          </w:p>
          <w:p w14:paraId="45A6DEC7" w14:textId="77777777" w:rsidR="005D331F" w:rsidRPr="008706CC" w:rsidRDefault="005D331F" w:rsidP="009E204D">
            <w:pPr>
              <w:contextualSpacing/>
              <w:jc w:val="both"/>
              <w:rPr>
                <w:rFonts w:ascii="Arial" w:eastAsia="Calibri" w:hAnsi="Arial" w:cs="Arial"/>
                <w:bCs/>
                <w:lang w:val="es-ES_tradnl" w:eastAsia="es-ES_tradnl"/>
              </w:rPr>
            </w:pPr>
          </w:p>
        </w:tc>
      </w:tr>
      <w:tr w:rsidR="005D331F" w:rsidRPr="00482CF9" w14:paraId="5A86F4DD" w14:textId="77777777" w:rsidTr="009E204D">
        <w:tc>
          <w:tcPr>
            <w:tcW w:w="2689" w:type="dxa"/>
          </w:tcPr>
          <w:p w14:paraId="53D3AAB6" w14:textId="77777777" w:rsidR="005D331F" w:rsidRPr="00482CF9" w:rsidRDefault="005D331F" w:rsidP="009E204D">
            <w:pPr>
              <w:contextualSpacing/>
              <w:jc w:val="both"/>
              <w:rPr>
                <w:rFonts w:ascii="Arial" w:eastAsia="Calibri" w:hAnsi="Arial" w:cs="Arial"/>
                <w:b/>
                <w:color w:val="000000"/>
                <w:lang w:val="es-ES_tradnl" w:eastAsia="es-ES_tradnl"/>
              </w:rPr>
            </w:pPr>
            <w:r w:rsidRPr="00482CF9">
              <w:rPr>
                <w:rFonts w:ascii="Arial" w:eastAsia="Calibri" w:hAnsi="Arial" w:cs="Arial"/>
                <w:b/>
                <w:color w:val="000000"/>
                <w:lang w:val="es-ES_tradnl" w:eastAsia="es-ES_tradnl"/>
              </w:rPr>
              <w:t>Radicación:</w:t>
            </w:r>
            <w:r w:rsidRPr="00482CF9">
              <w:rPr>
                <w:rFonts w:ascii="Arial" w:eastAsia="Calibri" w:hAnsi="Arial" w:cs="Arial"/>
                <w:color w:val="000000"/>
                <w:lang w:val="es-ES_tradnl" w:eastAsia="es-ES_tradnl"/>
              </w:rPr>
              <w:t xml:space="preserve">               </w:t>
            </w:r>
          </w:p>
        </w:tc>
        <w:tc>
          <w:tcPr>
            <w:tcW w:w="6237" w:type="dxa"/>
          </w:tcPr>
          <w:p w14:paraId="7A48EBB2" w14:textId="77F25DE7" w:rsidR="005D331F" w:rsidRPr="00482CF9" w:rsidRDefault="005D331F" w:rsidP="009E204D">
            <w:pPr>
              <w:contextualSpacing/>
              <w:jc w:val="both"/>
              <w:rPr>
                <w:rFonts w:ascii="Arial" w:eastAsia="Calibri" w:hAnsi="Arial" w:cs="Arial"/>
                <w:color w:val="000000"/>
                <w:lang w:val="es-ES_tradnl" w:eastAsia="es-ES_tradnl"/>
              </w:rPr>
            </w:pPr>
            <w:r w:rsidRPr="00482CF9">
              <w:rPr>
                <w:rFonts w:ascii="Arial" w:eastAsia="Calibri" w:hAnsi="Arial" w:cs="Arial"/>
                <w:color w:val="000000"/>
                <w:lang w:val="es-ES_tradnl" w:eastAsia="es-ES_tradnl"/>
              </w:rPr>
              <w:t>Respuesta a consulta P202</w:t>
            </w:r>
            <w:r w:rsidR="00F77EBD">
              <w:rPr>
                <w:rFonts w:ascii="Arial" w:eastAsia="Calibri" w:hAnsi="Arial" w:cs="Arial"/>
                <w:color w:val="000000"/>
                <w:lang w:val="es-ES_tradnl" w:eastAsia="es-ES_tradnl"/>
              </w:rPr>
              <w:t>30303002014</w:t>
            </w:r>
            <w:r w:rsidRPr="00482CF9">
              <w:rPr>
                <w:rFonts w:ascii="Arial" w:eastAsia="Calibri" w:hAnsi="Arial" w:cs="Arial"/>
                <w:color w:val="000000"/>
                <w:lang w:val="es-ES_tradnl" w:eastAsia="es-ES_tradnl"/>
              </w:rPr>
              <w:tab/>
            </w:r>
          </w:p>
        </w:tc>
      </w:tr>
    </w:tbl>
    <w:p w14:paraId="066C9D07" w14:textId="77777777" w:rsidR="005D331F" w:rsidRPr="00482CF9" w:rsidRDefault="005D331F" w:rsidP="005D331F">
      <w:pPr>
        <w:spacing w:after="0" w:line="240" w:lineRule="auto"/>
        <w:contextualSpacing/>
        <w:jc w:val="both"/>
        <w:rPr>
          <w:rFonts w:ascii="Arial" w:eastAsia="Calibri" w:hAnsi="Arial" w:cs="Arial"/>
          <w:color w:val="000000"/>
          <w:lang w:val="es-ES_tradnl" w:eastAsia="es-ES_tradnl"/>
        </w:rPr>
      </w:pPr>
    </w:p>
    <w:p w14:paraId="0FD0C7C0" w14:textId="77777777" w:rsidR="005D331F" w:rsidRPr="00482CF9" w:rsidRDefault="005D331F" w:rsidP="005D331F">
      <w:pPr>
        <w:spacing w:after="0" w:line="240" w:lineRule="auto"/>
        <w:contextualSpacing/>
        <w:jc w:val="both"/>
        <w:rPr>
          <w:rFonts w:ascii="Arial" w:eastAsia="Calibri" w:hAnsi="Arial" w:cs="Arial"/>
          <w:color w:val="000000"/>
          <w:lang w:val="es-ES_tradnl" w:eastAsia="es-ES_tradnl"/>
        </w:rPr>
      </w:pPr>
    </w:p>
    <w:p w14:paraId="578BB8B0" w14:textId="0AD6873A" w:rsidR="005D331F" w:rsidRPr="00482CF9" w:rsidRDefault="005D331F" w:rsidP="005D331F">
      <w:pPr>
        <w:spacing w:after="0" w:line="240" w:lineRule="auto"/>
        <w:jc w:val="both"/>
        <w:rPr>
          <w:rFonts w:ascii="Arial" w:eastAsia="Calibri" w:hAnsi="Arial" w:cs="Arial"/>
          <w:color w:val="000000"/>
          <w:lang w:val="es-ES_tradnl" w:eastAsia="es-ES_tradnl"/>
        </w:rPr>
      </w:pPr>
      <w:r w:rsidRPr="00482CF9">
        <w:rPr>
          <w:rFonts w:ascii="Arial" w:eastAsia="Calibri" w:hAnsi="Arial" w:cs="Arial"/>
          <w:color w:val="000000"/>
          <w:lang w:val="es-ES_tradnl" w:eastAsia="es-ES_tradnl"/>
        </w:rPr>
        <w:t>Estimad</w:t>
      </w:r>
      <w:r w:rsidR="007A24BE">
        <w:rPr>
          <w:rFonts w:ascii="Arial" w:eastAsia="Calibri" w:hAnsi="Arial" w:cs="Arial"/>
          <w:color w:val="000000"/>
          <w:lang w:val="es-ES_tradnl" w:eastAsia="es-ES_tradnl"/>
        </w:rPr>
        <w:t>a</w:t>
      </w:r>
      <w:r w:rsidRPr="00482CF9">
        <w:rPr>
          <w:rFonts w:ascii="Arial" w:eastAsia="Calibri" w:hAnsi="Arial" w:cs="Arial"/>
          <w:color w:val="000000"/>
          <w:lang w:val="es-ES_tradnl" w:eastAsia="es-ES_tradnl"/>
        </w:rPr>
        <w:t xml:space="preserve"> señor</w:t>
      </w:r>
      <w:r w:rsidR="007A24BE">
        <w:rPr>
          <w:rFonts w:ascii="Arial" w:eastAsia="Calibri" w:hAnsi="Arial" w:cs="Arial"/>
          <w:color w:val="000000"/>
          <w:lang w:val="es-ES_tradnl" w:eastAsia="es-ES_tradnl"/>
        </w:rPr>
        <w:t>a</w:t>
      </w:r>
      <w:r w:rsidRPr="00482CF9">
        <w:rPr>
          <w:rFonts w:ascii="Arial" w:eastAsia="Calibri" w:hAnsi="Arial" w:cs="Arial"/>
          <w:color w:val="000000"/>
          <w:lang w:val="es-ES_tradnl" w:eastAsia="es-ES_tradnl"/>
        </w:rPr>
        <w:t xml:space="preserve"> </w:t>
      </w:r>
      <w:r w:rsidR="007A24BE">
        <w:rPr>
          <w:rFonts w:ascii="Arial" w:eastAsia="Calibri" w:hAnsi="Arial" w:cs="Arial"/>
          <w:color w:val="000000"/>
          <w:lang w:val="es-ES_tradnl" w:eastAsia="es-ES_tradnl"/>
        </w:rPr>
        <w:t>Jacqueline Henao</w:t>
      </w:r>
      <w:r w:rsidRPr="00482CF9">
        <w:rPr>
          <w:rFonts w:ascii="Arial" w:eastAsia="Calibri" w:hAnsi="Arial" w:cs="Arial"/>
          <w:color w:val="000000"/>
          <w:lang w:val="es-ES_tradnl" w:eastAsia="es-ES_tradnl"/>
        </w:rPr>
        <w:t xml:space="preserve">: </w:t>
      </w:r>
    </w:p>
    <w:p w14:paraId="26390AA9" w14:textId="77777777" w:rsidR="005D331F" w:rsidRPr="00482CF9" w:rsidRDefault="005D331F" w:rsidP="005D331F">
      <w:pPr>
        <w:spacing w:after="0" w:line="240" w:lineRule="auto"/>
        <w:jc w:val="both"/>
        <w:rPr>
          <w:rFonts w:ascii="Arial" w:eastAsia="Calibri" w:hAnsi="Arial" w:cs="Arial"/>
          <w:color w:val="000000"/>
          <w:lang w:val="es-ES_tradnl" w:eastAsia="es-ES_tradnl"/>
        </w:rPr>
      </w:pPr>
    </w:p>
    <w:p w14:paraId="755ABD3F" w14:textId="77777777" w:rsidR="005D331F" w:rsidRPr="00482CF9" w:rsidRDefault="005D331F" w:rsidP="005D331F">
      <w:pPr>
        <w:spacing w:after="0" w:line="276" w:lineRule="auto"/>
        <w:jc w:val="both"/>
        <w:rPr>
          <w:rFonts w:ascii="Arial" w:eastAsia="Calibri" w:hAnsi="Arial" w:cs="Arial"/>
          <w:color w:val="000000"/>
          <w:lang w:val="es-ES_tradnl" w:eastAsia="es-ES_tradnl"/>
        </w:rPr>
      </w:pPr>
      <w:r w:rsidRPr="00482CF9">
        <w:rPr>
          <w:rFonts w:ascii="Arial" w:eastAsia="Calibri" w:hAnsi="Arial" w:cs="Arial"/>
          <w:color w:val="000000"/>
          <w:lang w:val="es-ES_tradnl" w:eastAsia="es-ES_tradnl"/>
        </w:rPr>
        <w:t>En ejercicio de la competencia otorgada por el numeral 5 del artículo 3 y el numeral 8 del artículo 11 del Decreto Ley 4170 de 2011,</w:t>
      </w:r>
      <w:r w:rsidRPr="00482CF9">
        <w:rPr>
          <w:rFonts w:ascii="Arial" w:eastAsia="Arial MT" w:hAnsi="Arial" w:cs="Arial"/>
          <w:lang w:val="es-ES_tradnl" w:eastAsia="es-ES_tradnl"/>
        </w:rPr>
        <w:t xml:space="preserve"> </w:t>
      </w:r>
      <w:r w:rsidRPr="00482CF9">
        <w:rPr>
          <w:rFonts w:ascii="Arial" w:eastAsia="Calibri" w:hAnsi="Arial" w:cs="Arial"/>
          <w:color w:val="000000"/>
          <w:lang w:val="es-ES_tradnl" w:eastAsia="es-ES_tradnl"/>
        </w:rPr>
        <w:t>la Agencia Nacional de Contratación Pública – Colombia Compra Eficiente, responde su consulta del 19 de diciembre de 2022.</w:t>
      </w:r>
    </w:p>
    <w:p w14:paraId="351B2182" w14:textId="77777777" w:rsidR="005D331F" w:rsidRPr="00482CF9" w:rsidRDefault="005D331F" w:rsidP="005D331F">
      <w:pPr>
        <w:tabs>
          <w:tab w:val="left" w:pos="426"/>
        </w:tabs>
        <w:spacing w:after="0" w:line="276" w:lineRule="auto"/>
        <w:jc w:val="both"/>
        <w:rPr>
          <w:rFonts w:ascii="Arial" w:eastAsia="Calibri" w:hAnsi="Arial" w:cs="Arial"/>
          <w:color w:val="000000"/>
          <w:lang w:val="es-ES_tradnl"/>
        </w:rPr>
      </w:pPr>
    </w:p>
    <w:p w14:paraId="6CE1495F" w14:textId="77777777" w:rsidR="005D331F" w:rsidRPr="00482CF9" w:rsidRDefault="005D331F" w:rsidP="005D331F">
      <w:pPr>
        <w:numPr>
          <w:ilvl w:val="0"/>
          <w:numId w:val="1"/>
        </w:numPr>
        <w:tabs>
          <w:tab w:val="left" w:pos="284"/>
        </w:tabs>
        <w:spacing w:after="0" w:line="276" w:lineRule="auto"/>
        <w:ind w:left="0" w:firstLine="0"/>
        <w:contextualSpacing/>
        <w:jc w:val="both"/>
        <w:rPr>
          <w:rFonts w:ascii="Arial" w:eastAsia="Calibri" w:hAnsi="Arial" w:cs="Arial"/>
          <w:b/>
          <w:color w:val="000000"/>
          <w:lang w:val="es-ES_tradnl"/>
        </w:rPr>
      </w:pPr>
      <w:r w:rsidRPr="00482CF9">
        <w:rPr>
          <w:rFonts w:ascii="Arial" w:eastAsia="Calibri" w:hAnsi="Arial" w:cs="Arial"/>
          <w:b/>
          <w:color w:val="000000"/>
          <w:lang w:val="es-ES_tradnl"/>
        </w:rPr>
        <w:t xml:space="preserve">Problemas planteados </w:t>
      </w:r>
    </w:p>
    <w:p w14:paraId="19C8B6DA" w14:textId="77777777" w:rsidR="005D331F" w:rsidRPr="00482CF9" w:rsidRDefault="005D331F" w:rsidP="005D331F">
      <w:pPr>
        <w:tabs>
          <w:tab w:val="left" w:pos="426"/>
        </w:tabs>
        <w:spacing w:after="0" w:line="276" w:lineRule="auto"/>
        <w:jc w:val="both"/>
        <w:rPr>
          <w:rFonts w:ascii="Arial" w:eastAsia="Calibri" w:hAnsi="Arial" w:cs="Arial"/>
          <w:b/>
          <w:color w:val="000000"/>
          <w:lang w:val="es-ES_tradnl"/>
        </w:rPr>
      </w:pPr>
    </w:p>
    <w:p w14:paraId="441B8E0E" w14:textId="77777777" w:rsidR="005D331F" w:rsidRPr="00482CF9" w:rsidRDefault="005D331F" w:rsidP="005D331F">
      <w:pPr>
        <w:tabs>
          <w:tab w:val="left" w:pos="426"/>
        </w:tabs>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Usted realiza los siguientes interrogantes:</w:t>
      </w:r>
    </w:p>
    <w:p w14:paraId="70258626" w14:textId="77777777" w:rsidR="005D331F" w:rsidRPr="00482CF9" w:rsidRDefault="005D331F" w:rsidP="005D331F">
      <w:pPr>
        <w:tabs>
          <w:tab w:val="left" w:pos="426"/>
        </w:tabs>
        <w:spacing w:after="0" w:line="276" w:lineRule="auto"/>
        <w:jc w:val="both"/>
        <w:rPr>
          <w:rFonts w:ascii="Arial" w:eastAsia="Calibri" w:hAnsi="Arial" w:cs="Arial"/>
          <w:color w:val="000000"/>
          <w:lang w:val="es-ES_tradnl"/>
        </w:rPr>
      </w:pPr>
    </w:p>
    <w:p w14:paraId="5D394ABF" w14:textId="17007D3F" w:rsidR="00A3464E" w:rsidRPr="00A3464E" w:rsidRDefault="000B5B6E" w:rsidP="00A3464E">
      <w:pPr>
        <w:tabs>
          <w:tab w:val="left" w:pos="426"/>
        </w:tabs>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A3464E" w:rsidRPr="00A3464E">
        <w:rPr>
          <w:rFonts w:ascii="Arial" w:eastAsia="Calibri" w:hAnsi="Arial" w:cs="Arial"/>
          <w:color w:val="000000"/>
          <w:sz w:val="21"/>
          <w:szCs w:val="21"/>
          <w:lang w:val="es-ES_tradnl"/>
        </w:rPr>
        <w:t xml:space="preserve">En desarrollo de un concurso de méritos en el SECOP II, quedó registrado con la presentación de la propuesta todos los datos concernientes a la poliza de garantia registrando asi  el </w:t>
      </w:r>
      <w:r w:rsidR="00A3464E">
        <w:rPr>
          <w:rFonts w:ascii="Arial" w:eastAsia="Calibri" w:hAnsi="Arial" w:cs="Arial"/>
          <w:color w:val="000000"/>
          <w:sz w:val="21"/>
          <w:szCs w:val="21"/>
          <w:lang w:val="es-ES_tradnl"/>
        </w:rPr>
        <w:t xml:space="preserve">(sic) </w:t>
      </w:r>
      <w:r w:rsidR="00A3464E" w:rsidRPr="00A3464E">
        <w:rPr>
          <w:rFonts w:ascii="Arial" w:eastAsia="Calibri" w:hAnsi="Arial" w:cs="Arial"/>
          <w:color w:val="000000"/>
          <w:sz w:val="21"/>
          <w:szCs w:val="21"/>
          <w:lang w:val="es-ES_tradnl"/>
        </w:rPr>
        <w:t>numero de la garantía y el valor de la misma, sin embargo al momento de cargar el documento por error humano quedó cargado otro documento.</w:t>
      </w:r>
    </w:p>
    <w:p w14:paraId="57345899" w14:textId="48F12BE0" w:rsidR="005D331F" w:rsidRPr="00482CF9" w:rsidRDefault="00A3464E" w:rsidP="00A3464E">
      <w:pPr>
        <w:tabs>
          <w:tab w:val="left" w:pos="426"/>
        </w:tabs>
        <w:spacing w:after="0" w:line="240" w:lineRule="auto"/>
        <w:ind w:left="709" w:right="709"/>
        <w:jc w:val="both"/>
        <w:rPr>
          <w:rFonts w:ascii="Arial" w:eastAsia="Calibri" w:hAnsi="Arial" w:cs="Arial"/>
          <w:color w:val="000000"/>
          <w:sz w:val="21"/>
          <w:szCs w:val="21"/>
          <w:lang w:val="es-ES_tradnl"/>
        </w:rPr>
      </w:pPr>
      <w:r w:rsidRPr="00A3464E">
        <w:rPr>
          <w:rFonts w:ascii="Arial" w:eastAsia="Calibri" w:hAnsi="Arial" w:cs="Arial"/>
          <w:color w:val="000000"/>
          <w:sz w:val="21"/>
          <w:szCs w:val="21"/>
          <w:lang w:val="es-ES_tradnl"/>
        </w:rPr>
        <w:lastRenderedPageBreak/>
        <w:t>En el entendido que se le otorgó a la entidad el número de póliza lo que da fe que si existía dicha póliza al momento de presentar la propuesta, puede este ser subsanado?</w:t>
      </w:r>
      <w:r w:rsidR="000B5B6E">
        <w:rPr>
          <w:rFonts w:ascii="Arial" w:eastAsia="Calibri" w:hAnsi="Arial" w:cs="Arial"/>
          <w:color w:val="000000"/>
          <w:sz w:val="21"/>
          <w:szCs w:val="21"/>
          <w:lang w:val="es-ES_tradnl"/>
        </w:rPr>
        <w:t>”</w:t>
      </w:r>
    </w:p>
    <w:p w14:paraId="0E37BC6D" w14:textId="77777777" w:rsidR="005D331F" w:rsidRPr="00482CF9" w:rsidRDefault="005D331F" w:rsidP="005D331F">
      <w:pPr>
        <w:tabs>
          <w:tab w:val="left" w:pos="426"/>
        </w:tabs>
        <w:spacing w:after="0" w:line="276" w:lineRule="auto"/>
        <w:contextualSpacing/>
        <w:jc w:val="both"/>
        <w:rPr>
          <w:rFonts w:ascii="Arial" w:eastAsia="Calibri" w:hAnsi="Arial" w:cs="Arial"/>
          <w:color w:val="000000"/>
          <w:lang w:val="es-ES_tradnl"/>
        </w:rPr>
      </w:pPr>
    </w:p>
    <w:p w14:paraId="0B446915" w14:textId="77777777" w:rsidR="005D331F" w:rsidRDefault="005D331F" w:rsidP="005D331F">
      <w:pPr>
        <w:tabs>
          <w:tab w:val="left" w:pos="426"/>
        </w:tabs>
        <w:spacing w:after="0" w:line="276" w:lineRule="auto"/>
        <w:contextualSpacing/>
        <w:jc w:val="both"/>
        <w:rPr>
          <w:rFonts w:ascii="Arial" w:eastAsia="Calibri" w:hAnsi="Arial" w:cs="Arial"/>
          <w:b/>
          <w:color w:val="000000"/>
          <w:lang w:val="es-ES_tradnl"/>
        </w:rPr>
      </w:pPr>
      <w:r w:rsidRPr="00482CF9">
        <w:rPr>
          <w:rFonts w:ascii="Arial" w:eastAsia="Calibri" w:hAnsi="Arial" w:cs="Arial"/>
          <w:b/>
          <w:color w:val="000000"/>
          <w:lang w:val="es-ES_tradnl"/>
        </w:rPr>
        <w:t>2. Consideraciones</w:t>
      </w:r>
    </w:p>
    <w:p w14:paraId="5A80090B" w14:textId="77777777" w:rsidR="005D331F" w:rsidRPr="00482CF9" w:rsidRDefault="005D331F" w:rsidP="005D331F">
      <w:pPr>
        <w:tabs>
          <w:tab w:val="left" w:pos="426"/>
        </w:tabs>
        <w:spacing w:after="0" w:line="276" w:lineRule="auto"/>
        <w:contextualSpacing/>
        <w:jc w:val="both"/>
        <w:rPr>
          <w:rFonts w:ascii="Arial" w:eastAsia="Calibri" w:hAnsi="Arial" w:cs="Arial"/>
          <w:b/>
          <w:color w:val="000000"/>
          <w:lang w:val="es-ES_tradnl"/>
        </w:rPr>
      </w:pPr>
    </w:p>
    <w:p w14:paraId="7CE7D098" w14:textId="6AA0C57D" w:rsidR="005D331F" w:rsidRPr="00482CF9" w:rsidRDefault="005D331F" w:rsidP="005D331F">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La Subdirección de Gestión Contractual responderá la consulta, luego de analizar los siguientes temas: i) el procedimiento del concurso de méritos después de los autos de suspensión provisional del Consejo de Estado, ii) la reglamentación de esta modalidad de selección en el Decreto 399 de 2021,  iii) la subsanabilidad de las ofertas en los procesos de selección del Estatuto General de la Contratación Pública</w:t>
      </w:r>
      <w:r w:rsidR="00AC1EB6">
        <w:rPr>
          <w:rFonts w:ascii="Arial" w:eastAsia="Calibri" w:hAnsi="Arial" w:cs="Arial"/>
          <w:color w:val="000000"/>
          <w:lang w:val="es-ES_tradnl"/>
        </w:rPr>
        <w:t xml:space="preserve">, </w:t>
      </w:r>
      <w:r w:rsidR="001D51CC">
        <w:rPr>
          <w:rFonts w:ascii="Arial" w:eastAsia="Calibri" w:hAnsi="Arial" w:cs="Arial"/>
          <w:color w:val="000000"/>
          <w:lang w:val="es-ES_tradnl"/>
        </w:rPr>
        <w:t xml:space="preserve">iv) </w:t>
      </w:r>
      <w:r w:rsidR="001F6533">
        <w:rPr>
          <w:rFonts w:ascii="Arial" w:eastAsia="Calibri" w:hAnsi="Arial" w:cs="Arial"/>
          <w:color w:val="000000"/>
          <w:lang w:val="es-ES_tradnl"/>
        </w:rPr>
        <w:t>a</w:t>
      </w:r>
      <w:r w:rsidR="001F6533" w:rsidRPr="001F6533">
        <w:rPr>
          <w:rFonts w:ascii="Arial" w:eastAsia="Calibri" w:hAnsi="Arial" w:cs="Arial"/>
          <w:color w:val="000000"/>
          <w:lang w:val="es-ES_tradnl"/>
        </w:rPr>
        <w:t xml:space="preserve">lcance de la </w:t>
      </w:r>
      <w:r w:rsidR="001F6533">
        <w:rPr>
          <w:rFonts w:ascii="Arial" w:eastAsia="Calibri" w:hAnsi="Arial" w:cs="Arial"/>
          <w:color w:val="000000"/>
          <w:lang w:val="es-ES_tradnl"/>
        </w:rPr>
        <w:t>s</w:t>
      </w:r>
      <w:r w:rsidR="001F6533" w:rsidRPr="001F6533">
        <w:rPr>
          <w:rFonts w:ascii="Arial" w:eastAsia="Calibri" w:hAnsi="Arial" w:cs="Arial"/>
          <w:color w:val="000000"/>
          <w:lang w:val="es-ES_tradnl"/>
        </w:rPr>
        <w:t>ubsanabilidad de la garantía de seriedad</w:t>
      </w:r>
      <w:r w:rsidR="001F6533">
        <w:rPr>
          <w:rFonts w:ascii="Arial" w:eastAsia="Calibri" w:hAnsi="Arial" w:cs="Arial"/>
          <w:color w:val="000000"/>
          <w:lang w:val="es-ES_tradnl"/>
        </w:rPr>
        <w:t xml:space="preserve"> </w:t>
      </w:r>
      <w:r w:rsidRPr="004D213B">
        <w:rPr>
          <w:rFonts w:ascii="Arial" w:eastAsia="Calibri" w:hAnsi="Arial" w:cs="Arial"/>
          <w:color w:val="000000"/>
          <w:lang w:val="es-ES_tradnl"/>
        </w:rPr>
        <w:t xml:space="preserve">y, v) </w:t>
      </w:r>
      <w:r>
        <w:rPr>
          <w:rFonts w:ascii="Arial" w:eastAsia="Calibri" w:hAnsi="Arial" w:cs="Arial"/>
          <w:color w:val="000000"/>
          <w:lang w:val="es-ES_tradnl"/>
        </w:rPr>
        <w:t>presentación de ofertas en el Sistema Electrónico para la Contratación Pública – SECOP II.</w:t>
      </w:r>
    </w:p>
    <w:p w14:paraId="643A631C" w14:textId="77777777" w:rsidR="005D331F" w:rsidRPr="00482CF9" w:rsidRDefault="005D331F" w:rsidP="005D331F">
      <w:pPr>
        <w:spacing w:before="120" w:after="0" w:line="276" w:lineRule="auto"/>
        <w:ind w:firstLine="708"/>
        <w:jc w:val="both"/>
        <w:rPr>
          <w:rFonts w:ascii="Arial" w:eastAsia="Calibri" w:hAnsi="Arial" w:cs="Arial"/>
          <w:color w:val="000000" w:themeColor="text1"/>
          <w:lang w:val="es-ES_tradnl"/>
        </w:rPr>
      </w:pPr>
      <w:r w:rsidRPr="00482CF9">
        <w:rPr>
          <w:rFonts w:ascii="Arial" w:eastAsia="Calibri" w:hAnsi="Arial" w:cs="Arial"/>
          <w:color w:val="000000" w:themeColor="text1"/>
          <w:lang w:val="es-ES_tradnl"/>
        </w:rPr>
        <w:t xml:space="preserve">Es importante destacar que la Agencia Nacional de Contratación Pública – Colombia Compra Eficiente expidió los conceptos </w:t>
      </w:r>
      <w:r w:rsidRPr="00482CF9">
        <w:rPr>
          <w:rFonts w:ascii="Arial" w:eastAsia="Calibri" w:hAnsi="Arial" w:cs="Arial"/>
          <w:color w:val="000000"/>
          <w:szCs w:val="24"/>
          <w:lang w:val="es-ES_tradnl" w:eastAsia="es-ES_tradnl"/>
        </w:rPr>
        <w:t xml:space="preserve">C-124 del 25 de marzo de 2020, C-406 y C-477 del 13 de julio de 2020, C-612 del 2 de octubre de 2020, C-761 del 5 de enero de 2021, C- 297 del 17 de junio de 2021, C-339 del 14 de junio de 2021, C-367 del 26 de julio de 2021 y C-408 del 13 de agosto de 2021, C-739 del 2 de febrero de 2022, C-043 del 1 de marzo de 2022, C-165 del 6 de abril de 2022, C-629 del 26 de septiembre de 2022, entre otros, </w:t>
      </w:r>
      <w:r w:rsidRPr="00482CF9">
        <w:rPr>
          <w:rFonts w:ascii="Arial" w:eastAsia="Calibri" w:hAnsi="Arial" w:cs="Arial"/>
          <w:color w:val="000000" w:themeColor="text1"/>
          <w:lang w:val="es-ES_tradnl"/>
        </w:rPr>
        <w:t xml:space="preserve">en los cuales analizó la forma como se debe desarrollar el concurso de méritos. </w:t>
      </w:r>
    </w:p>
    <w:p w14:paraId="2EF907CF" w14:textId="77777777" w:rsidR="005D331F" w:rsidRPr="00482CF9" w:rsidRDefault="005D331F" w:rsidP="005D331F">
      <w:pPr>
        <w:tabs>
          <w:tab w:val="left" w:pos="426"/>
        </w:tabs>
        <w:spacing w:before="120" w:after="0" w:line="276" w:lineRule="auto"/>
        <w:jc w:val="both"/>
        <w:rPr>
          <w:rFonts w:ascii="Arial" w:eastAsia="Times New Roman" w:hAnsi="Arial" w:cs="Arial"/>
          <w:color w:val="000000"/>
          <w:shd w:val="clear" w:color="auto" w:fill="FFFFFF"/>
          <w:lang w:val="es-MX" w:eastAsia="en-GB"/>
        </w:rPr>
      </w:pPr>
      <w:r w:rsidRPr="00482CF9">
        <w:rPr>
          <w:rFonts w:ascii="Arial" w:eastAsia="Calibri" w:hAnsi="Arial" w:cs="Arial"/>
          <w:color w:val="000000" w:themeColor="text1"/>
          <w:lang w:val="es-ES_tradnl"/>
        </w:rPr>
        <w:tab/>
      </w:r>
      <w:r w:rsidRPr="1EFFDFAD">
        <w:rPr>
          <w:rFonts w:ascii="Arial" w:eastAsia="Calibri" w:hAnsi="Arial" w:cs="Arial"/>
          <w:color w:val="000000" w:themeColor="text1"/>
          <w:lang w:val="es-ES"/>
        </w:rPr>
        <w:t xml:space="preserve">Asimismo, esta Agencia estudió el principio de selección objetiva en la contratación estatal y el ámbito material y temporal de la subsanabilidad de las ofertas en los procesos de selección del Estatuto General de Contratación de la Administración Pública, entre otros pronunciamientos, en los conceptos con radicados Nos. </w:t>
      </w:r>
      <w:r w:rsidRPr="00482CF9">
        <w:rPr>
          <w:rFonts w:ascii="Arial" w:eastAsia="Times New Roman" w:hAnsi="Arial" w:cs="Arial"/>
          <w:color w:val="000000"/>
          <w:shd w:val="clear" w:color="auto" w:fill="FFFFFF"/>
          <w:lang w:val="es-MX" w:eastAsia="en-GB"/>
        </w:rPr>
        <w:t>4201913000006471 del 28 de octubre de 2019, 4201912000006711 del 12 de noviembre de 2019 y 4201912000006496 del 15 de noviembre de 2019; las cuales se unificaron en el Concepto CU-060 d</w:t>
      </w:r>
      <w:r w:rsidRPr="00482CF9">
        <w:rPr>
          <w:rFonts w:ascii="Arial" w:eastAsia="Times New Roman" w:hAnsi="Arial" w:cs="Arial"/>
          <w:shd w:val="clear" w:color="auto" w:fill="FFFFFF"/>
          <w:lang w:val="es-MX" w:eastAsia="en-GB"/>
        </w:rPr>
        <w:t>el 16 de enero de 2020</w:t>
      </w:r>
      <w:r w:rsidRPr="1EFFDFAD">
        <w:rPr>
          <w:rFonts w:ascii="Arial" w:eastAsia="Calibri" w:hAnsi="Arial" w:cs="Arial"/>
          <w:lang w:val="es-ES"/>
        </w:rPr>
        <w:t xml:space="preserve">, C–082 de 27 de enero de 2020, C–127 de 12 de febrero de 2020, </w:t>
      </w:r>
      <w:r w:rsidRPr="00482CF9">
        <w:rPr>
          <w:rFonts w:ascii="Arial" w:eastAsia="Times New Roman" w:hAnsi="Arial" w:cs="Arial"/>
          <w:color w:val="000000"/>
          <w:shd w:val="clear" w:color="auto" w:fill="FFFFFF"/>
          <w:lang w:val="es-MX" w:eastAsia="en-GB"/>
        </w:rPr>
        <w:t xml:space="preserve">C-121 del 3 de marzo de 2020, C-160 del 3 de abril de 2020, C-013 del 17 de abril de 2020, </w:t>
      </w:r>
      <w:r w:rsidRPr="00482CF9">
        <w:rPr>
          <w:rFonts w:ascii="Arial" w:eastAsia="Times New Roman" w:hAnsi="Arial" w:cs="Arial"/>
          <w:color w:val="000000"/>
          <w:shd w:val="clear" w:color="auto" w:fill="FFFFFF"/>
          <w:lang w:val="es-ES" w:eastAsia="en-GB"/>
        </w:rPr>
        <w:t xml:space="preserve">C-294 del 18 de mayo de 2020, C-276 y C-277 del 26 de mayo de 2020, C–380 y C–381 del 1 de junio de 2020, C-404 del 12 de junio de 2020, C-352 del 30 de junio de 2020, C-430 del 7 de julio de 2020, C-481 del 27 de julio de 2020, </w:t>
      </w:r>
      <w:r w:rsidRPr="00482CF9">
        <w:rPr>
          <w:rFonts w:ascii="Arial" w:eastAsia="Times New Roman" w:hAnsi="Arial" w:cs="Arial"/>
          <w:color w:val="000000"/>
          <w:shd w:val="clear" w:color="auto" w:fill="FFFFFF"/>
          <w:lang w:val="es-MX" w:eastAsia="en-GB"/>
        </w:rPr>
        <w:t xml:space="preserve">C-465 del 27 de julio de 2020, </w:t>
      </w:r>
      <w:r w:rsidRPr="00482CF9">
        <w:rPr>
          <w:rFonts w:ascii="Arial" w:eastAsia="Times New Roman" w:hAnsi="Arial" w:cs="Arial"/>
          <w:color w:val="000000"/>
          <w:shd w:val="clear" w:color="auto" w:fill="FFFFFF"/>
          <w:lang w:val="es-ES" w:eastAsia="en-GB"/>
        </w:rPr>
        <w:t xml:space="preserve">C-502 del 29 de julio de 2020, C-500 del 3 de agosto de 2020, </w:t>
      </w:r>
      <w:r w:rsidRPr="00482CF9">
        <w:rPr>
          <w:rFonts w:ascii="Arial" w:eastAsia="Times New Roman" w:hAnsi="Arial" w:cs="Arial"/>
          <w:color w:val="000000"/>
          <w:shd w:val="clear" w:color="auto" w:fill="FFFFFF"/>
          <w:lang w:val="es-MX" w:eastAsia="en-GB"/>
        </w:rPr>
        <w:t xml:space="preserve">C-557 del 21 de agosto de 2020, </w:t>
      </w:r>
      <w:r w:rsidRPr="00482CF9">
        <w:rPr>
          <w:rFonts w:ascii="Arial" w:eastAsia="Times New Roman" w:hAnsi="Arial" w:cs="Arial"/>
          <w:color w:val="000000"/>
          <w:shd w:val="clear" w:color="auto" w:fill="FFFFFF"/>
          <w:lang w:val="es-ES" w:eastAsia="en-GB"/>
        </w:rPr>
        <w:t xml:space="preserve">C-563 del 26 de agosto de 2020, C-570 del 27 de agosto de 2020, </w:t>
      </w:r>
      <w:r w:rsidRPr="00482CF9">
        <w:rPr>
          <w:rFonts w:ascii="Arial" w:eastAsia="Times New Roman" w:hAnsi="Arial" w:cs="Arial"/>
          <w:color w:val="000000"/>
          <w:shd w:val="clear" w:color="auto" w:fill="FFFFFF"/>
          <w:lang w:val="es-MX" w:eastAsia="en-GB"/>
        </w:rPr>
        <w:t>C-573 del 27 de agosto de 2020, C-595 del 21 de septiembre de 2020,</w:t>
      </w:r>
      <w:r w:rsidRPr="00482CF9">
        <w:rPr>
          <w:rFonts w:ascii="Arial" w:eastAsia="Times New Roman" w:hAnsi="Arial" w:cs="Arial"/>
          <w:color w:val="000000"/>
          <w:shd w:val="clear" w:color="auto" w:fill="FFFFFF"/>
          <w:lang w:val="es-ES" w:eastAsia="en-GB"/>
        </w:rPr>
        <w:t xml:space="preserve"> C-713 del 2 de diciembre de 2020 y C-744 del 22 de diciembre de 2020, C-083 del 18 de marzo de 2021, C-311 del 10 de junio de 2021 y C-329 del 8 de julio de 2021</w:t>
      </w:r>
      <w:r w:rsidRPr="1EFFDFAD">
        <w:rPr>
          <w:rFonts w:ascii="Arial" w:eastAsia="Calibri" w:hAnsi="Arial" w:cs="Arial"/>
          <w:lang w:val="es-ES"/>
        </w:rPr>
        <w:t xml:space="preserve">C-568 del 11 de octubre de 2021, C-728 de 26 de enero de 2022, C- 114 de 22 de marzo de 2022, C-285 de 20 de mayo de 2022, C-343 de 31 de mayo de 2022, C-416 del 30 de junio de 2022, C-431 del 7 de julio de 2022 y C-434 del 8 de julio de 2022 </w:t>
      </w:r>
      <w:r w:rsidRPr="1EFFDFAD">
        <w:rPr>
          <w:rFonts w:ascii="Arial" w:eastAsia="Arial" w:hAnsi="Arial" w:cs="Arial"/>
          <w:color w:val="161616"/>
          <w:lang w:val="es-ES" w:eastAsia="en-GB"/>
        </w:rPr>
        <w:t>Las tesis desarrolladas en estos conceptos se reiteran y complementan a continuación</w:t>
      </w:r>
      <w:r w:rsidRPr="1EFFDFAD">
        <w:rPr>
          <w:rFonts w:ascii="Arial" w:eastAsia="Calibri" w:hAnsi="Arial" w:cs="Arial"/>
          <w:lang w:val="es-ES"/>
        </w:rPr>
        <w:t>:</w:t>
      </w:r>
    </w:p>
    <w:p w14:paraId="22AD537D" w14:textId="77777777" w:rsidR="005D331F" w:rsidRPr="00482CF9" w:rsidRDefault="005D331F" w:rsidP="005D331F">
      <w:pPr>
        <w:spacing w:after="0" w:line="276" w:lineRule="auto"/>
        <w:jc w:val="both"/>
        <w:rPr>
          <w:rFonts w:ascii="Arial" w:eastAsia="Calibri" w:hAnsi="Arial" w:cs="Arial"/>
          <w:color w:val="000000"/>
          <w:lang w:val="es-ES_tradnl"/>
        </w:rPr>
      </w:pPr>
    </w:p>
    <w:p w14:paraId="6E689A3B" w14:textId="77777777" w:rsidR="005D331F" w:rsidRPr="00482CF9" w:rsidRDefault="005D331F" w:rsidP="005D331F">
      <w:pPr>
        <w:spacing w:after="0" w:line="276" w:lineRule="auto"/>
        <w:jc w:val="both"/>
        <w:rPr>
          <w:rFonts w:ascii="Arial" w:eastAsia="Calibri" w:hAnsi="Arial" w:cs="Arial"/>
          <w:b/>
          <w:bCs/>
          <w:color w:val="000000"/>
          <w:lang w:val="es-ES_tradnl"/>
        </w:rPr>
      </w:pPr>
      <w:r w:rsidRPr="00482CF9">
        <w:rPr>
          <w:rFonts w:ascii="Arial" w:eastAsia="Calibri" w:hAnsi="Arial" w:cs="Arial"/>
          <w:b/>
          <w:bCs/>
          <w:color w:val="000000"/>
          <w:lang w:val="es-ES_tradnl"/>
        </w:rPr>
        <w:lastRenderedPageBreak/>
        <w:t>2.1. Procedimiento del concurso de méritos después de los autos de suspensión provisional del Consejo de Estado</w:t>
      </w:r>
    </w:p>
    <w:p w14:paraId="3DF1AFA3" w14:textId="77777777" w:rsidR="005D331F" w:rsidRPr="00482CF9" w:rsidRDefault="005D331F" w:rsidP="005D331F">
      <w:pPr>
        <w:spacing w:after="0" w:line="276" w:lineRule="auto"/>
        <w:jc w:val="both"/>
        <w:rPr>
          <w:rFonts w:ascii="Arial" w:eastAsia="Calibri" w:hAnsi="Arial" w:cs="Arial"/>
          <w:b/>
          <w:bCs/>
          <w:color w:val="000000"/>
          <w:lang w:val="es-ES_tradnl"/>
        </w:rPr>
      </w:pPr>
    </w:p>
    <w:p w14:paraId="7BEBD0C2" w14:textId="3A621A79" w:rsidR="005D331F" w:rsidRPr="00482CF9" w:rsidRDefault="005D331F" w:rsidP="005D331F">
      <w:pPr>
        <w:spacing w:after="0" w:line="276" w:lineRule="auto"/>
        <w:jc w:val="both"/>
        <w:rPr>
          <w:rFonts w:ascii="Arial" w:eastAsia="Times New Roman" w:hAnsi="Arial" w:cs="Arial"/>
          <w:color w:val="000000"/>
          <w:szCs w:val="24"/>
          <w:lang w:val="es-ES_tradnl" w:eastAsia="es-ES_tradnl"/>
        </w:rPr>
      </w:pPr>
      <w:r w:rsidRPr="00482CF9">
        <w:rPr>
          <w:rFonts w:ascii="Arial" w:eastAsia="Calibri" w:hAnsi="Arial" w:cs="Arial"/>
          <w:color w:val="000000"/>
          <w:lang w:val="es-ES_tradnl"/>
        </w:rPr>
        <w:t xml:space="preserve">El </w:t>
      </w:r>
      <w:r w:rsidRPr="00482CF9">
        <w:rPr>
          <w:rFonts w:ascii="Arial" w:eastAsia="Calibri" w:hAnsi="Arial" w:cs="Arial"/>
          <w:i/>
          <w:iCs/>
          <w:color w:val="000000"/>
          <w:lang w:val="es-ES_tradnl"/>
        </w:rPr>
        <w:t xml:space="preserve">concurso de méritos </w:t>
      </w:r>
      <w:r w:rsidRPr="00482CF9">
        <w:rPr>
          <w:rFonts w:ascii="Arial" w:eastAsia="Calibri" w:hAnsi="Arial" w:cs="Arial"/>
          <w:color w:val="000000"/>
          <w:lang w:val="es-ES_tradnl"/>
        </w:rPr>
        <w:t xml:space="preserve">es un procedimiento de selección que deben realizar las entidades estales para escoger </w:t>
      </w:r>
      <w:r w:rsidR="000B5B6E">
        <w:rPr>
          <w:rFonts w:ascii="Arial" w:hAnsi="Arial" w:cs="Arial"/>
          <w:color w:val="000000" w:themeColor="text1"/>
          <w:lang w:val="es-ES_tradnl"/>
        </w:rPr>
        <w:t>“</w:t>
      </w:r>
      <w:r w:rsidRPr="00482CF9">
        <w:rPr>
          <w:rFonts w:ascii="Arial" w:hAnsi="Arial" w:cs="Arial"/>
          <w:color w:val="000000" w:themeColor="text1"/>
          <w:lang w:val="es-ES_tradnl"/>
        </w:rPr>
        <w:t>consultores y proyectos</w:t>
      </w:r>
      <w:r w:rsidR="000B5B6E">
        <w:rPr>
          <w:rFonts w:ascii="Arial" w:hAnsi="Arial" w:cs="Arial"/>
          <w:color w:val="000000" w:themeColor="text1"/>
          <w:lang w:val="es-ES_tradnl"/>
        </w:rPr>
        <w:t>”</w:t>
      </w:r>
      <w:r w:rsidRPr="00482CF9">
        <w:rPr>
          <w:rFonts w:ascii="Arial" w:hAnsi="Arial" w:cs="Arial"/>
          <w:color w:val="000000" w:themeColor="text1"/>
          <w:lang w:val="es-ES_tradnl"/>
        </w:rPr>
        <w:t xml:space="preserve">, es decir, para celebrar contratos de consultoría, entendidos estos últimos como aquellos </w:t>
      </w:r>
      <w:r w:rsidR="000B5B6E">
        <w:rPr>
          <w:rFonts w:ascii="Arial" w:hAnsi="Arial" w:cs="Arial"/>
          <w:color w:val="000000" w:themeColor="text1"/>
          <w:lang w:val="es-ES_tradnl"/>
        </w:rPr>
        <w:t>“</w:t>
      </w:r>
      <w:r w:rsidRPr="00482CF9">
        <w:rPr>
          <w:rFonts w:ascii="Arial" w:hAnsi="Arial" w:cs="Arial"/>
          <w:color w:val="000000" w:themeColor="text1"/>
          <w:lang w:val="es-ES_tradnl"/>
        </w:rPr>
        <w:t>[…]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r w:rsidR="000B5B6E">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según lo dispuesto en el artículo 32, numeral 2, de la Ley 80 de 1993.</w:t>
      </w:r>
    </w:p>
    <w:p w14:paraId="20B4ACCC" w14:textId="36DBD452" w:rsidR="005D331F" w:rsidRPr="00482CF9" w:rsidRDefault="005D331F" w:rsidP="005D331F">
      <w:pPr>
        <w:spacing w:before="120" w:after="0" w:line="276" w:lineRule="auto"/>
        <w:jc w:val="both"/>
        <w:rPr>
          <w:rFonts w:ascii="Arial" w:eastAsia="Times New Roman" w:hAnsi="Arial" w:cs="Arial"/>
          <w:color w:val="000000"/>
          <w:szCs w:val="24"/>
          <w:lang w:val="es-ES_tradnl" w:eastAsia="es-ES_tradnl"/>
        </w:rPr>
      </w:pPr>
      <w:r w:rsidRPr="00482CF9">
        <w:rPr>
          <w:rFonts w:ascii="Arial" w:eastAsia="Times New Roman" w:hAnsi="Arial" w:cs="Arial"/>
          <w:color w:val="000000"/>
          <w:szCs w:val="24"/>
          <w:lang w:val="es-ES_tradnl" w:eastAsia="es-ES_tradnl"/>
        </w:rPr>
        <w:tab/>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 concurso de méritos </w:t>
      </w:r>
      <w:r w:rsidR="000B5B6E">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para la selección de consultores de diseño, planos, anteproyectos y proyectos arquitectónicos</w:t>
      </w:r>
      <w:r w:rsidR="000B5B6E">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xml:space="preserve">. El primero está regulado en los artículos 2.2.1.2.1.3.1 y 2.2.1.2.1.3.2 </w:t>
      </w:r>
      <w:r w:rsidRPr="00482CF9">
        <w:rPr>
          <w:rFonts w:ascii="Arial" w:eastAsia="Times New Roman" w:hAnsi="Arial" w:cs="Arial"/>
          <w:i/>
          <w:iCs/>
          <w:color w:val="000000"/>
          <w:szCs w:val="24"/>
          <w:lang w:val="es-ES_tradnl" w:eastAsia="es-ES_tradnl"/>
        </w:rPr>
        <w:t xml:space="preserve">ibídem. </w:t>
      </w:r>
      <w:r w:rsidRPr="00482CF9">
        <w:rPr>
          <w:rFonts w:ascii="Arial" w:eastAsia="Times New Roman" w:hAnsi="Arial" w:cs="Arial"/>
          <w:color w:val="000000"/>
          <w:szCs w:val="24"/>
          <w:lang w:val="es-ES_tradnl" w:eastAsia="es-ES_tradnl"/>
        </w:rPr>
        <w:t xml:space="preserve">El segundo, además de los dos artículos anteriores, lo regulan los artículos 2.2.1.2.1.3.3 a 2.2.1.2.1.3.7 </w:t>
      </w:r>
      <w:r w:rsidRPr="00482CF9">
        <w:rPr>
          <w:rFonts w:ascii="Arial" w:eastAsia="Times New Roman" w:hAnsi="Arial" w:cs="Arial"/>
          <w:i/>
          <w:iCs/>
          <w:color w:val="000000"/>
          <w:szCs w:val="24"/>
          <w:lang w:val="es-ES_tradnl" w:eastAsia="es-ES_tradnl"/>
        </w:rPr>
        <w:t xml:space="preserve">ejusdem. </w:t>
      </w:r>
      <w:r w:rsidRPr="00482CF9">
        <w:rPr>
          <w:rFonts w:ascii="Arial" w:eastAsia="Times New Roman" w:hAnsi="Arial" w:cs="Arial"/>
          <w:color w:val="000000"/>
          <w:szCs w:val="24"/>
          <w:lang w:val="es-ES_tradnl" w:eastAsia="es-ES_tradnl"/>
        </w:rPr>
        <w:t>El tercero lo regulan los artículos 2.2.1.2.1.3.8 a 2.2.1.2.1.3.25 del mencionado Decreto.</w:t>
      </w:r>
    </w:p>
    <w:p w14:paraId="4E55CD93" w14:textId="77777777" w:rsidR="005D331F" w:rsidRPr="00482CF9" w:rsidRDefault="005D331F" w:rsidP="005D331F">
      <w:pPr>
        <w:spacing w:before="120" w:after="0" w:line="276" w:lineRule="auto"/>
        <w:jc w:val="both"/>
        <w:rPr>
          <w:rFonts w:ascii="Arial" w:eastAsia="Times New Roman" w:hAnsi="Arial" w:cs="Arial"/>
          <w:color w:val="000000"/>
          <w:szCs w:val="24"/>
          <w:lang w:val="es-ES_tradnl" w:eastAsia="es-ES_tradnl"/>
        </w:rPr>
      </w:pPr>
      <w:r w:rsidRPr="00482CF9">
        <w:rPr>
          <w:rFonts w:ascii="Arial" w:eastAsia="Times New Roman" w:hAnsi="Arial" w:cs="Arial"/>
          <w:color w:val="000000"/>
          <w:szCs w:val="24"/>
          <w:lang w:val="es-ES_tradnl" w:eastAsia="es-ES_tradnl"/>
        </w:rPr>
        <w:tab/>
        <w:t xml:space="preserve">Ahora bien, la Sección Tercera del Consejo de Estado, </w:t>
      </w:r>
      <w:r w:rsidRPr="00482CF9">
        <w:rPr>
          <w:rFonts w:ascii="Arial" w:eastAsia="Calibri" w:hAnsi="Arial" w:cs="Arial"/>
          <w:color w:val="000000"/>
          <w:lang w:val="es-ES_tradnl"/>
        </w:rPr>
        <w:t>en autos del 25 de julio de 2018</w:t>
      </w:r>
      <w:r w:rsidRPr="00482CF9">
        <w:rPr>
          <w:rFonts w:ascii="Arial" w:eastAsia="Times New Roman" w:hAnsi="Arial" w:cs="Arial"/>
          <w:color w:val="000000"/>
          <w:szCs w:val="24"/>
          <w:vertAlign w:val="superscript"/>
          <w:lang w:val="es-ES_tradnl" w:eastAsia="es-ES_tradnl"/>
        </w:rPr>
        <w:footnoteReference w:id="1"/>
      </w:r>
      <w:r w:rsidRPr="00482CF9">
        <w:rPr>
          <w:rFonts w:ascii="Arial" w:eastAsia="Times New Roman" w:hAnsi="Arial" w:cs="Arial"/>
          <w:color w:val="000000"/>
          <w:szCs w:val="24"/>
          <w:lang w:val="es-ES_tradnl" w:eastAsia="es-ES_tradnl"/>
        </w:rPr>
        <w:t xml:space="preserve"> y del 20 de febrero de 2019</w:t>
      </w:r>
      <w:r w:rsidRPr="00482CF9">
        <w:rPr>
          <w:rFonts w:ascii="Arial" w:eastAsia="Times New Roman" w:hAnsi="Arial" w:cs="Arial"/>
          <w:color w:val="000000"/>
          <w:szCs w:val="24"/>
          <w:vertAlign w:val="superscript"/>
          <w:lang w:val="es-ES_tradnl" w:eastAsia="es-ES_tradnl"/>
        </w:rPr>
        <w:footnoteReference w:id="2"/>
      </w:r>
      <w:r w:rsidRPr="00482CF9">
        <w:rPr>
          <w:rFonts w:ascii="Arial" w:eastAsia="Times New Roman" w:hAnsi="Arial" w:cs="Arial"/>
          <w:color w:val="000000"/>
          <w:szCs w:val="24"/>
          <w:lang w:val="es-ES_tradnl" w:eastAsia="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El texto de estos numerales disponía lo siguiente:</w:t>
      </w:r>
    </w:p>
    <w:p w14:paraId="4CBC5479" w14:textId="77777777" w:rsidR="005D331F" w:rsidRPr="00482CF9" w:rsidRDefault="005D331F" w:rsidP="005D331F">
      <w:pPr>
        <w:spacing w:before="120" w:after="0" w:line="276" w:lineRule="auto"/>
        <w:jc w:val="both"/>
        <w:rPr>
          <w:rFonts w:ascii="Arial" w:eastAsia="Times New Roman" w:hAnsi="Arial" w:cs="Arial"/>
          <w:color w:val="000000"/>
          <w:szCs w:val="24"/>
          <w:lang w:val="es-ES_tradnl" w:eastAsia="es-ES_tradnl"/>
        </w:rPr>
      </w:pPr>
    </w:p>
    <w:p w14:paraId="70017827" w14:textId="77777777" w:rsidR="005D331F" w:rsidRPr="00482CF9" w:rsidRDefault="005D331F" w:rsidP="005D331F">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036B53FA" w14:textId="77777777" w:rsidR="005D331F" w:rsidRPr="00482CF9" w:rsidRDefault="005D331F" w:rsidP="005D331F">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47814F33" w14:textId="77777777" w:rsidR="005D331F" w:rsidRPr="00482CF9" w:rsidRDefault="005D331F" w:rsidP="005D331F">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2. La Entidad Estatal debe publicar durante tres (3) días hábiles el informe de evaluación, el cual debe contener la calificación técnica y el orden de elegibilidad.</w:t>
      </w:r>
    </w:p>
    <w:p w14:paraId="46C825E7" w14:textId="77777777" w:rsidR="005D331F" w:rsidRPr="00482CF9" w:rsidRDefault="005D331F" w:rsidP="005D331F">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lastRenderedPageBreak/>
        <w:t>3. La Entidad Estatal debe revisar la oferta económica y verificar que está en el rango del valor estimado consignado en los documentos y estudios previos y del presupuesto asignado para el contrato.</w:t>
      </w:r>
    </w:p>
    <w:p w14:paraId="0762E89C" w14:textId="77777777" w:rsidR="005D331F" w:rsidRPr="00482CF9" w:rsidRDefault="005D331F" w:rsidP="005D331F">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78826C67" w14:textId="77777777" w:rsidR="005D331F" w:rsidRPr="00482CF9" w:rsidRDefault="005D331F" w:rsidP="005D331F">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3E85B36A" w14:textId="77777777" w:rsidR="005D331F" w:rsidRPr="00482CF9" w:rsidRDefault="005D331F" w:rsidP="005D331F">
      <w:pPr>
        <w:spacing w:after="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i/>
          <w:color w:val="000000"/>
          <w:sz w:val="21"/>
          <w:szCs w:val="21"/>
          <w:lang w:val="es-ES_tradnl"/>
        </w:rPr>
        <w:t>6. Si la Entidad Estatal y el oferente calificado en el segundo lugar de elegibilidad no llegan a un acuerdo, la Entidad Estatal debe declarar desierto el Proceso de Contratación</w:t>
      </w:r>
      <w:r w:rsidRPr="00482CF9">
        <w:rPr>
          <w:rFonts w:ascii="Arial" w:eastAsia="Calibri" w:hAnsi="Arial" w:cs="Arial"/>
          <w:color w:val="000000"/>
          <w:sz w:val="21"/>
          <w:szCs w:val="21"/>
          <w:lang w:val="es-ES_tradnl"/>
        </w:rPr>
        <w:t>. (Énfasis fuera de texto)</w:t>
      </w:r>
    </w:p>
    <w:p w14:paraId="2A40B70F" w14:textId="77777777" w:rsidR="005D331F" w:rsidRPr="00482CF9" w:rsidRDefault="005D331F" w:rsidP="005D331F">
      <w:pPr>
        <w:spacing w:before="120" w:after="0" w:line="276" w:lineRule="auto"/>
        <w:jc w:val="both"/>
        <w:rPr>
          <w:rFonts w:ascii="Arial" w:eastAsia="Calibri" w:hAnsi="Arial" w:cs="Arial"/>
          <w:color w:val="000000"/>
          <w:lang w:val="es-ES_tradnl"/>
        </w:rPr>
      </w:pPr>
    </w:p>
    <w:p w14:paraId="0FBB9437" w14:textId="77777777" w:rsidR="005D331F" w:rsidRPr="00482CF9" w:rsidRDefault="005D331F" w:rsidP="005D331F">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ab/>
        <w:t>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desierta.</w:t>
      </w:r>
    </w:p>
    <w:p w14:paraId="2A31CCB0" w14:textId="1C9DD9E5" w:rsidR="005D331F" w:rsidRPr="00482CF9" w:rsidRDefault="005D331F" w:rsidP="005D331F">
      <w:pPr>
        <w:spacing w:before="120"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ab/>
        <w:t xml:space="preserve">El consejo de Estado consideró que los numerales 3,4 y 5 violarían el artículo 5, numeral 4, último inciso, de la Ley 1150 de 2007, pues señaló que: </w:t>
      </w:r>
      <w:r w:rsidR="000B5B6E">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en ningún caso se podrá incluir el precio, como factor de escogencia para la selección de consultores</w:t>
      </w:r>
      <w:r w:rsidR="000B5B6E">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xml:space="preserve">, así como el artículo 25, numeral 2, de la Ley 80 de 1993 que dispone lo siguiente: </w:t>
      </w:r>
      <w:r w:rsidR="000B5B6E">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las normas de los procedimientos contractuales se interpretarán de tal manera que no den ocasión a seguir trámites distintos y adicionales a los expresamente previstos […]</w:t>
      </w:r>
      <w:r w:rsidR="000B5B6E">
        <w:rPr>
          <w:rFonts w:ascii="Arial" w:eastAsia="Times New Roman" w:hAnsi="Arial" w:cs="Arial"/>
          <w:color w:val="000000"/>
          <w:szCs w:val="24"/>
          <w:lang w:val="es-ES_tradnl" w:eastAsia="es-ES_tradnl"/>
        </w:rPr>
        <w:t>”</w:t>
      </w:r>
      <w:r w:rsidRPr="00482CF9">
        <w:rPr>
          <w:rFonts w:ascii="Arial" w:eastAsia="Times New Roman" w:hAnsi="Arial" w:cs="Arial"/>
          <w:color w:val="000000"/>
          <w:szCs w:val="24"/>
          <w:lang w:val="es-ES_tradnl" w:eastAsia="es-ES_tradnl"/>
        </w:rPr>
        <w:t>.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482CF9">
        <w:rPr>
          <w:rFonts w:ascii="Arial" w:eastAsia="Times New Roman" w:hAnsi="Arial" w:cs="Arial"/>
          <w:color w:val="000000"/>
          <w:szCs w:val="24"/>
          <w:vertAlign w:val="superscript"/>
          <w:lang w:val="es-ES_tradnl" w:eastAsia="es-ES_tradnl"/>
        </w:rPr>
        <w:footnoteReference w:id="3"/>
      </w:r>
      <w:r w:rsidRPr="00482CF9">
        <w:rPr>
          <w:rFonts w:ascii="Arial" w:eastAsia="Times New Roman" w:hAnsi="Arial" w:cs="Arial"/>
          <w:color w:val="000000"/>
          <w:szCs w:val="24"/>
          <w:lang w:val="es-ES_tradnl" w:eastAsia="es-ES_tradnl"/>
        </w:rPr>
        <w:t xml:space="preserve">. En lo que respecta al artículo 6, este violaría </w:t>
      </w:r>
      <w:r w:rsidRPr="00482CF9">
        <w:rPr>
          <w:rFonts w:ascii="Arial" w:eastAsia="Times New Roman" w:hAnsi="Arial" w:cs="Arial"/>
          <w:color w:val="000000"/>
          <w:szCs w:val="24"/>
          <w:lang w:val="es-ES_tradnl" w:eastAsia="es-ES_tradnl"/>
        </w:rPr>
        <w:lastRenderedPageBreak/>
        <w:t>especialmente el artículo 25.18 del Estatuto General y el artículo 5 de la Ley 1150 de 2007, pues la declaratoria de desierta solo procede cuando no es posible la selección objetiva del contratista</w:t>
      </w:r>
      <w:r w:rsidRPr="00482CF9">
        <w:rPr>
          <w:rFonts w:ascii="Arial" w:eastAsia="Times New Roman" w:hAnsi="Arial" w:cs="Arial"/>
          <w:color w:val="000000"/>
          <w:szCs w:val="24"/>
          <w:vertAlign w:val="superscript"/>
          <w:lang w:val="es-ES_tradnl" w:eastAsia="es-ES_tradnl"/>
        </w:rPr>
        <w:footnoteReference w:id="4"/>
      </w:r>
      <w:r w:rsidRPr="00482CF9">
        <w:rPr>
          <w:rFonts w:ascii="Arial" w:eastAsia="Times New Roman" w:hAnsi="Arial" w:cs="Arial"/>
          <w:color w:val="000000"/>
          <w:szCs w:val="24"/>
          <w:lang w:val="es-ES_tradnl" w:eastAsia="es-ES_tradnl"/>
        </w:rPr>
        <w:t>.</w:t>
      </w:r>
    </w:p>
    <w:p w14:paraId="53863315" w14:textId="77777777" w:rsidR="005D331F" w:rsidRPr="00482CF9" w:rsidRDefault="005D331F" w:rsidP="005D331F">
      <w:pPr>
        <w:spacing w:before="120" w:after="0" w:line="276" w:lineRule="auto"/>
        <w:ind w:firstLine="709"/>
        <w:jc w:val="both"/>
        <w:rPr>
          <w:rFonts w:ascii="Arial" w:eastAsia="Calibri" w:hAnsi="Arial" w:cs="Arial"/>
          <w:color w:val="000000"/>
          <w:szCs w:val="24"/>
          <w:lang w:val="es-ES_tradnl" w:eastAsia="es-ES_tradnl"/>
        </w:rPr>
      </w:pPr>
      <w:bookmarkStart w:id="3" w:name="_Hlk43916091"/>
      <w:r w:rsidRPr="00482CF9">
        <w:rPr>
          <w:rFonts w:ascii="Arial" w:eastAsia="Times New Roman" w:hAnsi="Arial" w:cs="Arial"/>
          <w:color w:val="000000"/>
          <w:szCs w:val="24"/>
          <w:lang w:val="es-ES_tradnl" w:eastAsia="es-ES_tradnl"/>
        </w:rPr>
        <w:t xml:space="preserve">En consecuencia, </w:t>
      </w:r>
      <w:r w:rsidRPr="00482CF9">
        <w:rPr>
          <w:rFonts w:ascii="Arial" w:eastAsia="Calibri" w:hAnsi="Arial" w:cs="Arial"/>
          <w:color w:val="000000"/>
          <w:szCs w:val="24"/>
          <w:lang w:val="es-ES_tradnl" w:eastAsia="es-ES_tradnl"/>
        </w:rPr>
        <w:t>con los autos de suspensión provisional, el concurso de méritos abierto debía desarrollarse aplicando únicamente los numerales 1 y 2 del</w:t>
      </w:r>
      <w:r w:rsidRPr="00482CF9">
        <w:rPr>
          <w:rFonts w:ascii="Arial" w:eastAsia="Times New Roman" w:hAnsi="Arial" w:cs="Arial"/>
          <w:color w:val="000000"/>
          <w:szCs w:val="24"/>
          <w:lang w:val="es-ES_tradnl" w:eastAsia="es-ES_tradnl"/>
        </w:rPr>
        <w:t xml:space="preserve"> artículo 2.2.1.2.1.3.2 original del Decreto 1082 de 2015, esto es, antes de la modificación realizada por el Decreto 399 de 2021, al que se hará referencia en el numeral siguiente.</w:t>
      </w:r>
      <w:bookmarkEnd w:id="3"/>
      <w:r w:rsidRPr="00482CF9">
        <w:rPr>
          <w:rFonts w:ascii="Arial" w:eastAsia="Times New Roman" w:hAnsi="Arial" w:cs="Arial"/>
          <w:color w:val="000000"/>
          <w:szCs w:val="24"/>
          <w:lang w:val="es-ES_tradnl" w:eastAsia="es-ES_tradnl"/>
        </w:rPr>
        <w:t xml:space="preserve"> Por lo tanto, </w:t>
      </w:r>
      <w:r w:rsidRPr="00482CF9">
        <w:rPr>
          <w:rFonts w:ascii="Arial" w:eastAsia="Times New Roman" w:hAnsi="Arial" w:cs="Arial"/>
          <w:i/>
          <w:iCs/>
          <w:color w:val="000000"/>
          <w:szCs w:val="24"/>
          <w:lang w:val="es-ES_tradnl" w:eastAsia="es-ES_tradnl"/>
        </w:rPr>
        <w:t>siempre que estuviera dentro del presupuesto oficial</w:t>
      </w:r>
      <w:r w:rsidRPr="00482CF9">
        <w:rPr>
          <w:rFonts w:ascii="Arial" w:eastAsia="Times New Roman" w:hAnsi="Arial" w:cs="Arial"/>
          <w:color w:val="000000"/>
          <w:szCs w:val="24"/>
          <w:lang w:val="es-ES_tradnl" w:eastAsia="es-ES_tradnl"/>
        </w:rPr>
        <w:t>, la entidad estatal debía adjudicar el contrato al proponente que ocupara el primer puesto en el orden de elegibilidad, independientemente del valor ofrecido</w:t>
      </w:r>
      <w:r w:rsidRPr="00482CF9">
        <w:rPr>
          <w:rFonts w:ascii="Arial" w:eastAsia="Calibri" w:hAnsi="Arial" w:cs="Arial"/>
          <w:color w:val="000000"/>
          <w:szCs w:val="24"/>
          <w:lang w:val="es-ES_tradnl" w:eastAsia="es-ES_tradnl"/>
        </w:rPr>
        <w:t>.</w:t>
      </w:r>
    </w:p>
    <w:p w14:paraId="5E62A0D7" w14:textId="77777777" w:rsidR="005D331F" w:rsidRPr="00482CF9" w:rsidRDefault="005D331F" w:rsidP="005D331F">
      <w:pPr>
        <w:spacing w:after="0" w:line="276" w:lineRule="auto"/>
        <w:jc w:val="both"/>
        <w:rPr>
          <w:rFonts w:ascii="Arial" w:eastAsia="Calibri" w:hAnsi="Arial" w:cs="Arial"/>
          <w:color w:val="000000"/>
          <w:lang w:val="es-ES_tradnl"/>
        </w:rPr>
      </w:pPr>
    </w:p>
    <w:p w14:paraId="08C14DBF" w14:textId="77777777" w:rsidR="005D331F" w:rsidRPr="00482CF9" w:rsidRDefault="005D331F" w:rsidP="005D331F">
      <w:pPr>
        <w:spacing w:after="0" w:line="276" w:lineRule="auto"/>
        <w:jc w:val="both"/>
        <w:rPr>
          <w:rFonts w:ascii="Arial" w:eastAsia="Calibri" w:hAnsi="Arial" w:cs="Arial"/>
          <w:b/>
          <w:bCs/>
          <w:color w:val="000000"/>
          <w:lang w:val="es-ES_tradnl"/>
        </w:rPr>
      </w:pPr>
      <w:r w:rsidRPr="00482CF9">
        <w:rPr>
          <w:rFonts w:ascii="Arial" w:eastAsia="Calibri" w:hAnsi="Arial" w:cs="Arial"/>
          <w:b/>
          <w:bCs/>
          <w:color w:val="000000"/>
          <w:lang w:val="es-ES_tradnl"/>
        </w:rPr>
        <w:t>2.2. Reglamentación del concurso de méritos abierto o con precalificación en el Decreto 399 de 2021</w:t>
      </w:r>
    </w:p>
    <w:p w14:paraId="7AD0529A" w14:textId="77777777" w:rsidR="005D331F" w:rsidRPr="00482CF9" w:rsidRDefault="005D331F" w:rsidP="005D331F">
      <w:pPr>
        <w:spacing w:after="0" w:line="276" w:lineRule="auto"/>
        <w:jc w:val="both"/>
        <w:rPr>
          <w:rFonts w:ascii="Arial" w:eastAsia="Calibri" w:hAnsi="Arial" w:cs="Arial"/>
          <w:color w:val="000000"/>
          <w:lang w:val="es-ES_tradnl"/>
        </w:rPr>
      </w:pPr>
    </w:p>
    <w:p w14:paraId="24FDE352" w14:textId="77777777" w:rsidR="005D331F" w:rsidRPr="00482CF9" w:rsidRDefault="005D331F" w:rsidP="005D331F">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El artículo 2 del Decreto 399 de 2021 modificó el artículo 2.2.1.2.1.3.2 del Decreto 1082 de 2015, en los siguientes términos:</w:t>
      </w:r>
    </w:p>
    <w:p w14:paraId="3B06808E" w14:textId="77777777" w:rsidR="005D331F" w:rsidRPr="00482CF9" w:rsidRDefault="005D331F" w:rsidP="005D331F">
      <w:pPr>
        <w:spacing w:after="0" w:line="276" w:lineRule="auto"/>
        <w:jc w:val="both"/>
        <w:rPr>
          <w:rFonts w:ascii="Arial" w:eastAsia="Calibri" w:hAnsi="Arial" w:cs="Arial"/>
          <w:color w:val="000000"/>
          <w:lang w:val="es-ES_tradnl"/>
        </w:rPr>
      </w:pPr>
    </w:p>
    <w:p w14:paraId="037E912B"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Artículo 2. Modificación del artículo 2.2.1.2.1.3.2.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2993E056"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2912022F"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"Artículo 2.2.1.2.1.3.2. Procedimiento del concurso de méritos. Además de las reglas generales previstas en la ley y en el presente título, las siguientes reglas son aplicables al concurso de méritos abierto o con precalificación:</w:t>
      </w:r>
    </w:p>
    <w:p w14:paraId="32EA8EBB"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6B72649D"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lastRenderedPageBreak/>
        <w:t>1. La Entidad Estatal en los pliegos de condiciones debe indicar la forma como calificará, entre otros, los siguientes criterios: a) la experiencia del interesado y del equipo de trabajo y b) la formación académica del equipo de trabajo.</w:t>
      </w:r>
    </w:p>
    <w:p w14:paraId="1E8ABC38"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4B637A73"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425D59E8"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124EE1BD"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7736DBEF" w14:textId="77777777" w:rsidR="005D331F" w:rsidRPr="00482CF9" w:rsidRDefault="005D331F" w:rsidP="005D331F">
      <w:pPr>
        <w:spacing w:after="0" w:line="276" w:lineRule="auto"/>
        <w:jc w:val="both"/>
        <w:rPr>
          <w:rFonts w:ascii="Arial" w:eastAsia="Calibri" w:hAnsi="Arial" w:cs="Arial"/>
          <w:color w:val="000000"/>
          <w:lang w:val="es-ES_tradnl"/>
        </w:rPr>
      </w:pPr>
    </w:p>
    <w:p w14:paraId="0EA05C95" w14:textId="77777777" w:rsidR="005D331F" w:rsidRPr="00482CF9" w:rsidRDefault="005D331F" w:rsidP="005D331F">
      <w:pPr>
        <w:spacing w:after="0" w:line="276" w:lineRule="auto"/>
        <w:jc w:val="both"/>
        <w:rPr>
          <w:rFonts w:ascii="Arial" w:eastAsia="Calibri" w:hAnsi="Arial" w:cs="Arial"/>
          <w:color w:val="000000"/>
          <w:szCs w:val="24"/>
          <w:lang w:val="es-ES_tradnl" w:eastAsia="es-ES_tradnl"/>
        </w:rPr>
      </w:pPr>
      <w:r w:rsidRPr="00482CF9">
        <w:rPr>
          <w:rFonts w:ascii="Arial" w:eastAsia="Calibri" w:hAnsi="Arial" w:cs="Arial"/>
          <w:color w:val="000000"/>
          <w:lang w:val="es-ES_tradnl"/>
        </w:rPr>
        <w:tab/>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482CF9">
        <w:rPr>
          <w:rFonts w:ascii="Arial" w:eastAsia="Calibri" w:hAnsi="Arial" w:cs="Arial"/>
          <w:color w:val="000000"/>
          <w:szCs w:val="24"/>
          <w:vertAlign w:val="superscript"/>
          <w:lang w:val="es-ES_tradnl" w:eastAsia="es-ES_tradnl"/>
        </w:rPr>
        <w:footnoteReference w:id="5"/>
      </w:r>
      <w:r w:rsidRPr="00482CF9">
        <w:rPr>
          <w:rFonts w:ascii="Arial" w:eastAsia="Calibri" w:hAnsi="Arial" w:cs="Arial"/>
          <w:color w:val="000000"/>
          <w:szCs w:val="24"/>
          <w:lang w:val="es-ES_tradnl" w:eastAsia="es-ES_tradnl"/>
        </w:rPr>
        <w:t>. A diferencia de lo que establecía este artículo en su redacción inicial, con la entrada en vigencia del artículo 2 del Decreto 399 de 2021 se observan los siguientes cambios:</w:t>
      </w:r>
    </w:p>
    <w:p w14:paraId="390C843D" w14:textId="5FAC3322" w:rsidR="005D331F" w:rsidRPr="00482CF9" w:rsidRDefault="005D331F" w:rsidP="005D331F">
      <w:pPr>
        <w:spacing w:before="120" w:after="0" w:line="276" w:lineRule="auto"/>
        <w:ind w:firstLine="630"/>
        <w:jc w:val="both"/>
        <w:rPr>
          <w:rFonts w:ascii="Arial" w:eastAsia="Calibri" w:hAnsi="Arial" w:cs="Arial"/>
          <w:color w:val="000000"/>
          <w:lang w:val="es-ES" w:eastAsia="es-ES"/>
        </w:rPr>
      </w:pPr>
      <w:r w:rsidRPr="7FDDD7E9">
        <w:rPr>
          <w:rFonts w:ascii="Arial" w:eastAsia="Calibri" w:hAnsi="Arial" w:cs="Arial"/>
          <w:color w:val="000000"/>
          <w:lang w:val="es-ES" w:eastAsia="es-ES"/>
        </w:rPr>
        <w:t xml:space="preserve">i) El informe de evaluación, que la entidad debe publicar durante tres (3) días hábiles, debe contener ya no solamente la calificación técnica y el orden de elegibilidad, sino </w:t>
      </w:r>
      <w:r w:rsidR="000B5B6E">
        <w:rPr>
          <w:rFonts w:ascii="Arial" w:eastAsia="Calibri" w:hAnsi="Arial" w:cs="Arial"/>
          <w:color w:val="000000"/>
          <w:lang w:val="es-ES" w:eastAsia="es-ES"/>
        </w:rPr>
        <w:t>“</w:t>
      </w:r>
      <w:r w:rsidRPr="7FDDD7E9">
        <w:rPr>
          <w:rFonts w:ascii="Arial" w:eastAsia="Calibri" w:hAnsi="Arial" w:cs="Arial"/>
          <w:color w:val="000000"/>
          <w:lang w:val="es-ES" w:eastAsia="es-ES"/>
        </w:rPr>
        <w:t>[…] la evaluación de las ofertas frente a todos los requisitos exigidos en el pliego de condiciones, incluyendo los requisitos habilitantes y los de asignación de puntaje</w:t>
      </w:r>
      <w:r w:rsidR="000B5B6E">
        <w:rPr>
          <w:rFonts w:ascii="Arial" w:eastAsia="Calibri" w:hAnsi="Arial" w:cs="Arial"/>
          <w:color w:val="000000"/>
          <w:lang w:val="es-ES" w:eastAsia="es-ES"/>
        </w:rPr>
        <w:t>”</w:t>
      </w:r>
      <w:r w:rsidRPr="7FDDD7E9">
        <w:rPr>
          <w:rFonts w:ascii="Arial" w:eastAsia="Calibri" w:hAnsi="Arial" w:cs="Arial"/>
          <w:color w:val="000000"/>
          <w:lang w:val="es-ES" w:eastAsia="es-ES"/>
        </w:rPr>
        <w:t>.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3039F645" w14:textId="729B2650" w:rsidR="005D331F" w:rsidRPr="00482CF9" w:rsidRDefault="005D331F" w:rsidP="005D331F">
      <w:pPr>
        <w:spacing w:before="120"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ii)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w:t>
      </w:r>
      <w:r w:rsidRPr="1548CBE8">
        <w:rPr>
          <w:rFonts w:ascii="Arial" w:eastAsia="Calibri" w:hAnsi="Arial" w:cs="Arial"/>
          <w:color w:val="000000" w:themeColor="text1"/>
          <w:lang w:val="es-ES" w:eastAsia="es-ES"/>
        </w:rPr>
        <w:lastRenderedPageBreak/>
        <w:t xml:space="preserve">trascendental, pues elimina estas etapas y señala, en su lugar, que </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Una vez resueltas las observaciones al informe de evaluación, la entidad adjudicará el contrato mediante acto administrativo al oferente que haya cumplido todos los requisitos exigidos en el pliego de condiciones y haya obtenido el mayor puntaje</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negociación</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con el oferente calificado en primer lugar sobre el valor y alcance del contrato, sino que debe proceder a la adjudicación a quien haya presentado objetivamente la mejor oferta, teniendo en cuenta todos los requisitos exigidos en el pliego de condiciones.</w:t>
      </w:r>
    </w:p>
    <w:p w14:paraId="3AA9944D" w14:textId="77777777" w:rsidR="005D331F" w:rsidRPr="00482CF9" w:rsidRDefault="005D331F" w:rsidP="005D331F">
      <w:pPr>
        <w:spacing w:before="120"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16AB22A5" w14:textId="06140A02" w:rsidR="005D331F" w:rsidRPr="00482CF9" w:rsidRDefault="005D331F" w:rsidP="005D331F">
      <w:pPr>
        <w:spacing w:before="120"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publicar las variables utilizadas para calcular el valor estimado del contrato cuando la modalidad de selección del contratista sea en concurso de méritos</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3E5CD129"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09D0D4BC" w14:textId="7FC29A65" w:rsidR="005D331F" w:rsidRPr="00482CF9" w:rsidRDefault="000B5B6E" w:rsidP="005D331F">
      <w:pPr>
        <w:shd w:val="clear" w:color="auto" w:fill="FFFFFF" w:themeFill="background1"/>
        <w:spacing w:after="0" w:line="240" w:lineRule="auto"/>
        <w:ind w:left="709" w:right="709"/>
        <w:jc w:val="both"/>
        <w:rPr>
          <w:rFonts w:ascii="Arial" w:eastAsia="Times New Roman" w:hAnsi="Arial" w:cs="Arial"/>
          <w:color w:val="000000"/>
          <w:sz w:val="21"/>
          <w:szCs w:val="21"/>
          <w:lang w:val="es-ES" w:eastAsia="es-ES"/>
        </w:rPr>
      </w:pPr>
      <w:r>
        <w:rPr>
          <w:rFonts w:ascii="Arial" w:eastAsia="Times New Roman" w:hAnsi="Arial" w:cs="Arial"/>
          <w:color w:val="000000" w:themeColor="text1"/>
          <w:sz w:val="21"/>
          <w:szCs w:val="21"/>
          <w:lang w:val="es-ES" w:eastAsia="es-ES"/>
        </w:rPr>
        <w:t>“</w:t>
      </w:r>
      <w:r w:rsidR="005D331F" w:rsidRPr="1548CBE8">
        <w:rPr>
          <w:rFonts w:ascii="Arial" w:eastAsia="Times New Roman" w:hAnsi="Arial" w:cs="Arial"/>
          <w:color w:val="000000" w:themeColor="text1"/>
          <w:sz w:val="21"/>
          <w:szCs w:val="21"/>
          <w:lang w:val="es-ES" w:eastAsia="es-ES"/>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2B7DE4AC"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17BA730D" w14:textId="63C6183E" w:rsidR="005D331F" w:rsidRPr="00482CF9" w:rsidRDefault="005D331F" w:rsidP="005D331F">
      <w:pPr>
        <w:shd w:val="clear" w:color="auto" w:fill="FFFFFF" w:themeFill="background1"/>
        <w:spacing w:after="0" w:line="240" w:lineRule="auto"/>
        <w:ind w:left="709" w:right="709"/>
        <w:jc w:val="both"/>
        <w:rPr>
          <w:rFonts w:ascii="Arial" w:eastAsia="Times New Roman" w:hAnsi="Arial" w:cs="Arial"/>
          <w:color w:val="000000"/>
          <w:sz w:val="21"/>
          <w:szCs w:val="21"/>
          <w:lang w:val="es-ES" w:eastAsia="es-ES"/>
        </w:rPr>
      </w:pPr>
      <w:r w:rsidRPr="1548CBE8">
        <w:rPr>
          <w:rFonts w:ascii="Arial" w:eastAsia="Times New Roman" w:hAnsi="Arial" w:cs="Arial"/>
          <w:color w:val="000000" w:themeColor="text1"/>
          <w:sz w:val="21"/>
          <w:szCs w:val="21"/>
          <w:lang w:val="es-ES" w:eastAsia="es-ES"/>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000B5B6E">
        <w:rPr>
          <w:rFonts w:ascii="Arial" w:eastAsia="Times New Roman" w:hAnsi="Arial" w:cs="Arial"/>
          <w:color w:val="000000" w:themeColor="text1"/>
          <w:sz w:val="21"/>
          <w:szCs w:val="21"/>
          <w:lang w:val="es-ES" w:eastAsia="es-ES"/>
        </w:rPr>
        <w:t>”</w:t>
      </w:r>
      <w:r w:rsidRPr="1548CBE8">
        <w:rPr>
          <w:rFonts w:ascii="Arial" w:eastAsia="Calibri" w:hAnsi="Arial" w:cs="Arial"/>
          <w:color w:val="000000" w:themeColor="text1"/>
          <w:lang w:val="es-ES" w:eastAsia="es-ES"/>
        </w:rPr>
        <w:t xml:space="preserve">  </w:t>
      </w:r>
    </w:p>
    <w:p w14:paraId="66DC8805" w14:textId="77777777" w:rsidR="005D331F" w:rsidRPr="00482CF9" w:rsidRDefault="005D331F" w:rsidP="005D331F">
      <w:pPr>
        <w:spacing w:after="0" w:line="276" w:lineRule="auto"/>
        <w:ind w:firstLine="709"/>
        <w:jc w:val="both"/>
        <w:rPr>
          <w:rFonts w:ascii="Arial" w:eastAsia="Calibri" w:hAnsi="Arial" w:cs="Arial"/>
          <w:color w:val="000000"/>
          <w:szCs w:val="24"/>
          <w:lang w:val="es-ES_tradnl" w:eastAsia="es-ES_tradnl"/>
        </w:rPr>
      </w:pPr>
    </w:p>
    <w:p w14:paraId="355B20E7" w14:textId="30C6E95D" w:rsidR="005D331F" w:rsidRPr="00482CF9" w:rsidRDefault="005D331F" w:rsidP="005D331F">
      <w:pPr>
        <w:spacing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lastRenderedPageBreak/>
        <w:t xml:space="preserve">Por lo tanto,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En los procesos para la selección de consultores se hará uso de factores de calificación destinados a valorar los aspectos técnicos de la oferta o proyecto […]</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y que </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En ningún caso se podrá incluir el precio, como factor de escogencia para la selección de consultores</w:t>
      </w:r>
      <w:r w:rsidR="000B5B6E">
        <w:rPr>
          <w:rFonts w:ascii="Arial" w:eastAsia="Calibri" w:hAnsi="Arial" w:cs="Arial"/>
          <w:color w:val="000000" w:themeColor="text1"/>
          <w:lang w:val="es-ES" w:eastAsia="es-ES"/>
        </w:rPr>
        <w:t>”</w:t>
      </w:r>
      <w:r w:rsidRPr="1548CBE8">
        <w:rPr>
          <w:rFonts w:ascii="Arial" w:eastAsia="Calibri" w:hAnsi="Arial" w:cs="Arial"/>
          <w:color w:val="000000" w:themeColor="text1"/>
          <w:lang w:val="es-ES" w:eastAsia="es-ES"/>
        </w:rPr>
        <w:t xml:space="preserve">.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040A05C7" w14:textId="77777777" w:rsidR="005D331F" w:rsidRPr="00482CF9" w:rsidRDefault="005D331F" w:rsidP="005D331F">
      <w:pPr>
        <w:spacing w:before="120" w:after="0" w:line="276" w:lineRule="auto"/>
        <w:ind w:firstLine="709"/>
        <w:jc w:val="both"/>
        <w:rPr>
          <w:rFonts w:ascii="Arial" w:eastAsia="Calibri" w:hAnsi="Arial" w:cs="Arial"/>
          <w:color w:val="000000"/>
          <w:lang w:val="es-ES" w:eastAsia="es-ES"/>
        </w:rPr>
      </w:pPr>
    </w:p>
    <w:p w14:paraId="0F8C5E31" w14:textId="77777777" w:rsidR="005D331F" w:rsidRPr="00482CF9" w:rsidRDefault="005D331F" w:rsidP="005D331F">
      <w:pPr>
        <w:spacing w:before="120" w:after="0" w:line="276" w:lineRule="auto"/>
        <w:ind w:firstLine="709"/>
        <w:jc w:val="both"/>
        <w:rPr>
          <w:rFonts w:ascii="Arial" w:eastAsia="Times New Roman" w:hAnsi="Arial" w:cs="Arial"/>
          <w:shd w:val="clear" w:color="auto" w:fill="FFFFFF"/>
          <w:lang w:eastAsia="es-ES_tradnl"/>
        </w:rPr>
      </w:pPr>
      <w:r w:rsidRPr="00482CF9">
        <w:rPr>
          <w:rFonts w:ascii="Arial" w:eastAsia="Calibri" w:hAnsi="Arial" w:cs="Arial"/>
          <w:szCs w:val="24"/>
          <w:lang w:val="es-ES_tradnl" w:eastAsia="es-ES_tradnl"/>
        </w:rPr>
        <w:t>De lo explicado previamente surge el siguiente interrogante: ¿el artículo 2 del Decreto 399 de 2021, normativa que modifica el artículo 2.2.1.2.1.3.2 del Decreto 1082, varía el momento en el cual las entidades estatales verifican las ofertas económicas? En la regulación inicialmente prevista por</w:t>
      </w:r>
      <w:r w:rsidRPr="00482CF9">
        <w:rPr>
          <w:rFonts w:ascii="Arial" w:eastAsia="Times New Roman" w:hAnsi="Arial" w:cs="Arial"/>
          <w:shd w:val="clear" w:color="auto" w:fill="FFFFFF"/>
          <w:lang w:eastAsia="es-ES_tradnl"/>
        </w:rPr>
        <w:t xml:space="preserve"> el Decreto 1082 de 201</w:t>
      </w:r>
      <w:r w:rsidRPr="00482CF9">
        <w:rPr>
          <w:rFonts w:ascii="Arial" w:eastAsia="Times New Roman" w:hAnsi="Arial" w:cs="Arial"/>
          <w:bCs/>
          <w:shd w:val="clear" w:color="auto" w:fill="FFFFFF"/>
          <w:lang w:eastAsia="es-ES_tradnl"/>
        </w:rPr>
        <w:t>5</w:t>
      </w:r>
      <w:r w:rsidRPr="00482CF9">
        <w:rPr>
          <w:rFonts w:ascii="Arial" w:eastAsia="Times New Roman" w:hAnsi="Arial" w:cs="Arial"/>
          <w:shd w:val="clear" w:color="auto" w:fill="FFFFFF"/>
          <w:lang w:eastAsia="es-ES_tradnl"/>
        </w:rPr>
        <w:t xml:space="preserve"> la revisión de las ofertas económicas se realizaba luego de publicar el informe de evaluación que contenía la calificación técnica y el orden de elegibilidad</w:t>
      </w:r>
      <w:r w:rsidRPr="00482CF9">
        <w:rPr>
          <w:rFonts w:ascii="Arial" w:eastAsia="Times New Roman" w:hAnsi="Arial" w:cs="Arial"/>
          <w:shd w:val="clear" w:color="auto" w:fill="FFFFFF"/>
          <w:vertAlign w:val="superscript"/>
          <w:lang w:eastAsia="es-ES_tradnl"/>
        </w:rPr>
        <w:footnoteReference w:id="6"/>
      </w:r>
      <w:r w:rsidRPr="00482CF9">
        <w:rPr>
          <w:rFonts w:ascii="Arial" w:eastAsia="Times New Roman" w:hAnsi="Arial" w:cs="Arial"/>
          <w:shd w:val="clear" w:color="auto" w:fill="FFFFFF"/>
          <w:lang w:eastAsia="es-ES_tradnl"/>
        </w:rPr>
        <w:t xml:space="preserve">. En este sentido, vencido el plazo de la fecha del cierre del proceso se evaluaban los documentos referidos a la calificación técnica, cuyo análisis y revisión quedaba contenido en el informe de evaluación. Publicado este informe en la plataforma del Sistema Electrónico de Contratación </w:t>
      </w:r>
      <w:r w:rsidRPr="00482CF9">
        <w:rPr>
          <w:rFonts w:ascii="Arial" w:eastAsia="Times New Roman" w:hAnsi="Arial" w:cs="Arial"/>
          <w:shd w:val="clear" w:color="auto" w:fill="FFFFFF"/>
          <w:lang w:eastAsia="es-ES_tradnl"/>
        </w:rPr>
        <w:lastRenderedPageBreak/>
        <w:t xml:space="preserve">Pública –SECOP–, se procedía a revisar la oferta económica para determinar que el valor de esta estuviera acorde con el valor del presupuesto estimado por la Entidad. </w:t>
      </w:r>
    </w:p>
    <w:p w14:paraId="17062870" w14:textId="77777777" w:rsidR="005D331F" w:rsidRPr="00482CF9" w:rsidRDefault="005D331F" w:rsidP="005D331F">
      <w:pPr>
        <w:spacing w:before="120" w:after="0" w:line="276" w:lineRule="auto"/>
        <w:ind w:firstLine="709"/>
        <w:jc w:val="both"/>
        <w:rPr>
          <w:rFonts w:ascii="Arial" w:eastAsia="Times New Roman" w:hAnsi="Arial" w:cs="Arial"/>
          <w:shd w:val="clear" w:color="auto" w:fill="FFFFFF"/>
          <w:lang w:eastAsia="es-ES"/>
        </w:rPr>
      </w:pPr>
      <w:r w:rsidRPr="1548CBE8">
        <w:rPr>
          <w:rFonts w:ascii="Arial" w:eastAsia="Times New Roman" w:hAnsi="Arial" w:cs="Arial"/>
          <w:shd w:val="clear" w:color="auto" w:fill="FFFFFF"/>
          <w:lang w:eastAsia="es-ES"/>
        </w:rPr>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w14:paraId="624A11B9" w14:textId="77777777" w:rsidR="005D331F" w:rsidRPr="00482CF9" w:rsidRDefault="005D331F" w:rsidP="005D331F">
      <w:pPr>
        <w:tabs>
          <w:tab w:val="left" w:pos="284"/>
        </w:tabs>
        <w:spacing w:after="0" w:line="276" w:lineRule="auto"/>
        <w:contextualSpacing/>
        <w:jc w:val="both"/>
        <w:rPr>
          <w:rFonts w:ascii="Arial" w:eastAsia="Calibri" w:hAnsi="Arial" w:cs="Arial"/>
          <w:b/>
          <w:color w:val="000000"/>
          <w:lang w:val="es-ES_tradnl"/>
        </w:rPr>
      </w:pPr>
    </w:p>
    <w:p w14:paraId="4E96D985" w14:textId="213957D2" w:rsidR="005D331F" w:rsidRPr="00482CF9" w:rsidRDefault="005D331F" w:rsidP="005D331F">
      <w:pPr>
        <w:tabs>
          <w:tab w:val="left" w:pos="284"/>
        </w:tabs>
        <w:spacing w:after="0" w:line="276" w:lineRule="auto"/>
        <w:contextualSpacing/>
        <w:jc w:val="both"/>
        <w:rPr>
          <w:rFonts w:ascii="Arial" w:eastAsia="Calibri" w:hAnsi="Arial" w:cs="Arial"/>
          <w:b/>
          <w:color w:val="000000"/>
          <w:lang w:val="es-ES_tradnl"/>
        </w:rPr>
      </w:pPr>
      <w:r w:rsidRPr="00482CF9">
        <w:rPr>
          <w:rFonts w:ascii="Arial" w:eastAsia="Calibri" w:hAnsi="Arial" w:cs="Arial"/>
          <w:b/>
          <w:color w:val="000000"/>
          <w:lang w:val="es-ES_tradnl"/>
        </w:rPr>
        <w:t>2.3. La subsanabilidad de las ofertas en los procesos de selección del Estatuto General de Contratación de la Administración Pública</w:t>
      </w:r>
      <w:r w:rsidR="008E2289">
        <w:rPr>
          <w:rFonts w:ascii="Arial" w:eastAsia="Calibri" w:hAnsi="Arial" w:cs="Arial"/>
          <w:b/>
          <w:color w:val="000000"/>
          <w:lang w:val="es-ES_tradnl"/>
        </w:rPr>
        <w:t xml:space="preserve"> </w:t>
      </w:r>
    </w:p>
    <w:p w14:paraId="0C23B210" w14:textId="77777777" w:rsidR="005D331F" w:rsidRPr="00482CF9" w:rsidRDefault="005D331F" w:rsidP="005D331F">
      <w:pPr>
        <w:tabs>
          <w:tab w:val="left" w:pos="284"/>
        </w:tabs>
        <w:spacing w:after="0" w:line="276" w:lineRule="auto"/>
        <w:contextualSpacing/>
        <w:jc w:val="both"/>
        <w:rPr>
          <w:rFonts w:ascii="Arial" w:eastAsia="Calibri" w:hAnsi="Arial" w:cs="Arial"/>
          <w:b/>
          <w:color w:val="000000"/>
          <w:lang w:val="es-ES_tradnl"/>
        </w:rPr>
      </w:pPr>
    </w:p>
    <w:p w14:paraId="65C9F5F4" w14:textId="281FB409" w:rsidR="005D331F" w:rsidRDefault="005D331F" w:rsidP="00120E43">
      <w:pPr>
        <w:spacing w:after="0" w:line="276" w:lineRule="auto"/>
        <w:contextualSpacing/>
        <w:jc w:val="both"/>
        <w:rPr>
          <w:rFonts w:ascii="Arial" w:eastAsia="Arial" w:hAnsi="Arial" w:cs="Arial"/>
          <w:lang w:val="es-ES"/>
        </w:rPr>
      </w:pPr>
      <w:r w:rsidRPr="1548CBE8">
        <w:rPr>
          <w:rFonts w:ascii="Arial" w:eastAsia="Arial" w:hAnsi="Arial" w:cs="Arial"/>
          <w:color w:val="000000" w:themeColor="text1"/>
          <w:lang w:val="es-MX"/>
        </w:rPr>
        <w:t xml:space="preserve"> En el concepto CU — 060 de 16 de enero de 2020, se unificó el concepto de la Agencia Nacional de Contratación Pública – Colombia Compra Eficiente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3D85D683" w14:textId="77777777" w:rsidR="00120E43" w:rsidRPr="00120E43" w:rsidRDefault="00120E43" w:rsidP="00120E43">
      <w:pPr>
        <w:spacing w:after="0" w:line="276" w:lineRule="auto"/>
        <w:contextualSpacing/>
        <w:jc w:val="both"/>
        <w:rPr>
          <w:rFonts w:ascii="Arial" w:eastAsia="Arial" w:hAnsi="Arial" w:cs="Arial"/>
          <w:lang w:val="es-ES"/>
        </w:rPr>
      </w:pPr>
    </w:p>
    <w:p w14:paraId="2260BDEF" w14:textId="10157D5A" w:rsidR="005D331F" w:rsidRPr="00666155" w:rsidRDefault="005D331F" w:rsidP="00666155">
      <w:pPr>
        <w:spacing w:before="120" w:after="200" w:line="276" w:lineRule="auto"/>
        <w:ind w:firstLine="708"/>
        <w:jc w:val="both"/>
        <w:rPr>
          <w:rFonts w:ascii="Arial" w:eastAsia="Arial" w:hAnsi="Arial" w:cs="Arial"/>
        </w:rPr>
      </w:pPr>
      <w:r w:rsidRPr="1548CBE8">
        <w:rPr>
          <w:rFonts w:ascii="Arial" w:eastAsia="Arial" w:hAnsi="Arial" w:cs="Arial"/>
          <w:color w:val="000000" w:themeColor="text1"/>
          <w:lang w:val="es-ES"/>
        </w:rPr>
        <w:t xml:space="preserve">La referida postura indica que, </w:t>
      </w:r>
      <w:r w:rsidRPr="00747A08">
        <w:rPr>
          <w:rFonts w:ascii="Arial" w:eastAsia="Arial" w:hAnsi="Arial" w:cs="Arial"/>
          <w:color w:val="000000" w:themeColor="text1"/>
          <w:u w:val="single"/>
          <w:lang w:val="es-ES"/>
        </w:rPr>
        <w:t>por regla general, la falta de entrega y los defectos, en la acreditación de los requisitos habilitantes son aspectos subsanables</w:t>
      </w:r>
      <w:r w:rsidRPr="1548CBE8">
        <w:rPr>
          <w:rFonts w:ascii="Arial" w:eastAsia="Arial" w:hAnsi="Arial" w:cs="Arial"/>
          <w:color w:val="000000" w:themeColor="text1"/>
          <w:lang w:val="es-ES"/>
        </w:rPr>
        <w:t xml:space="preserve">. </w:t>
      </w:r>
      <w:r w:rsidRPr="00747A08">
        <w:rPr>
          <w:rFonts w:ascii="Arial" w:eastAsia="Arial" w:hAnsi="Arial" w:cs="Arial"/>
          <w:color w:val="000000" w:themeColor="text1"/>
          <w:u w:val="single"/>
          <w:lang w:val="es-ES"/>
        </w:rPr>
        <w:t>La excepción se encuentra en los casos, previstos en la ley</w:t>
      </w:r>
      <w:r w:rsidRPr="1548CBE8">
        <w:rPr>
          <w:rFonts w:ascii="Arial" w:eastAsia="Arial" w:hAnsi="Arial" w:cs="Arial"/>
          <w:color w:val="000000" w:themeColor="text1"/>
          <w:lang w:val="es-ES"/>
        </w:rPr>
        <w:t xml:space="preserve">, que limitan la subsanabilidad, es decir, </w:t>
      </w:r>
      <w:r w:rsidRPr="0069199D">
        <w:rPr>
          <w:rFonts w:ascii="Arial" w:eastAsia="Arial" w:hAnsi="Arial" w:cs="Arial"/>
          <w:color w:val="000000" w:themeColor="text1"/>
          <w:highlight w:val="yellow"/>
          <w:u w:val="single"/>
          <w:lang w:val="es-ES"/>
        </w:rPr>
        <w:t>en la prohibición de permitir la entrega de la garantía de seriedad de la oferta que no fue aportada con la propuesta</w:t>
      </w:r>
      <w:r w:rsidRPr="0069199D">
        <w:rPr>
          <w:rFonts w:ascii="Arial" w:eastAsia="Arial" w:hAnsi="Arial" w:cs="Arial"/>
          <w:color w:val="000000" w:themeColor="text1"/>
          <w:u w:val="single"/>
          <w:lang w:val="es-ES"/>
        </w:rPr>
        <w:t xml:space="preserve"> </w:t>
      </w:r>
      <w:r w:rsidRPr="1548CBE8">
        <w:rPr>
          <w:rFonts w:ascii="Arial" w:eastAsia="Arial" w:hAnsi="Arial" w:cs="Arial"/>
          <w:color w:val="000000" w:themeColor="text1"/>
          <w:lang w:val="es-ES"/>
        </w:rPr>
        <w:t xml:space="preserve">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r w:rsidRPr="1548CBE8">
        <w:rPr>
          <w:rFonts w:ascii="Arial" w:eastAsia="Arial" w:hAnsi="Arial" w:cs="Arial"/>
        </w:rPr>
        <w:t xml:space="preserve"> </w:t>
      </w:r>
    </w:p>
    <w:p w14:paraId="74634C3E" w14:textId="77777777" w:rsidR="005D331F" w:rsidRPr="00482CF9" w:rsidRDefault="005D331F" w:rsidP="005D331F">
      <w:pPr>
        <w:spacing w:before="120" w:after="0" w:line="276" w:lineRule="auto"/>
        <w:ind w:firstLine="709"/>
        <w:jc w:val="both"/>
        <w:rPr>
          <w:rFonts w:ascii="Arial" w:eastAsia="Times New Roman" w:hAnsi="Arial" w:cs="Arial"/>
          <w:shd w:val="clear" w:color="auto" w:fill="FFFFFF"/>
          <w:lang w:eastAsia="es-ES"/>
        </w:rPr>
      </w:pPr>
      <w:r w:rsidRPr="7FDDD7E9">
        <w:rPr>
          <w:rFonts w:ascii="Arial" w:eastAsia="Times New Roman" w:hAnsi="Arial" w:cs="Arial"/>
          <w:shd w:val="clear" w:color="auto" w:fill="FFFFFF"/>
          <w:lang w:eastAsia="es-ES"/>
        </w:rPr>
        <w:lastRenderedPageBreak/>
        <w:t xml:space="preserve">En un </w:t>
      </w:r>
      <w:r w:rsidRPr="7FDDD7E9">
        <w:rPr>
          <w:rFonts w:ascii="Arial" w:eastAsia="Times New Roman" w:hAnsi="Arial" w:cs="Arial"/>
          <w:i/>
          <w:iCs/>
          <w:shd w:val="clear" w:color="auto" w:fill="FFFFFF"/>
          <w:lang w:eastAsia="es-ES"/>
        </w:rPr>
        <w:t xml:space="preserve">primer momento, </w:t>
      </w:r>
      <w:r w:rsidRPr="7FDDD7E9">
        <w:rPr>
          <w:rFonts w:ascii="Arial" w:eastAsia="Times New Roman" w:hAnsi="Arial" w:cs="Arial"/>
          <w:shd w:val="clear" w:color="auto" w:fill="FFFFFF"/>
          <w:lang w:eastAsia="es-ES"/>
        </w:rPr>
        <w:t>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14:paraId="2070DF3C" w14:textId="77777777" w:rsidR="005D331F" w:rsidRDefault="005D331F" w:rsidP="005D331F">
      <w:pPr>
        <w:spacing w:before="120" w:after="0" w:line="276" w:lineRule="auto"/>
        <w:ind w:firstLine="709"/>
        <w:jc w:val="both"/>
        <w:rPr>
          <w:rFonts w:ascii="Arial" w:eastAsia="Times New Roman" w:hAnsi="Arial" w:cs="Arial"/>
          <w:lang w:eastAsia="es-ES"/>
        </w:rPr>
      </w:pPr>
    </w:p>
    <w:p w14:paraId="2530CC40" w14:textId="77777777" w:rsidR="005D331F" w:rsidRPr="00482CF9" w:rsidRDefault="005D331F" w:rsidP="005D331F">
      <w:pPr>
        <w:spacing w:after="0" w:line="276" w:lineRule="auto"/>
        <w:ind w:firstLine="709"/>
        <w:jc w:val="both"/>
        <w:rPr>
          <w:rFonts w:ascii="Arial" w:eastAsia="Times New Roman" w:hAnsi="Arial" w:cs="Arial"/>
          <w:shd w:val="clear" w:color="auto" w:fill="FFFFFF"/>
          <w:lang w:eastAsia="es-ES_tradnl"/>
        </w:rPr>
      </w:pPr>
      <w:r w:rsidRPr="00482CF9">
        <w:rPr>
          <w:rFonts w:ascii="Arial" w:eastAsia="Times New Roman" w:hAnsi="Arial" w:cs="Arial"/>
          <w:shd w:val="clear" w:color="auto" w:fill="FFFFFF"/>
          <w:lang w:eastAsia="es-ES_tradnl"/>
        </w:rPr>
        <w:t xml:space="preserve">En un </w:t>
      </w:r>
      <w:r w:rsidRPr="00482CF9">
        <w:rPr>
          <w:rFonts w:ascii="Arial" w:eastAsia="Times New Roman" w:hAnsi="Arial" w:cs="Arial"/>
          <w:i/>
          <w:iCs/>
          <w:shd w:val="clear" w:color="auto" w:fill="FFFFFF"/>
          <w:lang w:eastAsia="es-ES_tradnl"/>
        </w:rPr>
        <w:t>segundo momento se</w:t>
      </w:r>
      <w:r w:rsidRPr="00482CF9">
        <w:rPr>
          <w:rFonts w:ascii="Arial" w:eastAsia="Times New Roman" w:hAnsi="Arial" w:cs="Arial"/>
          <w:shd w:val="clear" w:color="auto" w:fill="FFFFFF"/>
          <w:lang w:eastAsia="es-ES_tradnl"/>
        </w:rPr>
        <w:t xml:space="preserve"> expidió la Ley 80 de 1993, bajo el nuevo paradigma que supuso la Constitución de 1991, particularmente en la forma como se relaciona lo formal y lo sustancial en las actuaciones judiciales y administrativas, el cual quedó consignado en el artículo 228, que introdujo un principio de supremacía o prevalencia del derecho sustancial sobre lo procedimental. En este nuevo escenario constitucional, el numeral 15 del artículo 25 de la Ley 80 de 1993 dispuso lo siguiente: </w:t>
      </w:r>
    </w:p>
    <w:p w14:paraId="5C1889B7" w14:textId="77777777" w:rsidR="005D331F" w:rsidRPr="00482CF9" w:rsidRDefault="005D331F" w:rsidP="005D331F">
      <w:pPr>
        <w:spacing w:after="0" w:line="240" w:lineRule="auto"/>
        <w:ind w:left="709" w:right="709"/>
        <w:jc w:val="both"/>
        <w:rPr>
          <w:rFonts w:ascii="Arial" w:eastAsia="Calibri" w:hAnsi="Arial" w:cs="Arial"/>
          <w:sz w:val="21"/>
          <w:szCs w:val="21"/>
          <w:lang w:val="es-ES_tradnl"/>
        </w:rPr>
      </w:pPr>
    </w:p>
    <w:p w14:paraId="346822D9" w14:textId="1A94B5E0" w:rsidR="005D331F" w:rsidRPr="00482CF9" w:rsidRDefault="000B5B6E" w:rsidP="005D331F">
      <w:pPr>
        <w:spacing w:after="0" w:line="240" w:lineRule="auto"/>
        <w:ind w:left="709" w:right="709"/>
        <w:jc w:val="both"/>
        <w:rPr>
          <w:rFonts w:ascii="Arial" w:eastAsia="Calibri" w:hAnsi="Arial" w:cs="Arial"/>
          <w:sz w:val="21"/>
          <w:szCs w:val="21"/>
          <w:lang w:val="es-ES"/>
        </w:rPr>
      </w:pPr>
      <w:r>
        <w:rPr>
          <w:rFonts w:ascii="Arial" w:eastAsia="Arial" w:hAnsi="Arial" w:cs="Arial"/>
          <w:color w:val="000000" w:themeColor="text1"/>
          <w:lang w:val="es-ES"/>
        </w:rPr>
        <w:t>“</w:t>
      </w:r>
      <w:r w:rsidR="005D331F" w:rsidRPr="1548CBE8">
        <w:rPr>
          <w:rFonts w:ascii="Arial" w:eastAsia="Arial" w:hAnsi="Arial" w:cs="Arial"/>
          <w:sz w:val="21"/>
          <w:szCs w:val="21"/>
          <w:lang w:val="es-ES"/>
        </w:rPr>
        <w:t xml:space="preserve"> </w:t>
      </w:r>
      <w:r w:rsidR="005D331F" w:rsidRPr="1548CBE8">
        <w:rPr>
          <w:rFonts w:ascii="Arial" w:eastAsia="Calibri" w:hAnsi="Arial" w:cs="Arial"/>
          <w:sz w:val="21"/>
          <w:szCs w:val="21"/>
          <w:lang w:val="es-ES"/>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A0DB1DB" w14:textId="684FBFAB" w:rsidR="005D331F" w:rsidRPr="00482CF9" w:rsidRDefault="005D331F" w:rsidP="005D331F">
      <w:pPr>
        <w:spacing w:before="240" w:after="0" w:line="240" w:lineRule="auto"/>
        <w:ind w:left="709" w:right="709"/>
        <w:jc w:val="both"/>
        <w:rPr>
          <w:rFonts w:ascii="Arial" w:eastAsia="Calibri" w:hAnsi="Arial" w:cs="Arial"/>
          <w:sz w:val="21"/>
          <w:szCs w:val="21"/>
          <w:lang w:val="es-ES"/>
        </w:rPr>
      </w:pPr>
      <w:r w:rsidRPr="1548CBE8">
        <w:rPr>
          <w:rFonts w:ascii="Arial" w:eastAsia="Calibri" w:hAnsi="Arial" w:cs="Arial"/>
          <w:sz w:val="21"/>
          <w:szCs w:val="21"/>
          <w:lang w:val="es-ES"/>
        </w:rPr>
        <w:t>La ausencia de requisitos o la falta de documentos referentes a la futura contratación o al proponente, no necesarios para la comparación de propuestas, no servirá de título suficiente para el rechazo de los ofrecimientos hechos.</w:t>
      </w:r>
      <w:r w:rsidRPr="1548CBE8">
        <w:rPr>
          <w:rFonts w:ascii="Arial" w:eastAsia="Arial" w:hAnsi="Arial" w:cs="Arial"/>
          <w:color w:val="000000" w:themeColor="text1"/>
          <w:lang w:val="es-ES"/>
        </w:rPr>
        <w:t xml:space="preserve"> </w:t>
      </w:r>
      <w:r w:rsidR="000B5B6E">
        <w:rPr>
          <w:rFonts w:ascii="Arial" w:eastAsia="Arial" w:hAnsi="Arial" w:cs="Arial"/>
          <w:color w:val="000000" w:themeColor="text1"/>
          <w:lang w:val="es-ES"/>
        </w:rPr>
        <w:t>“</w:t>
      </w:r>
      <w:r w:rsidRPr="1548CBE8">
        <w:rPr>
          <w:rFonts w:ascii="Arial" w:eastAsia="Arial" w:hAnsi="Arial" w:cs="Arial"/>
          <w:color w:val="000000" w:themeColor="text1"/>
          <w:lang w:val="es-ES"/>
        </w:rPr>
        <w:t xml:space="preserve"> </w:t>
      </w:r>
      <w:r w:rsidRPr="1548CBE8">
        <w:rPr>
          <w:rFonts w:ascii="Arial" w:eastAsia="Arial" w:hAnsi="Arial" w:cs="Arial"/>
          <w:sz w:val="21"/>
          <w:szCs w:val="21"/>
          <w:lang w:val="es-ES"/>
        </w:rPr>
        <w:t xml:space="preserve"> </w:t>
      </w:r>
    </w:p>
    <w:p w14:paraId="1A6CDBED" w14:textId="77777777" w:rsidR="005D331F" w:rsidRPr="00482CF9" w:rsidRDefault="005D331F" w:rsidP="005D331F">
      <w:pPr>
        <w:spacing w:after="0" w:line="276" w:lineRule="auto"/>
        <w:ind w:firstLine="709"/>
        <w:jc w:val="both"/>
        <w:rPr>
          <w:rFonts w:ascii="Arial" w:eastAsia="Calibri" w:hAnsi="Arial" w:cs="Arial"/>
          <w:lang w:val="es-ES_tradnl"/>
        </w:rPr>
      </w:pPr>
    </w:p>
    <w:p w14:paraId="5D3DE3DE" w14:textId="7A5F05E2" w:rsidR="005D331F" w:rsidRPr="00482CF9" w:rsidRDefault="005D331F" w:rsidP="005D331F">
      <w:pPr>
        <w:spacing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tab/>
        <w:t xml:space="preserve">Bajo el amparo de esta norma, el régimen jurídico de subsanabilidad de las ofertas sufrió un cambio fundamental, pues ya no era posible rechazar las ofertas por falta de requisitos o documentos que no fueran </w:t>
      </w:r>
      <w:r w:rsidR="000B5B6E">
        <w:rPr>
          <w:rFonts w:ascii="Arial" w:hAnsi="Arial" w:cs="Arial"/>
          <w:lang w:val="es-ES_tradnl"/>
        </w:rPr>
        <w:t>“</w:t>
      </w:r>
      <w:r w:rsidRPr="00482CF9">
        <w:rPr>
          <w:rFonts w:ascii="Arial" w:hAnsi="Arial" w:cs="Arial"/>
          <w:lang w:val="es-ES_tradnl"/>
        </w:rPr>
        <w:t>necesarios para la comparación de propuestas</w:t>
      </w:r>
      <w:r w:rsidR="000B5B6E">
        <w:rPr>
          <w:rFonts w:ascii="Arial" w:hAnsi="Arial" w:cs="Arial"/>
          <w:lang w:val="es-ES_tradnl"/>
        </w:rPr>
        <w:t>”</w:t>
      </w:r>
      <w:r w:rsidRPr="00482CF9">
        <w:rPr>
          <w:rFonts w:ascii="Arial" w:hAnsi="Arial" w:cs="Arial"/>
          <w:lang w:val="es-ES_tradnl"/>
        </w:rPr>
        <w:t>. De esta manera, la ley introdujo un primer criterio jurídico, aunque indeterminado, que servía como punto de partida en la posibilidad de subsanar las ofertas, verificada la ausencia de un requisito o documento, previo al rechazo de la oferta, la Administración debía constatar si este era o no necesario para la comparación de las propuestas y de ese análisis surgía la decisión sobre su rechazo o la oportunidad de subsanar.</w:t>
      </w:r>
    </w:p>
    <w:p w14:paraId="2A5BB482" w14:textId="77777777" w:rsidR="005D331F" w:rsidRPr="00482CF9" w:rsidRDefault="005D331F" w:rsidP="005D331F">
      <w:pPr>
        <w:spacing w:before="120"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tab/>
      </w:r>
      <w:r w:rsidRPr="1548CBE8">
        <w:rPr>
          <w:rFonts w:ascii="Arial" w:eastAsia="Times New Roman" w:hAnsi="Arial" w:cs="Arial"/>
          <w:shd w:val="clear" w:color="auto" w:fill="FFFFFF"/>
          <w:lang w:eastAsia="es-ES"/>
        </w:rPr>
        <w:t>Esta norma debía leerse en conjunto con otras de la Ley 80 de 1993, particularmente el artículo 30.7</w:t>
      </w:r>
      <w:r w:rsidRPr="1548CBE8">
        <w:rPr>
          <w:rFonts w:ascii="Arial" w:hAnsi="Arial" w:cs="Arial"/>
          <w:vertAlign w:val="superscript"/>
          <w:lang w:val="es-ES"/>
        </w:rPr>
        <w:footnoteReference w:id="7"/>
      </w:r>
      <w:r w:rsidRPr="1548CBE8">
        <w:rPr>
          <w:rFonts w:ascii="Arial" w:hAnsi="Arial" w:cs="Arial"/>
          <w:lang w:val="es-ES"/>
        </w:rPr>
        <w:t xml:space="preserve">, que ordena a la entidad señalar un plazo razonable para evaluar las propuestas y para pedir a los proponentes, de ser necesario, que aclaren o expliquen aspectos que generen </w:t>
      </w:r>
      <w:r w:rsidRPr="1548CBE8">
        <w:rPr>
          <w:rFonts w:ascii="Arial" w:hAnsi="Arial" w:cs="Arial"/>
          <w:lang w:val="es-ES"/>
        </w:rPr>
        <w:lastRenderedPageBreak/>
        <w:t>dudas y resulten indispensables para llevar a cabo la evaluación; y con el artículo 30.8</w:t>
      </w:r>
      <w:r w:rsidRPr="1548CBE8">
        <w:rPr>
          <w:rFonts w:ascii="Arial" w:hAnsi="Arial" w:cs="Arial"/>
          <w:vertAlign w:val="superscript"/>
          <w:lang w:val="es-ES"/>
        </w:rPr>
        <w:footnoteReference w:id="8"/>
      </w:r>
      <w:r w:rsidRPr="1548CBE8">
        <w:rPr>
          <w:rFonts w:ascii="Arial" w:hAnsi="Arial" w:cs="Arial"/>
          <w:lang w:val="es-ES"/>
        </w:rPr>
        <w:t>, que consagró el término de 5 días hábiles para que los oferentes presenten observaciones al informe de evaluación de las propuestas, sin que sea posible completar, adicionar, modificar  o mejorar su oferta.</w:t>
      </w:r>
    </w:p>
    <w:p w14:paraId="1B28B88B" w14:textId="77777777" w:rsidR="005D331F" w:rsidRPr="00482CF9" w:rsidRDefault="005D331F" w:rsidP="005D331F">
      <w:pPr>
        <w:spacing w:before="120" w:after="0" w:line="276" w:lineRule="auto"/>
        <w:jc w:val="both"/>
        <w:rPr>
          <w:rFonts w:ascii="Arial" w:hAnsi="Arial" w:cs="Arial"/>
          <w:lang w:val="es-ES_tradnl"/>
        </w:rPr>
      </w:pPr>
      <w:r w:rsidRPr="00482CF9">
        <w:rPr>
          <w:rFonts w:ascii="Arial" w:hAnsi="Arial" w:cs="Arial"/>
          <w:lang w:val="es-ES_tradnl"/>
        </w:rPr>
        <w:tab/>
        <w:t xml:space="preserve">En un </w:t>
      </w:r>
      <w:r w:rsidRPr="00482CF9">
        <w:rPr>
          <w:rFonts w:ascii="Arial" w:hAnsi="Arial" w:cs="Arial"/>
          <w:i/>
          <w:iCs/>
          <w:lang w:val="es-ES_tradnl"/>
        </w:rPr>
        <w:t xml:space="preserve">tercer momento, </w:t>
      </w:r>
      <w:r w:rsidRPr="00482CF9">
        <w:rPr>
          <w:rFonts w:ascii="Arial" w:hAnsi="Arial" w:cs="Arial"/>
          <w:lang w:val="es-ES_tradnl"/>
        </w:rPr>
        <w:t>siguiendo la línea trazada por la Ley 80 de 1993, el legislador expidió la Ley 1150 de 2007, que en el parágrafo 1° del artículo 5 determinó lo siguiente:</w:t>
      </w:r>
    </w:p>
    <w:p w14:paraId="043C73C2" w14:textId="77777777" w:rsidR="005D331F" w:rsidRPr="00482CF9" w:rsidRDefault="005D331F" w:rsidP="005D331F">
      <w:pPr>
        <w:spacing w:after="0" w:line="240" w:lineRule="auto"/>
        <w:ind w:left="709" w:right="709"/>
        <w:jc w:val="both"/>
        <w:rPr>
          <w:rFonts w:ascii="Arial" w:eastAsia="Calibri" w:hAnsi="Arial" w:cs="Arial"/>
          <w:sz w:val="21"/>
          <w:szCs w:val="21"/>
          <w:lang w:val="es-ES_tradnl"/>
        </w:rPr>
      </w:pPr>
    </w:p>
    <w:p w14:paraId="1E3182FD" w14:textId="65707FBD" w:rsidR="005D331F" w:rsidRPr="00482CF9" w:rsidRDefault="000B5B6E" w:rsidP="005D331F">
      <w:pPr>
        <w:spacing w:after="0" w:line="240" w:lineRule="auto"/>
        <w:ind w:left="709" w:right="709"/>
        <w:jc w:val="both"/>
        <w:rPr>
          <w:rFonts w:ascii="Arial" w:eastAsia="Arial" w:hAnsi="Arial" w:cs="Arial"/>
          <w:sz w:val="21"/>
          <w:szCs w:val="21"/>
          <w:lang w:val="es-ES"/>
        </w:rPr>
      </w:pPr>
      <w:r>
        <w:rPr>
          <w:rFonts w:ascii="Arial" w:eastAsia="Arial" w:hAnsi="Arial" w:cs="Arial"/>
          <w:color w:val="000000" w:themeColor="text1"/>
          <w:lang w:val="es-MX"/>
        </w:rPr>
        <w:t>“</w:t>
      </w:r>
      <w:r w:rsidR="005D331F" w:rsidRPr="1548CBE8">
        <w:rPr>
          <w:rFonts w:ascii="Arial" w:eastAsia="Calibri" w:hAnsi="Arial" w:cs="Arial"/>
          <w:sz w:val="21"/>
          <w:szCs w:val="21"/>
          <w:lang w:val="es-ES"/>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005D331F" w:rsidRPr="1548CBE8">
        <w:rPr>
          <w:rFonts w:ascii="Arial" w:eastAsia="Calibri" w:hAnsi="Arial" w:cs="Arial"/>
          <w:b/>
          <w:bCs/>
          <w:sz w:val="21"/>
          <w:szCs w:val="21"/>
          <w:lang w:val="es-ES"/>
        </w:rPr>
        <w:t xml:space="preserve">, </w:t>
      </w:r>
      <w:r w:rsidR="005D331F" w:rsidRPr="1548CBE8">
        <w:rPr>
          <w:rFonts w:ascii="Arial" w:eastAsia="Calibri" w:hAnsi="Arial" w:cs="Arial"/>
          <w:sz w:val="21"/>
          <w:szCs w:val="21"/>
          <w:lang w:val="es-ES"/>
        </w:rPr>
        <w:t>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Pr>
          <w:rFonts w:ascii="Arial" w:eastAsia="Arial" w:hAnsi="Arial" w:cs="Arial"/>
          <w:color w:val="000000" w:themeColor="text1"/>
          <w:lang w:val="es-MX"/>
        </w:rPr>
        <w:t>”</w:t>
      </w:r>
      <w:r w:rsidR="005D331F" w:rsidRPr="1548CBE8">
        <w:rPr>
          <w:rFonts w:ascii="Arial" w:eastAsia="Arial" w:hAnsi="Arial" w:cs="Arial"/>
          <w:color w:val="000000" w:themeColor="text1"/>
          <w:sz w:val="21"/>
          <w:szCs w:val="21"/>
          <w:lang w:val="es-ES"/>
        </w:rPr>
        <w:t xml:space="preserve"> </w:t>
      </w:r>
      <w:r w:rsidR="005D331F" w:rsidRPr="1548CBE8">
        <w:rPr>
          <w:rFonts w:ascii="Arial" w:eastAsia="Arial" w:hAnsi="Arial" w:cs="Arial"/>
          <w:sz w:val="21"/>
          <w:szCs w:val="21"/>
          <w:lang w:val="es-ES"/>
        </w:rPr>
        <w:t xml:space="preserve"> </w:t>
      </w:r>
    </w:p>
    <w:p w14:paraId="6C7AEF83" w14:textId="77777777" w:rsidR="005D331F" w:rsidRPr="00482CF9" w:rsidRDefault="005D331F" w:rsidP="005D331F">
      <w:pPr>
        <w:spacing w:after="0" w:line="276" w:lineRule="auto"/>
        <w:jc w:val="both"/>
        <w:rPr>
          <w:rFonts w:ascii="Arial" w:hAnsi="Arial" w:cs="Arial"/>
          <w:lang w:val="es-ES_tradnl"/>
        </w:rPr>
      </w:pPr>
    </w:p>
    <w:p w14:paraId="434358FE" w14:textId="77777777" w:rsidR="005D331F" w:rsidRPr="00482CF9" w:rsidRDefault="005D331F" w:rsidP="005D331F">
      <w:pPr>
        <w:spacing w:after="0" w:line="276" w:lineRule="auto"/>
        <w:jc w:val="both"/>
        <w:rPr>
          <w:rFonts w:ascii="Arial" w:hAnsi="Arial" w:cs="Arial"/>
          <w:lang w:val="es-ES_tradnl"/>
        </w:rPr>
      </w:pPr>
      <w:r w:rsidRPr="00482CF9">
        <w:rPr>
          <w:rFonts w:ascii="Arial" w:hAnsi="Arial" w:cs="Arial"/>
          <w:lang w:val="es-ES_tradnl"/>
        </w:rPr>
        <w:tab/>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14:paraId="09B9F167" w14:textId="77777777" w:rsidR="005D331F" w:rsidRPr="00482CF9" w:rsidRDefault="005D331F" w:rsidP="005D331F">
      <w:pPr>
        <w:spacing w:before="120" w:after="0" w:line="276" w:lineRule="auto"/>
        <w:jc w:val="both"/>
        <w:rPr>
          <w:rFonts w:ascii="Arial" w:hAnsi="Arial" w:cs="Arial"/>
          <w:lang w:val="es-ES"/>
        </w:rPr>
      </w:pPr>
      <w:r w:rsidRPr="00482CF9">
        <w:rPr>
          <w:rFonts w:ascii="Arial" w:hAnsi="Arial" w:cs="Arial"/>
          <w:lang w:val="es-ES_tradnl"/>
        </w:rPr>
        <w:tab/>
      </w:r>
      <w:r w:rsidRPr="7FDDD7E9">
        <w:rPr>
          <w:rFonts w:ascii="Arial" w:hAnsi="Arial" w:cs="Arial"/>
          <w:lang w:val="es-ES"/>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w:t>
      </w:r>
    </w:p>
    <w:p w14:paraId="3D6EA9D3" w14:textId="77777777" w:rsidR="005D331F" w:rsidRDefault="005D331F" w:rsidP="005D331F">
      <w:pPr>
        <w:spacing w:before="120" w:after="0" w:line="276" w:lineRule="auto"/>
        <w:jc w:val="both"/>
        <w:rPr>
          <w:rFonts w:ascii="Arial" w:hAnsi="Arial" w:cs="Arial"/>
          <w:lang w:val="es-ES"/>
        </w:rPr>
      </w:pPr>
    </w:p>
    <w:p w14:paraId="5975E056" w14:textId="0EE6974C" w:rsidR="005D331F" w:rsidRPr="00482CF9" w:rsidRDefault="005D331F" w:rsidP="005D331F">
      <w:pPr>
        <w:spacing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tab/>
        <w:t>El artículo 5 de la Ley 1150 de 2007, además de consagrar un criterio más claro, y de paso, reducir la discrecionalidad de la Administración, fijó un ámbito temporal para la subsanación de las ofertas</w:t>
      </w:r>
      <w:r w:rsidRPr="00482CF9">
        <w:rPr>
          <w:rFonts w:ascii="Arial" w:hAnsi="Arial" w:cs="Arial"/>
          <w:lang w:val="es-ES_tradnl"/>
        </w:rPr>
        <w:t xml:space="preserve">: </w:t>
      </w:r>
      <w:r w:rsidR="000B5B6E">
        <w:rPr>
          <w:rFonts w:ascii="Arial" w:hAnsi="Arial" w:cs="Arial"/>
          <w:lang w:val="es-ES_tradnl"/>
        </w:rPr>
        <w:t>“</w:t>
      </w:r>
      <w:r w:rsidRPr="00482CF9">
        <w:rPr>
          <w:rFonts w:ascii="Arial" w:hAnsi="Arial" w:cs="Arial"/>
          <w:lang w:val="es-ES_tradnl"/>
        </w:rPr>
        <w:t>en cualquier momento, hasta la adjudicación</w:t>
      </w:r>
      <w:r w:rsidR="000B5B6E">
        <w:rPr>
          <w:rFonts w:ascii="Arial" w:hAnsi="Arial" w:cs="Arial"/>
          <w:lang w:val="es-ES_tradnl"/>
        </w:rPr>
        <w:t>”</w:t>
      </w:r>
      <w:r w:rsidRPr="00482CF9">
        <w:rPr>
          <w:rFonts w:ascii="Arial" w:hAnsi="Arial" w:cs="Arial"/>
          <w:lang w:val="es-ES_tradnl"/>
        </w:rPr>
        <w:t>. El Consejo de Estado, con particular sindéresis, concluyó que a partir del parágrafo 1°del artículo 5 de la Ley 1150, la definición de lo que es subsanable y lo que no lo es, surge a partir del planteamiento de la pregunta sobre si el defecto asigna puntaje o no, en estos términos:</w:t>
      </w:r>
    </w:p>
    <w:p w14:paraId="1A2C3789" w14:textId="77777777" w:rsidR="005D331F" w:rsidRPr="00482CF9" w:rsidRDefault="005D331F" w:rsidP="005D331F">
      <w:pPr>
        <w:spacing w:after="0"/>
        <w:ind w:left="709" w:right="709"/>
        <w:jc w:val="both"/>
        <w:rPr>
          <w:rFonts w:ascii="Arial" w:hAnsi="Arial" w:cs="Arial"/>
          <w:sz w:val="21"/>
          <w:szCs w:val="21"/>
          <w:lang w:val="es-ES_tradnl"/>
        </w:rPr>
      </w:pPr>
    </w:p>
    <w:p w14:paraId="2D5B32A6" w14:textId="2134D6FC" w:rsidR="005D331F" w:rsidRPr="00482CF9" w:rsidRDefault="000B5B6E" w:rsidP="005D331F">
      <w:pPr>
        <w:spacing w:after="0"/>
        <w:ind w:left="709" w:right="709"/>
        <w:jc w:val="both"/>
        <w:rPr>
          <w:rFonts w:ascii="Arial" w:eastAsia="Arial" w:hAnsi="Arial" w:cs="Arial"/>
          <w:sz w:val="21"/>
          <w:szCs w:val="21"/>
          <w:lang w:val="es-ES"/>
        </w:rPr>
      </w:pPr>
      <w:r>
        <w:rPr>
          <w:rFonts w:ascii="Arial" w:eastAsia="Arial" w:hAnsi="Arial" w:cs="Arial"/>
          <w:color w:val="000000" w:themeColor="text1"/>
          <w:lang w:val="es-MX"/>
        </w:rPr>
        <w:lastRenderedPageBreak/>
        <w:t>“</w:t>
      </w:r>
      <w:r w:rsidR="005D331F" w:rsidRPr="1548CBE8">
        <w:rPr>
          <w:rFonts w:ascii="Arial" w:hAnsi="Arial" w:cs="Arial"/>
          <w:sz w:val="21"/>
          <w:szCs w:val="21"/>
          <w:lang w:val="es-E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005D331F" w:rsidRPr="1548CBE8">
        <w:rPr>
          <w:rFonts w:ascii="Arial" w:hAnsi="Arial" w:cs="Arial"/>
          <w:sz w:val="21"/>
          <w:szCs w:val="21"/>
          <w:vertAlign w:val="superscript"/>
          <w:lang w:val="es-ES"/>
        </w:rPr>
        <w:footnoteReference w:id="9"/>
      </w:r>
      <w:r w:rsidR="005D331F" w:rsidRPr="1548CBE8">
        <w:rPr>
          <w:rFonts w:ascii="Arial" w:hAnsi="Arial" w:cs="Arial"/>
          <w:sz w:val="21"/>
          <w:szCs w:val="21"/>
          <w:lang w:val="es-ES"/>
        </w:rPr>
        <w:t>.</w:t>
      </w:r>
      <w:r>
        <w:rPr>
          <w:rFonts w:ascii="Arial" w:eastAsia="Arial" w:hAnsi="Arial" w:cs="Arial"/>
          <w:color w:val="000000" w:themeColor="text1"/>
          <w:lang w:val="es-MX"/>
        </w:rPr>
        <w:t>”</w:t>
      </w:r>
    </w:p>
    <w:p w14:paraId="1EB2E6C5" w14:textId="77777777" w:rsidR="005D331F" w:rsidRPr="00482CF9" w:rsidRDefault="005D331F" w:rsidP="005D331F">
      <w:pPr>
        <w:spacing w:before="120" w:after="0" w:line="276" w:lineRule="auto"/>
        <w:jc w:val="both"/>
        <w:rPr>
          <w:rFonts w:ascii="Arial" w:eastAsia="Times New Roman" w:hAnsi="Arial" w:cs="Arial"/>
          <w:shd w:val="clear" w:color="auto" w:fill="FFFFFF"/>
          <w:lang w:eastAsia="es-ES_tradnl"/>
        </w:rPr>
      </w:pPr>
    </w:p>
    <w:p w14:paraId="504BCC96" w14:textId="77777777" w:rsidR="005D331F" w:rsidRPr="00482CF9" w:rsidRDefault="005D331F" w:rsidP="005D331F">
      <w:pPr>
        <w:spacing w:before="120" w:after="0" w:line="276" w:lineRule="auto"/>
        <w:jc w:val="both"/>
        <w:rPr>
          <w:rFonts w:ascii="Arial" w:eastAsia="Times New Roman" w:hAnsi="Arial" w:cs="Arial"/>
          <w:shd w:val="clear" w:color="auto" w:fill="FFFFFF"/>
          <w:lang w:eastAsia="es-ES"/>
        </w:rPr>
      </w:pPr>
      <w:r w:rsidRPr="00482CF9">
        <w:rPr>
          <w:rFonts w:ascii="Arial" w:eastAsia="Times New Roman" w:hAnsi="Arial" w:cs="Arial"/>
          <w:shd w:val="clear" w:color="auto" w:fill="FFFFFF"/>
          <w:lang w:eastAsia="es-ES_tradnl"/>
        </w:rPr>
        <w:tab/>
      </w:r>
      <w:r w:rsidRPr="7FDDD7E9">
        <w:rPr>
          <w:rFonts w:ascii="Arial" w:eastAsia="Times New Roman" w:hAnsi="Arial" w:cs="Arial"/>
          <w:shd w:val="clear" w:color="auto" w:fill="FFFFFF"/>
          <w:lang w:eastAsia="es-ES"/>
        </w:rPr>
        <w:t>Esa interpretación fue compartida por la Agencia Nacional de Contratación Pública – Colombia Compra Eficiente,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06F4791A" w14:textId="77777777" w:rsidR="005D331F" w:rsidRDefault="005D331F" w:rsidP="005D331F">
      <w:pPr>
        <w:spacing w:before="120" w:after="0" w:line="276" w:lineRule="auto"/>
        <w:jc w:val="both"/>
        <w:rPr>
          <w:rFonts w:ascii="Arial" w:eastAsia="Times New Roman" w:hAnsi="Arial" w:cs="Arial"/>
          <w:lang w:eastAsia="es-ES"/>
        </w:rPr>
      </w:pPr>
    </w:p>
    <w:p w14:paraId="6BD68F6B" w14:textId="77777777" w:rsidR="005D331F" w:rsidRPr="00482CF9" w:rsidRDefault="005D331F" w:rsidP="005D331F">
      <w:pPr>
        <w:spacing w:after="0" w:line="276" w:lineRule="auto"/>
        <w:jc w:val="both"/>
        <w:rPr>
          <w:rFonts w:ascii="Arial" w:eastAsia="Times New Roman" w:hAnsi="Arial" w:cs="Arial"/>
          <w:shd w:val="clear" w:color="auto" w:fill="FFFFFF"/>
          <w:lang w:eastAsia="es-ES_tradnl"/>
        </w:rPr>
      </w:pPr>
      <w:r w:rsidRPr="00482CF9">
        <w:rPr>
          <w:rFonts w:ascii="Arial" w:eastAsia="Times New Roman" w:hAnsi="Arial" w:cs="Arial"/>
          <w:shd w:val="clear" w:color="auto" w:fill="FFFFFF"/>
          <w:lang w:eastAsia="es-ES_tradnl"/>
        </w:rPr>
        <w:tab/>
        <w:t xml:space="preserve">Finalmente, en un </w:t>
      </w:r>
      <w:r w:rsidRPr="00482CF9">
        <w:rPr>
          <w:rFonts w:ascii="Arial" w:eastAsia="Times New Roman" w:hAnsi="Arial" w:cs="Arial"/>
          <w:i/>
          <w:iCs/>
          <w:shd w:val="clear" w:color="auto" w:fill="FFFFFF"/>
          <w:lang w:eastAsia="es-ES_tradnl"/>
        </w:rPr>
        <w:t xml:space="preserve">cuarto momento, </w:t>
      </w:r>
      <w:r w:rsidRPr="00482CF9">
        <w:rPr>
          <w:rFonts w:ascii="Arial" w:eastAsia="Times New Roman" w:hAnsi="Arial" w:cs="Arial"/>
          <w:shd w:val="clear" w:color="auto" w:fill="FFFFFF"/>
          <w:lang w:eastAsia="es-ES_tradnl"/>
        </w:rPr>
        <w:t>el legislador expidió la Ley 1882 de 2018, con la finalidad de introducir cambios y ajustes para fortalecer la contratación pública. El artículo 5 modificó el parágrafo 1° y adicionó algunos otros, entre ellos el 4° del artículo 5 de la Ley 1150 de 2007:</w:t>
      </w:r>
    </w:p>
    <w:p w14:paraId="2148E5D2" w14:textId="77777777" w:rsidR="005D331F" w:rsidRPr="00482CF9" w:rsidRDefault="005D331F" w:rsidP="005D331F">
      <w:pPr>
        <w:spacing w:after="0" w:line="276" w:lineRule="auto"/>
        <w:jc w:val="both"/>
        <w:rPr>
          <w:rFonts w:ascii="Arial" w:eastAsia="Times New Roman" w:hAnsi="Arial" w:cs="Arial"/>
          <w:shd w:val="clear" w:color="auto" w:fill="FFFFFF"/>
          <w:lang w:eastAsia="es-ES_tradnl"/>
        </w:rPr>
      </w:pPr>
    </w:p>
    <w:p w14:paraId="04A57D23" w14:textId="7B73B537" w:rsidR="005D331F" w:rsidRPr="00482CF9" w:rsidRDefault="000B5B6E" w:rsidP="005D331F">
      <w:pPr>
        <w:spacing w:after="0" w:line="240" w:lineRule="auto"/>
        <w:ind w:left="709" w:right="709"/>
        <w:jc w:val="both"/>
        <w:rPr>
          <w:rFonts w:ascii="Arial" w:eastAsia="Calibri" w:hAnsi="Arial" w:cs="Arial"/>
          <w:sz w:val="21"/>
          <w:szCs w:val="21"/>
          <w:lang w:val="es-ES"/>
        </w:rPr>
      </w:pPr>
      <w:r>
        <w:rPr>
          <w:rFonts w:ascii="Arial" w:eastAsia="Arial" w:hAnsi="Arial" w:cs="Arial"/>
          <w:color w:val="000000" w:themeColor="text1"/>
          <w:lang w:val="es-MX"/>
        </w:rPr>
        <w:t>“</w:t>
      </w:r>
      <w:r w:rsidR="005D331F" w:rsidRPr="1548CBE8">
        <w:rPr>
          <w:rFonts w:ascii="Arial" w:eastAsia="Arial" w:hAnsi="Arial" w:cs="Arial"/>
          <w:sz w:val="21"/>
          <w:szCs w:val="21"/>
          <w:lang w:val="es-ES"/>
        </w:rPr>
        <w:t xml:space="preserve"> </w:t>
      </w:r>
      <w:r w:rsidR="005D331F" w:rsidRPr="1548CBE8">
        <w:rPr>
          <w:rFonts w:ascii="Arial" w:eastAsia="Calibri" w:hAnsi="Arial" w:cs="Arial"/>
          <w:sz w:val="21"/>
          <w:szCs w:val="21"/>
          <w:lang w:val="es-ES"/>
        </w:rPr>
        <w:t xml:space="preserve">Artículo 5°. De la selección objetiva. </w:t>
      </w:r>
    </w:p>
    <w:p w14:paraId="5BBE6501" w14:textId="77777777" w:rsidR="005D331F" w:rsidRPr="00482CF9" w:rsidRDefault="005D331F" w:rsidP="005D331F">
      <w:pPr>
        <w:spacing w:before="240" w:after="0" w:line="240" w:lineRule="auto"/>
        <w:ind w:left="709" w:right="709"/>
        <w:jc w:val="both"/>
        <w:rPr>
          <w:rFonts w:ascii="Arial" w:eastAsia="Calibri" w:hAnsi="Arial" w:cs="Arial"/>
          <w:sz w:val="21"/>
          <w:szCs w:val="21"/>
          <w:lang w:val="es-ES_tradnl"/>
        </w:rPr>
      </w:pPr>
      <w:r w:rsidRPr="00482CF9">
        <w:rPr>
          <w:rFonts w:ascii="Arial" w:eastAsia="Calibri" w:hAnsi="Arial" w:cs="Arial"/>
          <w:sz w:val="21"/>
          <w:szCs w:val="21"/>
          <w:lang w:val="es-ES_tradnl"/>
        </w:rPr>
        <w:t>[... ]</w:t>
      </w:r>
    </w:p>
    <w:p w14:paraId="3235C788" w14:textId="39479030" w:rsidR="005D331F" w:rsidRPr="00482CF9" w:rsidRDefault="005D331F" w:rsidP="005D331F">
      <w:pPr>
        <w:spacing w:after="0" w:line="240" w:lineRule="auto"/>
        <w:ind w:left="709" w:right="709"/>
        <w:jc w:val="both"/>
        <w:rPr>
          <w:rFonts w:ascii="Arial" w:eastAsia="Calibri" w:hAnsi="Arial" w:cs="Arial"/>
          <w:sz w:val="21"/>
          <w:szCs w:val="21"/>
          <w:lang w:val="es-ES"/>
        </w:rPr>
      </w:pPr>
      <w:r w:rsidRPr="1548CBE8">
        <w:rPr>
          <w:rFonts w:ascii="Arial" w:eastAsia="Calibri" w:hAnsi="Arial" w:cs="Arial"/>
          <w:sz w:val="21"/>
          <w:szCs w:val="21"/>
          <w:lang w:val="es-ES"/>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1548CBE8">
        <w:rPr>
          <w:rFonts w:ascii="Arial" w:eastAsia="Arial" w:hAnsi="Arial" w:cs="Arial"/>
          <w:color w:val="000000" w:themeColor="text1"/>
          <w:lang w:val="es-ES"/>
        </w:rPr>
        <w:t xml:space="preserve"> </w:t>
      </w:r>
      <w:r w:rsidR="000B5B6E">
        <w:rPr>
          <w:rFonts w:ascii="Arial" w:eastAsia="Arial" w:hAnsi="Arial" w:cs="Arial"/>
          <w:color w:val="000000" w:themeColor="text1"/>
          <w:lang w:val="es-ES"/>
        </w:rPr>
        <w:t>“</w:t>
      </w:r>
      <w:r w:rsidRPr="1548CBE8">
        <w:rPr>
          <w:rFonts w:ascii="Arial" w:eastAsia="Arial" w:hAnsi="Arial" w:cs="Arial"/>
          <w:color w:val="000000" w:themeColor="text1"/>
          <w:lang w:val="es-ES"/>
        </w:rPr>
        <w:t xml:space="preserve"> </w:t>
      </w:r>
      <w:r w:rsidRPr="1548CBE8">
        <w:rPr>
          <w:rFonts w:ascii="Arial" w:eastAsia="Arial" w:hAnsi="Arial" w:cs="Arial"/>
          <w:sz w:val="21"/>
          <w:szCs w:val="21"/>
          <w:lang w:val="es-ES"/>
        </w:rPr>
        <w:t xml:space="preserve"> </w:t>
      </w:r>
    </w:p>
    <w:p w14:paraId="54348306" w14:textId="77777777" w:rsidR="005D331F" w:rsidRPr="00482CF9" w:rsidRDefault="005D331F" w:rsidP="005D331F">
      <w:pPr>
        <w:spacing w:after="0" w:line="276" w:lineRule="auto"/>
        <w:jc w:val="both"/>
        <w:rPr>
          <w:rFonts w:ascii="Arial" w:eastAsia="Times New Roman" w:hAnsi="Arial" w:cs="Arial"/>
          <w:shd w:val="clear" w:color="auto" w:fill="FFFFFF"/>
          <w:lang w:eastAsia="es-ES"/>
        </w:rPr>
      </w:pPr>
    </w:p>
    <w:p w14:paraId="7D93561E"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185BAE0B" w14:textId="77777777" w:rsidR="005D331F" w:rsidRDefault="005D331F" w:rsidP="005D331F">
      <w:pPr>
        <w:spacing w:after="120" w:line="276" w:lineRule="auto"/>
        <w:ind w:right="51" w:firstLine="709"/>
        <w:jc w:val="both"/>
        <w:rPr>
          <w:rFonts w:ascii="Arial" w:eastAsia="Arial" w:hAnsi="Arial" w:cs="Arial"/>
          <w:color w:val="000000" w:themeColor="text1"/>
        </w:rPr>
      </w:pPr>
      <w:r w:rsidRPr="1548CBE8">
        <w:rPr>
          <w:rFonts w:ascii="Arial" w:eastAsia="Arial" w:hAnsi="Arial" w:cs="Arial"/>
          <w:i/>
          <w:iCs/>
          <w:color w:val="000000" w:themeColor="text1"/>
          <w:lang w:val="es-ES"/>
        </w:rPr>
        <w:t>El primero</w:t>
      </w:r>
      <w:r w:rsidRPr="1548CBE8">
        <w:rPr>
          <w:rFonts w:ascii="Arial" w:eastAsia="Arial" w:hAnsi="Arial" w:cs="Arial"/>
          <w:color w:val="000000" w:themeColor="text1"/>
          <w:lang w:val="es-ES"/>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1548CBE8">
        <w:rPr>
          <w:rFonts w:ascii="Arial" w:eastAsia="Arial" w:hAnsi="Arial" w:cs="Arial"/>
          <w:color w:val="000000" w:themeColor="text1"/>
          <w:vertAlign w:val="superscript"/>
          <w:lang w:val="es-ES"/>
        </w:rPr>
        <w:t>6</w:t>
      </w:r>
      <w:r w:rsidRPr="1548CBE8">
        <w:rPr>
          <w:rFonts w:ascii="Arial" w:eastAsia="Arial" w:hAnsi="Arial" w:cs="Arial"/>
          <w:color w:val="000000" w:themeColor="text1"/>
          <w:lang w:val="es-ES"/>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1548CBE8">
        <w:rPr>
          <w:rFonts w:ascii="Arial" w:eastAsia="Arial" w:hAnsi="Arial" w:cs="Arial"/>
          <w:color w:val="000000" w:themeColor="text1"/>
          <w:vertAlign w:val="superscript"/>
          <w:lang w:val="es-ES"/>
        </w:rPr>
        <w:t>7</w:t>
      </w:r>
      <w:r w:rsidRPr="1548CBE8">
        <w:rPr>
          <w:rFonts w:ascii="Arial" w:eastAsia="Arial" w:hAnsi="Arial" w:cs="Arial"/>
          <w:color w:val="000000" w:themeColor="text1"/>
          <w:lang w:val="es-ES"/>
        </w:rPr>
        <w:t xml:space="preserve">. </w:t>
      </w:r>
    </w:p>
    <w:p w14:paraId="10309A44" w14:textId="284E094F"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000B5B6E">
        <w:rPr>
          <w:rFonts w:ascii="Arial" w:eastAsia="Arial" w:hAnsi="Arial" w:cs="Arial"/>
          <w:color w:val="000000" w:themeColor="text1"/>
          <w:lang w:val="es-ES"/>
        </w:rPr>
        <w:t>“</w:t>
      </w:r>
      <w:r w:rsidRPr="1548CBE8">
        <w:rPr>
          <w:rFonts w:ascii="Arial" w:eastAsia="Arial" w:hAnsi="Arial" w:cs="Arial"/>
          <w:i/>
          <w:iCs/>
          <w:color w:val="000000" w:themeColor="text1"/>
          <w:lang w:val="es-ES"/>
        </w:rPr>
        <w:t>deberán ser solicitados por las entidades estatales y deberán ser entregados por los proponentes hasta el término de traslado del informe de evaluación que corresponda a cada modalidad de selección</w:t>
      </w:r>
      <w:r w:rsidR="000B5B6E">
        <w:rPr>
          <w:rFonts w:ascii="Arial" w:eastAsia="Arial" w:hAnsi="Arial" w:cs="Arial"/>
          <w:i/>
          <w:iCs/>
          <w:color w:val="000000" w:themeColor="text1"/>
          <w:lang w:val="es-ES"/>
        </w:rPr>
        <w:t>”</w:t>
      </w:r>
      <w:r w:rsidRPr="1548CBE8">
        <w:rPr>
          <w:rFonts w:ascii="Arial" w:eastAsia="Arial" w:hAnsi="Arial" w:cs="Arial"/>
          <w:i/>
          <w:iCs/>
          <w:color w:val="000000" w:themeColor="text1"/>
          <w:lang w:val="es-ES"/>
        </w:rPr>
        <w:t>.</w:t>
      </w:r>
      <w:r w:rsidRPr="1548CBE8">
        <w:rPr>
          <w:rFonts w:ascii="Arial" w:eastAsia="Arial" w:hAnsi="Arial" w:cs="Arial"/>
          <w:color w:val="000000" w:themeColor="text1"/>
          <w:lang w:val="es-ES"/>
        </w:rPr>
        <w:t xml:space="preserve"> </w:t>
      </w:r>
    </w:p>
    <w:p w14:paraId="339AD402"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1548CBE8">
        <w:rPr>
          <w:rFonts w:ascii="Arial" w:eastAsia="Arial" w:hAnsi="Arial" w:cs="Arial"/>
          <w:i/>
          <w:iCs/>
          <w:color w:val="000000" w:themeColor="text1"/>
          <w:lang w:val="es-ES"/>
        </w:rPr>
        <w:t>límite</w:t>
      </w:r>
      <w:r w:rsidRPr="1548CBE8">
        <w:rPr>
          <w:rFonts w:ascii="Arial" w:eastAsia="Arial" w:hAnsi="Arial" w:cs="Arial"/>
          <w:color w:val="000000" w:themeColor="text1"/>
          <w:lang w:val="es-ES"/>
        </w:rPr>
        <w:t xml:space="preserve"> para la subsanación de ofertas, pero no el único momento para hacerlo. </w:t>
      </w:r>
    </w:p>
    <w:p w14:paraId="55C41822"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De acuerdo con la primera interpretación, el informe de evaluación se convierte en la oportunidad que adopta la Administración para decirles a los oferentes qué documentos o </w:t>
      </w:r>
      <w:r w:rsidRPr="1548CBE8">
        <w:rPr>
          <w:rFonts w:ascii="Arial" w:eastAsia="Arial" w:hAnsi="Arial" w:cs="Arial"/>
          <w:color w:val="000000" w:themeColor="text1"/>
          <w:lang w:val="es-ES"/>
        </w:rPr>
        <w:lastRenderedPageBreak/>
        <w:t xml:space="preserve">requisitos omitieron y deben subsanar y, consecuentemente, el término del traslado es la oportunidad del proponente para cumplir con lo solicitado.  </w:t>
      </w:r>
    </w:p>
    <w:p w14:paraId="5EDEAE29"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7A71468C" w14:textId="11CDF2BA"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El segundo cambio importante de la Ley 1882 de 2018 fue la introducción de un criterio material, directamente relacionado con los aspectos subsanables: </w:t>
      </w:r>
      <w:r w:rsidR="000B5B6E">
        <w:rPr>
          <w:rFonts w:ascii="Arial" w:eastAsia="Arial" w:hAnsi="Arial" w:cs="Arial"/>
          <w:i/>
          <w:iCs/>
          <w:color w:val="000000" w:themeColor="text1"/>
          <w:lang w:val="es-ES"/>
        </w:rPr>
        <w:t>“</w:t>
      </w:r>
      <w:r w:rsidRPr="1548CBE8">
        <w:rPr>
          <w:rFonts w:ascii="Arial" w:eastAsia="Arial" w:hAnsi="Arial" w:cs="Arial"/>
          <w:i/>
          <w:iCs/>
          <w:color w:val="000000" w:themeColor="text1"/>
          <w:lang w:val="es-ES"/>
        </w:rPr>
        <w:t>los proponentes no podrán acreditar circunstancias ocurridas con posterioridad al cierre del proceso</w:t>
      </w:r>
      <w:r w:rsidR="000B5B6E">
        <w:rPr>
          <w:rFonts w:ascii="Arial" w:eastAsia="Arial" w:hAnsi="Arial" w:cs="Arial"/>
          <w:i/>
          <w:iCs/>
          <w:color w:val="000000" w:themeColor="text1"/>
          <w:lang w:val="es-ES"/>
        </w:rPr>
        <w:t>”</w:t>
      </w:r>
      <w:r w:rsidRPr="1548CBE8">
        <w:rPr>
          <w:rFonts w:ascii="Arial" w:eastAsia="Arial" w:hAnsi="Arial" w:cs="Arial"/>
          <w:i/>
          <w:iCs/>
          <w:color w:val="000000" w:themeColor="text1"/>
          <w:lang w:val="es-ES"/>
        </w:rPr>
        <w:t>.</w:t>
      </w:r>
      <w:r w:rsidRPr="1548CBE8">
        <w:rPr>
          <w:rFonts w:ascii="Arial" w:eastAsia="Arial" w:hAnsi="Arial" w:cs="Arial"/>
          <w:color w:val="000000" w:themeColor="text1"/>
          <w:lang w:val="es-ES"/>
        </w:rPr>
        <w:t xml:space="preserve"> Lo anterior ofrece dos aspectos que merecen clarificación; primero, qué debe entenderse por circunstancias ocurridas con posterioridad; y segundo, qué es el cierre del proceso. </w:t>
      </w:r>
    </w:p>
    <w:p w14:paraId="66AC714D"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1548CBE8">
        <w:rPr>
          <w:rFonts w:ascii="Arial" w:eastAsia="Arial" w:hAnsi="Arial" w:cs="Arial"/>
          <w:color w:val="000000" w:themeColor="text1"/>
          <w:vertAlign w:val="superscript"/>
          <w:lang w:val="es-ES"/>
        </w:rPr>
        <w:t>8</w:t>
      </w:r>
      <w:r w:rsidRPr="1548CBE8">
        <w:rPr>
          <w:rFonts w:ascii="Arial" w:eastAsia="Arial" w:hAnsi="Arial" w:cs="Arial"/>
          <w:color w:val="000000" w:themeColor="text1"/>
          <w:lang w:val="es-ES"/>
        </w:rPr>
        <w:t>.</w:t>
      </w:r>
    </w:p>
    <w:p w14:paraId="00838E56" w14:textId="1595E908"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w:t>
      </w:r>
      <w:r w:rsidR="000B5B6E">
        <w:rPr>
          <w:rFonts w:ascii="Arial" w:eastAsia="Arial" w:hAnsi="Arial" w:cs="Arial"/>
          <w:color w:val="000000" w:themeColor="text1"/>
          <w:lang w:val="es-ES"/>
        </w:rPr>
        <w:t>“</w:t>
      </w:r>
      <w:r w:rsidRPr="1548CBE8">
        <w:rPr>
          <w:rFonts w:ascii="Arial" w:eastAsia="Arial" w:hAnsi="Arial" w:cs="Arial"/>
          <w:color w:val="000000" w:themeColor="text1"/>
          <w:lang w:val="es-ES"/>
        </w:rPr>
        <w:t>cierre del proceso</w:t>
      </w:r>
      <w:r w:rsidR="000B5B6E">
        <w:rPr>
          <w:rFonts w:ascii="Arial" w:eastAsia="Arial" w:hAnsi="Arial" w:cs="Arial"/>
          <w:color w:val="000000" w:themeColor="text1"/>
          <w:lang w:val="es-ES"/>
        </w:rPr>
        <w:t>”</w:t>
      </w:r>
      <w:r w:rsidRPr="1548CBE8">
        <w:rPr>
          <w:rFonts w:ascii="Arial" w:eastAsia="Arial" w:hAnsi="Arial" w:cs="Arial"/>
          <w:color w:val="000000" w:themeColor="text1"/>
          <w:lang w:val="es-ES"/>
        </w:rPr>
        <w:t xml:space="preserve">.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1F83A47" w14:textId="7666BBE0"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Un mejor entendimiento del significado de la expresión </w:t>
      </w:r>
      <w:r w:rsidR="000B5B6E">
        <w:rPr>
          <w:rFonts w:ascii="Arial" w:eastAsia="Arial" w:hAnsi="Arial" w:cs="Arial"/>
          <w:i/>
          <w:iCs/>
          <w:color w:val="000000" w:themeColor="text1"/>
          <w:lang w:val="es-ES"/>
        </w:rPr>
        <w:t>“</w:t>
      </w:r>
      <w:r w:rsidRPr="1548CBE8">
        <w:rPr>
          <w:rFonts w:ascii="Arial" w:eastAsia="Arial" w:hAnsi="Arial" w:cs="Arial"/>
          <w:i/>
          <w:iCs/>
          <w:color w:val="000000" w:themeColor="text1"/>
          <w:lang w:val="es-ES"/>
        </w:rPr>
        <w:t>circunstancias ocurridas con posterioridad al cierre del proceso</w:t>
      </w:r>
      <w:r w:rsidR="000B5B6E">
        <w:rPr>
          <w:rFonts w:ascii="Arial" w:eastAsia="Arial" w:hAnsi="Arial" w:cs="Arial"/>
          <w:i/>
          <w:iCs/>
          <w:color w:val="000000" w:themeColor="text1"/>
          <w:lang w:val="es-ES"/>
        </w:rPr>
        <w:t>”</w:t>
      </w:r>
      <w:r w:rsidRPr="1548CBE8">
        <w:rPr>
          <w:rFonts w:ascii="Arial" w:eastAsia="Arial" w:hAnsi="Arial" w:cs="Arial"/>
          <w:color w:val="000000" w:themeColor="text1"/>
          <w:lang w:val="es-ES"/>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1548CBE8">
        <w:rPr>
          <w:rFonts w:ascii="Arial" w:eastAsia="Arial" w:hAnsi="Arial" w:cs="Arial"/>
          <w:color w:val="000000" w:themeColor="text1"/>
          <w:vertAlign w:val="superscript"/>
          <w:lang w:val="es-ES"/>
        </w:rPr>
        <w:t>9</w:t>
      </w:r>
      <w:r w:rsidRPr="1548CBE8">
        <w:rPr>
          <w:rFonts w:ascii="Arial" w:eastAsia="Arial" w:hAnsi="Arial" w:cs="Arial"/>
          <w:color w:val="000000" w:themeColor="text1"/>
          <w:lang w:val="es-ES"/>
        </w:rPr>
        <w:t xml:space="preserve">. </w:t>
      </w:r>
    </w:p>
    <w:p w14:paraId="3AE0A91C"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w:t>
      </w:r>
      <w:r w:rsidRPr="1548CBE8">
        <w:rPr>
          <w:rFonts w:ascii="Arial" w:eastAsia="Arial" w:hAnsi="Arial" w:cs="Arial"/>
          <w:color w:val="000000" w:themeColor="text1"/>
          <w:lang w:val="es-ES"/>
        </w:rPr>
        <w:lastRenderedPageBreak/>
        <w:t>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1548CBE8">
        <w:rPr>
          <w:rFonts w:ascii="Arial" w:eastAsia="Arial" w:hAnsi="Arial" w:cs="Arial"/>
          <w:color w:val="000000" w:themeColor="text1"/>
          <w:vertAlign w:val="superscript"/>
          <w:lang w:val="es-ES"/>
        </w:rPr>
        <w:t>10</w:t>
      </w:r>
      <w:r w:rsidRPr="1548CBE8">
        <w:rPr>
          <w:rFonts w:ascii="Arial" w:eastAsia="Arial" w:hAnsi="Arial" w:cs="Arial"/>
          <w:color w:val="000000" w:themeColor="text1"/>
          <w:lang w:val="es-ES"/>
        </w:rPr>
        <w:t>; iii) si un oferente no anexó el Certificado de existencia y representación legal, el documento aportado con posterioridad debe dar cuenta de que la sociedad existía antes del cierre del proceso</w:t>
      </w:r>
      <w:r w:rsidRPr="1548CBE8">
        <w:rPr>
          <w:rFonts w:ascii="Arial" w:eastAsia="Arial" w:hAnsi="Arial" w:cs="Arial"/>
          <w:color w:val="000000" w:themeColor="text1"/>
          <w:vertAlign w:val="superscript"/>
          <w:lang w:val="es-ES"/>
        </w:rPr>
        <w:t>11</w:t>
      </w:r>
      <w:r w:rsidRPr="1548CBE8">
        <w:rPr>
          <w:rFonts w:ascii="Arial" w:eastAsia="Arial" w:hAnsi="Arial" w:cs="Arial"/>
          <w:color w:val="000000" w:themeColor="text1"/>
          <w:lang w:val="es-ES"/>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57C46B04" w14:textId="347A2B7C"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que el Consejo de Estado sostiene que </w:t>
      </w:r>
      <w:r w:rsidR="000B5B6E">
        <w:rPr>
          <w:rFonts w:ascii="Arial" w:eastAsia="Arial" w:hAnsi="Arial" w:cs="Arial"/>
          <w:color w:val="000000" w:themeColor="text1"/>
          <w:lang w:val="es-ES"/>
        </w:rPr>
        <w:t>“</w:t>
      </w:r>
      <w:r w:rsidRPr="1548CBE8">
        <w:rPr>
          <w:rFonts w:ascii="Arial" w:eastAsia="Arial" w:hAnsi="Arial" w:cs="Arial"/>
          <w:i/>
          <w:iCs/>
          <w:color w:val="000000" w:themeColor="text1"/>
          <w:lang w:val="es-ES"/>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0B5B6E">
        <w:rPr>
          <w:rFonts w:ascii="Arial" w:eastAsia="Arial" w:hAnsi="Arial" w:cs="Arial"/>
          <w:i/>
          <w:iCs/>
          <w:color w:val="000000" w:themeColor="text1"/>
          <w:lang w:val="es-ES"/>
        </w:rPr>
        <w:t>”</w:t>
      </w:r>
      <w:r w:rsidRPr="1548CBE8">
        <w:rPr>
          <w:rFonts w:ascii="Arial" w:eastAsia="Arial" w:hAnsi="Arial" w:cs="Arial"/>
          <w:i/>
          <w:iCs/>
          <w:color w:val="000000" w:themeColor="text1"/>
          <w:vertAlign w:val="superscript"/>
          <w:lang w:val="es-ES"/>
        </w:rPr>
        <w:t>12</w:t>
      </w:r>
      <w:r w:rsidRPr="1548CBE8">
        <w:rPr>
          <w:rFonts w:ascii="Arial" w:eastAsia="Arial" w:hAnsi="Arial" w:cs="Arial"/>
          <w:i/>
          <w:iCs/>
          <w:color w:val="000000" w:themeColor="text1"/>
          <w:lang w:val="es-ES"/>
        </w:rPr>
        <w:t xml:space="preserve">. </w:t>
      </w:r>
    </w:p>
    <w:p w14:paraId="254A5C1C" w14:textId="77777777" w:rsidR="005D331F" w:rsidRDefault="005D331F" w:rsidP="005D331F">
      <w:pPr>
        <w:spacing w:before="120" w:after="20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30BC67FA" w14:textId="18D54372" w:rsidR="005D331F" w:rsidRDefault="005D331F" w:rsidP="005D331F">
      <w:pPr>
        <w:spacing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Ahora bien, la Agencia debe diferenciar entre la regla sobre subsanación de ofertas en los procedimientos de selección, que acaba de explicarse, por un lado, y por el otro lo referido a la </w:t>
      </w:r>
      <w:r w:rsidRPr="1548CBE8">
        <w:rPr>
          <w:rFonts w:ascii="Arial" w:eastAsia="Arial" w:hAnsi="Arial" w:cs="Arial"/>
          <w:i/>
          <w:iCs/>
          <w:color w:val="000000" w:themeColor="text1"/>
          <w:lang w:val="es-MX"/>
        </w:rPr>
        <w:t>aclaración de las ofertas</w:t>
      </w:r>
      <w:r w:rsidRPr="1548CBE8">
        <w:rPr>
          <w:rFonts w:ascii="Arial" w:eastAsia="Arial" w:hAnsi="Arial" w:cs="Arial"/>
          <w:color w:val="000000" w:themeColor="text1"/>
          <w:lang w:val="es-MX"/>
        </w:rPr>
        <w:t xml:space="preserve">,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w:t>
      </w:r>
      <w:r w:rsidRPr="1548CBE8">
        <w:rPr>
          <w:rFonts w:ascii="Arial" w:eastAsia="Arial" w:hAnsi="Arial" w:cs="Arial"/>
          <w:color w:val="000000" w:themeColor="text1"/>
          <w:lang w:val="es-MX"/>
        </w:rPr>
        <w:lastRenderedPageBreak/>
        <w:t xml:space="preserve">integral de cada documento contenido en la oferta, puede acudir a la facultad que le otorga expresamente el numeral 7 del artículo 30 de la Ley 80 de 1993. Dicha norma señala que entre los componentes que deberá contener el pliego de condiciones incluye al </w:t>
      </w:r>
      <w:r w:rsidR="000B5B6E">
        <w:rPr>
          <w:rFonts w:ascii="Arial" w:eastAsia="Arial" w:hAnsi="Arial" w:cs="Arial"/>
          <w:color w:val="000000" w:themeColor="text1"/>
          <w:lang w:val="es-MX"/>
        </w:rPr>
        <w:t>“</w:t>
      </w:r>
      <w:r w:rsidRPr="1548CBE8">
        <w:rPr>
          <w:rFonts w:ascii="Arial" w:eastAsia="Arial" w:hAnsi="Arial" w:cs="Arial"/>
          <w:i/>
          <w:iCs/>
          <w:color w:val="000000" w:themeColor="text1"/>
          <w:lang w:val="es-MX"/>
        </w:rPr>
        <w:t>plazo razonable dentro del cual la entidad deberá elaborar los estudios técnicos, económicos y jurídicos necesarios para la evaluación de las propuestas y para solicitar a los proponentes las aclaraciones y explicaciones que se estimen indispensables</w:t>
      </w:r>
      <w:r w:rsidR="000B5B6E">
        <w:rPr>
          <w:rFonts w:ascii="Arial" w:eastAsia="Arial" w:hAnsi="Arial" w:cs="Arial"/>
          <w:i/>
          <w:iCs/>
          <w:color w:val="000000" w:themeColor="text1"/>
          <w:lang w:val="es-MX"/>
        </w:rPr>
        <w:t>”</w:t>
      </w:r>
      <w:r w:rsidRPr="1548CBE8">
        <w:rPr>
          <w:rFonts w:ascii="Arial" w:eastAsia="Arial" w:hAnsi="Arial" w:cs="Arial"/>
          <w:i/>
          <w:iCs/>
          <w:color w:val="000000" w:themeColor="text1"/>
          <w:lang w:val="es-MX"/>
        </w:rPr>
        <w:t>.</w:t>
      </w:r>
      <w:r w:rsidRPr="1548CBE8">
        <w:rPr>
          <w:rFonts w:ascii="Arial" w:eastAsia="Arial" w:hAnsi="Arial" w:cs="Arial"/>
          <w:color w:val="000000" w:themeColor="text1"/>
          <w:lang w:val="es-MX"/>
        </w:rPr>
        <w:t xml:space="preserve"> </w:t>
      </w:r>
    </w:p>
    <w:p w14:paraId="46EDB870"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28C979A1"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544BE044"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Ahora bien, lo anterior no impide que se puedan hacer aclaraciones a las propuestas bien porque la Entidad Estatal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7DE7752E"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w:t>
      </w:r>
      <w:r w:rsidRPr="1548CBE8">
        <w:rPr>
          <w:rFonts w:ascii="Arial" w:eastAsia="Arial" w:hAnsi="Arial" w:cs="Arial"/>
          <w:color w:val="000000" w:themeColor="text1"/>
          <w:lang w:val="es-MX"/>
        </w:rPr>
        <w:lastRenderedPageBreak/>
        <w:t xml:space="preserve">requisitos de la oferta sino de la existencia de dudas en la misma, cuya explicación se requiere para la evaluar la propuesta. Esta diferencia es importante, pues </w:t>
      </w:r>
      <w:r w:rsidRPr="1548CBE8">
        <w:rPr>
          <w:rFonts w:ascii="Arial" w:eastAsia="Arial" w:hAnsi="Arial" w:cs="Arial"/>
          <w:i/>
          <w:iCs/>
          <w:color w:val="000000" w:themeColor="text1"/>
          <w:lang w:val="es-MX"/>
        </w:rPr>
        <w:t>es posible aclarar los requisitos que asignan puntaje</w:t>
      </w:r>
      <w:r w:rsidRPr="1548CBE8">
        <w:rPr>
          <w:rFonts w:ascii="Arial" w:eastAsia="Arial" w:hAnsi="Arial" w:cs="Arial"/>
          <w:color w:val="000000" w:themeColor="text1"/>
          <w:lang w:val="es-MX"/>
        </w:rPr>
        <w:t>, tal como lo ha señalado la jurisprudencia en los siguientes términos:</w:t>
      </w:r>
    </w:p>
    <w:p w14:paraId="338755CE" w14:textId="77777777" w:rsidR="005D331F" w:rsidRDefault="005D331F" w:rsidP="005D331F">
      <w:pPr>
        <w:spacing w:after="0" w:line="276" w:lineRule="auto"/>
        <w:ind w:left="709" w:right="709"/>
        <w:jc w:val="both"/>
        <w:rPr>
          <w:rFonts w:ascii="Arial" w:eastAsia="Arial" w:hAnsi="Arial" w:cs="Arial"/>
          <w:color w:val="000000" w:themeColor="text1"/>
        </w:rPr>
      </w:pPr>
    </w:p>
    <w:p w14:paraId="69F38F7C" w14:textId="4EC1A933" w:rsidR="005D331F" w:rsidRDefault="000B5B6E" w:rsidP="005D331F">
      <w:pPr>
        <w:spacing w:after="0" w:line="240" w:lineRule="auto"/>
        <w:ind w:left="709" w:right="709"/>
        <w:jc w:val="both"/>
        <w:rPr>
          <w:rFonts w:ascii="Arial" w:eastAsia="Arial" w:hAnsi="Arial" w:cs="Arial"/>
          <w:color w:val="000000" w:themeColor="text1"/>
        </w:rPr>
      </w:pPr>
      <w:r>
        <w:rPr>
          <w:rFonts w:ascii="Arial" w:eastAsia="Arial" w:hAnsi="Arial" w:cs="Arial"/>
          <w:color w:val="000000" w:themeColor="text1"/>
          <w:lang w:val="es-MX"/>
        </w:rPr>
        <w:t>“</w:t>
      </w:r>
      <w:r w:rsidR="005D331F" w:rsidRPr="1548CBE8">
        <w:rPr>
          <w:rFonts w:ascii="Arial" w:eastAsia="Arial" w:hAnsi="Arial" w:cs="Arial"/>
          <w:color w:val="000000" w:themeColor="text1"/>
          <w:lang w:val="es-MX"/>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diferentes.13</w:t>
      </w:r>
      <w:r>
        <w:rPr>
          <w:rFonts w:ascii="Arial" w:eastAsia="Arial" w:hAnsi="Arial" w:cs="Arial"/>
          <w:color w:val="000000" w:themeColor="text1"/>
          <w:lang w:val="es-MX"/>
        </w:rPr>
        <w:t>”</w:t>
      </w:r>
    </w:p>
    <w:p w14:paraId="3FD4651C" w14:textId="77777777" w:rsidR="005D331F" w:rsidRDefault="005D331F" w:rsidP="005D331F">
      <w:pPr>
        <w:spacing w:after="0" w:line="276" w:lineRule="auto"/>
        <w:ind w:left="709" w:right="709"/>
        <w:jc w:val="both"/>
        <w:rPr>
          <w:rFonts w:ascii="Arial" w:eastAsia="Arial" w:hAnsi="Arial" w:cs="Arial"/>
          <w:color w:val="000000" w:themeColor="text1"/>
          <w:sz w:val="21"/>
          <w:szCs w:val="21"/>
        </w:rPr>
      </w:pPr>
    </w:p>
    <w:p w14:paraId="5237AD93" w14:textId="77777777" w:rsidR="005D331F" w:rsidRDefault="005D331F" w:rsidP="005D331F">
      <w:pPr>
        <w:spacing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3D0AC867" w14:textId="12BF30F9" w:rsidR="005D331F" w:rsidRDefault="00D26FF7" w:rsidP="005D331F">
      <w:pPr>
        <w:spacing w:before="120" w:after="0" w:line="276" w:lineRule="auto"/>
        <w:ind w:firstLine="709"/>
        <w:jc w:val="both"/>
        <w:rPr>
          <w:rFonts w:ascii="Arial" w:eastAsia="Arial" w:hAnsi="Arial" w:cs="Arial"/>
          <w:i/>
          <w:iCs/>
          <w:color w:val="000000" w:themeColor="text1"/>
          <w:vertAlign w:val="superscript"/>
          <w:lang w:val="es-MX"/>
        </w:rPr>
      </w:pPr>
      <w:r>
        <w:rPr>
          <w:rFonts w:ascii="Arial" w:eastAsia="Arial" w:hAnsi="Arial" w:cs="Arial"/>
          <w:color w:val="000000" w:themeColor="text1"/>
          <w:lang w:val="es-MX"/>
        </w:rPr>
        <w:t>Por otro</w:t>
      </w:r>
      <w:r w:rsidR="007124EC">
        <w:rPr>
          <w:rFonts w:ascii="Arial" w:eastAsia="Arial" w:hAnsi="Arial" w:cs="Arial"/>
          <w:color w:val="000000" w:themeColor="text1"/>
          <w:lang w:val="es-MX"/>
        </w:rPr>
        <w:t xml:space="preserve"> </w:t>
      </w:r>
      <w:r>
        <w:rPr>
          <w:rFonts w:ascii="Arial" w:eastAsia="Arial" w:hAnsi="Arial" w:cs="Arial"/>
          <w:color w:val="000000" w:themeColor="text1"/>
          <w:lang w:val="es-MX"/>
        </w:rPr>
        <w:t>lado</w:t>
      </w:r>
      <w:r w:rsidR="005D331F" w:rsidRPr="1548CBE8">
        <w:rPr>
          <w:rFonts w:ascii="Arial" w:eastAsia="Arial" w:hAnsi="Arial" w:cs="Arial"/>
          <w:color w:val="000000" w:themeColor="text1"/>
          <w:lang w:val="es-MX"/>
        </w:rPr>
        <w:t>, como dispone el artículo 30.7 de la Ley 80 de 1993, la aclaración de las propuestas se realiza durante la evaluación de estas, pues es necesario esclarecer los aspectos dudosos de las ofertas antes de la adjudicación</w:t>
      </w:r>
      <w:r w:rsidR="005D331F" w:rsidRPr="1548CBE8">
        <w:rPr>
          <w:rFonts w:ascii="Calibri" w:eastAsia="Calibri" w:hAnsi="Calibri" w:cs="Calibri"/>
          <w:color w:val="000000" w:themeColor="text1"/>
          <w:vertAlign w:val="superscript"/>
          <w:lang w:val="es-MX"/>
        </w:rPr>
        <w:t>14</w:t>
      </w:r>
      <w:r w:rsidR="005D331F" w:rsidRPr="1548CBE8">
        <w:rPr>
          <w:rFonts w:ascii="Arial" w:eastAsia="Arial" w:hAnsi="Arial" w:cs="Arial"/>
          <w:color w:val="000000" w:themeColor="text1"/>
          <w:lang w:val="es-MX"/>
        </w:rPr>
        <w:t xml:space="preserve">. Por ello, la jurisprudencia también explica que </w:t>
      </w:r>
      <w:r w:rsidR="000B5B6E">
        <w:rPr>
          <w:rFonts w:ascii="Arial" w:eastAsia="Arial" w:hAnsi="Arial" w:cs="Arial"/>
          <w:i/>
          <w:iCs/>
          <w:color w:val="000000" w:themeColor="text1"/>
          <w:lang w:val="es-MX"/>
        </w:rPr>
        <w:t>“</w:t>
      </w:r>
      <w:r w:rsidR="005D331F" w:rsidRPr="1548CBE8">
        <w:rPr>
          <w:rFonts w:ascii="Arial" w:eastAsia="Arial" w:hAnsi="Arial" w:cs="Arial"/>
          <w:i/>
          <w:iCs/>
          <w:color w:val="000000" w:themeColor="text1"/>
          <w:lang w:val="es-MX"/>
        </w:rPr>
        <w:t>[…] el proponente debe acogerse al tiempo que le otorga la administración para subsanar o aclarar la oferta, lapso que la entidad no puede extender más allá de la adjudicación […]</w:t>
      </w:r>
      <w:r w:rsidR="000B5B6E">
        <w:rPr>
          <w:rFonts w:ascii="Arial" w:eastAsia="Arial" w:hAnsi="Arial" w:cs="Arial"/>
          <w:i/>
          <w:iCs/>
          <w:color w:val="000000" w:themeColor="text1"/>
          <w:lang w:val="es-MX"/>
        </w:rPr>
        <w:t>”</w:t>
      </w:r>
      <w:r w:rsidR="005D331F" w:rsidRPr="1548CBE8">
        <w:rPr>
          <w:rFonts w:ascii="Arial" w:eastAsia="Arial" w:hAnsi="Arial" w:cs="Arial"/>
          <w:i/>
          <w:iCs/>
          <w:color w:val="000000" w:themeColor="text1"/>
          <w:vertAlign w:val="superscript"/>
          <w:lang w:val="es-MX"/>
        </w:rPr>
        <w:t>15</w:t>
      </w:r>
      <w:r w:rsidR="005D331F" w:rsidRPr="1548CBE8">
        <w:rPr>
          <w:rFonts w:ascii="Arial" w:eastAsia="Arial" w:hAnsi="Arial" w:cs="Arial"/>
          <w:i/>
          <w:iCs/>
          <w:color w:val="000000" w:themeColor="text1"/>
          <w:lang w:val="es-MX"/>
        </w:rPr>
        <w:t>.</w:t>
      </w:r>
      <w:r w:rsidR="005D331F" w:rsidRPr="1548CBE8">
        <w:rPr>
          <w:rFonts w:ascii="Arial" w:eastAsia="Arial" w:hAnsi="Arial" w:cs="Arial"/>
          <w:color w:val="000000" w:themeColor="text1"/>
          <w:lang w:val="es-MX"/>
        </w:rPr>
        <w:t xml:space="preserve"> De esta manera, </w:t>
      </w:r>
      <w:r w:rsidR="000B5B6E">
        <w:rPr>
          <w:rFonts w:ascii="Arial" w:eastAsia="Arial" w:hAnsi="Arial" w:cs="Arial"/>
          <w:color w:val="000000" w:themeColor="text1"/>
          <w:lang w:val="es-MX"/>
        </w:rPr>
        <w:t>“</w:t>
      </w:r>
      <w:r w:rsidR="005D331F" w:rsidRPr="1548CBE8">
        <w:rPr>
          <w:rFonts w:ascii="Arial" w:eastAsia="Arial" w:hAnsi="Arial" w:cs="Arial"/>
          <w:i/>
          <w:iCs/>
          <w:color w:val="000000" w:themeColor="text1"/>
          <w:lang w:val="es-MX"/>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000B5B6E">
        <w:rPr>
          <w:rFonts w:ascii="Arial" w:eastAsia="Arial" w:hAnsi="Arial" w:cs="Arial"/>
          <w:i/>
          <w:iCs/>
          <w:color w:val="000000" w:themeColor="text1"/>
          <w:lang w:val="es-MX"/>
        </w:rPr>
        <w:t>”</w:t>
      </w:r>
      <w:r w:rsidR="005D331F" w:rsidRPr="1548CBE8">
        <w:rPr>
          <w:rFonts w:ascii="Arial" w:eastAsia="Arial" w:hAnsi="Arial" w:cs="Arial"/>
          <w:i/>
          <w:iCs/>
          <w:color w:val="000000" w:themeColor="text1"/>
          <w:lang w:val="es-MX"/>
        </w:rPr>
        <w:t>.</w:t>
      </w:r>
      <w:r w:rsidR="005D331F" w:rsidRPr="1548CBE8">
        <w:rPr>
          <w:rFonts w:ascii="Arial" w:eastAsia="Arial" w:hAnsi="Arial" w:cs="Arial"/>
          <w:i/>
          <w:iCs/>
          <w:color w:val="000000" w:themeColor="text1"/>
          <w:vertAlign w:val="superscript"/>
          <w:lang w:val="es-MX"/>
        </w:rPr>
        <w:t>16</w:t>
      </w:r>
    </w:p>
    <w:p w14:paraId="1AB9EA2B" w14:textId="77777777" w:rsidR="002616C1" w:rsidRDefault="002616C1" w:rsidP="005D331F">
      <w:pPr>
        <w:spacing w:before="120" w:after="0" w:line="276" w:lineRule="auto"/>
        <w:ind w:firstLine="709"/>
        <w:jc w:val="both"/>
        <w:rPr>
          <w:rFonts w:ascii="Arial" w:eastAsia="Arial" w:hAnsi="Arial" w:cs="Arial"/>
          <w:i/>
          <w:iCs/>
          <w:color w:val="000000" w:themeColor="text1"/>
          <w:vertAlign w:val="superscript"/>
          <w:lang w:val="es-MX"/>
        </w:rPr>
      </w:pPr>
    </w:p>
    <w:p w14:paraId="0F2B8611" w14:textId="144E5906" w:rsidR="007124EC" w:rsidRDefault="007124EC" w:rsidP="007124EC">
      <w:pPr>
        <w:spacing w:after="0" w:line="276" w:lineRule="auto"/>
        <w:jc w:val="both"/>
        <w:rPr>
          <w:rFonts w:ascii="Arial" w:eastAsia="Times New Roman" w:hAnsi="Arial" w:cs="Arial"/>
          <w:b/>
          <w:bCs/>
          <w:lang w:eastAsia="es-ES"/>
        </w:rPr>
      </w:pPr>
      <w:r w:rsidRPr="00402363">
        <w:rPr>
          <w:rFonts w:ascii="Arial" w:eastAsia="Times New Roman" w:hAnsi="Arial" w:cs="Arial"/>
          <w:b/>
          <w:bCs/>
          <w:lang w:eastAsia="es-ES"/>
        </w:rPr>
        <w:t xml:space="preserve">2.4 </w:t>
      </w:r>
      <w:r w:rsidR="00402363" w:rsidRPr="00402363">
        <w:rPr>
          <w:rFonts w:ascii="Arial" w:eastAsia="Times New Roman" w:hAnsi="Arial" w:cs="Arial"/>
          <w:b/>
          <w:bCs/>
          <w:lang w:eastAsia="es-ES"/>
        </w:rPr>
        <w:t>Alcance de la Subsanabilidad de la garantía de seriedad</w:t>
      </w:r>
    </w:p>
    <w:p w14:paraId="2126E7DB" w14:textId="77777777" w:rsidR="00125E1F" w:rsidRDefault="00125E1F" w:rsidP="007124EC">
      <w:pPr>
        <w:spacing w:after="0" w:line="276" w:lineRule="auto"/>
        <w:jc w:val="both"/>
        <w:rPr>
          <w:rFonts w:ascii="Arial" w:eastAsia="Times New Roman" w:hAnsi="Arial" w:cs="Arial"/>
          <w:b/>
          <w:bCs/>
          <w:lang w:eastAsia="es-ES"/>
        </w:rPr>
      </w:pPr>
    </w:p>
    <w:p w14:paraId="090E67C1" w14:textId="5E526568" w:rsidR="00B542F5" w:rsidRPr="00B542F5" w:rsidRDefault="00B542F5" w:rsidP="00B542F5">
      <w:pPr>
        <w:spacing w:after="0" w:line="276" w:lineRule="auto"/>
        <w:jc w:val="both"/>
        <w:rPr>
          <w:rFonts w:ascii="Arial" w:eastAsia="Calibri" w:hAnsi="Arial" w:cs="Arial"/>
          <w:color w:val="000000"/>
          <w:lang w:val="es-MX"/>
        </w:rPr>
      </w:pPr>
      <w:bookmarkStart w:id="4" w:name="_Hlk132707871"/>
      <w:r w:rsidRPr="00B542F5">
        <w:rPr>
          <w:rFonts w:ascii="Arial" w:eastAsia="Calibri" w:hAnsi="Arial" w:cs="Arial"/>
          <w:color w:val="000000"/>
          <w:lang w:val="es-MX"/>
        </w:rPr>
        <w:t xml:space="preserve">El artículo 5 de la Ley 1882 de 2018, que adicionó el parágrafo 3 al artículo 5 de la Ley 1150 de 2007, </w:t>
      </w:r>
      <w:r w:rsidRPr="00B542F5">
        <w:rPr>
          <w:rFonts w:ascii="Arial" w:eastAsia="Calibri" w:hAnsi="Arial" w:cs="Arial"/>
          <w:color w:val="000000"/>
          <w:u w:val="single"/>
          <w:lang w:val="es-MX"/>
        </w:rPr>
        <w:t>proscribe la subsanabilidad de la garantía de seriedad cuando esta no fue entregada junto con la propuesta y que esto será causal de rechazo</w:t>
      </w:r>
      <w:r w:rsidRPr="00B542F5">
        <w:rPr>
          <w:rFonts w:ascii="Arial" w:eastAsia="Calibri" w:hAnsi="Arial" w:cs="Arial"/>
          <w:color w:val="000000"/>
          <w:vertAlign w:val="superscript"/>
          <w:lang w:val="es-MX"/>
        </w:rPr>
        <w:footnoteReference w:id="10"/>
      </w:r>
      <w:r w:rsidRPr="00B542F5">
        <w:rPr>
          <w:rFonts w:ascii="Arial" w:eastAsia="Calibri" w:hAnsi="Arial" w:cs="Arial"/>
          <w:color w:val="000000"/>
          <w:lang w:val="es-MX"/>
        </w:rPr>
        <w:t xml:space="preserve">. </w:t>
      </w:r>
    </w:p>
    <w:p w14:paraId="08AF0A85" w14:textId="77777777" w:rsidR="00B542F5" w:rsidRPr="00B542F5" w:rsidRDefault="00B542F5" w:rsidP="00B542F5">
      <w:pPr>
        <w:spacing w:before="120" w:after="120" w:line="276" w:lineRule="auto"/>
        <w:ind w:firstLine="708"/>
        <w:jc w:val="both"/>
        <w:rPr>
          <w:rFonts w:ascii="Arial" w:eastAsia="Calibri" w:hAnsi="Arial" w:cs="Arial"/>
          <w:color w:val="000000"/>
          <w:lang w:val="es-MX"/>
        </w:rPr>
      </w:pPr>
      <w:r w:rsidRPr="00B542F5">
        <w:rPr>
          <w:rFonts w:ascii="Arial" w:eastAsia="Calibri" w:hAnsi="Arial" w:cs="Arial"/>
          <w:color w:val="000000"/>
          <w:lang w:val="es-MX"/>
        </w:rPr>
        <w:t>De acuerdo con la Gaceta No. 605 del 2016, era necesario eliminar la posibilidad de subsanar la garantía de seriedad hasta antes de la adjudicación del contrato, porque si no se presentaba de manera concomitante con la oferta, en el evento que el proponente retirara su propuesta si la entidad no contaba con la póliza, no podía reclamarle por los perjuicios a ella generados y, por lo tanto, se vería afectado el proceso de selección del proceso de contratación</w:t>
      </w:r>
      <w:bookmarkEnd w:id="4"/>
      <w:r w:rsidRPr="00B542F5">
        <w:rPr>
          <w:rFonts w:ascii="Arial" w:eastAsia="Calibri" w:hAnsi="Arial" w:cs="Arial"/>
          <w:color w:val="000000"/>
          <w:vertAlign w:val="superscript"/>
          <w:lang w:val="es-MX"/>
        </w:rPr>
        <w:footnoteReference w:id="11"/>
      </w:r>
      <w:r w:rsidRPr="00B542F5">
        <w:rPr>
          <w:rFonts w:ascii="Arial" w:eastAsia="Calibri" w:hAnsi="Arial" w:cs="Arial"/>
          <w:color w:val="000000"/>
          <w:lang w:val="es-MX"/>
        </w:rPr>
        <w:t xml:space="preserve"> . </w:t>
      </w:r>
    </w:p>
    <w:p w14:paraId="3E3334A8" w14:textId="77777777" w:rsidR="00B542F5" w:rsidRPr="00B542F5" w:rsidRDefault="00B542F5" w:rsidP="00B542F5">
      <w:pPr>
        <w:spacing w:before="120" w:after="120" w:line="276" w:lineRule="auto"/>
        <w:ind w:firstLine="708"/>
        <w:jc w:val="both"/>
        <w:rPr>
          <w:rFonts w:ascii="Arial" w:eastAsia="Calibri" w:hAnsi="Arial" w:cs="Arial"/>
          <w:color w:val="000000"/>
          <w:lang w:val="es-MX"/>
        </w:rPr>
      </w:pPr>
      <w:r w:rsidRPr="00B542F5">
        <w:rPr>
          <w:rFonts w:ascii="Arial" w:eastAsia="Calibri" w:hAnsi="Arial" w:cs="Arial"/>
          <w:color w:val="000000"/>
          <w:lang w:val="es-MX"/>
        </w:rPr>
        <w:t>Es así, como el artículo 5 de la Ley 1882 de 2018 dispone que la no presentación de la garantía junto con la propuesta no será subsanable y será causal de rechazo de esta. El Código de Comercio regula el contrato de seguro como un contrato consensual, bilateral, oneroso, aleatorio y de ejecución sucesiva. El artículo 1.046 ibidem establece que el contrato de seguro se probará por escrito o confesión, y, para los fines exclusivamente probatorios, el asegurador está obligado a entregar en su original al tomador dentro de los quince días siguientes a la fecha de su celebración, el documento contentivo del contrato de seguro, es decir, la póliza de seguro, el cual deberá redactarse en castellano y firmarse por el asegurador</w:t>
      </w:r>
      <w:r w:rsidRPr="00B542F5">
        <w:rPr>
          <w:rFonts w:ascii="Arial" w:eastAsia="Calibri" w:hAnsi="Arial" w:cs="Arial"/>
          <w:color w:val="000000"/>
          <w:vertAlign w:val="superscript"/>
          <w:lang w:val="es-MX"/>
        </w:rPr>
        <w:footnoteReference w:id="12"/>
      </w:r>
      <w:r w:rsidRPr="00B542F5">
        <w:rPr>
          <w:rFonts w:ascii="Arial" w:eastAsia="Calibri" w:hAnsi="Arial" w:cs="Arial"/>
          <w:color w:val="000000"/>
          <w:lang w:val="es-MX"/>
        </w:rPr>
        <w:t>.</w:t>
      </w:r>
    </w:p>
    <w:p w14:paraId="4D77EE8B" w14:textId="77777777" w:rsidR="00B542F5" w:rsidRPr="00B542F5" w:rsidRDefault="00B542F5" w:rsidP="00B542F5">
      <w:pPr>
        <w:spacing w:before="120" w:after="120" w:line="276" w:lineRule="auto"/>
        <w:ind w:firstLine="709"/>
        <w:jc w:val="both"/>
        <w:rPr>
          <w:rFonts w:ascii="Arial" w:eastAsia="Calibri" w:hAnsi="Arial" w:cs="Arial"/>
          <w:color w:val="000000"/>
          <w:lang w:val="es-MX"/>
        </w:rPr>
      </w:pPr>
      <w:r w:rsidRPr="00B542F5">
        <w:rPr>
          <w:rFonts w:ascii="Arial" w:eastAsia="Calibri" w:hAnsi="Arial" w:cs="Arial"/>
          <w:color w:val="000000"/>
          <w:lang w:val="es-MX"/>
        </w:rPr>
        <w:t xml:space="preserve">En este sentido, solo para fines probatorios del contrato de seguro, el asegurador está obligado a entregar a su tomador el documento contentivo del contrato de seguro, aunque el mismo se perfeccione por el solo consentimiento de las partes (tomador y asegurador), sin </w:t>
      </w:r>
      <w:r w:rsidRPr="00B542F5">
        <w:rPr>
          <w:rFonts w:ascii="Arial" w:eastAsia="Calibri" w:hAnsi="Arial" w:cs="Arial"/>
          <w:color w:val="000000"/>
          <w:lang w:val="es-MX"/>
        </w:rPr>
        <w:lastRenderedPageBreak/>
        <w:t xml:space="preserve">perjuicio de que el asegurador también esté obligado a librar duplicados o copias de la póliza al beneficiario, el asegurado o tomador por solicitud de estos. </w:t>
      </w:r>
    </w:p>
    <w:p w14:paraId="0D07185A" w14:textId="77777777" w:rsidR="00B542F5" w:rsidRPr="00B542F5" w:rsidRDefault="00B542F5" w:rsidP="00B542F5">
      <w:pPr>
        <w:spacing w:before="120" w:after="120" w:line="276" w:lineRule="auto"/>
        <w:ind w:firstLine="709"/>
        <w:jc w:val="both"/>
        <w:rPr>
          <w:rFonts w:ascii="Arial" w:eastAsia="Calibri" w:hAnsi="Arial" w:cs="Arial"/>
          <w:color w:val="000000"/>
          <w:lang w:val="es-MX"/>
        </w:rPr>
      </w:pPr>
      <w:r w:rsidRPr="00B542F5">
        <w:rPr>
          <w:rFonts w:ascii="Arial" w:eastAsia="Calibri" w:hAnsi="Arial" w:cs="Arial"/>
          <w:color w:val="000000"/>
          <w:lang w:val="es-MX"/>
        </w:rPr>
        <w:t xml:space="preserve">El proponente deberá presentar junto con la oferta el documento contentivo del contrato de seguro que expide el asegurador para que la misma no sea rechazada. No obstante, la entrega de este documento no tiene que ser en físico sino que puede ser recibida por la entidad estatal en la plataforma del SECOP o por cualquier otro medio, pues la Ley 1882 de 2018 no exige formalidad alguna para su presentación; y por el contrario el SECOP II, al ser una plataforma transaccional permite que el proponente diligencie y cargue la póliza que garantiza la seriedad de la oferta. </w:t>
      </w:r>
    </w:p>
    <w:p w14:paraId="643DDD9B" w14:textId="77777777" w:rsidR="00B542F5" w:rsidRPr="00B542F5" w:rsidRDefault="00B542F5" w:rsidP="00B542F5">
      <w:pPr>
        <w:spacing w:before="120" w:after="120" w:line="276" w:lineRule="auto"/>
        <w:ind w:firstLine="709"/>
        <w:jc w:val="both"/>
        <w:rPr>
          <w:rFonts w:ascii="Arial" w:eastAsia="Calibri" w:hAnsi="Arial" w:cs="Arial"/>
          <w:color w:val="000000"/>
          <w:lang w:val="es-MX"/>
        </w:rPr>
      </w:pPr>
      <w:r w:rsidRPr="00B542F5">
        <w:rPr>
          <w:rFonts w:ascii="Arial" w:eastAsia="Calibri" w:hAnsi="Arial" w:cs="Arial"/>
          <w:color w:val="000000"/>
          <w:lang w:val="es-MX"/>
        </w:rPr>
        <w:t xml:space="preserve">De esta forma, si el proponente al momento de presentar la oferta carga a la plataforma del SECOP II la póliza que expide el asegurador, está cumpliendo con lo prescrito en el artículo 5 de la Ley 1882 de 2018; y, por lo tanto, la entidad no debería requerir al proponente para que allegue dicho documento en físico, ni mucho menos rechazar su oferta por este motivo. </w:t>
      </w:r>
    </w:p>
    <w:p w14:paraId="346B63E4" w14:textId="77777777" w:rsidR="00B542F5" w:rsidRPr="00B542F5" w:rsidRDefault="00B542F5" w:rsidP="00B542F5">
      <w:pPr>
        <w:spacing w:before="120" w:after="120" w:line="276" w:lineRule="auto"/>
        <w:ind w:firstLine="709"/>
        <w:jc w:val="both"/>
        <w:rPr>
          <w:rFonts w:ascii="Arial" w:eastAsia="Calibri" w:hAnsi="Arial" w:cs="Arial"/>
          <w:color w:val="000000"/>
          <w:lang w:val="es-MX"/>
        </w:rPr>
      </w:pPr>
      <w:r w:rsidRPr="00B542F5">
        <w:rPr>
          <w:rFonts w:ascii="Arial" w:eastAsia="Calibri" w:hAnsi="Arial" w:cs="Arial"/>
          <w:color w:val="000000"/>
          <w:lang w:val="es-MX"/>
        </w:rPr>
        <w:t xml:space="preserve">Ahora, si el proponente presenta su oferta con la póliza de seguro, no es necesario exigirle el comprobante de pago de la prima del contrato de seguro, toda vez que de acuerdo con el artículo 1046 del Código de Comercio, se probará el contrato de seguro con la póliza que expide el asegurador, y, en este sentido, no será necesario exigirle al comprobante de pago de la póliza. </w:t>
      </w:r>
    </w:p>
    <w:p w14:paraId="565D5014" w14:textId="77777777" w:rsidR="00125E1F" w:rsidRPr="00402363" w:rsidRDefault="00125E1F" w:rsidP="007124EC">
      <w:pPr>
        <w:spacing w:after="0" w:line="276" w:lineRule="auto"/>
        <w:jc w:val="both"/>
        <w:rPr>
          <w:rFonts w:ascii="Arial" w:eastAsia="Times New Roman" w:hAnsi="Arial" w:cs="Arial"/>
          <w:b/>
          <w:bCs/>
          <w:lang w:eastAsia="es-ES"/>
        </w:rPr>
      </w:pPr>
    </w:p>
    <w:p w14:paraId="61B6F5C0" w14:textId="77777777" w:rsidR="005D331F" w:rsidRDefault="005D331F" w:rsidP="005D331F">
      <w:pPr>
        <w:spacing w:after="0" w:line="276" w:lineRule="auto"/>
        <w:jc w:val="both"/>
        <w:rPr>
          <w:rFonts w:ascii="Arial" w:eastAsia="Times New Roman" w:hAnsi="Arial" w:cs="Arial"/>
          <w:lang w:eastAsia="es-ES"/>
        </w:rPr>
      </w:pPr>
    </w:p>
    <w:p w14:paraId="42FEBAE4" w14:textId="5C41994B" w:rsidR="005D331F" w:rsidRDefault="005D331F" w:rsidP="005D331F">
      <w:pPr>
        <w:spacing w:after="0" w:line="240" w:lineRule="auto"/>
        <w:jc w:val="both"/>
        <w:rPr>
          <w:rFonts w:ascii="Arial" w:eastAsia="Calibri" w:hAnsi="Arial" w:cs="Arial"/>
          <w:b/>
          <w:bCs/>
          <w:noProof/>
          <w:color w:val="161616"/>
          <w:lang w:val="es-ES" w:eastAsia="en-GB"/>
        </w:rPr>
      </w:pPr>
      <w:r w:rsidRPr="7FDDD7E9">
        <w:rPr>
          <w:rFonts w:ascii="Arial" w:eastAsia="Calibri" w:hAnsi="Arial" w:cs="Arial"/>
          <w:b/>
          <w:bCs/>
          <w:noProof/>
          <w:color w:val="161616"/>
          <w:lang w:val="es-ES" w:eastAsia="en-GB"/>
        </w:rPr>
        <w:t>2.</w:t>
      </w:r>
      <w:r w:rsidR="007124EC">
        <w:rPr>
          <w:rFonts w:ascii="Arial" w:eastAsia="Calibri" w:hAnsi="Arial" w:cs="Arial"/>
          <w:b/>
          <w:bCs/>
          <w:noProof/>
          <w:color w:val="161616"/>
          <w:lang w:val="es-ES" w:eastAsia="en-GB"/>
        </w:rPr>
        <w:t>5</w:t>
      </w:r>
      <w:r w:rsidRPr="7FDDD7E9">
        <w:rPr>
          <w:rFonts w:ascii="Arial" w:eastAsia="Calibri" w:hAnsi="Arial" w:cs="Arial"/>
          <w:b/>
          <w:bCs/>
          <w:noProof/>
          <w:color w:val="161616"/>
          <w:lang w:val="es-ES" w:eastAsia="en-GB"/>
        </w:rPr>
        <w:t>. Presentación de ofertas en el Sistema Electrónoco para la Contratación Pública – SECOP II</w:t>
      </w:r>
    </w:p>
    <w:p w14:paraId="41548522" w14:textId="77777777" w:rsidR="005D331F" w:rsidRPr="0085387E" w:rsidRDefault="005D331F" w:rsidP="005D331F">
      <w:pPr>
        <w:spacing w:after="0" w:line="240" w:lineRule="auto"/>
        <w:rPr>
          <w:rFonts w:ascii="Arial" w:eastAsia="Calibri" w:hAnsi="Arial" w:cs="Arial"/>
          <w:lang w:val="es-ES_tradnl"/>
        </w:rPr>
      </w:pPr>
    </w:p>
    <w:p w14:paraId="62844E0E" w14:textId="19BBCE15" w:rsidR="005D331F" w:rsidRPr="0085387E" w:rsidRDefault="005D331F" w:rsidP="005D331F">
      <w:pPr>
        <w:spacing w:after="0" w:line="276" w:lineRule="auto"/>
        <w:jc w:val="both"/>
        <w:rPr>
          <w:rFonts w:ascii="Arial" w:eastAsia="Calibri" w:hAnsi="Arial" w:cs="Arial"/>
          <w:lang w:val="es-ES_tradnl"/>
        </w:rPr>
      </w:pPr>
      <w:r w:rsidRPr="1548CBE8">
        <w:rPr>
          <w:rFonts w:ascii="Arial" w:eastAsia="Calibri" w:hAnsi="Arial" w:cs="Arial"/>
          <w:lang w:val="es-ES"/>
        </w:rPr>
        <w:t xml:space="preserve">La Agencia Nacional de Contratación Pública – Colombia Compra Eficiente, con el fin de apoyar el proceso de capacitación de los diferentes partícipes del Sistema de Compra y Contratación Pública, ha elaborado diferentes materiales de formación que responden a la necesidad de difundir las prácticas del uso técnico del SECOP II. En ese orden, emitió la </w:t>
      </w:r>
      <w:r w:rsidR="000B5B6E">
        <w:rPr>
          <w:rFonts w:ascii="Arial" w:eastAsia="Calibri" w:hAnsi="Arial" w:cs="Arial"/>
          <w:lang w:val="es-ES"/>
        </w:rPr>
        <w:t>“</w:t>
      </w:r>
      <w:r w:rsidRPr="1548CBE8">
        <w:rPr>
          <w:rFonts w:ascii="Arial" w:eastAsia="Calibri" w:hAnsi="Arial" w:cs="Arial"/>
          <w:lang w:val="es-ES"/>
        </w:rPr>
        <w:t>Guía para presentar ofertas en el SECOP II</w:t>
      </w:r>
      <w:r w:rsidR="000B5B6E">
        <w:rPr>
          <w:rFonts w:ascii="Arial" w:eastAsia="Calibri" w:hAnsi="Arial" w:cs="Arial"/>
          <w:lang w:val="es-ES"/>
        </w:rPr>
        <w:t>”</w:t>
      </w:r>
      <w:r w:rsidRPr="1548CBE8">
        <w:rPr>
          <w:rStyle w:val="Refdenotaalpie"/>
          <w:rFonts w:ascii="Arial" w:eastAsia="Calibri" w:hAnsi="Arial" w:cs="Arial"/>
          <w:lang w:val="es-ES"/>
        </w:rPr>
        <w:footnoteReference w:id="13"/>
      </w:r>
      <w:r w:rsidRPr="1548CBE8">
        <w:rPr>
          <w:rFonts w:ascii="Arial" w:eastAsia="Calibri" w:hAnsi="Arial" w:cs="Arial"/>
          <w:lang w:val="es-ES"/>
        </w:rPr>
        <w:t>, en la que se expone el procedimiento técnico que deben tener en cuenta los proveedores para configurar la información presentada como oferta a través de esta plataforma.</w:t>
      </w:r>
    </w:p>
    <w:p w14:paraId="08B34DB9" w14:textId="58CFA241" w:rsidR="005D331F" w:rsidRPr="006C4F8B" w:rsidRDefault="005D331F" w:rsidP="005D331F">
      <w:pPr>
        <w:spacing w:before="120" w:after="0" w:line="276" w:lineRule="auto"/>
        <w:jc w:val="both"/>
        <w:rPr>
          <w:rFonts w:ascii="Arial" w:eastAsia="Calibri" w:hAnsi="Arial" w:cs="Arial"/>
          <w:color w:val="000000"/>
          <w:lang w:val="es-ES_tradnl"/>
        </w:rPr>
      </w:pPr>
      <w:r>
        <w:rPr>
          <w:rFonts w:ascii="Arial" w:eastAsia="Calibri" w:hAnsi="Arial" w:cs="Arial"/>
          <w:bCs/>
          <w:noProof/>
          <w:color w:val="161616"/>
          <w:lang w:val="es-ES_tradnl" w:eastAsia="en-GB"/>
        </w:rPr>
        <w:tab/>
      </w:r>
      <w:r w:rsidRPr="006873BD">
        <w:rPr>
          <w:rFonts w:ascii="Arial" w:eastAsia="Calibri" w:hAnsi="Arial" w:cs="Arial"/>
          <w:color w:val="000000"/>
          <w:lang w:val="es-ES_tradnl"/>
        </w:rPr>
        <w:t xml:space="preserve">En ese orden, </w:t>
      </w:r>
      <w:bookmarkStart w:id="5" w:name="_Hlk125366573"/>
      <w:r w:rsidRPr="006873BD">
        <w:rPr>
          <w:rFonts w:ascii="Arial" w:eastAsia="Calibri" w:hAnsi="Arial" w:cs="Arial"/>
          <w:color w:val="000000"/>
          <w:lang w:val="es-ES_tradnl"/>
        </w:rPr>
        <w:t xml:space="preserve">los oferentes al momento de crear y presentar sus ofertas en un proceso de contratación en el SECOP II, </w:t>
      </w:r>
      <w:r>
        <w:rPr>
          <w:rFonts w:ascii="Arial" w:eastAsia="Calibri" w:hAnsi="Arial" w:cs="Arial"/>
          <w:color w:val="000000"/>
          <w:lang w:val="es-ES_tradnl"/>
        </w:rPr>
        <w:t xml:space="preserve">deberán tener en cuenta que este comprende desde la edición del formulario electrónico de la oferta, hasta la aceptación de los términos y condiciones. De igual forma, esta plataforma controla que la presentación de las ofertas se realice hasta la fecha límite establecida para ello por la Entidad Estatal. Por ende, el SECOP II le permitirá al proveedor </w:t>
      </w:r>
      <w:r>
        <w:rPr>
          <w:rFonts w:ascii="Arial" w:eastAsia="Calibri" w:hAnsi="Arial" w:cs="Arial"/>
          <w:color w:val="000000"/>
          <w:lang w:val="es-ES_tradnl"/>
        </w:rPr>
        <w:lastRenderedPageBreak/>
        <w:t xml:space="preserve">realizar los ajustes que requiera de su oferta, así como el enviar una nueva versión o retirarla definitivamente, siempre y cuando realice el proceso de edición, </w:t>
      </w:r>
      <w:r w:rsidR="000B5B6E">
        <w:rPr>
          <w:rFonts w:ascii="Arial" w:eastAsia="Calibri" w:hAnsi="Arial" w:cs="Arial"/>
          <w:color w:val="000000"/>
          <w:lang w:val="es-ES_tradnl"/>
        </w:rPr>
        <w:t>“</w:t>
      </w:r>
      <w:r>
        <w:rPr>
          <w:rFonts w:ascii="Arial" w:eastAsia="Calibri" w:hAnsi="Arial" w:cs="Arial"/>
          <w:color w:val="000000"/>
          <w:lang w:val="es-ES_tradnl"/>
        </w:rPr>
        <w:t>retiro de la oferta anterior y confirmación de la nueva versión o retiro definitivo</w:t>
      </w:r>
      <w:r w:rsidR="000B5B6E">
        <w:rPr>
          <w:rFonts w:ascii="Arial" w:eastAsia="Calibri" w:hAnsi="Arial" w:cs="Arial"/>
          <w:color w:val="000000"/>
          <w:lang w:val="es-ES_tradnl"/>
        </w:rPr>
        <w:t>”</w:t>
      </w:r>
      <w:r>
        <w:rPr>
          <w:rFonts w:ascii="Arial" w:eastAsia="Calibri" w:hAnsi="Arial" w:cs="Arial"/>
          <w:color w:val="000000"/>
          <w:lang w:val="es-ES_tradnl"/>
        </w:rPr>
        <w:t xml:space="preserve">, antes del vencimiento del plazo para la presentación de la misma. </w:t>
      </w:r>
      <w:bookmarkEnd w:id="5"/>
      <w:r>
        <w:rPr>
          <w:rFonts w:ascii="Arial" w:eastAsia="Calibri" w:hAnsi="Arial" w:cs="Arial"/>
          <w:color w:val="000000"/>
          <w:lang w:val="es-ES_tradnl"/>
        </w:rPr>
        <w:t>Estos cambios no serán visualizados por la entidad, pues únicamente tendrá acceso a la información allí contenida, una vez realice la apertura de las ofertas.</w:t>
      </w:r>
    </w:p>
    <w:p w14:paraId="61B9757E" w14:textId="1799760A" w:rsidR="005D331F" w:rsidRDefault="005D331F" w:rsidP="005D331F">
      <w:pPr>
        <w:spacing w:before="120" w:after="0" w:line="276" w:lineRule="auto"/>
        <w:jc w:val="both"/>
        <w:rPr>
          <w:rFonts w:ascii="Arial" w:eastAsia="Calibri" w:hAnsi="Arial" w:cs="Arial"/>
          <w:color w:val="000000"/>
          <w:lang w:val="es-ES_tradnl"/>
        </w:rPr>
      </w:pPr>
      <w:r>
        <w:rPr>
          <w:rFonts w:ascii="Arial" w:eastAsia="Calibri" w:hAnsi="Arial" w:cs="Arial"/>
          <w:b/>
          <w:noProof/>
          <w:color w:val="161616"/>
          <w:lang w:val="es-ES_tradnl" w:eastAsia="en-GB"/>
        </w:rPr>
        <w:tab/>
      </w:r>
      <w:r w:rsidRPr="008E7104">
        <w:rPr>
          <w:rFonts w:ascii="Arial" w:eastAsia="Calibri" w:hAnsi="Arial" w:cs="Arial"/>
          <w:color w:val="000000"/>
          <w:lang w:val="es-ES_tradnl"/>
        </w:rPr>
        <w:t xml:space="preserve">Así pues, resulta </w:t>
      </w:r>
      <w:r w:rsidR="00554FBF">
        <w:rPr>
          <w:rFonts w:ascii="Arial" w:eastAsia="Calibri" w:hAnsi="Arial" w:cs="Arial"/>
          <w:color w:val="000000"/>
          <w:lang w:val="es-ES_tradnl"/>
        </w:rPr>
        <w:t>relevante</w:t>
      </w:r>
      <w:r w:rsidRPr="008E7104">
        <w:rPr>
          <w:rFonts w:ascii="Arial" w:eastAsia="Calibri" w:hAnsi="Arial" w:cs="Arial"/>
          <w:color w:val="000000"/>
          <w:lang w:val="es-ES_tradnl"/>
        </w:rPr>
        <w:t xml:space="preserve"> señalar que la presentación de las ofertas en SECOP II deben antender en principio, a lo indicado por la Entidad Estatal en el pliego de condiciones, a las Guías que emitie Colombia Compra Eficiente y</w:t>
      </w:r>
      <w:r>
        <w:rPr>
          <w:rFonts w:ascii="Arial" w:eastAsia="Calibri" w:hAnsi="Arial" w:cs="Arial"/>
          <w:color w:val="000000"/>
          <w:lang w:val="es-ES_tradnl"/>
        </w:rPr>
        <w:t>,</w:t>
      </w:r>
      <w:r w:rsidRPr="008E7104">
        <w:rPr>
          <w:rFonts w:ascii="Arial" w:eastAsia="Calibri" w:hAnsi="Arial" w:cs="Arial"/>
          <w:color w:val="000000"/>
          <w:lang w:val="es-ES_tradnl"/>
        </w:rPr>
        <w:t xml:space="preserve"> </w:t>
      </w:r>
      <w:r>
        <w:rPr>
          <w:rFonts w:ascii="Arial" w:eastAsia="Calibri" w:hAnsi="Arial" w:cs="Arial"/>
          <w:color w:val="000000"/>
          <w:lang w:val="es-ES_tradnl"/>
        </w:rPr>
        <w:t xml:space="preserve">a los </w:t>
      </w:r>
      <w:r w:rsidR="000B5B6E">
        <w:rPr>
          <w:rFonts w:ascii="Arial" w:eastAsia="Calibri" w:hAnsi="Arial" w:cs="Arial"/>
          <w:color w:val="000000"/>
          <w:lang w:val="es-ES_tradnl"/>
        </w:rPr>
        <w:t>“</w:t>
      </w:r>
      <w:r w:rsidRPr="008E7104">
        <w:rPr>
          <w:rFonts w:ascii="Arial" w:eastAsia="Calibri" w:hAnsi="Arial" w:cs="Arial"/>
          <w:color w:val="000000"/>
          <w:lang w:val="es-ES_tradnl"/>
        </w:rPr>
        <w:t>Términos y Condiciones</w:t>
      </w:r>
      <w:r w:rsidR="000B5B6E">
        <w:rPr>
          <w:rFonts w:ascii="Arial" w:eastAsia="Calibri" w:hAnsi="Arial" w:cs="Arial"/>
          <w:color w:val="000000"/>
          <w:lang w:val="es-ES_tradnl"/>
        </w:rPr>
        <w:t>”</w:t>
      </w:r>
      <w:r w:rsidRPr="008E7104">
        <w:rPr>
          <w:rFonts w:ascii="Arial" w:eastAsia="Calibri" w:hAnsi="Arial" w:cs="Arial"/>
          <w:color w:val="000000"/>
          <w:lang w:val="es-ES_tradnl"/>
        </w:rPr>
        <w:t xml:space="preserve"> para el uso del SECOP II</w:t>
      </w:r>
      <w:r>
        <w:rPr>
          <w:rFonts w:ascii="Arial" w:eastAsia="Calibri" w:hAnsi="Arial" w:cs="Arial"/>
          <w:color w:val="000000"/>
          <w:lang w:val="es-ES_tradnl"/>
        </w:rPr>
        <w:t>.</w:t>
      </w:r>
    </w:p>
    <w:p w14:paraId="22DD40F6" w14:textId="3679A4B6" w:rsidR="005D331F" w:rsidRPr="00C102BA" w:rsidRDefault="005D331F" w:rsidP="005D331F">
      <w:pPr>
        <w:spacing w:before="120" w:after="0" w:line="276" w:lineRule="auto"/>
        <w:jc w:val="both"/>
        <w:rPr>
          <w:rFonts w:ascii="Arial" w:eastAsia="Calibri" w:hAnsi="Arial" w:cs="Arial"/>
          <w:bCs/>
          <w:noProof/>
          <w:color w:val="161616"/>
          <w:lang w:val="es-ES_tradnl" w:eastAsia="en-GB"/>
        </w:rPr>
      </w:pPr>
      <w:r>
        <w:rPr>
          <w:rFonts w:ascii="Arial" w:eastAsia="Calibri" w:hAnsi="Arial" w:cs="Arial"/>
          <w:color w:val="000000"/>
          <w:lang w:val="es-ES_tradnl"/>
        </w:rPr>
        <w:tab/>
        <w:t xml:space="preserve">En caso de tener dudas sobre las plataformas administradas por Colombia Compra Eficiente, puede acceder a nuestra </w:t>
      </w:r>
      <w:r w:rsidR="000B5B6E">
        <w:rPr>
          <w:rFonts w:ascii="Arial" w:eastAsia="Calibri" w:hAnsi="Arial" w:cs="Arial"/>
          <w:color w:val="000000"/>
          <w:lang w:val="es-ES_tradnl"/>
        </w:rPr>
        <w:t>“</w:t>
      </w:r>
      <w:r>
        <w:rPr>
          <w:rFonts w:ascii="Arial" w:eastAsia="Calibri" w:hAnsi="Arial" w:cs="Arial"/>
          <w:color w:val="000000"/>
          <w:lang w:val="es-ES_tradnl"/>
        </w:rPr>
        <w:t>Mesa de Servicio</w:t>
      </w:r>
      <w:r w:rsidR="000B5B6E">
        <w:rPr>
          <w:rFonts w:ascii="Arial" w:eastAsia="Calibri" w:hAnsi="Arial" w:cs="Arial"/>
          <w:color w:val="000000"/>
          <w:lang w:val="es-ES_tradnl"/>
        </w:rPr>
        <w:t>”</w:t>
      </w:r>
      <w:r>
        <w:rPr>
          <w:rFonts w:ascii="Arial" w:eastAsia="Calibri" w:hAnsi="Arial" w:cs="Arial"/>
          <w:color w:val="000000"/>
          <w:lang w:val="es-ES_tradnl"/>
        </w:rPr>
        <w:t xml:space="preserve"> en el siguiente enlace: </w:t>
      </w:r>
      <w:hyperlink r:id="rId12" w:history="1">
        <w:r w:rsidR="00F77EBD" w:rsidRPr="009F26E4">
          <w:rPr>
            <w:rStyle w:val="Hipervnculo"/>
            <w:rFonts w:ascii="Arial" w:eastAsia="Calibri" w:hAnsi="Arial" w:cs="Arial"/>
            <w:lang w:val="es-ES_tradnl"/>
          </w:rPr>
          <w:t>file:///C:/Users/DELL/Downloads/%20https:/www.colombiacompra.gov.co/mesa-de-servicio</w:t>
        </w:r>
      </w:hyperlink>
      <w:r>
        <w:rPr>
          <w:rFonts w:ascii="Arial" w:eastAsia="Calibri" w:hAnsi="Arial" w:cs="Arial"/>
          <w:color w:val="000000"/>
          <w:lang w:val="es-ES_tradnl"/>
        </w:rPr>
        <w:t xml:space="preserve"> </w:t>
      </w:r>
    </w:p>
    <w:p w14:paraId="1D11DD35" w14:textId="77777777" w:rsidR="005D331F" w:rsidRPr="001359A8" w:rsidRDefault="005D331F" w:rsidP="005D331F">
      <w:pPr>
        <w:spacing w:after="0" w:line="276" w:lineRule="auto"/>
        <w:jc w:val="both"/>
        <w:rPr>
          <w:rFonts w:ascii="Arial" w:eastAsia="Calibri" w:hAnsi="Arial" w:cs="Arial"/>
          <w:lang w:val="es-ES_tradnl"/>
        </w:rPr>
      </w:pPr>
    </w:p>
    <w:p w14:paraId="51600ACD" w14:textId="77777777" w:rsidR="005D331F" w:rsidRPr="00482CF9" w:rsidRDefault="005D331F" w:rsidP="005D331F">
      <w:pPr>
        <w:tabs>
          <w:tab w:val="left" w:pos="284"/>
        </w:tabs>
        <w:spacing w:after="0" w:line="276" w:lineRule="auto"/>
        <w:contextualSpacing/>
        <w:jc w:val="both"/>
        <w:rPr>
          <w:rFonts w:ascii="Arial" w:eastAsia="Calibri" w:hAnsi="Arial" w:cs="Arial"/>
          <w:color w:val="000000"/>
          <w:lang w:val="es-ES_tradnl"/>
        </w:rPr>
      </w:pPr>
      <w:r w:rsidRPr="00482CF9">
        <w:rPr>
          <w:rFonts w:ascii="Arial" w:eastAsia="Calibri" w:hAnsi="Arial" w:cs="Arial"/>
          <w:b/>
          <w:color w:val="000000"/>
          <w:lang w:val="es-ES_tradnl"/>
        </w:rPr>
        <w:t>3. Respuesta</w:t>
      </w:r>
    </w:p>
    <w:p w14:paraId="6C8B3E6D" w14:textId="77777777" w:rsidR="005D331F" w:rsidRPr="00482CF9" w:rsidRDefault="005D331F" w:rsidP="005D331F">
      <w:pPr>
        <w:spacing w:after="0" w:line="276" w:lineRule="auto"/>
        <w:ind w:left="709" w:right="709"/>
        <w:contextualSpacing/>
        <w:jc w:val="both"/>
        <w:rPr>
          <w:rFonts w:ascii="Arial" w:eastAsia="Calibri" w:hAnsi="Arial" w:cs="Arial"/>
          <w:iCs/>
          <w:color w:val="000000"/>
          <w:lang w:val="es-ES_tradnl"/>
        </w:rPr>
      </w:pPr>
    </w:p>
    <w:p w14:paraId="2862D456" w14:textId="049663F0" w:rsidR="001154A4" w:rsidRPr="00A3464E" w:rsidRDefault="000B5B6E" w:rsidP="001154A4">
      <w:pPr>
        <w:tabs>
          <w:tab w:val="left" w:pos="426"/>
        </w:tabs>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001154A4" w:rsidRPr="00A3464E">
        <w:rPr>
          <w:rFonts w:ascii="Arial" w:eastAsia="Calibri" w:hAnsi="Arial" w:cs="Arial"/>
          <w:color w:val="000000"/>
          <w:sz w:val="21"/>
          <w:szCs w:val="21"/>
          <w:lang w:val="es-ES_tradnl"/>
        </w:rPr>
        <w:t xml:space="preserve">En desarrollo de un concurso de méritos en el SECOP II, quedó registrado con la presentación de la propuesta todos los datos concernientes a la poliza de garantia registrando asi  el </w:t>
      </w:r>
      <w:r w:rsidR="001154A4">
        <w:rPr>
          <w:rFonts w:ascii="Arial" w:eastAsia="Calibri" w:hAnsi="Arial" w:cs="Arial"/>
          <w:color w:val="000000"/>
          <w:sz w:val="21"/>
          <w:szCs w:val="21"/>
          <w:lang w:val="es-ES_tradnl"/>
        </w:rPr>
        <w:t xml:space="preserve">(sic) </w:t>
      </w:r>
      <w:r w:rsidR="001154A4" w:rsidRPr="00A3464E">
        <w:rPr>
          <w:rFonts w:ascii="Arial" w:eastAsia="Calibri" w:hAnsi="Arial" w:cs="Arial"/>
          <w:color w:val="000000"/>
          <w:sz w:val="21"/>
          <w:szCs w:val="21"/>
          <w:lang w:val="es-ES_tradnl"/>
        </w:rPr>
        <w:t>numero de la garantía y el valor de la misma, sin embargo al momento de cargar el documento por error humano quedó cargado otro documento.</w:t>
      </w:r>
    </w:p>
    <w:p w14:paraId="7278B5EA" w14:textId="23FA7BAB" w:rsidR="001154A4" w:rsidRPr="00482CF9" w:rsidRDefault="001154A4" w:rsidP="001154A4">
      <w:pPr>
        <w:tabs>
          <w:tab w:val="left" w:pos="426"/>
        </w:tabs>
        <w:spacing w:after="0" w:line="240" w:lineRule="auto"/>
        <w:ind w:left="709" w:right="709"/>
        <w:jc w:val="both"/>
        <w:rPr>
          <w:rFonts w:ascii="Arial" w:eastAsia="Calibri" w:hAnsi="Arial" w:cs="Arial"/>
          <w:color w:val="000000"/>
          <w:sz w:val="21"/>
          <w:szCs w:val="21"/>
          <w:lang w:val="es-ES_tradnl"/>
        </w:rPr>
      </w:pPr>
      <w:r w:rsidRPr="00A3464E">
        <w:rPr>
          <w:rFonts w:ascii="Arial" w:eastAsia="Calibri" w:hAnsi="Arial" w:cs="Arial"/>
          <w:color w:val="000000"/>
          <w:sz w:val="21"/>
          <w:szCs w:val="21"/>
          <w:lang w:val="es-ES_tradnl"/>
        </w:rPr>
        <w:t>En el entendido que se le otorgó a la entidad el número de póliza lo que da fe que si existía dicha póliza al momento de presentar la propuesta, puede este ser subsanado?</w:t>
      </w:r>
      <w:r w:rsidR="000B5B6E">
        <w:rPr>
          <w:rFonts w:ascii="Arial" w:eastAsia="Calibri" w:hAnsi="Arial" w:cs="Arial"/>
          <w:color w:val="000000"/>
          <w:sz w:val="21"/>
          <w:szCs w:val="21"/>
          <w:lang w:val="es-ES_tradnl"/>
        </w:rPr>
        <w:t>”</w:t>
      </w:r>
    </w:p>
    <w:p w14:paraId="34E6C147" w14:textId="1BE7C793" w:rsidR="005D331F" w:rsidRPr="00482CF9" w:rsidRDefault="005D331F" w:rsidP="005D331F">
      <w:pPr>
        <w:tabs>
          <w:tab w:val="left" w:pos="426"/>
        </w:tabs>
        <w:spacing w:after="0" w:line="240" w:lineRule="auto"/>
        <w:ind w:left="709" w:right="709"/>
        <w:jc w:val="both"/>
        <w:rPr>
          <w:rFonts w:ascii="Arial" w:eastAsia="Calibri" w:hAnsi="Arial" w:cs="Arial"/>
          <w:color w:val="000000"/>
          <w:sz w:val="21"/>
          <w:szCs w:val="21"/>
          <w:lang w:val="es-ES_tradnl"/>
        </w:rPr>
      </w:pPr>
    </w:p>
    <w:p w14:paraId="3C3B6104" w14:textId="79BE268D" w:rsidR="00CA56C9" w:rsidRPr="00CA56C9" w:rsidRDefault="00A46CAF" w:rsidP="00CA56C9">
      <w:pPr>
        <w:spacing w:after="0" w:line="276" w:lineRule="auto"/>
        <w:jc w:val="both"/>
        <w:rPr>
          <w:rFonts w:ascii="Arial" w:eastAsia="Calibri" w:hAnsi="Arial" w:cs="Arial"/>
          <w:color w:val="000000"/>
          <w:u w:val="single"/>
          <w:lang w:val="es-MX"/>
        </w:rPr>
      </w:pPr>
      <w:r>
        <w:rPr>
          <w:rFonts w:ascii="Arial" w:eastAsia="Calibri" w:hAnsi="Arial" w:cs="Arial"/>
          <w:color w:val="000000"/>
          <w:lang w:val="es-ES_tradnl"/>
        </w:rPr>
        <w:t>Conform</w:t>
      </w:r>
      <w:r w:rsidR="00946CA1">
        <w:rPr>
          <w:rFonts w:ascii="Arial" w:eastAsia="Calibri" w:hAnsi="Arial" w:cs="Arial"/>
          <w:color w:val="000000"/>
          <w:lang w:val="es-ES_tradnl"/>
        </w:rPr>
        <w:t>e</w:t>
      </w:r>
      <w:r>
        <w:rPr>
          <w:rFonts w:ascii="Arial" w:eastAsia="Calibri" w:hAnsi="Arial" w:cs="Arial"/>
          <w:color w:val="000000"/>
          <w:lang w:val="es-ES_tradnl"/>
        </w:rPr>
        <w:t xml:space="preserve"> a</w:t>
      </w:r>
      <w:r w:rsidR="00946CA1">
        <w:rPr>
          <w:rFonts w:ascii="Arial" w:eastAsia="Calibri" w:hAnsi="Arial" w:cs="Arial"/>
          <w:color w:val="000000"/>
          <w:lang w:val="es-ES_tradnl"/>
        </w:rPr>
        <w:t xml:space="preserve"> </w:t>
      </w:r>
      <w:r>
        <w:rPr>
          <w:rFonts w:ascii="Arial" w:eastAsia="Calibri" w:hAnsi="Arial" w:cs="Arial"/>
          <w:color w:val="000000"/>
          <w:lang w:val="es-ES_tradnl"/>
        </w:rPr>
        <w:t>lo</w:t>
      </w:r>
      <w:r w:rsidR="00946CA1">
        <w:rPr>
          <w:rFonts w:ascii="Arial" w:eastAsia="Calibri" w:hAnsi="Arial" w:cs="Arial"/>
          <w:color w:val="000000"/>
          <w:lang w:val="es-ES_tradnl"/>
        </w:rPr>
        <w:t xml:space="preserve"> </w:t>
      </w:r>
      <w:r>
        <w:rPr>
          <w:rFonts w:ascii="Arial" w:eastAsia="Calibri" w:hAnsi="Arial" w:cs="Arial"/>
          <w:color w:val="000000"/>
          <w:lang w:val="es-ES_tradnl"/>
        </w:rPr>
        <w:t>expuesto con antelación</w:t>
      </w:r>
      <w:r w:rsidR="00C37A6A">
        <w:rPr>
          <w:rFonts w:ascii="Arial" w:eastAsia="Calibri" w:hAnsi="Arial" w:cs="Arial"/>
          <w:color w:val="000000"/>
          <w:lang w:val="es-ES_tradnl"/>
        </w:rPr>
        <w:t xml:space="preserve"> y con sujeción estricta al principio de legalidad</w:t>
      </w:r>
      <w:r w:rsidR="00946CA1">
        <w:rPr>
          <w:rFonts w:ascii="Arial" w:eastAsia="Calibri" w:hAnsi="Arial" w:cs="Arial"/>
          <w:color w:val="000000"/>
          <w:lang w:val="es-ES_tradnl"/>
        </w:rPr>
        <w:t>, e</w:t>
      </w:r>
      <w:r w:rsidR="00CA56C9" w:rsidRPr="00CA56C9">
        <w:rPr>
          <w:rFonts w:ascii="Arial" w:eastAsia="Calibri" w:hAnsi="Arial" w:cs="Arial"/>
          <w:color w:val="000000"/>
          <w:lang w:val="es-ES_tradnl"/>
        </w:rPr>
        <w:t xml:space="preserve">l parágrafo 3 del artículo 5 de la Ley 1882 de 2018 determinó, de manera expresa, que </w:t>
      </w:r>
      <w:r w:rsidR="002C5288">
        <w:rPr>
          <w:rFonts w:ascii="Arial" w:eastAsia="Calibri" w:hAnsi="Arial" w:cs="Arial"/>
          <w:color w:val="000000"/>
          <w:lang w:val="es-ES_tradnl"/>
        </w:rPr>
        <w:t>“</w:t>
      </w:r>
      <w:r w:rsidR="00CA56C9" w:rsidRPr="00CA56C9">
        <w:rPr>
          <w:rFonts w:ascii="Arial" w:eastAsia="Calibri" w:hAnsi="Arial" w:cs="Arial"/>
          <w:color w:val="000000"/>
          <w:u w:val="single"/>
          <w:lang w:val="es-ES_tradnl"/>
        </w:rPr>
        <w:t>la no entrega de la garantía de seriedad junto con la propuesta no será subsanable y será causal de rechazo de la misma</w:t>
      </w:r>
      <w:r w:rsidR="002C5288" w:rsidRPr="00C37A6A">
        <w:rPr>
          <w:rFonts w:ascii="Arial" w:eastAsia="Calibri" w:hAnsi="Arial" w:cs="Arial"/>
          <w:color w:val="000000"/>
          <w:u w:val="single"/>
          <w:lang w:val="es-ES_tradnl"/>
        </w:rPr>
        <w:t>”</w:t>
      </w:r>
      <w:r w:rsidR="00CA56C9" w:rsidRPr="00CA56C9">
        <w:rPr>
          <w:rFonts w:ascii="Arial" w:eastAsia="Calibri" w:hAnsi="Arial" w:cs="Arial"/>
          <w:color w:val="000000"/>
          <w:lang w:val="es-ES_tradnl"/>
        </w:rPr>
        <w:t xml:space="preserve">, dejando claro que se trata de un documento de obligatoria presentación junto con la propuesta y que materializa los principios de seriedad e irrevocabilidad de la oferta. En tal sentido, la falta de entrega de dicha garantía al momento de presentar la propuesta </w:t>
      </w:r>
      <w:r w:rsidR="00CA56C9" w:rsidRPr="00CA56C9">
        <w:rPr>
          <w:rFonts w:ascii="Arial" w:eastAsia="Calibri" w:hAnsi="Arial" w:cs="Arial"/>
          <w:color w:val="000000"/>
          <w:u w:val="single"/>
          <w:lang w:val="es-ES_tradnl"/>
        </w:rPr>
        <w:t>no es subsanable.</w:t>
      </w:r>
    </w:p>
    <w:p w14:paraId="4D05A31B" w14:textId="14481F19" w:rsidR="00CA56C9" w:rsidRPr="00CA56C9" w:rsidRDefault="00F218AE" w:rsidP="00CA56C9">
      <w:pPr>
        <w:spacing w:before="120" w:after="120" w:line="276" w:lineRule="auto"/>
        <w:ind w:firstLine="709"/>
        <w:jc w:val="both"/>
        <w:rPr>
          <w:rFonts w:ascii="Arial" w:eastAsia="Calibri" w:hAnsi="Arial" w:cs="Arial"/>
          <w:color w:val="000000"/>
          <w:lang w:val="es-MX"/>
        </w:rPr>
      </w:pPr>
      <w:r>
        <w:rPr>
          <w:rFonts w:ascii="Arial" w:eastAsia="Calibri" w:hAnsi="Arial" w:cs="Arial"/>
          <w:color w:val="000000"/>
          <w:lang w:val="es-MX"/>
        </w:rPr>
        <w:t>Por otro lado,</w:t>
      </w:r>
      <w:r w:rsidR="00282252">
        <w:rPr>
          <w:rFonts w:ascii="Arial" w:eastAsia="Calibri" w:hAnsi="Arial" w:cs="Arial"/>
          <w:color w:val="000000"/>
          <w:lang w:val="es-MX"/>
        </w:rPr>
        <w:t xml:space="preserve"> </w:t>
      </w:r>
      <w:r w:rsidR="00DE51B0">
        <w:rPr>
          <w:rFonts w:ascii="Arial" w:eastAsia="Calibri" w:hAnsi="Arial" w:cs="Arial"/>
          <w:color w:val="000000"/>
          <w:lang w:val="es-MX"/>
        </w:rPr>
        <w:t xml:space="preserve">el </w:t>
      </w:r>
      <w:r w:rsidR="00DE51B0" w:rsidRPr="00CA56C9">
        <w:rPr>
          <w:rFonts w:ascii="Arial" w:eastAsia="Calibri" w:hAnsi="Arial" w:cs="Arial"/>
          <w:color w:val="000000"/>
          <w:lang w:val="es-MX"/>
        </w:rPr>
        <w:t>parágrafo</w:t>
      </w:r>
      <w:r w:rsidR="00CA56C9" w:rsidRPr="00CA56C9">
        <w:rPr>
          <w:rFonts w:ascii="Arial" w:eastAsia="Calibri" w:hAnsi="Arial" w:cs="Arial"/>
          <w:color w:val="000000"/>
          <w:lang w:val="es-MX"/>
        </w:rPr>
        <w:t xml:space="preserve"> 1º del artículo 5 de la Ley 1150 de 2007, modificado por el artículo 5º de la Ley 1882 de 2018, señala que la ausencia de requisitos o la falta de documentos referentes a la futura contratación o al proponente, no necesarios para la comparación de las propuestas no servirán de título suficiente para el rechazo de los ofrecimientos hechos</w:t>
      </w:r>
      <w:r w:rsidR="00CA56C9" w:rsidRPr="00CA56C9">
        <w:rPr>
          <w:rFonts w:ascii="Arial" w:eastAsia="Calibri" w:hAnsi="Arial" w:cs="Arial"/>
          <w:color w:val="000000"/>
          <w:vertAlign w:val="superscript"/>
          <w:lang w:val="es-MX"/>
        </w:rPr>
        <w:footnoteReference w:id="14"/>
      </w:r>
      <w:r w:rsidR="00CA56C9" w:rsidRPr="00CA56C9">
        <w:rPr>
          <w:rFonts w:ascii="Arial" w:eastAsia="Calibri" w:hAnsi="Arial" w:cs="Arial"/>
          <w:color w:val="000000"/>
          <w:lang w:val="es-MX"/>
        </w:rPr>
        <w:t xml:space="preserve">. Por esta </w:t>
      </w:r>
      <w:r w:rsidR="00CA56C9" w:rsidRPr="00CA56C9">
        <w:rPr>
          <w:rFonts w:ascii="Arial" w:eastAsia="Calibri" w:hAnsi="Arial" w:cs="Arial"/>
          <w:color w:val="000000"/>
          <w:lang w:val="es-MX"/>
        </w:rPr>
        <w:lastRenderedPageBreak/>
        <w:t xml:space="preserve">disposición es posible subsanar todo el defecto o la falta de documento que no afecta la asignación de puntaje de un proceso de contratación hasta el traslado del informe de evaluación, salvo el proceso de mínima cuantía y el proceso de subasta inversa. </w:t>
      </w:r>
    </w:p>
    <w:p w14:paraId="6C4F15AD" w14:textId="77777777" w:rsidR="00CA56C9" w:rsidRPr="00CA56C9" w:rsidRDefault="00CA56C9" w:rsidP="00CA56C9">
      <w:pPr>
        <w:keepLines/>
        <w:spacing w:before="120" w:after="120" w:line="276" w:lineRule="auto"/>
        <w:ind w:firstLine="709"/>
        <w:jc w:val="both"/>
        <w:rPr>
          <w:rFonts w:ascii="Arial" w:eastAsia="Calibri" w:hAnsi="Arial" w:cs="Arial"/>
          <w:color w:val="000000"/>
          <w:lang w:val="es-MX"/>
        </w:rPr>
      </w:pPr>
      <w:r w:rsidRPr="00CA56C9">
        <w:rPr>
          <w:rFonts w:ascii="Arial" w:eastAsia="Calibri" w:hAnsi="Arial" w:cs="Arial"/>
          <w:color w:val="000000"/>
          <w:lang w:val="es-MX"/>
        </w:rPr>
        <w:t xml:space="preserve">Los errores en el contenido de la póliza no afectan la comparación de las propuestas, porque las entidades no asignan puntaje a la póliza y, por lo tanto, la entidad les debe otorgar la facultad a los proponentes de subsanar cualquier error en el contenido de la póliza, y estos últimos deben subsanarlos hasta el traslado del informe de evaluación, so pena de rechazar la oferta si no se corrige durante el término establecido. </w:t>
      </w:r>
    </w:p>
    <w:p w14:paraId="5F1E30B7" w14:textId="77777777" w:rsidR="005D331F" w:rsidRDefault="005D331F" w:rsidP="005D331F">
      <w:pPr>
        <w:spacing w:after="0" w:line="276" w:lineRule="auto"/>
        <w:contextualSpacing/>
        <w:jc w:val="both"/>
        <w:rPr>
          <w:rFonts w:ascii="Arial" w:eastAsia="Calibri" w:hAnsi="Arial" w:cs="Arial"/>
          <w:color w:val="000000" w:themeColor="text1"/>
          <w:lang w:val="es-ES"/>
        </w:rPr>
      </w:pPr>
    </w:p>
    <w:p w14:paraId="78D37A7D" w14:textId="77777777" w:rsidR="005D331F" w:rsidRPr="00482CF9" w:rsidRDefault="005D331F" w:rsidP="005D331F">
      <w:pPr>
        <w:spacing w:before="120" w:after="0" w:line="276" w:lineRule="auto"/>
        <w:contextualSpacing/>
        <w:jc w:val="both"/>
        <w:rPr>
          <w:rFonts w:ascii="Arial" w:eastAsia="Times New Roman" w:hAnsi="Arial" w:cs="Arial"/>
          <w:color w:val="000000"/>
          <w:lang w:val="es-ES_tradnl" w:eastAsia="es-ES_tradnl"/>
        </w:rPr>
      </w:pPr>
    </w:p>
    <w:p w14:paraId="640F1554" w14:textId="77777777" w:rsidR="005D331F" w:rsidRPr="00482CF9" w:rsidRDefault="005D331F" w:rsidP="005D331F">
      <w:pPr>
        <w:spacing w:after="0" w:line="276" w:lineRule="auto"/>
        <w:contextualSpacing/>
        <w:jc w:val="both"/>
        <w:rPr>
          <w:rFonts w:ascii="Arial" w:eastAsia="Times New Roman" w:hAnsi="Arial" w:cs="Arial"/>
          <w:color w:val="000000"/>
          <w:lang w:val="es-ES_tradnl" w:eastAsia="es-ES_tradnl"/>
        </w:rPr>
      </w:pPr>
      <w:r w:rsidRPr="00482CF9">
        <w:rPr>
          <w:rFonts w:ascii="Arial" w:eastAsia="Times New Roman" w:hAnsi="Arial" w:cs="Arial"/>
          <w:color w:val="000000"/>
          <w:lang w:val="es-ES_tradnl" w:eastAsia="es-ES_tradnl"/>
        </w:rP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w:t>
      </w:r>
      <w:r w:rsidRPr="00482CF9">
        <w:rPr>
          <w:rFonts w:ascii="Arial" w:hAnsi="Arial" w:cs="Arial"/>
        </w:rPr>
        <w:t>2.2.1.1.1.3.1. del Decreto 1082 de 2015.</w:t>
      </w:r>
    </w:p>
    <w:p w14:paraId="31B2248A" w14:textId="77777777" w:rsidR="005D331F" w:rsidRPr="00482CF9" w:rsidRDefault="005D331F" w:rsidP="005D331F">
      <w:pPr>
        <w:spacing w:after="0" w:line="276" w:lineRule="auto"/>
        <w:contextualSpacing/>
        <w:jc w:val="both"/>
        <w:rPr>
          <w:rFonts w:ascii="Arial" w:eastAsia="Times New Roman" w:hAnsi="Arial" w:cs="Arial"/>
          <w:color w:val="000000"/>
          <w:lang w:val="es-ES_tradnl" w:eastAsia="es-ES_tradnl"/>
        </w:rPr>
      </w:pPr>
    </w:p>
    <w:p w14:paraId="1A3080A0" w14:textId="77777777" w:rsidR="005D331F" w:rsidRPr="00482CF9" w:rsidRDefault="005D331F" w:rsidP="005D331F">
      <w:pPr>
        <w:spacing w:after="0" w:line="276" w:lineRule="auto"/>
        <w:contextualSpacing/>
        <w:jc w:val="both"/>
        <w:rPr>
          <w:rFonts w:ascii="Arial" w:eastAsia="Times New Roman" w:hAnsi="Arial" w:cs="Arial"/>
          <w:color w:val="000000"/>
          <w:lang w:val="es-ES_tradnl" w:eastAsia="es-CO"/>
        </w:rPr>
      </w:pPr>
      <w:r w:rsidRPr="00482CF9">
        <w:rPr>
          <w:rFonts w:ascii="Arial" w:eastAsia="Times New Roman" w:hAnsi="Arial" w:cs="Arial"/>
          <w:color w:val="000000"/>
          <w:lang w:val="es-ES_tradnl" w:eastAsia="es-CO"/>
        </w:rPr>
        <w:t>Atentamente,</w:t>
      </w:r>
    </w:p>
    <w:p w14:paraId="51C34055" w14:textId="59D4183D" w:rsidR="005D331F" w:rsidRPr="00482CF9" w:rsidRDefault="009539C4" w:rsidP="005D331F">
      <w:pPr>
        <w:pStyle w:val="Sinespaciado"/>
        <w:jc w:val="center"/>
        <w:rPr>
          <w:rFonts w:ascii="Arial" w:eastAsia="Times New Roman" w:hAnsi="Arial" w:cs="Arial"/>
          <w:color w:val="000000"/>
          <w:lang w:val="es-ES_tradnl" w:eastAsia="es-CO"/>
        </w:rPr>
      </w:pPr>
      <w:r w:rsidRPr="009539C4">
        <w:rPr>
          <w:rFonts w:ascii="Calibri" w:eastAsia="Calibri" w:hAnsi="Calibri" w:cs="Times New Roman"/>
          <w:noProof/>
        </w:rPr>
        <w:drawing>
          <wp:inline distT="0" distB="0" distL="0" distR="0" wp14:anchorId="38B2D399" wp14:editId="3F6C5C9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r w:rsidR="005D331F">
        <w:rPr>
          <w:rFonts w:ascii="Calibri" w:hAnsi="Calibri" w:cs="Calibri"/>
          <w:color w:val="000000"/>
          <w:shd w:val="clear" w:color="auto" w:fill="FFFFFF"/>
          <w:lang w:val="es-MX"/>
        </w:rPr>
        <w:br/>
      </w:r>
      <w:r w:rsidR="005D331F" w:rsidRPr="00482CF9">
        <w:rPr>
          <w:rFonts w:ascii="Arial" w:hAnsi="Arial" w:cs="Arial"/>
          <w:b/>
          <w:bCs/>
          <w:color w:val="000000"/>
          <w:sz w:val="18"/>
          <w:szCs w:val="18"/>
          <w:shd w:val="clear" w:color="auto" w:fill="FFFFFF"/>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A24BE" w:rsidRPr="00A23D8A" w14:paraId="78B57760" w14:textId="77777777" w:rsidTr="008C5B47">
        <w:trPr>
          <w:trHeight w:val="315"/>
        </w:trPr>
        <w:tc>
          <w:tcPr>
            <w:tcW w:w="812" w:type="dxa"/>
            <w:vAlign w:val="center"/>
            <w:hideMark/>
          </w:tcPr>
          <w:p w14:paraId="0794E523" w14:textId="77777777" w:rsidR="007A24BE" w:rsidRPr="00A23D8A" w:rsidRDefault="007A24BE" w:rsidP="008C5B47">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762730F9" w14:textId="77777777" w:rsidR="007A24BE" w:rsidRPr="00A23D8A" w:rsidRDefault="007A24BE" w:rsidP="008C5B47">
            <w:pPr>
              <w:rPr>
                <w:rFonts w:ascii="Arial" w:eastAsia="Calibri" w:hAnsi="Arial" w:cs="Arial"/>
                <w:sz w:val="16"/>
                <w:szCs w:val="16"/>
                <w:lang w:val="es-ES_tradnl" w:eastAsia="es-ES"/>
              </w:rPr>
            </w:pPr>
            <w:r w:rsidRPr="00A23D8A">
              <w:rPr>
                <w:rFonts w:ascii="Arial" w:eastAsia="Calibri" w:hAnsi="Arial" w:cs="Arial"/>
                <w:sz w:val="16"/>
                <w:szCs w:val="16"/>
                <w:lang w:val="es-ES_tradnl" w:eastAsia="es-ES"/>
              </w:rPr>
              <w:t>Gabriel Alejandro Murcia Taboada</w:t>
            </w:r>
          </w:p>
          <w:p w14:paraId="588EC8AD" w14:textId="77777777" w:rsidR="007A24BE" w:rsidRPr="00A23D8A" w:rsidRDefault="007A24BE" w:rsidP="008C5B47">
            <w:pPr>
              <w:spacing w:line="276" w:lineRule="auto"/>
              <w:rPr>
                <w:rFonts w:ascii="Arial" w:eastAsia="Times New Roman" w:hAnsi="Arial" w:cs="Arial"/>
                <w:sz w:val="16"/>
                <w:szCs w:val="16"/>
                <w:lang w:eastAsia="es-ES"/>
              </w:rPr>
            </w:pPr>
            <w:r w:rsidRPr="00A23D8A">
              <w:rPr>
                <w:rFonts w:ascii="Arial" w:eastAsia="Calibri" w:hAnsi="Arial" w:cs="Arial"/>
                <w:sz w:val="16"/>
                <w:szCs w:val="16"/>
                <w:lang w:val="es-ES_tradnl" w:eastAsia="es-ES"/>
              </w:rPr>
              <w:t>Contratista de la Subdirección de Gestión Contractual</w:t>
            </w:r>
          </w:p>
        </w:tc>
      </w:tr>
      <w:tr w:rsidR="007A24BE" w:rsidRPr="00A23D8A" w14:paraId="376AE6F9" w14:textId="77777777" w:rsidTr="008C5B47">
        <w:trPr>
          <w:trHeight w:val="330"/>
        </w:trPr>
        <w:tc>
          <w:tcPr>
            <w:tcW w:w="812" w:type="dxa"/>
            <w:vAlign w:val="center"/>
            <w:hideMark/>
          </w:tcPr>
          <w:p w14:paraId="64B1989B" w14:textId="77777777" w:rsidR="007A24BE" w:rsidRPr="00A23D8A" w:rsidRDefault="007A24BE" w:rsidP="008C5B47">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0C386088" w14:textId="77777777" w:rsidR="007A24BE" w:rsidRPr="00A23D8A" w:rsidRDefault="007A24BE" w:rsidP="008C5B47">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Juan David Cárdenas Cabeza</w:t>
            </w:r>
          </w:p>
          <w:p w14:paraId="69DBFC4C" w14:textId="77777777" w:rsidR="007A24BE" w:rsidRPr="00A23D8A" w:rsidRDefault="007A24BE" w:rsidP="008C5B47">
            <w:pPr>
              <w:rPr>
                <w:rFonts w:ascii="Arial" w:eastAsia="Times New Roman" w:hAnsi="Arial" w:cs="Arial"/>
                <w:color w:val="000000"/>
                <w:sz w:val="16"/>
                <w:szCs w:val="16"/>
                <w:lang w:val="es-ES" w:eastAsia="es-ES"/>
              </w:rPr>
            </w:pPr>
            <w:r w:rsidRPr="00A23D8A">
              <w:rPr>
                <w:rFonts w:ascii="Arial" w:eastAsia="Times New Roman" w:hAnsi="Arial" w:cs="Arial"/>
                <w:color w:val="000000"/>
                <w:sz w:val="16"/>
                <w:szCs w:val="16"/>
                <w:lang w:val="es-ES" w:eastAsia="es-ES"/>
              </w:rPr>
              <w:t xml:space="preserve">Contratista de la Subdirección de Gestión Contractual  </w:t>
            </w:r>
          </w:p>
        </w:tc>
      </w:tr>
      <w:tr w:rsidR="007A24BE" w:rsidRPr="00A23D8A" w14:paraId="38FB821F" w14:textId="77777777" w:rsidTr="008C5B47">
        <w:trPr>
          <w:trHeight w:val="300"/>
        </w:trPr>
        <w:tc>
          <w:tcPr>
            <w:tcW w:w="812" w:type="dxa"/>
            <w:vAlign w:val="center"/>
            <w:hideMark/>
          </w:tcPr>
          <w:p w14:paraId="1B2B9F7F" w14:textId="77777777" w:rsidR="007A24BE" w:rsidRPr="00A23D8A" w:rsidRDefault="007A24BE" w:rsidP="008C5B47">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73929816" w14:textId="77777777" w:rsidR="007A24BE" w:rsidRPr="00A23D8A" w:rsidRDefault="007A24BE" w:rsidP="008C5B47">
            <w:pPr>
              <w:spacing w:line="276" w:lineRule="auto"/>
              <w:rPr>
                <w:rFonts w:ascii="Arial" w:eastAsia="Calibri" w:hAnsi="Arial" w:cs="Arial"/>
                <w:sz w:val="16"/>
                <w:szCs w:val="16"/>
                <w:lang w:val="es-ES_tradnl" w:eastAsia="es-ES"/>
              </w:rPr>
            </w:pPr>
            <w:r w:rsidRPr="00A23D8A">
              <w:rPr>
                <w:rFonts w:ascii="Arial" w:eastAsia="Calibri" w:hAnsi="Arial" w:cs="Arial"/>
                <w:sz w:val="16"/>
                <w:szCs w:val="16"/>
                <w:lang w:val="es-ES_tradnl" w:eastAsia="es-ES"/>
              </w:rPr>
              <w:t>Nohelia del Carmen Zawady Palacio</w:t>
            </w:r>
          </w:p>
          <w:p w14:paraId="59E172BC" w14:textId="77777777" w:rsidR="007A24BE" w:rsidRPr="00A23D8A" w:rsidRDefault="007A24BE" w:rsidP="008C5B47">
            <w:pPr>
              <w:spacing w:line="276" w:lineRule="auto"/>
              <w:rPr>
                <w:rFonts w:ascii="Arial" w:eastAsia="Times New Roman" w:hAnsi="Arial" w:cs="Arial"/>
                <w:sz w:val="16"/>
                <w:szCs w:val="16"/>
                <w:lang w:eastAsia="es-ES"/>
              </w:rPr>
            </w:pPr>
            <w:r w:rsidRPr="00A23D8A">
              <w:rPr>
                <w:rFonts w:ascii="Arial" w:eastAsia="Calibri" w:hAnsi="Arial" w:cs="Arial"/>
                <w:sz w:val="16"/>
                <w:szCs w:val="16"/>
                <w:lang w:val="es-ES_tradnl" w:eastAsia="es-ES"/>
              </w:rPr>
              <w:t>Subdirectora de Gestión Contractual</w:t>
            </w:r>
          </w:p>
        </w:tc>
      </w:tr>
    </w:tbl>
    <w:p w14:paraId="23BBA15A" w14:textId="77777777" w:rsidR="007A24BE" w:rsidRDefault="007A24BE" w:rsidP="007A24BE">
      <w:pPr>
        <w:spacing w:after="0" w:line="240" w:lineRule="auto"/>
        <w:rPr>
          <w:rFonts w:ascii="Geomanist Light" w:hAnsi="Geomanist Light"/>
          <w:b/>
          <w:color w:val="404040" w:themeColor="text1" w:themeTint="BF"/>
          <w:lang w:val="es-ES"/>
        </w:rPr>
      </w:pPr>
    </w:p>
    <w:p w14:paraId="4A87DE49" w14:textId="77777777" w:rsidR="005D331F" w:rsidRPr="00482CF9" w:rsidRDefault="005D331F" w:rsidP="005D331F">
      <w:pPr>
        <w:spacing w:after="0" w:line="276" w:lineRule="auto"/>
        <w:rPr>
          <w:rFonts w:ascii="Arial" w:eastAsia="Times New Roman" w:hAnsi="Arial" w:cs="Arial"/>
          <w:color w:val="000000"/>
          <w:lang w:val="es-ES_tradnl" w:eastAsia="es-CO"/>
        </w:rPr>
      </w:pPr>
    </w:p>
    <w:bookmarkEnd w:id="0"/>
    <w:bookmarkEnd w:id="1"/>
    <w:p w14:paraId="49D2C4F0" w14:textId="77777777" w:rsidR="005D331F" w:rsidRPr="00982493" w:rsidRDefault="005D331F" w:rsidP="005D331F">
      <w:pPr>
        <w:rPr>
          <w:rFonts w:ascii="Arial" w:hAnsi="Arial" w:cs="Arial"/>
        </w:rPr>
      </w:pPr>
    </w:p>
    <w:p w14:paraId="35DA17E9" w14:textId="77777777" w:rsidR="005D331F" w:rsidRPr="00982493" w:rsidRDefault="005D331F" w:rsidP="005D331F">
      <w:pPr>
        <w:spacing w:after="0"/>
        <w:rPr>
          <w:rFonts w:ascii="Arial" w:hAnsi="Arial" w:cs="Arial"/>
          <w:color w:val="000000" w:themeColor="text1"/>
        </w:rPr>
      </w:pPr>
    </w:p>
    <w:p w14:paraId="39E41B68" w14:textId="77777777" w:rsidR="00E026EB" w:rsidRDefault="00E026EB"/>
    <w:sectPr w:rsidR="00E026EB"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F723" w14:textId="77777777" w:rsidR="005562A7" w:rsidRDefault="005562A7" w:rsidP="005D331F">
      <w:pPr>
        <w:spacing w:after="0" w:line="240" w:lineRule="auto"/>
      </w:pPr>
      <w:r>
        <w:separator/>
      </w:r>
    </w:p>
  </w:endnote>
  <w:endnote w:type="continuationSeparator" w:id="0">
    <w:p w14:paraId="3A841142" w14:textId="77777777" w:rsidR="005562A7" w:rsidRDefault="005562A7" w:rsidP="005D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8D4D" w14:textId="77777777" w:rsidR="004A1847" w:rsidRDefault="00E51F17" w:rsidP="008614E5">
    <w:pPr>
      <w:pStyle w:val="Piedepgina"/>
    </w:pPr>
    <w:r>
      <w:rPr>
        <w:noProof/>
      </w:rPr>
      <w:drawing>
        <wp:inline distT="0" distB="0" distL="0" distR="0" wp14:anchorId="5630AA2B" wp14:editId="23FD1B4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35792EC9"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7DB8C3" w14:textId="77777777" w:rsidR="006219F8" w:rsidRPr="00080DA3" w:rsidRDefault="00E51F17"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25D8FF" w14:textId="77777777" w:rsidR="006219F8" w:rsidRPr="00080DA3" w:rsidRDefault="00E51F17"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9028568" w14:textId="77777777" w:rsidR="006219F8" w:rsidRPr="00080DA3" w:rsidRDefault="00E51F17"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0C4A74B" w14:textId="77777777" w:rsidR="006219F8" w:rsidRPr="004B6B0E" w:rsidRDefault="00E51F17"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352D125" w14:textId="77777777" w:rsidR="006219F8" w:rsidRPr="00080DA3" w:rsidRDefault="00E51F17"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B2E5DAC" w14:textId="77777777" w:rsidR="00A07532" w:rsidRPr="00080DA3" w:rsidRDefault="00E51F17"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CCC522C" w14:textId="77777777" w:rsidR="006219F8" w:rsidRPr="00080DA3" w:rsidRDefault="00E51F17"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0504B5D5" w14:textId="77777777" w:rsidR="006219F8" w:rsidRDefault="00A61059"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9B0E" w14:textId="77777777" w:rsidR="005562A7" w:rsidRDefault="005562A7" w:rsidP="005D331F">
      <w:pPr>
        <w:spacing w:after="0" w:line="240" w:lineRule="auto"/>
      </w:pPr>
      <w:r>
        <w:separator/>
      </w:r>
    </w:p>
  </w:footnote>
  <w:footnote w:type="continuationSeparator" w:id="0">
    <w:p w14:paraId="7B5449F9" w14:textId="77777777" w:rsidR="005562A7" w:rsidRDefault="005562A7" w:rsidP="005D331F">
      <w:pPr>
        <w:spacing w:after="0" w:line="240" w:lineRule="auto"/>
      </w:pPr>
      <w:r>
        <w:continuationSeparator/>
      </w:r>
    </w:p>
  </w:footnote>
  <w:footnote w:id="1">
    <w:p w14:paraId="220C3B67" w14:textId="77777777" w:rsidR="005D331F" w:rsidRPr="00A810DF" w:rsidRDefault="005D331F" w:rsidP="005D331F">
      <w:pPr>
        <w:pStyle w:val="Textonotapie"/>
        <w:ind w:firstLine="709"/>
        <w:jc w:val="both"/>
        <w:rPr>
          <w:rFonts w:ascii="Arial" w:hAnsi="Arial" w:cs="Arial"/>
          <w:color w:val="000000"/>
          <w:sz w:val="19"/>
          <w:szCs w:val="19"/>
        </w:rPr>
      </w:pPr>
    </w:p>
    <w:p w14:paraId="4A4F9CFC" w14:textId="77777777" w:rsidR="005D331F" w:rsidRPr="00A810DF" w:rsidRDefault="005D331F" w:rsidP="005D331F">
      <w:pPr>
        <w:pStyle w:val="Textonotapie"/>
        <w:ind w:firstLine="709"/>
        <w:jc w:val="both"/>
        <w:rPr>
          <w:rFonts w:ascii="Arial" w:hAnsi="Arial" w:cs="Arial"/>
          <w:color w:val="000000"/>
          <w:sz w:val="19"/>
          <w:szCs w:val="19"/>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CONSEJO DE ESTADO. Sección Tercera. Subsección A. Auto del 25 de julio de 2018. Rad. 56.165A. C.P. Marta Nubia Velásquez Rico. </w:t>
      </w:r>
    </w:p>
    <w:p w14:paraId="6B463CB8" w14:textId="77777777" w:rsidR="005D331F" w:rsidRPr="00A810DF" w:rsidRDefault="005D331F" w:rsidP="005D331F">
      <w:pPr>
        <w:pStyle w:val="Textonotapie"/>
        <w:ind w:firstLine="709"/>
        <w:jc w:val="both"/>
        <w:rPr>
          <w:rFonts w:ascii="Arial" w:hAnsi="Arial" w:cs="Arial"/>
          <w:color w:val="000000"/>
          <w:sz w:val="19"/>
          <w:szCs w:val="19"/>
          <w:lang w:val="es-ES"/>
        </w:rPr>
      </w:pPr>
    </w:p>
  </w:footnote>
  <w:footnote w:id="2">
    <w:p w14:paraId="0094627F" w14:textId="77777777" w:rsidR="005D331F" w:rsidRPr="00A810DF" w:rsidRDefault="005D331F" w:rsidP="005D331F">
      <w:pPr>
        <w:pStyle w:val="Textonotapie"/>
        <w:ind w:firstLine="709"/>
        <w:jc w:val="both"/>
        <w:rPr>
          <w:rFonts w:ascii="Arial" w:hAnsi="Arial" w:cs="Arial"/>
          <w:color w:val="000000"/>
          <w:sz w:val="19"/>
          <w:szCs w:val="19"/>
          <w:lang w:val="es-ES"/>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w:t>
      </w:r>
      <w:bookmarkStart w:id="2" w:name="_Hlk43903111"/>
      <w:r w:rsidRPr="00A810DF">
        <w:rPr>
          <w:rFonts w:ascii="Arial" w:hAnsi="Arial" w:cs="Arial"/>
          <w:color w:val="000000"/>
          <w:sz w:val="19"/>
          <w:szCs w:val="19"/>
        </w:rPr>
        <w:t>CONSEJO DE ESTADO. Sección Tercera. Subsección A. Auto del 20 de febrero de 2019. Rad. 61.463. C.P. Carlos Alberto Zambrano Barrera.</w:t>
      </w:r>
      <w:bookmarkEnd w:id="2"/>
    </w:p>
  </w:footnote>
  <w:footnote w:id="3">
    <w:p w14:paraId="57935B28" w14:textId="77777777" w:rsidR="005D331F" w:rsidRPr="00A810DF" w:rsidRDefault="005D331F" w:rsidP="005D331F">
      <w:pPr>
        <w:pStyle w:val="Textonotapie"/>
        <w:ind w:firstLine="709"/>
        <w:jc w:val="both"/>
        <w:rPr>
          <w:rFonts w:ascii="Arial" w:hAnsi="Arial" w:cs="Arial"/>
          <w:sz w:val="19"/>
          <w:szCs w:val="19"/>
        </w:rPr>
      </w:pPr>
    </w:p>
    <w:p w14:paraId="4B1CF023" w14:textId="77777777" w:rsidR="005D331F" w:rsidRPr="00A810DF" w:rsidRDefault="005D331F" w:rsidP="005D331F">
      <w:pPr>
        <w:pStyle w:val="Textonotapie"/>
        <w:ind w:firstLine="709"/>
        <w:jc w:val="both"/>
        <w:rPr>
          <w:rFonts w:ascii="Arial" w:hAnsi="Arial" w:cs="Arial"/>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30355585" w14:textId="77777777" w:rsidR="005D331F" w:rsidRPr="00A810DF" w:rsidRDefault="005D331F" w:rsidP="005D331F">
      <w:pPr>
        <w:pStyle w:val="Textonotapie"/>
        <w:ind w:firstLine="709"/>
        <w:jc w:val="both"/>
        <w:rPr>
          <w:rFonts w:ascii="Arial" w:hAnsi="Arial" w:cs="Arial"/>
          <w:sz w:val="19"/>
          <w:szCs w:val="19"/>
        </w:rPr>
      </w:pPr>
      <w:r w:rsidRPr="00A810DF">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091E8AE3" w14:textId="77777777" w:rsidR="005D331F" w:rsidRPr="00A810DF" w:rsidRDefault="005D331F" w:rsidP="005D331F">
      <w:pPr>
        <w:pStyle w:val="Textonotapie"/>
        <w:ind w:firstLine="709"/>
        <w:jc w:val="both"/>
        <w:rPr>
          <w:rFonts w:ascii="Arial" w:hAnsi="Arial" w:cs="Arial"/>
          <w:sz w:val="19"/>
          <w:szCs w:val="19"/>
          <w:lang w:val="es-ES"/>
        </w:rPr>
      </w:pPr>
    </w:p>
  </w:footnote>
  <w:footnote w:id="4">
    <w:p w14:paraId="73C2E973" w14:textId="77777777" w:rsidR="005D331F" w:rsidRPr="00A810DF" w:rsidRDefault="005D331F" w:rsidP="005D331F">
      <w:pPr>
        <w:pStyle w:val="Textonotapie"/>
        <w:ind w:firstLine="709"/>
        <w:jc w:val="both"/>
        <w:rPr>
          <w:rFonts w:ascii="Arial" w:hAnsi="Arial" w:cs="Arial"/>
          <w:color w:val="000000"/>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A810DF">
        <w:rPr>
          <w:rFonts w:ascii="Arial" w:hAnsi="Arial" w:cs="Arial"/>
          <w:color w:val="000000"/>
          <w:sz w:val="19"/>
          <w:szCs w:val="19"/>
        </w:rPr>
        <w:t>CONSEJO DE ESTADO. Sección Tercera. Subsección A. Auto del 25 de julio de 2018. Rad. 56.165A. C.P. Marta Nubia Velásquez Rico)</w:t>
      </w:r>
      <w:r w:rsidRPr="00A810DF">
        <w:rPr>
          <w:rFonts w:ascii="Arial" w:hAnsi="Arial" w:cs="Arial"/>
          <w:sz w:val="19"/>
          <w:szCs w:val="19"/>
        </w:rPr>
        <w:t>.</w:t>
      </w:r>
    </w:p>
  </w:footnote>
  <w:footnote w:id="5">
    <w:p w14:paraId="1782C974" w14:textId="77777777" w:rsidR="005D331F" w:rsidRPr="00A810DF" w:rsidRDefault="005D331F" w:rsidP="005D331F">
      <w:pPr>
        <w:spacing w:after="0" w:line="240" w:lineRule="auto"/>
        <w:ind w:firstLine="709"/>
        <w:jc w:val="both"/>
        <w:rPr>
          <w:rFonts w:ascii="Arial" w:hAnsi="Arial" w:cs="Arial"/>
          <w:sz w:val="19"/>
          <w:szCs w:val="19"/>
        </w:rPr>
      </w:pPr>
    </w:p>
    <w:p w14:paraId="0F77378B" w14:textId="77777777" w:rsidR="005D331F" w:rsidRPr="00A810DF" w:rsidRDefault="005D331F" w:rsidP="005D331F">
      <w:pPr>
        <w:spacing w:after="0" w:line="240" w:lineRule="auto"/>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6B9A7F26" w14:textId="77777777" w:rsidR="005D331F" w:rsidRPr="00A810DF" w:rsidRDefault="005D331F" w:rsidP="005D331F">
      <w:pPr>
        <w:pStyle w:val="Textonotapie"/>
        <w:ind w:firstLine="709"/>
        <w:jc w:val="both"/>
        <w:rPr>
          <w:rFonts w:ascii="Arial" w:hAnsi="Arial" w:cs="Arial"/>
          <w:sz w:val="19"/>
          <w:szCs w:val="19"/>
          <w:lang w:val="es-CO"/>
        </w:rPr>
      </w:pPr>
    </w:p>
  </w:footnote>
  <w:footnote w:id="6">
    <w:p w14:paraId="210CC2BA" w14:textId="77777777" w:rsidR="005D331F" w:rsidRPr="00A810DF" w:rsidRDefault="005D331F" w:rsidP="005D331F">
      <w:pPr>
        <w:pStyle w:val="Textonotapie"/>
        <w:ind w:firstLine="709"/>
        <w:jc w:val="both"/>
        <w:rPr>
          <w:rFonts w:ascii="Arial" w:hAnsi="Arial" w:cs="Arial"/>
          <w:sz w:val="19"/>
          <w:szCs w:val="19"/>
        </w:rPr>
      </w:pPr>
    </w:p>
    <w:p w14:paraId="01971F08" w14:textId="77777777" w:rsidR="005D331F" w:rsidRPr="00A810DF" w:rsidRDefault="005D331F" w:rsidP="005D331F">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Decreto 1082 de 2015. Artículo 2.2.1.2.1.3.2. Procedimiento de Concurso de méritos. […]</w:t>
      </w:r>
    </w:p>
    <w:p w14:paraId="1D8E37FF"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«1. </w:t>
      </w:r>
      <w:r w:rsidRPr="00A810DF">
        <w:rPr>
          <w:rFonts w:ascii="Arial" w:hAnsi="Arial" w:cs="Arial"/>
          <w:sz w:val="19"/>
          <w:szCs w:val="19"/>
          <w:lang w:val="es-CO"/>
        </w:rPr>
        <w:t xml:space="preserve">La </w:t>
      </w:r>
      <w:r w:rsidRPr="00A810DF">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7406ED0E"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48C11900"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32E8EE3E"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y el precio ofrecidos; y (iii) el precio ofrecido y la disponibilidad presupuestal del respectivo Proceso de Contratación. Si la Entidad Estatal y el oferente llegan a un acuerdo sobre el alcance y el valor del contrato, dejarán constancia de este y firmarán el contrato.</w:t>
      </w:r>
    </w:p>
    <w:p w14:paraId="2D0880D0"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w:t>
      </w:r>
    </w:p>
  </w:footnote>
  <w:footnote w:id="7">
    <w:p w14:paraId="3A427F8F" w14:textId="77777777" w:rsidR="005D331F" w:rsidRPr="00BD5ED5" w:rsidRDefault="005D331F" w:rsidP="005D331F">
      <w:pPr>
        <w:pStyle w:val="Textonotapie"/>
        <w:ind w:firstLine="709"/>
        <w:rPr>
          <w:rFonts w:ascii="Arial" w:hAnsi="Arial" w:cs="Arial"/>
          <w:color w:val="000000" w:themeColor="text1"/>
          <w:sz w:val="19"/>
          <w:szCs w:val="19"/>
        </w:rPr>
      </w:pPr>
    </w:p>
    <w:p w14:paraId="24245C2E" w14:textId="77777777" w:rsidR="005D331F" w:rsidRPr="00BD5ED5" w:rsidRDefault="005D331F" w:rsidP="005D331F">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1F11246" w14:textId="77777777" w:rsidR="005D331F" w:rsidRPr="00BD5ED5" w:rsidRDefault="005D331F" w:rsidP="005D331F">
      <w:pPr>
        <w:pStyle w:val="Textonotapie"/>
        <w:ind w:firstLine="709"/>
        <w:rPr>
          <w:rFonts w:ascii="Arial" w:hAnsi="Arial" w:cs="Arial"/>
          <w:color w:val="000000" w:themeColor="text1"/>
          <w:sz w:val="19"/>
          <w:szCs w:val="19"/>
        </w:rPr>
      </w:pPr>
    </w:p>
  </w:footnote>
  <w:footnote w:id="8">
    <w:p w14:paraId="3856DECC" w14:textId="77777777" w:rsidR="005D331F" w:rsidRPr="00BD5ED5" w:rsidRDefault="005D331F" w:rsidP="005D331F">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9">
    <w:p w14:paraId="77AE0A01" w14:textId="77777777" w:rsidR="005D331F" w:rsidRPr="00BD5ED5" w:rsidRDefault="005D331F" w:rsidP="005D331F">
      <w:pPr>
        <w:pStyle w:val="Textonotapie"/>
        <w:ind w:firstLine="709"/>
        <w:rPr>
          <w:rFonts w:ascii="Arial" w:hAnsi="Arial" w:cs="Arial"/>
          <w:color w:val="000000" w:themeColor="text1"/>
          <w:sz w:val="19"/>
          <w:szCs w:val="19"/>
        </w:rPr>
      </w:pPr>
    </w:p>
    <w:p w14:paraId="6AC2B6A8" w14:textId="77777777" w:rsidR="005D331F" w:rsidRPr="00BD5ED5" w:rsidRDefault="005D331F" w:rsidP="005D331F">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10">
    <w:p w14:paraId="16E400D7" w14:textId="77777777" w:rsidR="00B542F5" w:rsidRPr="00B542F5" w:rsidRDefault="00B542F5" w:rsidP="00B542F5">
      <w:pPr>
        <w:pStyle w:val="Textonotapie"/>
        <w:ind w:firstLine="708"/>
        <w:jc w:val="both"/>
        <w:rPr>
          <w:rFonts w:ascii="Arial" w:hAnsi="Arial" w:cs="Arial"/>
          <w:color w:val="000000"/>
          <w:sz w:val="19"/>
          <w:szCs w:val="19"/>
          <w:lang w:val="es-CO"/>
        </w:rPr>
      </w:pPr>
      <w:r w:rsidRPr="00B542F5">
        <w:rPr>
          <w:rStyle w:val="Refdenotaalpie"/>
          <w:rFonts w:ascii="Arial" w:hAnsi="Arial" w:cs="Arial"/>
          <w:color w:val="000000"/>
          <w:sz w:val="19"/>
          <w:szCs w:val="19"/>
        </w:rPr>
        <w:footnoteRef/>
      </w:r>
      <w:r w:rsidRPr="00B542F5">
        <w:rPr>
          <w:rFonts w:ascii="Arial" w:hAnsi="Arial" w:cs="Arial"/>
          <w:color w:val="000000"/>
          <w:sz w:val="19"/>
          <w:szCs w:val="19"/>
        </w:rPr>
        <w:t xml:space="preserve"> Ley 1150 de 2007, artículo 5, Parágrafo 3: “La no entrega de la garantía de seriedad junto con la propuesta no será subsanable y será causal de rechazo de la misma”.</w:t>
      </w:r>
    </w:p>
  </w:footnote>
  <w:footnote w:id="11">
    <w:p w14:paraId="4400F7DF" w14:textId="77777777" w:rsidR="00B542F5" w:rsidRPr="00B542F5" w:rsidRDefault="00B542F5" w:rsidP="00B542F5">
      <w:pPr>
        <w:pStyle w:val="Textonotapie"/>
        <w:jc w:val="both"/>
        <w:rPr>
          <w:rFonts w:ascii="Arial" w:hAnsi="Arial" w:cs="Arial"/>
          <w:color w:val="000000"/>
          <w:sz w:val="19"/>
          <w:szCs w:val="19"/>
        </w:rPr>
      </w:pPr>
    </w:p>
    <w:p w14:paraId="7431EF97" w14:textId="77777777" w:rsidR="00B542F5" w:rsidRPr="00B542F5" w:rsidRDefault="00B542F5" w:rsidP="00B542F5">
      <w:pPr>
        <w:pStyle w:val="Textonotapie"/>
        <w:ind w:firstLine="708"/>
        <w:jc w:val="both"/>
        <w:rPr>
          <w:rFonts w:ascii="Arial" w:hAnsi="Arial" w:cs="Arial"/>
          <w:color w:val="000000"/>
          <w:sz w:val="19"/>
          <w:szCs w:val="19"/>
        </w:rPr>
      </w:pPr>
      <w:r w:rsidRPr="00B542F5">
        <w:rPr>
          <w:rStyle w:val="Refdenotaalpie"/>
          <w:rFonts w:ascii="Arial" w:hAnsi="Arial" w:cs="Arial"/>
          <w:color w:val="000000"/>
          <w:sz w:val="19"/>
          <w:szCs w:val="19"/>
        </w:rPr>
        <w:footnoteRef/>
      </w:r>
      <w:r w:rsidRPr="00B542F5">
        <w:rPr>
          <w:rFonts w:ascii="Arial" w:hAnsi="Arial" w:cs="Arial"/>
          <w:color w:val="000000"/>
          <w:sz w:val="19"/>
          <w:szCs w:val="19"/>
        </w:rPr>
        <w:t xml:space="preserve"> Gaceta 605 del 10 de agosto de 2016: «Aunque resulte extraña la anterior proposición, hoy en Colombia impera la posición según la cual, en la medida en que de la garantía de seriedad de la oferta no afecta la asignación de puntaje, su presentación, así como y la corrección de errores contenidos en esta, son susceptibles de subsanación hasta antes de oferta.</w:t>
      </w:r>
    </w:p>
    <w:p w14:paraId="3AC15BEE" w14:textId="77777777" w:rsidR="00B542F5" w:rsidRPr="00B542F5" w:rsidRDefault="00B542F5" w:rsidP="00B542F5">
      <w:pPr>
        <w:pStyle w:val="Textonotapie"/>
        <w:ind w:firstLine="708"/>
        <w:jc w:val="both"/>
        <w:rPr>
          <w:rFonts w:ascii="Arial" w:hAnsi="Arial" w:cs="Arial"/>
          <w:color w:val="000000"/>
          <w:sz w:val="19"/>
          <w:szCs w:val="19"/>
        </w:rPr>
      </w:pPr>
      <w:r w:rsidRPr="00B542F5">
        <w:rPr>
          <w:rFonts w:ascii="Arial" w:hAnsi="Arial" w:cs="Arial"/>
          <w:color w:val="000000"/>
          <w:sz w:val="19"/>
          <w:szCs w:val="19"/>
        </w:rPr>
        <w:t xml:space="preserve"> »Esto ha generado, además de las precipitadas prácticas colusivas, una desprotección del patrimonio público por cuanto no existe un amparo del riesgo de retiro de la oferta por parte de los proponentes después de vencido el plazo fijo para la presentación de las ofertas».</w:t>
      </w:r>
    </w:p>
    <w:p w14:paraId="26F09ED7" w14:textId="77777777" w:rsidR="00B542F5" w:rsidRPr="00B542F5" w:rsidRDefault="00B542F5" w:rsidP="00B542F5">
      <w:pPr>
        <w:pStyle w:val="Textonotapie"/>
        <w:ind w:firstLine="708"/>
        <w:jc w:val="both"/>
        <w:rPr>
          <w:rFonts w:ascii="Arial" w:hAnsi="Arial" w:cs="Arial"/>
          <w:color w:val="000000"/>
          <w:sz w:val="19"/>
          <w:szCs w:val="19"/>
          <w:lang w:val="es-CO"/>
        </w:rPr>
      </w:pPr>
    </w:p>
  </w:footnote>
  <w:footnote w:id="12">
    <w:p w14:paraId="780A6EBA" w14:textId="77777777" w:rsidR="00B542F5" w:rsidRPr="00B542F5" w:rsidRDefault="00B542F5" w:rsidP="00B542F5">
      <w:pPr>
        <w:pStyle w:val="Textonotapie"/>
        <w:ind w:firstLine="708"/>
        <w:jc w:val="both"/>
        <w:rPr>
          <w:rFonts w:ascii="Arial" w:hAnsi="Arial" w:cs="Arial"/>
          <w:color w:val="000000"/>
          <w:sz w:val="19"/>
          <w:szCs w:val="19"/>
        </w:rPr>
      </w:pPr>
      <w:r w:rsidRPr="00B542F5">
        <w:rPr>
          <w:rStyle w:val="Refdenotaalpie"/>
          <w:rFonts w:ascii="Arial" w:hAnsi="Arial" w:cs="Arial"/>
          <w:color w:val="000000"/>
          <w:sz w:val="19"/>
          <w:szCs w:val="19"/>
        </w:rPr>
        <w:footnoteRef/>
      </w:r>
      <w:r w:rsidRPr="00B542F5">
        <w:rPr>
          <w:rFonts w:ascii="Arial" w:hAnsi="Arial" w:cs="Arial"/>
          <w:color w:val="000000"/>
          <w:sz w:val="19"/>
          <w:szCs w:val="19"/>
        </w:rPr>
        <w:t xml:space="preserve"> El Código de comercio el artículo 1046, indica frente a la prueba del contrato de seguro que se hará por escrito o por confesión: «Con fines exclusivamente probatorios, el asegurador está obligado a entregar en su original, al tomador, dentro de los quince días siguientes a la fecha de su celebración el documento contentivo del contrato de seguro, el cual se denomina póliza, el que deberá redactarse en castellano y firmarse por el asegurador. </w:t>
      </w:r>
    </w:p>
    <w:p w14:paraId="4346C07E" w14:textId="77777777" w:rsidR="00B542F5" w:rsidRPr="00B542F5" w:rsidRDefault="00B542F5" w:rsidP="00B542F5">
      <w:pPr>
        <w:pStyle w:val="Textonotapie"/>
        <w:ind w:firstLine="708"/>
        <w:jc w:val="both"/>
        <w:rPr>
          <w:rFonts w:ascii="Arial" w:hAnsi="Arial" w:cs="Arial"/>
          <w:color w:val="000000"/>
          <w:sz w:val="19"/>
          <w:szCs w:val="19"/>
        </w:rPr>
      </w:pPr>
      <w:r w:rsidRPr="00B542F5">
        <w:rPr>
          <w:rFonts w:ascii="Arial" w:hAnsi="Arial" w:cs="Arial"/>
          <w:color w:val="000000"/>
          <w:sz w:val="19"/>
          <w:szCs w:val="19"/>
        </w:rPr>
        <w:t xml:space="preserve">»La Superintendencia Bancaria señalará los ramos y la clase de contratos que se redacten en idioma extranjero. </w:t>
      </w:r>
    </w:p>
    <w:p w14:paraId="0C538369" w14:textId="77777777" w:rsidR="00B542F5" w:rsidRPr="00B542F5" w:rsidRDefault="00B542F5" w:rsidP="00B542F5">
      <w:pPr>
        <w:pStyle w:val="Textonotapie"/>
        <w:ind w:firstLine="708"/>
        <w:jc w:val="both"/>
        <w:rPr>
          <w:rFonts w:ascii="Arial" w:hAnsi="Arial" w:cs="Arial"/>
          <w:color w:val="000000"/>
          <w:sz w:val="19"/>
          <w:szCs w:val="19"/>
          <w:lang w:val="es-CO"/>
        </w:rPr>
      </w:pPr>
      <w:r w:rsidRPr="00B542F5">
        <w:rPr>
          <w:rFonts w:ascii="Arial" w:hAnsi="Arial" w:cs="Arial"/>
          <w:color w:val="000000"/>
          <w:sz w:val="19"/>
          <w:szCs w:val="19"/>
        </w:rPr>
        <w:t>»Parágrafo. El asegurador está también obligado a librar a petición y a costa del tomador, del asegurado o del beneficiario duplicados o copias de la póliza».</w:t>
      </w:r>
    </w:p>
  </w:footnote>
  <w:footnote w:id="13">
    <w:p w14:paraId="4AE63342" w14:textId="77777777" w:rsidR="005D331F" w:rsidRPr="00CE413A" w:rsidRDefault="005D331F" w:rsidP="005D331F">
      <w:pPr>
        <w:pStyle w:val="Textonotapie"/>
        <w:ind w:firstLine="708"/>
        <w:rPr>
          <w:lang w:val="es-CO"/>
        </w:rPr>
      </w:pPr>
      <w:r>
        <w:rPr>
          <w:rStyle w:val="Refdenotaalpie"/>
        </w:rPr>
        <w:footnoteRef/>
      </w:r>
      <w:r>
        <w:t xml:space="preserve"> </w:t>
      </w:r>
      <w:r w:rsidRPr="00CE413A">
        <w:rPr>
          <w:rFonts w:ascii="Arial" w:hAnsi="Arial" w:cs="Arial"/>
          <w:sz w:val="19"/>
          <w:szCs w:val="19"/>
        </w:rPr>
        <w:t>Pa</w:t>
      </w:r>
      <w:r>
        <w:rPr>
          <w:rFonts w:ascii="Arial" w:hAnsi="Arial" w:cs="Arial"/>
          <w:sz w:val="19"/>
          <w:szCs w:val="19"/>
        </w:rPr>
        <w:t xml:space="preserve">ra consultar la Guía para presentar ofertas en SECOP II, de clic en el siguiente enlace: </w:t>
      </w:r>
      <w:hyperlink r:id="rId1" w:history="1">
        <w:r w:rsidRPr="007C05A6">
          <w:rPr>
            <w:rStyle w:val="Hipervnculo"/>
            <w:rFonts w:ascii="Arial" w:hAnsi="Arial" w:cs="Arial"/>
            <w:sz w:val="19"/>
            <w:szCs w:val="19"/>
          </w:rPr>
          <w:t>https://www.colombiacompra.gov.co/sites/cce_public/files/cce_step/cce-sec-gi-04provpcpresentaroferta07-09-2020.pdf</w:t>
        </w:r>
      </w:hyperlink>
      <w:r>
        <w:rPr>
          <w:rFonts w:ascii="Arial" w:hAnsi="Arial" w:cs="Arial"/>
          <w:sz w:val="19"/>
          <w:szCs w:val="19"/>
        </w:rPr>
        <w:t xml:space="preserve"> </w:t>
      </w:r>
    </w:p>
  </w:footnote>
  <w:footnote w:id="14">
    <w:p w14:paraId="30FF8A01" w14:textId="77777777" w:rsidR="00CA56C9" w:rsidRPr="00CA56C9" w:rsidRDefault="00CA56C9" w:rsidP="00CA56C9">
      <w:pPr>
        <w:pStyle w:val="Textonotapie"/>
        <w:ind w:firstLine="709"/>
        <w:jc w:val="both"/>
        <w:rPr>
          <w:rFonts w:ascii="Arial" w:hAnsi="Arial" w:cs="Arial"/>
          <w:color w:val="000000"/>
          <w:sz w:val="19"/>
          <w:szCs w:val="19"/>
        </w:rPr>
      </w:pPr>
      <w:r w:rsidRPr="00CA56C9">
        <w:rPr>
          <w:rStyle w:val="Refdenotaalpie"/>
          <w:rFonts w:ascii="Arial" w:hAnsi="Arial" w:cs="Arial"/>
          <w:color w:val="000000"/>
          <w:sz w:val="19"/>
          <w:szCs w:val="19"/>
        </w:rPr>
        <w:footnoteRef/>
      </w:r>
      <w:r w:rsidRPr="00CA56C9">
        <w:rPr>
          <w:rFonts w:ascii="Arial" w:hAnsi="Arial" w:cs="Arial"/>
          <w:color w:val="000000"/>
          <w:sz w:val="19"/>
          <w:szCs w:val="19"/>
        </w:rPr>
        <w:t xml:space="preserve">  La Ley 1150 de 2007, artículo 5, indica: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565E2174" w14:textId="77777777" w:rsidR="00CA56C9" w:rsidRPr="00CA56C9" w:rsidRDefault="00CA56C9" w:rsidP="00CA56C9">
      <w:pPr>
        <w:pStyle w:val="Textonotapie"/>
        <w:ind w:firstLine="709"/>
        <w:jc w:val="both"/>
        <w:rPr>
          <w:rFonts w:ascii="Arial" w:hAnsi="Arial" w:cs="Arial"/>
          <w:color w:val="000000"/>
          <w:sz w:val="19"/>
          <w:szCs w:val="19"/>
          <w:lang w:val="es-CO"/>
        </w:rPr>
      </w:pPr>
      <w:r w:rsidRPr="00CA56C9">
        <w:rPr>
          <w:rFonts w:ascii="Arial" w:hAnsi="Arial" w:cs="Arial"/>
          <w:color w:val="000000"/>
          <w:sz w:val="19"/>
          <w:szCs w:val="19"/>
        </w:rPr>
        <w:t xml:space="preserve">» “Durante el término otorgado para subsanar las ofertas, los proponentes no podrán acreditar circunstancias ocurridas con posterioridad al cierre del proceso». </w:t>
      </w:r>
    </w:p>
    <w:p w14:paraId="743637DA" w14:textId="77777777" w:rsidR="00CA56C9" w:rsidRPr="00CA56C9" w:rsidRDefault="00CA56C9" w:rsidP="00CA56C9">
      <w:pPr>
        <w:pStyle w:val="Textonotapie"/>
        <w:rPr>
          <w:color w:val="000000"/>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37DA" w14:textId="77777777" w:rsidR="00906B3C" w:rsidRPr="007566FE" w:rsidRDefault="00E51F17"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0D52BB71" wp14:editId="39EDA8C1">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1FF08DF9" w14:textId="77777777" w:rsidR="007566FE" w:rsidRPr="007566FE" w:rsidRDefault="00E51F17"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A8352F6" w14:textId="77777777" w:rsidR="00793403" w:rsidRDefault="00E51F17"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D6FD19F" wp14:editId="75C9B4F9">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4B128879" w14:textId="77777777" w:rsidR="00793403" w:rsidRPr="007566FE" w:rsidRDefault="00A61059" w:rsidP="008614E5">
    <w:pPr>
      <w:spacing w:after="0"/>
      <w:rPr>
        <w:rFonts w:ascii="Geomanist Light" w:hAnsi="Geomanist Light"/>
        <w:color w:val="002060"/>
        <w:sz w:val="16"/>
        <w:szCs w:val="16"/>
      </w:rPr>
    </w:pPr>
  </w:p>
  <w:p w14:paraId="210A7362" w14:textId="77777777" w:rsidR="004A1847" w:rsidRPr="00906B3C" w:rsidRDefault="00A61059"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1F"/>
    <w:rsid w:val="000A4A94"/>
    <w:rsid w:val="000B5B6E"/>
    <w:rsid w:val="001154A4"/>
    <w:rsid w:val="00120E43"/>
    <w:rsid w:val="00125E1F"/>
    <w:rsid w:val="001D51CC"/>
    <w:rsid w:val="001F6533"/>
    <w:rsid w:val="002616C1"/>
    <w:rsid w:val="00282252"/>
    <w:rsid w:val="00290D2C"/>
    <w:rsid w:val="002A0838"/>
    <w:rsid w:val="002C5288"/>
    <w:rsid w:val="002F78D4"/>
    <w:rsid w:val="003B60DD"/>
    <w:rsid w:val="003F38C9"/>
    <w:rsid w:val="00402363"/>
    <w:rsid w:val="00484307"/>
    <w:rsid w:val="004E7B4B"/>
    <w:rsid w:val="00514C1C"/>
    <w:rsid w:val="00554FBF"/>
    <w:rsid w:val="005562A7"/>
    <w:rsid w:val="005706C8"/>
    <w:rsid w:val="005B010A"/>
    <w:rsid w:val="005D331F"/>
    <w:rsid w:val="00606B9E"/>
    <w:rsid w:val="00614C3C"/>
    <w:rsid w:val="00666155"/>
    <w:rsid w:val="0069199D"/>
    <w:rsid w:val="00711D21"/>
    <w:rsid w:val="007124EC"/>
    <w:rsid w:val="00747A08"/>
    <w:rsid w:val="0077269A"/>
    <w:rsid w:val="007A24BE"/>
    <w:rsid w:val="00815AED"/>
    <w:rsid w:val="008E2289"/>
    <w:rsid w:val="00901907"/>
    <w:rsid w:val="009049CA"/>
    <w:rsid w:val="00946CA1"/>
    <w:rsid w:val="009539C4"/>
    <w:rsid w:val="00A3464E"/>
    <w:rsid w:val="00A46CAF"/>
    <w:rsid w:val="00A61059"/>
    <w:rsid w:val="00AC1EB6"/>
    <w:rsid w:val="00AE5868"/>
    <w:rsid w:val="00B542F5"/>
    <w:rsid w:val="00C02E33"/>
    <w:rsid w:val="00C37A6A"/>
    <w:rsid w:val="00CA56C9"/>
    <w:rsid w:val="00D119DC"/>
    <w:rsid w:val="00D26FF7"/>
    <w:rsid w:val="00D273DE"/>
    <w:rsid w:val="00D43C62"/>
    <w:rsid w:val="00DE51B0"/>
    <w:rsid w:val="00E026EB"/>
    <w:rsid w:val="00E51F17"/>
    <w:rsid w:val="00F218AE"/>
    <w:rsid w:val="00F77EBD"/>
    <w:rsid w:val="00FA1A0F"/>
    <w:rsid w:val="00FD371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B120"/>
  <w15:chartTrackingRefBased/>
  <w15:docId w15:val="{ADD09A08-D429-41F7-9AF7-A02A9021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3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31F"/>
  </w:style>
  <w:style w:type="paragraph" w:styleId="Piedepgina">
    <w:name w:val="footer"/>
    <w:basedOn w:val="Normal"/>
    <w:link w:val="PiedepginaCar"/>
    <w:uiPriority w:val="99"/>
    <w:unhideWhenUsed/>
    <w:rsid w:val="005D33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31F"/>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D331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5D331F"/>
    <w:pPr>
      <w:spacing w:after="0" w:line="240" w:lineRule="auto"/>
    </w:pPr>
    <w:rPr>
      <w:sz w:val="20"/>
      <w:szCs w:val="20"/>
      <w:lang w:val="es-MX"/>
    </w:rPr>
  </w:style>
  <w:style w:type="character" w:customStyle="1" w:styleId="TextonotapieCar1">
    <w:name w:val="Texto nota pie Car1"/>
    <w:basedOn w:val="Fuentedeprrafopredeter"/>
    <w:uiPriority w:val="99"/>
    <w:semiHidden/>
    <w:rsid w:val="005D331F"/>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5D331F"/>
    <w:rPr>
      <w:vertAlign w:val="superscript"/>
    </w:rPr>
  </w:style>
  <w:style w:type="table" w:styleId="Tablaconcuadrcula">
    <w:name w:val="Table Grid"/>
    <w:basedOn w:val="Tablanormal"/>
    <w:uiPriority w:val="59"/>
    <w:rsid w:val="005D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D331F"/>
    <w:pPr>
      <w:spacing w:line="240" w:lineRule="exact"/>
    </w:pPr>
    <w:rPr>
      <w:vertAlign w:val="superscript"/>
    </w:rPr>
  </w:style>
  <w:style w:type="paragraph" w:styleId="Sinespaciado">
    <w:name w:val="No Spacing"/>
    <w:uiPriority w:val="1"/>
    <w:qFormat/>
    <w:rsid w:val="005D331F"/>
    <w:pPr>
      <w:spacing w:after="0" w:line="240" w:lineRule="auto"/>
    </w:pPr>
    <w:rPr>
      <w:lang w:val="es-ES"/>
    </w:rPr>
  </w:style>
  <w:style w:type="character" w:styleId="Hipervnculo">
    <w:name w:val="Hyperlink"/>
    <w:basedOn w:val="Fuentedeprrafopredeter"/>
    <w:uiPriority w:val="99"/>
    <w:unhideWhenUsed/>
    <w:rsid w:val="005D331F"/>
    <w:rPr>
      <w:color w:val="0000FF"/>
      <w:u w:val="single"/>
    </w:rPr>
  </w:style>
  <w:style w:type="character" w:styleId="Mencinsinresolver">
    <w:name w:val="Unresolved Mention"/>
    <w:basedOn w:val="Fuentedeprrafopredeter"/>
    <w:uiPriority w:val="99"/>
    <w:semiHidden/>
    <w:unhideWhenUsed/>
    <w:rsid w:val="00F77EBD"/>
    <w:rPr>
      <w:color w:val="605E5C"/>
      <w:shd w:val="clear" w:color="auto" w:fill="E1DFDD"/>
    </w:rPr>
  </w:style>
  <w:style w:type="table" w:customStyle="1" w:styleId="Tablaconcuadrcula1">
    <w:name w:val="Tabla con cuadrícula1"/>
    <w:basedOn w:val="Tablanormal"/>
    <w:next w:val="Tablaconcuadrcula"/>
    <w:uiPriority w:val="39"/>
    <w:rsid w:val="007A24B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DELL/Downloads/%20https:/www.colombiacompra.gov.co/mesa-de-servic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cquehenao@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cce-sec-gi-04provpcpresentaroferta07-09-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1ECEC-FF6A-4EF5-A90A-FCEB9E1EB71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46660F1-6E4F-4FEC-997C-81172C2F519D}">
  <ds:schemaRefs>
    <ds:schemaRef ds:uri="http://schemas.microsoft.com/sharepoint/v3/contenttype/forms"/>
  </ds:schemaRefs>
</ds:datastoreItem>
</file>

<file path=customXml/itemProps3.xml><?xml version="1.0" encoding="utf-8"?>
<ds:datastoreItem xmlns:ds="http://schemas.openxmlformats.org/officeDocument/2006/customXml" ds:itemID="{40F3119B-4222-4200-B709-607336F3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10068</Words>
  <Characters>55380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Gabriel Alejandro Murcia Taboada</cp:lastModifiedBy>
  <cp:revision>5</cp:revision>
  <dcterms:created xsi:type="dcterms:W3CDTF">2023-04-19T20:55:00Z</dcterms:created>
  <dcterms:modified xsi:type="dcterms:W3CDTF">2023-05-02T16:08:00Z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