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513A" w14:textId="77777777" w:rsidR="009157E3" w:rsidRPr="00CA71FB" w:rsidRDefault="009157E3" w:rsidP="009157E3">
      <w:pPr>
        <w:spacing w:after="0" w:line="240" w:lineRule="auto"/>
        <w:rPr>
          <w:rFonts w:ascii="Arial" w:eastAsia="Calibri" w:hAnsi="Arial" w:cs="Arial"/>
          <w:b/>
          <w:bCs/>
          <w:lang w:val="es-ES_tradnl"/>
        </w:rPr>
      </w:pPr>
      <w:r w:rsidRPr="00CA71FB">
        <w:rPr>
          <w:rFonts w:ascii="Arial" w:eastAsia="Calibri" w:hAnsi="Arial" w:cs="Arial"/>
          <w:b/>
          <w:bCs/>
          <w:lang w:val="es-ES_tradnl"/>
        </w:rPr>
        <w:t>CAJAS DE COMPENSACIÓN FAMILIAR – Naturaleza jurídica – Función social</w:t>
      </w:r>
    </w:p>
    <w:p w14:paraId="7B45F582" w14:textId="77777777" w:rsidR="009157E3" w:rsidRPr="00CA71FB" w:rsidRDefault="009157E3" w:rsidP="009157E3">
      <w:pPr>
        <w:spacing w:after="0" w:line="240" w:lineRule="auto"/>
        <w:rPr>
          <w:rFonts w:ascii="Arial" w:eastAsia="Calibri" w:hAnsi="Arial" w:cs="Arial"/>
          <w:b/>
          <w:bCs/>
          <w:lang w:val="es-ES_tradnl"/>
        </w:rPr>
      </w:pPr>
    </w:p>
    <w:p w14:paraId="45E87B74" w14:textId="77777777" w:rsidR="009157E3" w:rsidRPr="00CA71FB" w:rsidRDefault="009157E3" w:rsidP="009157E3">
      <w:pPr>
        <w:spacing w:after="0" w:line="240" w:lineRule="auto"/>
        <w:jc w:val="both"/>
        <w:rPr>
          <w:rFonts w:ascii="Arial" w:eastAsia="Calibri" w:hAnsi="Arial" w:cs="Arial"/>
          <w:color w:val="000000"/>
          <w:kern w:val="2"/>
          <w:sz w:val="20"/>
          <w:szCs w:val="20"/>
          <w14:ligatures w14:val="standardContextual"/>
        </w:rPr>
      </w:pPr>
      <w:r w:rsidRPr="00CA71FB">
        <w:rPr>
          <w:rFonts w:ascii="Arial" w:eastAsia="Calibri" w:hAnsi="Arial" w:cs="Arial"/>
          <w:color w:val="000000"/>
          <w:kern w:val="2"/>
          <w:sz w:val="20"/>
          <w:szCs w:val="20"/>
          <w14:ligatures w14:val="standardContextual"/>
        </w:rPr>
        <w:t xml:space="preserve">[…] dentro del grupo de asociaciones que conforman las ESAL están incluidas las Cajas de Compensación Familiar, esto en razón a que, el artículo 39 de la Ley 21 de 1982 las define como “personas jurídicas de derecho privado sin ánimo de lucro, organizadas como corporaciones en la forma prevista en el Código Civil, cumplen funciones de seguridad social y se hallan sometidas al control y vigilancia del Estado en la forma establecida por la ley”. </w:t>
      </w:r>
    </w:p>
    <w:p w14:paraId="02D4FB78" w14:textId="77777777" w:rsidR="009157E3" w:rsidRPr="00CA71FB" w:rsidRDefault="009157E3" w:rsidP="009157E3">
      <w:pPr>
        <w:spacing w:after="0" w:line="240" w:lineRule="auto"/>
        <w:jc w:val="both"/>
        <w:rPr>
          <w:rFonts w:ascii="Arial" w:eastAsia="Calibri" w:hAnsi="Arial" w:cs="Arial"/>
          <w:sz w:val="20"/>
          <w:szCs w:val="20"/>
          <w:lang w:val="es-ES_tradnl"/>
        </w:rPr>
      </w:pPr>
    </w:p>
    <w:p w14:paraId="3FBFD467" w14:textId="77777777" w:rsidR="009157E3" w:rsidRPr="00CA71FB" w:rsidRDefault="009157E3" w:rsidP="009157E3">
      <w:pPr>
        <w:spacing w:after="0" w:line="240" w:lineRule="auto"/>
        <w:jc w:val="both"/>
        <w:rPr>
          <w:rFonts w:ascii="Arial" w:eastAsia="Calibri" w:hAnsi="Arial" w:cs="Arial"/>
          <w:sz w:val="20"/>
          <w:szCs w:val="20"/>
          <w:lang w:val="es-ES_tradnl"/>
        </w:rPr>
      </w:pPr>
      <w:r w:rsidRPr="00CA71FB">
        <w:rPr>
          <w:rFonts w:ascii="Arial" w:eastAsia="Calibri" w:hAnsi="Arial" w:cs="Arial"/>
          <w:sz w:val="20"/>
          <w:szCs w:val="20"/>
          <w:lang w:val="es-ES_tradnl"/>
        </w:rPr>
        <w:t>La Corte Constitucional en Sentencia C-429 de 2019, señaló que “las Cajas de Compensación Familiar son entes jurídicos de naturaleza especialísima que no ejercen funciones públicas, sino que desarrollan una función social, pues se trata de actores privados que participan en la economía e intervienen en el servicio público de seguridad social e incluso, en algunos casos, pueden participar en su prestación, como ocurre con la participación que tienen en el sector salud”.</w:t>
      </w:r>
    </w:p>
    <w:p w14:paraId="3D445AE6" w14:textId="77777777" w:rsidR="009157E3" w:rsidRPr="00CA71FB" w:rsidRDefault="009157E3" w:rsidP="009157E3">
      <w:pPr>
        <w:spacing w:after="0" w:line="240" w:lineRule="auto"/>
        <w:rPr>
          <w:rFonts w:ascii="Arial" w:eastAsia="Calibri" w:hAnsi="Arial" w:cs="Arial"/>
          <w:lang w:val="es-ES_tradnl"/>
        </w:rPr>
      </w:pPr>
    </w:p>
    <w:p w14:paraId="025FEE1E" w14:textId="77777777" w:rsidR="009157E3" w:rsidRPr="00CA71FB" w:rsidRDefault="009157E3" w:rsidP="009157E3">
      <w:pPr>
        <w:spacing w:after="0" w:line="240" w:lineRule="auto"/>
        <w:rPr>
          <w:rFonts w:ascii="Arial" w:eastAsia="Calibri" w:hAnsi="Arial" w:cs="Arial"/>
          <w:b/>
          <w:bCs/>
          <w:lang w:val="es-ES_tradnl"/>
        </w:rPr>
      </w:pPr>
      <w:r w:rsidRPr="00CA71FB">
        <w:rPr>
          <w:rFonts w:ascii="Arial" w:eastAsia="Calibri" w:hAnsi="Arial" w:cs="Arial"/>
          <w:b/>
          <w:bCs/>
          <w:lang w:val="es-ES_tradnl"/>
        </w:rPr>
        <w:t>PLAN ANUAL DE ADQUISICIONES – Noción – Obligatoriedad de elaboración – Sujetos obligados</w:t>
      </w:r>
    </w:p>
    <w:p w14:paraId="353EB018" w14:textId="77777777" w:rsidR="009157E3" w:rsidRPr="00CA71FB" w:rsidRDefault="009157E3" w:rsidP="009157E3">
      <w:pPr>
        <w:spacing w:after="0" w:line="240" w:lineRule="auto"/>
        <w:rPr>
          <w:rFonts w:ascii="Arial" w:eastAsia="Calibri" w:hAnsi="Arial" w:cs="Arial"/>
          <w:lang w:val="es-ES_tradnl"/>
        </w:rPr>
      </w:pPr>
    </w:p>
    <w:p w14:paraId="40F64F3B" w14:textId="77777777" w:rsidR="009157E3" w:rsidRPr="00CA71FB" w:rsidRDefault="009157E3" w:rsidP="009157E3">
      <w:pPr>
        <w:spacing w:after="0" w:line="240" w:lineRule="auto"/>
        <w:jc w:val="both"/>
        <w:rPr>
          <w:rFonts w:ascii="Arial" w:eastAsia="Calibri" w:hAnsi="Arial" w:cs="Arial"/>
          <w:sz w:val="20"/>
          <w:szCs w:val="20"/>
          <w:lang w:val="es-ES_tradnl"/>
        </w:rPr>
      </w:pPr>
      <w:r w:rsidRPr="00CA71FB">
        <w:rPr>
          <w:rFonts w:ascii="Arial" w:eastAsia="Calibri" w:hAnsi="Arial" w:cs="Arial"/>
          <w:sz w:val="20"/>
          <w:szCs w:val="20"/>
          <w:lang w:val="es-ES_tradnl"/>
        </w:rPr>
        <w:t>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w:t>
      </w:r>
    </w:p>
    <w:p w14:paraId="444A51FD" w14:textId="77777777" w:rsidR="009157E3" w:rsidRPr="00CA71FB" w:rsidRDefault="009157E3" w:rsidP="009157E3">
      <w:pPr>
        <w:spacing w:after="0" w:line="240" w:lineRule="auto"/>
        <w:rPr>
          <w:rFonts w:ascii="Arial" w:eastAsia="Calibri" w:hAnsi="Arial" w:cs="Arial"/>
          <w:lang w:val="es-ES_tradnl"/>
        </w:rPr>
      </w:pPr>
    </w:p>
    <w:p w14:paraId="723842A8" w14:textId="77777777" w:rsidR="009157E3" w:rsidRPr="00CA71FB" w:rsidRDefault="009157E3" w:rsidP="009157E3">
      <w:pPr>
        <w:spacing w:after="0" w:line="240" w:lineRule="auto"/>
        <w:jc w:val="both"/>
        <w:rPr>
          <w:rFonts w:ascii="Arial" w:eastAsia="Calibri" w:hAnsi="Arial" w:cs="Arial"/>
          <w:lang w:val="es-ES_tradnl"/>
        </w:rPr>
      </w:pPr>
      <w:r w:rsidRPr="00CA71FB">
        <w:rPr>
          <w:rFonts w:ascii="Arial" w:eastAsia="Calibri" w:hAnsi="Arial" w:cs="Arial"/>
          <w:sz w:val="20"/>
          <w:szCs w:val="20"/>
          <w:lang w:val="es-ES_tradnl"/>
        </w:rPr>
        <w:t>Ahora bien, respecto del deber de elaboración del Plan Anual de Adquisiciones, el artículo2.2.1.1.1.4.1 del Decreto 1082 de 2015 dispone: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como mínimo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w:t>
      </w:r>
    </w:p>
    <w:p w14:paraId="73620883" w14:textId="77777777" w:rsidR="009157E3" w:rsidRPr="00CA71FB" w:rsidRDefault="009157E3" w:rsidP="009157E3">
      <w:pPr>
        <w:spacing w:after="0" w:line="240" w:lineRule="auto"/>
        <w:rPr>
          <w:rFonts w:ascii="Arial" w:eastAsia="Calibri" w:hAnsi="Arial" w:cs="Arial"/>
          <w:lang w:val="es-ES_tradnl"/>
        </w:rPr>
      </w:pPr>
    </w:p>
    <w:p w14:paraId="12ED6F92" w14:textId="77777777" w:rsidR="009157E3" w:rsidRPr="00CA71FB" w:rsidRDefault="009157E3" w:rsidP="009157E3">
      <w:pPr>
        <w:spacing w:after="0" w:line="240" w:lineRule="auto"/>
        <w:rPr>
          <w:rFonts w:ascii="Arial" w:eastAsia="Calibri" w:hAnsi="Arial" w:cs="Arial"/>
          <w:b/>
          <w:bCs/>
          <w:lang w:val="es-ES_tradnl"/>
        </w:rPr>
      </w:pPr>
      <w:r w:rsidRPr="00CA71FB">
        <w:rPr>
          <w:rFonts w:ascii="Arial" w:eastAsia="Calibri" w:hAnsi="Arial" w:cs="Arial"/>
          <w:b/>
          <w:bCs/>
          <w:lang w:val="es-ES_tradnl"/>
        </w:rPr>
        <w:t>PUBLICACIÓN EN SECOP – Principio de publicidad – Principio de transparencia –</w:t>
      </w:r>
    </w:p>
    <w:p w14:paraId="39DDEFC2" w14:textId="77777777" w:rsidR="009157E3" w:rsidRPr="00CA71FB" w:rsidRDefault="009157E3" w:rsidP="009157E3">
      <w:pPr>
        <w:spacing w:after="0" w:line="240" w:lineRule="auto"/>
        <w:jc w:val="both"/>
        <w:rPr>
          <w:rFonts w:ascii="Arial" w:eastAsia="Calibri" w:hAnsi="Arial" w:cs="Arial"/>
          <w:sz w:val="20"/>
          <w:szCs w:val="20"/>
          <w:lang w:val="es-ES_tradnl"/>
        </w:rPr>
      </w:pPr>
    </w:p>
    <w:p w14:paraId="1243B667" w14:textId="77777777" w:rsidR="009157E3" w:rsidRPr="00CA71FB" w:rsidRDefault="009157E3" w:rsidP="009157E3">
      <w:pPr>
        <w:spacing w:after="0" w:line="240" w:lineRule="auto"/>
        <w:jc w:val="both"/>
        <w:rPr>
          <w:rFonts w:ascii="Arial" w:eastAsia="Calibri" w:hAnsi="Arial" w:cs="Arial"/>
          <w:sz w:val="20"/>
          <w:szCs w:val="20"/>
          <w:lang w:val="es-ES_tradnl"/>
        </w:rPr>
      </w:pPr>
      <w:r w:rsidRPr="00CA71FB">
        <w:rPr>
          <w:rFonts w:ascii="Arial" w:eastAsia="Calibri" w:hAnsi="Arial" w:cs="Arial"/>
          <w:sz w:val="20"/>
          <w:szCs w:val="20"/>
          <w:lang w:val="es-ES_tradnl"/>
        </w:rPr>
        <w:t xml:space="preserve">El principio de publicidad impone a las autoridades el deber de dar a conocer sus actos, contratos y decisiones, para que se divulguen y eventualmente se controlen dichas actuaciones. Es por eso </w:t>
      </w:r>
      <w:proofErr w:type="gramStart"/>
      <w:r w:rsidRPr="00CA71FB">
        <w:rPr>
          <w:rFonts w:ascii="Arial" w:eastAsia="Calibri" w:hAnsi="Arial" w:cs="Arial"/>
          <w:sz w:val="20"/>
          <w:szCs w:val="20"/>
          <w:lang w:val="es-ES_tradnl"/>
        </w:rPr>
        <w:t>que</w:t>
      </w:r>
      <w:proofErr w:type="gramEnd"/>
      <w:r w:rsidRPr="00CA71FB">
        <w:rPr>
          <w:rFonts w:ascii="Arial" w:eastAsia="Calibri" w:hAnsi="Arial" w:cs="Arial"/>
          <w:sz w:val="20"/>
          <w:szCs w:val="20"/>
          <w:lang w:val="es-ES_tradnl"/>
        </w:rPr>
        <w:t>,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14:paraId="4AB9477D" w14:textId="77777777" w:rsidR="009157E3" w:rsidRPr="00CA71FB" w:rsidRDefault="009157E3" w:rsidP="009157E3">
      <w:pPr>
        <w:spacing w:after="0" w:line="240" w:lineRule="auto"/>
        <w:rPr>
          <w:rFonts w:ascii="Arial" w:eastAsia="Calibri" w:hAnsi="Arial" w:cs="Arial"/>
          <w:lang w:val="es-ES_tradnl"/>
        </w:rPr>
      </w:pPr>
      <w:r w:rsidRPr="00CA71FB">
        <w:rPr>
          <w:rFonts w:ascii="Arial" w:eastAsia="Calibri" w:hAnsi="Arial" w:cs="Arial"/>
          <w:lang w:val="es-ES_tradnl"/>
        </w:rPr>
        <w:t>[…]</w:t>
      </w:r>
    </w:p>
    <w:p w14:paraId="40F8577C" w14:textId="77777777" w:rsidR="009157E3" w:rsidRPr="00CA71FB" w:rsidRDefault="009157E3" w:rsidP="009157E3">
      <w:pPr>
        <w:spacing w:after="0" w:line="240" w:lineRule="auto"/>
        <w:jc w:val="both"/>
        <w:rPr>
          <w:rFonts w:ascii="Arial" w:eastAsia="Calibri" w:hAnsi="Arial" w:cs="Arial"/>
          <w:sz w:val="20"/>
          <w:szCs w:val="20"/>
          <w:lang w:val="es-ES_tradnl"/>
        </w:rPr>
      </w:pPr>
      <w:r w:rsidRPr="00CA71FB">
        <w:rPr>
          <w:rFonts w:ascii="Arial" w:eastAsia="Calibri" w:hAnsi="Arial" w:cs="Arial"/>
          <w:sz w:val="20"/>
          <w:szCs w:val="20"/>
          <w:lang w:val="es-ES_tradnl"/>
        </w:rPr>
        <w:t>[…]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w:t>
      </w:r>
    </w:p>
    <w:p w14:paraId="1240F80E" w14:textId="77777777" w:rsidR="009157E3" w:rsidRPr="00CA71FB" w:rsidRDefault="009157E3" w:rsidP="009157E3">
      <w:pPr>
        <w:spacing w:after="0" w:line="240" w:lineRule="auto"/>
        <w:jc w:val="both"/>
        <w:rPr>
          <w:rFonts w:ascii="Arial" w:eastAsia="Calibri" w:hAnsi="Arial" w:cs="Arial"/>
          <w:sz w:val="20"/>
          <w:szCs w:val="20"/>
          <w:lang w:val="es-ES_tradnl"/>
        </w:rPr>
      </w:pPr>
    </w:p>
    <w:p w14:paraId="6178F9EA" w14:textId="77777777" w:rsidR="009157E3" w:rsidRPr="006677CD" w:rsidRDefault="009157E3" w:rsidP="009157E3">
      <w:pPr>
        <w:spacing w:after="0" w:line="240" w:lineRule="auto"/>
        <w:rPr>
          <w:rFonts w:ascii="Arial" w:eastAsia="Calibri" w:hAnsi="Arial" w:cs="Arial"/>
          <w:b/>
          <w:bCs/>
          <w:lang w:val="es-ES_tradnl"/>
        </w:rPr>
      </w:pPr>
      <w:r w:rsidRPr="006677CD">
        <w:rPr>
          <w:rFonts w:ascii="Arial" w:eastAsia="Calibri" w:hAnsi="Arial" w:cs="Arial"/>
          <w:b/>
          <w:bCs/>
          <w:lang w:val="es-ES_tradnl"/>
        </w:rPr>
        <w:t xml:space="preserve">PUBLICACIÓN EN SECOP – Sujetos obligados </w:t>
      </w:r>
    </w:p>
    <w:p w14:paraId="79187520" w14:textId="77777777" w:rsidR="009157E3" w:rsidRPr="006677CD" w:rsidRDefault="009157E3" w:rsidP="009157E3">
      <w:pPr>
        <w:spacing w:after="0" w:line="240" w:lineRule="auto"/>
        <w:rPr>
          <w:rFonts w:ascii="Arial" w:eastAsia="Calibri" w:hAnsi="Arial" w:cs="Arial"/>
          <w:lang w:val="es-ES_tradnl"/>
        </w:rPr>
      </w:pPr>
    </w:p>
    <w:p w14:paraId="3A5234C7" w14:textId="77777777" w:rsidR="009157E3" w:rsidRPr="006677CD" w:rsidRDefault="009157E3" w:rsidP="009157E3">
      <w:pPr>
        <w:spacing w:after="0" w:line="240" w:lineRule="auto"/>
        <w:jc w:val="both"/>
        <w:rPr>
          <w:rFonts w:ascii="Arial" w:eastAsia="Calibri" w:hAnsi="Arial" w:cs="Arial"/>
          <w:sz w:val="20"/>
          <w:szCs w:val="20"/>
          <w:lang w:val="es-ES_tradnl"/>
        </w:rPr>
      </w:pPr>
      <w:r w:rsidRPr="006677CD">
        <w:rPr>
          <w:rFonts w:ascii="Arial" w:eastAsia="Calibri" w:hAnsi="Arial" w:cs="Arial"/>
          <w:sz w:val="20"/>
          <w:szCs w:val="20"/>
          <w:lang w:val="es-ES_tradnl"/>
        </w:rPr>
        <w:t>Uno de los deberes definidos en la Ley 1712 de 2014, que deben acatar los sujetos obligados, es publicar la información contractual en el SECOP. En efecto, el literal e) del artículo 9 señala que los sujetos obligados deben publicar la información relativo a su contratación. Así 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información esta, que también debe estar en el SECOP.</w:t>
      </w:r>
    </w:p>
    <w:p w14:paraId="7EBF7C59" w14:textId="77777777" w:rsidR="009157E3" w:rsidRPr="006677CD" w:rsidRDefault="009157E3" w:rsidP="009157E3">
      <w:pPr>
        <w:spacing w:after="0" w:line="240" w:lineRule="auto"/>
        <w:rPr>
          <w:rFonts w:ascii="Arial" w:eastAsia="Calibri" w:hAnsi="Arial" w:cs="Arial"/>
          <w:lang w:val="es-ES_tradnl"/>
        </w:rPr>
      </w:pPr>
    </w:p>
    <w:p w14:paraId="13125C2B" w14:textId="77777777" w:rsidR="009157E3" w:rsidRPr="00CA71FB" w:rsidRDefault="009157E3" w:rsidP="009157E3">
      <w:pPr>
        <w:spacing w:after="0" w:line="240" w:lineRule="auto"/>
        <w:jc w:val="both"/>
        <w:rPr>
          <w:rFonts w:ascii="Arial" w:eastAsia="Calibri" w:hAnsi="Arial" w:cs="Arial"/>
          <w:sz w:val="20"/>
          <w:szCs w:val="20"/>
          <w:lang w:val="es-ES_tradnl"/>
        </w:rPr>
      </w:pPr>
      <w:r w:rsidRPr="006677CD">
        <w:rPr>
          <w:rFonts w:ascii="Arial" w:eastAsia="Calibri" w:hAnsi="Arial" w:cs="Arial"/>
          <w:sz w:val="20"/>
          <w:szCs w:val="20"/>
          <w:lang w:val="es-ES_tradnl"/>
        </w:rPr>
        <w:t>Sin embargo, el Decreto 1081 de 2015 reglamentó la materia estableciendo que la información contractual de los sujetos obligados que “contratan con cargo a recursos públicos”, debe hacerse en el Sistema Electrónico para la Contratación Pública – SECOP</w:t>
      </w:r>
    </w:p>
    <w:p w14:paraId="42669E96" w14:textId="77777777" w:rsidR="009157E3" w:rsidRPr="00CA71FB" w:rsidRDefault="009157E3" w:rsidP="009157E3">
      <w:pPr>
        <w:spacing w:after="0" w:line="240" w:lineRule="auto"/>
        <w:rPr>
          <w:rFonts w:ascii="Arial" w:eastAsia="Calibri" w:hAnsi="Arial" w:cs="Arial"/>
          <w:lang w:val="es-ES_tradnl"/>
        </w:rPr>
      </w:pPr>
    </w:p>
    <w:p w14:paraId="75DEA679" w14:textId="77777777" w:rsidR="009157E3" w:rsidRPr="00CA71FB" w:rsidRDefault="009157E3" w:rsidP="009157E3">
      <w:pPr>
        <w:spacing w:after="0" w:line="240" w:lineRule="auto"/>
        <w:rPr>
          <w:rFonts w:ascii="Arial" w:eastAsia="Calibri" w:hAnsi="Arial" w:cs="Arial"/>
          <w:lang w:val="es-ES_tradnl"/>
        </w:rPr>
      </w:pPr>
    </w:p>
    <w:p w14:paraId="79A562D2" w14:textId="77777777" w:rsidR="009157E3" w:rsidRPr="00CA71FB" w:rsidRDefault="009157E3" w:rsidP="009157E3">
      <w:pPr>
        <w:spacing w:after="0" w:line="240" w:lineRule="auto"/>
        <w:rPr>
          <w:rFonts w:ascii="Arial" w:eastAsia="Calibri" w:hAnsi="Arial" w:cs="Arial"/>
          <w:lang w:val="es-ES_tradnl"/>
        </w:rPr>
      </w:pPr>
    </w:p>
    <w:p w14:paraId="58CCFDA9" w14:textId="77777777" w:rsidR="009157E3" w:rsidRPr="00CA71FB" w:rsidRDefault="009157E3" w:rsidP="009157E3">
      <w:pPr>
        <w:spacing w:after="0" w:line="240" w:lineRule="auto"/>
        <w:rPr>
          <w:rFonts w:ascii="Arial" w:eastAsia="Calibri" w:hAnsi="Arial" w:cs="Arial"/>
          <w:lang w:val="es-ES_tradnl"/>
        </w:rPr>
      </w:pPr>
    </w:p>
    <w:p w14:paraId="4B2C2179" w14:textId="77777777" w:rsidR="009157E3" w:rsidRPr="00CA71FB" w:rsidRDefault="009157E3" w:rsidP="009157E3">
      <w:pPr>
        <w:spacing w:after="0" w:line="240" w:lineRule="auto"/>
        <w:rPr>
          <w:rFonts w:ascii="Arial" w:eastAsia="Calibri" w:hAnsi="Arial" w:cs="Arial"/>
          <w:lang w:val="es-ES_tradnl"/>
        </w:rPr>
      </w:pPr>
    </w:p>
    <w:p w14:paraId="770CFA11" w14:textId="77777777" w:rsidR="009157E3" w:rsidRPr="00CA71FB" w:rsidRDefault="009157E3" w:rsidP="009157E3">
      <w:pPr>
        <w:spacing w:after="0" w:line="240" w:lineRule="auto"/>
        <w:rPr>
          <w:rFonts w:ascii="Arial" w:eastAsia="Calibri" w:hAnsi="Arial" w:cs="Arial"/>
          <w:lang w:val="es-ES_tradnl"/>
        </w:rPr>
      </w:pPr>
    </w:p>
    <w:p w14:paraId="47E25995" w14:textId="77777777" w:rsidR="009157E3" w:rsidRPr="00CA71FB" w:rsidRDefault="009157E3" w:rsidP="009157E3">
      <w:pPr>
        <w:spacing w:after="0" w:line="240" w:lineRule="auto"/>
        <w:rPr>
          <w:rFonts w:ascii="Arial" w:eastAsia="Calibri" w:hAnsi="Arial" w:cs="Arial"/>
          <w:lang w:val="es-ES_tradnl"/>
        </w:rPr>
      </w:pPr>
    </w:p>
    <w:p w14:paraId="51938943" w14:textId="77777777" w:rsidR="009157E3" w:rsidRPr="00CA71FB" w:rsidRDefault="009157E3" w:rsidP="009157E3">
      <w:pPr>
        <w:spacing w:after="0" w:line="240" w:lineRule="auto"/>
        <w:rPr>
          <w:rFonts w:ascii="Arial" w:eastAsia="Calibri" w:hAnsi="Arial" w:cs="Arial"/>
          <w:lang w:val="es-ES_tradnl"/>
        </w:rPr>
      </w:pPr>
    </w:p>
    <w:p w14:paraId="2405AAE7" w14:textId="77777777" w:rsidR="009157E3" w:rsidRPr="00CA71FB" w:rsidRDefault="009157E3" w:rsidP="009157E3">
      <w:pPr>
        <w:spacing w:after="0" w:line="240" w:lineRule="auto"/>
        <w:rPr>
          <w:rFonts w:ascii="Arial" w:eastAsia="Calibri" w:hAnsi="Arial" w:cs="Arial"/>
          <w:lang w:val="es-ES_tradnl"/>
        </w:rPr>
      </w:pPr>
    </w:p>
    <w:p w14:paraId="087A3869" w14:textId="77777777" w:rsidR="009157E3" w:rsidRPr="00CA71FB" w:rsidRDefault="009157E3" w:rsidP="009157E3">
      <w:pPr>
        <w:spacing w:after="0" w:line="240" w:lineRule="auto"/>
        <w:rPr>
          <w:rFonts w:ascii="Arial" w:eastAsia="Calibri" w:hAnsi="Arial" w:cs="Arial"/>
          <w:lang w:val="es-ES_tradnl"/>
        </w:rPr>
      </w:pPr>
    </w:p>
    <w:p w14:paraId="53D2DB7A" w14:textId="77777777" w:rsidR="009157E3" w:rsidRPr="00CA71FB" w:rsidRDefault="009157E3" w:rsidP="009157E3">
      <w:pPr>
        <w:spacing w:after="0" w:line="240" w:lineRule="auto"/>
        <w:rPr>
          <w:rFonts w:ascii="Arial" w:eastAsia="Calibri" w:hAnsi="Arial" w:cs="Arial"/>
          <w:lang w:val="es-ES_tradnl"/>
        </w:rPr>
      </w:pPr>
    </w:p>
    <w:p w14:paraId="5B3AAE29" w14:textId="77777777" w:rsidR="009157E3" w:rsidRPr="00CA71FB" w:rsidRDefault="009157E3" w:rsidP="009157E3">
      <w:pPr>
        <w:spacing w:after="0" w:line="240" w:lineRule="auto"/>
        <w:rPr>
          <w:rFonts w:ascii="Arial" w:eastAsia="Calibri" w:hAnsi="Arial" w:cs="Arial"/>
          <w:lang w:val="es-ES_tradnl"/>
        </w:rPr>
      </w:pPr>
    </w:p>
    <w:p w14:paraId="753848BD" w14:textId="77777777" w:rsidR="009157E3" w:rsidRPr="00CA71FB" w:rsidRDefault="009157E3" w:rsidP="009157E3">
      <w:pPr>
        <w:spacing w:after="0" w:line="240" w:lineRule="auto"/>
        <w:rPr>
          <w:rFonts w:ascii="Arial" w:eastAsia="Calibri" w:hAnsi="Arial" w:cs="Arial"/>
          <w:lang w:val="es-ES_tradnl"/>
        </w:rPr>
      </w:pPr>
    </w:p>
    <w:p w14:paraId="0B4B5F71" w14:textId="77777777" w:rsidR="009157E3" w:rsidRPr="00CA71FB" w:rsidRDefault="009157E3" w:rsidP="009157E3">
      <w:pPr>
        <w:spacing w:after="0" w:line="240" w:lineRule="auto"/>
        <w:rPr>
          <w:rFonts w:ascii="Arial" w:eastAsia="Calibri" w:hAnsi="Arial" w:cs="Arial"/>
          <w:lang w:val="es-ES_tradnl"/>
        </w:rPr>
      </w:pPr>
    </w:p>
    <w:p w14:paraId="6599315D" w14:textId="77777777" w:rsidR="009157E3" w:rsidRPr="00CA71FB" w:rsidRDefault="009157E3" w:rsidP="009157E3">
      <w:pPr>
        <w:spacing w:after="0" w:line="240" w:lineRule="auto"/>
        <w:rPr>
          <w:rFonts w:ascii="Arial" w:eastAsia="Calibri" w:hAnsi="Arial" w:cs="Arial"/>
          <w:lang w:val="es-ES_tradnl"/>
        </w:rPr>
      </w:pPr>
    </w:p>
    <w:p w14:paraId="4107A948" w14:textId="77777777" w:rsidR="009157E3" w:rsidRPr="00CA71FB" w:rsidRDefault="009157E3" w:rsidP="009157E3">
      <w:pPr>
        <w:spacing w:after="0" w:line="240" w:lineRule="auto"/>
        <w:rPr>
          <w:rFonts w:ascii="Arial" w:eastAsia="Calibri" w:hAnsi="Arial" w:cs="Arial"/>
          <w:lang w:val="es-ES_tradnl"/>
        </w:rPr>
      </w:pPr>
    </w:p>
    <w:p w14:paraId="5DF60998" w14:textId="77777777" w:rsidR="009157E3" w:rsidRPr="00CA71FB" w:rsidRDefault="009157E3" w:rsidP="009157E3">
      <w:pPr>
        <w:spacing w:after="0" w:line="240" w:lineRule="auto"/>
        <w:rPr>
          <w:rFonts w:ascii="Arial" w:eastAsia="Calibri" w:hAnsi="Arial" w:cs="Arial"/>
          <w:lang w:val="es-ES_tradnl"/>
        </w:rPr>
      </w:pPr>
    </w:p>
    <w:p w14:paraId="42DAEF46" w14:textId="77777777" w:rsidR="009157E3" w:rsidRPr="00CA71FB" w:rsidRDefault="009157E3" w:rsidP="009157E3">
      <w:pPr>
        <w:spacing w:after="0" w:line="240" w:lineRule="auto"/>
        <w:rPr>
          <w:rFonts w:ascii="Arial" w:eastAsia="Calibri" w:hAnsi="Arial" w:cs="Arial"/>
          <w:lang w:val="es-ES_tradnl"/>
        </w:rPr>
      </w:pPr>
    </w:p>
    <w:p w14:paraId="641A2F36" w14:textId="77777777" w:rsidR="009157E3" w:rsidRPr="00CA71FB" w:rsidRDefault="009157E3" w:rsidP="009157E3">
      <w:pPr>
        <w:spacing w:after="0" w:line="240" w:lineRule="auto"/>
        <w:rPr>
          <w:rFonts w:ascii="Arial" w:eastAsia="Calibri" w:hAnsi="Arial" w:cs="Arial"/>
          <w:lang w:val="es-ES_tradnl"/>
        </w:rPr>
      </w:pPr>
    </w:p>
    <w:p w14:paraId="5B922234" w14:textId="77777777" w:rsidR="009157E3" w:rsidRPr="00CA71FB" w:rsidRDefault="009157E3" w:rsidP="009157E3">
      <w:pPr>
        <w:spacing w:after="0" w:line="240" w:lineRule="auto"/>
        <w:rPr>
          <w:rFonts w:ascii="Arial" w:eastAsia="Calibri" w:hAnsi="Arial" w:cs="Arial"/>
          <w:lang w:val="es-ES_tradnl"/>
        </w:rPr>
      </w:pPr>
    </w:p>
    <w:p w14:paraId="1036FAD6" w14:textId="77777777" w:rsidR="009157E3" w:rsidRPr="00CA71FB" w:rsidRDefault="009157E3" w:rsidP="009157E3">
      <w:pPr>
        <w:spacing w:after="0" w:line="240" w:lineRule="auto"/>
        <w:rPr>
          <w:rFonts w:ascii="Arial" w:eastAsia="Calibri" w:hAnsi="Arial" w:cs="Arial"/>
          <w:lang w:val="es-ES_tradnl"/>
        </w:rPr>
      </w:pPr>
    </w:p>
    <w:p w14:paraId="2841A455" w14:textId="77777777" w:rsidR="009157E3" w:rsidRPr="00CA71FB" w:rsidRDefault="009157E3" w:rsidP="009157E3">
      <w:pPr>
        <w:spacing w:after="0" w:line="240" w:lineRule="auto"/>
        <w:rPr>
          <w:rFonts w:ascii="Arial" w:eastAsia="Calibri" w:hAnsi="Arial" w:cs="Arial"/>
          <w:lang w:val="es-ES_tradnl"/>
        </w:rPr>
      </w:pPr>
    </w:p>
    <w:p w14:paraId="794A1A61" w14:textId="77777777" w:rsidR="009157E3" w:rsidRPr="00CA71FB" w:rsidRDefault="009157E3" w:rsidP="009157E3">
      <w:pPr>
        <w:spacing w:after="0" w:line="240" w:lineRule="auto"/>
        <w:rPr>
          <w:rFonts w:ascii="Arial" w:eastAsia="Calibri" w:hAnsi="Arial" w:cs="Arial"/>
          <w:lang w:val="es-ES_tradnl"/>
        </w:rPr>
      </w:pPr>
    </w:p>
    <w:p w14:paraId="2AE302B6" w14:textId="77777777" w:rsidR="009157E3" w:rsidRDefault="009157E3" w:rsidP="009157E3">
      <w:pPr>
        <w:spacing w:after="0" w:line="240" w:lineRule="auto"/>
        <w:rPr>
          <w:rFonts w:ascii="Arial" w:eastAsia="Calibri" w:hAnsi="Arial" w:cs="Arial"/>
          <w:lang w:val="es-ES_tradnl"/>
        </w:rPr>
      </w:pPr>
    </w:p>
    <w:p w14:paraId="61EBC32D" w14:textId="77777777" w:rsidR="009157E3" w:rsidRDefault="009157E3" w:rsidP="009157E3">
      <w:pPr>
        <w:spacing w:after="0" w:line="240" w:lineRule="auto"/>
        <w:rPr>
          <w:rFonts w:ascii="Arial" w:eastAsia="Calibri" w:hAnsi="Arial" w:cs="Arial"/>
          <w:lang w:val="es-ES_tradnl"/>
        </w:rPr>
      </w:pPr>
    </w:p>
    <w:p w14:paraId="2CAB84FE" w14:textId="77777777" w:rsidR="009157E3" w:rsidRDefault="009157E3" w:rsidP="009157E3">
      <w:pPr>
        <w:spacing w:after="0" w:line="240" w:lineRule="auto"/>
        <w:rPr>
          <w:rFonts w:ascii="Arial" w:eastAsia="Calibri" w:hAnsi="Arial" w:cs="Arial"/>
          <w:lang w:val="es-ES_tradnl"/>
        </w:rPr>
      </w:pPr>
    </w:p>
    <w:p w14:paraId="4B19D07A" w14:textId="77777777" w:rsidR="009157E3" w:rsidRDefault="009157E3" w:rsidP="009157E3">
      <w:pPr>
        <w:spacing w:after="0" w:line="240" w:lineRule="auto"/>
        <w:rPr>
          <w:rFonts w:ascii="Arial" w:eastAsia="Calibri" w:hAnsi="Arial" w:cs="Arial"/>
          <w:lang w:val="es-ES_tradnl"/>
        </w:rPr>
      </w:pPr>
    </w:p>
    <w:p w14:paraId="385FA7BF" w14:textId="77777777" w:rsidR="009157E3" w:rsidRPr="00CA71FB" w:rsidRDefault="009157E3" w:rsidP="009157E3">
      <w:pPr>
        <w:spacing w:after="0" w:line="240" w:lineRule="auto"/>
        <w:rPr>
          <w:rFonts w:ascii="Arial" w:eastAsia="Calibri" w:hAnsi="Arial" w:cs="Arial"/>
          <w:lang w:val="es-ES_tradnl"/>
        </w:rPr>
      </w:pPr>
    </w:p>
    <w:p w14:paraId="48B3128B" w14:textId="77777777" w:rsidR="009157E3" w:rsidRPr="00CA71FB" w:rsidRDefault="009157E3" w:rsidP="009157E3">
      <w:pPr>
        <w:spacing w:after="0" w:line="240" w:lineRule="auto"/>
        <w:rPr>
          <w:rFonts w:ascii="Arial" w:eastAsia="Calibri" w:hAnsi="Arial" w:cs="Arial"/>
          <w:lang w:val="es-ES_tradnl"/>
        </w:rPr>
      </w:pPr>
    </w:p>
    <w:p w14:paraId="18DB3544" w14:textId="77777777" w:rsidR="009157E3" w:rsidRDefault="009157E3" w:rsidP="009157E3">
      <w:pPr>
        <w:spacing w:after="0"/>
        <w:rPr>
          <w:rFonts w:ascii="Geomanist Light" w:eastAsia="Geomanist Light" w:hAnsi="Geomanist Light" w:cs="Geomanist Light"/>
          <w:color w:val="000000" w:themeColor="text1"/>
          <w:lang w:val="es-MX"/>
        </w:rPr>
      </w:pPr>
    </w:p>
    <w:p w14:paraId="0EAF09E3" w14:textId="77777777" w:rsidR="00C62AB5" w:rsidRDefault="00C62AB5" w:rsidP="009157E3">
      <w:pPr>
        <w:spacing w:after="0"/>
        <w:rPr>
          <w:rFonts w:ascii="Geomanist Light" w:eastAsia="Geomanist Light" w:hAnsi="Geomanist Light" w:cs="Geomanist Light"/>
          <w:color w:val="000000" w:themeColor="text1"/>
          <w:lang w:val="es-MX"/>
        </w:rPr>
      </w:pPr>
    </w:p>
    <w:p w14:paraId="6132E90F" w14:textId="77777777" w:rsidR="00C62AB5" w:rsidRDefault="00C62AB5" w:rsidP="009157E3">
      <w:pPr>
        <w:spacing w:after="0"/>
        <w:rPr>
          <w:rFonts w:ascii="Geomanist Light" w:eastAsia="Geomanist Light" w:hAnsi="Geomanist Light" w:cs="Geomanist Light"/>
          <w:color w:val="000000" w:themeColor="text1"/>
          <w:lang w:val="es-MX"/>
        </w:rPr>
      </w:pPr>
    </w:p>
    <w:p w14:paraId="6E10CE7B" w14:textId="77777777" w:rsidR="00C62AB5" w:rsidRDefault="00C62AB5" w:rsidP="009157E3">
      <w:pPr>
        <w:spacing w:after="0"/>
        <w:rPr>
          <w:rFonts w:ascii="Geomanist Light" w:eastAsia="Geomanist Light" w:hAnsi="Geomanist Light" w:cs="Geomanist Light"/>
          <w:color w:val="000000" w:themeColor="text1"/>
          <w:lang w:val="es-MX"/>
        </w:rPr>
      </w:pPr>
    </w:p>
    <w:p w14:paraId="2C973238" w14:textId="5234084E" w:rsidR="009157E3" w:rsidRPr="007566FE" w:rsidRDefault="009157E3" w:rsidP="009157E3">
      <w:pPr>
        <w:spacing w:after="0"/>
        <w:rPr>
          <w:rFonts w:ascii="Geomanist Light" w:eastAsia="Geomanist Light" w:hAnsi="Geomanist Light" w:cs="Geomanist Light"/>
          <w:color w:val="201F1E"/>
          <w:lang w:val="es-MX"/>
        </w:rPr>
      </w:pPr>
      <w:r w:rsidRPr="6B8BD3AC">
        <w:rPr>
          <w:rFonts w:ascii="Geomanist Light" w:eastAsia="Geomanist Light" w:hAnsi="Geomanist Light" w:cs="Geomanist Light"/>
          <w:color w:val="000000" w:themeColor="text1"/>
          <w:lang w:val="es-MX"/>
        </w:rPr>
        <w:t>Bogotá D.C.,</w:t>
      </w:r>
      <w:r w:rsidR="00C62AB5">
        <w:rPr>
          <w:rFonts w:ascii="Geomanist Light" w:eastAsia="Geomanist Light" w:hAnsi="Geomanist Light" w:cs="Geomanist Light"/>
          <w:color w:val="000000" w:themeColor="text1"/>
          <w:lang w:val="es-MX"/>
        </w:rPr>
        <w:t>18 de Abril del 2023</w:t>
      </w:r>
    </w:p>
    <w:p w14:paraId="3F6E50E1" w14:textId="77777777" w:rsidR="009157E3" w:rsidRPr="00CA71FB" w:rsidRDefault="009157E3" w:rsidP="009157E3">
      <w:pPr>
        <w:spacing w:after="0" w:line="240" w:lineRule="auto"/>
        <w:rPr>
          <w:rFonts w:ascii="Arial" w:eastAsia="Calibri" w:hAnsi="Arial" w:cs="Arial"/>
          <w:lang w:val="es-ES_tradnl"/>
        </w:rPr>
      </w:pPr>
    </w:p>
    <w:p w14:paraId="0621ACF8" w14:textId="59B1EE92" w:rsidR="009157E3" w:rsidRPr="00CA71FB" w:rsidRDefault="00F50D3F" w:rsidP="00F50D3F">
      <w:pPr>
        <w:spacing w:after="0" w:line="240" w:lineRule="auto"/>
        <w:jc w:val="right"/>
        <w:rPr>
          <w:rFonts w:ascii="Arial" w:eastAsia="Calibri" w:hAnsi="Arial" w:cs="Arial"/>
          <w:lang w:val="es-ES_tradnl"/>
        </w:rPr>
      </w:pPr>
      <w:r>
        <w:rPr>
          <w:noProof/>
          <w14:ligatures w14:val="standardContextual"/>
        </w:rPr>
        <w:drawing>
          <wp:inline distT="0" distB="0" distL="0" distR="0" wp14:anchorId="1A1A36F3" wp14:editId="5D2F5493">
            <wp:extent cx="2476500" cy="714375"/>
            <wp:effectExtent l="0" t="0" r="0" b="9525"/>
            <wp:docPr id="117053695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36950" name="Imagen 1" descr="Texto&#10;&#10;Descripción generada automáticamente"/>
                    <pic:cNvPicPr/>
                  </pic:nvPicPr>
                  <pic:blipFill>
                    <a:blip r:embed="rId9"/>
                    <a:stretch>
                      <a:fillRect/>
                    </a:stretch>
                  </pic:blipFill>
                  <pic:spPr>
                    <a:xfrm>
                      <a:off x="0" y="0"/>
                      <a:ext cx="2476500" cy="714375"/>
                    </a:xfrm>
                    <a:prstGeom prst="rect">
                      <a:avLst/>
                    </a:prstGeom>
                  </pic:spPr>
                </pic:pic>
              </a:graphicData>
            </a:graphic>
          </wp:inline>
        </w:drawing>
      </w:r>
    </w:p>
    <w:p w14:paraId="54F568C7" w14:textId="77777777" w:rsidR="009157E3" w:rsidRPr="00CA71FB" w:rsidRDefault="009157E3" w:rsidP="009157E3">
      <w:pPr>
        <w:spacing w:after="0" w:line="240" w:lineRule="auto"/>
        <w:rPr>
          <w:rFonts w:ascii="Arial" w:eastAsia="Calibri" w:hAnsi="Arial" w:cs="Arial"/>
          <w:lang w:val="es-ES_tradnl"/>
        </w:rPr>
      </w:pPr>
      <w:r w:rsidRPr="00CA71FB">
        <w:rPr>
          <w:rFonts w:ascii="Arial" w:eastAsia="Calibri" w:hAnsi="Arial" w:cs="Arial"/>
          <w:lang w:val="es-ES_tradnl"/>
        </w:rPr>
        <w:t>Señora</w:t>
      </w:r>
    </w:p>
    <w:p w14:paraId="65C18D75" w14:textId="77777777" w:rsidR="009157E3" w:rsidRPr="00CA71FB" w:rsidRDefault="009157E3" w:rsidP="009157E3">
      <w:pPr>
        <w:spacing w:after="0" w:line="240" w:lineRule="auto"/>
        <w:rPr>
          <w:rFonts w:ascii="Arial" w:eastAsia="Calibri" w:hAnsi="Arial" w:cs="Arial"/>
          <w:b/>
          <w:lang w:val="es-ES_tradnl"/>
        </w:rPr>
      </w:pPr>
      <w:r w:rsidRPr="00CA71FB">
        <w:rPr>
          <w:rFonts w:ascii="Arial" w:eastAsia="Calibri" w:hAnsi="Arial" w:cs="Arial"/>
          <w:b/>
          <w:lang w:val="es-ES_tradnl"/>
        </w:rPr>
        <w:t>Esperanza Leguizamo Plata</w:t>
      </w:r>
    </w:p>
    <w:p w14:paraId="4D5CA250" w14:textId="77777777" w:rsidR="009157E3" w:rsidRPr="00CA71FB" w:rsidRDefault="004A49F2" w:rsidP="009157E3">
      <w:pPr>
        <w:spacing w:after="0" w:line="240" w:lineRule="auto"/>
        <w:rPr>
          <w:rFonts w:ascii="Arial" w:eastAsia="Calibri" w:hAnsi="Arial" w:cs="Arial"/>
          <w:noProof/>
          <w:color w:val="0070C0"/>
          <w:lang w:val="es-ES_tradnl"/>
        </w:rPr>
      </w:pPr>
      <w:hyperlink r:id="rId10" w:history="1">
        <w:r w:rsidR="009157E3" w:rsidRPr="00CA71FB">
          <w:rPr>
            <w:rFonts w:ascii="Arial" w:eastAsia="Calibri" w:hAnsi="Arial" w:cs="Arial"/>
            <w:noProof/>
            <w:color w:val="0070C0"/>
            <w:lang w:val="es-ES_tradnl"/>
          </w:rPr>
          <w:t>esperanza.leguizamo@contraloria.gov.co</w:t>
        </w:r>
      </w:hyperlink>
    </w:p>
    <w:p w14:paraId="75CBA49C" w14:textId="77777777" w:rsidR="009157E3" w:rsidRPr="00CA71FB" w:rsidRDefault="009157E3" w:rsidP="009157E3">
      <w:pPr>
        <w:spacing w:after="0" w:line="240" w:lineRule="auto"/>
        <w:rPr>
          <w:rFonts w:ascii="Arial" w:eastAsia="Calibri" w:hAnsi="Arial" w:cs="Arial"/>
          <w:lang w:val="es-ES_tradnl"/>
        </w:rPr>
      </w:pPr>
      <w:r w:rsidRPr="00CA71FB">
        <w:rPr>
          <w:rFonts w:ascii="Arial" w:eastAsia="Calibri" w:hAnsi="Arial" w:cs="Arial"/>
          <w:noProof/>
          <w:color w:val="000000"/>
          <w:lang w:val="es-ES_tradnl"/>
        </w:rPr>
        <w:t>Bucaramanga, Santander</w:t>
      </w:r>
    </w:p>
    <w:p w14:paraId="2076F4CD" w14:textId="77777777" w:rsidR="009157E3" w:rsidRPr="00CA71FB" w:rsidRDefault="009157E3" w:rsidP="009157E3">
      <w:pPr>
        <w:spacing w:after="0" w:line="240" w:lineRule="auto"/>
        <w:rPr>
          <w:rFonts w:ascii="Arial" w:eastAsia="Calibri" w:hAnsi="Arial" w:cs="Arial"/>
          <w:lang w:val="es-ES_tradnl"/>
        </w:rPr>
      </w:pPr>
    </w:p>
    <w:p w14:paraId="0E9A2754" w14:textId="77777777" w:rsidR="009157E3" w:rsidRPr="00CA71FB" w:rsidRDefault="009157E3" w:rsidP="009157E3">
      <w:pPr>
        <w:spacing w:after="0" w:line="240" w:lineRule="auto"/>
        <w:rPr>
          <w:rFonts w:ascii="Arial" w:eastAsia="Calibri" w:hAnsi="Arial" w:cs="Arial"/>
          <w:lang w:val="es-ES_tradnl"/>
        </w:rPr>
      </w:pPr>
    </w:p>
    <w:p w14:paraId="4AE38699" w14:textId="77777777" w:rsidR="009157E3" w:rsidRPr="00CA71FB" w:rsidRDefault="009157E3" w:rsidP="009157E3">
      <w:pPr>
        <w:spacing w:after="0" w:line="240" w:lineRule="auto"/>
        <w:rPr>
          <w:rFonts w:ascii="Arial" w:eastAsia="Calibri" w:hAnsi="Arial" w:cs="Arial"/>
          <w:b/>
          <w:lang w:val="es-ES_tradnl"/>
        </w:rPr>
      </w:pPr>
      <w:r w:rsidRPr="00CA71FB">
        <w:rPr>
          <w:rFonts w:ascii="Arial" w:eastAsia="Calibri" w:hAnsi="Arial" w:cs="Arial"/>
          <w:b/>
          <w:lang w:val="es-ES_tradnl"/>
        </w:rPr>
        <w:t xml:space="preserve">                                            </w:t>
      </w:r>
      <w:r w:rsidRPr="00CA71FB">
        <w:rPr>
          <w:rFonts w:ascii="Arial" w:eastAsia="Calibri" w:hAnsi="Arial" w:cs="Arial"/>
          <w:b/>
          <w:lang w:val="es-ES_tradnl"/>
        </w:rPr>
        <w:tab/>
        <w:t>Concepto C-062 de 2023</w:t>
      </w:r>
    </w:p>
    <w:p w14:paraId="15AF878E" w14:textId="77777777" w:rsidR="009157E3" w:rsidRPr="00CA71FB" w:rsidRDefault="009157E3" w:rsidP="009157E3">
      <w:pPr>
        <w:spacing w:after="0" w:line="240" w:lineRule="auto"/>
        <w:rPr>
          <w:rFonts w:ascii="Arial" w:eastAsia="Calibri" w:hAnsi="Arial" w:cs="Arial"/>
          <w:b/>
          <w:lang w:val="es-ES_tradnl"/>
        </w:rPr>
      </w:pPr>
    </w:p>
    <w:p w14:paraId="09F0229D" w14:textId="77777777" w:rsidR="009157E3" w:rsidRPr="00CA71FB" w:rsidRDefault="009157E3" w:rsidP="009157E3">
      <w:pPr>
        <w:spacing w:after="0" w:line="240" w:lineRule="auto"/>
        <w:rPr>
          <w:rFonts w:ascii="Arial" w:eastAsia="Calibri" w:hAnsi="Arial" w:cs="Arial"/>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157E3" w:rsidRPr="00CA71FB" w14:paraId="0AD6D84C" w14:textId="77777777" w:rsidTr="0062443E">
        <w:tc>
          <w:tcPr>
            <w:tcW w:w="2689" w:type="dxa"/>
            <w:hideMark/>
          </w:tcPr>
          <w:p w14:paraId="5C6C9436" w14:textId="77777777" w:rsidR="009157E3" w:rsidRPr="00CA71FB" w:rsidRDefault="009157E3" w:rsidP="0062443E">
            <w:pPr>
              <w:rPr>
                <w:rFonts w:ascii="Arial" w:eastAsia="Calibri" w:hAnsi="Arial" w:cs="Arial"/>
                <w:lang w:val="es-ES_tradnl"/>
              </w:rPr>
            </w:pPr>
            <w:r w:rsidRPr="00CA71FB">
              <w:rPr>
                <w:rFonts w:ascii="Arial" w:eastAsia="Calibri" w:hAnsi="Arial" w:cs="Arial"/>
                <w:b/>
                <w:lang w:val="es-ES_tradnl"/>
              </w:rPr>
              <w:t>Temas:</w:t>
            </w:r>
            <w:r w:rsidRPr="00CA71FB">
              <w:rPr>
                <w:rFonts w:ascii="Arial" w:eastAsia="Calibri" w:hAnsi="Arial" w:cs="Arial"/>
                <w:lang w:val="es-ES_tradnl"/>
              </w:rPr>
              <w:t xml:space="preserve">           </w:t>
            </w:r>
          </w:p>
          <w:p w14:paraId="4C7EB7C7" w14:textId="77777777" w:rsidR="009157E3" w:rsidRPr="00CA71FB" w:rsidRDefault="009157E3" w:rsidP="0062443E">
            <w:pPr>
              <w:rPr>
                <w:rFonts w:ascii="Arial" w:eastAsia="Calibri" w:hAnsi="Arial" w:cs="Arial"/>
                <w:lang w:val="es-ES_tradnl"/>
              </w:rPr>
            </w:pPr>
            <w:r w:rsidRPr="00CA71FB">
              <w:rPr>
                <w:rFonts w:ascii="Arial" w:eastAsia="Calibri" w:hAnsi="Arial" w:cs="Arial"/>
                <w:lang w:val="es-ES_tradnl"/>
              </w:rPr>
              <w:t xml:space="preserve">                           </w:t>
            </w:r>
          </w:p>
        </w:tc>
        <w:tc>
          <w:tcPr>
            <w:tcW w:w="6237" w:type="dxa"/>
            <w:hideMark/>
          </w:tcPr>
          <w:p w14:paraId="345D372B" w14:textId="77777777" w:rsidR="009157E3" w:rsidRPr="00CA71FB" w:rsidRDefault="009157E3" w:rsidP="0062443E">
            <w:pPr>
              <w:jc w:val="both"/>
              <w:rPr>
                <w:rFonts w:ascii="Arial" w:eastAsia="Calibri" w:hAnsi="Arial" w:cs="Arial"/>
                <w:bCs/>
                <w:color w:val="000000"/>
                <w:lang w:val="es-ES_tradnl"/>
              </w:rPr>
            </w:pPr>
            <w:r w:rsidRPr="00CA71FB">
              <w:rPr>
                <w:rFonts w:ascii="Arial" w:eastAsia="Calibri" w:hAnsi="Arial" w:cs="Arial"/>
                <w:bCs/>
                <w:color w:val="000000"/>
                <w:lang w:val="es-ES_tradnl"/>
              </w:rPr>
              <w:t xml:space="preserve">CAJAS DE COMPENSACIÓN FAMILIAR – Naturaleza jurídica – Función social / PLAN ANUAL DE ADQUISICIONES – Noción – Obligatoriedad de elaboración – Sujetos obligados / PUBLICACIÓN EN SECOP – Principio de publicidad – Principio de transparencia / PUBLICACIÓN EN SECOP – Sujetos obligados </w:t>
            </w:r>
          </w:p>
          <w:p w14:paraId="771A3958" w14:textId="77777777" w:rsidR="009157E3" w:rsidRPr="00CA71FB" w:rsidRDefault="009157E3" w:rsidP="0062443E">
            <w:pPr>
              <w:jc w:val="both"/>
              <w:rPr>
                <w:rFonts w:ascii="Arial" w:eastAsia="Calibri" w:hAnsi="Arial" w:cs="Arial"/>
                <w:bCs/>
                <w:color w:val="000000"/>
                <w:lang w:val="es-ES_tradnl"/>
              </w:rPr>
            </w:pPr>
          </w:p>
          <w:p w14:paraId="4416E52C" w14:textId="77777777" w:rsidR="009157E3" w:rsidRPr="00CA71FB" w:rsidRDefault="009157E3" w:rsidP="0062443E">
            <w:pPr>
              <w:jc w:val="both"/>
              <w:rPr>
                <w:rFonts w:ascii="Arial" w:eastAsia="Calibri" w:hAnsi="Arial" w:cs="Arial"/>
                <w:bCs/>
                <w:color w:val="000000"/>
                <w:lang w:val="es-ES_tradnl"/>
              </w:rPr>
            </w:pPr>
          </w:p>
          <w:p w14:paraId="3D629ABB" w14:textId="77777777" w:rsidR="009157E3" w:rsidRPr="00CA71FB" w:rsidRDefault="009157E3" w:rsidP="0062443E">
            <w:pPr>
              <w:jc w:val="both"/>
              <w:rPr>
                <w:rFonts w:ascii="Arial" w:eastAsia="Calibri" w:hAnsi="Arial" w:cs="Arial"/>
              </w:rPr>
            </w:pPr>
          </w:p>
        </w:tc>
      </w:tr>
      <w:tr w:rsidR="009157E3" w:rsidRPr="00CA71FB" w14:paraId="2D63461C" w14:textId="77777777" w:rsidTr="0062443E">
        <w:trPr>
          <w:trHeight w:val="239"/>
        </w:trPr>
        <w:tc>
          <w:tcPr>
            <w:tcW w:w="2689" w:type="dxa"/>
          </w:tcPr>
          <w:p w14:paraId="6F347F59" w14:textId="77777777" w:rsidR="009157E3" w:rsidRPr="00CA71FB" w:rsidRDefault="009157E3" w:rsidP="0062443E">
            <w:pPr>
              <w:rPr>
                <w:rFonts w:ascii="Arial" w:eastAsia="Calibri" w:hAnsi="Arial" w:cs="Arial"/>
                <w:b/>
                <w:lang w:val="es-ES_tradnl"/>
              </w:rPr>
            </w:pPr>
            <w:r w:rsidRPr="00CA71FB">
              <w:rPr>
                <w:rFonts w:ascii="Arial" w:eastAsia="Calibri" w:hAnsi="Arial" w:cs="Arial"/>
                <w:b/>
                <w:lang w:val="es-ES_tradnl"/>
              </w:rPr>
              <w:t>Radicación:</w:t>
            </w:r>
            <w:r w:rsidRPr="00CA71FB">
              <w:rPr>
                <w:rFonts w:ascii="Arial" w:eastAsia="Calibri" w:hAnsi="Arial" w:cs="Arial"/>
                <w:lang w:val="es-ES_tradnl"/>
              </w:rPr>
              <w:t xml:space="preserve">                              </w:t>
            </w:r>
          </w:p>
        </w:tc>
        <w:tc>
          <w:tcPr>
            <w:tcW w:w="6237" w:type="dxa"/>
          </w:tcPr>
          <w:p w14:paraId="4C066BD2" w14:textId="77777777" w:rsidR="009157E3" w:rsidRPr="00CA71FB" w:rsidRDefault="009157E3" w:rsidP="0062443E">
            <w:pPr>
              <w:jc w:val="both"/>
              <w:rPr>
                <w:rFonts w:ascii="Arial" w:eastAsia="Calibri" w:hAnsi="Arial" w:cs="Arial"/>
                <w:lang w:val="es-ES"/>
              </w:rPr>
            </w:pPr>
            <w:r w:rsidRPr="00CA71FB">
              <w:rPr>
                <w:rFonts w:ascii="Arial" w:eastAsia="Calibri" w:hAnsi="Arial" w:cs="Arial"/>
                <w:lang w:val="es-ES"/>
              </w:rPr>
              <w:t>Respuesta a consulta No. P20230302001954</w:t>
            </w:r>
            <w:r w:rsidRPr="00CA71FB">
              <w:rPr>
                <w:rFonts w:ascii="Arial" w:eastAsia="Calibri" w:hAnsi="Arial" w:cs="Arial"/>
              </w:rPr>
              <w:tab/>
            </w:r>
          </w:p>
        </w:tc>
      </w:tr>
    </w:tbl>
    <w:p w14:paraId="54856C73" w14:textId="77777777" w:rsidR="009157E3" w:rsidRPr="00CA71FB" w:rsidRDefault="009157E3" w:rsidP="009157E3">
      <w:pPr>
        <w:spacing w:after="0" w:line="240" w:lineRule="auto"/>
        <w:contextualSpacing/>
        <w:jc w:val="both"/>
        <w:rPr>
          <w:rFonts w:ascii="Arial" w:eastAsia="Calibri" w:hAnsi="Arial" w:cs="Arial"/>
          <w:lang w:val="es-ES_tradnl"/>
        </w:rPr>
      </w:pPr>
    </w:p>
    <w:p w14:paraId="1D9E4E2C" w14:textId="77777777" w:rsidR="009157E3" w:rsidRPr="00CA71FB" w:rsidRDefault="009157E3" w:rsidP="009157E3">
      <w:pPr>
        <w:spacing w:after="0" w:line="240" w:lineRule="auto"/>
        <w:contextualSpacing/>
        <w:rPr>
          <w:rFonts w:ascii="Arial" w:eastAsia="Calibri" w:hAnsi="Arial" w:cs="Arial"/>
          <w:lang w:val="es-ES_tradnl"/>
        </w:rPr>
      </w:pPr>
    </w:p>
    <w:p w14:paraId="5D29B205" w14:textId="77777777" w:rsidR="009157E3" w:rsidRPr="00CA71FB" w:rsidRDefault="009157E3" w:rsidP="009157E3">
      <w:pPr>
        <w:spacing w:after="0" w:line="276" w:lineRule="auto"/>
        <w:contextualSpacing/>
        <w:rPr>
          <w:rFonts w:ascii="Arial" w:eastAsia="Calibri" w:hAnsi="Arial" w:cs="Arial"/>
          <w:lang w:val="es-ES_tradnl"/>
        </w:rPr>
      </w:pPr>
      <w:r w:rsidRPr="00CA71FB">
        <w:rPr>
          <w:rFonts w:ascii="Arial" w:eastAsia="Calibri" w:hAnsi="Arial" w:cs="Arial"/>
          <w:lang w:val="es-ES_tradnl"/>
        </w:rPr>
        <w:t>Estimada señora Leguizamo:</w:t>
      </w:r>
    </w:p>
    <w:p w14:paraId="239F40F6" w14:textId="77777777" w:rsidR="009157E3" w:rsidRPr="00CA71FB" w:rsidRDefault="009157E3" w:rsidP="009157E3">
      <w:pPr>
        <w:spacing w:after="0" w:line="240" w:lineRule="auto"/>
        <w:jc w:val="both"/>
        <w:rPr>
          <w:rFonts w:ascii="Arial" w:eastAsia="Calibri" w:hAnsi="Arial" w:cs="Arial"/>
          <w:lang w:val="es-ES_tradnl"/>
        </w:rPr>
      </w:pPr>
    </w:p>
    <w:p w14:paraId="2F8BDA5C" w14:textId="77777777" w:rsidR="009157E3" w:rsidRPr="00CA71FB" w:rsidRDefault="009157E3" w:rsidP="009157E3">
      <w:pPr>
        <w:spacing w:after="0" w:line="276" w:lineRule="auto"/>
        <w:ind w:right="51"/>
        <w:contextualSpacing/>
        <w:jc w:val="both"/>
        <w:rPr>
          <w:rFonts w:ascii="Arial" w:eastAsia="Calibri" w:hAnsi="Arial" w:cs="Arial"/>
          <w:lang w:val="es-ES_tradnl"/>
        </w:rPr>
      </w:pPr>
      <w:r w:rsidRPr="00CA71FB">
        <w:rPr>
          <w:rFonts w:ascii="Arial" w:eastAsia="Calibri" w:hAnsi="Arial" w:cs="Arial"/>
          <w:lang w:val="es-ES_tradnl"/>
        </w:rPr>
        <w:t>En ejercicio de la competencia otorgada por el numeral 8 del artículo 11 y el numeral 5 del artículo 3 del Decreto Ley 4170 de 2011</w:t>
      </w:r>
      <w:r w:rsidRPr="00CA71FB">
        <w:rPr>
          <w:rFonts w:ascii="Arial" w:eastAsia="Arial MT" w:hAnsi="Arial" w:cs="Arial"/>
          <w:lang w:val="es-ES"/>
        </w:rPr>
        <w:t>,</w:t>
      </w:r>
      <w:r w:rsidRPr="00CA71FB">
        <w:rPr>
          <w:rFonts w:ascii="Arial" w:eastAsia="Arial MT" w:hAnsi="Arial" w:cs="Arial"/>
          <w:spacing w:val="-7"/>
          <w:lang w:val="es-ES"/>
        </w:rPr>
        <w:t xml:space="preserve"> </w:t>
      </w:r>
      <w:r w:rsidRPr="00CA71FB">
        <w:rPr>
          <w:rFonts w:ascii="Arial" w:eastAsia="Arial MT" w:hAnsi="Arial" w:cs="Arial"/>
          <w:lang w:val="es-ES"/>
        </w:rPr>
        <w:t>y</w:t>
      </w:r>
      <w:r w:rsidRPr="00CA71FB">
        <w:rPr>
          <w:rFonts w:ascii="Arial" w:eastAsia="Arial MT" w:hAnsi="Arial" w:cs="Arial"/>
          <w:spacing w:val="-7"/>
          <w:lang w:val="es-ES"/>
        </w:rPr>
        <w:t xml:space="preserve"> </w:t>
      </w:r>
      <w:r w:rsidRPr="00CA71FB">
        <w:rPr>
          <w:rFonts w:ascii="Arial" w:eastAsia="Arial MT" w:hAnsi="Arial" w:cs="Arial"/>
          <w:lang w:val="es-ES"/>
        </w:rPr>
        <w:t>dentro</w:t>
      </w:r>
      <w:r w:rsidRPr="00CA71FB">
        <w:rPr>
          <w:rFonts w:ascii="Arial" w:eastAsia="Arial MT" w:hAnsi="Arial" w:cs="Arial"/>
          <w:spacing w:val="-7"/>
          <w:lang w:val="es-ES"/>
        </w:rPr>
        <w:t xml:space="preserve"> </w:t>
      </w:r>
      <w:r w:rsidRPr="00CA71FB">
        <w:rPr>
          <w:rFonts w:ascii="Arial" w:eastAsia="Arial MT" w:hAnsi="Arial" w:cs="Arial"/>
          <w:lang w:val="es-ES"/>
        </w:rPr>
        <w:t>de</w:t>
      </w:r>
      <w:r w:rsidRPr="00CA71FB">
        <w:rPr>
          <w:rFonts w:ascii="Arial" w:eastAsia="Arial MT" w:hAnsi="Arial" w:cs="Arial"/>
          <w:spacing w:val="-8"/>
          <w:lang w:val="es-ES"/>
        </w:rPr>
        <w:t xml:space="preserve"> </w:t>
      </w:r>
      <w:r w:rsidRPr="00CA71FB">
        <w:rPr>
          <w:rFonts w:ascii="Arial" w:eastAsia="Arial MT" w:hAnsi="Arial" w:cs="Arial"/>
          <w:lang w:val="es-ES"/>
        </w:rPr>
        <w:t>los</w:t>
      </w:r>
      <w:r w:rsidRPr="00CA71FB">
        <w:rPr>
          <w:rFonts w:ascii="Arial" w:eastAsia="Arial MT" w:hAnsi="Arial" w:cs="Arial"/>
          <w:spacing w:val="-7"/>
          <w:lang w:val="es-ES"/>
        </w:rPr>
        <w:t xml:space="preserve"> </w:t>
      </w:r>
      <w:r w:rsidRPr="00CA71FB">
        <w:rPr>
          <w:rFonts w:ascii="Arial" w:eastAsia="Arial MT" w:hAnsi="Arial" w:cs="Arial"/>
          <w:lang w:val="es-ES"/>
        </w:rPr>
        <w:t>términos</w:t>
      </w:r>
      <w:r w:rsidRPr="00CA71FB">
        <w:rPr>
          <w:rFonts w:ascii="Arial" w:eastAsia="Arial MT" w:hAnsi="Arial" w:cs="Arial"/>
          <w:spacing w:val="-6"/>
          <w:lang w:val="es-ES"/>
        </w:rPr>
        <w:t xml:space="preserve"> </w:t>
      </w:r>
      <w:r w:rsidRPr="00CA71FB">
        <w:rPr>
          <w:rFonts w:ascii="Arial" w:eastAsia="Arial MT" w:hAnsi="Arial" w:cs="Arial"/>
          <w:lang w:val="es-ES"/>
        </w:rPr>
        <w:t>establecidos</w:t>
      </w:r>
      <w:r w:rsidRPr="00CA71FB">
        <w:rPr>
          <w:rFonts w:ascii="Arial" w:eastAsia="Arial MT" w:hAnsi="Arial" w:cs="Arial"/>
          <w:spacing w:val="-8"/>
          <w:lang w:val="es-ES"/>
        </w:rPr>
        <w:t xml:space="preserve"> </w:t>
      </w:r>
      <w:r w:rsidRPr="00CA71FB">
        <w:rPr>
          <w:rFonts w:ascii="Arial" w:eastAsia="Arial MT" w:hAnsi="Arial" w:cs="Arial"/>
          <w:lang w:val="es-ES"/>
        </w:rPr>
        <w:t>en</w:t>
      </w:r>
      <w:r w:rsidRPr="00CA71FB">
        <w:rPr>
          <w:rFonts w:ascii="Arial" w:eastAsia="Arial MT" w:hAnsi="Arial" w:cs="Arial"/>
          <w:spacing w:val="-7"/>
          <w:lang w:val="es-ES"/>
        </w:rPr>
        <w:t xml:space="preserve"> </w:t>
      </w:r>
      <w:r w:rsidRPr="00CA71FB">
        <w:rPr>
          <w:rFonts w:ascii="Arial" w:eastAsia="Arial MT" w:hAnsi="Arial" w:cs="Arial"/>
          <w:lang w:val="es-ES"/>
        </w:rPr>
        <w:t>el artículo</w:t>
      </w:r>
      <w:r w:rsidRPr="00CA71FB">
        <w:rPr>
          <w:rFonts w:ascii="Arial" w:eastAsia="Arial MT" w:hAnsi="Arial" w:cs="Arial"/>
          <w:spacing w:val="-7"/>
          <w:lang w:val="es-ES"/>
        </w:rPr>
        <w:t xml:space="preserve"> </w:t>
      </w:r>
      <w:r w:rsidRPr="00CA71FB">
        <w:rPr>
          <w:rFonts w:ascii="Arial" w:eastAsia="Arial MT" w:hAnsi="Arial" w:cs="Arial"/>
          <w:lang w:val="es-ES"/>
        </w:rPr>
        <w:t>14</w:t>
      </w:r>
      <w:r w:rsidRPr="00CA71FB">
        <w:rPr>
          <w:rFonts w:ascii="Arial" w:eastAsia="Arial MT" w:hAnsi="Arial" w:cs="Arial"/>
          <w:spacing w:val="-6"/>
          <w:lang w:val="es-ES"/>
        </w:rPr>
        <w:t xml:space="preserve"> </w:t>
      </w:r>
      <w:r w:rsidRPr="00CA71FB">
        <w:rPr>
          <w:rFonts w:ascii="Arial" w:eastAsia="Arial MT" w:hAnsi="Arial" w:cs="Arial"/>
          <w:lang w:val="es-ES"/>
        </w:rPr>
        <w:t>de</w:t>
      </w:r>
      <w:r w:rsidRPr="00CA71FB">
        <w:rPr>
          <w:rFonts w:ascii="Arial" w:eastAsia="Arial MT" w:hAnsi="Arial" w:cs="Arial"/>
          <w:spacing w:val="-6"/>
          <w:lang w:val="es-ES"/>
        </w:rPr>
        <w:t xml:space="preserve"> </w:t>
      </w:r>
      <w:r w:rsidRPr="00CA71FB">
        <w:rPr>
          <w:rFonts w:ascii="Arial" w:eastAsia="Arial MT" w:hAnsi="Arial" w:cs="Arial"/>
          <w:lang w:val="es-ES"/>
        </w:rPr>
        <w:t>la</w:t>
      </w:r>
      <w:r w:rsidRPr="00CA71FB">
        <w:rPr>
          <w:rFonts w:ascii="Arial" w:eastAsia="Arial MT" w:hAnsi="Arial" w:cs="Arial"/>
          <w:spacing w:val="-6"/>
          <w:lang w:val="es-ES"/>
        </w:rPr>
        <w:t xml:space="preserve"> </w:t>
      </w:r>
      <w:r w:rsidRPr="00CA71FB">
        <w:rPr>
          <w:rFonts w:ascii="Arial" w:eastAsia="Arial MT" w:hAnsi="Arial" w:cs="Arial"/>
          <w:lang w:val="es-ES"/>
        </w:rPr>
        <w:t>Ley</w:t>
      </w:r>
      <w:r w:rsidRPr="00CA71FB">
        <w:rPr>
          <w:rFonts w:ascii="Arial" w:eastAsia="Arial MT" w:hAnsi="Arial" w:cs="Arial"/>
          <w:spacing w:val="-6"/>
          <w:lang w:val="es-ES"/>
        </w:rPr>
        <w:t xml:space="preserve"> </w:t>
      </w:r>
      <w:r w:rsidRPr="00CA71FB">
        <w:rPr>
          <w:rFonts w:ascii="Arial" w:eastAsia="Arial MT" w:hAnsi="Arial" w:cs="Arial"/>
          <w:lang w:val="es-ES"/>
        </w:rPr>
        <w:t>1437</w:t>
      </w:r>
      <w:r w:rsidRPr="00CA71FB">
        <w:rPr>
          <w:rFonts w:ascii="Arial" w:eastAsia="Arial MT" w:hAnsi="Arial" w:cs="Arial"/>
          <w:spacing w:val="-6"/>
          <w:lang w:val="es-ES"/>
        </w:rPr>
        <w:t xml:space="preserve"> </w:t>
      </w:r>
      <w:r w:rsidRPr="00CA71FB">
        <w:rPr>
          <w:rFonts w:ascii="Arial" w:eastAsia="Arial MT" w:hAnsi="Arial" w:cs="Arial"/>
          <w:lang w:val="es-ES"/>
        </w:rPr>
        <w:t>de</w:t>
      </w:r>
      <w:r w:rsidRPr="00CA71FB">
        <w:rPr>
          <w:rFonts w:ascii="Arial" w:eastAsia="Arial MT" w:hAnsi="Arial" w:cs="Arial"/>
          <w:spacing w:val="-6"/>
          <w:lang w:val="es-ES"/>
        </w:rPr>
        <w:t xml:space="preserve"> </w:t>
      </w:r>
      <w:r w:rsidRPr="00CA71FB">
        <w:rPr>
          <w:rFonts w:ascii="Arial" w:eastAsia="Arial MT" w:hAnsi="Arial" w:cs="Arial"/>
          <w:lang w:val="es-ES"/>
        </w:rPr>
        <w:t>2011,</w:t>
      </w:r>
      <w:r w:rsidRPr="00CA71FB">
        <w:rPr>
          <w:rFonts w:ascii="Arial" w:eastAsia="Arial MT" w:hAnsi="Arial" w:cs="Arial"/>
          <w:spacing w:val="-6"/>
          <w:lang w:val="es-ES"/>
        </w:rPr>
        <w:t xml:space="preserve"> </w:t>
      </w:r>
      <w:r w:rsidRPr="00CA71FB">
        <w:rPr>
          <w:rFonts w:ascii="Arial" w:eastAsia="Arial MT" w:hAnsi="Arial" w:cs="Arial"/>
          <w:lang w:val="es-ES"/>
        </w:rPr>
        <w:t>modificados</w:t>
      </w:r>
      <w:r w:rsidRPr="00CA71FB">
        <w:rPr>
          <w:rFonts w:ascii="Arial" w:eastAsia="Arial MT" w:hAnsi="Arial" w:cs="Arial"/>
          <w:spacing w:val="-6"/>
          <w:lang w:val="es-ES"/>
        </w:rPr>
        <w:t xml:space="preserve"> </w:t>
      </w:r>
      <w:r w:rsidRPr="00CA71FB">
        <w:rPr>
          <w:rFonts w:ascii="Arial" w:eastAsia="Arial MT" w:hAnsi="Arial" w:cs="Arial"/>
          <w:lang w:val="es-ES"/>
        </w:rPr>
        <w:t>por</w:t>
      </w:r>
      <w:r w:rsidRPr="00CA71FB">
        <w:rPr>
          <w:rFonts w:ascii="Arial" w:eastAsia="Arial MT" w:hAnsi="Arial" w:cs="Arial"/>
          <w:spacing w:val="-6"/>
          <w:lang w:val="es-ES"/>
        </w:rPr>
        <w:t xml:space="preserve"> </w:t>
      </w:r>
      <w:r w:rsidRPr="00CA71FB">
        <w:rPr>
          <w:rFonts w:ascii="Arial" w:eastAsia="Arial MT" w:hAnsi="Arial" w:cs="Arial"/>
          <w:lang w:val="es-ES"/>
        </w:rPr>
        <w:t>el</w:t>
      </w:r>
      <w:r w:rsidRPr="00CA71FB">
        <w:rPr>
          <w:rFonts w:ascii="Arial" w:eastAsia="Arial MT" w:hAnsi="Arial" w:cs="Arial"/>
          <w:spacing w:val="-6"/>
          <w:lang w:val="es-ES"/>
        </w:rPr>
        <w:t xml:space="preserve"> </w:t>
      </w:r>
      <w:r w:rsidRPr="00CA71FB">
        <w:rPr>
          <w:rFonts w:ascii="Arial" w:eastAsia="Arial MT" w:hAnsi="Arial" w:cs="Arial"/>
          <w:lang w:val="es-ES"/>
        </w:rPr>
        <w:t>artículo</w:t>
      </w:r>
      <w:r w:rsidRPr="00CA71FB">
        <w:rPr>
          <w:rFonts w:ascii="Arial" w:eastAsia="Arial MT" w:hAnsi="Arial" w:cs="Arial"/>
          <w:spacing w:val="-7"/>
          <w:lang w:val="es-ES"/>
        </w:rPr>
        <w:t xml:space="preserve"> </w:t>
      </w:r>
      <w:r w:rsidRPr="00CA71FB">
        <w:rPr>
          <w:rFonts w:ascii="Arial" w:eastAsia="Arial MT" w:hAnsi="Arial" w:cs="Arial"/>
          <w:lang w:val="es-ES"/>
        </w:rPr>
        <w:t>5</w:t>
      </w:r>
      <w:r w:rsidRPr="00CA71FB">
        <w:rPr>
          <w:rFonts w:ascii="Arial" w:eastAsia="Arial MT" w:hAnsi="Arial" w:cs="Arial"/>
          <w:spacing w:val="-6"/>
          <w:lang w:val="es-ES"/>
        </w:rPr>
        <w:t xml:space="preserve"> </w:t>
      </w:r>
      <w:r w:rsidRPr="00CA71FB">
        <w:rPr>
          <w:rFonts w:ascii="Arial" w:eastAsia="Arial MT" w:hAnsi="Arial" w:cs="Arial"/>
          <w:lang w:val="es-ES"/>
        </w:rPr>
        <w:t>del</w:t>
      </w:r>
      <w:r w:rsidRPr="00CA71FB">
        <w:rPr>
          <w:rFonts w:ascii="Arial" w:eastAsia="Arial MT" w:hAnsi="Arial" w:cs="Arial"/>
          <w:spacing w:val="-6"/>
          <w:lang w:val="es-ES"/>
        </w:rPr>
        <w:t xml:space="preserve"> </w:t>
      </w:r>
      <w:r w:rsidRPr="00CA71FB">
        <w:rPr>
          <w:rFonts w:ascii="Arial" w:eastAsia="Arial MT" w:hAnsi="Arial" w:cs="Arial"/>
          <w:lang w:val="es-ES"/>
        </w:rPr>
        <w:t>Decreto</w:t>
      </w:r>
      <w:r w:rsidRPr="00CA71FB">
        <w:rPr>
          <w:rFonts w:ascii="Arial" w:eastAsia="Arial MT" w:hAnsi="Arial" w:cs="Arial"/>
          <w:spacing w:val="-6"/>
          <w:lang w:val="es-ES"/>
        </w:rPr>
        <w:t xml:space="preserve"> </w:t>
      </w:r>
      <w:r w:rsidRPr="00CA71FB">
        <w:rPr>
          <w:rFonts w:ascii="Arial" w:eastAsia="Arial MT" w:hAnsi="Arial" w:cs="Arial"/>
          <w:lang w:val="es-ES"/>
        </w:rPr>
        <w:t>Legislativo 491 del 28 de marzo de 2020, l</w:t>
      </w:r>
      <w:r w:rsidRPr="00CA71FB">
        <w:rPr>
          <w:rFonts w:ascii="Arial" w:eastAsia="Calibri" w:hAnsi="Arial" w:cs="Arial"/>
          <w:lang w:val="es-ES_tradnl"/>
        </w:rPr>
        <w:t>a Agencia Nacional de Contratación Pública – Colombia Compra Eficiente responde su consulta recibida el 02 de marzo de 2023.</w:t>
      </w:r>
    </w:p>
    <w:p w14:paraId="2344CFB8" w14:textId="77777777" w:rsidR="009157E3" w:rsidRPr="00CA71FB" w:rsidRDefault="009157E3" w:rsidP="009157E3">
      <w:pPr>
        <w:tabs>
          <w:tab w:val="left" w:pos="284"/>
        </w:tabs>
        <w:spacing w:after="0" w:line="276" w:lineRule="auto"/>
        <w:contextualSpacing/>
        <w:jc w:val="both"/>
        <w:rPr>
          <w:rFonts w:ascii="Arial" w:eastAsia="Calibri" w:hAnsi="Arial" w:cs="Arial"/>
          <w:lang w:val="es-ES_tradnl"/>
        </w:rPr>
      </w:pPr>
    </w:p>
    <w:p w14:paraId="21E18695" w14:textId="77777777" w:rsidR="009157E3" w:rsidRPr="00CA71FB" w:rsidRDefault="009157E3" w:rsidP="009157E3">
      <w:pPr>
        <w:tabs>
          <w:tab w:val="left" w:pos="284"/>
        </w:tabs>
        <w:spacing w:after="0" w:line="276" w:lineRule="auto"/>
        <w:contextualSpacing/>
        <w:jc w:val="both"/>
        <w:rPr>
          <w:rFonts w:ascii="Arial" w:eastAsia="Calibri" w:hAnsi="Arial" w:cs="Arial"/>
          <w:b/>
          <w:lang w:val="es-ES_tradnl"/>
        </w:rPr>
      </w:pPr>
      <w:r w:rsidRPr="00CA71FB">
        <w:rPr>
          <w:rFonts w:ascii="Arial" w:eastAsia="Calibri" w:hAnsi="Arial" w:cs="Arial"/>
          <w:b/>
          <w:lang w:val="es-ES_tradnl"/>
        </w:rPr>
        <w:t>1.</w:t>
      </w:r>
      <w:r w:rsidRPr="00CA71FB">
        <w:rPr>
          <w:rFonts w:ascii="Arial" w:eastAsia="Calibri" w:hAnsi="Arial" w:cs="Arial"/>
          <w:lang w:val="es-ES_tradnl"/>
        </w:rPr>
        <w:t xml:space="preserve"> </w:t>
      </w:r>
      <w:r w:rsidRPr="00CA71FB">
        <w:rPr>
          <w:rFonts w:ascii="Arial" w:eastAsia="Calibri" w:hAnsi="Arial" w:cs="Arial"/>
          <w:b/>
          <w:lang w:val="es-ES_tradnl"/>
        </w:rPr>
        <w:t xml:space="preserve">Problema planteado </w:t>
      </w:r>
    </w:p>
    <w:p w14:paraId="63F4D991" w14:textId="77777777" w:rsidR="009157E3" w:rsidRPr="00CA71FB" w:rsidRDefault="009157E3" w:rsidP="009157E3">
      <w:pPr>
        <w:tabs>
          <w:tab w:val="left" w:pos="284"/>
        </w:tabs>
        <w:spacing w:after="0" w:line="276" w:lineRule="auto"/>
        <w:contextualSpacing/>
        <w:jc w:val="both"/>
        <w:rPr>
          <w:rFonts w:ascii="Arial" w:eastAsia="Calibri" w:hAnsi="Arial" w:cs="Arial"/>
          <w:b/>
          <w:lang w:val="es-ES_tradnl"/>
        </w:rPr>
      </w:pPr>
    </w:p>
    <w:p w14:paraId="434B8EE7" w14:textId="77777777" w:rsidR="009157E3" w:rsidRPr="00CA71FB" w:rsidRDefault="009157E3" w:rsidP="009157E3">
      <w:pPr>
        <w:tabs>
          <w:tab w:val="left" w:pos="284"/>
        </w:tabs>
        <w:spacing w:after="0" w:line="276" w:lineRule="auto"/>
        <w:contextualSpacing/>
        <w:jc w:val="both"/>
        <w:rPr>
          <w:rFonts w:ascii="Arial" w:eastAsia="Calibri" w:hAnsi="Arial" w:cs="Arial"/>
          <w:bCs/>
          <w:lang w:val="es-ES_tradnl"/>
        </w:rPr>
      </w:pPr>
      <w:r w:rsidRPr="00CA71FB">
        <w:rPr>
          <w:rFonts w:ascii="Arial" w:eastAsia="Calibri" w:hAnsi="Arial" w:cs="Arial"/>
          <w:bCs/>
          <w:lang w:val="es-ES_tradnl"/>
        </w:rPr>
        <w:t>Usted realiza la siguiente petición de consulta: “¿Las Cajas de Compensación Familiar al disponer de recursos públicos en la contratación, están obligadas a llevar el Plan Anual de Adquisiciones para cada vigencia y a publicar los contratos en SECOP? [sic]”</w:t>
      </w:r>
    </w:p>
    <w:p w14:paraId="44B61E17" w14:textId="77777777" w:rsidR="009157E3" w:rsidRPr="00CA71FB" w:rsidRDefault="009157E3" w:rsidP="009157E3">
      <w:pPr>
        <w:spacing w:after="0" w:line="276" w:lineRule="auto"/>
        <w:jc w:val="both"/>
        <w:rPr>
          <w:rFonts w:ascii="Arial" w:eastAsia="Calibri" w:hAnsi="Arial" w:cs="Arial"/>
          <w:lang w:val="es-ES_tradnl"/>
        </w:rPr>
      </w:pPr>
    </w:p>
    <w:p w14:paraId="19AD40F5" w14:textId="77777777" w:rsidR="009157E3" w:rsidRPr="00CA71FB" w:rsidRDefault="009157E3" w:rsidP="009157E3">
      <w:pPr>
        <w:tabs>
          <w:tab w:val="left" w:pos="426"/>
        </w:tabs>
        <w:spacing w:after="0" w:line="276" w:lineRule="auto"/>
        <w:jc w:val="both"/>
        <w:rPr>
          <w:rFonts w:ascii="Arial" w:eastAsia="Calibri" w:hAnsi="Arial" w:cs="Arial"/>
          <w:b/>
          <w:lang w:val="es-ES_tradnl"/>
        </w:rPr>
      </w:pPr>
      <w:r w:rsidRPr="00CA71FB">
        <w:rPr>
          <w:rFonts w:ascii="Arial" w:eastAsia="Calibri" w:hAnsi="Arial" w:cs="Arial"/>
          <w:b/>
          <w:lang w:val="es-ES_tradnl"/>
        </w:rPr>
        <w:t>2.</w:t>
      </w:r>
      <w:r w:rsidRPr="00CA71FB">
        <w:rPr>
          <w:rFonts w:ascii="Arial" w:eastAsia="Calibri" w:hAnsi="Arial" w:cs="Arial"/>
          <w:lang w:val="es-ES_tradnl"/>
        </w:rPr>
        <w:t xml:space="preserve"> </w:t>
      </w:r>
      <w:r w:rsidRPr="00CA71FB">
        <w:rPr>
          <w:rFonts w:ascii="Arial" w:eastAsia="Calibri" w:hAnsi="Arial" w:cs="Arial"/>
          <w:b/>
          <w:lang w:val="es-ES_tradnl"/>
        </w:rPr>
        <w:t>Consideraciones</w:t>
      </w:r>
    </w:p>
    <w:p w14:paraId="26A1C05C" w14:textId="77777777" w:rsidR="009157E3" w:rsidRPr="00CA71FB" w:rsidRDefault="009157E3" w:rsidP="009157E3">
      <w:pPr>
        <w:spacing w:after="0" w:line="276" w:lineRule="auto"/>
        <w:jc w:val="both"/>
        <w:rPr>
          <w:rFonts w:ascii="Arial" w:eastAsia="Calibri" w:hAnsi="Arial" w:cs="Arial"/>
          <w:color w:val="000000"/>
          <w:lang w:val="es-ES_tradnl"/>
        </w:rPr>
      </w:pPr>
    </w:p>
    <w:p w14:paraId="265D5C98" w14:textId="77777777" w:rsidR="009157E3" w:rsidRPr="00CA71FB" w:rsidRDefault="009157E3" w:rsidP="009157E3">
      <w:pPr>
        <w:spacing w:after="120" w:line="276" w:lineRule="auto"/>
        <w:jc w:val="both"/>
        <w:rPr>
          <w:rFonts w:ascii="Arial" w:eastAsia="Calibri" w:hAnsi="Arial" w:cs="Arial"/>
          <w:lang w:val="es-ES"/>
        </w:rPr>
      </w:pPr>
      <w:r w:rsidRPr="00CA71FB">
        <w:rPr>
          <w:rFonts w:ascii="Arial" w:eastAsia="Calibri" w:hAnsi="Arial" w:cs="Arial"/>
          <w:bCs/>
          <w:lang w:val="es-MX"/>
        </w:rPr>
        <w:lastRenderedPageBreak/>
        <w:t>En ejercicio de las competencias establecidas en los artículos 3.5 y 11.8 del Decreto 4170 de 2011, la Agencia Nacional de Contratación Pública – Colombia Compra Eficiente resuelve la consulta sobre los asuntos de su competencia, esto es, sobre las temáticas de la contratación estatal relacionados en los artículos citados.</w:t>
      </w:r>
      <w:r w:rsidRPr="00CA71FB">
        <w:rPr>
          <w:rFonts w:ascii="Arial" w:eastAsia="Calibri" w:hAnsi="Arial" w:cs="Arial"/>
          <w:lang w:val="es-ES"/>
        </w:rPr>
        <w:t xml:space="preserve"> </w:t>
      </w:r>
      <w:bookmarkStart w:id="0" w:name="_Hlk61701014"/>
      <w:bookmarkStart w:id="1" w:name="_Hlk62136649"/>
      <w:r w:rsidRPr="00CA71FB">
        <w:rPr>
          <w:rFonts w:ascii="Arial" w:eastAsia="Calibri" w:hAnsi="Arial" w:cs="Arial"/>
          <w:lang w:val="es-ES"/>
        </w:rPr>
        <w:t xml:space="preserve">Es necesario tener en cuenta que </w:t>
      </w:r>
      <w:bookmarkStart w:id="2" w:name="_Hlk61026958"/>
      <w:r w:rsidRPr="00CA71FB">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A71FB">
        <w:rPr>
          <w:rFonts w:ascii="Arial" w:eastAsia="Calibri" w:hAnsi="Arial" w:cs="Arial"/>
          <w:bCs/>
          <w:lang w:val="es-MX"/>
        </w:rPr>
        <w:t xml:space="preserve"> de todos los partícipes de la contratación estatal.</w:t>
      </w:r>
    </w:p>
    <w:p w14:paraId="66B5FE85" w14:textId="77777777" w:rsidR="009157E3" w:rsidRPr="00CA71FB" w:rsidRDefault="009157E3" w:rsidP="009157E3">
      <w:pPr>
        <w:spacing w:before="120" w:after="120" w:line="276" w:lineRule="auto"/>
        <w:ind w:firstLine="708"/>
        <w:jc w:val="both"/>
        <w:rPr>
          <w:rFonts w:ascii="Arial" w:eastAsia="Calibri" w:hAnsi="Arial" w:cs="Arial"/>
          <w:lang w:val="es-ES"/>
        </w:rPr>
      </w:pPr>
      <w:r w:rsidRPr="00CA71FB">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A71FB">
        <w:rPr>
          <w:rFonts w:ascii="Arial" w:eastAsia="Calibri" w:hAnsi="Arial" w:cs="Arial"/>
          <w:vertAlign w:val="superscript"/>
          <w:lang w:val="es-ES"/>
        </w:rPr>
        <w:footnoteReference w:id="1"/>
      </w:r>
      <w:r w:rsidRPr="00CA71FB">
        <w:rPr>
          <w:rFonts w:ascii="Arial" w:eastAsia="Calibri" w:hAnsi="Arial"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w:t>
      </w:r>
      <w:bookmarkEnd w:id="2"/>
      <w:r w:rsidRPr="00CA71FB">
        <w:rPr>
          <w:rFonts w:ascii="Arial" w:eastAsia="Calibri" w:hAnsi="Arial" w:cs="Arial"/>
          <w:lang w:val="es-ES"/>
        </w:rPr>
        <w:t>. Por lo anterior, previo concepto de sus órganos asesores, la solución de estos temas corresponde a la entidad que suscribió el contrato y, en caso de conflicto, a las autoridades judiciales, fiscales y disciplinarias.</w:t>
      </w:r>
      <w:bookmarkEnd w:id="0"/>
    </w:p>
    <w:bookmarkEnd w:id="1"/>
    <w:p w14:paraId="6EF22335" w14:textId="77777777" w:rsidR="009157E3" w:rsidRPr="00CA71FB" w:rsidRDefault="009157E3" w:rsidP="009157E3">
      <w:pPr>
        <w:spacing w:before="120" w:after="120" w:line="276" w:lineRule="auto"/>
        <w:ind w:firstLine="709"/>
        <w:jc w:val="both"/>
        <w:rPr>
          <w:rFonts w:ascii="Arial" w:eastAsia="Calibri" w:hAnsi="Arial" w:cs="Arial"/>
          <w:lang w:val="es-ES_tradnl" w:eastAsia="es-MX"/>
        </w:rPr>
      </w:pPr>
      <w:r w:rsidRPr="00CA71FB">
        <w:rPr>
          <w:rFonts w:ascii="Arial" w:eastAsia="Calibri" w:hAnsi="Arial" w:cs="Arial"/>
          <w:color w:val="000000"/>
          <w:lang w:val="es-MX"/>
        </w:rPr>
        <w:t xml:space="preserve">Sin perjuicio de lo anterior, </w:t>
      </w:r>
      <w:r w:rsidRPr="00CA71FB">
        <w:rPr>
          <w:rFonts w:ascii="Arial" w:eastAsia="Calibri" w:hAnsi="Arial" w:cs="Arial"/>
          <w:color w:val="000000"/>
          <w:lang w:val="es-ES"/>
        </w:rPr>
        <w:t xml:space="preserve">la Subdirección de Gestión Contractual –dentro de los límites de sus atribuciones, esto es, </w:t>
      </w:r>
      <w:bookmarkStart w:id="3" w:name="_Hlk61025408"/>
      <w:r w:rsidRPr="00CA71FB">
        <w:rPr>
          <w:rFonts w:ascii="Arial" w:eastAsia="Calibri" w:hAnsi="Arial" w:cs="Arial"/>
          <w:lang w:val="es-ES"/>
        </w:rPr>
        <w:t>haciendo abstracción del caso particular expuesto por el peticionari</w:t>
      </w:r>
      <w:bookmarkEnd w:id="3"/>
      <w:r w:rsidRPr="00CA71FB">
        <w:rPr>
          <w:rFonts w:ascii="Arial" w:eastAsia="Calibri" w:hAnsi="Arial" w:cs="Arial"/>
          <w:lang w:val="es-ES"/>
        </w:rPr>
        <w:t>o– resolverá la consulta conforme a las normas generales en materia de contratación estatal</w:t>
      </w:r>
      <w:r w:rsidRPr="00CA71FB">
        <w:rPr>
          <w:rFonts w:ascii="Arial" w:eastAsia="Calibri" w:hAnsi="Arial" w:cs="Arial"/>
          <w:lang w:val="es-ES_tradnl" w:eastAsia="es-MX"/>
        </w:rPr>
        <w:t xml:space="preserve">. Con este objetivo se analizarán los siguientes temas: i) naturaleza jurídica de las Cajas de Compensación Familiar. Entidades sin ánimo de lucro – ESAL, </w:t>
      </w:r>
      <w:proofErr w:type="spellStart"/>
      <w:r w:rsidRPr="00CA71FB">
        <w:rPr>
          <w:rFonts w:ascii="Arial" w:eastAsia="Calibri" w:hAnsi="Arial" w:cs="Arial"/>
          <w:lang w:val="es-ES_tradnl" w:eastAsia="es-MX"/>
        </w:rPr>
        <w:t>ii</w:t>
      </w:r>
      <w:proofErr w:type="spellEnd"/>
      <w:r w:rsidRPr="00CA71FB">
        <w:rPr>
          <w:rFonts w:ascii="Arial" w:eastAsia="Calibri" w:hAnsi="Arial" w:cs="Arial"/>
          <w:lang w:val="es-ES_tradnl" w:eastAsia="es-MX"/>
        </w:rPr>
        <w:t xml:space="preserve">) generalidades del Plan Anual de Adquisiciones, y </w:t>
      </w:r>
      <w:proofErr w:type="spellStart"/>
      <w:r w:rsidRPr="00CA71FB">
        <w:rPr>
          <w:rFonts w:ascii="Arial" w:eastAsia="Calibri" w:hAnsi="Arial" w:cs="Arial"/>
          <w:lang w:val="es-ES_tradnl" w:eastAsia="es-MX"/>
        </w:rPr>
        <w:t>iii</w:t>
      </w:r>
      <w:proofErr w:type="spellEnd"/>
      <w:r w:rsidRPr="00CA71FB">
        <w:rPr>
          <w:rFonts w:ascii="Arial" w:eastAsia="Calibri" w:hAnsi="Arial" w:cs="Arial"/>
          <w:lang w:val="es-ES_tradnl" w:eastAsia="es-MX"/>
        </w:rPr>
        <w:t xml:space="preserve">) </w:t>
      </w:r>
      <w:bookmarkStart w:id="4" w:name="_Hlk132274642"/>
      <w:r w:rsidRPr="00CA71FB">
        <w:rPr>
          <w:rFonts w:ascii="Arial" w:eastAsia="Calibri" w:hAnsi="Arial" w:cs="Arial"/>
          <w:lang w:val="es-ES_tradnl" w:eastAsia="es-MX"/>
        </w:rPr>
        <w:t>sujetos obligados a publicar sus actuaciones contractuales en el Sistema Electrónico de la Contratación Pública – SECOP.</w:t>
      </w:r>
      <w:bookmarkEnd w:id="4"/>
    </w:p>
    <w:p w14:paraId="5A3DA1DC" w14:textId="77777777" w:rsidR="009157E3" w:rsidRPr="00CA71FB" w:rsidRDefault="009157E3" w:rsidP="009157E3">
      <w:pPr>
        <w:spacing w:before="120" w:after="120" w:line="276" w:lineRule="auto"/>
        <w:ind w:firstLine="709"/>
        <w:jc w:val="both"/>
        <w:rPr>
          <w:rFonts w:ascii="Arial" w:eastAsia="Calibri" w:hAnsi="Arial" w:cs="Arial"/>
          <w:bCs/>
          <w:lang w:val="es-MX"/>
        </w:rPr>
      </w:pPr>
      <w:r w:rsidRPr="00CA71FB">
        <w:rPr>
          <w:rFonts w:ascii="Arial" w:eastAsia="Calibri" w:hAnsi="Arial" w:cs="Arial"/>
          <w:bCs/>
          <w:lang w:val="es-MX"/>
        </w:rPr>
        <w:t>La Agencia Nacional de Contratación Pública – Colombia Compra Eficiente se ha pronunciado sobre la naturaleza jurídica de las entidades sin ánimo de lucro – ESAL</w:t>
      </w:r>
      <w:r w:rsidRPr="00CA71FB">
        <w:rPr>
          <w:rFonts w:ascii="Arial" w:eastAsia="Calibri" w:hAnsi="Arial" w:cs="Arial"/>
          <w:bCs/>
          <w:lang w:val="es-ES_tradnl"/>
        </w:rPr>
        <w:t xml:space="preserve"> </w:t>
      </w:r>
      <w:r w:rsidRPr="00CA71FB">
        <w:rPr>
          <w:rFonts w:ascii="Arial" w:eastAsia="Calibri" w:hAnsi="Arial" w:cs="Arial"/>
          <w:bCs/>
          <w:color w:val="000000"/>
          <w:lang w:val="es-ES_tradnl"/>
        </w:rPr>
        <w:t xml:space="preserve">en los Conceptos </w:t>
      </w:r>
      <w:r w:rsidRPr="00CA71FB">
        <w:rPr>
          <w:rFonts w:ascii="Arial" w:eastAsia="Calibri" w:hAnsi="Arial" w:cs="Arial"/>
          <w:shd w:val="clear" w:color="auto" w:fill="FFFFFF"/>
          <w:lang w:val="es-MX" w:eastAsia="es-MX"/>
        </w:rPr>
        <w:t xml:space="preserve">4201912000008310 del 26 de diciembre de 2019, 4201912000007899 del 27 de diciembre de 2019, 4201912000007901 del 27 de diciembre de 2019, C-070 04 de marzo de 2020, C-094 del 04 de marzo de 2020,  C-086 del 16 de marzo de 2020,  C-101 del 16 de marzo </w:t>
      </w:r>
      <w:r w:rsidRPr="00CA71FB">
        <w:rPr>
          <w:rFonts w:ascii="Arial" w:eastAsia="Calibri" w:hAnsi="Arial" w:cs="Arial"/>
          <w:shd w:val="clear" w:color="auto" w:fill="FFFFFF"/>
          <w:lang w:val="es-MX" w:eastAsia="es-MX"/>
        </w:rPr>
        <w:lastRenderedPageBreak/>
        <w:t xml:space="preserve">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C-478 de 8 de septiembre de 2021 y C-562 del 7 de septiembre de 2022. </w:t>
      </w:r>
      <w:r w:rsidRPr="00CA71FB">
        <w:rPr>
          <w:rFonts w:ascii="Arial" w:eastAsia="Calibri" w:hAnsi="Arial" w:cs="Arial"/>
          <w:noProof/>
          <w:lang w:val="es-ES_tradnl" w:eastAsia="es-MX"/>
        </w:rPr>
        <w:t xml:space="preserve">En los conceptos </w:t>
      </w:r>
      <w:r w:rsidRPr="00CA71FB">
        <w:rPr>
          <w:rFonts w:ascii="Arial" w:eastAsia="Calibri" w:hAnsi="Arial" w:cs="Arial"/>
          <w:noProof/>
          <w:color w:val="000000"/>
          <w:lang w:val="es-ES" w:eastAsia="es-MX"/>
        </w:rPr>
        <w:t xml:space="preserve">con radicado No. C-070 </w:t>
      </w:r>
      <w:r w:rsidRPr="00CA71FB">
        <w:rPr>
          <w:rFonts w:ascii="Arial" w:eastAsia="Calibri" w:hAnsi="Arial" w:cs="Arial"/>
          <w:color w:val="000000"/>
          <w:lang w:val="es-MX" w:eastAsia="es-MX"/>
        </w:rPr>
        <w:t>del 4 de marzo de 2020</w:t>
      </w:r>
      <w:r w:rsidRPr="00CA71FB">
        <w:rPr>
          <w:rFonts w:ascii="Arial" w:eastAsia="Calibri" w:hAnsi="Arial" w:cs="Arial"/>
          <w:noProof/>
          <w:color w:val="000000"/>
          <w:lang w:val="es-ES" w:eastAsia="es-MX"/>
        </w:rPr>
        <w:t xml:space="preserve">, reiterado y desarrollado en los conceptos identificados con radicado No. </w:t>
      </w:r>
      <w:r w:rsidRPr="00CA71FB">
        <w:rPr>
          <w:rFonts w:ascii="Arial" w:eastAsia="Calibri" w:hAnsi="Arial" w:cs="Arial"/>
          <w:color w:val="000000"/>
          <w:lang w:val="es-MX" w:eastAsia="es-MX"/>
        </w:rPr>
        <w:t>C-081 del 3 de marzo de 2020</w:t>
      </w:r>
      <w:r w:rsidRPr="00CA71FB">
        <w:rPr>
          <w:rFonts w:ascii="Arial" w:eastAsia="Calibri" w:hAnsi="Arial" w:cs="Arial"/>
          <w:noProof/>
          <w:color w:val="000000"/>
          <w:lang w:val="es-ES" w:eastAsia="es-MX"/>
        </w:rPr>
        <w:t xml:space="preserve"> C-094 </w:t>
      </w:r>
      <w:r w:rsidRPr="00CA71FB">
        <w:rPr>
          <w:rFonts w:ascii="Arial" w:eastAsia="Calibri" w:hAnsi="Arial" w:cs="Arial"/>
          <w:color w:val="000000"/>
          <w:lang w:val="es-MX" w:eastAsia="es-MX"/>
        </w:rPr>
        <w:t>del 4 de marzo de 2020, C-057 de 10 de marzo de 2021 y C-379 de 26 de julio de 2021</w:t>
      </w:r>
      <w:r w:rsidRPr="00CA71FB">
        <w:rPr>
          <w:rFonts w:ascii="Arial" w:eastAsia="Calibri" w:hAnsi="Arial" w:cs="Arial"/>
          <w:lang w:val="es-ES_tradnl" w:eastAsia="es-MX"/>
        </w:rPr>
        <w:t xml:space="preserve">, C-021 del 22 de febrero de 2022, C-075 del 10 de marzo de 2022, C-477 del 26 de julio de 2022, C-273 del 6 de mayo de 2022, </w:t>
      </w:r>
      <w:r w:rsidRPr="00CA71FB">
        <w:rPr>
          <w:rFonts w:ascii="Arial" w:eastAsia="Calibri" w:hAnsi="Arial" w:cs="Arial"/>
          <w:color w:val="000000"/>
          <w:lang w:val="es-MX" w:eastAsia="es-MX"/>
        </w:rPr>
        <w:t xml:space="preserve">entre otros. </w:t>
      </w:r>
    </w:p>
    <w:p w14:paraId="09776DA3" w14:textId="77777777" w:rsidR="009157E3" w:rsidRPr="00CA71FB" w:rsidRDefault="009157E3" w:rsidP="009157E3">
      <w:pPr>
        <w:spacing w:before="120" w:after="0" w:line="276" w:lineRule="auto"/>
        <w:ind w:firstLine="709"/>
        <w:jc w:val="both"/>
        <w:rPr>
          <w:rFonts w:ascii="Arial" w:eastAsia="Calibri" w:hAnsi="Arial" w:cs="Arial"/>
          <w:b/>
          <w:bCs/>
          <w:lang w:val="es-MX"/>
        </w:rPr>
      </w:pPr>
      <w:r w:rsidRPr="00CA71FB">
        <w:rPr>
          <w:rFonts w:ascii="Arial" w:eastAsia="Calibri" w:hAnsi="Arial" w:cs="Arial"/>
          <w:color w:val="000000"/>
          <w:lang w:val="es-MX" w:eastAsia="es-MX"/>
        </w:rPr>
        <w:t>Por otro lado, esta entidad ha analizado</w:t>
      </w:r>
      <w:r w:rsidRPr="00CA71FB">
        <w:rPr>
          <w:rFonts w:ascii="Arial" w:eastAsia="Times New Roman" w:hAnsi="Arial" w:cs="Arial"/>
          <w:szCs w:val="24"/>
          <w:lang w:val="es-ES_tradnl" w:eastAsia="es-ES_tradnl"/>
        </w:rPr>
        <w:t xml:space="preserve"> el Plan Anual de </w:t>
      </w:r>
      <w:r w:rsidRPr="00CA71FB">
        <w:rPr>
          <w:rFonts w:ascii="Arial" w:eastAsia="Times New Roman" w:hAnsi="Arial" w:cs="Arial"/>
          <w:bCs/>
          <w:szCs w:val="24"/>
          <w:lang w:val="es-ES_tradnl" w:eastAsia="es-ES_tradnl"/>
        </w:rPr>
        <w:t>Adquisiciones en los siguientes conceptos</w:t>
      </w:r>
      <w:r w:rsidRPr="00CA71FB">
        <w:rPr>
          <w:rFonts w:ascii="Arial" w:eastAsia="Times New Roman" w:hAnsi="Arial" w:cs="Arial"/>
          <w:szCs w:val="24"/>
          <w:lang w:val="es-ES_tradnl" w:eastAsia="es-ES_tradnl"/>
        </w:rPr>
        <w:t xml:space="preserve"> 4201913000006571 del 8 de noviembre de 2019, reiterado y desarrollado en los conceptos 4201912000007258 del 4 de diciembre de 2019, C-048 del 13 de enero de 2020, C</w:t>
      </w:r>
      <w:r w:rsidRPr="00CA71FB">
        <w:rPr>
          <w:rFonts w:ascii="Arial" w:eastAsia="Times New Roman" w:hAnsi="Arial" w:cs="Arial"/>
          <w:bCs/>
          <w:szCs w:val="24"/>
          <w:lang w:val="es-ES_tradnl" w:eastAsia="es-ES_tradnl"/>
        </w:rPr>
        <w:t>-</w:t>
      </w:r>
      <w:r w:rsidRPr="00CA71FB">
        <w:rPr>
          <w:rFonts w:ascii="Arial" w:eastAsia="Times New Roman" w:hAnsi="Arial" w:cs="Arial"/>
          <w:szCs w:val="24"/>
          <w:lang w:val="es-ES_tradnl" w:eastAsia="es-ES_tradnl"/>
        </w:rPr>
        <w:t xml:space="preserve">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 C-637 del 7 de diciembre de 2021, C-733 del 13 de enero de 2022 y C-026 del 18 de febrero de 2022. </w:t>
      </w:r>
      <w:r w:rsidRPr="00CA71FB">
        <w:rPr>
          <w:rFonts w:ascii="Arial" w:eastAsia="Calibri" w:hAnsi="Arial" w:cs="Arial"/>
          <w:lang w:val="es-ES_tradnl" w:eastAsia="es-ES_tradnl"/>
        </w:rPr>
        <w:t>Algunas de las consideraciones de estos conceptos se reiteran y se complementan en lo pertinente, teniendo en cuenta lo consultado.</w:t>
      </w:r>
    </w:p>
    <w:p w14:paraId="45B5AB3B" w14:textId="77777777" w:rsidR="009157E3" w:rsidRPr="00CA71FB" w:rsidRDefault="009157E3" w:rsidP="009157E3">
      <w:pPr>
        <w:spacing w:after="0" w:line="276" w:lineRule="auto"/>
        <w:ind w:firstLine="709"/>
        <w:jc w:val="both"/>
        <w:rPr>
          <w:rFonts w:ascii="Arial" w:eastAsia="Calibri" w:hAnsi="Arial" w:cs="Arial"/>
          <w:bCs/>
          <w:lang w:val="es-MX"/>
        </w:rPr>
      </w:pPr>
    </w:p>
    <w:p w14:paraId="6576C5EE" w14:textId="77777777" w:rsidR="009157E3" w:rsidRPr="00CA71FB" w:rsidRDefault="009157E3" w:rsidP="009157E3">
      <w:pPr>
        <w:spacing w:after="0" w:line="276" w:lineRule="auto"/>
        <w:contextualSpacing/>
        <w:jc w:val="both"/>
        <w:rPr>
          <w:rFonts w:ascii="Arial" w:eastAsia="Calibri" w:hAnsi="Arial" w:cs="Arial"/>
          <w:b/>
          <w:lang w:val="es-MX"/>
        </w:rPr>
      </w:pPr>
      <w:r w:rsidRPr="00CA71FB">
        <w:rPr>
          <w:rFonts w:ascii="Arial" w:eastAsia="Calibri" w:hAnsi="Arial" w:cs="Arial"/>
          <w:b/>
          <w:lang w:val="es-MX"/>
        </w:rPr>
        <w:t>2.1. Naturaleza jurídica de las Cajas de Compensación Familiar. Entidades sin ánimo de lucro – ESAL</w:t>
      </w:r>
    </w:p>
    <w:p w14:paraId="189430F4" w14:textId="77777777" w:rsidR="009157E3" w:rsidRPr="00CA71FB" w:rsidRDefault="009157E3" w:rsidP="009157E3">
      <w:pPr>
        <w:spacing w:after="0" w:line="276" w:lineRule="auto"/>
        <w:contextualSpacing/>
        <w:jc w:val="both"/>
        <w:rPr>
          <w:rFonts w:ascii="Arial" w:eastAsia="Calibri" w:hAnsi="Arial" w:cs="Arial"/>
          <w:bCs/>
          <w:lang w:val="es-MX"/>
        </w:rPr>
      </w:pPr>
    </w:p>
    <w:p w14:paraId="0826ACED"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r w:rsidRPr="00CA71FB">
        <w:rPr>
          <w:rFonts w:ascii="Arial" w:eastAsia="Calibri" w:hAnsi="Arial" w:cs="Arial"/>
          <w:kern w:val="2"/>
          <w14:ligatures w14:val="standardContextual"/>
        </w:rPr>
        <w:t>Para los efectos, es pertinente mencionar que el Libro Segundo del Código de Comercio no incluyó a las corporaciones o asociaciones ni a las fundaciones, esto es, a las entidades sin ánimo de lucro, en adelante ESAL, en la enumeración de las sociedades comerciales. La razón de la exclusión, a criterio de esta Agencia, es obvia: estas organizaciones no tienen fines comerciales, es decir, carecen de ánimo de lucro, por eso no forman un tipo o clase de sociedad comercial</w:t>
      </w:r>
      <w:r w:rsidRPr="00CA71FB">
        <w:rPr>
          <w:rFonts w:ascii="Arial" w:eastAsia="Calibri" w:hAnsi="Arial" w:cs="Arial"/>
          <w:color w:val="000000"/>
          <w:kern w:val="2"/>
          <w:vertAlign w:val="superscript"/>
          <w14:ligatures w14:val="standardContextual"/>
        </w:rPr>
        <w:footnoteReference w:id="2"/>
      </w:r>
      <w:r w:rsidRPr="00CA71FB">
        <w:rPr>
          <w:rFonts w:ascii="Arial" w:eastAsia="Calibri" w:hAnsi="Arial" w:cs="Arial"/>
          <w:color w:val="000000"/>
          <w:kern w:val="2"/>
          <w14:ligatures w14:val="standardContextual"/>
        </w:rPr>
        <w:t xml:space="preserve">. </w:t>
      </w:r>
      <w:r w:rsidRPr="00CA71FB">
        <w:rPr>
          <w:rFonts w:ascii="Arial" w:eastAsia="Calibri" w:hAnsi="Arial" w:cs="Arial"/>
          <w:color w:val="000000"/>
          <w:kern w:val="2"/>
          <w14:ligatures w14:val="standardContextual"/>
        </w:rPr>
        <w:lastRenderedPageBreak/>
        <w:t>La norma que regula este tipo de corporaciones o asociaciones es el Código Civil –entre otras normas que se armonizan con este–,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Pr="00CA71FB">
        <w:rPr>
          <w:rFonts w:ascii="Arial" w:eastAsia="Calibri" w:hAnsi="Arial" w:cs="Arial"/>
          <w:color w:val="000000"/>
          <w:kern w:val="2"/>
          <w:vertAlign w:val="superscript"/>
          <w14:ligatures w14:val="standardContextual"/>
        </w:rPr>
        <w:footnoteReference w:id="3"/>
      </w:r>
      <w:r w:rsidRPr="00CA71FB">
        <w:rPr>
          <w:rFonts w:ascii="Arial" w:eastAsia="Calibri" w:hAnsi="Arial" w:cs="Arial"/>
          <w:color w:val="000000"/>
          <w:kern w:val="2"/>
          <w14:ligatures w14:val="standardContextual"/>
        </w:rPr>
        <w:t>. La ausencia de ánimo de lucro es, entonces, la característica determinante de estas corporaciones u organizaciones, lo que explica su nombre y la diferencia fundamental con las sociedades comerciales.</w:t>
      </w:r>
    </w:p>
    <w:p w14:paraId="4EC4C0FC"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El inciso primero del artículo 98 del Código de Comercio señala que mediante el contrato de sociedad “dos o más personas se obligan a hacer un aporte en dinero, en trabajo o en otros bienes apreciables en dinero, </w:t>
      </w:r>
      <w:r w:rsidRPr="00CA71FB">
        <w:rPr>
          <w:rFonts w:ascii="Arial" w:eastAsia="Calibri" w:hAnsi="Arial" w:cs="Arial"/>
          <w:i/>
          <w:iCs/>
          <w:color w:val="000000"/>
          <w:kern w:val="2"/>
          <w14:ligatures w14:val="standardContextual"/>
        </w:rPr>
        <w:t>con el fin de repartirse entre sí las utilidades obtenidas en la empresa o actividad social”</w:t>
      </w:r>
      <w:r w:rsidRPr="00CA71FB">
        <w:rPr>
          <w:rFonts w:ascii="Arial" w:eastAsia="Calibri" w:hAnsi="Arial" w:cs="Arial"/>
          <w:color w:val="000000"/>
          <w:kern w:val="2"/>
          <w14:ligatures w14:val="standardContextual"/>
        </w:rPr>
        <w:t xml:space="preserve"> [Énfasis fuera de texto]. Así pues, para el caso de las ESAL no se admite el reparto de utilidades, ni durante la existencia de la organización ni cuando se extinga, aspecto en el que, radica la diferencia más apreciable entre unas y otras organizaciones, pese a que ambas se crean con libertad y al amparo del derecho fundamental de asociación, previsto en el artículo 38 de la Constitución Política y otras normas contenidas en tratados internacionales suscritos por Colombia.</w:t>
      </w:r>
    </w:p>
    <w:p w14:paraId="6D2C68EC"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De conformidad con lo anterior, se colige que dentro del grupo de asociaciones que conforman las ESAL están incluidas las Cajas de Compensación Familiar, esto en razón a que, el artículo 39 de la Ley 21 de 1982 las define como “</w:t>
      </w:r>
      <w:r w:rsidRPr="00CA71FB">
        <w:rPr>
          <w:rFonts w:ascii="Arial" w:eastAsia="Calibri" w:hAnsi="Arial" w:cs="Arial"/>
          <w:i/>
          <w:iCs/>
          <w:color w:val="000000"/>
          <w:kern w:val="2"/>
          <w14:ligatures w14:val="standardContextual"/>
        </w:rPr>
        <w:t>personas jurídicas de derecho privado sin ánimo de lucro, organizadas como corporaciones en la forma prevista en el Código Civil,</w:t>
      </w:r>
      <w:r w:rsidRPr="00CA71FB">
        <w:rPr>
          <w:rFonts w:ascii="Arial" w:eastAsia="Calibri" w:hAnsi="Arial" w:cs="Arial"/>
          <w:color w:val="000000"/>
          <w:kern w:val="2"/>
          <w14:ligatures w14:val="standardContextual"/>
        </w:rPr>
        <w:t xml:space="preserve"> cumplen funciones de seguridad social y se hallan sometidas al control y vigilancia del Estado en la forma establecida por la ley”. [Énfasis fuera de texto]</w:t>
      </w:r>
    </w:p>
    <w:p w14:paraId="5BC21CB8"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La Corte Constitucional en Sentencia C-429 de 2019, señaló que “las Cajas de Compensación Familiar son entes jurídicos de naturaleza especialísima que </w:t>
      </w:r>
      <w:r w:rsidRPr="00CA71FB">
        <w:rPr>
          <w:rFonts w:ascii="Arial" w:eastAsia="Calibri" w:hAnsi="Arial" w:cs="Arial"/>
          <w:i/>
          <w:iCs/>
          <w:kern w:val="2"/>
          <w:u w:val="single"/>
          <w14:ligatures w14:val="standardContextual"/>
        </w:rPr>
        <w:t>no ejercen funciones públicas</w:t>
      </w:r>
      <w:r w:rsidRPr="00CA71FB">
        <w:rPr>
          <w:rFonts w:ascii="Arial" w:eastAsia="Calibri" w:hAnsi="Arial" w:cs="Arial"/>
          <w:color w:val="000000"/>
          <w:kern w:val="2"/>
          <w14:ligatures w14:val="standardContextual"/>
        </w:rPr>
        <w:t xml:space="preserve">, sino que </w:t>
      </w:r>
      <w:r w:rsidRPr="00CA71FB">
        <w:rPr>
          <w:rFonts w:ascii="Arial" w:eastAsia="Calibri" w:hAnsi="Arial" w:cs="Arial"/>
          <w:i/>
          <w:iCs/>
          <w:kern w:val="2"/>
          <w:u w:val="single"/>
          <w14:ligatures w14:val="standardContextual"/>
        </w:rPr>
        <w:t>desarrollan una función social</w:t>
      </w:r>
      <w:r w:rsidRPr="00CA71FB">
        <w:rPr>
          <w:rFonts w:ascii="Arial" w:eastAsia="Calibri" w:hAnsi="Arial" w:cs="Arial"/>
          <w:color w:val="000000"/>
          <w:kern w:val="2"/>
          <w14:ligatures w14:val="standardContextual"/>
        </w:rPr>
        <w:t>, pues se trata de actores privados que participan en la economía e intervienen en el servicio público de seguridad social e incluso, en algunos casos, pueden participar en su prestación, como ocurre con la participación que tienen en el sector salud”. [Énfasis fuera de texto]</w:t>
      </w:r>
    </w:p>
    <w:p w14:paraId="40D4A9C4"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lastRenderedPageBreak/>
        <w:tab/>
        <w:t xml:space="preserve">En consecuencia, según lo dispuesto en el artículo 15 de la Ley 21 de 1982, el objeto principal de las Cajas de Compensación Familiar es el de recaudar y gestionar la aplicación de los aportes al </w:t>
      </w:r>
      <w:r w:rsidRPr="00CA71FB">
        <w:rPr>
          <w:rFonts w:ascii="Arial" w:eastAsia="Calibri" w:hAnsi="Arial" w:cs="Arial"/>
          <w:i/>
          <w:iCs/>
          <w:color w:val="000000"/>
          <w:kern w:val="2"/>
          <w14:ligatures w14:val="standardContextual"/>
        </w:rPr>
        <w:t>subsidio familiar</w:t>
      </w:r>
      <w:r w:rsidRPr="00CA71FB">
        <w:rPr>
          <w:rFonts w:ascii="Arial" w:eastAsia="Calibri" w:hAnsi="Arial" w:cs="Arial"/>
          <w:color w:val="000000"/>
          <w:kern w:val="2"/>
          <w14:ligatures w14:val="standardContextual"/>
        </w:rPr>
        <w:t xml:space="preserve"> que debe pagar todo empleador. La Sala de Consulta y Servicio Civil del Consejo de Estado, mediante Concepto 1763 del 15 de agosto de 2006 realizó las siguientes precisiones sobre las Cajas de Compensación Familiar: </w:t>
      </w:r>
    </w:p>
    <w:p w14:paraId="3981A5C3"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p>
    <w:p w14:paraId="3DC0F059" w14:textId="77777777" w:rsidR="009157E3" w:rsidRPr="00CA71FB" w:rsidRDefault="009157E3" w:rsidP="009157E3">
      <w:pPr>
        <w:spacing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“Las Cajas de Compensación Familiar nacen paralelamente con el sistema de subsidio familiar, que en un principio se concibió como fruto de la libertad de los patronos o del acuerdo entre éstos y sus trabajadores.</w:t>
      </w:r>
    </w:p>
    <w:p w14:paraId="2DD15D40" w14:textId="77777777" w:rsidR="009157E3" w:rsidRPr="00CA71FB" w:rsidRDefault="009157E3" w:rsidP="009157E3">
      <w:pPr>
        <w:spacing w:before="120"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w:t>
      </w:r>
    </w:p>
    <w:p w14:paraId="53F32EB3" w14:textId="77777777" w:rsidR="009157E3" w:rsidRPr="00CA71FB" w:rsidRDefault="009157E3" w:rsidP="009157E3">
      <w:pPr>
        <w:spacing w:before="120"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 a partir del decreto 118 de 1957, las Cajas de Compensación Familiar se conformaron como corporaciones de acuerdo con lo dispuesto en el Código Civil, con personería jurídica, cuya creación dependía de la voluntad de asociación de los empleadores.</w:t>
      </w:r>
    </w:p>
    <w:p w14:paraId="335369B0" w14:textId="77777777" w:rsidR="009157E3" w:rsidRPr="00CA71FB" w:rsidRDefault="009157E3" w:rsidP="009157E3">
      <w:pPr>
        <w:spacing w:before="120"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Sin embargo, fue mediante la ley 21 de 1982, por la cual se modificó el régimen del subsidio familiar, que el legislador definió el subsidio familiar como una prestación social de obligatorio pago a través de las Cajas de Compensación Familiar, por parte de todos los empleadores del sector público o privado que tuvieran uno o más trabajadores de carácter permanente […].</w:t>
      </w:r>
    </w:p>
    <w:p w14:paraId="220A448E" w14:textId="77777777" w:rsidR="009157E3" w:rsidRPr="00CA71FB" w:rsidRDefault="009157E3" w:rsidP="009157E3">
      <w:pPr>
        <w:spacing w:before="120"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w:t>
      </w:r>
    </w:p>
    <w:p w14:paraId="7EF4B73A" w14:textId="77777777" w:rsidR="009157E3" w:rsidRPr="00CA71FB" w:rsidRDefault="009157E3" w:rsidP="009157E3">
      <w:pPr>
        <w:spacing w:before="120" w:after="0" w:line="240" w:lineRule="auto"/>
        <w:ind w:left="709" w:right="709"/>
        <w:jc w:val="both"/>
        <w:rPr>
          <w:rFonts w:ascii="Arial" w:eastAsia="Calibri" w:hAnsi="Arial" w:cs="Arial"/>
          <w:b/>
          <w:bCs/>
          <w:kern w:val="2"/>
          <w:sz w:val="21"/>
          <w:szCs w:val="21"/>
          <w14:ligatures w14:val="standardContextual"/>
        </w:rPr>
      </w:pPr>
      <w:r w:rsidRPr="00CA71FB">
        <w:rPr>
          <w:rFonts w:ascii="Arial" w:eastAsia="Calibri" w:hAnsi="Arial" w:cs="Arial"/>
          <w:kern w:val="2"/>
          <w:sz w:val="21"/>
          <w:szCs w:val="21"/>
          <w14:ligatures w14:val="standardContextual"/>
        </w:rPr>
        <w:t xml:space="preserve">En cuanto al ámbito funcional de las Cajas, es importante señalar que el artículo 41 de la ley 21, les asignó atribuciones relativas al </w:t>
      </w:r>
      <w:r w:rsidRPr="00CA71FB">
        <w:rPr>
          <w:rFonts w:ascii="Arial" w:eastAsia="Calibri" w:hAnsi="Arial" w:cs="Arial"/>
          <w:b/>
          <w:bCs/>
          <w:kern w:val="2"/>
          <w:sz w:val="21"/>
          <w:szCs w:val="21"/>
          <w14:ligatures w14:val="standardContextual"/>
        </w:rPr>
        <w:t xml:space="preserve">recaudo, distribución y pago </w:t>
      </w:r>
      <w:r w:rsidRPr="00CA71FB">
        <w:rPr>
          <w:rFonts w:ascii="Arial" w:eastAsia="Calibri" w:hAnsi="Arial" w:cs="Arial"/>
          <w:kern w:val="2"/>
          <w:sz w:val="21"/>
          <w:szCs w:val="21"/>
          <w14:ligatures w14:val="standardContextual"/>
        </w:rPr>
        <w:t xml:space="preserve">de los aportes destinados al </w:t>
      </w:r>
      <w:r w:rsidRPr="00CA71FB">
        <w:rPr>
          <w:rFonts w:ascii="Arial" w:eastAsia="Calibri" w:hAnsi="Arial" w:cs="Arial"/>
          <w:b/>
          <w:bCs/>
          <w:kern w:val="2"/>
          <w:sz w:val="21"/>
          <w:szCs w:val="21"/>
          <w14:ligatures w14:val="standardContextual"/>
        </w:rPr>
        <w:t xml:space="preserve">subsidio familiar, </w:t>
      </w:r>
      <w:r w:rsidRPr="00CA71FB">
        <w:rPr>
          <w:rFonts w:ascii="Arial" w:eastAsia="Calibri" w:hAnsi="Arial" w:cs="Arial"/>
          <w:kern w:val="2"/>
          <w:sz w:val="21"/>
          <w:szCs w:val="21"/>
          <w14:ligatures w14:val="standardContextual"/>
        </w:rPr>
        <w:t xml:space="preserve">Servicio Nacional de Aprendizaje (SENA), Escuela Superior de Administración Pública (ESAP), escuelas industriales </w:t>
      </w:r>
      <w:proofErr w:type="spellStart"/>
      <w:r w:rsidRPr="00CA71FB">
        <w:rPr>
          <w:rFonts w:ascii="Arial" w:eastAsia="Calibri" w:hAnsi="Arial" w:cs="Arial"/>
          <w:kern w:val="2"/>
          <w:sz w:val="21"/>
          <w:szCs w:val="21"/>
          <w14:ligatures w14:val="standardContextual"/>
        </w:rPr>
        <w:t>etc</w:t>
      </w:r>
      <w:proofErr w:type="spellEnd"/>
      <w:r w:rsidRPr="00CA71FB">
        <w:rPr>
          <w:rFonts w:ascii="Arial" w:eastAsia="Calibri" w:hAnsi="Arial" w:cs="Arial"/>
          <w:kern w:val="2"/>
          <w:sz w:val="21"/>
          <w:szCs w:val="21"/>
          <w14:ligatures w14:val="standardContextual"/>
        </w:rPr>
        <w:t xml:space="preserve">, lo que significa que desde aquel entonces y actualmente en los términos del artículo 3° de la ley 610 de 2000, estos entes realizan </w:t>
      </w:r>
      <w:r w:rsidRPr="00CA71FB">
        <w:rPr>
          <w:rFonts w:ascii="Arial" w:eastAsia="Calibri" w:hAnsi="Arial" w:cs="Arial"/>
          <w:b/>
          <w:bCs/>
          <w:i/>
          <w:iCs/>
          <w:kern w:val="2"/>
          <w:sz w:val="21"/>
          <w:szCs w:val="21"/>
          <w:u w:val="single"/>
          <w14:ligatures w14:val="standardContextual"/>
        </w:rPr>
        <w:t>gestión fiscal</w:t>
      </w:r>
      <w:r w:rsidRPr="00CA71FB">
        <w:rPr>
          <w:rFonts w:ascii="Arial" w:eastAsia="Calibri" w:hAnsi="Arial" w:cs="Arial"/>
          <w:i/>
          <w:iCs/>
          <w:kern w:val="2"/>
          <w:sz w:val="21"/>
          <w:szCs w:val="21"/>
          <w14:ligatures w14:val="standardContextual"/>
        </w:rPr>
        <w:t xml:space="preserve"> </w:t>
      </w:r>
      <w:r w:rsidRPr="00CA71FB">
        <w:rPr>
          <w:rFonts w:ascii="Arial" w:eastAsia="Calibri" w:hAnsi="Arial" w:cs="Arial"/>
          <w:kern w:val="2"/>
          <w:sz w:val="21"/>
          <w:szCs w:val="21"/>
          <w14:ligatures w14:val="standardContextual"/>
        </w:rPr>
        <w:t xml:space="preserve">sobre los recursos del </w:t>
      </w:r>
      <w:r w:rsidRPr="00CA71FB">
        <w:rPr>
          <w:rFonts w:ascii="Arial" w:eastAsia="Calibri" w:hAnsi="Arial" w:cs="Arial"/>
          <w:b/>
          <w:bCs/>
          <w:kern w:val="2"/>
          <w:sz w:val="21"/>
          <w:szCs w:val="21"/>
          <w14:ligatures w14:val="standardContextual"/>
        </w:rPr>
        <w:t>subsidio familiar</w:t>
      </w:r>
      <w:r w:rsidRPr="00CA71FB">
        <w:rPr>
          <w:rFonts w:ascii="Arial" w:eastAsia="Calibri" w:hAnsi="Arial" w:cs="Arial"/>
          <w:kern w:val="2"/>
          <w:sz w:val="21"/>
          <w:szCs w:val="21"/>
          <w14:ligatures w14:val="standardContextual"/>
        </w:rPr>
        <w:t>.” [Negrillas propias, cursiva y subraya fuera de texto]</w:t>
      </w:r>
    </w:p>
    <w:p w14:paraId="0D261C64"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p>
    <w:p w14:paraId="0A1BE699" w14:textId="77777777" w:rsidR="009157E3" w:rsidRPr="00CA71FB" w:rsidRDefault="009157E3" w:rsidP="009157E3">
      <w:pPr>
        <w:spacing w:after="0" w:line="276" w:lineRule="auto"/>
        <w:ind w:firstLine="708"/>
        <w:jc w:val="both"/>
        <w:rPr>
          <w:rFonts w:ascii="Arial" w:eastAsia="Calibri" w:hAnsi="Arial" w:cs="Arial"/>
          <w:kern w:val="2"/>
          <w14:ligatures w14:val="standardContextual"/>
        </w:rPr>
      </w:pPr>
      <w:r w:rsidRPr="00CA71FB">
        <w:rPr>
          <w:rFonts w:ascii="Arial" w:eastAsia="Calibri" w:hAnsi="Arial" w:cs="Arial"/>
          <w:color w:val="000000"/>
          <w:kern w:val="2"/>
          <w14:ligatures w14:val="standardContextual"/>
        </w:rPr>
        <w:t xml:space="preserve">Ahora bien, el Consejo de Estado sobre la naturaleza de los aportes que reciben dichas Cajas en su calidad de administradoras del subsidio familiar, enfatizó que la legislación y la jurisprudencia le han otorgado la </w:t>
      </w:r>
      <w:r w:rsidRPr="00CA71FB">
        <w:rPr>
          <w:rFonts w:ascii="Arial" w:eastAsia="Calibri" w:hAnsi="Arial" w:cs="Arial"/>
          <w:kern w:val="2"/>
          <w14:ligatures w14:val="standardContextual"/>
        </w:rPr>
        <w:t>calidad de recursos parafiscales</w:t>
      </w:r>
      <w:r w:rsidRPr="00CA71FB">
        <w:rPr>
          <w:rFonts w:ascii="Arial" w:eastAsia="Calibri" w:hAnsi="Arial" w:cs="Arial"/>
          <w:kern w:val="2"/>
          <w:vertAlign w:val="superscript"/>
          <w14:ligatures w14:val="standardContextual"/>
        </w:rPr>
        <w:footnoteReference w:id="4"/>
      </w:r>
      <w:r w:rsidRPr="00CA71FB">
        <w:rPr>
          <w:rFonts w:ascii="Arial" w:eastAsia="Calibri" w:hAnsi="Arial" w:cs="Arial"/>
          <w:kern w:val="2"/>
          <w14:ligatures w14:val="standardContextual"/>
        </w:rPr>
        <w:t>. Apreciación, que se confirma con lo dispuesto en el artículo 2.2.7.5.3.2 del Decreto 1072 de 2015 –Decreto Único Reglamentario del Sector Trabajo– que señaló:</w:t>
      </w:r>
    </w:p>
    <w:p w14:paraId="6B6A2CE2" w14:textId="77777777" w:rsidR="009157E3" w:rsidRPr="00CA71FB" w:rsidRDefault="009157E3" w:rsidP="009157E3">
      <w:pPr>
        <w:spacing w:after="0" w:line="276" w:lineRule="auto"/>
        <w:jc w:val="both"/>
        <w:rPr>
          <w:rFonts w:ascii="Arial" w:eastAsia="Calibri" w:hAnsi="Arial" w:cs="Arial"/>
          <w:kern w:val="2"/>
          <w14:ligatures w14:val="standardContextual"/>
        </w:rPr>
      </w:pPr>
    </w:p>
    <w:p w14:paraId="6348C7DF" w14:textId="77777777" w:rsidR="009157E3" w:rsidRPr="00CA71FB" w:rsidRDefault="009157E3" w:rsidP="009157E3">
      <w:pPr>
        <w:spacing w:after="0" w:line="240" w:lineRule="auto"/>
        <w:ind w:left="709" w:right="709"/>
        <w:jc w:val="both"/>
        <w:rPr>
          <w:rFonts w:ascii="Arial" w:eastAsia="Calibri" w:hAnsi="Arial" w:cs="Arial"/>
          <w:kern w:val="2"/>
          <w:sz w:val="21"/>
          <w:szCs w:val="21"/>
          <w14:ligatures w14:val="standardContextual"/>
        </w:rPr>
      </w:pPr>
      <w:r w:rsidRPr="00CA71FB">
        <w:rPr>
          <w:rFonts w:ascii="Arial" w:eastAsia="Calibri" w:hAnsi="Arial" w:cs="Arial"/>
          <w:kern w:val="2"/>
          <w:sz w:val="21"/>
          <w:szCs w:val="21"/>
          <w14:ligatures w14:val="standardContextual"/>
        </w:rPr>
        <w:t>“Artículo 2.2.7.5.3.2. Afectación de los recursos administrados por las cajas de compensación familiar. Los recursos que administran las Cajas de Compensación Familiar están destinados a la atención de las prestaciones y servicios de la seguridad social y demás finalidades que prevea la ley y no podrán comprometerse para fines diferentes.</w:t>
      </w:r>
    </w:p>
    <w:p w14:paraId="7A2893E5" w14:textId="77777777" w:rsidR="009157E3" w:rsidRPr="00CA71FB" w:rsidRDefault="009157E3" w:rsidP="009157E3">
      <w:pPr>
        <w:spacing w:before="120" w:after="0" w:line="240" w:lineRule="auto"/>
        <w:ind w:left="709" w:right="709"/>
        <w:jc w:val="both"/>
        <w:rPr>
          <w:rFonts w:ascii="Arial" w:eastAsia="Calibri" w:hAnsi="Arial" w:cs="Arial"/>
          <w:kern w:val="2"/>
          <w:sz w:val="21"/>
          <w:szCs w:val="21"/>
          <w14:ligatures w14:val="standardContextual"/>
        </w:rPr>
      </w:pPr>
      <w:r w:rsidRPr="00CA71FB">
        <w:rPr>
          <w:rFonts w:ascii="Arial" w:eastAsia="Calibri" w:hAnsi="Arial" w:cs="Arial"/>
          <w:i/>
          <w:iCs/>
          <w:kern w:val="2"/>
          <w:sz w:val="21"/>
          <w:szCs w:val="21"/>
          <w14:ligatures w14:val="standardContextual"/>
        </w:rPr>
        <w:lastRenderedPageBreak/>
        <w:t xml:space="preserve">Los que provengan de los aportes obligatorios pagados por los empleadores y por las cooperativas de trabajo asociado tienen la condición de </w:t>
      </w:r>
      <w:r w:rsidRPr="00CA71FB">
        <w:rPr>
          <w:rFonts w:ascii="Arial" w:eastAsia="Calibri" w:hAnsi="Arial" w:cs="Arial"/>
          <w:i/>
          <w:iCs/>
          <w:kern w:val="2"/>
          <w:sz w:val="21"/>
          <w:szCs w:val="21"/>
          <w:u w:val="single"/>
          <w14:ligatures w14:val="standardContextual"/>
        </w:rPr>
        <w:t>recursos parafiscales</w:t>
      </w:r>
      <w:r w:rsidRPr="00CA71FB">
        <w:rPr>
          <w:rFonts w:ascii="Arial" w:eastAsia="Calibri" w:hAnsi="Arial" w:cs="Arial"/>
          <w:i/>
          <w:iCs/>
          <w:kern w:val="2"/>
          <w:sz w:val="21"/>
          <w:szCs w:val="21"/>
          <w14:ligatures w14:val="standardContextual"/>
        </w:rPr>
        <w:t xml:space="preserve"> y como tales, su administración se rige por las disposiciones legales correspondientes.</w:t>
      </w:r>
      <w:r w:rsidRPr="00CA71FB">
        <w:rPr>
          <w:rFonts w:ascii="Arial" w:eastAsia="Calibri" w:hAnsi="Arial" w:cs="Arial"/>
          <w:b/>
          <w:bCs/>
          <w:i/>
          <w:iCs/>
          <w:kern w:val="2"/>
          <w:sz w:val="21"/>
          <w:szCs w:val="21"/>
          <w14:ligatures w14:val="standardContextual"/>
        </w:rPr>
        <w:t xml:space="preserve"> </w:t>
      </w:r>
      <w:r w:rsidRPr="00CA71FB">
        <w:rPr>
          <w:rFonts w:ascii="Arial" w:eastAsia="Calibri" w:hAnsi="Arial" w:cs="Arial"/>
          <w:kern w:val="2"/>
          <w:sz w:val="21"/>
          <w:szCs w:val="21"/>
          <w14:ligatures w14:val="standardContextual"/>
        </w:rPr>
        <w:t>[…]” [Énfasis fuera de texto]</w:t>
      </w:r>
    </w:p>
    <w:p w14:paraId="01BEA8E3" w14:textId="77777777" w:rsidR="009157E3" w:rsidRPr="00CA71FB" w:rsidRDefault="009157E3" w:rsidP="009157E3">
      <w:pPr>
        <w:spacing w:after="0" w:line="276" w:lineRule="auto"/>
        <w:jc w:val="both"/>
        <w:rPr>
          <w:rFonts w:ascii="Arial" w:eastAsia="Calibri" w:hAnsi="Arial" w:cs="Arial"/>
          <w:kern w:val="2"/>
          <w14:ligatures w14:val="standardContextual"/>
        </w:rPr>
      </w:pPr>
    </w:p>
    <w:p w14:paraId="0A61C723" w14:textId="77777777" w:rsidR="009157E3" w:rsidRPr="00CA71FB" w:rsidRDefault="009157E3" w:rsidP="009157E3">
      <w:pPr>
        <w:spacing w:after="0" w:line="276" w:lineRule="auto"/>
        <w:jc w:val="both"/>
        <w:rPr>
          <w:rFonts w:ascii="Arial" w:eastAsia="Calibri" w:hAnsi="Arial" w:cs="Arial"/>
          <w:kern w:val="2"/>
          <w14:ligatures w14:val="standardContextual"/>
        </w:rPr>
      </w:pPr>
      <w:r w:rsidRPr="00CA71FB">
        <w:rPr>
          <w:rFonts w:ascii="Arial" w:eastAsia="Calibri" w:hAnsi="Arial" w:cs="Arial"/>
          <w:kern w:val="2"/>
          <w14:ligatures w14:val="standardContextual"/>
        </w:rPr>
        <w:tab/>
        <w:t>En ese orden, para el Consejo de Estado, los recursos de carácter parafiscal que administran las Cajas de Compensación Familiar son de naturaleza pública, en tanto constituyen una fuente de financiación que el Estado consagra en beneficio de un sector, aunque desde la perspectiva presupuestal no integran el Presupuesto General de la Nación</w:t>
      </w:r>
      <w:r w:rsidRPr="00CA71FB">
        <w:rPr>
          <w:rFonts w:ascii="Arial" w:eastAsia="Times New Roman" w:hAnsi="Arial" w:cs="Arial"/>
          <w:i/>
          <w:vertAlign w:val="superscript"/>
          <w:lang w:val="es-ES" w:eastAsia="es-ES"/>
        </w:rPr>
        <w:footnoteReference w:id="5"/>
      </w:r>
      <w:r w:rsidRPr="00CA71FB">
        <w:rPr>
          <w:rFonts w:ascii="Arial" w:eastAsia="Times New Roman" w:hAnsi="Arial" w:cs="Arial"/>
          <w:i/>
          <w:lang w:val="es-ES" w:eastAsia="es-ES"/>
        </w:rPr>
        <w:t>.</w:t>
      </w:r>
    </w:p>
    <w:p w14:paraId="642145CF" w14:textId="77777777" w:rsidR="009157E3" w:rsidRPr="00CA71FB" w:rsidRDefault="009157E3" w:rsidP="009157E3">
      <w:pPr>
        <w:spacing w:before="120" w:after="0" w:line="276" w:lineRule="auto"/>
        <w:jc w:val="both"/>
        <w:rPr>
          <w:rFonts w:ascii="Arial" w:eastAsia="Calibri" w:hAnsi="Arial" w:cs="Arial"/>
          <w:kern w:val="2"/>
          <w14:ligatures w14:val="standardContextual"/>
        </w:rPr>
      </w:pPr>
      <w:r w:rsidRPr="00CA71FB">
        <w:rPr>
          <w:rFonts w:ascii="Arial" w:eastAsia="Calibri" w:hAnsi="Arial" w:cs="Arial"/>
          <w:kern w:val="2"/>
          <w14:ligatures w14:val="standardContextual"/>
        </w:rPr>
        <w:tab/>
        <w:t xml:space="preserve">Teniendo en cuenta la función principal que desempeñan las Cajas de Compensación Familiar y la naturaleza de los recursos que administran, a </w:t>
      </w:r>
      <w:proofErr w:type="gramStart"/>
      <w:r w:rsidRPr="00CA71FB">
        <w:rPr>
          <w:rFonts w:ascii="Arial" w:eastAsia="Calibri" w:hAnsi="Arial" w:cs="Arial"/>
          <w:kern w:val="2"/>
          <w14:ligatures w14:val="standardContextual"/>
        </w:rPr>
        <w:t>continuación</w:t>
      </w:r>
      <w:proofErr w:type="gramEnd"/>
      <w:r w:rsidRPr="00CA71FB">
        <w:rPr>
          <w:rFonts w:ascii="Arial" w:eastAsia="Calibri" w:hAnsi="Arial" w:cs="Arial"/>
          <w:kern w:val="2"/>
          <w14:ligatures w14:val="standardContextual"/>
        </w:rPr>
        <w:t xml:space="preserve"> se analizará si estas están o no en la obligación de emitir un Plan Anual de Adquisiciones.</w:t>
      </w:r>
    </w:p>
    <w:p w14:paraId="6B7FFA97" w14:textId="77777777" w:rsidR="009157E3" w:rsidRPr="00CA71FB" w:rsidRDefault="009157E3" w:rsidP="009157E3">
      <w:pPr>
        <w:spacing w:after="0" w:line="276" w:lineRule="auto"/>
        <w:jc w:val="both"/>
        <w:rPr>
          <w:rFonts w:ascii="Arial" w:eastAsia="Calibri" w:hAnsi="Arial" w:cs="Arial"/>
          <w:bCs/>
          <w:lang w:val="es-MX"/>
        </w:rPr>
      </w:pPr>
    </w:p>
    <w:p w14:paraId="27BD730F" w14:textId="77777777" w:rsidR="009157E3" w:rsidRPr="00CA71FB" w:rsidRDefault="009157E3" w:rsidP="009157E3">
      <w:pPr>
        <w:spacing w:after="0" w:line="276" w:lineRule="auto"/>
        <w:jc w:val="both"/>
        <w:rPr>
          <w:rFonts w:ascii="Arial" w:eastAsia="Calibri" w:hAnsi="Arial" w:cs="Arial"/>
          <w:b/>
          <w:lang w:val="es-MX"/>
        </w:rPr>
      </w:pPr>
      <w:r w:rsidRPr="00CA71FB">
        <w:rPr>
          <w:rFonts w:ascii="Arial" w:eastAsia="Calibri" w:hAnsi="Arial" w:cs="Arial"/>
          <w:b/>
          <w:lang w:val="es-MX"/>
        </w:rPr>
        <w:t>2.2. Sujetos obligados a elaborar el Plan Anual de Adquisiciones. Cajas de Compensación Familiar</w:t>
      </w:r>
    </w:p>
    <w:p w14:paraId="29F3D833" w14:textId="77777777" w:rsidR="009157E3" w:rsidRPr="00CA71FB" w:rsidRDefault="009157E3" w:rsidP="009157E3">
      <w:pPr>
        <w:spacing w:after="0" w:line="276" w:lineRule="auto"/>
        <w:jc w:val="both"/>
        <w:rPr>
          <w:rFonts w:ascii="Arial" w:eastAsia="Calibri" w:hAnsi="Arial" w:cs="Arial"/>
          <w:b/>
          <w:lang w:val="es-MX"/>
        </w:rPr>
      </w:pPr>
    </w:p>
    <w:p w14:paraId="0AB9D687" w14:textId="77777777" w:rsidR="009157E3" w:rsidRPr="00CA71FB" w:rsidRDefault="009157E3" w:rsidP="009157E3">
      <w:pPr>
        <w:tabs>
          <w:tab w:val="left" w:pos="0"/>
        </w:tabs>
        <w:spacing w:after="0" w:line="276" w:lineRule="auto"/>
        <w:jc w:val="both"/>
        <w:rPr>
          <w:rFonts w:ascii="Arial" w:eastAsia="Calibri" w:hAnsi="Arial" w:cs="Arial"/>
          <w:color w:val="000000"/>
          <w:lang w:val="es-ES"/>
        </w:rPr>
      </w:pPr>
      <w:bookmarkStart w:id="5" w:name="_Hlk118972301"/>
      <w:r w:rsidRPr="00CA71FB">
        <w:rPr>
          <w:rFonts w:ascii="Arial" w:eastAsia="Times New Roman" w:hAnsi="Arial" w:cs="Arial"/>
        </w:rPr>
        <w:t>El</w:t>
      </w:r>
      <w:r w:rsidRPr="00CA71FB">
        <w:rPr>
          <w:rFonts w:ascii="Arial" w:eastAsia="Times New Roman" w:hAnsi="Arial" w:cs="Arial"/>
          <w:lang w:val="es-ES"/>
        </w:rPr>
        <w:t xml:space="preserve"> Plan Anual de Adquisiciones es un</w:t>
      </w:r>
      <w:r w:rsidRPr="00CA71FB">
        <w:rPr>
          <w:rFonts w:ascii="Arial" w:eastAsia="Calibri" w:hAnsi="Arial" w:cs="Arial"/>
          <w:color w:val="000000"/>
          <w:lang w:val="es-ES"/>
        </w:rPr>
        <w:t xml:space="preserve">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w:t>
      </w:r>
      <w:r w:rsidRPr="00CA71FB">
        <w:rPr>
          <w:rFonts w:ascii="Arial" w:eastAsia="Times New Roman" w:hAnsi="Arial" w:cs="Arial"/>
        </w:rPr>
        <w:t xml:space="preserve">l Plan Anual de Adquisiciones se considera </w:t>
      </w:r>
      <w:r w:rsidRPr="00CA71FB">
        <w:rPr>
          <w:rFonts w:ascii="Arial" w:eastAsia="Times New Roman" w:hAnsi="Arial" w:cs="Arial"/>
          <w:lang w:val="es-ES"/>
        </w:rPr>
        <w:t>un documento de carácter estimativo que tiene entre otras finalidades, la</w:t>
      </w:r>
      <w:r w:rsidRPr="00CA71FB">
        <w:rPr>
          <w:rFonts w:ascii="Arial" w:eastAsia="Calibri" w:hAnsi="Arial" w:cs="Arial"/>
          <w:color w:val="000000"/>
          <w:lang w:val="es-ES"/>
        </w:rPr>
        <w:t xml:space="preserve"> de “servir como referente inicial para evaluar la ejecución de presupuesto y pronosticar la demanda de bienes y servicios de la entidad durante el año referido del plan”</w:t>
      </w:r>
      <w:r w:rsidRPr="00CA71FB">
        <w:rPr>
          <w:rFonts w:ascii="Arial" w:eastAsia="Calibri" w:hAnsi="Arial" w:cs="Arial"/>
          <w:color w:val="000000"/>
          <w:vertAlign w:val="superscript"/>
        </w:rPr>
        <w:footnoteReference w:id="6"/>
      </w:r>
      <w:r w:rsidRPr="00CA71FB">
        <w:rPr>
          <w:rFonts w:ascii="Arial" w:eastAsia="Calibri" w:hAnsi="Arial" w:cs="Arial"/>
          <w:color w:val="000000"/>
          <w:lang w:val="es-ES"/>
        </w:rPr>
        <w:t xml:space="preserve">. </w:t>
      </w:r>
    </w:p>
    <w:bookmarkEnd w:id="5"/>
    <w:p w14:paraId="16679CC9" w14:textId="77777777" w:rsidR="009157E3" w:rsidRPr="00CA71FB" w:rsidRDefault="009157E3" w:rsidP="009157E3">
      <w:pPr>
        <w:spacing w:before="120" w:after="0" w:line="276" w:lineRule="auto"/>
        <w:jc w:val="both"/>
        <w:rPr>
          <w:rFonts w:ascii="Arial" w:eastAsia="Calibri" w:hAnsi="Arial" w:cs="Arial"/>
          <w:kern w:val="2"/>
          <w14:ligatures w14:val="standardContextual"/>
        </w:rPr>
      </w:pPr>
      <w:r w:rsidRPr="00CA71FB">
        <w:rPr>
          <w:rFonts w:ascii="Arial" w:eastAsia="Calibri" w:hAnsi="Arial" w:cs="Arial"/>
          <w:kern w:val="2"/>
          <w14:ligatures w14:val="standardContextual"/>
        </w:rPr>
        <w:tab/>
        <w:t>De acuerdo con el artículo 2.2.1.1.1.3.1. del Decreto 1082 de 2015, el Plan Anual de Adquisiciones es el plan general de compras al que se refiere el artículo 74 de la Ley 1474 de 2011 y el plan de compras al que se refiere la Ley Anual de Presupuesto. Asimismo, este artículo lo define como un instrumento de planeación contractual que las Entidades Estatales deben diligenciar, publicar y actualizar.</w:t>
      </w:r>
      <w:r w:rsidRPr="00CA71FB">
        <w:rPr>
          <w:rFonts w:ascii="Arial" w:eastAsia="Calibri" w:hAnsi="Arial" w:cs="Arial"/>
          <w:kern w:val="2"/>
          <w14:ligatures w14:val="standardContextual"/>
        </w:rPr>
        <w:tab/>
      </w:r>
    </w:p>
    <w:p w14:paraId="1FF69726" w14:textId="77777777" w:rsidR="009157E3" w:rsidRPr="00CA71FB" w:rsidRDefault="009157E3" w:rsidP="009157E3">
      <w:pPr>
        <w:spacing w:before="120" w:line="276" w:lineRule="auto"/>
        <w:ind w:firstLine="709"/>
        <w:jc w:val="both"/>
        <w:rPr>
          <w:rFonts w:ascii="Arial" w:eastAsia="Calibri" w:hAnsi="Arial" w:cs="Arial"/>
          <w:lang w:val="es-ES"/>
        </w:rPr>
      </w:pPr>
      <w:r w:rsidRPr="00CA71FB">
        <w:rPr>
          <w:rFonts w:ascii="Arial" w:eastAsia="Calibri" w:hAnsi="Arial" w:cs="Arial"/>
          <w:noProof/>
          <w:lang w:val="es-ES_tradnl"/>
        </w:rPr>
        <w:t>En particular, el artículo 74 de la Ley 1474 de 2011 dispone que “todas las entidades del Estado” deben publicar, a más tardar el 31 de enero de cada año, en su respectiva página web, el plan de acción, en el cual se incluye el plan general de compras</w:t>
      </w:r>
      <w:r w:rsidRPr="00CA71FB">
        <w:rPr>
          <w:rFonts w:ascii="Arial" w:eastAsia="Calibri" w:hAnsi="Arial" w:cs="Arial"/>
          <w:noProof/>
          <w:vertAlign w:val="superscript"/>
          <w:lang w:val="es-ES_tradnl"/>
        </w:rPr>
        <w:footnoteReference w:id="7"/>
      </w:r>
      <w:r w:rsidRPr="00CA71FB">
        <w:rPr>
          <w:rFonts w:ascii="Arial" w:eastAsia="Calibri" w:hAnsi="Arial" w:cs="Arial"/>
          <w:noProof/>
          <w:lang w:val="es-ES_tradnl"/>
        </w:rPr>
        <w:t xml:space="preserve">. Como ya se indicó, el plan </w:t>
      </w:r>
      <w:r w:rsidRPr="00CA71FB">
        <w:rPr>
          <w:rFonts w:ascii="Arial" w:eastAsia="Calibri" w:hAnsi="Arial" w:cs="Arial"/>
          <w:noProof/>
          <w:lang w:val="es-ES_tradnl"/>
        </w:rPr>
        <w:lastRenderedPageBreak/>
        <w:t>general de compras para el ordenamiento vigente corresponde con el concepto de Plan Anual de Adquisiciones como lo establece el artículo 2.2.1.1.1.3.1. del Decreto 1082 de 2015</w:t>
      </w:r>
      <w:r w:rsidRPr="00CA71FB">
        <w:rPr>
          <w:rFonts w:ascii="Arial" w:eastAsia="Calibri" w:hAnsi="Arial" w:cs="Arial"/>
          <w:noProof/>
          <w:vertAlign w:val="superscript"/>
          <w:lang w:val="es-ES_tradnl"/>
        </w:rPr>
        <w:footnoteReference w:id="8"/>
      </w:r>
      <w:r w:rsidRPr="00CA71FB">
        <w:rPr>
          <w:rFonts w:ascii="Arial" w:eastAsia="Calibri" w:hAnsi="Arial" w:cs="Arial"/>
          <w:noProof/>
          <w:lang w:val="es-ES_tradnl"/>
        </w:rPr>
        <w:t xml:space="preserve">.  Además, de acuerdo con el artículo 2.2.1.1.1.4.3, </w:t>
      </w:r>
      <w:r w:rsidRPr="00CA71FB">
        <w:rPr>
          <w:rFonts w:ascii="Arial" w:eastAsia="Calibri" w:hAnsi="Arial" w:cs="Arial"/>
          <w:i/>
          <w:noProof/>
          <w:lang w:val="es-ES_tradnl"/>
        </w:rPr>
        <w:t>Ibídem</w:t>
      </w:r>
      <w:r w:rsidRPr="00CA71FB">
        <w:rPr>
          <w:rFonts w:ascii="Arial" w:eastAsia="Calibri" w:hAnsi="Arial" w:cs="Arial"/>
          <w:noProof/>
          <w:lang w:val="es-ES_tradnl"/>
        </w:rPr>
        <w:t>,</w:t>
      </w:r>
      <w:r w:rsidRPr="00CA71FB">
        <w:rPr>
          <w:rFonts w:ascii="Arial" w:eastAsia="Calibri" w:hAnsi="Arial" w:cs="Arial"/>
          <w:lang w:val="es-ES"/>
        </w:rPr>
        <w:t xml:space="preserve"> el Plan Anual de Adquisiciones también debe publicarse en el SECOP</w:t>
      </w:r>
      <w:r w:rsidRPr="00CA71FB">
        <w:rPr>
          <w:rFonts w:ascii="Arial" w:eastAsia="Calibri" w:hAnsi="Arial" w:cs="Arial"/>
          <w:vertAlign w:val="superscript"/>
        </w:rPr>
        <w:footnoteReference w:id="9"/>
      </w:r>
      <w:r w:rsidRPr="00CA71FB">
        <w:rPr>
          <w:rFonts w:ascii="Arial" w:eastAsia="Calibri" w:hAnsi="Arial" w:cs="Arial"/>
          <w:lang w:val="es-ES"/>
        </w:rPr>
        <w:t xml:space="preserve">. Se trata de una obligación que involucra a todas las entidades del Estado sin importar la rama a la cual pertenecen, o si se trata de entidades descentralizadas territorialmente o por servicios; los órganos con competencia para contratar, como los concejos municipales; las empresas del Estado y las sociedades en las que el Estado tenga participación, sin que importe su monto. </w:t>
      </w:r>
    </w:p>
    <w:p w14:paraId="52115542"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Ahora bien, respecto del deber de elaboración del Plan Anual de Adquisiciones, el artículo2.2.1.1.1.4.1 del Decreto 1082 de 2015 dispone: </w:t>
      </w:r>
    </w:p>
    <w:p w14:paraId="7E00B79D"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p>
    <w:p w14:paraId="7C90FECA" w14:textId="77777777" w:rsidR="009157E3" w:rsidRPr="00CA71FB" w:rsidRDefault="009157E3" w:rsidP="009157E3">
      <w:pPr>
        <w:spacing w:after="0" w:line="240" w:lineRule="auto"/>
        <w:ind w:left="709" w:right="709"/>
        <w:jc w:val="both"/>
        <w:rPr>
          <w:rFonts w:ascii="Arial" w:eastAsia="Calibri" w:hAnsi="Arial" w:cs="Arial"/>
          <w:kern w:val="2"/>
          <w:sz w:val="21"/>
          <w:szCs w:val="21"/>
          <w14:ligatures w14:val="standardContextual"/>
        </w:rPr>
      </w:pPr>
      <w:r w:rsidRPr="00CA71FB">
        <w:rPr>
          <w:rFonts w:ascii="Arial" w:eastAsia="Calibri" w:hAnsi="Arial" w:cs="Arial"/>
          <w:kern w:val="2"/>
          <w:sz w:val="21"/>
          <w:szCs w:val="21"/>
          <w14:ligatures w14:val="standardContextual"/>
        </w:rPr>
        <w:t xml:space="preserve">“Artículo 2.2.1.1.1.4.1. Plan Anual de Adquisiciones. </w:t>
      </w:r>
      <w:r w:rsidRPr="00CA71FB">
        <w:rPr>
          <w:rFonts w:ascii="Arial" w:eastAsia="Calibri" w:hAnsi="Arial" w:cs="Arial"/>
          <w:i/>
          <w:iCs/>
          <w:kern w:val="2"/>
          <w:sz w:val="21"/>
          <w:szCs w:val="21"/>
          <w:u w:val="single"/>
          <w14:ligatures w14:val="standardContextual"/>
        </w:rPr>
        <w:t xml:space="preserve">Las entidades estatales </w:t>
      </w:r>
      <w:r w:rsidRPr="00CA71FB">
        <w:rPr>
          <w:rFonts w:ascii="Arial" w:eastAsia="Calibri" w:hAnsi="Arial" w:cs="Arial"/>
          <w:kern w:val="2"/>
          <w:sz w:val="21"/>
          <w:szCs w:val="21"/>
          <w14:ligatures w14:val="standardContextual"/>
        </w:rPr>
        <w:t>deben elaborar un Plan Anual de Adquisiciones, el cual debe contener la lista de bienes, obras y servicios que pretenden adquirir durante el año. En el Plan Anual de Adquisiciones, la Entidad Estatal debe señalar como mínimo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 [Énfasis fuera de texto]</w:t>
      </w:r>
    </w:p>
    <w:p w14:paraId="618B75DB"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p>
    <w:p w14:paraId="3E3530BE"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Si bien la norma en cita es clara al establecer que son las Entidades Estatales los sujetos que deberán elaborar el Plan Anual de Adquisiciones, para el caso bajo estudio resulta </w:t>
      </w:r>
      <w:r w:rsidRPr="00CA71FB">
        <w:rPr>
          <w:rFonts w:ascii="Arial" w:eastAsia="Calibri" w:hAnsi="Arial" w:cs="Arial"/>
          <w:color w:val="000000"/>
          <w:kern w:val="2"/>
          <w14:ligatures w14:val="standardContextual"/>
        </w:rPr>
        <w:lastRenderedPageBreak/>
        <w:t xml:space="preserve">preponderante analizar desde lo dispuesto en el ordenamiento jurídico, los sujetos que integran tal denominación. Sobre el particular, el Estatuto General de Contratación de la Administración Pública, señala en su artículo 2, numeral 1, lo siguiente: </w:t>
      </w:r>
    </w:p>
    <w:p w14:paraId="199BCF3A" w14:textId="77777777" w:rsidR="009157E3" w:rsidRPr="00CA71FB" w:rsidRDefault="009157E3" w:rsidP="009157E3">
      <w:pPr>
        <w:spacing w:after="0" w:line="240" w:lineRule="auto"/>
        <w:jc w:val="both"/>
        <w:rPr>
          <w:rFonts w:ascii="Arial" w:eastAsia="Calibri" w:hAnsi="Arial" w:cs="Arial"/>
          <w:color w:val="000000"/>
          <w:kern w:val="2"/>
          <w14:ligatures w14:val="standardContextual"/>
        </w:rPr>
      </w:pPr>
    </w:p>
    <w:p w14:paraId="0969B49F" w14:textId="77777777" w:rsidR="009157E3" w:rsidRPr="00CA71FB" w:rsidRDefault="009157E3" w:rsidP="009157E3">
      <w:pPr>
        <w:spacing w:after="0" w:line="240" w:lineRule="auto"/>
        <w:ind w:left="709" w:right="709"/>
        <w:jc w:val="both"/>
        <w:rPr>
          <w:rFonts w:ascii="Arial" w:eastAsia="Calibri" w:hAnsi="Arial" w:cs="Arial"/>
          <w:kern w:val="2"/>
          <w:sz w:val="21"/>
          <w:szCs w:val="21"/>
          <w14:ligatures w14:val="standardContextual"/>
        </w:rPr>
      </w:pPr>
      <w:r w:rsidRPr="00CA71FB">
        <w:rPr>
          <w:rFonts w:ascii="Arial" w:eastAsia="Calibri" w:hAnsi="Arial" w:cs="Arial"/>
          <w:kern w:val="2"/>
          <w:sz w:val="21"/>
          <w:szCs w:val="21"/>
          <w14:ligatures w14:val="standardContextual"/>
        </w:rPr>
        <w:t>“1o. Se denominan entidades estatales:</w:t>
      </w:r>
    </w:p>
    <w:p w14:paraId="3742F55B" w14:textId="77777777" w:rsidR="009157E3" w:rsidRPr="00CA71FB" w:rsidRDefault="009157E3" w:rsidP="009157E3">
      <w:pPr>
        <w:spacing w:before="120" w:after="0" w:line="240" w:lineRule="auto"/>
        <w:ind w:left="709" w:right="709"/>
        <w:jc w:val="both"/>
        <w:rPr>
          <w:rFonts w:ascii="Arial" w:eastAsia="Calibri" w:hAnsi="Arial" w:cs="Arial"/>
          <w:kern w:val="2"/>
          <w:sz w:val="21"/>
          <w:szCs w:val="21"/>
          <w14:ligatures w14:val="standardContextual"/>
        </w:rPr>
      </w:pPr>
      <w:r w:rsidRPr="00CA71FB">
        <w:rPr>
          <w:rFonts w:ascii="Arial" w:eastAsia="Calibri" w:hAnsi="Arial" w:cs="Arial"/>
          <w:kern w:val="2"/>
          <w:sz w:val="21"/>
          <w:szCs w:val="21"/>
          <w14:ligatures w14:val="standardContextual"/>
        </w:rPr>
        <w:t>a) La Nación, las regiones, los departamentos, las provincias, el distrito capital y los distritos especiales, las áreas metropolitanas, las asociaciones de municipios, los territorios indígenas y los municipios; los establecimientos públicos, las empresa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ECB6360" w14:textId="77777777" w:rsidR="009157E3" w:rsidRPr="00CA71FB" w:rsidRDefault="009157E3" w:rsidP="009157E3">
      <w:pPr>
        <w:spacing w:after="0" w:line="240" w:lineRule="auto"/>
        <w:jc w:val="both"/>
        <w:rPr>
          <w:rFonts w:ascii="Arial" w:eastAsia="Calibri" w:hAnsi="Arial" w:cs="Arial"/>
          <w:kern w:val="2"/>
          <w:sz w:val="21"/>
          <w:szCs w:val="21"/>
          <w14:ligatures w14:val="standardContextual"/>
        </w:rPr>
      </w:pPr>
    </w:p>
    <w:p w14:paraId="7BB02001"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Conforme se aprecia, esta disposición legal hace alusión a una serie de personas jurídicas públicas ubicadas en distintos órdenes y niveles de la Administración Pública, a efectos de predicar respecto a estas la calidad de Entidades Estatales. Dicha calidad, de conformidad con lo establecido en el artículo 1 de la Ley 80 de 1993, en principio, implica que el régimen contractual aplicable a los sujetos referidos en la norma sea el Estatuto General de Contratación de la Administración Pública.</w:t>
      </w:r>
    </w:p>
    <w:p w14:paraId="2EC8C72B" w14:textId="77777777" w:rsidR="009157E3" w:rsidRPr="00CA71FB" w:rsidRDefault="009157E3" w:rsidP="009157E3">
      <w:pPr>
        <w:spacing w:after="0" w:line="276" w:lineRule="auto"/>
        <w:jc w:val="both"/>
        <w:rPr>
          <w:rFonts w:ascii="Arial" w:eastAsia="Calibri" w:hAnsi="Arial" w:cs="Arial"/>
          <w:kern w:val="2"/>
          <w14:ligatures w14:val="standardContextual"/>
        </w:rPr>
      </w:pPr>
      <w:r w:rsidRPr="00CA71FB">
        <w:rPr>
          <w:rFonts w:ascii="Arial" w:eastAsia="Calibri" w:hAnsi="Arial" w:cs="Arial"/>
          <w:kern w:val="2"/>
          <w14:ligatures w14:val="standardContextual"/>
        </w:rPr>
        <w:tab/>
        <w:t>En conclusión, resulta claro que entidades como la Nación, los departamentos, municipios, establecimientos públicos y asociaciones de municipios, obedecen a la noción de Entidades Estatales establecida por el literal a), del numeral 1, del artículo 2, de la Ley 80 de 1993, de lo que se colige, que se encuentran obligadas a elaborar el Plan Anual de Adquisiciones según lo dispuesto en el artículo 2.2.1.1.1.4.1 del Decreto 1082 de 2015. Ahora bien, teniendo en cuenta las atribuciones designadas por el ordenamiento jurídico, en particular las establecidas en la Ley 21 de 1982 y demás normas aplicables, las Cajas de Compensación Familiar en virtud del principio de la autonomía de la voluntad, podrán elaborar como buena práctica contractual, un plan de compras o el documento que haga sus veces, en el que establezcan los bienes y servicios que pretendan adquirir.</w:t>
      </w:r>
    </w:p>
    <w:p w14:paraId="678D7963" w14:textId="77777777" w:rsidR="009157E3" w:rsidRPr="00CA71FB" w:rsidRDefault="009157E3" w:rsidP="009157E3">
      <w:pPr>
        <w:spacing w:after="0" w:line="276" w:lineRule="auto"/>
        <w:jc w:val="both"/>
        <w:rPr>
          <w:rFonts w:ascii="Arial" w:eastAsia="Calibri" w:hAnsi="Arial" w:cs="Arial"/>
          <w:bCs/>
          <w:lang w:val="es-MX"/>
        </w:rPr>
      </w:pPr>
      <w:r w:rsidRPr="00CA71FB">
        <w:rPr>
          <w:rFonts w:ascii="Arial" w:eastAsia="Calibri" w:hAnsi="Arial" w:cs="Arial"/>
          <w:color w:val="000000"/>
          <w:kern w:val="2"/>
          <w14:ligatures w14:val="standardContextual"/>
        </w:rPr>
        <w:tab/>
      </w:r>
    </w:p>
    <w:p w14:paraId="3976B0B8" w14:textId="77777777" w:rsidR="009157E3" w:rsidRPr="00CA71FB" w:rsidRDefault="009157E3" w:rsidP="009157E3">
      <w:pPr>
        <w:tabs>
          <w:tab w:val="left" w:pos="426"/>
        </w:tabs>
        <w:spacing w:after="0" w:line="276" w:lineRule="auto"/>
        <w:jc w:val="both"/>
        <w:rPr>
          <w:rFonts w:ascii="Arial" w:eastAsia="Calibri" w:hAnsi="Arial" w:cs="Arial"/>
          <w:b/>
          <w:color w:val="000000"/>
          <w:sz w:val="24"/>
          <w:lang w:val="es-ES_tradnl"/>
        </w:rPr>
      </w:pPr>
      <w:r w:rsidRPr="00CA71FB">
        <w:rPr>
          <w:rFonts w:ascii="Arial" w:eastAsia="Calibri" w:hAnsi="Arial" w:cs="Arial"/>
          <w:b/>
          <w:lang w:val="es-MX"/>
        </w:rPr>
        <w:t xml:space="preserve">2.3. </w:t>
      </w:r>
      <w:r w:rsidRPr="00CA71FB">
        <w:rPr>
          <w:rFonts w:ascii="Arial" w:eastAsia="Calibri" w:hAnsi="Arial" w:cs="Arial"/>
          <w:b/>
          <w:color w:val="000000"/>
          <w:sz w:val="24"/>
          <w:lang w:val="es-ES_tradnl"/>
        </w:rPr>
        <w:t>Sujetos obligados a publicar sus actuaciones contractuales en el Sistema Electrónico de la Contratación Pública – SECOP. Reiteración de línea</w:t>
      </w:r>
    </w:p>
    <w:p w14:paraId="19664FF3" w14:textId="77777777" w:rsidR="009157E3" w:rsidRPr="00CA71FB" w:rsidRDefault="009157E3" w:rsidP="009157E3">
      <w:pPr>
        <w:spacing w:after="0" w:line="276" w:lineRule="auto"/>
        <w:jc w:val="both"/>
        <w:rPr>
          <w:rFonts w:ascii="Arial" w:eastAsia="Calibri" w:hAnsi="Arial" w:cs="Arial"/>
          <w:b/>
          <w:lang w:val="es-MX"/>
        </w:rPr>
      </w:pPr>
    </w:p>
    <w:p w14:paraId="0515CD3C" w14:textId="77777777" w:rsidR="009157E3" w:rsidRPr="00CA71FB" w:rsidRDefault="009157E3" w:rsidP="009157E3">
      <w:pPr>
        <w:spacing w:after="0" w:line="276" w:lineRule="auto"/>
        <w:jc w:val="both"/>
        <w:rPr>
          <w:rFonts w:ascii="Arial" w:eastAsia="Calibri" w:hAnsi="Arial" w:cs="Arial"/>
          <w:color w:val="000000"/>
          <w:kern w:val="2"/>
          <w:lang w:val="es-ES_tradnl"/>
          <w14:ligatures w14:val="standardContextual"/>
        </w:rPr>
      </w:pPr>
      <w:r w:rsidRPr="00CA71FB">
        <w:rPr>
          <w:rFonts w:ascii="Arial" w:eastAsia="Calibri" w:hAnsi="Arial" w:cs="Arial"/>
          <w:color w:val="000000"/>
          <w:kern w:val="2"/>
          <w14:ligatures w14:val="standardContextual"/>
        </w:rPr>
        <w:t xml:space="preserve">Uno de los postulados más importantes del Estado Social y Democrático de Derecho es el principio de </w:t>
      </w:r>
      <w:r w:rsidRPr="00CA71FB">
        <w:rPr>
          <w:rFonts w:ascii="Arial" w:eastAsia="Calibri" w:hAnsi="Arial" w:cs="Arial"/>
          <w:i/>
          <w:iCs/>
          <w:color w:val="000000"/>
          <w:kern w:val="2"/>
          <w14:ligatures w14:val="standardContextual"/>
        </w:rPr>
        <w:t xml:space="preserve">publicidad, </w:t>
      </w:r>
      <w:r w:rsidRPr="00CA71FB">
        <w:rPr>
          <w:rFonts w:ascii="Arial" w:eastAsia="Calibri" w:hAnsi="Arial" w:cs="Arial"/>
          <w:color w:val="000000"/>
          <w:kern w:val="2"/>
          <w14:ligatures w14:val="standardContextual"/>
        </w:rPr>
        <w:t>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CA71FB">
        <w:rPr>
          <w:rFonts w:ascii="Arial" w:eastAsia="Calibri" w:hAnsi="Arial" w:cs="Arial"/>
          <w:color w:val="000000"/>
          <w:kern w:val="2"/>
          <w:vertAlign w:val="superscript"/>
          <w:lang w:val="es-ES_tradnl"/>
          <w14:ligatures w14:val="standardContextual"/>
        </w:rPr>
        <w:footnoteReference w:id="10"/>
      </w:r>
      <w:r w:rsidRPr="00CA71FB">
        <w:rPr>
          <w:rFonts w:ascii="Arial" w:eastAsia="Calibri" w:hAnsi="Arial" w:cs="Arial"/>
          <w:color w:val="000000"/>
          <w:kern w:val="2"/>
          <w14:ligatures w14:val="standardContextual"/>
        </w:rPr>
        <w:t>”</w:t>
      </w:r>
      <w:r w:rsidRPr="00CA71FB">
        <w:rPr>
          <w:rFonts w:ascii="Arial" w:eastAsia="Calibri" w:hAnsi="Arial" w:cs="Arial"/>
          <w:color w:val="000000"/>
          <w:kern w:val="2"/>
          <w:lang w:val="es-ES_tradnl"/>
          <w14:ligatures w14:val="standardContextual"/>
        </w:rPr>
        <w:t xml:space="preserve">. El secreto generalizado en el ejercicio del poder político </w:t>
      </w:r>
      <w:r w:rsidRPr="00CA71FB">
        <w:rPr>
          <w:rFonts w:ascii="Arial" w:eastAsia="Calibri" w:hAnsi="Arial" w:cs="Arial"/>
          <w:color w:val="000000"/>
          <w:kern w:val="2"/>
          <w:lang w:val="es-ES_tradnl"/>
          <w14:ligatures w14:val="standardContextual"/>
        </w:rPr>
        <w:lastRenderedPageBreak/>
        <w:t>constituye, por el contrario, una negación de la democracia, porque dificulta la supervisión de las autoridades por parte de la sociedad civil y establece una barrera para la participación ciudadana.</w:t>
      </w:r>
    </w:p>
    <w:p w14:paraId="306F33DD"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Inspirada en esta concepción axiológica, la Constitución Política de 1991 consagra en varios artículos la publicidad como un principio rector del Estado Colombiano. Entre los más destacados, puede mencionarse el artículo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3525808C"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p>
    <w:p w14:paraId="7AC15DD6" w14:textId="77777777" w:rsidR="009157E3" w:rsidRPr="00CA71FB" w:rsidRDefault="009157E3" w:rsidP="009157E3">
      <w:pPr>
        <w:spacing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6739D8EB" w14:textId="77777777" w:rsidR="009157E3" w:rsidRPr="00CA71FB" w:rsidRDefault="009157E3" w:rsidP="009157E3">
      <w:pPr>
        <w:spacing w:before="120"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CA71FB">
        <w:rPr>
          <w:rFonts w:ascii="Arial" w:eastAsia="Calibri" w:hAnsi="Arial" w:cs="Arial"/>
          <w:color w:val="000000"/>
          <w:kern w:val="2"/>
          <w:sz w:val="21"/>
          <w:szCs w:val="21"/>
          <w14:ligatures w14:val="standardContextual"/>
        </w:rPr>
        <w:t>autoridades públicas</w:t>
      </w:r>
      <w:proofErr w:type="gramEnd"/>
      <w:r w:rsidRPr="00CA71FB">
        <w:rPr>
          <w:rFonts w:ascii="Arial" w:eastAsia="Calibri" w:hAnsi="Arial" w:cs="Arial"/>
          <w:color w:val="000000"/>
          <w:kern w:val="2"/>
          <w:sz w:val="21"/>
          <w:szCs w:val="21"/>
          <w14:ligatures w14:val="standardContextual"/>
        </w:rPr>
        <w:t xml:space="preserve"> y, a través de ese conocimiento, a exigir que ellas se surtan conforme a la ley</w:t>
      </w:r>
      <w:r w:rsidRPr="00CA71FB">
        <w:rPr>
          <w:rFonts w:ascii="Arial" w:eastAsia="Calibri" w:hAnsi="Arial" w:cs="Arial"/>
          <w:color w:val="000000"/>
          <w:kern w:val="2"/>
          <w:sz w:val="21"/>
          <w:szCs w:val="21"/>
          <w:vertAlign w:val="superscript"/>
          <w:lang w:val="es-ES_tradnl"/>
          <w14:ligatures w14:val="standardContextual"/>
        </w:rPr>
        <w:footnoteReference w:id="11"/>
      </w:r>
      <w:r w:rsidRPr="00CA71FB">
        <w:rPr>
          <w:rFonts w:ascii="Arial" w:eastAsia="Calibri" w:hAnsi="Arial" w:cs="Arial"/>
          <w:color w:val="000000"/>
          <w:kern w:val="2"/>
          <w:sz w:val="21"/>
          <w:szCs w:val="21"/>
          <w14:ligatures w14:val="standardContextual"/>
        </w:rPr>
        <w:t>”</w:t>
      </w:r>
      <w:r w:rsidRPr="00CA71FB">
        <w:rPr>
          <w:rFonts w:ascii="Arial" w:eastAsia="Calibri" w:hAnsi="Arial" w:cs="Arial"/>
          <w:color w:val="000000"/>
          <w:kern w:val="2"/>
          <w:sz w:val="21"/>
          <w:szCs w:val="21"/>
          <w:lang w:val="es-ES_tradnl"/>
          <w14:ligatures w14:val="standardContextual"/>
        </w:rPr>
        <w:t>.</w:t>
      </w:r>
    </w:p>
    <w:p w14:paraId="3143AB14"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p>
    <w:p w14:paraId="0C06F3D6"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El principio de publicidad impone a las autoridades el deber de dar a conocer sus actos, contratos y decisiones, para que se divulguen y eventualmente se controlen dichas actuaciones. Es por eso </w:t>
      </w:r>
      <w:proofErr w:type="gramStart"/>
      <w:r w:rsidRPr="00CA71FB">
        <w:rPr>
          <w:rFonts w:ascii="Arial" w:eastAsia="Calibri" w:hAnsi="Arial" w:cs="Arial"/>
          <w:color w:val="000000"/>
          <w:kern w:val="2"/>
          <w14:ligatures w14:val="standardContextual"/>
        </w:rPr>
        <w:t>que</w:t>
      </w:r>
      <w:proofErr w:type="gramEnd"/>
      <w:r w:rsidRPr="00CA71FB">
        <w:rPr>
          <w:rFonts w:ascii="Arial" w:eastAsia="Calibri" w:hAnsi="Arial" w:cs="Arial"/>
          <w:color w:val="000000"/>
          <w:kern w:val="2"/>
          <w14:ligatures w14:val="standardContextual"/>
        </w:rPr>
        <w:t>,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CA71FB">
        <w:rPr>
          <w:rFonts w:ascii="Arial" w:eastAsia="Calibri" w:hAnsi="Arial" w:cs="Arial"/>
          <w:color w:val="000000"/>
          <w:lang w:val="es-ES_tradnl"/>
        </w:rPr>
        <w:t>”</w:t>
      </w:r>
      <w:r w:rsidRPr="00CA71FB">
        <w:rPr>
          <w:rFonts w:ascii="Arial" w:eastAsia="Calibri" w:hAnsi="Arial" w:cs="Arial"/>
          <w:color w:val="000000"/>
          <w:vertAlign w:val="superscript"/>
          <w:lang w:val="es-ES_tradnl"/>
        </w:rPr>
        <w:footnoteReference w:id="12"/>
      </w:r>
      <w:r w:rsidRPr="00CA71FB">
        <w:rPr>
          <w:rFonts w:ascii="Arial" w:eastAsia="Calibri" w:hAnsi="Arial" w:cs="Arial"/>
          <w:color w:val="000000"/>
          <w:lang w:val="es-ES_tradnl"/>
        </w:rPr>
        <w:t>.</w:t>
      </w:r>
    </w:p>
    <w:p w14:paraId="01C51CDB"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lastRenderedPageBreak/>
        <w:tab/>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CA71FB">
        <w:rPr>
          <w:rFonts w:ascii="Arial" w:eastAsia="Calibri" w:hAnsi="Arial" w:cs="Arial"/>
          <w:color w:val="000000"/>
          <w:vertAlign w:val="superscript"/>
          <w:lang w:val="es-ES_tradnl"/>
        </w:rPr>
        <w:footnoteReference w:id="13"/>
      </w:r>
      <w:r w:rsidRPr="00CA71FB">
        <w:rPr>
          <w:rFonts w:ascii="Arial" w:eastAsia="Calibri" w:hAnsi="Arial" w:cs="Arial"/>
          <w:color w:val="000000"/>
          <w:lang w:val="es-ES_tradnl"/>
        </w:rPr>
        <w:t xml:space="preserve">. El principio de transparencia en la información alude al deber de los sujetos de proporcionar y facilitar el acceso a la misma en los términos más amplios posibles, y a través de los medios y procedimientos legales. En el artículo 5 de dicha ley, se incluye como se mencionó en el considerando 2.1 de este concepto, dentro de la lista de sujetos obligados a todas las entidades públicas y, además, en el literal c) a las personas naturales y jurídicas, públicas o privadas, que presten </w:t>
      </w:r>
      <w:r w:rsidRPr="00CA71FB">
        <w:rPr>
          <w:rFonts w:ascii="Arial" w:eastAsia="Calibri" w:hAnsi="Arial" w:cs="Arial"/>
          <w:i/>
          <w:iCs/>
          <w:lang w:val="es-ES_tradnl"/>
        </w:rPr>
        <w:t>función pública y servicios públicos</w:t>
      </w:r>
      <w:r w:rsidRPr="00CA71FB">
        <w:rPr>
          <w:rFonts w:ascii="Arial" w:eastAsia="Calibri" w:hAnsi="Arial" w:cs="Arial"/>
          <w:lang w:val="es-ES_tradnl"/>
        </w:rPr>
        <w:t xml:space="preserve"> </w:t>
      </w:r>
      <w:r w:rsidRPr="00CA71FB">
        <w:rPr>
          <w:rFonts w:ascii="Arial" w:eastAsia="Calibri" w:hAnsi="Arial" w:cs="Arial"/>
          <w:color w:val="000000"/>
          <w:lang w:val="es-ES_tradnl"/>
        </w:rPr>
        <w:t>respecto de la información directamente relacionada con la prestación del servicio público, adicionalmente, en el literal g) incluyó a las entidades que administren recursos de naturaleza u origen público</w:t>
      </w:r>
      <w:r w:rsidRPr="00CA71FB">
        <w:rPr>
          <w:rFonts w:ascii="Arial" w:eastAsia="Calibri" w:hAnsi="Arial" w:cs="Arial"/>
          <w:color w:val="000000"/>
          <w:kern w:val="2"/>
          <w:vertAlign w:val="superscript"/>
          <w:lang w:val="es-ES_tradnl"/>
          <w14:ligatures w14:val="standardContextual"/>
        </w:rPr>
        <w:footnoteReference w:id="14"/>
      </w:r>
      <w:r w:rsidRPr="00CA71FB">
        <w:rPr>
          <w:rFonts w:ascii="Arial" w:eastAsia="Calibri" w:hAnsi="Arial" w:cs="Arial"/>
          <w:color w:val="000000"/>
          <w:kern w:val="2"/>
          <w14:ligatures w14:val="standardContextual"/>
        </w:rPr>
        <w:t>.</w:t>
      </w:r>
    </w:p>
    <w:p w14:paraId="01F0B54F"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lastRenderedPageBreak/>
        <w:tab/>
        <w:t>Uno de los deberes definidos en la Ley 1712 de 2014, que deben acatar los sujetos obligados, es publicar la información contractual en el SECOP. En efecto, el literal e) del artículo 9 señala que los sujetos obligados deben publicar la información relativo a su contratación. Así 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información esta, que también debe estar en el SECOP</w:t>
      </w:r>
      <w:r>
        <w:rPr>
          <w:rFonts w:ascii="Arial" w:eastAsia="Calibri" w:hAnsi="Arial" w:cs="Arial"/>
          <w:color w:val="000000"/>
          <w:kern w:val="2"/>
          <w14:ligatures w14:val="standardContextual"/>
        </w:rPr>
        <w:t xml:space="preserve">, adicionalmente el </w:t>
      </w:r>
      <w:r w:rsidRPr="00CA71FB">
        <w:rPr>
          <w:rFonts w:ascii="Arial" w:eastAsia="Calibri" w:hAnsi="Arial" w:cs="Arial"/>
          <w:color w:val="000000"/>
          <w:kern w:val="2"/>
          <w14:ligatures w14:val="standardContextual"/>
        </w:rPr>
        <w:t xml:space="preserve"> Decreto 1081 de 2015</w:t>
      </w:r>
      <w:r w:rsidRPr="00CA71FB">
        <w:rPr>
          <w:rFonts w:ascii="Arial" w:eastAsia="Calibri" w:hAnsi="Arial" w:cs="Arial"/>
          <w:color w:val="000000"/>
          <w:kern w:val="2"/>
          <w:vertAlign w:val="superscript"/>
          <w:lang w:val="es-ES_tradnl"/>
          <w14:ligatures w14:val="standardContextual"/>
        </w:rPr>
        <w:footnoteReference w:id="15"/>
      </w:r>
      <w:r w:rsidRPr="00CA71FB">
        <w:rPr>
          <w:rFonts w:ascii="Arial" w:eastAsia="Calibri" w:hAnsi="Arial" w:cs="Arial"/>
          <w:color w:val="000000"/>
          <w:kern w:val="2"/>
          <w14:ligatures w14:val="standardContextual"/>
        </w:rPr>
        <w:t xml:space="preserve"> reglamentó la materia estableciendo que la información contractual de los sujetos obligados que </w:t>
      </w:r>
      <w:r w:rsidRPr="00CA71FB">
        <w:rPr>
          <w:rFonts w:ascii="Arial" w:eastAsia="Calibri" w:hAnsi="Arial" w:cs="Arial"/>
          <w:i/>
          <w:iCs/>
          <w:color w:val="000000"/>
          <w:kern w:val="2"/>
          <w14:ligatures w14:val="standardContextual"/>
        </w:rPr>
        <w:t xml:space="preserve">“contratan con cargo a recursos públicos”, </w:t>
      </w:r>
      <w:r w:rsidRPr="00CA71FB">
        <w:rPr>
          <w:rFonts w:ascii="Arial" w:eastAsia="Calibri" w:hAnsi="Arial" w:cs="Arial"/>
          <w:color w:val="000000"/>
          <w:kern w:val="2"/>
          <w14:ligatures w14:val="standardContextual"/>
        </w:rPr>
        <w:t xml:space="preserve">debe hacerse en el Sistema Electrónico para la Contratación Pública – SECOP–. </w:t>
      </w:r>
    </w:p>
    <w:p w14:paraId="0A685093" w14:textId="77777777" w:rsidR="009157E3" w:rsidRPr="00CA71FB" w:rsidRDefault="009157E3" w:rsidP="009157E3">
      <w:pPr>
        <w:spacing w:before="120" w:after="0" w:line="276" w:lineRule="auto"/>
        <w:jc w:val="both"/>
        <w:rPr>
          <w:rFonts w:ascii="Arial" w:eastAsia="Calibri" w:hAnsi="Arial" w:cs="Arial"/>
          <w:bCs/>
          <w:lang w:val="es-MX"/>
        </w:rPr>
      </w:pPr>
      <w:r w:rsidRPr="00CA71FB">
        <w:rPr>
          <w:rFonts w:ascii="Arial" w:eastAsia="Calibri" w:hAnsi="Arial" w:cs="Arial"/>
          <w:color w:val="000000"/>
          <w:kern w:val="2"/>
          <w14:ligatures w14:val="standardContextual"/>
        </w:rPr>
        <w:tab/>
      </w:r>
    </w:p>
    <w:p w14:paraId="5EE7DCB4" w14:textId="77777777" w:rsidR="009157E3" w:rsidRPr="00CA71FB" w:rsidRDefault="009157E3" w:rsidP="009157E3">
      <w:pPr>
        <w:tabs>
          <w:tab w:val="left" w:pos="284"/>
        </w:tabs>
        <w:spacing w:after="0" w:line="276" w:lineRule="auto"/>
        <w:contextualSpacing/>
        <w:jc w:val="both"/>
        <w:rPr>
          <w:rFonts w:ascii="Arial" w:eastAsia="Calibri" w:hAnsi="Arial" w:cs="Arial"/>
          <w:b/>
          <w:lang w:val="es-MX"/>
        </w:rPr>
      </w:pPr>
      <w:r w:rsidRPr="00CA71FB">
        <w:rPr>
          <w:rFonts w:ascii="Arial" w:eastAsia="Calibri" w:hAnsi="Arial" w:cs="Arial"/>
          <w:b/>
          <w:lang w:val="es-MX"/>
        </w:rPr>
        <w:t>3. Respuesta</w:t>
      </w:r>
    </w:p>
    <w:p w14:paraId="000ADEA6" w14:textId="77777777" w:rsidR="009157E3" w:rsidRPr="00CA71FB" w:rsidRDefault="009157E3" w:rsidP="009157E3">
      <w:pPr>
        <w:spacing w:after="0" w:line="276" w:lineRule="auto"/>
        <w:jc w:val="both"/>
        <w:rPr>
          <w:rFonts w:ascii="Arial" w:eastAsia="Calibri" w:hAnsi="Arial" w:cs="Arial"/>
          <w:bCs/>
          <w:lang w:val="es-MX"/>
        </w:rPr>
      </w:pPr>
    </w:p>
    <w:p w14:paraId="3C0C2DDE" w14:textId="77777777" w:rsidR="009157E3" w:rsidRPr="00CA71FB" w:rsidRDefault="009157E3" w:rsidP="009157E3">
      <w:pPr>
        <w:spacing w:after="0" w:line="276" w:lineRule="auto"/>
        <w:ind w:left="709" w:right="709"/>
        <w:jc w:val="both"/>
        <w:rPr>
          <w:rFonts w:ascii="Arial" w:eastAsia="Calibri" w:hAnsi="Arial" w:cs="Arial"/>
          <w:bCs/>
          <w:sz w:val="21"/>
          <w:szCs w:val="21"/>
          <w:lang w:val="es-MX"/>
        </w:rPr>
      </w:pPr>
      <w:r w:rsidRPr="00CA71FB">
        <w:rPr>
          <w:rFonts w:ascii="Arial" w:eastAsia="Calibri" w:hAnsi="Arial" w:cs="Arial"/>
          <w:bCs/>
          <w:sz w:val="21"/>
          <w:szCs w:val="21"/>
          <w:lang w:val="es-MX"/>
        </w:rPr>
        <w:t>“¿Las Cajas de Compensación Familiar al disponer de recursos públicos en la contratación, están obligadas a llevar el Plan Anual de Adquisiciones para cada vigencia y a publicar los contratos en SECOP? [sic]”</w:t>
      </w:r>
    </w:p>
    <w:p w14:paraId="3A4873E5" w14:textId="77777777" w:rsidR="009157E3" w:rsidRPr="00CA71FB" w:rsidRDefault="009157E3" w:rsidP="009157E3">
      <w:pPr>
        <w:spacing w:after="0" w:line="276" w:lineRule="auto"/>
        <w:jc w:val="both"/>
        <w:rPr>
          <w:rFonts w:ascii="Arial" w:eastAsia="Calibri" w:hAnsi="Arial" w:cs="Arial"/>
          <w:bCs/>
          <w:lang w:val="es-MX"/>
        </w:rPr>
      </w:pPr>
    </w:p>
    <w:p w14:paraId="0892DBEE" w14:textId="77777777" w:rsidR="009157E3" w:rsidRPr="00CA71FB" w:rsidRDefault="009157E3" w:rsidP="009157E3">
      <w:pPr>
        <w:spacing w:after="0" w:line="276" w:lineRule="auto"/>
        <w:jc w:val="both"/>
        <w:rPr>
          <w:rFonts w:ascii="Arial" w:eastAsia="Calibri" w:hAnsi="Arial" w:cs="Arial"/>
          <w:bCs/>
          <w:lang w:val="es-MX"/>
        </w:rPr>
      </w:pPr>
      <w:r w:rsidRPr="00CA71FB">
        <w:rPr>
          <w:rFonts w:ascii="Arial" w:eastAsia="Calibri" w:hAnsi="Arial" w:cs="Arial"/>
          <w:bCs/>
          <w:lang w:val="es-MX"/>
        </w:rPr>
        <w:t>De conformidad con lo expuesto en este concepto, dentro del grupo de asociaciones que conforman las ESAL están incluidas las Cajas de Compensación Familiar, esto en razón a que, el artículo 39 de la Ley 21 de 1982 las define como “personas jurídicas de derecho privado sin ánimo de lucro, organizadas como corporaciones en la forma prevista en el Código Civil, cumplen funciones de seguridad social y se hallan sometidas al control y vigilancia del Estado en la forma establecida por la ley”. [Énfasis fuera de texto]</w:t>
      </w:r>
    </w:p>
    <w:p w14:paraId="050BF4BC" w14:textId="77777777" w:rsidR="009157E3" w:rsidRPr="00CA71FB" w:rsidRDefault="009157E3" w:rsidP="009157E3">
      <w:pPr>
        <w:spacing w:before="120" w:after="0" w:line="276" w:lineRule="auto"/>
        <w:jc w:val="both"/>
        <w:rPr>
          <w:rFonts w:ascii="Arial" w:eastAsia="Calibri" w:hAnsi="Arial" w:cs="Arial"/>
          <w:iCs/>
          <w:kern w:val="2"/>
          <w14:ligatures w14:val="standardContextual"/>
        </w:rPr>
      </w:pPr>
      <w:r w:rsidRPr="00CA71FB">
        <w:rPr>
          <w:rFonts w:ascii="Arial" w:eastAsia="Calibri" w:hAnsi="Arial" w:cs="Arial"/>
          <w:bCs/>
          <w:lang w:val="es-MX"/>
        </w:rPr>
        <w:tab/>
        <w:t>Según la Sentencia C-429 de 2019 de la Corte Constitucional, “las Cajas de Compensación Familiar son entes jurídicos de naturaleza especialísima que no ejercen funciones públicas, sino que desarrollan una función social, pues se trata de actores privados que participan en la economía e intervienen en el servicio público de seguridad social</w:t>
      </w:r>
      <w:r w:rsidRPr="00CA71FB">
        <w:rPr>
          <w:rFonts w:ascii="Calibri" w:eastAsia="Calibri" w:hAnsi="Calibri" w:cs="Times New Roman"/>
          <w:sz w:val="24"/>
          <w:lang w:val="es-MX"/>
        </w:rPr>
        <w:t xml:space="preserve"> </w:t>
      </w:r>
      <w:r w:rsidRPr="00CA71FB">
        <w:rPr>
          <w:rFonts w:ascii="Arial" w:eastAsia="Calibri" w:hAnsi="Arial" w:cs="Arial"/>
          <w:bCs/>
          <w:lang w:val="es-MX"/>
        </w:rPr>
        <w:t xml:space="preserve">e incluso, en algunos casos, pueden participar en su prestación, como ocurre con la participación que tienen en el sector salud”. Sin embargo, para el Consejo de Estado los recursos que administran las Cajas de Compensación </w:t>
      </w:r>
      <w:proofErr w:type="gramStart"/>
      <w:r w:rsidRPr="00CA71FB">
        <w:rPr>
          <w:rFonts w:ascii="Arial" w:eastAsia="Calibri" w:hAnsi="Arial" w:cs="Arial"/>
          <w:bCs/>
          <w:lang w:val="es-MX"/>
        </w:rPr>
        <w:t>Familiar,</w:t>
      </w:r>
      <w:proofErr w:type="gramEnd"/>
      <w:r w:rsidRPr="00CA71FB">
        <w:rPr>
          <w:rFonts w:ascii="Arial" w:eastAsia="Calibri" w:hAnsi="Arial" w:cs="Arial"/>
          <w:bCs/>
          <w:lang w:val="es-MX"/>
        </w:rPr>
        <w:t xml:space="preserve"> son de naturaleza pública pues tienen el carácter de parafiscal, </w:t>
      </w:r>
      <w:r w:rsidRPr="00CA71FB">
        <w:rPr>
          <w:rFonts w:ascii="Arial" w:eastAsia="Calibri" w:hAnsi="Arial" w:cs="Arial"/>
          <w:kern w:val="2"/>
          <w14:ligatures w14:val="standardContextual"/>
        </w:rPr>
        <w:t xml:space="preserve">en tanto </w:t>
      </w:r>
      <w:r w:rsidRPr="00CA71FB">
        <w:rPr>
          <w:rFonts w:ascii="Arial" w:eastAsia="Calibri" w:hAnsi="Arial" w:cs="Arial"/>
          <w:kern w:val="2"/>
          <w14:ligatures w14:val="standardContextual"/>
        </w:rPr>
        <w:lastRenderedPageBreak/>
        <w:t>constituyen una fuente de financiación que el Estado consagra en beneficio de un sector, aunque desde la perspectiva presupuestal no integran el Presupuesto General de la Nación</w:t>
      </w:r>
      <w:r w:rsidRPr="00CA71FB">
        <w:rPr>
          <w:rFonts w:ascii="Arial" w:eastAsia="Times New Roman" w:hAnsi="Arial" w:cs="Arial"/>
          <w:i/>
          <w:vertAlign w:val="superscript"/>
          <w:lang w:val="es-ES" w:eastAsia="es-ES"/>
        </w:rPr>
        <w:footnoteReference w:id="16"/>
      </w:r>
      <w:r w:rsidRPr="00CA71FB">
        <w:rPr>
          <w:rFonts w:ascii="Arial" w:eastAsia="Times New Roman" w:hAnsi="Arial" w:cs="Arial"/>
          <w:i/>
          <w:vertAlign w:val="superscript"/>
          <w:lang w:val="es-ES" w:eastAsia="es-ES"/>
        </w:rPr>
        <w:t>.</w:t>
      </w:r>
    </w:p>
    <w:p w14:paraId="36B87769" w14:textId="77777777" w:rsidR="009157E3" w:rsidRPr="00CA71FB" w:rsidRDefault="009157E3" w:rsidP="009157E3">
      <w:pPr>
        <w:spacing w:before="120" w:after="0" w:line="276" w:lineRule="auto"/>
        <w:jc w:val="both"/>
        <w:rPr>
          <w:rFonts w:ascii="Arial" w:eastAsia="Calibri" w:hAnsi="Arial" w:cs="Arial"/>
          <w:bCs/>
          <w:lang w:val="es-MX"/>
        </w:rPr>
      </w:pPr>
      <w:r w:rsidRPr="00CA71FB">
        <w:rPr>
          <w:rFonts w:ascii="Arial" w:eastAsia="Calibri" w:hAnsi="Arial" w:cs="Arial"/>
          <w:bCs/>
          <w:lang w:val="es-MX"/>
        </w:rPr>
        <w:tab/>
        <w:t>Ahora bien, respecto de la obligatoriedad de elaboración del Plan Anual de Adquisiciones, el artículo 2.2.1.1.1.4.1 del Decreto 1082 de 2015 dispuso que “Las entidades estatales deben elaborar un Plan Anual de Adquisiciones, el cual debe contener la lista de bienes, obras y servicios que pretenden adquirir durante el año”. Siendo entonces claro que la obligatoriedad de elaborarlo radica sobre los sujetos que según el numeral 1, del artículo 2, de la Ley 80 de 1993 integran la categoría de Entidades Estatales, dentro de las que, no se encuentran las Cajas de Compensación Familiar. No obstante, teniendo en cuenta las atribuciones designadas por el ordenamiento jurídico, en particular las establecidas en la Ley 21 de 1982 y demás normas aplicables, las Cajas de Compensación Familiar en virtud del principio de la autonomía de la voluntad, podrán elaborar como buena práctica contractual, un plan de compras o el documento que haga sus veces, en el que establezcan los bienes y servicios que pretendan adquirir.</w:t>
      </w:r>
    </w:p>
    <w:p w14:paraId="5DC9C9F0" w14:textId="77777777" w:rsidR="009157E3" w:rsidRPr="00CA71FB" w:rsidRDefault="009157E3" w:rsidP="009157E3">
      <w:pPr>
        <w:spacing w:before="120" w:after="0" w:line="276" w:lineRule="auto"/>
        <w:jc w:val="both"/>
        <w:rPr>
          <w:rFonts w:ascii="Arial" w:eastAsia="Calibri" w:hAnsi="Arial" w:cs="Arial"/>
          <w:bCs/>
          <w:lang w:val="es-MX"/>
        </w:rPr>
      </w:pPr>
      <w:r w:rsidRPr="00CA71FB">
        <w:rPr>
          <w:rFonts w:ascii="Arial" w:eastAsia="Calibri" w:hAnsi="Arial" w:cs="Arial"/>
          <w:bCs/>
          <w:lang w:val="es-MX"/>
        </w:rPr>
        <w:tab/>
        <w:t>Finalmente, como se señaló en el considerando 2.3, uno de los deberes definidos en la Ley 1712 de 2014, que deben acatar los sujetos obligados, es publicar la información contractual en el SECOP.</w:t>
      </w:r>
      <w:r w:rsidRPr="00CA71FB">
        <w:rPr>
          <w:rFonts w:ascii="Calibri" w:eastAsia="Calibri" w:hAnsi="Calibri" w:cs="Times New Roman"/>
          <w:sz w:val="24"/>
          <w:lang w:val="es-MX"/>
        </w:rPr>
        <w:t xml:space="preserve"> </w:t>
      </w:r>
      <w:r w:rsidRPr="00CA71FB">
        <w:rPr>
          <w:rFonts w:ascii="Arial" w:eastAsia="Calibri" w:hAnsi="Arial" w:cs="Arial"/>
          <w:bCs/>
          <w:lang w:val="es-MX"/>
        </w:rPr>
        <w:t xml:space="preserve">El Decreto 1081 de 2015 reglamentó la materia estableciendo que la información contractual de los sujetos obligados que </w:t>
      </w:r>
      <w:r w:rsidRPr="00CA71FB">
        <w:rPr>
          <w:rFonts w:ascii="Arial" w:eastAsia="Calibri" w:hAnsi="Arial" w:cs="Arial"/>
          <w:bCs/>
          <w:i/>
          <w:iCs/>
          <w:lang w:val="es-MX"/>
        </w:rPr>
        <w:t>“contratan con cargo a recursos públicos”,</w:t>
      </w:r>
      <w:r w:rsidRPr="00CA71FB">
        <w:rPr>
          <w:rFonts w:ascii="Arial" w:eastAsia="Calibri" w:hAnsi="Arial" w:cs="Arial"/>
          <w:bCs/>
          <w:lang w:val="es-MX"/>
        </w:rPr>
        <w:t xml:space="preserve"> debe hacerse en el Sistema Electrónico para la Contratación Pública – SECOP–. Sin embargo, </w:t>
      </w:r>
      <w:r w:rsidRPr="00CA71FB">
        <w:rPr>
          <w:rFonts w:ascii="Arial" w:eastAsia="Calibri" w:hAnsi="Arial" w:cs="Arial"/>
          <w:color w:val="000000"/>
          <w:kern w:val="2"/>
          <w14:ligatures w14:val="standardContextual"/>
        </w:rPr>
        <w:t>las Cajas de Compensación Familiar al ser Entidades Sin Ánimo de Lucro que cumplen una función social mediante la administración del subsidio familiar, no se encuentran obligadas a publicar su información contractual en el SECOP, pues no contratan con cargo a recursos públicos ni son sujetos obligados de la ley de transparencia.</w:t>
      </w:r>
    </w:p>
    <w:p w14:paraId="2154F161"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p>
    <w:p w14:paraId="52BCCD03"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3011BD77"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p>
    <w:p w14:paraId="339E3BBF" w14:textId="77777777" w:rsidR="009157E3" w:rsidRPr="00CA71FB" w:rsidRDefault="009157E3" w:rsidP="009157E3">
      <w:pPr>
        <w:spacing w:after="0" w:line="240" w:lineRule="auto"/>
        <w:rPr>
          <w:rFonts w:ascii="Arial" w:eastAsia="Calibri" w:hAnsi="Arial" w:cs="Arial"/>
          <w:bCs/>
          <w:lang w:val="es-MX"/>
        </w:rPr>
      </w:pPr>
      <w:r w:rsidRPr="00CA71FB">
        <w:rPr>
          <w:rFonts w:ascii="Arial" w:eastAsia="Calibri" w:hAnsi="Arial" w:cs="Arial"/>
          <w:bCs/>
          <w:lang w:val="es-MX"/>
        </w:rPr>
        <w:t>Atentamente,</w:t>
      </w:r>
    </w:p>
    <w:p w14:paraId="5866ED18" w14:textId="77777777" w:rsidR="009157E3" w:rsidRPr="00CA71FB" w:rsidRDefault="009157E3" w:rsidP="009157E3">
      <w:pPr>
        <w:spacing w:after="0" w:line="240" w:lineRule="auto"/>
        <w:rPr>
          <w:rFonts w:ascii="Arial" w:eastAsia="Calibri" w:hAnsi="Arial" w:cs="Arial"/>
          <w:bCs/>
          <w:lang w:val="es-MX"/>
        </w:rPr>
      </w:pPr>
    </w:p>
    <w:p w14:paraId="7FA2A255" w14:textId="7CFA9095" w:rsidR="009157E3" w:rsidRPr="00CA71FB" w:rsidRDefault="00F15E82" w:rsidP="009157E3">
      <w:pPr>
        <w:spacing w:after="0" w:line="240" w:lineRule="auto"/>
        <w:jc w:val="center"/>
        <w:rPr>
          <w:rFonts w:ascii="Arial" w:eastAsia="Times New Roman" w:hAnsi="Arial" w:cs="Arial"/>
          <w:lang w:val="es-MX" w:eastAsia="es-CO"/>
        </w:rPr>
      </w:pPr>
      <w:r>
        <w:rPr>
          <w:rFonts w:ascii="Arial" w:eastAsia="Calibri" w:hAnsi="Arial" w:cs="Arial"/>
          <w:noProof/>
          <w:color w:val="3B3838"/>
          <w:shd w:val="clear" w:color="auto" w:fill="FFFFFF"/>
          <w:lang w:val="es-ES"/>
        </w:rPr>
        <w:lastRenderedPageBreak/>
        <w:drawing>
          <wp:inline distT="0" distB="0" distL="0" distR="0" wp14:anchorId="171799BD" wp14:editId="7CEF220F">
            <wp:extent cx="3156585" cy="1208405"/>
            <wp:effectExtent l="0" t="0" r="5715" b="0"/>
            <wp:docPr id="139818676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186766"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6585" cy="1208405"/>
                    </a:xfrm>
                    <a:prstGeom prst="rect">
                      <a:avLst/>
                    </a:prstGeom>
                    <a:noFill/>
                    <a:ln>
                      <a:noFill/>
                    </a:ln>
                  </pic:spPr>
                </pic:pic>
              </a:graphicData>
            </a:graphic>
          </wp:inline>
        </w:drawing>
      </w:r>
      <w:r>
        <w:rPr>
          <w:rFonts w:ascii="Calibri" w:hAnsi="Calibri" w:cs="Calibri"/>
          <w:color w:val="000000"/>
          <w:shd w:val="clear" w:color="auto" w:fill="FFFFFF"/>
        </w:rPr>
        <w:br/>
      </w:r>
      <w:r w:rsidR="009157E3" w:rsidRPr="00CA71FB">
        <w:rPr>
          <w:rFonts w:ascii="Arial" w:eastAsia="Calibri" w:hAnsi="Arial" w:cs="Arial"/>
          <w:color w:val="3B3838"/>
          <w:shd w:val="clear" w:color="auto" w:fill="FFFFFF"/>
          <w:lang w:val="es-ES"/>
        </w:rPr>
        <w:br/>
      </w:r>
      <w:r w:rsidR="009157E3" w:rsidRPr="00CA71FB">
        <w:rPr>
          <w:rFonts w:ascii="Arial" w:eastAsia="Calibri" w:hAnsi="Arial" w:cs="Arial"/>
          <w:color w:val="000000"/>
          <w:shd w:val="clear" w:color="auto" w:fill="FFFFFF"/>
          <w:lang w:val="es-MX"/>
        </w:rPr>
        <w:br/>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06"/>
      </w:tblGrid>
      <w:tr w:rsidR="009157E3" w:rsidRPr="00CA71FB" w14:paraId="0F94002D" w14:textId="77777777" w:rsidTr="0062443E">
        <w:trPr>
          <w:trHeight w:val="287"/>
        </w:trPr>
        <w:tc>
          <w:tcPr>
            <w:tcW w:w="1221" w:type="dxa"/>
            <w:vAlign w:val="center"/>
            <w:hideMark/>
          </w:tcPr>
          <w:p w14:paraId="1D3A974F" w14:textId="77777777" w:rsidR="009157E3" w:rsidRPr="00CA71FB" w:rsidRDefault="009157E3" w:rsidP="0062443E">
            <w:pPr>
              <w:rPr>
                <w:rFonts w:ascii="Arial" w:eastAsia="Calibri" w:hAnsi="Arial" w:cs="Arial"/>
                <w:sz w:val="18"/>
                <w:szCs w:val="18"/>
                <w:lang w:val="es-MX" w:eastAsia="es-ES"/>
              </w:rPr>
            </w:pPr>
            <w:r w:rsidRPr="00CA71FB">
              <w:rPr>
                <w:rFonts w:ascii="Arial" w:eastAsia="Calibri" w:hAnsi="Arial" w:cs="Arial"/>
                <w:sz w:val="18"/>
                <w:szCs w:val="18"/>
                <w:lang w:val="es-MX" w:eastAsia="es-ES"/>
              </w:rPr>
              <w:t>Elaboró:</w:t>
            </w:r>
          </w:p>
        </w:tc>
        <w:tc>
          <w:tcPr>
            <w:tcW w:w="5206" w:type="dxa"/>
            <w:tcBorders>
              <w:top w:val="nil"/>
              <w:left w:val="nil"/>
              <w:bottom w:val="dotted" w:sz="4" w:space="0" w:color="7F7F7F"/>
              <w:right w:val="nil"/>
            </w:tcBorders>
            <w:vAlign w:val="center"/>
            <w:hideMark/>
          </w:tcPr>
          <w:p w14:paraId="6BCB720F" w14:textId="77777777" w:rsidR="009157E3" w:rsidRPr="00CA71FB" w:rsidRDefault="009157E3" w:rsidP="0062443E">
            <w:pPr>
              <w:rPr>
                <w:rFonts w:ascii="Arial" w:eastAsia="Calibri" w:hAnsi="Arial" w:cs="Arial"/>
                <w:sz w:val="18"/>
                <w:szCs w:val="18"/>
                <w:lang w:val="es-MX" w:eastAsia="es-ES"/>
              </w:rPr>
            </w:pPr>
          </w:p>
          <w:p w14:paraId="76E3AAC6" w14:textId="77777777" w:rsidR="009157E3" w:rsidRPr="00CA71FB" w:rsidRDefault="009157E3" w:rsidP="0062443E">
            <w:pPr>
              <w:rPr>
                <w:rFonts w:ascii="Arial" w:eastAsia="Calibri" w:hAnsi="Arial" w:cs="Arial"/>
                <w:sz w:val="18"/>
                <w:szCs w:val="18"/>
                <w:lang w:val="es-MX" w:eastAsia="es-ES"/>
              </w:rPr>
            </w:pPr>
            <w:proofErr w:type="spellStart"/>
            <w:r w:rsidRPr="00CA71FB">
              <w:rPr>
                <w:rFonts w:ascii="Arial" w:eastAsia="Calibri" w:hAnsi="Arial" w:cs="Arial"/>
                <w:sz w:val="18"/>
                <w:szCs w:val="18"/>
                <w:lang w:val="es-MX" w:eastAsia="es-ES"/>
              </w:rPr>
              <w:t>Nasly</w:t>
            </w:r>
            <w:proofErr w:type="spellEnd"/>
            <w:r w:rsidRPr="00CA71FB">
              <w:rPr>
                <w:rFonts w:ascii="Arial" w:eastAsia="Calibri" w:hAnsi="Arial" w:cs="Arial"/>
                <w:sz w:val="18"/>
                <w:szCs w:val="18"/>
                <w:lang w:val="es-MX" w:eastAsia="es-ES"/>
              </w:rPr>
              <w:t xml:space="preserve"> </w:t>
            </w:r>
            <w:proofErr w:type="spellStart"/>
            <w:r w:rsidRPr="00CA71FB">
              <w:rPr>
                <w:rFonts w:ascii="Arial" w:eastAsia="Calibri" w:hAnsi="Arial" w:cs="Arial"/>
                <w:sz w:val="18"/>
                <w:szCs w:val="18"/>
                <w:lang w:val="es-MX" w:eastAsia="es-ES"/>
              </w:rPr>
              <w:t>Yeana</w:t>
            </w:r>
            <w:proofErr w:type="spellEnd"/>
            <w:r w:rsidRPr="00CA71FB">
              <w:rPr>
                <w:rFonts w:ascii="Arial" w:eastAsia="Calibri" w:hAnsi="Arial" w:cs="Arial"/>
                <w:sz w:val="18"/>
                <w:szCs w:val="18"/>
                <w:lang w:val="es-MX" w:eastAsia="es-ES"/>
              </w:rPr>
              <w:t xml:space="preserve"> Mosquera Rivas</w:t>
            </w:r>
          </w:p>
          <w:p w14:paraId="171B5B8D" w14:textId="77777777" w:rsidR="009157E3" w:rsidRPr="00CA71FB" w:rsidRDefault="009157E3" w:rsidP="0062443E">
            <w:pPr>
              <w:rPr>
                <w:rFonts w:ascii="Arial" w:eastAsia="Calibri" w:hAnsi="Arial" w:cs="Arial"/>
                <w:sz w:val="18"/>
                <w:szCs w:val="18"/>
                <w:lang w:val="es-MX" w:eastAsia="es-ES"/>
              </w:rPr>
            </w:pPr>
            <w:r w:rsidRPr="00CA71FB">
              <w:rPr>
                <w:rFonts w:ascii="Arial" w:eastAsia="Calibri" w:hAnsi="Arial" w:cs="Arial"/>
                <w:sz w:val="18"/>
                <w:szCs w:val="18"/>
                <w:lang w:val="es-MX" w:eastAsia="es-ES"/>
              </w:rPr>
              <w:t>Analista T2–06 de la Subdirección de Gestión Contractual</w:t>
            </w:r>
          </w:p>
        </w:tc>
      </w:tr>
      <w:tr w:rsidR="009157E3" w:rsidRPr="00CA71FB" w14:paraId="474DE90E" w14:textId="77777777" w:rsidTr="0062443E">
        <w:trPr>
          <w:trHeight w:val="300"/>
        </w:trPr>
        <w:tc>
          <w:tcPr>
            <w:tcW w:w="1221" w:type="dxa"/>
            <w:vAlign w:val="center"/>
            <w:hideMark/>
          </w:tcPr>
          <w:p w14:paraId="3BD76A8E" w14:textId="77777777" w:rsidR="009157E3" w:rsidRPr="00CA71FB" w:rsidRDefault="009157E3" w:rsidP="0062443E">
            <w:pPr>
              <w:rPr>
                <w:rFonts w:ascii="Arial" w:eastAsia="Calibri" w:hAnsi="Arial" w:cs="Arial"/>
                <w:sz w:val="18"/>
                <w:szCs w:val="18"/>
                <w:lang w:val="es-MX" w:eastAsia="es-ES"/>
              </w:rPr>
            </w:pPr>
            <w:r w:rsidRPr="00CA71FB">
              <w:rPr>
                <w:rFonts w:ascii="Arial" w:eastAsia="Calibri" w:hAnsi="Arial" w:cs="Arial"/>
                <w:sz w:val="18"/>
                <w:szCs w:val="18"/>
                <w:lang w:val="es-MX" w:eastAsia="es-ES"/>
              </w:rPr>
              <w:t>Revisó:</w:t>
            </w:r>
          </w:p>
        </w:tc>
        <w:tc>
          <w:tcPr>
            <w:tcW w:w="5206" w:type="dxa"/>
            <w:tcBorders>
              <w:top w:val="dotted" w:sz="4" w:space="0" w:color="7F7F7F"/>
              <w:left w:val="nil"/>
              <w:bottom w:val="dotted" w:sz="4" w:space="0" w:color="7F7F7F"/>
              <w:right w:val="nil"/>
            </w:tcBorders>
            <w:vAlign w:val="center"/>
            <w:hideMark/>
          </w:tcPr>
          <w:p w14:paraId="521FA9DE" w14:textId="77777777" w:rsidR="009157E3" w:rsidRPr="00CA71FB" w:rsidRDefault="009157E3" w:rsidP="0062443E">
            <w:pPr>
              <w:jc w:val="both"/>
              <w:rPr>
                <w:rFonts w:ascii="Arial" w:eastAsia="Calibri" w:hAnsi="Arial" w:cs="Arial"/>
                <w:sz w:val="18"/>
                <w:szCs w:val="18"/>
                <w:lang w:val="es-MX" w:eastAsia="es-ES"/>
              </w:rPr>
            </w:pPr>
            <w:r w:rsidRPr="00CA71FB">
              <w:rPr>
                <w:rFonts w:ascii="Arial" w:eastAsia="Calibri" w:hAnsi="Arial" w:cs="Arial"/>
                <w:sz w:val="18"/>
                <w:szCs w:val="18"/>
                <w:lang w:val="es-MX" w:eastAsia="es-ES"/>
              </w:rPr>
              <w:t>Diana Carolina Armenta Celis</w:t>
            </w:r>
          </w:p>
          <w:p w14:paraId="23C49326" w14:textId="77777777" w:rsidR="009157E3" w:rsidRPr="00CA71FB" w:rsidRDefault="009157E3" w:rsidP="0062443E">
            <w:pPr>
              <w:rPr>
                <w:rFonts w:ascii="Arial" w:eastAsia="Calibri" w:hAnsi="Arial" w:cs="Arial"/>
                <w:sz w:val="18"/>
                <w:szCs w:val="18"/>
                <w:lang w:val="es-MX" w:eastAsia="es-ES"/>
              </w:rPr>
            </w:pPr>
            <w:r w:rsidRPr="00CA71FB">
              <w:rPr>
                <w:rFonts w:ascii="Arial" w:eastAsia="Calibri" w:hAnsi="Arial" w:cs="Arial"/>
                <w:sz w:val="18"/>
                <w:szCs w:val="18"/>
                <w:lang w:val="es-MX" w:eastAsia="es-ES"/>
              </w:rPr>
              <w:t>Contratista de la Subdirección de Contractual</w:t>
            </w:r>
          </w:p>
        </w:tc>
      </w:tr>
      <w:tr w:rsidR="009157E3" w:rsidRPr="00CA71FB" w14:paraId="024C1B2D" w14:textId="77777777" w:rsidTr="0062443E">
        <w:trPr>
          <w:trHeight w:val="273"/>
        </w:trPr>
        <w:tc>
          <w:tcPr>
            <w:tcW w:w="1221" w:type="dxa"/>
            <w:vAlign w:val="center"/>
            <w:hideMark/>
          </w:tcPr>
          <w:p w14:paraId="12F2862C" w14:textId="77777777" w:rsidR="009157E3" w:rsidRPr="00CA71FB" w:rsidRDefault="009157E3" w:rsidP="0062443E">
            <w:pPr>
              <w:rPr>
                <w:rFonts w:ascii="Arial" w:eastAsia="Calibri" w:hAnsi="Arial" w:cs="Arial"/>
                <w:sz w:val="18"/>
                <w:szCs w:val="18"/>
                <w:lang w:val="es-MX" w:eastAsia="es-ES"/>
              </w:rPr>
            </w:pPr>
            <w:r w:rsidRPr="00CA71FB">
              <w:rPr>
                <w:rFonts w:ascii="Arial" w:eastAsia="Calibri" w:hAnsi="Arial" w:cs="Arial"/>
                <w:sz w:val="18"/>
                <w:szCs w:val="18"/>
                <w:lang w:val="es-MX" w:eastAsia="es-ES"/>
              </w:rPr>
              <w:t>Aprobó:</w:t>
            </w:r>
          </w:p>
        </w:tc>
        <w:tc>
          <w:tcPr>
            <w:tcW w:w="5206" w:type="dxa"/>
            <w:tcBorders>
              <w:top w:val="dotted" w:sz="4" w:space="0" w:color="7F7F7F"/>
              <w:left w:val="nil"/>
              <w:bottom w:val="dotted" w:sz="4" w:space="0" w:color="7F7F7F"/>
              <w:right w:val="nil"/>
            </w:tcBorders>
            <w:vAlign w:val="center"/>
            <w:hideMark/>
          </w:tcPr>
          <w:p w14:paraId="7D11EF6B" w14:textId="77777777" w:rsidR="009157E3" w:rsidRPr="00CA71FB" w:rsidRDefault="009157E3" w:rsidP="0062443E">
            <w:pPr>
              <w:rPr>
                <w:rFonts w:ascii="Arial" w:eastAsia="Calibri" w:hAnsi="Arial" w:cs="Arial"/>
                <w:sz w:val="18"/>
                <w:szCs w:val="18"/>
                <w:lang w:val="es-MX" w:eastAsia="es-ES"/>
              </w:rPr>
            </w:pPr>
            <w:r w:rsidRPr="00CA71FB">
              <w:rPr>
                <w:rFonts w:ascii="Arial" w:eastAsia="Calibri" w:hAnsi="Arial" w:cs="Arial"/>
                <w:sz w:val="18"/>
                <w:szCs w:val="18"/>
                <w:lang w:val="es-MX" w:eastAsia="es-ES"/>
              </w:rPr>
              <w:t>Nohelia del Carmen Zawady Palacio</w:t>
            </w:r>
          </w:p>
          <w:p w14:paraId="341AC6DF" w14:textId="77777777" w:rsidR="009157E3" w:rsidRPr="00CA71FB" w:rsidRDefault="009157E3" w:rsidP="0062443E">
            <w:pPr>
              <w:rPr>
                <w:rFonts w:ascii="Arial" w:eastAsia="Calibri" w:hAnsi="Arial" w:cs="Arial"/>
                <w:sz w:val="18"/>
                <w:szCs w:val="18"/>
                <w:lang w:val="es-MX" w:eastAsia="es-ES"/>
              </w:rPr>
            </w:pPr>
            <w:r w:rsidRPr="00CA71FB">
              <w:rPr>
                <w:rFonts w:ascii="Arial" w:eastAsia="Calibri" w:hAnsi="Arial" w:cs="Arial"/>
                <w:sz w:val="18"/>
                <w:szCs w:val="18"/>
                <w:lang w:val="es-MX" w:eastAsia="es-ES"/>
              </w:rPr>
              <w:t>Subdirectora de Gestión Contractual ANCP – CCE</w:t>
            </w:r>
          </w:p>
        </w:tc>
      </w:tr>
    </w:tbl>
    <w:p w14:paraId="3CBB4FBC" w14:textId="77777777" w:rsidR="009157E3" w:rsidRPr="00CA71FB" w:rsidRDefault="009157E3" w:rsidP="009157E3">
      <w:pPr>
        <w:spacing w:after="0" w:line="240" w:lineRule="auto"/>
        <w:jc w:val="center"/>
        <w:rPr>
          <w:rFonts w:ascii="Arial" w:eastAsia="Calibri" w:hAnsi="Arial" w:cs="Arial"/>
          <w:sz w:val="18"/>
          <w:szCs w:val="18"/>
          <w:lang w:val="es-MX" w:eastAsia="es-CO"/>
        </w:rPr>
      </w:pPr>
    </w:p>
    <w:p w14:paraId="78EEB696" w14:textId="77777777" w:rsidR="009157E3" w:rsidRPr="00CA71FB" w:rsidRDefault="009157E3" w:rsidP="009157E3">
      <w:pPr>
        <w:spacing w:after="0" w:line="240" w:lineRule="auto"/>
        <w:jc w:val="center"/>
        <w:rPr>
          <w:rFonts w:ascii="Arial" w:eastAsia="Calibri" w:hAnsi="Arial" w:cs="Arial"/>
          <w:lang w:val="es-ES_tradnl" w:eastAsia="es-CO"/>
        </w:rPr>
      </w:pPr>
    </w:p>
    <w:p w14:paraId="78DFA0C9" w14:textId="77777777" w:rsidR="009157E3" w:rsidRDefault="009157E3" w:rsidP="009157E3">
      <w:pPr>
        <w:spacing w:after="0"/>
        <w:rPr>
          <w:rFonts w:ascii="Arial Nova" w:hAnsi="Arial Nova"/>
          <w:color w:val="000000" w:themeColor="text1"/>
        </w:rPr>
      </w:pPr>
    </w:p>
    <w:p w14:paraId="36282872" w14:textId="77777777" w:rsidR="009157E3" w:rsidRPr="007566FE" w:rsidRDefault="009157E3" w:rsidP="009157E3">
      <w:pPr>
        <w:spacing w:after="0"/>
        <w:rPr>
          <w:rFonts w:ascii="Arial Nova" w:hAnsi="Arial Nova"/>
          <w:color w:val="000000" w:themeColor="text1"/>
        </w:rPr>
      </w:pPr>
    </w:p>
    <w:p w14:paraId="1F206453" w14:textId="77777777" w:rsidR="008E5C2E" w:rsidRDefault="008E5C2E"/>
    <w:sectPr w:rsidR="008E5C2E" w:rsidSect="0039439C">
      <w:headerReference w:type="default" r:id="rId12"/>
      <w:footerReference w:type="default" r:id="rId13"/>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4019" w14:textId="77777777" w:rsidR="009157E3" w:rsidRDefault="009157E3" w:rsidP="009157E3">
      <w:pPr>
        <w:spacing w:after="0" w:line="240" w:lineRule="auto"/>
      </w:pPr>
      <w:r>
        <w:separator/>
      </w:r>
    </w:p>
  </w:endnote>
  <w:endnote w:type="continuationSeparator" w:id="0">
    <w:p w14:paraId="6D873FF3" w14:textId="77777777" w:rsidR="009157E3" w:rsidRDefault="009157E3" w:rsidP="0091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8649" w14:textId="77777777" w:rsidR="004A1847" w:rsidRDefault="009157E3" w:rsidP="008614E5">
    <w:pPr>
      <w:pStyle w:val="Piedepgina"/>
    </w:pPr>
    <w:r>
      <w:rPr>
        <w:noProof/>
      </w:rPr>
      <w:drawing>
        <wp:inline distT="0" distB="0" distL="0" distR="0" wp14:anchorId="765EDAE5" wp14:editId="30007070">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292D7B55"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BC079A3" w14:textId="77777777" w:rsidR="006219F8" w:rsidRPr="00080DA3" w:rsidRDefault="009157E3"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20710E4" w14:textId="77777777" w:rsidR="006219F8" w:rsidRPr="00080DA3" w:rsidRDefault="009157E3"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4200141" w14:textId="77777777" w:rsidR="006219F8" w:rsidRPr="00080DA3" w:rsidRDefault="009157E3"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ADCC8FF" w14:textId="77777777" w:rsidR="006219F8" w:rsidRPr="004B6B0E" w:rsidRDefault="009157E3"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317A2D2" w14:textId="77777777" w:rsidR="006219F8" w:rsidRPr="00080DA3" w:rsidRDefault="009157E3"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CE375D" w14:textId="77777777" w:rsidR="00A07532" w:rsidRPr="00080DA3" w:rsidRDefault="009157E3"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E2EEC56" w14:textId="77777777" w:rsidR="006219F8" w:rsidRPr="00080DA3" w:rsidRDefault="009157E3"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50E1286C" w14:textId="77777777" w:rsidR="006219F8" w:rsidRDefault="004A49F2"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1671" w14:textId="77777777" w:rsidR="009157E3" w:rsidRDefault="009157E3" w:rsidP="009157E3">
      <w:pPr>
        <w:spacing w:after="0" w:line="240" w:lineRule="auto"/>
      </w:pPr>
      <w:r>
        <w:separator/>
      </w:r>
    </w:p>
  </w:footnote>
  <w:footnote w:type="continuationSeparator" w:id="0">
    <w:p w14:paraId="2CC67271" w14:textId="77777777" w:rsidR="009157E3" w:rsidRDefault="009157E3" w:rsidP="009157E3">
      <w:pPr>
        <w:spacing w:after="0" w:line="240" w:lineRule="auto"/>
      </w:pPr>
      <w:r>
        <w:continuationSeparator/>
      </w:r>
    </w:p>
  </w:footnote>
  <w:footnote w:id="1">
    <w:p w14:paraId="21FD2BF7" w14:textId="77777777" w:rsidR="009157E3" w:rsidRPr="007C7528" w:rsidRDefault="009157E3" w:rsidP="009157E3">
      <w:pPr>
        <w:pStyle w:val="Textonotapie"/>
        <w:ind w:firstLine="708"/>
        <w:jc w:val="both"/>
        <w:rPr>
          <w:rFonts w:ascii="Arial" w:hAnsi="Arial" w:cs="Arial"/>
          <w:sz w:val="18"/>
          <w:szCs w:val="18"/>
          <w:lang w:val="es-ES"/>
        </w:rPr>
      </w:pPr>
      <w:r w:rsidRPr="007C7528">
        <w:rPr>
          <w:rStyle w:val="Refdenotaalpie"/>
          <w:rFonts w:ascii="Arial" w:hAnsi="Arial" w:cs="Arial"/>
          <w:sz w:val="18"/>
          <w:szCs w:val="18"/>
        </w:rPr>
        <w:footnoteRef/>
      </w:r>
      <w:r w:rsidRPr="007C7528">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C7528">
        <w:rPr>
          <w:rFonts w:ascii="Arial" w:hAnsi="Arial" w:cs="Arial"/>
          <w:i/>
          <w:iCs/>
          <w:sz w:val="18"/>
          <w:szCs w:val="18"/>
        </w:rPr>
        <w:t xml:space="preserve">ibidem </w:t>
      </w:r>
      <w:r w:rsidRPr="007C7528">
        <w:rPr>
          <w:rFonts w:ascii="Arial" w:hAnsi="Arial" w:cs="Arial"/>
          <w:sz w:val="18"/>
          <w:szCs w:val="18"/>
        </w:rPr>
        <w:t xml:space="preserve">señala, de manera precisa, las funciones de Colombia Compra Eficiente. Concretamente, el numeral 5º de este artículo establece que le corresponde a esta entidad: </w:t>
      </w:r>
      <w:r>
        <w:rPr>
          <w:rFonts w:ascii="Arial" w:hAnsi="Arial" w:cs="Arial"/>
          <w:sz w:val="18"/>
          <w:szCs w:val="18"/>
        </w:rPr>
        <w:t>“</w:t>
      </w:r>
      <w:r w:rsidRPr="007C7528">
        <w:rPr>
          <w:rFonts w:ascii="Arial" w:hAnsi="Arial" w:cs="Arial"/>
          <w:sz w:val="18"/>
          <w:szCs w:val="18"/>
        </w:rPr>
        <w:t>[a]</w:t>
      </w:r>
      <w:proofErr w:type="spellStart"/>
      <w:r w:rsidRPr="007C7528">
        <w:rPr>
          <w:rFonts w:ascii="Arial" w:hAnsi="Arial" w:cs="Arial"/>
          <w:sz w:val="18"/>
          <w:szCs w:val="18"/>
        </w:rPr>
        <w:t>bsolver</w:t>
      </w:r>
      <w:proofErr w:type="spellEnd"/>
      <w:r w:rsidRPr="007C7528">
        <w:rPr>
          <w:rFonts w:ascii="Arial" w:hAnsi="Arial" w:cs="Arial"/>
          <w:sz w:val="18"/>
          <w:szCs w:val="18"/>
        </w:rPr>
        <w:t xml:space="preserve"> consultas sobre la aplicación de normas de carácter general y expedir circulares externas en materia de compras y contratación pública</w:t>
      </w:r>
      <w:r>
        <w:rPr>
          <w:rFonts w:ascii="Arial" w:hAnsi="Arial" w:cs="Arial"/>
          <w:sz w:val="18"/>
          <w:szCs w:val="18"/>
        </w:rPr>
        <w:t>”</w:t>
      </w:r>
      <w:r w:rsidRPr="007C7528">
        <w:rPr>
          <w:rFonts w:ascii="Arial" w:hAnsi="Arial" w:cs="Arial"/>
          <w:sz w:val="18"/>
          <w:szCs w:val="18"/>
        </w:rPr>
        <w:t xml:space="preserve">. Seguidamente, el numeral 8º del artículo 11 ibidem señala que es función de la Subdirección de Gestión Contractual: </w:t>
      </w:r>
      <w:r>
        <w:rPr>
          <w:rFonts w:ascii="Arial" w:hAnsi="Arial" w:cs="Arial"/>
          <w:sz w:val="18"/>
          <w:szCs w:val="18"/>
        </w:rPr>
        <w:t>“</w:t>
      </w:r>
      <w:r w:rsidRPr="007C7528">
        <w:rPr>
          <w:rFonts w:ascii="Arial" w:hAnsi="Arial" w:cs="Arial"/>
          <w:sz w:val="18"/>
          <w:szCs w:val="18"/>
        </w:rPr>
        <w:t>[a]</w:t>
      </w:r>
      <w:proofErr w:type="spellStart"/>
      <w:r w:rsidRPr="007C7528">
        <w:rPr>
          <w:rFonts w:ascii="Arial" w:hAnsi="Arial" w:cs="Arial"/>
          <w:sz w:val="18"/>
          <w:szCs w:val="18"/>
        </w:rPr>
        <w:t>bsolver</w:t>
      </w:r>
      <w:proofErr w:type="spellEnd"/>
      <w:r w:rsidRPr="007C7528">
        <w:rPr>
          <w:rFonts w:ascii="Arial" w:hAnsi="Arial" w:cs="Arial"/>
          <w:sz w:val="18"/>
          <w:szCs w:val="18"/>
        </w:rPr>
        <w:t xml:space="preserve"> consultas sobre la aplicación de normas de carácter general</w:t>
      </w:r>
      <w:r>
        <w:rPr>
          <w:rFonts w:ascii="Arial" w:hAnsi="Arial" w:cs="Arial"/>
          <w:sz w:val="18"/>
          <w:szCs w:val="18"/>
        </w:rPr>
        <w:t>”</w:t>
      </w:r>
      <w:r w:rsidRPr="007C7528">
        <w:rPr>
          <w:rFonts w:ascii="Arial" w:hAnsi="Arial" w:cs="Arial"/>
          <w:sz w:val="18"/>
          <w:szCs w:val="18"/>
        </w:rPr>
        <w:t>.</w:t>
      </w:r>
    </w:p>
  </w:footnote>
  <w:footnote w:id="2">
    <w:p w14:paraId="088C6B44" w14:textId="77777777" w:rsidR="009157E3" w:rsidRPr="007C7528" w:rsidRDefault="009157E3" w:rsidP="009157E3">
      <w:pPr>
        <w:pStyle w:val="Textonotapie"/>
        <w:ind w:firstLine="708"/>
        <w:jc w:val="both"/>
        <w:rPr>
          <w:rFonts w:ascii="Arial" w:hAnsi="Arial" w:cs="Arial"/>
          <w:color w:val="000000"/>
          <w:sz w:val="18"/>
          <w:szCs w:val="18"/>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w:t>
      </w:r>
      <w:r>
        <w:rPr>
          <w:rFonts w:ascii="Arial" w:hAnsi="Arial" w:cs="Arial"/>
          <w:color w:val="000000"/>
          <w:sz w:val="18"/>
          <w:szCs w:val="18"/>
        </w:rPr>
        <w:t>“</w:t>
      </w:r>
      <w:r w:rsidRPr="007C7528">
        <w:rPr>
          <w:rFonts w:ascii="Arial" w:hAnsi="Arial" w:cs="Arial"/>
          <w:color w:val="000000"/>
          <w:sz w:val="18"/>
          <w:szCs w:val="18"/>
        </w:rPr>
        <w:t>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r>
        <w:rPr>
          <w:rFonts w:ascii="Arial" w:hAnsi="Arial" w:cs="Arial"/>
          <w:color w:val="000000"/>
          <w:sz w:val="18"/>
          <w:szCs w:val="18"/>
        </w:rPr>
        <w:t>”</w:t>
      </w:r>
      <w:r w:rsidRPr="007C7528">
        <w:rPr>
          <w:rFonts w:ascii="Arial" w:hAnsi="Arial" w:cs="Arial"/>
          <w:color w:val="000000"/>
          <w:sz w:val="18"/>
          <w:szCs w:val="18"/>
        </w:rPr>
        <w:t>.</w:t>
      </w:r>
    </w:p>
    <w:p w14:paraId="0DFBBC97" w14:textId="77777777" w:rsidR="009157E3" w:rsidRPr="007C7528" w:rsidRDefault="009157E3" w:rsidP="009157E3">
      <w:pPr>
        <w:pStyle w:val="Textonotapie"/>
        <w:ind w:firstLine="708"/>
        <w:jc w:val="both"/>
        <w:rPr>
          <w:rFonts w:ascii="Arial" w:hAnsi="Arial" w:cs="Arial"/>
          <w:color w:val="000000"/>
          <w:sz w:val="18"/>
          <w:szCs w:val="18"/>
        </w:rPr>
      </w:pPr>
    </w:p>
  </w:footnote>
  <w:footnote w:id="3">
    <w:p w14:paraId="0D7E98C4" w14:textId="77777777" w:rsidR="009157E3" w:rsidRPr="007C7528" w:rsidRDefault="009157E3" w:rsidP="009157E3">
      <w:pPr>
        <w:pStyle w:val="Textonotapie"/>
        <w:ind w:firstLine="708"/>
        <w:jc w:val="both"/>
        <w:rPr>
          <w:rFonts w:ascii="Arial" w:hAnsi="Arial" w:cs="Arial"/>
          <w:color w:val="000000"/>
          <w:sz w:val="18"/>
          <w:szCs w:val="18"/>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TORRENTE BAYONA, César y BUSTAMANTE, Luis Eduardo. Las entidades sin ánimo de lucro (3ª Ed.). Editado por la Cámara de Comercio de Bogotá.  Bogotá. 2000, p. 33. Allí se lee: </w:t>
      </w:r>
      <w:r>
        <w:rPr>
          <w:rFonts w:ascii="Arial" w:hAnsi="Arial" w:cs="Arial"/>
          <w:color w:val="000000"/>
          <w:sz w:val="18"/>
          <w:szCs w:val="18"/>
        </w:rPr>
        <w:t>“</w:t>
      </w:r>
      <w:r w:rsidRPr="007C7528">
        <w:rPr>
          <w:rFonts w:ascii="Arial" w:hAnsi="Arial" w:cs="Arial"/>
          <w:color w:val="000000"/>
          <w:sz w:val="18"/>
          <w:szCs w:val="18"/>
        </w:rPr>
        <w:t>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4CB75B9D" w14:textId="77777777" w:rsidR="009157E3" w:rsidRPr="007C7528" w:rsidRDefault="009157E3" w:rsidP="009157E3">
      <w:pPr>
        <w:pStyle w:val="Textonotapie"/>
        <w:spacing w:before="120"/>
        <w:ind w:firstLine="709"/>
        <w:jc w:val="both"/>
        <w:rPr>
          <w:rFonts w:ascii="Arial" w:hAnsi="Arial" w:cs="Arial"/>
          <w:color w:val="000000"/>
          <w:sz w:val="18"/>
          <w:szCs w:val="18"/>
        </w:rPr>
      </w:pPr>
      <w:r w:rsidRPr="007C7528">
        <w:rPr>
          <w:rFonts w:ascii="Arial" w:hAnsi="Arial" w:cs="Arial"/>
          <w:color w:val="000000"/>
          <w:sz w:val="18"/>
          <w:szCs w:val="18"/>
        </w:rPr>
        <w:t>La ausencia de lucro es una de sus características fundamentales, lo cual significa que no existe el reparto de utilidades o remanentes generados en el desarrollo de sus objetivos, ni es viable el reembolso de los bienes o dineros aportados a la entidad […]</w:t>
      </w:r>
      <w:r>
        <w:rPr>
          <w:rFonts w:ascii="Arial" w:hAnsi="Arial" w:cs="Arial"/>
          <w:color w:val="000000"/>
          <w:sz w:val="18"/>
          <w:szCs w:val="18"/>
        </w:rPr>
        <w:t>”</w:t>
      </w:r>
      <w:r w:rsidRPr="007C7528">
        <w:rPr>
          <w:rFonts w:ascii="Arial" w:hAnsi="Arial" w:cs="Arial"/>
          <w:color w:val="000000"/>
          <w:sz w:val="18"/>
          <w:szCs w:val="18"/>
        </w:rPr>
        <w:t>.</w:t>
      </w:r>
    </w:p>
    <w:p w14:paraId="314269A8" w14:textId="77777777" w:rsidR="009157E3" w:rsidRPr="007C7528" w:rsidRDefault="009157E3" w:rsidP="009157E3">
      <w:pPr>
        <w:pStyle w:val="Textonotapie"/>
        <w:ind w:firstLine="708"/>
        <w:jc w:val="both"/>
        <w:rPr>
          <w:rFonts w:ascii="Arial" w:hAnsi="Arial" w:cs="Arial"/>
          <w:color w:val="000000"/>
          <w:sz w:val="18"/>
          <w:szCs w:val="18"/>
        </w:rPr>
      </w:pPr>
    </w:p>
  </w:footnote>
  <w:footnote w:id="4">
    <w:p w14:paraId="5BDC20C8" w14:textId="77777777" w:rsidR="009157E3" w:rsidRPr="007C7528" w:rsidRDefault="009157E3" w:rsidP="009157E3">
      <w:pPr>
        <w:pStyle w:val="Textonotapie"/>
        <w:ind w:firstLine="708"/>
        <w:jc w:val="both"/>
        <w:rPr>
          <w:rFonts w:ascii="Arial" w:hAnsi="Arial" w:cs="Arial"/>
          <w:sz w:val="18"/>
          <w:szCs w:val="18"/>
          <w:lang w:val="es-CO"/>
        </w:rPr>
      </w:pPr>
      <w:r w:rsidRPr="007C7528">
        <w:rPr>
          <w:rStyle w:val="Refdenotaalpie"/>
          <w:rFonts w:ascii="Arial" w:hAnsi="Arial" w:cs="Arial"/>
          <w:sz w:val="18"/>
          <w:szCs w:val="18"/>
        </w:rPr>
        <w:footnoteRef/>
      </w:r>
      <w:r w:rsidRPr="007C7528">
        <w:rPr>
          <w:rFonts w:ascii="Arial" w:hAnsi="Arial" w:cs="Arial"/>
          <w:sz w:val="18"/>
          <w:szCs w:val="18"/>
        </w:rPr>
        <w:t xml:space="preserve"> CONSEJO DE ESTADO. Sentencia del 02 de diciembre de 2015. Radicado No. 11001-03-06-000-2015-00144-00(2267). M.P. William Zambrano </w:t>
      </w:r>
      <w:proofErr w:type="spellStart"/>
      <w:r w:rsidRPr="007C7528">
        <w:rPr>
          <w:rFonts w:ascii="Arial" w:hAnsi="Arial" w:cs="Arial"/>
          <w:sz w:val="18"/>
          <w:szCs w:val="18"/>
        </w:rPr>
        <w:t>Centina</w:t>
      </w:r>
      <w:proofErr w:type="spellEnd"/>
    </w:p>
  </w:footnote>
  <w:footnote w:id="5">
    <w:p w14:paraId="26E26ED3" w14:textId="77777777" w:rsidR="009157E3" w:rsidRDefault="009157E3" w:rsidP="009157E3">
      <w:pPr>
        <w:pStyle w:val="Textonotapie"/>
        <w:jc w:val="both"/>
        <w:rPr>
          <w:rFonts w:ascii="Arial" w:hAnsi="Arial" w:cs="Arial"/>
          <w:sz w:val="18"/>
          <w:szCs w:val="18"/>
        </w:rPr>
      </w:pPr>
    </w:p>
    <w:p w14:paraId="57C26A25" w14:textId="77777777" w:rsidR="009157E3" w:rsidRPr="007C7528" w:rsidRDefault="009157E3" w:rsidP="009157E3">
      <w:pPr>
        <w:pStyle w:val="Textonotapie"/>
        <w:jc w:val="both"/>
        <w:rPr>
          <w:rFonts w:ascii="Arial" w:hAnsi="Arial" w:cs="Arial"/>
          <w:sz w:val="18"/>
          <w:szCs w:val="18"/>
        </w:rPr>
      </w:pPr>
      <w:r w:rsidRPr="007C7528">
        <w:rPr>
          <w:rStyle w:val="Refdenotaalpie"/>
          <w:rFonts w:ascii="Arial" w:hAnsi="Arial" w:cs="Arial"/>
          <w:sz w:val="18"/>
          <w:szCs w:val="18"/>
        </w:rPr>
        <w:footnoteRef/>
      </w:r>
      <w:r w:rsidRPr="007C7528">
        <w:rPr>
          <w:rFonts w:ascii="Arial" w:hAnsi="Arial" w:cs="Arial"/>
          <w:sz w:val="18"/>
          <w:szCs w:val="18"/>
        </w:rPr>
        <w:t xml:space="preserve"> Consejo de Estado, Sala de Consulta y Servicio Civil. Concepto del 15 de agosto de 2006, </w:t>
      </w:r>
      <w:r w:rsidRPr="007C7528">
        <w:rPr>
          <w:rFonts w:ascii="Arial" w:hAnsi="Arial" w:cs="Arial"/>
          <w:bCs/>
          <w:sz w:val="18"/>
          <w:szCs w:val="18"/>
        </w:rPr>
        <w:t xml:space="preserve">Radicación número: </w:t>
      </w:r>
      <w:r w:rsidRPr="007C7528">
        <w:rPr>
          <w:rFonts w:ascii="Arial" w:hAnsi="Arial" w:cs="Arial"/>
          <w:sz w:val="18"/>
          <w:szCs w:val="18"/>
        </w:rPr>
        <w:t>11001-03-06-000-2006-00073-00(1763).</w:t>
      </w:r>
    </w:p>
  </w:footnote>
  <w:footnote w:id="6">
    <w:p w14:paraId="586EF0F2" w14:textId="77777777" w:rsidR="009157E3" w:rsidRPr="007C7528" w:rsidRDefault="009157E3" w:rsidP="009157E3">
      <w:pPr>
        <w:pStyle w:val="Textonotapie"/>
        <w:ind w:firstLine="708"/>
        <w:jc w:val="both"/>
        <w:rPr>
          <w:rFonts w:ascii="Arial" w:hAnsi="Arial" w:cs="Arial"/>
          <w:sz w:val="18"/>
          <w:szCs w:val="18"/>
          <w:lang w:val="es-CO"/>
        </w:rPr>
      </w:pPr>
      <w:r w:rsidRPr="007C7528">
        <w:rPr>
          <w:rStyle w:val="Refdenotaalpie"/>
          <w:rFonts w:ascii="Arial" w:hAnsi="Arial" w:cs="Arial"/>
          <w:sz w:val="18"/>
          <w:szCs w:val="18"/>
        </w:rPr>
        <w:footnoteRef/>
      </w:r>
      <w:r w:rsidRPr="007C7528">
        <w:rPr>
          <w:rFonts w:ascii="Arial" w:eastAsia="Calibri" w:hAnsi="Arial" w:cs="Arial"/>
          <w:sz w:val="18"/>
          <w:szCs w:val="18"/>
        </w:rPr>
        <w:t xml:space="preserve"> Agencia Nacional de Contratación Pública </w:t>
      </w:r>
      <w:r w:rsidRPr="007C7528">
        <w:rPr>
          <w:rFonts w:ascii="Arial" w:eastAsia="Calibri" w:hAnsi="Arial" w:cs="Arial"/>
          <w:bCs/>
          <w:sz w:val="18"/>
          <w:szCs w:val="18"/>
        </w:rPr>
        <w:t xml:space="preserve">– </w:t>
      </w:r>
      <w:r w:rsidRPr="007C7528">
        <w:rPr>
          <w:rFonts w:ascii="Arial" w:eastAsia="Calibri" w:hAnsi="Arial" w:cs="Arial"/>
          <w:sz w:val="18"/>
          <w:szCs w:val="18"/>
        </w:rPr>
        <w:t>Colombia Compra Eficiente</w:t>
      </w:r>
      <w:r w:rsidRPr="007C7528">
        <w:rPr>
          <w:rFonts w:ascii="Arial" w:hAnsi="Arial" w:cs="Arial"/>
          <w:sz w:val="18"/>
          <w:szCs w:val="18"/>
          <w:lang w:val="es-CO"/>
        </w:rPr>
        <w:t xml:space="preserve"> Guía para elaborar el Plan Anual de Adquisiciones. Página 3. </w:t>
      </w:r>
    </w:p>
  </w:footnote>
  <w:footnote w:id="7">
    <w:p w14:paraId="331E5625" w14:textId="77777777" w:rsidR="009157E3" w:rsidRDefault="009157E3" w:rsidP="009157E3">
      <w:pPr>
        <w:pStyle w:val="Textonotapie"/>
        <w:ind w:firstLine="708"/>
        <w:jc w:val="both"/>
        <w:rPr>
          <w:rFonts w:ascii="Arial" w:hAnsi="Arial" w:cs="Arial"/>
          <w:sz w:val="18"/>
          <w:szCs w:val="18"/>
        </w:rPr>
      </w:pPr>
    </w:p>
    <w:p w14:paraId="2DDBA84D" w14:textId="77777777" w:rsidR="009157E3" w:rsidRPr="007C7528" w:rsidRDefault="009157E3" w:rsidP="009157E3">
      <w:pPr>
        <w:pStyle w:val="Textonotapie"/>
        <w:ind w:firstLine="708"/>
        <w:jc w:val="both"/>
        <w:rPr>
          <w:rFonts w:ascii="Arial" w:hAnsi="Arial" w:cs="Arial"/>
          <w:sz w:val="18"/>
          <w:szCs w:val="18"/>
          <w:lang w:val="es-ES"/>
        </w:rPr>
      </w:pPr>
      <w:r w:rsidRPr="007C7528">
        <w:rPr>
          <w:rStyle w:val="Refdenotaalpie"/>
          <w:rFonts w:ascii="Arial" w:hAnsi="Arial" w:cs="Arial"/>
          <w:sz w:val="18"/>
          <w:szCs w:val="18"/>
        </w:rPr>
        <w:footnoteRef/>
      </w:r>
      <w:r w:rsidRPr="007C7528">
        <w:rPr>
          <w:rFonts w:ascii="Arial" w:hAnsi="Arial" w:cs="Arial"/>
          <w:sz w:val="18"/>
          <w:szCs w:val="18"/>
        </w:rPr>
        <w:t xml:space="preserve"> El artículo 74 de la Ley 1474 prescribe: </w:t>
      </w:r>
      <w:r>
        <w:rPr>
          <w:rFonts w:ascii="Arial" w:hAnsi="Arial" w:cs="Arial"/>
          <w:sz w:val="18"/>
          <w:szCs w:val="18"/>
        </w:rPr>
        <w:t>“</w:t>
      </w:r>
      <w:r w:rsidRPr="007C7528">
        <w:rPr>
          <w:rFonts w:ascii="Arial" w:hAnsi="Arial" w:cs="Arial"/>
          <w:sz w:val="18"/>
          <w:szCs w:val="18"/>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5ED46A29" w14:textId="77777777" w:rsidR="009157E3" w:rsidRPr="007C7528" w:rsidRDefault="009157E3" w:rsidP="009157E3">
      <w:pPr>
        <w:pStyle w:val="Textonotapie"/>
        <w:ind w:firstLine="708"/>
        <w:jc w:val="both"/>
        <w:rPr>
          <w:rFonts w:ascii="Arial" w:hAnsi="Arial" w:cs="Arial"/>
          <w:sz w:val="18"/>
          <w:szCs w:val="18"/>
          <w:lang w:val="es-ES"/>
        </w:rPr>
      </w:pPr>
      <w:r w:rsidRPr="007C7528">
        <w:rPr>
          <w:rFonts w:ascii="Arial" w:hAnsi="Arial" w:cs="Arial"/>
          <w:sz w:val="18"/>
          <w:szCs w:val="18"/>
          <w:lang w:val="es-ES"/>
        </w:rPr>
        <w:t>A partir del año siguiente, el Plan de Acción deberá estar acompañado del informe de gestión del año inmediatamente anterior.</w:t>
      </w:r>
    </w:p>
    <w:p w14:paraId="15F99F15" w14:textId="77777777" w:rsidR="009157E3" w:rsidRPr="007C7528" w:rsidRDefault="009157E3" w:rsidP="009157E3">
      <w:pPr>
        <w:pStyle w:val="Textonotapie"/>
        <w:ind w:firstLine="708"/>
        <w:jc w:val="both"/>
        <w:rPr>
          <w:rFonts w:ascii="Arial" w:hAnsi="Arial" w:cs="Arial"/>
          <w:sz w:val="18"/>
          <w:szCs w:val="18"/>
          <w:lang w:val="es-ES"/>
        </w:rPr>
      </w:pPr>
      <w:r w:rsidRPr="007C7528">
        <w:rPr>
          <w:rFonts w:ascii="Arial" w:hAnsi="Arial" w:cs="Arial"/>
          <w:sz w:val="18"/>
          <w:szCs w:val="18"/>
          <w:lang w:val="es-ES"/>
        </w:rPr>
        <w:t>Igualmente publicarán por dicho medio su presupuesto debidamente desagregado, así como las modificaciones a este o a su desagregación.</w:t>
      </w:r>
      <w:r w:rsidRPr="007C7528">
        <w:rPr>
          <w:rFonts w:ascii="Arial" w:hAnsi="Arial" w:cs="Arial"/>
          <w:sz w:val="18"/>
          <w:szCs w:val="18"/>
          <w:lang w:val="es-ES"/>
        </w:rPr>
        <w:tab/>
      </w:r>
    </w:p>
    <w:p w14:paraId="2458A998" w14:textId="77777777" w:rsidR="009157E3" w:rsidRPr="007C7528" w:rsidRDefault="009157E3" w:rsidP="009157E3">
      <w:pPr>
        <w:pStyle w:val="Textonotapie"/>
        <w:ind w:firstLine="708"/>
        <w:jc w:val="both"/>
        <w:rPr>
          <w:rFonts w:ascii="Arial" w:hAnsi="Arial" w:cs="Arial"/>
          <w:sz w:val="18"/>
          <w:szCs w:val="18"/>
          <w:lang w:val="es-ES"/>
        </w:rPr>
      </w:pPr>
      <w:r w:rsidRPr="007C7528">
        <w:rPr>
          <w:rFonts w:ascii="Arial" w:hAnsi="Arial" w:cs="Arial"/>
          <w:sz w:val="18"/>
          <w:szCs w:val="18"/>
          <w:lang w:val="es-ES"/>
        </w:rPr>
        <w:t>Parágrafo. Las empresas industriales y comerciales del Estado y las Sociedades de Economía Mixta estarán exentas de publicar la información relacionada con sus proyectos de inversión</w:t>
      </w:r>
      <w:r>
        <w:rPr>
          <w:rFonts w:ascii="Arial" w:hAnsi="Arial" w:cs="Arial"/>
          <w:sz w:val="18"/>
          <w:szCs w:val="18"/>
          <w:lang w:val="es-ES"/>
        </w:rPr>
        <w:t>”</w:t>
      </w:r>
      <w:r w:rsidRPr="007C7528">
        <w:rPr>
          <w:rFonts w:ascii="Arial" w:hAnsi="Arial" w:cs="Arial"/>
          <w:sz w:val="18"/>
          <w:szCs w:val="18"/>
          <w:lang w:val="es-ES"/>
        </w:rPr>
        <w:t>.</w:t>
      </w:r>
    </w:p>
    <w:p w14:paraId="786EF233" w14:textId="77777777" w:rsidR="009157E3" w:rsidRPr="007C7528" w:rsidRDefault="009157E3" w:rsidP="009157E3">
      <w:pPr>
        <w:pStyle w:val="Textonotapie"/>
        <w:ind w:firstLine="708"/>
        <w:jc w:val="both"/>
        <w:rPr>
          <w:rFonts w:ascii="Arial" w:hAnsi="Arial" w:cs="Arial"/>
          <w:sz w:val="18"/>
          <w:szCs w:val="18"/>
          <w:lang w:val="es-ES"/>
        </w:rPr>
      </w:pPr>
      <w:r w:rsidRPr="007C7528">
        <w:rPr>
          <w:rFonts w:ascii="Arial" w:hAnsi="Arial" w:cs="Arial"/>
          <w:sz w:val="18"/>
          <w:szCs w:val="18"/>
          <w:lang w:val="es-ES"/>
        </w:rPr>
        <w:t xml:space="preserve"> </w:t>
      </w:r>
    </w:p>
  </w:footnote>
  <w:footnote w:id="8">
    <w:p w14:paraId="534E8164" w14:textId="77777777" w:rsidR="009157E3" w:rsidRPr="007C7528" w:rsidRDefault="009157E3" w:rsidP="009157E3">
      <w:pPr>
        <w:pStyle w:val="Textonotapie"/>
        <w:ind w:firstLine="709"/>
        <w:jc w:val="both"/>
        <w:rPr>
          <w:rFonts w:ascii="Arial" w:hAnsi="Arial" w:cs="Arial"/>
          <w:color w:val="000000"/>
          <w:sz w:val="18"/>
          <w:szCs w:val="18"/>
          <w:shd w:val="clear" w:color="auto" w:fill="FFFFFF"/>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w:t>
      </w:r>
      <w:r>
        <w:rPr>
          <w:rFonts w:ascii="Arial" w:hAnsi="Arial" w:cs="Arial"/>
          <w:color w:val="000000"/>
          <w:sz w:val="18"/>
          <w:szCs w:val="18"/>
        </w:rPr>
        <w:t>“</w:t>
      </w:r>
      <w:r w:rsidRPr="007C7528">
        <w:rPr>
          <w:rStyle w:val="Textoennegrita"/>
          <w:rFonts w:ascii="Arial" w:hAnsi="Arial" w:cs="Arial"/>
          <w:color w:val="000000"/>
          <w:sz w:val="18"/>
          <w:szCs w:val="18"/>
          <w:shd w:val="clear" w:color="auto" w:fill="FFFFFF"/>
        </w:rPr>
        <w:t>Artículo 2.2.1.1.1.3.1. </w:t>
      </w:r>
      <w:r w:rsidRPr="007C7528">
        <w:rPr>
          <w:rStyle w:val="nfasis"/>
          <w:rFonts w:ascii="Arial" w:hAnsi="Arial" w:cs="Arial"/>
          <w:color w:val="000000"/>
          <w:sz w:val="18"/>
          <w:szCs w:val="18"/>
          <w:shd w:val="clear" w:color="auto" w:fill="FFFFFF"/>
        </w:rPr>
        <w:t>Definiciones. </w:t>
      </w:r>
      <w:r w:rsidRPr="007C7528">
        <w:rPr>
          <w:rFonts w:ascii="Arial" w:hAnsi="Arial" w:cs="Arial"/>
          <w:color w:val="000000"/>
          <w:sz w:val="18"/>
          <w:szCs w:val="18"/>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05C6C4B4" w14:textId="77777777" w:rsidR="009157E3" w:rsidRPr="007C7528" w:rsidRDefault="009157E3" w:rsidP="009157E3">
      <w:pPr>
        <w:pStyle w:val="Textonotapie"/>
        <w:ind w:firstLine="709"/>
        <w:jc w:val="both"/>
        <w:rPr>
          <w:rFonts w:ascii="Arial" w:hAnsi="Arial" w:cs="Arial"/>
          <w:color w:val="000000"/>
          <w:sz w:val="18"/>
          <w:szCs w:val="18"/>
          <w:shd w:val="clear" w:color="auto" w:fill="FFFFFF"/>
        </w:rPr>
      </w:pPr>
      <w:r w:rsidRPr="007C7528">
        <w:rPr>
          <w:rFonts w:ascii="Arial" w:hAnsi="Arial" w:cs="Arial"/>
          <w:color w:val="000000"/>
          <w:sz w:val="18"/>
          <w:szCs w:val="18"/>
          <w:shd w:val="clear" w:color="auto" w:fill="FFFFFF"/>
        </w:rPr>
        <w:t>[…]</w:t>
      </w:r>
    </w:p>
    <w:p w14:paraId="3574EC08" w14:textId="77777777" w:rsidR="009157E3" w:rsidRPr="007C7528" w:rsidRDefault="009157E3" w:rsidP="009157E3">
      <w:pPr>
        <w:pStyle w:val="NormalWeb"/>
        <w:shd w:val="clear" w:color="auto" w:fill="FFFFFF"/>
        <w:spacing w:after="0"/>
        <w:ind w:firstLine="709"/>
        <w:jc w:val="both"/>
        <w:rPr>
          <w:rFonts w:ascii="Arial" w:hAnsi="Arial" w:cs="Arial"/>
          <w:color w:val="000000"/>
          <w:sz w:val="18"/>
          <w:szCs w:val="18"/>
        </w:rPr>
      </w:pPr>
      <w:r w:rsidRPr="007C7528">
        <w:rPr>
          <w:rStyle w:val="nfasis"/>
          <w:rFonts w:ascii="Arial" w:hAnsi="Arial" w:cs="Arial"/>
          <w:color w:val="000000"/>
          <w:sz w:val="18"/>
          <w:szCs w:val="18"/>
        </w:rPr>
        <w:t>Plan Anual de Adquisiciones: </w:t>
      </w:r>
      <w:r w:rsidRPr="007C7528">
        <w:rPr>
          <w:rFonts w:ascii="Arial" w:hAnsi="Arial" w:cs="Arial"/>
          <w:color w:val="000000"/>
          <w:sz w:val="18"/>
          <w:szCs w:val="18"/>
        </w:rPr>
        <w:t>Plan general de compras al que se refiere el </w:t>
      </w:r>
      <w:hyperlink r:id="rId1" w:history="1">
        <w:r w:rsidRPr="007C7528">
          <w:rPr>
            <w:rStyle w:val="Hipervnculo1"/>
            <w:rFonts w:ascii="Arial" w:hAnsi="Arial" w:cs="Arial"/>
            <w:color w:val="000000"/>
            <w:sz w:val="18"/>
            <w:szCs w:val="18"/>
          </w:rPr>
          <w:t>artículo 74 de la Ley 1474 de 2011</w:t>
        </w:r>
      </w:hyperlink>
      <w:r w:rsidRPr="007C7528">
        <w:rPr>
          <w:rFonts w:ascii="Arial" w:hAnsi="Arial" w:cs="Arial"/>
          <w:color w:val="000000"/>
          <w:sz w:val="18"/>
          <w:szCs w:val="18"/>
        </w:rPr>
        <w:t> y el plan de compras al que se refiere la Ley Anual de Presupuesto. Es un instrumento de planeación contractual que las Entidades Estatales deben diligenciar, publicar y actualizar en los términos del presente título</w:t>
      </w:r>
      <w:r>
        <w:rPr>
          <w:rFonts w:ascii="Arial" w:hAnsi="Arial" w:cs="Arial"/>
          <w:color w:val="000000"/>
          <w:sz w:val="18"/>
          <w:szCs w:val="18"/>
        </w:rPr>
        <w:t>”</w:t>
      </w:r>
      <w:r w:rsidRPr="007C7528">
        <w:rPr>
          <w:rFonts w:ascii="Arial" w:hAnsi="Arial" w:cs="Arial"/>
          <w:color w:val="000000"/>
          <w:sz w:val="18"/>
          <w:szCs w:val="18"/>
        </w:rPr>
        <w:t>.</w:t>
      </w:r>
    </w:p>
    <w:p w14:paraId="618FC30D" w14:textId="77777777" w:rsidR="009157E3" w:rsidRPr="007C7528" w:rsidRDefault="009157E3" w:rsidP="009157E3">
      <w:pPr>
        <w:pStyle w:val="NormalWeb"/>
        <w:shd w:val="clear" w:color="auto" w:fill="FFFFFF"/>
        <w:spacing w:after="0"/>
        <w:ind w:firstLine="709"/>
        <w:jc w:val="both"/>
        <w:rPr>
          <w:rFonts w:ascii="Arial" w:hAnsi="Arial" w:cs="Arial"/>
          <w:color w:val="000000"/>
          <w:sz w:val="18"/>
          <w:szCs w:val="18"/>
        </w:rPr>
      </w:pPr>
    </w:p>
  </w:footnote>
  <w:footnote w:id="9">
    <w:p w14:paraId="633AA2E3" w14:textId="77777777" w:rsidR="009157E3" w:rsidRPr="007C7528" w:rsidRDefault="009157E3" w:rsidP="009157E3">
      <w:pPr>
        <w:pStyle w:val="Textonotapie"/>
        <w:ind w:firstLine="708"/>
        <w:jc w:val="both"/>
        <w:rPr>
          <w:rFonts w:ascii="Arial" w:hAnsi="Arial" w:cs="Arial"/>
          <w:sz w:val="18"/>
          <w:szCs w:val="18"/>
        </w:rPr>
      </w:pPr>
      <w:r w:rsidRPr="007C7528">
        <w:rPr>
          <w:rStyle w:val="Refdenotaalpie"/>
          <w:rFonts w:ascii="Arial" w:hAnsi="Arial" w:cs="Arial"/>
          <w:sz w:val="18"/>
          <w:szCs w:val="18"/>
        </w:rPr>
        <w:footnoteRef/>
      </w:r>
      <w:r w:rsidRPr="007C7528">
        <w:rPr>
          <w:rFonts w:ascii="Arial" w:hAnsi="Arial" w:cs="Arial"/>
          <w:sz w:val="18"/>
          <w:szCs w:val="18"/>
        </w:rPr>
        <w:t xml:space="preserve"> Decreto 1082 de 2015: </w:t>
      </w:r>
      <w:r>
        <w:rPr>
          <w:rFonts w:ascii="Arial" w:hAnsi="Arial" w:cs="Arial"/>
          <w:sz w:val="18"/>
          <w:szCs w:val="18"/>
        </w:rPr>
        <w:t>“</w:t>
      </w:r>
      <w:r w:rsidRPr="007C7528">
        <w:rPr>
          <w:rFonts w:ascii="Arial" w:hAnsi="Arial" w:cs="Arial"/>
          <w:sz w:val="18"/>
          <w:szCs w:val="18"/>
        </w:rPr>
        <w:t>Artículo 2.2.1.1.1.4.3. Publicación del Plan Anual de Adquisiciones.</w:t>
      </w:r>
      <w:r w:rsidRPr="007C7528">
        <w:rPr>
          <w:rFonts w:ascii="Arial" w:hAnsi="Arial" w:cs="Arial"/>
          <w:i/>
          <w:iCs/>
          <w:sz w:val="18"/>
          <w:szCs w:val="18"/>
        </w:rPr>
        <w:t> </w:t>
      </w:r>
      <w:r w:rsidRPr="007C7528">
        <w:rPr>
          <w:rFonts w:ascii="Arial" w:hAnsi="Arial" w:cs="Arial"/>
          <w:sz w:val="18"/>
          <w:szCs w:val="18"/>
        </w:rPr>
        <w:t xml:space="preserve">La Entidad Estatal debe publicar su Plan Anual de Adquisiciones y las actualizaciones </w:t>
      </w:r>
      <w:proofErr w:type="gramStart"/>
      <w:r w:rsidRPr="007C7528">
        <w:rPr>
          <w:rFonts w:ascii="Arial" w:hAnsi="Arial" w:cs="Arial"/>
          <w:sz w:val="18"/>
          <w:szCs w:val="18"/>
        </w:rPr>
        <w:t>del mismo</w:t>
      </w:r>
      <w:proofErr w:type="gramEnd"/>
      <w:r w:rsidRPr="007C7528">
        <w:rPr>
          <w:rFonts w:ascii="Arial" w:hAnsi="Arial" w:cs="Arial"/>
          <w:sz w:val="18"/>
          <w:szCs w:val="18"/>
        </w:rPr>
        <w:t xml:space="preserve"> en su página web y en el SECOP, en la forma que para el efecto disponga Colombia Compra Eficiente</w:t>
      </w:r>
      <w:r>
        <w:rPr>
          <w:rFonts w:ascii="Arial" w:hAnsi="Arial" w:cs="Arial"/>
          <w:sz w:val="18"/>
          <w:szCs w:val="18"/>
        </w:rPr>
        <w:t>”</w:t>
      </w:r>
      <w:r w:rsidRPr="007C7528">
        <w:rPr>
          <w:rFonts w:ascii="Arial" w:hAnsi="Arial" w:cs="Arial"/>
          <w:sz w:val="18"/>
          <w:szCs w:val="18"/>
        </w:rPr>
        <w:t>.</w:t>
      </w:r>
    </w:p>
    <w:p w14:paraId="5B87BE26" w14:textId="77777777" w:rsidR="009157E3" w:rsidRPr="007C7528" w:rsidRDefault="009157E3" w:rsidP="009157E3">
      <w:pPr>
        <w:pStyle w:val="Textonotapie"/>
        <w:ind w:firstLine="708"/>
        <w:jc w:val="both"/>
        <w:rPr>
          <w:rFonts w:ascii="Arial" w:hAnsi="Arial" w:cs="Arial"/>
          <w:sz w:val="18"/>
          <w:szCs w:val="18"/>
        </w:rPr>
      </w:pPr>
    </w:p>
  </w:footnote>
  <w:footnote w:id="10">
    <w:p w14:paraId="01968FED" w14:textId="77777777" w:rsidR="009157E3" w:rsidRPr="007C7528" w:rsidRDefault="009157E3" w:rsidP="009157E3">
      <w:pPr>
        <w:pStyle w:val="Textonotapie"/>
        <w:ind w:firstLine="709"/>
        <w:jc w:val="both"/>
        <w:rPr>
          <w:rFonts w:ascii="Arial" w:hAnsi="Arial" w:cs="Arial"/>
          <w:sz w:val="18"/>
          <w:szCs w:val="18"/>
        </w:rPr>
      </w:pPr>
    </w:p>
    <w:p w14:paraId="081C1B97" w14:textId="77777777" w:rsidR="009157E3" w:rsidRPr="007C7528" w:rsidRDefault="009157E3" w:rsidP="009157E3">
      <w:pPr>
        <w:pStyle w:val="Textonotapie"/>
        <w:ind w:firstLine="709"/>
        <w:jc w:val="both"/>
        <w:rPr>
          <w:rFonts w:ascii="Arial" w:hAnsi="Arial" w:cs="Arial"/>
          <w:sz w:val="18"/>
          <w:szCs w:val="18"/>
          <w:lang w:val="es-ES"/>
        </w:rPr>
      </w:pPr>
      <w:r w:rsidRPr="007C7528">
        <w:rPr>
          <w:rStyle w:val="Refdenotaalpie"/>
          <w:rFonts w:ascii="Arial" w:hAnsi="Arial" w:cs="Arial"/>
          <w:sz w:val="18"/>
          <w:szCs w:val="18"/>
        </w:rPr>
        <w:footnoteRef/>
      </w:r>
      <w:r w:rsidRPr="007C7528">
        <w:rPr>
          <w:rFonts w:ascii="Arial" w:hAnsi="Arial" w:cs="Arial"/>
          <w:sz w:val="18"/>
          <w:szCs w:val="18"/>
        </w:rPr>
        <w:t xml:space="preserve"> </w:t>
      </w:r>
      <w:r w:rsidRPr="007C7528">
        <w:rPr>
          <w:rFonts w:ascii="Arial" w:hAnsi="Arial" w:cs="Arial"/>
          <w:sz w:val="18"/>
          <w:szCs w:val="18"/>
          <w:lang w:val="es-ES"/>
        </w:rPr>
        <w:t>BOBBIO, Norberto. Democracia y secreto. México: Fondo de Cultura Económica, 2013. p. 27.</w:t>
      </w:r>
    </w:p>
  </w:footnote>
  <w:footnote w:id="11">
    <w:p w14:paraId="395B34F1" w14:textId="77777777" w:rsidR="009157E3" w:rsidRPr="007C7528" w:rsidRDefault="009157E3" w:rsidP="009157E3">
      <w:pPr>
        <w:pStyle w:val="Textonotapie"/>
        <w:ind w:firstLine="709"/>
        <w:jc w:val="both"/>
        <w:rPr>
          <w:rFonts w:ascii="Arial" w:hAnsi="Arial" w:cs="Arial"/>
          <w:color w:val="000000"/>
          <w:sz w:val="18"/>
          <w:szCs w:val="18"/>
        </w:rPr>
      </w:pPr>
    </w:p>
    <w:p w14:paraId="7B0AD2A8" w14:textId="77777777" w:rsidR="009157E3" w:rsidRPr="007C7528" w:rsidRDefault="009157E3" w:rsidP="009157E3">
      <w:pPr>
        <w:pStyle w:val="Textonotapie"/>
        <w:ind w:firstLine="709"/>
        <w:jc w:val="both"/>
        <w:rPr>
          <w:rFonts w:ascii="Arial" w:hAnsi="Arial" w:cs="Arial"/>
          <w:color w:val="000000"/>
          <w:sz w:val="18"/>
          <w:szCs w:val="18"/>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Corte Constitucional. Sentencia C- 341 del 4 de junio de 2014. M. P. Mauricio González Cuervo.</w:t>
      </w:r>
    </w:p>
    <w:p w14:paraId="69407C1A" w14:textId="77777777" w:rsidR="009157E3" w:rsidRPr="007C7528" w:rsidRDefault="009157E3" w:rsidP="009157E3">
      <w:pPr>
        <w:pStyle w:val="Textonotapie"/>
        <w:ind w:firstLine="709"/>
        <w:jc w:val="both"/>
        <w:rPr>
          <w:rFonts w:ascii="Arial" w:hAnsi="Arial" w:cs="Arial"/>
          <w:color w:val="000000"/>
          <w:sz w:val="18"/>
          <w:szCs w:val="18"/>
        </w:rPr>
      </w:pPr>
    </w:p>
  </w:footnote>
  <w:footnote w:id="12">
    <w:p w14:paraId="69E5E20F" w14:textId="77777777" w:rsidR="009157E3" w:rsidRPr="007C7528" w:rsidRDefault="009157E3" w:rsidP="009157E3">
      <w:pPr>
        <w:pStyle w:val="Textonotapie"/>
        <w:ind w:firstLine="709"/>
        <w:jc w:val="both"/>
        <w:rPr>
          <w:rFonts w:ascii="Arial" w:hAnsi="Arial" w:cs="Arial"/>
          <w:color w:val="000000"/>
          <w:sz w:val="18"/>
          <w:szCs w:val="18"/>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Ley 1150 de 2007: </w:t>
      </w:r>
      <w:r>
        <w:rPr>
          <w:rFonts w:ascii="Arial" w:hAnsi="Arial" w:cs="Arial"/>
          <w:color w:val="000000"/>
          <w:sz w:val="18"/>
          <w:szCs w:val="18"/>
        </w:rPr>
        <w:t>“</w:t>
      </w:r>
      <w:r w:rsidRPr="007C7528">
        <w:rPr>
          <w:rFonts w:ascii="Arial" w:hAnsi="Arial" w:cs="Arial"/>
          <w:color w:val="000000"/>
          <w:sz w:val="18"/>
          <w:szCs w:val="18"/>
        </w:rPr>
        <w:t>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31E59E1" w14:textId="77777777" w:rsidR="009157E3" w:rsidRPr="007C7528" w:rsidRDefault="009157E3" w:rsidP="009157E3">
      <w:pPr>
        <w:pStyle w:val="Textonotapie"/>
        <w:ind w:firstLine="709"/>
        <w:jc w:val="both"/>
        <w:rPr>
          <w:rFonts w:ascii="Arial" w:hAnsi="Arial" w:cs="Arial"/>
          <w:color w:val="000000"/>
          <w:sz w:val="18"/>
          <w:szCs w:val="18"/>
        </w:rPr>
      </w:pPr>
    </w:p>
    <w:p w14:paraId="2E6ACCF4"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Lo anterior, sin perjuicio de las publicaciones previstas en el numeral 3 del artículo 30 de la Ley 80 de 1993.</w:t>
      </w:r>
    </w:p>
    <w:p w14:paraId="524579AB"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 xml:space="preserve">Con el fin de materializar los objetivos a que se refiere el inciso anterior, el Gobierno Nacional desarrollará el Sistema Electrónico para la Contratación Pública, </w:t>
      </w:r>
      <w:proofErr w:type="spellStart"/>
      <w:r w:rsidRPr="007C7528">
        <w:rPr>
          <w:rFonts w:ascii="Arial" w:hAnsi="Arial" w:cs="Arial"/>
          <w:color w:val="000000"/>
          <w:sz w:val="18"/>
          <w:szCs w:val="18"/>
        </w:rPr>
        <w:t>Secop</w:t>
      </w:r>
      <w:proofErr w:type="spellEnd"/>
      <w:r w:rsidRPr="007C7528">
        <w:rPr>
          <w:rFonts w:ascii="Arial" w:hAnsi="Arial" w:cs="Arial"/>
          <w:color w:val="000000"/>
          <w:sz w:val="18"/>
          <w:szCs w:val="18"/>
        </w:rPr>
        <w:t xml:space="preserve">, el cual: </w:t>
      </w:r>
    </w:p>
    <w:p w14:paraId="4E596478"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w:t>
      </w:r>
    </w:p>
    <w:p w14:paraId="56703725"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c) Contará con la información oficial de la contratación realizada con dineros públicos, para lo cual establecerá los patrones a que haya lugar y se encargará de su difusión a través de canales electrónico</w:t>
      </w:r>
      <w:r>
        <w:rPr>
          <w:rFonts w:ascii="Arial" w:hAnsi="Arial" w:cs="Arial"/>
          <w:color w:val="000000"/>
          <w:sz w:val="18"/>
          <w:szCs w:val="18"/>
        </w:rPr>
        <w:t>”</w:t>
      </w:r>
      <w:r w:rsidRPr="007C7528">
        <w:rPr>
          <w:rFonts w:ascii="Arial" w:hAnsi="Arial" w:cs="Arial"/>
          <w:color w:val="000000"/>
          <w:sz w:val="18"/>
          <w:szCs w:val="18"/>
        </w:rPr>
        <w:t xml:space="preserve">. </w:t>
      </w:r>
    </w:p>
    <w:p w14:paraId="2A006155" w14:textId="77777777" w:rsidR="009157E3" w:rsidRPr="007C7528" w:rsidRDefault="009157E3" w:rsidP="009157E3">
      <w:pPr>
        <w:pStyle w:val="Textonotapie"/>
        <w:ind w:firstLine="709"/>
        <w:jc w:val="both"/>
        <w:rPr>
          <w:rFonts w:ascii="Arial" w:hAnsi="Arial" w:cs="Arial"/>
          <w:color w:val="000000"/>
          <w:sz w:val="18"/>
          <w:szCs w:val="18"/>
          <w:lang w:val="es-CO"/>
        </w:rPr>
      </w:pPr>
    </w:p>
  </w:footnote>
  <w:footnote w:id="13">
    <w:p w14:paraId="6BA2BA04" w14:textId="77777777" w:rsidR="009157E3" w:rsidRPr="007C7528" w:rsidRDefault="009157E3" w:rsidP="009157E3">
      <w:pPr>
        <w:pStyle w:val="Textonotapie"/>
        <w:ind w:firstLine="709"/>
        <w:jc w:val="both"/>
        <w:rPr>
          <w:rFonts w:ascii="Arial" w:hAnsi="Arial" w:cs="Arial"/>
          <w:color w:val="000000"/>
          <w:sz w:val="18"/>
          <w:szCs w:val="18"/>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Ley 1712 de 2014: </w:t>
      </w:r>
      <w:r>
        <w:rPr>
          <w:rFonts w:ascii="Arial" w:hAnsi="Arial" w:cs="Arial"/>
          <w:color w:val="000000"/>
          <w:sz w:val="18"/>
          <w:szCs w:val="18"/>
        </w:rPr>
        <w:t>“</w:t>
      </w:r>
      <w:r w:rsidRPr="007C7528">
        <w:rPr>
          <w:rFonts w:ascii="Arial" w:hAnsi="Arial" w:cs="Arial"/>
          <w:color w:val="000000"/>
          <w:sz w:val="18"/>
          <w:szCs w:val="18"/>
        </w:rPr>
        <w:t>Artículo 2. Toda información en posesión, bajo control o custodia de un sujeto obligado es pública y no podrá ser reservada o limitada sino por disposición constitucional o legal, de conformidad con la presente ley</w:t>
      </w:r>
      <w:r>
        <w:rPr>
          <w:rFonts w:ascii="Arial" w:hAnsi="Arial" w:cs="Arial"/>
          <w:color w:val="000000"/>
          <w:sz w:val="18"/>
          <w:szCs w:val="18"/>
        </w:rPr>
        <w:t>”</w:t>
      </w:r>
      <w:r w:rsidRPr="007C7528">
        <w:rPr>
          <w:rFonts w:ascii="Arial" w:hAnsi="Arial" w:cs="Arial"/>
          <w:color w:val="000000"/>
          <w:sz w:val="18"/>
          <w:szCs w:val="18"/>
        </w:rPr>
        <w:t>.</w:t>
      </w:r>
    </w:p>
    <w:p w14:paraId="5CC717DF" w14:textId="77777777" w:rsidR="009157E3" w:rsidRPr="007C7528" w:rsidRDefault="009157E3" w:rsidP="009157E3">
      <w:pPr>
        <w:pStyle w:val="Textonotapie"/>
        <w:ind w:firstLine="709"/>
        <w:jc w:val="both"/>
        <w:rPr>
          <w:rFonts w:ascii="Arial" w:hAnsi="Arial" w:cs="Arial"/>
          <w:color w:val="000000"/>
          <w:sz w:val="18"/>
          <w:szCs w:val="18"/>
          <w:lang w:val="es-CO"/>
        </w:rPr>
      </w:pPr>
    </w:p>
  </w:footnote>
  <w:footnote w:id="14">
    <w:p w14:paraId="5CEBBFEB" w14:textId="77777777" w:rsidR="009157E3" w:rsidRPr="007C7528" w:rsidRDefault="009157E3" w:rsidP="009157E3">
      <w:pPr>
        <w:pStyle w:val="Textonotapie"/>
        <w:ind w:firstLine="709"/>
        <w:jc w:val="both"/>
        <w:rPr>
          <w:rFonts w:ascii="Arial" w:hAnsi="Arial" w:cs="Arial"/>
          <w:color w:val="000000"/>
          <w:sz w:val="18"/>
          <w:szCs w:val="18"/>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Ley 1712 de 2014: </w:t>
      </w:r>
      <w:r>
        <w:rPr>
          <w:rFonts w:ascii="Arial" w:hAnsi="Arial" w:cs="Arial"/>
          <w:color w:val="000000"/>
          <w:sz w:val="18"/>
          <w:szCs w:val="18"/>
        </w:rPr>
        <w:t>“</w:t>
      </w:r>
      <w:r w:rsidRPr="007C7528">
        <w:rPr>
          <w:rFonts w:ascii="Arial" w:hAnsi="Arial" w:cs="Arial"/>
          <w:color w:val="000000"/>
          <w:sz w:val="18"/>
          <w:szCs w:val="18"/>
        </w:rPr>
        <w:t xml:space="preserve">Artículo 5. Ámbito de aplicación. Las disposiciones de esta ley serán aplicables a las siguientes personas en calidad de sujetos obligados: </w:t>
      </w:r>
    </w:p>
    <w:p w14:paraId="5B2E8884"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23380A3E" w14:textId="77777777" w:rsidR="009157E3" w:rsidRPr="007C7528" w:rsidRDefault="009157E3" w:rsidP="009157E3">
      <w:pPr>
        <w:pStyle w:val="Textonotapie"/>
        <w:ind w:firstLine="709"/>
        <w:jc w:val="both"/>
        <w:rPr>
          <w:rFonts w:ascii="Arial" w:hAnsi="Arial" w:cs="Arial"/>
          <w:color w:val="000000"/>
          <w:sz w:val="18"/>
          <w:szCs w:val="18"/>
        </w:rPr>
      </w:pPr>
    </w:p>
    <w:p w14:paraId="37EDC1A5"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b) Los órganos, organismos y entidades estatales independientes o autónomos y de control.</w:t>
      </w:r>
    </w:p>
    <w:p w14:paraId="372A979B" w14:textId="77777777" w:rsidR="009157E3" w:rsidRPr="007C7528" w:rsidRDefault="009157E3" w:rsidP="009157E3">
      <w:pPr>
        <w:pStyle w:val="Textonotapie"/>
        <w:ind w:firstLine="709"/>
        <w:jc w:val="both"/>
        <w:rPr>
          <w:rFonts w:ascii="Arial" w:hAnsi="Arial" w:cs="Arial"/>
          <w:color w:val="000000"/>
          <w:sz w:val="18"/>
          <w:szCs w:val="18"/>
        </w:rPr>
      </w:pPr>
    </w:p>
    <w:p w14:paraId="7806E5C7"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c) Las personas naturales y jurídicas, públicas o privadas, que presten función pública, que presten servicios públicos respecto de la información directamente relacionada con la prestación del servicio público.</w:t>
      </w:r>
    </w:p>
    <w:p w14:paraId="3BAA06A5" w14:textId="77777777" w:rsidR="009157E3" w:rsidRPr="007C7528" w:rsidRDefault="009157E3" w:rsidP="009157E3">
      <w:pPr>
        <w:pStyle w:val="Textonotapie"/>
        <w:ind w:firstLine="709"/>
        <w:jc w:val="both"/>
        <w:rPr>
          <w:rFonts w:ascii="Arial" w:hAnsi="Arial" w:cs="Arial"/>
          <w:color w:val="000000"/>
          <w:sz w:val="18"/>
          <w:szCs w:val="18"/>
        </w:rPr>
      </w:pPr>
    </w:p>
    <w:p w14:paraId="04CDAB75"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 xml:space="preserve">d) Cualquier persona natural, jurídica o dependencia de persona jurídica que desempeñe función pública o de </w:t>
      </w:r>
      <w:proofErr w:type="gramStart"/>
      <w:r w:rsidRPr="007C7528">
        <w:rPr>
          <w:rFonts w:ascii="Arial" w:hAnsi="Arial" w:cs="Arial"/>
          <w:color w:val="000000"/>
          <w:sz w:val="18"/>
          <w:szCs w:val="18"/>
        </w:rPr>
        <w:t>autoridad pública</w:t>
      </w:r>
      <w:proofErr w:type="gramEnd"/>
      <w:r w:rsidRPr="007C7528">
        <w:rPr>
          <w:rFonts w:ascii="Arial" w:hAnsi="Arial" w:cs="Arial"/>
          <w:color w:val="000000"/>
          <w:sz w:val="18"/>
          <w:szCs w:val="18"/>
        </w:rPr>
        <w:t>, respecto de la información directamente relacionada con el desempeño de su función.</w:t>
      </w:r>
    </w:p>
    <w:p w14:paraId="61374DDE" w14:textId="77777777" w:rsidR="009157E3" w:rsidRPr="007C7528" w:rsidRDefault="009157E3" w:rsidP="009157E3">
      <w:pPr>
        <w:pStyle w:val="Textonotapie"/>
        <w:ind w:firstLine="709"/>
        <w:jc w:val="both"/>
        <w:rPr>
          <w:rFonts w:ascii="Arial" w:hAnsi="Arial" w:cs="Arial"/>
          <w:color w:val="000000"/>
          <w:sz w:val="18"/>
          <w:szCs w:val="18"/>
        </w:rPr>
      </w:pPr>
    </w:p>
    <w:p w14:paraId="21B3177D"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e) &lt;Literal CONDICIONALMENTE exequible&gt; Las empresas públicas creadas por ley, las empresas del Estado y sociedades en que este tenga participación.</w:t>
      </w:r>
    </w:p>
    <w:p w14:paraId="6E98E814" w14:textId="77777777" w:rsidR="009157E3" w:rsidRPr="007C7528" w:rsidRDefault="009157E3" w:rsidP="009157E3">
      <w:pPr>
        <w:pStyle w:val="Textonotapie"/>
        <w:ind w:firstLine="709"/>
        <w:jc w:val="both"/>
        <w:rPr>
          <w:rFonts w:ascii="Arial" w:hAnsi="Arial" w:cs="Arial"/>
          <w:color w:val="000000"/>
          <w:sz w:val="18"/>
          <w:szCs w:val="18"/>
        </w:rPr>
      </w:pPr>
    </w:p>
    <w:p w14:paraId="7B0C4704"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f) Los partidos o movimientos políticos y los grupos significativos de ciudadanos.</w:t>
      </w:r>
    </w:p>
    <w:p w14:paraId="210D591E" w14:textId="77777777" w:rsidR="009157E3" w:rsidRPr="007C7528" w:rsidRDefault="009157E3" w:rsidP="009157E3">
      <w:pPr>
        <w:pStyle w:val="Textonotapie"/>
        <w:ind w:firstLine="709"/>
        <w:jc w:val="both"/>
        <w:rPr>
          <w:rFonts w:ascii="Arial" w:hAnsi="Arial" w:cs="Arial"/>
          <w:color w:val="000000"/>
          <w:sz w:val="18"/>
          <w:szCs w:val="18"/>
        </w:rPr>
      </w:pPr>
    </w:p>
    <w:p w14:paraId="1820A6B2"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g) Las entidades que administren instituciones parafiscales, fondos o recursos de naturaleza u origen público.</w:t>
      </w:r>
    </w:p>
    <w:p w14:paraId="37A7C97D" w14:textId="77777777" w:rsidR="009157E3" w:rsidRPr="007C7528" w:rsidRDefault="009157E3" w:rsidP="009157E3">
      <w:pPr>
        <w:pStyle w:val="Textonotapie"/>
        <w:ind w:firstLine="709"/>
        <w:jc w:val="both"/>
        <w:rPr>
          <w:rFonts w:ascii="Arial" w:hAnsi="Arial" w:cs="Arial"/>
          <w:color w:val="000000"/>
          <w:sz w:val="18"/>
          <w:szCs w:val="18"/>
        </w:rPr>
      </w:pPr>
    </w:p>
    <w:p w14:paraId="3AE99D8C"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2F4DD53C" w14:textId="77777777" w:rsidR="009157E3" w:rsidRPr="007C7528" w:rsidRDefault="009157E3" w:rsidP="009157E3">
      <w:pPr>
        <w:pStyle w:val="Textonotapie"/>
        <w:ind w:firstLine="709"/>
        <w:jc w:val="both"/>
        <w:rPr>
          <w:rFonts w:ascii="Arial" w:hAnsi="Arial" w:cs="Arial"/>
          <w:color w:val="000000"/>
          <w:sz w:val="18"/>
          <w:szCs w:val="18"/>
        </w:rPr>
      </w:pPr>
    </w:p>
    <w:p w14:paraId="57FA1C50"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PARÁGRAFO 1o. No serán sujetos obligados aquellas personas naturales o jurídicas de carácter privado que sean usuarios de información pública</w:t>
      </w:r>
      <w:r>
        <w:rPr>
          <w:rFonts w:ascii="Arial" w:hAnsi="Arial" w:cs="Arial"/>
          <w:color w:val="000000"/>
          <w:sz w:val="18"/>
          <w:szCs w:val="18"/>
        </w:rPr>
        <w:t>”.</w:t>
      </w:r>
    </w:p>
    <w:p w14:paraId="311D07C6" w14:textId="77777777" w:rsidR="009157E3" w:rsidRPr="007C7528" w:rsidRDefault="009157E3" w:rsidP="009157E3">
      <w:pPr>
        <w:pStyle w:val="Textonotapie"/>
        <w:ind w:firstLine="709"/>
        <w:jc w:val="both"/>
        <w:rPr>
          <w:rFonts w:ascii="Arial" w:hAnsi="Arial" w:cs="Arial"/>
          <w:color w:val="000000"/>
          <w:sz w:val="18"/>
          <w:szCs w:val="18"/>
          <w:lang w:val="es-CO"/>
        </w:rPr>
      </w:pPr>
    </w:p>
  </w:footnote>
  <w:footnote w:id="15">
    <w:p w14:paraId="41C0012F"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eastAsia="Times New Roman" w:hAnsi="Arial" w:cs="Arial"/>
          <w:color w:val="000000"/>
          <w:sz w:val="18"/>
          <w:szCs w:val="18"/>
          <w:vertAlign w:val="superscript"/>
          <w:lang w:val="es-ES" w:eastAsia="es-ES"/>
        </w:rPr>
        <w:footnoteRef/>
      </w:r>
      <w:r w:rsidRPr="007C7528">
        <w:rPr>
          <w:rFonts w:ascii="Arial" w:eastAsia="Times New Roman" w:hAnsi="Arial" w:cs="Arial"/>
          <w:color w:val="000000"/>
          <w:sz w:val="18"/>
          <w:szCs w:val="18"/>
          <w:vertAlign w:val="superscript"/>
          <w:lang w:val="es-ES" w:eastAsia="es-ES"/>
        </w:rPr>
        <w:t xml:space="preserve"> </w:t>
      </w:r>
      <w:r>
        <w:rPr>
          <w:rFonts w:ascii="Arial" w:eastAsia="Times New Roman" w:hAnsi="Arial" w:cs="Arial"/>
          <w:color w:val="000000"/>
          <w:sz w:val="18"/>
          <w:szCs w:val="18"/>
          <w:lang w:val="es-ES" w:eastAsia="es-ES"/>
        </w:rPr>
        <w:t>“</w:t>
      </w:r>
      <w:r w:rsidRPr="007C7528">
        <w:rPr>
          <w:rFonts w:ascii="Arial" w:hAnsi="Arial" w:cs="Arial"/>
          <w:color w:val="000000"/>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DFA4222" w14:textId="77777777" w:rsidR="009157E3" w:rsidRPr="007C7528" w:rsidRDefault="009157E3" w:rsidP="009157E3">
      <w:pPr>
        <w:pStyle w:val="Textonotapie"/>
        <w:ind w:firstLine="709"/>
        <w:jc w:val="both"/>
        <w:rPr>
          <w:rFonts w:ascii="Arial" w:eastAsia="Times New Roman" w:hAnsi="Arial" w:cs="Arial"/>
          <w:color w:val="000000"/>
          <w:sz w:val="18"/>
          <w:szCs w:val="18"/>
          <w:lang w:val="es-ES" w:eastAsia="es-ES"/>
        </w:rPr>
      </w:pPr>
      <w:r w:rsidRPr="007C7528">
        <w:rPr>
          <w:rFonts w:ascii="Arial" w:hAnsi="Arial" w:cs="Arial"/>
          <w:color w:val="000000"/>
          <w:sz w:val="18"/>
          <w:szCs w:val="18"/>
        </w:rPr>
        <w:t>[…]</w:t>
      </w:r>
      <w:r>
        <w:rPr>
          <w:rFonts w:ascii="Arial" w:eastAsia="Times New Roman" w:hAnsi="Arial" w:cs="Arial"/>
          <w:color w:val="000000"/>
          <w:sz w:val="18"/>
          <w:szCs w:val="18"/>
          <w:lang w:val="es-ES" w:eastAsia="es-ES"/>
        </w:rPr>
        <w:t>”</w:t>
      </w:r>
      <w:r w:rsidRPr="007C7528">
        <w:rPr>
          <w:rFonts w:ascii="Arial" w:eastAsia="Times New Roman" w:hAnsi="Arial" w:cs="Arial"/>
          <w:color w:val="000000"/>
          <w:sz w:val="18"/>
          <w:szCs w:val="18"/>
          <w:lang w:val="es-ES" w:eastAsia="es-ES"/>
        </w:rPr>
        <w:t>.</w:t>
      </w:r>
    </w:p>
    <w:p w14:paraId="04C81F4C" w14:textId="77777777" w:rsidR="009157E3" w:rsidRPr="007C7528" w:rsidRDefault="009157E3" w:rsidP="009157E3">
      <w:pPr>
        <w:pStyle w:val="Textonotapie"/>
        <w:ind w:firstLine="709"/>
        <w:jc w:val="both"/>
        <w:rPr>
          <w:rFonts w:ascii="Arial" w:eastAsia="Times New Roman" w:hAnsi="Arial" w:cs="Arial"/>
          <w:color w:val="000000"/>
          <w:sz w:val="18"/>
          <w:szCs w:val="18"/>
          <w:lang w:val="es-ES" w:eastAsia="es-ES"/>
        </w:rPr>
      </w:pPr>
    </w:p>
  </w:footnote>
  <w:footnote w:id="16">
    <w:p w14:paraId="0C654D5A" w14:textId="77777777" w:rsidR="009157E3" w:rsidRPr="005D576E" w:rsidRDefault="009157E3" w:rsidP="009157E3">
      <w:pPr>
        <w:pStyle w:val="Textonotapie"/>
        <w:ind w:firstLine="708"/>
        <w:jc w:val="both"/>
        <w:rPr>
          <w:rFonts w:ascii="Arial" w:hAnsi="Arial" w:cs="Arial"/>
        </w:rPr>
      </w:pPr>
      <w:r w:rsidRPr="007C7528">
        <w:rPr>
          <w:rStyle w:val="Refdenotaalpie"/>
          <w:rFonts w:ascii="Arial" w:hAnsi="Arial" w:cs="Arial"/>
          <w:sz w:val="18"/>
          <w:szCs w:val="18"/>
        </w:rPr>
        <w:footnoteRef/>
      </w:r>
      <w:r w:rsidRPr="007C7528">
        <w:rPr>
          <w:rFonts w:ascii="Arial" w:hAnsi="Arial" w:cs="Arial"/>
          <w:sz w:val="18"/>
          <w:szCs w:val="18"/>
        </w:rPr>
        <w:t xml:space="preserve"> Consejo de Estado, Sala de Consulta y Servicio Civil. Concepto del 15 de agosto de 2006, </w:t>
      </w:r>
      <w:r w:rsidRPr="007C7528">
        <w:rPr>
          <w:rFonts w:ascii="Arial" w:hAnsi="Arial" w:cs="Arial"/>
          <w:bCs/>
          <w:sz w:val="18"/>
          <w:szCs w:val="18"/>
        </w:rPr>
        <w:t xml:space="preserve">Radicación número: </w:t>
      </w:r>
      <w:r w:rsidRPr="007C7528">
        <w:rPr>
          <w:rFonts w:ascii="Arial" w:hAnsi="Arial" w:cs="Arial"/>
          <w:sz w:val="18"/>
          <w:szCs w:val="18"/>
        </w:rPr>
        <w:t>11001-03-06-000-2006-00073-00(1763).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25A7" w14:textId="77777777" w:rsidR="00906B3C" w:rsidRPr="007566FE" w:rsidRDefault="009157E3"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9264" behindDoc="1" locked="0" layoutInCell="1" hidden="0" allowOverlap="1" wp14:anchorId="55E96718" wp14:editId="7624D8E9">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4E9234BC" w14:textId="77777777" w:rsidR="007566FE" w:rsidRPr="007566FE" w:rsidRDefault="009157E3"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59FDEB8F" w14:textId="77777777" w:rsidR="00793403" w:rsidRDefault="009157E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7EA250A3" wp14:editId="33FC6FEE">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7D42AFED" w14:textId="77777777" w:rsidR="00793403" w:rsidRPr="007566FE" w:rsidRDefault="004A49F2" w:rsidP="008614E5">
    <w:pPr>
      <w:spacing w:after="0"/>
      <w:rPr>
        <w:rFonts w:ascii="Geomanist Light" w:hAnsi="Geomanist Light"/>
        <w:color w:val="002060"/>
        <w:sz w:val="16"/>
        <w:szCs w:val="16"/>
      </w:rPr>
    </w:pPr>
  </w:p>
  <w:p w14:paraId="02641548" w14:textId="77777777" w:rsidR="004A1847" w:rsidRPr="00906B3C" w:rsidRDefault="004A49F2" w:rsidP="00906B3C">
    <w:pPr>
      <w:pStyle w:val="Encabezado"/>
      <w:tabs>
        <w:tab w:val="clear" w:pos="4419"/>
        <w:tab w:val="clear" w:pos="8838"/>
      </w:tabs>
      <w:ind w:left="3545" w:firstLine="709"/>
      <w:rPr>
        <w:b/>
        <w:bCs/>
        <w:color w:val="A5A5A5" w:themeColor="accent3"/>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E3"/>
    <w:rsid w:val="00502FFE"/>
    <w:rsid w:val="005818E2"/>
    <w:rsid w:val="00586A78"/>
    <w:rsid w:val="008E5C2E"/>
    <w:rsid w:val="009157E3"/>
    <w:rsid w:val="00C62AB5"/>
    <w:rsid w:val="00F15E82"/>
    <w:rsid w:val="00F50D3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BC47"/>
  <w15:chartTrackingRefBased/>
  <w15:docId w15:val="{989998BB-75FD-403C-AC7C-1734CB11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E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7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7E3"/>
    <w:rPr>
      <w:kern w:val="0"/>
      <w14:ligatures w14:val="none"/>
    </w:rPr>
  </w:style>
  <w:style w:type="paragraph" w:styleId="Piedepgina">
    <w:name w:val="footer"/>
    <w:basedOn w:val="Normal"/>
    <w:link w:val="PiedepginaCar"/>
    <w:uiPriority w:val="99"/>
    <w:unhideWhenUsed/>
    <w:rsid w:val="009157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7E3"/>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157E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9157E3"/>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9157E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9157E3"/>
    <w:rPr>
      <w:vertAlign w:val="superscript"/>
    </w:rPr>
  </w:style>
  <w:style w:type="table" w:styleId="Tablaconcuadrcula">
    <w:name w:val="Table Grid"/>
    <w:basedOn w:val="Tablanormal"/>
    <w:uiPriority w:val="59"/>
    <w:rsid w:val="009157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57E3"/>
    <w:rPr>
      <w:rFonts w:ascii="Times New Roman" w:hAnsi="Times New Roman" w:cs="Times New Roman"/>
      <w:sz w:val="24"/>
      <w:szCs w:val="24"/>
    </w:rPr>
  </w:style>
  <w:style w:type="character" w:customStyle="1" w:styleId="Hipervnculo1">
    <w:name w:val="Hipervínculo1"/>
    <w:basedOn w:val="Fuentedeprrafopredeter"/>
    <w:uiPriority w:val="99"/>
    <w:unhideWhenUsed/>
    <w:rsid w:val="009157E3"/>
    <w:rPr>
      <w:color w:val="F2F2F2"/>
      <w:u w:val="single"/>
    </w:rPr>
  </w:style>
  <w:style w:type="character" w:styleId="Textoennegrita">
    <w:name w:val="Strong"/>
    <w:basedOn w:val="Fuentedeprrafopredeter"/>
    <w:uiPriority w:val="22"/>
    <w:qFormat/>
    <w:rsid w:val="009157E3"/>
    <w:rPr>
      <w:b/>
      <w:bCs/>
    </w:rPr>
  </w:style>
  <w:style w:type="character" w:styleId="nfasis">
    <w:name w:val="Emphasis"/>
    <w:basedOn w:val="Fuentedeprrafopredeter"/>
    <w:uiPriority w:val="20"/>
    <w:qFormat/>
    <w:rsid w:val="009157E3"/>
    <w:rPr>
      <w:i/>
      <w:iCs/>
    </w:rPr>
  </w:style>
  <w:style w:type="paragraph" w:customStyle="1" w:styleId="Appelnotedebasde">
    <w:name w:val="Appel note de bas de..."/>
    <w:basedOn w:val="Normal"/>
    <w:link w:val="Refdenotaalpie"/>
    <w:uiPriority w:val="99"/>
    <w:rsid w:val="009157E3"/>
    <w:pPr>
      <w:spacing w:line="240" w:lineRule="exact"/>
    </w:pPr>
    <w:rPr>
      <w:kern w:val="2"/>
      <w:vertAlign w:val="superscript"/>
      <w14:ligatures w14:val="standardContextual"/>
    </w:rPr>
  </w:style>
  <w:style w:type="table" w:customStyle="1" w:styleId="Tablaconcuadrcula21">
    <w:name w:val="Tabla con cuadrícula21"/>
    <w:basedOn w:val="Tablanormal"/>
    <w:next w:val="Tablaconcuadrcula"/>
    <w:uiPriority w:val="59"/>
    <w:rsid w:val="009157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speranza.leguizamo@contraloria.gov.c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2C663-D947-4B2C-9D89-92288F869CB8}">
  <ds:schemaRefs>
    <ds:schemaRef ds:uri="a6cb9e4b-f1d1-4245-83ec-6cad768d538a"/>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9d85dbaf-23eb-4e57-a637-93dcacc8b1a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DA4FE22-CE0D-43B8-8A7D-98AFB420D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5CD62-8C06-4F82-B33B-2A21F377B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4955</Words>
  <Characters>27254</Characters>
  <Application>Microsoft Office Word</Application>
  <DocSecurity>0</DocSecurity>
  <Lines>227</Lines>
  <Paragraphs>64</Paragraphs>
  <ScaleCrop>false</ScaleCrop>
  <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dc:creator>
  <cp:keywords/>
  <dc:description/>
  <cp:lastModifiedBy>Diego German Revelo Bolívar</cp:lastModifiedBy>
  <cp:revision>2</cp:revision>
  <dcterms:created xsi:type="dcterms:W3CDTF">2023-05-04T18:53:00Z</dcterms:created>
  <dcterms:modified xsi:type="dcterms:W3CDTF">2023-05-04T18:53:00Z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