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A4DB" w14:textId="77777777" w:rsidR="008B406D" w:rsidRPr="007702EC" w:rsidRDefault="008B406D" w:rsidP="008B406D">
      <w:pPr>
        <w:tabs>
          <w:tab w:val="left" w:pos="426"/>
        </w:tabs>
        <w:spacing w:after="0" w:line="240" w:lineRule="auto"/>
        <w:contextualSpacing/>
        <w:jc w:val="both"/>
        <w:rPr>
          <w:rFonts w:ascii="Arial" w:eastAsia="Calibri" w:hAnsi="Arial" w:cs="Arial"/>
          <w:b/>
          <w:bCs/>
          <w:lang w:val="es-ES_tradnl"/>
        </w:rPr>
      </w:pPr>
      <w:bookmarkStart w:id="0" w:name="_Hlk77165666"/>
      <w:bookmarkStart w:id="1" w:name="_Hlk96417464"/>
      <w:bookmarkStart w:id="2" w:name="_Hlk100170951"/>
      <w:bookmarkStart w:id="3" w:name="_Hlk34951122"/>
      <w:r w:rsidRPr="007702EC">
        <w:rPr>
          <w:rFonts w:ascii="Arial" w:eastAsia="Calibri" w:hAnsi="Arial" w:cs="Arial"/>
          <w:b/>
          <w:bCs/>
          <w:lang w:val="es-ES_tradnl"/>
        </w:rPr>
        <w:t>LEY DE GARANTÍAS ELECTORALES ─ Definición ─ Finalidad</w:t>
      </w:r>
    </w:p>
    <w:p w14:paraId="69DC1224" w14:textId="77777777" w:rsidR="008B406D" w:rsidRPr="007702EC" w:rsidRDefault="008B406D" w:rsidP="008B406D">
      <w:pPr>
        <w:tabs>
          <w:tab w:val="left" w:pos="426"/>
        </w:tabs>
        <w:spacing w:after="0" w:line="240" w:lineRule="auto"/>
        <w:contextualSpacing/>
        <w:jc w:val="both"/>
        <w:rPr>
          <w:rFonts w:ascii="Arial" w:eastAsia="Calibri" w:hAnsi="Arial" w:cs="Arial"/>
          <w:b/>
          <w:bCs/>
          <w:sz w:val="20"/>
          <w:szCs w:val="20"/>
          <w:lang w:val="es-ES_tradnl"/>
        </w:rPr>
      </w:pPr>
    </w:p>
    <w:p w14:paraId="3AB0CBD7" w14:textId="77777777" w:rsidR="008B406D" w:rsidRPr="007702EC" w:rsidRDefault="008B406D" w:rsidP="008B406D">
      <w:pPr>
        <w:spacing w:after="0" w:line="240" w:lineRule="auto"/>
        <w:contextualSpacing/>
        <w:jc w:val="both"/>
        <w:rPr>
          <w:rFonts w:ascii="Arial" w:eastAsia="Arial" w:hAnsi="Arial" w:cs="Arial"/>
          <w:sz w:val="20"/>
          <w:szCs w:val="20"/>
          <w:lang w:val="es-ES_tradnl" w:eastAsia="es-ES" w:bidi="es-ES"/>
        </w:rPr>
      </w:pPr>
      <w:r w:rsidRPr="007702EC">
        <w:rPr>
          <w:rFonts w:ascii="Arial" w:eastAsia="Times New Roman" w:hAnsi="Arial" w:cs="Arial"/>
          <w:bCs/>
          <w:sz w:val="20"/>
          <w:szCs w:val="20"/>
          <w:lang w:val="es-ES_tradnl"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7702EC">
        <w:rPr>
          <w:rFonts w:ascii="Arial" w:eastAsia="Arial" w:hAnsi="Arial" w:cs="Arial"/>
          <w:sz w:val="20"/>
          <w:szCs w:val="20"/>
          <w:lang w:val="es-ES_tradnl" w:eastAsia="es-ES" w:bidi="es-ES"/>
        </w:rPr>
        <w:t xml:space="preserve"> […] </w:t>
      </w:r>
    </w:p>
    <w:p w14:paraId="2B88CC00" w14:textId="77777777" w:rsidR="008B406D" w:rsidRPr="007702EC" w:rsidRDefault="008B406D" w:rsidP="008B406D">
      <w:pPr>
        <w:spacing w:after="0" w:line="240" w:lineRule="auto"/>
        <w:contextualSpacing/>
        <w:jc w:val="both"/>
        <w:rPr>
          <w:rFonts w:ascii="Arial" w:eastAsia="Arial" w:hAnsi="Arial" w:cs="Arial"/>
          <w:sz w:val="20"/>
          <w:szCs w:val="20"/>
          <w:lang w:val="es-ES_tradnl" w:eastAsia="es-ES" w:bidi="es-ES"/>
        </w:rPr>
      </w:pPr>
    </w:p>
    <w:p w14:paraId="3A06EE1F" w14:textId="77777777" w:rsidR="008B406D" w:rsidRPr="007702EC" w:rsidRDefault="008B406D" w:rsidP="008B406D">
      <w:pPr>
        <w:spacing w:after="0" w:line="240" w:lineRule="auto"/>
        <w:contextualSpacing/>
        <w:jc w:val="both"/>
        <w:rPr>
          <w:rFonts w:ascii="Arial" w:eastAsia="Arial" w:hAnsi="Arial" w:cs="Arial"/>
          <w:sz w:val="20"/>
          <w:szCs w:val="20"/>
          <w:lang w:val="es-ES_tradnl" w:eastAsia="es-ES" w:bidi="es-ES"/>
        </w:rPr>
      </w:pPr>
      <w:r w:rsidRPr="007702EC">
        <w:rPr>
          <w:rFonts w:ascii="Arial" w:eastAsia="Arial" w:hAnsi="Arial" w:cs="Arial"/>
          <w:sz w:val="20"/>
          <w:szCs w:val="20"/>
          <w:lang w:val="es-ES_tradnl" w:eastAsia="es-ES" w:bidi="es-ES"/>
        </w:rPr>
        <w:t>[…]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6E9F819" w14:textId="77777777" w:rsidR="008B406D" w:rsidRPr="007702EC" w:rsidRDefault="008B406D" w:rsidP="008B406D">
      <w:pPr>
        <w:spacing w:after="0" w:line="240" w:lineRule="auto"/>
        <w:contextualSpacing/>
        <w:jc w:val="both"/>
        <w:rPr>
          <w:rFonts w:ascii="Arial" w:eastAsia="Arial" w:hAnsi="Arial" w:cs="Arial"/>
          <w:sz w:val="20"/>
          <w:szCs w:val="20"/>
          <w:lang w:val="es-ES_tradnl" w:eastAsia="es-ES" w:bidi="es-ES"/>
        </w:rPr>
      </w:pPr>
    </w:p>
    <w:p w14:paraId="48DFB2F2" w14:textId="77777777" w:rsidR="008B406D" w:rsidRPr="007702EC" w:rsidRDefault="008B406D" w:rsidP="008B406D">
      <w:pPr>
        <w:tabs>
          <w:tab w:val="left" w:pos="426"/>
        </w:tabs>
        <w:spacing w:after="0" w:line="240" w:lineRule="auto"/>
        <w:contextualSpacing/>
        <w:jc w:val="both"/>
        <w:rPr>
          <w:rFonts w:ascii="Arial" w:eastAsia="Calibri" w:hAnsi="Arial" w:cs="Arial"/>
          <w:b/>
          <w:bCs/>
          <w:lang w:val="es-ES_tradnl"/>
        </w:rPr>
      </w:pPr>
      <w:bookmarkStart w:id="4" w:name="_Hlk77152637"/>
      <w:r w:rsidRPr="007702EC">
        <w:rPr>
          <w:rFonts w:ascii="Arial" w:eastAsia="Calibri" w:hAnsi="Arial" w:cs="Arial"/>
          <w:b/>
          <w:bCs/>
          <w:lang w:val="es-ES_tradnl"/>
        </w:rPr>
        <w:t xml:space="preserve">LEY DE GARANTÍAS ELECTORALES </w:t>
      </w:r>
      <w:bookmarkEnd w:id="4"/>
      <w:r w:rsidRPr="007702EC">
        <w:rPr>
          <w:rFonts w:ascii="Arial" w:eastAsia="Calibri" w:hAnsi="Arial" w:cs="Arial"/>
          <w:b/>
          <w:bCs/>
          <w:lang w:val="es-ES_tradnl"/>
        </w:rPr>
        <w:t xml:space="preserve">─ Restricciones </w:t>
      </w:r>
      <w:bookmarkStart w:id="5" w:name="_Hlk77157034"/>
      <w:r w:rsidRPr="007702EC">
        <w:rPr>
          <w:rFonts w:ascii="Arial" w:eastAsia="Calibri" w:hAnsi="Arial" w:cs="Arial"/>
          <w:b/>
          <w:bCs/>
          <w:lang w:val="es-ES_tradnl"/>
        </w:rPr>
        <w:t xml:space="preserve">─ </w:t>
      </w:r>
      <w:bookmarkEnd w:id="5"/>
      <w:r w:rsidRPr="007702EC">
        <w:rPr>
          <w:rFonts w:ascii="Arial" w:eastAsia="Calibri" w:hAnsi="Arial" w:cs="Arial"/>
          <w:b/>
          <w:bCs/>
          <w:lang w:val="es-ES_tradnl"/>
        </w:rPr>
        <w:t>Contratación</w:t>
      </w:r>
      <w:bookmarkStart w:id="6" w:name="_Hlk77153098"/>
      <w:r w:rsidRPr="007702EC">
        <w:rPr>
          <w:rFonts w:ascii="Arial" w:eastAsia="Calibri" w:hAnsi="Arial" w:cs="Arial"/>
          <w:b/>
          <w:bCs/>
          <w:lang w:val="es-ES_tradnl"/>
        </w:rPr>
        <w:t xml:space="preserve"> ─ Tipos de elección</w:t>
      </w:r>
      <w:bookmarkEnd w:id="6"/>
      <w:r w:rsidRPr="007702EC">
        <w:rPr>
          <w:rFonts w:ascii="Arial" w:eastAsia="Calibri" w:hAnsi="Arial" w:cs="Arial"/>
          <w:b/>
          <w:bCs/>
          <w:lang w:val="es-ES_tradnl"/>
        </w:rPr>
        <w:t xml:space="preserve"> </w:t>
      </w:r>
    </w:p>
    <w:p w14:paraId="48E0BBEA" w14:textId="77777777" w:rsidR="008B406D" w:rsidRPr="007702EC" w:rsidRDefault="008B406D" w:rsidP="008B406D">
      <w:pPr>
        <w:spacing w:after="0" w:line="240" w:lineRule="auto"/>
        <w:contextualSpacing/>
        <w:jc w:val="both"/>
        <w:rPr>
          <w:rFonts w:ascii="Arial" w:eastAsia="Calibri" w:hAnsi="Arial" w:cs="Arial"/>
          <w:sz w:val="20"/>
          <w:szCs w:val="20"/>
          <w:lang w:val="es-ES_tradnl"/>
        </w:rPr>
      </w:pPr>
    </w:p>
    <w:p w14:paraId="7095DD37" w14:textId="77777777" w:rsidR="008B406D" w:rsidRPr="007702EC" w:rsidRDefault="008B406D" w:rsidP="008B406D">
      <w:pPr>
        <w:spacing w:after="0" w:line="240" w:lineRule="auto"/>
        <w:contextualSpacing/>
        <w:jc w:val="both"/>
        <w:rPr>
          <w:rFonts w:ascii="Arial" w:eastAsia="Arial" w:hAnsi="Arial" w:cs="Arial"/>
          <w:sz w:val="20"/>
          <w:szCs w:val="20"/>
          <w:lang w:val="es-ES_tradnl" w:eastAsia="es-ES" w:bidi="es-ES"/>
        </w:rPr>
      </w:pPr>
      <w:r w:rsidRPr="007702EC">
        <w:rPr>
          <w:rFonts w:ascii="Arial" w:eastAsia="Arial" w:hAnsi="Arial" w:cs="Arial"/>
          <w:sz w:val="20"/>
          <w:szCs w:val="20"/>
          <w:lang w:val="es-ES_tradnl" w:eastAsia="es-ES" w:bidi="es-ES"/>
        </w:rPr>
        <w:t xml:space="preserve">De conformidad con lo anterior, la Ley 996 de 2005 establece dos (2) tipos de restricciones en materia de contratación, las cuales coinciden parcialmente. </w:t>
      </w:r>
      <w:r w:rsidRPr="007702EC">
        <w:rPr>
          <w:rFonts w:ascii="Arial" w:eastAsia="Arial" w:hAnsi="Arial" w:cs="Arial"/>
          <w:i/>
          <w:iCs/>
          <w:sz w:val="20"/>
          <w:szCs w:val="20"/>
          <w:lang w:val="es-ES_tradnl" w:eastAsia="es-ES" w:bidi="es-ES"/>
        </w:rPr>
        <w:t>En primer lugar</w:t>
      </w:r>
      <w:r w:rsidRPr="007702EC">
        <w:rPr>
          <w:rFonts w:ascii="Arial" w:eastAsia="Arial" w:hAnsi="Arial" w:cs="Arial"/>
          <w:sz w:val="20"/>
          <w:szCs w:val="20"/>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7702EC">
        <w:rPr>
          <w:rFonts w:ascii="Arial" w:eastAsia="Arial" w:hAnsi="Arial" w:cs="Arial"/>
          <w:i/>
          <w:iCs/>
          <w:sz w:val="20"/>
          <w:szCs w:val="20"/>
          <w:lang w:val="es-ES_tradnl" w:eastAsia="es-ES" w:bidi="es-ES"/>
        </w:rPr>
        <w:t>En segundo lugar</w:t>
      </w:r>
      <w:r w:rsidRPr="007702EC">
        <w:rPr>
          <w:rFonts w:ascii="Arial" w:eastAsia="Arial" w:hAnsi="Arial" w:cs="Arial"/>
          <w:sz w:val="20"/>
          <w:szCs w:val="20"/>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05485AF" w14:textId="77777777" w:rsidR="008B406D" w:rsidRPr="007702EC" w:rsidRDefault="008B406D" w:rsidP="008B406D">
      <w:pPr>
        <w:spacing w:after="0" w:line="240" w:lineRule="auto"/>
        <w:contextualSpacing/>
        <w:jc w:val="both"/>
        <w:rPr>
          <w:rFonts w:ascii="Arial" w:eastAsia="Arial" w:hAnsi="Arial" w:cs="Arial"/>
          <w:sz w:val="20"/>
          <w:szCs w:val="20"/>
          <w:lang w:val="es-ES_tradnl" w:eastAsia="es-ES" w:bidi="es-ES"/>
        </w:rPr>
      </w:pPr>
    </w:p>
    <w:p w14:paraId="05996A69" w14:textId="77777777" w:rsidR="008B406D" w:rsidRPr="007702EC" w:rsidRDefault="008B406D" w:rsidP="008B406D">
      <w:pPr>
        <w:tabs>
          <w:tab w:val="left" w:pos="426"/>
        </w:tabs>
        <w:spacing w:after="0" w:line="240" w:lineRule="auto"/>
        <w:contextualSpacing/>
        <w:jc w:val="both"/>
        <w:rPr>
          <w:rFonts w:ascii="Arial" w:eastAsia="Calibri" w:hAnsi="Arial" w:cs="Arial"/>
          <w:b/>
          <w:bCs/>
          <w:lang w:val="es-ES_tradnl"/>
        </w:rPr>
      </w:pPr>
      <w:r w:rsidRPr="007702EC">
        <w:rPr>
          <w:rFonts w:ascii="Arial" w:eastAsia="Calibri" w:hAnsi="Arial" w:cs="Arial"/>
          <w:b/>
          <w:bCs/>
          <w:lang w:val="es-ES_tradnl"/>
        </w:rPr>
        <w:t xml:space="preserve">LEY DE GARANTÍAS ELECTORALES ─ Artículo 33 ─ Prohibición ─ </w:t>
      </w:r>
      <w:bookmarkEnd w:id="0"/>
      <w:r w:rsidRPr="007702EC">
        <w:rPr>
          <w:rFonts w:ascii="Arial" w:eastAsia="Calibri" w:hAnsi="Arial" w:cs="Arial"/>
          <w:b/>
          <w:bCs/>
          <w:lang w:val="es-ES_tradnl"/>
        </w:rPr>
        <w:t>Contratación directa ─ Alcance</w:t>
      </w:r>
    </w:p>
    <w:p w14:paraId="6993FDD5" w14:textId="77777777" w:rsidR="008B406D" w:rsidRPr="007702EC" w:rsidRDefault="008B406D" w:rsidP="008B406D">
      <w:pPr>
        <w:tabs>
          <w:tab w:val="left" w:pos="426"/>
        </w:tabs>
        <w:spacing w:after="0" w:line="240" w:lineRule="auto"/>
        <w:contextualSpacing/>
        <w:jc w:val="both"/>
        <w:rPr>
          <w:rFonts w:ascii="Arial" w:eastAsia="Calibri" w:hAnsi="Arial" w:cs="Arial"/>
          <w:noProof/>
          <w:sz w:val="20"/>
          <w:szCs w:val="20"/>
          <w:lang w:val="es-ES_tradnl"/>
        </w:rPr>
      </w:pPr>
    </w:p>
    <w:p w14:paraId="6D7DBD5A" w14:textId="77777777" w:rsidR="008B406D" w:rsidRPr="007702EC" w:rsidRDefault="008B406D" w:rsidP="008B406D">
      <w:pPr>
        <w:spacing w:after="0" w:line="240" w:lineRule="auto"/>
        <w:contextualSpacing/>
        <w:jc w:val="both"/>
        <w:rPr>
          <w:rFonts w:ascii="Arial" w:hAnsi="Arial" w:cs="Arial"/>
          <w:bCs/>
          <w:sz w:val="20"/>
          <w:szCs w:val="20"/>
          <w:lang w:val="es-ES_tradnl" w:eastAsia="x-none"/>
        </w:rPr>
      </w:pPr>
      <w:r w:rsidRPr="007702EC">
        <w:rPr>
          <w:rFonts w:ascii="Arial" w:hAnsi="Arial" w:cs="Arial"/>
          <w:sz w:val="20"/>
          <w:szCs w:val="20"/>
          <w:lang w:val="es-ES_tradnl" w:eastAsia="x-none"/>
        </w:rPr>
        <w:t xml:space="preserve">De acuerdo con el citado concepto, la prohibición del artículo 33 de la Ley de Garantías Electorales se refiere a </w:t>
      </w:r>
      <w:r w:rsidRPr="007702EC">
        <w:rPr>
          <w:rFonts w:ascii="Arial" w:hAnsi="Arial" w:cs="Arial"/>
          <w:sz w:val="20"/>
          <w:szCs w:val="20"/>
          <w:lang w:val="es-ES_tradnl" w:eastAsia="en-GB"/>
        </w:rPr>
        <w:t>«</w:t>
      </w:r>
      <w:r w:rsidRPr="007702EC">
        <w:rPr>
          <w:rFonts w:ascii="Arial" w:hAnsi="Arial" w:cs="Arial"/>
          <w:sz w:val="20"/>
          <w:szCs w:val="20"/>
          <w:lang w:val="es-ES_tradnl" w:eastAsia="x-none"/>
        </w:rPr>
        <w:t>cualquier sistema que no implique convocatoria pública y posibilidad de pluralidad de oferentes</w:t>
      </w:r>
      <w:r w:rsidRPr="007702EC">
        <w:rPr>
          <w:rFonts w:ascii="Arial" w:hAnsi="Arial" w:cs="Arial"/>
          <w:sz w:val="20"/>
          <w:szCs w:val="20"/>
          <w:lang w:val="es-ES_tradnl" w:eastAsia="en-GB"/>
        </w:rPr>
        <w:t>»</w:t>
      </w:r>
      <w:r w:rsidRPr="007702EC">
        <w:rPr>
          <w:rFonts w:ascii="Arial" w:hAnsi="Arial" w:cs="Arial"/>
          <w:sz w:val="20"/>
          <w:szCs w:val="20"/>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w:t>
      </w:r>
      <w:r w:rsidRPr="007702EC">
        <w:rPr>
          <w:rFonts w:ascii="Arial" w:hAnsi="Arial" w:cs="Arial"/>
          <w:sz w:val="20"/>
          <w:szCs w:val="20"/>
          <w:lang w:eastAsia="x-none"/>
        </w:rPr>
        <w:t>además lo es con la posterior creación de la modalidad de mínima cuantía establecida actualmente en el numeral 5 del artículo 2 de la Ley 1150 de 2007, de acuerdo con las modificaciones realizadas por leyes posteriores.</w:t>
      </w:r>
    </w:p>
    <w:p w14:paraId="0BD611E5" w14:textId="77777777" w:rsidR="008B406D" w:rsidRPr="007702EC" w:rsidRDefault="008B406D" w:rsidP="008B406D">
      <w:pPr>
        <w:tabs>
          <w:tab w:val="left" w:pos="426"/>
        </w:tabs>
        <w:spacing w:after="0" w:line="240" w:lineRule="auto"/>
        <w:contextualSpacing/>
        <w:jc w:val="both"/>
        <w:rPr>
          <w:rFonts w:ascii="Arial" w:hAnsi="Arial" w:cs="Arial"/>
          <w:bCs/>
          <w:sz w:val="20"/>
          <w:szCs w:val="20"/>
          <w:lang w:val="es-ES_tradnl" w:eastAsia="x-none"/>
        </w:rPr>
      </w:pPr>
    </w:p>
    <w:p w14:paraId="2E793CC2" w14:textId="77777777" w:rsidR="008B406D" w:rsidRPr="007702EC" w:rsidRDefault="008B406D" w:rsidP="008B406D">
      <w:pPr>
        <w:tabs>
          <w:tab w:val="left" w:pos="426"/>
        </w:tabs>
        <w:spacing w:after="0" w:line="240" w:lineRule="auto"/>
        <w:contextualSpacing/>
        <w:jc w:val="both"/>
        <w:rPr>
          <w:rFonts w:ascii="Arial" w:hAnsi="Arial" w:cs="Arial"/>
          <w:bCs/>
          <w:lang w:val="es-ES_tradnl" w:eastAsia="x-none"/>
        </w:rPr>
      </w:pPr>
      <w:r w:rsidRPr="007702EC">
        <w:rPr>
          <w:rFonts w:ascii="Arial" w:eastAsia="Calibri" w:hAnsi="Arial" w:cs="Arial"/>
          <w:b/>
          <w:bCs/>
          <w:lang w:val="es-ES_tradnl"/>
        </w:rPr>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 xml:space="preserve">Artículo 33 ─ </w:t>
      </w:r>
      <w:r w:rsidRPr="007702EC">
        <w:rPr>
          <w:rFonts w:ascii="Arial" w:eastAsia="Times New Roman" w:hAnsi="Arial" w:cs="Arial"/>
          <w:b/>
          <w:bCs/>
          <w:lang w:val="es-ES_tradnl" w:eastAsia="es-CO"/>
        </w:rPr>
        <w:t>Excepciones</w:t>
      </w:r>
      <w:r w:rsidRPr="007702EC">
        <w:rPr>
          <w:rFonts w:ascii="Arial" w:eastAsia="Calibri" w:hAnsi="Arial" w:cs="Arial"/>
          <w:b/>
          <w:bCs/>
          <w:lang w:val="es-ES_tradnl"/>
        </w:rPr>
        <w:t xml:space="preserve"> </w:t>
      </w:r>
    </w:p>
    <w:p w14:paraId="7C1CABA6" w14:textId="77777777" w:rsidR="008B406D" w:rsidRPr="007702EC" w:rsidRDefault="008B406D" w:rsidP="008B406D">
      <w:pPr>
        <w:tabs>
          <w:tab w:val="left" w:pos="426"/>
        </w:tabs>
        <w:spacing w:after="0" w:line="240" w:lineRule="auto"/>
        <w:contextualSpacing/>
        <w:jc w:val="both"/>
        <w:rPr>
          <w:rFonts w:ascii="Arial" w:hAnsi="Arial" w:cs="Arial"/>
          <w:bCs/>
          <w:sz w:val="20"/>
          <w:szCs w:val="20"/>
          <w:lang w:val="es-ES_tradnl" w:eastAsia="x-none"/>
        </w:rPr>
      </w:pPr>
    </w:p>
    <w:p w14:paraId="72F202F3" w14:textId="77777777" w:rsidR="008B406D" w:rsidRPr="007702EC" w:rsidRDefault="008B406D" w:rsidP="008B406D">
      <w:pPr>
        <w:spacing w:after="0" w:line="240" w:lineRule="auto"/>
        <w:contextualSpacing/>
        <w:jc w:val="both"/>
        <w:rPr>
          <w:rFonts w:ascii="Arial" w:hAnsi="Arial" w:cs="Arial"/>
          <w:bCs/>
          <w:sz w:val="20"/>
          <w:szCs w:val="20"/>
          <w:lang w:val="es-ES_tradnl" w:eastAsia="es-CO"/>
        </w:rPr>
      </w:pPr>
      <w:r w:rsidRPr="007702EC">
        <w:rPr>
          <w:rFonts w:ascii="Arial" w:hAnsi="Arial" w:cs="Arial"/>
          <w:bCs/>
          <w:sz w:val="20"/>
          <w:szCs w:val="20"/>
          <w:lang w:val="es-ES_tradnl" w:eastAsia="x-none"/>
        </w:rPr>
        <w:lastRenderedPageBreak/>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7702EC">
        <w:rPr>
          <w:rFonts w:ascii="Arial" w:hAnsi="Arial" w:cs="Arial"/>
          <w:bCs/>
          <w:sz w:val="20"/>
          <w:szCs w:val="20"/>
          <w:lang w:val="es-ES_tradnl" w:eastAsia="x-none"/>
        </w:rPr>
        <w:t>ii</w:t>
      </w:r>
      <w:proofErr w:type="spellEnd"/>
      <w:r w:rsidRPr="007702EC">
        <w:rPr>
          <w:rFonts w:ascii="Arial" w:hAnsi="Arial" w:cs="Arial"/>
          <w:bCs/>
          <w:sz w:val="20"/>
          <w:szCs w:val="20"/>
          <w:lang w:val="es-ES_tradnl" w:eastAsia="x-none"/>
        </w:rPr>
        <w:t xml:space="preserve">) los contratos de crédito público; </w:t>
      </w:r>
      <w:proofErr w:type="spellStart"/>
      <w:r w:rsidRPr="007702EC">
        <w:rPr>
          <w:rFonts w:ascii="Arial" w:hAnsi="Arial" w:cs="Arial"/>
          <w:bCs/>
          <w:sz w:val="20"/>
          <w:szCs w:val="20"/>
          <w:lang w:val="es-ES_tradnl" w:eastAsia="x-none"/>
        </w:rPr>
        <w:t>iii</w:t>
      </w:r>
      <w:proofErr w:type="spellEnd"/>
      <w:r w:rsidRPr="007702EC">
        <w:rPr>
          <w:rFonts w:ascii="Arial" w:hAnsi="Arial" w:cs="Arial"/>
          <w:bCs/>
          <w:sz w:val="20"/>
          <w:szCs w:val="20"/>
          <w:lang w:val="es-ES_tradnl" w:eastAsia="x-none"/>
        </w:rPr>
        <w:t xml:space="preserve">) los requeridos para cubrir las emergencias educativas, sanitarias y desastres; </w:t>
      </w:r>
      <w:proofErr w:type="spellStart"/>
      <w:r w:rsidRPr="007702EC">
        <w:rPr>
          <w:rFonts w:ascii="Arial" w:hAnsi="Arial" w:cs="Arial"/>
          <w:bCs/>
          <w:sz w:val="20"/>
          <w:szCs w:val="20"/>
          <w:lang w:val="es-ES_tradnl" w:eastAsia="x-none"/>
        </w:rPr>
        <w:t>iv</w:t>
      </w:r>
      <w:proofErr w:type="spellEnd"/>
      <w:r w:rsidRPr="007702EC">
        <w:rPr>
          <w:rFonts w:ascii="Arial" w:hAnsi="Arial" w:cs="Arial"/>
          <w:bCs/>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702EC">
        <w:rPr>
          <w:rFonts w:ascii="Arial" w:hAnsi="Arial" w:cs="Arial"/>
          <w:bCs/>
          <w:sz w:val="20"/>
          <w:szCs w:val="20"/>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9682A06" w14:textId="77777777" w:rsidR="008B406D" w:rsidRPr="007702EC" w:rsidRDefault="008B406D" w:rsidP="008B406D">
      <w:pPr>
        <w:tabs>
          <w:tab w:val="left" w:pos="426"/>
        </w:tabs>
        <w:spacing w:after="0" w:line="240" w:lineRule="auto"/>
        <w:contextualSpacing/>
        <w:jc w:val="both"/>
        <w:rPr>
          <w:rFonts w:ascii="Arial" w:eastAsia="Calibri" w:hAnsi="Arial" w:cs="Arial"/>
          <w:b/>
          <w:bCs/>
          <w:sz w:val="20"/>
          <w:szCs w:val="20"/>
          <w:lang w:val="es-ES_tradnl"/>
        </w:rPr>
      </w:pPr>
    </w:p>
    <w:p w14:paraId="3C210ADC" w14:textId="77777777" w:rsidR="008B406D" w:rsidRPr="007702EC" w:rsidRDefault="008B406D" w:rsidP="008B406D">
      <w:pPr>
        <w:tabs>
          <w:tab w:val="left" w:pos="426"/>
        </w:tabs>
        <w:spacing w:after="0" w:line="240" w:lineRule="auto"/>
        <w:contextualSpacing/>
        <w:jc w:val="both"/>
        <w:rPr>
          <w:rFonts w:ascii="Arial" w:eastAsia="Calibri" w:hAnsi="Arial" w:cs="Arial"/>
          <w:noProof/>
          <w:lang w:val="es-ES_tradnl"/>
        </w:rPr>
      </w:pPr>
      <w:r w:rsidRPr="007702EC">
        <w:rPr>
          <w:rFonts w:ascii="Arial" w:eastAsia="Calibri" w:hAnsi="Arial" w:cs="Arial"/>
          <w:b/>
          <w:bCs/>
          <w:lang w:val="es-ES_tradnl"/>
        </w:rPr>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Artículo 33 ─ Destinatarios</w:t>
      </w:r>
    </w:p>
    <w:p w14:paraId="5AAA7C3A" w14:textId="77777777" w:rsidR="008B406D" w:rsidRPr="007702EC" w:rsidRDefault="008B406D" w:rsidP="008B406D">
      <w:pPr>
        <w:tabs>
          <w:tab w:val="left" w:pos="426"/>
        </w:tabs>
        <w:spacing w:after="0" w:line="240" w:lineRule="auto"/>
        <w:contextualSpacing/>
        <w:jc w:val="both"/>
        <w:rPr>
          <w:rFonts w:ascii="Arial" w:eastAsia="Calibri" w:hAnsi="Arial" w:cs="Arial"/>
          <w:noProof/>
          <w:sz w:val="20"/>
          <w:szCs w:val="20"/>
          <w:lang w:val="es-ES_tradnl"/>
        </w:rPr>
      </w:pPr>
    </w:p>
    <w:p w14:paraId="596CA2E6" w14:textId="77777777" w:rsidR="008B406D" w:rsidRPr="007702EC" w:rsidRDefault="008B406D" w:rsidP="008B406D">
      <w:pPr>
        <w:tabs>
          <w:tab w:val="left" w:pos="426"/>
        </w:tabs>
        <w:spacing w:after="0" w:line="240" w:lineRule="auto"/>
        <w:contextualSpacing/>
        <w:jc w:val="both"/>
        <w:rPr>
          <w:rFonts w:ascii="Arial" w:hAnsi="Arial" w:cs="Arial"/>
          <w:bCs/>
          <w:sz w:val="20"/>
          <w:szCs w:val="20"/>
          <w:lang w:val="es-ES_tradnl" w:eastAsia="x-none"/>
        </w:rPr>
      </w:pPr>
      <w:r w:rsidRPr="007702EC">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702EC">
        <w:rPr>
          <w:rFonts w:ascii="Arial" w:hAnsi="Arial" w:cs="Arial"/>
          <w:sz w:val="20"/>
          <w:szCs w:val="20"/>
          <w:lang w:val="es-ES_tradnl"/>
        </w:rPr>
        <w:t xml:space="preserve"> </w:t>
      </w:r>
      <w:r w:rsidRPr="007702EC">
        <w:rPr>
          <w:rFonts w:ascii="Arial" w:hAnsi="Arial" w:cs="Arial"/>
          <w:bCs/>
          <w:sz w:val="20"/>
          <w:szCs w:val="20"/>
          <w:lang w:val="es-ES_tradnl" w:eastAsia="x-none"/>
        </w:rPr>
        <w:t>En efecto, tal como lo ha sostenido el Consejo de Estado, el vocablo «todos» utilizado por el legislador comprende</w:t>
      </w:r>
      <w:r w:rsidRPr="007702EC">
        <w:rPr>
          <w:rFonts w:ascii="Arial" w:hAnsi="Arial" w:cs="Arial"/>
          <w:sz w:val="20"/>
          <w:szCs w:val="20"/>
          <w:lang w:val="es-ES_tradnl"/>
        </w:rPr>
        <w:t xml:space="preserve"> </w:t>
      </w:r>
      <w:r w:rsidRPr="007702EC">
        <w:rPr>
          <w:rFonts w:ascii="Arial" w:hAnsi="Arial" w:cs="Arial"/>
          <w:bCs/>
          <w:sz w:val="20"/>
          <w:szCs w:val="20"/>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Pr="007702EC">
        <w:rPr>
          <w:rFonts w:ascii="Arial" w:eastAsia="Calibri" w:hAnsi="Arial" w:cs="Arial"/>
          <w:noProof/>
          <w:sz w:val="20"/>
          <w:szCs w:val="20"/>
          <w:lang w:val="es-ES_tradnl"/>
        </w:rPr>
        <w:t xml:space="preserve">[…] </w:t>
      </w:r>
    </w:p>
    <w:p w14:paraId="37B225A0" w14:textId="77777777" w:rsidR="008B406D" w:rsidRPr="007702EC" w:rsidRDefault="008B406D" w:rsidP="008B406D">
      <w:pPr>
        <w:tabs>
          <w:tab w:val="left" w:pos="426"/>
        </w:tabs>
        <w:spacing w:after="0" w:line="240" w:lineRule="auto"/>
        <w:contextualSpacing/>
        <w:jc w:val="both"/>
        <w:rPr>
          <w:rFonts w:ascii="Arial" w:hAnsi="Arial" w:cs="Arial"/>
          <w:bCs/>
          <w:sz w:val="20"/>
          <w:szCs w:val="20"/>
          <w:lang w:val="es-ES_tradnl" w:eastAsia="x-none"/>
        </w:rPr>
      </w:pPr>
    </w:p>
    <w:p w14:paraId="6FE561B1" w14:textId="77777777" w:rsidR="008B406D" w:rsidRDefault="008B406D" w:rsidP="00BF74B2">
      <w:pPr>
        <w:spacing w:after="0"/>
        <w:rPr>
          <w:rFonts w:ascii="Arial" w:eastAsia="Geomanist Light" w:hAnsi="Arial" w:cs="Arial"/>
          <w:color w:val="000000" w:themeColor="text1"/>
          <w:lang w:val="es-MX"/>
        </w:rPr>
      </w:pPr>
    </w:p>
    <w:p w14:paraId="6813493F" w14:textId="7E994971" w:rsidR="008B406D" w:rsidRPr="008B406D" w:rsidRDefault="008B406D" w:rsidP="008B406D">
      <w:pPr>
        <w:spacing w:after="0" w:line="240" w:lineRule="auto"/>
        <w:jc w:val="both"/>
        <w:rPr>
          <w:rFonts w:ascii="Arial" w:eastAsia="Geomanist Light" w:hAnsi="Arial" w:cs="Arial"/>
          <w:color w:val="000000" w:themeColor="text1"/>
          <w:sz w:val="20"/>
          <w:szCs w:val="20"/>
          <w:lang w:val="es-MX"/>
        </w:rPr>
      </w:pPr>
      <w:r w:rsidRPr="008B406D">
        <w:rPr>
          <w:rFonts w:ascii="Arial" w:eastAsia="Geomanist Light" w:hAnsi="Arial" w:cs="Arial"/>
          <w:color w:val="000000" w:themeColor="text1"/>
          <w:sz w:val="20"/>
          <w:szCs w:val="20"/>
          <w:lang w:val="es-MX"/>
        </w:rPr>
        <w:t>Por tanto, durante la vigencia de la prohibición del artículo 33 de la Ley 996 de 2005 –sin perjuicio de las excepciones dispuestas en el inciso segundo ibidem– está restringida cualquier modalidad de selección que excluya la pluralidad de oferentes. Respecto al régimen de contratación de las ESAL, esto es congruente con el numeral 15.4 de la Circular Externa Única de Colombia Compra Eficiente, en el entendido que «Se encuentran restringidas las contrataciones que en el marco del Decreto 092 de 2017 se realicen a través de procesos no competitivos […]». Por el contrario, «Los procesos competitivos que se adelanten en el marco del Decreto 092 de 2017 no se encuentran restringidos por la Ley de Garantías». De esta manera, respecto a la celebración de convenios con ESAL en vigencia de la restricción del artículo 33 de la Ley de Garantías, se concluye que, esto solo será posible cuando dicho tipo de acuerdos se realicen a través de la modalidad competitiva, mientras que la celebración de este tipo de convenios en la modalidad no competitiva sí estaría prohibida durante el periodo de esta restricción.</w:t>
      </w:r>
    </w:p>
    <w:p w14:paraId="31180CC3" w14:textId="77777777" w:rsidR="008B406D" w:rsidRDefault="008B406D" w:rsidP="00BF74B2">
      <w:pPr>
        <w:spacing w:after="0"/>
        <w:rPr>
          <w:rFonts w:ascii="Arial" w:eastAsia="Geomanist Light" w:hAnsi="Arial" w:cs="Arial"/>
          <w:color w:val="000000" w:themeColor="text1"/>
          <w:lang w:val="es-MX"/>
        </w:rPr>
      </w:pPr>
    </w:p>
    <w:p w14:paraId="4313B8D7" w14:textId="77777777" w:rsidR="009F1D3F" w:rsidRDefault="009F1D3F" w:rsidP="00BF74B2">
      <w:pPr>
        <w:spacing w:after="0"/>
        <w:rPr>
          <w:rFonts w:ascii="Arial" w:eastAsia="Geomanist Light" w:hAnsi="Arial" w:cs="Arial"/>
          <w:color w:val="000000" w:themeColor="text1"/>
          <w:lang w:val="es-MX"/>
        </w:rPr>
      </w:pPr>
    </w:p>
    <w:p w14:paraId="2E890225" w14:textId="77777777" w:rsidR="009F1D3F" w:rsidRDefault="009F1D3F" w:rsidP="00BF74B2">
      <w:pPr>
        <w:spacing w:after="0"/>
        <w:rPr>
          <w:rFonts w:ascii="Arial" w:eastAsia="Geomanist Light" w:hAnsi="Arial" w:cs="Arial"/>
          <w:color w:val="000000" w:themeColor="text1"/>
          <w:lang w:val="es-MX"/>
        </w:rPr>
      </w:pPr>
    </w:p>
    <w:p w14:paraId="580213A6" w14:textId="77777777" w:rsidR="009F1D3F" w:rsidRDefault="009F1D3F" w:rsidP="00BF74B2">
      <w:pPr>
        <w:spacing w:after="0"/>
        <w:rPr>
          <w:rFonts w:ascii="Arial" w:eastAsia="Geomanist Light" w:hAnsi="Arial" w:cs="Arial"/>
          <w:color w:val="000000" w:themeColor="text1"/>
          <w:lang w:val="es-MX"/>
        </w:rPr>
      </w:pPr>
    </w:p>
    <w:p w14:paraId="61ABA75C" w14:textId="77777777" w:rsidR="009F1D3F" w:rsidRDefault="009F1D3F" w:rsidP="00BF74B2">
      <w:pPr>
        <w:spacing w:after="0"/>
        <w:rPr>
          <w:rFonts w:ascii="Arial" w:eastAsia="Geomanist Light" w:hAnsi="Arial" w:cs="Arial"/>
          <w:color w:val="000000" w:themeColor="text1"/>
          <w:lang w:val="es-MX"/>
        </w:rPr>
      </w:pPr>
    </w:p>
    <w:p w14:paraId="6D65B6B9" w14:textId="77777777" w:rsidR="009F1D3F" w:rsidRDefault="009F1D3F" w:rsidP="00BF74B2">
      <w:pPr>
        <w:spacing w:after="0"/>
        <w:rPr>
          <w:rFonts w:ascii="Arial" w:eastAsia="Geomanist Light" w:hAnsi="Arial" w:cs="Arial"/>
          <w:color w:val="000000" w:themeColor="text1"/>
          <w:lang w:val="es-MX"/>
        </w:rPr>
      </w:pPr>
    </w:p>
    <w:p w14:paraId="46B235B1" w14:textId="77777777" w:rsidR="009F1D3F" w:rsidRDefault="009F1D3F" w:rsidP="00BF74B2">
      <w:pPr>
        <w:spacing w:after="0"/>
        <w:rPr>
          <w:rFonts w:ascii="Arial" w:eastAsia="Geomanist Light" w:hAnsi="Arial" w:cs="Arial"/>
          <w:color w:val="000000" w:themeColor="text1"/>
          <w:lang w:val="es-MX"/>
        </w:rPr>
      </w:pPr>
    </w:p>
    <w:p w14:paraId="7033A229" w14:textId="77777777" w:rsidR="009F1D3F" w:rsidRDefault="009F1D3F" w:rsidP="00BF74B2">
      <w:pPr>
        <w:spacing w:after="0"/>
        <w:rPr>
          <w:rFonts w:ascii="Arial" w:eastAsia="Geomanist Light" w:hAnsi="Arial" w:cs="Arial"/>
          <w:color w:val="000000" w:themeColor="text1"/>
          <w:lang w:val="es-MX"/>
        </w:rPr>
      </w:pPr>
    </w:p>
    <w:p w14:paraId="5A151CF4" w14:textId="77777777" w:rsidR="009F1D3F" w:rsidRDefault="009F1D3F" w:rsidP="00BF74B2">
      <w:pPr>
        <w:spacing w:after="0"/>
        <w:rPr>
          <w:rFonts w:ascii="Arial" w:eastAsia="Geomanist Light" w:hAnsi="Arial" w:cs="Arial"/>
          <w:color w:val="000000" w:themeColor="text1"/>
          <w:lang w:val="es-MX"/>
        </w:rPr>
      </w:pPr>
    </w:p>
    <w:p w14:paraId="07F38881" w14:textId="77777777" w:rsidR="009F1D3F" w:rsidRDefault="009F1D3F" w:rsidP="00BF74B2">
      <w:pPr>
        <w:spacing w:after="0"/>
        <w:rPr>
          <w:rFonts w:ascii="Arial" w:eastAsia="Geomanist Light" w:hAnsi="Arial" w:cs="Arial"/>
          <w:color w:val="000000" w:themeColor="text1"/>
          <w:lang w:val="es-MX"/>
        </w:rPr>
      </w:pPr>
    </w:p>
    <w:p w14:paraId="37991624" w14:textId="77777777" w:rsidR="009F1D3F" w:rsidRDefault="009F1D3F" w:rsidP="00BF74B2">
      <w:pPr>
        <w:spacing w:after="0"/>
        <w:rPr>
          <w:rFonts w:ascii="Arial" w:eastAsia="Geomanist Light" w:hAnsi="Arial" w:cs="Arial"/>
          <w:color w:val="000000" w:themeColor="text1"/>
          <w:lang w:val="es-MX"/>
        </w:rPr>
      </w:pPr>
    </w:p>
    <w:p w14:paraId="784C0137" w14:textId="77777777" w:rsidR="008B406D" w:rsidRDefault="008B406D" w:rsidP="00BF74B2">
      <w:pPr>
        <w:spacing w:after="0"/>
        <w:rPr>
          <w:rFonts w:ascii="Arial" w:eastAsia="Geomanist Light" w:hAnsi="Arial" w:cs="Arial"/>
          <w:color w:val="000000" w:themeColor="text1"/>
          <w:lang w:val="es-MX"/>
        </w:rPr>
      </w:pPr>
    </w:p>
    <w:p w14:paraId="3365826B" w14:textId="77777777" w:rsidR="00C30F46" w:rsidRDefault="00C30F46" w:rsidP="00C30F46">
      <w:pPr>
        <w:pStyle w:val="Textoindependiente"/>
        <w:spacing w:before="6"/>
        <w:rPr>
          <w:rFonts w:ascii="Times New Roman"/>
          <w:sz w:val="20"/>
        </w:rPr>
      </w:pPr>
    </w:p>
    <w:p w14:paraId="584924A7" w14:textId="77777777" w:rsidR="00C30F46" w:rsidRDefault="00C30F46" w:rsidP="00C30F46">
      <w:pPr>
        <w:pStyle w:val="Textoindependiente"/>
        <w:spacing w:before="93"/>
      </w:pPr>
      <w:r>
        <w:rPr>
          <w:noProof/>
        </w:rPr>
        <w:drawing>
          <wp:anchor distT="0" distB="0" distL="0" distR="0" simplePos="0" relativeHeight="251659264" behindDoc="0" locked="0" layoutInCell="1" allowOverlap="1" wp14:anchorId="090FF616" wp14:editId="44604E2F">
            <wp:simplePos x="0" y="0"/>
            <wp:positionH relativeFrom="page">
              <wp:posOffset>4471670</wp:posOffset>
            </wp:positionH>
            <wp:positionV relativeFrom="paragraph">
              <wp:posOffset>-106906</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t>Bogotá</w:t>
      </w:r>
      <w:r>
        <w:rPr>
          <w:spacing w:val="-4"/>
        </w:rPr>
        <w:t xml:space="preserve"> </w:t>
      </w:r>
      <w:r>
        <w:t>D.C.,</w:t>
      </w:r>
      <w:r>
        <w:rPr>
          <w:spacing w:val="-1"/>
        </w:rPr>
        <w:t xml:space="preserve"> </w:t>
      </w:r>
      <w:r>
        <w:rPr>
          <w:color w:val="201E1E"/>
        </w:rPr>
        <w:t>25</w:t>
      </w:r>
      <w:r>
        <w:rPr>
          <w:color w:val="201E1E"/>
          <w:spacing w:val="-4"/>
        </w:rPr>
        <w:t xml:space="preserve"> </w:t>
      </w:r>
      <w:r>
        <w:rPr>
          <w:color w:val="201E1E"/>
        </w:rPr>
        <w:t>de</w:t>
      </w:r>
      <w:r>
        <w:rPr>
          <w:color w:val="201E1E"/>
          <w:spacing w:val="-4"/>
        </w:rPr>
        <w:t xml:space="preserve"> </w:t>
      </w:r>
      <w:proofErr w:type="gramStart"/>
      <w:r>
        <w:rPr>
          <w:color w:val="201E1E"/>
        </w:rPr>
        <w:t>Abril</w:t>
      </w:r>
      <w:proofErr w:type="gramEnd"/>
      <w:r>
        <w:rPr>
          <w:color w:val="201E1E"/>
          <w:spacing w:val="-3"/>
        </w:rPr>
        <w:t xml:space="preserve"> </w:t>
      </w:r>
      <w:r>
        <w:rPr>
          <w:color w:val="201E1E"/>
        </w:rPr>
        <w:t>de</w:t>
      </w:r>
      <w:r>
        <w:rPr>
          <w:color w:val="201E1E"/>
          <w:spacing w:val="-4"/>
        </w:rPr>
        <w:t xml:space="preserve"> </w:t>
      </w:r>
      <w:r>
        <w:rPr>
          <w:color w:val="201E1E"/>
        </w:rPr>
        <w:t>2023</w:t>
      </w:r>
    </w:p>
    <w:p w14:paraId="53615F45" w14:textId="04AE7259" w:rsidR="00BF74B2" w:rsidRPr="00C30F46" w:rsidRDefault="00BF74B2" w:rsidP="00BF74B2">
      <w:pPr>
        <w:spacing w:after="0"/>
        <w:rPr>
          <w:rFonts w:ascii="Arial" w:eastAsia="Geomanist Light" w:hAnsi="Arial" w:cs="Arial"/>
          <w:color w:val="201F1E"/>
          <w:lang w:val="es-ES"/>
        </w:rPr>
      </w:pPr>
    </w:p>
    <w:p w14:paraId="42FD54A1" w14:textId="0BA48E11" w:rsidR="00BF74B2" w:rsidRDefault="00BF74B2" w:rsidP="000576C3">
      <w:pPr>
        <w:spacing w:after="0" w:line="240" w:lineRule="auto"/>
        <w:jc w:val="both"/>
        <w:rPr>
          <w:rFonts w:ascii="Arial" w:eastAsia="Calibri" w:hAnsi="Arial" w:cs="Arial"/>
        </w:rPr>
      </w:pPr>
    </w:p>
    <w:p w14:paraId="42EAD307" w14:textId="77777777" w:rsidR="00BF74B2" w:rsidRDefault="00BF74B2" w:rsidP="000576C3">
      <w:pPr>
        <w:spacing w:after="0" w:line="240" w:lineRule="auto"/>
        <w:jc w:val="both"/>
        <w:rPr>
          <w:rFonts w:ascii="Arial" w:eastAsia="Calibri" w:hAnsi="Arial" w:cs="Arial"/>
        </w:rPr>
      </w:pPr>
    </w:p>
    <w:p w14:paraId="6FB5D972" w14:textId="77777777" w:rsidR="000576C3" w:rsidRPr="006D7E12" w:rsidRDefault="000576C3" w:rsidP="000576C3">
      <w:pPr>
        <w:spacing w:after="0" w:line="240" w:lineRule="auto"/>
        <w:jc w:val="both"/>
        <w:rPr>
          <w:rFonts w:ascii="Arial" w:eastAsia="Calibri" w:hAnsi="Arial" w:cs="Arial"/>
        </w:rPr>
      </w:pPr>
      <w:r>
        <w:rPr>
          <w:rFonts w:ascii="Arial" w:eastAsia="Calibri" w:hAnsi="Arial" w:cs="Arial"/>
        </w:rPr>
        <w:t>Señora</w:t>
      </w:r>
    </w:p>
    <w:p w14:paraId="2E63D0B1" w14:textId="77777777" w:rsidR="000576C3" w:rsidRDefault="000576C3" w:rsidP="000576C3">
      <w:pPr>
        <w:spacing w:after="0" w:line="240" w:lineRule="auto"/>
        <w:jc w:val="both"/>
        <w:rPr>
          <w:rFonts w:ascii="Arial" w:eastAsia="Calibri" w:hAnsi="Arial" w:cs="Arial"/>
          <w:b/>
          <w:lang w:val="es-ES_tradnl"/>
        </w:rPr>
      </w:pPr>
      <w:r>
        <w:rPr>
          <w:rFonts w:ascii="Arial" w:eastAsia="Calibri" w:hAnsi="Arial" w:cs="Arial"/>
          <w:b/>
          <w:lang w:val="es-ES_tradnl"/>
        </w:rPr>
        <w:t>Diana María Mancilla Uribe</w:t>
      </w:r>
    </w:p>
    <w:p w14:paraId="4649EDE4" w14:textId="77777777" w:rsidR="000576C3" w:rsidRPr="004F0F77" w:rsidRDefault="000576C3" w:rsidP="000576C3">
      <w:pPr>
        <w:spacing w:after="0" w:line="240" w:lineRule="auto"/>
        <w:jc w:val="both"/>
        <w:rPr>
          <w:rFonts w:ascii="Arial" w:eastAsia="Calibri" w:hAnsi="Arial" w:cs="Arial"/>
          <w:b/>
          <w:lang w:val="es-ES_tradnl"/>
        </w:rPr>
      </w:pPr>
      <w:r w:rsidRPr="004B3376">
        <w:rPr>
          <w:rFonts w:ascii="Arial" w:eastAsia="Calibri" w:hAnsi="Arial" w:cs="Arial"/>
          <w:b/>
          <w:lang w:val="es-ES_tradnl"/>
        </w:rPr>
        <w:t xml:space="preserve">Representante legal </w:t>
      </w:r>
      <w:r>
        <w:rPr>
          <w:rFonts w:ascii="Arial" w:eastAsia="Calibri" w:hAnsi="Arial" w:cs="Arial"/>
          <w:b/>
          <w:lang w:val="es-ES_tradnl"/>
        </w:rPr>
        <w:t xml:space="preserve">- </w:t>
      </w:r>
      <w:r w:rsidRPr="004B3376">
        <w:rPr>
          <w:rFonts w:ascii="Arial" w:eastAsia="Calibri" w:hAnsi="Arial" w:cs="Arial"/>
          <w:b/>
          <w:lang w:val="es-ES_tradnl"/>
        </w:rPr>
        <w:t>Asociación Santandereana De Centros De Bienestar Del Adulto Mayor (</w:t>
      </w:r>
      <w:proofErr w:type="spellStart"/>
      <w:r w:rsidRPr="004B3376">
        <w:rPr>
          <w:rFonts w:ascii="Arial" w:eastAsia="Calibri" w:hAnsi="Arial" w:cs="Arial"/>
          <w:b/>
          <w:lang w:val="es-ES_tradnl"/>
        </w:rPr>
        <w:t>Ascbam</w:t>
      </w:r>
      <w:proofErr w:type="spellEnd"/>
      <w:r w:rsidRPr="004B3376">
        <w:rPr>
          <w:rFonts w:ascii="Arial" w:eastAsia="Calibri" w:hAnsi="Arial" w:cs="Arial"/>
          <w:b/>
          <w:lang w:val="es-ES_tradnl"/>
        </w:rPr>
        <w:t>)</w:t>
      </w:r>
      <w:r>
        <w:rPr>
          <w:rFonts w:ascii="Arial" w:eastAsia="Calibri" w:hAnsi="Arial" w:cs="Arial"/>
          <w:b/>
          <w:lang w:val="es-ES_tradnl"/>
        </w:rPr>
        <w:t>.</w:t>
      </w:r>
    </w:p>
    <w:p w14:paraId="1D382AA2" w14:textId="77777777" w:rsidR="000576C3" w:rsidRPr="006D7E12" w:rsidRDefault="000576C3" w:rsidP="000576C3">
      <w:pPr>
        <w:spacing w:after="0" w:line="240" w:lineRule="auto"/>
        <w:jc w:val="both"/>
        <w:rPr>
          <w:rFonts w:ascii="Arial" w:eastAsia="Calibri" w:hAnsi="Arial" w:cs="Arial"/>
        </w:rPr>
      </w:pPr>
      <w:r>
        <w:rPr>
          <w:rFonts w:ascii="Arial" w:hAnsi="Arial" w:cs="Arial"/>
        </w:rPr>
        <w:t>Bucaramanga, Santander</w:t>
      </w:r>
    </w:p>
    <w:p w14:paraId="0EC8446C" w14:textId="77777777" w:rsidR="000576C3" w:rsidRPr="006D7E12" w:rsidRDefault="000576C3" w:rsidP="000576C3">
      <w:pPr>
        <w:spacing w:after="0" w:line="240" w:lineRule="auto"/>
        <w:jc w:val="both"/>
        <w:rPr>
          <w:rFonts w:ascii="Arial" w:eastAsia="Calibri" w:hAnsi="Arial" w:cs="Arial"/>
        </w:rPr>
      </w:pPr>
    </w:p>
    <w:p w14:paraId="33F5A639" w14:textId="77777777" w:rsidR="000576C3" w:rsidRPr="006D7E12" w:rsidRDefault="000576C3" w:rsidP="000576C3">
      <w:pPr>
        <w:spacing w:after="0" w:line="240" w:lineRule="auto"/>
        <w:jc w:val="both"/>
        <w:rPr>
          <w:rFonts w:ascii="Arial" w:eastAsia="Calibri" w:hAnsi="Arial" w:cs="Arial"/>
        </w:rPr>
      </w:pPr>
    </w:p>
    <w:p w14:paraId="71F69B04" w14:textId="2404B4FC" w:rsidR="000576C3" w:rsidRPr="006D7E12" w:rsidRDefault="000576C3" w:rsidP="09DDAED8">
      <w:pPr>
        <w:spacing w:after="0" w:line="240" w:lineRule="auto"/>
        <w:jc w:val="both"/>
        <w:rPr>
          <w:rFonts w:ascii="Arial" w:eastAsia="Calibri" w:hAnsi="Arial" w:cs="Arial"/>
          <w:b/>
          <w:bCs/>
        </w:rPr>
      </w:pPr>
      <w:r w:rsidRPr="09DDAED8">
        <w:rPr>
          <w:rFonts w:ascii="Arial" w:eastAsia="Calibri" w:hAnsi="Arial" w:cs="Arial"/>
        </w:rPr>
        <w:t xml:space="preserve">                                            </w:t>
      </w:r>
      <w:r w:rsidRPr="09DDAED8">
        <w:rPr>
          <w:rFonts w:ascii="Arial" w:eastAsia="Calibri" w:hAnsi="Arial" w:cs="Arial"/>
          <w:b/>
          <w:bCs/>
        </w:rPr>
        <w:t xml:space="preserve">Concepto C – </w:t>
      </w:r>
      <w:r w:rsidR="22290BF9" w:rsidRPr="09DDAED8">
        <w:rPr>
          <w:rFonts w:ascii="Arial" w:eastAsia="Calibri" w:hAnsi="Arial" w:cs="Arial"/>
          <w:b/>
          <w:bCs/>
        </w:rPr>
        <w:t>075 de 2023</w:t>
      </w:r>
    </w:p>
    <w:p w14:paraId="1CA5DF24" w14:textId="77777777" w:rsidR="000576C3" w:rsidRPr="006D7E12" w:rsidRDefault="000576C3" w:rsidP="000576C3">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576C3" w:rsidRPr="006D7E12" w14:paraId="1947674B" w14:textId="77777777" w:rsidTr="00055C30">
        <w:trPr>
          <w:trHeight w:val="485"/>
        </w:trPr>
        <w:tc>
          <w:tcPr>
            <w:tcW w:w="2689" w:type="dxa"/>
            <w:hideMark/>
          </w:tcPr>
          <w:p w14:paraId="226E3721" w14:textId="77777777" w:rsidR="000576C3" w:rsidRPr="006D7E12" w:rsidRDefault="000576C3" w:rsidP="00055C30">
            <w:pPr>
              <w:contextualSpacing/>
              <w:rPr>
                <w:rFonts w:ascii="Arial" w:eastAsia="Calibri" w:hAnsi="Arial" w:cs="Arial"/>
                <w:noProof/>
                <w:lang w:val="es-ES_tradnl"/>
              </w:rPr>
            </w:pPr>
            <w:r w:rsidRPr="006D7E12">
              <w:rPr>
                <w:rFonts w:ascii="Arial" w:eastAsia="Calibri" w:hAnsi="Arial" w:cs="Arial"/>
                <w:b/>
                <w:noProof/>
                <w:lang w:val="es-ES_tradnl"/>
              </w:rPr>
              <w:t>Temas:</w:t>
            </w:r>
            <w:r w:rsidRPr="006D7E12">
              <w:rPr>
                <w:rFonts w:ascii="Arial" w:eastAsia="Calibri" w:hAnsi="Arial" w:cs="Arial"/>
                <w:noProof/>
                <w:lang w:val="es-ES_tradnl"/>
              </w:rPr>
              <w:t xml:space="preserve">        </w:t>
            </w:r>
          </w:p>
        </w:tc>
        <w:tc>
          <w:tcPr>
            <w:tcW w:w="6237" w:type="dxa"/>
            <w:hideMark/>
          </w:tcPr>
          <w:p w14:paraId="7945B8AA" w14:textId="77777777" w:rsidR="000576C3" w:rsidRPr="006D7E12" w:rsidRDefault="000576C3" w:rsidP="00055C30">
            <w:pPr>
              <w:tabs>
                <w:tab w:val="left" w:pos="426"/>
              </w:tabs>
              <w:contextualSpacing/>
              <w:jc w:val="both"/>
              <w:rPr>
                <w:rFonts w:ascii="Arial" w:eastAsia="Calibri" w:hAnsi="Arial" w:cs="Arial"/>
                <w:lang w:val="es-MX"/>
              </w:rPr>
            </w:pPr>
            <w:r w:rsidRPr="006D7E12">
              <w:rPr>
                <w:rFonts w:ascii="Arial" w:eastAsia="Calibri" w:hAnsi="Arial" w:cs="Arial"/>
                <w:lang w:val="es-MX"/>
              </w:rPr>
              <w:t xml:space="preserve">LEY DE GARANTÍAS ELECTORALES ‒ Finalidad / LEY DE GARANTÍAS ELECTORALES ‒ Tipos de restricciones ‒ Ámbito temporal / LEY DE GARANTÍAS ELECTORALES ─ Prohibición ‒ Contratación directa ‒ Alcance / LEY DE GARANTÍAS ELECTORALES ─ Prohibición ‒ Contratación directa ‒ </w:t>
            </w:r>
            <w:r w:rsidRPr="006D7E12">
              <w:rPr>
                <w:rFonts w:ascii="Arial" w:eastAsia="Times New Roman" w:hAnsi="Arial" w:cs="Arial"/>
                <w:lang w:eastAsia="es-CO"/>
              </w:rPr>
              <w:t xml:space="preserve">Excepciones / LEY DE GARANTÍAS ELECTORALES ‒ </w:t>
            </w:r>
            <w:r w:rsidRPr="006D7E12">
              <w:rPr>
                <w:rFonts w:ascii="Arial" w:eastAsia="Times New Roman" w:hAnsi="Arial" w:cs="Arial"/>
                <w:lang w:val="es-ES" w:eastAsia="es-CO"/>
              </w:rPr>
              <w:t xml:space="preserve">Prohibición del artículo 33 </w:t>
            </w:r>
            <w:r w:rsidRPr="006D7E12">
              <w:rPr>
                <w:rFonts w:ascii="Arial" w:eastAsia="Times New Roman" w:hAnsi="Arial" w:cs="Arial"/>
                <w:lang w:eastAsia="es-CO"/>
              </w:rPr>
              <w:t xml:space="preserve">‒ Destinatarios </w:t>
            </w:r>
            <w:r>
              <w:rPr>
                <w:rFonts w:ascii="Arial" w:eastAsia="Times New Roman" w:hAnsi="Arial" w:cs="Arial"/>
                <w:lang w:eastAsia="es-CO"/>
              </w:rPr>
              <w:t>/</w:t>
            </w:r>
            <w:r w:rsidRPr="006D7E12">
              <w:rPr>
                <w:rFonts w:ascii="Arial" w:eastAsia="Calibri" w:hAnsi="Arial" w:cs="Arial"/>
                <w:lang w:val="es-MX"/>
              </w:rPr>
              <w:t xml:space="preserve"> </w:t>
            </w:r>
            <w:r w:rsidRPr="006D7E12">
              <w:rPr>
                <w:rFonts w:ascii="Arial" w:eastAsia="Arial" w:hAnsi="Arial" w:cs="Arial"/>
                <w:lang w:val="es-ES" w:eastAsia="es-ES" w:bidi="es-ES"/>
              </w:rPr>
              <w:t>CONVENIOS DE ASOCIACIÓN – Contratación con ESAL</w:t>
            </w:r>
          </w:p>
          <w:p w14:paraId="02CA3D22" w14:textId="77777777" w:rsidR="000576C3" w:rsidRPr="006D7E12" w:rsidRDefault="000576C3" w:rsidP="00055C30">
            <w:pPr>
              <w:tabs>
                <w:tab w:val="left" w:pos="426"/>
              </w:tabs>
              <w:contextualSpacing/>
              <w:jc w:val="both"/>
              <w:rPr>
                <w:rFonts w:ascii="Arial" w:eastAsia="Calibri" w:hAnsi="Arial" w:cs="Arial"/>
                <w:sz w:val="12"/>
                <w:szCs w:val="12"/>
                <w:lang w:val="es-MX"/>
              </w:rPr>
            </w:pPr>
          </w:p>
          <w:p w14:paraId="23980012" w14:textId="77777777" w:rsidR="000576C3" w:rsidRPr="006D7E12" w:rsidRDefault="000576C3" w:rsidP="00055C30">
            <w:pPr>
              <w:spacing w:after="120"/>
              <w:rPr>
                <w:rFonts w:ascii="Arial" w:eastAsia="Calibri" w:hAnsi="Arial" w:cs="Arial"/>
                <w:lang w:val="es-MX"/>
              </w:rPr>
            </w:pPr>
          </w:p>
        </w:tc>
      </w:tr>
      <w:tr w:rsidR="000576C3" w:rsidRPr="006D7E12" w14:paraId="5813A98F" w14:textId="77777777" w:rsidTr="00055C30">
        <w:tc>
          <w:tcPr>
            <w:tcW w:w="2689" w:type="dxa"/>
          </w:tcPr>
          <w:p w14:paraId="63526DED" w14:textId="77777777" w:rsidR="000576C3" w:rsidRPr="006D7E12" w:rsidRDefault="000576C3" w:rsidP="00055C30">
            <w:pPr>
              <w:contextualSpacing/>
              <w:rPr>
                <w:rFonts w:ascii="Arial" w:eastAsia="Calibri" w:hAnsi="Arial" w:cs="Arial"/>
                <w:b/>
                <w:noProof/>
                <w:lang w:val="es-ES_tradnl"/>
              </w:rPr>
            </w:pPr>
            <w:r w:rsidRPr="006D7E12">
              <w:rPr>
                <w:rFonts w:ascii="Arial" w:eastAsia="Calibri" w:hAnsi="Arial" w:cs="Arial"/>
                <w:b/>
                <w:noProof/>
                <w:lang w:val="es-ES_tradnl"/>
              </w:rPr>
              <w:t>Radicación:</w:t>
            </w:r>
            <w:r w:rsidRPr="006D7E12">
              <w:rPr>
                <w:rFonts w:ascii="Arial" w:eastAsia="Calibri" w:hAnsi="Arial" w:cs="Arial"/>
                <w:noProof/>
                <w:lang w:val="es-ES_tradnl"/>
              </w:rPr>
              <w:t xml:space="preserve">                              </w:t>
            </w:r>
          </w:p>
        </w:tc>
        <w:tc>
          <w:tcPr>
            <w:tcW w:w="6237" w:type="dxa"/>
          </w:tcPr>
          <w:p w14:paraId="6C501A73" w14:textId="77777777" w:rsidR="000576C3" w:rsidRPr="006D7E12" w:rsidRDefault="000576C3" w:rsidP="00055C30">
            <w:pPr>
              <w:contextualSpacing/>
              <w:jc w:val="both"/>
              <w:rPr>
                <w:rFonts w:ascii="Arial" w:eastAsia="Calibri" w:hAnsi="Arial" w:cs="Arial"/>
                <w:noProof/>
                <w:lang w:val="es-ES_tradnl"/>
              </w:rPr>
            </w:pPr>
            <w:r w:rsidRPr="006D7E12">
              <w:rPr>
                <w:rFonts w:ascii="Arial" w:eastAsia="Calibri" w:hAnsi="Arial" w:cs="Arial"/>
                <w:noProof/>
                <w:lang w:val="es-ES_tradnl"/>
              </w:rPr>
              <w:t xml:space="preserve">Respuesta a consulta </w:t>
            </w:r>
            <w:r w:rsidRPr="00E078A0">
              <w:rPr>
                <w:rFonts w:ascii="Arial" w:eastAsia="Calibri" w:hAnsi="Arial" w:cs="Arial"/>
                <w:noProof/>
                <w:lang w:val="es-ES_tradnl"/>
              </w:rPr>
              <w:t>P20230310002204</w:t>
            </w:r>
          </w:p>
        </w:tc>
      </w:tr>
    </w:tbl>
    <w:p w14:paraId="055CAF7D" w14:textId="77777777" w:rsidR="000576C3" w:rsidRPr="006D7E12" w:rsidRDefault="000576C3" w:rsidP="000576C3">
      <w:pPr>
        <w:spacing w:after="0" w:line="240" w:lineRule="auto"/>
        <w:jc w:val="both"/>
        <w:rPr>
          <w:rFonts w:ascii="Arial" w:eastAsia="Calibri" w:hAnsi="Arial" w:cs="Arial"/>
        </w:rPr>
      </w:pPr>
    </w:p>
    <w:p w14:paraId="4FC50E66" w14:textId="77777777" w:rsidR="000576C3" w:rsidRPr="006D7E12" w:rsidRDefault="000576C3" w:rsidP="000576C3">
      <w:pPr>
        <w:spacing w:after="0" w:line="240" w:lineRule="auto"/>
        <w:contextualSpacing/>
        <w:jc w:val="both"/>
        <w:rPr>
          <w:rFonts w:ascii="Arial" w:eastAsia="Calibri" w:hAnsi="Arial" w:cs="Arial"/>
        </w:rPr>
      </w:pPr>
    </w:p>
    <w:p w14:paraId="55C63D8A" w14:textId="77777777" w:rsidR="000576C3" w:rsidRPr="006D7E12" w:rsidRDefault="000576C3" w:rsidP="000576C3">
      <w:pPr>
        <w:spacing w:after="0" w:line="276" w:lineRule="auto"/>
        <w:contextualSpacing/>
        <w:jc w:val="both"/>
        <w:rPr>
          <w:rFonts w:ascii="Arial" w:eastAsia="Calibri" w:hAnsi="Arial" w:cs="Arial"/>
        </w:rPr>
      </w:pPr>
      <w:r w:rsidRPr="006D7E12">
        <w:rPr>
          <w:rFonts w:ascii="Arial" w:eastAsia="Calibri" w:hAnsi="Arial" w:cs="Arial"/>
        </w:rPr>
        <w:t>Estimad</w:t>
      </w:r>
      <w:r>
        <w:rPr>
          <w:rFonts w:ascii="Arial" w:eastAsia="Calibri" w:hAnsi="Arial" w:cs="Arial"/>
        </w:rPr>
        <w:t>a señora Mancilla Uribe:</w:t>
      </w:r>
    </w:p>
    <w:p w14:paraId="3133B2D9" w14:textId="77777777" w:rsidR="000576C3" w:rsidRPr="006D7E12" w:rsidRDefault="000576C3" w:rsidP="000576C3">
      <w:pPr>
        <w:spacing w:after="0" w:line="276" w:lineRule="auto"/>
        <w:ind w:firstLine="709"/>
        <w:contextualSpacing/>
        <w:jc w:val="both"/>
        <w:rPr>
          <w:rFonts w:ascii="Arial" w:eastAsia="Calibri" w:hAnsi="Arial" w:cs="Arial"/>
        </w:rPr>
      </w:pPr>
    </w:p>
    <w:p w14:paraId="2760EEE6" w14:textId="77777777" w:rsidR="000576C3" w:rsidRPr="006D7E12" w:rsidRDefault="000576C3" w:rsidP="000576C3">
      <w:pPr>
        <w:spacing w:after="0" w:line="276" w:lineRule="auto"/>
        <w:ind w:right="51"/>
        <w:contextualSpacing/>
        <w:jc w:val="both"/>
        <w:rPr>
          <w:rFonts w:ascii="Arial" w:eastAsia="Calibri" w:hAnsi="Arial" w:cs="Arial"/>
        </w:rPr>
      </w:pPr>
      <w:r w:rsidRPr="006D7E1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w:t>
      </w:r>
      <w:r>
        <w:rPr>
          <w:rFonts w:ascii="Arial" w:eastAsia="Calibri" w:hAnsi="Arial" w:cs="Arial"/>
        </w:rPr>
        <w:t>el 9 de marzo de 2023</w:t>
      </w:r>
      <w:r w:rsidRPr="006D7E12">
        <w:rPr>
          <w:rFonts w:ascii="Arial" w:eastAsia="Calibri" w:hAnsi="Arial" w:cs="Arial"/>
        </w:rPr>
        <w:t xml:space="preserve">. </w:t>
      </w:r>
    </w:p>
    <w:p w14:paraId="4CB9ACA5" w14:textId="77777777" w:rsidR="000576C3" w:rsidRPr="006D7E12" w:rsidRDefault="000576C3" w:rsidP="000576C3">
      <w:pPr>
        <w:spacing w:after="0" w:line="276" w:lineRule="auto"/>
        <w:contextualSpacing/>
        <w:jc w:val="both"/>
        <w:rPr>
          <w:rFonts w:ascii="Arial" w:eastAsia="Calibri" w:hAnsi="Arial" w:cs="Arial"/>
        </w:rPr>
      </w:pPr>
    </w:p>
    <w:p w14:paraId="0A210D89" w14:textId="77777777" w:rsidR="000576C3" w:rsidRPr="006D7E12" w:rsidRDefault="000576C3" w:rsidP="000576C3">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 xml:space="preserve">1. Problema planteado </w:t>
      </w:r>
    </w:p>
    <w:p w14:paraId="31110136" w14:textId="77777777" w:rsidR="000576C3" w:rsidRDefault="000576C3" w:rsidP="000576C3">
      <w:pPr>
        <w:tabs>
          <w:tab w:val="left" w:pos="284"/>
        </w:tabs>
        <w:spacing w:after="0" w:line="276" w:lineRule="auto"/>
        <w:contextualSpacing/>
        <w:jc w:val="both"/>
        <w:rPr>
          <w:rFonts w:ascii="Arial" w:eastAsia="Calibri" w:hAnsi="Arial" w:cs="Arial"/>
          <w:b/>
        </w:rPr>
      </w:pPr>
    </w:p>
    <w:p w14:paraId="7468302F" w14:textId="77777777" w:rsidR="000576C3" w:rsidRPr="004B3376" w:rsidRDefault="000576C3" w:rsidP="000576C3">
      <w:pPr>
        <w:spacing w:after="0" w:line="276" w:lineRule="auto"/>
        <w:contextualSpacing/>
        <w:jc w:val="both"/>
        <w:rPr>
          <w:rFonts w:ascii="Arial" w:eastAsia="Calibri" w:hAnsi="Arial" w:cs="Arial"/>
          <w:bCs/>
        </w:rPr>
      </w:pPr>
      <w:bookmarkStart w:id="7" w:name="_Hlk58917991"/>
      <w:bookmarkStart w:id="8" w:name="_Hlk56103000"/>
      <w:r>
        <w:rPr>
          <w:rFonts w:ascii="Arial" w:eastAsia="Calibri" w:hAnsi="Arial" w:cs="Arial"/>
          <w:bCs/>
        </w:rPr>
        <w:t>Es su petición usted manifiesta, entre otros aspectos que,</w:t>
      </w:r>
      <w:r w:rsidRPr="004B3376">
        <w:rPr>
          <w:rFonts w:ascii="Arial" w:eastAsia="Calibri" w:hAnsi="Arial" w:cs="Arial"/>
          <w:bCs/>
        </w:rPr>
        <w:t xml:space="preserve"> </w:t>
      </w:r>
      <w:r>
        <w:rPr>
          <w:rFonts w:ascii="Arial" w:eastAsia="Calibri" w:hAnsi="Arial" w:cs="Arial"/>
          <w:bCs/>
        </w:rPr>
        <w:t>“</w:t>
      </w:r>
      <w:r w:rsidRPr="004B3376">
        <w:rPr>
          <w:rFonts w:ascii="Arial" w:eastAsia="Calibri" w:hAnsi="Arial" w:cs="Arial"/>
          <w:bCs/>
        </w:rPr>
        <w:t>en atención a la Ley de Garantías, el Departo de Santander demora la entrega de los recursos recaudados por estampilla del adulto mayor y los Municipios de Santander dejan de suscribir los convenios de asociación con los Centros de Bienestar del Adulto Mayor, afectando directamente los derechos fundamentales de los adultos mayores institucionalizados</w:t>
      </w:r>
      <w:r>
        <w:rPr>
          <w:rFonts w:ascii="Arial" w:eastAsia="Calibri" w:hAnsi="Arial" w:cs="Arial"/>
          <w:bCs/>
        </w:rPr>
        <w:t>”</w:t>
      </w:r>
    </w:p>
    <w:p w14:paraId="5C0D646C" w14:textId="77777777" w:rsidR="000576C3" w:rsidRDefault="000576C3" w:rsidP="000576C3">
      <w:pPr>
        <w:spacing w:after="0" w:line="276" w:lineRule="auto"/>
        <w:contextualSpacing/>
        <w:jc w:val="both"/>
        <w:rPr>
          <w:rFonts w:ascii="Arial" w:eastAsia="Calibri" w:hAnsi="Arial" w:cs="Arial"/>
          <w:b/>
        </w:rPr>
      </w:pPr>
    </w:p>
    <w:p w14:paraId="08D26C10" w14:textId="77777777" w:rsidR="000576C3" w:rsidRPr="006D7E12" w:rsidRDefault="000576C3" w:rsidP="000576C3">
      <w:pPr>
        <w:spacing w:after="0" w:line="276" w:lineRule="auto"/>
        <w:contextualSpacing/>
        <w:jc w:val="both"/>
        <w:rPr>
          <w:rFonts w:ascii="Arial" w:eastAsia="Times New Roman" w:hAnsi="Arial" w:cs="Arial"/>
          <w:lang w:eastAsia="es-ES_tradnl"/>
        </w:rPr>
      </w:pPr>
      <w:bookmarkStart w:id="9" w:name="_Hlk94514883"/>
      <w:r>
        <w:rPr>
          <w:rFonts w:ascii="Arial" w:eastAsia="Times New Roman" w:hAnsi="Arial" w:cs="Arial"/>
          <w:lang w:eastAsia="es-ES_tradnl"/>
        </w:rPr>
        <w:t>En ese contexto usted solicita:</w:t>
      </w:r>
      <w:bookmarkEnd w:id="9"/>
      <w:r>
        <w:rPr>
          <w:rFonts w:ascii="Arial" w:eastAsia="Times New Roman" w:hAnsi="Arial" w:cs="Arial"/>
          <w:lang w:eastAsia="es-ES_tradnl"/>
        </w:rPr>
        <w:t xml:space="preserve"> “</w:t>
      </w:r>
      <w:r w:rsidRPr="00D87D54">
        <w:rPr>
          <w:rFonts w:ascii="Arial" w:eastAsia="Times New Roman" w:hAnsi="Arial" w:cs="Arial"/>
          <w:lang w:eastAsia="es-ES_tradnl"/>
        </w:rPr>
        <w:t>Generar un concepto sobre la aplicación de la Ley de Garantías sobre los convenios de asociación suscritos entre los Municipios de Santander y los Centros de Protección del Adulto Mayor y el giro de recursos de estampilla del adulto mayor</w:t>
      </w:r>
      <w:r>
        <w:rPr>
          <w:rFonts w:ascii="Arial" w:eastAsia="Times New Roman" w:hAnsi="Arial" w:cs="Arial"/>
          <w:lang w:eastAsia="es-ES_tradnl"/>
        </w:rPr>
        <w:t>”.</w:t>
      </w:r>
    </w:p>
    <w:p w14:paraId="0B8859B6" w14:textId="77777777" w:rsidR="000576C3" w:rsidRPr="006D7E12" w:rsidRDefault="000576C3" w:rsidP="000576C3">
      <w:pPr>
        <w:tabs>
          <w:tab w:val="left" w:pos="426"/>
        </w:tabs>
        <w:spacing w:after="0" w:line="276" w:lineRule="auto"/>
        <w:contextualSpacing/>
        <w:jc w:val="both"/>
        <w:rPr>
          <w:rFonts w:ascii="Arial" w:eastAsia="Calibri" w:hAnsi="Arial" w:cs="Arial"/>
        </w:rPr>
      </w:pPr>
    </w:p>
    <w:bookmarkEnd w:id="7"/>
    <w:bookmarkEnd w:id="8"/>
    <w:p w14:paraId="08E661EE" w14:textId="77777777" w:rsidR="000576C3" w:rsidRPr="006D7E12" w:rsidRDefault="000576C3" w:rsidP="000576C3">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2. Consideraciones</w:t>
      </w:r>
    </w:p>
    <w:p w14:paraId="09478D87" w14:textId="77777777" w:rsidR="000576C3" w:rsidRPr="006D7E12" w:rsidRDefault="000576C3" w:rsidP="000576C3">
      <w:pPr>
        <w:tabs>
          <w:tab w:val="left" w:pos="426"/>
        </w:tabs>
        <w:spacing w:after="0" w:line="276" w:lineRule="auto"/>
        <w:ind w:firstLine="709"/>
        <w:contextualSpacing/>
        <w:jc w:val="both"/>
        <w:rPr>
          <w:rFonts w:ascii="Arial" w:eastAsia="Calibri" w:hAnsi="Arial" w:cs="Arial"/>
          <w:bCs/>
        </w:rPr>
      </w:pPr>
    </w:p>
    <w:p w14:paraId="190D3203" w14:textId="77777777" w:rsidR="000576C3" w:rsidRPr="006D7E12" w:rsidRDefault="000576C3" w:rsidP="000576C3">
      <w:pPr>
        <w:spacing w:after="120" w:line="276" w:lineRule="auto"/>
        <w:jc w:val="both"/>
        <w:rPr>
          <w:rFonts w:ascii="Arial" w:eastAsia="Calibri" w:hAnsi="Arial" w:cs="Arial"/>
          <w:szCs w:val="24"/>
          <w:lang w:eastAsia="es-ES_tradnl"/>
        </w:rPr>
      </w:pPr>
      <w:bookmarkStart w:id="10" w:name="_Hlk96420693"/>
      <w:r>
        <w:rPr>
          <w:rFonts w:ascii="Arial" w:hAnsi="Arial" w:cs="Arial"/>
          <w:bCs/>
        </w:rPr>
        <w:t>L</w:t>
      </w:r>
      <w:r w:rsidRPr="006D7E12">
        <w:rPr>
          <w:rFonts w:ascii="Arial" w:eastAsia="Calibri" w:hAnsi="Arial" w:cs="Arial"/>
          <w:lang w:val="es-ES"/>
        </w:rPr>
        <w:t xml:space="preserve">a Agencia resolverá la consulta conforme a las normas generales del sistema de compras públicas. Con este objetivo se analizarán los siguientes temas: </w:t>
      </w:r>
      <w:r w:rsidRPr="006D7E12">
        <w:rPr>
          <w:rFonts w:ascii="Arial" w:eastAsia="Calibri" w:hAnsi="Arial" w:cs="Arial"/>
          <w:bCs/>
        </w:rPr>
        <w:t xml:space="preserve">i) definición y finalidad de la Ley de Garantías Electorales, </w:t>
      </w:r>
      <w:proofErr w:type="spellStart"/>
      <w:r w:rsidRPr="006D7E12">
        <w:rPr>
          <w:rFonts w:ascii="Arial" w:eastAsia="Calibri" w:hAnsi="Arial" w:cs="Arial"/>
          <w:bCs/>
        </w:rPr>
        <w:t>ii</w:t>
      </w:r>
      <w:proofErr w:type="spellEnd"/>
      <w:r w:rsidRPr="006D7E12">
        <w:rPr>
          <w:rFonts w:ascii="Arial" w:eastAsia="Calibri" w:hAnsi="Arial" w:cs="Arial"/>
          <w:bCs/>
        </w:rPr>
        <w:t xml:space="preserve">) restricciones </w:t>
      </w:r>
      <w:r w:rsidRPr="006D7E12">
        <w:rPr>
          <w:rFonts w:ascii="Arial" w:eastAsia="Calibri" w:hAnsi="Arial" w:cs="Arial"/>
          <w:bCs/>
          <w:lang w:val="es-MX"/>
        </w:rPr>
        <w:t xml:space="preserve">para elecciones presidenciales, </w:t>
      </w:r>
      <w:proofErr w:type="spellStart"/>
      <w:r w:rsidRPr="006D7E12">
        <w:rPr>
          <w:rFonts w:ascii="Arial" w:eastAsia="Calibri" w:hAnsi="Arial" w:cs="Arial"/>
          <w:bCs/>
          <w:lang w:val="es-MX"/>
        </w:rPr>
        <w:t>iii</w:t>
      </w:r>
      <w:proofErr w:type="spellEnd"/>
      <w:r w:rsidRPr="006D7E12">
        <w:rPr>
          <w:rFonts w:ascii="Arial" w:eastAsia="Calibri" w:hAnsi="Arial" w:cs="Arial"/>
          <w:bCs/>
          <w:lang w:val="es-MX"/>
        </w:rPr>
        <w:t>) destinatarios de la prohibición del artículo 33 de la Ley 996 de 2005</w:t>
      </w:r>
      <w:r>
        <w:rPr>
          <w:rFonts w:ascii="Arial" w:eastAsia="Calibri" w:hAnsi="Arial" w:cs="Arial"/>
          <w:bCs/>
          <w:lang w:val="es-MX"/>
        </w:rPr>
        <w:t xml:space="preserve"> y</w:t>
      </w:r>
      <w:r w:rsidRPr="006D7E12">
        <w:rPr>
          <w:rFonts w:ascii="Arial" w:eastAsia="Calibri" w:hAnsi="Arial" w:cs="Arial"/>
          <w:bCs/>
          <w:lang w:val="es-MX"/>
        </w:rPr>
        <w:t xml:space="preserve"> </w:t>
      </w:r>
      <w:proofErr w:type="spellStart"/>
      <w:r w:rsidRPr="006D7E12">
        <w:rPr>
          <w:rFonts w:ascii="Arial" w:eastAsia="Calibri" w:hAnsi="Arial" w:cs="Arial"/>
          <w:bCs/>
          <w:lang w:val="es-MX"/>
        </w:rPr>
        <w:t>iv</w:t>
      </w:r>
      <w:proofErr w:type="spellEnd"/>
      <w:r w:rsidRPr="006D7E12">
        <w:rPr>
          <w:rFonts w:ascii="Arial" w:eastAsia="Calibri" w:hAnsi="Arial" w:cs="Arial"/>
          <w:bCs/>
          <w:lang w:val="es-MX"/>
        </w:rPr>
        <w:t xml:space="preserve">) </w:t>
      </w:r>
      <w:bookmarkStart w:id="11" w:name="_Hlk76110351"/>
      <w:r w:rsidRPr="006D7E12">
        <w:rPr>
          <w:rFonts w:ascii="Arial" w:eastAsia="Calibri" w:hAnsi="Arial" w:cs="Arial"/>
          <w:lang w:val="es-MX" w:bidi="es-ES"/>
        </w:rPr>
        <w:t>convenios de asociación y restricciones de la Ley de Garantías Electorales</w:t>
      </w:r>
      <w:r w:rsidRPr="006D7E12">
        <w:rPr>
          <w:rFonts w:ascii="Arial" w:eastAsia="Calibri" w:hAnsi="Arial" w:cs="Arial"/>
          <w:lang w:val="es-MX"/>
        </w:rPr>
        <w:t xml:space="preserve">. </w:t>
      </w:r>
      <w:bookmarkEnd w:id="11"/>
      <w:r w:rsidRPr="006D7E12">
        <w:rPr>
          <w:rFonts w:ascii="Arial" w:eastAsia="Calibri" w:hAnsi="Arial" w:cs="Arial"/>
          <w:lang w:val="es-ES"/>
        </w:rPr>
        <w:t xml:space="preserve">  </w:t>
      </w:r>
    </w:p>
    <w:p w14:paraId="2A4458E2" w14:textId="77777777" w:rsidR="000576C3" w:rsidRPr="006D7E12" w:rsidRDefault="000576C3" w:rsidP="000576C3">
      <w:pPr>
        <w:tabs>
          <w:tab w:val="left" w:pos="426"/>
        </w:tabs>
        <w:spacing w:after="0" w:line="276" w:lineRule="auto"/>
        <w:ind w:firstLine="709"/>
        <w:jc w:val="both"/>
        <w:rPr>
          <w:rFonts w:ascii="Arial" w:eastAsia="Calibri" w:hAnsi="Arial" w:cs="Arial"/>
          <w:bCs/>
        </w:rPr>
      </w:pPr>
      <w:r w:rsidRPr="006D7E12">
        <w:rPr>
          <w:rFonts w:ascii="Arial" w:eastAsia="Calibri" w:hAnsi="Arial" w:cs="Arial"/>
          <w:bCs/>
        </w:rPr>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Pr>
          <w:rFonts w:ascii="Arial" w:eastAsia="Calibri" w:hAnsi="Arial" w:cs="Arial"/>
          <w:bCs/>
        </w:rPr>
        <w:t xml:space="preserve">, </w:t>
      </w:r>
      <w:r w:rsidRPr="006D7E12">
        <w:rPr>
          <w:rFonts w:ascii="Arial" w:eastAsia="Calibri" w:hAnsi="Arial" w:cs="Arial"/>
          <w:bCs/>
        </w:rPr>
        <w:t>C-164 del 22 de marzo de 2022</w:t>
      </w:r>
      <w:r>
        <w:rPr>
          <w:rFonts w:ascii="Arial" w:eastAsia="Calibri" w:hAnsi="Arial" w:cs="Arial"/>
          <w:bCs/>
        </w:rPr>
        <w:t xml:space="preserve"> y C-172 del 6 de abril de 2022</w:t>
      </w:r>
      <w:r w:rsidRPr="006D7E12">
        <w:rPr>
          <w:rFonts w:ascii="Arial" w:eastAsia="Calibri" w:hAnsi="Arial" w:cs="Arial"/>
          <w:bCs/>
        </w:rPr>
        <w:t>. La tesis desarrollada en estos conceptos se reitera y complementa a continuación:</w:t>
      </w:r>
    </w:p>
    <w:bookmarkEnd w:id="10"/>
    <w:p w14:paraId="1B12ADFF" w14:textId="77777777" w:rsidR="000576C3" w:rsidRPr="006D7E12" w:rsidRDefault="000576C3" w:rsidP="000576C3">
      <w:pPr>
        <w:tabs>
          <w:tab w:val="left" w:pos="426"/>
        </w:tabs>
        <w:spacing w:after="0" w:line="276" w:lineRule="auto"/>
        <w:ind w:firstLine="709"/>
        <w:contextualSpacing/>
        <w:jc w:val="both"/>
        <w:rPr>
          <w:rFonts w:ascii="Arial" w:eastAsia="Calibri" w:hAnsi="Arial" w:cs="Arial"/>
          <w:b/>
          <w:bCs/>
        </w:rPr>
      </w:pPr>
    </w:p>
    <w:p w14:paraId="36A9C596" w14:textId="77777777" w:rsidR="000576C3" w:rsidRPr="006D7E12" w:rsidRDefault="000576C3" w:rsidP="000576C3">
      <w:pPr>
        <w:tabs>
          <w:tab w:val="left" w:pos="426"/>
        </w:tabs>
        <w:spacing w:after="0" w:line="276" w:lineRule="auto"/>
        <w:contextualSpacing/>
        <w:jc w:val="both"/>
        <w:rPr>
          <w:rFonts w:ascii="Arial" w:eastAsia="Calibri" w:hAnsi="Arial" w:cs="Arial"/>
          <w:b/>
          <w:bCs/>
        </w:rPr>
      </w:pPr>
      <w:r w:rsidRPr="006D7E12">
        <w:rPr>
          <w:rFonts w:ascii="Arial" w:eastAsia="Calibri" w:hAnsi="Arial" w:cs="Arial"/>
          <w:b/>
          <w:bCs/>
        </w:rPr>
        <w:t>2.1. Definición y finalidad de la Ley de Garantías Electorales: alcance de las restricciones</w:t>
      </w:r>
    </w:p>
    <w:p w14:paraId="2A0DDCF1" w14:textId="77777777" w:rsidR="000576C3" w:rsidRPr="006D7E12" w:rsidRDefault="000576C3" w:rsidP="000576C3">
      <w:pPr>
        <w:tabs>
          <w:tab w:val="left" w:pos="426"/>
        </w:tabs>
        <w:spacing w:after="0" w:line="276" w:lineRule="auto"/>
        <w:ind w:firstLine="709"/>
        <w:contextualSpacing/>
        <w:jc w:val="both"/>
        <w:rPr>
          <w:rFonts w:ascii="Arial" w:eastAsia="Calibri" w:hAnsi="Arial" w:cs="Arial"/>
          <w:bCs/>
        </w:rPr>
      </w:pPr>
    </w:p>
    <w:p w14:paraId="70E1CE08" w14:textId="77777777" w:rsidR="000576C3" w:rsidRPr="006D7E12" w:rsidRDefault="000576C3" w:rsidP="000576C3">
      <w:pPr>
        <w:tabs>
          <w:tab w:val="left" w:pos="426"/>
        </w:tabs>
        <w:spacing w:after="120" w:line="276" w:lineRule="auto"/>
        <w:jc w:val="both"/>
        <w:rPr>
          <w:rFonts w:ascii="Arial" w:eastAsia="Times New Roman" w:hAnsi="Arial" w:cs="Arial"/>
          <w:bCs/>
          <w:lang w:eastAsia="es-CO"/>
        </w:rPr>
      </w:pPr>
      <w:r w:rsidRPr="006D7E12">
        <w:rPr>
          <w:rFonts w:ascii="Arial" w:eastAsia="Calibri" w:hAnsi="Arial" w:cs="Arial"/>
          <w:bCs/>
        </w:rPr>
        <w:t>El ordenamiento jurídico colombiano contempla previsiones claras para evitar la obtención de beneficios personales en asuntos propios de la administración pública</w:t>
      </w:r>
      <w:r w:rsidRPr="006D7E12">
        <w:rPr>
          <w:rFonts w:ascii="Arial" w:eastAsia="Calibri" w:hAnsi="Arial" w:cs="Arial"/>
          <w:bCs/>
          <w:i/>
          <w:iCs/>
        </w:rPr>
        <w:t xml:space="preserve">. </w:t>
      </w:r>
      <w:r w:rsidRPr="006D7E12">
        <w:rPr>
          <w:rFonts w:ascii="Arial" w:eastAsia="Calibri" w:hAnsi="Arial" w:cs="Arial"/>
          <w:bCs/>
        </w:rPr>
        <w:t>Por ejemplo, el artículo 127 de la Constitución Política establece una prohibición contractual a los servidores públicos y en cuanto a aspectos políticos consagra restricciones a ciertos empleados del Estado, incluso en época no electoral</w:t>
      </w:r>
      <w:r w:rsidRPr="006D7E12">
        <w:rPr>
          <w:rFonts w:ascii="Arial" w:eastAsia="Calibri" w:hAnsi="Arial" w:cs="Arial"/>
          <w:bCs/>
          <w:vertAlign w:val="superscript"/>
        </w:rPr>
        <w:footnoteReference w:id="2"/>
      </w:r>
      <w:r w:rsidRPr="006D7E12">
        <w:rPr>
          <w:rFonts w:ascii="Arial" w:eastAsia="Calibri" w:hAnsi="Arial" w:cs="Arial"/>
          <w:bCs/>
        </w:rPr>
        <w:t xml:space="preserve">. </w:t>
      </w:r>
    </w:p>
    <w:p w14:paraId="21AA09DC" w14:textId="77777777" w:rsidR="000576C3" w:rsidRPr="006D7E12" w:rsidRDefault="000576C3" w:rsidP="000576C3">
      <w:pPr>
        <w:tabs>
          <w:tab w:val="left" w:pos="426"/>
        </w:tabs>
        <w:spacing w:after="0" w:line="276" w:lineRule="auto"/>
        <w:ind w:firstLine="709"/>
        <w:jc w:val="both"/>
        <w:rPr>
          <w:rFonts w:ascii="Arial" w:eastAsia="Times New Roman" w:hAnsi="Arial" w:cs="Arial"/>
          <w:bCs/>
          <w:lang w:val="es-MX" w:eastAsia="es-CO"/>
        </w:rPr>
      </w:pPr>
      <w:r w:rsidRPr="006D7E12">
        <w:rPr>
          <w:rFonts w:ascii="Arial" w:eastAsia="Times New Roman" w:hAnsi="Arial" w:cs="Arial"/>
          <w:bCs/>
          <w:lang w:eastAsia="es-CO"/>
        </w:rPr>
        <w:t>En el mismo sentido</w:t>
      </w:r>
      <w:r w:rsidRPr="006D7E12">
        <w:rPr>
          <w:rFonts w:ascii="Arial" w:eastAsia="Times New Roman" w:hAnsi="Arial" w:cs="Arial"/>
          <w:bCs/>
          <w:lang w:val="es-MX" w:eastAsia="es-CO"/>
        </w:rPr>
        <w:t xml:space="preserve">, </w:t>
      </w:r>
      <w:bookmarkStart w:id="12" w:name="_Hlk99576829"/>
      <w:r w:rsidRPr="006D7E12">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D7E12">
        <w:rPr>
          <w:rFonts w:ascii="Arial" w:eastAsia="Times New Roman" w:hAnsi="Arial" w:cs="Arial"/>
          <w:bCs/>
          <w:vertAlign w:val="superscript"/>
          <w:lang w:val="es-MX" w:eastAsia="es-CO"/>
        </w:rPr>
        <w:footnoteReference w:id="3"/>
      </w:r>
      <w:r w:rsidRPr="006D7E12">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6D7E12">
        <w:rPr>
          <w:rFonts w:ascii="Arial" w:eastAsia="Calibri" w:hAnsi="Arial" w:cs="Arial"/>
          <w:noProof/>
          <w:lang w:val="es-ES_tradnl"/>
        </w:rPr>
        <w:t xml:space="preserve"> </w:t>
      </w:r>
      <w:bookmarkEnd w:id="12"/>
      <w:r w:rsidRPr="006D7E12">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134907A1" w14:textId="77777777" w:rsidR="000576C3" w:rsidRPr="006D7E12" w:rsidRDefault="000576C3" w:rsidP="000576C3">
      <w:pPr>
        <w:spacing w:after="0" w:line="276" w:lineRule="auto"/>
        <w:ind w:right="709"/>
        <w:contextualSpacing/>
        <w:jc w:val="both"/>
        <w:rPr>
          <w:rFonts w:ascii="Arial" w:eastAsia="Times New Roman" w:hAnsi="Arial" w:cs="Arial"/>
          <w:sz w:val="21"/>
          <w:szCs w:val="21"/>
          <w:lang w:val="es-ES" w:eastAsia="es-CO"/>
        </w:rPr>
      </w:pPr>
    </w:p>
    <w:p w14:paraId="73B662A2" w14:textId="77777777" w:rsidR="000576C3" w:rsidRPr="006D7E12" w:rsidRDefault="000576C3" w:rsidP="000576C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sz w:val="21"/>
          <w:szCs w:val="21"/>
          <w:lang w:val="es-ES" w:eastAsia="es-CO"/>
        </w:rPr>
        <w:t xml:space="preserve">[…] </w:t>
      </w:r>
      <w:r w:rsidRPr="006D7E12">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6F2D511" w14:textId="77777777" w:rsidR="000576C3" w:rsidRPr="006D7E12" w:rsidRDefault="000576C3" w:rsidP="000576C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 xml:space="preserve">[…] </w:t>
      </w:r>
    </w:p>
    <w:p w14:paraId="1CE4BC87" w14:textId="77777777" w:rsidR="000576C3" w:rsidRPr="006D7E12" w:rsidRDefault="000576C3" w:rsidP="000576C3">
      <w:pPr>
        <w:spacing w:after="0" w:line="240" w:lineRule="auto"/>
        <w:ind w:right="709"/>
        <w:contextualSpacing/>
        <w:jc w:val="both"/>
        <w:rPr>
          <w:rFonts w:ascii="Arial" w:eastAsia="Times New Roman" w:hAnsi="Arial" w:cs="Arial"/>
          <w:bCs/>
          <w:sz w:val="21"/>
          <w:szCs w:val="21"/>
          <w:lang w:val="es-MX" w:eastAsia="es-CO"/>
        </w:rPr>
      </w:pPr>
    </w:p>
    <w:p w14:paraId="0E21483C" w14:textId="77777777" w:rsidR="000576C3" w:rsidRPr="006D7E12" w:rsidRDefault="000576C3" w:rsidP="000576C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D7E12">
        <w:rPr>
          <w:rFonts w:ascii="Arial" w:eastAsia="Calibri" w:hAnsi="Arial" w:cs="Arial"/>
          <w:sz w:val="20"/>
          <w:szCs w:val="20"/>
          <w:vertAlign w:val="superscript"/>
          <w:lang w:val="es-MX"/>
        </w:rPr>
        <w:footnoteReference w:id="4"/>
      </w:r>
    </w:p>
    <w:p w14:paraId="2DDCDA53" w14:textId="77777777" w:rsidR="000576C3" w:rsidRPr="006D7E12" w:rsidRDefault="000576C3" w:rsidP="000576C3">
      <w:pPr>
        <w:spacing w:after="0" w:line="276" w:lineRule="auto"/>
        <w:ind w:left="709" w:right="709"/>
        <w:contextualSpacing/>
        <w:jc w:val="both"/>
        <w:rPr>
          <w:rFonts w:ascii="Arial" w:eastAsia="Times New Roman" w:hAnsi="Arial" w:cs="Arial"/>
          <w:bCs/>
          <w:sz w:val="21"/>
          <w:szCs w:val="21"/>
          <w:lang w:val="es-MX" w:eastAsia="es-CO"/>
        </w:rPr>
      </w:pPr>
    </w:p>
    <w:p w14:paraId="0CB0624B" w14:textId="77777777" w:rsidR="000576C3" w:rsidRPr="006D7E12" w:rsidRDefault="000576C3" w:rsidP="000576C3">
      <w:pPr>
        <w:spacing w:after="0" w:line="276" w:lineRule="auto"/>
        <w:ind w:firstLine="709"/>
        <w:jc w:val="both"/>
        <w:rPr>
          <w:rFonts w:ascii="Arial" w:eastAsia="Times New Roman" w:hAnsi="Arial" w:cs="Arial"/>
          <w:bCs/>
          <w:lang w:val="es-MX" w:eastAsia="es-CO"/>
        </w:rPr>
      </w:pPr>
      <w:bookmarkStart w:id="13" w:name="_Hlk78818186"/>
      <w:r w:rsidRPr="006D7E12">
        <w:rPr>
          <w:rFonts w:ascii="Arial" w:eastAsia="Times New Roman" w:hAnsi="Arial" w:cs="Arial"/>
          <w:bCs/>
          <w:lang w:val="es-MX" w:eastAsia="es-CO"/>
        </w:rPr>
        <w:lastRenderedPageBreak/>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3"/>
      <w:r w:rsidRPr="006D7E12">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65B79D4D" w14:textId="77777777" w:rsidR="000576C3" w:rsidRPr="006D7E12" w:rsidRDefault="000576C3" w:rsidP="000576C3">
      <w:pPr>
        <w:spacing w:after="0" w:line="276" w:lineRule="auto"/>
        <w:ind w:firstLine="709"/>
        <w:contextualSpacing/>
        <w:jc w:val="both"/>
        <w:rPr>
          <w:rFonts w:ascii="Arial" w:eastAsia="Times New Roman" w:hAnsi="Arial" w:cs="Arial"/>
          <w:bCs/>
          <w:lang w:val="es-MX" w:eastAsia="es-CO"/>
        </w:rPr>
      </w:pPr>
    </w:p>
    <w:p w14:paraId="501A8CCE" w14:textId="77777777" w:rsidR="000576C3" w:rsidRPr="006D7E12" w:rsidRDefault="000576C3" w:rsidP="000576C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D7E12">
        <w:rPr>
          <w:rFonts w:ascii="Arial" w:eastAsia="Times New Roman" w:hAnsi="Arial" w:cs="Arial"/>
          <w:bCs/>
          <w:sz w:val="21"/>
          <w:szCs w:val="21"/>
          <w:lang w:val="es-MX" w:eastAsia="es-CO"/>
        </w:rPr>
        <w:t>legis</w:t>
      </w:r>
      <w:proofErr w:type="spellEnd"/>
      <w:r w:rsidRPr="006D7E12">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598A204" w14:textId="77777777" w:rsidR="000576C3" w:rsidRPr="006D7E12" w:rsidRDefault="000576C3" w:rsidP="000576C3">
      <w:pPr>
        <w:spacing w:after="0" w:line="240" w:lineRule="auto"/>
        <w:ind w:left="709" w:right="709"/>
        <w:contextualSpacing/>
        <w:jc w:val="both"/>
        <w:rPr>
          <w:rFonts w:ascii="Arial" w:eastAsia="Times New Roman" w:hAnsi="Arial" w:cs="Arial"/>
          <w:bCs/>
          <w:sz w:val="21"/>
          <w:szCs w:val="21"/>
          <w:lang w:val="es-MX" w:eastAsia="es-CO"/>
        </w:rPr>
      </w:pPr>
    </w:p>
    <w:p w14:paraId="6B8C2B7F" w14:textId="77777777" w:rsidR="000576C3" w:rsidRPr="006D7E12" w:rsidRDefault="000576C3" w:rsidP="000576C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La jurisprudencia de la Corte Constitucional</w:t>
      </w:r>
      <w:r w:rsidRPr="006D7E12">
        <w:rPr>
          <w:rFonts w:ascii="Arial" w:eastAsia="Times New Roman" w:hAnsi="Arial" w:cs="Arial"/>
          <w:bCs/>
          <w:sz w:val="21"/>
          <w:szCs w:val="21"/>
          <w:vertAlign w:val="superscript"/>
          <w:lang w:val="es-MX" w:eastAsia="es-CO"/>
        </w:rPr>
        <w:footnoteReference w:id="5"/>
      </w:r>
      <w:r w:rsidRPr="006D7E12">
        <w:rPr>
          <w:rFonts w:ascii="Arial" w:eastAsia="Times New Roman" w:hAnsi="Arial" w:cs="Arial"/>
          <w:bCs/>
          <w:sz w:val="21"/>
          <w:szCs w:val="21"/>
          <w:lang w:val="es-MX" w:eastAsia="es-CO"/>
        </w:rPr>
        <w:t> y del Consejo de Estado</w:t>
      </w:r>
      <w:r w:rsidRPr="006D7E12">
        <w:rPr>
          <w:rFonts w:ascii="Arial" w:eastAsia="Times New Roman" w:hAnsi="Arial" w:cs="Arial"/>
          <w:bCs/>
          <w:sz w:val="21"/>
          <w:szCs w:val="21"/>
          <w:vertAlign w:val="superscript"/>
          <w:lang w:val="es-MX" w:eastAsia="es-CO"/>
        </w:rPr>
        <w:footnoteReference w:id="6"/>
      </w:r>
      <w:r w:rsidRPr="006D7E12">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D7E12">
        <w:rPr>
          <w:rFonts w:ascii="Arial" w:eastAsia="Times New Roman" w:hAnsi="Arial" w:cs="Arial"/>
          <w:bCs/>
          <w:vertAlign w:val="superscript"/>
          <w:lang w:val="es-MX" w:eastAsia="es-CO"/>
        </w:rPr>
        <w:footnoteReference w:id="7"/>
      </w:r>
      <w:r w:rsidRPr="006D7E12">
        <w:rPr>
          <w:rFonts w:ascii="Arial" w:eastAsia="Times New Roman" w:hAnsi="Arial" w:cs="Arial"/>
          <w:bCs/>
          <w:sz w:val="21"/>
          <w:szCs w:val="21"/>
          <w:lang w:val="es-MX" w:eastAsia="es-CO"/>
        </w:rPr>
        <w:t>.</w:t>
      </w:r>
    </w:p>
    <w:p w14:paraId="7B6DA23E" w14:textId="77777777" w:rsidR="000576C3" w:rsidRPr="006D7E12" w:rsidRDefault="000576C3" w:rsidP="000576C3">
      <w:pPr>
        <w:spacing w:after="0" w:line="276" w:lineRule="auto"/>
        <w:ind w:right="709"/>
        <w:contextualSpacing/>
        <w:jc w:val="both"/>
        <w:rPr>
          <w:rFonts w:ascii="Arial" w:eastAsia="Times New Roman" w:hAnsi="Arial" w:cs="Arial"/>
          <w:bCs/>
          <w:sz w:val="21"/>
          <w:szCs w:val="21"/>
          <w:lang w:val="es-MX" w:eastAsia="es-CO"/>
        </w:rPr>
      </w:pPr>
    </w:p>
    <w:p w14:paraId="37F60F26" w14:textId="77777777" w:rsidR="000576C3" w:rsidRPr="006D7E12" w:rsidRDefault="000576C3" w:rsidP="000576C3">
      <w:pPr>
        <w:spacing w:after="120" w:line="276" w:lineRule="auto"/>
        <w:jc w:val="both"/>
        <w:rPr>
          <w:rFonts w:ascii="Arial" w:eastAsia="Arial" w:hAnsi="Arial" w:cs="Arial"/>
          <w:lang w:val="es-ES" w:eastAsia="es-ES" w:bidi="es-ES"/>
        </w:rPr>
      </w:pPr>
      <w:r w:rsidRPr="006D7E12">
        <w:rPr>
          <w:rFonts w:ascii="Arial" w:eastAsia="Times New Roman" w:hAnsi="Arial" w:cs="Arial"/>
          <w:bCs/>
          <w:lang w:val="es-MX" w:eastAsia="es-CO"/>
        </w:rPr>
        <w:tab/>
        <w:t>De</w:t>
      </w:r>
      <w:r w:rsidRPr="006D7E12">
        <w:rPr>
          <w:rFonts w:ascii="Arial" w:eastAsia="Arial" w:hAnsi="Arial" w:cs="Arial"/>
          <w:lang w:val="es-ES" w:eastAsia="es-ES" w:bidi="es-ES"/>
        </w:rPr>
        <w:t xml:space="preserve"> conformidad con lo anterior, </w:t>
      </w:r>
      <w:bookmarkStart w:id="14" w:name="_Hlk77236098"/>
      <w:bookmarkStart w:id="15" w:name="_Hlk100679383"/>
      <w:r w:rsidRPr="006D7E12">
        <w:rPr>
          <w:rFonts w:ascii="Arial" w:eastAsia="Arial" w:hAnsi="Arial" w:cs="Arial"/>
          <w:lang w:val="es-ES" w:eastAsia="es-ES"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w:t>
      </w:r>
      <w:r w:rsidRPr="006D7E12">
        <w:rPr>
          <w:rFonts w:ascii="Arial" w:eastAsia="Arial" w:hAnsi="Arial" w:cs="Arial"/>
          <w:lang w:val="es-ES" w:eastAsia="es-ES" w:bidi="es-ES"/>
        </w:rPr>
        <w:lastRenderedPageBreak/>
        <w:t>campañas electorales claramente diferenciadas: las presidenciales y las demás que se adelanten para la elección de los demás cargos de elección popular, tanto a nivel nacional como territorial.</w:t>
      </w:r>
      <w:bookmarkEnd w:id="14"/>
    </w:p>
    <w:p w14:paraId="75AFEA8F" w14:textId="77777777" w:rsidR="000576C3" w:rsidRPr="006D7E12" w:rsidRDefault="000576C3" w:rsidP="000576C3">
      <w:pPr>
        <w:spacing w:after="120" w:line="276" w:lineRule="auto"/>
        <w:ind w:firstLine="708"/>
        <w:jc w:val="both"/>
        <w:rPr>
          <w:rFonts w:ascii="Arial" w:eastAsia="Calibri" w:hAnsi="Arial" w:cs="Arial"/>
        </w:rPr>
      </w:pPr>
      <w:r w:rsidRPr="006D7E12">
        <w:rPr>
          <w:rFonts w:ascii="Arial" w:eastAsia="Calibri" w:hAnsi="Arial" w:cs="Arial"/>
        </w:rPr>
        <w:t xml:space="preserve">Por un lado, el artículo 33 de la Ley 996 de 2005 prohíbe </w:t>
      </w:r>
      <w:r w:rsidRPr="006D7E12">
        <w:rPr>
          <w:rFonts w:ascii="Arial" w:eastAsia="Calibri" w:hAnsi="Arial" w:cs="Arial"/>
          <w:bCs/>
        </w:rPr>
        <w:t xml:space="preserve">«[…] </w:t>
      </w:r>
      <w:r w:rsidRPr="006D7E12">
        <w:rPr>
          <w:rFonts w:ascii="Arial" w:eastAsia="Calibri" w:hAnsi="Arial" w:cs="Arial"/>
        </w:rPr>
        <w:t>la contratación directa por parte de todos los entes del Estado</w:t>
      </w:r>
      <w:r w:rsidRPr="006D7E12">
        <w:rPr>
          <w:rFonts w:ascii="Arial" w:eastAsia="Calibri" w:hAnsi="Arial" w:cs="Arial"/>
          <w:bCs/>
        </w:rPr>
        <w:t>»</w:t>
      </w:r>
      <w:r w:rsidRPr="006D7E12">
        <w:rPr>
          <w:rFonts w:ascii="Arial" w:eastAsia="Calibri" w:hAnsi="Arial" w:cs="Arial"/>
        </w:rPr>
        <w:t xml:space="preserve"> durante los cuatro (4) meses anteriores a las elecciones presidenciales, salvo </w:t>
      </w:r>
      <w:r w:rsidRPr="006D7E12">
        <w:rPr>
          <w:rFonts w:ascii="Arial" w:eastAsia="Calibri" w:hAnsi="Arial" w:cs="Arial"/>
          <w:bCs/>
        </w:rPr>
        <w:t xml:space="preserve">«[…] </w:t>
      </w:r>
      <w:r w:rsidRPr="006D7E12">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D7E12">
        <w:rPr>
          <w:rFonts w:ascii="Arial" w:eastAsia="Calibri" w:hAnsi="Arial" w:cs="Arial"/>
          <w:bCs/>
        </w:rPr>
        <w:t>»</w:t>
      </w:r>
      <w:r w:rsidRPr="006D7E12">
        <w:rPr>
          <w:rFonts w:ascii="Arial" w:eastAsia="Calibri" w:hAnsi="Arial" w:cs="Arial"/>
          <w:bCs/>
          <w:vertAlign w:val="superscript"/>
        </w:rPr>
        <w:footnoteReference w:id="8"/>
      </w:r>
      <w:r w:rsidRPr="006D7E12">
        <w:rPr>
          <w:rFonts w:ascii="Arial" w:eastAsia="Calibri" w:hAnsi="Arial" w:cs="Arial"/>
        </w:rPr>
        <w:t>.</w:t>
      </w:r>
    </w:p>
    <w:p w14:paraId="78C67445" w14:textId="77777777" w:rsidR="000576C3" w:rsidRPr="006D7E12" w:rsidRDefault="000576C3" w:rsidP="000576C3">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6D7E12">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6D7E12">
        <w:rPr>
          <w:rFonts w:ascii="Arial" w:eastAsia="Calibri" w:hAnsi="Arial" w:cs="Arial"/>
          <w:bCs/>
        </w:rPr>
        <w:t xml:space="preserve">«[…] </w:t>
      </w:r>
      <w:r w:rsidRPr="006D7E1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D7E12">
        <w:rPr>
          <w:rFonts w:ascii="Arial" w:eastAsia="Calibri" w:hAnsi="Arial" w:cs="Arial"/>
          <w:bCs/>
          <w:sz w:val="19"/>
          <w:szCs w:val="19"/>
        </w:rPr>
        <w:t>»</w:t>
      </w:r>
      <w:bookmarkEnd w:id="15"/>
      <w:r w:rsidRPr="006D7E12">
        <w:rPr>
          <w:rFonts w:ascii="Arial" w:eastAsia="Calibri" w:hAnsi="Arial" w:cs="Arial"/>
          <w:bCs/>
          <w:sz w:val="19"/>
          <w:szCs w:val="19"/>
          <w:vertAlign w:val="superscript"/>
        </w:rPr>
        <w:footnoteReference w:id="9"/>
      </w:r>
      <w:r w:rsidRPr="006D7E12">
        <w:rPr>
          <w:rFonts w:ascii="Arial" w:eastAsia="Calibri" w:hAnsi="Arial" w:cs="Arial"/>
          <w:lang w:val="es-MX"/>
        </w:rPr>
        <w:t>.</w:t>
      </w:r>
      <w:r w:rsidRPr="006D7E12">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706772E0" w14:textId="77777777" w:rsidR="000576C3" w:rsidRPr="006D7E12" w:rsidRDefault="000576C3" w:rsidP="000576C3">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4BAEE64C" w14:textId="77777777" w:rsidR="000576C3" w:rsidRPr="006D7E12" w:rsidRDefault="000576C3" w:rsidP="000576C3">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8" w:name="_Hlk76109421"/>
      <w:r w:rsidRPr="006D7E12">
        <w:rPr>
          <w:rFonts w:ascii="Arial" w:eastAsia="Arial" w:hAnsi="Arial" w:cs="Arial"/>
          <w:sz w:val="21"/>
          <w:szCs w:val="21"/>
          <w:lang w:val="es-ES" w:eastAsia="es-ES" w:bidi="es-ES"/>
        </w:rPr>
        <w:t>se integran parcialmente</w:t>
      </w:r>
      <w:bookmarkEnd w:id="18"/>
      <w:r w:rsidRPr="006D7E1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w:t>
      </w:r>
      <w:r w:rsidRPr="006D7E12">
        <w:rPr>
          <w:rFonts w:ascii="Arial" w:eastAsia="Arial" w:hAnsi="Arial" w:cs="Arial"/>
          <w:sz w:val="21"/>
          <w:szCs w:val="21"/>
          <w:lang w:val="es-ES" w:eastAsia="es-ES" w:bidi="es-ES"/>
        </w:rPr>
        <w:lastRenderedPageBreak/>
        <w:t xml:space="preserve">excepciones, así como las del parágrafo del artículo 38. </w:t>
      </w:r>
      <w:r w:rsidRPr="006D7E12">
        <w:rPr>
          <w:rFonts w:ascii="Arial" w:eastAsia="Arial" w:hAnsi="Arial" w:cs="Arial"/>
          <w:bCs/>
          <w:sz w:val="21"/>
          <w:szCs w:val="21"/>
          <w:lang w:val="es-ES" w:eastAsia="es-ES" w:bidi="es-ES"/>
        </w:rPr>
        <w:t xml:space="preserve">En cambio, para elecciones en general, excluyendo las correspondientes a </w:t>
      </w:r>
      <w:proofErr w:type="gramStart"/>
      <w:r w:rsidRPr="006D7E12">
        <w:rPr>
          <w:rFonts w:ascii="Arial" w:eastAsia="Arial" w:hAnsi="Arial" w:cs="Arial"/>
          <w:bCs/>
          <w:sz w:val="21"/>
          <w:szCs w:val="21"/>
          <w:lang w:val="es-ES" w:eastAsia="es-ES" w:bidi="es-ES"/>
        </w:rPr>
        <w:t>Presidente</w:t>
      </w:r>
      <w:proofErr w:type="gramEnd"/>
      <w:r w:rsidRPr="006D7E12">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6D7E12">
        <w:rPr>
          <w:rFonts w:ascii="Arial" w:eastAsia="Arial" w:hAnsi="Arial" w:cs="Arial"/>
          <w:sz w:val="21"/>
          <w:szCs w:val="21"/>
          <w:lang w:val="es-ES" w:eastAsia="es-ES" w:bidi="es-ES"/>
        </w:rPr>
        <w:t>.</w:t>
      </w:r>
      <w:r w:rsidRPr="006D7E12">
        <w:rPr>
          <w:rFonts w:ascii="Arial" w:eastAsia="Arial" w:hAnsi="Arial" w:cs="Arial"/>
          <w:sz w:val="21"/>
          <w:szCs w:val="21"/>
          <w:vertAlign w:val="superscript"/>
          <w:lang w:val="es-ES" w:eastAsia="es-ES" w:bidi="es-ES"/>
        </w:rPr>
        <w:footnoteReference w:id="10"/>
      </w:r>
    </w:p>
    <w:p w14:paraId="0FC5D33F" w14:textId="77777777" w:rsidR="000576C3" w:rsidRPr="006D7E12" w:rsidRDefault="000576C3" w:rsidP="000576C3">
      <w:pPr>
        <w:widowControl w:val="0"/>
        <w:autoSpaceDE w:val="0"/>
        <w:autoSpaceDN w:val="0"/>
        <w:spacing w:after="0" w:line="276" w:lineRule="auto"/>
        <w:contextualSpacing/>
        <w:rPr>
          <w:rFonts w:ascii="Arial" w:eastAsia="Arial" w:hAnsi="Arial" w:cs="Arial"/>
          <w:lang w:val="es-ES" w:eastAsia="es-ES" w:bidi="es-ES"/>
        </w:rPr>
      </w:pPr>
    </w:p>
    <w:p w14:paraId="3345BF00" w14:textId="77777777" w:rsidR="000576C3" w:rsidRPr="006D7E12" w:rsidRDefault="000576C3" w:rsidP="000576C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De conformidad con lo anterior, </w:t>
      </w:r>
      <w:bookmarkStart w:id="19" w:name="_Hlk77236420"/>
      <w:bookmarkStart w:id="20" w:name="_Hlk78818435"/>
      <w:bookmarkStart w:id="21" w:name="_Hlk75780333"/>
      <w:r w:rsidRPr="006D7E12">
        <w:rPr>
          <w:rFonts w:ascii="Arial" w:eastAsia="Arial" w:hAnsi="Arial" w:cs="Arial"/>
          <w:lang w:val="es-ES" w:eastAsia="es-ES" w:bidi="es-ES"/>
        </w:rPr>
        <w:t xml:space="preserve">la Ley 996 de 2005 establece dos (2) tipos de restricciones en materia de contratación, las cuales coinciden parcialmente. </w:t>
      </w:r>
      <w:r w:rsidRPr="006D7E12">
        <w:rPr>
          <w:rFonts w:ascii="Arial" w:eastAsia="Arial" w:hAnsi="Arial" w:cs="Arial"/>
          <w:i/>
          <w:iCs/>
          <w:lang w:val="es-ES" w:eastAsia="es-ES" w:bidi="es-ES"/>
        </w:rPr>
        <w:t>En primer lugar</w:t>
      </w:r>
      <w:r w:rsidRPr="006D7E1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7E12">
        <w:rPr>
          <w:rFonts w:ascii="Arial" w:eastAsia="Arial" w:hAnsi="Arial" w:cs="Arial"/>
          <w:i/>
          <w:iCs/>
          <w:lang w:val="es-ES" w:eastAsia="es-ES" w:bidi="es-ES"/>
        </w:rPr>
        <w:t>En segundo lugar</w:t>
      </w:r>
      <w:r w:rsidRPr="006D7E1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9"/>
    </w:p>
    <w:bookmarkEnd w:id="20"/>
    <w:p w14:paraId="15BD35CC" w14:textId="77777777" w:rsidR="000576C3" w:rsidRPr="006D7E12" w:rsidRDefault="000576C3" w:rsidP="000576C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6D7E12">
        <w:rPr>
          <w:rFonts w:ascii="Arial" w:eastAsia="Arial" w:hAnsi="Arial" w:cs="Arial"/>
          <w:lang w:val="es-ES" w:eastAsia="es-ES" w:bidi="es-ES"/>
        </w:rPr>
        <w:t>Presidente</w:t>
      </w:r>
      <w:proofErr w:type="gramEnd"/>
      <w:r w:rsidRPr="006D7E12">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6D7E12">
        <w:rPr>
          <w:rFonts w:ascii="Arial" w:eastAsia="Arial" w:hAnsi="Arial" w:cs="Arial"/>
          <w:lang w:val="es-ES" w:eastAsia="es-ES" w:bidi="es-ES"/>
        </w:rPr>
        <w:t>Presidente</w:t>
      </w:r>
      <w:proofErr w:type="gramEnd"/>
      <w:r w:rsidRPr="006D7E12">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21"/>
    <w:p w14:paraId="16C5A1F0" w14:textId="77777777" w:rsidR="000576C3" w:rsidRPr="006D7E12" w:rsidRDefault="000576C3" w:rsidP="000576C3">
      <w:pPr>
        <w:spacing w:after="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6D7E12">
        <w:rPr>
          <w:rFonts w:ascii="Arial" w:eastAsia="Arial" w:hAnsi="Arial" w:cs="Arial"/>
          <w:lang w:val="es-ES" w:eastAsia="es-ES" w:bidi="es-ES"/>
        </w:rPr>
        <w:t>Presidente</w:t>
      </w:r>
      <w:proofErr w:type="gramEnd"/>
      <w:r w:rsidRPr="006D7E12">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6E22AF6" w14:textId="77777777" w:rsidR="000576C3" w:rsidRPr="006D7E12" w:rsidRDefault="000576C3" w:rsidP="000576C3">
      <w:pPr>
        <w:spacing w:after="0" w:line="276" w:lineRule="auto"/>
        <w:contextualSpacing/>
        <w:jc w:val="both"/>
        <w:rPr>
          <w:rFonts w:ascii="Arial" w:eastAsia="Times New Roman" w:hAnsi="Arial" w:cs="Arial"/>
          <w:bCs/>
          <w:lang w:val="es-ES" w:eastAsia="es-CO"/>
        </w:rPr>
      </w:pPr>
    </w:p>
    <w:p w14:paraId="1D96F0BE" w14:textId="77777777" w:rsidR="000576C3" w:rsidRPr="006D7E12" w:rsidRDefault="000576C3" w:rsidP="000576C3">
      <w:pPr>
        <w:spacing w:after="0" w:line="276" w:lineRule="auto"/>
        <w:contextualSpacing/>
        <w:jc w:val="both"/>
        <w:rPr>
          <w:rFonts w:ascii="Arial" w:eastAsia="Times New Roman" w:hAnsi="Arial" w:cs="Arial"/>
          <w:b/>
          <w:lang w:val="es-ES" w:eastAsia="es-CO"/>
        </w:rPr>
      </w:pPr>
      <w:r w:rsidRPr="006D7E12">
        <w:rPr>
          <w:rFonts w:ascii="Arial" w:eastAsia="Times New Roman" w:hAnsi="Arial" w:cs="Arial"/>
          <w:b/>
          <w:lang w:val="es-ES" w:eastAsia="es-CO"/>
        </w:rPr>
        <w:lastRenderedPageBreak/>
        <w:t xml:space="preserve">2.2. </w:t>
      </w:r>
      <w:r w:rsidRPr="006D7E12">
        <w:rPr>
          <w:rFonts w:ascii="Arial" w:eastAsia="Times New Roman" w:hAnsi="Arial" w:cs="Arial"/>
          <w:b/>
          <w:bCs/>
          <w:lang w:val="es-MX" w:eastAsia="es-CO"/>
        </w:rPr>
        <w:t>Restricciones en elecciones presidenciales: prohibición del artículo 33 de la Ley 996 de 2005</w:t>
      </w:r>
    </w:p>
    <w:p w14:paraId="429E668A" w14:textId="77777777" w:rsidR="000576C3" w:rsidRPr="006D7E12" w:rsidRDefault="000576C3" w:rsidP="000576C3">
      <w:pPr>
        <w:spacing w:after="0" w:line="276" w:lineRule="auto"/>
        <w:contextualSpacing/>
        <w:jc w:val="both"/>
        <w:rPr>
          <w:rFonts w:ascii="Arial" w:eastAsia="Times New Roman" w:hAnsi="Arial" w:cs="Arial"/>
          <w:bCs/>
          <w:lang w:val="es-MX" w:eastAsia="x-none"/>
        </w:rPr>
      </w:pPr>
    </w:p>
    <w:p w14:paraId="51D09AD7" w14:textId="77777777" w:rsidR="000576C3" w:rsidRPr="006D7E12" w:rsidRDefault="000576C3" w:rsidP="000576C3">
      <w:pPr>
        <w:spacing w:after="0" w:line="276" w:lineRule="auto"/>
        <w:contextualSpacing/>
        <w:jc w:val="both"/>
        <w:rPr>
          <w:rFonts w:ascii="Arial" w:eastAsia="Times New Roman" w:hAnsi="Arial" w:cs="Arial"/>
          <w:bCs/>
          <w:lang w:val="es-MX" w:eastAsia="es-CO"/>
        </w:rPr>
      </w:pPr>
      <w:r w:rsidRPr="006D7E12">
        <w:rPr>
          <w:rFonts w:ascii="Arial" w:eastAsia="Times New Roman" w:hAnsi="Arial" w:cs="Arial"/>
          <w:bCs/>
          <w:lang w:val="es-MX" w:eastAsia="x-none"/>
        </w:rPr>
        <w:t xml:space="preserve">El ámbito material de la prohibición contenida </w:t>
      </w:r>
      <w:bookmarkStart w:id="22" w:name="_Hlk75628761"/>
      <w:r w:rsidRPr="006D7E12">
        <w:rPr>
          <w:rFonts w:ascii="Arial" w:eastAsia="Times New Roman" w:hAnsi="Arial" w:cs="Arial"/>
          <w:bCs/>
          <w:lang w:val="es-MX" w:eastAsia="x-none"/>
        </w:rPr>
        <w:t xml:space="preserve">en el artículo 33 de la Ley 996 de 2005 </w:t>
      </w:r>
      <w:bookmarkEnd w:id="22"/>
      <w:r w:rsidRPr="006D7E12">
        <w:rPr>
          <w:rFonts w:ascii="Arial" w:eastAsia="Times New Roman" w:hAnsi="Arial" w:cs="Arial"/>
          <w:bCs/>
          <w:lang w:val="es-MX" w:eastAsia="x-none"/>
        </w:rPr>
        <w:t xml:space="preserve">está delimitado por la expresión </w:t>
      </w:r>
      <w:r w:rsidRPr="006D7E12">
        <w:rPr>
          <w:rFonts w:ascii="Arial" w:eastAsia="Calibri" w:hAnsi="Arial" w:cs="Arial"/>
          <w:bCs/>
          <w:sz w:val="20"/>
          <w:szCs w:val="20"/>
          <w:lang w:val="es-MX"/>
        </w:rPr>
        <w:t>«</w:t>
      </w:r>
      <w:r w:rsidRPr="006D7E12">
        <w:rPr>
          <w:rFonts w:ascii="Arial" w:eastAsia="Times New Roman" w:hAnsi="Arial" w:cs="Arial"/>
          <w:bCs/>
          <w:lang w:val="es-MX" w:eastAsia="x-none"/>
        </w:rPr>
        <w:t>queda prohibida la contratación directa</w:t>
      </w:r>
      <w:r w:rsidRPr="006D7E12">
        <w:rPr>
          <w:rFonts w:ascii="Arial" w:eastAsia="Calibri" w:hAnsi="Arial" w:cs="Arial"/>
          <w:sz w:val="20"/>
          <w:szCs w:val="20"/>
          <w:lang w:val="es-MX"/>
        </w:rPr>
        <w:t>»</w:t>
      </w:r>
      <w:r w:rsidRPr="006D7E12">
        <w:rPr>
          <w:rFonts w:ascii="Arial" w:eastAsia="Times New Roman" w:hAnsi="Arial" w:cs="Arial"/>
          <w:bCs/>
          <w:lang w:val="es-MX" w:eastAsia="x-none"/>
        </w:rPr>
        <w:t>.</w:t>
      </w:r>
      <w:r w:rsidRPr="006D7E12">
        <w:rPr>
          <w:rFonts w:ascii="Arial" w:eastAsia="Times New Roman" w:hAnsi="Arial" w:cs="Arial"/>
          <w:lang w:val="es-MX" w:eastAsia="es-CO"/>
        </w:rPr>
        <w:t xml:space="preserve"> A propósito de </w:t>
      </w:r>
      <w:r w:rsidRPr="006D7E12">
        <w:rPr>
          <w:rFonts w:ascii="Arial" w:eastAsia="Times New Roman" w:hAnsi="Arial" w:cs="Arial"/>
          <w:lang w:eastAsia="es-CO"/>
        </w:rPr>
        <w:t>esta restricción de la Ley de Garantías Electorales, la Sala de Consulta y Servicio Civil del Consejo de Estado ha considerado que:</w:t>
      </w:r>
    </w:p>
    <w:p w14:paraId="4AD11AB9" w14:textId="77777777" w:rsidR="000576C3" w:rsidRPr="006D7E12" w:rsidRDefault="000576C3" w:rsidP="000576C3">
      <w:pPr>
        <w:spacing w:after="0" w:line="276" w:lineRule="auto"/>
        <w:ind w:left="708" w:right="709"/>
        <w:contextualSpacing/>
        <w:jc w:val="both"/>
        <w:rPr>
          <w:rFonts w:ascii="Arial" w:eastAsia="Calibri" w:hAnsi="Arial" w:cs="Arial"/>
          <w:sz w:val="21"/>
          <w:szCs w:val="21"/>
          <w:lang w:val="es-MX"/>
        </w:rPr>
      </w:pPr>
    </w:p>
    <w:p w14:paraId="52FB0545" w14:textId="77777777" w:rsidR="000576C3" w:rsidRPr="006D7E12" w:rsidRDefault="000576C3" w:rsidP="000576C3">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D7E12">
        <w:rPr>
          <w:rFonts w:ascii="Arial" w:eastAsia="Times New Roman" w:hAnsi="Arial" w:cs="Arial"/>
          <w:vertAlign w:val="superscript"/>
          <w:lang w:eastAsia="es-CO"/>
        </w:rPr>
        <w:footnoteReference w:id="11"/>
      </w:r>
      <w:r w:rsidRPr="006D7E12">
        <w:rPr>
          <w:rFonts w:ascii="Arial" w:eastAsia="Calibri" w:hAnsi="Arial" w:cs="Arial"/>
          <w:sz w:val="21"/>
          <w:szCs w:val="21"/>
          <w:lang w:val="es-MX"/>
        </w:rPr>
        <w:t>.</w:t>
      </w:r>
    </w:p>
    <w:p w14:paraId="03060EA6" w14:textId="77777777" w:rsidR="000576C3" w:rsidRPr="006D7E12" w:rsidRDefault="000576C3" w:rsidP="000576C3">
      <w:pPr>
        <w:spacing w:after="0" w:line="240" w:lineRule="auto"/>
        <w:ind w:left="709" w:right="709"/>
        <w:contextualSpacing/>
        <w:jc w:val="both"/>
        <w:rPr>
          <w:rFonts w:ascii="Arial" w:eastAsia="Calibri" w:hAnsi="Arial" w:cs="Arial"/>
          <w:sz w:val="21"/>
          <w:szCs w:val="21"/>
          <w:lang w:val="es-MX"/>
        </w:rPr>
      </w:pPr>
    </w:p>
    <w:p w14:paraId="1A6C9CF8" w14:textId="77777777" w:rsidR="000576C3" w:rsidRPr="006D7E12" w:rsidRDefault="000576C3" w:rsidP="000576C3">
      <w:pPr>
        <w:spacing w:after="0" w:line="240" w:lineRule="auto"/>
        <w:ind w:left="708"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Esta Sala ha entendido </w:t>
      </w:r>
      <w:proofErr w:type="gramStart"/>
      <w:r w:rsidRPr="006D7E12">
        <w:rPr>
          <w:rFonts w:ascii="Arial" w:eastAsia="Calibri" w:hAnsi="Arial" w:cs="Arial"/>
          <w:sz w:val="21"/>
          <w:szCs w:val="21"/>
          <w:lang w:val="es-MX"/>
        </w:rPr>
        <w:t>que</w:t>
      </w:r>
      <w:proofErr w:type="gramEnd"/>
      <w:r w:rsidRPr="006D7E12">
        <w:rPr>
          <w:rFonts w:ascii="Arial" w:eastAsia="Calibri" w:hAnsi="Arial" w:cs="Arial"/>
          <w:sz w:val="21"/>
          <w:szCs w:val="21"/>
          <w:lang w:val="es-MX"/>
        </w:rPr>
        <w:t xml:space="preserve"> para los efectos de la ley de garantías, y dada su finalidad, el enunciado ´contratación directa´ es sinónimo </w:t>
      </w:r>
      <w:bookmarkStart w:id="25" w:name="_Hlk75741738"/>
      <w:r w:rsidRPr="006D7E12">
        <w:rPr>
          <w:rFonts w:ascii="Arial" w:eastAsia="Calibri" w:hAnsi="Arial" w:cs="Arial"/>
          <w:sz w:val="21"/>
          <w:szCs w:val="21"/>
          <w:lang w:val="es-MX"/>
        </w:rPr>
        <w:t xml:space="preserve">de cualquier sistema que no implique convocatoria pública y posibilidad de pluralidad de oferentes, </w:t>
      </w:r>
      <w:bookmarkEnd w:id="25"/>
      <w:r w:rsidRPr="006D7E12">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6D7E12">
        <w:rPr>
          <w:rFonts w:ascii="Arial" w:eastAsia="Times New Roman" w:hAnsi="Arial" w:cs="Arial"/>
          <w:sz w:val="21"/>
          <w:szCs w:val="21"/>
          <w:vertAlign w:val="superscript"/>
          <w:lang w:val="es-MX"/>
        </w:rPr>
        <w:footnoteReference w:id="12"/>
      </w:r>
      <w:r w:rsidRPr="006D7E12">
        <w:rPr>
          <w:rFonts w:ascii="Arial" w:eastAsia="Times New Roman" w:hAnsi="Arial" w:cs="Arial"/>
          <w:sz w:val="21"/>
          <w:szCs w:val="21"/>
          <w:vertAlign w:val="superscript"/>
          <w:lang w:val="es-MX"/>
        </w:rPr>
        <w:t>.</w:t>
      </w:r>
      <w:r w:rsidRPr="006D7E12">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D7E12">
        <w:rPr>
          <w:rFonts w:ascii="Arial" w:eastAsia="Times New Roman" w:hAnsi="Arial" w:cs="Arial"/>
          <w:vertAlign w:val="superscript"/>
          <w:lang w:eastAsia="es-CO"/>
        </w:rPr>
        <w:footnoteReference w:id="13"/>
      </w:r>
      <w:r w:rsidRPr="006D7E12">
        <w:rPr>
          <w:rFonts w:ascii="Arial" w:eastAsia="Calibri" w:hAnsi="Arial" w:cs="Arial"/>
          <w:sz w:val="21"/>
          <w:szCs w:val="21"/>
          <w:lang w:val="es-MX"/>
        </w:rPr>
        <w:t xml:space="preserve"> .</w:t>
      </w:r>
    </w:p>
    <w:p w14:paraId="53CEA572" w14:textId="77777777" w:rsidR="000576C3" w:rsidRPr="006D7E12" w:rsidRDefault="000576C3" w:rsidP="000576C3">
      <w:pPr>
        <w:shd w:val="clear" w:color="auto" w:fill="FFFFFF"/>
        <w:spacing w:after="0" w:line="276" w:lineRule="auto"/>
        <w:ind w:firstLine="709"/>
        <w:contextualSpacing/>
        <w:jc w:val="both"/>
        <w:rPr>
          <w:rFonts w:ascii="Arial" w:eastAsia="Times New Roman" w:hAnsi="Arial" w:cs="Arial"/>
          <w:lang w:eastAsia="x-none"/>
        </w:rPr>
      </w:pPr>
    </w:p>
    <w:p w14:paraId="39ADDE9B" w14:textId="77777777" w:rsidR="000576C3" w:rsidRPr="006D7E12" w:rsidRDefault="000576C3" w:rsidP="000576C3">
      <w:pPr>
        <w:spacing w:after="120" w:line="276" w:lineRule="auto"/>
        <w:ind w:firstLine="709"/>
        <w:jc w:val="both"/>
        <w:rPr>
          <w:rFonts w:ascii="Arial" w:eastAsia="Times New Roman" w:hAnsi="Arial" w:cs="Arial"/>
          <w:bCs/>
          <w:lang w:eastAsia="x-none"/>
        </w:rPr>
      </w:pPr>
      <w:bookmarkStart w:id="27" w:name="_Hlk94521748"/>
      <w:r w:rsidRPr="006D7E12">
        <w:rPr>
          <w:rFonts w:ascii="Arial" w:eastAsia="Times New Roman" w:hAnsi="Arial" w:cs="Arial"/>
          <w:lang w:eastAsia="x-none"/>
        </w:rPr>
        <w:t xml:space="preserve">De conformidad con el citado concepto, </w:t>
      </w:r>
      <w:bookmarkStart w:id="28" w:name="_Hlk78818702"/>
      <w:r w:rsidRPr="006D7E12">
        <w:rPr>
          <w:rFonts w:ascii="Arial" w:eastAsia="Times New Roman" w:hAnsi="Arial" w:cs="Arial"/>
          <w:lang w:eastAsia="x-none"/>
        </w:rPr>
        <w:t xml:space="preserve">la prohibición del artículo 33 de la Ley de Garantías Electorales se refiere a </w:t>
      </w:r>
      <w:bookmarkStart w:id="29" w:name="_Hlk74294635"/>
      <w:r w:rsidRPr="006D7E12">
        <w:rPr>
          <w:rFonts w:ascii="Arial" w:eastAsia="Times New Roman" w:hAnsi="Arial" w:cs="Arial"/>
          <w:sz w:val="19"/>
          <w:szCs w:val="19"/>
          <w:lang w:eastAsia="en-GB"/>
        </w:rPr>
        <w:t>«</w:t>
      </w:r>
      <w:bookmarkEnd w:id="29"/>
      <w:r w:rsidRPr="006D7E12">
        <w:rPr>
          <w:rFonts w:ascii="Arial" w:eastAsia="Times New Roman" w:hAnsi="Arial" w:cs="Arial"/>
          <w:lang w:eastAsia="x-none"/>
        </w:rPr>
        <w:t>cualquier sistema que no implique convocatoria pública y posibilidad de pluralidad de oferentes</w:t>
      </w:r>
      <w:bookmarkStart w:id="30" w:name="_Hlk74404754"/>
      <w:r w:rsidRPr="006D7E12">
        <w:rPr>
          <w:rFonts w:ascii="Arial" w:eastAsia="Times New Roman" w:hAnsi="Arial" w:cs="Arial"/>
          <w:lang w:eastAsia="en-GB"/>
        </w:rPr>
        <w:t>»</w:t>
      </w:r>
      <w:bookmarkEnd w:id="30"/>
      <w:r w:rsidRPr="006D7E12">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7"/>
      <w:bookmarkEnd w:id="28"/>
      <w:r w:rsidRPr="006D7E12">
        <w:rPr>
          <w:rFonts w:ascii="Arial" w:eastAsia="Times New Roman" w:hAnsi="Arial" w:cs="Arial"/>
          <w:lang w:eastAsia="x-none"/>
        </w:rPr>
        <w:t>Esta posición es congruente con la expedición de la Ley 1150 de 2007 que, entre otras reformas, introdujo la selección abreviada, rediseñó el concurso de méritos</w:t>
      </w:r>
      <w:r w:rsidRPr="006D7E12">
        <w:rPr>
          <w:rFonts w:ascii="Arial" w:eastAsia="Times New Roman" w:hAnsi="Arial" w:cs="Arial"/>
          <w:vertAlign w:val="superscript"/>
          <w:lang w:val="en-GB" w:eastAsia="x-none"/>
        </w:rPr>
        <w:footnoteReference w:id="14"/>
      </w:r>
      <w:r w:rsidRPr="006D7E12">
        <w:rPr>
          <w:rFonts w:ascii="Arial" w:eastAsia="Times New Roman" w:hAnsi="Arial" w:cs="Arial"/>
          <w:lang w:eastAsia="x-none"/>
        </w:rPr>
        <w:t xml:space="preserve"> y sistematizó las causales de contratación directa</w:t>
      </w:r>
      <w:r w:rsidRPr="006D7E12">
        <w:rPr>
          <w:rFonts w:ascii="Arial" w:eastAsia="Times New Roman" w:hAnsi="Arial" w:cs="Arial"/>
          <w:vertAlign w:val="superscript"/>
          <w:lang w:val="en-GB" w:eastAsia="x-none"/>
        </w:rPr>
        <w:footnoteReference w:id="15"/>
      </w:r>
      <w:r w:rsidRPr="006D7E12">
        <w:rPr>
          <w:rFonts w:ascii="Arial" w:eastAsia="Times New Roman" w:hAnsi="Arial" w:cs="Arial"/>
          <w:lang w:eastAsia="x-none"/>
        </w:rPr>
        <w:t xml:space="preserve">. </w:t>
      </w:r>
    </w:p>
    <w:p w14:paraId="5E41B221" w14:textId="77777777" w:rsidR="000576C3" w:rsidRPr="006D7E12" w:rsidRDefault="000576C3" w:rsidP="000576C3">
      <w:pPr>
        <w:spacing w:after="120" w:line="276" w:lineRule="auto"/>
        <w:ind w:firstLine="709"/>
        <w:jc w:val="both"/>
        <w:rPr>
          <w:rFonts w:ascii="Arial" w:eastAsia="Times New Roman" w:hAnsi="Arial" w:cs="Arial"/>
          <w:lang w:val="es-MX" w:eastAsia="x-none"/>
        </w:rPr>
      </w:pPr>
      <w:r w:rsidRPr="006D7E12">
        <w:rPr>
          <w:rFonts w:ascii="Arial" w:eastAsia="Times New Roman" w:hAnsi="Arial" w:cs="Arial"/>
          <w:lang w:eastAsia="x-none"/>
        </w:rPr>
        <w:t xml:space="preserve">De esta forma, se ha depurado la noción de </w:t>
      </w:r>
      <w:r w:rsidRPr="006D7E12">
        <w:rPr>
          <w:rFonts w:ascii="Arial" w:eastAsia="Times New Roman" w:hAnsi="Arial" w:cs="Arial"/>
          <w:sz w:val="19"/>
          <w:szCs w:val="19"/>
          <w:lang w:eastAsia="en-GB"/>
        </w:rPr>
        <w:t>«</w:t>
      </w:r>
      <w:r w:rsidRPr="006D7E12">
        <w:rPr>
          <w:rFonts w:ascii="Arial" w:eastAsia="Times New Roman" w:hAnsi="Arial" w:cs="Arial"/>
          <w:lang w:eastAsia="x-none"/>
        </w:rPr>
        <w:t>contratación directa</w:t>
      </w:r>
      <w:r w:rsidRPr="006D7E12">
        <w:rPr>
          <w:rFonts w:ascii="Arial" w:eastAsia="Times New Roman" w:hAnsi="Arial" w:cs="Arial"/>
          <w:lang w:eastAsia="en-GB"/>
        </w:rPr>
        <w:t>»</w:t>
      </w:r>
      <w:r w:rsidRPr="006D7E12">
        <w:rPr>
          <w:rFonts w:ascii="Arial" w:eastAsia="Times New Roman" w:hAnsi="Arial" w:cs="Arial"/>
          <w:lang w:eastAsia="x-none"/>
        </w:rPr>
        <w:t xml:space="preserve">, precisando el Consejo de Estado –en el concepto citado– que, «aun cuando no coincide única y exactamente con la regulación que de dicho sistema de selección hace el artículo 2º de la Ley 1150 de 2007, tampoco </w:t>
      </w:r>
      <w:r w:rsidRPr="006D7E12">
        <w:rPr>
          <w:rFonts w:ascii="Arial" w:eastAsia="Times New Roman" w:hAnsi="Arial" w:cs="Arial"/>
          <w:lang w:eastAsia="x-none"/>
        </w:rPr>
        <w:lastRenderedPageBreak/>
        <w:t>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6D7E12">
        <w:rPr>
          <w:rFonts w:ascii="Arial" w:eastAsia="Times New Roman" w:hAnsi="Arial" w:cs="Arial"/>
          <w:vertAlign w:val="superscript"/>
          <w:lang w:val="en-GB" w:eastAsia="x-none"/>
        </w:rPr>
        <w:footnoteReference w:id="16"/>
      </w:r>
      <w:r w:rsidRPr="006D7E12">
        <w:rPr>
          <w:rFonts w:ascii="Arial" w:eastAsia="Times New Roman" w:hAnsi="Arial" w:cs="Arial"/>
          <w:lang w:eastAsia="x-none"/>
        </w:rPr>
        <w:t>, han establecido sistemas de contratación que implican convocatoria pública y participación de varios oferentes</w:t>
      </w:r>
      <w:r w:rsidRPr="006D7E12">
        <w:rPr>
          <w:rFonts w:ascii="Arial" w:eastAsia="Times New Roman" w:hAnsi="Arial" w:cs="Arial"/>
          <w:lang w:eastAsia="en-GB"/>
        </w:rPr>
        <w:t>»</w:t>
      </w:r>
      <w:r w:rsidRPr="006D7E12">
        <w:rPr>
          <w:rFonts w:ascii="Arial" w:eastAsia="Times New Roman" w:hAnsi="Arial" w:cs="Arial"/>
          <w:lang w:eastAsia="x-none"/>
        </w:rPr>
        <w:t xml:space="preserve">. </w:t>
      </w:r>
    </w:p>
    <w:p w14:paraId="195B8351" w14:textId="77777777" w:rsidR="000576C3" w:rsidRPr="006D7E12" w:rsidRDefault="000576C3" w:rsidP="000576C3">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E</w:t>
      </w:r>
      <w:r w:rsidRPr="006D7E12">
        <w:rPr>
          <w:rFonts w:ascii="Arial" w:eastAsia="Times New Roman" w:hAnsi="Arial" w:cs="Arial"/>
          <w:lang w:eastAsia="x-none"/>
        </w:rPr>
        <w:t xml:space="preserve">n efecto, vale la pena mencionar que, </w:t>
      </w:r>
      <w:bookmarkStart w:id="32" w:name="_Hlk75636073"/>
      <w:r w:rsidRPr="006D7E12">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2"/>
      <w:r w:rsidRPr="006D7E12">
        <w:rPr>
          <w:rFonts w:ascii="Arial" w:eastAsia="Times New Roman" w:hAnsi="Arial" w:cs="Arial"/>
          <w:vertAlign w:val="superscript"/>
          <w:lang w:eastAsia="x-none"/>
        </w:rPr>
        <w:footnoteReference w:id="17"/>
      </w:r>
      <w:r w:rsidRPr="006D7E12">
        <w:rPr>
          <w:rFonts w:ascii="Arial" w:eastAsia="Times New Roman" w:hAnsi="Arial" w:cs="Arial"/>
          <w:lang w:eastAsia="x-none"/>
        </w:rPr>
        <w:t xml:space="preserve">. </w:t>
      </w:r>
    </w:p>
    <w:p w14:paraId="66C98068" w14:textId="77777777" w:rsidR="000576C3" w:rsidRPr="006D7E12" w:rsidRDefault="000576C3" w:rsidP="000576C3">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5B5008A5" w14:textId="77777777" w:rsidR="000576C3" w:rsidRPr="006D7E12" w:rsidRDefault="000576C3" w:rsidP="000576C3">
      <w:pPr>
        <w:spacing w:after="120" w:line="276" w:lineRule="auto"/>
        <w:ind w:firstLine="709"/>
        <w:jc w:val="both"/>
        <w:rPr>
          <w:rFonts w:ascii="Arial" w:eastAsia="Times New Roman" w:hAnsi="Arial" w:cs="Arial"/>
          <w:bCs/>
          <w:lang w:val="es-MX" w:eastAsia="x-none"/>
        </w:rPr>
      </w:pPr>
      <w:bookmarkStart w:id="33" w:name="_Hlk78818796"/>
      <w:r w:rsidRPr="006D7E12">
        <w:rPr>
          <w:rFonts w:ascii="Arial" w:eastAsia="Times New Roman" w:hAnsi="Arial" w:cs="Arial"/>
          <w:bCs/>
          <w:lang w:val="es-MX" w:eastAsia="x-none"/>
        </w:rPr>
        <w:t xml:space="preserve"> Así las cosas, </w:t>
      </w:r>
      <w:bookmarkStart w:id="34" w:name="_Hlk99577798"/>
      <w:r w:rsidRPr="006D7E12">
        <w:rPr>
          <w:rFonts w:ascii="Arial" w:eastAsia="Times New Roman" w:hAnsi="Arial" w:cs="Arial"/>
          <w:bCs/>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7E12">
        <w:rPr>
          <w:rFonts w:ascii="Arial" w:eastAsia="Times New Roman" w:hAnsi="Arial" w:cs="Arial"/>
          <w:vertAlign w:val="superscript"/>
          <w:lang w:eastAsia="x-none"/>
        </w:rPr>
        <w:footnoteReference w:id="18"/>
      </w:r>
      <w:r w:rsidRPr="006D7E12">
        <w:rPr>
          <w:rFonts w:ascii="Arial" w:eastAsia="Times New Roman" w:hAnsi="Arial" w:cs="Arial"/>
          <w:bCs/>
          <w:lang w:val="es-MX" w:eastAsia="x-none"/>
        </w:rPr>
        <w:t>.</w:t>
      </w:r>
      <w:r w:rsidRPr="006D7E12">
        <w:rPr>
          <w:rFonts w:ascii="Arial" w:eastAsia="Times New Roman" w:hAnsi="Arial" w:cs="Arial"/>
          <w:vertAlign w:val="superscript"/>
          <w:lang w:eastAsia="x-none"/>
        </w:rPr>
        <w:t xml:space="preserve"> </w:t>
      </w:r>
    </w:p>
    <w:bookmarkEnd w:id="33"/>
    <w:p w14:paraId="28688D3E" w14:textId="77777777" w:rsidR="000576C3" w:rsidRPr="006D7E12" w:rsidRDefault="000576C3" w:rsidP="000576C3">
      <w:pPr>
        <w:spacing w:after="120" w:line="276" w:lineRule="auto"/>
        <w:ind w:firstLine="709"/>
        <w:jc w:val="both"/>
        <w:rPr>
          <w:rFonts w:ascii="Arial" w:eastAsia="Times New Roman" w:hAnsi="Arial" w:cs="Arial"/>
          <w:lang w:eastAsia="x-none"/>
        </w:rPr>
      </w:pPr>
      <w:r w:rsidRPr="006D7E12">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7E12">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4DFF3B32" w14:textId="77777777" w:rsidR="000576C3" w:rsidRPr="006D7E12" w:rsidRDefault="000576C3" w:rsidP="000576C3">
      <w:pPr>
        <w:spacing w:after="120" w:line="276" w:lineRule="auto"/>
        <w:ind w:firstLine="709"/>
        <w:jc w:val="both"/>
        <w:rPr>
          <w:rFonts w:ascii="Arial" w:eastAsia="Times New Roman" w:hAnsi="Arial" w:cs="Arial"/>
          <w:bCs/>
          <w:lang w:val="es-MX" w:eastAsia="x-none"/>
        </w:rPr>
      </w:pPr>
      <w:bookmarkStart w:id="35" w:name="_Hlk77237094"/>
      <w:bookmarkEnd w:id="34"/>
      <w:r w:rsidRPr="006D7E12">
        <w:rPr>
          <w:rFonts w:ascii="Arial" w:eastAsia="Times New Roman" w:hAnsi="Arial" w:cs="Arial"/>
          <w:bCs/>
          <w:lang w:val="es-MX" w:eastAsia="es-CO"/>
        </w:rPr>
        <w:t xml:space="preserve">Como en otras oportunidades lo ha manifestado esta Agencia, las prórrogas, modificaciones o adiciones de los contratos suscritos antes de la </w:t>
      </w:r>
      <w:proofErr w:type="gramStart"/>
      <w:r w:rsidRPr="006D7E12">
        <w:rPr>
          <w:rFonts w:ascii="Arial" w:eastAsia="Times New Roman" w:hAnsi="Arial" w:cs="Arial"/>
          <w:bCs/>
          <w:lang w:val="es-MX" w:eastAsia="es-CO"/>
        </w:rPr>
        <w:t>entrada en vigencia</w:t>
      </w:r>
      <w:proofErr w:type="gramEnd"/>
      <w:r w:rsidRPr="006D7E12">
        <w:rPr>
          <w:rFonts w:ascii="Arial" w:eastAsia="Times New Roman" w:hAnsi="Arial" w:cs="Arial"/>
          <w:bCs/>
          <w:lang w:val="es-MX" w:eastAsia="es-CO"/>
        </w:rPr>
        <w:t xml:space="preserve"> de las prohibiciones anotadas, así como la cesión de los mismos, pueden tener lugar en el período de </w:t>
      </w:r>
      <w:r w:rsidRPr="006D7E12">
        <w:rPr>
          <w:rFonts w:ascii="Arial" w:eastAsia="Times New Roman" w:hAnsi="Arial" w:cs="Arial"/>
          <w:bCs/>
          <w:lang w:val="es-MX" w:eastAsia="es-CO"/>
        </w:rPr>
        <w:lastRenderedPageBreak/>
        <w:t>aplicación de la Ley de Garantías, sin que ello haga nugatoria la restricción de la contratación directa y siempre que cumplan los principios de planeación, transparencia y responsabilidad.</w:t>
      </w:r>
      <w:bookmarkEnd w:id="35"/>
    </w:p>
    <w:p w14:paraId="538EC56E" w14:textId="77777777" w:rsidR="000576C3" w:rsidRPr="006D7E12" w:rsidRDefault="000576C3" w:rsidP="000576C3">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 xml:space="preserve">De otro lado, </w:t>
      </w:r>
      <w:bookmarkStart w:id="36" w:name="_Hlk99577887"/>
      <w:bookmarkStart w:id="37" w:name="_Hlk100679762"/>
      <w:r w:rsidRPr="006D7E12">
        <w:rPr>
          <w:rFonts w:ascii="Arial" w:eastAsia="Times New Roman" w:hAnsi="Arial" w:cs="Arial"/>
          <w:bCs/>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6D7E12">
        <w:rPr>
          <w:rFonts w:ascii="Arial" w:eastAsia="Times New Roman" w:hAnsi="Arial" w:cs="Arial"/>
          <w:bCs/>
          <w:lang w:val="es-MX" w:eastAsia="x-none"/>
        </w:rPr>
        <w:t>ii</w:t>
      </w:r>
      <w:proofErr w:type="spellEnd"/>
      <w:r w:rsidRPr="006D7E12">
        <w:rPr>
          <w:rFonts w:ascii="Arial" w:eastAsia="Times New Roman" w:hAnsi="Arial" w:cs="Arial"/>
          <w:bCs/>
          <w:lang w:val="es-MX" w:eastAsia="x-none"/>
        </w:rPr>
        <w:t xml:space="preserve">) los contratos de crédito público; </w:t>
      </w:r>
      <w:proofErr w:type="spellStart"/>
      <w:r w:rsidRPr="006D7E12">
        <w:rPr>
          <w:rFonts w:ascii="Arial" w:eastAsia="Times New Roman" w:hAnsi="Arial" w:cs="Arial"/>
          <w:bCs/>
          <w:lang w:val="es-MX" w:eastAsia="x-none"/>
        </w:rPr>
        <w:t>iii</w:t>
      </w:r>
      <w:proofErr w:type="spellEnd"/>
      <w:r w:rsidRPr="006D7E12">
        <w:rPr>
          <w:rFonts w:ascii="Arial" w:eastAsia="Times New Roman" w:hAnsi="Arial" w:cs="Arial"/>
          <w:bCs/>
          <w:lang w:val="es-MX" w:eastAsia="x-none"/>
        </w:rPr>
        <w:t xml:space="preserve">) los requeridos para cubrir las emergencias educativas, sanitarias y desastres; </w:t>
      </w:r>
      <w:proofErr w:type="spellStart"/>
      <w:r w:rsidRPr="006D7E12">
        <w:rPr>
          <w:rFonts w:ascii="Arial" w:eastAsia="Times New Roman" w:hAnsi="Arial" w:cs="Arial"/>
          <w:bCs/>
          <w:lang w:val="es-MX" w:eastAsia="x-none"/>
        </w:rPr>
        <w:t>iv</w:t>
      </w:r>
      <w:proofErr w:type="spellEnd"/>
      <w:r w:rsidRPr="006D7E12">
        <w:rPr>
          <w:rFonts w:ascii="Arial" w:eastAsia="Times New Roman" w:hAnsi="Arial"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7E12">
        <w:rPr>
          <w:rFonts w:ascii="Arial" w:eastAsia="Times New Roman" w:hAnsi="Arial" w:cs="Arial"/>
          <w:bCs/>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6"/>
    </w:p>
    <w:bookmarkEnd w:id="37"/>
    <w:p w14:paraId="2738E5C1" w14:textId="77777777" w:rsidR="000576C3" w:rsidRPr="006D7E12" w:rsidRDefault="000576C3" w:rsidP="000576C3">
      <w:pPr>
        <w:spacing w:after="0" w:line="276" w:lineRule="auto"/>
        <w:ind w:firstLine="708"/>
        <w:jc w:val="both"/>
        <w:rPr>
          <w:rFonts w:ascii="Arial" w:eastAsia="Times New Roman" w:hAnsi="Arial" w:cs="Arial"/>
          <w:bCs/>
          <w:lang w:val="es-MX" w:eastAsia="x-none"/>
        </w:rPr>
      </w:pPr>
      <w:r w:rsidRPr="006D7E12">
        <w:rPr>
          <w:rFonts w:ascii="Arial" w:eastAsia="Times New Roman" w:hAnsi="Arial" w:cs="Arial"/>
          <w:bCs/>
          <w:lang w:val="es-MX" w:eastAsia="x-none"/>
        </w:rPr>
        <w:t>En esta labor es importante tener en cuenta, como lo anotó la Corte Constitucional, en Sentencia C-1153 de noviembre 11 de 2005</w:t>
      </w:r>
      <w:r w:rsidRPr="006D7E12">
        <w:rPr>
          <w:rFonts w:ascii="Calibri" w:eastAsia="Calibri" w:hAnsi="Calibri" w:cs="Times New Roman"/>
          <w:sz w:val="24"/>
          <w:lang w:val="es-MX"/>
        </w:rPr>
        <w:t>,</w:t>
      </w:r>
      <w:r w:rsidRPr="006D7E12">
        <w:rPr>
          <w:rFonts w:ascii="Arial" w:eastAsia="Times New Roman" w:hAnsi="Arial" w:cs="Arial"/>
          <w:bCs/>
          <w:lang w:val="es-MX" w:eastAsia="x-none"/>
        </w:rPr>
        <w:t xml:space="preserve"> </w:t>
      </w:r>
      <w:bookmarkStart w:id="38" w:name="_Hlk74309042"/>
      <w:r w:rsidRPr="006D7E12">
        <w:rPr>
          <w:rFonts w:ascii="Arial" w:eastAsia="Times New Roman" w:hAnsi="Arial" w:cs="Arial"/>
          <w:bCs/>
          <w:lang w:val="es-MX" w:eastAsia="x-none"/>
        </w:rPr>
        <w:t>que «</w:t>
      </w:r>
      <w:bookmarkEnd w:id="38"/>
      <w:r w:rsidRPr="006D7E12">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39" w:name="_Hlk75768308"/>
      <w:r w:rsidRPr="006D7E12">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40" w:name="_Hlk74309060"/>
      <w:r w:rsidRPr="006D7E12">
        <w:rPr>
          <w:rFonts w:ascii="Arial" w:eastAsia="Times New Roman" w:hAnsi="Arial" w:cs="Arial"/>
          <w:bCs/>
          <w:lang w:val="es-MX" w:eastAsia="x-none"/>
        </w:rPr>
        <w:t>»</w:t>
      </w:r>
      <w:bookmarkEnd w:id="40"/>
      <w:r w:rsidRPr="006D7E12">
        <w:rPr>
          <w:rFonts w:ascii="Arial" w:eastAsia="Calibri" w:hAnsi="Arial" w:cs="Arial"/>
          <w:vertAlign w:val="superscript"/>
          <w:lang w:val="es-MX"/>
        </w:rPr>
        <w:footnoteReference w:id="19"/>
      </w:r>
      <w:r w:rsidRPr="006D7E12">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1" w:name="_Hlk75783800"/>
      <w:bookmarkEnd w:id="39"/>
    </w:p>
    <w:p w14:paraId="4CD2D9F4" w14:textId="77777777" w:rsidR="000576C3" w:rsidRPr="006D7E12" w:rsidRDefault="000576C3" w:rsidP="000576C3">
      <w:pPr>
        <w:spacing w:after="0" w:line="276" w:lineRule="auto"/>
        <w:ind w:firstLine="708"/>
        <w:jc w:val="both"/>
        <w:rPr>
          <w:rFonts w:ascii="Arial" w:eastAsia="Times New Roman" w:hAnsi="Arial" w:cs="Arial"/>
          <w:bCs/>
          <w:lang w:val="es-MX" w:eastAsia="x-none"/>
        </w:rPr>
      </w:pPr>
    </w:p>
    <w:p w14:paraId="5000525C" w14:textId="77777777" w:rsidR="000576C3" w:rsidRPr="006D7E12" w:rsidRDefault="000576C3" w:rsidP="000576C3">
      <w:pPr>
        <w:spacing w:after="0" w:line="276" w:lineRule="auto"/>
        <w:jc w:val="both"/>
        <w:rPr>
          <w:rFonts w:ascii="Arial" w:eastAsia="Times New Roman" w:hAnsi="Arial" w:cs="Arial"/>
          <w:b/>
          <w:lang w:val="es-MX" w:eastAsia="x-none"/>
        </w:rPr>
      </w:pPr>
      <w:r w:rsidRPr="006D7E12">
        <w:rPr>
          <w:rFonts w:ascii="Arial" w:eastAsia="Times New Roman" w:hAnsi="Arial" w:cs="Arial"/>
          <w:b/>
          <w:lang w:val="es-MX" w:eastAsia="x-none"/>
        </w:rPr>
        <w:t>2.3.  Destinatarios de la restricción del artículo 33 de la Ley 996 de 2005</w:t>
      </w:r>
    </w:p>
    <w:p w14:paraId="376482C4" w14:textId="77777777" w:rsidR="000576C3" w:rsidRPr="006D7E12" w:rsidRDefault="000576C3" w:rsidP="000576C3">
      <w:pPr>
        <w:spacing w:after="0" w:line="276" w:lineRule="auto"/>
        <w:jc w:val="both"/>
        <w:rPr>
          <w:rFonts w:ascii="Arial" w:eastAsia="Times New Roman" w:hAnsi="Arial" w:cs="Arial"/>
          <w:bCs/>
          <w:lang w:val="es-MX" w:eastAsia="x-none"/>
        </w:rPr>
      </w:pPr>
    </w:p>
    <w:p w14:paraId="25F96FE6" w14:textId="77777777" w:rsidR="000576C3" w:rsidRPr="006D7E12" w:rsidRDefault="000576C3" w:rsidP="000576C3">
      <w:pPr>
        <w:spacing w:after="0" w:line="276" w:lineRule="auto"/>
        <w:jc w:val="both"/>
        <w:rPr>
          <w:rFonts w:ascii="Arial" w:eastAsia="Times New Roman" w:hAnsi="Arial" w:cs="Arial"/>
          <w:bCs/>
          <w:lang w:val="es-MX" w:eastAsia="x-none"/>
        </w:rPr>
      </w:pPr>
      <w:bookmarkStart w:id="42" w:name="_Hlk99578018"/>
      <w:r w:rsidRPr="006D7E12">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 xml:space="preserve">En efecto, como ha sostenido el Consejo de Estado, el vocablo </w:t>
      </w:r>
      <w:bookmarkStart w:id="43" w:name="_Hlk75632581"/>
      <w:r w:rsidRPr="006D7E12">
        <w:rPr>
          <w:rFonts w:ascii="Arial" w:eastAsia="Times New Roman" w:hAnsi="Arial" w:cs="Arial"/>
          <w:bCs/>
          <w:lang w:val="es-MX" w:eastAsia="x-none"/>
        </w:rPr>
        <w:t>«</w:t>
      </w:r>
      <w:bookmarkEnd w:id="43"/>
      <w:r w:rsidRPr="006D7E12">
        <w:rPr>
          <w:rFonts w:ascii="Arial" w:eastAsia="Times New Roman" w:hAnsi="Arial" w:cs="Arial"/>
          <w:bCs/>
          <w:lang w:val="es-MX" w:eastAsia="x-none"/>
        </w:rPr>
        <w:t>todos» utilizado por el legislador comprende</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41"/>
      <w:r w:rsidRPr="006D7E12">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42"/>
      <w:r w:rsidRPr="006D7E12">
        <w:rPr>
          <w:rFonts w:ascii="Arial" w:eastAsia="Times New Roman" w:hAnsi="Arial" w:cs="Arial"/>
          <w:bCs/>
          <w:lang w:val="es-MX" w:eastAsia="x-none"/>
        </w:rPr>
        <w:t xml:space="preserve">El Consejo de Estado, en Concepto con radicado 1727 de fecha 20 de febrero de 2006, consideró que: </w:t>
      </w:r>
    </w:p>
    <w:p w14:paraId="6D468419" w14:textId="77777777" w:rsidR="000576C3" w:rsidRPr="006D7E12" w:rsidRDefault="000576C3" w:rsidP="000576C3">
      <w:pPr>
        <w:spacing w:after="0" w:line="276" w:lineRule="auto"/>
        <w:ind w:firstLine="708"/>
        <w:contextualSpacing/>
        <w:jc w:val="both"/>
        <w:rPr>
          <w:rFonts w:ascii="Arial" w:eastAsia="Times New Roman" w:hAnsi="Arial" w:cs="Arial"/>
          <w:bCs/>
          <w:lang w:val="es-MX" w:eastAsia="x-none"/>
        </w:rPr>
      </w:pPr>
    </w:p>
    <w:p w14:paraId="4546A01A" w14:textId="77777777" w:rsidR="000576C3" w:rsidRPr="006D7E12" w:rsidRDefault="000576C3" w:rsidP="000576C3">
      <w:pPr>
        <w:spacing w:after="0" w:line="240" w:lineRule="auto"/>
        <w:ind w:left="708"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x-none"/>
        </w:rPr>
        <w:lastRenderedPageBreak/>
        <w:t xml:space="preserve">El artículo 33 de la ley 996 de 2005, </w:t>
      </w:r>
      <w:bookmarkStart w:id="44" w:name="_Hlk75787147"/>
      <w:r w:rsidRPr="006D7E12">
        <w:rPr>
          <w:rFonts w:ascii="Arial" w:eastAsia="Times New Roman" w:hAnsi="Arial" w:cs="Arial"/>
          <w:bCs/>
          <w:sz w:val="21"/>
          <w:szCs w:val="21"/>
          <w:lang w:val="es-MX" w:eastAsia="x-none"/>
        </w:rPr>
        <w:t xml:space="preserve">efectivamente se aplica </w:t>
      </w:r>
      <w:bookmarkStart w:id="45" w:name="_Hlk76074089"/>
      <w:r w:rsidRPr="006D7E12">
        <w:rPr>
          <w:rFonts w:ascii="Arial" w:eastAsia="Times New Roman"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45"/>
      <w:r w:rsidRPr="006D7E12">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D7E12">
        <w:rPr>
          <w:rFonts w:ascii="Arial" w:eastAsia="Times New Roman" w:hAnsi="Arial" w:cs="Arial"/>
          <w:bCs/>
          <w:sz w:val="21"/>
          <w:szCs w:val="21"/>
          <w:vertAlign w:val="superscript"/>
          <w:lang w:val="es-MX" w:eastAsia="x-none"/>
        </w:rPr>
        <w:footnoteReference w:id="20"/>
      </w:r>
      <w:r w:rsidRPr="006D7E12">
        <w:rPr>
          <w:rFonts w:ascii="Arial" w:eastAsia="Times New Roman" w:hAnsi="Arial" w:cs="Arial"/>
          <w:bCs/>
          <w:sz w:val="21"/>
          <w:szCs w:val="21"/>
          <w:lang w:val="es-MX" w:eastAsia="x-none"/>
        </w:rPr>
        <w:t>.</w:t>
      </w:r>
      <w:r w:rsidRPr="006D7E12">
        <w:rPr>
          <w:rFonts w:ascii="Arial" w:eastAsia="Times New Roman" w:hAnsi="Arial" w:cs="Arial"/>
          <w:bCs/>
          <w:sz w:val="21"/>
          <w:szCs w:val="21"/>
          <w:lang w:val="es-MX" w:eastAsia="es-CO"/>
        </w:rPr>
        <w:t xml:space="preserve"> </w:t>
      </w:r>
    </w:p>
    <w:p w14:paraId="4178EA60" w14:textId="77777777" w:rsidR="000576C3" w:rsidRPr="006D7E12" w:rsidRDefault="000576C3" w:rsidP="000576C3">
      <w:pPr>
        <w:spacing w:after="0" w:line="276" w:lineRule="auto"/>
        <w:ind w:firstLine="708"/>
        <w:contextualSpacing/>
        <w:jc w:val="both"/>
        <w:rPr>
          <w:rFonts w:ascii="Arial" w:eastAsia="Times New Roman" w:hAnsi="Arial" w:cs="Arial"/>
          <w:bCs/>
          <w:lang w:val="es-MX" w:eastAsia="es-CO"/>
        </w:rPr>
      </w:pPr>
    </w:p>
    <w:p w14:paraId="56C4320D" w14:textId="77777777" w:rsidR="000576C3" w:rsidRPr="006D7E12" w:rsidRDefault="000576C3" w:rsidP="000576C3">
      <w:pPr>
        <w:spacing w:after="0" w:line="276" w:lineRule="auto"/>
        <w:ind w:firstLine="708"/>
        <w:contextualSpacing/>
        <w:jc w:val="both"/>
        <w:rPr>
          <w:rFonts w:ascii="Arial" w:eastAsia="Calibri" w:hAnsi="Arial" w:cs="Arial"/>
          <w:lang w:val="es-MX"/>
        </w:rPr>
      </w:pPr>
      <w:r w:rsidRPr="006D7E12">
        <w:rPr>
          <w:rFonts w:ascii="Arial" w:eastAsia="Times New Roman" w:hAnsi="Arial"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6" w:name="_Hlk75635823"/>
      <w:r w:rsidRPr="006D7E12">
        <w:rPr>
          <w:rFonts w:ascii="Arial" w:eastAsia="Times New Roman" w:hAnsi="Arial" w:cs="Arial"/>
          <w:bCs/>
          <w:lang w:val="es-MX" w:eastAsia="x-none"/>
        </w:rPr>
        <w:t>»</w:t>
      </w:r>
      <w:bookmarkStart w:id="47" w:name="_Hlk75758868"/>
      <w:bookmarkStart w:id="48" w:name="_Hlk75741220"/>
      <w:bookmarkEnd w:id="46"/>
      <w:r w:rsidRPr="006D7E12">
        <w:rPr>
          <w:rFonts w:ascii="Arial" w:eastAsia="Calibri" w:hAnsi="Arial" w:cs="Arial"/>
          <w:sz w:val="24"/>
          <w:vertAlign w:val="superscript"/>
          <w:lang w:val="es-MX"/>
        </w:rPr>
        <w:footnoteReference w:id="21"/>
      </w:r>
      <w:bookmarkEnd w:id="47"/>
      <w:bookmarkEnd w:id="48"/>
      <w:r w:rsidRPr="006D7E12">
        <w:rPr>
          <w:rFonts w:ascii="Arial" w:eastAsia="Times New Roman" w:hAnsi="Arial" w:cs="Arial"/>
          <w:bCs/>
          <w:lang w:val="es-MX" w:eastAsia="x-none"/>
        </w:rPr>
        <w:t>.</w:t>
      </w:r>
      <w:r w:rsidRPr="006D7E12">
        <w:rPr>
          <w:rFonts w:ascii="Arial" w:eastAsia="Calibri" w:hAnsi="Arial" w:cs="Arial"/>
          <w:lang w:val="es-MX"/>
        </w:rPr>
        <w:t xml:space="preserve"> Sin embargo, debe precisarse el siguiente aspecto que distinguió la Sala de Consulta y Servicio Civil:</w:t>
      </w:r>
    </w:p>
    <w:p w14:paraId="3FC0FA02" w14:textId="77777777" w:rsidR="000576C3" w:rsidRPr="006D7E12" w:rsidRDefault="000576C3" w:rsidP="000576C3">
      <w:pPr>
        <w:spacing w:after="0" w:line="276" w:lineRule="auto"/>
        <w:contextualSpacing/>
        <w:jc w:val="both"/>
        <w:rPr>
          <w:rFonts w:ascii="Arial" w:eastAsia="Calibri" w:hAnsi="Arial" w:cs="Arial"/>
          <w:lang w:val="es-MX"/>
        </w:rPr>
      </w:pPr>
    </w:p>
    <w:p w14:paraId="6943FE08" w14:textId="77777777" w:rsidR="000576C3" w:rsidRPr="006D7E12" w:rsidRDefault="000576C3" w:rsidP="000576C3">
      <w:pPr>
        <w:spacing w:after="0" w:line="240" w:lineRule="auto"/>
        <w:ind w:left="708" w:right="709"/>
        <w:contextualSpacing/>
        <w:jc w:val="both"/>
        <w:rPr>
          <w:rFonts w:ascii="Arial" w:eastAsia="Calibri" w:hAnsi="Arial" w:cs="Arial"/>
          <w:sz w:val="21"/>
          <w:szCs w:val="21"/>
          <w:lang w:val="es-MX"/>
        </w:rPr>
      </w:pPr>
      <w:bookmarkStart w:id="50" w:name="_Hlk75811446"/>
      <w:r w:rsidRPr="006D7E12">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0"/>
      <w:r w:rsidRPr="006D7E12">
        <w:rPr>
          <w:rFonts w:ascii="Arial" w:eastAsia="Calibri" w:hAnsi="Arial" w:cs="Arial"/>
          <w:sz w:val="24"/>
          <w:vertAlign w:val="superscript"/>
          <w:lang w:val="es-MX"/>
        </w:rPr>
        <w:footnoteReference w:id="22"/>
      </w:r>
      <w:r w:rsidRPr="006D7E12">
        <w:rPr>
          <w:rFonts w:ascii="Arial" w:eastAsia="Times New Roman" w:hAnsi="Arial" w:cs="Arial"/>
          <w:bCs/>
          <w:lang w:val="es-MX" w:eastAsia="x-none"/>
        </w:rPr>
        <w:t>.</w:t>
      </w:r>
    </w:p>
    <w:p w14:paraId="70757AE7" w14:textId="77777777" w:rsidR="000576C3" w:rsidRPr="006D7E12" w:rsidRDefault="000576C3" w:rsidP="000576C3">
      <w:pPr>
        <w:spacing w:after="0" w:line="276" w:lineRule="auto"/>
        <w:contextualSpacing/>
        <w:jc w:val="both"/>
        <w:rPr>
          <w:rFonts w:ascii="Arial" w:eastAsia="Calibri" w:hAnsi="Arial" w:cs="Arial"/>
          <w:lang w:val="es-MX"/>
        </w:rPr>
      </w:pPr>
    </w:p>
    <w:p w14:paraId="65F8F5BD" w14:textId="77777777" w:rsidR="000576C3" w:rsidRPr="006D7E12" w:rsidRDefault="000576C3" w:rsidP="000576C3">
      <w:pPr>
        <w:spacing w:after="120" w:line="276" w:lineRule="auto"/>
        <w:ind w:firstLine="709"/>
        <w:jc w:val="both"/>
        <w:rPr>
          <w:rFonts w:ascii="Arial" w:eastAsia="Times New Roman" w:hAnsi="Arial" w:cs="Arial"/>
          <w:bCs/>
          <w:lang w:val="es-MX" w:eastAsia="x-none"/>
        </w:rPr>
      </w:pPr>
      <w:r w:rsidRPr="006D7E12">
        <w:rPr>
          <w:rFonts w:ascii="Arial" w:eastAsia="Calibri" w:hAnsi="Arial" w:cs="Arial"/>
          <w:lang w:val="es-MX"/>
        </w:rPr>
        <w:t>Aplicando este razonamiento,</w:t>
      </w:r>
      <w:bookmarkStart w:id="51" w:name="_Hlk75811096"/>
      <w:r w:rsidRPr="006D7E12">
        <w:rPr>
          <w:rFonts w:ascii="Arial" w:eastAsia="Calibri" w:hAnsi="Arial" w:cs="Arial"/>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w:t>
      </w:r>
      <w:r w:rsidRPr="006D7E12">
        <w:rPr>
          <w:rFonts w:ascii="Arial" w:eastAsia="Calibri" w:hAnsi="Arial" w:cs="Arial"/>
          <w:lang w:val="es-MX"/>
        </w:rPr>
        <w:lastRenderedPageBreak/>
        <w:t>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1"/>
      <w:r w:rsidRPr="006D7E12">
        <w:rPr>
          <w:rFonts w:ascii="Arial" w:eastAsia="Calibri" w:hAnsi="Arial" w:cs="Arial"/>
          <w:lang w:val="es-MX"/>
        </w:rPr>
        <w:t>»</w:t>
      </w:r>
      <w:r w:rsidRPr="006D7E12">
        <w:rPr>
          <w:rFonts w:ascii="Arial" w:eastAsia="Calibri" w:hAnsi="Arial" w:cs="Arial"/>
          <w:sz w:val="24"/>
          <w:vertAlign w:val="superscript"/>
          <w:lang w:val="es-MX"/>
        </w:rPr>
        <w:t xml:space="preserve"> </w:t>
      </w:r>
      <w:r w:rsidRPr="006D7E12">
        <w:rPr>
          <w:rFonts w:ascii="Arial" w:eastAsia="Calibri" w:hAnsi="Arial" w:cs="Arial"/>
          <w:vertAlign w:val="superscript"/>
          <w:lang w:val="es-MX"/>
        </w:rPr>
        <w:footnoteReference w:id="23"/>
      </w:r>
      <w:r w:rsidRPr="006D7E12">
        <w:rPr>
          <w:rFonts w:ascii="Arial" w:eastAsia="Calibri" w:hAnsi="Arial" w:cs="Arial"/>
          <w:lang w:val="es-MX"/>
        </w:rPr>
        <w:t>.</w:t>
      </w:r>
    </w:p>
    <w:p w14:paraId="1AF83D63" w14:textId="77777777" w:rsidR="000576C3" w:rsidRPr="006D7E12" w:rsidRDefault="000576C3" w:rsidP="000576C3">
      <w:pPr>
        <w:spacing w:after="0" w:line="276" w:lineRule="auto"/>
        <w:ind w:firstLine="708"/>
        <w:jc w:val="both"/>
        <w:rPr>
          <w:rFonts w:ascii="Arial" w:eastAsia="Times New Roman" w:hAnsi="Arial" w:cs="Arial"/>
          <w:bCs/>
          <w:lang w:val="es-MX" w:eastAsia="x-none"/>
        </w:rPr>
      </w:pPr>
      <w:bookmarkStart w:id="52" w:name="_Hlk77237229"/>
      <w:bookmarkEnd w:id="44"/>
      <w:r w:rsidRPr="006D7E12">
        <w:rPr>
          <w:rFonts w:ascii="Arial" w:eastAsia="Calibri" w:hAnsi="Arial" w:cs="Arial"/>
          <w:lang w:val="es-MX"/>
        </w:rPr>
        <w:t>Por lo tanto, la restricción prevista en la Ley 996 de 200</w:t>
      </w:r>
      <w:bookmarkStart w:id="53" w:name="_Hlk75741539"/>
      <w:r w:rsidRPr="006D7E12">
        <w:rPr>
          <w:rFonts w:ascii="Arial" w:eastAsia="Calibri" w:hAnsi="Arial" w:cs="Arial"/>
          <w:lang w:val="es-MX"/>
        </w:rPr>
        <w:t xml:space="preserve">5, </w:t>
      </w:r>
      <w:r w:rsidRPr="006D7E12">
        <w:rPr>
          <w:rFonts w:ascii="Arial" w:eastAsia="Times New Roman" w:hAnsi="Arial" w:cs="Arial"/>
          <w:bCs/>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52"/>
    <w:bookmarkEnd w:id="53"/>
    <w:p w14:paraId="4057BDC1" w14:textId="77777777" w:rsidR="000576C3" w:rsidRPr="006D7E12" w:rsidRDefault="000576C3" w:rsidP="000576C3">
      <w:pPr>
        <w:spacing w:after="0" w:line="276" w:lineRule="auto"/>
        <w:jc w:val="both"/>
        <w:rPr>
          <w:rFonts w:ascii="Arial" w:eastAsia="Calibri" w:hAnsi="Arial" w:cs="Arial"/>
          <w:lang w:val="es-MX"/>
        </w:rPr>
      </w:pPr>
    </w:p>
    <w:p w14:paraId="01177733" w14:textId="77777777" w:rsidR="000576C3" w:rsidRPr="006D7E12" w:rsidRDefault="000576C3" w:rsidP="000576C3">
      <w:pPr>
        <w:spacing w:after="0" w:line="276" w:lineRule="auto"/>
        <w:jc w:val="both"/>
        <w:rPr>
          <w:rFonts w:ascii="Arial" w:eastAsia="Arial" w:hAnsi="Arial" w:cs="Arial"/>
          <w:b/>
          <w:bCs/>
          <w:lang w:val="es-ES" w:eastAsia="es-ES" w:bidi="es-ES"/>
        </w:rPr>
      </w:pPr>
      <w:bookmarkStart w:id="54" w:name="_Hlk75784645"/>
      <w:r w:rsidRPr="006D7E12">
        <w:rPr>
          <w:rFonts w:ascii="Arial" w:eastAsia="Calibri" w:hAnsi="Arial" w:cs="Arial"/>
          <w:b/>
          <w:bCs/>
          <w:lang w:val="es-MX"/>
        </w:rPr>
        <w:t xml:space="preserve">2.4. </w:t>
      </w:r>
      <w:bookmarkEnd w:id="54"/>
      <w:r w:rsidRPr="006D7E12">
        <w:rPr>
          <w:rFonts w:ascii="Arial" w:eastAsia="Arial" w:hAnsi="Arial" w:cs="Arial"/>
          <w:b/>
          <w:bCs/>
          <w:lang w:val="es-ES" w:eastAsia="es-ES" w:bidi="es-ES"/>
        </w:rPr>
        <w:t>Convenios de asociación y restricciones de la Ley de Garantías Electorales</w:t>
      </w:r>
    </w:p>
    <w:p w14:paraId="7C448A15" w14:textId="77777777" w:rsidR="000576C3" w:rsidRPr="006D7E12" w:rsidRDefault="000576C3" w:rsidP="000576C3">
      <w:pPr>
        <w:spacing w:after="0" w:line="276" w:lineRule="auto"/>
        <w:contextualSpacing/>
        <w:jc w:val="both"/>
        <w:rPr>
          <w:rFonts w:ascii="Arial" w:eastAsia="Arial" w:hAnsi="Arial" w:cs="Arial"/>
          <w:b/>
          <w:bCs/>
          <w:lang w:val="es-ES" w:eastAsia="es-ES" w:bidi="es-ES"/>
        </w:rPr>
      </w:pPr>
    </w:p>
    <w:p w14:paraId="6C724E6C" w14:textId="77777777" w:rsidR="000576C3" w:rsidRPr="006D7E12" w:rsidRDefault="000576C3" w:rsidP="000576C3">
      <w:pPr>
        <w:spacing w:line="276" w:lineRule="auto"/>
        <w:jc w:val="both"/>
        <w:rPr>
          <w:rFonts w:ascii="Arial" w:eastAsia="Calibri" w:hAnsi="Arial" w:cs="Arial"/>
          <w:bCs/>
          <w:lang w:val="es-ES_tradnl"/>
        </w:rPr>
      </w:pPr>
      <w:r w:rsidRPr="006D7E12">
        <w:rPr>
          <w:rFonts w:ascii="Arial" w:eastAsia="Calibri" w:hAnsi="Arial"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6D7E12">
        <w:rPr>
          <w:rStyle w:val="Refdenotaalpie"/>
          <w:rFonts w:ascii="Arial" w:hAnsi="Arial" w:cs="Arial"/>
        </w:rPr>
        <w:footnoteReference w:id="24"/>
      </w:r>
      <w:r w:rsidRPr="006D7E12">
        <w:rPr>
          <w:rFonts w:ascii="Arial" w:eastAsia="Calibri" w:hAnsi="Arial"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6D7E12">
        <w:rPr>
          <w:rStyle w:val="Refdenotaalpie"/>
          <w:rFonts w:ascii="Arial" w:eastAsia="Calibri" w:hAnsi="Arial" w:cs="Arial"/>
          <w:bCs/>
          <w:lang w:val="es-ES_tradnl"/>
        </w:rPr>
        <w:footnoteReference w:id="25"/>
      </w:r>
      <w:r w:rsidRPr="006D7E12">
        <w:rPr>
          <w:rFonts w:ascii="Arial" w:eastAsia="Calibri" w:hAnsi="Arial" w:cs="Arial"/>
          <w:bCs/>
          <w:lang w:val="es-ES_tradnl"/>
        </w:rPr>
        <w:t>.</w:t>
      </w:r>
    </w:p>
    <w:p w14:paraId="78378848" w14:textId="77777777" w:rsidR="000576C3" w:rsidRPr="006D7E12" w:rsidRDefault="000576C3" w:rsidP="000576C3">
      <w:pPr>
        <w:spacing w:before="120" w:after="120" w:line="276" w:lineRule="auto"/>
        <w:ind w:firstLine="709"/>
        <w:jc w:val="both"/>
        <w:rPr>
          <w:rFonts w:ascii="Arial" w:eastAsia="Calibri" w:hAnsi="Arial" w:cs="Arial"/>
          <w:bCs/>
          <w:lang w:val="es-ES_tradnl"/>
        </w:rPr>
      </w:pPr>
      <w:bookmarkStart w:id="56" w:name="_Hlk38819155"/>
      <w:bookmarkStart w:id="57" w:name="_Hlk100680299"/>
      <w:r w:rsidRPr="006D7E12">
        <w:rPr>
          <w:rFonts w:ascii="Arial" w:eastAsia="Calibri" w:hAnsi="Arial" w:cs="Arial"/>
          <w:bCs/>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6D7E12">
        <w:rPr>
          <w:rFonts w:ascii="Arial" w:eastAsia="Calibri" w:hAnsi="Arial" w:cs="Arial"/>
          <w:bCs/>
          <w:lang w:val="es-ES_tradnl"/>
        </w:rPr>
        <w:t>ii</w:t>
      </w:r>
      <w:proofErr w:type="spellEnd"/>
      <w:r w:rsidRPr="006D7E12">
        <w:rPr>
          <w:rFonts w:ascii="Arial" w:eastAsia="Calibri" w:hAnsi="Arial" w:cs="Arial"/>
          <w:bCs/>
          <w:lang w:val="es-ES_tradnl"/>
        </w:rPr>
        <w:t xml:space="preserve">) los convenios de asociación, para el desarrollo conjunto de actividades relacionadas con las funciones de las entidades estatales, en desarrollo del artículo 96 de la Ley 489 de 1998. </w:t>
      </w:r>
      <w:bookmarkEnd w:id="56"/>
    </w:p>
    <w:p w14:paraId="05742686" w14:textId="77777777" w:rsidR="000576C3" w:rsidRPr="006D7E12" w:rsidRDefault="000576C3" w:rsidP="000576C3">
      <w:pPr>
        <w:spacing w:before="120" w:after="120" w:line="276" w:lineRule="auto"/>
        <w:ind w:firstLine="709"/>
        <w:jc w:val="both"/>
        <w:rPr>
          <w:rFonts w:ascii="Arial" w:eastAsia="Calibri" w:hAnsi="Arial" w:cs="Arial"/>
          <w:bCs/>
          <w:lang w:val="es-ES_tradnl"/>
        </w:rPr>
      </w:pPr>
      <w:bookmarkStart w:id="58" w:name="_Hlk95756032"/>
      <w:bookmarkEnd w:id="57"/>
      <w:r w:rsidRPr="006D7E12">
        <w:rPr>
          <w:rFonts w:ascii="Arial" w:eastAsia="Calibri" w:hAnsi="Arial" w:cs="Arial"/>
          <w:bCs/>
          <w:lang w:val="es-ES_tradnl"/>
        </w:rPr>
        <w:lastRenderedPageBreak/>
        <w:t xml:space="preserve">Los </w:t>
      </w:r>
      <w:r w:rsidRPr="006D7E12">
        <w:rPr>
          <w:rFonts w:ascii="Arial" w:eastAsia="Calibri" w:hAnsi="Arial" w:cs="Arial"/>
          <w:bCs/>
          <w:i/>
          <w:lang w:val="es-ES_tradnl"/>
        </w:rPr>
        <w:t>contratos del artículo 355 de la Constitución Política</w:t>
      </w:r>
      <w:r w:rsidRPr="006D7E12">
        <w:rPr>
          <w:rFonts w:ascii="Arial" w:eastAsia="Calibri" w:hAnsi="Arial" w:cs="Arial"/>
          <w:bCs/>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6D7E12">
        <w:rPr>
          <w:rFonts w:ascii="Arial" w:eastAsia="Calibri" w:hAnsi="Arial" w:cs="Arial"/>
          <w:bCs/>
          <w:lang w:val="es-ES_tradnl"/>
        </w:rPr>
        <w:t>ii</w:t>
      </w:r>
      <w:proofErr w:type="spellEnd"/>
      <w:r w:rsidRPr="006D7E12">
        <w:rPr>
          <w:rFonts w:ascii="Arial" w:eastAsia="Calibri" w:hAnsi="Arial" w:cs="Arial"/>
          <w:bCs/>
          <w:lang w:val="es-ES_tradnl"/>
        </w:rPr>
        <w:t>)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58"/>
    <w:p w14:paraId="53F6999A" w14:textId="77777777" w:rsidR="000576C3" w:rsidRPr="006D7E12" w:rsidRDefault="000576C3" w:rsidP="000576C3">
      <w:pPr>
        <w:spacing w:before="120" w:after="120" w:line="276" w:lineRule="auto"/>
        <w:ind w:firstLine="709"/>
        <w:jc w:val="both"/>
        <w:rPr>
          <w:rFonts w:ascii="Arial" w:eastAsia="Calibri" w:hAnsi="Arial" w:cs="Arial"/>
          <w:bCs/>
          <w:lang w:val="es-ES_tradnl"/>
        </w:rPr>
      </w:pPr>
      <w:r w:rsidRPr="006D7E12">
        <w:rPr>
          <w:rFonts w:ascii="Arial" w:eastAsia="Calibri" w:hAnsi="Arial" w:cs="Arial"/>
          <w:bCs/>
          <w:lang w:val="es-ES_tradnl"/>
        </w:rPr>
        <w:t xml:space="preserve">De otro lado, los </w:t>
      </w:r>
      <w:r w:rsidRPr="006D7E12">
        <w:rPr>
          <w:rFonts w:ascii="Arial" w:eastAsia="Calibri" w:hAnsi="Arial" w:cs="Arial"/>
          <w:bCs/>
          <w:i/>
          <w:lang w:val="es-ES_tradnl"/>
        </w:rPr>
        <w:t>convenios de asociación</w:t>
      </w:r>
      <w:r w:rsidRPr="006D7E12">
        <w:rPr>
          <w:rFonts w:ascii="Arial" w:eastAsia="Calibri" w:hAnsi="Arial" w:cs="Arial"/>
          <w:bCs/>
          <w:lang w:val="es-ES_tradnl"/>
        </w:rPr>
        <w:t xml:space="preserve"> «[t]</w:t>
      </w:r>
      <w:proofErr w:type="spellStart"/>
      <w:r w:rsidRPr="006D7E12">
        <w:rPr>
          <w:rFonts w:ascii="Arial" w:eastAsia="Calibri" w:hAnsi="Arial" w:cs="Arial"/>
          <w:bCs/>
          <w:lang w:val="es-ES_tradnl"/>
        </w:rPr>
        <w:t>ienen</w:t>
      </w:r>
      <w:proofErr w:type="spellEnd"/>
      <w:r w:rsidRPr="006D7E12">
        <w:rPr>
          <w:rFonts w:ascii="Arial" w:eastAsia="Calibri" w:hAnsi="Arial"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6D7E12">
        <w:rPr>
          <w:rStyle w:val="Refdenotaalpie"/>
          <w:rFonts w:ascii="Arial" w:hAnsi="Arial" w:cs="Arial"/>
        </w:rPr>
        <w:footnoteReference w:id="26"/>
      </w:r>
      <w:r w:rsidRPr="006D7E12">
        <w:rPr>
          <w:rFonts w:ascii="Arial" w:eastAsia="Calibri" w:hAnsi="Arial"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por lo que la entidad no instruye al contratista para desarrollar los programas o actividades previstas, sino que se asocia con él para el cumplimiento de objetivos comunes</w:t>
      </w:r>
      <w:r w:rsidRPr="006D7E12">
        <w:rPr>
          <w:rStyle w:val="Refdenotaalpie"/>
          <w:rFonts w:ascii="Arial" w:hAnsi="Arial" w:cs="Arial"/>
        </w:rPr>
        <w:footnoteReference w:id="27"/>
      </w:r>
      <w:r w:rsidRPr="006D7E12">
        <w:rPr>
          <w:rFonts w:ascii="Arial" w:eastAsia="Calibri" w:hAnsi="Arial" w:cs="Arial"/>
          <w:bCs/>
          <w:lang w:val="es-ES_tradnl"/>
        </w:rPr>
        <w:t>.</w:t>
      </w:r>
    </w:p>
    <w:p w14:paraId="366F8841" w14:textId="77777777" w:rsidR="000576C3" w:rsidRPr="006D7E12" w:rsidRDefault="000576C3" w:rsidP="000576C3">
      <w:pPr>
        <w:spacing w:before="120" w:after="120" w:line="276" w:lineRule="auto"/>
        <w:ind w:firstLine="709"/>
        <w:jc w:val="both"/>
        <w:rPr>
          <w:rFonts w:ascii="Arial" w:eastAsia="Calibri" w:hAnsi="Arial" w:cs="Arial"/>
          <w:bCs/>
        </w:rPr>
      </w:pPr>
      <w:r w:rsidRPr="006D7E12">
        <w:rPr>
          <w:rFonts w:ascii="Arial" w:eastAsia="Calibri" w:hAnsi="Arial" w:cs="Arial"/>
          <w:bCs/>
          <w:lang w:val="es-ES_tradnl"/>
        </w:rPr>
        <w:t>La normativa vigente no impide que varias entidades suscriban conjuntamente el convenio de asociación y tampoco que dos o más ESAL puedan hacerlo, a través de las figuras asociativas autorizadas por la ley, por ejemplo, como unión temporal o como consorcio</w:t>
      </w:r>
      <w:r w:rsidRPr="006D7E12">
        <w:rPr>
          <w:rStyle w:val="Refdenotaalpie"/>
          <w:rFonts w:ascii="Arial" w:eastAsia="Calibri" w:hAnsi="Arial" w:cs="Arial"/>
        </w:rPr>
        <w:footnoteReference w:id="28"/>
      </w:r>
      <w:r w:rsidRPr="006D7E12">
        <w:rPr>
          <w:rFonts w:ascii="Arial" w:eastAsia="Calibri" w:hAnsi="Arial" w:cs="Arial"/>
          <w:bCs/>
        </w:rPr>
        <w:t xml:space="preserve">. Sin embargo, como el artículo 96 de la Ley 489 de 1998 determina que el convenio busca el desarrollo conjunto de actividades en relación con los cometidos y funciones que la ley les asigna a las entidades </w:t>
      </w:r>
      <w:r w:rsidRPr="006D7E12">
        <w:rPr>
          <w:rFonts w:ascii="Arial" w:eastAsia="Calibri" w:hAnsi="Arial" w:cs="Arial"/>
          <w:bCs/>
        </w:rPr>
        <w:lastRenderedPageBreak/>
        <w:t>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6FCB013F" w14:textId="77777777" w:rsidR="000576C3" w:rsidRPr="006D7E12" w:rsidRDefault="000576C3" w:rsidP="000576C3">
      <w:pPr>
        <w:spacing w:before="120" w:after="120" w:line="276" w:lineRule="auto"/>
        <w:ind w:firstLine="709"/>
        <w:jc w:val="both"/>
        <w:rPr>
          <w:rFonts w:ascii="Arial" w:hAnsi="Arial" w:cs="Arial"/>
          <w:color w:val="000000" w:themeColor="text1"/>
        </w:rPr>
      </w:pPr>
      <w:r w:rsidRPr="006D7E12">
        <w:rPr>
          <w:rFonts w:ascii="Arial" w:hAnsi="Arial" w:cs="Arial"/>
          <w:color w:val="000000" w:themeColor="text1"/>
        </w:rPr>
        <w:t xml:space="preserve">La noción «seleccionar de forma objetiva», contenida en la disposición </w:t>
      </w:r>
      <w:r w:rsidRPr="006D7E12">
        <w:rPr>
          <w:rFonts w:ascii="Arial" w:hAnsi="Arial" w:cs="Arial"/>
          <w:i/>
          <w:iCs/>
          <w:color w:val="000000" w:themeColor="text1"/>
        </w:rPr>
        <w:t xml:space="preserve">sub examine </w:t>
      </w:r>
      <w:r w:rsidRPr="006D7E12">
        <w:rPr>
          <w:rFonts w:ascii="Arial" w:hAnsi="Arial" w:cs="Arial"/>
          <w:color w:val="000000" w:themeColor="text1"/>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59FBD3B5" w14:textId="77777777" w:rsidR="000576C3" w:rsidRPr="006D7E12" w:rsidRDefault="000576C3" w:rsidP="000576C3">
      <w:pPr>
        <w:spacing w:before="120" w:after="120" w:line="276" w:lineRule="auto"/>
        <w:ind w:firstLine="709"/>
        <w:jc w:val="both"/>
        <w:rPr>
          <w:rFonts w:ascii="Arial" w:hAnsi="Arial" w:cs="Arial"/>
        </w:rPr>
      </w:pPr>
      <w:r w:rsidRPr="006D7E12">
        <w:rPr>
          <w:rFonts w:ascii="Arial" w:hAnsi="Arial" w:cs="Aria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 </w:t>
      </w:r>
    </w:p>
    <w:p w14:paraId="2CF5B07B" w14:textId="77777777" w:rsidR="000576C3" w:rsidRPr="006D7E12" w:rsidRDefault="000576C3" w:rsidP="000576C3">
      <w:pPr>
        <w:spacing w:after="120" w:line="276" w:lineRule="auto"/>
        <w:ind w:firstLine="709"/>
        <w:jc w:val="both"/>
        <w:rPr>
          <w:rFonts w:ascii="Arial" w:eastAsia="Calibri" w:hAnsi="Arial" w:cs="Arial"/>
        </w:rPr>
      </w:pPr>
      <w:r w:rsidRPr="006D7E12">
        <w:rPr>
          <w:rFonts w:ascii="Arial" w:hAnsi="Arial" w:cs="Arial"/>
        </w:rPr>
        <w:t>Ahora bien, e</w:t>
      </w:r>
      <w:r w:rsidRPr="006D7E12">
        <w:rPr>
          <w:rFonts w:ascii="Arial" w:eastAsia="Calibri" w:hAnsi="Arial" w:cs="Arial"/>
        </w:rPr>
        <w:t>l Consejo de Estado, en el Auto del 6 de agosto de 2019 de la Sección Tercera, Subsección A –</w:t>
      </w:r>
      <w:proofErr w:type="spellStart"/>
      <w:r w:rsidRPr="006D7E12">
        <w:rPr>
          <w:rFonts w:ascii="Arial" w:eastAsia="Calibri" w:hAnsi="Arial" w:cs="Arial"/>
        </w:rPr>
        <w:t>Exp</w:t>
      </w:r>
      <w:proofErr w:type="spellEnd"/>
      <w:r w:rsidRPr="006D7E12">
        <w:rPr>
          <w:rFonts w:ascii="Arial" w:eastAsia="Calibri" w:hAnsi="Arial" w:cs="Arial"/>
        </w:rPr>
        <w:t>. 62.003–, estudió la solicitud de suspensión provisional</w:t>
      </w:r>
      <w:r w:rsidRPr="006D7E12">
        <w:rPr>
          <w:rStyle w:val="Refdenotaalpie"/>
          <w:rFonts w:ascii="Arial" w:eastAsia="Calibri" w:hAnsi="Arial" w:cs="Arial"/>
        </w:rPr>
        <w:footnoteReference w:id="29"/>
      </w:r>
      <w:r w:rsidRPr="006D7E12">
        <w:rPr>
          <w:rFonts w:ascii="Arial" w:eastAsia="Calibri" w:hAnsi="Arial" w:cs="Arial"/>
        </w:rPr>
        <w:t xml:space="preserve"> del inciso 2 del artículo 1, literales a y c del artículo 2, inciso 5 del artículo 2, inciso 2 del artículo 3, inciso final del artículo 4 y artículo 5 del Decreto 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6D7E12">
        <w:rPr>
          <w:rFonts w:ascii="Arial" w:eastAsia="Calibri" w:hAnsi="Arial" w:cs="Arial"/>
          <w:i/>
          <w:iCs/>
        </w:rPr>
        <w:t>convenio de asociación</w:t>
      </w:r>
      <w:r w:rsidRPr="006D7E12">
        <w:rPr>
          <w:rFonts w:ascii="Arial" w:eastAsia="Calibri" w:hAnsi="Arial" w:cs="Arial"/>
        </w:rPr>
        <w:t xml:space="preserve"> con ESAL de reconocida idoneidad para el cumplimiento de las funciones </w:t>
      </w:r>
      <w:r w:rsidRPr="006D7E12">
        <w:rPr>
          <w:rFonts w:ascii="Arial" w:eastAsia="Calibri" w:hAnsi="Arial" w:cs="Arial"/>
        </w:rPr>
        <w:lastRenderedPageBreak/>
        <w:t xml:space="preserve">que la ley les asigna a las entidades públicas, debe aplicarse lo dispuesto en el artículo 5 del Decreto 092 de 2017. </w:t>
      </w:r>
    </w:p>
    <w:p w14:paraId="68801D79" w14:textId="77777777" w:rsidR="000576C3" w:rsidRPr="006D7E12" w:rsidRDefault="000576C3" w:rsidP="000576C3">
      <w:pPr>
        <w:spacing w:line="276" w:lineRule="auto"/>
        <w:ind w:firstLine="709"/>
        <w:jc w:val="both"/>
        <w:rPr>
          <w:rFonts w:ascii="Arial" w:hAnsi="Arial" w:cs="Arial"/>
          <w:bCs/>
          <w:color w:val="000000"/>
          <w:lang w:eastAsia="es-CO"/>
        </w:rPr>
      </w:pPr>
      <w:r w:rsidRPr="006D7E12">
        <w:rPr>
          <w:rFonts w:ascii="Arial" w:eastAsia="Calibri" w:hAnsi="Arial" w:cs="Arial"/>
          <w:color w:val="000000" w:themeColor="text1"/>
        </w:rPr>
        <w:t xml:space="preserve">En este contexto, para la restricción del artículo 33 de la </w:t>
      </w:r>
      <w:r w:rsidRPr="006D7E12">
        <w:rPr>
          <w:rFonts w:ascii="Arial" w:hAnsi="Arial" w:cs="Arial"/>
          <w:bCs/>
          <w:color w:val="000000"/>
          <w:lang w:eastAsia="es-CO"/>
        </w:rPr>
        <w:t xml:space="preserve">Ley 996 de 2005 es necesario considerar que </w:t>
      </w:r>
      <w:r w:rsidRPr="006D7E12">
        <w:rPr>
          <w:rFonts w:ascii="Arial" w:eastAsia="Calibri" w:hAnsi="Arial" w:cs="Arial"/>
          <w:lang w:val="es-ES"/>
        </w:rPr>
        <w:t>el Decreto 092 de 2017</w:t>
      </w:r>
      <w:r w:rsidRPr="006D7E12">
        <w:rPr>
          <w:rFonts w:ascii="Arial" w:hAnsi="Arial" w:cs="Arial"/>
          <w:bCs/>
          <w:color w:val="000000"/>
          <w:lang w:eastAsia="es-CO"/>
        </w:rPr>
        <w:t xml:space="preserve"> consagra un régimen jurídico que exceptúa la aplicación del Estatuto General de Contratación de la Administración Pública. Pese a lo anterior, 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6D7E12">
        <w:rPr>
          <w:rFonts w:ascii="Arial" w:hAnsi="Arial" w:cs="Arial"/>
          <w:bCs/>
          <w:i/>
          <w:iCs/>
          <w:color w:val="00000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6D7E12">
        <w:rPr>
          <w:rFonts w:ascii="Arial" w:hAnsi="Arial" w:cs="Arial"/>
          <w:bCs/>
          <w:color w:val="000000"/>
          <w:lang w:eastAsia="es-CO"/>
        </w:rPr>
        <w:t>»</w:t>
      </w:r>
      <w:r w:rsidRPr="006D7E12">
        <w:rPr>
          <w:rStyle w:val="Refdenotaalpie"/>
          <w:rFonts w:ascii="Arial" w:hAnsi="Arial" w:cs="Arial"/>
          <w:bCs/>
          <w:color w:val="000000"/>
          <w:lang w:eastAsia="es-CO"/>
        </w:rPr>
        <w:footnoteReference w:id="30"/>
      </w:r>
      <w:r w:rsidRPr="006D7E12">
        <w:rPr>
          <w:rFonts w:ascii="Arial" w:hAnsi="Arial" w:cs="Arial"/>
          <w:bCs/>
          <w:color w:val="000000"/>
          <w:lang w:eastAsia="es-CO"/>
        </w:rPr>
        <w:t xml:space="preserve"> (Énfasis fuera de texto). </w:t>
      </w:r>
    </w:p>
    <w:p w14:paraId="15F78D0B" w14:textId="77777777" w:rsidR="000576C3" w:rsidRPr="007C4DF6" w:rsidRDefault="000576C3" w:rsidP="000576C3">
      <w:pPr>
        <w:spacing w:line="276" w:lineRule="auto"/>
        <w:ind w:firstLine="709"/>
        <w:jc w:val="both"/>
        <w:rPr>
          <w:rFonts w:ascii="Arial" w:hAnsi="Arial" w:cs="Arial"/>
          <w:bCs/>
          <w:color w:val="000000"/>
          <w:lang w:eastAsia="es-CO"/>
        </w:rPr>
      </w:pPr>
      <w:bookmarkStart w:id="59" w:name="_Hlk100680351"/>
      <w:r w:rsidRPr="006D7E12">
        <w:rPr>
          <w:rFonts w:ascii="Arial" w:hAnsi="Arial" w:cs="Arial"/>
          <w:bCs/>
          <w:color w:val="000000"/>
          <w:lang w:eastAsia="es-CO"/>
        </w:rPr>
        <w:t xml:space="preserve">Por tanto, durante la vigencia de la prohibición del artículo 33 de la Ley 996 de 2005 –sin perjuicio de las excepciones dispuestas en el inciso segundo </w:t>
      </w:r>
      <w:r w:rsidRPr="006D7E12">
        <w:rPr>
          <w:rFonts w:ascii="Arial" w:hAnsi="Arial" w:cs="Arial"/>
          <w:bCs/>
          <w:i/>
          <w:iCs/>
          <w:color w:val="000000"/>
          <w:lang w:eastAsia="es-CO"/>
        </w:rPr>
        <w:t>ibidem</w:t>
      </w:r>
      <w:r w:rsidRPr="006D7E12">
        <w:rPr>
          <w:rFonts w:ascii="Arial" w:hAnsi="Arial" w:cs="Arial"/>
          <w:bCs/>
          <w:color w:val="000000"/>
          <w:lang w:eastAsia="es-CO"/>
        </w:rPr>
        <w:t xml:space="preserve">– está restringida cualquier modalidad de selección que excluya la pluralidad de oferentes. Respecto al régimen de contratación de las ESAL, esto es congruente con el numeral 15.4 de </w:t>
      </w:r>
      <w:r w:rsidRPr="006D7E12">
        <w:rPr>
          <w:rFonts w:ascii="Arial" w:eastAsia="Arial" w:hAnsi="Arial" w:cs="Arial"/>
          <w:lang w:val="es-ES" w:eastAsia="es-ES" w:bidi="es-ES"/>
        </w:rPr>
        <w:t>la Circular Externa Única de Colombia Compra Eficiente, en el entendido que «</w:t>
      </w:r>
      <w:r w:rsidRPr="006D7E12">
        <w:rPr>
          <w:rFonts w:ascii="Arial" w:eastAsia="Arial" w:hAnsi="Arial" w:cs="Arial"/>
          <w:lang w:eastAsia="es-ES" w:bidi="es-ES"/>
        </w:rPr>
        <w:t>Se encuentran restringidas las contrataciones que en el marco del Decreto 092 de 2017 se realicen a través de procesos no competitivos […]». Por el contrario, «Los procesos competitivos que se adelanten en el marco del Decreto 092 de 2017 no se encuentran restringidos por la Ley de Garantías».</w:t>
      </w:r>
      <w:bookmarkEnd w:id="59"/>
      <w:r>
        <w:rPr>
          <w:rFonts w:ascii="Arial" w:hAnsi="Arial" w:cs="Arial"/>
          <w:bCs/>
          <w:color w:val="000000"/>
          <w:lang w:eastAsia="es-CO"/>
        </w:rPr>
        <w:t xml:space="preserve"> </w:t>
      </w:r>
      <w:r w:rsidRPr="006D7E12">
        <w:rPr>
          <w:rFonts w:ascii="Arial" w:eastAsia="Calibri" w:hAnsi="Arial" w:cs="Arial"/>
          <w:color w:val="000000" w:themeColor="text1"/>
          <w:lang w:val="es-ES"/>
        </w:rPr>
        <w:t xml:space="preserve">De esta manera, respecto a la celebración de convenios con ESAL en vigencia de la restricción del artículo 33 de la Ley de Garantías, se concluye que, esto solo será posible cuando dicho tipo de acuerdos se realicen a través de la modalidad </w:t>
      </w:r>
      <w:r w:rsidRPr="006D7E12">
        <w:rPr>
          <w:rFonts w:ascii="Arial" w:eastAsia="Calibri" w:hAnsi="Arial" w:cs="Arial"/>
          <w:i/>
          <w:iCs/>
          <w:color w:val="000000" w:themeColor="text1"/>
          <w:lang w:val="es-ES"/>
        </w:rPr>
        <w:t>competitiva</w:t>
      </w:r>
      <w:r w:rsidRPr="006D7E12">
        <w:rPr>
          <w:rFonts w:ascii="Arial" w:eastAsia="Calibri" w:hAnsi="Arial" w:cs="Arial"/>
          <w:color w:val="000000" w:themeColor="text1"/>
          <w:lang w:val="es-ES"/>
        </w:rPr>
        <w:t xml:space="preserve">, mientras que la celebración de este tipo de convenios en la modalidad </w:t>
      </w:r>
      <w:r w:rsidRPr="006D7E12">
        <w:rPr>
          <w:rFonts w:ascii="Arial" w:eastAsia="Calibri" w:hAnsi="Arial" w:cs="Arial"/>
          <w:i/>
          <w:iCs/>
          <w:color w:val="000000" w:themeColor="text1"/>
          <w:lang w:val="es-ES"/>
        </w:rPr>
        <w:t>no competitiva</w:t>
      </w:r>
      <w:r w:rsidRPr="006D7E12">
        <w:rPr>
          <w:rFonts w:ascii="Arial" w:eastAsia="Calibri" w:hAnsi="Arial" w:cs="Arial"/>
          <w:color w:val="000000" w:themeColor="text1"/>
          <w:lang w:val="es-ES"/>
        </w:rPr>
        <w:t xml:space="preserve"> sí estaría prohibida durante el periodo de esta restricción. </w:t>
      </w:r>
    </w:p>
    <w:p w14:paraId="54EA898E" w14:textId="77777777" w:rsidR="000576C3" w:rsidRPr="006D7E12" w:rsidRDefault="000576C3" w:rsidP="000576C3">
      <w:pPr>
        <w:spacing w:after="0" w:line="276" w:lineRule="auto"/>
        <w:contextualSpacing/>
        <w:jc w:val="both"/>
        <w:rPr>
          <w:rFonts w:ascii="Arial" w:eastAsia="Calibri" w:hAnsi="Arial" w:cs="Arial"/>
          <w:b/>
        </w:rPr>
      </w:pPr>
      <w:r w:rsidRPr="006D7E12">
        <w:rPr>
          <w:rFonts w:ascii="Arial" w:eastAsia="Calibri" w:hAnsi="Arial" w:cs="Arial"/>
          <w:b/>
        </w:rPr>
        <w:t>3. Respuesta</w:t>
      </w:r>
    </w:p>
    <w:p w14:paraId="44ABED05" w14:textId="77777777" w:rsidR="000576C3" w:rsidRPr="006D7E12" w:rsidRDefault="000576C3" w:rsidP="000576C3">
      <w:pPr>
        <w:spacing w:after="0" w:line="276" w:lineRule="auto"/>
        <w:contextualSpacing/>
        <w:jc w:val="both"/>
        <w:rPr>
          <w:rFonts w:ascii="Arial" w:eastAsia="Calibri" w:hAnsi="Arial" w:cs="Arial"/>
          <w:bCs/>
        </w:rPr>
      </w:pPr>
    </w:p>
    <w:p w14:paraId="12B0A9E4" w14:textId="77777777" w:rsidR="000576C3" w:rsidRPr="004B3376" w:rsidRDefault="000576C3" w:rsidP="000576C3">
      <w:pPr>
        <w:spacing w:after="0" w:line="240" w:lineRule="auto"/>
        <w:ind w:left="709" w:right="709"/>
        <w:jc w:val="both"/>
        <w:rPr>
          <w:rFonts w:ascii="Arial" w:eastAsia="Times New Roman" w:hAnsi="Arial" w:cs="Arial"/>
          <w:sz w:val="21"/>
          <w:szCs w:val="21"/>
          <w:shd w:val="clear" w:color="auto" w:fill="FFFFFF"/>
          <w:lang w:eastAsia="es-CO"/>
        </w:rPr>
      </w:pPr>
      <w:bookmarkStart w:id="60" w:name="_Hlk57650395"/>
      <w:r w:rsidRPr="004B3376">
        <w:rPr>
          <w:rFonts w:ascii="Arial" w:eastAsia="Times New Roman" w:hAnsi="Arial" w:cs="Arial"/>
          <w:sz w:val="21"/>
          <w:szCs w:val="21"/>
          <w:shd w:val="clear" w:color="auto" w:fill="FFFFFF"/>
          <w:lang w:eastAsia="es-CO"/>
        </w:rPr>
        <w:t>“Generar un concepto sobre la aplicación de la Ley de Garantías sobre los convenios de asociación suscritos entre los Municipios de Santander y los Centros de Protección del Adulto Mayor y el giro de recursos de estampilla del adulto mayor”.</w:t>
      </w:r>
    </w:p>
    <w:p w14:paraId="1E7257D6" w14:textId="77777777" w:rsidR="000576C3" w:rsidRPr="006D7E12" w:rsidRDefault="000576C3" w:rsidP="000576C3">
      <w:pPr>
        <w:spacing w:after="0" w:line="276" w:lineRule="auto"/>
        <w:ind w:right="709"/>
        <w:jc w:val="both"/>
        <w:rPr>
          <w:rFonts w:ascii="Arial" w:eastAsia="Times New Roman" w:hAnsi="Arial" w:cs="Arial"/>
          <w:shd w:val="clear" w:color="auto" w:fill="FFFFFF"/>
          <w:lang w:eastAsia="es-CO"/>
        </w:rPr>
      </w:pPr>
    </w:p>
    <w:p w14:paraId="23A07593" w14:textId="77777777" w:rsidR="000576C3" w:rsidRDefault="000576C3" w:rsidP="000576C3">
      <w:pPr>
        <w:spacing w:after="120" w:line="276" w:lineRule="auto"/>
        <w:jc w:val="both"/>
        <w:rPr>
          <w:rFonts w:ascii="Arial" w:eastAsia="Arial" w:hAnsi="Arial" w:cs="Arial"/>
          <w:bCs/>
          <w:color w:val="1A1A1A" w:themeColor="background1" w:themeShade="1A"/>
          <w:lang w:val="es-MX"/>
        </w:rPr>
      </w:pPr>
      <w:r w:rsidRPr="006D7E12">
        <w:rPr>
          <w:rFonts w:ascii="Arial" w:eastAsia="Times New Roman" w:hAnsi="Arial" w:cs="Arial"/>
          <w:bCs/>
          <w:lang w:val="es-MX" w:eastAsia="es-CO"/>
        </w:rPr>
        <w:t xml:space="preserve">De acuerdo con la interpretación de las normas generales del sistema de compras públicas, sin perjuicio de </w:t>
      </w:r>
      <w:r w:rsidRPr="006D7E12">
        <w:rPr>
          <w:rFonts w:ascii="Arial" w:eastAsia="Times New Roman" w:hAnsi="Arial" w:cs="Arial"/>
          <w:bCs/>
          <w:lang w:val="es-ES" w:eastAsia="es-CO"/>
        </w:rPr>
        <w:t>cada entidad defina la viabilidad técnica, jurídica y financiera de celebrar determinado contrato estatal en específico</w:t>
      </w:r>
      <w:r w:rsidRPr="006D7E12">
        <w:rPr>
          <w:rFonts w:ascii="Arial" w:eastAsia="Times New Roman" w:hAnsi="Arial" w:cs="Arial"/>
          <w:bCs/>
          <w:lang w:val="es-MX" w:eastAsia="es-CO"/>
        </w:rPr>
        <w:t>,</w:t>
      </w:r>
      <w:r w:rsidRPr="006D7E12" w:rsidDel="00BF36EC">
        <w:rPr>
          <w:rFonts w:ascii="Arial" w:eastAsia="Times New Roman" w:hAnsi="Arial" w:cs="Arial"/>
          <w:bCs/>
          <w:lang w:val="es-MX" w:eastAsia="es-CO"/>
        </w:rPr>
        <w:t xml:space="preserve"> </w:t>
      </w:r>
      <w:r w:rsidRPr="00386B37">
        <w:rPr>
          <w:rFonts w:ascii="Arial" w:eastAsia="Arial" w:hAnsi="Arial" w:cs="Arial"/>
          <w:bCs/>
          <w:color w:val="1A1A1A" w:themeColor="background1" w:themeShade="1A"/>
          <w:lang w:val="es-ES_tradnl"/>
        </w:rPr>
        <w:t xml:space="preserve">el artículo 33 de la Ley 996 de 2005 establece una restricción en atención a la cual, durante los cuatro meses anteriores a la elección presidencial y hasta la </w:t>
      </w:r>
      <w:r w:rsidRPr="00386B37">
        <w:rPr>
          <w:rFonts w:ascii="Arial" w:eastAsia="Arial" w:hAnsi="Arial" w:cs="Arial"/>
          <w:bCs/>
          <w:color w:val="1A1A1A" w:themeColor="background1" w:themeShade="1A"/>
          <w:lang w:val="es-ES_tradnl"/>
        </w:rPr>
        <w:lastRenderedPageBreak/>
        <w:t xml:space="preserve">realización de la elección en la segunda vuelta, si fuere el caso, está prohibida la contratación directa por parte de todos las Entidades Estatales. </w:t>
      </w:r>
      <w:r w:rsidRPr="00386B37">
        <w:rPr>
          <w:rFonts w:ascii="Arial" w:eastAsia="Arial" w:hAnsi="Arial" w:cs="Arial"/>
          <w:bCs/>
          <w:color w:val="1A1A1A" w:themeColor="background1" w:themeShade="1A"/>
          <w:lang w:val="es-MX"/>
        </w:rPr>
        <w:t>Los destinatarios de la prohibición son «todos los entes del Estado», expresión que contempla a los diferentes organismos o entidades autorizadas por la ley para suscribir contratos. En efecto, como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DCB5128" w14:textId="77777777" w:rsidR="000576C3" w:rsidRPr="006310DB" w:rsidRDefault="000576C3" w:rsidP="000576C3">
      <w:pPr>
        <w:spacing w:after="120" w:line="276" w:lineRule="auto"/>
        <w:ind w:firstLine="709"/>
        <w:jc w:val="both"/>
        <w:rPr>
          <w:rFonts w:ascii="Arial" w:hAnsi="Arial" w:cs="Arial"/>
          <w:bCs/>
          <w:lang w:val="es-MX" w:eastAsia="x-none"/>
        </w:rPr>
      </w:pPr>
      <w:r>
        <w:rPr>
          <w:rFonts w:ascii="Arial" w:hAnsi="Arial" w:cs="Arial"/>
          <w:bCs/>
          <w:lang w:val="es-MX" w:eastAsia="x-none"/>
        </w:rPr>
        <w:t>P</w:t>
      </w:r>
      <w:r w:rsidRPr="00CB3E91">
        <w:rPr>
          <w:rFonts w:ascii="Arial" w:hAnsi="Arial" w:cs="Arial"/>
          <w:bCs/>
          <w:lang w:val="es-MX" w:eastAsia="x-none"/>
        </w:rPr>
        <w:t>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B3E91">
        <w:rPr>
          <w:rFonts w:ascii="Arial" w:hAnsi="Arial" w:cs="Arial"/>
          <w:vertAlign w:val="superscript"/>
          <w:lang w:eastAsia="x-none"/>
        </w:rPr>
        <w:t xml:space="preserve"> </w:t>
      </w:r>
      <w:r w:rsidRPr="00CB3E91">
        <w:rPr>
          <w:rFonts w:ascii="Arial"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B3E91">
        <w:rPr>
          <w:rFonts w:ascii="Arial" w:hAnsi="Arial" w:cs="Arial"/>
          <w:lang w:eastAsia="x-none"/>
        </w:rPr>
        <w:t xml:space="preserve"> </w:t>
      </w:r>
    </w:p>
    <w:p w14:paraId="5BF553AE" w14:textId="77777777" w:rsidR="000576C3" w:rsidRPr="00CB3E91" w:rsidRDefault="000576C3" w:rsidP="000576C3">
      <w:pPr>
        <w:spacing w:after="120" w:line="276" w:lineRule="auto"/>
        <w:ind w:firstLine="709"/>
        <w:jc w:val="both"/>
        <w:rPr>
          <w:rFonts w:ascii="Arial" w:hAnsi="Arial" w:cs="Arial"/>
          <w:bCs/>
          <w:lang w:val="es-MX" w:eastAsia="es-CO"/>
        </w:rPr>
      </w:pPr>
      <w:r w:rsidRPr="00CB3E91">
        <w:rPr>
          <w:rFonts w:ascii="Arial" w:hAnsi="Arial" w:cs="Arial"/>
          <w:bCs/>
          <w:lang w:val="es-MX" w:eastAsia="x-none"/>
        </w:rPr>
        <w:t xml:space="preserve">De otro lado,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CB3E91">
        <w:rPr>
          <w:rFonts w:ascii="Arial" w:hAnsi="Arial" w:cs="Arial"/>
          <w:bCs/>
          <w:lang w:val="es-MX" w:eastAsia="x-none"/>
        </w:rPr>
        <w:t>ii</w:t>
      </w:r>
      <w:proofErr w:type="spellEnd"/>
      <w:r w:rsidRPr="00CB3E91">
        <w:rPr>
          <w:rFonts w:ascii="Arial" w:hAnsi="Arial" w:cs="Arial"/>
          <w:bCs/>
          <w:lang w:val="es-MX" w:eastAsia="x-none"/>
        </w:rPr>
        <w:t xml:space="preserve">) los contratos de crédito público; </w:t>
      </w:r>
      <w:proofErr w:type="spellStart"/>
      <w:r w:rsidRPr="00CB3E91">
        <w:rPr>
          <w:rFonts w:ascii="Arial" w:hAnsi="Arial" w:cs="Arial"/>
          <w:bCs/>
          <w:lang w:val="es-MX" w:eastAsia="x-none"/>
        </w:rPr>
        <w:t>iii</w:t>
      </w:r>
      <w:proofErr w:type="spellEnd"/>
      <w:r w:rsidRPr="00CB3E91">
        <w:rPr>
          <w:rFonts w:ascii="Arial" w:hAnsi="Arial" w:cs="Arial"/>
          <w:bCs/>
          <w:lang w:val="es-MX" w:eastAsia="x-none"/>
        </w:rPr>
        <w:t xml:space="preserve">) los requeridos para cubrir las emergencias educativas, sanitarias y desastres; </w:t>
      </w:r>
      <w:proofErr w:type="spellStart"/>
      <w:r w:rsidRPr="00CB3E91">
        <w:rPr>
          <w:rFonts w:ascii="Arial" w:hAnsi="Arial" w:cs="Arial"/>
          <w:bCs/>
          <w:lang w:val="es-MX" w:eastAsia="x-none"/>
        </w:rPr>
        <w:t>iv</w:t>
      </w:r>
      <w:proofErr w:type="spellEnd"/>
      <w:r w:rsidRPr="00CB3E91">
        <w:rPr>
          <w:rFonts w:ascii="Arial" w:hAnsi="Arial"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B3E91">
        <w:rPr>
          <w:rFonts w:ascii="Arial" w:hAnsi="Arial" w:cs="Arial"/>
          <w:bCs/>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D98267B" w14:textId="77777777" w:rsidR="000576C3" w:rsidRPr="006D7E12" w:rsidRDefault="000576C3" w:rsidP="000576C3">
      <w:pPr>
        <w:spacing w:line="276" w:lineRule="auto"/>
        <w:ind w:firstLine="709"/>
        <w:jc w:val="both"/>
        <w:rPr>
          <w:rFonts w:ascii="Arial" w:hAnsi="Arial" w:cs="Arial"/>
          <w:bCs/>
          <w:color w:val="000000"/>
          <w:lang w:eastAsia="es-CO"/>
        </w:rPr>
      </w:pPr>
      <w:r w:rsidRPr="006D7E12">
        <w:rPr>
          <w:rFonts w:ascii="Arial" w:eastAsia="Calibri" w:hAnsi="Arial" w:cs="Arial"/>
          <w:color w:val="000000" w:themeColor="text1"/>
        </w:rPr>
        <w:t>En este contexto,</w:t>
      </w:r>
      <w:r>
        <w:rPr>
          <w:rFonts w:ascii="Arial" w:eastAsia="Calibri" w:hAnsi="Arial" w:cs="Arial"/>
          <w:color w:val="000000" w:themeColor="text1"/>
        </w:rPr>
        <w:t xml:space="preserve"> </w:t>
      </w:r>
      <w:bookmarkStart w:id="61" w:name="_Hlk103006433"/>
      <w:r>
        <w:rPr>
          <w:rFonts w:ascii="Arial" w:eastAsia="Calibri" w:hAnsi="Arial" w:cs="Arial"/>
          <w:color w:val="000000" w:themeColor="text1"/>
        </w:rPr>
        <w:t xml:space="preserve">tratándose de los convenios de asociación del artículo 96 de la Ley 489 de 1998 y </w:t>
      </w:r>
      <w:r w:rsidRPr="006D7E12">
        <w:rPr>
          <w:rFonts w:ascii="Arial" w:eastAsia="Calibri" w:hAnsi="Arial" w:cs="Arial"/>
          <w:color w:val="000000" w:themeColor="text1"/>
        </w:rPr>
        <w:t xml:space="preserve">la restricción del artículo 33 de la </w:t>
      </w:r>
      <w:r w:rsidRPr="006D7E12">
        <w:rPr>
          <w:rFonts w:ascii="Arial" w:hAnsi="Arial" w:cs="Arial"/>
          <w:bCs/>
          <w:color w:val="000000"/>
          <w:lang w:eastAsia="es-CO"/>
        </w:rPr>
        <w:t>Ley 996 de 2005</w:t>
      </w:r>
      <w:r>
        <w:rPr>
          <w:rFonts w:ascii="Arial" w:hAnsi="Arial" w:cs="Arial"/>
          <w:bCs/>
          <w:color w:val="000000"/>
          <w:lang w:eastAsia="es-CO"/>
        </w:rPr>
        <w:t>,</w:t>
      </w:r>
      <w:r w:rsidRPr="006D7E12">
        <w:rPr>
          <w:rFonts w:ascii="Arial" w:hAnsi="Arial" w:cs="Arial"/>
          <w:bCs/>
          <w:color w:val="000000"/>
          <w:lang w:eastAsia="es-CO"/>
        </w:rPr>
        <w:t xml:space="preserve"> es necesario considerar que </w:t>
      </w:r>
      <w:r w:rsidRPr="006D7E12">
        <w:rPr>
          <w:rFonts w:ascii="Arial" w:eastAsia="Calibri" w:hAnsi="Arial" w:cs="Arial"/>
          <w:lang w:val="es-ES"/>
        </w:rPr>
        <w:t>el Decreto 092 de 2017</w:t>
      </w:r>
      <w:r w:rsidRPr="006D7E12">
        <w:rPr>
          <w:rFonts w:ascii="Arial" w:hAnsi="Arial" w:cs="Arial"/>
          <w:bCs/>
          <w:color w:val="000000"/>
          <w:lang w:eastAsia="es-CO"/>
        </w:rPr>
        <w:t xml:space="preserve"> consagra un régimen jurídico que exceptúa la aplicación del Estatuto General de Contratación de la Administración Pública. Pese a lo anterior, 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6D7E12">
        <w:rPr>
          <w:rFonts w:ascii="Arial" w:hAnsi="Arial" w:cs="Arial"/>
          <w:bCs/>
          <w:i/>
          <w:iCs/>
          <w:color w:val="000000"/>
          <w:lang w:eastAsia="es-CO"/>
        </w:rPr>
        <w:t xml:space="preserve">sin que se tenga en cuenta por el legislador estatutario el régimen de contratación aplicable, ya sea contenido en el Estatuto General de Contratación de la </w:t>
      </w:r>
      <w:r w:rsidRPr="006D7E12">
        <w:rPr>
          <w:rFonts w:ascii="Arial" w:hAnsi="Arial" w:cs="Arial"/>
          <w:bCs/>
          <w:i/>
          <w:iCs/>
          <w:color w:val="000000"/>
          <w:lang w:eastAsia="es-CO"/>
        </w:rPr>
        <w:lastRenderedPageBreak/>
        <w:t>Administración Pública o uno especial en razón del objeto, del contrato o del órgano que contrata</w:t>
      </w:r>
      <w:r w:rsidRPr="006D7E12">
        <w:rPr>
          <w:rFonts w:ascii="Arial" w:hAnsi="Arial" w:cs="Arial"/>
          <w:bCs/>
          <w:color w:val="000000"/>
          <w:lang w:eastAsia="es-CO"/>
        </w:rPr>
        <w:t xml:space="preserve">» (Énfasis fuera de texto). </w:t>
      </w:r>
    </w:p>
    <w:p w14:paraId="01092896" w14:textId="77777777" w:rsidR="000576C3" w:rsidRDefault="000576C3" w:rsidP="000576C3">
      <w:pPr>
        <w:spacing w:after="0" w:line="276" w:lineRule="auto"/>
        <w:ind w:firstLine="708"/>
        <w:jc w:val="both"/>
        <w:rPr>
          <w:rFonts w:ascii="Arial" w:eastAsia="Calibri" w:hAnsi="Arial" w:cs="Arial"/>
          <w:color w:val="000000" w:themeColor="text1"/>
          <w:lang w:val="es-ES"/>
        </w:rPr>
      </w:pPr>
      <w:bookmarkStart w:id="62" w:name="_Hlk134006866"/>
      <w:r w:rsidRPr="006D7E12">
        <w:rPr>
          <w:rFonts w:ascii="Arial" w:hAnsi="Arial" w:cs="Arial"/>
          <w:bCs/>
          <w:color w:val="000000"/>
          <w:lang w:eastAsia="es-CO"/>
        </w:rPr>
        <w:t xml:space="preserve">Por tanto, durante la vigencia de la prohibición del artículo 33 de la Ley 996 de 2005 –sin perjuicio de las excepciones dispuestas en el inciso segundo </w:t>
      </w:r>
      <w:r w:rsidRPr="006D7E12">
        <w:rPr>
          <w:rFonts w:ascii="Arial" w:hAnsi="Arial" w:cs="Arial"/>
          <w:bCs/>
          <w:i/>
          <w:iCs/>
          <w:color w:val="000000"/>
          <w:lang w:eastAsia="es-CO"/>
        </w:rPr>
        <w:t>ibidem</w:t>
      </w:r>
      <w:r w:rsidRPr="006D7E12">
        <w:rPr>
          <w:rFonts w:ascii="Arial" w:hAnsi="Arial" w:cs="Arial"/>
          <w:bCs/>
          <w:color w:val="000000"/>
          <w:lang w:eastAsia="es-CO"/>
        </w:rPr>
        <w:t xml:space="preserve">– está restringida cualquier modalidad de selección que excluya la pluralidad de oferentes. Respecto al régimen de contratación de las ESAL, esto es congruente con el numeral 15.4 de </w:t>
      </w:r>
      <w:r w:rsidRPr="006D7E12">
        <w:rPr>
          <w:rFonts w:ascii="Arial" w:eastAsia="Arial" w:hAnsi="Arial" w:cs="Arial"/>
          <w:lang w:val="es-ES" w:eastAsia="es-ES" w:bidi="es-ES"/>
        </w:rPr>
        <w:t>la Circular Externa Única de Colombia Compra Eficiente, en el entendido que «</w:t>
      </w:r>
      <w:r w:rsidRPr="006D7E12">
        <w:rPr>
          <w:rFonts w:ascii="Arial" w:eastAsia="Arial" w:hAnsi="Arial" w:cs="Arial"/>
          <w:lang w:eastAsia="es-ES" w:bidi="es-ES"/>
        </w:rPr>
        <w:t>Se encuentran restringidas las contrataciones que en el marco del Decreto 092 de 2017 se realicen a través de procesos no competitivos […]». Por el contrario, «Los procesos competitivos que se adelanten en el marco del Decreto 092 de 2017 no se encuentran restringidos por la Ley de Garantías».</w:t>
      </w:r>
      <w:r>
        <w:rPr>
          <w:rFonts w:ascii="Arial" w:hAnsi="Arial" w:cs="Arial"/>
          <w:bCs/>
          <w:color w:val="000000"/>
          <w:lang w:eastAsia="es-CO"/>
        </w:rPr>
        <w:t xml:space="preserve"> </w:t>
      </w:r>
      <w:r w:rsidRPr="006D7E12">
        <w:rPr>
          <w:rFonts w:ascii="Arial" w:eastAsia="Calibri" w:hAnsi="Arial" w:cs="Arial"/>
          <w:color w:val="000000" w:themeColor="text1"/>
          <w:lang w:val="es-ES"/>
        </w:rPr>
        <w:t xml:space="preserve">De esta manera, respecto a la celebración de convenios con ESAL en vigencia de la restricción del artículo 33 de la Ley de Garantías, se concluye que, esto solo será posible cuando dicho tipo de acuerdos se realicen a través de la modalidad </w:t>
      </w:r>
      <w:r w:rsidRPr="006D7E12">
        <w:rPr>
          <w:rFonts w:ascii="Arial" w:eastAsia="Calibri" w:hAnsi="Arial" w:cs="Arial"/>
          <w:i/>
          <w:iCs/>
          <w:color w:val="000000" w:themeColor="text1"/>
          <w:lang w:val="es-ES"/>
        </w:rPr>
        <w:t>competitiva</w:t>
      </w:r>
      <w:r w:rsidRPr="006D7E12">
        <w:rPr>
          <w:rFonts w:ascii="Arial" w:eastAsia="Calibri" w:hAnsi="Arial" w:cs="Arial"/>
          <w:color w:val="000000" w:themeColor="text1"/>
          <w:lang w:val="es-ES"/>
        </w:rPr>
        <w:t xml:space="preserve">, mientras que la celebración de este tipo de convenios en la modalidad </w:t>
      </w:r>
      <w:r w:rsidRPr="006D7E12">
        <w:rPr>
          <w:rFonts w:ascii="Arial" w:eastAsia="Calibri" w:hAnsi="Arial" w:cs="Arial"/>
          <w:i/>
          <w:iCs/>
          <w:color w:val="000000" w:themeColor="text1"/>
          <w:lang w:val="es-ES"/>
        </w:rPr>
        <w:t>no competitiva</w:t>
      </w:r>
      <w:r w:rsidRPr="006D7E12">
        <w:rPr>
          <w:rFonts w:ascii="Arial" w:eastAsia="Calibri" w:hAnsi="Arial" w:cs="Arial"/>
          <w:color w:val="000000" w:themeColor="text1"/>
          <w:lang w:val="es-ES"/>
        </w:rPr>
        <w:t xml:space="preserve"> sí estaría prohibida durante el periodo de esta restricción</w:t>
      </w:r>
      <w:r>
        <w:rPr>
          <w:rFonts w:ascii="Arial" w:eastAsia="Calibri" w:hAnsi="Arial" w:cs="Arial"/>
          <w:color w:val="000000" w:themeColor="text1"/>
          <w:lang w:val="es-ES"/>
        </w:rPr>
        <w:t>.</w:t>
      </w:r>
      <w:bookmarkEnd w:id="61"/>
    </w:p>
    <w:bookmarkEnd w:id="62"/>
    <w:p w14:paraId="5766A52F" w14:textId="77777777" w:rsidR="000576C3" w:rsidRPr="007C4DF6" w:rsidRDefault="000576C3" w:rsidP="000576C3">
      <w:pPr>
        <w:spacing w:after="0" w:line="276" w:lineRule="auto"/>
        <w:ind w:firstLine="708"/>
        <w:jc w:val="both"/>
        <w:rPr>
          <w:rFonts w:ascii="Arial" w:eastAsia="Calibri" w:hAnsi="Arial" w:cs="Arial"/>
          <w:color w:val="000000" w:themeColor="text1"/>
          <w:lang w:val="es-ES"/>
        </w:rPr>
      </w:pPr>
    </w:p>
    <w:p w14:paraId="17DBD9BD" w14:textId="77777777" w:rsidR="000576C3" w:rsidRPr="006D7E12" w:rsidRDefault="000576C3" w:rsidP="000576C3">
      <w:pPr>
        <w:spacing w:after="0" w:line="276" w:lineRule="auto"/>
        <w:jc w:val="both"/>
        <w:rPr>
          <w:rFonts w:ascii="Times New Roman" w:eastAsia="Times New Roman" w:hAnsi="Times New Roman" w:cs="Times New Roman"/>
          <w:sz w:val="24"/>
          <w:szCs w:val="24"/>
          <w:lang w:eastAsia="es-ES_tradnl"/>
        </w:rPr>
      </w:pPr>
      <w:r w:rsidRPr="006D7E12">
        <w:rPr>
          <w:rFonts w:ascii="Arial" w:eastAsia="Calibri" w:hAnsi="Arial" w:cs="Arial"/>
        </w:rPr>
        <w:t>Este concepto tiene el alcance previsto en el artículo 28 del Código de Procedimiento Administrativo y de lo Contencioso Administrativo.</w:t>
      </w:r>
    </w:p>
    <w:bookmarkEnd w:id="1"/>
    <w:bookmarkEnd w:id="2"/>
    <w:bookmarkEnd w:id="60"/>
    <w:p w14:paraId="683CE88C" w14:textId="77777777" w:rsidR="000576C3" w:rsidRPr="00E078A0" w:rsidRDefault="000576C3" w:rsidP="000576C3">
      <w:pPr>
        <w:shd w:val="clear" w:color="auto" w:fill="FFFFFF"/>
        <w:spacing w:after="0" w:line="276" w:lineRule="auto"/>
        <w:jc w:val="both"/>
        <w:rPr>
          <w:rFonts w:ascii="Arial" w:eastAsia="Times New Roman" w:hAnsi="Arial" w:cs="Arial"/>
          <w:lang w:eastAsia="es-CO"/>
        </w:rPr>
      </w:pPr>
    </w:p>
    <w:p w14:paraId="03B2283E" w14:textId="77777777" w:rsidR="000576C3" w:rsidRPr="00E078A0" w:rsidRDefault="000576C3" w:rsidP="000576C3">
      <w:pPr>
        <w:spacing w:line="276" w:lineRule="auto"/>
        <w:ind w:right="47"/>
        <w:jc w:val="both"/>
        <w:rPr>
          <w:rFonts w:ascii="Arial" w:eastAsia="Times New Roman" w:hAnsi="Arial" w:cs="Arial"/>
          <w:lang w:eastAsia="es-ES"/>
        </w:rPr>
      </w:pPr>
      <w:r w:rsidRPr="00E078A0">
        <w:rPr>
          <w:rFonts w:ascii="Arial" w:eastAsia="Times New Roman" w:hAnsi="Arial" w:cs="Arial"/>
          <w:lang w:eastAsia="es-ES"/>
        </w:rPr>
        <w:t xml:space="preserve">Cordialmente, </w:t>
      </w:r>
    </w:p>
    <w:p w14:paraId="64BE7CC8" w14:textId="2ABF823A" w:rsidR="000576C3" w:rsidRPr="00E078A0" w:rsidRDefault="00C73C32" w:rsidP="000576C3">
      <w:pPr>
        <w:spacing w:after="0" w:line="276" w:lineRule="auto"/>
        <w:jc w:val="center"/>
        <w:rPr>
          <w:rFonts w:ascii="Arial" w:eastAsia="Times New Roman" w:hAnsi="Arial" w:cs="Arial"/>
          <w:lang w:val="es-ES_tradnl" w:eastAsia="es-CO"/>
        </w:rPr>
      </w:pPr>
      <w:r>
        <w:rPr>
          <w:rFonts w:ascii="Arial" w:eastAsia="Calibri" w:hAnsi="Arial" w:cs="Arial"/>
          <w:b/>
          <w:bCs/>
          <w:noProof/>
          <w:color w:val="000000"/>
          <w:sz w:val="18"/>
          <w:szCs w:val="18"/>
          <w:shd w:val="clear" w:color="auto" w:fill="FFFFFF"/>
          <w:lang w:val="es-ES"/>
        </w:rPr>
        <w:drawing>
          <wp:inline distT="0" distB="0" distL="0" distR="0" wp14:anchorId="0FF3B627" wp14:editId="139FA9CC">
            <wp:extent cx="3152775" cy="1209675"/>
            <wp:effectExtent l="0" t="0" r="9525"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p w14:paraId="7AC5EF93" w14:textId="77777777" w:rsidR="000576C3" w:rsidRPr="00E078A0" w:rsidRDefault="000576C3" w:rsidP="000576C3">
      <w:pPr>
        <w:spacing w:after="0" w:line="276" w:lineRule="auto"/>
        <w:rPr>
          <w:rFonts w:ascii="Arial" w:eastAsia="Times New Roman" w:hAnsi="Arial" w:cs="Arial"/>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085"/>
      </w:tblGrid>
      <w:tr w:rsidR="000576C3" w:rsidRPr="00E078A0" w14:paraId="3390B14C" w14:textId="77777777" w:rsidTr="00055C30">
        <w:trPr>
          <w:trHeight w:val="139"/>
        </w:trPr>
        <w:tc>
          <w:tcPr>
            <w:tcW w:w="1022" w:type="dxa"/>
            <w:vAlign w:val="center"/>
            <w:hideMark/>
          </w:tcPr>
          <w:p w14:paraId="1684E253" w14:textId="77777777" w:rsidR="000576C3" w:rsidRPr="00E078A0" w:rsidRDefault="000576C3" w:rsidP="00055C30">
            <w:pPr>
              <w:jc w:val="both"/>
              <w:rPr>
                <w:rFonts w:ascii="Arial" w:hAnsi="Arial" w:cs="Arial"/>
                <w:sz w:val="16"/>
                <w:szCs w:val="16"/>
                <w:lang w:val="es-ES_tradnl" w:eastAsia="es-ES"/>
              </w:rPr>
            </w:pPr>
            <w:r w:rsidRPr="00E078A0">
              <w:rPr>
                <w:rFonts w:ascii="Arial" w:hAnsi="Arial" w:cs="Arial"/>
                <w:sz w:val="16"/>
                <w:szCs w:val="16"/>
                <w:lang w:val="es-ES_tradnl" w:eastAsia="es-ES"/>
              </w:rPr>
              <w:t>Elaboró:</w:t>
            </w:r>
          </w:p>
        </w:tc>
        <w:tc>
          <w:tcPr>
            <w:tcW w:w="5085" w:type="dxa"/>
            <w:tcBorders>
              <w:top w:val="nil"/>
              <w:left w:val="nil"/>
              <w:bottom w:val="dotted" w:sz="4" w:space="0" w:color="7F7F7F" w:themeColor="text1" w:themeTint="80"/>
              <w:right w:val="nil"/>
            </w:tcBorders>
            <w:vAlign w:val="center"/>
            <w:hideMark/>
          </w:tcPr>
          <w:p w14:paraId="02EB50D0" w14:textId="77777777" w:rsidR="000576C3" w:rsidRPr="00E078A0" w:rsidRDefault="000576C3" w:rsidP="00055C30">
            <w:pPr>
              <w:jc w:val="both"/>
              <w:rPr>
                <w:rFonts w:ascii="Arial" w:hAnsi="Arial" w:cs="Arial"/>
                <w:sz w:val="16"/>
                <w:szCs w:val="16"/>
                <w:lang w:val="es-ES_tradnl" w:eastAsia="es-ES"/>
              </w:rPr>
            </w:pPr>
            <w:r w:rsidRPr="00E078A0">
              <w:rPr>
                <w:rFonts w:ascii="Arial" w:hAnsi="Arial" w:cs="Arial"/>
                <w:sz w:val="16"/>
                <w:szCs w:val="16"/>
                <w:lang w:val="es-ES_tradnl" w:eastAsia="es-ES"/>
              </w:rPr>
              <w:t>Melissa Fernández Reinoso</w:t>
            </w:r>
          </w:p>
          <w:p w14:paraId="1887FA0E" w14:textId="77777777" w:rsidR="000576C3" w:rsidRPr="00E078A0" w:rsidRDefault="000576C3" w:rsidP="00055C30">
            <w:pPr>
              <w:jc w:val="both"/>
              <w:rPr>
                <w:rFonts w:ascii="Arial" w:hAnsi="Arial" w:cs="Arial"/>
                <w:sz w:val="16"/>
                <w:szCs w:val="16"/>
                <w:lang w:val="es-ES_tradnl" w:eastAsia="es-ES"/>
              </w:rPr>
            </w:pPr>
            <w:r w:rsidRPr="00E078A0">
              <w:rPr>
                <w:rFonts w:ascii="Arial" w:hAnsi="Arial" w:cs="Arial"/>
                <w:sz w:val="16"/>
                <w:szCs w:val="16"/>
                <w:lang w:val="es-ES_tradnl" w:eastAsia="es-ES"/>
              </w:rPr>
              <w:t>Contratista la Subdirección de Gestión Contractual</w:t>
            </w:r>
          </w:p>
        </w:tc>
      </w:tr>
      <w:tr w:rsidR="000576C3" w:rsidRPr="00E078A0" w14:paraId="70C832C2" w14:textId="77777777" w:rsidTr="00055C30">
        <w:trPr>
          <w:trHeight w:val="287"/>
        </w:trPr>
        <w:tc>
          <w:tcPr>
            <w:tcW w:w="1022" w:type="dxa"/>
            <w:vAlign w:val="center"/>
            <w:hideMark/>
          </w:tcPr>
          <w:p w14:paraId="50EE82A8" w14:textId="77777777" w:rsidR="000576C3" w:rsidRPr="00E078A0" w:rsidRDefault="000576C3" w:rsidP="00055C30">
            <w:pPr>
              <w:jc w:val="both"/>
              <w:rPr>
                <w:rFonts w:ascii="Arial" w:hAnsi="Arial" w:cs="Arial"/>
                <w:sz w:val="16"/>
                <w:szCs w:val="16"/>
                <w:lang w:val="es-ES_tradnl" w:eastAsia="es-ES"/>
              </w:rPr>
            </w:pPr>
            <w:r w:rsidRPr="00E078A0">
              <w:rPr>
                <w:rFonts w:ascii="Arial" w:hAnsi="Arial" w:cs="Arial"/>
                <w:sz w:val="16"/>
                <w:szCs w:val="16"/>
                <w:lang w:val="es-ES_tradnl" w:eastAsia="es-ES"/>
              </w:rPr>
              <w:t>Revisó: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69173CE6" w14:textId="77777777" w:rsidR="000576C3" w:rsidRPr="00E078A0" w:rsidRDefault="000576C3" w:rsidP="00055C30">
            <w:pPr>
              <w:jc w:val="both"/>
              <w:rPr>
                <w:rFonts w:ascii="Arial" w:hAnsi="Arial" w:cs="Arial"/>
                <w:sz w:val="16"/>
                <w:szCs w:val="16"/>
                <w:lang w:val="es-ES_tradnl" w:eastAsia="es-ES"/>
              </w:rPr>
            </w:pPr>
            <w:r>
              <w:rPr>
                <w:rFonts w:ascii="Arial" w:hAnsi="Arial" w:cs="Arial"/>
                <w:sz w:val="16"/>
                <w:szCs w:val="16"/>
                <w:lang w:val="es-ES_tradnl" w:eastAsia="es-ES"/>
              </w:rPr>
              <w:t xml:space="preserve">Juan David </w:t>
            </w:r>
            <w:proofErr w:type="spellStart"/>
            <w:r>
              <w:rPr>
                <w:rFonts w:ascii="Arial" w:hAnsi="Arial" w:cs="Arial"/>
                <w:sz w:val="16"/>
                <w:szCs w:val="16"/>
                <w:lang w:val="es-ES_tradnl" w:eastAsia="es-ES"/>
              </w:rPr>
              <w:t>Cardenas</w:t>
            </w:r>
            <w:proofErr w:type="spellEnd"/>
            <w:r>
              <w:rPr>
                <w:rFonts w:ascii="Arial" w:hAnsi="Arial" w:cs="Arial"/>
                <w:sz w:val="16"/>
                <w:szCs w:val="16"/>
                <w:lang w:val="es-ES_tradnl" w:eastAsia="es-ES"/>
              </w:rPr>
              <w:t xml:space="preserve"> Cabeza.</w:t>
            </w:r>
          </w:p>
          <w:p w14:paraId="3B88238A" w14:textId="77777777" w:rsidR="000576C3" w:rsidRPr="00E078A0" w:rsidRDefault="000576C3" w:rsidP="00055C30">
            <w:pPr>
              <w:jc w:val="both"/>
              <w:rPr>
                <w:rFonts w:ascii="Arial" w:hAnsi="Arial" w:cs="Arial"/>
                <w:sz w:val="16"/>
                <w:szCs w:val="16"/>
                <w:lang w:eastAsia="es-ES"/>
              </w:rPr>
            </w:pPr>
            <w:r w:rsidRPr="00E078A0">
              <w:rPr>
                <w:rFonts w:ascii="Arial" w:hAnsi="Arial" w:cs="Arial"/>
                <w:sz w:val="16"/>
                <w:szCs w:val="16"/>
                <w:lang w:val="es-ES_tradnl" w:eastAsia="es-ES"/>
              </w:rPr>
              <w:t>Contratista la Subdirección de Gestión Contractual</w:t>
            </w:r>
          </w:p>
        </w:tc>
      </w:tr>
      <w:tr w:rsidR="000576C3" w:rsidRPr="00E078A0" w14:paraId="2EA32FBB" w14:textId="77777777" w:rsidTr="00055C30">
        <w:trPr>
          <w:trHeight w:val="261"/>
        </w:trPr>
        <w:tc>
          <w:tcPr>
            <w:tcW w:w="1022" w:type="dxa"/>
            <w:vAlign w:val="center"/>
            <w:hideMark/>
          </w:tcPr>
          <w:p w14:paraId="4B501D35" w14:textId="77777777" w:rsidR="000576C3" w:rsidRPr="00E078A0" w:rsidRDefault="000576C3" w:rsidP="00055C30">
            <w:pPr>
              <w:jc w:val="both"/>
              <w:rPr>
                <w:rFonts w:ascii="Arial" w:hAnsi="Arial" w:cs="Arial"/>
                <w:sz w:val="16"/>
                <w:szCs w:val="16"/>
                <w:lang w:val="es-ES_tradnl" w:eastAsia="es-ES"/>
              </w:rPr>
            </w:pPr>
            <w:r w:rsidRPr="00E078A0">
              <w:rPr>
                <w:rFonts w:ascii="Arial" w:hAnsi="Arial" w:cs="Arial"/>
                <w:sz w:val="16"/>
                <w:szCs w:val="16"/>
                <w:lang w:val="es-ES_tradnl" w:eastAsia="es-ES"/>
              </w:rPr>
              <w:t>Aprobó: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5B7D6746" w14:textId="77777777" w:rsidR="000576C3" w:rsidRPr="00E078A0" w:rsidRDefault="000576C3" w:rsidP="00055C30">
            <w:pPr>
              <w:rPr>
                <w:rFonts w:ascii="Arial" w:hAnsi="Arial" w:cs="Arial"/>
                <w:sz w:val="16"/>
                <w:szCs w:val="16"/>
              </w:rPr>
            </w:pPr>
            <w:r w:rsidRPr="00E078A0">
              <w:rPr>
                <w:rFonts w:ascii="Arial" w:eastAsia="Arial" w:hAnsi="Arial" w:cs="Arial"/>
                <w:sz w:val="16"/>
                <w:szCs w:val="16"/>
              </w:rPr>
              <w:t>Nohelia del Carmen Zawady Palacio</w:t>
            </w:r>
          </w:p>
          <w:p w14:paraId="74EFCD48" w14:textId="77777777" w:rsidR="000576C3" w:rsidRPr="00E078A0" w:rsidRDefault="000576C3" w:rsidP="00055C30">
            <w:pPr>
              <w:jc w:val="both"/>
              <w:rPr>
                <w:rFonts w:ascii="Arial" w:eastAsia="Arial" w:hAnsi="Arial" w:cs="Arial"/>
                <w:sz w:val="16"/>
                <w:szCs w:val="16"/>
              </w:rPr>
            </w:pPr>
            <w:r w:rsidRPr="00E078A0">
              <w:rPr>
                <w:rFonts w:ascii="Arial" w:eastAsia="Arial" w:hAnsi="Arial" w:cs="Arial"/>
                <w:sz w:val="16"/>
                <w:szCs w:val="16"/>
              </w:rPr>
              <w:t xml:space="preserve">Subdirectora de Gestión Contractual </w:t>
            </w:r>
          </w:p>
        </w:tc>
      </w:tr>
    </w:tbl>
    <w:p w14:paraId="456AD40D" w14:textId="77777777" w:rsidR="000576C3" w:rsidRDefault="000576C3" w:rsidP="000576C3"/>
    <w:p w14:paraId="0B1D17E7" w14:textId="762AA3C6" w:rsidR="001A1011" w:rsidRPr="000576C3" w:rsidRDefault="001A1011" w:rsidP="006219F8">
      <w:pPr>
        <w:spacing w:after="0" w:line="240" w:lineRule="auto"/>
        <w:rPr>
          <w:rFonts w:ascii="Geomanist Light" w:hAnsi="Geomanist Light"/>
          <w:b/>
          <w:color w:val="404040" w:themeColor="text1" w:themeTint="BF"/>
        </w:rPr>
      </w:pPr>
    </w:p>
    <w:p w14:paraId="5CD9DF3C" w14:textId="2D55E7D3" w:rsidR="001A1011" w:rsidRDefault="001A1011" w:rsidP="006219F8">
      <w:pPr>
        <w:spacing w:after="0" w:line="240" w:lineRule="auto"/>
        <w:rPr>
          <w:rFonts w:ascii="Geomanist Light" w:hAnsi="Geomanist Light"/>
          <w:b/>
          <w:color w:val="404040" w:themeColor="text1" w:themeTint="BF"/>
          <w:lang w:val="es-ES"/>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p w14:paraId="0F293BF4" w14:textId="47C11D92" w:rsidR="00127233" w:rsidRPr="006219F8" w:rsidRDefault="00BF74B2" w:rsidP="00BF74B2">
      <w:pPr>
        <w:rPr>
          <w:lang w:val="es-MX"/>
        </w:rPr>
      </w:pPr>
      <w:r>
        <w:rPr>
          <w:rFonts w:ascii="Geomanist Light" w:hAnsi="Geomanist Light"/>
          <w:b/>
          <w:color w:val="404040" w:themeColor="text1" w:themeTint="BF"/>
          <w:lang w:val="es-ES"/>
        </w:rPr>
        <w:tab/>
      </w:r>
      <w:bookmarkEnd w:id="3"/>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CECD" w14:textId="77777777" w:rsidR="00612BDC" w:rsidRDefault="00612BDC" w:rsidP="004A1847">
      <w:pPr>
        <w:spacing w:after="0" w:line="240" w:lineRule="auto"/>
      </w:pPr>
      <w:r>
        <w:separator/>
      </w:r>
    </w:p>
  </w:endnote>
  <w:endnote w:type="continuationSeparator" w:id="0">
    <w:p w14:paraId="3B0AEDB3" w14:textId="77777777" w:rsidR="00612BDC" w:rsidRDefault="00612BDC" w:rsidP="004A1847">
      <w:pPr>
        <w:spacing w:after="0" w:line="240" w:lineRule="auto"/>
      </w:pPr>
      <w:r>
        <w:continuationSeparator/>
      </w:r>
    </w:p>
  </w:endnote>
  <w:endnote w:type="continuationNotice" w:id="1">
    <w:p w14:paraId="199E9EFD" w14:textId="77777777" w:rsidR="00612BDC" w:rsidRDefault="00612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EFD5" w14:textId="77777777" w:rsidR="00612BDC" w:rsidRDefault="00612BDC" w:rsidP="004A1847">
      <w:pPr>
        <w:spacing w:after="0" w:line="240" w:lineRule="auto"/>
      </w:pPr>
      <w:r>
        <w:separator/>
      </w:r>
    </w:p>
  </w:footnote>
  <w:footnote w:type="continuationSeparator" w:id="0">
    <w:p w14:paraId="55E130EB" w14:textId="77777777" w:rsidR="00612BDC" w:rsidRDefault="00612BDC" w:rsidP="004A1847">
      <w:pPr>
        <w:spacing w:after="0" w:line="240" w:lineRule="auto"/>
      </w:pPr>
      <w:r>
        <w:continuationSeparator/>
      </w:r>
    </w:p>
  </w:footnote>
  <w:footnote w:type="continuationNotice" w:id="1">
    <w:p w14:paraId="1B447252" w14:textId="77777777" w:rsidR="00612BDC" w:rsidRDefault="00612BDC">
      <w:pPr>
        <w:spacing w:after="0" w:line="240" w:lineRule="auto"/>
      </w:pPr>
    </w:p>
  </w:footnote>
  <w:footnote w:id="2">
    <w:p w14:paraId="57E83655" w14:textId="77777777" w:rsidR="000576C3" w:rsidRPr="00CB149C" w:rsidRDefault="000576C3" w:rsidP="000576C3">
      <w:pPr>
        <w:pStyle w:val="Textonotapie"/>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2793F10" w14:textId="77777777" w:rsidR="000576C3" w:rsidRPr="00CB149C" w:rsidRDefault="000576C3" w:rsidP="000576C3">
      <w:pPr>
        <w:pStyle w:val="Textonotapie"/>
        <w:ind w:firstLine="709"/>
        <w:contextualSpacing/>
        <w:rPr>
          <w:rFonts w:ascii="Arial" w:hAnsi="Arial" w:cs="Arial"/>
          <w:sz w:val="16"/>
          <w:szCs w:val="16"/>
        </w:rPr>
      </w:pPr>
      <w:r w:rsidRPr="00CB149C">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0074F6AC" w14:textId="77777777" w:rsidR="000576C3" w:rsidRPr="00CB149C" w:rsidRDefault="000576C3" w:rsidP="000576C3">
      <w:pPr>
        <w:pStyle w:val="Textonotapie"/>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Gaceta del Congreso de la República No. 71 del 2005.</w:t>
      </w:r>
    </w:p>
  </w:footnote>
  <w:footnote w:id="4">
    <w:p w14:paraId="2227DE42" w14:textId="77777777" w:rsidR="000576C3" w:rsidRPr="00EE2119" w:rsidRDefault="000576C3" w:rsidP="000576C3">
      <w:pPr>
        <w:pStyle w:val="Textonotapie"/>
        <w:ind w:firstLine="709"/>
        <w:contextualSpacing/>
        <w:rPr>
          <w:rFonts w:ascii="Arial" w:hAnsi="Arial" w:cs="Arial"/>
          <w:sz w:val="16"/>
          <w:szCs w:val="16"/>
          <w:lang w:val="pt-PT"/>
        </w:rPr>
      </w:pPr>
      <w:r w:rsidRPr="00CB149C">
        <w:rPr>
          <w:rStyle w:val="Refdenotaalpie"/>
          <w:rFonts w:ascii="Arial" w:hAnsi="Arial" w:cs="Arial"/>
          <w:sz w:val="16"/>
          <w:szCs w:val="16"/>
        </w:rPr>
        <w:footnoteRef/>
      </w:r>
      <w:r w:rsidRPr="00EE2119">
        <w:rPr>
          <w:rFonts w:ascii="Arial" w:hAnsi="Arial" w:cs="Arial"/>
          <w:sz w:val="16"/>
          <w:szCs w:val="16"/>
          <w:lang w:val="pt-PT"/>
        </w:rPr>
        <w:t xml:space="preserve"> Corte Constitucional, Sentencia C- 1153 de 2005, M.P. Marco Gerardo Monroy Cabra.</w:t>
      </w:r>
    </w:p>
  </w:footnote>
  <w:footnote w:id="5">
    <w:p w14:paraId="6E86562C" w14:textId="77777777" w:rsidR="000576C3" w:rsidRPr="00EE2119" w:rsidRDefault="000576C3" w:rsidP="000576C3">
      <w:pPr>
        <w:pStyle w:val="Textonotapie"/>
        <w:ind w:firstLine="709"/>
        <w:contextualSpacing/>
        <w:rPr>
          <w:rFonts w:ascii="Arial" w:hAnsi="Arial" w:cs="Arial"/>
          <w:sz w:val="16"/>
          <w:szCs w:val="16"/>
          <w:lang w:val="pt-PT"/>
        </w:rPr>
      </w:pPr>
      <w:r w:rsidRPr="00CB149C">
        <w:rPr>
          <w:rStyle w:val="Refdenotaalpie"/>
          <w:rFonts w:ascii="Arial" w:hAnsi="Arial" w:cs="Arial"/>
          <w:sz w:val="16"/>
          <w:szCs w:val="16"/>
        </w:rPr>
        <w:footnoteRef/>
      </w:r>
      <w:r w:rsidRPr="00EE2119">
        <w:rPr>
          <w:rFonts w:ascii="Arial" w:hAnsi="Arial" w:cs="Arial"/>
          <w:sz w:val="16"/>
          <w:szCs w:val="16"/>
          <w:lang w:val="pt-PT"/>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32A4B8A1" w14:textId="77777777" w:rsidR="000576C3" w:rsidRPr="00CB149C" w:rsidRDefault="000576C3" w:rsidP="000576C3">
      <w:pPr>
        <w:pStyle w:val="Textonotapie"/>
        <w:ind w:firstLine="709"/>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744BC43D" w14:textId="77777777" w:rsidR="000576C3" w:rsidRPr="00CB149C" w:rsidRDefault="000576C3" w:rsidP="000576C3">
      <w:pPr>
        <w:pStyle w:val="Textonotapie"/>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de fecha 24 de julio de 2013, radicado 2166, Consejero Ponente: Álvaro Namén Vargas.  </w:t>
      </w:r>
    </w:p>
  </w:footnote>
  <w:footnote w:id="8">
    <w:p w14:paraId="19B44A81" w14:textId="77777777" w:rsidR="000576C3" w:rsidRPr="00CB149C" w:rsidRDefault="000576C3" w:rsidP="000576C3">
      <w:pPr>
        <w:spacing w:after="0" w:line="240" w:lineRule="auto"/>
        <w:ind w:firstLine="709"/>
        <w:contextualSpacing/>
        <w:jc w:val="both"/>
        <w:rPr>
          <w:rFonts w:ascii="Arial" w:eastAsia="Times New Roman"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6" w:name="33"/>
      <w:r w:rsidRPr="00CB149C">
        <w:rPr>
          <w:rFonts w:ascii="Arial" w:eastAsia="Calibri" w:hAnsi="Arial" w:cs="Arial"/>
          <w:bCs/>
          <w:color w:val="000000"/>
          <w:sz w:val="16"/>
          <w:szCs w:val="16"/>
        </w:rPr>
        <w:t>«</w:t>
      </w:r>
      <w:r w:rsidRPr="00CB149C">
        <w:rPr>
          <w:rFonts w:ascii="Arial" w:eastAsia="Times New Roman" w:hAnsi="Arial" w:cs="Arial"/>
          <w:sz w:val="16"/>
          <w:szCs w:val="16"/>
        </w:rPr>
        <w:t>Artículo 33. Restricciones a la contratación pública.</w:t>
      </w:r>
      <w:bookmarkEnd w:id="16"/>
      <w:r w:rsidRPr="00CB149C">
        <w:rPr>
          <w:rFonts w:ascii="Arial" w:eastAsia="Times New Roman"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349AF188" w14:textId="77777777" w:rsidR="000576C3" w:rsidRPr="00CB149C" w:rsidRDefault="000576C3" w:rsidP="000576C3">
      <w:pPr>
        <w:spacing w:after="0" w:line="240" w:lineRule="auto"/>
        <w:ind w:firstLine="709"/>
        <w:contextualSpacing/>
        <w:jc w:val="both"/>
        <w:rPr>
          <w:rFonts w:ascii="Arial" w:eastAsia="Times New Roman" w:hAnsi="Arial" w:cs="Arial"/>
          <w:sz w:val="16"/>
          <w:szCs w:val="16"/>
        </w:rPr>
      </w:pPr>
      <w:r w:rsidRPr="00CB149C">
        <w:rPr>
          <w:rFonts w:ascii="Arial" w:eastAsia="Calibri" w:hAnsi="Arial" w:cs="Arial"/>
          <w:bCs/>
          <w:color w:val="000000"/>
          <w:sz w:val="16"/>
          <w:szCs w:val="16"/>
        </w:rPr>
        <w:t>»</w:t>
      </w:r>
      <w:r w:rsidRPr="00CB149C">
        <w:rPr>
          <w:rFonts w:ascii="Arial" w:eastAsia="Times New Roman"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B149C">
        <w:rPr>
          <w:rFonts w:ascii="Arial" w:eastAsia="Calibri" w:hAnsi="Arial" w:cs="Arial"/>
          <w:bCs/>
          <w:color w:val="000000"/>
          <w:sz w:val="16"/>
          <w:szCs w:val="16"/>
        </w:rPr>
        <w:t>»</w:t>
      </w:r>
      <w:r w:rsidRPr="00CB149C">
        <w:rPr>
          <w:rFonts w:ascii="Arial" w:eastAsia="Times New Roman" w:hAnsi="Arial" w:cs="Arial"/>
          <w:sz w:val="16"/>
          <w:szCs w:val="16"/>
        </w:rPr>
        <w:t>.</w:t>
      </w:r>
    </w:p>
  </w:footnote>
  <w:footnote w:id="9">
    <w:p w14:paraId="3730D0DD" w14:textId="77777777" w:rsidR="000576C3" w:rsidRPr="00CB149C" w:rsidRDefault="000576C3" w:rsidP="000576C3">
      <w:pPr>
        <w:pStyle w:val="NormalWeb"/>
        <w:spacing w:before="0" w:beforeAutospacing="0" w:after="0" w:afterAutospacing="0" w:line="240" w:lineRule="auto"/>
        <w:ind w:firstLine="709"/>
        <w:contextualSpacing/>
        <w:rPr>
          <w:rFonts w:ascii="Arial" w:hAnsi="Arial" w:cs="Arial"/>
          <w:sz w:val="16"/>
          <w:szCs w:val="16"/>
          <w:lang w:val="es-MX"/>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7" w:name="38"/>
      <w:r w:rsidRPr="00CB149C">
        <w:rPr>
          <w:rFonts w:ascii="Arial" w:eastAsia="Calibri" w:hAnsi="Arial" w:cs="Arial"/>
          <w:bCs/>
          <w:color w:val="000000"/>
          <w:sz w:val="16"/>
          <w:szCs w:val="16"/>
        </w:rPr>
        <w:t>«</w:t>
      </w:r>
      <w:r w:rsidRPr="00CB149C">
        <w:rPr>
          <w:rFonts w:ascii="Arial" w:hAnsi="Arial" w:cs="Arial"/>
          <w:sz w:val="16"/>
          <w:szCs w:val="16"/>
          <w:lang w:val="es-MX"/>
        </w:rPr>
        <w:t>Artículo 38. Prohibiciones para los servidores públicos. A los empleados del Estado les está prohibido:</w:t>
      </w:r>
      <w:bookmarkEnd w:id="17"/>
    </w:p>
    <w:p w14:paraId="66C97BAF" w14:textId="77777777" w:rsidR="000576C3" w:rsidRPr="00CB149C" w:rsidRDefault="000576C3" w:rsidP="000576C3">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Fonts w:ascii="Arial" w:hAnsi="Arial" w:cs="Arial"/>
          <w:sz w:val="16"/>
          <w:szCs w:val="16"/>
          <w:lang w:val="es-MX"/>
        </w:rPr>
        <w:t xml:space="preserve"> […]</w:t>
      </w:r>
    </w:p>
    <w:p w14:paraId="5A9ADAC3" w14:textId="77777777" w:rsidR="000576C3" w:rsidRPr="00CB149C" w:rsidRDefault="000576C3" w:rsidP="000576C3">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Style w:val="baj"/>
          <w:rFonts w:ascii="Arial" w:hAnsi="Arial" w:cs="Arial"/>
          <w:sz w:val="16"/>
          <w:szCs w:val="16"/>
          <w:lang w:val="es-MX"/>
        </w:rPr>
        <w:t xml:space="preserve"> Parágrafo.</w:t>
      </w:r>
      <w:r w:rsidRPr="00CB149C">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B149C">
        <w:rPr>
          <w:rFonts w:ascii="Arial" w:eastAsia="Calibri" w:hAnsi="Arial" w:cs="Arial"/>
          <w:bCs/>
          <w:color w:val="000000"/>
          <w:sz w:val="16"/>
          <w:szCs w:val="16"/>
        </w:rPr>
        <w:t>»</w:t>
      </w:r>
      <w:r w:rsidRPr="00CB149C">
        <w:rPr>
          <w:rFonts w:ascii="Arial" w:hAnsi="Arial" w:cs="Arial"/>
          <w:sz w:val="16"/>
          <w:szCs w:val="16"/>
          <w:lang w:val="es-MX"/>
        </w:rPr>
        <w:t>.</w:t>
      </w:r>
    </w:p>
  </w:footnote>
  <w:footnote w:id="10">
    <w:p w14:paraId="01C76427" w14:textId="77777777" w:rsidR="000576C3" w:rsidRPr="00CB149C" w:rsidRDefault="000576C3" w:rsidP="000576C3">
      <w:pPr>
        <w:spacing w:after="0" w:line="240" w:lineRule="auto"/>
        <w:ind w:left="100" w:right="244"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1">
    <w:p w14:paraId="5959E291" w14:textId="77777777" w:rsidR="000576C3" w:rsidRPr="00CB149C" w:rsidRDefault="000576C3" w:rsidP="000576C3">
      <w:pPr>
        <w:pStyle w:val="Textonotapie"/>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3" w:name="_Hlk74272731"/>
      <w:r w:rsidRPr="00CB149C">
        <w:rPr>
          <w:rFonts w:ascii="Arial" w:hAnsi="Arial" w:cs="Arial"/>
          <w:sz w:val="16"/>
          <w:szCs w:val="16"/>
        </w:rPr>
        <w:t>«</w:t>
      </w:r>
      <w:bookmarkEnd w:id="23"/>
      <w:r w:rsidRPr="00CB149C">
        <w:rPr>
          <w:rFonts w:ascii="Arial" w:hAnsi="Arial" w:cs="Arial"/>
          <w:sz w:val="16"/>
          <w:szCs w:val="16"/>
          <w:lang w:val="es-ES"/>
        </w:rPr>
        <w:t xml:space="preserve">[25] </w:t>
      </w:r>
      <w:r w:rsidRPr="00CB149C">
        <w:rPr>
          <w:rFonts w:ascii="Arial" w:hAnsi="Arial" w:cs="Arial"/>
          <w:sz w:val="16"/>
          <w:szCs w:val="16"/>
        </w:rPr>
        <w:t>Cfr. Consejo de Estado. Sección Tercera. Sentencia de 3 de diciembre de 2007. Radicados: 24.715, 25.206, 25.409, 24.524, 27.834, 25.410, 26.105, 28.244, 31.447 -acumulados-</w:t>
      </w:r>
      <w:bookmarkStart w:id="24" w:name="_Hlk74271358"/>
      <w:r w:rsidRPr="00CB149C">
        <w:rPr>
          <w:rFonts w:ascii="Arial" w:hAnsi="Arial" w:cs="Arial"/>
          <w:sz w:val="16"/>
          <w:szCs w:val="16"/>
        </w:rPr>
        <w:t>»</w:t>
      </w:r>
      <w:bookmarkEnd w:id="24"/>
      <w:r w:rsidRPr="00CB149C">
        <w:rPr>
          <w:rFonts w:ascii="Arial" w:hAnsi="Arial" w:cs="Arial"/>
          <w:sz w:val="16"/>
          <w:szCs w:val="16"/>
        </w:rPr>
        <w:t>.</w:t>
      </w:r>
    </w:p>
  </w:footnote>
  <w:footnote w:id="12">
    <w:p w14:paraId="6855A992" w14:textId="77777777" w:rsidR="000576C3" w:rsidRPr="00CB149C" w:rsidRDefault="000576C3" w:rsidP="000576C3">
      <w:pPr>
        <w:pStyle w:val="Textonotapie"/>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6" w:name="_Hlk74294506"/>
      <w:r w:rsidRPr="00CB149C">
        <w:rPr>
          <w:rFonts w:ascii="Arial" w:hAnsi="Arial" w:cs="Arial"/>
          <w:sz w:val="16"/>
          <w:szCs w:val="16"/>
        </w:rPr>
        <w:t>«</w:t>
      </w:r>
      <w:r w:rsidRPr="00CB149C">
        <w:rPr>
          <w:rFonts w:ascii="Arial" w:hAnsi="Arial" w:cs="Arial"/>
          <w:sz w:val="16"/>
          <w:szCs w:val="16"/>
          <w:lang w:val="es-ES"/>
        </w:rPr>
        <w:t xml:space="preserve">[26] </w:t>
      </w:r>
      <w:bookmarkEnd w:id="26"/>
      <w:r w:rsidRPr="00CB149C">
        <w:rPr>
          <w:rFonts w:ascii="Arial" w:hAnsi="Arial" w:cs="Arial"/>
          <w:sz w:val="16"/>
          <w:szCs w:val="16"/>
        </w:rPr>
        <w:t>Al respecto ver el concepto 1712 de 2 de febrero de 2006. Consejo de Estado Sala de Consulta y Servicio Civil».</w:t>
      </w:r>
    </w:p>
  </w:footnote>
  <w:footnote w:id="13">
    <w:p w14:paraId="39572F2A" w14:textId="77777777" w:rsidR="000576C3" w:rsidRPr="00CB149C" w:rsidRDefault="000576C3" w:rsidP="000576C3">
      <w:pPr>
        <w:pStyle w:val="Textonotapie"/>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 de septiembre de 2013. Radicación número: 11001-03-06-000-2013-00412-00 (2168). Consejero Ponente: Álvaro Namén Vargas.</w:t>
      </w:r>
    </w:p>
  </w:footnote>
  <w:footnote w:id="14">
    <w:p w14:paraId="60B93207" w14:textId="77777777" w:rsidR="000576C3" w:rsidRPr="00CB149C" w:rsidRDefault="000576C3" w:rsidP="000576C3">
      <w:pPr>
        <w:pStyle w:val="Textonotapie"/>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sz w:val="16"/>
          <w:szCs w:val="16"/>
          <w:lang w:val="es-ES"/>
        </w:rPr>
        <w:t xml:space="preserve">Artículo 2. </w:t>
      </w:r>
    </w:p>
  </w:footnote>
  <w:footnote w:id="15">
    <w:p w14:paraId="3BC1133B" w14:textId="77777777" w:rsidR="000576C3" w:rsidRPr="00CB149C" w:rsidRDefault="000576C3" w:rsidP="000576C3">
      <w:pPr>
        <w:pStyle w:val="Textonotapie"/>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i/>
          <w:sz w:val="16"/>
          <w:szCs w:val="16"/>
          <w:lang w:val="es-ES"/>
        </w:rPr>
        <w:t>Ídem</w:t>
      </w:r>
      <w:r w:rsidRPr="00CB149C">
        <w:rPr>
          <w:rFonts w:ascii="Arial" w:hAnsi="Arial" w:cs="Arial"/>
          <w:sz w:val="16"/>
          <w:szCs w:val="16"/>
          <w:lang w:val="es-ES"/>
        </w:rPr>
        <w:t>.</w:t>
      </w:r>
    </w:p>
  </w:footnote>
  <w:footnote w:id="16">
    <w:p w14:paraId="790B8C5B" w14:textId="77777777" w:rsidR="000576C3" w:rsidRPr="00CB149C" w:rsidRDefault="000576C3" w:rsidP="000576C3">
      <w:pPr>
        <w:pStyle w:val="Textonotapie"/>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bookmarkStart w:id="31" w:name="_Hlk74297130"/>
      <w:r w:rsidRPr="00CB149C">
        <w:rPr>
          <w:rFonts w:ascii="Arial" w:hAnsi="Arial" w:cs="Arial"/>
          <w:sz w:val="16"/>
          <w:szCs w:val="16"/>
          <w:lang w:val="es-ES"/>
        </w:rPr>
        <w:t>«</w:t>
      </w:r>
      <w:bookmarkEnd w:id="31"/>
      <w:r w:rsidRPr="00CB149C">
        <w:rPr>
          <w:rFonts w:ascii="Arial" w:hAnsi="Arial" w:cs="Arial"/>
          <w:sz w:val="16"/>
          <w:szCs w:val="16"/>
          <w:lang w:val="es-ES"/>
        </w:rPr>
        <w:t xml:space="preserve">[…] A este respecto, cabe recordar que el artículo 860 del Código de Comercio regula la licitación en el derecho privado». </w:t>
      </w:r>
    </w:p>
  </w:footnote>
  <w:footnote w:id="17">
    <w:p w14:paraId="4B147BAA" w14:textId="77777777" w:rsidR="000576C3" w:rsidRPr="00CB149C" w:rsidRDefault="000576C3" w:rsidP="000576C3">
      <w:pPr>
        <w:shd w:val="clear" w:color="auto" w:fill="FFFFFF"/>
        <w:spacing w:after="0" w:line="240" w:lineRule="auto"/>
        <w:ind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r w:rsidRPr="00CB149C">
        <w:rPr>
          <w:rFonts w:ascii="Arial" w:hAnsi="Arial" w:cs="Arial"/>
          <w:sz w:val="16"/>
          <w:szCs w:val="16"/>
          <w:lang w:val="es-ES"/>
        </w:rPr>
        <w:t>Consejo de Estado. Sala de Consulta y Servicio Civil, Concepto de 8 de mayo de 2018. Radicación Número: 11001-03-06-000-2018-00095-00(2382). Consejero Ponente: Álvaro Namén Vargas.</w:t>
      </w:r>
    </w:p>
  </w:footnote>
  <w:footnote w:id="18">
    <w:p w14:paraId="6BD9054B" w14:textId="77777777" w:rsidR="000576C3" w:rsidRPr="00CB149C" w:rsidRDefault="000576C3" w:rsidP="000576C3">
      <w:pPr>
        <w:pStyle w:val="Textonotapie"/>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08 de mayo de 2018. Exp. 2.382. C.P. Álvaro Namén Vargas.</w:t>
      </w:r>
    </w:p>
  </w:footnote>
  <w:footnote w:id="19">
    <w:p w14:paraId="7FACF498" w14:textId="77777777" w:rsidR="000576C3" w:rsidRPr="00CB149C" w:rsidRDefault="000576C3" w:rsidP="000576C3">
      <w:pPr>
        <w:pStyle w:val="Textonotapie"/>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9307038" w14:textId="77777777" w:rsidR="000576C3" w:rsidRPr="00CB149C" w:rsidRDefault="000576C3" w:rsidP="000576C3">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424DD7B4" w14:textId="77777777" w:rsidR="000576C3" w:rsidRPr="00CB149C" w:rsidRDefault="000576C3" w:rsidP="000576C3">
      <w:pPr>
        <w:pStyle w:val="Textonotapie"/>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49" w:name="_Hlk75633115"/>
      <w:r w:rsidRPr="00CB149C">
        <w:rPr>
          <w:rFonts w:ascii="Arial" w:hAnsi="Arial" w:cs="Arial"/>
          <w:sz w:val="16"/>
          <w:szCs w:val="16"/>
        </w:rPr>
        <w:t xml:space="preserve">Consejo de Estado. Sala de Consulta y Servicio Civil. Concepto </w:t>
      </w:r>
      <w:bookmarkEnd w:id="49"/>
      <w:r w:rsidRPr="00CB149C">
        <w:rPr>
          <w:rFonts w:ascii="Arial" w:hAnsi="Arial" w:cs="Arial"/>
          <w:sz w:val="16"/>
          <w:szCs w:val="16"/>
        </w:rPr>
        <w:t>de 6 de abril de 2006. Radicación Número: 11001-03-06-000-2006-00038-00(1738). Consejero Ponente: Enrique José Arboleda Perdomo:</w:t>
      </w:r>
      <w:r w:rsidRPr="00CB149C">
        <w:rPr>
          <w:rFonts w:ascii="Arial" w:eastAsia="Times New Roman" w:hAnsi="Arial" w:cs="Arial"/>
          <w:bCs/>
          <w:sz w:val="16"/>
          <w:szCs w:val="16"/>
          <w:lang w:eastAsia="x-none"/>
        </w:rPr>
        <w:t xml:space="preserve"> «</w:t>
      </w:r>
      <w:r w:rsidRPr="00CB149C">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CB149C">
        <w:rPr>
          <w:rFonts w:ascii="Arial" w:eastAsia="Times New Roman" w:hAnsi="Arial" w:cs="Arial"/>
          <w:bCs/>
          <w:sz w:val="16"/>
          <w:szCs w:val="16"/>
          <w:lang w:eastAsia="x-none"/>
        </w:rPr>
        <w:t>».</w:t>
      </w:r>
    </w:p>
  </w:footnote>
  <w:footnote w:id="22">
    <w:p w14:paraId="3F58F98B" w14:textId="77777777" w:rsidR="000576C3" w:rsidRPr="00CB149C" w:rsidRDefault="000576C3" w:rsidP="000576C3">
      <w:pPr>
        <w:pStyle w:val="Textonotapie"/>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3">
    <w:p w14:paraId="536A2B94" w14:textId="77777777" w:rsidR="000576C3" w:rsidRPr="00CB149C" w:rsidRDefault="000576C3" w:rsidP="000576C3">
      <w:pPr>
        <w:pStyle w:val="Textonotapie"/>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ídem.</w:t>
      </w:r>
    </w:p>
  </w:footnote>
  <w:footnote w:id="24">
    <w:p w14:paraId="2B169DB1" w14:textId="77777777" w:rsidR="000576C3" w:rsidRPr="00CB149C" w:rsidRDefault="000576C3" w:rsidP="000576C3">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Sobre esta norma, consultar los conceptos del 8 de octubre de 2019, con radicado No. 2201913000007532, y del 20 de diciembre de 2019, con radicado No. 4201913000008240.</w:t>
      </w:r>
    </w:p>
  </w:footnote>
  <w:footnote w:id="25">
    <w:p w14:paraId="1DAC495F" w14:textId="77777777" w:rsidR="000576C3" w:rsidRPr="00CB149C" w:rsidRDefault="000576C3" w:rsidP="000576C3">
      <w:pPr>
        <w:pStyle w:val="Textonotapie"/>
        <w:ind w:firstLine="708"/>
        <w:rPr>
          <w:rFonts w:ascii="Arial" w:hAnsi="Arial" w:cs="Arial"/>
          <w:sz w:val="16"/>
          <w:szCs w:val="16"/>
        </w:rPr>
      </w:pPr>
      <w:r w:rsidRPr="00CB149C">
        <w:rPr>
          <w:rStyle w:val="Refdenotaalpie"/>
          <w:sz w:val="16"/>
          <w:szCs w:val="16"/>
        </w:rPr>
        <w:footnoteRef/>
      </w:r>
      <w:r w:rsidRPr="00CB149C">
        <w:rPr>
          <w:sz w:val="16"/>
          <w:szCs w:val="16"/>
        </w:rPr>
        <w:t xml:space="preserve"> </w:t>
      </w:r>
      <w:r w:rsidRPr="00CB149C">
        <w:rPr>
          <w:rFonts w:ascii="Arial" w:hAnsi="Arial"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5879295" w14:textId="77777777" w:rsidR="000576C3" w:rsidRPr="00CB149C" w:rsidRDefault="000576C3" w:rsidP="000576C3">
      <w:pPr>
        <w:pStyle w:val="Textonotapie"/>
        <w:ind w:firstLine="708"/>
        <w:rPr>
          <w:rFonts w:ascii="Arial" w:hAnsi="Arial" w:cs="Arial"/>
          <w:sz w:val="16"/>
          <w:szCs w:val="16"/>
        </w:rPr>
      </w:pPr>
      <w:r w:rsidRPr="00CB149C">
        <w:rPr>
          <w:rFonts w:ascii="Arial" w:hAnsi="Arial" w:cs="Arial"/>
          <w:sz w:val="16"/>
          <w:szCs w:val="16"/>
        </w:rPr>
        <w:t xml:space="preserve">»Los convenios de asociación a que se refiere el presente artículo </w:t>
      </w:r>
      <w:bookmarkStart w:id="55" w:name="_Hlk36023315"/>
      <w:r w:rsidRPr="00CB149C">
        <w:rPr>
          <w:rFonts w:ascii="Arial" w:hAnsi="Arial" w:cs="Arial"/>
          <w:sz w:val="16"/>
          <w:szCs w:val="16"/>
        </w:rPr>
        <w:t>se celebrarán de conformidad con lo dispuesto en el artículo 355 de la Constitución Política</w:t>
      </w:r>
      <w:bookmarkEnd w:id="55"/>
      <w:r w:rsidRPr="00CB149C">
        <w:rPr>
          <w:rFonts w:ascii="Arial" w:hAnsi="Arial" w:cs="Arial"/>
          <w:sz w:val="16"/>
          <w:szCs w:val="16"/>
        </w:rPr>
        <w:t>, en ellos se determinará con precisión su objeto, término, obligaciones de las partes, aportes, coordinación y todos aquellos aspectos que se consideren pertinentes».</w:t>
      </w:r>
    </w:p>
  </w:footnote>
  <w:footnote w:id="26">
    <w:p w14:paraId="6D0F4C7F" w14:textId="77777777" w:rsidR="000576C3" w:rsidRPr="00CB149C" w:rsidRDefault="000576C3" w:rsidP="000576C3">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Concepto del 3 de septiembre de 2019, con radicado No. 2201913000006512.</w:t>
      </w:r>
    </w:p>
  </w:footnote>
  <w:footnote w:id="27">
    <w:p w14:paraId="7EF69367" w14:textId="77777777" w:rsidR="000576C3" w:rsidRPr="00CB149C" w:rsidRDefault="000576C3" w:rsidP="000576C3">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Sobre la naturaleza de los convenios de asociación, se reitera lo expuesto en el concepto del 19 de noviembre de 2019, con radicado No. 2201913000008611.</w:t>
      </w:r>
    </w:p>
    <w:p w14:paraId="5481CC94" w14:textId="77777777" w:rsidR="000576C3" w:rsidRPr="00CB149C" w:rsidRDefault="000576C3" w:rsidP="000576C3">
      <w:pPr>
        <w:pStyle w:val="Textonotapie"/>
        <w:ind w:firstLine="708"/>
        <w:rPr>
          <w:rFonts w:ascii="Arial" w:hAnsi="Arial" w:cs="Arial"/>
          <w:sz w:val="16"/>
          <w:szCs w:val="16"/>
        </w:rPr>
      </w:pPr>
    </w:p>
  </w:footnote>
  <w:footnote w:id="28">
    <w:p w14:paraId="129234D7" w14:textId="77777777" w:rsidR="000576C3" w:rsidRPr="00CB149C" w:rsidRDefault="000576C3" w:rsidP="000576C3">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29">
    <w:p w14:paraId="0E01E53D" w14:textId="77777777" w:rsidR="000576C3" w:rsidRPr="00CB149C" w:rsidRDefault="000576C3" w:rsidP="000576C3">
      <w:pPr>
        <w:pStyle w:val="Textonotapie"/>
        <w:ind w:firstLine="708"/>
        <w:contextualSpacing/>
        <w:rPr>
          <w:rFonts w:ascii="Arial" w:hAnsi="Arial" w:cs="Arial"/>
          <w:color w:val="000000" w:themeColor="text1"/>
          <w:sz w:val="16"/>
          <w:szCs w:val="16"/>
        </w:rPr>
      </w:pPr>
      <w:r w:rsidRPr="00CB149C">
        <w:rPr>
          <w:rStyle w:val="Refdenotaalpie"/>
          <w:rFonts w:ascii="Arial" w:hAnsi="Arial" w:cs="Arial"/>
          <w:color w:val="000000" w:themeColor="text1"/>
          <w:sz w:val="16"/>
          <w:szCs w:val="16"/>
        </w:rPr>
        <w:footnoteRef/>
      </w:r>
      <w:r w:rsidRPr="00CB149C">
        <w:rPr>
          <w:rFonts w:ascii="Arial" w:hAnsi="Arial" w:cs="Arial"/>
          <w:color w:val="000000" w:themeColor="text1"/>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30">
    <w:p w14:paraId="79C4136C" w14:textId="77777777" w:rsidR="000576C3" w:rsidRPr="00CB149C" w:rsidRDefault="000576C3" w:rsidP="000576C3">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27 de abril de 2006. Rad:1712.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0576C3" w:rsidRDefault="00906B3C" w:rsidP="008614E5">
    <w:pPr>
      <w:spacing w:after="0"/>
      <w:rPr>
        <w:rFonts w:ascii="Geomanist Light" w:hAnsi="Geomanist Light"/>
        <w:color w:val="002060"/>
        <w:sz w:val="16"/>
        <w:szCs w:val="16"/>
        <w:lang w:val="pt-PT"/>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0576C3">
      <w:rPr>
        <w:rFonts w:ascii="Geomanist Light" w:hAnsi="Geomanist Light"/>
        <w:color w:val="002060"/>
        <w:sz w:val="16"/>
        <w:szCs w:val="16"/>
        <w:lang w:val="pt-PT"/>
      </w:rPr>
      <w:t>FORMATO PQRSD</w:t>
    </w:r>
  </w:p>
  <w:p w14:paraId="077278A1" w14:textId="2CAB5B77" w:rsidR="007566FE" w:rsidRPr="000576C3"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val="pt-PT" w:eastAsia="es-CO"/>
      </w:rPr>
    </w:pPr>
    <w:r w:rsidRPr="000576C3">
      <w:rPr>
        <w:rFonts w:ascii="Geomanist Light" w:eastAsia="Geo" w:hAnsi="Geomanist Light" w:cs="Geo"/>
        <w:b/>
        <w:color w:val="000000"/>
        <w:sz w:val="16"/>
        <w:szCs w:val="16"/>
        <w:lang w:val="pt-PT" w:eastAsia="es-CO"/>
      </w:rPr>
      <w:t xml:space="preserve">Código: </w:t>
    </w:r>
    <w:r w:rsidRPr="000576C3">
      <w:rPr>
        <w:rFonts w:ascii="Geomanist Light" w:eastAsia="Geo" w:hAnsi="Geomanist Light" w:cs="Geo"/>
        <w:bCs/>
        <w:color w:val="000000"/>
        <w:sz w:val="16"/>
        <w:szCs w:val="16"/>
        <w:lang w:val="pt-PT"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16309110">
    <w:abstractNumId w:val="2"/>
  </w:num>
  <w:num w:numId="2" w16cid:durableId="1159036754">
    <w:abstractNumId w:val="0"/>
  </w:num>
  <w:num w:numId="3" w16cid:durableId="190876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76C3"/>
    <w:rsid w:val="00083334"/>
    <w:rsid w:val="000956CF"/>
    <w:rsid w:val="000A683E"/>
    <w:rsid w:val="0011595A"/>
    <w:rsid w:val="001220C5"/>
    <w:rsid w:val="001267F7"/>
    <w:rsid w:val="00127233"/>
    <w:rsid w:val="00130999"/>
    <w:rsid w:val="00164D81"/>
    <w:rsid w:val="001A1011"/>
    <w:rsid w:val="001A48D0"/>
    <w:rsid w:val="001B0357"/>
    <w:rsid w:val="002653C1"/>
    <w:rsid w:val="0026611D"/>
    <w:rsid w:val="002951A0"/>
    <w:rsid w:val="002A64FD"/>
    <w:rsid w:val="002F0839"/>
    <w:rsid w:val="00301469"/>
    <w:rsid w:val="00306EE1"/>
    <w:rsid w:val="00310B9B"/>
    <w:rsid w:val="0036461C"/>
    <w:rsid w:val="00367884"/>
    <w:rsid w:val="0039439C"/>
    <w:rsid w:val="003A04DC"/>
    <w:rsid w:val="003B69E7"/>
    <w:rsid w:val="003C013B"/>
    <w:rsid w:val="003D0F4D"/>
    <w:rsid w:val="003F58A1"/>
    <w:rsid w:val="004068AB"/>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12BDC"/>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B406D"/>
    <w:rsid w:val="008D5C70"/>
    <w:rsid w:val="009025AF"/>
    <w:rsid w:val="00904F23"/>
    <w:rsid w:val="00906B3C"/>
    <w:rsid w:val="0095342C"/>
    <w:rsid w:val="009F1D3F"/>
    <w:rsid w:val="009F33F2"/>
    <w:rsid w:val="009F6C77"/>
    <w:rsid w:val="00A07532"/>
    <w:rsid w:val="00A1085C"/>
    <w:rsid w:val="00A309E2"/>
    <w:rsid w:val="00A8066E"/>
    <w:rsid w:val="00AA4B8A"/>
    <w:rsid w:val="00AA6BF7"/>
    <w:rsid w:val="00B01ED6"/>
    <w:rsid w:val="00B06D09"/>
    <w:rsid w:val="00B771A9"/>
    <w:rsid w:val="00B809BB"/>
    <w:rsid w:val="00B8248A"/>
    <w:rsid w:val="00BB7726"/>
    <w:rsid w:val="00BF74B2"/>
    <w:rsid w:val="00C2329E"/>
    <w:rsid w:val="00C30461"/>
    <w:rsid w:val="00C30F46"/>
    <w:rsid w:val="00C614A6"/>
    <w:rsid w:val="00C73C32"/>
    <w:rsid w:val="00C754BE"/>
    <w:rsid w:val="00C87572"/>
    <w:rsid w:val="00C9405D"/>
    <w:rsid w:val="00CC1B26"/>
    <w:rsid w:val="00CD284F"/>
    <w:rsid w:val="00CF23AA"/>
    <w:rsid w:val="00D01921"/>
    <w:rsid w:val="00D752B7"/>
    <w:rsid w:val="00DA1854"/>
    <w:rsid w:val="00DB0887"/>
    <w:rsid w:val="00DF1E43"/>
    <w:rsid w:val="00E20894"/>
    <w:rsid w:val="00E26B7C"/>
    <w:rsid w:val="00EA3003"/>
    <w:rsid w:val="00EB3C91"/>
    <w:rsid w:val="00EB66DA"/>
    <w:rsid w:val="00F605F2"/>
    <w:rsid w:val="00F73230"/>
    <w:rsid w:val="00F76AFC"/>
    <w:rsid w:val="00F8319B"/>
    <w:rsid w:val="00FA5516"/>
    <w:rsid w:val="00FD6F73"/>
    <w:rsid w:val="09DDAED8"/>
    <w:rsid w:val="1CC63BF5"/>
    <w:rsid w:val="22290BF9"/>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0576C3"/>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0576C3"/>
    <w:pPr>
      <w:spacing w:line="240" w:lineRule="exact"/>
      <w:jc w:val="both"/>
    </w:pPr>
    <w:rPr>
      <w:vertAlign w:val="superscript"/>
    </w:rPr>
  </w:style>
  <w:style w:type="character" w:customStyle="1" w:styleId="NormalWebCar">
    <w:name w:val="Normal (Web) Car"/>
    <w:link w:val="NormalWeb"/>
    <w:uiPriority w:val="99"/>
    <w:locked/>
    <w:rsid w:val="000576C3"/>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05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0576C3"/>
  </w:style>
  <w:style w:type="table" w:customStyle="1" w:styleId="Tablaconcuadrcula2">
    <w:name w:val="Tabla con cuadrícula2"/>
    <w:basedOn w:val="Tablanormal"/>
    <w:next w:val="Tablaconcuadrcula"/>
    <w:uiPriority w:val="39"/>
    <w:qFormat/>
    <w:rsid w:val="0005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30F4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30F46"/>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a6cb9e4b-f1d1-4245-83ec-6cad768d538a"/>
    <ds:schemaRef ds:uri="http://schemas.microsoft.com/office/infopath/2007/PartnerControls"/>
    <ds:schemaRef ds:uri="9d85dbaf-23eb-4e57-a637-93dcacc8b1a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504259-E395-4B9A-A535-349CC8A3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7679</Words>
  <Characters>42238</Characters>
  <Application>Microsoft Office Word</Application>
  <DocSecurity>0</DocSecurity>
  <Lines>351</Lines>
  <Paragraphs>99</Paragraphs>
  <ScaleCrop>false</ScaleCrop>
  <Company/>
  <LinksUpToDate>false</LinksUpToDate>
  <CharactersWithSpaces>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2023-05-04T19:20:00Z</dcterms:created>
  <dcterms:modified xsi:type="dcterms:W3CDTF">2023-05-04T19:20:00Z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