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E1D6" w14:textId="77777777" w:rsidR="00407F76" w:rsidRPr="005E5914" w:rsidRDefault="00407F76" w:rsidP="00407F76">
      <w:pPr>
        <w:spacing w:after="0" w:line="240" w:lineRule="auto"/>
        <w:jc w:val="both"/>
        <w:rPr>
          <w:rFonts w:ascii="Arial" w:eastAsia="Calibri" w:hAnsi="Arial" w:cs="Arial"/>
          <w:b/>
          <w:bCs/>
        </w:rPr>
      </w:pPr>
      <w:r w:rsidRPr="005E5914">
        <w:rPr>
          <w:rFonts w:ascii="Arial" w:eastAsia="Calibri" w:hAnsi="Arial" w:cs="Arial"/>
          <w:b/>
          <w:bCs/>
        </w:rPr>
        <w:t xml:space="preserve">CONTRATO DE PRESTACIÓN DE SERVICIOS – Concepto – </w:t>
      </w:r>
      <w:r>
        <w:rPr>
          <w:rFonts w:ascii="Arial" w:eastAsia="Calibri" w:hAnsi="Arial" w:cs="Arial"/>
          <w:b/>
          <w:bCs/>
        </w:rPr>
        <w:t xml:space="preserve">Características – </w:t>
      </w:r>
      <w:r w:rsidRPr="005E5914">
        <w:rPr>
          <w:rFonts w:ascii="Arial" w:eastAsia="Calibri" w:hAnsi="Arial" w:cs="Arial"/>
          <w:b/>
          <w:bCs/>
        </w:rPr>
        <w:t xml:space="preserve">Temporalidad </w:t>
      </w:r>
    </w:p>
    <w:p w14:paraId="73E88A28" w14:textId="77777777" w:rsidR="00407F76" w:rsidRPr="005E5914" w:rsidRDefault="00407F76" w:rsidP="00407F76">
      <w:pPr>
        <w:spacing w:after="0" w:line="240" w:lineRule="auto"/>
        <w:rPr>
          <w:rFonts w:ascii="Arial" w:eastAsia="Calibri" w:hAnsi="Arial" w:cs="Arial"/>
        </w:rPr>
      </w:pPr>
    </w:p>
    <w:p w14:paraId="3B09224F" w14:textId="77777777" w:rsidR="00407F76" w:rsidRPr="00ED2FB0" w:rsidRDefault="00407F76" w:rsidP="00407F76">
      <w:pPr>
        <w:spacing w:after="0" w:line="240" w:lineRule="auto"/>
        <w:rPr>
          <w:rFonts w:ascii="Arial" w:hAnsi="Arial" w:cs="Arial"/>
          <w:color w:val="000000" w:themeColor="text1"/>
          <w:sz w:val="20"/>
          <w:szCs w:val="20"/>
          <w:lang w:val="es-MX"/>
        </w:rPr>
      </w:pPr>
      <w:r w:rsidRPr="00ED2FB0">
        <w:rPr>
          <w:rFonts w:ascii="Arial" w:hAnsi="Arial" w:cs="Arial"/>
          <w:color w:val="000000" w:themeColor="text1"/>
          <w:sz w:val="20"/>
          <w:szCs w:val="20"/>
          <w:lang w:val="es-MX"/>
        </w:rPr>
        <w:t xml:space="preserve">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La celebración de dicho contrato debe efectuarse a través de la modalidad de contratación directa. </w:t>
      </w:r>
      <w:r w:rsidRPr="005E5914">
        <w:rPr>
          <w:rFonts w:ascii="Arial" w:eastAsia="Calibri" w:hAnsi="Arial" w:cs="Arial"/>
          <w:sz w:val="20"/>
          <w:szCs w:val="20"/>
        </w:rPr>
        <w:t>[…]</w:t>
      </w:r>
    </w:p>
    <w:p w14:paraId="6875FB40" w14:textId="77777777" w:rsidR="00407F76" w:rsidRPr="005E5914" w:rsidRDefault="00407F76" w:rsidP="00407F76">
      <w:pPr>
        <w:spacing w:after="0" w:line="240" w:lineRule="auto"/>
        <w:rPr>
          <w:rFonts w:ascii="Arial" w:eastAsia="Calibri" w:hAnsi="Arial" w:cs="Arial"/>
          <w:sz w:val="20"/>
          <w:szCs w:val="20"/>
        </w:rPr>
      </w:pPr>
    </w:p>
    <w:p w14:paraId="1134BC31" w14:textId="77777777" w:rsidR="00407F76" w:rsidRDefault="00407F76" w:rsidP="00407F76">
      <w:pPr>
        <w:spacing w:after="0" w:line="240" w:lineRule="auto"/>
        <w:jc w:val="both"/>
        <w:rPr>
          <w:rFonts w:ascii="Arial" w:hAnsi="Arial" w:cs="Arial"/>
          <w:noProof/>
          <w:sz w:val="20"/>
          <w:szCs w:val="20"/>
          <w:lang w:val="es-ES_tradnl"/>
        </w:rPr>
      </w:pPr>
      <w:r w:rsidRPr="005E5914">
        <w:rPr>
          <w:rFonts w:ascii="Arial" w:eastAsia="Calibri" w:hAnsi="Arial" w:cs="Arial"/>
          <w:sz w:val="20"/>
          <w:szCs w:val="20"/>
        </w:rPr>
        <w:t xml:space="preserve">[…] de la reciente Sentencia de Unificación Jurisprudencial del 9 de septiembre de 2021, proferida por el Consejo de Estado, es posible señalar las siguientes características del contrato de prestación de servicios: </w:t>
      </w:r>
      <w:r w:rsidRPr="005E5914">
        <w:rPr>
          <w:rFonts w:ascii="Arial" w:hAnsi="Arial" w:cs="Arial"/>
          <w:noProof/>
          <w:sz w:val="20"/>
          <w:szCs w:val="20"/>
          <w:lang w:val="es-ES_tradnl"/>
        </w:rPr>
        <w:t xml:space="preserve">[…] </w:t>
      </w:r>
      <w:r w:rsidRPr="00ED2FB0">
        <w:rPr>
          <w:rFonts w:ascii="Arial" w:hAnsi="Arial" w:cs="Arial"/>
          <w:noProof/>
          <w:sz w:val="20"/>
          <w:szCs w:val="20"/>
          <w:lang w:val="es-ES_tradnl"/>
        </w:rPr>
        <w:t>Deben ser temporales. La mencionada Sentencia de Unificación Jurisprudencial del Consejo de Estado, frente a la duración del contrato de prestación de servicios señaló que solo puede celebrarse por un “término estrictamente indispensable”. En ese entendido, se estableció el alcance del término “estrictamente indispensable” como “aquel que tiene lugar a la fase precontractual, pues es en esta donde la entidad aproxima en función del objeto a contratar y de los recursos disponibles, el tiempo de vigencia máximo que estima “imprescindible” para su ejecución”.</w:t>
      </w:r>
    </w:p>
    <w:p w14:paraId="2F245388" w14:textId="77777777" w:rsidR="00407F76" w:rsidRDefault="00407F76" w:rsidP="00407F76">
      <w:pPr>
        <w:spacing w:after="0" w:line="240" w:lineRule="auto"/>
        <w:jc w:val="both"/>
        <w:rPr>
          <w:rFonts w:ascii="Arial" w:eastAsia="Calibri" w:hAnsi="Arial" w:cs="Arial"/>
          <w:b/>
          <w:bCs/>
        </w:rPr>
      </w:pPr>
    </w:p>
    <w:p w14:paraId="1FA556EF" w14:textId="77777777" w:rsidR="00407F76" w:rsidRPr="00CD0219" w:rsidRDefault="00407F76" w:rsidP="00407F76">
      <w:pPr>
        <w:spacing w:after="0" w:line="240" w:lineRule="auto"/>
        <w:jc w:val="both"/>
        <w:rPr>
          <w:rFonts w:ascii="Arial" w:eastAsia="Calibri" w:hAnsi="Arial" w:cs="Arial"/>
          <w:b/>
          <w:bCs/>
        </w:rPr>
      </w:pPr>
      <w:r w:rsidRPr="005E5914">
        <w:rPr>
          <w:rFonts w:ascii="Arial" w:eastAsia="Calibri" w:hAnsi="Arial" w:cs="Arial"/>
          <w:b/>
          <w:bCs/>
        </w:rPr>
        <w:t>CONTRATO DE PRESTACIÓN DE SERVICIOS</w:t>
      </w:r>
      <w:r>
        <w:rPr>
          <w:rFonts w:ascii="Arial" w:eastAsia="Calibri" w:hAnsi="Arial" w:cs="Arial"/>
          <w:b/>
          <w:bCs/>
        </w:rPr>
        <w:t xml:space="preserve"> – Estudios previos – Particularidades del objeto – Condiciones para su ejecución</w:t>
      </w:r>
    </w:p>
    <w:p w14:paraId="2504D017" w14:textId="77777777" w:rsidR="00407F76" w:rsidRPr="00D3499C" w:rsidRDefault="00407F76" w:rsidP="00407F76">
      <w:pPr>
        <w:spacing w:after="0" w:line="240" w:lineRule="auto"/>
        <w:jc w:val="both"/>
        <w:rPr>
          <w:rFonts w:ascii="Arial" w:hAnsi="Arial" w:cs="Arial"/>
          <w:noProof/>
          <w:sz w:val="20"/>
          <w:szCs w:val="20"/>
          <w:lang w:val="es-ES_tradnl"/>
        </w:rPr>
      </w:pPr>
    </w:p>
    <w:p w14:paraId="44AFBDD9" w14:textId="77777777" w:rsidR="00407F76" w:rsidRPr="005E5914" w:rsidRDefault="00407F76" w:rsidP="00407F76">
      <w:pPr>
        <w:spacing w:after="0" w:line="240" w:lineRule="auto"/>
        <w:jc w:val="both"/>
        <w:rPr>
          <w:rFonts w:ascii="Arial" w:eastAsia="Calibri" w:hAnsi="Arial" w:cs="Arial"/>
          <w:sz w:val="20"/>
          <w:szCs w:val="20"/>
        </w:rPr>
      </w:pPr>
      <w:r>
        <w:rPr>
          <w:rFonts w:ascii="Arial" w:hAnsi="Arial" w:cs="Arial"/>
          <w:noProof/>
          <w:sz w:val="20"/>
          <w:szCs w:val="20"/>
          <w:lang w:val="es-ES_tradnl"/>
        </w:rPr>
        <w:t>[…]</w:t>
      </w:r>
      <w:r w:rsidRPr="00BB3609">
        <w:rPr>
          <w:rFonts w:ascii="Arial" w:hAnsi="Arial" w:cs="Arial"/>
          <w:noProof/>
          <w:sz w:val="20"/>
          <w:szCs w:val="20"/>
          <w:lang w:val="es-ES_tradnl"/>
        </w:rPr>
        <w:t xml:space="preserve"> </w:t>
      </w:r>
      <w:r w:rsidRPr="00ED2FB0">
        <w:rPr>
          <w:rFonts w:ascii="Arial" w:hAnsi="Arial" w:cs="Arial"/>
          <w:noProof/>
          <w:sz w:val="20"/>
          <w:szCs w:val="20"/>
          <w:lang w:val="es-ES_tradnl"/>
        </w:rPr>
        <w:t>“la vigencia del contrato debe ser por el tiempo necesario para ejecutar el objeto contractual convenido, y este debe estar sujeto al principio de planeación, que encuentra su manifestación práctica en la elaboración de los estudios previos a la celebración del negocio jurídico, pues es allí donde deberán quedar motivadas con suficiencia las razones que justifiquen que la Administración recurra a un contrato de prestación de servicios”. Sin embargo, teniendo en cuenta las particularidades del objeto a contratar, el cual deberá identificarse y justificarse en dichos estudios, las entidades públicas en virtud del principio de autonomía de la voluntad y con el fin de garantizar la eficacia de los principios rectores de la administración pública y los de gestión fiscal, podrán estipular las condiciones en las que este deba ejecutarse.</w:t>
      </w:r>
    </w:p>
    <w:p w14:paraId="25131037" w14:textId="77777777" w:rsidR="00407F76" w:rsidRDefault="00407F76" w:rsidP="00407F76">
      <w:pPr>
        <w:spacing w:after="0" w:line="240" w:lineRule="auto"/>
        <w:contextualSpacing/>
        <w:jc w:val="both"/>
        <w:rPr>
          <w:rFonts w:ascii="Arial" w:eastAsia="Calibri" w:hAnsi="Arial" w:cs="Arial"/>
        </w:rPr>
      </w:pPr>
    </w:p>
    <w:p w14:paraId="6761D469" w14:textId="77777777" w:rsidR="00407F76" w:rsidRPr="00ED454B" w:rsidRDefault="00407F76" w:rsidP="00407F76">
      <w:pPr>
        <w:spacing w:after="0" w:line="240" w:lineRule="auto"/>
        <w:jc w:val="both"/>
        <w:rPr>
          <w:rFonts w:ascii="Arial" w:eastAsia="Calibri" w:hAnsi="Arial" w:cs="Arial"/>
          <w:b/>
          <w:bCs/>
          <w:szCs w:val="24"/>
          <w:lang w:val="es-ES" w:eastAsia="es-ES_tradnl"/>
        </w:rPr>
      </w:pPr>
      <w:r w:rsidRPr="00ED454B">
        <w:rPr>
          <w:rFonts w:ascii="Arial" w:eastAsia="Calibri" w:hAnsi="Arial" w:cs="Arial"/>
          <w:b/>
          <w:bCs/>
          <w:szCs w:val="24"/>
          <w:lang w:val="es-ES" w:eastAsia="es-ES_tradnl"/>
        </w:rPr>
        <w:t>PRINCIPIO DE PLANEACIÓN</w:t>
      </w:r>
      <w:r>
        <w:rPr>
          <w:rFonts w:ascii="Arial" w:eastAsia="Calibri" w:hAnsi="Arial" w:cs="Arial"/>
          <w:b/>
          <w:bCs/>
          <w:szCs w:val="24"/>
          <w:lang w:val="es-ES" w:eastAsia="es-ES_tradnl"/>
        </w:rPr>
        <w:t xml:space="preserve"> – Noción – </w:t>
      </w:r>
      <w:r w:rsidRPr="00ED454B">
        <w:rPr>
          <w:rFonts w:ascii="Arial" w:eastAsia="Calibri" w:hAnsi="Arial" w:cs="Arial"/>
          <w:b/>
          <w:bCs/>
          <w:szCs w:val="24"/>
          <w:lang w:val="es-ES" w:eastAsia="es-ES_tradnl"/>
        </w:rPr>
        <w:t xml:space="preserve">Estudios previos </w:t>
      </w:r>
      <w:r w:rsidRPr="00ED454B">
        <w:rPr>
          <w:rFonts w:ascii="Arial" w:eastAsia="Calibri" w:hAnsi="Arial" w:cs="Arial"/>
          <w:b/>
          <w:bCs/>
          <w:szCs w:val="24"/>
          <w:lang w:eastAsia="es-ES_tradnl"/>
        </w:rPr>
        <w:t>–</w:t>
      </w:r>
      <w:r w:rsidRPr="00ED454B">
        <w:rPr>
          <w:rFonts w:ascii="Arial" w:eastAsia="Calibri" w:hAnsi="Arial" w:cs="Arial"/>
          <w:b/>
          <w:bCs/>
          <w:szCs w:val="24"/>
          <w:lang w:val="es-ES" w:eastAsia="es-ES_tradnl"/>
        </w:rPr>
        <w:t xml:space="preserve"> </w:t>
      </w:r>
      <w:r>
        <w:rPr>
          <w:rFonts w:ascii="Arial" w:eastAsia="Calibri" w:hAnsi="Arial" w:cs="Arial"/>
          <w:b/>
          <w:bCs/>
          <w:szCs w:val="24"/>
          <w:lang w:val="es-ES" w:eastAsia="es-ES_tradnl"/>
        </w:rPr>
        <w:t>Importancia</w:t>
      </w:r>
    </w:p>
    <w:p w14:paraId="2F1EB675" w14:textId="77777777" w:rsidR="00407F76" w:rsidRPr="00ED454B" w:rsidRDefault="00407F76" w:rsidP="00407F76">
      <w:pPr>
        <w:spacing w:after="0" w:line="240" w:lineRule="auto"/>
        <w:jc w:val="both"/>
        <w:rPr>
          <w:rFonts w:ascii="Arial" w:eastAsia="Calibri" w:hAnsi="Arial" w:cs="Arial"/>
          <w:sz w:val="20"/>
          <w:szCs w:val="20"/>
          <w:lang w:val="es-ES" w:eastAsia="es-ES_tradnl"/>
        </w:rPr>
      </w:pPr>
    </w:p>
    <w:p w14:paraId="484A7913" w14:textId="77777777" w:rsidR="00407F76" w:rsidRDefault="00407F76" w:rsidP="00407F76">
      <w:pPr>
        <w:spacing w:after="0" w:line="240" w:lineRule="auto"/>
        <w:jc w:val="both"/>
        <w:rPr>
          <w:rFonts w:ascii="Arial" w:eastAsia="Calibri" w:hAnsi="Arial" w:cs="Arial"/>
          <w:sz w:val="20"/>
          <w:szCs w:val="20"/>
          <w:lang w:val="es-ES" w:eastAsia="es-ES_tradnl"/>
        </w:rPr>
      </w:pPr>
      <w:r w:rsidRPr="00ED2FB0">
        <w:rPr>
          <w:rFonts w:ascii="Arial" w:eastAsia="Calibri" w:hAnsi="Arial" w:cs="Arial"/>
          <w:sz w:val="20"/>
          <w:szCs w:val="20"/>
          <w:lang w:val="es-ES"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 disponibilidad, oferentes, etc. Lo anterior con la finalidad de realizar la escogencia diligente de la mejor oferta, para beneficiar los intereses y fines públicos inmersos en la contratación de las entidades públicas.</w:t>
      </w:r>
      <w:r>
        <w:rPr>
          <w:rFonts w:ascii="Arial" w:eastAsia="Calibri" w:hAnsi="Arial" w:cs="Arial"/>
          <w:sz w:val="20"/>
          <w:szCs w:val="20"/>
          <w:lang w:val="es-ES" w:eastAsia="es-ES_tradnl"/>
        </w:rPr>
        <w:t xml:space="preserve"> </w:t>
      </w:r>
    </w:p>
    <w:p w14:paraId="6C13AE2F" w14:textId="77777777" w:rsidR="00407F76" w:rsidRDefault="00407F76" w:rsidP="00407F76">
      <w:pPr>
        <w:spacing w:after="0" w:line="240" w:lineRule="auto"/>
        <w:jc w:val="both"/>
        <w:rPr>
          <w:rFonts w:ascii="Arial" w:eastAsia="Calibri" w:hAnsi="Arial" w:cs="Arial"/>
          <w:sz w:val="20"/>
          <w:szCs w:val="20"/>
          <w:lang w:val="es-ES" w:eastAsia="es-ES_tradnl"/>
        </w:rPr>
      </w:pPr>
    </w:p>
    <w:p w14:paraId="4A0E2A93" w14:textId="77777777" w:rsidR="00407F76" w:rsidRDefault="00407F76" w:rsidP="00407F76">
      <w:pPr>
        <w:jc w:val="both"/>
        <w:rPr>
          <w:rFonts w:ascii="Geomanist Light" w:eastAsia="Times New Roman" w:hAnsi="Geomanist Light" w:cs="Arial"/>
          <w:b/>
          <w:bCs/>
          <w:lang w:val="es-MX" w:eastAsia="es-CO"/>
        </w:rPr>
      </w:pPr>
      <w:r w:rsidRPr="00C63A9F">
        <w:rPr>
          <w:rFonts w:ascii="Arial" w:eastAsia="Calibri" w:hAnsi="Arial" w:cs="Arial"/>
          <w:sz w:val="20"/>
          <w:szCs w:val="20"/>
          <w:lang w:val="es-ES" w:eastAsia="es-ES_tradnl"/>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5CEB51DD" w14:textId="77777777" w:rsidR="00A75309" w:rsidRPr="00D00E12" w:rsidRDefault="00A75309" w:rsidP="00526E9D">
      <w:pPr>
        <w:rPr>
          <w:rFonts w:ascii="Arial" w:eastAsia="Times New Roman" w:hAnsi="Arial" w:cs="Arial"/>
          <w:b/>
          <w:bCs/>
          <w:lang w:val="es-MX" w:eastAsia="es-CO"/>
        </w:rPr>
      </w:pPr>
    </w:p>
    <w:p w14:paraId="062F1ECA" w14:textId="352423C2" w:rsidR="006219F8" w:rsidRDefault="1CC63BF5" w:rsidP="6B8BD3AC">
      <w:pPr>
        <w:rPr>
          <w:rFonts w:ascii="Arial" w:eastAsia="Geomanist Light" w:hAnsi="Arial" w:cs="Arial"/>
          <w:color w:val="201F1E"/>
          <w:lang w:val="es-MX"/>
        </w:rPr>
      </w:pPr>
      <w:r w:rsidRPr="00D00E12">
        <w:rPr>
          <w:rFonts w:ascii="Arial" w:eastAsia="Geomanist Light" w:hAnsi="Arial" w:cs="Arial"/>
          <w:color w:val="000000" w:themeColor="text1"/>
          <w:lang w:val="es-MX"/>
        </w:rPr>
        <w:lastRenderedPageBreak/>
        <w:t>Bogotá D.C., </w:t>
      </w:r>
      <w:r w:rsidR="0064749F">
        <w:rPr>
          <w:rFonts w:ascii="Arial" w:eastAsia="Geomanist Light" w:hAnsi="Arial" w:cs="Arial"/>
          <w:color w:val="000000" w:themeColor="text1"/>
          <w:lang w:val="es-MX"/>
        </w:rPr>
        <w:t xml:space="preserve">29 de </w:t>
      </w:r>
      <w:proofErr w:type="gramStart"/>
      <w:r w:rsidR="00D07833">
        <w:rPr>
          <w:rFonts w:ascii="Arial" w:eastAsia="Geomanist Light" w:hAnsi="Arial" w:cs="Arial"/>
          <w:color w:val="000000" w:themeColor="text1"/>
          <w:lang w:val="es-MX"/>
        </w:rPr>
        <w:t>Marzo</w:t>
      </w:r>
      <w:proofErr w:type="gramEnd"/>
      <w:r w:rsidR="0064749F">
        <w:rPr>
          <w:rFonts w:ascii="Arial" w:eastAsia="Geomanist Light" w:hAnsi="Arial" w:cs="Arial"/>
          <w:color w:val="000000" w:themeColor="text1"/>
          <w:lang w:val="es-MX"/>
        </w:rPr>
        <w:t xml:space="preserve"> del 2023</w:t>
      </w:r>
    </w:p>
    <w:p w14:paraId="2A0D2C50" w14:textId="77777777" w:rsidR="0084409F" w:rsidRDefault="0084409F" w:rsidP="6B8BD3AC">
      <w:pPr>
        <w:rPr>
          <w:rFonts w:ascii="Arial" w:eastAsia="Geomanist Light" w:hAnsi="Arial" w:cs="Arial"/>
          <w:color w:val="201F1E"/>
          <w:lang w:val="es-MX"/>
        </w:rPr>
      </w:pPr>
    </w:p>
    <w:p w14:paraId="2F85B660" w14:textId="0BA71008" w:rsidR="0084409F" w:rsidRPr="00D00E12" w:rsidRDefault="0084409F" w:rsidP="0084409F">
      <w:pPr>
        <w:jc w:val="right"/>
        <w:rPr>
          <w:rFonts w:ascii="Arial" w:eastAsia="Geomanist Light" w:hAnsi="Arial" w:cs="Arial"/>
          <w:color w:val="201F1E"/>
          <w:lang w:val="es-MX"/>
        </w:rPr>
      </w:pPr>
      <w:r w:rsidRPr="0084409F">
        <w:rPr>
          <w:rFonts w:ascii="Arial" w:eastAsia="Geomanist Light" w:hAnsi="Arial" w:cs="Arial"/>
          <w:noProof/>
          <w:color w:val="201F1E"/>
          <w:lang w:val="es-MX"/>
        </w:rPr>
        <w:drawing>
          <wp:inline distT="0" distB="0" distL="0" distR="0" wp14:anchorId="231EA7B3" wp14:editId="689BF3C5">
            <wp:extent cx="2553056" cy="695422"/>
            <wp:effectExtent l="0" t="0" r="0" b="9525"/>
            <wp:docPr id="1962133869"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33869" name="Imagen 1" descr="Interfaz de usuario gráfica, Texto&#10;&#10;Descripción generada automáticamente"/>
                    <pic:cNvPicPr/>
                  </pic:nvPicPr>
                  <pic:blipFill>
                    <a:blip r:embed="rId11"/>
                    <a:stretch>
                      <a:fillRect/>
                    </a:stretch>
                  </pic:blipFill>
                  <pic:spPr>
                    <a:xfrm>
                      <a:off x="0" y="0"/>
                      <a:ext cx="2553056" cy="695422"/>
                    </a:xfrm>
                    <a:prstGeom prst="rect">
                      <a:avLst/>
                    </a:prstGeom>
                  </pic:spPr>
                </pic:pic>
              </a:graphicData>
            </a:graphic>
          </wp:inline>
        </w:drawing>
      </w:r>
    </w:p>
    <w:p w14:paraId="38A6DE5F" w14:textId="77777777" w:rsidR="00362FD6" w:rsidRDefault="00362FD6" w:rsidP="00A75309">
      <w:pPr>
        <w:spacing w:after="0" w:line="240" w:lineRule="auto"/>
        <w:contextualSpacing/>
        <w:jc w:val="both"/>
        <w:rPr>
          <w:rFonts w:ascii="Arial" w:eastAsia="Calibri" w:hAnsi="Arial" w:cs="Arial"/>
        </w:rPr>
      </w:pPr>
    </w:p>
    <w:p w14:paraId="5A613B83" w14:textId="79F49FE4" w:rsidR="00A75309" w:rsidRPr="00A75309" w:rsidRDefault="00A75309" w:rsidP="00A75309">
      <w:pPr>
        <w:spacing w:after="0" w:line="240" w:lineRule="auto"/>
        <w:contextualSpacing/>
        <w:jc w:val="both"/>
        <w:rPr>
          <w:rFonts w:ascii="Arial" w:eastAsia="Calibri" w:hAnsi="Arial" w:cs="Arial"/>
        </w:rPr>
      </w:pPr>
      <w:r w:rsidRPr="00A75309">
        <w:rPr>
          <w:rFonts w:ascii="Arial" w:eastAsia="Calibri" w:hAnsi="Arial" w:cs="Arial"/>
        </w:rPr>
        <w:t>Señor</w:t>
      </w:r>
    </w:p>
    <w:p w14:paraId="5F34E914" w14:textId="77777777" w:rsidR="00A75309" w:rsidRPr="00A75309" w:rsidRDefault="00A75309" w:rsidP="00A75309">
      <w:pPr>
        <w:spacing w:after="0" w:line="240" w:lineRule="auto"/>
        <w:contextualSpacing/>
        <w:jc w:val="both"/>
        <w:rPr>
          <w:rFonts w:ascii="Arial" w:eastAsia="Calibri" w:hAnsi="Arial" w:cs="Arial"/>
          <w:b/>
          <w:bCs/>
        </w:rPr>
      </w:pPr>
      <w:r w:rsidRPr="00A75309">
        <w:rPr>
          <w:rFonts w:ascii="Arial" w:eastAsia="Calibri" w:hAnsi="Arial" w:cs="Arial"/>
          <w:b/>
          <w:bCs/>
        </w:rPr>
        <w:t xml:space="preserve">Juan Camilo Carranza </w:t>
      </w:r>
      <w:proofErr w:type="spellStart"/>
      <w:r w:rsidRPr="00A75309">
        <w:rPr>
          <w:rFonts w:ascii="Arial" w:eastAsia="Calibri" w:hAnsi="Arial" w:cs="Arial"/>
          <w:b/>
          <w:bCs/>
        </w:rPr>
        <w:t>Totaitive</w:t>
      </w:r>
      <w:proofErr w:type="spellEnd"/>
    </w:p>
    <w:p w14:paraId="0BDE91F7" w14:textId="77777777" w:rsidR="00A75309" w:rsidRPr="00A75309" w:rsidRDefault="00E35534" w:rsidP="00A75309">
      <w:pPr>
        <w:spacing w:after="0" w:line="240" w:lineRule="auto"/>
        <w:contextualSpacing/>
        <w:jc w:val="both"/>
        <w:rPr>
          <w:rFonts w:ascii="Arial" w:eastAsia="Calibri" w:hAnsi="Arial" w:cs="Arial"/>
        </w:rPr>
      </w:pPr>
      <w:hyperlink r:id="rId12" w:history="1">
        <w:r w:rsidR="00A75309" w:rsidRPr="00A75309">
          <w:rPr>
            <w:rFonts w:ascii="Arial" w:eastAsia="Calibri" w:hAnsi="Arial" w:cs="Arial"/>
            <w:color w:val="0563C1" w:themeColor="hyperlink"/>
            <w:u w:val="single"/>
          </w:rPr>
          <w:t>juantotaitive@gmail.com</w:t>
        </w:r>
      </w:hyperlink>
      <w:r w:rsidR="00A75309" w:rsidRPr="00A75309">
        <w:rPr>
          <w:rFonts w:ascii="Arial" w:eastAsia="Calibri" w:hAnsi="Arial" w:cs="Arial"/>
        </w:rPr>
        <w:t xml:space="preserve">  </w:t>
      </w:r>
    </w:p>
    <w:p w14:paraId="74926135" w14:textId="77777777" w:rsidR="00A75309" w:rsidRPr="00A75309" w:rsidRDefault="00A75309" w:rsidP="00A75309">
      <w:pPr>
        <w:spacing w:after="0" w:line="240" w:lineRule="auto"/>
        <w:contextualSpacing/>
        <w:jc w:val="both"/>
        <w:rPr>
          <w:rFonts w:ascii="Arial" w:eastAsia="Calibri" w:hAnsi="Arial" w:cs="Arial"/>
        </w:rPr>
      </w:pPr>
      <w:r w:rsidRPr="00A75309">
        <w:rPr>
          <w:rFonts w:ascii="Arial" w:eastAsia="Calibri" w:hAnsi="Arial" w:cs="Arial"/>
        </w:rPr>
        <w:t>Aguazul, Casanare</w:t>
      </w:r>
    </w:p>
    <w:p w14:paraId="2EA81C1A" w14:textId="77777777" w:rsidR="00A75309" w:rsidRPr="00A75309" w:rsidRDefault="00A75309" w:rsidP="00A75309">
      <w:pPr>
        <w:spacing w:after="0" w:line="240" w:lineRule="auto"/>
        <w:contextualSpacing/>
        <w:jc w:val="both"/>
        <w:rPr>
          <w:rFonts w:ascii="Arial" w:eastAsia="Calibri" w:hAnsi="Arial" w:cs="Arial"/>
        </w:rPr>
      </w:pPr>
    </w:p>
    <w:p w14:paraId="024AD004" w14:textId="77777777" w:rsidR="00A75309" w:rsidRPr="00A75309" w:rsidRDefault="00A75309" w:rsidP="00A75309">
      <w:pPr>
        <w:spacing w:after="0" w:line="240" w:lineRule="auto"/>
        <w:contextualSpacing/>
        <w:jc w:val="both"/>
        <w:rPr>
          <w:rFonts w:ascii="Arial" w:eastAsia="Calibri" w:hAnsi="Arial" w:cs="Arial"/>
        </w:rPr>
      </w:pPr>
      <w:r w:rsidRPr="00A75309">
        <w:rPr>
          <w:rFonts w:ascii="Arial" w:eastAsia="Calibri" w:hAnsi="Arial" w:cs="Arial"/>
        </w:rPr>
        <w:t xml:space="preserve">                                            </w:t>
      </w:r>
      <w:r w:rsidRPr="00A75309">
        <w:rPr>
          <w:rFonts w:ascii="Arial" w:eastAsia="Calibri" w:hAnsi="Arial" w:cs="Arial"/>
          <w:b/>
        </w:rPr>
        <w:t>Concepto C-057 de 2023</w:t>
      </w:r>
    </w:p>
    <w:p w14:paraId="0B1AD045" w14:textId="77777777" w:rsidR="00A75309" w:rsidRPr="00A75309" w:rsidRDefault="00A75309" w:rsidP="00A75309">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75309" w:rsidRPr="00A75309" w14:paraId="5D9E8B9C" w14:textId="77777777" w:rsidTr="009F6A69">
        <w:trPr>
          <w:trHeight w:val="485"/>
        </w:trPr>
        <w:tc>
          <w:tcPr>
            <w:tcW w:w="2689" w:type="dxa"/>
            <w:hideMark/>
          </w:tcPr>
          <w:p w14:paraId="1EB49DFE" w14:textId="77777777" w:rsidR="00A75309" w:rsidRPr="00A75309" w:rsidRDefault="00A75309" w:rsidP="00A75309">
            <w:pPr>
              <w:contextualSpacing/>
              <w:rPr>
                <w:rFonts w:ascii="Arial" w:eastAsia="Calibri" w:hAnsi="Arial" w:cs="Arial"/>
                <w:noProof/>
                <w:lang w:val="es-ES_tradnl"/>
              </w:rPr>
            </w:pPr>
            <w:r w:rsidRPr="00A75309">
              <w:rPr>
                <w:rFonts w:ascii="Arial" w:eastAsia="Calibri" w:hAnsi="Arial" w:cs="Arial"/>
                <w:b/>
                <w:noProof/>
                <w:lang w:val="es-ES_tradnl"/>
              </w:rPr>
              <w:t>Temas:</w:t>
            </w:r>
            <w:r w:rsidRPr="00A75309">
              <w:rPr>
                <w:rFonts w:ascii="Arial" w:eastAsia="Calibri" w:hAnsi="Arial" w:cs="Arial"/>
                <w:noProof/>
                <w:lang w:val="es-ES_tradnl"/>
              </w:rPr>
              <w:t xml:space="preserve">        </w:t>
            </w:r>
          </w:p>
        </w:tc>
        <w:tc>
          <w:tcPr>
            <w:tcW w:w="6237" w:type="dxa"/>
            <w:hideMark/>
          </w:tcPr>
          <w:p w14:paraId="121DE937" w14:textId="605EEE33" w:rsidR="00A75309" w:rsidRPr="00A75309" w:rsidRDefault="00A75309" w:rsidP="00A75309">
            <w:pPr>
              <w:contextualSpacing/>
              <w:jc w:val="both"/>
              <w:rPr>
                <w:rFonts w:ascii="Arial" w:eastAsia="Times New Roman" w:hAnsi="Arial" w:cs="Arial"/>
                <w:color w:val="000000"/>
                <w:lang w:val="es-ES_tradnl" w:eastAsia="es-ES_tradnl"/>
              </w:rPr>
            </w:pPr>
            <w:r w:rsidRPr="00A75309">
              <w:rPr>
                <w:rFonts w:ascii="Arial" w:eastAsia="Times New Roman" w:hAnsi="Arial" w:cs="Arial"/>
                <w:color w:val="000000"/>
                <w:lang w:val="es-ES_tradnl" w:eastAsia="es-ES_tradnl"/>
              </w:rPr>
              <w:t>CONTRATO DE PRESTACIÓN DE SERVICIOS – Concepto</w:t>
            </w:r>
            <w:r w:rsidR="000F5E3A">
              <w:rPr>
                <w:rFonts w:ascii="Arial" w:eastAsia="Times New Roman" w:hAnsi="Arial" w:cs="Arial"/>
                <w:color w:val="000000"/>
                <w:lang w:val="es-ES_tradnl" w:eastAsia="es-ES_tradnl"/>
              </w:rPr>
              <w:t xml:space="preserve"> – Características</w:t>
            </w:r>
            <w:r w:rsidRPr="00A75309">
              <w:rPr>
                <w:rFonts w:ascii="Arial" w:eastAsia="Times New Roman" w:hAnsi="Arial" w:cs="Arial"/>
                <w:color w:val="000000"/>
                <w:lang w:val="es-ES_tradnl" w:eastAsia="es-ES_tradnl"/>
              </w:rPr>
              <w:t xml:space="preserve"> – Temporalidad</w:t>
            </w:r>
            <w:r w:rsidR="000F5E3A">
              <w:rPr>
                <w:rFonts w:ascii="Arial" w:eastAsia="Times New Roman" w:hAnsi="Arial" w:cs="Arial"/>
                <w:color w:val="000000"/>
                <w:lang w:val="es-ES_tradnl" w:eastAsia="es-ES_tradnl"/>
              </w:rPr>
              <w:t xml:space="preserve"> / CONTRATO DE PRESTACIÓN D</w:t>
            </w:r>
            <w:r w:rsidR="00E9151C">
              <w:rPr>
                <w:rFonts w:ascii="Arial" w:eastAsia="Times New Roman" w:hAnsi="Arial" w:cs="Arial"/>
                <w:color w:val="000000"/>
                <w:lang w:val="es-ES_tradnl" w:eastAsia="es-ES_tradnl"/>
              </w:rPr>
              <w:t>E SERVICIOS – Estudios previos – Particularidades del objeto</w:t>
            </w:r>
            <w:r w:rsidR="00A52F7C">
              <w:rPr>
                <w:rFonts w:ascii="Arial" w:eastAsia="Times New Roman" w:hAnsi="Arial" w:cs="Arial"/>
                <w:color w:val="000000"/>
                <w:lang w:val="es-ES_tradnl" w:eastAsia="es-ES_tradnl"/>
              </w:rPr>
              <w:t xml:space="preserve"> – Condiciones para su ejecución</w:t>
            </w:r>
            <w:r w:rsidRPr="00A75309">
              <w:rPr>
                <w:rFonts w:ascii="Arial" w:eastAsia="Times New Roman" w:hAnsi="Arial" w:cs="Arial"/>
                <w:color w:val="000000"/>
                <w:lang w:val="es-ES_tradnl" w:eastAsia="es-ES_tradnl"/>
              </w:rPr>
              <w:t xml:space="preserve"> / PRINCIPIO DE PLANEACIÓN – Noción – Estudios previos – Importancia </w:t>
            </w:r>
          </w:p>
          <w:p w14:paraId="2088A64E" w14:textId="77777777" w:rsidR="00A75309" w:rsidRPr="00A75309" w:rsidRDefault="00A75309" w:rsidP="00A75309">
            <w:pPr>
              <w:contextualSpacing/>
              <w:jc w:val="both"/>
              <w:rPr>
                <w:rFonts w:ascii="Arial" w:eastAsia="Calibri" w:hAnsi="Arial" w:cs="Arial"/>
                <w:b/>
                <w:bCs/>
                <w:lang w:val="es-MX"/>
              </w:rPr>
            </w:pPr>
          </w:p>
          <w:p w14:paraId="3560CCD3" w14:textId="77777777" w:rsidR="00A75309" w:rsidRPr="00A75309" w:rsidRDefault="00A75309" w:rsidP="00A75309">
            <w:pPr>
              <w:ind w:right="703"/>
              <w:contextualSpacing/>
              <w:jc w:val="both"/>
              <w:rPr>
                <w:rFonts w:ascii="Arial" w:eastAsia="Calibri" w:hAnsi="Arial" w:cs="Arial"/>
                <w:bCs/>
                <w:lang w:val="es-MX"/>
              </w:rPr>
            </w:pPr>
          </w:p>
        </w:tc>
      </w:tr>
      <w:tr w:rsidR="00A75309" w:rsidRPr="00A75309" w14:paraId="134E021A" w14:textId="77777777" w:rsidTr="009F6A69">
        <w:tc>
          <w:tcPr>
            <w:tcW w:w="2689" w:type="dxa"/>
          </w:tcPr>
          <w:p w14:paraId="265ED6C6" w14:textId="3497DCB5" w:rsidR="00A75309" w:rsidRPr="00A75309" w:rsidRDefault="00A75309" w:rsidP="00A75309">
            <w:pPr>
              <w:contextualSpacing/>
              <w:rPr>
                <w:rFonts w:ascii="Arial" w:eastAsia="Calibri" w:hAnsi="Arial" w:cs="Arial"/>
                <w:b/>
                <w:noProof/>
                <w:lang w:val="es-ES_tradnl"/>
              </w:rPr>
            </w:pPr>
            <w:r w:rsidRPr="00A75309">
              <w:rPr>
                <w:rFonts w:ascii="Arial" w:eastAsia="Calibri" w:hAnsi="Arial" w:cs="Arial"/>
                <w:b/>
                <w:noProof/>
                <w:lang w:val="es-ES_tradnl"/>
              </w:rPr>
              <w:t>Radicación:</w:t>
            </w:r>
            <w:r w:rsidRPr="00A75309">
              <w:rPr>
                <w:rFonts w:ascii="Arial" w:eastAsia="Calibri" w:hAnsi="Arial" w:cs="Arial"/>
                <w:noProof/>
                <w:lang w:val="es-ES_tradnl"/>
              </w:rPr>
              <w:t xml:space="preserve">                              </w:t>
            </w:r>
          </w:p>
        </w:tc>
        <w:tc>
          <w:tcPr>
            <w:tcW w:w="6237" w:type="dxa"/>
          </w:tcPr>
          <w:p w14:paraId="1F6225BA" w14:textId="77777777" w:rsidR="00A75309" w:rsidRPr="00A75309" w:rsidRDefault="00A75309" w:rsidP="00A75309">
            <w:pPr>
              <w:contextualSpacing/>
              <w:jc w:val="both"/>
              <w:rPr>
                <w:rFonts w:ascii="Arial" w:eastAsia="Calibri" w:hAnsi="Arial" w:cs="Arial"/>
                <w:noProof/>
                <w:lang w:val="es-ES_tradnl"/>
              </w:rPr>
            </w:pPr>
            <w:r w:rsidRPr="00A75309">
              <w:rPr>
                <w:rFonts w:ascii="Arial" w:eastAsia="Calibri" w:hAnsi="Arial" w:cs="Arial"/>
                <w:noProof/>
                <w:lang w:val="es-ES_tradnl"/>
              </w:rPr>
              <w:t>Respuesta a consulta P20230303002005</w:t>
            </w:r>
            <w:r w:rsidRPr="00A75309">
              <w:rPr>
                <w:rFonts w:ascii="Arial" w:eastAsia="Calibri" w:hAnsi="Arial" w:cs="Arial"/>
                <w:noProof/>
                <w:lang w:val="es-ES_tradnl"/>
              </w:rPr>
              <w:tab/>
            </w:r>
            <w:r w:rsidRPr="00A75309">
              <w:rPr>
                <w:rFonts w:ascii="Arial" w:eastAsia="Calibri" w:hAnsi="Arial" w:cs="Arial"/>
                <w:noProof/>
                <w:lang w:val="es-ES_tradnl"/>
              </w:rPr>
              <w:tab/>
            </w:r>
          </w:p>
        </w:tc>
      </w:tr>
    </w:tbl>
    <w:p w14:paraId="32B35565" w14:textId="77777777" w:rsidR="00A75309" w:rsidRPr="00A75309" w:rsidRDefault="00A75309" w:rsidP="00A75309">
      <w:pPr>
        <w:spacing w:after="0" w:line="240" w:lineRule="auto"/>
        <w:contextualSpacing/>
        <w:jc w:val="both"/>
        <w:rPr>
          <w:rFonts w:ascii="Arial" w:eastAsia="Calibri" w:hAnsi="Arial" w:cs="Arial"/>
        </w:rPr>
      </w:pPr>
    </w:p>
    <w:p w14:paraId="24DFD524" w14:textId="77777777" w:rsidR="00A75309" w:rsidRPr="00A75309" w:rsidRDefault="00A75309" w:rsidP="00A75309">
      <w:pPr>
        <w:spacing w:after="0" w:line="240" w:lineRule="auto"/>
        <w:contextualSpacing/>
        <w:jc w:val="both"/>
        <w:rPr>
          <w:rFonts w:ascii="Arial" w:eastAsia="Calibri" w:hAnsi="Arial" w:cs="Arial"/>
        </w:rPr>
      </w:pPr>
    </w:p>
    <w:p w14:paraId="3A008A90" w14:textId="77777777" w:rsidR="00A75309" w:rsidRPr="00A75309" w:rsidRDefault="00A75309" w:rsidP="00A75309">
      <w:pPr>
        <w:spacing w:after="0" w:line="276" w:lineRule="auto"/>
        <w:contextualSpacing/>
        <w:jc w:val="both"/>
        <w:rPr>
          <w:rFonts w:ascii="Arial" w:eastAsia="Calibri" w:hAnsi="Arial" w:cs="Arial"/>
        </w:rPr>
      </w:pPr>
      <w:r w:rsidRPr="00A75309">
        <w:rPr>
          <w:rFonts w:ascii="Arial" w:eastAsia="Calibri" w:hAnsi="Arial" w:cs="Arial"/>
        </w:rPr>
        <w:t>Estimado señor Carranza:</w:t>
      </w:r>
    </w:p>
    <w:p w14:paraId="41D090E7" w14:textId="77777777" w:rsidR="00A75309" w:rsidRPr="00A75309" w:rsidRDefault="00A75309" w:rsidP="00A75309">
      <w:pPr>
        <w:spacing w:after="0" w:line="276" w:lineRule="auto"/>
        <w:ind w:firstLine="709"/>
        <w:contextualSpacing/>
        <w:jc w:val="both"/>
        <w:rPr>
          <w:rFonts w:ascii="Arial" w:eastAsia="Calibri" w:hAnsi="Arial" w:cs="Arial"/>
        </w:rPr>
      </w:pPr>
    </w:p>
    <w:p w14:paraId="7953B88B" w14:textId="77777777" w:rsidR="00A75309" w:rsidRPr="00A75309" w:rsidRDefault="00A75309" w:rsidP="00A75309">
      <w:pPr>
        <w:spacing w:after="0" w:line="276" w:lineRule="auto"/>
        <w:contextualSpacing/>
        <w:jc w:val="both"/>
        <w:rPr>
          <w:rFonts w:ascii="Arial" w:eastAsia="Calibri" w:hAnsi="Arial" w:cs="Arial"/>
        </w:rPr>
      </w:pPr>
      <w:r w:rsidRPr="00A75309">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03 de marzo de 2023, la cual fue remitida por el Departamento Administrativo de la Función Pública, mediante oficio con radicado No. 20239000103912 del mismo mes y año.</w:t>
      </w:r>
    </w:p>
    <w:p w14:paraId="1BDBA967" w14:textId="77777777" w:rsidR="00A75309" w:rsidRPr="00A75309" w:rsidRDefault="00A75309" w:rsidP="00A75309">
      <w:pPr>
        <w:spacing w:after="0" w:line="276" w:lineRule="auto"/>
        <w:contextualSpacing/>
        <w:jc w:val="both"/>
        <w:rPr>
          <w:rFonts w:ascii="Arial" w:eastAsia="Calibri" w:hAnsi="Arial" w:cs="Arial"/>
        </w:rPr>
      </w:pPr>
    </w:p>
    <w:p w14:paraId="54FEA677" w14:textId="77777777" w:rsidR="00A75309" w:rsidRPr="00A75309" w:rsidRDefault="00A75309" w:rsidP="00A75309">
      <w:pPr>
        <w:tabs>
          <w:tab w:val="left" w:pos="284"/>
        </w:tabs>
        <w:spacing w:after="0" w:line="276" w:lineRule="auto"/>
        <w:contextualSpacing/>
        <w:jc w:val="both"/>
        <w:rPr>
          <w:rFonts w:ascii="Arial" w:eastAsia="Calibri" w:hAnsi="Arial" w:cs="Arial"/>
          <w:b/>
        </w:rPr>
      </w:pPr>
      <w:r w:rsidRPr="00A75309">
        <w:rPr>
          <w:rFonts w:ascii="Arial" w:eastAsia="Calibri" w:hAnsi="Arial" w:cs="Arial"/>
          <w:b/>
        </w:rPr>
        <w:t xml:space="preserve">1. Problema planteado </w:t>
      </w:r>
    </w:p>
    <w:p w14:paraId="4844F919" w14:textId="77777777" w:rsidR="00A75309" w:rsidRPr="00A75309" w:rsidRDefault="00A75309" w:rsidP="00A75309">
      <w:pPr>
        <w:tabs>
          <w:tab w:val="left" w:pos="284"/>
        </w:tabs>
        <w:spacing w:after="0" w:line="276" w:lineRule="auto"/>
        <w:ind w:firstLine="709"/>
        <w:contextualSpacing/>
        <w:jc w:val="both"/>
        <w:rPr>
          <w:rFonts w:ascii="Arial" w:eastAsia="Calibri" w:hAnsi="Arial" w:cs="Arial"/>
          <w:b/>
        </w:rPr>
      </w:pPr>
    </w:p>
    <w:p w14:paraId="19151411" w14:textId="01AD8BF1" w:rsidR="00A75309" w:rsidRPr="00A75309" w:rsidRDefault="00A75309" w:rsidP="00A75309">
      <w:pPr>
        <w:spacing w:after="0" w:line="276" w:lineRule="auto"/>
        <w:contextualSpacing/>
        <w:jc w:val="both"/>
        <w:rPr>
          <w:rFonts w:ascii="Arial" w:eastAsia="Calibri" w:hAnsi="Arial" w:cs="Arial"/>
        </w:rPr>
      </w:pPr>
      <w:bookmarkStart w:id="0" w:name="_Hlk58917991"/>
      <w:bookmarkStart w:id="1" w:name="_Hlk56103000"/>
      <w:r w:rsidRPr="00A75309">
        <w:rPr>
          <w:rFonts w:ascii="Arial" w:eastAsia="Calibri" w:hAnsi="Arial" w:cs="Arial"/>
        </w:rPr>
        <w:t xml:space="preserve">Usted plantea la siguiente consulta: </w:t>
      </w:r>
      <w:bookmarkStart w:id="2" w:name="_Hlk116284008"/>
      <w:r w:rsidR="00D91F03">
        <w:rPr>
          <w:rFonts w:ascii="Arial" w:eastAsia="Calibri" w:hAnsi="Arial" w:cs="Arial"/>
          <w:color w:val="000000" w:themeColor="text1"/>
          <w:sz w:val="21"/>
          <w:szCs w:val="21"/>
          <w:lang w:val="es-MX"/>
        </w:rPr>
        <w:t>“</w:t>
      </w:r>
      <w:r w:rsidRPr="00A75309">
        <w:rPr>
          <w:rFonts w:ascii="Arial" w:eastAsia="Calibri" w:hAnsi="Arial" w:cs="Arial"/>
          <w:color w:val="000000" w:themeColor="text1"/>
          <w:sz w:val="21"/>
          <w:szCs w:val="21"/>
          <w:lang w:val="es-MX"/>
        </w:rPr>
        <w:t xml:space="preserve">[¿]Es viable que las actividades en los contratos de prestación de servicios no sean ejecutadas mensualmente? </w:t>
      </w:r>
      <w:proofErr w:type="spellStart"/>
      <w:r w:rsidRPr="00A75309">
        <w:rPr>
          <w:rFonts w:ascii="Arial" w:eastAsia="Calibri" w:hAnsi="Arial" w:cs="Arial"/>
          <w:color w:val="000000" w:themeColor="text1"/>
          <w:sz w:val="21"/>
          <w:szCs w:val="21"/>
          <w:lang w:val="es-MX"/>
        </w:rPr>
        <w:t>Aún</w:t>
      </w:r>
      <w:proofErr w:type="spellEnd"/>
      <w:r w:rsidRPr="00A75309">
        <w:rPr>
          <w:rFonts w:ascii="Arial" w:eastAsia="Calibri" w:hAnsi="Arial" w:cs="Arial"/>
          <w:color w:val="000000" w:themeColor="text1"/>
          <w:sz w:val="21"/>
          <w:szCs w:val="21"/>
          <w:lang w:val="es-MX"/>
        </w:rPr>
        <w:t xml:space="preserve"> cuando la forma de pago sea mediante actas parciales mensuales donde se exija informe de actividades mensuales</w:t>
      </w:r>
      <w:r w:rsidR="00D91F03">
        <w:rPr>
          <w:rFonts w:ascii="Arial" w:eastAsia="Calibri" w:hAnsi="Arial" w:cs="Arial"/>
          <w:color w:val="000000" w:themeColor="text1"/>
          <w:sz w:val="21"/>
          <w:szCs w:val="21"/>
          <w:lang w:val="es-MX"/>
        </w:rPr>
        <w:t>”</w:t>
      </w:r>
      <w:r w:rsidRPr="00A75309">
        <w:rPr>
          <w:rFonts w:ascii="Arial" w:eastAsia="Calibri" w:hAnsi="Arial" w:cs="Arial"/>
          <w:color w:val="000000" w:themeColor="text1"/>
          <w:sz w:val="21"/>
          <w:szCs w:val="21"/>
          <w:lang w:val="es-MX"/>
        </w:rPr>
        <w:t xml:space="preserve"> [sic]</w:t>
      </w:r>
      <w:r w:rsidR="00D91F03">
        <w:rPr>
          <w:rFonts w:ascii="Arial" w:eastAsia="Calibri" w:hAnsi="Arial" w:cs="Arial"/>
          <w:color w:val="000000" w:themeColor="text1"/>
          <w:sz w:val="21"/>
          <w:szCs w:val="21"/>
          <w:lang w:val="es-MX"/>
        </w:rPr>
        <w:t>.</w:t>
      </w:r>
    </w:p>
    <w:bookmarkEnd w:id="2"/>
    <w:p w14:paraId="58AF9DCD" w14:textId="77777777" w:rsidR="00A75309" w:rsidRPr="00A75309" w:rsidRDefault="00A75309" w:rsidP="00A75309">
      <w:pPr>
        <w:tabs>
          <w:tab w:val="left" w:pos="426"/>
        </w:tabs>
        <w:spacing w:after="0" w:line="240" w:lineRule="auto"/>
        <w:contextualSpacing/>
        <w:jc w:val="both"/>
        <w:rPr>
          <w:rFonts w:ascii="Arial" w:eastAsia="Calibri" w:hAnsi="Arial" w:cs="Arial"/>
        </w:rPr>
      </w:pPr>
    </w:p>
    <w:bookmarkEnd w:id="0"/>
    <w:bookmarkEnd w:id="1"/>
    <w:p w14:paraId="6445A234" w14:textId="77777777" w:rsidR="00A75309" w:rsidRPr="00A75309" w:rsidRDefault="00A75309" w:rsidP="00A75309">
      <w:pPr>
        <w:tabs>
          <w:tab w:val="left" w:pos="284"/>
        </w:tabs>
        <w:spacing w:after="0" w:line="276" w:lineRule="auto"/>
        <w:contextualSpacing/>
        <w:jc w:val="both"/>
        <w:rPr>
          <w:rFonts w:ascii="Arial" w:eastAsia="Calibri" w:hAnsi="Arial" w:cs="Arial"/>
          <w:b/>
        </w:rPr>
      </w:pPr>
      <w:r w:rsidRPr="00A75309">
        <w:rPr>
          <w:rFonts w:ascii="Arial" w:eastAsia="Calibri" w:hAnsi="Arial" w:cs="Arial"/>
          <w:b/>
        </w:rPr>
        <w:t>2. Consideraciones</w:t>
      </w:r>
    </w:p>
    <w:p w14:paraId="5E6C91D6" w14:textId="77777777" w:rsidR="00A75309" w:rsidRPr="00A75309" w:rsidRDefault="00A75309" w:rsidP="00A75309">
      <w:pPr>
        <w:tabs>
          <w:tab w:val="left" w:pos="284"/>
        </w:tabs>
        <w:spacing w:after="0" w:line="276" w:lineRule="auto"/>
        <w:contextualSpacing/>
        <w:jc w:val="both"/>
        <w:rPr>
          <w:rFonts w:ascii="Arial" w:eastAsia="Calibri" w:hAnsi="Arial" w:cs="Arial"/>
          <w:b/>
        </w:rPr>
      </w:pPr>
    </w:p>
    <w:p w14:paraId="06239CA2" w14:textId="77777777" w:rsidR="00A75309" w:rsidRPr="00A75309" w:rsidRDefault="00A75309" w:rsidP="00A75309">
      <w:pPr>
        <w:spacing w:after="120" w:line="276" w:lineRule="auto"/>
        <w:jc w:val="both"/>
        <w:rPr>
          <w:rFonts w:ascii="Arial" w:eastAsia="Calibri" w:hAnsi="Arial" w:cs="Arial"/>
          <w:lang w:val="es-ES"/>
        </w:rPr>
      </w:pPr>
      <w:r w:rsidRPr="00A75309">
        <w:rPr>
          <w:rFonts w:ascii="Arial" w:eastAsia="Calibri" w:hAnsi="Arial" w:cs="Arial"/>
          <w:bCs/>
          <w:lang w:val="es-MX"/>
        </w:rPr>
        <w:lastRenderedPageBreak/>
        <w:t>En ejercicio de las competencias establecidas en los artículos 3.5 y 11.8 del Decreto 4170 de 2011, la Agencia Nacional de Contratación Pública – Colombia Compra Eficiente resuelve la consulta sobre los asuntos de su competencia, esto es, sobre las temáticas de la contratación estatal relacionados en los artículos citados.</w:t>
      </w:r>
      <w:r w:rsidRPr="00A75309">
        <w:rPr>
          <w:rFonts w:ascii="Arial" w:eastAsia="Calibri" w:hAnsi="Arial" w:cs="Arial"/>
          <w:lang w:val="es-ES"/>
        </w:rPr>
        <w:t xml:space="preserve"> </w:t>
      </w:r>
      <w:bookmarkStart w:id="3" w:name="_Hlk61701014"/>
      <w:bookmarkStart w:id="4" w:name="_Hlk62136649"/>
      <w:r w:rsidRPr="00A75309">
        <w:rPr>
          <w:rFonts w:ascii="Arial" w:eastAsia="Calibri" w:hAnsi="Arial" w:cs="Arial"/>
          <w:lang w:val="es-ES"/>
        </w:rPr>
        <w:t xml:space="preserve">Es necesario tener en cuenta que </w:t>
      </w:r>
      <w:bookmarkStart w:id="5" w:name="_Hlk61026958"/>
      <w:r w:rsidRPr="00A75309">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75309">
        <w:rPr>
          <w:rFonts w:ascii="Arial" w:eastAsia="Calibri" w:hAnsi="Arial" w:cs="Arial"/>
          <w:bCs/>
          <w:lang w:val="es-MX"/>
        </w:rPr>
        <w:t xml:space="preserve"> de todos los partícipes de la contratación estatal.</w:t>
      </w:r>
    </w:p>
    <w:p w14:paraId="1F3C96D2" w14:textId="77777777" w:rsidR="00A75309" w:rsidRPr="00A75309" w:rsidRDefault="00A75309" w:rsidP="00A75309">
      <w:pPr>
        <w:spacing w:after="120" w:line="276" w:lineRule="auto"/>
        <w:ind w:firstLine="708"/>
        <w:jc w:val="both"/>
        <w:rPr>
          <w:rFonts w:ascii="Arial" w:eastAsia="Calibri" w:hAnsi="Arial" w:cs="Arial"/>
          <w:lang w:val="es-ES"/>
        </w:rPr>
      </w:pPr>
      <w:r w:rsidRPr="00A75309">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75309">
        <w:rPr>
          <w:rFonts w:ascii="Arial" w:eastAsia="Calibri" w:hAnsi="Arial" w:cs="Arial"/>
          <w:vertAlign w:val="superscript"/>
          <w:lang w:val="es-ES"/>
        </w:rPr>
        <w:footnoteReference w:id="2"/>
      </w:r>
      <w:r w:rsidRPr="00A75309">
        <w:rPr>
          <w:rFonts w:ascii="Arial" w:eastAsia="Calibri"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w:t>
      </w:r>
      <w:bookmarkEnd w:id="5"/>
      <w:r w:rsidRPr="00A75309">
        <w:rPr>
          <w:rFonts w:ascii="Arial" w:eastAsia="Calibri" w:hAnsi="Arial" w:cs="Arial"/>
          <w:lang w:val="es-ES"/>
        </w:rPr>
        <w:t xml:space="preserve">. Por lo anterior, previo concepto de sus órganos asesores, la solución de estos temas corresponde a la entidad que suscribió el contrato y, en caso de conflicto, a las autoridades judiciales, fiscales y disciplinarias. </w:t>
      </w:r>
      <w:bookmarkEnd w:id="3"/>
    </w:p>
    <w:bookmarkEnd w:id="4"/>
    <w:p w14:paraId="7272B0F5" w14:textId="77777777" w:rsidR="00A75309" w:rsidRPr="00A75309" w:rsidRDefault="00A75309" w:rsidP="00A75309">
      <w:pPr>
        <w:spacing w:before="120" w:after="120" w:line="276" w:lineRule="auto"/>
        <w:ind w:firstLine="709"/>
        <w:jc w:val="both"/>
        <w:rPr>
          <w:rFonts w:ascii="Arial" w:eastAsia="Calibri" w:hAnsi="Arial" w:cs="Arial"/>
          <w:highlight w:val="yellow"/>
          <w:lang w:val="es-ES_tradnl" w:eastAsia="es-MX"/>
        </w:rPr>
      </w:pPr>
      <w:r w:rsidRPr="00A75309">
        <w:rPr>
          <w:rFonts w:ascii="Arial" w:eastAsia="Calibri" w:hAnsi="Arial" w:cs="Arial"/>
          <w:color w:val="000000"/>
          <w:lang w:val="es-MX"/>
        </w:rPr>
        <w:t xml:space="preserve">Sin perjuicio de lo anterior, </w:t>
      </w:r>
      <w:r w:rsidRPr="00A75309">
        <w:rPr>
          <w:rFonts w:ascii="Arial" w:eastAsia="Calibri" w:hAnsi="Arial" w:cs="Arial"/>
          <w:color w:val="000000"/>
          <w:lang w:val="es-ES"/>
        </w:rPr>
        <w:t xml:space="preserve">la Subdirección de Gestión Contractual –dentro de los límites de sus atribuciones, esto es, </w:t>
      </w:r>
      <w:bookmarkStart w:id="6" w:name="_Hlk61025408"/>
      <w:r w:rsidRPr="00A75309">
        <w:rPr>
          <w:rFonts w:ascii="Arial" w:eastAsia="Calibri" w:hAnsi="Arial" w:cs="Arial"/>
          <w:color w:val="000000"/>
          <w:lang w:val="es-ES"/>
        </w:rPr>
        <w:t>haciendo abstracción del caso particular expuesto por el peticionari</w:t>
      </w:r>
      <w:bookmarkEnd w:id="6"/>
      <w:r w:rsidRPr="00A75309">
        <w:rPr>
          <w:rFonts w:ascii="Arial" w:eastAsia="Calibri" w:hAnsi="Arial" w:cs="Arial"/>
          <w:color w:val="000000"/>
          <w:lang w:val="es-ES"/>
        </w:rPr>
        <w:t>o– resolverá la consulta conforme a las normas generales en materia de contratación estatal</w:t>
      </w:r>
      <w:r w:rsidRPr="00A75309">
        <w:rPr>
          <w:rFonts w:ascii="Arial" w:eastAsia="Calibri" w:hAnsi="Arial" w:cs="Arial"/>
          <w:lang w:val="es-ES_tradnl" w:eastAsia="es-MX"/>
        </w:rPr>
        <w:t xml:space="preserve">. Con este objetivo se analizarán los siguientes temas: i) características generales del contrato de prestación de servicios y </w:t>
      </w:r>
      <w:proofErr w:type="spellStart"/>
      <w:r w:rsidRPr="00A75309">
        <w:rPr>
          <w:rFonts w:ascii="Arial" w:eastAsia="Calibri" w:hAnsi="Arial" w:cs="Arial"/>
          <w:lang w:val="es-ES_tradnl" w:eastAsia="es-MX"/>
        </w:rPr>
        <w:t>ii</w:t>
      </w:r>
      <w:proofErr w:type="spellEnd"/>
      <w:r w:rsidRPr="00A75309">
        <w:rPr>
          <w:rFonts w:ascii="Arial" w:eastAsia="Calibri" w:hAnsi="Arial" w:cs="Arial"/>
          <w:lang w:val="es-ES_tradnl" w:eastAsia="es-MX"/>
        </w:rPr>
        <w:t>) la importancia de los estudios previos y del sector según el Estatuto General de Contratación de la Administración Pública.</w:t>
      </w:r>
    </w:p>
    <w:p w14:paraId="34FB8976" w14:textId="77777777" w:rsidR="00A75309" w:rsidRPr="00A75309" w:rsidRDefault="00A75309" w:rsidP="00A75309">
      <w:pPr>
        <w:spacing w:after="0" w:line="276" w:lineRule="auto"/>
        <w:ind w:firstLine="709"/>
        <w:jc w:val="both"/>
        <w:rPr>
          <w:rFonts w:ascii="Arial" w:eastAsia="Arial" w:hAnsi="Arial" w:cs="Arial"/>
          <w:lang w:val="es-MX" w:eastAsia="es-ES_tradnl"/>
        </w:rPr>
      </w:pPr>
      <w:r w:rsidRPr="00A75309">
        <w:rPr>
          <w:rFonts w:ascii="Arial" w:eastAsia="Times New Roman" w:hAnsi="Arial" w:cs="Arial"/>
          <w:lang w:eastAsia="es-ES_tradnl"/>
        </w:rPr>
        <w:t xml:space="preserve">La Agencia Nacional de Contratación Pública – Colombia Compra Eficiente </w:t>
      </w:r>
      <w:r w:rsidRPr="00A75309">
        <w:rPr>
          <w:rFonts w:ascii="Arial" w:eastAsia="Arial" w:hAnsi="Arial" w:cs="Arial"/>
          <w:lang w:val="es-MX" w:eastAsia="es-ES_tradnl"/>
        </w:rPr>
        <w:t xml:space="preserve">ha analizado diferentes aspectos relativos a los contratos de prestación de servicios, en los conceptos </w:t>
      </w:r>
      <w:r w:rsidRPr="00A75309">
        <w:rPr>
          <w:rFonts w:ascii="Arial" w:eastAsia="Calibri" w:hAnsi="Arial" w:cs="Arial"/>
          <w:lang w:val="es-ES_tradnl" w:eastAsia="es-MX"/>
        </w:rPr>
        <w:t>C-005 del 11 de mayo de 2020, C-231 del 13 de abril de 2020, C-685 del 18 de diciembre de 2020, C-004 del 12 de febrero de 2021, C-145 del 08 de abril de 2021, C-654 del 22 de noviembre de 2021, C-019 del 21 de febrero de 2022, C-024 del 4 de marzo de 2022, C-181 del 8 de abril de 2022, C-491 del 01 de agosto de 2022</w:t>
      </w:r>
      <w:r w:rsidRPr="00A75309">
        <w:rPr>
          <w:rFonts w:ascii="Arial" w:eastAsia="Calibri" w:hAnsi="Arial" w:cs="Arial"/>
          <w:vertAlign w:val="superscript"/>
          <w:lang w:val="es-ES_tradnl" w:eastAsia="es-MX"/>
        </w:rPr>
        <w:footnoteReference w:id="3"/>
      </w:r>
      <w:r w:rsidRPr="00A75309">
        <w:rPr>
          <w:rFonts w:ascii="Arial" w:eastAsia="Calibri" w:hAnsi="Arial" w:cs="Arial"/>
          <w:lang w:val="es-ES_tradnl" w:eastAsia="es-MX"/>
        </w:rPr>
        <w:t xml:space="preserve">. </w:t>
      </w:r>
      <w:proofErr w:type="gramStart"/>
      <w:r w:rsidRPr="00A75309">
        <w:rPr>
          <w:rFonts w:ascii="Arial" w:eastAsia="Calibri" w:hAnsi="Arial" w:cs="Arial"/>
          <w:lang w:val="es-ES_tradnl" w:eastAsia="es-MX"/>
        </w:rPr>
        <w:t>Asimismo</w:t>
      </w:r>
      <w:proofErr w:type="gramEnd"/>
      <w:r w:rsidRPr="00A75309">
        <w:rPr>
          <w:rFonts w:ascii="Arial" w:eastAsia="Calibri" w:hAnsi="Arial" w:cs="Arial"/>
          <w:lang w:val="es-ES_tradnl" w:eastAsia="es-MX"/>
        </w:rPr>
        <w:t xml:space="preserve"> </w:t>
      </w:r>
      <w:r w:rsidRPr="00A75309">
        <w:rPr>
          <w:rFonts w:ascii="Arial" w:eastAsia="Calibri" w:hAnsi="Arial" w:cs="Arial"/>
          <w:lang w:eastAsia="es-ES_tradnl"/>
        </w:rPr>
        <w:t>e</w:t>
      </w:r>
      <w:r w:rsidRPr="00A75309">
        <w:rPr>
          <w:rFonts w:ascii="Arial" w:eastAsia="Times New Roman" w:hAnsi="Arial" w:cs="Arial"/>
          <w:lang w:eastAsia="es-ES_tradnl"/>
        </w:rPr>
        <w:t>n los conceptos</w:t>
      </w:r>
      <w:r w:rsidRPr="00A75309">
        <w:rPr>
          <w:rFonts w:ascii="Arial" w:eastAsia="Calibri" w:hAnsi="Arial" w:cs="Arial"/>
          <w:lang w:val="es-ES_tradnl" w:eastAsia="es-ES_tradnl"/>
        </w:rPr>
        <w:t xml:space="preserve"> C-148 de 2021, C-215 del 12 de mayo de 2021, C-418 del 18 de agosto de 2021, C-603 del 02 de noviembre de 2021, C-742 del 27 de diciembre de 2021, C-017 del 22 de febrero de 2022, C-043 del 01 de marzo del </w:t>
      </w:r>
      <w:r w:rsidRPr="00A75309">
        <w:rPr>
          <w:rFonts w:ascii="Arial" w:eastAsia="Calibri" w:hAnsi="Arial" w:cs="Arial"/>
          <w:lang w:val="es-ES_tradnl" w:eastAsia="es-ES_tradnl"/>
        </w:rPr>
        <w:lastRenderedPageBreak/>
        <w:t>2022, C- 069 del 30 marzo de 2022 se pronunció sobre la regulación de los estudios previos y del sector en el Estatuto General de Contratación de la Administración Pública. Algunas de las consideraciones de estos conceptos se reiteran y se complementan en lo pertinente, teniendo en cuenta lo consultado.</w:t>
      </w:r>
    </w:p>
    <w:p w14:paraId="30D5416B" w14:textId="77777777" w:rsidR="00A75309" w:rsidRPr="00A75309" w:rsidRDefault="00A75309" w:rsidP="00A75309">
      <w:pPr>
        <w:widowControl w:val="0"/>
        <w:autoSpaceDE w:val="0"/>
        <w:autoSpaceDN w:val="0"/>
        <w:spacing w:after="0" w:line="276" w:lineRule="auto"/>
        <w:contextualSpacing/>
        <w:jc w:val="both"/>
        <w:rPr>
          <w:rFonts w:ascii="Arial" w:eastAsia="Times New Roman" w:hAnsi="Arial" w:cs="Arial"/>
          <w:bCs/>
          <w:lang w:val="es-MX" w:eastAsia="x-none"/>
        </w:rPr>
      </w:pPr>
    </w:p>
    <w:p w14:paraId="003B7FA4" w14:textId="77777777" w:rsidR="00A75309" w:rsidRPr="00A75309" w:rsidRDefault="00A75309" w:rsidP="00A75309">
      <w:pPr>
        <w:spacing w:after="0" w:line="276" w:lineRule="auto"/>
        <w:contextualSpacing/>
        <w:jc w:val="both"/>
        <w:rPr>
          <w:rFonts w:ascii="Arial" w:eastAsia="Times New Roman" w:hAnsi="Arial" w:cs="Arial"/>
          <w:b/>
          <w:bCs/>
          <w:color w:val="000000"/>
          <w:szCs w:val="24"/>
          <w:lang w:val="es-ES_tradnl" w:eastAsia="es-ES_tradnl"/>
        </w:rPr>
      </w:pPr>
      <w:r w:rsidRPr="00A75309">
        <w:rPr>
          <w:rFonts w:ascii="Arial" w:eastAsia="Times New Roman" w:hAnsi="Arial" w:cs="Arial"/>
          <w:b/>
          <w:bCs/>
          <w:color w:val="000000"/>
          <w:szCs w:val="24"/>
          <w:lang w:val="es-ES_tradnl" w:eastAsia="es-ES_tradnl"/>
        </w:rPr>
        <w:t>2.1. Características generales del contrato de prestación de servicios</w:t>
      </w:r>
    </w:p>
    <w:p w14:paraId="059C5AEC" w14:textId="77777777" w:rsidR="00A75309" w:rsidRPr="00A75309" w:rsidRDefault="00A75309" w:rsidP="00A75309">
      <w:pPr>
        <w:spacing w:after="0" w:line="276" w:lineRule="auto"/>
        <w:contextualSpacing/>
        <w:jc w:val="both"/>
        <w:rPr>
          <w:rFonts w:ascii="Arial" w:eastAsia="Times New Roman" w:hAnsi="Arial" w:cs="Arial"/>
          <w:b/>
          <w:bCs/>
          <w:color w:val="000000"/>
          <w:szCs w:val="24"/>
          <w:lang w:val="es-ES_tradnl" w:eastAsia="es-ES_tradnl"/>
        </w:rPr>
      </w:pPr>
    </w:p>
    <w:p w14:paraId="5A58C6E2" w14:textId="3E7A1C1F" w:rsidR="00A75309" w:rsidRPr="00A75309" w:rsidRDefault="00A75309" w:rsidP="00A75309">
      <w:pPr>
        <w:tabs>
          <w:tab w:val="left" w:pos="0"/>
        </w:tabs>
        <w:spacing w:after="0" w:line="276" w:lineRule="auto"/>
        <w:contextualSpacing/>
        <w:jc w:val="both"/>
        <w:rPr>
          <w:rFonts w:ascii="Arial" w:eastAsia="Calibri" w:hAnsi="Arial" w:cs="Arial"/>
          <w:color w:val="000000" w:themeColor="text1"/>
          <w:lang w:val="es-ES_tradnl"/>
        </w:rPr>
      </w:pPr>
      <w:r w:rsidRPr="00A75309">
        <w:rPr>
          <w:rFonts w:ascii="Arial" w:eastAsia="Times New Roman" w:hAnsi="Arial" w:cs="Arial"/>
          <w:color w:val="000000"/>
          <w:szCs w:val="24"/>
          <w:lang w:val="es-ES_tradnl" w:eastAsia="es-ES_tradnl"/>
        </w:rPr>
        <w:t xml:space="preserve">El contrato de prestación de servicios es un contrato </w:t>
      </w:r>
      <w:r w:rsidRPr="00A75309">
        <w:rPr>
          <w:rFonts w:ascii="Arial" w:hAnsi="Arial" w:cs="Arial"/>
          <w:color w:val="000000" w:themeColor="text1"/>
          <w:lang w:val="es-MX"/>
        </w:rPr>
        <w:t xml:space="preserve">estatal típico, regulado en el numeral 3, del artículo 32, de la Ley 80 de 1993. Es definido como aquel que </w:t>
      </w:r>
      <w:r w:rsidR="00D91F03">
        <w:rPr>
          <w:rFonts w:ascii="Arial" w:hAnsi="Arial" w:cs="Arial"/>
          <w:color w:val="000000" w:themeColor="text1"/>
          <w:lang w:val="es-MX"/>
        </w:rPr>
        <w:t>“</w:t>
      </w:r>
      <w:r w:rsidRPr="00A75309">
        <w:rPr>
          <w:rFonts w:ascii="Arial" w:hAnsi="Arial" w:cs="Arial"/>
          <w:color w:val="000000" w:themeColor="text1"/>
          <w:lang w:val="es-MX"/>
        </w:rPr>
        <w:t>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D91F03">
        <w:rPr>
          <w:rFonts w:ascii="Arial" w:hAnsi="Arial" w:cs="Arial"/>
          <w:color w:val="000000" w:themeColor="text1"/>
          <w:lang w:val="es-MX"/>
        </w:rPr>
        <w:t>”</w:t>
      </w:r>
      <w:r w:rsidRPr="00A75309">
        <w:rPr>
          <w:rFonts w:ascii="Arial" w:hAnsi="Arial" w:cs="Arial"/>
          <w:color w:val="000000" w:themeColor="text1"/>
          <w:lang w:val="es-MX"/>
        </w:rPr>
        <w:t>.</w:t>
      </w:r>
      <w:r w:rsidRPr="00A75309">
        <w:rPr>
          <w:rFonts w:ascii="Arial" w:eastAsia="Calibri" w:hAnsi="Arial" w:cs="Arial"/>
          <w:color w:val="000000" w:themeColor="text1"/>
          <w:lang w:val="es-ES_tradnl"/>
        </w:rPr>
        <w:t xml:space="preserve"> La celebración de dicho contrato debe efectuarse a través de la modalidad de contratación directa. Así lo dispone el artículo 2, numeral 4º, literal h), de la Ley 1150 de 2007:</w:t>
      </w:r>
    </w:p>
    <w:p w14:paraId="1AD2A854" w14:textId="77777777" w:rsidR="00A75309" w:rsidRPr="00A75309" w:rsidRDefault="00A75309" w:rsidP="00A75309">
      <w:pPr>
        <w:spacing w:after="0" w:line="276" w:lineRule="auto"/>
        <w:ind w:right="709"/>
        <w:contextualSpacing/>
        <w:jc w:val="both"/>
        <w:rPr>
          <w:rFonts w:ascii="Arial" w:eastAsia="Calibri" w:hAnsi="Arial" w:cs="Arial"/>
          <w:color w:val="000000" w:themeColor="text1"/>
          <w:sz w:val="21"/>
          <w:szCs w:val="21"/>
          <w:lang w:val="es-ES_tradnl"/>
        </w:rPr>
      </w:pPr>
    </w:p>
    <w:p w14:paraId="1E905225" w14:textId="6D95B0DE" w:rsidR="00A75309" w:rsidRPr="00A75309" w:rsidRDefault="00D91F03" w:rsidP="00A75309">
      <w:pPr>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Calibri" w:hAnsi="Arial" w:cs="Arial"/>
          <w:color w:val="000000" w:themeColor="text1"/>
          <w:sz w:val="21"/>
          <w:szCs w:val="21"/>
          <w:lang w:val="es-MX"/>
        </w:rPr>
        <w:t>“</w:t>
      </w:r>
      <w:r w:rsidR="00A75309" w:rsidRPr="00A75309">
        <w:rPr>
          <w:rFonts w:ascii="Arial" w:eastAsia="Times New Roman" w:hAnsi="Arial" w:cs="Arial"/>
          <w:color w:val="000000"/>
          <w:sz w:val="21"/>
          <w:szCs w:val="21"/>
          <w:lang w:val="es-ES_tradnl" w:eastAsia="es-ES_tradnl"/>
        </w:rPr>
        <w:t>La escogencia del contratista se efectuará con arreglo a las modalidades de selección de licitación pública, selección abreviada, concurso de méritos y contratación directa, con base en las siguientes reglas:</w:t>
      </w:r>
    </w:p>
    <w:p w14:paraId="21AC0EB0" w14:textId="22AF2C29"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w:t>
      </w:r>
    </w:p>
    <w:p w14:paraId="60BC4715" w14:textId="353DEFF2"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 xml:space="preserve">4. Contratación directa. La modalidad de selección de contratación </w:t>
      </w:r>
      <w:proofErr w:type="gramStart"/>
      <w:r w:rsidRPr="00A75309">
        <w:rPr>
          <w:rFonts w:ascii="Arial" w:eastAsia="Times New Roman" w:hAnsi="Arial" w:cs="Arial"/>
          <w:color w:val="000000"/>
          <w:sz w:val="21"/>
          <w:szCs w:val="21"/>
          <w:lang w:val="es-ES_tradnl" w:eastAsia="es-ES_tradnl"/>
        </w:rPr>
        <w:t>directa,</w:t>
      </w:r>
      <w:proofErr w:type="gramEnd"/>
      <w:r w:rsidRPr="00A75309">
        <w:rPr>
          <w:rFonts w:ascii="Arial" w:eastAsia="Times New Roman" w:hAnsi="Arial" w:cs="Arial"/>
          <w:color w:val="000000"/>
          <w:sz w:val="21"/>
          <w:szCs w:val="21"/>
          <w:lang w:val="es-ES_tradnl" w:eastAsia="es-ES_tradnl"/>
        </w:rPr>
        <w:t xml:space="preserve"> solamente procederá en los siguientes casos:</w:t>
      </w:r>
    </w:p>
    <w:p w14:paraId="31FFE5F8" w14:textId="242AE298"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w:t>
      </w:r>
    </w:p>
    <w:p w14:paraId="41261FCE" w14:textId="6A4CE412"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h) Para la prestación de servicios profesionales y de apoyo a la gestión, o para la ejecución de trabajos artísticos que sólo puedan encomendarse a determinadas personas naturales</w:t>
      </w:r>
      <w:r w:rsidR="00D91F03">
        <w:rPr>
          <w:rFonts w:ascii="Arial" w:eastAsia="Times New Roman" w:hAnsi="Arial" w:cs="Arial"/>
          <w:color w:val="000000"/>
          <w:sz w:val="21"/>
          <w:szCs w:val="21"/>
          <w:lang w:val="es-ES_tradnl" w:eastAsia="es-ES_tradnl"/>
        </w:rPr>
        <w:t>”</w:t>
      </w:r>
      <w:r w:rsidRPr="00A75309">
        <w:rPr>
          <w:rFonts w:ascii="Arial" w:eastAsia="Times New Roman" w:hAnsi="Arial" w:cs="Arial"/>
          <w:color w:val="000000"/>
          <w:sz w:val="21"/>
          <w:szCs w:val="21"/>
          <w:lang w:val="es-ES_tradnl" w:eastAsia="es-ES_tradnl"/>
        </w:rPr>
        <w:t>.</w:t>
      </w:r>
    </w:p>
    <w:p w14:paraId="6E9EEAF7" w14:textId="77777777" w:rsidR="00A75309" w:rsidRPr="00A75309" w:rsidRDefault="00A75309" w:rsidP="00A75309">
      <w:pPr>
        <w:tabs>
          <w:tab w:val="left" w:pos="0"/>
        </w:tabs>
        <w:spacing w:after="0" w:line="240" w:lineRule="auto"/>
        <w:contextualSpacing/>
        <w:jc w:val="both"/>
        <w:rPr>
          <w:rFonts w:ascii="Arial" w:hAnsi="Arial" w:cs="Arial"/>
          <w:noProof/>
          <w:lang w:val="es-ES_tradnl"/>
        </w:rPr>
      </w:pPr>
      <w:r w:rsidRPr="00A75309">
        <w:rPr>
          <w:rFonts w:ascii="Arial" w:hAnsi="Arial" w:cs="Arial"/>
          <w:noProof/>
          <w:lang w:val="es-ES_tradnl"/>
        </w:rPr>
        <w:tab/>
      </w:r>
    </w:p>
    <w:p w14:paraId="61A8EA5C" w14:textId="77777777" w:rsidR="00A75309" w:rsidRPr="00A75309" w:rsidRDefault="00A75309" w:rsidP="00A75309">
      <w:pPr>
        <w:tabs>
          <w:tab w:val="left" w:pos="0"/>
        </w:tabs>
        <w:spacing w:after="0" w:line="276" w:lineRule="auto"/>
        <w:contextualSpacing/>
        <w:jc w:val="both"/>
        <w:rPr>
          <w:rFonts w:ascii="Arial" w:hAnsi="Arial" w:cs="Arial"/>
          <w:noProof/>
          <w:lang w:val="es-ES_tradnl"/>
        </w:rPr>
      </w:pPr>
      <w:r w:rsidRPr="00A75309">
        <w:rPr>
          <w:rFonts w:ascii="Arial" w:hAnsi="Arial" w:cs="Arial"/>
          <w:noProof/>
          <w:lang w:val="es-ES_tradnl"/>
        </w:rPr>
        <w:tab/>
        <w:t>En tal sentido, 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2833A32A" w14:textId="77777777" w:rsidR="00A75309" w:rsidRPr="00A75309" w:rsidRDefault="00A75309" w:rsidP="00A75309">
      <w:pPr>
        <w:tabs>
          <w:tab w:val="left" w:pos="0"/>
        </w:tabs>
        <w:spacing w:after="0" w:line="276" w:lineRule="auto"/>
        <w:contextualSpacing/>
        <w:jc w:val="both"/>
        <w:rPr>
          <w:rFonts w:ascii="Arial" w:hAnsi="Arial" w:cs="Arial"/>
          <w:noProof/>
          <w:lang w:val="es-ES_tradnl"/>
        </w:rPr>
      </w:pPr>
    </w:p>
    <w:p w14:paraId="600750A2" w14:textId="22D6810D" w:rsidR="00A75309" w:rsidRPr="00A75309" w:rsidRDefault="00D91F03" w:rsidP="00A75309">
      <w:pPr>
        <w:spacing w:after="0" w:line="240" w:lineRule="auto"/>
        <w:ind w:left="709" w:right="709"/>
        <w:jc w:val="both"/>
        <w:rPr>
          <w:rFonts w:ascii="Arial" w:eastAsia="Times New Roman" w:hAnsi="Arial" w:cs="Arial"/>
          <w:color w:val="000000"/>
          <w:sz w:val="21"/>
          <w:szCs w:val="21"/>
          <w:lang w:val="es-ES_tradnl" w:eastAsia="es-ES_tradnl"/>
        </w:rPr>
      </w:pPr>
      <w:r>
        <w:rPr>
          <w:rFonts w:ascii="Arial" w:hAnsi="Arial" w:cs="Arial"/>
          <w:sz w:val="21"/>
          <w:szCs w:val="21"/>
          <w:lang w:val="es-MX"/>
        </w:rPr>
        <w:t>“</w:t>
      </w:r>
      <w:r w:rsidR="00A75309" w:rsidRPr="00A75309">
        <w:rPr>
          <w:rFonts w:ascii="Arial" w:hAnsi="Arial" w:cs="Arial"/>
          <w:sz w:val="21"/>
          <w:szCs w:val="21"/>
          <w:lang w:val="es-MX"/>
        </w:rPr>
        <w:t xml:space="preserve">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w:t>
      </w:r>
      <w:r w:rsidR="00A75309" w:rsidRPr="00A75309">
        <w:rPr>
          <w:rFonts w:ascii="Arial" w:eastAsia="Times New Roman" w:hAnsi="Arial" w:cs="Arial"/>
          <w:color w:val="000000"/>
          <w:sz w:val="21"/>
          <w:szCs w:val="21"/>
          <w:lang w:val="es-ES_tradnl" w:eastAsia="es-ES_tradnl"/>
        </w:rPr>
        <w:t>la idoneidad o experiencia requerida y relacionada con el área de que se trate. En este caso, no es necesario que la Entidad Estatal haya obtenido previamente varias ofertas, de lo cual el ordenador del gasto debe dejar constancia escrita.</w:t>
      </w:r>
    </w:p>
    <w:p w14:paraId="13AD308B" w14:textId="1A218287"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lastRenderedPageBreak/>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62C083A" w14:textId="19947DE7" w:rsidR="00A75309" w:rsidRPr="00A75309" w:rsidRDefault="00A75309" w:rsidP="00A75309">
      <w:pPr>
        <w:spacing w:before="120" w:after="0" w:line="240" w:lineRule="auto"/>
        <w:ind w:left="709" w:right="709"/>
        <w:jc w:val="both"/>
        <w:rPr>
          <w:rFonts w:ascii="Arial" w:hAnsi="Arial" w:cs="Arial"/>
          <w:sz w:val="21"/>
          <w:szCs w:val="21"/>
          <w:lang w:val="es-MX"/>
        </w:rPr>
      </w:pPr>
      <w:r w:rsidRPr="00A75309">
        <w:rPr>
          <w:rFonts w:ascii="Arial" w:eastAsia="Times New Roman" w:hAnsi="Arial" w:cs="Arial"/>
          <w:color w:val="000000"/>
          <w:sz w:val="21"/>
          <w:szCs w:val="21"/>
          <w:lang w:val="es-ES_tradnl" w:eastAsia="es-ES_tradnl"/>
        </w:rPr>
        <w:t>La Entidad Estatal, para la contratación de trabajos artísticos que solamente puedan</w:t>
      </w:r>
      <w:r w:rsidRPr="00A75309">
        <w:rPr>
          <w:rFonts w:ascii="Arial" w:hAnsi="Arial" w:cs="Arial"/>
          <w:sz w:val="21"/>
          <w:szCs w:val="21"/>
          <w:lang w:val="es-MX"/>
        </w:rPr>
        <w:t xml:space="preserve"> en</w:t>
      </w:r>
      <w:r w:rsidRPr="00A75309">
        <w:rPr>
          <w:rFonts w:ascii="Arial" w:hAnsi="Arial" w:cs="Arial"/>
          <w:sz w:val="21"/>
          <w:szCs w:val="21"/>
          <w:lang w:val="es-MX"/>
        </w:rPr>
        <w:softHyphen/>
        <w:t>comendarse a determinadas personas naturales, debe justificar esta situación en los estudios y documentos previos</w:t>
      </w:r>
      <w:r w:rsidR="00D91F03">
        <w:rPr>
          <w:rFonts w:ascii="Arial" w:hAnsi="Arial" w:cs="Arial"/>
          <w:sz w:val="21"/>
          <w:szCs w:val="21"/>
          <w:lang w:val="es-MX"/>
        </w:rPr>
        <w:t>”</w:t>
      </w:r>
      <w:r w:rsidRPr="00A75309">
        <w:rPr>
          <w:rFonts w:ascii="Arial" w:hAnsi="Arial" w:cs="Arial"/>
          <w:sz w:val="21"/>
          <w:szCs w:val="21"/>
          <w:lang w:val="es-MX"/>
        </w:rPr>
        <w:t>.</w:t>
      </w:r>
    </w:p>
    <w:p w14:paraId="1244A111" w14:textId="77777777" w:rsidR="00A75309" w:rsidRPr="00A75309" w:rsidRDefault="00A75309" w:rsidP="00A75309">
      <w:pPr>
        <w:tabs>
          <w:tab w:val="left" w:pos="0"/>
        </w:tabs>
        <w:spacing w:after="0" w:line="276" w:lineRule="auto"/>
        <w:jc w:val="both"/>
        <w:rPr>
          <w:rFonts w:ascii="Arial" w:hAnsi="Arial" w:cs="Arial"/>
          <w:noProof/>
          <w:sz w:val="21"/>
          <w:szCs w:val="21"/>
        </w:rPr>
      </w:pPr>
    </w:p>
    <w:p w14:paraId="6DE3D6B9" w14:textId="77777777" w:rsidR="00A75309" w:rsidRPr="00A75309" w:rsidRDefault="00A75309" w:rsidP="00A75309">
      <w:pPr>
        <w:tabs>
          <w:tab w:val="left" w:pos="0"/>
        </w:tabs>
        <w:spacing w:after="120" w:line="276" w:lineRule="auto"/>
        <w:jc w:val="both"/>
        <w:rPr>
          <w:rFonts w:ascii="Arial" w:hAnsi="Arial" w:cs="Arial"/>
          <w:color w:val="000000" w:themeColor="text1"/>
          <w:lang w:val="es-ES_tradnl"/>
        </w:rPr>
      </w:pPr>
      <w:r w:rsidRPr="00A75309">
        <w:rPr>
          <w:rFonts w:ascii="Arial" w:hAnsi="Arial" w:cs="Arial"/>
          <w:color w:val="000000" w:themeColor="text1"/>
          <w:lang w:val="es-ES_tradnl"/>
        </w:rPr>
        <w:tab/>
        <w:t>A partir de las disposiciones citadas, así como de la reciente Sentencia de Unificación Jurisprudencial del 9 de septiembre de 2021, proferida por el Consejo de Estado</w:t>
      </w:r>
      <w:r w:rsidRPr="00A75309">
        <w:rPr>
          <w:rFonts w:ascii="Arial" w:hAnsi="Arial" w:cs="Arial"/>
          <w:bCs/>
          <w:vertAlign w:val="superscript"/>
          <w:lang w:val="es-ES"/>
        </w:rPr>
        <w:footnoteReference w:id="4"/>
      </w:r>
      <w:r w:rsidRPr="00A75309">
        <w:rPr>
          <w:rFonts w:ascii="Arial" w:hAnsi="Arial" w:cs="Arial"/>
          <w:color w:val="000000" w:themeColor="text1"/>
          <w:lang w:val="es-ES_tradnl"/>
        </w:rPr>
        <w:t>, es posible señalar las siguientes características del contrato de prestación de servicios</w:t>
      </w:r>
      <w:r w:rsidRPr="00A75309">
        <w:rPr>
          <w:rFonts w:ascii="Arial" w:hAnsi="Arial" w:cs="Arial"/>
          <w:noProof/>
          <w:lang w:val="es-ES_tradnl"/>
        </w:rPr>
        <w:t>:</w:t>
      </w:r>
    </w:p>
    <w:p w14:paraId="58B17755" w14:textId="77777777"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t>i) Solo puede celebrarse para realizar «actividades relacionadas con la administración o funcionamiento de la entidad», es decir, que hagan parte de su giro ordinario o quehacer cotidiano</w:t>
      </w:r>
      <w:r w:rsidRPr="00A75309">
        <w:rPr>
          <w:rFonts w:ascii="Arial" w:hAnsi="Arial" w:cs="Arial"/>
          <w:noProof/>
          <w:vertAlign w:val="superscript"/>
          <w:lang w:val="es-ES_tradnl"/>
        </w:rPr>
        <w:footnoteReference w:id="5"/>
      </w:r>
      <w:r w:rsidRPr="00A75309">
        <w:rPr>
          <w:rFonts w:ascii="Arial" w:hAnsi="Arial" w:cs="Arial"/>
          <w:noProof/>
          <w:lang w:val="es-ES_tradnl"/>
        </w:rPr>
        <w:t>.</w:t>
      </w:r>
    </w:p>
    <w:p w14:paraId="2B3BE919" w14:textId="7DB25E03"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t xml:space="preserve">ii) Respecto del tipo de personas que pueden ser contratadas, admite que se suscriba con personas naturales o jurídicas. Sin embargo, cuando se celebre con aquellas, la entidad estatal debe justificar, en los estudios previos, que las actividades </w:t>
      </w:r>
      <w:r w:rsidR="00D91F03">
        <w:rPr>
          <w:rFonts w:ascii="Arial" w:hAnsi="Arial" w:cs="Arial"/>
          <w:noProof/>
          <w:lang w:val="es-ES_tradnl"/>
        </w:rPr>
        <w:t>“</w:t>
      </w:r>
      <w:r w:rsidRPr="00A75309">
        <w:rPr>
          <w:rFonts w:ascii="Arial" w:hAnsi="Arial" w:cs="Arial"/>
          <w:noProof/>
          <w:lang w:val="es-ES_tradnl"/>
        </w:rPr>
        <w:t>no puedan realizarse con personal de planta o requieran conocimientos especializados</w:t>
      </w:r>
      <w:r w:rsidR="00D91F03">
        <w:rPr>
          <w:rFonts w:ascii="Arial" w:hAnsi="Arial" w:cs="Arial"/>
          <w:noProof/>
          <w:lang w:val="es-ES_tradnl"/>
        </w:rPr>
        <w:t>”</w:t>
      </w:r>
      <w:r w:rsidRPr="00A75309">
        <w:rPr>
          <w:rFonts w:ascii="Arial" w:hAnsi="Arial" w:cs="Arial"/>
          <w:noProof/>
          <w:lang w:val="es-ES_tradnl"/>
        </w:rPr>
        <w:t xml:space="preserve">. </w:t>
      </w:r>
    </w:p>
    <w:p w14:paraId="346A292B" w14:textId="215E1583"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A75309">
        <w:rPr>
          <w:rFonts w:ascii="Arial" w:hAnsi="Arial" w:cs="Arial"/>
          <w:i/>
          <w:noProof/>
          <w:lang w:val="es-ES_tradnl"/>
        </w:rPr>
        <w:t xml:space="preserve">subordinación </w:t>
      </w:r>
      <w:r w:rsidRPr="00A75309">
        <w:rPr>
          <w:rFonts w:ascii="Arial" w:hAnsi="Arial" w:cs="Arial"/>
          <w:iCs/>
          <w:noProof/>
          <w:lang w:val="es-ES_tradnl"/>
        </w:rPr>
        <w:t>ni</w:t>
      </w:r>
      <w:r w:rsidRPr="00A75309">
        <w:rPr>
          <w:rFonts w:ascii="Arial" w:hAnsi="Arial" w:cs="Arial"/>
          <w:i/>
          <w:noProof/>
          <w:lang w:val="es-ES_tradnl"/>
        </w:rPr>
        <w:t xml:space="preserve"> dependencia</w:t>
      </w:r>
      <w:r w:rsidRPr="00A75309">
        <w:rPr>
          <w:rFonts w:ascii="Arial" w:hAnsi="Arial" w:cs="Arial"/>
          <w:iCs/>
          <w:noProof/>
          <w:lang w:val="es-ES_tradnl"/>
        </w:rPr>
        <w:t>,</w:t>
      </w:r>
      <w:r w:rsidRPr="00A75309">
        <w:rPr>
          <w:rFonts w:ascii="Arial" w:hAnsi="Arial" w:cs="Arial"/>
          <w:noProof/>
          <w:lang w:val="es-ES_tradnl"/>
        </w:rPr>
        <w:t xml:space="preserve"> que es uno de los elementos constitutivos del vínculo laboral</w:t>
      </w:r>
      <w:r w:rsidRPr="00A75309">
        <w:rPr>
          <w:rFonts w:ascii="Arial" w:hAnsi="Arial" w:cs="Arial"/>
          <w:noProof/>
          <w:vertAlign w:val="superscript"/>
          <w:lang w:val="es-ES_tradnl"/>
        </w:rPr>
        <w:footnoteReference w:id="6"/>
      </w:r>
      <w:r w:rsidRPr="00A75309">
        <w:rPr>
          <w:rFonts w:ascii="Arial" w:hAnsi="Arial" w:cs="Arial"/>
          <w:noProof/>
          <w:lang w:val="es-ES_tradnl"/>
        </w:rPr>
        <w:t xml:space="preserve">. Por eso, el artículo 32, numeral 3, de la Ley 80 de 1993 establece que </w:t>
      </w:r>
      <w:r w:rsidR="00D91F03">
        <w:rPr>
          <w:rFonts w:ascii="Arial" w:hAnsi="Arial" w:cs="Arial"/>
          <w:noProof/>
          <w:lang w:val="es-ES_tradnl"/>
        </w:rPr>
        <w:t>“</w:t>
      </w:r>
      <w:r w:rsidRPr="00A75309">
        <w:rPr>
          <w:rFonts w:ascii="Arial" w:hAnsi="Arial" w:cs="Arial"/>
          <w:noProof/>
          <w:lang w:val="es-ES_tradnl"/>
        </w:rPr>
        <w:t>En ningún caso estos contratos generan relación laboral ni prestaciones sociales</w:t>
      </w:r>
      <w:r w:rsidR="00D91F03">
        <w:rPr>
          <w:rFonts w:ascii="Arial" w:hAnsi="Arial" w:cs="Arial"/>
          <w:noProof/>
          <w:lang w:val="es-ES_tradnl"/>
        </w:rPr>
        <w:t>”</w:t>
      </w:r>
      <w:r w:rsidRPr="00A75309">
        <w:rPr>
          <w:rFonts w:ascii="Arial" w:hAnsi="Arial" w:cs="Arial"/>
          <w:noProof/>
          <w:lang w:val="es-ES_tradnl"/>
        </w:rPr>
        <w:t xml:space="preserve">. Este inciso, más que un enunciado que aluda al </w:t>
      </w:r>
      <w:r w:rsidR="00D91F03">
        <w:rPr>
          <w:rFonts w:ascii="Arial" w:hAnsi="Arial" w:cs="Arial"/>
          <w:noProof/>
          <w:lang w:val="es-ES_tradnl"/>
        </w:rPr>
        <w:t>“</w:t>
      </w:r>
      <w:r w:rsidRPr="00A75309">
        <w:rPr>
          <w:rFonts w:ascii="Arial" w:hAnsi="Arial" w:cs="Arial"/>
          <w:noProof/>
          <w:lang w:val="es-ES_tradnl"/>
        </w:rPr>
        <w:t>ser</w:t>
      </w:r>
      <w:r w:rsidR="00D91F03">
        <w:rPr>
          <w:rFonts w:ascii="Arial" w:hAnsi="Arial" w:cs="Arial"/>
          <w:noProof/>
          <w:lang w:val="es-ES_tradnl"/>
        </w:rPr>
        <w:t>”</w:t>
      </w:r>
      <w:r w:rsidRPr="00A75309">
        <w:rPr>
          <w:rFonts w:ascii="Arial" w:hAnsi="Arial" w:cs="Arial"/>
          <w:noProof/>
          <w:lang w:val="es-ES_tradnl"/>
        </w:rPr>
        <w:t xml:space="preserve">, se refiere al </w:t>
      </w:r>
      <w:r w:rsidR="00D91F03">
        <w:rPr>
          <w:rFonts w:ascii="Arial" w:hAnsi="Arial" w:cs="Arial"/>
          <w:noProof/>
          <w:lang w:val="es-ES_tradnl"/>
        </w:rPr>
        <w:t>“</w:t>
      </w:r>
      <w:r w:rsidRPr="00A75309">
        <w:rPr>
          <w:rFonts w:ascii="Arial" w:hAnsi="Arial" w:cs="Arial"/>
          <w:noProof/>
          <w:lang w:val="es-ES_tradnl"/>
        </w:rPr>
        <w:t>deber se</w:t>
      </w:r>
      <w:r w:rsidR="00D91F03">
        <w:rPr>
          <w:rFonts w:ascii="Arial" w:hAnsi="Arial" w:cs="Arial"/>
          <w:noProof/>
          <w:lang w:val="es-ES_tradnl"/>
        </w:rPr>
        <w:t>r”</w:t>
      </w:r>
      <w:r w:rsidRPr="00A75309">
        <w:rPr>
          <w:rFonts w:ascii="Arial" w:hAnsi="Arial" w:cs="Arial"/>
          <w:noProof/>
          <w:lang w:val="es-ES_tradnl"/>
        </w:rPr>
        <w:t xml:space="preserve">, pues debe interpretarse en el sentido de que los contratos de prestación de servicios profesionales </w:t>
      </w:r>
      <w:r w:rsidRPr="00A75309">
        <w:rPr>
          <w:rFonts w:ascii="Arial" w:hAnsi="Arial" w:cs="Arial"/>
          <w:i/>
          <w:noProof/>
          <w:lang w:val="es-ES_tradnl"/>
        </w:rPr>
        <w:t>no pueden</w:t>
      </w:r>
      <w:r w:rsidRPr="00A75309">
        <w:rPr>
          <w:rFonts w:ascii="Arial" w:hAnsi="Arial"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sidR="00D91F03">
        <w:rPr>
          <w:rFonts w:ascii="Arial" w:hAnsi="Arial" w:cs="Arial"/>
          <w:noProof/>
          <w:lang w:val="es-ES_tradnl"/>
        </w:rPr>
        <w:t>“</w:t>
      </w:r>
      <w:r w:rsidRPr="00A75309">
        <w:rPr>
          <w:rFonts w:ascii="Arial" w:hAnsi="Arial" w:cs="Arial"/>
          <w:noProof/>
          <w:lang w:val="es-ES_tradnl"/>
        </w:rPr>
        <w:t>trabajador independiente</w:t>
      </w:r>
      <w:r w:rsidR="00D91F03">
        <w:rPr>
          <w:rFonts w:ascii="Arial" w:hAnsi="Arial" w:cs="Arial"/>
          <w:noProof/>
          <w:lang w:val="es-ES_tradnl"/>
        </w:rPr>
        <w:t>”</w:t>
      </w:r>
      <w:r w:rsidRPr="00A75309">
        <w:rPr>
          <w:rFonts w:ascii="Arial" w:hAnsi="Arial" w:cs="Arial"/>
          <w:noProof/>
          <w:lang w:val="es-ES_tradnl"/>
        </w:rPr>
        <w:t xml:space="preserve"> –como lo califican las normas de la seguridad social– debe cotizar por su cuenta y riesgo al sistema de seguridad social integral</w:t>
      </w:r>
      <w:r w:rsidRPr="00A75309">
        <w:rPr>
          <w:rFonts w:ascii="Arial" w:hAnsi="Arial" w:cs="Arial"/>
          <w:noProof/>
          <w:vertAlign w:val="superscript"/>
          <w:lang w:val="es-ES_tradnl"/>
        </w:rPr>
        <w:footnoteReference w:id="7"/>
      </w:r>
      <w:r w:rsidRPr="00A75309">
        <w:rPr>
          <w:rFonts w:ascii="Arial" w:hAnsi="Arial" w:cs="Arial"/>
          <w:noProof/>
          <w:lang w:val="es-ES_tradnl"/>
        </w:rPr>
        <w:t xml:space="preserve">. </w:t>
      </w:r>
    </w:p>
    <w:p w14:paraId="67BA1C3A" w14:textId="193B5447"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lastRenderedPageBreak/>
        <w:t xml:space="preserve">A pesar de este mandato deontológico, es posible que en la práctica se configure una relación laboral, pues el contrato de trabajo es </w:t>
      </w:r>
      <w:r w:rsidRPr="00A75309">
        <w:rPr>
          <w:rFonts w:ascii="Arial" w:hAnsi="Arial" w:cs="Arial"/>
          <w:i/>
          <w:iCs/>
          <w:noProof/>
          <w:lang w:val="es-ES_tradnl"/>
        </w:rPr>
        <w:t xml:space="preserve">de </w:t>
      </w:r>
      <w:r w:rsidRPr="00A75309">
        <w:rPr>
          <w:rFonts w:ascii="Arial" w:hAnsi="Arial" w:cs="Arial"/>
          <w:i/>
          <w:noProof/>
          <w:lang w:val="es-ES_tradnl"/>
        </w:rPr>
        <w:t>realidad</w:t>
      </w:r>
      <w:r w:rsidRPr="00A75309">
        <w:rPr>
          <w:rFonts w:ascii="Arial" w:hAnsi="Arial" w:cs="Arial"/>
          <w:noProof/>
          <w:lang w:val="es-ES_tradnl"/>
        </w:rPr>
        <w:t xml:space="preserve"> y para perfeccionarlo rige el principio de prevalencia de la realidad sobre las formalidades. En el sentido anterior, la Corte Constitucional declaró la exequibilidad condicionada del segundo inciso del numeral 3 del artículo 32, indicando que </w:t>
      </w:r>
      <w:r w:rsidR="00D91F03">
        <w:rPr>
          <w:rFonts w:ascii="Arial" w:hAnsi="Arial" w:cs="Arial"/>
          <w:noProof/>
          <w:lang w:val="es-ES_tradnl"/>
        </w:rPr>
        <w:t>“</w:t>
      </w:r>
      <w:r w:rsidRPr="00A75309">
        <w:rPr>
          <w:rFonts w:ascii="Arial" w:hAnsi="Arial" w:cs="Arial"/>
          <w:noProof/>
          <w:lang w:val="es-ES_tradnl"/>
        </w:rPr>
        <w:t>las expresiones acusadas del numeral 3, del artículo 32, de la Ley 80 de 1993, no vulneran los preceptos constitucionales, razón por la cual deberán ser declaradas exequibles, salvo que se acredite por parte del contratista la existencia de una relación laboral subordinada</w:t>
      </w:r>
      <w:r w:rsidR="00D91F03">
        <w:rPr>
          <w:rFonts w:ascii="Arial" w:hAnsi="Arial" w:cs="Arial"/>
          <w:noProof/>
          <w:lang w:val="es-ES_tradnl"/>
        </w:rPr>
        <w:t>”</w:t>
      </w:r>
      <w:r w:rsidRPr="00A75309">
        <w:rPr>
          <w:rFonts w:ascii="Arial" w:hAnsi="Arial" w:cs="Arial"/>
          <w:noProof/>
          <w:vertAlign w:val="superscript"/>
          <w:lang w:val="es-ES_tradnl"/>
        </w:rPr>
        <w:footnoteReference w:id="8"/>
      </w:r>
      <w:r w:rsidRPr="00A75309">
        <w:rPr>
          <w:rFonts w:ascii="Arial" w:hAnsi="Arial" w:cs="Arial"/>
          <w:noProof/>
          <w:lang w:val="es-ES_tradnl"/>
        </w:rPr>
        <w:t>.</w:t>
      </w:r>
    </w:p>
    <w:p w14:paraId="69D9D374" w14:textId="7766BB1E" w:rsidR="00A75309" w:rsidRPr="00A75309" w:rsidRDefault="00A75309" w:rsidP="00A75309">
      <w:pPr>
        <w:spacing w:before="120" w:after="0" w:line="276" w:lineRule="auto"/>
        <w:contextualSpacing/>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ab/>
      </w:r>
      <w:proofErr w:type="spellStart"/>
      <w:r w:rsidRPr="00A75309">
        <w:rPr>
          <w:rFonts w:ascii="Arial" w:eastAsia="Times New Roman" w:hAnsi="Arial" w:cs="Arial"/>
          <w:color w:val="000000"/>
          <w:szCs w:val="24"/>
          <w:lang w:val="es-ES_tradnl" w:eastAsia="es-ES_tradnl"/>
        </w:rPr>
        <w:t>iv</w:t>
      </w:r>
      <w:proofErr w:type="spellEnd"/>
      <w:r w:rsidRPr="00A75309">
        <w:rPr>
          <w:rFonts w:ascii="Arial" w:eastAsia="Times New Roman" w:hAnsi="Arial" w:cs="Arial"/>
          <w:color w:val="000000"/>
          <w:szCs w:val="24"/>
          <w:lang w:val="es-ES_tradnl" w:eastAsia="es-ES_tradnl"/>
        </w:rPr>
        <w:t xml:space="preserve">) Deben ser temporales. La mencionada Sentencia de Unificación Jurisprudencial del Consejo de Estado, frente a la duración del contrato de prestación de servicios señaló que solo puede celebrarse por un </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término estrictamente indispensable</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 xml:space="preserve">. En ese entendido, </w:t>
      </w:r>
      <w:r w:rsidR="00D91F03">
        <w:rPr>
          <w:rFonts w:ascii="Arial" w:eastAsia="Times New Roman" w:hAnsi="Arial" w:cs="Arial"/>
          <w:color w:val="000000"/>
          <w:szCs w:val="24"/>
          <w:lang w:val="es-ES_tradnl" w:eastAsia="es-ES_tradnl"/>
        </w:rPr>
        <w:t xml:space="preserve">se estableció el </w:t>
      </w:r>
      <w:r w:rsidRPr="00A75309">
        <w:rPr>
          <w:rFonts w:ascii="Arial" w:eastAsia="Times New Roman" w:hAnsi="Arial" w:cs="Arial"/>
          <w:color w:val="000000"/>
          <w:szCs w:val="24"/>
          <w:lang w:val="es-ES_tradnl" w:eastAsia="es-ES_tradnl"/>
        </w:rPr>
        <w:t xml:space="preserve">alcance del término </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estrictamente indispensable</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 xml:space="preserve"> como </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 xml:space="preserve">aquel que tiene lugar a la fase precontractual, pues es en esta donde la entidad aproxima en función del objeto a contratar y de los recursos disponibles, el tiempo de vigencia máximo que estima </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imprescindible</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 xml:space="preserve"> para su ejecución</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w:t>
      </w:r>
    </w:p>
    <w:p w14:paraId="6492090B" w14:textId="277EDBDD" w:rsidR="00A75309" w:rsidRPr="00A75309" w:rsidRDefault="00A75309" w:rsidP="00A75309">
      <w:pPr>
        <w:spacing w:before="120" w:after="0" w:line="276" w:lineRule="auto"/>
        <w:ind w:firstLine="709"/>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 xml:space="preserve">De igual forma, señaló que </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la vigencia del contrato debe ser por el tiempo necesario para ejecutar el objeto contractual convenido, y este debe estar sujeto al principio de planeación, que encuentra su manifestación práctica en la elaboración de los estudios previos a la celebración del negocio jurídico, pues es allí donde deberán quedar motivadas con suficiencia las razones que justifiquen que la Administración recurra a un contrato de prestación de servicios</w:t>
      </w:r>
      <w:r w:rsidR="00D91F03">
        <w:rPr>
          <w:rFonts w:ascii="Arial" w:eastAsia="Times New Roman" w:hAnsi="Arial" w:cs="Arial"/>
          <w:color w:val="000000"/>
          <w:szCs w:val="24"/>
          <w:lang w:val="es-ES_tradnl" w:eastAsia="es-ES_tradnl"/>
        </w:rPr>
        <w:t>”</w:t>
      </w:r>
      <w:r w:rsidRPr="00A75309">
        <w:rPr>
          <w:rFonts w:ascii="Arial" w:eastAsia="Times New Roman" w:hAnsi="Arial" w:cs="Arial"/>
          <w:color w:val="000000"/>
          <w:szCs w:val="24"/>
          <w:lang w:val="es-ES_tradnl" w:eastAsia="es-ES_tradnl"/>
        </w:rPr>
        <w:t>. Sin embargo, teniendo en cuenta las particularidades del objeto a contratar, el cual deberá identificarse y justificarse en dichos estudios, las entidades públicas en virtud del principio de autonomía de la voluntad y con el fin de garantizar la eficacia de los principios rectores de la administración pública y los de gestión fiscal, podrán estipular las condiciones en las que este deba ejecutarse.</w:t>
      </w:r>
    </w:p>
    <w:p w14:paraId="5171C728" w14:textId="77777777" w:rsidR="00A75309" w:rsidRPr="00A75309" w:rsidRDefault="00A75309" w:rsidP="00A75309">
      <w:pPr>
        <w:spacing w:before="120" w:after="0" w:line="276" w:lineRule="auto"/>
        <w:ind w:firstLine="709"/>
        <w:jc w:val="both"/>
        <w:rPr>
          <w:rFonts w:ascii="Geomanist Light" w:hAnsi="Geomanist Light" w:cs="Arial"/>
          <w:noProof/>
          <w:lang w:val="es-ES_tradnl"/>
        </w:rPr>
      </w:pPr>
      <w:r w:rsidRPr="00A75309">
        <w:rPr>
          <w:rFonts w:ascii="Arial" w:eastAsia="Times New Roman" w:hAnsi="Arial" w:cs="Arial"/>
          <w:color w:val="000000"/>
          <w:szCs w:val="24"/>
          <w:lang w:val="es-ES_tradnl" w:eastAsia="es-ES_tradnl"/>
        </w:rPr>
        <w:t>vi) Para su celebración no se requiere expedir un acto administrativo de justificación de la contratación</w:t>
      </w:r>
      <w:r w:rsidRPr="00A75309">
        <w:rPr>
          <w:rFonts w:ascii="Geomanist Light" w:hAnsi="Geomanist Light" w:cs="Arial"/>
          <w:noProof/>
          <w:vertAlign w:val="superscript"/>
          <w:lang w:val="es-ES_tradnl"/>
        </w:rPr>
        <w:footnoteReference w:id="9"/>
      </w:r>
      <w:r w:rsidRPr="00A75309">
        <w:rPr>
          <w:rFonts w:ascii="Geomanist Light" w:hAnsi="Geomanist Light" w:cs="Arial"/>
          <w:noProof/>
          <w:lang w:val="es-ES_tradnl"/>
        </w:rPr>
        <w:t>.</w:t>
      </w:r>
    </w:p>
    <w:p w14:paraId="14F23368" w14:textId="77777777" w:rsidR="00A75309" w:rsidRPr="00A75309" w:rsidRDefault="00A75309" w:rsidP="00A75309">
      <w:pPr>
        <w:spacing w:before="120" w:after="0" w:line="276" w:lineRule="auto"/>
        <w:ind w:firstLine="709"/>
        <w:jc w:val="both"/>
        <w:rPr>
          <w:rFonts w:ascii="Arial" w:eastAsia="Times New Roman" w:hAnsi="Arial" w:cs="Arial"/>
          <w:color w:val="000000"/>
          <w:szCs w:val="24"/>
          <w:lang w:val="es-ES_tradnl" w:eastAsia="es-ES_tradnl"/>
        </w:rPr>
      </w:pPr>
      <w:proofErr w:type="spellStart"/>
      <w:r w:rsidRPr="00A75309">
        <w:rPr>
          <w:rFonts w:ascii="Arial" w:eastAsia="Times New Roman" w:hAnsi="Arial" w:cs="Arial"/>
          <w:color w:val="000000"/>
          <w:szCs w:val="24"/>
          <w:lang w:val="es-ES_tradnl" w:eastAsia="es-ES_tradnl"/>
        </w:rPr>
        <w:t>vii</w:t>
      </w:r>
      <w:proofErr w:type="spellEnd"/>
      <w:r w:rsidRPr="00A75309">
        <w:rPr>
          <w:rFonts w:ascii="Arial" w:eastAsia="Times New Roman" w:hAnsi="Arial" w:cs="Arial"/>
          <w:color w:val="000000"/>
          <w:szCs w:val="24"/>
          <w:lang w:val="es-ES_tradnl" w:eastAsia="es-ES_tradnl"/>
        </w:rPr>
        <w:t xml:space="preserve">) </w:t>
      </w:r>
      <w:r w:rsidRPr="00A75309">
        <w:rPr>
          <w:rFonts w:ascii="Arial" w:hAnsi="Arial" w:cs="Arial"/>
          <w:noProof/>
          <w:lang w:val="es-ES_tradnl"/>
        </w:rPr>
        <w:t>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A75309">
        <w:rPr>
          <w:rFonts w:ascii="Arial" w:hAnsi="Arial" w:cs="Arial"/>
          <w:noProof/>
          <w:vertAlign w:val="superscript"/>
          <w:lang w:val="es-ES_tradnl"/>
        </w:rPr>
        <w:footnoteReference w:id="10"/>
      </w:r>
      <w:r w:rsidRPr="00A75309">
        <w:rPr>
          <w:rFonts w:ascii="Arial" w:hAnsi="Arial" w:cs="Arial"/>
          <w:noProof/>
          <w:lang w:val="es-ES_tradnl"/>
        </w:rPr>
        <w:t>.</w:t>
      </w:r>
    </w:p>
    <w:p w14:paraId="2AAAE982" w14:textId="77777777"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lastRenderedPageBreak/>
        <w:t>viii) No es obligatoria la liquidación de estos contratos, como lo establece el artículo 217 del Decreto 019 de 2012, que modificó el artículo 60 de la Ley 80 de 1993</w:t>
      </w:r>
      <w:r w:rsidRPr="00A75309">
        <w:rPr>
          <w:rFonts w:ascii="Arial" w:hAnsi="Arial" w:cs="Arial"/>
          <w:noProof/>
          <w:vertAlign w:val="superscript"/>
          <w:lang w:val="es-ES_tradnl"/>
        </w:rPr>
        <w:footnoteReference w:id="11"/>
      </w:r>
      <w:r w:rsidRPr="00A75309">
        <w:rPr>
          <w:rFonts w:ascii="Arial" w:hAnsi="Arial" w:cs="Arial"/>
          <w:noProof/>
          <w:lang w:val="es-ES_tradnl"/>
        </w:rPr>
        <w:t>.</w:t>
      </w:r>
    </w:p>
    <w:p w14:paraId="79CCFA10" w14:textId="77777777" w:rsidR="00A75309" w:rsidRPr="00A75309" w:rsidRDefault="00A75309" w:rsidP="00A75309">
      <w:pPr>
        <w:spacing w:before="120" w:after="120" w:line="276" w:lineRule="auto"/>
        <w:ind w:firstLine="709"/>
        <w:jc w:val="both"/>
        <w:rPr>
          <w:rFonts w:ascii="Arial" w:hAnsi="Arial" w:cs="Arial"/>
          <w:noProof/>
          <w:lang w:val="es-ES_tradnl"/>
        </w:rPr>
      </w:pPr>
      <w:r w:rsidRPr="00A75309">
        <w:rPr>
          <w:rFonts w:ascii="Arial" w:hAnsi="Arial" w:cs="Arial"/>
          <w:noProof/>
          <w:lang w:val="es-ES_tradnl"/>
        </w:rPr>
        <w:t>ix) Para su celebración el contratista no requiere estar inscrito en el Registro Único de Proponentes –RUP–, como lo señala el artículo 6 de la Ley 1150 de 2007</w:t>
      </w:r>
      <w:r w:rsidRPr="00A75309">
        <w:rPr>
          <w:rFonts w:ascii="Arial" w:hAnsi="Arial" w:cs="Arial"/>
          <w:noProof/>
          <w:vertAlign w:val="superscript"/>
          <w:lang w:val="es-ES_tradnl"/>
        </w:rPr>
        <w:footnoteReference w:id="12"/>
      </w:r>
      <w:r w:rsidRPr="00A75309">
        <w:rPr>
          <w:rFonts w:ascii="Arial" w:hAnsi="Arial" w:cs="Arial"/>
          <w:noProof/>
          <w:lang w:val="es-ES_tradnl"/>
        </w:rPr>
        <w:t>.</w:t>
      </w:r>
    </w:p>
    <w:p w14:paraId="47A22FD9" w14:textId="77777777" w:rsidR="00A75309" w:rsidRPr="00A75309" w:rsidRDefault="00A75309" w:rsidP="00A75309">
      <w:pPr>
        <w:spacing w:before="120" w:after="120" w:line="276" w:lineRule="auto"/>
        <w:ind w:firstLine="708"/>
        <w:jc w:val="both"/>
        <w:rPr>
          <w:rFonts w:ascii="Arial" w:hAnsi="Arial" w:cs="Arial"/>
          <w:noProof/>
          <w:lang w:val="es-ES_tradnl"/>
        </w:rPr>
      </w:pPr>
      <w:r w:rsidRPr="00A75309">
        <w:rPr>
          <w:rFonts w:ascii="Arial" w:hAnsi="Arial" w:cs="Arial"/>
          <w:noProof/>
          <w:lang w:val="es-ES_tradnl"/>
        </w:rPr>
        <w:t>x) No es obligtoria la exigencia de garantías</w:t>
      </w:r>
      <w:r w:rsidRPr="00A75309">
        <w:rPr>
          <w:rFonts w:ascii="Arial" w:hAnsi="Arial" w:cs="Arial"/>
          <w:noProof/>
          <w:vertAlign w:val="superscript"/>
          <w:lang w:val="es-ES_tradnl"/>
        </w:rPr>
        <w:footnoteReference w:id="13"/>
      </w:r>
      <w:r w:rsidRPr="00A75309">
        <w:rPr>
          <w:rFonts w:ascii="Arial" w:hAnsi="Arial" w:cs="Arial"/>
          <w:noProof/>
          <w:lang w:val="es-ES_tradnl"/>
        </w:rPr>
        <w:t>.</w:t>
      </w:r>
    </w:p>
    <w:p w14:paraId="3412715F" w14:textId="77777777" w:rsidR="00A75309" w:rsidRPr="00A75309" w:rsidRDefault="00A75309" w:rsidP="00A75309">
      <w:pPr>
        <w:spacing w:before="120" w:after="120" w:line="276" w:lineRule="auto"/>
        <w:ind w:firstLine="708"/>
        <w:jc w:val="both"/>
        <w:rPr>
          <w:rFonts w:ascii="Arial" w:hAnsi="Arial" w:cs="Arial"/>
          <w:noProof/>
          <w:lang w:val="es-ES"/>
        </w:rPr>
      </w:pPr>
      <w:r w:rsidRPr="00A75309">
        <w:rPr>
          <w:rFonts w:ascii="Arial" w:hAnsi="Arial" w:cs="Arial"/>
          <w:noProof/>
          <w:lang w:val="es-ES_tradnl"/>
        </w:rPr>
        <w:t>xi) Como los demás contratos estatales, se trata de un contrato solemne que debe constar por escrito y debe ser publicado en el SECOP.</w:t>
      </w:r>
    </w:p>
    <w:p w14:paraId="429425AC" w14:textId="77777777" w:rsidR="00A75309" w:rsidRPr="00A75309" w:rsidRDefault="00A75309" w:rsidP="00A75309">
      <w:pPr>
        <w:tabs>
          <w:tab w:val="left" w:pos="0"/>
        </w:tabs>
        <w:spacing w:before="120" w:after="0" w:line="276" w:lineRule="auto"/>
        <w:ind w:firstLine="709"/>
        <w:jc w:val="both"/>
        <w:rPr>
          <w:rFonts w:ascii="Arial" w:hAnsi="Arial" w:cs="Arial"/>
          <w:color w:val="000000" w:themeColor="text1"/>
          <w:lang w:val="es-MX"/>
        </w:rPr>
      </w:pPr>
      <w:proofErr w:type="spellStart"/>
      <w:r w:rsidRPr="00A75309">
        <w:rPr>
          <w:rFonts w:ascii="Arial" w:hAnsi="Arial" w:cs="Arial"/>
          <w:color w:val="000000" w:themeColor="text1"/>
          <w:lang w:val="es-ES"/>
        </w:rPr>
        <w:t>xii</w:t>
      </w:r>
      <w:proofErr w:type="spellEnd"/>
      <w:r w:rsidRPr="00A75309">
        <w:rPr>
          <w:rFonts w:ascii="Arial" w:hAnsi="Arial" w:cs="Arial"/>
          <w:color w:val="000000" w:themeColor="text1"/>
          <w:lang w:val="es-ES"/>
        </w:rPr>
        <w:t>) C</w:t>
      </w:r>
      <w:proofErr w:type="spellStart"/>
      <w:r w:rsidRPr="00A75309">
        <w:rPr>
          <w:rFonts w:ascii="Arial" w:hAnsi="Arial" w:cs="Arial"/>
          <w:color w:val="000000" w:themeColor="text1"/>
          <w:lang w:val="es-MX"/>
        </w:rPr>
        <w:t>omo</w:t>
      </w:r>
      <w:proofErr w:type="spellEnd"/>
      <w:r w:rsidRPr="00A75309">
        <w:rPr>
          <w:rFonts w:ascii="Arial" w:hAnsi="Arial" w:cs="Arial"/>
          <w:color w:val="000000" w:themeColor="text1"/>
          <w:lang w:val="es-MX"/>
        </w:rPr>
        <w:t xml:space="preserve"> especies del género </w:t>
      </w:r>
      <w:r w:rsidRPr="00A75309">
        <w:rPr>
          <w:rFonts w:ascii="Arial" w:hAnsi="Arial" w:cs="Arial"/>
          <w:i/>
          <w:color w:val="000000" w:themeColor="text1"/>
          <w:lang w:val="es-MX"/>
        </w:rPr>
        <w:t>prestación de servicios,</w:t>
      </w:r>
      <w:r w:rsidRPr="00A75309">
        <w:rPr>
          <w:rFonts w:ascii="Arial" w:hAnsi="Arial" w:cs="Arial"/>
          <w:color w:val="000000" w:themeColor="text1"/>
          <w:lang w:val="es-MX"/>
        </w:rPr>
        <w:t xml:space="preserve"> se incluyen </w:t>
      </w:r>
      <w:r w:rsidRPr="00A75309">
        <w:rPr>
          <w:rFonts w:ascii="Arial" w:hAnsi="Arial" w:cs="Arial"/>
          <w:color w:val="000000" w:themeColor="text1"/>
          <w:lang w:val="es-ES_tradnl"/>
        </w:rPr>
        <w:t xml:space="preserve">los </w:t>
      </w:r>
      <w:r w:rsidRPr="00A75309">
        <w:rPr>
          <w:rFonts w:ascii="Arial" w:hAnsi="Arial" w:cs="Arial"/>
          <w:i/>
          <w:iCs/>
          <w:color w:val="000000" w:themeColor="text1"/>
          <w:lang w:val="es-ES_tradnl"/>
        </w:rPr>
        <w:t>contratos de prestación de servicios profesionales, los contratos de prestación de servicios de apoyo a la gestión</w:t>
      </w:r>
      <w:r w:rsidRPr="00A75309">
        <w:rPr>
          <w:rFonts w:ascii="Arial" w:hAnsi="Arial" w:cs="Arial"/>
          <w:color w:val="000000" w:themeColor="text1"/>
          <w:lang w:val="es-ES_tradnl"/>
        </w:rPr>
        <w:t xml:space="preserve"> y los </w:t>
      </w:r>
      <w:r w:rsidRPr="00A75309">
        <w:rPr>
          <w:rFonts w:ascii="Arial" w:hAnsi="Arial" w:cs="Arial"/>
          <w:i/>
          <w:iCs/>
          <w:color w:val="000000" w:themeColor="text1"/>
          <w:lang w:val="es-ES_tradnl"/>
        </w:rPr>
        <w:t>contratos de prestación de servicios artísticos que solo pueden encomendarse a determinadas personas naturales</w:t>
      </w:r>
      <w:r w:rsidRPr="00A75309">
        <w:rPr>
          <w:rFonts w:ascii="Arial" w:hAnsi="Arial" w:cs="Arial"/>
          <w:color w:val="000000" w:themeColor="text1"/>
          <w:vertAlign w:val="superscript"/>
          <w:lang w:val="es-ES_tradnl"/>
        </w:rPr>
        <w:footnoteReference w:id="14"/>
      </w:r>
      <w:r w:rsidRPr="00A75309">
        <w:rPr>
          <w:rFonts w:ascii="Arial" w:hAnsi="Arial" w:cs="Arial"/>
          <w:color w:val="000000" w:themeColor="text1"/>
          <w:lang w:val="es-MX"/>
        </w:rPr>
        <w:t xml:space="preserve">. </w:t>
      </w:r>
      <w:r w:rsidRPr="00A75309">
        <w:rPr>
          <w:rFonts w:ascii="Arial" w:hAnsi="Arial" w:cs="Arial"/>
          <w:color w:val="000000" w:themeColor="text1"/>
          <w:lang w:val="es-ES_tradnl"/>
        </w:rPr>
        <w:t xml:space="preserve">La diferencia entre el contrato de prestación de servicios </w:t>
      </w:r>
      <w:r w:rsidRPr="00A75309">
        <w:rPr>
          <w:rFonts w:ascii="Arial" w:hAnsi="Arial" w:cs="Arial"/>
          <w:i/>
          <w:color w:val="000000" w:themeColor="text1"/>
          <w:lang w:val="es-ES_tradnl"/>
        </w:rPr>
        <w:t>profesionales</w:t>
      </w:r>
      <w:r w:rsidRPr="00A75309">
        <w:rPr>
          <w:rFonts w:ascii="Arial" w:hAnsi="Arial" w:cs="Arial"/>
          <w:color w:val="000000" w:themeColor="text1"/>
          <w:lang w:val="es-ES_tradnl"/>
        </w:rPr>
        <w:t xml:space="preserve"> con las otras dos especies del género en el cual se </w:t>
      </w:r>
      <w:proofErr w:type="gramStart"/>
      <w:r w:rsidRPr="00A75309">
        <w:rPr>
          <w:rFonts w:ascii="Arial" w:hAnsi="Arial" w:cs="Arial"/>
          <w:color w:val="000000" w:themeColor="text1"/>
          <w:lang w:val="es-ES_tradnl"/>
        </w:rPr>
        <w:t>ubican,</w:t>
      </w:r>
      <w:proofErr w:type="gramEnd"/>
      <w:r w:rsidRPr="00A75309">
        <w:rPr>
          <w:rFonts w:ascii="Arial" w:hAnsi="Arial" w:cs="Arial"/>
          <w:color w:val="000000" w:themeColor="text1"/>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4876215C" w14:textId="77777777" w:rsidR="00A75309" w:rsidRPr="00A75309" w:rsidRDefault="00A75309" w:rsidP="00A75309">
      <w:pPr>
        <w:spacing w:after="0" w:line="276" w:lineRule="auto"/>
        <w:ind w:firstLine="709"/>
        <w:contextualSpacing/>
        <w:jc w:val="both"/>
        <w:rPr>
          <w:rFonts w:ascii="Arial" w:hAnsi="Arial" w:cs="Arial"/>
          <w:color w:val="000000" w:themeColor="text1"/>
          <w:lang w:val="es-ES_tradnl"/>
        </w:rPr>
      </w:pPr>
    </w:p>
    <w:p w14:paraId="76EA9325" w14:textId="5B93172B" w:rsidR="00A75309" w:rsidRPr="00A75309" w:rsidRDefault="00DD2B75" w:rsidP="00A75309">
      <w:pPr>
        <w:spacing w:after="0" w:line="240" w:lineRule="auto"/>
        <w:ind w:left="709" w:right="709"/>
        <w:contextualSpacing/>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A75309" w:rsidRPr="00A75309">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cs="Arial"/>
          <w:color w:val="000000" w:themeColor="text1"/>
          <w:sz w:val="21"/>
          <w:szCs w:val="21"/>
          <w:lang w:val="es-ES_tradnl"/>
        </w:rPr>
        <w:t>”</w:t>
      </w:r>
      <w:r w:rsidR="00A75309" w:rsidRPr="00A75309">
        <w:rPr>
          <w:rFonts w:ascii="Arial" w:hAnsi="Arial" w:cs="Arial"/>
          <w:color w:val="000000" w:themeColor="text1"/>
          <w:sz w:val="21"/>
          <w:szCs w:val="21"/>
          <w:vertAlign w:val="superscript"/>
          <w:lang w:val="es-ES_tradnl"/>
        </w:rPr>
        <w:footnoteReference w:id="15"/>
      </w:r>
      <w:r w:rsidR="00A75309" w:rsidRPr="00A75309">
        <w:rPr>
          <w:rFonts w:ascii="Arial" w:hAnsi="Arial" w:cs="Arial"/>
          <w:color w:val="000000" w:themeColor="text1"/>
          <w:sz w:val="21"/>
          <w:szCs w:val="21"/>
          <w:lang w:val="es-ES_tradnl"/>
        </w:rPr>
        <w:t>.</w:t>
      </w:r>
    </w:p>
    <w:p w14:paraId="201BF2A5" w14:textId="77777777" w:rsidR="00A75309" w:rsidRPr="00A75309" w:rsidRDefault="00A75309" w:rsidP="00A75309">
      <w:pPr>
        <w:spacing w:after="0" w:line="240" w:lineRule="auto"/>
        <w:ind w:firstLine="709"/>
        <w:contextualSpacing/>
        <w:jc w:val="both"/>
        <w:rPr>
          <w:rFonts w:ascii="Arial" w:hAnsi="Arial" w:cs="Arial"/>
          <w:color w:val="000000" w:themeColor="text1"/>
          <w:lang w:val="es-ES_tradnl"/>
        </w:rPr>
      </w:pPr>
    </w:p>
    <w:p w14:paraId="6B3875B0" w14:textId="77777777" w:rsidR="00A75309" w:rsidRPr="00A75309" w:rsidRDefault="00A75309" w:rsidP="00A75309">
      <w:pPr>
        <w:spacing w:after="0" w:line="276" w:lineRule="auto"/>
        <w:ind w:firstLine="709"/>
        <w:contextualSpacing/>
        <w:jc w:val="both"/>
        <w:rPr>
          <w:rFonts w:ascii="Arial" w:hAnsi="Arial" w:cs="Arial"/>
          <w:color w:val="000000" w:themeColor="text1"/>
          <w:lang w:val="es-ES_tradnl"/>
        </w:rPr>
      </w:pPr>
      <w:r w:rsidRPr="00A75309">
        <w:rPr>
          <w:rFonts w:ascii="Arial" w:hAnsi="Arial" w:cs="Arial"/>
          <w:color w:val="000000" w:themeColor="text1"/>
          <w:lang w:val="es-ES_tradnl"/>
        </w:rPr>
        <w:lastRenderedPageBreak/>
        <w:t xml:space="preserve">Lo expuesto, según la jurisprudencia citada, se diferencia del objeto del </w:t>
      </w:r>
      <w:r w:rsidRPr="00A75309">
        <w:rPr>
          <w:rFonts w:ascii="Arial" w:hAnsi="Arial" w:cs="Arial"/>
          <w:i/>
          <w:iCs/>
          <w:color w:val="000000" w:themeColor="text1"/>
          <w:lang w:val="es-ES_tradnl"/>
        </w:rPr>
        <w:t>contrato de prestación de servicios de apoyo a la gestión</w:t>
      </w:r>
      <w:r w:rsidRPr="00A75309">
        <w:rPr>
          <w:rFonts w:ascii="Arial" w:hAnsi="Arial" w:cs="Arial"/>
          <w:color w:val="000000" w:themeColor="text1"/>
          <w:lang w:val="es-ES_tradnl"/>
        </w:rPr>
        <w:t>, en los siguientes aspectos:</w:t>
      </w:r>
    </w:p>
    <w:p w14:paraId="7007C14B" w14:textId="77777777" w:rsidR="00A75309" w:rsidRPr="00A75309" w:rsidRDefault="00A75309" w:rsidP="00A75309">
      <w:pPr>
        <w:spacing w:after="0" w:line="276" w:lineRule="auto"/>
        <w:ind w:firstLine="709"/>
        <w:contextualSpacing/>
        <w:jc w:val="both"/>
        <w:rPr>
          <w:rFonts w:ascii="Arial" w:hAnsi="Arial" w:cs="Arial"/>
          <w:color w:val="000000" w:themeColor="text1"/>
          <w:lang w:val="es-ES_tradnl"/>
        </w:rPr>
      </w:pPr>
    </w:p>
    <w:p w14:paraId="748F4ADC" w14:textId="34ECB393" w:rsidR="00A75309" w:rsidRPr="00A75309" w:rsidRDefault="00DD2B75" w:rsidP="00A75309">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A75309" w:rsidRPr="00A75309">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3837DA6D" w14:textId="77777777" w:rsidR="00A75309" w:rsidRPr="00A75309" w:rsidRDefault="00A75309" w:rsidP="00A75309">
      <w:pPr>
        <w:spacing w:after="0" w:line="240" w:lineRule="auto"/>
        <w:ind w:left="709" w:right="709"/>
        <w:jc w:val="both"/>
        <w:rPr>
          <w:rFonts w:ascii="Arial" w:hAnsi="Arial" w:cs="Arial"/>
          <w:color w:val="000000" w:themeColor="text1"/>
          <w:sz w:val="21"/>
          <w:szCs w:val="21"/>
          <w:lang w:val="es-ES_tradnl"/>
        </w:rPr>
      </w:pPr>
    </w:p>
    <w:p w14:paraId="51C34EDB" w14:textId="77B1D7E7" w:rsidR="00A75309" w:rsidRPr="00A75309" w:rsidRDefault="00A75309" w:rsidP="00A75309">
      <w:pPr>
        <w:spacing w:after="0" w:line="240" w:lineRule="auto"/>
        <w:ind w:left="709" w:right="709"/>
        <w:jc w:val="both"/>
        <w:rPr>
          <w:rFonts w:ascii="Arial" w:hAnsi="Arial" w:cs="Arial"/>
          <w:color w:val="000000" w:themeColor="text1"/>
          <w:sz w:val="21"/>
          <w:szCs w:val="21"/>
          <w:lang w:val="es-ES_tradnl"/>
        </w:rPr>
      </w:pPr>
      <w:r w:rsidRPr="00A75309">
        <w:rPr>
          <w:rFonts w:ascii="Arial" w:hAnsi="Arial" w:cs="Arial"/>
          <w:color w:val="000000" w:themeColor="text1"/>
          <w:sz w:val="21"/>
          <w:szCs w:val="21"/>
          <w:lang w:val="es-ES_tradnl"/>
        </w:rPr>
        <w:t xml:space="preserve">Aunque también se caracteriza por el desempeño de actividad intelectiva, ésta </w:t>
      </w:r>
      <w:proofErr w:type="gramStart"/>
      <w:r w:rsidRPr="00A75309">
        <w:rPr>
          <w:rFonts w:ascii="Arial" w:hAnsi="Arial" w:cs="Arial"/>
          <w:color w:val="000000" w:themeColor="text1"/>
          <w:sz w:val="21"/>
          <w:szCs w:val="21"/>
          <w:lang w:val="es-ES_tradnl"/>
        </w:rPr>
        <w:t>se enmarca dentro de</w:t>
      </w:r>
      <w:proofErr w:type="gramEnd"/>
      <w:r w:rsidRPr="00A75309">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4CB4F76F" w14:textId="77777777" w:rsidR="00A75309" w:rsidRPr="00A75309" w:rsidRDefault="00A75309" w:rsidP="00A75309">
      <w:pPr>
        <w:spacing w:after="0" w:line="240" w:lineRule="auto"/>
        <w:ind w:left="709" w:right="709"/>
        <w:jc w:val="both"/>
        <w:rPr>
          <w:rFonts w:ascii="Arial" w:hAnsi="Arial" w:cs="Arial"/>
          <w:color w:val="000000" w:themeColor="text1"/>
          <w:sz w:val="21"/>
          <w:szCs w:val="21"/>
          <w:lang w:val="es-ES_tradnl"/>
        </w:rPr>
      </w:pPr>
    </w:p>
    <w:p w14:paraId="558528ED" w14:textId="3D457F64" w:rsidR="00A75309" w:rsidRPr="00A75309" w:rsidRDefault="00A75309" w:rsidP="00A75309">
      <w:pPr>
        <w:spacing w:after="0" w:line="240" w:lineRule="auto"/>
        <w:ind w:left="709" w:right="709"/>
        <w:jc w:val="both"/>
        <w:rPr>
          <w:rFonts w:ascii="Arial" w:hAnsi="Arial" w:cs="Arial"/>
          <w:color w:val="000000" w:themeColor="text1"/>
          <w:sz w:val="21"/>
          <w:szCs w:val="21"/>
          <w:lang w:val="es-ES_tradnl"/>
        </w:rPr>
      </w:pPr>
      <w:r w:rsidRPr="00A75309">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00DD2B75">
        <w:rPr>
          <w:rFonts w:ascii="Arial" w:hAnsi="Arial" w:cs="Arial"/>
          <w:color w:val="000000" w:themeColor="text1"/>
          <w:sz w:val="21"/>
          <w:szCs w:val="21"/>
          <w:lang w:val="es-ES_tradnl"/>
        </w:rPr>
        <w:t>”</w:t>
      </w:r>
      <w:r w:rsidRPr="00A75309">
        <w:rPr>
          <w:rFonts w:ascii="Arial" w:hAnsi="Arial" w:cs="Arial"/>
          <w:color w:val="000000" w:themeColor="text1"/>
          <w:sz w:val="21"/>
          <w:szCs w:val="21"/>
          <w:vertAlign w:val="superscript"/>
          <w:lang w:val="es-ES_tradnl"/>
        </w:rPr>
        <w:footnoteReference w:id="16"/>
      </w:r>
      <w:r w:rsidRPr="00A75309">
        <w:rPr>
          <w:rFonts w:ascii="Arial" w:hAnsi="Arial" w:cs="Arial"/>
          <w:color w:val="000000" w:themeColor="text1"/>
          <w:sz w:val="21"/>
          <w:szCs w:val="21"/>
          <w:lang w:val="es-ES_tradnl"/>
        </w:rPr>
        <w:t>.</w:t>
      </w:r>
    </w:p>
    <w:p w14:paraId="707FF080" w14:textId="77777777" w:rsidR="00A75309" w:rsidRPr="00A75309" w:rsidRDefault="00A75309" w:rsidP="00A75309">
      <w:pPr>
        <w:spacing w:after="0" w:line="276" w:lineRule="auto"/>
        <w:ind w:firstLine="709"/>
        <w:jc w:val="both"/>
        <w:rPr>
          <w:rFonts w:ascii="Arial" w:hAnsi="Arial" w:cs="Arial"/>
          <w:color w:val="000000" w:themeColor="text1"/>
          <w:lang w:val="es-ES_tradnl"/>
        </w:rPr>
      </w:pPr>
    </w:p>
    <w:p w14:paraId="773A479F" w14:textId="77777777" w:rsidR="00A75309" w:rsidRPr="00A75309" w:rsidRDefault="00A75309" w:rsidP="00A75309">
      <w:pPr>
        <w:spacing w:after="0" w:line="276" w:lineRule="auto"/>
        <w:ind w:firstLine="709"/>
        <w:jc w:val="both"/>
        <w:rPr>
          <w:rFonts w:ascii="Arial" w:hAnsi="Arial" w:cs="Arial"/>
          <w:color w:val="000000" w:themeColor="text1"/>
          <w:lang w:val="es-ES_tradnl"/>
        </w:rPr>
      </w:pPr>
      <w:r w:rsidRPr="00A75309">
        <w:rPr>
          <w:rFonts w:ascii="Arial" w:hAnsi="Arial" w:cs="Arial"/>
          <w:color w:val="000000" w:themeColor="text1"/>
          <w:lang w:val="es-ES_tradnl"/>
        </w:rPr>
        <w:t>En relación con el «</w:t>
      </w:r>
      <w:r w:rsidRPr="00A75309">
        <w:rPr>
          <w:rFonts w:ascii="Arial" w:hAnsi="Arial" w:cs="Arial"/>
          <w:i/>
          <w:iCs/>
          <w:color w:val="000000" w:themeColor="text1"/>
          <w:lang w:val="es-ES_tradnl"/>
        </w:rPr>
        <w:t>contrato de prestación de servicios artísticos que solo pueden encomendarse a determinadas personas naturales»</w:t>
      </w:r>
      <w:r w:rsidRPr="00A75309">
        <w:rPr>
          <w:rFonts w:ascii="Arial" w:hAnsi="Arial" w:cs="Arial"/>
          <w:color w:val="000000" w:themeColor="text1"/>
          <w:lang w:val="es-ES_tradnl"/>
        </w:rPr>
        <w:t>, señala la mencionada decisión judicial lo siguiente:</w:t>
      </w:r>
    </w:p>
    <w:p w14:paraId="11DA98F9" w14:textId="77777777" w:rsidR="00A75309" w:rsidRPr="00A75309" w:rsidRDefault="00A75309" w:rsidP="00A75309">
      <w:pPr>
        <w:spacing w:after="0" w:line="240" w:lineRule="auto"/>
        <w:ind w:left="709" w:right="709"/>
        <w:jc w:val="both"/>
        <w:rPr>
          <w:rFonts w:ascii="Arial" w:hAnsi="Arial" w:cs="Arial"/>
          <w:color w:val="000000" w:themeColor="text1"/>
          <w:sz w:val="21"/>
          <w:szCs w:val="21"/>
          <w:lang w:val="es-ES_tradnl"/>
        </w:rPr>
      </w:pPr>
    </w:p>
    <w:p w14:paraId="0A2B45D4" w14:textId="3ECF54BF" w:rsidR="00A75309" w:rsidRPr="00A75309" w:rsidRDefault="00DD2B75" w:rsidP="00A75309">
      <w:pPr>
        <w:spacing w:after="0" w:line="240"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A75309" w:rsidRPr="00A75309">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Pr>
          <w:rFonts w:ascii="Arial" w:hAnsi="Arial" w:cs="Arial"/>
          <w:color w:val="000000" w:themeColor="text1"/>
          <w:sz w:val="21"/>
          <w:szCs w:val="21"/>
          <w:lang w:val="es-ES_tradnl"/>
        </w:rPr>
        <w:t>”</w:t>
      </w:r>
      <w:r w:rsidR="00A75309" w:rsidRPr="00A75309">
        <w:rPr>
          <w:rFonts w:ascii="Arial" w:hAnsi="Arial" w:cs="Arial"/>
          <w:color w:val="000000" w:themeColor="text1"/>
          <w:sz w:val="21"/>
          <w:szCs w:val="21"/>
          <w:vertAlign w:val="superscript"/>
          <w:lang w:val="es-ES_tradnl"/>
        </w:rPr>
        <w:footnoteReference w:id="17"/>
      </w:r>
      <w:r w:rsidR="00A75309" w:rsidRPr="00A75309">
        <w:rPr>
          <w:rFonts w:ascii="Arial" w:hAnsi="Arial" w:cs="Arial"/>
          <w:color w:val="000000" w:themeColor="text1"/>
          <w:sz w:val="21"/>
          <w:szCs w:val="21"/>
          <w:lang w:val="es-ES_tradnl"/>
        </w:rPr>
        <w:t>.</w:t>
      </w:r>
    </w:p>
    <w:p w14:paraId="3922806D" w14:textId="77777777" w:rsidR="00A75309" w:rsidRPr="00A75309" w:rsidRDefault="00A75309" w:rsidP="00A75309">
      <w:pPr>
        <w:spacing w:after="0" w:line="240" w:lineRule="auto"/>
        <w:ind w:left="709" w:right="709"/>
        <w:jc w:val="both"/>
        <w:rPr>
          <w:rFonts w:ascii="Arial" w:hAnsi="Arial" w:cs="Arial"/>
          <w:color w:val="000000" w:themeColor="text1"/>
          <w:lang w:val="es-ES_tradnl"/>
        </w:rPr>
      </w:pPr>
    </w:p>
    <w:p w14:paraId="7BA5A817" w14:textId="2CBBC4D5" w:rsidR="00A75309" w:rsidRPr="00A75309" w:rsidRDefault="00A75309" w:rsidP="00A75309">
      <w:pPr>
        <w:spacing w:after="0" w:line="276" w:lineRule="auto"/>
        <w:ind w:firstLine="709"/>
        <w:jc w:val="both"/>
        <w:rPr>
          <w:rFonts w:ascii="Arial" w:hAnsi="Arial" w:cs="Arial"/>
          <w:color w:val="000000" w:themeColor="text1"/>
          <w:lang w:val="es-MX"/>
        </w:rPr>
      </w:pPr>
      <w:r w:rsidRPr="00A75309">
        <w:rPr>
          <w:rFonts w:ascii="Arial" w:hAnsi="Arial" w:cs="Arial"/>
          <w:color w:val="000000" w:themeColor="text1"/>
          <w:lang w:val="es-ES_tradnl"/>
        </w:rPr>
        <w:t xml:space="preserve">En este sentido, el contrato de prestación de servicios </w:t>
      </w:r>
      <w:r w:rsidRPr="00A75309">
        <w:rPr>
          <w:rFonts w:ascii="Arial" w:hAnsi="Arial" w:cs="Arial"/>
          <w:i/>
          <w:iCs/>
          <w:color w:val="000000" w:themeColor="text1"/>
          <w:lang w:val="es-ES_tradnl"/>
        </w:rPr>
        <w:t>profesionales</w:t>
      </w:r>
      <w:r w:rsidRPr="00A75309">
        <w:rPr>
          <w:rFonts w:ascii="Arial" w:hAnsi="Arial" w:cs="Arial"/>
          <w:color w:val="000000" w:themeColor="text1"/>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A75309">
        <w:rPr>
          <w:rFonts w:ascii="Arial" w:hAnsi="Arial" w:cs="Arial"/>
          <w:i/>
          <w:iCs/>
          <w:color w:val="000000" w:themeColor="text1"/>
          <w:lang w:val="es-ES_tradnl"/>
        </w:rPr>
        <w:t>saber intelectivo cualificado.</w:t>
      </w:r>
      <w:r w:rsidRPr="00A75309">
        <w:rPr>
          <w:rFonts w:ascii="Arial" w:hAnsi="Arial" w:cs="Arial"/>
          <w:color w:val="000000" w:themeColor="text1"/>
          <w:lang w:val="es-ES_tradnl"/>
        </w:rPr>
        <w:t xml:space="preserve"> En cambio, los contratos de prestación de servicios de </w:t>
      </w:r>
      <w:r w:rsidRPr="00A75309">
        <w:rPr>
          <w:rFonts w:ascii="Arial" w:hAnsi="Arial" w:cs="Arial"/>
          <w:i/>
          <w:iCs/>
          <w:color w:val="000000" w:themeColor="text1"/>
          <w:lang w:val="es-ES_tradnl"/>
        </w:rPr>
        <w:t>apoyo a la gestión</w:t>
      </w:r>
      <w:r w:rsidRPr="00A75309">
        <w:rPr>
          <w:rFonts w:ascii="Arial" w:hAnsi="Arial" w:cs="Arial"/>
          <w:color w:val="000000" w:themeColor="text1"/>
          <w:lang w:val="es-ES_tradnl"/>
        </w:rPr>
        <w:t xml:space="preserve"> y de </w:t>
      </w:r>
      <w:r w:rsidRPr="00A75309">
        <w:rPr>
          <w:rFonts w:ascii="Arial" w:hAnsi="Arial" w:cs="Arial"/>
          <w:i/>
          <w:iCs/>
          <w:color w:val="000000" w:themeColor="text1"/>
          <w:lang w:val="es-ES_tradnl"/>
        </w:rPr>
        <w:t>servicios artísticos</w:t>
      </w:r>
      <w:r w:rsidRPr="00A75309">
        <w:rPr>
          <w:rFonts w:ascii="Arial" w:hAnsi="Arial" w:cs="Arial"/>
          <w:color w:val="000000" w:themeColor="text1"/>
          <w:lang w:val="es-ES_tradnl"/>
        </w:rPr>
        <w:t xml:space="preserve"> no involucran ese conocimiento profesional </w:t>
      </w:r>
      <w:r w:rsidRPr="00A75309">
        <w:rPr>
          <w:rFonts w:ascii="Arial" w:hAnsi="Arial" w:cs="Arial"/>
          <w:color w:val="000000" w:themeColor="text1"/>
          <w:lang w:val="es-MX"/>
        </w:rPr>
        <w:t xml:space="preserve">o especializados para su ejecución. En los contratos de apoyo a la gestión </w:t>
      </w:r>
      <w:r w:rsidRPr="00A75309">
        <w:rPr>
          <w:rFonts w:ascii="Arial" w:hAnsi="Arial" w:cs="Arial"/>
          <w:color w:val="000000" w:themeColor="text1"/>
          <w:lang w:val="es-ES_tradnl"/>
        </w:rPr>
        <w:t xml:space="preserve">el contratista desempeña un esfuerzo o actividad de apoyo, acompañamiento, o soporte, </w:t>
      </w:r>
      <w:r w:rsidRPr="00A75309">
        <w:rPr>
          <w:rFonts w:ascii="Arial" w:hAnsi="Arial" w:cs="Arial"/>
          <w:color w:val="000000" w:themeColor="text1"/>
          <w:lang w:val="es-MX"/>
        </w:rPr>
        <w:t xml:space="preserve">donde </w:t>
      </w:r>
      <w:r w:rsidR="00DD2B75">
        <w:rPr>
          <w:rFonts w:ascii="Arial" w:hAnsi="Arial" w:cs="Arial"/>
          <w:color w:val="000000" w:themeColor="text1"/>
          <w:lang w:val="es-ES_tradnl"/>
        </w:rPr>
        <w:t>“</w:t>
      </w:r>
      <w:r w:rsidRPr="00A75309">
        <w:rPr>
          <w:rFonts w:ascii="Arial" w:hAnsi="Arial" w:cs="Arial"/>
          <w:color w:val="000000" w:themeColor="text1"/>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A75309">
        <w:rPr>
          <w:rFonts w:ascii="Arial" w:hAnsi="Arial" w:cs="Arial"/>
          <w:color w:val="000000" w:themeColor="text1"/>
          <w:lang w:val="es-ES_tradnl"/>
        </w:rPr>
        <w:t>la misma</w:t>
      </w:r>
      <w:proofErr w:type="gramEnd"/>
      <w:r w:rsidRPr="00A75309">
        <w:rPr>
          <w:rFonts w:ascii="Arial" w:hAnsi="Arial" w:cs="Arial"/>
          <w:color w:val="000000" w:themeColor="text1"/>
          <w:lang w:val="es-ES_tradnl"/>
        </w:rPr>
        <w:t>, por personas no profesionales y que no implican el ejercicio de funciones públicas administrativas</w:t>
      </w:r>
      <w:r w:rsidR="00DD2B75">
        <w:rPr>
          <w:rFonts w:ascii="Arial" w:hAnsi="Arial" w:cs="Arial"/>
          <w:color w:val="000000" w:themeColor="text1"/>
          <w:lang w:val="es-ES_tradnl"/>
        </w:rPr>
        <w:t>”</w:t>
      </w:r>
      <w:r w:rsidRPr="00A75309">
        <w:rPr>
          <w:rFonts w:ascii="Arial" w:hAnsi="Arial" w:cs="Arial"/>
          <w:color w:val="000000" w:themeColor="text1"/>
          <w:lang w:val="es-ES_tradnl"/>
        </w:rPr>
        <w:t xml:space="preserve">. Igualmente, en el contrato de prestación de servicios artísticos lo prevalente es que la persona que lo ejecute se trate de un artista, es decir, «una persona reconocida como </w:t>
      </w:r>
      <w:r w:rsidRPr="00A75309">
        <w:rPr>
          <w:rFonts w:ascii="Arial" w:hAnsi="Arial" w:cs="Arial"/>
          <w:color w:val="000000" w:themeColor="text1"/>
          <w:lang w:val="es-ES_tradnl"/>
        </w:rPr>
        <w:lastRenderedPageBreak/>
        <w:t>realizador o productor de arte, de obras de arte, ejecutor de trabajos artísticos</w:t>
      </w:r>
      <w:bookmarkStart w:id="7" w:name="_Hlk80118732"/>
      <w:r w:rsidRPr="00A75309">
        <w:rPr>
          <w:rFonts w:ascii="Arial" w:hAnsi="Arial" w:cs="Arial"/>
          <w:color w:val="000000" w:themeColor="text1"/>
          <w:lang w:val="es-ES_tradnl"/>
        </w:rPr>
        <w:t>»</w:t>
      </w:r>
      <w:bookmarkEnd w:id="7"/>
      <w:r w:rsidRPr="00A75309">
        <w:rPr>
          <w:rFonts w:ascii="Arial" w:hAnsi="Arial" w:cs="Arial"/>
          <w:color w:val="000000" w:themeColor="text1"/>
          <w:lang w:val="es-ES_tradnl"/>
        </w:rPr>
        <w:t>, para lo cual es indiferente el carácter de profesional.</w:t>
      </w:r>
    </w:p>
    <w:p w14:paraId="1D2E7A09" w14:textId="77777777" w:rsidR="00A75309" w:rsidRPr="00A75309" w:rsidRDefault="00A75309" w:rsidP="00A75309">
      <w:pPr>
        <w:spacing w:before="120" w:after="0" w:line="276" w:lineRule="auto"/>
        <w:ind w:firstLine="709"/>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Ahora bien, teniendo en cuenta que para la celebración de este tipo contractual las entidades están en la obligación de aplicar el principio de planeación, esta Agencia analizará a continuación, la importancia de la elaboración de estudios previos y del sector en la contratación estatal, según lo dispuesto en el Estatuto General de Contratación de la Administración Pública –Ley 80 de 1993, Ley 1150 de 2007, y demás normas complementarias–.</w:t>
      </w:r>
    </w:p>
    <w:p w14:paraId="1B0C7287" w14:textId="77777777" w:rsidR="00A75309" w:rsidRPr="00A75309" w:rsidRDefault="00A75309" w:rsidP="00A75309">
      <w:pPr>
        <w:spacing w:after="0" w:line="276" w:lineRule="auto"/>
        <w:ind w:firstLine="708"/>
        <w:jc w:val="both"/>
        <w:rPr>
          <w:rFonts w:ascii="Arial" w:eastAsia="Times New Roman" w:hAnsi="Arial" w:cs="Arial"/>
          <w:color w:val="000000"/>
          <w:szCs w:val="24"/>
          <w:lang w:val="es-ES_tradnl" w:eastAsia="es-ES_tradnl"/>
        </w:rPr>
      </w:pPr>
    </w:p>
    <w:p w14:paraId="479274EB" w14:textId="77777777" w:rsidR="00A75309" w:rsidRPr="00A75309" w:rsidRDefault="00A75309" w:rsidP="00A75309">
      <w:pPr>
        <w:spacing w:after="0" w:line="276" w:lineRule="auto"/>
        <w:jc w:val="both"/>
        <w:rPr>
          <w:rFonts w:ascii="Arial" w:eastAsia="Times New Roman" w:hAnsi="Arial" w:cs="Arial"/>
          <w:b/>
          <w:bCs/>
          <w:color w:val="000000"/>
          <w:szCs w:val="24"/>
          <w:lang w:val="es-ES_tradnl" w:eastAsia="es-ES_tradnl"/>
        </w:rPr>
      </w:pPr>
      <w:r w:rsidRPr="00A75309">
        <w:rPr>
          <w:rFonts w:ascii="Arial" w:eastAsia="Times New Roman" w:hAnsi="Arial" w:cs="Arial"/>
          <w:b/>
          <w:bCs/>
          <w:color w:val="000000"/>
          <w:szCs w:val="24"/>
          <w:lang w:val="es-ES_tradnl" w:eastAsia="es-ES_tradnl"/>
        </w:rPr>
        <w:t>2.2 Importancia de los estudios previos y del sector según el Estatuto General de Contratación de la Administración Pública. Reiteración de línea</w:t>
      </w:r>
    </w:p>
    <w:p w14:paraId="589C26F9" w14:textId="77777777" w:rsidR="00A75309" w:rsidRPr="00A75309" w:rsidRDefault="00A75309" w:rsidP="00A75309">
      <w:pPr>
        <w:spacing w:after="0" w:line="276" w:lineRule="auto"/>
        <w:jc w:val="both"/>
        <w:rPr>
          <w:rFonts w:ascii="Arial" w:eastAsia="Times New Roman" w:hAnsi="Arial" w:cs="Arial"/>
          <w:color w:val="000000"/>
          <w:szCs w:val="24"/>
          <w:lang w:val="es-ES_tradnl" w:eastAsia="es-ES_tradnl"/>
        </w:rPr>
      </w:pPr>
    </w:p>
    <w:p w14:paraId="799002DC" w14:textId="77777777" w:rsidR="00A75309" w:rsidRPr="00A75309" w:rsidRDefault="00A75309" w:rsidP="00A75309">
      <w:pPr>
        <w:spacing w:after="0" w:line="276" w:lineRule="auto"/>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 disponibilidad, oferentes, etc. Lo anterior con la finalidad de realizar la escogencia diligente de la mejor oferta, para beneficiar los intereses y fines públicos inmersos en la contratación de las entidades públicas.</w:t>
      </w:r>
    </w:p>
    <w:p w14:paraId="24CA9B0C" w14:textId="77777777" w:rsidR="00A75309" w:rsidRPr="00A75309" w:rsidRDefault="00A75309" w:rsidP="00A75309">
      <w:pPr>
        <w:spacing w:before="120" w:after="0" w:line="276" w:lineRule="auto"/>
        <w:ind w:firstLine="709"/>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w:t>
      </w:r>
    </w:p>
    <w:p w14:paraId="0BAAEF35" w14:textId="77777777" w:rsidR="00A75309" w:rsidRPr="00A75309" w:rsidRDefault="00A75309" w:rsidP="00A75309">
      <w:pPr>
        <w:spacing w:after="0" w:line="276" w:lineRule="auto"/>
        <w:jc w:val="both"/>
        <w:rPr>
          <w:rFonts w:ascii="Arial" w:eastAsia="Times New Roman" w:hAnsi="Arial" w:cs="Arial"/>
          <w:color w:val="000000"/>
          <w:szCs w:val="24"/>
          <w:lang w:val="es-ES_tradnl" w:eastAsia="es-ES_tradnl"/>
        </w:rPr>
      </w:pPr>
    </w:p>
    <w:p w14:paraId="37A7818C" w14:textId="3A7AF2A0" w:rsidR="00A75309" w:rsidRPr="00A75309" w:rsidRDefault="00EB54FC" w:rsidP="00A75309">
      <w:pPr>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t>“</w:t>
      </w:r>
      <w:r w:rsidR="00A75309" w:rsidRPr="00A75309">
        <w:rPr>
          <w:rFonts w:ascii="Arial" w:eastAsia="Times New Roman" w:hAnsi="Arial" w:cs="Arial"/>
          <w:color w:val="000000"/>
          <w:sz w:val="21"/>
          <w:szCs w:val="21"/>
          <w:lang w:val="es-ES_tradnl" w:eastAsia="es-ES_tradnl"/>
        </w:rPr>
        <w:t>7. La conveniencia o inconveniencia del objeto a contratar y las autorizaciones y aprobaciones para ello, se analizarán o impartirán con antelación al inicio del proceso de selección del contratista o al de la firma del contrato, según el caso.</w:t>
      </w:r>
    </w:p>
    <w:p w14:paraId="3021A1AA" w14:textId="19BAB666"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w:t>
      </w:r>
    </w:p>
    <w:p w14:paraId="1543CD61" w14:textId="743447D9" w:rsidR="00A75309" w:rsidRPr="00A75309" w:rsidRDefault="00A75309" w:rsidP="00A75309">
      <w:pPr>
        <w:spacing w:before="120" w:after="0" w:line="240" w:lineRule="auto"/>
        <w:ind w:left="709" w:right="709"/>
        <w:jc w:val="both"/>
        <w:rPr>
          <w:rFonts w:ascii="Arial" w:eastAsia="Times New Roman" w:hAnsi="Arial" w:cs="Arial"/>
          <w:color w:val="000000"/>
          <w:sz w:val="21"/>
          <w:szCs w:val="21"/>
          <w:lang w:val="es-ES_tradnl" w:eastAsia="es-ES_tradnl"/>
        </w:rPr>
      </w:pPr>
      <w:r w:rsidRPr="00A75309">
        <w:rPr>
          <w:rFonts w:ascii="Arial" w:eastAsia="Times New Roman" w:hAnsi="Arial" w:cs="Arial"/>
          <w:color w:val="000000"/>
          <w:sz w:val="21"/>
          <w:szCs w:val="21"/>
          <w:lang w:val="es-ES_tradnl" w:eastAsia="es-ES_tradnl"/>
        </w:rPr>
        <w:t xml:space="preserve">12. Previo a la apertura de un proceso de selección, </w:t>
      </w:r>
      <w:r w:rsidRPr="00A75309">
        <w:rPr>
          <w:rFonts w:ascii="Arial" w:eastAsia="Times New Roman" w:hAnsi="Arial" w:cs="Arial"/>
          <w:i/>
          <w:iCs/>
          <w:color w:val="000000"/>
          <w:sz w:val="21"/>
          <w:szCs w:val="21"/>
          <w:u w:val="single"/>
          <w:lang w:val="es-ES_tradnl" w:eastAsia="es-ES_tradnl"/>
        </w:rPr>
        <w:t>o a la firma del contrato en el caso en que la modalidad de selección sea contratación directa,</w:t>
      </w:r>
      <w:r w:rsidRPr="00A75309">
        <w:rPr>
          <w:rFonts w:ascii="Arial" w:eastAsia="Times New Roman" w:hAnsi="Arial" w:cs="Arial"/>
          <w:color w:val="000000"/>
          <w:sz w:val="21"/>
          <w:szCs w:val="21"/>
          <w:lang w:val="es-ES_tradnl" w:eastAsia="es-ES_tradnl"/>
        </w:rPr>
        <w:t xml:space="preserve"> deberán elaborarse los estudios, diseños y proyectos requeridos, y los pliegos de condiciones, según corresponda. […]</w:t>
      </w:r>
      <w:r w:rsidR="00EB54FC">
        <w:rPr>
          <w:rFonts w:ascii="Arial" w:eastAsia="Times New Roman" w:hAnsi="Arial" w:cs="Arial"/>
          <w:color w:val="000000"/>
          <w:sz w:val="21"/>
          <w:szCs w:val="21"/>
          <w:lang w:val="es-ES_tradnl" w:eastAsia="es-ES_tradnl"/>
        </w:rPr>
        <w:t>”</w:t>
      </w:r>
      <w:r w:rsidRPr="00A75309">
        <w:rPr>
          <w:rFonts w:ascii="Arial" w:eastAsia="Times New Roman" w:hAnsi="Arial" w:cs="Arial"/>
          <w:color w:val="000000"/>
          <w:sz w:val="21"/>
          <w:szCs w:val="21"/>
          <w:lang w:val="es-ES_tradnl" w:eastAsia="es-ES_tradnl"/>
        </w:rPr>
        <w:t xml:space="preserve"> [Énfasis fuera de texto]</w:t>
      </w:r>
    </w:p>
    <w:p w14:paraId="652AB4D0" w14:textId="77777777" w:rsidR="00A75309" w:rsidRPr="00A75309" w:rsidRDefault="00A75309" w:rsidP="00A75309">
      <w:pPr>
        <w:spacing w:after="0" w:line="276" w:lineRule="auto"/>
        <w:ind w:firstLine="709"/>
        <w:jc w:val="both"/>
        <w:rPr>
          <w:rFonts w:ascii="Arial" w:eastAsia="Times New Roman" w:hAnsi="Arial" w:cs="Arial"/>
          <w:color w:val="000000"/>
          <w:szCs w:val="24"/>
          <w:lang w:val="es-ES_tradnl" w:eastAsia="es-ES_tradnl"/>
        </w:rPr>
      </w:pPr>
    </w:p>
    <w:p w14:paraId="326780B5" w14:textId="77777777" w:rsidR="00A75309" w:rsidRPr="00A75309" w:rsidRDefault="00A75309" w:rsidP="00A75309">
      <w:pPr>
        <w:spacing w:after="0" w:line="276" w:lineRule="auto"/>
        <w:ind w:firstLine="709"/>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w:t>
      </w:r>
      <w:r w:rsidRPr="00A75309">
        <w:rPr>
          <w:rFonts w:ascii="Arial" w:eastAsia="Times New Roman" w:hAnsi="Arial" w:cs="Arial"/>
          <w:color w:val="000000"/>
          <w:szCs w:val="24"/>
          <w:lang w:val="es-ES_tradnl" w:eastAsia="es-ES_tradnl"/>
        </w:rPr>
        <w:lastRenderedPageBreak/>
        <w:t>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A75309">
        <w:rPr>
          <w:rFonts w:ascii="Arial" w:hAnsi="Arial" w:cs="Arial"/>
          <w:vertAlign w:val="superscript"/>
        </w:rPr>
        <w:footnoteReference w:id="18"/>
      </w:r>
      <w:r w:rsidRPr="00A75309">
        <w:rPr>
          <w:rFonts w:ascii="Arial" w:eastAsia="Times New Roman" w:hAnsi="Arial" w:cs="Arial"/>
          <w:color w:val="000000"/>
          <w:szCs w:val="24"/>
          <w:lang w:val="es-ES_tradnl"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14:paraId="47C15DDF" w14:textId="77777777" w:rsidR="00A75309" w:rsidRPr="00A75309" w:rsidRDefault="00A75309" w:rsidP="00A75309">
      <w:pPr>
        <w:spacing w:after="0" w:line="276" w:lineRule="auto"/>
        <w:jc w:val="both"/>
        <w:rPr>
          <w:rFonts w:ascii="Arial" w:eastAsia="Times New Roman" w:hAnsi="Arial" w:cs="Arial"/>
          <w:color w:val="000000"/>
          <w:szCs w:val="24"/>
          <w:lang w:val="es-ES_tradnl" w:eastAsia="es-ES_tradnl"/>
        </w:rPr>
      </w:pPr>
    </w:p>
    <w:p w14:paraId="603AFDBD" w14:textId="14B544F3" w:rsidR="00A75309" w:rsidRPr="00A75309" w:rsidRDefault="00EB54FC" w:rsidP="00A75309">
      <w:pPr>
        <w:spacing w:after="0" w:line="240" w:lineRule="auto"/>
        <w:ind w:left="709" w:right="709"/>
        <w:jc w:val="both"/>
        <w:rPr>
          <w:rFonts w:ascii="Arial" w:hAnsi="Arial" w:cs="Arial"/>
          <w:sz w:val="21"/>
          <w:szCs w:val="21"/>
        </w:rPr>
      </w:pPr>
      <w:r>
        <w:rPr>
          <w:rFonts w:ascii="Arial" w:hAnsi="Arial" w:cs="Arial"/>
          <w:sz w:val="21"/>
          <w:szCs w:val="21"/>
        </w:rPr>
        <w:t>“</w:t>
      </w:r>
      <w:r w:rsidR="00A75309" w:rsidRPr="00A75309">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522531AC" w14:textId="0922CE29" w:rsidR="00A75309" w:rsidRPr="00A75309" w:rsidRDefault="00A75309" w:rsidP="00A75309">
      <w:pPr>
        <w:spacing w:before="120" w:after="120" w:line="240" w:lineRule="auto"/>
        <w:ind w:left="709" w:right="709"/>
        <w:jc w:val="both"/>
        <w:rPr>
          <w:rFonts w:ascii="Arial" w:hAnsi="Arial" w:cs="Arial"/>
          <w:sz w:val="21"/>
          <w:szCs w:val="21"/>
        </w:rPr>
      </w:pPr>
      <w:r w:rsidRPr="00A75309">
        <w:rPr>
          <w:rFonts w:ascii="Arial" w:hAnsi="Arial" w:cs="Arial"/>
          <w:sz w:val="21"/>
          <w:szCs w:val="21"/>
        </w:rPr>
        <w:t>1. La descripción de la necesidad que la Entidad Estatal pretende satisfacer con el Proceso de Contratación. ​</w:t>
      </w:r>
    </w:p>
    <w:p w14:paraId="77EF708B" w14:textId="174BB0FF" w:rsidR="00A75309" w:rsidRPr="00A75309" w:rsidRDefault="00A75309" w:rsidP="00A75309">
      <w:pPr>
        <w:spacing w:after="0" w:line="240" w:lineRule="auto"/>
        <w:ind w:left="709" w:right="709"/>
        <w:jc w:val="both"/>
        <w:rPr>
          <w:rFonts w:ascii="Arial" w:hAnsi="Arial" w:cs="Arial"/>
          <w:sz w:val="21"/>
          <w:szCs w:val="21"/>
        </w:rPr>
      </w:pPr>
      <w:r w:rsidRPr="00A75309">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37BD7544" w14:textId="4DD1DFA8" w:rsidR="00A75309" w:rsidRPr="00A75309" w:rsidRDefault="00A75309" w:rsidP="00A75309">
      <w:pPr>
        <w:spacing w:before="120" w:after="120" w:line="240" w:lineRule="auto"/>
        <w:ind w:left="709" w:right="709"/>
        <w:jc w:val="both"/>
        <w:rPr>
          <w:rFonts w:ascii="Arial" w:hAnsi="Arial" w:cs="Arial"/>
          <w:sz w:val="21"/>
          <w:szCs w:val="21"/>
        </w:rPr>
      </w:pPr>
      <w:r w:rsidRPr="00A75309">
        <w:rPr>
          <w:rFonts w:ascii="Arial" w:hAnsi="Arial" w:cs="Arial"/>
          <w:sz w:val="21"/>
          <w:szCs w:val="21"/>
        </w:rPr>
        <w:t xml:space="preserve">3. La modalidad de selección del contratista y su justificación, incluyendo los fundamentos jurídicos. </w:t>
      </w:r>
    </w:p>
    <w:p w14:paraId="7A487369" w14:textId="077E12A4" w:rsidR="00A75309" w:rsidRPr="00A75309" w:rsidRDefault="00A75309" w:rsidP="00A75309">
      <w:pPr>
        <w:spacing w:after="0" w:line="240" w:lineRule="auto"/>
        <w:ind w:left="709" w:right="709"/>
        <w:jc w:val="both"/>
        <w:rPr>
          <w:rFonts w:ascii="Arial" w:hAnsi="Arial" w:cs="Arial"/>
          <w:sz w:val="21"/>
          <w:szCs w:val="21"/>
        </w:rPr>
      </w:pPr>
      <w:r w:rsidRPr="00A75309">
        <w:rPr>
          <w:rFonts w:ascii="Arial" w:hAnsi="Arial" w:cs="Arial"/>
          <w:sz w:val="21"/>
          <w:szCs w:val="21"/>
        </w:rPr>
        <w:t xml:space="preserve">4. El valor estimado del contrato y la justificación </w:t>
      </w:r>
      <w:proofErr w:type="gramStart"/>
      <w:r w:rsidRPr="00A75309">
        <w:rPr>
          <w:rFonts w:ascii="Arial" w:hAnsi="Arial" w:cs="Arial"/>
          <w:sz w:val="21"/>
          <w:szCs w:val="21"/>
        </w:rPr>
        <w:t>del mismo</w:t>
      </w:r>
      <w:proofErr w:type="gramEnd"/>
      <w:r w:rsidRPr="00A75309">
        <w:rPr>
          <w:rFonts w:ascii="Arial" w:hAnsi="Arial" w:cs="Arial"/>
          <w:sz w:val="21"/>
          <w:szCs w:val="21"/>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48808ED0" w14:textId="0A9DD28E" w:rsidR="00A75309" w:rsidRPr="00A75309" w:rsidRDefault="00A75309" w:rsidP="00A75309">
      <w:pPr>
        <w:spacing w:before="120" w:after="120" w:line="240" w:lineRule="auto"/>
        <w:ind w:left="709" w:right="709"/>
        <w:jc w:val="both"/>
        <w:rPr>
          <w:rFonts w:ascii="Arial" w:hAnsi="Arial" w:cs="Arial"/>
          <w:sz w:val="21"/>
          <w:szCs w:val="21"/>
        </w:rPr>
      </w:pPr>
      <w:r w:rsidRPr="00A75309">
        <w:rPr>
          <w:rFonts w:ascii="Arial" w:hAnsi="Arial" w:cs="Arial"/>
          <w:sz w:val="21"/>
          <w:szCs w:val="21"/>
        </w:rPr>
        <w:t xml:space="preserve">5. Los criterios para seleccionar la oferta más favorable. </w:t>
      </w:r>
    </w:p>
    <w:p w14:paraId="06F38B39" w14:textId="63A3552B" w:rsidR="00A75309" w:rsidRPr="00A75309" w:rsidRDefault="00A75309" w:rsidP="00A75309">
      <w:pPr>
        <w:spacing w:after="120" w:line="240" w:lineRule="auto"/>
        <w:ind w:left="709" w:right="709"/>
        <w:jc w:val="both"/>
        <w:rPr>
          <w:rFonts w:ascii="Arial" w:hAnsi="Arial" w:cs="Arial"/>
          <w:sz w:val="21"/>
          <w:szCs w:val="21"/>
        </w:rPr>
      </w:pPr>
      <w:r w:rsidRPr="00A75309">
        <w:rPr>
          <w:rFonts w:ascii="Arial" w:hAnsi="Arial" w:cs="Arial"/>
          <w:sz w:val="21"/>
          <w:szCs w:val="21"/>
        </w:rPr>
        <w:t xml:space="preserve">6. El análisis de Riesgo y la forma de mitigarlo. </w:t>
      </w:r>
    </w:p>
    <w:p w14:paraId="4830AC06" w14:textId="0C074CAF" w:rsidR="00A75309" w:rsidRPr="00A75309" w:rsidRDefault="00A75309" w:rsidP="00A75309">
      <w:pPr>
        <w:spacing w:after="120" w:line="240" w:lineRule="auto"/>
        <w:ind w:left="709" w:right="709"/>
        <w:jc w:val="both"/>
        <w:rPr>
          <w:rFonts w:ascii="Arial" w:hAnsi="Arial" w:cs="Arial"/>
          <w:sz w:val="21"/>
          <w:szCs w:val="21"/>
        </w:rPr>
      </w:pPr>
      <w:r w:rsidRPr="00A75309">
        <w:rPr>
          <w:rFonts w:ascii="Arial" w:hAnsi="Arial" w:cs="Arial"/>
          <w:sz w:val="21"/>
          <w:szCs w:val="21"/>
        </w:rPr>
        <w:t xml:space="preserve">7. Las garantías que la Entidad Estatal contempla exigir en el proceso de contratación. </w:t>
      </w:r>
    </w:p>
    <w:p w14:paraId="0E44435D" w14:textId="0F1584EF" w:rsidR="00A75309" w:rsidRPr="00A75309" w:rsidRDefault="00A75309" w:rsidP="00A75309">
      <w:pPr>
        <w:spacing w:after="120" w:line="240" w:lineRule="auto"/>
        <w:ind w:left="709" w:right="709"/>
        <w:jc w:val="both"/>
        <w:rPr>
          <w:rFonts w:ascii="Arial" w:hAnsi="Arial" w:cs="Arial"/>
          <w:sz w:val="21"/>
          <w:szCs w:val="21"/>
        </w:rPr>
      </w:pPr>
      <w:r w:rsidRPr="00A75309">
        <w:rPr>
          <w:rFonts w:ascii="Arial" w:hAnsi="Arial" w:cs="Arial"/>
          <w:sz w:val="21"/>
          <w:szCs w:val="21"/>
        </w:rPr>
        <w:t xml:space="preserve">8. La indicación de si el proceso de contratación está cobijado por un acuerdo comercial. </w:t>
      </w:r>
    </w:p>
    <w:p w14:paraId="6BD910D0" w14:textId="647E0118" w:rsidR="00A75309" w:rsidRPr="00A75309" w:rsidRDefault="00A75309" w:rsidP="00A75309">
      <w:pPr>
        <w:spacing w:after="0" w:line="240" w:lineRule="auto"/>
        <w:ind w:left="709" w:right="709"/>
        <w:jc w:val="both"/>
        <w:rPr>
          <w:rFonts w:ascii="Arial" w:hAnsi="Arial" w:cs="Arial"/>
          <w:sz w:val="21"/>
          <w:szCs w:val="21"/>
        </w:rPr>
      </w:pPr>
      <w:r w:rsidRPr="00A75309">
        <w:rPr>
          <w:rFonts w:ascii="Arial" w:hAnsi="Arial" w:cs="Arial"/>
          <w:sz w:val="21"/>
          <w:szCs w:val="21"/>
        </w:rPr>
        <w:t>El presente artículo no es aplicable a la contratación por mínima cuantía</w:t>
      </w:r>
      <w:r w:rsidR="00EB54FC">
        <w:rPr>
          <w:rFonts w:ascii="Arial" w:hAnsi="Arial" w:cs="Arial"/>
          <w:sz w:val="21"/>
          <w:szCs w:val="21"/>
        </w:rPr>
        <w:t>”</w:t>
      </w:r>
      <w:r w:rsidRPr="00A75309">
        <w:rPr>
          <w:rFonts w:ascii="Arial" w:hAnsi="Arial" w:cs="Arial"/>
          <w:sz w:val="21"/>
          <w:szCs w:val="21"/>
        </w:rPr>
        <w:t>.</w:t>
      </w:r>
    </w:p>
    <w:p w14:paraId="0166E717" w14:textId="77777777" w:rsidR="00A75309" w:rsidRPr="00A75309" w:rsidRDefault="00A75309" w:rsidP="00A75309">
      <w:pPr>
        <w:spacing w:after="0" w:line="276" w:lineRule="auto"/>
        <w:ind w:firstLine="708"/>
        <w:jc w:val="both"/>
        <w:rPr>
          <w:rFonts w:ascii="Arial" w:eastAsia="Times New Roman" w:hAnsi="Arial" w:cs="Arial"/>
          <w:color w:val="000000"/>
          <w:szCs w:val="24"/>
          <w:lang w:val="es-ES_tradnl" w:eastAsia="es-ES_tradnl"/>
        </w:rPr>
      </w:pPr>
    </w:p>
    <w:p w14:paraId="63BC03A4" w14:textId="77777777" w:rsidR="00A75309" w:rsidRPr="00A75309" w:rsidRDefault="00A75309" w:rsidP="00A75309">
      <w:pPr>
        <w:spacing w:after="0" w:line="276" w:lineRule="auto"/>
        <w:ind w:firstLine="708"/>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 xml:space="preserve">De esta manera, antes de iniciar un procedimiento de selección, la Entidad Estatal podrá determinar con los estudios previos: i) la verdadera necesidad de la celebración del contrato; </w:t>
      </w:r>
      <w:proofErr w:type="spellStart"/>
      <w:r w:rsidRPr="00A75309">
        <w:rPr>
          <w:rFonts w:ascii="Arial" w:eastAsia="Times New Roman" w:hAnsi="Arial" w:cs="Arial"/>
          <w:color w:val="000000"/>
          <w:szCs w:val="24"/>
          <w:lang w:val="es-ES_tradnl" w:eastAsia="es-ES_tradnl"/>
        </w:rPr>
        <w:t>ii</w:t>
      </w:r>
      <w:proofErr w:type="spellEnd"/>
      <w:r w:rsidRPr="00A75309">
        <w:rPr>
          <w:rFonts w:ascii="Arial" w:eastAsia="Times New Roman" w:hAnsi="Arial" w:cs="Arial"/>
          <w:color w:val="000000"/>
          <w:szCs w:val="24"/>
          <w:lang w:val="es-ES_tradnl" w:eastAsia="es-ES_tradnl"/>
        </w:rPr>
        <w:t xml:space="preserve">) las modalidades existentes para satisfacer esa necesidad y las razones que justifiquen la modalidad o tipo contractual que se escoja; </w:t>
      </w:r>
      <w:proofErr w:type="spellStart"/>
      <w:r w:rsidRPr="00A75309">
        <w:rPr>
          <w:rFonts w:ascii="Arial" w:eastAsia="Times New Roman" w:hAnsi="Arial" w:cs="Arial"/>
          <w:color w:val="000000"/>
          <w:szCs w:val="24"/>
          <w:lang w:val="es-ES_tradnl" w:eastAsia="es-ES_tradnl"/>
        </w:rPr>
        <w:t>iii</w:t>
      </w:r>
      <w:proofErr w:type="spellEnd"/>
      <w:r w:rsidRPr="00A75309">
        <w:rPr>
          <w:rFonts w:ascii="Arial" w:eastAsia="Times New Roman" w:hAnsi="Arial" w:cs="Arial"/>
          <w:color w:val="000000"/>
          <w:szCs w:val="24"/>
          <w:lang w:val="es-ES_tradnl" w:eastAsia="es-ES_tradnl"/>
        </w:rPr>
        <w:t xml:space="preserve">) las calidades, especificaciones, cantidades y demás características que puedan o deban reunir los bienes, las obras, los servicios, etcétera, </w:t>
      </w:r>
      <w:r w:rsidRPr="00A75309">
        <w:rPr>
          <w:rFonts w:ascii="Arial" w:eastAsia="Times New Roman" w:hAnsi="Arial" w:cs="Arial"/>
          <w:color w:val="000000"/>
          <w:szCs w:val="24"/>
          <w:lang w:val="es-ES_tradnl" w:eastAsia="es-ES_tradnl"/>
        </w:rPr>
        <w:lastRenderedPageBreak/>
        <w:t xml:space="preserve">cuya contratación, se haya determinado necesaria, </w:t>
      </w:r>
      <w:proofErr w:type="spellStart"/>
      <w:r w:rsidRPr="00A75309">
        <w:rPr>
          <w:rFonts w:ascii="Arial" w:eastAsia="Times New Roman" w:hAnsi="Arial" w:cs="Arial"/>
          <w:color w:val="000000"/>
          <w:szCs w:val="24"/>
          <w:lang w:val="es-ES_tradnl" w:eastAsia="es-ES_tradnl"/>
        </w:rPr>
        <w:t>iv</w:t>
      </w:r>
      <w:proofErr w:type="spellEnd"/>
      <w:r w:rsidRPr="00A75309">
        <w:rPr>
          <w:rFonts w:ascii="Arial" w:eastAsia="Times New Roman" w:hAnsi="Arial" w:cs="Arial"/>
          <w:color w:val="000000"/>
          <w:szCs w:val="24"/>
          <w:lang w:val="es-ES_tradnl" w:eastAsia="es-ES_tradnl"/>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A75309">
        <w:rPr>
          <w:rFonts w:ascii="Arial" w:eastAsia="Times New Roman" w:hAnsi="Arial" w:cs="Arial"/>
          <w:color w:val="000000"/>
          <w:szCs w:val="24"/>
          <w:lang w:val="es-ES_tradnl" w:eastAsia="es-ES_tradnl"/>
        </w:rPr>
        <w:t>vii</w:t>
      </w:r>
      <w:proofErr w:type="spellEnd"/>
      <w:r w:rsidRPr="00A75309">
        <w:rPr>
          <w:rFonts w:ascii="Arial" w:eastAsia="Times New Roman" w:hAnsi="Arial" w:cs="Arial"/>
          <w:color w:val="000000"/>
          <w:szCs w:val="24"/>
          <w:lang w:val="es-ES_tradnl" w:eastAsia="es-ES_tradnl"/>
        </w:rPr>
        <w:t>) los procedimientos, trámites y requisitos que deban satisfacerse, reunirse u obtenerse para llevar a cabo la selección del respectivo contratista y la celebración del contrato</w:t>
      </w:r>
      <w:r w:rsidRPr="00A75309">
        <w:rPr>
          <w:rFonts w:ascii="Arial" w:hAnsi="Arial" w:cs="Arial"/>
          <w:vertAlign w:val="superscript"/>
        </w:rPr>
        <w:footnoteReference w:id="19"/>
      </w:r>
      <w:r w:rsidRPr="00A75309">
        <w:rPr>
          <w:rFonts w:ascii="Arial" w:hAnsi="Arial" w:cs="Arial"/>
        </w:rPr>
        <w:t>.</w:t>
      </w:r>
    </w:p>
    <w:p w14:paraId="3EE4A3D0" w14:textId="0E9F2805" w:rsidR="00A75309" w:rsidRPr="00A75309" w:rsidRDefault="00A75309" w:rsidP="00A75309">
      <w:pPr>
        <w:spacing w:before="120" w:after="120" w:line="276" w:lineRule="auto"/>
        <w:ind w:firstLine="708"/>
        <w:jc w:val="both"/>
        <w:rPr>
          <w:rFonts w:ascii="Arial" w:eastAsia="Times New Roman" w:hAnsi="Arial" w:cs="Arial"/>
          <w:color w:val="000000"/>
          <w:szCs w:val="24"/>
          <w:lang w:val="es-ES_tradnl" w:eastAsia="es-ES_tradnl"/>
        </w:rPr>
      </w:pPr>
      <w:r w:rsidRPr="00A75309">
        <w:rPr>
          <w:rFonts w:ascii="Arial" w:eastAsia="Times New Roman" w:hAnsi="Arial" w:cs="Arial"/>
          <w:color w:val="000000"/>
          <w:szCs w:val="24"/>
          <w:lang w:val="es-ES_tradnl" w:eastAsia="es-ES_tradnl"/>
        </w:rPr>
        <w:t xml:space="preserve">Cuando las entidades públicas cumplen con los elementos mínimos establecidos en la norma y aquellos adicionales que identifiquen en la etapa de planeación de los procedimientos de contratación, permiten que los contratos resultantes cuenten con el sustento técnico, económico y jurídico que incidirá en una adecuada ejecución. Así pues, más allá </w:t>
      </w:r>
      <w:r w:rsidRPr="00A75309">
        <w:rPr>
          <w:rFonts w:ascii="Arial" w:eastAsia="Times New Roman" w:hAnsi="Arial" w:cs="Arial"/>
          <w:szCs w:val="24"/>
          <w:lang w:eastAsia="es-ES_tradnl"/>
        </w:rPr>
        <w:t xml:space="preserve">del cumplimiento de la normativa, </w:t>
      </w:r>
      <w:r w:rsidR="00EB54FC">
        <w:rPr>
          <w:rFonts w:ascii="Arial" w:eastAsia="Times New Roman" w:hAnsi="Arial" w:cs="Arial"/>
          <w:szCs w:val="24"/>
          <w:lang w:eastAsia="es-ES_tradnl"/>
        </w:rPr>
        <w:t>“</w:t>
      </w:r>
      <w:r w:rsidRPr="00A75309">
        <w:rPr>
          <w:rFonts w:ascii="Arial" w:eastAsia="Times New Roman" w:hAnsi="Arial" w:cs="Arial"/>
          <w:szCs w:val="24"/>
          <w:lang w:eastAsia="es-ES_tradnl"/>
        </w:rPr>
        <w:t>los estudios y documentos previos son el soporte para elaborar el proyecto de pliegos, los pliegos de condiciones, y el contrato</w:t>
      </w:r>
      <w:r w:rsidR="00EB54FC">
        <w:rPr>
          <w:rFonts w:ascii="Arial" w:eastAsia="Times New Roman" w:hAnsi="Arial" w:cs="Arial"/>
          <w:szCs w:val="24"/>
          <w:lang w:eastAsia="es-ES_tradnl"/>
        </w:rPr>
        <w:t>”</w:t>
      </w:r>
      <w:r w:rsidRPr="00A75309">
        <w:rPr>
          <w:rFonts w:ascii="Arial" w:eastAsia="Times New Roman" w:hAnsi="Arial" w:cs="Arial"/>
          <w:szCs w:val="24"/>
          <w:vertAlign w:val="superscript"/>
          <w:lang w:eastAsia="es-ES_tradnl"/>
        </w:rPr>
        <w:footnoteReference w:id="20"/>
      </w:r>
      <w:r w:rsidRPr="00A75309">
        <w:rPr>
          <w:rFonts w:ascii="Arial" w:eastAsia="Times New Roman" w:hAnsi="Arial" w:cs="Arial"/>
          <w:szCs w:val="24"/>
          <w:lang w:eastAsia="es-ES_tradnl"/>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646D43D1" w14:textId="77777777" w:rsidR="00A75309" w:rsidRPr="00A75309" w:rsidRDefault="00A75309" w:rsidP="00A75309">
      <w:pPr>
        <w:spacing w:after="120" w:line="276" w:lineRule="auto"/>
        <w:ind w:firstLine="709"/>
        <w:jc w:val="both"/>
        <w:rPr>
          <w:rFonts w:ascii="Arial" w:hAnsi="Arial" w:cs="Arial"/>
        </w:rPr>
      </w:pPr>
      <w:r w:rsidRPr="00A75309">
        <w:rPr>
          <w:rFonts w:ascii="Arial" w:eastAsia="Times New Roman" w:hAnsi="Arial" w:cs="Arial"/>
          <w:color w:val="000000"/>
          <w:szCs w:val="24"/>
          <w:lang w:val="es-ES_tradnl" w:eastAsia="es-ES_tradnl"/>
        </w:rPr>
        <w:t>De lo explicado se desprende que los estudios y documentos previos son necesarios antes de la celebración del contrato, pues fundamentan las condiciones que la Entidad Estatal exige en un proceso de contratación. Sin embargo, luego de la suscripción del contrato la entidad no debe actuar unilateralmente, sino que debe respetar la buena fe contractual y proceder de acuerdo con lo pactado</w:t>
      </w:r>
      <w:r w:rsidRPr="00A75309">
        <w:rPr>
          <w:rFonts w:ascii="Arial" w:hAnsi="Arial" w:cs="Arial"/>
          <w:vertAlign w:val="superscript"/>
        </w:rPr>
        <w:footnoteReference w:id="21"/>
      </w:r>
      <w:r w:rsidRPr="00A75309">
        <w:rPr>
          <w:rFonts w:ascii="Arial" w:hAnsi="Arial" w:cs="Arial"/>
        </w:rPr>
        <w:t>.</w:t>
      </w:r>
    </w:p>
    <w:p w14:paraId="4ECFA049" w14:textId="77777777" w:rsidR="00A75309" w:rsidRPr="00A75309" w:rsidRDefault="00A75309" w:rsidP="00A75309">
      <w:pPr>
        <w:spacing w:after="120" w:line="276" w:lineRule="auto"/>
        <w:ind w:firstLine="709"/>
        <w:jc w:val="both"/>
        <w:rPr>
          <w:rFonts w:ascii="Arial" w:eastAsia="Times New Roman" w:hAnsi="Arial" w:cs="Arial"/>
          <w:szCs w:val="24"/>
          <w:lang w:eastAsia="es-ES_tradnl"/>
        </w:rPr>
      </w:pPr>
      <w:r w:rsidRPr="00A75309">
        <w:rPr>
          <w:rFonts w:ascii="Arial" w:eastAsia="Times New Roman" w:hAnsi="Arial" w:cs="Arial"/>
          <w:szCs w:val="24"/>
          <w:lang w:eastAsia="es-ES_tradnl"/>
        </w:rPr>
        <w:t xml:space="preserve">El numeral 12 del artículo 25 antes citado, establece el deber de las entidades de realizar estudios previos en dos momentos específicos: i) previo a la apertura de un proceso de selección y </w:t>
      </w:r>
      <w:proofErr w:type="spellStart"/>
      <w:r w:rsidRPr="00A75309">
        <w:rPr>
          <w:rFonts w:ascii="Arial" w:eastAsia="Times New Roman" w:hAnsi="Arial" w:cs="Arial"/>
          <w:szCs w:val="24"/>
          <w:lang w:eastAsia="es-ES_tradnl"/>
        </w:rPr>
        <w:t>ii</w:t>
      </w:r>
      <w:proofErr w:type="spellEnd"/>
      <w:r w:rsidRPr="00A75309">
        <w:rPr>
          <w:rFonts w:ascii="Arial" w:eastAsia="Times New Roman" w:hAnsi="Arial" w:cs="Arial"/>
          <w:szCs w:val="24"/>
          <w:lang w:eastAsia="es-ES_tradnl"/>
        </w:rPr>
        <w:t>) previo a la firma del contrato en el caso en que la modalidad de selección sea contratación directa. Por su parte, el reglamento, es decir los artículos 2.2.1.1.1.6.1 y 2.2.1.1.2.1.1 del Decreto 1082 de 2015, no imponen la obligación de realizar estudios y documentos previos en etapas diferentes a la de planeación del contrato.</w:t>
      </w:r>
    </w:p>
    <w:p w14:paraId="0E44F7ED" w14:textId="77777777" w:rsidR="00A75309" w:rsidRPr="00A75309" w:rsidRDefault="00A75309" w:rsidP="00A75309">
      <w:pPr>
        <w:spacing w:before="120" w:line="276" w:lineRule="auto"/>
        <w:ind w:firstLine="709"/>
        <w:jc w:val="both"/>
        <w:rPr>
          <w:rFonts w:ascii="Arial" w:eastAsia="Calibri" w:hAnsi="Arial" w:cs="Arial"/>
          <w:bCs/>
          <w:szCs w:val="24"/>
          <w:lang w:val="es-ES_tradnl" w:eastAsia="es-ES_tradnl"/>
        </w:rPr>
      </w:pPr>
      <w:r w:rsidRPr="00A75309">
        <w:rPr>
          <w:rFonts w:ascii="Arial" w:eastAsia="Times New Roman" w:hAnsi="Arial" w:cs="Arial"/>
          <w:szCs w:val="24"/>
          <w:lang w:eastAsia="es-ES_tradnl"/>
        </w:rPr>
        <w:t xml:space="preserve">En consecuencia, dicho análisis facilita tanto el conocimiento del sector, desde una perspectiva multidisciplinaria, como de los proveedores disponibles en el mercado para satisfacer la necesidad de la entidad contratante. Asimismo, el análisis del sector implica un estudio de la oferta, lo que permitirá identificar qué proveedores existen en el mercado y cómo intervienen en la cadena de producción, comercialización </w:t>
      </w:r>
      <w:r w:rsidRPr="00A75309">
        <w:rPr>
          <w:rFonts w:ascii="Arial" w:eastAsia="Calibri" w:hAnsi="Arial" w:cs="Arial"/>
          <w:bCs/>
          <w:szCs w:val="24"/>
          <w:lang w:val="es-ES_tradnl" w:eastAsia="es-ES_tradnl"/>
        </w:rPr>
        <w:t xml:space="preserve">y distribución de los bienes, obras o servicios. </w:t>
      </w:r>
      <w:r w:rsidRPr="00A75309">
        <w:rPr>
          <w:rFonts w:ascii="Arial" w:eastAsia="Calibri" w:hAnsi="Arial" w:cs="Arial"/>
          <w:bCs/>
          <w:szCs w:val="24"/>
          <w:lang w:val="es-ES_tradnl" w:eastAsia="es-ES_tradnl"/>
        </w:rPr>
        <w:lastRenderedPageBreak/>
        <w:t xml:space="preserve">Adicionalmente, podrá estudiar la demanda para determinar cómo las Entidades Estatales y los particulares adquieren esos bienes, obras o servicios para extraer las mejores prácticas e información para el Proceso de Contratación y así estructurar de mejor manera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 </w:t>
      </w:r>
    </w:p>
    <w:p w14:paraId="06E7E5B1" w14:textId="77777777" w:rsidR="00A75309" w:rsidRPr="00A75309" w:rsidRDefault="00A75309" w:rsidP="00A75309">
      <w:pPr>
        <w:spacing w:before="120" w:after="120" w:line="276" w:lineRule="auto"/>
        <w:ind w:firstLine="709"/>
        <w:jc w:val="both"/>
        <w:rPr>
          <w:rFonts w:ascii="Arial" w:eastAsia="Times New Roman" w:hAnsi="Arial" w:cs="Arial"/>
          <w:szCs w:val="24"/>
          <w:lang w:eastAsia="es-ES_tradnl"/>
        </w:rPr>
      </w:pPr>
      <w:r w:rsidRPr="00A75309">
        <w:rPr>
          <w:rFonts w:ascii="Arial" w:eastAsia="Times New Roman" w:hAnsi="Arial" w:cs="Arial"/>
          <w:szCs w:val="24"/>
          <w:lang w:eastAsia="es-ES_tradnl"/>
        </w:rPr>
        <w:t>Adicionalmente, si bien los estudios del sector son de gran relevancia en los Procesos de Contratación donde existe pluralidad de oferentes, nada obsta para que se elaboren allí donde no existiría competencia, como es el caso de la contratación de prestación de servicios mediante la contratación directa. Para estos efectos, la «Guía para la Elaboración de Estudios del Sector»</w:t>
      </w:r>
      <w:r w:rsidRPr="00A75309">
        <w:rPr>
          <w:rFonts w:ascii="Arial" w:eastAsia="Calibri" w:hAnsi="Arial" w:cs="Arial"/>
          <w:bCs/>
          <w:vertAlign w:val="superscript"/>
          <w:lang w:val="es-ES_tradnl"/>
        </w:rPr>
        <w:footnoteReference w:id="22"/>
      </w:r>
      <w:r w:rsidRPr="00A75309">
        <w:rPr>
          <w:rFonts w:ascii="Arial" w:eastAsia="Times New Roman" w:hAnsi="Arial" w:cs="Arial"/>
          <w:szCs w:val="24"/>
          <w:lang w:eastAsia="es-ES_tradnl"/>
        </w:rPr>
        <w:t xml:space="preserve"> expedida por Colombia Compra Eficiente,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pública debe consignar en los</w:t>
      </w:r>
      <w:r w:rsidRPr="00A75309">
        <w:rPr>
          <w:rFonts w:ascii="Arial" w:eastAsia="Times New Roman" w:hAnsi="Arial" w:cs="Arial"/>
          <w:i/>
          <w:iCs/>
          <w:szCs w:val="24"/>
          <w:lang w:eastAsia="es-ES_tradnl"/>
        </w:rPr>
        <w:t xml:space="preserve"> Documentos del Proceso, </w:t>
      </w:r>
      <w:r w:rsidRPr="00A75309">
        <w:rPr>
          <w:rFonts w:ascii="Arial" w:eastAsia="Times New Roman" w:hAnsi="Arial" w:cs="Arial"/>
          <w:szCs w:val="24"/>
          <w:lang w:eastAsia="es-ES_tradnl"/>
        </w:rPr>
        <w:t>bien sea en los estudios previos o en la información de soporte de estos, los aspectos de que trata el artículo 2.2.1.1.1.6.1 del Decreto 1082 de 2015.</w:t>
      </w:r>
    </w:p>
    <w:p w14:paraId="2B0BE908" w14:textId="77777777" w:rsidR="00892F2D" w:rsidRDefault="00A75309" w:rsidP="00A75309">
      <w:pPr>
        <w:spacing w:after="0" w:line="276" w:lineRule="auto"/>
        <w:ind w:firstLine="709"/>
        <w:jc w:val="both"/>
        <w:rPr>
          <w:rFonts w:ascii="Arial" w:eastAsia="Times New Roman" w:hAnsi="Arial" w:cs="Arial"/>
          <w:szCs w:val="24"/>
          <w:lang w:eastAsia="es-ES_tradnl"/>
        </w:rPr>
      </w:pPr>
      <w:r w:rsidRPr="00A75309">
        <w:rPr>
          <w:rFonts w:ascii="Arial" w:eastAsia="Times New Roman" w:hAnsi="Arial" w:cs="Arial"/>
          <w:szCs w:val="24"/>
          <w:lang w:eastAsia="es-ES_tradnl"/>
        </w:rPr>
        <w:t>Finalmente, resulta a bien resaltar la autonomía de las entidades públicas para estructurar los estudios previos, siempre y cuando observen los aspectos que estos deben contener, de conformidad con los artículos 2.2.1.1.1.6.1, 2.2.1.1.2.1.1 y 2.2.1.2.1.4.9 del Decreto 1082 de 2015.</w:t>
      </w:r>
      <w:r w:rsidR="00DE428A">
        <w:rPr>
          <w:rFonts w:ascii="Arial" w:eastAsia="Times New Roman" w:hAnsi="Arial" w:cs="Arial"/>
          <w:szCs w:val="24"/>
          <w:lang w:eastAsia="es-ES_tradnl"/>
        </w:rPr>
        <w:t xml:space="preserve"> </w:t>
      </w:r>
    </w:p>
    <w:p w14:paraId="09635952" w14:textId="23F39DE7" w:rsidR="00A75309" w:rsidRDefault="00DE428A" w:rsidP="00B2049D">
      <w:pPr>
        <w:spacing w:before="120" w:after="0" w:line="276" w:lineRule="auto"/>
        <w:ind w:firstLine="709"/>
        <w:jc w:val="both"/>
        <w:rPr>
          <w:rFonts w:ascii="Arial" w:eastAsia="Times New Roman" w:hAnsi="Arial" w:cs="Arial"/>
          <w:szCs w:val="24"/>
          <w:lang w:eastAsia="es-ES_tradnl"/>
        </w:rPr>
      </w:pPr>
      <w:r>
        <w:rPr>
          <w:rFonts w:ascii="Arial" w:eastAsia="Times New Roman" w:hAnsi="Arial" w:cs="Arial"/>
          <w:szCs w:val="24"/>
          <w:lang w:eastAsia="es-ES_tradnl"/>
        </w:rPr>
        <w:t>En todo caso, tratándose contratos de prestación de servicios, los estudios previos deben entrar a justificar las particularidades del objeto contractual de cara a la satisfacción de la necesidad de la Entidad Estatal en atención a la cual se requiere el respectivo contrato. De esto dependerá</w:t>
      </w:r>
      <w:r w:rsidR="00892F2D">
        <w:rPr>
          <w:rFonts w:ascii="Arial" w:eastAsia="Times New Roman" w:hAnsi="Arial" w:cs="Arial"/>
          <w:szCs w:val="24"/>
          <w:lang w:eastAsia="es-ES_tradnl"/>
        </w:rPr>
        <w:t xml:space="preserve">n las regulaciones que se establezcan en la minuta del contrato en cuanto a la temporalidad, pago y demás asuntos </w:t>
      </w:r>
      <w:r w:rsidR="008F7ADB">
        <w:rPr>
          <w:rFonts w:ascii="Arial" w:eastAsia="Times New Roman" w:hAnsi="Arial" w:cs="Arial"/>
          <w:szCs w:val="24"/>
          <w:lang w:eastAsia="es-ES_tradnl"/>
        </w:rPr>
        <w:t xml:space="preserve">relevantes del negocio jurídico, que, sin perjuicio de estar mediados por la autonomía de la voluntad de las partes para </w:t>
      </w:r>
      <w:r w:rsidR="00362FD6">
        <w:rPr>
          <w:rFonts w:ascii="Arial" w:eastAsia="Times New Roman" w:hAnsi="Arial" w:cs="Arial"/>
          <w:szCs w:val="24"/>
          <w:lang w:eastAsia="es-ES_tradnl"/>
        </w:rPr>
        <w:t xml:space="preserve">establecer las condiciones del contrato, deben tener una justificación expresada en los estudios y documentos previos. </w:t>
      </w:r>
    </w:p>
    <w:p w14:paraId="43666419" w14:textId="77777777" w:rsidR="00A75309" w:rsidRPr="00A75309" w:rsidRDefault="00A75309" w:rsidP="00A75309">
      <w:pPr>
        <w:widowControl w:val="0"/>
        <w:autoSpaceDE w:val="0"/>
        <w:autoSpaceDN w:val="0"/>
        <w:spacing w:after="0" w:line="276" w:lineRule="auto"/>
        <w:ind w:right="306" w:firstLine="301"/>
        <w:jc w:val="both"/>
        <w:rPr>
          <w:rFonts w:ascii="Arial" w:eastAsia="Arial" w:hAnsi="Arial" w:cs="Arial"/>
          <w:lang w:val="es-ES"/>
        </w:rPr>
      </w:pPr>
    </w:p>
    <w:p w14:paraId="4A1AED98" w14:textId="77777777" w:rsidR="00A75309" w:rsidRPr="00A75309" w:rsidRDefault="00A75309" w:rsidP="00A75309">
      <w:pPr>
        <w:spacing w:after="0" w:line="276" w:lineRule="auto"/>
        <w:contextualSpacing/>
        <w:jc w:val="both"/>
        <w:rPr>
          <w:rFonts w:ascii="Arial" w:eastAsia="Calibri" w:hAnsi="Arial" w:cs="Arial"/>
          <w:b/>
        </w:rPr>
      </w:pPr>
      <w:r w:rsidRPr="00A75309">
        <w:rPr>
          <w:rFonts w:ascii="Arial" w:eastAsia="Calibri" w:hAnsi="Arial" w:cs="Arial"/>
          <w:b/>
        </w:rPr>
        <w:t>3. Respuesta</w:t>
      </w:r>
    </w:p>
    <w:p w14:paraId="0619CA3F" w14:textId="77777777" w:rsidR="00A75309" w:rsidRPr="00A75309" w:rsidRDefault="00A75309" w:rsidP="00A75309">
      <w:pPr>
        <w:tabs>
          <w:tab w:val="left" w:pos="709"/>
        </w:tabs>
        <w:spacing w:after="0" w:line="240" w:lineRule="auto"/>
        <w:ind w:left="709" w:right="709"/>
        <w:contextualSpacing/>
        <w:jc w:val="both"/>
        <w:rPr>
          <w:rFonts w:ascii="Arial" w:eastAsia="Calibri" w:hAnsi="Arial" w:cs="Arial"/>
          <w:sz w:val="21"/>
          <w:szCs w:val="21"/>
          <w:lang w:val="es-ES" w:eastAsia="es-MX"/>
        </w:rPr>
      </w:pPr>
    </w:p>
    <w:p w14:paraId="26708730" w14:textId="77777777" w:rsidR="00A75309" w:rsidRPr="00A75309" w:rsidRDefault="00A75309" w:rsidP="00A75309">
      <w:pPr>
        <w:spacing w:after="0" w:line="240" w:lineRule="auto"/>
        <w:ind w:left="709" w:right="709"/>
        <w:jc w:val="both"/>
        <w:rPr>
          <w:rFonts w:ascii="Arial" w:eastAsia="Calibri" w:hAnsi="Arial" w:cs="Arial"/>
          <w:color w:val="000000" w:themeColor="text1"/>
          <w:sz w:val="21"/>
          <w:szCs w:val="21"/>
          <w:lang w:val="es-MX"/>
        </w:rPr>
      </w:pPr>
      <w:bookmarkStart w:id="9" w:name="_Hlk57650395"/>
      <w:r w:rsidRPr="00A75309">
        <w:rPr>
          <w:rFonts w:ascii="Arial" w:eastAsia="Calibri" w:hAnsi="Arial" w:cs="Arial"/>
          <w:color w:val="000000" w:themeColor="text1"/>
          <w:sz w:val="21"/>
          <w:szCs w:val="21"/>
          <w:lang w:val="es-MX"/>
        </w:rPr>
        <w:t xml:space="preserve">«[¿]Es viable que las actividades en los contratos de prestación de servicios no sean ejecutadas mensualmente? </w:t>
      </w:r>
      <w:proofErr w:type="spellStart"/>
      <w:r w:rsidRPr="00A75309">
        <w:rPr>
          <w:rFonts w:ascii="Arial" w:eastAsia="Calibri" w:hAnsi="Arial" w:cs="Arial"/>
          <w:color w:val="000000" w:themeColor="text1"/>
          <w:sz w:val="21"/>
          <w:szCs w:val="21"/>
          <w:lang w:val="es-MX"/>
        </w:rPr>
        <w:t>Aún</w:t>
      </w:r>
      <w:proofErr w:type="spellEnd"/>
      <w:r w:rsidRPr="00A75309">
        <w:rPr>
          <w:rFonts w:ascii="Arial" w:eastAsia="Calibri" w:hAnsi="Arial" w:cs="Arial"/>
          <w:color w:val="000000" w:themeColor="text1"/>
          <w:sz w:val="21"/>
          <w:szCs w:val="21"/>
          <w:lang w:val="es-MX"/>
        </w:rPr>
        <w:t xml:space="preserve"> cuando la forma de pago sea mediante actas parciales mensuales donde se exija informe de actividades mensuales [sic]»</w:t>
      </w:r>
    </w:p>
    <w:p w14:paraId="45FF0E09" w14:textId="77777777" w:rsidR="00A75309" w:rsidRPr="00A75309" w:rsidRDefault="00A75309" w:rsidP="00A75309">
      <w:pPr>
        <w:shd w:val="clear" w:color="auto" w:fill="FFFFFF"/>
        <w:spacing w:after="0" w:line="276" w:lineRule="auto"/>
        <w:jc w:val="both"/>
        <w:rPr>
          <w:rFonts w:ascii="Arial" w:hAnsi="Arial" w:cs="Arial"/>
        </w:rPr>
      </w:pPr>
    </w:p>
    <w:p w14:paraId="64CA41B0" w14:textId="77777777" w:rsidR="00A75309" w:rsidRPr="00A75309" w:rsidRDefault="00A75309" w:rsidP="00A75309">
      <w:pPr>
        <w:spacing w:after="0" w:line="276" w:lineRule="auto"/>
        <w:jc w:val="both"/>
        <w:rPr>
          <w:rFonts w:ascii="Arial" w:eastAsia="Times New Roman" w:hAnsi="Arial" w:cs="Arial"/>
          <w:lang w:val="es-MX" w:eastAsia="es-ES_tradnl"/>
        </w:rPr>
      </w:pPr>
      <w:r w:rsidRPr="00A75309">
        <w:rPr>
          <w:rFonts w:ascii="Arial" w:eastAsia="Times New Roman" w:hAnsi="Arial" w:cs="Arial"/>
          <w:lang w:val="es-MX" w:eastAsia="es-ES_tradnl"/>
        </w:rPr>
        <w:lastRenderedPageBreak/>
        <w:t xml:space="preserve">De acuerdo con las consideraciones expuestas, las entidades públicas en cumplimiento del principio de </w:t>
      </w:r>
      <w:proofErr w:type="gramStart"/>
      <w:r w:rsidRPr="00A75309">
        <w:rPr>
          <w:rFonts w:ascii="Arial" w:eastAsia="Times New Roman" w:hAnsi="Arial" w:cs="Arial"/>
          <w:lang w:val="es-MX" w:eastAsia="es-ES_tradnl"/>
        </w:rPr>
        <w:t>planeación,</w:t>
      </w:r>
      <w:proofErr w:type="gramEnd"/>
      <w:r w:rsidRPr="00A75309">
        <w:rPr>
          <w:rFonts w:ascii="Arial" w:eastAsia="Times New Roman" w:hAnsi="Arial" w:cs="Arial"/>
          <w:lang w:val="es-MX" w:eastAsia="es-ES_tradnl"/>
        </w:rPr>
        <w:t xml:space="preserve"> están obligadas previo a la apertura de un proceso de selección o, antes de la firma del contrato en caso de que la modalidad de selección sea contratación directa, a realizar los estudios previos. Esto, con el fin de identificar desde el punto de vista técnico y financiero el objeto del contrato, las particularidades de su ejecución, los potenciales proponentes, los requisitos mínimos para evaluar la idoneidad del contratista, así como analizar todas las variables que puedan afectar el procedimiento de selección, celebración y ejecución del contrato.</w:t>
      </w:r>
    </w:p>
    <w:p w14:paraId="3E46F5A6" w14:textId="77777777" w:rsidR="00A75309" w:rsidRPr="00A75309" w:rsidRDefault="00A75309" w:rsidP="00A75309">
      <w:pPr>
        <w:spacing w:before="120" w:after="120" w:line="276" w:lineRule="auto"/>
        <w:jc w:val="both"/>
        <w:rPr>
          <w:rFonts w:ascii="Arial" w:eastAsia="Times New Roman" w:hAnsi="Arial" w:cs="Arial"/>
          <w:lang w:val="es-MX" w:eastAsia="es-ES_tradnl"/>
        </w:rPr>
      </w:pPr>
      <w:r w:rsidRPr="00A75309">
        <w:rPr>
          <w:rFonts w:ascii="Arial" w:eastAsia="Times New Roman" w:hAnsi="Arial" w:cs="Arial"/>
          <w:lang w:val="es-MX" w:eastAsia="es-ES_tradnl"/>
        </w:rPr>
        <w:tab/>
        <w:t xml:space="preserve">En consecuencia, la celebración de contratos de prestación de servicios como se indicó en el numeral 2.1 de este concepto, se adelantan mediante la contratación directa, por lo que antes de su suscripción, la entidad contratante realizará los respectivos estudios previos. Lo anterior resulta importante, como quiera que teniendo en cuenta la restricción legal en cuanto a su objeto, esto es, que se adelantan </w:t>
      </w:r>
      <w:r w:rsidRPr="00A75309">
        <w:rPr>
          <w:rFonts w:ascii="Arial" w:eastAsia="Times New Roman" w:hAnsi="Arial" w:cs="Arial"/>
          <w:i/>
          <w:iCs/>
          <w:lang w:val="es-MX" w:eastAsia="es-ES_tradnl"/>
        </w:rPr>
        <w:t>«para desarrollar actividades relacionadas con la administración o funcionamiento de la entidad»,</w:t>
      </w:r>
      <w:r w:rsidRPr="00A75309">
        <w:rPr>
          <w:rFonts w:ascii="Arial" w:eastAsia="Times New Roman" w:hAnsi="Arial" w:cs="Arial"/>
          <w:lang w:val="es-MX" w:eastAsia="es-ES_tradnl"/>
        </w:rPr>
        <w:t xml:space="preserve"> es preponderante la realización de dichos estudios, pues es en la fase precontractual que las entidades motivan las razones por las que celebrarán este tipo contractual. </w:t>
      </w:r>
    </w:p>
    <w:p w14:paraId="434AACAF" w14:textId="77777777" w:rsidR="00A75309" w:rsidRDefault="00A75309" w:rsidP="00A75309">
      <w:pPr>
        <w:spacing w:before="120" w:after="120" w:line="276" w:lineRule="auto"/>
        <w:jc w:val="both"/>
        <w:rPr>
          <w:rFonts w:ascii="Arial" w:eastAsia="Times New Roman" w:hAnsi="Arial" w:cs="Arial"/>
          <w:lang w:val="es-MX" w:eastAsia="es-ES_tradnl"/>
        </w:rPr>
      </w:pPr>
      <w:r w:rsidRPr="00A75309">
        <w:rPr>
          <w:rFonts w:ascii="Arial" w:eastAsia="Times New Roman" w:hAnsi="Arial" w:cs="Arial"/>
          <w:lang w:val="es-MX" w:eastAsia="es-ES_tradnl"/>
        </w:rPr>
        <w:tab/>
        <w:t xml:space="preserve">En línea con lo anterior, se indica que los contratos de prestación de servicios cuentan con unas características propias, como es el caso de la «temporalidad», pues su vigencia sólo será por el tiempo estrictamente necesario para la ejecución del objeto contractual convenido. Sin embargo, es posible que la entidad contratante al realizar los estudios </w:t>
      </w:r>
      <w:proofErr w:type="gramStart"/>
      <w:r w:rsidRPr="00A75309">
        <w:rPr>
          <w:rFonts w:ascii="Arial" w:eastAsia="Times New Roman" w:hAnsi="Arial" w:cs="Arial"/>
          <w:lang w:val="es-MX" w:eastAsia="es-ES_tradnl"/>
        </w:rPr>
        <w:t>previos,</w:t>
      </w:r>
      <w:proofErr w:type="gramEnd"/>
      <w:r w:rsidRPr="00A75309">
        <w:rPr>
          <w:rFonts w:ascii="Arial" w:eastAsia="Times New Roman" w:hAnsi="Arial" w:cs="Arial"/>
          <w:lang w:val="es-MX" w:eastAsia="es-ES_tradnl"/>
        </w:rPr>
        <w:t xml:space="preserve"> evidencie ciertas particularidades en el objeto a contratar, por lo que de conformidad con los principios rectores de la administración pública, los de la gestión fiscal y el de autonomía de la voluntad, establezca condiciones para su ejecución, plazos, forma de entrega y pago.</w:t>
      </w:r>
    </w:p>
    <w:p w14:paraId="0A73C9CF" w14:textId="79114615" w:rsidR="007D22E1" w:rsidRPr="00A75309" w:rsidRDefault="007D22E1" w:rsidP="00A75309">
      <w:pPr>
        <w:spacing w:before="120" w:after="120" w:line="276" w:lineRule="auto"/>
        <w:jc w:val="both"/>
        <w:rPr>
          <w:rFonts w:ascii="Arial" w:eastAsia="Times New Roman" w:hAnsi="Arial" w:cs="Arial"/>
          <w:lang w:val="es-MX" w:eastAsia="es-ES_tradnl"/>
        </w:rPr>
      </w:pPr>
      <w:r>
        <w:rPr>
          <w:rFonts w:ascii="Arial" w:eastAsia="Times New Roman" w:hAnsi="Arial" w:cs="Arial"/>
          <w:lang w:val="es-MX" w:eastAsia="es-ES_tradnl"/>
        </w:rPr>
        <w:tab/>
        <w:t xml:space="preserve">En ese sentido, se estima que la temporalidad de los contratos de prestación de servicios está </w:t>
      </w:r>
      <w:r w:rsidR="00362FD6">
        <w:rPr>
          <w:rFonts w:ascii="Arial" w:eastAsia="Times New Roman" w:hAnsi="Arial" w:cs="Arial"/>
          <w:lang w:val="es-MX" w:eastAsia="es-ES_tradnl"/>
        </w:rPr>
        <w:t>determinada</w:t>
      </w:r>
      <w:r>
        <w:rPr>
          <w:rFonts w:ascii="Arial" w:eastAsia="Times New Roman" w:hAnsi="Arial" w:cs="Arial"/>
          <w:lang w:val="es-MX" w:eastAsia="es-ES_tradnl"/>
        </w:rPr>
        <w:t xml:space="preserve"> por el </w:t>
      </w:r>
      <w:r w:rsidR="004720D2">
        <w:rPr>
          <w:rFonts w:ascii="Arial" w:eastAsia="Times New Roman" w:hAnsi="Arial" w:cs="Arial"/>
          <w:lang w:val="es-MX" w:eastAsia="es-ES_tradnl"/>
        </w:rPr>
        <w:t xml:space="preserve">tiempo requerido para cumplir a cabalidad el objeto contractual, el cual, a su vez, responde a una necesidad de una Entidad Estatal que debe ser satisfecha </w:t>
      </w:r>
      <w:r w:rsidR="000D43CA">
        <w:rPr>
          <w:rFonts w:ascii="Arial" w:eastAsia="Times New Roman" w:hAnsi="Arial" w:cs="Arial"/>
          <w:lang w:val="es-MX" w:eastAsia="es-ES_tradnl"/>
        </w:rPr>
        <w:t xml:space="preserve">mediante la ejecución de dicho contrato. De esta manera, los periodos de ejecución </w:t>
      </w:r>
      <w:r w:rsidR="001129B7">
        <w:rPr>
          <w:rFonts w:ascii="Arial" w:eastAsia="Times New Roman" w:hAnsi="Arial" w:cs="Arial"/>
          <w:lang w:val="es-MX" w:eastAsia="es-ES_tradnl"/>
        </w:rPr>
        <w:t xml:space="preserve">y los pagos parciales que eventualmente deban hacerse en el marco de un contrato de prestación de servicios deben atender las particulares condiciones del contrato </w:t>
      </w:r>
      <w:r w:rsidR="00A37A6C">
        <w:rPr>
          <w:rFonts w:ascii="Arial" w:eastAsia="Times New Roman" w:hAnsi="Arial" w:cs="Arial"/>
          <w:lang w:val="es-MX" w:eastAsia="es-ES_tradnl"/>
        </w:rPr>
        <w:t>que hayan</w:t>
      </w:r>
      <w:r w:rsidR="001129B7">
        <w:rPr>
          <w:rFonts w:ascii="Arial" w:eastAsia="Times New Roman" w:hAnsi="Arial" w:cs="Arial"/>
          <w:lang w:val="es-MX" w:eastAsia="es-ES_tradnl"/>
        </w:rPr>
        <w:t xml:space="preserve"> sido determinadas por la entidad estatal en la minuta del contrato, </w:t>
      </w:r>
      <w:r w:rsidR="0046187E">
        <w:rPr>
          <w:rFonts w:ascii="Arial" w:eastAsia="Times New Roman" w:hAnsi="Arial" w:cs="Arial"/>
          <w:lang w:val="es-MX" w:eastAsia="es-ES_tradnl"/>
        </w:rPr>
        <w:t xml:space="preserve">en función de la ejecución del respectivo </w:t>
      </w:r>
      <w:r w:rsidR="00A37A6C">
        <w:rPr>
          <w:rFonts w:ascii="Arial" w:eastAsia="Times New Roman" w:hAnsi="Arial" w:cs="Arial"/>
          <w:lang w:val="es-MX" w:eastAsia="es-ES_tradnl"/>
        </w:rPr>
        <w:t xml:space="preserve">objeto </w:t>
      </w:r>
      <w:r w:rsidR="0046187E">
        <w:rPr>
          <w:rFonts w:ascii="Arial" w:eastAsia="Times New Roman" w:hAnsi="Arial" w:cs="Arial"/>
          <w:lang w:val="es-MX" w:eastAsia="es-ES_tradnl"/>
        </w:rPr>
        <w:t xml:space="preserve">contractual, </w:t>
      </w:r>
      <w:r w:rsidR="00A37A6C">
        <w:rPr>
          <w:rFonts w:ascii="Arial" w:eastAsia="Times New Roman" w:hAnsi="Arial" w:cs="Arial"/>
          <w:lang w:val="es-MX" w:eastAsia="es-ES_tradnl"/>
        </w:rPr>
        <w:t xml:space="preserve">acorde con lo justificado en los estudios y documentos previos. </w:t>
      </w:r>
      <w:r w:rsidR="0046187E">
        <w:rPr>
          <w:rFonts w:ascii="Arial" w:eastAsia="Times New Roman" w:hAnsi="Arial" w:cs="Arial"/>
          <w:lang w:val="es-MX" w:eastAsia="es-ES_tradnl"/>
        </w:rPr>
        <w:t xml:space="preserve"> </w:t>
      </w:r>
    </w:p>
    <w:p w14:paraId="22CF8513" w14:textId="77777777" w:rsidR="00A75309" w:rsidRPr="00A75309" w:rsidRDefault="00A75309" w:rsidP="00A75309">
      <w:pPr>
        <w:shd w:val="clear" w:color="auto" w:fill="FFFFFF"/>
        <w:spacing w:after="0" w:line="276" w:lineRule="auto"/>
        <w:jc w:val="both"/>
        <w:rPr>
          <w:rFonts w:ascii="Arial" w:eastAsia="Times New Roman" w:hAnsi="Arial" w:cs="Arial"/>
          <w:lang w:eastAsia="es-ES_tradnl"/>
        </w:rPr>
      </w:pPr>
    </w:p>
    <w:p w14:paraId="0E30F908" w14:textId="77777777" w:rsidR="00A75309" w:rsidRPr="00A75309" w:rsidRDefault="00A75309" w:rsidP="00A75309">
      <w:pPr>
        <w:widowControl w:val="0"/>
        <w:autoSpaceDE w:val="0"/>
        <w:autoSpaceDN w:val="0"/>
        <w:spacing w:after="0" w:line="276" w:lineRule="auto"/>
        <w:contextualSpacing/>
        <w:jc w:val="both"/>
        <w:rPr>
          <w:rFonts w:ascii="Arial" w:eastAsia="Times New Roman" w:hAnsi="Arial" w:cs="Arial"/>
          <w:lang w:eastAsia="es-ES_tradnl"/>
        </w:rPr>
      </w:pPr>
      <w:r w:rsidRPr="00A75309">
        <w:rPr>
          <w:rFonts w:ascii="Arial" w:eastAsia="Calibri" w:hAnsi="Arial" w:cs="Arial"/>
        </w:rPr>
        <w:t>Este concepto tiene el alcance previsto en el artículo 28 del Código de Procedimiento Administrativo y de lo Contencioso Administrativo</w:t>
      </w:r>
      <w:r w:rsidRPr="00A75309">
        <w:rPr>
          <w:rFonts w:ascii="Arial" w:eastAsia="Calibri" w:hAnsi="Arial" w:cs="Arial"/>
          <w:noProof/>
          <w:lang w:eastAsia="es-CO"/>
        </w:rPr>
        <mc:AlternateContent>
          <mc:Choice Requires="wps">
            <w:drawing>
              <wp:anchor distT="0" distB="0" distL="114300" distR="114300" simplePos="0" relativeHeight="251659264" behindDoc="0" locked="0" layoutInCell="1" allowOverlap="1" wp14:anchorId="4825F7C3" wp14:editId="739EDC83">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C77AD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A75309">
        <w:rPr>
          <w:rFonts w:ascii="Arial" w:eastAsia="Calibri" w:hAnsi="Arial" w:cs="Arial"/>
        </w:rPr>
        <w:t xml:space="preserve"> y las expresiones utilizadas con mayúscula inicial deben ser entendidas con el significado que les otorga el artículo 2.2.1.1.1.3.1 del Decreto 1082 de 2015.</w:t>
      </w:r>
    </w:p>
    <w:p w14:paraId="07CE5431" w14:textId="77777777" w:rsidR="00A75309" w:rsidRPr="00A75309" w:rsidRDefault="00A75309" w:rsidP="00A75309">
      <w:pPr>
        <w:spacing w:after="120" w:line="276" w:lineRule="auto"/>
        <w:jc w:val="both"/>
        <w:rPr>
          <w:rFonts w:ascii="Arial" w:eastAsia="Times New Roman" w:hAnsi="Arial" w:cs="Arial"/>
          <w:lang w:eastAsia="es-ES_tradnl"/>
        </w:rPr>
      </w:pPr>
    </w:p>
    <w:p w14:paraId="11809CB1" w14:textId="77777777" w:rsidR="00A75309" w:rsidRPr="00A75309" w:rsidRDefault="00A75309" w:rsidP="00A75309">
      <w:pPr>
        <w:spacing w:after="200" w:line="276" w:lineRule="auto"/>
        <w:jc w:val="both"/>
        <w:rPr>
          <w:rFonts w:ascii="Arial" w:eastAsia="Times New Roman" w:hAnsi="Arial" w:cs="Arial"/>
          <w:lang w:eastAsia="es-CO"/>
        </w:rPr>
      </w:pPr>
      <w:r w:rsidRPr="00A75309">
        <w:rPr>
          <w:rFonts w:ascii="Arial" w:eastAsia="Times New Roman" w:hAnsi="Arial" w:cs="Arial"/>
          <w:lang w:eastAsia="es-CO"/>
        </w:rPr>
        <w:lastRenderedPageBreak/>
        <w:t>Atentamente,</w:t>
      </w:r>
    </w:p>
    <w:bookmarkEnd w:id="9"/>
    <w:p w14:paraId="0E07F152" w14:textId="3489DD71" w:rsidR="00A75309" w:rsidRPr="00A75309" w:rsidRDefault="00AD657A" w:rsidP="00A75309">
      <w:pPr>
        <w:spacing w:after="200" w:line="276" w:lineRule="auto"/>
        <w:jc w:val="center"/>
        <w:rPr>
          <w:rFonts w:ascii="Arial" w:eastAsia="Calibri" w:hAnsi="Arial" w:cs="Arial"/>
          <w:b/>
          <w:bCs/>
          <w:sz w:val="20"/>
          <w:szCs w:val="20"/>
          <w:lang w:val="es-MX"/>
        </w:rPr>
      </w:pPr>
      <w:r>
        <w:rPr>
          <w:rFonts w:ascii="Geomanist Light" w:hAnsi="Geomanist Light"/>
          <w:b/>
          <w:bCs/>
          <w:noProof/>
          <w:color w:val="000000"/>
          <w:sz w:val="20"/>
          <w:szCs w:val="20"/>
          <w:shd w:val="clear" w:color="auto" w:fill="FFFFFF"/>
          <w:lang w:val="es-MX"/>
        </w:rPr>
        <w:drawing>
          <wp:inline distT="0" distB="0" distL="0" distR="0" wp14:anchorId="7D49FF14" wp14:editId="1D2BCDFB">
            <wp:extent cx="3156585" cy="1208405"/>
            <wp:effectExtent l="0" t="0" r="5715" b="0"/>
            <wp:docPr id="78861194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11942"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6585" cy="1208405"/>
                    </a:xfrm>
                    <a:prstGeom prst="rect">
                      <a:avLst/>
                    </a:prstGeom>
                    <a:noFill/>
                    <a:ln>
                      <a:noFill/>
                    </a:ln>
                  </pic:spPr>
                </pic:pic>
              </a:graphicData>
            </a:graphic>
          </wp:inline>
        </w:drawing>
      </w:r>
      <w:r>
        <w:rPr>
          <w:rFonts w:ascii="Calibri" w:hAnsi="Calibri" w:cs="Calibri"/>
          <w:color w:val="000000"/>
          <w:shd w:val="clear" w:color="auto" w:fill="FFFFFF"/>
        </w:rPr>
        <w:br/>
      </w:r>
      <w:r w:rsidR="00A75309" w:rsidRPr="00A75309">
        <w:rPr>
          <w:rFonts w:ascii="Geomanist Light" w:hAnsi="Geomanist Light"/>
          <w:b/>
          <w:bCs/>
          <w:color w:val="000000"/>
          <w:sz w:val="20"/>
          <w:szCs w:val="20"/>
          <w:shd w:val="clear" w:color="auto" w:fill="FFFFFF"/>
          <w:lang w:val="es-MX"/>
        </w:rPr>
        <w:br/>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A75309" w:rsidRPr="00362FD6" w14:paraId="035B85FE" w14:textId="77777777" w:rsidTr="009F6A69">
        <w:trPr>
          <w:trHeight w:val="315"/>
        </w:trPr>
        <w:tc>
          <w:tcPr>
            <w:tcW w:w="812" w:type="dxa"/>
            <w:vAlign w:val="center"/>
            <w:hideMark/>
          </w:tcPr>
          <w:p w14:paraId="61C1810C"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57809448" w14:textId="77777777" w:rsidR="00A75309" w:rsidRPr="00D00E12" w:rsidRDefault="00A75309" w:rsidP="00A75309">
            <w:pPr>
              <w:rPr>
                <w:rFonts w:ascii="Arial" w:eastAsia="Times New Roman" w:hAnsi="Arial" w:cs="Arial"/>
                <w:sz w:val="16"/>
                <w:szCs w:val="16"/>
                <w:lang w:eastAsia="es-ES"/>
              </w:rPr>
            </w:pPr>
            <w:proofErr w:type="spellStart"/>
            <w:r w:rsidRPr="00D00E12">
              <w:rPr>
                <w:rFonts w:ascii="Arial" w:eastAsia="Times New Roman" w:hAnsi="Arial" w:cs="Arial"/>
                <w:sz w:val="16"/>
                <w:szCs w:val="16"/>
                <w:lang w:eastAsia="es-ES"/>
              </w:rPr>
              <w:t>Nasly</w:t>
            </w:r>
            <w:proofErr w:type="spellEnd"/>
            <w:r w:rsidRPr="00D00E12">
              <w:rPr>
                <w:rFonts w:ascii="Arial" w:eastAsia="Times New Roman" w:hAnsi="Arial" w:cs="Arial"/>
                <w:sz w:val="16"/>
                <w:szCs w:val="16"/>
                <w:lang w:eastAsia="es-ES"/>
              </w:rPr>
              <w:t xml:space="preserve"> </w:t>
            </w:r>
            <w:proofErr w:type="spellStart"/>
            <w:r w:rsidRPr="00D00E12">
              <w:rPr>
                <w:rFonts w:ascii="Arial" w:eastAsia="Times New Roman" w:hAnsi="Arial" w:cs="Arial"/>
                <w:sz w:val="16"/>
                <w:szCs w:val="16"/>
                <w:lang w:eastAsia="es-ES"/>
              </w:rPr>
              <w:t>Yeana</w:t>
            </w:r>
            <w:proofErr w:type="spellEnd"/>
            <w:r w:rsidRPr="00D00E12">
              <w:rPr>
                <w:rFonts w:ascii="Arial" w:eastAsia="Times New Roman" w:hAnsi="Arial" w:cs="Arial"/>
                <w:sz w:val="16"/>
                <w:szCs w:val="16"/>
                <w:lang w:eastAsia="es-ES"/>
              </w:rPr>
              <w:t xml:space="preserve"> Mosquera Rivas</w:t>
            </w:r>
          </w:p>
          <w:p w14:paraId="7AC56FB6"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Analista T2–06 de la Subdirección de Gestión Contractual</w:t>
            </w:r>
          </w:p>
        </w:tc>
      </w:tr>
      <w:tr w:rsidR="00A75309" w:rsidRPr="00362FD6" w14:paraId="113FBBB9" w14:textId="77777777" w:rsidTr="009F6A69">
        <w:trPr>
          <w:trHeight w:val="330"/>
        </w:trPr>
        <w:tc>
          <w:tcPr>
            <w:tcW w:w="812" w:type="dxa"/>
            <w:vAlign w:val="center"/>
            <w:hideMark/>
          </w:tcPr>
          <w:p w14:paraId="693011E6"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42BA055"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Alejandro Sarmiento Cantillo</w:t>
            </w:r>
          </w:p>
          <w:p w14:paraId="48B2DFC7"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Gestor T1–11 de la Subdirección de Gestión Contractual</w:t>
            </w:r>
          </w:p>
        </w:tc>
      </w:tr>
      <w:tr w:rsidR="00A75309" w:rsidRPr="00362FD6" w14:paraId="53964D72" w14:textId="77777777" w:rsidTr="009F6A69">
        <w:trPr>
          <w:trHeight w:val="300"/>
        </w:trPr>
        <w:tc>
          <w:tcPr>
            <w:tcW w:w="812" w:type="dxa"/>
            <w:vAlign w:val="center"/>
            <w:hideMark/>
          </w:tcPr>
          <w:p w14:paraId="5511674C"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7B4A634"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Nohelia del Carmen Zawady Palacio</w:t>
            </w:r>
          </w:p>
          <w:p w14:paraId="0858D955" w14:textId="77777777" w:rsidR="00A75309" w:rsidRPr="00D00E12" w:rsidRDefault="00A75309" w:rsidP="00A75309">
            <w:pPr>
              <w:rPr>
                <w:rFonts w:ascii="Arial" w:eastAsia="Times New Roman" w:hAnsi="Arial" w:cs="Arial"/>
                <w:sz w:val="16"/>
                <w:szCs w:val="16"/>
                <w:lang w:eastAsia="es-ES"/>
              </w:rPr>
            </w:pPr>
            <w:r w:rsidRPr="00D00E12">
              <w:rPr>
                <w:rFonts w:ascii="Arial" w:eastAsia="Times New Roman" w:hAnsi="Arial" w:cs="Arial"/>
                <w:sz w:val="16"/>
                <w:szCs w:val="16"/>
                <w:lang w:eastAsia="es-ES"/>
              </w:rPr>
              <w:t>Subdirectora de Gestión Contractual ANCP – CCE</w:t>
            </w:r>
          </w:p>
        </w:tc>
      </w:tr>
    </w:tbl>
    <w:p w14:paraId="0F293BF4" w14:textId="0F6FB6C1" w:rsidR="00127233" w:rsidRPr="006219F8" w:rsidRDefault="00127233" w:rsidP="00A75309">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C83" w14:textId="77777777" w:rsidR="003C013B" w:rsidRDefault="003C013B" w:rsidP="004A1847">
      <w:pPr>
        <w:spacing w:after="0" w:line="240" w:lineRule="auto"/>
      </w:pPr>
      <w:r>
        <w:separator/>
      </w:r>
    </w:p>
  </w:endnote>
  <w:endnote w:type="continuationSeparator" w:id="0">
    <w:p w14:paraId="6BD29EF8" w14:textId="77777777" w:rsidR="003C013B" w:rsidRDefault="003C013B" w:rsidP="004A1847">
      <w:pPr>
        <w:spacing w:after="0" w:line="240" w:lineRule="auto"/>
      </w:pPr>
      <w:r>
        <w:continuationSeparator/>
      </w:r>
    </w:p>
  </w:endnote>
  <w:endnote w:type="continuationNotice" w:id="1">
    <w:p w14:paraId="734496CF"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292" w14:textId="77777777" w:rsidR="003C013B" w:rsidRDefault="003C013B" w:rsidP="004A1847">
      <w:pPr>
        <w:spacing w:after="0" w:line="240" w:lineRule="auto"/>
      </w:pPr>
      <w:r>
        <w:separator/>
      </w:r>
    </w:p>
  </w:footnote>
  <w:footnote w:type="continuationSeparator" w:id="0">
    <w:p w14:paraId="6DB9A571" w14:textId="77777777" w:rsidR="003C013B" w:rsidRDefault="003C013B" w:rsidP="004A1847">
      <w:pPr>
        <w:spacing w:after="0" w:line="240" w:lineRule="auto"/>
      </w:pPr>
      <w:r>
        <w:continuationSeparator/>
      </w:r>
    </w:p>
  </w:footnote>
  <w:footnote w:type="continuationNotice" w:id="1">
    <w:p w14:paraId="36013B00" w14:textId="77777777" w:rsidR="00DF1E43" w:rsidRDefault="00DF1E43">
      <w:pPr>
        <w:spacing w:after="0" w:line="240" w:lineRule="auto"/>
      </w:pPr>
    </w:p>
  </w:footnote>
  <w:footnote w:id="2">
    <w:p w14:paraId="3DF84B16" w14:textId="618F0E52" w:rsidR="00D91F03" w:rsidRPr="00AB6E09" w:rsidRDefault="00A75309" w:rsidP="000F66AA">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AB6E09">
        <w:rPr>
          <w:rFonts w:ascii="Arial" w:hAnsi="Arial" w:cs="Arial"/>
          <w:i/>
          <w:iCs/>
          <w:sz w:val="10"/>
          <w:szCs w:val="10"/>
        </w:rPr>
        <w:t xml:space="preserve">ibidem </w:t>
      </w:r>
      <w:r w:rsidRPr="00AB6E09">
        <w:rPr>
          <w:rFonts w:ascii="Arial" w:hAnsi="Arial" w:cs="Arial"/>
          <w:sz w:val="10"/>
          <w:szCs w:val="10"/>
        </w:rPr>
        <w:t xml:space="preserve">señala, de manera precisa, las funciones de Colombia Compra Eficiente. Concretamente, el numeral 5º de este artículo establece que le corresponde a esta entidad: </w:t>
      </w:r>
      <w:r w:rsidR="00D91F03" w:rsidRPr="00AB6E09">
        <w:rPr>
          <w:rFonts w:ascii="Arial" w:hAnsi="Arial" w:cs="Arial"/>
          <w:sz w:val="10"/>
          <w:szCs w:val="10"/>
        </w:rPr>
        <w:t>“</w:t>
      </w:r>
      <w:r w:rsidRPr="00AB6E09">
        <w:rPr>
          <w:rFonts w:ascii="Arial" w:hAnsi="Arial" w:cs="Arial"/>
          <w:sz w:val="10"/>
          <w:szCs w:val="10"/>
        </w:rPr>
        <w:t>[a]</w:t>
      </w:r>
      <w:proofErr w:type="spellStart"/>
      <w:r w:rsidRPr="00AB6E09">
        <w:rPr>
          <w:rFonts w:ascii="Arial" w:hAnsi="Arial" w:cs="Arial"/>
          <w:sz w:val="10"/>
          <w:szCs w:val="10"/>
        </w:rPr>
        <w:t>bsolver</w:t>
      </w:r>
      <w:proofErr w:type="spellEnd"/>
      <w:r w:rsidRPr="00AB6E09">
        <w:rPr>
          <w:rFonts w:ascii="Arial" w:hAnsi="Arial" w:cs="Arial"/>
          <w:sz w:val="10"/>
          <w:szCs w:val="10"/>
        </w:rPr>
        <w:t xml:space="preserve"> consultas sobre la aplicación de normas de carácter general y expedir circulares externas en materia de compras y contratación pública</w:t>
      </w:r>
      <w:r w:rsidR="00D91F03" w:rsidRPr="00AB6E09">
        <w:rPr>
          <w:rFonts w:ascii="Arial" w:hAnsi="Arial" w:cs="Arial"/>
          <w:sz w:val="10"/>
          <w:szCs w:val="10"/>
        </w:rPr>
        <w:t>”</w:t>
      </w:r>
      <w:r w:rsidRPr="00AB6E09">
        <w:rPr>
          <w:rFonts w:ascii="Arial" w:hAnsi="Arial" w:cs="Arial"/>
          <w:sz w:val="10"/>
          <w:szCs w:val="10"/>
        </w:rPr>
        <w:t xml:space="preserve">. Seguidamente, el numeral 8º del artículo 11 ibidem señala que es función de la Subdirección de Gestión Contractual: </w:t>
      </w:r>
      <w:r w:rsidR="00D91F03" w:rsidRPr="00AB6E09">
        <w:rPr>
          <w:rFonts w:ascii="Arial" w:hAnsi="Arial" w:cs="Arial"/>
          <w:sz w:val="10"/>
          <w:szCs w:val="10"/>
        </w:rPr>
        <w:t>“</w:t>
      </w:r>
      <w:r w:rsidRPr="00AB6E09">
        <w:rPr>
          <w:rFonts w:ascii="Arial" w:hAnsi="Arial" w:cs="Arial"/>
          <w:sz w:val="10"/>
          <w:szCs w:val="10"/>
        </w:rPr>
        <w:t>[a]</w:t>
      </w:r>
      <w:proofErr w:type="spellStart"/>
      <w:r w:rsidRPr="00AB6E09">
        <w:rPr>
          <w:rFonts w:ascii="Arial" w:hAnsi="Arial" w:cs="Arial"/>
          <w:sz w:val="10"/>
          <w:szCs w:val="10"/>
        </w:rPr>
        <w:t>bsolver</w:t>
      </w:r>
      <w:proofErr w:type="spellEnd"/>
      <w:r w:rsidRPr="00AB6E09">
        <w:rPr>
          <w:rFonts w:ascii="Arial" w:hAnsi="Arial" w:cs="Arial"/>
          <w:sz w:val="10"/>
          <w:szCs w:val="10"/>
        </w:rPr>
        <w:t xml:space="preserve"> consultas sobre la aplicación de normas de carácter general</w:t>
      </w:r>
      <w:r w:rsidR="00D91F03" w:rsidRPr="00AB6E09">
        <w:rPr>
          <w:rFonts w:ascii="Arial" w:hAnsi="Arial" w:cs="Arial"/>
          <w:sz w:val="10"/>
          <w:szCs w:val="10"/>
        </w:rPr>
        <w:t>”</w:t>
      </w:r>
    </w:p>
    <w:p w14:paraId="66E1CED0" w14:textId="3BF28A43" w:rsidR="00A75309" w:rsidRPr="00AB6E09" w:rsidRDefault="00A75309" w:rsidP="000F66AA">
      <w:pPr>
        <w:pStyle w:val="Textonotapie"/>
        <w:ind w:firstLine="708"/>
        <w:jc w:val="both"/>
        <w:rPr>
          <w:rFonts w:ascii="Arial" w:hAnsi="Arial" w:cs="Arial"/>
          <w:sz w:val="10"/>
          <w:szCs w:val="10"/>
          <w:lang w:val="es-ES"/>
        </w:rPr>
      </w:pPr>
    </w:p>
  </w:footnote>
  <w:footnote w:id="3">
    <w:p w14:paraId="7FC7F207" w14:textId="77777777" w:rsidR="00A75309" w:rsidRPr="00AB6E09" w:rsidRDefault="00A75309" w:rsidP="000F66AA">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De igual forma la Agencia de Nacional de Contratación Pública -Colombia Compra Eficiente- trató el tema objeto de estudio en conceptos del año 2019, identificados con los radicados </w:t>
      </w:r>
      <w:r w:rsidRPr="00AB6E09">
        <w:rPr>
          <w:rFonts w:ascii="Arial" w:eastAsia="Calibri" w:hAnsi="Arial" w:cs="Arial"/>
          <w:sz w:val="10"/>
          <w:szCs w:val="10"/>
        </w:rPr>
        <w:t>No. 4201913000004738 del 28 de agosto de 2019, 4201913000004742 del 28 de agosto de 2019, 4201913000005174 del 21 de agosto de 2019, 4201913000005216 del 13 de agosto de 2019, 4201913000005230 del 21 de agosto de 2019, 4201912000005860 del 30 de septiembre de 2019, 4201912000005902 del 16 de octubre de 2019, 4201913000005944 del 7 de octubre de 2019, 4201913000006018 del 10 de octubre de 2019, 4201912000005902 del 16 de octubre de  2019, 4201913000006444 del 1 de noviembre de 2019, 4201912000006692 del 12 de noviembre de 2019, 4201912000007378 del 11 de noviembre de 2019 y 4201912000007781 del 26 de diciembre de 2019.</w:t>
      </w:r>
    </w:p>
  </w:footnote>
  <w:footnote w:id="4">
    <w:p w14:paraId="349CE909" w14:textId="77777777" w:rsidR="00A75309" w:rsidRPr="00AB6E09" w:rsidRDefault="00A75309" w:rsidP="000F66AA">
      <w:pPr>
        <w:pStyle w:val="Textonotapie"/>
        <w:ind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Consejo de Estado. Sección Segunda. Sentencia del 9 de septiembre de 2021. Expediente No. 05001-23-33-000-2013-01143-01(1317-16). M.P. Dra. Sandra Lisset Ibarra Vélez.</w:t>
      </w:r>
    </w:p>
  </w:footnote>
  <w:footnote w:id="5">
    <w:p w14:paraId="02A4C6BB" w14:textId="77777777" w:rsidR="00A75309" w:rsidRPr="00AB6E09" w:rsidRDefault="00A75309" w:rsidP="000F66AA">
      <w:pPr>
        <w:pStyle w:val="Textonotapie"/>
        <w:ind w:firstLine="708"/>
        <w:jc w:val="both"/>
        <w:rPr>
          <w:rFonts w:ascii="Arial" w:hAnsi="Arial" w:cs="Arial"/>
          <w:sz w:val="10"/>
          <w:szCs w:val="10"/>
        </w:rPr>
      </w:pPr>
    </w:p>
    <w:p w14:paraId="066899DA" w14:textId="77777777" w:rsidR="00A75309" w:rsidRPr="00AB6E09" w:rsidRDefault="00A75309" w:rsidP="000F66AA">
      <w:pPr>
        <w:pStyle w:val="Textonotapie"/>
        <w:ind w:firstLine="708"/>
        <w:jc w:val="both"/>
        <w:rPr>
          <w:rFonts w:ascii="Arial" w:hAnsi="Arial" w:cs="Arial"/>
          <w:sz w:val="10"/>
          <w:szCs w:val="10"/>
          <w:lang w:val="es-ES_tradnl"/>
        </w:rPr>
      </w:pPr>
      <w:r w:rsidRPr="00AB6E09">
        <w:rPr>
          <w:rStyle w:val="Refdenotaalpie"/>
          <w:rFonts w:ascii="Arial" w:hAnsi="Arial" w:cs="Arial"/>
          <w:sz w:val="10"/>
          <w:szCs w:val="10"/>
        </w:rPr>
        <w:footnoteRef/>
      </w:r>
      <w:r w:rsidRPr="00AB6E09">
        <w:rPr>
          <w:rFonts w:ascii="Arial" w:hAnsi="Arial" w:cs="Arial"/>
          <w:sz w:val="10"/>
          <w:szCs w:val="10"/>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6">
    <w:p w14:paraId="75E2F039" w14:textId="77777777" w:rsidR="00A75309" w:rsidRPr="00AB6E09" w:rsidRDefault="00A75309" w:rsidP="000F66AA">
      <w:pPr>
        <w:pStyle w:val="Textonotapie"/>
        <w:ind w:firstLine="708"/>
        <w:jc w:val="both"/>
        <w:rPr>
          <w:rFonts w:ascii="Arial" w:hAnsi="Arial" w:cs="Arial"/>
          <w:sz w:val="10"/>
          <w:szCs w:val="10"/>
        </w:rPr>
      </w:pPr>
    </w:p>
    <w:p w14:paraId="1E26BC1A" w14:textId="77777777" w:rsidR="00A75309" w:rsidRPr="00AB6E09" w:rsidRDefault="00A75309" w:rsidP="000F66AA">
      <w:pPr>
        <w:pStyle w:val="Textonotapie"/>
        <w:ind w:firstLine="708"/>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4F0AF04F" w14:textId="77777777" w:rsidR="00A75309" w:rsidRPr="00AB6E09" w:rsidRDefault="00A75309" w:rsidP="000F66AA">
      <w:pPr>
        <w:pStyle w:val="Textonotapie"/>
        <w:ind w:firstLine="709"/>
        <w:jc w:val="both"/>
        <w:rPr>
          <w:rFonts w:ascii="Arial" w:hAnsi="Arial" w:cs="Arial"/>
          <w:sz w:val="10"/>
          <w:szCs w:val="10"/>
          <w:lang w:val="es-ES"/>
        </w:rPr>
      </w:pPr>
    </w:p>
  </w:footnote>
  <w:footnote w:id="7">
    <w:p w14:paraId="71B1EFBF" w14:textId="77777777"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247658D" w14:textId="77777777" w:rsidR="00A75309" w:rsidRPr="00AB6E09" w:rsidRDefault="00A75309" w:rsidP="000F66AA">
      <w:pPr>
        <w:pStyle w:val="Textonotapie"/>
        <w:ind w:firstLine="709"/>
        <w:jc w:val="both"/>
        <w:rPr>
          <w:rFonts w:ascii="Arial" w:hAnsi="Arial" w:cs="Arial"/>
          <w:sz w:val="10"/>
          <w:szCs w:val="10"/>
          <w:lang w:val="es-ES"/>
        </w:rPr>
      </w:pPr>
    </w:p>
    <w:p w14:paraId="180FB31C" w14:textId="77777777"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D56E754" w14:textId="77777777" w:rsidR="00A75309" w:rsidRPr="00AB6E09" w:rsidRDefault="00A75309" w:rsidP="000F66AA">
      <w:pPr>
        <w:pStyle w:val="Textonotapie"/>
        <w:ind w:firstLine="709"/>
        <w:jc w:val="both"/>
        <w:rPr>
          <w:rFonts w:ascii="Arial" w:hAnsi="Arial" w:cs="Arial"/>
          <w:sz w:val="10"/>
          <w:szCs w:val="10"/>
          <w:lang w:val="es-ES"/>
        </w:rPr>
      </w:pPr>
    </w:p>
    <w:p w14:paraId="79F55728" w14:textId="77777777"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El Gobierno nacional reglamentará el mecanismo para realizar la mensualización de que trata el presente artículo.</w:t>
      </w:r>
    </w:p>
    <w:p w14:paraId="541D8AF9" w14:textId="77777777" w:rsidR="00A75309" w:rsidRPr="00AB6E09" w:rsidRDefault="00A75309" w:rsidP="000F66AA">
      <w:pPr>
        <w:pStyle w:val="Textonotapie"/>
        <w:ind w:firstLine="709"/>
        <w:jc w:val="both"/>
        <w:rPr>
          <w:rFonts w:ascii="Arial" w:hAnsi="Arial" w:cs="Arial"/>
          <w:sz w:val="10"/>
          <w:szCs w:val="10"/>
          <w:lang w:val="pt-BR"/>
        </w:rPr>
      </w:pPr>
      <w:r w:rsidRPr="00AB6E09">
        <w:rPr>
          <w:rFonts w:ascii="Arial" w:hAnsi="Arial" w:cs="Arial"/>
          <w:sz w:val="10"/>
          <w:szCs w:val="10"/>
          <w:lang w:val="pt-BR"/>
        </w:rPr>
        <w:t>[…]».</w:t>
      </w:r>
    </w:p>
  </w:footnote>
  <w:footnote w:id="8">
    <w:p w14:paraId="0C694C99" w14:textId="77777777"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lang w:val="pt-BR"/>
        </w:rPr>
        <w:t xml:space="preserve"> Corte Constitucional. Sentencia C-154 de 1997. </w:t>
      </w:r>
      <w:r w:rsidRPr="00AB6E09">
        <w:rPr>
          <w:rFonts w:ascii="Arial" w:hAnsi="Arial" w:cs="Arial"/>
          <w:sz w:val="10"/>
          <w:szCs w:val="10"/>
          <w:lang w:val="es-ES"/>
        </w:rPr>
        <w:t>MP: Hernando Herrera Vergara.</w:t>
      </w:r>
    </w:p>
  </w:footnote>
  <w:footnote w:id="9">
    <w:p w14:paraId="36B9EFAC" w14:textId="77777777" w:rsidR="00B2377D" w:rsidRDefault="00B2377D" w:rsidP="000F66AA">
      <w:pPr>
        <w:pStyle w:val="Textonotapie"/>
        <w:ind w:firstLine="709"/>
        <w:jc w:val="both"/>
        <w:rPr>
          <w:rFonts w:ascii="Arial" w:hAnsi="Arial" w:cs="Arial"/>
          <w:sz w:val="10"/>
          <w:szCs w:val="10"/>
        </w:rPr>
      </w:pPr>
    </w:p>
    <w:p w14:paraId="3EAC50C4" w14:textId="7D4E0F9D"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Así lo dispone el artículo 2.2.1.2.1.4.1. del Decreto 1082 de 2015: </w:t>
      </w:r>
      <w:r w:rsidR="001711BC" w:rsidRPr="00AB6E09">
        <w:rPr>
          <w:rFonts w:ascii="Arial" w:hAnsi="Arial" w:cs="Arial"/>
          <w:sz w:val="10"/>
          <w:szCs w:val="10"/>
          <w:lang w:val="es-ES"/>
        </w:rPr>
        <w:t>“</w:t>
      </w:r>
      <w:r w:rsidRPr="00AB6E09">
        <w:rPr>
          <w:rFonts w:ascii="Arial" w:hAnsi="Arial" w:cs="Arial"/>
          <w:sz w:val="10"/>
          <w:szCs w:val="10"/>
          <w:lang w:val="es-ES"/>
        </w:rPr>
        <w:t>La Entidad Estatal debe señalar en un acto administrativo la justificación para contratar bajo la modalidad de contratación directa, el cual debe contener:</w:t>
      </w:r>
    </w:p>
    <w:p w14:paraId="73A3381B" w14:textId="0E57680D"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1. La causal que invoca para contratar directamente.</w:t>
      </w:r>
    </w:p>
    <w:p w14:paraId="57AC59E5" w14:textId="4A3F6163"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2. El objeto del contrato.</w:t>
      </w:r>
    </w:p>
    <w:p w14:paraId="0A018A39" w14:textId="7C87E24F"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3. El presupuesto para la contratación y las condiciones que exigirá al contratista.</w:t>
      </w:r>
    </w:p>
    <w:p w14:paraId="782072FD" w14:textId="0401FE9E"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4. El lugar en el cual los interesados pueden consultar los estudios y documentos previos.</w:t>
      </w:r>
    </w:p>
    <w:p w14:paraId="5B5D9768" w14:textId="29C9814C"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r w:rsidR="001711BC" w:rsidRPr="00AB6E09">
        <w:rPr>
          <w:rFonts w:ascii="Arial" w:hAnsi="Arial" w:cs="Arial"/>
          <w:sz w:val="10"/>
          <w:szCs w:val="10"/>
          <w:lang w:val="es-ES"/>
        </w:rPr>
        <w:t>”</w:t>
      </w:r>
      <w:r w:rsidRPr="00AB6E09">
        <w:rPr>
          <w:rFonts w:ascii="Arial" w:hAnsi="Arial" w:cs="Arial"/>
          <w:sz w:val="10"/>
          <w:szCs w:val="10"/>
          <w:lang w:val="es-ES"/>
        </w:rPr>
        <w:t>.</w:t>
      </w:r>
    </w:p>
  </w:footnote>
  <w:footnote w:id="10">
    <w:p w14:paraId="30865749" w14:textId="77777777" w:rsidR="00A75309" w:rsidRPr="00AB6E09" w:rsidRDefault="00A75309" w:rsidP="000F66AA">
      <w:pPr>
        <w:pStyle w:val="Textonotapie"/>
        <w:jc w:val="both"/>
        <w:rPr>
          <w:rFonts w:ascii="Arial" w:hAnsi="Arial" w:cs="Arial"/>
          <w:sz w:val="10"/>
          <w:szCs w:val="10"/>
        </w:rPr>
      </w:pPr>
    </w:p>
    <w:p w14:paraId="2CCF5194" w14:textId="32720159"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La norma expresa: </w:t>
      </w:r>
      <w:r w:rsidR="001711BC" w:rsidRPr="00AB6E09">
        <w:rPr>
          <w:rFonts w:ascii="Arial" w:hAnsi="Arial" w:cs="Arial"/>
          <w:sz w:val="10"/>
          <w:szCs w:val="10"/>
          <w:lang w:val="es-ES"/>
        </w:rPr>
        <w:t>“</w:t>
      </w:r>
      <w:r w:rsidRPr="00AB6E09">
        <w:rPr>
          <w:rFonts w:ascii="Arial" w:hAnsi="Arial" w:cs="Arial"/>
          <w:sz w:val="10"/>
          <w:szCs w:val="10"/>
          <w:lang w:val="es-ES"/>
        </w:rPr>
        <w:t xml:space="preserve">Art. 14. </w:t>
      </w:r>
      <w:r w:rsidRPr="00AB6E09">
        <w:rPr>
          <w:rFonts w:ascii="Arial" w:hAnsi="Arial" w:cs="Arial"/>
          <w:sz w:val="10"/>
          <w:szCs w:val="10"/>
        </w:rPr>
        <w:t>P</w:t>
      </w:r>
      <w:r w:rsidRPr="00AB6E09">
        <w:rPr>
          <w:rFonts w:ascii="Arial" w:hAnsi="Arial" w:cs="Arial"/>
          <w:sz w:val="10"/>
          <w:szCs w:val="10"/>
          <w:lang w:val="es-ES"/>
        </w:rPr>
        <w:t>ara el cumplimiento de los fines de la contratación, las entidades estatales al celebrar un contrato:</w:t>
      </w:r>
    </w:p>
    <w:p w14:paraId="28796E3D" w14:textId="77777777"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w:t>
      </w:r>
    </w:p>
    <w:p w14:paraId="5586DAF9" w14:textId="77777777"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18B60DE" w14:textId="77777777" w:rsidR="00A75309" w:rsidRPr="00AB6E09" w:rsidRDefault="00A75309" w:rsidP="000F66AA">
      <w:pPr>
        <w:pStyle w:val="Textonotapie"/>
        <w:ind w:firstLine="709"/>
        <w:jc w:val="both"/>
        <w:rPr>
          <w:rFonts w:ascii="Arial" w:hAnsi="Arial" w:cs="Arial"/>
          <w:sz w:val="10"/>
          <w:szCs w:val="10"/>
          <w:lang w:val="es-ES"/>
        </w:rPr>
      </w:pPr>
    </w:p>
    <w:p w14:paraId="3EDF5BE0" w14:textId="5B8656F8"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lang w:val="es-ES"/>
        </w:rPr>
        <w:t xml:space="preserve">Las entidades estatales podrán pactar estas cláusulas en los contratos de suministro y de prestación de </w:t>
      </w:r>
      <w:proofErr w:type="gramStart"/>
      <w:r w:rsidRPr="00AB6E09">
        <w:rPr>
          <w:rFonts w:ascii="Arial" w:hAnsi="Arial" w:cs="Arial"/>
          <w:sz w:val="10"/>
          <w:szCs w:val="10"/>
          <w:lang w:val="es-ES"/>
        </w:rPr>
        <w:t>servicios.[</w:t>
      </w:r>
      <w:proofErr w:type="gramEnd"/>
      <w:r w:rsidRPr="00AB6E09">
        <w:rPr>
          <w:rFonts w:ascii="Arial" w:hAnsi="Arial" w:cs="Arial"/>
          <w:sz w:val="10"/>
          <w:szCs w:val="10"/>
          <w:lang w:val="es-ES"/>
        </w:rPr>
        <w:t>…]</w:t>
      </w:r>
      <w:r w:rsidR="001711BC" w:rsidRPr="00AB6E09">
        <w:rPr>
          <w:rFonts w:ascii="Arial" w:hAnsi="Arial" w:cs="Arial"/>
          <w:sz w:val="10"/>
          <w:szCs w:val="10"/>
          <w:lang w:val="es-ES"/>
        </w:rPr>
        <w:t>”</w:t>
      </w:r>
      <w:r w:rsidRPr="00AB6E09">
        <w:rPr>
          <w:rFonts w:ascii="Arial" w:hAnsi="Arial" w:cs="Arial"/>
          <w:sz w:val="10"/>
          <w:szCs w:val="10"/>
          <w:lang w:val="es-ES"/>
        </w:rPr>
        <w:t>.</w:t>
      </w:r>
    </w:p>
  </w:footnote>
  <w:footnote w:id="11">
    <w:p w14:paraId="16ABDA60" w14:textId="77777777" w:rsidR="001711BC" w:rsidRPr="00AB6E09" w:rsidRDefault="001711BC" w:rsidP="000F66AA">
      <w:pPr>
        <w:pStyle w:val="Textonotapie"/>
        <w:ind w:firstLine="709"/>
        <w:jc w:val="both"/>
        <w:rPr>
          <w:rFonts w:ascii="Arial" w:hAnsi="Arial" w:cs="Arial"/>
          <w:sz w:val="10"/>
          <w:szCs w:val="10"/>
        </w:rPr>
      </w:pPr>
    </w:p>
    <w:p w14:paraId="19D48575" w14:textId="200C99BC"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La norma dispone: </w:t>
      </w:r>
      <w:r w:rsidR="001711BC" w:rsidRPr="00AB6E09">
        <w:rPr>
          <w:rFonts w:ascii="Arial" w:hAnsi="Arial" w:cs="Arial"/>
          <w:sz w:val="10"/>
          <w:szCs w:val="10"/>
          <w:lang w:val="es-ES"/>
        </w:rPr>
        <w:t>“</w:t>
      </w:r>
      <w:r w:rsidRPr="00AB6E09">
        <w:rPr>
          <w:rFonts w:ascii="Arial" w:hAnsi="Arial" w:cs="Arial"/>
          <w:sz w:val="10"/>
          <w:szCs w:val="10"/>
          <w:lang w:val="es-ES"/>
        </w:rPr>
        <w:t>La liquidación a que se refiere el presente artículo no será obligatoria en los contratos de prestación de servicios profesionales y de apoyo a la gestión</w:t>
      </w:r>
      <w:r w:rsidR="001711BC" w:rsidRPr="00AB6E09">
        <w:rPr>
          <w:rFonts w:ascii="Arial" w:hAnsi="Arial" w:cs="Arial"/>
          <w:sz w:val="10"/>
          <w:szCs w:val="10"/>
          <w:lang w:val="es-ES"/>
        </w:rPr>
        <w:t>”</w:t>
      </w:r>
      <w:r w:rsidRPr="00AB6E09">
        <w:rPr>
          <w:rFonts w:ascii="Arial" w:hAnsi="Arial" w:cs="Arial"/>
          <w:sz w:val="10"/>
          <w:szCs w:val="10"/>
          <w:lang w:val="es-ES"/>
        </w:rPr>
        <w:t>.</w:t>
      </w:r>
    </w:p>
    <w:p w14:paraId="09108E42" w14:textId="77777777" w:rsidR="00A75309" w:rsidRPr="00AB6E09" w:rsidRDefault="00A75309" w:rsidP="000F66AA">
      <w:pPr>
        <w:pStyle w:val="Textonotapie"/>
        <w:ind w:firstLine="709"/>
        <w:jc w:val="both"/>
        <w:rPr>
          <w:rFonts w:ascii="Arial" w:hAnsi="Arial" w:cs="Arial"/>
          <w:sz w:val="10"/>
          <w:szCs w:val="10"/>
          <w:lang w:val="es-ES"/>
        </w:rPr>
      </w:pPr>
    </w:p>
  </w:footnote>
  <w:footnote w:id="12">
    <w:p w14:paraId="5B2E28A8" w14:textId="1E728C9A" w:rsidR="00A75309" w:rsidRPr="00AB6E09" w:rsidRDefault="00A75309" w:rsidP="000F66AA">
      <w:pPr>
        <w:pStyle w:val="Textonotapie"/>
        <w:ind w:firstLine="709"/>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Según dicho artículo: </w:t>
      </w:r>
      <w:r w:rsidR="001711BC" w:rsidRPr="00AB6E09">
        <w:rPr>
          <w:rFonts w:ascii="Arial" w:hAnsi="Arial" w:cs="Arial"/>
          <w:sz w:val="10"/>
          <w:szCs w:val="10"/>
        </w:rPr>
        <w:t>“</w:t>
      </w:r>
      <w:r w:rsidRPr="00AB6E09">
        <w:rPr>
          <w:rFonts w:ascii="Arial" w:hAnsi="Arial" w:cs="Arial"/>
          <w:sz w:val="10"/>
          <w:szCs w:val="10"/>
        </w:rPr>
        <w:t>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4DA9518" w14:textId="77777777" w:rsidR="00A75309" w:rsidRPr="00AB6E09" w:rsidRDefault="00A75309" w:rsidP="000F66AA">
      <w:pPr>
        <w:pStyle w:val="Textonotapie"/>
        <w:ind w:firstLine="709"/>
        <w:jc w:val="both"/>
        <w:rPr>
          <w:rFonts w:ascii="Arial" w:hAnsi="Arial" w:cs="Arial"/>
          <w:sz w:val="10"/>
          <w:szCs w:val="10"/>
        </w:rPr>
      </w:pPr>
    </w:p>
    <w:p w14:paraId="451EB1E4" w14:textId="504CD5B0" w:rsidR="00A75309" w:rsidRPr="00AB6E09" w:rsidRDefault="00A75309" w:rsidP="000F66AA">
      <w:pPr>
        <w:pStyle w:val="Textonotapie"/>
        <w:ind w:firstLine="709"/>
        <w:jc w:val="both"/>
        <w:rPr>
          <w:rFonts w:ascii="Arial" w:hAnsi="Arial" w:cs="Arial"/>
          <w:sz w:val="10"/>
          <w:szCs w:val="10"/>
          <w:lang w:val="es-ES"/>
        </w:rPr>
      </w:pPr>
      <w:r w:rsidRPr="00AB6E09">
        <w:rPr>
          <w:rFonts w:ascii="Arial" w:hAnsi="Arial" w:cs="Arial"/>
          <w:sz w:val="10"/>
          <w:szCs w:val="10"/>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w:t>
      </w:r>
      <w:proofErr w:type="gramStart"/>
      <w:r w:rsidRPr="00AB6E09">
        <w:rPr>
          <w:rFonts w:ascii="Arial" w:hAnsi="Arial" w:cs="Arial"/>
          <w:sz w:val="10"/>
          <w:szCs w:val="10"/>
        </w:rPr>
        <w:t>proponentes.[</w:t>
      </w:r>
      <w:proofErr w:type="gramEnd"/>
      <w:r w:rsidRPr="00AB6E09">
        <w:rPr>
          <w:rFonts w:ascii="Arial" w:hAnsi="Arial" w:cs="Arial"/>
          <w:sz w:val="10"/>
          <w:szCs w:val="10"/>
        </w:rPr>
        <w:t>…]</w:t>
      </w:r>
      <w:r w:rsidR="001711BC" w:rsidRPr="00AB6E09">
        <w:rPr>
          <w:rFonts w:ascii="Arial" w:hAnsi="Arial" w:cs="Arial"/>
          <w:sz w:val="10"/>
          <w:szCs w:val="10"/>
        </w:rPr>
        <w:t>”</w:t>
      </w:r>
      <w:r w:rsidRPr="00AB6E09">
        <w:rPr>
          <w:rFonts w:ascii="Arial" w:hAnsi="Arial" w:cs="Arial"/>
          <w:sz w:val="10"/>
          <w:szCs w:val="10"/>
        </w:rPr>
        <w:t>.</w:t>
      </w:r>
    </w:p>
  </w:footnote>
  <w:footnote w:id="13">
    <w:p w14:paraId="459B3EC9" w14:textId="77777777" w:rsidR="00A75309" w:rsidRPr="00AB6E09" w:rsidRDefault="00A75309" w:rsidP="000F66AA">
      <w:pPr>
        <w:pStyle w:val="Textonotapie"/>
        <w:ind w:firstLine="709"/>
        <w:jc w:val="both"/>
        <w:rPr>
          <w:rFonts w:ascii="Arial" w:hAnsi="Arial" w:cs="Arial"/>
          <w:sz w:val="10"/>
          <w:szCs w:val="10"/>
        </w:rPr>
      </w:pPr>
    </w:p>
    <w:p w14:paraId="6FC47F61" w14:textId="7A88E091" w:rsidR="00A75309" w:rsidRPr="00AB6E09" w:rsidRDefault="00A75309" w:rsidP="000F66AA">
      <w:pPr>
        <w:pStyle w:val="Textonotapie"/>
        <w:ind w:firstLine="709"/>
        <w:jc w:val="both"/>
        <w:rPr>
          <w:rFonts w:ascii="Arial" w:hAnsi="Arial" w:cs="Arial"/>
          <w:sz w:val="10"/>
          <w:szCs w:val="10"/>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Así lo establece el Decreto 1082 de 2015: </w:t>
      </w:r>
      <w:r w:rsidR="00DD2B75" w:rsidRPr="00AB6E09">
        <w:rPr>
          <w:rFonts w:ascii="Arial" w:hAnsi="Arial" w:cs="Arial"/>
          <w:sz w:val="10"/>
          <w:szCs w:val="10"/>
          <w:lang w:val="es-ES"/>
        </w:rPr>
        <w:t>“</w:t>
      </w:r>
      <w:r w:rsidRPr="00AB6E09">
        <w:rPr>
          <w:rFonts w:ascii="Arial" w:hAnsi="Arial" w:cs="Arial"/>
          <w:sz w:val="10"/>
          <w:szCs w:val="10"/>
          <w:lang w:val="es-ES"/>
        </w:rPr>
        <w:t>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r w:rsidR="00DD2B75" w:rsidRPr="00AB6E09">
        <w:rPr>
          <w:rFonts w:ascii="Arial" w:hAnsi="Arial" w:cs="Arial"/>
          <w:sz w:val="10"/>
          <w:szCs w:val="10"/>
          <w:lang w:val="es-ES"/>
        </w:rPr>
        <w:t>”</w:t>
      </w:r>
      <w:r w:rsidRPr="00AB6E09">
        <w:rPr>
          <w:rFonts w:ascii="Arial" w:hAnsi="Arial" w:cs="Arial"/>
          <w:sz w:val="10"/>
          <w:szCs w:val="10"/>
          <w:lang w:val="es-ES"/>
        </w:rPr>
        <w:t>.</w:t>
      </w:r>
    </w:p>
    <w:p w14:paraId="6057AEB0" w14:textId="77777777" w:rsidR="00A75309" w:rsidRPr="00AB6E09" w:rsidRDefault="00A75309" w:rsidP="000F66AA">
      <w:pPr>
        <w:pStyle w:val="Textonotapie"/>
        <w:ind w:firstLine="709"/>
        <w:jc w:val="both"/>
        <w:rPr>
          <w:rFonts w:ascii="Arial" w:hAnsi="Arial" w:cs="Arial"/>
          <w:sz w:val="10"/>
          <w:szCs w:val="10"/>
          <w:lang w:val="es-ES"/>
        </w:rPr>
      </w:pPr>
    </w:p>
  </w:footnote>
  <w:footnote w:id="14">
    <w:p w14:paraId="1ED578EC"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color w:val="000000" w:themeColor="text1"/>
          <w:sz w:val="10"/>
          <w:szCs w:val="10"/>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E8CA72F"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
    <w:p w14:paraId="74F6B1C7"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roofErr w:type="gramStart"/>
      <w:r w:rsidRPr="00AB6E09">
        <w:rPr>
          <w:rFonts w:ascii="Arial" w:hAnsi="Arial" w:cs="Arial"/>
          <w:color w:val="000000" w:themeColor="text1"/>
          <w:sz w:val="10"/>
          <w:szCs w:val="10"/>
          <w:lang w:val="es-ES"/>
        </w:rPr>
        <w:t>»Los</w:t>
      </w:r>
      <w:proofErr w:type="gramEnd"/>
      <w:r w:rsidRPr="00AB6E09">
        <w:rPr>
          <w:rFonts w:ascii="Arial" w:hAnsi="Arial" w:cs="Arial"/>
          <w:color w:val="000000" w:themeColor="text1"/>
          <w:sz w:val="10"/>
          <w:szCs w:val="10"/>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70F1B4D"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roofErr w:type="gramStart"/>
      <w:r w:rsidRPr="00AB6E09">
        <w:rPr>
          <w:rFonts w:ascii="Arial" w:hAnsi="Arial" w:cs="Arial"/>
          <w:color w:val="000000" w:themeColor="text1"/>
          <w:sz w:val="10"/>
          <w:szCs w:val="10"/>
          <w:lang w:val="es-ES"/>
        </w:rPr>
        <w:t>»La</w:t>
      </w:r>
      <w:proofErr w:type="gramEnd"/>
      <w:r w:rsidRPr="00AB6E09">
        <w:rPr>
          <w:rFonts w:ascii="Arial" w:hAnsi="Arial" w:cs="Arial"/>
          <w:color w:val="000000" w:themeColor="text1"/>
          <w:sz w:val="10"/>
          <w:szCs w:val="10"/>
          <w:lang w:val="es-ES"/>
        </w:rPr>
        <w:t xml:space="preserve"> Entidad Estatal, para la contratación de trabajos artísticos que solamente puedan en</w:t>
      </w:r>
      <w:r w:rsidRPr="00AB6E09">
        <w:rPr>
          <w:rFonts w:ascii="Arial" w:hAnsi="Arial" w:cs="Arial"/>
          <w:color w:val="000000" w:themeColor="text1"/>
          <w:sz w:val="10"/>
          <w:szCs w:val="10"/>
          <w:lang w:val="es-ES"/>
        </w:rPr>
        <w:softHyphen/>
        <w:t>comendarse a determinadas personas naturales, debe justificar esta situación en los estudios y documentos previos».</w:t>
      </w:r>
    </w:p>
    <w:p w14:paraId="59972420"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
  </w:footnote>
  <w:footnote w:id="15">
    <w:p w14:paraId="1651C096"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r w:rsidRPr="00AB6E09">
        <w:rPr>
          <w:rFonts w:ascii="Arial" w:hAnsi="Arial" w:cs="Arial"/>
          <w:color w:val="000000" w:themeColor="text1"/>
          <w:sz w:val="10"/>
          <w:szCs w:val="10"/>
          <w:lang w:val="es-ES"/>
        </w:rPr>
        <w:t xml:space="preserve">CONSEJO DE ESTADO. Sección Tercera. Subsección C. Sentencia de Unificación del 2 de diciembre de 2013. </w:t>
      </w:r>
      <w:proofErr w:type="spellStart"/>
      <w:r w:rsidRPr="00AB6E09">
        <w:rPr>
          <w:rFonts w:ascii="Arial" w:hAnsi="Arial" w:cs="Arial"/>
          <w:color w:val="000000" w:themeColor="text1"/>
          <w:sz w:val="10"/>
          <w:szCs w:val="10"/>
          <w:lang w:val="es-ES"/>
        </w:rPr>
        <w:t>Exp</w:t>
      </w:r>
      <w:proofErr w:type="spellEnd"/>
      <w:r w:rsidRPr="00AB6E09">
        <w:rPr>
          <w:rFonts w:ascii="Arial" w:hAnsi="Arial" w:cs="Arial"/>
          <w:color w:val="000000" w:themeColor="text1"/>
          <w:sz w:val="10"/>
          <w:szCs w:val="10"/>
          <w:lang w:val="es-ES"/>
        </w:rPr>
        <w:t>. 41.719. C.P. Jaime Orlando Santofimio Gamboa.</w:t>
      </w:r>
    </w:p>
    <w:p w14:paraId="5955EF9D"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
  </w:footnote>
  <w:footnote w:id="16">
    <w:p w14:paraId="50D651EB"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proofErr w:type="spellStart"/>
      <w:r w:rsidRPr="00AB6E09">
        <w:rPr>
          <w:rFonts w:ascii="Arial" w:hAnsi="Arial" w:cs="Arial"/>
          <w:i/>
          <w:iCs/>
          <w:color w:val="000000" w:themeColor="text1"/>
          <w:sz w:val="10"/>
          <w:szCs w:val="10"/>
          <w:lang w:val="es-ES"/>
        </w:rPr>
        <w:t>Ibíd</w:t>
      </w:r>
      <w:proofErr w:type="spellEnd"/>
      <w:r w:rsidRPr="00AB6E09">
        <w:rPr>
          <w:rFonts w:ascii="Arial" w:hAnsi="Arial" w:cs="Arial"/>
          <w:color w:val="000000" w:themeColor="text1"/>
          <w:sz w:val="10"/>
          <w:szCs w:val="10"/>
          <w:lang w:val="es-ES"/>
        </w:rPr>
        <w:t>.</w:t>
      </w:r>
    </w:p>
    <w:p w14:paraId="49119630"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
  </w:footnote>
  <w:footnote w:id="17">
    <w:p w14:paraId="42BB85E8"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r w:rsidRPr="00AB6E09">
        <w:rPr>
          <w:rStyle w:val="Refdenotaalpie"/>
          <w:rFonts w:ascii="Arial" w:hAnsi="Arial" w:cs="Arial"/>
          <w:color w:val="000000" w:themeColor="text1"/>
          <w:sz w:val="10"/>
          <w:szCs w:val="10"/>
        </w:rPr>
        <w:footnoteRef/>
      </w:r>
      <w:r w:rsidRPr="00AB6E09">
        <w:rPr>
          <w:rFonts w:ascii="Arial" w:hAnsi="Arial" w:cs="Arial"/>
          <w:color w:val="000000" w:themeColor="text1"/>
          <w:sz w:val="10"/>
          <w:szCs w:val="10"/>
        </w:rPr>
        <w:t xml:space="preserve"> </w:t>
      </w:r>
      <w:proofErr w:type="spellStart"/>
      <w:r w:rsidRPr="00AB6E09">
        <w:rPr>
          <w:rFonts w:ascii="Arial" w:hAnsi="Arial" w:cs="Arial"/>
          <w:i/>
          <w:iCs/>
          <w:color w:val="000000" w:themeColor="text1"/>
          <w:sz w:val="10"/>
          <w:szCs w:val="10"/>
          <w:lang w:val="es-ES"/>
        </w:rPr>
        <w:t>Ibíd</w:t>
      </w:r>
      <w:proofErr w:type="spellEnd"/>
      <w:r w:rsidRPr="00AB6E09">
        <w:rPr>
          <w:rFonts w:ascii="Arial" w:hAnsi="Arial" w:cs="Arial"/>
          <w:color w:val="000000" w:themeColor="text1"/>
          <w:sz w:val="10"/>
          <w:szCs w:val="10"/>
          <w:lang w:val="es-ES"/>
        </w:rPr>
        <w:t>.</w:t>
      </w:r>
    </w:p>
    <w:p w14:paraId="2F0CE049" w14:textId="77777777" w:rsidR="00A75309" w:rsidRPr="00AB6E09" w:rsidRDefault="00A75309" w:rsidP="000F66AA">
      <w:pPr>
        <w:pStyle w:val="Textonotapie"/>
        <w:ind w:firstLine="709"/>
        <w:jc w:val="both"/>
        <w:rPr>
          <w:rFonts w:ascii="Arial" w:hAnsi="Arial" w:cs="Arial"/>
          <w:color w:val="000000" w:themeColor="text1"/>
          <w:sz w:val="10"/>
          <w:szCs w:val="10"/>
          <w:lang w:val="es-ES"/>
        </w:rPr>
      </w:pPr>
    </w:p>
  </w:footnote>
  <w:footnote w:id="18">
    <w:p w14:paraId="0C3148DE" w14:textId="5B1A6DFB" w:rsidR="00A75309" w:rsidRPr="00AB6E09" w:rsidRDefault="00A75309" w:rsidP="00B2377D">
      <w:pPr>
        <w:spacing w:line="244" w:lineRule="auto"/>
        <w:ind w:left="120" w:firstLine="707"/>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position w:val="6"/>
          <w:sz w:val="10"/>
          <w:szCs w:val="10"/>
        </w:rPr>
        <w:t xml:space="preserve"> </w:t>
      </w:r>
      <w:r w:rsidRPr="00AB6E09">
        <w:rPr>
          <w:rFonts w:ascii="Arial" w:hAnsi="Arial" w:cs="Arial"/>
          <w:sz w:val="10"/>
          <w:szCs w:val="10"/>
        </w:rPr>
        <w:t>DEIK ACOSTAMADIEDO, Carolina, Guía de Contratación Estatal: Deber de planeación y modalidades de selección, Buenos Aires, 2015, p. 59.</w:t>
      </w:r>
    </w:p>
  </w:footnote>
  <w:footnote w:id="19">
    <w:p w14:paraId="59C5170E" w14:textId="77777777" w:rsidR="00A75309" w:rsidRPr="00AB6E09" w:rsidRDefault="00A75309" w:rsidP="000F66AA">
      <w:pPr>
        <w:pStyle w:val="Textonotapie"/>
        <w:ind w:firstLine="709"/>
        <w:jc w:val="both"/>
        <w:rPr>
          <w:rFonts w:ascii="Arial" w:hAnsi="Arial" w:cs="Arial"/>
          <w:sz w:val="10"/>
          <w:szCs w:val="10"/>
          <w:lang w:val="pt-BR"/>
        </w:rPr>
      </w:pPr>
      <w:r w:rsidRPr="00AB6E09">
        <w:rPr>
          <w:rFonts w:ascii="Arial" w:hAnsi="Arial" w:cs="Arial"/>
          <w:sz w:val="10"/>
          <w:szCs w:val="10"/>
          <w:lang w:val="pt-BR"/>
        </w:rPr>
        <w:t xml:space="preserve">   </w:t>
      </w:r>
      <w:r w:rsidRPr="00AB6E09">
        <w:rPr>
          <w:rStyle w:val="Refdenotaalpie"/>
          <w:rFonts w:ascii="Arial" w:hAnsi="Arial" w:cs="Arial"/>
          <w:sz w:val="10"/>
          <w:szCs w:val="10"/>
        </w:rPr>
        <w:footnoteRef/>
      </w:r>
      <w:r w:rsidRPr="00AB6E09">
        <w:rPr>
          <w:rFonts w:ascii="Arial" w:hAnsi="Arial" w:cs="Arial"/>
          <w:sz w:val="10"/>
          <w:szCs w:val="10"/>
          <w:lang w:val="pt-BR"/>
        </w:rPr>
        <w:t xml:space="preserve"> Tomado de </w:t>
      </w:r>
      <w:hyperlink r:id="rId1" w:history="1">
        <w:r w:rsidRPr="00AB6E09">
          <w:rPr>
            <w:rStyle w:val="Hipervnculo"/>
            <w:rFonts w:ascii="Arial" w:hAnsi="Arial" w:cs="Arial"/>
            <w:color w:val="44546A" w:themeColor="text2"/>
            <w:sz w:val="10"/>
            <w:szCs w:val="10"/>
            <w:lang w:val="pt-BR"/>
          </w:rPr>
          <w:t>https://sintesis.colombiacompra.gov.co/sintesis/9-etapa-precontractual-estudios-previos</w:t>
        </w:r>
      </w:hyperlink>
      <w:r w:rsidRPr="00AB6E09">
        <w:rPr>
          <w:rFonts w:ascii="Arial" w:hAnsi="Arial" w:cs="Arial"/>
          <w:sz w:val="10"/>
          <w:szCs w:val="10"/>
          <w:lang w:val="pt-BR"/>
        </w:rPr>
        <w:t>.</w:t>
      </w:r>
    </w:p>
    <w:p w14:paraId="79126CF1" w14:textId="77777777" w:rsidR="00A75309" w:rsidRPr="00AB6E09" w:rsidRDefault="00A75309" w:rsidP="000F66AA">
      <w:pPr>
        <w:pStyle w:val="Textonotapie"/>
        <w:ind w:left="142" w:firstLine="709"/>
        <w:jc w:val="both"/>
        <w:rPr>
          <w:rFonts w:ascii="Arial" w:hAnsi="Arial" w:cs="Arial"/>
          <w:sz w:val="10"/>
          <w:szCs w:val="10"/>
          <w:lang w:val="pt-BR"/>
        </w:rPr>
      </w:pPr>
    </w:p>
  </w:footnote>
  <w:footnote w:id="20">
    <w:p w14:paraId="52EA593A" w14:textId="77777777" w:rsidR="00A75309" w:rsidRPr="00AB6E09" w:rsidRDefault="00A75309" w:rsidP="00B2377D">
      <w:pPr>
        <w:pStyle w:val="Textoindependiente"/>
        <w:spacing w:after="0"/>
        <w:ind w:right="103" w:firstLine="709"/>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position w:val="6"/>
          <w:sz w:val="10"/>
          <w:szCs w:val="10"/>
        </w:rPr>
        <w:t xml:space="preserve"> </w:t>
      </w:r>
      <w:r w:rsidRPr="00AB6E09">
        <w:rPr>
          <w:rFonts w:ascii="Arial" w:hAnsi="Arial" w:cs="Arial"/>
          <w:sz w:val="10"/>
          <w:szCs w:val="10"/>
        </w:rPr>
        <w:t xml:space="preserve">«Artículo </w:t>
      </w:r>
      <w:bookmarkStart w:id="8" w:name="_Hlk54173885"/>
      <w:r w:rsidRPr="00AB6E09">
        <w:rPr>
          <w:rFonts w:ascii="Arial" w:hAnsi="Arial" w:cs="Arial"/>
          <w:sz w:val="10"/>
          <w:szCs w:val="10"/>
        </w:rPr>
        <w:t>2.2.1.1.2.1.1</w:t>
      </w:r>
      <w:bookmarkEnd w:id="8"/>
      <w:r w:rsidRPr="00AB6E09">
        <w:rPr>
          <w:rFonts w:ascii="Arial" w:hAnsi="Arial" w:cs="Arial"/>
          <w:sz w:val="10"/>
          <w:szCs w:val="10"/>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036DF3B2" w14:textId="77777777" w:rsidR="00A75309" w:rsidRPr="00AB6E09" w:rsidRDefault="00A75309" w:rsidP="00B2377D">
      <w:pPr>
        <w:pStyle w:val="Textonotapie"/>
        <w:ind w:firstLine="709"/>
        <w:jc w:val="both"/>
        <w:rPr>
          <w:rFonts w:ascii="Arial" w:hAnsi="Arial" w:cs="Arial"/>
          <w:sz w:val="10"/>
          <w:szCs w:val="10"/>
        </w:rPr>
      </w:pPr>
    </w:p>
  </w:footnote>
  <w:footnote w:id="21">
    <w:p w14:paraId="2C2A9D2D" w14:textId="77777777" w:rsidR="00A75309" w:rsidRPr="00AB6E09" w:rsidRDefault="00A75309" w:rsidP="00B2377D">
      <w:pPr>
        <w:pStyle w:val="Textoindependiente"/>
        <w:spacing w:after="0"/>
        <w:ind w:right="108" w:firstLine="708"/>
        <w:jc w:val="both"/>
        <w:rPr>
          <w:rFonts w:ascii="Arial" w:hAnsi="Arial" w:cs="Arial"/>
          <w:sz w:val="10"/>
          <w:szCs w:val="10"/>
        </w:rPr>
      </w:pPr>
      <w:r w:rsidRPr="00AB6E09">
        <w:rPr>
          <w:rStyle w:val="Refdenotaalpie"/>
          <w:rFonts w:ascii="Arial" w:hAnsi="Arial" w:cs="Arial"/>
          <w:sz w:val="10"/>
          <w:szCs w:val="10"/>
        </w:rPr>
        <w:footnoteRef/>
      </w:r>
      <w:r w:rsidRPr="00AB6E09">
        <w:rPr>
          <w:rFonts w:ascii="Arial" w:hAnsi="Arial" w:cs="Arial"/>
          <w:sz w:val="10"/>
          <w:szCs w:val="10"/>
        </w:rPr>
        <w:t xml:space="preserve"> Consejo de Estado, Sala de lo Contencioso Administrativo. Sección Tercera, Subsección B, 31 de agosto de 2011, </w:t>
      </w:r>
      <w:proofErr w:type="spellStart"/>
      <w:r w:rsidRPr="00AB6E09">
        <w:rPr>
          <w:rFonts w:ascii="Arial" w:hAnsi="Arial" w:cs="Arial"/>
          <w:sz w:val="10"/>
          <w:szCs w:val="10"/>
        </w:rPr>
        <w:t>exp</w:t>
      </w:r>
      <w:proofErr w:type="spellEnd"/>
      <w:r w:rsidRPr="00AB6E09">
        <w:rPr>
          <w:rFonts w:ascii="Arial" w:hAnsi="Arial" w:cs="Arial"/>
          <w:sz w:val="10"/>
          <w:szCs w:val="10"/>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79DC92F2" w14:textId="77777777" w:rsidR="00A75309" w:rsidRPr="00AB6E09" w:rsidRDefault="00A75309" w:rsidP="000F66AA">
      <w:pPr>
        <w:pStyle w:val="Textonotapie"/>
        <w:jc w:val="both"/>
        <w:rPr>
          <w:rFonts w:ascii="Arial" w:hAnsi="Arial" w:cs="Arial"/>
          <w:sz w:val="10"/>
          <w:szCs w:val="10"/>
        </w:rPr>
      </w:pPr>
    </w:p>
  </w:footnote>
  <w:footnote w:id="22">
    <w:p w14:paraId="1DFE58AF" w14:textId="77777777" w:rsidR="00A75309" w:rsidRPr="0044297A" w:rsidRDefault="00A75309" w:rsidP="000F66AA">
      <w:pPr>
        <w:pStyle w:val="Textonotapie"/>
        <w:ind w:firstLine="708"/>
        <w:jc w:val="both"/>
        <w:rPr>
          <w:rFonts w:ascii="Arial" w:hAnsi="Arial" w:cs="Arial"/>
          <w:sz w:val="19"/>
          <w:szCs w:val="19"/>
          <w:lang w:val="es-ES"/>
        </w:rPr>
      </w:pPr>
      <w:r w:rsidRPr="00AB6E09">
        <w:rPr>
          <w:rStyle w:val="Refdenotaalpie"/>
          <w:rFonts w:ascii="Arial" w:hAnsi="Arial" w:cs="Arial"/>
          <w:sz w:val="10"/>
          <w:szCs w:val="10"/>
        </w:rPr>
        <w:footnoteRef/>
      </w:r>
      <w:r w:rsidRPr="00AB6E09">
        <w:rPr>
          <w:rFonts w:ascii="Arial" w:hAnsi="Arial" w:cs="Arial"/>
          <w:sz w:val="10"/>
          <w:szCs w:val="10"/>
        </w:rPr>
        <w:t xml:space="preserve"> </w:t>
      </w:r>
      <w:r w:rsidRPr="00AB6E09">
        <w:rPr>
          <w:rFonts w:ascii="Arial" w:hAnsi="Arial" w:cs="Arial"/>
          <w:sz w:val="10"/>
          <w:szCs w:val="10"/>
          <w:lang w:val="es-ES"/>
        </w:rPr>
        <w:t xml:space="preserve">La </w:t>
      </w:r>
      <w:r w:rsidRPr="00AB6E09">
        <w:rPr>
          <w:rFonts w:ascii="Arial" w:eastAsia="Calibri" w:hAnsi="Arial" w:cs="Arial"/>
          <w:bCs/>
          <w:sz w:val="10"/>
          <w:szCs w:val="10"/>
          <w:lang w:val="es-ES_tradnl"/>
        </w:rPr>
        <w:t xml:space="preserve">«Guía para la Elaboración de Estudios del Sector» puede ser consultada en el siguiente </w:t>
      </w:r>
      <w:proofErr w:type="gramStart"/>
      <w:r w:rsidRPr="00AB6E09">
        <w:rPr>
          <w:rFonts w:ascii="Arial" w:eastAsia="Calibri" w:hAnsi="Arial" w:cs="Arial"/>
          <w:bCs/>
          <w:sz w:val="10"/>
          <w:szCs w:val="10"/>
          <w:lang w:val="es-ES_tradnl"/>
        </w:rPr>
        <w:t>link</w:t>
      </w:r>
      <w:proofErr w:type="gramEnd"/>
      <w:r w:rsidRPr="00AB6E09">
        <w:rPr>
          <w:rFonts w:ascii="Arial" w:eastAsia="Calibri" w:hAnsi="Arial" w:cs="Arial"/>
          <w:bCs/>
          <w:sz w:val="10"/>
          <w:szCs w:val="10"/>
          <w:lang w:val="es-ES_tradnl"/>
        </w:rPr>
        <w:t>:</w:t>
      </w:r>
      <w:r w:rsidRPr="00AB6E09">
        <w:rPr>
          <w:rFonts w:ascii="Arial" w:hAnsi="Arial" w:cs="Arial"/>
          <w:sz w:val="10"/>
          <w:szCs w:val="10"/>
          <w:lang w:val="es-ES"/>
        </w:rPr>
        <w:t xml:space="preserve"> https://www.colombiacompra.gov.co/sites/cce_public/files/cce_documentos/cce-eicp-gi-18._gees_v.2_2.pdf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D43CA"/>
    <w:rsid w:val="000F5E3A"/>
    <w:rsid w:val="000F66AA"/>
    <w:rsid w:val="001129B7"/>
    <w:rsid w:val="0011595A"/>
    <w:rsid w:val="001220C5"/>
    <w:rsid w:val="001267F7"/>
    <w:rsid w:val="00127233"/>
    <w:rsid w:val="00130999"/>
    <w:rsid w:val="00164D81"/>
    <w:rsid w:val="001711BC"/>
    <w:rsid w:val="001A1011"/>
    <w:rsid w:val="001A48D0"/>
    <w:rsid w:val="00231D7F"/>
    <w:rsid w:val="002653C1"/>
    <w:rsid w:val="0026611D"/>
    <w:rsid w:val="002951A0"/>
    <w:rsid w:val="002A64FD"/>
    <w:rsid w:val="002F0839"/>
    <w:rsid w:val="00301469"/>
    <w:rsid w:val="00306EE1"/>
    <w:rsid w:val="00310B9B"/>
    <w:rsid w:val="00362FD6"/>
    <w:rsid w:val="0036461C"/>
    <w:rsid w:val="00367884"/>
    <w:rsid w:val="0039439C"/>
    <w:rsid w:val="003B69E7"/>
    <w:rsid w:val="003C013B"/>
    <w:rsid w:val="003D0F4D"/>
    <w:rsid w:val="003F58A1"/>
    <w:rsid w:val="00407F76"/>
    <w:rsid w:val="00410DD6"/>
    <w:rsid w:val="004134C9"/>
    <w:rsid w:val="0043138C"/>
    <w:rsid w:val="0046187E"/>
    <w:rsid w:val="00462A59"/>
    <w:rsid w:val="004720D2"/>
    <w:rsid w:val="004A1847"/>
    <w:rsid w:val="004B6B0E"/>
    <w:rsid w:val="004D25B3"/>
    <w:rsid w:val="005002FD"/>
    <w:rsid w:val="00511405"/>
    <w:rsid w:val="00526E9D"/>
    <w:rsid w:val="00547856"/>
    <w:rsid w:val="00547A74"/>
    <w:rsid w:val="005566E8"/>
    <w:rsid w:val="005746AB"/>
    <w:rsid w:val="0059357F"/>
    <w:rsid w:val="005A1130"/>
    <w:rsid w:val="005D65C8"/>
    <w:rsid w:val="006219F8"/>
    <w:rsid w:val="0064749F"/>
    <w:rsid w:val="00681FDB"/>
    <w:rsid w:val="006A7DAD"/>
    <w:rsid w:val="006D70BA"/>
    <w:rsid w:val="006D7DD5"/>
    <w:rsid w:val="007566FE"/>
    <w:rsid w:val="0076726F"/>
    <w:rsid w:val="0077144B"/>
    <w:rsid w:val="00793403"/>
    <w:rsid w:val="007C0CDF"/>
    <w:rsid w:val="007D22E1"/>
    <w:rsid w:val="007E2A2F"/>
    <w:rsid w:val="007E4BC1"/>
    <w:rsid w:val="007F2B7C"/>
    <w:rsid w:val="00811651"/>
    <w:rsid w:val="00820F5B"/>
    <w:rsid w:val="00833452"/>
    <w:rsid w:val="0084409F"/>
    <w:rsid w:val="008614E5"/>
    <w:rsid w:val="008678EB"/>
    <w:rsid w:val="00875894"/>
    <w:rsid w:val="00881C10"/>
    <w:rsid w:val="00890411"/>
    <w:rsid w:val="00892F2D"/>
    <w:rsid w:val="008D5C70"/>
    <w:rsid w:val="008F7ADB"/>
    <w:rsid w:val="009025AF"/>
    <w:rsid w:val="00904F23"/>
    <w:rsid w:val="00906B3C"/>
    <w:rsid w:val="0095342C"/>
    <w:rsid w:val="009F33F2"/>
    <w:rsid w:val="009F6C77"/>
    <w:rsid w:val="00A07532"/>
    <w:rsid w:val="00A1085C"/>
    <w:rsid w:val="00A309E2"/>
    <w:rsid w:val="00A37A6C"/>
    <w:rsid w:val="00A52F7C"/>
    <w:rsid w:val="00A75309"/>
    <w:rsid w:val="00A8066E"/>
    <w:rsid w:val="00AA4B8A"/>
    <w:rsid w:val="00AA6BF7"/>
    <w:rsid w:val="00AB6E09"/>
    <w:rsid w:val="00AD657A"/>
    <w:rsid w:val="00B01ED6"/>
    <w:rsid w:val="00B06D09"/>
    <w:rsid w:val="00B2049D"/>
    <w:rsid w:val="00B2377D"/>
    <w:rsid w:val="00B771A9"/>
    <w:rsid w:val="00B809BB"/>
    <w:rsid w:val="00B8248A"/>
    <w:rsid w:val="00BB3609"/>
    <w:rsid w:val="00BB7726"/>
    <w:rsid w:val="00C2329E"/>
    <w:rsid w:val="00C30461"/>
    <w:rsid w:val="00C754BE"/>
    <w:rsid w:val="00C87572"/>
    <w:rsid w:val="00C9405D"/>
    <w:rsid w:val="00CC1B26"/>
    <w:rsid w:val="00CD0219"/>
    <w:rsid w:val="00CD284F"/>
    <w:rsid w:val="00CF23AA"/>
    <w:rsid w:val="00D00E12"/>
    <w:rsid w:val="00D01921"/>
    <w:rsid w:val="00D07833"/>
    <w:rsid w:val="00D752B7"/>
    <w:rsid w:val="00D91F03"/>
    <w:rsid w:val="00DA1854"/>
    <w:rsid w:val="00DB0887"/>
    <w:rsid w:val="00DD2B75"/>
    <w:rsid w:val="00DE428A"/>
    <w:rsid w:val="00DF1E43"/>
    <w:rsid w:val="00E20894"/>
    <w:rsid w:val="00E26B7C"/>
    <w:rsid w:val="00E35534"/>
    <w:rsid w:val="00E4064B"/>
    <w:rsid w:val="00E9151C"/>
    <w:rsid w:val="00EA3003"/>
    <w:rsid w:val="00EB3C91"/>
    <w:rsid w:val="00EB54FC"/>
    <w:rsid w:val="00EB66DA"/>
    <w:rsid w:val="00F42778"/>
    <w:rsid w:val="00F605F2"/>
    <w:rsid w:val="00F76AFC"/>
    <w:rsid w:val="00F8319B"/>
    <w:rsid w:val="00FA5516"/>
    <w:rsid w:val="00FD6F73"/>
    <w:rsid w:val="00FE5BED"/>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semiHidden/>
    <w:unhideWhenUsed/>
    <w:rsid w:val="00A75309"/>
    <w:pPr>
      <w:spacing w:after="120"/>
    </w:pPr>
  </w:style>
  <w:style w:type="character" w:customStyle="1" w:styleId="TextoindependienteCar">
    <w:name w:val="Texto independiente Car"/>
    <w:basedOn w:val="Fuentedeprrafopredeter"/>
    <w:link w:val="Textoindependiente"/>
    <w:uiPriority w:val="99"/>
    <w:semiHidden/>
    <w:rsid w:val="00A75309"/>
  </w:style>
  <w:style w:type="table" w:customStyle="1" w:styleId="Tablaconcuadrcula1">
    <w:name w:val="Tabla con cuadrícula1"/>
    <w:basedOn w:val="Tablanormal"/>
    <w:next w:val="Tablaconcuadrcula"/>
    <w:uiPriority w:val="39"/>
    <w:rsid w:val="00A753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A75309"/>
    <w:pPr>
      <w:spacing w:line="240" w:lineRule="exact"/>
      <w:jc w:val="both"/>
    </w:pPr>
    <w:rPr>
      <w:vertAlign w:val="superscript"/>
    </w:rPr>
  </w:style>
  <w:style w:type="table" w:customStyle="1" w:styleId="Tablaconcuadrcula11">
    <w:name w:val="Tabla con cuadrícula11"/>
    <w:basedOn w:val="Tablanormal"/>
    <w:next w:val="Tablaconcuadrcula"/>
    <w:uiPriority w:val="39"/>
    <w:rsid w:val="00A7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75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antotaitiv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http://schemas.microsoft.com/office/2006/documentManagement/types"/>
    <ds:schemaRef ds:uri="http://purl.org/dc/dcmitype/"/>
    <ds:schemaRef ds:uri="http://purl.org/dc/terms/"/>
    <ds:schemaRef ds:uri="a6cb9e4b-f1d1-4245-83ec-6cad768d538a"/>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142AFAE-AD76-4639-90B3-ED3368CD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5374</Words>
  <Characters>29560</Characters>
  <Application>Microsoft Office Word</Application>
  <DocSecurity>0</DocSecurity>
  <Lines>246</Lines>
  <Paragraphs>69</Paragraphs>
  <ScaleCrop>false</ScaleCrop>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2</cp:revision>
  <dcterms:created xsi:type="dcterms:W3CDTF">2023-05-04T19:33:00Z</dcterms:created>
  <dcterms:modified xsi:type="dcterms:W3CDTF">2023-05-04T19:33:00Z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