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2676D1" w:rsidRDefault="00E05AA3" w:rsidP="00C31586">
      <w:pPr>
        <w:ind w:left="708" w:hanging="708"/>
        <w:jc w:val="right"/>
        <w:rPr>
          <w:rFonts w:ascii="Arial" w:hAnsi="Arial" w:cs="Arial"/>
          <w:bCs/>
          <w:color w:val="000000" w:themeColor="text1"/>
          <w:sz w:val="16"/>
          <w:szCs w:val="16"/>
          <w:lang w:val="es-ES" w:eastAsia="es-ES"/>
        </w:rPr>
      </w:pPr>
      <w:bookmarkStart w:id="0" w:name="_Hlk28946138"/>
      <w:bookmarkStart w:id="1" w:name="_Hlk29548183"/>
    </w:p>
    <w:p w14:paraId="78F9963B" w14:textId="77777777" w:rsidR="00E05AA3" w:rsidRPr="002676D1" w:rsidRDefault="00E05AA3" w:rsidP="008536BB">
      <w:pPr>
        <w:jc w:val="right"/>
        <w:rPr>
          <w:rFonts w:ascii="Arial" w:hAnsi="Arial" w:cs="Arial"/>
          <w:bCs/>
          <w:color w:val="000000" w:themeColor="text1"/>
          <w:sz w:val="16"/>
          <w:szCs w:val="16"/>
          <w:lang w:val="es-ES" w:eastAsia="es-ES"/>
        </w:rPr>
      </w:pPr>
    </w:p>
    <w:p w14:paraId="22EB5D01" w14:textId="6B06C6CE" w:rsidR="006B3EB4" w:rsidRPr="00433AE3" w:rsidRDefault="00B55C69" w:rsidP="006B3EB4">
      <w:pPr>
        <w:jc w:val="right"/>
        <w:rPr>
          <w:rFonts w:ascii="Arial" w:eastAsia="Calibri" w:hAnsi="Arial" w:cs="Arial"/>
          <w:b/>
          <w:color w:val="000000" w:themeColor="text1"/>
          <w:sz w:val="22"/>
          <w:szCs w:val="22"/>
          <w:lang w:val="es-ES"/>
        </w:rPr>
      </w:pPr>
      <w:r w:rsidRPr="00433AE3">
        <w:rPr>
          <w:rFonts w:ascii="Arial" w:hAnsi="Arial" w:cs="Arial"/>
          <w:b/>
          <w:color w:val="000000" w:themeColor="text1"/>
          <w:sz w:val="22"/>
          <w:szCs w:val="22"/>
          <w:lang w:val="es-ES" w:eastAsia="es-ES"/>
        </w:rPr>
        <w:t>CCE-DES-FM-17</w:t>
      </w:r>
      <w:bookmarkEnd w:id="0"/>
      <w:bookmarkEnd w:id="1"/>
    </w:p>
    <w:p w14:paraId="5ADE658A" w14:textId="77777777" w:rsidR="00D31AA2" w:rsidRPr="00433AE3" w:rsidRDefault="00D31AA2" w:rsidP="00D31AA2">
      <w:pPr>
        <w:jc w:val="both"/>
        <w:rPr>
          <w:rFonts w:ascii="Arial" w:eastAsia="Calibri" w:hAnsi="Arial" w:cs="Arial"/>
          <w:b/>
          <w:color w:val="000000" w:themeColor="text1"/>
          <w:sz w:val="22"/>
          <w:szCs w:val="22"/>
          <w:lang w:val="es-ES"/>
        </w:rPr>
      </w:pPr>
    </w:p>
    <w:p w14:paraId="2CB26A7E" w14:textId="62B46BF3" w:rsidR="00D31AA2" w:rsidRDefault="00433AE3" w:rsidP="00014FD5">
      <w:pPr>
        <w:jc w:val="both"/>
        <w:rPr>
          <w:rFonts w:ascii="Arial" w:eastAsia="Calibri" w:hAnsi="Arial" w:cs="Arial"/>
          <w:b/>
          <w:color w:val="000000" w:themeColor="text1"/>
          <w:sz w:val="22"/>
          <w:szCs w:val="22"/>
          <w:lang w:val="es-ES"/>
        </w:rPr>
      </w:pPr>
      <w:r w:rsidRPr="00433AE3">
        <w:rPr>
          <w:rFonts w:ascii="Arial" w:eastAsia="Calibri" w:hAnsi="Arial" w:cs="Arial"/>
          <w:b/>
          <w:color w:val="000000" w:themeColor="text1"/>
          <w:sz w:val="22"/>
          <w:szCs w:val="22"/>
          <w:lang w:val="es-ES"/>
        </w:rPr>
        <w:t xml:space="preserve">LEY DE GARANTÍAS ELECTORALES </w:t>
      </w:r>
      <w:r w:rsidR="002E596C">
        <w:rPr>
          <w:rFonts w:ascii="Arial" w:eastAsia="Calibri" w:hAnsi="Arial" w:cs="Arial"/>
          <w:b/>
          <w:color w:val="000000" w:themeColor="text1"/>
          <w:sz w:val="22"/>
          <w:szCs w:val="22"/>
          <w:lang w:val="es-ES"/>
        </w:rPr>
        <w:t>– Alcance – Restricciones – Contratación pública</w:t>
      </w:r>
    </w:p>
    <w:p w14:paraId="611D61CE" w14:textId="77777777" w:rsidR="002E596C" w:rsidRDefault="002E596C" w:rsidP="00014FD5">
      <w:pPr>
        <w:jc w:val="both"/>
        <w:rPr>
          <w:rFonts w:ascii="Arial" w:eastAsia="Calibri" w:hAnsi="Arial" w:cs="Arial"/>
          <w:b/>
          <w:color w:val="000000" w:themeColor="text1"/>
          <w:sz w:val="22"/>
          <w:szCs w:val="22"/>
          <w:lang w:val="es-ES"/>
        </w:rPr>
      </w:pPr>
    </w:p>
    <w:p w14:paraId="69CBB546" w14:textId="498FBAD8" w:rsidR="002E596C" w:rsidRPr="002E596C" w:rsidRDefault="002E596C" w:rsidP="002E596C">
      <w:pPr>
        <w:jc w:val="both"/>
        <w:rPr>
          <w:rFonts w:ascii="Arial" w:eastAsia="Calibri" w:hAnsi="Arial" w:cs="Arial"/>
          <w:bCs/>
          <w:color w:val="000000" w:themeColor="text1"/>
          <w:sz w:val="20"/>
          <w:szCs w:val="20"/>
          <w:lang w:val="es-ES"/>
        </w:rPr>
      </w:pPr>
      <w:r w:rsidRPr="002E596C">
        <w:rPr>
          <w:rFonts w:ascii="Arial" w:eastAsia="Calibri" w:hAnsi="Arial" w:cs="Arial"/>
          <w:bCs/>
          <w:color w:val="000000" w:themeColor="text1"/>
          <w:sz w:val="20"/>
          <w:szCs w:val="20"/>
          <w:lang w:val="es-ES"/>
        </w:rPr>
        <w:t>[…]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p>
    <w:p w14:paraId="29FFC643" w14:textId="77777777" w:rsidR="002E596C" w:rsidRPr="002E596C" w:rsidRDefault="002E596C" w:rsidP="002E596C">
      <w:pPr>
        <w:jc w:val="both"/>
        <w:rPr>
          <w:rFonts w:ascii="Arial" w:eastAsia="Calibri" w:hAnsi="Arial" w:cs="Arial"/>
          <w:bCs/>
          <w:color w:val="000000" w:themeColor="text1"/>
          <w:sz w:val="20"/>
          <w:szCs w:val="20"/>
          <w:lang w:val="es-ES"/>
        </w:rPr>
      </w:pPr>
    </w:p>
    <w:p w14:paraId="001B1E1A" w14:textId="26DA151D" w:rsidR="00433AE3" w:rsidRDefault="002E596C" w:rsidP="002E596C">
      <w:pPr>
        <w:jc w:val="both"/>
        <w:rPr>
          <w:rFonts w:ascii="Arial" w:eastAsia="Calibri" w:hAnsi="Arial" w:cs="Arial"/>
          <w:b/>
          <w:color w:val="000000" w:themeColor="text1"/>
          <w:sz w:val="22"/>
          <w:szCs w:val="22"/>
          <w:lang w:val="es-ES"/>
        </w:rPr>
      </w:pPr>
      <w:r w:rsidRPr="002E596C">
        <w:rPr>
          <w:rFonts w:ascii="Arial" w:eastAsia="Calibri" w:hAnsi="Arial" w:cs="Arial"/>
          <w:bCs/>
          <w:color w:val="000000" w:themeColor="text1"/>
          <w:sz w:val="20"/>
          <w:szCs w:val="20"/>
          <w:lang w:val="es-ES"/>
        </w:rPr>
        <w:t>Por su parte, el parágrafo del artículo 38 de la Ley 996 de 2005 establece una restricción, aplicable respecto de cualquier tipo de elección,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E596C">
        <w:rPr>
          <w:rFonts w:ascii="Arial" w:eastAsia="Calibri" w:hAnsi="Arial" w:cs="Arial"/>
          <w:b/>
          <w:color w:val="000000" w:themeColor="text1"/>
          <w:sz w:val="22"/>
          <w:szCs w:val="22"/>
          <w:lang w:val="es-ES"/>
        </w:rPr>
        <w:t xml:space="preserve"> .</w:t>
      </w:r>
    </w:p>
    <w:p w14:paraId="1768CA16" w14:textId="77777777" w:rsidR="002E596C" w:rsidRDefault="002E596C" w:rsidP="002E596C">
      <w:pPr>
        <w:jc w:val="both"/>
        <w:rPr>
          <w:rFonts w:ascii="Arial" w:eastAsia="Calibri" w:hAnsi="Arial" w:cs="Arial"/>
          <w:b/>
          <w:color w:val="000000" w:themeColor="text1"/>
          <w:sz w:val="22"/>
          <w:szCs w:val="22"/>
          <w:lang w:val="es-ES"/>
        </w:rPr>
      </w:pPr>
    </w:p>
    <w:p w14:paraId="4CF6407F" w14:textId="5AB2E552" w:rsidR="00EC30E7" w:rsidRPr="002676D1" w:rsidRDefault="002E596C" w:rsidP="00014FD5">
      <w:pPr>
        <w:jc w:val="both"/>
        <w:rPr>
          <w:rFonts w:ascii="Arial" w:eastAsia="Calibri" w:hAnsi="Arial" w:cs="Arial"/>
          <w:b/>
          <w:color w:val="000000" w:themeColor="text1"/>
          <w:sz w:val="20"/>
          <w:szCs w:val="20"/>
          <w:lang w:val="es-ES"/>
        </w:rPr>
      </w:pPr>
      <w:r>
        <w:rPr>
          <w:rFonts w:ascii="Arial" w:eastAsia="Calibri" w:hAnsi="Arial" w:cs="Arial"/>
          <w:b/>
          <w:color w:val="000000" w:themeColor="text1"/>
          <w:sz w:val="22"/>
          <w:szCs w:val="22"/>
          <w:lang w:val="es-ES"/>
        </w:rPr>
        <w:t>CONTRATOS DE COLABORACIÓN</w:t>
      </w:r>
      <w:r w:rsidR="00433AE3" w:rsidRPr="00433AE3">
        <w:rPr>
          <w:rFonts w:ascii="Arial" w:eastAsia="Calibri" w:hAnsi="Arial" w:cs="Arial"/>
          <w:b/>
          <w:color w:val="000000" w:themeColor="text1"/>
          <w:sz w:val="22"/>
          <w:szCs w:val="22"/>
          <w:lang w:val="es-ES"/>
        </w:rPr>
        <w:t xml:space="preserve"> –</w:t>
      </w:r>
      <w:r>
        <w:rPr>
          <w:rFonts w:ascii="Arial" w:eastAsia="Calibri" w:hAnsi="Arial" w:cs="Arial"/>
          <w:b/>
          <w:color w:val="000000" w:themeColor="text1"/>
          <w:sz w:val="22"/>
          <w:szCs w:val="22"/>
          <w:lang w:val="es-ES"/>
        </w:rPr>
        <w:t xml:space="preserve"> ESAL </w:t>
      </w:r>
      <w:r w:rsidRPr="002E596C">
        <w:rPr>
          <w:rFonts w:ascii="Arial" w:eastAsia="Calibri" w:hAnsi="Arial" w:cs="Arial"/>
          <w:b/>
          <w:bCs/>
          <w:color w:val="000000" w:themeColor="text1"/>
          <w:sz w:val="22"/>
          <w:szCs w:val="22"/>
          <w:lang w:val="es-ES"/>
        </w:rPr>
        <w:t>–</w:t>
      </w:r>
      <w:r>
        <w:rPr>
          <w:rFonts w:ascii="Arial" w:eastAsia="Calibri" w:hAnsi="Arial" w:cs="Arial"/>
          <w:b/>
          <w:bCs/>
          <w:color w:val="000000" w:themeColor="text1"/>
          <w:sz w:val="22"/>
          <w:szCs w:val="22"/>
          <w:lang w:val="es-ES"/>
        </w:rPr>
        <w:t xml:space="preserve"> </w:t>
      </w:r>
      <w:r>
        <w:rPr>
          <w:rFonts w:ascii="Arial" w:eastAsia="Calibri" w:hAnsi="Arial" w:cs="Arial"/>
          <w:b/>
          <w:color w:val="000000" w:themeColor="text1"/>
          <w:sz w:val="22"/>
          <w:szCs w:val="22"/>
          <w:lang w:val="es-ES"/>
        </w:rPr>
        <w:t xml:space="preserve">Objeto </w:t>
      </w:r>
      <w:r w:rsidR="00433AE3" w:rsidRPr="00433AE3">
        <w:rPr>
          <w:rFonts w:ascii="Arial" w:eastAsia="Calibri" w:hAnsi="Arial" w:cs="Arial"/>
          <w:b/>
          <w:color w:val="000000" w:themeColor="text1"/>
          <w:sz w:val="22"/>
          <w:szCs w:val="22"/>
          <w:lang w:val="es-ES"/>
        </w:rPr>
        <w:t xml:space="preserve"> </w:t>
      </w:r>
    </w:p>
    <w:p w14:paraId="688C490D" w14:textId="77777777" w:rsidR="006B3EB4" w:rsidRPr="002676D1" w:rsidRDefault="006B3EB4" w:rsidP="00014FD5">
      <w:pPr>
        <w:ind w:left="709" w:right="709"/>
        <w:jc w:val="both"/>
        <w:rPr>
          <w:rFonts w:ascii="Arial" w:eastAsia="Calibri" w:hAnsi="Arial" w:cs="Arial"/>
          <w:color w:val="000000" w:themeColor="text1"/>
          <w:sz w:val="20"/>
          <w:szCs w:val="20"/>
          <w:lang w:val="es-ES"/>
        </w:rPr>
      </w:pPr>
    </w:p>
    <w:p w14:paraId="3978358B" w14:textId="38EF8C89" w:rsidR="00000E8E" w:rsidRDefault="002E596C" w:rsidP="00340A15">
      <w:pPr>
        <w:jc w:val="both"/>
        <w:rPr>
          <w:rFonts w:ascii="Arial" w:eastAsia="Calibri" w:hAnsi="Arial" w:cs="Arial"/>
          <w:color w:val="000000" w:themeColor="text1"/>
          <w:sz w:val="20"/>
          <w:szCs w:val="20"/>
          <w:lang w:val="es-ES"/>
        </w:rPr>
      </w:pPr>
      <w:r w:rsidRPr="002E596C">
        <w:rPr>
          <w:rFonts w:ascii="Arial" w:eastAsia="Calibri" w:hAnsi="Arial" w:cs="Arial"/>
          <w:color w:val="000000" w:themeColor="text1"/>
          <w:sz w:val="20"/>
          <w:szCs w:val="20"/>
          <w:lang w:val="es-ES"/>
        </w:rPr>
        <w:t xml:space="preserve">Los </w:t>
      </w:r>
      <w:r w:rsidRPr="002E596C">
        <w:rPr>
          <w:rFonts w:ascii="Arial" w:eastAsia="Calibri" w:hAnsi="Arial" w:cs="Arial"/>
          <w:i/>
          <w:iCs/>
          <w:color w:val="000000" w:themeColor="text1"/>
          <w:sz w:val="20"/>
          <w:szCs w:val="20"/>
          <w:lang w:val="es-ES"/>
        </w:rPr>
        <w:t>contratos de colaboración</w:t>
      </w:r>
      <w:r w:rsidRPr="002E596C">
        <w:rPr>
          <w:rFonts w:ascii="Arial" w:eastAsia="Calibri" w:hAnsi="Arial" w:cs="Arial"/>
          <w:color w:val="000000" w:themeColor="text1"/>
          <w:sz w:val="20"/>
          <w:szCs w:val="20"/>
          <w:lang w:val="es-ES"/>
        </w:rPr>
        <w:t xml:space="preserve">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pues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58EF361D" w14:textId="6BFBE846" w:rsidR="002E596C" w:rsidRDefault="002E596C" w:rsidP="00340A15">
      <w:pPr>
        <w:jc w:val="both"/>
        <w:rPr>
          <w:rFonts w:ascii="Arial" w:eastAsia="Calibri" w:hAnsi="Arial" w:cs="Arial"/>
          <w:color w:val="000000" w:themeColor="text1"/>
          <w:sz w:val="20"/>
          <w:szCs w:val="20"/>
          <w:lang w:val="es-ES"/>
        </w:rPr>
      </w:pPr>
    </w:p>
    <w:p w14:paraId="3A0ABB4B" w14:textId="38B7B0DC" w:rsidR="002E596C" w:rsidRPr="002E596C" w:rsidRDefault="002E596C" w:rsidP="00340A15">
      <w:pPr>
        <w:jc w:val="both"/>
        <w:rPr>
          <w:rFonts w:ascii="Arial" w:eastAsia="Calibri" w:hAnsi="Arial" w:cs="Arial"/>
          <w:b/>
          <w:bCs/>
          <w:color w:val="000000" w:themeColor="text1"/>
          <w:sz w:val="22"/>
          <w:szCs w:val="22"/>
          <w:lang w:val="es-ES"/>
        </w:rPr>
      </w:pPr>
      <w:r w:rsidRPr="002E596C">
        <w:rPr>
          <w:rFonts w:ascii="Arial" w:eastAsia="Calibri" w:hAnsi="Arial" w:cs="Arial"/>
          <w:b/>
          <w:bCs/>
          <w:color w:val="000000" w:themeColor="text1"/>
          <w:sz w:val="22"/>
          <w:szCs w:val="22"/>
          <w:lang w:val="es-ES"/>
        </w:rPr>
        <w:t xml:space="preserve">CONVENIOS DE ASOSIACIÓN – </w:t>
      </w:r>
      <w:r>
        <w:rPr>
          <w:rFonts w:ascii="Arial" w:eastAsia="Calibri" w:hAnsi="Arial" w:cs="Arial"/>
          <w:b/>
          <w:bCs/>
          <w:color w:val="000000" w:themeColor="text1"/>
          <w:sz w:val="22"/>
          <w:szCs w:val="22"/>
          <w:lang w:val="es-ES"/>
        </w:rPr>
        <w:t xml:space="preserve">ESAL </w:t>
      </w:r>
      <w:r w:rsidRPr="002E596C">
        <w:rPr>
          <w:rFonts w:ascii="Arial" w:eastAsia="Calibri" w:hAnsi="Arial" w:cs="Arial"/>
          <w:b/>
          <w:bCs/>
          <w:color w:val="000000" w:themeColor="text1"/>
          <w:sz w:val="22"/>
          <w:szCs w:val="22"/>
          <w:lang w:val="es-ES"/>
        </w:rPr>
        <w:t>–</w:t>
      </w:r>
      <w:r>
        <w:rPr>
          <w:rFonts w:ascii="Arial" w:eastAsia="Calibri" w:hAnsi="Arial" w:cs="Arial"/>
          <w:b/>
          <w:bCs/>
          <w:color w:val="000000" w:themeColor="text1"/>
          <w:sz w:val="22"/>
          <w:szCs w:val="22"/>
          <w:lang w:val="es-ES"/>
        </w:rPr>
        <w:t xml:space="preserve"> </w:t>
      </w:r>
      <w:r w:rsidRPr="002E596C">
        <w:rPr>
          <w:rFonts w:ascii="Arial" w:eastAsia="Calibri" w:hAnsi="Arial" w:cs="Arial"/>
          <w:b/>
          <w:bCs/>
          <w:color w:val="000000" w:themeColor="text1"/>
          <w:sz w:val="22"/>
          <w:szCs w:val="22"/>
          <w:lang w:val="es-ES"/>
        </w:rPr>
        <w:t xml:space="preserve">Objeto </w:t>
      </w:r>
    </w:p>
    <w:p w14:paraId="1FBA15FC" w14:textId="40EA1ACC" w:rsidR="002E596C" w:rsidRDefault="002E596C" w:rsidP="00340A15">
      <w:pPr>
        <w:jc w:val="both"/>
        <w:rPr>
          <w:rFonts w:ascii="Arial" w:eastAsia="Calibri" w:hAnsi="Arial" w:cs="Arial"/>
          <w:color w:val="000000" w:themeColor="text1"/>
          <w:sz w:val="20"/>
          <w:szCs w:val="20"/>
          <w:lang w:val="es-ES"/>
        </w:rPr>
      </w:pPr>
    </w:p>
    <w:p w14:paraId="7012CB10" w14:textId="1006A153" w:rsidR="002E596C" w:rsidRDefault="002E596C" w:rsidP="00340A15">
      <w:pPr>
        <w:jc w:val="both"/>
        <w:rPr>
          <w:rFonts w:ascii="Arial" w:eastAsia="Calibri" w:hAnsi="Arial" w:cs="Arial"/>
          <w:color w:val="000000" w:themeColor="text1"/>
          <w:sz w:val="20"/>
          <w:szCs w:val="20"/>
          <w:lang w:val="es-ES"/>
        </w:rPr>
      </w:pPr>
      <w:r>
        <w:rPr>
          <w:rFonts w:ascii="Arial" w:eastAsia="Calibri" w:hAnsi="Arial" w:cs="Arial"/>
          <w:color w:val="000000" w:themeColor="text1"/>
          <w:sz w:val="20"/>
          <w:szCs w:val="20"/>
          <w:lang w:val="es-ES"/>
        </w:rPr>
        <w:t xml:space="preserve">[…] </w:t>
      </w:r>
      <w:r w:rsidRPr="002E596C">
        <w:rPr>
          <w:rFonts w:ascii="Arial" w:eastAsia="Calibri" w:hAnsi="Arial" w:cs="Arial"/>
          <w:color w:val="000000" w:themeColor="text1"/>
          <w:sz w:val="20"/>
          <w:szCs w:val="20"/>
          <w:lang w:val="es-ES"/>
        </w:rPr>
        <w:t xml:space="preserve">los </w:t>
      </w:r>
      <w:r w:rsidRPr="002E596C">
        <w:rPr>
          <w:rFonts w:ascii="Arial" w:eastAsia="Calibri" w:hAnsi="Arial" w:cs="Arial"/>
          <w:i/>
          <w:iCs/>
          <w:color w:val="000000" w:themeColor="text1"/>
          <w:sz w:val="20"/>
          <w:szCs w:val="20"/>
          <w:lang w:val="es-ES"/>
        </w:rPr>
        <w:t>convenios de asociación</w:t>
      </w:r>
      <w:r w:rsidRPr="002E596C">
        <w:rPr>
          <w:rFonts w:ascii="Arial" w:eastAsia="Calibri" w:hAnsi="Arial" w:cs="Arial"/>
          <w:color w:val="000000" w:themeColor="text1"/>
          <w:sz w:val="20"/>
          <w:szCs w:val="20"/>
          <w:lang w:val="es-ES"/>
        </w:rPr>
        <w:t xml:space="preserve"> «[t]</w:t>
      </w:r>
      <w:proofErr w:type="spellStart"/>
      <w:r w:rsidRPr="002E596C">
        <w:rPr>
          <w:rFonts w:ascii="Arial" w:eastAsia="Calibri" w:hAnsi="Arial" w:cs="Arial"/>
          <w:color w:val="000000" w:themeColor="text1"/>
          <w:sz w:val="20"/>
          <w:szCs w:val="20"/>
          <w:lang w:val="es-ES"/>
        </w:rPr>
        <w:t>ienen</w:t>
      </w:r>
      <w:proofErr w:type="spellEnd"/>
      <w:r w:rsidRPr="002E596C">
        <w:rPr>
          <w:rFonts w:ascii="Arial" w:eastAsia="Calibri" w:hAnsi="Arial" w:cs="Arial"/>
          <w:color w:val="000000" w:themeColor="text1"/>
          <w:sz w:val="20"/>
          <w:szCs w:val="20"/>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proofErr w:type="gramStart"/>
      <w:r w:rsidRPr="002E596C">
        <w:rPr>
          <w:rFonts w:ascii="Arial" w:eastAsia="Calibri" w:hAnsi="Arial" w:cs="Arial"/>
          <w:color w:val="000000" w:themeColor="text1"/>
          <w:sz w:val="20"/>
          <w:szCs w:val="20"/>
          <w:lang w:val="es-ES"/>
        </w:rPr>
        <w:t>» .</w:t>
      </w:r>
      <w:proofErr w:type="gramEnd"/>
      <w:r w:rsidRPr="002E596C">
        <w:rPr>
          <w:rFonts w:ascii="Arial" w:eastAsia="Calibri" w:hAnsi="Arial" w:cs="Arial"/>
          <w:color w:val="000000" w:themeColor="text1"/>
          <w:sz w:val="20"/>
          <w:szCs w:val="20"/>
          <w:lang w:val="es-ES"/>
        </w:rPr>
        <w:t xml:space="preserve"> En estos convenios no existe contraprestación o pago, sino aportes, los cuales están dirigidos, exclusivamente, a lograr la ejecución del convenio y no a remunerar la actividad o actuaciones del asociado. De todos modos, la entidad debe adelantar un </w:t>
      </w:r>
      <w:r w:rsidRPr="002E596C">
        <w:rPr>
          <w:rFonts w:ascii="Arial" w:eastAsia="Calibri" w:hAnsi="Arial" w:cs="Arial"/>
          <w:color w:val="000000" w:themeColor="text1"/>
          <w:sz w:val="20"/>
          <w:szCs w:val="20"/>
          <w:lang w:val="es-ES"/>
        </w:rPr>
        <w:lastRenderedPageBreak/>
        <w:t>proceso competitivo, salvo cuando la ESAL comprometa recursos en dinero para la ejecución de estas actividades, en una proporción no inferior al 30% del valor total del convenio.</w:t>
      </w:r>
    </w:p>
    <w:p w14:paraId="69679BE8" w14:textId="46D4FA4F" w:rsidR="002E596C" w:rsidRDefault="002E596C" w:rsidP="00340A15">
      <w:pPr>
        <w:jc w:val="both"/>
        <w:rPr>
          <w:rFonts w:ascii="Arial" w:eastAsia="Calibri" w:hAnsi="Arial" w:cs="Arial"/>
          <w:color w:val="000000" w:themeColor="text1"/>
          <w:sz w:val="20"/>
          <w:szCs w:val="20"/>
          <w:lang w:val="es-ES"/>
        </w:rPr>
      </w:pPr>
    </w:p>
    <w:p w14:paraId="7393792B" w14:textId="2BDE4BF9" w:rsidR="002E596C" w:rsidRDefault="002E596C" w:rsidP="00340A15">
      <w:pPr>
        <w:jc w:val="both"/>
        <w:rPr>
          <w:rFonts w:ascii="Arial" w:eastAsia="Calibri" w:hAnsi="Arial" w:cs="Arial"/>
          <w:b/>
          <w:bCs/>
          <w:color w:val="000000" w:themeColor="text1"/>
          <w:sz w:val="22"/>
          <w:szCs w:val="22"/>
          <w:lang w:val="es-ES"/>
        </w:rPr>
      </w:pPr>
      <w:r w:rsidRPr="002E596C">
        <w:rPr>
          <w:rFonts w:ascii="Arial" w:eastAsia="Calibri" w:hAnsi="Arial" w:cs="Arial"/>
          <w:b/>
          <w:bCs/>
          <w:color w:val="000000" w:themeColor="text1"/>
          <w:sz w:val="22"/>
          <w:szCs w:val="22"/>
          <w:lang w:val="es-ES"/>
        </w:rPr>
        <w:t>LEY DE GARANTÍAS ELECTORALES – Artículo 33 – Aplicación – Convenios de asociación – Entidad privadas sin ánimo de lucro – Restricción – Alcance – Procedimientos no competitivos</w:t>
      </w:r>
    </w:p>
    <w:p w14:paraId="0A154842" w14:textId="77777777" w:rsidR="002E596C" w:rsidRPr="002E596C" w:rsidRDefault="002E596C" w:rsidP="00340A15">
      <w:pPr>
        <w:jc w:val="both"/>
        <w:rPr>
          <w:rFonts w:ascii="Arial" w:eastAsia="Calibri" w:hAnsi="Arial" w:cs="Arial"/>
          <w:b/>
          <w:bCs/>
          <w:color w:val="000000" w:themeColor="text1"/>
          <w:sz w:val="20"/>
          <w:szCs w:val="20"/>
          <w:lang w:val="es-ES"/>
        </w:rPr>
      </w:pPr>
    </w:p>
    <w:p w14:paraId="1BDCF7CE" w14:textId="5EE2E26C" w:rsidR="002E596C" w:rsidRDefault="00C31586" w:rsidP="002E596C">
      <w:pPr>
        <w:jc w:val="both"/>
        <w:rPr>
          <w:rFonts w:ascii="Arial" w:eastAsia="Calibri" w:hAnsi="Arial" w:cs="Arial"/>
          <w:color w:val="000000" w:themeColor="text1"/>
          <w:sz w:val="20"/>
          <w:szCs w:val="20"/>
          <w:lang w:val="es-ES"/>
        </w:rPr>
      </w:pPr>
      <w:r w:rsidRPr="00C31586">
        <w:rPr>
          <w:rFonts w:ascii="Arial" w:eastAsia="Calibri" w:hAnsi="Arial" w:cs="Arial"/>
          <w:color w:val="000000" w:themeColor="text1"/>
          <w:sz w:val="20"/>
          <w:szCs w:val="20"/>
          <w:lang w:val="es-ES"/>
        </w:rPr>
        <w:t>Para los convenios de asociación, como se explicó ut supra, el artículo 5 del Decreto 092 de 2017 establece que el proceso para la selección de la ESAL, por regla general, debe estar sujeto a competencia; salvo en aquellos casos en que una entidad sin ánimo de lucro comprometa recursos en dinero por un valor igual o superior al 30% del valor total del convenio , y siempre que la entidad estatal verifique previamente que no existe ninguna otra entidad sin ánimo de lucro que ofrezca aportes iguales o superiores al 30%. De hecho, en relación con la naturaleza y cuantía de los convenios, la norma anteriormente citada no prohíbe la celebración de convenios en que la ESAL aporte menos del 30% o cuando aporte recursos en especie: solo indica que en esos casos la entidad estatal debe acudir al proceso competitivo para seleccionar a la entidad sin ánimo de lucro con la cual celebrará el respectivo convenio.</w:t>
      </w:r>
    </w:p>
    <w:p w14:paraId="411528EB" w14:textId="77777777" w:rsidR="00C31586" w:rsidRPr="002E596C" w:rsidRDefault="00C31586" w:rsidP="002E596C">
      <w:pPr>
        <w:jc w:val="both"/>
        <w:rPr>
          <w:rFonts w:ascii="Arial" w:eastAsia="Calibri" w:hAnsi="Arial" w:cs="Arial"/>
          <w:color w:val="000000" w:themeColor="text1"/>
          <w:sz w:val="20"/>
          <w:szCs w:val="20"/>
          <w:lang w:val="es-ES"/>
        </w:rPr>
      </w:pPr>
    </w:p>
    <w:p w14:paraId="0C7DFB5F" w14:textId="2DF36144" w:rsidR="002E596C" w:rsidRPr="002676D1" w:rsidRDefault="00C31586" w:rsidP="00340A15">
      <w:pPr>
        <w:jc w:val="both"/>
        <w:rPr>
          <w:rFonts w:ascii="Arial" w:eastAsia="Calibri" w:hAnsi="Arial" w:cs="Arial"/>
          <w:color w:val="000000" w:themeColor="text1"/>
          <w:sz w:val="20"/>
          <w:szCs w:val="20"/>
          <w:lang w:val="es-ES"/>
        </w:rPr>
      </w:pPr>
      <w:r w:rsidRPr="00433AE3">
        <w:rPr>
          <w:rFonts w:ascii="Arial" w:eastAsia="Calibri" w:hAnsi="Arial" w:cs="Arial"/>
          <w:color w:val="000000" w:themeColor="text1"/>
          <w:sz w:val="22"/>
          <w:lang w:val="es-ES"/>
        </w:rPr>
        <w:t>En esta medida,</w:t>
      </w:r>
      <w:r>
        <w:rPr>
          <w:rFonts w:ascii="Arial" w:eastAsia="Calibri" w:hAnsi="Arial" w:cs="Arial"/>
          <w:color w:val="000000" w:themeColor="text1"/>
          <w:sz w:val="22"/>
          <w:lang w:val="es-ES"/>
        </w:rPr>
        <w:t xml:space="preserve"> tanto para los </w:t>
      </w:r>
      <w:r w:rsidRPr="00C31586">
        <w:rPr>
          <w:rFonts w:ascii="Arial" w:eastAsia="Calibri" w:hAnsi="Arial" w:cs="Arial"/>
          <w:i/>
          <w:iCs/>
          <w:color w:val="000000" w:themeColor="text1"/>
          <w:sz w:val="22"/>
          <w:lang w:val="es-ES"/>
        </w:rPr>
        <w:t>contratos de colaboración</w:t>
      </w:r>
      <w:r>
        <w:rPr>
          <w:rFonts w:ascii="Arial" w:eastAsia="Calibri" w:hAnsi="Arial" w:cs="Arial"/>
          <w:color w:val="000000" w:themeColor="text1"/>
          <w:sz w:val="22"/>
          <w:lang w:val="es-ES"/>
        </w:rPr>
        <w:t xml:space="preserve"> como para los </w:t>
      </w:r>
      <w:r w:rsidRPr="00C31586">
        <w:rPr>
          <w:rFonts w:ascii="Arial" w:eastAsia="Calibri" w:hAnsi="Arial" w:cs="Arial"/>
          <w:i/>
          <w:iCs/>
          <w:color w:val="000000" w:themeColor="text1"/>
          <w:sz w:val="22"/>
          <w:lang w:val="es-ES"/>
        </w:rPr>
        <w:t>convenios de asociación</w:t>
      </w:r>
      <w:r>
        <w:rPr>
          <w:rFonts w:ascii="Arial" w:eastAsia="Calibri" w:hAnsi="Arial" w:cs="Arial"/>
          <w:color w:val="000000" w:themeColor="text1"/>
          <w:sz w:val="22"/>
          <w:lang w:val="es-ES"/>
        </w:rPr>
        <w:t>,</w:t>
      </w:r>
      <w:r w:rsidRPr="00433AE3">
        <w:rPr>
          <w:rFonts w:ascii="Arial" w:eastAsia="Calibri" w:hAnsi="Arial" w:cs="Arial"/>
          <w:color w:val="000000" w:themeColor="text1"/>
          <w:sz w:val="22"/>
          <w:lang w:val="es-ES"/>
        </w:rPr>
        <w:t xml:space="preserve"> la prohibición de contratación directa del artículo 33 de la Ley de Garantías aplica únicamente a los procedimientos no competitivos.</w:t>
      </w:r>
    </w:p>
    <w:p w14:paraId="23C8EBC4" w14:textId="77777777" w:rsidR="002E596C" w:rsidRDefault="002E596C" w:rsidP="00340A15">
      <w:pPr>
        <w:jc w:val="both"/>
        <w:rPr>
          <w:rFonts w:ascii="Arial" w:eastAsia="Calibri" w:hAnsi="Arial" w:cs="Arial"/>
          <w:b/>
          <w:color w:val="000000" w:themeColor="text1"/>
          <w:sz w:val="22"/>
          <w:szCs w:val="22"/>
          <w:lang w:val="es-ES"/>
        </w:rPr>
      </w:pPr>
    </w:p>
    <w:p w14:paraId="7D99D804" w14:textId="501B51FF" w:rsidR="002E596C" w:rsidRDefault="002E596C" w:rsidP="00340A15">
      <w:pPr>
        <w:jc w:val="both"/>
        <w:rPr>
          <w:rFonts w:ascii="Arial" w:eastAsia="Calibri" w:hAnsi="Arial" w:cs="Arial"/>
          <w:b/>
          <w:color w:val="000000" w:themeColor="text1"/>
          <w:sz w:val="22"/>
          <w:szCs w:val="22"/>
          <w:lang w:val="es-ES"/>
        </w:rPr>
      </w:pPr>
      <w:r w:rsidRPr="002E596C">
        <w:rPr>
          <w:rFonts w:ascii="Arial" w:eastAsia="Calibri" w:hAnsi="Arial" w:cs="Arial"/>
          <w:b/>
          <w:color w:val="000000" w:themeColor="text1"/>
          <w:sz w:val="22"/>
          <w:szCs w:val="22"/>
          <w:lang w:val="es-ES"/>
        </w:rPr>
        <w:t>LEY DE GARANTÍAS ELECTORALES – Artículo 33 – Aplicación – Convenios de asociación – Restricción – Alcance – Procedimientos competitivos</w:t>
      </w:r>
    </w:p>
    <w:p w14:paraId="432589C4" w14:textId="77777777" w:rsidR="002E596C" w:rsidRDefault="002E596C" w:rsidP="00340A15">
      <w:pPr>
        <w:jc w:val="both"/>
        <w:rPr>
          <w:rFonts w:ascii="Arial" w:eastAsia="Calibri" w:hAnsi="Arial" w:cs="Arial"/>
          <w:b/>
          <w:color w:val="000000" w:themeColor="text1"/>
          <w:sz w:val="22"/>
          <w:szCs w:val="22"/>
          <w:lang w:val="es-ES"/>
        </w:rPr>
      </w:pPr>
    </w:p>
    <w:p w14:paraId="2E26B511" w14:textId="77777777" w:rsidR="00C31586" w:rsidRPr="00C31586" w:rsidRDefault="00C31586" w:rsidP="00C31586">
      <w:pPr>
        <w:spacing w:after="200"/>
        <w:jc w:val="both"/>
        <w:rPr>
          <w:rFonts w:ascii="Arial" w:eastAsia="Calibri" w:hAnsi="Arial" w:cs="Arial"/>
          <w:bCs/>
          <w:color w:val="000000" w:themeColor="text1"/>
          <w:sz w:val="20"/>
          <w:szCs w:val="20"/>
          <w:lang w:val="es-ES"/>
        </w:rPr>
      </w:pPr>
    </w:p>
    <w:p w14:paraId="1DFD26A4" w14:textId="3510BB85" w:rsidR="00C31586" w:rsidRPr="00C31586" w:rsidRDefault="00C31586" w:rsidP="00C31586">
      <w:pPr>
        <w:spacing w:after="200"/>
        <w:jc w:val="both"/>
        <w:rPr>
          <w:rFonts w:ascii="Arial" w:eastAsia="Calibri" w:hAnsi="Arial" w:cs="Arial"/>
          <w:bCs/>
          <w:color w:val="000000" w:themeColor="text1"/>
          <w:sz w:val="20"/>
          <w:szCs w:val="20"/>
          <w:lang w:val="es-ES"/>
        </w:rPr>
      </w:pPr>
      <w:r w:rsidRPr="00C31586">
        <w:rPr>
          <w:rFonts w:ascii="Arial" w:eastAsia="Calibri" w:hAnsi="Arial" w:cs="Arial"/>
          <w:bCs/>
          <w:color w:val="000000" w:themeColor="text1"/>
          <w:sz w:val="20"/>
          <w:szCs w:val="20"/>
          <w:lang w:val="es-ES"/>
        </w:rPr>
        <w:t xml:space="preserve">En contraste, la restricción citada no aplicaría a los contratos de colaboración y los convenios de asociación que celebren las entidades estatales y las ESAL bajo el procedimiento competitivo, pues este supone la pluralidad de oferentes y la selección objetiva del contratista. De acuerdo con el inciso primero del artículo 4 del Decreto 092 de 2017, «La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 </w:t>
      </w:r>
    </w:p>
    <w:p w14:paraId="22B5CDD1" w14:textId="13C036C6" w:rsidR="002E596C" w:rsidRDefault="00C31586" w:rsidP="00C31586">
      <w:pPr>
        <w:spacing w:after="200"/>
        <w:jc w:val="both"/>
        <w:rPr>
          <w:rFonts w:ascii="Arial" w:eastAsia="Calibri" w:hAnsi="Arial" w:cs="Arial"/>
          <w:b/>
          <w:color w:val="000000" w:themeColor="text1"/>
          <w:sz w:val="22"/>
          <w:szCs w:val="22"/>
          <w:lang w:val="es-ES"/>
        </w:rPr>
      </w:pPr>
      <w:r w:rsidRPr="00C31586">
        <w:rPr>
          <w:rFonts w:ascii="Arial" w:eastAsia="Calibri" w:hAnsi="Arial" w:cs="Arial"/>
          <w:bCs/>
          <w:color w:val="000000" w:themeColor="text1"/>
          <w:sz w:val="20"/>
          <w:szCs w:val="20"/>
          <w:lang w:val="es-ES"/>
        </w:rPr>
        <w:t>Por lo demás, conforme al artículo 5 ibidem, el procedimiento competitivo es la regla general, salvo en aquellos casos en que una entidad sin ánimo de lucro comprometa recursos en dinero por un valor igual o superior al 30% del valor total del convenio, siempre que la entidad estatal verifique previamente que no existe ninguna otra ESAL que ofrezca aportes iguales o superiores a dicho porcentaje. Por ello,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14:paraId="721C827D" w14:textId="77777777" w:rsidR="002E596C" w:rsidRDefault="002E596C" w:rsidP="00014FD5">
      <w:pPr>
        <w:spacing w:after="200"/>
        <w:rPr>
          <w:rFonts w:ascii="Arial" w:eastAsia="Calibri" w:hAnsi="Arial" w:cs="Arial"/>
          <w:b/>
          <w:color w:val="000000" w:themeColor="text1"/>
          <w:sz w:val="22"/>
          <w:szCs w:val="22"/>
          <w:lang w:val="es-ES"/>
        </w:rPr>
      </w:pPr>
    </w:p>
    <w:p w14:paraId="4B6AD4FF" w14:textId="77777777" w:rsidR="002E596C" w:rsidRDefault="002E596C" w:rsidP="00014FD5">
      <w:pPr>
        <w:spacing w:after="200"/>
        <w:rPr>
          <w:rFonts w:ascii="Arial" w:eastAsia="Calibri" w:hAnsi="Arial" w:cs="Arial"/>
          <w:b/>
          <w:color w:val="000000" w:themeColor="text1"/>
          <w:sz w:val="22"/>
          <w:szCs w:val="22"/>
          <w:lang w:val="es-ES"/>
        </w:rPr>
      </w:pPr>
    </w:p>
    <w:p w14:paraId="507394E2" w14:textId="77777777" w:rsidR="002E596C" w:rsidRPr="002D17DB" w:rsidRDefault="002E596C" w:rsidP="00014FD5">
      <w:pPr>
        <w:spacing w:after="200"/>
        <w:rPr>
          <w:rFonts w:ascii="Arial" w:eastAsia="Calibri" w:hAnsi="Arial" w:cs="Arial"/>
          <w:bCs/>
          <w:i/>
          <w:iCs/>
          <w:color w:val="000000" w:themeColor="text1"/>
          <w:sz w:val="22"/>
          <w:szCs w:val="22"/>
          <w:lang w:val="es-ES"/>
        </w:rPr>
      </w:pPr>
    </w:p>
    <w:p w14:paraId="55597E18" w14:textId="77777777" w:rsidR="002E596C" w:rsidRDefault="002E596C" w:rsidP="00014FD5">
      <w:pPr>
        <w:spacing w:after="200"/>
        <w:rPr>
          <w:rFonts w:ascii="Arial" w:eastAsia="Calibri" w:hAnsi="Arial" w:cs="Arial"/>
          <w:b/>
          <w:color w:val="000000" w:themeColor="text1"/>
          <w:sz w:val="22"/>
          <w:szCs w:val="22"/>
          <w:lang w:val="es-ES"/>
        </w:rPr>
      </w:pPr>
    </w:p>
    <w:p w14:paraId="77A51F61" w14:textId="77777777" w:rsidR="002E596C" w:rsidRDefault="002E596C" w:rsidP="00014FD5">
      <w:pPr>
        <w:spacing w:after="200"/>
        <w:rPr>
          <w:rFonts w:ascii="Arial" w:eastAsia="Calibri" w:hAnsi="Arial" w:cs="Arial"/>
          <w:b/>
          <w:color w:val="000000" w:themeColor="text1"/>
          <w:sz w:val="22"/>
          <w:szCs w:val="22"/>
          <w:lang w:val="es-ES"/>
        </w:rPr>
      </w:pPr>
    </w:p>
    <w:p w14:paraId="42697E45" w14:textId="77777777" w:rsidR="002E596C" w:rsidRDefault="002E596C" w:rsidP="00014FD5">
      <w:pPr>
        <w:spacing w:after="200"/>
        <w:rPr>
          <w:rFonts w:ascii="Arial" w:eastAsia="Calibri" w:hAnsi="Arial" w:cs="Arial"/>
          <w:b/>
          <w:color w:val="000000" w:themeColor="text1"/>
          <w:sz w:val="22"/>
          <w:szCs w:val="22"/>
          <w:lang w:val="es-ES"/>
        </w:rPr>
      </w:pPr>
    </w:p>
    <w:p w14:paraId="32F9970B" w14:textId="6EDE4937" w:rsidR="00A25F2F" w:rsidRPr="002D17DB" w:rsidRDefault="002F3E4E" w:rsidP="002D17DB">
      <w:pPr>
        <w:rPr>
          <w:rFonts w:ascii="Arial" w:hAnsi="Arial" w:cs="Arial"/>
          <w:b/>
          <w:bCs/>
          <w:color w:val="000000" w:themeColor="text1"/>
          <w:sz w:val="20"/>
          <w:szCs w:val="20"/>
          <w:lang w:val="es-ES"/>
        </w:rPr>
      </w:pPr>
      <w:r w:rsidRPr="002676D1">
        <w:rPr>
          <w:rFonts w:ascii="Arial" w:hAnsi="Arial" w:cs="Arial"/>
          <w:color w:val="000000" w:themeColor="text1"/>
          <w:sz w:val="22"/>
          <w:lang w:val="es-ES"/>
        </w:rPr>
        <w:t>Bogotá D.C.</w:t>
      </w:r>
      <w:r w:rsidR="002D17DB">
        <w:rPr>
          <w:rFonts w:ascii="Arial" w:hAnsi="Arial" w:cs="Arial"/>
          <w:color w:val="000000" w:themeColor="text1"/>
          <w:sz w:val="22"/>
          <w:lang w:val="es-ES"/>
        </w:rPr>
        <w:t xml:space="preserve"> </w:t>
      </w:r>
      <w:r w:rsidR="002D17DB" w:rsidRPr="002D17DB">
        <w:rPr>
          <w:rFonts w:ascii="Arial" w:hAnsi="Arial" w:cs="Arial"/>
          <w:b/>
          <w:bCs/>
          <w:color w:val="000000" w:themeColor="text1"/>
          <w:sz w:val="22"/>
          <w:lang w:val="es-ES"/>
        </w:rPr>
        <w:t>08/10/</w:t>
      </w:r>
      <w:r w:rsidR="002D17DB" w:rsidRPr="002D17DB">
        <w:rPr>
          <w:rFonts w:ascii="Arial" w:hAnsi="Arial" w:cs="Arial"/>
          <w:b/>
          <w:bCs/>
          <w:color w:val="000000" w:themeColor="text1"/>
          <w:sz w:val="20"/>
          <w:szCs w:val="20"/>
          <w:lang w:val="es-ES"/>
        </w:rPr>
        <w:t>2021</w:t>
      </w:r>
    </w:p>
    <w:p w14:paraId="176395FC" w14:textId="58B05A30" w:rsidR="002F3E4E" w:rsidRPr="002676D1" w:rsidRDefault="002D17DB" w:rsidP="002D17DB">
      <w:pPr>
        <w:jc w:val="right"/>
        <w:rPr>
          <w:rFonts w:ascii="Arial" w:hAnsi="Arial" w:cs="Arial"/>
          <w:bCs/>
          <w:color w:val="000000" w:themeColor="text1"/>
          <w:sz w:val="22"/>
          <w:lang w:val="es-ES"/>
        </w:rPr>
      </w:pPr>
      <w:r>
        <w:rPr>
          <w:noProof/>
          <w:sz w:val="20"/>
        </w:rPr>
        <w:drawing>
          <wp:inline distT="0" distB="0" distL="0" distR="0" wp14:anchorId="0080BE8E" wp14:editId="43AD0E7E">
            <wp:extent cx="2379945" cy="608838"/>
            <wp:effectExtent l="0" t="0" r="0" b="0"/>
            <wp:docPr id="4"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5F5AE9EF" w14:textId="261E0EF6" w:rsidR="00B95C30" w:rsidRPr="002676D1" w:rsidRDefault="00BE4FBF" w:rsidP="00B95C30">
      <w:pPr>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Señor</w:t>
      </w:r>
      <w:r w:rsidR="004E06AF" w:rsidRPr="002676D1">
        <w:rPr>
          <w:rFonts w:ascii="Arial" w:eastAsia="Calibri" w:hAnsi="Arial" w:cs="Arial"/>
          <w:color w:val="000000" w:themeColor="text1"/>
          <w:sz w:val="22"/>
          <w:lang w:val="es-ES"/>
        </w:rPr>
        <w:t>a</w:t>
      </w:r>
    </w:p>
    <w:p w14:paraId="3DCD58CE" w14:textId="70997747" w:rsidR="00B95C30" w:rsidRPr="002676D1" w:rsidRDefault="002676D1" w:rsidP="00B95C30">
      <w:pPr>
        <w:jc w:val="both"/>
        <w:rPr>
          <w:rFonts w:ascii="Arial" w:eastAsia="Calibri" w:hAnsi="Arial" w:cs="Arial"/>
          <w:b/>
          <w:color w:val="000000" w:themeColor="text1"/>
          <w:sz w:val="22"/>
          <w:lang w:val="es-ES"/>
        </w:rPr>
      </w:pPr>
      <w:r w:rsidRPr="002676D1">
        <w:rPr>
          <w:rFonts w:ascii="Arial" w:eastAsia="Calibri" w:hAnsi="Arial" w:cs="Arial"/>
          <w:b/>
          <w:color w:val="000000" w:themeColor="text1"/>
          <w:sz w:val="22"/>
          <w:lang w:val="es-ES"/>
        </w:rPr>
        <w:t xml:space="preserve">Claudia Liliana Dávila Santacruz </w:t>
      </w:r>
    </w:p>
    <w:p w14:paraId="490C0C2D" w14:textId="0BE0CEB1" w:rsidR="00A25F2F" w:rsidRPr="002676D1" w:rsidRDefault="002676D1" w:rsidP="00B95C30">
      <w:pPr>
        <w:jc w:val="both"/>
        <w:rPr>
          <w:rFonts w:ascii="Arial" w:eastAsia="Calibri" w:hAnsi="Arial" w:cs="Arial"/>
          <w:color w:val="000000" w:themeColor="text1"/>
          <w:sz w:val="22"/>
          <w:lang w:val="es-ES"/>
        </w:rPr>
      </w:pPr>
      <w:r>
        <w:rPr>
          <w:rFonts w:ascii="Arial" w:hAnsi="Arial" w:cs="Arial"/>
          <w:color w:val="000000" w:themeColor="text1"/>
          <w:sz w:val="22"/>
          <w:lang w:val="es-ES"/>
        </w:rPr>
        <w:t>Cali, Valle del Cauca</w:t>
      </w:r>
    </w:p>
    <w:p w14:paraId="0B5EBAC5" w14:textId="11E72E8C" w:rsidR="00A25F2F" w:rsidRPr="002676D1" w:rsidRDefault="00A25F2F" w:rsidP="00B95C30">
      <w:pPr>
        <w:jc w:val="both"/>
        <w:rPr>
          <w:rFonts w:ascii="Arial" w:eastAsia="Calibri" w:hAnsi="Arial" w:cs="Arial"/>
          <w:color w:val="000000" w:themeColor="text1"/>
          <w:sz w:val="22"/>
          <w:lang w:val="es-ES"/>
        </w:rPr>
      </w:pPr>
    </w:p>
    <w:p w14:paraId="6CF15DAA" w14:textId="77777777" w:rsidR="00AC5897" w:rsidRPr="002676D1" w:rsidRDefault="00AC5897" w:rsidP="00B95C30">
      <w:pPr>
        <w:jc w:val="both"/>
        <w:rPr>
          <w:rFonts w:ascii="Arial" w:eastAsia="Calibri" w:hAnsi="Arial" w:cs="Arial"/>
          <w:color w:val="000000" w:themeColor="text1"/>
          <w:sz w:val="22"/>
          <w:lang w:val="es-ES"/>
        </w:rPr>
      </w:pPr>
    </w:p>
    <w:p w14:paraId="12E66182" w14:textId="2077C281" w:rsidR="00B95C30" w:rsidRPr="002676D1" w:rsidRDefault="00A25F2F" w:rsidP="004004C2">
      <w:pPr>
        <w:rPr>
          <w:rFonts w:ascii="Arial" w:eastAsia="Calibri" w:hAnsi="Arial" w:cs="Arial"/>
          <w:b/>
          <w:bCs/>
          <w:color w:val="000000" w:themeColor="text1"/>
          <w:sz w:val="22"/>
          <w:lang w:val="es-ES"/>
        </w:rPr>
      </w:pPr>
      <w:r w:rsidRPr="002676D1">
        <w:rPr>
          <w:rFonts w:ascii="Arial" w:eastAsia="Calibri" w:hAnsi="Arial" w:cs="Arial"/>
          <w:b/>
          <w:bCs/>
          <w:color w:val="000000" w:themeColor="text1"/>
          <w:sz w:val="22"/>
          <w:lang w:val="es-ES"/>
        </w:rPr>
        <w:t xml:space="preserve">                                            </w:t>
      </w:r>
      <w:r w:rsidR="00B95C30" w:rsidRPr="002676D1">
        <w:rPr>
          <w:rFonts w:ascii="Arial" w:eastAsia="Calibri" w:hAnsi="Arial" w:cs="Arial"/>
          <w:b/>
          <w:bCs/>
          <w:color w:val="000000" w:themeColor="text1"/>
          <w:sz w:val="22"/>
          <w:lang w:val="es-ES"/>
        </w:rPr>
        <w:t>Concepto C ‒</w:t>
      </w:r>
      <w:r w:rsidR="00856F87" w:rsidRPr="002676D1">
        <w:rPr>
          <w:rFonts w:ascii="Arial" w:eastAsia="Calibri" w:hAnsi="Arial" w:cs="Arial"/>
          <w:b/>
          <w:bCs/>
          <w:color w:val="000000" w:themeColor="text1"/>
          <w:sz w:val="22"/>
          <w:lang w:val="es-ES"/>
        </w:rPr>
        <w:t xml:space="preserve"> </w:t>
      </w:r>
      <w:r w:rsidR="002676D1" w:rsidRPr="002676D1">
        <w:rPr>
          <w:rFonts w:ascii="Arial" w:eastAsia="Calibri" w:hAnsi="Arial" w:cs="Arial"/>
          <w:b/>
          <w:bCs/>
          <w:color w:val="000000" w:themeColor="text1"/>
          <w:sz w:val="22"/>
          <w:lang w:val="es-ES"/>
        </w:rPr>
        <w:t>563</w:t>
      </w:r>
      <w:r w:rsidR="00646D69" w:rsidRPr="002676D1">
        <w:rPr>
          <w:rFonts w:ascii="Arial" w:eastAsia="Calibri" w:hAnsi="Arial" w:cs="Arial"/>
          <w:b/>
          <w:bCs/>
          <w:color w:val="000000" w:themeColor="text1"/>
          <w:sz w:val="22"/>
          <w:lang w:val="es-ES"/>
        </w:rPr>
        <w:t xml:space="preserve"> d</w:t>
      </w:r>
      <w:r w:rsidR="0031184C" w:rsidRPr="002676D1">
        <w:rPr>
          <w:rFonts w:ascii="Arial" w:eastAsia="Calibri" w:hAnsi="Arial" w:cs="Arial"/>
          <w:b/>
          <w:bCs/>
          <w:color w:val="000000" w:themeColor="text1"/>
          <w:sz w:val="22"/>
          <w:lang w:val="es-ES"/>
        </w:rPr>
        <w:t>e 2021</w:t>
      </w:r>
    </w:p>
    <w:p w14:paraId="1BD594F9" w14:textId="77777777" w:rsidR="00B95C30" w:rsidRPr="002676D1"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2676D1" w14:paraId="19DFC051" w14:textId="77777777" w:rsidTr="008F4163">
        <w:tc>
          <w:tcPr>
            <w:tcW w:w="2689" w:type="dxa"/>
          </w:tcPr>
          <w:p w14:paraId="6BC0D1AC" w14:textId="77777777" w:rsidR="00B95C30" w:rsidRPr="002676D1" w:rsidRDefault="00B95C30" w:rsidP="008F4163">
            <w:pPr>
              <w:jc w:val="both"/>
              <w:rPr>
                <w:rFonts w:ascii="Arial" w:eastAsia="Calibri" w:hAnsi="Arial" w:cs="Arial"/>
                <w:color w:val="000000" w:themeColor="text1"/>
                <w:sz w:val="22"/>
                <w:lang w:val="es-ES"/>
              </w:rPr>
            </w:pPr>
            <w:r w:rsidRPr="002676D1">
              <w:rPr>
                <w:rFonts w:ascii="Arial" w:eastAsia="Calibri" w:hAnsi="Arial" w:cs="Arial"/>
                <w:b/>
                <w:color w:val="000000" w:themeColor="text1"/>
                <w:sz w:val="22"/>
                <w:lang w:val="es-ES"/>
              </w:rPr>
              <w:t>Temas:</w:t>
            </w:r>
            <w:r w:rsidRPr="002676D1">
              <w:rPr>
                <w:rFonts w:ascii="Arial" w:eastAsia="Calibri" w:hAnsi="Arial" w:cs="Arial"/>
                <w:color w:val="000000" w:themeColor="text1"/>
                <w:sz w:val="22"/>
                <w:lang w:val="es-ES"/>
              </w:rPr>
              <w:t xml:space="preserve">                                      </w:t>
            </w:r>
          </w:p>
        </w:tc>
        <w:tc>
          <w:tcPr>
            <w:tcW w:w="6237" w:type="dxa"/>
          </w:tcPr>
          <w:p w14:paraId="5F389CAF" w14:textId="4E6A0E60" w:rsidR="00B95C30" w:rsidRPr="002676D1" w:rsidRDefault="002E596C" w:rsidP="002E596C">
            <w:pPr>
              <w:jc w:val="both"/>
              <w:rPr>
                <w:rFonts w:ascii="Arial" w:eastAsia="Calibri" w:hAnsi="Arial" w:cs="Arial"/>
                <w:color w:val="000000" w:themeColor="text1"/>
                <w:sz w:val="22"/>
                <w:lang w:val="es-ES"/>
              </w:rPr>
            </w:pPr>
            <w:r w:rsidRPr="002E596C">
              <w:rPr>
                <w:rFonts w:ascii="Arial" w:eastAsia="Calibri" w:hAnsi="Arial" w:cs="Arial"/>
                <w:color w:val="000000" w:themeColor="text1"/>
                <w:sz w:val="22"/>
                <w:szCs w:val="22"/>
                <w:lang w:val="es-ES"/>
              </w:rPr>
              <w:t>LEY DE GARANTÍAS ELECTORALES – Alcance – Restricciones – Contratación pública</w:t>
            </w:r>
            <w:r>
              <w:rPr>
                <w:rFonts w:ascii="Arial" w:eastAsia="Calibri" w:hAnsi="Arial" w:cs="Arial"/>
                <w:color w:val="000000" w:themeColor="text1"/>
                <w:sz w:val="22"/>
                <w:szCs w:val="22"/>
                <w:lang w:val="es-ES"/>
              </w:rPr>
              <w:t xml:space="preserve"> / </w:t>
            </w:r>
            <w:r w:rsidRPr="002E596C">
              <w:rPr>
                <w:rFonts w:ascii="Arial" w:eastAsia="Calibri" w:hAnsi="Arial" w:cs="Arial"/>
                <w:color w:val="000000" w:themeColor="text1"/>
                <w:sz w:val="22"/>
                <w:szCs w:val="22"/>
                <w:lang w:val="es-ES"/>
              </w:rPr>
              <w:t>CONTRATOS DE COLABORACIÓN – ESAL – Objeto</w:t>
            </w:r>
            <w:r>
              <w:rPr>
                <w:rFonts w:ascii="Arial" w:eastAsia="Calibri" w:hAnsi="Arial" w:cs="Arial"/>
                <w:color w:val="000000" w:themeColor="text1"/>
                <w:sz w:val="22"/>
                <w:szCs w:val="22"/>
                <w:lang w:val="es-ES"/>
              </w:rPr>
              <w:t xml:space="preserve"> </w:t>
            </w:r>
            <w:r w:rsidR="00E807B5" w:rsidRPr="002676D1">
              <w:rPr>
                <w:rFonts w:ascii="Arial" w:eastAsia="Calibri" w:hAnsi="Arial" w:cs="Arial"/>
                <w:color w:val="000000" w:themeColor="text1"/>
                <w:sz w:val="22"/>
                <w:szCs w:val="22"/>
                <w:lang w:val="es-ES"/>
              </w:rPr>
              <w:t>/</w:t>
            </w:r>
            <w:r>
              <w:rPr>
                <w:rFonts w:ascii="Arial" w:hAnsi="Arial" w:cs="Arial"/>
                <w:color w:val="000000" w:themeColor="text1"/>
                <w:sz w:val="22"/>
                <w:szCs w:val="22"/>
                <w:lang w:val="es-ES"/>
              </w:rPr>
              <w:t xml:space="preserve"> </w:t>
            </w:r>
            <w:r w:rsidRPr="002E596C">
              <w:rPr>
                <w:rFonts w:ascii="Arial" w:eastAsia="Calibri" w:hAnsi="Arial" w:cs="Arial"/>
                <w:color w:val="000000" w:themeColor="text1"/>
                <w:sz w:val="22"/>
                <w:szCs w:val="22"/>
                <w:lang w:val="es-ES"/>
              </w:rPr>
              <w:t xml:space="preserve">CONVENIOS DE ASOSIACIÓN – ESAL – </w:t>
            </w:r>
            <w:r w:rsidR="00BE46BC" w:rsidRPr="002E596C">
              <w:rPr>
                <w:rFonts w:ascii="Arial" w:eastAsia="Calibri" w:hAnsi="Arial" w:cs="Arial"/>
                <w:color w:val="000000" w:themeColor="text1"/>
                <w:sz w:val="22"/>
                <w:szCs w:val="22"/>
                <w:lang w:val="es-ES"/>
              </w:rPr>
              <w:t xml:space="preserve">Objeto </w:t>
            </w:r>
            <w:r w:rsidR="00BE46BC" w:rsidRPr="002676D1">
              <w:rPr>
                <w:rFonts w:ascii="Arial" w:eastAsia="Calibri" w:hAnsi="Arial" w:cs="Arial"/>
                <w:color w:val="000000" w:themeColor="text1"/>
                <w:sz w:val="22"/>
                <w:szCs w:val="22"/>
                <w:lang w:val="es-ES"/>
              </w:rPr>
              <w:t>/</w:t>
            </w:r>
            <w:r w:rsidR="00EC30E7" w:rsidRPr="002676D1">
              <w:rPr>
                <w:rFonts w:ascii="Arial" w:eastAsia="Calibri" w:hAnsi="Arial" w:cs="Arial"/>
                <w:color w:val="000000" w:themeColor="text1"/>
                <w:sz w:val="22"/>
                <w:szCs w:val="22"/>
                <w:lang w:val="es-ES"/>
              </w:rPr>
              <w:t xml:space="preserve"> </w:t>
            </w:r>
            <w:r w:rsidRPr="002E596C">
              <w:rPr>
                <w:rFonts w:ascii="Arial" w:eastAsia="Calibri" w:hAnsi="Arial" w:cs="Arial"/>
                <w:color w:val="000000" w:themeColor="text1"/>
                <w:sz w:val="22"/>
                <w:szCs w:val="22"/>
                <w:lang w:val="es-ES"/>
              </w:rPr>
              <w:t>LEY DE GARANTÍAS ELECTORALES – Artículo 33 – Aplicación – Convenios de asociación – Entidad privadas sin ánimo de lucro – Restricción – Alcance – Procedimientos no competitivos</w:t>
            </w:r>
            <w:r>
              <w:rPr>
                <w:rFonts w:ascii="Arial" w:eastAsia="Calibri" w:hAnsi="Arial" w:cs="Arial"/>
                <w:color w:val="000000" w:themeColor="text1"/>
                <w:sz w:val="22"/>
                <w:szCs w:val="22"/>
                <w:lang w:val="es-ES"/>
              </w:rPr>
              <w:t xml:space="preserve"> / </w:t>
            </w:r>
            <w:r w:rsidRPr="002E596C">
              <w:rPr>
                <w:rFonts w:ascii="Arial" w:eastAsia="Calibri" w:hAnsi="Arial" w:cs="Arial"/>
                <w:color w:val="000000" w:themeColor="text1"/>
                <w:sz w:val="22"/>
                <w:szCs w:val="22"/>
                <w:lang w:val="es-ES"/>
              </w:rPr>
              <w:t>LEY DE GARANTÍAS ELECTORALES – Artículo 33 – Aplicación – Convenios de asociación – Restricción – Alcance – Procedimientos competitivos</w:t>
            </w:r>
          </w:p>
        </w:tc>
      </w:tr>
      <w:tr w:rsidR="00B95C30" w:rsidRPr="002676D1" w14:paraId="27CD52AB" w14:textId="77777777" w:rsidTr="008F4163">
        <w:tc>
          <w:tcPr>
            <w:tcW w:w="2689" w:type="dxa"/>
          </w:tcPr>
          <w:p w14:paraId="37E195A1" w14:textId="1BA218D5" w:rsidR="00B95C30" w:rsidRPr="002676D1" w:rsidRDefault="00B95C30" w:rsidP="008F4163">
            <w:pPr>
              <w:spacing w:before="120"/>
              <w:jc w:val="both"/>
              <w:rPr>
                <w:rFonts w:ascii="Arial" w:eastAsia="Calibri" w:hAnsi="Arial" w:cs="Arial"/>
                <w:b/>
                <w:color w:val="000000" w:themeColor="text1"/>
                <w:sz w:val="22"/>
                <w:lang w:val="es-ES"/>
              </w:rPr>
            </w:pPr>
            <w:r w:rsidRPr="002676D1">
              <w:rPr>
                <w:rFonts w:ascii="Arial" w:eastAsia="Calibri" w:hAnsi="Arial" w:cs="Arial"/>
                <w:b/>
                <w:color w:val="000000" w:themeColor="text1"/>
                <w:sz w:val="22"/>
                <w:lang w:val="es-ES"/>
              </w:rPr>
              <w:t>Radicación:</w:t>
            </w:r>
            <w:r w:rsidRPr="002676D1">
              <w:rPr>
                <w:rFonts w:ascii="Arial" w:eastAsia="Calibri" w:hAnsi="Arial" w:cs="Arial"/>
                <w:color w:val="000000" w:themeColor="text1"/>
                <w:sz w:val="22"/>
                <w:lang w:val="es-ES"/>
              </w:rPr>
              <w:t xml:space="preserve">                              </w:t>
            </w:r>
          </w:p>
        </w:tc>
        <w:tc>
          <w:tcPr>
            <w:tcW w:w="6237" w:type="dxa"/>
          </w:tcPr>
          <w:p w14:paraId="09088B1B" w14:textId="51064169" w:rsidR="00B95C30" w:rsidRPr="002676D1" w:rsidRDefault="00B95C30" w:rsidP="008F4163">
            <w:pPr>
              <w:spacing w:before="120"/>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 xml:space="preserve">Respuesta a consulta # </w:t>
            </w:r>
            <w:r w:rsidR="002676D1" w:rsidRPr="002676D1">
              <w:rPr>
                <w:rFonts w:ascii="Arial" w:eastAsia="Calibri" w:hAnsi="Arial" w:cs="Arial"/>
                <w:color w:val="000000" w:themeColor="text1"/>
                <w:sz w:val="22"/>
                <w:lang w:val="es-ES"/>
              </w:rPr>
              <w:t>P20210828007786</w:t>
            </w:r>
          </w:p>
        </w:tc>
      </w:tr>
    </w:tbl>
    <w:p w14:paraId="6643BC73" w14:textId="6D94E4B0" w:rsidR="002E3C26" w:rsidRPr="002676D1" w:rsidRDefault="002E3C26" w:rsidP="003C3339">
      <w:pPr>
        <w:jc w:val="both"/>
        <w:rPr>
          <w:rFonts w:ascii="Arial" w:eastAsia="Calibri" w:hAnsi="Arial" w:cs="Arial"/>
          <w:color w:val="000000" w:themeColor="text1"/>
          <w:sz w:val="22"/>
          <w:lang w:val="es-ES"/>
        </w:rPr>
      </w:pPr>
    </w:p>
    <w:p w14:paraId="0416277B" w14:textId="77777777" w:rsidR="00FD1854" w:rsidRPr="002676D1" w:rsidRDefault="00FD1854" w:rsidP="003C3339">
      <w:pPr>
        <w:jc w:val="both"/>
        <w:rPr>
          <w:rFonts w:ascii="Arial" w:eastAsia="Calibri" w:hAnsi="Arial" w:cs="Arial"/>
          <w:color w:val="000000" w:themeColor="text1"/>
          <w:sz w:val="22"/>
          <w:lang w:val="es-ES"/>
        </w:rPr>
      </w:pPr>
    </w:p>
    <w:p w14:paraId="1CF4AEA0" w14:textId="5B01DF4D" w:rsidR="003C3339" w:rsidRPr="002676D1" w:rsidRDefault="003C3339" w:rsidP="003C3339">
      <w:pPr>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Estimad</w:t>
      </w:r>
      <w:r w:rsidR="004E06AF" w:rsidRPr="002676D1">
        <w:rPr>
          <w:rFonts w:ascii="Arial" w:eastAsia="Calibri" w:hAnsi="Arial" w:cs="Arial"/>
          <w:color w:val="000000" w:themeColor="text1"/>
          <w:sz w:val="22"/>
          <w:lang w:val="es-ES"/>
        </w:rPr>
        <w:t>a</w:t>
      </w:r>
      <w:r w:rsidRPr="002676D1">
        <w:rPr>
          <w:rFonts w:ascii="Arial" w:eastAsia="Calibri" w:hAnsi="Arial" w:cs="Arial"/>
          <w:color w:val="000000" w:themeColor="text1"/>
          <w:sz w:val="22"/>
          <w:lang w:val="es-ES"/>
        </w:rPr>
        <w:t xml:space="preserve"> </w:t>
      </w:r>
      <w:r w:rsidR="00B549B3" w:rsidRPr="002676D1">
        <w:rPr>
          <w:rFonts w:ascii="Arial" w:eastAsia="Calibri" w:hAnsi="Arial" w:cs="Arial"/>
          <w:color w:val="000000" w:themeColor="text1"/>
          <w:sz w:val="22"/>
          <w:lang w:val="es-ES"/>
        </w:rPr>
        <w:t>señor</w:t>
      </w:r>
      <w:r w:rsidR="004E06AF" w:rsidRPr="002676D1">
        <w:rPr>
          <w:rFonts w:ascii="Arial" w:eastAsia="Calibri" w:hAnsi="Arial" w:cs="Arial"/>
          <w:color w:val="000000" w:themeColor="text1"/>
          <w:sz w:val="22"/>
          <w:lang w:val="es-ES"/>
        </w:rPr>
        <w:t>a</w:t>
      </w:r>
      <w:r w:rsidR="00B549B3" w:rsidRPr="002676D1">
        <w:rPr>
          <w:rFonts w:ascii="Arial" w:eastAsia="Calibri" w:hAnsi="Arial" w:cs="Arial"/>
          <w:color w:val="000000" w:themeColor="text1"/>
          <w:sz w:val="22"/>
          <w:lang w:val="es-ES"/>
        </w:rPr>
        <w:t xml:space="preserve"> </w:t>
      </w:r>
      <w:r w:rsidR="002676D1">
        <w:rPr>
          <w:rFonts w:ascii="Arial" w:eastAsia="Calibri" w:hAnsi="Arial" w:cs="Arial"/>
          <w:color w:val="000000" w:themeColor="text1"/>
          <w:sz w:val="22"/>
          <w:lang w:val="es-ES"/>
        </w:rPr>
        <w:t>Dávila Santacru</w:t>
      </w:r>
      <w:r w:rsidR="00176D37">
        <w:rPr>
          <w:rFonts w:ascii="Arial" w:eastAsia="Calibri" w:hAnsi="Arial" w:cs="Arial"/>
          <w:color w:val="000000" w:themeColor="text1"/>
          <w:sz w:val="22"/>
          <w:lang w:val="es-ES"/>
        </w:rPr>
        <w:t>z</w:t>
      </w:r>
      <w:r w:rsidRPr="002676D1">
        <w:rPr>
          <w:rFonts w:ascii="Arial" w:eastAsia="Calibri" w:hAnsi="Arial" w:cs="Arial"/>
          <w:color w:val="000000" w:themeColor="text1"/>
          <w:sz w:val="22"/>
          <w:lang w:val="es-ES"/>
        </w:rPr>
        <w:t>:</w:t>
      </w:r>
    </w:p>
    <w:p w14:paraId="1EAE5543" w14:textId="77777777" w:rsidR="00DD5B04" w:rsidRPr="002676D1" w:rsidRDefault="00DD5B04" w:rsidP="00DF76A2">
      <w:pPr>
        <w:jc w:val="both"/>
        <w:rPr>
          <w:rFonts w:ascii="Arial" w:eastAsia="Calibri" w:hAnsi="Arial" w:cs="Arial"/>
          <w:color w:val="000000" w:themeColor="text1"/>
          <w:sz w:val="22"/>
          <w:lang w:val="es-ES"/>
        </w:rPr>
      </w:pPr>
    </w:p>
    <w:p w14:paraId="2109B2D3" w14:textId="2328C8F6" w:rsidR="00DD5B04" w:rsidRPr="002676D1" w:rsidRDefault="00DD5B04" w:rsidP="00DF76A2">
      <w:pPr>
        <w:spacing w:line="276" w:lineRule="auto"/>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426FB4" w:rsidRPr="002676D1">
        <w:rPr>
          <w:rFonts w:ascii="Arial" w:eastAsia="Calibri" w:hAnsi="Arial" w:cs="Arial"/>
          <w:color w:val="000000" w:themeColor="text1"/>
          <w:sz w:val="22"/>
          <w:lang w:val="es-ES"/>
        </w:rPr>
        <w:t>–</w:t>
      </w:r>
      <w:r w:rsidRPr="002676D1">
        <w:rPr>
          <w:rFonts w:ascii="Arial" w:eastAsia="Calibri" w:hAnsi="Arial" w:cs="Arial"/>
          <w:color w:val="000000" w:themeColor="text1"/>
          <w:sz w:val="22"/>
          <w:lang w:val="es-ES"/>
        </w:rPr>
        <w:t xml:space="preserve"> Colombia Compra Eficiente</w:t>
      </w:r>
      <w:r w:rsidR="008C3C57" w:rsidRPr="002676D1">
        <w:rPr>
          <w:rFonts w:ascii="Arial" w:eastAsia="Calibri" w:hAnsi="Arial" w:cs="Arial"/>
          <w:color w:val="000000" w:themeColor="text1"/>
          <w:sz w:val="22"/>
          <w:lang w:val="es-ES"/>
        </w:rPr>
        <w:t xml:space="preserve"> </w:t>
      </w:r>
      <w:r w:rsidRPr="002676D1">
        <w:rPr>
          <w:rFonts w:ascii="Arial" w:eastAsia="Calibri" w:hAnsi="Arial" w:cs="Arial"/>
          <w:color w:val="000000" w:themeColor="text1"/>
          <w:sz w:val="22"/>
          <w:lang w:val="es-ES"/>
        </w:rPr>
        <w:t>responde su consulta del</w:t>
      </w:r>
      <w:r w:rsidR="004E06AF" w:rsidRPr="002676D1">
        <w:rPr>
          <w:rFonts w:ascii="Arial" w:eastAsia="Calibri" w:hAnsi="Arial" w:cs="Arial"/>
          <w:color w:val="000000" w:themeColor="text1"/>
          <w:sz w:val="22"/>
          <w:lang w:val="es-ES"/>
        </w:rPr>
        <w:t xml:space="preserve"> 22</w:t>
      </w:r>
      <w:r w:rsidR="00856F87" w:rsidRPr="002676D1">
        <w:rPr>
          <w:rFonts w:ascii="Arial" w:eastAsia="Calibri" w:hAnsi="Arial" w:cs="Arial"/>
          <w:color w:val="000000" w:themeColor="text1"/>
          <w:sz w:val="22"/>
          <w:lang w:val="es-ES"/>
        </w:rPr>
        <w:t xml:space="preserve"> de</w:t>
      </w:r>
      <w:r w:rsidR="004E06AF" w:rsidRPr="002676D1">
        <w:rPr>
          <w:rFonts w:ascii="Arial" w:eastAsia="Calibri" w:hAnsi="Arial" w:cs="Arial"/>
          <w:color w:val="000000" w:themeColor="text1"/>
          <w:sz w:val="22"/>
          <w:lang w:val="es-ES"/>
        </w:rPr>
        <w:t xml:space="preserve"> junio</w:t>
      </w:r>
      <w:r w:rsidR="00856F87" w:rsidRPr="002676D1">
        <w:rPr>
          <w:rFonts w:ascii="Arial" w:eastAsia="Calibri" w:hAnsi="Arial" w:cs="Arial"/>
          <w:color w:val="000000" w:themeColor="text1"/>
          <w:sz w:val="22"/>
          <w:lang w:val="es-ES"/>
        </w:rPr>
        <w:t xml:space="preserve"> de 2021. </w:t>
      </w:r>
    </w:p>
    <w:p w14:paraId="0C1E0712" w14:textId="77777777" w:rsidR="00DD5B04" w:rsidRPr="002676D1"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2676D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2676D1">
        <w:rPr>
          <w:rFonts w:ascii="Arial" w:eastAsia="Calibri" w:hAnsi="Arial" w:cs="Arial"/>
          <w:b/>
          <w:color w:val="000000" w:themeColor="text1"/>
          <w:sz w:val="22"/>
          <w:lang w:val="es-ES"/>
        </w:rPr>
        <w:t xml:space="preserve">Problema planteado </w:t>
      </w:r>
    </w:p>
    <w:p w14:paraId="224B43D3" w14:textId="77777777" w:rsidR="00DD5B04" w:rsidRPr="002676D1" w:rsidRDefault="00DD5B04" w:rsidP="00DF76A2">
      <w:pPr>
        <w:tabs>
          <w:tab w:val="left" w:pos="426"/>
        </w:tabs>
        <w:spacing w:line="276" w:lineRule="auto"/>
        <w:jc w:val="both"/>
        <w:rPr>
          <w:rFonts w:ascii="Arial" w:eastAsia="Calibri" w:hAnsi="Arial" w:cs="Arial"/>
          <w:b/>
          <w:color w:val="000000" w:themeColor="text1"/>
          <w:sz w:val="22"/>
          <w:lang w:val="es-ES"/>
        </w:rPr>
      </w:pPr>
    </w:p>
    <w:p w14:paraId="07720E61" w14:textId="21B93BFF" w:rsidR="00803AB0" w:rsidRPr="002676D1" w:rsidRDefault="00DD5B04" w:rsidP="006B3EB4">
      <w:pPr>
        <w:spacing w:line="276" w:lineRule="auto"/>
        <w:jc w:val="both"/>
        <w:rPr>
          <w:rFonts w:ascii="Arial" w:hAnsi="Arial" w:cs="Arial"/>
          <w:color w:val="000000" w:themeColor="text1"/>
          <w:sz w:val="22"/>
          <w:szCs w:val="22"/>
          <w:lang w:val="es-ES"/>
        </w:rPr>
      </w:pPr>
      <w:r w:rsidRPr="002676D1">
        <w:rPr>
          <w:rFonts w:ascii="Arial" w:hAnsi="Arial" w:cs="Arial"/>
          <w:color w:val="000000" w:themeColor="text1"/>
          <w:sz w:val="22"/>
          <w:lang w:val="es-ES"/>
        </w:rPr>
        <w:t xml:space="preserve">Usted </w:t>
      </w:r>
      <w:r w:rsidR="00426FB4" w:rsidRPr="002676D1">
        <w:rPr>
          <w:rFonts w:ascii="Arial" w:hAnsi="Arial" w:cs="Arial"/>
          <w:color w:val="000000" w:themeColor="text1"/>
          <w:sz w:val="22"/>
          <w:lang w:val="es-ES"/>
        </w:rPr>
        <w:t>realiza</w:t>
      </w:r>
      <w:r w:rsidR="006D46A3" w:rsidRPr="002676D1">
        <w:rPr>
          <w:rFonts w:ascii="Arial" w:hAnsi="Arial" w:cs="Arial"/>
          <w:color w:val="000000" w:themeColor="text1"/>
          <w:sz w:val="22"/>
          <w:lang w:val="es-ES"/>
        </w:rPr>
        <w:t xml:space="preserve"> la siguiente</w:t>
      </w:r>
      <w:r w:rsidR="00C028F5" w:rsidRPr="002676D1">
        <w:rPr>
          <w:rFonts w:ascii="Arial" w:hAnsi="Arial" w:cs="Arial"/>
          <w:color w:val="000000" w:themeColor="text1"/>
          <w:sz w:val="22"/>
          <w:lang w:val="es-ES"/>
        </w:rPr>
        <w:t xml:space="preserve"> </w:t>
      </w:r>
      <w:r w:rsidR="002679AB" w:rsidRPr="002676D1">
        <w:rPr>
          <w:rFonts w:ascii="Arial" w:hAnsi="Arial" w:cs="Arial"/>
          <w:color w:val="000000" w:themeColor="text1"/>
          <w:sz w:val="22"/>
          <w:lang w:val="es-ES"/>
        </w:rPr>
        <w:t>consulta</w:t>
      </w:r>
      <w:r w:rsidR="006251D3" w:rsidRPr="002676D1">
        <w:rPr>
          <w:rFonts w:ascii="Arial" w:hAnsi="Arial" w:cs="Arial"/>
          <w:color w:val="000000" w:themeColor="text1"/>
          <w:sz w:val="22"/>
          <w:lang w:val="es-ES"/>
        </w:rPr>
        <w:t>:</w:t>
      </w:r>
      <w:r w:rsidR="006251D3" w:rsidRPr="002676D1">
        <w:rPr>
          <w:rFonts w:ascii="Arial" w:hAnsi="Arial" w:cs="Arial"/>
          <w:color w:val="000000" w:themeColor="text1"/>
          <w:sz w:val="21"/>
          <w:szCs w:val="21"/>
          <w:lang w:val="es-ES"/>
        </w:rPr>
        <w:t xml:space="preserve"> </w:t>
      </w:r>
      <w:r w:rsidR="00F0435D" w:rsidRPr="002676D1">
        <w:rPr>
          <w:rFonts w:ascii="Arial" w:hAnsi="Arial" w:cs="Arial"/>
          <w:color w:val="000000" w:themeColor="text1"/>
          <w:sz w:val="22"/>
          <w:szCs w:val="22"/>
          <w:lang w:val="es-ES"/>
        </w:rPr>
        <w:t>«</w:t>
      </w:r>
      <w:r w:rsidR="002676D1" w:rsidRPr="002676D1">
        <w:rPr>
          <w:rFonts w:ascii="Arial" w:hAnsi="Arial" w:cs="Arial"/>
          <w:color w:val="000000" w:themeColor="text1"/>
          <w:sz w:val="22"/>
          <w:szCs w:val="22"/>
          <w:lang w:val="es-ES"/>
        </w:rPr>
        <w:t>Les solicito muy respetuosamente que se me haga llegar concepto de Colombia Compra Eficiente donde aclaren como se restringen con la Ley de Garantías, para 2022, los Procesos de Contratación regulados en el Decreto 092 de 2017, especialmente de las ESAL</w:t>
      </w:r>
      <w:r w:rsidR="002676D1">
        <w:rPr>
          <w:rFonts w:ascii="Arial" w:hAnsi="Arial" w:cs="Arial"/>
          <w:color w:val="000000" w:themeColor="text1"/>
          <w:sz w:val="22"/>
          <w:szCs w:val="22"/>
          <w:lang w:val="es-ES"/>
        </w:rPr>
        <w:t>».</w:t>
      </w:r>
    </w:p>
    <w:p w14:paraId="0EA7C998" w14:textId="55ED9652" w:rsidR="006D4AB2" w:rsidRPr="002676D1" w:rsidRDefault="006D4AB2" w:rsidP="006B3EB4">
      <w:pPr>
        <w:spacing w:line="276" w:lineRule="auto"/>
        <w:jc w:val="both"/>
        <w:rPr>
          <w:rFonts w:ascii="Arial" w:hAnsi="Arial" w:cs="Arial"/>
          <w:color w:val="000000" w:themeColor="text1"/>
          <w:sz w:val="22"/>
          <w:szCs w:val="22"/>
          <w:lang w:val="es-ES"/>
        </w:rPr>
      </w:pPr>
    </w:p>
    <w:p w14:paraId="124D2DCA" w14:textId="77777777" w:rsidR="00DD5B04" w:rsidRPr="002676D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2676D1">
        <w:rPr>
          <w:rFonts w:ascii="Arial" w:eastAsia="Calibri" w:hAnsi="Arial" w:cs="Arial"/>
          <w:b/>
          <w:color w:val="000000" w:themeColor="text1"/>
          <w:sz w:val="22"/>
          <w:lang w:val="es-ES"/>
        </w:rPr>
        <w:t>Consideraciones</w:t>
      </w:r>
    </w:p>
    <w:p w14:paraId="7D050D2E" w14:textId="77777777" w:rsidR="00435703" w:rsidRPr="002676D1" w:rsidRDefault="00435703" w:rsidP="00DF76A2">
      <w:pPr>
        <w:spacing w:line="276" w:lineRule="auto"/>
        <w:jc w:val="both"/>
        <w:rPr>
          <w:rFonts w:ascii="Arial" w:eastAsia="Calibri" w:hAnsi="Arial" w:cs="Arial"/>
          <w:color w:val="000000" w:themeColor="text1"/>
          <w:sz w:val="22"/>
          <w:szCs w:val="22"/>
          <w:lang w:val="es-ES"/>
        </w:rPr>
      </w:pPr>
    </w:p>
    <w:p w14:paraId="2100A875" w14:textId="64B0315D" w:rsidR="00E670DD" w:rsidRPr="002676D1" w:rsidRDefault="00E670DD" w:rsidP="00C31586">
      <w:pPr>
        <w:spacing w:after="120" w:line="276" w:lineRule="auto"/>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 xml:space="preserve">La Agencia Nacional de contratación Pública – Colombia Compra Eficiente se ha pronunciado en diferentes ocasiones sobre la Ley de Garantías, entre otros, en los </w:t>
      </w:r>
      <w:r w:rsidR="00CC71A2" w:rsidRPr="002676D1">
        <w:rPr>
          <w:rFonts w:ascii="Arial" w:eastAsia="Calibri" w:hAnsi="Arial" w:cs="Arial"/>
          <w:color w:val="000000" w:themeColor="text1"/>
          <w:sz w:val="22"/>
          <w:lang w:val="es-ES"/>
        </w:rPr>
        <w:t>c</w:t>
      </w:r>
      <w:r w:rsidRPr="002676D1">
        <w:rPr>
          <w:rFonts w:ascii="Arial" w:eastAsia="Calibri" w:hAnsi="Arial" w:cs="Arial"/>
          <w:color w:val="000000" w:themeColor="text1"/>
          <w:sz w:val="22"/>
          <w:lang w:val="es-ES"/>
        </w:rPr>
        <w:t>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CC71A2" w:rsidRPr="002676D1">
        <w:rPr>
          <w:rFonts w:ascii="Arial" w:eastAsia="Calibri" w:hAnsi="Arial" w:cs="Arial"/>
          <w:color w:val="000000" w:themeColor="text1"/>
          <w:sz w:val="22"/>
          <w:lang w:val="es-ES"/>
        </w:rPr>
        <w:t>,</w:t>
      </w:r>
      <w:r w:rsidRPr="002676D1">
        <w:rPr>
          <w:rFonts w:ascii="Arial" w:eastAsia="Calibri" w:hAnsi="Arial" w:cs="Arial"/>
          <w:color w:val="000000" w:themeColor="text1"/>
          <w:sz w:val="22"/>
          <w:lang w:val="es-ES"/>
        </w:rPr>
        <w:t xml:space="preserve"> C-227 del 24 de mayo de 2021</w:t>
      </w:r>
      <w:r w:rsidR="002676D1">
        <w:rPr>
          <w:rFonts w:ascii="Arial" w:eastAsia="Calibri" w:hAnsi="Arial" w:cs="Arial"/>
          <w:color w:val="000000" w:themeColor="text1"/>
          <w:sz w:val="22"/>
          <w:lang w:val="es-ES"/>
        </w:rPr>
        <w:t xml:space="preserve">, </w:t>
      </w:r>
      <w:r w:rsidR="00CC71A2" w:rsidRPr="002676D1">
        <w:rPr>
          <w:rFonts w:ascii="Arial" w:eastAsia="Calibri" w:hAnsi="Arial" w:cs="Arial"/>
          <w:color w:val="000000" w:themeColor="text1"/>
          <w:sz w:val="22"/>
          <w:lang w:val="es-ES"/>
        </w:rPr>
        <w:t>C-352 del 27 de julio de 2021</w:t>
      </w:r>
      <w:r w:rsidR="002676D1">
        <w:rPr>
          <w:rFonts w:ascii="Arial" w:eastAsia="Calibri" w:hAnsi="Arial" w:cs="Arial"/>
          <w:color w:val="000000" w:themeColor="text1"/>
          <w:sz w:val="22"/>
          <w:lang w:val="es-ES"/>
        </w:rPr>
        <w:t xml:space="preserve"> y C-391</w:t>
      </w:r>
      <w:r w:rsidR="00056F77">
        <w:rPr>
          <w:rFonts w:ascii="Arial" w:eastAsia="Calibri" w:hAnsi="Arial" w:cs="Arial"/>
          <w:color w:val="000000" w:themeColor="text1"/>
          <w:sz w:val="22"/>
          <w:lang w:val="es-ES"/>
        </w:rPr>
        <w:t xml:space="preserve"> del 11 de agosto de 2021</w:t>
      </w:r>
      <w:r w:rsidRPr="002676D1">
        <w:rPr>
          <w:rFonts w:ascii="Arial" w:eastAsia="Calibri" w:hAnsi="Arial" w:cs="Arial"/>
          <w:color w:val="000000" w:themeColor="text1"/>
          <w:sz w:val="22"/>
          <w:lang w:val="es-ES"/>
        </w:rPr>
        <w:t>.</w:t>
      </w:r>
    </w:p>
    <w:p w14:paraId="314B4328" w14:textId="6A441F03" w:rsidR="00E670DD" w:rsidRPr="002676D1" w:rsidRDefault="00E670DD" w:rsidP="002D152E">
      <w:pPr>
        <w:spacing w:line="276" w:lineRule="auto"/>
        <w:ind w:firstLine="708"/>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Igualmente, se ha pronunciado sobre el régimen de los contratos de asociación en los Conceptos 4201912000008310 del 26 de diciembre de 2019,  4201912000007899 del 27 de diciembre de 2019, 4201912000007901 del 27 de diciembre de 2019, C-070 04 de marzo de 2020, C</w:t>
      </w:r>
      <w:r w:rsidR="002D64CE" w:rsidRPr="002676D1">
        <w:rPr>
          <w:rFonts w:ascii="Arial" w:eastAsia="Calibri" w:hAnsi="Arial" w:cs="Arial"/>
          <w:color w:val="000000" w:themeColor="text1"/>
          <w:sz w:val="22"/>
          <w:lang w:val="es-ES"/>
        </w:rPr>
        <w:t>-</w:t>
      </w:r>
      <w:r w:rsidRPr="002676D1">
        <w:rPr>
          <w:rFonts w:ascii="Arial" w:eastAsia="Calibri" w:hAnsi="Arial" w:cs="Arial"/>
          <w:color w:val="000000" w:themeColor="text1"/>
          <w:sz w:val="22"/>
          <w:lang w:val="es-ES"/>
        </w:rPr>
        <w:t>094 del 04 de marzo de 2020,  C</w:t>
      </w:r>
      <w:r w:rsidR="00F74C4D" w:rsidRPr="002676D1">
        <w:rPr>
          <w:rFonts w:ascii="Arial" w:eastAsia="Calibri" w:hAnsi="Arial" w:cs="Arial"/>
          <w:color w:val="000000" w:themeColor="text1"/>
          <w:sz w:val="22"/>
          <w:lang w:val="es-ES"/>
        </w:rPr>
        <w:t>-</w:t>
      </w:r>
      <w:r w:rsidRPr="002676D1">
        <w:rPr>
          <w:rFonts w:ascii="Arial" w:eastAsia="Calibri" w:hAnsi="Arial" w:cs="Arial"/>
          <w:color w:val="000000" w:themeColor="text1"/>
          <w:sz w:val="22"/>
          <w:lang w:val="es-ES"/>
        </w:rPr>
        <w:t xml:space="preserve">086 del 16 de marzo de 2020,  C-101 del 16 de marzo de 2020, C-228 del 17 de marzo de 2020, C-014 del 24 de marzo de 2020, C-215 de 31 de marzo de 2020, C-223 del 29 de abril de 2020, C-416 del 30 de junio de 2020, C-447 del 27 de julio de 2020, C-513 del 30 de julio de 2020, C-483 del 06 de agosto de 2020, C-579 del 4 de septiembre de 2020, C-594 del 7 de septiembre de 2020, C-670 del 22 de noviembre de 2020, C-689 del 1º de diciembre de 2020, C-724 de 14 de </w:t>
      </w:r>
      <w:r w:rsidR="00D33178" w:rsidRPr="002676D1">
        <w:rPr>
          <w:rFonts w:ascii="Arial" w:eastAsia="Calibri" w:hAnsi="Arial" w:cs="Arial"/>
          <w:color w:val="000000" w:themeColor="text1"/>
          <w:sz w:val="22"/>
          <w:lang w:val="es-ES"/>
        </w:rPr>
        <w:t>di</w:t>
      </w:r>
      <w:r w:rsidRPr="002676D1">
        <w:rPr>
          <w:rFonts w:ascii="Arial" w:eastAsia="Calibri" w:hAnsi="Arial" w:cs="Arial"/>
          <w:color w:val="000000" w:themeColor="text1"/>
          <w:sz w:val="22"/>
          <w:lang w:val="es-ES"/>
        </w:rPr>
        <w:t>ci</w:t>
      </w:r>
      <w:r w:rsidR="00D33178" w:rsidRPr="002676D1">
        <w:rPr>
          <w:rFonts w:ascii="Arial" w:eastAsia="Calibri" w:hAnsi="Arial" w:cs="Arial"/>
          <w:color w:val="000000" w:themeColor="text1"/>
          <w:sz w:val="22"/>
          <w:lang w:val="es-ES"/>
        </w:rPr>
        <w:t>e</w:t>
      </w:r>
      <w:r w:rsidRPr="002676D1">
        <w:rPr>
          <w:rFonts w:ascii="Arial" w:eastAsia="Calibri" w:hAnsi="Arial" w:cs="Arial"/>
          <w:color w:val="000000" w:themeColor="text1"/>
          <w:sz w:val="22"/>
          <w:lang w:val="es-ES"/>
        </w:rPr>
        <w:t>mbre de 2020, C-749 del 23 de diciembre de 2020, C</w:t>
      </w:r>
      <w:r w:rsidR="00932014" w:rsidRPr="002676D1">
        <w:rPr>
          <w:rFonts w:ascii="Arial" w:eastAsia="Calibri" w:hAnsi="Arial" w:cs="Arial"/>
          <w:color w:val="000000" w:themeColor="text1"/>
          <w:sz w:val="22"/>
          <w:lang w:val="es-ES"/>
        </w:rPr>
        <w:t>-</w:t>
      </w:r>
      <w:r w:rsidRPr="002676D1">
        <w:rPr>
          <w:rFonts w:ascii="Arial" w:eastAsia="Calibri" w:hAnsi="Arial" w:cs="Arial"/>
          <w:color w:val="000000" w:themeColor="text1"/>
          <w:sz w:val="22"/>
          <w:lang w:val="es-ES"/>
        </w:rPr>
        <w:t>758 del 04 de enero de 2021</w:t>
      </w:r>
      <w:r w:rsidR="00932014" w:rsidRPr="002676D1">
        <w:rPr>
          <w:rFonts w:ascii="Arial" w:eastAsia="Calibri" w:hAnsi="Arial" w:cs="Arial"/>
          <w:color w:val="000000" w:themeColor="text1"/>
          <w:sz w:val="22"/>
          <w:lang w:val="es-ES"/>
        </w:rPr>
        <w:t>, C-782 del 19 de enero de 2021</w:t>
      </w:r>
      <w:r w:rsidR="00056F77">
        <w:rPr>
          <w:rFonts w:ascii="Arial" w:eastAsia="Calibri" w:hAnsi="Arial" w:cs="Arial"/>
          <w:color w:val="000000" w:themeColor="text1"/>
          <w:sz w:val="22"/>
          <w:lang w:val="es-ES"/>
        </w:rPr>
        <w:t xml:space="preserve">, </w:t>
      </w:r>
      <w:r w:rsidRPr="002676D1">
        <w:rPr>
          <w:rFonts w:ascii="Arial" w:eastAsia="Calibri" w:hAnsi="Arial" w:cs="Arial"/>
          <w:color w:val="000000" w:themeColor="text1"/>
          <w:sz w:val="22"/>
          <w:lang w:val="es-ES"/>
        </w:rPr>
        <w:t>C-057 del 10 de marzo de 2021</w:t>
      </w:r>
      <w:r w:rsidR="00056F77">
        <w:rPr>
          <w:rFonts w:ascii="Arial" w:eastAsia="Calibri" w:hAnsi="Arial" w:cs="Arial"/>
          <w:color w:val="000000" w:themeColor="text1"/>
          <w:sz w:val="22"/>
          <w:lang w:val="es-ES"/>
        </w:rPr>
        <w:t xml:space="preserve"> y C-391 del 11 de agosto de 2021</w:t>
      </w:r>
      <w:r w:rsidRPr="002676D1">
        <w:rPr>
          <w:rFonts w:ascii="Arial" w:eastAsia="Calibri" w:hAnsi="Arial" w:cs="Arial"/>
          <w:color w:val="000000" w:themeColor="text1"/>
          <w:sz w:val="22"/>
          <w:lang w:val="es-ES"/>
        </w:rPr>
        <w:t>. En lo pertinente, la tesis propuesta en estos conceptos se reitera y se complementa a continuación:</w:t>
      </w:r>
    </w:p>
    <w:p w14:paraId="0D27A697" w14:textId="452E95D1" w:rsidR="00F433CB" w:rsidRPr="002676D1" w:rsidRDefault="00F433CB" w:rsidP="00F433CB">
      <w:pPr>
        <w:spacing w:line="276" w:lineRule="auto"/>
        <w:jc w:val="both"/>
        <w:rPr>
          <w:rFonts w:ascii="Arial" w:eastAsia="Calibri" w:hAnsi="Arial" w:cs="Arial"/>
          <w:color w:val="000000" w:themeColor="text1"/>
          <w:sz w:val="22"/>
          <w:lang w:val="es-ES"/>
        </w:rPr>
      </w:pPr>
    </w:p>
    <w:p w14:paraId="27365E26" w14:textId="123C52AB" w:rsidR="00F433CB" w:rsidRPr="002676D1" w:rsidRDefault="00F433CB" w:rsidP="006B3EB4">
      <w:pPr>
        <w:spacing w:line="276" w:lineRule="auto"/>
        <w:jc w:val="both"/>
        <w:rPr>
          <w:rFonts w:ascii="Arial" w:hAnsi="Arial" w:cs="Arial"/>
          <w:b/>
          <w:bCs/>
          <w:color w:val="000000" w:themeColor="text1"/>
          <w:sz w:val="22"/>
          <w:szCs w:val="22"/>
          <w:lang w:val="es-ES"/>
        </w:rPr>
      </w:pPr>
      <w:r w:rsidRPr="002676D1">
        <w:rPr>
          <w:rFonts w:ascii="Arial" w:eastAsia="Calibri" w:hAnsi="Arial" w:cs="Arial"/>
          <w:b/>
          <w:bCs/>
          <w:color w:val="000000" w:themeColor="text1"/>
          <w:sz w:val="22"/>
          <w:lang w:val="es-ES"/>
        </w:rPr>
        <w:t xml:space="preserve">2.1. Finalidad </w:t>
      </w:r>
      <w:r w:rsidR="009B231D" w:rsidRPr="002676D1">
        <w:rPr>
          <w:rFonts w:ascii="Arial" w:eastAsia="Calibri" w:hAnsi="Arial" w:cs="Arial"/>
          <w:b/>
          <w:bCs/>
          <w:color w:val="000000" w:themeColor="text1"/>
          <w:sz w:val="22"/>
          <w:lang w:val="es-ES"/>
        </w:rPr>
        <w:t xml:space="preserve">y restricciones </w:t>
      </w:r>
      <w:r w:rsidRPr="002676D1">
        <w:rPr>
          <w:rFonts w:ascii="Arial" w:eastAsia="Calibri" w:hAnsi="Arial" w:cs="Arial"/>
          <w:b/>
          <w:bCs/>
          <w:color w:val="000000" w:themeColor="text1"/>
          <w:sz w:val="22"/>
          <w:lang w:val="es-ES"/>
        </w:rPr>
        <w:t>de la Ley de Garantías Electorales</w:t>
      </w:r>
    </w:p>
    <w:p w14:paraId="69BD1413" w14:textId="15B81743" w:rsidR="00F433CB" w:rsidRPr="002676D1" w:rsidRDefault="00F433CB" w:rsidP="00271230">
      <w:pPr>
        <w:spacing w:line="276" w:lineRule="auto"/>
        <w:jc w:val="both"/>
        <w:rPr>
          <w:rFonts w:ascii="Arial" w:eastAsia="Calibri" w:hAnsi="Arial" w:cs="Arial"/>
          <w:color w:val="000000" w:themeColor="text1"/>
          <w:sz w:val="22"/>
          <w:szCs w:val="22"/>
          <w:lang w:val="es-ES"/>
        </w:rPr>
      </w:pPr>
    </w:p>
    <w:p w14:paraId="13FA39EC" w14:textId="3AA5C09B" w:rsidR="000077D0" w:rsidRPr="002676D1" w:rsidRDefault="000077D0" w:rsidP="006B3EB4">
      <w:pPr>
        <w:tabs>
          <w:tab w:val="left" w:pos="426"/>
        </w:tabs>
        <w:spacing w:after="120" w:line="276" w:lineRule="auto"/>
        <w:jc w:val="both"/>
        <w:rPr>
          <w:rFonts w:ascii="Arial" w:eastAsia="Calibri" w:hAnsi="Arial" w:cs="Arial"/>
          <w:bCs/>
          <w:sz w:val="22"/>
          <w:lang w:val="es-ES"/>
        </w:rPr>
      </w:pPr>
      <w:r w:rsidRPr="002676D1">
        <w:rPr>
          <w:rFonts w:ascii="Arial" w:eastAsia="Calibri" w:hAnsi="Arial" w:cs="Arial"/>
          <w:bCs/>
          <w:sz w:val="22"/>
          <w:lang w:val="es-ES"/>
        </w:rPr>
        <w:t>El ordenamiento jurídico colombiano contempla previsiones claras para evitar la obtención de beneficios personales en asuntos propios de la administración pública</w:t>
      </w:r>
      <w:r w:rsidR="00095607" w:rsidRPr="002676D1">
        <w:rPr>
          <w:rFonts w:ascii="Arial" w:eastAsia="Calibri" w:hAnsi="Arial" w:cs="Arial"/>
          <w:bCs/>
          <w:sz w:val="22"/>
          <w:lang w:val="es-ES"/>
        </w:rPr>
        <w:t>. Por ejemplo,</w:t>
      </w:r>
      <w:r w:rsidRPr="002676D1">
        <w:rPr>
          <w:rFonts w:ascii="Arial" w:eastAsia="Calibri" w:hAnsi="Arial" w:cs="Arial"/>
          <w:bCs/>
          <w:sz w:val="22"/>
          <w:lang w:val="es-ES"/>
        </w:rPr>
        <w:t xml:space="preserve"> el artículo 127 de la Constitución Política establece una prohibición contractual a los servidores públicos y en cuanto a aspectos políticos establece restricciones a ciertos empleados del Estado, incluso en época no electoral</w:t>
      </w:r>
      <w:r w:rsidRPr="002676D1">
        <w:rPr>
          <w:rStyle w:val="Refdenotaalpie"/>
          <w:rFonts w:ascii="Arial" w:eastAsia="Calibri" w:hAnsi="Arial" w:cs="Arial"/>
          <w:bCs/>
          <w:sz w:val="22"/>
          <w:lang w:val="es-ES"/>
        </w:rPr>
        <w:footnoteReference w:id="2"/>
      </w:r>
      <w:r w:rsidRPr="002676D1">
        <w:rPr>
          <w:rFonts w:ascii="Arial" w:eastAsia="Calibri" w:hAnsi="Arial" w:cs="Arial"/>
          <w:bCs/>
          <w:sz w:val="22"/>
          <w:lang w:val="es-ES"/>
        </w:rPr>
        <w:t xml:space="preserve">. </w:t>
      </w:r>
    </w:p>
    <w:p w14:paraId="018CC89D" w14:textId="401094E2" w:rsidR="000077D0" w:rsidRPr="002676D1" w:rsidRDefault="000077D0" w:rsidP="006B3EB4">
      <w:pPr>
        <w:tabs>
          <w:tab w:val="left" w:pos="426"/>
        </w:tabs>
        <w:spacing w:line="276" w:lineRule="auto"/>
        <w:jc w:val="both"/>
        <w:rPr>
          <w:rFonts w:ascii="Arial" w:hAnsi="Arial" w:cs="Arial"/>
          <w:bCs/>
          <w:color w:val="000000"/>
          <w:sz w:val="22"/>
          <w:lang w:val="es-ES" w:eastAsia="es-CO"/>
        </w:rPr>
      </w:pPr>
      <w:r w:rsidRPr="002676D1">
        <w:rPr>
          <w:rFonts w:ascii="Arial" w:hAnsi="Arial" w:cs="Arial"/>
          <w:bCs/>
          <w:color w:val="000000"/>
          <w:sz w:val="22"/>
          <w:lang w:val="es-ES" w:eastAsia="es-CO"/>
        </w:rPr>
        <w:lastRenderedPageBreak/>
        <w:tab/>
      </w:r>
      <w:r w:rsidR="003D6087" w:rsidRPr="002676D1">
        <w:rPr>
          <w:rFonts w:ascii="Arial" w:hAnsi="Arial" w:cs="Arial"/>
          <w:bCs/>
          <w:color w:val="000000"/>
          <w:sz w:val="22"/>
          <w:lang w:val="es-ES" w:eastAsia="es-CO"/>
        </w:rPr>
        <w:tab/>
      </w:r>
      <w:r w:rsidRPr="002676D1">
        <w:rPr>
          <w:rFonts w:ascii="Arial" w:hAnsi="Arial" w:cs="Arial"/>
          <w:bCs/>
          <w:color w:val="000000"/>
          <w:sz w:val="22"/>
          <w:lang w:val="es-ES" w:eastAsia="es-CO"/>
        </w:rPr>
        <w:t>En el mismo sentido, la Ley 996 de 2005 se suma a</w:t>
      </w:r>
      <w:r w:rsidR="008D38A6" w:rsidRPr="002676D1">
        <w:rPr>
          <w:rFonts w:ascii="Arial" w:hAnsi="Arial" w:cs="Arial"/>
          <w:bCs/>
          <w:color w:val="000000"/>
          <w:sz w:val="22"/>
          <w:lang w:val="es-ES" w:eastAsia="es-CO"/>
        </w:rPr>
        <w:t xml:space="preserve"> las normas jurídicas</w:t>
      </w:r>
      <w:r w:rsidRPr="002676D1">
        <w:rPr>
          <w:rFonts w:ascii="Arial" w:hAnsi="Arial" w:cs="Arial"/>
          <w:bCs/>
          <w:color w:val="000000"/>
          <w:sz w:val="22"/>
          <w:lang w:val="es-ES" w:eastAsia="es-CO"/>
        </w:rPr>
        <w:t xml:space="preserve"> constitucional</w:t>
      </w:r>
      <w:r w:rsidR="005E2915" w:rsidRPr="002676D1">
        <w:rPr>
          <w:rFonts w:ascii="Arial" w:hAnsi="Arial" w:cs="Arial"/>
          <w:bCs/>
          <w:color w:val="000000"/>
          <w:sz w:val="22"/>
          <w:lang w:val="es-ES" w:eastAsia="es-CO"/>
        </w:rPr>
        <w:t>es</w:t>
      </w:r>
      <w:r w:rsidRPr="002676D1">
        <w:rPr>
          <w:rFonts w:ascii="Arial" w:hAnsi="Arial" w:cs="Arial"/>
          <w:bCs/>
          <w:color w:val="000000"/>
          <w:sz w:val="22"/>
          <w:lang w:val="es-ES" w:eastAsia="es-CO"/>
        </w:rPr>
        <w:t xml:space="preserve"> y legal</w:t>
      </w:r>
      <w:r w:rsidR="005E2915" w:rsidRPr="002676D1">
        <w:rPr>
          <w:rFonts w:ascii="Arial" w:hAnsi="Arial" w:cs="Arial"/>
          <w:bCs/>
          <w:color w:val="000000"/>
          <w:sz w:val="22"/>
          <w:lang w:val="es-ES" w:eastAsia="es-CO"/>
        </w:rPr>
        <w:t>es</w:t>
      </w:r>
      <w:r w:rsidRPr="002676D1">
        <w:rPr>
          <w:rFonts w:ascii="Arial" w:hAnsi="Arial" w:cs="Arial"/>
          <w:bCs/>
          <w:color w:val="000000"/>
          <w:sz w:val="22"/>
          <w:lang w:val="es-ES" w:eastAsia="es-CO"/>
        </w:rPr>
        <w:t xml:space="preserve"> que se ha ocupado de evitar la injerencia de intereses particulares en el ejercicio de la función pública</w:t>
      </w:r>
      <w:r w:rsidR="002A3132" w:rsidRPr="002676D1">
        <w:rPr>
          <w:rFonts w:ascii="Arial" w:hAnsi="Arial" w:cs="Arial"/>
          <w:bCs/>
          <w:color w:val="000000"/>
          <w:sz w:val="22"/>
          <w:lang w:val="es-ES" w:eastAsia="es-CO"/>
        </w:rPr>
        <w:t>.</w:t>
      </w:r>
      <w:r w:rsidRPr="002676D1">
        <w:rPr>
          <w:rFonts w:ascii="Arial" w:hAnsi="Arial" w:cs="Arial"/>
          <w:bCs/>
          <w:color w:val="000000"/>
          <w:sz w:val="22"/>
          <w:lang w:val="es-ES" w:eastAsia="es-CO"/>
        </w:rPr>
        <w:t xml:space="preserve"> </w:t>
      </w:r>
      <w:r w:rsidR="002A3132" w:rsidRPr="002676D1">
        <w:rPr>
          <w:rFonts w:ascii="Arial" w:hAnsi="Arial" w:cs="Arial"/>
          <w:bCs/>
          <w:color w:val="000000"/>
          <w:sz w:val="22"/>
          <w:lang w:val="es-ES" w:eastAsia="es-CO"/>
        </w:rPr>
        <w:t>R</w:t>
      </w:r>
      <w:r w:rsidRPr="002676D1">
        <w:rPr>
          <w:rFonts w:ascii="Arial" w:hAnsi="Arial" w:cs="Arial"/>
          <w:bCs/>
          <w:color w:val="000000"/>
          <w:sz w:val="22"/>
          <w:lang w:val="es-ES" w:eastAsia="es-CO"/>
        </w:rPr>
        <w:t xml:space="preserve">especto a su finalidad, </w:t>
      </w:r>
      <w:r w:rsidR="002A3132" w:rsidRPr="002676D1">
        <w:rPr>
          <w:rFonts w:ascii="Arial" w:hAnsi="Arial" w:cs="Arial"/>
          <w:bCs/>
          <w:color w:val="000000"/>
          <w:sz w:val="22"/>
          <w:lang w:val="es-ES" w:eastAsia="es-CO"/>
        </w:rPr>
        <w:t>conforme a</w:t>
      </w:r>
      <w:r w:rsidRPr="002676D1">
        <w:rPr>
          <w:rFonts w:ascii="Arial" w:hAnsi="Arial" w:cs="Arial"/>
          <w:bCs/>
          <w:color w:val="000000"/>
          <w:sz w:val="22"/>
          <w:lang w:val="es-ES" w:eastAsia="es-CO"/>
        </w:rPr>
        <w:t xml:space="preserve"> la Gaceta del Congreso de la República No. 71 del 2005</w:t>
      </w:r>
      <w:r w:rsidR="002A3132" w:rsidRPr="002676D1">
        <w:rPr>
          <w:rFonts w:ascii="Arial" w:hAnsi="Arial" w:cs="Arial"/>
          <w:bCs/>
          <w:color w:val="000000"/>
          <w:sz w:val="22"/>
          <w:lang w:val="es-ES" w:eastAsia="es-CO"/>
        </w:rPr>
        <w:t>,</w:t>
      </w:r>
      <w:r w:rsidRPr="002676D1">
        <w:rPr>
          <w:rFonts w:ascii="Arial" w:hAnsi="Arial" w:cs="Arial"/>
          <w:bCs/>
          <w:color w:val="000000"/>
          <w:sz w:val="22"/>
          <w:lang w:val="es-ES" w:eastAsia="es-CO"/>
        </w:rPr>
        <w:t xml:space="preserve"> tiene como propósito evitar cualquier tipo de arbitrariedad, de ventaja injustificada, de uso irregular de los recursos del Estado en las campañas o falta de garantías en la elección </w:t>
      </w:r>
      <w:r w:rsidR="00B02668" w:rsidRPr="002676D1">
        <w:rPr>
          <w:rFonts w:ascii="Arial" w:hAnsi="Arial" w:cs="Arial"/>
          <w:bCs/>
          <w:color w:val="000000"/>
          <w:sz w:val="22"/>
          <w:lang w:val="es-ES" w:eastAsia="es-CO"/>
        </w:rPr>
        <w:t>presidencial, introduciendo</w:t>
      </w:r>
      <w:r w:rsidRPr="002676D1">
        <w:rPr>
          <w:rFonts w:ascii="Arial" w:hAnsi="Arial" w:cs="Arial"/>
          <w:bCs/>
          <w:color w:val="000000"/>
          <w:sz w:val="22"/>
          <w:lang w:val="es-ES" w:eastAsia="es-CO"/>
        </w:rPr>
        <w:t xml:space="preserve"> limitaciones para realizar nombramientos, postulaciones, contrataciones o cualquier otro tipo de actividad que implique destinación de recursos públicos.</w:t>
      </w:r>
      <w:r w:rsidRPr="002676D1">
        <w:rPr>
          <w:rFonts w:ascii="Arial" w:eastAsia="Calibri" w:hAnsi="Arial" w:cs="Arial"/>
          <w:sz w:val="22"/>
          <w:lang w:val="es-ES"/>
        </w:rPr>
        <w:t xml:space="preserve"> </w:t>
      </w:r>
      <w:r w:rsidRPr="002676D1">
        <w:rPr>
          <w:rFonts w:ascii="Arial" w:hAnsi="Arial" w:cs="Arial"/>
          <w:bCs/>
          <w:color w:val="000000"/>
          <w:sz w:val="22"/>
          <w:lang w:val="es-ES" w:eastAsia="es-CO"/>
        </w:rPr>
        <w:t xml:space="preserve">En armonía con lo anterior, la Corte Constitucional </w:t>
      </w:r>
      <w:r w:rsidR="006042CD" w:rsidRPr="002676D1">
        <w:rPr>
          <w:rFonts w:ascii="Arial" w:hAnsi="Arial" w:cs="Arial"/>
          <w:bCs/>
          <w:color w:val="000000"/>
          <w:sz w:val="22"/>
          <w:lang w:val="es-ES" w:eastAsia="es-CO"/>
        </w:rPr>
        <w:t xml:space="preserve">–en la Sentencia C-1153 de 2005– </w:t>
      </w:r>
      <w:r w:rsidR="00EF507B" w:rsidRPr="002676D1">
        <w:rPr>
          <w:rFonts w:ascii="Arial" w:hAnsi="Arial" w:cs="Arial"/>
          <w:bCs/>
          <w:color w:val="000000"/>
          <w:sz w:val="22"/>
          <w:lang w:val="es-ES" w:eastAsia="es-CO"/>
        </w:rPr>
        <w:t>consider</w:t>
      </w:r>
      <w:r w:rsidR="003D6087" w:rsidRPr="002676D1">
        <w:rPr>
          <w:rFonts w:ascii="Arial" w:hAnsi="Arial" w:cs="Arial"/>
          <w:bCs/>
          <w:color w:val="000000"/>
          <w:sz w:val="22"/>
          <w:lang w:val="es-ES" w:eastAsia="es-CO"/>
        </w:rPr>
        <w:t>ó</w:t>
      </w:r>
      <w:r w:rsidR="00EF507B" w:rsidRPr="002676D1">
        <w:rPr>
          <w:rFonts w:ascii="Arial" w:hAnsi="Arial" w:cs="Arial"/>
          <w:bCs/>
          <w:color w:val="000000"/>
          <w:sz w:val="22"/>
          <w:lang w:val="es-ES" w:eastAsia="es-CO"/>
        </w:rPr>
        <w:t xml:space="preserve"> </w:t>
      </w:r>
      <w:r w:rsidR="00C6249B" w:rsidRPr="002676D1">
        <w:rPr>
          <w:rFonts w:ascii="Arial" w:hAnsi="Arial" w:cs="Arial"/>
          <w:bCs/>
          <w:color w:val="000000"/>
          <w:sz w:val="22"/>
          <w:lang w:val="es-ES" w:eastAsia="es-CO"/>
        </w:rPr>
        <w:t>que</w:t>
      </w:r>
      <w:r w:rsidRPr="002676D1">
        <w:rPr>
          <w:rFonts w:ascii="Arial" w:hAnsi="Arial" w:cs="Arial"/>
          <w:bCs/>
          <w:color w:val="000000"/>
          <w:sz w:val="22"/>
          <w:lang w:val="es-ES" w:eastAsia="es-CO"/>
        </w:rPr>
        <w:t>:</w:t>
      </w:r>
    </w:p>
    <w:p w14:paraId="10F8D327" w14:textId="77777777" w:rsidR="000077D0" w:rsidRPr="002676D1" w:rsidRDefault="000077D0" w:rsidP="006B3EB4">
      <w:pPr>
        <w:ind w:right="709"/>
        <w:jc w:val="both"/>
        <w:rPr>
          <w:rFonts w:ascii="Arial" w:hAnsi="Arial" w:cs="Arial"/>
          <w:sz w:val="21"/>
          <w:szCs w:val="21"/>
          <w:lang w:val="es-ES" w:eastAsia="es-CO"/>
        </w:rPr>
      </w:pPr>
    </w:p>
    <w:p w14:paraId="4F9602BD" w14:textId="3AA595F2" w:rsidR="000077D0" w:rsidRPr="002676D1" w:rsidRDefault="000077D0" w:rsidP="006B3EB4">
      <w:pPr>
        <w:ind w:left="709" w:right="709"/>
        <w:jc w:val="both"/>
        <w:rPr>
          <w:rFonts w:ascii="Arial" w:hAnsi="Arial" w:cs="Arial"/>
          <w:bCs/>
          <w:color w:val="000000"/>
          <w:sz w:val="21"/>
          <w:szCs w:val="21"/>
          <w:lang w:val="es-ES" w:eastAsia="es-CO"/>
        </w:rPr>
      </w:pPr>
      <w:r w:rsidRPr="002676D1">
        <w:rPr>
          <w:rFonts w:ascii="Arial" w:hAnsi="Arial" w:cs="Arial"/>
          <w:bCs/>
          <w:color w:val="000000"/>
          <w:sz w:val="21"/>
          <w:szCs w:val="21"/>
          <w:lang w:val="es-ES" w:eastAsia="es-CO"/>
        </w:rPr>
        <w:t>Una ley de garantías electorales es una guía para el ejercicio equitativo y transparente de la democracia representativa. Un estatuto diseñado para asegurar que la contienda democrática se cumpla en condiciones igualitarias y transparentes para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p>
    <w:p w14:paraId="48F3F838" w14:textId="77777777" w:rsidR="000077D0" w:rsidRPr="002676D1" w:rsidRDefault="000077D0" w:rsidP="006B3EB4">
      <w:pPr>
        <w:ind w:left="709" w:right="709"/>
        <w:jc w:val="both"/>
        <w:rPr>
          <w:rFonts w:ascii="Arial" w:hAnsi="Arial" w:cs="Arial"/>
          <w:bCs/>
          <w:color w:val="000000"/>
          <w:sz w:val="21"/>
          <w:szCs w:val="21"/>
          <w:lang w:val="es-ES" w:eastAsia="es-CO"/>
        </w:rPr>
      </w:pPr>
    </w:p>
    <w:p w14:paraId="080C6A96" w14:textId="7D7634EF" w:rsidR="000077D0" w:rsidRPr="002676D1" w:rsidRDefault="000077D0" w:rsidP="006B3EB4">
      <w:pPr>
        <w:spacing w:line="276" w:lineRule="auto"/>
        <w:ind w:firstLine="709"/>
        <w:jc w:val="both"/>
        <w:rPr>
          <w:rFonts w:ascii="Arial" w:hAnsi="Arial" w:cs="Arial"/>
          <w:bCs/>
          <w:color w:val="000000"/>
          <w:sz w:val="22"/>
          <w:lang w:val="es-ES" w:eastAsia="es-CO"/>
        </w:rPr>
      </w:pPr>
      <w:r w:rsidRPr="002676D1">
        <w:rPr>
          <w:rFonts w:ascii="Arial" w:hAnsi="Arial" w:cs="Arial"/>
          <w:bCs/>
          <w:color w:val="000000"/>
          <w:sz w:val="22"/>
          <w:lang w:val="es-ES" w:eastAsia="es-CO"/>
        </w:rPr>
        <w:t>Siguiendo el derrotero</w:t>
      </w:r>
      <w:r w:rsidR="00813798" w:rsidRPr="00813798">
        <w:rPr>
          <w:rFonts w:ascii="Arial" w:hAnsi="Arial" w:cs="Arial"/>
          <w:bCs/>
          <w:color w:val="000000"/>
          <w:sz w:val="22"/>
          <w:lang w:val="es-ES" w:eastAsia="es-CO"/>
        </w:rPr>
        <w:t xml:space="preserve"> </w:t>
      </w:r>
      <w:r w:rsidR="00813798" w:rsidRPr="002676D1">
        <w:rPr>
          <w:rFonts w:ascii="Arial" w:hAnsi="Arial" w:cs="Arial"/>
          <w:bCs/>
          <w:color w:val="000000"/>
          <w:sz w:val="22"/>
          <w:lang w:val="es-ES" w:eastAsia="es-CO"/>
        </w:rPr>
        <w:t>mencionado</w:t>
      </w:r>
      <w:r w:rsidRPr="002676D1">
        <w:rPr>
          <w:rFonts w:ascii="Arial" w:hAnsi="Arial" w:cs="Arial"/>
          <w:bCs/>
          <w:color w:val="000000"/>
          <w:sz w:val="22"/>
          <w:lang w:val="es-ES" w:eastAsia="es-CO"/>
        </w:rPr>
        <w:t xml:space="preserve">, la Ley de Garantías Electorales establece el marco jurídico para el desarrollo de las elecciones, procurando condiciones de igualdad y transparencia para los aspirantes </w:t>
      </w:r>
      <w:r w:rsidR="00692FCD" w:rsidRPr="002676D1">
        <w:rPr>
          <w:rFonts w:ascii="Arial" w:hAnsi="Arial" w:cs="Arial"/>
          <w:bCs/>
          <w:color w:val="000000"/>
          <w:sz w:val="22"/>
          <w:lang w:val="es-ES" w:eastAsia="es-CO"/>
        </w:rPr>
        <w:t>al tiempo que</w:t>
      </w:r>
      <w:r w:rsidRPr="002676D1">
        <w:rPr>
          <w:rFonts w:ascii="Arial" w:hAnsi="Arial" w:cs="Arial"/>
          <w:bCs/>
          <w:color w:val="000000"/>
          <w:sz w:val="22"/>
          <w:lang w:val="es-ES" w:eastAsia="es-CO"/>
        </w:rPr>
        <w:t xml:space="preserve"> se incluyen restricciones en el actuar de los servidores públicos, evitando interferencias en la contienda electoral, así como la posible desviación de recursos públicos en aspiraciones electorales.</w:t>
      </w:r>
      <w:r w:rsidR="00DE771D" w:rsidRPr="002676D1">
        <w:rPr>
          <w:rFonts w:ascii="Arial" w:hAnsi="Arial" w:cs="Arial"/>
          <w:bCs/>
          <w:color w:val="000000"/>
          <w:sz w:val="22"/>
          <w:lang w:val="es-ES" w:eastAsia="es-CO"/>
        </w:rPr>
        <w:t xml:space="preserve"> Incluso</w:t>
      </w:r>
      <w:r w:rsidRPr="002676D1">
        <w:rPr>
          <w:rFonts w:ascii="Arial" w:hAnsi="Arial" w:cs="Arial"/>
          <w:bCs/>
          <w:color w:val="000000"/>
          <w:sz w:val="22"/>
          <w:lang w:val="es-ES" w:eastAsia="es-CO"/>
        </w:rPr>
        <w:t xml:space="preserve">, varias de las disposiciones de la Ley 996 de 2005, al contener normas prohibitivas, no admiten una interpretación amplia, sino que deben interpretarse restrictivamente. En efecto, lo anterior fue indicado por la Sala de Consulta y Servicio Civil del Consejo de Estado al </w:t>
      </w:r>
      <w:r w:rsidR="00B40D1D" w:rsidRPr="002676D1">
        <w:rPr>
          <w:rFonts w:ascii="Arial" w:hAnsi="Arial" w:cs="Arial"/>
          <w:bCs/>
          <w:color w:val="000000"/>
          <w:sz w:val="22"/>
          <w:lang w:val="es-ES" w:eastAsia="es-CO"/>
        </w:rPr>
        <w:t>precisa</w:t>
      </w:r>
      <w:r w:rsidR="003D0A1F" w:rsidRPr="002676D1">
        <w:rPr>
          <w:rFonts w:ascii="Arial" w:hAnsi="Arial" w:cs="Arial"/>
          <w:bCs/>
          <w:color w:val="000000"/>
          <w:sz w:val="22"/>
          <w:lang w:val="es-ES" w:eastAsia="es-CO"/>
        </w:rPr>
        <w:t>r</w:t>
      </w:r>
      <w:r w:rsidR="00B40D1D" w:rsidRPr="002676D1">
        <w:rPr>
          <w:rFonts w:ascii="Arial" w:hAnsi="Arial" w:cs="Arial"/>
          <w:bCs/>
          <w:color w:val="000000"/>
          <w:sz w:val="22"/>
          <w:lang w:val="es-ES" w:eastAsia="es-CO"/>
        </w:rPr>
        <w:t xml:space="preserve"> que</w:t>
      </w:r>
      <w:r w:rsidRPr="002676D1">
        <w:rPr>
          <w:rFonts w:ascii="Arial" w:hAnsi="Arial" w:cs="Arial"/>
          <w:bCs/>
          <w:color w:val="000000"/>
          <w:sz w:val="22"/>
          <w:lang w:val="es-ES" w:eastAsia="es-CO"/>
        </w:rPr>
        <w:t>:</w:t>
      </w:r>
    </w:p>
    <w:p w14:paraId="5F619F1C" w14:textId="77777777" w:rsidR="000077D0" w:rsidRPr="002676D1" w:rsidRDefault="000077D0" w:rsidP="00C31586">
      <w:pPr>
        <w:spacing w:line="276" w:lineRule="auto"/>
        <w:ind w:firstLine="709"/>
        <w:jc w:val="both"/>
        <w:rPr>
          <w:rFonts w:ascii="Arial" w:hAnsi="Arial" w:cs="Arial"/>
          <w:bCs/>
          <w:color w:val="000000"/>
          <w:sz w:val="22"/>
          <w:lang w:val="es-ES" w:eastAsia="es-CO"/>
        </w:rPr>
      </w:pPr>
    </w:p>
    <w:p w14:paraId="0E96BD32" w14:textId="3AD9B4BA" w:rsidR="000077D0" w:rsidRPr="002676D1" w:rsidRDefault="000077D0" w:rsidP="00C31586">
      <w:pPr>
        <w:spacing w:after="120"/>
        <w:ind w:left="709" w:right="709"/>
        <w:jc w:val="both"/>
        <w:rPr>
          <w:rFonts w:ascii="Arial" w:hAnsi="Arial" w:cs="Arial"/>
          <w:bCs/>
          <w:color w:val="000000"/>
          <w:sz w:val="21"/>
          <w:szCs w:val="21"/>
          <w:lang w:val="es-ES" w:eastAsia="es-CO"/>
        </w:rPr>
      </w:pPr>
      <w:r w:rsidRPr="002676D1">
        <w:rPr>
          <w:rFonts w:ascii="Arial" w:hAnsi="Arial" w:cs="Arial"/>
          <w:bCs/>
          <w:color w:val="000000"/>
          <w:sz w:val="21"/>
          <w:szCs w:val="21"/>
          <w:lang w:val="es-ES"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2676D1">
        <w:rPr>
          <w:rFonts w:ascii="Arial" w:hAnsi="Arial" w:cs="Arial"/>
          <w:bCs/>
          <w:color w:val="000000"/>
          <w:sz w:val="21"/>
          <w:szCs w:val="21"/>
          <w:lang w:val="es-ES" w:eastAsia="es-CO"/>
        </w:rPr>
        <w:t>legis</w:t>
      </w:r>
      <w:proofErr w:type="spellEnd"/>
      <w:r w:rsidRPr="002676D1">
        <w:rPr>
          <w:rFonts w:ascii="Arial" w:hAnsi="Arial" w:cs="Arial"/>
          <w:bCs/>
          <w:color w:val="000000"/>
          <w:sz w:val="21"/>
          <w:szCs w:val="21"/>
          <w:lang w:val="es-ES"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47E4EDD2" w14:textId="77777777" w:rsidR="000077D0" w:rsidRPr="002676D1" w:rsidRDefault="000077D0" w:rsidP="006B3EB4">
      <w:pPr>
        <w:ind w:left="709" w:right="709"/>
        <w:jc w:val="both"/>
        <w:rPr>
          <w:rFonts w:ascii="Arial" w:hAnsi="Arial" w:cs="Arial"/>
          <w:bCs/>
          <w:color w:val="000000"/>
          <w:sz w:val="21"/>
          <w:szCs w:val="21"/>
          <w:lang w:val="es-ES" w:eastAsia="es-CO"/>
        </w:rPr>
      </w:pPr>
      <w:r w:rsidRPr="002676D1">
        <w:rPr>
          <w:rFonts w:ascii="Arial" w:hAnsi="Arial" w:cs="Arial"/>
          <w:bCs/>
          <w:color w:val="000000"/>
          <w:sz w:val="21"/>
          <w:szCs w:val="21"/>
          <w:lang w:val="es-ES" w:eastAsia="es-CO"/>
        </w:rPr>
        <w:lastRenderedPageBreak/>
        <w:t>La jurisprudencia de la Corte Constitucional</w:t>
      </w:r>
      <w:r w:rsidRPr="002676D1">
        <w:rPr>
          <w:rStyle w:val="Refdenotaalpie"/>
          <w:rFonts w:ascii="Arial" w:hAnsi="Arial" w:cs="Arial"/>
          <w:bCs/>
          <w:color w:val="000000"/>
          <w:sz w:val="21"/>
          <w:szCs w:val="21"/>
          <w:lang w:val="es-ES" w:eastAsia="es-CO"/>
        </w:rPr>
        <w:footnoteReference w:id="3"/>
      </w:r>
      <w:r w:rsidRPr="002676D1">
        <w:rPr>
          <w:rFonts w:ascii="Arial" w:hAnsi="Arial" w:cs="Arial"/>
          <w:bCs/>
          <w:color w:val="000000"/>
          <w:sz w:val="21"/>
          <w:szCs w:val="21"/>
          <w:lang w:val="es-ES" w:eastAsia="es-CO"/>
        </w:rPr>
        <w:t> y del Consejo de Estado</w:t>
      </w:r>
      <w:r w:rsidRPr="002676D1">
        <w:rPr>
          <w:rStyle w:val="Refdenotaalpie"/>
          <w:rFonts w:ascii="Arial" w:hAnsi="Arial" w:cs="Arial"/>
          <w:bCs/>
          <w:color w:val="000000"/>
          <w:sz w:val="21"/>
          <w:szCs w:val="21"/>
          <w:lang w:val="es-ES" w:eastAsia="es-CO"/>
        </w:rPr>
        <w:footnoteReference w:id="4"/>
      </w:r>
      <w:r w:rsidRPr="002676D1">
        <w:rPr>
          <w:rFonts w:ascii="Arial" w:hAnsi="Arial" w:cs="Arial"/>
          <w:bCs/>
          <w:color w:val="000000"/>
          <w:sz w:val="21"/>
          <w:szCs w:val="21"/>
          <w:lang w:val="es-ES"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676D1">
        <w:rPr>
          <w:rStyle w:val="Refdenotaalpie"/>
          <w:rFonts w:ascii="Arial" w:hAnsi="Arial" w:cs="Arial"/>
          <w:bCs/>
          <w:color w:val="000000"/>
          <w:sz w:val="22"/>
          <w:lang w:val="es-ES" w:eastAsia="es-CO"/>
        </w:rPr>
        <w:footnoteReference w:id="5"/>
      </w:r>
      <w:r w:rsidRPr="002676D1">
        <w:rPr>
          <w:rFonts w:ascii="Arial" w:hAnsi="Arial" w:cs="Arial"/>
          <w:bCs/>
          <w:color w:val="000000"/>
          <w:sz w:val="21"/>
          <w:szCs w:val="21"/>
          <w:lang w:val="es-ES" w:eastAsia="es-CO"/>
        </w:rPr>
        <w:t>.</w:t>
      </w:r>
    </w:p>
    <w:p w14:paraId="34847625" w14:textId="77777777" w:rsidR="000077D0" w:rsidRPr="002676D1" w:rsidRDefault="000077D0" w:rsidP="006B3EB4">
      <w:pPr>
        <w:spacing w:line="276" w:lineRule="auto"/>
        <w:ind w:right="709"/>
        <w:jc w:val="both"/>
        <w:rPr>
          <w:rFonts w:ascii="Arial" w:hAnsi="Arial" w:cs="Arial"/>
          <w:bCs/>
          <w:color w:val="000000"/>
          <w:sz w:val="22"/>
          <w:szCs w:val="22"/>
          <w:lang w:val="es-ES" w:eastAsia="es-CO"/>
        </w:rPr>
      </w:pPr>
    </w:p>
    <w:p w14:paraId="2285B6E2" w14:textId="59FB3BDB" w:rsidR="000077D0" w:rsidRPr="002676D1" w:rsidRDefault="000077D0" w:rsidP="006B3EB4">
      <w:pPr>
        <w:widowControl w:val="0"/>
        <w:autoSpaceDE w:val="0"/>
        <w:autoSpaceDN w:val="0"/>
        <w:spacing w:after="120" w:line="276" w:lineRule="auto"/>
        <w:ind w:right="113" w:firstLine="708"/>
        <w:jc w:val="both"/>
        <w:rPr>
          <w:rFonts w:ascii="Arial" w:eastAsia="Arial" w:hAnsi="Arial" w:cs="Arial"/>
          <w:sz w:val="22"/>
          <w:lang w:val="es-ES" w:eastAsia="es-ES" w:bidi="es-ES"/>
        </w:rPr>
      </w:pPr>
      <w:r w:rsidRPr="002676D1">
        <w:rPr>
          <w:rFonts w:ascii="Arial" w:eastAsia="Arial" w:hAnsi="Arial" w:cs="Arial"/>
          <w:sz w:val="22"/>
          <w:lang w:val="es-ES" w:eastAsia="es-ES" w:bidi="es-ES"/>
        </w:rPr>
        <w:t>De conformidad con lo anterior, es claro que la 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los demás cargos de elección popular, tanto a nivel nacional como territorial.</w:t>
      </w:r>
    </w:p>
    <w:p w14:paraId="7EC5C9CC" w14:textId="3A7DA258" w:rsidR="000077D0" w:rsidRPr="002676D1" w:rsidRDefault="000077D0" w:rsidP="006B3EB4">
      <w:pPr>
        <w:spacing w:after="160" w:line="276" w:lineRule="auto"/>
        <w:ind w:firstLine="708"/>
        <w:jc w:val="both"/>
        <w:rPr>
          <w:rFonts w:ascii="Arial" w:eastAsia="Calibri" w:hAnsi="Arial" w:cs="Arial"/>
          <w:sz w:val="22"/>
          <w:lang w:val="es-ES"/>
        </w:rPr>
      </w:pPr>
      <w:r w:rsidRPr="002676D1">
        <w:rPr>
          <w:rFonts w:ascii="Arial" w:eastAsia="Calibri" w:hAnsi="Arial" w:cs="Arial"/>
          <w:sz w:val="22"/>
          <w:lang w:val="es-ES"/>
        </w:rPr>
        <w:t xml:space="preserve">Conforme a esto, el artículo 33 de la Ley 996 de 2005 </w:t>
      </w:r>
      <w:r w:rsidR="00772CD5" w:rsidRPr="002676D1">
        <w:rPr>
          <w:rFonts w:ascii="Arial" w:eastAsia="Calibri" w:hAnsi="Arial" w:cs="Arial"/>
          <w:sz w:val="22"/>
          <w:lang w:val="es-ES"/>
        </w:rPr>
        <w:t>prohíbe</w:t>
      </w:r>
      <w:r w:rsidRPr="002676D1">
        <w:rPr>
          <w:rFonts w:ascii="Arial" w:eastAsia="Calibri" w:hAnsi="Arial" w:cs="Arial"/>
          <w:sz w:val="22"/>
          <w:lang w:val="es-ES"/>
        </w:rPr>
        <w:t xml:space="preserve"> </w:t>
      </w:r>
      <w:r w:rsidRPr="002676D1">
        <w:rPr>
          <w:rFonts w:ascii="Arial" w:eastAsia="Calibri" w:hAnsi="Arial" w:cs="Arial"/>
          <w:bCs/>
          <w:sz w:val="22"/>
          <w:lang w:val="es-ES"/>
        </w:rPr>
        <w:t xml:space="preserve">«[…] </w:t>
      </w:r>
      <w:r w:rsidRPr="002676D1">
        <w:rPr>
          <w:rFonts w:ascii="Arial" w:eastAsia="Calibri" w:hAnsi="Arial" w:cs="Arial"/>
          <w:sz w:val="22"/>
          <w:lang w:val="es-ES"/>
        </w:rPr>
        <w:t>la contratación directa por parte de todos los entes del Estado</w:t>
      </w:r>
      <w:r w:rsidRPr="002676D1">
        <w:rPr>
          <w:rFonts w:ascii="Arial" w:eastAsia="Calibri" w:hAnsi="Arial" w:cs="Arial"/>
          <w:bCs/>
          <w:sz w:val="22"/>
          <w:lang w:val="es-ES"/>
        </w:rPr>
        <w:t>»</w:t>
      </w:r>
      <w:r w:rsidRPr="002676D1">
        <w:rPr>
          <w:rFonts w:ascii="Arial" w:eastAsia="Calibri" w:hAnsi="Arial" w:cs="Arial"/>
          <w:sz w:val="22"/>
          <w:lang w:val="es-ES"/>
        </w:rPr>
        <w:t xml:space="preserve"> durante los cuatro (4) meses anteriores a las elecciones presidenciales, salvo </w:t>
      </w:r>
      <w:r w:rsidRPr="002676D1">
        <w:rPr>
          <w:rFonts w:ascii="Arial" w:eastAsia="Calibri" w:hAnsi="Arial" w:cs="Arial"/>
          <w:bCs/>
          <w:sz w:val="22"/>
          <w:lang w:val="es-ES"/>
        </w:rPr>
        <w:t xml:space="preserve">«[…] </w:t>
      </w:r>
      <w:r w:rsidRPr="002676D1">
        <w:rPr>
          <w:rFonts w:ascii="Arial" w:eastAsia="Calibri" w:hAnsi="Arial" w:cs="Arial"/>
          <w:sz w:val="22"/>
          <w:lang w:val="es-E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2676D1">
        <w:rPr>
          <w:rFonts w:ascii="Arial" w:eastAsia="Calibri" w:hAnsi="Arial" w:cs="Arial"/>
          <w:bCs/>
          <w:sz w:val="22"/>
          <w:lang w:val="es-ES"/>
        </w:rPr>
        <w:t>»</w:t>
      </w:r>
      <w:r w:rsidRPr="002676D1">
        <w:rPr>
          <w:rFonts w:ascii="Arial" w:eastAsia="Calibri" w:hAnsi="Arial" w:cs="Arial"/>
          <w:bCs/>
          <w:sz w:val="22"/>
          <w:vertAlign w:val="superscript"/>
          <w:lang w:val="es-ES"/>
        </w:rPr>
        <w:footnoteReference w:id="6"/>
      </w:r>
      <w:r w:rsidRPr="002676D1">
        <w:rPr>
          <w:rFonts w:ascii="Arial" w:eastAsia="Calibri" w:hAnsi="Arial" w:cs="Arial"/>
          <w:sz w:val="22"/>
          <w:lang w:val="es-ES"/>
        </w:rPr>
        <w:t>.</w:t>
      </w:r>
    </w:p>
    <w:p w14:paraId="795C71CE" w14:textId="3F8C12AE" w:rsidR="000077D0" w:rsidRPr="002676D1" w:rsidRDefault="000077D0" w:rsidP="006B3EB4">
      <w:pPr>
        <w:spacing w:line="276" w:lineRule="auto"/>
        <w:ind w:firstLine="708"/>
        <w:jc w:val="both"/>
        <w:rPr>
          <w:rFonts w:ascii="Arial" w:eastAsia="Calibri" w:hAnsi="Arial" w:cs="Arial"/>
          <w:sz w:val="22"/>
          <w:lang w:val="es-ES"/>
        </w:rPr>
      </w:pPr>
      <w:r w:rsidRPr="002676D1">
        <w:rPr>
          <w:rFonts w:ascii="Arial" w:eastAsia="Calibri" w:hAnsi="Arial" w:cs="Arial"/>
          <w:sz w:val="22"/>
          <w:lang w:val="es-ES"/>
        </w:rPr>
        <w:lastRenderedPageBreak/>
        <w:t xml:space="preserve">Por su parte, el parágrafo del artículo 38 de la Ley 996 de 2005 </w:t>
      </w:r>
      <w:r w:rsidR="00813798">
        <w:rPr>
          <w:rFonts w:ascii="Arial" w:eastAsia="Calibri" w:hAnsi="Arial" w:cs="Arial"/>
          <w:sz w:val="22"/>
          <w:lang w:val="es-ES"/>
        </w:rPr>
        <w:t>regula</w:t>
      </w:r>
      <w:r w:rsidR="00813798" w:rsidRPr="002676D1">
        <w:rPr>
          <w:rFonts w:ascii="Arial" w:eastAsia="Calibri" w:hAnsi="Arial" w:cs="Arial"/>
          <w:sz w:val="22"/>
          <w:lang w:val="es-ES"/>
        </w:rPr>
        <w:t xml:space="preserve"> </w:t>
      </w:r>
      <w:r w:rsidRPr="002676D1">
        <w:rPr>
          <w:rFonts w:ascii="Arial" w:eastAsia="Calibri" w:hAnsi="Arial" w:cs="Arial"/>
          <w:sz w:val="22"/>
          <w:lang w:val="es-ES"/>
        </w:rPr>
        <w:t xml:space="preserve">una restricción, aplicable respecto de cualquier tipo de elección, que prohíbe a los gobernadores, alcaldes municipales o distritales, secretarios, gerentes y directores de entidades descentralizadas del orden municipal, departamental o distrital </w:t>
      </w:r>
      <w:r w:rsidRPr="002676D1">
        <w:rPr>
          <w:rFonts w:ascii="Arial" w:eastAsia="Calibri" w:hAnsi="Arial" w:cs="Arial"/>
          <w:bCs/>
          <w:sz w:val="22"/>
          <w:lang w:val="es-ES"/>
        </w:rPr>
        <w:t xml:space="preserve">«[…] </w:t>
      </w:r>
      <w:r w:rsidRPr="002676D1">
        <w:rPr>
          <w:rFonts w:ascii="Arial" w:eastAsia="Calibri" w:hAnsi="Arial" w:cs="Arial"/>
          <w:sz w:val="22"/>
          <w:lang w:val="es-E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6D1">
        <w:rPr>
          <w:rFonts w:ascii="Arial" w:eastAsia="Calibri" w:hAnsi="Arial" w:cs="Arial"/>
          <w:bCs/>
          <w:sz w:val="19"/>
          <w:szCs w:val="19"/>
          <w:lang w:val="es-ES"/>
        </w:rPr>
        <w:t>»</w:t>
      </w:r>
      <w:r w:rsidRPr="002676D1">
        <w:rPr>
          <w:rFonts w:ascii="Arial" w:eastAsia="Calibri" w:hAnsi="Arial" w:cs="Arial"/>
          <w:bCs/>
          <w:sz w:val="19"/>
          <w:szCs w:val="19"/>
          <w:vertAlign w:val="superscript"/>
          <w:lang w:val="es-ES"/>
        </w:rPr>
        <w:footnoteReference w:id="7"/>
      </w:r>
      <w:r w:rsidRPr="002676D1">
        <w:rPr>
          <w:rFonts w:ascii="Arial" w:eastAsia="Calibri" w:hAnsi="Arial" w:cs="Arial"/>
          <w:sz w:val="22"/>
          <w:lang w:val="es-ES"/>
        </w:rPr>
        <w:t>.</w:t>
      </w:r>
      <w:r w:rsidR="00F14E28" w:rsidRPr="002676D1">
        <w:rPr>
          <w:rFonts w:ascii="Arial" w:eastAsia="Calibri" w:hAnsi="Arial" w:cs="Arial"/>
          <w:sz w:val="22"/>
          <w:lang w:val="es-ES"/>
        </w:rPr>
        <w:t xml:space="preserve"> </w:t>
      </w:r>
      <w:r w:rsidRPr="002676D1">
        <w:rPr>
          <w:rFonts w:ascii="Arial" w:eastAsia="Arial" w:hAnsi="Arial" w:cs="Arial"/>
          <w:sz w:val="22"/>
          <w:lang w:val="es-ES" w:eastAsia="es-ES" w:bidi="es-ES"/>
        </w:rPr>
        <w:t xml:space="preserve">La Sala de Consulta y Servicio Civil del Consejo de Estado </w:t>
      </w:r>
      <w:r w:rsidR="00F14E28" w:rsidRPr="002676D1">
        <w:rPr>
          <w:rFonts w:ascii="Arial" w:eastAsia="Arial" w:hAnsi="Arial" w:cs="Arial"/>
          <w:sz w:val="22"/>
          <w:lang w:val="es-ES" w:eastAsia="es-ES" w:bidi="es-ES"/>
        </w:rPr>
        <w:t>aclara</w:t>
      </w:r>
      <w:r w:rsidRPr="002676D1">
        <w:rPr>
          <w:rFonts w:ascii="Arial" w:eastAsia="Arial" w:hAnsi="Arial" w:cs="Arial"/>
          <w:sz w:val="22"/>
          <w:lang w:val="es-ES" w:eastAsia="es-ES" w:bidi="es-ES"/>
        </w:rPr>
        <w:t xml:space="preserve"> la distinción </w:t>
      </w:r>
      <w:r w:rsidR="00DD2CEF" w:rsidRPr="002676D1">
        <w:rPr>
          <w:rFonts w:ascii="Arial" w:eastAsia="Arial" w:hAnsi="Arial" w:cs="Arial"/>
          <w:sz w:val="22"/>
          <w:lang w:val="es-ES" w:eastAsia="es-ES" w:bidi="es-ES"/>
        </w:rPr>
        <w:t>en</w:t>
      </w:r>
      <w:r w:rsidRPr="002676D1">
        <w:rPr>
          <w:rFonts w:ascii="Arial" w:eastAsia="Arial" w:hAnsi="Arial" w:cs="Arial"/>
          <w:sz w:val="22"/>
          <w:lang w:val="es-ES" w:eastAsia="es-ES" w:bidi="es-ES"/>
        </w:rPr>
        <w:t xml:space="preserve"> las prohibiciones de la Ley 996 de 2005, dependiendo del tipo de elección que se trate</w:t>
      </w:r>
      <w:r w:rsidR="004D4A64" w:rsidRPr="002676D1">
        <w:rPr>
          <w:rFonts w:ascii="Arial" w:eastAsia="Arial" w:hAnsi="Arial" w:cs="Arial"/>
          <w:sz w:val="22"/>
          <w:lang w:val="es-ES" w:eastAsia="es-ES" w:bidi="es-ES"/>
        </w:rPr>
        <w:t>, en los siguientes términos</w:t>
      </w:r>
      <w:r w:rsidRPr="002676D1">
        <w:rPr>
          <w:rFonts w:ascii="Arial" w:eastAsia="Arial" w:hAnsi="Arial" w:cs="Arial"/>
          <w:sz w:val="22"/>
          <w:lang w:val="es-ES" w:eastAsia="es-ES" w:bidi="es-ES"/>
        </w:rPr>
        <w:t>:</w:t>
      </w:r>
    </w:p>
    <w:p w14:paraId="6A86F075" w14:textId="77777777" w:rsidR="000077D0" w:rsidRPr="002676D1" w:rsidRDefault="000077D0" w:rsidP="006B3EB4">
      <w:pPr>
        <w:widowControl w:val="0"/>
        <w:autoSpaceDE w:val="0"/>
        <w:autoSpaceDN w:val="0"/>
        <w:ind w:right="812"/>
        <w:jc w:val="both"/>
        <w:rPr>
          <w:rFonts w:ascii="Arial" w:eastAsia="Arial" w:hAnsi="Arial" w:cs="Arial"/>
          <w:sz w:val="22"/>
          <w:lang w:val="es-ES" w:eastAsia="es-ES" w:bidi="es-ES"/>
        </w:rPr>
      </w:pPr>
    </w:p>
    <w:p w14:paraId="55C3A5D3" w14:textId="075F8489" w:rsidR="000077D0" w:rsidRPr="002676D1" w:rsidRDefault="000077D0" w:rsidP="006B3EB4">
      <w:pPr>
        <w:widowControl w:val="0"/>
        <w:autoSpaceDE w:val="0"/>
        <w:autoSpaceDN w:val="0"/>
        <w:ind w:left="709" w:right="709"/>
        <w:jc w:val="both"/>
        <w:rPr>
          <w:rFonts w:ascii="Arial" w:eastAsia="Arial" w:hAnsi="Arial" w:cs="Arial"/>
          <w:sz w:val="22"/>
          <w:lang w:val="es-ES" w:eastAsia="es-ES" w:bidi="es-ES"/>
        </w:rPr>
      </w:pPr>
      <w:r w:rsidRPr="002676D1">
        <w:rPr>
          <w:rFonts w:ascii="Arial" w:eastAsia="Arial" w:hAnsi="Arial" w:cs="Arial"/>
          <w:sz w:val="22"/>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676D1">
        <w:rPr>
          <w:rFonts w:ascii="Arial" w:eastAsia="Arial" w:hAnsi="Arial" w:cs="Arial"/>
          <w:bCs/>
          <w:sz w:val="22"/>
          <w:lang w:val="es-ES" w:eastAsia="es-ES" w:bidi="es-ES"/>
        </w:rPr>
        <w:t xml:space="preserve">En cambio, para elecciones en general, excluyendo las correspondientes a </w:t>
      </w:r>
      <w:proofErr w:type="gramStart"/>
      <w:r w:rsidRPr="002676D1">
        <w:rPr>
          <w:rFonts w:ascii="Arial" w:eastAsia="Arial" w:hAnsi="Arial" w:cs="Arial"/>
          <w:bCs/>
          <w:sz w:val="22"/>
          <w:lang w:val="es-ES" w:eastAsia="es-ES" w:bidi="es-ES"/>
        </w:rPr>
        <w:t>Presidente</w:t>
      </w:r>
      <w:proofErr w:type="gramEnd"/>
      <w:r w:rsidRPr="002676D1">
        <w:rPr>
          <w:rFonts w:ascii="Arial" w:eastAsia="Arial" w:hAnsi="Arial" w:cs="Arial"/>
          <w:bCs/>
          <w:sz w:val="22"/>
          <w:lang w:val="es-ES" w:eastAsia="es-ES" w:bidi="es-ES"/>
        </w:rPr>
        <w:t xml:space="preserve"> de la República, a las autoridades territoriales allí mencionadas sólo se aplican las restricciones contenidas en el parágrafo del artículo 38</w:t>
      </w:r>
      <w:r w:rsidRPr="002676D1">
        <w:rPr>
          <w:rFonts w:ascii="Arial" w:eastAsia="Arial" w:hAnsi="Arial" w:cs="Arial"/>
          <w:sz w:val="22"/>
          <w:vertAlign w:val="superscript"/>
          <w:lang w:val="es-ES" w:eastAsia="es-ES" w:bidi="es-ES"/>
        </w:rPr>
        <w:footnoteReference w:id="8"/>
      </w:r>
      <w:r w:rsidR="004002C6" w:rsidRPr="002676D1">
        <w:rPr>
          <w:rFonts w:ascii="Arial" w:eastAsia="Arial" w:hAnsi="Arial" w:cs="Arial"/>
          <w:bCs/>
          <w:sz w:val="22"/>
          <w:lang w:val="es-ES" w:eastAsia="es-ES" w:bidi="es-ES"/>
        </w:rPr>
        <w:t>.</w:t>
      </w:r>
      <w:r w:rsidRPr="002676D1">
        <w:rPr>
          <w:rFonts w:ascii="Calibri" w:eastAsia="Arial" w:hAnsi="Calibri" w:cs="Arial"/>
          <w:position w:val="8"/>
          <w:sz w:val="16"/>
          <w:lang w:val="es-ES" w:eastAsia="es-ES" w:bidi="es-ES"/>
        </w:rPr>
        <w:t xml:space="preserve"> </w:t>
      </w:r>
    </w:p>
    <w:p w14:paraId="4DBD6A04" w14:textId="77777777" w:rsidR="000077D0" w:rsidRPr="002676D1" w:rsidRDefault="000077D0" w:rsidP="006B3EB4">
      <w:pPr>
        <w:widowControl w:val="0"/>
        <w:autoSpaceDE w:val="0"/>
        <w:autoSpaceDN w:val="0"/>
        <w:spacing w:before="8"/>
        <w:jc w:val="both"/>
        <w:rPr>
          <w:rFonts w:ascii="Arial" w:eastAsia="Arial" w:hAnsi="Arial" w:cs="Arial"/>
          <w:sz w:val="26"/>
          <w:lang w:val="es-ES" w:eastAsia="es-ES" w:bidi="es-ES"/>
        </w:rPr>
      </w:pPr>
    </w:p>
    <w:p w14:paraId="7698F789" w14:textId="790FDD23" w:rsidR="000077D0" w:rsidRPr="002676D1" w:rsidRDefault="000077D0" w:rsidP="003707CB">
      <w:pPr>
        <w:spacing w:line="276" w:lineRule="auto"/>
        <w:ind w:firstLine="708"/>
        <w:jc w:val="both"/>
        <w:rPr>
          <w:rFonts w:ascii="Arial" w:eastAsia="Arial" w:hAnsi="Arial" w:cs="Arial"/>
          <w:sz w:val="22"/>
          <w:lang w:val="es-ES" w:eastAsia="es-ES" w:bidi="es-ES"/>
        </w:rPr>
      </w:pPr>
      <w:r w:rsidRPr="002676D1">
        <w:rPr>
          <w:rFonts w:ascii="Arial" w:eastAsia="Arial" w:hAnsi="Arial" w:cs="Arial"/>
          <w:sz w:val="22"/>
          <w:lang w:val="es-ES" w:eastAsia="es-ES" w:bidi="es-ES"/>
        </w:rPr>
        <w:t>De</w:t>
      </w:r>
      <w:r w:rsidR="004D4A64" w:rsidRPr="002676D1">
        <w:rPr>
          <w:rFonts w:ascii="Arial" w:eastAsia="Arial" w:hAnsi="Arial" w:cs="Arial"/>
          <w:sz w:val="22"/>
          <w:lang w:val="es-ES" w:eastAsia="es-ES" w:bidi="es-ES"/>
        </w:rPr>
        <w:t xml:space="preserve"> lo anterior se desprende</w:t>
      </w:r>
      <w:r w:rsidR="00962FA0" w:rsidRPr="002676D1">
        <w:rPr>
          <w:rFonts w:ascii="Arial" w:eastAsia="Arial" w:hAnsi="Arial" w:cs="Arial"/>
          <w:sz w:val="22"/>
          <w:lang w:val="es-ES" w:eastAsia="es-ES" w:bidi="es-ES"/>
        </w:rPr>
        <w:t xml:space="preserve"> que</w:t>
      </w:r>
      <w:r w:rsidRPr="002676D1">
        <w:rPr>
          <w:rFonts w:ascii="Arial" w:eastAsia="Arial" w:hAnsi="Arial" w:cs="Arial"/>
          <w:sz w:val="22"/>
          <w:lang w:val="es-ES" w:eastAsia="es-ES" w:bidi="es-ES"/>
        </w:rPr>
        <w:t xml:space="preserve"> la Ley 996 de 2005 establece dos</w:t>
      </w:r>
      <w:r w:rsidR="00813798">
        <w:rPr>
          <w:rFonts w:ascii="Arial" w:eastAsia="Arial" w:hAnsi="Arial" w:cs="Arial"/>
          <w:sz w:val="22"/>
          <w:lang w:val="es-ES" w:eastAsia="es-ES" w:bidi="es-ES"/>
        </w:rPr>
        <w:t xml:space="preserve"> (2)</w:t>
      </w:r>
      <w:r w:rsidRPr="002676D1">
        <w:rPr>
          <w:rFonts w:ascii="Arial" w:eastAsia="Arial" w:hAnsi="Arial" w:cs="Arial"/>
          <w:sz w:val="22"/>
          <w:lang w:val="es-ES" w:eastAsia="es-ES" w:bidi="es-ES"/>
        </w:rPr>
        <w:t xml:space="preserve"> tipos de restricciones en materia de contratación, las cuales coinciden parcialmente</w:t>
      </w:r>
      <w:r w:rsidR="003707CB" w:rsidRPr="002676D1">
        <w:rPr>
          <w:rFonts w:ascii="Arial" w:eastAsia="Arial" w:hAnsi="Arial" w:cs="Arial"/>
          <w:sz w:val="22"/>
          <w:lang w:val="es-ES" w:eastAsia="es-ES" w:bidi="es-ES"/>
        </w:rPr>
        <w:t>. Por un lado,</w:t>
      </w:r>
      <w:r w:rsidRPr="002676D1">
        <w:rPr>
          <w:rFonts w:ascii="Arial" w:eastAsia="Arial" w:hAnsi="Arial" w:cs="Arial"/>
          <w:sz w:val="22"/>
          <w:lang w:val="es-ES" w:eastAsia="es-ES" w:bidi="es-ES"/>
        </w:rPr>
        <w:t xml:space="preserve"> la </w:t>
      </w:r>
      <w:r w:rsidRPr="002676D1">
        <w:rPr>
          <w:rFonts w:ascii="Arial" w:eastAsia="Arial" w:hAnsi="Arial" w:cs="Arial"/>
          <w:sz w:val="22"/>
          <w:lang w:val="es-ES" w:eastAsia="es-ES" w:bidi="es-ES"/>
        </w:rPr>
        <w:lastRenderedPageBreak/>
        <w:t>del artículo 33 que opera solo respecto de las elecciones presidenciales, en virtud de la cual queda proscrita la contratación directa dentro de los cuatro (4) meses anteriores a la celebración de los comicios, salvo las aludidas excepciones</w:t>
      </w:r>
      <w:r w:rsidR="003707CB" w:rsidRPr="002676D1">
        <w:rPr>
          <w:rFonts w:ascii="Arial" w:eastAsia="Arial" w:hAnsi="Arial" w:cs="Arial"/>
          <w:sz w:val="22"/>
          <w:lang w:val="es-ES" w:eastAsia="es-ES" w:bidi="es-ES"/>
        </w:rPr>
        <w:t>. Por otra parte,</w:t>
      </w:r>
      <w:r w:rsidRPr="002676D1">
        <w:rPr>
          <w:rFonts w:ascii="Arial" w:eastAsia="Arial" w:hAnsi="Arial" w:cs="Arial"/>
          <w:sz w:val="22"/>
          <w:lang w:val="es-ES" w:eastAsia="es-ES" w:bidi="es-ES"/>
        </w:rPr>
        <w:t xml:space="preserve"> la del artículo 38, </w:t>
      </w:r>
      <w:r w:rsidR="003F1767" w:rsidRPr="002676D1">
        <w:rPr>
          <w:rFonts w:ascii="Arial" w:eastAsia="Arial" w:hAnsi="Arial" w:cs="Arial"/>
          <w:sz w:val="22"/>
          <w:lang w:val="es-ES" w:eastAsia="es-ES" w:bidi="es-ES"/>
        </w:rPr>
        <w:t>aplicable</w:t>
      </w:r>
      <w:r w:rsidRPr="002676D1">
        <w:rPr>
          <w:rFonts w:ascii="Arial" w:eastAsia="Arial" w:hAnsi="Arial" w:cs="Arial"/>
          <w:sz w:val="22"/>
          <w:lang w:val="es-ES" w:eastAsia="es-ES" w:bidi="es-ES"/>
        </w:rPr>
        <w:t xml:space="preserve"> respecto de cualquier tipo de elección, que prohíbe la celebración de convenios </w:t>
      </w:r>
      <w:r w:rsidR="003D6087" w:rsidRPr="002676D1">
        <w:rPr>
          <w:rFonts w:ascii="Arial" w:eastAsia="Arial" w:hAnsi="Arial" w:cs="Arial"/>
          <w:sz w:val="22"/>
          <w:lang w:val="es-ES" w:eastAsia="es-ES" w:bidi="es-ES"/>
        </w:rPr>
        <w:t xml:space="preserve">o contratos </w:t>
      </w:r>
      <w:r w:rsidRPr="002676D1">
        <w:rPr>
          <w:rFonts w:ascii="Arial" w:eastAsia="Arial" w:hAnsi="Arial" w:cs="Arial"/>
          <w:sz w:val="22"/>
          <w:lang w:val="es-ES" w:eastAsia="es-ES" w:bidi="es-ES"/>
        </w:rPr>
        <w:t>interadministrativos que impliquen la ejecución de recursos públicos</w:t>
      </w:r>
      <w:r w:rsidR="00BD6C03" w:rsidRPr="002676D1">
        <w:rPr>
          <w:rFonts w:ascii="Arial" w:eastAsia="Arial" w:hAnsi="Arial" w:cs="Arial"/>
          <w:sz w:val="22"/>
          <w:lang w:val="es-ES" w:eastAsia="es-ES" w:bidi="es-ES"/>
        </w:rPr>
        <w:t>, por parte de las autoridades señaladas en el parágrafo de dich</w:t>
      </w:r>
      <w:r w:rsidR="00813798">
        <w:rPr>
          <w:rFonts w:ascii="Arial" w:eastAsia="Arial" w:hAnsi="Arial" w:cs="Arial"/>
          <w:sz w:val="22"/>
          <w:lang w:val="es-ES" w:eastAsia="es-ES" w:bidi="es-ES"/>
        </w:rPr>
        <w:t>a</w:t>
      </w:r>
      <w:r w:rsidR="00BD6C03" w:rsidRPr="002676D1">
        <w:rPr>
          <w:rFonts w:ascii="Arial" w:eastAsia="Arial" w:hAnsi="Arial" w:cs="Arial"/>
          <w:sz w:val="22"/>
          <w:lang w:val="es-ES" w:eastAsia="es-ES" w:bidi="es-ES"/>
        </w:rPr>
        <w:t xml:space="preserve"> </w:t>
      </w:r>
      <w:r w:rsidR="00813798">
        <w:rPr>
          <w:rFonts w:ascii="Arial" w:eastAsia="Arial" w:hAnsi="Arial" w:cs="Arial"/>
          <w:sz w:val="22"/>
          <w:lang w:val="es-ES" w:eastAsia="es-ES" w:bidi="es-ES"/>
        </w:rPr>
        <w:t>disposición</w:t>
      </w:r>
      <w:r w:rsidRPr="002676D1">
        <w:rPr>
          <w:rFonts w:ascii="Arial" w:eastAsia="Arial" w:hAnsi="Arial" w:cs="Arial"/>
          <w:sz w:val="22"/>
          <w:lang w:val="es-ES" w:eastAsia="es-ES" w:bidi="es-ES"/>
        </w:rPr>
        <w:t xml:space="preserve">. </w:t>
      </w:r>
    </w:p>
    <w:p w14:paraId="5D92A638" w14:textId="6B55AB12" w:rsidR="00313C96" w:rsidRDefault="00313C96" w:rsidP="00313C96">
      <w:pPr>
        <w:spacing w:line="276" w:lineRule="auto"/>
        <w:jc w:val="both"/>
        <w:rPr>
          <w:rFonts w:ascii="Arial" w:eastAsia="Arial" w:hAnsi="Arial" w:cs="Arial"/>
          <w:sz w:val="22"/>
          <w:lang w:val="es-ES" w:eastAsia="es-ES" w:bidi="es-ES"/>
        </w:rPr>
      </w:pPr>
    </w:p>
    <w:p w14:paraId="5090C6BA" w14:textId="77777777" w:rsidR="004759AF" w:rsidRPr="002676D1" w:rsidRDefault="004759AF" w:rsidP="00313C96">
      <w:pPr>
        <w:spacing w:line="276" w:lineRule="auto"/>
        <w:jc w:val="both"/>
        <w:rPr>
          <w:rFonts w:ascii="Arial" w:eastAsia="Arial" w:hAnsi="Arial" w:cs="Arial"/>
          <w:sz w:val="22"/>
          <w:lang w:val="es-ES" w:eastAsia="es-ES" w:bidi="es-ES"/>
        </w:rPr>
      </w:pPr>
    </w:p>
    <w:p w14:paraId="33C529CD" w14:textId="7FDE4B9F" w:rsidR="00313C96" w:rsidRPr="002676D1" w:rsidRDefault="00313C96" w:rsidP="00313C96">
      <w:pPr>
        <w:spacing w:line="276" w:lineRule="auto"/>
        <w:jc w:val="both"/>
        <w:rPr>
          <w:rFonts w:ascii="Arial" w:eastAsia="Arial" w:hAnsi="Arial" w:cs="Arial"/>
          <w:b/>
          <w:bCs/>
          <w:sz w:val="22"/>
          <w:lang w:val="es-ES" w:eastAsia="es-ES" w:bidi="es-ES"/>
        </w:rPr>
      </w:pPr>
      <w:r w:rsidRPr="002676D1">
        <w:rPr>
          <w:rFonts w:ascii="Arial" w:eastAsia="Arial" w:hAnsi="Arial" w:cs="Arial"/>
          <w:b/>
          <w:bCs/>
          <w:sz w:val="22"/>
          <w:lang w:val="es-ES" w:eastAsia="es-ES" w:bidi="es-ES"/>
        </w:rPr>
        <w:t xml:space="preserve">2.2. </w:t>
      </w:r>
      <w:r w:rsidR="00997477">
        <w:rPr>
          <w:rFonts w:ascii="Arial" w:hAnsi="Arial" w:cs="Arial"/>
          <w:b/>
          <w:sz w:val="22"/>
          <w:lang w:val="es-ES_tradnl"/>
        </w:rPr>
        <w:t xml:space="preserve">Contratación con ESAL, </w:t>
      </w:r>
      <w:r w:rsidR="00997477">
        <w:rPr>
          <w:rFonts w:ascii="Arial" w:eastAsia="Arial" w:hAnsi="Arial" w:cs="Arial"/>
          <w:b/>
          <w:bCs/>
          <w:sz w:val="22"/>
          <w:lang w:val="es-ES" w:eastAsia="es-ES" w:bidi="es-ES"/>
        </w:rPr>
        <w:t>c</w:t>
      </w:r>
      <w:r w:rsidRPr="002676D1">
        <w:rPr>
          <w:rFonts w:ascii="Arial" w:eastAsia="Arial" w:hAnsi="Arial" w:cs="Arial"/>
          <w:b/>
          <w:bCs/>
          <w:sz w:val="22"/>
          <w:lang w:val="es-ES" w:eastAsia="es-ES" w:bidi="es-ES"/>
        </w:rPr>
        <w:t xml:space="preserve">onvenios de asociación </w:t>
      </w:r>
      <w:r w:rsidR="00A82C87" w:rsidRPr="002676D1">
        <w:rPr>
          <w:rFonts w:ascii="Arial" w:eastAsia="Arial" w:hAnsi="Arial" w:cs="Arial"/>
          <w:b/>
          <w:bCs/>
          <w:sz w:val="22"/>
          <w:lang w:val="es-ES" w:eastAsia="es-ES" w:bidi="es-ES"/>
        </w:rPr>
        <w:t>y</w:t>
      </w:r>
      <w:r w:rsidRPr="002676D1">
        <w:rPr>
          <w:rFonts w:ascii="Arial" w:eastAsia="Arial" w:hAnsi="Arial" w:cs="Arial"/>
          <w:b/>
          <w:bCs/>
          <w:sz w:val="22"/>
          <w:lang w:val="es-ES" w:eastAsia="es-ES" w:bidi="es-ES"/>
        </w:rPr>
        <w:t xml:space="preserve"> restricciones de la Ley de Garantías</w:t>
      </w:r>
    </w:p>
    <w:p w14:paraId="078F9FFB" w14:textId="2BF910AA" w:rsidR="00313C96" w:rsidRPr="002676D1" w:rsidRDefault="00313C96" w:rsidP="00313C96">
      <w:pPr>
        <w:spacing w:line="276" w:lineRule="auto"/>
        <w:jc w:val="both"/>
        <w:rPr>
          <w:rFonts w:ascii="Arial" w:eastAsia="Arial" w:hAnsi="Arial" w:cs="Arial"/>
          <w:b/>
          <w:bCs/>
          <w:sz w:val="22"/>
          <w:lang w:val="es-ES" w:eastAsia="es-ES" w:bidi="es-ES"/>
        </w:rPr>
      </w:pPr>
    </w:p>
    <w:p w14:paraId="5A81C0D6" w14:textId="5DDAB88E" w:rsidR="004B512B" w:rsidRPr="002676D1" w:rsidRDefault="004B512B" w:rsidP="006B3EB4">
      <w:pPr>
        <w:pStyle w:val="Sinespaciado"/>
        <w:spacing w:line="276" w:lineRule="auto"/>
        <w:jc w:val="both"/>
        <w:rPr>
          <w:rFonts w:ascii="Arial" w:hAnsi="Arial" w:cs="Arial"/>
          <w:color w:val="000000" w:themeColor="text1"/>
          <w:sz w:val="22"/>
          <w:lang w:val="es-ES"/>
        </w:rPr>
      </w:pPr>
      <w:r w:rsidRPr="002676D1">
        <w:rPr>
          <w:rFonts w:ascii="Arial" w:hAnsi="Arial" w:cs="Arial"/>
          <w:color w:val="000000" w:themeColor="text1"/>
          <w:sz w:val="22"/>
          <w:lang w:val="es-ES"/>
        </w:rPr>
        <w:t xml:space="preserve">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w:t>
      </w:r>
      <w:r w:rsidR="00AD18F9" w:rsidRPr="002676D1">
        <w:rPr>
          <w:rFonts w:ascii="Arial" w:hAnsi="Arial" w:cs="Arial"/>
          <w:color w:val="000000" w:themeColor="text1"/>
          <w:sz w:val="22"/>
          <w:lang w:val="es-ES"/>
        </w:rPr>
        <w:t xml:space="preserve">entidades </w:t>
      </w:r>
      <w:r w:rsidR="00DD15DE" w:rsidRPr="002676D1">
        <w:rPr>
          <w:rFonts w:ascii="Arial" w:hAnsi="Arial" w:cs="Arial"/>
          <w:color w:val="000000" w:themeColor="text1"/>
          <w:sz w:val="22"/>
          <w:lang w:val="es-ES"/>
        </w:rPr>
        <w:t xml:space="preserve">privadas </w:t>
      </w:r>
      <w:r w:rsidR="00AD18F9" w:rsidRPr="002676D1">
        <w:rPr>
          <w:rFonts w:ascii="Arial" w:hAnsi="Arial" w:cs="Arial"/>
          <w:color w:val="000000" w:themeColor="text1"/>
          <w:sz w:val="22"/>
          <w:lang w:val="es-ES"/>
        </w:rPr>
        <w:t xml:space="preserve">sin ánimo de lucro - </w:t>
      </w:r>
      <w:r w:rsidRPr="002676D1">
        <w:rPr>
          <w:rFonts w:ascii="Arial" w:hAnsi="Arial" w:cs="Arial"/>
          <w:color w:val="000000" w:themeColor="text1"/>
          <w:sz w:val="22"/>
          <w:lang w:val="es-ES"/>
        </w:rPr>
        <w:t>ESAL con el fin de impulsar programas y actividades de interés público acordes con el plan nacional y los planes seccionales de desarrollo</w:t>
      </w:r>
      <w:r w:rsidRPr="002676D1">
        <w:rPr>
          <w:rStyle w:val="Refdenotaalpie"/>
          <w:rFonts w:ascii="Arial" w:hAnsi="Arial" w:cs="Arial"/>
          <w:color w:val="000000" w:themeColor="text1"/>
          <w:sz w:val="22"/>
          <w:lang w:val="es-ES"/>
        </w:rPr>
        <w:footnoteReference w:id="9"/>
      </w:r>
      <w:r w:rsidRPr="002676D1">
        <w:rPr>
          <w:rFonts w:ascii="Arial" w:hAnsi="Arial" w:cs="Arial"/>
          <w:color w:val="000000" w:themeColor="text1"/>
          <w:sz w:val="22"/>
          <w:lang w:val="es-ES"/>
        </w:rPr>
        <w:t xml:space="preserve">. </w:t>
      </w:r>
      <w:r w:rsidRPr="002676D1">
        <w:rPr>
          <w:rFonts w:ascii="Arial" w:eastAsia="Calibri" w:hAnsi="Arial" w:cs="Arial"/>
          <w:color w:val="000000" w:themeColor="text1"/>
          <w:sz w:val="22"/>
          <w:lang w:val="es-ES"/>
        </w:rPr>
        <w:t>Por otra parte, la Ley 489 de 1998, en el artículo 96, permite a las entidades públicas en general, es decir, cualquiera sea su naturaleza y orden administrativo, asociarse con personas jurídicas particulares, mediante la celebración de convenios de asociación o la creación de personas jurídicas</w:t>
      </w:r>
      <w:r w:rsidRPr="002676D1">
        <w:rPr>
          <w:rStyle w:val="Refdenotaalpie"/>
          <w:rFonts w:ascii="Arial" w:eastAsia="Calibri" w:hAnsi="Arial" w:cs="Arial"/>
          <w:color w:val="000000" w:themeColor="text1"/>
          <w:sz w:val="22"/>
          <w:lang w:val="es-ES"/>
        </w:rPr>
        <w:footnoteReference w:id="10"/>
      </w:r>
      <w:r w:rsidRPr="002676D1">
        <w:rPr>
          <w:rFonts w:ascii="Arial" w:eastAsia="Calibri" w:hAnsi="Arial" w:cs="Arial"/>
          <w:color w:val="000000" w:themeColor="text1"/>
          <w:sz w:val="22"/>
          <w:lang w:val="es-ES"/>
        </w:rPr>
        <w:t>. Ambas figuras tienen como fin desarrollar conjuntamente actividades relacionadas con los cometidos y funciones legales asignadas a la entidad.</w:t>
      </w:r>
    </w:p>
    <w:p w14:paraId="3ECFBFE3" w14:textId="66E2E3B6" w:rsidR="004B512B" w:rsidRPr="002676D1" w:rsidRDefault="004B512B" w:rsidP="004B512B">
      <w:pPr>
        <w:spacing w:before="120" w:line="276" w:lineRule="auto"/>
        <w:ind w:firstLine="708"/>
        <w:jc w:val="both"/>
        <w:rPr>
          <w:rFonts w:ascii="Arial" w:eastAsia="Calibri" w:hAnsi="Arial" w:cs="Arial"/>
          <w:color w:val="000000" w:themeColor="text1"/>
          <w:sz w:val="22"/>
          <w:lang w:val="es-ES"/>
        </w:rPr>
      </w:pPr>
      <w:r w:rsidRPr="002676D1">
        <w:rPr>
          <w:rFonts w:ascii="Arial" w:hAnsi="Arial" w:cs="Arial"/>
          <w:color w:val="000000" w:themeColor="text1"/>
          <w:sz w:val="22"/>
          <w:lang w:val="es-ES"/>
        </w:rPr>
        <w:t xml:space="preserve">En desarrollo del artículo 355 de la Constitución, el Gobierno Nacional expidió el Decreto </w:t>
      </w:r>
      <w:r w:rsidR="004D556A" w:rsidRPr="002676D1">
        <w:rPr>
          <w:rFonts w:ascii="Arial" w:hAnsi="Arial" w:cs="Arial"/>
          <w:color w:val="000000" w:themeColor="text1"/>
          <w:sz w:val="22"/>
          <w:lang w:val="es-ES"/>
        </w:rPr>
        <w:t>0</w:t>
      </w:r>
      <w:r w:rsidRPr="002676D1">
        <w:rPr>
          <w:rFonts w:ascii="Arial" w:hAnsi="Arial" w:cs="Arial"/>
          <w:color w:val="000000" w:themeColor="text1"/>
          <w:sz w:val="22"/>
          <w:lang w:val="es-ES"/>
        </w:rPr>
        <w:t>92 de 2017, q</w:t>
      </w:r>
      <w:r w:rsidRPr="002676D1">
        <w:rPr>
          <w:rFonts w:ascii="Arial" w:eastAsia="Calibri" w:hAnsi="Arial" w:cs="Arial"/>
          <w:color w:val="000000" w:themeColor="text1"/>
          <w:sz w:val="22"/>
          <w:lang w:val="es-ES"/>
        </w:rPr>
        <w:t xml:space="preserve">ue dispone las reglas para las contrataciones que realicen las entidades estatales con las ESAL. El Decreto regula dos eventos: i) los contratos de colaboración o de interés público con el fin impulsar programas y actividades de interés público de acuerdo con el Plan Nacional o los planes seccionales de desarrollo, en los términos del artículo 355 de la Constitución Política; y ii) los convenios de asociación, para </w:t>
      </w:r>
      <w:r w:rsidRPr="002676D1">
        <w:rPr>
          <w:rFonts w:ascii="Arial" w:eastAsia="Calibri" w:hAnsi="Arial" w:cs="Arial"/>
          <w:color w:val="000000" w:themeColor="text1"/>
          <w:sz w:val="22"/>
          <w:lang w:val="es-ES"/>
        </w:rPr>
        <w:lastRenderedPageBreak/>
        <w:t xml:space="preserve">el desarrollo conjunto de actividades relacionadas con las funciones de las entidades estatales, en desarrollo del artículo 96 de la Ley 489 de 1998. Los primeros están regulados en el artículo 2 del Decreto </w:t>
      </w:r>
      <w:r w:rsidR="004D556A" w:rsidRPr="002676D1">
        <w:rPr>
          <w:rFonts w:ascii="Arial" w:eastAsia="Calibri" w:hAnsi="Arial" w:cs="Arial"/>
          <w:color w:val="000000" w:themeColor="text1"/>
          <w:sz w:val="22"/>
          <w:lang w:val="es-ES"/>
        </w:rPr>
        <w:t>0</w:t>
      </w:r>
      <w:r w:rsidRPr="002676D1">
        <w:rPr>
          <w:rFonts w:ascii="Arial" w:eastAsia="Calibri" w:hAnsi="Arial" w:cs="Arial"/>
          <w:color w:val="000000" w:themeColor="text1"/>
          <w:sz w:val="22"/>
          <w:lang w:val="es-ES"/>
        </w:rPr>
        <w:t xml:space="preserve">92 de 2017, mientras que los segundos en los artículos 5, 6, 7 y 8 </w:t>
      </w:r>
      <w:r w:rsidR="00195ED3" w:rsidRPr="002676D1">
        <w:rPr>
          <w:rFonts w:ascii="Arial" w:eastAsia="Calibri" w:hAnsi="Arial" w:cs="Arial"/>
          <w:i/>
          <w:iCs/>
          <w:color w:val="000000" w:themeColor="text1"/>
          <w:sz w:val="22"/>
          <w:lang w:val="es-ES"/>
        </w:rPr>
        <w:t>ibídem</w:t>
      </w:r>
      <w:r w:rsidRPr="002676D1">
        <w:rPr>
          <w:rFonts w:ascii="Arial" w:eastAsia="Calibri" w:hAnsi="Arial" w:cs="Arial"/>
          <w:color w:val="000000" w:themeColor="text1"/>
          <w:sz w:val="22"/>
          <w:lang w:val="es-ES"/>
        </w:rPr>
        <w:t xml:space="preserve">. Es posible diferenciar, pues, los </w:t>
      </w:r>
      <w:r w:rsidRPr="002676D1">
        <w:rPr>
          <w:rFonts w:ascii="Arial" w:eastAsia="Calibri" w:hAnsi="Arial" w:cs="Arial"/>
          <w:i/>
          <w:iCs/>
          <w:color w:val="000000" w:themeColor="text1"/>
          <w:sz w:val="22"/>
          <w:lang w:val="es-ES"/>
        </w:rPr>
        <w:t>convenios de asociación</w:t>
      </w:r>
      <w:r w:rsidRPr="002676D1">
        <w:rPr>
          <w:rFonts w:ascii="Arial" w:eastAsia="Calibri" w:hAnsi="Arial" w:cs="Arial"/>
          <w:color w:val="000000" w:themeColor="text1"/>
          <w:sz w:val="22"/>
          <w:lang w:val="es-ES"/>
        </w:rPr>
        <w:t xml:space="preserve">, regulados en el artículo 5, de los </w:t>
      </w:r>
      <w:r w:rsidRPr="002676D1">
        <w:rPr>
          <w:rFonts w:ascii="Arial" w:eastAsia="Calibri" w:hAnsi="Arial" w:cs="Arial"/>
          <w:i/>
          <w:iCs/>
          <w:color w:val="000000" w:themeColor="text1"/>
          <w:sz w:val="22"/>
          <w:lang w:val="es-ES"/>
        </w:rPr>
        <w:t>contratos de colaboración</w:t>
      </w:r>
      <w:r w:rsidRPr="002676D1">
        <w:rPr>
          <w:rFonts w:ascii="Arial" w:eastAsia="Calibri" w:hAnsi="Arial" w:cs="Arial"/>
          <w:color w:val="000000" w:themeColor="text1"/>
          <w:sz w:val="22"/>
          <w:lang w:val="es-ES"/>
        </w:rPr>
        <w:t xml:space="preserve">, establecidos en el artículo 2 del Decreto </w:t>
      </w:r>
      <w:r w:rsidR="004D556A" w:rsidRPr="002676D1">
        <w:rPr>
          <w:rFonts w:ascii="Arial" w:eastAsia="Calibri" w:hAnsi="Arial" w:cs="Arial"/>
          <w:color w:val="000000" w:themeColor="text1"/>
          <w:sz w:val="22"/>
          <w:lang w:val="es-ES"/>
        </w:rPr>
        <w:t>0</w:t>
      </w:r>
      <w:r w:rsidRPr="002676D1">
        <w:rPr>
          <w:rFonts w:ascii="Arial" w:eastAsia="Calibri" w:hAnsi="Arial" w:cs="Arial"/>
          <w:color w:val="000000" w:themeColor="text1"/>
          <w:sz w:val="22"/>
          <w:lang w:val="es-ES"/>
        </w:rPr>
        <w:t>92 de 2017</w:t>
      </w:r>
      <w:r w:rsidRPr="002676D1">
        <w:rPr>
          <w:rStyle w:val="Refdenotaalpie"/>
          <w:rFonts w:ascii="Arial" w:eastAsia="Calibri" w:hAnsi="Arial" w:cs="Arial"/>
          <w:color w:val="000000" w:themeColor="text1"/>
          <w:sz w:val="22"/>
          <w:lang w:val="es-ES"/>
        </w:rPr>
        <w:footnoteReference w:id="11"/>
      </w:r>
      <w:r w:rsidRPr="002676D1">
        <w:rPr>
          <w:rFonts w:ascii="Arial" w:eastAsia="Calibri" w:hAnsi="Arial" w:cs="Arial"/>
          <w:color w:val="000000" w:themeColor="text1"/>
          <w:sz w:val="22"/>
          <w:lang w:val="es-ES"/>
        </w:rPr>
        <w:t xml:space="preserve">. </w:t>
      </w:r>
    </w:p>
    <w:p w14:paraId="430141C1" w14:textId="5DF25CDF" w:rsidR="004B512B" w:rsidRPr="002676D1" w:rsidRDefault="004B512B" w:rsidP="004B512B">
      <w:pPr>
        <w:spacing w:before="120" w:line="276" w:lineRule="auto"/>
        <w:ind w:firstLine="708"/>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 xml:space="preserve">Los </w:t>
      </w:r>
      <w:r w:rsidRPr="002676D1">
        <w:rPr>
          <w:rFonts w:ascii="Arial" w:eastAsia="Calibri" w:hAnsi="Arial" w:cs="Arial"/>
          <w:i/>
          <w:iCs/>
          <w:color w:val="000000" w:themeColor="text1"/>
          <w:sz w:val="22"/>
          <w:lang w:val="es-ES"/>
        </w:rPr>
        <w:t xml:space="preserve">contratos de colaboración </w:t>
      </w:r>
      <w:r w:rsidRPr="002676D1">
        <w:rPr>
          <w:rFonts w:ascii="Arial" w:eastAsia="Calibri" w:hAnsi="Arial" w:cs="Arial"/>
          <w:color w:val="000000" w:themeColor="text1"/>
          <w:sz w:val="22"/>
          <w:lang w:val="es-E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w:t>
      </w:r>
      <w:r w:rsidR="004D556A" w:rsidRPr="002676D1">
        <w:rPr>
          <w:rFonts w:ascii="Arial" w:eastAsia="Calibri" w:hAnsi="Arial" w:cs="Arial"/>
          <w:color w:val="000000" w:themeColor="text1"/>
          <w:sz w:val="22"/>
          <w:lang w:val="es-ES"/>
        </w:rPr>
        <w:t>0</w:t>
      </w:r>
      <w:r w:rsidRPr="002676D1">
        <w:rPr>
          <w:rFonts w:ascii="Arial" w:eastAsia="Calibri" w:hAnsi="Arial" w:cs="Arial"/>
          <w:color w:val="000000" w:themeColor="text1"/>
          <w:sz w:val="22"/>
          <w:lang w:val="es-ES"/>
        </w:rPr>
        <w:t xml:space="preserve">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w:t>
      </w:r>
      <w:r w:rsidR="00BF73FB" w:rsidRPr="002676D1">
        <w:rPr>
          <w:rFonts w:ascii="Arial" w:eastAsia="Calibri" w:hAnsi="Arial" w:cs="Arial"/>
          <w:color w:val="000000" w:themeColor="text1"/>
          <w:sz w:val="22"/>
          <w:lang w:val="es-ES"/>
        </w:rPr>
        <w:t>pues</w:t>
      </w:r>
      <w:r w:rsidRPr="002676D1">
        <w:rPr>
          <w:rFonts w:ascii="Arial" w:eastAsia="Calibri" w:hAnsi="Arial" w:cs="Arial"/>
          <w:color w:val="000000" w:themeColor="text1"/>
          <w:sz w:val="22"/>
          <w:lang w:val="es-ES"/>
        </w:rPr>
        <w:t xml:space="preserve"> cuando se adquieren bienes o servicios o se ejecutan obras, en una relación conmutativa, las normas aplicables son las del Estatuto General de Contratación de la Administración Pública –en adelante EGCAP–. Solo cuando se reúnan estas condiciones, y se cuente con la autorización previa y escrita del representante legal de la entidad estatal, es procedente celebrar contratos de colaboración.</w:t>
      </w:r>
    </w:p>
    <w:p w14:paraId="33DFE476" w14:textId="09D4E6C7" w:rsidR="004B512B" w:rsidRPr="002676D1" w:rsidRDefault="004B512B">
      <w:pPr>
        <w:pStyle w:val="Sinespaciado"/>
        <w:spacing w:before="120" w:line="276" w:lineRule="auto"/>
        <w:ind w:firstLine="708"/>
        <w:jc w:val="both"/>
        <w:rPr>
          <w:rFonts w:ascii="Arial" w:hAnsi="Arial" w:cs="Arial"/>
          <w:color w:val="000000" w:themeColor="text1"/>
          <w:sz w:val="22"/>
          <w:lang w:val="es-ES"/>
        </w:rPr>
      </w:pPr>
      <w:r w:rsidRPr="002676D1">
        <w:rPr>
          <w:rFonts w:ascii="Arial" w:hAnsi="Arial" w:cs="Arial"/>
          <w:color w:val="000000" w:themeColor="text1"/>
          <w:sz w:val="22"/>
          <w:lang w:val="es-ES"/>
        </w:rPr>
        <w:t xml:space="preserve">De otro lado, los </w:t>
      </w:r>
      <w:r w:rsidRPr="002676D1">
        <w:rPr>
          <w:rFonts w:ascii="Arial" w:hAnsi="Arial" w:cs="Arial"/>
          <w:i/>
          <w:iCs/>
          <w:color w:val="000000" w:themeColor="text1"/>
          <w:sz w:val="22"/>
          <w:lang w:val="es-ES"/>
        </w:rPr>
        <w:t>convenios de asociación</w:t>
      </w:r>
      <w:r w:rsidRPr="002676D1">
        <w:rPr>
          <w:rFonts w:ascii="Arial" w:hAnsi="Arial" w:cs="Arial"/>
          <w:color w:val="000000" w:themeColor="text1"/>
          <w:sz w:val="22"/>
          <w:lang w:val="es-ES"/>
        </w:rPr>
        <w:t xml:space="preserve"> «[t]</w:t>
      </w:r>
      <w:proofErr w:type="spellStart"/>
      <w:r w:rsidRPr="002676D1">
        <w:rPr>
          <w:rFonts w:ascii="Arial" w:hAnsi="Arial" w:cs="Arial"/>
          <w:color w:val="000000" w:themeColor="text1"/>
          <w:sz w:val="22"/>
          <w:lang w:val="es-ES"/>
        </w:rPr>
        <w:t>ienen</w:t>
      </w:r>
      <w:proofErr w:type="spellEnd"/>
      <w:r w:rsidRPr="002676D1">
        <w:rPr>
          <w:rFonts w:ascii="Arial" w:hAnsi="Arial" w:cs="Arial"/>
          <w:color w:val="000000" w:themeColor="text1"/>
          <w:sz w:val="22"/>
          <w:lang w:val="es-ES"/>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2676D1">
        <w:rPr>
          <w:rStyle w:val="Refdenotaalpie"/>
          <w:rFonts w:ascii="Arial" w:hAnsi="Arial" w:cs="Arial"/>
          <w:color w:val="000000" w:themeColor="text1"/>
          <w:sz w:val="22"/>
          <w:lang w:val="es-ES"/>
        </w:rPr>
        <w:footnoteReference w:id="12"/>
      </w:r>
      <w:r w:rsidRPr="002676D1">
        <w:rPr>
          <w:rFonts w:ascii="Arial" w:hAnsi="Arial" w:cs="Arial"/>
          <w:color w:val="000000" w:themeColor="text1"/>
          <w:sz w:val="22"/>
          <w:lang w:val="es-ES"/>
        </w:rPr>
        <w:t xml:space="preserve">. 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14:paraId="2F4C5357" w14:textId="77777777" w:rsidR="004B512B" w:rsidRPr="002676D1" w:rsidRDefault="004B512B" w:rsidP="004B512B">
      <w:pPr>
        <w:pStyle w:val="Sinespaciado"/>
        <w:spacing w:before="120" w:line="276" w:lineRule="auto"/>
        <w:ind w:firstLine="708"/>
        <w:jc w:val="both"/>
        <w:rPr>
          <w:rFonts w:ascii="Arial" w:hAnsi="Arial" w:cs="Arial"/>
          <w:color w:val="000000" w:themeColor="text1"/>
          <w:sz w:val="22"/>
          <w:lang w:val="es-ES"/>
        </w:rPr>
      </w:pPr>
      <w:r w:rsidRPr="002676D1">
        <w:rPr>
          <w:rFonts w:ascii="Arial" w:hAnsi="Arial" w:cs="Arial"/>
          <w:color w:val="000000" w:themeColor="text1"/>
          <w:sz w:val="22"/>
          <w:lang w:val="es-ES"/>
        </w:rPr>
        <w:lastRenderedPageBreak/>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14:paraId="76DDFFE3" w14:textId="340EA1B4" w:rsidR="00673DD7" w:rsidRPr="002676D1" w:rsidRDefault="004B512B" w:rsidP="004B512B">
      <w:pPr>
        <w:pStyle w:val="Sinespaciado"/>
        <w:spacing w:before="120" w:line="276" w:lineRule="auto"/>
        <w:ind w:firstLine="708"/>
        <w:jc w:val="both"/>
        <w:rPr>
          <w:rFonts w:ascii="Arial" w:eastAsia="Calibri" w:hAnsi="Arial" w:cs="Arial"/>
          <w:color w:val="000000" w:themeColor="text1"/>
          <w:sz w:val="22"/>
          <w:lang w:val="es-ES"/>
        </w:rPr>
      </w:pPr>
      <w:r w:rsidRPr="002676D1">
        <w:rPr>
          <w:rFonts w:ascii="Arial" w:hAnsi="Arial" w:cs="Arial"/>
          <w:color w:val="000000" w:themeColor="text1"/>
          <w:sz w:val="22"/>
          <w:lang w:val="es-ES"/>
        </w:rPr>
        <w:t>L</w:t>
      </w:r>
      <w:r w:rsidRPr="002676D1">
        <w:rPr>
          <w:rFonts w:ascii="Arial" w:eastAsia="Calibri" w:hAnsi="Arial" w:cs="Arial"/>
          <w:color w:val="000000" w:themeColor="text1"/>
          <w:sz w:val="22"/>
          <w:lang w:val="es-ES"/>
        </w:rPr>
        <w:t xml:space="preserve">a normativa vigente no impide que varias entidades suscriban conjuntamente el convenio de asociación </w:t>
      </w:r>
      <w:r w:rsidR="009E59A3" w:rsidRPr="002676D1">
        <w:rPr>
          <w:rFonts w:ascii="Arial" w:eastAsia="Calibri" w:hAnsi="Arial" w:cs="Arial"/>
          <w:color w:val="000000" w:themeColor="text1"/>
          <w:sz w:val="22"/>
          <w:lang w:val="es-ES"/>
        </w:rPr>
        <w:t>ni</w:t>
      </w:r>
      <w:r w:rsidRPr="002676D1">
        <w:rPr>
          <w:rFonts w:ascii="Arial" w:eastAsia="Calibri" w:hAnsi="Arial" w:cs="Arial"/>
          <w:color w:val="000000" w:themeColor="text1"/>
          <w:sz w:val="22"/>
          <w:lang w:val="es-ES"/>
        </w:rPr>
        <w:t xml:space="preserve"> tampoco que dos o más ESAL pueden hacerlo a través de las figuras asociativas autorizadas por la ley, por ejemplo, la unión temporal o el consorcio</w:t>
      </w:r>
      <w:r w:rsidRPr="002676D1">
        <w:rPr>
          <w:rStyle w:val="Refdenotaalpie"/>
          <w:rFonts w:ascii="Arial" w:eastAsia="Calibri" w:hAnsi="Arial" w:cs="Arial"/>
          <w:color w:val="000000" w:themeColor="text1"/>
          <w:sz w:val="22"/>
          <w:lang w:val="es-ES"/>
        </w:rPr>
        <w:footnoteReference w:id="13"/>
      </w:r>
      <w:r w:rsidRPr="002676D1">
        <w:rPr>
          <w:rFonts w:ascii="Arial" w:eastAsia="Calibri" w:hAnsi="Arial" w:cs="Arial"/>
          <w:color w:val="000000" w:themeColor="text1"/>
          <w:sz w:val="22"/>
          <w:lang w:val="es-ES"/>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w:t>
      </w:r>
      <w:r w:rsidR="00433AE3">
        <w:rPr>
          <w:rFonts w:ascii="Arial" w:eastAsia="Calibri" w:hAnsi="Arial" w:cs="Arial"/>
          <w:color w:val="000000" w:themeColor="text1"/>
          <w:sz w:val="22"/>
          <w:lang w:val="es-ES"/>
        </w:rPr>
        <w:t xml:space="preserve"> </w:t>
      </w:r>
      <w:r w:rsidRPr="002676D1">
        <w:rPr>
          <w:rFonts w:ascii="Arial" w:eastAsia="Calibri" w:hAnsi="Arial" w:cs="Arial"/>
          <w:color w:val="000000" w:themeColor="text1"/>
          <w:sz w:val="22"/>
          <w:lang w:val="es-ES"/>
        </w:rPr>
        <w:t xml:space="preserve">que suscriben conjuntamente el convenio deben coincidir. </w:t>
      </w:r>
    </w:p>
    <w:p w14:paraId="34E443A8" w14:textId="159E1538" w:rsidR="004B512B" w:rsidRPr="002676D1" w:rsidRDefault="004B512B">
      <w:pPr>
        <w:pStyle w:val="Sinespaciado"/>
        <w:spacing w:before="120" w:line="276" w:lineRule="auto"/>
        <w:ind w:firstLine="708"/>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 xml:space="preserve">Igualmente, </w:t>
      </w:r>
      <w:r w:rsidR="00673DD7" w:rsidRPr="002676D1">
        <w:rPr>
          <w:rFonts w:ascii="Arial" w:eastAsia="Calibri" w:hAnsi="Arial" w:cs="Arial"/>
          <w:color w:val="000000" w:themeColor="text1"/>
          <w:sz w:val="22"/>
          <w:lang w:val="es-ES"/>
        </w:rPr>
        <w:t>considerando</w:t>
      </w:r>
      <w:r w:rsidRPr="002676D1">
        <w:rPr>
          <w:rFonts w:ascii="Arial" w:eastAsia="Calibri" w:hAnsi="Arial" w:cs="Arial"/>
          <w:color w:val="000000" w:themeColor="text1"/>
          <w:sz w:val="22"/>
          <w:lang w:val="es-ES"/>
        </w:rPr>
        <w:t xml:space="preserve">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w:t>
      </w:r>
      <w:r w:rsidR="00673DD7" w:rsidRPr="002676D1">
        <w:rPr>
          <w:rFonts w:ascii="Arial" w:eastAsia="Calibri" w:hAnsi="Arial" w:cs="Arial"/>
          <w:color w:val="000000" w:themeColor="text1"/>
          <w:sz w:val="22"/>
          <w:lang w:val="es-ES"/>
        </w:rPr>
        <w:t>adelantarse</w:t>
      </w:r>
      <w:r w:rsidRPr="002676D1">
        <w:rPr>
          <w:rFonts w:ascii="Arial" w:eastAsia="Calibri" w:hAnsi="Arial" w:cs="Arial"/>
          <w:color w:val="000000" w:themeColor="text1"/>
          <w:sz w:val="22"/>
          <w:lang w:val="es-ES"/>
        </w:rPr>
        <w:t xml:space="preserve"> un proceso competitivo. Además, en atención al inciso 2 del artículo 5 del Decreto </w:t>
      </w:r>
      <w:r w:rsidR="004D556A" w:rsidRPr="002676D1">
        <w:rPr>
          <w:rFonts w:ascii="Arial" w:eastAsia="Calibri" w:hAnsi="Arial" w:cs="Arial"/>
          <w:color w:val="000000" w:themeColor="text1"/>
          <w:sz w:val="22"/>
          <w:lang w:val="es-ES"/>
        </w:rPr>
        <w:t>0</w:t>
      </w:r>
      <w:r w:rsidRPr="002676D1">
        <w:rPr>
          <w:rFonts w:ascii="Arial" w:eastAsia="Calibri" w:hAnsi="Arial" w:cs="Arial"/>
          <w:color w:val="000000" w:themeColor="text1"/>
          <w:sz w:val="22"/>
          <w:lang w:val="es-ES"/>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2676D1">
        <w:rPr>
          <w:rStyle w:val="Refdenotaalpie"/>
          <w:rFonts w:ascii="Arial" w:eastAsia="Calibri" w:hAnsi="Arial" w:cs="Arial"/>
          <w:color w:val="000000" w:themeColor="text1"/>
          <w:sz w:val="22"/>
          <w:lang w:val="es-ES"/>
        </w:rPr>
        <w:footnoteReference w:id="14"/>
      </w:r>
      <w:r w:rsidRPr="002676D1">
        <w:rPr>
          <w:rFonts w:ascii="Arial" w:eastAsia="Calibri" w:hAnsi="Arial" w:cs="Arial"/>
          <w:color w:val="000000" w:themeColor="text1"/>
          <w:sz w:val="22"/>
          <w:lang w:val="es-ES"/>
        </w:rPr>
        <w:t>.</w:t>
      </w:r>
    </w:p>
    <w:p w14:paraId="340449CA" w14:textId="70A37C3A" w:rsidR="004B512B" w:rsidRPr="002676D1" w:rsidRDefault="004B512B" w:rsidP="004B512B">
      <w:pPr>
        <w:spacing w:before="120" w:line="276" w:lineRule="auto"/>
        <w:ind w:firstLine="708"/>
        <w:jc w:val="both"/>
        <w:rPr>
          <w:rFonts w:ascii="Arial" w:hAnsi="Arial" w:cs="Arial"/>
          <w:color w:val="000000" w:themeColor="text1"/>
          <w:sz w:val="22"/>
          <w:lang w:val="es-ES"/>
        </w:rPr>
      </w:pPr>
      <w:r w:rsidRPr="002676D1">
        <w:rPr>
          <w:rFonts w:ascii="Arial" w:hAnsi="Arial" w:cs="Arial"/>
          <w:color w:val="000000" w:themeColor="text1"/>
          <w:sz w:val="22"/>
          <w:lang w:val="es-ES"/>
        </w:rPr>
        <w:t xml:space="preserve">La noción «seleccionar de forma objetiva», contenida en la disposición </w:t>
      </w:r>
      <w:r w:rsidRPr="002676D1">
        <w:rPr>
          <w:rFonts w:ascii="Arial" w:hAnsi="Arial" w:cs="Arial"/>
          <w:i/>
          <w:iCs/>
          <w:color w:val="000000" w:themeColor="text1"/>
          <w:sz w:val="22"/>
          <w:lang w:val="es-ES"/>
        </w:rPr>
        <w:t xml:space="preserve">sub examine </w:t>
      </w:r>
      <w:r w:rsidRPr="002676D1">
        <w:rPr>
          <w:rFonts w:ascii="Arial" w:hAnsi="Arial" w:cs="Arial"/>
          <w:color w:val="000000" w:themeColor="text1"/>
          <w:sz w:val="22"/>
          <w:lang w:val="es-ES"/>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w:t>
      </w:r>
      <w:r w:rsidRPr="002676D1">
        <w:rPr>
          <w:rFonts w:ascii="Arial" w:hAnsi="Arial" w:cs="Arial"/>
          <w:color w:val="000000" w:themeColor="text1"/>
          <w:sz w:val="22"/>
          <w:lang w:val="es-ES"/>
        </w:rPr>
        <w:lastRenderedPageBreak/>
        <w:t xml:space="preserve">esperado con el proyecto de cooperación, por lo que los criterios que permitan una selección objetiva deben definirse en términos de la obtención de los objetivos del convenio de asociación. Sin perjuicio de lo anterior, la entidad </w:t>
      </w:r>
      <w:r w:rsidR="001A4FAA">
        <w:rPr>
          <w:rFonts w:ascii="Arial" w:hAnsi="Arial" w:cs="Arial"/>
          <w:color w:val="000000" w:themeColor="text1"/>
          <w:sz w:val="22"/>
          <w:lang w:val="es-ES"/>
        </w:rPr>
        <w:t>podrá</w:t>
      </w:r>
      <w:r w:rsidRPr="002676D1">
        <w:rPr>
          <w:rFonts w:ascii="Arial" w:hAnsi="Arial" w:cs="Arial"/>
          <w:color w:val="000000" w:themeColor="text1"/>
          <w:sz w:val="22"/>
          <w:lang w:val="es-ES"/>
        </w:rPr>
        <w:t xml:space="preserve"> acudir a los procesos de selección de contratistas que establece el EGCAP o, incluso, al trámite que regula el inciso 2 del artículo 2 del Decreto </w:t>
      </w:r>
      <w:r w:rsidR="00B247A1" w:rsidRPr="002676D1">
        <w:rPr>
          <w:rFonts w:ascii="Arial" w:hAnsi="Arial" w:cs="Arial"/>
          <w:color w:val="000000" w:themeColor="text1"/>
          <w:sz w:val="22"/>
          <w:lang w:val="es-ES"/>
        </w:rPr>
        <w:t>0</w:t>
      </w:r>
      <w:r w:rsidRPr="002676D1">
        <w:rPr>
          <w:rFonts w:ascii="Arial" w:hAnsi="Arial" w:cs="Arial"/>
          <w:color w:val="000000" w:themeColor="text1"/>
          <w:sz w:val="22"/>
          <w:lang w:val="es-ES"/>
        </w:rPr>
        <w:t>92 de 2017.</w:t>
      </w:r>
    </w:p>
    <w:p w14:paraId="238FA858" w14:textId="77777777" w:rsidR="004B512B" w:rsidRPr="002676D1" w:rsidRDefault="004B512B" w:rsidP="004B512B">
      <w:pPr>
        <w:spacing w:before="120" w:after="120" w:line="276" w:lineRule="auto"/>
        <w:ind w:firstLine="708"/>
        <w:jc w:val="both"/>
        <w:textAlignment w:val="baseline"/>
        <w:rPr>
          <w:rFonts w:ascii="Arial" w:hAnsi="Arial" w:cs="Arial"/>
          <w:color w:val="000000" w:themeColor="text1"/>
          <w:sz w:val="22"/>
          <w:szCs w:val="22"/>
          <w:lang w:val="es-ES"/>
        </w:rPr>
      </w:pPr>
      <w:r w:rsidRPr="002676D1">
        <w:rPr>
          <w:rFonts w:ascii="Arial" w:eastAsia="Arial" w:hAnsi="Arial" w:cs="Arial"/>
          <w:color w:val="000000" w:themeColor="text1"/>
          <w:sz w:val="22"/>
          <w:szCs w:val="22"/>
          <w:lang w:val="es-ES"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w:t>
      </w:r>
      <w:r w:rsidRPr="002676D1">
        <w:rPr>
          <w:rFonts w:ascii="Arial" w:hAnsi="Arial" w:cs="Arial"/>
          <w:color w:val="000000" w:themeColor="text1"/>
          <w:sz w:val="22"/>
          <w:szCs w:val="22"/>
          <w:lang w:val="es-ES"/>
        </w:rPr>
        <w:t>. </w:t>
      </w:r>
    </w:p>
    <w:p w14:paraId="46986EDC" w14:textId="4AE1A84B" w:rsidR="0008787C" w:rsidRDefault="004B512B" w:rsidP="006B3EB4">
      <w:pPr>
        <w:spacing w:after="120" w:line="276" w:lineRule="auto"/>
        <w:ind w:firstLine="709"/>
        <w:jc w:val="both"/>
        <w:rPr>
          <w:rFonts w:ascii="Arial" w:eastAsia="Calibri" w:hAnsi="Arial" w:cs="Arial"/>
          <w:color w:val="000000" w:themeColor="text1"/>
          <w:sz w:val="22"/>
          <w:lang w:val="es-ES"/>
        </w:rPr>
      </w:pPr>
      <w:r w:rsidRPr="002676D1">
        <w:rPr>
          <w:rFonts w:ascii="Arial" w:hAnsi="Arial" w:cs="Arial"/>
          <w:color w:val="000000" w:themeColor="text1"/>
          <w:sz w:val="22"/>
          <w:szCs w:val="22"/>
          <w:lang w:val="es-ES"/>
        </w:rPr>
        <w:t xml:space="preserve">Ahora bien, </w:t>
      </w:r>
      <w:r w:rsidR="005F1D88" w:rsidRPr="002676D1">
        <w:rPr>
          <w:rFonts w:ascii="Arial" w:hAnsi="Arial" w:cs="Arial"/>
          <w:color w:val="000000" w:themeColor="text1"/>
          <w:sz w:val="22"/>
          <w:szCs w:val="22"/>
          <w:lang w:val="es-ES"/>
        </w:rPr>
        <w:t>e</w:t>
      </w:r>
      <w:r w:rsidRPr="002676D1">
        <w:rPr>
          <w:rFonts w:ascii="Arial" w:eastAsia="Calibri" w:hAnsi="Arial" w:cs="Arial"/>
          <w:color w:val="000000" w:themeColor="text1"/>
          <w:sz w:val="22"/>
          <w:lang w:val="es-ES"/>
        </w:rPr>
        <w:t>l Consejo de Estado, en el Auto del 6 de agosto de 2019 de la Sección Tercera, Subsección A –</w:t>
      </w:r>
      <w:proofErr w:type="spellStart"/>
      <w:r w:rsidRPr="002676D1">
        <w:rPr>
          <w:rFonts w:ascii="Arial" w:eastAsia="Calibri" w:hAnsi="Arial" w:cs="Arial"/>
          <w:color w:val="000000" w:themeColor="text1"/>
          <w:sz w:val="22"/>
          <w:lang w:val="es-ES"/>
        </w:rPr>
        <w:t>Exp</w:t>
      </w:r>
      <w:proofErr w:type="spellEnd"/>
      <w:r w:rsidRPr="002676D1">
        <w:rPr>
          <w:rFonts w:ascii="Arial" w:eastAsia="Calibri" w:hAnsi="Arial" w:cs="Arial"/>
          <w:color w:val="000000" w:themeColor="text1"/>
          <w:sz w:val="22"/>
          <w:lang w:val="es-ES"/>
        </w:rPr>
        <w:t xml:space="preserve">. 62.003–, estudió la solicitud de suspensión provisional del inciso 2 del artículo 1, literales a y c del artículo 2, inciso 5 del artículo 2, inciso 2 del artículo 3, inciso final del artículo 4 y artículo 5 del Decreto </w:t>
      </w:r>
      <w:r w:rsidR="00B247A1" w:rsidRPr="002676D1">
        <w:rPr>
          <w:rFonts w:ascii="Arial" w:eastAsia="Calibri" w:hAnsi="Arial" w:cs="Arial"/>
          <w:color w:val="000000" w:themeColor="text1"/>
          <w:sz w:val="22"/>
          <w:lang w:val="es-ES"/>
        </w:rPr>
        <w:t>0</w:t>
      </w:r>
      <w:r w:rsidRPr="002676D1">
        <w:rPr>
          <w:rFonts w:ascii="Arial" w:eastAsia="Calibri" w:hAnsi="Arial" w:cs="Arial"/>
          <w:color w:val="000000" w:themeColor="text1"/>
          <w:sz w:val="22"/>
          <w:lang w:val="es-ES"/>
        </w:rPr>
        <w:t>92 de 2017</w:t>
      </w:r>
      <w:r w:rsidR="0008787C" w:rsidRPr="002676D1">
        <w:rPr>
          <w:rStyle w:val="Refdenotaalpie"/>
          <w:rFonts w:ascii="Arial" w:eastAsia="Calibri" w:hAnsi="Arial" w:cs="Arial"/>
          <w:color w:val="000000" w:themeColor="text1"/>
          <w:sz w:val="22"/>
          <w:lang w:val="es-ES"/>
        </w:rPr>
        <w:footnoteReference w:id="15"/>
      </w:r>
      <w:r w:rsidRPr="002676D1">
        <w:rPr>
          <w:rFonts w:ascii="Arial" w:eastAsia="Calibri" w:hAnsi="Arial" w:cs="Arial"/>
          <w:color w:val="000000" w:themeColor="text1"/>
          <w:sz w:val="22"/>
          <w:lang w:val="es-ES"/>
        </w:rPr>
        <w:t xml:space="preserve">. </w:t>
      </w:r>
      <w:r w:rsidR="0008787C">
        <w:rPr>
          <w:rFonts w:ascii="Arial" w:eastAsia="Calibri" w:hAnsi="Arial" w:cs="Arial"/>
          <w:color w:val="000000" w:themeColor="text1"/>
          <w:sz w:val="22"/>
          <w:lang w:val="es-ES"/>
        </w:rPr>
        <w:t>Respecto al</w:t>
      </w:r>
      <w:r w:rsidR="005E5A85">
        <w:rPr>
          <w:rFonts w:ascii="Arial" w:eastAsia="Calibri" w:hAnsi="Arial" w:cs="Arial"/>
          <w:color w:val="000000" w:themeColor="text1"/>
          <w:sz w:val="22"/>
          <w:lang w:val="es-ES"/>
        </w:rPr>
        <w:t xml:space="preserve"> inciso final del</w:t>
      </w:r>
      <w:r w:rsidR="0008787C">
        <w:rPr>
          <w:rFonts w:ascii="Arial" w:eastAsia="Calibri" w:hAnsi="Arial" w:cs="Arial"/>
          <w:color w:val="000000" w:themeColor="text1"/>
          <w:sz w:val="22"/>
          <w:lang w:val="es-ES"/>
        </w:rPr>
        <w:t xml:space="preserve"> artículo 4, la jurisdicción suspendió la posibilidad de adelantar procedimientos no competitivos en los </w:t>
      </w:r>
      <w:r w:rsidR="0008787C" w:rsidRPr="00C31586">
        <w:rPr>
          <w:rFonts w:ascii="Arial" w:eastAsia="Calibri" w:hAnsi="Arial" w:cs="Arial"/>
          <w:i/>
          <w:iCs/>
          <w:color w:val="000000" w:themeColor="text1"/>
          <w:sz w:val="22"/>
          <w:lang w:val="es-ES"/>
        </w:rPr>
        <w:t>contratos de colaboración</w:t>
      </w:r>
      <w:r w:rsidR="005E5A85">
        <w:rPr>
          <w:rFonts w:ascii="Arial" w:eastAsia="Calibri" w:hAnsi="Arial" w:cs="Arial"/>
          <w:color w:val="000000" w:themeColor="text1"/>
          <w:sz w:val="22"/>
          <w:lang w:val="es-ES"/>
        </w:rPr>
        <w:t xml:space="preserve"> cuando el objeto corresponda a</w:t>
      </w:r>
      <w:r w:rsidR="005E5A85" w:rsidRPr="005E5A85">
        <w:rPr>
          <w:rFonts w:ascii="Arial" w:eastAsia="Calibri" w:hAnsi="Arial" w:cs="Arial"/>
          <w:color w:val="000000" w:themeColor="text1"/>
          <w:sz w:val="22"/>
          <w:lang w:val="es-ES"/>
        </w:rPr>
        <w:t xml:space="preserve"> actividades artísticas, culturales, deportivas y de promoción de la diversidad étnica colombiana</w:t>
      </w:r>
      <w:r w:rsidR="005E5A85">
        <w:rPr>
          <w:rFonts w:ascii="Arial" w:eastAsia="Calibri" w:hAnsi="Arial" w:cs="Arial"/>
          <w:color w:val="000000" w:themeColor="text1"/>
          <w:sz w:val="22"/>
          <w:lang w:val="es-ES"/>
        </w:rPr>
        <w:t>. De esta manera, el procedimiento competitivo es la regla general</w:t>
      </w:r>
      <w:r w:rsidR="005E5A85">
        <w:rPr>
          <w:rStyle w:val="Refdenotaalpie"/>
          <w:rFonts w:ascii="Arial" w:eastAsia="Calibri" w:hAnsi="Arial" w:cs="Arial"/>
          <w:color w:val="000000" w:themeColor="text1"/>
          <w:sz w:val="22"/>
          <w:lang w:val="es-ES"/>
        </w:rPr>
        <w:footnoteReference w:id="16"/>
      </w:r>
      <w:r w:rsidR="005E5A85">
        <w:rPr>
          <w:rFonts w:ascii="Arial" w:eastAsia="Calibri" w:hAnsi="Arial" w:cs="Arial"/>
          <w:color w:val="000000" w:themeColor="text1"/>
          <w:sz w:val="22"/>
          <w:lang w:val="es-ES"/>
        </w:rPr>
        <w:t>.</w:t>
      </w:r>
    </w:p>
    <w:p w14:paraId="2282529E" w14:textId="39B34060" w:rsidR="004B512B" w:rsidRPr="002676D1" w:rsidRDefault="005E5A85" w:rsidP="006B3EB4">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En contraste</w:t>
      </w:r>
      <w:r w:rsidR="004B512B" w:rsidRPr="002676D1">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respecto al artículo 5,</w:t>
      </w:r>
      <w:r w:rsidR="004B512B" w:rsidRPr="002676D1">
        <w:rPr>
          <w:rFonts w:ascii="Arial" w:eastAsia="Calibri" w:hAnsi="Arial" w:cs="Arial"/>
          <w:color w:val="000000" w:themeColor="text1"/>
          <w:sz w:val="22"/>
          <w:lang w:val="es-ES"/>
        </w:rPr>
        <w:t xml:space="preserve"> concluyó que el análisis de esta disposición debe realizarse a profundidad para establecer si efectivamente existe una contradicción normativa que implique que se afectó la competencia del legislador. En consecuencia, negó la solicitud de suspensión provisional, reservando el análisis sobre la legalidad de dicho artículo a la sentencia de fondo.</w:t>
      </w:r>
      <w:r w:rsidR="00D22F18" w:rsidRPr="002676D1">
        <w:rPr>
          <w:rFonts w:ascii="Arial" w:eastAsia="Calibri" w:hAnsi="Arial" w:cs="Arial"/>
          <w:color w:val="000000" w:themeColor="text1"/>
          <w:sz w:val="22"/>
          <w:lang w:val="es-ES"/>
        </w:rPr>
        <w:t xml:space="preserve"> Por tanto</w:t>
      </w:r>
      <w:r w:rsidR="004B512B" w:rsidRPr="002676D1">
        <w:rPr>
          <w:rFonts w:ascii="Arial" w:eastAsia="Calibri" w:hAnsi="Arial" w:cs="Arial"/>
          <w:color w:val="000000" w:themeColor="text1"/>
          <w:sz w:val="22"/>
          <w:lang w:val="es-ES"/>
        </w:rPr>
        <w:t xml:space="preserve">, si se pretende realizar un </w:t>
      </w:r>
      <w:r w:rsidR="004B512B" w:rsidRPr="002676D1">
        <w:rPr>
          <w:rFonts w:ascii="Arial" w:eastAsia="Calibri" w:hAnsi="Arial" w:cs="Arial"/>
          <w:i/>
          <w:iCs/>
          <w:color w:val="000000" w:themeColor="text1"/>
          <w:sz w:val="22"/>
          <w:lang w:val="es-ES"/>
        </w:rPr>
        <w:t>convenio de asociación</w:t>
      </w:r>
      <w:r w:rsidR="004B512B" w:rsidRPr="002676D1">
        <w:rPr>
          <w:rFonts w:ascii="Arial" w:eastAsia="Calibri" w:hAnsi="Arial" w:cs="Arial"/>
          <w:color w:val="000000" w:themeColor="text1"/>
          <w:sz w:val="22"/>
          <w:lang w:val="es-ES"/>
        </w:rPr>
        <w:t xml:space="preserve"> </w:t>
      </w:r>
      <w:r w:rsidR="004B512B" w:rsidRPr="002676D1">
        <w:rPr>
          <w:rFonts w:ascii="Arial" w:eastAsia="Calibri" w:hAnsi="Arial" w:cs="Arial"/>
          <w:color w:val="000000" w:themeColor="text1"/>
          <w:sz w:val="22"/>
          <w:lang w:val="es-ES"/>
        </w:rPr>
        <w:lastRenderedPageBreak/>
        <w:t>con ESAL de reconocida idoneidad para el cumplimiento de las funciones que la ley les asigna a las entidades públicas, debe aplicar</w:t>
      </w:r>
      <w:r w:rsidR="00D22F18" w:rsidRPr="002676D1">
        <w:rPr>
          <w:rFonts w:ascii="Arial" w:eastAsia="Calibri" w:hAnsi="Arial" w:cs="Arial"/>
          <w:color w:val="000000" w:themeColor="text1"/>
          <w:sz w:val="22"/>
          <w:lang w:val="es-ES"/>
        </w:rPr>
        <w:t>se</w:t>
      </w:r>
      <w:r w:rsidR="004B512B" w:rsidRPr="002676D1">
        <w:rPr>
          <w:rFonts w:ascii="Arial" w:eastAsia="Calibri" w:hAnsi="Arial" w:cs="Arial"/>
          <w:color w:val="000000" w:themeColor="text1"/>
          <w:sz w:val="22"/>
          <w:lang w:val="es-ES"/>
        </w:rPr>
        <w:t xml:space="preserve"> lo dispuesto en </w:t>
      </w:r>
      <w:r>
        <w:rPr>
          <w:rFonts w:ascii="Arial" w:eastAsia="Calibri" w:hAnsi="Arial" w:cs="Arial"/>
          <w:color w:val="000000" w:themeColor="text1"/>
          <w:sz w:val="22"/>
          <w:lang w:val="es-ES"/>
        </w:rPr>
        <w:t>la norma citada</w:t>
      </w:r>
      <w:r w:rsidR="004B512B" w:rsidRPr="002676D1">
        <w:rPr>
          <w:rFonts w:ascii="Arial" w:eastAsia="Calibri" w:hAnsi="Arial" w:cs="Arial"/>
          <w:color w:val="000000" w:themeColor="text1"/>
          <w:sz w:val="22"/>
          <w:lang w:val="es-ES"/>
        </w:rPr>
        <w:t xml:space="preserve">. </w:t>
      </w:r>
    </w:p>
    <w:p w14:paraId="5BDA9587" w14:textId="2CB97BBE" w:rsidR="004B512B" w:rsidRPr="002676D1" w:rsidRDefault="004B512B" w:rsidP="00357198">
      <w:pPr>
        <w:spacing w:before="120" w:line="276" w:lineRule="auto"/>
        <w:ind w:firstLine="708"/>
        <w:jc w:val="both"/>
        <w:rPr>
          <w:rFonts w:ascii="Arial" w:eastAsia="Calibri" w:hAnsi="Arial" w:cs="Arial"/>
          <w:color w:val="000000" w:themeColor="text1"/>
          <w:sz w:val="22"/>
          <w:lang w:val="es-ES"/>
        </w:rPr>
      </w:pPr>
      <w:r w:rsidRPr="002676D1">
        <w:rPr>
          <w:rFonts w:ascii="Arial" w:eastAsia="Calibri" w:hAnsi="Arial" w:cs="Arial"/>
          <w:color w:val="000000" w:themeColor="text1"/>
          <w:sz w:val="22"/>
          <w:lang w:val="es-ES"/>
        </w:rPr>
        <w:t xml:space="preserve">Para los convenios de asociación, como se </w:t>
      </w:r>
      <w:r w:rsidR="00D22F18" w:rsidRPr="002676D1">
        <w:rPr>
          <w:rFonts w:ascii="Arial" w:eastAsia="Calibri" w:hAnsi="Arial" w:cs="Arial"/>
          <w:color w:val="000000" w:themeColor="text1"/>
          <w:sz w:val="22"/>
          <w:lang w:val="es-ES"/>
        </w:rPr>
        <w:t xml:space="preserve">explicó </w:t>
      </w:r>
      <w:r w:rsidR="00D22F18" w:rsidRPr="002676D1">
        <w:rPr>
          <w:rFonts w:ascii="Arial" w:eastAsia="Calibri" w:hAnsi="Arial" w:cs="Arial"/>
          <w:i/>
          <w:iCs/>
          <w:color w:val="000000" w:themeColor="text1"/>
          <w:sz w:val="22"/>
          <w:lang w:val="es-ES"/>
        </w:rPr>
        <w:t>ut supra</w:t>
      </w:r>
      <w:r w:rsidRPr="002676D1">
        <w:rPr>
          <w:rFonts w:ascii="Arial" w:eastAsia="Calibri" w:hAnsi="Arial" w:cs="Arial"/>
          <w:color w:val="000000" w:themeColor="text1"/>
          <w:sz w:val="22"/>
          <w:lang w:val="es-ES"/>
        </w:rPr>
        <w:t>, el artículo 5 del Decreto</w:t>
      </w:r>
      <w:r w:rsidR="005E5A85">
        <w:rPr>
          <w:rFonts w:ascii="Arial" w:eastAsia="Calibri" w:hAnsi="Arial" w:cs="Arial"/>
          <w:color w:val="000000" w:themeColor="text1"/>
          <w:sz w:val="22"/>
          <w:lang w:val="es-ES"/>
        </w:rPr>
        <w:t xml:space="preserve"> 092 de 2017</w:t>
      </w:r>
      <w:r w:rsidRPr="002676D1">
        <w:rPr>
          <w:rFonts w:ascii="Arial" w:eastAsia="Calibri" w:hAnsi="Arial" w:cs="Arial"/>
          <w:color w:val="000000" w:themeColor="text1"/>
          <w:sz w:val="22"/>
          <w:lang w:val="es-ES"/>
        </w:rPr>
        <w:t xml:space="preserve"> establece que el proceso para la selección de la ESAL, por regla general, debe estar sujeto a competencia; salvo en aquellos casos en que una entidad sin ánimo de lucro comprometa recursos en dinero por un valor igual o superior al 30% del valor total del convenio</w:t>
      </w:r>
      <w:r w:rsidRPr="002676D1">
        <w:rPr>
          <w:rStyle w:val="Refdenotaalpie"/>
          <w:rFonts w:ascii="Arial" w:hAnsi="Arial" w:cs="Arial"/>
          <w:color w:val="000000" w:themeColor="text1"/>
          <w:sz w:val="22"/>
          <w:szCs w:val="22"/>
          <w:lang w:val="es-ES"/>
        </w:rPr>
        <w:footnoteReference w:id="17"/>
      </w:r>
      <w:r w:rsidRPr="002676D1">
        <w:rPr>
          <w:rFonts w:ascii="Arial" w:eastAsia="Calibri" w:hAnsi="Arial" w:cs="Arial"/>
          <w:color w:val="000000" w:themeColor="text1"/>
          <w:sz w:val="22"/>
          <w:lang w:val="es-ES"/>
        </w:rPr>
        <w:t>, y siempre que la entidad estatal verifique previamente que no existe ninguna otra entidad sin ánimo de lucro que ofrezca aportes iguales o superiores al 30%.</w:t>
      </w:r>
      <w:r w:rsidR="00357198" w:rsidRPr="002676D1">
        <w:rPr>
          <w:rFonts w:ascii="Arial" w:eastAsia="Calibri" w:hAnsi="Arial" w:cs="Arial"/>
          <w:color w:val="000000" w:themeColor="text1"/>
          <w:sz w:val="22"/>
          <w:lang w:val="es-ES"/>
        </w:rPr>
        <w:t xml:space="preserve"> </w:t>
      </w:r>
      <w:r w:rsidRPr="002676D1">
        <w:rPr>
          <w:rFonts w:ascii="Arial" w:eastAsia="Calibri" w:hAnsi="Arial" w:cs="Arial"/>
          <w:color w:val="000000" w:themeColor="text1"/>
          <w:sz w:val="22"/>
          <w:lang w:val="es-ES"/>
        </w:rPr>
        <w:t>De hecho, en relación con la naturaleza y cuantía de los convenios, la norma anteriormente citada no prohíbe la celebración de convenios en que la ESAL aporte menos del 30% o cuando aporte recursos en especie: s</w:t>
      </w:r>
      <w:r w:rsidR="007C6CCF" w:rsidRPr="002676D1">
        <w:rPr>
          <w:rFonts w:ascii="Arial" w:eastAsia="Calibri" w:hAnsi="Arial" w:cs="Arial"/>
          <w:color w:val="000000" w:themeColor="text1"/>
          <w:sz w:val="22"/>
          <w:lang w:val="es-ES"/>
        </w:rPr>
        <w:t>o</w:t>
      </w:r>
      <w:r w:rsidRPr="002676D1">
        <w:rPr>
          <w:rFonts w:ascii="Arial" w:eastAsia="Calibri" w:hAnsi="Arial" w:cs="Arial"/>
          <w:color w:val="000000" w:themeColor="text1"/>
          <w:sz w:val="22"/>
          <w:lang w:val="es-ES"/>
        </w:rPr>
        <w:t>lo indica que en esos casos la entidad estatal debe acudir al proceso competitivo para seleccionar a la entidad sin ánimo de lucro con la cual celebrará el respectivo convenio.</w:t>
      </w:r>
    </w:p>
    <w:p w14:paraId="2A0FD769" w14:textId="12E3872D" w:rsidR="0098450A" w:rsidRPr="00433AE3" w:rsidRDefault="00F66D0B" w:rsidP="0098450A">
      <w:pPr>
        <w:spacing w:before="120" w:line="276" w:lineRule="auto"/>
        <w:ind w:firstLine="708"/>
        <w:jc w:val="both"/>
        <w:rPr>
          <w:rFonts w:ascii="Arial" w:eastAsia="Calibri" w:hAnsi="Arial" w:cs="Arial"/>
          <w:color w:val="000000" w:themeColor="text1"/>
          <w:sz w:val="22"/>
          <w:lang w:val="es-ES"/>
        </w:rPr>
      </w:pPr>
      <w:bookmarkStart w:id="3" w:name="_Hlk75262876"/>
      <w:r w:rsidRPr="00433AE3">
        <w:rPr>
          <w:rFonts w:ascii="Arial" w:eastAsia="Calibri" w:hAnsi="Arial" w:cs="Arial"/>
          <w:color w:val="000000" w:themeColor="text1"/>
          <w:sz w:val="22"/>
          <w:lang w:val="es-ES"/>
        </w:rPr>
        <w:t>En esta medida,</w:t>
      </w:r>
      <w:r w:rsidR="0071188F">
        <w:rPr>
          <w:rFonts w:ascii="Arial" w:eastAsia="Calibri" w:hAnsi="Arial" w:cs="Arial"/>
          <w:color w:val="000000" w:themeColor="text1"/>
          <w:sz w:val="22"/>
          <w:lang w:val="es-ES"/>
        </w:rPr>
        <w:t xml:space="preserve"> tanto para los </w:t>
      </w:r>
      <w:r w:rsidR="0071188F" w:rsidRPr="00C31586">
        <w:rPr>
          <w:rFonts w:ascii="Arial" w:eastAsia="Calibri" w:hAnsi="Arial" w:cs="Arial"/>
          <w:i/>
          <w:iCs/>
          <w:color w:val="000000" w:themeColor="text1"/>
          <w:sz w:val="22"/>
          <w:lang w:val="es-ES"/>
        </w:rPr>
        <w:t>contratos de colaboración</w:t>
      </w:r>
      <w:r w:rsidR="0071188F">
        <w:rPr>
          <w:rFonts w:ascii="Arial" w:eastAsia="Calibri" w:hAnsi="Arial" w:cs="Arial"/>
          <w:color w:val="000000" w:themeColor="text1"/>
          <w:sz w:val="22"/>
          <w:lang w:val="es-ES"/>
        </w:rPr>
        <w:t xml:space="preserve"> como para los </w:t>
      </w:r>
      <w:r w:rsidR="0071188F" w:rsidRPr="00C31586">
        <w:rPr>
          <w:rFonts w:ascii="Arial" w:eastAsia="Calibri" w:hAnsi="Arial" w:cs="Arial"/>
          <w:i/>
          <w:iCs/>
          <w:color w:val="000000" w:themeColor="text1"/>
          <w:sz w:val="22"/>
          <w:lang w:val="es-ES"/>
        </w:rPr>
        <w:t>convenios de asociación</w:t>
      </w:r>
      <w:r w:rsidR="00086853">
        <w:rPr>
          <w:rFonts w:ascii="Arial" w:eastAsia="Calibri" w:hAnsi="Arial" w:cs="Arial"/>
          <w:color w:val="000000" w:themeColor="text1"/>
          <w:sz w:val="22"/>
          <w:lang w:val="es-ES"/>
        </w:rPr>
        <w:t>,</w:t>
      </w:r>
      <w:r w:rsidR="00656EEE" w:rsidRPr="00433AE3">
        <w:rPr>
          <w:rFonts w:ascii="Arial" w:eastAsia="Calibri" w:hAnsi="Arial" w:cs="Arial"/>
          <w:color w:val="000000" w:themeColor="text1"/>
          <w:sz w:val="22"/>
          <w:lang w:val="es-ES"/>
        </w:rPr>
        <w:t xml:space="preserve"> la prohibición de contratación directa</w:t>
      </w:r>
      <w:r w:rsidR="000936F7" w:rsidRPr="00433AE3">
        <w:rPr>
          <w:rFonts w:ascii="Arial" w:eastAsia="Calibri" w:hAnsi="Arial" w:cs="Arial"/>
          <w:color w:val="000000" w:themeColor="text1"/>
          <w:sz w:val="22"/>
          <w:lang w:val="es-ES"/>
        </w:rPr>
        <w:t xml:space="preserve"> del artículo 33 de la Ley de Garantías</w:t>
      </w:r>
      <w:r w:rsidR="00656EEE" w:rsidRPr="00433AE3">
        <w:rPr>
          <w:rFonts w:ascii="Arial" w:eastAsia="Calibri" w:hAnsi="Arial" w:cs="Arial"/>
          <w:color w:val="000000" w:themeColor="text1"/>
          <w:sz w:val="22"/>
          <w:lang w:val="es-ES"/>
        </w:rPr>
        <w:t xml:space="preserve"> aplica únicamente</w:t>
      </w:r>
      <w:r w:rsidR="000936F7" w:rsidRPr="00433AE3">
        <w:rPr>
          <w:rFonts w:ascii="Arial" w:eastAsia="Calibri" w:hAnsi="Arial" w:cs="Arial"/>
          <w:color w:val="000000" w:themeColor="text1"/>
          <w:sz w:val="22"/>
          <w:lang w:val="es-ES"/>
        </w:rPr>
        <w:t xml:space="preserve"> a los procedimientos no competitivos</w:t>
      </w:r>
      <w:bookmarkEnd w:id="3"/>
      <w:r w:rsidR="005A4F69" w:rsidRPr="00433AE3">
        <w:rPr>
          <w:rFonts w:ascii="Arial" w:eastAsia="Calibri" w:hAnsi="Arial" w:cs="Arial"/>
          <w:color w:val="000000" w:themeColor="text1"/>
          <w:sz w:val="22"/>
          <w:lang w:val="es-ES"/>
        </w:rPr>
        <w:t>. Como explica la Sala de Consulta y Servicio Civil del Consejo de Estado</w:t>
      </w:r>
      <w:r w:rsidR="0098450A" w:rsidRPr="00433AE3">
        <w:rPr>
          <w:rFonts w:ascii="Arial" w:eastAsia="Calibri" w:hAnsi="Arial" w:cs="Arial"/>
          <w:color w:val="000000" w:themeColor="text1"/>
          <w:sz w:val="22"/>
          <w:lang w:val="es-ES"/>
        </w:rPr>
        <w:t>:</w:t>
      </w:r>
    </w:p>
    <w:p w14:paraId="06888D53" w14:textId="77777777" w:rsidR="00C24850" w:rsidRPr="00433AE3" w:rsidRDefault="00C24850" w:rsidP="006B3EB4">
      <w:pPr>
        <w:spacing w:line="276" w:lineRule="auto"/>
        <w:ind w:firstLine="708"/>
        <w:jc w:val="both"/>
        <w:rPr>
          <w:rFonts w:ascii="Arial" w:eastAsia="Calibri" w:hAnsi="Arial" w:cs="Arial"/>
          <w:color w:val="000000" w:themeColor="text1"/>
          <w:sz w:val="22"/>
          <w:lang w:val="es-ES"/>
        </w:rPr>
      </w:pPr>
    </w:p>
    <w:p w14:paraId="08CA4040" w14:textId="02C6F147" w:rsidR="002B5A82" w:rsidRPr="00433AE3" w:rsidRDefault="004A31BD" w:rsidP="006B3EB4">
      <w:pPr>
        <w:ind w:left="709" w:right="709"/>
        <w:jc w:val="both"/>
        <w:rPr>
          <w:rFonts w:ascii="Arial" w:eastAsia="Calibri" w:hAnsi="Arial" w:cs="Arial"/>
          <w:color w:val="000000" w:themeColor="text1"/>
          <w:sz w:val="21"/>
          <w:szCs w:val="21"/>
          <w:lang w:val="es-ES"/>
        </w:rPr>
      </w:pPr>
      <w:r w:rsidRPr="00433AE3">
        <w:rPr>
          <w:rFonts w:ascii="Arial" w:eastAsia="Calibri" w:hAnsi="Arial" w:cs="Arial"/>
          <w:color w:val="000000" w:themeColor="text1"/>
          <w:sz w:val="21"/>
          <w:szCs w:val="21"/>
          <w:lang w:val="es-ES"/>
        </w:rPr>
        <w:t xml:space="preserve">Para efectos de la </w:t>
      </w:r>
      <w:r w:rsidR="00901819" w:rsidRPr="00433AE3">
        <w:rPr>
          <w:rFonts w:ascii="Arial" w:eastAsia="Calibri" w:hAnsi="Arial" w:cs="Arial"/>
          <w:color w:val="000000" w:themeColor="text1"/>
          <w:sz w:val="21"/>
          <w:szCs w:val="21"/>
          <w:lang w:val="es-ES"/>
        </w:rPr>
        <w:t>«</w:t>
      </w:r>
      <w:r w:rsidRPr="00433AE3">
        <w:rPr>
          <w:rFonts w:ascii="Arial" w:eastAsia="Calibri" w:hAnsi="Arial" w:cs="Arial"/>
          <w:color w:val="000000" w:themeColor="text1"/>
          <w:sz w:val="21"/>
          <w:szCs w:val="21"/>
          <w:lang w:val="es-ES"/>
        </w:rPr>
        <w:t>Ley de Garantías Electorales</w:t>
      </w:r>
      <w:r w:rsidR="00901819" w:rsidRPr="00433AE3">
        <w:rPr>
          <w:rFonts w:ascii="Arial" w:eastAsia="Calibri" w:hAnsi="Arial" w:cs="Arial"/>
          <w:color w:val="000000" w:themeColor="text1"/>
          <w:sz w:val="21"/>
          <w:szCs w:val="21"/>
          <w:lang w:val="es-ES"/>
        </w:rPr>
        <w:t>»</w:t>
      </w:r>
      <w:r w:rsidRPr="00433AE3">
        <w:rPr>
          <w:rFonts w:ascii="Arial" w:eastAsia="Calibri" w:hAnsi="Arial" w:cs="Arial"/>
          <w:color w:val="000000" w:themeColor="text1"/>
          <w:sz w:val="21"/>
          <w:szCs w:val="21"/>
          <w:lang w:val="es-ES"/>
        </w:rPr>
        <w:t xml:space="preserve">, y en armonía con las normas que regulan la contratación pública en Colombia, debe entenderse por </w:t>
      </w:r>
      <w:r w:rsidR="00901819" w:rsidRPr="00433AE3">
        <w:rPr>
          <w:rFonts w:ascii="Arial" w:eastAsia="Calibri" w:hAnsi="Arial" w:cs="Arial"/>
          <w:color w:val="000000" w:themeColor="text1"/>
          <w:sz w:val="21"/>
          <w:szCs w:val="21"/>
          <w:lang w:val="es-ES"/>
        </w:rPr>
        <w:t>«</w:t>
      </w:r>
      <w:r w:rsidRPr="00433AE3">
        <w:rPr>
          <w:rFonts w:ascii="Arial" w:eastAsia="Calibri" w:hAnsi="Arial" w:cs="Arial"/>
          <w:color w:val="000000" w:themeColor="text1"/>
          <w:sz w:val="21"/>
          <w:szCs w:val="21"/>
          <w:lang w:val="es-ES"/>
        </w:rPr>
        <w:t>contratación directa</w:t>
      </w:r>
      <w:r w:rsidR="00901819" w:rsidRPr="00433AE3">
        <w:rPr>
          <w:rFonts w:ascii="Arial" w:eastAsia="Calibri" w:hAnsi="Arial" w:cs="Arial"/>
          <w:color w:val="000000" w:themeColor="text1"/>
          <w:sz w:val="21"/>
          <w:szCs w:val="21"/>
          <w:lang w:val="es-ES"/>
        </w:rPr>
        <w:t>»</w:t>
      </w:r>
      <w:r w:rsidRPr="00433AE3">
        <w:rPr>
          <w:rFonts w:ascii="Arial" w:eastAsia="Calibri" w:hAnsi="Arial" w:cs="Arial"/>
          <w:color w:val="000000" w:themeColor="text1"/>
          <w:sz w:val="21"/>
          <w:szCs w:val="21"/>
          <w:lang w:val="es-ES"/>
        </w:rPr>
        <w:t xml:space="preserve"> cualquier sistema de selección de contratistas en el que no exista convocatoria pública, ni sea posible la participación de una pluralidad de oferentes, independientemente del régimen de contratación que se aplique</w:t>
      </w:r>
      <w:r w:rsidR="0098450A" w:rsidRPr="00433AE3">
        <w:rPr>
          <w:rStyle w:val="Refdenotaalpie"/>
          <w:rFonts w:ascii="Arial" w:eastAsia="Calibri" w:hAnsi="Arial" w:cs="Arial"/>
          <w:color w:val="000000" w:themeColor="text1"/>
          <w:sz w:val="21"/>
          <w:szCs w:val="21"/>
          <w:lang w:val="es-ES"/>
        </w:rPr>
        <w:footnoteReference w:id="18"/>
      </w:r>
      <w:r w:rsidR="0098450A" w:rsidRPr="00433AE3">
        <w:rPr>
          <w:rFonts w:ascii="Arial" w:eastAsia="Calibri" w:hAnsi="Arial" w:cs="Arial"/>
          <w:color w:val="000000" w:themeColor="text1"/>
          <w:sz w:val="21"/>
          <w:szCs w:val="21"/>
          <w:lang w:val="es-ES"/>
        </w:rPr>
        <w:t>.</w:t>
      </w:r>
      <w:r w:rsidR="002B5A82" w:rsidRPr="00433AE3">
        <w:rPr>
          <w:rFonts w:ascii="Arial" w:eastAsia="Calibri" w:hAnsi="Arial" w:cs="Arial"/>
          <w:color w:val="000000" w:themeColor="text1"/>
          <w:sz w:val="21"/>
          <w:szCs w:val="21"/>
          <w:lang w:val="es-ES"/>
        </w:rPr>
        <w:t xml:space="preserve"> </w:t>
      </w:r>
    </w:p>
    <w:p w14:paraId="650C82D8" w14:textId="77777777" w:rsidR="00C24850" w:rsidRPr="00433AE3" w:rsidRDefault="00C24850" w:rsidP="006B3EB4">
      <w:pPr>
        <w:spacing w:line="276" w:lineRule="auto"/>
        <w:ind w:left="709" w:right="709"/>
        <w:jc w:val="both"/>
        <w:rPr>
          <w:rFonts w:ascii="Arial" w:eastAsia="Calibri" w:hAnsi="Arial" w:cs="Arial"/>
          <w:color w:val="000000" w:themeColor="text1"/>
          <w:sz w:val="22"/>
          <w:lang w:val="es-ES"/>
        </w:rPr>
      </w:pPr>
    </w:p>
    <w:p w14:paraId="3B6DEC8F" w14:textId="77777777" w:rsidR="00086853" w:rsidRDefault="00C24850" w:rsidP="00AB5BE7">
      <w:pPr>
        <w:spacing w:after="120" w:line="276" w:lineRule="auto"/>
        <w:jc w:val="both"/>
        <w:rPr>
          <w:rFonts w:ascii="Arial" w:eastAsia="Calibri" w:hAnsi="Arial" w:cs="Arial"/>
          <w:color w:val="000000" w:themeColor="text1"/>
          <w:sz w:val="22"/>
          <w:lang w:val="es-ES"/>
        </w:rPr>
      </w:pPr>
      <w:r w:rsidRPr="00433AE3">
        <w:rPr>
          <w:rFonts w:ascii="Arial" w:eastAsia="Calibri" w:hAnsi="Arial" w:cs="Arial"/>
          <w:color w:val="000000" w:themeColor="text1"/>
          <w:sz w:val="22"/>
          <w:lang w:val="es-ES"/>
        </w:rPr>
        <w:tab/>
        <w:t>En contra</w:t>
      </w:r>
      <w:r w:rsidR="00D96DEE" w:rsidRPr="00433AE3">
        <w:rPr>
          <w:rFonts w:ascii="Arial" w:eastAsia="Calibri" w:hAnsi="Arial" w:cs="Arial"/>
          <w:color w:val="000000" w:themeColor="text1"/>
          <w:sz w:val="22"/>
          <w:lang w:val="es-ES"/>
        </w:rPr>
        <w:t>s</w:t>
      </w:r>
      <w:r w:rsidRPr="00433AE3">
        <w:rPr>
          <w:rFonts w:ascii="Arial" w:eastAsia="Calibri" w:hAnsi="Arial" w:cs="Arial"/>
          <w:color w:val="000000" w:themeColor="text1"/>
          <w:sz w:val="22"/>
          <w:lang w:val="es-ES"/>
        </w:rPr>
        <w:t xml:space="preserve">te, </w:t>
      </w:r>
      <w:r w:rsidR="00461321" w:rsidRPr="00433AE3">
        <w:rPr>
          <w:rFonts w:ascii="Arial" w:eastAsia="Calibri" w:hAnsi="Arial" w:cs="Arial"/>
          <w:color w:val="000000" w:themeColor="text1"/>
          <w:sz w:val="22"/>
          <w:lang w:val="es-ES"/>
        </w:rPr>
        <w:t xml:space="preserve">la restricción citada no aplicaría a los </w:t>
      </w:r>
      <w:r w:rsidR="00086853" w:rsidRPr="00C31586">
        <w:rPr>
          <w:rFonts w:ascii="Arial" w:eastAsia="Calibri" w:hAnsi="Arial" w:cs="Arial"/>
          <w:i/>
          <w:iCs/>
          <w:color w:val="000000" w:themeColor="text1"/>
          <w:sz w:val="22"/>
          <w:lang w:val="es-ES"/>
        </w:rPr>
        <w:t>contratos de colaboración</w:t>
      </w:r>
      <w:r w:rsidR="00086853">
        <w:rPr>
          <w:rFonts w:ascii="Arial" w:eastAsia="Calibri" w:hAnsi="Arial" w:cs="Arial"/>
          <w:color w:val="000000" w:themeColor="text1"/>
          <w:sz w:val="22"/>
          <w:lang w:val="es-ES"/>
        </w:rPr>
        <w:t xml:space="preserve"> y los </w:t>
      </w:r>
      <w:r w:rsidR="00461321" w:rsidRPr="00C31586">
        <w:rPr>
          <w:rFonts w:ascii="Arial" w:eastAsia="Calibri" w:hAnsi="Arial" w:cs="Arial"/>
          <w:i/>
          <w:iCs/>
          <w:color w:val="000000" w:themeColor="text1"/>
          <w:sz w:val="22"/>
          <w:lang w:val="es-ES"/>
        </w:rPr>
        <w:t>convenios de asociación</w:t>
      </w:r>
      <w:r w:rsidR="00461321" w:rsidRPr="00433AE3">
        <w:rPr>
          <w:rFonts w:ascii="Arial" w:eastAsia="Calibri" w:hAnsi="Arial" w:cs="Arial"/>
          <w:color w:val="000000" w:themeColor="text1"/>
          <w:sz w:val="22"/>
          <w:lang w:val="es-ES"/>
        </w:rPr>
        <w:t xml:space="preserve"> que celebren </w:t>
      </w:r>
      <w:r w:rsidR="00933390" w:rsidRPr="00433AE3">
        <w:rPr>
          <w:rFonts w:ascii="Arial" w:eastAsia="Calibri" w:hAnsi="Arial" w:cs="Arial"/>
          <w:color w:val="000000" w:themeColor="text1"/>
          <w:sz w:val="22"/>
          <w:lang w:val="es-ES"/>
        </w:rPr>
        <w:t xml:space="preserve">las entidades </w:t>
      </w:r>
      <w:r w:rsidR="00742972" w:rsidRPr="00433AE3">
        <w:rPr>
          <w:rFonts w:ascii="Arial" w:eastAsia="Calibri" w:hAnsi="Arial" w:cs="Arial"/>
          <w:color w:val="000000" w:themeColor="text1"/>
          <w:sz w:val="22"/>
          <w:lang w:val="es-ES"/>
        </w:rPr>
        <w:t>estatales</w:t>
      </w:r>
      <w:r w:rsidR="00933390" w:rsidRPr="00433AE3">
        <w:rPr>
          <w:rFonts w:ascii="Arial" w:eastAsia="Calibri" w:hAnsi="Arial" w:cs="Arial"/>
          <w:color w:val="000000" w:themeColor="text1"/>
          <w:sz w:val="22"/>
          <w:lang w:val="es-ES"/>
        </w:rPr>
        <w:t xml:space="preserve"> y las </w:t>
      </w:r>
      <w:r w:rsidR="00433AE3" w:rsidRPr="00433AE3">
        <w:rPr>
          <w:rFonts w:ascii="Arial" w:eastAsia="Calibri" w:hAnsi="Arial" w:cs="Arial"/>
          <w:color w:val="000000" w:themeColor="text1"/>
          <w:sz w:val="22"/>
          <w:lang w:val="es-ES"/>
        </w:rPr>
        <w:t>ESAL</w:t>
      </w:r>
      <w:r w:rsidR="00901819" w:rsidRPr="00433AE3">
        <w:rPr>
          <w:rFonts w:ascii="Arial" w:eastAsia="Calibri" w:hAnsi="Arial" w:cs="Arial"/>
          <w:color w:val="000000" w:themeColor="text1"/>
          <w:sz w:val="22"/>
          <w:lang w:val="es-ES"/>
        </w:rPr>
        <w:t xml:space="preserve"> </w:t>
      </w:r>
      <w:r w:rsidR="00933390" w:rsidRPr="00433AE3">
        <w:rPr>
          <w:rFonts w:ascii="Arial" w:eastAsia="Calibri" w:hAnsi="Arial" w:cs="Arial"/>
          <w:color w:val="000000" w:themeColor="text1"/>
          <w:sz w:val="22"/>
          <w:lang w:val="es-ES"/>
        </w:rPr>
        <w:t>bajo el procedimiento competitivo</w:t>
      </w:r>
      <w:r w:rsidR="00B20A58" w:rsidRPr="00433AE3">
        <w:rPr>
          <w:rFonts w:ascii="Arial" w:eastAsia="Calibri" w:hAnsi="Arial" w:cs="Arial"/>
          <w:color w:val="000000" w:themeColor="text1"/>
          <w:sz w:val="22"/>
          <w:lang w:val="es-ES"/>
        </w:rPr>
        <w:t>, pues este supone la pluralidad de oferentes</w:t>
      </w:r>
      <w:r w:rsidR="00C66B7D" w:rsidRPr="00433AE3">
        <w:rPr>
          <w:rFonts w:ascii="Arial" w:eastAsia="Calibri" w:hAnsi="Arial" w:cs="Arial"/>
          <w:color w:val="000000" w:themeColor="text1"/>
          <w:sz w:val="22"/>
          <w:lang w:val="es-ES"/>
        </w:rPr>
        <w:t xml:space="preserve"> y la selección objetiva del contratista</w:t>
      </w:r>
      <w:r w:rsidR="00903E0D" w:rsidRPr="00433AE3">
        <w:rPr>
          <w:rFonts w:ascii="Arial" w:eastAsia="Calibri" w:hAnsi="Arial" w:cs="Arial"/>
          <w:color w:val="000000" w:themeColor="text1"/>
          <w:sz w:val="22"/>
          <w:lang w:val="es-ES"/>
        </w:rPr>
        <w:t xml:space="preserve">. </w:t>
      </w:r>
      <w:r w:rsidR="00086853">
        <w:rPr>
          <w:rFonts w:ascii="Arial" w:eastAsia="Calibri" w:hAnsi="Arial" w:cs="Arial"/>
          <w:color w:val="000000" w:themeColor="text1"/>
          <w:sz w:val="22"/>
          <w:lang w:val="es-ES"/>
        </w:rPr>
        <w:t>De acuerdo con el inciso primero del artículo 4 del Decreto 092 de 2017, «</w:t>
      </w:r>
      <w:r w:rsidR="00086853" w:rsidRPr="00086853">
        <w:rPr>
          <w:rFonts w:ascii="Arial" w:eastAsia="Calibri" w:hAnsi="Arial" w:cs="Arial"/>
          <w:color w:val="000000" w:themeColor="text1"/>
          <w:sz w:val="22"/>
          <w:lang w:val="es-ES"/>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r w:rsidR="00086853">
        <w:rPr>
          <w:rFonts w:ascii="Arial" w:eastAsia="Calibri" w:hAnsi="Arial" w:cs="Arial"/>
          <w:color w:val="000000" w:themeColor="text1"/>
          <w:sz w:val="22"/>
          <w:lang w:val="es-ES"/>
        </w:rPr>
        <w:t xml:space="preserve">». </w:t>
      </w:r>
    </w:p>
    <w:p w14:paraId="6E59B58B" w14:textId="0C314516" w:rsidR="00B96D9F" w:rsidRPr="00433AE3" w:rsidRDefault="00086853" w:rsidP="00C31586">
      <w:pPr>
        <w:spacing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Por lo demás, c</w:t>
      </w:r>
      <w:r w:rsidR="00903E0D" w:rsidRPr="00433AE3">
        <w:rPr>
          <w:rFonts w:ascii="Arial" w:eastAsia="Calibri" w:hAnsi="Arial" w:cs="Arial"/>
          <w:color w:val="000000" w:themeColor="text1"/>
          <w:sz w:val="22"/>
          <w:lang w:val="es-ES"/>
        </w:rPr>
        <w:t xml:space="preserve">onforme al artículo 5 </w:t>
      </w:r>
      <w:r w:rsidRPr="00C31586">
        <w:rPr>
          <w:rFonts w:ascii="Arial" w:eastAsia="Calibri" w:hAnsi="Arial" w:cs="Arial"/>
          <w:i/>
          <w:iCs/>
          <w:color w:val="000000" w:themeColor="text1"/>
          <w:sz w:val="22"/>
          <w:lang w:val="es-ES"/>
        </w:rPr>
        <w:t>ibidem</w:t>
      </w:r>
      <w:r w:rsidR="00903E0D" w:rsidRPr="00433AE3">
        <w:rPr>
          <w:rFonts w:ascii="Arial" w:eastAsia="Calibri" w:hAnsi="Arial" w:cs="Arial"/>
          <w:color w:val="000000" w:themeColor="text1"/>
          <w:sz w:val="22"/>
          <w:lang w:val="es-ES"/>
        </w:rPr>
        <w:t xml:space="preserve">, </w:t>
      </w:r>
      <w:r w:rsidR="001751CB">
        <w:rPr>
          <w:rFonts w:ascii="Arial" w:eastAsia="Calibri" w:hAnsi="Arial" w:cs="Arial"/>
          <w:color w:val="000000" w:themeColor="text1"/>
          <w:sz w:val="22"/>
          <w:lang w:val="es-ES"/>
        </w:rPr>
        <w:t xml:space="preserve">el </w:t>
      </w:r>
      <w:r w:rsidR="001751CB" w:rsidRPr="00433AE3">
        <w:rPr>
          <w:rFonts w:ascii="Arial" w:eastAsia="Calibri" w:hAnsi="Arial" w:cs="Arial"/>
          <w:color w:val="000000" w:themeColor="text1"/>
          <w:sz w:val="22"/>
          <w:lang w:val="es-ES"/>
        </w:rPr>
        <w:t>procedimiento</w:t>
      </w:r>
      <w:r>
        <w:rPr>
          <w:rFonts w:ascii="Arial" w:eastAsia="Calibri" w:hAnsi="Arial" w:cs="Arial"/>
          <w:color w:val="000000" w:themeColor="text1"/>
          <w:sz w:val="22"/>
          <w:lang w:val="es-ES"/>
        </w:rPr>
        <w:t xml:space="preserve"> competitivo </w:t>
      </w:r>
      <w:r w:rsidR="001D65AC" w:rsidRPr="00433AE3">
        <w:rPr>
          <w:rFonts w:ascii="Arial" w:eastAsia="Calibri" w:hAnsi="Arial" w:cs="Arial"/>
          <w:color w:val="000000" w:themeColor="text1"/>
          <w:sz w:val="22"/>
          <w:lang w:val="es-ES"/>
        </w:rPr>
        <w:t>es la regla general</w:t>
      </w:r>
      <w:r w:rsidR="009F5ABB" w:rsidRPr="00433AE3">
        <w:rPr>
          <w:rFonts w:ascii="Arial" w:eastAsia="Calibri" w:hAnsi="Arial" w:cs="Arial"/>
          <w:color w:val="000000" w:themeColor="text1"/>
          <w:sz w:val="22"/>
          <w:lang w:val="es-ES"/>
        </w:rPr>
        <w:t xml:space="preserve">, salvo en aquellos casos en que una entidad sin ánimo de </w:t>
      </w:r>
      <w:r w:rsidR="00433AE3" w:rsidRPr="00433AE3">
        <w:rPr>
          <w:rFonts w:ascii="Arial" w:eastAsia="Calibri" w:hAnsi="Arial" w:cs="Arial"/>
          <w:color w:val="000000" w:themeColor="text1"/>
          <w:sz w:val="22"/>
          <w:lang w:val="es-ES"/>
        </w:rPr>
        <w:t>lucro comprometa</w:t>
      </w:r>
      <w:r w:rsidR="009F5ABB" w:rsidRPr="00433AE3">
        <w:rPr>
          <w:rFonts w:ascii="Arial" w:eastAsia="Calibri" w:hAnsi="Arial" w:cs="Arial"/>
          <w:color w:val="000000" w:themeColor="text1"/>
          <w:sz w:val="22"/>
          <w:lang w:val="es-ES"/>
        </w:rPr>
        <w:t xml:space="preserve"> recursos en dinero por un valor igual o superior al 30% del valor total del convenio, siempre que la entidad estatal verifique previamente que no existe ninguna otra </w:t>
      </w:r>
      <w:r w:rsidR="00092057" w:rsidRPr="00433AE3">
        <w:rPr>
          <w:rFonts w:ascii="Arial" w:eastAsia="Calibri" w:hAnsi="Arial" w:cs="Arial"/>
          <w:color w:val="000000" w:themeColor="text1"/>
          <w:sz w:val="22"/>
          <w:lang w:val="es-ES"/>
        </w:rPr>
        <w:t>ESAL</w:t>
      </w:r>
      <w:r w:rsidR="009F5ABB" w:rsidRPr="00433AE3">
        <w:rPr>
          <w:rFonts w:ascii="Arial" w:eastAsia="Calibri" w:hAnsi="Arial" w:cs="Arial"/>
          <w:color w:val="000000" w:themeColor="text1"/>
          <w:sz w:val="22"/>
          <w:lang w:val="es-ES"/>
        </w:rPr>
        <w:t xml:space="preserve"> que ofrezca aportes iguales o superiores </w:t>
      </w:r>
      <w:r w:rsidR="00D96DEE" w:rsidRPr="00433AE3">
        <w:rPr>
          <w:rFonts w:ascii="Arial" w:eastAsia="Calibri" w:hAnsi="Arial" w:cs="Arial"/>
          <w:color w:val="000000" w:themeColor="text1"/>
          <w:sz w:val="22"/>
          <w:lang w:val="es-ES"/>
        </w:rPr>
        <w:t>a dicho porcentaje</w:t>
      </w:r>
      <w:r w:rsidR="00092057" w:rsidRPr="00433AE3">
        <w:rPr>
          <w:rFonts w:ascii="Arial" w:eastAsia="Calibri" w:hAnsi="Arial" w:cs="Arial"/>
          <w:color w:val="000000" w:themeColor="text1"/>
          <w:sz w:val="22"/>
          <w:lang w:val="es-ES"/>
        </w:rPr>
        <w:t>.</w:t>
      </w:r>
      <w:r w:rsidR="003A0B08" w:rsidRPr="00433AE3">
        <w:rPr>
          <w:rFonts w:ascii="Arial" w:eastAsia="Calibri" w:hAnsi="Arial" w:cs="Arial"/>
          <w:color w:val="000000" w:themeColor="text1"/>
          <w:sz w:val="22"/>
          <w:lang w:val="es-ES"/>
        </w:rPr>
        <w:t xml:space="preserve"> </w:t>
      </w:r>
      <w:r w:rsidR="00C66B7D" w:rsidRPr="00433AE3">
        <w:rPr>
          <w:rFonts w:ascii="Arial" w:eastAsia="Calibri" w:hAnsi="Arial" w:cs="Arial"/>
          <w:color w:val="000000" w:themeColor="text1"/>
          <w:sz w:val="22"/>
          <w:lang w:val="es-ES"/>
        </w:rPr>
        <w:t>Por ello</w:t>
      </w:r>
      <w:r w:rsidR="003A0B08" w:rsidRPr="00433AE3">
        <w:rPr>
          <w:rFonts w:ascii="Arial" w:eastAsia="Calibri" w:hAnsi="Arial" w:cs="Arial"/>
          <w:color w:val="000000" w:themeColor="text1"/>
          <w:sz w:val="22"/>
          <w:lang w:val="es-ES"/>
        </w:rPr>
        <w:t>, el inciso segundo de la norma citada dispone que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r w:rsidR="00B717E5" w:rsidRPr="00433AE3">
        <w:rPr>
          <w:rFonts w:ascii="Arial" w:eastAsia="Calibri" w:hAnsi="Arial" w:cs="Arial"/>
          <w:color w:val="000000" w:themeColor="text1"/>
          <w:sz w:val="22"/>
          <w:lang w:val="es-ES"/>
        </w:rPr>
        <w:t>».</w:t>
      </w:r>
    </w:p>
    <w:p w14:paraId="636C913D" w14:textId="77777777" w:rsidR="00B41D66" w:rsidRPr="002676D1" w:rsidRDefault="00B41D66">
      <w:pPr>
        <w:spacing w:line="276" w:lineRule="auto"/>
        <w:jc w:val="both"/>
        <w:rPr>
          <w:rFonts w:ascii="Arial" w:hAnsi="Arial" w:cs="Arial"/>
          <w:color w:val="000000" w:themeColor="text1"/>
          <w:sz w:val="22"/>
          <w:lang w:val="es-ES"/>
        </w:rPr>
      </w:pPr>
    </w:p>
    <w:p w14:paraId="5071167E" w14:textId="566DE40A" w:rsidR="008A6AA1" w:rsidRPr="002676D1" w:rsidRDefault="008A6AA1" w:rsidP="008A6AA1">
      <w:pPr>
        <w:tabs>
          <w:tab w:val="left" w:pos="0"/>
        </w:tabs>
        <w:jc w:val="both"/>
        <w:rPr>
          <w:rFonts w:ascii="Arial" w:eastAsia="Calibri" w:hAnsi="Arial" w:cs="Arial"/>
          <w:b/>
          <w:color w:val="000000" w:themeColor="text1"/>
          <w:sz w:val="22"/>
          <w:lang w:val="es-ES"/>
        </w:rPr>
      </w:pPr>
      <w:r w:rsidRPr="002676D1">
        <w:rPr>
          <w:rFonts w:ascii="Arial" w:eastAsia="Calibri" w:hAnsi="Arial" w:cs="Arial"/>
          <w:b/>
          <w:color w:val="000000" w:themeColor="text1"/>
          <w:sz w:val="22"/>
          <w:lang w:val="es-ES"/>
        </w:rPr>
        <w:t>3. Respuesta</w:t>
      </w:r>
    </w:p>
    <w:p w14:paraId="1D78D111" w14:textId="77777777" w:rsidR="008A6AA1" w:rsidRPr="002676D1" w:rsidRDefault="008A6AA1" w:rsidP="008A6AA1">
      <w:pPr>
        <w:tabs>
          <w:tab w:val="left" w:pos="0"/>
        </w:tabs>
        <w:jc w:val="both"/>
        <w:rPr>
          <w:rFonts w:ascii="Arial" w:eastAsia="Calibri" w:hAnsi="Arial" w:cs="Arial"/>
          <w:color w:val="000000" w:themeColor="text1"/>
          <w:sz w:val="22"/>
          <w:lang w:val="es-ES"/>
        </w:rPr>
      </w:pPr>
    </w:p>
    <w:p w14:paraId="0A866EA5" w14:textId="1101A606" w:rsidR="00B41D66" w:rsidRDefault="00803AB0" w:rsidP="002E596C">
      <w:pPr>
        <w:ind w:left="709" w:right="709"/>
        <w:jc w:val="both"/>
        <w:rPr>
          <w:rFonts w:ascii="Arial" w:hAnsi="Arial" w:cs="Arial"/>
          <w:color w:val="000000" w:themeColor="text1"/>
          <w:sz w:val="21"/>
          <w:szCs w:val="21"/>
          <w:lang w:val="es-ES"/>
        </w:rPr>
      </w:pPr>
      <w:r w:rsidRPr="002676D1">
        <w:rPr>
          <w:rFonts w:ascii="Arial" w:hAnsi="Arial" w:cs="Arial"/>
          <w:color w:val="000000" w:themeColor="text1"/>
          <w:sz w:val="21"/>
          <w:szCs w:val="21"/>
          <w:lang w:val="es-ES"/>
        </w:rPr>
        <w:t>«</w:t>
      </w:r>
      <w:r w:rsidR="002D152E" w:rsidRPr="002676D1">
        <w:rPr>
          <w:rFonts w:ascii="Arial" w:hAnsi="Arial" w:cs="Arial"/>
          <w:color w:val="000000" w:themeColor="text1"/>
          <w:sz w:val="21"/>
          <w:szCs w:val="21"/>
          <w:lang w:val="es-ES"/>
        </w:rPr>
        <w:t>[</w:t>
      </w:r>
      <w:r w:rsidR="002E596C" w:rsidRPr="002E596C">
        <w:rPr>
          <w:rFonts w:ascii="Arial" w:hAnsi="Arial" w:cs="Arial"/>
          <w:color w:val="000000" w:themeColor="text1"/>
          <w:sz w:val="21"/>
          <w:szCs w:val="21"/>
          <w:lang w:val="es-ES"/>
        </w:rPr>
        <w:t>«Les solicito muy respetuosamente que se me haga llegar concepto de Colombia Compra Eficiente donde aclaren como se restringen con la Ley de Garantías, para 2022, los Procesos de Contratación regulados en el Decreto 092 de 2017, especialmente de las ESAL.».</w:t>
      </w:r>
    </w:p>
    <w:p w14:paraId="7329AD4F" w14:textId="77777777" w:rsidR="002E596C" w:rsidRPr="002676D1" w:rsidRDefault="002E596C" w:rsidP="002E596C">
      <w:pPr>
        <w:ind w:right="709"/>
        <w:jc w:val="both"/>
        <w:rPr>
          <w:rFonts w:ascii="Arial" w:hAnsi="Arial" w:cs="Arial"/>
          <w:sz w:val="22"/>
          <w:szCs w:val="22"/>
          <w:lang w:val="es-ES"/>
        </w:rPr>
      </w:pPr>
    </w:p>
    <w:p w14:paraId="5A1F18E4" w14:textId="4A5C5AFD" w:rsidR="00D61B44" w:rsidRPr="00BE46BC" w:rsidRDefault="00F3147D" w:rsidP="00BE46BC">
      <w:pPr>
        <w:pStyle w:val="Textocomentario"/>
        <w:spacing w:after="120" w:line="276" w:lineRule="auto"/>
        <w:jc w:val="both"/>
        <w:rPr>
          <w:rFonts w:ascii="Arial" w:hAnsi="Arial" w:cs="Arial"/>
          <w:color w:val="000000" w:themeColor="text1"/>
          <w:sz w:val="22"/>
          <w:lang w:val="es-ES"/>
        </w:rPr>
      </w:pPr>
      <w:r w:rsidRPr="002676D1">
        <w:rPr>
          <w:rFonts w:ascii="Arial" w:hAnsi="Arial" w:cs="Arial"/>
          <w:color w:val="000000" w:themeColor="text1"/>
          <w:sz w:val="22"/>
          <w:lang w:val="es-ES"/>
        </w:rPr>
        <w:t xml:space="preserve">En relación con </w:t>
      </w:r>
      <w:r w:rsidR="00F40C84" w:rsidRPr="002676D1">
        <w:rPr>
          <w:rFonts w:ascii="Arial" w:hAnsi="Arial" w:cs="Arial"/>
          <w:color w:val="000000" w:themeColor="text1"/>
          <w:sz w:val="22"/>
          <w:lang w:val="es-ES"/>
        </w:rPr>
        <w:t>l</w:t>
      </w:r>
      <w:r w:rsidR="00BE46BC">
        <w:rPr>
          <w:rFonts w:ascii="Arial" w:hAnsi="Arial" w:cs="Arial"/>
          <w:color w:val="000000" w:themeColor="text1"/>
          <w:sz w:val="22"/>
          <w:lang w:val="es-ES"/>
        </w:rPr>
        <w:t xml:space="preserve">a contratación con ESAL regulada en el Decreto 092 de 2017, la restricción del artículo 33 de la Ley de Garantías dependerá si el proceso de selección es competitivo o no. </w:t>
      </w:r>
      <w:r w:rsidR="00F40C84" w:rsidRPr="002676D1">
        <w:rPr>
          <w:rFonts w:ascii="Arial" w:hAnsi="Arial" w:cs="Arial"/>
          <w:color w:val="000000" w:themeColor="text1"/>
          <w:sz w:val="22"/>
          <w:lang w:val="es-ES"/>
        </w:rPr>
        <w:t xml:space="preserve">En esta medida, </w:t>
      </w:r>
      <w:r w:rsidR="00D0764A" w:rsidRPr="002676D1">
        <w:rPr>
          <w:rFonts w:ascii="Arial" w:hAnsi="Arial" w:cs="Arial"/>
          <w:color w:val="000000" w:themeColor="text1"/>
          <w:sz w:val="22"/>
          <w:lang w:val="es-ES"/>
        </w:rPr>
        <w:t xml:space="preserve">debe tenerse en cuenta que </w:t>
      </w:r>
      <w:r w:rsidR="00F40C84" w:rsidRPr="002676D1">
        <w:rPr>
          <w:rFonts w:ascii="Arial" w:hAnsi="Arial" w:cs="Arial"/>
          <w:color w:val="000000" w:themeColor="text1"/>
          <w:sz w:val="22"/>
          <w:lang w:val="es-ES"/>
        </w:rPr>
        <w:t xml:space="preserve">la prohibición de contratación directa del artículo </w:t>
      </w:r>
      <w:bookmarkStart w:id="4" w:name="_Hlk75271666"/>
      <w:r w:rsidR="00F40C84" w:rsidRPr="002676D1">
        <w:rPr>
          <w:rFonts w:ascii="Arial" w:hAnsi="Arial" w:cs="Arial"/>
          <w:color w:val="000000" w:themeColor="text1"/>
          <w:sz w:val="22"/>
          <w:lang w:val="es-ES"/>
        </w:rPr>
        <w:t>33 de la Ley de Garantías</w:t>
      </w:r>
      <w:bookmarkEnd w:id="4"/>
      <w:r w:rsidR="00F40C84" w:rsidRPr="002676D1">
        <w:rPr>
          <w:rFonts w:ascii="Arial" w:hAnsi="Arial" w:cs="Arial"/>
          <w:color w:val="000000" w:themeColor="text1"/>
          <w:sz w:val="22"/>
          <w:lang w:val="es-ES"/>
        </w:rPr>
        <w:t xml:space="preserve"> aplica únicamente a los procedimientos no competitivos</w:t>
      </w:r>
      <w:r w:rsidR="003F4A81" w:rsidRPr="002676D1">
        <w:rPr>
          <w:rFonts w:ascii="Arial" w:hAnsi="Arial" w:cs="Arial"/>
          <w:color w:val="000000" w:themeColor="text1"/>
          <w:sz w:val="22"/>
          <w:lang w:val="es-ES"/>
        </w:rPr>
        <w:t xml:space="preserve"> del reglamento citado</w:t>
      </w:r>
      <w:r w:rsidR="00B41D66" w:rsidRPr="002676D1">
        <w:rPr>
          <w:rFonts w:ascii="Arial" w:hAnsi="Arial" w:cs="Arial"/>
          <w:color w:val="000000" w:themeColor="text1"/>
          <w:sz w:val="22"/>
          <w:lang w:val="es-ES"/>
        </w:rPr>
        <w:t>.</w:t>
      </w:r>
      <w:r w:rsidR="002E1D8B" w:rsidRPr="002676D1">
        <w:rPr>
          <w:rFonts w:ascii="Arial" w:hAnsi="Arial" w:cs="Arial"/>
          <w:color w:val="000000" w:themeColor="text1"/>
          <w:sz w:val="22"/>
          <w:lang w:val="es-ES"/>
        </w:rPr>
        <w:t xml:space="preserve"> Lo anterior dado que, para efecto</w:t>
      </w:r>
      <w:r w:rsidR="00D0764A" w:rsidRPr="002676D1">
        <w:rPr>
          <w:rFonts w:ascii="Arial" w:hAnsi="Arial" w:cs="Arial"/>
          <w:color w:val="000000" w:themeColor="text1"/>
          <w:sz w:val="22"/>
          <w:lang w:val="es-ES"/>
        </w:rPr>
        <w:t>s</w:t>
      </w:r>
      <w:r w:rsidR="002E1D8B" w:rsidRPr="002676D1">
        <w:rPr>
          <w:rFonts w:ascii="Arial" w:hAnsi="Arial" w:cs="Arial"/>
          <w:color w:val="000000" w:themeColor="text1"/>
          <w:sz w:val="22"/>
          <w:lang w:val="es-ES"/>
        </w:rPr>
        <w:t xml:space="preserve"> de la Ley de Garantías, </w:t>
      </w:r>
      <w:r w:rsidR="002E1D8B" w:rsidRPr="002676D1">
        <w:rPr>
          <w:rFonts w:ascii="Arial" w:eastAsia="Calibri" w:hAnsi="Arial" w:cs="Arial"/>
          <w:color w:val="000000" w:themeColor="text1"/>
          <w:sz w:val="22"/>
          <w:szCs w:val="24"/>
          <w:lang w:val="es-ES" w:eastAsia="es-ES_tradnl"/>
        </w:rPr>
        <w:t xml:space="preserve">siempre que un proceso de contratación se enmarque dentro del supuesto de selección del contratista con ausencia de convocatoria pública y sin la necesidad de contar con varios oferentes que compitan </w:t>
      </w:r>
      <w:r w:rsidRPr="002676D1">
        <w:rPr>
          <w:rFonts w:ascii="Arial" w:eastAsia="Calibri" w:hAnsi="Arial" w:cs="Arial"/>
          <w:color w:val="000000" w:themeColor="text1"/>
          <w:sz w:val="22"/>
          <w:szCs w:val="24"/>
          <w:lang w:val="es-ES" w:eastAsia="es-ES_tradnl"/>
        </w:rPr>
        <w:t>por ser</w:t>
      </w:r>
      <w:r w:rsidR="002E1D8B" w:rsidRPr="002676D1">
        <w:rPr>
          <w:rFonts w:ascii="Arial" w:eastAsia="Calibri" w:hAnsi="Arial" w:cs="Arial"/>
          <w:color w:val="000000" w:themeColor="text1"/>
          <w:sz w:val="22"/>
          <w:szCs w:val="24"/>
          <w:lang w:val="es-ES" w:eastAsia="es-ES_tradnl"/>
        </w:rPr>
        <w:t xml:space="preserve"> la mejor oferta, </w:t>
      </w:r>
      <w:r w:rsidRPr="002676D1">
        <w:rPr>
          <w:rFonts w:ascii="Arial" w:eastAsia="Calibri" w:hAnsi="Arial" w:cs="Arial"/>
          <w:color w:val="000000" w:themeColor="text1"/>
          <w:sz w:val="22"/>
          <w:szCs w:val="24"/>
          <w:lang w:val="es-ES" w:eastAsia="es-ES_tradnl"/>
        </w:rPr>
        <w:t>aplicará</w:t>
      </w:r>
      <w:r w:rsidR="002E1D8B" w:rsidRPr="002676D1">
        <w:rPr>
          <w:rFonts w:ascii="Arial" w:eastAsia="Calibri" w:hAnsi="Arial" w:cs="Arial"/>
          <w:color w:val="000000" w:themeColor="text1"/>
          <w:sz w:val="22"/>
          <w:szCs w:val="24"/>
          <w:lang w:val="es-ES" w:eastAsia="es-ES_tradnl"/>
        </w:rPr>
        <w:t xml:space="preserve"> la restricción prevista en el artículo 33 de la ley </w:t>
      </w:r>
      <w:r w:rsidRPr="002676D1">
        <w:rPr>
          <w:rFonts w:ascii="Arial" w:eastAsia="Calibri" w:hAnsi="Arial" w:cs="Arial"/>
          <w:color w:val="000000" w:themeColor="text1"/>
          <w:sz w:val="22"/>
          <w:szCs w:val="24"/>
          <w:lang w:val="es-ES" w:eastAsia="es-ES_tradnl"/>
        </w:rPr>
        <w:t xml:space="preserve">996 de 2005 </w:t>
      </w:r>
      <w:r w:rsidR="002E1D8B" w:rsidRPr="002676D1">
        <w:rPr>
          <w:rFonts w:ascii="Arial" w:eastAsia="Calibri" w:hAnsi="Arial" w:cs="Arial"/>
          <w:color w:val="000000" w:themeColor="text1"/>
          <w:sz w:val="22"/>
          <w:szCs w:val="24"/>
          <w:lang w:val="es-ES" w:eastAsia="es-ES_tradnl"/>
        </w:rPr>
        <w:t>para la contratación directa, independientemente del régimen de contratación que se aplique, a menos que el asunto se enmarque dentro</w:t>
      </w:r>
      <w:r w:rsidR="00AD57CC" w:rsidRPr="002676D1">
        <w:rPr>
          <w:rFonts w:ascii="Arial" w:eastAsia="Calibri" w:hAnsi="Arial" w:cs="Arial"/>
          <w:color w:val="000000" w:themeColor="text1"/>
          <w:sz w:val="22"/>
          <w:szCs w:val="24"/>
          <w:lang w:val="es-ES" w:eastAsia="es-ES_tradnl"/>
        </w:rPr>
        <w:t xml:space="preserve"> de alguna de las excepciones establecidas </w:t>
      </w:r>
      <w:r w:rsidR="00331310" w:rsidRPr="002676D1">
        <w:rPr>
          <w:rFonts w:ascii="Arial" w:eastAsia="Calibri" w:hAnsi="Arial" w:cs="Arial"/>
          <w:color w:val="000000" w:themeColor="text1"/>
          <w:sz w:val="22"/>
          <w:szCs w:val="24"/>
          <w:lang w:val="es-ES" w:eastAsia="es-ES_tradnl"/>
        </w:rPr>
        <w:t>en el inciso segundo de la misma disposición</w:t>
      </w:r>
      <w:r w:rsidR="00AD57CC" w:rsidRPr="002676D1">
        <w:rPr>
          <w:rFonts w:ascii="Arial" w:eastAsia="Calibri" w:hAnsi="Arial" w:cs="Arial"/>
          <w:color w:val="000000" w:themeColor="text1"/>
          <w:sz w:val="22"/>
          <w:szCs w:val="24"/>
          <w:lang w:val="es-ES" w:eastAsia="es-ES_tradnl"/>
        </w:rPr>
        <w:t xml:space="preserve">. </w:t>
      </w:r>
      <w:r w:rsidR="00BE46BC">
        <w:rPr>
          <w:rFonts w:ascii="Arial" w:eastAsia="Calibri" w:hAnsi="Arial" w:cs="Arial"/>
          <w:color w:val="000000" w:themeColor="text1"/>
          <w:sz w:val="22"/>
          <w:lang w:val="es-ES"/>
        </w:rPr>
        <w:t xml:space="preserve"> </w:t>
      </w:r>
    </w:p>
    <w:p w14:paraId="15F6D99B" w14:textId="77777777" w:rsidR="00B80476" w:rsidRPr="002676D1" w:rsidRDefault="00B80476">
      <w:pPr>
        <w:jc w:val="both"/>
        <w:rPr>
          <w:rFonts w:ascii="Arial" w:eastAsia="Calibri" w:hAnsi="Arial" w:cs="Arial"/>
          <w:color w:val="000000" w:themeColor="text1"/>
          <w:sz w:val="22"/>
          <w:szCs w:val="22"/>
          <w:lang w:val="es-ES"/>
        </w:rPr>
      </w:pPr>
    </w:p>
    <w:p w14:paraId="7B2C921D" w14:textId="5AFFCB70" w:rsidR="00DD5B04" w:rsidRPr="002676D1" w:rsidRDefault="00DD5B04">
      <w:pPr>
        <w:spacing w:line="276" w:lineRule="auto"/>
        <w:jc w:val="both"/>
        <w:rPr>
          <w:rFonts w:ascii="Arial" w:hAnsi="Arial" w:cs="Arial"/>
          <w:color w:val="000000" w:themeColor="text1"/>
          <w:sz w:val="22"/>
          <w:lang w:val="es-ES"/>
        </w:rPr>
      </w:pPr>
      <w:r w:rsidRPr="002676D1">
        <w:rPr>
          <w:rFonts w:ascii="Arial" w:hAnsi="Arial" w:cs="Arial"/>
          <w:color w:val="000000" w:themeColor="text1"/>
          <w:sz w:val="22"/>
          <w:lang w:val="es-ES"/>
        </w:rPr>
        <w:t>Este concepto tiene el alcance previsto en el artículo 28 del Código de Procedimiento Administrativo y de lo Contencioso Administrativo.</w:t>
      </w:r>
    </w:p>
    <w:p w14:paraId="77EE5912" w14:textId="77777777" w:rsidR="00DD5B04" w:rsidRPr="002676D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0DDBEF2B" w14:textId="151B0829" w:rsidR="00DD5B04" w:rsidRPr="002676D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2676D1">
        <w:rPr>
          <w:rFonts w:ascii="Arial" w:hAnsi="Arial" w:cs="Arial"/>
          <w:color w:val="000000" w:themeColor="text1"/>
          <w:sz w:val="22"/>
          <w:szCs w:val="22"/>
          <w:lang w:val="es-ES"/>
        </w:rPr>
        <w:t>Atentamente,</w:t>
      </w:r>
    </w:p>
    <w:p w14:paraId="4914DA25" w14:textId="77777777" w:rsidR="00A80849" w:rsidRPr="002676D1"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CBAE239" w14:textId="2AE9170F" w:rsidR="00425C43" w:rsidRPr="002676D1" w:rsidRDefault="00796068" w:rsidP="00000E8E">
      <w:pPr>
        <w:pStyle w:val="NormalWeb"/>
        <w:spacing w:before="0" w:beforeAutospacing="0" w:after="0" w:afterAutospacing="0" w:line="276" w:lineRule="auto"/>
        <w:jc w:val="center"/>
        <w:rPr>
          <w:lang w:val="es-ES"/>
        </w:rPr>
      </w:pPr>
      <w:r>
        <w:rPr>
          <w:noProof/>
        </w:rPr>
        <w:lastRenderedPageBreak/>
        <w:drawing>
          <wp:inline distT="0" distB="0" distL="0" distR="0" wp14:anchorId="4B26684D" wp14:editId="1B7C2140">
            <wp:extent cx="3552825" cy="11811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3552825" cy="1181100"/>
                    </a:xfrm>
                    <a:prstGeom prst="rect">
                      <a:avLst/>
                    </a:prstGeom>
                  </pic:spPr>
                </pic:pic>
              </a:graphicData>
            </a:graphic>
          </wp:inline>
        </w:drawing>
      </w:r>
    </w:p>
    <w:p w14:paraId="49730030" w14:textId="0E2840F4" w:rsidR="00DD5B04" w:rsidRPr="002676D1" w:rsidRDefault="00DD5B04" w:rsidP="00B3765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2676D1" w14:paraId="0C7DC5F7" w14:textId="77777777" w:rsidTr="008F4163">
        <w:trPr>
          <w:trHeight w:val="315"/>
        </w:trPr>
        <w:tc>
          <w:tcPr>
            <w:tcW w:w="812" w:type="dxa"/>
            <w:vAlign w:val="center"/>
            <w:hideMark/>
          </w:tcPr>
          <w:p w14:paraId="5BDB1AC9" w14:textId="77777777" w:rsidR="00DD5B04" w:rsidRPr="002676D1" w:rsidRDefault="00DD5B04" w:rsidP="00DF76A2">
            <w:pPr>
              <w:jc w:val="both"/>
              <w:rPr>
                <w:rFonts w:ascii="Arial" w:hAnsi="Arial" w:cs="Arial"/>
                <w:color w:val="000000" w:themeColor="text1"/>
                <w:sz w:val="16"/>
                <w:szCs w:val="16"/>
                <w:lang w:val="es-ES" w:eastAsia="es-ES"/>
              </w:rPr>
            </w:pPr>
            <w:r w:rsidRPr="002676D1">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2188AF" w:rsidR="00DD5B04" w:rsidRPr="002676D1" w:rsidRDefault="00BE46BC" w:rsidP="00DF76A2">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David Torres Rojas</w:t>
            </w:r>
          </w:p>
          <w:p w14:paraId="240C71FD" w14:textId="31312C95" w:rsidR="00DD5B04" w:rsidRPr="002676D1" w:rsidRDefault="00DD5B04" w:rsidP="00DF76A2">
            <w:pPr>
              <w:jc w:val="both"/>
              <w:rPr>
                <w:rFonts w:ascii="Arial" w:hAnsi="Arial" w:cs="Arial"/>
                <w:color w:val="000000" w:themeColor="text1"/>
                <w:sz w:val="16"/>
                <w:szCs w:val="16"/>
                <w:lang w:val="es-ES" w:eastAsia="es-ES"/>
              </w:rPr>
            </w:pPr>
            <w:r w:rsidRPr="002676D1">
              <w:rPr>
                <w:rFonts w:ascii="Arial" w:hAnsi="Arial" w:cs="Arial"/>
                <w:color w:val="000000" w:themeColor="text1"/>
                <w:sz w:val="16"/>
                <w:szCs w:val="16"/>
                <w:lang w:val="es-ES" w:eastAsia="es-ES"/>
              </w:rPr>
              <w:t>Contratista</w:t>
            </w:r>
            <w:r w:rsidR="00FF0050" w:rsidRPr="002676D1">
              <w:rPr>
                <w:rFonts w:ascii="Arial" w:hAnsi="Arial" w:cs="Arial"/>
                <w:color w:val="000000" w:themeColor="text1"/>
                <w:sz w:val="16"/>
                <w:szCs w:val="16"/>
                <w:lang w:val="es-ES" w:eastAsia="es-ES"/>
              </w:rPr>
              <w:t xml:space="preserve"> de la </w:t>
            </w:r>
            <w:r w:rsidRPr="002676D1">
              <w:rPr>
                <w:rFonts w:ascii="Arial" w:hAnsi="Arial" w:cs="Arial"/>
                <w:color w:val="000000" w:themeColor="text1"/>
                <w:sz w:val="16"/>
                <w:szCs w:val="16"/>
                <w:lang w:val="es-ES" w:eastAsia="es-ES"/>
              </w:rPr>
              <w:t>Subdirección de Gestión Contractual</w:t>
            </w:r>
          </w:p>
        </w:tc>
      </w:tr>
      <w:tr w:rsidR="00DD5B04" w:rsidRPr="002676D1" w14:paraId="2F8FD650" w14:textId="77777777" w:rsidTr="008F4163">
        <w:trPr>
          <w:trHeight w:val="330"/>
        </w:trPr>
        <w:tc>
          <w:tcPr>
            <w:tcW w:w="812" w:type="dxa"/>
            <w:vAlign w:val="center"/>
            <w:hideMark/>
          </w:tcPr>
          <w:p w14:paraId="50203A0B" w14:textId="77777777" w:rsidR="00DD5B04" w:rsidRPr="002676D1" w:rsidRDefault="00DD5B04" w:rsidP="00DF76A2">
            <w:pPr>
              <w:jc w:val="both"/>
              <w:rPr>
                <w:rFonts w:ascii="Arial" w:hAnsi="Arial" w:cs="Arial"/>
                <w:color w:val="000000" w:themeColor="text1"/>
                <w:sz w:val="16"/>
                <w:szCs w:val="16"/>
                <w:lang w:val="es-ES" w:eastAsia="es-ES"/>
              </w:rPr>
            </w:pPr>
            <w:r w:rsidRPr="002676D1">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2312DC" w14:textId="7674870A" w:rsidR="008623A7" w:rsidRPr="002676D1" w:rsidRDefault="00BE46BC" w:rsidP="008623A7">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Juan David Montoya Penagos</w:t>
            </w:r>
          </w:p>
          <w:p w14:paraId="130B3228" w14:textId="7A834F20" w:rsidR="002B08BA" w:rsidRPr="002676D1" w:rsidRDefault="005E38E9" w:rsidP="00C05A61">
            <w:pPr>
              <w:jc w:val="both"/>
              <w:rPr>
                <w:rFonts w:ascii="Arial" w:hAnsi="Arial" w:cs="Arial"/>
                <w:color w:val="000000" w:themeColor="text1"/>
                <w:sz w:val="16"/>
                <w:szCs w:val="16"/>
                <w:lang w:val="es-ES" w:eastAsia="es-ES"/>
              </w:rPr>
            </w:pPr>
            <w:r w:rsidRPr="002676D1">
              <w:rPr>
                <w:rFonts w:ascii="Arial" w:hAnsi="Arial" w:cs="Arial"/>
                <w:color w:val="000000" w:themeColor="text1"/>
                <w:sz w:val="16"/>
                <w:szCs w:val="16"/>
                <w:lang w:val="es-ES" w:eastAsia="es-ES"/>
              </w:rPr>
              <w:t>G</w:t>
            </w:r>
            <w:r w:rsidR="003D281F" w:rsidRPr="002676D1">
              <w:rPr>
                <w:rFonts w:ascii="Arial" w:hAnsi="Arial" w:cs="Arial"/>
                <w:color w:val="000000" w:themeColor="text1"/>
                <w:sz w:val="16"/>
                <w:szCs w:val="16"/>
                <w:lang w:val="es-ES" w:eastAsia="es-ES"/>
              </w:rPr>
              <w:t xml:space="preserve">estor </w:t>
            </w:r>
            <w:r w:rsidR="00015642" w:rsidRPr="002676D1">
              <w:rPr>
                <w:rFonts w:ascii="Arial" w:hAnsi="Arial" w:cs="Arial"/>
                <w:color w:val="000000" w:themeColor="text1"/>
                <w:sz w:val="16"/>
                <w:szCs w:val="16"/>
                <w:lang w:val="es-ES" w:eastAsia="es-ES"/>
              </w:rPr>
              <w:t>T1-</w:t>
            </w:r>
            <w:r w:rsidR="003D281F" w:rsidRPr="002676D1">
              <w:rPr>
                <w:rFonts w:ascii="Arial" w:hAnsi="Arial" w:cs="Arial"/>
                <w:color w:val="000000" w:themeColor="text1"/>
                <w:sz w:val="16"/>
                <w:szCs w:val="16"/>
                <w:lang w:val="es-ES" w:eastAsia="es-ES"/>
              </w:rPr>
              <w:t xml:space="preserve">15 </w:t>
            </w:r>
            <w:r w:rsidR="00015642" w:rsidRPr="002676D1">
              <w:rPr>
                <w:rFonts w:ascii="Arial" w:hAnsi="Arial" w:cs="Arial"/>
                <w:color w:val="000000" w:themeColor="text1"/>
                <w:sz w:val="16"/>
                <w:szCs w:val="16"/>
                <w:lang w:val="es-ES" w:eastAsia="es-ES"/>
              </w:rPr>
              <w:t xml:space="preserve">de la </w:t>
            </w:r>
            <w:r w:rsidR="003D281F" w:rsidRPr="002676D1">
              <w:rPr>
                <w:rFonts w:ascii="Arial" w:hAnsi="Arial" w:cs="Arial"/>
                <w:color w:val="000000" w:themeColor="text1"/>
                <w:sz w:val="16"/>
                <w:szCs w:val="16"/>
                <w:lang w:val="es-ES" w:eastAsia="es-ES"/>
              </w:rPr>
              <w:t xml:space="preserve">Subdirección de Gestión Contractual </w:t>
            </w:r>
            <w:r w:rsidR="00015642" w:rsidRPr="002676D1">
              <w:rPr>
                <w:rFonts w:ascii="Arial" w:hAnsi="Arial" w:cs="Arial"/>
                <w:color w:val="000000" w:themeColor="text1"/>
                <w:sz w:val="16"/>
                <w:szCs w:val="16"/>
                <w:lang w:val="es-ES" w:eastAsia="es-ES"/>
              </w:rPr>
              <w:t xml:space="preserve"> </w:t>
            </w:r>
          </w:p>
        </w:tc>
      </w:tr>
      <w:tr w:rsidR="00DD5B04" w:rsidRPr="002676D1" w14:paraId="0FCBCA4A" w14:textId="77777777" w:rsidTr="008F4163">
        <w:trPr>
          <w:trHeight w:val="300"/>
        </w:trPr>
        <w:tc>
          <w:tcPr>
            <w:tcW w:w="812" w:type="dxa"/>
            <w:vAlign w:val="center"/>
            <w:hideMark/>
          </w:tcPr>
          <w:p w14:paraId="3C1D943A" w14:textId="29B4D648" w:rsidR="00DD5B04" w:rsidRPr="002676D1" w:rsidRDefault="00DD5B04" w:rsidP="00DF76A2">
            <w:pPr>
              <w:jc w:val="both"/>
              <w:rPr>
                <w:rFonts w:ascii="Arial" w:hAnsi="Arial" w:cs="Arial"/>
                <w:color w:val="000000" w:themeColor="text1"/>
                <w:sz w:val="16"/>
                <w:szCs w:val="16"/>
                <w:lang w:val="es-ES" w:eastAsia="es-ES"/>
              </w:rPr>
            </w:pPr>
            <w:r w:rsidRPr="002676D1">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1C3BABD" w14:textId="77777777" w:rsidR="005467A4" w:rsidRPr="003121C9" w:rsidRDefault="005467A4" w:rsidP="005467A4">
            <w:pPr>
              <w:rPr>
                <w:rFonts w:ascii="Arial" w:hAnsi="Arial" w:cs="Arial"/>
                <w:sz w:val="16"/>
                <w:szCs w:val="16"/>
                <w:lang w:eastAsia="es-ES"/>
              </w:rPr>
            </w:pPr>
            <w:r w:rsidRPr="003121C9">
              <w:rPr>
                <w:rFonts w:ascii="Arial" w:hAnsi="Arial" w:cs="Arial"/>
                <w:sz w:val="16"/>
                <w:szCs w:val="16"/>
                <w:lang w:eastAsia="es-ES"/>
              </w:rPr>
              <w:t>Juan David M</w:t>
            </w:r>
            <w:r>
              <w:rPr>
                <w:rFonts w:ascii="Arial" w:hAnsi="Arial" w:cs="Arial"/>
                <w:sz w:val="16"/>
                <w:szCs w:val="16"/>
                <w:lang w:eastAsia="es-ES"/>
              </w:rPr>
              <w:t>arín López</w:t>
            </w:r>
          </w:p>
          <w:p w14:paraId="1ADC483B" w14:textId="2CDFDE1F" w:rsidR="00DD5B04" w:rsidRPr="002676D1" w:rsidRDefault="005467A4" w:rsidP="005467A4">
            <w:pPr>
              <w:jc w:val="both"/>
              <w:rPr>
                <w:rFonts w:ascii="Arial" w:hAnsi="Arial" w:cs="Arial"/>
                <w:color w:val="000000" w:themeColor="text1"/>
                <w:sz w:val="16"/>
                <w:szCs w:val="16"/>
                <w:lang w:val="es-ES" w:eastAsia="es-ES"/>
              </w:rPr>
            </w:pPr>
            <w:r w:rsidRPr="003121C9">
              <w:rPr>
                <w:rFonts w:ascii="Arial" w:hAnsi="Arial" w:cs="Arial"/>
                <w:sz w:val="16"/>
                <w:szCs w:val="16"/>
                <w:lang w:eastAsia="es-ES"/>
              </w:rPr>
              <w:t>Subdirector de Gestión Contractual ANCP – CCE</w:t>
            </w:r>
            <w:r>
              <w:rPr>
                <w:rFonts w:ascii="Arial" w:hAnsi="Arial" w:cs="Arial"/>
                <w:sz w:val="16"/>
                <w:szCs w:val="16"/>
                <w:lang w:eastAsia="es-ES"/>
              </w:rPr>
              <w:t xml:space="preserve"> (E)</w:t>
            </w:r>
          </w:p>
        </w:tc>
      </w:tr>
    </w:tbl>
    <w:p w14:paraId="35B56F46" w14:textId="77777777" w:rsidR="00746E08" w:rsidRPr="002676D1" w:rsidRDefault="00746E08" w:rsidP="00215B8E">
      <w:pPr>
        <w:jc w:val="both"/>
        <w:rPr>
          <w:rFonts w:ascii="Arial" w:hAnsi="Arial" w:cs="Arial"/>
          <w:lang w:val="es-ES"/>
        </w:rPr>
      </w:pPr>
    </w:p>
    <w:sectPr w:rsidR="00746E08" w:rsidRPr="002676D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5609" w14:textId="77777777" w:rsidR="00771D55" w:rsidRDefault="00771D55">
      <w:r>
        <w:separator/>
      </w:r>
    </w:p>
  </w:endnote>
  <w:endnote w:type="continuationSeparator" w:id="0">
    <w:p w14:paraId="70D7CB99" w14:textId="77777777" w:rsidR="00771D55" w:rsidRDefault="00771D55">
      <w:r>
        <w:continuationSeparator/>
      </w:r>
    </w:p>
  </w:endnote>
  <w:endnote w:type="continuationNotice" w:id="1">
    <w:p w14:paraId="295AA7DF" w14:textId="77777777" w:rsidR="00771D55" w:rsidRDefault="00771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3103470"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E7EAA">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E7EAA">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6D0A" w14:textId="77777777" w:rsidR="00771D55" w:rsidRDefault="00771D55">
      <w:r>
        <w:separator/>
      </w:r>
    </w:p>
  </w:footnote>
  <w:footnote w:type="continuationSeparator" w:id="0">
    <w:p w14:paraId="4BA47F71" w14:textId="77777777" w:rsidR="00771D55" w:rsidRDefault="00771D55">
      <w:r>
        <w:continuationSeparator/>
      </w:r>
    </w:p>
  </w:footnote>
  <w:footnote w:type="continuationNotice" w:id="1">
    <w:p w14:paraId="77CC394C" w14:textId="77777777" w:rsidR="00771D55" w:rsidRDefault="00771D55"/>
  </w:footnote>
  <w:footnote w:id="2">
    <w:p w14:paraId="655D4C09" w14:textId="77777777"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473AEC7B" w14:textId="164819FC" w:rsidR="00E807B5" w:rsidRPr="00474434" w:rsidRDefault="00E807B5" w:rsidP="006B3EB4">
      <w:pPr>
        <w:pStyle w:val="Textonotapie"/>
        <w:ind w:firstLine="709"/>
        <w:jc w:val="both"/>
        <w:rPr>
          <w:rFonts w:ascii="Arial" w:hAnsi="Arial" w:cs="Arial"/>
          <w:sz w:val="19"/>
          <w:szCs w:val="19"/>
        </w:rPr>
      </w:pPr>
      <w:r w:rsidRPr="00474434">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r>
        <w:rPr>
          <w:rFonts w:ascii="Arial" w:hAnsi="Arial" w:cs="Arial"/>
          <w:sz w:val="19"/>
          <w:szCs w:val="19"/>
        </w:rPr>
        <w:t xml:space="preserve">. </w:t>
      </w:r>
      <w:r w:rsidRPr="00474434">
        <w:rPr>
          <w:rFonts w:ascii="Arial" w:hAnsi="Arial" w:cs="Arial"/>
          <w:sz w:val="19"/>
          <w:szCs w:val="19"/>
        </w:rPr>
        <w:t>Los empleados no contemplados en esta prohibición solo podrán participar en dichas actividades y controversias en las condiciones que señale la Ley Estatutaria».</w:t>
      </w:r>
    </w:p>
  </w:footnote>
  <w:footnote w:id="3">
    <w:p w14:paraId="3A8F0426" w14:textId="547878FE"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Corte Constitucional. Sentencias: C-233 de 4 de abril de 2002, expediente: D-3704; C-551 de 9 de julio de 2003, expediente: CRF-001 de 9 de julio de 2003; C-652 de 5 de agosto de 2003,</w:t>
      </w:r>
      <w:r>
        <w:rPr>
          <w:rFonts w:ascii="Arial" w:hAnsi="Arial" w:cs="Arial"/>
          <w:sz w:val="19"/>
          <w:szCs w:val="19"/>
        </w:rPr>
        <w:t xml:space="preserve"> </w:t>
      </w:r>
      <w:r w:rsidRPr="00474434">
        <w:rPr>
          <w:rFonts w:ascii="Arial" w:hAnsi="Arial" w:cs="Arial"/>
          <w:sz w:val="19"/>
          <w:szCs w:val="19"/>
        </w:rPr>
        <w:t>expediente: D-4330; C-353 de 20 de mayo de 2009, expediente: D-7518, C-541 de 30 de junio de 2010, expediente: DD7966; entre otras.</w:t>
      </w:r>
    </w:p>
    <w:p w14:paraId="1B9EFB00" w14:textId="77777777" w:rsidR="00E807B5" w:rsidRPr="00474434" w:rsidRDefault="00E807B5" w:rsidP="000077D0">
      <w:pPr>
        <w:pStyle w:val="Textonotapie"/>
        <w:ind w:firstLine="709"/>
        <w:rPr>
          <w:rFonts w:ascii="Arial" w:hAnsi="Arial" w:cs="Arial"/>
          <w:sz w:val="19"/>
          <w:szCs w:val="19"/>
          <w:lang w:val="es-CO"/>
        </w:rPr>
      </w:pPr>
    </w:p>
  </w:footnote>
  <w:footnote w:id="4">
    <w:p w14:paraId="3D0FF6A2" w14:textId="77777777" w:rsidR="00E807B5" w:rsidRPr="00474434" w:rsidRDefault="00E807B5" w:rsidP="006B3EB4">
      <w:pPr>
        <w:pStyle w:val="Textonotapie"/>
        <w:ind w:firstLine="709"/>
        <w:jc w:val="both"/>
        <w:rPr>
          <w:rFonts w:ascii="Arial" w:hAnsi="Arial" w:cs="Arial"/>
          <w:sz w:val="19"/>
          <w:szCs w:val="19"/>
          <w:lang w:val="es-CO"/>
        </w:rPr>
      </w:pPr>
      <w:r w:rsidRPr="00474434">
        <w:rPr>
          <w:rStyle w:val="Refdenotaalpie"/>
          <w:rFonts w:ascii="Arial" w:hAnsi="Arial" w:cs="Arial"/>
          <w:sz w:val="19"/>
          <w:szCs w:val="19"/>
        </w:rPr>
        <w:footnoteRef/>
      </w:r>
      <w:r w:rsidRPr="00474434">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8757135" w14:textId="77777777" w:rsidR="00E807B5" w:rsidRPr="00474434" w:rsidRDefault="00E807B5" w:rsidP="000077D0">
      <w:pPr>
        <w:pStyle w:val="Textonotapie"/>
        <w:ind w:firstLine="709"/>
        <w:rPr>
          <w:rFonts w:ascii="Arial" w:hAnsi="Arial" w:cs="Arial"/>
          <w:sz w:val="19"/>
          <w:szCs w:val="19"/>
          <w:lang w:val="es-CO"/>
        </w:rPr>
      </w:pPr>
    </w:p>
  </w:footnote>
  <w:footnote w:id="5">
    <w:p w14:paraId="3C84B540" w14:textId="2CC6997E" w:rsidR="00E807B5" w:rsidRPr="00474434" w:rsidRDefault="00E807B5" w:rsidP="006B3EB4">
      <w:pPr>
        <w:pStyle w:val="Textonotapie"/>
        <w:ind w:firstLine="709"/>
        <w:jc w:val="both"/>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de fecha 24 de julio de 2013, radicado 2166, Consejero Ponente Álvaro Namén Vargas.  </w:t>
      </w:r>
    </w:p>
    <w:p w14:paraId="4A2A3E87" w14:textId="77777777" w:rsidR="00E807B5" w:rsidRPr="007F5F3B" w:rsidRDefault="00E807B5" w:rsidP="000077D0">
      <w:pPr>
        <w:pStyle w:val="Textonotapie"/>
        <w:ind w:firstLine="709"/>
        <w:rPr>
          <w:rFonts w:ascii="Arial" w:hAnsi="Arial" w:cs="Arial"/>
          <w:sz w:val="19"/>
          <w:szCs w:val="19"/>
          <w:lang w:val="es-CO"/>
        </w:rPr>
      </w:pPr>
    </w:p>
  </w:footnote>
  <w:footnote w:id="6">
    <w:p w14:paraId="51AD988F" w14:textId="77777777" w:rsidR="00E807B5" w:rsidRPr="00474434" w:rsidRDefault="00E807B5" w:rsidP="000077D0">
      <w:pPr>
        <w:ind w:firstLine="708"/>
        <w:rPr>
          <w:rFonts w:ascii="Arial" w:hAnsi="Arial" w:cs="Arial"/>
          <w:sz w:val="19"/>
          <w:szCs w:val="19"/>
        </w:rPr>
      </w:pPr>
      <w:r w:rsidRPr="00474434">
        <w:rPr>
          <w:rStyle w:val="Refdenotaalpie"/>
          <w:rFonts w:ascii="Arial" w:hAnsi="Arial" w:cs="Arial"/>
          <w:sz w:val="19"/>
          <w:szCs w:val="19"/>
        </w:rPr>
        <w:footnoteRef/>
      </w:r>
      <w:r w:rsidRPr="00474434">
        <w:rPr>
          <w:rFonts w:ascii="Arial" w:hAnsi="Arial" w:cs="Arial"/>
          <w:sz w:val="19"/>
          <w:szCs w:val="19"/>
        </w:rPr>
        <w:t xml:space="preserve"> </w:t>
      </w:r>
      <w:r w:rsidRPr="00474434">
        <w:rPr>
          <w:rFonts w:ascii="Arial" w:eastAsia="Calibri" w:hAnsi="Arial" w:cs="Arial"/>
          <w:bCs/>
          <w:color w:val="000000"/>
          <w:sz w:val="19"/>
          <w:szCs w:val="19"/>
        </w:rPr>
        <w:t>«</w:t>
      </w:r>
      <w:r w:rsidRPr="007F5F3B">
        <w:rPr>
          <w:rFonts w:ascii="Arial" w:hAnsi="Arial" w:cs="Arial"/>
          <w:sz w:val="19"/>
          <w:szCs w:val="19"/>
        </w:rPr>
        <w:t>Artículo 33. Restricciones a la contratación pública. Durante los cu</w:t>
      </w:r>
      <w:r w:rsidRPr="008E55D9">
        <w:rPr>
          <w:rFonts w:ascii="Arial" w:hAnsi="Arial" w:cs="Arial"/>
          <w:sz w:val="19"/>
          <w:szCs w:val="19"/>
        </w:rPr>
        <w:t>atro (4) meses anteriores a la elección presidencial y hasta la realización de la elección en la segunda vuelta, si fuere el caso, queda prohibida la contratación directa por parte de todos los entes del Estado.</w:t>
      </w:r>
    </w:p>
    <w:p w14:paraId="0BC285C9" w14:textId="77777777" w:rsidR="00E807B5" w:rsidRPr="00474434" w:rsidRDefault="00E807B5" w:rsidP="006B3EB4">
      <w:pPr>
        <w:ind w:firstLine="708"/>
        <w:jc w:val="both"/>
        <w:rPr>
          <w:rFonts w:ascii="Arial" w:hAnsi="Arial" w:cs="Arial"/>
          <w:sz w:val="19"/>
          <w:szCs w:val="19"/>
        </w:rPr>
      </w:pPr>
      <w:r w:rsidRPr="00474434">
        <w:rPr>
          <w:rFonts w:ascii="Arial" w:eastAsia="Calibri" w:hAnsi="Arial" w:cs="Arial"/>
          <w:bCs/>
          <w:color w:val="000000"/>
          <w:sz w:val="19"/>
          <w:szCs w:val="19"/>
        </w:rPr>
        <w:t>»</w:t>
      </w:r>
      <w:r w:rsidRPr="00474434">
        <w:rPr>
          <w:rFonts w:ascii="Arial" w:hAnsi="Arial" w:cs="Arial"/>
          <w:sz w:val="19"/>
          <w:szCs w:val="19"/>
        </w:rPr>
        <w:t>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474434">
        <w:rPr>
          <w:rFonts w:ascii="Arial" w:eastAsia="Calibri" w:hAnsi="Arial" w:cs="Arial"/>
          <w:bCs/>
          <w:color w:val="000000"/>
          <w:sz w:val="19"/>
          <w:szCs w:val="19"/>
        </w:rPr>
        <w:t>»</w:t>
      </w:r>
      <w:r w:rsidRPr="00474434">
        <w:rPr>
          <w:rFonts w:ascii="Arial" w:hAnsi="Arial" w:cs="Arial"/>
          <w:sz w:val="19"/>
          <w:szCs w:val="19"/>
        </w:rPr>
        <w:t>.</w:t>
      </w:r>
    </w:p>
    <w:p w14:paraId="40932FB5" w14:textId="77777777" w:rsidR="00E807B5" w:rsidRPr="00474434" w:rsidRDefault="00E807B5" w:rsidP="000077D0">
      <w:pPr>
        <w:pStyle w:val="Textonotapie"/>
        <w:rPr>
          <w:rFonts w:ascii="Arial" w:hAnsi="Arial" w:cs="Arial"/>
          <w:sz w:val="19"/>
          <w:szCs w:val="19"/>
          <w:lang w:val="es-CO"/>
        </w:rPr>
      </w:pPr>
    </w:p>
  </w:footnote>
  <w:footnote w:id="7">
    <w:p w14:paraId="699A1BBA" w14:textId="77777777"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Style w:val="Refdenotaalpie"/>
          <w:rFonts w:ascii="Arial" w:hAnsi="Arial" w:cs="Arial"/>
          <w:sz w:val="19"/>
          <w:szCs w:val="19"/>
        </w:rPr>
        <w:footnoteRef/>
      </w:r>
      <w:r w:rsidRPr="00474434">
        <w:rPr>
          <w:rFonts w:ascii="Arial" w:hAnsi="Arial" w:cs="Arial"/>
          <w:sz w:val="19"/>
          <w:szCs w:val="19"/>
        </w:rPr>
        <w:t xml:space="preserve"> </w:t>
      </w:r>
      <w:bookmarkStart w:id="2" w:name="38"/>
      <w:r w:rsidRPr="00474434">
        <w:rPr>
          <w:rFonts w:ascii="Arial" w:eastAsia="Calibri" w:hAnsi="Arial" w:cs="Arial"/>
          <w:bCs/>
          <w:color w:val="000000"/>
          <w:sz w:val="19"/>
          <w:szCs w:val="19"/>
        </w:rPr>
        <w:t>«</w:t>
      </w:r>
      <w:r w:rsidRPr="007F5F3B">
        <w:rPr>
          <w:rFonts w:ascii="Arial" w:hAnsi="Arial" w:cs="Arial"/>
          <w:sz w:val="19"/>
          <w:szCs w:val="19"/>
          <w:lang w:val="es-MX"/>
        </w:rPr>
        <w:t xml:space="preserve">Artículo 38. Prohibiciones para los servidores </w:t>
      </w:r>
      <w:r w:rsidRPr="008E55D9">
        <w:rPr>
          <w:rFonts w:ascii="Arial" w:hAnsi="Arial" w:cs="Arial"/>
          <w:sz w:val="19"/>
          <w:szCs w:val="19"/>
          <w:lang w:val="es-MX"/>
        </w:rPr>
        <w:t>públicos. A los empleados del Estado les está prohibido:</w:t>
      </w:r>
      <w:bookmarkEnd w:id="2"/>
    </w:p>
    <w:p w14:paraId="58269AC4" w14:textId="00C9DB45"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Fonts w:ascii="Arial" w:eastAsia="Calibri" w:hAnsi="Arial" w:cs="Arial"/>
          <w:bCs/>
          <w:color w:val="000000"/>
          <w:sz w:val="19"/>
          <w:szCs w:val="19"/>
        </w:rPr>
        <w:t>»</w:t>
      </w:r>
      <w:r w:rsidRPr="00474434">
        <w:rPr>
          <w:rFonts w:ascii="Arial" w:hAnsi="Arial" w:cs="Arial"/>
          <w:sz w:val="19"/>
          <w:szCs w:val="19"/>
          <w:lang w:val="es-MX"/>
        </w:rPr>
        <w:t>[…]</w:t>
      </w:r>
    </w:p>
    <w:p w14:paraId="5C0C3621" w14:textId="77777777" w:rsidR="00E807B5" w:rsidRPr="00474434" w:rsidRDefault="00E807B5" w:rsidP="006B3EB4">
      <w:pPr>
        <w:pStyle w:val="NormalWeb"/>
        <w:spacing w:before="0" w:beforeAutospacing="0" w:after="0" w:afterAutospacing="0"/>
        <w:ind w:firstLine="708"/>
        <w:jc w:val="both"/>
        <w:rPr>
          <w:rFonts w:ascii="Arial" w:hAnsi="Arial" w:cs="Arial"/>
          <w:sz w:val="19"/>
          <w:szCs w:val="19"/>
          <w:lang w:val="es-MX"/>
        </w:rPr>
      </w:pPr>
      <w:r w:rsidRPr="00474434">
        <w:rPr>
          <w:rFonts w:ascii="Arial" w:eastAsia="Calibri" w:hAnsi="Arial" w:cs="Arial"/>
          <w:bCs/>
          <w:color w:val="000000"/>
          <w:sz w:val="19"/>
          <w:szCs w:val="19"/>
        </w:rPr>
        <w:t>»</w:t>
      </w:r>
      <w:r w:rsidRPr="00474434">
        <w:rPr>
          <w:rStyle w:val="baj"/>
          <w:rFonts w:ascii="Arial" w:hAnsi="Arial" w:cs="Arial"/>
          <w:sz w:val="19"/>
          <w:szCs w:val="19"/>
          <w:lang w:val="es-MX"/>
        </w:rPr>
        <w:t>Parágrafo.</w:t>
      </w:r>
      <w:r w:rsidRPr="00474434">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474434">
        <w:rPr>
          <w:rFonts w:ascii="Arial" w:eastAsia="Calibri" w:hAnsi="Arial" w:cs="Arial"/>
          <w:bCs/>
          <w:color w:val="000000"/>
          <w:sz w:val="19"/>
          <w:szCs w:val="19"/>
        </w:rPr>
        <w:t>»</w:t>
      </w:r>
      <w:r w:rsidRPr="00474434">
        <w:rPr>
          <w:rFonts w:ascii="Arial" w:hAnsi="Arial" w:cs="Arial"/>
          <w:sz w:val="19"/>
          <w:szCs w:val="19"/>
          <w:lang w:val="es-MX"/>
        </w:rPr>
        <w:t>.</w:t>
      </w:r>
    </w:p>
    <w:p w14:paraId="5B858387" w14:textId="77777777" w:rsidR="00E807B5" w:rsidRPr="00881742" w:rsidRDefault="00E807B5" w:rsidP="000077D0">
      <w:pPr>
        <w:pStyle w:val="Textonotapie"/>
        <w:rPr>
          <w:rFonts w:ascii="Arial" w:hAnsi="Arial" w:cs="Arial"/>
          <w:sz w:val="19"/>
          <w:szCs w:val="19"/>
          <w:lang w:val="es-CO"/>
        </w:rPr>
      </w:pPr>
    </w:p>
  </w:footnote>
  <w:footnote w:id="8">
    <w:p w14:paraId="2C13AF55" w14:textId="77777777" w:rsidR="00E807B5" w:rsidRPr="00474434" w:rsidRDefault="00E807B5" w:rsidP="000077D0">
      <w:pPr>
        <w:ind w:left="100" w:right="244" w:firstLine="707"/>
        <w:rPr>
          <w:rFonts w:ascii="Arial" w:hAnsi="Arial" w:cs="Arial"/>
          <w:sz w:val="19"/>
          <w:szCs w:val="19"/>
          <w:lang w:val="es-ES"/>
        </w:rPr>
      </w:pPr>
      <w:r w:rsidRPr="00474434">
        <w:rPr>
          <w:rStyle w:val="Refdenotaalpie"/>
          <w:rFonts w:ascii="Arial" w:hAnsi="Arial" w:cs="Arial"/>
          <w:sz w:val="19"/>
          <w:szCs w:val="19"/>
        </w:rPr>
        <w:footnoteRef/>
      </w:r>
      <w:r w:rsidRPr="00474434">
        <w:rPr>
          <w:rFonts w:ascii="Arial" w:hAnsi="Arial" w:cs="Arial"/>
          <w:sz w:val="19"/>
          <w:szCs w:val="19"/>
        </w:rPr>
        <w:t xml:space="preserve"> Consejo de Estado. Sala de Consulta y Servicio Civil. Concepto del 17 de febrero de 2015. C.P. William Zambrano Cetina. Radicación No. 11001-03-06-000-2015-00164-00(2269).</w:t>
      </w:r>
    </w:p>
    <w:p w14:paraId="0A3A08D4" w14:textId="77777777" w:rsidR="00E807B5" w:rsidRPr="007F5F3B" w:rsidRDefault="00E807B5" w:rsidP="000077D0">
      <w:pPr>
        <w:pStyle w:val="Textonotapie"/>
        <w:rPr>
          <w:rFonts w:ascii="Arial" w:hAnsi="Arial" w:cs="Arial"/>
          <w:sz w:val="19"/>
          <w:szCs w:val="19"/>
          <w:lang w:val="es-CO"/>
        </w:rPr>
      </w:pPr>
    </w:p>
  </w:footnote>
  <w:footnote w:id="9">
    <w:p w14:paraId="6BA739C7"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del 8 de octubre de 2019, con radicado 2201913000007532, y del 20 de diciembre de 2019, cuyo radicado es el No. 4201913000008240.</w:t>
      </w:r>
    </w:p>
    <w:p w14:paraId="09606A0D"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0">
    <w:p w14:paraId="52D137C8"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3F55E34D"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5CFDCD2C" w14:textId="77777777" w:rsidR="00E807B5" w:rsidRPr="00522B4D" w:rsidRDefault="00E807B5" w:rsidP="004B512B">
      <w:pPr>
        <w:pStyle w:val="Textonotapie"/>
        <w:ind w:firstLine="708"/>
        <w:jc w:val="both"/>
        <w:rPr>
          <w:rFonts w:ascii="Arial" w:hAnsi="Arial" w:cs="Arial"/>
          <w:color w:val="000000" w:themeColor="text1"/>
          <w:sz w:val="19"/>
          <w:szCs w:val="19"/>
          <w:lang w:val="es-CO"/>
        </w:rPr>
      </w:pPr>
    </w:p>
  </w:footnote>
  <w:footnote w:id="11">
    <w:p w14:paraId="0FB506C6" w14:textId="77777777" w:rsidR="00E807B5"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el 5 de febrero de 2019, dentro del radicado No. 2201913000000663, se dijo: «[l]os convenios de asociación del artículo 5 son distintos a los contratos de colaboración del artículo 2 del Decreto 092 de 2017».</w:t>
      </w:r>
    </w:p>
    <w:p w14:paraId="2ED1A216"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2">
    <w:p w14:paraId="3B43FCC2" w14:textId="77777777" w:rsidR="00E807B5"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14:paraId="3A44855B"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3">
    <w:p w14:paraId="71BCB698"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6FB5CA72"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14:paraId="2C24608A" w14:textId="77777777" w:rsidR="00E807B5" w:rsidRPr="00522B4D" w:rsidRDefault="00E807B5" w:rsidP="004B512B">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0A9861FB"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p>
  </w:footnote>
  <w:footnote w:id="14">
    <w:p w14:paraId="12F3977A" w14:textId="77777777" w:rsidR="00E807B5" w:rsidRPr="00522B4D" w:rsidRDefault="00E807B5" w:rsidP="004B512B">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 w:id="15">
    <w:p w14:paraId="2DF2B5ED" w14:textId="77777777" w:rsidR="0008787C" w:rsidRPr="00522B4D" w:rsidRDefault="0008787C" w:rsidP="0008787C">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533A235B" w14:textId="77777777" w:rsidR="0008787C" w:rsidRPr="00522B4D" w:rsidRDefault="0008787C" w:rsidP="0008787C">
      <w:pPr>
        <w:pStyle w:val="Textonotapie"/>
        <w:ind w:firstLine="708"/>
        <w:jc w:val="both"/>
        <w:rPr>
          <w:rFonts w:ascii="Arial" w:hAnsi="Arial" w:cs="Arial"/>
          <w:color w:val="000000" w:themeColor="text1"/>
          <w:sz w:val="19"/>
          <w:szCs w:val="19"/>
          <w:lang w:val="es-ES"/>
        </w:rPr>
      </w:pPr>
    </w:p>
  </w:footnote>
  <w:footnote w:id="16">
    <w:p w14:paraId="4F07DF7E" w14:textId="52F60BF5" w:rsidR="005E5A85" w:rsidRPr="005E5A85" w:rsidRDefault="005E5A85" w:rsidP="00C31586">
      <w:pPr>
        <w:pStyle w:val="Textonotapie"/>
        <w:ind w:firstLine="708"/>
        <w:jc w:val="both"/>
        <w:rPr>
          <w:rFonts w:ascii="Arial" w:hAnsi="Arial" w:cs="Arial"/>
          <w:sz w:val="19"/>
          <w:szCs w:val="19"/>
          <w:lang w:val="es-CO"/>
        </w:rPr>
      </w:pPr>
      <w:r w:rsidRPr="00700DCE">
        <w:rPr>
          <w:rStyle w:val="Refdenotaalpie"/>
          <w:rFonts w:ascii="Arial" w:hAnsi="Arial" w:cs="Arial"/>
          <w:sz w:val="19"/>
          <w:szCs w:val="19"/>
        </w:rPr>
        <w:footnoteRef/>
      </w:r>
      <w:r w:rsidRPr="00700DCE">
        <w:rPr>
          <w:rFonts w:ascii="Arial" w:hAnsi="Arial" w:cs="Arial"/>
          <w:sz w:val="19"/>
          <w:szCs w:val="19"/>
        </w:rPr>
        <w:t xml:space="preserve"> </w:t>
      </w:r>
      <w:r>
        <w:rPr>
          <w:rFonts w:ascii="Arial" w:hAnsi="Arial" w:cs="Arial"/>
          <w:sz w:val="19"/>
          <w:szCs w:val="19"/>
        </w:rPr>
        <w:t>Con inciso final suspendido, el</w:t>
      </w:r>
      <w:r w:rsidRPr="005E5A85">
        <w:rPr>
          <w:rFonts w:ascii="Arial" w:hAnsi="Arial" w:cs="Arial"/>
          <w:sz w:val="19"/>
          <w:szCs w:val="19"/>
        </w:rPr>
        <w:t xml:space="preserve"> artículo 4</w:t>
      </w:r>
      <w:r>
        <w:rPr>
          <w:rFonts w:ascii="Arial" w:hAnsi="Arial" w:cs="Arial"/>
          <w:sz w:val="19"/>
          <w:szCs w:val="19"/>
        </w:rPr>
        <w:t xml:space="preserve"> del Decreto 092 de 2017 dispone que «</w:t>
      </w:r>
      <w:r w:rsidRPr="005E5A85">
        <w:rPr>
          <w:rFonts w:ascii="Arial" w:hAnsi="Arial" w:cs="Arial"/>
          <w:sz w:val="19"/>
          <w:szCs w:val="19"/>
          <w:lang w:val="es-CO"/>
        </w:rPr>
        <w:t>La Entidad Estatal del Gobierno nacional, departamental, distrital y municipal deberá adelantar un proceso competitivo para seleccionar la entidad sin ánimo de lucro contratista, cuando en la etapa de planeación identifique que el programa o actividad de interés público que requiere desarrollar es ofrecido por más de una Entidad sin ánimo de lucro.</w:t>
      </w:r>
    </w:p>
    <w:p w14:paraId="7C15BB89" w14:textId="56D637E3" w:rsidR="005E5A85" w:rsidRPr="005E5A85" w:rsidRDefault="005E5A85" w:rsidP="00C31586">
      <w:pPr>
        <w:pStyle w:val="Textonotapie"/>
        <w:ind w:firstLine="708"/>
        <w:jc w:val="both"/>
        <w:rPr>
          <w:rFonts w:ascii="Arial" w:hAnsi="Arial" w:cs="Arial"/>
          <w:sz w:val="19"/>
          <w:szCs w:val="19"/>
          <w:lang w:val="es-CO"/>
        </w:rPr>
      </w:pPr>
      <w:r>
        <w:rPr>
          <w:rFonts w:ascii="Arial" w:hAnsi="Arial" w:cs="Arial"/>
          <w:sz w:val="19"/>
          <w:szCs w:val="19"/>
          <w:lang w:val="es-CO"/>
        </w:rPr>
        <w:t>»</w:t>
      </w:r>
      <w:r w:rsidRPr="005E5A85">
        <w:rPr>
          <w:rFonts w:ascii="Arial" w:hAnsi="Arial" w:cs="Arial"/>
          <w:sz w:val="19"/>
          <w:szCs w:val="19"/>
          <w:lang w:val="es-CO"/>
        </w:rPr>
        <w:t>En el proceso competitivo la Entidad Estatal deberá cumplir las siguientes fases: (i) definición y publicación de los indicadores de idoneidad, experiencia, eficacia, eficiencia, economía y de manejo del Riesgo y los criterios de ponderación para comparar las ofertas; (ii) definición de un plazo razonable para que las entidades privadas sin ánimo de lucro de reconocida idoneidad presenten a la Entidad Estatal sus ofertas y los documentos que acrediten su idoneidad, y (iii) evaluación de las ofertas por parte de la Entidad Estatal teniendo en cuenta los criterios definidos para el efecto</w:t>
      </w:r>
      <w:r>
        <w:rPr>
          <w:rFonts w:ascii="Arial" w:hAnsi="Arial" w:cs="Arial"/>
          <w:sz w:val="19"/>
          <w:szCs w:val="19"/>
          <w:lang w:val="es-CO"/>
        </w:rPr>
        <w:t>»</w:t>
      </w:r>
      <w:r w:rsidRPr="005E5A85">
        <w:rPr>
          <w:rFonts w:ascii="Arial" w:hAnsi="Arial" w:cs="Arial"/>
          <w:sz w:val="19"/>
          <w:szCs w:val="19"/>
          <w:lang w:val="es-CO"/>
        </w:rPr>
        <w:t>.</w:t>
      </w:r>
    </w:p>
    <w:p w14:paraId="28401D2D" w14:textId="68C88402" w:rsidR="005E5A85" w:rsidRPr="00700DCE" w:rsidRDefault="005E5A85" w:rsidP="00C31586">
      <w:pPr>
        <w:pStyle w:val="Textonotapie"/>
        <w:ind w:firstLine="708"/>
        <w:jc w:val="both"/>
        <w:rPr>
          <w:rFonts w:ascii="Arial" w:hAnsi="Arial" w:cs="Arial"/>
          <w:sz w:val="19"/>
          <w:szCs w:val="19"/>
        </w:rPr>
      </w:pPr>
    </w:p>
    <w:p w14:paraId="3EAC1978" w14:textId="77777777" w:rsidR="005E5A85" w:rsidRPr="00700DCE" w:rsidRDefault="005E5A85" w:rsidP="005E5A85">
      <w:pPr>
        <w:pStyle w:val="Textonotapie"/>
        <w:rPr>
          <w:rFonts w:ascii="Arial" w:hAnsi="Arial" w:cs="Arial"/>
          <w:sz w:val="19"/>
          <w:szCs w:val="19"/>
        </w:rPr>
      </w:pPr>
    </w:p>
  </w:footnote>
  <w:footnote w:id="17">
    <w:p w14:paraId="59F31276" w14:textId="77777777" w:rsidR="00E807B5" w:rsidRPr="00522B4D" w:rsidRDefault="00E807B5" w:rsidP="004B512B">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 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p>
    <w:p w14:paraId="5D182A15" w14:textId="77777777" w:rsidR="00E807B5" w:rsidRPr="00522B4D" w:rsidRDefault="00E807B5" w:rsidP="004B512B">
      <w:pPr>
        <w:pStyle w:val="Textonotapie"/>
        <w:jc w:val="both"/>
        <w:rPr>
          <w:rFonts w:ascii="Arial" w:hAnsi="Arial" w:cs="Arial"/>
          <w:color w:val="000000" w:themeColor="text1"/>
          <w:sz w:val="19"/>
          <w:szCs w:val="19"/>
          <w:lang w:val="es-ES"/>
        </w:rPr>
      </w:pPr>
    </w:p>
  </w:footnote>
  <w:footnote w:id="18">
    <w:p w14:paraId="5B5E04CC" w14:textId="442D0D7F" w:rsidR="00E807B5" w:rsidRDefault="00E807B5" w:rsidP="006B3EB4">
      <w:pPr>
        <w:pStyle w:val="Textonotapie"/>
        <w:ind w:firstLine="708"/>
        <w:jc w:val="both"/>
        <w:rPr>
          <w:rFonts w:ascii="Arial" w:hAnsi="Arial" w:cs="Arial"/>
          <w:sz w:val="19"/>
          <w:szCs w:val="19"/>
          <w:lang w:val="es-CO"/>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116A1C">
        <w:rPr>
          <w:rFonts w:ascii="Arial" w:hAnsi="Arial" w:cs="Arial"/>
          <w:sz w:val="19"/>
          <w:szCs w:val="19"/>
          <w:lang w:val="es-CO"/>
        </w:rPr>
        <w:t xml:space="preserve">CONSEJO DE ESTADO. Sala de Consulta y Servicio Civil. Concepto del </w:t>
      </w:r>
      <w:r>
        <w:rPr>
          <w:rFonts w:ascii="Arial" w:hAnsi="Arial" w:cs="Arial"/>
          <w:sz w:val="19"/>
          <w:szCs w:val="19"/>
          <w:lang w:val="es-CO"/>
        </w:rPr>
        <w:t>8 de mayo de 2018</w:t>
      </w:r>
      <w:r w:rsidRPr="00116A1C">
        <w:rPr>
          <w:rFonts w:ascii="Arial" w:hAnsi="Arial" w:cs="Arial"/>
          <w:sz w:val="19"/>
          <w:szCs w:val="19"/>
          <w:lang w:val="es-CO"/>
        </w:rPr>
        <w:t>. Rad</w:t>
      </w:r>
      <w:r>
        <w:rPr>
          <w:rFonts w:ascii="Arial" w:hAnsi="Arial" w:cs="Arial"/>
          <w:sz w:val="19"/>
          <w:szCs w:val="19"/>
          <w:lang w:val="es-CO"/>
        </w:rPr>
        <w:t>. 2382</w:t>
      </w:r>
      <w:r w:rsidRPr="00116A1C">
        <w:rPr>
          <w:rFonts w:ascii="Arial" w:hAnsi="Arial" w:cs="Arial"/>
          <w:sz w:val="19"/>
          <w:szCs w:val="19"/>
          <w:lang w:val="es-CO"/>
        </w:rPr>
        <w:t xml:space="preserve">. C.P. </w:t>
      </w:r>
      <w:r w:rsidRPr="004A31BD">
        <w:rPr>
          <w:rFonts w:ascii="Arial" w:hAnsi="Arial" w:cs="Arial"/>
          <w:sz w:val="19"/>
          <w:szCs w:val="19"/>
          <w:lang w:val="es-CO"/>
        </w:rPr>
        <w:t xml:space="preserve">Álvaro </w:t>
      </w:r>
      <w:proofErr w:type="spellStart"/>
      <w:r w:rsidRPr="004A31BD">
        <w:rPr>
          <w:rFonts w:ascii="Arial" w:hAnsi="Arial" w:cs="Arial"/>
          <w:sz w:val="19"/>
          <w:szCs w:val="19"/>
          <w:lang w:val="es-CO"/>
        </w:rPr>
        <w:t>Namén</w:t>
      </w:r>
      <w:proofErr w:type="spellEnd"/>
      <w:r w:rsidRPr="004A31BD">
        <w:rPr>
          <w:rFonts w:ascii="Arial" w:hAnsi="Arial" w:cs="Arial"/>
          <w:sz w:val="19"/>
          <w:szCs w:val="19"/>
          <w:lang w:val="es-CO"/>
        </w:rPr>
        <w:t xml:space="preserve"> Vargas</w:t>
      </w:r>
      <w:r>
        <w:rPr>
          <w:rFonts w:ascii="Arial" w:hAnsi="Arial" w:cs="Arial"/>
          <w:sz w:val="19"/>
          <w:szCs w:val="19"/>
          <w:lang w:val="es-CO"/>
        </w:rPr>
        <w:t>.</w:t>
      </w:r>
    </w:p>
    <w:p w14:paraId="6047A335" w14:textId="77777777" w:rsidR="005B3938" w:rsidRPr="006B3EB4" w:rsidRDefault="005B3938" w:rsidP="006B3EB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3"/>
  </w:num>
  <w:num w:numId="27">
    <w:abstractNumId w:val="1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0E8E"/>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C40"/>
    <w:rsid w:val="000112B4"/>
    <w:rsid w:val="00011DCC"/>
    <w:rsid w:val="00012532"/>
    <w:rsid w:val="00012B9E"/>
    <w:rsid w:val="00012F37"/>
    <w:rsid w:val="00012FBA"/>
    <w:rsid w:val="00013C6B"/>
    <w:rsid w:val="0001406B"/>
    <w:rsid w:val="000143F8"/>
    <w:rsid w:val="00014624"/>
    <w:rsid w:val="00014FD5"/>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CB9"/>
    <w:rsid w:val="0005602F"/>
    <w:rsid w:val="00056565"/>
    <w:rsid w:val="00056F66"/>
    <w:rsid w:val="00056F77"/>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D20"/>
    <w:rsid w:val="0006626E"/>
    <w:rsid w:val="000701A0"/>
    <w:rsid w:val="00070AF1"/>
    <w:rsid w:val="000714DE"/>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853"/>
    <w:rsid w:val="0008686B"/>
    <w:rsid w:val="00086B2A"/>
    <w:rsid w:val="00086C11"/>
    <w:rsid w:val="00086ED2"/>
    <w:rsid w:val="0008787C"/>
    <w:rsid w:val="000914D6"/>
    <w:rsid w:val="00091569"/>
    <w:rsid w:val="00092057"/>
    <w:rsid w:val="00092CDB"/>
    <w:rsid w:val="00092DCA"/>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1629"/>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A3A"/>
    <w:rsid w:val="00156BE5"/>
    <w:rsid w:val="00157226"/>
    <w:rsid w:val="00157232"/>
    <w:rsid w:val="00160401"/>
    <w:rsid w:val="00160D4E"/>
    <w:rsid w:val="00161DDA"/>
    <w:rsid w:val="00161E62"/>
    <w:rsid w:val="00161F1C"/>
    <w:rsid w:val="0016200B"/>
    <w:rsid w:val="0016204B"/>
    <w:rsid w:val="00162552"/>
    <w:rsid w:val="00162A9C"/>
    <w:rsid w:val="00163C03"/>
    <w:rsid w:val="00163D7A"/>
    <w:rsid w:val="00163E72"/>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42BF"/>
    <w:rsid w:val="001742E1"/>
    <w:rsid w:val="001751CB"/>
    <w:rsid w:val="00175E49"/>
    <w:rsid w:val="0017649F"/>
    <w:rsid w:val="0017655B"/>
    <w:rsid w:val="00176D37"/>
    <w:rsid w:val="001805C1"/>
    <w:rsid w:val="00180A2E"/>
    <w:rsid w:val="001813AF"/>
    <w:rsid w:val="001829CD"/>
    <w:rsid w:val="00182F01"/>
    <w:rsid w:val="001833C2"/>
    <w:rsid w:val="001841E2"/>
    <w:rsid w:val="00184219"/>
    <w:rsid w:val="00184F27"/>
    <w:rsid w:val="0018519B"/>
    <w:rsid w:val="00185966"/>
    <w:rsid w:val="00185A2D"/>
    <w:rsid w:val="00185AFE"/>
    <w:rsid w:val="00185E78"/>
    <w:rsid w:val="00185F7F"/>
    <w:rsid w:val="00187177"/>
    <w:rsid w:val="00187ABD"/>
    <w:rsid w:val="001904E3"/>
    <w:rsid w:val="0019087A"/>
    <w:rsid w:val="00191C5A"/>
    <w:rsid w:val="00191CEB"/>
    <w:rsid w:val="00191E63"/>
    <w:rsid w:val="00192D68"/>
    <w:rsid w:val="00192E04"/>
    <w:rsid w:val="00192F9B"/>
    <w:rsid w:val="0019388B"/>
    <w:rsid w:val="00193ADE"/>
    <w:rsid w:val="00193B9A"/>
    <w:rsid w:val="001940ED"/>
    <w:rsid w:val="001946AE"/>
    <w:rsid w:val="001946D5"/>
    <w:rsid w:val="00194E8C"/>
    <w:rsid w:val="00195ED3"/>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AA"/>
    <w:rsid w:val="001A54CD"/>
    <w:rsid w:val="001A66DF"/>
    <w:rsid w:val="001A67D0"/>
    <w:rsid w:val="001A6863"/>
    <w:rsid w:val="001A7591"/>
    <w:rsid w:val="001A75B1"/>
    <w:rsid w:val="001A7B06"/>
    <w:rsid w:val="001B0366"/>
    <w:rsid w:val="001B0444"/>
    <w:rsid w:val="001B096B"/>
    <w:rsid w:val="001B0F9F"/>
    <w:rsid w:val="001B123C"/>
    <w:rsid w:val="001B19D8"/>
    <w:rsid w:val="001B1A0D"/>
    <w:rsid w:val="001B1BF1"/>
    <w:rsid w:val="001B1CF4"/>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37B4"/>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D6A"/>
    <w:rsid w:val="001E600E"/>
    <w:rsid w:val="001E6A94"/>
    <w:rsid w:val="001E70FB"/>
    <w:rsid w:val="001E780A"/>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2CF2"/>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484"/>
    <w:rsid w:val="00256835"/>
    <w:rsid w:val="002569F0"/>
    <w:rsid w:val="00256C01"/>
    <w:rsid w:val="00256D3E"/>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6D1"/>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570"/>
    <w:rsid w:val="002A28FC"/>
    <w:rsid w:val="002A2B44"/>
    <w:rsid w:val="002A2C29"/>
    <w:rsid w:val="002A2EA5"/>
    <w:rsid w:val="002A3132"/>
    <w:rsid w:val="002A3482"/>
    <w:rsid w:val="002A39B5"/>
    <w:rsid w:val="002A3D94"/>
    <w:rsid w:val="002A4736"/>
    <w:rsid w:val="002A47E5"/>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644"/>
    <w:rsid w:val="002D0845"/>
    <w:rsid w:val="002D0933"/>
    <w:rsid w:val="002D152E"/>
    <w:rsid w:val="002D17DB"/>
    <w:rsid w:val="002D19BB"/>
    <w:rsid w:val="002D1A9B"/>
    <w:rsid w:val="002D20F8"/>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8B"/>
    <w:rsid w:val="002E1DC6"/>
    <w:rsid w:val="002E2C3F"/>
    <w:rsid w:val="002E2CB5"/>
    <w:rsid w:val="002E2D7D"/>
    <w:rsid w:val="002E32D0"/>
    <w:rsid w:val="002E3C26"/>
    <w:rsid w:val="002E3D76"/>
    <w:rsid w:val="002E3FF4"/>
    <w:rsid w:val="002E40A1"/>
    <w:rsid w:val="002E48EC"/>
    <w:rsid w:val="002E4B44"/>
    <w:rsid w:val="002E4ECB"/>
    <w:rsid w:val="002E4F23"/>
    <w:rsid w:val="002E596C"/>
    <w:rsid w:val="002E635A"/>
    <w:rsid w:val="002E6D68"/>
    <w:rsid w:val="002E7847"/>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1E1"/>
    <w:rsid w:val="002F692F"/>
    <w:rsid w:val="002F7575"/>
    <w:rsid w:val="002F7961"/>
    <w:rsid w:val="002F7B66"/>
    <w:rsid w:val="002F7C8C"/>
    <w:rsid w:val="00300CB4"/>
    <w:rsid w:val="00300E24"/>
    <w:rsid w:val="003033BA"/>
    <w:rsid w:val="00303C19"/>
    <w:rsid w:val="003043A3"/>
    <w:rsid w:val="00304BD4"/>
    <w:rsid w:val="0030500A"/>
    <w:rsid w:val="003052EB"/>
    <w:rsid w:val="0030566C"/>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310"/>
    <w:rsid w:val="003315AC"/>
    <w:rsid w:val="00331932"/>
    <w:rsid w:val="00331F74"/>
    <w:rsid w:val="00332096"/>
    <w:rsid w:val="00332382"/>
    <w:rsid w:val="00332453"/>
    <w:rsid w:val="0033251B"/>
    <w:rsid w:val="00333712"/>
    <w:rsid w:val="00333A88"/>
    <w:rsid w:val="00335B15"/>
    <w:rsid w:val="00335B21"/>
    <w:rsid w:val="00335D3F"/>
    <w:rsid w:val="00336104"/>
    <w:rsid w:val="00336729"/>
    <w:rsid w:val="00336CD9"/>
    <w:rsid w:val="0033726D"/>
    <w:rsid w:val="00337CA8"/>
    <w:rsid w:val="00340A15"/>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80272"/>
    <w:rsid w:val="003805DB"/>
    <w:rsid w:val="0038152A"/>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81E"/>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3C"/>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087"/>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95C"/>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EE1"/>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FB4"/>
    <w:rsid w:val="004273FA"/>
    <w:rsid w:val="004275A7"/>
    <w:rsid w:val="00427F9B"/>
    <w:rsid w:val="00430186"/>
    <w:rsid w:val="00430F17"/>
    <w:rsid w:val="0043269A"/>
    <w:rsid w:val="004333C2"/>
    <w:rsid w:val="00433415"/>
    <w:rsid w:val="00433AE3"/>
    <w:rsid w:val="00434787"/>
    <w:rsid w:val="00434C13"/>
    <w:rsid w:val="00435128"/>
    <w:rsid w:val="0043549E"/>
    <w:rsid w:val="00435703"/>
    <w:rsid w:val="00435BD5"/>
    <w:rsid w:val="00436323"/>
    <w:rsid w:val="0043683F"/>
    <w:rsid w:val="00436F40"/>
    <w:rsid w:val="004370FA"/>
    <w:rsid w:val="00440096"/>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4038"/>
    <w:rsid w:val="0044500B"/>
    <w:rsid w:val="004451AC"/>
    <w:rsid w:val="00446037"/>
    <w:rsid w:val="004463DB"/>
    <w:rsid w:val="0044642F"/>
    <w:rsid w:val="0044772C"/>
    <w:rsid w:val="00447C11"/>
    <w:rsid w:val="00450846"/>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A6A"/>
    <w:rsid w:val="00470D73"/>
    <w:rsid w:val="00470D92"/>
    <w:rsid w:val="0047179C"/>
    <w:rsid w:val="00471DF7"/>
    <w:rsid w:val="004721A4"/>
    <w:rsid w:val="004734CF"/>
    <w:rsid w:val="0047586C"/>
    <w:rsid w:val="004759AF"/>
    <w:rsid w:val="00475C5A"/>
    <w:rsid w:val="00475C9C"/>
    <w:rsid w:val="00476150"/>
    <w:rsid w:val="0047676B"/>
    <w:rsid w:val="0047773C"/>
    <w:rsid w:val="004777DF"/>
    <w:rsid w:val="0047795A"/>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C5C"/>
    <w:rsid w:val="00484F0F"/>
    <w:rsid w:val="00484F40"/>
    <w:rsid w:val="0048540C"/>
    <w:rsid w:val="004861B4"/>
    <w:rsid w:val="00486226"/>
    <w:rsid w:val="00486BD0"/>
    <w:rsid w:val="00486D00"/>
    <w:rsid w:val="00486FF7"/>
    <w:rsid w:val="00487263"/>
    <w:rsid w:val="0048734F"/>
    <w:rsid w:val="0048742E"/>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4F0F"/>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358"/>
    <w:rsid w:val="004A4587"/>
    <w:rsid w:val="004A45E5"/>
    <w:rsid w:val="004A4D93"/>
    <w:rsid w:val="004A58EE"/>
    <w:rsid w:val="004A59B7"/>
    <w:rsid w:val="004A6051"/>
    <w:rsid w:val="004A623B"/>
    <w:rsid w:val="004A6A04"/>
    <w:rsid w:val="004A6A52"/>
    <w:rsid w:val="004B0366"/>
    <w:rsid w:val="004B07B2"/>
    <w:rsid w:val="004B0826"/>
    <w:rsid w:val="004B0A44"/>
    <w:rsid w:val="004B0F0B"/>
    <w:rsid w:val="004B2197"/>
    <w:rsid w:val="004B298A"/>
    <w:rsid w:val="004B3C27"/>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56A"/>
    <w:rsid w:val="004D584D"/>
    <w:rsid w:val="004D5A7E"/>
    <w:rsid w:val="004D6120"/>
    <w:rsid w:val="004D6826"/>
    <w:rsid w:val="004D688D"/>
    <w:rsid w:val="004E023F"/>
    <w:rsid w:val="004E0546"/>
    <w:rsid w:val="004E06AF"/>
    <w:rsid w:val="004E0742"/>
    <w:rsid w:val="004E0C64"/>
    <w:rsid w:val="004E0F6B"/>
    <w:rsid w:val="004E133F"/>
    <w:rsid w:val="004E1545"/>
    <w:rsid w:val="004E1F1C"/>
    <w:rsid w:val="004E2A35"/>
    <w:rsid w:val="004E40CE"/>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A65"/>
    <w:rsid w:val="00503EC8"/>
    <w:rsid w:val="00505DCB"/>
    <w:rsid w:val="005075CA"/>
    <w:rsid w:val="00507B06"/>
    <w:rsid w:val="00507BF1"/>
    <w:rsid w:val="0051074C"/>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BBF"/>
    <w:rsid w:val="00527532"/>
    <w:rsid w:val="00527C99"/>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7A4"/>
    <w:rsid w:val="00546C9B"/>
    <w:rsid w:val="00547BF6"/>
    <w:rsid w:val="00547FB3"/>
    <w:rsid w:val="00551098"/>
    <w:rsid w:val="00551598"/>
    <w:rsid w:val="0055162B"/>
    <w:rsid w:val="00551A56"/>
    <w:rsid w:val="00551BFF"/>
    <w:rsid w:val="00551D68"/>
    <w:rsid w:val="00551DFF"/>
    <w:rsid w:val="005525C9"/>
    <w:rsid w:val="00552B3E"/>
    <w:rsid w:val="005535B9"/>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4704"/>
    <w:rsid w:val="00564712"/>
    <w:rsid w:val="005657A8"/>
    <w:rsid w:val="00565952"/>
    <w:rsid w:val="00566866"/>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87316"/>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938"/>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2915"/>
    <w:rsid w:val="005E3278"/>
    <w:rsid w:val="005E363B"/>
    <w:rsid w:val="005E3736"/>
    <w:rsid w:val="005E38E9"/>
    <w:rsid w:val="005E4B72"/>
    <w:rsid w:val="005E52C9"/>
    <w:rsid w:val="005E5A85"/>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5CEB"/>
    <w:rsid w:val="00646B20"/>
    <w:rsid w:val="00646D0F"/>
    <w:rsid w:val="00646D57"/>
    <w:rsid w:val="00646D69"/>
    <w:rsid w:val="00647A36"/>
    <w:rsid w:val="00647DCC"/>
    <w:rsid w:val="00647EFA"/>
    <w:rsid w:val="00647F14"/>
    <w:rsid w:val="00650027"/>
    <w:rsid w:val="0065021C"/>
    <w:rsid w:val="00650BBF"/>
    <w:rsid w:val="00650E89"/>
    <w:rsid w:val="00651B9C"/>
    <w:rsid w:val="00651C47"/>
    <w:rsid w:val="00651D91"/>
    <w:rsid w:val="00652E70"/>
    <w:rsid w:val="0065339A"/>
    <w:rsid w:val="00653469"/>
    <w:rsid w:val="00653A14"/>
    <w:rsid w:val="0065443A"/>
    <w:rsid w:val="00654A38"/>
    <w:rsid w:val="00655301"/>
    <w:rsid w:val="00655371"/>
    <w:rsid w:val="00655507"/>
    <w:rsid w:val="00656855"/>
    <w:rsid w:val="00656C4B"/>
    <w:rsid w:val="00656EEE"/>
    <w:rsid w:val="006572A7"/>
    <w:rsid w:val="006573EA"/>
    <w:rsid w:val="006606A4"/>
    <w:rsid w:val="00660748"/>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9E4"/>
    <w:rsid w:val="00673DD7"/>
    <w:rsid w:val="00673ECF"/>
    <w:rsid w:val="0067426B"/>
    <w:rsid w:val="00674A1B"/>
    <w:rsid w:val="00674F1C"/>
    <w:rsid w:val="006754F8"/>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43A"/>
    <w:rsid w:val="00690839"/>
    <w:rsid w:val="006908DB"/>
    <w:rsid w:val="00690DE9"/>
    <w:rsid w:val="00691563"/>
    <w:rsid w:val="006918B5"/>
    <w:rsid w:val="00691DE9"/>
    <w:rsid w:val="00691EAA"/>
    <w:rsid w:val="00692245"/>
    <w:rsid w:val="00692745"/>
    <w:rsid w:val="00692FCD"/>
    <w:rsid w:val="00692FFA"/>
    <w:rsid w:val="00693772"/>
    <w:rsid w:val="00693984"/>
    <w:rsid w:val="00693B77"/>
    <w:rsid w:val="00694160"/>
    <w:rsid w:val="006959A5"/>
    <w:rsid w:val="00695C0C"/>
    <w:rsid w:val="00696736"/>
    <w:rsid w:val="00696A05"/>
    <w:rsid w:val="00697665"/>
    <w:rsid w:val="006978E1"/>
    <w:rsid w:val="00697C9A"/>
    <w:rsid w:val="00697E68"/>
    <w:rsid w:val="00697FC1"/>
    <w:rsid w:val="006A0274"/>
    <w:rsid w:val="006A112B"/>
    <w:rsid w:val="006A27BC"/>
    <w:rsid w:val="006A2948"/>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7A9"/>
    <w:rsid w:val="006A7CB5"/>
    <w:rsid w:val="006A7FD0"/>
    <w:rsid w:val="006B025C"/>
    <w:rsid w:val="006B08ED"/>
    <w:rsid w:val="006B2534"/>
    <w:rsid w:val="006B28DE"/>
    <w:rsid w:val="006B2CB2"/>
    <w:rsid w:val="006B347D"/>
    <w:rsid w:val="006B3E19"/>
    <w:rsid w:val="006B3EB4"/>
    <w:rsid w:val="006B4488"/>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602F"/>
    <w:rsid w:val="006E6720"/>
    <w:rsid w:val="006E7275"/>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188F"/>
    <w:rsid w:val="00712714"/>
    <w:rsid w:val="007129AB"/>
    <w:rsid w:val="00712B63"/>
    <w:rsid w:val="00713526"/>
    <w:rsid w:val="00713FC5"/>
    <w:rsid w:val="00714DCA"/>
    <w:rsid w:val="00715BBF"/>
    <w:rsid w:val="00715C29"/>
    <w:rsid w:val="00715CBD"/>
    <w:rsid w:val="00715EAA"/>
    <w:rsid w:val="00716119"/>
    <w:rsid w:val="00716630"/>
    <w:rsid w:val="0071668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972"/>
    <w:rsid w:val="00742DD2"/>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1606"/>
    <w:rsid w:val="00771D55"/>
    <w:rsid w:val="00772100"/>
    <w:rsid w:val="00772275"/>
    <w:rsid w:val="00772CD5"/>
    <w:rsid w:val="007734E4"/>
    <w:rsid w:val="00773719"/>
    <w:rsid w:val="0077380D"/>
    <w:rsid w:val="00773BC8"/>
    <w:rsid w:val="00774549"/>
    <w:rsid w:val="0077466F"/>
    <w:rsid w:val="00774956"/>
    <w:rsid w:val="007752B7"/>
    <w:rsid w:val="007759A8"/>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068"/>
    <w:rsid w:val="007963F6"/>
    <w:rsid w:val="00796DC8"/>
    <w:rsid w:val="00796E80"/>
    <w:rsid w:val="0079744F"/>
    <w:rsid w:val="0079776F"/>
    <w:rsid w:val="007979AD"/>
    <w:rsid w:val="00797A9C"/>
    <w:rsid w:val="007A0EAB"/>
    <w:rsid w:val="007A2341"/>
    <w:rsid w:val="007A275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6CCF"/>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ED0"/>
    <w:rsid w:val="007D5648"/>
    <w:rsid w:val="007D58C5"/>
    <w:rsid w:val="007D5DE8"/>
    <w:rsid w:val="007D77A2"/>
    <w:rsid w:val="007D7B1C"/>
    <w:rsid w:val="007D7CFC"/>
    <w:rsid w:val="007E0812"/>
    <w:rsid w:val="007E18DF"/>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D43"/>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D9D"/>
    <w:rsid w:val="00805898"/>
    <w:rsid w:val="008059C6"/>
    <w:rsid w:val="00805AD7"/>
    <w:rsid w:val="00805BD6"/>
    <w:rsid w:val="00805CEF"/>
    <w:rsid w:val="00805DE3"/>
    <w:rsid w:val="00807C35"/>
    <w:rsid w:val="00807F35"/>
    <w:rsid w:val="00807F69"/>
    <w:rsid w:val="008100F7"/>
    <w:rsid w:val="00810206"/>
    <w:rsid w:val="0081022B"/>
    <w:rsid w:val="00811898"/>
    <w:rsid w:val="00811CDC"/>
    <w:rsid w:val="008124D8"/>
    <w:rsid w:val="00813798"/>
    <w:rsid w:val="00813A41"/>
    <w:rsid w:val="00813A7B"/>
    <w:rsid w:val="00813F04"/>
    <w:rsid w:val="00814F3A"/>
    <w:rsid w:val="0081513E"/>
    <w:rsid w:val="00815DA5"/>
    <w:rsid w:val="0081622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258"/>
    <w:rsid w:val="00827CC0"/>
    <w:rsid w:val="008306AB"/>
    <w:rsid w:val="00831026"/>
    <w:rsid w:val="0083119B"/>
    <w:rsid w:val="00831BAE"/>
    <w:rsid w:val="00832216"/>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1C58"/>
    <w:rsid w:val="0085304C"/>
    <w:rsid w:val="008536BB"/>
    <w:rsid w:val="00853A3C"/>
    <w:rsid w:val="008548CA"/>
    <w:rsid w:val="00856C06"/>
    <w:rsid w:val="00856F87"/>
    <w:rsid w:val="0085790B"/>
    <w:rsid w:val="008579B9"/>
    <w:rsid w:val="00857C95"/>
    <w:rsid w:val="00857E78"/>
    <w:rsid w:val="00860AEF"/>
    <w:rsid w:val="00860B18"/>
    <w:rsid w:val="00860D5E"/>
    <w:rsid w:val="0086122C"/>
    <w:rsid w:val="00861310"/>
    <w:rsid w:val="00861F53"/>
    <w:rsid w:val="008623A7"/>
    <w:rsid w:val="0086289E"/>
    <w:rsid w:val="008629CB"/>
    <w:rsid w:val="0086394E"/>
    <w:rsid w:val="00863F8A"/>
    <w:rsid w:val="00863FE3"/>
    <w:rsid w:val="008640C4"/>
    <w:rsid w:val="00864241"/>
    <w:rsid w:val="00864423"/>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87"/>
    <w:rsid w:val="008C24E7"/>
    <w:rsid w:val="008C2500"/>
    <w:rsid w:val="008C2CAC"/>
    <w:rsid w:val="008C3C57"/>
    <w:rsid w:val="008C3E2A"/>
    <w:rsid w:val="008C45BD"/>
    <w:rsid w:val="008C4B19"/>
    <w:rsid w:val="008C4F47"/>
    <w:rsid w:val="008C5194"/>
    <w:rsid w:val="008C62D4"/>
    <w:rsid w:val="008C6B0C"/>
    <w:rsid w:val="008C6B89"/>
    <w:rsid w:val="008C6B97"/>
    <w:rsid w:val="008C7EF7"/>
    <w:rsid w:val="008D18AA"/>
    <w:rsid w:val="008D1A2A"/>
    <w:rsid w:val="008D1ADE"/>
    <w:rsid w:val="008D2986"/>
    <w:rsid w:val="008D35D9"/>
    <w:rsid w:val="008D38A6"/>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02D7"/>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1819"/>
    <w:rsid w:val="00901F1D"/>
    <w:rsid w:val="009028E8"/>
    <w:rsid w:val="00902CA3"/>
    <w:rsid w:val="00902E5C"/>
    <w:rsid w:val="0090363E"/>
    <w:rsid w:val="00903E0D"/>
    <w:rsid w:val="009046E5"/>
    <w:rsid w:val="009047C5"/>
    <w:rsid w:val="00910683"/>
    <w:rsid w:val="00910E00"/>
    <w:rsid w:val="00910E04"/>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F61"/>
    <w:rsid w:val="0092119E"/>
    <w:rsid w:val="00921304"/>
    <w:rsid w:val="00921395"/>
    <w:rsid w:val="00921805"/>
    <w:rsid w:val="00921E63"/>
    <w:rsid w:val="00922379"/>
    <w:rsid w:val="00922B4A"/>
    <w:rsid w:val="00923396"/>
    <w:rsid w:val="00923F56"/>
    <w:rsid w:val="00924770"/>
    <w:rsid w:val="00925346"/>
    <w:rsid w:val="00925743"/>
    <w:rsid w:val="0092579F"/>
    <w:rsid w:val="00926068"/>
    <w:rsid w:val="00927DD3"/>
    <w:rsid w:val="00927E8D"/>
    <w:rsid w:val="00927F23"/>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BCA"/>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94E"/>
    <w:rsid w:val="00974999"/>
    <w:rsid w:val="00974B58"/>
    <w:rsid w:val="00974CBD"/>
    <w:rsid w:val="00975390"/>
    <w:rsid w:val="00975445"/>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363"/>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7"/>
    <w:rsid w:val="0099747C"/>
    <w:rsid w:val="0099771C"/>
    <w:rsid w:val="009A01E4"/>
    <w:rsid w:val="009A022C"/>
    <w:rsid w:val="009A0917"/>
    <w:rsid w:val="009A0A33"/>
    <w:rsid w:val="009A1351"/>
    <w:rsid w:val="009A1E35"/>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2F"/>
    <w:rsid w:val="009B46BC"/>
    <w:rsid w:val="009B4D1A"/>
    <w:rsid w:val="009B519D"/>
    <w:rsid w:val="009B558B"/>
    <w:rsid w:val="009B5981"/>
    <w:rsid w:val="009B6D21"/>
    <w:rsid w:val="009B78ED"/>
    <w:rsid w:val="009C0D57"/>
    <w:rsid w:val="009C181C"/>
    <w:rsid w:val="009C1A44"/>
    <w:rsid w:val="009C1C7F"/>
    <w:rsid w:val="009C1EC7"/>
    <w:rsid w:val="009C28A2"/>
    <w:rsid w:val="009C3239"/>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26D9"/>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369D"/>
    <w:rsid w:val="009F36FE"/>
    <w:rsid w:val="009F3D92"/>
    <w:rsid w:val="009F4990"/>
    <w:rsid w:val="009F4F25"/>
    <w:rsid w:val="009F59C2"/>
    <w:rsid w:val="009F5A2A"/>
    <w:rsid w:val="009F5ABB"/>
    <w:rsid w:val="009F7263"/>
    <w:rsid w:val="009F76EA"/>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5B0F"/>
    <w:rsid w:val="00A25BBB"/>
    <w:rsid w:val="00A25F2F"/>
    <w:rsid w:val="00A27FB6"/>
    <w:rsid w:val="00A30121"/>
    <w:rsid w:val="00A30368"/>
    <w:rsid w:val="00A3043A"/>
    <w:rsid w:val="00A30E02"/>
    <w:rsid w:val="00A30F6A"/>
    <w:rsid w:val="00A31C3E"/>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08A"/>
    <w:rsid w:val="00A46574"/>
    <w:rsid w:val="00A47849"/>
    <w:rsid w:val="00A500B1"/>
    <w:rsid w:val="00A521D6"/>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97B"/>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4C67"/>
    <w:rsid w:val="00AC56F2"/>
    <w:rsid w:val="00AC5897"/>
    <w:rsid w:val="00AC71C3"/>
    <w:rsid w:val="00AD09F7"/>
    <w:rsid w:val="00AD0D42"/>
    <w:rsid w:val="00AD186F"/>
    <w:rsid w:val="00AD18F9"/>
    <w:rsid w:val="00AD1EFA"/>
    <w:rsid w:val="00AD2072"/>
    <w:rsid w:val="00AD2DBD"/>
    <w:rsid w:val="00AD2FBF"/>
    <w:rsid w:val="00AD340E"/>
    <w:rsid w:val="00AD3B81"/>
    <w:rsid w:val="00AD44CE"/>
    <w:rsid w:val="00AD455D"/>
    <w:rsid w:val="00AD463C"/>
    <w:rsid w:val="00AD4E59"/>
    <w:rsid w:val="00AD4F60"/>
    <w:rsid w:val="00AD5044"/>
    <w:rsid w:val="00AD50ED"/>
    <w:rsid w:val="00AD5114"/>
    <w:rsid w:val="00AD57CC"/>
    <w:rsid w:val="00AD6236"/>
    <w:rsid w:val="00AD69D5"/>
    <w:rsid w:val="00AD7619"/>
    <w:rsid w:val="00AD76A1"/>
    <w:rsid w:val="00AD7770"/>
    <w:rsid w:val="00AE1772"/>
    <w:rsid w:val="00AE1990"/>
    <w:rsid w:val="00AE25E8"/>
    <w:rsid w:val="00AE2AD4"/>
    <w:rsid w:val="00AE2CA7"/>
    <w:rsid w:val="00AE2F1D"/>
    <w:rsid w:val="00AE4C81"/>
    <w:rsid w:val="00AE586F"/>
    <w:rsid w:val="00AE6582"/>
    <w:rsid w:val="00AE6DC5"/>
    <w:rsid w:val="00AE7686"/>
    <w:rsid w:val="00AE799A"/>
    <w:rsid w:val="00AE7A7C"/>
    <w:rsid w:val="00AF0E81"/>
    <w:rsid w:val="00AF117A"/>
    <w:rsid w:val="00AF16CA"/>
    <w:rsid w:val="00AF186E"/>
    <w:rsid w:val="00AF19DF"/>
    <w:rsid w:val="00AF1D41"/>
    <w:rsid w:val="00AF26CF"/>
    <w:rsid w:val="00AF2EE8"/>
    <w:rsid w:val="00AF3124"/>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7A4"/>
    <w:rsid w:val="00B2088D"/>
    <w:rsid w:val="00B208FF"/>
    <w:rsid w:val="00B20A58"/>
    <w:rsid w:val="00B20E8F"/>
    <w:rsid w:val="00B22E22"/>
    <w:rsid w:val="00B22F5F"/>
    <w:rsid w:val="00B232BD"/>
    <w:rsid w:val="00B23353"/>
    <w:rsid w:val="00B23813"/>
    <w:rsid w:val="00B23FD9"/>
    <w:rsid w:val="00B24591"/>
    <w:rsid w:val="00B245D5"/>
    <w:rsid w:val="00B245EF"/>
    <w:rsid w:val="00B247A1"/>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B03"/>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101"/>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5A25"/>
    <w:rsid w:val="00BC5FDD"/>
    <w:rsid w:val="00BC68B4"/>
    <w:rsid w:val="00BC6CBE"/>
    <w:rsid w:val="00BC7277"/>
    <w:rsid w:val="00BD0140"/>
    <w:rsid w:val="00BD02CC"/>
    <w:rsid w:val="00BD061A"/>
    <w:rsid w:val="00BD088E"/>
    <w:rsid w:val="00BD0F1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C03"/>
    <w:rsid w:val="00BD6D41"/>
    <w:rsid w:val="00BD76E5"/>
    <w:rsid w:val="00BD78FE"/>
    <w:rsid w:val="00BE0149"/>
    <w:rsid w:val="00BE0767"/>
    <w:rsid w:val="00BE07A6"/>
    <w:rsid w:val="00BE0CDF"/>
    <w:rsid w:val="00BE12B8"/>
    <w:rsid w:val="00BE12D7"/>
    <w:rsid w:val="00BE1372"/>
    <w:rsid w:val="00BE1432"/>
    <w:rsid w:val="00BE1775"/>
    <w:rsid w:val="00BE18DA"/>
    <w:rsid w:val="00BE26C0"/>
    <w:rsid w:val="00BE3442"/>
    <w:rsid w:val="00BE37CD"/>
    <w:rsid w:val="00BE46BC"/>
    <w:rsid w:val="00BE47B2"/>
    <w:rsid w:val="00BE48C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A7E"/>
    <w:rsid w:val="00BF3331"/>
    <w:rsid w:val="00BF3A45"/>
    <w:rsid w:val="00BF436F"/>
    <w:rsid w:val="00BF5C05"/>
    <w:rsid w:val="00BF6FC6"/>
    <w:rsid w:val="00BF73FB"/>
    <w:rsid w:val="00BF7C52"/>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A61"/>
    <w:rsid w:val="00C05FBA"/>
    <w:rsid w:val="00C05FEE"/>
    <w:rsid w:val="00C06CCF"/>
    <w:rsid w:val="00C0794D"/>
    <w:rsid w:val="00C10E78"/>
    <w:rsid w:val="00C10EF1"/>
    <w:rsid w:val="00C1159D"/>
    <w:rsid w:val="00C11B78"/>
    <w:rsid w:val="00C1233E"/>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1586"/>
    <w:rsid w:val="00C32017"/>
    <w:rsid w:val="00C32571"/>
    <w:rsid w:val="00C325CD"/>
    <w:rsid w:val="00C3322E"/>
    <w:rsid w:val="00C337F5"/>
    <w:rsid w:val="00C3383E"/>
    <w:rsid w:val="00C33B90"/>
    <w:rsid w:val="00C33C81"/>
    <w:rsid w:val="00C34161"/>
    <w:rsid w:val="00C34B32"/>
    <w:rsid w:val="00C34B5F"/>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4B42"/>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18D"/>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5A6"/>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A2"/>
    <w:rsid w:val="00CC71D3"/>
    <w:rsid w:val="00CC743D"/>
    <w:rsid w:val="00CD02ED"/>
    <w:rsid w:val="00CD050A"/>
    <w:rsid w:val="00CD1017"/>
    <w:rsid w:val="00CD19EA"/>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054"/>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764A"/>
    <w:rsid w:val="00D1060D"/>
    <w:rsid w:val="00D10D14"/>
    <w:rsid w:val="00D10E7C"/>
    <w:rsid w:val="00D11182"/>
    <w:rsid w:val="00D1137B"/>
    <w:rsid w:val="00D11807"/>
    <w:rsid w:val="00D11DB3"/>
    <w:rsid w:val="00D12D82"/>
    <w:rsid w:val="00D12F77"/>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7F3"/>
    <w:rsid w:val="00D35A63"/>
    <w:rsid w:val="00D35C0E"/>
    <w:rsid w:val="00D36FBF"/>
    <w:rsid w:val="00D373A8"/>
    <w:rsid w:val="00D379A5"/>
    <w:rsid w:val="00D37BB3"/>
    <w:rsid w:val="00D4002D"/>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C96"/>
    <w:rsid w:val="00D57940"/>
    <w:rsid w:val="00D60327"/>
    <w:rsid w:val="00D60777"/>
    <w:rsid w:val="00D61384"/>
    <w:rsid w:val="00D61526"/>
    <w:rsid w:val="00D61B44"/>
    <w:rsid w:val="00D61C39"/>
    <w:rsid w:val="00D61CD0"/>
    <w:rsid w:val="00D61F81"/>
    <w:rsid w:val="00D620A6"/>
    <w:rsid w:val="00D62BE6"/>
    <w:rsid w:val="00D63766"/>
    <w:rsid w:val="00D63912"/>
    <w:rsid w:val="00D63923"/>
    <w:rsid w:val="00D6451B"/>
    <w:rsid w:val="00D64B57"/>
    <w:rsid w:val="00D651A1"/>
    <w:rsid w:val="00D652C0"/>
    <w:rsid w:val="00D65DEA"/>
    <w:rsid w:val="00D6650F"/>
    <w:rsid w:val="00D66579"/>
    <w:rsid w:val="00D674FE"/>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5DE"/>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651F"/>
    <w:rsid w:val="00DF6F43"/>
    <w:rsid w:val="00DF71EA"/>
    <w:rsid w:val="00DF752F"/>
    <w:rsid w:val="00DF76A2"/>
    <w:rsid w:val="00E00B7A"/>
    <w:rsid w:val="00E0183F"/>
    <w:rsid w:val="00E02186"/>
    <w:rsid w:val="00E025C2"/>
    <w:rsid w:val="00E026BB"/>
    <w:rsid w:val="00E027C5"/>
    <w:rsid w:val="00E03124"/>
    <w:rsid w:val="00E031C3"/>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46D"/>
    <w:rsid w:val="00E174E8"/>
    <w:rsid w:val="00E2012A"/>
    <w:rsid w:val="00E205A2"/>
    <w:rsid w:val="00E205DC"/>
    <w:rsid w:val="00E20BA4"/>
    <w:rsid w:val="00E2107D"/>
    <w:rsid w:val="00E210D0"/>
    <w:rsid w:val="00E23137"/>
    <w:rsid w:val="00E23980"/>
    <w:rsid w:val="00E241E9"/>
    <w:rsid w:val="00E257C3"/>
    <w:rsid w:val="00E25A2C"/>
    <w:rsid w:val="00E25CB3"/>
    <w:rsid w:val="00E25DA4"/>
    <w:rsid w:val="00E26237"/>
    <w:rsid w:val="00E26CB8"/>
    <w:rsid w:val="00E26D16"/>
    <w:rsid w:val="00E26FCF"/>
    <w:rsid w:val="00E27165"/>
    <w:rsid w:val="00E275D9"/>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24C8"/>
    <w:rsid w:val="00E4251D"/>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E0F"/>
    <w:rsid w:val="00E61FD7"/>
    <w:rsid w:val="00E623E6"/>
    <w:rsid w:val="00E630A2"/>
    <w:rsid w:val="00E630C0"/>
    <w:rsid w:val="00E63107"/>
    <w:rsid w:val="00E6312C"/>
    <w:rsid w:val="00E634E6"/>
    <w:rsid w:val="00E63DCE"/>
    <w:rsid w:val="00E64700"/>
    <w:rsid w:val="00E65074"/>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6537"/>
    <w:rsid w:val="00E77784"/>
    <w:rsid w:val="00E77AF5"/>
    <w:rsid w:val="00E807B5"/>
    <w:rsid w:val="00E81EA6"/>
    <w:rsid w:val="00E820F4"/>
    <w:rsid w:val="00E823F9"/>
    <w:rsid w:val="00E82C1F"/>
    <w:rsid w:val="00E83671"/>
    <w:rsid w:val="00E839C4"/>
    <w:rsid w:val="00E840EE"/>
    <w:rsid w:val="00E84314"/>
    <w:rsid w:val="00E849CA"/>
    <w:rsid w:val="00E84A71"/>
    <w:rsid w:val="00E8556F"/>
    <w:rsid w:val="00E86556"/>
    <w:rsid w:val="00E86D35"/>
    <w:rsid w:val="00E86DC2"/>
    <w:rsid w:val="00E86E32"/>
    <w:rsid w:val="00E86F2E"/>
    <w:rsid w:val="00E8732E"/>
    <w:rsid w:val="00E9011F"/>
    <w:rsid w:val="00E9020A"/>
    <w:rsid w:val="00E906EB"/>
    <w:rsid w:val="00E90AEC"/>
    <w:rsid w:val="00E9170E"/>
    <w:rsid w:val="00E9174C"/>
    <w:rsid w:val="00E919FB"/>
    <w:rsid w:val="00E91E47"/>
    <w:rsid w:val="00E9241E"/>
    <w:rsid w:val="00E92460"/>
    <w:rsid w:val="00E924FE"/>
    <w:rsid w:val="00E92E62"/>
    <w:rsid w:val="00E93804"/>
    <w:rsid w:val="00E9429D"/>
    <w:rsid w:val="00E95434"/>
    <w:rsid w:val="00E96467"/>
    <w:rsid w:val="00E966DA"/>
    <w:rsid w:val="00E96948"/>
    <w:rsid w:val="00E97303"/>
    <w:rsid w:val="00E9737B"/>
    <w:rsid w:val="00E97A3F"/>
    <w:rsid w:val="00E97F0A"/>
    <w:rsid w:val="00EA0100"/>
    <w:rsid w:val="00EA0BCE"/>
    <w:rsid w:val="00EA1532"/>
    <w:rsid w:val="00EA22FA"/>
    <w:rsid w:val="00EA274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3D5"/>
    <w:rsid w:val="00EE050A"/>
    <w:rsid w:val="00EE0AD7"/>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3E"/>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E28"/>
    <w:rsid w:val="00F14EA9"/>
    <w:rsid w:val="00F15505"/>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147D"/>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07"/>
    <w:rsid w:val="00F42121"/>
    <w:rsid w:val="00F424B3"/>
    <w:rsid w:val="00F428B1"/>
    <w:rsid w:val="00F428B4"/>
    <w:rsid w:val="00F433CB"/>
    <w:rsid w:val="00F4345D"/>
    <w:rsid w:val="00F4387B"/>
    <w:rsid w:val="00F45921"/>
    <w:rsid w:val="00F45B91"/>
    <w:rsid w:val="00F46639"/>
    <w:rsid w:val="00F476FD"/>
    <w:rsid w:val="00F47C63"/>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1"/>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110"/>
    <w:rsid w:val="00FE6432"/>
    <w:rsid w:val="00FE72A0"/>
    <w:rsid w:val="00FF0050"/>
    <w:rsid w:val="00FF045F"/>
    <w:rsid w:val="00FF13CE"/>
    <w:rsid w:val="00FF13D4"/>
    <w:rsid w:val="00FF2053"/>
    <w:rsid w:val="00FF2847"/>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styleId="Revisin">
    <w:name w:val="Revision"/>
    <w:hidden/>
    <w:uiPriority w:val="99"/>
    <w:semiHidden/>
    <w:rsid w:val="00771606"/>
    <w:pPr>
      <w:spacing w:after="0"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A5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69003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8563249">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4F990-9993-4996-839E-193702A78FD7}"/>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B9F6118-2B9F-4E22-862D-7B0608C07B60}">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9</TotalTime>
  <Pages>14</Pages>
  <Words>4850</Words>
  <Characters>26680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 Rojas</cp:lastModifiedBy>
  <cp:revision>4</cp:revision>
  <cp:lastPrinted>2020-01-30T15:05:00Z</cp:lastPrinted>
  <dcterms:created xsi:type="dcterms:W3CDTF">2021-10-08T17:00:00Z</dcterms:created>
  <dcterms:modified xsi:type="dcterms:W3CDTF">2021-10-19T12:19:00Z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