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A0E4"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Definición – Finalidad </w:t>
      </w:r>
    </w:p>
    <w:p w14:paraId="5D122783"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1C82C0E2"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Cs/>
          <w:noProof/>
          <w:sz w:val="20"/>
          <w:szCs w:val="20"/>
          <w:lang w:val="es-ES_tradnl"/>
        </w:rPr>
        <w:t>[…]</w:t>
      </w:r>
      <w:r w:rsidRPr="00D90815">
        <w:rPr>
          <w:rFonts w:ascii="Arial" w:eastAsia="Calibri" w:hAnsi="Arial" w:cs="Arial"/>
          <w:b/>
          <w:noProof/>
          <w:sz w:val="20"/>
          <w:szCs w:val="20"/>
          <w:lang w:val="es-ES_tradnl"/>
        </w:rPr>
        <w:t xml:space="preserve"> </w:t>
      </w:r>
      <w:r w:rsidRPr="00D90815">
        <w:rPr>
          <w:rFonts w:ascii="Arial"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5F2E4DFB"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
          <w:noProof/>
          <w:sz w:val="20"/>
          <w:szCs w:val="20"/>
          <w:lang w:val="es-ES_tradnl"/>
        </w:rPr>
        <w:t xml:space="preserve"> </w:t>
      </w:r>
    </w:p>
    <w:p w14:paraId="0E7272A6" w14:textId="77777777" w:rsidR="00E710FF" w:rsidRPr="00D90815" w:rsidRDefault="00E710FF" w:rsidP="00E710FF">
      <w:pPr>
        <w:spacing w:after="0" w:line="240" w:lineRule="auto"/>
        <w:contextualSpacing/>
        <w:jc w:val="both"/>
        <w:rPr>
          <w:rFonts w:ascii="Arial" w:eastAsia="Calibri" w:hAnsi="Arial" w:cs="Arial"/>
          <w:bCs/>
          <w:noProof/>
          <w:sz w:val="20"/>
          <w:szCs w:val="20"/>
          <w:lang w:val="es-ES_tradnl"/>
        </w:rPr>
      </w:pPr>
      <w:r w:rsidRPr="00D90815">
        <w:rPr>
          <w:rFonts w:ascii="Arial" w:eastAsia="Calibri" w:hAnsi="Arial" w:cs="Arial"/>
          <w:bCs/>
          <w:noProof/>
          <w:sz w:val="20"/>
          <w:szCs w:val="20"/>
          <w:lang w:val="es-ES_tradnl"/>
        </w:rPr>
        <w:t>[…]</w:t>
      </w:r>
    </w:p>
    <w:p w14:paraId="57A50353"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707D69C1"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r w:rsidRPr="00D90815">
        <w:rPr>
          <w:rFonts w:ascii="Arial" w:hAnsi="Arial" w:cs="Arial"/>
          <w:bCs/>
          <w:sz w:val="20"/>
          <w:szCs w:val="20"/>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164F12D1"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72919F95"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Restricciones </w:t>
      </w:r>
    </w:p>
    <w:p w14:paraId="57A41828"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4D3F8847" w14:textId="77777777" w:rsidR="00E710FF" w:rsidRPr="00D90815" w:rsidRDefault="00E710FF" w:rsidP="00E710FF">
      <w:pPr>
        <w:spacing w:after="0" w:line="240" w:lineRule="auto"/>
        <w:contextualSpacing/>
        <w:jc w:val="both"/>
        <w:rPr>
          <w:rFonts w:ascii="Arial" w:eastAsia="Arial" w:hAnsi="Arial" w:cs="Arial"/>
          <w:sz w:val="20"/>
          <w:szCs w:val="20"/>
          <w:lang w:val="es-ES" w:eastAsia="es-ES" w:bidi="es-ES"/>
        </w:rPr>
      </w:pPr>
      <w:r w:rsidRPr="00D90815">
        <w:rPr>
          <w:rFonts w:ascii="Arial" w:eastAsia="Arial" w:hAnsi="Arial" w:cs="Arial"/>
          <w:sz w:val="20"/>
          <w:szCs w:val="20"/>
          <w:lang w:val="es-ES" w:eastAsia="es-ES" w:bidi="es-ES"/>
        </w:rPr>
        <w:t xml:space="preserve">De conformidad con lo anterior, la Ley 996 de 2005 establece dos (2) tipos de restricciones en materia de contratación, las cuales coinciden parcialmente. </w:t>
      </w:r>
      <w:r w:rsidRPr="00D90815">
        <w:rPr>
          <w:rFonts w:ascii="Arial" w:eastAsia="Arial" w:hAnsi="Arial" w:cs="Arial"/>
          <w:i/>
          <w:iCs/>
          <w:sz w:val="20"/>
          <w:szCs w:val="20"/>
          <w:lang w:val="es-ES" w:eastAsia="es-ES" w:bidi="es-ES"/>
        </w:rPr>
        <w:t>En primer lugar</w:t>
      </w:r>
      <w:r w:rsidRPr="00D90815">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D90815">
        <w:rPr>
          <w:rFonts w:ascii="Arial" w:eastAsia="Arial" w:hAnsi="Arial" w:cs="Arial"/>
          <w:i/>
          <w:iCs/>
          <w:sz w:val="20"/>
          <w:szCs w:val="20"/>
          <w:lang w:val="es-ES" w:eastAsia="es-ES" w:bidi="es-ES"/>
        </w:rPr>
        <w:t>En segundo lugar</w:t>
      </w:r>
      <w:r w:rsidRPr="00D90815">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95BEC27"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767F5E45"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Prohibición por elección de cargos populares – Convenios y contratos interadministrativos – Alcance </w:t>
      </w:r>
    </w:p>
    <w:p w14:paraId="0F506F8F"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1BD48968"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Cs/>
          <w:sz w:val="20"/>
          <w:szCs w:val="20"/>
          <w:lang w:val="es-MX"/>
        </w:rPr>
        <w:t xml:space="preserve">En primer lugar, el inciso primero del parágrafo del artículo 38 de la Ley 996 de 2005 dispone que “[l]os Gobernadores, </w:t>
      </w:r>
      <w:proofErr w:type="gramStart"/>
      <w:r w:rsidRPr="00D90815">
        <w:rPr>
          <w:rFonts w:ascii="Arial" w:eastAsia="Calibri" w:hAnsi="Arial" w:cs="Arial"/>
          <w:bCs/>
          <w:sz w:val="20"/>
          <w:szCs w:val="20"/>
          <w:lang w:val="es-MX"/>
        </w:rPr>
        <w:t>Alcaldes</w:t>
      </w:r>
      <w:proofErr w:type="gramEnd"/>
      <w:r w:rsidRPr="00D90815">
        <w:rPr>
          <w:rFonts w:ascii="Arial" w:eastAsia="Calibri" w:hAnsi="Arial" w:cs="Arial"/>
          <w:bCs/>
          <w:sz w:val="20"/>
          <w:szCs w:val="20"/>
          <w:lang w:val="es-MX"/>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D90815">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43A8270F"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24EF40D8"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Prohibición por elección de cargos populares – Convenios y contratos interadministrativos – Definición – Criterio orgánico </w:t>
      </w:r>
    </w:p>
    <w:p w14:paraId="09976282"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0FAAC602" w14:textId="77777777" w:rsidR="00E710FF" w:rsidRPr="00D90815" w:rsidRDefault="00E710FF" w:rsidP="00E710FF">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D90815">
        <w:rPr>
          <w:rFonts w:ascii="Arial" w:eastAsia="Calibri" w:hAnsi="Arial" w:cs="Arial"/>
          <w:bCs/>
          <w:noProof/>
          <w:sz w:val="20"/>
          <w:szCs w:val="20"/>
          <w:lang w:val="es-ES_tradnl"/>
        </w:rPr>
        <w:t>[…]</w:t>
      </w:r>
      <w:r w:rsidRPr="00D90815">
        <w:rPr>
          <w:rFonts w:ascii="Arial" w:eastAsia="Calibri" w:hAnsi="Arial" w:cs="Arial"/>
          <w:b/>
          <w:noProof/>
          <w:sz w:val="20"/>
          <w:szCs w:val="20"/>
          <w:lang w:val="es-ES_tradnl"/>
        </w:rPr>
        <w:t xml:space="preserve"> </w:t>
      </w:r>
      <w:r w:rsidRPr="00D90815">
        <w:rPr>
          <w:rFonts w:ascii="Arial" w:eastAsia="Arial" w:hAnsi="Arial" w:cs="Arial"/>
          <w:sz w:val="20"/>
          <w:szCs w:val="20"/>
          <w:lang w:val="es-ES" w:eastAsia="es-ES" w:bidi="es-ES"/>
        </w:rPr>
        <w:t xml:space="preserve">Aunque la ley no la definió ni desarrolló, el Decreto 1082 de 2015 califica a los convenios o contratos </w:t>
      </w:r>
      <w:r w:rsidRPr="00D90815">
        <w:rPr>
          <w:rFonts w:ascii="Arial" w:eastAsia="Arial" w:hAnsi="Arial" w:cs="Arial"/>
          <w:sz w:val="20"/>
          <w:szCs w:val="20"/>
          <w:lang w:val="es-ES" w:eastAsia="es-ES" w:bidi="es-ES"/>
        </w:rPr>
        <w:lastRenderedPageBreak/>
        <w:t>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90815">
        <w:rPr>
          <w:rFonts w:ascii="Arial" w:eastAsia="Arial" w:hAnsi="Arial" w:cs="Arial"/>
          <w:spacing w:val="-6"/>
          <w:sz w:val="20"/>
          <w:szCs w:val="20"/>
          <w:lang w:val="es-ES" w:eastAsia="es-ES" w:bidi="es-ES"/>
        </w:rPr>
        <w:t xml:space="preserve"> </w:t>
      </w:r>
      <w:r w:rsidRPr="00D90815">
        <w:rPr>
          <w:rFonts w:ascii="Arial" w:eastAsia="Arial" w:hAnsi="Arial" w:cs="Arial"/>
          <w:sz w:val="20"/>
          <w:szCs w:val="20"/>
          <w:lang w:val="es-ES" w:eastAsia="es-ES" w:bidi="es-ES"/>
        </w:rPr>
        <w:t>estatales.</w:t>
      </w:r>
    </w:p>
    <w:p w14:paraId="257AF7B8"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797E2223"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CONTRATOS Y CONVENIOS INTERADMINISTRATIVOS – Modalidad de selección</w:t>
      </w:r>
    </w:p>
    <w:p w14:paraId="76F07FD0"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03644C5F" w14:textId="77777777" w:rsidR="00E710FF" w:rsidRPr="00D90815" w:rsidRDefault="00E710FF" w:rsidP="00E710FF">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D90815">
        <w:rPr>
          <w:rFonts w:ascii="Arial" w:eastAsia="Arial" w:hAnsi="Arial" w:cs="Arial"/>
          <w:sz w:val="20"/>
          <w:szCs w:val="20"/>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D90815">
        <w:rPr>
          <w:rFonts w:ascii="Arial" w:eastAsia="Arial" w:hAnsi="Arial" w:cs="Arial"/>
          <w:spacing w:val="-18"/>
          <w:sz w:val="20"/>
          <w:szCs w:val="20"/>
          <w:lang w:val="es-ES" w:eastAsia="es-ES" w:bidi="es-ES"/>
        </w:rPr>
        <w:t xml:space="preserve"> </w:t>
      </w:r>
      <w:r w:rsidRPr="00D90815">
        <w:rPr>
          <w:rFonts w:ascii="Arial" w:eastAsia="Arial" w:hAnsi="Arial" w:cs="Arial"/>
          <w:sz w:val="20"/>
          <w:szCs w:val="20"/>
          <w:lang w:val="es-ES" w:eastAsia="es-ES" w:bidi="es-ES"/>
        </w:rPr>
        <w:t>interadministrativo.</w:t>
      </w:r>
    </w:p>
    <w:p w14:paraId="39D28B17"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5D2EBC22"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Prohibición por elección de cargos populares – Convenios y contratos interadministrativos – Tipologia contractual – Modalidad de selección </w:t>
      </w:r>
    </w:p>
    <w:p w14:paraId="64F448D4"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0A9ADD1D" w14:textId="77777777" w:rsidR="00E710FF" w:rsidRPr="00D90815" w:rsidRDefault="00E710FF" w:rsidP="00E710FF">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D90815">
        <w:rPr>
          <w:rFonts w:ascii="Arial" w:eastAsia="Arial" w:hAnsi="Arial" w:cs="Arial"/>
          <w:sz w:val="20"/>
          <w:szCs w:val="20"/>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D90815">
        <w:rPr>
          <w:rFonts w:ascii="Arial" w:eastAsia="Arial" w:hAnsi="Arial" w:cs="Arial"/>
          <w:spacing w:val="-3"/>
          <w:sz w:val="20"/>
          <w:szCs w:val="20"/>
          <w:lang w:val="es-ES" w:eastAsia="es-ES" w:bidi="es-ES"/>
        </w:rPr>
        <w:t xml:space="preserve"> </w:t>
      </w:r>
      <w:r w:rsidRPr="00D90815">
        <w:rPr>
          <w:rFonts w:ascii="Arial" w:eastAsia="Arial" w:hAnsi="Arial" w:cs="Arial"/>
          <w:sz w:val="20"/>
          <w:szCs w:val="20"/>
          <w:lang w:val="es-ES" w:eastAsia="es-ES" w:bidi="es-ES"/>
        </w:rPr>
        <w:t>estatales.</w:t>
      </w:r>
    </w:p>
    <w:p w14:paraId="72214AD1"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0240375B"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LEY DE GARANTÍAS ELECTORALES ‒ Prohibición por elección de cargos populares – Modificación de la nómina</w:t>
      </w:r>
    </w:p>
    <w:p w14:paraId="7498423F"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103260D4" w14:textId="77777777" w:rsidR="00E710FF" w:rsidRPr="00D90815" w:rsidRDefault="00E710FF" w:rsidP="00E710FF">
      <w:pPr>
        <w:spacing w:after="0" w:line="240" w:lineRule="auto"/>
        <w:contextualSpacing/>
        <w:jc w:val="both"/>
        <w:rPr>
          <w:rFonts w:ascii="Arial" w:hAnsi="Arial" w:cs="Arial"/>
          <w:sz w:val="20"/>
          <w:szCs w:val="20"/>
          <w:lang w:val="es-MX"/>
        </w:rPr>
      </w:pPr>
      <w:r w:rsidRPr="00D90815">
        <w:rPr>
          <w:rFonts w:ascii="Arial" w:eastAsia="Calibri" w:hAnsi="Arial" w:cs="Arial"/>
          <w:bCs/>
          <w:noProof/>
          <w:sz w:val="20"/>
          <w:szCs w:val="20"/>
          <w:lang w:val="es-ES_tradnl"/>
        </w:rPr>
        <w:t xml:space="preserve">[…] </w:t>
      </w:r>
      <w:r w:rsidRPr="00D90815">
        <w:rPr>
          <w:rFonts w:ascii="Arial" w:hAnsi="Arial" w:cs="Arial"/>
          <w:sz w:val="20"/>
          <w:szCs w:val="20"/>
          <w:shd w:val="clear" w:color="auto" w:fill="FFFFFF"/>
          <w:lang w:val="es-MX"/>
        </w:rPr>
        <w:t>la nómina del respectivo ente territorial o entidad estatal no se podrá modificar dentro de los cuatro (4) meses anteriores a las elecciones a cargos de elección popular, salvo que se trate de la provisión de cargos por faltas definitivas, con ocasión de muerte o renuncia irrevocable del cargo correspondiente debidamente aceptada y en los casos de aplicación de las normas de carrera administrativa. Sobre esta prohibición e</w:t>
      </w:r>
      <w:r w:rsidRPr="00D90815">
        <w:rPr>
          <w:rFonts w:ascii="Arial" w:hAnsi="Arial" w:cs="Arial"/>
          <w:sz w:val="20"/>
          <w:szCs w:val="20"/>
          <w:lang w:val="es-MX"/>
        </w:rPr>
        <w:t xml:space="preserve">s importante decir que esta restricción, que aplica a todos los organismos y entidades de la Rama Ejecutiva, respeta el equilibrio que debe existir entre la moralidad administrativa y la eficacia de la administración. Al respecto, la Corte Constitucional, en Sentencia C-1153 de 2005, sostuvo que las limitaciones previstas en el artículo 38 de la Ley 996 de 2005 están claramente encaminadas a garantizar los principios de la función administrativa previstos en el artículo 209 de la Constitución Política, en particular la moralidad, la imparcialidad y la eficacia en el cumplimiento de las funciones. </w:t>
      </w:r>
    </w:p>
    <w:p w14:paraId="77B96BD2"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1F6A4A15" w14:textId="77777777" w:rsidR="00E710FF" w:rsidRPr="00D90815" w:rsidRDefault="00E710FF" w:rsidP="00E710FF">
      <w:pPr>
        <w:spacing w:after="0" w:line="240" w:lineRule="auto"/>
        <w:contextualSpacing/>
        <w:jc w:val="both"/>
        <w:rPr>
          <w:rFonts w:ascii="Arial" w:hAnsi="Arial" w:cs="Arial"/>
          <w:b/>
          <w:lang w:val="es-MX"/>
        </w:rPr>
      </w:pPr>
      <w:r w:rsidRPr="00D90815">
        <w:rPr>
          <w:rFonts w:ascii="Arial" w:eastAsia="Calibri" w:hAnsi="Arial" w:cs="Arial"/>
          <w:b/>
          <w:noProof/>
          <w:lang w:val="es-ES_tradnl"/>
        </w:rPr>
        <w:t xml:space="preserve">LEY DE GARANTÍAS ELECTORALES ‒ Prohibición por elección de cargos populares – Periodo de aplicación </w:t>
      </w:r>
    </w:p>
    <w:p w14:paraId="4BA8C598" w14:textId="77777777" w:rsidR="00E710FF" w:rsidRPr="00D90815" w:rsidRDefault="00E710FF" w:rsidP="00E710FF">
      <w:pPr>
        <w:spacing w:after="0" w:line="240" w:lineRule="auto"/>
        <w:contextualSpacing/>
        <w:rPr>
          <w:sz w:val="20"/>
          <w:szCs w:val="20"/>
        </w:rPr>
      </w:pPr>
    </w:p>
    <w:p w14:paraId="24B13A60" w14:textId="77777777" w:rsidR="00E710FF" w:rsidRPr="00D90815" w:rsidRDefault="00E710FF" w:rsidP="00E710FF">
      <w:pPr>
        <w:spacing w:after="0" w:line="240" w:lineRule="auto"/>
        <w:contextualSpacing/>
        <w:jc w:val="both"/>
        <w:rPr>
          <w:rFonts w:ascii="Arial" w:hAnsi="Arial" w:cs="Arial"/>
          <w:sz w:val="20"/>
          <w:szCs w:val="20"/>
          <w:shd w:val="clear" w:color="auto" w:fill="FFFFFF"/>
          <w:lang w:val="es-MX"/>
        </w:rPr>
      </w:pPr>
      <w:r w:rsidRPr="00D90815">
        <w:rPr>
          <w:rFonts w:ascii="Arial" w:hAnsi="Arial" w:cs="Arial"/>
          <w:sz w:val="20"/>
          <w:szCs w:val="20"/>
          <w:shd w:val="clear" w:color="auto" w:fill="FFFFFF"/>
          <w:lang w:val="es-MX"/>
        </w:rPr>
        <w:t xml:space="preserve">La Ley 996 de 2005 establece que dichas prohibiciones se aplicarán durante los cuatro (4) meses anteriores a las elecciones. Con motivo de las elecciones de autoridades locales que se realizan el último domingo </w:t>
      </w:r>
      <w:r w:rsidRPr="00D90815">
        <w:rPr>
          <w:rFonts w:ascii="Arial" w:hAnsi="Arial" w:cs="Arial"/>
          <w:sz w:val="20"/>
          <w:szCs w:val="20"/>
          <w:shd w:val="clear" w:color="auto" w:fill="FFFFFF"/>
          <w:lang w:val="es-MX"/>
        </w:rPr>
        <w:lastRenderedPageBreak/>
        <w:t xml:space="preserve">del mes de octubre, es decir el 29 de octubre de 2023, la mencionada ley </w:t>
      </w:r>
      <w:proofErr w:type="gramStart"/>
      <w:r w:rsidRPr="00D90815">
        <w:rPr>
          <w:rFonts w:ascii="Arial" w:hAnsi="Arial" w:cs="Arial"/>
          <w:sz w:val="20"/>
          <w:szCs w:val="20"/>
          <w:shd w:val="clear" w:color="auto" w:fill="FFFFFF"/>
          <w:lang w:val="es-MX"/>
        </w:rPr>
        <w:t>entrará en vigencia</w:t>
      </w:r>
      <w:proofErr w:type="gramEnd"/>
      <w:r w:rsidRPr="00D90815">
        <w:rPr>
          <w:rFonts w:ascii="Arial" w:hAnsi="Arial" w:cs="Arial"/>
          <w:sz w:val="20"/>
          <w:szCs w:val="20"/>
          <w:shd w:val="clear" w:color="auto" w:fill="FFFFFF"/>
          <w:lang w:val="es-MX"/>
        </w:rPr>
        <w:t xml:space="preserve"> desde el próximo 29 de junio y se extenderá hasta el día en el que se celebran las elecciones.</w:t>
      </w:r>
    </w:p>
    <w:p w14:paraId="05C711AC" w14:textId="77777777" w:rsidR="00E710FF" w:rsidRDefault="00E710FF">
      <w:pPr>
        <w:rPr>
          <w:rFonts w:ascii="Arial" w:hAnsi="Arial" w:cs="Arial"/>
          <w:bCs/>
          <w:lang w:val="es-ES_tradnl"/>
        </w:rPr>
      </w:pPr>
      <w:r>
        <w:rPr>
          <w:rFonts w:ascii="Arial" w:hAnsi="Arial" w:cs="Arial"/>
          <w:bCs/>
          <w:lang w:val="es-ES_tradnl"/>
        </w:rPr>
        <w:br w:type="page"/>
      </w:r>
    </w:p>
    <w:p w14:paraId="24A7F96A" w14:textId="0C53CC08" w:rsidR="00551222" w:rsidRDefault="00551222" w:rsidP="00551222">
      <w:pPr>
        <w:spacing w:after="0" w:line="240" w:lineRule="auto"/>
        <w:contextualSpacing/>
        <w:jc w:val="both"/>
        <w:rPr>
          <w:rFonts w:ascii="Arial" w:hAnsi="Arial" w:cs="Arial"/>
          <w:bCs/>
          <w:lang w:val="es-ES_tradnl"/>
        </w:rPr>
      </w:pPr>
      <w:r w:rsidRPr="00551222">
        <w:rPr>
          <w:rFonts w:ascii="Arial" w:hAnsi="Arial" w:cs="Arial"/>
          <w:bCs/>
          <w:lang w:val="es-ES_tradnl"/>
        </w:rPr>
        <w:lastRenderedPageBreak/>
        <w:t>Bogotá D.C., 9 de mayo de 2023.</w:t>
      </w:r>
    </w:p>
    <w:p w14:paraId="0B2E270E" w14:textId="77777777" w:rsidR="00FF4400" w:rsidRDefault="00FF4400" w:rsidP="00551222">
      <w:pPr>
        <w:spacing w:after="0" w:line="240" w:lineRule="auto"/>
        <w:contextualSpacing/>
        <w:jc w:val="both"/>
        <w:rPr>
          <w:rFonts w:ascii="Arial" w:hAnsi="Arial" w:cs="Arial"/>
          <w:bCs/>
          <w:lang w:val="es-ES_tradnl"/>
        </w:rPr>
      </w:pPr>
    </w:p>
    <w:p w14:paraId="176A231D" w14:textId="5FF485CE" w:rsidR="00FF4400" w:rsidRPr="00551222" w:rsidRDefault="00982FC5" w:rsidP="00982FC5">
      <w:pPr>
        <w:spacing w:after="0" w:line="240" w:lineRule="auto"/>
        <w:contextualSpacing/>
        <w:jc w:val="right"/>
        <w:rPr>
          <w:rFonts w:ascii="Arial" w:hAnsi="Arial" w:cs="Arial"/>
          <w:bCs/>
          <w:lang w:val="es-ES_tradnl"/>
        </w:rPr>
      </w:pPr>
      <w:r>
        <w:rPr>
          <w:rFonts w:ascii="Arial" w:eastAsia="Arial" w:hAnsi="Arial" w:cs="Arial"/>
          <w:noProof/>
          <w:lang w:val="es-MX"/>
        </w:rPr>
        <w:drawing>
          <wp:inline distT="0" distB="0" distL="0" distR="0" wp14:anchorId="42BE09FA" wp14:editId="55C860F3">
            <wp:extent cx="3259223" cy="736270"/>
            <wp:effectExtent l="0" t="0" r="0" b="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055" cy="760178"/>
                    </a:xfrm>
                    <a:prstGeom prst="rect">
                      <a:avLst/>
                    </a:prstGeom>
                    <a:noFill/>
                    <a:ln>
                      <a:noFill/>
                    </a:ln>
                  </pic:spPr>
                </pic:pic>
              </a:graphicData>
            </a:graphic>
          </wp:inline>
        </w:drawing>
      </w:r>
    </w:p>
    <w:p w14:paraId="5B181E04" w14:textId="61ADDF95" w:rsidR="00551222" w:rsidRPr="00551222" w:rsidRDefault="00FF4400" w:rsidP="00FF4400">
      <w:pPr>
        <w:spacing w:after="0" w:line="240" w:lineRule="auto"/>
        <w:contextualSpacing/>
        <w:jc w:val="right"/>
        <w:rPr>
          <w:rFonts w:ascii="Arial" w:hAnsi="Arial" w:cs="Arial"/>
          <w:bCs/>
          <w:lang w:val="es-ES_tradnl"/>
        </w:rPr>
      </w:pPr>
      <w:r>
        <w:rPr>
          <w:noProof/>
        </w:rPr>
        <w:drawing>
          <wp:inline distT="0" distB="0" distL="0" distR="0" wp14:anchorId="66673FE0" wp14:editId="3B28A78C">
            <wp:extent cx="3209840" cy="855023"/>
            <wp:effectExtent l="0" t="0" r="0" b="2540"/>
            <wp:docPr id="39934101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41016" name="Imagen 1" descr="Texto&#10;&#10;Descripción generada automáticamente"/>
                    <pic:cNvPicPr/>
                  </pic:nvPicPr>
                  <pic:blipFill>
                    <a:blip r:embed="rId12"/>
                    <a:stretch>
                      <a:fillRect/>
                    </a:stretch>
                  </pic:blipFill>
                  <pic:spPr>
                    <a:xfrm>
                      <a:off x="0" y="0"/>
                      <a:ext cx="3235028" cy="861732"/>
                    </a:xfrm>
                    <a:prstGeom prst="rect">
                      <a:avLst/>
                    </a:prstGeom>
                  </pic:spPr>
                </pic:pic>
              </a:graphicData>
            </a:graphic>
          </wp:inline>
        </w:drawing>
      </w:r>
    </w:p>
    <w:p w14:paraId="3C765A28" w14:textId="77777777" w:rsidR="00551222" w:rsidRPr="00551222" w:rsidRDefault="00551222" w:rsidP="00551222">
      <w:pPr>
        <w:spacing w:after="0" w:line="240" w:lineRule="auto"/>
        <w:contextualSpacing/>
        <w:rPr>
          <w:rFonts w:ascii="Arial" w:hAnsi="Arial" w:cs="Arial"/>
          <w:lang w:val="es-ES_tradnl"/>
        </w:rPr>
      </w:pPr>
      <w:bookmarkStart w:id="0" w:name="_Hlk70510939"/>
      <w:r w:rsidRPr="00551222">
        <w:rPr>
          <w:rFonts w:ascii="Arial" w:hAnsi="Arial" w:cs="Arial"/>
          <w:lang w:val="es-ES_tradnl"/>
        </w:rPr>
        <w:t>Señora</w:t>
      </w:r>
    </w:p>
    <w:p w14:paraId="236D928A" w14:textId="77777777" w:rsidR="00551222" w:rsidRPr="00551222" w:rsidRDefault="00551222" w:rsidP="00551222">
      <w:pPr>
        <w:spacing w:after="0" w:line="240" w:lineRule="auto"/>
        <w:contextualSpacing/>
        <w:jc w:val="both"/>
        <w:rPr>
          <w:rFonts w:ascii="Arial" w:hAnsi="Arial" w:cs="Arial"/>
          <w:b/>
          <w:lang w:val="es-ES_tradnl"/>
        </w:rPr>
      </w:pPr>
      <w:proofErr w:type="spellStart"/>
      <w:r w:rsidRPr="00551222">
        <w:rPr>
          <w:rFonts w:ascii="Arial" w:hAnsi="Arial" w:cs="Arial"/>
          <w:b/>
          <w:lang w:val="es-ES_tradnl"/>
        </w:rPr>
        <w:t>Carine</w:t>
      </w:r>
      <w:proofErr w:type="spellEnd"/>
      <w:r w:rsidRPr="00551222">
        <w:rPr>
          <w:rFonts w:ascii="Arial" w:hAnsi="Arial" w:cs="Arial"/>
          <w:b/>
          <w:lang w:val="es-ES_tradnl"/>
        </w:rPr>
        <w:t xml:space="preserve"> </w:t>
      </w:r>
      <w:proofErr w:type="spellStart"/>
      <w:r w:rsidRPr="00551222">
        <w:rPr>
          <w:rFonts w:ascii="Arial" w:hAnsi="Arial" w:cs="Arial"/>
          <w:b/>
          <w:lang w:val="es-ES_tradnl"/>
        </w:rPr>
        <w:t>Pening</w:t>
      </w:r>
      <w:proofErr w:type="spellEnd"/>
      <w:r w:rsidRPr="00551222">
        <w:rPr>
          <w:rFonts w:ascii="Arial" w:hAnsi="Arial" w:cs="Arial"/>
          <w:b/>
          <w:lang w:val="es-ES_tradnl"/>
        </w:rPr>
        <w:t xml:space="preserve"> Gaviria</w:t>
      </w:r>
    </w:p>
    <w:p w14:paraId="3D9B8216" w14:textId="77777777" w:rsidR="00551222" w:rsidRPr="00551222" w:rsidRDefault="00BE2710" w:rsidP="00551222">
      <w:pPr>
        <w:spacing w:after="0" w:line="240" w:lineRule="auto"/>
        <w:contextualSpacing/>
        <w:jc w:val="both"/>
        <w:rPr>
          <w:rFonts w:ascii="Arial" w:hAnsi="Arial" w:cs="Arial"/>
          <w:bCs/>
          <w:lang w:val="es-ES_tradnl"/>
        </w:rPr>
      </w:pPr>
      <w:hyperlink r:id="rId13" w:history="1">
        <w:r w:rsidR="00551222" w:rsidRPr="00551222">
          <w:rPr>
            <w:rFonts w:ascii="Arial" w:hAnsi="Arial" w:cs="Arial"/>
            <w:bCs/>
            <w:color w:val="0563C1" w:themeColor="hyperlink"/>
            <w:u w:val="single"/>
            <w:lang w:val="es-ES_tradnl"/>
          </w:rPr>
          <w:t>carinepening@hotmail.com</w:t>
        </w:r>
      </w:hyperlink>
      <w:r w:rsidR="00551222" w:rsidRPr="00551222">
        <w:rPr>
          <w:rFonts w:ascii="Arial" w:hAnsi="Arial" w:cs="Arial"/>
          <w:bCs/>
          <w:lang w:val="es-ES_tradnl"/>
        </w:rPr>
        <w:t xml:space="preserve"> </w:t>
      </w:r>
    </w:p>
    <w:p w14:paraId="11DA6A8D" w14:textId="77777777" w:rsidR="00551222" w:rsidRPr="00551222" w:rsidRDefault="00551222" w:rsidP="00551222">
      <w:pPr>
        <w:spacing w:after="0" w:line="240" w:lineRule="auto"/>
        <w:contextualSpacing/>
        <w:rPr>
          <w:rFonts w:ascii="Arial" w:hAnsi="Arial" w:cs="Arial"/>
          <w:lang w:val="es-MX"/>
        </w:rPr>
      </w:pPr>
      <w:r w:rsidRPr="00551222">
        <w:rPr>
          <w:rFonts w:ascii="Arial" w:hAnsi="Arial" w:cs="Arial"/>
          <w:lang w:val="es-MX"/>
        </w:rPr>
        <w:t>Ciudad</w:t>
      </w:r>
    </w:p>
    <w:p w14:paraId="03364D90" w14:textId="77777777" w:rsidR="00551222" w:rsidRPr="00551222" w:rsidRDefault="00551222" w:rsidP="00551222">
      <w:pPr>
        <w:spacing w:after="0" w:line="240" w:lineRule="auto"/>
        <w:contextualSpacing/>
        <w:rPr>
          <w:rFonts w:ascii="Arial" w:hAnsi="Arial" w:cs="Arial"/>
          <w:lang w:val="es-MX"/>
        </w:rPr>
      </w:pPr>
    </w:p>
    <w:p w14:paraId="554A327A" w14:textId="77777777" w:rsidR="00551222" w:rsidRPr="00551222" w:rsidRDefault="00551222" w:rsidP="00551222">
      <w:pPr>
        <w:spacing w:after="0" w:line="240" w:lineRule="auto"/>
        <w:contextualSpacing/>
        <w:rPr>
          <w:rFonts w:ascii="Arial" w:hAnsi="Arial" w:cs="Arial"/>
          <w:b/>
          <w:bCs/>
          <w:lang w:val="es-ES_tradnl"/>
        </w:rPr>
      </w:pPr>
    </w:p>
    <w:p w14:paraId="1A7F4FC3" w14:textId="77777777" w:rsidR="00551222" w:rsidRPr="00551222" w:rsidRDefault="00551222" w:rsidP="00551222">
      <w:pPr>
        <w:spacing w:after="0" w:line="240" w:lineRule="auto"/>
        <w:ind w:left="2124" w:firstLine="708"/>
        <w:contextualSpacing/>
        <w:rPr>
          <w:rFonts w:ascii="Arial" w:hAnsi="Arial" w:cs="Arial"/>
          <w:b/>
          <w:bCs/>
          <w:lang w:val="es-ES_tradnl"/>
        </w:rPr>
      </w:pPr>
      <w:r w:rsidRPr="00551222">
        <w:rPr>
          <w:rFonts w:ascii="Arial" w:hAnsi="Arial" w:cs="Arial"/>
          <w:b/>
          <w:bCs/>
          <w:lang w:val="es-ES_tradnl"/>
        </w:rPr>
        <w:t>Concepto C – 118 de 2023</w:t>
      </w:r>
    </w:p>
    <w:p w14:paraId="2123A35D" w14:textId="77777777" w:rsidR="00551222" w:rsidRPr="00551222" w:rsidRDefault="00551222" w:rsidP="00551222">
      <w:pPr>
        <w:spacing w:after="0" w:line="240" w:lineRule="auto"/>
        <w:ind w:left="2824" w:hanging="2818"/>
        <w:contextualSpacing/>
        <w:jc w:val="both"/>
        <w:rPr>
          <w:rFonts w:ascii="Arial" w:eastAsia="Calibri" w:hAnsi="Arial" w:cs="Arial"/>
          <w:b/>
          <w:noProof/>
          <w:lang w:val="es-ES_tradnl"/>
        </w:rPr>
      </w:pPr>
    </w:p>
    <w:p w14:paraId="6F3EF11D" w14:textId="77777777" w:rsidR="00551222" w:rsidRPr="00551222" w:rsidRDefault="00551222" w:rsidP="00551222">
      <w:pPr>
        <w:spacing w:after="0" w:line="240" w:lineRule="auto"/>
        <w:ind w:left="2832" w:hanging="2184"/>
        <w:contextualSpacing/>
        <w:jc w:val="both"/>
        <w:rPr>
          <w:rFonts w:ascii="Arial" w:hAnsi="Arial" w:cs="Arial"/>
          <w:lang w:val="es-MX"/>
        </w:rPr>
      </w:pPr>
      <w:r w:rsidRPr="00551222">
        <w:rPr>
          <w:rFonts w:ascii="Arial" w:eastAsia="Calibri" w:hAnsi="Arial" w:cs="Arial"/>
          <w:b/>
          <w:noProof/>
          <w:lang w:val="es-ES_tradnl"/>
        </w:rPr>
        <w:t>Temas</w:t>
      </w:r>
      <w:r w:rsidRPr="00551222">
        <w:rPr>
          <w:rFonts w:ascii="Arial" w:eastAsia="Calibri" w:hAnsi="Arial" w:cs="Arial"/>
          <w:bCs/>
          <w:noProof/>
          <w:lang w:val="es-ES_tradnl"/>
        </w:rPr>
        <w:t xml:space="preserve">: </w:t>
      </w:r>
      <w:r w:rsidRPr="00551222">
        <w:rPr>
          <w:rFonts w:ascii="Arial" w:eastAsia="Calibri" w:hAnsi="Arial" w:cs="Arial"/>
          <w:bCs/>
          <w:noProof/>
          <w:lang w:val="es-ES_tradnl"/>
        </w:rPr>
        <w:tab/>
        <w:t xml:space="preserve">LEY DE GARANTÍAS ELECTORALES – Definición – Finalidad / LEY DE GARANTÍAS ELECTORALES – Restricciones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CONTRATOS Y CONVENIOS INTERADMINISTRATIVOS – Modalidad de selección / LEY DE GARANTÍAS ELECTORALES ‒ Prohibición por elección de cargos populares – Convenios y contratos interadministrativos – Tipologia contractual – Modalidad de selección / LEY DE GARANTÍAS ELECTORALES ‒ Prohibición por elección de cargos populares – Modificación de la nómina / LEY DE GARANTÍAS ELECTORALES ‒ Prohibición por elección de cargos populares – Periodo de aplicación </w:t>
      </w:r>
    </w:p>
    <w:p w14:paraId="5CB4C691" w14:textId="77777777" w:rsidR="00551222" w:rsidRPr="00551222" w:rsidRDefault="00551222" w:rsidP="00551222">
      <w:pPr>
        <w:spacing w:after="0" w:line="240" w:lineRule="auto"/>
        <w:ind w:left="2835" w:hanging="2835"/>
        <w:contextualSpacing/>
        <w:jc w:val="both"/>
        <w:rPr>
          <w:rFonts w:ascii="Arial" w:eastAsia="Calibri" w:hAnsi="Arial" w:cs="Arial"/>
          <w:b/>
          <w:noProof/>
          <w:lang w:val="es-ES_tradnl"/>
        </w:rPr>
      </w:pPr>
    </w:p>
    <w:p w14:paraId="1E328B35" w14:textId="77777777" w:rsidR="00551222" w:rsidRPr="00551222" w:rsidRDefault="00551222" w:rsidP="00551222">
      <w:pPr>
        <w:spacing w:after="0" w:line="240" w:lineRule="auto"/>
        <w:ind w:left="2835" w:hanging="2835"/>
        <w:contextualSpacing/>
        <w:jc w:val="both"/>
        <w:rPr>
          <w:rFonts w:ascii="Arial" w:hAnsi="Arial" w:cs="Arial"/>
          <w:lang w:val="es-ES_tradnl"/>
        </w:rPr>
      </w:pPr>
      <w:r w:rsidRPr="00551222">
        <w:rPr>
          <w:rFonts w:ascii="Arial" w:eastAsia="Calibri" w:hAnsi="Arial" w:cs="Arial"/>
          <w:b/>
          <w:noProof/>
          <w:lang w:val="es-ES_tradnl"/>
        </w:rPr>
        <w:t>Radicación</w:t>
      </w:r>
      <w:r w:rsidRPr="00551222">
        <w:rPr>
          <w:rFonts w:ascii="Arial" w:eastAsia="Calibri" w:hAnsi="Arial" w:cs="Arial"/>
          <w:bCs/>
          <w:noProof/>
          <w:lang w:val="es-ES_tradnl"/>
        </w:rPr>
        <w:t>:</w:t>
      </w:r>
      <w:r w:rsidRPr="00551222">
        <w:rPr>
          <w:rFonts w:ascii="Arial" w:eastAsia="Calibri" w:hAnsi="Arial" w:cs="Arial"/>
          <w:bCs/>
          <w:noProof/>
          <w:lang w:val="es-ES_tradnl"/>
        </w:rPr>
        <w:tab/>
        <w:t>Respuesta a consulta</w:t>
      </w:r>
      <w:r w:rsidRPr="00551222">
        <w:rPr>
          <w:sz w:val="24"/>
          <w:lang w:val="es-MX"/>
        </w:rPr>
        <w:t xml:space="preserve"> </w:t>
      </w:r>
      <w:r w:rsidRPr="00551222">
        <w:rPr>
          <w:rFonts w:ascii="Arial" w:eastAsia="Calibri" w:hAnsi="Arial" w:cs="Arial"/>
          <w:bCs/>
          <w:noProof/>
          <w:lang w:val="es-ES_tradnl"/>
        </w:rPr>
        <w:t>P20230327002780</w:t>
      </w:r>
    </w:p>
    <w:p w14:paraId="141344A0" w14:textId="77777777" w:rsidR="00551222" w:rsidRPr="00551222" w:rsidRDefault="00551222" w:rsidP="00551222">
      <w:pPr>
        <w:spacing w:after="0" w:line="276" w:lineRule="auto"/>
        <w:contextualSpacing/>
        <w:rPr>
          <w:rFonts w:ascii="Arial" w:hAnsi="Arial" w:cs="Arial"/>
          <w:lang w:val="es-ES_tradnl"/>
        </w:rPr>
      </w:pPr>
    </w:p>
    <w:p w14:paraId="423C75D5" w14:textId="77777777" w:rsidR="00551222" w:rsidRPr="00551222" w:rsidRDefault="00551222" w:rsidP="00551222">
      <w:pPr>
        <w:spacing w:after="0" w:line="276" w:lineRule="auto"/>
        <w:contextualSpacing/>
        <w:rPr>
          <w:rFonts w:ascii="Arial" w:hAnsi="Arial" w:cs="Arial"/>
          <w:lang w:val="es-ES_tradnl"/>
        </w:rPr>
      </w:pPr>
    </w:p>
    <w:p w14:paraId="24813FB3" w14:textId="77777777" w:rsidR="00551222" w:rsidRPr="00551222" w:rsidRDefault="00551222" w:rsidP="00551222">
      <w:pPr>
        <w:spacing w:after="0" w:line="276" w:lineRule="auto"/>
        <w:contextualSpacing/>
        <w:rPr>
          <w:rFonts w:ascii="Arial" w:hAnsi="Arial" w:cs="Arial"/>
          <w:lang w:val="es-ES_tradnl"/>
        </w:rPr>
      </w:pPr>
      <w:r w:rsidRPr="00551222">
        <w:rPr>
          <w:rFonts w:ascii="Arial" w:hAnsi="Arial" w:cs="Arial"/>
          <w:lang w:val="es-ES_tradnl"/>
        </w:rPr>
        <w:t xml:space="preserve">Estimada Señora </w:t>
      </w:r>
      <w:proofErr w:type="spellStart"/>
      <w:r w:rsidRPr="00551222">
        <w:rPr>
          <w:rFonts w:ascii="Arial" w:hAnsi="Arial" w:cs="Arial"/>
          <w:bCs/>
          <w:lang w:val="es-ES_tradnl"/>
        </w:rPr>
        <w:t>Pening</w:t>
      </w:r>
      <w:proofErr w:type="spellEnd"/>
      <w:r w:rsidRPr="00551222">
        <w:rPr>
          <w:rFonts w:ascii="Arial" w:hAnsi="Arial" w:cs="Arial"/>
          <w:bCs/>
          <w:lang w:val="es-ES_tradnl"/>
        </w:rPr>
        <w:t xml:space="preserve"> Gaviria</w:t>
      </w:r>
      <w:r w:rsidRPr="00551222">
        <w:rPr>
          <w:rFonts w:ascii="Arial" w:hAnsi="Arial" w:cs="Arial"/>
          <w:lang w:val="es-ES_tradnl"/>
        </w:rPr>
        <w:t xml:space="preserve">,   </w:t>
      </w:r>
    </w:p>
    <w:p w14:paraId="0D758F45" w14:textId="77777777" w:rsidR="00551222" w:rsidRPr="00551222" w:rsidRDefault="00551222" w:rsidP="00551222">
      <w:pPr>
        <w:spacing w:after="0" w:line="276" w:lineRule="auto"/>
        <w:contextualSpacing/>
        <w:rPr>
          <w:rFonts w:ascii="Arial" w:hAnsi="Arial" w:cs="Arial"/>
          <w:lang w:val="es-ES_tradnl"/>
        </w:rPr>
      </w:pPr>
    </w:p>
    <w:p w14:paraId="72060A5A" w14:textId="77777777" w:rsidR="00551222" w:rsidRPr="00551222" w:rsidRDefault="00551222" w:rsidP="00551222">
      <w:pPr>
        <w:spacing w:after="0" w:line="276" w:lineRule="auto"/>
        <w:ind w:right="51"/>
        <w:contextualSpacing/>
        <w:jc w:val="both"/>
        <w:rPr>
          <w:rFonts w:ascii="Arial" w:eastAsia="Calibri" w:hAnsi="Arial" w:cs="Arial"/>
          <w:lang w:val="es-MX"/>
        </w:rPr>
      </w:pPr>
      <w:r w:rsidRPr="0055122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del 27 de marzo de 2023. </w:t>
      </w:r>
      <w:r w:rsidRPr="00551222">
        <w:rPr>
          <w:rFonts w:ascii="Arial" w:eastAsia="Calibri" w:hAnsi="Arial" w:cs="Arial"/>
          <w:lang w:val="es-MX"/>
        </w:rPr>
        <w:t xml:space="preserve">     </w:t>
      </w:r>
    </w:p>
    <w:p w14:paraId="6CC8190D" w14:textId="77777777" w:rsidR="00551222" w:rsidRPr="00551222" w:rsidRDefault="00551222" w:rsidP="00551222">
      <w:pPr>
        <w:spacing w:after="0" w:line="276" w:lineRule="auto"/>
        <w:contextualSpacing/>
        <w:rPr>
          <w:rFonts w:ascii="Arial" w:hAnsi="Arial" w:cs="Arial"/>
          <w:b/>
          <w:lang w:val="es-ES_tradnl"/>
        </w:rPr>
      </w:pPr>
    </w:p>
    <w:p w14:paraId="5375F963" w14:textId="77777777" w:rsidR="00551222" w:rsidRPr="00551222" w:rsidRDefault="00551222" w:rsidP="00551222">
      <w:pPr>
        <w:spacing w:after="0" w:line="276" w:lineRule="auto"/>
        <w:contextualSpacing/>
        <w:rPr>
          <w:rFonts w:ascii="Arial" w:hAnsi="Arial" w:cs="Arial"/>
          <w:b/>
          <w:lang w:val="es-ES_tradnl"/>
        </w:rPr>
      </w:pPr>
      <w:r w:rsidRPr="00551222">
        <w:rPr>
          <w:rFonts w:ascii="Arial" w:hAnsi="Arial" w:cs="Arial"/>
          <w:b/>
          <w:lang w:val="es-ES_tradnl"/>
        </w:rPr>
        <w:t xml:space="preserve">1. Problema planteado </w:t>
      </w:r>
    </w:p>
    <w:p w14:paraId="6FED39EE" w14:textId="77777777" w:rsidR="00551222" w:rsidRPr="00551222" w:rsidRDefault="00551222" w:rsidP="00551222">
      <w:pPr>
        <w:spacing w:after="0" w:line="276" w:lineRule="auto"/>
        <w:contextualSpacing/>
        <w:jc w:val="both"/>
        <w:rPr>
          <w:rFonts w:ascii="Arial" w:hAnsi="Arial" w:cs="Arial"/>
          <w:lang w:val="es-ES_tradnl"/>
        </w:rPr>
      </w:pPr>
    </w:p>
    <w:p w14:paraId="7AD46009" w14:textId="77777777" w:rsidR="00551222" w:rsidRPr="00551222" w:rsidRDefault="00551222" w:rsidP="00551222">
      <w:pPr>
        <w:spacing w:after="0" w:line="276" w:lineRule="auto"/>
        <w:contextualSpacing/>
        <w:jc w:val="both"/>
        <w:rPr>
          <w:rFonts w:ascii="Arial" w:hAnsi="Arial" w:cs="Arial"/>
          <w:lang w:val="es-ES_tradnl"/>
        </w:rPr>
      </w:pPr>
      <w:r w:rsidRPr="00551222">
        <w:rPr>
          <w:rFonts w:ascii="Arial" w:hAnsi="Arial" w:cs="Arial"/>
          <w:lang w:val="es-ES_tradnl"/>
        </w:rPr>
        <w:t xml:space="preserve">Respecto de la Ley de Garantías Electorales, usted formula la siguiente consulta: </w:t>
      </w:r>
    </w:p>
    <w:p w14:paraId="40752DC9" w14:textId="77777777" w:rsidR="00551222" w:rsidRPr="00551222" w:rsidRDefault="00551222" w:rsidP="00551222">
      <w:pPr>
        <w:spacing w:after="0" w:line="276" w:lineRule="auto"/>
        <w:contextualSpacing/>
        <w:jc w:val="both"/>
        <w:rPr>
          <w:rFonts w:ascii="Arial" w:hAnsi="Arial" w:cs="Arial"/>
          <w:lang w:val="es-ES_tradnl"/>
        </w:rPr>
      </w:pPr>
    </w:p>
    <w:p w14:paraId="6A6A3CE0" w14:textId="77777777" w:rsidR="00551222" w:rsidRPr="00551222" w:rsidRDefault="00551222" w:rsidP="00551222">
      <w:pPr>
        <w:spacing w:after="0" w:line="240" w:lineRule="auto"/>
        <w:ind w:left="709" w:right="709"/>
        <w:contextualSpacing/>
        <w:jc w:val="both"/>
        <w:rPr>
          <w:rFonts w:ascii="Arial" w:hAnsi="Arial" w:cs="Arial"/>
          <w:sz w:val="21"/>
          <w:szCs w:val="21"/>
          <w:lang w:val="es-ES_tradnl"/>
        </w:rPr>
      </w:pPr>
      <w:r w:rsidRPr="00551222">
        <w:rPr>
          <w:rFonts w:ascii="Arial" w:hAnsi="Arial" w:cs="Arial"/>
          <w:sz w:val="21"/>
          <w:szCs w:val="21"/>
          <w:lang w:val="es-ES_tradnl"/>
        </w:rPr>
        <w:t>“Teniendo en cuenta la expedición de la Resolución No. 28229 del 14 de octubre de 2022 por parte de la Registraduría Nacional del Estado Civil, a través de la cual se estableció el calendario electoral para llevar a cabo las elecciones de autoridades territoriales: gobernadores, alcaldes, diputados, concejales, ediles y miembros de las juntas administradoras locales (cuando aplique), el 29 de octubre de 2023 y toda vez</w:t>
      </w:r>
    </w:p>
    <w:p w14:paraId="08AE5ACF" w14:textId="77777777" w:rsidR="00551222" w:rsidRPr="00551222" w:rsidRDefault="00551222" w:rsidP="00551222">
      <w:pPr>
        <w:spacing w:after="0" w:line="240" w:lineRule="auto"/>
        <w:ind w:left="709" w:right="709"/>
        <w:contextualSpacing/>
        <w:jc w:val="both"/>
        <w:rPr>
          <w:rFonts w:ascii="Arial" w:hAnsi="Arial" w:cs="Arial"/>
          <w:sz w:val="21"/>
          <w:szCs w:val="21"/>
          <w:lang w:val="es-ES_tradnl"/>
        </w:rPr>
      </w:pPr>
      <w:r w:rsidRPr="00551222">
        <w:rPr>
          <w:rFonts w:ascii="Arial" w:hAnsi="Arial" w:cs="Arial"/>
          <w:sz w:val="21"/>
          <w:szCs w:val="21"/>
          <w:lang w:val="es-ES_tradnl"/>
        </w:rPr>
        <w:t>que mediante el parágrafo único del artículo 38 de la Ley 996 de 2005, se establecieron restricciones en materia de nómina y celebración de contratos y convenios interadministrativos dentro de los cuatro meses anteriores a la celebración de las elecciones.</w:t>
      </w:r>
    </w:p>
    <w:p w14:paraId="23DE6D39" w14:textId="77777777" w:rsidR="00551222" w:rsidRPr="00551222" w:rsidRDefault="00551222" w:rsidP="00551222">
      <w:pPr>
        <w:spacing w:after="0" w:line="240" w:lineRule="auto"/>
        <w:ind w:left="709" w:right="709"/>
        <w:contextualSpacing/>
        <w:jc w:val="both"/>
        <w:rPr>
          <w:rFonts w:ascii="Arial" w:hAnsi="Arial" w:cs="Arial"/>
          <w:sz w:val="21"/>
          <w:szCs w:val="21"/>
          <w:lang w:val="es-ES_tradnl"/>
        </w:rPr>
      </w:pPr>
    </w:p>
    <w:p w14:paraId="2710FC20" w14:textId="77777777" w:rsidR="00551222" w:rsidRPr="00551222" w:rsidRDefault="00551222" w:rsidP="00551222">
      <w:pPr>
        <w:spacing w:after="0" w:line="240" w:lineRule="auto"/>
        <w:ind w:left="709" w:right="709"/>
        <w:contextualSpacing/>
        <w:jc w:val="both"/>
        <w:rPr>
          <w:rFonts w:ascii="Arial" w:hAnsi="Arial" w:cs="Arial"/>
          <w:sz w:val="21"/>
          <w:szCs w:val="21"/>
          <w:lang w:val="es-ES_tradnl"/>
        </w:rPr>
      </w:pPr>
      <w:proofErr w:type="gramStart"/>
      <w:r w:rsidRPr="00551222">
        <w:rPr>
          <w:rFonts w:ascii="Arial" w:hAnsi="Arial" w:cs="Arial"/>
          <w:sz w:val="21"/>
          <w:szCs w:val="21"/>
          <w:lang w:val="es-ES_tradnl"/>
        </w:rPr>
        <w:t>Cuál es la fecha límite para la celebración de contratos y convenios interadministrativos, así como realizar movimientos en la nómina?</w:t>
      </w:r>
      <w:proofErr w:type="gramEnd"/>
      <w:r w:rsidRPr="00551222">
        <w:rPr>
          <w:rFonts w:ascii="Arial" w:hAnsi="Arial" w:cs="Arial"/>
          <w:sz w:val="21"/>
          <w:szCs w:val="21"/>
          <w:lang w:val="es-ES_tradnl"/>
        </w:rPr>
        <w:t xml:space="preserve"> lo anterior en el entendido que la norma señala que son 4 meses anteriores a la jornada de las elecciones”.</w:t>
      </w:r>
    </w:p>
    <w:p w14:paraId="51A517FD" w14:textId="77777777" w:rsidR="00551222" w:rsidRPr="00551222" w:rsidRDefault="00551222" w:rsidP="00551222">
      <w:pPr>
        <w:spacing w:after="0" w:line="276" w:lineRule="auto"/>
        <w:ind w:left="567" w:right="788"/>
        <w:contextualSpacing/>
        <w:jc w:val="both"/>
        <w:rPr>
          <w:rFonts w:ascii="Arial" w:hAnsi="Arial" w:cs="Arial"/>
          <w:sz w:val="21"/>
          <w:szCs w:val="21"/>
          <w:lang w:val="es-ES_tradnl"/>
        </w:rPr>
      </w:pPr>
    </w:p>
    <w:p w14:paraId="45961FE0" w14:textId="77777777" w:rsidR="00551222" w:rsidRPr="00551222" w:rsidRDefault="00551222" w:rsidP="00551222">
      <w:pPr>
        <w:spacing w:after="0" w:line="276" w:lineRule="auto"/>
        <w:contextualSpacing/>
        <w:rPr>
          <w:rFonts w:ascii="Arial" w:hAnsi="Arial" w:cs="Arial"/>
          <w:b/>
          <w:lang w:val="es-ES_tradnl"/>
        </w:rPr>
      </w:pPr>
      <w:r w:rsidRPr="00551222">
        <w:rPr>
          <w:rFonts w:ascii="Arial" w:hAnsi="Arial" w:cs="Arial"/>
          <w:b/>
          <w:lang w:val="es-ES_tradnl"/>
        </w:rPr>
        <w:t xml:space="preserve">2. Consideraciones </w:t>
      </w:r>
    </w:p>
    <w:p w14:paraId="2B519B7C" w14:textId="77777777" w:rsidR="00551222" w:rsidRPr="00551222" w:rsidRDefault="00551222" w:rsidP="00551222">
      <w:pPr>
        <w:spacing w:after="0" w:line="276" w:lineRule="auto"/>
        <w:contextualSpacing/>
        <w:jc w:val="both"/>
        <w:rPr>
          <w:rFonts w:ascii="Arial" w:hAnsi="Arial" w:cs="Arial"/>
          <w:bCs/>
          <w:lang w:val="es-ES"/>
        </w:rPr>
      </w:pPr>
    </w:p>
    <w:p w14:paraId="74C6A5FB" w14:textId="77777777" w:rsidR="00551222" w:rsidRPr="00551222" w:rsidRDefault="00551222" w:rsidP="00551222">
      <w:pPr>
        <w:spacing w:after="120" w:line="276" w:lineRule="auto"/>
        <w:jc w:val="both"/>
        <w:rPr>
          <w:rFonts w:ascii="Arial" w:hAnsi="Arial" w:cs="Arial"/>
          <w:bCs/>
          <w:lang w:val="es-ES"/>
        </w:rPr>
      </w:pPr>
      <w:r w:rsidRPr="00551222">
        <w:rPr>
          <w:rFonts w:ascii="Arial" w:hAnsi="Arial" w:cs="Arial"/>
          <w:bCs/>
          <w:lang w:val="es-ES"/>
        </w:rPr>
        <w:t xml:space="preserve">Con el fin de atender su solicitud de consulta, esta Subdirección analizará los siguientes temas: </w:t>
      </w:r>
      <w:r w:rsidRPr="00551222">
        <w:rPr>
          <w:rFonts w:ascii="Arial" w:hAnsi="Arial" w:cs="Arial"/>
          <w:bCs/>
          <w:lang w:val="es-MX"/>
        </w:rPr>
        <w:t xml:space="preserve">i) definición y finalidad de la Ley de Garantías Electorales y; </w:t>
      </w:r>
      <w:proofErr w:type="spellStart"/>
      <w:r w:rsidRPr="00551222">
        <w:rPr>
          <w:rFonts w:ascii="Arial" w:hAnsi="Arial" w:cs="Arial"/>
          <w:bCs/>
          <w:lang w:val="es-MX"/>
        </w:rPr>
        <w:t>ii</w:t>
      </w:r>
      <w:proofErr w:type="spellEnd"/>
      <w:r w:rsidRPr="00551222">
        <w:rPr>
          <w:rFonts w:ascii="Arial" w:hAnsi="Arial" w:cs="Arial"/>
          <w:bCs/>
          <w:lang w:val="es-MX"/>
        </w:rPr>
        <w:t xml:space="preserve">) restricciones en los comicios para cargos de elección popular. </w:t>
      </w:r>
    </w:p>
    <w:p w14:paraId="03DA8865" w14:textId="77777777" w:rsidR="00551222" w:rsidRPr="00551222" w:rsidRDefault="00551222" w:rsidP="00551222">
      <w:pPr>
        <w:tabs>
          <w:tab w:val="left" w:pos="426"/>
        </w:tabs>
        <w:spacing w:after="0" w:line="276" w:lineRule="auto"/>
        <w:ind w:firstLine="709"/>
        <w:jc w:val="both"/>
        <w:rPr>
          <w:rFonts w:ascii="Arial" w:eastAsia="Calibri" w:hAnsi="Arial" w:cs="Arial"/>
          <w:lang w:val="es-ES_tradnl"/>
        </w:rPr>
      </w:pPr>
      <w:bookmarkStart w:id="1" w:name="_Hlk96420693"/>
      <w:r w:rsidRPr="00551222">
        <w:rPr>
          <w:rFonts w:ascii="Arial" w:eastAsia="Calibri" w:hAnsi="Arial" w:cs="Arial"/>
          <w:lang w:val="es-ES_tradnl"/>
        </w:rPr>
        <w:t xml:space="preserve">La Agencia Nacional de Contratación Pública – Colombia Compra Eficiente ha impartido lineamientos sobre la aplicación de la Ley 996 de 2005, entre otros, mediante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w:t>
      </w:r>
      <w:r w:rsidRPr="00551222">
        <w:rPr>
          <w:rFonts w:ascii="Arial" w:eastAsia="Calibri" w:hAnsi="Arial" w:cs="Arial"/>
          <w:lang w:val="es-ES_tradnl"/>
        </w:rPr>
        <w:lastRenderedPageBreak/>
        <w:t xml:space="preserve">de 2021, C-634 del 11 de noviembre de 2021, C-636 del 16 de noviembre de 2021, C-674 del 6 de diciembre de 2021, C-677 del 4 de diciembre de 2021, C-695 del 22 de diciembre de 2021, C-699 del 6 de enero de 2022, C-700 del 6 de enero de 2021, C-723 del 28 de diciembre de 2021, </w:t>
      </w:r>
      <w:r w:rsidRPr="00551222">
        <w:rPr>
          <w:rFonts w:ascii="Arial" w:eastAsia="Calibri" w:hAnsi="Arial" w:cs="Arial"/>
          <w:bCs/>
          <w:lang w:val="es-MX"/>
        </w:rPr>
        <w:t>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 C-164 del 22 de marzo de 2022, C-608 del 23 de septiembre de 2022 y C-049 del 13 de abril de 2023</w:t>
      </w:r>
      <w:bookmarkEnd w:id="1"/>
      <w:r w:rsidRPr="00551222">
        <w:rPr>
          <w:rFonts w:ascii="Arial" w:eastAsia="Calibri" w:hAnsi="Arial" w:cs="Arial"/>
          <w:vertAlign w:val="superscript"/>
          <w:lang w:val="es-ES" w:eastAsia="es-ES"/>
        </w:rPr>
        <w:footnoteReference w:id="2"/>
      </w:r>
      <w:r w:rsidRPr="00551222">
        <w:rPr>
          <w:rFonts w:ascii="Arial" w:eastAsia="Calibri" w:hAnsi="Arial" w:cs="Arial"/>
          <w:lang w:val="es-ES" w:eastAsia="es-ES"/>
        </w:rPr>
        <w:t>. La tesis expuesta en estos conceptos se reitera y se complementa en lo pertinente en el presente escrito.</w:t>
      </w:r>
    </w:p>
    <w:p w14:paraId="71AF480E" w14:textId="77777777" w:rsidR="00551222" w:rsidRPr="00551222" w:rsidRDefault="00551222" w:rsidP="00551222">
      <w:pPr>
        <w:tabs>
          <w:tab w:val="left" w:pos="426"/>
        </w:tabs>
        <w:spacing w:after="0" w:line="276" w:lineRule="auto"/>
        <w:contextualSpacing/>
        <w:jc w:val="both"/>
        <w:rPr>
          <w:rFonts w:ascii="Arial" w:eastAsia="Calibri" w:hAnsi="Arial" w:cs="Arial"/>
          <w:lang w:val="es-ES_tradnl"/>
        </w:rPr>
      </w:pPr>
    </w:p>
    <w:p w14:paraId="6C6C3838" w14:textId="77777777" w:rsidR="00551222" w:rsidRPr="00551222" w:rsidRDefault="00551222" w:rsidP="00551222">
      <w:pPr>
        <w:tabs>
          <w:tab w:val="left" w:pos="426"/>
        </w:tabs>
        <w:spacing w:after="0" w:line="276" w:lineRule="auto"/>
        <w:contextualSpacing/>
        <w:jc w:val="both"/>
        <w:rPr>
          <w:rFonts w:ascii="Arial" w:eastAsia="Calibri" w:hAnsi="Arial" w:cs="Arial"/>
          <w:b/>
          <w:bCs/>
          <w:lang w:val="es-MX"/>
        </w:rPr>
      </w:pPr>
      <w:r w:rsidRPr="00551222">
        <w:rPr>
          <w:rFonts w:ascii="Arial" w:eastAsia="Calibri" w:hAnsi="Arial" w:cs="Arial"/>
          <w:b/>
          <w:bCs/>
          <w:lang w:val="es-MX"/>
        </w:rPr>
        <w:t>2.1. Definición y finalidad de la Ley de Garantías Electorales: alcance de las restricciones</w:t>
      </w:r>
    </w:p>
    <w:p w14:paraId="0EB5B55B" w14:textId="77777777" w:rsidR="00551222" w:rsidRPr="00551222" w:rsidRDefault="00551222" w:rsidP="00551222">
      <w:pPr>
        <w:tabs>
          <w:tab w:val="left" w:pos="426"/>
        </w:tabs>
        <w:spacing w:after="0" w:line="276" w:lineRule="auto"/>
        <w:ind w:firstLine="709"/>
        <w:contextualSpacing/>
        <w:jc w:val="both"/>
        <w:rPr>
          <w:rFonts w:ascii="Arial" w:eastAsia="Calibri" w:hAnsi="Arial" w:cs="Arial"/>
          <w:bCs/>
          <w:lang w:val="es-MX"/>
        </w:rPr>
      </w:pPr>
    </w:p>
    <w:p w14:paraId="6BFB2505" w14:textId="77777777" w:rsidR="00551222" w:rsidRPr="00551222" w:rsidRDefault="00551222" w:rsidP="00551222">
      <w:pPr>
        <w:tabs>
          <w:tab w:val="left" w:pos="426"/>
        </w:tabs>
        <w:spacing w:after="120" w:line="276" w:lineRule="auto"/>
        <w:jc w:val="both"/>
        <w:rPr>
          <w:rFonts w:ascii="Arial" w:hAnsi="Arial" w:cs="Arial"/>
          <w:bCs/>
          <w:lang w:val="es-MX" w:eastAsia="es-CO"/>
        </w:rPr>
      </w:pPr>
      <w:r w:rsidRPr="00551222">
        <w:rPr>
          <w:rFonts w:ascii="Arial" w:eastAsia="Calibri" w:hAnsi="Arial" w:cs="Arial"/>
          <w:bCs/>
          <w:lang w:val="es-MX"/>
        </w:rPr>
        <w:t>El ordenamiento jurídico colombiano contempla previsiones claras para evitar la obtención de beneficios personales en asuntos propios de la administración pública</w:t>
      </w:r>
      <w:r w:rsidRPr="00551222">
        <w:rPr>
          <w:rFonts w:ascii="Arial" w:eastAsia="Calibri" w:hAnsi="Arial" w:cs="Arial"/>
          <w:bCs/>
          <w:i/>
          <w:iCs/>
          <w:lang w:val="es-MX"/>
        </w:rPr>
        <w:t xml:space="preserve">. </w:t>
      </w:r>
      <w:r w:rsidRPr="00551222">
        <w:rPr>
          <w:rFonts w:ascii="Arial" w:eastAsia="Calibri" w:hAnsi="Arial" w:cs="Arial"/>
          <w:bCs/>
          <w:lang w:val="es-MX"/>
        </w:rPr>
        <w:t>Por ejemplo, el artículo 127 de la Constitución Política establece una prohibición contractual a los servidores públicos y en cuanto a aspectos políticos consagra restricciones a ciertos empleados del Estado, incluso en época no electoral</w:t>
      </w:r>
      <w:r w:rsidRPr="00551222">
        <w:rPr>
          <w:rFonts w:ascii="Arial" w:eastAsia="Calibri" w:hAnsi="Arial" w:cs="Arial"/>
          <w:bCs/>
          <w:vertAlign w:val="superscript"/>
          <w:lang w:val="es-MX"/>
        </w:rPr>
        <w:footnoteReference w:id="3"/>
      </w:r>
      <w:r w:rsidRPr="00551222">
        <w:rPr>
          <w:rFonts w:ascii="Arial" w:eastAsia="Calibri" w:hAnsi="Arial" w:cs="Arial"/>
          <w:bCs/>
          <w:lang w:val="es-MX"/>
        </w:rPr>
        <w:t xml:space="preserve">. </w:t>
      </w:r>
    </w:p>
    <w:p w14:paraId="1CC81D2A" w14:textId="77777777" w:rsidR="00551222" w:rsidRPr="00551222" w:rsidRDefault="00551222" w:rsidP="00551222">
      <w:pPr>
        <w:tabs>
          <w:tab w:val="left" w:pos="426"/>
        </w:tabs>
        <w:spacing w:after="0" w:line="276" w:lineRule="auto"/>
        <w:ind w:firstLine="709"/>
        <w:jc w:val="both"/>
        <w:rPr>
          <w:rFonts w:ascii="Arial" w:hAnsi="Arial" w:cs="Arial"/>
          <w:bCs/>
          <w:lang w:val="es-MX" w:eastAsia="es-CO"/>
        </w:rPr>
      </w:pPr>
      <w:r w:rsidRPr="00551222">
        <w:rPr>
          <w:rFonts w:ascii="Arial" w:hAnsi="Arial" w:cs="Arial"/>
          <w:bCs/>
          <w:lang w:val="es-MX" w:eastAsia="es-CO"/>
        </w:rPr>
        <w:t xml:space="preserve">En el mismo sentido, </w:t>
      </w:r>
      <w:bookmarkStart w:id="2" w:name="_Hlk99576829"/>
      <w:r w:rsidRPr="00551222">
        <w:rPr>
          <w:rFonts w:ascii="Arial"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51222">
        <w:rPr>
          <w:rFonts w:ascii="Arial" w:hAnsi="Arial" w:cs="Arial"/>
          <w:bCs/>
          <w:vertAlign w:val="superscript"/>
          <w:lang w:val="es-MX" w:eastAsia="es-CO"/>
        </w:rPr>
        <w:footnoteReference w:id="4"/>
      </w:r>
      <w:r w:rsidRPr="00551222">
        <w:rPr>
          <w:rFonts w:ascii="Arial" w:hAnsi="Arial" w:cs="Arial"/>
          <w:bCs/>
          <w:lang w:val="es-MX" w:eastAsia="es-CO"/>
        </w:rPr>
        <w:t xml:space="preserve">. En esta medida, introduce limitaciones para realizar nombramientos, postulaciones, contrataciones o </w:t>
      </w:r>
      <w:r w:rsidRPr="00551222">
        <w:rPr>
          <w:rFonts w:ascii="Arial" w:hAnsi="Arial" w:cs="Arial"/>
          <w:bCs/>
          <w:lang w:val="es-MX" w:eastAsia="es-CO"/>
        </w:rPr>
        <w:lastRenderedPageBreak/>
        <w:t>cualquier otro tipo de actividad que implique destinación de recursos públicos bajo el devenir propio de las entidades estatales.</w:t>
      </w:r>
      <w:r w:rsidRPr="00551222">
        <w:rPr>
          <w:rFonts w:ascii="Arial" w:eastAsia="Calibri" w:hAnsi="Arial" w:cs="Arial"/>
          <w:noProof/>
          <w:lang w:val="es-ES_tradnl"/>
        </w:rPr>
        <w:t xml:space="preserve"> </w:t>
      </w:r>
      <w:bookmarkEnd w:id="2"/>
      <w:r w:rsidRPr="00551222">
        <w:rPr>
          <w:rFonts w:ascii="Arial" w:hAnsi="Arial" w:cs="Arial"/>
          <w:bCs/>
          <w:lang w:val="es-MX" w:eastAsia="es-CO"/>
        </w:rPr>
        <w:t>En armonía con lo anterior, la Corte Constitucional ha abordado la definición de la Ley de Garantías Electorales. De esta manera, explica que tiene como propósito:</w:t>
      </w:r>
    </w:p>
    <w:p w14:paraId="4413A0E9" w14:textId="77777777" w:rsidR="00551222" w:rsidRPr="00551222" w:rsidRDefault="00551222" w:rsidP="00551222">
      <w:pPr>
        <w:spacing w:after="0" w:line="276" w:lineRule="auto"/>
        <w:ind w:right="709"/>
        <w:contextualSpacing/>
        <w:jc w:val="both"/>
        <w:rPr>
          <w:rFonts w:ascii="Arial" w:hAnsi="Arial" w:cs="Arial"/>
          <w:color w:val="FF0000"/>
          <w:lang w:val="es-ES" w:eastAsia="es-CO"/>
        </w:rPr>
      </w:pPr>
    </w:p>
    <w:p w14:paraId="4010DD84"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sz w:val="21"/>
          <w:szCs w:val="21"/>
          <w:lang w:val="es-ES" w:eastAsia="es-CO"/>
        </w:rPr>
        <w:t xml:space="preserve">“[…] </w:t>
      </w:r>
      <w:r w:rsidRPr="00551222">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620EE6BF"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p>
    <w:p w14:paraId="70B70666"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 xml:space="preserve">[…] </w:t>
      </w:r>
    </w:p>
    <w:p w14:paraId="387D6F2A" w14:textId="77777777" w:rsidR="00551222" w:rsidRPr="00551222" w:rsidRDefault="00551222" w:rsidP="00551222">
      <w:pPr>
        <w:spacing w:after="0" w:line="240" w:lineRule="auto"/>
        <w:ind w:right="709"/>
        <w:contextualSpacing/>
        <w:jc w:val="both"/>
        <w:rPr>
          <w:rFonts w:ascii="Arial" w:hAnsi="Arial" w:cs="Arial"/>
          <w:bCs/>
          <w:sz w:val="21"/>
          <w:szCs w:val="21"/>
          <w:lang w:val="es-MX" w:eastAsia="es-CO"/>
        </w:rPr>
      </w:pPr>
    </w:p>
    <w:p w14:paraId="3F1E7EB1"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51222">
        <w:rPr>
          <w:rFonts w:ascii="Arial" w:eastAsia="Calibri" w:hAnsi="Arial" w:cs="Arial"/>
          <w:sz w:val="21"/>
          <w:szCs w:val="21"/>
          <w:vertAlign w:val="superscript"/>
          <w:lang w:val="es-MX"/>
        </w:rPr>
        <w:footnoteReference w:id="5"/>
      </w:r>
      <w:r w:rsidRPr="00551222">
        <w:rPr>
          <w:rFonts w:ascii="Arial" w:hAnsi="Arial" w:cs="Arial"/>
          <w:bCs/>
          <w:sz w:val="21"/>
          <w:szCs w:val="21"/>
          <w:lang w:val="es-MX" w:eastAsia="es-CO"/>
        </w:rPr>
        <w:t>.</w:t>
      </w:r>
    </w:p>
    <w:p w14:paraId="0FEF1D60" w14:textId="77777777" w:rsidR="00551222" w:rsidRPr="00551222" w:rsidRDefault="00551222" w:rsidP="00551222">
      <w:pPr>
        <w:spacing w:after="0" w:line="276" w:lineRule="auto"/>
        <w:ind w:left="708" w:right="709"/>
        <w:contextualSpacing/>
        <w:jc w:val="both"/>
        <w:rPr>
          <w:rFonts w:ascii="Arial" w:hAnsi="Arial" w:cs="Arial"/>
          <w:bCs/>
          <w:lang w:val="es-MX" w:eastAsia="es-CO"/>
        </w:rPr>
      </w:pPr>
    </w:p>
    <w:p w14:paraId="6346B3E1" w14:textId="77777777" w:rsidR="00551222" w:rsidRPr="00551222" w:rsidRDefault="00551222" w:rsidP="00551222">
      <w:pPr>
        <w:spacing w:after="0" w:line="276" w:lineRule="auto"/>
        <w:ind w:firstLine="709"/>
        <w:contextualSpacing/>
        <w:jc w:val="both"/>
        <w:rPr>
          <w:rFonts w:ascii="Arial" w:hAnsi="Arial" w:cs="Arial"/>
          <w:bCs/>
          <w:lang w:val="es-MX" w:eastAsia="es-CO"/>
        </w:rPr>
      </w:pPr>
      <w:bookmarkStart w:id="3" w:name="_Hlk78818186"/>
      <w:r w:rsidRPr="00551222">
        <w:rPr>
          <w:rFonts w:ascii="Arial"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3"/>
      <w:r w:rsidRPr="00551222">
        <w:rPr>
          <w:rFonts w:ascii="Arial"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2A6FADEF" w14:textId="77777777" w:rsidR="00551222" w:rsidRPr="00551222" w:rsidRDefault="00551222" w:rsidP="00551222">
      <w:pPr>
        <w:spacing w:after="0" w:line="276" w:lineRule="auto"/>
        <w:ind w:firstLine="709"/>
        <w:contextualSpacing/>
        <w:jc w:val="both"/>
        <w:rPr>
          <w:rFonts w:ascii="Arial" w:hAnsi="Arial" w:cs="Arial"/>
          <w:bCs/>
          <w:lang w:val="es-MX" w:eastAsia="es-CO"/>
        </w:rPr>
      </w:pPr>
    </w:p>
    <w:p w14:paraId="19707295"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51222">
        <w:rPr>
          <w:rFonts w:ascii="Arial" w:hAnsi="Arial" w:cs="Arial"/>
          <w:bCs/>
          <w:sz w:val="21"/>
          <w:szCs w:val="21"/>
          <w:lang w:val="es-MX" w:eastAsia="es-CO"/>
        </w:rPr>
        <w:t>legis</w:t>
      </w:r>
      <w:proofErr w:type="spellEnd"/>
      <w:r w:rsidRPr="00551222">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9E87FEB"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p>
    <w:p w14:paraId="37802048"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lastRenderedPageBreak/>
        <w:t>La jurisprudencia de la Corte Constitucional</w:t>
      </w:r>
      <w:r w:rsidRPr="00551222">
        <w:rPr>
          <w:rFonts w:ascii="Arial" w:hAnsi="Arial" w:cs="Arial"/>
          <w:bCs/>
          <w:sz w:val="21"/>
          <w:szCs w:val="21"/>
          <w:vertAlign w:val="superscript"/>
          <w:lang w:val="es-MX" w:eastAsia="es-CO"/>
        </w:rPr>
        <w:footnoteReference w:id="6"/>
      </w:r>
      <w:r w:rsidRPr="00551222">
        <w:rPr>
          <w:rFonts w:ascii="Arial" w:hAnsi="Arial" w:cs="Arial"/>
          <w:bCs/>
          <w:sz w:val="21"/>
          <w:szCs w:val="21"/>
          <w:lang w:val="es-MX" w:eastAsia="es-CO"/>
        </w:rPr>
        <w:t> y del Consejo de Estado</w:t>
      </w:r>
      <w:r w:rsidRPr="00551222">
        <w:rPr>
          <w:rFonts w:ascii="Arial" w:hAnsi="Arial" w:cs="Arial"/>
          <w:bCs/>
          <w:sz w:val="21"/>
          <w:szCs w:val="21"/>
          <w:vertAlign w:val="superscript"/>
          <w:lang w:val="es-MX" w:eastAsia="es-CO"/>
        </w:rPr>
        <w:footnoteReference w:id="7"/>
      </w:r>
      <w:r w:rsidRPr="00551222">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51222">
        <w:rPr>
          <w:rFonts w:ascii="Arial" w:hAnsi="Arial" w:cs="Arial"/>
          <w:bCs/>
          <w:sz w:val="21"/>
          <w:szCs w:val="21"/>
          <w:vertAlign w:val="superscript"/>
          <w:lang w:val="es-MX" w:eastAsia="es-CO"/>
        </w:rPr>
        <w:footnoteReference w:id="8"/>
      </w:r>
      <w:r w:rsidRPr="00551222">
        <w:rPr>
          <w:rFonts w:ascii="Arial" w:hAnsi="Arial" w:cs="Arial"/>
          <w:bCs/>
          <w:sz w:val="21"/>
          <w:szCs w:val="21"/>
          <w:lang w:val="es-MX" w:eastAsia="es-CO"/>
        </w:rPr>
        <w:t>.</w:t>
      </w:r>
    </w:p>
    <w:p w14:paraId="49632FB1" w14:textId="77777777" w:rsidR="00551222" w:rsidRPr="00551222" w:rsidRDefault="00551222" w:rsidP="00551222">
      <w:pPr>
        <w:spacing w:after="0" w:line="276" w:lineRule="auto"/>
        <w:ind w:right="709"/>
        <w:jc w:val="both"/>
        <w:rPr>
          <w:rFonts w:ascii="Arial" w:hAnsi="Arial" w:cs="Arial"/>
          <w:bCs/>
          <w:color w:val="FF0000"/>
          <w:lang w:val="es-MX" w:eastAsia="es-CO"/>
        </w:rPr>
      </w:pPr>
    </w:p>
    <w:p w14:paraId="7D29625A" w14:textId="77777777" w:rsidR="00551222" w:rsidRPr="00551222" w:rsidRDefault="00551222" w:rsidP="00551222">
      <w:pPr>
        <w:spacing w:after="120" w:line="276" w:lineRule="auto"/>
        <w:jc w:val="both"/>
        <w:rPr>
          <w:rFonts w:ascii="Arial" w:eastAsia="Arial" w:hAnsi="Arial" w:cs="Arial"/>
          <w:lang w:val="es-ES" w:eastAsia="es-ES" w:bidi="es-ES"/>
        </w:rPr>
      </w:pPr>
      <w:r w:rsidRPr="00551222">
        <w:rPr>
          <w:rFonts w:ascii="Arial" w:hAnsi="Arial" w:cs="Arial"/>
          <w:bCs/>
          <w:color w:val="FF0000"/>
          <w:lang w:val="es-MX" w:eastAsia="es-CO"/>
        </w:rPr>
        <w:tab/>
      </w:r>
      <w:r w:rsidRPr="00551222">
        <w:rPr>
          <w:rFonts w:ascii="Arial" w:hAnsi="Arial" w:cs="Arial"/>
          <w:bCs/>
          <w:lang w:val="es-MX" w:eastAsia="es-CO"/>
        </w:rPr>
        <w:t>De</w:t>
      </w:r>
      <w:r w:rsidRPr="00551222">
        <w:rPr>
          <w:rFonts w:ascii="Arial" w:eastAsia="Arial" w:hAnsi="Arial" w:cs="Arial"/>
          <w:lang w:val="es-ES" w:eastAsia="es-ES" w:bidi="es-ES"/>
        </w:rPr>
        <w:t xml:space="preserve"> conformidad con lo anterior, </w:t>
      </w:r>
      <w:bookmarkStart w:id="4" w:name="_Hlk77236098"/>
      <w:r w:rsidRPr="00551222">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4"/>
    </w:p>
    <w:p w14:paraId="37AF1AB8" w14:textId="77777777" w:rsidR="00551222" w:rsidRPr="00551222" w:rsidRDefault="00551222" w:rsidP="00551222">
      <w:pPr>
        <w:spacing w:after="120" w:line="276" w:lineRule="auto"/>
        <w:ind w:firstLine="708"/>
        <w:jc w:val="both"/>
        <w:rPr>
          <w:rFonts w:ascii="Arial" w:eastAsia="Calibri" w:hAnsi="Arial" w:cs="Arial"/>
          <w:lang w:val="es-MX"/>
        </w:rPr>
      </w:pPr>
      <w:r w:rsidRPr="00551222">
        <w:rPr>
          <w:rFonts w:ascii="Arial" w:eastAsia="Calibri" w:hAnsi="Arial" w:cs="Arial"/>
          <w:lang w:val="es-MX"/>
        </w:rPr>
        <w:t xml:space="preserve">Por un lado, el artículo 33 de la Ley 996 de 2005 prohíbe </w:t>
      </w:r>
      <w:r w:rsidRPr="00551222">
        <w:rPr>
          <w:rFonts w:ascii="Arial" w:eastAsia="Calibri" w:hAnsi="Arial" w:cs="Arial"/>
          <w:bCs/>
          <w:lang w:val="es-MX"/>
        </w:rPr>
        <w:t xml:space="preserve">“[…] </w:t>
      </w:r>
      <w:r w:rsidRPr="00551222">
        <w:rPr>
          <w:rFonts w:ascii="Arial" w:eastAsia="Calibri" w:hAnsi="Arial" w:cs="Arial"/>
          <w:lang w:val="es-MX"/>
        </w:rPr>
        <w:t>la contratación directa por parte de todos los entes del Estado</w:t>
      </w:r>
      <w:r w:rsidRPr="00551222">
        <w:rPr>
          <w:rFonts w:ascii="Arial" w:eastAsia="Calibri" w:hAnsi="Arial" w:cs="Arial"/>
          <w:bCs/>
          <w:lang w:val="es-MX"/>
        </w:rPr>
        <w:t>”</w:t>
      </w:r>
      <w:r w:rsidRPr="00551222">
        <w:rPr>
          <w:rFonts w:ascii="Arial" w:eastAsia="Calibri" w:hAnsi="Arial" w:cs="Arial"/>
          <w:lang w:val="es-MX"/>
        </w:rPr>
        <w:t xml:space="preserve"> durante los cuatro (4) meses anteriores a las elecciones presidenciales, salvo </w:t>
      </w:r>
      <w:r w:rsidRPr="00551222">
        <w:rPr>
          <w:rFonts w:ascii="Arial" w:eastAsia="Calibri" w:hAnsi="Arial" w:cs="Arial"/>
          <w:bCs/>
          <w:lang w:val="es-MX"/>
        </w:rPr>
        <w:t xml:space="preserve">“[…] </w:t>
      </w:r>
      <w:r w:rsidRPr="00551222">
        <w:rPr>
          <w:rFonts w:ascii="Arial" w:eastAsia="Calibri" w:hAnsi="Arial" w:cs="Arial"/>
          <w:lang w:val="es-MX"/>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51222">
        <w:rPr>
          <w:rFonts w:ascii="Arial" w:eastAsia="Calibri" w:hAnsi="Arial" w:cs="Arial"/>
          <w:bCs/>
          <w:lang w:val="es-MX"/>
        </w:rPr>
        <w:t>”</w:t>
      </w:r>
      <w:r w:rsidRPr="00551222">
        <w:rPr>
          <w:rFonts w:ascii="Arial" w:eastAsia="Calibri" w:hAnsi="Arial" w:cs="Arial"/>
          <w:bCs/>
          <w:vertAlign w:val="superscript"/>
          <w:lang w:val="es-MX"/>
        </w:rPr>
        <w:footnoteReference w:id="9"/>
      </w:r>
      <w:r w:rsidRPr="00551222">
        <w:rPr>
          <w:rFonts w:ascii="Arial" w:eastAsia="Calibri" w:hAnsi="Arial" w:cs="Arial"/>
          <w:lang w:val="es-MX"/>
        </w:rPr>
        <w:t>.</w:t>
      </w:r>
    </w:p>
    <w:p w14:paraId="53A0E0C8" w14:textId="77777777" w:rsidR="00551222" w:rsidRPr="00551222" w:rsidRDefault="00551222" w:rsidP="00551222">
      <w:pPr>
        <w:widowControl w:val="0"/>
        <w:autoSpaceDE w:val="0"/>
        <w:autoSpaceDN w:val="0"/>
        <w:spacing w:after="120" w:line="276" w:lineRule="auto"/>
        <w:ind w:right="113" w:firstLine="708"/>
        <w:jc w:val="both"/>
        <w:rPr>
          <w:rFonts w:ascii="Arial" w:eastAsia="Arial" w:hAnsi="Arial" w:cs="Arial"/>
          <w:lang w:val="es-ES" w:eastAsia="es-ES" w:bidi="es-ES"/>
        </w:rPr>
      </w:pPr>
      <w:r w:rsidRPr="00551222">
        <w:rPr>
          <w:rFonts w:ascii="Arial" w:eastAsia="Calibri" w:hAnsi="Arial" w:cs="Arial"/>
          <w:lang w:val="es-MX"/>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51222">
        <w:rPr>
          <w:rFonts w:ascii="Arial" w:eastAsia="Calibri" w:hAnsi="Arial" w:cs="Arial"/>
          <w:bCs/>
          <w:lang w:val="es-MX"/>
        </w:rPr>
        <w:t xml:space="preserve">“[…] </w:t>
      </w:r>
      <w:r w:rsidRPr="0055122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51222">
        <w:rPr>
          <w:rFonts w:ascii="Arial" w:eastAsia="Calibri" w:hAnsi="Arial" w:cs="Arial"/>
          <w:bCs/>
          <w:lang w:val="es-MX"/>
        </w:rPr>
        <w:t>”</w:t>
      </w:r>
      <w:r w:rsidRPr="00551222">
        <w:rPr>
          <w:rFonts w:ascii="Arial" w:eastAsia="Calibri" w:hAnsi="Arial" w:cs="Arial"/>
          <w:bCs/>
          <w:vertAlign w:val="superscript"/>
          <w:lang w:val="es-MX"/>
        </w:rPr>
        <w:footnoteReference w:id="10"/>
      </w:r>
      <w:r w:rsidRPr="00551222">
        <w:rPr>
          <w:rFonts w:ascii="Arial" w:eastAsia="Calibri" w:hAnsi="Arial" w:cs="Arial"/>
          <w:lang w:val="es-MX"/>
        </w:rPr>
        <w:t>.</w:t>
      </w:r>
      <w:r w:rsidRPr="00551222">
        <w:rPr>
          <w:rFonts w:ascii="Arial" w:eastAsia="Arial" w:hAnsi="Arial" w:cs="Arial"/>
          <w:lang w:val="es-ES" w:eastAsia="es-ES" w:bidi="es-ES"/>
        </w:rPr>
        <w:t xml:space="preserve"> </w:t>
      </w:r>
    </w:p>
    <w:p w14:paraId="5DDC2DA0" w14:textId="77777777" w:rsidR="00551222" w:rsidRPr="00551222" w:rsidRDefault="00551222" w:rsidP="00551222">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sidRPr="00551222">
        <w:rPr>
          <w:rFonts w:ascii="Arial" w:eastAsia="Arial" w:hAnsi="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62CF2C37" w14:textId="77777777" w:rsidR="00551222" w:rsidRPr="00551222" w:rsidRDefault="00551222" w:rsidP="00551222">
      <w:pPr>
        <w:widowControl w:val="0"/>
        <w:autoSpaceDE w:val="0"/>
        <w:autoSpaceDN w:val="0"/>
        <w:spacing w:after="0" w:line="276" w:lineRule="auto"/>
        <w:ind w:left="805" w:right="811"/>
        <w:contextualSpacing/>
        <w:jc w:val="both"/>
        <w:rPr>
          <w:rFonts w:ascii="Arial" w:eastAsia="Arial" w:hAnsi="Arial" w:cs="Arial"/>
          <w:lang w:val="es-ES" w:eastAsia="es-ES" w:bidi="es-ES"/>
        </w:rPr>
      </w:pPr>
    </w:p>
    <w:p w14:paraId="40E012B2" w14:textId="77777777" w:rsidR="00551222" w:rsidRPr="00551222" w:rsidRDefault="00551222" w:rsidP="0055122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55122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7" w:name="_Hlk76109421"/>
      <w:r w:rsidRPr="00551222">
        <w:rPr>
          <w:rFonts w:ascii="Arial" w:eastAsia="Arial" w:hAnsi="Arial" w:cs="Arial"/>
          <w:sz w:val="21"/>
          <w:szCs w:val="21"/>
          <w:lang w:val="es-ES" w:eastAsia="es-ES" w:bidi="es-ES"/>
        </w:rPr>
        <w:t>se integran parcialmente</w:t>
      </w:r>
      <w:bookmarkEnd w:id="7"/>
      <w:r w:rsidRPr="0055122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51222">
        <w:rPr>
          <w:rFonts w:ascii="Arial" w:eastAsia="Arial" w:hAnsi="Arial" w:cs="Arial"/>
          <w:bCs/>
          <w:sz w:val="21"/>
          <w:szCs w:val="21"/>
          <w:lang w:val="es-ES" w:eastAsia="es-ES" w:bidi="es-ES"/>
        </w:rPr>
        <w:t xml:space="preserve">En cambio, para elecciones en general, excluyendo las correspondientes a </w:t>
      </w:r>
      <w:proofErr w:type="gramStart"/>
      <w:r w:rsidRPr="00551222">
        <w:rPr>
          <w:rFonts w:ascii="Arial" w:eastAsia="Arial" w:hAnsi="Arial" w:cs="Arial"/>
          <w:bCs/>
          <w:sz w:val="21"/>
          <w:szCs w:val="21"/>
          <w:lang w:val="es-ES" w:eastAsia="es-ES" w:bidi="es-ES"/>
        </w:rPr>
        <w:t>Presidente</w:t>
      </w:r>
      <w:proofErr w:type="gramEnd"/>
      <w:r w:rsidRPr="00551222">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551222">
        <w:rPr>
          <w:rFonts w:ascii="Arial" w:eastAsia="Arial" w:hAnsi="Arial" w:cs="Arial"/>
          <w:sz w:val="21"/>
          <w:szCs w:val="21"/>
          <w:lang w:val="es-ES" w:eastAsia="es-ES" w:bidi="es-ES"/>
        </w:rPr>
        <w:t>”.</w:t>
      </w:r>
      <w:r w:rsidRPr="00551222">
        <w:rPr>
          <w:rFonts w:ascii="Arial" w:eastAsia="Arial" w:hAnsi="Arial" w:cs="Arial"/>
          <w:sz w:val="21"/>
          <w:szCs w:val="21"/>
          <w:vertAlign w:val="superscript"/>
          <w:lang w:val="es-ES" w:eastAsia="es-ES" w:bidi="es-ES"/>
        </w:rPr>
        <w:footnoteReference w:id="11"/>
      </w:r>
    </w:p>
    <w:p w14:paraId="6F3A12E6" w14:textId="77777777" w:rsidR="00551222" w:rsidRPr="00551222" w:rsidRDefault="00551222" w:rsidP="00551222">
      <w:pPr>
        <w:widowControl w:val="0"/>
        <w:autoSpaceDE w:val="0"/>
        <w:autoSpaceDN w:val="0"/>
        <w:spacing w:after="0" w:line="276" w:lineRule="auto"/>
        <w:contextualSpacing/>
        <w:rPr>
          <w:rFonts w:ascii="Arial" w:eastAsia="Arial" w:hAnsi="Arial" w:cs="Arial"/>
          <w:lang w:val="es-ES" w:eastAsia="es-ES" w:bidi="es-ES"/>
        </w:rPr>
      </w:pPr>
    </w:p>
    <w:p w14:paraId="21F3F266" w14:textId="77777777" w:rsidR="00551222" w:rsidRPr="00551222" w:rsidRDefault="00551222" w:rsidP="00551222">
      <w:pPr>
        <w:spacing w:after="12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 xml:space="preserve">De conformidad con lo anterior, </w:t>
      </w:r>
      <w:bookmarkStart w:id="8" w:name="_Hlk77236420"/>
      <w:bookmarkStart w:id="9" w:name="_Hlk78818435"/>
      <w:bookmarkStart w:id="10" w:name="_Hlk75780333"/>
      <w:r w:rsidRPr="00551222">
        <w:rPr>
          <w:rFonts w:ascii="Arial" w:eastAsia="Arial" w:hAnsi="Arial" w:cs="Arial"/>
          <w:lang w:val="es-ES" w:eastAsia="es-ES" w:bidi="es-ES"/>
        </w:rPr>
        <w:t xml:space="preserve">la Ley 996 de 2005 establece dos (2) tipos de restricciones en materia de contratación, las cuales coinciden parcialmente. </w:t>
      </w:r>
      <w:r w:rsidRPr="00551222">
        <w:rPr>
          <w:rFonts w:ascii="Arial" w:eastAsia="Arial" w:hAnsi="Arial" w:cs="Arial"/>
          <w:i/>
          <w:iCs/>
          <w:lang w:val="es-ES" w:eastAsia="es-ES" w:bidi="es-ES"/>
        </w:rPr>
        <w:t>En primer lugar</w:t>
      </w:r>
      <w:r w:rsidRPr="0055122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w:t>
      </w:r>
      <w:r w:rsidRPr="00551222">
        <w:rPr>
          <w:rFonts w:ascii="Arial" w:eastAsia="Arial" w:hAnsi="Arial" w:cs="Arial"/>
          <w:lang w:val="es-ES" w:eastAsia="es-ES" w:bidi="es-ES"/>
        </w:rPr>
        <w:lastRenderedPageBreak/>
        <w:t xml:space="preserve">Constitución Política. Para estos efectos, la restricción se extenderá hasta la fecha en la que se realice la segunda vuelta. </w:t>
      </w:r>
      <w:r w:rsidRPr="00551222">
        <w:rPr>
          <w:rFonts w:ascii="Arial" w:eastAsia="Arial" w:hAnsi="Arial" w:cs="Arial"/>
          <w:i/>
          <w:iCs/>
          <w:lang w:val="es-ES" w:eastAsia="es-ES" w:bidi="es-ES"/>
        </w:rPr>
        <w:t>En segundo lugar</w:t>
      </w:r>
      <w:r w:rsidRPr="0055122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8"/>
    </w:p>
    <w:bookmarkEnd w:id="9"/>
    <w:p w14:paraId="26A6FBD0" w14:textId="77777777" w:rsidR="00551222" w:rsidRPr="00551222" w:rsidRDefault="00551222" w:rsidP="00551222">
      <w:pPr>
        <w:spacing w:after="12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 xml:space="preserve">Ambas restricciones no son excluyentes, lo que permite concluir que en el período preelectoral para elección de </w:t>
      </w:r>
      <w:proofErr w:type="gramStart"/>
      <w:r w:rsidRPr="00551222">
        <w:rPr>
          <w:rFonts w:ascii="Arial" w:eastAsia="Arial" w:hAnsi="Arial" w:cs="Arial"/>
          <w:lang w:val="es-ES" w:eastAsia="es-ES" w:bidi="es-ES"/>
        </w:rPr>
        <w:t>Presidente</w:t>
      </w:r>
      <w:proofErr w:type="gramEnd"/>
      <w:r w:rsidRPr="00551222">
        <w:rPr>
          <w:rFonts w:ascii="Arial" w:eastAsia="Arial" w:hAnsi="Arial" w:cs="Arial"/>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551222">
        <w:rPr>
          <w:rFonts w:ascii="Arial" w:eastAsia="Arial" w:hAnsi="Arial" w:cs="Arial"/>
          <w:lang w:val="es-ES" w:eastAsia="es-ES" w:bidi="es-ES"/>
        </w:rPr>
        <w:t>Presidente</w:t>
      </w:r>
      <w:proofErr w:type="gramEnd"/>
      <w:r w:rsidRPr="00551222">
        <w:rPr>
          <w:rFonts w:ascii="Arial" w:eastAsia="Arial" w:hAnsi="Arial" w:cs="Arial"/>
          <w:lang w:val="es-ES" w:eastAsia="es-ES" w:bidi="es-ES"/>
        </w:rPr>
        <w:t xml:space="preserve"> de la República, las autoridades allí mencionadas sólo deben aplicar las restricciones contenidas en el parágrafo del artículo 38.</w:t>
      </w:r>
    </w:p>
    <w:bookmarkEnd w:id="10"/>
    <w:p w14:paraId="6F171C59" w14:textId="77777777" w:rsidR="00551222" w:rsidRPr="00551222" w:rsidRDefault="00551222" w:rsidP="00551222">
      <w:pPr>
        <w:spacing w:after="0" w:line="276" w:lineRule="auto"/>
        <w:ind w:firstLine="709"/>
        <w:contextualSpacing/>
        <w:jc w:val="both"/>
        <w:rPr>
          <w:rFonts w:ascii="Arial" w:hAnsi="Arial" w:cs="Arial"/>
          <w:bCs/>
          <w:lang w:val="es-MX" w:eastAsia="x-none"/>
        </w:rPr>
      </w:pPr>
      <w:r w:rsidRPr="00551222">
        <w:rPr>
          <w:rFonts w:ascii="Arial" w:eastAsia="Arial" w:hAnsi="Arial" w:cs="Arial"/>
          <w:lang w:val="es-ES" w:eastAsia="es-ES" w:bidi="es-ES"/>
        </w:rPr>
        <w:t xml:space="preserve">Teniendo en cuenta el objeto de la consulta y que en </w:t>
      </w:r>
      <w:proofErr w:type="spellStart"/>
      <w:r w:rsidRPr="00551222">
        <w:rPr>
          <w:rFonts w:ascii="Arial" w:eastAsia="Arial" w:hAnsi="Arial" w:cs="Arial"/>
          <w:lang w:val="es-ES" w:eastAsia="es-ES" w:bidi="es-ES"/>
        </w:rPr>
        <w:t>le</w:t>
      </w:r>
      <w:proofErr w:type="spellEnd"/>
      <w:r w:rsidRPr="00551222">
        <w:rPr>
          <w:rFonts w:ascii="Arial" w:eastAsia="Arial" w:hAnsi="Arial" w:cs="Arial"/>
          <w:lang w:val="es-ES" w:eastAsia="es-ES" w:bidi="es-ES"/>
        </w:rPr>
        <w:t xml:space="preserve"> presente año se desarrollaran elecciones </w:t>
      </w:r>
      <w:r w:rsidRPr="00551222">
        <w:rPr>
          <w:rFonts w:ascii="Arial" w:hAnsi="Arial" w:cs="Arial"/>
          <w:lang w:val="es-ES_tradnl"/>
        </w:rPr>
        <w:t xml:space="preserve">de autoridades territoriales, tales como gobernadores, alcaldes, diputados, concejales, ediles y miembros de las juntas administradoras locales, a continuación, se analizará la prohibición contenida en el parágrafo del artículo 38 de la Ley de Garantías Electorales respecto a la celebración de contratos y convenios interadministrativos y la modificación de nóminas. </w:t>
      </w:r>
    </w:p>
    <w:p w14:paraId="64A76E9A" w14:textId="77777777" w:rsidR="00551222" w:rsidRPr="00551222" w:rsidRDefault="00551222" w:rsidP="00551222">
      <w:pPr>
        <w:spacing w:after="0" w:line="276" w:lineRule="auto"/>
        <w:ind w:firstLine="709"/>
        <w:jc w:val="both"/>
        <w:rPr>
          <w:rFonts w:ascii="Arial" w:hAnsi="Arial" w:cs="Arial"/>
          <w:bCs/>
          <w:lang w:val="es-ES_tradnl" w:eastAsia="x-none"/>
        </w:rPr>
      </w:pPr>
      <w:bookmarkStart w:id="11" w:name="_Hlk75787147"/>
    </w:p>
    <w:p w14:paraId="064AF5EC" w14:textId="77777777" w:rsidR="00551222" w:rsidRPr="00551222" w:rsidRDefault="00551222" w:rsidP="00551222">
      <w:pPr>
        <w:spacing w:after="0" w:line="276" w:lineRule="auto"/>
        <w:jc w:val="both"/>
        <w:rPr>
          <w:rFonts w:ascii="Arial" w:eastAsia="Calibri" w:hAnsi="Arial" w:cs="Arial"/>
          <w:b/>
          <w:bCs/>
          <w:lang w:val="es-MX"/>
        </w:rPr>
      </w:pPr>
      <w:bookmarkStart w:id="12" w:name="_Hlk75784645"/>
      <w:bookmarkEnd w:id="11"/>
      <w:r w:rsidRPr="00551222">
        <w:rPr>
          <w:rFonts w:ascii="Arial" w:eastAsia="Calibri" w:hAnsi="Arial" w:cs="Arial"/>
          <w:b/>
          <w:bCs/>
          <w:lang w:val="es-MX"/>
        </w:rPr>
        <w:t xml:space="preserve">2.2. </w:t>
      </w:r>
      <w:bookmarkStart w:id="13" w:name="_Hlk77153296"/>
      <w:r w:rsidRPr="00551222">
        <w:rPr>
          <w:rFonts w:ascii="Arial" w:hAnsi="Arial" w:cs="Arial"/>
          <w:b/>
          <w:bCs/>
          <w:lang w:val="es-MX" w:eastAsia="es-CO"/>
        </w:rPr>
        <w:t xml:space="preserve">Restricciones </w:t>
      </w:r>
      <w:bookmarkStart w:id="14" w:name="_Hlk75643279"/>
      <w:r w:rsidRPr="00551222">
        <w:rPr>
          <w:rFonts w:ascii="Arial" w:hAnsi="Arial" w:cs="Arial"/>
          <w:b/>
          <w:bCs/>
          <w:lang w:val="es-MX" w:eastAsia="es-CO"/>
        </w:rPr>
        <w:t xml:space="preserve">para la celebración de contratos y convenios interadministrativos y para la modificación de nóminas en los comicios para cargos de elección popular </w:t>
      </w:r>
    </w:p>
    <w:p w14:paraId="04C90866" w14:textId="77777777" w:rsidR="00551222" w:rsidRPr="00551222" w:rsidRDefault="00551222" w:rsidP="00551222">
      <w:pPr>
        <w:tabs>
          <w:tab w:val="left" w:pos="426"/>
        </w:tabs>
        <w:spacing w:after="0" w:line="276" w:lineRule="auto"/>
        <w:jc w:val="both"/>
        <w:rPr>
          <w:rFonts w:ascii="Arial" w:eastAsia="Calibri" w:hAnsi="Arial" w:cs="Arial"/>
          <w:bCs/>
          <w:lang w:val="es-MX"/>
        </w:rPr>
      </w:pPr>
      <w:bookmarkStart w:id="15" w:name="_Hlk88210558"/>
      <w:bookmarkEnd w:id="13"/>
      <w:bookmarkEnd w:id="14"/>
    </w:p>
    <w:p w14:paraId="2F53E43B" w14:textId="77777777" w:rsidR="00551222" w:rsidRPr="00551222" w:rsidRDefault="00551222" w:rsidP="00551222">
      <w:pPr>
        <w:tabs>
          <w:tab w:val="left" w:pos="426"/>
        </w:tabs>
        <w:spacing w:after="120" w:line="276" w:lineRule="auto"/>
        <w:jc w:val="both"/>
        <w:rPr>
          <w:rFonts w:ascii="Arial" w:eastAsia="Calibri" w:hAnsi="Arial" w:cs="Arial"/>
          <w:bCs/>
          <w:lang w:val="es-MX"/>
        </w:rPr>
      </w:pPr>
      <w:bookmarkStart w:id="16" w:name="_Hlk114827887"/>
      <w:r w:rsidRPr="00551222">
        <w:rPr>
          <w:rFonts w:ascii="Arial" w:eastAsia="Calibri" w:hAnsi="Arial" w:cs="Arial"/>
          <w:bCs/>
          <w:lang w:val="es-MX"/>
        </w:rPr>
        <w:t xml:space="preserve">En primer lugar, el inciso primero del parágrafo del artículo 38 de la Ley 996 de 2005 dispone que “[l]os Gobernadores, </w:t>
      </w:r>
      <w:proofErr w:type="gramStart"/>
      <w:r w:rsidRPr="00551222">
        <w:rPr>
          <w:rFonts w:ascii="Arial" w:eastAsia="Calibri" w:hAnsi="Arial" w:cs="Arial"/>
          <w:bCs/>
          <w:lang w:val="es-MX"/>
        </w:rPr>
        <w:t>Alcaldes</w:t>
      </w:r>
      <w:proofErr w:type="gramEnd"/>
      <w:r w:rsidRPr="00551222">
        <w:rPr>
          <w:rFonts w:ascii="Arial" w:eastAsia="Calibri" w:hAnsi="Arial" w:cs="Arial"/>
          <w:bCs/>
          <w:lang w:val="es-MX"/>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51222">
        <w:rPr>
          <w:rFonts w:ascii="Arial" w:hAnsi="Arial" w:cs="Arial"/>
          <w:bCs/>
          <w:iCs/>
          <w:lang w:val="es-MX" w:eastAsia="x-none"/>
        </w:rPr>
        <w:t xml:space="preserve"> </w:t>
      </w:r>
      <w:bookmarkStart w:id="17" w:name="_Hlk99578153"/>
      <w:bookmarkEnd w:id="15"/>
      <w:r w:rsidRPr="00551222">
        <w:rPr>
          <w:rFonts w:ascii="Arial"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16"/>
      <w:bookmarkEnd w:id="17"/>
      <w:r w:rsidRPr="00551222">
        <w:rPr>
          <w:rFonts w:ascii="Arial" w:hAnsi="Arial" w:cs="Arial"/>
          <w:bCs/>
          <w:iCs/>
          <w:vertAlign w:val="superscript"/>
          <w:lang w:val="es-MX" w:eastAsia="x-none"/>
        </w:rPr>
        <w:footnoteReference w:id="12"/>
      </w:r>
      <w:r w:rsidRPr="00551222">
        <w:rPr>
          <w:rFonts w:ascii="Arial" w:hAnsi="Arial" w:cs="Arial"/>
          <w:bCs/>
          <w:iCs/>
          <w:lang w:val="es-MX" w:eastAsia="x-none"/>
        </w:rPr>
        <w:t>.</w:t>
      </w:r>
      <w:r w:rsidRPr="00551222">
        <w:rPr>
          <w:rFonts w:ascii="Arial" w:eastAsia="Calibri" w:hAnsi="Arial" w:cs="Arial"/>
          <w:lang w:val="es-MX"/>
        </w:rPr>
        <w:t xml:space="preserve"> </w:t>
      </w:r>
    </w:p>
    <w:p w14:paraId="40678798"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r w:rsidRPr="00551222">
        <w:rPr>
          <w:rFonts w:ascii="Arial" w:eastAsia="Calibri" w:hAnsi="Arial" w:cs="Arial"/>
          <w:bCs/>
          <w:lang w:val="es-MX" w:eastAsia="es-ES" w:bidi="es-ES"/>
        </w:rPr>
        <w:t xml:space="preserve">Ahora bien, </w:t>
      </w:r>
      <w:bookmarkStart w:id="18" w:name="_Hlk78820161"/>
      <w:r w:rsidRPr="00551222">
        <w:rPr>
          <w:rFonts w:ascii="Arial" w:eastAsia="Calibri" w:hAnsi="Arial" w:cs="Arial"/>
          <w:bCs/>
          <w:lang w:val="es-MX" w:eastAsia="es-ES" w:bidi="es-ES"/>
        </w:rPr>
        <w:t xml:space="preserve">para determinar el alcance de la prohibición consagrada por la Ley de Garantías Electorales, conviene precisar la tipología de convenios o contratos interadministrativos. </w:t>
      </w:r>
      <w:bookmarkStart w:id="19" w:name="_Hlk114827997"/>
      <w:r w:rsidRPr="0055122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551222">
        <w:rPr>
          <w:rFonts w:ascii="Arial" w:eastAsia="Arial" w:hAnsi="Arial" w:cs="Arial"/>
          <w:vertAlign w:val="superscript"/>
          <w:lang w:val="es-ES" w:eastAsia="es-ES" w:bidi="es-ES"/>
        </w:rPr>
        <w:footnoteReference w:id="13"/>
      </w:r>
      <w:r w:rsidRPr="00551222">
        <w:rPr>
          <w:rFonts w:ascii="Arial" w:eastAsia="Arial" w:hAnsi="Arial" w:cs="Arial"/>
          <w:lang w:val="es-ES" w:eastAsia="es-ES" w:bidi="es-ES"/>
        </w:rPr>
        <w:t xml:space="preserve">. De acuerdo con lo anterior, el contrato o el convenio interadministrativo es el acuerdo </w:t>
      </w:r>
      <w:r w:rsidRPr="00551222">
        <w:rPr>
          <w:rFonts w:ascii="Arial" w:eastAsia="Arial" w:hAnsi="Arial" w:cs="Arial"/>
          <w:lang w:val="es-ES" w:eastAsia="es-ES" w:bidi="es-ES"/>
        </w:rPr>
        <w:lastRenderedPageBreak/>
        <w:t>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51222">
        <w:rPr>
          <w:rFonts w:ascii="Arial" w:eastAsia="Arial" w:hAnsi="Arial" w:cs="Arial"/>
          <w:spacing w:val="-6"/>
          <w:lang w:val="es-ES" w:eastAsia="es-ES" w:bidi="es-ES"/>
        </w:rPr>
        <w:t xml:space="preserve"> </w:t>
      </w:r>
      <w:r w:rsidRPr="00551222">
        <w:rPr>
          <w:rFonts w:ascii="Arial" w:eastAsia="Arial" w:hAnsi="Arial" w:cs="Arial"/>
          <w:lang w:val="es-ES" w:eastAsia="es-ES" w:bidi="es-ES"/>
        </w:rPr>
        <w:t>estatales.</w:t>
      </w:r>
    </w:p>
    <w:p w14:paraId="5EC9BC17"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bookmarkStart w:id="20" w:name="_Hlk78820654"/>
      <w:bookmarkEnd w:id="18"/>
      <w:bookmarkEnd w:id="19"/>
      <w:r w:rsidRPr="0055122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7C41B171"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bookmarkStart w:id="21" w:name="_Hlk99578261"/>
      <w:bookmarkEnd w:id="20"/>
      <w:r w:rsidRPr="0055122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51222">
        <w:rPr>
          <w:rFonts w:ascii="Arial" w:eastAsia="Arial" w:hAnsi="Arial" w:cs="Arial"/>
          <w:vertAlign w:val="superscript"/>
          <w:lang w:val="es-ES" w:eastAsia="es-ES" w:bidi="es-ES"/>
        </w:rPr>
        <w:footnoteReference w:id="14"/>
      </w:r>
      <w:r w:rsidRPr="00551222">
        <w:rPr>
          <w:rFonts w:ascii="Arial" w:eastAsia="Arial" w:hAnsi="Arial" w:cs="Arial"/>
          <w:lang w:val="es-ES" w:eastAsia="es-ES" w:bidi="es-ES"/>
        </w:rPr>
        <w:t>. Nótese que, en este caso, lo que cambia es la modalidad de selección y no la naturaleza de contrato</w:t>
      </w:r>
      <w:r w:rsidRPr="00551222">
        <w:rPr>
          <w:rFonts w:ascii="Arial" w:eastAsia="Arial" w:hAnsi="Arial" w:cs="Arial"/>
          <w:spacing w:val="-18"/>
          <w:lang w:val="es-ES" w:eastAsia="es-ES" w:bidi="es-ES"/>
        </w:rPr>
        <w:t xml:space="preserve"> </w:t>
      </w:r>
      <w:r w:rsidRPr="00551222">
        <w:rPr>
          <w:rFonts w:ascii="Arial" w:eastAsia="Arial" w:hAnsi="Arial" w:cs="Arial"/>
          <w:lang w:val="es-ES" w:eastAsia="es-ES" w:bidi="es-ES"/>
        </w:rPr>
        <w:t>interadministrativo.</w:t>
      </w:r>
    </w:p>
    <w:bookmarkEnd w:id="21"/>
    <w:p w14:paraId="7F413C40" w14:textId="77777777" w:rsidR="00551222" w:rsidRPr="00551222" w:rsidRDefault="00551222" w:rsidP="00551222">
      <w:pPr>
        <w:widowControl w:val="0"/>
        <w:autoSpaceDE w:val="0"/>
        <w:autoSpaceDN w:val="0"/>
        <w:spacing w:before="114" w:after="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51222">
        <w:rPr>
          <w:rFonts w:ascii="Arial" w:eastAsia="Arial" w:hAnsi="Arial" w:cs="Arial"/>
          <w:spacing w:val="-13"/>
          <w:lang w:val="es-ES" w:eastAsia="es-ES" w:bidi="es-ES"/>
        </w:rPr>
        <w:t xml:space="preserve"> </w:t>
      </w:r>
      <w:r w:rsidRPr="00551222">
        <w:rPr>
          <w:rFonts w:ascii="Arial" w:eastAsia="Arial" w:hAnsi="Arial" w:cs="Arial"/>
          <w:lang w:val="es-ES" w:eastAsia="es-ES" w:bidi="es-ES"/>
        </w:rPr>
        <w:t>que:</w:t>
      </w:r>
    </w:p>
    <w:p w14:paraId="04B15B5D" w14:textId="77777777" w:rsidR="00551222" w:rsidRPr="00551222" w:rsidRDefault="00551222" w:rsidP="00551222">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230AB8DB" w14:textId="77777777" w:rsidR="00551222" w:rsidRPr="00551222" w:rsidRDefault="00551222" w:rsidP="00551222">
      <w:pPr>
        <w:spacing w:after="0" w:line="240" w:lineRule="auto"/>
        <w:ind w:left="709" w:right="709"/>
        <w:contextualSpacing/>
        <w:jc w:val="both"/>
        <w:rPr>
          <w:rFonts w:ascii="Arial" w:eastAsia="Calibri" w:hAnsi="Arial" w:cs="Arial"/>
          <w:sz w:val="21"/>
          <w:lang w:val="es-MX"/>
        </w:rPr>
      </w:pPr>
      <w:r w:rsidRPr="0055122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551222">
        <w:rPr>
          <w:rFonts w:ascii="Arial" w:eastAsia="Calibri" w:hAnsi="Arial" w:cs="Arial"/>
          <w:sz w:val="21"/>
          <w:lang w:val="es-MX"/>
        </w:rPr>
        <w:t>ii</w:t>
      </w:r>
      <w:proofErr w:type="spellEnd"/>
      <w:r w:rsidRPr="00551222">
        <w:rPr>
          <w:rFonts w:ascii="Arial" w:eastAsia="Calibri" w:hAnsi="Arial" w:cs="Arial"/>
          <w:sz w:val="21"/>
          <w:lang w:val="es-MX"/>
        </w:rPr>
        <w:t>) tienen como fuente la autonomía contractual; (</w:t>
      </w:r>
      <w:proofErr w:type="spellStart"/>
      <w:r w:rsidRPr="00551222">
        <w:rPr>
          <w:rFonts w:ascii="Arial" w:eastAsia="Calibri" w:hAnsi="Arial" w:cs="Arial"/>
          <w:sz w:val="21"/>
          <w:lang w:val="es-MX"/>
        </w:rPr>
        <w:t>iii</w:t>
      </w:r>
      <w:proofErr w:type="spellEnd"/>
      <w:r w:rsidRPr="00551222">
        <w:rPr>
          <w:rFonts w:ascii="Arial" w:eastAsia="Calibri" w:hAnsi="Arial" w:cs="Arial"/>
          <w:sz w:val="21"/>
          <w:lang w:val="es-MX"/>
        </w:rPr>
        <w:t>) son contratos nominados puesto que están mencionados en la ley; (</w:t>
      </w:r>
      <w:proofErr w:type="spellStart"/>
      <w:r w:rsidRPr="00551222">
        <w:rPr>
          <w:rFonts w:ascii="Arial" w:eastAsia="Calibri" w:hAnsi="Arial" w:cs="Arial"/>
          <w:sz w:val="21"/>
          <w:lang w:val="es-MX"/>
        </w:rPr>
        <w:t>iv</w:t>
      </w:r>
      <w:proofErr w:type="spellEnd"/>
      <w:r w:rsidRPr="00551222">
        <w:rPr>
          <w:rFonts w:ascii="Arial" w:eastAsia="Calibri" w:hAnsi="Arial" w:cs="Arial"/>
          <w:sz w:val="21"/>
          <w:lang w:val="es-MX"/>
        </w:rPr>
        <w:t xml:space="preserve">) son contratos atípicos desde </w:t>
      </w:r>
      <w:r w:rsidRPr="00551222">
        <w:rPr>
          <w:rFonts w:ascii="Arial" w:eastAsia="Calibri" w:hAnsi="Arial" w:cs="Arial"/>
          <w:sz w:val="21"/>
          <w:lang w:val="es-MX"/>
        </w:rPr>
        <w:lastRenderedPageBreak/>
        <w:t>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551222">
        <w:rPr>
          <w:rFonts w:ascii="Arial" w:eastAsia="Calibri" w:hAnsi="Arial" w:cs="Arial"/>
          <w:sz w:val="21"/>
          <w:lang w:val="es-MX"/>
        </w:rPr>
        <w:t>vii</w:t>
      </w:r>
      <w:proofErr w:type="spellEnd"/>
      <w:r w:rsidRPr="00551222">
        <w:rPr>
          <w:rFonts w:ascii="Arial" w:eastAsia="Calibri" w:hAnsi="Arial" w:cs="Arial"/>
          <w:sz w:val="21"/>
          <w:lang w:val="es-MX"/>
        </w:rPr>
        <w:t>) persiguen  una finalidad común a través de la realización de intereses compartidos entre las entidades vinculadas; (</w:t>
      </w:r>
      <w:proofErr w:type="spellStart"/>
      <w:r w:rsidRPr="00551222">
        <w:rPr>
          <w:rFonts w:ascii="Arial" w:eastAsia="Calibri" w:hAnsi="Arial" w:cs="Arial"/>
          <w:sz w:val="21"/>
          <w:lang w:val="es-MX"/>
        </w:rPr>
        <w:t>viii</w:t>
      </w:r>
      <w:proofErr w:type="spellEnd"/>
      <w:r w:rsidRPr="00551222">
        <w:rPr>
          <w:rFonts w:ascii="Arial" w:eastAsia="Calibri" w:hAnsi="Arial" w:cs="Arial"/>
          <w:sz w:val="21"/>
          <w:lang w:val="es-MX"/>
        </w:rPr>
        <w:t>) la acción mediante la cual se deben ventilar las diferencias que sobre el particular surjan es la de controversias contractuales”</w:t>
      </w:r>
      <w:r w:rsidRPr="00551222">
        <w:rPr>
          <w:rFonts w:ascii="Arial" w:eastAsia="Calibri" w:hAnsi="Arial" w:cs="Arial"/>
          <w:sz w:val="21"/>
          <w:vertAlign w:val="superscript"/>
          <w:lang w:val="es-MX"/>
        </w:rPr>
        <w:footnoteReference w:id="15"/>
      </w:r>
      <w:r w:rsidRPr="00551222">
        <w:rPr>
          <w:rFonts w:ascii="Arial" w:eastAsia="Calibri" w:hAnsi="Arial" w:cs="Arial"/>
          <w:sz w:val="21"/>
          <w:lang w:val="es-MX"/>
        </w:rPr>
        <w:t>.</w:t>
      </w:r>
    </w:p>
    <w:p w14:paraId="6D627AA1" w14:textId="77777777" w:rsidR="00551222" w:rsidRPr="00551222" w:rsidRDefault="00551222" w:rsidP="00551222">
      <w:pPr>
        <w:spacing w:after="0" w:line="276" w:lineRule="auto"/>
        <w:ind w:left="709" w:right="709"/>
        <w:contextualSpacing/>
        <w:jc w:val="both"/>
        <w:rPr>
          <w:rFonts w:ascii="Arial" w:eastAsia="Calibri" w:hAnsi="Arial" w:cs="Arial"/>
          <w:color w:val="FF0000"/>
          <w:lang w:val="es-MX"/>
        </w:rPr>
      </w:pPr>
    </w:p>
    <w:p w14:paraId="760760DB"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 en adelante EGCAP – establece la contratación directa como la modalidad de selección aplicable, por regla general, a la celebración de los contratos interadministrativos.</w:t>
      </w:r>
    </w:p>
    <w:p w14:paraId="141BA0D5"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551222">
        <w:rPr>
          <w:rFonts w:ascii="Arial" w:eastAsia="Arial" w:hAnsi="Arial" w:cs="Arial"/>
          <w:spacing w:val="-3"/>
          <w:lang w:val="es-ES" w:eastAsia="es-ES" w:bidi="es-ES"/>
        </w:rPr>
        <w:t xml:space="preserve"> </w:t>
      </w:r>
      <w:r w:rsidRPr="00551222">
        <w:rPr>
          <w:rFonts w:ascii="Arial" w:eastAsia="Arial" w:hAnsi="Arial" w:cs="Arial"/>
          <w:lang w:val="es-ES" w:eastAsia="es-ES" w:bidi="es-ES"/>
        </w:rPr>
        <w:t>estatales.</w:t>
      </w:r>
    </w:p>
    <w:p w14:paraId="02F5B4D1" w14:textId="77777777" w:rsidR="00551222" w:rsidRPr="00551222" w:rsidRDefault="00551222" w:rsidP="00551222">
      <w:pPr>
        <w:widowControl w:val="0"/>
        <w:autoSpaceDE w:val="0"/>
        <w:autoSpaceDN w:val="0"/>
        <w:spacing w:after="12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 xml:space="preserve">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w:t>
      </w:r>
      <w:r w:rsidRPr="00551222">
        <w:rPr>
          <w:rFonts w:ascii="Arial" w:eastAsia="Arial" w:hAnsi="Arial" w:cs="Arial"/>
          <w:lang w:val="es-ES" w:eastAsia="es-ES" w:bidi="es-ES"/>
        </w:rPr>
        <w:lastRenderedPageBreak/>
        <w:t>normativo faculta a las entidades públicas a celebrar los demás acuerdos que permitan la autonomía de la voluntad y requieran el cumplimiento de los fines</w:t>
      </w:r>
      <w:r w:rsidRPr="00551222">
        <w:rPr>
          <w:rFonts w:ascii="Arial" w:eastAsia="Arial" w:hAnsi="Arial" w:cs="Arial"/>
          <w:spacing w:val="-4"/>
          <w:lang w:val="es-ES" w:eastAsia="es-ES" w:bidi="es-ES"/>
        </w:rPr>
        <w:t xml:space="preserve"> </w:t>
      </w:r>
      <w:r w:rsidRPr="00551222">
        <w:rPr>
          <w:rFonts w:ascii="Arial" w:eastAsia="Arial" w:hAnsi="Arial" w:cs="Arial"/>
          <w:lang w:val="es-ES" w:eastAsia="es-ES" w:bidi="es-ES"/>
        </w:rPr>
        <w:t>estatales.</w:t>
      </w:r>
    </w:p>
    <w:p w14:paraId="27267A90" w14:textId="77777777" w:rsidR="00551222" w:rsidRPr="00551222" w:rsidRDefault="00551222" w:rsidP="00551222">
      <w:pPr>
        <w:widowControl w:val="0"/>
        <w:autoSpaceDE w:val="0"/>
        <w:autoSpaceDN w:val="0"/>
        <w:spacing w:after="120" w:line="276" w:lineRule="auto"/>
        <w:ind w:firstLine="708"/>
        <w:jc w:val="both"/>
        <w:rPr>
          <w:rFonts w:ascii="Arial" w:eastAsia="Arial" w:hAnsi="Arial" w:cs="Arial"/>
          <w:lang w:val="es-ES" w:eastAsia="es-ES" w:bidi="es-ES"/>
        </w:rPr>
      </w:pPr>
      <w:r w:rsidRPr="00551222">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A38A87B" w14:textId="77777777" w:rsidR="00551222" w:rsidRPr="00551222" w:rsidRDefault="00551222" w:rsidP="00551222">
      <w:pPr>
        <w:widowControl w:val="0"/>
        <w:autoSpaceDE w:val="0"/>
        <w:autoSpaceDN w:val="0"/>
        <w:spacing w:after="120" w:line="276" w:lineRule="auto"/>
        <w:ind w:firstLine="708"/>
        <w:jc w:val="both"/>
        <w:rPr>
          <w:rFonts w:ascii="Arial" w:eastAsia="Calibri" w:hAnsi="Arial" w:cs="Arial"/>
          <w:bCs/>
          <w:lang w:val="es-MX" w:eastAsia="es-ES" w:bidi="es-ES"/>
        </w:rPr>
      </w:pPr>
      <w:r w:rsidRPr="00551222">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51222">
        <w:rPr>
          <w:rFonts w:ascii="Arial" w:eastAsia="Arial" w:hAnsi="Arial" w:cs="Arial"/>
          <w:spacing w:val="-4"/>
          <w:lang w:val="es-ES" w:eastAsia="es-ES" w:bidi="es-ES"/>
        </w:rPr>
        <w:t xml:space="preserve"> </w:t>
      </w:r>
      <w:r w:rsidRPr="00551222">
        <w:rPr>
          <w:rFonts w:ascii="Arial" w:eastAsia="Arial" w:hAnsi="Arial" w:cs="Arial"/>
          <w:lang w:val="es-ES" w:eastAsia="es-ES" w:bidi="es-ES"/>
        </w:rPr>
        <w:t>[…]”</w:t>
      </w:r>
      <w:r w:rsidRPr="00551222">
        <w:rPr>
          <w:rFonts w:ascii="Arial" w:eastAsia="Arial" w:hAnsi="Arial" w:cs="Arial"/>
          <w:vertAlign w:val="superscript"/>
          <w:lang w:val="es-ES" w:eastAsia="es-ES" w:bidi="es-ES"/>
        </w:rPr>
        <w:footnoteReference w:id="16"/>
      </w:r>
      <w:r w:rsidRPr="00551222">
        <w:rPr>
          <w:rFonts w:ascii="Arial" w:eastAsia="Arial" w:hAnsi="Arial" w:cs="Arial"/>
          <w:lang w:val="es-ES" w:eastAsia="es-ES" w:bidi="es-ES"/>
        </w:rPr>
        <w:t>.</w:t>
      </w:r>
      <w:bookmarkStart w:id="22" w:name="_Hlk77171241"/>
    </w:p>
    <w:p w14:paraId="3AA429B6" w14:textId="77777777" w:rsidR="00551222" w:rsidRPr="00551222" w:rsidRDefault="00551222" w:rsidP="00551222">
      <w:pPr>
        <w:widowControl w:val="0"/>
        <w:autoSpaceDE w:val="0"/>
        <w:autoSpaceDN w:val="0"/>
        <w:spacing w:after="0" w:line="276" w:lineRule="auto"/>
        <w:ind w:firstLine="709"/>
        <w:contextualSpacing/>
        <w:jc w:val="both"/>
        <w:rPr>
          <w:rFonts w:ascii="Arial" w:eastAsia="Arial" w:hAnsi="Arial" w:cs="Arial"/>
          <w:lang w:val="es-ES" w:eastAsia="es-ES" w:bidi="es-ES"/>
        </w:rPr>
      </w:pPr>
      <w:r w:rsidRPr="0055122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46E0F958" w14:textId="77777777" w:rsidR="00551222" w:rsidRPr="00551222" w:rsidRDefault="00551222" w:rsidP="00551222">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3FCA70B9"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ES_tradnl"/>
        </w:rPr>
      </w:pPr>
      <w:r w:rsidRPr="00551222">
        <w:rPr>
          <w:rFonts w:ascii="Arial" w:eastAsia="Calibri" w:hAnsi="Arial" w:cs="Arial"/>
          <w:sz w:val="21"/>
          <w:szCs w:val="21"/>
          <w:lang w:val="es-ES_tradnl"/>
        </w:rPr>
        <w:t>“La Sala de Consulta y Servicio Civil</w:t>
      </w:r>
      <w:r w:rsidRPr="00551222">
        <w:rPr>
          <w:rFonts w:ascii="Arial" w:eastAsia="Calibri" w:hAnsi="Arial" w:cs="Arial"/>
          <w:sz w:val="21"/>
          <w:szCs w:val="21"/>
          <w:vertAlign w:val="superscript"/>
          <w:lang w:val="es-ES_tradnl"/>
        </w:rPr>
        <w:footnoteReference w:id="17"/>
      </w:r>
      <w:r w:rsidRPr="00551222">
        <w:rPr>
          <w:rFonts w:ascii="Arial" w:eastAsia="Calibri" w:hAnsi="Arial" w:cs="Arial"/>
          <w:sz w:val="21"/>
          <w:szCs w:val="21"/>
          <w:lang w:val="es-ES_tradnl"/>
        </w:rPr>
        <w:t xml:space="preserve"> de esta Corporación se ha referido a los </w:t>
      </w:r>
      <w:r w:rsidRPr="00551222">
        <w:rPr>
          <w:rFonts w:ascii="Arial" w:eastAsia="Calibri" w:hAnsi="Arial" w:cs="Arial"/>
          <w:i/>
          <w:sz w:val="21"/>
          <w:szCs w:val="21"/>
          <w:lang w:val="es-ES_tradnl"/>
        </w:rPr>
        <w:t>“convenios interadministrativos”</w:t>
      </w:r>
      <w:r w:rsidRPr="00551222">
        <w:rPr>
          <w:rFonts w:ascii="Arial" w:eastAsia="Calibri" w:hAnsi="Arial" w:cs="Arial"/>
          <w:sz w:val="21"/>
          <w:szCs w:val="21"/>
          <w:lang w:val="es-ES_tradnl"/>
        </w:rPr>
        <w:t xml:space="preserve"> a los cuales alude el artículo 95 de la Ley 489 de 1998, calificándolos de </w:t>
      </w:r>
      <w:r w:rsidRPr="00551222">
        <w:rPr>
          <w:rFonts w:ascii="Arial" w:eastAsia="Calibri" w:hAnsi="Arial" w:cs="Arial"/>
          <w:i/>
          <w:sz w:val="21"/>
          <w:szCs w:val="21"/>
          <w:lang w:val="es-ES_tradnl"/>
        </w:rPr>
        <w:t xml:space="preserve">“puros” </w:t>
      </w:r>
      <w:r w:rsidRPr="0055122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551222">
        <w:rPr>
          <w:rFonts w:ascii="Arial" w:eastAsia="Calibri" w:hAnsi="Arial" w:cs="Arial"/>
          <w:i/>
          <w:sz w:val="21"/>
          <w:szCs w:val="21"/>
          <w:lang w:val="es-ES_tradnl"/>
        </w:rPr>
        <w:t>“intercambio patrimonial”</w:t>
      </w:r>
      <w:r w:rsidRPr="00551222">
        <w:rPr>
          <w:rFonts w:ascii="Arial" w:eastAsia="Calibri" w:hAnsi="Arial" w:cs="Arial"/>
          <w:sz w:val="21"/>
          <w:szCs w:val="21"/>
          <w:lang w:val="es-ES_tradnl"/>
        </w:rPr>
        <w:t>. Sin perjuicio de lo anterior, en otra oportunidad, la misma Sala</w:t>
      </w:r>
      <w:r w:rsidRPr="00551222">
        <w:rPr>
          <w:rFonts w:ascii="Arial" w:eastAsia="Calibri" w:hAnsi="Arial" w:cs="Arial"/>
          <w:sz w:val="21"/>
          <w:szCs w:val="21"/>
          <w:vertAlign w:val="superscript"/>
          <w:lang w:val="es-ES_tradnl"/>
        </w:rPr>
        <w:footnoteReference w:id="18"/>
      </w:r>
      <w:r w:rsidRPr="00551222">
        <w:rPr>
          <w:rFonts w:ascii="Arial" w:eastAsia="Calibri" w:hAnsi="Arial" w:cs="Arial"/>
          <w:sz w:val="21"/>
          <w:szCs w:val="21"/>
          <w:lang w:val="es-ES_tradnl"/>
        </w:rPr>
        <w:t xml:space="preserve"> había indicado que, si bien en dichos convenios no se daba un </w:t>
      </w:r>
      <w:r w:rsidRPr="00551222">
        <w:rPr>
          <w:rFonts w:ascii="Arial" w:eastAsia="Calibri" w:hAnsi="Arial" w:cs="Arial"/>
          <w:i/>
          <w:sz w:val="21"/>
          <w:szCs w:val="21"/>
          <w:lang w:val="es-ES_tradnl"/>
        </w:rPr>
        <w:t>“verdadero intercambio de bienes o servicios (contrato conmutativo)”</w:t>
      </w:r>
      <w:r w:rsidRPr="00551222">
        <w:rPr>
          <w:rFonts w:ascii="Arial" w:eastAsia="Calibri" w:hAnsi="Arial" w:cs="Arial"/>
          <w:sz w:val="21"/>
          <w:szCs w:val="21"/>
          <w:lang w:val="es-ES_tradnl"/>
        </w:rPr>
        <w:t>, ello no impedía que se conviniera una remuneración a cargo de alguna(s) entidad(es).</w:t>
      </w:r>
    </w:p>
    <w:p w14:paraId="5453352F"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ES_tradnl"/>
        </w:rPr>
      </w:pPr>
    </w:p>
    <w:p w14:paraId="172C2CF6" w14:textId="77777777" w:rsidR="00551222" w:rsidRPr="00551222" w:rsidRDefault="00551222" w:rsidP="0055122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551222">
        <w:rPr>
          <w:rFonts w:ascii="Arial" w:eastAsia="Arial" w:hAnsi="Arial" w:cs="Arial"/>
          <w:sz w:val="21"/>
          <w:szCs w:val="21"/>
          <w:lang w:val="es-ES_tradnl" w:eastAsia="es-ES" w:bidi="es-ES"/>
        </w:rPr>
        <w:lastRenderedPageBreak/>
        <w:t xml:space="preserve">Lo expuesto evidencia que, en general, las interpretaciones en torno a los </w:t>
      </w:r>
      <w:r w:rsidRPr="00551222">
        <w:rPr>
          <w:rFonts w:ascii="Arial" w:eastAsia="Arial" w:hAnsi="Arial" w:cs="Arial"/>
          <w:i/>
          <w:sz w:val="21"/>
          <w:szCs w:val="21"/>
          <w:lang w:val="es-ES_tradnl" w:eastAsia="es-ES" w:bidi="es-ES"/>
        </w:rPr>
        <w:t>“convenios interadministrativos”</w:t>
      </w:r>
      <w:r w:rsidRPr="0055122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51222">
        <w:rPr>
          <w:rFonts w:ascii="Arial" w:eastAsia="Arial" w:hAnsi="Arial" w:cs="Arial"/>
          <w:sz w:val="21"/>
          <w:szCs w:val="21"/>
          <w:vertAlign w:val="superscript"/>
          <w:lang w:val="es-ES_tradnl" w:eastAsia="es-ES" w:bidi="es-ES"/>
        </w:rPr>
        <w:footnoteReference w:id="19"/>
      </w:r>
      <w:r w:rsidRPr="00551222">
        <w:rPr>
          <w:rFonts w:ascii="Arial" w:eastAsia="Arial" w:hAnsi="Arial" w:cs="Arial"/>
          <w:sz w:val="21"/>
          <w:szCs w:val="21"/>
          <w:vertAlign w:val="superscript"/>
          <w:lang w:val="es-ES_tradnl" w:eastAsia="es-ES" w:bidi="es-ES"/>
        </w:rPr>
        <w:footnoteReference w:id="20"/>
      </w:r>
      <w:r w:rsidRPr="00551222">
        <w:rPr>
          <w:rFonts w:ascii="Arial" w:eastAsia="Arial" w:hAnsi="Arial" w:cs="Arial"/>
          <w:sz w:val="21"/>
          <w:szCs w:val="21"/>
          <w:lang w:val="es-ES_tradnl" w:eastAsia="es-ES" w:bidi="es-ES"/>
        </w:rPr>
        <w:t>.</w:t>
      </w:r>
    </w:p>
    <w:p w14:paraId="14C58787" w14:textId="77777777" w:rsidR="00551222" w:rsidRPr="00551222" w:rsidRDefault="00551222" w:rsidP="00551222">
      <w:pPr>
        <w:widowControl w:val="0"/>
        <w:autoSpaceDE w:val="0"/>
        <w:autoSpaceDN w:val="0"/>
        <w:spacing w:after="0" w:line="276" w:lineRule="auto"/>
        <w:contextualSpacing/>
        <w:jc w:val="both"/>
        <w:rPr>
          <w:rFonts w:ascii="Arial" w:eastAsia="Arial" w:hAnsi="Arial" w:cs="Arial"/>
          <w:lang w:val="es-ES" w:eastAsia="es-ES" w:bidi="es-ES"/>
        </w:rPr>
      </w:pPr>
    </w:p>
    <w:p w14:paraId="78ECF552" w14:textId="77777777" w:rsidR="00551222" w:rsidRPr="00551222" w:rsidRDefault="00551222" w:rsidP="00551222">
      <w:pPr>
        <w:widowControl w:val="0"/>
        <w:autoSpaceDE w:val="0"/>
        <w:autoSpaceDN w:val="0"/>
        <w:spacing w:after="120" w:line="276" w:lineRule="auto"/>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551222">
        <w:rPr>
          <w:rFonts w:ascii="Arial" w:eastAsia="Arial" w:hAnsi="Arial" w:cs="Arial"/>
          <w:vertAlign w:val="superscript"/>
          <w:lang w:val="es-ES" w:eastAsia="es-ES" w:bidi="es-ES"/>
        </w:rPr>
        <w:footnoteReference w:id="21"/>
      </w:r>
      <w:r w:rsidRPr="0055122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551222">
        <w:rPr>
          <w:rFonts w:ascii="Arial" w:eastAsia="Arial" w:hAnsi="Arial" w:cs="Arial"/>
          <w:vertAlign w:val="superscript"/>
          <w:lang w:val="es-ES" w:eastAsia="es-ES" w:bidi="es-ES"/>
        </w:rPr>
        <w:footnoteReference w:id="22"/>
      </w:r>
      <w:r w:rsidRPr="00551222">
        <w:rPr>
          <w:rFonts w:ascii="Arial" w:eastAsia="Arial" w:hAnsi="Arial" w:cs="Arial"/>
          <w:lang w:val="es-ES" w:eastAsia="es-ES" w:bidi="es-ES"/>
        </w:rPr>
        <w:t>.</w:t>
      </w:r>
    </w:p>
    <w:p w14:paraId="358C3C3B" w14:textId="77777777" w:rsidR="00551222" w:rsidRPr="00551222" w:rsidRDefault="00551222" w:rsidP="00551222">
      <w:pPr>
        <w:widowControl w:val="0"/>
        <w:autoSpaceDE w:val="0"/>
        <w:autoSpaceDN w:val="0"/>
        <w:spacing w:after="0" w:line="276" w:lineRule="auto"/>
        <w:contextualSpacing/>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5FEF7D92" w14:textId="77777777" w:rsidR="00551222" w:rsidRPr="00551222" w:rsidRDefault="00551222" w:rsidP="00551222">
      <w:pPr>
        <w:widowControl w:val="0"/>
        <w:autoSpaceDE w:val="0"/>
        <w:autoSpaceDN w:val="0"/>
        <w:spacing w:after="0" w:line="276" w:lineRule="auto"/>
        <w:contextualSpacing/>
        <w:jc w:val="both"/>
        <w:rPr>
          <w:rFonts w:ascii="Arial" w:eastAsia="Arial" w:hAnsi="Arial" w:cs="Arial"/>
          <w:lang w:val="es-ES" w:eastAsia="es-ES" w:bidi="es-ES"/>
        </w:rPr>
      </w:pPr>
    </w:p>
    <w:p w14:paraId="01B13797"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w:t>
      </w:r>
      <w:r w:rsidRPr="00551222">
        <w:rPr>
          <w:rFonts w:ascii="Arial" w:eastAsia="Calibri" w:hAnsi="Arial" w:cs="Arial"/>
          <w:sz w:val="21"/>
          <w:szCs w:val="21"/>
          <w:lang w:val="es-ES_tradnl"/>
        </w:rPr>
        <w:lastRenderedPageBreak/>
        <w:t xml:space="preserve">concepto de convenio del concepto de contrato, la denominación prevista por la Ley 80 de 1993 y la Ley 1150 de 2007 </w:t>
      </w:r>
      <w:r w:rsidRPr="0055122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06AE3E67"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MX"/>
        </w:rPr>
        <w:t xml:space="preserve"> </w:t>
      </w:r>
    </w:p>
    <w:p w14:paraId="659C9EC7"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4843351"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MX"/>
        </w:rPr>
      </w:pPr>
    </w:p>
    <w:p w14:paraId="1EB17EB9" w14:textId="77777777" w:rsidR="00551222" w:rsidRPr="00551222" w:rsidRDefault="00551222" w:rsidP="00551222">
      <w:pPr>
        <w:spacing w:after="0" w:line="240" w:lineRule="auto"/>
        <w:ind w:left="709" w:right="709"/>
        <w:contextualSpacing/>
        <w:jc w:val="both"/>
        <w:rPr>
          <w:rFonts w:ascii="Calibri" w:eastAsia="Calibri" w:hAnsi="Calibri"/>
          <w:sz w:val="24"/>
          <w:lang w:val="es-MX"/>
        </w:rPr>
      </w:pPr>
      <w:r w:rsidRPr="0055122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A573FF3" w14:textId="77777777" w:rsidR="00551222" w:rsidRPr="00551222" w:rsidRDefault="00551222" w:rsidP="00551222">
      <w:pPr>
        <w:widowControl w:val="0"/>
        <w:autoSpaceDE w:val="0"/>
        <w:autoSpaceDN w:val="0"/>
        <w:spacing w:after="0" w:line="276" w:lineRule="auto"/>
        <w:contextualSpacing/>
        <w:jc w:val="both"/>
        <w:rPr>
          <w:rFonts w:ascii="Arial" w:eastAsia="Arial" w:hAnsi="Arial" w:cs="Arial"/>
          <w:lang w:val="es-ES" w:eastAsia="es-ES" w:bidi="es-ES"/>
        </w:rPr>
      </w:pPr>
    </w:p>
    <w:p w14:paraId="203CFE5C" w14:textId="77777777" w:rsidR="00551222" w:rsidRPr="00551222" w:rsidRDefault="00551222" w:rsidP="00551222">
      <w:pPr>
        <w:widowControl w:val="0"/>
        <w:autoSpaceDE w:val="0"/>
        <w:autoSpaceDN w:val="0"/>
        <w:spacing w:after="120" w:line="276" w:lineRule="auto"/>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2"/>
    </w:p>
    <w:p w14:paraId="5EF6C1EC" w14:textId="77777777" w:rsidR="00551222" w:rsidRPr="00551222" w:rsidRDefault="00551222" w:rsidP="00551222">
      <w:pPr>
        <w:tabs>
          <w:tab w:val="left" w:pos="426"/>
        </w:tabs>
        <w:spacing w:after="120" w:line="276" w:lineRule="auto"/>
        <w:ind w:firstLine="709"/>
        <w:jc w:val="both"/>
        <w:rPr>
          <w:rFonts w:ascii="Arial" w:hAnsi="Arial" w:cs="Arial"/>
          <w:bCs/>
          <w:lang w:val="es-MX" w:eastAsia="es-CO"/>
        </w:rPr>
      </w:pPr>
      <w:r w:rsidRPr="00551222">
        <w:rPr>
          <w:rFonts w:ascii="Arial" w:hAnsi="Arial" w:cs="Arial"/>
          <w:bCs/>
          <w:lang w:val="es-MX" w:eastAsia="es-CO"/>
        </w:rPr>
        <w:t xml:space="preserve">Conforme a lo expuesto, debe señalarse que </w:t>
      </w:r>
      <w:bookmarkStart w:id="23" w:name="_Hlk114828165"/>
      <w:r w:rsidRPr="00551222">
        <w:rPr>
          <w:rFonts w:ascii="Arial" w:hAnsi="Arial" w:cs="Arial"/>
          <w:bCs/>
          <w:lang w:val="es-MX" w:eastAsia="es-CO"/>
        </w:rPr>
        <w:t>el inciso primero del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w:t>
      </w:r>
      <w:r w:rsidRPr="00551222">
        <w:rPr>
          <w:rFonts w:ascii="Arial" w:eastAsia="Calibri" w:hAnsi="Arial" w:cs="Arial"/>
          <w:bCs/>
          <w:lang w:val="es-MX"/>
        </w:rPr>
        <w:t>os gobernadores, alcaldes municipales y/o distritales, secretarios, gerentes y directores de entidades descentralizadas del orden municipal, departamental o distrital</w:t>
      </w:r>
      <w:r w:rsidRPr="00551222">
        <w:rPr>
          <w:rFonts w:ascii="Arial" w:hAnsi="Arial" w:cs="Arial"/>
          <w:bCs/>
          <w:lang w:val="es-MX" w:eastAsia="es-CO"/>
        </w:rPr>
        <w:t xml:space="preserve"> no se podrán celebrar tales convenios o contratos durante el periodo de aplicación de la Ley de Garantías Electorales, toda vez que la citada disposición hace referencia a dicha tipología contractual sin que el legislador </w:t>
      </w:r>
      <w:r w:rsidRPr="00551222">
        <w:rPr>
          <w:rFonts w:ascii="Arial" w:hAnsi="Arial" w:cs="Arial"/>
          <w:bCs/>
          <w:lang w:val="es-MX" w:eastAsia="es-CO"/>
        </w:rPr>
        <w:lastRenderedPageBreak/>
        <w:t>hubiere contemplado excepción alguna frente a la modalidad de selección o naturaleza de su objeto.</w:t>
      </w:r>
      <w:r w:rsidRPr="00551222">
        <w:rPr>
          <w:rFonts w:ascii="Arial" w:eastAsia="Times New Roman" w:hAnsi="Arial" w:cs="Arial"/>
          <w:bCs/>
          <w:lang w:val="es-MX"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551222">
        <w:rPr>
          <w:rFonts w:ascii="Arial" w:eastAsia="Calibri" w:hAnsi="Arial" w:cs="Arial"/>
          <w:color w:val="000000" w:themeColor="text1"/>
          <w:lang w:val="es-MX"/>
        </w:rPr>
        <w:t> </w:t>
      </w:r>
      <w:bookmarkEnd w:id="23"/>
    </w:p>
    <w:p w14:paraId="3B7A64E9" w14:textId="77777777" w:rsidR="00551222" w:rsidRPr="00551222" w:rsidRDefault="00551222" w:rsidP="00551222">
      <w:pPr>
        <w:tabs>
          <w:tab w:val="left" w:pos="426"/>
        </w:tabs>
        <w:spacing w:after="0" w:line="276" w:lineRule="auto"/>
        <w:ind w:firstLine="709"/>
        <w:jc w:val="both"/>
        <w:rPr>
          <w:rFonts w:ascii="Arial" w:hAnsi="Arial" w:cs="Arial"/>
          <w:bCs/>
          <w:lang w:val="es-MX" w:eastAsia="es-CO"/>
        </w:rPr>
      </w:pPr>
      <w:r w:rsidRPr="00551222">
        <w:rPr>
          <w:rFonts w:ascii="Arial" w:hAnsi="Arial" w:cs="Arial"/>
          <w:bCs/>
          <w:lang w:val="es-MX" w:eastAsia="es-CO"/>
        </w:rPr>
        <w:t xml:space="preserve">En segundo lugar, en atención a la consulta planteada, es importante mencionar que el inciso cuarto del parágrafo del artículo 38 de la Ley 996 de 2055, el cual establece: </w:t>
      </w:r>
    </w:p>
    <w:p w14:paraId="617E00E1" w14:textId="77777777" w:rsidR="00551222" w:rsidRPr="00551222" w:rsidRDefault="00551222" w:rsidP="00551222">
      <w:pPr>
        <w:spacing w:after="0" w:line="240" w:lineRule="auto"/>
        <w:ind w:left="709" w:right="709"/>
        <w:jc w:val="both"/>
        <w:rPr>
          <w:rFonts w:ascii="Arial" w:hAnsi="Arial" w:cs="Arial"/>
          <w:sz w:val="21"/>
          <w:szCs w:val="21"/>
          <w:shd w:val="clear" w:color="auto" w:fill="FFFFFF"/>
          <w:lang w:val="es-MX"/>
        </w:rPr>
      </w:pPr>
    </w:p>
    <w:p w14:paraId="39F4A775" w14:textId="77777777" w:rsidR="00551222" w:rsidRPr="00551222" w:rsidRDefault="00551222" w:rsidP="00551222">
      <w:pPr>
        <w:spacing w:after="0" w:line="240" w:lineRule="auto"/>
        <w:ind w:left="709" w:right="709"/>
        <w:jc w:val="both"/>
        <w:rPr>
          <w:rFonts w:ascii="Arial" w:hAnsi="Arial" w:cs="Arial"/>
          <w:sz w:val="21"/>
          <w:szCs w:val="21"/>
          <w:shd w:val="clear" w:color="auto" w:fill="FFFFFF"/>
          <w:lang w:val="es-MX"/>
        </w:rPr>
      </w:pPr>
      <w:r w:rsidRPr="00551222">
        <w:rPr>
          <w:rFonts w:ascii="Arial" w:hAnsi="Arial" w:cs="Arial"/>
          <w:sz w:val="21"/>
          <w:szCs w:val="21"/>
          <w:shd w:val="clear" w:color="auto" w:fill="FFFFFF"/>
          <w:lang w:val="es-MX"/>
        </w:rPr>
        <w:t xml:space="preserve">“La nómina del respectivo ente territorial o entidad no se podrá modificar dentro de los cuatro (4) meses anteriores a las elecciones a cargos de elección popular, salvo que se trate de provisión de cargos por faltas definitivas, con ocasión de muerte o renuncia irrevocable del cargo correspondiente debidamente aceptada, y en los casos de aplicación de las normas de carrera administrativa”. </w:t>
      </w:r>
    </w:p>
    <w:p w14:paraId="79C906AC" w14:textId="77777777" w:rsidR="00551222" w:rsidRPr="00551222" w:rsidRDefault="00551222" w:rsidP="00551222">
      <w:pPr>
        <w:tabs>
          <w:tab w:val="left" w:pos="426"/>
        </w:tabs>
        <w:spacing w:after="0" w:line="276" w:lineRule="auto"/>
        <w:ind w:firstLine="709"/>
        <w:jc w:val="both"/>
        <w:rPr>
          <w:rFonts w:ascii="Arial" w:hAnsi="Arial" w:cs="Arial"/>
          <w:bCs/>
          <w:lang w:val="es-MX" w:eastAsia="es-CO"/>
        </w:rPr>
      </w:pPr>
    </w:p>
    <w:p w14:paraId="3011E627" w14:textId="77777777" w:rsidR="00551222" w:rsidRPr="00551222" w:rsidRDefault="00551222" w:rsidP="00551222">
      <w:pPr>
        <w:spacing w:after="120" w:line="276" w:lineRule="auto"/>
        <w:ind w:firstLine="709"/>
        <w:jc w:val="both"/>
        <w:rPr>
          <w:rFonts w:ascii="Arial" w:hAnsi="Arial" w:cs="Arial"/>
          <w:lang w:val="es-MX"/>
        </w:rPr>
      </w:pPr>
      <w:r w:rsidRPr="00551222">
        <w:rPr>
          <w:rFonts w:ascii="Arial" w:hAnsi="Arial" w:cs="Arial"/>
          <w:shd w:val="clear" w:color="auto" w:fill="FFFFFF"/>
          <w:lang w:val="es-MX"/>
        </w:rPr>
        <w:t>De acuerdo con el texto antes citado, la nómina del respectivo ente territorial o entidad estatal no se podrá modificar dentro de los cuatro (4) meses anteriores a las elecciones a cargos de elección popular, salvo que se trate de la provisión de cargos por faltas definitivas, con ocasión de muerte o renuncia irrevocable del cargo correspondiente debidamente aceptada y en los casos de aplicación de las normas de carrera administrativa. Sobre esta prohibición e</w:t>
      </w:r>
      <w:r w:rsidRPr="00551222">
        <w:rPr>
          <w:rFonts w:ascii="Arial" w:hAnsi="Arial" w:cs="Arial"/>
          <w:lang w:val="es-MX"/>
        </w:rPr>
        <w:t xml:space="preserve">s importante decir que esta restricción, que aplica a todos los organismos y entidades de la Rama Ejecutiva, respeta el equilibrio que debe existir entre la moralidad administrativa y la eficacia de la administración. Al respecto, la Corte Constitucional, en Sentencia C-1153 de 2005, sostuvo que las limitaciones previstas en el artículo 38 de la Ley 996 de 2005 están claramente encaminadas a garantizar los principios de la función administrativa previstos en el artículo 209 de la Constitución Política, en particular la moralidad, la imparcialidad y la eficacia en el cumplimiento de las funciones. </w:t>
      </w:r>
    </w:p>
    <w:p w14:paraId="39B72EC6" w14:textId="77777777" w:rsidR="00551222" w:rsidRPr="00551222" w:rsidRDefault="00551222" w:rsidP="00551222">
      <w:pPr>
        <w:spacing w:after="120" w:line="276" w:lineRule="auto"/>
        <w:ind w:firstLine="709"/>
        <w:jc w:val="both"/>
        <w:rPr>
          <w:rFonts w:ascii="Arial" w:hAnsi="Arial" w:cs="Arial"/>
          <w:shd w:val="clear" w:color="auto" w:fill="FFFFFF"/>
          <w:lang w:val="es-MX"/>
        </w:rPr>
      </w:pPr>
      <w:r w:rsidRPr="00551222">
        <w:rPr>
          <w:rFonts w:ascii="Arial" w:hAnsi="Arial" w:cs="Arial"/>
          <w:shd w:val="clear" w:color="auto" w:fill="FFFFFF"/>
          <w:lang w:val="es-MX"/>
        </w:rPr>
        <w:t xml:space="preserve">Respecto de su contenido, el artículo 38 </w:t>
      </w:r>
      <w:r w:rsidRPr="00551222">
        <w:rPr>
          <w:rFonts w:ascii="Arial" w:hAnsi="Arial" w:cs="Arial"/>
          <w:i/>
          <w:iCs/>
          <w:shd w:val="clear" w:color="auto" w:fill="FFFFFF"/>
          <w:lang w:val="es-MX"/>
        </w:rPr>
        <w:t>ibidem</w:t>
      </w:r>
      <w:r w:rsidRPr="00551222">
        <w:rPr>
          <w:rFonts w:ascii="Arial" w:hAnsi="Arial" w:cs="Arial"/>
          <w:shd w:val="clear" w:color="auto" w:fill="FFFFFF"/>
          <w:lang w:val="es-MX"/>
        </w:rPr>
        <w:t xml:space="preserve"> consagra que, durante el tiempo de aplicación de la Ley de Garantías Electorales no es viable la modificación de la nómina, por lo tanto, durante dicho término no se podrán crear cargos ni proveer los mismos, no se podrán hacer nuevos nombramientos y no se podrá efectuar el retiro del servicio a servidores públicos por declaratoria de insubsistencia del nombramiento. </w:t>
      </w:r>
    </w:p>
    <w:p w14:paraId="438A3C25" w14:textId="77777777" w:rsidR="00551222" w:rsidRPr="00551222" w:rsidRDefault="00551222" w:rsidP="00551222">
      <w:pPr>
        <w:spacing w:after="120" w:line="276" w:lineRule="auto"/>
        <w:ind w:firstLine="709"/>
        <w:jc w:val="both"/>
        <w:rPr>
          <w:rFonts w:ascii="Arial" w:hAnsi="Arial" w:cs="Arial"/>
          <w:shd w:val="clear" w:color="auto" w:fill="FFFFFF"/>
          <w:lang w:val="es-MX"/>
        </w:rPr>
      </w:pPr>
      <w:r w:rsidRPr="00551222">
        <w:rPr>
          <w:rFonts w:ascii="Arial" w:hAnsi="Arial" w:cs="Arial"/>
          <w:shd w:val="clear" w:color="auto" w:fill="FFFFFF"/>
          <w:lang w:val="es-MX"/>
        </w:rPr>
        <w:t>En ese contexto, el Departamento Administrativo de la Función Pública, retomando conceptos de la Sala de Consulta y del Servicio Civil</w:t>
      </w:r>
      <w:r w:rsidRPr="00551222">
        <w:rPr>
          <w:rFonts w:ascii="Arial" w:hAnsi="Arial" w:cs="Arial"/>
          <w:vertAlign w:val="superscript"/>
          <w:lang w:val="es-MX"/>
        </w:rPr>
        <w:footnoteReference w:id="23"/>
      </w:r>
      <w:r w:rsidRPr="00551222">
        <w:rPr>
          <w:rFonts w:ascii="Arial" w:hAnsi="Arial" w:cs="Arial"/>
          <w:shd w:val="clear" w:color="auto" w:fill="FFFFFF"/>
          <w:lang w:val="es-MX"/>
        </w:rPr>
        <w:t>, en relación con la posibilidad de crear o suprimir empleos como resultado de procesos de restructuración o rediseño de planta de personal en vigencia de la Ley de Garantías Electorales, ha señalado que, p</w:t>
      </w:r>
      <w:r w:rsidRPr="00551222">
        <w:rPr>
          <w:rFonts w:ascii="Arial" w:hAnsi="Arial" w:cs="Arial"/>
          <w:lang w:val="es-MX"/>
        </w:rPr>
        <w:t>odrán efectuarse procesos de ajuste de la planta de personal durante la vigencia de la Ley </w:t>
      </w:r>
      <w:hyperlink r:id="rId14" w:anchor="0" w:history="1">
        <w:r w:rsidRPr="00551222">
          <w:rPr>
            <w:rFonts w:ascii="Arial" w:hAnsi="Arial" w:cs="Arial"/>
            <w:lang w:val="es-MX"/>
          </w:rPr>
          <w:t>996 </w:t>
        </w:r>
      </w:hyperlink>
      <w:r w:rsidRPr="00551222">
        <w:rPr>
          <w:rFonts w:ascii="Arial" w:hAnsi="Arial" w:cs="Arial"/>
          <w:lang w:val="es-MX"/>
        </w:rPr>
        <w:t xml:space="preserve">de 2005, en las entidades de la Rama Ejecutiva de los órdenes nacional, departamental, distrital o municipal, siempre que ello no </w:t>
      </w:r>
      <w:r w:rsidRPr="00551222">
        <w:rPr>
          <w:rFonts w:ascii="Arial" w:hAnsi="Arial" w:cs="Arial"/>
          <w:lang w:val="es-MX"/>
        </w:rPr>
        <w:lastRenderedPageBreak/>
        <w:t>implique la modificación de la nómina de la entidad, es decir, ni crear, ni suprimir empleos, toda vez que la prohibición de suspender cualquier forma de vinculación que afecte la nómina estatal hace referencia a la imposibilidad de creación de nuevos cargos y su provisión, así como a la incorporación y desvinculación de persona alguna de la planta de la respectiva entidad. Por otro lado, el mismo Departamento Administrativo de la Función Público, en Circular Conjunta 100-006 de 2021</w:t>
      </w:r>
      <w:r w:rsidRPr="00551222">
        <w:rPr>
          <w:rFonts w:ascii="Arial" w:hAnsi="Arial" w:cs="Arial"/>
          <w:vertAlign w:val="superscript"/>
          <w:lang w:val="es-MX"/>
        </w:rPr>
        <w:footnoteReference w:id="24"/>
      </w:r>
      <w:r w:rsidRPr="00551222">
        <w:rPr>
          <w:rFonts w:ascii="Arial" w:hAnsi="Arial" w:cs="Arial"/>
          <w:lang w:val="es-MX"/>
        </w:rPr>
        <w:t>, reiterado en concepto 034611 del 11 de enero de 2022</w:t>
      </w:r>
      <w:r w:rsidRPr="00551222">
        <w:rPr>
          <w:rFonts w:ascii="Arial" w:hAnsi="Arial" w:cs="Arial"/>
          <w:vertAlign w:val="superscript"/>
          <w:lang w:val="es-MX"/>
        </w:rPr>
        <w:footnoteReference w:id="25"/>
      </w:r>
      <w:r w:rsidRPr="00551222">
        <w:rPr>
          <w:rFonts w:ascii="Arial" w:hAnsi="Arial" w:cs="Arial"/>
          <w:lang w:val="es-MX"/>
        </w:rPr>
        <w:t xml:space="preserve">,  señaló que </w:t>
      </w:r>
      <w:r w:rsidRPr="00551222">
        <w:rPr>
          <w:rFonts w:ascii="Arial" w:hAnsi="Arial" w:cs="Arial"/>
          <w:shd w:val="clear" w:color="auto" w:fill="FFFFFF"/>
          <w:lang w:val="es-MX"/>
        </w:rPr>
        <w:t xml:space="preserve">en vigencia de la restricción no es posible proveer las vacantes definitivas, salvo que se trate de vacantes generadas por renuncia, licencia o muerte indispensables para el cabal funcionamiento de la Administración Pública, y en los casos de aplicación de las normas de carrera administrativa. No obstante, a su juicio, en estos casos se pueden efectuar nombramientos provisionales, siempre que no se trate de crear nuevos cargos y a la provisión de </w:t>
      </w:r>
      <w:proofErr w:type="gramStart"/>
      <w:r w:rsidRPr="00551222">
        <w:rPr>
          <w:rFonts w:ascii="Arial" w:hAnsi="Arial" w:cs="Arial"/>
          <w:shd w:val="clear" w:color="auto" w:fill="FFFFFF"/>
          <w:lang w:val="es-MX"/>
        </w:rPr>
        <w:t>los mismos</w:t>
      </w:r>
      <w:proofErr w:type="gramEnd"/>
      <w:r w:rsidRPr="00551222">
        <w:rPr>
          <w:rFonts w:ascii="Arial" w:hAnsi="Arial" w:cs="Arial"/>
          <w:shd w:val="clear" w:color="auto" w:fill="FFFFFF"/>
          <w:vertAlign w:val="superscript"/>
          <w:lang w:val="es-MX"/>
        </w:rPr>
        <w:footnoteReference w:id="26"/>
      </w:r>
      <w:r w:rsidRPr="00551222">
        <w:rPr>
          <w:rFonts w:ascii="Arial" w:hAnsi="Arial" w:cs="Arial"/>
          <w:shd w:val="clear" w:color="auto" w:fill="FFFFFF"/>
          <w:lang w:val="es-MX"/>
        </w:rPr>
        <w:t xml:space="preserve">. </w:t>
      </w:r>
    </w:p>
    <w:p w14:paraId="29322598" w14:textId="77777777" w:rsidR="00551222" w:rsidRPr="00551222" w:rsidRDefault="00551222" w:rsidP="00551222">
      <w:pPr>
        <w:numPr>
          <w:ilvl w:val="12"/>
          <w:numId w:val="0"/>
        </w:numPr>
        <w:spacing w:after="120" w:line="276" w:lineRule="auto"/>
        <w:ind w:firstLine="709"/>
        <w:jc w:val="both"/>
        <w:rPr>
          <w:rFonts w:ascii="Arial" w:hAnsi="Arial" w:cs="Arial"/>
          <w:lang w:val="es-MX"/>
        </w:rPr>
      </w:pPr>
      <w:r w:rsidRPr="00551222">
        <w:rPr>
          <w:rFonts w:ascii="Arial" w:hAnsi="Arial" w:cs="Arial"/>
          <w:lang w:val="es-MX"/>
        </w:rPr>
        <w:t xml:space="preserve">Respecto de las excepciones a esta prohibición, es importante resaltar que en aras de respetar el equilibrio que debe existir entre la guarda de la moralidad administrativa y la eficacia de la administración, se autoriza la vinculación en nómina: (a) cuando se trate de proveer cargos por faltas definitivas derivada de muerte o renuncia y (b) los cargos de carrera administrativa.  </w:t>
      </w:r>
    </w:p>
    <w:p w14:paraId="03D8FD02" w14:textId="77777777" w:rsidR="00551222" w:rsidRPr="00551222" w:rsidRDefault="00551222" w:rsidP="00551222">
      <w:pPr>
        <w:spacing w:after="0" w:line="276" w:lineRule="auto"/>
        <w:ind w:firstLine="708"/>
        <w:jc w:val="both"/>
        <w:rPr>
          <w:rFonts w:ascii="Arial" w:hAnsi="Arial" w:cs="Arial"/>
          <w:shd w:val="clear" w:color="auto" w:fill="FFFFFF"/>
          <w:lang w:val="es-MX"/>
        </w:rPr>
      </w:pPr>
      <w:r w:rsidRPr="00551222">
        <w:rPr>
          <w:rFonts w:ascii="Arial" w:hAnsi="Arial" w:cs="Arial"/>
          <w:lang w:val="es-MX"/>
        </w:rPr>
        <w:t xml:space="preserve">En tercer lugar, una vez explicadas las restricciones para celebrar </w:t>
      </w:r>
      <w:r w:rsidRPr="00551222">
        <w:rPr>
          <w:rFonts w:ascii="Arial" w:hAnsi="Arial" w:cs="Arial"/>
          <w:lang w:val="es-MX" w:eastAsia="es-CO"/>
        </w:rPr>
        <w:t xml:space="preserve">celebración de contratos y convenios interadministrativos y para la modificación de nóminas, </w:t>
      </w:r>
      <w:r w:rsidRPr="00551222">
        <w:rPr>
          <w:rFonts w:ascii="Arial" w:hAnsi="Arial" w:cs="Arial"/>
          <w:lang w:val="es-MX"/>
        </w:rPr>
        <w:t xml:space="preserve">es imperioso referirse </w:t>
      </w:r>
      <w:r w:rsidRPr="00551222">
        <w:rPr>
          <w:rFonts w:ascii="Arial" w:hAnsi="Arial" w:cs="Arial"/>
          <w:shd w:val="clear" w:color="auto" w:fill="FFFFFF"/>
          <w:lang w:val="es-MX"/>
        </w:rPr>
        <w:t>al periodo de duración de la Ley de Garantías Electorales por elecciones de autoridades locales que se llevarán a cabo en el año en curso.</w:t>
      </w:r>
      <w:r w:rsidRPr="00551222">
        <w:rPr>
          <w:rFonts w:ascii="Arial" w:hAnsi="Arial" w:cs="Arial"/>
          <w:lang w:val="es-MX"/>
        </w:rPr>
        <w:t xml:space="preserve"> </w:t>
      </w:r>
      <w:r w:rsidRPr="00551222">
        <w:rPr>
          <w:rFonts w:ascii="Arial" w:hAnsi="Arial" w:cs="Arial"/>
          <w:shd w:val="clear" w:color="auto" w:fill="FFFFFF"/>
          <w:lang w:val="es-MX"/>
        </w:rPr>
        <w:t xml:space="preserve">La Ley 996 de 2005 establece que dichas prohibiciones se aplicarán durante los cuatro (4) meses anteriores a las elecciones. Con motivo de las elecciones de autoridades locales que se realizan el último domingo del mes de octubre, es decir el 29 de octubre de 2023, la mencionada ley </w:t>
      </w:r>
      <w:proofErr w:type="gramStart"/>
      <w:r w:rsidRPr="00551222">
        <w:rPr>
          <w:rFonts w:ascii="Arial" w:hAnsi="Arial" w:cs="Arial"/>
          <w:shd w:val="clear" w:color="auto" w:fill="FFFFFF"/>
          <w:lang w:val="es-MX"/>
        </w:rPr>
        <w:t>entrará en vigencia</w:t>
      </w:r>
      <w:proofErr w:type="gramEnd"/>
      <w:r w:rsidRPr="00551222">
        <w:rPr>
          <w:rFonts w:ascii="Arial" w:hAnsi="Arial" w:cs="Arial"/>
          <w:shd w:val="clear" w:color="auto" w:fill="FFFFFF"/>
          <w:lang w:val="es-MX"/>
        </w:rPr>
        <w:t xml:space="preserve"> desde el próximo 29 de junio y se extenderá hasta el día en el que se celebran las elecciones.</w:t>
      </w:r>
    </w:p>
    <w:bookmarkEnd w:id="12"/>
    <w:p w14:paraId="366EDF76" w14:textId="77777777" w:rsidR="00551222" w:rsidRPr="00551222" w:rsidRDefault="00551222" w:rsidP="00551222">
      <w:pPr>
        <w:tabs>
          <w:tab w:val="left" w:pos="426"/>
        </w:tabs>
        <w:spacing w:after="0" w:line="276" w:lineRule="auto"/>
        <w:contextualSpacing/>
        <w:jc w:val="both"/>
        <w:rPr>
          <w:rFonts w:ascii="Arial" w:eastAsia="Calibri" w:hAnsi="Arial" w:cs="Arial"/>
          <w:lang w:val="es-MX"/>
        </w:rPr>
      </w:pPr>
    </w:p>
    <w:p w14:paraId="567F9260" w14:textId="77777777" w:rsidR="00551222" w:rsidRPr="00551222" w:rsidRDefault="00551222" w:rsidP="00551222">
      <w:pPr>
        <w:spacing w:after="0" w:line="276" w:lineRule="auto"/>
        <w:ind w:right="79"/>
        <w:contextualSpacing/>
        <w:jc w:val="both"/>
        <w:rPr>
          <w:rFonts w:ascii="Arial" w:eastAsia="Calibri" w:hAnsi="Arial" w:cs="Arial"/>
          <w:b/>
          <w:noProof/>
          <w:lang w:val="es-ES_tradnl"/>
        </w:rPr>
      </w:pPr>
      <w:bookmarkStart w:id="24" w:name="_1y810tw" w:colFirst="0" w:colLast="0"/>
      <w:bookmarkStart w:id="25" w:name="_2xcytpi" w:colFirst="0" w:colLast="0"/>
      <w:bookmarkStart w:id="26" w:name="_1ci93xb" w:colFirst="0" w:colLast="0"/>
      <w:bookmarkStart w:id="27" w:name="_3whwml4" w:colFirst="0" w:colLast="0"/>
      <w:bookmarkEnd w:id="24"/>
      <w:bookmarkEnd w:id="25"/>
      <w:bookmarkEnd w:id="26"/>
      <w:bookmarkEnd w:id="27"/>
      <w:r w:rsidRPr="00551222">
        <w:rPr>
          <w:rFonts w:ascii="Arial" w:eastAsia="Calibri" w:hAnsi="Arial" w:cs="Arial"/>
          <w:b/>
          <w:noProof/>
          <w:lang w:val="es-ES_tradnl"/>
        </w:rPr>
        <w:t>3. Respuesta</w:t>
      </w:r>
    </w:p>
    <w:p w14:paraId="771F44EA" w14:textId="77777777" w:rsidR="00551222" w:rsidRPr="00551222" w:rsidRDefault="00551222" w:rsidP="00551222">
      <w:pPr>
        <w:spacing w:after="0" w:line="276" w:lineRule="auto"/>
        <w:ind w:right="79"/>
        <w:contextualSpacing/>
        <w:jc w:val="both"/>
        <w:rPr>
          <w:rFonts w:ascii="Arial" w:eastAsia="Calibri" w:hAnsi="Arial" w:cs="Arial"/>
          <w:b/>
          <w:noProof/>
          <w:lang w:val="es-ES_tradnl"/>
        </w:rPr>
      </w:pPr>
    </w:p>
    <w:p w14:paraId="05A3AF43" w14:textId="77777777" w:rsidR="00551222" w:rsidRPr="00551222" w:rsidRDefault="00551222" w:rsidP="00551222">
      <w:pPr>
        <w:spacing w:after="0" w:line="240" w:lineRule="auto"/>
        <w:ind w:left="709" w:right="709"/>
        <w:contextualSpacing/>
        <w:jc w:val="both"/>
        <w:rPr>
          <w:rFonts w:ascii="Arial" w:hAnsi="Arial" w:cs="Arial"/>
          <w:sz w:val="21"/>
          <w:szCs w:val="21"/>
          <w:lang w:val="es-ES_tradnl"/>
        </w:rPr>
      </w:pPr>
      <w:r w:rsidRPr="00551222">
        <w:rPr>
          <w:rFonts w:ascii="Arial" w:hAnsi="Arial" w:cs="Arial"/>
          <w:sz w:val="21"/>
          <w:szCs w:val="21"/>
          <w:lang w:val="es-ES_tradnl"/>
        </w:rPr>
        <w:t>“Teniendo en cuenta la expedición de la Resolución No. 28229 del 14 de octubre de 2022 por parte de la Registraduría Nacional del Estado Civil, a través de la cual se estableció el calendario electoral para llevar a cabo las elecciones de autoridades territoriales: gobernadores, alcaldes, diputados, concejales, ediles y miembros de las juntas administradoras locales (cuando aplique), el 29 de octubre de 2023 y toda vez</w:t>
      </w:r>
    </w:p>
    <w:p w14:paraId="73874054" w14:textId="77777777" w:rsidR="00551222" w:rsidRPr="00551222" w:rsidRDefault="00551222" w:rsidP="00551222">
      <w:pPr>
        <w:spacing w:after="0" w:line="240" w:lineRule="auto"/>
        <w:ind w:left="709" w:right="709"/>
        <w:contextualSpacing/>
        <w:jc w:val="both"/>
        <w:rPr>
          <w:rFonts w:ascii="Arial" w:hAnsi="Arial" w:cs="Arial"/>
          <w:sz w:val="21"/>
          <w:szCs w:val="21"/>
          <w:lang w:val="es-ES_tradnl"/>
        </w:rPr>
      </w:pPr>
      <w:r w:rsidRPr="00551222">
        <w:rPr>
          <w:rFonts w:ascii="Arial" w:hAnsi="Arial" w:cs="Arial"/>
          <w:sz w:val="21"/>
          <w:szCs w:val="21"/>
          <w:lang w:val="es-ES_tradnl"/>
        </w:rPr>
        <w:lastRenderedPageBreak/>
        <w:t>que mediante el parágrafo único del artículo 38 de la Ley 996 de 2005, se establecieron restricciones en materia de nómina y celebración de contratos y convenios interadministrativos dentro de los cuatro meses anteriores a la celebración de las elecciones.</w:t>
      </w:r>
    </w:p>
    <w:p w14:paraId="26BBD00D" w14:textId="77777777" w:rsidR="00551222" w:rsidRPr="00551222" w:rsidRDefault="00551222" w:rsidP="00551222">
      <w:pPr>
        <w:spacing w:after="0" w:line="240" w:lineRule="auto"/>
        <w:ind w:left="709" w:right="709"/>
        <w:contextualSpacing/>
        <w:jc w:val="both"/>
        <w:rPr>
          <w:rFonts w:ascii="Arial" w:hAnsi="Arial" w:cs="Arial"/>
          <w:sz w:val="21"/>
          <w:szCs w:val="21"/>
          <w:lang w:val="es-ES_tradnl"/>
        </w:rPr>
      </w:pPr>
    </w:p>
    <w:p w14:paraId="0E294E2E" w14:textId="77777777" w:rsidR="00551222" w:rsidRPr="00551222" w:rsidRDefault="00551222" w:rsidP="00551222">
      <w:pPr>
        <w:spacing w:after="0" w:line="240" w:lineRule="auto"/>
        <w:ind w:left="709" w:right="709"/>
        <w:contextualSpacing/>
        <w:jc w:val="both"/>
        <w:rPr>
          <w:rFonts w:ascii="Arial" w:hAnsi="Arial" w:cs="Arial"/>
          <w:sz w:val="21"/>
          <w:szCs w:val="21"/>
          <w:lang w:val="es-ES_tradnl"/>
        </w:rPr>
      </w:pPr>
      <w:proofErr w:type="gramStart"/>
      <w:r w:rsidRPr="00551222">
        <w:rPr>
          <w:rFonts w:ascii="Arial" w:hAnsi="Arial" w:cs="Arial"/>
          <w:sz w:val="21"/>
          <w:szCs w:val="21"/>
          <w:lang w:val="es-ES_tradnl"/>
        </w:rPr>
        <w:t>Cuál es la fecha límite para la celebración de contratos y convenios interadministrativos, así como realizar movimientos en la nómina?</w:t>
      </w:r>
      <w:proofErr w:type="gramEnd"/>
      <w:r w:rsidRPr="00551222">
        <w:rPr>
          <w:rFonts w:ascii="Arial" w:hAnsi="Arial" w:cs="Arial"/>
          <w:sz w:val="21"/>
          <w:szCs w:val="21"/>
          <w:lang w:val="es-ES_tradnl"/>
        </w:rPr>
        <w:t xml:space="preserve"> lo anterior en el entendido que la norma señala que son 4 meses anteriores a la jornada de las elecciones”.</w:t>
      </w:r>
    </w:p>
    <w:p w14:paraId="61A8EAD0" w14:textId="77777777" w:rsidR="00551222" w:rsidRPr="00551222" w:rsidRDefault="00551222" w:rsidP="00551222">
      <w:pPr>
        <w:spacing w:after="0" w:line="240" w:lineRule="auto"/>
        <w:ind w:left="567" w:right="786"/>
        <w:jc w:val="both"/>
        <w:rPr>
          <w:rFonts w:ascii="Arial" w:hAnsi="Arial" w:cs="Arial"/>
          <w:color w:val="FF0000"/>
          <w:lang w:val="es-ES_tradnl"/>
        </w:rPr>
      </w:pPr>
    </w:p>
    <w:p w14:paraId="28451EEE" w14:textId="77777777" w:rsidR="00551222" w:rsidRPr="00551222" w:rsidRDefault="00551222" w:rsidP="00551222">
      <w:pPr>
        <w:spacing w:after="120" w:line="276" w:lineRule="auto"/>
        <w:jc w:val="both"/>
        <w:rPr>
          <w:rFonts w:ascii="Arial" w:eastAsia="Arial" w:hAnsi="Arial" w:cs="Arial"/>
          <w:lang w:val="es-ES" w:eastAsia="es-ES" w:bidi="es-ES"/>
        </w:rPr>
      </w:pPr>
      <w:r w:rsidRPr="00551222">
        <w:rPr>
          <w:rFonts w:ascii="Arial" w:eastAsia="Arial" w:hAnsi="Arial" w:cs="Arial"/>
          <w:lang w:val="es-MX"/>
        </w:rPr>
        <w:t xml:space="preserve">De acuerdo con la interpretación de las normas generales del sistema de compras y contratación pública, </w:t>
      </w:r>
      <w:r w:rsidRPr="00551222">
        <w:rPr>
          <w:rFonts w:ascii="Arial" w:eastAsia="Arial" w:hAnsi="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7EC0637A" w14:textId="77777777" w:rsidR="00551222" w:rsidRPr="00551222" w:rsidRDefault="00551222" w:rsidP="00551222">
      <w:pPr>
        <w:spacing w:after="120" w:line="276" w:lineRule="auto"/>
        <w:ind w:firstLine="709"/>
        <w:jc w:val="both"/>
        <w:rPr>
          <w:rFonts w:ascii="Arial" w:hAnsi="Arial" w:cs="Arial"/>
          <w:shd w:val="clear" w:color="auto" w:fill="FFFFFF"/>
          <w:lang w:val="es-MX"/>
        </w:rPr>
      </w:pPr>
      <w:r w:rsidRPr="00551222">
        <w:rPr>
          <w:rFonts w:ascii="Arial" w:hAnsi="Arial" w:cs="Arial"/>
          <w:bCs/>
          <w:lang w:val="es-ES_tradnl" w:eastAsia="es-CO"/>
        </w:rPr>
        <w:t>Teniendo en cuenta la pregunta planteada, es importante resaltar que, por un lado, el inciso primero del</w:t>
      </w:r>
      <w:r w:rsidRPr="00551222">
        <w:rPr>
          <w:rFonts w:ascii="Arial" w:hAnsi="Arial" w:cs="Arial"/>
          <w:bCs/>
          <w:lang w:val="es-MX" w:eastAsia="es-CO"/>
        </w:rPr>
        <w:t xml:space="preserve"> parágrafo del artículo 38 de la Ley de Garantías Electorales, establece una restricción en virtud de la cual, durante el periodo de cuatro (4) meses anteriores a cualquier jornada de elecciones, las entidades territoriales, como es el caso de los municipios a los cuales se hace referencia en su consulta, no pueden suscribir convenios interadministrativos que impliquen la ejecución de recursos públicos. Por otro lado, d</w:t>
      </w:r>
      <w:r w:rsidRPr="00551222">
        <w:rPr>
          <w:rFonts w:ascii="Arial" w:hAnsi="Arial" w:cs="Arial"/>
          <w:shd w:val="clear" w:color="auto" w:fill="FFFFFF"/>
          <w:lang w:val="es-MX"/>
        </w:rPr>
        <w:t xml:space="preserve">e acuerdo con el inciso cuarto </w:t>
      </w:r>
      <w:r w:rsidRPr="00551222">
        <w:rPr>
          <w:rFonts w:ascii="Arial" w:hAnsi="Arial" w:cs="Arial"/>
          <w:i/>
          <w:iCs/>
          <w:shd w:val="clear" w:color="auto" w:fill="FFFFFF"/>
          <w:lang w:val="es-MX"/>
        </w:rPr>
        <w:t>ibidem</w:t>
      </w:r>
      <w:r w:rsidRPr="00551222">
        <w:rPr>
          <w:rFonts w:ascii="Arial" w:hAnsi="Arial" w:cs="Arial"/>
          <w:shd w:val="clear" w:color="auto" w:fill="FFFFFF"/>
          <w:lang w:val="es-MX"/>
        </w:rPr>
        <w:t xml:space="preserve">, la nómina del respectivo ente territorial o entidad estatal no se podrá modificar dentro de los cuatro (4) meses anteriores a las elecciones a cargos de elección popular, salvo que se trate de la provisión de cargos por faltas definitivas, con ocasión de muerte o renuncia irrevocable del cargo correspondiente debidamente aceptada y en los casos de aplicación de las normas de carrera administrativa. </w:t>
      </w:r>
    </w:p>
    <w:p w14:paraId="35B5496A" w14:textId="77777777" w:rsidR="00551222" w:rsidRPr="00551222" w:rsidRDefault="00551222" w:rsidP="00551222">
      <w:pPr>
        <w:spacing w:after="120" w:line="276" w:lineRule="auto"/>
        <w:ind w:firstLine="709"/>
        <w:jc w:val="both"/>
        <w:rPr>
          <w:rFonts w:ascii="Arial" w:hAnsi="Arial" w:cs="Arial"/>
          <w:shd w:val="clear" w:color="auto" w:fill="FFFFFF"/>
          <w:lang w:val="es-MX"/>
        </w:rPr>
      </w:pPr>
      <w:r w:rsidRPr="00551222">
        <w:rPr>
          <w:rFonts w:ascii="Arial" w:hAnsi="Arial" w:cs="Arial"/>
          <w:shd w:val="clear" w:color="auto" w:fill="FFFFFF"/>
          <w:lang w:val="es-MX"/>
        </w:rPr>
        <w:t xml:space="preserve">Respecto al periodo de duración de la Ley de Garantías Electorales por elecciones de autoridades locales que se llevarán a cabo en el año en curso, es menester indicar que, la Ley 996 de 2005 establece que dichas prohibiciones se aplicaran durante los cuatro (4) meses anteriores a las elecciones. Con motivo de las elecciones de autoridades locales que se realizan el último domingo del mes de octubre, es decir el 29 de octubre de 2023, la mencionada ley </w:t>
      </w:r>
      <w:proofErr w:type="gramStart"/>
      <w:r w:rsidRPr="00551222">
        <w:rPr>
          <w:rFonts w:ascii="Arial" w:hAnsi="Arial" w:cs="Arial"/>
          <w:shd w:val="clear" w:color="auto" w:fill="FFFFFF"/>
          <w:lang w:val="es-MX"/>
        </w:rPr>
        <w:t>entrará en vigencia</w:t>
      </w:r>
      <w:proofErr w:type="gramEnd"/>
      <w:r w:rsidRPr="00551222">
        <w:rPr>
          <w:rFonts w:ascii="Arial" w:hAnsi="Arial" w:cs="Arial"/>
          <w:shd w:val="clear" w:color="auto" w:fill="FFFFFF"/>
          <w:lang w:val="es-MX"/>
        </w:rPr>
        <w:t xml:space="preserve"> desde el próximo 29 de junio y se extenderá hasta el día en el que se celebran las elecciones.</w:t>
      </w:r>
    </w:p>
    <w:p w14:paraId="06CE385C" w14:textId="77777777" w:rsidR="00551222" w:rsidRPr="00551222" w:rsidRDefault="00551222" w:rsidP="00551222">
      <w:pPr>
        <w:spacing w:after="0" w:line="276" w:lineRule="auto"/>
        <w:ind w:firstLine="709"/>
        <w:jc w:val="both"/>
        <w:rPr>
          <w:rFonts w:ascii="Arial" w:hAnsi="Arial" w:cs="Arial"/>
          <w:bCs/>
          <w:lang w:val="es-ES"/>
        </w:rPr>
      </w:pPr>
      <w:r w:rsidRPr="00551222">
        <w:rPr>
          <w:rFonts w:ascii="Arial" w:eastAsia="Calibri" w:hAnsi="Arial"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551222">
        <w:rPr>
          <w:rFonts w:ascii="Arial" w:hAnsi="Arial" w:cs="Arial"/>
          <w:bCs/>
          <w:lang w:val="es-ES"/>
        </w:rPr>
        <w:t xml:space="preserve"> </w:t>
      </w:r>
    </w:p>
    <w:p w14:paraId="3054D486" w14:textId="77777777" w:rsidR="00551222" w:rsidRPr="00551222" w:rsidRDefault="00551222" w:rsidP="00551222">
      <w:pPr>
        <w:spacing w:after="0" w:line="276" w:lineRule="auto"/>
        <w:ind w:firstLine="709"/>
        <w:jc w:val="both"/>
        <w:rPr>
          <w:rFonts w:ascii="Arial" w:hAnsi="Arial" w:cs="Arial"/>
          <w:bCs/>
          <w:lang w:val="es-ES"/>
        </w:rPr>
      </w:pPr>
    </w:p>
    <w:p w14:paraId="4169EDE0" w14:textId="77777777" w:rsidR="00551222" w:rsidRPr="00551222" w:rsidRDefault="00551222" w:rsidP="00551222">
      <w:pPr>
        <w:spacing w:after="0" w:line="276" w:lineRule="auto"/>
        <w:jc w:val="both"/>
        <w:rPr>
          <w:rFonts w:ascii="Arial" w:eastAsia="Calibri" w:hAnsi="Arial" w:cs="Arial"/>
        </w:rPr>
      </w:pPr>
      <w:r w:rsidRPr="00551222">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7D77202" w14:textId="77777777" w:rsidR="00551222" w:rsidRPr="00551222" w:rsidRDefault="00551222" w:rsidP="00551222">
      <w:pPr>
        <w:spacing w:after="0" w:line="276" w:lineRule="auto"/>
        <w:jc w:val="both"/>
        <w:rPr>
          <w:rFonts w:ascii="Times New Roman" w:eastAsia="Times New Roman" w:hAnsi="Times New Roman" w:cs="Times New Roman"/>
          <w:sz w:val="24"/>
          <w:szCs w:val="24"/>
          <w:lang w:eastAsia="es-ES_tradnl"/>
        </w:rPr>
      </w:pPr>
    </w:p>
    <w:p w14:paraId="3F3D8314" w14:textId="77777777" w:rsidR="00551222" w:rsidRPr="00551222" w:rsidRDefault="00551222" w:rsidP="00551222">
      <w:pPr>
        <w:spacing w:after="0" w:line="276" w:lineRule="auto"/>
        <w:jc w:val="both"/>
        <w:rPr>
          <w:rFonts w:ascii="Arial" w:hAnsi="Arial" w:cs="Arial"/>
          <w:lang w:val="es-ES_tradnl" w:eastAsia="es-CO"/>
        </w:rPr>
      </w:pPr>
      <w:bookmarkStart w:id="28" w:name="_Hlk50986665"/>
      <w:bookmarkStart w:id="29" w:name="_Hlk52766744"/>
      <w:r w:rsidRPr="00551222">
        <w:rPr>
          <w:rFonts w:ascii="Arial" w:hAnsi="Arial" w:cs="Arial"/>
          <w:lang w:val="es-ES_tradnl" w:eastAsia="es-CO"/>
        </w:rPr>
        <w:t>Atentamente,</w:t>
      </w:r>
    </w:p>
    <w:p w14:paraId="35DA73A1" w14:textId="413E00D3" w:rsidR="00551222" w:rsidRPr="00551222" w:rsidRDefault="00BE2710" w:rsidP="00551222">
      <w:pPr>
        <w:spacing w:after="240" w:line="276" w:lineRule="auto"/>
        <w:jc w:val="center"/>
        <w:rPr>
          <w:rFonts w:ascii="Arial" w:eastAsia="Yu Gothic UI Semibold" w:hAnsi="Arial" w:cs="Arial"/>
          <w:noProof/>
          <w:highlight w:val="yellow"/>
          <w:lang w:eastAsia="es-CO"/>
        </w:rPr>
      </w:pPr>
      <w:r>
        <w:rPr>
          <w:rFonts w:ascii="Arial" w:hAnsi="Arial" w:cs="Arial"/>
          <w:noProof/>
          <w:sz w:val="16"/>
          <w:szCs w:val="16"/>
          <w:lang w:val="es-ES"/>
        </w:rPr>
        <w:drawing>
          <wp:inline distT="0" distB="0" distL="0" distR="0" wp14:anchorId="02B27C2B" wp14:editId="1452251C">
            <wp:extent cx="3276600" cy="1258405"/>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2103" cy="126820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551222" w:rsidRPr="00551222" w14:paraId="4B2C3C15" w14:textId="77777777" w:rsidTr="00DB1B04">
        <w:trPr>
          <w:trHeight w:val="111"/>
        </w:trPr>
        <w:tc>
          <w:tcPr>
            <w:tcW w:w="1107" w:type="dxa"/>
            <w:vAlign w:val="center"/>
            <w:hideMark/>
          </w:tcPr>
          <w:p w14:paraId="1892A768" w14:textId="77777777"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Elaboró:</w:t>
            </w:r>
          </w:p>
        </w:tc>
        <w:tc>
          <w:tcPr>
            <w:tcW w:w="5186" w:type="dxa"/>
            <w:tcBorders>
              <w:top w:val="nil"/>
              <w:left w:val="nil"/>
              <w:bottom w:val="dotted" w:sz="4" w:space="0" w:color="7F7F7F" w:themeColor="text1" w:themeTint="80"/>
              <w:right w:val="nil"/>
            </w:tcBorders>
            <w:vAlign w:val="center"/>
            <w:hideMark/>
          </w:tcPr>
          <w:p w14:paraId="4D2CF1EF" w14:textId="77777777"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 xml:space="preserve">Diana Lucía Saavedra Castañeda </w:t>
            </w:r>
          </w:p>
          <w:p w14:paraId="504A3DA8" w14:textId="77777777"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551222" w:rsidRPr="00551222" w14:paraId="52733DE7" w14:textId="77777777" w:rsidTr="00DB1B04">
        <w:trPr>
          <w:trHeight w:val="229"/>
        </w:trPr>
        <w:tc>
          <w:tcPr>
            <w:tcW w:w="1107" w:type="dxa"/>
            <w:vAlign w:val="center"/>
            <w:hideMark/>
          </w:tcPr>
          <w:p w14:paraId="7B09DA9A" w14:textId="77777777"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44143224" w14:textId="77777777" w:rsidR="00551222" w:rsidRPr="00551222" w:rsidRDefault="00551222" w:rsidP="00551222">
            <w:pPr>
              <w:jc w:val="both"/>
              <w:rPr>
                <w:rFonts w:ascii="Arial" w:hAnsi="Arial" w:cs="Arial"/>
                <w:sz w:val="16"/>
                <w:szCs w:val="16"/>
                <w:lang w:val="es-ES_tradnl" w:eastAsia="es-ES"/>
              </w:rPr>
            </w:pPr>
            <w:r w:rsidRPr="00551222">
              <w:rPr>
                <w:rFonts w:ascii="Arial" w:hAnsi="Arial" w:cs="Arial"/>
                <w:sz w:val="16"/>
                <w:szCs w:val="16"/>
                <w:lang w:val="es-ES_tradnl" w:eastAsia="es-ES"/>
              </w:rPr>
              <w:t xml:space="preserve">Alejandro Sarmiento Cantillo </w:t>
            </w:r>
          </w:p>
          <w:p w14:paraId="55D47401" w14:textId="77777777" w:rsidR="00551222" w:rsidRPr="00551222" w:rsidRDefault="00551222" w:rsidP="00551222">
            <w:pPr>
              <w:jc w:val="both"/>
              <w:rPr>
                <w:rFonts w:ascii="Arial" w:eastAsia="Yu Gothic UI Semibold" w:hAnsi="Arial" w:cs="Arial"/>
                <w:color w:val="000000" w:themeColor="text1"/>
                <w:sz w:val="16"/>
                <w:szCs w:val="16"/>
                <w:lang w:val="es-ES" w:eastAsia="es-ES"/>
              </w:rPr>
            </w:pPr>
            <w:r w:rsidRPr="00551222">
              <w:rPr>
                <w:rFonts w:ascii="Arial" w:hAnsi="Arial" w:cs="Arial"/>
                <w:sz w:val="16"/>
                <w:szCs w:val="16"/>
                <w:lang w:val="es-ES_tradnl" w:eastAsia="es-ES"/>
              </w:rPr>
              <w:t>Gestor T1-15 de la Subdirección de Gestión Contractual</w:t>
            </w:r>
          </w:p>
        </w:tc>
      </w:tr>
      <w:tr w:rsidR="00551222" w:rsidRPr="00551222" w14:paraId="25E658B8" w14:textId="77777777" w:rsidTr="00DB1B04">
        <w:trPr>
          <w:trHeight w:val="208"/>
        </w:trPr>
        <w:tc>
          <w:tcPr>
            <w:tcW w:w="1107" w:type="dxa"/>
            <w:vAlign w:val="center"/>
            <w:hideMark/>
          </w:tcPr>
          <w:p w14:paraId="2A1AA435" w14:textId="77777777" w:rsidR="00551222" w:rsidRPr="00551222" w:rsidRDefault="00551222" w:rsidP="00551222">
            <w:pPr>
              <w:jc w:val="both"/>
              <w:rPr>
                <w:rFonts w:ascii="Arial" w:eastAsia="Yu Gothic UI Semibold" w:hAnsi="Arial" w:cs="Arial"/>
                <w:sz w:val="16"/>
                <w:szCs w:val="16"/>
                <w:lang w:val="es-ES_tradnl" w:eastAsia="es-ES"/>
              </w:rPr>
            </w:pPr>
            <w:r w:rsidRPr="00551222">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5B1A3E33" w14:textId="77777777" w:rsidR="00551222" w:rsidRPr="00551222" w:rsidRDefault="00551222" w:rsidP="00551222">
            <w:pPr>
              <w:rPr>
                <w:rFonts w:ascii="Arial" w:eastAsia="Yu Gothic UI Semibold" w:hAnsi="Arial" w:cs="Arial"/>
                <w:color w:val="000000"/>
                <w:sz w:val="16"/>
                <w:szCs w:val="16"/>
                <w:lang w:val="es-MX"/>
              </w:rPr>
            </w:pPr>
            <w:r w:rsidRPr="00551222">
              <w:rPr>
                <w:rFonts w:ascii="Arial" w:eastAsia="Yu Gothic UI Semibold" w:hAnsi="Arial" w:cs="Arial"/>
                <w:color w:val="000000"/>
                <w:sz w:val="16"/>
                <w:szCs w:val="16"/>
                <w:lang w:val="es-MX"/>
              </w:rPr>
              <w:t>Nohelia del Carmen Zawady Palacio</w:t>
            </w:r>
          </w:p>
          <w:p w14:paraId="18D1062B" w14:textId="77777777"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sz w:val="16"/>
                <w:szCs w:val="16"/>
                <w:lang w:val="es-MX"/>
              </w:rPr>
              <w:t>Subdirectora de Gestión Contractual ANCP – CCE</w:t>
            </w:r>
          </w:p>
        </w:tc>
      </w:tr>
    </w:tbl>
    <w:p w14:paraId="10E64E0F" w14:textId="77777777" w:rsidR="00551222" w:rsidRPr="00551222" w:rsidRDefault="00551222" w:rsidP="00551222">
      <w:pPr>
        <w:spacing w:after="240" w:line="276" w:lineRule="auto"/>
        <w:jc w:val="both"/>
        <w:rPr>
          <w:rFonts w:ascii="Arial" w:eastAsia="Yu Gothic UI Semibold" w:hAnsi="Arial" w:cs="Arial"/>
          <w:lang w:val="es-ES_tradnl"/>
        </w:rPr>
      </w:pPr>
    </w:p>
    <w:p w14:paraId="6E4D464D" w14:textId="77777777" w:rsidR="00551222" w:rsidRPr="00551222" w:rsidRDefault="00551222" w:rsidP="00551222">
      <w:pPr>
        <w:spacing w:after="0" w:line="276" w:lineRule="auto"/>
        <w:jc w:val="both"/>
        <w:rPr>
          <w:rFonts w:ascii="Arial" w:hAnsi="Arial" w:cs="Arial"/>
          <w:lang w:val="es-ES_tradnl" w:eastAsia="es-CO"/>
        </w:rPr>
      </w:pPr>
    </w:p>
    <w:bookmarkEnd w:id="0"/>
    <w:bookmarkEnd w:id="28"/>
    <w:bookmarkEnd w:id="29"/>
    <w:p w14:paraId="0F293BF4" w14:textId="0F6FB6C1" w:rsidR="00127233" w:rsidRPr="00551222" w:rsidRDefault="00127233" w:rsidP="00551222"/>
    <w:sectPr w:rsidR="00127233" w:rsidRPr="00551222" w:rsidSect="0039439C">
      <w:headerReference w:type="default" r:id="rId16"/>
      <w:footerReference w:type="default" r:id="rId17"/>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9C83" w14:textId="77777777" w:rsidR="003C013B" w:rsidRDefault="003C013B" w:rsidP="004A1847">
      <w:pPr>
        <w:spacing w:after="0" w:line="240" w:lineRule="auto"/>
      </w:pPr>
      <w:r>
        <w:separator/>
      </w:r>
    </w:p>
  </w:endnote>
  <w:endnote w:type="continuationSeparator" w:id="0">
    <w:p w14:paraId="6BD29EF8" w14:textId="77777777" w:rsidR="003C013B" w:rsidRDefault="003C013B" w:rsidP="004A1847">
      <w:pPr>
        <w:spacing w:after="0" w:line="240" w:lineRule="auto"/>
      </w:pPr>
      <w:r>
        <w:continuationSeparator/>
      </w:r>
    </w:p>
  </w:endnote>
  <w:endnote w:type="continuationNotice" w:id="1">
    <w:p w14:paraId="734496CF"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9292" w14:textId="77777777" w:rsidR="003C013B" w:rsidRDefault="003C013B" w:rsidP="004A1847">
      <w:pPr>
        <w:spacing w:after="0" w:line="240" w:lineRule="auto"/>
      </w:pPr>
      <w:r>
        <w:separator/>
      </w:r>
    </w:p>
  </w:footnote>
  <w:footnote w:type="continuationSeparator" w:id="0">
    <w:p w14:paraId="6DB9A571" w14:textId="77777777" w:rsidR="003C013B" w:rsidRDefault="003C013B" w:rsidP="004A1847">
      <w:pPr>
        <w:spacing w:after="0" w:line="240" w:lineRule="auto"/>
      </w:pPr>
      <w:r>
        <w:continuationSeparator/>
      </w:r>
    </w:p>
  </w:footnote>
  <w:footnote w:type="continuationNotice" w:id="1">
    <w:p w14:paraId="36013B00" w14:textId="77777777" w:rsidR="00DF1E43" w:rsidRDefault="00DF1E43">
      <w:pPr>
        <w:spacing w:after="0" w:line="240" w:lineRule="auto"/>
      </w:pPr>
    </w:p>
  </w:footnote>
  <w:footnote w:id="2">
    <w:p w14:paraId="2293B901"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C42017">
          <w:rPr>
            <w:rStyle w:val="Hipervnculo"/>
            <w:rFonts w:ascii="Arial" w:hAnsi="Arial" w:cs="Arial"/>
            <w:sz w:val="16"/>
            <w:szCs w:val="16"/>
          </w:rPr>
          <w:t>https://relatoria.colombiacompra.gov.co/busqueda/conceptos</w:t>
        </w:r>
      </w:hyperlink>
    </w:p>
    <w:p w14:paraId="182D2B51" w14:textId="77777777" w:rsidR="00551222" w:rsidRPr="00C42017" w:rsidRDefault="00551222" w:rsidP="00C42017">
      <w:pPr>
        <w:pStyle w:val="Textonotapie"/>
        <w:ind w:firstLine="708"/>
        <w:contextualSpacing/>
        <w:jc w:val="both"/>
        <w:rPr>
          <w:rFonts w:ascii="Arial" w:hAnsi="Arial" w:cs="Arial"/>
          <w:sz w:val="16"/>
          <w:szCs w:val="16"/>
          <w:lang w:val="es-CO"/>
        </w:rPr>
      </w:pPr>
    </w:p>
  </w:footnote>
  <w:footnote w:id="3">
    <w:p w14:paraId="17E36EA3"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B181D23" w14:textId="77777777" w:rsidR="00551222" w:rsidRPr="00C42017" w:rsidRDefault="00551222" w:rsidP="00C42017">
      <w:pPr>
        <w:pStyle w:val="Textonotapie"/>
        <w:ind w:firstLine="709"/>
        <w:contextualSpacing/>
        <w:jc w:val="both"/>
        <w:rPr>
          <w:rFonts w:ascii="Arial" w:hAnsi="Arial" w:cs="Arial"/>
          <w:sz w:val="16"/>
          <w:szCs w:val="16"/>
        </w:rPr>
      </w:pPr>
    </w:p>
    <w:p w14:paraId="37228ADA" w14:textId="77777777" w:rsidR="00551222" w:rsidRPr="00C42017" w:rsidRDefault="00551222" w:rsidP="00C42017">
      <w:pPr>
        <w:pStyle w:val="Textonotapie"/>
        <w:ind w:firstLine="709"/>
        <w:contextualSpacing/>
        <w:jc w:val="both"/>
        <w:rPr>
          <w:rFonts w:ascii="Arial" w:hAnsi="Arial" w:cs="Arial"/>
          <w:sz w:val="16"/>
          <w:szCs w:val="16"/>
        </w:rPr>
      </w:pPr>
      <w:r w:rsidRPr="00C42017">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3359D72" w14:textId="77777777" w:rsidR="00551222" w:rsidRPr="00C42017" w:rsidRDefault="00551222" w:rsidP="00C42017">
      <w:pPr>
        <w:pStyle w:val="Textonotapie"/>
        <w:ind w:firstLine="709"/>
        <w:contextualSpacing/>
        <w:jc w:val="both"/>
        <w:rPr>
          <w:rFonts w:ascii="Arial" w:hAnsi="Arial" w:cs="Arial"/>
          <w:sz w:val="16"/>
          <w:szCs w:val="16"/>
        </w:rPr>
      </w:pPr>
    </w:p>
  </w:footnote>
  <w:footnote w:id="4">
    <w:p w14:paraId="7AE5E67E"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Gaceta del Congreso de la República No. 71 del 2005.</w:t>
      </w:r>
    </w:p>
  </w:footnote>
  <w:footnote w:id="5">
    <w:p w14:paraId="60C865EF"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Corte Constitucional, Sentencia C- 1153 de 2005, M.P. Marco Gerardo Monroy Cabra.</w:t>
      </w:r>
    </w:p>
  </w:footnote>
  <w:footnote w:id="6">
    <w:p w14:paraId="02FB6CE7" w14:textId="77777777" w:rsidR="00551222" w:rsidRPr="00C42017" w:rsidRDefault="00551222" w:rsidP="00C42017">
      <w:pPr>
        <w:pStyle w:val="Textonotapie"/>
        <w:ind w:firstLine="709"/>
        <w:contextualSpacing/>
        <w:jc w:val="both"/>
        <w:rPr>
          <w:rFonts w:ascii="Arial" w:hAnsi="Arial" w:cs="Arial"/>
          <w:sz w:val="16"/>
          <w:szCs w:val="16"/>
        </w:rPr>
      </w:pPr>
    </w:p>
    <w:p w14:paraId="028D7CB0"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08F52A35" w14:textId="77777777" w:rsidR="00551222" w:rsidRPr="00C42017" w:rsidRDefault="00551222" w:rsidP="00C42017">
      <w:pPr>
        <w:pStyle w:val="Textonotapie"/>
        <w:ind w:firstLine="709"/>
        <w:contextualSpacing/>
        <w:jc w:val="both"/>
        <w:rPr>
          <w:rFonts w:ascii="Arial" w:hAnsi="Arial" w:cs="Arial"/>
          <w:sz w:val="16"/>
          <w:szCs w:val="16"/>
          <w:lang w:val="es-CO"/>
        </w:rPr>
      </w:pPr>
    </w:p>
    <w:p w14:paraId="4060FB8E" w14:textId="77777777" w:rsidR="00551222" w:rsidRPr="00C42017" w:rsidRDefault="00551222" w:rsidP="00C42017">
      <w:pPr>
        <w:pStyle w:val="Textonotapie"/>
        <w:ind w:firstLine="709"/>
        <w:contextualSpacing/>
        <w:jc w:val="both"/>
        <w:rPr>
          <w:rFonts w:ascii="Arial" w:hAnsi="Arial" w:cs="Arial"/>
          <w:sz w:val="16"/>
          <w:szCs w:val="16"/>
          <w:lang w:val="es-CO"/>
        </w:rPr>
      </w:pPr>
      <w:r w:rsidRPr="00C42017">
        <w:rPr>
          <w:rStyle w:val="Refdenotaalpie"/>
          <w:rFonts w:ascii="Arial" w:hAnsi="Arial" w:cs="Arial"/>
          <w:sz w:val="16"/>
          <w:szCs w:val="16"/>
        </w:rPr>
        <w:footnoteRef/>
      </w:r>
      <w:r w:rsidRPr="00C42017">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39F53AA" w14:textId="77777777" w:rsidR="00551222" w:rsidRPr="00C42017" w:rsidRDefault="00551222" w:rsidP="00C42017">
      <w:pPr>
        <w:pStyle w:val="Textonotapie"/>
        <w:ind w:firstLine="709"/>
        <w:contextualSpacing/>
        <w:jc w:val="both"/>
        <w:rPr>
          <w:rFonts w:ascii="Arial" w:hAnsi="Arial" w:cs="Arial"/>
          <w:sz w:val="16"/>
          <w:szCs w:val="16"/>
          <w:lang w:val="es-CO"/>
        </w:rPr>
      </w:pPr>
    </w:p>
  </w:footnote>
  <w:footnote w:id="8">
    <w:p w14:paraId="725989A8"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de fecha 24 de julio de 2013, radicado 2166, </w:t>
      </w:r>
      <w:proofErr w:type="gramStart"/>
      <w:r w:rsidRPr="00C42017">
        <w:rPr>
          <w:rFonts w:ascii="Arial" w:hAnsi="Arial" w:cs="Arial"/>
          <w:sz w:val="16"/>
          <w:szCs w:val="16"/>
        </w:rPr>
        <w:t>Consejero</w:t>
      </w:r>
      <w:proofErr w:type="gramEnd"/>
      <w:r w:rsidRPr="00C42017">
        <w:rPr>
          <w:rFonts w:ascii="Arial" w:hAnsi="Arial" w:cs="Arial"/>
          <w:sz w:val="16"/>
          <w:szCs w:val="16"/>
        </w:rPr>
        <w:t xml:space="preserve"> Ponente: Álvaro </w:t>
      </w:r>
      <w:proofErr w:type="spellStart"/>
      <w:r w:rsidRPr="00C42017">
        <w:rPr>
          <w:rFonts w:ascii="Arial" w:hAnsi="Arial" w:cs="Arial"/>
          <w:sz w:val="16"/>
          <w:szCs w:val="16"/>
        </w:rPr>
        <w:t>Namén</w:t>
      </w:r>
      <w:proofErr w:type="spellEnd"/>
      <w:r w:rsidRPr="00C42017">
        <w:rPr>
          <w:rFonts w:ascii="Arial" w:hAnsi="Arial" w:cs="Arial"/>
          <w:sz w:val="16"/>
          <w:szCs w:val="16"/>
        </w:rPr>
        <w:t xml:space="preserve"> Vargas.  </w:t>
      </w:r>
    </w:p>
    <w:p w14:paraId="7002D742" w14:textId="77777777" w:rsidR="00551222" w:rsidRPr="00C42017" w:rsidRDefault="00551222" w:rsidP="00C42017">
      <w:pPr>
        <w:pStyle w:val="Textonotapie"/>
        <w:ind w:firstLine="709"/>
        <w:contextualSpacing/>
        <w:jc w:val="both"/>
        <w:rPr>
          <w:rFonts w:ascii="Arial" w:hAnsi="Arial" w:cs="Arial"/>
          <w:sz w:val="16"/>
          <w:szCs w:val="16"/>
        </w:rPr>
      </w:pPr>
    </w:p>
  </w:footnote>
  <w:footnote w:id="9">
    <w:p w14:paraId="3808E81A"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w:t>
      </w:r>
      <w:bookmarkStart w:id="5" w:name="33"/>
      <w:r w:rsidRPr="00C42017">
        <w:rPr>
          <w:rFonts w:ascii="Arial" w:eastAsia="Calibri" w:hAnsi="Arial" w:cs="Arial"/>
          <w:color w:val="000000"/>
          <w:sz w:val="16"/>
          <w:szCs w:val="16"/>
        </w:rPr>
        <w:t>“</w:t>
      </w:r>
      <w:r w:rsidRPr="00C42017">
        <w:rPr>
          <w:rFonts w:ascii="Arial" w:hAnsi="Arial" w:cs="Arial"/>
          <w:sz w:val="16"/>
          <w:szCs w:val="16"/>
        </w:rPr>
        <w:t>Artículo 33. Restricciones a la contratación pública.</w:t>
      </w:r>
      <w:bookmarkEnd w:id="5"/>
      <w:r w:rsidRPr="00C42017">
        <w:rPr>
          <w:rFonts w:ascii="Arial"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48BD014A"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Fonts w:ascii="Arial" w:eastAsia="Calibri" w:hAnsi="Arial" w:cs="Arial"/>
          <w:color w:val="000000"/>
          <w:sz w:val="16"/>
          <w:szCs w:val="16"/>
        </w:rPr>
        <w:t>»</w:t>
      </w:r>
      <w:r w:rsidRPr="00C42017">
        <w:rPr>
          <w:rFonts w:ascii="Arial"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42017">
        <w:rPr>
          <w:rFonts w:ascii="Arial" w:eastAsia="Calibri" w:hAnsi="Arial" w:cs="Arial"/>
          <w:color w:val="000000"/>
          <w:sz w:val="16"/>
          <w:szCs w:val="16"/>
        </w:rPr>
        <w:t>”</w:t>
      </w:r>
      <w:r w:rsidRPr="00C42017">
        <w:rPr>
          <w:rFonts w:ascii="Arial" w:hAnsi="Arial" w:cs="Arial"/>
          <w:sz w:val="16"/>
          <w:szCs w:val="16"/>
        </w:rPr>
        <w:t>.</w:t>
      </w:r>
    </w:p>
    <w:p w14:paraId="15E7578A" w14:textId="77777777" w:rsidR="00551222" w:rsidRPr="00C42017" w:rsidRDefault="00551222" w:rsidP="00C42017">
      <w:pPr>
        <w:spacing w:after="0" w:line="240" w:lineRule="auto"/>
        <w:ind w:firstLine="709"/>
        <w:contextualSpacing/>
        <w:jc w:val="both"/>
        <w:rPr>
          <w:rFonts w:ascii="Arial" w:hAnsi="Arial" w:cs="Arial"/>
          <w:sz w:val="16"/>
          <w:szCs w:val="16"/>
        </w:rPr>
      </w:pPr>
    </w:p>
  </w:footnote>
  <w:footnote w:id="10">
    <w:p w14:paraId="671612EF" w14:textId="77777777" w:rsidR="00551222" w:rsidRPr="00C42017" w:rsidRDefault="00551222" w:rsidP="00C42017">
      <w:pPr>
        <w:pStyle w:val="NormalWeb"/>
        <w:spacing w:after="0" w:line="240" w:lineRule="auto"/>
        <w:ind w:firstLine="709"/>
        <w:contextualSpacing/>
        <w:rPr>
          <w:rFonts w:ascii="Arial" w:hAnsi="Arial" w:cs="Arial"/>
          <w:sz w:val="16"/>
          <w:szCs w:val="16"/>
          <w:lang w:val="es-MX"/>
        </w:rPr>
      </w:pPr>
      <w:r w:rsidRPr="00C42017">
        <w:rPr>
          <w:rStyle w:val="Refdenotaalpie"/>
          <w:rFonts w:ascii="Arial" w:hAnsi="Arial" w:cs="Arial"/>
          <w:sz w:val="16"/>
          <w:szCs w:val="16"/>
        </w:rPr>
        <w:footnoteRef/>
      </w:r>
      <w:r w:rsidRPr="00C42017">
        <w:rPr>
          <w:rFonts w:ascii="Arial" w:hAnsi="Arial" w:cs="Arial"/>
          <w:sz w:val="16"/>
          <w:szCs w:val="16"/>
        </w:rPr>
        <w:t xml:space="preserve"> </w:t>
      </w:r>
      <w:bookmarkStart w:id="6" w:name="38"/>
      <w:r w:rsidRPr="00C42017">
        <w:rPr>
          <w:rFonts w:ascii="Arial" w:hAnsi="Arial" w:cs="Arial"/>
          <w:sz w:val="16"/>
          <w:szCs w:val="16"/>
        </w:rPr>
        <w:t>“</w:t>
      </w:r>
      <w:r w:rsidRPr="00C42017">
        <w:rPr>
          <w:rFonts w:ascii="Arial" w:hAnsi="Arial" w:cs="Arial"/>
          <w:sz w:val="16"/>
          <w:szCs w:val="16"/>
          <w:lang w:val="es-MX"/>
        </w:rPr>
        <w:t>Artículo 38. Prohibiciones para los servidores públicos. A los empleados del Estado les está prohibido:</w:t>
      </w:r>
      <w:bookmarkEnd w:id="6"/>
    </w:p>
    <w:p w14:paraId="54E157CE" w14:textId="77777777" w:rsidR="00551222" w:rsidRPr="00C42017" w:rsidRDefault="00551222" w:rsidP="00C42017">
      <w:pPr>
        <w:pStyle w:val="NormalWeb"/>
        <w:spacing w:after="0" w:line="240" w:lineRule="auto"/>
        <w:ind w:firstLine="709"/>
        <w:contextualSpacing/>
        <w:rPr>
          <w:rFonts w:ascii="Arial" w:hAnsi="Arial" w:cs="Arial"/>
          <w:sz w:val="16"/>
          <w:szCs w:val="16"/>
          <w:lang w:val="es-MX"/>
        </w:rPr>
      </w:pPr>
      <w:r w:rsidRPr="00C42017">
        <w:rPr>
          <w:rFonts w:ascii="Arial" w:hAnsi="Arial" w:cs="Arial"/>
          <w:sz w:val="16"/>
          <w:szCs w:val="16"/>
          <w:lang w:val="es-MX"/>
        </w:rPr>
        <w:t>[…]</w:t>
      </w:r>
    </w:p>
    <w:p w14:paraId="63F252C6" w14:textId="77777777" w:rsidR="00551222" w:rsidRPr="00C42017" w:rsidRDefault="00551222" w:rsidP="00C42017">
      <w:pPr>
        <w:pStyle w:val="NormalWeb"/>
        <w:spacing w:after="0" w:line="240" w:lineRule="auto"/>
        <w:ind w:firstLine="709"/>
        <w:contextualSpacing/>
        <w:rPr>
          <w:rFonts w:ascii="Arial" w:hAnsi="Arial" w:cs="Arial"/>
          <w:sz w:val="16"/>
          <w:szCs w:val="16"/>
          <w:lang w:val="es-MX"/>
        </w:rPr>
      </w:pPr>
      <w:r w:rsidRPr="00C42017">
        <w:rPr>
          <w:rStyle w:val="baj"/>
          <w:rFonts w:ascii="Arial" w:hAnsi="Arial" w:cs="Arial"/>
          <w:sz w:val="16"/>
          <w:szCs w:val="16"/>
          <w:lang w:val="es-MX"/>
        </w:rPr>
        <w:t>Parágrafo.</w:t>
      </w:r>
      <w:r w:rsidRPr="00C42017">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footnote>
  <w:footnote w:id="11">
    <w:p w14:paraId="625E6712" w14:textId="77777777" w:rsidR="00551222" w:rsidRPr="00C42017" w:rsidRDefault="00551222" w:rsidP="00C42017">
      <w:pPr>
        <w:spacing w:after="0" w:line="240" w:lineRule="auto"/>
        <w:ind w:left="100" w:right="244" w:firstLine="709"/>
        <w:contextualSpacing/>
        <w:jc w:val="both"/>
        <w:rPr>
          <w:rFonts w:ascii="Arial" w:hAnsi="Arial" w:cs="Arial"/>
          <w:sz w:val="16"/>
          <w:szCs w:val="16"/>
        </w:rPr>
      </w:pPr>
    </w:p>
    <w:p w14:paraId="5AA50204" w14:textId="77777777" w:rsidR="00551222" w:rsidRPr="00C42017" w:rsidRDefault="00551222" w:rsidP="00C42017">
      <w:pPr>
        <w:spacing w:after="0" w:line="240" w:lineRule="auto"/>
        <w:ind w:left="100" w:right="244"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Concepto del 17 de febrero de 2015. C.P. William Zambrano Cetina. Radicación No. 11001-03-06-000-2015-00164-00(2269).</w:t>
      </w:r>
    </w:p>
    <w:p w14:paraId="074B438D" w14:textId="77777777" w:rsidR="00551222" w:rsidRPr="00C42017" w:rsidRDefault="00551222" w:rsidP="00C42017">
      <w:pPr>
        <w:spacing w:after="0" w:line="240" w:lineRule="auto"/>
        <w:ind w:left="100" w:right="244" w:firstLine="709"/>
        <w:contextualSpacing/>
        <w:jc w:val="both"/>
        <w:rPr>
          <w:rFonts w:ascii="Arial" w:hAnsi="Arial" w:cs="Arial"/>
          <w:sz w:val="16"/>
          <w:szCs w:val="16"/>
          <w:lang w:val="es-ES"/>
        </w:rPr>
      </w:pPr>
    </w:p>
  </w:footnote>
  <w:footnote w:id="12">
    <w:p w14:paraId="6D6B2181"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Concepto de 20 de febrero de2006. Radicación 11001-03-06-000-2006-00023-00(1724). Consejero Ponente: Flavio Augusto Rodríguez Arce.</w:t>
      </w:r>
    </w:p>
    <w:p w14:paraId="41F1554A" w14:textId="77777777" w:rsidR="00551222" w:rsidRPr="00C42017" w:rsidRDefault="00551222" w:rsidP="00C42017">
      <w:pPr>
        <w:pStyle w:val="Textonotapie"/>
        <w:ind w:firstLine="709"/>
        <w:contextualSpacing/>
        <w:jc w:val="both"/>
        <w:rPr>
          <w:rFonts w:ascii="Arial" w:hAnsi="Arial" w:cs="Arial"/>
          <w:sz w:val="16"/>
          <w:szCs w:val="16"/>
        </w:rPr>
      </w:pPr>
    </w:p>
  </w:footnote>
  <w:footnote w:id="13">
    <w:p w14:paraId="6261C26F"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w:t>
      </w:r>
      <w:proofErr w:type="gramStart"/>
      <w:r w:rsidRPr="00C42017">
        <w:rPr>
          <w:rFonts w:ascii="Arial" w:hAnsi="Arial" w:cs="Arial"/>
          <w:sz w:val="16"/>
          <w:szCs w:val="16"/>
        </w:rPr>
        <w:t>y</w:t>
      </w:r>
      <w:proofErr w:type="gramEnd"/>
      <w:r w:rsidRPr="00C42017">
        <w:rPr>
          <w:rFonts w:ascii="Arial" w:hAnsi="Arial" w:cs="Arial"/>
          <w:sz w:val="16"/>
          <w:szCs w:val="16"/>
        </w:rPr>
        <w:t xml:space="preserve"> en consecuencia, le es aplicable lo establecido en el artículo 2.2.1.2.1.4.1 del presente decreto.</w:t>
      </w:r>
    </w:p>
    <w:p w14:paraId="5B6D1243"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42017">
        <w:rPr>
          <w:rFonts w:ascii="Arial" w:hAnsi="Arial" w:cs="Arial"/>
          <w:spacing w:val="-1"/>
          <w:sz w:val="16"/>
          <w:szCs w:val="16"/>
        </w:rPr>
        <w:t xml:space="preserve"> </w:t>
      </w:r>
      <w:r w:rsidRPr="00C42017">
        <w:rPr>
          <w:rFonts w:ascii="Arial" w:hAnsi="Arial" w:cs="Arial"/>
          <w:sz w:val="16"/>
          <w:szCs w:val="16"/>
        </w:rPr>
        <w:t>Estatales”.</w:t>
      </w:r>
    </w:p>
    <w:p w14:paraId="02626A70" w14:textId="77777777" w:rsidR="00551222" w:rsidRPr="00C42017" w:rsidRDefault="00551222" w:rsidP="00C42017">
      <w:pPr>
        <w:spacing w:after="0" w:line="240" w:lineRule="auto"/>
        <w:ind w:firstLine="709"/>
        <w:contextualSpacing/>
        <w:jc w:val="both"/>
        <w:rPr>
          <w:rFonts w:ascii="Arial" w:hAnsi="Arial" w:cs="Arial"/>
          <w:sz w:val="16"/>
          <w:szCs w:val="16"/>
        </w:rPr>
      </w:pPr>
    </w:p>
  </w:footnote>
  <w:footnote w:id="14">
    <w:p w14:paraId="1499F2DA"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42017">
        <w:rPr>
          <w:rFonts w:ascii="Arial" w:hAnsi="Arial" w:cs="Arial"/>
          <w:spacing w:val="-6"/>
          <w:sz w:val="16"/>
          <w:szCs w:val="16"/>
        </w:rPr>
        <w:t xml:space="preserve"> </w:t>
      </w:r>
      <w:r w:rsidRPr="00C42017">
        <w:rPr>
          <w:rFonts w:ascii="Arial" w:hAnsi="Arial" w:cs="Arial"/>
          <w:sz w:val="16"/>
          <w:szCs w:val="16"/>
        </w:rPr>
        <w:t>artículo”.</w:t>
      </w:r>
    </w:p>
    <w:p w14:paraId="71065675" w14:textId="77777777" w:rsidR="00551222" w:rsidRPr="00C42017" w:rsidRDefault="00551222" w:rsidP="00C42017">
      <w:pPr>
        <w:spacing w:after="0" w:line="240" w:lineRule="auto"/>
        <w:ind w:firstLine="709"/>
        <w:contextualSpacing/>
        <w:jc w:val="both"/>
        <w:rPr>
          <w:rFonts w:ascii="Arial" w:hAnsi="Arial" w:cs="Arial"/>
          <w:sz w:val="16"/>
          <w:szCs w:val="16"/>
        </w:rPr>
      </w:pPr>
    </w:p>
  </w:footnote>
  <w:footnote w:id="15">
    <w:p w14:paraId="1B2FBF5E" w14:textId="77777777" w:rsidR="00551222" w:rsidRPr="00C42017" w:rsidRDefault="00551222" w:rsidP="00C42017">
      <w:pPr>
        <w:spacing w:after="0" w:line="240" w:lineRule="auto"/>
        <w:ind w:right="454"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position w:val="7"/>
          <w:sz w:val="16"/>
          <w:szCs w:val="16"/>
        </w:rPr>
        <w:t xml:space="preserve"> </w:t>
      </w:r>
      <w:r w:rsidRPr="00C42017">
        <w:rPr>
          <w:rFonts w:ascii="Arial" w:hAnsi="Arial" w:cs="Arial"/>
          <w:sz w:val="16"/>
          <w:szCs w:val="16"/>
        </w:rPr>
        <w:t>Consejo de Estado. Sección Tercera. Sentencia del 23 de junio de 2010. Radicación No. 66001-23-31-000-1998-00261-01(17.860). Consejero Ponente: Mauricio Fajardo Gómez.</w:t>
      </w:r>
    </w:p>
    <w:p w14:paraId="11CD2C2E" w14:textId="77777777" w:rsidR="00551222" w:rsidRPr="00C42017" w:rsidRDefault="00551222" w:rsidP="00C42017">
      <w:pPr>
        <w:spacing w:after="0" w:line="240" w:lineRule="auto"/>
        <w:ind w:right="454" w:firstLine="709"/>
        <w:contextualSpacing/>
        <w:jc w:val="both"/>
        <w:rPr>
          <w:rFonts w:ascii="Arial" w:hAnsi="Arial" w:cs="Arial"/>
          <w:sz w:val="16"/>
          <w:szCs w:val="16"/>
        </w:rPr>
      </w:pPr>
    </w:p>
  </w:footnote>
  <w:footnote w:id="16">
    <w:p w14:paraId="07248894"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Sección Tercera. Subsección C. Sentencia del 11 de diciembre de 2019. </w:t>
      </w:r>
      <w:proofErr w:type="spellStart"/>
      <w:r w:rsidRPr="00C42017">
        <w:rPr>
          <w:rFonts w:ascii="Arial" w:hAnsi="Arial" w:cs="Arial"/>
          <w:sz w:val="16"/>
          <w:szCs w:val="16"/>
        </w:rPr>
        <w:t>Exp</w:t>
      </w:r>
      <w:proofErr w:type="spellEnd"/>
      <w:r w:rsidRPr="00C42017">
        <w:rPr>
          <w:rFonts w:ascii="Arial" w:hAnsi="Arial" w:cs="Arial"/>
          <w:sz w:val="16"/>
          <w:szCs w:val="16"/>
        </w:rPr>
        <w:t>. 46.986. C.P. Jaime Enrique Rodríguez Navas.</w:t>
      </w:r>
    </w:p>
    <w:p w14:paraId="1F983B28" w14:textId="77777777" w:rsidR="00551222" w:rsidRPr="00C42017" w:rsidRDefault="00551222" w:rsidP="00C42017">
      <w:pPr>
        <w:spacing w:after="0" w:line="240" w:lineRule="auto"/>
        <w:ind w:firstLine="709"/>
        <w:contextualSpacing/>
        <w:jc w:val="both"/>
        <w:rPr>
          <w:rFonts w:ascii="Arial" w:hAnsi="Arial" w:cs="Arial"/>
          <w:sz w:val="16"/>
          <w:szCs w:val="16"/>
        </w:rPr>
      </w:pPr>
    </w:p>
  </w:footnote>
  <w:footnote w:id="17">
    <w:p w14:paraId="2E223983"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“CE. SCSC. Concepto de 1 de noviembre de 2016 [Rad. 11001-03-06-000-2016-00125-00(2305)]. MP. Germán Alberto Bula Escobar”.</w:t>
      </w:r>
    </w:p>
  </w:footnote>
  <w:footnote w:id="18">
    <w:p w14:paraId="7205111B" w14:textId="77777777" w:rsidR="00551222" w:rsidRPr="00C42017" w:rsidRDefault="00551222" w:rsidP="00C42017">
      <w:pPr>
        <w:pStyle w:val="Textonotapie"/>
        <w:ind w:firstLine="708"/>
        <w:contextualSpacing/>
        <w:jc w:val="both"/>
        <w:rPr>
          <w:rFonts w:ascii="Arial" w:hAnsi="Arial" w:cs="Arial"/>
          <w:sz w:val="16"/>
          <w:szCs w:val="16"/>
        </w:rPr>
      </w:pPr>
    </w:p>
    <w:p w14:paraId="476E33B1"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C42017">
        <w:rPr>
          <w:rFonts w:ascii="Arial" w:hAnsi="Arial" w:cs="Arial"/>
          <w:i/>
          <w:sz w:val="16"/>
          <w:szCs w:val="16"/>
        </w:rPr>
        <w:t>“obligacional”</w:t>
      </w:r>
      <w:r w:rsidRPr="00C42017">
        <w:rPr>
          <w:rFonts w:ascii="Arial" w:hAnsi="Arial" w:cs="Arial"/>
          <w:sz w:val="16"/>
          <w:szCs w:val="16"/>
        </w:rPr>
        <w:t xml:space="preserve"> de los convenios se estructura definiendo el resultado querido por las partes y los medios que cada entidad despliega para la obtención del respectivo objeto”.</w:t>
      </w:r>
    </w:p>
    <w:p w14:paraId="69C1E2F1" w14:textId="77777777" w:rsidR="00551222" w:rsidRPr="00C42017" w:rsidRDefault="00551222" w:rsidP="00C42017">
      <w:pPr>
        <w:pStyle w:val="Textonotapie"/>
        <w:ind w:firstLine="708"/>
        <w:contextualSpacing/>
        <w:jc w:val="both"/>
        <w:rPr>
          <w:rFonts w:ascii="Arial" w:hAnsi="Arial" w:cs="Arial"/>
          <w:sz w:val="16"/>
          <w:szCs w:val="16"/>
        </w:rPr>
      </w:pPr>
    </w:p>
  </w:footnote>
  <w:footnote w:id="19">
    <w:p w14:paraId="4E2C28FE"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“La normativa vigente del EGCAP </w:t>
      </w:r>
      <w:r w:rsidRPr="00C42017">
        <w:rPr>
          <w:rFonts w:ascii="Arial" w:hAnsi="Arial" w:cs="Arial"/>
          <w:i/>
          <w:sz w:val="16"/>
          <w:szCs w:val="16"/>
        </w:rPr>
        <w:t>[literal c) del numeral 4. del artículo 2 de la Ley 1150/07]</w:t>
      </w:r>
      <w:r w:rsidRPr="00C42017">
        <w:rPr>
          <w:rFonts w:ascii="Arial" w:hAnsi="Arial" w:cs="Arial"/>
          <w:sz w:val="16"/>
          <w:szCs w:val="16"/>
        </w:rPr>
        <w:t xml:space="preserve"> se refiere a </w:t>
      </w:r>
      <w:r w:rsidRPr="00C42017">
        <w:rPr>
          <w:rFonts w:ascii="Arial" w:hAnsi="Arial" w:cs="Arial"/>
          <w:i/>
          <w:sz w:val="16"/>
          <w:szCs w:val="16"/>
        </w:rPr>
        <w:t>“contratos interadministrativos”</w:t>
      </w:r>
      <w:r w:rsidRPr="00C42017">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0F2D7244" w14:textId="77777777" w:rsidR="00551222" w:rsidRPr="00C42017" w:rsidRDefault="00551222" w:rsidP="00C42017">
      <w:pPr>
        <w:pStyle w:val="Textonotapie"/>
        <w:ind w:firstLine="708"/>
        <w:contextualSpacing/>
        <w:jc w:val="both"/>
        <w:rPr>
          <w:rFonts w:ascii="Arial" w:hAnsi="Arial" w:cs="Arial"/>
          <w:sz w:val="16"/>
          <w:szCs w:val="16"/>
        </w:rPr>
      </w:pPr>
    </w:p>
  </w:footnote>
  <w:footnote w:id="20">
    <w:p w14:paraId="5D8553F2"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C42017">
        <w:rPr>
          <w:rFonts w:ascii="Arial" w:hAnsi="Arial" w:cs="Arial"/>
          <w:sz w:val="16"/>
          <w:szCs w:val="16"/>
        </w:rPr>
        <w:t>Exp</w:t>
      </w:r>
      <w:proofErr w:type="spellEnd"/>
      <w:r w:rsidRPr="00C42017">
        <w:rPr>
          <w:rFonts w:ascii="Arial" w:hAnsi="Arial" w:cs="Arial"/>
          <w:sz w:val="16"/>
          <w:szCs w:val="16"/>
        </w:rPr>
        <w:t xml:space="preserve">. 2.257. M.P. Álvaro </w:t>
      </w:r>
      <w:proofErr w:type="spellStart"/>
      <w:r w:rsidRPr="00C42017">
        <w:rPr>
          <w:rFonts w:ascii="Arial" w:hAnsi="Arial" w:cs="Arial"/>
          <w:sz w:val="16"/>
          <w:szCs w:val="16"/>
        </w:rPr>
        <w:t>Namén</w:t>
      </w:r>
      <w:proofErr w:type="spellEnd"/>
      <w:r w:rsidRPr="00C42017">
        <w:rPr>
          <w:rFonts w:ascii="Arial" w:hAnsi="Arial" w:cs="Arial"/>
          <w:sz w:val="16"/>
          <w:szCs w:val="16"/>
        </w:rPr>
        <w:t xml:space="preserve"> Vargas).</w:t>
      </w:r>
    </w:p>
    <w:p w14:paraId="5EF2626C" w14:textId="77777777" w:rsidR="00551222" w:rsidRPr="00C42017" w:rsidRDefault="00551222" w:rsidP="00C42017">
      <w:pPr>
        <w:pStyle w:val="Textonotapie"/>
        <w:ind w:firstLine="708"/>
        <w:contextualSpacing/>
        <w:jc w:val="both"/>
        <w:rPr>
          <w:rFonts w:ascii="Arial" w:hAnsi="Arial" w:cs="Arial"/>
          <w:sz w:val="16"/>
          <w:szCs w:val="16"/>
        </w:rPr>
      </w:pPr>
    </w:p>
  </w:footnote>
  <w:footnote w:id="21">
    <w:p w14:paraId="13B6BE93"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Es lo que sucede, por ejemplo, con el Decreto 092 de 2017, que en su desarrollo hace referencia tanto a los “contratos” como a los “convenios”. </w:t>
      </w:r>
    </w:p>
  </w:footnote>
  <w:footnote w:id="22">
    <w:p w14:paraId="64B9D21C" w14:textId="77777777" w:rsidR="00551222" w:rsidRPr="00C42017" w:rsidRDefault="00551222" w:rsidP="00C42017">
      <w:pPr>
        <w:pStyle w:val="Textonotapie"/>
        <w:ind w:firstLine="708"/>
        <w:contextualSpacing/>
        <w:jc w:val="both"/>
        <w:rPr>
          <w:rFonts w:ascii="Arial" w:hAnsi="Arial" w:cs="Arial"/>
          <w:sz w:val="16"/>
          <w:szCs w:val="16"/>
        </w:rPr>
      </w:pPr>
    </w:p>
    <w:p w14:paraId="47BE6BAA"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p w14:paraId="6F353D62" w14:textId="77777777" w:rsidR="00551222" w:rsidRPr="00C42017" w:rsidRDefault="00551222" w:rsidP="00C42017">
      <w:pPr>
        <w:pStyle w:val="Textonotapie"/>
        <w:ind w:firstLine="708"/>
        <w:contextualSpacing/>
        <w:jc w:val="both"/>
        <w:rPr>
          <w:rFonts w:ascii="Arial" w:hAnsi="Arial" w:cs="Arial"/>
          <w:sz w:val="16"/>
          <w:szCs w:val="16"/>
          <w:lang w:val="es-CO"/>
        </w:rPr>
      </w:pPr>
    </w:p>
  </w:footnote>
  <w:footnote w:id="23">
    <w:p w14:paraId="6880D6A1" w14:textId="77777777" w:rsidR="00551222" w:rsidRPr="00C42017" w:rsidRDefault="00551222" w:rsidP="00C42017">
      <w:pPr>
        <w:pStyle w:val="Textonotapie"/>
        <w:ind w:firstLine="708"/>
        <w:contextualSpacing/>
        <w:jc w:val="both"/>
        <w:rPr>
          <w:rFonts w:ascii="Arial" w:hAnsi="Arial" w:cs="Arial"/>
          <w:sz w:val="16"/>
          <w:szCs w:val="16"/>
          <w:shd w:val="clear" w:color="auto" w:fill="FFFFFF"/>
        </w:rPr>
      </w:pPr>
      <w:r w:rsidRPr="00C42017">
        <w:rPr>
          <w:rStyle w:val="Refdenotaalpie"/>
          <w:rFonts w:ascii="Arial" w:hAnsi="Arial" w:cs="Arial"/>
          <w:sz w:val="16"/>
          <w:szCs w:val="16"/>
        </w:rPr>
        <w:footnoteRef/>
      </w:r>
      <w:r w:rsidRPr="00C42017">
        <w:rPr>
          <w:rFonts w:ascii="Arial" w:hAnsi="Arial" w:cs="Arial"/>
          <w:sz w:val="16"/>
          <w:szCs w:val="16"/>
        </w:rPr>
        <w:t xml:space="preserve"> </w:t>
      </w:r>
      <w:r w:rsidRPr="00C42017">
        <w:rPr>
          <w:rFonts w:ascii="Arial" w:hAnsi="Arial" w:cs="Arial"/>
          <w:sz w:val="16"/>
          <w:szCs w:val="16"/>
          <w:shd w:val="clear" w:color="auto" w:fill="FFFFFF"/>
        </w:rPr>
        <w:t>Sala de Consulta y Servicio Civil del Consejo de Estado. Conceptos No. </w:t>
      </w:r>
      <w:hyperlink r:id="rId2" w:anchor="0" w:history="1">
        <w:r w:rsidRPr="00C42017">
          <w:rPr>
            <w:rStyle w:val="Hipervnculo"/>
            <w:rFonts w:ascii="Arial" w:hAnsi="Arial" w:cs="Arial"/>
            <w:sz w:val="16"/>
            <w:szCs w:val="16"/>
            <w:shd w:val="clear" w:color="auto" w:fill="FFFFFF"/>
          </w:rPr>
          <w:t>1985 </w:t>
        </w:r>
      </w:hyperlink>
      <w:r w:rsidRPr="00C42017">
        <w:rPr>
          <w:rFonts w:ascii="Arial" w:hAnsi="Arial" w:cs="Arial"/>
          <w:sz w:val="16"/>
          <w:szCs w:val="16"/>
          <w:shd w:val="clear" w:color="auto" w:fill="FFFFFF"/>
        </w:rPr>
        <w:t xml:space="preserve">de 2010 - Adición - y No. 1846 de 2007. </w:t>
      </w:r>
    </w:p>
    <w:p w14:paraId="31B6CC69" w14:textId="77777777" w:rsidR="00551222" w:rsidRPr="00C42017" w:rsidRDefault="00551222" w:rsidP="00C42017">
      <w:pPr>
        <w:pStyle w:val="Textonotapie"/>
        <w:ind w:firstLine="708"/>
        <w:contextualSpacing/>
        <w:jc w:val="both"/>
        <w:rPr>
          <w:rFonts w:ascii="Arial" w:hAnsi="Arial" w:cs="Arial"/>
          <w:sz w:val="16"/>
          <w:szCs w:val="16"/>
        </w:rPr>
      </w:pPr>
    </w:p>
  </w:footnote>
  <w:footnote w:id="24">
    <w:p w14:paraId="4CCC9D87" w14:textId="77777777" w:rsidR="00551222" w:rsidRPr="00C42017" w:rsidRDefault="00551222" w:rsidP="00C42017">
      <w:pPr>
        <w:pStyle w:val="Ttulo2"/>
        <w:shd w:val="clear" w:color="auto" w:fill="FFFFFF"/>
        <w:spacing w:before="0" w:line="240" w:lineRule="auto"/>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w:t>
      </w:r>
      <w:r w:rsidRPr="00C42017">
        <w:rPr>
          <w:rFonts w:ascii="Arial" w:hAnsi="Arial" w:cs="Arial"/>
          <w:b/>
          <w:bCs/>
          <w:color w:val="333333"/>
          <w:sz w:val="16"/>
          <w:szCs w:val="16"/>
          <w:shd w:val="clear" w:color="auto" w:fill="FFFFFF"/>
        </w:rPr>
        <w:t xml:space="preserve">Director </w:t>
      </w:r>
      <w:r w:rsidRPr="00C42017">
        <w:rPr>
          <w:rFonts w:ascii="Arial" w:hAnsi="Arial" w:cs="Arial"/>
          <w:color w:val="333333"/>
          <w:sz w:val="16"/>
          <w:szCs w:val="16"/>
          <w:shd w:val="clear" w:color="auto" w:fill="FFFFFF"/>
        </w:rPr>
        <w:t xml:space="preserve">del Departamento Administrativo de la Presidencia de la República y </w:t>
      </w:r>
      <w:proofErr w:type="gramStart"/>
      <w:r w:rsidRPr="00C42017">
        <w:rPr>
          <w:rFonts w:ascii="Arial" w:hAnsi="Arial" w:cs="Arial"/>
          <w:color w:val="333333"/>
          <w:sz w:val="16"/>
          <w:szCs w:val="16"/>
          <w:shd w:val="clear" w:color="auto" w:fill="FFFFFF"/>
        </w:rPr>
        <w:t>Director</w:t>
      </w:r>
      <w:proofErr w:type="gramEnd"/>
      <w:r w:rsidRPr="00C42017">
        <w:rPr>
          <w:rFonts w:ascii="Arial" w:hAnsi="Arial" w:cs="Arial"/>
          <w:color w:val="333333"/>
          <w:sz w:val="16"/>
          <w:szCs w:val="16"/>
          <w:shd w:val="clear" w:color="auto" w:fill="FFFFFF"/>
        </w:rPr>
        <w:t xml:space="preserve"> del Departamento Administrativo de la Función Pública. </w:t>
      </w:r>
      <w:r w:rsidRPr="00C42017">
        <w:rPr>
          <w:rStyle w:val="Textoennegrita"/>
          <w:rFonts w:ascii="Arial" w:hAnsi="Arial" w:cs="Arial"/>
          <w:color w:val="333333"/>
          <w:sz w:val="16"/>
          <w:szCs w:val="16"/>
        </w:rPr>
        <w:t xml:space="preserve">Circular Conjunta 100-006 de 2021. Esta Circular puede ser consulta en el siguiente enlace:  </w:t>
      </w:r>
      <w:hyperlink r:id="rId3" w:anchor=":~:text=La%20Ley%20de%20Garant%C3%ADas%20proh%C3%ADbe,de%20la%20Rep%C3%BAblica%20sea%20elegido" w:history="1">
        <w:r w:rsidRPr="00C42017">
          <w:rPr>
            <w:rStyle w:val="Hipervnculo"/>
            <w:rFonts w:ascii="Arial" w:hAnsi="Arial" w:cs="Arial"/>
            <w:color w:val="auto"/>
            <w:sz w:val="16"/>
            <w:szCs w:val="16"/>
          </w:rPr>
          <w:t>https://www.funcionpublica.gov.co/eva/gestornormativo/norma.php?i=173606#:~:text=La%20Ley%20de%20Garant%C3%ADas%20proh%C3%ADbe,de%20la%20Rep%C3%BAblica%20sea%20elegido</w:t>
        </w:r>
      </w:hyperlink>
      <w:r w:rsidRPr="00C42017">
        <w:rPr>
          <w:rFonts w:ascii="Arial" w:hAnsi="Arial" w:cs="Arial"/>
          <w:sz w:val="16"/>
          <w:szCs w:val="16"/>
        </w:rPr>
        <w:t xml:space="preserve">.   </w:t>
      </w:r>
    </w:p>
    <w:p w14:paraId="60C42586" w14:textId="77777777" w:rsidR="00551222" w:rsidRPr="00C42017" w:rsidRDefault="00551222" w:rsidP="00C42017">
      <w:pPr>
        <w:pStyle w:val="Ttulo2"/>
        <w:shd w:val="clear" w:color="auto" w:fill="FFFFFF"/>
        <w:spacing w:before="0" w:line="240" w:lineRule="auto"/>
        <w:ind w:firstLine="708"/>
        <w:contextualSpacing/>
        <w:jc w:val="both"/>
        <w:rPr>
          <w:rFonts w:ascii="Arial" w:hAnsi="Arial" w:cs="Arial"/>
          <w:sz w:val="16"/>
          <w:szCs w:val="16"/>
        </w:rPr>
      </w:pPr>
    </w:p>
  </w:footnote>
  <w:footnote w:id="25">
    <w:p w14:paraId="5FE06B95"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w:t>
      </w:r>
      <w:r w:rsidRPr="00C42017">
        <w:rPr>
          <w:rFonts w:ascii="Arial" w:hAnsi="Arial" w:cs="Arial"/>
          <w:color w:val="333333"/>
          <w:sz w:val="16"/>
          <w:szCs w:val="16"/>
          <w:shd w:val="clear" w:color="auto" w:fill="FFFFFF"/>
        </w:rPr>
        <w:t>Departamento Administrativo de la Función Pública</w:t>
      </w:r>
      <w:r w:rsidRPr="00C42017">
        <w:rPr>
          <w:rFonts w:ascii="Arial" w:hAnsi="Arial" w:cs="Arial"/>
          <w:sz w:val="16"/>
          <w:szCs w:val="16"/>
        </w:rPr>
        <w:t xml:space="preserve">. Concepto 034611 de 2022. Este concepto puede ser consultado en el siguiente enlace: </w:t>
      </w:r>
      <w:hyperlink r:id="rId4" w:history="1">
        <w:r w:rsidRPr="00C42017">
          <w:rPr>
            <w:rStyle w:val="Hipervnculo"/>
            <w:rFonts w:ascii="Arial" w:hAnsi="Arial" w:cs="Arial"/>
            <w:sz w:val="16"/>
            <w:szCs w:val="16"/>
          </w:rPr>
          <w:t>https://www.funcionpublica.gov.co/eva/gestornormativo/norma.php?i=179946</w:t>
        </w:r>
      </w:hyperlink>
      <w:r w:rsidRPr="00C42017">
        <w:rPr>
          <w:rFonts w:ascii="Arial" w:hAnsi="Arial" w:cs="Arial"/>
          <w:sz w:val="16"/>
          <w:szCs w:val="16"/>
        </w:rPr>
        <w:t xml:space="preserve"> </w:t>
      </w:r>
    </w:p>
    <w:p w14:paraId="3F8C0E2B" w14:textId="77777777" w:rsidR="00551222" w:rsidRPr="00C42017" w:rsidRDefault="00551222" w:rsidP="00C42017">
      <w:pPr>
        <w:pStyle w:val="Textonotapie"/>
        <w:ind w:firstLine="708"/>
        <w:contextualSpacing/>
        <w:jc w:val="both"/>
        <w:rPr>
          <w:rFonts w:ascii="Arial" w:hAnsi="Arial" w:cs="Arial"/>
          <w:sz w:val="16"/>
          <w:szCs w:val="16"/>
        </w:rPr>
      </w:pPr>
    </w:p>
  </w:footnote>
  <w:footnote w:id="26">
    <w:p w14:paraId="7B0855B1" w14:textId="77777777" w:rsidR="00551222" w:rsidRPr="00C42017" w:rsidRDefault="00551222" w:rsidP="00C42017">
      <w:pPr>
        <w:pStyle w:val="Textonotapie"/>
        <w:ind w:firstLine="708"/>
        <w:contextualSpacing/>
        <w:jc w:val="both"/>
        <w:rPr>
          <w:rFonts w:ascii="Arial" w:hAnsi="Arial" w:cs="Arial"/>
          <w:b/>
          <w:bCs/>
          <w:sz w:val="16"/>
          <w:szCs w:val="16"/>
          <w:shd w:val="clear" w:color="auto" w:fill="FFFFFF"/>
        </w:rPr>
      </w:pPr>
      <w:r w:rsidRPr="00C42017">
        <w:rPr>
          <w:rStyle w:val="Refdenotaalpie"/>
          <w:rFonts w:ascii="Arial" w:hAnsi="Arial" w:cs="Arial"/>
          <w:sz w:val="16"/>
          <w:szCs w:val="16"/>
        </w:rPr>
        <w:footnoteRef/>
      </w:r>
      <w:r w:rsidRPr="00C42017">
        <w:rPr>
          <w:rFonts w:ascii="Arial" w:hAnsi="Arial" w:cs="Arial"/>
          <w:sz w:val="16"/>
          <w:szCs w:val="16"/>
        </w:rPr>
        <w:t xml:space="preserve"> </w:t>
      </w:r>
      <w:r w:rsidRPr="00C42017">
        <w:rPr>
          <w:rFonts w:ascii="Arial" w:hAnsi="Arial" w:cs="Arial"/>
          <w:sz w:val="16"/>
          <w:szCs w:val="16"/>
          <w:shd w:val="clear" w:color="auto" w:fill="FFFFFF"/>
        </w:rPr>
        <w:t xml:space="preserve"> </w:t>
      </w:r>
      <w:r w:rsidRPr="00C42017">
        <w:rPr>
          <w:rFonts w:ascii="Arial" w:hAnsi="Arial" w:cs="Arial"/>
          <w:sz w:val="16"/>
          <w:szCs w:val="16"/>
        </w:rPr>
        <w:t xml:space="preserve">Corte Constitucional de Colombia. Sentencia C-1153 de 2055. Magistrado Ponente: </w:t>
      </w:r>
      <w:r w:rsidRPr="00C42017">
        <w:rPr>
          <w:rFonts w:ascii="Arial" w:hAnsi="Arial" w:cs="Arial"/>
          <w:color w:val="2D2D2D"/>
          <w:sz w:val="16"/>
          <w:szCs w:val="16"/>
          <w:shd w:val="clear" w:color="auto" w:fill="FFFFFF"/>
        </w:rPr>
        <w:t xml:space="preserve">Dr. Marco Gerardo Monroy Cabra. En dicha providencia, la Alta Corporación señaló que </w:t>
      </w:r>
      <w:r w:rsidRPr="00C42017">
        <w:rPr>
          <w:rFonts w:ascii="Arial" w:hAnsi="Arial" w:cs="Arial"/>
          <w:sz w:val="16"/>
          <w:szCs w:val="16"/>
          <w:shd w:val="clear" w:color="auto" w:fill="FFFFFF"/>
        </w:rPr>
        <w:t>se entiende que la prohibición de </w:t>
      </w:r>
      <w:r w:rsidRPr="00C42017">
        <w:rPr>
          <w:rStyle w:val="Textoennegrita"/>
          <w:rFonts w:ascii="Arial" w:hAnsi="Arial" w:cs="Arial"/>
          <w:b w:val="0"/>
          <w:bCs w:val="0"/>
          <w:sz w:val="16"/>
          <w:szCs w:val="16"/>
          <w:shd w:val="clear" w:color="auto" w:fill="FFFFFF"/>
        </w:rPr>
        <w:t>suspender cualquier forma de vinculación que afecte la nómina </w:t>
      </w:r>
      <w:r w:rsidRPr="00C42017">
        <w:rPr>
          <w:rFonts w:ascii="Arial" w:hAnsi="Arial" w:cs="Arial"/>
          <w:b/>
          <w:bCs/>
          <w:sz w:val="16"/>
          <w:szCs w:val="16"/>
          <w:shd w:val="clear" w:color="auto" w:fill="FFFFFF"/>
        </w:rPr>
        <w:t>estatal hace referencia a la </w:t>
      </w:r>
      <w:r w:rsidRPr="00C42017">
        <w:rPr>
          <w:rStyle w:val="Textoennegrita"/>
          <w:rFonts w:ascii="Arial" w:hAnsi="Arial" w:cs="Arial"/>
          <w:b w:val="0"/>
          <w:bCs w:val="0"/>
          <w:sz w:val="16"/>
          <w:szCs w:val="16"/>
          <w:shd w:val="clear" w:color="auto" w:fill="FFFFFF"/>
        </w:rPr>
        <w:t>imposibilidad de creación de nuevos cargos </w:t>
      </w:r>
      <w:r w:rsidRPr="00C42017">
        <w:rPr>
          <w:rFonts w:ascii="Arial" w:hAnsi="Arial" w:cs="Arial"/>
          <w:b/>
          <w:bCs/>
          <w:sz w:val="16"/>
          <w:szCs w:val="16"/>
          <w:shd w:val="clear" w:color="auto" w:fill="FFFFFF"/>
        </w:rPr>
        <w:t>y a la </w:t>
      </w:r>
      <w:r w:rsidRPr="00C42017">
        <w:rPr>
          <w:rStyle w:val="Textoennegrita"/>
          <w:rFonts w:ascii="Arial" w:hAnsi="Arial" w:cs="Arial"/>
          <w:b w:val="0"/>
          <w:bCs w:val="0"/>
          <w:sz w:val="16"/>
          <w:szCs w:val="16"/>
          <w:shd w:val="clear" w:color="auto" w:fill="FFFFFF"/>
        </w:rPr>
        <w:t xml:space="preserve">provisión de </w:t>
      </w:r>
      <w:proofErr w:type="gramStart"/>
      <w:r w:rsidRPr="00C42017">
        <w:rPr>
          <w:rStyle w:val="Textoennegrita"/>
          <w:rFonts w:ascii="Arial" w:hAnsi="Arial" w:cs="Arial"/>
          <w:b w:val="0"/>
          <w:bCs w:val="0"/>
          <w:sz w:val="16"/>
          <w:szCs w:val="16"/>
          <w:shd w:val="clear" w:color="auto" w:fill="FFFFFF"/>
        </w:rPr>
        <w:t>los mismos</w:t>
      </w:r>
      <w:proofErr w:type="gramEnd"/>
      <w:r w:rsidRPr="00C42017">
        <w:rPr>
          <w:rFonts w:ascii="Arial" w:hAnsi="Arial" w:cs="Arial"/>
          <w:b/>
          <w:bCs/>
          <w:sz w:val="16"/>
          <w:szCs w:val="16"/>
          <w:shd w:val="clear" w:color="auto" w:fill="FFFFFF"/>
        </w:rPr>
        <w:t>.</w:t>
      </w:r>
    </w:p>
    <w:p w14:paraId="09CC71D9" w14:textId="77777777" w:rsidR="00551222" w:rsidRPr="00C42017" w:rsidRDefault="00551222" w:rsidP="00C42017">
      <w:pPr>
        <w:pStyle w:val="Textonotapie"/>
        <w:ind w:firstLine="708"/>
        <w:contextualSpacing/>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653C1"/>
    <w:rsid w:val="0026611D"/>
    <w:rsid w:val="002951A0"/>
    <w:rsid w:val="002A64FD"/>
    <w:rsid w:val="002F0839"/>
    <w:rsid w:val="00301469"/>
    <w:rsid w:val="00306EE1"/>
    <w:rsid w:val="00310B9B"/>
    <w:rsid w:val="0036461C"/>
    <w:rsid w:val="00367884"/>
    <w:rsid w:val="0039439C"/>
    <w:rsid w:val="003B3391"/>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1222"/>
    <w:rsid w:val="005566E8"/>
    <w:rsid w:val="00573F6E"/>
    <w:rsid w:val="005746AB"/>
    <w:rsid w:val="0059357F"/>
    <w:rsid w:val="005A1130"/>
    <w:rsid w:val="005D65C8"/>
    <w:rsid w:val="006219F8"/>
    <w:rsid w:val="00681FDB"/>
    <w:rsid w:val="006A7DAD"/>
    <w:rsid w:val="006D70BA"/>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82FC5"/>
    <w:rsid w:val="009F33F2"/>
    <w:rsid w:val="009F6C77"/>
    <w:rsid w:val="00A0159A"/>
    <w:rsid w:val="00A07532"/>
    <w:rsid w:val="00A1085C"/>
    <w:rsid w:val="00A309E2"/>
    <w:rsid w:val="00A8066E"/>
    <w:rsid w:val="00AA4B8A"/>
    <w:rsid w:val="00AA6BF7"/>
    <w:rsid w:val="00B01ED6"/>
    <w:rsid w:val="00B06D09"/>
    <w:rsid w:val="00B771A9"/>
    <w:rsid w:val="00B809BB"/>
    <w:rsid w:val="00B8248A"/>
    <w:rsid w:val="00BB7726"/>
    <w:rsid w:val="00BE2710"/>
    <w:rsid w:val="00C2329E"/>
    <w:rsid w:val="00C30461"/>
    <w:rsid w:val="00C42017"/>
    <w:rsid w:val="00C754BE"/>
    <w:rsid w:val="00C87572"/>
    <w:rsid w:val="00C9405D"/>
    <w:rsid w:val="00CC1B26"/>
    <w:rsid w:val="00CD284F"/>
    <w:rsid w:val="00CF23AA"/>
    <w:rsid w:val="00D01921"/>
    <w:rsid w:val="00D752B7"/>
    <w:rsid w:val="00DA1854"/>
    <w:rsid w:val="00DB0887"/>
    <w:rsid w:val="00DF1E43"/>
    <w:rsid w:val="00E20894"/>
    <w:rsid w:val="00E26B7C"/>
    <w:rsid w:val="00E710FF"/>
    <w:rsid w:val="00EA3003"/>
    <w:rsid w:val="00EB3C91"/>
    <w:rsid w:val="00EB66DA"/>
    <w:rsid w:val="00F605F2"/>
    <w:rsid w:val="00F76AFC"/>
    <w:rsid w:val="00F8319B"/>
    <w:rsid w:val="00FA5516"/>
    <w:rsid w:val="00FD6F73"/>
    <w:rsid w:val="00FF4400"/>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3B3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Ttulo2Car">
    <w:name w:val="Título 2 Car"/>
    <w:basedOn w:val="Fuentedeprrafopredeter"/>
    <w:link w:val="Ttulo2"/>
    <w:uiPriority w:val="9"/>
    <w:semiHidden/>
    <w:rsid w:val="003B339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B3391"/>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3B3391"/>
    <w:pPr>
      <w:spacing w:line="240" w:lineRule="exact"/>
    </w:pPr>
    <w:rPr>
      <w:vertAlign w:val="superscript"/>
    </w:rPr>
  </w:style>
  <w:style w:type="character" w:customStyle="1" w:styleId="baj">
    <w:name w:val="b_aj"/>
    <w:basedOn w:val="Fuentedeprrafopredeter"/>
    <w:rsid w:val="003B3391"/>
  </w:style>
  <w:style w:type="character" w:styleId="Hipervnculo">
    <w:name w:val="Hyperlink"/>
    <w:basedOn w:val="Fuentedeprrafopredeter"/>
    <w:uiPriority w:val="99"/>
    <w:unhideWhenUsed/>
    <w:rsid w:val="003B3391"/>
    <w:rPr>
      <w:color w:val="0563C1" w:themeColor="hyperlink"/>
      <w:u w:val="single"/>
    </w:rPr>
  </w:style>
  <w:style w:type="character" w:styleId="Textoennegrita">
    <w:name w:val="Strong"/>
    <w:basedOn w:val="Fuentedeprrafopredeter"/>
    <w:uiPriority w:val="22"/>
    <w:qFormat/>
    <w:rsid w:val="003B3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inepening@hot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182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173606" TargetMode="External"/><Relationship Id="rId2" Type="http://schemas.openxmlformats.org/officeDocument/2006/relationships/hyperlink" Target="https://www.funcionpublica.gov.co/eva/gestornormativo/norma.php?i=65574"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funcionpublica.gov.co/eva/gestornormativo/norma.php?i=17994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purl.org/dc/dcmitype/"/>
    <ds:schemaRef ds:uri="http://purl.org/dc/elements/1.1/"/>
    <ds:schemaRef ds:uri="8ae15d26-076e-464e-81a7-6f76a0fb3917"/>
    <ds:schemaRef ds:uri="cabc2350-70b2-4dba-bb42-96a3175f4d5a"/>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C922FAE6-59D6-47DF-AB66-671A982254AA}"/>
</file>

<file path=docProps/app.xml><?xml version="1.0" encoding="utf-8"?>
<Properties xmlns="http://schemas.openxmlformats.org/officeDocument/2006/extended-properties" xmlns:vt="http://schemas.openxmlformats.org/officeDocument/2006/docPropsVTypes">
  <Template>Normal</Template>
  <TotalTime>8</TotalTime>
  <Pages>19</Pages>
  <Words>7320</Words>
  <Characters>40263</Characters>
  <Application>Microsoft Office Word</Application>
  <DocSecurity>0</DocSecurity>
  <Lines>335</Lines>
  <Paragraphs>94</Paragraphs>
  <ScaleCrop>false</ScaleCrop>
  <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6</cp:revision>
  <dcterms:created xsi:type="dcterms:W3CDTF">2023-05-10T02:11:00Z</dcterms:created>
  <dcterms:modified xsi:type="dcterms:W3CDTF">2023-05-10T16:57:00Z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