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D27E" w14:textId="24B2DEC5" w:rsidR="00EC7FDD" w:rsidRPr="004E4581" w:rsidRDefault="00EC7FDD" w:rsidP="00964D6E">
      <w:pPr>
        <w:rPr>
          <w:rFonts w:ascii="Arial" w:hAnsi="Arial" w:cs="Arial"/>
          <w:bCs/>
          <w:color w:val="000000" w:themeColor="text1"/>
          <w:sz w:val="20"/>
          <w:szCs w:val="20"/>
          <w:lang w:val="es-ES_tradnl" w:eastAsia="es-ES"/>
        </w:rPr>
      </w:pPr>
      <w:bookmarkStart w:id="0" w:name="_Hlk28946138"/>
      <w:bookmarkStart w:id="1" w:name="_Hlk29548183"/>
    </w:p>
    <w:p w14:paraId="346AE9F5" w14:textId="64AE21B0" w:rsidR="0030575F" w:rsidRPr="003C27C6" w:rsidRDefault="00B55C69" w:rsidP="0030575F">
      <w:pPr>
        <w:jc w:val="right"/>
        <w:rPr>
          <w:rFonts w:ascii="Arial" w:hAnsi="Arial" w:cs="Arial"/>
          <w:bCs/>
          <w:color w:val="000000" w:themeColor="text1"/>
          <w:sz w:val="20"/>
          <w:szCs w:val="20"/>
          <w:lang w:val="es-ES_tradnl" w:eastAsia="es-ES"/>
        </w:rPr>
      </w:pPr>
      <w:r w:rsidRPr="003C27C6">
        <w:rPr>
          <w:rFonts w:ascii="Arial" w:hAnsi="Arial" w:cs="Arial"/>
          <w:bCs/>
          <w:color w:val="000000" w:themeColor="text1"/>
          <w:sz w:val="20"/>
          <w:szCs w:val="20"/>
          <w:lang w:val="es-ES_tradnl" w:eastAsia="es-ES"/>
        </w:rPr>
        <w:t>CCE-DES-FM-17</w:t>
      </w:r>
      <w:bookmarkEnd w:id="0"/>
      <w:bookmarkEnd w:id="1"/>
    </w:p>
    <w:p w14:paraId="074F4325" w14:textId="77777777" w:rsidR="00EC7FDD" w:rsidRPr="003C27C6" w:rsidRDefault="00EC7FDD" w:rsidP="0030575F">
      <w:pPr>
        <w:jc w:val="right"/>
        <w:rPr>
          <w:rFonts w:ascii="Arial" w:eastAsia="Calibri" w:hAnsi="Arial" w:cs="Arial"/>
          <w:b/>
          <w:color w:val="000000" w:themeColor="text1"/>
          <w:sz w:val="20"/>
          <w:szCs w:val="20"/>
          <w:lang w:val="es-ES_tradnl"/>
        </w:rPr>
      </w:pPr>
    </w:p>
    <w:p w14:paraId="56156320" w14:textId="15C5C9FC" w:rsidR="003A231A" w:rsidRPr="003C27C6" w:rsidRDefault="003A231A" w:rsidP="00964D6E">
      <w:pPr>
        <w:contextualSpacing/>
        <w:jc w:val="both"/>
        <w:rPr>
          <w:rFonts w:ascii="Arial" w:eastAsia="Calibri" w:hAnsi="Arial" w:cs="Arial"/>
          <w:b/>
          <w:bCs/>
          <w:color w:val="000000" w:themeColor="text1"/>
          <w:sz w:val="22"/>
          <w:szCs w:val="22"/>
          <w:lang w:val="es-MX" w:eastAsia="en-US"/>
        </w:rPr>
      </w:pPr>
      <w:r w:rsidRPr="003C27C6">
        <w:rPr>
          <w:rFonts w:ascii="Arial" w:eastAsia="Calibri" w:hAnsi="Arial" w:cs="Arial"/>
          <w:b/>
          <w:bCs/>
          <w:color w:val="000000" w:themeColor="text1"/>
          <w:sz w:val="22"/>
          <w:szCs w:val="22"/>
          <w:lang w:val="es-MX" w:eastAsia="en-US"/>
        </w:rPr>
        <w:t>LEY DE GARANTÍAS ELECTORALES – Finalidad</w:t>
      </w:r>
    </w:p>
    <w:p w14:paraId="0D88A11D" w14:textId="77777777" w:rsidR="003A231A" w:rsidRPr="003C27C6" w:rsidRDefault="003A231A" w:rsidP="00964D6E">
      <w:pPr>
        <w:contextualSpacing/>
        <w:jc w:val="both"/>
        <w:rPr>
          <w:rFonts w:ascii="Arial" w:eastAsia="Calibri" w:hAnsi="Arial" w:cs="Arial"/>
          <w:color w:val="000000" w:themeColor="text1"/>
          <w:sz w:val="20"/>
          <w:szCs w:val="20"/>
          <w:lang w:val="es-MX" w:eastAsia="en-US"/>
        </w:rPr>
      </w:pPr>
    </w:p>
    <w:p w14:paraId="4D998AE2" w14:textId="77777777" w:rsidR="003A231A" w:rsidRPr="003C27C6" w:rsidRDefault="003A231A" w:rsidP="00964D6E">
      <w:pPr>
        <w:tabs>
          <w:tab w:val="left" w:pos="426"/>
        </w:tabs>
        <w:jc w:val="both"/>
        <w:rPr>
          <w:rFonts w:ascii="Arial" w:eastAsia="Calibri" w:hAnsi="Arial" w:cs="Arial"/>
          <w:bCs/>
          <w:color w:val="000000" w:themeColor="text1"/>
          <w:sz w:val="20"/>
          <w:szCs w:val="20"/>
        </w:rPr>
      </w:pPr>
      <w:r w:rsidRPr="003C27C6">
        <w:rPr>
          <w:rFonts w:ascii="Arial" w:hAnsi="Arial" w:cs="Arial"/>
          <w:bCs/>
          <w:color w:val="000000" w:themeColor="text1"/>
          <w:sz w:val="20"/>
          <w:szCs w:val="20"/>
          <w:lang w:eastAsia="es-CO"/>
        </w:rPr>
        <w:t xml:space="preserve">[…] la Ley 996 de 2005 </w:t>
      </w:r>
      <w:r w:rsidRPr="003C27C6">
        <w:rPr>
          <w:rFonts w:ascii="Arial" w:eastAsia="Calibri" w:hAnsi="Arial" w:cs="Arial"/>
          <w:b/>
          <w:bCs/>
          <w:color w:val="000000" w:themeColor="text1"/>
          <w:sz w:val="20"/>
          <w:szCs w:val="20"/>
          <w:lang w:eastAsia="en-US"/>
        </w:rPr>
        <w:t>«</w:t>
      </w:r>
      <w:r w:rsidRPr="003C27C6">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3C27C6">
        <w:rPr>
          <w:rStyle w:val="Textoennegrita"/>
          <w:rFonts w:ascii="Arial" w:hAnsi="Arial" w:cs="Arial"/>
          <w:b w:val="0"/>
          <w:color w:val="000000" w:themeColor="text1"/>
          <w:sz w:val="20"/>
          <w:szCs w:val="20"/>
          <w:shd w:val="clear" w:color="auto" w:fill="FFFFFF"/>
        </w:rPr>
        <w:t>Presidente</w:t>
      </w:r>
      <w:proofErr w:type="gramEnd"/>
      <w:r w:rsidRPr="003C27C6">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3C27C6">
        <w:rPr>
          <w:rFonts w:ascii="Arial" w:eastAsia="Calibri" w:hAnsi="Arial" w:cs="Arial"/>
          <w:bCs/>
          <w:color w:val="000000" w:themeColor="text1"/>
          <w:sz w:val="20"/>
          <w:szCs w:val="20"/>
          <w:lang w:eastAsia="en-US"/>
        </w:rPr>
        <w:t>»,</w:t>
      </w:r>
      <w:r w:rsidRPr="003C27C6">
        <w:rPr>
          <w:rStyle w:val="Textoennegrita"/>
          <w:rFonts w:ascii="Arial" w:hAnsi="Arial" w:cs="Arial"/>
          <w:color w:val="000000" w:themeColor="text1"/>
          <w:sz w:val="20"/>
          <w:szCs w:val="20"/>
          <w:shd w:val="clear" w:color="auto" w:fill="FFFFFF"/>
        </w:rPr>
        <w:t xml:space="preserve"> </w:t>
      </w:r>
      <w:r w:rsidRPr="003C27C6">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671E688" w14:textId="77777777" w:rsidR="003A231A" w:rsidRPr="003C27C6" w:rsidRDefault="003A231A" w:rsidP="00964D6E">
      <w:pPr>
        <w:tabs>
          <w:tab w:val="left" w:pos="426"/>
        </w:tabs>
        <w:jc w:val="both"/>
        <w:rPr>
          <w:rFonts w:ascii="Arial" w:eastAsia="Calibri" w:hAnsi="Arial" w:cs="Arial"/>
          <w:bCs/>
          <w:color w:val="000000" w:themeColor="text1"/>
          <w:sz w:val="20"/>
          <w:szCs w:val="20"/>
          <w:lang w:val="es-MX" w:eastAsia="en-US"/>
        </w:rPr>
      </w:pPr>
    </w:p>
    <w:p w14:paraId="2AA5AE7F" w14:textId="77777777" w:rsidR="003A231A" w:rsidRPr="003C27C6" w:rsidRDefault="003A231A" w:rsidP="00964D6E">
      <w:pPr>
        <w:tabs>
          <w:tab w:val="left" w:pos="426"/>
        </w:tabs>
        <w:jc w:val="both"/>
        <w:rPr>
          <w:rFonts w:ascii="Arial" w:eastAsia="Calibri" w:hAnsi="Arial" w:cs="Arial"/>
          <w:b/>
          <w:bCs/>
          <w:color w:val="000000" w:themeColor="text1"/>
          <w:sz w:val="22"/>
          <w:szCs w:val="22"/>
          <w:lang w:val="es-MX" w:eastAsia="en-US"/>
        </w:rPr>
      </w:pPr>
      <w:bookmarkStart w:id="2" w:name="_Hlk77152637"/>
      <w:bookmarkStart w:id="3" w:name="_Hlk77157066"/>
      <w:r w:rsidRPr="003C27C6">
        <w:rPr>
          <w:rFonts w:ascii="Arial" w:eastAsia="Calibri" w:hAnsi="Arial" w:cs="Arial"/>
          <w:b/>
          <w:bCs/>
          <w:color w:val="000000" w:themeColor="text1"/>
          <w:sz w:val="22"/>
          <w:szCs w:val="22"/>
          <w:lang w:val="es-MX" w:eastAsia="en-US"/>
        </w:rPr>
        <w:t>LEY DE GARANTÍAS ELECTORALES ‒</w:t>
      </w:r>
      <w:bookmarkEnd w:id="2"/>
      <w:r w:rsidRPr="003C27C6">
        <w:rPr>
          <w:rFonts w:ascii="Arial" w:eastAsia="Calibri" w:hAnsi="Arial" w:cs="Arial"/>
          <w:b/>
          <w:bCs/>
          <w:color w:val="000000" w:themeColor="text1"/>
          <w:sz w:val="22"/>
          <w:szCs w:val="22"/>
          <w:lang w:val="es-MX" w:eastAsia="en-US"/>
        </w:rPr>
        <w:t xml:space="preserve"> Restricciones </w:t>
      </w:r>
      <w:bookmarkStart w:id="4" w:name="_Hlk77157034"/>
      <w:r w:rsidRPr="003C27C6">
        <w:rPr>
          <w:rFonts w:ascii="Arial" w:eastAsia="Calibri" w:hAnsi="Arial" w:cs="Arial"/>
          <w:b/>
          <w:bCs/>
          <w:color w:val="000000" w:themeColor="text1"/>
          <w:sz w:val="22"/>
          <w:szCs w:val="22"/>
          <w:lang w:val="es-MX" w:eastAsia="en-US"/>
        </w:rPr>
        <w:t xml:space="preserve">‒ </w:t>
      </w:r>
      <w:bookmarkEnd w:id="4"/>
      <w:r w:rsidRPr="003C27C6">
        <w:rPr>
          <w:rFonts w:ascii="Arial" w:eastAsia="Calibri" w:hAnsi="Arial" w:cs="Arial"/>
          <w:b/>
          <w:bCs/>
          <w:color w:val="000000" w:themeColor="text1"/>
          <w:sz w:val="22"/>
          <w:szCs w:val="22"/>
          <w:lang w:val="es-MX" w:eastAsia="en-US"/>
        </w:rPr>
        <w:t>Contratación</w:t>
      </w:r>
      <w:bookmarkStart w:id="5" w:name="_Hlk77153098"/>
      <w:r w:rsidRPr="003C27C6">
        <w:rPr>
          <w:rFonts w:ascii="Arial" w:eastAsia="Calibri" w:hAnsi="Arial" w:cs="Arial"/>
          <w:b/>
          <w:bCs/>
          <w:color w:val="000000" w:themeColor="text1"/>
          <w:sz w:val="22"/>
          <w:szCs w:val="22"/>
          <w:lang w:val="es-MX" w:eastAsia="en-US"/>
        </w:rPr>
        <w:t xml:space="preserve"> ‒ Tipos de elección</w:t>
      </w:r>
      <w:bookmarkEnd w:id="5"/>
      <w:r w:rsidRPr="003C27C6">
        <w:rPr>
          <w:rFonts w:ascii="Arial" w:eastAsia="Calibri" w:hAnsi="Arial" w:cs="Arial"/>
          <w:b/>
          <w:bCs/>
          <w:color w:val="000000" w:themeColor="text1"/>
          <w:sz w:val="22"/>
          <w:szCs w:val="22"/>
          <w:lang w:val="es-MX" w:eastAsia="en-US"/>
        </w:rPr>
        <w:t xml:space="preserve"> </w:t>
      </w:r>
    </w:p>
    <w:p w14:paraId="312415BB" w14:textId="77777777" w:rsidR="003A231A" w:rsidRPr="003C27C6" w:rsidRDefault="003A231A" w:rsidP="00964D6E">
      <w:pPr>
        <w:tabs>
          <w:tab w:val="left" w:pos="426"/>
        </w:tabs>
        <w:jc w:val="both"/>
        <w:rPr>
          <w:rFonts w:ascii="Arial" w:eastAsia="Calibri" w:hAnsi="Arial" w:cs="Arial"/>
          <w:b/>
          <w:bCs/>
          <w:color w:val="000000" w:themeColor="text1"/>
          <w:sz w:val="20"/>
          <w:szCs w:val="20"/>
          <w:lang w:val="es-MX" w:eastAsia="en-US"/>
        </w:rPr>
      </w:pPr>
    </w:p>
    <w:p w14:paraId="5062675F" w14:textId="463CEDBC" w:rsidR="003A231A" w:rsidRPr="003C27C6" w:rsidRDefault="003A231A" w:rsidP="00964D6E">
      <w:pPr>
        <w:jc w:val="both"/>
        <w:rPr>
          <w:rFonts w:ascii="Arial" w:eastAsia="Arial" w:hAnsi="Arial" w:cs="Arial"/>
          <w:color w:val="000000" w:themeColor="text1"/>
          <w:sz w:val="20"/>
          <w:szCs w:val="20"/>
          <w:lang w:val="es-ES" w:eastAsia="es-ES" w:bidi="es-ES"/>
        </w:rPr>
      </w:pPr>
      <w:r w:rsidRPr="003C27C6">
        <w:rPr>
          <w:rFonts w:ascii="Arial" w:hAnsi="Arial" w:cs="Arial"/>
          <w:bCs/>
          <w:color w:val="000000" w:themeColor="text1"/>
          <w:sz w:val="20"/>
          <w:szCs w:val="20"/>
          <w:lang w:val="es-MX" w:eastAsia="es-CO"/>
        </w:rPr>
        <w:t xml:space="preserve">La </w:t>
      </w:r>
      <w:r w:rsidRPr="003C27C6">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3C27C6">
        <w:rPr>
          <w:rFonts w:ascii="Arial" w:eastAsia="Calibri" w:hAnsi="Arial" w:cs="Arial"/>
          <w:color w:val="000000" w:themeColor="text1"/>
          <w:sz w:val="20"/>
          <w:szCs w:val="20"/>
          <w:lang w:eastAsia="en-US"/>
        </w:rPr>
        <w:t xml:space="preserve">Por una parte, el artículo 33 de la Ley 996 de 2005 establece una prohibición que impide </w:t>
      </w:r>
      <w:r w:rsidRPr="003C27C6">
        <w:rPr>
          <w:rFonts w:ascii="Arial" w:eastAsia="Calibri" w:hAnsi="Arial" w:cs="Arial"/>
          <w:bCs/>
          <w:color w:val="000000" w:themeColor="text1"/>
          <w:sz w:val="20"/>
          <w:szCs w:val="20"/>
          <w:lang w:eastAsia="en-US"/>
        </w:rPr>
        <w:t xml:space="preserve">«[…] </w:t>
      </w:r>
      <w:r w:rsidRPr="003C27C6">
        <w:rPr>
          <w:rFonts w:ascii="Arial" w:eastAsia="Calibri" w:hAnsi="Arial" w:cs="Arial"/>
          <w:color w:val="000000" w:themeColor="text1"/>
          <w:sz w:val="20"/>
          <w:szCs w:val="20"/>
          <w:lang w:eastAsia="en-US"/>
        </w:rPr>
        <w:t>la contratación directa por parte de todos los entes del Estado</w:t>
      </w:r>
      <w:r w:rsidRPr="003C27C6">
        <w:rPr>
          <w:rFonts w:ascii="Arial" w:eastAsia="Calibri" w:hAnsi="Arial" w:cs="Arial"/>
          <w:bCs/>
          <w:color w:val="000000" w:themeColor="text1"/>
          <w:sz w:val="20"/>
          <w:szCs w:val="20"/>
          <w:lang w:eastAsia="en-US"/>
        </w:rPr>
        <w:t>»</w:t>
      </w:r>
      <w:r w:rsidRPr="003C27C6">
        <w:rPr>
          <w:rFonts w:ascii="Arial" w:eastAsia="Calibri" w:hAnsi="Arial" w:cs="Arial"/>
          <w:color w:val="000000" w:themeColor="text1"/>
          <w:sz w:val="20"/>
          <w:szCs w:val="20"/>
          <w:lang w:eastAsia="en-US"/>
        </w:rPr>
        <w:t xml:space="preserve"> durante los cuatro (4) meses anteriores a las elecciones presidenciales, salvo </w:t>
      </w:r>
      <w:r w:rsidRPr="003C27C6">
        <w:rPr>
          <w:rFonts w:ascii="Arial" w:eastAsia="Calibri" w:hAnsi="Arial" w:cs="Arial"/>
          <w:bCs/>
          <w:color w:val="000000" w:themeColor="text1"/>
          <w:sz w:val="20"/>
          <w:szCs w:val="20"/>
          <w:lang w:eastAsia="en-US"/>
        </w:rPr>
        <w:t xml:space="preserve">«[…] </w:t>
      </w:r>
      <w:r w:rsidRPr="003C27C6">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C27C6">
        <w:rPr>
          <w:rFonts w:ascii="Arial" w:eastAsia="Calibri" w:hAnsi="Arial" w:cs="Arial"/>
          <w:bCs/>
          <w:color w:val="000000" w:themeColor="text1"/>
          <w:sz w:val="20"/>
          <w:szCs w:val="20"/>
          <w:lang w:eastAsia="en-US"/>
        </w:rPr>
        <w:t>»</w:t>
      </w:r>
      <w:r w:rsidRPr="003C27C6">
        <w:rPr>
          <w:rFonts w:ascii="Arial" w:eastAsia="Calibri" w:hAnsi="Arial" w:cs="Arial"/>
          <w:color w:val="000000" w:themeColor="text1"/>
          <w:sz w:val="20"/>
          <w:szCs w:val="20"/>
          <w:lang w:eastAsia="en-US"/>
        </w:rPr>
        <w:t>.</w:t>
      </w:r>
      <w:r w:rsidR="00B523D3" w:rsidRPr="003C27C6">
        <w:rPr>
          <w:rFonts w:ascii="Arial" w:eastAsia="Calibri" w:hAnsi="Arial" w:cs="Arial"/>
          <w:color w:val="000000" w:themeColor="text1"/>
          <w:sz w:val="20"/>
          <w:szCs w:val="20"/>
          <w:lang w:eastAsia="en-US"/>
        </w:rPr>
        <w:t xml:space="preserve"> </w:t>
      </w:r>
      <w:r w:rsidRPr="003C27C6">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3C27C6">
        <w:rPr>
          <w:rFonts w:ascii="Arial" w:eastAsia="Calibri" w:hAnsi="Arial" w:cs="Arial"/>
          <w:bCs/>
          <w:color w:val="000000" w:themeColor="text1"/>
          <w:sz w:val="20"/>
          <w:szCs w:val="20"/>
          <w:lang w:eastAsia="en-US"/>
        </w:rPr>
        <w:t xml:space="preserve">«[…] </w:t>
      </w:r>
      <w:r w:rsidRPr="003C27C6">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C27C6">
        <w:rPr>
          <w:rFonts w:ascii="Arial" w:eastAsia="Calibri" w:hAnsi="Arial" w:cs="Arial"/>
          <w:bCs/>
          <w:color w:val="000000" w:themeColor="text1"/>
          <w:sz w:val="20"/>
          <w:szCs w:val="20"/>
          <w:lang w:eastAsia="en-US"/>
        </w:rPr>
        <w:t>»</w:t>
      </w:r>
      <w:r w:rsidRPr="003C27C6">
        <w:rPr>
          <w:rFonts w:ascii="Arial" w:eastAsia="Calibri" w:hAnsi="Arial" w:cs="Arial"/>
          <w:color w:val="000000" w:themeColor="text1"/>
          <w:sz w:val="20"/>
          <w:szCs w:val="20"/>
          <w:lang w:val="es-MX" w:eastAsia="en-US"/>
        </w:rPr>
        <w:t>.</w:t>
      </w:r>
      <w:r w:rsidRPr="003C27C6">
        <w:rPr>
          <w:rFonts w:ascii="Arial" w:eastAsia="Calibri" w:hAnsi="Arial" w:cs="Arial"/>
          <w:noProof/>
          <w:color w:val="000000" w:themeColor="text1"/>
          <w:sz w:val="20"/>
          <w:szCs w:val="20"/>
          <w:lang w:val="es-ES_tradnl" w:eastAsia="en-US"/>
        </w:rPr>
        <w:t>.</w:t>
      </w:r>
    </w:p>
    <w:bookmarkEnd w:id="3"/>
    <w:p w14:paraId="6A248971" w14:textId="77777777" w:rsidR="003A231A" w:rsidRPr="003C27C6" w:rsidRDefault="003A231A" w:rsidP="00964D6E">
      <w:pPr>
        <w:tabs>
          <w:tab w:val="left" w:pos="426"/>
        </w:tabs>
        <w:jc w:val="both"/>
        <w:rPr>
          <w:rFonts w:ascii="Arial" w:eastAsia="Calibri" w:hAnsi="Arial" w:cs="Arial"/>
          <w:noProof/>
          <w:color w:val="000000" w:themeColor="text1"/>
          <w:sz w:val="20"/>
          <w:szCs w:val="20"/>
          <w:lang w:val="es-ES_tradnl" w:eastAsia="en-US"/>
        </w:rPr>
      </w:pPr>
    </w:p>
    <w:p w14:paraId="16B99D67" w14:textId="77777777" w:rsidR="003A231A" w:rsidRPr="003C27C6" w:rsidRDefault="003A231A" w:rsidP="00964D6E">
      <w:pPr>
        <w:tabs>
          <w:tab w:val="left" w:pos="426"/>
        </w:tabs>
        <w:jc w:val="both"/>
        <w:rPr>
          <w:rFonts w:ascii="Arial" w:eastAsia="Calibri" w:hAnsi="Arial" w:cs="Arial"/>
          <w:b/>
          <w:bCs/>
          <w:color w:val="000000" w:themeColor="text1"/>
          <w:sz w:val="22"/>
          <w:szCs w:val="22"/>
          <w:lang w:val="es-MX" w:eastAsia="en-US"/>
        </w:rPr>
      </w:pPr>
      <w:bookmarkStart w:id="6" w:name="_Hlk77157138"/>
      <w:r w:rsidRPr="003C27C6">
        <w:rPr>
          <w:rFonts w:ascii="Arial" w:eastAsia="Calibri" w:hAnsi="Arial" w:cs="Arial"/>
          <w:b/>
          <w:bCs/>
          <w:color w:val="000000" w:themeColor="text1"/>
          <w:sz w:val="22"/>
          <w:szCs w:val="22"/>
          <w:lang w:val="es-MX" w:eastAsia="en-US"/>
        </w:rPr>
        <w:t>LEY DE GARANTÍAS ELECTORALES ‒ Prohibiciones ‒ Ámbito temporal</w:t>
      </w:r>
    </w:p>
    <w:p w14:paraId="69D83ABA" w14:textId="77777777" w:rsidR="003A231A" w:rsidRPr="003C27C6" w:rsidRDefault="003A231A" w:rsidP="00964D6E">
      <w:pPr>
        <w:tabs>
          <w:tab w:val="left" w:pos="426"/>
        </w:tabs>
        <w:jc w:val="both"/>
        <w:rPr>
          <w:rFonts w:ascii="Arial" w:eastAsia="Calibri" w:hAnsi="Arial" w:cs="Arial"/>
          <w:noProof/>
          <w:color w:val="000000" w:themeColor="text1"/>
          <w:sz w:val="20"/>
          <w:szCs w:val="20"/>
          <w:lang w:val="es-ES_tradnl" w:eastAsia="en-US"/>
        </w:rPr>
      </w:pPr>
    </w:p>
    <w:bookmarkEnd w:id="6"/>
    <w:p w14:paraId="2751E842" w14:textId="77777777" w:rsidR="003A231A" w:rsidRPr="003C27C6" w:rsidRDefault="003A231A" w:rsidP="00964D6E">
      <w:pPr>
        <w:jc w:val="both"/>
        <w:rPr>
          <w:rFonts w:ascii="Arial" w:eastAsia="Arial" w:hAnsi="Arial" w:cs="Arial"/>
          <w:color w:val="000000" w:themeColor="text1"/>
          <w:sz w:val="20"/>
          <w:szCs w:val="20"/>
          <w:lang w:val="es-ES" w:eastAsia="es-ES" w:bidi="es-ES"/>
        </w:rPr>
      </w:pPr>
      <w:r w:rsidRPr="003C27C6">
        <w:rPr>
          <w:rFonts w:ascii="Arial" w:eastAsia="Arial" w:hAnsi="Arial" w:cs="Arial"/>
          <w:color w:val="000000" w:themeColor="text1"/>
          <w:sz w:val="20"/>
          <w:szCs w:val="20"/>
          <w:lang w:val="es-ES" w:eastAsia="es-ES" w:bidi="es-ES"/>
        </w:rPr>
        <w:t xml:space="preserve">[…] la Ley 996 de 2005 regula dos tipos de restricciones en materia de contratación, a saber: i) La del artículo 33 que opera solo respecto de las elecciones presidenciales, en virtud de la cual queda proscrita </w:t>
      </w:r>
      <w:r w:rsidRPr="003C27C6">
        <w:rPr>
          <w:rFonts w:ascii="Arial" w:eastAsia="Calibri" w:hAnsi="Arial" w:cs="Arial"/>
          <w:color w:val="000000" w:themeColor="text1"/>
          <w:sz w:val="20"/>
          <w:szCs w:val="20"/>
          <w:lang w:eastAsia="en-US"/>
        </w:rPr>
        <w:t xml:space="preserve">la </w:t>
      </w:r>
      <w:r w:rsidRPr="003C27C6">
        <w:rPr>
          <w:rFonts w:ascii="Arial" w:eastAsia="Calibri" w:hAnsi="Arial" w:cs="Arial"/>
          <w:i/>
          <w:iCs/>
          <w:color w:val="000000" w:themeColor="text1"/>
          <w:sz w:val="20"/>
          <w:szCs w:val="20"/>
          <w:lang w:eastAsia="en-US"/>
        </w:rPr>
        <w:t>contratación directa</w:t>
      </w:r>
      <w:r w:rsidRPr="003C27C6">
        <w:rPr>
          <w:rFonts w:ascii="Arial" w:eastAsia="Calibri" w:hAnsi="Arial" w:cs="Arial"/>
          <w:color w:val="000000" w:themeColor="text1"/>
          <w:sz w:val="20"/>
          <w:szCs w:val="20"/>
          <w:lang w:eastAsia="en-US"/>
        </w:rPr>
        <w:t xml:space="preserve"> por parte de todos los entes del Estado</w:t>
      </w:r>
      <w:r w:rsidRPr="003C27C6">
        <w:rPr>
          <w:rFonts w:ascii="Arial" w:eastAsia="Arial" w:hAnsi="Arial" w:cs="Arial"/>
          <w:color w:val="000000" w:themeColor="text1"/>
          <w:sz w:val="20"/>
          <w:szCs w:val="20"/>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w:t>
      </w:r>
      <w:proofErr w:type="spellStart"/>
      <w:r w:rsidRPr="003C27C6">
        <w:rPr>
          <w:rFonts w:ascii="Arial" w:eastAsia="Arial" w:hAnsi="Arial" w:cs="Arial"/>
          <w:color w:val="000000" w:themeColor="text1"/>
          <w:sz w:val="20"/>
          <w:szCs w:val="20"/>
          <w:lang w:val="es-ES" w:eastAsia="es-ES" w:bidi="es-ES"/>
        </w:rPr>
        <w:t>ii</w:t>
      </w:r>
      <w:proofErr w:type="spellEnd"/>
      <w:r w:rsidRPr="003C27C6">
        <w:rPr>
          <w:rFonts w:ascii="Arial" w:eastAsia="Arial" w:hAnsi="Arial" w:cs="Arial"/>
          <w:color w:val="000000" w:themeColor="text1"/>
          <w:sz w:val="20"/>
          <w:szCs w:val="20"/>
          <w:lang w:val="es-ES" w:eastAsia="es-ES" w:bidi="es-ES"/>
        </w:rPr>
        <w:t>)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p>
    <w:p w14:paraId="0C47FB08" w14:textId="77777777" w:rsidR="003A231A" w:rsidRPr="003C27C6" w:rsidRDefault="003A231A" w:rsidP="00964D6E">
      <w:pPr>
        <w:tabs>
          <w:tab w:val="left" w:pos="426"/>
        </w:tabs>
        <w:jc w:val="both"/>
        <w:rPr>
          <w:rFonts w:ascii="Arial" w:eastAsia="Calibri" w:hAnsi="Arial" w:cs="Arial"/>
          <w:color w:val="000000" w:themeColor="text1"/>
          <w:sz w:val="20"/>
          <w:szCs w:val="20"/>
          <w:lang w:val="es-ES" w:eastAsia="en-US"/>
        </w:rPr>
      </w:pPr>
    </w:p>
    <w:p w14:paraId="40760739" w14:textId="77777777" w:rsidR="003A231A" w:rsidRPr="003C27C6" w:rsidRDefault="003A231A" w:rsidP="00964D6E">
      <w:pPr>
        <w:jc w:val="both"/>
        <w:rPr>
          <w:rFonts w:ascii="Arial" w:eastAsia="Calibri" w:hAnsi="Arial" w:cs="Arial"/>
          <w:b/>
          <w:color w:val="000000" w:themeColor="text1"/>
          <w:sz w:val="22"/>
          <w:szCs w:val="22"/>
          <w:lang w:val="es-MX" w:eastAsia="en-US"/>
        </w:rPr>
      </w:pPr>
      <w:r w:rsidRPr="003C27C6">
        <w:rPr>
          <w:rFonts w:ascii="Arial" w:eastAsia="Calibri" w:hAnsi="Arial" w:cs="Arial"/>
          <w:b/>
          <w:color w:val="000000" w:themeColor="text1"/>
          <w:sz w:val="22"/>
          <w:szCs w:val="22"/>
          <w:lang w:val="es-MX" w:eastAsia="en-US"/>
        </w:rPr>
        <w:t xml:space="preserve">CONTRATOS Y </w:t>
      </w:r>
      <w:r w:rsidRPr="003C27C6">
        <w:rPr>
          <w:rFonts w:ascii="Arial" w:eastAsiaTheme="minorHAnsi" w:hAnsi="Arial" w:cs="Arial"/>
          <w:b/>
          <w:color w:val="000000" w:themeColor="text1"/>
          <w:sz w:val="22"/>
          <w:szCs w:val="22"/>
          <w:lang w:val="es-MX" w:eastAsia="en-US"/>
        </w:rPr>
        <w:t xml:space="preserve">CONVENIOS INTERADMINISTRATIVOS </w:t>
      </w:r>
      <w:r w:rsidRPr="003C27C6">
        <w:rPr>
          <w:rFonts w:ascii="Arial" w:eastAsia="Calibri" w:hAnsi="Arial" w:cs="Arial"/>
          <w:b/>
          <w:color w:val="000000" w:themeColor="text1"/>
          <w:sz w:val="22"/>
          <w:szCs w:val="22"/>
          <w:lang w:val="es-MX" w:eastAsia="en-US"/>
        </w:rPr>
        <w:t xml:space="preserve">– Definición – Criterio orgánico </w:t>
      </w:r>
    </w:p>
    <w:p w14:paraId="0AFFDAB8" w14:textId="77777777" w:rsidR="003A231A" w:rsidRPr="003C27C6" w:rsidRDefault="003A231A" w:rsidP="00964D6E">
      <w:pPr>
        <w:jc w:val="both"/>
        <w:rPr>
          <w:rFonts w:ascii="Arial" w:eastAsia="Calibri" w:hAnsi="Arial" w:cs="Arial"/>
          <w:bCs/>
          <w:color w:val="000000" w:themeColor="text1"/>
          <w:sz w:val="20"/>
          <w:szCs w:val="20"/>
          <w:lang w:val="es-MX" w:eastAsia="en-US"/>
        </w:rPr>
      </w:pPr>
    </w:p>
    <w:p w14:paraId="1476837D" w14:textId="77777777" w:rsidR="003A231A" w:rsidRPr="003C27C6" w:rsidRDefault="003A231A" w:rsidP="00964D6E">
      <w:pPr>
        <w:widowControl w:val="0"/>
        <w:autoSpaceDE w:val="0"/>
        <w:autoSpaceDN w:val="0"/>
        <w:jc w:val="both"/>
        <w:rPr>
          <w:rFonts w:ascii="Arial" w:eastAsia="Arial" w:hAnsi="Arial" w:cs="Arial"/>
          <w:color w:val="000000" w:themeColor="text1"/>
          <w:sz w:val="20"/>
          <w:szCs w:val="20"/>
          <w:lang w:val="es-ES" w:eastAsia="es-ES" w:bidi="es-ES"/>
        </w:rPr>
      </w:pPr>
      <w:r w:rsidRPr="003C27C6">
        <w:rPr>
          <w:rFonts w:ascii="Arial" w:eastAsia="Arial" w:hAnsi="Arial" w:cs="Arial"/>
          <w:color w:val="000000" w:themeColor="text1"/>
          <w:sz w:val="20"/>
          <w:szCs w:val="20"/>
          <w:lang w:val="es-ES"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3C27C6">
        <w:rPr>
          <w:rFonts w:ascii="Arial" w:eastAsia="Arial" w:hAnsi="Arial" w:cs="Arial"/>
          <w:color w:val="000000" w:themeColor="text1"/>
          <w:spacing w:val="-6"/>
          <w:sz w:val="20"/>
          <w:szCs w:val="20"/>
          <w:lang w:val="es-ES" w:eastAsia="es-ES" w:bidi="es-ES"/>
        </w:rPr>
        <w:t xml:space="preserve"> </w:t>
      </w:r>
      <w:r w:rsidRPr="003C27C6">
        <w:rPr>
          <w:rFonts w:ascii="Arial" w:eastAsia="Arial" w:hAnsi="Arial" w:cs="Arial"/>
          <w:color w:val="000000" w:themeColor="text1"/>
          <w:sz w:val="20"/>
          <w:szCs w:val="20"/>
          <w:lang w:val="es-ES" w:eastAsia="es-ES" w:bidi="es-ES"/>
        </w:rPr>
        <w:t>estatales.</w:t>
      </w:r>
    </w:p>
    <w:p w14:paraId="676A107B" w14:textId="77777777" w:rsidR="00C128B2" w:rsidRPr="003C27C6" w:rsidRDefault="00C128B2" w:rsidP="00964D6E">
      <w:pPr>
        <w:rPr>
          <w:rFonts w:ascii="Arial" w:hAnsi="Arial" w:cs="Arial"/>
          <w:color w:val="000000" w:themeColor="text1"/>
          <w:sz w:val="22"/>
          <w:lang w:val="es-ES"/>
        </w:rPr>
      </w:pPr>
    </w:p>
    <w:p w14:paraId="0F328595" w14:textId="2E24145D" w:rsidR="00C128B2" w:rsidRPr="003C27C6" w:rsidRDefault="00C57523" w:rsidP="00C46D70">
      <w:pPr>
        <w:rPr>
          <w:rFonts w:ascii="Arial" w:hAnsi="Arial" w:cs="Arial"/>
          <w:color w:val="000000" w:themeColor="text1"/>
          <w:sz w:val="22"/>
          <w:szCs w:val="22"/>
        </w:rPr>
      </w:pPr>
      <w:r w:rsidRPr="003C27C6">
        <w:rPr>
          <w:rFonts w:ascii="Arial" w:eastAsia="Calibri" w:hAnsi="Arial" w:cs="Arial"/>
          <w:b/>
          <w:sz w:val="22"/>
          <w:szCs w:val="22"/>
        </w:rPr>
        <w:t>LEY DE GARANTÍAS – Modificación – Ley 2159 de 2021 – Artículo 124 – Alcance</w:t>
      </w:r>
    </w:p>
    <w:p w14:paraId="6F26B8FB" w14:textId="05184B34" w:rsidR="00C46D70" w:rsidRPr="003C27C6" w:rsidRDefault="00C46D70" w:rsidP="00C46D70">
      <w:pPr>
        <w:jc w:val="both"/>
        <w:rPr>
          <w:rFonts w:ascii="Arial" w:eastAsia="Calibri" w:hAnsi="Arial" w:cs="Arial"/>
          <w:bCs/>
          <w:sz w:val="20"/>
          <w:szCs w:val="20"/>
          <w:lang w:eastAsia="en-US"/>
        </w:rPr>
      </w:pPr>
    </w:p>
    <w:p w14:paraId="791F54FB" w14:textId="11C3019F"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sz w:val="20"/>
          <w:szCs w:val="20"/>
          <w:lang w:eastAsia="en-US"/>
        </w:rPr>
        <w:t xml:space="preserve">[…] El alcance del artículo 124 de la Ley 2159 de 2021 tiene como cometido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19C7F98D" w14:textId="77777777" w:rsidR="00C46D70" w:rsidRPr="003C27C6" w:rsidRDefault="00C46D70" w:rsidP="00C46D70">
      <w:pPr>
        <w:jc w:val="both"/>
        <w:rPr>
          <w:rFonts w:ascii="Arial" w:eastAsia="Calibri" w:hAnsi="Arial" w:cs="Arial"/>
          <w:bCs/>
          <w:sz w:val="20"/>
          <w:szCs w:val="20"/>
          <w:lang w:eastAsia="en-US"/>
        </w:rPr>
      </w:pPr>
    </w:p>
    <w:p w14:paraId="420C2C8D" w14:textId="5EFF5CA6"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bCs/>
          <w:sz w:val="20"/>
          <w:szCs w:val="20"/>
          <w:lang w:eastAsia="en-US"/>
        </w:rPr>
        <w:t xml:space="preserve">[…] </w:t>
      </w:r>
      <w:r w:rsidRPr="003C27C6">
        <w:rPr>
          <w:rFonts w:ascii="Arial" w:eastAsia="Calibri" w:hAnsi="Arial" w:cs="Arial"/>
          <w:sz w:val="20"/>
          <w:szCs w:val="20"/>
          <w:lang w:eastAsia="en-US"/>
        </w:rPr>
        <w:t xml:space="preserve">Durante los cuatro (4) meses previos a la elección presidencial del año 2022 solamente podrán celebrarse convenios o contratos interadministrativos cuando el proceso de selección aplicable sea una convocatoria pública y se presente la circunstancia a la que se refiere el artículo 124 de la Ley 2159 de 2021, es decir, para la ejecución de proyectos y programas correspondientes al Presupuesto General de la Nación. Por lo demás, esta norma no modifica el artículo 33 de la Ley de Garantías Electorales, en consideración a lo cual las restricciones a la contratación directa previstas en este artículo permanecen incólumes, esto es, lo que no implique un proceso plural y competitivo de oferentes. </w:t>
      </w:r>
    </w:p>
    <w:p w14:paraId="44798FB9" w14:textId="77777777" w:rsidR="00C46D70" w:rsidRPr="003C27C6" w:rsidRDefault="00C46D70" w:rsidP="00C46D70">
      <w:pPr>
        <w:jc w:val="both"/>
        <w:rPr>
          <w:rFonts w:ascii="Arial" w:eastAsia="Calibri" w:hAnsi="Arial" w:cs="Arial"/>
          <w:bCs/>
          <w:sz w:val="20"/>
          <w:szCs w:val="20"/>
          <w:lang w:eastAsia="en-US"/>
        </w:rPr>
      </w:pPr>
    </w:p>
    <w:p w14:paraId="63D2FDE4" w14:textId="77777777"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bCs/>
          <w:sz w:val="20"/>
          <w:szCs w:val="20"/>
          <w:lang w:eastAsia="en-US"/>
        </w:rPr>
        <w:t>[…]</w:t>
      </w:r>
      <w:r w:rsidRPr="003C27C6">
        <w:rPr>
          <w:rFonts w:ascii="Arial" w:eastAsia="Calibri" w:hAnsi="Arial" w:cs="Arial"/>
          <w:sz w:val="20"/>
          <w:szCs w:val="20"/>
          <w:lang w:eastAsia="en-US"/>
        </w:rPr>
        <w:t xml:space="preserve"> La aplicación del artículo 124 de la Ley 2159 de 2021 se restringe a un criterio orgánico, pues se requiere que uno de los extremos contractuales sea la Nación y el otro una entidad territorial, para que la celebración del convenio o contrato administrativo sea procedente. En estos términos, no es posible la celebración de convenios o contratos interadministrativos entre entidades descentralizadas del orden territorial, pues la posibilidad que otorga el artículo 124 de la Ley 2159 de 2021 se somete a la condición que una de las partes sea la Nación, con el fin de ejecutar proyectos o programas que correspondan al Presupuesto General de la Nación. Por ejemplo, durante los cuatro (4) meses anteriores a las elecciones, dos municipios o un municipio y un departamento o entidad descentralizada territorial, quedan cubiertos por la prohibición original del parágrafo del artículo 38 de la Ley de Garantías Electorales. </w:t>
      </w:r>
    </w:p>
    <w:p w14:paraId="6815F15D" w14:textId="5F110D04"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sz w:val="20"/>
          <w:szCs w:val="20"/>
          <w:lang w:eastAsia="en-US"/>
        </w:rPr>
        <w:t xml:space="preserve"> </w:t>
      </w:r>
    </w:p>
    <w:p w14:paraId="682BA9ED" w14:textId="77777777"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sz w:val="20"/>
          <w:szCs w:val="20"/>
          <w:lang w:eastAsia="en-US"/>
        </w:rPr>
        <w:t xml:space="preserve">[…] El objeto contractual de los convenios o contratos interadministrativos debe limitarse a la ejecución de programas y proyectos correspondientes al Presupuesto General de la Nación. Es decir, se establece un criterio material, del cual se deriva que, durante los cuatro meses previos a las elecciones, queda prohibido celebrar </w:t>
      </w:r>
      <w:proofErr w:type="gramStart"/>
      <w:r w:rsidRPr="003C27C6">
        <w:rPr>
          <w:rFonts w:ascii="Arial" w:eastAsia="Calibri" w:hAnsi="Arial" w:cs="Arial"/>
          <w:sz w:val="20"/>
          <w:szCs w:val="20"/>
          <w:lang w:eastAsia="en-US"/>
        </w:rPr>
        <w:t>convenios interadministrativos o contratos interadministrativos</w:t>
      </w:r>
      <w:proofErr w:type="gramEnd"/>
      <w:r w:rsidRPr="003C27C6">
        <w:rPr>
          <w:rFonts w:ascii="Arial" w:eastAsia="Calibri" w:hAnsi="Arial" w:cs="Arial"/>
          <w:sz w:val="20"/>
          <w:szCs w:val="20"/>
          <w:lang w:eastAsia="en-US"/>
        </w:rPr>
        <w:t xml:space="preserve"> que no se relacionen con programas y proyectos que ejecuten recursos del Presupuesto General de la Nación. </w:t>
      </w:r>
    </w:p>
    <w:p w14:paraId="589936F4" w14:textId="77777777" w:rsidR="00C46D70" w:rsidRPr="003C27C6" w:rsidRDefault="00C46D70" w:rsidP="00C46D70">
      <w:pPr>
        <w:jc w:val="both"/>
        <w:rPr>
          <w:rFonts w:ascii="Arial" w:eastAsia="Calibri" w:hAnsi="Arial" w:cs="Arial"/>
          <w:sz w:val="20"/>
          <w:szCs w:val="20"/>
          <w:lang w:eastAsia="en-US"/>
        </w:rPr>
      </w:pPr>
    </w:p>
    <w:p w14:paraId="2B3BA234" w14:textId="77777777"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sz w:val="20"/>
          <w:szCs w:val="20"/>
          <w:lang w:eastAsia="en-US"/>
        </w:rPr>
        <w:t>[…] En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0F3E9203" w14:textId="77777777" w:rsidR="00C46D70" w:rsidRPr="003C27C6" w:rsidRDefault="00C46D70" w:rsidP="00C46D70">
      <w:pPr>
        <w:jc w:val="both"/>
        <w:rPr>
          <w:rFonts w:ascii="Arial" w:eastAsia="Calibri" w:hAnsi="Arial" w:cs="Arial"/>
          <w:sz w:val="20"/>
          <w:szCs w:val="20"/>
          <w:lang w:eastAsia="en-US"/>
        </w:rPr>
      </w:pPr>
    </w:p>
    <w:p w14:paraId="6F27BF80" w14:textId="52D6C250" w:rsidR="00C46D70" w:rsidRPr="003C27C6" w:rsidRDefault="00C46D70" w:rsidP="00C46D70">
      <w:pPr>
        <w:jc w:val="both"/>
        <w:rPr>
          <w:rFonts w:ascii="Arial" w:eastAsia="Calibri" w:hAnsi="Arial" w:cs="Arial"/>
          <w:sz w:val="20"/>
          <w:szCs w:val="20"/>
          <w:lang w:eastAsia="en-US"/>
        </w:rPr>
      </w:pPr>
      <w:r w:rsidRPr="003C27C6">
        <w:rPr>
          <w:rFonts w:ascii="Arial" w:eastAsia="Calibri" w:hAnsi="Arial" w:cs="Arial"/>
          <w:sz w:val="20"/>
          <w:szCs w:val="20"/>
          <w:lang w:eastAsia="en-US"/>
        </w:rPr>
        <w:t>[…] Se establece que los convenios o contratos interadministrativos 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1ECBCF1B" w14:textId="6B5A23DF" w:rsidR="00C128B2" w:rsidRPr="003C27C6" w:rsidRDefault="00C128B2" w:rsidP="00964D6E">
      <w:pPr>
        <w:rPr>
          <w:rFonts w:ascii="Arial" w:hAnsi="Arial" w:cs="Arial"/>
          <w:color w:val="000000" w:themeColor="text1"/>
          <w:sz w:val="22"/>
        </w:rPr>
      </w:pPr>
    </w:p>
    <w:p w14:paraId="75EDF1FC" w14:textId="77777777" w:rsidR="00964D6E" w:rsidRPr="003C27C6" w:rsidRDefault="00964D6E" w:rsidP="00964D6E">
      <w:pPr>
        <w:tabs>
          <w:tab w:val="left" w:pos="426"/>
        </w:tabs>
        <w:jc w:val="both"/>
        <w:rPr>
          <w:rFonts w:ascii="Arial" w:eastAsia="Calibri" w:hAnsi="Arial" w:cs="Arial"/>
          <w:b/>
          <w:bCs/>
          <w:sz w:val="22"/>
          <w:szCs w:val="22"/>
          <w:lang w:val="es-MX" w:eastAsia="en-US"/>
        </w:rPr>
      </w:pPr>
      <w:bookmarkStart w:id="7" w:name="_Hlk77165666"/>
      <w:r w:rsidRPr="003C27C6">
        <w:rPr>
          <w:rFonts w:ascii="Arial" w:eastAsia="Calibri" w:hAnsi="Arial" w:cs="Arial"/>
          <w:b/>
          <w:bCs/>
          <w:sz w:val="22"/>
          <w:szCs w:val="22"/>
          <w:lang w:val="es-MX" w:eastAsia="en-US"/>
        </w:rPr>
        <w:t xml:space="preserve">LEY DE GARANTÍAS ELECTORALES ─ Prohibición artículo 33 ‒ </w:t>
      </w:r>
      <w:bookmarkEnd w:id="7"/>
      <w:r w:rsidRPr="003C27C6">
        <w:rPr>
          <w:rFonts w:ascii="Arial" w:eastAsia="Calibri" w:hAnsi="Arial" w:cs="Arial"/>
          <w:b/>
          <w:bCs/>
          <w:sz w:val="22"/>
          <w:szCs w:val="22"/>
          <w:lang w:val="es-MX" w:eastAsia="en-US"/>
        </w:rPr>
        <w:t xml:space="preserve">Contratación directa ‒ Alcance </w:t>
      </w:r>
    </w:p>
    <w:p w14:paraId="4469449C" w14:textId="77777777" w:rsidR="00964D6E" w:rsidRPr="003C27C6" w:rsidRDefault="00964D6E" w:rsidP="00964D6E">
      <w:pPr>
        <w:tabs>
          <w:tab w:val="left" w:pos="426"/>
        </w:tabs>
        <w:jc w:val="both"/>
        <w:rPr>
          <w:rFonts w:ascii="Arial" w:eastAsia="Calibri" w:hAnsi="Arial" w:cs="Arial"/>
          <w:noProof/>
          <w:sz w:val="20"/>
          <w:szCs w:val="20"/>
          <w:lang w:val="es-MX" w:eastAsia="en-US"/>
        </w:rPr>
      </w:pPr>
    </w:p>
    <w:p w14:paraId="1579FC73" w14:textId="3E1744E9" w:rsidR="00964D6E" w:rsidRPr="003C27C6" w:rsidRDefault="00964D6E" w:rsidP="00964D6E">
      <w:pPr>
        <w:jc w:val="both"/>
        <w:rPr>
          <w:rFonts w:ascii="Arial" w:hAnsi="Arial" w:cs="Arial"/>
          <w:bCs/>
          <w:sz w:val="20"/>
          <w:szCs w:val="20"/>
          <w:lang w:val="es-MX" w:eastAsia="x-none"/>
        </w:rPr>
      </w:pPr>
      <w:r w:rsidRPr="003C27C6">
        <w:rPr>
          <w:rFonts w:ascii="Arial" w:eastAsia="Calibri" w:hAnsi="Arial" w:cs="Arial"/>
          <w:noProof/>
          <w:sz w:val="20"/>
          <w:szCs w:val="20"/>
          <w:lang w:val="es-MX" w:eastAsia="en-US"/>
        </w:rPr>
        <w:t xml:space="preserve">[…] </w:t>
      </w:r>
      <w:r w:rsidRPr="003C27C6">
        <w:rPr>
          <w:rFonts w:ascii="Arial" w:hAnsi="Arial" w:cs="Arial"/>
          <w:bCs/>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3C27C6">
        <w:rPr>
          <w:rFonts w:ascii="Arial" w:hAnsi="Arial" w:cs="Arial"/>
          <w:sz w:val="20"/>
          <w:szCs w:val="20"/>
          <w:vertAlign w:val="superscript"/>
          <w:lang w:eastAsia="x-none"/>
        </w:rPr>
        <w:t xml:space="preserve">. </w:t>
      </w:r>
      <w:r w:rsidRPr="003C27C6">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3C27C6">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r w:rsidR="00403548" w:rsidRPr="003C27C6">
        <w:rPr>
          <w:rFonts w:ascii="Arial" w:hAnsi="Arial" w:cs="Arial"/>
          <w:sz w:val="20"/>
          <w:szCs w:val="20"/>
          <w:lang w:eastAsia="x-none"/>
        </w:rPr>
        <w:t>.</w:t>
      </w:r>
    </w:p>
    <w:p w14:paraId="7C1F0E6E" w14:textId="56183307" w:rsidR="00AB5DF8" w:rsidRPr="003C27C6" w:rsidRDefault="00AB5DF8" w:rsidP="00964D6E">
      <w:pPr>
        <w:jc w:val="both"/>
        <w:rPr>
          <w:rFonts w:ascii="Arial" w:hAnsi="Arial" w:cs="Arial"/>
          <w:b/>
          <w:color w:val="000000" w:themeColor="text1"/>
          <w:sz w:val="22"/>
          <w:lang w:val="es-MX"/>
        </w:rPr>
      </w:pPr>
    </w:p>
    <w:p w14:paraId="796A7373" w14:textId="7103254D" w:rsidR="00AB5DF8" w:rsidRPr="003C27C6" w:rsidRDefault="00964D6E" w:rsidP="00964D6E">
      <w:pPr>
        <w:jc w:val="both"/>
        <w:rPr>
          <w:rFonts w:ascii="Arial" w:hAnsi="Arial" w:cs="Arial"/>
          <w:b/>
          <w:color w:val="000000" w:themeColor="text1"/>
          <w:sz w:val="22"/>
        </w:rPr>
      </w:pPr>
      <w:r w:rsidRPr="003C27C6">
        <w:rPr>
          <w:rFonts w:ascii="Arial" w:hAnsi="Arial" w:cs="Arial"/>
          <w:b/>
          <w:color w:val="000000" w:themeColor="text1"/>
          <w:sz w:val="22"/>
        </w:rPr>
        <w:t>LEY DE GARANTÍAS ELECTORALES – contratos de colaboración – convenios de asociación – prohibición artículo 33 – procesos no competitivos</w:t>
      </w:r>
    </w:p>
    <w:p w14:paraId="20BAE7C5" w14:textId="008E4546" w:rsidR="00964D6E" w:rsidRPr="003C27C6" w:rsidRDefault="00964D6E" w:rsidP="00964D6E">
      <w:pPr>
        <w:rPr>
          <w:rFonts w:ascii="Arial" w:hAnsi="Arial" w:cs="Arial"/>
          <w:color w:val="000000" w:themeColor="text1"/>
          <w:sz w:val="22"/>
        </w:rPr>
      </w:pPr>
    </w:p>
    <w:p w14:paraId="63065BC6" w14:textId="77777777" w:rsidR="00C46D70" w:rsidRPr="003C27C6" w:rsidRDefault="00C46D70" w:rsidP="00C46D70">
      <w:pPr>
        <w:jc w:val="both"/>
        <w:rPr>
          <w:rFonts w:ascii="Arial" w:eastAsia="Calibri" w:hAnsi="Arial" w:cs="Arial"/>
          <w:sz w:val="20"/>
          <w:szCs w:val="20"/>
        </w:rPr>
      </w:pPr>
      <w:r w:rsidRPr="003C27C6">
        <w:rPr>
          <w:rFonts w:ascii="Arial" w:eastAsia="Calibri" w:hAnsi="Arial" w:cs="Arial"/>
          <w:sz w:val="20"/>
          <w:szCs w:val="20"/>
        </w:rPr>
        <w:t xml:space="preserve">Ahora bien, analizando las normas del Decreto 092 de 2017 con respecto al artículo 33 de la Ley de Garantías Electorales, se deriva que la restricción aplica frente a todo proceso que no se considere competitivo, esto es, en los que no se permita la participación de una pluralidad de oferentes o proponentes. Es decir, los procesos </w:t>
      </w:r>
      <w:r w:rsidRPr="003C27C6">
        <w:rPr>
          <w:rFonts w:ascii="Arial" w:eastAsia="Calibri" w:hAnsi="Arial" w:cs="Arial"/>
          <w:i/>
          <w:iCs/>
          <w:sz w:val="20"/>
          <w:szCs w:val="20"/>
        </w:rPr>
        <w:t>no competitivos</w:t>
      </w:r>
      <w:r w:rsidRPr="003C27C6">
        <w:rPr>
          <w:rFonts w:ascii="Arial" w:eastAsia="Calibri" w:hAnsi="Arial" w:cs="Arial"/>
          <w:sz w:val="20"/>
          <w:szCs w:val="20"/>
        </w:rPr>
        <w:t xml:space="preserve"> dirigidos a la celebración de convenios de asociación o contratos de colaboración están sujetos a las restricciones del artículo 33 de la precitada Ley</w:t>
      </w:r>
      <w:r w:rsidRPr="003C27C6">
        <w:rPr>
          <w:rFonts w:ascii="Arial" w:hAnsi="Arial" w:cs="Arial"/>
          <w:sz w:val="20"/>
          <w:szCs w:val="20"/>
          <w:lang w:eastAsia="es-CO"/>
        </w:rPr>
        <w:t xml:space="preserve">. </w:t>
      </w:r>
    </w:p>
    <w:p w14:paraId="6D210B60" w14:textId="77777777" w:rsidR="00C46D70" w:rsidRPr="003C27C6" w:rsidRDefault="00C46D70" w:rsidP="00C46D70">
      <w:pPr>
        <w:tabs>
          <w:tab w:val="left" w:pos="426"/>
        </w:tabs>
        <w:jc w:val="both"/>
        <w:rPr>
          <w:rFonts w:ascii="Arial" w:hAnsi="Arial" w:cs="Arial"/>
          <w:sz w:val="20"/>
          <w:szCs w:val="20"/>
        </w:rPr>
      </w:pPr>
    </w:p>
    <w:p w14:paraId="05FBB43E" w14:textId="065E5CF6" w:rsidR="00C46D70" w:rsidRPr="003C27C6" w:rsidRDefault="00C46D70" w:rsidP="00C46D70">
      <w:pPr>
        <w:tabs>
          <w:tab w:val="left" w:pos="426"/>
        </w:tabs>
        <w:jc w:val="both"/>
        <w:rPr>
          <w:rFonts w:ascii="Arial" w:hAnsi="Arial" w:cs="Arial"/>
          <w:sz w:val="20"/>
          <w:szCs w:val="20"/>
          <w:lang w:val="es-MX"/>
        </w:rPr>
      </w:pPr>
      <w:r w:rsidRPr="003C27C6">
        <w:rPr>
          <w:rFonts w:ascii="Arial" w:hAnsi="Arial" w:cs="Arial"/>
          <w:sz w:val="20"/>
          <w:szCs w:val="20"/>
          <w:lang w:val="es-MX"/>
        </w:rPr>
        <w:t xml:space="preserve">Se establece así un </w:t>
      </w:r>
      <w:r w:rsidRPr="003C27C6">
        <w:rPr>
          <w:rFonts w:ascii="Arial" w:hAnsi="Arial" w:cs="Arial"/>
          <w:i/>
          <w:sz w:val="20"/>
          <w:szCs w:val="20"/>
          <w:lang w:val="es-MX"/>
        </w:rPr>
        <w:t>criterio material</w:t>
      </w:r>
      <w:r w:rsidRPr="003C27C6">
        <w:rPr>
          <w:rFonts w:ascii="Arial" w:hAnsi="Arial" w:cs="Arial"/>
          <w:sz w:val="20"/>
          <w:szCs w:val="20"/>
          <w:lang w:val="es-MX"/>
        </w:rPr>
        <w:t xml:space="preserve"> en la Ley de Garantías Electorales, el cual se desarrolló a profundidad en el numeral anterior, en el entendido que la prohibición del artículo 33, en relación con la contratación directa, no hace una distinción sobre la ubicación de estas normas en los diferentes cuerpos normativos, pues lo que importa es que impliquen materialmente una contratación directa, para estar inmersos en la restricción. Por ello, la ley de garantías irradia todas las normas que establezcan reglas y procedimientos de contratación directa. </w:t>
      </w:r>
      <w:r w:rsidRPr="003C27C6">
        <w:rPr>
          <w:rFonts w:ascii="Arial" w:hAnsi="Arial" w:cs="Arial"/>
          <w:sz w:val="20"/>
          <w:szCs w:val="20"/>
          <w:lang w:eastAsia="es-CO"/>
        </w:rPr>
        <w:t xml:space="preserve"> </w:t>
      </w:r>
      <w:r w:rsidRPr="003C27C6">
        <w:rPr>
          <w:rFonts w:ascii="Arial" w:hAnsi="Arial" w:cs="Arial"/>
          <w:sz w:val="20"/>
          <w:szCs w:val="20"/>
          <w:lang w:val="es-MX"/>
        </w:rPr>
        <w:t xml:space="preserve"> </w:t>
      </w:r>
    </w:p>
    <w:p w14:paraId="194426FC" w14:textId="77777777" w:rsidR="00C46D70" w:rsidRPr="003C27C6" w:rsidRDefault="00C46D70" w:rsidP="00C46D70">
      <w:pPr>
        <w:jc w:val="both"/>
        <w:rPr>
          <w:rFonts w:ascii="Arial" w:hAnsi="Arial" w:cs="Arial"/>
          <w:sz w:val="20"/>
          <w:szCs w:val="20"/>
          <w:lang w:eastAsia="es-CO"/>
        </w:rPr>
      </w:pPr>
    </w:p>
    <w:p w14:paraId="243E64EC" w14:textId="22B1C7A1" w:rsidR="00C46D70" w:rsidRPr="003C27C6" w:rsidRDefault="00C46D70" w:rsidP="00C46D70">
      <w:pPr>
        <w:jc w:val="both"/>
        <w:rPr>
          <w:rFonts w:ascii="Arial" w:hAnsi="Arial" w:cs="Arial"/>
          <w:sz w:val="20"/>
          <w:szCs w:val="20"/>
          <w:lang w:eastAsia="x-none"/>
        </w:rPr>
      </w:pPr>
      <w:r w:rsidRPr="003C27C6">
        <w:rPr>
          <w:rFonts w:ascii="Arial" w:hAnsi="Arial" w:cs="Arial"/>
          <w:sz w:val="20"/>
          <w:szCs w:val="20"/>
          <w:lang w:eastAsia="es-CO"/>
        </w:rPr>
        <w:t xml:space="preserve">Teniendo en cuenta lo expresado, se concluye que los convenios de asociación y contratos de colaboración establecidos en el Decreto 092 de 2017 no están exentos de la aplicación de la Ley de Garantías Electorales, en especial de lo dispuesto en el artículo 33, que </w:t>
      </w:r>
      <w:r w:rsidRPr="003C27C6">
        <w:rPr>
          <w:rFonts w:ascii="Arial" w:hAnsi="Arial" w:cs="Arial"/>
          <w:sz w:val="20"/>
          <w:szCs w:val="20"/>
          <w:lang w:eastAsia="x-none"/>
        </w:rPr>
        <w:t xml:space="preserve">refiere la restricción o prohibición a </w:t>
      </w:r>
      <w:r w:rsidRPr="003C27C6">
        <w:rPr>
          <w:rFonts w:ascii="Arial" w:hAnsi="Arial" w:cs="Arial"/>
          <w:sz w:val="20"/>
          <w:szCs w:val="20"/>
          <w:lang w:eastAsia="en-GB"/>
        </w:rPr>
        <w:t>«</w:t>
      </w:r>
      <w:r w:rsidRPr="003C27C6">
        <w:rPr>
          <w:rFonts w:ascii="Arial" w:hAnsi="Arial" w:cs="Arial"/>
          <w:sz w:val="20"/>
          <w:szCs w:val="20"/>
          <w:lang w:eastAsia="x-none"/>
        </w:rPr>
        <w:t>cualquier sistema que no implique convocatoria pública y posibilidad de pluralidad de oferentes</w:t>
      </w:r>
      <w:r w:rsidRPr="003C27C6">
        <w:rPr>
          <w:rFonts w:ascii="Arial" w:hAnsi="Arial" w:cs="Arial"/>
          <w:sz w:val="20"/>
          <w:szCs w:val="20"/>
          <w:lang w:eastAsia="en-GB"/>
        </w:rPr>
        <w:t>»</w:t>
      </w:r>
      <w:r w:rsidRPr="003C27C6">
        <w:rPr>
          <w:rFonts w:ascii="Arial" w:hAnsi="Arial" w:cs="Arial"/>
          <w:sz w:val="20"/>
          <w:szCs w:val="20"/>
          <w:lang w:eastAsia="x-none"/>
        </w:rPr>
        <w:t xml:space="preserve">. De este modo, lo que podrán hacer las entidades públicas es celebrar convenios de asociación y contratos de colaboración realizados mediante un proceso competitivo, es decir, que se caracterice por la libre concurrencia y la pluralidad de proponentes.  </w:t>
      </w:r>
    </w:p>
    <w:p w14:paraId="7F4A895A" w14:textId="132C9FB9" w:rsidR="00AB5DF8" w:rsidRPr="003C27C6" w:rsidRDefault="00AB5DF8" w:rsidP="002F3E4E">
      <w:pPr>
        <w:rPr>
          <w:rFonts w:ascii="Arial" w:hAnsi="Arial" w:cs="Arial"/>
          <w:color w:val="000000" w:themeColor="text1"/>
          <w:sz w:val="22"/>
        </w:rPr>
      </w:pPr>
    </w:p>
    <w:p w14:paraId="2816E9E4" w14:textId="77777777" w:rsidR="00AB5DF8" w:rsidRPr="003C27C6" w:rsidRDefault="00AB5DF8" w:rsidP="002F3E4E">
      <w:pPr>
        <w:rPr>
          <w:rFonts w:ascii="Arial" w:hAnsi="Arial" w:cs="Arial"/>
          <w:color w:val="000000" w:themeColor="text1"/>
          <w:sz w:val="22"/>
        </w:rPr>
      </w:pPr>
    </w:p>
    <w:p w14:paraId="04AD1D32" w14:textId="6E739BC0" w:rsidR="00C128B2" w:rsidRPr="003C27C6" w:rsidRDefault="00C128B2" w:rsidP="002F3E4E">
      <w:pPr>
        <w:rPr>
          <w:rFonts w:ascii="Arial" w:hAnsi="Arial" w:cs="Arial"/>
          <w:color w:val="000000" w:themeColor="text1"/>
          <w:sz w:val="22"/>
        </w:rPr>
      </w:pPr>
    </w:p>
    <w:p w14:paraId="642B121A" w14:textId="1951184F" w:rsidR="005546CD" w:rsidRPr="003C27C6" w:rsidRDefault="005546CD" w:rsidP="002F3E4E">
      <w:pPr>
        <w:rPr>
          <w:rFonts w:ascii="Arial" w:hAnsi="Arial" w:cs="Arial"/>
          <w:color w:val="000000" w:themeColor="text1"/>
          <w:sz w:val="22"/>
        </w:rPr>
      </w:pPr>
    </w:p>
    <w:p w14:paraId="571E5AAD" w14:textId="66D73009" w:rsidR="00A75C54" w:rsidRPr="003C27C6" w:rsidRDefault="00A75C54" w:rsidP="002F3E4E">
      <w:pPr>
        <w:rPr>
          <w:rFonts w:ascii="Arial" w:hAnsi="Arial" w:cs="Arial"/>
          <w:color w:val="000000" w:themeColor="text1"/>
          <w:sz w:val="22"/>
        </w:rPr>
      </w:pPr>
    </w:p>
    <w:p w14:paraId="0FAD2D55" w14:textId="741E9684" w:rsidR="003A231A" w:rsidRPr="003C27C6" w:rsidRDefault="003A231A" w:rsidP="0094713D">
      <w:pPr>
        <w:widowControl w:val="0"/>
        <w:autoSpaceDE w:val="0"/>
        <w:autoSpaceDN w:val="0"/>
        <w:rPr>
          <w:rFonts w:ascii="Arial" w:hAnsi="Arial" w:cs="Arial"/>
          <w:color w:val="000000" w:themeColor="text1"/>
          <w:sz w:val="22"/>
        </w:rPr>
      </w:pPr>
    </w:p>
    <w:p w14:paraId="54814209" w14:textId="16221EFD" w:rsidR="00C46D70" w:rsidRPr="003C27C6" w:rsidRDefault="00C46D70" w:rsidP="0094713D">
      <w:pPr>
        <w:widowControl w:val="0"/>
        <w:autoSpaceDE w:val="0"/>
        <w:autoSpaceDN w:val="0"/>
        <w:rPr>
          <w:rFonts w:ascii="Arial" w:hAnsi="Arial" w:cs="Arial"/>
          <w:color w:val="000000" w:themeColor="text1"/>
          <w:sz w:val="22"/>
        </w:rPr>
      </w:pPr>
    </w:p>
    <w:p w14:paraId="360B7A3F" w14:textId="6F7CF475" w:rsidR="00C46D70" w:rsidRPr="003C27C6" w:rsidRDefault="00C46D70" w:rsidP="0094713D">
      <w:pPr>
        <w:widowControl w:val="0"/>
        <w:autoSpaceDE w:val="0"/>
        <w:autoSpaceDN w:val="0"/>
        <w:rPr>
          <w:rFonts w:ascii="Arial" w:hAnsi="Arial" w:cs="Arial"/>
          <w:color w:val="000000" w:themeColor="text1"/>
          <w:sz w:val="22"/>
        </w:rPr>
      </w:pPr>
    </w:p>
    <w:p w14:paraId="27BB327A" w14:textId="0C6CDD57" w:rsidR="00C46D70" w:rsidRPr="003C27C6" w:rsidRDefault="00C46D70" w:rsidP="0094713D">
      <w:pPr>
        <w:widowControl w:val="0"/>
        <w:autoSpaceDE w:val="0"/>
        <w:autoSpaceDN w:val="0"/>
        <w:rPr>
          <w:rFonts w:ascii="Arial" w:hAnsi="Arial" w:cs="Arial"/>
          <w:color w:val="000000" w:themeColor="text1"/>
          <w:sz w:val="22"/>
        </w:rPr>
      </w:pPr>
    </w:p>
    <w:p w14:paraId="477407CE" w14:textId="70BF4785" w:rsidR="00C46D70" w:rsidRPr="003C27C6" w:rsidRDefault="00C46D70" w:rsidP="0094713D">
      <w:pPr>
        <w:widowControl w:val="0"/>
        <w:autoSpaceDE w:val="0"/>
        <w:autoSpaceDN w:val="0"/>
        <w:rPr>
          <w:rFonts w:ascii="Arial" w:hAnsi="Arial" w:cs="Arial"/>
          <w:color w:val="000000" w:themeColor="text1"/>
          <w:sz w:val="22"/>
        </w:rPr>
      </w:pPr>
    </w:p>
    <w:p w14:paraId="7527A86F" w14:textId="774B7F92" w:rsidR="00C46D70" w:rsidRPr="003C27C6" w:rsidRDefault="00C46D70" w:rsidP="0094713D">
      <w:pPr>
        <w:widowControl w:val="0"/>
        <w:autoSpaceDE w:val="0"/>
        <w:autoSpaceDN w:val="0"/>
        <w:rPr>
          <w:rFonts w:ascii="Arial" w:hAnsi="Arial" w:cs="Arial"/>
          <w:color w:val="000000" w:themeColor="text1"/>
          <w:sz w:val="22"/>
        </w:rPr>
      </w:pPr>
    </w:p>
    <w:p w14:paraId="2669FB7A" w14:textId="186D96B8" w:rsidR="00C46D70" w:rsidRPr="003C27C6" w:rsidRDefault="00C46D70" w:rsidP="0094713D">
      <w:pPr>
        <w:widowControl w:val="0"/>
        <w:autoSpaceDE w:val="0"/>
        <w:autoSpaceDN w:val="0"/>
        <w:rPr>
          <w:rFonts w:ascii="Arial" w:hAnsi="Arial" w:cs="Arial"/>
          <w:color w:val="000000" w:themeColor="text1"/>
          <w:sz w:val="22"/>
        </w:rPr>
      </w:pPr>
    </w:p>
    <w:p w14:paraId="3F3BC66B" w14:textId="21365465" w:rsidR="00C46D70" w:rsidRPr="003C27C6" w:rsidRDefault="00C46D70" w:rsidP="0094713D">
      <w:pPr>
        <w:widowControl w:val="0"/>
        <w:autoSpaceDE w:val="0"/>
        <w:autoSpaceDN w:val="0"/>
        <w:rPr>
          <w:rFonts w:ascii="Arial" w:hAnsi="Arial" w:cs="Arial"/>
          <w:color w:val="000000" w:themeColor="text1"/>
          <w:sz w:val="22"/>
        </w:rPr>
      </w:pPr>
    </w:p>
    <w:p w14:paraId="3C5071EC" w14:textId="7E90795B" w:rsidR="00C46D70" w:rsidRPr="003C27C6" w:rsidRDefault="00C46D70" w:rsidP="0094713D">
      <w:pPr>
        <w:widowControl w:val="0"/>
        <w:autoSpaceDE w:val="0"/>
        <w:autoSpaceDN w:val="0"/>
        <w:rPr>
          <w:rFonts w:ascii="Arial" w:hAnsi="Arial" w:cs="Arial"/>
          <w:color w:val="000000" w:themeColor="text1"/>
          <w:sz w:val="22"/>
        </w:rPr>
      </w:pPr>
    </w:p>
    <w:p w14:paraId="078C9531" w14:textId="666F7262" w:rsidR="00C46D70" w:rsidRPr="003C27C6" w:rsidRDefault="00C46D70" w:rsidP="0094713D">
      <w:pPr>
        <w:widowControl w:val="0"/>
        <w:autoSpaceDE w:val="0"/>
        <w:autoSpaceDN w:val="0"/>
        <w:rPr>
          <w:rFonts w:ascii="Arial" w:hAnsi="Arial" w:cs="Arial"/>
          <w:color w:val="000000" w:themeColor="text1"/>
          <w:sz w:val="22"/>
        </w:rPr>
      </w:pPr>
    </w:p>
    <w:p w14:paraId="5C8404F9" w14:textId="025BD969" w:rsidR="00C46D70" w:rsidRPr="003C27C6" w:rsidRDefault="00C46D70" w:rsidP="0094713D">
      <w:pPr>
        <w:widowControl w:val="0"/>
        <w:autoSpaceDE w:val="0"/>
        <w:autoSpaceDN w:val="0"/>
        <w:rPr>
          <w:rFonts w:ascii="Arial" w:hAnsi="Arial" w:cs="Arial"/>
          <w:color w:val="000000" w:themeColor="text1"/>
          <w:sz w:val="22"/>
        </w:rPr>
      </w:pPr>
    </w:p>
    <w:p w14:paraId="18B04406" w14:textId="2F80732E" w:rsidR="00C46D70" w:rsidRPr="003C27C6" w:rsidRDefault="00C46D70" w:rsidP="0094713D">
      <w:pPr>
        <w:widowControl w:val="0"/>
        <w:autoSpaceDE w:val="0"/>
        <w:autoSpaceDN w:val="0"/>
        <w:rPr>
          <w:rFonts w:ascii="Arial" w:hAnsi="Arial" w:cs="Arial"/>
          <w:color w:val="000000" w:themeColor="text1"/>
          <w:sz w:val="22"/>
        </w:rPr>
      </w:pPr>
    </w:p>
    <w:p w14:paraId="6DCF809A" w14:textId="21EC0CD9" w:rsidR="00C46D70" w:rsidRPr="003C27C6" w:rsidRDefault="00C46D70" w:rsidP="0094713D">
      <w:pPr>
        <w:widowControl w:val="0"/>
        <w:autoSpaceDE w:val="0"/>
        <w:autoSpaceDN w:val="0"/>
        <w:rPr>
          <w:rFonts w:ascii="Arial" w:hAnsi="Arial" w:cs="Arial"/>
          <w:color w:val="000000" w:themeColor="text1"/>
          <w:sz w:val="22"/>
        </w:rPr>
      </w:pPr>
    </w:p>
    <w:p w14:paraId="77B5A550" w14:textId="64CE1CD5" w:rsidR="00C46D70" w:rsidRPr="003C27C6" w:rsidRDefault="00C46D70" w:rsidP="0094713D">
      <w:pPr>
        <w:widowControl w:val="0"/>
        <w:autoSpaceDE w:val="0"/>
        <w:autoSpaceDN w:val="0"/>
        <w:rPr>
          <w:rFonts w:ascii="Arial" w:hAnsi="Arial" w:cs="Arial"/>
          <w:color w:val="000000" w:themeColor="text1"/>
          <w:sz w:val="22"/>
        </w:rPr>
      </w:pPr>
    </w:p>
    <w:p w14:paraId="523508AB" w14:textId="2B773528" w:rsidR="00C46D70" w:rsidRPr="003C27C6" w:rsidRDefault="00C46D70" w:rsidP="0094713D">
      <w:pPr>
        <w:widowControl w:val="0"/>
        <w:autoSpaceDE w:val="0"/>
        <w:autoSpaceDN w:val="0"/>
        <w:rPr>
          <w:rFonts w:ascii="Arial" w:hAnsi="Arial" w:cs="Arial"/>
          <w:color w:val="000000" w:themeColor="text1"/>
          <w:sz w:val="22"/>
        </w:rPr>
      </w:pPr>
    </w:p>
    <w:p w14:paraId="173F1B52" w14:textId="785596D5" w:rsidR="00C46D70" w:rsidRPr="003C27C6" w:rsidRDefault="00C46D70" w:rsidP="0094713D">
      <w:pPr>
        <w:widowControl w:val="0"/>
        <w:autoSpaceDE w:val="0"/>
        <w:autoSpaceDN w:val="0"/>
        <w:rPr>
          <w:rFonts w:ascii="Arial" w:hAnsi="Arial" w:cs="Arial"/>
          <w:color w:val="000000" w:themeColor="text1"/>
          <w:sz w:val="22"/>
        </w:rPr>
      </w:pPr>
    </w:p>
    <w:p w14:paraId="068863E4" w14:textId="17001C1D" w:rsidR="00C46D70" w:rsidRPr="003C27C6" w:rsidRDefault="00C46D70" w:rsidP="0094713D">
      <w:pPr>
        <w:widowControl w:val="0"/>
        <w:autoSpaceDE w:val="0"/>
        <w:autoSpaceDN w:val="0"/>
        <w:rPr>
          <w:rFonts w:ascii="Arial" w:hAnsi="Arial" w:cs="Arial"/>
          <w:color w:val="000000" w:themeColor="text1"/>
          <w:sz w:val="22"/>
        </w:rPr>
      </w:pPr>
    </w:p>
    <w:p w14:paraId="7A433A41" w14:textId="1ABB74F8" w:rsidR="00C46D70" w:rsidRPr="003C27C6" w:rsidRDefault="00C46D70" w:rsidP="0094713D">
      <w:pPr>
        <w:widowControl w:val="0"/>
        <w:autoSpaceDE w:val="0"/>
        <w:autoSpaceDN w:val="0"/>
        <w:rPr>
          <w:rFonts w:ascii="Arial" w:hAnsi="Arial" w:cs="Arial"/>
          <w:color w:val="000000" w:themeColor="text1"/>
          <w:sz w:val="22"/>
        </w:rPr>
      </w:pPr>
    </w:p>
    <w:p w14:paraId="2482FD4D" w14:textId="3F154615" w:rsidR="00C46D70" w:rsidRPr="003C27C6" w:rsidRDefault="00C46D70" w:rsidP="0094713D">
      <w:pPr>
        <w:widowControl w:val="0"/>
        <w:autoSpaceDE w:val="0"/>
        <w:autoSpaceDN w:val="0"/>
        <w:rPr>
          <w:rFonts w:ascii="Arial" w:hAnsi="Arial" w:cs="Arial"/>
          <w:color w:val="000000" w:themeColor="text1"/>
          <w:sz w:val="22"/>
        </w:rPr>
      </w:pPr>
    </w:p>
    <w:p w14:paraId="2E2E6BF9" w14:textId="08C69FB7" w:rsidR="00C46D70" w:rsidRPr="003C27C6" w:rsidRDefault="00C46D70" w:rsidP="0094713D">
      <w:pPr>
        <w:widowControl w:val="0"/>
        <w:autoSpaceDE w:val="0"/>
        <w:autoSpaceDN w:val="0"/>
        <w:rPr>
          <w:rFonts w:ascii="Arial" w:hAnsi="Arial" w:cs="Arial"/>
          <w:color w:val="000000" w:themeColor="text1"/>
          <w:sz w:val="22"/>
        </w:rPr>
      </w:pPr>
    </w:p>
    <w:p w14:paraId="46E9E8BA" w14:textId="7ACE9391" w:rsidR="00C46D70" w:rsidRPr="003C27C6" w:rsidRDefault="00C46D70" w:rsidP="0094713D">
      <w:pPr>
        <w:widowControl w:val="0"/>
        <w:autoSpaceDE w:val="0"/>
        <w:autoSpaceDN w:val="0"/>
        <w:rPr>
          <w:rFonts w:ascii="Arial" w:hAnsi="Arial" w:cs="Arial"/>
          <w:color w:val="000000" w:themeColor="text1"/>
          <w:sz w:val="22"/>
        </w:rPr>
      </w:pPr>
    </w:p>
    <w:p w14:paraId="62002ACB" w14:textId="0154DC9F" w:rsidR="00C46D70" w:rsidRPr="003C27C6" w:rsidRDefault="00C46D70" w:rsidP="0094713D">
      <w:pPr>
        <w:widowControl w:val="0"/>
        <w:autoSpaceDE w:val="0"/>
        <w:autoSpaceDN w:val="0"/>
        <w:rPr>
          <w:rFonts w:ascii="Arial" w:hAnsi="Arial" w:cs="Arial"/>
          <w:color w:val="000000" w:themeColor="text1"/>
          <w:sz w:val="22"/>
        </w:rPr>
      </w:pPr>
    </w:p>
    <w:p w14:paraId="2FA080F3" w14:textId="3B1BF8F3" w:rsidR="00C46D70" w:rsidRPr="003C27C6" w:rsidRDefault="00C46D70" w:rsidP="0094713D">
      <w:pPr>
        <w:widowControl w:val="0"/>
        <w:autoSpaceDE w:val="0"/>
        <w:autoSpaceDN w:val="0"/>
        <w:rPr>
          <w:rFonts w:ascii="Arial" w:hAnsi="Arial" w:cs="Arial"/>
          <w:color w:val="000000" w:themeColor="text1"/>
          <w:sz w:val="22"/>
        </w:rPr>
      </w:pPr>
    </w:p>
    <w:p w14:paraId="3B2A4EB4" w14:textId="62520512" w:rsidR="00C46D70" w:rsidRPr="003C27C6" w:rsidRDefault="00C46D70" w:rsidP="0094713D">
      <w:pPr>
        <w:widowControl w:val="0"/>
        <w:autoSpaceDE w:val="0"/>
        <w:autoSpaceDN w:val="0"/>
        <w:rPr>
          <w:rFonts w:ascii="Arial" w:hAnsi="Arial" w:cs="Arial"/>
          <w:color w:val="000000" w:themeColor="text1"/>
          <w:sz w:val="22"/>
        </w:rPr>
      </w:pPr>
    </w:p>
    <w:p w14:paraId="7F9962D8" w14:textId="46976D0E" w:rsidR="00C46D70" w:rsidRPr="003C27C6" w:rsidRDefault="00C46D70" w:rsidP="0094713D">
      <w:pPr>
        <w:widowControl w:val="0"/>
        <w:autoSpaceDE w:val="0"/>
        <w:autoSpaceDN w:val="0"/>
        <w:rPr>
          <w:rFonts w:ascii="Arial" w:hAnsi="Arial" w:cs="Arial"/>
          <w:color w:val="000000" w:themeColor="text1"/>
          <w:sz w:val="22"/>
        </w:rPr>
      </w:pPr>
    </w:p>
    <w:p w14:paraId="3A3F9CA2" w14:textId="4D245753" w:rsidR="00C46D70" w:rsidRPr="003C27C6" w:rsidRDefault="00C46D70" w:rsidP="0094713D">
      <w:pPr>
        <w:widowControl w:val="0"/>
        <w:autoSpaceDE w:val="0"/>
        <w:autoSpaceDN w:val="0"/>
        <w:rPr>
          <w:rFonts w:ascii="Arial" w:hAnsi="Arial" w:cs="Arial"/>
          <w:color w:val="000000" w:themeColor="text1"/>
          <w:sz w:val="22"/>
        </w:rPr>
      </w:pPr>
    </w:p>
    <w:p w14:paraId="0636EC1D" w14:textId="28BBAACF" w:rsidR="00C46D70" w:rsidRPr="003C27C6" w:rsidRDefault="00C46D70" w:rsidP="0094713D">
      <w:pPr>
        <w:widowControl w:val="0"/>
        <w:autoSpaceDE w:val="0"/>
        <w:autoSpaceDN w:val="0"/>
        <w:rPr>
          <w:rFonts w:ascii="Arial" w:hAnsi="Arial" w:cs="Arial"/>
          <w:color w:val="000000" w:themeColor="text1"/>
          <w:sz w:val="22"/>
        </w:rPr>
      </w:pPr>
    </w:p>
    <w:p w14:paraId="429485B1" w14:textId="1FCE816F" w:rsidR="00C46D70" w:rsidRPr="003C27C6" w:rsidRDefault="00C46D70" w:rsidP="0094713D">
      <w:pPr>
        <w:widowControl w:val="0"/>
        <w:autoSpaceDE w:val="0"/>
        <w:autoSpaceDN w:val="0"/>
        <w:rPr>
          <w:rFonts w:ascii="Arial" w:hAnsi="Arial" w:cs="Arial"/>
          <w:color w:val="000000" w:themeColor="text1"/>
          <w:sz w:val="22"/>
        </w:rPr>
      </w:pPr>
    </w:p>
    <w:p w14:paraId="50483100" w14:textId="1D72FF01" w:rsidR="00C46D70" w:rsidRPr="003C27C6" w:rsidRDefault="00C46D70" w:rsidP="0094713D">
      <w:pPr>
        <w:widowControl w:val="0"/>
        <w:autoSpaceDE w:val="0"/>
        <w:autoSpaceDN w:val="0"/>
        <w:rPr>
          <w:rFonts w:ascii="Arial" w:hAnsi="Arial" w:cs="Arial"/>
          <w:color w:val="000000" w:themeColor="text1"/>
          <w:sz w:val="22"/>
        </w:rPr>
      </w:pPr>
    </w:p>
    <w:p w14:paraId="5FAD7E09" w14:textId="32FAE0E9" w:rsidR="00C46D70" w:rsidRPr="003C27C6" w:rsidRDefault="00C46D70" w:rsidP="0094713D">
      <w:pPr>
        <w:widowControl w:val="0"/>
        <w:autoSpaceDE w:val="0"/>
        <w:autoSpaceDN w:val="0"/>
        <w:rPr>
          <w:rFonts w:ascii="Arial" w:hAnsi="Arial" w:cs="Arial"/>
          <w:color w:val="000000" w:themeColor="text1"/>
          <w:sz w:val="22"/>
        </w:rPr>
      </w:pPr>
    </w:p>
    <w:p w14:paraId="5D931FB0" w14:textId="46CDA2F7" w:rsidR="00C46D70" w:rsidRPr="003C27C6" w:rsidRDefault="00C46D70" w:rsidP="0094713D">
      <w:pPr>
        <w:widowControl w:val="0"/>
        <w:autoSpaceDE w:val="0"/>
        <w:autoSpaceDN w:val="0"/>
        <w:rPr>
          <w:rFonts w:ascii="Arial" w:hAnsi="Arial" w:cs="Arial"/>
          <w:color w:val="000000" w:themeColor="text1"/>
          <w:sz w:val="22"/>
        </w:rPr>
      </w:pPr>
    </w:p>
    <w:p w14:paraId="59F1B9BE" w14:textId="7AF65036" w:rsidR="00C46D70" w:rsidRPr="003C27C6" w:rsidRDefault="00C46D70" w:rsidP="0094713D">
      <w:pPr>
        <w:widowControl w:val="0"/>
        <w:autoSpaceDE w:val="0"/>
        <w:autoSpaceDN w:val="0"/>
        <w:rPr>
          <w:rFonts w:ascii="Arial" w:hAnsi="Arial" w:cs="Arial"/>
          <w:color w:val="000000" w:themeColor="text1"/>
          <w:sz w:val="22"/>
        </w:rPr>
      </w:pPr>
    </w:p>
    <w:p w14:paraId="56701490" w14:textId="651AABC8" w:rsidR="00C46D70" w:rsidRPr="003C27C6" w:rsidRDefault="00C46D70" w:rsidP="0094713D">
      <w:pPr>
        <w:widowControl w:val="0"/>
        <w:autoSpaceDE w:val="0"/>
        <w:autoSpaceDN w:val="0"/>
        <w:rPr>
          <w:rFonts w:ascii="Arial" w:hAnsi="Arial" w:cs="Arial"/>
          <w:color w:val="000000" w:themeColor="text1"/>
          <w:sz w:val="22"/>
        </w:rPr>
      </w:pPr>
    </w:p>
    <w:p w14:paraId="4B3CF16C" w14:textId="2ED73FD1" w:rsidR="00C46D70" w:rsidRPr="003C27C6" w:rsidRDefault="00C46D70" w:rsidP="0094713D">
      <w:pPr>
        <w:widowControl w:val="0"/>
        <w:autoSpaceDE w:val="0"/>
        <w:autoSpaceDN w:val="0"/>
        <w:rPr>
          <w:rFonts w:ascii="Arial" w:hAnsi="Arial" w:cs="Arial"/>
          <w:color w:val="000000" w:themeColor="text1"/>
          <w:sz w:val="22"/>
        </w:rPr>
      </w:pPr>
    </w:p>
    <w:p w14:paraId="12B7F3B8" w14:textId="6342D2C9" w:rsidR="00C46D70" w:rsidRPr="003C27C6" w:rsidRDefault="00C46D70" w:rsidP="0094713D">
      <w:pPr>
        <w:widowControl w:val="0"/>
        <w:autoSpaceDE w:val="0"/>
        <w:autoSpaceDN w:val="0"/>
        <w:rPr>
          <w:rFonts w:ascii="Arial" w:hAnsi="Arial" w:cs="Arial"/>
          <w:color w:val="000000" w:themeColor="text1"/>
          <w:sz w:val="22"/>
        </w:rPr>
      </w:pPr>
    </w:p>
    <w:p w14:paraId="159D518C" w14:textId="42FAC756" w:rsidR="00C46D70" w:rsidRPr="003C27C6" w:rsidRDefault="00C46D70" w:rsidP="0094713D">
      <w:pPr>
        <w:widowControl w:val="0"/>
        <w:autoSpaceDE w:val="0"/>
        <w:autoSpaceDN w:val="0"/>
        <w:rPr>
          <w:rFonts w:ascii="Arial" w:hAnsi="Arial" w:cs="Arial"/>
          <w:color w:val="000000" w:themeColor="text1"/>
          <w:sz w:val="22"/>
        </w:rPr>
      </w:pPr>
    </w:p>
    <w:p w14:paraId="29BDF4D4" w14:textId="7F05B081" w:rsidR="00C46D70" w:rsidRPr="003C27C6" w:rsidRDefault="00C46D70" w:rsidP="0094713D">
      <w:pPr>
        <w:widowControl w:val="0"/>
        <w:autoSpaceDE w:val="0"/>
        <w:autoSpaceDN w:val="0"/>
        <w:rPr>
          <w:rFonts w:ascii="Arial" w:hAnsi="Arial" w:cs="Arial"/>
          <w:color w:val="000000" w:themeColor="text1"/>
          <w:sz w:val="22"/>
        </w:rPr>
      </w:pPr>
    </w:p>
    <w:p w14:paraId="18513CE7" w14:textId="41FCFD91" w:rsidR="00C46D70" w:rsidRPr="003C27C6" w:rsidRDefault="00C46D70" w:rsidP="0094713D">
      <w:pPr>
        <w:widowControl w:val="0"/>
        <w:autoSpaceDE w:val="0"/>
        <w:autoSpaceDN w:val="0"/>
        <w:rPr>
          <w:rFonts w:ascii="Arial" w:hAnsi="Arial" w:cs="Arial"/>
          <w:color w:val="000000" w:themeColor="text1"/>
          <w:sz w:val="22"/>
        </w:rPr>
      </w:pPr>
    </w:p>
    <w:p w14:paraId="21988875" w14:textId="6B0FD8DD" w:rsidR="00C46D70" w:rsidRPr="003C27C6" w:rsidRDefault="00C46D70" w:rsidP="0094713D">
      <w:pPr>
        <w:widowControl w:val="0"/>
        <w:autoSpaceDE w:val="0"/>
        <w:autoSpaceDN w:val="0"/>
        <w:rPr>
          <w:rFonts w:ascii="Arial" w:hAnsi="Arial" w:cs="Arial"/>
          <w:color w:val="000000" w:themeColor="text1"/>
          <w:sz w:val="22"/>
        </w:rPr>
      </w:pPr>
    </w:p>
    <w:p w14:paraId="6CEB09BB" w14:textId="77777777" w:rsidR="007C2461" w:rsidRPr="003C27C6" w:rsidRDefault="007C2461" w:rsidP="007C2461">
      <w:pPr>
        <w:widowControl w:val="0"/>
        <w:autoSpaceDE w:val="0"/>
        <w:autoSpaceDN w:val="0"/>
        <w:ind w:left="4825"/>
        <w:rPr>
          <w:rFonts w:eastAsia="Arial MT" w:hAnsi="Arial MT" w:cs="Arial MT"/>
          <w:sz w:val="20"/>
          <w:szCs w:val="22"/>
          <w:lang w:val="es-ES" w:eastAsia="en-US"/>
        </w:rPr>
      </w:pPr>
      <w:r w:rsidRPr="003C27C6">
        <w:rPr>
          <w:rFonts w:eastAsia="Arial MT" w:hAnsi="Arial MT" w:cs="Arial MT"/>
          <w:noProof/>
          <w:sz w:val="20"/>
          <w:szCs w:val="22"/>
          <w:lang w:val="en-US" w:eastAsia="en-US"/>
        </w:rPr>
        <w:drawing>
          <wp:inline distT="0" distB="0" distL="0" distR="0" wp14:anchorId="0E84E0CD" wp14:editId="1AB0D372">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0FE1387B" w14:textId="77777777" w:rsidR="007C2461" w:rsidRPr="003C27C6" w:rsidRDefault="007C2461" w:rsidP="007C2461">
      <w:pPr>
        <w:widowControl w:val="0"/>
        <w:autoSpaceDE w:val="0"/>
        <w:autoSpaceDN w:val="0"/>
        <w:spacing w:before="10"/>
        <w:rPr>
          <w:rFonts w:eastAsia="Arial MT" w:hAnsi="Arial MT" w:cs="Arial MT"/>
          <w:sz w:val="21"/>
          <w:szCs w:val="22"/>
          <w:lang w:val="es-ES" w:eastAsia="en-US"/>
        </w:rPr>
      </w:pPr>
    </w:p>
    <w:p w14:paraId="4E408FBD" w14:textId="77777777" w:rsidR="007C2461" w:rsidRPr="003C27C6" w:rsidRDefault="007C2461" w:rsidP="007C2461">
      <w:pPr>
        <w:widowControl w:val="0"/>
        <w:autoSpaceDE w:val="0"/>
        <w:autoSpaceDN w:val="0"/>
        <w:spacing w:before="94"/>
        <w:ind w:right="533"/>
        <w:jc w:val="right"/>
        <w:rPr>
          <w:rFonts w:ascii="Arial" w:eastAsia="Arial MT" w:hAnsi="Arial MT" w:cs="Arial MT"/>
          <w:b/>
          <w:sz w:val="18"/>
          <w:szCs w:val="22"/>
          <w:lang w:val="es-ES" w:eastAsia="en-US"/>
        </w:rPr>
      </w:pPr>
      <w:r w:rsidRPr="003C27C6">
        <w:rPr>
          <w:rFonts w:ascii="Arial" w:eastAsia="Arial MT" w:hAnsi="Arial MT" w:cs="Arial MT"/>
          <w:b/>
          <w:color w:val="585858"/>
          <w:sz w:val="18"/>
          <w:szCs w:val="22"/>
          <w:lang w:val="es-ES" w:eastAsia="en-US"/>
        </w:rPr>
        <w:t>CCE-DES-FM-17</w:t>
      </w:r>
    </w:p>
    <w:p w14:paraId="1DD72353" w14:textId="77777777" w:rsidR="007C2461" w:rsidRPr="003C27C6" w:rsidRDefault="007C2461" w:rsidP="007C2461">
      <w:pPr>
        <w:widowControl w:val="0"/>
        <w:autoSpaceDE w:val="0"/>
        <w:autoSpaceDN w:val="0"/>
        <w:rPr>
          <w:rFonts w:ascii="Arial" w:eastAsia="Arial MT" w:hAnsi="Arial MT" w:cs="Arial MT"/>
          <w:b/>
          <w:sz w:val="20"/>
          <w:szCs w:val="22"/>
          <w:lang w:val="es-ES" w:eastAsia="en-US"/>
        </w:rPr>
      </w:pPr>
    </w:p>
    <w:p w14:paraId="6172DC93" w14:textId="541E5538" w:rsidR="007C2461" w:rsidRPr="003C27C6" w:rsidRDefault="007C2461" w:rsidP="007C2461">
      <w:pPr>
        <w:widowControl w:val="0"/>
        <w:autoSpaceDE w:val="0"/>
        <w:autoSpaceDN w:val="0"/>
        <w:ind w:left="100"/>
        <w:rPr>
          <w:rFonts w:ascii="Arial MT" w:eastAsia="Arial MT" w:hAnsi="Arial MT" w:cs="Arial MT"/>
          <w:sz w:val="22"/>
          <w:szCs w:val="22"/>
          <w:lang w:val="es-ES" w:eastAsia="en-US"/>
        </w:rPr>
      </w:pPr>
      <w:r w:rsidRPr="003C27C6">
        <w:rPr>
          <w:rFonts w:ascii="Arial MT" w:eastAsia="Arial MT" w:hAnsi="Arial MT" w:cs="Arial MT"/>
          <w:color w:val="4E4D4D"/>
          <w:sz w:val="22"/>
          <w:szCs w:val="22"/>
          <w:lang w:val="es-ES" w:eastAsia="en-US"/>
        </w:rPr>
        <w:t>Bogotá,</w:t>
      </w:r>
      <w:r w:rsidRPr="003C27C6">
        <w:rPr>
          <w:rFonts w:ascii="Arial MT" w:eastAsia="Arial MT" w:hAnsi="Arial MT" w:cs="Arial MT"/>
          <w:color w:val="4E4D4D"/>
          <w:spacing w:val="-2"/>
          <w:sz w:val="22"/>
          <w:szCs w:val="22"/>
          <w:lang w:val="es-ES" w:eastAsia="en-US"/>
        </w:rPr>
        <w:t xml:space="preserve"> </w:t>
      </w:r>
      <w:r w:rsidRPr="003C27C6">
        <w:rPr>
          <w:rFonts w:ascii="Arial MT" w:eastAsia="Arial MT" w:hAnsi="Arial MT" w:cs="Arial MT"/>
          <w:color w:val="4E4D4D"/>
          <w:sz w:val="22"/>
          <w:szCs w:val="22"/>
          <w:lang w:val="es-ES" w:eastAsia="en-US"/>
        </w:rPr>
        <w:t>03</w:t>
      </w:r>
      <w:r w:rsidRPr="003C27C6">
        <w:rPr>
          <w:rFonts w:ascii="Arial MT" w:eastAsia="Arial MT" w:hAnsi="Arial MT" w:cs="Arial MT"/>
          <w:color w:val="4E4D4D"/>
          <w:spacing w:val="-5"/>
          <w:sz w:val="22"/>
          <w:szCs w:val="22"/>
          <w:lang w:val="es-ES" w:eastAsia="en-US"/>
        </w:rPr>
        <w:t xml:space="preserve"> </w:t>
      </w:r>
      <w:r w:rsidR="001A797E" w:rsidRPr="003C27C6">
        <w:rPr>
          <w:rFonts w:ascii="Arial MT" w:eastAsia="Arial MT" w:hAnsi="Arial MT" w:cs="Arial MT"/>
          <w:color w:val="4E4D4D"/>
          <w:sz w:val="22"/>
          <w:szCs w:val="22"/>
          <w:lang w:val="es-ES" w:eastAsia="en-US"/>
        </w:rPr>
        <w:t>enero</w:t>
      </w:r>
      <w:r w:rsidRPr="003C27C6">
        <w:rPr>
          <w:rFonts w:ascii="Arial MT" w:eastAsia="Arial MT" w:hAnsi="Arial MT" w:cs="Arial MT"/>
          <w:color w:val="4E4D4D"/>
          <w:spacing w:val="-4"/>
          <w:sz w:val="22"/>
          <w:szCs w:val="22"/>
          <w:lang w:val="es-ES" w:eastAsia="en-US"/>
        </w:rPr>
        <w:t xml:space="preserve"> </w:t>
      </w:r>
      <w:r w:rsidRPr="003C27C6">
        <w:rPr>
          <w:rFonts w:ascii="Arial MT" w:eastAsia="Arial MT" w:hAnsi="Arial MT" w:cs="Arial MT"/>
          <w:color w:val="4E4D4D"/>
          <w:sz w:val="22"/>
          <w:szCs w:val="22"/>
          <w:lang w:val="es-ES" w:eastAsia="en-US"/>
        </w:rPr>
        <w:t>2022</w:t>
      </w:r>
    </w:p>
    <w:p w14:paraId="3425755A" w14:textId="5E10DD29" w:rsidR="00300726" w:rsidRPr="003C27C6" w:rsidRDefault="00300726" w:rsidP="00300726">
      <w:pPr>
        <w:widowControl w:val="0"/>
        <w:autoSpaceDE w:val="0"/>
        <w:autoSpaceDN w:val="0"/>
        <w:rPr>
          <w:rFonts w:ascii="Arial MT" w:eastAsia="Arial MT" w:hAnsi="Arial MT" w:cs="Arial MT"/>
          <w:szCs w:val="22"/>
          <w:lang w:val="es-ES" w:eastAsia="en-US"/>
        </w:rPr>
      </w:pPr>
    </w:p>
    <w:p w14:paraId="176395FC" w14:textId="1FAB0ACC" w:rsidR="002F3E4E" w:rsidRPr="003C27C6" w:rsidRDefault="002F3E4E" w:rsidP="00B95C30">
      <w:pPr>
        <w:jc w:val="both"/>
        <w:rPr>
          <w:rFonts w:ascii="Arial" w:hAnsi="Arial" w:cs="Arial"/>
          <w:bCs/>
          <w:color w:val="000000" w:themeColor="text1"/>
          <w:sz w:val="22"/>
          <w:lang w:val="es-ES_tradnl"/>
        </w:rPr>
      </w:pPr>
    </w:p>
    <w:p w14:paraId="5F5AE9EF" w14:textId="1211F367" w:rsidR="00B95C30" w:rsidRPr="003C27C6" w:rsidRDefault="00BE4FBF" w:rsidP="00B95C30">
      <w:pPr>
        <w:jc w:val="both"/>
        <w:rPr>
          <w:rFonts w:ascii="Arial" w:eastAsia="Calibri" w:hAnsi="Arial" w:cs="Arial"/>
          <w:color w:val="000000" w:themeColor="text1"/>
          <w:sz w:val="22"/>
        </w:rPr>
      </w:pPr>
      <w:bookmarkStart w:id="8" w:name="_Hlk80951783"/>
      <w:r w:rsidRPr="003C27C6">
        <w:rPr>
          <w:rFonts w:ascii="Arial" w:eastAsia="Calibri" w:hAnsi="Arial" w:cs="Arial"/>
          <w:color w:val="000000" w:themeColor="text1"/>
          <w:sz w:val="22"/>
        </w:rPr>
        <w:t>Señor</w:t>
      </w:r>
    </w:p>
    <w:p w14:paraId="7B32CBBB" w14:textId="4D08B83E" w:rsidR="00A56E1D" w:rsidRPr="003C27C6" w:rsidRDefault="00BD5899" w:rsidP="00B95C30">
      <w:pPr>
        <w:jc w:val="both"/>
        <w:rPr>
          <w:rFonts w:ascii="Arial" w:eastAsia="Calibri" w:hAnsi="Arial" w:cs="Arial"/>
          <w:b/>
          <w:color w:val="000000" w:themeColor="text1"/>
          <w:sz w:val="22"/>
        </w:rPr>
      </w:pPr>
      <w:r w:rsidRPr="003C27C6">
        <w:rPr>
          <w:rFonts w:ascii="Arial" w:eastAsia="Calibri" w:hAnsi="Arial" w:cs="Arial"/>
          <w:b/>
          <w:color w:val="000000" w:themeColor="text1"/>
          <w:sz w:val="22"/>
        </w:rPr>
        <w:t>Luis Alfredo Quezada Aldana</w:t>
      </w:r>
    </w:p>
    <w:p w14:paraId="513743A5" w14:textId="32DEFC7D" w:rsidR="00634FC4" w:rsidRPr="003C27C6" w:rsidRDefault="00BD5899" w:rsidP="00B95C30">
      <w:pPr>
        <w:jc w:val="both"/>
        <w:rPr>
          <w:rFonts w:ascii="Arial" w:eastAsia="Calibri" w:hAnsi="Arial" w:cs="Arial"/>
          <w:color w:val="000000" w:themeColor="text1"/>
          <w:sz w:val="22"/>
        </w:rPr>
      </w:pPr>
      <w:r w:rsidRPr="003C27C6">
        <w:rPr>
          <w:rFonts w:ascii="Arial" w:eastAsia="Calibri" w:hAnsi="Arial" w:cs="Arial"/>
          <w:color w:val="000000" w:themeColor="text1"/>
          <w:sz w:val="22"/>
        </w:rPr>
        <w:t>Florencia-C</w:t>
      </w:r>
      <w:r w:rsidR="00B523D3" w:rsidRPr="003C27C6">
        <w:rPr>
          <w:rFonts w:ascii="Arial" w:eastAsia="Calibri" w:hAnsi="Arial" w:cs="Arial"/>
          <w:color w:val="000000" w:themeColor="text1"/>
          <w:sz w:val="22"/>
        </w:rPr>
        <w:t xml:space="preserve">aquetá </w:t>
      </w:r>
    </w:p>
    <w:p w14:paraId="6DA0F9AE" w14:textId="77777777" w:rsidR="00BD5899" w:rsidRPr="003C27C6" w:rsidRDefault="00BD5899" w:rsidP="00B95C30">
      <w:pPr>
        <w:jc w:val="both"/>
        <w:rPr>
          <w:rFonts w:ascii="Arial" w:eastAsia="Calibri" w:hAnsi="Arial" w:cs="Arial"/>
          <w:color w:val="000000" w:themeColor="text1"/>
          <w:sz w:val="22"/>
        </w:rPr>
      </w:pPr>
    </w:p>
    <w:p w14:paraId="0942E2A4" w14:textId="77777777" w:rsidR="000254DD" w:rsidRPr="003C27C6" w:rsidRDefault="000254DD" w:rsidP="00B95C30">
      <w:pPr>
        <w:jc w:val="both"/>
        <w:rPr>
          <w:rFonts w:ascii="Arial" w:eastAsia="Calibri" w:hAnsi="Arial" w:cs="Arial"/>
          <w:color w:val="000000" w:themeColor="text1"/>
          <w:sz w:val="22"/>
        </w:rPr>
      </w:pPr>
    </w:p>
    <w:p w14:paraId="12E66182" w14:textId="4B600568" w:rsidR="00B95C30" w:rsidRPr="003C27C6" w:rsidRDefault="00A25F2F" w:rsidP="004004C2">
      <w:pPr>
        <w:rPr>
          <w:rFonts w:ascii="Arial" w:eastAsia="Calibri" w:hAnsi="Arial" w:cs="Arial"/>
          <w:b/>
          <w:bCs/>
          <w:color w:val="000000" w:themeColor="text1"/>
          <w:sz w:val="22"/>
          <w:lang w:val="es-ES_tradnl"/>
        </w:rPr>
      </w:pPr>
      <w:r w:rsidRPr="003C27C6">
        <w:rPr>
          <w:rFonts w:ascii="Arial" w:eastAsia="Calibri" w:hAnsi="Arial" w:cs="Arial"/>
          <w:b/>
          <w:bCs/>
          <w:color w:val="000000" w:themeColor="text1"/>
          <w:sz w:val="22"/>
        </w:rPr>
        <w:t xml:space="preserve">                                            </w:t>
      </w:r>
      <w:r w:rsidR="00B95C30" w:rsidRPr="003C27C6">
        <w:rPr>
          <w:rFonts w:ascii="Arial" w:eastAsia="Calibri" w:hAnsi="Arial" w:cs="Arial"/>
          <w:b/>
          <w:bCs/>
          <w:color w:val="000000" w:themeColor="text1"/>
          <w:sz w:val="22"/>
          <w:lang w:val="es-ES_tradnl"/>
        </w:rPr>
        <w:t>Concepto C ‒</w:t>
      </w:r>
      <w:r w:rsidR="00856F87" w:rsidRPr="003C27C6">
        <w:rPr>
          <w:rFonts w:ascii="Arial" w:eastAsia="Calibri" w:hAnsi="Arial" w:cs="Arial"/>
          <w:b/>
          <w:bCs/>
          <w:color w:val="000000" w:themeColor="text1"/>
          <w:sz w:val="22"/>
          <w:lang w:val="es-ES_tradnl"/>
        </w:rPr>
        <w:t xml:space="preserve"> </w:t>
      </w:r>
      <w:r w:rsidR="00BD5899" w:rsidRPr="003C27C6">
        <w:rPr>
          <w:rFonts w:ascii="Arial" w:eastAsia="Calibri" w:hAnsi="Arial" w:cs="Arial"/>
          <w:b/>
          <w:bCs/>
          <w:color w:val="000000" w:themeColor="text1"/>
          <w:sz w:val="22"/>
          <w:lang w:val="es-ES_tradnl"/>
        </w:rPr>
        <w:t>697</w:t>
      </w:r>
      <w:r w:rsidR="00E746A6" w:rsidRPr="003C27C6">
        <w:rPr>
          <w:rFonts w:ascii="Arial" w:eastAsia="Calibri" w:hAnsi="Arial" w:cs="Arial"/>
          <w:b/>
          <w:bCs/>
          <w:color w:val="000000" w:themeColor="text1"/>
          <w:sz w:val="22"/>
          <w:lang w:val="es-ES_tradnl"/>
        </w:rPr>
        <w:t xml:space="preserve"> de 2021</w:t>
      </w:r>
    </w:p>
    <w:p w14:paraId="20200123" w14:textId="6A5F4708" w:rsidR="0096347F" w:rsidRPr="003C27C6"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D7592" w:rsidRPr="003C27C6" w14:paraId="56A33869" w14:textId="77777777" w:rsidTr="0009465C">
        <w:tc>
          <w:tcPr>
            <w:tcW w:w="2689" w:type="dxa"/>
          </w:tcPr>
          <w:p w14:paraId="51A224AA" w14:textId="77777777" w:rsidR="00CD7592" w:rsidRPr="003C27C6" w:rsidRDefault="00CD7592" w:rsidP="0009465C">
            <w:pPr>
              <w:jc w:val="both"/>
              <w:rPr>
                <w:rFonts w:ascii="Arial" w:eastAsia="Calibri" w:hAnsi="Arial" w:cs="Arial"/>
                <w:b/>
                <w:color w:val="000000" w:themeColor="text1"/>
                <w:sz w:val="22"/>
                <w:lang w:val="es-ES_tradnl"/>
              </w:rPr>
            </w:pPr>
            <w:r w:rsidRPr="003C27C6">
              <w:rPr>
                <w:rFonts w:ascii="Arial" w:eastAsia="Calibri" w:hAnsi="Arial" w:cs="Arial"/>
                <w:b/>
                <w:color w:val="000000" w:themeColor="text1"/>
                <w:sz w:val="22"/>
                <w:lang w:val="es-ES_tradnl"/>
              </w:rPr>
              <w:t xml:space="preserve">Temas:                                      </w:t>
            </w:r>
          </w:p>
        </w:tc>
        <w:tc>
          <w:tcPr>
            <w:tcW w:w="6237" w:type="dxa"/>
          </w:tcPr>
          <w:p w14:paraId="72DDBDD1" w14:textId="7BEBBF23" w:rsidR="00C46D70" w:rsidRPr="003C27C6" w:rsidRDefault="00CD7592" w:rsidP="00C46D70">
            <w:pPr>
              <w:jc w:val="both"/>
              <w:rPr>
                <w:rFonts w:ascii="Arial" w:hAnsi="Arial" w:cs="Arial"/>
                <w:color w:val="000000" w:themeColor="text1"/>
                <w:sz w:val="22"/>
              </w:rPr>
            </w:pPr>
            <w:r w:rsidRPr="003C27C6">
              <w:rPr>
                <w:rFonts w:ascii="Arial" w:eastAsia="Calibri" w:hAnsi="Arial" w:cs="Arial"/>
                <w:bCs/>
                <w:color w:val="000000" w:themeColor="text1"/>
                <w:sz w:val="22"/>
                <w:szCs w:val="22"/>
                <w:lang w:val="es-MX" w:eastAsia="en-US"/>
              </w:rPr>
              <w:t xml:space="preserve">LEY DE GARANTÍAS ELECTORALES – Finalidad </w:t>
            </w:r>
            <w:r w:rsidRPr="003C27C6">
              <w:rPr>
                <w:rFonts w:ascii="Arial" w:eastAsia="Calibri" w:hAnsi="Arial" w:cs="Arial"/>
                <w:color w:val="000000" w:themeColor="text1"/>
                <w:sz w:val="22"/>
                <w:szCs w:val="22"/>
                <w:lang w:val="es-ES_tradnl"/>
              </w:rPr>
              <w:t xml:space="preserve">/ </w:t>
            </w:r>
            <w:r w:rsidRPr="003C27C6">
              <w:rPr>
                <w:rFonts w:ascii="Arial" w:eastAsia="Calibri" w:hAnsi="Arial" w:cs="Arial"/>
                <w:bCs/>
                <w:color w:val="000000" w:themeColor="text1"/>
                <w:sz w:val="22"/>
                <w:szCs w:val="22"/>
                <w:lang w:val="es-MX" w:eastAsia="en-US"/>
              </w:rPr>
              <w:t xml:space="preserve">LEY DE GARANTÍAS ELECTORALES ‒ Restricciones ‒ Contratación ‒ Tipos de elección / LEY DE GARANTÍAS ELECTORALES ‒ Prohibiciones ‒ Ámbito temporal / </w:t>
            </w:r>
            <w:r w:rsidRPr="003C27C6">
              <w:rPr>
                <w:rFonts w:ascii="Arial" w:eastAsia="Calibri" w:hAnsi="Arial" w:cs="Arial"/>
                <w:color w:val="000000" w:themeColor="text1"/>
                <w:sz w:val="22"/>
                <w:szCs w:val="22"/>
                <w:lang w:val="es-MX" w:eastAsia="en-US"/>
              </w:rPr>
              <w:t xml:space="preserve">CONTRATOS Y </w:t>
            </w:r>
            <w:r w:rsidRPr="003C27C6">
              <w:rPr>
                <w:rFonts w:ascii="Arial" w:eastAsiaTheme="minorHAnsi" w:hAnsi="Arial" w:cs="Arial"/>
                <w:color w:val="000000" w:themeColor="text1"/>
                <w:sz w:val="22"/>
                <w:szCs w:val="22"/>
                <w:lang w:val="es-MX" w:eastAsia="en-US"/>
              </w:rPr>
              <w:t xml:space="preserve">CONVENIOS INTERADMINISTRATIVOS </w:t>
            </w:r>
            <w:r w:rsidRPr="003C27C6">
              <w:rPr>
                <w:rFonts w:ascii="Arial" w:eastAsia="Calibri" w:hAnsi="Arial" w:cs="Arial"/>
                <w:color w:val="000000" w:themeColor="text1"/>
                <w:sz w:val="22"/>
                <w:szCs w:val="22"/>
                <w:lang w:val="es-MX" w:eastAsia="en-US"/>
              </w:rPr>
              <w:t xml:space="preserve">– Definición – Criterio orgánico / </w:t>
            </w:r>
            <w:r w:rsidR="00F30597" w:rsidRPr="003C27C6">
              <w:rPr>
                <w:rFonts w:ascii="Arial" w:eastAsia="Calibri" w:hAnsi="Arial" w:cs="Arial"/>
                <w:sz w:val="22"/>
              </w:rPr>
              <w:t>LEY DE GARANTÍAS – Modificación – Ley 2159 de 2021 – Artículo 124 – Alcance</w:t>
            </w:r>
            <w:r w:rsidR="00C46D70" w:rsidRPr="003C27C6">
              <w:rPr>
                <w:rFonts w:ascii="Arial" w:hAnsi="Arial" w:cs="Arial"/>
                <w:color w:val="000000" w:themeColor="text1"/>
                <w:sz w:val="22"/>
              </w:rPr>
              <w:t xml:space="preserve"> / </w:t>
            </w:r>
            <w:r w:rsidR="00C46D70" w:rsidRPr="003C27C6">
              <w:rPr>
                <w:rFonts w:ascii="Arial" w:eastAsia="Calibri" w:hAnsi="Arial" w:cs="Arial"/>
                <w:bCs/>
                <w:sz w:val="22"/>
                <w:szCs w:val="22"/>
                <w:lang w:val="es-MX" w:eastAsia="en-US"/>
              </w:rPr>
              <w:t>LEY DE GARANTÍAS ELECTORALES ─ Prohibición artículo 33 ‒ Contratación directa ‒ Alcance / LEY DE GARANTÍAS ELECTORALES ‒ Contratos de colaboración ‒ Convenios de asociación ‒ prohibición artículo 33 ‒ procesos no competitivos.</w:t>
            </w:r>
            <w:r w:rsidR="00C46D70" w:rsidRPr="003C27C6">
              <w:rPr>
                <w:rFonts w:ascii="Arial" w:eastAsia="Calibri" w:hAnsi="Arial" w:cs="Arial"/>
                <w:b/>
                <w:bCs/>
                <w:sz w:val="22"/>
                <w:szCs w:val="22"/>
                <w:lang w:val="es-MX" w:eastAsia="en-US"/>
              </w:rPr>
              <w:t xml:space="preserve"> </w:t>
            </w:r>
          </w:p>
          <w:p w14:paraId="51BCE4D2" w14:textId="2792B6EF" w:rsidR="00CD7592" w:rsidRPr="003C27C6" w:rsidRDefault="00CD7592" w:rsidP="0009465C">
            <w:pPr>
              <w:tabs>
                <w:tab w:val="left" w:pos="426"/>
              </w:tabs>
              <w:jc w:val="both"/>
              <w:rPr>
                <w:rFonts w:ascii="Arial" w:eastAsia="Calibri" w:hAnsi="Arial" w:cs="Arial"/>
                <w:color w:val="000000" w:themeColor="text1"/>
                <w:sz w:val="22"/>
                <w:lang w:val="es-MX"/>
              </w:rPr>
            </w:pPr>
          </w:p>
        </w:tc>
      </w:tr>
      <w:tr w:rsidR="00B95C30" w:rsidRPr="003C27C6" w14:paraId="27CD52AB" w14:textId="77777777" w:rsidTr="0096347F">
        <w:trPr>
          <w:trHeight w:val="391"/>
        </w:trPr>
        <w:tc>
          <w:tcPr>
            <w:tcW w:w="2689" w:type="dxa"/>
          </w:tcPr>
          <w:p w14:paraId="37E195A1" w14:textId="3D8DD034" w:rsidR="00B95C30" w:rsidRPr="003C27C6" w:rsidRDefault="00B95C30" w:rsidP="008F4163">
            <w:pPr>
              <w:spacing w:before="120"/>
              <w:jc w:val="both"/>
              <w:rPr>
                <w:rFonts w:ascii="Arial" w:eastAsia="Calibri" w:hAnsi="Arial" w:cs="Arial"/>
                <w:color w:val="000000" w:themeColor="text1"/>
                <w:sz w:val="22"/>
                <w:szCs w:val="22"/>
                <w:lang w:val="es-ES_tradnl"/>
              </w:rPr>
            </w:pPr>
            <w:r w:rsidRPr="003C27C6">
              <w:rPr>
                <w:rFonts w:ascii="Arial" w:eastAsia="Calibri" w:hAnsi="Arial" w:cs="Arial"/>
                <w:b/>
                <w:color w:val="000000" w:themeColor="text1"/>
                <w:sz w:val="22"/>
                <w:szCs w:val="22"/>
                <w:lang w:val="es-ES_tradnl"/>
              </w:rPr>
              <w:t>Radicación</w:t>
            </w:r>
            <w:r w:rsidRPr="003C27C6">
              <w:rPr>
                <w:rFonts w:ascii="Arial" w:eastAsia="Calibri" w:hAnsi="Arial" w:cs="Arial"/>
                <w:color w:val="000000" w:themeColor="text1"/>
                <w:sz w:val="22"/>
                <w:szCs w:val="22"/>
                <w:lang w:val="es-ES_tradnl"/>
              </w:rPr>
              <w:t xml:space="preserve">:                              </w:t>
            </w:r>
          </w:p>
        </w:tc>
        <w:tc>
          <w:tcPr>
            <w:tcW w:w="6237" w:type="dxa"/>
          </w:tcPr>
          <w:p w14:paraId="09088B1B" w14:textId="262CE17D" w:rsidR="00B95C30" w:rsidRPr="003C27C6" w:rsidRDefault="00B95C30" w:rsidP="003A231A">
            <w:pPr>
              <w:spacing w:before="120"/>
              <w:jc w:val="both"/>
              <w:rPr>
                <w:rFonts w:ascii="Arial" w:eastAsia="Calibri" w:hAnsi="Arial" w:cs="Arial"/>
                <w:color w:val="000000" w:themeColor="text1"/>
                <w:sz w:val="22"/>
                <w:szCs w:val="22"/>
                <w:lang w:val="es-ES_tradnl"/>
              </w:rPr>
            </w:pPr>
            <w:r w:rsidRPr="003C27C6">
              <w:rPr>
                <w:rFonts w:ascii="Arial" w:eastAsia="Calibri" w:hAnsi="Arial" w:cs="Arial"/>
                <w:color w:val="000000" w:themeColor="text1"/>
                <w:sz w:val="22"/>
                <w:szCs w:val="22"/>
                <w:lang w:val="es-ES_tradnl"/>
              </w:rPr>
              <w:t>Respuesta a consulta #</w:t>
            </w:r>
            <w:r w:rsidR="00A161D5" w:rsidRPr="003C27C6">
              <w:rPr>
                <w:rFonts w:ascii="Arial" w:eastAsia="Calibri" w:hAnsi="Arial" w:cs="Arial"/>
                <w:color w:val="000000" w:themeColor="text1"/>
                <w:sz w:val="22"/>
                <w:szCs w:val="22"/>
                <w:lang w:val="es-ES_tradnl"/>
              </w:rPr>
              <w:t xml:space="preserve"> </w:t>
            </w:r>
            <w:r w:rsidR="00337F50" w:rsidRPr="003C27C6">
              <w:rPr>
                <w:rFonts w:ascii="Arial" w:hAnsi="Arial" w:cs="Arial"/>
                <w:bCs/>
                <w:color w:val="323130"/>
                <w:sz w:val="22"/>
                <w:szCs w:val="22"/>
                <w:shd w:val="clear" w:color="auto" w:fill="FFFFFF"/>
              </w:rPr>
              <w:t>P20211120010783</w:t>
            </w:r>
          </w:p>
        </w:tc>
      </w:tr>
    </w:tbl>
    <w:p w14:paraId="453071DE" w14:textId="77777777" w:rsidR="0096347F" w:rsidRPr="003C27C6" w:rsidRDefault="0096347F" w:rsidP="003C3339">
      <w:pPr>
        <w:jc w:val="both"/>
        <w:rPr>
          <w:rFonts w:ascii="Arial" w:eastAsia="Calibri" w:hAnsi="Arial" w:cs="Arial"/>
          <w:color w:val="000000" w:themeColor="text1"/>
          <w:sz w:val="22"/>
        </w:rPr>
      </w:pPr>
    </w:p>
    <w:p w14:paraId="1CF4AEA0" w14:textId="77A47E2D" w:rsidR="003C3339" w:rsidRPr="003C27C6" w:rsidRDefault="003C3339" w:rsidP="003C3339">
      <w:pPr>
        <w:jc w:val="both"/>
        <w:rPr>
          <w:rFonts w:ascii="Arial" w:eastAsia="Calibri" w:hAnsi="Arial" w:cs="Arial"/>
          <w:color w:val="000000" w:themeColor="text1"/>
          <w:sz w:val="22"/>
          <w:lang w:val="es-ES_tradnl"/>
        </w:rPr>
      </w:pPr>
      <w:r w:rsidRPr="003C27C6">
        <w:rPr>
          <w:rFonts w:ascii="Arial" w:eastAsia="Calibri" w:hAnsi="Arial" w:cs="Arial"/>
          <w:color w:val="000000" w:themeColor="text1"/>
          <w:sz w:val="22"/>
          <w:lang w:val="es-ES_tradnl"/>
        </w:rPr>
        <w:t>Estimad</w:t>
      </w:r>
      <w:r w:rsidR="00BD5899" w:rsidRPr="003C27C6">
        <w:rPr>
          <w:rFonts w:ascii="Arial" w:eastAsia="Calibri" w:hAnsi="Arial" w:cs="Arial"/>
          <w:color w:val="000000" w:themeColor="text1"/>
          <w:sz w:val="22"/>
          <w:lang w:val="es-ES_tradnl"/>
        </w:rPr>
        <w:t xml:space="preserve">o Señor </w:t>
      </w:r>
      <w:r w:rsidR="00264496" w:rsidRPr="003C27C6">
        <w:rPr>
          <w:rFonts w:ascii="Arial" w:eastAsia="Calibri" w:hAnsi="Arial" w:cs="Arial"/>
          <w:color w:val="000000" w:themeColor="text1"/>
          <w:sz w:val="22"/>
          <w:lang w:val="es-ES_tradnl"/>
        </w:rPr>
        <w:t>Quezada</w:t>
      </w:r>
      <w:r w:rsidR="00BD5899" w:rsidRPr="003C27C6">
        <w:rPr>
          <w:rFonts w:ascii="Arial" w:eastAsia="Calibri" w:hAnsi="Arial" w:cs="Arial"/>
          <w:color w:val="000000" w:themeColor="text1"/>
          <w:sz w:val="22"/>
          <w:lang w:val="es-ES_tradnl"/>
        </w:rPr>
        <w:t>:</w:t>
      </w:r>
    </w:p>
    <w:p w14:paraId="1EAE5543" w14:textId="77777777" w:rsidR="00DD5B04" w:rsidRPr="003C27C6" w:rsidRDefault="00DD5B04" w:rsidP="00DF76A2">
      <w:pPr>
        <w:jc w:val="both"/>
        <w:rPr>
          <w:rFonts w:ascii="Arial" w:eastAsia="Calibri" w:hAnsi="Arial" w:cs="Arial"/>
          <w:color w:val="000000" w:themeColor="text1"/>
          <w:sz w:val="22"/>
          <w:lang w:val="es-ES_tradnl"/>
        </w:rPr>
      </w:pPr>
    </w:p>
    <w:p w14:paraId="2109B2D3" w14:textId="3BD0D4F8" w:rsidR="00DD5B04" w:rsidRPr="003C27C6" w:rsidRDefault="00DD5B04" w:rsidP="00DF76A2">
      <w:pPr>
        <w:spacing w:line="276" w:lineRule="auto"/>
        <w:jc w:val="both"/>
        <w:rPr>
          <w:rFonts w:ascii="Arial" w:eastAsia="Calibri" w:hAnsi="Arial" w:cs="Arial"/>
          <w:color w:val="000000" w:themeColor="text1"/>
          <w:sz w:val="22"/>
          <w:lang w:val="es-ES_tradnl"/>
        </w:rPr>
      </w:pPr>
      <w:r w:rsidRPr="003C27C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3C27C6">
        <w:rPr>
          <w:rFonts w:ascii="Arial" w:eastAsia="Calibri" w:hAnsi="Arial" w:cs="Arial"/>
          <w:color w:val="000000" w:themeColor="text1"/>
          <w:sz w:val="22"/>
          <w:lang w:val="es-ES_tradnl"/>
        </w:rPr>
        <w:t>–</w:t>
      </w:r>
      <w:r w:rsidRPr="003C27C6">
        <w:rPr>
          <w:rFonts w:ascii="Arial" w:eastAsia="Calibri" w:hAnsi="Arial" w:cs="Arial"/>
          <w:color w:val="000000" w:themeColor="text1"/>
          <w:sz w:val="22"/>
          <w:lang w:val="es-ES_tradnl"/>
        </w:rPr>
        <w:t xml:space="preserve"> Colombia Compra Eficiente</w:t>
      </w:r>
      <w:r w:rsidR="008C3C57" w:rsidRPr="003C27C6">
        <w:rPr>
          <w:rFonts w:ascii="Arial" w:eastAsia="Calibri" w:hAnsi="Arial" w:cs="Arial"/>
          <w:color w:val="000000" w:themeColor="text1"/>
          <w:sz w:val="22"/>
          <w:lang w:val="es-ES_tradnl"/>
        </w:rPr>
        <w:t xml:space="preserve"> </w:t>
      </w:r>
      <w:r w:rsidR="00436B3F" w:rsidRPr="003C27C6">
        <w:rPr>
          <w:rFonts w:ascii="Arial" w:eastAsia="Calibri" w:hAnsi="Arial" w:cs="Arial"/>
          <w:color w:val="000000" w:themeColor="text1"/>
          <w:sz w:val="22"/>
          <w:lang w:val="es-ES_tradnl"/>
        </w:rPr>
        <w:t>responde a su consulta del</w:t>
      </w:r>
      <w:r w:rsidR="00634FC4" w:rsidRPr="003C27C6">
        <w:rPr>
          <w:rFonts w:ascii="Arial" w:eastAsia="Calibri" w:hAnsi="Arial" w:cs="Arial"/>
          <w:color w:val="000000" w:themeColor="text1"/>
          <w:sz w:val="22"/>
          <w:lang w:val="es-ES_tradnl"/>
        </w:rPr>
        <w:t xml:space="preserve"> </w:t>
      </w:r>
      <w:r w:rsidR="009E649E" w:rsidRPr="003C27C6">
        <w:rPr>
          <w:rFonts w:ascii="Arial" w:eastAsia="Calibri" w:hAnsi="Arial" w:cs="Arial"/>
          <w:color w:val="000000" w:themeColor="text1"/>
          <w:sz w:val="22"/>
          <w:lang w:val="es-ES_tradnl"/>
        </w:rPr>
        <w:t>1</w:t>
      </w:r>
      <w:r w:rsidR="00634FC4" w:rsidRPr="003C27C6">
        <w:rPr>
          <w:rFonts w:ascii="Arial" w:eastAsia="Calibri" w:hAnsi="Arial" w:cs="Arial"/>
          <w:color w:val="000000" w:themeColor="text1"/>
          <w:sz w:val="22"/>
          <w:lang w:val="es-ES_tradnl"/>
        </w:rPr>
        <w:t>9 de noviembre de 2021</w:t>
      </w:r>
      <w:r w:rsidR="00436B3F" w:rsidRPr="003C27C6">
        <w:rPr>
          <w:rFonts w:ascii="Arial" w:eastAsia="Calibri" w:hAnsi="Arial" w:cs="Arial"/>
          <w:color w:val="000000" w:themeColor="text1"/>
          <w:sz w:val="22"/>
          <w:lang w:val="es-ES_tradnl"/>
        </w:rPr>
        <w:t xml:space="preserve">. </w:t>
      </w:r>
    </w:p>
    <w:p w14:paraId="4DD02E29" w14:textId="670A45B8" w:rsidR="0096347F" w:rsidRPr="003C27C6"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3C27C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C27C6">
        <w:rPr>
          <w:rFonts w:ascii="Arial" w:eastAsia="Calibri" w:hAnsi="Arial" w:cs="Arial"/>
          <w:b/>
          <w:color w:val="000000" w:themeColor="text1"/>
          <w:sz w:val="22"/>
          <w:lang w:val="es-ES_tradnl"/>
        </w:rPr>
        <w:t xml:space="preserve">Problema planteado </w:t>
      </w:r>
    </w:p>
    <w:p w14:paraId="224B43D3" w14:textId="77777777" w:rsidR="00DD5B04" w:rsidRPr="003C27C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ADCBDB7" w14:textId="77777777" w:rsidR="00DD40F8" w:rsidRPr="003C27C6" w:rsidRDefault="00E746A6" w:rsidP="00DD40F8">
      <w:pPr>
        <w:autoSpaceDE w:val="0"/>
        <w:autoSpaceDN w:val="0"/>
        <w:adjustRightInd w:val="0"/>
        <w:rPr>
          <w:rFonts w:ascii="Arial" w:hAnsi="Arial" w:cs="Arial"/>
          <w:color w:val="000000" w:themeColor="text1"/>
          <w:sz w:val="22"/>
          <w:szCs w:val="22"/>
          <w:lang w:val="es-ES_tradnl"/>
        </w:rPr>
      </w:pPr>
      <w:r w:rsidRPr="003C27C6">
        <w:rPr>
          <w:rFonts w:ascii="Arial" w:hAnsi="Arial" w:cs="Arial"/>
          <w:color w:val="000000" w:themeColor="text1"/>
          <w:sz w:val="22"/>
          <w:szCs w:val="22"/>
          <w:lang w:val="es-ES_tradnl"/>
        </w:rPr>
        <w:t>En su consulta plantea lo siguiente</w:t>
      </w:r>
      <w:r w:rsidR="006251D3" w:rsidRPr="003C27C6">
        <w:rPr>
          <w:rFonts w:ascii="Arial" w:hAnsi="Arial" w:cs="Arial"/>
          <w:color w:val="000000" w:themeColor="text1"/>
          <w:sz w:val="22"/>
          <w:szCs w:val="22"/>
          <w:lang w:val="es-ES_tradnl"/>
        </w:rPr>
        <w:t xml:space="preserve">: </w:t>
      </w:r>
    </w:p>
    <w:p w14:paraId="27770693" w14:textId="6E544E5F" w:rsidR="00DD40F8" w:rsidRPr="003C27C6" w:rsidRDefault="00DD40F8" w:rsidP="00DD40F8">
      <w:pPr>
        <w:autoSpaceDE w:val="0"/>
        <w:autoSpaceDN w:val="0"/>
        <w:adjustRightInd w:val="0"/>
        <w:rPr>
          <w:rFonts w:ascii="Arial" w:hAnsi="Arial" w:cs="Arial"/>
          <w:color w:val="000000" w:themeColor="text1"/>
          <w:sz w:val="22"/>
          <w:szCs w:val="22"/>
          <w:lang w:val="es-ES_tradnl"/>
        </w:rPr>
      </w:pPr>
    </w:p>
    <w:p w14:paraId="4F87F415" w14:textId="72FEB79C" w:rsidR="009E649E" w:rsidRPr="003C27C6" w:rsidRDefault="009E649E" w:rsidP="00855426">
      <w:pPr>
        <w:autoSpaceDE w:val="0"/>
        <w:autoSpaceDN w:val="0"/>
        <w:adjustRightInd w:val="0"/>
        <w:ind w:left="709" w:right="709"/>
        <w:jc w:val="both"/>
        <w:rPr>
          <w:rFonts w:ascii="Arial" w:hAnsi="Arial" w:cs="Arial"/>
          <w:sz w:val="21"/>
          <w:szCs w:val="21"/>
        </w:rPr>
      </w:pPr>
      <w:r w:rsidRPr="003C27C6">
        <w:rPr>
          <w:rFonts w:ascii="Arial" w:hAnsi="Arial" w:cs="Arial"/>
          <w:color w:val="000000" w:themeColor="text1"/>
          <w:sz w:val="21"/>
          <w:szCs w:val="21"/>
          <w:lang w:val="es-ES_tradnl"/>
        </w:rPr>
        <w:t>«</w:t>
      </w:r>
      <w:r w:rsidRPr="003C27C6">
        <w:rPr>
          <w:rFonts w:ascii="Arial" w:hAnsi="Arial" w:cs="Arial"/>
          <w:sz w:val="21"/>
          <w:szCs w:val="21"/>
        </w:rPr>
        <w:t xml:space="preserve">a) ¿La suspensión del Parágrafo del Artículo 38 de la Ley 996/2005 aplica únicamente para el orden nacional, es decir, solo la Nación podría celebrar convenios y contratos interadministrativos con las Entidades Territoriales? b) ¿Pueden celebrarse convenios y contratos interadministrativos entre Entidades Territoriales (Gobernación, Alcaldía) y otras Entidades Territoriales como universidades, empresas de servicio públicos del Estado, empresas sociales del estado, </w:t>
      </w:r>
      <w:r w:rsidR="00C86324" w:rsidRPr="003C27C6">
        <w:rPr>
          <w:rFonts w:ascii="Arial" w:hAnsi="Arial" w:cs="Arial"/>
          <w:sz w:val="21"/>
          <w:szCs w:val="21"/>
        </w:rPr>
        <w:t>etc</w:t>
      </w:r>
      <w:r w:rsidR="008C2F98" w:rsidRPr="003C27C6">
        <w:rPr>
          <w:rFonts w:ascii="Arial" w:hAnsi="Arial" w:cs="Arial"/>
          <w:sz w:val="21"/>
          <w:szCs w:val="21"/>
        </w:rPr>
        <w:t xml:space="preserve">. </w:t>
      </w:r>
      <w:r w:rsidR="0028174D" w:rsidRPr="003C27C6">
        <w:rPr>
          <w:rFonts w:ascii="Arial" w:hAnsi="Arial" w:cs="Arial"/>
          <w:sz w:val="21"/>
          <w:szCs w:val="21"/>
        </w:rPr>
        <w:t>[</w:t>
      </w:r>
      <w:r w:rsidRPr="003C27C6">
        <w:rPr>
          <w:rFonts w:ascii="Arial" w:hAnsi="Arial" w:cs="Arial"/>
          <w:sz w:val="21"/>
          <w:szCs w:val="21"/>
        </w:rPr>
        <w:t>…</w:t>
      </w:r>
      <w:r w:rsidR="0028174D" w:rsidRPr="003C27C6">
        <w:rPr>
          <w:rFonts w:ascii="Arial" w:hAnsi="Arial" w:cs="Arial"/>
          <w:sz w:val="21"/>
          <w:szCs w:val="21"/>
        </w:rPr>
        <w:t>]</w:t>
      </w:r>
      <w:r w:rsidRPr="003C27C6">
        <w:rPr>
          <w:rFonts w:ascii="Arial" w:hAnsi="Arial" w:cs="Arial"/>
          <w:sz w:val="21"/>
          <w:szCs w:val="21"/>
        </w:rPr>
        <w:t>?</w:t>
      </w:r>
      <w:r w:rsidR="0028174D" w:rsidRPr="003C27C6">
        <w:rPr>
          <w:rFonts w:ascii="Arial" w:hAnsi="Arial" w:cs="Arial"/>
          <w:sz w:val="21"/>
          <w:szCs w:val="21"/>
        </w:rPr>
        <w:t>»</w:t>
      </w:r>
      <w:r w:rsidRPr="003C27C6">
        <w:rPr>
          <w:rFonts w:ascii="Arial" w:hAnsi="Arial" w:cs="Arial"/>
          <w:sz w:val="21"/>
          <w:szCs w:val="21"/>
        </w:rPr>
        <w:t xml:space="preserve"> </w:t>
      </w:r>
    </w:p>
    <w:p w14:paraId="1B55FABA" w14:textId="77777777" w:rsidR="009E649E" w:rsidRPr="003C27C6" w:rsidRDefault="009E649E" w:rsidP="00855426">
      <w:pPr>
        <w:autoSpaceDE w:val="0"/>
        <w:autoSpaceDN w:val="0"/>
        <w:adjustRightInd w:val="0"/>
        <w:ind w:left="709" w:right="709"/>
        <w:jc w:val="both"/>
        <w:rPr>
          <w:rFonts w:ascii="Arial" w:hAnsi="Arial" w:cs="Arial"/>
          <w:sz w:val="21"/>
          <w:szCs w:val="21"/>
        </w:rPr>
      </w:pPr>
    </w:p>
    <w:p w14:paraId="4BD1A156" w14:textId="460DF47F" w:rsidR="00436B3F" w:rsidRPr="003C27C6" w:rsidRDefault="0028174D" w:rsidP="00855426">
      <w:pPr>
        <w:autoSpaceDE w:val="0"/>
        <w:autoSpaceDN w:val="0"/>
        <w:adjustRightInd w:val="0"/>
        <w:ind w:left="709" w:right="709"/>
        <w:jc w:val="both"/>
        <w:rPr>
          <w:rFonts w:ascii="Arial" w:hAnsi="Arial" w:cs="Arial"/>
          <w:color w:val="000000" w:themeColor="text1"/>
          <w:sz w:val="21"/>
          <w:szCs w:val="21"/>
          <w:lang w:val="es-ES_tradnl"/>
        </w:rPr>
      </w:pPr>
      <w:r w:rsidRPr="003C27C6">
        <w:rPr>
          <w:rFonts w:ascii="Arial" w:eastAsia="Calibri" w:hAnsi="Arial" w:cs="Arial"/>
          <w:sz w:val="22"/>
          <w:szCs w:val="22"/>
          <w:lang w:eastAsia="en-US"/>
        </w:rPr>
        <w:t>«</w:t>
      </w:r>
      <w:r w:rsidR="009E649E" w:rsidRPr="003C27C6">
        <w:rPr>
          <w:rFonts w:ascii="Arial" w:hAnsi="Arial" w:cs="Arial"/>
          <w:sz w:val="21"/>
          <w:szCs w:val="21"/>
        </w:rPr>
        <w:t xml:space="preserve">2. Respecto de los convenios con las ESAL, se encuentran restringidas las contrataciones que en el marco del Decreto 092 de 2017 se realicen a través de procesos no competitivos que se asimilan a la contratación directa, tales como i) actividades artísticas, culturales, deportivas y de promoción de la diversidad étnica colombiana, que sólo pueden desarrollar determinadas personas naturales o jurídicas; </w:t>
      </w:r>
      <w:proofErr w:type="spellStart"/>
      <w:r w:rsidR="009E649E" w:rsidRPr="003C27C6">
        <w:rPr>
          <w:rFonts w:ascii="Arial" w:hAnsi="Arial" w:cs="Arial"/>
          <w:sz w:val="21"/>
          <w:szCs w:val="21"/>
        </w:rPr>
        <w:t>ii</w:t>
      </w:r>
      <w:proofErr w:type="spellEnd"/>
      <w:r w:rsidR="009E649E" w:rsidRPr="003C27C6">
        <w:rPr>
          <w:rFonts w:ascii="Arial" w:hAnsi="Arial" w:cs="Arial"/>
          <w:sz w:val="21"/>
          <w:szCs w:val="21"/>
        </w:rPr>
        <w:t xml:space="preserve">) Los convenios de asociación en los cuales una única entidad privada sin ánimo de lucro – ESAL comprometa en dinero una proporción no inferior al 30% del valor total del convenio; </w:t>
      </w:r>
      <w:proofErr w:type="spellStart"/>
      <w:r w:rsidR="009E649E" w:rsidRPr="003C27C6">
        <w:rPr>
          <w:rFonts w:ascii="Arial" w:hAnsi="Arial" w:cs="Arial"/>
          <w:sz w:val="21"/>
          <w:szCs w:val="21"/>
        </w:rPr>
        <w:t>iii</w:t>
      </w:r>
      <w:proofErr w:type="spellEnd"/>
      <w:r w:rsidR="009E649E" w:rsidRPr="003C27C6">
        <w:rPr>
          <w:rFonts w:ascii="Arial" w:hAnsi="Arial" w:cs="Arial"/>
          <w:sz w:val="21"/>
          <w:szCs w:val="21"/>
        </w:rPr>
        <w:t>) En los contratos de colaboración en los que la Entidad Estatal en la etapa de planeación identifique que el programa o actividad de interés público que requiere desarrollar sólo puede ser realizado por una única Entidad sin ánimo de lucro</w:t>
      </w:r>
      <w:r w:rsidR="009E649E" w:rsidRPr="003C27C6">
        <w:rPr>
          <w:rFonts w:ascii="Arial" w:eastAsia="Calibri" w:hAnsi="Arial" w:cs="Arial"/>
          <w:sz w:val="22"/>
          <w:szCs w:val="22"/>
          <w:lang w:eastAsia="en-US"/>
        </w:rPr>
        <w:t>»</w:t>
      </w:r>
      <w:r w:rsidR="009E649E" w:rsidRPr="003C27C6">
        <w:rPr>
          <w:rFonts w:ascii="Arial" w:hAnsi="Arial" w:cs="Arial"/>
          <w:sz w:val="21"/>
          <w:szCs w:val="21"/>
        </w:rPr>
        <w:t>.</w:t>
      </w:r>
    </w:p>
    <w:p w14:paraId="037E7D68" w14:textId="78124F54" w:rsidR="007446F6" w:rsidRPr="003C27C6"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3C27C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C27C6">
        <w:rPr>
          <w:rFonts w:ascii="Arial" w:eastAsia="Calibri" w:hAnsi="Arial" w:cs="Arial"/>
          <w:b/>
          <w:color w:val="000000" w:themeColor="text1"/>
          <w:sz w:val="22"/>
          <w:lang w:val="es-ES_tradnl"/>
        </w:rPr>
        <w:t>Consideraciones</w:t>
      </w:r>
    </w:p>
    <w:p w14:paraId="7D050D2E" w14:textId="77777777" w:rsidR="00435703" w:rsidRPr="003C27C6" w:rsidRDefault="00435703" w:rsidP="00DF76A2">
      <w:pPr>
        <w:spacing w:line="276" w:lineRule="auto"/>
        <w:jc w:val="both"/>
        <w:rPr>
          <w:rFonts w:ascii="Arial" w:eastAsia="Calibri" w:hAnsi="Arial" w:cs="Arial"/>
          <w:color w:val="000000" w:themeColor="text1"/>
          <w:sz w:val="22"/>
          <w:szCs w:val="22"/>
          <w:lang w:val="es-ES_tradnl"/>
        </w:rPr>
      </w:pPr>
    </w:p>
    <w:p w14:paraId="2100A875" w14:textId="2AE110CD" w:rsidR="00E670DD" w:rsidRPr="003C27C6" w:rsidRDefault="008E30C4" w:rsidP="00530DFE">
      <w:pPr>
        <w:spacing w:line="276" w:lineRule="auto"/>
        <w:jc w:val="both"/>
        <w:rPr>
          <w:rFonts w:ascii="Arial" w:eastAsia="Calibri" w:hAnsi="Arial" w:cs="Arial"/>
          <w:color w:val="000000" w:themeColor="text1"/>
          <w:sz w:val="22"/>
        </w:rPr>
      </w:pPr>
      <w:r w:rsidRPr="003C27C6">
        <w:rPr>
          <w:rFonts w:ascii="Arial" w:eastAsia="Calibri" w:hAnsi="Arial" w:cs="Arial"/>
          <w:color w:val="000000" w:themeColor="text1"/>
          <w:sz w:val="22"/>
          <w:szCs w:val="22"/>
          <w:lang w:val="es-ES_tradnl"/>
        </w:rPr>
        <w:t xml:space="preserve">La </w:t>
      </w:r>
      <w:r w:rsidR="000A600A" w:rsidRPr="003C27C6">
        <w:rPr>
          <w:rFonts w:ascii="Arial" w:eastAsia="Calibri" w:hAnsi="Arial" w:cs="Arial"/>
          <w:color w:val="000000" w:themeColor="text1"/>
          <w:sz w:val="22"/>
          <w:szCs w:val="22"/>
          <w:lang w:val="es-ES_tradnl"/>
        </w:rPr>
        <w:t xml:space="preserve">Agencia Nacional de Contratación Pública – Colombia Compra Eficiente </w:t>
      </w:r>
      <w:r w:rsidR="00E670DD" w:rsidRPr="003C27C6">
        <w:rPr>
          <w:rFonts w:ascii="Arial" w:eastAsia="Calibri" w:hAnsi="Arial" w:cs="Arial"/>
          <w:color w:val="000000" w:themeColor="text1"/>
          <w:sz w:val="22"/>
        </w:rPr>
        <w:t>se ha pronunciado en diferentes ocasiones sobre la Ley de Garantías</w:t>
      </w:r>
      <w:r w:rsidR="001459D2" w:rsidRPr="003C27C6">
        <w:rPr>
          <w:rFonts w:ascii="Arial" w:eastAsia="Calibri" w:hAnsi="Arial" w:cs="Arial"/>
          <w:color w:val="000000" w:themeColor="text1"/>
          <w:sz w:val="22"/>
        </w:rPr>
        <w:t xml:space="preserve"> Electorales</w:t>
      </w:r>
      <w:r w:rsidR="00E670DD" w:rsidRPr="003C27C6">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3C27C6">
        <w:rPr>
          <w:rFonts w:ascii="Arial" w:eastAsia="Calibri" w:hAnsi="Arial" w:cs="Arial"/>
          <w:color w:val="000000" w:themeColor="text1"/>
          <w:sz w:val="22"/>
        </w:rPr>
        <w:t xml:space="preserve">, </w:t>
      </w:r>
      <w:r w:rsidR="00974B94" w:rsidRPr="003C27C6">
        <w:rPr>
          <w:rFonts w:ascii="Arial" w:eastAsia="Calibri" w:hAnsi="Arial" w:cs="Arial"/>
          <w:color w:val="000000" w:themeColor="text1"/>
          <w:sz w:val="22"/>
        </w:rPr>
        <w:t xml:space="preserve"> C-227 del 24 de mayo de 2021</w:t>
      </w:r>
      <w:r w:rsidR="00E746A6" w:rsidRPr="003C27C6">
        <w:rPr>
          <w:rFonts w:ascii="Arial" w:eastAsia="Calibri" w:hAnsi="Arial" w:cs="Arial"/>
          <w:color w:val="000000" w:themeColor="text1"/>
          <w:sz w:val="22"/>
        </w:rPr>
        <w:t xml:space="preserve"> y </w:t>
      </w:r>
      <w:r w:rsidR="0030575F" w:rsidRPr="003C27C6">
        <w:rPr>
          <w:rFonts w:ascii="Arial" w:eastAsia="Calibri" w:hAnsi="Arial" w:cs="Arial"/>
          <w:color w:val="000000" w:themeColor="text1"/>
          <w:sz w:val="22"/>
        </w:rPr>
        <w:t>3</w:t>
      </w:r>
      <w:r w:rsidR="00E746A6" w:rsidRPr="003C27C6">
        <w:rPr>
          <w:rFonts w:ascii="Arial" w:eastAsia="Calibri" w:hAnsi="Arial" w:cs="Arial"/>
          <w:color w:val="000000" w:themeColor="text1"/>
          <w:sz w:val="22"/>
        </w:rPr>
        <w:t>96 de</w:t>
      </w:r>
      <w:r w:rsidR="0030575F" w:rsidRPr="003C27C6">
        <w:rPr>
          <w:rFonts w:ascii="Arial" w:eastAsia="Calibri" w:hAnsi="Arial" w:cs="Arial"/>
          <w:color w:val="000000" w:themeColor="text1"/>
          <w:sz w:val="22"/>
        </w:rPr>
        <w:t>l 13 de agosto de</w:t>
      </w:r>
      <w:r w:rsidR="00E746A6" w:rsidRPr="003C27C6">
        <w:rPr>
          <w:rFonts w:ascii="Arial" w:eastAsia="Calibri" w:hAnsi="Arial" w:cs="Arial"/>
          <w:color w:val="000000" w:themeColor="text1"/>
          <w:sz w:val="22"/>
        </w:rPr>
        <w:t xml:space="preserve"> 2021</w:t>
      </w:r>
      <w:r w:rsidR="00DD40F8" w:rsidRPr="003C27C6">
        <w:rPr>
          <w:rFonts w:ascii="Arial" w:eastAsia="Calibri" w:hAnsi="Arial" w:cs="Arial"/>
          <w:color w:val="000000" w:themeColor="text1"/>
          <w:sz w:val="22"/>
        </w:rPr>
        <w:t>, C-43</w:t>
      </w:r>
      <w:r w:rsidR="00E552DD" w:rsidRPr="003C27C6">
        <w:rPr>
          <w:rFonts w:ascii="Arial" w:eastAsia="Calibri" w:hAnsi="Arial" w:cs="Arial"/>
          <w:color w:val="000000" w:themeColor="text1"/>
          <w:sz w:val="22"/>
        </w:rPr>
        <w:t>9 del 27 de agosto de 2021</w:t>
      </w:r>
      <w:r w:rsidR="00A161D5" w:rsidRPr="003C27C6">
        <w:rPr>
          <w:rFonts w:ascii="Arial" w:eastAsia="Calibri" w:hAnsi="Arial" w:cs="Arial"/>
          <w:color w:val="000000" w:themeColor="text1"/>
          <w:sz w:val="22"/>
        </w:rPr>
        <w:t xml:space="preserve">, C-456 del 3 de septiembre, C-481 del 9 de septiembre de 2021, </w:t>
      </w:r>
      <w:r w:rsidR="000A0A18" w:rsidRPr="003C27C6">
        <w:rPr>
          <w:rFonts w:ascii="Arial" w:eastAsia="Calibri" w:hAnsi="Arial" w:cs="Arial"/>
          <w:color w:val="000000" w:themeColor="text1"/>
          <w:sz w:val="22"/>
        </w:rPr>
        <w:t>C- 528 del 27 de septiembre de 2021, C-550 del 5 de octubre de 2021</w:t>
      </w:r>
      <w:r w:rsidR="00E552DD" w:rsidRPr="003C27C6">
        <w:rPr>
          <w:rFonts w:ascii="Arial" w:eastAsia="Calibri" w:hAnsi="Arial" w:cs="Arial"/>
          <w:color w:val="000000" w:themeColor="text1"/>
          <w:sz w:val="22"/>
        </w:rPr>
        <w:t xml:space="preserve"> y C-523 del </w:t>
      </w:r>
      <w:r w:rsidR="00E17CD1" w:rsidRPr="003C27C6">
        <w:rPr>
          <w:rFonts w:ascii="Arial" w:eastAsia="Calibri" w:hAnsi="Arial" w:cs="Arial"/>
          <w:color w:val="000000" w:themeColor="text1"/>
          <w:sz w:val="22"/>
        </w:rPr>
        <w:t>10 de octubre de 2021</w:t>
      </w:r>
      <w:r w:rsidR="00DD40F8" w:rsidRPr="003C27C6">
        <w:rPr>
          <w:rFonts w:ascii="Arial" w:eastAsia="Calibri" w:hAnsi="Arial" w:cs="Arial"/>
          <w:color w:val="000000" w:themeColor="text1"/>
          <w:sz w:val="22"/>
        </w:rPr>
        <w:t>, C-606 del 28 de octubre de 2021 y C-614 del 2 de noviembre de 2021</w:t>
      </w:r>
      <w:r w:rsidR="00AF0D2A" w:rsidRPr="003C27C6">
        <w:rPr>
          <w:rFonts w:ascii="Arial" w:eastAsia="Calibri" w:hAnsi="Arial" w:cs="Arial"/>
          <w:color w:val="000000" w:themeColor="text1"/>
          <w:sz w:val="22"/>
        </w:rPr>
        <w:t>, C-636 del 16 de noviembre de 2021, 681 del 7 de diciembre de 2021</w:t>
      </w:r>
      <w:r w:rsidR="00264496" w:rsidRPr="003C27C6">
        <w:rPr>
          <w:rFonts w:ascii="Arial" w:eastAsia="Calibri" w:hAnsi="Arial" w:cs="Arial"/>
          <w:color w:val="000000" w:themeColor="text1"/>
          <w:sz w:val="22"/>
        </w:rPr>
        <w:t xml:space="preserve"> y</w:t>
      </w:r>
      <w:r w:rsidR="00487288" w:rsidRPr="003C27C6">
        <w:rPr>
          <w:rFonts w:ascii="Arial" w:eastAsia="Calibri" w:hAnsi="Arial" w:cs="Arial"/>
          <w:color w:val="000000" w:themeColor="text1"/>
          <w:sz w:val="22"/>
        </w:rPr>
        <w:t xml:space="preserve"> C-686 del 21 de diciembre de 2021</w:t>
      </w:r>
      <w:r w:rsidR="00974B94" w:rsidRPr="003C27C6">
        <w:rPr>
          <w:rFonts w:ascii="Arial" w:eastAsia="Calibri" w:hAnsi="Arial" w:cs="Arial"/>
          <w:color w:val="000000" w:themeColor="text1"/>
          <w:sz w:val="22"/>
        </w:rPr>
        <w:t xml:space="preserve">. Teniendo en cuenta </w:t>
      </w:r>
      <w:r w:rsidR="002D283F" w:rsidRPr="003C27C6">
        <w:rPr>
          <w:rFonts w:ascii="Arial" w:eastAsia="Calibri" w:hAnsi="Arial" w:cs="Arial"/>
          <w:color w:val="000000" w:themeColor="text1"/>
          <w:sz w:val="22"/>
        </w:rPr>
        <w:t>los conceptos anteriores y</w:t>
      </w:r>
      <w:r w:rsidR="00974B94" w:rsidRPr="003C27C6">
        <w:rPr>
          <w:rFonts w:ascii="Arial" w:eastAsia="Calibri" w:hAnsi="Arial" w:cs="Arial"/>
          <w:color w:val="000000" w:themeColor="text1"/>
          <w:sz w:val="22"/>
        </w:rPr>
        <w:t xml:space="preserve"> </w:t>
      </w:r>
      <w:r w:rsidR="002D283F" w:rsidRPr="003C27C6">
        <w:rPr>
          <w:rFonts w:ascii="Arial" w:eastAsia="Calibri" w:hAnsi="Arial" w:cs="Arial"/>
          <w:color w:val="000000" w:themeColor="text1"/>
          <w:sz w:val="22"/>
        </w:rPr>
        <w:t>analizando</w:t>
      </w:r>
      <w:r w:rsidR="00974B94" w:rsidRPr="003C27C6">
        <w:rPr>
          <w:rFonts w:ascii="Arial" w:eastAsia="Calibri" w:hAnsi="Arial" w:cs="Arial"/>
          <w:color w:val="000000" w:themeColor="text1"/>
          <w:sz w:val="22"/>
        </w:rPr>
        <w:t xml:space="preserve"> la pregunta en cuestión</w:t>
      </w:r>
      <w:r w:rsidR="00592003" w:rsidRPr="003C27C6">
        <w:rPr>
          <w:rFonts w:ascii="Arial" w:eastAsia="Calibri" w:hAnsi="Arial" w:cs="Arial"/>
          <w:color w:val="000000" w:themeColor="text1"/>
          <w:sz w:val="22"/>
        </w:rPr>
        <w:t>,</w:t>
      </w:r>
      <w:r w:rsidR="00974B94" w:rsidRPr="003C27C6">
        <w:rPr>
          <w:rFonts w:ascii="Arial" w:eastAsia="Calibri" w:hAnsi="Arial" w:cs="Arial"/>
          <w:color w:val="000000" w:themeColor="text1"/>
          <w:sz w:val="22"/>
        </w:rPr>
        <w:t xml:space="preserve"> se </w:t>
      </w:r>
      <w:r w:rsidR="002D283F" w:rsidRPr="003C27C6">
        <w:rPr>
          <w:rFonts w:ascii="Arial" w:eastAsia="Calibri" w:hAnsi="Arial" w:cs="Arial"/>
          <w:color w:val="000000" w:themeColor="text1"/>
          <w:sz w:val="22"/>
        </w:rPr>
        <w:t>realizan las siguientes consideraciones.</w:t>
      </w:r>
      <w:r w:rsidR="00974B94" w:rsidRPr="003C27C6">
        <w:rPr>
          <w:rFonts w:ascii="Arial" w:eastAsia="Calibri" w:hAnsi="Arial" w:cs="Arial"/>
          <w:color w:val="000000" w:themeColor="text1"/>
          <w:sz w:val="22"/>
        </w:rPr>
        <w:t xml:space="preserve"> </w:t>
      </w:r>
    </w:p>
    <w:p w14:paraId="0D27A697" w14:textId="452E95D1" w:rsidR="00F433CB" w:rsidRPr="003C27C6" w:rsidRDefault="00F433CB" w:rsidP="001459D2">
      <w:pPr>
        <w:spacing w:line="276" w:lineRule="auto"/>
        <w:jc w:val="both"/>
        <w:rPr>
          <w:rFonts w:ascii="Arial" w:eastAsia="Calibri" w:hAnsi="Arial" w:cs="Arial"/>
          <w:color w:val="000000" w:themeColor="text1"/>
          <w:sz w:val="22"/>
        </w:rPr>
      </w:pPr>
    </w:p>
    <w:p w14:paraId="27365E26" w14:textId="123C52AB" w:rsidR="00F433CB" w:rsidRPr="003C27C6" w:rsidRDefault="00F433CB" w:rsidP="006B3EB4">
      <w:pPr>
        <w:spacing w:line="276" w:lineRule="auto"/>
        <w:jc w:val="both"/>
        <w:rPr>
          <w:rFonts w:ascii="Arial" w:hAnsi="Arial" w:cs="Arial"/>
          <w:b/>
          <w:bCs/>
          <w:color w:val="000000" w:themeColor="text1"/>
          <w:sz w:val="22"/>
          <w:szCs w:val="22"/>
          <w:lang w:val="es-ES_tradnl"/>
        </w:rPr>
      </w:pPr>
      <w:r w:rsidRPr="003C27C6">
        <w:rPr>
          <w:rFonts w:ascii="Arial" w:eastAsia="Calibri" w:hAnsi="Arial" w:cs="Arial"/>
          <w:b/>
          <w:bCs/>
          <w:color w:val="000000" w:themeColor="text1"/>
          <w:sz w:val="22"/>
        </w:rPr>
        <w:t xml:space="preserve">2.1. Finalidad </w:t>
      </w:r>
      <w:r w:rsidR="009B231D" w:rsidRPr="003C27C6">
        <w:rPr>
          <w:rFonts w:ascii="Arial" w:eastAsia="Calibri" w:hAnsi="Arial" w:cs="Arial"/>
          <w:b/>
          <w:bCs/>
          <w:color w:val="000000" w:themeColor="text1"/>
          <w:sz w:val="22"/>
        </w:rPr>
        <w:t xml:space="preserve">y restricciones </w:t>
      </w:r>
      <w:r w:rsidRPr="003C27C6">
        <w:rPr>
          <w:rFonts w:ascii="Arial" w:eastAsia="Calibri" w:hAnsi="Arial" w:cs="Arial"/>
          <w:b/>
          <w:bCs/>
          <w:color w:val="000000" w:themeColor="text1"/>
          <w:sz w:val="22"/>
        </w:rPr>
        <w:t>de la Ley de Garantías Electorales</w:t>
      </w:r>
    </w:p>
    <w:p w14:paraId="69BD1413" w14:textId="15B81743" w:rsidR="00F433CB" w:rsidRPr="003C27C6" w:rsidRDefault="00F433CB" w:rsidP="00271230">
      <w:pPr>
        <w:spacing w:line="276" w:lineRule="auto"/>
        <w:jc w:val="both"/>
        <w:rPr>
          <w:rFonts w:ascii="Arial" w:eastAsia="Calibri" w:hAnsi="Arial" w:cs="Arial"/>
          <w:color w:val="000000" w:themeColor="text1"/>
          <w:sz w:val="22"/>
          <w:szCs w:val="22"/>
          <w:lang w:val="es-ES_tradnl"/>
        </w:rPr>
      </w:pPr>
    </w:p>
    <w:p w14:paraId="13FA39EC" w14:textId="1E35AB98" w:rsidR="000077D0" w:rsidRPr="003C27C6" w:rsidRDefault="000077D0" w:rsidP="006B3EB4">
      <w:pPr>
        <w:tabs>
          <w:tab w:val="left" w:pos="426"/>
        </w:tabs>
        <w:spacing w:after="120" w:line="276" w:lineRule="auto"/>
        <w:jc w:val="both"/>
        <w:rPr>
          <w:rFonts w:ascii="Arial" w:eastAsia="Calibri" w:hAnsi="Arial" w:cs="Arial"/>
          <w:bCs/>
          <w:color w:val="000000" w:themeColor="text1"/>
          <w:sz w:val="22"/>
        </w:rPr>
      </w:pPr>
      <w:r w:rsidRPr="003C27C6">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w:t>
      </w:r>
      <w:r w:rsidR="00095607" w:rsidRPr="003C27C6">
        <w:rPr>
          <w:rFonts w:ascii="Arial" w:eastAsia="Calibri" w:hAnsi="Arial" w:cs="Arial"/>
          <w:bCs/>
          <w:color w:val="000000" w:themeColor="text1"/>
          <w:sz w:val="22"/>
        </w:rPr>
        <w:t>. Por ejemplo,</w:t>
      </w:r>
      <w:r w:rsidRPr="003C27C6">
        <w:rPr>
          <w:rFonts w:ascii="Arial" w:eastAsia="Calibri" w:hAnsi="Arial" w:cs="Arial"/>
          <w:bCs/>
          <w:color w:val="000000" w:themeColor="text1"/>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3C27C6">
        <w:rPr>
          <w:rStyle w:val="Refdenotaalpie"/>
          <w:rFonts w:ascii="Arial" w:eastAsia="Calibri" w:hAnsi="Arial" w:cs="Arial"/>
          <w:bCs/>
          <w:color w:val="000000" w:themeColor="text1"/>
          <w:sz w:val="22"/>
        </w:rPr>
        <w:footnoteReference w:id="2"/>
      </w:r>
      <w:r w:rsidRPr="003C27C6">
        <w:rPr>
          <w:rFonts w:ascii="Arial" w:eastAsia="Calibri" w:hAnsi="Arial" w:cs="Arial"/>
          <w:bCs/>
          <w:color w:val="000000" w:themeColor="text1"/>
          <w:sz w:val="22"/>
        </w:rPr>
        <w:t xml:space="preserve">. </w:t>
      </w:r>
    </w:p>
    <w:p w14:paraId="018CC89D" w14:textId="2D27A3F9" w:rsidR="000077D0" w:rsidRPr="003C27C6" w:rsidRDefault="00E746A6" w:rsidP="006B3EB4">
      <w:pPr>
        <w:tabs>
          <w:tab w:val="left" w:pos="426"/>
        </w:tabs>
        <w:spacing w:line="276" w:lineRule="auto"/>
        <w:jc w:val="both"/>
        <w:rPr>
          <w:rFonts w:ascii="Arial" w:hAnsi="Arial" w:cs="Arial"/>
          <w:bCs/>
          <w:color w:val="000000" w:themeColor="text1"/>
          <w:sz w:val="22"/>
          <w:szCs w:val="22"/>
          <w:lang w:eastAsia="es-CO"/>
        </w:rPr>
      </w:pPr>
      <w:r w:rsidRPr="003C27C6">
        <w:rPr>
          <w:rFonts w:ascii="Arial" w:hAnsi="Arial" w:cs="Arial"/>
          <w:bCs/>
          <w:color w:val="000000" w:themeColor="text1"/>
          <w:sz w:val="22"/>
          <w:lang w:eastAsia="es-CO"/>
        </w:rPr>
        <w:tab/>
      </w:r>
      <w:r w:rsidRPr="003C27C6">
        <w:rPr>
          <w:rFonts w:ascii="Arial" w:hAnsi="Arial" w:cs="Arial"/>
          <w:bCs/>
          <w:color w:val="000000" w:themeColor="text1"/>
          <w:sz w:val="22"/>
          <w:lang w:eastAsia="es-CO"/>
        </w:rPr>
        <w:tab/>
      </w:r>
      <w:r w:rsidR="000077D0" w:rsidRPr="003C27C6">
        <w:rPr>
          <w:rFonts w:ascii="Arial" w:hAnsi="Arial" w:cs="Arial"/>
          <w:bCs/>
          <w:color w:val="000000" w:themeColor="text1"/>
          <w:sz w:val="22"/>
          <w:szCs w:val="22"/>
          <w:lang w:eastAsia="es-CO"/>
        </w:rPr>
        <w:t xml:space="preserve">En el mismo sentido, </w:t>
      </w:r>
      <w:bookmarkStart w:id="9" w:name="_Hlk88117457"/>
      <w:r w:rsidR="000077D0" w:rsidRPr="003C27C6">
        <w:rPr>
          <w:rFonts w:ascii="Arial" w:hAnsi="Arial" w:cs="Arial"/>
          <w:bCs/>
          <w:color w:val="000000" w:themeColor="text1"/>
          <w:sz w:val="22"/>
          <w:szCs w:val="22"/>
          <w:lang w:eastAsia="es-CO"/>
        </w:rPr>
        <w:t xml:space="preserve">la Ley 996 de 2005 </w:t>
      </w:r>
      <w:r w:rsidR="0030575F" w:rsidRPr="003C27C6">
        <w:rPr>
          <w:rFonts w:ascii="Arial" w:eastAsia="Calibri" w:hAnsi="Arial" w:cs="Arial"/>
          <w:color w:val="000000" w:themeColor="text1"/>
          <w:sz w:val="22"/>
          <w:szCs w:val="22"/>
          <w:lang w:eastAsia="en-US"/>
        </w:rPr>
        <w:t>«</w:t>
      </w:r>
      <w:r w:rsidR="0030575F" w:rsidRPr="003C27C6">
        <w:rPr>
          <w:rStyle w:val="Textoennegrita"/>
          <w:rFonts w:ascii="Arial" w:hAnsi="Arial" w:cs="Arial"/>
          <w:b w:val="0"/>
          <w:color w:val="000000" w:themeColor="text1"/>
          <w:sz w:val="22"/>
          <w:szCs w:val="22"/>
          <w:shd w:val="clear" w:color="auto" w:fill="FFFFFF"/>
        </w:rPr>
        <w:t xml:space="preserve">Por medio de la cual se reglamenta la elección de </w:t>
      </w:r>
      <w:proofErr w:type="gramStart"/>
      <w:r w:rsidR="0030575F" w:rsidRPr="003C27C6">
        <w:rPr>
          <w:rStyle w:val="Textoennegrita"/>
          <w:rFonts w:ascii="Arial" w:hAnsi="Arial" w:cs="Arial"/>
          <w:b w:val="0"/>
          <w:color w:val="000000" w:themeColor="text1"/>
          <w:sz w:val="22"/>
          <w:szCs w:val="22"/>
          <w:shd w:val="clear" w:color="auto" w:fill="FFFFFF"/>
        </w:rPr>
        <w:t>Presidente</w:t>
      </w:r>
      <w:proofErr w:type="gramEnd"/>
      <w:r w:rsidR="0030575F" w:rsidRPr="003C27C6">
        <w:rPr>
          <w:rStyle w:val="Textoennegrita"/>
          <w:rFonts w:ascii="Arial" w:hAnsi="Arial" w:cs="Arial"/>
          <w:b w:val="0"/>
          <w:color w:val="000000" w:themeColor="text1"/>
          <w:sz w:val="22"/>
          <w:szCs w:val="22"/>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00917720" w:rsidRPr="003C27C6">
        <w:rPr>
          <w:rFonts w:ascii="Arial" w:eastAsia="Calibri" w:hAnsi="Arial" w:cs="Arial"/>
          <w:bCs/>
          <w:color w:val="000000" w:themeColor="text1"/>
          <w:sz w:val="22"/>
          <w:szCs w:val="22"/>
          <w:lang w:eastAsia="en-US"/>
        </w:rPr>
        <w:t>»,</w:t>
      </w:r>
      <w:r w:rsidR="0030575F" w:rsidRPr="003C27C6">
        <w:rPr>
          <w:rStyle w:val="Textoennegrita"/>
          <w:rFonts w:ascii="Arial" w:hAnsi="Arial" w:cs="Arial"/>
          <w:color w:val="000000" w:themeColor="text1"/>
          <w:sz w:val="22"/>
          <w:szCs w:val="22"/>
          <w:shd w:val="clear" w:color="auto" w:fill="FFFFFF"/>
        </w:rPr>
        <w:t xml:space="preserve"> </w:t>
      </w:r>
      <w:r w:rsidR="000077D0" w:rsidRPr="003C27C6">
        <w:rPr>
          <w:rFonts w:ascii="Arial" w:hAnsi="Arial" w:cs="Arial"/>
          <w:bCs/>
          <w:color w:val="000000" w:themeColor="text1"/>
          <w:sz w:val="22"/>
          <w:szCs w:val="22"/>
          <w:lang w:eastAsia="es-CO"/>
        </w:rPr>
        <w:t xml:space="preserve">se suma al andamiaje de orden constitucional y legal que se </w:t>
      </w:r>
      <w:r w:rsidRPr="003C27C6">
        <w:rPr>
          <w:rFonts w:ascii="Arial" w:hAnsi="Arial" w:cs="Arial"/>
          <w:bCs/>
          <w:color w:val="000000" w:themeColor="text1"/>
          <w:sz w:val="22"/>
          <w:szCs w:val="22"/>
          <w:lang w:eastAsia="es-CO"/>
        </w:rPr>
        <w:t xml:space="preserve">ocupa </w:t>
      </w:r>
      <w:r w:rsidR="000077D0" w:rsidRPr="003C27C6">
        <w:rPr>
          <w:rFonts w:ascii="Arial" w:hAnsi="Arial" w:cs="Arial"/>
          <w:bCs/>
          <w:color w:val="000000" w:themeColor="text1"/>
          <w:sz w:val="22"/>
          <w:szCs w:val="22"/>
          <w:lang w:eastAsia="es-CO"/>
        </w:rPr>
        <w:t>de evitar la injerencia de intereses particulares en el ejercicio de la función pública</w:t>
      </w:r>
      <w:r w:rsidR="002A3132" w:rsidRPr="003C27C6">
        <w:rPr>
          <w:rFonts w:ascii="Arial" w:hAnsi="Arial" w:cs="Arial"/>
          <w:bCs/>
          <w:color w:val="000000" w:themeColor="text1"/>
          <w:sz w:val="22"/>
          <w:szCs w:val="22"/>
          <w:lang w:eastAsia="es-CO"/>
        </w:rPr>
        <w:t>.</w:t>
      </w:r>
      <w:r w:rsidR="000077D0" w:rsidRPr="003C27C6">
        <w:rPr>
          <w:rFonts w:ascii="Arial" w:hAnsi="Arial" w:cs="Arial"/>
          <w:bCs/>
          <w:color w:val="000000" w:themeColor="text1"/>
          <w:sz w:val="22"/>
          <w:szCs w:val="22"/>
          <w:lang w:eastAsia="es-CO"/>
        </w:rPr>
        <w:t xml:space="preserve"> </w:t>
      </w:r>
      <w:r w:rsidR="002A3132" w:rsidRPr="003C27C6">
        <w:rPr>
          <w:rFonts w:ascii="Arial" w:hAnsi="Arial" w:cs="Arial"/>
          <w:bCs/>
          <w:color w:val="000000" w:themeColor="text1"/>
          <w:sz w:val="22"/>
          <w:szCs w:val="22"/>
          <w:lang w:eastAsia="es-CO"/>
        </w:rPr>
        <w:t>R</w:t>
      </w:r>
      <w:r w:rsidR="000077D0" w:rsidRPr="003C27C6">
        <w:rPr>
          <w:rFonts w:ascii="Arial" w:hAnsi="Arial" w:cs="Arial"/>
          <w:bCs/>
          <w:color w:val="000000" w:themeColor="text1"/>
          <w:sz w:val="22"/>
          <w:szCs w:val="22"/>
          <w:lang w:eastAsia="es-CO"/>
        </w:rPr>
        <w:t xml:space="preserve">especto a su finalidad, </w:t>
      </w:r>
      <w:r w:rsidR="002A3132" w:rsidRPr="003C27C6">
        <w:rPr>
          <w:rFonts w:ascii="Arial" w:hAnsi="Arial" w:cs="Arial"/>
          <w:bCs/>
          <w:color w:val="000000" w:themeColor="text1"/>
          <w:sz w:val="22"/>
          <w:szCs w:val="22"/>
          <w:lang w:eastAsia="es-CO"/>
        </w:rPr>
        <w:t>conforme a</w:t>
      </w:r>
      <w:r w:rsidR="000077D0" w:rsidRPr="003C27C6">
        <w:rPr>
          <w:rFonts w:ascii="Arial" w:hAnsi="Arial" w:cs="Arial"/>
          <w:bCs/>
          <w:color w:val="000000" w:themeColor="text1"/>
          <w:sz w:val="22"/>
          <w:szCs w:val="22"/>
          <w:lang w:eastAsia="es-CO"/>
        </w:rPr>
        <w:t xml:space="preserve"> la Gaceta del Congreso de la República No. 71 del 2005</w:t>
      </w:r>
      <w:r w:rsidR="002A3132" w:rsidRPr="003C27C6">
        <w:rPr>
          <w:rFonts w:ascii="Arial" w:hAnsi="Arial" w:cs="Arial"/>
          <w:bCs/>
          <w:color w:val="000000" w:themeColor="text1"/>
          <w:sz w:val="22"/>
          <w:szCs w:val="22"/>
          <w:lang w:eastAsia="es-CO"/>
        </w:rPr>
        <w:t>,</w:t>
      </w:r>
      <w:r w:rsidR="000077D0" w:rsidRPr="003C27C6">
        <w:rPr>
          <w:rFonts w:ascii="Arial" w:hAnsi="Arial" w:cs="Arial"/>
          <w:bCs/>
          <w:color w:val="000000" w:themeColor="text1"/>
          <w:sz w:val="22"/>
          <w:szCs w:val="22"/>
          <w:lang w:eastAsia="es-CO"/>
        </w:rPr>
        <w:t xml:space="preserve"> tiene como propósito evitar cualquier tipo de arbitrariedad, de ventaja injustificada, de uso irregular de los recursos del Estado en las campañas o falta de garantías en la elección </w:t>
      </w:r>
      <w:r w:rsidR="00B02668" w:rsidRPr="003C27C6">
        <w:rPr>
          <w:rFonts w:ascii="Arial" w:hAnsi="Arial" w:cs="Arial"/>
          <w:bCs/>
          <w:color w:val="000000" w:themeColor="text1"/>
          <w:sz w:val="22"/>
          <w:szCs w:val="22"/>
          <w:lang w:eastAsia="es-CO"/>
        </w:rPr>
        <w:t>presidencial, introduciendo</w:t>
      </w:r>
      <w:r w:rsidR="000077D0" w:rsidRPr="003C27C6">
        <w:rPr>
          <w:rFonts w:ascii="Arial" w:hAnsi="Arial" w:cs="Arial"/>
          <w:bCs/>
          <w:color w:val="000000" w:themeColor="text1"/>
          <w:sz w:val="22"/>
          <w:szCs w:val="22"/>
          <w:lang w:eastAsia="es-CO"/>
        </w:rPr>
        <w:t xml:space="preserve"> limitaciones para realizar nombramientos, postulaciones, contrataciones o cualquier otro tipo de actividad que implique destinación de recursos públicos.</w:t>
      </w:r>
      <w:r w:rsidR="000077D0" w:rsidRPr="003C27C6">
        <w:rPr>
          <w:rFonts w:ascii="Arial" w:eastAsia="Calibri" w:hAnsi="Arial" w:cs="Arial"/>
          <w:noProof/>
          <w:color w:val="000000" w:themeColor="text1"/>
          <w:sz w:val="22"/>
          <w:szCs w:val="22"/>
          <w:lang w:val="es-ES_tradnl"/>
        </w:rPr>
        <w:t xml:space="preserve"> </w:t>
      </w:r>
      <w:bookmarkEnd w:id="9"/>
      <w:r w:rsidR="000077D0" w:rsidRPr="003C27C6">
        <w:rPr>
          <w:rFonts w:ascii="Arial" w:hAnsi="Arial" w:cs="Arial"/>
          <w:bCs/>
          <w:color w:val="000000" w:themeColor="text1"/>
          <w:sz w:val="22"/>
          <w:szCs w:val="22"/>
          <w:lang w:eastAsia="es-CO"/>
        </w:rPr>
        <w:t xml:space="preserve">En armonía con lo anterior, la Corte Constitucional </w:t>
      </w:r>
      <w:r w:rsidR="006042CD" w:rsidRPr="003C27C6">
        <w:rPr>
          <w:rFonts w:ascii="Arial" w:hAnsi="Arial" w:cs="Arial"/>
          <w:bCs/>
          <w:color w:val="000000" w:themeColor="text1"/>
          <w:sz w:val="22"/>
          <w:szCs w:val="22"/>
          <w:lang w:eastAsia="es-CO"/>
        </w:rPr>
        <w:t xml:space="preserve">–en la Sentencia C-1153 de 2005– </w:t>
      </w:r>
      <w:r w:rsidR="000A7C27" w:rsidRPr="003C27C6">
        <w:rPr>
          <w:rFonts w:ascii="Arial" w:hAnsi="Arial" w:cs="Arial"/>
          <w:bCs/>
          <w:color w:val="000000" w:themeColor="text1"/>
          <w:sz w:val="22"/>
          <w:szCs w:val="22"/>
          <w:lang w:eastAsia="es-CO"/>
        </w:rPr>
        <w:t>estableció lo siguiente</w:t>
      </w:r>
      <w:r w:rsidR="000077D0" w:rsidRPr="003C27C6">
        <w:rPr>
          <w:rFonts w:ascii="Arial" w:hAnsi="Arial" w:cs="Arial"/>
          <w:bCs/>
          <w:color w:val="000000" w:themeColor="text1"/>
          <w:sz w:val="22"/>
          <w:szCs w:val="22"/>
          <w:lang w:eastAsia="es-CO"/>
        </w:rPr>
        <w:t>:</w:t>
      </w:r>
    </w:p>
    <w:p w14:paraId="10F8D327" w14:textId="77777777" w:rsidR="000077D0" w:rsidRPr="003C27C6" w:rsidRDefault="000077D0" w:rsidP="006B3EB4">
      <w:pPr>
        <w:ind w:right="709"/>
        <w:jc w:val="both"/>
        <w:rPr>
          <w:rFonts w:ascii="Arial" w:hAnsi="Arial" w:cs="Arial"/>
          <w:color w:val="000000" w:themeColor="text1"/>
          <w:sz w:val="21"/>
          <w:szCs w:val="21"/>
          <w:lang w:val="es-ES" w:eastAsia="es-CO"/>
        </w:rPr>
      </w:pPr>
    </w:p>
    <w:p w14:paraId="4F9602BD" w14:textId="77777777" w:rsidR="000077D0" w:rsidRPr="003C27C6" w:rsidRDefault="000077D0" w:rsidP="006B3EB4">
      <w:pPr>
        <w:ind w:left="709" w:right="709"/>
        <w:jc w:val="both"/>
        <w:rPr>
          <w:rFonts w:ascii="Arial" w:hAnsi="Arial" w:cs="Arial"/>
          <w:bCs/>
          <w:color w:val="000000" w:themeColor="text1"/>
          <w:sz w:val="21"/>
          <w:szCs w:val="21"/>
          <w:lang w:eastAsia="es-CO"/>
        </w:rPr>
      </w:pPr>
      <w:r w:rsidRPr="003C27C6">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3C27C6" w:rsidRDefault="000077D0" w:rsidP="006B3EB4">
      <w:pPr>
        <w:ind w:left="709" w:right="709"/>
        <w:jc w:val="both"/>
        <w:rPr>
          <w:rFonts w:ascii="Arial" w:hAnsi="Arial" w:cs="Arial"/>
          <w:bCs/>
          <w:color w:val="000000" w:themeColor="text1"/>
          <w:sz w:val="21"/>
          <w:szCs w:val="21"/>
          <w:lang w:eastAsia="es-CO"/>
        </w:rPr>
      </w:pPr>
    </w:p>
    <w:p w14:paraId="080C6A96" w14:textId="00DC5B3F" w:rsidR="000077D0" w:rsidRPr="003C27C6" w:rsidRDefault="000077D0" w:rsidP="006B3EB4">
      <w:pPr>
        <w:spacing w:line="276" w:lineRule="auto"/>
        <w:ind w:firstLine="709"/>
        <w:jc w:val="both"/>
        <w:rPr>
          <w:rFonts w:ascii="Arial" w:hAnsi="Arial" w:cs="Arial"/>
          <w:bCs/>
          <w:color w:val="000000" w:themeColor="text1"/>
          <w:sz w:val="22"/>
          <w:lang w:eastAsia="es-CO"/>
        </w:rPr>
      </w:pPr>
      <w:bookmarkStart w:id="10" w:name="_Hlk80948265"/>
      <w:r w:rsidRPr="003C27C6">
        <w:rPr>
          <w:rFonts w:ascii="Arial" w:hAnsi="Arial" w:cs="Arial"/>
          <w:bCs/>
          <w:color w:val="000000" w:themeColor="text1"/>
          <w:sz w:val="22"/>
          <w:lang w:eastAsia="es-CO"/>
        </w:rPr>
        <w:t>Siguiendo</w:t>
      </w:r>
      <w:r w:rsidR="00974B94" w:rsidRPr="003C27C6">
        <w:rPr>
          <w:rFonts w:ascii="Arial" w:hAnsi="Arial" w:cs="Arial"/>
          <w:bCs/>
          <w:color w:val="000000" w:themeColor="text1"/>
          <w:sz w:val="22"/>
          <w:lang w:eastAsia="es-CO"/>
        </w:rPr>
        <w:t xml:space="preserve"> esta línea</w:t>
      </w:r>
      <w:r w:rsidRPr="003C27C6">
        <w:rPr>
          <w:rFonts w:ascii="Arial" w:hAnsi="Arial" w:cs="Arial"/>
          <w:bCs/>
          <w:color w:val="000000" w:themeColor="text1"/>
          <w:sz w:val="22"/>
          <w:lang w:eastAsia="es-CO"/>
        </w:rPr>
        <w:t>, la Ley de Garantías Electorales establece el marco jurídico para el desarrollo de las elecciones, procurando condiciones de igualdad y transparencia para los aspirantes</w:t>
      </w:r>
      <w:r w:rsidR="00900A23" w:rsidRPr="003C27C6">
        <w:rPr>
          <w:rFonts w:ascii="Arial" w:hAnsi="Arial" w:cs="Arial"/>
          <w:bCs/>
          <w:color w:val="000000" w:themeColor="text1"/>
          <w:sz w:val="22"/>
          <w:lang w:eastAsia="es-CO"/>
        </w:rPr>
        <w:t>,</w:t>
      </w:r>
      <w:r w:rsidRPr="003C27C6">
        <w:rPr>
          <w:rFonts w:ascii="Arial" w:hAnsi="Arial" w:cs="Arial"/>
          <w:bCs/>
          <w:color w:val="000000" w:themeColor="text1"/>
          <w:sz w:val="22"/>
          <w:lang w:eastAsia="es-CO"/>
        </w:rPr>
        <w:t xml:space="preserve"> </w:t>
      </w:r>
      <w:r w:rsidR="00692FCD" w:rsidRPr="003C27C6">
        <w:rPr>
          <w:rFonts w:ascii="Arial" w:hAnsi="Arial" w:cs="Arial"/>
          <w:bCs/>
          <w:color w:val="000000" w:themeColor="text1"/>
          <w:sz w:val="22"/>
          <w:lang w:eastAsia="es-CO"/>
        </w:rPr>
        <w:t>al tiempo que</w:t>
      </w:r>
      <w:r w:rsidRPr="003C27C6">
        <w:rPr>
          <w:rFonts w:ascii="Arial" w:hAnsi="Arial" w:cs="Arial"/>
          <w:bCs/>
          <w:color w:val="000000" w:themeColor="text1"/>
          <w:sz w:val="22"/>
          <w:lang w:eastAsia="es-CO"/>
        </w:rPr>
        <w:t xml:space="preserve"> incluye restricciones en el actuar de los servidores públicos, evitando interferencias en la contienda electoral, así como la posible desviación de recursos públicos en aspiraciones electorales.</w:t>
      </w:r>
      <w:r w:rsidR="00DE771D" w:rsidRPr="003C27C6">
        <w:rPr>
          <w:rFonts w:ascii="Arial" w:hAnsi="Arial" w:cs="Arial"/>
          <w:bCs/>
          <w:color w:val="000000" w:themeColor="text1"/>
          <w:sz w:val="22"/>
          <w:lang w:eastAsia="es-CO"/>
        </w:rPr>
        <w:t xml:space="preserve"> Incluso</w:t>
      </w:r>
      <w:r w:rsidRPr="003C27C6">
        <w:rPr>
          <w:rFonts w:ascii="Arial" w:hAnsi="Arial" w:cs="Arial"/>
          <w:bCs/>
          <w:color w:val="000000" w:themeColor="text1"/>
          <w:sz w:val="22"/>
          <w:lang w:eastAsia="es-CO"/>
        </w:rPr>
        <w:t>, varias de las disposiciones de la Ley 996 de 2005, al contener normas prohibitivas, no admiten una interpretación amplia, sino que deben interpretarse restrictivamente.</w:t>
      </w:r>
      <w:bookmarkEnd w:id="10"/>
      <w:r w:rsidRPr="003C27C6">
        <w:rPr>
          <w:rFonts w:ascii="Arial" w:hAnsi="Arial" w:cs="Arial"/>
          <w:bCs/>
          <w:color w:val="000000" w:themeColor="text1"/>
          <w:sz w:val="22"/>
          <w:lang w:eastAsia="es-CO"/>
        </w:rPr>
        <w:t xml:space="preserve"> En efecto, lo anterior fue indicado por la Sala de Consulta y Servicio Civil del Consejo de Estado</w:t>
      </w:r>
      <w:r w:rsidR="00885CDB" w:rsidRPr="003C27C6">
        <w:rPr>
          <w:rFonts w:ascii="Arial" w:hAnsi="Arial" w:cs="Arial"/>
          <w:bCs/>
          <w:color w:val="000000" w:themeColor="text1"/>
          <w:sz w:val="22"/>
          <w:lang w:eastAsia="es-CO"/>
        </w:rPr>
        <w:t>,</w:t>
      </w:r>
      <w:r w:rsidRPr="003C27C6">
        <w:rPr>
          <w:rFonts w:ascii="Arial" w:hAnsi="Arial" w:cs="Arial"/>
          <w:bCs/>
          <w:color w:val="000000" w:themeColor="text1"/>
          <w:sz w:val="22"/>
          <w:lang w:eastAsia="es-CO"/>
        </w:rPr>
        <w:t xml:space="preserve"> al </w:t>
      </w:r>
      <w:r w:rsidR="00B40D1D" w:rsidRPr="003C27C6">
        <w:rPr>
          <w:rFonts w:ascii="Arial" w:hAnsi="Arial" w:cs="Arial"/>
          <w:bCs/>
          <w:color w:val="000000" w:themeColor="text1"/>
          <w:sz w:val="22"/>
          <w:lang w:eastAsia="es-CO"/>
        </w:rPr>
        <w:t>precisa</w:t>
      </w:r>
      <w:r w:rsidR="003D0A1F" w:rsidRPr="003C27C6">
        <w:rPr>
          <w:rFonts w:ascii="Arial" w:hAnsi="Arial" w:cs="Arial"/>
          <w:bCs/>
          <w:color w:val="000000" w:themeColor="text1"/>
          <w:sz w:val="22"/>
          <w:lang w:eastAsia="es-CO"/>
        </w:rPr>
        <w:t>r</w:t>
      </w:r>
      <w:r w:rsidR="00B40D1D" w:rsidRPr="003C27C6">
        <w:rPr>
          <w:rFonts w:ascii="Arial" w:hAnsi="Arial" w:cs="Arial"/>
          <w:bCs/>
          <w:color w:val="000000" w:themeColor="text1"/>
          <w:sz w:val="22"/>
          <w:lang w:eastAsia="es-CO"/>
        </w:rPr>
        <w:t xml:space="preserve"> que</w:t>
      </w:r>
      <w:r w:rsidRPr="003C27C6">
        <w:rPr>
          <w:rFonts w:ascii="Arial" w:hAnsi="Arial" w:cs="Arial"/>
          <w:bCs/>
          <w:color w:val="000000" w:themeColor="text1"/>
          <w:sz w:val="22"/>
          <w:lang w:eastAsia="es-CO"/>
        </w:rPr>
        <w:t>:</w:t>
      </w:r>
    </w:p>
    <w:p w14:paraId="5F619F1C" w14:textId="77777777" w:rsidR="000077D0" w:rsidRPr="003C27C6" w:rsidRDefault="000077D0" w:rsidP="006B3EB4">
      <w:pPr>
        <w:ind w:firstLine="709"/>
        <w:jc w:val="both"/>
        <w:rPr>
          <w:rFonts w:ascii="Arial" w:hAnsi="Arial" w:cs="Arial"/>
          <w:bCs/>
          <w:color w:val="000000" w:themeColor="text1"/>
          <w:sz w:val="22"/>
          <w:lang w:eastAsia="es-CO"/>
        </w:rPr>
      </w:pPr>
    </w:p>
    <w:p w14:paraId="3F21CBDD" w14:textId="77777777" w:rsidR="000077D0" w:rsidRPr="003C27C6" w:rsidRDefault="000077D0" w:rsidP="006B3EB4">
      <w:pPr>
        <w:ind w:left="709" w:right="709"/>
        <w:jc w:val="both"/>
        <w:rPr>
          <w:rFonts w:ascii="Arial" w:hAnsi="Arial" w:cs="Arial"/>
          <w:bCs/>
          <w:color w:val="000000" w:themeColor="text1"/>
          <w:sz w:val="21"/>
          <w:szCs w:val="21"/>
          <w:lang w:eastAsia="es-CO"/>
        </w:rPr>
      </w:pPr>
      <w:r w:rsidRPr="003C27C6">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3C27C6">
        <w:rPr>
          <w:rFonts w:ascii="Arial" w:hAnsi="Arial" w:cs="Arial"/>
          <w:bCs/>
          <w:color w:val="000000" w:themeColor="text1"/>
          <w:sz w:val="21"/>
          <w:szCs w:val="21"/>
          <w:lang w:eastAsia="es-CO"/>
        </w:rPr>
        <w:t>legis</w:t>
      </w:r>
      <w:proofErr w:type="spellEnd"/>
      <w:r w:rsidRPr="003C27C6">
        <w:rPr>
          <w:rFonts w:ascii="Arial"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3C27C6" w:rsidRDefault="000077D0" w:rsidP="006B3EB4">
      <w:pPr>
        <w:ind w:left="709" w:right="709" w:firstLine="709"/>
        <w:jc w:val="both"/>
        <w:rPr>
          <w:rFonts w:ascii="Arial" w:hAnsi="Arial" w:cs="Arial"/>
          <w:bCs/>
          <w:color w:val="000000" w:themeColor="text1"/>
          <w:sz w:val="21"/>
          <w:szCs w:val="21"/>
          <w:lang w:eastAsia="es-CO"/>
        </w:rPr>
      </w:pPr>
    </w:p>
    <w:p w14:paraId="47E4EDD2" w14:textId="77777777" w:rsidR="000077D0" w:rsidRPr="003C27C6" w:rsidRDefault="000077D0" w:rsidP="006B3EB4">
      <w:pPr>
        <w:ind w:left="709" w:right="709"/>
        <w:jc w:val="both"/>
        <w:rPr>
          <w:rFonts w:ascii="Arial" w:hAnsi="Arial" w:cs="Arial"/>
          <w:bCs/>
          <w:color w:val="000000" w:themeColor="text1"/>
          <w:sz w:val="21"/>
          <w:szCs w:val="21"/>
          <w:lang w:eastAsia="es-CO"/>
        </w:rPr>
      </w:pPr>
      <w:r w:rsidRPr="003C27C6">
        <w:rPr>
          <w:rFonts w:ascii="Arial" w:hAnsi="Arial" w:cs="Arial"/>
          <w:bCs/>
          <w:color w:val="000000" w:themeColor="text1"/>
          <w:sz w:val="21"/>
          <w:szCs w:val="21"/>
          <w:lang w:eastAsia="es-CO"/>
        </w:rPr>
        <w:t>La jurisprudencia de la Corte Constitucional</w:t>
      </w:r>
      <w:r w:rsidRPr="003C27C6">
        <w:rPr>
          <w:rStyle w:val="Refdenotaalpie"/>
          <w:rFonts w:ascii="Arial" w:hAnsi="Arial" w:cs="Arial"/>
          <w:bCs/>
          <w:color w:val="000000" w:themeColor="text1"/>
          <w:sz w:val="21"/>
          <w:szCs w:val="21"/>
          <w:lang w:eastAsia="es-CO"/>
        </w:rPr>
        <w:footnoteReference w:id="3"/>
      </w:r>
      <w:r w:rsidRPr="003C27C6">
        <w:rPr>
          <w:rFonts w:ascii="Arial" w:hAnsi="Arial" w:cs="Arial"/>
          <w:bCs/>
          <w:color w:val="000000" w:themeColor="text1"/>
          <w:sz w:val="21"/>
          <w:szCs w:val="21"/>
          <w:lang w:eastAsia="es-CO"/>
        </w:rPr>
        <w:t> y del Consejo de Estado</w:t>
      </w:r>
      <w:r w:rsidRPr="003C27C6">
        <w:rPr>
          <w:rStyle w:val="Refdenotaalpie"/>
          <w:rFonts w:ascii="Arial" w:hAnsi="Arial" w:cs="Arial"/>
          <w:bCs/>
          <w:color w:val="000000" w:themeColor="text1"/>
          <w:sz w:val="21"/>
          <w:szCs w:val="21"/>
          <w:lang w:eastAsia="es-CO"/>
        </w:rPr>
        <w:footnoteReference w:id="4"/>
      </w:r>
      <w:r w:rsidRPr="003C27C6">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3C27C6">
        <w:rPr>
          <w:rStyle w:val="Refdenotaalpie"/>
          <w:rFonts w:ascii="Arial" w:hAnsi="Arial" w:cs="Arial"/>
          <w:bCs/>
          <w:color w:val="000000" w:themeColor="text1"/>
          <w:sz w:val="22"/>
          <w:lang w:eastAsia="es-CO"/>
        </w:rPr>
        <w:footnoteReference w:id="5"/>
      </w:r>
      <w:r w:rsidRPr="003C27C6">
        <w:rPr>
          <w:rFonts w:ascii="Arial" w:hAnsi="Arial" w:cs="Arial"/>
          <w:bCs/>
          <w:color w:val="000000" w:themeColor="text1"/>
          <w:sz w:val="21"/>
          <w:szCs w:val="21"/>
          <w:lang w:eastAsia="es-CO"/>
        </w:rPr>
        <w:t>.</w:t>
      </w:r>
    </w:p>
    <w:p w14:paraId="34847625" w14:textId="77777777" w:rsidR="000077D0" w:rsidRPr="003C27C6" w:rsidRDefault="000077D0" w:rsidP="006B3EB4">
      <w:pPr>
        <w:spacing w:line="276" w:lineRule="auto"/>
        <w:ind w:right="709"/>
        <w:jc w:val="both"/>
        <w:rPr>
          <w:rFonts w:ascii="Arial" w:hAnsi="Arial" w:cs="Arial"/>
          <w:bCs/>
          <w:color w:val="000000" w:themeColor="text1"/>
          <w:sz w:val="22"/>
          <w:szCs w:val="22"/>
          <w:lang w:eastAsia="es-CO"/>
        </w:rPr>
      </w:pPr>
    </w:p>
    <w:p w14:paraId="15312F99" w14:textId="6CF73E71" w:rsidR="00917720" w:rsidRPr="003C27C6" w:rsidRDefault="000077D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3C27C6">
        <w:rPr>
          <w:rFonts w:ascii="Arial" w:eastAsia="Arial" w:hAnsi="Arial" w:cs="Arial"/>
          <w:color w:val="000000" w:themeColor="text1"/>
          <w:sz w:val="22"/>
          <w:lang w:val="es-ES" w:eastAsia="es-ES" w:bidi="es-ES"/>
        </w:rPr>
        <w:t xml:space="preserve">De conformidad con lo anterior, es claro que la Ley de Garantías Electorales, para el cumplimiento de los objetivos que dieron lugar a su expedición, </w:t>
      </w:r>
      <w:r w:rsidR="00CE13FA" w:rsidRPr="003C27C6">
        <w:rPr>
          <w:rFonts w:ascii="Arial" w:eastAsia="Arial" w:hAnsi="Arial" w:cs="Arial"/>
          <w:color w:val="000000" w:themeColor="text1"/>
          <w:sz w:val="22"/>
          <w:lang w:val="es-ES" w:eastAsia="es-ES" w:bidi="es-ES"/>
        </w:rPr>
        <w:t>consagró</w:t>
      </w:r>
      <w:r w:rsidRPr="003C27C6">
        <w:rPr>
          <w:rFonts w:ascii="Arial" w:eastAsia="Arial" w:hAnsi="Arial" w:cs="Arial"/>
          <w:color w:val="000000" w:themeColor="text1"/>
          <w:sz w:val="22"/>
          <w:lang w:val="es-ES" w:eastAsia="es-ES" w:bidi="es-ES"/>
        </w:rPr>
        <w:t xml:space="preserve">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12282080" w14:textId="77777777" w:rsidR="00917720" w:rsidRPr="003C27C6" w:rsidRDefault="00917720" w:rsidP="00861F5C">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p>
    <w:p w14:paraId="1968701E" w14:textId="77777777" w:rsidR="00917720" w:rsidRPr="003C27C6" w:rsidRDefault="00917720" w:rsidP="00917720">
      <w:pPr>
        <w:spacing w:after="200" w:line="276" w:lineRule="auto"/>
        <w:jc w:val="both"/>
        <w:rPr>
          <w:rFonts w:ascii="Arial" w:hAnsi="Arial" w:cs="Arial"/>
          <w:b/>
          <w:bCs/>
          <w:color w:val="000000" w:themeColor="text1"/>
          <w:sz w:val="22"/>
          <w:szCs w:val="22"/>
          <w:lang w:val="es-MX" w:eastAsia="es-CO"/>
        </w:rPr>
      </w:pPr>
      <w:r w:rsidRPr="003C27C6">
        <w:rPr>
          <w:rFonts w:ascii="Arial" w:eastAsia="Calibri" w:hAnsi="Arial" w:cs="Arial"/>
          <w:b/>
          <w:bCs/>
          <w:color w:val="000000" w:themeColor="text1"/>
          <w:sz w:val="22"/>
          <w:szCs w:val="22"/>
          <w:lang w:eastAsia="en-US"/>
        </w:rPr>
        <w:t>2.2. Determinación de las restricciones según el tipo de elecciones</w:t>
      </w:r>
    </w:p>
    <w:p w14:paraId="1EBAC8EA" w14:textId="3A7C8ECF" w:rsidR="00917720" w:rsidRPr="003C27C6" w:rsidRDefault="001459D2" w:rsidP="00530DFE">
      <w:pPr>
        <w:spacing w:after="120" w:line="276" w:lineRule="auto"/>
        <w:jc w:val="both"/>
        <w:rPr>
          <w:rFonts w:ascii="Arial" w:eastAsia="Calibri" w:hAnsi="Arial" w:cs="Arial"/>
          <w:color w:val="000000" w:themeColor="text1"/>
          <w:sz w:val="22"/>
          <w:szCs w:val="22"/>
          <w:lang w:eastAsia="en-US"/>
        </w:rPr>
      </w:pPr>
      <w:r w:rsidRPr="003C27C6">
        <w:rPr>
          <w:rFonts w:ascii="Arial" w:hAnsi="Arial" w:cs="Arial"/>
          <w:bCs/>
          <w:color w:val="000000" w:themeColor="text1"/>
          <w:sz w:val="22"/>
          <w:szCs w:val="22"/>
          <w:lang w:val="es-MX" w:eastAsia="es-CO"/>
        </w:rPr>
        <w:t xml:space="preserve">De acuerdo con lo indicado anteriormente, </w:t>
      </w:r>
      <w:bookmarkStart w:id="11" w:name="_Hlk79762232"/>
      <w:bookmarkStart w:id="12" w:name="_Hlk77152787"/>
      <w:r w:rsidRPr="003C27C6">
        <w:rPr>
          <w:rFonts w:ascii="Arial" w:eastAsia="Calibri" w:hAnsi="Arial" w:cs="Arial"/>
          <w:color w:val="000000" w:themeColor="text1"/>
          <w:sz w:val="22"/>
          <w:szCs w:val="22"/>
          <w:lang w:eastAsia="en-US"/>
        </w:rPr>
        <w:t>p</w:t>
      </w:r>
      <w:r w:rsidR="00917720" w:rsidRPr="003C27C6">
        <w:rPr>
          <w:rFonts w:ascii="Arial" w:eastAsia="Calibri" w:hAnsi="Arial" w:cs="Arial"/>
          <w:color w:val="000000" w:themeColor="text1"/>
          <w:sz w:val="22"/>
          <w:szCs w:val="22"/>
          <w:lang w:eastAsia="en-US"/>
        </w:rPr>
        <w:t xml:space="preserve">or una parte, </w:t>
      </w:r>
      <w:bookmarkStart w:id="13" w:name="_Hlk77153051"/>
      <w:r w:rsidR="00917720" w:rsidRPr="003C27C6">
        <w:rPr>
          <w:rFonts w:ascii="Arial" w:eastAsia="Calibri" w:hAnsi="Arial" w:cs="Arial"/>
          <w:color w:val="000000" w:themeColor="text1"/>
          <w:sz w:val="22"/>
          <w:szCs w:val="22"/>
          <w:lang w:eastAsia="en-US"/>
        </w:rPr>
        <w:t xml:space="preserve">el artículo 33 de la Ley 996 de 2005 establece una prohibición que impide </w:t>
      </w:r>
      <w:r w:rsidR="00917720" w:rsidRPr="003C27C6">
        <w:rPr>
          <w:rFonts w:ascii="Arial" w:eastAsia="Calibri" w:hAnsi="Arial" w:cs="Arial"/>
          <w:bCs/>
          <w:color w:val="000000" w:themeColor="text1"/>
          <w:sz w:val="22"/>
          <w:szCs w:val="22"/>
          <w:lang w:eastAsia="en-US"/>
        </w:rPr>
        <w:t xml:space="preserve">«[…] </w:t>
      </w:r>
      <w:r w:rsidR="00917720" w:rsidRPr="003C27C6">
        <w:rPr>
          <w:rFonts w:ascii="Arial" w:eastAsia="Calibri" w:hAnsi="Arial" w:cs="Arial"/>
          <w:color w:val="000000" w:themeColor="text1"/>
          <w:sz w:val="22"/>
          <w:szCs w:val="22"/>
          <w:lang w:eastAsia="en-US"/>
        </w:rPr>
        <w:t>la contratación directa por parte de todos los entes del Estado</w:t>
      </w:r>
      <w:r w:rsidR="00917720" w:rsidRPr="003C27C6">
        <w:rPr>
          <w:rFonts w:ascii="Arial" w:eastAsia="Calibri" w:hAnsi="Arial" w:cs="Arial"/>
          <w:bCs/>
          <w:color w:val="000000" w:themeColor="text1"/>
          <w:sz w:val="22"/>
          <w:szCs w:val="22"/>
          <w:lang w:eastAsia="en-US"/>
        </w:rPr>
        <w:t>»</w:t>
      </w:r>
      <w:r w:rsidR="00917720" w:rsidRPr="003C27C6">
        <w:rPr>
          <w:rFonts w:ascii="Arial" w:eastAsia="Calibri" w:hAnsi="Arial" w:cs="Arial"/>
          <w:color w:val="000000" w:themeColor="text1"/>
          <w:sz w:val="22"/>
          <w:szCs w:val="22"/>
          <w:lang w:eastAsia="en-US"/>
        </w:rPr>
        <w:t xml:space="preserve"> durante los cuatro (4) meses anteriores a las elecciones presidenciales, salvo </w:t>
      </w:r>
      <w:r w:rsidR="00917720" w:rsidRPr="003C27C6">
        <w:rPr>
          <w:rFonts w:ascii="Arial" w:eastAsia="Calibri" w:hAnsi="Arial" w:cs="Arial"/>
          <w:bCs/>
          <w:color w:val="000000" w:themeColor="text1"/>
          <w:sz w:val="22"/>
          <w:szCs w:val="22"/>
          <w:lang w:eastAsia="en-US"/>
        </w:rPr>
        <w:t xml:space="preserve">«[…] </w:t>
      </w:r>
      <w:r w:rsidR="00917720" w:rsidRPr="003C27C6">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917720" w:rsidRPr="003C27C6">
        <w:rPr>
          <w:rFonts w:ascii="Arial" w:eastAsia="Calibri" w:hAnsi="Arial" w:cs="Arial"/>
          <w:bCs/>
          <w:color w:val="000000" w:themeColor="text1"/>
          <w:sz w:val="22"/>
          <w:szCs w:val="22"/>
          <w:lang w:eastAsia="en-US"/>
        </w:rPr>
        <w:t>»</w:t>
      </w:r>
      <w:bookmarkEnd w:id="11"/>
      <w:r w:rsidR="00917720" w:rsidRPr="003C27C6">
        <w:rPr>
          <w:rFonts w:ascii="Arial" w:eastAsia="Calibri" w:hAnsi="Arial" w:cs="Arial"/>
          <w:bCs/>
          <w:color w:val="000000" w:themeColor="text1"/>
          <w:sz w:val="22"/>
          <w:szCs w:val="22"/>
          <w:vertAlign w:val="superscript"/>
          <w:lang w:eastAsia="en-US"/>
        </w:rPr>
        <w:footnoteReference w:id="6"/>
      </w:r>
      <w:r w:rsidR="00917720" w:rsidRPr="003C27C6">
        <w:rPr>
          <w:rFonts w:ascii="Arial" w:eastAsia="Calibri" w:hAnsi="Arial" w:cs="Arial"/>
          <w:color w:val="000000" w:themeColor="text1"/>
          <w:sz w:val="22"/>
          <w:szCs w:val="22"/>
          <w:lang w:eastAsia="en-US"/>
        </w:rPr>
        <w:t>.</w:t>
      </w:r>
    </w:p>
    <w:p w14:paraId="5510D27B" w14:textId="24FF1AFC" w:rsidR="00917720" w:rsidRPr="003C27C6" w:rsidRDefault="00917720" w:rsidP="00530DFE">
      <w:pPr>
        <w:spacing w:line="276" w:lineRule="auto"/>
        <w:ind w:firstLine="708"/>
        <w:jc w:val="both"/>
        <w:rPr>
          <w:rFonts w:ascii="Arial" w:eastAsia="Arial" w:hAnsi="Arial" w:cs="Arial"/>
          <w:color w:val="000000" w:themeColor="text1"/>
          <w:sz w:val="22"/>
          <w:szCs w:val="22"/>
          <w:lang w:val="es-ES" w:eastAsia="es-ES" w:bidi="es-ES"/>
        </w:rPr>
      </w:pPr>
      <w:bookmarkStart w:id="15" w:name="_Hlk79762276"/>
      <w:r w:rsidRPr="003C27C6">
        <w:rPr>
          <w:rFonts w:ascii="Arial" w:eastAsia="Calibri" w:hAnsi="Arial" w:cs="Arial"/>
          <w:color w:val="000000" w:themeColor="text1"/>
          <w:sz w:val="22"/>
          <w:szCs w:val="22"/>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3C27C6">
        <w:rPr>
          <w:rFonts w:ascii="Arial" w:eastAsia="Calibri" w:hAnsi="Arial" w:cs="Arial"/>
          <w:bCs/>
          <w:color w:val="000000" w:themeColor="text1"/>
          <w:sz w:val="22"/>
          <w:szCs w:val="22"/>
          <w:lang w:eastAsia="en-US"/>
        </w:rPr>
        <w:t xml:space="preserve">«[…] </w:t>
      </w:r>
      <w:r w:rsidRPr="003C27C6">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C27C6">
        <w:rPr>
          <w:rFonts w:ascii="Arial" w:eastAsia="Calibri" w:hAnsi="Arial" w:cs="Arial"/>
          <w:bCs/>
          <w:color w:val="000000" w:themeColor="text1"/>
          <w:sz w:val="19"/>
          <w:szCs w:val="19"/>
          <w:lang w:eastAsia="en-US"/>
        </w:rPr>
        <w:t>»</w:t>
      </w:r>
      <w:r w:rsidRPr="003C27C6">
        <w:rPr>
          <w:rFonts w:ascii="Arial" w:eastAsia="Calibri" w:hAnsi="Arial" w:cs="Arial"/>
          <w:bCs/>
          <w:color w:val="000000" w:themeColor="text1"/>
          <w:sz w:val="19"/>
          <w:szCs w:val="19"/>
          <w:vertAlign w:val="superscript"/>
          <w:lang w:eastAsia="en-US"/>
        </w:rPr>
        <w:footnoteReference w:id="7"/>
      </w:r>
      <w:r w:rsidRPr="003C27C6">
        <w:rPr>
          <w:rFonts w:ascii="Arial" w:eastAsia="Calibri" w:hAnsi="Arial" w:cs="Arial"/>
          <w:color w:val="000000" w:themeColor="text1"/>
          <w:sz w:val="22"/>
          <w:szCs w:val="22"/>
          <w:lang w:val="es-MX" w:eastAsia="en-US"/>
        </w:rPr>
        <w:t>.</w:t>
      </w:r>
      <w:r w:rsidR="00900A23" w:rsidRPr="003C27C6">
        <w:rPr>
          <w:rFonts w:ascii="Arial" w:eastAsia="Calibri" w:hAnsi="Arial" w:cs="Arial"/>
          <w:color w:val="000000" w:themeColor="text1"/>
          <w:sz w:val="22"/>
          <w:szCs w:val="22"/>
          <w:lang w:val="es-MX" w:eastAsia="en-US"/>
        </w:rPr>
        <w:t xml:space="preserve"> Teniendo en cuenta lo anterior, </w:t>
      </w:r>
      <w:bookmarkEnd w:id="12"/>
      <w:bookmarkEnd w:id="13"/>
      <w:bookmarkEnd w:id="15"/>
      <w:r w:rsidR="00900A23" w:rsidRPr="003C27C6">
        <w:rPr>
          <w:rFonts w:ascii="Arial" w:eastAsia="Arial" w:hAnsi="Arial" w:cs="Arial"/>
          <w:color w:val="000000" w:themeColor="text1"/>
          <w:sz w:val="22"/>
          <w:szCs w:val="22"/>
          <w:lang w:val="es-ES" w:eastAsia="es-ES" w:bidi="es-ES"/>
        </w:rPr>
        <w:t>l</w:t>
      </w:r>
      <w:r w:rsidRPr="003C27C6">
        <w:rPr>
          <w:rFonts w:ascii="Arial" w:eastAsia="Arial" w:hAnsi="Arial" w:cs="Arial"/>
          <w:color w:val="000000" w:themeColor="text1"/>
          <w:sz w:val="22"/>
          <w:szCs w:val="22"/>
          <w:lang w:val="es-ES" w:eastAsia="es-ES" w:bidi="es-ES"/>
        </w:rPr>
        <w:t>a Sala de Consulta y Servicio Civil del Consejo de Estado ha aclarado la distinción en la aplicación de las prohibiciones de la Ley 996 de 2005, dependiendo del tipo de elección que se trate, así</w:t>
      </w:r>
      <w:r w:rsidRPr="003C27C6">
        <w:rPr>
          <w:rFonts w:ascii="Arial" w:eastAsia="Arial" w:hAnsi="Arial" w:cs="Arial"/>
          <w:color w:val="000000" w:themeColor="text1"/>
          <w:sz w:val="21"/>
          <w:szCs w:val="21"/>
          <w:vertAlign w:val="superscript"/>
          <w:lang w:val="es-ES" w:eastAsia="es-ES" w:bidi="es-ES"/>
        </w:rPr>
        <w:footnoteReference w:id="8"/>
      </w:r>
      <w:r w:rsidRPr="003C27C6">
        <w:rPr>
          <w:rFonts w:ascii="Arial" w:eastAsia="Arial" w:hAnsi="Arial" w:cs="Arial"/>
          <w:color w:val="000000" w:themeColor="text1"/>
          <w:sz w:val="22"/>
          <w:szCs w:val="22"/>
          <w:lang w:val="es-ES" w:eastAsia="es-ES" w:bidi="es-ES"/>
        </w:rPr>
        <w:t>:</w:t>
      </w:r>
    </w:p>
    <w:p w14:paraId="01678F88" w14:textId="77777777" w:rsidR="00917720" w:rsidRPr="003C27C6" w:rsidRDefault="00917720">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7CF9F585" w14:textId="77777777" w:rsidR="00917720" w:rsidRPr="003C27C6" w:rsidRDefault="00917720" w:rsidP="00530DFE">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3C27C6">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3C27C6">
        <w:rPr>
          <w:rFonts w:ascii="Arial" w:eastAsia="Arial" w:hAnsi="Arial" w:cs="Arial"/>
          <w:color w:val="000000" w:themeColor="text1"/>
          <w:sz w:val="21"/>
          <w:szCs w:val="21"/>
          <w:lang w:val="es-ES" w:eastAsia="es-ES" w:bidi="es-ES"/>
        </w:rPr>
        <w:t>se integran parcialmente</w:t>
      </w:r>
      <w:bookmarkEnd w:id="16"/>
      <w:r w:rsidRPr="003C27C6">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3C27C6">
        <w:rPr>
          <w:rFonts w:ascii="Arial" w:eastAsia="Arial" w:hAnsi="Arial" w:cs="Arial"/>
          <w:bCs/>
          <w:i/>
          <w:iCs/>
          <w:color w:val="000000" w:themeColor="text1"/>
          <w:sz w:val="21"/>
          <w:szCs w:val="21"/>
          <w:lang w:val="es-ES" w:eastAsia="es-ES" w:bidi="es-ES"/>
        </w:rPr>
        <w:t xml:space="preserve">En cambio, para elecciones en general, excluyendo las correspondientes a </w:t>
      </w:r>
      <w:proofErr w:type="gramStart"/>
      <w:r w:rsidRPr="003C27C6">
        <w:rPr>
          <w:rFonts w:ascii="Arial" w:eastAsia="Arial" w:hAnsi="Arial" w:cs="Arial"/>
          <w:bCs/>
          <w:i/>
          <w:iCs/>
          <w:color w:val="000000" w:themeColor="text1"/>
          <w:sz w:val="21"/>
          <w:szCs w:val="21"/>
          <w:lang w:val="es-ES" w:eastAsia="es-ES" w:bidi="es-ES"/>
        </w:rPr>
        <w:t>Presidente</w:t>
      </w:r>
      <w:proofErr w:type="gramEnd"/>
      <w:r w:rsidRPr="003C27C6">
        <w:rPr>
          <w:rFonts w:ascii="Arial" w:eastAsia="Arial" w:hAnsi="Arial" w:cs="Arial"/>
          <w:bCs/>
          <w:i/>
          <w:iCs/>
          <w:color w:val="000000" w:themeColor="text1"/>
          <w:sz w:val="21"/>
          <w:szCs w:val="21"/>
          <w:lang w:val="es-ES" w:eastAsia="es-ES" w:bidi="es-ES"/>
        </w:rPr>
        <w:t xml:space="preserve"> de la República, a las autoridades territoriales allí mencionadas sólo se aplican las restricciones contenidas en el parágrafo del artículo 38</w:t>
      </w:r>
      <w:r w:rsidRPr="003C27C6">
        <w:rPr>
          <w:rFonts w:ascii="Arial" w:eastAsia="Arial" w:hAnsi="Arial" w:cs="Arial"/>
          <w:color w:val="000000" w:themeColor="text1"/>
          <w:sz w:val="21"/>
          <w:szCs w:val="21"/>
          <w:lang w:val="es-ES" w:eastAsia="es-ES" w:bidi="es-ES"/>
        </w:rPr>
        <w:t>.</w:t>
      </w:r>
      <w:r w:rsidRPr="003C27C6">
        <w:rPr>
          <w:rFonts w:ascii="Arial" w:eastAsia="Arial" w:hAnsi="Arial" w:cs="Arial"/>
          <w:color w:val="000000" w:themeColor="text1"/>
          <w:position w:val="8"/>
          <w:sz w:val="21"/>
          <w:szCs w:val="21"/>
          <w:lang w:val="es-ES" w:eastAsia="es-ES" w:bidi="es-ES"/>
        </w:rPr>
        <w:t xml:space="preserve"> </w:t>
      </w:r>
      <w:r w:rsidRPr="003C27C6">
        <w:rPr>
          <w:rFonts w:ascii="Arial" w:eastAsia="Arial" w:hAnsi="Arial" w:cs="Arial"/>
          <w:color w:val="000000" w:themeColor="text1"/>
          <w:sz w:val="21"/>
          <w:szCs w:val="21"/>
          <w:lang w:val="es-ES" w:eastAsia="es-ES" w:bidi="es-ES"/>
        </w:rPr>
        <w:t>(Cursivas fuera de</w:t>
      </w:r>
      <w:r w:rsidRPr="003C27C6">
        <w:rPr>
          <w:rFonts w:ascii="Arial" w:eastAsia="Arial" w:hAnsi="Arial" w:cs="Arial"/>
          <w:color w:val="000000" w:themeColor="text1"/>
          <w:spacing w:val="-42"/>
          <w:sz w:val="21"/>
          <w:szCs w:val="21"/>
          <w:lang w:val="es-ES" w:eastAsia="es-ES" w:bidi="es-ES"/>
        </w:rPr>
        <w:t xml:space="preserve"> </w:t>
      </w:r>
      <w:r w:rsidRPr="003C27C6">
        <w:rPr>
          <w:rFonts w:ascii="Arial" w:eastAsia="Arial" w:hAnsi="Arial" w:cs="Arial"/>
          <w:color w:val="000000" w:themeColor="text1"/>
          <w:sz w:val="21"/>
          <w:szCs w:val="21"/>
          <w:lang w:val="es-ES" w:eastAsia="es-ES" w:bidi="es-ES"/>
        </w:rPr>
        <w:t>texto)</w:t>
      </w:r>
    </w:p>
    <w:p w14:paraId="1C4CFA76" w14:textId="77777777" w:rsidR="00917720" w:rsidRPr="003C27C6" w:rsidRDefault="00917720" w:rsidP="00917720">
      <w:pPr>
        <w:widowControl w:val="0"/>
        <w:autoSpaceDE w:val="0"/>
        <w:autoSpaceDN w:val="0"/>
        <w:spacing w:before="8"/>
        <w:rPr>
          <w:rFonts w:ascii="Arial" w:eastAsia="Arial" w:hAnsi="Arial" w:cs="Arial"/>
          <w:color w:val="000000" w:themeColor="text1"/>
          <w:sz w:val="26"/>
          <w:szCs w:val="22"/>
          <w:lang w:eastAsia="es-ES" w:bidi="es-ES"/>
        </w:rPr>
      </w:pPr>
    </w:p>
    <w:p w14:paraId="6728635E" w14:textId="5079D183" w:rsidR="00E552DD" w:rsidRPr="003C27C6" w:rsidRDefault="00917720" w:rsidP="00530DFE">
      <w:pPr>
        <w:spacing w:line="276" w:lineRule="auto"/>
        <w:ind w:firstLine="708"/>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 xml:space="preserve">Por lo tanto, </w:t>
      </w:r>
      <w:bookmarkStart w:id="17" w:name="_Hlk75780333"/>
      <w:bookmarkStart w:id="18" w:name="_Hlk79762439"/>
      <w:r w:rsidRPr="003C27C6">
        <w:rPr>
          <w:rFonts w:ascii="Arial" w:eastAsia="Arial" w:hAnsi="Arial" w:cs="Arial"/>
          <w:color w:val="000000" w:themeColor="text1"/>
          <w:sz w:val="22"/>
          <w:szCs w:val="22"/>
          <w:lang w:val="es-ES" w:eastAsia="es-ES" w:bidi="es-ES"/>
        </w:rPr>
        <w:t xml:space="preserve">la Ley 996 de 2005 regula dos tipos de restricciones en materia de contratación, </w:t>
      </w:r>
      <w:r w:rsidR="00C23926" w:rsidRPr="003C27C6">
        <w:rPr>
          <w:rFonts w:ascii="Arial" w:eastAsia="Arial" w:hAnsi="Arial" w:cs="Arial"/>
          <w:color w:val="000000" w:themeColor="text1"/>
          <w:sz w:val="22"/>
          <w:szCs w:val="22"/>
          <w:lang w:val="es-ES" w:eastAsia="es-ES" w:bidi="es-ES"/>
        </w:rPr>
        <w:t>a saber</w:t>
      </w:r>
      <w:r w:rsidRPr="003C27C6">
        <w:rPr>
          <w:rFonts w:ascii="Arial" w:eastAsia="Arial" w:hAnsi="Arial" w:cs="Arial"/>
          <w:color w:val="000000" w:themeColor="text1"/>
          <w:sz w:val="22"/>
          <w:szCs w:val="22"/>
          <w:lang w:val="es-ES" w:eastAsia="es-ES" w:bidi="es-ES"/>
        </w:rPr>
        <w:t xml:space="preserve">: i) </w:t>
      </w:r>
      <w:r w:rsidR="001459D2" w:rsidRPr="003C27C6">
        <w:rPr>
          <w:rFonts w:ascii="Arial" w:eastAsia="Arial" w:hAnsi="Arial" w:cs="Arial"/>
          <w:color w:val="000000" w:themeColor="text1"/>
          <w:sz w:val="22"/>
          <w:szCs w:val="22"/>
          <w:lang w:val="es-ES" w:eastAsia="es-ES" w:bidi="es-ES"/>
        </w:rPr>
        <w:t>l</w:t>
      </w:r>
      <w:r w:rsidRPr="003C27C6">
        <w:rPr>
          <w:rFonts w:ascii="Arial" w:eastAsia="Arial" w:hAnsi="Arial" w:cs="Arial"/>
          <w:color w:val="000000" w:themeColor="text1"/>
          <w:sz w:val="22"/>
          <w:szCs w:val="22"/>
          <w:lang w:val="es-ES" w:eastAsia="es-ES" w:bidi="es-ES"/>
        </w:rPr>
        <w:t xml:space="preserve">a del artículo 33 que opera solo respecto de las elecciones presidenciales, en virtud de la cual queda proscrita </w:t>
      </w:r>
      <w:r w:rsidRPr="003C27C6">
        <w:rPr>
          <w:rFonts w:ascii="Arial" w:eastAsia="Calibri" w:hAnsi="Arial" w:cs="Arial"/>
          <w:color w:val="000000" w:themeColor="text1"/>
          <w:sz w:val="22"/>
          <w:szCs w:val="22"/>
          <w:lang w:eastAsia="en-US"/>
        </w:rPr>
        <w:t xml:space="preserve">la </w:t>
      </w:r>
      <w:r w:rsidRPr="003C27C6">
        <w:rPr>
          <w:rFonts w:ascii="Arial" w:eastAsia="Calibri" w:hAnsi="Arial" w:cs="Arial"/>
          <w:i/>
          <w:iCs/>
          <w:color w:val="000000" w:themeColor="text1"/>
          <w:sz w:val="22"/>
          <w:szCs w:val="22"/>
          <w:lang w:eastAsia="en-US"/>
        </w:rPr>
        <w:t>contratación directa</w:t>
      </w:r>
      <w:r w:rsidRPr="003C27C6">
        <w:rPr>
          <w:rFonts w:ascii="Arial" w:eastAsia="Calibri" w:hAnsi="Arial" w:cs="Arial"/>
          <w:color w:val="000000" w:themeColor="text1"/>
          <w:sz w:val="22"/>
          <w:szCs w:val="22"/>
          <w:lang w:eastAsia="en-US"/>
        </w:rPr>
        <w:t xml:space="preserve"> por parte de todos los entes del Estado</w:t>
      </w:r>
      <w:r w:rsidR="00E552DD" w:rsidRPr="003C27C6">
        <w:rPr>
          <w:rFonts w:ascii="Arial" w:eastAsia="Calibri" w:hAnsi="Arial" w:cs="Arial"/>
          <w:color w:val="000000" w:themeColor="text1"/>
          <w:sz w:val="22"/>
          <w:szCs w:val="22"/>
          <w:lang w:eastAsia="en-US"/>
        </w:rPr>
        <w:t>, independiente de su régimen jurídico,</w:t>
      </w:r>
      <w:r w:rsidRPr="003C27C6">
        <w:rPr>
          <w:rFonts w:ascii="Arial" w:eastAsia="Arial" w:hAnsi="Arial" w:cs="Arial"/>
          <w:color w:val="000000" w:themeColor="text1"/>
          <w:sz w:val="22"/>
          <w:szCs w:val="22"/>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w:t>
      </w:r>
      <w:r w:rsidR="000A0A18" w:rsidRPr="003C27C6">
        <w:rPr>
          <w:rFonts w:ascii="Arial" w:eastAsia="Arial" w:hAnsi="Arial" w:cs="Arial"/>
          <w:color w:val="000000" w:themeColor="text1"/>
          <w:sz w:val="22"/>
          <w:szCs w:val="22"/>
          <w:lang w:val="es-ES" w:eastAsia="es-ES" w:bidi="es-ES"/>
        </w:rPr>
        <w:t xml:space="preserve">e se realice esa segunda vuelta; y </w:t>
      </w:r>
      <w:proofErr w:type="spellStart"/>
      <w:r w:rsidRPr="003C27C6">
        <w:rPr>
          <w:rFonts w:ascii="Arial" w:eastAsia="Arial" w:hAnsi="Arial" w:cs="Arial"/>
          <w:color w:val="000000" w:themeColor="text1"/>
          <w:sz w:val="22"/>
          <w:szCs w:val="22"/>
          <w:lang w:val="es-ES" w:eastAsia="es-ES" w:bidi="es-ES"/>
        </w:rPr>
        <w:t>ii</w:t>
      </w:r>
      <w:proofErr w:type="spellEnd"/>
      <w:r w:rsidRPr="003C27C6">
        <w:rPr>
          <w:rFonts w:ascii="Arial" w:eastAsia="Arial" w:hAnsi="Arial" w:cs="Arial"/>
          <w:color w:val="000000" w:themeColor="text1"/>
          <w:sz w:val="22"/>
          <w:szCs w:val="22"/>
          <w:lang w:val="es-ES" w:eastAsia="es-ES" w:bidi="es-ES"/>
        </w:rPr>
        <w:t xml:space="preserve">) </w:t>
      </w:r>
      <w:r w:rsidR="001459D2" w:rsidRPr="003C27C6">
        <w:rPr>
          <w:rFonts w:ascii="Arial" w:eastAsia="Arial" w:hAnsi="Arial" w:cs="Arial"/>
          <w:color w:val="000000" w:themeColor="text1"/>
          <w:sz w:val="22"/>
          <w:szCs w:val="22"/>
          <w:lang w:val="es-ES" w:eastAsia="es-ES" w:bidi="es-ES"/>
        </w:rPr>
        <w:t>l</w:t>
      </w:r>
      <w:r w:rsidRPr="003C27C6">
        <w:rPr>
          <w:rFonts w:ascii="Arial" w:eastAsia="Arial" w:hAnsi="Arial" w:cs="Arial"/>
          <w:color w:val="000000" w:themeColor="text1"/>
          <w:sz w:val="22"/>
          <w:szCs w:val="22"/>
          <w:lang w:val="es-ES" w:eastAsia="es-ES" w:bidi="es-ES"/>
        </w:rPr>
        <w:t>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r w:rsidR="001459D2" w:rsidRPr="003C27C6">
        <w:rPr>
          <w:rFonts w:ascii="Arial" w:eastAsia="Arial" w:hAnsi="Arial" w:cs="Arial"/>
          <w:color w:val="000000" w:themeColor="text1"/>
          <w:sz w:val="22"/>
          <w:szCs w:val="22"/>
          <w:lang w:val="es-ES" w:eastAsia="es-ES" w:bidi="es-ES"/>
        </w:rPr>
        <w:t>, en relación con las autoridades señaladas en dicha disposición.</w:t>
      </w:r>
      <w:bookmarkEnd w:id="17"/>
      <w:bookmarkEnd w:id="18"/>
    </w:p>
    <w:p w14:paraId="137904BD" w14:textId="77777777" w:rsidR="00E552DD" w:rsidRPr="003C27C6" w:rsidRDefault="00E552DD">
      <w:pPr>
        <w:widowControl w:val="0"/>
        <w:autoSpaceDE w:val="0"/>
        <w:autoSpaceDN w:val="0"/>
        <w:ind w:right="709"/>
        <w:jc w:val="both"/>
        <w:rPr>
          <w:rFonts w:ascii="Arial" w:eastAsia="Arial" w:hAnsi="Arial" w:cs="Arial"/>
          <w:color w:val="000000"/>
          <w:sz w:val="21"/>
          <w:szCs w:val="21"/>
          <w:lang w:val="es-ES" w:eastAsia="en-US"/>
        </w:rPr>
      </w:pPr>
    </w:p>
    <w:p w14:paraId="3C0EA746" w14:textId="77777777" w:rsidR="00B540D4" w:rsidRPr="003C27C6" w:rsidRDefault="00B540D4" w:rsidP="00B540D4">
      <w:pPr>
        <w:spacing w:after="200" w:line="276" w:lineRule="auto"/>
        <w:jc w:val="both"/>
        <w:rPr>
          <w:rFonts w:ascii="Arial" w:hAnsi="Arial" w:cs="Arial"/>
          <w:b/>
          <w:bCs/>
          <w:color w:val="000000" w:themeColor="text1"/>
          <w:sz w:val="22"/>
          <w:szCs w:val="22"/>
          <w:lang w:val="es-MX" w:eastAsia="es-CO"/>
        </w:rPr>
      </w:pPr>
      <w:bookmarkStart w:id="19" w:name="_Hlk77153296"/>
      <w:r w:rsidRPr="003C27C6">
        <w:rPr>
          <w:rFonts w:ascii="Arial" w:eastAsiaTheme="minorHAnsi" w:hAnsi="Arial" w:cs="Arial"/>
          <w:b/>
          <w:bCs/>
          <w:color w:val="000000" w:themeColor="text1"/>
          <w:sz w:val="22"/>
          <w:szCs w:val="22"/>
          <w:lang w:val="es-MX" w:eastAsia="en-US"/>
        </w:rPr>
        <w:t xml:space="preserve">2.3. </w:t>
      </w:r>
      <w:r w:rsidRPr="003C27C6">
        <w:rPr>
          <w:rFonts w:ascii="Arial" w:hAnsi="Arial" w:cs="Arial"/>
          <w:b/>
          <w:bCs/>
          <w:color w:val="000000" w:themeColor="text1"/>
          <w:sz w:val="22"/>
          <w:szCs w:val="22"/>
          <w:lang w:val="es-MX" w:eastAsia="es-CO"/>
        </w:rPr>
        <w:t xml:space="preserve">Restricciones </w:t>
      </w:r>
      <w:bookmarkStart w:id="20" w:name="_Hlk75643279"/>
      <w:r w:rsidRPr="003C27C6">
        <w:rPr>
          <w:rFonts w:ascii="Arial" w:hAnsi="Arial" w:cs="Arial"/>
          <w:b/>
          <w:bCs/>
          <w:color w:val="000000" w:themeColor="text1"/>
          <w:sz w:val="22"/>
          <w:szCs w:val="22"/>
          <w:lang w:val="es-MX" w:eastAsia="es-CO"/>
        </w:rPr>
        <w:t xml:space="preserve">para la celebración de contratos y convenios interadministrativos en los comicios de cargos de elección popular </w:t>
      </w:r>
    </w:p>
    <w:p w14:paraId="19340E09" w14:textId="18D309CC" w:rsidR="00B540D4" w:rsidRPr="003C27C6" w:rsidRDefault="00B540D4" w:rsidP="00B540D4">
      <w:pPr>
        <w:spacing w:after="200" w:line="276" w:lineRule="auto"/>
        <w:jc w:val="both"/>
        <w:rPr>
          <w:rFonts w:ascii="Arial" w:eastAsiaTheme="minorHAnsi" w:hAnsi="Arial" w:cs="Arial"/>
          <w:color w:val="000000" w:themeColor="text1"/>
          <w:sz w:val="22"/>
          <w:szCs w:val="22"/>
          <w:lang w:val="es-MX" w:eastAsia="en-US"/>
        </w:rPr>
      </w:pPr>
      <w:r w:rsidRPr="003C27C6">
        <w:rPr>
          <w:rFonts w:ascii="Arial" w:hAnsi="Arial" w:cs="Arial"/>
          <w:color w:val="000000" w:themeColor="text1"/>
          <w:sz w:val="22"/>
          <w:szCs w:val="22"/>
          <w:lang w:val="es-MX" w:eastAsia="es-CO"/>
        </w:rPr>
        <w:t>Esta Agencia se ha pronunciado en distintas ocasiones frente al alcance de la prohibición de celebrar contratos o convenios interadministrativos en el periodo preelectoral para comicio</w:t>
      </w:r>
      <w:r w:rsidR="009B7A5C" w:rsidRPr="003C27C6">
        <w:rPr>
          <w:rFonts w:ascii="Arial" w:hAnsi="Arial" w:cs="Arial"/>
          <w:color w:val="000000" w:themeColor="text1"/>
          <w:sz w:val="22"/>
          <w:szCs w:val="22"/>
          <w:lang w:val="es-MX" w:eastAsia="es-CO"/>
        </w:rPr>
        <w:t>s de cargos de elección popular</w:t>
      </w:r>
      <w:r w:rsidR="0087367D" w:rsidRPr="003C27C6">
        <w:rPr>
          <w:rFonts w:ascii="Arial" w:hAnsi="Arial" w:cs="Arial"/>
          <w:color w:val="000000" w:themeColor="text1"/>
          <w:sz w:val="22"/>
          <w:szCs w:val="22"/>
          <w:lang w:val="es-MX" w:eastAsia="es-CO"/>
        </w:rPr>
        <w:t>. Al respecto, conviene reiterar las siguientes ideas:</w:t>
      </w:r>
    </w:p>
    <w:bookmarkEnd w:id="19"/>
    <w:bookmarkEnd w:id="20"/>
    <w:p w14:paraId="7D0B2E6E" w14:textId="725EE1B2" w:rsidR="00B540D4" w:rsidRPr="003C27C6" w:rsidRDefault="00B540D4" w:rsidP="00B540D4">
      <w:pPr>
        <w:jc w:val="both"/>
        <w:rPr>
          <w:rFonts w:ascii="Arial" w:eastAsia="Calibri" w:hAnsi="Arial" w:cs="Arial"/>
          <w:b/>
          <w:color w:val="000000" w:themeColor="text1"/>
          <w:sz w:val="22"/>
          <w:szCs w:val="22"/>
          <w:lang w:val="es-MX" w:eastAsia="en-US"/>
        </w:rPr>
      </w:pPr>
      <w:r w:rsidRPr="003C27C6">
        <w:rPr>
          <w:rFonts w:ascii="Arial" w:eastAsia="Calibri" w:hAnsi="Arial" w:cs="Arial"/>
          <w:b/>
          <w:color w:val="000000" w:themeColor="text1"/>
          <w:sz w:val="22"/>
          <w:szCs w:val="22"/>
          <w:lang w:val="es-MX" w:eastAsia="en-US"/>
        </w:rPr>
        <w:t xml:space="preserve">2.3.1. </w:t>
      </w:r>
      <w:r w:rsidR="00812457" w:rsidRPr="003C27C6">
        <w:rPr>
          <w:rFonts w:ascii="Arial" w:eastAsia="Calibri" w:hAnsi="Arial" w:cs="Arial"/>
          <w:b/>
          <w:color w:val="000000" w:themeColor="text1"/>
          <w:sz w:val="22"/>
          <w:szCs w:val="22"/>
          <w:lang w:val="es-MX" w:eastAsia="en-US"/>
        </w:rPr>
        <w:t xml:space="preserve">Alcance del concepto de </w:t>
      </w:r>
      <w:r w:rsidR="00812457" w:rsidRPr="003C27C6">
        <w:rPr>
          <w:rFonts w:ascii="Arial" w:hAnsi="Arial" w:cs="Arial"/>
          <w:b/>
          <w:bCs/>
          <w:color w:val="000000" w:themeColor="text1"/>
          <w:sz w:val="22"/>
          <w:szCs w:val="22"/>
          <w:lang w:val="es-MX" w:eastAsia="en-US"/>
        </w:rPr>
        <w:t>contratos y</w:t>
      </w:r>
      <w:r w:rsidRPr="003C27C6">
        <w:rPr>
          <w:rFonts w:ascii="Arial" w:hAnsi="Arial" w:cs="Arial"/>
          <w:b/>
          <w:bCs/>
          <w:color w:val="000000" w:themeColor="text1"/>
          <w:sz w:val="22"/>
          <w:szCs w:val="22"/>
          <w:lang w:val="es-MX" w:eastAsia="en-US"/>
        </w:rPr>
        <w:t xml:space="preserve"> convenios interadministrativos</w:t>
      </w:r>
    </w:p>
    <w:p w14:paraId="310136E3" w14:textId="77777777" w:rsidR="00B540D4" w:rsidRPr="003C27C6" w:rsidRDefault="00B540D4" w:rsidP="00B540D4">
      <w:pPr>
        <w:widowControl w:val="0"/>
        <w:autoSpaceDE w:val="0"/>
        <w:autoSpaceDN w:val="0"/>
        <w:spacing w:line="276" w:lineRule="auto"/>
        <w:jc w:val="both"/>
        <w:rPr>
          <w:rFonts w:ascii="Arial" w:eastAsia="Calibri" w:hAnsi="Arial" w:cs="Arial"/>
          <w:b/>
          <w:color w:val="000000" w:themeColor="text1"/>
          <w:sz w:val="22"/>
          <w:szCs w:val="22"/>
          <w:lang w:val="es-MX" w:eastAsia="en-US"/>
        </w:rPr>
      </w:pPr>
    </w:p>
    <w:p w14:paraId="16A35EEF" w14:textId="77777777" w:rsidR="00B540D4" w:rsidRPr="003C27C6" w:rsidRDefault="00B540D4" w:rsidP="00B540D4">
      <w:pPr>
        <w:pStyle w:val="Textoindependiente"/>
        <w:spacing w:after="0"/>
        <w:ind w:right="113"/>
        <w:jc w:val="both"/>
        <w:rPr>
          <w:rFonts w:ascii="Arial" w:hAnsi="Arial" w:cs="Arial"/>
          <w:color w:val="000000" w:themeColor="text1"/>
        </w:rPr>
      </w:pPr>
      <w:bookmarkStart w:id="21" w:name="_Hlk67426494"/>
      <w:r w:rsidRPr="003C27C6">
        <w:rPr>
          <w:rFonts w:ascii="Arial" w:hAnsi="Arial" w:cs="Arial"/>
          <w:color w:val="000000" w:themeColor="text1"/>
        </w:rPr>
        <w:t>Un contrato o una convención es un acuerdo de voluntades entre dos o más partes generadora de obligaciones, ya sea de dar, hacer o no hacer algo. Dicho acuerdo es ley para los extremos de la relación contractual, por lo que solo podrá ser invalidado por su consentimiento mutuo o por causas legales</w:t>
      </w:r>
      <w:r w:rsidRPr="003C27C6">
        <w:rPr>
          <w:rStyle w:val="Refdenotaalpie"/>
          <w:rFonts w:ascii="Arial" w:hAnsi="Arial" w:cs="Arial"/>
          <w:color w:val="000000" w:themeColor="text1"/>
        </w:rPr>
        <w:footnoteReference w:id="9"/>
      </w:r>
      <w:r w:rsidRPr="003C27C6">
        <w:rPr>
          <w:rFonts w:ascii="Arial" w:hAnsi="Arial" w:cs="Arial"/>
          <w:color w:val="000000" w:themeColor="text1"/>
        </w:rPr>
        <w:t xml:space="preserve">. Con respecto al contrato estatal se señala que es un acuerdo de voluntades, que tiene sustantividad propia y diferente a la de los contratos civiles o comerciales, donde una de las partes es una entidad estatal, teniendo en cuenta lo definido en el artículo 32 de la Ley 80 de 1993: </w:t>
      </w:r>
    </w:p>
    <w:p w14:paraId="147DC0B5" w14:textId="77777777" w:rsidR="00B540D4" w:rsidRPr="003C27C6" w:rsidRDefault="00B540D4" w:rsidP="00B540D4">
      <w:pPr>
        <w:pStyle w:val="Textoindependiente"/>
        <w:spacing w:after="0"/>
        <w:ind w:right="111"/>
        <w:jc w:val="both"/>
        <w:rPr>
          <w:rFonts w:ascii="Arial" w:hAnsi="Arial" w:cs="Arial"/>
          <w:color w:val="000000" w:themeColor="text1"/>
        </w:rPr>
      </w:pPr>
    </w:p>
    <w:p w14:paraId="375696FA" w14:textId="77777777" w:rsidR="00B540D4" w:rsidRPr="003C27C6" w:rsidRDefault="00B540D4" w:rsidP="00B540D4">
      <w:pPr>
        <w:pStyle w:val="Textoindependiente"/>
        <w:spacing w:after="0" w:line="240" w:lineRule="auto"/>
        <w:ind w:left="709" w:right="709"/>
        <w:jc w:val="both"/>
        <w:rPr>
          <w:rFonts w:ascii="Arial" w:hAnsi="Arial" w:cs="Arial"/>
          <w:color w:val="000000" w:themeColor="text1"/>
          <w:sz w:val="21"/>
          <w:szCs w:val="21"/>
        </w:rPr>
      </w:pPr>
      <w:r w:rsidRPr="003C27C6">
        <w:rPr>
          <w:rFonts w:ascii="Arial" w:hAnsi="Arial" w:cs="Arial"/>
          <w:color w:val="000000" w:themeColor="text1"/>
          <w:sz w:val="21"/>
          <w:szCs w:val="21"/>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0FEAC9A4" w14:textId="77777777" w:rsidR="00B540D4" w:rsidRPr="003C27C6" w:rsidRDefault="00B540D4" w:rsidP="00B540D4">
      <w:pPr>
        <w:pStyle w:val="Textoindependiente"/>
        <w:spacing w:after="0" w:line="240" w:lineRule="auto"/>
        <w:ind w:left="709" w:right="709"/>
        <w:jc w:val="both"/>
        <w:rPr>
          <w:rFonts w:ascii="Arial" w:hAnsi="Arial" w:cs="Arial"/>
          <w:color w:val="000000" w:themeColor="text1"/>
          <w:sz w:val="21"/>
          <w:szCs w:val="21"/>
        </w:rPr>
      </w:pPr>
    </w:p>
    <w:p w14:paraId="3D4663BB" w14:textId="77777777" w:rsidR="00B540D4" w:rsidRPr="003C27C6" w:rsidRDefault="00B540D4" w:rsidP="00B540D4">
      <w:pPr>
        <w:spacing w:after="120" w:line="276" w:lineRule="auto"/>
        <w:jc w:val="both"/>
        <w:rPr>
          <w:rFonts w:ascii="Arial" w:hAnsi="Arial" w:cs="Arial"/>
          <w:color w:val="000000" w:themeColor="text1"/>
          <w:sz w:val="22"/>
          <w:szCs w:val="22"/>
        </w:rPr>
      </w:pPr>
      <w:r w:rsidRPr="003C27C6">
        <w:rPr>
          <w:rFonts w:ascii="Arial" w:hAnsi="Arial" w:cs="Arial"/>
          <w:color w:val="000000" w:themeColor="text1"/>
        </w:rPr>
        <w:tab/>
      </w:r>
      <w:r w:rsidRPr="003C27C6">
        <w:rPr>
          <w:rFonts w:ascii="Arial" w:hAnsi="Arial" w:cs="Arial"/>
          <w:color w:val="000000" w:themeColor="text1"/>
          <w:sz w:val="22"/>
          <w:szCs w:val="22"/>
        </w:rPr>
        <w:t>Un sector de la doctrina, con referencia al contrato estatal, señala lo siguiente: «(…) la denominación de “contrato estatal”, se acoge el criterio orgánico para su distinción, con lo cual, en adelante, sólo interesará, para determinar su naturaleza, que una de las partes del contrato sea una Entidad Estatal de la que define el artículo 2° de la Ley 80 de 1993, independientemente del régimen privado o administrativo por el que haya de regirse»</w:t>
      </w:r>
      <w:r w:rsidRPr="003C27C6">
        <w:rPr>
          <w:rStyle w:val="Refdenotaalpie"/>
          <w:rFonts w:ascii="Arial" w:hAnsi="Arial" w:cs="Arial"/>
          <w:color w:val="000000" w:themeColor="text1"/>
          <w:sz w:val="22"/>
          <w:szCs w:val="22"/>
        </w:rPr>
        <w:footnoteReference w:id="10"/>
      </w:r>
      <w:r w:rsidRPr="003C27C6">
        <w:rPr>
          <w:rFonts w:ascii="Arial" w:hAnsi="Arial" w:cs="Arial"/>
          <w:color w:val="000000" w:themeColor="text1"/>
          <w:sz w:val="22"/>
          <w:szCs w:val="22"/>
        </w:rPr>
        <w:t xml:space="preserve">. Este concepto parte del criterio orgánico, en el que se considera que un contrato estatal tiene esa calidad cuando una de las partes es una entidad pública. Es decir, un contrato estatal es cualquier acto jurídico generador de obligaciones que celebren las entidades estatales a las que dicha Ley se refiere, previstos en el derecho privado o derivados del ejercicio de la autonomía de la voluntad. Además, la Ley 80 de 1993 también facultó de manera expresa a las entidades estatales para celebrar contratos y los demás </w:t>
      </w:r>
      <w:r w:rsidRPr="003C27C6">
        <w:rPr>
          <w:rFonts w:ascii="Arial" w:hAnsi="Arial" w:cs="Arial"/>
          <w:i/>
          <w:color w:val="000000" w:themeColor="text1"/>
          <w:sz w:val="22"/>
          <w:szCs w:val="22"/>
        </w:rPr>
        <w:t xml:space="preserve">acuerdos que permitan la autonomía de la voluntad </w:t>
      </w:r>
      <w:r w:rsidRPr="003C27C6">
        <w:rPr>
          <w:rFonts w:ascii="Arial" w:hAnsi="Arial" w:cs="Arial"/>
          <w:color w:val="000000" w:themeColor="text1"/>
          <w:sz w:val="22"/>
          <w:szCs w:val="22"/>
        </w:rPr>
        <w:t>y requieran el cumplimiento de los fines estatales, así como la continua y eficiente prestación de servicios públicos</w:t>
      </w:r>
      <w:r w:rsidRPr="003C27C6">
        <w:rPr>
          <w:rStyle w:val="Refdenotaalpie"/>
          <w:rFonts w:ascii="Arial" w:hAnsi="Arial" w:cs="Arial"/>
          <w:color w:val="000000" w:themeColor="text1"/>
          <w:sz w:val="22"/>
          <w:szCs w:val="22"/>
        </w:rPr>
        <w:footnoteReference w:id="11"/>
      </w:r>
      <w:r w:rsidRPr="003C27C6">
        <w:rPr>
          <w:rFonts w:ascii="Arial" w:hAnsi="Arial" w:cs="Arial"/>
          <w:color w:val="000000" w:themeColor="text1"/>
          <w:sz w:val="22"/>
          <w:szCs w:val="22"/>
        </w:rPr>
        <w:t>.</w:t>
      </w:r>
    </w:p>
    <w:p w14:paraId="506CDDE4" w14:textId="7D2AFAF3" w:rsidR="00B540D4" w:rsidRPr="003C27C6" w:rsidRDefault="00B540D4" w:rsidP="00B540D4">
      <w:pPr>
        <w:pStyle w:val="Textoindependiente"/>
        <w:ind w:right="107"/>
        <w:jc w:val="both"/>
        <w:rPr>
          <w:rFonts w:ascii="Arial" w:hAnsi="Arial" w:cs="Arial"/>
          <w:color w:val="000000" w:themeColor="text1"/>
        </w:rPr>
      </w:pPr>
      <w:r w:rsidRPr="003C27C6">
        <w:rPr>
          <w:rFonts w:ascii="Arial" w:hAnsi="Arial" w:cs="Arial"/>
          <w:color w:val="000000" w:themeColor="text1"/>
        </w:rPr>
        <w:tab/>
        <w:t>Lo anterior implica que las entidades estatales que se rigen por la Ley 80 de 1993, en virtud de la autonomía de la voluntad, pueden celebrar todos los acuerdos, denomínese contrato, convención, convenio, entre otros, que requieran para la materialización de sus objetivos misionales y consecuentemente los fines estatales. Entre otras cosas, porque</w:t>
      </w:r>
      <w:r w:rsidR="00535858" w:rsidRPr="003C27C6">
        <w:rPr>
          <w:rFonts w:ascii="Arial" w:hAnsi="Arial" w:cs="Arial"/>
          <w:color w:val="000000" w:themeColor="text1"/>
        </w:rPr>
        <w:t>,</w:t>
      </w:r>
      <w:r w:rsidRPr="003C27C6">
        <w:rPr>
          <w:rFonts w:ascii="Arial" w:hAnsi="Arial" w:cs="Arial"/>
          <w:color w:val="000000" w:themeColor="text1"/>
        </w:rPr>
        <w:t xml:space="preserve"> de acuerdo con la Constitución Política</w:t>
      </w:r>
      <w:r w:rsidR="00535858" w:rsidRPr="003C27C6">
        <w:rPr>
          <w:rFonts w:ascii="Arial" w:hAnsi="Arial" w:cs="Arial"/>
          <w:color w:val="000000" w:themeColor="text1"/>
        </w:rPr>
        <w:t>,</w:t>
      </w:r>
      <w:r w:rsidRPr="003C27C6">
        <w:rPr>
          <w:rFonts w:ascii="Arial" w:hAnsi="Arial" w:cs="Arial"/>
          <w:color w:val="000000" w:themeColor="text1"/>
        </w:rPr>
        <w:t xml:space="preserve"> la función administrativa está al servicio</w:t>
      </w:r>
      <w:r w:rsidR="003B5545" w:rsidRPr="003C27C6">
        <w:rPr>
          <w:rFonts w:ascii="Arial" w:hAnsi="Arial" w:cs="Arial"/>
          <w:color w:val="000000" w:themeColor="text1"/>
        </w:rPr>
        <w:t xml:space="preserve"> del interés general</w:t>
      </w:r>
      <w:r w:rsidRPr="003C27C6">
        <w:rPr>
          <w:rFonts w:ascii="Arial" w:hAnsi="Arial" w:cs="Arial"/>
          <w:color w:val="000000" w:themeColor="text1"/>
        </w:rPr>
        <w:t xml:space="preserve">, </w:t>
      </w:r>
      <w:proofErr w:type="gramStart"/>
      <w:r w:rsidRPr="003C27C6">
        <w:rPr>
          <w:rFonts w:ascii="Arial" w:hAnsi="Arial" w:cs="Arial"/>
          <w:color w:val="000000" w:themeColor="text1"/>
        </w:rPr>
        <w:t>y</w:t>
      </w:r>
      <w:proofErr w:type="gramEnd"/>
      <w:r w:rsidRPr="003C27C6">
        <w:rPr>
          <w:rFonts w:ascii="Arial" w:hAnsi="Arial" w:cs="Arial"/>
          <w:color w:val="000000" w:themeColor="text1"/>
        </w:rPr>
        <w:t xml:space="preserve"> </w:t>
      </w:r>
      <w:r w:rsidR="003B5545" w:rsidRPr="003C27C6">
        <w:rPr>
          <w:rFonts w:ascii="Arial" w:hAnsi="Arial" w:cs="Arial"/>
          <w:color w:val="000000" w:themeColor="text1"/>
        </w:rPr>
        <w:t xml:space="preserve">por tanto, </w:t>
      </w:r>
      <w:r w:rsidRPr="003C27C6">
        <w:rPr>
          <w:rFonts w:ascii="Arial" w:hAnsi="Arial" w:cs="Arial"/>
          <w:color w:val="000000" w:themeColor="text1"/>
        </w:rPr>
        <w:t>las autoridades administrativas tienen la obligación de coordinar sus actuaciones con la finalidad de lograr el adecuado cumplimiento de los fines del Estado</w:t>
      </w:r>
      <w:r w:rsidRPr="003C27C6">
        <w:rPr>
          <w:rStyle w:val="Refdenotaalpie"/>
          <w:rFonts w:ascii="Arial" w:hAnsi="Arial" w:cs="Arial"/>
          <w:color w:val="000000" w:themeColor="text1"/>
        </w:rPr>
        <w:footnoteReference w:id="12"/>
      </w:r>
      <w:r w:rsidRPr="003C27C6">
        <w:rPr>
          <w:rFonts w:ascii="Arial" w:hAnsi="Arial" w:cs="Arial"/>
          <w:color w:val="000000" w:themeColor="text1"/>
        </w:rPr>
        <w:t>.</w:t>
      </w:r>
    </w:p>
    <w:p w14:paraId="7B894F50" w14:textId="77777777" w:rsidR="00B540D4" w:rsidRPr="003C27C6" w:rsidRDefault="00B540D4" w:rsidP="00B540D4">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 xml:space="preserve">Ahora bien, </w:t>
      </w:r>
      <w:bookmarkStart w:id="22" w:name="_Hlk80948738"/>
      <w:r w:rsidRPr="003C27C6">
        <w:rPr>
          <w:rFonts w:ascii="Arial" w:eastAsia="Arial" w:hAnsi="Arial" w:cs="Arial"/>
          <w:color w:val="000000" w:themeColor="text1"/>
          <w:sz w:val="22"/>
          <w:szCs w:val="22"/>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3C27C6">
        <w:rPr>
          <w:rFonts w:ascii="Arial" w:eastAsia="Arial" w:hAnsi="Arial" w:cs="Arial"/>
          <w:color w:val="000000" w:themeColor="text1"/>
          <w:sz w:val="22"/>
          <w:szCs w:val="22"/>
          <w:vertAlign w:val="superscript"/>
          <w:lang w:val="es-ES" w:eastAsia="es-ES" w:bidi="es-ES"/>
        </w:rPr>
        <w:footnoteReference w:id="13"/>
      </w:r>
      <w:r w:rsidRPr="003C27C6">
        <w:rPr>
          <w:rFonts w:ascii="Arial" w:eastAsia="Arial" w:hAnsi="Arial" w:cs="Arial"/>
          <w:color w:val="000000" w:themeColor="text1"/>
          <w:sz w:val="22"/>
          <w:szCs w:val="22"/>
          <w:lang w:val="es-ES" w:eastAsia="es-ES" w:bidi="es-ES"/>
        </w:rPr>
        <w:t>.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3C27C6">
        <w:rPr>
          <w:rFonts w:ascii="Arial" w:eastAsia="Arial" w:hAnsi="Arial" w:cs="Arial"/>
          <w:color w:val="000000" w:themeColor="text1"/>
          <w:spacing w:val="-6"/>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estatales.</w:t>
      </w:r>
    </w:p>
    <w:bookmarkEnd w:id="21"/>
    <w:bookmarkEnd w:id="22"/>
    <w:p w14:paraId="5DB4A7F2" w14:textId="77777777" w:rsidR="00B540D4" w:rsidRPr="003C27C6" w:rsidRDefault="00B540D4" w:rsidP="00B540D4">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Si bien los contratos o convenios interadministrativos están previstos en el Estatuto General de Contratación de la Administración Pública –en adelante también EGCAP–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55093C66" w14:textId="732B92F9" w:rsidR="00B540D4" w:rsidRPr="003C27C6" w:rsidRDefault="00B540D4" w:rsidP="00E84999">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3C27C6">
        <w:rPr>
          <w:rFonts w:ascii="Arial" w:eastAsia="Arial" w:hAnsi="Arial" w:cs="Arial"/>
          <w:color w:val="000000" w:themeColor="text1"/>
          <w:sz w:val="22"/>
          <w:szCs w:val="22"/>
          <w:vertAlign w:val="superscript"/>
          <w:lang w:val="es-ES" w:eastAsia="es-ES" w:bidi="es-ES"/>
        </w:rPr>
        <w:footnoteReference w:id="14"/>
      </w:r>
      <w:r w:rsidRPr="003C27C6">
        <w:rPr>
          <w:rFonts w:ascii="Arial" w:eastAsia="Arial" w:hAnsi="Arial" w:cs="Arial"/>
          <w:color w:val="000000" w:themeColor="text1"/>
          <w:sz w:val="22"/>
          <w:szCs w:val="22"/>
          <w:lang w:val="es-ES" w:eastAsia="es-ES" w:bidi="es-ES"/>
        </w:rPr>
        <w:t>. Nótese que, en este caso, lo que cambia es la modalidad de selección, no la naturaleza de contrato</w:t>
      </w:r>
      <w:r w:rsidRPr="003C27C6">
        <w:rPr>
          <w:rFonts w:ascii="Arial" w:eastAsia="Arial" w:hAnsi="Arial" w:cs="Arial"/>
          <w:color w:val="000000" w:themeColor="text1"/>
          <w:spacing w:val="-18"/>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interadministrativo.</w:t>
      </w:r>
      <w:r w:rsidR="00E84999" w:rsidRPr="003C27C6">
        <w:rPr>
          <w:rFonts w:ascii="Arial" w:eastAsia="Arial" w:hAnsi="Arial" w:cs="Arial"/>
          <w:color w:val="000000" w:themeColor="text1"/>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Así las cosas, esta clase de acuerdos de voluntades se definen por un criterio orgánico, por lo que uno de sus elementos esenciales es que en los extremos de la relación jurídic</w:t>
      </w:r>
      <w:r w:rsidR="00540210" w:rsidRPr="003C27C6">
        <w:rPr>
          <w:rFonts w:ascii="Arial" w:eastAsia="Arial" w:hAnsi="Arial" w:cs="Arial"/>
          <w:color w:val="000000" w:themeColor="text1"/>
          <w:sz w:val="22"/>
          <w:szCs w:val="22"/>
          <w:lang w:val="es-ES" w:eastAsia="es-ES" w:bidi="es-ES"/>
        </w:rPr>
        <w:t>a</w:t>
      </w:r>
      <w:r w:rsidRPr="003C27C6">
        <w:rPr>
          <w:rFonts w:ascii="Arial" w:eastAsia="Arial" w:hAnsi="Arial" w:cs="Arial"/>
          <w:color w:val="000000" w:themeColor="text1"/>
          <w:sz w:val="22"/>
          <w:szCs w:val="22"/>
          <w:lang w:val="es-ES" w:eastAsia="es-ES" w:bidi="es-ES"/>
        </w:rPr>
        <w:t xml:space="preserve"> negocial concurran personas de derecho público. Adicionalmente, el Consejo de Estado ha indicado, frente a los contratos y convenios interadministrativos sus características,</w:t>
      </w:r>
      <w:r w:rsidRPr="003C27C6">
        <w:rPr>
          <w:rFonts w:ascii="Arial" w:eastAsia="Arial" w:hAnsi="Arial" w:cs="Arial"/>
          <w:color w:val="000000" w:themeColor="text1"/>
          <w:spacing w:val="-13"/>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señalando que:</w:t>
      </w:r>
    </w:p>
    <w:p w14:paraId="5E5F0692" w14:textId="77777777" w:rsidR="00B540D4" w:rsidRPr="003C27C6" w:rsidRDefault="00B540D4" w:rsidP="00B540D4">
      <w:pPr>
        <w:widowControl w:val="0"/>
        <w:autoSpaceDE w:val="0"/>
        <w:autoSpaceDN w:val="0"/>
        <w:spacing w:line="276" w:lineRule="auto"/>
        <w:ind w:firstLine="707"/>
        <w:jc w:val="both"/>
        <w:rPr>
          <w:rFonts w:ascii="Arial" w:eastAsia="Arial" w:hAnsi="Arial" w:cs="Arial"/>
          <w:color w:val="000000" w:themeColor="text1"/>
          <w:sz w:val="22"/>
          <w:szCs w:val="22"/>
          <w:lang w:val="es-ES" w:eastAsia="es-ES" w:bidi="es-ES"/>
        </w:rPr>
      </w:pPr>
    </w:p>
    <w:p w14:paraId="7E8BEFFE" w14:textId="77777777" w:rsidR="00B540D4" w:rsidRPr="003C27C6" w:rsidRDefault="00B540D4" w:rsidP="00B540D4">
      <w:pPr>
        <w:spacing w:after="120"/>
        <w:ind w:left="709" w:right="709"/>
        <w:jc w:val="both"/>
        <w:rPr>
          <w:rFonts w:ascii="Arial" w:eastAsia="Calibri" w:hAnsi="Arial" w:cs="Arial"/>
          <w:color w:val="000000" w:themeColor="text1"/>
          <w:sz w:val="21"/>
          <w:szCs w:val="22"/>
          <w:lang w:val="es-MX" w:eastAsia="en-US"/>
        </w:rPr>
      </w:pPr>
      <w:r w:rsidRPr="003C27C6">
        <w:rPr>
          <w:rFonts w:ascii="Arial" w:eastAsia="Calibri" w:hAnsi="Arial" w:cs="Arial"/>
          <w:color w:val="000000" w:themeColor="text1"/>
          <w:sz w:val="21"/>
          <w:szCs w:val="22"/>
          <w:lang w:val="es-MX" w:eastAsia="en-US"/>
        </w:rPr>
        <w:t>[…] se puede señalar que los convenios o contratos interadministrativos tienen como características principales las siguientes:</w:t>
      </w:r>
    </w:p>
    <w:p w14:paraId="5982E51F" w14:textId="77777777" w:rsidR="00B540D4" w:rsidRPr="003C27C6" w:rsidRDefault="00B540D4" w:rsidP="00B540D4">
      <w:pPr>
        <w:ind w:left="709" w:right="709"/>
        <w:jc w:val="both"/>
        <w:rPr>
          <w:rFonts w:ascii="Arial" w:eastAsia="Calibri" w:hAnsi="Arial" w:cs="Arial"/>
          <w:color w:val="000000" w:themeColor="text1"/>
          <w:sz w:val="21"/>
          <w:szCs w:val="22"/>
          <w:lang w:val="es-MX" w:eastAsia="en-US"/>
        </w:rPr>
      </w:pPr>
      <w:r w:rsidRPr="003C27C6">
        <w:rPr>
          <w:rFonts w:ascii="Arial" w:eastAsia="Calibri" w:hAnsi="Arial" w:cs="Arial"/>
          <w:color w:val="000000" w:themeColor="text1"/>
          <w:sz w:val="21"/>
          <w:szCs w:val="22"/>
          <w:lang w:val="es-MX" w:eastAsia="en-US"/>
        </w:rPr>
        <w:t>constituyen verdaderos contratos en los términos del Código de Comercio cuando su objeto lo constituyen obligaciones patrimoniales; (</w:t>
      </w:r>
      <w:proofErr w:type="spellStart"/>
      <w:r w:rsidRPr="003C27C6">
        <w:rPr>
          <w:rFonts w:ascii="Arial" w:eastAsia="Calibri" w:hAnsi="Arial" w:cs="Arial"/>
          <w:color w:val="000000" w:themeColor="text1"/>
          <w:sz w:val="21"/>
          <w:szCs w:val="22"/>
          <w:lang w:val="es-MX" w:eastAsia="en-US"/>
        </w:rPr>
        <w:t>ii</w:t>
      </w:r>
      <w:proofErr w:type="spellEnd"/>
      <w:r w:rsidRPr="003C27C6">
        <w:rPr>
          <w:rFonts w:ascii="Arial" w:eastAsia="Calibri" w:hAnsi="Arial" w:cs="Arial"/>
          <w:color w:val="000000" w:themeColor="text1"/>
          <w:sz w:val="21"/>
          <w:szCs w:val="22"/>
          <w:lang w:val="es-MX" w:eastAsia="en-US"/>
        </w:rPr>
        <w:t>) tienen como fuente la autonomía contractual; (</w:t>
      </w:r>
      <w:proofErr w:type="spellStart"/>
      <w:r w:rsidRPr="003C27C6">
        <w:rPr>
          <w:rFonts w:ascii="Arial" w:eastAsia="Calibri" w:hAnsi="Arial" w:cs="Arial"/>
          <w:color w:val="000000" w:themeColor="text1"/>
          <w:sz w:val="21"/>
          <w:szCs w:val="22"/>
          <w:lang w:val="es-MX" w:eastAsia="en-US"/>
        </w:rPr>
        <w:t>iii</w:t>
      </w:r>
      <w:proofErr w:type="spellEnd"/>
      <w:r w:rsidRPr="003C27C6">
        <w:rPr>
          <w:rFonts w:ascii="Arial" w:eastAsia="Calibri" w:hAnsi="Arial" w:cs="Arial"/>
          <w:color w:val="000000" w:themeColor="text1"/>
          <w:sz w:val="21"/>
          <w:szCs w:val="22"/>
          <w:lang w:val="es-MX" w:eastAsia="en-US"/>
        </w:rPr>
        <w:t>) son contratos nominados puesto que están mencionados en la ley; (</w:t>
      </w:r>
      <w:proofErr w:type="spellStart"/>
      <w:r w:rsidRPr="003C27C6">
        <w:rPr>
          <w:rFonts w:ascii="Arial" w:eastAsia="Calibri" w:hAnsi="Arial" w:cs="Arial"/>
          <w:color w:val="000000" w:themeColor="text1"/>
          <w:sz w:val="21"/>
          <w:szCs w:val="22"/>
          <w:lang w:val="es-MX" w:eastAsia="en-US"/>
        </w:rPr>
        <w:t>iv</w:t>
      </w:r>
      <w:proofErr w:type="spellEnd"/>
      <w:r w:rsidRPr="003C27C6">
        <w:rPr>
          <w:rFonts w:ascii="Arial" w:eastAsia="Calibri" w:hAnsi="Arial" w:cs="Arial"/>
          <w:color w:val="000000" w:themeColor="text1"/>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3C27C6">
        <w:rPr>
          <w:rFonts w:ascii="Arial" w:eastAsia="Calibri" w:hAnsi="Arial" w:cs="Arial"/>
          <w:color w:val="000000" w:themeColor="text1"/>
          <w:sz w:val="21"/>
          <w:szCs w:val="22"/>
          <w:lang w:val="es-MX" w:eastAsia="en-US"/>
        </w:rPr>
        <w:t>vii</w:t>
      </w:r>
      <w:proofErr w:type="spellEnd"/>
      <w:r w:rsidRPr="003C27C6">
        <w:rPr>
          <w:rFonts w:ascii="Arial" w:eastAsia="Calibri" w:hAnsi="Arial" w:cs="Arial"/>
          <w:color w:val="000000" w:themeColor="text1"/>
          <w:sz w:val="21"/>
          <w:szCs w:val="22"/>
          <w:lang w:val="es-MX" w:eastAsia="en-US"/>
        </w:rPr>
        <w:t>) persiguen una finalidad común a través de la realización de intereses compartidos entre las entidades vinculadas; (</w:t>
      </w:r>
      <w:proofErr w:type="spellStart"/>
      <w:r w:rsidRPr="003C27C6">
        <w:rPr>
          <w:rFonts w:ascii="Arial" w:eastAsia="Calibri" w:hAnsi="Arial" w:cs="Arial"/>
          <w:color w:val="000000" w:themeColor="text1"/>
          <w:sz w:val="21"/>
          <w:szCs w:val="22"/>
          <w:lang w:val="es-MX" w:eastAsia="en-US"/>
        </w:rPr>
        <w:t>viii</w:t>
      </w:r>
      <w:proofErr w:type="spellEnd"/>
      <w:r w:rsidRPr="003C27C6">
        <w:rPr>
          <w:rFonts w:ascii="Arial" w:eastAsia="Calibri" w:hAnsi="Arial" w:cs="Arial"/>
          <w:color w:val="000000" w:themeColor="text1"/>
          <w:sz w:val="21"/>
          <w:szCs w:val="22"/>
          <w:lang w:val="es-MX" w:eastAsia="en-US"/>
        </w:rPr>
        <w:t>) la acción mediante la cual se deben ventilar las diferencias que sobre el particular surjan es la de controversias contractuales</w:t>
      </w:r>
      <w:r w:rsidRPr="003C27C6">
        <w:rPr>
          <w:rStyle w:val="Refdenotaalpie"/>
          <w:rFonts w:ascii="Arial" w:eastAsia="Calibri" w:hAnsi="Arial" w:cs="Arial"/>
          <w:color w:val="000000" w:themeColor="text1"/>
          <w:sz w:val="21"/>
          <w:szCs w:val="22"/>
          <w:lang w:val="es-MX" w:eastAsia="en-US"/>
        </w:rPr>
        <w:footnoteReference w:id="15"/>
      </w:r>
      <w:r w:rsidRPr="003C27C6">
        <w:rPr>
          <w:rFonts w:ascii="Arial" w:eastAsia="Calibri" w:hAnsi="Arial" w:cs="Arial"/>
          <w:color w:val="000000" w:themeColor="text1"/>
          <w:sz w:val="21"/>
          <w:szCs w:val="22"/>
          <w:lang w:val="es-MX" w:eastAsia="en-US"/>
        </w:rPr>
        <w:t>.</w:t>
      </w:r>
    </w:p>
    <w:p w14:paraId="0D9CCE3A" w14:textId="77777777" w:rsidR="00B540D4" w:rsidRPr="003C27C6" w:rsidRDefault="00B540D4" w:rsidP="00B540D4">
      <w:pPr>
        <w:widowControl w:val="0"/>
        <w:autoSpaceDE w:val="0"/>
        <w:autoSpaceDN w:val="0"/>
        <w:rPr>
          <w:rFonts w:ascii="Arial" w:eastAsia="Arial" w:hAnsi="Arial" w:cs="Arial"/>
          <w:color w:val="000000" w:themeColor="text1"/>
          <w:sz w:val="22"/>
          <w:szCs w:val="22"/>
          <w:lang w:val="es-ES" w:eastAsia="es-ES" w:bidi="es-ES"/>
        </w:rPr>
      </w:pPr>
    </w:p>
    <w:p w14:paraId="53A03321" w14:textId="77777777" w:rsidR="00B540D4" w:rsidRPr="003C27C6" w:rsidRDefault="00B540D4" w:rsidP="00B540D4">
      <w:pPr>
        <w:widowControl w:val="0"/>
        <w:autoSpaceDE w:val="0"/>
        <w:autoSpaceDN w:val="0"/>
        <w:spacing w:line="276" w:lineRule="auto"/>
        <w:ind w:firstLine="707"/>
        <w:jc w:val="both"/>
        <w:rPr>
          <w:rFonts w:ascii="Arial" w:eastAsia="Arial" w:hAnsi="Arial" w:cs="Arial"/>
          <w:color w:val="000000" w:themeColor="text1"/>
          <w:sz w:val="21"/>
          <w:szCs w:val="22"/>
          <w:lang w:val="es-ES" w:eastAsia="es-ES" w:bidi="es-ES"/>
        </w:rPr>
      </w:pPr>
      <w:r w:rsidRPr="003C27C6">
        <w:rPr>
          <w:rFonts w:ascii="Arial" w:eastAsia="Arial" w:hAnsi="Arial" w:cs="Arial"/>
          <w:color w:val="000000" w:themeColor="text1"/>
          <w:sz w:val="22"/>
          <w:szCs w:val="22"/>
          <w:lang w:val="es-ES" w:eastAsia="es-ES" w:bidi="es-ES"/>
        </w:rPr>
        <w:t xml:space="preserve">En ese sentido, los convenios o contratos interadministrativos se caracterizan por los sujetos que intervienen en su celebración. Además de lo anterior, el Estatuto General de Contratación de la Administración Pública establece la contratación directa como la modalidad de selección aplicable, por regla general, para la celebración de los contratos interadministrativos. En este sentido, la contratación directa es una modalidad de aplicación restrictiva en el EGCAP,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43D64B56" w14:textId="77777777" w:rsidR="00B540D4" w:rsidRPr="003C27C6" w:rsidRDefault="00B540D4" w:rsidP="00B540D4">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De esta manera, el artículo 2, numeral 4, literal c), de la Ley 1150 de 2007, dispone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a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Pr="003C27C6">
        <w:rPr>
          <w:rFonts w:ascii="Arial" w:eastAsia="Arial" w:hAnsi="Arial" w:cs="Arial"/>
          <w:color w:val="000000" w:themeColor="text1"/>
          <w:spacing w:val="-4"/>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abreviada o mínima cuantía, dependiendo del caso</w:t>
      </w:r>
      <w:r w:rsidRPr="003C27C6">
        <w:rPr>
          <w:rFonts w:ascii="Arial" w:eastAsia="Arial" w:hAnsi="Arial" w:cs="Arial"/>
          <w:color w:val="000000" w:themeColor="text1"/>
          <w:sz w:val="22"/>
          <w:szCs w:val="22"/>
          <w:vertAlign w:val="superscript"/>
          <w:lang w:val="es-ES" w:eastAsia="es-ES" w:bidi="es-ES"/>
        </w:rPr>
        <w:footnoteReference w:id="16"/>
      </w:r>
      <w:r w:rsidRPr="003C27C6">
        <w:rPr>
          <w:rFonts w:ascii="Arial" w:eastAsia="Arial" w:hAnsi="Arial" w:cs="Arial"/>
          <w:color w:val="000000" w:themeColor="text1"/>
          <w:sz w:val="22"/>
          <w:szCs w:val="22"/>
          <w:lang w:val="es-ES" w:eastAsia="es-ES" w:bidi="es-ES"/>
        </w:rPr>
        <w:t>.</w:t>
      </w:r>
    </w:p>
    <w:p w14:paraId="0F14EDA0" w14:textId="4FFD3E2D" w:rsidR="00B540D4" w:rsidRPr="003C27C6" w:rsidRDefault="00B540D4" w:rsidP="00B540D4">
      <w:pPr>
        <w:widowControl w:val="0"/>
        <w:autoSpaceDE w:val="0"/>
        <w:autoSpaceDN w:val="0"/>
        <w:spacing w:before="117" w:line="276" w:lineRule="auto"/>
        <w:ind w:firstLine="707"/>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sidRPr="003C27C6">
        <w:rPr>
          <w:rFonts w:ascii="Arial" w:eastAsia="Arial" w:hAnsi="Arial" w:cs="Arial"/>
          <w:color w:val="000000" w:themeColor="text1"/>
          <w:spacing w:val="13"/>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tipologías</w:t>
      </w:r>
      <w:r w:rsidRPr="003C27C6">
        <w:rPr>
          <w:rFonts w:ascii="Arial" w:eastAsia="Arial" w:hAnsi="Arial" w:cs="Arial"/>
          <w:color w:val="000000" w:themeColor="text1"/>
          <w:spacing w:val="13"/>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contractuales</w:t>
      </w:r>
      <w:r w:rsidRPr="003C27C6">
        <w:rPr>
          <w:rFonts w:ascii="Arial" w:eastAsia="Arial" w:hAnsi="Arial" w:cs="Arial"/>
          <w:color w:val="000000" w:themeColor="text1"/>
          <w:spacing w:val="14"/>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sean</w:t>
      </w:r>
      <w:r w:rsidRPr="003C27C6">
        <w:rPr>
          <w:rFonts w:ascii="Arial" w:eastAsia="Arial" w:hAnsi="Arial" w:cs="Arial"/>
          <w:color w:val="000000" w:themeColor="text1"/>
          <w:spacing w:val="11"/>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ejecutadas</w:t>
      </w:r>
      <w:r w:rsidRPr="003C27C6">
        <w:rPr>
          <w:rFonts w:ascii="Arial" w:eastAsia="Arial" w:hAnsi="Arial" w:cs="Arial"/>
          <w:color w:val="000000" w:themeColor="text1"/>
          <w:spacing w:val="14"/>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por</w:t>
      </w:r>
      <w:r w:rsidRPr="003C27C6">
        <w:rPr>
          <w:rFonts w:ascii="Arial" w:eastAsia="Arial" w:hAnsi="Arial" w:cs="Arial"/>
          <w:color w:val="000000" w:themeColor="text1"/>
          <w:spacing w:val="13"/>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las</w:t>
      </w:r>
      <w:r w:rsidRPr="003C27C6">
        <w:rPr>
          <w:rFonts w:ascii="Arial" w:eastAsia="Arial" w:hAnsi="Arial" w:cs="Arial"/>
          <w:color w:val="000000" w:themeColor="text1"/>
          <w:spacing w:val="13"/>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entidades</w:t>
      </w:r>
      <w:r w:rsidRPr="003C27C6">
        <w:rPr>
          <w:rFonts w:ascii="Arial" w:eastAsia="Arial" w:hAnsi="Arial" w:cs="Arial"/>
          <w:color w:val="000000" w:themeColor="text1"/>
          <w:spacing w:val="12"/>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estatales</w:t>
      </w:r>
      <w:r w:rsidRPr="003C27C6">
        <w:rPr>
          <w:rFonts w:ascii="Arial" w:eastAsia="Arial" w:hAnsi="Arial" w:cs="Arial"/>
          <w:color w:val="000000" w:themeColor="text1"/>
          <w:spacing w:val="11"/>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previstas</w:t>
      </w:r>
      <w:r w:rsidRPr="003C27C6">
        <w:rPr>
          <w:rFonts w:ascii="Arial" w:eastAsia="Arial" w:hAnsi="Arial" w:cs="Arial"/>
          <w:color w:val="000000" w:themeColor="text1"/>
          <w:spacing w:val="18"/>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w:t>
      </w:r>
      <w:r w:rsidR="00321E0C" w:rsidRPr="003C27C6">
        <w:rPr>
          <w:rFonts w:ascii="Arial" w:eastAsia="Arial" w:hAnsi="Arial" w:cs="Arial"/>
          <w:color w:val="000000" w:themeColor="text1"/>
          <w:sz w:val="22"/>
          <w:szCs w:val="22"/>
          <w:lang w:val="es-ES" w:eastAsia="es-ES" w:bidi="es-ES"/>
        </w:rPr>
        <w:t>í</w:t>
      </w:r>
      <w:r w:rsidRPr="003C27C6">
        <w:rPr>
          <w:rFonts w:ascii="Arial" w:eastAsia="Arial" w:hAnsi="Arial" w:cs="Arial"/>
          <w:color w:val="000000" w:themeColor="text1"/>
          <w:sz w:val="22"/>
          <w:szCs w:val="22"/>
          <w:lang w:val="es-ES" w:eastAsia="es-ES" w:bidi="es-ES"/>
        </w:rPr>
        <w:t>dem: «Estarán exceptuados de la figura del contrato interadministrativo, los contratos de seguro de las entidades estatales».</w:t>
      </w:r>
    </w:p>
    <w:p w14:paraId="04FF2578" w14:textId="77777777" w:rsidR="00B540D4" w:rsidRPr="003C27C6" w:rsidRDefault="00B540D4" w:rsidP="00B540D4">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3C27C6">
        <w:rPr>
          <w:rFonts w:ascii="Arial" w:eastAsia="Arial" w:hAnsi="Arial" w:cs="Arial"/>
          <w:color w:val="000000" w:themeColor="text1"/>
          <w:spacing w:val="-4"/>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estatales.</w:t>
      </w:r>
    </w:p>
    <w:p w14:paraId="4B4D18E0" w14:textId="77777777" w:rsidR="00B540D4" w:rsidRPr="003C27C6"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Igualmente, es necesario tener en cuenta que el Código Civil, en el artículo 1495, equipara las instituciones analizadas al disponer que «</w:t>
      </w:r>
      <w:r w:rsidRPr="003C27C6">
        <w:rPr>
          <w:rFonts w:ascii="Arial" w:eastAsia="Arial" w:hAnsi="Arial" w:cs="Arial"/>
          <w:i/>
          <w:color w:val="000000" w:themeColor="text1"/>
          <w:sz w:val="22"/>
          <w:szCs w:val="22"/>
          <w:lang w:val="es-ES" w:eastAsia="es-ES" w:bidi="es-ES"/>
        </w:rPr>
        <w:t xml:space="preserve">contrato o convención </w:t>
      </w:r>
      <w:r w:rsidRPr="003C27C6">
        <w:rPr>
          <w:rFonts w:ascii="Arial" w:eastAsia="Arial" w:hAnsi="Arial" w:cs="Arial"/>
          <w:color w:val="000000" w:themeColor="text1"/>
          <w:sz w:val="22"/>
          <w:szCs w:val="22"/>
          <w:lang w:val="es-ES" w:eastAsia="es-ES" w:bidi="es-ES"/>
        </w:rPr>
        <w:t xml:space="preserve">es un acto por el cual una parte se obliga para con otra a dar, hacer o no hacer alguna cosa […]» (Énfasis fuera de texto). De este modo, se concluye que no existe diferencia sustancial entre contrato y convención en el derecho privado. Por tanto, si dicho régimen jurídico es aplicable a la contratación estatal, tampoco es procedente hacer distinción en la actividad contractual de las entidades públicas cuando celebran contratos y convenios interadministrativos. </w:t>
      </w:r>
    </w:p>
    <w:p w14:paraId="67C030A0" w14:textId="77777777" w:rsidR="00B540D4" w:rsidRPr="003C27C6"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3C27C6">
        <w:rPr>
          <w:rFonts w:ascii="Arial" w:eastAsia="Arial" w:hAnsi="Arial" w:cs="Arial"/>
          <w:color w:val="000000" w:themeColor="text1"/>
          <w:spacing w:val="-4"/>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w:t>
      </w:r>
      <w:r w:rsidRPr="003C27C6">
        <w:rPr>
          <w:rFonts w:ascii="Arial" w:eastAsia="Arial" w:hAnsi="Arial" w:cs="Arial"/>
          <w:color w:val="000000" w:themeColor="text1"/>
          <w:sz w:val="22"/>
          <w:szCs w:val="22"/>
          <w:vertAlign w:val="superscript"/>
          <w:lang w:val="es-ES" w:eastAsia="es-ES" w:bidi="es-ES"/>
        </w:rPr>
        <w:footnoteReference w:id="17"/>
      </w:r>
      <w:r w:rsidRPr="003C27C6">
        <w:rPr>
          <w:rFonts w:ascii="Arial" w:eastAsia="Arial" w:hAnsi="Arial" w:cs="Arial"/>
          <w:color w:val="000000" w:themeColor="text1"/>
          <w:sz w:val="22"/>
          <w:szCs w:val="22"/>
          <w:lang w:val="es-ES" w:eastAsia="es-ES" w:bidi="es-ES"/>
        </w:rPr>
        <w:t>.</w:t>
      </w:r>
    </w:p>
    <w:p w14:paraId="53164F81" w14:textId="77777777" w:rsidR="00B540D4" w:rsidRPr="003C27C6" w:rsidRDefault="00B540D4" w:rsidP="00B540D4">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19F4D87D" w14:textId="77777777" w:rsidR="00B540D4" w:rsidRPr="003C27C6" w:rsidRDefault="00B540D4" w:rsidP="00B540D4">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p>
    <w:p w14:paraId="6121F7F8" w14:textId="77777777" w:rsidR="00B540D4" w:rsidRPr="003C27C6" w:rsidRDefault="00B540D4" w:rsidP="00B540D4">
      <w:pPr>
        <w:ind w:left="709" w:right="709"/>
        <w:jc w:val="both"/>
        <w:rPr>
          <w:rFonts w:ascii="Arial" w:eastAsia="Calibri" w:hAnsi="Arial" w:cs="Arial"/>
          <w:color w:val="000000" w:themeColor="text1"/>
          <w:sz w:val="21"/>
          <w:szCs w:val="21"/>
          <w:lang w:val="es-ES_tradnl" w:eastAsia="en-US"/>
        </w:rPr>
      </w:pPr>
      <w:r w:rsidRPr="003C27C6">
        <w:rPr>
          <w:rFonts w:ascii="Arial" w:eastAsia="Calibri" w:hAnsi="Arial" w:cs="Arial"/>
          <w:color w:val="000000" w:themeColor="text1"/>
          <w:sz w:val="21"/>
          <w:szCs w:val="21"/>
          <w:lang w:val="es-ES_tradnl" w:eastAsia="en-US"/>
        </w:rPr>
        <w:t>La Sala de Consulta y Servicio Civil</w:t>
      </w:r>
      <w:r w:rsidRPr="003C27C6">
        <w:rPr>
          <w:rFonts w:ascii="Arial" w:eastAsia="Calibri" w:hAnsi="Arial" w:cs="Arial"/>
          <w:color w:val="000000" w:themeColor="text1"/>
          <w:sz w:val="21"/>
          <w:szCs w:val="21"/>
          <w:vertAlign w:val="superscript"/>
          <w:lang w:val="es-ES_tradnl" w:eastAsia="en-US"/>
        </w:rPr>
        <w:footnoteReference w:id="18"/>
      </w:r>
      <w:r w:rsidRPr="003C27C6">
        <w:rPr>
          <w:rFonts w:ascii="Arial" w:eastAsia="Calibri" w:hAnsi="Arial" w:cs="Arial"/>
          <w:color w:val="000000" w:themeColor="text1"/>
          <w:sz w:val="21"/>
          <w:szCs w:val="21"/>
          <w:lang w:val="es-ES_tradnl" w:eastAsia="en-US"/>
        </w:rPr>
        <w:t xml:space="preserve"> de esta Corporación se ha referido a los </w:t>
      </w:r>
      <w:r w:rsidRPr="003C27C6">
        <w:rPr>
          <w:rFonts w:ascii="Arial" w:eastAsia="Calibri" w:hAnsi="Arial" w:cs="Arial"/>
          <w:i/>
          <w:color w:val="000000" w:themeColor="text1"/>
          <w:sz w:val="21"/>
          <w:szCs w:val="21"/>
          <w:lang w:val="es-ES_tradnl" w:eastAsia="en-US"/>
        </w:rPr>
        <w:t>“convenios interadministrativos”</w:t>
      </w:r>
      <w:r w:rsidRPr="003C27C6">
        <w:rPr>
          <w:rFonts w:ascii="Arial" w:eastAsia="Calibri" w:hAnsi="Arial" w:cs="Arial"/>
          <w:color w:val="000000" w:themeColor="text1"/>
          <w:sz w:val="21"/>
          <w:szCs w:val="21"/>
          <w:lang w:val="es-ES_tradnl" w:eastAsia="en-US"/>
        </w:rPr>
        <w:t xml:space="preserve"> a los cuales alude el artículo 95 de la Ley 489 de 1998, calificándolos de </w:t>
      </w:r>
      <w:r w:rsidRPr="003C27C6">
        <w:rPr>
          <w:rFonts w:ascii="Arial" w:eastAsia="Calibri" w:hAnsi="Arial" w:cs="Arial"/>
          <w:i/>
          <w:color w:val="000000" w:themeColor="text1"/>
          <w:sz w:val="21"/>
          <w:szCs w:val="21"/>
          <w:lang w:val="es-ES_tradnl" w:eastAsia="en-US"/>
        </w:rPr>
        <w:t xml:space="preserve">“puros” </w:t>
      </w:r>
      <w:r w:rsidRPr="003C27C6">
        <w:rPr>
          <w:rFonts w:ascii="Arial" w:eastAsia="Calibr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3C27C6">
        <w:rPr>
          <w:rFonts w:ascii="Arial" w:eastAsia="Calibri" w:hAnsi="Arial" w:cs="Arial"/>
          <w:i/>
          <w:color w:val="000000" w:themeColor="text1"/>
          <w:sz w:val="21"/>
          <w:szCs w:val="21"/>
          <w:lang w:val="es-ES_tradnl" w:eastAsia="en-US"/>
        </w:rPr>
        <w:t>“intercambio patrimonial”</w:t>
      </w:r>
      <w:r w:rsidRPr="003C27C6">
        <w:rPr>
          <w:rFonts w:ascii="Arial" w:eastAsia="Calibri" w:hAnsi="Arial" w:cs="Arial"/>
          <w:color w:val="000000" w:themeColor="text1"/>
          <w:sz w:val="21"/>
          <w:szCs w:val="21"/>
          <w:lang w:val="es-ES_tradnl" w:eastAsia="en-US"/>
        </w:rPr>
        <w:t>. Sin perjuicio de lo anterior, en otra oportunidad, la misma Sala</w:t>
      </w:r>
      <w:r w:rsidRPr="003C27C6">
        <w:rPr>
          <w:rFonts w:ascii="Arial" w:eastAsia="Calibri" w:hAnsi="Arial" w:cs="Arial"/>
          <w:color w:val="000000" w:themeColor="text1"/>
          <w:sz w:val="21"/>
          <w:szCs w:val="21"/>
          <w:vertAlign w:val="superscript"/>
          <w:lang w:val="es-ES_tradnl" w:eastAsia="en-US"/>
        </w:rPr>
        <w:footnoteReference w:id="19"/>
      </w:r>
      <w:r w:rsidRPr="003C27C6">
        <w:rPr>
          <w:rFonts w:ascii="Arial" w:eastAsia="Calibri" w:hAnsi="Arial" w:cs="Arial"/>
          <w:color w:val="000000" w:themeColor="text1"/>
          <w:sz w:val="21"/>
          <w:szCs w:val="21"/>
          <w:lang w:val="es-ES_tradnl" w:eastAsia="en-US"/>
        </w:rPr>
        <w:t xml:space="preserve"> había indicado que, si bien en dichos convenios no se daba un </w:t>
      </w:r>
      <w:r w:rsidRPr="003C27C6">
        <w:rPr>
          <w:rFonts w:ascii="Arial" w:eastAsia="Calibri" w:hAnsi="Arial" w:cs="Arial"/>
          <w:i/>
          <w:color w:val="000000" w:themeColor="text1"/>
          <w:sz w:val="21"/>
          <w:szCs w:val="21"/>
          <w:lang w:val="es-ES_tradnl" w:eastAsia="en-US"/>
        </w:rPr>
        <w:t>“verdadero intercambio de bienes o servicios (contrato conmutativo)”</w:t>
      </w:r>
      <w:r w:rsidRPr="003C27C6">
        <w:rPr>
          <w:rFonts w:ascii="Arial" w:eastAsia="Calibri" w:hAnsi="Arial" w:cs="Arial"/>
          <w:color w:val="000000" w:themeColor="text1"/>
          <w:sz w:val="21"/>
          <w:szCs w:val="21"/>
          <w:lang w:val="es-ES_tradnl" w:eastAsia="en-US"/>
        </w:rPr>
        <w:t>, ello no impedía que se conviniera una remuneración a cargo de alguna(s) entidad(es).</w:t>
      </w:r>
    </w:p>
    <w:p w14:paraId="6F32C6A6" w14:textId="77777777" w:rsidR="00B540D4" w:rsidRPr="003C27C6" w:rsidRDefault="00B540D4" w:rsidP="00B540D4">
      <w:pPr>
        <w:ind w:left="709" w:right="709"/>
        <w:jc w:val="both"/>
        <w:rPr>
          <w:rFonts w:ascii="Arial" w:eastAsia="Calibri" w:hAnsi="Arial" w:cs="Arial"/>
          <w:color w:val="000000" w:themeColor="text1"/>
          <w:sz w:val="21"/>
          <w:szCs w:val="21"/>
          <w:lang w:val="es-ES_tradnl" w:eastAsia="en-US"/>
        </w:rPr>
      </w:pPr>
    </w:p>
    <w:p w14:paraId="09FBBB2E" w14:textId="649C59F9" w:rsidR="00B540D4" w:rsidRPr="003C27C6" w:rsidRDefault="00B540D4" w:rsidP="00B540D4">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3C27C6">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3C27C6">
        <w:rPr>
          <w:rFonts w:ascii="Arial" w:eastAsia="Arial" w:hAnsi="Arial" w:cs="Arial"/>
          <w:i/>
          <w:color w:val="000000" w:themeColor="text1"/>
          <w:sz w:val="21"/>
          <w:szCs w:val="21"/>
          <w:lang w:val="es-ES_tradnl" w:eastAsia="es-ES" w:bidi="es-ES"/>
        </w:rPr>
        <w:t>“convenios interadministrativos”</w:t>
      </w:r>
      <w:r w:rsidRPr="003C27C6">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3C27C6">
        <w:rPr>
          <w:rFonts w:ascii="Arial" w:eastAsia="Arial" w:hAnsi="Arial" w:cs="Arial"/>
          <w:color w:val="000000" w:themeColor="text1"/>
          <w:sz w:val="21"/>
          <w:szCs w:val="21"/>
          <w:vertAlign w:val="superscript"/>
          <w:lang w:val="es-ES_tradnl" w:eastAsia="es-ES" w:bidi="es-ES"/>
        </w:rPr>
        <w:footnoteReference w:id="20"/>
      </w:r>
      <w:r w:rsidR="00E00794" w:rsidRPr="003C27C6">
        <w:rPr>
          <w:rFonts w:ascii="Arial" w:eastAsia="Arial" w:hAnsi="Arial" w:cs="Arial"/>
          <w:color w:val="000000" w:themeColor="text1"/>
          <w:sz w:val="21"/>
          <w:szCs w:val="21"/>
          <w:lang w:val="es-ES_tradnl" w:eastAsia="es-ES" w:bidi="es-ES"/>
        </w:rPr>
        <w:t xml:space="preserve"> </w:t>
      </w:r>
      <w:r w:rsidRPr="003C27C6">
        <w:rPr>
          <w:rFonts w:ascii="Arial" w:eastAsia="Arial" w:hAnsi="Arial" w:cs="Arial"/>
          <w:color w:val="000000" w:themeColor="text1"/>
          <w:sz w:val="21"/>
          <w:szCs w:val="21"/>
          <w:vertAlign w:val="superscript"/>
          <w:lang w:val="es-ES_tradnl" w:eastAsia="es-ES" w:bidi="es-ES"/>
        </w:rPr>
        <w:footnoteReference w:id="21"/>
      </w:r>
      <w:r w:rsidRPr="003C27C6">
        <w:rPr>
          <w:rFonts w:ascii="Arial" w:eastAsia="Arial" w:hAnsi="Arial" w:cs="Arial"/>
          <w:color w:val="000000" w:themeColor="text1"/>
          <w:sz w:val="21"/>
          <w:szCs w:val="21"/>
          <w:lang w:val="es-ES_tradnl" w:eastAsia="es-ES" w:bidi="es-ES"/>
        </w:rPr>
        <w:t>.</w:t>
      </w:r>
    </w:p>
    <w:p w14:paraId="19488458" w14:textId="77777777" w:rsidR="00B540D4" w:rsidRPr="003C27C6"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E09D307" w14:textId="6F8CE53F" w:rsidR="00B540D4" w:rsidRPr="003C27C6" w:rsidRDefault="00B540D4" w:rsidP="00B540D4">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ab/>
        <w:t>Sin embargo, es preciso reiterar que el ordenamiento jurídico</w:t>
      </w:r>
      <w:r w:rsidR="00CE13FA" w:rsidRPr="003C27C6">
        <w:rPr>
          <w:rFonts w:ascii="Arial" w:eastAsia="Arial" w:hAnsi="Arial" w:cs="Arial"/>
          <w:color w:val="000000" w:themeColor="text1"/>
          <w:sz w:val="22"/>
          <w:szCs w:val="22"/>
          <w:lang w:val="es-ES" w:eastAsia="es-ES" w:bidi="es-ES"/>
        </w:rPr>
        <w:t xml:space="preserve"> </w:t>
      </w:r>
      <w:r w:rsidRPr="003C27C6">
        <w:rPr>
          <w:rFonts w:ascii="Arial" w:eastAsia="Arial" w:hAnsi="Arial" w:cs="Arial"/>
          <w:color w:val="000000" w:themeColor="text1"/>
          <w:sz w:val="22"/>
          <w:szCs w:val="22"/>
          <w:lang w:val="es-ES" w:eastAsia="es-ES" w:bidi="es-ES"/>
        </w:rPr>
        <w:t>en diferentes ocasiones utiliza de forma indistinta los conceptos de contrato o convenio para referirse a la misma institución jurídica</w:t>
      </w:r>
      <w:r w:rsidRPr="003C27C6">
        <w:rPr>
          <w:rFonts w:ascii="Arial" w:eastAsia="Arial" w:hAnsi="Arial" w:cs="Arial"/>
          <w:color w:val="000000" w:themeColor="text1"/>
          <w:sz w:val="22"/>
          <w:szCs w:val="22"/>
          <w:vertAlign w:val="superscript"/>
          <w:lang w:val="es-ES" w:eastAsia="es-ES" w:bidi="es-ES"/>
        </w:rPr>
        <w:footnoteReference w:id="22"/>
      </w:r>
      <w:r w:rsidRPr="003C27C6">
        <w:rPr>
          <w:rFonts w:ascii="Arial" w:eastAsia="Arial" w:hAnsi="Arial" w:cs="Arial"/>
          <w:color w:val="000000" w:themeColor="text1"/>
          <w:sz w:val="22"/>
          <w:szCs w:val="22"/>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3C27C6">
        <w:rPr>
          <w:rFonts w:ascii="Arial" w:eastAsia="Arial" w:hAnsi="Arial" w:cs="Arial"/>
          <w:color w:val="000000" w:themeColor="text1"/>
          <w:sz w:val="22"/>
          <w:szCs w:val="22"/>
          <w:vertAlign w:val="superscript"/>
          <w:lang w:val="es-ES" w:eastAsia="es-ES" w:bidi="es-ES"/>
        </w:rPr>
        <w:footnoteReference w:id="23"/>
      </w:r>
      <w:r w:rsidRPr="003C27C6">
        <w:rPr>
          <w:rFonts w:ascii="Arial" w:eastAsia="Arial" w:hAnsi="Arial" w:cs="Arial"/>
          <w:color w:val="000000" w:themeColor="text1"/>
          <w:sz w:val="22"/>
          <w:szCs w:val="22"/>
          <w:lang w:val="es-ES" w:eastAsia="es-ES" w:bidi="es-ES"/>
        </w:rPr>
        <w:t>.</w:t>
      </w:r>
    </w:p>
    <w:p w14:paraId="29F169B8" w14:textId="007A665A" w:rsidR="00B540D4" w:rsidRPr="003C27C6"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2"/>
          <w:szCs w:val="22"/>
          <w:lang w:val="es-ES" w:eastAsia="es-ES" w:bidi="es-ES"/>
        </w:rPr>
        <w:tab/>
        <w:t>En desarrollo de lo anterior, cabe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E00794" w:rsidRPr="003C27C6">
        <w:rPr>
          <w:rFonts w:ascii="Arial" w:eastAsia="Arial" w:hAnsi="Arial" w:cs="Arial"/>
          <w:color w:val="000000" w:themeColor="text1"/>
          <w:sz w:val="22"/>
          <w:szCs w:val="22"/>
          <w:lang w:val="es-ES" w:eastAsia="es-ES" w:bidi="es-ES"/>
        </w:rPr>
        <w:t xml:space="preserve"> Electorales</w:t>
      </w:r>
      <w:r w:rsidRPr="003C27C6">
        <w:rPr>
          <w:rFonts w:ascii="Arial" w:eastAsia="Arial" w:hAnsi="Arial" w:cs="Arial"/>
          <w:color w:val="000000" w:themeColor="text1"/>
          <w:sz w:val="22"/>
          <w:szCs w:val="22"/>
          <w:lang w:val="es-ES" w:eastAsia="es-ES" w:bidi="es-ES"/>
        </w:rPr>
        <w:t>. En este sentido, la Circular, refiriéndose al parágrafo del artículo 38 de la Ley 996 de 2005, expresa:</w:t>
      </w:r>
    </w:p>
    <w:p w14:paraId="2D7177D5" w14:textId="77777777" w:rsidR="00B540D4" w:rsidRPr="003C27C6" w:rsidRDefault="00B540D4" w:rsidP="00B540D4">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750F04DC" w14:textId="77777777" w:rsidR="00B540D4" w:rsidRPr="003C27C6" w:rsidRDefault="00B540D4" w:rsidP="00B540D4">
      <w:pPr>
        <w:ind w:left="709" w:right="709"/>
        <w:jc w:val="both"/>
        <w:rPr>
          <w:rFonts w:ascii="Arial" w:eastAsia="Calibri" w:hAnsi="Arial" w:cs="Arial"/>
          <w:color w:val="000000" w:themeColor="text1"/>
          <w:sz w:val="21"/>
          <w:szCs w:val="21"/>
          <w:lang w:val="es-MX" w:eastAsia="en-US"/>
        </w:rPr>
      </w:pPr>
      <w:r w:rsidRPr="003C27C6">
        <w:rPr>
          <w:rFonts w:ascii="Arial" w:eastAsia="Calibr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3C27C6">
        <w:rPr>
          <w:rFonts w:ascii="Arial" w:eastAsia="Calibr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C3A6DFF" w14:textId="77777777" w:rsidR="00B540D4" w:rsidRPr="003C27C6" w:rsidRDefault="00B540D4" w:rsidP="00B540D4">
      <w:pPr>
        <w:ind w:left="709" w:right="709"/>
        <w:jc w:val="both"/>
        <w:rPr>
          <w:rFonts w:ascii="Arial" w:eastAsia="Calibri" w:hAnsi="Arial" w:cs="Arial"/>
          <w:color w:val="000000" w:themeColor="text1"/>
          <w:sz w:val="21"/>
          <w:szCs w:val="21"/>
          <w:lang w:val="es-MX" w:eastAsia="en-US"/>
        </w:rPr>
      </w:pPr>
    </w:p>
    <w:p w14:paraId="489AB610" w14:textId="77777777" w:rsidR="00B540D4" w:rsidRPr="003C27C6" w:rsidRDefault="00B540D4" w:rsidP="00B540D4">
      <w:pPr>
        <w:ind w:left="709" w:right="709"/>
        <w:jc w:val="both"/>
        <w:rPr>
          <w:rFonts w:ascii="Arial" w:eastAsia="Calibri" w:hAnsi="Arial" w:cs="Arial"/>
          <w:color w:val="000000" w:themeColor="text1"/>
          <w:sz w:val="21"/>
          <w:szCs w:val="21"/>
          <w:lang w:val="es-MX" w:eastAsia="en-US"/>
        </w:rPr>
      </w:pPr>
      <w:r w:rsidRPr="003C27C6">
        <w:rPr>
          <w:rFonts w:ascii="Arial" w:eastAsia="Calibr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476943" w14:textId="77777777" w:rsidR="00B540D4" w:rsidRPr="003C27C6" w:rsidRDefault="00B540D4" w:rsidP="00B540D4">
      <w:pPr>
        <w:ind w:left="709" w:right="709"/>
        <w:jc w:val="both"/>
        <w:rPr>
          <w:rFonts w:ascii="Arial" w:eastAsia="Calibri" w:hAnsi="Arial" w:cs="Arial"/>
          <w:color w:val="000000" w:themeColor="text1"/>
          <w:sz w:val="21"/>
          <w:szCs w:val="21"/>
          <w:lang w:val="es-MX" w:eastAsia="en-US"/>
        </w:rPr>
      </w:pPr>
    </w:p>
    <w:p w14:paraId="389E2D4C" w14:textId="77777777" w:rsidR="00B540D4" w:rsidRPr="003C27C6" w:rsidRDefault="00B540D4" w:rsidP="00B540D4">
      <w:pPr>
        <w:ind w:left="709" w:right="709"/>
        <w:jc w:val="both"/>
        <w:rPr>
          <w:rFonts w:ascii="Calibri" w:eastAsia="Calibri" w:hAnsi="Calibri"/>
          <w:color w:val="000000" w:themeColor="text1"/>
          <w:szCs w:val="22"/>
          <w:lang w:val="es-MX" w:eastAsia="en-US"/>
        </w:rPr>
      </w:pPr>
      <w:r w:rsidRPr="003C27C6">
        <w:rPr>
          <w:rFonts w:ascii="Arial" w:eastAsia="Calibri" w:hAnsi="Arial" w:cs="Arial"/>
          <w:color w:val="000000" w:themeColor="text1"/>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73C7D20" w14:textId="77777777" w:rsidR="00B540D4" w:rsidRPr="003C27C6" w:rsidRDefault="00B540D4" w:rsidP="00B540D4">
      <w:pPr>
        <w:widowControl w:val="0"/>
        <w:autoSpaceDE w:val="0"/>
        <w:autoSpaceDN w:val="0"/>
        <w:spacing w:before="3"/>
        <w:rPr>
          <w:rFonts w:ascii="Arial" w:eastAsia="Arial" w:hAnsi="Arial" w:cs="Arial"/>
          <w:color w:val="000000" w:themeColor="text1"/>
          <w:sz w:val="25"/>
          <w:szCs w:val="22"/>
          <w:lang w:val="es-ES" w:eastAsia="es-ES" w:bidi="es-ES"/>
        </w:rPr>
      </w:pPr>
    </w:p>
    <w:p w14:paraId="5698F729" w14:textId="7B1586C5" w:rsidR="00B540D4" w:rsidRPr="003C27C6" w:rsidRDefault="00B540D4" w:rsidP="00B540D4">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3C27C6">
        <w:rPr>
          <w:rFonts w:ascii="Arial" w:eastAsia="Arial" w:hAnsi="Arial" w:cs="Arial"/>
          <w:color w:val="000000" w:themeColor="text1"/>
          <w:sz w:val="25"/>
          <w:szCs w:val="22"/>
          <w:lang w:val="es-ES" w:eastAsia="es-ES" w:bidi="es-ES"/>
        </w:rPr>
        <w:tab/>
      </w:r>
      <w:r w:rsidRPr="003C27C6">
        <w:rPr>
          <w:rFonts w:ascii="Arial" w:eastAsia="Arial" w:hAnsi="Arial" w:cs="Arial"/>
          <w:color w:val="000000" w:themeColor="text1"/>
          <w:sz w:val="22"/>
          <w:szCs w:val="22"/>
          <w:lang w:val="es-ES" w:eastAsia="es-ES" w:bidi="es-ES"/>
        </w:rPr>
        <w:t>Teniendo en cuenta lo anterior, se reitera la conclusión</w:t>
      </w:r>
      <w:r w:rsidR="00AE71B5" w:rsidRPr="003C27C6">
        <w:rPr>
          <w:rFonts w:ascii="Arial" w:eastAsia="Arial" w:hAnsi="Arial" w:cs="Arial"/>
          <w:color w:val="000000" w:themeColor="text1"/>
          <w:sz w:val="22"/>
          <w:szCs w:val="22"/>
          <w:lang w:val="es-ES" w:eastAsia="es-ES" w:bidi="es-ES"/>
        </w:rPr>
        <w:t>,</w:t>
      </w:r>
      <w:r w:rsidRPr="003C27C6">
        <w:rPr>
          <w:rFonts w:ascii="Arial" w:eastAsia="Arial" w:hAnsi="Arial" w:cs="Arial"/>
          <w:color w:val="000000" w:themeColor="text1"/>
          <w:sz w:val="22"/>
          <w:szCs w:val="22"/>
          <w:lang w:val="es-ES" w:eastAsia="es-ES" w:bidi="es-ES"/>
        </w:rPr>
        <w:t xml:space="preserve"> en el sentido de que lo que define los contratos o convenios interadministrativos es la naturaleza de las partes, de manera que están determinados por un criterio orgánico, en el entendido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08BB463D" w14:textId="641DFDEA" w:rsidR="00820D42" w:rsidRPr="003C27C6" w:rsidRDefault="00B540D4" w:rsidP="00BA6554">
      <w:pPr>
        <w:spacing w:line="276" w:lineRule="auto"/>
        <w:ind w:firstLine="708"/>
        <w:jc w:val="both"/>
        <w:rPr>
          <w:rFonts w:ascii="Arial" w:hAnsi="Arial" w:cs="Arial"/>
          <w:color w:val="000000" w:themeColor="text1"/>
          <w:sz w:val="22"/>
          <w:szCs w:val="22"/>
        </w:rPr>
      </w:pPr>
      <w:r w:rsidRPr="003C27C6">
        <w:rPr>
          <w:rFonts w:ascii="Arial" w:hAnsi="Arial" w:cs="Arial"/>
          <w:color w:val="000000" w:themeColor="text1"/>
          <w:sz w:val="22"/>
          <w:szCs w:val="22"/>
          <w:lang w:val="es-ES"/>
        </w:rPr>
        <w:t>Se evidencia que e</w:t>
      </w:r>
      <w:r w:rsidRPr="003C27C6">
        <w:rPr>
          <w:rFonts w:ascii="Arial" w:hAnsi="Arial" w:cs="Arial"/>
          <w:color w:val="000000" w:themeColor="text1"/>
          <w:sz w:val="22"/>
          <w:szCs w:val="22"/>
        </w:rPr>
        <w:t xml:space="preserve">l parágrafo del artículo 38 de la Ley 996 de 2005 prohíbe a los gobernadores, alcaldes, secretarios, gerentes y directores de las entidades estatales de orden Municipal, Departamental o Distrital, la celebración de convenios o contratos interadministrativos que ejecuten recursos públicos. En este sentido, si una o ambas partes son entidades estatales, de aquellas descritas en el parágrafo del artículo 38 </w:t>
      </w:r>
      <w:r w:rsidRPr="003C27C6">
        <w:rPr>
          <w:rFonts w:ascii="Arial" w:hAnsi="Arial" w:cs="Arial"/>
          <w:i/>
          <w:color w:val="000000" w:themeColor="text1"/>
          <w:sz w:val="22"/>
          <w:szCs w:val="22"/>
        </w:rPr>
        <w:t>ibidem</w:t>
      </w:r>
      <w:r w:rsidRPr="003C27C6">
        <w:rPr>
          <w:rFonts w:ascii="Arial" w:hAnsi="Arial" w:cs="Arial"/>
          <w:color w:val="000000" w:themeColor="text1"/>
          <w:sz w:val="22"/>
          <w:szCs w:val="22"/>
        </w:rPr>
        <w:t xml:space="preserve">, </w:t>
      </w:r>
      <w:r w:rsidR="00256A16" w:rsidRPr="003C27C6">
        <w:rPr>
          <w:rFonts w:ascii="Arial" w:hAnsi="Arial" w:cs="Arial"/>
          <w:color w:val="000000" w:themeColor="text1"/>
          <w:sz w:val="22"/>
          <w:szCs w:val="22"/>
        </w:rPr>
        <w:t xml:space="preserve">en principio, </w:t>
      </w:r>
      <w:r w:rsidRPr="003C27C6">
        <w:rPr>
          <w:rFonts w:ascii="Arial" w:hAnsi="Arial" w:cs="Arial"/>
          <w:color w:val="000000" w:themeColor="text1"/>
          <w:sz w:val="22"/>
          <w:szCs w:val="22"/>
        </w:rPr>
        <w:t xml:space="preserve">no podrán celebrar entre estas convenios o contratos durante el periodo electoral </w:t>
      </w:r>
      <w:r w:rsidR="00407A63" w:rsidRPr="003C27C6">
        <w:rPr>
          <w:rFonts w:ascii="Arial" w:hAnsi="Arial" w:cs="Arial"/>
          <w:color w:val="000000" w:themeColor="text1"/>
          <w:sz w:val="22"/>
          <w:szCs w:val="22"/>
        </w:rPr>
        <w:t>señalado en la norma</w:t>
      </w:r>
      <w:r w:rsidRPr="003C27C6">
        <w:rPr>
          <w:rFonts w:ascii="Arial" w:hAnsi="Arial" w:cs="Arial"/>
          <w:color w:val="000000" w:themeColor="text1"/>
          <w:sz w:val="22"/>
          <w:szCs w:val="22"/>
        </w:rPr>
        <w:t>, indistintamente de su objeto contractual, pues, como se anotó en precedencia, si las partes son entidades estatales su denominación será la de un contrato o convenio interadministrativo, y la celebración de dichos contratos está restringida en el parágrafo del artículo 38 de la Ley 996 de 2005, la cual no dispuso excepción alguna por su</w:t>
      </w:r>
      <w:r w:rsidRPr="003C27C6">
        <w:rPr>
          <w:rFonts w:ascii="Arial" w:hAnsi="Arial" w:cs="Arial"/>
          <w:color w:val="000000" w:themeColor="text1"/>
          <w:spacing w:val="-5"/>
          <w:sz w:val="22"/>
          <w:szCs w:val="22"/>
        </w:rPr>
        <w:t xml:space="preserve"> </w:t>
      </w:r>
      <w:r w:rsidRPr="003C27C6">
        <w:rPr>
          <w:rFonts w:ascii="Arial" w:hAnsi="Arial" w:cs="Arial"/>
          <w:color w:val="000000" w:themeColor="text1"/>
          <w:sz w:val="22"/>
          <w:szCs w:val="22"/>
        </w:rPr>
        <w:t>objeto.</w:t>
      </w:r>
    </w:p>
    <w:p w14:paraId="0C3E159F" w14:textId="77777777" w:rsidR="00B540D4" w:rsidRPr="003C27C6" w:rsidRDefault="00B540D4" w:rsidP="00423CF8">
      <w:pPr>
        <w:spacing w:line="276" w:lineRule="auto"/>
        <w:jc w:val="both"/>
        <w:rPr>
          <w:rFonts w:ascii="Arial" w:hAnsi="Arial" w:cs="Arial"/>
          <w:bCs/>
          <w:sz w:val="22"/>
          <w:szCs w:val="22"/>
          <w:lang w:eastAsia="es-CO"/>
        </w:rPr>
      </w:pPr>
    </w:p>
    <w:p w14:paraId="281BB5C3" w14:textId="77777777" w:rsidR="008D50D0" w:rsidRPr="003C27C6" w:rsidRDefault="008D50D0" w:rsidP="00423CF8">
      <w:pPr>
        <w:spacing w:line="276" w:lineRule="auto"/>
        <w:jc w:val="both"/>
        <w:rPr>
          <w:rFonts w:ascii="Arial" w:hAnsi="Arial" w:cs="Arial"/>
          <w:bCs/>
          <w:sz w:val="22"/>
          <w:szCs w:val="22"/>
          <w:lang w:eastAsia="es-CO"/>
        </w:rPr>
      </w:pPr>
    </w:p>
    <w:p w14:paraId="6CF9588C" w14:textId="77777777" w:rsidR="008D50D0" w:rsidRPr="003C27C6" w:rsidRDefault="008D50D0" w:rsidP="00423CF8">
      <w:pPr>
        <w:spacing w:line="276" w:lineRule="auto"/>
        <w:jc w:val="both"/>
        <w:rPr>
          <w:rFonts w:ascii="Arial" w:hAnsi="Arial" w:cs="Arial"/>
          <w:bCs/>
          <w:sz w:val="22"/>
          <w:szCs w:val="22"/>
          <w:lang w:eastAsia="es-CO"/>
        </w:rPr>
      </w:pPr>
    </w:p>
    <w:p w14:paraId="085C6ECF" w14:textId="4A0969FF" w:rsidR="00423CF8" w:rsidRPr="003C27C6" w:rsidRDefault="00B244DB" w:rsidP="00423CF8">
      <w:pPr>
        <w:tabs>
          <w:tab w:val="left" w:pos="426"/>
        </w:tabs>
        <w:spacing w:line="276" w:lineRule="auto"/>
        <w:jc w:val="both"/>
        <w:rPr>
          <w:rFonts w:ascii="Arial" w:eastAsia="Calibri" w:hAnsi="Arial" w:cs="Arial"/>
          <w:b/>
          <w:bCs/>
          <w:sz w:val="22"/>
          <w:szCs w:val="22"/>
          <w:lang w:eastAsia="en-US"/>
        </w:rPr>
      </w:pPr>
      <w:r w:rsidRPr="003C27C6">
        <w:rPr>
          <w:rFonts w:ascii="Arial" w:eastAsia="Calibri" w:hAnsi="Arial" w:cs="Arial"/>
          <w:b/>
          <w:bCs/>
          <w:sz w:val="22"/>
          <w:szCs w:val="22"/>
          <w:lang w:eastAsia="en-US"/>
        </w:rPr>
        <w:t>2.3.</w:t>
      </w:r>
      <w:r w:rsidR="00423CF8" w:rsidRPr="003C27C6">
        <w:rPr>
          <w:rFonts w:ascii="Arial" w:eastAsia="Calibri" w:hAnsi="Arial" w:cs="Arial"/>
          <w:b/>
          <w:bCs/>
          <w:sz w:val="22"/>
          <w:szCs w:val="22"/>
          <w:lang w:eastAsia="en-US"/>
        </w:rPr>
        <w:t>2.</w:t>
      </w:r>
      <w:r w:rsidRPr="003C27C6">
        <w:rPr>
          <w:rFonts w:ascii="Arial" w:eastAsia="Calibri" w:hAnsi="Arial" w:cs="Arial"/>
          <w:b/>
          <w:bCs/>
          <w:sz w:val="22"/>
          <w:szCs w:val="22"/>
          <w:lang w:eastAsia="en-US"/>
        </w:rPr>
        <w:t xml:space="preserve"> Modificación del artículo 124 de la Ley 2159 de 2021 a la Ley de Garantías Electorales</w:t>
      </w:r>
      <w:r w:rsidR="00FA14B9" w:rsidRPr="003C27C6">
        <w:rPr>
          <w:rFonts w:ascii="Arial" w:eastAsia="Calibri" w:hAnsi="Arial" w:cs="Arial"/>
          <w:b/>
          <w:bCs/>
          <w:sz w:val="22"/>
          <w:szCs w:val="22"/>
          <w:lang w:eastAsia="en-US"/>
        </w:rPr>
        <w:t>: alcance e interpretación</w:t>
      </w:r>
    </w:p>
    <w:p w14:paraId="23295D10" w14:textId="77777777" w:rsidR="00423CF8" w:rsidRPr="003C27C6" w:rsidRDefault="00423CF8" w:rsidP="00423CF8">
      <w:pPr>
        <w:tabs>
          <w:tab w:val="left" w:pos="426"/>
        </w:tabs>
        <w:spacing w:line="276" w:lineRule="auto"/>
        <w:jc w:val="both"/>
        <w:rPr>
          <w:rFonts w:ascii="Arial" w:eastAsia="Calibri" w:hAnsi="Arial" w:cs="Arial"/>
          <w:b/>
          <w:bCs/>
          <w:sz w:val="22"/>
          <w:szCs w:val="22"/>
          <w:lang w:eastAsia="en-US"/>
        </w:rPr>
      </w:pPr>
    </w:p>
    <w:p w14:paraId="7A1E1D05" w14:textId="460ECA8D" w:rsidR="00B244DB" w:rsidRPr="003C27C6" w:rsidRDefault="00B244DB" w:rsidP="00423CF8">
      <w:pPr>
        <w:tabs>
          <w:tab w:val="left" w:pos="426"/>
        </w:tabs>
        <w:spacing w:line="276" w:lineRule="auto"/>
        <w:jc w:val="both"/>
        <w:rPr>
          <w:rFonts w:ascii="Arial" w:eastAsia="Calibri" w:hAnsi="Arial" w:cs="Arial"/>
          <w:sz w:val="22"/>
          <w:szCs w:val="22"/>
          <w:lang w:eastAsia="en-US"/>
        </w:rPr>
      </w:pPr>
      <w:r w:rsidRPr="003C27C6">
        <w:rPr>
          <w:rFonts w:ascii="Arial" w:eastAsia="Calibri" w:hAnsi="Arial" w:cs="Arial"/>
          <w:sz w:val="22"/>
          <w:szCs w:val="22"/>
          <w:lang w:eastAsia="en-US"/>
        </w:rPr>
        <w:t xml:space="preserve">El 12 de noviembre de 2021 el Congreso de la República promulgó la Ley 2159 de 2021 «Por la cual se decreta el presupuesto de rentas y ley de apropiaciones para la vigencia fiscal del 1º de enero al 31 de diciembre de 2022». El artículo 124 de dicho cuerpo normativo modificó </w:t>
      </w:r>
      <w:r w:rsidR="00407A63" w:rsidRPr="003C27C6">
        <w:rPr>
          <w:rFonts w:ascii="Arial" w:eastAsia="Calibri" w:hAnsi="Arial" w:cs="Arial"/>
          <w:sz w:val="22"/>
          <w:szCs w:val="22"/>
          <w:lang w:eastAsia="en-US"/>
        </w:rPr>
        <w:t xml:space="preserve">parcialmente </w:t>
      </w:r>
      <w:r w:rsidRPr="003C27C6">
        <w:rPr>
          <w:rFonts w:ascii="Arial" w:eastAsia="Calibri" w:hAnsi="Arial" w:cs="Arial"/>
          <w:sz w:val="22"/>
          <w:szCs w:val="22"/>
          <w:lang w:eastAsia="en-US"/>
        </w:rPr>
        <w:t>el parágrafo del artículo 38 de la Ley 996 de 2005, en los siguientes términos:</w:t>
      </w:r>
    </w:p>
    <w:p w14:paraId="4DB5C1BE" w14:textId="77777777" w:rsidR="00423CF8" w:rsidRPr="003C27C6" w:rsidRDefault="00423CF8" w:rsidP="00423CF8">
      <w:pPr>
        <w:tabs>
          <w:tab w:val="left" w:pos="426"/>
        </w:tabs>
        <w:spacing w:line="276" w:lineRule="auto"/>
        <w:jc w:val="both"/>
        <w:rPr>
          <w:rFonts w:ascii="Arial" w:eastAsia="Calibri" w:hAnsi="Arial" w:cs="Arial"/>
          <w:b/>
          <w:bCs/>
          <w:sz w:val="22"/>
          <w:szCs w:val="22"/>
          <w:lang w:eastAsia="en-US"/>
        </w:rPr>
      </w:pPr>
    </w:p>
    <w:p w14:paraId="704C3F6D" w14:textId="1B46F644" w:rsidR="00B244DB" w:rsidRPr="003C27C6" w:rsidRDefault="00B244DB" w:rsidP="00B244DB">
      <w:pPr>
        <w:spacing w:after="120"/>
        <w:ind w:left="709" w:right="709"/>
        <w:jc w:val="both"/>
        <w:rPr>
          <w:rFonts w:ascii="Arial" w:eastAsia="Calibri" w:hAnsi="Arial" w:cs="Arial"/>
          <w:sz w:val="21"/>
          <w:szCs w:val="21"/>
          <w:lang w:eastAsia="en-US"/>
        </w:rPr>
      </w:pPr>
      <w:r w:rsidRPr="003C27C6">
        <w:rPr>
          <w:rFonts w:ascii="Arial" w:eastAsia="Calibri" w:hAnsi="Arial" w:cs="Arial"/>
          <w:sz w:val="21"/>
          <w:szCs w:val="21"/>
          <w:lang w:eastAsia="en-US"/>
        </w:rPr>
        <w:t>A</w:t>
      </w:r>
      <w:r w:rsidR="00407A63" w:rsidRPr="003C27C6">
        <w:rPr>
          <w:rFonts w:ascii="Arial" w:eastAsia="Calibri" w:hAnsi="Arial" w:cs="Arial"/>
          <w:sz w:val="21"/>
          <w:szCs w:val="21"/>
          <w:lang w:eastAsia="en-US"/>
        </w:rPr>
        <w:t>rtículo</w:t>
      </w:r>
      <w:r w:rsidRPr="003C27C6">
        <w:rPr>
          <w:rFonts w:ascii="Arial" w:eastAsia="Calibri" w:hAnsi="Arial" w:cs="Arial"/>
          <w:sz w:val="21"/>
          <w:szCs w:val="21"/>
          <w:lang w:eastAsia="en-US"/>
        </w:rPr>
        <w:t xml:space="preserve"> 124. Con el propósito de promover la reactivación económica y la generación de empleo en las regiones, a partir de la publicación de la presente ley y durante la vigencia fiscal 2022, </w:t>
      </w:r>
      <w:r w:rsidRPr="003C27C6">
        <w:rPr>
          <w:rFonts w:ascii="Arial" w:eastAsia="Calibri" w:hAnsi="Arial" w:cs="Arial"/>
          <w:i/>
          <w:sz w:val="21"/>
          <w:szCs w:val="21"/>
          <w:lang w:eastAsia="en-US"/>
        </w:rPr>
        <w:t>la Nación podrá celebrar convenios interadministrativos con las entidades territoriales para ejecutar programas y proyectos correspondientes al Presupuesto General de la Nación.</w:t>
      </w:r>
    </w:p>
    <w:p w14:paraId="382A271E" w14:textId="0C624148" w:rsidR="00B244DB" w:rsidRPr="003C27C6" w:rsidRDefault="00B244DB" w:rsidP="00B244DB">
      <w:pPr>
        <w:spacing w:after="120"/>
        <w:ind w:left="709" w:right="709"/>
        <w:jc w:val="both"/>
        <w:rPr>
          <w:rFonts w:ascii="Arial" w:eastAsia="Calibri" w:hAnsi="Arial" w:cs="Arial"/>
          <w:sz w:val="21"/>
          <w:szCs w:val="21"/>
          <w:lang w:eastAsia="en-US"/>
        </w:rPr>
      </w:pPr>
      <w:r w:rsidRPr="003C27C6">
        <w:rPr>
          <w:rFonts w:ascii="Arial" w:eastAsia="Calibri" w:hAnsi="Arial" w:cs="Arial"/>
          <w:sz w:val="21"/>
          <w:szCs w:val="21"/>
          <w:lang w:eastAsia="en-US"/>
        </w:rPr>
        <w:t>La presente disposición modifica únicamente en la parte pertinente el inciso primero del parágrafo del artículo 38 de la Ley 996 de 2005.</w:t>
      </w:r>
    </w:p>
    <w:p w14:paraId="442B80BE" w14:textId="306F31F0" w:rsidR="00B244DB" w:rsidRPr="003C27C6" w:rsidRDefault="00B244DB" w:rsidP="0054211B">
      <w:pPr>
        <w:ind w:left="709" w:right="709"/>
        <w:jc w:val="both"/>
        <w:rPr>
          <w:rFonts w:ascii="Arial" w:eastAsia="Calibri" w:hAnsi="Arial" w:cs="Arial"/>
          <w:sz w:val="21"/>
          <w:szCs w:val="21"/>
          <w:lang w:eastAsia="en-US"/>
        </w:rPr>
      </w:pPr>
      <w:r w:rsidRPr="003C27C6">
        <w:rPr>
          <w:rFonts w:ascii="Arial" w:eastAsia="Calibri" w:hAnsi="Arial" w:cs="Arial"/>
          <w:sz w:val="21"/>
          <w:szCs w:val="21"/>
          <w:lang w:eastAsia="en-US"/>
        </w:rPr>
        <w:t xml:space="preserve">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w:t>
      </w:r>
      <w:r w:rsidR="00E84999" w:rsidRPr="003C27C6">
        <w:rPr>
          <w:rFonts w:ascii="Arial" w:eastAsia="Calibri" w:hAnsi="Arial" w:cs="Arial"/>
          <w:sz w:val="21"/>
          <w:szCs w:val="21"/>
          <w:lang w:eastAsia="en-US"/>
        </w:rPr>
        <w:t>ejercerá dicho control especial</w:t>
      </w:r>
      <w:r w:rsidR="00F30597" w:rsidRPr="003C27C6">
        <w:rPr>
          <w:rFonts w:ascii="Arial" w:eastAsia="Calibri" w:hAnsi="Arial" w:cs="Arial"/>
          <w:sz w:val="22"/>
          <w:szCs w:val="22"/>
          <w:lang w:eastAsia="en-US"/>
        </w:rPr>
        <w:t>»</w:t>
      </w:r>
      <w:r w:rsidR="00E84999" w:rsidRPr="003C27C6">
        <w:rPr>
          <w:rFonts w:ascii="Arial" w:eastAsia="Calibri" w:hAnsi="Arial" w:cs="Arial"/>
          <w:sz w:val="21"/>
          <w:szCs w:val="21"/>
          <w:lang w:eastAsia="en-US"/>
        </w:rPr>
        <w:t xml:space="preserve"> (énfasis fuera de texto). </w:t>
      </w:r>
    </w:p>
    <w:p w14:paraId="676CA284" w14:textId="77777777" w:rsidR="00423CF8" w:rsidRPr="003C27C6" w:rsidRDefault="00423CF8" w:rsidP="0054211B">
      <w:pPr>
        <w:spacing w:line="276" w:lineRule="auto"/>
        <w:ind w:firstLine="709"/>
        <w:jc w:val="both"/>
        <w:rPr>
          <w:rFonts w:ascii="Arial" w:eastAsia="Calibri" w:hAnsi="Arial" w:cs="Arial"/>
          <w:sz w:val="22"/>
          <w:szCs w:val="22"/>
          <w:lang w:eastAsia="en-US"/>
        </w:rPr>
      </w:pPr>
    </w:p>
    <w:p w14:paraId="364DAA85" w14:textId="5A64BEAB" w:rsidR="00FA14B9" w:rsidRPr="003C27C6" w:rsidRDefault="00FA14B9" w:rsidP="00B244DB">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sz w:val="22"/>
          <w:szCs w:val="22"/>
          <w:lang w:eastAsia="en-US"/>
        </w:rPr>
        <w:t xml:space="preserve">Teniendo en cuenta el contenido del artículo 124 de la Ley 2159 de 2021, se </w:t>
      </w:r>
      <w:r w:rsidR="00E84999" w:rsidRPr="003C27C6">
        <w:rPr>
          <w:rFonts w:ascii="Arial" w:eastAsia="Calibri" w:hAnsi="Arial" w:cs="Arial"/>
          <w:sz w:val="22"/>
          <w:szCs w:val="22"/>
          <w:lang w:eastAsia="en-US"/>
        </w:rPr>
        <w:t xml:space="preserve">derivan </w:t>
      </w:r>
      <w:r w:rsidRPr="003C27C6">
        <w:rPr>
          <w:rFonts w:ascii="Arial" w:eastAsia="Calibri" w:hAnsi="Arial" w:cs="Arial"/>
          <w:sz w:val="22"/>
          <w:szCs w:val="22"/>
          <w:lang w:eastAsia="en-US"/>
        </w:rPr>
        <w:t>las siguientes reglas</w:t>
      </w:r>
      <w:r w:rsidR="006604C3" w:rsidRPr="003C27C6">
        <w:rPr>
          <w:rFonts w:ascii="Arial" w:eastAsia="Calibri" w:hAnsi="Arial" w:cs="Arial"/>
          <w:sz w:val="22"/>
          <w:szCs w:val="22"/>
          <w:lang w:eastAsia="en-US"/>
        </w:rPr>
        <w:t xml:space="preserve"> para las entidades estatales</w:t>
      </w:r>
      <w:r w:rsidRPr="003C27C6">
        <w:rPr>
          <w:rFonts w:ascii="Arial" w:eastAsia="Calibri" w:hAnsi="Arial" w:cs="Arial"/>
          <w:sz w:val="22"/>
          <w:szCs w:val="22"/>
          <w:lang w:eastAsia="en-US"/>
        </w:rPr>
        <w:t>:</w:t>
      </w:r>
    </w:p>
    <w:p w14:paraId="53F6C081" w14:textId="264DA78C" w:rsidR="00B244DB" w:rsidRPr="003C27C6" w:rsidRDefault="00FA14B9" w:rsidP="00B244DB">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1.</w:t>
      </w:r>
      <w:r w:rsidRPr="003C27C6">
        <w:rPr>
          <w:rFonts w:ascii="Arial" w:eastAsia="Calibri" w:hAnsi="Arial" w:cs="Arial"/>
          <w:sz w:val="22"/>
          <w:szCs w:val="22"/>
          <w:lang w:eastAsia="en-US"/>
        </w:rPr>
        <w:t xml:space="preserve"> E</w:t>
      </w:r>
      <w:r w:rsidR="00E84999" w:rsidRPr="003C27C6">
        <w:rPr>
          <w:rFonts w:ascii="Arial" w:eastAsia="Calibri" w:hAnsi="Arial" w:cs="Arial"/>
          <w:sz w:val="22"/>
          <w:szCs w:val="22"/>
          <w:lang w:eastAsia="en-US"/>
        </w:rPr>
        <w:t xml:space="preserve">l alcance del artículo 124 de la Ley 2159 de 2021 </w:t>
      </w:r>
      <w:r w:rsidR="00200759" w:rsidRPr="003C27C6">
        <w:rPr>
          <w:rFonts w:ascii="Arial" w:eastAsia="Calibri" w:hAnsi="Arial" w:cs="Arial"/>
          <w:sz w:val="22"/>
          <w:szCs w:val="22"/>
          <w:lang w:eastAsia="en-US"/>
        </w:rPr>
        <w:t>tiene como cometido</w:t>
      </w:r>
      <w:r w:rsidR="00B244DB" w:rsidRPr="003C27C6">
        <w:rPr>
          <w:rFonts w:ascii="Arial" w:eastAsia="Calibri" w:hAnsi="Arial" w:cs="Arial"/>
          <w:sz w:val="22"/>
          <w:szCs w:val="22"/>
          <w:lang w:eastAsia="en-US"/>
        </w:rPr>
        <w:t xml:space="preserve">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3C43F9A4" w14:textId="65A2BC41" w:rsidR="00B244DB" w:rsidRPr="003C27C6" w:rsidRDefault="00FA14B9" w:rsidP="00B244DB">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2.</w:t>
      </w:r>
      <w:r w:rsidRPr="003C27C6">
        <w:rPr>
          <w:rFonts w:ascii="Arial" w:eastAsia="Calibri" w:hAnsi="Arial" w:cs="Arial"/>
          <w:sz w:val="22"/>
          <w:szCs w:val="22"/>
          <w:lang w:eastAsia="en-US"/>
        </w:rPr>
        <w:t xml:space="preserve"> Durante </w:t>
      </w:r>
      <w:r w:rsidR="00B244DB" w:rsidRPr="003C27C6">
        <w:rPr>
          <w:rFonts w:ascii="Arial" w:eastAsia="Calibri" w:hAnsi="Arial" w:cs="Arial"/>
          <w:sz w:val="22"/>
          <w:szCs w:val="22"/>
          <w:lang w:eastAsia="en-US"/>
        </w:rPr>
        <w:t>los cuatro (4) meses previos a la elección preside</w:t>
      </w:r>
      <w:r w:rsidR="00E84999" w:rsidRPr="003C27C6">
        <w:rPr>
          <w:rFonts w:ascii="Arial" w:eastAsia="Calibri" w:hAnsi="Arial" w:cs="Arial"/>
          <w:sz w:val="22"/>
          <w:szCs w:val="22"/>
          <w:lang w:eastAsia="en-US"/>
        </w:rPr>
        <w:t xml:space="preserve">ncial del año 2022 solamente </w:t>
      </w:r>
      <w:r w:rsidR="00B244DB" w:rsidRPr="003C27C6">
        <w:rPr>
          <w:rFonts w:ascii="Arial" w:eastAsia="Calibri" w:hAnsi="Arial" w:cs="Arial"/>
          <w:sz w:val="22"/>
          <w:szCs w:val="22"/>
          <w:lang w:eastAsia="en-US"/>
        </w:rPr>
        <w:t>podrán celebrar</w:t>
      </w:r>
      <w:r w:rsidR="00E84999" w:rsidRPr="003C27C6">
        <w:rPr>
          <w:rFonts w:ascii="Arial" w:eastAsia="Calibri" w:hAnsi="Arial" w:cs="Arial"/>
          <w:sz w:val="22"/>
          <w:szCs w:val="22"/>
          <w:lang w:eastAsia="en-US"/>
        </w:rPr>
        <w:t>se</w:t>
      </w:r>
      <w:r w:rsidR="00B244DB" w:rsidRPr="003C27C6">
        <w:rPr>
          <w:rFonts w:ascii="Arial" w:eastAsia="Calibri" w:hAnsi="Arial" w:cs="Arial"/>
          <w:sz w:val="22"/>
          <w:szCs w:val="22"/>
          <w:lang w:eastAsia="en-US"/>
        </w:rPr>
        <w:t xml:space="preserve"> convenios </w:t>
      </w:r>
      <w:r w:rsidR="006B2552" w:rsidRPr="003C27C6">
        <w:rPr>
          <w:rFonts w:ascii="Arial" w:eastAsia="Calibri" w:hAnsi="Arial" w:cs="Arial"/>
          <w:sz w:val="22"/>
          <w:szCs w:val="22"/>
          <w:lang w:eastAsia="en-US"/>
        </w:rPr>
        <w:t>o contratos inter</w:t>
      </w:r>
      <w:r w:rsidR="00B244DB" w:rsidRPr="003C27C6">
        <w:rPr>
          <w:rFonts w:ascii="Arial" w:eastAsia="Calibri" w:hAnsi="Arial" w:cs="Arial"/>
          <w:sz w:val="22"/>
          <w:szCs w:val="22"/>
          <w:lang w:eastAsia="en-US"/>
        </w:rPr>
        <w:t>administrativos cuando el proces</w:t>
      </w:r>
      <w:r w:rsidR="00646880" w:rsidRPr="003C27C6">
        <w:rPr>
          <w:rFonts w:ascii="Arial" w:eastAsia="Calibri" w:hAnsi="Arial" w:cs="Arial"/>
          <w:sz w:val="22"/>
          <w:szCs w:val="22"/>
          <w:lang w:eastAsia="en-US"/>
        </w:rPr>
        <w:t xml:space="preserve">o de selección aplicable sea una convocatoria pública </w:t>
      </w:r>
      <w:r w:rsidR="00B244DB" w:rsidRPr="003C27C6">
        <w:rPr>
          <w:rFonts w:ascii="Arial" w:eastAsia="Calibri" w:hAnsi="Arial" w:cs="Arial"/>
          <w:sz w:val="22"/>
          <w:szCs w:val="22"/>
          <w:lang w:eastAsia="en-US"/>
        </w:rPr>
        <w:t>y se presente la circunstancia a la que se refiere el artículo 124 de la Ley 2159 de 2021</w:t>
      </w:r>
      <w:r w:rsidR="00A56CE5" w:rsidRPr="003C27C6">
        <w:rPr>
          <w:rFonts w:ascii="Arial" w:eastAsia="Calibri" w:hAnsi="Arial" w:cs="Arial"/>
          <w:sz w:val="22"/>
          <w:szCs w:val="22"/>
          <w:lang w:eastAsia="en-US"/>
        </w:rPr>
        <w:t>, es decir, para la ejecución de proyectos y programas correspondientes al Presupuesto General de la Nación</w:t>
      </w:r>
      <w:r w:rsidR="00B244DB" w:rsidRPr="003C27C6">
        <w:rPr>
          <w:rFonts w:ascii="Arial" w:eastAsia="Calibri" w:hAnsi="Arial" w:cs="Arial"/>
          <w:sz w:val="22"/>
          <w:szCs w:val="22"/>
          <w:lang w:eastAsia="en-US"/>
        </w:rPr>
        <w:t>. Por lo demás, esta norma no modifica el artículo 33 de la Ley de Garantías Electorales, en consideración a lo cual las restricciones a la contratación directa previstas en este</w:t>
      </w:r>
      <w:r w:rsidR="00646880" w:rsidRPr="003C27C6">
        <w:rPr>
          <w:rFonts w:ascii="Arial" w:eastAsia="Calibri" w:hAnsi="Arial" w:cs="Arial"/>
          <w:sz w:val="22"/>
          <w:szCs w:val="22"/>
          <w:lang w:eastAsia="en-US"/>
        </w:rPr>
        <w:t xml:space="preserve"> artículo permanecen incólumes, esto es, lo que no implique un proceso plural y competitivo de oferentes. </w:t>
      </w:r>
    </w:p>
    <w:p w14:paraId="16CCEE2F" w14:textId="4D56F6FB" w:rsidR="00B244DB" w:rsidRPr="003C27C6" w:rsidRDefault="00A56CE5" w:rsidP="00A56CE5">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3.</w:t>
      </w:r>
      <w:r w:rsidRPr="003C27C6">
        <w:rPr>
          <w:rFonts w:ascii="Arial" w:eastAsia="Calibri" w:hAnsi="Arial" w:cs="Arial"/>
          <w:sz w:val="22"/>
          <w:szCs w:val="22"/>
          <w:lang w:eastAsia="en-US"/>
        </w:rPr>
        <w:t xml:space="preserve"> La </w:t>
      </w:r>
      <w:r w:rsidR="00B244DB" w:rsidRPr="003C27C6">
        <w:rPr>
          <w:rFonts w:ascii="Arial" w:eastAsia="Calibri" w:hAnsi="Arial" w:cs="Arial"/>
          <w:sz w:val="22"/>
          <w:szCs w:val="22"/>
          <w:lang w:eastAsia="en-US"/>
        </w:rPr>
        <w:t>aplicación del artículo 124 de la Ley 2159 de 2021 se restringe a un criterio orgánico, pues se requiere que uno de los extremos contractuales sea la Nación y el otro una entidad territorial, para que la celebración del convenio o contrato admin</w:t>
      </w:r>
      <w:r w:rsidRPr="003C27C6">
        <w:rPr>
          <w:rFonts w:ascii="Arial" w:eastAsia="Calibri" w:hAnsi="Arial" w:cs="Arial"/>
          <w:sz w:val="22"/>
          <w:szCs w:val="22"/>
          <w:lang w:eastAsia="en-US"/>
        </w:rPr>
        <w:t xml:space="preserve">istrativo sea procedente. En estos términos, no es posible la celebración de convenios o contratos interadministrativos entre entidades descentralizadas del orden territorial, pues </w:t>
      </w:r>
      <w:r w:rsidR="009D620C" w:rsidRPr="003C27C6">
        <w:rPr>
          <w:rFonts w:ascii="Arial" w:eastAsia="Calibri" w:hAnsi="Arial" w:cs="Arial"/>
          <w:sz w:val="22"/>
          <w:szCs w:val="22"/>
          <w:lang w:eastAsia="en-US"/>
        </w:rPr>
        <w:t xml:space="preserve">la posibilidad que otorga el artículo 124 de la Ley 2159 de 2021 </w:t>
      </w:r>
      <w:r w:rsidRPr="003C27C6">
        <w:rPr>
          <w:rFonts w:ascii="Arial" w:eastAsia="Calibri" w:hAnsi="Arial" w:cs="Arial"/>
          <w:sz w:val="22"/>
          <w:szCs w:val="22"/>
          <w:lang w:eastAsia="en-US"/>
        </w:rPr>
        <w:t xml:space="preserve">se somete a la condición que una de las partes sea </w:t>
      </w:r>
      <w:r w:rsidR="00F1026D" w:rsidRPr="003C27C6">
        <w:rPr>
          <w:rFonts w:ascii="Arial" w:eastAsia="Calibri" w:hAnsi="Arial" w:cs="Arial"/>
          <w:sz w:val="22"/>
          <w:szCs w:val="22"/>
          <w:lang w:eastAsia="en-US"/>
        </w:rPr>
        <w:t>la Nación</w:t>
      </w:r>
      <w:r w:rsidRPr="003C27C6">
        <w:rPr>
          <w:rFonts w:ascii="Arial" w:eastAsia="Calibri" w:hAnsi="Arial" w:cs="Arial"/>
          <w:sz w:val="22"/>
          <w:szCs w:val="22"/>
          <w:lang w:eastAsia="en-US"/>
        </w:rPr>
        <w:t xml:space="preserve">, con el fin de ejecutar proyectos o programas que correspondan al Presupuesto General de la Nación. </w:t>
      </w:r>
      <w:r w:rsidR="006604C3" w:rsidRPr="003C27C6">
        <w:rPr>
          <w:rFonts w:ascii="Arial" w:eastAsia="Calibri" w:hAnsi="Arial" w:cs="Arial"/>
          <w:sz w:val="22"/>
          <w:szCs w:val="22"/>
          <w:lang w:eastAsia="en-US"/>
        </w:rPr>
        <w:t xml:space="preserve">Por ejemplo, durante los cuatro (4) meses anteriores a las elecciones, dos municipios o un municipio </w:t>
      </w:r>
      <w:r w:rsidR="00C37ACC" w:rsidRPr="003C27C6">
        <w:rPr>
          <w:rFonts w:ascii="Arial" w:eastAsia="Calibri" w:hAnsi="Arial" w:cs="Arial"/>
          <w:sz w:val="22"/>
          <w:szCs w:val="22"/>
          <w:lang w:eastAsia="en-US"/>
        </w:rPr>
        <w:t xml:space="preserve">y </w:t>
      </w:r>
      <w:r w:rsidR="006604C3" w:rsidRPr="003C27C6">
        <w:rPr>
          <w:rFonts w:ascii="Arial" w:eastAsia="Calibri" w:hAnsi="Arial" w:cs="Arial"/>
          <w:sz w:val="22"/>
          <w:szCs w:val="22"/>
          <w:lang w:eastAsia="en-US"/>
        </w:rPr>
        <w:t>un departamento o entidad descentralizada territorial</w:t>
      </w:r>
      <w:r w:rsidR="0025540B" w:rsidRPr="003C27C6">
        <w:rPr>
          <w:rFonts w:ascii="Arial" w:eastAsia="Calibri" w:hAnsi="Arial" w:cs="Arial"/>
          <w:sz w:val="22"/>
          <w:szCs w:val="22"/>
          <w:lang w:eastAsia="en-US"/>
        </w:rPr>
        <w:t>,</w:t>
      </w:r>
      <w:r w:rsidR="006604C3" w:rsidRPr="003C27C6">
        <w:rPr>
          <w:rFonts w:ascii="Arial" w:eastAsia="Calibri" w:hAnsi="Arial" w:cs="Arial"/>
          <w:sz w:val="22"/>
          <w:szCs w:val="22"/>
          <w:lang w:eastAsia="en-US"/>
        </w:rPr>
        <w:t xml:space="preserve"> </w:t>
      </w:r>
      <w:r w:rsidR="00C37ACC" w:rsidRPr="003C27C6">
        <w:rPr>
          <w:rFonts w:ascii="Arial" w:eastAsia="Calibri" w:hAnsi="Arial" w:cs="Arial"/>
          <w:sz w:val="22"/>
          <w:szCs w:val="22"/>
          <w:lang w:eastAsia="en-US"/>
        </w:rPr>
        <w:t>queda</w:t>
      </w:r>
      <w:r w:rsidR="0025540B" w:rsidRPr="003C27C6">
        <w:rPr>
          <w:rFonts w:ascii="Arial" w:eastAsia="Calibri" w:hAnsi="Arial" w:cs="Arial"/>
          <w:sz w:val="22"/>
          <w:szCs w:val="22"/>
          <w:lang w:eastAsia="en-US"/>
        </w:rPr>
        <w:t>n</w:t>
      </w:r>
      <w:r w:rsidR="00C37ACC" w:rsidRPr="003C27C6">
        <w:rPr>
          <w:rFonts w:ascii="Arial" w:eastAsia="Calibri" w:hAnsi="Arial" w:cs="Arial"/>
          <w:sz w:val="22"/>
          <w:szCs w:val="22"/>
          <w:lang w:eastAsia="en-US"/>
        </w:rPr>
        <w:t xml:space="preserve"> cubiertos por la prohibición original del parágrafo del artículo 38 de la Ley de Garantías Electorales</w:t>
      </w:r>
      <w:r w:rsidR="006604C3" w:rsidRPr="003C27C6">
        <w:rPr>
          <w:rFonts w:ascii="Arial" w:eastAsia="Calibri" w:hAnsi="Arial" w:cs="Arial"/>
          <w:sz w:val="22"/>
          <w:szCs w:val="22"/>
          <w:lang w:eastAsia="en-US"/>
        </w:rPr>
        <w:t xml:space="preserve">.  </w:t>
      </w:r>
    </w:p>
    <w:p w14:paraId="4EDA403D" w14:textId="167E04B7" w:rsidR="00B244DB" w:rsidRPr="003C27C6" w:rsidRDefault="00200759" w:rsidP="0020075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4.</w:t>
      </w:r>
      <w:r w:rsidRPr="003C27C6">
        <w:rPr>
          <w:rFonts w:ascii="Arial" w:eastAsia="Calibri" w:hAnsi="Arial" w:cs="Arial"/>
          <w:sz w:val="22"/>
          <w:szCs w:val="22"/>
          <w:lang w:eastAsia="en-US"/>
        </w:rPr>
        <w:t xml:space="preserve"> E</w:t>
      </w:r>
      <w:r w:rsidR="00B244DB" w:rsidRPr="003C27C6">
        <w:rPr>
          <w:rFonts w:ascii="Arial" w:eastAsia="Calibri" w:hAnsi="Arial" w:cs="Arial"/>
          <w:sz w:val="22"/>
          <w:szCs w:val="22"/>
          <w:lang w:eastAsia="en-US"/>
        </w:rPr>
        <w:t>l objeto contractual de los convenios</w:t>
      </w:r>
      <w:r w:rsidRPr="003C27C6">
        <w:rPr>
          <w:rFonts w:ascii="Arial" w:eastAsia="Calibri" w:hAnsi="Arial" w:cs="Arial"/>
          <w:sz w:val="22"/>
          <w:szCs w:val="22"/>
          <w:lang w:eastAsia="en-US"/>
        </w:rPr>
        <w:t xml:space="preserve"> o contratos</w:t>
      </w:r>
      <w:r w:rsidR="00B244DB" w:rsidRPr="003C27C6">
        <w:rPr>
          <w:rFonts w:ascii="Arial" w:eastAsia="Calibri" w:hAnsi="Arial" w:cs="Arial"/>
          <w:sz w:val="22"/>
          <w:szCs w:val="22"/>
          <w:lang w:eastAsia="en-US"/>
        </w:rPr>
        <w:t xml:space="preserve"> interadministrativos </w:t>
      </w:r>
      <w:r w:rsidRPr="003C27C6">
        <w:rPr>
          <w:rFonts w:ascii="Arial" w:eastAsia="Calibri" w:hAnsi="Arial" w:cs="Arial"/>
          <w:sz w:val="22"/>
          <w:szCs w:val="22"/>
          <w:lang w:eastAsia="en-US"/>
        </w:rPr>
        <w:t xml:space="preserve">debe limitarse </w:t>
      </w:r>
      <w:r w:rsidR="00B244DB" w:rsidRPr="003C27C6">
        <w:rPr>
          <w:rFonts w:ascii="Arial" w:eastAsia="Calibri" w:hAnsi="Arial" w:cs="Arial"/>
          <w:sz w:val="22"/>
          <w:szCs w:val="22"/>
          <w:lang w:eastAsia="en-US"/>
        </w:rPr>
        <w:t xml:space="preserve">a la ejecución de programas y proyectos correspondientes al Presupuesto General de la Nación. </w:t>
      </w:r>
      <w:r w:rsidRPr="003C27C6">
        <w:rPr>
          <w:rFonts w:ascii="Arial" w:eastAsia="Calibri" w:hAnsi="Arial" w:cs="Arial"/>
          <w:sz w:val="22"/>
          <w:szCs w:val="22"/>
          <w:lang w:eastAsia="en-US"/>
        </w:rPr>
        <w:t xml:space="preserve">Es decir, se establece un criterio material, </w:t>
      </w:r>
      <w:r w:rsidR="00F43A51" w:rsidRPr="003C27C6">
        <w:rPr>
          <w:rFonts w:ascii="Arial" w:eastAsia="Calibri" w:hAnsi="Arial" w:cs="Arial"/>
          <w:sz w:val="22"/>
          <w:szCs w:val="22"/>
          <w:lang w:eastAsia="en-US"/>
        </w:rPr>
        <w:t>del cual se deriva</w:t>
      </w:r>
      <w:r w:rsidRPr="003C27C6">
        <w:rPr>
          <w:rFonts w:ascii="Arial" w:eastAsia="Calibri" w:hAnsi="Arial" w:cs="Arial"/>
          <w:sz w:val="22"/>
          <w:szCs w:val="22"/>
          <w:lang w:eastAsia="en-US"/>
        </w:rPr>
        <w:t xml:space="preserve"> que</w:t>
      </w:r>
      <w:r w:rsidR="00423CF8" w:rsidRPr="003C27C6">
        <w:rPr>
          <w:rFonts w:ascii="Arial" w:eastAsia="Calibri" w:hAnsi="Arial" w:cs="Arial"/>
          <w:sz w:val="22"/>
          <w:szCs w:val="22"/>
          <w:lang w:eastAsia="en-US"/>
        </w:rPr>
        <w:t>,</w:t>
      </w:r>
      <w:r w:rsidRPr="003C27C6">
        <w:rPr>
          <w:rFonts w:ascii="Arial" w:eastAsia="Calibri" w:hAnsi="Arial" w:cs="Arial"/>
          <w:sz w:val="22"/>
          <w:szCs w:val="22"/>
          <w:lang w:eastAsia="en-US"/>
        </w:rPr>
        <w:t xml:space="preserve"> </w:t>
      </w:r>
      <w:r w:rsidR="00B244DB" w:rsidRPr="003C27C6">
        <w:rPr>
          <w:rFonts w:ascii="Arial" w:eastAsia="Calibri" w:hAnsi="Arial" w:cs="Arial"/>
          <w:sz w:val="22"/>
          <w:szCs w:val="22"/>
          <w:lang w:eastAsia="en-US"/>
        </w:rPr>
        <w:t xml:space="preserve">durante los cuatro meses previos a las elecciones, queda prohibido celebrar </w:t>
      </w:r>
      <w:proofErr w:type="gramStart"/>
      <w:r w:rsidR="00B244DB" w:rsidRPr="003C27C6">
        <w:rPr>
          <w:rFonts w:ascii="Arial" w:eastAsia="Calibri" w:hAnsi="Arial" w:cs="Arial"/>
          <w:sz w:val="22"/>
          <w:szCs w:val="22"/>
          <w:lang w:eastAsia="en-US"/>
        </w:rPr>
        <w:t>convenios interadministrativos</w:t>
      </w:r>
      <w:r w:rsidR="00423CF8" w:rsidRPr="003C27C6">
        <w:rPr>
          <w:rFonts w:ascii="Arial" w:eastAsia="Calibri" w:hAnsi="Arial" w:cs="Arial"/>
          <w:sz w:val="22"/>
          <w:szCs w:val="22"/>
          <w:lang w:eastAsia="en-US"/>
        </w:rPr>
        <w:t xml:space="preserve"> o contratos interadministrativos</w:t>
      </w:r>
      <w:proofErr w:type="gramEnd"/>
      <w:r w:rsidR="00B244DB" w:rsidRPr="003C27C6">
        <w:rPr>
          <w:rFonts w:ascii="Arial" w:eastAsia="Calibri" w:hAnsi="Arial" w:cs="Arial"/>
          <w:sz w:val="22"/>
          <w:szCs w:val="22"/>
          <w:lang w:eastAsia="en-US"/>
        </w:rPr>
        <w:t xml:space="preserve"> que no se relacionen con programas y proyectos que ejecuten recursos </w:t>
      </w:r>
      <w:r w:rsidR="00E84999" w:rsidRPr="003C27C6">
        <w:rPr>
          <w:rFonts w:ascii="Arial" w:eastAsia="Calibri" w:hAnsi="Arial" w:cs="Arial"/>
          <w:sz w:val="22"/>
          <w:szCs w:val="22"/>
          <w:lang w:eastAsia="en-US"/>
        </w:rPr>
        <w:t xml:space="preserve">del Presupuesto General de la Nación. </w:t>
      </w:r>
    </w:p>
    <w:p w14:paraId="25DF42B9" w14:textId="207A8FED" w:rsidR="00B244DB" w:rsidRPr="003C27C6" w:rsidRDefault="00423CF8" w:rsidP="00B244DB">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5.</w:t>
      </w:r>
      <w:r w:rsidRPr="003C27C6">
        <w:rPr>
          <w:rFonts w:ascii="Arial" w:eastAsia="Calibri" w:hAnsi="Arial" w:cs="Arial"/>
          <w:sz w:val="22"/>
          <w:szCs w:val="22"/>
          <w:lang w:eastAsia="en-US"/>
        </w:rPr>
        <w:t xml:space="preserve"> </w:t>
      </w:r>
      <w:r w:rsidR="00F30597" w:rsidRPr="003C27C6">
        <w:rPr>
          <w:rFonts w:ascii="Arial" w:eastAsia="Calibri" w:hAnsi="Arial" w:cs="Arial"/>
          <w:sz w:val="22"/>
          <w:szCs w:val="22"/>
          <w:lang w:eastAsia="en-US"/>
        </w:rPr>
        <w:t>E</w:t>
      </w:r>
      <w:r w:rsidR="00B244DB" w:rsidRPr="003C27C6">
        <w:rPr>
          <w:rFonts w:ascii="Arial" w:eastAsia="Calibri" w:hAnsi="Arial" w:cs="Arial"/>
          <w:sz w:val="22"/>
          <w:szCs w:val="22"/>
          <w:lang w:eastAsia="en-US"/>
        </w:rPr>
        <w:t>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601D4FCD" w14:textId="2C565DCA" w:rsidR="006604C3" w:rsidRPr="003C27C6" w:rsidRDefault="006604C3" w:rsidP="006604C3">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6.</w:t>
      </w:r>
      <w:r w:rsidRPr="003C27C6">
        <w:rPr>
          <w:rFonts w:ascii="Arial" w:eastAsia="Calibri" w:hAnsi="Arial" w:cs="Arial"/>
          <w:b/>
          <w:sz w:val="22"/>
          <w:szCs w:val="22"/>
          <w:lang w:eastAsia="en-US"/>
        </w:rPr>
        <w:t xml:space="preserve"> </w:t>
      </w:r>
      <w:r w:rsidRPr="003C27C6">
        <w:rPr>
          <w:rFonts w:ascii="Arial" w:eastAsia="Calibri" w:hAnsi="Arial" w:cs="Arial"/>
          <w:sz w:val="22"/>
          <w:szCs w:val="22"/>
          <w:lang w:eastAsia="en-US"/>
        </w:rPr>
        <w:t xml:space="preserve">Se establece que los convenios o contratos interadministrativos </w:t>
      </w:r>
      <w:r w:rsidRPr="003C27C6">
        <w:rPr>
          <w:rFonts w:ascii="Arial" w:eastAsia="Calibri" w:hAnsi="Arial" w:cs="Arial"/>
          <w:sz w:val="21"/>
          <w:szCs w:val="21"/>
          <w:lang w:eastAsia="en-US"/>
        </w:rPr>
        <w:t>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225265E5" w14:textId="5CE4174E" w:rsidR="003A231A" w:rsidRPr="003C27C6" w:rsidRDefault="00423CF8" w:rsidP="006D04CD">
      <w:pPr>
        <w:spacing w:line="276" w:lineRule="auto"/>
        <w:ind w:firstLine="709"/>
        <w:jc w:val="both"/>
        <w:rPr>
          <w:rFonts w:ascii="Arial" w:eastAsia="Calibri" w:hAnsi="Arial" w:cs="Arial"/>
          <w:sz w:val="22"/>
          <w:szCs w:val="22"/>
          <w:lang w:eastAsia="en-US"/>
        </w:rPr>
      </w:pPr>
      <w:r w:rsidRPr="003C27C6">
        <w:rPr>
          <w:rFonts w:ascii="Arial" w:eastAsia="Calibri" w:hAnsi="Arial" w:cs="Arial"/>
          <w:sz w:val="22"/>
          <w:szCs w:val="22"/>
          <w:lang w:eastAsia="en-US"/>
        </w:rPr>
        <w:t xml:space="preserve">De acuerdo </w:t>
      </w:r>
      <w:r w:rsidR="000C7CC5" w:rsidRPr="003C27C6">
        <w:rPr>
          <w:rFonts w:ascii="Arial" w:eastAsia="Calibri" w:hAnsi="Arial" w:cs="Arial"/>
          <w:sz w:val="22"/>
          <w:szCs w:val="22"/>
          <w:lang w:eastAsia="en-US"/>
        </w:rPr>
        <w:t>con</w:t>
      </w:r>
      <w:r w:rsidRPr="003C27C6">
        <w:rPr>
          <w:rFonts w:ascii="Arial" w:eastAsia="Calibri" w:hAnsi="Arial" w:cs="Arial"/>
          <w:sz w:val="22"/>
          <w:szCs w:val="22"/>
          <w:lang w:eastAsia="en-US"/>
        </w:rPr>
        <w:t xml:space="preserve"> las anteriores consideraciones, </w:t>
      </w:r>
      <w:r w:rsidR="00B244DB" w:rsidRPr="003C27C6">
        <w:rPr>
          <w:rFonts w:ascii="Arial" w:eastAsia="Calibri" w:hAnsi="Arial" w:cs="Arial"/>
          <w:sz w:val="22"/>
          <w:szCs w:val="22"/>
          <w:lang w:eastAsia="en-US"/>
        </w:rPr>
        <w:t xml:space="preserve">la </w:t>
      </w:r>
      <w:r w:rsidRPr="003C27C6">
        <w:rPr>
          <w:rFonts w:ascii="Arial" w:eastAsia="Calibri" w:hAnsi="Arial" w:cs="Arial"/>
          <w:sz w:val="22"/>
          <w:szCs w:val="22"/>
          <w:lang w:eastAsia="en-US"/>
        </w:rPr>
        <w:t xml:space="preserve">promulgación y expedición </w:t>
      </w:r>
      <w:r w:rsidR="00B244DB" w:rsidRPr="003C27C6">
        <w:rPr>
          <w:rFonts w:ascii="Arial" w:eastAsia="Calibri" w:hAnsi="Arial" w:cs="Arial"/>
          <w:sz w:val="22"/>
          <w:szCs w:val="22"/>
          <w:lang w:eastAsia="en-US"/>
        </w:rPr>
        <w:t>de la Ley 2159 de 2021 no deroga la Ley 996 de 2005, sino que modifica d</w:t>
      </w:r>
      <w:r w:rsidR="00B244DB" w:rsidRPr="003C27C6">
        <w:rPr>
          <w:rFonts w:ascii="Arial" w:eastAsia="Calibri" w:hAnsi="Arial" w:cs="Arial"/>
          <w:i/>
          <w:iCs/>
          <w:sz w:val="22"/>
          <w:szCs w:val="22"/>
          <w:lang w:eastAsia="en-US"/>
        </w:rPr>
        <w:t>e manera transitoria y parcial</w:t>
      </w:r>
      <w:r w:rsidR="00B244DB" w:rsidRPr="003C27C6">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1E10E97E" w14:textId="77777777" w:rsidR="006D04CD" w:rsidRPr="003C27C6" w:rsidRDefault="006D04CD" w:rsidP="006D04CD">
      <w:pPr>
        <w:spacing w:line="276" w:lineRule="auto"/>
        <w:ind w:firstLine="709"/>
        <w:jc w:val="both"/>
        <w:rPr>
          <w:rFonts w:ascii="Arial" w:eastAsia="Calibri" w:hAnsi="Arial" w:cs="Arial"/>
          <w:sz w:val="22"/>
          <w:szCs w:val="22"/>
          <w:lang w:eastAsia="en-US"/>
        </w:rPr>
      </w:pPr>
    </w:p>
    <w:p w14:paraId="00E67626" w14:textId="1D43C227" w:rsidR="00646880" w:rsidRPr="003C27C6" w:rsidRDefault="00B523D3" w:rsidP="006D04CD">
      <w:pPr>
        <w:spacing w:line="276" w:lineRule="auto"/>
        <w:jc w:val="both"/>
        <w:rPr>
          <w:rFonts w:ascii="Arial" w:hAnsi="Arial" w:cs="Arial"/>
          <w:b/>
          <w:color w:val="000000" w:themeColor="text1"/>
          <w:sz w:val="22"/>
        </w:rPr>
      </w:pPr>
      <w:r w:rsidRPr="003C27C6">
        <w:rPr>
          <w:rFonts w:ascii="Arial" w:hAnsi="Arial" w:cs="Arial"/>
          <w:b/>
          <w:color w:val="000000" w:themeColor="text1"/>
          <w:sz w:val="22"/>
        </w:rPr>
        <w:t>2.4</w:t>
      </w:r>
      <w:r w:rsidR="00646880" w:rsidRPr="003C27C6">
        <w:rPr>
          <w:rFonts w:ascii="Arial" w:hAnsi="Arial" w:cs="Arial"/>
          <w:b/>
          <w:color w:val="000000" w:themeColor="text1"/>
          <w:sz w:val="22"/>
        </w:rPr>
        <w:t>. Restricciones para la suscripción de contratos</w:t>
      </w:r>
      <w:r w:rsidR="00F00D3C" w:rsidRPr="003C27C6">
        <w:rPr>
          <w:rFonts w:ascii="Arial" w:hAnsi="Arial" w:cs="Arial"/>
          <w:b/>
          <w:color w:val="000000" w:themeColor="text1"/>
          <w:sz w:val="22"/>
        </w:rPr>
        <w:t xml:space="preserve"> de forma directa por parte de </w:t>
      </w:r>
      <w:r w:rsidR="00646880" w:rsidRPr="003C27C6">
        <w:rPr>
          <w:rFonts w:ascii="Arial" w:hAnsi="Arial" w:cs="Arial"/>
          <w:b/>
          <w:color w:val="000000" w:themeColor="text1"/>
          <w:sz w:val="22"/>
        </w:rPr>
        <w:t>todos los entes del Estado –artículo 33 de la Ley 996 de 2005–</w:t>
      </w:r>
    </w:p>
    <w:p w14:paraId="244F3B31" w14:textId="77777777" w:rsidR="00646880" w:rsidRPr="003C27C6" w:rsidRDefault="00646880" w:rsidP="00646880">
      <w:pPr>
        <w:spacing w:line="276" w:lineRule="auto"/>
        <w:jc w:val="both"/>
        <w:rPr>
          <w:rFonts w:ascii="Arial" w:hAnsi="Arial" w:cs="Arial"/>
          <w:b/>
          <w:color w:val="000000" w:themeColor="text1"/>
          <w:sz w:val="22"/>
        </w:rPr>
      </w:pPr>
    </w:p>
    <w:p w14:paraId="0E9E80CD" w14:textId="77777777" w:rsidR="00646880" w:rsidRPr="003C27C6" w:rsidRDefault="00646880" w:rsidP="00646880">
      <w:pPr>
        <w:spacing w:line="276" w:lineRule="auto"/>
        <w:jc w:val="both"/>
        <w:rPr>
          <w:rFonts w:ascii="Arial" w:hAnsi="Arial" w:cs="Arial"/>
          <w:bCs/>
          <w:sz w:val="22"/>
          <w:szCs w:val="22"/>
          <w:lang w:val="es-MX" w:eastAsia="es-CO"/>
        </w:rPr>
      </w:pPr>
      <w:r w:rsidRPr="003C27C6">
        <w:rPr>
          <w:rFonts w:ascii="Arial" w:hAnsi="Arial" w:cs="Arial"/>
          <w:bCs/>
          <w:sz w:val="22"/>
          <w:szCs w:val="22"/>
          <w:lang w:val="es-MX" w:eastAsia="x-none"/>
        </w:rPr>
        <w:t xml:space="preserve">El ámbito material de la prohibición contenida </w:t>
      </w:r>
      <w:bookmarkStart w:id="23" w:name="_Hlk75628761"/>
      <w:r w:rsidRPr="003C27C6">
        <w:rPr>
          <w:rFonts w:ascii="Arial" w:hAnsi="Arial" w:cs="Arial"/>
          <w:bCs/>
          <w:sz w:val="22"/>
          <w:szCs w:val="22"/>
          <w:lang w:val="es-MX" w:eastAsia="x-none"/>
        </w:rPr>
        <w:t xml:space="preserve">en el artículo 33 de la ley 996 de 2005 </w:t>
      </w:r>
      <w:bookmarkEnd w:id="23"/>
      <w:r w:rsidRPr="003C27C6">
        <w:rPr>
          <w:rFonts w:ascii="Arial" w:hAnsi="Arial" w:cs="Arial"/>
          <w:bCs/>
          <w:sz w:val="22"/>
          <w:szCs w:val="22"/>
          <w:lang w:val="es-MX" w:eastAsia="x-none"/>
        </w:rPr>
        <w:t xml:space="preserve">está delimitado por la expresión </w:t>
      </w:r>
      <w:r w:rsidRPr="003C27C6">
        <w:rPr>
          <w:rFonts w:ascii="Arial" w:eastAsia="Calibri" w:hAnsi="Arial" w:cs="Arial"/>
          <w:bCs/>
          <w:sz w:val="20"/>
          <w:szCs w:val="20"/>
          <w:lang w:val="es-MX" w:eastAsia="en-US"/>
        </w:rPr>
        <w:t>«</w:t>
      </w:r>
      <w:r w:rsidRPr="003C27C6">
        <w:rPr>
          <w:rFonts w:ascii="Arial" w:hAnsi="Arial" w:cs="Arial"/>
          <w:bCs/>
          <w:sz w:val="22"/>
          <w:szCs w:val="22"/>
          <w:lang w:val="es-MX" w:eastAsia="x-none"/>
        </w:rPr>
        <w:t>queda prohibida la contratación directa</w:t>
      </w:r>
      <w:r w:rsidRPr="003C27C6">
        <w:rPr>
          <w:rFonts w:ascii="Arial" w:eastAsia="Calibri" w:hAnsi="Arial" w:cs="Arial"/>
          <w:sz w:val="20"/>
          <w:szCs w:val="20"/>
          <w:lang w:val="es-MX" w:eastAsia="en-US"/>
        </w:rPr>
        <w:t>»</w:t>
      </w:r>
      <w:r w:rsidRPr="003C27C6">
        <w:rPr>
          <w:rFonts w:ascii="Arial" w:hAnsi="Arial" w:cs="Arial"/>
          <w:bCs/>
          <w:sz w:val="22"/>
          <w:szCs w:val="22"/>
          <w:lang w:val="es-MX" w:eastAsia="x-none"/>
        </w:rPr>
        <w:t xml:space="preserve">. </w:t>
      </w:r>
      <w:r w:rsidRPr="003C27C6">
        <w:rPr>
          <w:rFonts w:ascii="Arial" w:hAnsi="Arial" w:cs="Arial"/>
          <w:sz w:val="22"/>
          <w:szCs w:val="22"/>
          <w:lang w:val="es-MX" w:eastAsia="es-CO"/>
        </w:rPr>
        <w:t xml:space="preserve"> A propósito de </w:t>
      </w:r>
      <w:r w:rsidRPr="003C27C6">
        <w:rPr>
          <w:rFonts w:ascii="Arial" w:hAnsi="Arial" w:cs="Arial"/>
          <w:sz w:val="22"/>
          <w:szCs w:val="22"/>
          <w:lang w:eastAsia="es-CO"/>
        </w:rPr>
        <w:t>esta restricción de la Ley de Garantías Electorales, la Sala de Consulta y Servicio Civil del Consejo de Estado ha considerado:</w:t>
      </w:r>
    </w:p>
    <w:p w14:paraId="71BFE7B6" w14:textId="77777777" w:rsidR="00646880" w:rsidRPr="003C27C6" w:rsidRDefault="00646880" w:rsidP="00646880">
      <w:pPr>
        <w:ind w:left="708" w:right="709"/>
        <w:jc w:val="both"/>
        <w:rPr>
          <w:rFonts w:ascii="Arial" w:eastAsia="Calibri" w:hAnsi="Arial" w:cs="Arial"/>
          <w:sz w:val="21"/>
          <w:szCs w:val="21"/>
          <w:lang w:val="es-MX" w:eastAsia="en-US"/>
        </w:rPr>
      </w:pPr>
    </w:p>
    <w:p w14:paraId="6A293241" w14:textId="77777777" w:rsidR="00646880" w:rsidRPr="003C27C6" w:rsidRDefault="00646880" w:rsidP="00646880">
      <w:pPr>
        <w:spacing w:after="120"/>
        <w:ind w:left="709" w:right="709"/>
        <w:jc w:val="both"/>
        <w:rPr>
          <w:rFonts w:ascii="Arial" w:eastAsia="Calibri" w:hAnsi="Arial" w:cs="Arial"/>
          <w:sz w:val="21"/>
          <w:szCs w:val="21"/>
          <w:lang w:val="es-MX" w:eastAsia="en-US"/>
        </w:rPr>
      </w:pPr>
      <w:r w:rsidRPr="003C27C6">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C27C6">
        <w:rPr>
          <w:rFonts w:ascii="Arial" w:hAnsi="Arial" w:cs="Arial"/>
          <w:sz w:val="22"/>
          <w:szCs w:val="22"/>
          <w:vertAlign w:val="superscript"/>
          <w:lang w:eastAsia="es-CO"/>
        </w:rPr>
        <w:footnoteReference w:id="24"/>
      </w:r>
      <w:r w:rsidRPr="003C27C6">
        <w:rPr>
          <w:rFonts w:ascii="Arial" w:eastAsia="Calibri" w:hAnsi="Arial" w:cs="Arial"/>
          <w:sz w:val="21"/>
          <w:szCs w:val="21"/>
          <w:lang w:val="es-MX" w:eastAsia="en-US"/>
        </w:rPr>
        <w:t>.</w:t>
      </w:r>
    </w:p>
    <w:p w14:paraId="4979D6E2" w14:textId="77777777" w:rsidR="00646880" w:rsidRPr="003C27C6" w:rsidRDefault="00646880" w:rsidP="00646880">
      <w:pPr>
        <w:ind w:left="708" w:right="709"/>
        <w:jc w:val="both"/>
        <w:rPr>
          <w:rFonts w:ascii="Arial" w:eastAsia="Calibri" w:hAnsi="Arial" w:cs="Arial"/>
          <w:sz w:val="21"/>
          <w:szCs w:val="21"/>
          <w:lang w:val="es-MX" w:eastAsia="en-US"/>
        </w:rPr>
      </w:pPr>
      <w:r w:rsidRPr="003C27C6">
        <w:rPr>
          <w:rFonts w:ascii="Arial" w:eastAsia="Calibri" w:hAnsi="Arial" w:cs="Arial"/>
          <w:sz w:val="21"/>
          <w:szCs w:val="21"/>
          <w:lang w:val="es-MX" w:eastAsia="en-US"/>
        </w:rPr>
        <w:t xml:space="preserve">Esta Sala ha entendido </w:t>
      </w:r>
      <w:proofErr w:type="gramStart"/>
      <w:r w:rsidRPr="003C27C6">
        <w:rPr>
          <w:rFonts w:ascii="Arial" w:eastAsia="Calibri" w:hAnsi="Arial" w:cs="Arial"/>
          <w:sz w:val="21"/>
          <w:szCs w:val="21"/>
          <w:lang w:val="es-MX" w:eastAsia="en-US"/>
        </w:rPr>
        <w:t>que</w:t>
      </w:r>
      <w:proofErr w:type="gramEnd"/>
      <w:r w:rsidRPr="003C27C6">
        <w:rPr>
          <w:rFonts w:ascii="Arial" w:eastAsia="Calibri" w:hAnsi="Arial" w:cs="Arial"/>
          <w:sz w:val="21"/>
          <w:szCs w:val="21"/>
          <w:lang w:val="es-MX" w:eastAsia="en-US"/>
        </w:rPr>
        <w:t xml:space="preserve"> para los efectos de la ley de garantías, y dada su finalidad, el enunciado ´contratación directa´ es sinónimo </w:t>
      </w:r>
      <w:bookmarkStart w:id="26" w:name="_Hlk75741738"/>
      <w:r w:rsidRPr="003C27C6">
        <w:rPr>
          <w:rFonts w:ascii="Arial" w:eastAsia="Calibri" w:hAnsi="Arial" w:cs="Arial"/>
          <w:sz w:val="21"/>
          <w:szCs w:val="21"/>
          <w:lang w:val="es-MX" w:eastAsia="en-US"/>
        </w:rPr>
        <w:t xml:space="preserve">de cualquier sistema que no implique convocatoria pública y posibilidad de pluralidad de oferentes, </w:t>
      </w:r>
      <w:bookmarkEnd w:id="26"/>
      <w:r w:rsidRPr="003C27C6">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3C27C6">
        <w:rPr>
          <w:rFonts w:ascii="Arial" w:hAnsi="Arial" w:cs="Arial"/>
          <w:sz w:val="21"/>
          <w:szCs w:val="21"/>
          <w:vertAlign w:val="superscript"/>
          <w:lang w:val="es-MX" w:eastAsia="en-US"/>
        </w:rPr>
        <w:footnoteReference w:id="25"/>
      </w:r>
      <w:r w:rsidRPr="003C27C6">
        <w:rPr>
          <w:rFonts w:ascii="Arial" w:hAnsi="Arial" w:cs="Arial"/>
          <w:sz w:val="21"/>
          <w:szCs w:val="21"/>
          <w:vertAlign w:val="superscript"/>
          <w:lang w:val="es-MX" w:eastAsia="en-US"/>
        </w:rPr>
        <w:t>.</w:t>
      </w:r>
      <w:r w:rsidRPr="003C27C6">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3C27C6">
        <w:rPr>
          <w:rFonts w:ascii="Arial" w:hAnsi="Arial" w:cs="Arial"/>
          <w:sz w:val="22"/>
          <w:szCs w:val="22"/>
          <w:vertAlign w:val="superscript"/>
          <w:lang w:eastAsia="es-CO"/>
        </w:rPr>
        <w:footnoteReference w:id="26"/>
      </w:r>
      <w:r w:rsidRPr="003C27C6">
        <w:rPr>
          <w:rFonts w:ascii="Arial" w:eastAsia="Calibri" w:hAnsi="Arial" w:cs="Arial"/>
          <w:sz w:val="21"/>
          <w:szCs w:val="21"/>
          <w:lang w:val="es-MX" w:eastAsia="en-US"/>
        </w:rPr>
        <w:t xml:space="preserve"> .</w:t>
      </w:r>
    </w:p>
    <w:p w14:paraId="62356BD3" w14:textId="77777777" w:rsidR="00646880" w:rsidRPr="003C27C6" w:rsidRDefault="00646880" w:rsidP="00646880">
      <w:pPr>
        <w:shd w:val="clear" w:color="auto" w:fill="FFFFFF"/>
        <w:ind w:firstLine="709"/>
        <w:jc w:val="both"/>
        <w:rPr>
          <w:rFonts w:ascii="Arial" w:hAnsi="Arial" w:cs="Arial"/>
          <w:sz w:val="22"/>
          <w:szCs w:val="22"/>
          <w:lang w:eastAsia="x-none"/>
        </w:rPr>
      </w:pPr>
    </w:p>
    <w:p w14:paraId="367661AF" w14:textId="77777777" w:rsidR="00646880" w:rsidRPr="003C27C6" w:rsidRDefault="00646880" w:rsidP="00646880">
      <w:pPr>
        <w:spacing w:after="120" w:line="276" w:lineRule="auto"/>
        <w:ind w:firstLine="708"/>
        <w:jc w:val="both"/>
        <w:rPr>
          <w:rFonts w:ascii="Arial" w:hAnsi="Arial" w:cs="Arial"/>
          <w:bCs/>
          <w:sz w:val="22"/>
          <w:szCs w:val="22"/>
          <w:lang w:eastAsia="x-none"/>
        </w:rPr>
      </w:pPr>
      <w:r w:rsidRPr="003C27C6">
        <w:rPr>
          <w:rFonts w:ascii="Arial" w:hAnsi="Arial" w:cs="Arial"/>
          <w:sz w:val="22"/>
          <w:szCs w:val="22"/>
          <w:lang w:eastAsia="x-none"/>
        </w:rPr>
        <w:t xml:space="preserve">De conformidad con el citado concepto, </w:t>
      </w:r>
      <w:bookmarkStart w:id="28" w:name="_Hlk78818702"/>
      <w:r w:rsidRPr="003C27C6">
        <w:rPr>
          <w:rFonts w:ascii="Arial" w:hAnsi="Arial" w:cs="Arial"/>
          <w:sz w:val="22"/>
          <w:szCs w:val="22"/>
          <w:lang w:eastAsia="x-none"/>
        </w:rPr>
        <w:t xml:space="preserve">la prohibición del artículo 33 de la Ley de Garantías Electorales se refiere a </w:t>
      </w:r>
      <w:bookmarkStart w:id="29" w:name="_Hlk74294635"/>
      <w:r w:rsidRPr="003C27C6">
        <w:rPr>
          <w:rFonts w:ascii="Arial" w:hAnsi="Arial" w:cs="Arial"/>
          <w:sz w:val="19"/>
          <w:szCs w:val="19"/>
          <w:lang w:eastAsia="en-GB"/>
        </w:rPr>
        <w:t>«</w:t>
      </w:r>
      <w:bookmarkEnd w:id="29"/>
      <w:r w:rsidRPr="003C27C6">
        <w:rPr>
          <w:rFonts w:ascii="Arial" w:hAnsi="Arial" w:cs="Arial"/>
          <w:sz w:val="22"/>
          <w:szCs w:val="22"/>
          <w:lang w:eastAsia="x-none"/>
        </w:rPr>
        <w:t>cualquier sistema que no implique convocatoria pública y posibilidad de pluralidad de oferentes</w:t>
      </w:r>
      <w:bookmarkStart w:id="30" w:name="_Hlk74404754"/>
      <w:r w:rsidRPr="003C27C6">
        <w:rPr>
          <w:rFonts w:ascii="Arial" w:hAnsi="Arial" w:cs="Arial"/>
          <w:sz w:val="22"/>
          <w:szCs w:val="22"/>
          <w:lang w:eastAsia="en-GB"/>
        </w:rPr>
        <w:t>»</w:t>
      </w:r>
      <w:bookmarkEnd w:id="30"/>
      <w:r w:rsidRPr="003C27C6">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la mínima cuantía u otros previstos en normas especiales. </w:t>
      </w:r>
      <w:bookmarkEnd w:id="28"/>
      <w:r w:rsidRPr="003C27C6">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3C27C6">
        <w:rPr>
          <w:rFonts w:ascii="Arial" w:hAnsi="Arial" w:cs="Arial"/>
          <w:sz w:val="22"/>
          <w:szCs w:val="22"/>
          <w:vertAlign w:val="superscript"/>
          <w:lang w:val="en-GB" w:eastAsia="x-none"/>
        </w:rPr>
        <w:footnoteReference w:id="27"/>
      </w:r>
      <w:r w:rsidRPr="003C27C6">
        <w:rPr>
          <w:rFonts w:ascii="Arial" w:hAnsi="Arial" w:cs="Arial"/>
          <w:sz w:val="22"/>
          <w:szCs w:val="22"/>
          <w:lang w:eastAsia="x-none"/>
        </w:rPr>
        <w:t xml:space="preserve"> y sistematizó las causales de contratación directa</w:t>
      </w:r>
      <w:r w:rsidRPr="003C27C6">
        <w:rPr>
          <w:rFonts w:ascii="Arial" w:hAnsi="Arial" w:cs="Arial"/>
          <w:sz w:val="22"/>
          <w:szCs w:val="22"/>
          <w:vertAlign w:val="superscript"/>
          <w:lang w:val="en-GB" w:eastAsia="x-none"/>
        </w:rPr>
        <w:footnoteReference w:id="28"/>
      </w:r>
      <w:r w:rsidRPr="003C27C6">
        <w:rPr>
          <w:rFonts w:ascii="Arial" w:hAnsi="Arial" w:cs="Arial"/>
          <w:sz w:val="22"/>
          <w:szCs w:val="22"/>
          <w:lang w:eastAsia="x-none"/>
        </w:rPr>
        <w:t xml:space="preserve">, </w:t>
      </w:r>
      <w:r w:rsidRPr="003C27C6">
        <w:rPr>
          <w:rFonts w:ascii="Arial"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3C27C6">
        <w:rPr>
          <w:rFonts w:ascii="Arial" w:hAnsi="Arial" w:cs="Arial"/>
          <w:sz w:val="22"/>
          <w:szCs w:val="22"/>
          <w:lang w:eastAsia="x-none"/>
        </w:rPr>
        <w:t xml:space="preserve"> </w:t>
      </w:r>
    </w:p>
    <w:p w14:paraId="768E3CDB" w14:textId="77777777" w:rsidR="00646880" w:rsidRPr="003C27C6" w:rsidRDefault="00646880" w:rsidP="00646880">
      <w:pPr>
        <w:spacing w:after="120" w:line="276" w:lineRule="auto"/>
        <w:ind w:firstLine="708"/>
        <w:jc w:val="both"/>
        <w:rPr>
          <w:rFonts w:ascii="Arial" w:hAnsi="Arial" w:cs="Arial"/>
          <w:sz w:val="22"/>
          <w:szCs w:val="22"/>
          <w:lang w:val="es-MX" w:eastAsia="x-none"/>
        </w:rPr>
      </w:pPr>
      <w:r w:rsidRPr="003C27C6">
        <w:rPr>
          <w:rFonts w:ascii="Arial" w:hAnsi="Arial" w:cs="Arial"/>
          <w:sz w:val="22"/>
          <w:szCs w:val="22"/>
          <w:lang w:eastAsia="x-none"/>
        </w:rPr>
        <w:t xml:space="preserve">De esta forma, con fundamento en la evolución de la normativa sobre la contratación pública, se ha depurado la noción de </w:t>
      </w:r>
      <w:r w:rsidRPr="003C27C6">
        <w:rPr>
          <w:rFonts w:ascii="Arial" w:hAnsi="Arial" w:cs="Arial"/>
          <w:sz w:val="19"/>
          <w:szCs w:val="19"/>
          <w:lang w:eastAsia="en-GB"/>
        </w:rPr>
        <w:t>«</w:t>
      </w:r>
      <w:r w:rsidRPr="003C27C6">
        <w:rPr>
          <w:rFonts w:ascii="Arial" w:hAnsi="Arial" w:cs="Arial"/>
          <w:sz w:val="22"/>
          <w:szCs w:val="22"/>
          <w:lang w:eastAsia="x-none"/>
        </w:rPr>
        <w:t>contratación directa</w:t>
      </w:r>
      <w:r w:rsidRPr="003C27C6">
        <w:rPr>
          <w:rFonts w:ascii="Arial" w:hAnsi="Arial" w:cs="Arial"/>
          <w:sz w:val="22"/>
          <w:szCs w:val="22"/>
          <w:lang w:eastAsia="en-GB"/>
        </w:rPr>
        <w:t>»</w:t>
      </w:r>
      <w:r w:rsidRPr="003C27C6">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3C27C6">
        <w:rPr>
          <w:rFonts w:ascii="Arial" w:hAnsi="Arial" w:cs="Arial"/>
          <w:sz w:val="22"/>
          <w:szCs w:val="22"/>
          <w:vertAlign w:val="superscript"/>
          <w:lang w:val="en-GB" w:eastAsia="x-none"/>
        </w:rPr>
        <w:footnoteReference w:id="29"/>
      </w:r>
      <w:r w:rsidRPr="003C27C6">
        <w:rPr>
          <w:rFonts w:ascii="Arial" w:hAnsi="Arial" w:cs="Arial"/>
          <w:sz w:val="22"/>
          <w:szCs w:val="22"/>
          <w:lang w:eastAsia="x-none"/>
        </w:rPr>
        <w:t>, han establecido sistemas de contratación que implican convocatoria pública y participación de varios oferentes</w:t>
      </w:r>
      <w:r w:rsidRPr="003C27C6">
        <w:rPr>
          <w:rFonts w:ascii="Arial" w:hAnsi="Arial" w:cs="Arial"/>
          <w:sz w:val="22"/>
          <w:szCs w:val="22"/>
          <w:lang w:eastAsia="en-GB"/>
        </w:rPr>
        <w:t>»</w:t>
      </w:r>
      <w:r w:rsidRPr="003C27C6">
        <w:rPr>
          <w:rFonts w:ascii="Arial" w:hAnsi="Arial" w:cs="Arial"/>
          <w:sz w:val="22"/>
          <w:szCs w:val="22"/>
          <w:lang w:eastAsia="x-none"/>
        </w:rPr>
        <w:t xml:space="preserve">. </w:t>
      </w:r>
    </w:p>
    <w:p w14:paraId="49C185EF" w14:textId="77777777" w:rsidR="00646880" w:rsidRPr="003C27C6" w:rsidRDefault="00646880" w:rsidP="00646880">
      <w:pPr>
        <w:spacing w:after="120" w:line="276" w:lineRule="auto"/>
        <w:ind w:firstLine="708"/>
        <w:jc w:val="both"/>
        <w:rPr>
          <w:rFonts w:ascii="Arial" w:hAnsi="Arial" w:cs="Arial"/>
          <w:bCs/>
          <w:sz w:val="22"/>
          <w:szCs w:val="22"/>
          <w:lang w:val="es-MX" w:eastAsia="es-CO"/>
        </w:rPr>
      </w:pPr>
      <w:r w:rsidRPr="003C27C6">
        <w:rPr>
          <w:rFonts w:ascii="Arial" w:hAnsi="Arial" w:cs="Arial"/>
          <w:bCs/>
          <w:sz w:val="22"/>
          <w:szCs w:val="22"/>
          <w:lang w:val="es-MX" w:eastAsia="x-none"/>
        </w:rPr>
        <w:t>E</w:t>
      </w:r>
      <w:r w:rsidRPr="003C27C6">
        <w:rPr>
          <w:rFonts w:ascii="Arial" w:hAnsi="Arial" w:cs="Arial"/>
          <w:sz w:val="22"/>
          <w:szCs w:val="22"/>
          <w:lang w:eastAsia="x-none"/>
        </w:rPr>
        <w:t xml:space="preserve">n </w:t>
      </w:r>
      <w:bookmarkStart w:id="32" w:name="_Hlk75636073"/>
      <w:r w:rsidRPr="003C27C6">
        <w:rPr>
          <w:rFonts w:ascii="Arial" w:hAnsi="Arial" w:cs="Arial"/>
          <w:sz w:val="22"/>
          <w:szCs w:val="22"/>
          <w:lang w:eastAsia="x-none"/>
        </w:rPr>
        <w:t>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2"/>
      <w:r w:rsidRPr="003C27C6">
        <w:rPr>
          <w:rFonts w:ascii="Arial" w:hAnsi="Arial" w:cs="Arial"/>
          <w:sz w:val="22"/>
          <w:szCs w:val="22"/>
          <w:vertAlign w:val="superscript"/>
          <w:lang w:eastAsia="x-none"/>
        </w:rPr>
        <w:footnoteReference w:id="30"/>
      </w:r>
      <w:r w:rsidRPr="003C27C6">
        <w:rPr>
          <w:rFonts w:ascii="Arial" w:hAnsi="Arial" w:cs="Arial"/>
          <w:sz w:val="22"/>
          <w:szCs w:val="22"/>
          <w:lang w:eastAsia="x-none"/>
        </w:rPr>
        <w:t xml:space="preserve">. </w:t>
      </w:r>
    </w:p>
    <w:p w14:paraId="203BFCB7" w14:textId="34DB824E" w:rsidR="00646880" w:rsidRPr="003C27C6" w:rsidRDefault="00646880" w:rsidP="00646880">
      <w:pPr>
        <w:spacing w:after="120" w:line="276" w:lineRule="auto"/>
        <w:ind w:firstLine="708"/>
        <w:jc w:val="both"/>
        <w:rPr>
          <w:rFonts w:ascii="Arial" w:hAnsi="Arial" w:cs="Arial"/>
          <w:bCs/>
          <w:sz w:val="22"/>
          <w:szCs w:val="22"/>
          <w:lang w:val="es-MX" w:eastAsia="es-CO"/>
        </w:rPr>
      </w:pPr>
      <w:r w:rsidRPr="003C27C6">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385AB89F" w14:textId="6422B410" w:rsidR="00646880" w:rsidRPr="003C27C6" w:rsidRDefault="00646880" w:rsidP="00646880">
      <w:pPr>
        <w:spacing w:after="120" w:line="276" w:lineRule="auto"/>
        <w:ind w:firstLine="708"/>
        <w:jc w:val="both"/>
        <w:rPr>
          <w:rFonts w:ascii="Arial" w:hAnsi="Arial" w:cs="Arial"/>
          <w:bCs/>
          <w:sz w:val="22"/>
          <w:szCs w:val="22"/>
          <w:lang w:val="es-MX" w:eastAsia="x-none"/>
        </w:rPr>
      </w:pPr>
      <w:bookmarkStart w:id="33" w:name="_Hlk78818796"/>
      <w:r w:rsidRPr="003C27C6">
        <w:rPr>
          <w:rFonts w:ascii="Arial" w:hAnsi="Arial" w:cs="Arial"/>
          <w:bCs/>
          <w:sz w:val="22"/>
          <w:szCs w:val="22"/>
          <w:lang w:val="es-MX" w:eastAsia="x-none"/>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3C27C6">
        <w:rPr>
          <w:rFonts w:ascii="Arial" w:hAnsi="Arial" w:cs="Arial"/>
          <w:sz w:val="22"/>
          <w:szCs w:val="22"/>
          <w:vertAlign w:val="superscript"/>
          <w:lang w:eastAsia="x-none"/>
        </w:rPr>
        <w:footnoteReference w:id="31"/>
      </w:r>
      <w:r w:rsidRPr="003C27C6">
        <w:rPr>
          <w:rFonts w:ascii="Arial" w:hAnsi="Arial" w:cs="Arial"/>
          <w:bCs/>
          <w:sz w:val="22"/>
          <w:szCs w:val="22"/>
          <w:lang w:val="es-MX" w:eastAsia="x-none"/>
        </w:rPr>
        <w:t>.</w:t>
      </w:r>
      <w:r w:rsidRPr="003C27C6">
        <w:rPr>
          <w:rFonts w:ascii="Arial" w:hAnsi="Arial" w:cs="Arial"/>
          <w:sz w:val="22"/>
          <w:szCs w:val="22"/>
          <w:vertAlign w:val="superscript"/>
          <w:lang w:eastAsia="x-none"/>
        </w:rPr>
        <w:t xml:space="preserve"> </w:t>
      </w:r>
    </w:p>
    <w:bookmarkEnd w:id="33"/>
    <w:p w14:paraId="0B6971D3" w14:textId="1CC13398" w:rsidR="00646880" w:rsidRPr="003C27C6" w:rsidRDefault="00646880" w:rsidP="00646880">
      <w:pPr>
        <w:spacing w:after="120" w:line="276" w:lineRule="auto"/>
        <w:ind w:firstLine="708"/>
        <w:jc w:val="both"/>
        <w:rPr>
          <w:rFonts w:ascii="Arial" w:hAnsi="Arial" w:cs="Arial"/>
          <w:sz w:val="22"/>
          <w:szCs w:val="22"/>
          <w:lang w:eastAsia="x-none"/>
        </w:rPr>
      </w:pPr>
      <w:r w:rsidRPr="003C27C6">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3C27C6">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w:t>
      </w:r>
      <w:r w:rsidR="00682AB5" w:rsidRPr="003C27C6">
        <w:rPr>
          <w:rFonts w:ascii="Arial" w:hAnsi="Arial" w:cs="Arial"/>
          <w:sz w:val="22"/>
          <w:szCs w:val="22"/>
          <w:lang w:eastAsia="x-none"/>
        </w:rPr>
        <w:t>a</w:t>
      </w:r>
      <w:r w:rsidRPr="003C27C6">
        <w:rPr>
          <w:rFonts w:ascii="Arial" w:hAnsi="Arial" w:cs="Arial"/>
          <w:sz w:val="22"/>
          <w:szCs w:val="22"/>
          <w:lang w:eastAsia="x-none"/>
        </w:rPr>
        <w:t xml:space="preserve">s </w:t>
      </w:r>
      <w:r w:rsidR="00682AB5" w:rsidRPr="003C27C6">
        <w:rPr>
          <w:rFonts w:ascii="Arial" w:hAnsi="Arial" w:cs="Arial"/>
          <w:sz w:val="22"/>
          <w:szCs w:val="22"/>
          <w:lang w:eastAsia="x-none"/>
        </w:rPr>
        <w:t>modalidades</w:t>
      </w:r>
      <w:r w:rsidRPr="003C27C6">
        <w:rPr>
          <w:rFonts w:ascii="Arial" w:hAnsi="Arial" w:cs="Arial"/>
          <w:sz w:val="22"/>
          <w:szCs w:val="22"/>
          <w:lang w:eastAsia="x-none"/>
        </w:rPr>
        <w:t>.</w:t>
      </w:r>
    </w:p>
    <w:p w14:paraId="674058C2" w14:textId="77777777" w:rsidR="00646880" w:rsidRPr="003C27C6" w:rsidRDefault="00646880" w:rsidP="00646880">
      <w:pPr>
        <w:spacing w:after="120" w:line="276" w:lineRule="auto"/>
        <w:ind w:firstLine="708"/>
        <w:jc w:val="both"/>
        <w:rPr>
          <w:rFonts w:ascii="Arial" w:hAnsi="Arial" w:cs="Arial"/>
          <w:bCs/>
          <w:sz w:val="22"/>
          <w:szCs w:val="22"/>
          <w:lang w:val="es-MX" w:eastAsia="x-none"/>
        </w:rPr>
      </w:pPr>
      <w:bookmarkStart w:id="34" w:name="_Hlk77237094"/>
      <w:r w:rsidRPr="003C27C6">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3C27C6">
        <w:rPr>
          <w:rFonts w:ascii="Arial" w:hAnsi="Arial" w:cs="Arial"/>
          <w:bCs/>
          <w:sz w:val="22"/>
          <w:szCs w:val="22"/>
          <w:lang w:val="es-MX" w:eastAsia="es-CO"/>
        </w:rPr>
        <w:t>entrada en vigencia</w:t>
      </w:r>
      <w:proofErr w:type="gramEnd"/>
      <w:r w:rsidRPr="003C27C6">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3C27C6">
        <w:rPr>
          <w:rStyle w:val="Refdenotaalpie"/>
          <w:rFonts w:ascii="Arial" w:hAnsi="Arial" w:cs="Arial"/>
          <w:bCs/>
          <w:sz w:val="22"/>
          <w:szCs w:val="22"/>
          <w:lang w:val="es-MX" w:eastAsia="es-CO"/>
        </w:rPr>
        <w:footnoteReference w:id="32"/>
      </w:r>
      <w:r w:rsidRPr="003C27C6">
        <w:rPr>
          <w:rFonts w:ascii="Arial" w:hAnsi="Arial" w:cs="Arial"/>
          <w:bCs/>
          <w:sz w:val="22"/>
          <w:szCs w:val="22"/>
          <w:lang w:val="es-MX" w:eastAsia="es-CO"/>
        </w:rPr>
        <w:t>.</w:t>
      </w:r>
      <w:bookmarkEnd w:id="34"/>
    </w:p>
    <w:p w14:paraId="2A99F1A8" w14:textId="77777777" w:rsidR="00646880" w:rsidRPr="003C27C6" w:rsidRDefault="00646880" w:rsidP="00646880">
      <w:pPr>
        <w:spacing w:after="120" w:line="276" w:lineRule="auto"/>
        <w:ind w:firstLine="708"/>
        <w:jc w:val="both"/>
        <w:rPr>
          <w:rFonts w:ascii="Arial" w:hAnsi="Arial" w:cs="Arial"/>
          <w:bCs/>
          <w:sz w:val="22"/>
          <w:szCs w:val="22"/>
          <w:lang w:val="es-MX" w:eastAsia="es-CO"/>
        </w:rPr>
      </w:pPr>
      <w:r w:rsidRPr="003C27C6">
        <w:rPr>
          <w:rFonts w:ascii="Arial" w:hAnsi="Arial" w:cs="Arial"/>
          <w:bCs/>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3C27C6">
        <w:rPr>
          <w:rFonts w:ascii="Arial" w:hAnsi="Arial" w:cs="Arial"/>
          <w:bCs/>
          <w:sz w:val="22"/>
          <w:szCs w:val="22"/>
          <w:lang w:val="es-MX" w:eastAsia="x-none"/>
        </w:rPr>
        <w:t>ii</w:t>
      </w:r>
      <w:proofErr w:type="spellEnd"/>
      <w:r w:rsidRPr="003C27C6">
        <w:rPr>
          <w:rFonts w:ascii="Arial" w:hAnsi="Arial" w:cs="Arial"/>
          <w:bCs/>
          <w:sz w:val="22"/>
          <w:szCs w:val="22"/>
          <w:lang w:val="es-MX" w:eastAsia="x-none"/>
        </w:rPr>
        <w:t xml:space="preserve">) los contratos de crédito público; </w:t>
      </w:r>
      <w:proofErr w:type="spellStart"/>
      <w:r w:rsidRPr="003C27C6">
        <w:rPr>
          <w:rFonts w:ascii="Arial" w:hAnsi="Arial" w:cs="Arial"/>
          <w:bCs/>
          <w:sz w:val="22"/>
          <w:szCs w:val="22"/>
          <w:lang w:val="es-MX" w:eastAsia="x-none"/>
        </w:rPr>
        <w:t>iii</w:t>
      </w:r>
      <w:proofErr w:type="spellEnd"/>
      <w:r w:rsidRPr="003C27C6">
        <w:rPr>
          <w:rFonts w:ascii="Arial" w:hAnsi="Arial" w:cs="Arial"/>
          <w:bCs/>
          <w:sz w:val="22"/>
          <w:szCs w:val="22"/>
          <w:lang w:val="es-MX" w:eastAsia="x-none"/>
        </w:rPr>
        <w:t xml:space="preserve">) los requeridos para cubrir las emergencias educativas, sanitarias y desastres; </w:t>
      </w:r>
      <w:proofErr w:type="spellStart"/>
      <w:r w:rsidRPr="003C27C6">
        <w:rPr>
          <w:rFonts w:ascii="Arial" w:hAnsi="Arial" w:cs="Arial"/>
          <w:bCs/>
          <w:sz w:val="22"/>
          <w:szCs w:val="22"/>
          <w:lang w:val="es-MX" w:eastAsia="x-none"/>
        </w:rPr>
        <w:t>iv</w:t>
      </w:r>
      <w:proofErr w:type="spellEnd"/>
      <w:r w:rsidRPr="003C27C6">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3C27C6">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ED87213" w14:textId="3AE520B7" w:rsidR="00646880" w:rsidRPr="003C27C6" w:rsidRDefault="00646880" w:rsidP="00646880">
      <w:pPr>
        <w:spacing w:after="120" w:line="276" w:lineRule="auto"/>
        <w:ind w:firstLine="709"/>
        <w:jc w:val="both"/>
        <w:rPr>
          <w:rFonts w:ascii="Arial" w:hAnsi="Arial" w:cs="Arial"/>
          <w:bCs/>
          <w:sz w:val="22"/>
          <w:szCs w:val="22"/>
          <w:lang w:val="es-MX" w:eastAsia="x-none"/>
        </w:rPr>
      </w:pPr>
      <w:r w:rsidRPr="003C27C6">
        <w:rPr>
          <w:rFonts w:ascii="Arial" w:hAnsi="Arial" w:cs="Arial"/>
          <w:bCs/>
          <w:sz w:val="22"/>
          <w:szCs w:val="22"/>
          <w:lang w:val="es-MX" w:eastAsia="x-none"/>
        </w:rPr>
        <w:t>En esta labor es importante tener en cuenta, como lo anotó la Corte Constitucional, en Sentencia C-1153 de noviembre 11 de 2005</w:t>
      </w:r>
      <w:r w:rsidR="00682AB5" w:rsidRPr="003C27C6">
        <w:rPr>
          <w:rFonts w:ascii="Arial" w:hAnsi="Arial" w:cs="Arial"/>
          <w:bCs/>
          <w:sz w:val="22"/>
          <w:szCs w:val="22"/>
          <w:lang w:val="es-MX" w:eastAsia="x-none"/>
        </w:rPr>
        <w:t>,</w:t>
      </w:r>
      <w:r w:rsidRPr="003C27C6">
        <w:rPr>
          <w:rFonts w:ascii="Arial" w:hAnsi="Arial" w:cs="Arial"/>
          <w:bCs/>
          <w:sz w:val="22"/>
          <w:szCs w:val="22"/>
          <w:lang w:val="es-MX" w:eastAsia="x-none"/>
        </w:rPr>
        <w:t xml:space="preserve"> </w:t>
      </w:r>
      <w:bookmarkStart w:id="35" w:name="_Hlk74309042"/>
      <w:r w:rsidRPr="003C27C6">
        <w:rPr>
          <w:rFonts w:ascii="Arial" w:hAnsi="Arial" w:cs="Arial"/>
          <w:bCs/>
          <w:sz w:val="22"/>
          <w:szCs w:val="22"/>
          <w:lang w:val="es-MX" w:eastAsia="x-none"/>
        </w:rPr>
        <w:t>que «</w:t>
      </w:r>
      <w:bookmarkEnd w:id="35"/>
      <w:r w:rsidRPr="003C27C6">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6" w:name="_Hlk75768308"/>
      <w:r w:rsidRPr="003C27C6">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37" w:name="_Hlk74309060"/>
      <w:r w:rsidRPr="003C27C6">
        <w:rPr>
          <w:rFonts w:ascii="Arial" w:hAnsi="Arial" w:cs="Arial"/>
          <w:bCs/>
          <w:sz w:val="22"/>
          <w:szCs w:val="22"/>
          <w:lang w:val="es-MX" w:eastAsia="x-none"/>
        </w:rPr>
        <w:t>»</w:t>
      </w:r>
      <w:bookmarkEnd w:id="37"/>
      <w:r w:rsidRPr="003C27C6">
        <w:rPr>
          <w:rFonts w:ascii="Arial" w:eastAsia="Calibri" w:hAnsi="Arial" w:cs="Arial"/>
          <w:sz w:val="22"/>
          <w:szCs w:val="22"/>
          <w:vertAlign w:val="superscript"/>
          <w:lang w:val="es-MX" w:eastAsia="en-US"/>
        </w:rPr>
        <w:footnoteReference w:id="33"/>
      </w:r>
      <w:r w:rsidRPr="003C27C6">
        <w:rPr>
          <w:rFonts w:ascii="Arial" w:hAnsi="Arial" w:cs="Arial"/>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36"/>
    </w:p>
    <w:p w14:paraId="009D3E04" w14:textId="3C45E0D6" w:rsidR="00646880" w:rsidRPr="003C27C6" w:rsidRDefault="00646880" w:rsidP="00646880">
      <w:pPr>
        <w:spacing w:line="276" w:lineRule="auto"/>
        <w:ind w:firstLine="708"/>
        <w:jc w:val="both"/>
        <w:rPr>
          <w:rFonts w:ascii="Arial" w:hAnsi="Arial" w:cs="Arial"/>
          <w:bCs/>
          <w:sz w:val="22"/>
          <w:szCs w:val="22"/>
          <w:lang w:val="es-MX" w:eastAsia="x-none"/>
        </w:rPr>
      </w:pPr>
      <w:r w:rsidRPr="003C27C6">
        <w:rPr>
          <w:rFonts w:ascii="Arial" w:hAnsi="Arial" w:cs="Arial"/>
          <w:bCs/>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5FCF5505" w14:textId="1FB79914" w:rsidR="00646880" w:rsidRPr="003C27C6" w:rsidRDefault="00646880" w:rsidP="00646880">
      <w:pPr>
        <w:spacing w:line="276" w:lineRule="auto"/>
        <w:jc w:val="both"/>
        <w:rPr>
          <w:rFonts w:ascii="Arial" w:hAnsi="Arial" w:cs="Arial"/>
          <w:bCs/>
          <w:sz w:val="22"/>
          <w:szCs w:val="22"/>
          <w:lang w:val="es-MX" w:eastAsia="x-none"/>
        </w:rPr>
      </w:pPr>
    </w:p>
    <w:p w14:paraId="53841154" w14:textId="39908A5E" w:rsidR="00F441BB" w:rsidRPr="003C27C6" w:rsidRDefault="00F441BB" w:rsidP="00F441BB">
      <w:pPr>
        <w:spacing w:line="276" w:lineRule="auto"/>
        <w:jc w:val="both"/>
        <w:rPr>
          <w:rFonts w:ascii="Arial" w:eastAsia="Arial" w:hAnsi="Arial" w:cs="Arial"/>
          <w:b/>
          <w:bCs/>
          <w:sz w:val="22"/>
          <w:lang w:val="es-ES" w:eastAsia="es-ES" w:bidi="es-ES"/>
        </w:rPr>
      </w:pPr>
      <w:r w:rsidRPr="003C27C6">
        <w:rPr>
          <w:rFonts w:ascii="Arial" w:eastAsia="Arial" w:hAnsi="Arial" w:cs="Arial"/>
          <w:b/>
          <w:bCs/>
          <w:sz w:val="22"/>
          <w:lang w:val="es-ES" w:eastAsia="es-ES" w:bidi="es-ES"/>
        </w:rPr>
        <w:t>2.</w:t>
      </w:r>
      <w:r w:rsidR="00A4124D" w:rsidRPr="003C27C6">
        <w:rPr>
          <w:rFonts w:ascii="Arial" w:eastAsia="Arial" w:hAnsi="Arial" w:cs="Arial"/>
          <w:b/>
          <w:bCs/>
          <w:sz w:val="22"/>
          <w:lang w:val="es-ES" w:eastAsia="es-ES" w:bidi="es-ES"/>
        </w:rPr>
        <w:t>5</w:t>
      </w:r>
      <w:r w:rsidRPr="003C27C6">
        <w:rPr>
          <w:rFonts w:ascii="Arial" w:eastAsia="Arial" w:hAnsi="Arial" w:cs="Arial"/>
          <w:b/>
          <w:bCs/>
          <w:sz w:val="22"/>
          <w:lang w:val="es-ES" w:eastAsia="es-ES" w:bidi="es-ES"/>
        </w:rPr>
        <w:t xml:space="preserve">. </w:t>
      </w:r>
      <w:r w:rsidR="00A6181B" w:rsidRPr="003C27C6">
        <w:rPr>
          <w:rFonts w:ascii="Arial" w:eastAsia="Arial" w:hAnsi="Arial" w:cs="Arial"/>
          <w:b/>
          <w:bCs/>
          <w:sz w:val="22"/>
          <w:lang w:val="es-ES" w:eastAsia="es-ES" w:bidi="es-ES"/>
        </w:rPr>
        <w:t>Convenios del Decreto 092 de 2017</w:t>
      </w:r>
      <w:r w:rsidRPr="003C27C6">
        <w:rPr>
          <w:rFonts w:ascii="Arial" w:eastAsia="Arial" w:hAnsi="Arial" w:cs="Arial"/>
          <w:b/>
          <w:bCs/>
          <w:sz w:val="22"/>
          <w:lang w:val="es-ES" w:eastAsia="es-ES" w:bidi="es-ES"/>
        </w:rPr>
        <w:t xml:space="preserve"> y restricciones de la Ley de Garantías</w:t>
      </w:r>
    </w:p>
    <w:p w14:paraId="0C999DBC" w14:textId="77777777" w:rsidR="00F441BB" w:rsidRPr="003C27C6" w:rsidRDefault="00F441BB" w:rsidP="00F441BB">
      <w:pPr>
        <w:spacing w:line="276" w:lineRule="auto"/>
        <w:jc w:val="both"/>
        <w:rPr>
          <w:rFonts w:ascii="Arial" w:eastAsia="Arial" w:hAnsi="Arial" w:cs="Arial"/>
          <w:b/>
          <w:bCs/>
          <w:sz w:val="22"/>
          <w:lang w:val="es-ES" w:eastAsia="es-ES" w:bidi="es-ES"/>
        </w:rPr>
      </w:pPr>
    </w:p>
    <w:p w14:paraId="7C44DD15" w14:textId="79190805" w:rsidR="00F441BB" w:rsidRPr="003C27C6" w:rsidRDefault="00F441BB" w:rsidP="00F441BB">
      <w:pPr>
        <w:pStyle w:val="Sinespaciado"/>
        <w:spacing w:line="276" w:lineRule="auto"/>
        <w:jc w:val="both"/>
        <w:rPr>
          <w:rFonts w:ascii="Arial" w:hAnsi="Arial" w:cs="Arial"/>
          <w:color w:val="000000" w:themeColor="text1"/>
          <w:sz w:val="22"/>
        </w:rPr>
      </w:pPr>
      <w:r w:rsidRPr="003C27C6">
        <w:rPr>
          <w:rFonts w:ascii="Arial" w:hAnsi="Arial" w:cs="Arial"/>
          <w:color w:val="000000" w:themeColor="text1"/>
          <w:sz w:val="22"/>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w:t>
      </w:r>
      <w:r w:rsidR="0084466F" w:rsidRPr="003C27C6">
        <w:rPr>
          <w:rFonts w:ascii="Arial" w:hAnsi="Arial" w:cs="Arial"/>
          <w:color w:val="000000" w:themeColor="text1"/>
          <w:sz w:val="22"/>
        </w:rPr>
        <w:t>–</w:t>
      </w:r>
      <w:r w:rsidRPr="003C27C6">
        <w:rPr>
          <w:rFonts w:ascii="Arial" w:hAnsi="Arial" w:cs="Arial"/>
          <w:color w:val="000000" w:themeColor="text1"/>
          <w:sz w:val="22"/>
        </w:rPr>
        <w:t>ESAL</w:t>
      </w:r>
      <w:r w:rsidR="0084466F" w:rsidRPr="003C27C6">
        <w:rPr>
          <w:rFonts w:ascii="Arial" w:hAnsi="Arial" w:cs="Arial"/>
          <w:color w:val="000000" w:themeColor="text1"/>
          <w:sz w:val="22"/>
        </w:rPr>
        <w:t>–</w:t>
      </w:r>
      <w:r w:rsidRPr="003C27C6">
        <w:rPr>
          <w:rFonts w:ascii="Arial" w:hAnsi="Arial" w:cs="Arial"/>
          <w:color w:val="000000" w:themeColor="text1"/>
          <w:sz w:val="22"/>
        </w:rPr>
        <w:t xml:space="preserve"> con el fin de impulsar programas y actividades de interés público acordes con el plan nacional y los planes seccionales de desarrollo</w:t>
      </w:r>
      <w:r w:rsidRPr="003C27C6">
        <w:rPr>
          <w:rStyle w:val="Refdenotaalpie"/>
          <w:rFonts w:ascii="Arial" w:hAnsi="Arial" w:cs="Arial"/>
          <w:color w:val="000000" w:themeColor="text1"/>
          <w:sz w:val="22"/>
        </w:rPr>
        <w:footnoteReference w:id="34"/>
      </w:r>
      <w:r w:rsidRPr="003C27C6">
        <w:rPr>
          <w:rFonts w:ascii="Arial" w:hAnsi="Arial" w:cs="Arial"/>
          <w:color w:val="000000" w:themeColor="text1"/>
          <w:sz w:val="22"/>
        </w:rPr>
        <w:t xml:space="preserve">. </w:t>
      </w:r>
      <w:r w:rsidRPr="003C27C6">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3C27C6">
        <w:rPr>
          <w:rStyle w:val="Refdenotaalpie"/>
          <w:rFonts w:ascii="Arial" w:eastAsia="Calibri" w:hAnsi="Arial" w:cs="Arial"/>
          <w:color w:val="000000" w:themeColor="text1"/>
          <w:sz w:val="22"/>
        </w:rPr>
        <w:footnoteReference w:id="35"/>
      </w:r>
      <w:r w:rsidRPr="003C27C6">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78E259C6" w14:textId="113235B1" w:rsidR="00F441BB" w:rsidRPr="003C27C6" w:rsidRDefault="00F441BB" w:rsidP="00F441BB">
      <w:pPr>
        <w:spacing w:before="120" w:line="276" w:lineRule="auto"/>
        <w:ind w:firstLine="708"/>
        <w:jc w:val="both"/>
        <w:rPr>
          <w:rFonts w:ascii="Arial" w:eastAsia="Calibri" w:hAnsi="Arial" w:cs="Arial"/>
          <w:color w:val="000000" w:themeColor="text1"/>
          <w:sz w:val="22"/>
        </w:rPr>
      </w:pPr>
      <w:r w:rsidRPr="003C27C6">
        <w:rPr>
          <w:rFonts w:ascii="Arial" w:hAnsi="Arial" w:cs="Arial"/>
          <w:color w:val="000000" w:themeColor="text1"/>
          <w:sz w:val="22"/>
        </w:rPr>
        <w:t>En desarrollo del artículo 355 de la Constitución, el Gobierno Nacional expidió el Decreto 092 de 2017, q</w:t>
      </w:r>
      <w:r w:rsidRPr="003C27C6">
        <w:rPr>
          <w:rFonts w:ascii="Arial" w:eastAsia="Calibri" w:hAnsi="Arial" w:cs="Arial"/>
          <w:color w:val="000000" w:themeColor="text1"/>
          <w:sz w:val="22"/>
        </w:rPr>
        <w:t>ue dispone las reglas para las contrataciones que realicen las entidades estatales con las ESAL. El Decreto regula dos eventos: i) los contratos de colaboración o de interés público</w:t>
      </w:r>
      <w:r w:rsidR="008A4730" w:rsidRPr="003C27C6">
        <w:rPr>
          <w:rFonts w:ascii="Arial" w:eastAsia="Calibri" w:hAnsi="Arial" w:cs="Arial"/>
          <w:color w:val="000000" w:themeColor="text1"/>
          <w:sz w:val="22"/>
        </w:rPr>
        <w:t>,</w:t>
      </w:r>
      <w:r w:rsidRPr="003C27C6">
        <w:rPr>
          <w:rFonts w:ascii="Arial" w:eastAsia="Calibri" w:hAnsi="Arial" w:cs="Arial"/>
          <w:color w:val="000000" w:themeColor="text1"/>
          <w:sz w:val="22"/>
        </w:rPr>
        <w:t xml:space="preserve"> con el fin</w:t>
      </w:r>
      <w:r w:rsidR="0084466F" w:rsidRPr="003C27C6">
        <w:rPr>
          <w:rFonts w:ascii="Arial" w:eastAsia="Calibri" w:hAnsi="Arial" w:cs="Arial"/>
          <w:color w:val="000000" w:themeColor="text1"/>
          <w:sz w:val="22"/>
        </w:rPr>
        <w:t xml:space="preserve"> de</w:t>
      </w:r>
      <w:r w:rsidRPr="003C27C6">
        <w:rPr>
          <w:rFonts w:ascii="Arial" w:eastAsia="Calibri" w:hAnsi="Arial" w:cs="Arial"/>
          <w:color w:val="000000" w:themeColor="text1"/>
          <w:sz w:val="22"/>
        </w:rPr>
        <w:t xml:space="preserve"> impulsar programas y actividades de interés público de acuerdo con el Plan Nacional o los planes seccionales de desarrollo, en los términos del artículo 355 de la Constitución Política; y </w:t>
      </w:r>
      <w:proofErr w:type="spellStart"/>
      <w:r w:rsidRPr="003C27C6">
        <w:rPr>
          <w:rFonts w:ascii="Arial" w:eastAsia="Calibri" w:hAnsi="Arial" w:cs="Arial"/>
          <w:color w:val="000000" w:themeColor="text1"/>
          <w:sz w:val="22"/>
        </w:rPr>
        <w:t>ii</w:t>
      </w:r>
      <w:proofErr w:type="spellEnd"/>
      <w:r w:rsidRPr="003C27C6">
        <w:rPr>
          <w:rFonts w:ascii="Arial" w:eastAsia="Calibri" w:hAnsi="Arial"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3C27C6">
        <w:rPr>
          <w:rFonts w:ascii="Arial" w:eastAsia="Calibri" w:hAnsi="Arial" w:cs="Arial"/>
          <w:i/>
          <w:iCs/>
          <w:color w:val="000000" w:themeColor="text1"/>
          <w:sz w:val="22"/>
        </w:rPr>
        <w:t>ibídem</w:t>
      </w:r>
      <w:r w:rsidRPr="003C27C6">
        <w:rPr>
          <w:rFonts w:ascii="Arial" w:eastAsia="Calibri" w:hAnsi="Arial" w:cs="Arial"/>
          <w:color w:val="000000" w:themeColor="text1"/>
          <w:sz w:val="22"/>
        </w:rPr>
        <w:t xml:space="preserve">. Es posible diferenciar, pues, los </w:t>
      </w:r>
      <w:r w:rsidRPr="003C27C6">
        <w:rPr>
          <w:rFonts w:ascii="Arial" w:eastAsia="Calibri" w:hAnsi="Arial" w:cs="Arial"/>
          <w:i/>
          <w:iCs/>
          <w:color w:val="000000" w:themeColor="text1"/>
          <w:sz w:val="22"/>
        </w:rPr>
        <w:t>convenios de asociación</w:t>
      </w:r>
      <w:r w:rsidRPr="003C27C6">
        <w:rPr>
          <w:rFonts w:ascii="Arial" w:eastAsia="Calibri" w:hAnsi="Arial" w:cs="Arial"/>
          <w:color w:val="000000" w:themeColor="text1"/>
          <w:sz w:val="22"/>
        </w:rPr>
        <w:t xml:space="preserve">, regulados en el artículo 5, de los </w:t>
      </w:r>
      <w:r w:rsidRPr="003C27C6">
        <w:rPr>
          <w:rFonts w:ascii="Arial" w:eastAsia="Calibri" w:hAnsi="Arial" w:cs="Arial"/>
          <w:i/>
          <w:iCs/>
          <w:color w:val="000000" w:themeColor="text1"/>
          <w:sz w:val="22"/>
        </w:rPr>
        <w:t>contratos de colaboración</w:t>
      </w:r>
      <w:r w:rsidRPr="003C27C6">
        <w:rPr>
          <w:rFonts w:ascii="Arial" w:eastAsia="Calibri" w:hAnsi="Arial" w:cs="Arial"/>
          <w:color w:val="000000" w:themeColor="text1"/>
          <w:sz w:val="22"/>
        </w:rPr>
        <w:t>, establecidos en el artículo 2 del Decreto 092 de 2017</w:t>
      </w:r>
      <w:r w:rsidRPr="003C27C6">
        <w:rPr>
          <w:rStyle w:val="Refdenotaalpie"/>
          <w:rFonts w:ascii="Arial" w:eastAsia="Calibri" w:hAnsi="Arial" w:cs="Arial"/>
          <w:color w:val="000000" w:themeColor="text1"/>
          <w:sz w:val="22"/>
        </w:rPr>
        <w:footnoteReference w:id="36"/>
      </w:r>
      <w:r w:rsidRPr="003C27C6">
        <w:rPr>
          <w:rFonts w:ascii="Arial" w:eastAsia="Calibri" w:hAnsi="Arial" w:cs="Arial"/>
          <w:color w:val="000000" w:themeColor="text1"/>
          <w:sz w:val="22"/>
        </w:rPr>
        <w:t xml:space="preserve">. </w:t>
      </w:r>
    </w:p>
    <w:p w14:paraId="1E9AF78B" w14:textId="026BEA5C" w:rsidR="00F441BB" w:rsidRPr="003C27C6" w:rsidRDefault="00F441BB" w:rsidP="00F441BB">
      <w:pPr>
        <w:spacing w:before="120" w:line="276" w:lineRule="auto"/>
        <w:ind w:firstLine="708"/>
        <w:jc w:val="both"/>
        <w:rPr>
          <w:rFonts w:ascii="Arial" w:eastAsia="Calibri" w:hAnsi="Arial" w:cs="Arial"/>
          <w:color w:val="000000" w:themeColor="text1"/>
          <w:sz w:val="22"/>
        </w:rPr>
      </w:pPr>
      <w:r w:rsidRPr="003C27C6">
        <w:rPr>
          <w:rFonts w:ascii="Arial" w:eastAsia="Calibri" w:hAnsi="Arial" w:cs="Arial"/>
          <w:color w:val="000000" w:themeColor="text1"/>
          <w:sz w:val="22"/>
        </w:rPr>
        <w:t xml:space="preserve">Los </w:t>
      </w:r>
      <w:r w:rsidRPr="003C27C6">
        <w:rPr>
          <w:rFonts w:ascii="Arial" w:eastAsia="Calibri" w:hAnsi="Arial" w:cs="Arial"/>
          <w:i/>
          <w:iCs/>
          <w:color w:val="000000" w:themeColor="text1"/>
          <w:sz w:val="22"/>
        </w:rPr>
        <w:t xml:space="preserve">contratos de colaboración </w:t>
      </w:r>
      <w:r w:rsidRPr="003C27C6">
        <w:rPr>
          <w:rFonts w:ascii="Arial" w:eastAsia="Calibri" w:hAnsi="Arial" w:cs="Arial"/>
          <w:color w:val="000000" w:themeColor="text1"/>
          <w:sz w:val="22"/>
        </w:rPr>
        <w:t>tienen como objeto promover acciones de fomento social en beneficio de los sectores más desprotegidos de la población,</w:t>
      </w:r>
      <w:r w:rsidR="000C7CC5" w:rsidRPr="003C27C6">
        <w:rPr>
          <w:rFonts w:ascii="Arial" w:eastAsia="Calibri" w:hAnsi="Arial" w:cs="Arial"/>
          <w:color w:val="000000" w:themeColor="text1"/>
          <w:sz w:val="22"/>
        </w:rPr>
        <w:t xml:space="preserve"> que resulten</w:t>
      </w:r>
      <w:r w:rsidRPr="003C27C6">
        <w:rPr>
          <w:rFonts w:ascii="Arial" w:eastAsia="Calibri" w:hAnsi="Arial" w:cs="Arial"/>
          <w:color w:val="000000" w:themeColor="text1"/>
          <w:sz w:val="22"/>
        </w:rPr>
        <w:t xml:space="preserve"> </w:t>
      </w:r>
      <w:r w:rsidR="0084466F" w:rsidRPr="003C27C6">
        <w:rPr>
          <w:rFonts w:ascii="Arial" w:eastAsia="Calibri" w:hAnsi="Arial" w:cs="Arial"/>
          <w:color w:val="000000" w:themeColor="text1"/>
          <w:sz w:val="22"/>
        </w:rPr>
        <w:t xml:space="preserve">acordes con </w:t>
      </w:r>
      <w:r w:rsidRPr="003C27C6">
        <w:rPr>
          <w:rFonts w:ascii="Arial" w:eastAsia="Calibri" w:hAnsi="Arial" w:cs="Arial"/>
          <w:color w:val="000000" w:themeColor="text1"/>
          <w:sz w:val="22"/>
        </w:rPr>
        <w:t xml:space="preserve">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3C27C6">
        <w:rPr>
          <w:rFonts w:ascii="Arial" w:eastAsia="Calibri" w:hAnsi="Arial" w:cs="Arial"/>
          <w:color w:val="000000" w:themeColor="text1"/>
          <w:sz w:val="22"/>
        </w:rPr>
        <w:t>ii</w:t>
      </w:r>
      <w:proofErr w:type="spellEnd"/>
      <w:r w:rsidRPr="003C27C6">
        <w:rPr>
          <w:rFonts w:ascii="Arial" w:eastAsia="Calibri" w:hAnsi="Arial" w:cs="Arial"/>
          <w:color w:val="000000" w:themeColor="text1"/>
          <w:sz w:val="22"/>
        </w:rPr>
        <w:t>)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A1757A7" w14:textId="77777777" w:rsidR="00F441BB" w:rsidRPr="003C27C6" w:rsidRDefault="00F441BB" w:rsidP="00F441BB">
      <w:pPr>
        <w:pStyle w:val="Sinespaciado"/>
        <w:spacing w:before="120" w:line="276" w:lineRule="auto"/>
        <w:ind w:firstLine="708"/>
        <w:jc w:val="both"/>
        <w:rPr>
          <w:rFonts w:ascii="Arial" w:hAnsi="Arial" w:cs="Arial"/>
          <w:color w:val="000000" w:themeColor="text1"/>
          <w:sz w:val="22"/>
        </w:rPr>
      </w:pPr>
      <w:r w:rsidRPr="003C27C6">
        <w:rPr>
          <w:rFonts w:ascii="Arial" w:hAnsi="Arial" w:cs="Arial"/>
          <w:color w:val="000000" w:themeColor="text1"/>
          <w:sz w:val="22"/>
        </w:rPr>
        <w:t xml:space="preserve">De otro lado, los </w:t>
      </w:r>
      <w:r w:rsidRPr="003C27C6">
        <w:rPr>
          <w:rFonts w:ascii="Arial" w:hAnsi="Arial" w:cs="Arial"/>
          <w:i/>
          <w:iCs/>
          <w:color w:val="000000" w:themeColor="text1"/>
          <w:sz w:val="22"/>
        </w:rPr>
        <w:t>convenios de asociación</w:t>
      </w:r>
      <w:r w:rsidRPr="003C27C6">
        <w:rPr>
          <w:rFonts w:ascii="Arial" w:hAnsi="Arial" w:cs="Arial"/>
          <w:color w:val="000000" w:themeColor="text1"/>
          <w:sz w:val="22"/>
        </w:rPr>
        <w:t xml:space="preserve"> «[t]</w:t>
      </w:r>
      <w:proofErr w:type="spellStart"/>
      <w:r w:rsidRPr="003C27C6">
        <w:rPr>
          <w:rFonts w:ascii="Arial" w:hAnsi="Arial" w:cs="Arial"/>
          <w:color w:val="000000" w:themeColor="text1"/>
          <w:sz w:val="22"/>
        </w:rPr>
        <w:t>ienen</w:t>
      </w:r>
      <w:proofErr w:type="spellEnd"/>
      <w:r w:rsidRPr="003C27C6">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3C27C6">
        <w:rPr>
          <w:rStyle w:val="Refdenotaalpie"/>
          <w:rFonts w:ascii="Arial" w:hAnsi="Arial" w:cs="Arial"/>
          <w:color w:val="000000" w:themeColor="text1"/>
          <w:sz w:val="22"/>
        </w:rPr>
        <w:footnoteReference w:id="37"/>
      </w:r>
      <w:r w:rsidRPr="003C27C6">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C8A7870" w14:textId="0D1D136D" w:rsidR="00F441BB" w:rsidRPr="003C27C6" w:rsidRDefault="00F441BB" w:rsidP="00F441BB">
      <w:pPr>
        <w:pStyle w:val="Sinespaciado"/>
        <w:spacing w:before="120" w:line="276" w:lineRule="auto"/>
        <w:ind w:firstLine="708"/>
        <w:jc w:val="both"/>
        <w:rPr>
          <w:rFonts w:ascii="Arial" w:hAnsi="Arial" w:cs="Arial"/>
          <w:color w:val="000000" w:themeColor="text1"/>
          <w:sz w:val="22"/>
        </w:rPr>
      </w:pPr>
      <w:r w:rsidRPr="003C27C6">
        <w:rPr>
          <w:rFonts w:ascii="Arial" w:hAnsi="Arial" w:cs="Arial"/>
          <w:color w:val="000000" w:themeColor="text1"/>
          <w:sz w:val="22"/>
        </w:rPr>
        <w:t>De conformidad con el inciso segundo del artículo 96 de la Ley 489 de 1998, en estos convenios debe determinarse «con precisión su objeto, término, obligaciones de las partes, aportes, coordinación y todos aquellos aspectos que se consideren pertinentes»</w:t>
      </w:r>
      <w:r w:rsidR="00F647AF" w:rsidRPr="003C27C6">
        <w:rPr>
          <w:rFonts w:ascii="Arial" w:hAnsi="Arial" w:cs="Arial"/>
          <w:color w:val="000000" w:themeColor="text1"/>
          <w:sz w:val="22"/>
        </w:rPr>
        <w:t>. Dentro de estos</w:t>
      </w:r>
      <w:r w:rsidRPr="003C27C6">
        <w:rPr>
          <w:rFonts w:ascii="Arial" w:hAnsi="Arial" w:cs="Arial"/>
          <w:color w:val="000000" w:themeColor="text1"/>
          <w:sz w:val="22"/>
        </w:rPr>
        <w:t xml:space="preserve"> elementos </w:t>
      </w:r>
      <w:r w:rsidR="00F647AF" w:rsidRPr="003C27C6">
        <w:rPr>
          <w:rFonts w:ascii="Arial" w:hAnsi="Arial" w:cs="Arial"/>
          <w:color w:val="000000" w:themeColor="text1"/>
          <w:sz w:val="22"/>
        </w:rPr>
        <w:t>se</w:t>
      </w:r>
      <w:r w:rsidRPr="003C27C6">
        <w:rPr>
          <w:rFonts w:ascii="Arial" w:hAnsi="Arial" w:cs="Arial"/>
          <w:color w:val="000000" w:themeColor="text1"/>
          <w:sz w:val="22"/>
        </w:rPr>
        <w:t xml:space="preserv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73B2133" w14:textId="77777777" w:rsidR="00F441BB" w:rsidRPr="003C27C6" w:rsidRDefault="00F441BB" w:rsidP="00F441BB">
      <w:pPr>
        <w:pStyle w:val="Sinespaciado"/>
        <w:spacing w:before="120" w:line="276" w:lineRule="auto"/>
        <w:ind w:firstLine="708"/>
        <w:jc w:val="both"/>
        <w:rPr>
          <w:rFonts w:ascii="Arial" w:eastAsia="Calibri" w:hAnsi="Arial" w:cs="Arial"/>
          <w:color w:val="000000" w:themeColor="text1"/>
          <w:sz w:val="22"/>
        </w:rPr>
      </w:pPr>
      <w:r w:rsidRPr="003C27C6">
        <w:rPr>
          <w:rFonts w:ascii="Arial" w:hAnsi="Arial" w:cs="Arial"/>
          <w:color w:val="000000" w:themeColor="text1"/>
          <w:sz w:val="22"/>
        </w:rPr>
        <w:t>L</w:t>
      </w:r>
      <w:r w:rsidRPr="003C27C6">
        <w:rPr>
          <w:rFonts w:ascii="Arial" w:eastAsia="Calibri" w:hAnsi="Arial" w:cs="Arial"/>
          <w:color w:val="000000" w:themeColor="text1"/>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3C27C6">
        <w:rPr>
          <w:rStyle w:val="Refdenotaalpie"/>
          <w:rFonts w:ascii="Arial" w:eastAsia="Calibri" w:hAnsi="Arial" w:cs="Arial"/>
          <w:color w:val="000000" w:themeColor="text1"/>
          <w:sz w:val="22"/>
        </w:rPr>
        <w:footnoteReference w:id="38"/>
      </w:r>
      <w:r w:rsidRPr="003C27C6">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12758A6E" w14:textId="36A1007F" w:rsidR="00F441BB" w:rsidRPr="003C27C6" w:rsidRDefault="00F441BB" w:rsidP="00F441BB">
      <w:pPr>
        <w:pStyle w:val="Sinespaciado"/>
        <w:spacing w:before="120" w:line="276" w:lineRule="auto"/>
        <w:ind w:firstLine="708"/>
        <w:jc w:val="both"/>
        <w:rPr>
          <w:rFonts w:ascii="Arial" w:eastAsia="Calibri" w:hAnsi="Arial" w:cs="Arial"/>
          <w:color w:val="000000" w:themeColor="text1"/>
          <w:sz w:val="22"/>
        </w:rPr>
      </w:pPr>
      <w:r w:rsidRPr="003C27C6">
        <w:rPr>
          <w:rFonts w:ascii="Arial" w:eastAsia="Calibri" w:hAnsi="Arial" w:cs="Arial"/>
          <w:color w:val="000000" w:themeColor="text1"/>
          <w:sz w:val="22"/>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w:t>
      </w:r>
      <w:r w:rsidR="00D43689" w:rsidRPr="003C27C6">
        <w:rPr>
          <w:rFonts w:ascii="Arial" w:eastAsia="Calibri" w:hAnsi="Arial" w:cs="Arial"/>
          <w:color w:val="000000" w:themeColor="text1"/>
          <w:sz w:val="22"/>
        </w:rPr>
        <w:t>la</w:t>
      </w:r>
      <w:r w:rsidRPr="003C27C6">
        <w:rPr>
          <w:rFonts w:ascii="Arial" w:eastAsia="Calibri" w:hAnsi="Arial" w:cs="Arial"/>
          <w:color w:val="000000" w:themeColor="text1"/>
          <w:sz w:val="22"/>
        </w:rPr>
        <w:t xml:space="preserve"> ESAL, aporte al menos el treinta por ciento del valor del convenio para celebrarlo directamente, ya que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3C27C6">
        <w:rPr>
          <w:rStyle w:val="Refdenotaalpie"/>
          <w:rFonts w:ascii="Arial" w:eastAsia="Calibri" w:hAnsi="Arial" w:cs="Arial"/>
          <w:color w:val="000000" w:themeColor="text1"/>
          <w:sz w:val="22"/>
        </w:rPr>
        <w:footnoteReference w:id="39"/>
      </w:r>
      <w:r w:rsidRPr="003C27C6">
        <w:rPr>
          <w:rFonts w:ascii="Arial" w:eastAsia="Calibri" w:hAnsi="Arial" w:cs="Arial"/>
          <w:color w:val="000000" w:themeColor="text1"/>
          <w:sz w:val="22"/>
        </w:rPr>
        <w:t>.</w:t>
      </w:r>
    </w:p>
    <w:p w14:paraId="424C5CD3" w14:textId="363AA68A" w:rsidR="00F441BB" w:rsidRPr="003C27C6" w:rsidRDefault="00F441BB" w:rsidP="00F441BB">
      <w:pPr>
        <w:spacing w:before="120" w:line="276" w:lineRule="auto"/>
        <w:ind w:firstLine="708"/>
        <w:jc w:val="both"/>
        <w:rPr>
          <w:rFonts w:ascii="Arial" w:hAnsi="Arial" w:cs="Arial"/>
          <w:color w:val="000000" w:themeColor="text1"/>
          <w:sz w:val="22"/>
        </w:rPr>
      </w:pPr>
      <w:r w:rsidRPr="003C27C6">
        <w:rPr>
          <w:rFonts w:ascii="Arial" w:hAnsi="Arial" w:cs="Arial"/>
          <w:color w:val="000000" w:themeColor="text1"/>
          <w:sz w:val="22"/>
        </w:rPr>
        <w:t xml:space="preserve">La noción «seleccionar de forma objetiva», contenida en la disposición </w:t>
      </w:r>
      <w:r w:rsidRPr="003C27C6">
        <w:rPr>
          <w:rFonts w:ascii="Arial" w:hAnsi="Arial" w:cs="Arial"/>
          <w:i/>
          <w:iCs/>
          <w:color w:val="000000" w:themeColor="text1"/>
          <w:sz w:val="22"/>
        </w:rPr>
        <w:t xml:space="preserve">sub examine </w:t>
      </w:r>
      <w:r w:rsidRPr="003C27C6">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w:t>
      </w:r>
      <w:r w:rsidR="00D43689" w:rsidRPr="003C27C6">
        <w:rPr>
          <w:rFonts w:ascii="Arial" w:hAnsi="Arial" w:cs="Arial"/>
          <w:color w:val="000000" w:themeColor="text1"/>
          <w:sz w:val="22"/>
        </w:rPr>
        <w:t xml:space="preserve">discrecionalmente </w:t>
      </w:r>
      <w:r w:rsidRPr="003C27C6">
        <w:rPr>
          <w:rFonts w:ascii="Arial" w:hAnsi="Arial" w:cs="Arial"/>
          <w:color w:val="000000" w:themeColor="text1"/>
          <w:sz w:val="22"/>
        </w:rPr>
        <w:t>acudir a los procesos de selección de contratistas que establece el EGCAP o, incluso, al trámite que regula el inciso 2 del artículo 2 del Decreto 092 de 2017.</w:t>
      </w:r>
    </w:p>
    <w:p w14:paraId="0691F3B5" w14:textId="77777777" w:rsidR="00F441BB" w:rsidRPr="003C27C6" w:rsidRDefault="00F441BB" w:rsidP="00F441BB">
      <w:pPr>
        <w:spacing w:before="120" w:after="120" w:line="276" w:lineRule="auto"/>
        <w:ind w:firstLine="708"/>
        <w:jc w:val="both"/>
        <w:textAlignment w:val="baseline"/>
        <w:rPr>
          <w:rFonts w:ascii="Arial" w:hAnsi="Arial" w:cs="Arial"/>
          <w:color w:val="000000" w:themeColor="text1"/>
          <w:sz w:val="22"/>
          <w:szCs w:val="22"/>
        </w:rPr>
      </w:pPr>
      <w:r w:rsidRPr="003C27C6">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3C27C6">
        <w:rPr>
          <w:rFonts w:ascii="Arial" w:hAnsi="Arial" w:cs="Arial"/>
          <w:color w:val="000000" w:themeColor="text1"/>
          <w:sz w:val="22"/>
          <w:szCs w:val="22"/>
          <w:lang w:val="es-MX"/>
        </w:rPr>
        <w:t>.</w:t>
      </w:r>
      <w:r w:rsidRPr="003C27C6">
        <w:rPr>
          <w:rFonts w:ascii="Arial" w:hAnsi="Arial" w:cs="Arial"/>
          <w:color w:val="000000" w:themeColor="text1"/>
          <w:sz w:val="22"/>
          <w:szCs w:val="22"/>
        </w:rPr>
        <w:t> </w:t>
      </w:r>
    </w:p>
    <w:p w14:paraId="1C2C388A" w14:textId="599CDA7B" w:rsidR="004A0DF7" w:rsidRPr="003C27C6" w:rsidRDefault="000A4704" w:rsidP="004A0DF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3C27C6">
        <w:rPr>
          <w:rFonts w:ascii="Arial" w:hAnsi="Arial" w:cs="Arial"/>
          <w:color w:val="000000" w:themeColor="text1"/>
          <w:sz w:val="22"/>
          <w:szCs w:val="22"/>
        </w:rPr>
        <w:t>De otro lado</w:t>
      </w:r>
      <w:r w:rsidR="00F441BB" w:rsidRPr="003C27C6">
        <w:rPr>
          <w:rFonts w:ascii="Arial" w:hAnsi="Arial" w:cs="Arial"/>
          <w:color w:val="000000" w:themeColor="text1"/>
          <w:sz w:val="22"/>
          <w:szCs w:val="22"/>
        </w:rPr>
        <w:t xml:space="preserve">, </w:t>
      </w:r>
      <w:r w:rsidRPr="003C27C6">
        <w:rPr>
          <w:rFonts w:ascii="Arial" w:hAnsi="Arial" w:cs="Arial"/>
          <w:color w:val="000000" w:themeColor="text1"/>
          <w:sz w:val="22"/>
          <w:szCs w:val="22"/>
        </w:rPr>
        <w:t xml:space="preserve">es importante destacar que </w:t>
      </w:r>
      <w:r w:rsidR="00F441BB" w:rsidRPr="003C27C6">
        <w:rPr>
          <w:rFonts w:ascii="Arial" w:hAnsi="Arial" w:cs="Arial"/>
          <w:color w:val="000000" w:themeColor="text1"/>
          <w:sz w:val="22"/>
          <w:szCs w:val="22"/>
        </w:rPr>
        <w:t>e</w:t>
      </w:r>
      <w:r w:rsidR="00F441BB" w:rsidRPr="003C27C6">
        <w:rPr>
          <w:rFonts w:ascii="Arial" w:eastAsia="Calibri" w:hAnsi="Arial" w:cs="Arial"/>
          <w:color w:val="000000" w:themeColor="text1"/>
          <w:sz w:val="22"/>
        </w:rPr>
        <w:t>l Consejo de Estado, en el Auto del 6 de agosto de 2019 de la Sección Tercera, Subsección A –</w:t>
      </w:r>
      <w:proofErr w:type="spellStart"/>
      <w:r w:rsidR="00F441BB" w:rsidRPr="003C27C6">
        <w:rPr>
          <w:rFonts w:ascii="Arial" w:eastAsia="Calibri" w:hAnsi="Arial" w:cs="Arial"/>
          <w:color w:val="000000" w:themeColor="text1"/>
          <w:sz w:val="22"/>
        </w:rPr>
        <w:t>Exp</w:t>
      </w:r>
      <w:proofErr w:type="spellEnd"/>
      <w:r w:rsidR="00F441BB" w:rsidRPr="003C27C6">
        <w:rPr>
          <w:rFonts w:ascii="Arial" w:eastAsia="Calibri" w:hAnsi="Arial" w:cs="Arial"/>
          <w:color w:val="000000" w:themeColor="text1"/>
          <w:sz w:val="22"/>
        </w:rPr>
        <w:t>. 62.003–, estudió la solicitud de suspensión provisional</w:t>
      </w:r>
      <w:r w:rsidR="00F441BB" w:rsidRPr="003C27C6">
        <w:rPr>
          <w:rStyle w:val="Refdenotaalpie"/>
          <w:rFonts w:ascii="Arial" w:eastAsia="Calibri" w:hAnsi="Arial" w:cs="Arial"/>
          <w:color w:val="000000" w:themeColor="text1"/>
          <w:sz w:val="22"/>
        </w:rPr>
        <w:footnoteReference w:id="40"/>
      </w:r>
      <w:r w:rsidR="00F441BB" w:rsidRPr="003C27C6">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092 de 2017. </w:t>
      </w:r>
    </w:p>
    <w:p w14:paraId="7A779C46" w14:textId="7176926C" w:rsidR="004A0DF7" w:rsidRPr="003C27C6" w:rsidRDefault="004A0DF7" w:rsidP="004A0DF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3C27C6">
        <w:rPr>
          <w:rStyle w:val="normaltextrun"/>
          <w:rFonts w:ascii="Arial" w:hAnsi="Arial" w:cs="Arial"/>
          <w:sz w:val="22"/>
          <w:szCs w:val="22"/>
          <w:lang w:val="es-ES"/>
        </w:rPr>
        <w:t>Para nuestro an</w:t>
      </w:r>
      <w:r w:rsidR="00254083" w:rsidRPr="003C27C6">
        <w:rPr>
          <w:rStyle w:val="normaltextrun"/>
          <w:rFonts w:ascii="Arial" w:hAnsi="Arial" w:cs="Arial"/>
          <w:sz w:val="22"/>
          <w:szCs w:val="22"/>
          <w:lang w:val="es-ES"/>
        </w:rPr>
        <w:t>álisis</w:t>
      </w:r>
      <w:r w:rsidRPr="003C27C6">
        <w:rPr>
          <w:rStyle w:val="normaltextrun"/>
          <w:rFonts w:ascii="Arial" w:hAnsi="Arial" w:cs="Arial"/>
          <w:sz w:val="22"/>
          <w:szCs w:val="22"/>
          <w:lang w:val="es-ES"/>
        </w:rPr>
        <w:t xml:space="preserve">, </w:t>
      </w:r>
      <w:r w:rsidR="000A4704" w:rsidRPr="003C27C6">
        <w:rPr>
          <w:rStyle w:val="normaltextrun"/>
          <w:rFonts w:ascii="Arial" w:hAnsi="Arial" w:cs="Arial"/>
          <w:sz w:val="22"/>
          <w:szCs w:val="22"/>
          <w:lang w:val="es-ES"/>
        </w:rPr>
        <w:t>es relevante tener</w:t>
      </w:r>
      <w:r w:rsidRPr="003C27C6">
        <w:rPr>
          <w:rStyle w:val="normaltextrun"/>
          <w:rFonts w:ascii="Arial" w:hAnsi="Arial" w:cs="Arial"/>
          <w:sz w:val="22"/>
          <w:szCs w:val="22"/>
          <w:lang w:val="es-ES"/>
        </w:rPr>
        <w:t xml:space="preserve"> en cuenta el examen que realizó el Consejo de Estado sobre el literal c) y el inciso 5 del artículo 2 del Decreto</w:t>
      </w:r>
      <w:r w:rsidRPr="003C27C6">
        <w:rPr>
          <w:rStyle w:val="superscript"/>
          <w:rFonts w:ascii="Arial" w:hAnsi="Arial" w:cs="Arial"/>
          <w:sz w:val="22"/>
          <w:szCs w:val="22"/>
          <w:vertAlign w:val="superscript"/>
          <w:lang w:val="es-ES"/>
        </w:rPr>
        <w:t>11</w:t>
      </w:r>
      <w:r w:rsidRPr="003C27C6">
        <w:rPr>
          <w:rStyle w:val="normaltextrun"/>
          <w:rFonts w:ascii="Arial" w:hAnsi="Arial" w:cs="Arial"/>
          <w:sz w:val="22"/>
          <w:szCs w:val="22"/>
          <w:lang w:val="es-ES"/>
        </w:rPr>
        <w:t>,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w:t>
      </w:r>
    </w:p>
    <w:p w14:paraId="4A900F51" w14:textId="223D1A7F" w:rsidR="004A0DF7" w:rsidRPr="003C27C6" w:rsidRDefault="004A0DF7" w:rsidP="004A0DF7">
      <w:pPr>
        <w:pStyle w:val="paragraph"/>
        <w:spacing w:before="0" w:beforeAutospacing="0" w:after="120" w:afterAutospacing="0"/>
        <w:ind w:left="705" w:right="705"/>
        <w:jc w:val="both"/>
        <w:textAlignment w:val="baseline"/>
        <w:rPr>
          <w:rFonts w:ascii="Segoe UI" w:hAnsi="Segoe UI" w:cs="Segoe UI"/>
          <w:sz w:val="18"/>
          <w:szCs w:val="18"/>
        </w:rPr>
      </w:pPr>
      <w:r w:rsidRPr="003C27C6">
        <w:rPr>
          <w:rStyle w:val="normaltextrun"/>
          <w:rFonts w:ascii="Arial" w:hAnsi="Arial" w:cs="Arial"/>
          <w:sz w:val="21"/>
          <w:szCs w:val="21"/>
          <w:lang w:val="es-ES"/>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3C27C6">
        <w:rPr>
          <w:rStyle w:val="normaltextrun"/>
          <w:rFonts w:ascii="Arial" w:hAnsi="Arial" w:cs="Arial"/>
          <w:sz w:val="21"/>
          <w:szCs w:val="21"/>
          <w:lang w:val="es-ES"/>
        </w:rPr>
        <w:t>ii</w:t>
      </w:r>
      <w:proofErr w:type="spellEnd"/>
      <w:r w:rsidRPr="003C27C6">
        <w:rPr>
          <w:rStyle w:val="normaltextrun"/>
          <w:rFonts w:ascii="Arial" w:hAnsi="Arial" w:cs="Arial"/>
          <w:sz w:val="21"/>
          <w:szCs w:val="21"/>
          <w:lang w:val="es-ES"/>
        </w:rPr>
        <w:t>) desarrollan programas y actividades de interés público con reconocida idoneidad. No son, entonces, entidades creadas para competir en el mercado.</w:t>
      </w:r>
      <w:r w:rsidRPr="003C27C6">
        <w:rPr>
          <w:rStyle w:val="eop"/>
          <w:rFonts w:ascii="Arial" w:hAnsi="Arial" w:cs="Arial"/>
          <w:sz w:val="21"/>
          <w:szCs w:val="21"/>
        </w:rPr>
        <w:t> </w:t>
      </w:r>
    </w:p>
    <w:p w14:paraId="13A880AD" w14:textId="77777777" w:rsidR="004A0DF7" w:rsidRPr="003C27C6" w:rsidRDefault="004A0DF7" w:rsidP="004A0DF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3C27C6">
        <w:rPr>
          <w:rStyle w:val="normaltextrun"/>
          <w:rFonts w:ascii="Arial" w:hAnsi="Arial" w:cs="Arial"/>
          <w:sz w:val="22"/>
          <w:szCs w:val="22"/>
          <w:lang w:val="es-ES"/>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r w:rsidRPr="003C27C6">
        <w:rPr>
          <w:rStyle w:val="eop"/>
          <w:rFonts w:ascii="Arial" w:hAnsi="Arial" w:cs="Arial"/>
          <w:sz w:val="22"/>
          <w:szCs w:val="22"/>
        </w:rPr>
        <w:t> </w:t>
      </w:r>
    </w:p>
    <w:p w14:paraId="425D360E" w14:textId="6CDC2F18" w:rsidR="004A0DF7" w:rsidRPr="003C27C6" w:rsidRDefault="00254083" w:rsidP="004A0DF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3C27C6">
        <w:rPr>
          <w:rStyle w:val="normaltextrun"/>
          <w:rFonts w:ascii="Arial" w:hAnsi="Arial" w:cs="Arial"/>
          <w:sz w:val="22"/>
          <w:szCs w:val="22"/>
        </w:rPr>
        <w:t xml:space="preserve">Otra norma que </w:t>
      </w:r>
      <w:r w:rsidR="004A0DF7" w:rsidRPr="003C27C6">
        <w:rPr>
          <w:rStyle w:val="normaltextrun"/>
          <w:rFonts w:ascii="Arial" w:hAnsi="Arial" w:cs="Arial"/>
          <w:sz w:val="22"/>
          <w:szCs w:val="22"/>
          <w:lang w:val="es-ES"/>
        </w:rPr>
        <w:t xml:space="preserve">estudió el Consejo de Estado fue el inciso final del artículo 4 del Decreto 92 de 2017, el cual </w:t>
      </w:r>
      <w:r w:rsidRPr="003C27C6">
        <w:rPr>
          <w:rStyle w:val="normaltextrun"/>
          <w:rFonts w:ascii="Arial" w:hAnsi="Arial" w:cs="Arial"/>
          <w:sz w:val="22"/>
          <w:szCs w:val="22"/>
          <w:lang w:val="es-ES"/>
        </w:rPr>
        <w:t xml:space="preserve">se refiere </w:t>
      </w:r>
      <w:r w:rsidR="004A0DF7" w:rsidRPr="003C27C6">
        <w:rPr>
          <w:rStyle w:val="normaltextrun"/>
          <w:rFonts w:ascii="Arial" w:hAnsi="Arial" w:cs="Arial"/>
          <w:sz w:val="22"/>
          <w:szCs w:val="22"/>
          <w:lang w:val="es-ES"/>
        </w:rPr>
        <w:t>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004A0DF7" w:rsidRPr="003C27C6">
        <w:rPr>
          <w:rStyle w:val="superscript"/>
          <w:rFonts w:ascii="Arial" w:hAnsi="Arial" w:cs="Arial"/>
          <w:sz w:val="22"/>
          <w:szCs w:val="22"/>
          <w:vertAlign w:val="superscript"/>
          <w:lang w:val="es-ES"/>
        </w:rPr>
        <w:t>12</w:t>
      </w:r>
      <w:r w:rsidR="004A0DF7" w:rsidRPr="003C27C6">
        <w:rPr>
          <w:rStyle w:val="normaltextrun"/>
          <w:rFonts w:ascii="Arial" w:hAnsi="Arial" w:cs="Arial"/>
          <w:sz w:val="22"/>
          <w:szCs w:val="22"/>
          <w:lang w:val="es-ES"/>
        </w:rPr>
        <w:t xml:space="preserve">. Para </w:t>
      </w:r>
      <w:r w:rsidR="000A4704" w:rsidRPr="003C27C6">
        <w:rPr>
          <w:rStyle w:val="normaltextrun"/>
          <w:rFonts w:ascii="Arial" w:hAnsi="Arial" w:cs="Arial"/>
          <w:sz w:val="22"/>
          <w:szCs w:val="22"/>
          <w:lang w:val="es-ES"/>
        </w:rPr>
        <w:t>el Consejo de Estado</w:t>
      </w:r>
      <w:r w:rsidR="004A0DF7" w:rsidRPr="003C27C6">
        <w:rPr>
          <w:rStyle w:val="normaltextrun"/>
          <w:rFonts w:ascii="Arial" w:hAnsi="Arial" w:cs="Arial"/>
          <w:sz w:val="22"/>
          <w:szCs w:val="22"/>
          <w:lang w:val="es-ES"/>
        </w:rPr>
        <w:t>,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r w:rsidR="004A0DF7" w:rsidRPr="003C27C6">
        <w:rPr>
          <w:rStyle w:val="eop"/>
          <w:rFonts w:ascii="Arial" w:hAnsi="Arial" w:cs="Arial"/>
          <w:sz w:val="22"/>
          <w:szCs w:val="22"/>
        </w:rPr>
        <w:t> </w:t>
      </w:r>
    </w:p>
    <w:p w14:paraId="0AB4F098" w14:textId="5607A148" w:rsidR="004A0DF7" w:rsidRPr="003C27C6" w:rsidRDefault="004A0DF7" w:rsidP="004A0DF7">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3C27C6">
        <w:rPr>
          <w:rStyle w:val="normaltextrun"/>
          <w:rFonts w:ascii="Arial" w:hAnsi="Arial" w:cs="Arial"/>
          <w:sz w:val="22"/>
          <w:szCs w:val="22"/>
          <w:lang w:val="es-ES"/>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3C27C6">
        <w:rPr>
          <w:rStyle w:val="normaltextrun"/>
          <w:rFonts w:ascii="Arial" w:hAnsi="Arial" w:cs="Arial"/>
          <w:i/>
          <w:iCs/>
          <w:sz w:val="22"/>
          <w:szCs w:val="22"/>
          <w:lang w:val="es-ES"/>
        </w:rPr>
        <w:t>ibidem</w:t>
      </w:r>
      <w:r w:rsidRPr="003C27C6">
        <w:rPr>
          <w:rStyle w:val="normaltextrun"/>
          <w:rFonts w:ascii="Arial" w:hAnsi="Arial" w:cs="Arial"/>
          <w:sz w:val="22"/>
          <w:szCs w:val="22"/>
          <w:lang w:val="es-ES"/>
        </w:rPr>
        <w:t xml:space="preserve">. Incluso, habría lugar </w:t>
      </w:r>
      <w:proofErr w:type="gramStart"/>
      <w:r w:rsidRPr="003C27C6">
        <w:rPr>
          <w:rStyle w:val="normaltextrun"/>
          <w:rFonts w:ascii="Arial" w:hAnsi="Arial" w:cs="Arial"/>
          <w:sz w:val="22"/>
          <w:szCs w:val="22"/>
          <w:lang w:val="es-ES"/>
        </w:rPr>
        <w:t>a</w:t>
      </w:r>
      <w:proofErr w:type="gramEnd"/>
      <w:r w:rsidRPr="003C27C6">
        <w:rPr>
          <w:rStyle w:val="normaltextrun"/>
          <w:rFonts w:ascii="Arial" w:hAnsi="Arial" w:cs="Arial"/>
          <w:sz w:val="22"/>
          <w:szCs w:val="22"/>
          <w:lang w:val="es-ES"/>
        </w:rPr>
        <w:t xml:space="preserve"> tener en cuenta las exigencias del inciso 2 del artículo 4 </w:t>
      </w:r>
      <w:proofErr w:type="spellStart"/>
      <w:r w:rsidRPr="003C27C6">
        <w:rPr>
          <w:rStyle w:val="normaltextrun"/>
          <w:rFonts w:ascii="Arial" w:hAnsi="Arial" w:cs="Arial"/>
          <w:i/>
          <w:iCs/>
          <w:sz w:val="22"/>
          <w:szCs w:val="22"/>
          <w:lang w:val="es-ES"/>
        </w:rPr>
        <w:t>íbídem</w:t>
      </w:r>
      <w:proofErr w:type="spellEnd"/>
      <w:r w:rsidRPr="003C27C6">
        <w:rPr>
          <w:rStyle w:val="normaltextrun"/>
          <w:rFonts w:ascii="Arial" w:hAnsi="Arial" w:cs="Arial"/>
          <w:sz w:val="22"/>
          <w:szCs w:val="22"/>
          <w:lang w:val="es-ES"/>
        </w:rPr>
        <w:t>, siempre que se configuren los supuestos de aplicación de dicha normativa, esto es, siempre que «</w:t>
      </w:r>
      <w:proofErr w:type="spellStart"/>
      <w:r w:rsidRPr="003C27C6">
        <w:rPr>
          <w:rStyle w:val="normaltextrun"/>
          <w:rFonts w:ascii="Arial" w:hAnsi="Arial" w:cs="Arial"/>
          <w:sz w:val="22"/>
          <w:szCs w:val="22"/>
          <w:lang w:val="es-ES"/>
        </w:rPr>
        <w:t>exist</w:t>
      </w:r>
      <w:proofErr w:type="spellEnd"/>
      <w:r w:rsidRPr="003C27C6">
        <w:rPr>
          <w:rStyle w:val="normaltextrun"/>
          <w:rFonts w:ascii="Arial" w:hAnsi="Arial" w:cs="Arial"/>
          <w:sz w:val="22"/>
          <w:szCs w:val="22"/>
          <w:lang w:val="es-ES"/>
        </w:rPr>
        <w:t>[a] más de una entidad sin ánimo de lucro de reconocida idoneidad».</w:t>
      </w:r>
      <w:r w:rsidRPr="003C27C6">
        <w:rPr>
          <w:rStyle w:val="eop"/>
          <w:rFonts w:ascii="Arial" w:hAnsi="Arial" w:cs="Arial"/>
          <w:sz w:val="22"/>
          <w:szCs w:val="22"/>
        </w:rPr>
        <w:t> </w:t>
      </w:r>
    </w:p>
    <w:p w14:paraId="283F0D32" w14:textId="7DC320D8" w:rsidR="00F441BB" w:rsidRPr="003C27C6" w:rsidRDefault="00F441BB" w:rsidP="00F441BB">
      <w:pPr>
        <w:spacing w:after="120" w:line="276" w:lineRule="auto"/>
        <w:ind w:firstLine="709"/>
        <w:jc w:val="both"/>
        <w:rPr>
          <w:rFonts w:ascii="Arial" w:eastAsia="Calibri" w:hAnsi="Arial" w:cs="Arial"/>
          <w:sz w:val="22"/>
        </w:rPr>
      </w:pPr>
      <w:r w:rsidRPr="003C27C6">
        <w:rPr>
          <w:rFonts w:ascii="Arial" w:eastAsia="Calibri" w:hAnsi="Arial" w:cs="Arial"/>
          <w:color w:val="000000" w:themeColor="text1"/>
          <w:sz w:val="22"/>
        </w:rPr>
        <w:t xml:space="preserve">No obstante, sobre </w:t>
      </w:r>
      <w:r w:rsidR="004A0DF7" w:rsidRPr="003C27C6">
        <w:rPr>
          <w:rFonts w:ascii="Arial" w:eastAsia="Calibri" w:hAnsi="Arial" w:cs="Arial"/>
          <w:color w:val="000000" w:themeColor="text1"/>
          <w:sz w:val="22"/>
        </w:rPr>
        <w:t>el artículo 5</w:t>
      </w:r>
      <w:r w:rsidR="000A4704" w:rsidRPr="003C27C6">
        <w:rPr>
          <w:rFonts w:ascii="Arial" w:eastAsia="Calibri" w:hAnsi="Arial" w:cs="Arial"/>
          <w:color w:val="000000" w:themeColor="text1"/>
          <w:sz w:val="22"/>
        </w:rPr>
        <w:t>, el Consejo de Estado</w:t>
      </w:r>
      <w:r w:rsidR="004A0DF7" w:rsidRPr="003C27C6">
        <w:rPr>
          <w:rFonts w:ascii="Arial" w:eastAsia="Calibri" w:hAnsi="Arial" w:cs="Arial"/>
          <w:color w:val="000000" w:themeColor="text1"/>
          <w:sz w:val="22"/>
        </w:rPr>
        <w:t xml:space="preserve"> </w:t>
      </w:r>
      <w:r w:rsidRPr="003C27C6">
        <w:rPr>
          <w:rFonts w:ascii="Arial" w:eastAsia="Calibri" w:hAnsi="Arial" w:cs="Arial"/>
          <w:color w:val="000000" w:themeColor="text1"/>
          <w:sz w:val="22"/>
        </w:rPr>
        <w:t xml:space="preserve">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3C27C6">
        <w:rPr>
          <w:rFonts w:ascii="Arial" w:eastAsia="Calibri" w:hAnsi="Arial" w:cs="Arial"/>
          <w:i/>
          <w:iCs/>
          <w:color w:val="000000" w:themeColor="text1"/>
          <w:sz w:val="22"/>
        </w:rPr>
        <w:t>convenio de asociación</w:t>
      </w:r>
      <w:r w:rsidRPr="003C27C6">
        <w:rPr>
          <w:rFonts w:ascii="Arial" w:eastAsia="Calibri" w:hAnsi="Arial" w:cs="Arial"/>
          <w:color w:val="000000" w:themeColor="text1"/>
          <w:sz w:val="22"/>
        </w:rPr>
        <w:t xml:space="preserve"> con ESAL de reconocida idoneidad para el cumplimiento de las funciones que la ley les asigna a las entidades públicas</w:t>
      </w:r>
      <w:r w:rsidRPr="003C27C6">
        <w:rPr>
          <w:rFonts w:ascii="Arial" w:eastAsia="Calibri" w:hAnsi="Arial" w:cs="Arial"/>
          <w:sz w:val="22"/>
        </w:rPr>
        <w:t xml:space="preserve">, debe aplicarse lo dispuesto en el artículo 5 del Decreto 092 de 2017. </w:t>
      </w:r>
    </w:p>
    <w:p w14:paraId="15E9F19C" w14:textId="41CFE891" w:rsidR="00F441BB" w:rsidRPr="003C27C6" w:rsidRDefault="00F441BB" w:rsidP="00F441BB">
      <w:pPr>
        <w:spacing w:before="120" w:line="276" w:lineRule="auto"/>
        <w:ind w:firstLine="708"/>
        <w:jc w:val="both"/>
        <w:rPr>
          <w:rFonts w:ascii="Arial" w:eastAsia="Calibri" w:hAnsi="Arial" w:cs="Arial"/>
          <w:sz w:val="22"/>
        </w:rPr>
      </w:pPr>
      <w:r w:rsidRPr="003C27C6">
        <w:rPr>
          <w:rFonts w:ascii="Arial" w:eastAsia="Calibri" w:hAnsi="Arial" w:cs="Arial"/>
          <w:sz w:val="22"/>
        </w:rPr>
        <w:t xml:space="preserve">Para los </w:t>
      </w:r>
      <w:r w:rsidRPr="003C27C6">
        <w:rPr>
          <w:rFonts w:ascii="Arial" w:eastAsia="Calibri" w:hAnsi="Arial" w:cs="Arial"/>
          <w:i/>
          <w:iCs/>
          <w:sz w:val="22"/>
        </w:rPr>
        <w:t>convenios de asociación</w:t>
      </w:r>
      <w:r w:rsidRPr="003C27C6">
        <w:rPr>
          <w:rFonts w:ascii="Arial" w:eastAsia="Calibri" w:hAnsi="Arial" w:cs="Arial"/>
          <w:sz w:val="22"/>
        </w:rPr>
        <w:t xml:space="preserve">, como se explicó </w:t>
      </w:r>
      <w:r w:rsidRPr="003C27C6">
        <w:rPr>
          <w:rFonts w:ascii="Arial" w:eastAsia="Calibri" w:hAnsi="Arial" w:cs="Arial"/>
          <w:i/>
          <w:iCs/>
          <w:sz w:val="22"/>
        </w:rPr>
        <w:t>ut supra</w:t>
      </w:r>
      <w:r w:rsidRPr="003C27C6">
        <w:rPr>
          <w:rFonts w:ascii="Arial" w:eastAsia="Calibri" w:hAnsi="Arial" w:cs="Arial"/>
          <w:sz w:val="22"/>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3C27C6">
        <w:rPr>
          <w:rStyle w:val="Refdenotaalpie"/>
          <w:rFonts w:ascii="Arial" w:hAnsi="Arial" w:cs="Arial"/>
          <w:sz w:val="22"/>
          <w:szCs w:val="22"/>
        </w:rPr>
        <w:footnoteReference w:id="41"/>
      </w:r>
      <w:r w:rsidRPr="003C27C6">
        <w:rPr>
          <w:rFonts w:ascii="Arial" w:eastAsia="Calibri" w:hAnsi="Arial" w:cs="Arial"/>
          <w:sz w:val="22"/>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w:t>
      </w:r>
      <w:r w:rsidR="000A4704" w:rsidRPr="003C27C6">
        <w:rPr>
          <w:rFonts w:ascii="Arial" w:eastAsia="Calibri" w:hAnsi="Arial" w:cs="Arial"/>
          <w:sz w:val="22"/>
        </w:rPr>
        <w:t>,</w:t>
      </w:r>
      <w:r w:rsidRPr="003C27C6">
        <w:rPr>
          <w:rFonts w:ascii="Arial" w:eastAsia="Calibri" w:hAnsi="Arial" w:cs="Arial"/>
          <w:sz w:val="22"/>
        </w:rPr>
        <w:t xml:space="preserve"> solo indica que en esos casos la entidad estatal debe acudir al proceso competitivo para seleccionar a la entidad sin ánimo de lucro con la cual celebrará el respectivo convenio.</w:t>
      </w:r>
    </w:p>
    <w:p w14:paraId="434B18A7" w14:textId="2B19FE77" w:rsidR="00C5639E" w:rsidRPr="003C27C6" w:rsidRDefault="002B0BE3" w:rsidP="00964D6E">
      <w:pPr>
        <w:spacing w:before="120" w:after="120" w:line="276" w:lineRule="auto"/>
        <w:ind w:firstLine="709"/>
        <w:jc w:val="both"/>
        <w:rPr>
          <w:rFonts w:ascii="Arial" w:eastAsia="Calibri" w:hAnsi="Arial" w:cs="Arial"/>
          <w:sz w:val="22"/>
        </w:rPr>
      </w:pPr>
      <w:r w:rsidRPr="003C27C6">
        <w:rPr>
          <w:rFonts w:ascii="Arial" w:eastAsia="Calibri" w:hAnsi="Arial" w:cs="Arial"/>
          <w:sz w:val="22"/>
        </w:rPr>
        <w:t>Ahora bien,</w:t>
      </w:r>
      <w:r w:rsidR="00254083" w:rsidRPr="003C27C6">
        <w:rPr>
          <w:rFonts w:ascii="Arial" w:eastAsia="Calibri" w:hAnsi="Arial" w:cs="Arial"/>
          <w:sz w:val="22"/>
        </w:rPr>
        <w:t xml:space="preserve"> analizando las normas del </w:t>
      </w:r>
      <w:r w:rsidR="004A0DF7" w:rsidRPr="003C27C6">
        <w:rPr>
          <w:rFonts w:ascii="Arial" w:eastAsia="Calibri" w:hAnsi="Arial" w:cs="Arial"/>
          <w:sz w:val="22"/>
        </w:rPr>
        <w:t>Decreto 092 de 2017</w:t>
      </w:r>
      <w:r w:rsidRPr="003C27C6">
        <w:rPr>
          <w:rFonts w:ascii="Arial" w:eastAsia="Calibri" w:hAnsi="Arial" w:cs="Arial"/>
          <w:sz w:val="22"/>
        </w:rPr>
        <w:t xml:space="preserve"> con respecto al artículo 33 de la Ley de </w:t>
      </w:r>
      <w:r w:rsidR="000A4704" w:rsidRPr="003C27C6">
        <w:rPr>
          <w:rFonts w:ascii="Arial" w:eastAsia="Calibri" w:hAnsi="Arial" w:cs="Arial"/>
          <w:sz w:val="22"/>
        </w:rPr>
        <w:t>G</w:t>
      </w:r>
      <w:r w:rsidRPr="003C27C6">
        <w:rPr>
          <w:rFonts w:ascii="Arial" w:eastAsia="Calibri" w:hAnsi="Arial" w:cs="Arial"/>
          <w:sz w:val="22"/>
        </w:rPr>
        <w:t xml:space="preserve">arantías </w:t>
      </w:r>
      <w:r w:rsidR="000A4704" w:rsidRPr="003C27C6">
        <w:rPr>
          <w:rFonts w:ascii="Arial" w:eastAsia="Calibri" w:hAnsi="Arial" w:cs="Arial"/>
          <w:sz w:val="22"/>
        </w:rPr>
        <w:t>E</w:t>
      </w:r>
      <w:r w:rsidRPr="003C27C6">
        <w:rPr>
          <w:rFonts w:ascii="Arial" w:eastAsia="Calibri" w:hAnsi="Arial" w:cs="Arial"/>
          <w:sz w:val="22"/>
        </w:rPr>
        <w:t>lectorales,</w:t>
      </w:r>
      <w:r w:rsidR="00254083" w:rsidRPr="003C27C6">
        <w:rPr>
          <w:rFonts w:ascii="Arial" w:eastAsia="Calibri" w:hAnsi="Arial" w:cs="Arial"/>
          <w:sz w:val="22"/>
        </w:rPr>
        <w:t xml:space="preserve"> se </w:t>
      </w:r>
      <w:r w:rsidR="00DE4E52" w:rsidRPr="003C27C6">
        <w:rPr>
          <w:rFonts w:ascii="Arial" w:eastAsia="Calibri" w:hAnsi="Arial" w:cs="Arial"/>
          <w:sz w:val="22"/>
        </w:rPr>
        <w:t xml:space="preserve">deriva </w:t>
      </w:r>
      <w:r w:rsidR="00254083" w:rsidRPr="003C27C6">
        <w:rPr>
          <w:rFonts w:ascii="Arial" w:eastAsia="Calibri" w:hAnsi="Arial" w:cs="Arial"/>
          <w:sz w:val="22"/>
        </w:rPr>
        <w:t>que</w:t>
      </w:r>
      <w:r w:rsidRPr="003C27C6">
        <w:rPr>
          <w:rFonts w:ascii="Arial" w:eastAsia="Calibri" w:hAnsi="Arial" w:cs="Arial"/>
          <w:sz w:val="22"/>
        </w:rPr>
        <w:t xml:space="preserve"> </w:t>
      </w:r>
      <w:r w:rsidR="006854CF" w:rsidRPr="003C27C6">
        <w:rPr>
          <w:rFonts w:ascii="Arial" w:eastAsia="Calibri" w:hAnsi="Arial" w:cs="Arial"/>
          <w:sz w:val="22"/>
        </w:rPr>
        <w:t xml:space="preserve">la restricción </w:t>
      </w:r>
      <w:r w:rsidR="00DE4E52" w:rsidRPr="003C27C6">
        <w:rPr>
          <w:rFonts w:ascii="Arial" w:eastAsia="Calibri" w:hAnsi="Arial" w:cs="Arial"/>
          <w:sz w:val="22"/>
        </w:rPr>
        <w:t>aplica frente a</w:t>
      </w:r>
      <w:r w:rsidR="006854CF" w:rsidRPr="003C27C6">
        <w:rPr>
          <w:rFonts w:ascii="Arial" w:eastAsia="Calibri" w:hAnsi="Arial" w:cs="Arial"/>
          <w:sz w:val="22"/>
        </w:rPr>
        <w:t xml:space="preserve"> todo proceso que no se considere competitivo</w:t>
      </w:r>
      <w:r w:rsidR="00DE4E52" w:rsidRPr="003C27C6">
        <w:rPr>
          <w:rFonts w:ascii="Arial" w:eastAsia="Calibri" w:hAnsi="Arial" w:cs="Arial"/>
          <w:sz w:val="22"/>
        </w:rPr>
        <w:t xml:space="preserve">, esto es, en los que no se permita la participación de una </w:t>
      </w:r>
      <w:r w:rsidR="006854CF" w:rsidRPr="003C27C6">
        <w:rPr>
          <w:rFonts w:ascii="Arial" w:eastAsia="Calibri" w:hAnsi="Arial" w:cs="Arial"/>
          <w:sz w:val="22"/>
        </w:rPr>
        <w:t xml:space="preserve">pluralidad de oferentes o proponentes. </w:t>
      </w:r>
      <w:r w:rsidR="00CF5D59" w:rsidRPr="003C27C6">
        <w:rPr>
          <w:rFonts w:ascii="Arial" w:eastAsia="Calibri" w:hAnsi="Arial" w:cs="Arial"/>
          <w:sz w:val="22"/>
        </w:rPr>
        <w:t xml:space="preserve">Es decir, los procesos </w:t>
      </w:r>
      <w:r w:rsidR="00CF5D59" w:rsidRPr="003C27C6">
        <w:rPr>
          <w:rFonts w:ascii="Arial" w:eastAsia="Calibri" w:hAnsi="Arial" w:cs="Arial"/>
          <w:i/>
          <w:iCs/>
          <w:sz w:val="22"/>
        </w:rPr>
        <w:t>no competitivos</w:t>
      </w:r>
      <w:r w:rsidR="00CF5D59" w:rsidRPr="003C27C6">
        <w:rPr>
          <w:rFonts w:ascii="Arial" w:eastAsia="Calibri" w:hAnsi="Arial" w:cs="Arial"/>
          <w:sz w:val="22"/>
        </w:rPr>
        <w:t xml:space="preserve"> dirigidos a la celebración de convenios de asociación o contratos de colaboración están sujetos a las restricciones del artículo 33 de la precitada Ley</w:t>
      </w:r>
      <w:r w:rsidR="00CF5D59" w:rsidRPr="003C27C6">
        <w:rPr>
          <w:rFonts w:ascii="Arial" w:hAnsi="Arial" w:cs="Arial"/>
          <w:sz w:val="22"/>
          <w:szCs w:val="22"/>
          <w:lang w:eastAsia="es-CO"/>
        </w:rPr>
        <w:t>.</w:t>
      </w:r>
      <w:r w:rsidR="00C5639E" w:rsidRPr="003C27C6">
        <w:rPr>
          <w:rFonts w:ascii="Arial" w:hAnsi="Arial" w:cs="Arial"/>
          <w:sz w:val="22"/>
          <w:szCs w:val="22"/>
          <w:lang w:eastAsia="es-CO"/>
        </w:rPr>
        <w:t xml:space="preserve"> </w:t>
      </w:r>
    </w:p>
    <w:p w14:paraId="577DF1F5" w14:textId="5112B75C" w:rsidR="00C5639E" w:rsidRPr="003C27C6" w:rsidRDefault="00C5639E" w:rsidP="00C5639E">
      <w:pPr>
        <w:tabs>
          <w:tab w:val="left" w:pos="426"/>
        </w:tabs>
        <w:spacing w:after="120" w:line="276" w:lineRule="auto"/>
        <w:jc w:val="both"/>
        <w:rPr>
          <w:rFonts w:ascii="Arial" w:hAnsi="Arial" w:cs="Arial"/>
          <w:sz w:val="22"/>
          <w:szCs w:val="22"/>
          <w:lang w:val="es-MX"/>
        </w:rPr>
      </w:pPr>
      <w:r w:rsidRPr="003C27C6">
        <w:rPr>
          <w:rFonts w:ascii="Arial" w:hAnsi="Arial" w:cs="Arial"/>
          <w:sz w:val="22"/>
          <w:szCs w:val="22"/>
        </w:rPr>
        <w:tab/>
      </w:r>
      <w:r w:rsidRPr="003C27C6">
        <w:rPr>
          <w:rFonts w:ascii="Arial" w:hAnsi="Arial" w:cs="Arial"/>
          <w:sz w:val="22"/>
          <w:szCs w:val="22"/>
        </w:rPr>
        <w:tab/>
      </w:r>
      <w:r w:rsidRPr="003C27C6">
        <w:rPr>
          <w:rFonts w:ascii="Arial" w:hAnsi="Arial" w:cs="Arial"/>
          <w:sz w:val="22"/>
          <w:szCs w:val="22"/>
          <w:lang w:val="es-MX"/>
        </w:rPr>
        <w:t xml:space="preserve">Se </w:t>
      </w:r>
      <w:r w:rsidR="00DE4E52" w:rsidRPr="003C27C6">
        <w:rPr>
          <w:rFonts w:ascii="Arial" w:hAnsi="Arial" w:cs="Arial"/>
          <w:sz w:val="22"/>
          <w:szCs w:val="22"/>
          <w:lang w:val="es-MX"/>
        </w:rPr>
        <w:t xml:space="preserve">establece </w:t>
      </w:r>
      <w:r w:rsidRPr="003C27C6">
        <w:rPr>
          <w:rFonts w:ascii="Arial" w:hAnsi="Arial" w:cs="Arial"/>
          <w:sz w:val="22"/>
          <w:szCs w:val="22"/>
          <w:lang w:val="es-MX"/>
        </w:rPr>
        <w:t xml:space="preserve">así un </w:t>
      </w:r>
      <w:r w:rsidRPr="003C27C6">
        <w:rPr>
          <w:rFonts w:ascii="Arial" w:hAnsi="Arial" w:cs="Arial"/>
          <w:i/>
          <w:sz w:val="22"/>
          <w:szCs w:val="22"/>
          <w:lang w:val="es-MX"/>
        </w:rPr>
        <w:t>criterio material</w:t>
      </w:r>
      <w:r w:rsidRPr="003C27C6">
        <w:rPr>
          <w:rFonts w:ascii="Arial" w:hAnsi="Arial" w:cs="Arial"/>
          <w:sz w:val="22"/>
          <w:szCs w:val="22"/>
          <w:lang w:val="es-MX"/>
        </w:rPr>
        <w:t xml:space="preserve"> en la Ley de </w:t>
      </w:r>
      <w:r w:rsidR="00DE4E52" w:rsidRPr="003C27C6">
        <w:rPr>
          <w:rFonts w:ascii="Arial" w:hAnsi="Arial" w:cs="Arial"/>
          <w:sz w:val="22"/>
          <w:szCs w:val="22"/>
          <w:lang w:val="es-MX"/>
        </w:rPr>
        <w:t>G</w:t>
      </w:r>
      <w:r w:rsidRPr="003C27C6">
        <w:rPr>
          <w:rFonts w:ascii="Arial" w:hAnsi="Arial" w:cs="Arial"/>
          <w:sz w:val="22"/>
          <w:szCs w:val="22"/>
          <w:lang w:val="es-MX"/>
        </w:rPr>
        <w:t>arantías</w:t>
      </w:r>
      <w:r w:rsidR="00DE4E52" w:rsidRPr="003C27C6">
        <w:rPr>
          <w:rFonts w:ascii="Arial" w:hAnsi="Arial" w:cs="Arial"/>
          <w:sz w:val="22"/>
          <w:szCs w:val="22"/>
          <w:lang w:val="es-MX"/>
        </w:rPr>
        <w:t xml:space="preserve"> Electorales</w:t>
      </w:r>
      <w:r w:rsidRPr="003C27C6">
        <w:rPr>
          <w:rFonts w:ascii="Arial" w:hAnsi="Arial" w:cs="Arial"/>
          <w:sz w:val="22"/>
          <w:szCs w:val="22"/>
          <w:lang w:val="es-MX"/>
        </w:rPr>
        <w:t>,</w:t>
      </w:r>
      <w:r w:rsidR="00DE4E52" w:rsidRPr="003C27C6">
        <w:rPr>
          <w:rFonts w:ascii="Arial" w:hAnsi="Arial" w:cs="Arial"/>
          <w:sz w:val="22"/>
          <w:szCs w:val="22"/>
          <w:lang w:val="es-MX"/>
        </w:rPr>
        <w:t xml:space="preserve"> el cual se desarrolló a profundidad en el numeral anterior,</w:t>
      </w:r>
      <w:r w:rsidRPr="003C27C6">
        <w:rPr>
          <w:rFonts w:ascii="Arial" w:hAnsi="Arial" w:cs="Arial"/>
          <w:sz w:val="22"/>
          <w:szCs w:val="22"/>
          <w:lang w:val="es-MX"/>
        </w:rPr>
        <w:t xml:space="preserve"> en el entendido que </w:t>
      </w:r>
      <w:r w:rsidR="00DE4E52" w:rsidRPr="003C27C6">
        <w:rPr>
          <w:rFonts w:ascii="Arial" w:hAnsi="Arial" w:cs="Arial"/>
          <w:sz w:val="22"/>
          <w:szCs w:val="22"/>
          <w:lang w:val="es-MX"/>
        </w:rPr>
        <w:t xml:space="preserve">la prohibición del artículo 33, en relación con la contratación directa, </w:t>
      </w:r>
      <w:r w:rsidRPr="003C27C6">
        <w:rPr>
          <w:rFonts w:ascii="Arial" w:hAnsi="Arial" w:cs="Arial"/>
          <w:sz w:val="22"/>
          <w:szCs w:val="22"/>
          <w:lang w:val="es-MX"/>
        </w:rPr>
        <w:t xml:space="preserve">no hace una distinción sobre la ubicación de estas normas en los diferentes cuerpos normativos, pues lo que importa es </w:t>
      </w:r>
      <w:r w:rsidR="00DE4E52" w:rsidRPr="003C27C6">
        <w:rPr>
          <w:rFonts w:ascii="Arial" w:hAnsi="Arial" w:cs="Arial"/>
          <w:sz w:val="22"/>
          <w:szCs w:val="22"/>
          <w:lang w:val="es-MX"/>
        </w:rPr>
        <w:t xml:space="preserve">que impliquen materialmente una </w:t>
      </w:r>
      <w:r w:rsidRPr="003C27C6">
        <w:rPr>
          <w:rFonts w:ascii="Arial" w:hAnsi="Arial" w:cs="Arial"/>
          <w:sz w:val="22"/>
          <w:szCs w:val="22"/>
          <w:lang w:val="es-MX"/>
        </w:rPr>
        <w:t xml:space="preserve">contratación directa, para estar inmersos en la restricción. </w:t>
      </w:r>
      <w:r w:rsidR="00A966AF" w:rsidRPr="003C27C6">
        <w:rPr>
          <w:rFonts w:ascii="Arial" w:hAnsi="Arial" w:cs="Arial"/>
          <w:sz w:val="22"/>
          <w:szCs w:val="22"/>
          <w:lang w:val="es-MX"/>
        </w:rPr>
        <w:t xml:space="preserve">Por ello, la ley de garantías irradia todas las normas que establezcan reglas y procedimientos de contratación directa. </w:t>
      </w:r>
      <w:r w:rsidR="00D77AF5" w:rsidRPr="003C27C6">
        <w:rPr>
          <w:rFonts w:ascii="Arial" w:hAnsi="Arial" w:cs="Arial"/>
          <w:sz w:val="22"/>
          <w:szCs w:val="22"/>
          <w:lang w:eastAsia="es-CO"/>
        </w:rPr>
        <w:t xml:space="preserve"> </w:t>
      </w:r>
      <w:r w:rsidRPr="003C27C6">
        <w:rPr>
          <w:rFonts w:ascii="Arial" w:hAnsi="Arial" w:cs="Arial"/>
          <w:sz w:val="22"/>
          <w:szCs w:val="22"/>
          <w:lang w:val="es-MX"/>
        </w:rPr>
        <w:t xml:space="preserve"> </w:t>
      </w:r>
    </w:p>
    <w:p w14:paraId="32FD9164" w14:textId="191ADD20" w:rsidR="00C5639E" w:rsidRPr="003C27C6" w:rsidRDefault="00C5639E" w:rsidP="00C5639E">
      <w:pPr>
        <w:spacing w:after="120" w:line="276" w:lineRule="auto"/>
        <w:ind w:firstLine="708"/>
        <w:jc w:val="both"/>
        <w:rPr>
          <w:rFonts w:ascii="Arial" w:hAnsi="Arial" w:cs="Arial"/>
          <w:sz w:val="22"/>
          <w:szCs w:val="22"/>
          <w:lang w:eastAsia="x-none"/>
        </w:rPr>
      </w:pPr>
      <w:r w:rsidRPr="003C27C6">
        <w:rPr>
          <w:rFonts w:ascii="Arial" w:hAnsi="Arial" w:cs="Arial"/>
          <w:sz w:val="22"/>
          <w:szCs w:val="22"/>
          <w:lang w:eastAsia="es-CO"/>
        </w:rPr>
        <w:t xml:space="preserve">Teniendo en cuenta lo expresado, se concluye que los convenios de asociación y contratos de colaboración </w:t>
      </w:r>
      <w:r w:rsidR="00DE4E52" w:rsidRPr="003C27C6">
        <w:rPr>
          <w:rFonts w:ascii="Arial" w:hAnsi="Arial" w:cs="Arial"/>
          <w:sz w:val="22"/>
          <w:szCs w:val="22"/>
          <w:lang w:eastAsia="es-CO"/>
        </w:rPr>
        <w:t xml:space="preserve">establecidos </w:t>
      </w:r>
      <w:r w:rsidRPr="003C27C6">
        <w:rPr>
          <w:rFonts w:ascii="Arial" w:hAnsi="Arial" w:cs="Arial"/>
          <w:sz w:val="22"/>
          <w:szCs w:val="22"/>
          <w:lang w:eastAsia="es-CO"/>
        </w:rPr>
        <w:t xml:space="preserve">en el Decreto 092 de 2017 no están exentos de la aplicación de la Ley de </w:t>
      </w:r>
      <w:r w:rsidR="00DE4E52" w:rsidRPr="003C27C6">
        <w:rPr>
          <w:rFonts w:ascii="Arial" w:hAnsi="Arial" w:cs="Arial"/>
          <w:sz w:val="22"/>
          <w:szCs w:val="22"/>
          <w:lang w:eastAsia="es-CO"/>
        </w:rPr>
        <w:t>G</w:t>
      </w:r>
      <w:r w:rsidRPr="003C27C6">
        <w:rPr>
          <w:rFonts w:ascii="Arial" w:hAnsi="Arial" w:cs="Arial"/>
          <w:sz w:val="22"/>
          <w:szCs w:val="22"/>
          <w:lang w:eastAsia="es-CO"/>
        </w:rPr>
        <w:t>arantías</w:t>
      </w:r>
      <w:r w:rsidR="00DE4E52" w:rsidRPr="003C27C6">
        <w:rPr>
          <w:rFonts w:ascii="Arial" w:hAnsi="Arial" w:cs="Arial"/>
          <w:sz w:val="22"/>
          <w:szCs w:val="22"/>
          <w:lang w:eastAsia="es-CO"/>
        </w:rPr>
        <w:t xml:space="preserve"> Electorales</w:t>
      </w:r>
      <w:r w:rsidRPr="003C27C6">
        <w:rPr>
          <w:rFonts w:ascii="Arial" w:hAnsi="Arial" w:cs="Arial"/>
          <w:sz w:val="22"/>
          <w:szCs w:val="22"/>
          <w:lang w:eastAsia="es-CO"/>
        </w:rPr>
        <w:t xml:space="preserve">, en especial de lo dispuesto en el artículo 33, que </w:t>
      </w:r>
      <w:r w:rsidRPr="003C27C6">
        <w:rPr>
          <w:rFonts w:ascii="Arial" w:hAnsi="Arial" w:cs="Arial"/>
          <w:sz w:val="22"/>
          <w:szCs w:val="22"/>
          <w:lang w:eastAsia="x-none"/>
        </w:rPr>
        <w:t xml:space="preserve">refiere la restricción o prohibición a </w:t>
      </w:r>
      <w:r w:rsidRPr="003C27C6">
        <w:rPr>
          <w:rFonts w:ascii="Arial" w:hAnsi="Arial" w:cs="Arial"/>
          <w:sz w:val="19"/>
          <w:szCs w:val="19"/>
          <w:lang w:eastAsia="en-GB"/>
        </w:rPr>
        <w:t>«</w:t>
      </w:r>
      <w:r w:rsidRPr="003C27C6">
        <w:rPr>
          <w:rFonts w:ascii="Arial" w:hAnsi="Arial" w:cs="Arial"/>
          <w:sz w:val="22"/>
          <w:szCs w:val="22"/>
          <w:lang w:eastAsia="x-none"/>
        </w:rPr>
        <w:t>cualquier sistema que no implique convocatoria pública y posibilidad de pluralidad de oferentes</w:t>
      </w:r>
      <w:r w:rsidRPr="003C27C6">
        <w:rPr>
          <w:rFonts w:ascii="Arial" w:hAnsi="Arial" w:cs="Arial"/>
          <w:sz w:val="22"/>
          <w:szCs w:val="22"/>
          <w:lang w:eastAsia="en-GB"/>
        </w:rPr>
        <w:t>»</w:t>
      </w:r>
      <w:r w:rsidRPr="003C27C6">
        <w:rPr>
          <w:rFonts w:ascii="Arial" w:hAnsi="Arial" w:cs="Arial"/>
          <w:sz w:val="22"/>
          <w:szCs w:val="22"/>
          <w:lang w:eastAsia="x-none"/>
        </w:rPr>
        <w:t xml:space="preserve">. De este modo, lo que podrán hacer las entidades públicas es </w:t>
      </w:r>
      <w:r w:rsidR="00DE4E52" w:rsidRPr="003C27C6">
        <w:rPr>
          <w:rFonts w:ascii="Arial" w:hAnsi="Arial" w:cs="Arial"/>
          <w:sz w:val="22"/>
          <w:szCs w:val="22"/>
          <w:lang w:eastAsia="x-none"/>
        </w:rPr>
        <w:t>celebrar</w:t>
      </w:r>
      <w:r w:rsidRPr="003C27C6">
        <w:rPr>
          <w:rFonts w:ascii="Arial" w:hAnsi="Arial" w:cs="Arial"/>
          <w:sz w:val="22"/>
          <w:szCs w:val="22"/>
          <w:lang w:eastAsia="x-none"/>
        </w:rPr>
        <w:t xml:space="preserve"> convenios de asociación y contratos de colaboración </w:t>
      </w:r>
      <w:r w:rsidR="00C94BD6" w:rsidRPr="003C27C6">
        <w:rPr>
          <w:rFonts w:ascii="Arial" w:hAnsi="Arial" w:cs="Arial"/>
          <w:sz w:val="22"/>
          <w:szCs w:val="22"/>
          <w:lang w:eastAsia="x-none"/>
        </w:rPr>
        <w:t xml:space="preserve">realizados </w:t>
      </w:r>
      <w:r w:rsidRPr="003C27C6">
        <w:rPr>
          <w:rFonts w:ascii="Arial" w:hAnsi="Arial" w:cs="Arial"/>
          <w:sz w:val="22"/>
          <w:szCs w:val="22"/>
          <w:lang w:eastAsia="x-none"/>
        </w:rPr>
        <w:t xml:space="preserve">mediante un proceso competitivo, es decir, que se caracterice por la libre concurrencia y la pluralidad de proponentes.  </w:t>
      </w:r>
    </w:p>
    <w:p w14:paraId="61785048" w14:textId="77777777" w:rsidR="00F441BB" w:rsidRPr="003C27C6" w:rsidRDefault="00F441BB" w:rsidP="00646880">
      <w:pPr>
        <w:spacing w:line="276" w:lineRule="auto"/>
        <w:jc w:val="both"/>
        <w:rPr>
          <w:rFonts w:ascii="Arial" w:hAnsi="Arial" w:cs="Arial"/>
          <w:bCs/>
          <w:sz w:val="22"/>
          <w:szCs w:val="22"/>
          <w:lang w:eastAsia="x-none"/>
        </w:rPr>
      </w:pPr>
    </w:p>
    <w:p w14:paraId="3C287419" w14:textId="63FBCD03" w:rsidR="00B244DB" w:rsidRPr="003C27C6" w:rsidRDefault="003A231A" w:rsidP="00B244DB">
      <w:pPr>
        <w:spacing w:line="276" w:lineRule="auto"/>
        <w:jc w:val="both"/>
        <w:rPr>
          <w:rFonts w:ascii="Arial" w:hAnsi="Arial" w:cs="Arial"/>
          <w:b/>
          <w:bCs/>
          <w:sz w:val="22"/>
          <w:szCs w:val="22"/>
          <w:lang w:eastAsia="es-CO"/>
        </w:rPr>
      </w:pPr>
      <w:r w:rsidRPr="003C27C6">
        <w:rPr>
          <w:rFonts w:ascii="Arial" w:hAnsi="Arial" w:cs="Arial"/>
          <w:b/>
          <w:bCs/>
          <w:sz w:val="22"/>
          <w:szCs w:val="22"/>
          <w:lang w:eastAsia="es-CO"/>
        </w:rPr>
        <w:t>3. Respuestas</w:t>
      </w:r>
    </w:p>
    <w:p w14:paraId="4DF4CA33" w14:textId="4C54A605" w:rsidR="003A231A" w:rsidRPr="003C27C6" w:rsidRDefault="003A231A" w:rsidP="00B244DB">
      <w:pPr>
        <w:spacing w:line="276" w:lineRule="auto"/>
        <w:jc w:val="both"/>
        <w:rPr>
          <w:rFonts w:ascii="Arial" w:hAnsi="Arial" w:cs="Arial"/>
          <w:bCs/>
          <w:sz w:val="22"/>
          <w:szCs w:val="22"/>
          <w:lang w:eastAsia="es-CO"/>
        </w:rPr>
      </w:pPr>
    </w:p>
    <w:p w14:paraId="6671F118" w14:textId="2E56786F" w:rsidR="003A231A" w:rsidRPr="003C27C6" w:rsidRDefault="00B523D3" w:rsidP="00B523D3">
      <w:pPr>
        <w:ind w:left="709" w:right="709"/>
        <w:jc w:val="both"/>
        <w:rPr>
          <w:rFonts w:ascii="Arial" w:hAnsi="Arial" w:cs="Arial"/>
          <w:sz w:val="21"/>
          <w:szCs w:val="21"/>
        </w:rPr>
      </w:pPr>
      <w:r w:rsidRPr="003C27C6">
        <w:rPr>
          <w:rFonts w:ascii="Arial" w:hAnsi="Arial" w:cs="Arial"/>
          <w:color w:val="000000" w:themeColor="text1"/>
          <w:sz w:val="21"/>
          <w:szCs w:val="21"/>
          <w:lang w:val="es-ES_tradnl"/>
        </w:rPr>
        <w:t>«</w:t>
      </w:r>
      <w:r w:rsidRPr="003C27C6">
        <w:rPr>
          <w:rFonts w:ascii="Arial" w:hAnsi="Arial" w:cs="Arial"/>
          <w:sz w:val="21"/>
          <w:szCs w:val="21"/>
        </w:rPr>
        <w:t xml:space="preserve">a) ¿La suspensión del Parágrafo del Artículo 38 de la Ley 996/2005 aplica únicamente para el orden nacional, es decir, solo la Nación podría celebrar convenios y contratos interadministrativos con las Entidades Territoriales? b) ¿Pueden celebrarse convenios y contratos interadministrativos entre Entidades Territoriales (Gobernación, </w:t>
      </w:r>
      <w:proofErr w:type="gramStart"/>
      <w:r w:rsidRPr="003C27C6">
        <w:rPr>
          <w:rFonts w:ascii="Arial" w:hAnsi="Arial" w:cs="Arial"/>
          <w:sz w:val="21"/>
          <w:szCs w:val="21"/>
        </w:rPr>
        <w:t>Alcaldía) y otras Entidades Territoriales como universidades, empresas de servicio públicos del Estado, empresas sociales del estado, etc</w:t>
      </w:r>
      <w:r w:rsidR="0094656D" w:rsidRPr="003C27C6">
        <w:rPr>
          <w:rFonts w:ascii="Arial" w:hAnsi="Arial" w:cs="Arial"/>
          <w:sz w:val="21"/>
          <w:szCs w:val="21"/>
        </w:rPr>
        <w:t>.</w:t>
      </w:r>
      <w:r w:rsidR="00F144F0" w:rsidRPr="003C27C6">
        <w:rPr>
          <w:rFonts w:ascii="Arial" w:hAnsi="Arial" w:cs="Arial"/>
          <w:sz w:val="21"/>
          <w:szCs w:val="21"/>
        </w:rPr>
        <w:t xml:space="preserve"> […]</w:t>
      </w:r>
      <w:r w:rsidR="00171D96" w:rsidRPr="003C27C6">
        <w:rPr>
          <w:rFonts w:ascii="Arial" w:hAnsi="Arial" w:cs="Arial"/>
          <w:sz w:val="21"/>
          <w:szCs w:val="21"/>
        </w:rPr>
        <w:t>?</w:t>
      </w:r>
      <w:proofErr w:type="gramEnd"/>
      <w:r w:rsidR="0094656D" w:rsidRPr="003C27C6">
        <w:rPr>
          <w:rFonts w:ascii="Arial" w:hAnsi="Arial" w:cs="Arial"/>
          <w:sz w:val="21"/>
          <w:szCs w:val="21"/>
        </w:rPr>
        <w:t>»</w:t>
      </w:r>
    </w:p>
    <w:p w14:paraId="260577C2" w14:textId="77777777" w:rsidR="00B523D3" w:rsidRPr="003C27C6" w:rsidRDefault="00B523D3" w:rsidP="00B523D3">
      <w:pPr>
        <w:jc w:val="both"/>
        <w:rPr>
          <w:rFonts w:ascii="Arial" w:hAnsi="Arial" w:cs="Arial"/>
          <w:bCs/>
          <w:sz w:val="22"/>
          <w:szCs w:val="22"/>
          <w:lang w:eastAsia="es-CO"/>
        </w:rPr>
      </w:pPr>
    </w:p>
    <w:p w14:paraId="309135C1" w14:textId="36A1C34E" w:rsidR="003A231A" w:rsidRPr="003C27C6" w:rsidRDefault="00632599" w:rsidP="003A231A">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sz w:val="22"/>
          <w:szCs w:val="22"/>
          <w:lang w:eastAsia="en-US"/>
        </w:rPr>
        <w:t>Para responder su</w:t>
      </w:r>
      <w:r w:rsidR="006604C3" w:rsidRPr="003C27C6">
        <w:rPr>
          <w:rFonts w:ascii="Arial" w:eastAsia="Calibri" w:hAnsi="Arial" w:cs="Arial"/>
          <w:sz w:val="22"/>
          <w:szCs w:val="22"/>
          <w:lang w:eastAsia="en-US"/>
        </w:rPr>
        <w:t xml:space="preserve"> pregunta, se debe tener en cuenta </w:t>
      </w:r>
      <w:r w:rsidR="003A231A" w:rsidRPr="003C27C6">
        <w:rPr>
          <w:rFonts w:ascii="Arial" w:eastAsia="Calibri" w:hAnsi="Arial" w:cs="Arial"/>
          <w:sz w:val="22"/>
          <w:szCs w:val="22"/>
          <w:lang w:eastAsia="en-US"/>
        </w:rPr>
        <w:t xml:space="preserve">el contenido del artículo 124 de la Ley 2159 de 2021, </w:t>
      </w:r>
      <w:r w:rsidRPr="003C27C6">
        <w:rPr>
          <w:rFonts w:ascii="Arial" w:eastAsia="Calibri" w:hAnsi="Arial" w:cs="Arial"/>
          <w:sz w:val="22"/>
          <w:szCs w:val="22"/>
          <w:lang w:eastAsia="en-US"/>
        </w:rPr>
        <w:t>del</w:t>
      </w:r>
      <w:r w:rsidR="006604C3" w:rsidRPr="003C27C6">
        <w:rPr>
          <w:rFonts w:ascii="Arial" w:eastAsia="Calibri" w:hAnsi="Arial" w:cs="Arial"/>
          <w:sz w:val="22"/>
          <w:szCs w:val="22"/>
          <w:lang w:eastAsia="en-US"/>
        </w:rPr>
        <w:t xml:space="preserve"> que se derivan </w:t>
      </w:r>
      <w:r w:rsidR="003A231A" w:rsidRPr="003C27C6">
        <w:rPr>
          <w:rFonts w:ascii="Arial" w:eastAsia="Calibri" w:hAnsi="Arial" w:cs="Arial"/>
          <w:sz w:val="22"/>
          <w:szCs w:val="22"/>
          <w:lang w:eastAsia="en-US"/>
        </w:rPr>
        <w:t>las siguientes reglas</w:t>
      </w:r>
      <w:r w:rsidR="006604C3" w:rsidRPr="003C27C6">
        <w:rPr>
          <w:rFonts w:ascii="Arial" w:eastAsia="Calibri" w:hAnsi="Arial" w:cs="Arial"/>
          <w:sz w:val="22"/>
          <w:szCs w:val="22"/>
          <w:lang w:eastAsia="en-US"/>
        </w:rPr>
        <w:t xml:space="preserve"> para las entidades estatales, </w:t>
      </w:r>
      <w:r w:rsidRPr="003C27C6">
        <w:rPr>
          <w:rFonts w:ascii="Arial" w:eastAsia="Calibri" w:hAnsi="Arial" w:cs="Arial"/>
          <w:sz w:val="22"/>
          <w:szCs w:val="22"/>
          <w:lang w:eastAsia="en-US"/>
        </w:rPr>
        <w:t>incluid</w:t>
      </w:r>
      <w:r w:rsidR="00B50E55" w:rsidRPr="003C27C6">
        <w:rPr>
          <w:rFonts w:ascii="Arial" w:eastAsia="Calibri" w:hAnsi="Arial" w:cs="Arial"/>
          <w:sz w:val="22"/>
          <w:szCs w:val="22"/>
          <w:lang w:eastAsia="en-US"/>
        </w:rPr>
        <w:t>a</w:t>
      </w:r>
      <w:r w:rsidRPr="003C27C6">
        <w:rPr>
          <w:rFonts w:ascii="Arial" w:eastAsia="Calibri" w:hAnsi="Arial" w:cs="Arial"/>
          <w:sz w:val="22"/>
          <w:szCs w:val="22"/>
          <w:lang w:eastAsia="en-US"/>
        </w:rPr>
        <w:t>s</w:t>
      </w:r>
      <w:r w:rsidR="00706FBE" w:rsidRPr="003C27C6">
        <w:rPr>
          <w:rFonts w:ascii="Arial" w:eastAsia="Calibri" w:hAnsi="Arial" w:cs="Arial"/>
          <w:sz w:val="22"/>
          <w:szCs w:val="22"/>
          <w:lang w:eastAsia="en-US"/>
        </w:rPr>
        <w:t xml:space="preserve"> las entidades territoriales</w:t>
      </w:r>
      <w:r w:rsidR="003A231A" w:rsidRPr="003C27C6">
        <w:rPr>
          <w:rFonts w:ascii="Arial" w:eastAsia="Calibri" w:hAnsi="Arial" w:cs="Arial"/>
          <w:sz w:val="22"/>
          <w:szCs w:val="22"/>
          <w:lang w:eastAsia="en-US"/>
        </w:rPr>
        <w:t>:</w:t>
      </w:r>
    </w:p>
    <w:p w14:paraId="067A22AF"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1.</w:t>
      </w:r>
      <w:r w:rsidRPr="003C27C6">
        <w:rPr>
          <w:rFonts w:ascii="Arial" w:eastAsia="Calibri" w:hAnsi="Arial" w:cs="Arial"/>
          <w:sz w:val="22"/>
          <w:szCs w:val="22"/>
          <w:lang w:eastAsia="en-US"/>
        </w:rPr>
        <w:t xml:space="preserve"> El alcance del artículo 124 de la Ley 2159 de 2021 tiene como cometido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 </w:t>
      </w:r>
    </w:p>
    <w:p w14:paraId="16913AFD"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2.</w:t>
      </w:r>
      <w:r w:rsidRPr="003C27C6">
        <w:rPr>
          <w:rFonts w:ascii="Arial" w:eastAsia="Calibri" w:hAnsi="Arial" w:cs="Arial"/>
          <w:sz w:val="22"/>
          <w:szCs w:val="22"/>
          <w:lang w:eastAsia="en-US"/>
        </w:rPr>
        <w:t xml:space="preserve"> Durante los cuatro (4) meses previos a la elección presidencial del año 2022 solamente podrán celebrarse convenios o contratos interadministrativos cuando el proceso de selección aplicable sea de pública convocatoria y se presente la circunstancia a la que se refiere el artículo 124 de la Ley 2159 de 2021, es decir, para la ejecución de proyectos y programas correspondientes al Presupuesto General de la Nación. Por lo demás, esta norma no modifica el artículo 33 de la Ley de Garantías Electorales, en consideración a lo cual las restricciones a la contratación directa previstas en este artículo permanecen incólumes. </w:t>
      </w:r>
    </w:p>
    <w:p w14:paraId="5C90C437"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3.</w:t>
      </w:r>
      <w:r w:rsidRPr="003C27C6">
        <w:rPr>
          <w:rFonts w:ascii="Arial" w:eastAsia="Calibri" w:hAnsi="Arial" w:cs="Arial"/>
          <w:sz w:val="22"/>
          <w:szCs w:val="22"/>
          <w:lang w:eastAsia="en-US"/>
        </w:rPr>
        <w:t xml:space="preserve"> La aplicación del artículo 124 de la Ley 2159 de 2021 se restringe a un criterio orgánico, pues se requiere que uno de los extremos contractuales sea la Nación y el otro una entidad territorial, para que la celebración del convenio o contrato administrativo sea procedente. En estos términos, no es posible la celebración de convenios o contratos interadministrativos entre entidades descentralizadas del orden territorial, pues la posibilidad que otorga el artículo 124 de la Ley 2159 de 2021 se somete a la condición que una de las partes sea la Nación, con el fin de ejecutar proyectos o programas que correspondan al Presupuesto General de la Nación. Por ejemplo, durante los cuatro (4) meses anteriores a las elecciones, dos municipios o un municipio y un departamento o entidad descentralizada territorial, quedan cubiertos por la prohibición original del parágrafo del artículo 38 de la Ley de Garantías Electorales.  </w:t>
      </w:r>
    </w:p>
    <w:p w14:paraId="38C456AF"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4.</w:t>
      </w:r>
      <w:r w:rsidRPr="003C27C6">
        <w:rPr>
          <w:rFonts w:ascii="Arial" w:eastAsia="Calibri" w:hAnsi="Arial" w:cs="Arial"/>
          <w:sz w:val="22"/>
          <w:szCs w:val="22"/>
          <w:lang w:eastAsia="en-US"/>
        </w:rPr>
        <w:t xml:space="preserve"> El objeto contractual de los convenios o contratos interadministrativos debe limitarse a la ejecución de programas y proyectos correspondientes al Presupuesto General de la Nación. Es decir, se establece un criterio material, del cual se deriva que, durante los cuatro meses previos a las elecciones, queda prohibido celebrar </w:t>
      </w:r>
      <w:proofErr w:type="gramStart"/>
      <w:r w:rsidRPr="003C27C6">
        <w:rPr>
          <w:rFonts w:ascii="Arial" w:eastAsia="Calibri" w:hAnsi="Arial" w:cs="Arial"/>
          <w:sz w:val="22"/>
          <w:szCs w:val="22"/>
          <w:lang w:eastAsia="en-US"/>
        </w:rPr>
        <w:t>convenios interadministrativos o contratos interadministrativos</w:t>
      </w:r>
      <w:proofErr w:type="gramEnd"/>
      <w:r w:rsidRPr="003C27C6">
        <w:rPr>
          <w:rFonts w:ascii="Arial" w:eastAsia="Calibri" w:hAnsi="Arial" w:cs="Arial"/>
          <w:sz w:val="22"/>
          <w:szCs w:val="22"/>
          <w:lang w:eastAsia="en-US"/>
        </w:rPr>
        <w:t xml:space="preserve"> que no se relacionen con programas y proyectos que ejecuten recursos del Presupuesto General de la Nación. </w:t>
      </w:r>
    </w:p>
    <w:p w14:paraId="5F3E5635"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5.</w:t>
      </w:r>
      <w:r w:rsidRPr="003C27C6">
        <w:rPr>
          <w:rFonts w:ascii="Arial" w:eastAsia="Calibri" w:hAnsi="Arial" w:cs="Arial"/>
          <w:sz w:val="22"/>
          <w:szCs w:val="22"/>
          <w:lang w:eastAsia="en-US"/>
        </w:rPr>
        <w:t xml:space="preserve"> En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757E18E6" w14:textId="77777777" w:rsidR="00632599" w:rsidRPr="003C27C6" w:rsidRDefault="00632599" w:rsidP="00632599">
      <w:pPr>
        <w:spacing w:after="120" w:line="276" w:lineRule="auto"/>
        <w:ind w:firstLine="709"/>
        <w:jc w:val="both"/>
        <w:rPr>
          <w:rFonts w:ascii="Arial" w:eastAsia="Calibri" w:hAnsi="Arial" w:cs="Arial"/>
          <w:sz w:val="22"/>
          <w:szCs w:val="22"/>
          <w:lang w:eastAsia="en-US"/>
        </w:rPr>
      </w:pPr>
      <w:r w:rsidRPr="003C27C6">
        <w:rPr>
          <w:rFonts w:ascii="Arial" w:eastAsia="Calibri" w:hAnsi="Arial" w:cs="Arial"/>
          <w:bCs/>
          <w:sz w:val="22"/>
          <w:szCs w:val="22"/>
          <w:lang w:eastAsia="en-US"/>
        </w:rPr>
        <w:t>6.</w:t>
      </w:r>
      <w:r w:rsidRPr="003C27C6">
        <w:rPr>
          <w:rFonts w:ascii="Arial" w:eastAsia="Calibri" w:hAnsi="Arial" w:cs="Arial"/>
          <w:b/>
          <w:sz w:val="22"/>
          <w:szCs w:val="22"/>
          <w:lang w:eastAsia="en-US"/>
        </w:rPr>
        <w:t xml:space="preserve"> </w:t>
      </w:r>
      <w:r w:rsidRPr="003C27C6">
        <w:rPr>
          <w:rFonts w:ascii="Arial" w:eastAsia="Calibri" w:hAnsi="Arial" w:cs="Arial"/>
          <w:sz w:val="22"/>
          <w:szCs w:val="22"/>
          <w:lang w:eastAsia="en-US"/>
        </w:rPr>
        <w:t xml:space="preserve">Se establece que los convenios o contratos interadministrativos </w:t>
      </w:r>
      <w:r w:rsidRPr="003C27C6">
        <w:rPr>
          <w:rFonts w:ascii="Arial" w:eastAsia="Calibri" w:hAnsi="Arial" w:cs="Arial"/>
          <w:sz w:val="21"/>
          <w:szCs w:val="21"/>
          <w:lang w:eastAsia="en-US"/>
        </w:rPr>
        <w:t>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05BA4380" w14:textId="590D51A7" w:rsidR="00706FBE" w:rsidRPr="003C27C6" w:rsidRDefault="00632599" w:rsidP="0054211B">
      <w:pPr>
        <w:spacing w:line="276" w:lineRule="auto"/>
        <w:ind w:firstLine="709"/>
        <w:jc w:val="both"/>
        <w:rPr>
          <w:rFonts w:ascii="Arial" w:eastAsia="Calibri" w:hAnsi="Arial" w:cs="Arial"/>
          <w:sz w:val="22"/>
          <w:szCs w:val="22"/>
          <w:lang w:eastAsia="en-US"/>
        </w:rPr>
      </w:pPr>
      <w:proofErr w:type="gramStart"/>
      <w:r w:rsidRPr="003C27C6">
        <w:rPr>
          <w:rFonts w:ascii="Arial" w:eastAsia="Calibri" w:hAnsi="Arial" w:cs="Arial"/>
          <w:sz w:val="22"/>
          <w:szCs w:val="22"/>
          <w:lang w:eastAsia="en-US"/>
        </w:rPr>
        <w:t>De acuerdo a</w:t>
      </w:r>
      <w:proofErr w:type="gramEnd"/>
      <w:r w:rsidRPr="003C27C6">
        <w:rPr>
          <w:rFonts w:ascii="Arial" w:eastAsia="Calibri" w:hAnsi="Arial" w:cs="Arial"/>
          <w:sz w:val="22"/>
          <w:szCs w:val="22"/>
          <w:lang w:eastAsia="en-US"/>
        </w:rPr>
        <w:t xml:space="preserve"> las anteriores consideraciones, la promulgación y expedición de la Ley 2159 de 2021 no deroga la Ley 996 de 2005, sino que modifica d</w:t>
      </w:r>
      <w:r w:rsidRPr="003C27C6">
        <w:rPr>
          <w:rFonts w:ascii="Arial" w:eastAsia="Calibri" w:hAnsi="Arial" w:cs="Arial"/>
          <w:i/>
          <w:iCs/>
          <w:sz w:val="22"/>
          <w:szCs w:val="22"/>
          <w:lang w:eastAsia="en-US"/>
        </w:rPr>
        <w:t>e manera transitoria y parcial</w:t>
      </w:r>
      <w:r w:rsidRPr="003C27C6">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6F0251A1" w14:textId="77777777" w:rsidR="00F00D3C" w:rsidRPr="003C27C6" w:rsidRDefault="00F00D3C" w:rsidP="0054211B">
      <w:pPr>
        <w:spacing w:line="276" w:lineRule="auto"/>
        <w:ind w:firstLine="709"/>
        <w:jc w:val="both"/>
        <w:rPr>
          <w:rFonts w:ascii="Arial" w:eastAsia="Calibri" w:hAnsi="Arial" w:cs="Arial"/>
          <w:sz w:val="22"/>
          <w:szCs w:val="22"/>
          <w:lang w:eastAsia="en-US"/>
        </w:rPr>
      </w:pPr>
    </w:p>
    <w:p w14:paraId="30673663" w14:textId="6B4D26D4" w:rsidR="003A231A" w:rsidRPr="003C27C6" w:rsidRDefault="002B0BE3" w:rsidP="00EC7FDD">
      <w:pPr>
        <w:autoSpaceDE w:val="0"/>
        <w:autoSpaceDN w:val="0"/>
        <w:adjustRightInd w:val="0"/>
        <w:ind w:left="709" w:right="709"/>
        <w:jc w:val="both"/>
        <w:rPr>
          <w:rFonts w:ascii="Arial" w:hAnsi="Arial" w:cs="Arial"/>
          <w:sz w:val="21"/>
          <w:szCs w:val="21"/>
        </w:rPr>
      </w:pPr>
      <w:r w:rsidRPr="003C27C6">
        <w:rPr>
          <w:rFonts w:ascii="Arial" w:hAnsi="Arial" w:cs="Arial"/>
          <w:color w:val="000000" w:themeColor="text1"/>
          <w:sz w:val="21"/>
          <w:szCs w:val="21"/>
          <w:lang w:val="es-ES_tradnl"/>
        </w:rPr>
        <w:t>«</w:t>
      </w:r>
      <w:r w:rsidR="00706FBE" w:rsidRPr="003C27C6">
        <w:rPr>
          <w:rFonts w:ascii="Arial" w:hAnsi="Arial" w:cs="Arial"/>
          <w:sz w:val="21"/>
          <w:szCs w:val="21"/>
        </w:rPr>
        <w:t xml:space="preserve">2. Respecto de los convenios con las ESAL, se encuentran restringidas las contrataciones que en el marco del Decreto 092 de 2017 se realicen a través de procesos no competitivos que se asimilan a la contratación directa, tales como i) actividades artísticas, culturales, deportivas y de promoción de la diversidad étnica colombiana, que sólo pueden desarrollar determinadas personas naturales o jurídicas; </w:t>
      </w:r>
      <w:proofErr w:type="spellStart"/>
      <w:r w:rsidR="00706FBE" w:rsidRPr="003C27C6">
        <w:rPr>
          <w:rFonts w:ascii="Arial" w:hAnsi="Arial" w:cs="Arial"/>
          <w:sz w:val="21"/>
          <w:szCs w:val="21"/>
        </w:rPr>
        <w:t>ii</w:t>
      </w:r>
      <w:proofErr w:type="spellEnd"/>
      <w:r w:rsidR="00706FBE" w:rsidRPr="003C27C6">
        <w:rPr>
          <w:rFonts w:ascii="Arial" w:hAnsi="Arial" w:cs="Arial"/>
          <w:sz w:val="21"/>
          <w:szCs w:val="21"/>
        </w:rPr>
        <w:t xml:space="preserve">) Los convenios de asociación en los cuales una única entidad privada sin ánimo de lucro – ESAL comprometa en dinero una proporción no inferior al 30% del valor total del convenio; </w:t>
      </w:r>
      <w:proofErr w:type="spellStart"/>
      <w:r w:rsidR="00706FBE" w:rsidRPr="003C27C6">
        <w:rPr>
          <w:rFonts w:ascii="Arial" w:hAnsi="Arial" w:cs="Arial"/>
          <w:sz w:val="21"/>
          <w:szCs w:val="21"/>
        </w:rPr>
        <w:t>iii</w:t>
      </w:r>
      <w:proofErr w:type="spellEnd"/>
      <w:r w:rsidR="00706FBE" w:rsidRPr="003C27C6">
        <w:rPr>
          <w:rFonts w:ascii="Arial" w:hAnsi="Arial" w:cs="Arial"/>
          <w:sz w:val="21"/>
          <w:szCs w:val="21"/>
        </w:rPr>
        <w:t>) En los contratos de colaboración en los que la Entidad Estatal en la etapa de planeación identifique que el programa o actividad de interés público que requiere desarrollar sólo puede ser realizado por una única Entidad sin ánimo de lucro</w:t>
      </w:r>
      <w:r w:rsidR="00706FBE" w:rsidRPr="003C27C6">
        <w:rPr>
          <w:rFonts w:ascii="Arial" w:eastAsia="Calibri" w:hAnsi="Arial" w:cs="Arial"/>
          <w:sz w:val="22"/>
          <w:szCs w:val="22"/>
          <w:lang w:eastAsia="en-US"/>
        </w:rPr>
        <w:t>»</w:t>
      </w:r>
      <w:r w:rsidR="00706FBE" w:rsidRPr="003C27C6">
        <w:rPr>
          <w:rFonts w:ascii="Arial" w:hAnsi="Arial" w:cs="Arial"/>
          <w:sz w:val="21"/>
          <w:szCs w:val="21"/>
        </w:rPr>
        <w:t>.</w:t>
      </w:r>
    </w:p>
    <w:p w14:paraId="09D790AD" w14:textId="77777777" w:rsidR="00F00D3C" w:rsidRPr="003C27C6" w:rsidRDefault="00F00D3C" w:rsidP="00EC7FDD">
      <w:pPr>
        <w:autoSpaceDE w:val="0"/>
        <w:autoSpaceDN w:val="0"/>
        <w:adjustRightInd w:val="0"/>
        <w:ind w:left="709" w:right="709"/>
        <w:jc w:val="both"/>
        <w:rPr>
          <w:rFonts w:ascii="Arial" w:hAnsi="Arial" w:cs="Arial"/>
          <w:color w:val="000000" w:themeColor="text1"/>
          <w:sz w:val="21"/>
          <w:szCs w:val="21"/>
        </w:rPr>
      </w:pPr>
    </w:p>
    <w:p w14:paraId="4377EC30" w14:textId="67616249" w:rsidR="00031BC1" w:rsidRPr="003C27C6" w:rsidRDefault="00A32F59" w:rsidP="0054211B">
      <w:pPr>
        <w:spacing w:before="120" w:after="120" w:line="276" w:lineRule="auto"/>
        <w:jc w:val="both"/>
        <w:rPr>
          <w:rFonts w:ascii="Arial" w:eastAsia="Calibri" w:hAnsi="Arial" w:cs="Arial"/>
          <w:sz w:val="22"/>
        </w:rPr>
      </w:pPr>
      <w:r w:rsidRPr="003C27C6">
        <w:rPr>
          <w:rFonts w:ascii="Arial" w:hAnsi="Arial" w:cs="Arial"/>
          <w:sz w:val="22"/>
        </w:rPr>
        <w:t>Teniendo en cuenta</w:t>
      </w:r>
      <w:r w:rsidR="00C5639E" w:rsidRPr="003C27C6">
        <w:rPr>
          <w:rFonts w:ascii="Arial" w:hAnsi="Arial" w:cs="Arial"/>
          <w:sz w:val="22"/>
        </w:rPr>
        <w:t xml:space="preserve"> la pregunta</w:t>
      </w:r>
      <w:r w:rsidR="00031BC1" w:rsidRPr="003C27C6">
        <w:rPr>
          <w:rFonts w:ascii="Arial" w:hAnsi="Arial" w:cs="Arial"/>
          <w:sz w:val="22"/>
        </w:rPr>
        <w:t xml:space="preserve"> y las consideraciones anteriores, </w:t>
      </w:r>
      <w:r w:rsidR="00031BC1" w:rsidRPr="003C27C6">
        <w:rPr>
          <w:rFonts w:ascii="Arial" w:eastAsia="Calibri" w:hAnsi="Arial" w:cs="Arial"/>
          <w:sz w:val="22"/>
        </w:rPr>
        <w:t xml:space="preserve">analizando las normas del Decreto 092 de 2017 con respecto al artículo 33 de la Ley de Garantías Electorales, se deriva que la restricción aplica frente a todo proceso que no se considere competitivo, esto es, en los que no se permita la participación de una pluralidad de oferentes o proponentes. Es decir, los procesos </w:t>
      </w:r>
      <w:r w:rsidR="00031BC1" w:rsidRPr="003C27C6">
        <w:rPr>
          <w:rFonts w:ascii="Arial" w:eastAsia="Calibri" w:hAnsi="Arial" w:cs="Arial"/>
          <w:i/>
          <w:iCs/>
          <w:sz w:val="22"/>
        </w:rPr>
        <w:t>no competitivos</w:t>
      </w:r>
      <w:r w:rsidR="00031BC1" w:rsidRPr="003C27C6">
        <w:rPr>
          <w:rFonts w:ascii="Arial" w:eastAsia="Calibri" w:hAnsi="Arial" w:cs="Arial"/>
          <w:sz w:val="22"/>
        </w:rPr>
        <w:t xml:space="preserve"> </w:t>
      </w:r>
      <w:r w:rsidR="00D77AF5" w:rsidRPr="003C27C6">
        <w:rPr>
          <w:rFonts w:ascii="Arial" w:eastAsia="Calibri" w:hAnsi="Arial" w:cs="Arial"/>
          <w:sz w:val="22"/>
        </w:rPr>
        <w:t>dirigidos a la celebración de</w:t>
      </w:r>
      <w:r w:rsidR="00031BC1" w:rsidRPr="003C27C6">
        <w:rPr>
          <w:rFonts w:ascii="Arial" w:eastAsia="Calibri" w:hAnsi="Arial" w:cs="Arial"/>
          <w:sz w:val="22"/>
        </w:rPr>
        <w:t xml:space="preserve"> convenios de asociación</w:t>
      </w:r>
      <w:r w:rsidR="00CF5D59" w:rsidRPr="003C27C6">
        <w:rPr>
          <w:rFonts w:ascii="Arial" w:eastAsia="Calibri" w:hAnsi="Arial" w:cs="Arial"/>
          <w:sz w:val="22"/>
        </w:rPr>
        <w:t xml:space="preserve"> o</w:t>
      </w:r>
      <w:r w:rsidR="00031BC1" w:rsidRPr="003C27C6">
        <w:rPr>
          <w:rFonts w:ascii="Arial" w:eastAsia="Calibri" w:hAnsi="Arial" w:cs="Arial"/>
          <w:sz w:val="22"/>
        </w:rPr>
        <w:t xml:space="preserve"> contratos de colaboración están sujetos a las restricciones del artículo 33 de la precitada Ley</w:t>
      </w:r>
      <w:r w:rsidR="00031BC1" w:rsidRPr="003C27C6">
        <w:rPr>
          <w:rFonts w:ascii="Arial" w:hAnsi="Arial" w:cs="Arial"/>
          <w:sz w:val="22"/>
          <w:szCs w:val="22"/>
          <w:lang w:eastAsia="es-CO"/>
        </w:rPr>
        <w:t xml:space="preserve">. </w:t>
      </w:r>
    </w:p>
    <w:p w14:paraId="6AACBB83" w14:textId="14AAA281" w:rsidR="00031BC1" w:rsidRPr="003C27C6" w:rsidRDefault="00031BC1" w:rsidP="00031BC1">
      <w:pPr>
        <w:tabs>
          <w:tab w:val="left" w:pos="426"/>
        </w:tabs>
        <w:spacing w:after="120" w:line="276" w:lineRule="auto"/>
        <w:jc w:val="both"/>
        <w:rPr>
          <w:rFonts w:ascii="Arial" w:hAnsi="Arial" w:cs="Arial"/>
          <w:sz w:val="22"/>
          <w:szCs w:val="22"/>
          <w:lang w:val="es-MX"/>
        </w:rPr>
      </w:pPr>
      <w:r w:rsidRPr="003C27C6">
        <w:rPr>
          <w:rFonts w:ascii="Arial" w:hAnsi="Arial" w:cs="Arial"/>
          <w:sz w:val="22"/>
          <w:szCs w:val="22"/>
        </w:rPr>
        <w:tab/>
      </w:r>
      <w:r w:rsidRPr="003C27C6">
        <w:rPr>
          <w:rFonts w:ascii="Arial" w:hAnsi="Arial" w:cs="Arial"/>
          <w:sz w:val="22"/>
          <w:szCs w:val="22"/>
        </w:rPr>
        <w:tab/>
      </w:r>
      <w:r w:rsidRPr="003C27C6">
        <w:rPr>
          <w:rFonts w:ascii="Arial" w:hAnsi="Arial" w:cs="Arial"/>
          <w:sz w:val="22"/>
          <w:szCs w:val="22"/>
          <w:lang w:val="es-MX"/>
        </w:rPr>
        <w:t xml:space="preserve">Se establece así un </w:t>
      </w:r>
      <w:r w:rsidRPr="003C27C6">
        <w:rPr>
          <w:rFonts w:ascii="Arial" w:hAnsi="Arial" w:cs="Arial"/>
          <w:i/>
          <w:sz w:val="22"/>
          <w:szCs w:val="22"/>
          <w:lang w:val="es-MX"/>
        </w:rPr>
        <w:t>criterio material</w:t>
      </w:r>
      <w:r w:rsidRPr="003C27C6">
        <w:rPr>
          <w:rFonts w:ascii="Arial" w:hAnsi="Arial" w:cs="Arial"/>
          <w:sz w:val="22"/>
          <w:szCs w:val="22"/>
          <w:lang w:val="es-MX"/>
        </w:rPr>
        <w:t xml:space="preserve"> en la Ley de Garantías Electorales, el cual se desarrolló a profundidad en las consideraciones, en el entendido que la prohibición del artículo 33, en relación con la contratación directa, no hace una distinción sobre la ubicación de estas normas en los diferentes cuerpos normativos, pues lo que importa es que impliquen materialmente una contratación directa, para estar inmersos en la restricción. </w:t>
      </w:r>
      <w:r w:rsidR="00A966AF" w:rsidRPr="003C27C6">
        <w:rPr>
          <w:rFonts w:ascii="Arial" w:hAnsi="Arial" w:cs="Arial"/>
          <w:sz w:val="22"/>
          <w:szCs w:val="22"/>
          <w:lang w:val="es-MX"/>
        </w:rPr>
        <w:t>Por ello,</w:t>
      </w:r>
      <w:r w:rsidRPr="003C27C6">
        <w:rPr>
          <w:rFonts w:ascii="Arial" w:hAnsi="Arial" w:cs="Arial"/>
          <w:sz w:val="22"/>
          <w:szCs w:val="22"/>
          <w:lang w:val="es-MX"/>
        </w:rPr>
        <w:t xml:space="preserve"> la ley de garantías </w:t>
      </w:r>
      <w:r w:rsidR="00A966AF" w:rsidRPr="003C27C6">
        <w:rPr>
          <w:rFonts w:ascii="Arial" w:hAnsi="Arial" w:cs="Arial"/>
          <w:sz w:val="22"/>
          <w:szCs w:val="22"/>
          <w:lang w:val="es-MX"/>
        </w:rPr>
        <w:t>irradia</w:t>
      </w:r>
      <w:r w:rsidRPr="003C27C6">
        <w:rPr>
          <w:rFonts w:ascii="Arial" w:hAnsi="Arial" w:cs="Arial"/>
          <w:sz w:val="22"/>
          <w:szCs w:val="22"/>
          <w:lang w:val="es-MX"/>
        </w:rPr>
        <w:t xml:space="preserve"> todas las normas que establezcan reglas y procedimientos de contratación directa. </w:t>
      </w:r>
    </w:p>
    <w:p w14:paraId="7E0CB5FD" w14:textId="1A9441EB" w:rsidR="00D77AF5" w:rsidRPr="003C27C6" w:rsidRDefault="00403548" w:rsidP="00031BC1">
      <w:pPr>
        <w:spacing w:before="120" w:after="120" w:line="276" w:lineRule="auto"/>
        <w:ind w:firstLine="709"/>
        <w:jc w:val="both"/>
        <w:rPr>
          <w:rFonts w:ascii="Arial" w:hAnsi="Arial" w:cs="Arial"/>
          <w:sz w:val="22"/>
          <w:szCs w:val="22"/>
          <w:lang w:eastAsia="x-none"/>
        </w:rPr>
      </w:pPr>
      <w:r w:rsidRPr="003C27C6">
        <w:rPr>
          <w:rFonts w:ascii="Arial" w:hAnsi="Arial" w:cs="Arial"/>
          <w:sz w:val="22"/>
          <w:szCs w:val="22"/>
          <w:lang w:eastAsia="es-CO"/>
        </w:rPr>
        <w:t xml:space="preserve">De este modo, </w:t>
      </w:r>
      <w:r w:rsidR="00031BC1" w:rsidRPr="003C27C6">
        <w:rPr>
          <w:rFonts w:ascii="Arial" w:hAnsi="Arial" w:cs="Arial"/>
          <w:sz w:val="22"/>
          <w:szCs w:val="22"/>
          <w:lang w:eastAsia="es-CO"/>
        </w:rPr>
        <w:t xml:space="preserve">se concluye que los convenios de asociación y contratos de colaboración establecidos en el Decreto 092 de 2017 no están exentos de la aplicación de la Ley de Garantías Electorales, en especial de lo dispuesto en el artículo 33, que </w:t>
      </w:r>
      <w:r w:rsidR="00031BC1" w:rsidRPr="003C27C6">
        <w:rPr>
          <w:rFonts w:ascii="Arial" w:hAnsi="Arial" w:cs="Arial"/>
          <w:sz w:val="22"/>
          <w:szCs w:val="22"/>
          <w:lang w:eastAsia="x-none"/>
        </w:rPr>
        <w:t xml:space="preserve">refiere la restricción o prohibición a </w:t>
      </w:r>
      <w:r w:rsidR="00031BC1" w:rsidRPr="003C27C6">
        <w:rPr>
          <w:rFonts w:ascii="Arial" w:hAnsi="Arial" w:cs="Arial"/>
          <w:sz w:val="19"/>
          <w:szCs w:val="19"/>
          <w:lang w:eastAsia="en-GB"/>
        </w:rPr>
        <w:t>«</w:t>
      </w:r>
      <w:r w:rsidR="00031BC1" w:rsidRPr="003C27C6">
        <w:rPr>
          <w:rFonts w:ascii="Arial" w:hAnsi="Arial" w:cs="Arial"/>
          <w:sz w:val="22"/>
          <w:szCs w:val="22"/>
          <w:lang w:eastAsia="x-none"/>
        </w:rPr>
        <w:t>cualquier sistema que no implique convocatoria pública y posibilidad de pluralidad de oferentes</w:t>
      </w:r>
      <w:r w:rsidR="00031BC1" w:rsidRPr="003C27C6">
        <w:rPr>
          <w:rFonts w:ascii="Arial" w:hAnsi="Arial" w:cs="Arial"/>
          <w:sz w:val="22"/>
          <w:szCs w:val="22"/>
          <w:lang w:eastAsia="en-GB"/>
        </w:rPr>
        <w:t>»</w:t>
      </w:r>
      <w:r w:rsidR="00031BC1" w:rsidRPr="003C27C6">
        <w:rPr>
          <w:rFonts w:ascii="Arial" w:hAnsi="Arial" w:cs="Arial"/>
          <w:sz w:val="22"/>
          <w:szCs w:val="22"/>
          <w:lang w:eastAsia="x-none"/>
        </w:rPr>
        <w:t>.</w:t>
      </w:r>
      <w:r w:rsidRPr="003C27C6">
        <w:rPr>
          <w:rFonts w:ascii="Arial" w:hAnsi="Arial" w:cs="Arial"/>
          <w:sz w:val="22"/>
          <w:szCs w:val="22"/>
          <w:lang w:eastAsia="x-none"/>
        </w:rPr>
        <w:t xml:space="preserve"> Por tanto</w:t>
      </w:r>
      <w:r w:rsidR="00031BC1" w:rsidRPr="003C27C6">
        <w:rPr>
          <w:rFonts w:ascii="Arial" w:hAnsi="Arial" w:cs="Arial"/>
          <w:sz w:val="22"/>
          <w:szCs w:val="22"/>
          <w:lang w:eastAsia="x-none"/>
        </w:rPr>
        <w:t>, lo que podrán hacer las entidades públicas es celebrar convenios de asociación y contratos de colaboración realizados mediante un proceso competitivo, es decir, que se caracterice por la libre concurrencia y la pluralidad de proponentes.</w:t>
      </w:r>
    </w:p>
    <w:p w14:paraId="40F7D30D" w14:textId="77777777" w:rsidR="00D77AF5" w:rsidRPr="003C27C6" w:rsidRDefault="00D77AF5" w:rsidP="00031BC1">
      <w:pPr>
        <w:spacing w:before="120" w:after="120" w:line="276" w:lineRule="auto"/>
        <w:ind w:firstLine="709"/>
        <w:jc w:val="both"/>
        <w:rPr>
          <w:rFonts w:ascii="Arial" w:eastAsia="Calibri" w:hAnsi="Arial" w:cs="Arial"/>
          <w:sz w:val="22"/>
        </w:rPr>
      </w:pPr>
    </w:p>
    <w:p w14:paraId="7B2C921D" w14:textId="1B83F553" w:rsidR="00DD5B04" w:rsidRPr="003C27C6" w:rsidRDefault="00DD5B04" w:rsidP="0054211B">
      <w:pPr>
        <w:spacing w:before="120" w:after="120" w:line="276" w:lineRule="auto"/>
        <w:jc w:val="both"/>
        <w:rPr>
          <w:rFonts w:ascii="Arial" w:hAnsi="Arial" w:cs="Arial"/>
          <w:color w:val="000000" w:themeColor="text1"/>
          <w:sz w:val="22"/>
          <w:lang w:val="es-ES_tradnl"/>
        </w:rPr>
      </w:pPr>
      <w:r w:rsidRPr="003C27C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C27C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3C27C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C27C6">
        <w:rPr>
          <w:rFonts w:ascii="Arial" w:hAnsi="Arial" w:cs="Arial"/>
          <w:color w:val="000000" w:themeColor="text1"/>
          <w:sz w:val="22"/>
          <w:szCs w:val="22"/>
          <w:lang w:val="es-ES_tradnl"/>
        </w:rPr>
        <w:t>Atentamente,</w:t>
      </w:r>
    </w:p>
    <w:bookmarkEnd w:id="8"/>
    <w:p w14:paraId="5E68C41A" w14:textId="77777777" w:rsidR="00F00D3C" w:rsidRPr="003C27C6" w:rsidRDefault="00F00D3C" w:rsidP="00F00D3C">
      <w:pPr>
        <w:rPr>
          <w:rFonts w:ascii="Arial" w:hAnsi="Arial" w:cs="Arial"/>
          <w:sz w:val="22"/>
          <w:szCs w:val="22"/>
          <w:lang w:eastAsia="es-CO"/>
        </w:rPr>
      </w:pPr>
    </w:p>
    <w:p w14:paraId="74380D5B" w14:textId="0CCD92E7" w:rsidR="00F00D3C" w:rsidRPr="003C27C6" w:rsidRDefault="00D30E15" w:rsidP="00F00D3C">
      <w:pPr>
        <w:jc w:val="center"/>
        <w:rPr>
          <w:rFonts w:ascii="Arial" w:hAnsi="Arial" w:cs="Arial"/>
          <w:sz w:val="22"/>
          <w:szCs w:val="22"/>
          <w:lang w:eastAsia="es-CO"/>
        </w:rPr>
      </w:pPr>
      <w:r w:rsidRPr="003C27C6">
        <w:rPr>
          <w:rFonts w:ascii="Arial" w:hAnsi="Arial" w:cs="Arial"/>
          <w:noProof/>
          <w:lang w:eastAsia="es-CO"/>
        </w:rPr>
        <w:drawing>
          <wp:inline distT="0" distB="0" distL="0" distR="0" wp14:anchorId="45896E80" wp14:editId="44610263">
            <wp:extent cx="2514600" cy="11715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71575"/>
                    </a:xfrm>
                    <a:prstGeom prst="rect">
                      <a:avLst/>
                    </a:prstGeom>
                  </pic:spPr>
                </pic:pic>
              </a:graphicData>
            </a:graphic>
          </wp:inline>
        </w:drawing>
      </w:r>
      <w:r w:rsidR="00F00D3C" w:rsidRPr="003C27C6">
        <w:rPr>
          <w:rFonts w:asciiTheme="minorHAnsi" w:eastAsiaTheme="minorHAnsi" w:hAnsiTheme="minorHAnsi" w:cstheme="minorBidi"/>
          <w:noProof/>
          <w:szCs w:val="22"/>
          <w:lang w:eastAsia="en-US"/>
        </w:rPr>
        <w:t xml:space="preserve"> </w:t>
      </w:r>
    </w:p>
    <w:p w14:paraId="25655C30" w14:textId="77777777" w:rsidR="00F00D3C" w:rsidRPr="003C27C6" w:rsidRDefault="00F00D3C" w:rsidP="00F00D3C">
      <w:pPr>
        <w:jc w:val="center"/>
        <w:rPr>
          <w:rFonts w:ascii="Arial" w:hAnsi="Arial" w:cs="Arial"/>
          <w:sz w:val="18"/>
          <w:szCs w:val="20"/>
          <w:lang w:eastAsia="es-CO"/>
        </w:rPr>
      </w:pPr>
    </w:p>
    <w:p w14:paraId="3C8E684B" w14:textId="77777777" w:rsidR="00F00D3C" w:rsidRPr="003C27C6" w:rsidRDefault="00F00D3C" w:rsidP="00F00D3C">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00D3C" w:rsidRPr="003C27C6" w14:paraId="6958FEDD" w14:textId="77777777" w:rsidTr="002E1DEF">
        <w:trPr>
          <w:trHeight w:val="315"/>
        </w:trPr>
        <w:tc>
          <w:tcPr>
            <w:tcW w:w="488" w:type="dxa"/>
            <w:vAlign w:val="center"/>
            <w:hideMark/>
          </w:tcPr>
          <w:p w14:paraId="3E43CA55"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B5E47D"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José Luis Sánchez Cardona</w:t>
            </w:r>
          </w:p>
          <w:p w14:paraId="620B5F6F"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Contratista de la Subdirección de Gestión Contractual</w:t>
            </w:r>
          </w:p>
        </w:tc>
      </w:tr>
      <w:tr w:rsidR="00F00D3C" w:rsidRPr="003C27C6" w14:paraId="40632883" w14:textId="77777777" w:rsidTr="002E1DEF">
        <w:trPr>
          <w:trHeight w:val="330"/>
        </w:trPr>
        <w:tc>
          <w:tcPr>
            <w:tcW w:w="488" w:type="dxa"/>
            <w:vAlign w:val="center"/>
            <w:hideMark/>
          </w:tcPr>
          <w:p w14:paraId="16364073"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533F4A"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 xml:space="preserve">Sebastián Ramírez Grisales </w:t>
            </w:r>
          </w:p>
          <w:p w14:paraId="26AFC69C" w14:textId="77777777" w:rsidR="00F00D3C" w:rsidRPr="003C27C6" w:rsidRDefault="00F00D3C" w:rsidP="002E1DEF">
            <w:pPr>
              <w:rPr>
                <w:rFonts w:ascii="Arial" w:hAnsi="Arial" w:cs="Arial"/>
                <w:sz w:val="14"/>
                <w:szCs w:val="14"/>
                <w:lang w:val="es-MX" w:eastAsia="es-ES"/>
              </w:rPr>
            </w:pPr>
            <w:r w:rsidRPr="003C27C6">
              <w:rPr>
                <w:rFonts w:ascii="Arial" w:hAnsi="Arial" w:cs="Arial"/>
                <w:sz w:val="16"/>
                <w:szCs w:val="16"/>
                <w:lang w:eastAsia="es-ES"/>
              </w:rPr>
              <w:t xml:space="preserve">Gestor T1-15 de la Subdirección de Gestión Contractual </w:t>
            </w:r>
          </w:p>
        </w:tc>
      </w:tr>
      <w:tr w:rsidR="00F00D3C" w:rsidRPr="00CE44D5" w14:paraId="307516A6" w14:textId="77777777" w:rsidTr="002E1DEF">
        <w:trPr>
          <w:trHeight w:val="300"/>
        </w:trPr>
        <w:tc>
          <w:tcPr>
            <w:tcW w:w="488" w:type="dxa"/>
            <w:vAlign w:val="center"/>
            <w:hideMark/>
          </w:tcPr>
          <w:p w14:paraId="3715FB43"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5512BA" w14:textId="77777777" w:rsidR="00F00D3C" w:rsidRPr="003C27C6" w:rsidRDefault="00F00D3C" w:rsidP="002E1DEF">
            <w:pPr>
              <w:rPr>
                <w:rFonts w:ascii="Arial" w:hAnsi="Arial" w:cs="Arial"/>
                <w:sz w:val="16"/>
                <w:szCs w:val="16"/>
                <w:lang w:eastAsia="es-ES"/>
              </w:rPr>
            </w:pPr>
            <w:r w:rsidRPr="003C27C6">
              <w:rPr>
                <w:rFonts w:ascii="Arial" w:hAnsi="Arial" w:cs="Arial"/>
                <w:sz w:val="16"/>
                <w:szCs w:val="16"/>
                <w:lang w:eastAsia="es-ES"/>
              </w:rPr>
              <w:t>Jorge Augusto Tirado Navarro</w:t>
            </w:r>
          </w:p>
          <w:p w14:paraId="17BC5E29" w14:textId="77777777" w:rsidR="00F00D3C" w:rsidRPr="00CE44D5" w:rsidRDefault="00F00D3C" w:rsidP="002E1DEF">
            <w:pPr>
              <w:rPr>
                <w:rFonts w:ascii="Arial" w:hAnsi="Arial" w:cs="Arial"/>
                <w:sz w:val="16"/>
                <w:szCs w:val="16"/>
                <w:lang w:eastAsia="es-ES"/>
              </w:rPr>
            </w:pPr>
            <w:r w:rsidRPr="003C27C6">
              <w:rPr>
                <w:rFonts w:ascii="Arial" w:hAnsi="Arial" w:cs="Arial"/>
                <w:sz w:val="16"/>
                <w:szCs w:val="16"/>
                <w:lang w:eastAsia="es-ES"/>
              </w:rPr>
              <w:t>Subdirector de Gestión Contractual ANCP – CCE</w:t>
            </w:r>
          </w:p>
        </w:tc>
      </w:tr>
    </w:tbl>
    <w:p w14:paraId="16F2AA49" w14:textId="77777777" w:rsidR="00F00D3C" w:rsidRDefault="00F00D3C" w:rsidP="00F00D3C">
      <w:pPr>
        <w:pStyle w:val="NormalWeb"/>
        <w:spacing w:before="0" w:beforeAutospacing="0" w:after="0" w:afterAutospacing="0" w:line="276" w:lineRule="auto"/>
        <w:jc w:val="both"/>
        <w:rPr>
          <w:rFonts w:ascii="Arial" w:hAnsi="Arial" w:cs="Arial"/>
        </w:rPr>
      </w:pPr>
    </w:p>
    <w:p w14:paraId="5E9C37DB" w14:textId="62BAE87A" w:rsidR="00746E08" w:rsidRPr="00F00D3C" w:rsidRDefault="00746E08" w:rsidP="00A424EB">
      <w:pPr>
        <w:tabs>
          <w:tab w:val="left" w:pos="3795"/>
        </w:tabs>
        <w:rPr>
          <w:rFonts w:ascii="Arial" w:hAnsi="Arial" w:cs="Arial"/>
          <w:color w:val="000000" w:themeColor="text1"/>
        </w:rPr>
      </w:pPr>
    </w:p>
    <w:sectPr w:rsidR="00746E08" w:rsidRPr="00F00D3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53BB" w14:textId="77777777" w:rsidR="006E54A0" w:rsidRDefault="006E54A0">
      <w:r>
        <w:separator/>
      </w:r>
    </w:p>
  </w:endnote>
  <w:endnote w:type="continuationSeparator" w:id="0">
    <w:p w14:paraId="408AF203" w14:textId="77777777" w:rsidR="006E54A0" w:rsidRDefault="006E54A0">
      <w:r>
        <w:continuationSeparator/>
      </w:r>
    </w:p>
  </w:endnote>
  <w:endnote w:type="continuationNotice" w:id="1">
    <w:p w14:paraId="3771013F" w14:textId="77777777" w:rsidR="006E54A0" w:rsidRDefault="006E5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247F6C0D"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641B" w14:textId="77777777" w:rsidR="006E54A0" w:rsidRDefault="006E54A0">
      <w:r>
        <w:separator/>
      </w:r>
    </w:p>
  </w:footnote>
  <w:footnote w:type="continuationSeparator" w:id="0">
    <w:p w14:paraId="6DACD3D5" w14:textId="77777777" w:rsidR="006E54A0" w:rsidRDefault="006E54A0">
      <w:r>
        <w:continuationSeparator/>
      </w:r>
    </w:p>
  </w:footnote>
  <w:footnote w:type="continuationNotice" w:id="1">
    <w:p w14:paraId="475369ED" w14:textId="77777777" w:rsidR="006E54A0" w:rsidRDefault="006E54A0"/>
  </w:footnote>
  <w:footnote w:id="2">
    <w:p w14:paraId="655D4C09" w14:textId="77777777" w:rsidR="00E807B5" w:rsidRPr="00403548" w:rsidRDefault="00E807B5"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403548" w:rsidRDefault="00E807B5" w:rsidP="00EC7FDD">
      <w:pPr>
        <w:pStyle w:val="Textonotapie"/>
        <w:ind w:firstLine="709"/>
        <w:jc w:val="both"/>
        <w:rPr>
          <w:rFonts w:ascii="Arial" w:hAnsi="Arial" w:cs="Arial"/>
          <w:sz w:val="19"/>
          <w:szCs w:val="19"/>
        </w:rPr>
      </w:pPr>
      <w:proofErr w:type="gramStart"/>
      <w:r w:rsidRPr="00403548">
        <w:rPr>
          <w:rFonts w:ascii="Arial" w:hAnsi="Arial" w:cs="Arial"/>
          <w:sz w:val="19"/>
          <w:szCs w:val="19"/>
        </w:rPr>
        <w:t>»A</w:t>
      </w:r>
      <w:proofErr w:type="gramEnd"/>
      <w:r w:rsidRPr="00403548">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B9EFB00" w14:textId="4A81E6E2" w:rsidR="00E807B5" w:rsidRPr="00403548" w:rsidRDefault="00E807B5"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66A40922" w14:textId="77777777" w:rsidR="007D6E42" w:rsidRPr="00403548" w:rsidRDefault="007D6E42" w:rsidP="00EC7FDD">
      <w:pPr>
        <w:pStyle w:val="Textonotapie"/>
        <w:jc w:val="both"/>
        <w:rPr>
          <w:rFonts w:ascii="Arial" w:hAnsi="Arial" w:cs="Arial"/>
          <w:sz w:val="19"/>
          <w:szCs w:val="19"/>
          <w:lang w:val="es-CO"/>
        </w:rPr>
      </w:pPr>
    </w:p>
    <w:p w14:paraId="28757135" w14:textId="76ABBC96" w:rsidR="00E807B5" w:rsidRPr="00403548" w:rsidRDefault="00E807B5" w:rsidP="00EC7FDD">
      <w:pPr>
        <w:pStyle w:val="Textonotapie"/>
        <w:ind w:firstLine="709"/>
        <w:jc w:val="both"/>
        <w:rPr>
          <w:rFonts w:ascii="Arial" w:hAnsi="Arial" w:cs="Arial"/>
          <w:sz w:val="19"/>
          <w:szCs w:val="19"/>
          <w:lang w:val="es-CO"/>
        </w:rPr>
      </w:pPr>
      <w:r w:rsidRPr="00403548">
        <w:rPr>
          <w:rStyle w:val="Refdenotaalpie"/>
          <w:rFonts w:ascii="Arial" w:hAnsi="Arial" w:cs="Arial"/>
          <w:sz w:val="19"/>
          <w:szCs w:val="19"/>
        </w:rPr>
        <w:footnoteRef/>
      </w:r>
      <w:r w:rsidRPr="00403548">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5">
    <w:p w14:paraId="4A2A3E87" w14:textId="035207B7" w:rsidR="00E807B5" w:rsidRPr="00403548" w:rsidRDefault="00E807B5"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de fecha 24 de julio de 2013, radicado 2166, </w:t>
      </w:r>
      <w:proofErr w:type="gramStart"/>
      <w:r w:rsidRPr="00403548">
        <w:rPr>
          <w:rFonts w:ascii="Arial" w:hAnsi="Arial" w:cs="Arial"/>
          <w:sz w:val="19"/>
          <w:szCs w:val="19"/>
        </w:rPr>
        <w:t>Consejero</w:t>
      </w:r>
      <w:proofErr w:type="gramEnd"/>
      <w:r w:rsidRPr="00403548">
        <w:rPr>
          <w:rFonts w:ascii="Arial" w:hAnsi="Arial" w:cs="Arial"/>
          <w:sz w:val="19"/>
          <w:szCs w:val="19"/>
        </w:rPr>
        <w:t xml:space="preserve"> Ponente Álvaro </w:t>
      </w:r>
      <w:proofErr w:type="spellStart"/>
      <w:r w:rsidRPr="00403548">
        <w:rPr>
          <w:rFonts w:ascii="Arial" w:hAnsi="Arial" w:cs="Arial"/>
          <w:sz w:val="19"/>
          <w:szCs w:val="19"/>
        </w:rPr>
        <w:t>Namén</w:t>
      </w:r>
      <w:proofErr w:type="spellEnd"/>
      <w:r w:rsidRPr="00403548">
        <w:rPr>
          <w:rFonts w:ascii="Arial" w:hAnsi="Arial" w:cs="Arial"/>
          <w:sz w:val="19"/>
          <w:szCs w:val="19"/>
        </w:rPr>
        <w:t xml:space="preserve"> Vargas.  </w:t>
      </w:r>
    </w:p>
  </w:footnote>
  <w:footnote w:id="6">
    <w:p w14:paraId="7E4BC125" w14:textId="77777777" w:rsidR="007D6E42" w:rsidRPr="00403548" w:rsidRDefault="007D6E42" w:rsidP="00EC7FDD">
      <w:pPr>
        <w:jc w:val="both"/>
        <w:rPr>
          <w:rFonts w:ascii="Arial" w:hAnsi="Arial" w:cs="Arial"/>
          <w:sz w:val="19"/>
          <w:szCs w:val="19"/>
        </w:rPr>
      </w:pPr>
    </w:p>
    <w:p w14:paraId="4B94ABDB" w14:textId="259272D3" w:rsidR="00917720" w:rsidRPr="00403548" w:rsidRDefault="00917720" w:rsidP="00EC7FDD">
      <w:pPr>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w:t>
      </w:r>
      <w:bookmarkStart w:id="14" w:name="33"/>
      <w:r w:rsidRPr="00403548">
        <w:rPr>
          <w:rFonts w:ascii="Arial" w:eastAsia="Calibri" w:hAnsi="Arial" w:cs="Arial"/>
          <w:bCs/>
          <w:color w:val="000000"/>
          <w:sz w:val="19"/>
          <w:szCs w:val="19"/>
        </w:rPr>
        <w:t>«</w:t>
      </w:r>
      <w:r w:rsidRPr="00403548">
        <w:rPr>
          <w:rFonts w:ascii="Arial" w:hAnsi="Arial" w:cs="Arial"/>
          <w:sz w:val="19"/>
          <w:szCs w:val="19"/>
        </w:rPr>
        <w:t>Artículo 33. Restricciones a la contratación pública.</w:t>
      </w:r>
      <w:bookmarkEnd w:id="14"/>
      <w:r w:rsidRPr="00403548">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191C096" w14:textId="77777777" w:rsidR="00917720" w:rsidRPr="00403548" w:rsidRDefault="00917720" w:rsidP="00EC7FDD">
      <w:pPr>
        <w:ind w:firstLine="709"/>
        <w:jc w:val="both"/>
        <w:rPr>
          <w:rFonts w:ascii="Arial" w:hAnsi="Arial" w:cs="Arial"/>
          <w:sz w:val="19"/>
          <w:szCs w:val="19"/>
        </w:rPr>
      </w:pPr>
      <w:r w:rsidRPr="00403548">
        <w:rPr>
          <w:rFonts w:ascii="Arial" w:eastAsia="Calibri" w:hAnsi="Arial" w:cs="Arial"/>
          <w:bCs/>
          <w:color w:val="000000"/>
          <w:sz w:val="19"/>
          <w:szCs w:val="19"/>
        </w:rPr>
        <w:t>»</w:t>
      </w:r>
      <w:r w:rsidRPr="00403548">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03548">
        <w:rPr>
          <w:rFonts w:ascii="Arial" w:eastAsia="Calibri" w:hAnsi="Arial" w:cs="Arial"/>
          <w:bCs/>
          <w:color w:val="000000"/>
          <w:sz w:val="19"/>
          <w:szCs w:val="19"/>
        </w:rPr>
        <w:t>»</w:t>
      </w:r>
      <w:r w:rsidRPr="00403548">
        <w:rPr>
          <w:rFonts w:ascii="Arial" w:hAnsi="Arial" w:cs="Arial"/>
          <w:sz w:val="19"/>
          <w:szCs w:val="19"/>
        </w:rPr>
        <w:t>.</w:t>
      </w:r>
    </w:p>
  </w:footnote>
  <w:footnote w:id="7">
    <w:p w14:paraId="6F95EDAA" w14:textId="77777777" w:rsidR="00917720" w:rsidRPr="00403548" w:rsidRDefault="00917720" w:rsidP="00EC7FDD">
      <w:pPr>
        <w:pStyle w:val="NormalWeb"/>
        <w:spacing w:before="0" w:beforeAutospacing="0" w:after="0" w:afterAutospacing="0"/>
        <w:ind w:firstLine="709"/>
        <w:jc w:val="both"/>
        <w:rPr>
          <w:rFonts w:ascii="Arial" w:hAnsi="Arial" w:cs="Arial"/>
          <w:sz w:val="19"/>
          <w:szCs w:val="19"/>
          <w:lang w:val="es-MX"/>
        </w:rPr>
      </w:pPr>
      <w:r w:rsidRPr="00403548">
        <w:rPr>
          <w:rStyle w:val="Refdenotaalpie"/>
          <w:rFonts w:ascii="Arial" w:hAnsi="Arial" w:cs="Arial"/>
          <w:sz w:val="19"/>
          <w:szCs w:val="19"/>
        </w:rPr>
        <w:footnoteRef/>
      </w:r>
      <w:r w:rsidRPr="00403548">
        <w:rPr>
          <w:rFonts w:ascii="Arial" w:hAnsi="Arial" w:cs="Arial"/>
          <w:sz w:val="19"/>
          <w:szCs w:val="19"/>
        </w:rPr>
        <w:t xml:space="preserve"> </w:t>
      </w:r>
      <w:r w:rsidRPr="00403548">
        <w:rPr>
          <w:rFonts w:ascii="Arial" w:eastAsia="Calibri" w:hAnsi="Arial" w:cs="Arial"/>
          <w:bCs/>
          <w:color w:val="000000"/>
          <w:sz w:val="19"/>
          <w:szCs w:val="19"/>
        </w:rPr>
        <w:t>«</w:t>
      </w:r>
      <w:r w:rsidRPr="00403548">
        <w:rPr>
          <w:rFonts w:ascii="Arial" w:hAnsi="Arial" w:cs="Arial"/>
          <w:sz w:val="19"/>
          <w:szCs w:val="19"/>
          <w:lang w:val="es-MX"/>
        </w:rPr>
        <w:t>Artículo 38. Prohibiciones para los servidores públicos. A los empleados del Estado les está prohibido:</w:t>
      </w:r>
    </w:p>
    <w:p w14:paraId="65CB9548" w14:textId="77777777" w:rsidR="00917720" w:rsidRPr="00403548" w:rsidRDefault="00917720" w:rsidP="00EC7FDD">
      <w:pPr>
        <w:pStyle w:val="NormalWeb"/>
        <w:spacing w:before="0" w:beforeAutospacing="0" w:after="0" w:afterAutospacing="0"/>
        <w:ind w:firstLine="709"/>
        <w:jc w:val="both"/>
        <w:rPr>
          <w:rFonts w:ascii="Arial" w:hAnsi="Arial" w:cs="Arial"/>
          <w:sz w:val="19"/>
          <w:szCs w:val="19"/>
          <w:lang w:val="es-MX"/>
        </w:rPr>
      </w:pPr>
      <w:r w:rsidRPr="00403548">
        <w:rPr>
          <w:rFonts w:ascii="Arial" w:eastAsia="Calibri" w:hAnsi="Arial" w:cs="Arial"/>
          <w:bCs/>
          <w:color w:val="000000"/>
          <w:sz w:val="19"/>
          <w:szCs w:val="19"/>
        </w:rPr>
        <w:t>»</w:t>
      </w:r>
      <w:r w:rsidRPr="00403548">
        <w:rPr>
          <w:rFonts w:ascii="Arial" w:hAnsi="Arial" w:cs="Arial"/>
          <w:sz w:val="19"/>
          <w:szCs w:val="19"/>
          <w:lang w:val="es-MX"/>
        </w:rPr>
        <w:t xml:space="preserve"> […]</w:t>
      </w:r>
    </w:p>
    <w:p w14:paraId="3946DC8C" w14:textId="6CB40541" w:rsidR="005B2206" w:rsidRPr="00403548" w:rsidRDefault="00917720" w:rsidP="00EC7FDD">
      <w:pPr>
        <w:pStyle w:val="NormalWeb"/>
        <w:spacing w:before="0" w:beforeAutospacing="0" w:after="0" w:afterAutospacing="0"/>
        <w:ind w:firstLine="709"/>
        <w:jc w:val="both"/>
        <w:rPr>
          <w:rFonts w:ascii="Arial" w:hAnsi="Arial" w:cs="Arial"/>
          <w:sz w:val="19"/>
          <w:szCs w:val="19"/>
          <w:lang w:val="es-MX"/>
        </w:rPr>
      </w:pPr>
      <w:r w:rsidRPr="00403548">
        <w:rPr>
          <w:rFonts w:ascii="Arial" w:eastAsia="Calibri" w:hAnsi="Arial" w:cs="Arial"/>
          <w:bCs/>
          <w:color w:val="000000"/>
          <w:sz w:val="19"/>
          <w:szCs w:val="19"/>
        </w:rPr>
        <w:t>»</w:t>
      </w:r>
      <w:r w:rsidRPr="00403548">
        <w:rPr>
          <w:rStyle w:val="baj"/>
          <w:rFonts w:ascii="Arial" w:hAnsi="Arial" w:cs="Arial"/>
          <w:sz w:val="19"/>
          <w:szCs w:val="19"/>
          <w:lang w:val="es-MX"/>
        </w:rPr>
        <w:t xml:space="preserve"> Parágrafo.</w:t>
      </w:r>
      <w:r w:rsidRPr="00403548">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03548">
        <w:rPr>
          <w:rFonts w:ascii="Arial" w:eastAsia="Calibri" w:hAnsi="Arial" w:cs="Arial"/>
          <w:bCs/>
          <w:color w:val="000000"/>
          <w:sz w:val="19"/>
          <w:szCs w:val="19"/>
        </w:rPr>
        <w:t>»</w:t>
      </w:r>
      <w:r w:rsidRPr="00403548">
        <w:rPr>
          <w:rFonts w:ascii="Arial" w:hAnsi="Arial" w:cs="Arial"/>
          <w:sz w:val="19"/>
          <w:szCs w:val="19"/>
          <w:lang w:val="es-MX"/>
        </w:rPr>
        <w:t>.</w:t>
      </w:r>
    </w:p>
  </w:footnote>
  <w:footnote w:id="8">
    <w:p w14:paraId="4983D479" w14:textId="0C3038FE" w:rsidR="00917720" w:rsidRPr="00403548" w:rsidRDefault="00917720" w:rsidP="00EC7FDD">
      <w:pPr>
        <w:ind w:left="100" w:right="244"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9">
    <w:p w14:paraId="79ED1F4F" w14:textId="77777777" w:rsidR="00B540D4" w:rsidRPr="00403548" w:rsidRDefault="00B540D4" w:rsidP="00EC7FDD">
      <w:pPr>
        <w:pStyle w:val="Prrafodelista"/>
        <w:tabs>
          <w:tab w:val="left" w:pos="251"/>
        </w:tabs>
        <w:jc w:val="both"/>
        <w:rPr>
          <w:rFonts w:ascii="Arial" w:hAnsi="Arial" w:cs="Arial"/>
          <w:sz w:val="19"/>
          <w:szCs w:val="19"/>
          <w:lang w:val="es-CO"/>
        </w:rPr>
      </w:pPr>
      <w:r w:rsidRPr="00403548">
        <w:rPr>
          <w:rStyle w:val="Refdenotaalpie"/>
          <w:rFonts w:ascii="Arial" w:hAnsi="Arial" w:cs="Arial"/>
          <w:sz w:val="19"/>
          <w:szCs w:val="19"/>
        </w:rPr>
        <w:footnoteRef/>
      </w:r>
      <w:r w:rsidRPr="00403548">
        <w:rPr>
          <w:rFonts w:ascii="Arial" w:hAnsi="Arial" w:cs="Arial"/>
          <w:sz w:val="19"/>
          <w:szCs w:val="19"/>
        </w:rPr>
        <w:t xml:space="preserve"> Código Civil, artículos 1495 y</w:t>
      </w:r>
      <w:r w:rsidRPr="00403548">
        <w:rPr>
          <w:rFonts w:ascii="Arial" w:hAnsi="Arial" w:cs="Arial"/>
          <w:spacing w:val="-5"/>
          <w:sz w:val="19"/>
          <w:szCs w:val="19"/>
        </w:rPr>
        <w:t xml:space="preserve"> </w:t>
      </w:r>
      <w:r w:rsidRPr="00403548">
        <w:rPr>
          <w:rFonts w:ascii="Arial" w:hAnsi="Arial" w:cs="Arial"/>
          <w:sz w:val="19"/>
          <w:szCs w:val="19"/>
        </w:rPr>
        <w:t>1602.</w:t>
      </w:r>
    </w:p>
  </w:footnote>
  <w:footnote w:id="10">
    <w:p w14:paraId="0D155B2C" w14:textId="016B07FE" w:rsidR="00B540D4" w:rsidRPr="00403548" w:rsidRDefault="00B540D4" w:rsidP="00EC7FDD">
      <w:pPr>
        <w:pStyle w:val="Textonotapie"/>
        <w:ind w:firstLine="708"/>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PALACIO HINCAPIÉ, Juan Ángel. La contratación de las entidades estatales. 5°° ed. Medellín: Librería Jurídica Sánchez R, 2005. p. 35. </w:t>
      </w:r>
    </w:p>
  </w:footnote>
  <w:footnote w:id="11">
    <w:p w14:paraId="3C6A1BB9" w14:textId="1451EDBA" w:rsidR="00B540D4" w:rsidRPr="00403548" w:rsidRDefault="00B540D4" w:rsidP="00EC7FDD">
      <w:pPr>
        <w:pStyle w:val="Prrafodelista"/>
        <w:tabs>
          <w:tab w:val="left" w:pos="251"/>
        </w:tabs>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Ley 80 de 1993, artículo 3 y</w:t>
      </w:r>
      <w:r w:rsidRPr="00403548">
        <w:rPr>
          <w:rFonts w:ascii="Arial" w:hAnsi="Arial" w:cs="Arial"/>
          <w:spacing w:val="-10"/>
          <w:sz w:val="19"/>
          <w:szCs w:val="19"/>
        </w:rPr>
        <w:t xml:space="preserve"> </w:t>
      </w:r>
      <w:r w:rsidRPr="00403548">
        <w:rPr>
          <w:rFonts w:ascii="Arial" w:hAnsi="Arial" w:cs="Arial"/>
          <w:sz w:val="19"/>
          <w:szCs w:val="19"/>
        </w:rPr>
        <w:t>40.</w:t>
      </w:r>
    </w:p>
  </w:footnote>
  <w:footnote w:id="12">
    <w:p w14:paraId="66A5F182" w14:textId="4552A363" w:rsidR="00B540D4" w:rsidRPr="00403548" w:rsidRDefault="00B540D4" w:rsidP="00EC7FDD">
      <w:pPr>
        <w:pStyle w:val="Prrafodelista"/>
        <w:tabs>
          <w:tab w:val="left" w:pos="251"/>
        </w:tabs>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Constitución Política, artículo</w:t>
      </w:r>
      <w:r w:rsidRPr="00403548">
        <w:rPr>
          <w:rFonts w:ascii="Arial" w:hAnsi="Arial" w:cs="Arial"/>
          <w:spacing w:val="-1"/>
          <w:sz w:val="19"/>
          <w:szCs w:val="19"/>
        </w:rPr>
        <w:t xml:space="preserve"> </w:t>
      </w:r>
      <w:r w:rsidRPr="00403548">
        <w:rPr>
          <w:rFonts w:ascii="Arial" w:hAnsi="Arial" w:cs="Arial"/>
          <w:sz w:val="19"/>
          <w:szCs w:val="19"/>
        </w:rPr>
        <w:t xml:space="preserve">209. </w:t>
      </w:r>
    </w:p>
  </w:footnote>
  <w:footnote w:id="13">
    <w:p w14:paraId="072EE7D7" w14:textId="77777777" w:rsidR="00B540D4" w:rsidRPr="00403548" w:rsidRDefault="00B540D4" w:rsidP="00EC7FDD">
      <w:pPr>
        <w:ind w:firstLine="709"/>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r w:rsidRPr="00403548">
        <w:rPr>
          <w:rFonts w:ascii="Arial" w:hAnsi="Arial" w:cs="Arial"/>
          <w:sz w:val="19"/>
          <w:szCs w:val="19"/>
        </w:rPr>
        <w:t>y en consecuencia, le es aplicable lo establecido en el artículo 2.2.1.2.1.4.1 del presente decreto.</w:t>
      </w:r>
    </w:p>
    <w:p w14:paraId="416772CE" w14:textId="12BA6035" w:rsidR="00B540D4" w:rsidRPr="00403548" w:rsidRDefault="00B540D4" w:rsidP="00EC7FDD">
      <w:pPr>
        <w:ind w:firstLine="709"/>
        <w:contextualSpacing/>
        <w:jc w:val="both"/>
        <w:rPr>
          <w:rFonts w:ascii="Arial" w:hAnsi="Arial" w:cs="Arial"/>
          <w:sz w:val="19"/>
          <w:szCs w:val="19"/>
        </w:rPr>
      </w:pPr>
      <w:r w:rsidRPr="00403548">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03548">
        <w:rPr>
          <w:rFonts w:ascii="Arial" w:hAnsi="Arial" w:cs="Arial"/>
          <w:spacing w:val="-1"/>
          <w:sz w:val="19"/>
          <w:szCs w:val="19"/>
        </w:rPr>
        <w:t xml:space="preserve"> </w:t>
      </w:r>
      <w:r w:rsidRPr="00403548">
        <w:rPr>
          <w:rFonts w:ascii="Arial" w:hAnsi="Arial" w:cs="Arial"/>
          <w:sz w:val="19"/>
          <w:szCs w:val="19"/>
        </w:rPr>
        <w:t>Estatales».</w:t>
      </w:r>
    </w:p>
  </w:footnote>
  <w:footnote w:id="14">
    <w:p w14:paraId="38AC0D8C" w14:textId="77777777" w:rsidR="00B540D4" w:rsidRPr="00403548" w:rsidRDefault="00B540D4" w:rsidP="00EC7FDD">
      <w:pPr>
        <w:ind w:firstLine="709"/>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03548">
        <w:rPr>
          <w:rFonts w:ascii="Arial" w:hAnsi="Arial" w:cs="Arial"/>
          <w:spacing w:val="-6"/>
          <w:sz w:val="19"/>
          <w:szCs w:val="19"/>
        </w:rPr>
        <w:t xml:space="preserve"> </w:t>
      </w:r>
      <w:r w:rsidRPr="00403548">
        <w:rPr>
          <w:rFonts w:ascii="Arial" w:hAnsi="Arial" w:cs="Arial"/>
          <w:sz w:val="19"/>
          <w:szCs w:val="19"/>
        </w:rPr>
        <w:t>artículo».</w:t>
      </w:r>
    </w:p>
    <w:p w14:paraId="3B907CFD" w14:textId="77777777" w:rsidR="00B540D4" w:rsidRPr="00403548" w:rsidRDefault="00B540D4" w:rsidP="00EC7FDD">
      <w:pPr>
        <w:pStyle w:val="Textonotapie"/>
        <w:contextualSpacing/>
        <w:jc w:val="both"/>
        <w:rPr>
          <w:rFonts w:ascii="Arial" w:hAnsi="Arial" w:cs="Arial"/>
          <w:sz w:val="19"/>
          <w:szCs w:val="19"/>
        </w:rPr>
      </w:pPr>
    </w:p>
  </w:footnote>
  <w:footnote w:id="15">
    <w:p w14:paraId="3117DA8A" w14:textId="77777777" w:rsidR="00B540D4" w:rsidRPr="00403548" w:rsidRDefault="00B540D4" w:rsidP="00EC7FDD">
      <w:pPr>
        <w:pStyle w:val="Textonotapie"/>
        <w:ind w:firstLine="708"/>
        <w:jc w:val="both"/>
        <w:rPr>
          <w:sz w:val="19"/>
          <w:szCs w:val="19"/>
        </w:rPr>
      </w:pPr>
      <w:r w:rsidRPr="00403548">
        <w:rPr>
          <w:rStyle w:val="Refdenotaalpie"/>
          <w:sz w:val="19"/>
          <w:szCs w:val="19"/>
        </w:rPr>
        <w:footnoteRef/>
      </w:r>
      <w:r w:rsidRPr="00403548">
        <w:rPr>
          <w:sz w:val="19"/>
          <w:szCs w:val="19"/>
        </w:rPr>
        <w:t xml:space="preserve"> </w:t>
      </w:r>
      <w:r w:rsidRPr="00403548">
        <w:rPr>
          <w:rFonts w:ascii="Arial" w:hAnsi="Arial" w:cs="Arial"/>
          <w:sz w:val="19"/>
          <w:szCs w:val="19"/>
        </w:rPr>
        <w:t>Consejo de Estado. Sección Tercera. Sentencia del 23 de junio de 2010. Radicación No. 66001-23-31-000-1998-00261-01(17.860). Consejero Ponente: Mauricio Fajardo Gómez.</w:t>
      </w:r>
    </w:p>
  </w:footnote>
  <w:footnote w:id="16">
    <w:p w14:paraId="7B27B7CC" w14:textId="77777777" w:rsidR="00B540D4" w:rsidRPr="00403548" w:rsidRDefault="00B540D4" w:rsidP="00EC7FDD">
      <w:pPr>
        <w:ind w:firstLine="709"/>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03548">
        <w:rPr>
          <w:rFonts w:ascii="Arial" w:hAnsi="Arial" w:cs="Arial"/>
          <w:spacing w:val="-6"/>
          <w:sz w:val="19"/>
          <w:szCs w:val="19"/>
        </w:rPr>
        <w:t xml:space="preserve"> </w:t>
      </w:r>
      <w:r w:rsidRPr="00403548">
        <w:rPr>
          <w:rFonts w:ascii="Arial" w:hAnsi="Arial" w:cs="Arial"/>
          <w:sz w:val="19"/>
          <w:szCs w:val="19"/>
        </w:rPr>
        <w:t>artículo</w:t>
      </w:r>
    </w:p>
    <w:p w14:paraId="7C1F679F" w14:textId="29495F75" w:rsidR="00B540D4" w:rsidRPr="00403548" w:rsidRDefault="00B540D4" w:rsidP="0054211B">
      <w:pPr>
        <w:ind w:firstLine="708"/>
        <w:contextualSpacing/>
        <w:jc w:val="both"/>
        <w:rPr>
          <w:rFonts w:ascii="Arial" w:hAnsi="Arial" w:cs="Arial"/>
          <w:sz w:val="19"/>
          <w:szCs w:val="19"/>
        </w:rPr>
      </w:pPr>
      <w:r w:rsidRPr="00403548">
        <w:rPr>
          <w:rFonts w:ascii="Arial" w:hAnsi="Arial" w:cs="Arial"/>
          <w:sz w:val="19"/>
          <w:szCs w:val="19"/>
        </w:rPr>
        <w:t>»[...]».</w:t>
      </w:r>
    </w:p>
  </w:footnote>
  <w:footnote w:id="17">
    <w:p w14:paraId="6944562C" w14:textId="370D718C" w:rsidR="00B540D4" w:rsidRPr="00403548" w:rsidRDefault="00B540D4" w:rsidP="00EC7FDD">
      <w:pPr>
        <w:ind w:firstLine="709"/>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Sección Tercera. Subsección C. Sentencia del 11 de diciembre de 2019. </w:t>
      </w:r>
      <w:proofErr w:type="spellStart"/>
      <w:r w:rsidRPr="00403548">
        <w:rPr>
          <w:rFonts w:ascii="Arial" w:hAnsi="Arial" w:cs="Arial"/>
          <w:sz w:val="19"/>
          <w:szCs w:val="19"/>
        </w:rPr>
        <w:t>Exp</w:t>
      </w:r>
      <w:proofErr w:type="spellEnd"/>
      <w:r w:rsidRPr="00403548">
        <w:rPr>
          <w:rFonts w:ascii="Arial" w:hAnsi="Arial" w:cs="Arial"/>
          <w:sz w:val="19"/>
          <w:szCs w:val="19"/>
        </w:rPr>
        <w:t>. 46.986. C.P. Jaime Enrique Rodríguez Navas.</w:t>
      </w:r>
    </w:p>
  </w:footnote>
  <w:footnote w:id="18">
    <w:p w14:paraId="19729474" w14:textId="6F9DACC2" w:rsidR="00B540D4" w:rsidRPr="00403548" w:rsidRDefault="00B540D4" w:rsidP="00EC7FDD">
      <w:pPr>
        <w:pStyle w:val="Textonotapie"/>
        <w:ind w:firstLine="708"/>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[Referencia propia de la cita] «CE. SCSC. Concepto de 1 de noviembre de 2016 [Rad. 11001-03-06-000-2016-00125-00(2305)]. MP. Germán Alberto Bula Escobar».</w:t>
      </w:r>
    </w:p>
  </w:footnote>
  <w:footnote w:id="19">
    <w:p w14:paraId="5BB5F20B" w14:textId="77777777" w:rsidR="00B540D4" w:rsidRPr="00403548" w:rsidRDefault="00B540D4" w:rsidP="00EC7FDD">
      <w:pPr>
        <w:pStyle w:val="Textonotapie"/>
        <w:ind w:firstLine="708"/>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03548">
        <w:rPr>
          <w:rFonts w:ascii="Arial" w:hAnsi="Arial" w:cs="Arial"/>
          <w:i/>
          <w:sz w:val="19"/>
          <w:szCs w:val="19"/>
        </w:rPr>
        <w:t>“obligacional”</w:t>
      </w:r>
      <w:r w:rsidRPr="00403548">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0">
    <w:p w14:paraId="79D2E848" w14:textId="1BD48FD8" w:rsidR="00B540D4" w:rsidRPr="00403548" w:rsidRDefault="00B540D4" w:rsidP="00EC7FDD">
      <w:pPr>
        <w:pStyle w:val="Textonotapie"/>
        <w:ind w:firstLine="708"/>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[Referencia propia de la cita] «La normativa vigente del EGCAP </w:t>
      </w:r>
      <w:r w:rsidRPr="00403548">
        <w:rPr>
          <w:rFonts w:ascii="Arial" w:hAnsi="Arial" w:cs="Arial"/>
          <w:i/>
          <w:sz w:val="19"/>
          <w:szCs w:val="19"/>
        </w:rPr>
        <w:t>[literal c) del numeral 4. del artículo 2 de la Ley 1150/07]</w:t>
      </w:r>
      <w:r w:rsidRPr="00403548">
        <w:rPr>
          <w:rFonts w:ascii="Arial" w:hAnsi="Arial" w:cs="Arial"/>
          <w:sz w:val="19"/>
          <w:szCs w:val="19"/>
        </w:rPr>
        <w:t xml:space="preserve"> se refiere a </w:t>
      </w:r>
      <w:r w:rsidRPr="00403548">
        <w:rPr>
          <w:rFonts w:ascii="Arial" w:hAnsi="Arial" w:cs="Arial"/>
          <w:i/>
          <w:sz w:val="19"/>
          <w:szCs w:val="19"/>
        </w:rPr>
        <w:t>“contratos interadministrativos”</w:t>
      </w:r>
      <w:r w:rsidRPr="00403548">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1">
    <w:p w14:paraId="6DEEACED" w14:textId="054D4B6F" w:rsidR="00B540D4" w:rsidRPr="00403548" w:rsidRDefault="00B540D4" w:rsidP="00EC7FDD">
      <w:pPr>
        <w:pStyle w:val="Textonotapie"/>
        <w:ind w:firstLine="708"/>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03548">
        <w:rPr>
          <w:rFonts w:ascii="Arial" w:hAnsi="Arial" w:cs="Arial"/>
          <w:sz w:val="19"/>
          <w:szCs w:val="19"/>
        </w:rPr>
        <w:t>Exp</w:t>
      </w:r>
      <w:proofErr w:type="spellEnd"/>
      <w:r w:rsidRPr="00403548">
        <w:rPr>
          <w:rFonts w:ascii="Arial" w:hAnsi="Arial" w:cs="Arial"/>
          <w:sz w:val="19"/>
          <w:szCs w:val="19"/>
        </w:rPr>
        <w:t xml:space="preserve">. 2.257. M.P. Álvaro </w:t>
      </w:r>
      <w:proofErr w:type="spellStart"/>
      <w:r w:rsidRPr="00403548">
        <w:rPr>
          <w:rFonts w:ascii="Arial" w:hAnsi="Arial" w:cs="Arial"/>
          <w:sz w:val="19"/>
          <w:szCs w:val="19"/>
        </w:rPr>
        <w:t>Namén</w:t>
      </w:r>
      <w:proofErr w:type="spellEnd"/>
      <w:r w:rsidRPr="00403548">
        <w:rPr>
          <w:rFonts w:ascii="Arial" w:hAnsi="Arial" w:cs="Arial"/>
          <w:sz w:val="19"/>
          <w:szCs w:val="19"/>
        </w:rPr>
        <w:t xml:space="preserve"> Vargas)</w:t>
      </w:r>
    </w:p>
  </w:footnote>
  <w:footnote w:id="22">
    <w:p w14:paraId="067B1547" w14:textId="379D4270" w:rsidR="00B540D4" w:rsidRPr="00403548" w:rsidRDefault="00B540D4" w:rsidP="00EC7FDD">
      <w:pPr>
        <w:pStyle w:val="Textonotapie"/>
        <w:ind w:firstLine="708"/>
        <w:contextualSpacing/>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Es lo que sucede, por ejemplo, con el Decreto 092 de 2017, que en su desarrollo hace referencia tanto a los «contratos» como a los «convenios». </w:t>
      </w:r>
    </w:p>
  </w:footnote>
  <w:footnote w:id="23">
    <w:p w14:paraId="3AEBE5B0" w14:textId="77777777" w:rsidR="00B540D4" w:rsidRPr="00403548" w:rsidRDefault="00B540D4" w:rsidP="00EC7FDD">
      <w:pPr>
        <w:pStyle w:val="Textonotapie"/>
        <w:ind w:firstLine="708"/>
        <w:contextualSpacing/>
        <w:jc w:val="both"/>
        <w:rPr>
          <w:rFonts w:ascii="Arial" w:hAnsi="Arial" w:cs="Arial"/>
          <w:sz w:val="19"/>
          <w:szCs w:val="19"/>
          <w:lang w:val="es-CO"/>
        </w:rPr>
      </w:pPr>
      <w:r w:rsidRPr="00403548">
        <w:rPr>
          <w:rStyle w:val="Refdenotaalpie"/>
          <w:rFonts w:ascii="Arial" w:hAnsi="Arial" w:cs="Arial"/>
          <w:sz w:val="19"/>
          <w:szCs w:val="19"/>
        </w:rPr>
        <w:footnoteRef/>
      </w:r>
      <w:r w:rsidRPr="00403548">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4">
    <w:p w14:paraId="2B60BD5A" w14:textId="77777777" w:rsidR="00646880" w:rsidRPr="00403548" w:rsidRDefault="00646880" w:rsidP="00EC7FDD">
      <w:pPr>
        <w:pStyle w:val="Textonotapie"/>
        <w:ind w:right="51" w:firstLine="709"/>
        <w:jc w:val="both"/>
        <w:rPr>
          <w:rFonts w:ascii="Arial" w:eastAsia="Calibri"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w:t>
      </w:r>
      <w:bookmarkStart w:id="24" w:name="_Hlk74272731"/>
      <w:r w:rsidRPr="00403548">
        <w:rPr>
          <w:rFonts w:ascii="Arial" w:hAnsi="Arial" w:cs="Arial"/>
          <w:sz w:val="19"/>
          <w:szCs w:val="19"/>
        </w:rPr>
        <w:t>«</w:t>
      </w:r>
      <w:bookmarkEnd w:id="24"/>
      <w:r w:rsidRPr="00403548">
        <w:rPr>
          <w:rFonts w:ascii="Arial" w:hAnsi="Arial" w:cs="Arial"/>
          <w:sz w:val="19"/>
          <w:szCs w:val="19"/>
          <w:lang w:val="es-ES"/>
        </w:rPr>
        <w:t xml:space="preserve">[25] </w:t>
      </w:r>
      <w:r w:rsidRPr="00403548">
        <w:rPr>
          <w:rFonts w:ascii="Arial" w:hAnsi="Arial" w:cs="Arial"/>
          <w:sz w:val="19"/>
          <w:szCs w:val="19"/>
        </w:rPr>
        <w:t>Cfr. Consejo de Estado. Sección Tercera. Sentencia de 3 de diciembre de 2007. Radicados: 24.715, 25.206, 25.409, 24.524, 27.834, 25.410, 26.105, 28.244, 31.447 -acumulados-</w:t>
      </w:r>
      <w:bookmarkStart w:id="25" w:name="_Hlk74271358"/>
      <w:r w:rsidRPr="00403548">
        <w:rPr>
          <w:rFonts w:ascii="Arial" w:hAnsi="Arial" w:cs="Arial"/>
          <w:sz w:val="19"/>
          <w:szCs w:val="19"/>
        </w:rPr>
        <w:t>»</w:t>
      </w:r>
      <w:bookmarkEnd w:id="25"/>
      <w:r w:rsidRPr="00403548">
        <w:rPr>
          <w:rFonts w:ascii="Arial" w:hAnsi="Arial" w:cs="Arial"/>
          <w:sz w:val="19"/>
          <w:szCs w:val="19"/>
        </w:rPr>
        <w:t>.</w:t>
      </w:r>
    </w:p>
  </w:footnote>
  <w:footnote w:id="25">
    <w:p w14:paraId="394CEB61" w14:textId="77777777" w:rsidR="00646880" w:rsidRPr="00403548" w:rsidRDefault="00646880" w:rsidP="00EC7FDD">
      <w:pPr>
        <w:pStyle w:val="Textonotapie"/>
        <w:ind w:right="51"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w:t>
      </w:r>
      <w:bookmarkStart w:id="27" w:name="_Hlk74294506"/>
      <w:r w:rsidRPr="00403548">
        <w:rPr>
          <w:rFonts w:ascii="Arial" w:hAnsi="Arial" w:cs="Arial"/>
          <w:sz w:val="19"/>
          <w:szCs w:val="19"/>
        </w:rPr>
        <w:t>«</w:t>
      </w:r>
      <w:r w:rsidRPr="00403548">
        <w:rPr>
          <w:rFonts w:ascii="Arial" w:hAnsi="Arial" w:cs="Arial"/>
          <w:sz w:val="19"/>
          <w:szCs w:val="19"/>
          <w:lang w:val="es-ES"/>
        </w:rPr>
        <w:t xml:space="preserve">[26] </w:t>
      </w:r>
      <w:bookmarkEnd w:id="27"/>
      <w:r w:rsidRPr="00403548">
        <w:rPr>
          <w:rFonts w:ascii="Arial" w:hAnsi="Arial" w:cs="Arial"/>
          <w:sz w:val="19"/>
          <w:szCs w:val="19"/>
        </w:rPr>
        <w:t>Al respecto ver el concepto 1712 de 2 de febrero de 2006. Consejo de Estado Sala de Consulta y Servicio Civil».</w:t>
      </w:r>
    </w:p>
  </w:footnote>
  <w:footnote w:id="26">
    <w:p w14:paraId="56EECABB" w14:textId="77777777" w:rsidR="00646880" w:rsidRPr="00403548" w:rsidRDefault="00646880"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403548">
        <w:rPr>
          <w:rFonts w:ascii="Arial" w:hAnsi="Arial" w:cs="Arial"/>
          <w:sz w:val="19"/>
          <w:szCs w:val="19"/>
        </w:rPr>
        <w:t>Namén</w:t>
      </w:r>
      <w:proofErr w:type="spellEnd"/>
      <w:r w:rsidRPr="00403548">
        <w:rPr>
          <w:rFonts w:ascii="Arial" w:hAnsi="Arial" w:cs="Arial"/>
          <w:sz w:val="19"/>
          <w:szCs w:val="19"/>
        </w:rPr>
        <w:t xml:space="preserve"> Vargas.</w:t>
      </w:r>
    </w:p>
  </w:footnote>
  <w:footnote w:id="27">
    <w:p w14:paraId="21E44C0A" w14:textId="77777777" w:rsidR="00646880" w:rsidRPr="00403548" w:rsidRDefault="00646880" w:rsidP="00EC7FD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Fonts w:ascii="Arial" w:hAnsi="Arial" w:cs="Arial"/>
          <w:sz w:val="19"/>
          <w:szCs w:val="19"/>
        </w:rPr>
        <w:t xml:space="preserve"> </w:t>
      </w:r>
      <w:r w:rsidRPr="00403548">
        <w:rPr>
          <w:rFonts w:ascii="Arial" w:hAnsi="Arial" w:cs="Arial"/>
          <w:sz w:val="19"/>
          <w:szCs w:val="19"/>
          <w:lang w:val="es-ES"/>
        </w:rPr>
        <w:t xml:space="preserve">Artículo 2. </w:t>
      </w:r>
    </w:p>
  </w:footnote>
  <w:footnote w:id="28">
    <w:p w14:paraId="4E45E8E2" w14:textId="77777777" w:rsidR="00646880" w:rsidRPr="00403548" w:rsidRDefault="00646880" w:rsidP="00EC7FD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Fonts w:ascii="Arial" w:hAnsi="Arial" w:cs="Arial"/>
          <w:sz w:val="19"/>
          <w:szCs w:val="19"/>
        </w:rPr>
        <w:t xml:space="preserve"> </w:t>
      </w:r>
      <w:r w:rsidRPr="00403548">
        <w:rPr>
          <w:rFonts w:ascii="Arial" w:hAnsi="Arial" w:cs="Arial"/>
          <w:i/>
          <w:sz w:val="19"/>
          <w:szCs w:val="19"/>
          <w:lang w:val="es-ES"/>
        </w:rPr>
        <w:t>Ídem</w:t>
      </w:r>
      <w:r w:rsidRPr="00403548">
        <w:rPr>
          <w:rFonts w:ascii="Arial" w:hAnsi="Arial" w:cs="Arial"/>
          <w:sz w:val="19"/>
          <w:szCs w:val="19"/>
          <w:lang w:val="es-ES"/>
        </w:rPr>
        <w:t>.</w:t>
      </w:r>
    </w:p>
  </w:footnote>
  <w:footnote w:id="29">
    <w:p w14:paraId="6B040A5A" w14:textId="77777777" w:rsidR="00646880" w:rsidRPr="00403548" w:rsidRDefault="00646880" w:rsidP="00EC7FD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Style w:val="Refdenotaalpie"/>
          <w:rFonts w:ascii="Arial" w:hAnsi="Arial" w:cs="Arial"/>
          <w:sz w:val="19"/>
          <w:szCs w:val="19"/>
        </w:rPr>
        <w:t xml:space="preserve"> </w:t>
      </w:r>
      <w:bookmarkStart w:id="31" w:name="_Hlk74297130"/>
      <w:r w:rsidRPr="00403548">
        <w:rPr>
          <w:rFonts w:ascii="Arial" w:hAnsi="Arial" w:cs="Arial"/>
          <w:sz w:val="19"/>
          <w:szCs w:val="19"/>
          <w:lang w:val="es-ES"/>
        </w:rPr>
        <w:t>«</w:t>
      </w:r>
      <w:bookmarkEnd w:id="31"/>
      <w:r w:rsidRPr="00403548">
        <w:rPr>
          <w:rFonts w:ascii="Arial" w:hAnsi="Arial" w:cs="Arial"/>
          <w:sz w:val="19"/>
          <w:szCs w:val="19"/>
          <w:lang w:val="es-ES"/>
        </w:rPr>
        <w:t xml:space="preserve">[…] A este respecto, cabe recordar que el artículo 860 del Código de Comercio regula la licitación en el derecho privado». </w:t>
      </w:r>
    </w:p>
  </w:footnote>
  <w:footnote w:id="30">
    <w:p w14:paraId="150E2040" w14:textId="77777777" w:rsidR="00646880" w:rsidRDefault="00646880" w:rsidP="00EC7FDD">
      <w:pPr>
        <w:shd w:val="clear" w:color="auto" w:fill="FFFFFF"/>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Style w:val="Refdenotaalpie"/>
          <w:rFonts w:ascii="Arial" w:hAnsi="Arial" w:cs="Arial"/>
          <w:sz w:val="19"/>
          <w:szCs w:val="19"/>
        </w:rPr>
        <w:t xml:space="preserve"> </w:t>
      </w:r>
      <w:r w:rsidRPr="00403548">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03548">
        <w:rPr>
          <w:rFonts w:ascii="Arial" w:hAnsi="Arial" w:cs="Arial"/>
          <w:sz w:val="19"/>
          <w:szCs w:val="19"/>
          <w:lang w:val="es-ES"/>
        </w:rPr>
        <w:t>Namén</w:t>
      </w:r>
      <w:proofErr w:type="spellEnd"/>
      <w:r w:rsidRPr="00403548">
        <w:rPr>
          <w:rFonts w:ascii="Arial" w:hAnsi="Arial" w:cs="Arial"/>
          <w:sz w:val="19"/>
          <w:szCs w:val="19"/>
          <w:lang w:val="es-ES"/>
        </w:rPr>
        <w:t xml:space="preserve"> Vargas.</w:t>
      </w:r>
    </w:p>
    <w:p w14:paraId="02C764F9" w14:textId="77777777" w:rsidR="005B56AA" w:rsidRPr="00403548" w:rsidRDefault="005B56AA" w:rsidP="00EC7FDD">
      <w:pPr>
        <w:shd w:val="clear" w:color="auto" w:fill="FFFFFF"/>
        <w:ind w:firstLine="709"/>
        <w:jc w:val="both"/>
        <w:rPr>
          <w:rFonts w:ascii="Arial" w:hAnsi="Arial" w:cs="Arial"/>
          <w:sz w:val="19"/>
          <w:szCs w:val="19"/>
          <w:lang w:val="es-ES"/>
        </w:rPr>
      </w:pPr>
    </w:p>
  </w:footnote>
  <w:footnote w:id="31">
    <w:p w14:paraId="59F7ECF9" w14:textId="77777777" w:rsidR="00646880" w:rsidRPr="00403548" w:rsidRDefault="00646880"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Concepto del 08 de mayo de 2018. </w:t>
      </w:r>
      <w:proofErr w:type="spellStart"/>
      <w:r w:rsidRPr="00403548">
        <w:rPr>
          <w:rFonts w:ascii="Arial" w:hAnsi="Arial" w:cs="Arial"/>
          <w:sz w:val="19"/>
          <w:szCs w:val="19"/>
        </w:rPr>
        <w:t>Exp</w:t>
      </w:r>
      <w:proofErr w:type="spellEnd"/>
      <w:r w:rsidRPr="00403548">
        <w:rPr>
          <w:rFonts w:ascii="Arial" w:hAnsi="Arial" w:cs="Arial"/>
          <w:sz w:val="19"/>
          <w:szCs w:val="19"/>
        </w:rPr>
        <w:t xml:space="preserve">. 2.382. C.P. Álvaro </w:t>
      </w:r>
      <w:proofErr w:type="spellStart"/>
      <w:r w:rsidRPr="00403548">
        <w:rPr>
          <w:rFonts w:ascii="Arial" w:hAnsi="Arial" w:cs="Arial"/>
          <w:sz w:val="19"/>
          <w:szCs w:val="19"/>
        </w:rPr>
        <w:t>Namén</w:t>
      </w:r>
      <w:proofErr w:type="spellEnd"/>
      <w:r w:rsidRPr="00403548">
        <w:rPr>
          <w:rFonts w:ascii="Arial" w:hAnsi="Arial" w:cs="Arial"/>
          <w:sz w:val="19"/>
          <w:szCs w:val="19"/>
        </w:rPr>
        <w:t xml:space="preserve"> Vargas.</w:t>
      </w:r>
    </w:p>
  </w:footnote>
  <w:footnote w:id="32">
    <w:p w14:paraId="3D523761" w14:textId="05D122A8" w:rsidR="002B0BE3" w:rsidRPr="00403548" w:rsidRDefault="00646880" w:rsidP="00EC7FDD">
      <w:pPr>
        <w:pStyle w:val="Textonotapie"/>
        <w:ind w:firstLine="708"/>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COLOMBIA COMPRA EFICIENTE. Circular Externa Única. Numeral 15.3.</w:t>
      </w:r>
    </w:p>
  </w:footnote>
  <w:footnote w:id="33">
    <w:p w14:paraId="30CD93A2" w14:textId="77777777" w:rsidR="00646880" w:rsidRPr="00403548" w:rsidRDefault="00646880" w:rsidP="00EC7FD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03548">
        <w:rPr>
          <w:rFonts w:ascii="Arial" w:hAnsi="Arial" w:cs="Arial"/>
          <w:sz w:val="19"/>
          <w:szCs w:val="19"/>
        </w:rPr>
        <w:t>N°</w:t>
      </w:r>
      <w:proofErr w:type="spellEnd"/>
      <w:r w:rsidRPr="00403548">
        <w:rPr>
          <w:rFonts w:ascii="Arial" w:hAnsi="Arial" w:cs="Arial"/>
          <w:sz w:val="19"/>
          <w:szCs w:val="19"/>
        </w:rPr>
        <w:t xml:space="preserve"> 216/05 Senado, </w:t>
      </w:r>
      <w:proofErr w:type="spellStart"/>
      <w:r w:rsidRPr="00403548">
        <w:rPr>
          <w:rFonts w:ascii="Arial" w:hAnsi="Arial" w:cs="Arial"/>
          <w:sz w:val="19"/>
          <w:szCs w:val="19"/>
        </w:rPr>
        <w:t>N°</w:t>
      </w:r>
      <w:proofErr w:type="spellEnd"/>
      <w:r w:rsidRPr="00403548">
        <w:rPr>
          <w:rFonts w:ascii="Arial" w:hAnsi="Arial" w:cs="Arial"/>
          <w:sz w:val="19"/>
          <w:szCs w:val="19"/>
        </w:rPr>
        <w:t xml:space="preserve"> 235-Cámara que dio lugar a la Ley de Garantías Electorales.</w:t>
      </w:r>
    </w:p>
  </w:footnote>
  <w:footnote w:id="34">
    <w:p w14:paraId="10A95379" w14:textId="47DECD4E"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footnote>
  <w:footnote w:id="35">
    <w:p w14:paraId="4AF413A9" w14:textId="77777777"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BD8ED21" w14:textId="4DCAF610" w:rsidR="00F441BB" w:rsidRPr="00403548" w:rsidRDefault="00F441BB" w:rsidP="00EC7FDD">
      <w:pPr>
        <w:pStyle w:val="Textonotapie"/>
        <w:ind w:firstLine="708"/>
        <w:jc w:val="both"/>
        <w:rPr>
          <w:rFonts w:ascii="Arial" w:hAnsi="Arial" w:cs="Arial"/>
          <w:color w:val="000000" w:themeColor="text1"/>
          <w:sz w:val="19"/>
          <w:szCs w:val="19"/>
        </w:rPr>
      </w:pPr>
      <w:r w:rsidRPr="00403548">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6">
    <w:p w14:paraId="303ADAB5" w14:textId="600C9C10"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7">
    <w:p w14:paraId="5F8C8EF7" w14:textId="1372C850"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Concepto del 3 de septiembre de 2019, emitido en el radicado No. 2201913000006512.</w:t>
      </w:r>
    </w:p>
  </w:footnote>
  <w:footnote w:id="38">
    <w:p w14:paraId="2E5589AD" w14:textId="77777777"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El numeral 16.9 de la Circular Externa Única de Colombia Compra Eficiente determina:</w:t>
      </w:r>
    </w:p>
    <w:p w14:paraId="228F7390" w14:textId="77777777" w:rsidR="00F441BB" w:rsidRPr="00403548" w:rsidRDefault="00F441BB" w:rsidP="00EC7FDD">
      <w:pPr>
        <w:pStyle w:val="Textonotapie"/>
        <w:ind w:firstLine="708"/>
        <w:jc w:val="both"/>
        <w:rPr>
          <w:rFonts w:ascii="Arial" w:hAnsi="Arial" w:cs="Arial"/>
          <w:color w:val="000000" w:themeColor="text1"/>
          <w:sz w:val="19"/>
          <w:szCs w:val="19"/>
        </w:rPr>
      </w:pPr>
      <w:r w:rsidRPr="00403548">
        <w:rPr>
          <w:rFonts w:ascii="Arial" w:hAnsi="Arial" w:cs="Arial"/>
          <w:color w:val="000000" w:themeColor="text1"/>
          <w:sz w:val="19"/>
          <w:szCs w:val="19"/>
        </w:rPr>
        <w:t>«16.9 Uniones temporales y consorcios conformados por entidades sin ánimo de lucro.</w:t>
      </w:r>
    </w:p>
    <w:p w14:paraId="6668F944" w14:textId="39430DAC" w:rsidR="00F441BB" w:rsidRPr="00403548" w:rsidRDefault="00F441BB" w:rsidP="00EC7FDD">
      <w:pPr>
        <w:pStyle w:val="Textonotapie"/>
        <w:ind w:firstLine="708"/>
        <w:jc w:val="both"/>
        <w:rPr>
          <w:rFonts w:ascii="Arial" w:hAnsi="Arial" w:cs="Arial"/>
          <w:color w:val="000000" w:themeColor="text1"/>
          <w:sz w:val="19"/>
          <w:szCs w:val="19"/>
        </w:rPr>
      </w:pPr>
      <w:proofErr w:type="gramStart"/>
      <w:r w:rsidRPr="00403548">
        <w:rPr>
          <w:rFonts w:ascii="Arial" w:hAnsi="Arial" w:cs="Arial"/>
          <w:color w:val="000000" w:themeColor="text1"/>
          <w:sz w:val="19"/>
          <w:szCs w:val="19"/>
        </w:rPr>
        <w:t>»El</w:t>
      </w:r>
      <w:proofErr w:type="gramEnd"/>
      <w:r w:rsidRPr="00403548">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39">
    <w:p w14:paraId="642F94D2" w14:textId="77777777" w:rsidR="00F441BB" w:rsidRPr="00403548" w:rsidRDefault="00F441BB" w:rsidP="00EC7FDD">
      <w:pPr>
        <w:pStyle w:val="Textonotapie"/>
        <w:ind w:firstLine="708"/>
        <w:jc w:val="both"/>
        <w:rPr>
          <w:rFonts w:ascii="Arial" w:hAnsi="Arial" w:cs="Arial"/>
          <w:color w:val="000000" w:themeColor="text1"/>
          <w:sz w:val="19"/>
          <w:szCs w:val="19"/>
          <w:lang w:val="es-ES"/>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Concepto del 19 de noviembre de 2019, emitido en el radicado No. 2201913000008611.</w:t>
      </w:r>
    </w:p>
  </w:footnote>
  <w:footnote w:id="40">
    <w:p w14:paraId="461BC8F5" w14:textId="2F0126D8"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41">
    <w:p w14:paraId="32F94AE7" w14:textId="77777777" w:rsidR="00F441BB" w:rsidRPr="00403548" w:rsidRDefault="00F441BB" w:rsidP="00EC7FDD">
      <w:pPr>
        <w:pStyle w:val="Textonotapie"/>
        <w:ind w:firstLine="708"/>
        <w:jc w:val="both"/>
        <w:rPr>
          <w:rFonts w:ascii="Arial" w:hAnsi="Arial" w:cs="Arial"/>
          <w:color w:val="000000" w:themeColor="text1"/>
          <w:sz w:val="19"/>
          <w:szCs w:val="19"/>
        </w:rPr>
      </w:pPr>
      <w:r w:rsidRPr="00403548">
        <w:rPr>
          <w:rStyle w:val="Refdenotaalpie"/>
          <w:rFonts w:ascii="Arial" w:hAnsi="Arial" w:cs="Arial"/>
          <w:color w:val="000000" w:themeColor="text1"/>
          <w:sz w:val="19"/>
          <w:szCs w:val="19"/>
        </w:rPr>
        <w:footnoteRef/>
      </w:r>
      <w:r w:rsidRPr="00403548">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0BB48FA" w14:textId="77777777" w:rsidR="00F441BB" w:rsidRPr="00522B4D" w:rsidRDefault="00F441BB" w:rsidP="00F441BB">
      <w:pPr>
        <w:pStyle w:val="Textonotapie"/>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
  </w:num>
  <w:num w:numId="20">
    <w:abstractNumId w:val="25"/>
  </w:num>
  <w:num w:numId="21">
    <w:abstractNumId w:val="17"/>
  </w:num>
  <w:num w:numId="22">
    <w:abstractNumId w:val="6"/>
  </w:num>
  <w:num w:numId="23">
    <w:abstractNumId w:val="5"/>
  </w:num>
  <w:num w:numId="24">
    <w:abstractNumId w:val="23"/>
  </w:num>
  <w:num w:numId="25">
    <w:abstractNumId w:val="19"/>
  </w:num>
  <w:num w:numId="26">
    <w:abstractNumId w:val="3"/>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28"/>
    <w:rsid w:val="0002797C"/>
    <w:rsid w:val="00031364"/>
    <w:rsid w:val="000315E1"/>
    <w:rsid w:val="00031BC1"/>
    <w:rsid w:val="0003236E"/>
    <w:rsid w:val="00032BB3"/>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40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158"/>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04"/>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3224"/>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CE3"/>
    <w:rsid w:val="000C4F49"/>
    <w:rsid w:val="000C5861"/>
    <w:rsid w:val="000C5BDE"/>
    <w:rsid w:val="000C6076"/>
    <w:rsid w:val="000C639D"/>
    <w:rsid w:val="000C6C31"/>
    <w:rsid w:val="000C6DBC"/>
    <w:rsid w:val="000C6F79"/>
    <w:rsid w:val="000C7476"/>
    <w:rsid w:val="000C7480"/>
    <w:rsid w:val="000C7711"/>
    <w:rsid w:val="000C7AA2"/>
    <w:rsid w:val="000C7CC5"/>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3F4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461D"/>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1D96"/>
    <w:rsid w:val="00172020"/>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F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97E"/>
    <w:rsid w:val="001A7B06"/>
    <w:rsid w:val="001A7C04"/>
    <w:rsid w:val="001B0366"/>
    <w:rsid w:val="001B0444"/>
    <w:rsid w:val="001B096B"/>
    <w:rsid w:val="001B0F9F"/>
    <w:rsid w:val="001B123C"/>
    <w:rsid w:val="001B143C"/>
    <w:rsid w:val="001B19D8"/>
    <w:rsid w:val="001B1A0D"/>
    <w:rsid w:val="001B1BF1"/>
    <w:rsid w:val="001B2456"/>
    <w:rsid w:val="001B449C"/>
    <w:rsid w:val="001B4AA2"/>
    <w:rsid w:val="001B4ADE"/>
    <w:rsid w:val="001B4EAF"/>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035"/>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8BB"/>
    <w:rsid w:val="001F0A71"/>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59"/>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3DD"/>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6982"/>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83"/>
    <w:rsid w:val="002540D8"/>
    <w:rsid w:val="00254AE9"/>
    <w:rsid w:val="0025540B"/>
    <w:rsid w:val="002554DE"/>
    <w:rsid w:val="00255575"/>
    <w:rsid w:val="00255E11"/>
    <w:rsid w:val="00255EA6"/>
    <w:rsid w:val="00256835"/>
    <w:rsid w:val="002569F0"/>
    <w:rsid w:val="00256A16"/>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49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6A51"/>
    <w:rsid w:val="0027770B"/>
    <w:rsid w:val="00277933"/>
    <w:rsid w:val="00277F8D"/>
    <w:rsid w:val="00277FA7"/>
    <w:rsid w:val="00280046"/>
    <w:rsid w:val="0028008D"/>
    <w:rsid w:val="00280B4F"/>
    <w:rsid w:val="00280F3D"/>
    <w:rsid w:val="0028106A"/>
    <w:rsid w:val="002815C0"/>
    <w:rsid w:val="0028174D"/>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3EC0"/>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0BE3"/>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15D"/>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80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E0C"/>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5FD"/>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37F50"/>
    <w:rsid w:val="00340D3F"/>
    <w:rsid w:val="0034174B"/>
    <w:rsid w:val="0034177C"/>
    <w:rsid w:val="00341E4D"/>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A25"/>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31A"/>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545"/>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7C6"/>
    <w:rsid w:val="003C287F"/>
    <w:rsid w:val="003C3146"/>
    <w:rsid w:val="003C3251"/>
    <w:rsid w:val="003C3339"/>
    <w:rsid w:val="003C375A"/>
    <w:rsid w:val="003C4317"/>
    <w:rsid w:val="003C442D"/>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548"/>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63"/>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5C7"/>
    <w:rsid w:val="004177A6"/>
    <w:rsid w:val="00417C23"/>
    <w:rsid w:val="00417EFD"/>
    <w:rsid w:val="00417F62"/>
    <w:rsid w:val="004200EE"/>
    <w:rsid w:val="00420478"/>
    <w:rsid w:val="00420786"/>
    <w:rsid w:val="004209D2"/>
    <w:rsid w:val="00420D6E"/>
    <w:rsid w:val="0042158C"/>
    <w:rsid w:val="00421617"/>
    <w:rsid w:val="00421BD2"/>
    <w:rsid w:val="00421E00"/>
    <w:rsid w:val="00421FCB"/>
    <w:rsid w:val="0042244C"/>
    <w:rsid w:val="00422DCA"/>
    <w:rsid w:val="00423CF8"/>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1D0"/>
    <w:rsid w:val="004463DB"/>
    <w:rsid w:val="0044642F"/>
    <w:rsid w:val="0044772C"/>
    <w:rsid w:val="00447C11"/>
    <w:rsid w:val="00450846"/>
    <w:rsid w:val="00451847"/>
    <w:rsid w:val="0045194E"/>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11"/>
    <w:rsid w:val="004721A4"/>
    <w:rsid w:val="0047338A"/>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288"/>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DF7"/>
    <w:rsid w:val="004A0F5B"/>
    <w:rsid w:val="004A16C1"/>
    <w:rsid w:val="004A1CE2"/>
    <w:rsid w:val="004A31BD"/>
    <w:rsid w:val="004A34D2"/>
    <w:rsid w:val="004A4301"/>
    <w:rsid w:val="004A4587"/>
    <w:rsid w:val="004A45E5"/>
    <w:rsid w:val="004A4D93"/>
    <w:rsid w:val="004A58EE"/>
    <w:rsid w:val="004A59B7"/>
    <w:rsid w:val="004A6051"/>
    <w:rsid w:val="004A623B"/>
    <w:rsid w:val="004A64B9"/>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3FFB"/>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4AA"/>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858"/>
    <w:rsid w:val="00535D15"/>
    <w:rsid w:val="00536053"/>
    <w:rsid w:val="005369E6"/>
    <w:rsid w:val="005371AC"/>
    <w:rsid w:val="00537672"/>
    <w:rsid w:val="0053772F"/>
    <w:rsid w:val="00537A70"/>
    <w:rsid w:val="00537B64"/>
    <w:rsid w:val="00537B77"/>
    <w:rsid w:val="00540210"/>
    <w:rsid w:val="00540C4C"/>
    <w:rsid w:val="00541469"/>
    <w:rsid w:val="00541571"/>
    <w:rsid w:val="00541B1F"/>
    <w:rsid w:val="0054211B"/>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1DC"/>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EB8"/>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003"/>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56AA"/>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7E4"/>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2A3"/>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2599"/>
    <w:rsid w:val="00633DBF"/>
    <w:rsid w:val="00634122"/>
    <w:rsid w:val="0063444B"/>
    <w:rsid w:val="00634FC4"/>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880"/>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4C3"/>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AB5"/>
    <w:rsid w:val="00682C89"/>
    <w:rsid w:val="006832B8"/>
    <w:rsid w:val="006837B2"/>
    <w:rsid w:val="00683800"/>
    <w:rsid w:val="00684462"/>
    <w:rsid w:val="00684C0D"/>
    <w:rsid w:val="00684C8A"/>
    <w:rsid w:val="00684CF5"/>
    <w:rsid w:val="006854CF"/>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389"/>
    <w:rsid w:val="00692745"/>
    <w:rsid w:val="00692FCD"/>
    <w:rsid w:val="00692FFA"/>
    <w:rsid w:val="00693772"/>
    <w:rsid w:val="00693984"/>
    <w:rsid w:val="00693B77"/>
    <w:rsid w:val="00694160"/>
    <w:rsid w:val="00694810"/>
    <w:rsid w:val="006959A5"/>
    <w:rsid w:val="00695C0C"/>
    <w:rsid w:val="00696736"/>
    <w:rsid w:val="00696A05"/>
    <w:rsid w:val="00697665"/>
    <w:rsid w:val="006978E1"/>
    <w:rsid w:val="00697C7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67D"/>
    <w:rsid w:val="006A575B"/>
    <w:rsid w:val="006A59DE"/>
    <w:rsid w:val="006A5DEE"/>
    <w:rsid w:val="006A64C6"/>
    <w:rsid w:val="006A6655"/>
    <w:rsid w:val="006A6BF9"/>
    <w:rsid w:val="006A7CB5"/>
    <w:rsid w:val="006A7FD0"/>
    <w:rsid w:val="006B025C"/>
    <w:rsid w:val="006B08ED"/>
    <w:rsid w:val="006B2534"/>
    <w:rsid w:val="006B2552"/>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CD"/>
    <w:rsid w:val="006D04DA"/>
    <w:rsid w:val="006D10F6"/>
    <w:rsid w:val="006D133D"/>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4A0"/>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6FBE"/>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0C8"/>
    <w:rsid w:val="00716119"/>
    <w:rsid w:val="00716630"/>
    <w:rsid w:val="00716CAD"/>
    <w:rsid w:val="00716F18"/>
    <w:rsid w:val="00717363"/>
    <w:rsid w:val="00717786"/>
    <w:rsid w:val="00717ACB"/>
    <w:rsid w:val="00720382"/>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595"/>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45E"/>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29"/>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2461"/>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E42"/>
    <w:rsid w:val="007D7A62"/>
    <w:rsid w:val="007D7B1C"/>
    <w:rsid w:val="007D7CFC"/>
    <w:rsid w:val="007E0812"/>
    <w:rsid w:val="007E18DF"/>
    <w:rsid w:val="007E2C36"/>
    <w:rsid w:val="007E350D"/>
    <w:rsid w:val="007E39C8"/>
    <w:rsid w:val="007E3ACA"/>
    <w:rsid w:val="007E4E65"/>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57"/>
    <w:rsid w:val="008124D8"/>
    <w:rsid w:val="00813A41"/>
    <w:rsid w:val="00813A7B"/>
    <w:rsid w:val="00813F04"/>
    <w:rsid w:val="008146E7"/>
    <w:rsid w:val="0081513E"/>
    <w:rsid w:val="00815DA5"/>
    <w:rsid w:val="00816221"/>
    <w:rsid w:val="0081766B"/>
    <w:rsid w:val="008205AC"/>
    <w:rsid w:val="00820705"/>
    <w:rsid w:val="00820CBF"/>
    <w:rsid w:val="00820D42"/>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2A1B"/>
    <w:rsid w:val="00843615"/>
    <w:rsid w:val="00843698"/>
    <w:rsid w:val="00843A4B"/>
    <w:rsid w:val="00843B57"/>
    <w:rsid w:val="00843B60"/>
    <w:rsid w:val="00843D33"/>
    <w:rsid w:val="008444F0"/>
    <w:rsid w:val="0084466F"/>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5426"/>
    <w:rsid w:val="00856898"/>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5FA"/>
    <w:rsid w:val="008678A3"/>
    <w:rsid w:val="00867C13"/>
    <w:rsid w:val="00867C1D"/>
    <w:rsid w:val="0087033C"/>
    <w:rsid w:val="008715ED"/>
    <w:rsid w:val="008717D8"/>
    <w:rsid w:val="00871E3C"/>
    <w:rsid w:val="00872F97"/>
    <w:rsid w:val="008734A1"/>
    <w:rsid w:val="0087367D"/>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5CDB"/>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9F9"/>
    <w:rsid w:val="008A2A23"/>
    <w:rsid w:val="008A2AF5"/>
    <w:rsid w:val="008A2B5A"/>
    <w:rsid w:val="008A3F9D"/>
    <w:rsid w:val="008A4730"/>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2F98"/>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0D0"/>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54"/>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E96"/>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56D"/>
    <w:rsid w:val="00946A24"/>
    <w:rsid w:val="009470D4"/>
    <w:rsid w:val="0094713D"/>
    <w:rsid w:val="00947337"/>
    <w:rsid w:val="00947E6E"/>
    <w:rsid w:val="0095041D"/>
    <w:rsid w:val="00950EF2"/>
    <w:rsid w:val="00951297"/>
    <w:rsid w:val="009512FA"/>
    <w:rsid w:val="009516A9"/>
    <w:rsid w:val="00951E57"/>
    <w:rsid w:val="00952350"/>
    <w:rsid w:val="00952505"/>
    <w:rsid w:val="00953018"/>
    <w:rsid w:val="009533E2"/>
    <w:rsid w:val="00953554"/>
    <w:rsid w:val="0095385A"/>
    <w:rsid w:val="0095473B"/>
    <w:rsid w:val="00954F3A"/>
    <w:rsid w:val="00955539"/>
    <w:rsid w:val="00956FC0"/>
    <w:rsid w:val="009570C8"/>
    <w:rsid w:val="0095780A"/>
    <w:rsid w:val="009578C3"/>
    <w:rsid w:val="009579E4"/>
    <w:rsid w:val="00957AA4"/>
    <w:rsid w:val="00957ACB"/>
    <w:rsid w:val="00957F27"/>
    <w:rsid w:val="00957F86"/>
    <w:rsid w:val="009604ED"/>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4D6E"/>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0639"/>
    <w:rsid w:val="009B231D"/>
    <w:rsid w:val="009B2374"/>
    <w:rsid w:val="009B2E29"/>
    <w:rsid w:val="009B3163"/>
    <w:rsid w:val="009B35AE"/>
    <w:rsid w:val="009B3E84"/>
    <w:rsid w:val="009B422F"/>
    <w:rsid w:val="009B46BC"/>
    <w:rsid w:val="009B4D1A"/>
    <w:rsid w:val="009B519D"/>
    <w:rsid w:val="009B558B"/>
    <w:rsid w:val="009B5981"/>
    <w:rsid w:val="009B6D21"/>
    <w:rsid w:val="009B78ED"/>
    <w:rsid w:val="009B7A5C"/>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20C"/>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49E"/>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5EAB"/>
    <w:rsid w:val="00A066C3"/>
    <w:rsid w:val="00A06754"/>
    <w:rsid w:val="00A069E0"/>
    <w:rsid w:val="00A06E4A"/>
    <w:rsid w:val="00A070E9"/>
    <w:rsid w:val="00A07327"/>
    <w:rsid w:val="00A078FB"/>
    <w:rsid w:val="00A07D97"/>
    <w:rsid w:val="00A07F1E"/>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2F59"/>
    <w:rsid w:val="00A34538"/>
    <w:rsid w:val="00A34677"/>
    <w:rsid w:val="00A3540F"/>
    <w:rsid w:val="00A35630"/>
    <w:rsid w:val="00A35914"/>
    <w:rsid w:val="00A36189"/>
    <w:rsid w:val="00A37054"/>
    <w:rsid w:val="00A37E73"/>
    <w:rsid w:val="00A37FB6"/>
    <w:rsid w:val="00A409E2"/>
    <w:rsid w:val="00A4104A"/>
    <w:rsid w:val="00A41081"/>
    <w:rsid w:val="00A411CA"/>
    <w:rsid w:val="00A4124D"/>
    <w:rsid w:val="00A4125E"/>
    <w:rsid w:val="00A41AE8"/>
    <w:rsid w:val="00A41C35"/>
    <w:rsid w:val="00A42080"/>
    <w:rsid w:val="00A42096"/>
    <w:rsid w:val="00A424EB"/>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CE5"/>
    <w:rsid w:val="00A56DE7"/>
    <w:rsid w:val="00A56E1D"/>
    <w:rsid w:val="00A57EB2"/>
    <w:rsid w:val="00A6009E"/>
    <w:rsid w:val="00A60265"/>
    <w:rsid w:val="00A60540"/>
    <w:rsid w:val="00A60B1F"/>
    <w:rsid w:val="00A6109E"/>
    <w:rsid w:val="00A6181B"/>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C54"/>
    <w:rsid w:val="00A75ED1"/>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6AF"/>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248"/>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1B5"/>
    <w:rsid w:val="00AE7686"/>
    <w:rsid w:val="00AE7899"/>
    <w:rsid w:val="00AE799A"/>
    <w:rsid w:val="00AE7A7C"/>
    <w:rsid w:val="00AF0D2A"/>
    <w:rsid w:val="00AF0E81"/>
    <w:rsid w:val="00AF117A"/>
    <w:rsid w:val="00AF162C"/>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2F8C"/>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4DB"/>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0F"/>
    <w:rsid w:val="00B41D39"/>
    <w:rsid w:val="00B41D66"/>
    <w:rsid w:val="00B422C0"/>
    <w:rsid w:val="00B426CA"/>
    <w:rsid w:val="00B426E1"/>
    <w:rsid w:val="00B43820"/>
    <w:rsid w:val="00B4387A"/>
    <w:rsid w:val="00B44746"/>
    <w:rsid w:val="00B44854"/>
    <w:rsid w:val="00B44BA5"/>
    <w:rsid w:val="00B454F1"/>
    <w:rsid w:val="00B4554E"/>
    <w:rsid w:val="00B458D0"/>
    <w:rsid w:val="00B46062"/>
    <w:rsid w:val="00B46696"/>
    <w:rsid w:val="00B46D11"/>
    <w:rsid w:val="00B4792C"/>
    <w:rsid w:val="00B50CAE"/>
    <w:rsid w:val="00B50E55"/>
    <w:rsid w:val="00B512AD"/>
    <w:rsid w:val="00B5196C"/>
    <w:rsid w:val="00B523D3"/>
    <w:rsid w:val="00B525CB"/>
    <w:rsid w:val="00B52697"/>
    <w:rsid w:val="00B540D4"/>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4FC6"/>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55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5899"/>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10B"/>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3E8F"/>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ACC"/>
    <w:rsid w:val="00C37DC1"/>
    <w:rsid w:val="00C37FFE"/>
    <w:rsid w:val="00C40B50"/>
    <w:rsid w:val="00C419E3"/>
    <w:rsid w:val="00C419F4"/>
    <w:rsid w:val="00C41E6A"/>
    <w:rsid w:val="00C42247"/>
    <w:rsid w:val="00C428E7"/>
    <w:rsid w:val="00C4302F"/>
    <w:rsid w:val="00C432FB"/>
    <w:rsid w:val="00C438A2"/>
    <w:rsid w:val="00C439BE"/>
    <w:rsid w:val="00C4539B"/>
    <w:rsid w:val="00C45466"/>
    <w:rsid w:val="00C455C1"/>
    <w:rsid w:val="00C4581D"/>
    <w:rsid w:val="00C4635B"/>
    <w:rsid w:val="00C46D70"/>
    <w:rsid w:val="00C47472"/>
    <w:rsid w:val="00C500F0"/>
    <w:rsid w:val="00C503DC"/>
    <w:rsid w:val="00C504A7"/>
    <w:rsid w:val="00C506C9"/>
    <w:rsid w:val="00C50A16"/>
    <w:rsid w:val="00C51C97"/>
    <w:rsid w:val="00C51C9A"/>
    <w:rsid w:val="00C52953"/>
    <w:rsid w:val="00C52C68"/>
    <w:rsid w:val="00C52D98"/>
    <w:rsid w:val="00C52DA1"/>
    <w:rsid w:val="00C53D24"/>
    <w:rsid w:val="00C54640"/>
    <w:rsid w:val="00C546D1"/>
    <w:rsid w:val="00C547A6"/>
    <w:rsid w:val="00C54A3A"/>
    <w:rsid w:val="00C55340"/>
    <w:rsid w:val="00C55C32"/>
    <w:rsid w:val="00C5639E"/>
    <w:rsid w:val="00C56A67"/>
    <w:rsid w:val="00C56CC2"/>
    <w:rsid w:val="00C56D8D"/>
    <w:rsid w:val="00C57498"/>
    <w:rsid w:val="00C57523"/>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324"/>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4BD6"/>
    <w:rsid w:val="00C959BD"/>
    <w:rsid w:val="00C95DFE"/>
    <w:rsid w:val="00C95F44"/>
    <w:rsid w:val="00C968E3"/>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5E56"/>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A37"/>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1B3"/>
    <w:rsid w:val="00CD73C6"/>
    <w:rsid w:val="00CD7592"/>
    <w:rsid w:val="00CD7EFA"/>
    <w:rsid w:val="00CE020E"/>
    <w:rsid w:val="00CE0566"/>
    <w:rsid w:val="00CE13FA"/>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D59"/>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0E15"/>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2DB5"/>
    <w:rsid w:val="00D43689"/>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167"/>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F5"/>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165"/>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0F8"/>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2B6B"/>
    <w:rsid w:val="00DE3119"/>
    <w:rsid w:val="00DE3E0B"/>
    <w:rsid w:val="00DE3FF0"/>
    <w:rsid w:val="00DE4105"/>
    <w:rsid w:val="00DE4E52"/>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794"/>
    <w:rsid w:val="00E00B7A"/>
    <w:rsid w:val="00E02186"/>
    <w:rsid w:val="00E025C2"/>
    <w:rsid w:val="00E026BB"/>
    <w:rsid w:val="00E027C5"/>
    <w:rsid w:val="00E03124"/>
    <w:rsid w:val="00E031C3"/>
    <w:rsid w:val="00E03951"/>
    <w:rsid w:val="00E03DB8"/>
    <w:rsid w:val="00E03F17"/>
    <w:rsid w:val="00E03FF8"/>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B15"/>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058"/>
    <w:rsid w:val="00E8143D"/>
    <w:rsid w:val="00E820F4"/>
    <w:rsid w:val="00E823F9"/>
    <w:rsid w:val="00E82C1F"/>
    <w:rsid w:val="00E83671"/>
    <w:rsid w:val="00E839C4"/>
    <w:rsid w:val="00E840EE"/>
    <w:rsid w:val="00E84314"/>
    <w:rsid w:val="00E84999"/>
    <w:rsid w:val="00E849CA"/>
    <w:rsid w:val="00E84A71"/>
    <w:rsid w:val="00E8556F"/>
    <w:rsid w:val="00E86556"/>
    <w:rsid w:val="00E86D35"/>
    <w:rsid w:val="00E86DC2"/>
    <w:rsid w:val="00E86E32"/>
    <w:rsid w:val="00E86F2E"/>
    <w:rsid w:val="00E8732E"/>
    <w:rsid w:val="00E9011F"/>
    <w:rsid w:val="00E906EB"/>
    <w:rsid w:val="00E90A1E"/>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5A"/>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104"/>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C7FDD"/>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0D3C"/>
    <w:rsid w:val="00F014F5"/>
    <w:rsid w:val="00F01657"/>
    <w:rsid w:val="00F01D40"/>
    <w:rsid w:val="00F01E67"/>
    <w:rsid w:val="00F02744"/>
    <w:rsid w:val="00F02BFD"/>
    <w:rsid w:val="00F02D25"/>
    <w:rsid w:val="00F03C3D"/>
    <w:rsid w:val="00F0435D"/>
    <w:rsid w:val="00F043DD"/>
    <w:rsid w:val="00F04580"/>
    <w:rsid w:val="00F04ECA"/>
    <w:rsid w:val="00F04F8B"/>
    <w:rsid w:val="00F0502B"/>
    <w:rsid w:val="00F06E19"/>
    <w:rsid w:val="00F06F84"/>
    <w:rsid w:val="00F076E7"/>
    <w:rsid w:val="00F07AA1"/>
    <w:rsid w:val="00F1026D"/>
    <w:rsid w:val="00F105AE"/>
    <w:rsid w:val="00F10618"/>
    <w:rsid w:val="00F1108B"/>
    <w:rsid w:val="00F114FA"/>
    <w:rsid w:val="00F11768"/>
    <w:rsid w:val="00F11951"/>
    <w:rsid w:val="00F12262"/>
    <w:rsid w:val="00F12564"/>
    <w:rsid w:val="00F12AF8"/>
    <w:rsid w:val="00F12C52"/>
    <w:rsid w:val="00F13828"/>
    <w:rsid w:val="00F13E62"/>
    <w:rsid w:val="00F13F51"/>
    <w:rsid w:val="00F144F0"/>
    <w:rsid w:val="00F1464A"/>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597"/>
    <w:rsid w:val="00F3079E"/>
    <w:rsid w:val="00F325CA"/>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3A51"/>
    <w:rsid w:val="00F441B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34E"/>
    <w:rsid w:val="00F605EC"/>
    <w:rsid w:val="00F60F60"/>
    <w:rsid w:val="00F612CE"/>
    <w:rsid w:val="00F6133C"/>
    <w:rsid w:val="00F61405"/>
    <w:rsid w:val="00F62227"/>
    <w:rsid w:val="00F624A7"/>
    <w:rsid w:val="00F62AB6"/>
    <w:rsid w:val="00F647AF"/>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4AC"/>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4B9"/>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AA4"/>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421"/>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60C"/>
    <w:rsid w:val="00FE1768"/>
    <w:rsid w:val="00FE1DD5"/>
    <w:rsid w:val="00FE1E72"/>
    <w:rsid w:val="00FE24F4"/>
    <w:rsid w:val="00FE2560"/>
    <w:rsid w:val="00FE2F15"/>
    <w:rsid w:val="00FE35D0"/>
    <w:rsid w:val="00FE3FB7"/>
    <w:rsid w:val="00FE42ED"/>
    <w:rsid w:val="00FE4E06"/>
    <w:rsid w:val="00FE4FFE"/>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8675FA"/>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4A0DF7"/>
  </w:style>
  <w:style w:type="table" w:customStyle="1" w:styleId="Tablaconcuadrcula2">
    <w:name w:val="Tabla con cuadrícula2"/>
    <w:basedOn w:val="Tablanormal"/>
    <w:next w:val="Tablaconcuadrcula"/>
    <w:uiPriority w:val="59"/>
    <w:rsid w:val="00F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9993930">
      <w:bodyDiv w:val="1"/>
      <w:marLeft w:val="0"/>
      <w:marRight w:val="0"/>
      <w:marTop w:val="0"/>
      <w:marBottom w:val="0"/>
      <w:divBdr>
        <w:top w:val="none" w:sz="0" w:space="0" w:color="auto"/>
        <w:left w:val="none" w:sz="0" w:space="0" w:color="auto"/>
        <w:bottom w:val="none" w:sz="0" w:space="0" w:color="auto"/>
        <w:right w:val="none" w:sz="0" w:space="0" w:color="auto"/>
      </w:divBdr>
      <w:divsChild>
        <w:div w:id="1991014474">
          <w:marLeft w:val="0"/>
          <w:marRight w:val="0"/>
          <w:marTop w:val="0"/>
          <w:marBottom w:val="0"/>
          <w:divBdr>
            <w:top w:val="none" w:sz="0" w:space="0" w:color="auto"/>
            <w:left w:val="none" w:sz="0" w:space="0" w:color="auto"/>
            <w:bottom w:val="none" w:sz="0" w:space="0" w:color="auto"/>
            <w:right w:val="none" w:sz="0" w:space="0" w:color="auto"/>
          </w:divBdr>
        </w:div>
        <w:div w:id="1703050358">
          <w:marLeft w:val="0"/>
          <w:marRight w:val="0"/>
          <w:marTop w:val="0"/>
          <w:marBottom w:val="0"/>
          <w:divBdr>
            <w:top w:val="none" w:sz="0" w:space="0" w:color="auto"/>
            <w:left w:val="none" w:sz="0" w:space="0" w:color="auto"/>
            <w:bottom w:val="none" w:sz="0" w:space="0" w:color="auto"/>
            <w:right w:val="none" w:sz="0" w:space="0" w:color="auto"/>
          </w:divBdr>
        </w:div>
        <w:div w:id="2033070628">
          <w:marLeft w:val="0"/>
          <w:marRight w:val="0"/>
          <w:marTop w:val="0"/>
          <w:marBottom w:val="0"/>
          <w:divBdr>
            <w:top w:val="none" w:sz="0" w:space="0" w:color="auto"/>
            <w:left w:val="none" w:sz="0" w:space="0" w:color="auto"/>
            <w:bottom w:val="none" w:sz="0" w:space="0" w:color="auto"/>
            <w:right w:val="none" w:sz="0" w:space="0" w:color="auto"/>
          </w:divBdr>
        </w:div>
        <w:div w:id="653530169">
          <w:marLeft w:val="0"/>
          <w:marRight w:val="0"/>
          <w:marTop w:val="0"/>
          <w:marBottom w:val="0"/>
          <w:divBdr>
            <w:top w:val="none" w:sz="0" w:space="0" w:color="auto"/>
            <w:left w:val="none" w:sz="0" w:space="0" w:color="auto"/>
            <w:bottom w:val="none" w:sz="0" w:space="0" w:color="auto"/>
            <w:right w:val="none" w:sz="0" w:space="0" w:color="auto"/>
          </w:divBdr>
        </w:div>
        <w:div w:id="1551259524">
          <w:marLeft w:val="0"/>
          <w:marRight w:val="0"/>
          <w:marTop w:val="0"/>
          <w:marBottom w:val="0"/>
          <w:divBdr>
            <w:top w:val="none" w:sz="0" w:space="0" w:color="auto"/>
            <w:left w:val="none" w:sz="0" w:space="0" w:color="auto"/>
            <w:bottom w:val="none" w:sz="0" w:space="0" w:color="auto"/>
            <w:right w:val="none" w:sz="0" w:space="0" w:color="auto"/>
          </w:divBdr>
        </w:div>
        <w:div w:id="56171032">
          <w:marLeft w:val="0"/>
          <w:marRight w:val="0"/>
          <w:marTop w:val="0"/>
          <w:marBottom w:val="0"/>
          <w:divBdr>
            <w:top w:val="none" w:sz="0" w:space="0" w:color="auto"/>
            <w:left w:val="none" w:sz="0" w:space="0" w:color="auto"/>
            <w:bottom w:val="none" w:sz="0" w:space="0" w:color="auto"/>
            <w:right w:val="none" w:sz="0" w:space="0" w:color="auto"/>
          </w:divBdr>
        </w:div>
        <w:div w:id="733044575">
          <w:marLeft w:val="0"/>
          <w:marRight w:val="0"/>
          <w:marTop w:val="0"/>
          <w:marBottom w:val="0"/>
          <w:divBdr>
            <w:top w:val="none" w:sz="0" w:space="0" w:color="auto"/>
            <w:left w:val="none" w:sz="0" w:space="0" w:color="auto"/>
            <w:bottom w:val="none" w:sz="0" w:space="0" w:color="auto"/>
            <w:right w:val="none" w:sz="0" w:space="0" w:color="auto"/>
          </w:divBdr>
        </w:div>
        <w:div w:id="1428161841">
          <w:marLeft w:val="0"/>
          <w:marRight w:val="0"/>
          <w:marTop w:val="0"/>
          <w:marBottom w:val="0"/>
          <w:divBdr>
            <w:top w:val="none" w:sz="0" w:space="0" w:color="auto"/>
            <w:left w:val="none" w:sz="0" w:space="0" w:color="auto"/>
            <w:bottom w:val="none" w:sz="0" w:space="0" w:color="auto"/>
            <w:right w:val="none" w:sz="0" w:space="0" w:color="auto"/>
          </w:divBdr>
        </w:div>
        <w:div w:id="771978225">
          <w:marLeft w:val="0"/>
          <w:marRight w:val="0"/>
          <w:marTop w:val="0"/>
          <w:marBottom w:val="0"/>
          <w:divBdr>
            <w:top w:val="none" w:sz="0" w:space="0" w:color="auto"/>
            <w:left w:val="none" w:sz="0" w:space="0" w:color="auto"/>
            <w:bottom w:val="none" w:sz="0" w:space="0" w:color="auto"/>
            <w:right w:val="none" w:sz="0" w:space="0" w:color="auto"/>
          </w:divBdr>
        </w:div>
        <w:div w:id="155536421">
          <w:marLeft w:val="0"/>
          <w:marRight w:val="0"/>
          <w:marTop w:val="0"/>
          <w:marBottom w:val="0"/>
          <w:divBdr>
            <w:top w:val="none" w:sz="0" w:space="0" w:color="auto"/>
            <w:left w:val="none" w:sz="0" w:space="0" w:color="auto"/>
            <w:bottom w:val="none" w:sz="0" w:space="0" w:color="auto"/>
            <w:right w:val="none" w:sz="0" w:space="0" w:color="auto"/>
          </w:divBdr>
        </w:div>
        <w:div w:id="1327051773">
          <w:marLeft w:val="0"/>
          <w:marRight w:val="0"/>
          <w:marTop w:val="0"/>
          <w:marBottom w:val="0"/>
          <w:divBdr>
            <w:top w:val="none" w:sz="0" w:space="0" w:color="auto"/>
            <w:left w:val="none" w:sz="0" w:space="0" w:color="auto"/>
            <w:bottom w:val="none" w:sz="0" w:space="0" w:color="auto"/>
            <w:right w:val="none" w:sz="0" w:space="0" w:color="auto"/>
          </w:divBdr>
        </w:div>
        <w:div w:id="9453240">
          <w:marLeft w:val="0"/>
          <w:marRight w:val="0"/>
          <w:marTop w:val="0"/>
          <w:marBottom w:val="0"/>
          <w:divBdr>
            <w:top w:val="none" w:sz="0" w:space="0" w:color="auto"/>
            <w:left w:val="none" w:sz="0" w:space="0" w:color="auto"/>
            <w:bottom w:val="none" w:sz="0" w:space="0" w:color="auto"/>
            <w:right w:val="none" w:sz="0" w:space="0" w:color="auto"/>
          </w:divBdr>
        </w:div>
        <w:div w:id="710613303">
          <w:marLeft w:val="0"/>
          <w:marRight w:val="0"/>
          <w:marTop w:val="0"/>
          <w:marBottom w:val="0"/>
          <w:divBdr>
            <w:top w:val="none" w:sz="0" w:space="0" w:color="auto"/>
            <w:left w:val="none" w:sz="0" w:space="0" w:color="auto"/>
            <w:bottom w:val="none" w:sz="0" w:space="0" w:color="auto"/>
            <w:right w:val="none" w:sz="0" w:space="0" w:color="auto"/>
          </w:divBdr>
        </w:div>
        <w:div w:id="1545873506">
          <w:marLeft w:val="0"/>
          <w:marRight w:val="0"/>
          <w:marTop w:val="0"/>
          <w:marBottom w:val="0"/>
          <w:divBdr>
            <w:top w:val="none" w:sz="0" w:space="0" w:color="auto"/>
            <w:left w:val="none" w:sz="0" w:space="0" w:color="auto"/>
            <w:bottom w:val="none" w:sz="0" w:space="0" w:color="auto"/>
            <w:right w:val="none" w:sz="0" w:space="0" w:color="auto"/>
          </w:divBdr>
        </w:div>
        <w:div w:id="1522091375">
          <w:marLeft w:val="0"/>
          <w:marRight w:val="0"/>
          <w:marTop w:val="0"/>
          <w:marBottom w:val="0"/>
          <w:divBdr>
            <w:top w:val="none" w:sz="0" w:space="0" w:color="auto"/>
            <w:left w:val="none" w:sz="0" w:space="0" w:color="auto"/>
            <w:bottom w:val="none" w:sz="0" w:space="0" w:color="auto"/>
            <w:right w:val="none" w:sz="0" w:space="0" w:color="auto"/>
          </w:divBdr>
        </w:div>
        <w:div w:id="1227493313">
          <w:marLeft w:val="0"/>
          <w:marRight w:val="0"/>
          <w:marTop w:val="0"/>
          <w:marBottom w:val="0"/>
          <w:divBdr>
            <w:top w:val="none" w:sz="0" w:space="0" w:color="auto"/>
            <w:left w:val="none" w:sz="0" w:space="0" w:color="auto"/>
            <w:bottom w:val="none" w:sz="0" w:space="0" w:color="auto"/>
            <w:right w:val="none" w:sz="0" w:space="0" w:color="auto"/>
          </w:divBdr>
        </w:div>
        <w:div w:id="1535339392">
          <w:marLeft w:val="0"/>
          <w:marRight w:val="0"/>
          <w:marTop w:val="0"/>
          <w:marBottom w:val="0"/>
          <w:divBdr>
            <w:top w:val="none" w:sz="0" w:space="0" w:color="auto"/>
            <w:left w:val="none" w:sz="0" w:space="0" w:color="auto"/>
            <w:bottom w:val="none" w:sz="0" w:space="0" w:color="auto"/>
            <w:right w:val="none" w:sz="0" w:space="0" w:color="auto"/>
          </w:divBdr>
        </w:div>
        <w:div w:id="1043746200">
          <w:marLeft w:val="0"/>
          <w:marRight w:val="0"/>
          <w:marTop w:val="0"/>
          <w:marBottom w:val="0"/>
          <w:divBdr>
            <w:top w:val="none" w:sz="0" w:space="0" w:color="auto"/>
            <w:left w:val="none" w:sz="0" w:space="0" w:color="auto"/>
            <w:bottom w:val="none" w:sz="0" w:space="0" w:color="auto"/>
            <w:right w:val="none" w:sz="0" w:space="0" w:color="auto"/>
          </w:divBdr>
        </w:div>
        <w:div w:id="1709842254">
          <w:marLeft w:val="0"/>
          <w:marRight w:val="0"/>
          <w:marTop w:val="0"/>
          <w:marBottom w:val="0"/>
          <w:divBdr>
            <w:top w:val="none" w:sz="0" w:space="0" w:color="auto"/>
            <w:left w:val="none" w:sz="0" w:space="0" w:color="auto"/>
            <w:bottom w:val="none" w:sz="0" w:space="0" w:color="auto"/>
            <w:right w:val="none" w:sz="0" w:space="0" w:color="auto"/>
          </w:divBdr>
        </w:div>
        <w:div w:id="29112469">
          <w:marLeft w:val="0"/>
          <w:marRight w:val="0"/>
          <w:marTop w:val="0"/>
          <w:marBottom w:val="0"/>
          <w:divBdr>
            <w:top w:val="none" w:sz="0" w:space="0" w:color="auto"/>
            <w:left w:val="none" w:sz="0" w:space="0" w:color="auto"/>
            <w:bottom w:val="none" w:sz="0" w:space="0" w:color="auto"/>
            <w:right w:val="none" w:sz="0" w:space="0" w:color="auto"/>
          </w:divBdr>
        </w:div>
        <w:div w:id="1404110700">
          <w:marLeft w:val="0"/>
          <w:marRight w:val="0"/>
          <w:marTop w:val="0"/>
          <w:marBottom w:val="0"/>
          <w:divBdr>
            <w:top w:val="none" w:sz="0" w:space="0" w:color="auto"/>
            <w:left w:val="none" w:sz="0" w:space="0" w:color="auto"/>
            <w:bottom w:val="none" w:sz="0" w:space="0" w:color="auto"/>
            <w:right w:val="none" w:sz="0" w:space="0" w:color="auto"/>
          </w:divBdr>
        </w:div>
      </w:divsChild>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sChild>
        <w:div w:id="768351494">
          <w:marLeft w:val="0"/>
          <w:marRight w:val="0"/>
          <w:marTop w:val="0"/>
          <w:marBottom w:val="0"/>
          <w:divBdr>
            <w:top w:val="none" w:sz="0" w:space="0" w:color="auto"/>
            <w:left w:val="none" w:sz="0" w:space="0" w:color="auto"/>
            <w:bottom w:val="none" w:sz="0" w:space="0" w:color="auto"/>
            <w:right w:val="none" w:sz="0" w:space="0" w:color="auto"/>
          </w:divBdr>
        </w:div>
        <w:div w:id="40322702">
          <w:marLeft w:val="0"/>
          <w:marRight w:val="0"/>
          <w:marTop w:val="0"/>
          <w:marBottom w:val="0"/>
          <w:divBdr>
            <w:top w:val="none" w:sz="0" w:space="0" w:color="auto"/>
            <w:left w:val="none" w:sz="0" w:space="0" w:color="auto"/>
            <w:bottom w:val="none" w:sz="0" w:space="0" w:color="auto"/>
            <w:right w:val="none" w:sz="0" w:space="0" w:color="auto"/>
          </w:divBdr>
        </w:div>
        <w:div w:id="1297222678">
          <w:marLeft w:val="0"/>
          <w:marRight w:val="0"/>
          <w:marTop w:val="0"/>
          <w:marBottom w:val="0"/>
          <w:divBdr>
            <w:top w:val="none" w:sz="0" w:space="0" w:color="auto"/>
            <w:left w:val="none" w:sz="0" w:space="0" w:color="auto"/>
            <w:bottom w:val="none" w:sz="0" w:space="0" w:color="auto"/>
            <w:right w:val="none" w:sz="0" w:space="0" w:color="auto"/>
          </w:divBdr>
        </w:div>
        <w:div w:id="637102695">
          <w:marLeft w:val="0"/>
          <w:marRight w:val="0"/>
          <w:marTop w:val="0"/>
          <w:marBottom w:val="0"/>
          <w:divBdr>
            <w:top w:val="none" w:sz="0" w:space="0" w:color="auto"/>
            <w:left w:val="none" w:sz="0" w:space="0" w:color="auto"/>
            <w:bottom w:val="none" w:sz="0" w:space="0" w:color="auto"/>
            <w:right w:val="none" w:sz="0" w:space="0" w:color="auto"/>
          </w:divBdr>
        </w:div>
        <w:div w:id="189803570">
          <w:marLeft w:val="0"/>
          <w:marRight w:val="0"/>
          <w:marTop w:val="0"/>
          <w:marBottom w:val="0"/>
          <w:divBdr>
            <w:top w:val="none" w:sz="0" w:space="0" w:color="auto"/>
            <w:left w:val="none" w:sz="0" w:space="0" w:color="auto"/>
            <w:bottom w:val="none" w:sz="0" w:space="0" w:color="auto"/>
            <w:right w:val="none" w:sz="0" w:space="0" w:color="auto"/>
          </w:divBdr>
        </w:div>
        <w:div w:id="2139103741">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162E674-775B-4163-BE17-089FCA92FBB2}">
  <ds:schemaRefs>
    <ds:schemaRef ds:uri="http://schemas.openxmlformats.org/officeDocument/2006/bibliography"/>
  </ds:schemaRefs>
</ds:datastoreItem>
</file>

<file path=customXml/itemProps2.xml><?xml version="1.0" encoding="utf-8"?>
<ds:datastoreItem xmlns:ds="http://schemas.openxmlformats.org/officeDocument/2006/customXml" ds:itemID="{CC3B4DCC-372E-4C5B-A044-CC89BB0F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52</TotalTime>
  <Pages>1</Pages>
  <Words>12234</Words>
  <Characters>67287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20</cp:revision>
  <cp:lastPrinted>2021-08-27T20:19:00Z</cp:lastPrinted>
  <dcterms:created xsi:type="dcterms:W3CDTF">2022-01-03T23:03:00Z</dcterms:created>
  <dcterms:modified xsi:type="dcterms:W3CDTF">2022-02-16T15:58:00Z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