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8896A" w14:textId="77777777" w:rsidR="00747223" w:rsidRPr="002E4D55" w:rsidRDefault="00747223" w:rsidP="00747223">
      <w:pPr>
        <w:tabs>
          <w:tab w:val="left" w:pos="426"/>
        </w:tabs>
        <w:spacing w:after="0" w:line="240" w:lineRule="auto"/>
        <w:jc w:val="both"/>
        <w:rPr>
          <w:rFonts w:ascii="Arial" w:eastAsia="Calibri" w:hAnsi="Arial" w:cs="Arial"/>
          <w:b/>
          <w:bCs/>
          <w:lang w:val="es-MX"/>
        </w:rPr>
      </w:pPr>
      <w:bookmarkStart w:id="0" w:name="_Hlk77152637"/>
      <w:bookmarkStart w:id="1" w:name="_Hlk77157066"/>
      <w:bookmarkStart w:id="2" w:name="_Hlk78821436"/>
      <w:bookmarkStart w:id="3" w:name="_Hlk96417464"/>
      <w:r w:rsidRPr="002E4D55">
        <w:rPr>
          <w:rFonts w:ascii="Arial" w:eastAsia="Calibri" w:hAnsi="Arial" w:cs="Arial"/>
          <w:b/>
          <w:bCs/>
          <w:lang w:val="es-MX"/>
        </w:rPr>
        <w:t>LEY DE GARANTÍAS ELECTORALES ‒</w:t>
      </w:r>
      <w:bookmarkEnd w:id="0"/>
      <w:r w:rsidRPr="002E4D55">
        <w:rPr>
          <w:rFonts w:ascii="Arial" w:eastAsia="Calibri" w:hAnsi="Arial" w:cs="Arial"/>
          <w:b/>
          <w:bCs/>
          <w:lang w:val="es-MX"/>
        </w:rPr>
        <w:t xml:space="preserve"> Tipos de restricciones </w:t>
      </w:r>
      <w:bookmarkStart w:id="4" w:name="_Hlk77157034"/>
      <w:r w:rsidRPr="002E4D55">
        <w:rPr>
          <w:rFonts w:ascii="Arial" w:eastAsia="Calibri" w:hAnsi="Arial" w:cs="Arial"/>
          <w:b/>
          <w:bCs/>
          <w:lang w:val="es-MX"/>
        </w:rPr>
        <w:t xml:space="preserve">‒ </w:t>
      </w:r>
      <w:bookmarkStart w:id="5" w:name="_Hlk77153098"/>
      <w:bookmarkEnd w:id="4"/>
      <w:r w:rsidRPr="002E4D55">
        <w:rPr>
          <w:rFonts w:ascii="Arial" w:eastAsia="Calibri" w:hAnsi="Arial" w:cs="Arial"/>
          <w:b/>
          <w:bCs/>
          <w:lang w:val="es-MX"/>
        </w:rPr>
        <w:t xml:space="preserve">Ámbito temporal </w:t>
      </w:r>
      <w:bookmarkEnd w:id="5"/>
    </w:p>
    <w:p w14:paraId="5DFC78F4" w14:textId="77777777" w:rsidR="00747223" w:rsidRPr="002E4D55" w:rsidRDefault="00747223" w:rsidP="00747223">
      <w:pPr>
        <w:tabs>
          <w:tab w:val="left" w:pos="426"/>
        </w:tabs>
        <w:spacing w:after="0" w:line="240" w:lineRule="auto"/>
        <w:jc w:val="both"/>
        <w:rPr>
          <w:rFonts w:ascii="Arial" w:eastAsia="Calibri" w:hAnsi="Arial" w:cs="Arial"/>
          <w:b/>
          <w:bCs/>
          <w:sz w:val="20"/>
          <w:szCs w:val="20"/>
          <w:lang w:val="es-MX"/>
        </w:rPr>
      </w:pPr>
    </w:p>
    <w:bookmarkEnd w:id="1"/>
    <w:p w14:paraId="39B9137D" w14:textId="77777777" w:rsidR="00747223" w:rsidRPr="002E4D55" w:rsidRDefault="00747223" w:rsidP="00747223">
      <w:pPr>
        <w:tabs>
          <w:tab w:val="left" w:pos="426"/>
        </w:tabs>
        <w:spacing w:after="0" w:line="240" w:lineRule="auto"/>
        <w:jc w:val="both"/>
        <w:rPr>
          <w:rFonts w:ascii="Arial" w:eastAsia="Calibri" w:hAnsi="Arial" w:cs="Arial"/>
          <w:noProof/>
          <w:sz w:val="20"/>
          <w:szCs w:val="20"/>
          <w:lang w:val="es-ES_tradnl"/>
        </w:rPr>
      </w:pPr>
      <w:r w:rsidRPr="002E4D55">
        <w:rPr>
          <w:rFonts w:ascii="Arial" w:eastAsia="Calibri" w:hAnsi="Arial" w:cs="Arial"/>
          <w:noProof/>
          <w:sz w:val="20"/>
          <w:szCs w:val="20"/>
          <w:lang w:val="es-ES_tradnl"/>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0C2D7D00" w14:textId="77777777" w:rsidR="00747223" w:rsidRPr="002E4D55" w:rsidRDefault="00747223" w:rsidP="00747223">
      <w:pPr>
        <w:tabs>
          <w:tab w:val="left" w:pos="426"/>
        </w:tabs>
        <w:spacing w:after="0" w:line="240" w:lineRule="auto"/>
        <w:jc w:val="both"/>
        <w:rPr>
          <w:rFonts w:ascii="Arial" w:eastAsia="Calibri" w:hAnsi="Arial" w:cs="Arial"/>
          <w:noProof/>
          <w:sz w:val="20"/>
          <w:szCs w:val="20"/>
          <w:lang w:val="es-ES_tradnl"/>
        </w:rPr>
      </w:pPr>
    </w:p>
    <w:p w14:paraId="12359952" w14:textId="77777777" w:rsidR="00747223" w:rsidRPr="002E4D55" w:rsidRDefault="00747223" w:rsidP="00747223">
      <w:pPr>
        <w:tabs>
          <w:tab w:val="left" w:pos="426"/>
        </w:tabs>
        <w:spacing w:after="0" w:line="240" w:lineRule="auto"/>
        <w:jc w:val="both"/>
        <w:rPr>
          <w:rFonts w:ascii="Arial" w:eastAsia="Calibri" w:hAnsi="Arial" w:cs="Arial"/>
          <w:noProof/>
          <w:sz w:val="20"/>
          <w:szCs w:val="20"/>
        </w:rPr>
      </w:pPr>
    </w:p>
    <w:p w14:paraId="2D47AC0B" w14:textId="6D838FA6" w:rsidR="00747223" w:rsidRPr="002E4D55" w:rsidRDefault="00747223" w:rsidP="00747223">
      <w:pPr>
        <w:spacing w:after="0" w:line="240" w:lineRule="auto"/>
        <w:jc w:val="both"/>
        <w:rPr>
          <w:rFonts w:ascii="Arial" w:eastAsia="Times New Roman" w:hAnsi="Arial" w:cs="Arial"/>
          <w:b/>
          <w:lang w:val="es-ES" w:eastAsia="es-CO"/>
        </w:rPr>
      </w:pPr>
      <w:r w:rsidRPr="002E4D55">
        <w:rPr>
          <w:rFonts w:ascii="Arial" w:eastAsia="Times New Roman" w:hAnsi="Arial" w:cs="Arial"/>
          <w:b/>
          <w:bCs/>
          <w:lang w:eastAsia="es-CO"/>
        </w:rPr>
        <w:t xml:space="preserve">LEY DE GARANTÍAS ELECTORALES </w:t>
      </w:r>
      <w:bookmarkStart w:id="6" w:name="_Hlk77166669"/>
      <w:r w:rsidRPr="002E4D55">
        <w:rPr>
          <w:rFonts w:ascii="Arial" w:eastAsia="Times New Roman" w:hAnsi="Arial" w:cs="Arial"/>
          <w:b/>
          <w:bCs/>
          <w:lang w:eastAsia="es-CO"/>
        </w:rPr>
        <w:t>‒</w:t>
      </w:r>
      <w:bookmarkEnd w:id="6"/>
      <w:r w:rsidRPr="002E4D55">
        <w:rPr>
          <w:rFonts w:ascii="Arial" w:eastAsia="Times New Roman" w:hAnsi="Arial" w:cs="Arial"/>
          <w:b/>
          <w:bCs/>
          <w:lang w:eastAsia="es-CO"/>
        </w:rPr>
        <w:t xml:space="preserve"> </w:t>
      </w:r>
      <w:r w:rsidRPr="002E4D55">
        <w:rPr>
          <w:rFonts w:ascii="Arial" w:eastAsia="Times New Roman" w:hAnsi="Arial" w:cs="Arial"/>
          <w:b/>
          <w:lang w:val="es-ES" w:eastAsia="es-CO"/>
        </w:rPr>
        <w:t>Prohibición del artícul</w:t>
      </w:r>
      <w:r>
        <w:rPr>
          <w:rFonts w:ascii="Arial" w:eastAsia="Times New Roman" w:hAnsi="Arial" w:cs="Arial"/>
          <w:b/>
          <w:lang w:val="es-ES" w:eastAsia="es-CO"/>
        </w:rPr>
        <w:t>o 38</w:t>
      </w:r>
      <w:r w:rsidRPr="002E4D55">
        <w:rPr>
          <w:rFonts w:ascii="Arial" w:eastAsia="Times New Roman" w:hAnsi="Arial" w:cs="Arial"/>
          <w:b/>
          <w:lang w:val="es-ES" w:eastAsia="es-CO"/>
        </w:rPr>
        <w:t xml:space="preserve"> </w:t>
      </w:r>
      <w:r w:rsidRPr="002E4D55">
        <w:rPr>
          <w:rFonts w:ascii="Arial" w:eastAsia="Times New Roman" w:hAnsi="Arial" w:cs="Arial"/>
          <w:b/>
          <w:bCs/>
          <w:lang w:eastAsia="es-CO"/>
        </w:rPr>
        <w:t>‒ Destinatarios</w:t>
      </w:r>
    </w:p>
    <w:p w14:paraId="319FDFE3" w14:textId="77777777" w:rsidR="00747223" w:rsidRPr="002E4D55" w:rsidRDefault="00747223" w:rsidP="00747223">
      <w:pPr>
        <w:tabs>
          <w:tab w:val="left" w:pos="426"/>
        </w:tabs>
        <w:spacing w:after="0" w:line="240" w:lineRule="auto"/>
        <w:jc w:val="both"/>
        <w:rPr>
          <w:rFonts w:ascii="Arial" w:eastAsia="Calibri" w:hAnsi="Arial" w:cs="Arial"/>
          <w:noProof/>
          <w:sz w:val="20"/>
          <w:szCs w:val="20"/>
          <w:lang w:val="es-ES"/>
        </w:rPr>
      </w:pPr>
    </w:p>
    <w:bookmarkEnd w:id="2"/>
    <w:p w14:paraId="554FA3A8" w14:textId="3C2010DC" w:rsidR="00747223" w:rsidRPr="00747223" w:rsidRDefault="00747223" w:rsidP="00747223">
      <w:pPr>
        <w:tabs>
          <w:tab w:val="left" w:pos="426"/>
        </w:tabs>
        <w:spacing w:after="0" w:line="240" w:lineRule="auto"/>
        <w:jc w:val="both"/>
        <w:rPr>
          <w:rFonts w:ascii="Arial" w:eastAsia="Times New Roman" w:hAnsi="Arial" w:cs="Arial"/>
          <w:sz w:val="20"/>
          <w:szCs w:val="20"/>
          <w:lang w:val="es-ES_tradnl" w:eastAsia="es-CO"/>
        </w:rPr>
      </w:pPr>
      <w:r w:rsidRPr="00747223">
        <w:rPr>
          <w:rFonts w:ascii="Arial" w:eastAsia="Times New Roman" w:hAnsi="Arial" w:cs="Arial"/>
          <w:sz w:val="20"/>
          <w:szCs w:val="20"/>
          <w:lang w:val="es-ES" w:eastAsia="es-CO"/>
        </w:rPr>
        <w:t>L</w:t>
      </w:r>
      <w:r w:rsidRPr="00747223">
        <w:rPr>
          <w:rFonts w:ascii="Arial" w:eastAsia="Times New Roman" w:hAnsi="Arial" w:cs="Arial"/>
          <w:sz w:val="20"/>
          <w:szCs w:val="20"/>
          <w:lang w:val="es-ES_tradnl" w:eastAsia="es-CO"/>
        </w:rPr>
        <w:t xml:space="preserve">a prohibición del parágrafo del artículo 38 de la Ley de Garantías Electorales se circunscribe a la restricción de “celebrar convenios </w:t>
      </w:r>
      <w:proofErr w:type="gramStart"/>
      <w:r w:rsidRPr="00747223">
        <w:rPr>
          <w:rFonts w:ascii="Arial" w:eastAsia="Times New Roman" w:hAnsi="Arial" w:cs="Arial"/>
          <w:sz w:val="20"/>
          <w:szCs w:val="20"/>
          <w:lang w:val="es-ES_tradnl" w:eastAsia="es-CO"/>
        </w:rPr>
        <w:t>interadministrativos”  por</w:t>
      </w:r>
      <w:proofErr w:type="gramEnd"/>
      <w:r w:rsidRPr="00747223">
        <w:rPr>
          <w:rFonts w:ascii="Arial" w:eastAsia="Times New Roman" w:hAnsi="Arial" w:cs="Arial"/>
          <w:sz w:val="20"/>
          <w:szCs w:val="20"/>
          <w:lang w:val="es-ES_tradnl" w:eastAsia="es-CO"/>
        </w:rPr>
        <w:t xml:space="preserve"> parte de los “gobernadores, alcaldes municipales y/o distritales, secretarios, gerentes y directores de entidades descentralizadas del orden municipal, departamental o distrital”, que deberá entenderse entonces como la suscripción por parte de 2 o más entidades públicas. </w:t>
      </w:r>
    </w:p>
    <w:p w14:paraId="4F6FFCAE" w14:textId="6B46468F" w:rsidR="00747223" w:rsidRPr="00747223" w:rsidRDefault="00747223" w:rsidP="00747223">
      <w:pPr>
        <w:tabs>
          <w:tab w:val="left" w:pos="426"/>
        </w:tabs>
        <w:spacing w:after="0" w:line="240" w:lineRule="auto"/>
        <w:jc w:val="both"/>
        <w:rPr>
          <w:rFonts w:ascii="Arial" w:eastAsia="Times New Roman" w:hAnsi="Arial" w:cs="Arial"/>
          <w:sz w:val="20"/>
          <w:szCs w:val="20"/>
          <w:lang w:val="es-ES_tradnl" w:eastAsia="es-CO"/>
        </w:rPr>
      </w:pPr>
      <w:r w:rsidRPr="00747223">
        <w:rPr>
          <w:rFonts w:ascii="Arial" w:eastAsia="Times New Roman" w:hAnsi="Arial" w:cs="Arial"/>
          <w:sz w:val="20"/>
          <w:szCs w:val="20"/>
          <w:lang w:val="es-ES_tradnl" w:eastAsia="es-CO"/>
        </w:rPr>
        <w:t xml:space="preserve">Así las cosas, ha de entenderse que, para los efectos de la Ley de Garantías Electorales y, en particular, para la prohibición o restricción temporal contenida en su artículo 38, “celebrar contratos interadministrativos” es aquel negocio jurídico suscrito por dos o </w:t>
      </w:r>
      <w:proofErr w:type="spellStart"/>
      <w:r w:rsidRPr="00747223">
        <w:rPr>
          <w:rFonts w:ascii="Arial" w:eastAsia="Times New Roman" w:hAnsi="Arial" w:cs="Arial"/>
          <w:sz w:val="20"/>
          <w:szCs w:val="20"/>
          <w:lang w:val="es-ES_tradnl" w:eastAsia="es-CO"/>
        </w:rPr>
        <w:t>mas</w:t>
      </w:r>
      <w:proofErr w:type="spellEnd"/>
      <w:r w:rsidRPr="00747223">
        <w:rPr>
          <w:rFonts w:ascii="Arial" w:eastAsia="Times New Roman" w:hAnsi="Arial" w:cs="Arial"/>
          <w:sz w:val="20"/>
          <w:szCs w:val="20"/>
          <w:lang w:val="es-ES_tradnl" w:eastAsia="es-CO"/>
        </w:rPr>
        <w:t xml:space="preserve"> entidades públicas.  </w:t>
      </w:r>
    </w:p>
    <w:p w14:paraId="4FAA35C6" w14:textId="77777777" w:rsidR="00747223" w:rsidRPr="00747223" w:rsidRDefault="00747223" w:rsidP="00747223">
      <w:pPr>
        <w:spacing w:after="120" w:line="240" w:lineRule="auto"/>
        <w:contextualSpacing/>
        <w:jc w:val="both"/>
        <w:rPr>
          <w:rFonts w:ascii="Arial" w:eastAsia="Calibri" w:hAnsi="Arial" w:cs="Arial"/>
          <w:sz w:val="20"/>
          <w:szCs w:val="20"/>
          <w:lang w:val="es-MX"/>
        </w:rPr>
      </w:pPr>
    </w:p>
    <w:p w14:paraId="4FDDC605" w14:textId="77777777" w:rsidR="00747223" w:rsidRPr="006021A0" w:rsidRDefault="00747223" w:rsidP="00747223">
      <w:pPr>
        <w:spacing w:after="120" w:line="240" w:lineRule="auto"/>
        <w:contextualSpacing/>
        <w:jc w:val="both"/>
        <w:rPr>
          <w:rFonts w:ascii="Arial" w:eastAsia="Times New Roman" w:hAnsi="Arial" w:cs="Arial"/>
          <w:b/>
          <w:lang w:val="es-MX" w:eastAsia="x-none"/>
        </w:rPr>
      </w:pPr>
      <w:r w:rsidRPr="006021A0">
        <w:rPr>
          <w:rFonts w:ascii="Arial" w:eastAsia="Times New Roman" w:hAnsi="Arial" w:cs="Arial"/>
          <w:b/>
          <w:lang w:val="es-MX" w:eastAsia="x-none"/>
        </w:rPr>
        <w:t xml:space="preserve">ACUERDOS VOLUNTARIOS DE CONSERVACIÓN – Definición – Elementos </w:t>
      </w:r>
    </w:p>
    <w:p w14:paraId="0A028689" w14:textId="77777777" w:rsidR="00747223" w:rsidRPr="002E4D55" w:rsidRDefault="00747223" w:rsidP="00747223">
      <w:pPr>
        <w:spacing w:after="120" w:line="240" w:lineRule="auto"/>
        <w:contextualSpacing/>
        <w:jc w:val="both"/>
        <w:rPr>
          <w:rFonts w:ascii="Arial" w:eastAsia="Times New Roman" w:hAnsi="Arial" w:cs="Arial"/>
          <w:bCs/>
          <w:sz w:val="20"/>
          <w:szCs w:val="20"/>
          <w:lang w:val="es-MX" w:eastAsia="x-none"/>
        </w:rPr>
      </w:pPr>
    </w:p>
    <w:p w14:paraId="1DEFEBA5" w14:textId="77777777" w:rsidR="00747223" w:rsidRDefault="00747223" w:rsidP="00747223">
      <w:pPr>
        <w:spacing w:after="0" w:line="240" w:lineRule="auto"/>
        <w:jc w:val="both"/>
        <w:rPr>
          <w:rFonts w:ascii="Arial" w:eastAsia="Calibri" w:hAnsi="Arial" w:cs="Arial"/>
          <w:sz w:val="20"/>
          <w:szCs w:val="20"/>
          <w:lang w:val="es-MX"/>
        </w:rPr>
      </w:pPr>
      <w:r w:rsidRPr="002E4D55">
        <w:rPr>
          <w:rFonts w:ascii="Arial" w:eastAsia="Calibri" w:hAnsi="Arial" w:cs="Arial"/>
          <w:sz w:val="20"/>
          <w:szCs w:val="20"/>
          <w:lang w:val="es-MX"/>
        </w:rPr>
        <w:t xml:space="preserve">Los acuerdos voluntarios de conservación, conforme con el literal c) del artículo 5 del Decreto-Ley 870 de 2017 son «el mecanismo a través del cual se formalizan los compromisos entre los interesados en los servicios ambientales y los beneficiarios del incentivo, para el desarrollo de acciones de preservación y restauración de áreas y ecosistemas estratégicos». De esta definición, se observa, en primer lugar, que en ella se establecen los pagos por servicios ambientales como el objeto de los acuerdos voluntarios de conservación, que en el artículo 4 del referido Decreto son «el incentivo económico en dinero o en especie que reconocen los interesados de los servicios ambientales a los propietarios, poseedores u ocupantes de buena fe exenta de culpa por las acciones de preservación y restauración en áreas y ecosistemas estratégicos, mediante la celebración de acuerdos voluntarios entre los interesados y beneficiarios de los servicios ambientales». Se observa que en la definición de los acuerdos voluntarios establecida por el decreto-ley se señaló que, en estos acuerdos, beneficiarios e interesados deben estipular los compromisos entre ellos, a efectos de desarrollar las acciones de preservación y restauración de las áreas o ecosistemas estratégicos. En el caso de los interesados, la principal obligación consiste en el pago de los servicios ambientales, que conforme con el artículo 2.2.9.8.1.4. del Decreto 1007 de 2018, corresponde al incentivo económico en dinero o especie reconocidos por estos sujetos a los beneficiarios por las acciones de conservación. Por su parte, los beneficiarios tendrán como compromisos u obligaciones realizar las acciones de preservación o conservación de las áreas protegidas. </w:t>
      </w:r>
    </w:p>
    <w:p w14:paraId="182FE36C" w14:textId="77777777" w:rsidR="00747223" w:rsidRDefault="00747223" w:rsidP="00747223">
      <w:pPr>
        <w:spacing w:after="0" w:line="240" w:lineRule="auto"/>
        <w:jc w:val="both"/>
        <w:rPr>
          <w:rFonts w:ascii="Arial" w:eastAsia="Calibri" w:hAnsi="Arial" w:cs="Arial"/>
          <w:sz w:val="20"/>
          <w:szCs w:val="20"/>
          <w:lang w:val="es-MX"/>
        </w:rPr>
      </w:pPr>
      <w:r w:rsidRPr="00FD22D1">
        <w:rPr>
          <w:rFonts w:ascii="Arial" w:eastAsia="Calibri" w:hAnsi="Arial" w:cs="Arial"/>
          <w:sz w:val="20"/>
          <w:szCs w:val="20"/>
          <w:lang w:val="es-MX"/>
        </w:rPr>
        <w:t xml:space="preserve">En segundo lugar, se observa de las definiciones citadas que los sujetos que suscriben estos acuerdos son dos: de un lado, los interesados en servicios ambientales y, de otro, los beneficiarios del incentivo. Los primeros, conforme con el literal a) del artículo 5 del Decreto 870 de 2017, son «las personas naturales o jurídicas, públicas, privadas o mixtas, que reconocen el incentivo económico de pago por servicios ambientales de forma voluntaria o en el marco del cumplimiento de las </w:t>
      </w:r>
      <w:r w:rsidRPr="00FD22D1">
        <w:rPr>
          <w:rFonts w:ascii="Arial" w:eastAsia="Calibri" w:hAnsi="Arial" w:cs="Arial"/>
          <w:sz w:val="20"/>
          <w:szCs w:val="20"/>
          <w:lang w:val="es-MX"/>
        </w:rPr>
        <w:lastRenderedPageBreak/>
        <w:t xml:space="preserve">obligaciones derivadas de autorizaciones ambientales». Los segundos, es decir, los beneficiarios del incentivo, conforme con el literal b) del artículo 5 del Decreto 870 de 2017, son «propietarios, poseedores u ocupantes de buena fe exenta de culpa de predios ubicados en las áreas y ecosistemas estratégicos, que reciben el incentivo condicionado al cumplimiento de las acciones de preservación y restauración suscritas a través de un acuerdo voluntario». </w:t>
      </w:r>
    </w:p>
    <w:p w14:paraId="00346ED8" w14:textId="77777777" w:rsidR="00747223" w:rsidRPr="006021A0" w:rsidRDefault="00747223" w:rsidP="00747223">
      <w:pPr>
        <w:spacing w:after="0" w:line="240" w:lineRule="auto"/>
        <w:jc w:val="both"/>
        <w:rPr>
          <w:rFonts w:ascii="Arial" w:eastAsia="Calibri" w:hAnsi="Arial" w:cs="Arial"/>
          <w:lang w:val="es-MX"/>
        </w:rPr>
      </w:pPr>
    </w:p>
    <w:p w14:paraId="768D0851" w14:textId="77777777" w:rsidR="00747223" w:rsidRPr="006021A0" w:rsidRDefault="00747223" w:rsidP="00747223">
      <w:pPr>
        <w:spacing w:after="0" w:line="240" w:lineRule="auto"/>
        <w:jc w:val="both"/>
        <w:rPr>
          <w:rFonts w:ascii="Arial" w:eastAsia="Calibri" w:hAnsi="Arial" w:cs="Arial"/>
          <w:b/>
          <w:bCs/>
          <w:lang w:val="es-MX"/>
        </w:rPr>
      </w:pPr>
      <w:r w:rsidRPr="006021A0">
        <w:rPr>
          <w:rFonts w:ascii="Arial" w:eastAsia="Calibri" w:hAnsi="Arial" w:cs="Arial"/>
          <w:b/>
          <w:bCs/>
          <w:lang w:val="es-MX"/>
        </w:rPr>
        <w:t xml:space="preserve">ACUERDOS VOLUNTARIOS DE CONSERVACIÓN – Naturaleza jurídica –  Contractual </w:t>
      </w:r>
      <w:r>
        <w:rPr>
          <w:rFonts w:ascii="Arial" w:eastAsia="Calibri" w:hAnsi="Arial" w:cs="Arial"/>
          <w:b/>
          <w:bCs/>
          <w:lang w:val="es-MX"/>
        </w:rPr>
        <w:t xml:space="preserve">– Postura – Corte Constitucional </w:t>
      </w:r>
    </w:p>
    <w:p w14:paraId="1B84FFF1" w14:textId="77777777" w:rsidR="00747223" w:rsidRDefault="00747223" w:rsidP="00747223">
      <w:pPr>
        <w:spacing w:after="0" w:line="240" w:lineRule="auto"/>
        <w:jc w:val="both"/>
        <w:rPr>
          <w:rFonts w:ascii="Arial" w:eastAsia="Calibri" w:hAnsi="Arial" w:cs="Arial"/>
          <w:sz w:val="20"/>
          <w:szCs w:val="20"/>
          <w:lang w:val="es-MX"/>
        </w:rPr>
      </w:pPr>
    </w:p>
    <w:p w14:paraId="585B93CC" w14:textId="77777777" w:rsidR="00747223" w:rsidRPr="006021A0" w:rsidRDefault="00747223" w:rsidP="00747223">
      <w:pPr>
        <w:spacing w:after="0" w:line="240" w:lineRule="auto"/>
        <w:jc w:val="both"/>
        <w:rPr>
          <w:rFonts w:ascii="Arial" w:eastAsia="Calibri" w:hAnsi="Arial" w:cs="Arial"/>
          <w:sz w:val="20"/>
          <w:szCs w:val="20"/>
          <w:lang w:val="es-MX"/>
        </w:rPr>
      </w:pPr>
      <w:r w:rsidRPr="006021A0">
        <w:rPr>
          <w:rFonts w:ascii="Arial" w:eastAsia="Calibri" w:hAnsi="Arial" w:cs="Arial"/>
          <w:sz w:val="20"/>
          <w:szCs w:val="20"/>
          <w:lang w:val="es-MX"/>
        </w:rPr>
        <w:t xml:space="preserve">Ahora, estos acuerdos voluntarios tienen naturaleza contractual, como se desprende de la regulación señalada anteriormente, naturaleza que también ha sido reconocida por la Corte Constitucional, según la cual «dichos acuerdos tienen la naturaleza de ser instrumentos contractuales que formalizan voluntariamente los compromisos, en donde se indica el objeto, se definen las acciones, su periodicidad, los parámetros del incentivo, las obligaciones de las partes, e incluso las causales de incumplimiento». </w:t>
      </w:r>
    </w:p>
    <w:p w14:paraId="4C41CB61" w14:textId="77777777" w:rsidR="00747223" w:rsidRPr="006021A0" w:rsidRDefault="00747223" w:rsidP="00747223">
      <w:pPr>
        <w:spacing w:after="0" w:line="240" w:lineRule="auto"/>
        <w:jc w:val="both"/>
        <w:rPr>
          <w:rFonts w:ascii="Arial" w:eastAsia="Calibri" w:hAnsi="Arial" w:cs="Arial"/>
          <w:lang w:val="es-MX"/>
        </w:rPr>
      </w:pPr>
    </w:p>
    <w:p w14:paraId="13243304" w14:textId="77777777" w:rsidR="00747223" w:rsidRPr="006021A0" w:rsidRDefault="00747223" w:rsidP="00747223">
      <w:pPr>
        <w:spacing w:after="0" w:line="240" w:lineRule="auto"/>
        <w:jc w:val="both"/>
        <w:rPr>
          <w:rFonts w:ascii="Arial" w:eastAsia="Calibri" w:hAnsi="Arial" w:cs="Arial"/>
          <w:b/>
          <w:bCs/>
          <w:lang w:val="es-MX"/>
        </w:rPr>
      </w:pPr>
      <w:r w:rsidRPr="006021A0">
        <w:rPr>
          <w:rFonts w:ascii="Arial" w:eastAsia="Calibri" w:hAnsi="Arial" w:cs="Arial"/>
          <w:b/>
          <w:bCs/>
          <w:lang w:val="es-MX"/>
        </w:rPr>
        <w:t xml:space="preserve">LEY DE GARANTÍAS ELECTORALES – Aplicación – Acuerdos voluntarios de conservación </w:t>
      </w:r>
    </w:p>
    <w:p w14:paraId="6EC5CDB5" w14:textId="77777777" w:rsidR="00747223" w:rsidRPr="00FD22D1" w:rsidRDefault="00747223" w:rsidP="00747223">
      <w:pPr>
        <w:spacing w:after="0" w:line="240" w:lineRule="auto"/>
        <w:jc w:val="both"/>
        <w:rPr>
          <w:rFonts w:ascii="Arial" w:eastAsia="Calibri" w:hAnsi="Arial" w:cs="Arial"/>
          <w:sz w:val="20"/>
          <w:szCs w:val="20"/>
          <w:lang w:val="es-MX"/>
        </w:rPr>
      </w:pPr>
    </w:p>
    <w:p w14:paraId="7E6432D2" w14:textId="77777777" w:rsidR="00747223" w:rsidRPr="00747223" w:rsidRDefault="00747223" w:rsidP="00747223">
      <w:pPr>
        <w:spacing w:after="0" w:line="240" w:lineRule="auto"/>
        <w:jc w:val="both"/>
        <w:rPr>
          <w:rFonts w:ascii="Arial" w:eastAsia="Calibri" w:hAnsi="Arial" w:cs="Arial"/>
          <w:sz w:val="20"/>
          <w:szCs w:val="20"/>
          <w:lang w:val="es-MX"/>
        </w:rPr>
      </w:pPr>
      <w:r w:rsidRPr="00747223">
        <w:rPr>
          <w:rFonts w:ascii="Arial" w:eastAsia="Calibri" w:hAnsi="Arial" w:cs="Arial"/>
          <w:sz w:val="20"/>
          <w:szCs w:val="20"/>
          <w:lang w:val="es-MX"/>
        </w:rPr>
        <w:t xml:space="preserve">Ahora, estos acuerdos voluntarios tienen naturaleza contractual, como se desprende de la regulación señalada anteriormente, naturaleza que también ha sido reconocida por la Corte Constitucional, según la cual “dichos acuerdos tienen la naturaleza de ser instrumentos contractuales que formalizan voluntariamente los compromisos, en donde se indica el objeto, se definen las acciones, su periodicidad, los parámetros del incentivo, las obligaciones de las partes, e incluso las causales de incumplimiento” . Por lo tanto, la restricción prevista en el parágrafo del artículo 38 de Ley 996 de 2005, teniendo en cuenta la finalidad de la ley de garantías electorales, cobija a los gobernadores, alcaldes municipales y/o distritales, secretarios, gerentes y directores de entidades descentralizadas del orden municipal, departamental o distrital, quienes, con base en dicha disposición, no podrán suscribir convenios interadministrativos, dentro de los 4 meses anteriores a las elecciones. </w:t>
      </w:r>
    </w:p>
    <w:p w14:paraId="5118D702" w14:textId="64FE9F58" w:rsidR="00747223" w:rsidRDefault="00747223" w:rsidP="00747223">
      <w:pPr>
        <w:spacing w:after="0" w:line="240" w:lineRule="auto"/>
        <w:jc w:val="both"/>
        <w:rPr>
          <w:rFonts w:ascii="Arial" w:eastAsia="Calibri" w:hAnsi="Arial" w:cs="Arial"/>
        </w:rPr>
      </w:pPr>
      <w:r w:rsidRPr="00747223">
        <w:rPr>
          <w:rFonts w:ascii="Arial" w:eastAsia="Calibri" w:hAnsi="Arial" w:cs="Arial"/>
          <w:sz w:val="20"/>
          <w:szCs w:val="20"/>
          <w:lang w:val="es-MX"/>
        </w:rPr>
        <w:t>En este sentido, si una o ambas partes de la relación contractual es una entidad de aquellas descritas en el parágrafo ibidem,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 por tanto, solo en el escenario en que  el incentivo económico se reconozca a los propietarios, poseedores u ocupantes de buena fe exenta de culpa que no sean de carácter público, podrán suscribirse estos acuerdos voluntarios por parte de las entidades previstas en el referido artículo.</w:t>
      </w:r>
    </w:p>
    <w:p w14:paraId="7EB428A6" w14:textId="77777777" w:rsidR="00747223" w:rsidRDefault="00747223" w:rsidP="002D5B01">
      <w:pPr>
        <w:spacing w:after="0" w:line="276" w:lineRule="auto"/>
        <w:jc w:val="both"/>
        <w:rPr>
          <w:rFonts w:ascii="Arial" w:eastAsia="Calibri" w:hAnsi="Arial" w:cs="Arial"/>
        </w:rPr>
      </w:pPr>
    </w:p>
    <w:p w14:paraId="17F952AA" w14:textId="7D54B583" w:rsidR="00747223" w:rsidRDefault="00747223" w:rsidP="002D5B01">
      <w:pPr>
        <w:spacing w:after="0" w:line="276" w:lineRule="auto"/>
        <w:jc w:val="both"/>
        <w:rPr>
          <w:rFonts w:ascii="Arial" w:eastAsia="Calibri" w:hAnsi="Arial" w:cs="Arial"/>
        </w:rPr>
      </w:pPr>
    </w:p>
    <w:p w14:paraId="35C46D5C" w14:textId="2BDFC73C" w:rsidR="00747223" w:rsidRDefault="00747223" w:rsidP="002D5B01">
      <w:pPr>
        <w:spacing w:after="0" w:line="276" w:lineRule="auto"/>
        <w:jc w:val="both"/>
        <w:rPr>
          <w:rFonts w:ascii="Arial" w:eastAsia="Calibri" w:hAnsi="Arial" w:cs="Arial"/>
        </w:rPr>
      </w:pPr>
    </w:p>
    <w:p w14:paraId="42EB1FF0" w14:textId="3FD5E189" w:rsidR="00747223" w:rsidRDefault="00747223" w:rsidP="002D5B01">
      <w:pPr>
        <w:spacing w:after="0" w:line="276" w:lineRule="auto"/>
        <w:jc w:val="both"/>
        <w:rPr>
          <w:rFonts w:ascii="Arial" w:eastAsia="Calibri" w:hAnsi="Arial" w:cs="Arial"/>
        </w:rPr>
      </w:pPr>
    </w:p>
    <w:p w14:paraId="0B3A1BFD" w14:textId="0814FC78" w:rsidR="00747223" w:rsidRDefault="00747223" w:rsidP="002D5B01">
      <w:pPr>
        <w:spacing w:after="0" w:line="276" w:lineRule="auto"/>
        <w:jc w:val="both"/>
        <w:rPr>
          <w:rFonts w:ascii="Arial" w:eastAsia="Calibri" w:hAnsi="Arial" w:cs="Arial"/>
        </w:rPr>
      </w:pPr>
    </w:p>
    <w:p w14:paraId="282640C4" w14:textId="687F294C" w:rsidR="00747223" w:rsidRDefault="00747223" w:rsidP="002D5B01">
      <w:pPr>
        <w:spacing w:after="0" w:line="276" w:lineRule="auto"/>
        <w:jc w:val="both"/>
        <w:rPr>
          <w:rFonts w:ascii="Arial" w:eastAsia="Calibri" w:hAnsi="Arial" w:cs="Arial"/>
        </w:rPr>
      </w:pPr>
    </w:p>
    <w:p w14:paraId="71602C30" w14:textId="3A8D7EF1" w:rsidR="00747223" w:rsidRDefault="00747223" w:rsidP="002D5B01">
      <w:pPr>
        <w:spacing w:after="0" w:line="276" w:lineRule="auto"/>
        <w:jc w:val="both"/>
        <w:rPr>
          <w:rFonts w:ascii="Arial" w:eastAsia="Calibri" w:hAnsi="Arial" w:cs="Arial"/>
        </w:rPr>
      </w:pPr>
    </w:p>
    <w:p w14:paraId="614BAC61" w14:textId="77E04DF5" w:rsidR="00747223" w:rsidRDefault="00747223" w:rsidP="002D5B01">
      <w:pPr>
        <w:spacing w:after="0" w:line="276" w:lineRule="auto"/>
        <w:jc w:val="both"/>
        <w:rPr>
          <w:rFonts w:ascii="Arial" w:eastAsia="Calibri" w:hAnsi="Arial" w:cs="Arial"/>
        </w:rPr>
      </w:pPr>
    </w:p>
    <w:p w14:paraId="731BBAFE" w14:textId="7A2F6377" w:rsidR="00747223" w:rsidRDefault="00747223" w:rsidP="002D5B01">
      <w:pPr>
        <w:spacing w:after="0" w:line="276" w:lineRule="auto"/>
        <w:jc w:val="both"/>
        <w:rPr>
          <w:rFonts w:ascii="Arial" w:eastAsia="Calibri" w:hAnsi="Arial" w:cs="Arial"/>
        </w:rPr>
      </w:pPr>
    </w:p>
    <w:p w14:paraId="0707CA30" w14:textId="0CC8AC6C" w:rsidR="00747223" w:rsidRDefault="00747223" w:rsidP="002D5B01">
      <w:pPr>
        <w:spacing w:after="0" w:line="276" w:lineRule="auto"/>
        <w:jc w:val="both"/>
        <w:rPr>
          <w:rFonts w:ascii="Arial" w:eastAsia="Calibri" w:hAnsi="Arial" w:cs="Arial"/>
        </w:rPr>
      </w:pPr>
    </w:p>
    <w:p w14:paraId="098B6263" w14:textId="44D6B6BA" w:rsidR="00747223" w:rsidRDefault="00747223" w:rsidP="002D5B01">
      <w:pPr>
        <w:spacing w:after="0" w:line="276" w:lineRule="auto"/>
        <w:jc w:val="both"/>
        <w:rPr>
          <w:rFonts w:ascii="Arial" w:eastAsia="Calibri" w:hAnsi="Arial" w:cs="Arial"/>
        </w:rPr>
      </w:pPr>
    </w:p>
    <w:p w14:paraId="074DF0DC" w14:textId="29DF3B74" w:rsidR="00747223" w:rsidRDefault="00747223" w:rsidP="002D5B01">
      <w:pPr>
        <w:spacing w:after="0" w:line="276" w:lineRule="auto"/>
        <w:jc w:val="both"/>
        <w:rPr>
          <w:rFonts w:ascii="Arial" w:eastAsia="Calibri" w:hAnsi="Arial" w:cs="Arial"/>
        </w:rPr>
      </w:pPr>
    </w:p>
    <w:p w14:paraId="06DCA71C" w14:textId="289574F1" w:rsidR="00747223" w:rsidRDefault="00747223" w:rsidP="002D5B01">
      <w:pPr>
        <w:spacing w:after="0" w:line="276" w:lineRule="auto"/>
        <w:jc w:val="both"/>
        <w:rPr>
          <w:rFonts w:ascii="Arial" w:eastAsia="Calibri" w:hAnsi="Arial" w:cs="Arial"/>
        </w:rPr>
      </w:pPr>
      <w:r>
        <w:rPr>
          <w:rFonts w:ascii="Arial" w:eastAsia="Calibri" w:hAnsi="Arial" w:cs="Arial"/>
        </w:rPr>
        <w:lastRenderedPageBreak/>
        <w:t>Bogotá D.C., 25 de abril de 2023</w:t>
      </w:r>
    </w:p>
    <w:p w14:paraId="08B404D7" w14:textId="19A3AD0A" w:rsidR="00747223" w:rsidRDefault="00747223" w:rsidP="002D5B01">
      <w:pPr>
        <w:spacing w:after="0" w:line="276" w:lineRule="auto"/>
        <w:jc w:val="both"/>
        <w:rPr>
          <w:rFonts w:ascii="Arial" w:eastAsia="Calibri" w:hAnsi="Arial" w:cs="Arial"/>
        </w:rPr>
      </w:pPr>
    </w:p>
    <w:p w14:paraId="3732182C" w14:textId="7AA99EF9" w:rsidR="00747223" w:rsidRDefault="00747223" w:rsidP="00747223">
      <w:pPr>
        <w:spacing w:after="0" w:line="276" w:lineRule="auto"/>
        <w:jc w:val="right"/>
        <w:rPr>
          <w:rFonts w:ascii="Arial" w:eastAsia="Calibri" w:hAnsi="Arial" w:cs="Arial"/>
        </w:rPr>
      </w:pPr>
      <w:r w:rsidRPr="00747223">
        <w:rPr>
          <w:rFonts w:ascii="Arial" w:eastAsia="Calibri" w:hAnsi="Arial" w:cs="Arial"/>
          <w:noProof/>
        </w:rPr>
        <w:drawing>
          <wp:inline distT="0" distB="0" distL="0" distR="0" wp14:anchorId="5844BCE1" wp14:editId="600ED87B">
            <wp:extent cx="2210108" cy="62873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10108" cy="628738"/>
                    </a:xfrm>
                    <a:prstGeom prst="rect">
                      <a:avLst/>
                    </a:prstGeom>
                  </pic:spPr>
                </pic:pic>
              </a:graphicData>
            </a:graphic>
          </wp:inline>
        </w:drawing>
      </w:r>
    </w:p>
    <w:p w14:paraId="4A1A2FAF" w14:textId="6A8C432A" w:rsidR="00747223" w:rsidRDefault="00747223" w:rsidP="002D5B01">
      <w:pPr>
        <w:spacing w:after="0" w:line="276" w:lineRule="auto"/>
        <w:jc w:val="both"/>
        <w:rPr>
          <w:rFonts w:ascii="Arial" w:eastAsia="Calibri" w:hAnsi="Arial" w:cs="Arial"/>
        </w:rPr>
      </w:pPr>
    </w:p>
    <w:p w14:paraId="21F99BA5" w14:textId="77777777" w:rsidR="00747223" w:rsidRDefault="00747223" w:rsidP="002D5B01">
      <w:pPr>
        <w:spacing w:after="0" w:line="276" w:lineRule="auto"/>
        <w:jc w:val="both"/>
        <w:rPr>
          <w:rFonts w:ascii="Arial" w:eastAsia="Calibri" w:hAnsi="Arial" w:cs="Arial"/>
        </w:rPr>
      </w:pPr>
    </w:p>
    <w:p w14:paraId="53B74F55" w14:textId="55BEE8E4" w:rsidR="002D5B01" w:rsidRPr="002E4D55" w:rsidRDefault="002D5B01" w:rsidP="002D5B01">
      <w:pPr>
        <w:spacing w:after="0" w:line="276" w:lineRule="auto"/>
        <w:jc w:val="both"/>
        <w:rPr>
          <w:rFonts w:ascii="Arial" w:eastAsia="Calibri" w:hAnsi="Arial" w:cs="Arial"/>
        </w:rPr>
      </w:pPr>
      <w:r w:rsidRPr="002E4D55">
        <w:rPr>
          <w:rFonts w:ascii="Arial" w:eastAsia="Calibri" w:hAnsi="Arial" w:cs="Arial"/>
        </w:rPr>
        <w:t>Doctora</w:t>
      </w:r>
    </w:p>
    <w:p w14:paraId="3A6B4659" w14:textId="77777777" w:rsidR="002D5B01" w:rsidRDefault="002D5B01" w:rsidP="002D5B01">
      <w:pPr>
        <w:spacing w:after="0" w:line="276" w:lineRule="auto"/>
        <w:jc w:val="both"/>
        <w:rPr>
          <w:rFonts w:ascii="Arial" w:eastAsia="Calibri" w:hAnsi="Arial" w:cs="Arial"/>
          <w:b/>
        </w:rPr>
      </w:pPr>
      <w:r>
        <w:rPr>
          <w:rFonts w:ascii="Arial" w:eastAsia="Calibri" w:hAnsi="Arial" w:cs="Arial"/>
          <w:b/>
        </w:rPr>
        <w:t>Francy Restrepo Aparicio</w:t>
      </w:r>
    </w:p>
    <w:p w14:paraId="40768F56" w14:textId="77777777" w:rsidR="002D5B01" w:rsidRDefault="002D5B01" w:rsidP="002D5B01">
      <w:pPr>
        <w:spacing w:after="0" w:line="276" w:lineRule="auto"/>
        <w:jc w:val="both"/>
        <w:rPr>
          <w:rFonts w:ascii="Arial" w:eastAsia="Calibri" w:hAnsi="Arial" w:cs="Arial"/>
        </w:rPr>
      </w:pPr>
      <w:r>
        <w:rPr>
          <w:rFonts w:ascii="Arial" w:eastAsia="Calibri" w:hAnsi="Arial" w:cs="Arial"/>
        </w:rPr>
        <w:t xml:space="preserve">Departamento Administrativo de Gestión Medio Ambiente </w:t>
      </w:r>
    </w:p>
    <w:p w14:paraId="1F65A944" w14:textId="77777777" w:rsidR="002D5B01" w:rsidRDefault="002D5B01" w:rsidP="002D5B01">
      <w:pPr>
        <w:spacing w:after="0" w:line="276" w:lineRule="auto"/>
        <w:jc w:val="both"/>
        <w:rPr>
          <w:rFonts w:ascii="Arial" w:eastAsia="Calibri" w:hAnsi="Arial" w:cs="Arial"/>
        </w:rPr>
      </w:pPr>
      <w:r>
        <w:rPr>
          <w:rFonts w:ascii="Arial" w:eastAsia="Calibri" w:hAnsi="Arial" w:cs="Arial"/>
        </w:rPr>
        <w:t xml:space="preserve">Municipio de Santiago de Cali </w:t>
      </w:r>
    </w:p>
    <w:p w14:paraId="1A1B5312" w14:textId="77777777" w:rsidR="002D5B01" w:rsidRPr="00E94E28" w:rsidRDefault="002D5B01" w:rsidP="002D5B01">
      <w:pPr>
        <w:spacing w:after="0" w:line="276" w:lineRule="auto"/>
        <w:jc w:val="both"/>
        <w:rPr>
          <w:rFonts w:ascii="Arial" w:eastAsia="Calibri" w:hAnsi="Arial" w:cs="Arial"/>
        </w:rPr>
      </w:pPr>
      <w:r>
        <w:rPr>
          <w:rFonts w:ascii="Arial" w:eastAsia="Calibri" w:hAnsi="Arial" w:cs="Arial"/>
        </w:rPr>
        <w:t>Cali, Valle del Cauca</w:t>
      </w:r>
    </w:p>
    <w:p w14:paraId="254EAA50" w14:textId="77777777" w:rsidR="002D5B01" w:rsidRPr="002E4D55" w:rsidRDefault="002D5B01" w:rsidP="002D5B01">
      <w:pPr>
        <w:spacing w:after="0" w:line="276" w:lineRule="auto"/>
        <w:jc w:val="both"/>
        <w:rPr>
          <w:rFonts w:ascii="Arial" w:eastAsia="Calibri" w:hAnsi="Arial" w:cs="Arial"/>
        </w:rPr>
      </w:pPr>
      <w:r w:rsidRPr="002E4D55">
        <w:rPr>
          <w:rFonts w:ascii="Arial" w:eastAsia="Calibri" w:hAnsi="Arial" w:cs="Arial"/>
        </w:rPr>
        <w:t>Ciudad</w:t>
      </w:r>
    </w:p>
    <w:p w14:paraId="55E8918F" w14:textId="77777777" w:rsidR="002D5B01" w:rsidRPr="002E4D55" w:rsidRDefault="002D5B01" w:rsidP="002D5B01">
      <w:pPr>
        <w:spacing w:after="0" w:line="240" w:lineRule="auto"/>
        <w:jc w:val="both"/>
        <w:rPr>
          <w:rFonts w:ascii="Arial" w:eastAsia="Calibri" w:hAnsi="Arial" w:cs="Arial"/>
        </w:rPr>
      </w:pPr>
    </w:p>
    <w:p w14:paraId="5624F443" w14:textId="77777777" w:rsidR="002D5B01" w:rsidRPr="002E4D55" w:rsidRDefault="002D5B01" w:rsidP="002D5B01">
      <w:pPr>
        <w:spacing w:after="0" w:line="240" w:lineRule="auto"/>
        <w:jc w:val="both"/>
        <w:rPr>
          <w:rFonts w:ascii="Arial" w:eastAsia="Calibri" w:hAnsi="Arial" w:cs="Arial"/>
        </w:rPr>
      </w:pPr>
    </w:p>
    <w:p w14:paraId="62BB9BF5" w14:textId="77777777" w:rsidR="002D5B01" w:rsidRPr="002E4D55" w:rsidRDefault="002D5B01" w:rsidP="002D5B01">
      <w:pPr>
        <w:spacing w:after="0" w:line="240" w:lineRule="auto"/>
        <w:jc w:val="both"/>
        <w:rPr>
          <w:rFonts w:ascii="Arial" w:eastAsia="Calibri" w:hAnsi="Arial" w:cs="Arial"/>
        </w:rPr>
      </w:pPr>
      <w:r w:rsidRPr="002E4D55">
        <w:rPr>
          <w:rFonts w:ascii="Arial" w:eastAsia="Calibri" w:hAnsi="Arial" w:cs="Arial"/>
        </w:rPr>
        <w:t xml:space="preserve">                                            </w:t>
      </w:r>
      <w:r w:rsidRPr="002E4D55">
        <w:rPr>
          <w:rFonts w:ascii="Arial" w:eastAsia="Calibri" w:hAnsi="Arial" w:cs="Arial"/>
          <w:b/>
        </w:rPr>
        <w:t>Concepto C –</w:t>
      </w:r>
      <w:r>
        <w:rPr>
          <w:rFonts w:ascii="Arial" w:eastAsia="Calibri" w:hAnsi="Arial" w:cs="Arial"/>
          <w:b/>
        </w:rPr>
        <w:t xml:space="preserve"> 076 de 2023</w:t>
      </w:r>
      <w:r w:rsidRPr="002E4D55">
        <w:rPr>
          <w:rFonts w:ascii="Arial" w:eastAsia="Calibri" w:hAnsi="Arial" w:cs="Arial"/>
        </w:rPr>
        <w:t xml:space="preserve"> </w:t>
      </w:r>
    </w:p>
    <w:p w14:paraId="525AFC3D" w14:textId="77777777" w:rsidR="002D5B01" w:rsidRPr="002E4D55" w:rsidRDefault="002D5B01" w:rsidP="002D5B01">
      <w:pPr>
        <w:spacing w:after="0" w:line="240" w:lineRule="auto"/>
        <w:jc w:val="both"/>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D5B01" w:rsidRPr="002E4D55" w14:paraId="0414DDAB" w14:textId="77777777" w:rsidTr="0015079B">
        <w:trPr>
          <w:trHeight w:val="485"/>
        </w:trPr>
        <w:tc>
          <w:tcPr>
            <w:tcW w:w="2689" w:type="dxa"/>
            <w:hideMark/>
          </w:tcPr>
          <w:p w14:paraId="078BA221" w14:textId="77777777" w:rsidR="002D5B01" w:rsidRPr="002E4D55" w:rsidRDefault="002D5B01" w:rsidP="0015079B">
            <w:pPr>
              <w:contextualSpacing/>
              <w:rPr>
                <w:rFonts w:ascii="Arial" w:eastAsia="Calibri" w:hAnsi="Arial" w:cs="Arial"/>
                <w:noProof/>
                <w:lang w:val="es-ES_tradnl"/>
              </w:rPr>
            </w:pPr>
            <w:r w:rsidRPr="002E4D55">
              <w:rPr>
                <w:rFonts w:ascii="Arial" w:eastAsia="Calibri" w:hAnsi="Arial" w:cs="Arial"/>
                <w:b/>
                <w:noProof/>
                <w:lang w:val="es-ES_tradnl"/>
              </w:rPr>
              <w:t>Temas:</w:t>
            </w:r>
            <w:r w:rsidRPr="002E4D55">
              <w:rPr>
                <w:rFonts w:ascii="Arial" w:eastAsia="Calibri" w:hAnsi="Arial" w:cs="Arial"/>
                <w:noProof/>
                <w:lang w:val="es-ES_tradnl"/>
              </w:rPr>
              <w:t xml:space="preserve">        </w:t>
            </w:r>
          </w:p>
        </w:tc>
        <w:tc>
          <w:tcPr>
            <w:tcW w:w="6237" w:type="dxa"/>
            <w:hideMark/>
          </w:tcPr>
          <w:p w14:paraId="12D78A08" w14:textId="3E97EDF4" w:rsidR="002D5B01" w:rsidRPr="006021A0" w:rsidRDefault="002D5B01" w:rsidP="0015079B">
            <w:pPr>
              <w:spacing w:line="276" w:lineRule="auto"/>
              <w:jc w:val="both"/>
              <w:rPr>
                <w:rFonts w:ascii="Arial" w:eastAsia="Calibri" w:hAnsi="Arial" w:cs="Arial"/>
                <w:bCs/>
                <w:lang w:val="es-MX"/>
              </w:rPr>
            </w:pPr>
            <w:r w:rsidRPr="002E4D55">
              <w:rPr>
                <w:rFonts w:ascii="Arial" w:eastAsia="Calibri" w:hAnsi="Arial" w:cs="Arial"/>
                <w:bCs/>
                <w:lang w:val="es-MX"/>
              </w:rPr>
              <w:t xml:space="preserve">LEY DE GARANTÍAS ELECTORALES ‒ Tipos de restricciones ‒ Ámbito temporal / LEY DE GARANTÍAS ELECTORALES ─ Prohibición ‒ Contratación directa ‒ Alcance – Excepciones / LEY DE GARANTÍAS </w:t>
            </w:r>
            <w:r w:rsidRPr="006021A0">
              <w:rPr>
                <w:rFonts w:ascii="Arial" w:eastAsia="Calibri" w:hAnsi="Arial" w:cs="Arial"/>
                <w:bCs/>
                <w:lang w:val="es-MX"/>
              </w:rPr>
              <w:t>ELECTORAL</w:t>
            </w:r>
            <w:r w:rsidR="00747223">
              <w:rPr>
                <w:rFonts w:ascii="Arial" w:eastAsia="Calibri" w:hAnsi="Arial" w:cs="Arial"/>
                <w:bCs/>
                <w:lang w:val="es-MX"/>
              </w:rPr>
              <w:t>ES ‒ Prohibición del artículo 38</w:t>
            </w:r>
            <w:r w:rsidRPr="006021A0">
              <w:rPr>
                <w:rFonts w:ascii="Arial" w:eastAsia="Calibri" w:hAnsi="Arial" w:cs="Arial"/>
                <w:bCs/>
                <w:lang w:val="es-MX"/>
              </w:rPr>
              <w:t xml:space="preserve"> ‒ Destinatarios/ </w:t>
            </w:r>
            <w:r w:rsidRPr="006021A0">
              <w:rPr>
                <w:rFonts w:ascii="Arial" w:eastAsia="Times New Roman" w:hAnsi="Arial" w:cs="Arial"/>
                <w:bCs/>
                <w:lang w:val="es-MX" w:eastAsia="x-none"/>
              </w:rPr>
              <w:t xml:space="preserve">ACUERDOS VOLUNTARIOS DE CONSERVACIÓN – Definición – Elementos/ </w:t>
            </w:r>
            <w:r w:rsidRPr="006021A0">
              <w:rPr>
                <w:rFonts w:ascii="Arial" w:eastAsia="Calibri" w:hAnsi="Arial" w:cs="Arial"/>
                <w:bCs/>
                <w:lang w:val="es-MX"/>
              </w:rPr>
              <w:t xml:space="preserve">ACUERDOS VOLUNTARIOS DE CONSERVACIÓN – Naturaleza jurídica –  Contractual – Postura – Corte Constitucional / LEY DE GARANTÍAS ELECTORALES – Aplicación – Acuerdos voluntarios de conservación </w:t>
            </w:r>
          </w:p>
          <w:p w14:paraId="71D717AA" w14:textId="77777777" w:rsidR="002D5B01" w:rsidRPr="002E4D55" w:rsidRDefault="002D5B01" w:rsidP="0015079B">
            <w:pPr>
              <w:spacing w:after="120" w:line="276" w:lineRule="auto"/>
              <w:contextualSpacing/>
              <w:jc w:val="both"/>
              <w:rPr>
                <w:rFonts w:ascii="Arial" w:eastAsia="Times New Roman" w:hAnsi="Arial" w:cs="Arial"/>
                <w:b/>
                <w:sz w:val="20"/>
                <w:szCs w:val="20"/>
                <w:lang w:val="es-MX" w:eastAsia="x-none"/>
              </w:rPr>
            </w:pPr>
          </w:p>
          <w:p w14:paraId="63B3CEE4" w14:textId="77777777" w:rsidR="002D5B01" w:rsidRPr="002E4D55" w:rsidRDefault="002D5B01" w:rsidP="0015079B">
            <w:pPr>
              <w:spacing w:after="120" w:line="276" w:lineRule="auto"/>
              <w:ind w:right="703"/>
              <w:jc w:val="both"/>
              <w:rPr>
                <w:rFonts w:ascii="Arial" w:eastAsia="Calibri" w:hAnsi="Arial" w:cs="Arial"/>
                <w:bCs/>
                <w:lang w:val="es-MX"/>
              </w:rPr>
            </w:pPr>
          </w:p>
        </w:tc>
      </w:tr>
      <w:tr w:rsidR="002D5B01" w:rsidRPr="002E4D55" w14:paraId="7848A10C" w14:textId="77777777" w:rsidTr="0015079B">
        <w:tc>
          <w:tcPr>
            <w:tcW w:w="2689" w:type="dxa"/>
          </w:tcPr>
          <w:p w14:paraId="2F889E9F" w14:textId="77777777" w:rsidR="002D5B01" w:rsidRPr="002E4D55" w:rsidRDefault="002D5B01" w:rsidP="0015079B">
            <w:pPr>
              <w:contextualSpacing/>
              <w:rPr>
                <w:rFonts w:ascii="Arial" w:eastAsia="Calibri" w:hAnsi="Arial" w:cs="Arial"/>
                <w:b/>
                <w:noProof/>
                <w:lang w:val="es-ES_tradnl"/>
              </w:rPr>
            </w:pPr>
            <w:r w:rsidRPr="002E4D55">
              <w:rPr>
                <w:rFonts w:ascii="Arial" w:eastAsia="Calibri" w:hAnsi="Arial" w:cs="Arial"/>
                <w:b/>
                <w:noProof/>
                <w:lang w:val="es-ES_tradnl"/>
              </w:rPr>
              <w:t>Radicación:</w:t>
            </w:r>
            <w:r w:rsidRPr="002E4D55">
              <w:rPr>
                <w:rFonts w:ascii="Arial" w:eastAsia="Calibri" w:hAnsi="Arial" w:cs="Arial"/>
                <w:noProof/>
                <w:lang w:val="es-ES_tradnl"/>
              </w:rPr>
              <w:t xml:space="preserve">                              </w:t>
            </w:r>
          </w:p>
        </w:tc>
        <w:tc>
          <w:tcPr>
            <w:tcW w:w="6237" w:type="dxa"/>
          </w:tcPr>
          <w:p w14:paraId="273A07C4" w14:textId="77777777" w:rsidR="002D5B01" w:rsidRPr="002E4D55" w:rsidRDefault="002D5B01" w:rsidP="0015079B">
            <w:pPr>
              <w:contextualSpacing/>
              <w:jc w:val="both"/>
              <w:rPr>
                <w:rFonts w:ascii="Arial" w:eastAsia="Calibri" w:hAnsi="Arial" w:cs="Arial"/>
                <w:noProof/>
                <w:lang w:val="es-ES_tradnl"/>
              </w:rPr>
            </w:pPr>
            <w:r w:rsidRPr="002E4D55">
              <w:rPr>
                <w:rFonts w:ascii="Arial" w:eastAsia="Calibri" w:hAnsi="Arial" w:cs="Arial"/>
                <w:noProof/>
                <w:lang w:val="es-ES_tradnl"/>
              </w:rPr>
              <w:t xml:space="preserve">Respuesta a consulta </w:t>
            </w:r>
            <w:r w:rsidRPr="00E94E28">
              <w:rPr>
                <w:rFonts w:ascii="Arial" w:eastAsia="Calibri" w:hAnsi="Arial" w:cs="Arial"/>
                <w:noProof/>
                <w:lang w:val="es-ES_tradnl"/>
              </w:rPr>
              <w:t>P20230310002211</w:t>
            </w:r>
          </w:p>
        </w:tc>
      </w:tr>
    </w:tbl>
    <w:p w14:paraId="15574811" w14:textId="77777777" w:rsidR="002D5B01" w:rsidRPr="002E4D55" w:rsidRDefault="002D5B01" w:rsidP="002D5B01">
      <w:pPr>
        <w:spacing w:after="0" w:line="240" w:lineRule="auto"/>
        <w:jc w:val="both"/>
        <w:rPr>
          <w:rFonts w:ascii="Arial" w:eastAsia="Calibri" w:hAnsi="Arial" w:cs="Arial"/>
        </w:rPr>
      </w:pPr>
    </w:p>
    <w:p w14:paraId="50746DA5" w14:textId="77777777" w:rsidR="002D5B01" w:rsidRPr="002E4D55" w:rsidRDefault="002D5B01" w:rsidP="002D5B01">
      <w:pPr>
        <w:spacing w:after="0" w:line="240" w:lineRule="auto"/>
        <w:jc w:val="both"/>
        <w:rPr>
          <w:rFonts w:ascii="Arial" w:eastAsia="Calibri" w:hAnsi="Arial" w:cs="Arial"/>
        </w:rPr>
      </w:pPr>
    </w:p>
    <w:p w14:paraId="1D9F38FF" w14:textId="77777777" w:rsidR="002D5B01" w:rsidRPr="002E4D55" w:rsidRDefault="002D5B01" w:rsidP="002D5B01">
      <w:pPr>
        <w:spacing w:after="0" w:line="276" w:lineRule="auto"/>
        <w:jc w:val="both"/>
        <w:rPr>
          <w:rFonts w:ascii="Arial" w:eastAsia="Calibri" w:hAnsi="Arial" w:cs="Arial"/>
        </w:rPr>
      </w:pPr>
      <w:r w:rsidRPr="002E4D55">
        <w:rPr>
          <w:rFonts w:ascii="Arial" w:eastAsia="Calibri" w:hAnsi="Arial" w:cs="Arial"/>
        </w:rPr>
        <w:t xml:space="preserve">Estimada doctora </w:t>
      </w:r>
      <w:r>
        <w:rPr>
          <w:rFonts w:ascii="Arial" w:eastAsia="Calibri" w:hAnsi="Arial" w:cs="Arial"/>
        </w:rPr>
        <w:t>Restrepo</w:t>
      </w:r>
      <w:r w:rsidRPr="002E4D55">
        <w:rPr>
          <w:rFonts w:ascii="Arial" w:eastAsia="Calibri" w:hAnsi="Arial" w:cs="Arial"/>
        </w:rPr>
        <w:t xml:space="preserve">: </w:t>
      </w:r>
    </w:p>
    <w:p w14:paraId="005A5141" w14:textId="77777777" w:rsidR="002D5B01" w:rsidRPr="002E4D55" w:rsidRDefault="002D5B01" w:rsidP="002D5B01">
      <w:pPr>
        <w:spacing w:after="0" w:line="276" w:lineRule="auto"/>
        <w:ind w:firstLine="709"/>
        <w:jc w:val="both"/>
        <w:rPr>
          <w:rFonts w:ascii="Arial" w:eastAsia="Calibri" w:hAnsi="Arial" w:cs="Arial"/>
        </w:rPr>
      </w:pPr>
    </w:p>
    <w:p w14:paraId="23EBCA16" w14:textId="77777777" w:rsidR="002D5B01" w:rsidRPr="002E4D55" w:rsidRDefault="002D5B01" w:rsidP="002D5B01">
      <w:pPr>
        <w:tabs>
          <w:tab w:val="left" w:pos="8080"/>
        </w:tabs>
        <w:spacing w:after="0" w:line="276" w:lineRule="auto"/>
        <w:jc w:val="both"/>
        <w:rPr>
          <w:rFonts w:ascii="Arial" w:eastAsia="Calibri" w:hAnsi="Arial" w:cs="Arial"/>
        </w:rPr>
      </w:pPr>
      <w:r w:rsidRPr="002E4D55">
        <w:rPr>
          <w:rFonts w:ascii="Arial" w:eastAsia="Calibri" w:hAnsi="Arial" w:cs="Arial"/>
        </w:rPr>
        <w:t>En ejercicio de la competencia otorgada por el numeral 8 del artículo 11 y el numeral 5 del artículo 3 del Decreto Ley 4170 de 2011, la Agencia Nacional de Contratación Pública – Colombia Compra Eficiente responde su consulta del</w:t>
      </w:r>
      <w:r>
        <w:rPr>
          <w:rFonts w:ascii="Arial" w:eastAsia="Calibri" w:hAnsi="Arial" w:cs="Arial"/>
        </w:rPr>
        <w:t xml:space="preserve"> 10 de marzo de 2023</w:t>
      </w:r>
      <w:r w:rsidRPr="002E4D55">
        <w:rPr>
          <w:rFonts w:ascii="Arial" w:eastAsia="Calibri" w:hAnsi="Arial" w:cs="Arial"/>
        </w:rPr>
        <w:t xml:space="preserve">.  </w:t>
      </w:r>
    </w:p>
    <w:p w14:paraId="27B46C90" w14:textId="77777777" w:rsidR="002D5B01" w:rsidRPr="002E4D55" w:rsidRDefault="002D5B01" w:rsidP="002D5B01">
      <w:pPr>
        <w:spacing w:after="0" w:line="276" w:lineRule="auto"/>
        <w:jc w:val="both"/>
        <w:rPr>
          <w:rFonts w:ascii="Arial" w:eastAsia="Calibri" w:hAnsi="Arial" w:cs="Arial"/>
        </w:rPr>
      </w:pPr>
    </w:p>
    <w:p w14:paraId="4FB58583" w14:textId="77777777" w:rsidR="002D5B01" w:rsidRPr="002E4D55" w:rsidRDefault="002D5B01" w:rsidP="002D5B01">
      <w:pPr>
        <w:tabs>
          <w:tab w:val="left" w:pos="284"/>
        </w:tabs>
        <w:spacing w:after="0" w:line="276" w:lineRule="auto"/>
        <w:jc w:val="both"/>
        <w:rPr>
          <w:rFonts w:ascii="Arial" w:eastAsia="Calibri" w:hAnsi="Arial" w:cs="Arial"/>
          <w:b/>
        </w:rPr>
      </w:pPr>
      <w:r w:rsidRPr="002E4D55">
        <w:rPr>
          <w:rFonts w:ascii="Arial" w:eastAsia="Calibri" w:hAnsi="Arial" w:cs="Arial"/>
          <w:b/>
        </w:rPr>
        <w:t xml:space="preserve">1. Problema planteado </w:t>
      </w:r>
    </w:p>
    <w:p w14:paraId="01CFCB16" w14:textId="77777777" w:rsidR="002D5B01" w:rsidRPr="002E4D55" w:rsidRDefault="002D5B01" w:rsidP="002D5B01">
      <w:pPr>
        <w:tabs>
          <w:tab w:val="left" w:pos="284"/>
        </w:tabs>
        <w:spacing w:after="0" w:line="276" w:lineRule="auto"/>
        <w:ind w:firstLine="709"/>
        <w:contextualSpacing/>
        <w:jc w:val="both"/>
        <w:rPr>
          <w:rFonts w:ascii="Arial" w:eastAsia="Calibri" w:hAnsi="Arial" w:cs="Arial"/>
          <w:b/>
        </w:rPr>
      </w:pPr>
    </w:p>
    <w:p w14:paraId="1BAEABF7" w14:textId="77777777" w:rsidR="002D5B01" w:rsidRPr="002E4D55" w:rsidRDefault="002D5B01" w:rsidP="002D5B01">
      <w:pPr>
        <w:pStyle w:val="Default"/>
        <w:spacing w:line="276" w:lineRule="auto"/>
        <w:jc w:val="both"/>
        <w:rPr>
          <w:sz w:val="22"/>
          <w:szCs w:val="22"/>
        </w:rPr>
      </w:pPr>
      <w:bookmarkStart w:id="7" w:name="_Hlk58917991"/>
      <w:bookmarkStart w:id="8" w:name="_Hlk56103000"/>
      <w:r w:rsidRPr="002E4D55">
        <w:rPr>
          <w:rFonts w:eastAsia="Times New Roman"/>
          <w:sz w:val="22"/>
          <w:szCs w:val="22"/>
          <w:lang w:eastAsia="es-CO"/>
        </w:rPr>
        <w:t xml:space="preserve">Usted realiza la siguiente pregunta: </w:t>
      </w:r>
      <w:r>
        <w:rPr>
          <w:sz w:val="22"/>
          <w:szCs w:val="22"/>
        </w:rPr>
        <w:t xml:space="preserve">“es procedente que el DAGMA en calidad de interesado suscriba acuerdos voluntarios a partir del 29 de junio de 2023, fecha en la cual entra en vigencia la Ley 996 de 2005, </w:t>
      </w:r>
      <w:proofErr w:type="gramStart"/>
      <w:r>
        <w:rPr>
          <w:sz w:val="22"/>
          <w:szCs w:val="22"/>
        </w:rPr>
        <w:t xml:space="preserve">denominada Ley de Garantías Electorales, con los </w:t>
      </w:r>
      <w:r>
        <w:rPr>
          <w:sz w:val="22"/>
          <w:szCs w:val="22"/>
        </w:rPr>
        <w:lastRenderedPageBreak/>
        <w:t>propietarios, poseedores y ocupantes de buena fe exenta de culpa, quienes actúan como beneficiarios del incentivo a la conservación PSA?</w:t>
      </w:r>
      <w:proofErr w:type="gramEnd"/>
      <w:r w:rsidRPr="002E4D55">
        <w:rPr>
          <w:sz w:val="22"/>
          <w:szCs w:val="22"/>
        </w:rPr>
        <w:t xml:space="preserve"> </w:t>
      </w:r>
      <w:r>
        <w:rPr>
          <w:sz w:val="22"/>
          <w:szCs w:val="22"/>
        </w:rPr>
        <w:t>“.</w:t>
      </w:r>
    </w:p>
    <w:p w14:paraId="1707D337" w14:textId="77777777" w:rsidR="002D5B01" w:rsidRPr="002E4D55" w:rsidRDefault="002D5B01" w:rsidP="002D5B01">
      <w:pPr>
        <w:tabs>
          <w:tab w:val="left" w:pos="426"/>
        </w:tabs>
        <w:spacing w:after="0" w:line="276" w:lineRule="auto"/>
        <w:jc w:val="both"/>
        <w:rPr>
          <w:rFonts w:ascii="Arial" w:eastAsia="Calibri" w:hAnsi="Arial" w:cs="Arial"/>
        </w:rPr>
      </w:pPr>
    </w:p>
    <w:bookmarkEnd w:id="7"/>
    <w:bookmarkEnd w:id="8"/>
    <w:p w14:paraId="223E9D1B" w14:textId="77777777" w:rsidR="002D5B01" w:rsidRPr="002E4D55" w:rsidRDefault="002D5B01" w:rsidP="002D5B01">
      <w:pPr>
        <w:tabs>
          <w:tab w:val="left" w:pos="284"/>
        </w:tabs>
        <w:spacing w:after="0" w:line="276" w:lineRule="auto"/>
        <w:jc w:val="both"/>
        <w:rPr>
          <w:rFonts w:ascii="Arial" w:eastAsia="Calibri" w:hAnsi="Arial" w:cs="Arial"/>
          <w:b/>
        </w:rPr>
      </w:pPr>
      <w:r w:rsidRPr="002E4D55">
        <w:rPr>
          <w:rFonts w:ascii="Arial" w:eastAsia="Calibri" w:hAnsi="Arial" w:cs="Arial"/>
          <w:b/>
        </w:rPr>
        <w:t>2. Consideraciones</w:t>
      </w:r>
    </w:p>
    <w:p w14:paraId="571DCA28" w14:textId="77777777" w:rsidR="002D5B01" w:rsidRPr="002E4D55" w:rsidRDefault="002D5B01" w:rsidP="002D5B01">
      <w:pPr>
        <w:tabs>
          <w:tab w:val="left" w:pos="426"/>
        </w:tabs>
        <w:spacing w:after="0" w:line="240" w:lineRule="auto"/>
        <w:ind w:firstLine="709"/>
        <w:jc w:val="both"/>
        <w:rPr>
          <w:rFonts w:ascii="Arial" w:eastAsia="Calibri" w:hAnsi="Arial" w:cs="Arial"/>
          <w:bCs/>
        </w:rPr>
      </w:pPr>
    </w:p>
    <w:p w14:paraId="2CE146F6" w14:textId="77777777" w:rsidR="002D5B01" w:rsidRPr="00BD40F9" w:rsidRDefault="002D5B01" w:rsidP="002D5B01">
      <w:pPr>
        <w:spacing w:after="120" w:line="276" w:lineRule="auto"/>
        <w:jc w:val="both"/>
        <w:rPr>
          <w:rFonts w:ascii="Arial" w:eastAsia="Calibri" w:hAnsi="Arial" w:cs="Arial"/>
          <w:lang w:val="es-ES_tradnl"/>
        </w:rPr>
      </w:pPr>
      <w:bookmarkStart w:id="9" w:name="_Hlk96420693"/>
      <w:r w:rsidRPr="00BD40F9">
        <w:rPr>
          <w:rFonts w:ascii="Arial" w:eastAsia="Arial" w:hAnsi="Arial" w:cs="Arial"/>
          <w:lang w:val="es-MX" w:eastAsia="es-ES_tradnl"/>
        </w:rPr>
        <w:t>En ejercicio de las competencias establecidas en los artículos 3</w:t>
      </w:r>
      <w:r>
        <w:rPr>
          <w:rFonts w:ascii="Arial" w:eastAsia="Arial" w:hAnsi="Arial" w:cs="Arial"/>
          <w:lang w:val="es-MX" w:eastAsia="es-ES_tradnl"/>
        </w:rPr>
        <w:t xml:space="preserve">, numeral </w:t>
      </w:r>
      <w:r w:rsidRPr="00BD40F9">
        <w:rPr>
          <w:rFonts w:ascii="Arial" w:eastAsia="Arial" w:hAnsi="Arial" w:cs="Arial"/>
          <w:lang w:val="es-MX" w:eastAsia="es-ES_tradnl"/>
        </w:rPr>
        <w:t>5</w:t>
      </w:r>
      <w:r>
        <w:rPr>
          <w:rFonts w:ascii="Arial" w:eastAsia="Arial" w:hAnsi="Arial" w:cs="Arial"/>
          <w:lang w:val="es-MX" w:eastAsia="es-ES_tradnl"/>
        </w:rPr>
        <w:t>°</w:t>
      </w:r>
      <w:r w:rsidRPr="00BD40F9">
        <w:rPr>
          <w:rFonts w:ascii="Arial" w:eastAsia="Arial" w:hAnsi="Arial" w:cs="Arial"/>
          <w:lang w:val="es-MX" w:eastAsia="es-ES_tradnl"/>
        </w:rPr>
        <w:t xml:space="preserve"> y 11</w:t>
      </w:r>
      <w:r>
        <w:rPr>
          <w:rFonts w:ascii="Arial" w:eastAsia="Arial" w:hAnsi="Arial" w:cs="Arial"/>
          <w:lang w:val="es-MX" w:eastAsia="es-ES_tradnl"/>
        </w:rPr>
        <w:t xml:space="preserve">, numeral </w:t>
      </w:r>
      <w:r w:rsidRPr="00BD40F9">
        <w:rPr>
          <w:rFonts w:ascii="Arial" w:eastAsia="Arial" w:hAnsi="Arial" w:cs="Arial"/>
          <w:lang w:val="es-MX" w:eastAsia="es-ES_tradnl"/>
        </w:rPr>
        <w:t>8</w:t>
      </w:r>
      <w:r>
        <w:rPr>
          <w:rFonts w:ascii="Arial" w:eastAsia="Arial" w:hAnsi="Arial" w:cs="Arial"/>
          <w:lang w:val="es-MX" w:eastAsia="es-ES_tradnl"/>
        </w:rPr>
        <w:t>°</w:t>
      </w:r>
      <w:r w:rsidRPr="00BD40F9">
        <w:rPr>
          <w:rFonts w:ascii="Arial" w:eastAsia="Arial" w:hAnsi="Arial" w:cs="Arial"/>
          <w:lang w:val="es-MX" w:eastAsia="es-ES_tradnl"/>
        </w:rPr>
        <w:t xml:space="preserve">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BD40F9">
        <w:rPr>
          <w:rFonts w:ascii="Arial" w:eastAsia="Arial" w:hAnsi="Arial" w:cs="Arial"/>
          <w:vertAlign w:val="superscript"/>
          <w:lang w:val="es-MX" w:eastAsia="es-ES_tradnl"/>
        </w:rPr>
        <w:footnoteReference w:id="1"/>
      </w:r>
      <w:r w:rsidRPr="00BD40F9">
        <w:rPr>
          <w:rFonts w:ascii="Arial" w:eastAsia="Arial" w:hAnsi="Arial" w:cs="Arial"/>
          <w:lang w:val="es-MX" w:eastAsia="es-ES_tradnl"/>
        </w:rPr>
        <w:t xml:space="preserve">. </w:t>
      </w:r>
      <w:r w:rsidRPr="00BD40F9">
        <w:rPr>
          <w:rFonts w:ascii="Arial" w:eastAsia="Calibri" w:hAnsi="Arial" w:cs="Arial"/>
          <w:lang w:val="es-ES_tradnl"/>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esta Agencia como una autoridad para solucionar problemas jurídicos particulares de todos los partícipes de la contratación estatal.</w:t>
      </w:r>
    </w:p>
    <w:p w14:paraId="596C0A75" w14:textId="77777777" w:rsidR="002D5B01" w:rsidRDefault="002D5B01" w:rsidP="002D5B01">
      <w:pPr>
        <w:spacing w:after="120" w:line="276" w:lineRule="auto"/>
        <w:ind w:firstLine="708"/>
        <w:jc w:val="both"/>
        <w:rPr>
          <w:rFonts w:ascii="Arial" w:eastAsia="Calibri" w:hAnsi="Arial" w:cs="Arial"/>
          <w:lang w:val="es-ES"/>
        </w:rPr>
      </w:pPr>
      <w:r w:rsidRPr="00BD40F9">
        <w:rPr>
          <w:rFonts w:ascii="Arial" w:eastAsia="Calibri" w:hAnsi="Arial" w:cs="Arial"/>
          <w:lang w:val="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r>
        <w:rPr>
          <w:rFonts w:ascii="Arial" w:eastAsia="Calibri" w:hAnsi="Arial" w:cs="Arial"/>
        </w:rPr>
        <w:t xml:space="preserve"> </w:t>
      </w:r>
      <w:r w:rsidRPr="00BD40F9">
        <w:rPr>
          <w:rFonts w:ascii="Arial" w:eastAsia="Calibri" w:hAnsi="Arial" w:cs="Arial"/>
        </w:rPr>
        <w:t xml:space="preserve">Así las cosas, </w:t>
      </w:r>
      <w:r w:rsidRPr="00BD40F9">
        <w:rPr>
          <w:rFonts w:ascii="Arial" w:eastAsia="Calibri" w:hAnsi="Arial" w:cs="Arial"/>
          <w:lang w:val="es-ES"/>
        </w:rPr>
        <w:t xml:space="preserve">la Agencia –dentro de los límites de sus atribuciones, esto es, </w:t>
      </w:r>
      <w:bookmarkStart w:id="10" w:name="_Hlk61025408"/>
      <w:r w:rsidRPr="00BD40F9">
        <w:rPr>
          <w:rFonts w:ascii="Arial" w:eastAsia="Calibri" w:hAnsi="Arial" w:cs="Arial"/>
          <w:lang w:val="es-ES"/>
        </w:rPr>
        <w:t>haciendo abstracción del caso particular expuesto</w:t>
      </w:r>
      <w:bookmarkEnd w:id="10"/>
      <w:r w:rsidRPr="00BD40F9">
        <w:rPr>
          <w:rFonts w:ascii="Arial" w:eastAsia="Calibri" w:hAnsi="Arial" w:cs="Arial"/>
          <w:lang w:val="es-ES"/>
        </w:rPr>
        <w:t xml:space="preserve">, resolverá la consulta conforme a las normas generales en materia de contratación estatal. </w:t>
      </w:r>
    </w:p>
    <w:p w14:paraId="20DA0219" w14:textId="77777777" w:rsidR="002D5B01" w:rsidRPr="00E94E28" w:rsidRDefault="002D5B01" w:rsidP="002D5B01">
      <w:pPr>
        <w:spacing w:before="120" w:after="0" w:line="276" w:lineRule="auto"/>
        <w:ind w:firstLine="709"/>
        <w:jc w:val="both"/>
        <w:rPr>
          <w:rFonts w:ascii="Arial" w:eastAsia="Calibri" w:hAnsi="Arial" w:cs="Arial"/>
          <w:lang w:val="es-ES"/>
        </w:rPr>
      </w:pPr>
      <w:r w:rsidRPr="002E4D55">
        <w:rPr>
          <w:rFonts w:ascii="Arial" w:eastAsia="Calibri" w:hAnsi="Arial" w:cs="Arial"/>
          <w:bCs/>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w:t>
      </w:r>
      <w:r w:rsidRPr="002E4D55">
        <w:rPr>
          <w:rFonts w:ascii="Arial" w:eastAsia="Calibri" w:hAnsi="Arial" w:cs="Arial"/>
          <w:bCs/>
        </w:rPr>
        <w:lastRenderedPageBreak/>
        <w:t>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C-695 del 22 de diciembre de 2021, C-699 del 6 de enero de 2022, C-700 del 6 de enero de 2021, C-723 del 28 de diciembre de 2021, C-715 del 21 de enero de 2022, C-718 del 24 de enero de 2022, C-726 del 24 de enero de 2022, C-002 del 15 de febrero de 2022, C-116 del 18 de febrero de 2022, C-163 del 29 de marzo de 2022 y C-268 de 3 de mayo de 2022</w:t>
      </w:r>
      <w:r>
        <w:rPr>
          <w:rFonts w:ascii="Arial" w:eastAsia="Calibri" w:hAnsi="Arial" w:cs="Arial"/>
          <w:bCs/>
        </w:rPr>
        <w:t xml:space="preserve">, C- 422 de 13 de febrero de 2022  y C-026 de </w:t>
      </w:r>
      <w:r w:rsidRPr="002E4D55">
        <w:rPr>
          <w:rFonts w:ascii="Arial" w:eastAsia="Calibri" w:hAnsi="Arial" w:cs="Arial"/>
          <w:bCs/>
        </w:rPr>
        <w:t>La tesis desarrollada en estos conceptos se reitera y complementa a continuación:</w:t>
      </w:r>
    </w:p>
    <w:bookmarkEnd w:id="9"/>
    <w:p w14:paraId="668F3985" w14:textId="77777777" w:rsidR="002D5B01" w:rsidRPr="002E4D55" w:rsidRDefault="002D5B01" w:rsidP="002D5B01">
      <w:pPr>
        <w:tabs>
          <w:tab w:val="left" w:pos="426"/>
        </w:tabs>
        <w:spacing w:after="0" w:line="276" w:lineRule="auto"/>
        <w:ind w:firstLine="709"/>
        <w:jc w:val="both"/>
        <w:rPr>
          <w:rFonts w:ascii="Arial" w:eastAsia="Calibri" w:hAnsi="Arial" w:cs="Arial"/>
          <w:b/>
          <w:bCs/>
        </w:rPr>
      </w:pPr>
    </w:p>
    <w:p w14:paraId="1F9E8540" w14:textId="77777777" w:rsidR="002D5B01" w:rsidRPr="002E4D55" w:rsidRDefault="002D5B01" w:rsidP="002D5B01">
      <w:pPr>
        <w:tabs>
          <w:tab w:val="left" w:pos="426"/>
        </w:tabs>
        <w:spacing w:after="0" w:line="276" w:lineRule="auto"/>
        <w:jc w:val="both"/>
        <w:rPr>
          <w:rFonts w:ascii="Arial" w:eastAsia="Calibri" w:hAnsi="Arial" w:cs="Arial"/>
          <w:b/>
          <w:bCs/>
        </w:rPr>
      </w:pPr>
      <w:r w:rsidRPr="002E4D55">
        <w:rPr>
          <w:rFonts w:ascii="Arial" w:eastAsia="Calibri" w:hAnsi="Arial" w:cs="Arial"/>
          <w:b/>
          <w:bCs/>
        </w:rPr>
        <w:t>2.1. Definición y finalidad de la Ley de Garantías Electorales: alcance de las restricciones</w:t>
      </w:r>
    </w:p>
    <w:p w14:paraId="1F6AAB3D" w14:textId="77777777" w:rsidR="002D5B01" w:rsidRPr="002E4D55" w:rsidRDefault="002D5B01" w:rsidP="002D5B01">
      <w:pPr>
        <w:tabs>
          <w:tab w:val="left" w:pos="426"/>
        </w:tabs>
        <w:spacing w:after="0" w:line="276" w:lineRule="auto"/>
        <w:ind w:firstLine="709"/>
        <w:jc w:val="both"/>
        <w:rPr>
          <w:rFonts w:ascii="Arial" w:eastAsia="Calibri" w:hAnsi="Arial" w:cs="Arial"/>
          <w:bCs/>
        </w:rPr>
      </w:pPr>
    </w:p>
    <w:p w14:paraId="5A380578" w14:textId="77777777" w:rsidR="002D5B01" w:rsidRPr="002E4D55" w:rsidRDefault="002D5B01" w:rsidP="002D5B01">
      <w:pPr>
        <w:tabs>
          <w:tab w:val="left" w:pos="426"/>
        </w:tabs>
        <w:spacing w:after="120" w:line="276" w:lineRule="auto"/>
        <w:jc w:val="both"/>
        <w:rPr>
          <w:rFonts w:ascii="Arial" w:eastAsia="Times New Roman" w:hAnsi="Arial" w:cs="Arial"/>
          <w:bCs/>
          <w:lang w:eastAsia="es-CO"/>
        </w:rPr>
      </w:pPr>
      <w:r w:rsidRPr="002E4D55">
        <w:rPr>
          <w:rFonts w:ascii="Arial" w:eastAsia="Calibri" w:hAnsi="Arial" w:cs="Arial"/>
          <w:bCs/>
        </w:rPr>
        <w:t>El ordenamiento jurídico colombiano contempla previsiones claras para evitar la obtención de beneficios personales en asuntos propios de la administración pública</w:t>
      </w:r>
      <w:r w:rsidRPr="002E4D55">
        <w:rPr>
          <w:rFonts w:ascii="Arial" w:eastAsia="Calibri" w:hAnsi="Arial" w:cs="Arial"/>
          <w:bCs/>
          <w:i/>
          <w:iCs/>
        </w:rPr>
        <w:t xml:space="preserve">. </w:t>
      </w:r>
      <w:r w:rsidRPr="002E4D55">
        <w:rPr>
          <w:rFonts w:ascii="Arial" w:eastAsia="Calibri" w:hAnsi="Arial" w:cs="Arial"/>
          <w:bCs/>
        </w:rPr>
        <w:t>Por ejemplo, el artículo 127 de la Constitución Política establece una prohibición contractual a los servidores públicos y en cuanto a aspectos políticos establece restricciones a ciertos empleados del Estado, incluso en época no electoral</w:t>
      </w:r>
      <w:r w:rsidRPr="002E4D55">
        <w:rPr>
          <w:rFonts w:ascii="Arial" w:eastAsia="Calibri" w:hAnsi="Arial" w:cs="Arial"/>
          <w:bCs/>
          <w:vertAlign w:val="superscript"/>
        </w:rPr>
        <w:footnoteReference w:id="2"/>
      </w:r>
      <w:r w:rsidRPr="002E4D55">
        <w:rPr>
          <w:rFonts w:ascii="Arial" w:eastAsia="Calibri" w:hAnsi="Arial" w:cs="Arial"/>
          <w:bCs/>
        </w:rPr>
        <w:t xml:space="preserve">. </w:t>
      </w:r>
    </w:p>
    <w:p w14:paraId="3236C348" w14:textId="77777777" w:rsidR="002D5B01" w:rsidRPr="002E4D55" w:rsidRDefault="002D5B01" w:rsidP="002D5B01">
      <w:pPr>
        <w:tabs>
          <w:tab w:val="left" w:pos="426"/>
        </w:tabs>
        <w:spacing w:after="0" w:line="276" w:lineRule="auto"/>
        <w:ind w:firstLine="709"/>
        <w:jc w:val="both"/>
        <w:rPr>
          <w:rFonts w:ascii="Arial" w:eastAsia="Times New Roman" w:hAnsi="Arial" w:cs="Arial"/>
          <w:bCs/>
          <w:lang w:val="es-MX" w:eastAsia="es-CO"/>
        </w:rPr>
      </w:pPr>
      <w:r w:rsidRPr="002E4D55">
        <w:rPr>
          <w:rFonts w:ascii="Arial" w:eastAsia="Times New Roman" w:hAnsi="Arial" w:cs="Arial"/>
          <w:bCs/>
          <w:lang w:eastAsia="es-CO"/>
        </w:rPr>
        <w:t>En el mismo sentido</w:t>
      </w:r>
      <w:r w:rsidRPr="002E4D55">
        <w:rPr>
          <w:rFonts w:ascii="Arial" w:eastAsia="Times New Roman" w:hAnsi="Arial" w:cs="Arial"/>
          <w:bCs/>
          <w:lang w:val="es-MX" w:eastAsia="es-CO"/>
        </w:rPr>
        <w:t xml:space="preserve">, la Ley 996 de 2005, conocida como </w:t>
      </w:r>
      <w:r>
        <w:rPr>
          <w:rFonts w:ascii="Arial" w:eastAsia="Times New Roman" w:hAnsi="Arial" w:cs="Arial"/>
          <w:bCs/>
          <w:lang w:val="es-MX" w:eastAsia="es-CO"/>
        </w:rPr>
        <w:t>“</w:t>
      </w:r>
      <w:r w:rsidRPr="002E4D55">
        <w:rPr>
          <w:rFonts w:ascii="Arial" w:eastAsia="Times New Roman" w:hAnsi="Arial" w:cs="Arial"/>
          <w:bCs/>
          <w:lang w:val="es-MX" w:eastAsia="es-CO"/>
        </w:rPr>
        <w:t>Ley de Garantías Electorales</w:t>
      </w:r>
      <w:r>
        <w:rPr>
          <w:rFonts w:ascii="Arial" w:eastAsia="Times New Roman" w:hAnsi="Arial" w:cs="Arial"/>
          <w:bCs/>
          <w:lang w:val="es-MX" w:eastAsia="es-CO"/>
        </w:rPr>
        <w:t>”</w:t>
      </w:r>
      <w:r w:rsidRPr="002E4D55">
        <w:rPr>
          <w:rFonts w:ascii="Arial" w:eastAsia="Times New Roman" w:hAnsi="Arial" w:cs="Arial"/>
          <w:bCs/>
          <w:lang w:val="es-MX" w:eastAsia="es-CO"/>
        </w:rPr>
        <w:t>,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2E4D55">
        <w:rPr>
          <w:rFonts w:ascii="Arial" w:eastAsia="Times New Roman" w:hAnsi="Arial" w:cs="Arial"/>
          <w:bCs/>
          <w:vertAlign w:val="superscript"/>
          <w:lang w:val="es-MX" w:eastAsia="es-CO"/>
        </w:rPr>
        <w:footnoteReference w:id="3"/>
      </w:r>
      <w:r w:rsidRPr="002E4D55">
        <w:rPr>
          <w:rFonts w:ascii="Arial" w:eastAsia="Times New Roman" w:hAnsi="Arial" w:cs="Arial"/>
          <w:bCs/>
          <w:lang w:val="es-MX" w:eastAsia="es-CO"/>
        </w:rPr>
        <w:t xml:space="preserve">. En esta medida, introduce limitaciones para realizar nombramientos, </w:t>
      </w:r>
      <w:r w:rsidRPr="002E4D55">
        <w:rPr>
          <w:rFonts w:ascii="Arial" w:eastAsia="Times New Roman" w:hAnsi="Arial" w:cs="Arial"/>
          <w:bCs/>
          <w:lang w:val="es-MX" w:eastAsia="es-CO"/>
        </w:rPr>
        <w:lastRenderedPageBreak/>
        <w:t>postulaciones, contrataciones o cualquier otro tipo de actividad que implique destinación de recursos públicos bajo el devenir propio de las entidades estatales.</w:t>
      </w:r>
      <w:r w:rsidRPr="002E4D55">
        <w:rPr>
          <w:rFonts w:ascii="Arial" w:eastAsia="Calibri" w:hAnsi="Arial" w:cs="Arial"/>
          <w:noProof/>
          <w:lang w:val="es-ES_tradnl"/>
        </w:rPr>
        <w:t xml:space="preserve"> </w:t>
      </w:r>
      <w:r w:rsidRPr="002E4D55">
        <w:rPr>
          <w:rFonts w:ascii="Arial" w:eastAsia="Times New Roman" w:hAnsi="Arial" w:cs="Arial"/>
          <w:bCs/>
          <w:lang w:val="es-MX" w:eastAsia="es-CO"/>
        </w:rPr>
        <w:t>En armonía con lo anterior, la Corte Constitucional ha abordado la definición de la Ley de Garantías Electorales. De esta manera, explica que tiene como propósito:</w:t>
      </w:r>
    </w:p>
    <w:p w14:paraId="79EE7034" w14:textId="77777777" w:rsidR="002D5B01" w:rsidRPr="002E4D55" w:rsidRDefault="002D5B01" w:rsidP="002D5B01">
      <w:pPr>
        <w:spacing w:after="0" w:line="276" w:lineRule="auto"/>
        <w:ind w:right="709"/>
        <w:jc w:val="both"/>
        <w:rPr>
          <w:rFonts w:ascii="Arial" w:eastAsia="Times New Roman" w:hAnsi="Arial" w:cs="Arial"/>
          <w:sz w:val="21"/>
          <w:szCs w:val="21"/>
          <w:lang w:val="es-ES" w:eastAsia="es-CO"/>
        </w:rPr>
      </w:pPr>
    </w:p>
    <w:p w14:paraId="4B536CEE" w14:textId="77777777" w:rsidR="002D5B01" w:rsidRPr="002E4D55" w:rsidRDefault="002D5B01" w:rsidP="002D5B01">
      <w:pPr>
        <w:spacing w:after="0" w:line="240" w:lineRule="auto"/>
        <w:ind w:left="709" w:right="709"/>
        <w:jc w:val="both"/>
        <w:rPr>
          <w:rFonts w:ascii="Arial" w:eastAsia="Times New Roman" w:hAnsi="Arial" w:cs="Arial"/>
          <w:bCs/>
          <w:sz w:val="21"/>
          <w:szCs w:val="21"/>
          <w:lang w:val="es-MX" w:eastAsia="es-CO"/>
        </w:rPr>
      </w:pPr>
      <w:r>
        <w:rPr>
          <w:rFonts w:ascii="Arial" w:eastAsia="Times New Roman" w:hAnsi="Arial" w:cs="Arial"/>
          <w:sz w:val="21"/>
          <w:szCs w:val="21"/>
          <w:lang w:val="es-ES" w:eastAsia="es-CO"/>
        </w:rPr>
        <w:t>“</w:t>
      </w:r>
      <w:r w:rsidRPr="002E4D55">
        <w:rPr>
          <w:rFonts w:ascii="Arial" w:eastAsia="Times New Roman" w:hAnsi="Arial" w:cs="Arial"/>
          <w:sz w:val="21"/>
          <w:szCs w:val="21"/>
          <w:lang w:val="es-ES" w:eastAsia="es-CO"/>
        </w:rPr>
        <w:t xml:space="preserve">[…] </w:t>
      </w:r>
      <w:r w:rsidRPr="002E4D55">
        <w:rPr>
          <w:rFonts w:ascii="Arial" w:eastAsia="Times New Roman"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5A86D1FB" w14:textId="77777777" w:rsidR="002D5B01" w:rsidRPr="002E4D55" w:rsidRDefault="002D5B01" w:rsidP="002D5B01">
      <w:pPr>
        <w:spacing w:after="120" w:line="240" w:lineRule="auto"/>
        <w:ind w:left="709" w:right="709"/>
        <w:jc w:val="both"/>
        <w:rPr>
          <w:rFonts w:ascii="Arial" w:eastAsia="Times New Roman" w:hAnsi="Arial" w:cs="Arial"/>
          <w:bCs/>
          <w:sz w:val="21"/>
          <w:szCs w:val="21"/>
          <w:lang w:val="es-MX" w:eastAsia="es-CO"/>
        </w:rPr>
      </w:pPr>
      <w:r w:rsidRPr="002E4D55">
        <w:rPr>
          <w:rFonts w:ascii="Arial" w:eastAsia="Times New Roman" w:hAnsi="Arial" w:cs="Arial"/>
          <w:bCs/>
          <w:sz w:val="21"/>
          <w:szCs w:val="21"/>
          <w:lang w:val="es-MX" w:eastAsia="es-CO"/>
        </w:rPr>
        <w:t xml:space="preserve">[…] </w:t>
      </w:r>
    </w:p>
    <w:p w14:paraId="01327D21" w14:textId="77777777" w:rsidR="002D5B01" w:rsidRPr="002E4D55" w:rsidRDefault="002D5B01" w:rsidP="002D5B01">
      <w:pPr>
        <w:spacing w:after="0" w:line="240" w:lineRule="auto"/>
        <w:ind w:left="709" w:right="709"/>
        <w:jc w:val="both"/>
        <w:rPr>
          <w:rFonts w:ascii="Arial" w:eastAsia="Times New Roman" w:hAnsi="Arial" w:cs="Arial"/>
          <w:bCs/>
          <w:sz w:val="21"/>
          <w:szCs w:val="21"/>
          <w:lang w:val="es-MX" w:eastAsia="es-CO"/>
        </w:rPr>
      </w:pPr>
      <w:r w:rsidRPr="002E4D55">
        <w:rPr>
          <w:rFonts w:ascii="Arial" w:eastAsia="Times New Roman"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Pr>
          <w:rFonts w:ascii="Arial" w:eastAsia="Times New Roman" w:hAnsi="Arial" w:cs="Arial"/>
          <w:bCs/>
          <w:sz w:val="21"/>
          <w:szCs w:val="21"/>
          <w:lang w:val="es-MX" w:eastAsia="es-CO"/>
        </w:rPr>
        <w:t>”</w:t>
      </w:r>
      <w:r w:rsidRPr="002E4D55">
        <w:rPr>
          <w:rFonts w:ascii="Arial" w:eastAsia="Times New Roman" w:hAnsi="Arial" w:cs="Arial"/>
          <w:bCs/>
          <w:sz w:val="21"/>
          <w:szCs w:val="21"/>
          <w:lang w:val="es-MX" w:eastAsia="es-CO"/>
        </w:rPr>
        <w:t>.</w:t>
      </w:r>
      <w:r w:rsidRPr="002E4D55">
        <w:rPr>
          <w:rFonts w:ascii="Arial" w:eastAsia="Calibri" w:hAnsi="Arial" w:cs="Arial"/>
          <w:sz w:val="20"/>
          <w:szCs w:val="20"/>
          <w:vertAlign w:val="superscript"/>
          <w:lang w:val="es-MX"/>
        </w:rPr>
        <w:footnoteReference w:id="4"/>
      </w:r>
    </w:p>
    <w:p w14:paraId="08F70088" w14:textId="77777777" w:rsidR="002D5B01" w:rsidRPr="002E4D55" w:rsidRDefault="002D5B01" w:rsidP="002D5B01">
      <w:pPr>
        <w:spacing w:after="0" w:line="276" w:lineRule="auto"/>
        <w:ind w:left="709" w:right="709"/>
        <w:jc w:val="both"/>
        <w:rPr>
          <w:rFonts w:ascii="Arial" w:eastAsia="Times New Roman" w:hAnsi="Arial" w:cs="Arial"/>
          <w:bCs/>
          <w:sz w:val="21"/>
          <w:szCs w:val="21"/>
          <w:lang w:val="es-MX" w:eastAsia="es-CO"/>
        </w:rPr>
      </w:pPr>
    </w:p>
    <w:p w14:paraId="06DC14F6" w14:textId="77777777" w:rsidR="002D5B01" w:rsidRPr="002E4D55" w:rsidRDefault="002D5B01" w:rsidP="002D5B01">
      <w:pPr>
        <w:spacing w:after="0" w:line="276" w:lineRule="auto"/>
        <w:ind w:firstLine="709"/>
        <w:jc w:val="both"/>
        <w:rPr>
          <w:rFonts w:ascii="Arial" w:eastAsia="Times New Roman" w:hAnsi="Arial" w:cs="Arial"/>
          <w:bCs/>
          <w:lang w:val="es-MX" w:eastAsia="es-CO"/>
        </w:rPr>
      </w:pPr>
      <w:bookmarkStart w:id="11" w:name="_Hlk78818186"/>
      <w:r w:rsidRPr="002E4D55">
        <w:rPr>
          <w:rFonts w:ascii="Arial" w:eastAsia="Times New Roman" w:hAnsi="Arial" w:cs="Arial"/>
          <w:bCs/>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1"/>
      <w:r w:rsidRPr="002E4D55">
        <w:rPr>
          <w:rFonts w:ascii="Arial" w:eastAsia="Times New Roman" w:hAnsi="Arial" w:cs="Arial"/>
          <w:bCs/>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441CDF25" w14:textId="77777777" w:rsidR="002D5B01" w:rsidRPr="002E4D55" w:rsidRDefault="002D5B01" w:rsidP="002D5B01">
      <w:pPr>
        <w:spacing w:after="0" w:line="276" w:lineRule="auto"/>
        <w:ind w:firstLine="709"/>
        <w:jc w:val="both"/>
        <w:rPr>
          <w:rFonts w:ascii="Arial" w:eastAsia="Times New Roman" w:hAnsi="Arial" w:cs="Arial"/>
          <w:bCs/>
          <w:lang w:val="es-MX" w:eastAsia="es-CO"/>
        </w:rPr>
      </w:pPr>
    </w:p>
    <w:p w14:paraId="22A9725C" w14:textId="77777777" w:rsidR="002D5B01" w:rsidRPr="002E4D55" w:rsidRDefault="002D5B01" w:rsidP="002D5B01">
      <w:pPr>
        <w:spacing w:after="120" w:line="240" w:lineRule="auto"/>
        <w:ind w:left="709" w:right="709"/>
        <w:jc w:val="both"/>
        <w:rPr>
          <w:rFonts w:ascii="Arial" w:eastAsia="Times New Roman" w:hAnsi="Arial" w:cs="Arial"/>
          <w:bCs/>
          <w:sz w:val="21"/>
          <w:szCs w:val="21"/>
          <w:lang w:val="es-MX" w:eastAsia="es-CO"/>
        </w:rPr>
      </w:pPr>
      <w:r>
        <w:rPr>
          <w:rFonts w:ascii="Arial" w:eastAsia="Times New Roman" w:hAnsi="Arial" w:cs="Arial"/>
          <w:bCs/>
          <w:sz w:val="21"/>
          <w:szCs w:val="21"/>
          <w:lang w:val="es-MX" w:eastAsia="es-CO"/>
        </w:rPr>
        <w:t>“</w:t>
      </w:r>
      <w:r w:rsidRPr="002E4D55">
        <w:rPr>
          <w:rFonts w:ascii="Arial" w:eastAsia="Times New Roman"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2E4D55">
        <w:rPr>
          <w:rFonts w:ascii="Arial" w:eastAsia="Times New Roman" w:hAnsi="Arial" w:cs="Arial"/>
          <w:bCs/>
          <w:sz w:val="21"/>
          <w:szCs w:val="21"/>
          <w:lang w:val="es-MX" w:eastAsia="es-CO"/>
        </w:rPr>
        <w:t>legis</w:t>
      </w:r>
      <w:proofErr w:type="spellEnd"/>
      <w:r w:rsidRPr="002E4D55">
        <w:rPr>
          <w:rFonts w:ascii="Arial" w:eastAsia="Times New Roman" w:hAnsi="Arial"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59950265" w14:textId="77777777" w:rsidR="002D5B01" w:rsidRPr="002E4D55" w:rsidRDefault="002D5B01" w:rsidP="002D5B01">
      <w:pPr>
        <w:spacing w:after="0" w:line="240" w:lineRule="auto"/>
        <w:ind w:left="709" w:right="709"/>
        <w:jc w:val="both"/>
        <w:rPr>
          <w:rFonts w:ascii="Arial" w:eastAsia="Times New Roman" w:hAnsi="Arial" w:cs="Arial"/>
          <w:bCs/>
          <w:sz w:val="21"/>
          <w:szCs w:val="21"/>
          <w:lang w:val="es-MX" w:eastAsia="es-CO"/>
        </w:rPr>
      </w:pPr>
      <w:r w:rsidRPr="002E4D55">
        <w:rPr>
          <w:rFonts w:ascii="Arial" w:eastAsia="Times New Roman" w:hAnsi="Arial" w:cs="Arial"/>
          <w:bCs/>
          <w:sz w:val="21"/>
          <w:szCs w:val="21"/>
          <w:lang w:val="es-MX" w:eastAsia="es-CO"/>
        </w:rPr>
        <w:t>La jurisprudencia de la Corte Constitucional</w:t>
      </w:r>
      <w:r w:rsidRPr="002E4D55">
        <w:rPr>
          <w:rFonts w:ascii="Arial" w:eastAsia="Times New Roman" w:hAnsi="Arial" w:cs="Arial"/>
          <w:bCs/>
          <w:sz w:val="21"/>
          <w:szCs w:val="21"/>
          <w:vertAlign w:val="superscript"/>
          <w:lang w:val="es-MX" w:eastAsia="es-CO"/>
        </w:rPr>
        <w:footnoteReference w:id="5"/>
      </w:r>
      <w:r w:rsidRPr="002E4D55">
        <w:rPr>
          <w:rFonts w:ascii="Arial" w:eastAsia="Times New Roman" w:hAnsi="Arial" w:cs="Arial"/>
          <w:bCs/>
          <w:sz w:val="21"/>
          <w:szCs w:val="21"/>
          <w:lang w:val="es-MX" w:eastAsia="es-CO"/>
        </w:rPr>
        <w:t> y del Consejo de Estado</w:t>
      </w:r>
      <w:r w:rsidRPr="002E4D55">
        <w:rPr>
          <w:rFonts w:ascii="Arial" w:eastAsia="Times New Roman" w:hAnsi="Arial" w:cs="Arial"/>
          <w:bCs/>
          <w:sz w:val="21"/>
          <w:szCs w:val="21"/>
          <w:vertAlign w:val="superscript"/>
          <w:lang w:val="es-MX" w:eastAsia="es-CO"/>
        </w:rPr>
        <w:footnoteReference w:id="6"/>
      </w:r>
      <w:r w:rsidRPr="002E4D55">
        <w:rPr>
          <w:rFonts w:ascii="Arial" w:eastAsia="Times New Roman" w:hAnsi="Arial" w:cs="Arial"/>
          <w:bCs/>
          <w:sz w:val="21"/>
          <w:szCs w:val="21"/>
          <w:lang w:val="es-MX" w:eastAsia="es-CO"/>
        </w:rPr>
        <w:t xml:space="preserve">, coinciden en que las normas que establecen prohibiciones deben estar de manera explícita </w:t>
      </w:r>
      <w:r w:rsidRPr="002E4D55">
        <w:rPr>
          <w:rFonts w:ascii="Arial" w:eastAsia="Times New Roman" w:hAnsi="Arial" w:cs="Arial"/>
          <w:bCs/>
          <w:sz w:val="21"/>
          <w:szCs w:val="21"/>
          <w:lang w:val="es-MX" w:eastAsia="es-CO"/>
        </w:rPr>
        <w:lastRenderedPageBreak/>
        <w:t>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Pr>
          <w:rFonts w:ascii="Arial" w:eastAsia="Times New Roman" w:hAnsi="Arial" w:cs="Arial"/>
          <w:bCs/>
          <w:sz w:val="21"/>
          <w:szCs w:val="21"/>
          <w:lang w:val="es-MX" w:eastAsia="es-CO"/>
        </w:rPr>
        <w:t>”</w:t>
      </w:r>
      <w:r w:rsidRPr="002E4D55">
        <w:rPr>
          <w:rFonts w:ascii="Arial" w:eastAsia="Times New Roman" w:hAnsi="Arial" w:cs="Arial"/>
          <w:bCs/>
          <w:vertAlign w:val="superscript"/>
          <w:lang w:val="es-MX" w:eastAsia="es-CO"/>
        </w:rPr>
        <w:footnoteReference w:id="7"/>
      </w:r>
      <w:r w:rsidRPr="002E4D55">
        <w:rPr>
          <w:rFonts w:ascii="Arial" w:eastAsia="Times New Roman" w:hAnsi="Arial" w:cs="Arial"/>
          <w:bCs/>
          <w:sz w:val="21"/>
          <w:szCs w:val="21"/>
          <w:lang w:val="es-MX" w:eastAsia="es-CO"/>
        </w:rPr>
        <w:t>.</w:t>
      </w:r>
    </w:p>
    <w:p w14:paraId="4489C7C4" w14:textId="77777777" w:rsidR="002D5B01" w:rsidRPr="002E4D55" w:rsidRDefault="002D5B01" w:rsidP="002D5B01">
      <w:pPr>
        <w:spacing w:after="0" w:line="276" w:lineRule="auto"/>
        <w:ind w:right="709"/>
        <w:jc w:val="both"/>
        <w:rPr>
          <w:rFonts w:ascii="Arial" w:eastAsia="Times New Roman" w:hAnsi="Arial" w:cs="Arial"/>
          <w:bCs/>
          <w:sz w:val="21"/>
          <w:szCs w:val="21"/>
          <w:lang w:val="es-MX" w:eastAsia="es-CO"/>
        </w:rPr>
      </w:pPr>
    </w:p>
    <w:p w14:paraId="74C17355" w14:textId="77777777" w:rsidR="002D5B01" w:rsidRPr="002E4D55" w:rsidRDefault="002D5B01" w:rsidP="002D5B01">
      <w:pPr>
        <w:spacing w:after="120" w:line="276" w:lineRule="auto"/>
        <w:jc w:val="both"/>
        <w:rPr>
          <w:rFonts w:ascii="Arial" w:eastAsia="Arial" w:hAnsi="Arial" w:cs="Arial"/>
          <w:lang w:val="es-ES" w:eastAsia="es-ES" w:bidi="es-ES"/>
        </w:rPr>
      </w:pPr>
      <w:r w:rsidRPr="002E4D55">
        <w:rPr>
          <w:rFonts w:ascii="Arial" w:eastAsia="Times New Roman" w:hAnsi="Arial" w:cs="Arial"/>
          <w:bCs/>
          <w:lang w:val="es-MX" w:eastAsia="es-CO"/>
        </w:rPr>
        <w:tab/>
        <w:t>De</w:t>
      </w:r>
      <w:r w:rsidRPr="002E4D55">
        <w:rPr>
          <w:rFonts w:ascii="Arial" w:eastAsia="Arial" w:hAnsi="Arial" w:cs="Arial"/>
          <w:lang w:val="es-ES" w:eastAsia="es-ES" w:bidi="es-ES"/>
        </w:rPr>
        <w:t xml:space="preserve"> conformidad con lo anterior, </w:t>
      </w:r>
      <w:bookmarkStart w:id="12" w:name="_Hlk77236098"/>
      <w:r w:rsidRPr="002E4D55">
        <w:rPr>
          <w:rFonts w:ascii="Arial" w:eastAsia="Arial" w:hAnsi="Arial" w:cs="Arial"/>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12"/>
    </w:p>
    <w:p w14:paraId="3C726882" w14:textId="77777777" w:rsidR="002D5B01" w:rsidRPr="002E4D55" w:rsidRDefault="002D5B01" w:rsidP="002D5B01">
      <w:pPr>
        <w:spacing w:after="120" w:line="276" w:lineRule="auto"/>
        <w:ind w:firstLine="708"/>
        <w:jc w:val="both"/>
        <w:rPr>
          <w:rFonts w:ascii="Arial" w:eastAsia="Calibri" w:hAnsi="Arial" w:cs="Arial"/>
        </w:rPr>
      </w:pPr>
      <w:r w:rsidRPr="002E4D55">
        <w:rPr>
          <w:rFonts w:ascii="Arial" w:eastAsia="Calibri" w:hAnsi="Arial" w:cs="Arial"/>
        </w:rPr>
        <w:t xml:space="preserve">Por un lado, el artículo 33 de la Ley 996 de 2005 prohíbe </w:t>
      </w:r>
      <w:r>
        <w:rPr>
          <w:rFonts w:ascii="Arial" w:eastAsia="Calibri" w:hAnsi="Arial" w:cs="Arial"/>
          <w:bCs/>
        </w:rPr>
        <w:t>“</w:t>
      </w:r>
      <w:r w:rsidRPr="002E4D55">
        <w:rPr>
          <w:rFonts w:ascii="Arial" w:eastAsia="Calibri" w:hAnsi="Arial" w:cs="Arial"/>
          <w:bCs/>
        </w:rPr>
        <w:t xml:space="preserve">[…] </w:t>
      </w:r>
      <w:r w:rsidRPr="002E4D55">
        <w:rPr>
          <w:rFonts w:ascii="Arial" w:eastAsia="Calibri" w:hAnsi="Arial" w:cs="Arial"/>
        </w:rPr>
        <w:t>la contratación directa por parte de todos los entes del Estado</w:t>
      </w:r>
      <w:r>
        <w:rPr>
          <w:rFonts w:ascii="Arial" w:eastAsia="Calibri" w:hAnsi="Arial" w:cs="Arial"/>
          <w:bCs/>
        </w:rPr>
        <w:t>”</w:t>
      </w:r>
      <w:r w:rsidRPr="002E4D55">
        <w:rPr>
          <w:rFonts w:ascii="Arial" w:eastAsia="Calibri" w:hAnsi="Arial" w:cs="Arial"/>
        </w:rPr>
        <w:t xml:space="preserve"> durante los cuatro (4) meses anteriores a las elecciones presidenciales, salvo </w:t>
      </w:r>
      <w:r>
        <w:rPr>
          <w:rFonts w:ascii="Arial" w:eastAsia="Calibri" w:hAnsi="Arial" w:cs="Arial"/>
          <w:bCs/>
        </w:rPr>
        <w:t>“</w:t>
      </w:r>
      <w:r w:rsidRPr="002E4D55">
        <w:rPr>
          <w:rFonts w:ascii="Arial" w:eastAsia="Calibri" w:hAnsi="Arial" w:cs="Arial"/>
          <w:bCs/>
        </w:rPr>
        <w:t xml:space="preserve">[…] </w:t>
      </w:r>
      <w:r w:rsidRPr="002E4D55">
        <w:rPr>
          <w:rFonts w:ascii="Arial" w:eastAsia="Calibri" w:hAnsi="Arial" w:cs="Aria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Pr>
          <w:rFonts w:ascii="Arial" w:eastAsia="Calibri" w:hAnsi="Arial" w:cs="Arial"/>
          <w:bCs/>
        </w:rPr>
        <w:t>”</w:t>
      </w:r>
      <w:r w:rsidRPr="002E4D55">
        <w:rPr>
          <w:rFonts w:ascii="Arial" w:eastAsia="Calibri" w:hAnsi="Arial" w:cs="Arial"/>
          <w:bCs/>
          <w:vertAlign w:val="superscript"/>
        </w:rPr>
        <w:footnoteReference w:id="8"/>
      </w:r>
      <w:r w:rsidRPr="002E4D55">
        <w:rPr>
          <w:rFonts w:ascii="Arial" w:eastAsia="Calibri" w:hAnsi="Arial" w:cs="Arial"/>
        </w:rPr>
        <w:t>.</w:t>
      </w:r>
    </w:p>
    <w:p w14:paraId="0C201AF9" w14:textId="77777777" w:rsidR="002D5B01" w:rsidRPr="002E4D55" w:rsidRDefault="002D5B01" w:rsidP="002D5B01">
      <w:pPr>
        <w:widowControl w:val="0"/>
        <w:autoSpaceDE w:val="0"/>
        <w:autoSpaceDN w:val="0"/>
        <w:spacing w:after="0" w:line="276" w:lineRule="auto"/>
        <w:ind w:right="113" w:firstLine="708"/>
        <w:jc w:val="both"/>
        <w:rPr>
          <w:rFonts w:ascii="Arial" w:eastAsia="Arial" w:hAnsi="Arial" w:cs="Arial"/>
          <w:lang w:val="es-ES" w:eastAsia="es-ES" w:bidi="es-ES"/>
        </w:rPr>
      </w:pPr>
      <w:r w:rsidRPr="002E4D55">
        <w:rPr>
          <w:rFonts w:ascii="Arial" w:eastAsia="Calibri" w:hAnsi="Arial" w:cs="Aria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Pr>
          <w:rFonts w:ascii="Arial" w:eastAsia="Calibri" w:hAnsi="Arial" w:cs="Arial"/>
          <w:bCs/>
        </w:rPr>
        <w:t>“</w:t>
      </w:r>
      <w:r w:rsidRPr="002E4D55">
        <w:rPr>
          <w:rFonts w:ascii="Arial" w:eastAsia="Calibri" w:hAnsi="Arial" w:cs="Arial"/>
          <w:bCs/>
        </w:rPr>
        <w:t xml:space="preserve">[…] </w:t>
      </w:r>
      <w:r w:rsidRPr="002E4D55">
        <w:rPr>
          <w:rFonts w:ascii="Arial" w:eastAsia="Calibri" w:hAnsi="Arial" w:cs="Arial"/>
          <w:lang w:val="es-MX"/>
        </w:rPr>
        <w:t xml:space="preserve">celebrar convenios interadministrativos para la ejecución de recursos públicos, ni participar, </w:t>
      </w:r>
      <w:r w:rsidRPr="002E4D55">
        <w:rPr>
          <w:rFonts w:ascii="Arial" w:eastAsia="Calibri" w:hAnsi="Arial" w:cs="Arial"/>
          <w:lang w:val="es-MX"/>
        </w:rPr>
        <w:lastRenderedPageBreak/>
        <w:t>promover y destinar recursos públicos de las entidades a su cargo, como tampoco de las que participen como miembros de sus juntas directivas, en o para reuniones de carácter proselitista</w:t>
      </w:r>
      <w:r>
        <w:rPr>
          <w:rFonts w:ascii="Arial" w:eastAsia="Calibri" w:hAnsi="Arial" w:cs="Arial"/>
          <w:bCs/>
          <w:sz w:val="19"/>
          <w:szCs w:val="19"/>
        </w:rPr>
        <w:t>”</w:t>
      </w:r>
      <w:r w:rsidRPr="002E4D55">
        <w:rPr>
          <w:rFonts w:ascii="Arial" w:eastAsia="Calibri" w:hAnsi="Arial" w:cs="Arial"/>
          <w:bCs/>
          <w:sz w:val="19"/>
          <w:szCs w:val="19"/>
          <w:vertAlign w:val="superscript"/>
        </w:rPr>
        <w:footnoteReference w:id="9"/>
      </w:r>
      <w:r w:rsidRPr="002E4D55">
        <w:rPr>
          <w:rFonts w:ascii="Arial" w:eastAsia="Calibri" w:hAnsi="Arial" w:cs="Arial"/>
          <w:lang w:val="es-MX"/>
        </w:rPr>
        <w:t>.</w:t>
      </w:r>
      <w:r w:rsidRPr="002E4D55">
        <w:rPr>
          <w:rFonts w:ascii="Arial" w:eastAsia="Arial" w:hAnsi="Arial" w:cs="Arial"/>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46B76A78" w14:textId="77777777" w:rsidR="002D5B01" w:rsidRPr="002E4D55" w:rsidRDefault="002D5B01" w:rsidP="002D5B01">
      <w:pPr>
        <w:widowControl w:val="0"/>
        <w:autoSpaceDE w:val="0"/>
        <w:autoSpaceDN w:val="0"/>
        <w:spacing w:after="0" w:line="276" w:lineRule="auto"/>
        <w:ind w:left="805" w:right="812"/>
        <w:jc w:val="both"/>
        <w:rPr>
          <w:rFonts w:ascii="Arial" w:eastAsia="Arial" w:hAnsi="Arial" w:cs="Arial"/>
          <w:lang w:val="es-ES" w:eastAsia="es-ES" w:bidi="es-ES"/>
        </w:rPr>
      </w:pPr>
    </w:p>
    <w:p w14:paraId="057C5749" w14:textId="77777777" w:rsidR="002D5B01" w:rsidRPr="002E4D55" w:rsidRDefault="002D5B01" w:rsidP="002D5B01">
      <w:pPr>
        <w:widowControl w:val="0"/>
        <w:autoSpaceDE w:val="0"/>
        <w:autoSpaceDN w:val="0"/>
        <w:spacing w:after="0" w:line="240" w:lineRule="auto"/>
        <w:ind w:left="709" w:right="709"/>
        <w:jc w:val="both"/>
        <w:rPr>
          <w:rFonts w:ascii="Arial" w:eastAsia="Arial" w:hAnsi="Arial" w:cs="Arial"/>
          <w:sz w:val="21"/>
          <w:szCs w:val="21"/>
          <w:lang w:val="es-ES" w:eastAsia="es-ES" w:bidi="es-ES"/>
        </w:rPr>
      </w:pPr>
      <w:r w:rsidRPr="002E4D55">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5" w:name="_Hlk76109421"/>
      <w:r w:rsidRPr="002E4D55">
        <w:rPr>
          <w:rFonts w:ascii="Arial" w:eastAsia="Arial" w:hAnsi="Arial" w:cs="Arial"/>
          <w:sz w:val="21"/>
          <w:szCs w:val="21"/>
          <w:lang w:val="es-ES" w:eastAsia="es-ES" w:bidi="es-ES"/>
        </w:rPr>
        <w:t>se integran parcialmente</w:t>
      </w:r>
      <w:bookmarkEnd w:id="15"/>
      <w:r w:rsidRPr="002E4D55">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2E4D55">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2E4D55">
        <w:rPr>
          <w:rFonts w:ascii="Arial" w:eastAsia="Arial" w:hAnsi="Arial" w:cs="Arial"/>
          <w:sz w:val="21"/>
          <w:szCs w:val="21"/>
          <w:lang w:val="es-ES" w:eastAsia="es-ES" w:bidi="es-ES"/>
        </w:rPr>
        <w:t>.</w:t>
      </w:r>
      <w:r w:rsidRPr="002E4D55">
        <w:rPr>
          <w:rFonts w:ascii="Arial" w:eastAsia="Arial" w:hAnsi="Arial" w:cs="Arial"/>
          <w:sz w:val="21"/>
          <w:szCs w:val="21"/>
          <w:vertAlign w:val="superscript"/>
          <w:lang w:val="es-ES" w:eastAsia="es-ES" w:bidi="es-ES"/>
        </w:rPr>
        <w:footnoteReference w:id="10"/>
      </w:r>
    </w:p>
    <w:p w14:paraId="0E2D4F42" w14:textId="77777777" w:rsidR="002D5B01" w:rsidRPr="002E4D55" w:rsidRDefault="002D5B01" w:rsidP="002D5B01">
      <w:pPr>
        <w:widowControl w:val="0"/>
        <w:autoSpaceDE w:val="0"/>
        <w:autoSpaceDN w:val="0"/>
        <w:spacing w:before="8" w:after="0" w:line="276" w:lineRule="auto"/>
        <w:rPr>
          <w:rFonts w:ascii="Arial" w:eastAsia="Arial" w:hAnsi="Arial" w:cs="Arial"/>
          <w:lang w:val="es-ES" w:eastAsia="es-ES" w:bidi="es-ES"/>
        </w:rPr>
      </w:pPr>
    </w:p>
    <w:p w14:paraId="7B46523E" w14:textId="77777777" w:rsidR="002D5B01" w:rsidRPr="002E4D55" w:rsidRDefault="002D5B01" w:rsidP="002D5B01">
      <w:pPr>
        <w:spacing w:after="120" w:line="276" w:lineRule="auto"/>
        <w:ind w:firstLine="709"/>
        <w:jc w:val="both"/>
        <w:rPr>
          <w:rFonts w:ascii="Arial" w:eastAsia="Arial" w:hAnsi="Arial" w:cs="Arial"/>
          <w:lang w:val="es-ES" w:eastAsia="es-ES" w:bidi="es-ES"/>
        </w:rPr>
      </w:pPr>
      <w:r w:rsidRPr="002E4D55">
        <w:rPr>
          <w:rFonts w:ascii="Arial" w:eastAsia="Arial" w:hAnsi="Arial" w:cs="Arial"/>
          <w:lang w:val="es-ES" w:eastAsia="es-ES" w:bidi="es-ES"/>
        </w:rPr>
        <w:t>De conformidad con lo anterior</w:t>
      </w:r>
      <w:bookmarkStart w:id="16" w:name="_Hlk99438241"/>
      <w:r w:rsidRPr="002E4D55">
        <w:rPr>
          <w:rFonts w:ascii="Arial" w:eastAsia="Arial" w:hAnsi="Arial" w:cs="Arial"/>
          <w:lang w:val="es-ES" w:eastAsia="es-ES" w:bidi="es-ES"/>
        </w:rPr>
        <w:t xml:space="preserve">, </w:t>
      </w:r>
      <w:bookmarkStart w:id="17" w:name="_Hlk77236420"/>
      <w:bookmarkStart w:id="18" w:name="_Hlk78818435"/>
      <w:bookmarkStart w:id="19" w:name="_Hlk75780333"/>
      <w:r w:rsidRPr="002E4D55">
        <w:rPr>
          <w:rFonts w:ascii="Arial" w:eastAsia="Arial" w:hAnsi="Arial" w:cs="Arial"/>
          <w:lang w:val="es-ES" w:eastAsia="es-ES" w:bidi="es-ES"/>
        </w:rPr>
        <w:t xml:space="preserve">la Ley 996 de 2005 establece dos (2) tipos de restricciones en materia de contratación, las cuales coinciden parcialmente. </w:t>
      </w:r>
      <w:r w:rsidRPr="002E4D55">
        <w:rPr>
          <w:rFonts w:ascii="Arial" w:eastAsia="Arial" w:hAnsi="Arial" w:cs="Arial"/>
          <w:i/>
          <w:iCs/>
          <w:lang w:val="es-ES" w:eastAsia="es-ES" w:bidi="es-ES"/>
        </w:rPr>
        <w:t>En primer lugar</w:t>
      </w:r>
      <w:r w:rsidRPr="002E4D55">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2E4D55">
        <w:rPr>
          <w:rFonts w:ascii="Arial" w:eastAsia="Arial" w:hAnsi="Arial" w:cs="Arial"/>
          <w:i/>
          <w:iCs/>
          <w:lang w:val="es-ES" w:eastAsia="es-ES" w:bidi="es-ES"/>
        </w:rPr>
        <w:t>En segundo lugar</w:t>
      </w:r>
      <w:r w:rsidRPr="002E4D55">
        <w:rPr>
          <w:rFonts w:ascii="Arial" w:eastAsia="Arial" w:hAnsi="Arial" w:cs="Arial"/>
          <w:lang w:val="es-ES" w:eastAsia="es-ES" w:bidi="es-ES"/>
        </w:rPr>
        <w:t xml:space="preserve">, también se encuentra la prohibición del parágrafo del artículo 38, el cual debe </w:t>
      </w:r>
      <w:r w:rsidRPr="002E4D55">
        <w:rPr>
          <w:rFonts w:ascii="Arial" w:eastAsia="Arial" w:hAnsi="Arial" w:cs="Arial"/>
          <w:lang w:val="es-ES" w:eastAsia="es-ES" w:bidi="es-ES"/>
        </w:rPr>
        <w:lastRenderedPageBreak/>
        <w:t>aplicarse respecto de cualquier tipo de contienda electoral, y que prohíbe la celebración de convenios interadministrativos que impliquen la ejecución de recursos públicos dentro de los cuatro (4) meses anteriores a la respectiva jornada de votaciones.</w:t>
      </w:r>
      <w:bookmarkEnd w:id="17"/>
    </w:p>
    <w:bookmarkEnd w:id="16"/>
    <w:bookmarkEnd w:id="18"/>
    <w:p w14:paraId="53CE085D" w14:textId="77777777" w:rsidR="002D5B01" w:rsidRPr="002E4D55" w:rsidRDefault="002D5B01" w:rsidP="002D5B01">
      <w:pPr>
        <w:spacing w:after="120" w:line="276" w:lineRule="auto"/>
        <w:ind w:firstLine="709"/>
        <w:jc w:val="both"/>
        <w:rPr>
          <w:rFonts w:ascii="Arial" w:eastAsia="Arial" w:hAnsi="Arial" w:cs="Arial"/>
          <w:lang w:val="es-ES" w:eastAsia="es-ES" w:bidi="es-ES"/>
        </w:rPr>
      </w:pPr>
      <w:r w:rsidRPr="002E4D55">
        <w:rPr>
          <w:rFonts w:ascii="Arial" w:eastAsia="Arial" w:hAnsi="Arial" w:cs="Arial"/>
          <w:lang w:val="es-ES" w:eastAsia="es-ES" w:bidi="es-ES"/>
        </w:rPr>
        <w:t xml:space="preserve">Ambas restricciones no son excluyentes, lo que permite concluir que en el período preelectoral para elección de </w:t>
      </w:r>
      <w:proofErr w:type="gramStart"/>
      <w:r w:rsidRPr="002E4D55">
        <w:rPr>
          <w:rFonts w:ascii="Arial" w:eastAsia="Arial" w:hAnsi="Arial" w:cs="Arial"/>
          <w:lang w:val="es-ES" w:eastAsia="es-ES" w:bidi="es-ES"/>
        </w:rPr>
        <w:t>Presidente</w:t>
      </w:r>
      <w:proofErr w:type="gramEnd"/>
      <w:r w:rsidRPr="002E4D55">
        <w:rPr>
          <w:rFonts w:ascii="Arial" w:eastAsia="Arial" w:hAnsi="Arial" w:cs="Arial"/>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bookmarkEnd w:id="19"/>
    <w:p w14:paraId="2223AABC" w14:textId="77777777" w:rsidR="002D5B01" w:rsidRPr="002E4D55" w:rsidRDefault="002D5B01" w:rsidP="002D5B01">
      <w:pPr>
        <w:spacing w:after="0" w:line="276" w:lineRule="auto"/>
        <w:ind w:firstLine="708"/>
        <w:jc w:val="both"/>
        <w:rPr>
          <w:rFonts w:ascii="Arial" w:eastAsia="Arial" w:hAnsi="Arial" w:cs="Arial"/>
          <w:lang w:val="es-ES" w:eastAsia="es-ES" w:bidi="es-ES"/>
        </w:rPr>
      </w:pPr>
      <w:r w:rsidRPr="002E4D55">
        <w:rPr>
          <w:rFonts w:ascii="Arial" w:eastAsia="Arial" w:hAnsi="Arial" w:cs="Arial"/>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4D59A4B2" w14:textId="77777777" w:rsidR="002D5B01" w:rsidRPr="002E4D55" w:rsidRDefault="002D5B01" w:rsidP="002D5B01">
      <w:pPr>
        <w:spacing w:after="0" w:line="276" w:lineRule="auto"/>
        <w:jc w:val="both"/>
        <w:rPr>
          <w:rFonts w:ascii="Arial" w:eastAsia="Times New Roman" w:hAnsi="Arial" w:cs="Arial"/>
          <w:bCs/>
          <w:lang w:val="es-ES" w:eastAsia="es-CO"/>
        </w:rPr>
      </w:pPr>
    </w:p>
    <w:p w14:paraId="03101590" w14:textId="77777777" w:rsidR="002D5B01" w:rsidRPr="002E4D55" w:rsidRDefault="002D5B01" w:rsidP="002D5B01">
      <w:pPr>
        <w:spacing w:after="0" w:line="276" w:lineRule="auto"/>
        <w:jc w:val="both"/>
        <w:rPr>
          <w:rFonts w:ascii="Arial" w:eastAsia="Times New Roman" w:hAnsi="Arial" w:cs="Arial"/>
          <w:b/>
          <w:lang w:val="es-ES" w:eastAsia="es-CO"/>
        </w:rPr>
      </w:pPr>
      <w:r w:rsidRPr="002E4D55">
        <w:rPr>
          <w:rFonts w:ascii="Arial" w:eastAsia="Times New Roman" w:hAnsi="Arial" w:cs="Arial"/>
          <w:b/>
          <w:lang w:val="es-ES" w:eastAsia="es-CO"/>
        </w:rPr>
        <w:t xml:space="preserve">2.2. </w:t>
      </w:r>
      <w:r w:rsidRPr="00CE74D2">
        <w:rPr>
          <w:rFonts w:ascii="Arial" w:eastAsia="Times New Roman" w:hAnsi="Arial" w:cs="Arial"/>
          <w:b/>
          <w:bCs/>
          <w:lang w:val="es-MX" w:eastAsia="es-CO"/>
        </w:rPr>
        <w:t>Restricciones para la celebración de contratos y convenios interadministrativos en los comicios para cargos de elección popular</w:t>
      </w:r>
      <w:r w:rsidRPr="002E4D55">
        <w:rPr>
          <w:rFonts w:ascii="Arial" w:eastAsia="Times New Roman" w:hAnsi="Arial" w:cs="Arial"/>
          <w:b/>
          <w:bCs/>
          <w:lang w:val="es-MX" w:eastAsia="es-CO"/>
        </w:rPr>
        <w:t xml:space="preserve">. Alcance frente a los acuerdos voluntarios de conservación </w:t>
      </w:r>
    </w:p>
    <w:p w14:paraId="1B17E113" w14:textId="77777777" w:rsidR="002D5B01" w:rsidRPr="00CE74D2" w:rsidRDefault="002D5B01" w:rsidP="002D5B01">
      <w:pPr>
        <w:tabs>
          <w:tab w:val="left" w:pos="426"/>
        </w:tabs>
        <w:spacing w:after="0" w:line="276" w:lineRule="auto"/>
        <w:jc w:val="both"/>
        <w:rPr>
          <w:rFonts w:ascii="Arial" w:eastAsia="Calibri" w:hAnsi="Arial" w:cs="Arial"/>
          <w:bCs/>
          <w:lang w:val="es-MX"/>
        </w:rPr>
      </w:pPr>
      <w:bookmarkStart w:id="20" w:name="_Hlk88210558"/>
      <w:bookmarkStart w:id="21" w:name="_Hlk75784645"/>
    </w:p>
    <w:p w14:paraId="7E224C60" w14:textId="77777777" w:rsidR="002D5B01" w:rsidRDefault="002D5B01" w:rsidP="002D5B01">
      <w:pPr>
        <w:tabs>
          <w:tab w:val="left" w:pos="426"/>
        </w:tabs>
        <w:spacing w:after="120" w:line="276" w:lineRule="auto"/>
        <w:jc w:val="both"/>
        <w:rPr>
          <w:rFonts w:ascii="Arial" w:eastAsia="Times New Roman" w:hAnsi="Arial" w:cs="Arial"/>
          <w:bCs/>
          <w:iCs/>
          <w:lang w:val="es-MX" w:eastAsia="x-none"/>
        </w:rPr>
      </w:pPr>
      <w:r w:rsidRPr="00CE74D2">
        <w:rPr>
          <w:rFonts w:ascii="Arial" w:eastAsia="Calibri" w:hAnsi="Arial" w:cs="Arial"/>
          <w:bCs/>
          <w:lang w:val="es-MX"/>
        </w:rPr>
        <w:t xml:space="preserve">El parágrafo del artículo 38 de </w:t>
      </w:r>
      <w:r>
        <w:rPr>
          <w:rFonts w:ascii="Arial" w:eastAsia="Calibri" w:hAnsi="Arial" w:cs="Arial"/>
          <w:bCs/>
          <w:lang w:val="es-MX"/>
        </w:rPr>
        <w:t>la Ley 996 de 2005 dispone que “</w:t>
      </w:r>
      <w:r w:rsidRPr="00CE74D2">
        <w:rPr>
          <w:rFonts w:ascii="Arial" w:eastAsia="Calibri" w:hAnsi="Arial" w:cs="Arial"/>
          <w:bCs/>
          <w:lang w:val="es-MX"/>
        </w:rPr>
        <w:t>[l]os Gobernadores, Alcaldes Municipales y/o Distritales, Secretarios, Gerentes y directores de Entidades Descentralizadas del orden Municipal, Departamental o Distrital, dentro de los cuatro (4) meses anteriores a las elecciones, no podrán celebrar convenios interadministrativos para la</w:t>
      </w:r>
      <w:r>
        <w:rPr>
          <w:rFonts w:ascii="Arial" w:eastAsia="Calibri" w:hAnsi="Arial" w:cs="Arial"/>
          <w:bCs/>
          <w:lang w:val="es-MX"/>
        </w:rPr>
        <w:t xml:space="preserve"> ejecución de recursos públicos”</w:t>
      </w:r>
      <w:r w:rsidRPr="00CE74D2">
        <w:rPr>
          <w:rFonts w:ascii="Arial" w:eastAsia="Calibri" w:hAnsi="Arial" w:cs="Arial"/>
          <w:bCs/>
          <w:lang w:val="es-MX"/>
        </w:rPr>
        <w:t>.</w:t>
      </w:r>
      <w:r w:rsidRPr="00CE74D2">
        <w:rPr>
          <w:rFonts w:ascii="Arial" w:eastAsia="Times New Roman" w:hAnsi="Arial" w:cs="Arial"/>
          <w:bCs/>
          <w:iCs/>
          <w:lang w:val="es-MX" w:eastAsia="x-none"/>
        </w:rPr>
        <w:t xml:space="preserve"> </w:t>
      </w:r>
      <w:bookmarkEnd w:id="20"/>
      <w:r w:rsidRPr="00CE74D2">
        <w:rPr>
          <w:rFonts w:ascii="Arial" w:eastAsia="Times New Roman" w:hAnsi="Arial" w:cs="Arial"/>
          <w:bCs/>
          <w:iCs/>
          <w:lang w:val="es-MX"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CE74D2">
        <w:rPr>
          <w:rFonts w:ascii="Arial" w:eastAsia="Times New Roman" w:hAnsi="Arial" w:cs="Arial"/>
          <w:bCs/>
          <w:iCs/>
          <w:vertAlign w:val="superscript"/>
          <w:lang w:val="es-MX" w:eastAsia="x-none"/>
        </w:rPr>
        <w:footnoteReference w:id="11"/>
      </w:r>
      <w:r w:rsidRPr="00CE74D2">
        <w:rPr>
          <w:rFonts w:ascii="Arial" w:eastAsia="Times New Roman" w:hAnsi="Arial" w:cs="Arial"/>
          <w:bCs/>
          <w:iCs/>
          <w:lang w:val="es-MX" w:eastAsia="x-none"/>
        </w:rPr>
        <w:t>.</w:t>
      </w:r>
    </w:p>
    <w:p w14:paraId="04D8F1BE" w14:textId="77777777" w:rsidR="002D5B01" w:rsidRPr="00CE74D2" w:rsidRDefault="002D5B01" w:rsidP="002D5B01">
      <w:pPr>
        <w:tabs>
          <w:tab w:val="left" w:pos="426"/>
        </w:tabs>
        <w:spacing w:after="120" w:line="276" w:lineRule="auto"/>
        <w:ind w:firstLine="425"/>
        <w:jc w:val="both"/>
        <w:rPr>
          <w:rFonts w:ascii="Arial" w:eastAsia="Times New Roman" w:hAnsi="Arial" w:cs="Arial"/>
          <w:bCs/>
          <w:iCs/>
          <w:lang w:eastAsia="x-none"/>
        </w:rPr>
      </w:pPr>
      <w:r w:rsidRPr="00CE74D2">
        <w:rPr>
          <w:rFonts w:ascii="Arial" w:eastAsia="Calibri" w:hAnsi="Arial" w:cs="Arial"/>
          <w:bCs/>
          <w:lang w:eastAsia="es-ES" w:bidi="es-ES"/>
        </w:rPr>
        <w:t xml:space="preserve">Ahora bien, </w:t>
      </w:r>
      <w:bookmarkStart w:id="22" w:name="_Hlk78820161"/>
      <w:r w:rsidRPr="00CE74D2">
        <w:rPr>
          <w:rFonts w:ascii="Arial" w:eastAsia="Calibri" w:hAnsi="Arial" w:cs="Arial"/>
          <w:bCs/>
          <w:lang w:eastAsia="es-ES" w:bidi="es-ES"/>
        </w:rPr>
        <w:t xml:space="preserve">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w:t>
      </w:r>
      <w:r w:rsidRPr="00CE74D2">
        <w:rPr>
          <w:rFonts w:ascii="Arial" w:eastAsia="Calibri" w:hAnsi="Arial" w:cs="Arial"/>
          <w:bCs/>
          <w:lang w:eastAsia="es-ES" w:bidi="es-ES"/>
        </w:rPr>
        <w:lastRenderedPageBreak/>
        <w:t>entidades estatales</w:t>
      </w:r>
      <w:r w:rsidRPr="00CE74D2">
        <w:rPr>
          <w:rFonts w:ascii="Arial" w:eastAsia="Calibri" w:hAnsi="Arial" w:cs="Arial"/>
          <w:bCs/>
          <w:lang w:eastAsia="es-ES" w:bidi="es-ES"/>
        </w:rPr>
        <w:footnoteReference w:id="12"/>
      </w:r>
      <w:r w:rsidRPr="00CE74D2">
        <w:rPr>
          <w:rFonts w:ascii="Arial" w:eastAsia="Calibri" w:hAnsi="Arial" w:cs="Arial"/>
          <w:bCs/>
          <w:lang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bookmarkStart w:id="23" w:name="_Hlk78820654"/>
      <w:bookmarkEnd w:id="22"/>
    </w:p>
    <w:p w14:paraId="11BECB09" w14:textId="77777777" w:rsidR="002D5B01" w:rsidRDefault="002D5B01" w:rsidP="002D5B01">
      <w:pPr>
        <w:widowControl w:val="0"/>
        <w:autoSpaceDE w:val="0"/>
        <w:autoSpaceDN w:val="0"/>
        <w:spacing w:after="120" w:line="276" w:lineRule="auto"/>
        <w:ind w:firstLine="709"/>
        <w:jc w:val="both"/>
        <w:rPr>
          <w:rFonts w:ascii="Arial" w:eastAsia="Calibri" w:hAnsi="Arial" w:cs="Arial"/>
          <w:bCs/>
          <w:lang w:eastAsia="es-ES" w:bidi="es-ES"/>
        </w:rPr>
      </w:pPr>
      <w:r w:rsidRPr="00CE74D2">
        <w:rPr>
          <w:rFonts w:ascii="Arial" w:eastAsia="Calibri" w:hAnsi="Arial" w:cs="Arial"/>
          <w:bCs/>
          <w:lang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bookmarkEnd w:id="23"/>
    </w:p>
    <w:p w14:paraId="5F7FD6E8" w14:textId="77777777" w:rsidR="002D5B01" w:rsidRDefault="002D5B01" w:rsidP="002D5B01">
      <w:pPr>
        <w:widowControl w:val="0"/>
        <w:autoSpaceDE w:val="0"/>
        <w:autoSpaceDN w:val="0"/>
        <w:spacing w:after="120" w:line="276" w:lineRule="auto"/>
        <w:ind w:firstLine="709"/>
        <w:jc w:val="both"/>
        <w:rPr>
          <w:rFonts w:ascii="Arial" w:eastAsia="Calibri" w:hAnsi="Arial" w:cs="Arial"/>
          <w:bCs/>
          <w:lang w:eastAsia="es-ES" w:bidi="es-ES"/>
        </w:rPr>
      </w:pPr>
      <w:r w:rsidRPr="00CE74D2">
        <w:rPr>
          <w:rFonts w:ascii="Arial" w:eastAsia="Calibri" w:hAnsi="Arial" w:cs="Arial"/>
          <w:bCs/>
          <w:lang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CE74D2">
        <w:rPr>
          <w:rFonts w:ascii="Arial" w:eastAsia="Calibri" w:hAnsi="Arial" w:cs="Arial"/>
          <w:bCs/>
          <w:lang w:eastAsia="es-ES" w:bidi="es-ES"/>
        </w:rPr>
        <w:footnoteReference w:id="13"/>
      </w:r>
      <w:r w:rsidRPr="00CE74D2">
        <w:rPr>
          <w:rFonts w:ascii="Arial" w:eastAsia="Calibri" w:hAnsi="Arial" w:cs="Arial"/>
          <w:bCs/>
          <w:lang w:eastAsia="es-ES" w:bidi="es-ES"/>
        </w:rPr>
        <w:t xml:space="preserve">. Nótese que, en este caso, lo que cambia es la modalidad de selección y no la naturaleza </w:t>
      </w:r>
      <w:r>
        <w:rPr>
          <w:rFonts w:ascii="Arial" w:eastAsia="Calibri" w:hAnsi="Arial" w:cs="Arial"/>
          <w:bCs/>
          <w:lang w:eastAsia="es-ES" w:bidi="es-ES"/>
        </w:rPr>
        <w:t xml:space="preserve">de contrato interadministrativo. </w:t>
      </w:r>
    </w:p>
    <w:p w14:paraId="46647CCA" w14:textId="77777777" w:rsidR="002D5B01" w:rsidRPr="00CE74D2" w:rsidRDefault="002D5B01" w:rsidP="002D5B01">
      <w:pPr>
        <w:widowControl w:val="0"/>
        <w:autoSpaceDE w:val="0"/>
        <w:autoSpaceDN w:val="0"/>
        <w:spacing w:after="120" w:line="276" w:lineRule="auto"/>
        <w:ind w:firstLine="709"/>
        <w:jc w:val="both"/>
        <w:rPr>
          <w:rFonts w:ascii="Arial" w:eastAsia="Calibri" w:hAnsi="Arial" w:cs="Arial"/>
          <w:bCs/>
          <w:lang w:eastAsia="es-ES" w:bidi="es-ES"/>
        </w:rPr>
      </w:pPr>
      <w:r w:rsidRPr="00CE74D2">
        <w:rPr>
          <w:rFonts w:ascii="Arial" w:eastAsia="Calibri" w:hAnsi="Arial" w:cs="Arial"/>
          <w:bCs/>
          <w:lang w:eastAsia="es-ES" w:bidi="es-ES"/>
        </w:rPr>
        <w:t xml:space="preserve">La Corte Constitucional expresó en </w:t>
      </w:r>
      <w:r>
        <w:rPr>
          <w:rFonts w:ascii="Arial" w:eastAsia="Calibri" w:hAnsi="Arial" w:cs="Arial"/>
          <w:bCs/>
          <w:lang w:eastAsia="es-ES" w:bidi="es-ES"/>
        </w:rPr>
        <w:t>la Sentencia C–671 de 2015 que “</w:t>
      </w:r>
      <w:r w:rsidRPr="00CE74D2">
        <w:rPr>
          <w:rFonts w:ascii="Arial" w:eastAsia="Calibri" w:hAnsi="Arial" w:cs="Arial"/>
          <w:bCs/>
          <w:lang w:eastAsia="es-ES" w:bidi="es-ES"/>
        </w:rPr>
        <w:t>Lo que hace interadministrativo a un contrato o convenio no es el procedimiento de selección aplicable, sino la calidad de los sujetos contratantes, esto es que las dos partes de la relación jurídica contractual formen par</w:t>
      </w:r>
      <w:r>
        <w:rPr>
          <w:rFonts w:ascii="Arial" w:eastAsia="Calibri" w:hAnsi="Arial" w:cs="Arial"/>
          <w:bCs/>
          <w:lang w:eastAsia="es-ES" w:bidi="es-ES"/>
        </w:rPr>
        <w:t>te de la administración pública”</w:t>
      </w:r>
      <w:r w:rsidRPr="00CE74D2">
        <w:rPr>
          <w:rFonts w:ascii="Arial" w:eastAsia="Calibri" w:hAnsi="Arial" w:cs="Arial"/>
          <w:bCs/>
          <w:lang w:eastAsia="es-ES" w:bidi="es-ES"/>
        </w:rPr>
        <w:t>.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18142A8D" w14:textId="77777777" w:rsidR="002D5B01" w:rsidRPr="00CE74D2" w:rsidRDefault="002D5B01" w:rsidP="002D5B01">
      <w:pPr>
        <w:spacing w:after="0" w:line="240" w:lineRule="auto"/>
        <w:ind w:left="709" w:right="709"/>
        <w:jc w:val="both"/>
        <w:rPr>
          <w:rFonts w:ascii="Arial" w:eastAsia="Calibri" w:hAnsi="Arial" w:cs="Arial"/>
          <w:bCs/>
          <w:sz w:val="21"/>
          <w:szCs w:val="21"/>
          <w:lang w:val="es-MX"/>
        </w:rPr>
      </w:pPr>
      <w:r>
        <w:rPr>
          <w:rFonts w:ascii="Arial" w:eastAsia="Calibri" w:hAnsi="Arial" w:cs="Arial"/>
          <w:bCs/>
          <w:sz w:val="21"/>
          <w:szCs w:val="21"/>
          <w:lang w:val="es-MX"/>
        </w:rPr>
        <w:t>“</w:t>
      </w:r>
      <w:r w:rsidRPr="00CE74D2">
        <w:rPr>
          <w:rFonts w:ascii="Arial" w:eastAsia="Calibri" w:hAnsi="Arial" w:cs="Arial"/>
          <w:bCs/>
          <w:sz w:val="21"/>
          <w:szCs w:val="21"/>
          <w:lang w:val="es-MX"/>
        </w:rPr>
        <w:t xml:space="preserve">[…]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w:t>
      </w:r>
      <w:r w:rsidRPr="00CE74D2">
        <w:rPr>
          <w:rFonts w:ascii="Arial" w:eastAsia="Calibri" w:hAnsi="Arial" w:cs="Arial"/>
          <w:bCs/>
          <w:sz w:val="21"/>
          <w:szCs w:val="21"/>
          <w:lang w:val="es-MX"/>
        </w:rPr>
        <w:lastRenderedPageBreak/>
        <w:t>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Pr>
          <w:rFonts w:ascii="Arial" w:eastAsia="Calibri" w:hAnsi="Arial" w:cs="Arial"/>
          <w:bCs/>
          <w:sz w:val="21"/>
          <w:szCs w:val="21"/>
          <w:lang w:val="es-MX"/>
        </w:rPr>
        <w:t>”</w:t>
      </w:r>
      <w:r w:rsidRPr="00CE74D2">
        <w:rPr>
          <w:rFonts w:ascii="Arial" w:eastAsia="Calibri" w:hAnsi="Arial" w:cs="Arial"/>
          <w:bCs/>
          <w:sz w:val="21"/>
          <w:szCs w:val="21"/>
          <w:vertAlign w:val="superscript"/>
          <w:lang w:val="es-MX"/>
        </w:rPr>
        <w:footnoteReference w:id="14"/>
      </w:r>
      <w:r>
        <w:rPr>
          <w:rFonts w:ascii="Arial" w:eastAsia="Calibri" w:hAnsi="Arial" w:cs="Arial"/>
          <w:bCs/>
          <w:sz w:val="21"/>
          <w:szCs w:val="21"/>
          <w:lang w:val="es-MX"/>
        </w:rPr>
        <w:t xml:space="preserve">. </w:t>
      </w:r>
    </w:p>
    <w:p w14:paraId="58B11C8B" w14:textId="77777777" w:rsidR="002D5B01" w:rsidRPr="00CE74D2" w:rsidRDefault="002D5B01" w:rsidP="002D5B01">
      <w:pPr>
        <w:spacing w:after="0" w:line="276" w:lineRule="auto"/>
        <w:ind w:left="709" w:right="709"/>
        <w:jc w:val="both"/>
        <w:rPr>
          <w:rFonts w:ascii="Arial" w:eastAsia="Calibri" w:hAnsi="Arial" w:cs="Arial"/>
          <w:bCs/>
          <w:sz w:val="24"/>
          <w:lang w:val="es-MX"/>
        </w:rPr>
      </w:pPr>
    </w:p>
    <w:p w14:paraId="1DA0D89D" w14:textId="77777777" w:rsidR="002D5B01" w:rsidRPr="00CE74D2" w:rsidRDefault="002D5B01" w:rsidP="002D5B01">
      <w:pPr>
        <w:widowControl w:val="0"/>
        <w:autoSpaceDE w:val="0"/>
        <w:autoSpaceDN w:val="0"/>
        <w:spacing w:after="120" w:line="276" w:lineRule="auto"/>
        <w:ind w:firstLine="709"/>
        <w:jc w:val="both"/>
        <w:rPr>
          <w:rFonts w:ascii="Arial" w:eastAsia="Calibri" w:hAnsi="Arial" w:cs="Arial"/>
          <w:bCs/>
          <w:lang w:eastAsia="es-ES" w:bidi="es-ES"/>
        </w:rPr>
      </w:pPr>
      <w:r w:rsidRPr="00CE74D2">
        <w:rPr>
          <w:rFonts w:ascii="Arial" w:eastAsia="Calibri" w:hAnsi="Arial" w:cs="Arial"/>
          <w:bCs/>
          <w:lang w:eastAsia="es-ES" w:bidi="es-ES"/>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3EA2C9E4" w14:textId="77777777" w:rsidR="002D5B01" w:rsidRPr="00CE74D2" w:rsidRDefault="002D5B01" w:rsidP="002D5B01">
      <w:pPr>
        <w:widowControl w:val="0"/>
        <w:autoSpaceDE w:val="0"/>
        <w:autoSpaceDN w:val="0"/>
        <w:spacing w:after="120" w:line="276" w:lineRule="auto"/>
        <w:ind w:firstLine="709"/>
        <w:jc w:val="both"/>
        <w:rPr>
          <w:rFonts w:ascii="Arial" w:eastAsia="Calibri" w:hAnsi="Arial" w:cs="Arial"/>
          <w:bCs/>
          <w:lang w:eastAsia="es-ES" w:bidi="es-ES"/>
        </w:rPr>
      </w:pPr>
      <w:r w:rsidRPr="00CE74D2">
        <w:rPr>
          <w:rFonts w:ascii="Arial" w:eastAsia="Calibri" w:hAnsi="Arial" w:cs="Arial"/>
          <w:bCs/>
          <w:lang w:eastAsia="es-ES" w:bidi="es-ES"/>
        </w:rPr>
        <w:t>Así las cosas, la ley no l</w:t>
      </w:r>
      <w:r>
        <w:rPr>
          <w:rFonts w:ascii="Arial" w:eastAsia="Calibri" w:hAnsi="Arial" w:cs="Arial"/>
          <w:bCs/>
          <w:lang w:eastAsia="es-ES" w:bidi="es-ES"/>
        </w:rPr>
        <w:t>imitó la celebración de convenio</w:t>
      </w:r>
      <w:r w:rsidRPr="00CE74D2">
        <w:rPr>
          <w:rFonts w:ascii="Arial" w:eastAsia="Calibri" w:hAnsi="Arial" w:cs="Arial"/>
          <w:bCs/>
          <w:lang w:eastAsia="es-ES" w:bidi="es-ES"/>
        </w:rPr>
        <w:t xml:space="preserve">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w:t>
      </w:r>
    </w:p>
    <w:p w14:paraId="0627F4EA" w14:textId="77777777" w:rsidR="002D5B01" w:rsidRPr="00CE74D2" w:rsidRDefault="002D5B01" w:rsidP="002D5B01">
      <w:pPr>
        <w:widowControl w:val="0"/>
        <w:autoSpaceDE w:val="0"/>
        <w:autoSpaceDN w:val="0"/>
        <w:spacing w:after="120" w:line="276" w:lineRule="auto"/>
        <w:ind w:firstLine="708"/>
        <w:jc w:val="both"/>
        <w:rPr>
          <w:rFonts w:ascii="Arial" w:eastAsia="Calibri" w:hAnsi="Arial" w:cs="Arial"/>
          <w:lang w:eastAsia="es-ES" w:bidi="es-ES"/>
        </w:rPr>
      </w:pPr>
      <w:r w:rsidRPr="00CE74D2">
        <w:rPr>
          <w:rFonts w:ascii="Arial" w:eastAsia="Calibri" w:hAnsi="Arial" w:cs="Arial"/>
          <w:lang w:eastAsia="es-ES" w:bidi="es-ES"/>
        </w:rPr>
        <w:t>En este sentido, es pertinente destacar que el Decreto 1082 de 2015 dispo</w:t>
      </w:r>
      <w:r>
        <w:rPr>
          <w:rFonts w:ascii="Arial" w:eastAsia="Calibri" w:hAnsi="Arial" w:cs="Arial"/>
          <w:lang w:eastAsia="es-ES" w:bidi="es-ES"/>
        </w:rPr>
        <w:t xml:space="preserve">ne que los </w:t>
      </w:r>
      <w:proofErr w:type="gramStart"/>
      <w:r>
        <w:rPr>
          <w:rFonts w:ascii="Arial" w:eastAsia="Calibri" w:hAnsi="Arial" w:cs="Arial"/>
          <w:lang w:eastAsia="es-ES" w:bidi="es-ES"/>
        </w:rPr>
        <w:t xml:space="preserve">convenios </w:t>
      </w:r>
      <w:r w:rsidRPr="00CE74D2">
        <w:rPr>
          <w:rFonts w:ascii="Arial" w:eastAsia="Calibri" w:hAnsi="Arial" w:cs="Arial"/>
          <w:lang w:eastAsia="es-ES" w:bidi="es-ES"/>
        </w:rPr>
        <w:t xml:space="preserve"> interadministrativos</w:t>
      </w:r>
      <w:proofErr w:type="gramEnd"/>
      <w:r w:rsidRPr="00CE74D2">
        <w:rPr>
          <w:rFonts w:ascii="Arial" w:eastAsia="Calibri" w:hAnsi="Arial" w:cs="Arial"/>
          <w:lang w:eastAsia="es-ES" w:bidi="es-ES"/>
        </w:rPr>
        <w:t>,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45EB7A9E" w14:textId="77777777" w:rsidR="002D5B01" w:rsidRPr="00CE74D2" w:rsidRDefault="002D5B01" w:rsidP="002D5B01">
      <w:pPr>
        <w:widowControl w:val="0"/>
        <w:autoSpaceDE w:val="0"/>
        <w:autoSpaceDN w:val="0"/>
        <w:spacing w:after="120" w:line="276" w:lineRule="auto"/>
        <w:ind w:firstLine="708"/>
        <w:jc w:val="both"/>
        <w:rPr>
          <w:rFonts w:ascii="Arial" w:eastAsia="Calibri" w:hAnsi="Arial" w:cs="Arial"/>
          <w:bCs/>
          <w:vertAlign w:val="superscript"/>
          <w:lang w:eastAsia="es-ES" w:bidi="es-ES"/>
        </w:rPr>
      </w:pPr>
      <w:r w:rsidRPr="00CE74D2">
        <w:rPr>
          <w:rFonts w:ascii="Arial" w:eastAsia="Calibri" w:hAnsi="Arial" w:cs="Arial"/>
          <w:bCs/>
          <w:lang w:eastAsia="es-ES" w:bidi="es-ES"/>
        </w:rPr>
        <w:t xml:space="preserve">Por tanto, aunque el artículo 95 de la Ley 489 de 1998 dispone que </w:t>
      </w:r>
      <w:r>
        <w:rPr>
          <w:rFonts w:ascii="Arial" w:eastAsia="Calibri" w:hAnsi="Arial" w:cs="Arial"/>
          <w:bCs/>
          <w:lang w:eastAsia="es-ES" w:bidi="es-ES"/>
        </w:rPr>
        <w:t>“</w:t>
      </w:r>
      <w:r w:rsidRPr="00CE74D2">
        <w:rPr>
          <w:rFonts w:ascii="Arial" w:eastAsia="Calibri" w:hAnsi="Arial" w:cs="Arial"/>
          <w:bCs/>
          <w:lang w:eastAsia="es-ES" w:bidi="es-ES"/>
        </w:rPr>
        <w:t>Las entidades públicas podrán asociarse con el fin de cooperar en el cumplimiento de funciones administrativas o de prestar conjuntamente servicios que se hallen a su cargo, mediante la celebración de convenios interadministrativos […]</w:t>
      </w:r>
      <w:r>
        <w:rPr>
          <w:rFonts w:ascii="Arial" w:eastAsia="Calibri" w:hAnsi="Arial" w:cs="Arial"/>
          <w:bCs/>
          <w:lang w:eastAsia="es-ES" w:bidi="es-ES"/>
        </w:rPr>
        <w:t>”</w:t>
      </w:r>
      <w:r w:rsidRPr="00CE74D2">
        <w:rPr>
          <w:rFonts w:ascii="Arial" w:eastAsia="Calibri" w:hAnsi="Arial" w:cs="Arial"/>
          <w:bCs/>
          <w:lang w:eastAsia="es-ES" w:bidi="es-ES"/>
        </w:rPr>
        <w:t xml:space="preserve">, esto no significa que dichos acuerdos estén exceptuados del Estatuto General de Contratación de la Administración Pública por no tener carácter contractual. Por ello, la jurisprudencia considera que </w:t>
      </w:r>
      <w:r>
        <w:rPr>
          <w:rFonts w:ascii="Arial" w:eastAsia="Calibri" w:hAnsi="Arial" w:cs="Arial"/>
          <w:bCs/>
          <w:lang w:eastAsia="es-ES" w:bidi="es-ES"/>
        </w:rPr>
        <w:t>“</w:t>
      </w:r>
      <w:r w:rsidRPr="00CE74D2">
        <w:rPr>
          <w:rFonts w:ascii="Arial" w:eastAsia="Calibri" w:hAnsi="Arial" w:cs="Arial"/>
          <w:bCs/>
          <w:lang w:eastAsia="es-ES" w:bidi="es-ES"/>
        </w:rPr>
        <w:t xml:space="preserve">Estos convenios cuentan con las características propias de los contratos, cuando su objeto lo constituyen </w:t>
      </w:r>
      <w:r w:rsidRPr="00CE74D2">
        <w:rPr>
          <w:rFonts w:ascii="Arial" w:eastAsia="Calibri" w:hAnsi="Arial" w:cs="Arial"/>
          <w:bCs/>
          <w:lang w:eastAsia="es-ES" w:bidi="es-ES"/>
        </w:rPr>
        <w:lastRenderedPageBreak/>
        <w:t>obligaciones patrimoniales, y las entidades estatales que los conforman están sujetas tanto a la normativa contractual pública, como a las normas del derecho civil […]</w:t>
      </w:r>
      <w:r>
        <w:rPr>
          <w:rFonts w:ascii="Arial" w:eastAsia="Calibri" w:hAnsi="Arial" w:cs="Arial"/>
          <w:bCs/>
          <w:lang w:eastAsia="es-ES" w:bidi="es-ES"/>
        </w:rPr>
        <w:t>”</w:t>
      </w:r>
      <w:r w:rsidRPr="00CE74D2">
        <w:rPr>
          <w:rFonts w:ascii="Arial" w:eastAsia="Calibri" w:hAnsi="Arial" w:cs="Arial"/>
          <w:bCs/>
          <w:vertAlign w:val="superscript"/>
          <w:lang w:eastAsia="es-ES" w:bidi="es-ES"/>
        </w:rPr>
        <w:footnoteReference w:id="15"/>
      </w:r>
      <w:r w:rsidRPr="00CE74D2">
        <w:rPr>
          <w:rFonts w:ascii="Arial" w:eastAsia="Calibri" w:hAnsi="Arial" w:cs="Arial"/>
          <w:bCs/>
          <w:vertAlign w:val="superscript"/>
          <w:lang w:eastAsia="es-ES" w:bidi="es-ES"/>
        </w:rPr>
        <w:t>.</w:t>
      </w:r>
      <w:bookmarkStart w:id="24" w:name="_Hlk77171241"/>
    </w:p>
    <w:p w14:paraId="75CBCF6B" w14:textId="77777777" w:rsidR="002D5B01" w:rsidRPr="00CE74D2" w:rsidRDefault="002D5B01" w:rsidP="002D5B01">
      <w:pPr>
        <w:widowControl w:val="0"/>
        <w:autoSpaceDE w:val="0"/>
        <w:autoSpaceDN w:val="0"/>
        <w:spacing w:after="120" w:line="276" w:lineRule="auto"/>
        <w:ind w:firstLine="709"/>
        <w:jc w:val="both"/>
        <w:rPr>
          <w:rFonts w:ascii="Arial" w:eastAsia="Calibri" w:hAnsi="Arial" w:cs="Arial"/>
          <w:bCs/>
          <w:lang w:eastAsia="es-ES" w:bidi="es-ES"/>
        </w:rPr>
      </w:pPr>
      <w:r w:rsidRPr="00CE74D2">
        <w:rPr>
          <w:rFonts w:ascii="Arial" w:eastAsia="Calibri" w:hAnsi="Arial" w:cs="Arial"/>
          <w:bCs/>
          <w:lang w:eastAsia="es-ES" w:bidi="es-ES"/>
        </w:rPr>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26E13BC7" w14:textId="77777777" w:rsidR="002D5B01" w:rsidRPr="00CE74D2" w:rsidRDefault="002D5B01" w:rsidP="002D5B01">
      <w:pPr>
        <w:spacing w:after="120" w:line="240" w:lineRule="auto"/>
        <w:ind w:left="709" w:right="709"/>
        <w:jc w:val="both"/>
        <w:rPr>
          <w:rFonts w:ascii="Arial" w:eastAsia="Calibri" w:hAnsi="Arial" w:cs="Arial"/>
          <w:bCs/>
          <w:sz w:val="21"/>
          <w:szCs w:val="21"/>
          <w:lang w:val="es-MX"/>
        </w:rPr>
      </w:pPr>
      <w:r>
        <w:rPr>
          <w:rFonts w:ascii="Arial" w:eastAsia="Calibri" w:hAnsi="Arial" w:cs="Arial"/>
          <w:bCs/>
          <w:sz w:val="21"/>
          <w:szCs w:val="21"/>
          <w:lang w:val="es-MX"/>
        </w:rPr>
        <w:t>“</w:t>
      </w:r>
      <w:r w:rsidRPr="00CE74D2">
        <w:rPr>
          <w:rFonts w:ascii="Arial" w:eastAsia="Calibri" w:hAnsi="Arial" w:cs="Arial"/>
          <w:bCs/>
          <w:sz w:val="21"/>
          <w:szCs w:val="21"/>
          <w:lang w:val="es-MX"/>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29BEF72B" w14:textId="77777777" w:rsidR="002D5B01" w:rsidRPr="00CE74D2" w:rsidRDefault="002D5B01" w:rsidP="002D5B01">
      <w:pPr>
        <w:spacing w:after="0" w:line="240" w:lineRule="auto"/>
        <w:ind w:left="709" w:right="709"/>
        <w:jc w:val="both"/>
        <w:rPr>
          <w:rFonts w:ascii="Arial" w:eastAsia="Calibri" w:hAnsi="Arial" w:cs="Arial"/>
          <w:bCs/>
          <w:sz w:val="21"/>
          <w:szCs w:val="21"/>
          <w:lang w:val="es-MX"/>
        </w:rPr>
      </w:pPr>
      <w:r w:rsidRPr="00CE74D2">
        <w:rPr>
          <w:rFonts w:ascii="Arial" w:eastAsia="Calibri" w:hAnsi="Arial" w:cs="Arial"/>
          <w:bCs/>
          <w:sz w:val="21"/>
          <w:szCs w:val="21"/>
          <w:lang w:val="es-MX"/>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1E1CF71A" w14:textId="77777777" w:rsidR="002D5B01" w:rsidRPr="00CE74D2" w:rsidRDefault="002D5B01" w:rsidP="002D5B01">
      <w:pPr>
        <w:spacing w:after="0" w:line="240" w:lineRule="auto"/>
        <w:ind w:left="709" w:right="709"/>
        <w:jc w:val="both"/>
        <w:rPr>
          <w:rFonts w:ascii="Arial" w:eastAsia="Calibri" w:hAnsi="Arial" w:cs="Arial"/>
          <w:bCs/>
          <w:sz w:val="21"/>
          <w:szCs w:val="21"/>
          <w:lang w:val="es-MX"/>
        </w:rPr>
      </w:pPr>
      <w:r w:rsidRPr="00CE74D2">
        <w:rPr>
          <w:rFonts w:ascii="Arial" w:eastAsia="Calibri" w:hAnsi="Arial" w:cs="Arial"/>
          <w:bCs/>
          <w:sz w:val="21"/>
          <w:szCs w:val="21"/>
          <w:lang w:val="es-MX"/>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r>
        <w:rPr>
          <w:rFonts w:ascii="Arial" w:eastAsia="Calibri" w:hAnsi="Arial" w:cs="Arial"/>
          <w:bCs/>
          <w:sz w:val="21"/>
          <w:szCs w:val="21"/>
          <w:lang w:val="es-MX"/>
        </w:rPr>
        <w:t>”</w:t>
      </w:r>
      <w:r w:rsidRPr="00CE74D2">
        <w:rPr>
          <w:rFonts w:ascii="Arial" w:eastAsia="Calibri" w:hAnsi="Arial" w:cs="Arial"/>
          <w:bCs/>
          <w:sz w:val="21"/>
          <w:szCs w:val="21"/>
          <w:lang w:val="es-MX"/>
        </w:rPr>
        <w:t>.</w:t>
      </w:r>
    </w:p>
    <w:p w14:paraId="5840690D" w14:textId="77777777" w:rsidR="002D5B01" w:rsidRPr="00CE74D2" w:rsidRDefault="002D5B01" w:rsidP="002D5B01">
      <w:pPr>
        <w:widowControl w:val="0"/>
        <w:autoSpaceDE w:val="0"/>
        <w:autoSpaceDN w:val="0"/>
        <w:spacing w:before="3" w:after="0" w:line="276" w:lineRule="auto"/>
        <w:jc w:val="both"/>
        <w:rPr>
          <w:rFonts w:ascii="Arial" w:eastAsia="Calibri" w:hAnsi="Arial" w:cs="Arial"/>
          <w:bCs/>
          <w:sz w:val="20"/>
          <w:szCs w:val="20"/>
          <w:lang w:eastAsia="es-ES" w:bidi="es-ES"/>
        </w:rPr>
      </w:pPr>
    </w:p>
    <w:p w14:paraId="3A0AF1F0" w14:textId="77777777" w:rsidR="002D5B01" w:rsidRPr="00CE74D2" w:rsidRDefault="002D5B01" w:rsidP="002D5B01">
      <w:pPr>
        <w:widowControl w:val="0"/>
        <w:autoSpaceDE w:val="0"/>
        <w:autoSpaceDN w:val="0"/>
        <w:spacing w:after="120" w:line="276" w:lineRule="auto"/>
        <w:ind w:firstLine="709"/>
        <w:jc w:val="both"/>
        <w:rPr>
          <w:rFonts w:ascii="Arial" w:eastAsia="Calibri" w:hAnsi="Arial" w:cs="Arial"/>
          <w:bCs/>
          <w:lang w:eastAsia="es-ES" w:bidi="es-ES"/>
        </w:rPr>
      </w:pPr>
      <w:r w:rsidRPr="00CE74D2">
        <w:rPr>
          <w:rFonts w:ascii="Arial" w:eastAsia="Calibri" w:hAnsi="Arial" w:cs="Arial"/>
          <w:bCs/>
          <w:lang w:eastAsia="es-ES" w:bidi="es-ES"/>
        </w:rPr>
        <w:t>Teniendo en cuenta lo anterior, se reitera la conclusión en el sentido de qu</w:t>
      </w:r>
      <w:r>
        <w:rPr>
          <w:rFonts w:ascii="Arial" w:eastAsia="Calibri" w:hAnsi="Arial" w:cs="Arial"/>
          <w:bCs/>
          <w:lang w:eastAsia="es-ES" w:bidi="es-ES"/>
        </w:rPr>
        <w:t xml:space="preserve">e lo que define los contratos y </w:t>
      </w:r>
      <w:r w:rsidRPr="00CE74D2">
        <w:rPr>
          <w:rFonts w:ascii="Arial" w:eastAsia="Calibri" w:hAnsi="Arial" w:cs="Arial"/>
          <w:bCs/>
          <w:lang w:eastAsia="es-ES" w:bidi="es-ES"/>
        </w:rPr>
        <w:t xml:space="preserve">convenios interadministrativos es la naturaleza de las partes, de manera que están determinados por un criterio orgánico, en el sentido de que lo serán </w:t>
      </w:r>
      <w:r w:rsidRPr="00CE74D2">
        <w:rPr>
          <w:rFonts w:ascii="Arial" w:eastAsia="Calibri" w:hAnsi="Arial" w:cs="Arial"/>
          <w:bCs/>
          <w:lang w:eastAsia="es-ES" w:bidi="es-ES"/>
        </w:rPr>
        <w:lastRenderedPageBreak/>
        <w:t>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24"/>
    </w:p>
    <w:p w14:paraId="50F05256" w14:textId="77777777" w:rsidR="002D5B01" w:rsidRPr="00CE74D2" w:rsidRDefault="002D5B01" w:rsidP="002D5B01">
      <w:pPr>
        <w:tabs>
          <w:tab w:val="left" w:pos="426"/>
        </w:tabs>
        <w:spacing w:after="120" w:line="276" w:lineRule="auto"/>
        <w:ind w:firstLine="709"/>
        <w:jc w:val="both"/>
        <w:rPr>
          <w:rFonts w:ascii="Arial" w:eastAsia="Calibri" w:hAnsi="Arial" w:cs="Arial"/>
          <w:bCs/>
          <w:lang w:val="es-MX"/>
        </w:rPr>
      </w:pPr>
      <w:r w:rsidRPr="00CE74D2">
        <w:rPr>
          <w:rFonts w:ascii="Arial" w:eastAsia="Calibri" w:hAnsi="Arial" w:cs="Arial"/>
          <w:bCs/>
          <w:lang w:val="es-MX"/>
        </w:rPr>
        <w:t>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ibidem,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CE74D2">
        <w:rPr>
          <w:rFonts w:ascii="Calibri" w:eastAsia="Calibri" w:hAnsi="Calibri" w:cs="Times New Roman"/>
          <w:vertAlign w:val="superscript"/>
          <w:lang w:val="es-MX"/>
        </w:rPr>
        <w:footnoteReference w:id="16"/>
      </w:r>
      <w:r w:rsidRPr="00CE74D2">
        <w:rPr>
          <w:rFonts w:ascii="Arial" w:eastAsia="Calibri" w:hAnsi="Arial" w:cs="Arial"/>
          <w:bCs/>
          <w:lang w:val="es-MX"/>
        </w:rPr>
        <w:t xml:space="preserve">. </w:t>
      </w:r>
    </w:p>
    <w:p w14:paraId="2E939864" w14:textId="77777777" w:rsidR="002D5B01" w:rsidRPr="00721934" w:rsidRDefault="002D5B01" w:rsidP="002D5B01">
      <w:pPr>
        <w:widowControl w:val="0"/>
        <w:autoSpaceDE w:val="0"/>
        <w:autoSpaceDN w:val="0"/>
        <w:spacing w:after="120" w:line="276" w:lineRule="auto"/>
        <w:ind w:firstLine="709"/>
        <w:jc w:val="both"/>
        <w:rPr>
          <w:rFonts w:ascii="Arial" w:eastAsia="Calibri" w:hAnsi="Arial" w:cs="Arial"/>
          <w:bCs/>
          <w:lang w:eastAsia="es-ES" w:bidi="es-ES"/>
        </w:rPr>
      </w:pPr>
      <w:r w:rsidRPr="00CE74D2">
        <w:rPr>
          <w:rFonts w:ascii="Arial" w:eastAsia="Calibri" w:hAnsi="Arial" w:cs="Arial"/>
          <w:bCs/>
          <w:lang w:eastAsia="es-ES" w:bidi="es-ES"/>
        </w:rPr>
        <w:t>En todo caso</w:t>
      </w:r>
      <w:bookmarkStart w:id="25" w:name="_Hlk77154098"/>
      <w:r w:rsidRPr="00CE74D2">
        <w:rPr>
          <w:rFonts w:ascii="Arial" w:eastAsia="Calibri" w:hAnsi="Arial" w:cs="Arial"/>
          <w:bCs/>
          <w:lang w:eastAsia="es-ES" w:bidi="es-ES"/>
        </w:rPr>
        <w:t xml:space="preserve">, es importante resaltar que la Sala de Consulta y Servicio Civil del Consejo de Estado se ha pronunciado en el sentido de que </w:t>
      </w:r>
      <w:bookmarkStart w:id="26" w:name="_Hlk78820889"/>
      <w:r w:rsidRPr="00CE74D2">
        <w:rPr>
          <w:rFonts w:ascii="Arial" w:eastAsia="Calibri" w:hAnsi="Arial" w:cs="Arial"/>
          <w:bCs/>
          <w:lang w:eastAsia="es-ES" w:bidi="es-ES"/>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26"/>
      <w:r w:rsidRPr="00CE74D2">
        <w:rPr>
          <w:rFonts w:ascii="Arial" w:eastAsia="Calibri" w:hAnsi="Arial" w:cs="Arial"/>
          <w:bCs/>
          <w:vertAlign w:val="superscript"/>
          <w:lang w:eastAsia="es-ES" w:bidi="es-ES"/>
        </w:rPr>
        <w:footnoteReference w:id="17"/>
      </w:r>
      <w:r w:rsidRPr="00CE74D2">
        <w:rPr>
          <w:rFonts w:ascii="Arial" w:eastAsia="Calibri" w:hAnsi="Arial" w:cs="Arial"/>
          <w:bCs/>
          <w:lang w:eastAsia="es-ES" w:bidi="es-ES"/>
        </w:rPr>
        <w:t>.</w:t>
      </w:r>
      <w:bookmarkEnd w:id="21"/>
      <w:bookmarkEnd w:id="25"/>
    </w:p>
    <w:p w14:paraId="6F4A046D" w14:textId="77777777" w:rsidR="002D5B01" w:rsidRPr="00721934" w:rsidRDefault="002D5B01" w:rsidP="002D5B01">
      <w:pPr>
        <w:spacing w:after="120" w:line="276" w:lineRule="auto"/>
        <w:ind w:firstLine="709"/>
        <w:jc w:val="both"/>
        <w:rPr>
          <w:rFonts w:ascii="Arial" w:hAnsi="Arial" w:cs="Arial"/>
          <w:color w:val="000000" w:themeColor="text1"/>
          <w:lang w:val="es-ES_tradnl" w:eastAsia="x-none"/>
        </w:rPr>
      </w:pPr>
      <w:bookmarkStart w:id="27" w:name="_Hlk94521748"/>
      <w:r w:rsidRPr="00721934">
        <w:rPr>
          <w:rFonts w:ascii="Arial" w:hAnsi="Arial" w:cs="Arial"/>
          <w:color w:val="000000" w:themeColor="text1"/>
          <w:lang w:val="es-ES_tradnl" w:eastAsia="x-none"/>
        </w:rPr>
        <w:t xml:space="preserve">De acuerdo con lo anterior, </w:t>
      </w:r>
      <w:bookmarkStart w:id="28" w:name="_Hlk98519748"/>
      <w:r w:rsidRPr="00721934">
        <w:rPr>
          <w:rFonts w:ascii="Arial" w:hAnsi="Arial" w:cs="Arial"/>
          <w:color w:val="000000" w:themeColor="text1"/>
          <w:lang w:val="es-ES_tradnl" w:eastAsia="x-none"/>
        </w:rPr>
        <w:t xml:space="preserve">la prohibición del parágrafo del artículo 38 de la Ley de Garantías Electorales se circunscribe a la restricción de </w:t>
      </w:r>
      <w:r w:rsidRPr="00721934">
        <w:rPr>
          <w:rFonts w:ascii="Arial" w:hAnsi="Arial" w:cs="Arial"/>
          <w:color w:val="000000" w:themeColor="text1"/>
          <w:lang w:val="es-ES_tradnl"/>
        </w:rPr>
        <w:t xml:space="preserve">“celebrar convenios </w:t>
      </w:r>
      <w:proofErr w:type="gramStart"/>
      <w:r w:rsidRPr="00721934">
        <w:rPr>
          <w:rFonts w:ascii="Arial" w:hAnsi="Arial" w:cs="Arial"/>
          <w:color w:val="000000" w:themeColor="text1"/>
          <w:lang w:val="es-ES_tradnl"/>
        </w:rPr>
        <w:t xml:space="preserve">interadministrativos” </w:t>
      </w:r>
      <w:r w:rsidRPr="00721934">
        <w:rPr>
          <w:rFonts w:ascii="Arial" w:hAnsi="Arial" w:cs="Arial"/>
          <w:color w:val="000000" w:themeColor="text1"/>
          <w:lang w:val="es-ES_tradnl" w:eastAsia="x-none"/>
        </w:rPr>
        <w:t xml:space="preserve"> por</w:t>
      </w:r>
      <w:proofErr w:type="gramEnd"/>
      <w:r w:rsidRPr="00721934">
        <w:rPr>
          <w:rFonts w:ascii="Arial" w:hAnsi="Arial" w:cs="Arial"/>
          <w:color w:val="000000" w:themeColor="text1"/>
          <w:lang w:val="es-ES_tradnl" w:eastAsia="x-none"/>
        </w:rPr>
        <w:t xml:space="preserve"> parte de los “</w:t>
      </w:r>
      <w:r w:rsidRPr="00721934">
        <w:rPr>
          <w:rFonts w:ascii="Arial" w:hAnsi="Arial" w:cs="Arial"/>
          <w:color w:val="4B4949"/>
        </w:rPr>
        <w:t>gobernadores, alcaldes municipales y/o distritales, secretarios, gerentes y directores de entidades descentralizadas del orden municipal, departamental o distrital”</w:t>
      </w:r>
      <w:bookmarkEnd w:id="27"/>
      <w:bookmarkEnd w:id="28"/>
      <w:r w:rsidRPr="00721934">
        <w:rPr>
          <w:rFonts w:ascii="Arial" w:hAnsi="Arial" w:cs="Arial"/>
          <w:color w:val="000000" w:themeColor="text1"/>
          <w:lang w:val="es-ES_tradnl" w:eastAsia="x-none"/>
        </w:rPr>
        <w:t xml:space="preserve">, que deberá entenderse entonces como la suscripción por parte de 2 o más entidades públicas. </w:t>
      </w:r>
      <w:bookmarkStart w:id="29" w:name="_Hlk78818796"/>
    </w:p>
    <w:p w14:paraId="0598AA1C" w14:textId="77777777" w:rsidR="002D5B01" w:rsidRPr="00721934" w:rsidRDefault="002D5B01" w:rsidP="002D5B01">
      <w:pPr>
        <w:spacing w:after="120" w:line="276" w:lineRule="auto"/>
        <w:ind w:firstLine="709"/>
        <w:jc w:val="both"/>
        <w:rPr>
          <w:rFonts w:ascii="Arial" w:hAnsi="Arial" w:cs="Arial"/>
          <w:color w:val="000000" w:themeColor="text1"/>
          <w:lang w:val="es-ES_tradnl" w:eastAsia="x-none"/>
        </w:rPr>
      </w:pPr>
      <w:r w:rsidRPr="00721934">
        <w:rPr>
          <w:rFonts w:ascii="Arial" w:eastAsia="Times New Roman" w:hAnsi="Arial" w:cs="Arial"/>
          <w:bCs/>
          <w:lang w:val="es-MX" w:eastAsia="x-none"/>
        </w:rPr>
        <w:t xml:space="preserve">Así las cosas, ha de entenderse que, para los efectos de la Ley de Garantías Electorales y, en particular, para la prohibición o restricción temporal contenida en su artículo 38, “celebrar contratos interadministrativos” es aquel negocio jurídico suscrito por dos o </w:t>
      </w:r>
      <w:proofErr w:type="spellStart"/>
      <w:r w:rsidRPr="00721934">
        <w:rPr>
          <w:rFonts w:ascii="Arial" w:eastAsia="Times New Roman" w:hAnsi="Arial" w:cs="Arial"/>
          <w:bCs/>
          <w:lang w:val="es-MX" w:eastAsia="x-none"/>
        </w:rPr>
        <w:t>mas</w:t>
      </w:r>
      <w:proofErr w:type="spellEnd"/>
      <w:r w:rsidRPr="00721934">
        <w:rPr>
          <w:rFonts w:ascii="Arial" w:eastAsia="Times New Roman" w:hAnsi="Arial" w:cs="Arial"/>
          <w:bCs/>
          <w:lang w:val="es-MX" w:eastAsia="x-none"/>
        </w:rPr>
        <w:t xml:space="preserve"> entidades públicas. </w:t>
      </w:r>
      <w:r w:rsidRPr="00721934">
        <w:rPr>
          <w:rFonts w:ascii="Arial" w:eastAsia="Times New Roman" w:hAnsi="Arial" w:cs="Arial"/>
          <w:vertAlign w:val="superscript"/>
          <w:lang w:eastAsia="x-none"/>
        </w:rPr>
        <w:t xml:space="preserve"> </w:t>
      </w:r>
    </w:p>
    <w:p w14:paraId="4CC2A5D9" w14:textId="77777777" w:rsidR="002D5B01" w:rsidRPr="00721934" w:rsidRDefault="002D5B01" w:rsidP="002D5B01">
      <w:pPr>
        <w:spacing w:after="120" w:line="276" w:lineRule="auto"/>
        <w:ind w:firstLine="708"/>
        <w:jc w:val="both"/>
        <w:rPr>
          <w:rFonts w:ascii="Arial" w:eastAsia="Times New Roman" w:hAnsi="Arial" w:cs="Arial"/>
          <w:bCs/>
          <w:lang w:val="es-MX" w:eastAsia="x-none"/>
        </w:rPr>
      </w:pPr>
      <w:r w:rsidRPr="00721934">
        <w:rPr>
          <w:rFonts w:ascii="Arial" w:eastAsia="Times New Roman" w:hAnsi="Arial" w:cs="Arial"/>
          <w:lang w:eastAsia="x-none"/>
        </w:rPr>
        <w:t xml:space="preserve">En relación con el objeto de su consulta, se precisa que los acuerdos voluntarios de conservación, conforme con el literal c) del artículo 5 del Decreto-Ley 870 de 2017 son </w:t>
      </w:r>
      <w:proofErr w:type="gramStart"/>
      <w:r>
        <w:rPr>
          <w:rFonts w:ascii="Arial" w:eastAsia="Times New Roman" w:hAnsi="Arial" w:cs="Arial"/>
          <w:bCs/>
          <w:lang w:val="es-MX" w:eastAsia="x-none"/>
        </w:rPr>
        <w:t>“</w:t>
      </w:r>
      <w:r w:rsidRPr="00721934">
        <w:rPr>
          <w:rFonts w:ascii="Arial" w:eastAsia="Times New Roman" w:hAnsi="Arial" w:cs="Arial"/>
          <w:bCs/>
          <w:lang w:val="es-MX" w:eastAsia="x-none"/>
        </w:rPr>
        <w:t>”el</w:t>
      </w:r>
      <w:proofErr w:type="gramEnd"/>
      <w:r w:rsidRPr="00721934">
        <w:rPr>
          <w:rFonts w:ascii="Arial" w:eastAsia="Times New Roman" w:hAnsi="Arial" w:cs="Arial"/>
          <w:bCs/>
          <w:lang w:val="es-MX" w:eastAsia="x-none"/>
        </w:rPr>
        <w:t xml:space="preserve"> mecanismo a través del cual se formalizan los compromisos entre los interesados en los </w:t>
      </w:r>
      <w:r w:rsidRPr="00721934">
        <w:rPr>
          <w:rFonts w:ascii="Arial" w:eastAsia="Times New Roman" w:hAnsi="Arial" w:cs="Arial"/>
          <w:bCs/>
          <w:lang w:val="es-MX" w:eastAsia="x-none"/>
        </w:rPr>
        <w:lastRenderedPageBreak/>
        <w:t xml:space="preserve">servicios ambientales y los beneficiarios del incentivo, para el desarrollo de acciones de preservación y restauración de áreas y ecosistemas estratégicos”. De esta definición, se observa, en primer lugar, que en ella se establecen los pagos por servicios ambientales como el objeto de los acuerdos voluntarios de conservación, que en el artículo 4 del referido Decreto son “el incentivo económico en dinero o en especie que reconocen los interesados de los servicios ambientales a los propietarios, poseedores u ocupantes de buena fe exenta de culpa por las acciones de preservación y restauración en áreas y ecosistemas estratégicos, mediante la celebración de acuerdos voluntarios entre los interesados y beneficiarios de los servicios ambientales”. </w:t>
      </w:r>
    </w:p>
    <w:p w14:paraId="62616014" w14:textId="77777777" w:rsidR="002D5B01" w:rsidRPr="00721934" w:rsidRDefault="002D5B01" w:rsidP="002D5B01">
      <w:pPr>
        <w:spacing w:after="120" w:line="276" w:lineRule="auto"/>
        <w:ind w:firstLine="708"/>
        <w:jc w:val="both"/>
        <w:rPr>
          <w:rFonts w:ascii="Arial" w:eastAsia="Times New Roman" w:hAnsi="Arial" w:cs="Arial"/>
          <w:bCs/>
          <w:lang w:val="es-MX" w:eastAsia="x-none"/>
        </w:rPr>
      </w:pPr>
      <w:r w:rsidRPr="00721934">
        <w:rPr>
          <w:rFonts w:ascii="Arial" w:eastAsia="Times New Roman" w:hAnsi="Arial" w:cs="Arial"/>
          <w:bCs/>
          <w:lang w:val="es-MX" w:eastAsia="x-none"/>
        </w:rPr>
        <w:t xml:space="preserve">Se observa que en la definición de los acuerdos voluntarios establecida por el decreto-ley se señaló que, en estos acuerdos, beneficiarios e interesados deben estipular los compromisos entre ellos, a efectos de desarrollar las acciones de preservación y restauración de las áreas o ecosistemas estratégicos. En el caso de los interesados, la principal obligación consiste en el pago de los servicios ambientales, que conforme con el artículo 2.2.9.8.1.4. del Decreto 1007 de 2018, corresponde al incentivo económico en dinero o especie reconocidos por estos sujetos a los beneficiarios por las acciones de conservación. Por su parte, los beneficiarios tendrán como compromisos u obligaciones realizar las acciones de preservación o conservación de las áreas protegidas. </w:t>
      </w:r>
    </w:p>
    <w:p w14:paraId="4CAFCED5" w14:textId="77777777" w:rsidR="002D5B01" w:rsidRPr="00721934" w:rsidRDefault="002D5B01" w:rsidP="002D5B01">
      <w:pPr>
        <w:spacing w:after="120" w:line="276" w:lineRule="auto"/>
        <w:ind w:firstLine="708"/>
        <w:jc w:val="both"/>
        <w:rPr>
          <w:rFonts w:ascii="Arial" w:eastAsia="Times New Roman" w:hAnsi="Arial" w:cs="Arial"/>
          <w:bCs/>
          <w:lang w:val="es-MX" w:eastAsia="x-none"/>
        </w:rPr>
      </w:pPr>
      <w:r w:rsidRPr="00721934">
        <w:rPr>
          <w:rFonts w:ascii="Arial" w:eastAsia="Times New Roman" w:hAnsi="Arial" w:cs="Arial"/>
          <w:bCs/>
          <w:lang w:val="es-MX" w:eastAsia="x-none"/>
        </w:rPr>
        <w:t xml:space="preserve">En segundo lugar, se observa de las definiciones citadas que los sujetos que suscriben estos acuerdos son dos: de un lado, los interesados en servicios ambientales y, de otro, los beneficiarios del incentivo. Los primeros, conforme con el literal a) del artículo 5 del Decreto 870 de 2017, son </w:t>
      </w:r>
      <w:r>
        <w:rPr>
          <w:rFonts w:ascii="Arial" w:eastAsia="Times New Roman" w:hAnsi="Arial" w:cs="Arial"/>
          <w:bCs/>
          <w:lang w:val="es-MX" w:eastAsia="x-none"/>
        </w:rPr>
        <w:t>“</w:t>
      </w:r>
      <w:r w:rsidRPr="00721934">
        <w:rPr>
          <w:rFonts w:ascii="Arial" w:eastAsia="Times New Roman" w:hAnsi="Arial" w:cs="Arial"/>
          <w:bCs/>
          <w:lang w:val="es-MX" w:eastAsia="x-none"/>
        </w:rPr>
        <w:t>las personas naturales o jurídicas, públicas, privadas o mixtas, que reconocen el incentivo económico de pago por servicios ambientales de forma voluntaria o en el marco del cumplimiento de las obligaciones derivadas de autorizaciones ambientales</w:t>
      </w:r>
      <w:r>
        <w:rPr>
          <w:rFonts w:ascii="Arial" w:eastAsia="Times New Roman" w:hAnsi="Arial" w:cs="Arial"/>
          <w:bCs/>
          <w:lang w:val="es-MX" w:eastAsia="x-none"/>
        </w:rPr>
        <w:t>”</w:t>
      </w:r>
      <w:r w:rsidRPr="00721934">
        <w:rPr>
          <w:rFonts w:ascii="Arial" w:eastAsia="Times New Roman" w:hAnsi="Arial" w:cs="Arial"/>
          <w:bCs/>
          <w:lang w:val="es-MX" w:eastAsia="x-none"/>
        </w:rPr>
        <w:t xml:space="preserve">. Los segundos, es decir, los beneficiarios del incentivo, conforme con el literal b) del artículo 5 del Decreto 870 de 2017, son “propietarios, poseedores u ocupantes de buena fe exenta de culpa de predios ubicados en las áreas y ecosistemas estratégicos, que reciben el incentivo condicionado al cumplimiento de las acciones de preservación y restauración suscritas a través de un acuerdo voluntario”. </w:t>
      </w:r>
    </w:p>
    <w:p w14:paraId="0F9EACFB" w14:textId="77777777" w:rsidR="002D5B01" w:rsidRPr="00721934" w:rsidRDefault="002D5B01" w:rsidP="002D5B01">
      <w:pPr>
        <w:spacing w:after="120" w:line="276" w:lineRule="auto"/>
        <w:ind w:firstLine="708"/>
        <w:jc w:val="both"/>
        <w:rPr>
          <w:rFonts w:ascii="Arial" w:hAnsi="Arial" w:cs="Arial"/>
          <w:bCs/>
          <w:color w:val="000000" w:themeColor="text1"/>
          <w:lang w:val="es-ES_tradnl" w:eastAsia="x-none"/>
        </w:rPr>
      </w:pPr>
      <w:r w:rsidRPr="00721934">
        <w:rPr>
          <w:rFonts w:ascii="Arial" w:eastAsia="Times New Roman" w:hAnsi="Arial" w:cs="Arial"/>
          <w:bCs/>
          <w:lang w:val="es-MX" w:eastAsia="x-none"/>
        </w:rPr>
        <w:t>Ahora, estos acuerdos voluntarios tienen naturaleza contractual, como se desprende de la regulación señalada anteriormente, naturaleza que también ha sido reconocida por la Corte Constitucional, según la cual “di</w:t>
      </w:r>
      <w:proofErr w:type="spellStart"/>
      <w:r w:rsidRPr="00721934">
        <w:rPr>
          <w:rFonts w:ascii="Arial" w:hAnsi="Arial" w:cs="Arial"/>
          <w:color w:val="2D2D2D"/>
          <w:shd w:val="clear" w:color="auto" w:fill="FFFFFF"/>
          <w:lang w:val="es-ES"/>
        </w:rPr>
        <w:t>chos</w:t>
      </w:r>
      <w:proofErr w:type="spellEnd"/>
      <w:r w:rsidRPr="00721934">
        <w:rPr>
          <w:rFonts w:ascii="Arial" w:hAnsi="Arial" w:cs="Arial"/>
          <w:color w:val="2D2D2D"/>
          <w:shd w:val="clear" w:color="auto" w:fill="FFFFFF"/>
          <w:lang w:val="es-ES"/>
        </w:rPr>
        <w:t xml:space="preserve"> acuerdos tienen la naturaleza de ser instrumentos contractuales que formalizan voluntariamente los compromisos, en donde se indica el objeto, se definen las acciones, su periodicidad, los parámetros del incentivo, las obligaciones de las partes, e incluso las causales de incumplimiento”</w:t>
      </w:r>
      <w:r w:rsidRPr="00721934">
        <w:rPr>
          <w:rStyle w:val="Refdenotaalpie"/>
          <w:rFonts w:ascii="Arial" w:hAnsi="Arial" w:cs="Arial"/>
          <w:color w:val="2D2D2D"/>
          <w:shd w:val="clear" w:color="auto" w:fill="FFFFFF"/>
          <w:lang w:val="es-ES"/>
        </w:rPr>
        <w:footnoteReference w:id="18"/>
      </w:r>
      <w:r w:rsidRPr="00721934">
        <w:rPr>
          <w:rFonts w:ascii="Arial" w:hAnsi="Arial" w:cs="Arial"/>
          <w:color w:val="2D2D2D"/>
          <w:shd w:val="clear" w:color="auto" w:fill="FFFFFF"/>
          <w:lang w:val="es-ES"/>
        </w:rPr>
        <w:t>. Teniendo en cuenta lo anterior,</w:t>
      </w:r>
      <w:r w:rsidRPr="00721934">
        <w:rPr>
          <w:rFonts w:ascii="Arial" w:eastAsia="Times New Roman" w:hAnsi="Arial" w:cs="Arial"/>
          <w:bCs/>
          <w:lang w:val="es-MX" w:eastAsia="x-none"/>
        </w:rPr>
        <w:t xml:space="preserve"> cuando el interesado en servicios ambientales de un acuerdo voluntario de conservación sea un ente del Estado, no aplicará la prohibición prevista en el parágrafo del </w:t>
      </w:r>
      <w:r w:rsidRPr="00721934">
        <w:rPr>
          <w:rFonts w:ascii="Arial" w:eastAsia="Times New Roman" w:hAnsi="Arial" w:cs="Arial"/>
          <w:bCs/>
          <w:lang w:val="es-MX" w:eastAsia="x-none"/>
        </w:rPr>
        <w:lastRenderedPageBreak/>
        <w:t xml:space="preserve">artículo 38 de la Ley de Garantías Electorales, en tanto estos acuerdos se suscriben con particulares. </w:t>
      </w:r>
      <w:bookmarkStart w:id="30" w:name="_Hlk75783800"/>
      <w:bookmarkStart w:id="31" w:name="_Hlk99438356"/>
      <w:bookmarkEnd w:id="29"/>
    </w:p>
    <w:p w14:paraId="555EC65D" w14:textId="77777777" w:rsidR="002D5B01" w:rsidRPr="00721934" w:rsidRDefault="002D5B01" w:rsidP="002D5B01">
      <w:pPr>
        <w:spacing w:after="120" w:line="276" w:lineRule="auto"/>
        <w:ind w:firstLine="709"/>
        <w:jc w:val="both"/>
        <w:rPr>
          <w:rFonts w:ascii="Arial" w:hAnsi="Arial" w:cs="Arial"/>
          <w:color w:val="4B4949"/>
        </w:rPr>
      </w:pPr>
      <w:r w:rsidRPr="00721934">
        <w:rPr>
          <w:rFonts w:ascii="Arial" w:hAnsi="Arial" w:cs="Arial"/>
          <w:color w:val="000000" w:themeColor="text1"/>
          <w:lang w:val="es-ES_tradnl"/>
        </w:rPr>
        <w:t xml:space="preserve">Por lo tanto, la </w:t>
      </w:r>
      <w:r w:rsidRPr="00EA5306">
        <w:rPr>
          <w:rFonts w:ascii="Arial" w:hAnsi="Arial" w:cs="Arial"/>
          <w:lang w:val="es-ES_tradnl"/>
        </w:rPr>
        <w:t xml:space="preserve">restricción prevista en el parágrafo del artículo 38 de Ley 996 de 2005, </w:t>
      </w:r>
      <w:r w:rsidRPr="00EA5306">
        <w:rPr>
          <w:rFonts w:ascii="Arial" w:hAnsi="Arial" w:cs="Arial"/>
          <w:bCs/>
          <w:lang w:val="es-ES_tradnl" w:eastAsia="x-none"/>
        </w:rPr>
        <w:t>teniendo en cuenta la finalidad de la ley de garantías electorales, cobija a l</w:t>
      </w:r>
      <w:r w:rsidRPr="00EA5306">
        <w:rPr>
          <w:rFonts w:ascii="Arial" w:hAnsi="Arial" w:cs="Arial"/>
        </w:rPr>
        <w:t xml:space="preserve">os gobernadores, alcaldes municipales y/o distritales, secretarios, gerentes y directores de entidades descentralizadas del orden municipal, departamental o distrital, </w:t>
      </w:r>
      <w:proofErr w:type="gramStart"/>
      <w:r w:rsidRPr="00EA5306">
        <w:rPr>
          <w:rFonts w:ascii="Arial" w:hAnsi="Arial" w:cs="Arial"/>
        </w:rPr>
        <w:t>quienes  con</w:t>
      </w:r>
      <w:proofErr w:type="gramEnd"/>
      <w:r w:rsidRPr="00EA5306">
        <w:rPr>
          <w:rFonts w:ascii="Arial" w:hAnsi="Arial" w:cs="Arial"/>
        </w:rPr>
        <w:t xml:space="preserve"> base en dicha disposición, no podrán suscribir convenios interadministrativos, dentro de los 4 meses anteriores a las elecciones. </w:t>
      </w:r>
    </w:p>
    <w:p w14:paraId="2FECCBEE" w14:textId="77777777" w:rsidR="002D5B01" w:rsidRPr="00721934" w:rsidRDefault="002D5B01" w:rsidP="002D5B01">
      <w:pPr>
        <w:spacing w:after="120" w:line="276" w:lineRule="auto"/>
        <w:ind w:firstLine="709"/>
        <w:jc w:val="both"/>
        <w:rPr>
          <w:rFonts w:ascii="Arial" w:eastAsia="Calibri" w:hAnsi="Arial" w:cs="Arial"/>
          <w:bCs/>
          <w:lang w:val="es-MX"/>
        </w:rPr>
      </w:pPr>
      <w:r w:rsidRPr="00CE74D2">
        <w:rPr>
          <w:rFonts w:ascii="Arial" w:eastAsia="Calibri" w:hAnsi="Arial" w:cs="Arial"/>
          <w:bCs/>
          <w:lang w:val="es-MX"/>
        </w:rPr>
        <w:t>En este sentido, si una o ambas partes de la relación contractual es una entidad de aquellas descritas en el parágrafo ibidem,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721934">
        <w:rPr>
          <w:rFonts w:ascii="Arial" w:eastAsia="Calibri" w:hAnsi="Arial" w:cs="Arial"/>
          <w:bCs/>
          <w:lang w:val="es-MX"/>
        </w:rPr>
        <w:t xml:space="preserve">, por tanto, solo en el escenario en que  el incentivo económico se reconozca a los propietarios, poseedores u ocupantes de buena fe exenta de culpa que no sean de carácter público, podrán suscribirse estos acuerdos voluntarios por parte de las entidades previstas en el referido artículo. </w:t>
      </w:r>
    </w:p>
    <w:bookmarkEnd w:id="30"/>
    <w:bookmarkEnd w:id="31"/>
    <w:p w14:paraId="2A5843C0" w14:textId="77777777" w:rsidR="002D5B01" w:rsidRPr="00721934" w:rsidRDefault="002D5B01" w:rsidP="002D5B01">
      <w:pPr>
        <w:spacing w:after="0" w:line="276" w:lineRule="auto"/>
        <w:jc w:val="both"/>
        <w:rPr>
          <w:rFonts w:ascii="Arial" w:eastAsia="Calibri" w:hAnsi="Arial" w:cs="Arial"/>
          <w:b/>
        </w:rPr>
      </w:pPr>
    </w:p>
    <w:p w14:paraId="172BF1DF" w14:textId="77777777" w:rsidR="002D5B01" w:rsidRPr="00721934" w:rsidRDefault="002D5B01" w:rsidP="002D5B01">
      <w:pPr>
        <w:spacing w:after="0" w:line="276" w:lineRule="auto"/>
        <w:jc w:val="both"/>
        <w:rPr>
          <w:rFonts w:ascii="Arial" w:eastAsia="Times New Roman" w:hAnsi="Arial" w:cs="Arial"/>
          <w:color w:val="1A1A1A"/>
          <w:szCs w:val="24"/>
          <w:lang w:eastAsia="es-ES_tradnl"/>
        </w:rPr>
      </w:pPr>
      <w:r w:rsidRPr="00721934">
        <w:rPr>
          <w:rFonts w:ascii="Arial" w:eastAsia="Calibri" w:hAnsi="Arial" w:cs="Arial"/>
          <w:b/>
        </w:rPr>
        <w:t>3. Respuesta</w:t>
      </w:r>
    </w:p>
    <w:p w14:paraId="0BEAB8AE" w14:textId="77777777" w:rsidR="002D5B01" w:rsidRPr="00721934" w:rsidRDefault="002D5B01" w:rsidP="002D5B01">
      <w:pPr>
        <w:spacing w:after="0" w:line="276" w:lineRule="auto"/>
        <w:jc w:val="both"/>
        <w:rPr>
          <w:rFonts w:ascii="Arial" w:eastAsia="Calibri" w:hAnsi="Arial" w:cs="Arial"/>
          <w:bCs/>
        </w:rPr>
      </w:pPr>
    </w:p>
    <w:p w14:paraId="46BB9552" w14:textId="77777777" w:rsidR="002D5B01" w:rsidRPr="00721934" w:rsidRDefault="002D5B01" w:rsidP="002D5B01">
      <w:pPr>
        <w:spacing w:after="0" w:line="240" w:lineRule="auto"/>
        <w:ind w:left="709" w:right="709"/>
        <w:jc w:val="both"/>
        <w:rPr>
          <w:rFonts w:ascii="Arial" w:eastAsia="Times New Roman" w:hAnsi="Arial" w:cs="Arial"/>
          <w:sz w:val="21"/>
          <w:szCs w:val="21"/>
          <w:lang w:eastAsia="es-CO"/>
        </w:rPr>
      </w:pPr>
      <w:bookmarkStart w:id="32" w:name="_Hlk57650395"/>
      <w:r>
        <w:rPr>
          <w:rFonts w:ascii="Arial" w:eastAsia="Times New Roman" w:hAnsi="Arial" w:cs="Arial"/>
          <w:sz w:val="21"/>
          <w:szCs w:val="21"/>
          <w:lang w:eastAsia="es-CO"/>
        </w:rPr>
        <w:t>“</w:t>
      </w:r>
      <w:r w:rsidRPr="00721934">
        <w:rPr>
          <w:rFonts w:ascii="Arial" w:eastAsia="Times New Roman" w:hAnsi="Arial" w:cs="Arial"/>
          <w:sz w:val="21"/>
          <w:szCs w:val="21"/>
          <w:lang w:eastAsia="es-CO"/>
        </w:rPr>
        <w:t>con respecto al Pago por servicios ambientales - PSA está estipulado bajo la ley firmar acuerdos voluntarios de conservación, para el caso en específico de la consulta se pretende firmar acuerdos con los entes territoriales (alcaldías municipales) y nos surge el interrogante si es legal firmar dichos acuerdos en el marco de ley de garantías</w:t>
      </w:r>
      <w:r>
        <w:rPr>
          <w:rFonts w:ascii="Arial" w:eastAsia="Times New Roman" w:hAnsi="Arial" w:cs="Arial"/>
          <w:sz w:val="21"/>
          <w:szCs w:val="21"/>
          <w:lang w:eastAsia="es-CO"/>
        </w:rPr>
        <w:t>”</w:t>
      </w:r>
      <w:r w:rsidRPr="00721934">
        <w:rPr>
          <w:rFonts w:ascii="Arial" w:eastAsia="Times New Roman" w:hAnsi="Arial" w:cs="Arial"/>
          <w:sz w:val="21"/>
          <w:szCs w:val="21"/>
          <w:lang w:eastAsia="es-CO"/>
        </w:rPr>
        <w:t>.</w:t>
      </w:r>
    </w:p>
    <w:p w14:paraId="255C47C7" w14:textId="77777777" w:rsidR="002D5B01" w:rsidRPr="00721934" w:rsidRDefault="002D5B01" w:rsidP="002D5B01">
      <w:pPr>
        <w:spacing w:after="120" w:line="276" w:lineRule="auto"/>
        <w:jc w:val="both"/>
        <w:rPr>
          <w:rFonts w:ascii="Arial" w:eastAsia="Times New Roman" w:hAnsi="Arial" w:cs="Arial"/>
          <w:lang w:eastAsia="es-ES_tradnl"/>
        </w:rPr>
      </w:pPr>
    </w:p>
    <w:p w14:paraId="603A60BA" w14:textId="77777777" w:rsidR="002D5B01" w:rsidRPr="00721934" w:rsidRDefault="002D5B01" w:rsidP="002D5B01">
      <w:pPr>
        <w:spacing w:after="120" w:line="276" w:lineRule="auto"/>
        <w:jc w:val="both"/>
        <w:rPr>
          <w:rFonts w:ascii="Arial" w:eastAsia="Times New Roman" w:hAnsi="Arial" w:cs="Arial"/>
          <w:bCs/>
          <w:lang w:val="es-MX" w:eastAsia="x-none"/>
        </w:rPr>
      </w:pPr>
      <w:r w:rsidRPr="00721934">
        <w:rPr>
          <w:rFonts w:ascii="Arial" w:eastAsia="Times New Roman" w:hAnsi="Arial" w:cs="Arial"/>
          <w:lang w:eastAsia="x-none"/>
        </w:rPr>
        <w:t xml:space="preserve">En relación con el objeto de su consulta, se precisa que los acuerdos voluntarios de conservación, conforme con el literal c) del artículo 5 del Decreto-Ley 870 de 2017 son </w:t>
      </w:r>
      <w:r>
        <w:rPr>
          <w:rFonts w:ascii="Arial" w:eastAsia="Times New Roman" w:hAnsi="Arial" w:cs="Arial"/>
          <w:bCs/>
          <w:lang w:val="es-MX" w:eastAsia="x-none"/>
        </w:rPr>
        <w:t>“</w:t>
      </w:r>
      <w:r w:rsidRPr="00721934">
        <w:rPr>
          <w:rFonts w:ascii="Arial" w:eastAsia="Times New Roman" w:hAnsi="Arial" w:cs="Arial"/>
          <w:bCs/>
          <w:lang w:val="es-MX" w:eastAsia="x-none"/>
        </w:rPr>
        <w:t>el mecanismo a través del cual se formalizan los compromisos entre los interesados en los servicios ambientales y los beneficiarios del incentivo, para el desarrollo de acciones de preservación y restauración de áreas y ecosistemas estratégicos</w:t>
      </w:r>
      <w:r>
        <w:rPr>
          <w:rFonts w:ascii="Arial" w:eastAsia="Times New Roman" w:hAnsi="Arial" w:cs="Arial"/>
          <w:bCs/>
          <w:lang w:val="es-MX" w:eastAsia="x-none"/>
        </w:rPr>
        <w:t>”</w:t>
      </w:r>
      <w:r w:rsidRPr="00721934">
        <w:rPr>
          <w:rFonts w:ascii="Arial" w:eastAsia="Times New Roman" w:hAnsi="Arial" w:cs="Arial"/>
          <w:bCs/>
          <w:lang w:val="es-MX" w:eastAsia="x-none"/>
        </w:rPr>
        <w:t xml:space="preserve">. De esta definición, se observa, en primer lugar, que en ella se establecen los pagos por servicios ambientales como el objeto de los acuerdos voluntarios de conservación, que en el artículo 4 del referido Decreto son “el incentivo económico en dinero o en especie que reconocen los interesados de los servicios ambientales a los propietarios, poseedores u ocupantes de buena fe exenta de culpa por las acciones de preservación y restauración en áreas y ecosistemas estratégicos, mediante la celebración de acuerdos voluntarios entre los interesados y beneficiarios de los servicios ambientales”. </w:t>
      </w:r>
    </w:p>
    <w:p w14:paraId="3A9DABB1" w14:textId="77777777" w:rsidR="002D5B01" w:rsidRPr="00721934" w:rsidRDefault="002D5B01" w:rsidP="002D5B01">
      <w:pPr>
        <w:spacing w:after="120" w:line="276" w:lineRule="auto"/>
        <w:ind w:firstLine="708"/>
        <w:jc w:val="both"/>
        <w:rPr>
          <w:rFonts w:ascii="Arial" w:eastAsia="Times New Roman" w:hAnsi="Arial" w:cs="Arial"/>
          <w:bCs/>
          <w:lang w:val="es-MX" w:eastAsia="x-none"/>
        </w:rPr>
      </w:pPr>
      <w:r w:rsidRPr="00721934">
        <w:rPr>
          <w:rFonts w:ascii="Arial" w:eastAsia="Times New Roman" w:hAnsi="Arial" w:cs="Arial"/>
          <w:bCs/>
          <w:lang w:val="es-MX" w:eastAsia="x-none"/>
        </w:rPr>
        <w:t xml:space="preserve">Se observa que en la definición de los acuerdos voluntarios establecida por el decreto-ley se señaló que, en estos acuerdos, beneficiarios e interesados deben estipular los compromisos entre ellos, a efectos de desarrollar las acciones de preservación y restauración de las áreas o ecosistemas estratégicos. En el caso de los interesados, la </w:t>
      </w:r>
      <w:r w:rsidRPr="00721934">
        <w:rPr>
          <w:rFonts w:ascii="Arial" w:eastAsia="Times New Roman" w:hAnsi="Arial" w:cs="Arial"/>
          <w:bCs/>
          <w:lang w:val="es-MX" w:eastAsia="x-none"/>
        </w:rPr>
        <w:lastRenderedPageBreak/>
        <w:t xml:space="preserve">principal obligación consiste en el pago de los servicios ambientales, que conforme con el artículo 2.2.9.8.1.4. del Decreto 1007 de 2018, corresponde al incentivo económico en dinero o especie reconocidos por estos sujetos a los beneficiarios por las acciones de conservación. Por su parte, los beneficiarios tendrán como compromisos u obligaciones realizar las acciones de preservación o conservación de las áreas protegidas. </w:t>
      </w:r>
    </w:p>
    <w:p w14:paraId="4DD08343" w14:textId="77777777" w:rsidR="002D5B01" w:rsidRPr="00721934" w:rsidRDefault="002D5B01" w:rsidP="002D5B01">
      <w:pPr>
        <w:spacing w:after="120" w:line="276" w:lineRule="auto"/>
        <w:ind w:firstLine="708"/>
        <w:jc w:val="both"/>
        <w:rPr>
          <w:rFonts w:ascii="Arial" w:eastAsia="Times New Roman" w:hAnsi="Arial" w:cs="Arial"/>
          <w:bCs/>
          <w:lang w:val="es-MX" w:eastAsia="x-none"/>
        </w:rPr>
      </w:pPr>
      <w:r w:rsidRPr="00721934">
        <w:rPr>
          <w:rFonts w:ascii="Arial" w:eastAsia="Times New Roman" w:hAnsi="Arial" w:cs="Arial"/>
          <w:bCs/>
          <w:lang w:val="es-MX" w:eastAsia="x-none"/>
        </w:rPr>
        <w:t xml:space="preserve">En segundo lugar, se observa de las definiciones citadas que los sujetos que suscriben estos acuerdos son dos: de un lado, los interesados en servicios ambientales y, de otro, los beneficiarios del incentivo. Los primeros, conforme con el literal a) del artículo 5 del Decreto 870 de 2017, son </w:t>
      </w:r>
      <w:r>
        <w:rPr>
          <w:rFonts w:ascii="Arial" w:eastAsia="Times New Roman" w:hAnsi="Arial" w:cs="Arial"/>
          <w:bCs/>
          <w:lang w:val="es-MX" w:eastAsia="x-none"/>
        </w:rPr>
        <w:t>“</w:t>
      </w:r>
      <w:r w:rsidRPr="00721934">
        <w:rPr>
          <w:rFonts w:ascii="Arial" w:eastAsia="Times New Roman" w:hAnsi="Arial" w:cs="Arial"/>
          <w:bCs/>
          <w:lang w:val="es-MX" w:eastAsia="x-none"/>
        </w:rPr>
        <w:t>las personas naturales o jurídicas, públicas, privadas o mixtas, que reconocen el incentivo económico de pago por servicios ambientales de forma voluntaria o en el marco del cumplimiento de las obligaciones derivadas de autorizaciones ambientales</w:t>
      </w:r>
      <w:r>
        <w:rPr>
          <w:rFonts w:ascii="Arial" w:eastAsia="Times New Roman" w:hAnsi="Arial" w:cs="Arial"/>
          <w:bCs/>
          <w:lang w:val="es-MX" w:eastAsia="x-none"/>
        </w:rPr>
        <w:t>”</w:t>
      </w:r>
      <w:r w:rsidRPr="00721934">
        <w:rPr>
          <w:rFonts w:ascii="Arial" w:eastAsia="Times New Roman" w:hAnsi="Arial" w:cs="Arial"/>
          <w:bCs/>
          <w:lang w:val="es-MX" w:eastAsia="x-none"/>
        </w:rPr>
        <w:t xml:space="preserve">. Los segundos, es decir, los beneficiarios del incentivo, conforme con el literal b) del artículo 5 del Decreto 870 de 2017, son </w:t>
      </w:r>
      <w:r>
        <w:rPr>
          <w:rFonts w:ascii="Arial" w:eastAsia="Times New Roman" w:hAnsi="Arial" w:cs="Arial"/>
          <w:bCs/>
          <w:lang w:val="es-MX" w:eastAsia="x-none"/>
        </w:rPr>
        <w:t>“</w:t>
      </w:r>
      <w:r w:rsidRPr="00721934">
        <w:rPr>
          <w:rFonts w:ascii="Arial" w:eastAsia="Times New Roman" w:hAnsi="Arial" w:cs="Arial"/>
          <w:bCs/>
          <w:lang w:val="es-MX" w:eastAsia="x-none"/>
        </w:rPr>
        <w:t>propietarios, poseedores u ocupantes de buena fe exenta de culpa de predios ubicados en las áreas y ecosistemas estratégicos, que reciben el incentivo condicionado al cumplimiento de las acciones de preservación y restauración suscritas a través de un acuerdo voluntario</w:t>
      </w:r>
      <w:r>
        <w:rPr>
          <w:rFonts w:ascii="Arial" w:eastAsia="Times New Roman" w:hAnsi="Arial" w:cs="Arial"/>
          <w:bCs/>
          <w:lang w:val="es-MX" w:eastAsia="x-none"/>
        </w:rPr>
        <w:t>”</w:t>
      </w:r>
      <w:r w:rsidRPr="00721934">
        <w:rPr>
          <w:rFonts w:ascii="Arial" w:eastAsia="Times New Roman" w:hAnsi="Arial" w:cs="Arial"/>
          <w:bCs/>
          <w:lang w:val="es-MX" w:eastAsia="x-none"/>
        </w:rPr>
        <w:t xml:space="preserve">. </w:t>
      </w:r>
    </w:p>
    <w:p w14:paraId="534872A3" w14:textId="77777777" w:rsidR="002D5B01" w:rsidRPr="00721934" w:rsidRDefault="002D5B01" w:rsidP="002D5B01">
      <w:pPr>
        <w:spacing w:after="120" w:line="276" w:lineRule="auto"/>
        <w:ind w:firstLine="709"/>
        <w:jc w:val="both"/>
        <w:rPr>
          <w:rFonts w:ascii="Arial" w:hAnsi="Arial" w:cs="Arial"/>
          <w:color w:val="4B4949"/>
        </w:rPr>
      </w:pPr>
      <w:r w:rsidRPr="00721934">
        <w:rPr>
          <w:rFonts w:ascii="Arial" w:eastAsia="Times New Roman" w:hAnsi="Arial" w:cs="Arial"/>
          <w:bCs/>
          <w:lang w:val="es-MX" w:eastAsia="x-none"/>
        </w:rPr>
        <w:t xml:space="preserve">Ahora, estos acuerdos voluntarios tienen naturaleza contractual, como se desprende de la regulación señalada anteriormente, naturaleza que también ha sido reconocida por la Corte Constitucional, según la cual </w:t>
      </w:r>
      <w:r>
        <w:rPr>
          <w:rFonts w:ascii="Arial" w:eastAsia="Times New Roman" w:hAnsi="Arial" w:cs="Arial"/>
          <w:bCs/>
          <w:lang w:val="es-MX" w:eastAsia="x-none"/>
        </w:rPr>
        <w:t>“</w:t>
      </w:r>
      <w:r w:rsidRPr="00721934">
        <w:rPr>
          <w:rFonts w:ascii="Arial" w:eastAsia="Times New Roman" w:hAnsi="Arial" w:cs="Arial"/>
          <w:bCs/>
          <w:lang w:val="es-MX" w:eastAsia="x-none"/>
        </w:rPr>
        <w:t>di</w:t>
      </w:r>
      <w:proofErr w:type="spellStart"/>
      <w:r w:rsidRPr="00721934">
        <w:rPr>
          <w:rFonts w:ascii="Arial" w:hAnsi="Arial" w:cs="Arial"/>
          <w:color w:val="2D2D2D"/>
          <w:shd w:val="clear" w:color="auto" w:fill="FFFFFF"/>
          <w:lang w:val="es-ES"/>
        </w:rPr>
        <w:t>chos</w:t>
      </w:r>
      <w:proofErr w:type="spellEnd"/>
      <w:r w:rsidRPr="00721934">
        <w:rPr>
          <w:rFonts w:ascii="Arial" w:hAnsi="Arial" w:cs="Arial"/>
          <w:color w:val="2D2D2D"/>
          <w:shd w:val="clear" w:color="auto" w:fill="FFFFFF"/>
          <w:lang w:val="es-ES"/>
        </w:rPr>
        <w:t xml:space="preserve"> acuerdos tienen la naturaleza de ser instrumentos contractuales que formalizan voluntariamente los compromisos, en donde se indica el objeto, se definen las acciones, su periodicidad, los parámetros del incentivo, las obligaciones de las partes, e incluso las causales de incumplimiento</w:t>
      </w:r>
      <w:r>
        <w:rPr>
          <w:rFonts w:ascii="Arial" w:hAnsi="Arial" w:cs="Arial"/>
          <w:b/>
          <w:color w:val="2D2D2D"/>
          <w:shd w:val="clear" w:color="auto" w:fill="FFFFFF"/>
          <w:lang w:val="es-ES"/>
        </w:rPr>
        <w:t>”</w:t>
      </w:r>
      <w:r w:rsidRPr="00721934">
        <w:rPr>
          <w:rStyle w:val="Refdenotaalpie"/>
          <w:rFonts w:ascii="Arial" w:hAnsi="Arial" w:cs="Arial"/>
          <w:color w:val="2D2D2D"/>
          <w:shd w:val="clear" w:color="auto" w:fill="FFFFFF"/>
          <w:lang w:val="es-ES"/>
        </w:rPr>
        <w:footnoteReference w:id="19"/>
      </w:r>
      <w:r w:rsidRPr="00721934">
        <w:rPr>
          <w:rFonts w:ascii="Arial" w:eastAsia="Times New Roman" w:hAnsi="Arial" w:cs="Arial"/>
          <w:bCs/>
          <w:lang w:val="es-MX" w:eastAsia="x-none"/>
        </w:rPr>
        <w:t xml:space="preserve">. </w:t>
      </w:r>
      <w:r w:rsidRPr="00721934">
        <w:rPr>
          <w:rFonts w:ascii="Arial" w:hAnsi="Arial" w:cs="Arial"/>
          <w:color w:val="000000" w:themeColor="text1"/>
          <w:lang w:val="es-ES_tradnl"/>
        </w:rPr>
        <w:t xml:space="preserve">Por lo tanto, la restricción prevista en el parágrafo del artículo 38 de Ley 996 de 2005, </w:t>
      </w:r>
      <w:r w:rsidRPr="00721934">
        <w:rPr>
          <w:rFonts w:ascii="Arial" w:hAnsi="Arial" w:cs="Arial"/>
          <w:bCs/>
          <w:color w:val="000000" w:themeColor="text1"/>
          <w:lang w:val="es-ES_tradnl" w:eastAsia="x-none"/>
        </w:rPr>
        <w:t>teniendo en cuenta la finalidad de la ley de garantías electorales, cobija a l</w:t>
      </w:r>
      <w:r w:rsidRPr="00721934">
        <w:rPr>
          <w:rFonts w:ascii="Arial" w:hAnsi="Arial" w:cs="Arial"/>
          <w:color w:val="4B4949"/>
        </w:rPr>
        <w:t xml:space="preserve">os gobernadores, alcaldes municipales y/o distritales, secretarios, gerentes y directores de entidades descentralizadas del orden municipal, departamental o distrital, </w:t>
      </w:r>
      <w:r>
        <w:rPr>
          <w:rFonts w:ascii="Arial" w:hAnsi="Arial" w:cs="Arial"/>
          <w:color w:val="4B4949"/>
        </w:rPr>
        <w:t xml:space="preserve">quienes, </w:t>
      </w:r>
      <w:r w:rsidRPr="00721934">
        <w:rPr>
          <w:rFonts w:ascii="Arial" w:hAnsi="Arial" w:cs="Arial"/>
          <w:color w:val="4B4949"/>
        </w:rPr>
        <w:t xml:space="preserve">con base en dicha disposición, no podrán suscribir convenios interadministrativos, dentro de los 4 meses anteriores a las elecciones. </w:t>
      </w:r>
    </w:p>
    <w:p w14:paraId="1D62B421" w14:textId="77777777" w:rsidR="002D5B01" w:rsidRDefault="002D5B01" w:rsidP="002D5B01">
      <w:pPr>
        <w:spacing w:after="120" w:line="276" w:lineRule="auto"/>
        <w:ind w:firstLine="709"/>
        <w:jc w:val="both"/>
        <w:rPr>
          <w:rFonts w:ascii="Arial" w:eastAsia="Calibri" w:hAnsi="Arial" w:cs="Arial"/>
          <w:bCs/>
          <w:lang w:val="es-MX"/>
        </w:rPr>
      </w:pPr>
      <w:r w:rsidRPr="00CE74D2">
        <w:rPr>
          <w:rFonts w:ascii="Arial" w:eastAsia="Calibri" w:hAnsi="Arial" w:cs="Arial"/>
          <w:bCs/>
          <w:lang w:val="es-MX"/>
        </w:rPr>
        <w:t>En este sentido, si una o ambas partes de la relación contractual es una entidad de aquellas descritas en el parágrafo ibidem,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721934">
        <w:rPr>
          <w:rFonts w:ascii="Arial" w:eastAsia="Calibri" w:hAnsi="Arial" w:cs="Arial"/>
          <w:bCs/>
          <w:lang w:val="es-MX"/>
        </w:rPr>
        <w:t>, por tanto, solo en el escenario en que  el incentivo económico se reconozca a los propietarios, poseedores u ocupantes de buena fe exenta de culpa que no sean de carácter público, podrán suscribirse estos acuerdos voluntarios por parte de las entidades previstas en el referido artículo</w:t>
      </w:r>
      <w:r>
        <w:rPr>
          <w:rFonts w:ascii="Arial" w:eastAsia="Calibri" w:hAnsi="Arial" w:cs="Arial"/>
          <w:bCs/>
          <w:lang w:val="es-MX"/>
        </w:rPr>
        <w:t xml:space="preserve">. </w:t>
      </w:r>
    </w:p>
    <w:p w14:paraId="6EA51274" w14:textId="77777777" w:rsidR="002D5B01" w:rsidRPr="00721934" w:rsidRDefault="002D5B01" w:rsidP="002D5B01">
      <w:pPr>
        <w:spacing w:after="120" w:line="276" w:lineRule="auto"/>
        <w:ind w:firstLine="708"/>
        <w:jc w:val="both"/>
        <w:rPr>
          <w:rFonts w:ascii="Arial" w:eastAsia="Calibri" w:hAnsi="Arial" w:cs="Arial"/>
          <w:lang w:val="es-MX"/>
        </w:rPr>
      </w:pPr>
    </w:p>
    <w:p w14:paraId="4DC1DC62" w14:textId="77777777" w:rsidR="002D5B01" w:rsidRPr="002E4D55" w:rsidRDefault="002D5B01" w:rsidP="002D5B01">
      <w:pPr>
        <w:spacing w:after="0" w:line="276" w:lineRule="auto"/>
        <w:jc w:val="both"/>
        <w:rPr>
          <w:rFonts w:ascii="Times New Roman" w:eastAsia="Times New Roman" w:hAnsi="Times New Roman" w:cs="Times New Roman"/>
          <w:sz w:val="24"/>
          <w:szCs w:val="24"/>
          <w:lang w:eastAsia="es-ES_tradnl"/>
        </w:rPr>
      </w:pPr>
      <w:r w:rsidRPr="002E4D55">
        <w:rPr>
          <w:rFonts w:ascii="Arial" w:eastAsia="Calibri" w:hAnsi="Arial" w:cs="Arial"/>
        </w:rPr>
        <w:lastRenderedPageBreak/>
        <w:t>Este concepto tiene el alcance previsto en el artículo 28 del Código de Procedimiento Administrativo y de lo Contencioso Administrativo.</w:t>
      </w:r>
    </w:p>
    <w:p w14:paraId="21307957" w14:textId="77777777" w:rsidR="002D5B01" w:rsidRPr="002E4D55" w:rsidRDefault="002D5B01" w:rsidP="002D5B01">
      <w:pPr>
        <w:spacing w:after="0" w:line="276" w:lineRule="auto"/>
        <w:jc w:val="both"/>
        <w:rPr>
          <w:rFonts w:ascii="Times New Roman" w:eastAsia="Times New Roman" w:hAnsi="Times New Roman" w:cs="Times New Roman"/>
          <w:sz w:val="24"/>
          <w:szCs w:val="24"/>
          <w:lang w:eastAsia="es-ES_tradnl"/>
        </w:rPr>
      </w:pPr>
    </w:p>
    <w:p w14:paraId="5BABBAFF" w14:textId="77777777" w:rsidR="002D5B01" w:rsidRPr="002E4D55" w:rsidRDefault="002D5B01" w:rsidP="002D5B01">
      <w:pPr>
        <w:spacing w:after="200" w:line="276" w:lineRule="auto"/>
        <w:jc w:val="both"/>
        <w:rPr>
          <w:rFonts w:ascii="Arial" w:eastAsia="Times New Roman" w:hAnsi="Arial" w:cs="Arial"/>
          <w:lang w:eastAsia="es-CO"/>
        </w:rPr>
      </w:pPr>
      <w:r w:rsidRPr="6B403BAF">
        <w:rPr>
          <w:rFonts w:ascii="Arial" w:eastAsia="Times New Roman" w:hAnsi="Arial" w:cs="Arial"/>
          <w:lang w:eastAsia="es-CO"/>
        </w:rPr>
        <w:t>Atentamente,</w:t>
      </w:r>
    </w:p>
    <w:p w14:paraId="6631B1E9" w14:textId="161F1019" w:rsidR="002D5B01" w:rsidRPr="002E4D55" w:rsidRDefault="00C71531" w:rsidP="002D5B01">
      <w:pPr>
        <w:spacing w:after="200" w:line="276" w:lineRule="auto"/>
        <w:jc w:val="center"/>
      </w:pPr>
      <w:r>
        <w:rPr>
          <w:noProof/>
          <w:lang w:val="en-US"/>
        </w:rPr>
        <w:drawing>
          <wp:inline distT="0" distB="0" distL="0" distR="0" wp14:anchorId="40B94F98" wp14:editId="202F631F">
            <wp:extent cx="2775006" cy="1064730"/>
            <wp:effectExtent l="0" t="0" r="6350" b="254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1"/>
                    <a:stretch>
                      <a:fillRect/>
                    </a:stretch>
                  </pic:blipFill>
                  <pic:spPr>
                    <a:xfrm>
                      <a:off x="0" y="0"/>
                      <a:ext cx="2785707" cy="1068836"/>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2D5B01" w:rsidRPr="002E4D55" w14:paraId="58E65850" w14:textId="77777777" w:rsidTr="0015079B">
        <w:trPr>
          <w:trHeight w:val="315"/>
        </w:trPr>
        <w:tc>
          <w:tcPr>
            <w:tcW w:w="812" w:type="dxa"/>
            <w:vAlign w:val="center"/>
            <w:hideMark/>
          </w:tcPr>
          <w:p w14:paraId="1B83195B" w14:textId="77777777" w:rsidR="002D5B01" w:rsidRPr="002E4D55" w:rsidRDefault="002D5B01" w:rsidP="0015079B">
            <w:pPr>
              <w:rPr>
                <w:rFonts w:ascii="Arial" w:eastAsia="Times New Roman" w:hAnsi="Arial" w:cs="Arial"/>
                <w:color w:val="000000"/>
                <w:sz w:val="16"/>
                <w:szCs w:val="16"/>
                <w:lang w:eastAsia="es-ES"/>
              </w:rPr>
            </w:pPr>
            <w:r w:rsidRPr="002E4D55">
              <w:rPr>
                <w:rFonts w:ascii="Arial" w:eastAsia="Times New Roman" w:hAnsi="Arial" w:cs="Arial"/>
                <w:color w:val="000000"/>
                <w:sz w:val="16"/>
                <w:szCs w:val="16"/>
                <w:lang w:eastAsia="es-ES"/>
              </w:rPr>
              <w:t>Elaboró:</w:t>
            </w:r>
          </w:p>
        </w:tc>
        <w:tc>
          <w:tcPr>
            <w:tcW w:w="4291" w:type="dxa"/>
            <w:tcBorders>
              <w:top w:val="nil"/>
              <w:left w:val="nil"/>
              <w:bottom w:val="dotted" w:sz="4" w:space="0" w:color="7F7F7F"/>
              <w:right w:val="nil"/>
            </w:tcBorders>
            <w:vAlign w:val="center"/>
            <w:hideMark/>
          </w:tcPr>
          <w:p w14:paraId="0F706625" w14:textId="77777777" w:rsidR="002D5B01" w:rsidRPr="002E4D55" w:rsidRDefault="002D5B01" w:rsidP="0015079B">
            <w:pPr>
              <w:rPr>
                <w:rFonts w:ascii="Arial" w:hAnsi="Arial" w:cs="Arial"/>
                <w:sz w:val="16"/>
                <w:szCs w:val="16"/>
                <w:lang w:eastAsia="es-ES"/>
              </w:rPr>
            </w:pPr>
            <w:r w:rsidRPr="002E4D55">
              <w:rPr>
                <w:rFonts w:ascii="Arial" w:hAnsi="Arial" w:cs="Arial"/>
                <w:sz w:val="16"/>
                <w:szCs w:val="16"/>
                <w:lang w:eastAsia="es-ES"/>
              </w:rPr>
              <w:t xml:space="preserve">Nina María Padrón Ballestas </w:t>
            </w:r>
          </w:p>
          <w:p w14:paraId="660B41C0" w14:textId="77777777" w:rsidR="002D5B01" w:rsidRPr="002E4D55" w:rsidRDefault="002D5B01" w:rsidP="0015079B">
            <w:pPr>
              <w:rPr>
                <w:rFonts w:ascii="Arial" w:eastAsia="Times New Roman" w:hAnsi="Arial" w:cs="Arial"/>
                <w:color w:val="000000"/>
                <w:sz w:val="16"/>
                <w:szCs w:val="16"/>
                <w:lang w:eastAsia="es-ES"/>
              </w:rPr>
            </w:pPr>
            <w:r w:rsidRPr="002E4D55">
              <w:rPr>
                <w:rFonts w:ascii="Arial" w:hAnsi="Arial" w:cs="Arial"/>
                <w:sz w:val="16"/>
                <w:szCs w:val="16"/>
                <w:lang w:eastAsia="es-ES"/>
              </w:rPr>
              <w:t>Contratista de la Subdirección de Gestión Contractual</w:t>
            </w:r>
            <w:r w:rsidRPr="002E4D55" w:rsidDel="004628B9">
              <w:rPr>
                <w:rFonts w:ascii="Arial" w:eastAsia="Times New Roman" w:hAnsi="Arial" w:cs="Arial"/>
                <w:color w:val="000000"/>
                <w:sz w:val="16"/>
                <w:szCs w:val="16"/>
                <w:lang w:eastAsia="es-ES"/>
              </w:rPr>
              <w:t xml:space="preserve"> </w:t>
            </w:r>
          </w:p>
        </w:tc>
      </w:tr>
      <w:tr w:rsidR="002D5B01" w:rsidRPr="002E4D55" w14:paraId="7183CD80" w14:textId="77777777" w:rsidTr="0015079B">
        <w:trPr>
          <w:trHeight w:val="330"/>
        </w:trPr>
        <w:tc>
          <w:tcPr>
            <w:tcW w:w="812" w:type="dxa"/>
            <w:vAlign w:val="center"/>
            <w:hideMark/>
          </w:tcPr>
          <w:p w14:paraId="17D6CEAE" w14:textId="77777777" w:rsidR="002D5B01" w:rsidRPr="002E4D55" w:rsidRDefault="002D5B01" w:rsidP="0015079B">
            <w:pPr>
              <w:rPr>
                <w:rFonts w:ascii="Arial" w:eastAsia="Times New Roman" w:hAnsi="Arial" w:cs="Arial"/>
                <w:color w:val="000000"/>
                <w:sz w:val="16"/>
                <w:szCs w:val="16"/>
                <w:lang w:eastAsia="es-ES"/>
              </w:rPr>
            </w:pPr>
            <w:r w:rsidRPr="002E4D55">
              <w:rPr>
                <w:rFonts w:ascii="Arial" w:eastAsia="Times New Roman" w:hAnsi="Arial" w:cs="Arial"/>
                <w:color w:val="000000"/>
                <w:sz w:val="16"/>
                <w:szCs w:val="16"/>
                <w:lang w:eastAsia="es-ES"/>
              </w:rPr>
              <w:t>Revisó:</w:t>
            </w:r>
          </w:p>
        </w:tc>
        <w:tc>
          <w:tcPr>
            <w:tcW w:w="4291" w:type="dxa"/>
            <w:tcBorders>
              <w:top w:val="dotted" w:sz="4" w:space="0" w:color="7F7F7F"/>
              <w:left w:val="nil"/>
              <w:bottom w:val="dotted" w:sz="4" w:space="0" w:color="7F7F7F"/>
              <w:right w:val="nil"/>
            </w:tcBorders>
            <w:vAlign w:val="center"/>
            <w:hideMark/>
          </w:tcPr>
          <w:p w14:paraId="26C3A5FB" w14:textId="77777777" w:rsidR="002D5B01" w:rsidRPr="002E4D55" w:rsidRDefault="002D5B01" w:rsidP="0015079B">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Alejandro Sarmiento Cantillo</w:t>
            </w:r>
          </w:p>
          <w:p w14:paraId="3AC34D93" w14:textId="77777777" w:rsidR="002D5B01" w:rsidRPr="002E4D55" w:rsidRDefault="002D5B01" w:rsidP="0015079B">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xml:space="preserve">Gestor T1-15 </w:t>
            </w:r>
            <w:r w:rsidRPr="002E4D55">
              <w:rPr>
                <w:rFonts w:ascii="Arial" w:eastAsia="Times New Roman" w:hAnsi="Arial" w:cs="Arial"/>
                <w:color w:val="000000"/>
                <w:sz w:val="16"/>
                <w:szCs w:val="16"/>
                <w:lang w:eastAsia="es-ES"/>
              </w:rPr>
              <w:t xml:space="preserve"> de la Subdirección de Gestión Contractual</w:t>
            </w:r>
          </w:p>
        </w:tc>
      </w:tr>
      <w:tr w:rsidR="002D5B01" w:rsidRPr="00F06958" w14:paraId="29B96896" w14:textId="77777777" w:rsidTr="0015079B">
        <w:trPr>
          <w:trHeight w:val="300"/>
        </w:trPr>
        <w:tc>
          <w:tcPr>
            <w:tcW w:w="812" w:type="dxa"/>
            <w:vAlign w:val="center"/>
            <w:hideMark/>
          </w:tcPr>
          <w:p w14:paraId="686FA42E" w14:textId="77777777" w:rsidR="002D5B01" w:rsidRPr="002E4D55" w:rsidRDefault="002D5B01" w:rsidP="0015079B">
            <w:pPr>
              <w:rPr>
                <w:rFonts w:ascii="Arial" w:eastAsia="Times New Roman" w:hAnsi="Arial" w:cs="Arial"/>
                <w:color w:val="000000"/>
                <w:sz w:val="16"/>
                <w:szCs w:val="16"/>
                <w:lang w:eastAsia="es-ES"/>
              </w:rPr>
            </w:pPr>
            <w:r w:rsidRPr="002E4D55">
              <w:rPr>
                <w:rFonts w:ascii="Arial" w:eastAsia="Times New Roman" w:hAnsi="Arial" w:cs="Arial"/>
                <w:color w:val="000000"/>
                <w:sz w:val="16"/>
                <w:szCs w:val="16"/>
                <w:lang w:eastAsia="es-ES"/>
              </w:rPr>
              <w:t>Aprobó:</w:t>
            </w:r>
          </w:p>
        </w:tc>
        <w:tc>
          <w:tcPr>
            <w:tcW w:w="4291" w:type="dxa"/>
            <w:tcBorders>
              <w:top w:val="dotted" w:sz="4" w:space="0" w:color="7F7F7F"/>
              <w:left w:val="nil"/>
              <w:bottom w:val="dotted" w:sz="4" w:space="0" w:color="7F7F7F"/>
              <w:right w:val="nil"/>
            </w:tcBorders>
            <w:vAlign w:val="center"/>
            <w:hideMark/>
          </w:tcPr>
          <w:p w14:paraId="1DFA5C25" w14:textId="77777777" w:rsidR="002D5B01" w:rsidRPr="002E4D55" w:rsidRDefault="002D5B01" w:rsidP="0015079B">
            <w:r>
              <w:rPr>
                <w:rFonts w:ascii="Arial" w:eastAsia="Arial" w:hAnsi="Arial" w:cs="Arial"/>
                <w:color w:val="000000"/>
                <w:sz w:val="16"/>
                <w:szCs w:val="16"/>
              </w:rPr>
              <w:t>Nohelia del Carmen Zawady Palacio</w:t>
            </w:r>
          </w:p>
          <w:p w14:paraId="28ADAC58" w14:textId="77777777" w:rsidR="002D5B01" w:rsidRPr="00F06958" w:rsidRDefault="002D5B01" w:rsidP="0015079B">
            <w:pPr>
              <w:rPr>
                <w:rFonts w:ascii="Arial" w:eastAsia="Times New Roman" w:hAnsi="Arial" w:cs="Arial"/>
                <w:color w:val="000000"/>
                <w:sz w:val="16"/>
                <w:szCs w:val="16"/>
                <w:lang w:eastAsia="es-ES"/>
              </w:rPr>
            </w:pPr>
            <w:r w:rsidRPr="002E4D55">
              <w:rPr>
                <w:rFonts w:ascii="Arial" w:eastAsia="Arial" w:hAnsi="Arial" w:cs="Arial"/>
                <w:color w:val="000000"/>
                <w:sz w:val="16"/>
                <w:szCs w:val="16"/>
              </w:rPr>
              <w:t xml:space="preserve">Subdirector de </w:t>
            </w:r>
            <w:r>
              <w:rPr>
                <w:rFonts w:ascii="Arial" w:eastAsia="Arial" w:hAnsi="Arial" w:cs="Arial"/>
                <w:color w:val="000000"/>
                <w:sz w:val="16"/>
                <w:szCs w:val="16"/>
              </w:rPr>
              <w:t xml:space="preserve">Gestión Contractual </w:t>
            </w:r>
          </w:p>
        </w:tc>
      </w:tr>
      <w:bookmarkEnd w:id="3"/>
      <w:bookmarkEnd w:id="32"/>
    </w:tbl>
    <w:p w14:paraId="48EE1A4F" w14:textId="77777777" w:rsidR="002D5B01" w:rsidRPr="00F06958" w:rsidRDefault="002D5B01" w:rsidP="002D5B01">
      <w:pPr>
        <w:spacing w:after="120" w:line="276" w:lineRule="auto"/>
        <w:contextualSpacing/>
        <w:jc w:val="both"/>
        <w:rPr>
          <w:rFonts w:ascii="Arial" w:eastAsia="Calibri" w:hAnsi="Arial" w:cs="Arial"/>
          <w:b/>
          <w:bCs/>
          <w:sz w:val="20"/>
          <w:szCs w:val="20"/>
          <w:lang w:val="es-MX"/>
        </w:rPr>
      </w:pPr>
    </w:p>
    <w:p w14:paraId="71741E0A" w14:textId="77777777" w:rsidR="002D5B01" w:rsidRPr="006219F8" w:rsidRDefault="002D5B01" w:rsidP="002D5B01">
      <w:pPr>
        <w:rPr>
          <w:lang w:val="es-MX"/>
        </w:rPr>
      </w:pPr>
    </w:p>
    <w:p w14:paraId="503883D6" w14:textId="3236EE63" w:rsidR="00E17118" w:rsidRPr="002D5B01" w:rsidRDefault="00E17118" w:rsidP="002D5B01">
      <w:pPr>
        <w:rPr>
          <w:lang w:val="es-MX"/>
        </w:rPr>
      </w:pPr>
    </w:p>
    <w:sectPr w:rsidR="00E17118" w:rsidRPr="002D5B01" w:rsidSect="0022256D">
      <w:headerReference w:type="default" r:id="rId12"/>
      <w:footerReference w:type="default" r:id="rId13"/>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B829A" w14:textId="77777777" w:rsidR="002E4AD8" w:rsidRDefault="002E4AD8" w:rsidP="00F06958">
      <w:pPr>
        <w:spacing w:after="0" w:line="240" w:lineRule="auto"/>
      </w:pPr>
      <w:r>
        <w:separator/>
      </w:r>
    </w:p>
  </w:endnote>
  <w:endnote w:type="continuationSeparator" w:id="0">
    <w:p w14:paraId="6F4FFFB3" w14:textId="77777777" w:rsidR="002E4AD8" w:rsidRDefault="002E4AD8" w:rsidP="00F06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BEFA" w14:textId="77777777" w:rsidR="00412132" w:rsidRDefault="009C5DC6" w:rsidP="00B6444C">
    <w:pPr>
      <w:pStyle w:val="Sinespaciado"/>
      <w:rPr>
        <w:rFonts w:ascii="Arial" w:hAnsi="Arial" w:cs="Arial"/>
        <w:sz w:val="18"/>
        <w:szCs w:val="18"/>
      </w:rPr>
    </w:pPr>
  </w:p>
  <w:p w14:paraId="0856625A" w14:textId="77777777" w:rsidR="00412132" w:rsidRDefault="009C5DC6" w:rsidP="00B6444C">
    <w:pPr>
      <w:pStyle w:val="Sinespaciado"/>
      <w:rPr>
        <w:rFonts w:ascii="Arial" w:hAnsi="Arial" w:cs="Arial"/>
        <w:sz w:val="18"/>
        <w:szCs w:val="18"/>
      </w:rPr>
    </w:pPr>
  </w:p>
  <w:p w14:paraId="7507CEE3" w14:textId="56C078FB" w:rsidR="00412132" w:rsidRPr="00F06958" w:rsidRDefault="00E521C0" w:rsidP="005A79FE">
    <w:pPr>
      <w:pStyle w:val="Piedepgina"/>
      <w:jc w:val="right"/>
      <w:rPr>
        <w:rFonts w:ascii="Arial" w:hAnsi="Arial" w:cs="Arial"/>
        <w:color w:val="7F7F7F"/>
        <w:sz w:val="16"/>
        <w:szCs w:val="16"/>
      </w:rPr>
    </w:pPr>
    <w:r w:rsidRPr="00F06958">
      <w:rPr>
        <w:rFonts w:ascii="Arial" w:hAnsi="Arial" w:cs="Arial"/>
        <w:bCs/>
        <w:color w:val="7F7F7F"/>
        <w:sz w:val="16"/>
        <w:szCs w:val="16"/>
      </w:rPr>
      <w:t xml:space="preserve">Página </w:t>
    </w:r>
    <w:r w:rsidRPr="00F06958">
      <w:rPr>
        <w:rFonts w:ascii="Arial" w:hAnsi="Arial" w:cs="Arial"/>
        <w:b/>
        <w:bCs/>
        <w:color w:val="7F7F7F"/>
        <w:sz w:val="16"/>
        <w:szCs w:val="16"/>
      </w:rPr>
      <w:fldChar w:fldCharType="begin"/>
    </w:r>
    <w:r w:rsidRPr="00F06958">
      <w:rPr>
        <w:rFonts w:ascii="Arial" w:hAnsi="Arial" w:cs="Arial"/>
        <w:b/>
        <w:bCs/>
        <w:color w:val="7F7F7F"/>
        <w:sz w:val="16"/>
        <w:szCs w:val="16"/>
      </w:rPr>
      <w:instrText>PAGE  \* Arabic  \* MERGEFORMAT</w:instrText>
    </w:r>
    <w:r w:rsidRPr="00F06958">
      <w:rPr>
        <w:rFonts w:ascii="Arial" w:hAnsi="Arial" w:cs="Arial"/>
        <w:b/>
        <w:bCs/>
        <w:color w:val="7F7F7F"/>
        <w:sz w:val="16"/>
        <w:szCs w:val="16"/>
      </w:rPr>
      <w:fldChar w:fldCharType="separate"/>
    </w:r>
    <w:r w:rsidR="00C71531">
      <w:rPr>
        <w:rFonts w:ascii="Arial" w:hAnsi="Arial" w:cs="Arial"/>
        <w:b/>
        <w:bCs/>
        <w:noProof/>
        <w:color w:val="7F7F7F"/>
        <w:sz w:val="16"/>
        <w:szCs w:val="16"/>
      </w:rPr>
      <w:t>17</w:t>
    </w:r>
    <w:r w:rsidRPr="00F06958">
      <w:rPr>
        <w:rFonts w:ascii="Arial" w:hAnsi="Arial" w:cs="Arial"/>
        <w:b/>
        <w:bCs/>
        <w:color w:val="7F7F7F"/>
        <w:sz w:val="16"/>
        <w:szCs w:val="16"/>
      </w:rPr>
      <w:fldChar w:fldCharType="end"/>
    </w:r>
    <w:r w:rsidRPr="00F06958">
      <w:rPr>
        <w:rFonts w:ascii="Arial" w:hAnsi="Arial" w:cs="Arial"/>
        <w:color w:val="7F7F7F"/>
        <w:sz w:val="16"/>
        <w:szCs w:val="16"/>
      </w:rPr>
      <w:t xml:space="preserve"> de </w:t>
    </w:r>
    <w:r w:rsidRPr="00F06958">
      <w:rPr>
        <w:rFonts w:ascii="Arial" w:hAnsi="Arial" w:cs="Arial"/>
        <w:b/>
        <w:bCs/>
        <w:color w:val="7F7F7F"/>
        <w:sz w:val="16"/>
        <w:szCs w:val="16"/>
      </w:rPr>
      <w:fldChar w:fldCharType="begin"/>
    </w:r>
    <w:r w:rsidRPr="00F06958">
      <w:rPr>
        <w:rFonts w:ascii="Arial" w:hAnsi="Arial" w:cs="Arial"/>
        <w:b/>
        <w:bCs/>
        <w:color w:val="7F7F7F"/>
        <w:sz w:val="16"/>
        <w:szCs w:val="16"/>
      </w:rPr>
      <w:instrText>NUMPAGES  \* Arabic  \* MERGEFORMAT</w:instrText>
    </w:r>
    <w:r w:rsidRPr="00F06958">
      <w:rPr>
        <w:rFonts w:ascii="Arial" w:hAnsi="Arial" w:cs="Arial"/>
        <w:b/>
        <w:bCs/>
        <w:color w:val="7F7F7F"/>
        <w:sz w:val="16"/>
        <w:szCs w:val="16"/>
      </w:rPr>
      <w:fldChar w:fldCharType="separate"/>
    </w:r>
    <w:r w:rsidR="00C71531">
      <w:rPr>
        <w:rFonts w:ascii="Arial" w:hAnsi="Arial" w:cs="Arial"/>
        <w:b/>
        <w:bCs/>
        <w:noProof/>
        <w:color w:val="7F7F7F"/>
        <w:sz w:val="16"/>
        <w:szCs w:val="16"/>
      </w:rPr>
      <w:t>17</w:t>
    </w:r>
    <w:r w:rsidRPr="00F06958">
      <w:rPr>
        <w:rFonts w:ascii="Arial" w:hAnsi="Arial" w:cs="Arial"/>
        <w:b/>
        <w:bCs/>
        <w:color w:val="7F7F7F"/>
        <w:sz w:val="16"/>
        <w:szCs w:val="16"/>
      </w:rPr>
      <w:fldChar w:fldCharType="end"/>
    </w:r>
  </w:p>
  <w:p w14:paraId="4798E382" w14:textId="77777777" w:rsidR="00412132" w:rsidRDefault="00E521C0" w:rsidP="007B0854">
    <w:pPr>
      <w:pStyle w:val="Piedepgina"/>
      <w:jc w:val="center"/>
      <w:rPr>
        <w:lang w:val="es-ES"/>
      </w:rPr>
    </w:pPr>
    <w:r>
      <w:rPr>
        <w:noProof/>
        <w:lang w:val="en-US"/>
      </w:rPr>
      <w:drawing>
        <wp:inline distT="0" distB="0" distL="0" distR="0" wp14:anchorId="3E392814" wp14:editId="31C35784">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4F5CD49B" w14:textId="77777777" w:rsidR="00412132" w:rsidRDefault="009C5DC6" w:rsidP="007B0854">
    <w:pPr>
      <w:pStyle w:val="Piedepgina"/>
      <w:jc w:val="center"/>
      <w:rPr>
        <w:lang w:val="es-ES"/>
      </w:rPr>
    </w:pPr>
  </w:p>
  <w:p w14:paraId="37552B1B" w14:textId="77777777" w:rsidR="00412132" w:rsidRPr="007B0854" w:rsidRDefault="009C5DC6"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C23C4" w14:textId="77777777" w:rsidR="002E4AD8" w:rsidRDefault="002E4AD8" w:rsidP="00F06958">
      <w:pPr>
        <w:spacing w:after="0" w:line="240" w:lineRule="auto"/>
      </w:pPr>
      <w:r>
        <w:separator/>
      </w:r>
    </w:p>
  </w:footnote>
  <w:footnote w:type="continuationSeparator" w:id="0">
    <w:p w14:paraId="52DE222F" w14:textId="77777777" w:rsidR="002E4AD8" w:rsidRDefault="002E4AD8" w:rsidP="00F06958">
      <w:pPr>
        <w:spacing w:after="0" w:line="240" w:lineRule="auto"/>
      </w:pPr>
      <w:r>
        <w:continuationSeparator/>
      </w:r>
    </w:p>
  </w:footnote>
  <w:footnote w:id="1">
    <w:p w14:paraId="724EABDE" w14:textId="77777777" w:rsidR="002D5B01" w:rsidRPr="00D77B72" w:rsidRDefault="002D5B01" w:rsidP="002D5B01">
      <w:pPr>
        <w:pBdr>
          <w:top w:val="nil"/>
          <w:left w:val="nil"/>
          <w:bottom w:val="nil"/>
          <w:right w:val="nil"/>
          <w:between w:val="nil"/>
        </w:pBdr>
        <w:spacing w:after="0" w:line="240" w:lineRule="auto"/>
        <w:ind w:firstLine="709"/>
        <w:jc w:val="both"/>
        <w:rPr>
          <w:rFonts w:ascii="Arial" w:eastAsia="Arial" w:hAnsi="Arial" w:cs="Arial"/>
          <w:sz w:val="19"/>
          <w:szCs w:val="19"/>
        </w:rPr>
      </w:pPr>
      <w:r w:rsidRPr="00D77B72">
        <w:rPr>
          <w:rFonts w:ascii="Arial" w:hAnsi="Arial" w:cs="Arial"/>
          <w:sz w:val="19"/>
          <w:szCs w:val="19"/>
          <w:vertAlign w:val="superscript"/>
        </w:rPr>
        <w:footnoteRef/>
      </w:r>
      <w:r w:rsidRPr="00D77B72">
        <w:rPr>
          <w:rFonts w:ascii="Arial" w:eastAsia="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D77B72">
        <w:rPr>
          <w:rFonts w:ascii="Arial" w:eastAsia="Arial" w:hAnsi="Arial" w:cs="Arial"/>
          <w:i/>
          <w:sz w:val="19"/>
          <w:szCs w:val="19"/>
        </w:rPr>
        <w:t xml:space="preserve">ibídem </w:t>
      </w:r>
      <w:r w:rsidRPr="00D77B72">
        <w:rPr>
          <w:rFonts w:ascii="Arial" w:eastAsia="Arial" w:hAnsi="Arial" w:cs="Arial"/>
          <w:sz w:val="19"/>
          <w:szCs w:val="19"/>
        </w:rPr>
        <w:t>señala, de manera precisa, las funciones de Colombia Compra Eficiente. Concretamente, el numeral 5º de este artículo establece que le corresponde a esta entidad: «[a]</w:t>
      </w:r>
      <w:proofErr w:type="spellStart"/>
      <w:r w:rsidRPr="00D77B72">
        <w:rPr>
          <w:rFonts w:ascii="Arial" w:eastAsia="Arial" w:hAnsi="Arial" w:cs="Arial"/>
          <w:sz w:val="19"/>
          <w:szCs w:val="19"/>
        </w:rPr>
        <w:t>bsolver</w:t>
      </w:r>
      <w:proofErr w:type="spellEnd"/>
      <w:r w:rsidRPr="00D77B72">
        <w:rPr>
          <w:rFonts w:ascii="Arial" w:eastAsia="Arial" w:hAnsi="Arial" w:cs="Arial"/>
          <w:sz w:val="19"/>
          <w:szCs w:val="19"/>
        </w:rPr>
        <w:t xml:space="preserve">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p w14:paraId="4F246101" w14:textId="77777777" w:rsidR="002D5B01" w:rsidRPr="00D77B72" w:rsidRDefault="002D5B01" w:rsidP="002D5B01">
      <w:pPr>
        <w:pBdr>
          <w:top w:val="nil"/>
          <w:left w:val="nil"/>
          <w:bottom w:val="nil"/>
          <w:right w:val="nil"/>
          <w:between w:val="nil"/>
        </w:pBdr>
        <w:spacing w:after="0" w:line="240" w:lineRule="auto"/>
        <w:ind w:firstLine="709"/>
        <w:jc w:val="both"/>
        <w:rPr>
          <w:rFonts w:ascii="Arial" w:eastAsia="Arial" w:hAnsi="Arial" w:cs="Arial"/>
          <w:sz w:val="19"/>
          <w:szCs w:val="19"/>
        </w:rPr>
      </w:pPr>
    </w:p>
  </w:footnote>
  <w:footnote w:id="2">
    <w:p w14:paraId="41AA38DB" w14:textId="77777777" w:rsidR="002D5B01" w:rsidRPr="002E4D55" w:rsidRDefault="002D5B01" w:rsidP="002D5B01">
      <w:pPr>
        <w:pStyle w:val="Textonotapie"/>
        <w:ind w:firstLine="709"/>
        <w:jc w:val="both"/>
        <w:rPr>
          <w:rFonts w:ascii="Arial" w:hAnsi="Arial" w:cs="Arial"/>
          <w:sz w:val="19"/>
          <w:szCs w:val="19"/>
        </w:rPr>
      </w:pPr>
      <w:r w:rsidRPr="002E4D55">
        <w:rPr>
          <w:rStyle w:val="Refdenotaalpie"/>
          <w:rFonts w:ascii="Arial" w:hAnsi="Arial" w:cs="Arial"/>
          <w:sz w:val="19"/>
          <w:szCs w:val="19"/>
        </w:rPr>
        <w:footnoteRef/>
      </w:r>
      <w:r w:rsidRPr="002E4D55">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3A540D10" w14:textId="77777777" w:rsidR="002D5B01" w:rsidRPr="002E4D55" w:rsidRDefault="002D5B01" w:rsidP="002D5B01">
      <w:pPr>
        <w:pStyle w:val="Textonotapie"/>
        <w:ind w:firstLine="709"/>
        <w:jc w:val="both"/>
        <w:rPr>
          <w:rFonts w:ascii="Arial" w:hAnsi="Arial" w:cs="Arial"/>
          <w:sz w:val="19"/>
          <w:szCs w:val="19"/>
        </w:rPr>
      </w:pPr>
      <w:proofErr w:type="gramStart"/>
      <w:r w:rsidRPr="002E4D55">
        <w:rPr>
          <w:rFonts w:ascii="Arial" w:hAnsi="Arial" w:cs="Arial"/>
          <w:sz w:val="19"/>
          <w:szCs w:val="19"/>
        </w:rPr>
        <w:t>»A</w:t>
      </w:r>
      <w:proofErr w:type="gramEnd"/>
      <w:r w:rsidRPr="002E4D55">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3">
    <w:p w14:paraId="4586010B" w14:textId="77777777" w:rsidR="002D5B01" w:rsidRPr="002E4D55" w:rsidRDefault="002D5B01" w:rsidP="002D5B01">
      <w:pPr>
        <w:pStyle w:val="Textonotapie"/>
        <w:ind w:firstLine="709"/>
        <w:jc w:val="both"/>
        <w:rPr>
          <w:rFonts w:ascii="Arial" w:hAnsi="Arial" w:cs="Arial"/>
          <w:sz w:val="19"/>
          <w:szCs w:val="19"/>
        </w:rPr>
      </w:pPr>
      <w:r w:rsidRPr="002E4D55">
        <w:rPr>
          <w:rStyle w:val="Refdenotaalpie"/>
          <w:rFonts w:ascii="Arial" w:hAnsi="Arial" w:cs="Arial"/>
          <w:sz w:val="19"/>
          <w:szCs w:val="19"/>
        </w:rPr>
        <w:footnoteRef/>
      </w:r>
      <w:r w:rsidRPr="002E4D55">
        <w:rPr>
          <w:rFonts w:ascii="Arial" w:hAnsi="Arial" w:cs="Arial"/>
          <w:sz w:val="19"/>
          <w:szCs w:val="19"/>
        </w:rPr>
        <w:t xml:space="preserve"> Gaceta del Congreso de la República No. 71 del 2005.</w:t>
      </w:r>
    </w:p>
    <w:p w14:paraId="40E2E1DB" w14:textId="77777777" w:rsidR="002D5B01" w:rsidRPr="002E4D55" w:rsidRDefault="002D5B01" w:rsidP="002D5B01">
      <w:pPr>
        <w:pStyle w:val="Textonotapie"/>
        <w:ind w:firstLine="709"/>
        <w:jc w:val="both"/>
        <w:rPr>
          <w:rFonts w:ascii="Arial" w:hAnsi="Arial" w:cs="Arial"/>
          <w:sz w:val="19"/>
          <w:szCs w:val="19"/>
        </w:rPr>
      </w:pPr>
    </w:p>
  </w:footnote>
  <w:footnote w:id="4">
    <w:p w14:paraId="5AFF66BF" w14:textId="77777777" w:rsidR="002D5B01" w:rsidRPr="002E4D55" w:rsidRDefault="002D5B01" w:rsidP="002D5B01">
      <w:pPr>
        <w:pStyle w:val="Textonotapie"/>
        <w:ind w:firstLine="709"/>
        <w:jc w:val="both"/>
        <w:rPr>
          <w:rFonts w:ascii="Arial" w:hAnsi="Arial" w:cs="Arial"/>
          <w:sz w:val="19"/>
          <w:szCs w:val="19"/>
        </w:rPr>
      </w:pPr>
      <w:r w:rsidRPr="002E4D55">
        <w:rPr>
          <w:rStyle w:val="Refdenotaalpie"/>
          <w:rFonts w:ascii="Arial" w:hAnsi="Arial" w:cs="Arial"/>
          <w:sz w:val="19"/>
          <w:szCs w:val="19"/>
        </w:rPr>
        <w:footnoteRef/>
      </w:r>
      <w:r w:rsidRPr="002E4D55">
        <w:rPr>
          <w:rFonts w:ascii="Arial" w:hAnsi="Arial" w:cs="Arial"/>
          <w:sz w:val="19"/>
          <w:szCs w:val="19"/>
        </w:rPr>
        <w:t xml:space="preserve"> CORTE CONSTITUCIONAL, Sentencia C- 1153 de 2005, M.P. Marco Gerardo Monroy Cabra.</w:t>
      </w:r>
    </w:p>
  </w:footnote>
  <w:footnote w:id="5">
    <w:p w14:paraId="1315A593" w14:textId="77777777" w:rsidR="002D5B01" w:rsidRPr="002E4D55" w:rsidRDefault="002D5B01" w:rsidP="002D5B01">
      <w:pPr>
        <w:pStyle w:val="Textonotapie"/>
        <w:ind w:firstLine="709"/>
        <w:jc w:val="both"/>
        <w:rPr>
          <w:rFonts w:ascii="Arial" w:hAnsi="Arial" w:cs="Arial"/>
          <w:sz w:val="19"/>
          <w:szCs w:val="19"/>
        </w:rPr>
      </w:pPr>
      <w:r w:rsidRPr="002E4D55">
        <w:rPr>
          <w:rStyle w:val="Refdenotaalpie"/>
          <w:rFonts w:ascii="Arial" w:hAnsi="Arial" w:cs="Arial"/>
          <w:sz w:val="19"/>
          <w:szCs w:val="19"/>
        </w:rPr>
        <w:footnoteRef/>
      </w:r>
      <w:r w:rsidRPr="002E4D55">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6">
    <w:p w14:paraId="407DB95E" w14:textId="77777777" w:rsidR="002D5B01" w:rsidRDefault="002D5B01" w:rsidP="002D5B01">
      <w:pPr>
        <w:pStyle w:val="Textonotapie"/>
        <w:ind w:firstLine="709"/>
        <w:jc w:val="both"/>
        <w:rPr>
          <w:rFonts w:ascii="Arial" w:hAnsi="Arial" w:cs="Arial"/>
          <w:sz w:val="19"/>
          <w:szCs w:val="19"/>
        </w:rPr>
      </w:pPr>
      <w:r w:rsidRPr="002E4D55">
        <w:rPr>
          <w:rStyle w:val="Refdenotaalpie"/>
          <w:rFonts w:ascii="Arial" w:hAnsi="Arial" w:cs="Arial"/>
          <w:sz w:val="19"/>
          <w:szCs w:val="19"/>
        </w:rPr>
        <w:footnoteRef/>
      </w:r>
      <w:r w:rsidRPr="002E4D55">
        <w:rPr>
          <w:rFonts w:ascii="Arial" w:hAnsi="Arial" w:cs="Arial"/>
          <w:sz w:val="19"/>
          <w:szCs w:val="19"/>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323D1122" w14:textId="77777777" w:rsidR="002D5B01" w:rsidRPr="002E4D55" w:rsidRDefault="002D5B01" w:rsidP="002D5B01">
      <w:pPr>
        <w:pStyle w:val="Textonotapie"/>
        <w:ind w:firstLine="709"/>
        <w:jc w:val="both"/>
        <w:rPr>
          <w:rFonts w:ascii="Arial" w:hAnsi="Arial" w:cs="Arial"/>
          <w:sz w:val="19"/>
          <w:szCs w:val="19"/>
        </w:rPr>
      </w:pPr>
    </w:p>
  </w:footnote>
  <w:footnote w:id="7">
    <w:p w14:paraId="6BC711DA" w14:textId="77777777" w:rsidR="002D5B01" w:rsidRPr="002E4D55" w:rsidRDefault="002D5B01" w:rsidP="002D5B01">
      <w:pPr>
        <w:pStyle w:val="Textonotapie"/>
        <w:ind w:firstLine="709"/>
        <w:jc w:val="both"/>
        <w:rPr>
          <w:rFonts w:ascii="Arial" w:hAnsi="Arial" w:cs="Arial"/>
          <w:sz w:val="19"/>
          <w:szCs w:val="19"/>
        </w:rPr>
      </w:pPr>
      <w:r w:rsidRPr="002E4D55">
        <w:rPr>
          <w:rStyle w:val="Refdenotaalpie"/>
          <w:rFonts w:ascii="Arial" w:hAnsi="Arial" w:cs="Arial"/>
          <w:sz w:val="19"/>
          <w:szCs w:val="19"/>
        </w:rPr>
        <w:footnoteRef/>
      </w:r>
      <w:r w:rsidRPr="002E4D55">
        <w:rPr>
          <w:rFonts w:ascii="Arial" w:hAnsi="Arial" w:cs="Arial"/>
          <w:sz w:val="19"/>
          <w:szCs w:val="19"/>
        </w:rPr>
        <w:t xml:space="preserve"> Consejo de Estado, Sala de Consulta y Servicio Civil de fecha 24 de julio de 2013, radicado 2166, Consejero Ponente: Álvaro </w:t>
      </w:r>
      <w:proofErr w:type="spellStart"/>
      <w:r w:rsidRPr="002E4D55">
        <w:rPr>
          <w:rFonts w:ascii="Arial" w:hAnsi="Arial" w:cs="Arial"/>
          <w:sz w:val="19"/>
          <w:szCs w:val="19"/>
        </w:rPr>
        <w:t>Namén</w:t>
      </w:r>
      <w:proofErr w:type="spellEnd"/>
      <w:r w:rsidRPr="002E4D55">
        <w:rPr>
          <w:rFonts w:ascii="Arial" w:hAnsi="Arial" w:cs="Arial"/>
          <w:sz w:val="19"/>
          <w:szCs w:val="19"/>
        </w:rPr>
        <w:t xml:space="preserve"> Vargas.  </w:t>
      </w:r>
    </w:p>
  </w:footnote>
  <w:footnote w:id="8">
    <w:p w14:paraId="4F04C37E" w14:textId="77777777" w:rsidR="002D5B01" w:rsidRDefault="002D5B01" w:rsidP="002D5B01">
      <w:pPr>
        <w:spacing w:after="0" w:line="240" w:lineRule="auto"/>
        <w:ind w:firstLine="709"/>
        <w:jc w:val="both"/>
        <w:rPr>
          <w:rFonts w:ascii="Arial" w:hAnsi="Arial" w:cs="Arial"/>
          <w:sz w:val="19"/>
          <w:szCs w:val="19"/>
        </w:rPr>
      </w:pPr>
    </w:p>
    <w:p w14:paraId="04CC96D0" w14:textId="77777777" w:rsidR="002D5B01" w:rsidRPr="002E4D55" w:rsidRDefault="002D5B01" w:rsidP="002D5B01">
      <w:pPr>
        <w:spacing w:after="0" w:line="240" w:lineRule="auto"/>
        <w:ind w:firstLine="709"/>
        <w:jc w:val="both"/>
        <w:rPr>
          <w:rFonts w:ascii="Arial" w:eastAsia="Times New Roman" w:hAnsi="Arial" w:cs="Arial"/>
          <w:sz w:val="19"/>
          <w:szCs w:val="19"/>
        </w:rPr>
      </w:pPr>
      <w:r w:rsidRPr="002E4D55">
        <w:rPr>
          <w:rStyle w:val="Refdenotaalpie"/>
          <w:rFonts w:ascii="Arial" w:hAnsi="Arial" w:cs="Arial"/>
          <w:sz w:val="19"/>
          <w:szCs w:val="19"/>
        </w:rPr>
        <w:footnoteRef/>
      </w:r>
      <w:r w:rsidRPr="002E4D55">
        <w:rPr>
          <w:rFonts w:ascii="Arial" w:hAnsi="Arial" w:cs="Arial"/>
          <w:sz w:val="19"/>
          <w:szCs w:val="19"/>
        </w:rPr>
        <w:t xml:space="preserve"> </w:t>
      </w:r>
      <w:bookmarkStart w:id="13" w:name="33"/>
      <w:r>
        <w:rPr>
          <w:rFonts w:ascii="Arial" w:eastAsia="Calibri" w:hAnsi="Arial" w:cs="Arial"/>
          <w:bCs/>
          <w:color w:val="000000"/>
          <w:sz w:val="19"/>
          <w:szCs w:val="19"/>
        </w:rPr>
        <w:t>“</w:t>
      </w:r>
      <w:r w:rsidRPr="002E4D55">
        <w:rPr>
          <w:rFonts w:ascii="Arial" w:eastAsia="Times New Roman" w:hAnsi="Arial" w:cs="Arial"/>
          <w:sz w:val="19"/>
          <w:szCs w:val="19"/>
        </w:rPr>
        <w:t>Artículo 33. Restricciones a la contratación pública.</w:t>
      </w:r>
      <w:bookmarkEnd w:id="13"/>
      <w:r w:rsidRPr="002E4D55">
        <w:rPr>
          <w:rFonts w:ascii="Arial" w:eastAsia="Times New Roman"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37C25B77" w14:textId="77777777" w:rsidR="002D5B01" w:rsidRPr="002E4D55" w:rsidRDefault="002D5B01" w:rsidP="002D5B01">
      <w:pPr>
        <w:spacing w:after="0" w:line="240" w:lineRule="auto"/>
        <w:ind w:firstLine="709"/>
        <w:jc w:val="both"/>
        <w:rPr>
          <w:rFonts w:ascii="Arial" w:eastAsia="Times New Roman" w:hAnsi="Arial" w:cs="Arial"/>
          <w:sz w:val="19"/>
          <w:szCs w:val="19"/>
        </w:rPr>
      </w:pPr>
      <w:r w:rsidRPr="002E4D55">
        <w:rPr>
          <w:rFonts w:ascii="Arial" w:eastAsia="Times New Roman" w:hAnsi="Arial" w:cs="Arial"/>
          <w:sz w:val="19"/>
          <w:szCs w:val="19"/>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Pr>
          <w:rFonts w:ascii="Arial" w:eastAsia="Calibri" w:hAnsi="Arial" w:cs="Arial"/>
          <w:bCs/>
          <w:color w:val="000000"/>
          <w:sz w:val="19"/>
          <w:szCs w:val="19"/>
        </w:rPr>
        <w:t>”</w:t>
      </w:r>
      <w:r w:rsidRPr="002E4D55">
        <w:rPr>
          <w:rFonts w:ascii="Arial" w:eastAsia="Times New Roman" w:hAnsi="Arial" w:cs="Arial"/>
          <w:sz w:val="19"/>
          <w:szCs w:val="19"/>
        </w:rPr>
        <w:t>.</w:t>
      </w:r>
    </w:p>
  </w:footnote>
  <w:footnote w:id="9">
    <w:p w14:paraId="363BBD05" w14:textId="77777777" w:rsidR="002D5B01" w:rsidRDefault="002D5B01" w:rsidP="002D5B01">
      <w:pPr>
        <w:pStyle w:val="NormalWeb"/>
        <w:spacing w:after="0" w:line="240" w:lineRule="auto"/>
        <w:ind w:firstLine="709"/>
        <w:jc w:val="both"/>
        <w:rPr>
          <w:rFonts w:ascii="Arial" w:hAnsi="Arial" w:cs="Arial"/>
          <w:sz w:val="19"/>
          <w:szCs w:val="19"/>
        </w:rPr>
      </w:pPr>
    </w:p>
    <w:p w14:paraId="2CCF4C06" w14:textId="77777777" w:rsidR="002D5B01" w:rsidRPr="002E4D55" w:rsidRDefault="002D5B01" w:rsidP="002D5B01">
      <w:pPr>
        <w:pStyle w:val="NormalWeb"/>
        <w:spacing w:after="0" w:line="240" w:lineRule="auto"/>
        <w:ind w:firstLine="709"/>
        <w:jc w:val="both"/>
        <w:rPr>
          <w:rFonts w:ascii="Arial" w:hAnsi="Arial" w:cs="Arial"/>
          <w:sz w:val="19"/>
          <w:szCs w:val="19"/>
          <w:lang w:val="es-MX"/>
        </w:rPr>
      </w:pPr>
      <w:r w:rsidRPr="002E4D55">
        <w:rPr>
          <w:rStyle w:val="Refdenotaalpie"/>
          <w:rFonts w:ascii="Arial" w:hAnsi="Arial" w:cs="Arial"/>
          <w:sz w:val="19"/>
          <w:szCs w:val="19"/>
        </w:rPr>
        <w:footnoteRef/>
      </w:r>
      <w:r w:rsidRPr="002E4D55">
        <w:rPr>
          <w:rFonts w:ascii="Arial" w:hAnsi="Arial" w:cs="Arial"/>
          <w:sz w:val="19"/>
          <w:szCs w:val="19"/>
        </w:rPr>
        <w:t xml:space="preserve"> </w:t>
      </w:r>
      <w:bookmarkStart w:id="14" w:name="38"/>
      <w:r>
        <w:rPr>
          <w:rFonts w:ascii="Arial" w:eastAsia="Calibri" w:hAnsi="Arial" w:cs="Arial"/>
          <w:bCs/>
          <w:color w:val="000000"/>
          <w:sz w:val="19"/>
          <w:szCs w:val="19"/>
        </w:rPr>
        <w:t>“</w:t>
      </w:r>
      <w:r w:rsidRPr="002E4D55">
        <w:rPr>
          <w:rFonts w:ascii="Arial" w:hAnsi="Arial" w:cs="Arial"/>
          <w:sz w:val="19"/>
          <w:szCs w:val="19"/>
          <w:lang w:val="es-MX"/>
        </w:rPr>
        <w:t>Artículo 38. Prohibiciones para los servidores públicos. A los empleados del Estado les está prohibido:</w:t>
      </w:r>
      <w:bookmarkEnd w:id="14"/>
    </w:p>
    <w:p w14:paraId="27A4488A" w14:textId="77777777" w:rsidR="002D5B01" w:rsidRPr="002E4D55" w:rsidRDefault="002D5B01" w:rsidP="002D5B01">
      <w:pPr>
        <w:pStyle w:val="NormalWeb"/>
        <w:spacing w:after="0" w:line="240" w:lineRule="auto"/>
        <w:ind w:firstLine="709"/>
        <w:jc w:val="both"/>
        <w:rPr>
          <w:rFonts w:ascii="Arial" w:hAnsi="Arial" w:cs="Arial"/>
          <w:sz w:val="19"/>
          <w:szCs w:val="19"/>
          <w:lang w:val="es-MX"/>
        </w:rPr>
      </w:pPr>
      <w:r w:rsidRPr="002E4D55">
        <w:rPr>
          <w:rFonts w:ascii="Arial" w:eastAsia="Calibri" w:hAnsi="Arial" w:cs="Arial"/>
          <w:bCs/>
          <w:color w:val="000000"/>
          <w:sz w:val="19"/>
          <w:szCs w:val="19"/>
        </w:rPr>
        <w:t>»</w:t>
      </w:r>
      <w:r w:rsidRPr="002E4D55">
        <w:rPr>
          <w:rFonts w:ascii="Arial" w:hAnsi="Arial" w:cs="Arial"/>
          <w:sz w:val="19"/>
          <w:szCs w:val="19"/>
          <w:lang w:val="es-MX"/>
        </w:rPr>
        <w:t>[…]</w:t>
      </w:r>
    </w:p>
    <w:p w14:paraId="647F9F1C" w14:textId="77777777" w:rsidR="002D5B01" w:rsidRPr="002E4D55" w:rsidRDefault="002D5B01" w:rsidP="002D5B01">
      <w:pPr>
        <w:pStyle w:val="NormalWeb"/>
        <w:spacing w:after="0" w:line="240" w:lineRule="auto"/>
        <w:ind w:firstLine="709"/>
        <w:jc w:val="both"/>
        <w:rPr>
          <w:rFonts w:ascii="Arial" w:hAnsi="Arial" w:cs="Arial"/>
          <w:sz w:val="19"/>
          <w:szCs w:val="19"/>
          <w:lang w:val="es-MX"/>
        </w:rPr>
      </w:pPr>
      <w:r w:rsidRPr="002E4D55">
        <w:rPr>
          <w:rStyle w:val="baj"/>
          <w:rFonts w:ascii="Arial" w:hAnsi="Arial" w:cs="Arial"/>
          <w:sz w:val="19"/>
          <w:szCs w:val="19"/>
          <w:lang w:val="es-MX"/>
        </w:rPr>
        <w:t xml:space="preserve"> Parágrafo.</w:t>
      </w:r>
      <w:r w:rsidRPr="002E4D55">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Pr>
          <w:rFonts w:ascii="Arial" w:eastAsia="Calibri" w:hAnsi="Arial" w:cs="Arial"/>
          <w:bCs/>
          <w:color w:val="000000"/>
          <w:sz w:val="19"/>
          <w:szCs w:val="19"/>
        </w:rPr>
        <w:t>”</w:t>
      </w:r>
      <w:r w:rsidRPr="002E4D55">
        <w:rPr>
          <w:rFonts w:ascii="Arial" w:hAnsi="Arial" w:cs="Arial"/>
          <w:sz w:val="19"/>
          <w:szCs w:val="19"/>
          <w:lang w:val="es-MX"/>
        </w:rPr>
        <w:t>.</w:t>
      </w:r>
    </w:p>
  </w:footnote>
  <w:footnote w:id="10">
    <w:p w14:paraId="0F07F23B" w14:textId="77777777" w:rsidR="002D5B01" w:rsidRDefault="002D5B01" w:rsidP="002D5B01">
      <w:pPr>
        <w:spacing w:after="0" w:line="240" w:lineRule="auto"/>
        <w:ind w:firstLine="709"/>
        <w:jc w:val="both"/>
        <w:rPr>
          <w:rFonts w:ascii="Arial" w:hAnsi="Arial" w:cs="Arial"/>
          <w:sz w:val="19"/>
          <w:szCs w:val="19"/>
        </w:rPr>
      </w:pPr>
    </w:p>
    <w:p w14:paraId="3EE47AFB" w14:textId="77777777" w:rsidR="002D5B01" w:rsidRPr="002E4D55" w:rsidRDefault="002D5B01" w:rsidP="002D5B01">
      <w:pPr>
        <w:spacing w:after="0" w:line="240" w:lineRule="auto"/>
        <w:ind w:firstLine="709"/>
        <w:jc w:val="both"/>
        <w:rPr>
          <w:rFonts w:ascii="Arial" w:hAnsi="Arial" w:cs="Arial"/>
          <w:sz w:val="19"/>
          <w:szCs w:val="19"/>
          <w:lang w:val="es-ES"/>
        </w:rPr>
      </w:pPr>
      <w:r w:rsidRPr="002E4D55">
        <w:rPr>
          <w:rStyle w:val="Refdenotaalpie"/>
          <w:rFonts w:ascii="Arial" w:hAnsi="Arial" w:cs="Arial"/>
          <w:sz w:val="19"/>
          <w:szCs w:val="19"/>
        </w:rPr>
        <w:footnoteRef/>
      </w:r>
      <w:r w:rsidRPr="002E4D55">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1">
    <w:p w14:paraId="5E4EB5D7" w14:textId="77777777" w:rsidR="002D5B01" w:rsidRPr="00B33864" w:rsidRDefault="002D5B01" w:rsidP="002D5B01">
      <w:pPr>
        <w:pStyle w:val="Textonotapie"/>
        <w:ind w:firstLine="709"/>
        <w:jc w:val="both"/>
        <w:rPr>
          <w:rFonts w:ascii="Arial" w:hAnsi="Arial" w:cs="Arial"/>
          <w:sz w:val="16"/>
          <w:szCs w:val="16"/>
        </w:rPr>
      </w:pPr>
      <w:r w:rsidRPr="00B33864">
        <w:rPr>
          <w:rStyle w:val="Refdenotaalpie"/>
          <w:rFonts w:ascii="Arial" w:hAnsi="Arial" w:cs="Arial"/>
        </w:rPr>
        <w:footnoteRef/>
      </w:r>
      <w:r w:rsidRPr="00B33864">
        <w:rPr>
          <w:rFonts w:ascii="Arial" w:hAnsi="Arial" w:cs="Arial"/>
          <w:sz w:val="16"/>
          <w:szCs w:val="16"/>
        </w:rPr>
        <w:t xml:space="preserve"> Consejo de Estado. Sala de Consulta y Servicio Civil. Concepto de 20 de febrero de2006. Radicación 11001-03-06-000-2006-00023-00(1724). Consejero Ponente: Flavio Augusto Rodríguez Arce.</w:t>
      </w:r>
    </w:p>
  </w:footnote>
  <w:footnote w:id="12">
    <w:p w14:paraId="0CA2DDF6" w14:textId="77777777" w:rsidR="002D5B01" w:rsidRPr="00B33864" w:rsidRDefault="002D5B01" w:rsidP="002D5B01">
      <w:pPr>
        <w:spacing w:after="0" w:line="240" w:lineRule="auto"/>
        <w:ind w:firstLine="709"/>
        <w:jc w:val="both"/>
        <w:rPr>
          <w:rFonts w:ascii="Arial" w:hAnsi="Arial" w:cs="Arial"/>
          <w:sz w:val="16"/>
          <w:szCs w:val="16"/>
        </w:rPr>
      </w:pPr>
      <w:r w:rsidRPr="00B33864">
        <w:rPr>
          <w:rStyle w:val="Refdenotaalpie"/>
          <w:rFonts w:ascii="Arial" w:hAnsi="Arial" w:cs="Arial"/>
        </w:rPr>
        <w:footnoteRef/>
      </w:r>
      <w:r w:rsidRPr="00B33864">
        <w:rPr>
          <w:rFonts w:ascii="Arial" w:hAnsi="Arial" w:cs="Arial"/>
          <w:sz w:val="16"/>
          <w:szCs w:val="16"/>
        </w:rPr>
        <w:t xml:space="preserve"> Decreto 1082 de 2015: «Artículo 2.2.1.2.1.4.4. Convenios o contratos interadministrativos. La modalidad de selección para la contratación entre Entidades Estatales es la contratación directa; </w:t>
      </w:r>
      <w:proofErr w:type="gramStart"/>
      <w:r w:rsidRPr="00B33864">
        <w:rPr>
          <w:rFonts w:ascii="Arial" w:hAnsi="Arial" w:cs="Arial"/>
          <w:sz w:val="16"/>
          <w:szCs w:val="16"/>
        </w:rPr>
        <w:t>y</w:t>
      </w:r>
      <w:proofErr w:type="gramEnd"/>
      <w:r w:rsidRPr="00B33864">
        <w:rPr>
          <w:rFonts w:ascii="Arial" w:hAnsi="Arial" w:cs="Arial"/>
          <w:sz w:val="16"/>
          <w:szCs w:val="16"/>
        </w:rPr>
        <w:t xml:space="preserve"> en consecuencia, le es aplicable lo establecido en el artículo 2.2.1.2.1.4.1 del presente decreto.</w:t>
      </w:r>
    </w:p>
    <w:p w14:paraId="5F29EC93" w14:textId="77777777" w:rsidR="002D5B01" w:rsidRPr="00B33864" w:rsidRDefault="002D5B01" w:rsidP="002D5B01">
      <w:pPr>
        <w:spacing w:after="0" w:line="240" w:lineRule="auto"/>
        <w:ind w:firstLine="709"/>
        <w:jc w:val="both"/>
        <w:rPr>
          <w:rFonts w:ascii="Arial" w:hAnsi="Arial" w:cs="Arial"/>
          <w:sz w:val="16"/>
          <w:szCs w:val="16"/>
        </w:rPr>
      </w:pPr>
      <w:proofErr w:type="gramStart"/>
      <w:r w:rsidRPr="00B33864">
        <w:rPr>
          <w:rFonts w:ascii="Arial" w:hAnsi="Arial" w:cs="Arial"/>
          <w:sz w:val="16"/>
          <w:szCs w:val="16"/>
        </w:rPr>
        <w:t>»Cuando</w:t>
      </w:r>
      <w:proofErr w:type="gramEnd"/>
      <w:r w:rsidRPr="00B33864">
        <w:rPr>
          <w:rFonts w:ascii="Arial" w:hAnsi="Arial" w:cs="Arial"/>
          <w:sz w:val="16"/>
          <w:szCs w:val="16"/>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B33864">
        <w:rPr>
          <w:rFonts w:ascii="Arial" w:hAnsi="Arial" w:cs="Arial"/>
          <w:spacing w:val="-1"/>
          <w:sz w:val="16"/>
          <w:szCs w:val="16"/>
        </w:rPr>
        <w:t xml:space="preserve"> </w:t>
      </w:r>
      <w:r w:rsidRPr="00B33864">
        <w:rPr>
          <w:rFonts w:ascii="Arial" w:hAnsi="Arial" w:cs="Arial"/>
          <w:sz w:val="16"/>
          <w:szCs w:val="16"/>
        </w:rPr>
        <w:t>Estatales».</w:t>
      </w:r>
    </w:p>
  </w:footnote>
  <w:footnote w:id="13">
    <w:p w14:paraId="6665A4CF" w14:textId="77777777" w:rsidR="002D5B01" w:rsidRPr="00B33864" w:rsidRDefault="002D5B01" w:rsidP="002D5B01">
      <w:pPr>
        <w:spacing w:after="0" w:line="240" w:lineRule="auto"/>
        <w:ind w:firstLine="709"/>
        <w:jc w:val="both"/>
        <w:rPr>
          <w:rFonts w:ascii="Arial" w:hAnsi="Arial" w:cs="Arial"/>
          <w:sz w:val="16"/>
          <w:szCs w:val="16"/>
        </w:rPr>
      </w:pPr>
      <w:r w:rsidRPr="00B33864">
        <w:rPr>
          <w:rStyle w:val="Refdenotaalpie"/>
          <w:rFonts w:ascii="Arial" w:hAnsi="Arial" w:cs="Arial"/>
        </w:rPr>
        <w:footnoteRef/>
      </w:r>
      <w:r w:rsidRPr="00B33864">
        <w:rPr>
          <w:rFonts w:ascii="Arial" w:hAnsi="Arial" w:cs="Arial"/>
          <w:sz w:val="16"/>
          <w:szCs w:val="16"/>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B33864">
        <w:rPr>
          <w:rFonts w:ascii="Arial" w:hAnsi="Arial" w:cs="Arial"/>
          <w:spacing w:val="-6"/>
          <w:sz w:val="16"/>
          <w:szCs w:val="16"/>
        </w:rPr>
        <w:t xml:space="preserve"> </w:t>
      </w:r>
      <w:r w:rsidRPr="00B33864">
        <w:rPr>
          <w:rFonts w:ascii="Arial" w:hAnsi="Arial" w:cs="Arial"/>
          <w:sz w:val="16"/>
          <w:szCs w:val="16"/>
        </w:rPr>
        <w:t>artículo».</w:t>
      </w:r>
    </w:p>
  </w:footnote>
  <w:footnote w:id="14">
    <w:p w14:paraId="64707822" w14:textId="77777777" w:rsidR="002D5B01" w:rsidRPr="00B33864" w:rsidRDefault="002D5B01" w:rsidP="002D5B01">
      <w:pPr>
        <w:spacing w:after="0" w:line="240" w:lineRule="auto"/>
        <w:ind w:right="454" w:firstLine="709"/>
        <w:jc w:val="both"/>
        <w:rPr>
          <w:rFonts w:ascii="Arial" w:hAnsi="Arial" w:cs="Arial"/>
          <w:sz w:val="16"/>
          <w:szCs w:val="16"/>
        </w:rPr>
      </w:pPr>
      <w:r w:rsidRPr="00B33864">
        <w:rPr>
          <w:rStyle w:val="Refdenotaalpie"/>
          <w:rFonts w:ascii="Arial" w:hAnsi="Arial" w:cs="Arial"/>
        </w:rPr>
        <w:footnoteRef/>
      </w:r>
      <w:r w:rsidRPr="00B33864">
        <w:rPr>
          <w:rFonts w:ascii="Arial" w:hAnsi="Arial" w:cs="Arial"/>
          <w:position w:val="7"/>
          <w:sz w:val="16"/>
          <w:szCs w:val="16"/>
        </w:rPr>
        <w:t xml:space="preserve"> </w:t>
      </w:r>
      <w:r w:rsidRPr="00B33864">
        <w:rPr>
          <w:rFonts w:ascii="Arial" w:hAnsi="Arial" w:cs="Arial"/>
          <w:sz w:val="16"/>
          <w:szCs w:val="16"/>
        </w:rPr>
        <w:t>Consejo de Estado. Sección Tercera. Sentencia del 23 de junio de 2010. Radicación No. 66001-23-31-000-1998-00261-01(17.860). Consejero Ponente: Mauricio Fajardo Gómez.</w:t>
      </w:r>
    </w:p>
  </w:footnote>
  <w:footnote w:id="15">
    <w:p w14:paraId="49BD8F83" w14:textId="77777777" w:rsidR="002D5B01" w:rsidRPr="00B33864" w:rsidRDefault="002D5B01" w:rsidP="002D5B01">
      <w:pPr>
        <w:spacing w:after="0" w:line="240" w:lineRule="auto"/>
        <w:ind w:firstLine="709"/>
        <w:jc w:val="both"/>
        <w:rPr>
          <w:rFonts w:ascii="Arial" w:hAnsi="Arial" w:cs="Arial"/>
          <w:sz w:val="16"/>
          <w:szCs w:val="16"/>
        </w:rPr>
      </w:pPr>
      <w:r w:rsidRPr="00B33864">
        <w:rPr>
          <w:rStyle w:val="Refdenotaalpie"/>
          <w:rFonts w:ascii="Arial" w:hAnsi="Arial" w:cs="Arial"/>
        </w:rPr>
        <w:footnoteRef/>
      </w:r>
      <w:r w:rsidRPr="00B33864">
        <w:rPr>
          <w:rFonts w:ascii="Arial" w:hAnsi="Arial" w:cs="Arial"/>
          <w:sz w:val="16"/>
          <w:szCs w:val="16"/>
        </w:rPr>
        <w:t xml:space="preserve"> Consejo de Estado. Sección Tercera. Subsección C. Sentencia del 11 de diciembre de 2019. </w:t>
      </w:r>
      <w:proofErr w:type="spellStart"/>
      <w:r w:rsidRPr="00B33864">
        <w:rPr>
          <w:rFonts w:ascii="Arial" w:hAnsi="Arial" w:cs="Arial"/>
          <w:sz w:val="16"/>
          <w:szCs w:val="16"/>
        </w:rPr>
        <w:t>Exp</w:t>
      </w:r>
      <w:proofErr w:type="spellEnd"/>
      <w:r w:rsidRPr="00B33864">
        <w:rPr>
          <w:rFonts w:ascii="Arial" w:hAnsi="Arial" w:cs="Arial"/>
          <w:sz w:val="16"/>
          <w:szCs w:val="16"/>
        </w:rPr>
        <w:t>. 46.986. C.P. Jaime Enrique Rodríguez Navas.</w:t>
      </w:r>
    </w:p>
  </w:footnote>
  <w:footnote w:id="16">
    <w:p w14:paraId="0837624B" w14:textId="77777777" w:rsidR="002D5B01" w:rsidRPr="00B33864" w:rsidRDefault="002D5B01" w:rsidP="002D5B01">
      <w:pPr>
        <w:pStyle w:val="Textonotapie"/>
        <w:ind w:firstLine="708"/>
        <w:jc w:val="both"/>
        <w:rPr>
          <w:rFonts w:ascii="Arial" w:hAnsi="Arial" w:cs="Arial"/>
          <w:sz w:val="16"/>
          <w:szCs w:val="16"/>
        </w:rPr>
      </w:pPr>
      <w:r w:rsidRPr="00B33864">
        <w:rPr>
          <w:rStyle w:val="Refdenotaalpie"/>
          <w:rFonts w:ascii="Arial" w:hAnsi="Arial" w:cs="Arial"/>
        </w:rPr>
        <w:footnoteRef/>
      </w:r>
      <w:r w:rsidRPr="00B33864">
        <w:rPr>
          <w:rFonts w:ascii="Arial" w:hAnsi="Arial" w:cs="Arial"/>
          <w:sz w:val="16"/>
          <w:szCs w:val="16"/>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17">
    <w:p w14:paraId="4FC29895" w14:textId="77777777" w:rsidR="002D5B01" w:rsidRPr="00B33864" w:rsidRDefault="002D5B01" w:rsidP="002D5B01">
      <w:pPr>
        <w:pStyle w:val="Textonotapie"/>
        <w:ind w:firstLine="709"/>
        <w:jc w:val="both"/>
        <w:rPr>
          <w:rFonts w:ascii="Arial" w:hAnsi="Arial" w:cs="Arial"/>
          <w:sz w:val="16"/>
          <w:szCs w:val="16"/>
        </w:rPr>
      </w:pPr>
      <w:r w:rsidRPr="00B33864">
        <w:rPr>
          <w:rStyle w:val="Refdenotaalpie"/>
          <w:rFonts w:ascii="Arial" w:hAnsi="Arial" w:cs="Arial"/>
        </w:rPr>
        <w:footnoteRef/>
      </w:r>
      <w:r w:rsidRPr="00B33864">
        <w:rPr>
          <w:rFonts w:ascii="Arial" w:hAnsi="Arial" w:cs="Arial"/>
          <w:sz w:val="16"/>
          <w:szCs w:val="16"/>
        </w:rPr>
        <w:t xml:space="preserve"> Consejo de Estado. Sala de Consulta y Servicio Civil. Concepto del 15 de noviembre de 2007. Expediente número 1863. Consejero Ponente: Luis Fernando Álvarez Jaramillo.</w:t>
      </w:r>
    </w:p>
  </w:footnote>
  <w:footnote w:id="18">
    <w:p w14:paraId="776474F3" w14:textId="77777777" w:rsidR="002D5B01" w:rsidRPr="002E4D55" w:rsidRDefault="002D5B01" w:rsidP="002D5B01">
      <w:pPr>
        <w:pStyle w:val="Textonotapie"/>
        <w:ind w:firstLine="708"/>
        <w:jc w:val="both"/>
        <w:rPr>
          <w:rFonts w:ascii="Arial" w:hAnsi="Arial" w:cs="Arial"/>
          <w:sz w:val="19"/>
          <w:szCs w:val="19"/>
        </w:rPr>
      </w:pPr>
      <w:r w:rsidRPr="002E4D55">
        <w:rPr>
          <w:rStyle w:val="Refdenotaalpie"/>
          <w:rFonts w:ascii="Arial" w:hAnsi="Arial" w:cs="Arial"/>
          <w:sz w:val="19"/>
          <w:szCs w:val="19"/>
        </w:rPr>
        <w:footnoteRef/>
      </w:r>
      <w:r w:rsidRPr="002E4D55">
        <w:rPr>
          <w:rFonts w:ascii="Arial" w:hAnsi="Arial" w:cs="Arial"/>
          <w:sz w:val="19"/>
          <w:szCs w:val="19"/>
        </w:rPr>
        <w:t xml:space="preserve"> Corte Constitucional. Sentencia C-644 de 18 de octubre de 2017. MP: Diana Fajardo Rivera.</w:t>
      </w:r>
    </w:p>
  </w:footnote>
  <w:footnote w:id="19">
    <w:p w14:paraId="63E792E6" w14:textId="77777777" w:rsidR="002D5B01" w:rsidRPr="002E4D55" w:rsidRDefault="002D5B01" w:rsidP="002D5B01">
      <w:pPr>
        <w:pStyle w:val="Textonotapie"/>
        <w:ind w:firstLine="708"/>
        <w:jc w:val="both"/>
        <w:rPr>
          <w:rFonts w:ascii="Arial" w:hAnsi="Arial" w:cs="Arial"/>
          <w:sz w:val="19"/>
          <w:szCs w:val="19"/>
        </w:rPr>
      </w:pPr>
      <w:r w:rsidRPr="002E4D55">
        <w:rPr>
          <w:rStyle w:val="Refdenotaalpie"/>
          <w:rFonts w:ascii="Arial" w:hAnsi="Arial" w:cs="Arial"/>
          <w:sz w:val="19"/>
          <w:szCs w:val="19"/>
        </w:rPr>
        <w:footnoteRef/>
      </w:r>
      <w:r w:rsidRPr="002E4D55">
        <w:rPr>
          <w:rFonts w:ascii="Arial" w:hAnsi="Arial" w:cs="Arial"/>
          <w:sz w:val="19"/>
          <w:szCs w:val="19"/>
        </w:rPr>
        <w:t xml:space="preserve"> Corte Constitucional. Sentencia C-644 de 18 de octubre de 2017. MP: Diana Fajardo Rivera.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2BC4" w14:textId="2CCCD38F" w:rsidR="00412132" w:rsidRDefault="00E521C0">
    <w:pPr>
      <w:pStyle w:val="Encabezado"/>
    </w:pPr>
    <w:r>
      <w:rPr>
        <w:noProof/>
        <w:lang w:val="en-US"/>
      </w:rPr>
      <w:drawing>
        <wp:anchor distT="0" distB="0" distL="114300" distR="114300" simplePos="0" relativeHeight="251659264" behindDoc="1" locked="0" layoutInCell="1" allowOverlap="1" wp14:anchorId="5869370C" wp14:editId="5771A7A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E2F32A" w14:textId="77777777" w:rsidR="00FE0395" w:rsidRDefault="009C5DC6" w:rsidP="00FE0395">
    <w:pPr>
      <w:pStyle w:val="Encabezado"/>
    </w:pPr>
  </w:p>
  <w:p w14:paraId="1F9780EE" w14:textId="5A607F7E" w:rsidR="00412132" w:rsidRDefault="009C5DC6">
    <w:pPr>
      <w:pStyle w:val="Encabezado"/>
    </w:pPr>
  </w:p>
  <w:p w14:paraId="4307DA1E" w14:textId="77777777" w:rsidR="00DE576A" w:rsidRDefault="00DE576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958"/>
    <w:rsid w:val="00015C97"/>
    <w:rsid w:val="00024A8D"/>
    <w:rsid w:val="00050AB6"/>
    <w:rsid w:val="00055261"/>
    <w:rsid w:val="00064B55"/>
    <w:rsid w:val="00065F88"/>
    <w:rsid w:val="00093AB6"/>
    <w:rsid w:val="000D0960"/>
    <w:rsid w:val="000E1E3D"/>
    <w:rsid w:val="00100ECF"/>
    <w:rsid w:val="0011570A"/>
    <w:rsid w:val="0014059A"/>
    <w:rsid w:val="00147A1D"/>
    <w:rsid w:val="001762D1"/>
    <w:rsid w:val="00185FA2"/>
    <w:rsid w:val="001C727E"/>
    <w:rsid w:val="001E2B7C"/>
    <w:rsid w:val="001F013D"/>
    <w:rsid w:val="00215DB2"/>
    <w:rsid w:val="0022256D"/>
    <w:rsid w:val="0022293B"/>
    <w:rsid w:val="002716B1"/>
    <w:rsid w:val="002B77DC"/>
    <w:rsid w:val="002D5B01"/>
    <w:rsid w:val="002E4AD8"/>
    <w:rsid w:val="002E4D55"/>
    <w:rsid w:val="00304B7F"/>
    <w:rsid w:val="00320B16"/>
    <w:rsid w:val="00333AA3"/>
    <w:rsid w:val="003430DC"/>
    <w:rsid w:val="00351C50"/>
    <w:rsid w:val="003663FD"/>
    <w:rsid w:val="003735E0"/>
    <w:rsid w:val="00373CFA"/>
    <w:rsid w:val="003800AC"/>
    <w:rsid w:val="00387F30"/>
    <w:rsid w:val="003A0A35"/>
    <w:rsid w:val="003A6125"/>
    <w:rsid w:val="003B358B"/>
    <w:rsid w:val="003B76F1"/>
    <w:rsid w:val="003D2E3F"/>
    <w:rsid w:val="003E5B44"/>
    <w:rsid w:val="004006A6"/>
    <w:rsid w:val="00415CBB"/>
    <w:rsid w:val="00415D72"/>
    <w:rsid w:val="004213B5"/>
    <w:rsid w:val="0042362A"/>
    <w:rsid w:val="00426CB3"/>
    <w:rsid w:val="00430D2D"/>
    <w:rsid w:val="004415AB"/>
    <w:rsid w:val="004628B9"/>
    <w:rsid w:val="004829AE"/>
    <w:rsid w:val="004878C0"/>
    <w:rsid w:val="00493514"/>
    <w:rsid w:val="004A7681"/>
    <w:rsid w:val="004F1E86"/>
    <w:rsid w:val="004F3901"/>
    <w:rsid w:val="00501F88"/>
    <w:rsid w:val="00505B85"/>
    <w:rsid w:val="00537C63"/>
    <w:rsid w:val="0058192F"/>
    <w:rsid w:val="005A5495"/>
    <w:rsid w:val="005B74B1"/>
    <w:rsid w:val="00600377"/>
    <w:rsid w:val="006021A0"/>
    <w:rsid w:val="006121F5"/>
    <w:rsid w:val="00664ACD"/>
    <w:rsid w:val="006A7CC2"/>
    <w:rsid w:val="006B701E"/>
    <w:rsid w:val="006C029F"/>
    <w:rsid w:val="006C3AC9"/>
    <w:rsid w:val="006F0C8F"/>
    <w:rsid w:val="00700F0E"/>
    <w:rsid w:val="0071303C"/>
    <w:rsid w:val="00721934"/>
    <w:rsid w:val="00723AD7"/>
    <w:rsid w:val="00733C19"/>
    <w:rsid w:val="00734534"/>
    <w:rsid w:val="00747223"/>
    <w:rsid w:val="00770E92"/>
    <w:rsid w:val="00783161"/>
    <w:rsid w:val="007843A9"/>
    <w:rsid w:val="007A628F"/>
    <w:rsid w:val="007A7878"/>
    <w:rsid w:val="007D08A5"/>
    <w:rsid w:val="007D5B43"/>
    <w:rsid w:val="007E23D2"/>
    <w:rsid w:val="008104BB"/>
    <w:rsid w:val="008976C4"/>
    <w:rsid w:val="008A5E4F"/>
    <w:rsid w:val="008B4AED"/>
    <w:rsid w:val="009153FD"/>
    <w:rsid w:val="00930485"/>
    <w:rsid w:val="0094120C"/>
    <w:rsid w:val="00957EF9"/>
    <w:rsid w:val="009737EE"/>
    <w:rsid w:val="009829FC"/>
    <w:rsid w:val="009974B8"/>
    <w:rsid w:val="009C5DC6"/>
    <w:rsid w:val="009F23F4"/>
    <w:rsid w:val="009F67FA"/>
    <w:rsid w:val="00A01FC0"/>
    <w:rsid w:val="00AB5E59"/>
    <w:rsid w:val="00AF206D"/>
    <w:rsid w:val="00B03170"/>
    <w:rsid w:val="00B04908"/>
    <w:rsid w:val="00B5657D"/>
    <w:rsid w:val="00B76481"/>
    <w:rsid w:val="00BD278F"/>
    <w:rsid w:val="00BF2F7B"/>
    <w:rsid w:val="00BF311A"/>
    <w:rsid w:val="00C1289B"/>
    <w:rsid w:val="00C36265"/>
    <w:rsid w:val="00C616DD"/>
    <w:rsid w:val="00C71531"/>
    <w:rsid w:val="00C9693D"/>
    <w:rsid w:val="00CA6585"/>
    <w:rsid w:val="00CB0213"/>
    <w:rsid w:val="00CE74D2"/>
    <w:rsid w:val="00CF7702"/>
    <w:rsid w:val="00D021BD"/>
    <w:rsid w:val="00D233E5"/>
    <w:rsid w:val="00D429DC"/>
    <w:rsid w:val="00D44878"/>
    <w:rsid w:val="00D473B6"/>
    <w:rsid w:val="00D479AA"/>
    <w:rsid w:val="00D71D35"/>
    <w:rsid w:val="00D72CC2"/>
    <w:rsid w:val="00D73F19"/>
    <w:rsid w:val="00D76725"/>
    <w:rsid w:val="00D911F4"/>
    <w:rsid w:val="00D93C01"/>
    <w:rsid w:val="00D9559C"/>
    <w:rsid w:val="00DB3C43"/>
    <w:rsid w:val="00DC3185"/>
    <w:rsid w:val="00DD3B72"/>
    <w:rsid w:val="00DD7731"/>
    <w:rsid w:val="00DE576A"/>
    <w:rsid w:val="00E17118"/>
    <w:rsid w:val="00E20455"/>
    <w:rsid w:val="00E37FDF"/>
    <w:rsid w:val="00E400C9"/>
    <w:rsid w:val="00E47779"/>
    <w:rsid w:val="00E521C0"/>
    <w:rsid w:val="00E55FE3"/>
    <w:rsid w:val="00E6473F"/>
    <w:rsid w:val="00E7386C"/>
    <w:rsid w:val="00E913A4"/>
    <w:rsid w:val="00E94E28"/>
    <w:rsid w:val="00E955EC"/>
    <w:rsid w:val="00E9704D"/>
    <w:rsid w:val="00EA5306"/>
    <w:rsid w:val="00EA5C34"/>
    <w:rsid w:val="00ED1105"/>
    <w:rsid w:val="00EE79E7"/>
    <w:rsid w:val="00F06958"/>
    <w:rsid w:val="00F06DC9"/>
    <w:rsid w:val="00F20D64"/>
    <w:rsid w:val="00F26614"/>
    <w:rsid w:val="00F40937"/>
    <w:rsid w:val="00F4207E"/>
    <w:rsid w:val="00F5407E"/>
    <w:rsid w:val="00F835AF"/>
    <w:rsid w:val="00F86EC6"/>
    <w:rsid w:val="00F93BBE"/>
    <w:rsid w:val="00F960B2"/>
    <w:rsid w:val="00FA0B88"/>
    <w:rsid w:val="00FA6E6F"/>
    <w:rsid w:val="00FC7C05"/>
    <w:rsid w:val="00FD22D1"/>
    <w:rsid w:val="00FE6A38"/>
    <w:rsid w:val="2E24080E"/>
    <w:rsid w:val="6B403B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08D6"/>
  <w15:chartTrackingRefBased/>
  <w15:docId w15:val="{A52C5E27-B049-4350-9B54-5BCBE0D2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069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6958"/>
  </w:style>
  <w:style w:type="paragraph" w:styleId="Encabezado">
    <w:name w:val="header"/>
    <w:basedOn w:val="Normal"/>
    <w:link w:val="EncabezadoCar"/>
    <w:uiPriority w:val="99"/>
    <w:unhideWhenUsed/>
    <w:rsid w:val="00F069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6958"/>
  </w:style>
  <w:style w:type="paragraph" w:styleId="NormalWeb">
    <w:name w:val="Normal (Web)"/>
    <w:basedOn w:val="Normal"/>
    <w:uiPriority w:val="99"/>
    <w:semiHidden/>
    <w:unhideWhenUsed/>
    <w:rsid w:val="00F06958"/>
    <w:rPr>
      <w:rFonts w:ascii="Times New Roman" w:hAnsi="Times New Roman" w:cs="Times New Roman"/>
      <w:sz w:val="24"/>
      <w:szCs w:val="24"/>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fn"/>
    <w:basedOn w:val="Normal"/>
    <w:link w:val="TextonotapieCar"/>
    <w:uiPriority w:val="99"/>
    <w:unhideWhenUsed/>
    <w:qFormat/>
    <w:rsid w:val="00F06958"/>
    <w:pPr>
      <w:spacing w:after="0" w:line="240" w:lineRule="auto"/>
    </w:pPr>
    <w:rPr>
      <w:sz w:val="20"/>
      <w:szCs w:val="20"/>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F06958"/>
    <w:rPr>
      <w:sz w:val="20"/>
      <w:szCs w:val="20"/>
    </w:rPr>
  </w:style>
  <w:style w:type="table" w:styleId="Tablaconcuadrcula">
    <w:name w:val="Table Grid"/>
    <w:basedOn w:val="Tablanormal"/>
    <w:uiPriority w:val="39"/>
    <w:rsid w:val="00F0695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06958"/>
    <w:pPr>
      <w:spacing w:after="0" w:line="240" w:lineRule="auto"/>
      <w:jc w:val="both"/>
    </w:pPr>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F06958"/>
    <w:rPr>
      <w:vertAlign w:val="superscript"/>
    </w:rPr>
  </w:style>
  <w:style w:type="paragraph" w:customStyle="1" w:styleId="Appelnotedebasde">
    <w:name w:val="Appel note de bas de..."/>
    <w:basedOn w:val="Normal"/>
    <w:link w:val="Refdenotaalpie"/>
    <w:uiPriority w:val="99"/>
    <w:rsid w:val="00F06958"/>
    <w:pPr>
      <w:spacing w:line="240" w:lineRule="exact"/>
      <w:jc w:val="both"/>
    </w:pPr>
    <w:rPr>
      <w:vertAlign w:val="superscript"/>
    </w:rPr>
  </w:style>
  <w:style w:type="table" w:customStyle="1" w:styleId="Tablaconcuadrcula1">
    <w:name w:val="Tabla con cuadrícula1"/>
    <w:basedOn w:val="Tablanormal"/>
    <w:next w:val="Tablaconcuadrcula"/>
    <w:uiPriority w:val="39"/>
    <w:rsid w:val="00F06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06958"/>
  </w:style>
  <w:style w:type="paragraph" w:styleId="Prrafodelista">
    <w:name w:val="List Paragraph"/>
    <w:basedOn w:val="Normal"/>
    <w:uiPriority w:val="34"/>
    <w:qFormat/>
    <w:rsid w:val="00426CB3"/>
    <w:pPr>
      <w:ind w:left="720"/>
      <w:contextualSpacing/>
    </w:pPr>
  </w:style>
  <w:style w:type="character" w:styleId="Refdecomentario">
    <w:name w:val="annotation reference"/>
    <w:basedOn w:val="Fuentedeprrafopredeter"/>
    <w:uiPriority w:val="99"/>
    <w:semiHidden/>
    <w:unhideWhenUsed/>
    <w:rsid w:val="0014059A"/>
    <w:rPr>
      <w:sz w:val="16"/>
      <w:szCs w:val="16"/>
    </w:rPr>
  </w:style>
  <w:style w:type="paragraph" w:styleId="Textocomentario">
    <w:name w:val="annotation text"/>
    <w:basedOn w:val="Normal"/>
    <w:link w:val="TextocomentarioCar"/>
    <w:uiPriority w:val="99"/>
    <w:unhideWhenUsed/>
    <w:rsid w:val="0014059A"/>
    <w:pPr>
      <w:spacing w:line="240" w:lineRule="auto"/>
    </w:pPr>
    <w:rPr>
      <w:sz w:val="20"/>
      <w:szCs w:val="20"/>
    </w:rPr>
  </w:style>
  <w:style w:type="character" w:customStyle="1" w:styleId="TextocomentarioCar">
    <w:name w:val="Texto comentario Car"/>
    <w:basedOn w:val="Fuentedeprrafopredeter"/>
    <w:link w:val="Textocomentario"/>
    <w:uiPriority w:val="99"/>
    <w:rsid w:val="0014059A"/>
    <w:rPr>
      <w:sz w:val="20"/>
      <w:szCs w:val="20"/>
    </w:rPr>
  </w:style>
  <w:style w:type="paragraph" w:styleId="Asuntodelcomentario">
    <w:name w:val="annotation subject"/>
    <w:basedOn w:val="Textocomentario"/>
    <w:next w:val="Textocomentario"/>
    <w:link w:val="AsuntodelcomentarioCar"/>
    <w:uiPriority w:val="99"/>
    <w:semiHidden/>
    <w:unhideWhenUsed/>
    <w:rsid w:val="0014059A"/>
    <w:rPr>
      <w:b/>
      <w:bCs/>
    </w:rPr>
  </w:style>
  <w:style w:type="character" w:customStyle="1" w:styleId="AsuntodelcomentarioCar">
    <w:name w:val="Asunto del comentario Car"/>
    <w:basedOn w:val="TextocomentarioCar"/>
    <w:link w:val="Asuntodelcomentario"/>
    <w:uiPriority w:val="99"/>
    <w:semiHidden/>
    <w:rsid w:val="0014059A"/>
    <w:rPr>
      <w:b/>
      <w:bCs/>
      <w:sz w:val="20"/>
      <w:szCs w:val="20"/>
    </w:rPr>
  </w:style>
  <w:style w:type="paragraph" w:styleId="Revisin">
    <w:name w:val="Revision"/>
    <w:hidden/>
    <w:uiPriority w:val="99"/>
    <w:semiHidden/>
    <w:rsid w:val="005B74B1"/>
    <w:pPr>
      <w:spacing w:after="0" w:line="240" w:lineRule="auto"/>
    </w:pPr>
  </w:style>
  <w:style w:type="paragraph" w:customStyle="1" w:styleId="Default">
    <w:name w:val="Default"/>
    <w:rsid w:val="0011570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FAEE4A-38D2-458A-92CD-F03EF37CE9C1}">
  <ds:schemaRefs>
    <ds:schemaRef ds:uri="http://schemas.openxmlformats.org/officeDocument/2006/bibliography"/>
  </ds:schemaRefs>
</ds:datastoreItem>
</file>

<file path=customXml/itemProps2.xml><?xml version="1.0" encoding="utf-8"?>
<ds:datastoreItem xmlns:ds="http://schemas.openxmlformats.org/officeDocument/2006/customXml" ds:itemID="{44455FDF-CC74-4F55-9B6A-232E922E85E2}">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purl.org/dc/terms/"/>
    <ds:schemaRef ds:uri="http://schemas.microsoft.com/office/2006/metadata/properties"/>
    <ds:schemaRef ds:uri="a6cb9e4b-f1d1-4245-83ec-6cad768d538a"/>
    <ds:schemaRef ds:uri="9d85dbaf-23eb-4e57-a637-93dcacc8b1a1"/>
    <ds:schemaRef ds:uri="http://www.w3.org/XML/1998/namespace"/>
  </ds:schemaRefs>
</ds:datastoreItem>
</file>

<file path=customXml/itemProps3.xml><?xml version="1.0" encoding="utf-8"?>
<ds:datastoreItem xmlns:ds="http://schemas.openxmlformats.org/officeDocument/2006/customXml" ds:itemID="{2C31C5C7-6CC0-4E41-B2CF-E9F7E3BA0360}">
  <ds:schemaRefs>
    <ds:schemaRef ds:uri="http://schemas.microsoft.com/sharepoint/v3/contenttype/forms"/>
  </ds:schemaRefs>
</ds:datastoreItem>
</file>

<file path=customXml/itemProps4.xml><?xml version="1.0" encoding="utf-8"?>
<ds:datastoreItem xmlns:ds="http://schemas.openxmlformats.org/officeDocument/2006/customXml" ds:itemID="{4AA80485-8D55-418F-A4B8-15F7A15A7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7037</Words>
  <Characters>38708</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 Herrera Santa</dc:creator>
  <cp:keywords/>
  <dc:description/>
  <cp:lastModifiedBy>Diego German Revelo Bolívar</cp:lastModifiedBy>
  <cp:revision>2</cp:revision>
  <dcterms:created xsi:type="dcterms:W3CDTF">2023-05-19T20:25:00Z</dcterms:created>
  <dcterms:modified xsi:type="dcterms:W3CDTF">2023-05-19T20:25:00Z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