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B7287" w14:textId="0EBCAE9C" w:rsidR="00B37B3F" w:rsidRDefault="00B37B3F" w:rsidP="00E95030">
      <w:pPr>
        <w:spacing w:after="0" w:line="276" w:lineRule="auto"/>
        <w:jc w:val="both"/>
        <w:rPr>
          <w:rFonts w:ascii="Arial" w:hAnsi="Arial" w:cs="Arial"/>
          <w:b/>
          <w:bCs/>
          <w:color w:val="000000" w:themeColor="text1"/>
          <w:lang w:val="es-ES_tradnl"/>
        </w:rPr>
      </w:pPr>
      <w:bookmarkStart w:id="0" w:name="_Hlk31875101"/>
      <w:bookmarkStart w:id="1" w:name="_Hlk29890381"/>
      <w:r w:rsidRPr="00B37B3F">
        <w:rPr>
          <w:rFonts w:ascii="Arial" w:eastAsia="Arial" w:hAnsi="Arial" w:cs="Arial"/>
          <w:b/>
          <w:bCs/>
          <w:color w:val="000000" w:themeColor="text1"/>
        </w:rPr>
        <w:t>DOCUMENTOS TIPO –</w:t>
      </w:r>
      <w:r w:rsidRPr="00B37B3F">
        <w:rPr>
          <w:rFonts w:ascii="Arial" w:hAnsi="Arial" w:cs="Arial"/>
          <w:b/>
          <w:bCs/>
          <w:color w:val="000000" w:themeColor="text1"/>
          <w:lang w:val="es-ES_tradnl"/>
        </w:rPr>
        <w:t xml:space="preserve"> Fundamento normativo – Ámbito de aplicación </w:t>
      </w:r>
    </w:p>
    <w:p w14:paraId="0E1B1E1B" w14:textId="77777777" w:rsidR="00286DD2" w:rsidRDefault="00286DD2" w:rsidP="00E95030">
      <w:pPr>
        <w:spacing w:after="0" w:line="276" w:lineRule="auto"/>
        <w:jc w:val="both"/>
        <w:rPr>
          <w:rFonts w:ascii="Arial" w:eastAsia="Times New Roman" w:hAnsi="Arial" w:cs="Arial"/>
          <w:lang w:val="es-ES_tradnl" w:eastAsia="es-ES_tradnl"/>
        </w:rPr>
      </w:pPr>
    </w:p>
    <w:p w14:paraId="10A06D51" w14:textId="5F3BA44E" w:rsidR="00B37B3F" w:rsidRDefault="00286DD2" w:rsidP="00E95030">
      <w:pPr>
        <w:spacing w:after="0" w:line="276" w:lineRule="auto"/>
        <w:jc w:val="both"/>
        <w:rPr>
          <w:rFonts w:ascii="Arial" w:hAnsi="Arial" w:cs="Arial"/>
          <w:b/>
          <w:bCs/>
          <w:color w:val="000000" w:themeColor="text1"/>
          <w:lang w:val="es-ES_tradnl"/>
        </w:rPr>
      </w:pPr>
      <w:r w:rsidRPr="00701DEE">
        <w:rPr>
          <w:rFonts w:ascii="Arial" w:eastAsia="Times New Roman" w:hAnsi="Arial" w:cs="Arial"/>
          <w:lang w:val="es-ES_tradnl" w:eastAsia="es-ES_tradnl"/>
        </w:rPr>
        <w:t>[</w:t>
      </w:r>
      <w:r>
        <w:rPr>
          <w:rFonts w:ascii="Arial" w:eastAsia="Times New Roman" w:hAnsi="Arial" w:cs="Arial"/>
          <w:lang w:val="es-ES_tradnl" w:eastAsia="es-ES_tradnl"/>
        </w:rPr>
        <w:t>E</w:t>
      </w:r>
      <w:r w:rsidRPr="00701DEE">
        <w:rPr>
          <w:rFonts w:ascii="Arial" w:eastAsia="Times New Roman" w:hAnsi="Arial" w:cs="Arial"/>
          <w:lang w:val="es-ES_tradnl" w:eastAsia="es-ES_tradnl"/>
        </w:rPr>
        <w:t>]</w:t>
      </w:r>
      <w:r w:rsidR="00B37B3F" w:rsidRPr="0067709B">
        <w:rPr>
          <w:rFonts w:ascii="Arial" w:hAnsi="Arial" w:cs="Arial"/>
          <w:color w:val="0D0D0D"/>
          <w:bdr w:val="none" w:sz="0" w:space="0" w:color="auto" w:frame="1"/>
          <w:lang w:eastAsia="es-CO"/>
        </w:rPr>
        <w:t xml:space="preserve">l 22 de julio de 2020, el Gobierno Nacional sancionó la Ley 2022, llamada la </w:t>
      </w:r>
      <w:r w:rsidR="00B37B3F">
        <w:rPr>
          <w:rFonts w:ascii="Arial" w:hAnsi="Arial" w:cs="Arial"/>
          <w:color w:val="0D0D0D"/>
          <w:bdr w:val="none" w:sz="0" w:space="0" w:color="auto" w:frame="1"/>
          <w:lang w:eastAsia="es-CO"/>
        </w:rPr>
        <w:t>“</w:t>
      </w:r>
      <w:r w:rsidR="00B37B3F" w:rsidRPr="0067709B">
        <w:rPr>
          <w:rFonts w:ascii="Arial" w:hAnsi="Arial" w:cs="Arial"/>
          <w:color w:val="0D0D0D"/>
          <w:bdr w:val="none" w:sz="0" w:space="0" w:color="auto" w:frame="1"/>
          <w:lang w:eastAsia="es-CO"/>
        </w:rPr>
        <w:t>ley de pliegos tipo</w:t>
      </w:r>
      <w:r w:rsidR="00B37B3F">
        <w:rPr>
          <w:rFonts w:ascii="Arial" w:hAnsi="Arial" w:cs="Arial"/>
          <w:color w:val="0D0D0D"/>
          <w:bdr w:val="none" w:sz="0" w:space="0" w:color="auto" w:frame="1"/>
          <w:lang w:eastAsia="es-CO"/>
        </w:rPr>
        <w:t>”</w:t>
      </w:r>
      <w:r w:rsidR="00B37B3F" w:rsidRPr="0067709B">
        <w:rPr>
          <w:rFonts w:ascii="Arial" w:hAnsi="Arial" w:cs="Arial"/>
          <w:color w:val="0D0D0D"/>
          <w:bdr w:val="none" w:sz="0" w:space="0" w:color="auto" w:frame="1"/>
          <w:lang w:eastAsia="es-CO"/>
        </w:rPr>
        <w:t xml:space="preserve">, que rige a partir de su publicación y cuyo artículo 1 modificó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00B37B3F" w:rsidRPr="0067709B">
        <w:rPr>
          <w:rFonts w:ascii="Arial" w:hAnsi="Arial" w:cs="Arial"/>
          <w:color w:val="0D0D0D"/>
          <w:bdr w:val="none" w:sz="0" w:space="0" w:color="auto" w:frame="1"/>
          <w:lang w:eastAsia="es-CO"/>
        </w:rPr>
        <w:t>ii</w:t>
      </w:r>
      <w:proofErr w:type="spellEnd"/>
      <w:r w:rsidR="00B37B3F" w:rsidRPr="0067709B">
        <w:rPr>
          <w:rFonts w:ascii="Arial" w:hAnsi="Arial" w:cs="Arial"/>
          <w:color w:val="0D0D0D"/>
          <w:bdr w:val="none" w:sz="0" w:space="0" w:color="auto" w:frame="1"/>
          <w:lang w:eastAsia="es-CO"/>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00B37B3F" w:rsidRPr="0067709B">
        <w:rPr>
          <w:rFonts w:ascii="Arial" w:hAnsi="Arial" w:cs="Arial"/>
          <w:color w:val="0D0D0D"/>
          <w:bdr w:val="none" w:sz="0" w:space="0" w:color="auto" w:frame="1"/>
          <w:lang w:eastAsia="es-CO"/>
        </w:rPr>
        <w:t>iii</w:t>
      </w:r>
      <w:proofErr w:type="spellEnd"/>
      <w:r w:rsidR="00B37B3F" w:rsidRPr="0067709B">
        <w:rPr>
          <w:rFonts w:ascii="Arial" w:hAnsi="Arial" w:cs="Arial"/>
          <w:color w:val="0D0D0D"/>
          <w:bdr w:val="none" w:sz="0" w:space="0" w:color="auto" w:frame="1"/>
          <w:lang w:eastAsia="es-CO"/>
        </w:rPr>
        <w:t xml:space="preserve">) la implementación de procesos de capacitación en los municipios para la utilización de los documentos tipo buscando el desarrollo de la economía local; y </w:t>
      </w:r>
      <w:proofErr w:type="spellStart"/>
      <w:r w:rsidR="00B37B3F" w:rsidRPr="0067709B">
        <w:rPr>
          <w:rFonts w:ascii="Arial" w:hAnsi="Arial" w:cs="Arial"/>
          <w:color w:val="0D0D0D"/>
          <w:bdr w:val="none" w:sz="0" w:space="0" w:color="auto" w:frame="1"/>
          <w:lang w:eastAsia="es-CO"/>
        </w:rPr>
        <w:t>iv</w:t>
      </w:r>
      <w:proofErr w:type="spellEnd"/>
      <w:r w:rsidR="00B37B3F" w:rsidRPr="0067709B">
        <w:rPr>
          <w:rFonts w:ascii="Arial" w:hAnsi="Arial" w:cs="Arial"/>
          <w:color w:val="0D0D0D"/>
          <w:bdr w:val="none" w:sz="0" w:space="0" w:color="auto" w:frame="1"/>
          <w:lang w:eastAsia="es-CO"/>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p>
    <w:p w14:paraId="02D923B6" w14:textId="77777777" w:rsidR="00286DD2" w:rsidRDefault="00286DD2" w:rsidP="00E95030">
      <w:pPr>
        <w:spacing w:after="0" w:line="276" w:lineRule="auto"/>
        <w:jc w:val="both"/>
        <w:rPr>
          <w:rFonts w:ascii="Arial" w:hAnsi="Arial" w:cs="Arial"/>
          <w:b/>
          <w:bCs/>
          <w:color w:val="000000" w:themeColor="text1"/>
          <w:lang w:val="es-ES_tradnl"/>
        </w:rPr>
      </w:pPr>
    </w:p>
    <w:p w14:paraId="3023D96D" w14:textId="0A62941F" w:rsidR="00B37B3F" w:rsidRDefault="00B37B3F" w:rsidP="00E95030">
      <w:pPr>
        <w:spacing w:after="0" w:line="276" w:lineRule="auto"/>
        <w:jc w:val="both"/>
        <w:rPr>
          <w:rFonts w:ascii="Arial" w:eastAsia="Calibri" w:hAnsi="Arial" w:cs="Arial"/>
          <w:b/>
          <w:bCs/>
          <w:color w:val="000000" w:themeColor="text1"/>
          <w:szCs w:val="24"/>
          <w:lang w:eastAsia="es-ES_tradnl"/>
        </w:rPr>
      </w:pPr>
      <w:r w:rsidRPr="00B37B3F">
        <w:rPr>
          <w:rFonts w:ascii="Arial" w:hAnsi="Arial" w:cs="Arial"/>
          <w:b/>
          <w:bCs/>
          <w:color w:val="000000" w:themeColor="text1"/>
          <w:lang w:val="es-ES_tradnl"/>
        </w:rPr>
        <w:t xml:space="preserve">DOCUMENTOS TIPO – </w:t>
      </w:r>
      <w:r w:rsidRPr="00B37B3F">
        <w:rPr>
          <w:rFonts w:ascii="Arial" w:eastAsia="Calibri" w:hAnsi="Arial" w:cs="Arial"/>
          <w:b/>
          <w:bCs/>
          <w:color w:val="000000" w:themeColor="text1"/>
          <w:szCs w:val="24"/>
          <w:lang w:eastAsia="es-ES_tradnl"/>
        </w:rPr>
        <w:t xml:space="preserve">Obligatoriedad – Inalterabilidad  </w:t>
      </w:r>
    </w:p>
    <w:p w14:paraId="6825859C" w14:textId="77777777" w:rsidR="00286DD2" w:rsidRDefault="00286DD2" w:rsidP="00E95030">
      <w:pPr>
        <w:spacing w:after="0" w:line="276" w:lineRule="auto"/>
        <w:jc w:val="both"/>
        <w:rPr>
          <w:rFonts w:ascii="Arial" w:eastAsia="Times New Roman" w:hAnsi="Arial" w:cs="Arial"/>
          <w:shd w:val="clear" w:color="auto" w:fill="FFFFFF"/>
          <w:lang w:val="es-ES_tradnl" w:eastAsia="es-ES_tradnl"/>
        </w:rPr>
      </w:pPr>
    </w:p>
    <w:p w14:paraId="769E091C" w14:textId="415EAD27" w:rsidR="00B37B3F" w:rsidRDefault="00B37B3F" w:rsidP="00E95030">
      <w:pPr>
        <w:spacing w:after="0" w:line="276" w:lineRule="auto"/>
        <w:jc w:val="both"/>
        <w:rPr>
          <w:rFonts w:ascii="Arial" w:eastAsia="Calibri" w:hAnsi="Arial" w:cs="Arial"/>
          <w:b/>
          <w:bCs/>
          <w:color w:val="000000" w:themeColor="text1"/>
          <w:szCs w:val="24"/>
          <w:lang w:eastAsia="es-ES_tradnl"/>
        </w:rPr>
      </w:pPr>
      <w:r w:rsidRPr="00701DEE">
        <w:rPr>
          <w:rFonts w:ascii="Arial" w:eastAsia="Times New Roman" w:hAnsi="Arial" w:cs="Arial"/>
          <w:shd w:val="clear" w:color="auto" w:fill="FFFFFF"/>
          <w:lang w:val="es-ES_tradnl" w:eastAsia="es-ES_tradnl"/>
        </w:rPr>
        <w:t xml:space="preserve">El fundamento legal vigente de la regla de la </w:t>
      </w:r>
      <w:r w:rsidRPr="00701DEE">
        <w:rPr>
          <w:rFonts w:ascii="Arial" w:eastAsia="Times New Roman" w:hAnsi="Arial" w:cs="Arial"/>
          <w:szCs w:val="24"/>
          <w:shd w:val="clear" w:color="auto" w:fill="FFFFFF"/>
          <w:lang w:val="es-ES_tradnl" w:eastAsia="es-ES_tradnl"/>
        </w:rPr>
        <w:t xml:space="preserve">inalterabilidad </w:t>
      </w:r>
      <w:r w:rsidRPr="00701DEE">
        <w:rPr>
          <w:rFonts w:ascii="Arial" w:eastAsia="Times New Roman" w:hAnsi="Arial" w:cs="Arial"/>
          <w:shd w:val="clear" w:color="auto" w:fill="FFFFFF"/>
          <w:lang w:val="es-ES_tradnl" w:eastAsia="es-ES_tradnl"/>
        </w:rPr>
        <w:t>se encuentra en el artículo 1 de la Ley 2022 de 2020, según el cual «</w:t>
      </w:r>
      <w:r w:rsidRPr="00701DEE">
        <w:rPr>
          <w:rFonts w:ascii="Arial" w:eastAsia="Times New Roman" w:hAnsi="Arial" w:cs="Arial"/>
          <w:lang w:val="es-ES_tradnl" w:eastAsia="es-ES_tradnl"/>
        </w:rPr>
        <w:t xml:space="preserve">[…] </w:t>
      </w:r>
      <w:r w:rsidRPr="00701DEE">
        <w:rPr>
          <w:rFonts w:ascii="Arial" w:eastAsia="Times New Roman" w:hAnsi="Arial" w:cs="Arial"/>
          <w:shd w:val="clear" w:color="auto" w:fill="FFFFFF"/>
          <w:lang w:val="es-ES_tradnl" w:eastAsia="es-ES_tradnl"/>
        </w:rPr>
        <w:t>serán de obligatorio cumplimiento en la actividad contractual de todas las entidades sometidas al Estatuto General de Contratación de la Administración Pública».</w:t>
      </w:r>
    </w:p>
    <w:p w14:paraId="0F9F6352" w14:textId="77777777" w:rsidR="00286DD2" w:rsidRDefault="00286DD2" w:rsidP="00E95030">
      <w:pPr>
        <w:spacing w:after="0" w:line="276" w:lineRule="auto"/>
        <w:jc w:val="both"/>
        <w:rPr>
          <w:rFonts w:ascii="Arial" w:eastAsia="Calibri" w:hAnsi="Arial" w:cs="Arial"/>
          <w:b/>
          <w:bCs/>
          <w:color w:val="000000" w:themeColor="text1"/>
          <w:lang w:val="es-ES_tradnl"/>
        </w:rPr>
      </w:pPr>
    </w:p>
    <w:p w14:paraId="438F1B98" w14:textId="77777777" w:rsidR="00E95030" w:rsidRDefault="00B37B3F" w:rsidP="00E95030">
      <w:pPr>
        <w:spacing w:after="0" w:line="276" w:lineRule="auto"/>
        <w:jc w:val="both"/>
        <w:rPr>
          <w:rFonts w:ascii="Arial" w:eastAsia="Calibri" w:hAnsi="Arial" w:cs="Arial"/>
          <w:b/>
          <w:bCs/>
          <w:color w:val="000000" w:themeColor="text1"/>
          <w:lang w:val="es-ES_tradnl"/>
        </w:rPr>
      </w:pPr>
      <w:r w:rsidRPr="00B37B3F">
        <w:rPr>
          <w:rFonts w:ascii="Arial" w:eastAsia="Calibri" w:hAnsi="Arial" w:cs="Arial"/>
          <w:b/>
          <w:bCs/>
          <w:color w:val="000000" w:themeColor="text1"/>
          <w:lang w:val="es-ES_tradnl"/>
        </w:rPr>
        <w:t xml:space="preserve">CONCURSO DE MÉRITOS – Documentos tipo - – Infraestructura de transporte – Resolución 326 de 2022 </w:t>
      </w:r>
    </w:p>
    <w:p w14:paraId="18F53854" w14:textId="77777777" w:rsidR="00E95030" w:rsidRDefault="00E95030" w:rsidP="00E95030">
      <w:pPr>
        <w:spacing w:after="0" w:line="276" w:lineRule="auto"/>
        <w:jc w:val="both"/>
        <w:rPr>
          <w:rFonts w:ascii="Arial" w:eastAsia="Calibri" w:hAnsi="Arial" w:cs="Arial"/>
          <w:b/>
          <w:bCs/>
          <w:color w:val="000000" w:themeColor="text1"/>
          <w:lang w:val="es-ES_tradnl"/>
        </w:rPr>
      </w:pPr>
    </w:p>
    <w:p w14:paraId="2186D784" w14:textId="64227527" w:rsidR="00B37B3F" w:rsidRDefault="00286DD2" w:rsidP="00E95030">
      <w:pPr>
        <w:spacing w:after="0" w:line="276" w:lineRule="auto"/>
        <w:jc w:val="both"/>
        <w:rPr>
          <w:rFonts w:ascii="Arial" w:eastAsia="Calibri" w:hAnsi="Arial" w:cs="Arial"/>
          <w:b/>
          <w:bCs/>
          <w:color w:val="000000" w:themeColor="text1"/>
          <w:lang w:val="es-ES_tradnl"/>
        </w:rPr>
      </w:pPr>
      <w:r>
        <w:rPr>
          <w:rFonts w:ascii="Arial" w:hAnsi="Arial" w:cs="Arial"/>
          <w:color w:val="0D0D0D"/>
          <w:bdr w:val="none" w:sz="0" w:space="0" w:color="auto" w:frame="1"/>
          <w:lang w:eastAsia="es-CO"/>
        </w:rPr>
        <w:t xml:space="preserve">Ahora bien, sobre el Documento Tipo de consulta en la presente petición, </w:t>
      </w:r>
      <w:r>
        <w:rPr>
          <w:rFonts w:ascii="Arial" w:hAnsi="Arial" w:cs="Arial"/>
          <w:color w:val="0D0D0D"/>
          <w:bdr w:val="none" w:sz="0" w:space="0" w:color="auto" w:frame="1"/>
          <w:lang w:val="es-ES_tradnl" w:eastAsia="es-CO"/>
        </w:rPr>
        <w:t xml:space="preserve">es importante indicar que la Agencia </w:t>
      </w:r>
      <w:r w:rsidRPr="0067709B">
        <w:rPr>
          <w:rFonts w:ascii="Arial" w:hAnsi="Arial" w:cs="Arial"/>
          <w:color w:val="0D0D0D"/>
          <w:bdr w:val="none" w:sz="0" w:space="0" w:color="auto" w:frame="1"/>
          <w:lang w:val="es-ES_tradnl" w:eastAsia="es-CO"/>
        </w:rPr>
        <w:t xml:space="preserve">adoptó para este sector los documentos tipo de interventoría y consultoría de estudios de ingeniería </w:t>
      </w:r>
      <w:r>
        <w:rPr>
          <w:rFonts w:ascii="Arial" w:hAnsi="Arial" w:cs="Arial"/>
          <w:color w:val="0D0D0D"/>
          <w:bdr w:val="none" w:sz="0" w:space="0" w:color="auto" w:frame="1"/>
          <w:lang w:val="es-ES_tradnl" w:eastAsia="es-CO"/>
        </w:rPr>
        <w:t>mediante la</w:t>
      </w:r>
      <w:r w:rsidRPr="0067709B">
        <w:rPr>
          <w:rFonts w:ascii="Arial" w:hAnsi="Arial" w:cs="Arial"/>
          <w:color w:val="0D0D0D"/>
          <w:bdr w:val="none" w:sz="0" w:space="0" w:color="auto" w:frame="1"/>
          <w:lang w:val="es-ES_tradnl" w:eastAsia="es-CO"/>
        </w:rPr>
        <w:t xml:space="preserve"> Resoluci</w:t>
      </w:r>
      <w:r>
        <w:rPr>
          <w:rFonts w:ascii="Arial" w:hAnsi="Arial" w:cs="Arial"/>
          <w:color w:val="0D0D0D"/>
          <w:bdr w:val="none" w:sz="0" w:space="0" w:color="auto" w:frame="1"/>
          <w:lang w:val="es-ES_tradnl" w:eastAsia="es-CO"/>
        </w:rPr>
        <w:t xml:space="preserve">ón </w:t>
      </w:r>
      <w:r w:rsidRPr="0067709B">
        <w:rPr>
          <w:rFonts w:ascii="Arial" w:hAnsi="Arial" w:cs="Arial"/>
          <w:color w:val="0D0D0D"/>
          <w:bdr w:val="none" w:sz="0" w:space="0" w:color="auto" w:frame="1"/>
          <w:lang w:val="es-ES_tradnl" w:eastAsia="es-CO"/>
        </w:rPr>
        <w:t>No. 256 del 11 de diciembre de 2020</w:t>
      </w:r>
      <w:r>
        <w:rPr>
          <w:rFonts w:ascii="Arial" w:hAnsi="Arial" w:cs="Arial"/>
          <w:color w:val="0D0D0D"/>
          <w:bdr w:val="none" w:sz="0" w:space="0" w:color="auto" w:frame="1"/>
          <w:lang w:val="es-ES_tradnl" w:eastAsia="es-CO"/>
        </w:rPr>
        <w:t>y que ha sido modificada a través de la resolución 326 de 2022. L</w:t>
      </w:r>
      <w:r w:rsidRPr="0067709B">
        <w:rPr>
          <w:rStyle w:val="normaltextrun"/>
          <w:rFonts w:ascii="Arial" w:hAnsi="Arial" w:cs="Arial"/>
          <w:color w:val="000000"/>
          <w:shd w:val="clear" w:color="auto" w:fill="FFFFFF"/>
          <w:lang w:val="es-ES_tradnl"/>
        </w:rPr>
        <w:t>as actividades en las que aplica están previstas en la</w:t>
      </w:r>
      <w:r w:rsidRPr="0067709B">
        <w:rPr>
          <w:rFonts w:ascii="Arial" w:eastAsia="Calibri" w:hAnsi="Arial" w:cs="Arial"/>
          <w:lang w:val="es-ES_tradnl"/>
        </w:rPr>
        <w:t xml:space="preserve"> </w:t>
      </w:r>
      <w:r>
        <w:rPr>
          <w:rFonts w:ascii="Arial" w:eastAsia="Calibri" w:hAnsi="Arial" w:cs="Arial"/>
          <w:lang w:val="es-ES_tradnl"/>
        </w:rPr>
        <w:t>“</w:t>
      </w:r>
      <w:r w:rsidRPr="0067709B">
        <w:rPr>
          <w:rFonts w:ascii="Arial" w:eastAsia="Calibri" w:hAnsi="Arial" w:cs="Arial"/>
          <w:lang w:val="es-ES_tradnl"/>
        </w:rPr>
        <w:t>Matriz 1 – Experiencia</w:t>
      </w:r>
      <w:r>
        <w:rPr>
          <w:rFonts w:ascii="Arial" w:eastAsia="Calibri" w:hAnsi="Arial" w:cs="Arial"/>
          <w:lang w:val="es-ES_tradnl"/>
        </w:rPr>
        <w:t>”</w:t>
      </w:r>
      <w:r w:rsidRPr="0067709B">
        <w:rPr>
          <w:rFonts w:ascii="Arial" w:eastAsia="Calibri" w:hAnsi="Arial" w:cs="Arial"/>
          <w:lang w:val="es-ES_tradnl"/>
        </w:rPr>
        <w:t xml:space="preserve">. Entre ellas se encuentran las siguientes: i) interventoría a obras en vías primarias o secundarias; </w:t>
      </w:r>
      <w:proofErr w:type="spellStart"/>
      <w:r w:rsidRPr="0067709B">
        <w:rPr>
          <w:rFonts w:ascii="Arial" w:eastAsia="Calibri" w:hAnsi="Arial" w:cs="Arial"/>
          <w:lang w:val="es-ES_tradnl"/>
        </w:rPr>
        <w:t>ii</w:t>
      </w:r>
      <w:proofErr w:type="spellEnd"/>
      <w:r w:rsidRPr="0067709B">
        <w:rPr>
          <w:rFonts w:ascii="Arial" w:eastAsia="Calibri" w:hAnsi="Arial" w:cs="Arial"/>
          <w:lang w:val="es-ES_tradnl"/>
        </w:rPr>
        <w:t xml:space="preserve">) interventoría a obras terciarias; </w:t>
      </w:r>
      <w:proofErr w:type="spellStart"/>
      <w:r w:rsidRPr="0067709B">
        <w:rPr>
          <w:rFonts w:ascii="Arial" w:eastAsia="Calibri" w:hAnsi="Arial" w:cs="Arial"/>
          <w:lang w:val="es-ES_tradnl"/>
        </w:rPr>
        <w:t>iii</w:t>
      </w:r>
      <w:proofErr w:type="spellEnd"/>
      <w:r w:rsidRPr="0067709B">
        <w:rPr>
          <w:rFonts w:ascii="Arial" w:eastAsia="Calibri" w:hAnsi="Arial" w:cs="Arial"/>
          <w:lang w:val="es-ES_tradnl"/>
        </w:rPr>
        <w:t xml:space="preserve">) interventoría a obras marítimas y fluviales; </w:t>
      </w:r>
      <w:proofErr w:type="spellStart"/>
      <w:r w:rsidRPr="0067709B">
        <w:rPr>
          <w:rFonts w:ascii="Arial" w:eastAsia="Calibri" w:hAnsi="Arial" w:cs="Arial"/>
          <w:lang w:val="es-ES_tradnl"/>
        </w:rPr>
        <w:t>iv</w:t>
      </w:r>
      <w:proofErr w:type="spellEnd"/>
      <w:r w:rsidRPr="0067709B">
        <w:rPr>
          <w:rFonts w:ascii="Arial" w:eastAsia="Calibri" w:hAnsi="Arial" w:cs="Arial"/>
          <w:lang w:val="es-ES_tradnl"/>
        </w:rPr>
        <w:t xml:space="preserve">) interventoría a obras en vías primarias y secundarias o terciarias o urbanas para atención, prevención o mitigación de emergencias diferentes a contratación directa; v) interventoría a obras férreas; vi) interventoría a obras de infraestructura vial urbana; </w:t>
      </w:r>
      <w:proofErr w:type="spellStart"/>
      <w:r w:rsidRPr="0067709B">
        <w:rPr>
          <w:rFonts w:ascii="Arial" w:eastAsia="Calibri" w:hAnsi="Arial" w:cs="Arial"/>
          <w:lang w:val="es-ES_tradnl"/>
        </w:rPr>
        <w:t>vii</w:t>
      </w:r>
      <w:proofErr w:type="spellEnd"/>
      <w:r w:rsidRPr="0067709B">
        <w:rPr>
          <w:rFonts w:ascii="Arial" w:eastAsia="Calibri" w:hAnsi="Arial" w:cs="Arial"/>
          <w:lang w:val="es-ES_tradnl"/>
        </w:rPr>
        <w:t xml:space="preserve">) interventoría a obras en puentes; y </w:t>
      </w:r>
      <w:proofErr w:type="spellStart"/>
      <w:r w:rsidRPr="0067709B">
        <w:rPr>
          <w:rFonts w:ascii="Arial" w:eastAsia="Calibri" w:hAnsi="Arial" w:cs="Arial"/>
          <w:lang w:val="es-ES_tradnl"/>
        </w:rPr>
        <w:t>viii</w:t>
      </w:r>
      <w:proofErr w:type="spellEnd"/>
      <w:r w:rsidRPr="0067709B">
        <w:rPr>
          <w:rFonts w:ascii="Arial" w:eastAsia="Calibri" w:hAnsi="Arial" w:cs="Arial"/>
          <w:lang w:val="es-ES_tradnl"/>
        </w:rPr>
        <w:t>) interventoría a obras aeroportuarias</w:t>
      </w:r>
    </w:p>
    <w:p w14:paraId="2AAD6887" w14:textId="77777777" w:rsidR="00B37B3F" w:rsidRDefault="00B37B3F" w:rsidP="00E95030">
      <w:pPr>
        <w:spacing w:after="0" w:line="276" w:lineRule="auto"/>
        <w:jc w:val="both"/>
        <w:rPr>
          <w:rFonts w:ascii="Arial" w:eastAsia="Calibri" w:hAnsi="Arial" w:cs="Arial"/>
          <w:b/>
          <w:bCs/>
          <w:color w:val="000000" w:themeColor="text1"/>
          <w:lang w:val="es-ES_tradnl"/>
        </w:rPr>
      </w:pPr>
    </w:p>
    <w:p w14:paraId="4557E4BC" w14:textId="77777777" w:rsidR="00E95030" w:rsidRDefault="00B37B3F" w:rsidP="00E95030">
      <w:pPr>
        <w:spacing w:after="0" w:line="276" w:lineRule="auto"/>
        <w:jc w:val="both"/>
        <w:rPr>
          <w:rFonts w:ascii="Arial" w:eastAsia="Calibri" w:hAnsi="Arial" w:cs="Arial"/>
          <w:b/>
          <w:bCs/>
          <w:color w:val="000000" w:themeColor="text1"/>
          <w:lang w:val="es-ES_tradnl"/>
        </w:rPr>
      </w:pPr>
      <w:r w:rsidRPr="00B37B3F">
        <w:rPr>
          <w:rFonts w:ascii="Arial" w:eastAsia="Calibri" w:hAnsi="Arial" w:cs="Arial"/>
          <w:b/>
          <w:bCs/>
          <w:color w:val="000000" w:themeColor="text1"/>
          <w:lang w:val="es-ES_tradnl"/>
        </w:rPr>
        <w:t>DOCUMENTOS TIPO – Concurso de méritos – Abierto – Sin precalificación – Resolución 326 de 2022</w:t>
      </w:r>
    </w:p>
    <w:p w14:paraId="0E1D0FA6" w14:textId="135A8640" w:rsidR="00E95030" w:rsidRPr="00E95030" w:rsidRDefault="00E95030" w:rsidP="00E95030">
      <w:pPr>
        <w:spacing w:after="0" w:line="276" w:lineRule="auto"/>
        <w:jc w:val="both"/>
        <w:rPr>
          <w:rFonts w:ascii="Arial" w:eastAsia="Calibri" w:hAnsi="Arial" w:cs="Arial"/>
          <w:b/>
          <w:bCs/>
          <w:color w:val="000000" w:themeColor="text1"/>
          <w:lang w:val="es-ES_tradnl"/>
        </w:rPr>
      </w:pPr>
      <w:r w:rsidRPr="00701DEE">
        <w:rPr>
          <w:rFonts w:ascii="Arial" w:eastAsia="Times New Roman" w:hAnsi="Arial" w:cs="Arial"/>
          <w:lang w:val="es-ES_tradnl" w:eastAsia="es-ES_tradnl"/>
        </w:rPr>
        <w:lastRenderedPageBreak/>
        <w:t>[</w:t>
      </w:r>
      <w:r>
        <w:rPr>
          <w:rFonts w:ascii="Arial" w:eastAsia="Times New Roman" w:hAnsi="Arial" w:cs="Arial"/>
          <w:lang w:val="es-ES_tradnl" w:eastAsia="es-ES_tradnl"/>
        </w:rPr>
        <w:t>L</w:t>
      </w:r>
      <w:r w:rsidRPr="00701DEE">
        <w:rPr>
          <w:rFonts w:ascii="Arial" w:eastAsia="Times New Roman" w:hAnsi="Arial" w:cs="Arial"/>
          <w:lang w:val="es-ES_tradnl" w:eastAsia="es-ES_tradnl"/>
        </w:rPr>
        <w:t>]</w:t>
      </w:r>
      <w:r>
        <w:rPr>
          <w:rFonts w:ascii="Arial" w:eastAsia="Times New Roman" w:hAnsi="Arial" w:cs="Arial"/>
          <w:lang w:val="es-ES_tradnl" w:eastAsia="es-ES_tradnl"/>
        </w:rPr>
        <w:t>a</w:t>
      </w:r>
      <w:r w:rsidRPr="0067709B">
        <w:rPr>
          <w:rFonts w:ascii="Arial" w:eastAsia="Calibri" w:hAnsi="Arial" w:cs="Arial"/>
          <w:lang w:val="es-ES_tradnl"/>
        </w:rPr>
        <w:t xml:space="preserve"> </w:t>
      </w:r>
      <w:r w:rsidRPr="0067709B">
        <w:rPr>
          <w:rFonts w:ascii="Arial" w:hAnsi="Arial" w:cs="Arial"/>
          <w:color w:val="0D0D0D"/>
          <w:bdr w:val="none" w:sz="0" w:space="0" w:color="auto" w:frame="1"/>
          <w:lang w:eastAsia="es-CO"/>
        </w:rPr>
        <w:t xml:space="preserve">Resolución No. 256 del 11 de diciembre de 2020 </w:t>
      </w:r>
      <w:r>
        <w:rPr>
          <w:rFonts w:ascii="Arial" w:hAnsi="Arial" w:cs="Arial"/>
          <w:color w:val="0D0D0D"/>
          <w:bdr w:val="none" w:sz="0" w:space="0" w:color="auto" w:frame="1"/>
          <w:lang w:eastAsia="es-CO"/>
        </w:rPr>
        <w:t xml:space="preserve">indicó que los documentos tipos adoptados mediante este acto administrativo </w:t>
      </w:r>
      <w:r w:rsidRPr="0067709B">
        <w:rPr>
          <w:rFonts w:ascii="Arial" w:hAnsi="Arial" w:cs="Arial"/>
          <w:color w:val="0D0D0D"/>
          <w:bdr w:val="none" w:sz="0" w:space="0" w:color="auto" w:frame="1"/>
          <w:lang w:eastAsia="es-CO"/>
        </w:rPr>
        <w:t>son</w:t>
      </w:r>
      <w:r w:rsidRPr="0067709B">
        <w:rPr>
          <w:rFonts w:ascii="Arial" w:eastAsia="Calibri" w:hAnsi="Arial" w:cs="Arial"/>
          <w:lang w:val="es-ES_tradnl"/>
        </w:rPr>
        <w:t xml:space="preserve"> obligatorios para las entidades sometidas a la Ley 80 de 1993 que contraten la interventoría de obras públicas de infraestructura de transporte a través de </w:t>
      </w:r>
      <w:r w:rsidRPr="0067709B">
        <w:rPr>
          <w:rFonts w:ascii="Arial" w:eastAsia="Calibri" w:hAnsi="Arial" w:cs="Arial"/>
          <w:i/>
          <w:iCs/>
          <w:lang w:val="es-ES_tradnl"/>
        </w:rPr>
        <w:t>concurso de méritos</w:t>
      </w:r>
      <w:r>
        <w:rPr>
          <w:rFonts w:ascii="Arial" w:eastAsia="Calibri" w:hAnsi="Arial" w:cs="Arial"/>
          <w:i/>
          <w:iCs/>
          <w:lang w:val="es-ES_tradnl"/>
        </w:rPr>
        <w:t>,</w:t>
      </w:r>
      <w:r>
        <w:rPr>
          <w:rFonts w:ascii="Arial" w:eastAsia="Calibri" w:hAnsi="Arial" w:cs="Arial"/>
          <w:lang w:val="es-ES_tradnl"/>
        </w:rPr>
        <w:t xml:space="preserve"> sin especificar si la modalidad de selección de aplicación seleccionada sería el concurso de méritos abierto o con precalificación. Por lo tanto, al no especificar cuál modalidad de concurso de méritos sería de obligatoria aplicación del documento tipo adoptado por esta Agencia</w:t>
      </w:r>
      <w:r w:rsidRPr="0067709B">
        <w:rPr>
          <w:rFonts w:ascii="Arial" w:eastAsia="Calibri" w:hAnsi="Arial" w:cs="Arial"/>
          <w:lang w:val="es-ES_tradnl"/>
        </w:rPr>
        <w:t>,</w:t>
      </w:r>
      <w:r>
        <w:rPr>
          <w:rFonts w:ascii="Arial" w:eastAsia="Calibri" w:hAnsi="Arial" w:cs="Arial"/>
          <w:lang w:val="es-ES_tradnl"/>
        </w:rPr>
        <w:t xml:space="preserve"> </w:t>
      </w:r>
      <w:r w:rsidRPr="00701DEE">
        <w:rPr>
          <w:rFonts w:ascii="Arial" w:eastAsia="Times New Roman" w:hAnsi="Arial" w:cs="Arial"/>
          <w:lang w:val="es-ES_tradnl" w:eastAsia="es-ES_tradnl"/>
        </w:rPr>
        <w:t>[…]</w:t>
      </w:r>
      <w:r w:rsidRPr="0067709B">
        <w:rPr>
          <w:rFonts w:ascii="Arial" w:eastAsia="Calibri" w:hAnsi="Arial" w:cs="Arial"/>
          <w:lang w:val="es-ES_tradnl"/>
        </w:rPr>
        <w:t xml:space="preserve"> </w:t>
      </w:r>
      <w:r>
        <w:rPr>
          <w:rFonts w:ascii="Arial" w:eastAsia="Calibri" w:hAnsi="Arial" w:cs="Arial"/>
          <w:lang w:val="es-ES_tradnl"/>
        </w:rPr>
        <w:t>se debe entender que será para ambos casos, sólo sí se han adoptado hasta la fecha los documentos tipo pertinentes con cada modalidad de selección de concurso de méritos prevista en nuestro ordenamiento jurídico.</w:t>
      </w:r>
    </w:p>
    <w:p w14:paraId="0BEE1326" w14:textId="77777777" w:rsidR="00E95030" w:rsidRDefault="00E95030" w:rsidP="00E95030">
      <w:pPr>
        <w:spacing w:before="240" w:after="0" w:line="276" w:lineRule="auto"/>
        <w:jc w:val="both"/>
        <w:rPr>
          <w:rFonts w:ascii="Arial" w:eastAsia="Calibri" w:hAnsi="Arial" w:cs="Arial"/>
          <w:lang w:val="es-ES_tradnl"/>
        </w:rPr>
      </w:pPr>
      <w:r>
        <w:rPr>
          <w:rFonts w:ascii="Arial" w:eastAsia="Calibri" w:hAnsi="Arial" w:cs="Arial"/>
          <w:lang w:val="es-ES_tradnl"/>
        </w:rPr>
        <w:t xml:space="preserve">En ese orden de ideas, se tiene que hasta la fecha, esta Agencia tan sólo ha emitido documentos tipo bajo la modalidad de selección de concurso de méritos abierto, </w:t>
      </w:r>
      <w:r w:rsidRPr="0067709B">
        <w:rPr>
          <w:rFonts w:ascii="Arial" w:eastAsia="Calibri" w:hAnsi="Arial" w:cs="Arial"/>
          <w:lang w:val="es-ES_tradnl"/>
        </w:rPr>
        <w:t xml:space="preserve">por </w:t>
      </w:r>
      <w:r>
        <w:rPr>
          <w:rFonts w:ascii="Arial" w:eastAsia="Calibri" w:hAnsi="Arial" w:cs="Arial"/>
          <w:lang w:val="es-ES_tradnl"/>
        </w:rPr>
        <w:t xml:space="preserve">lo tanto, </w:t>
      </w:r>
      <w:r w:rsidRPr="002B1750">
        <w:rPr>
          <w:rFonts w:ascii="Arial" w:eastAsia="Calibri" w:hAnsi="Arial" w:cs="Arial"/>
          <w:lang w:val="es-ES_tradnl"/>
        </w:rPr>
        <w:t xml:space="preserve">las entidades estatales regidas por el Estatuto General de Contratación de la Administración Pública, al momento de adelantar un proceso de contratación asociado a uno de los sectores para los que se han implementado documentos tipo, deben consultar el contenido de los </w:t>
      </w:r>
      <w:r>
        <w:rPr>
          <w:rFonts w:ascii="Arial" w:eastAsia="Calibri" w:hAnsi="Arial" w:cs="Arial"/>
          <w:lang w:val="es-ES_tradnl"/>
        </w:rPr>
        <w:t>mismos</w:t>
      </w:r>
      <w:r w:rsidRPr="002B1750">
        <w:rPr>
          <w:rFonts w:ascii="Arial" w:eastAsia="Calibri" w:hAnsi="Arial" w:cs="Arial"/>
          <w:lang w:val="es-ES_tradnl"/>
        </w:rPr>
        <w:t xml:space="preserve"> </w:t>
      </w:r>
      <w:r>
        <w:rPr>
          <w:rFonts w:ascii="Arial" w:eastAsia="Calibri" w:hAnsi="Arial" w:cs="Arial"/>
          <w:lang w:val="es-ES_tradnl"/>
        </w:rPr>
        <w:t xml:space="preserve">para </w:t>
      </w:r>
      <w:r w:rsidRPr="002B1750">
        <w:rPr>
          <w:rFonts w:ascii="Arial" w:eastAsia="Calibri" w:hAnsi="Arial" w:cs="Arial"/>
          <w:lang w:val="es-ES_tradnl"/>
        </w:rPr>
        <w:t>determinar si la modalidad de escogencia y el objeto a contratar son o no subsumibles dentro de lo dispuesto en el documento tipo</w:t>
      </w:r>
      <w:r>
        <w:rPr>
          <w:rFonts w:ascii="Arial" w:eastAsia="Calibri" w:hAnsi="Arial" w:cs="Arial"/>
          <w:lang w:val="es-ES_tradnl"/>
        </w:rPr>
        <w:t xml:space="preserve"> y de </w:t>
      </w:r>
      <w:r w:rsidRPr="002B1750">
        <w:rPr>
          <w:rFonts w:ascii="Arial" w:eastAsia="Calibri" w:hAnsi="Arial" w:cs="Arial"/>
          <w:lang w:val="es-ES_tradnl"/>
        </w:rPr>
        <w:t>ser esto así, la entidad estará obligada a adelantar el proceso de contratación aplicando los documentos tipo</w:t>
      </w:r>
      <w:r>
        <w:rPr>
          <w:rFonts w:ascii="Arial" w:eastAsia="Calibri" w:hAnsi="Arial" w:cs="Arial"/>
          <w:lang w:val="es-ES_tradnl"/>
        </w:rPr>
        <w:t xml:space="preserve"> desarrollados por esta Agencia.</w:t>
      </w:r>
    </w:p>
    <w:p w14:paraId="259E129F" w14:textId="3C3D1A61" w:rsidR="00B37B3F" w:rsidRDefault="00B37B3F">
      <w:pPr>
        <w:rPr>
          <w:rFonts w:ascii="Arial" w:eastAsia="Calibri" w:hAnsi="Arial" w:cs="Arial"/>
          <w:color w:val="000000" w:themeColor="text1"/>
          <w:lang w:val="es-ES_tradnl"/>
        </w:rPr>
      </w:pPr>
      <w:r>
        <w:rPr>
          <w:rFonts w:ascii="Arial" w:eastAsia="Calibri" w:hAnsi="Arial" w:cs="Arial"/>
          <w:color w:val="000000" w:themeColor="text1"/>
          <w:lang w:val="es-ES_tradnl"/>
        </w:rPr>
        <w:br w:type="page"/>
      </w:r>
    </w:p>
    <w:p w14:paraId="0F29D30F" w14:textId="77777777" w:rsidR="00B37B3F" w:rsidRDefault="00B37B3F" w:rsidP="00AF274F">
      <w:pPr>
        <w:spacing w:after="0" w:line="276" w:lineRule="auto"/>
        <w:rPr>
          <w:rStyle w:val="normaltextrun"/>
          <w:rFonts w:ascii="Arial" w:hAnsi="Arial" w:cs="Arial"/>
          <w:color w:val="000000"/>
          <w:shd w:val="clear" w:color="auto" w:fill="FFFFFF"/>
          <w:lang w:val="es-MX"/>
        </w:rPr>
      </w:pPr>
    </w:p>
    <w:p w14:paraId="0B39F40D" w14:textId="6F6156B2" w:rsidR="00AF274F" w:rsidRDefault="00B46B5A" w:rsidP="00AF274F">
      <w:pPr>
        <w:spacing w:after="0" w:line="276" w:lineRule="auto"/>
        <w:rPr>
          <w:rFonts w:ascii="Arial" w:eastAsia="Calibri" w:hAnsi="Arial" w:cs="Arial"/>
          <w:color w:val="000000" w:themeColor="text1"/>
        </w:rPr>
      </w:pPr>
      <w:r w:rsidRPr="00B46B5A">
        <w:rPr>
          <w:rFonts w:ascii="Arial" w:eastAsia="Calibri" w:hAnsi="Arial" w:cs="Arial"/>
          <w:noProof/>
          <w:color w:val="000000" w:themeColor="text1"/>
        </w:rPr>
        <w:drawing>
          <wp:anchor distT="0" distB="0" distL="114300" distR="114300" simplePos="0" relativeHeight="251658240" behindDoc="1" locked="0" layoutInCell="1" allowOverlap="1" wp14:anchorId="208752CA" wp14:editId="38D687AF">
            <wp:simplePos x="0" y="0"/>
            <wp:positionH relativeFrom="column">
              <wp:posOffset>3361469</wp:posOffset>
            </wp:positionH>
            <wp:positionV relativeFrom="paragraph">
              <wp:posOffset>9746</wp:posOffset>
            </wp:positionV>
            <wp:extent cx="2912552" cy="771894"/>
            <wp:effectExtent l="0" t="0" r="2540" b="9525"/>
            <wp:wrapNone/>
            <wp:docPr id="3406148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614899" name=""/>
                    <pic:cNvPicPr/>
                  </pic:nvPicPr>
                  <pic:blipFill>
                    <a:blip r:embed="rId11">
                      <a:extLst>
                        <a:ext uri="{28A0092B-C50C-407E-A947-70E740481C1C}">
                          <a14:useLocalDpi xmlns:a14="http://schemas.microsoft.com/office/drawing/2010/main" val="0"/>
                        </a:ext>
                      </a:extLst>
                    </a:blip>
                    <a:stretch>
                      <a:fillRect/>
                    </a:stretch>
                  </pic:blipFill>
                  <pic:spPr>
                    <a:xfrm>
                      <a:off x="0" y="0"/>
                      <a:ext cx="2955958" cy="783397"/>
                    </a:xfrm>
                    <a:prstGeom prst="rect">
                      <a:avLst/>
                    </a:prstGeom>
                  </pic:spPr>
                </pic:pic>
              </a:graphicData>
            </a:graphic>
            <wp14:sizeRelH relativeFrom="margin">
              <wp14:pctWidth>0</wp14:pctWidth>
            </wp14:sizeRelH>
            <wp14:sizeRelV relativeFrom="margin">
              <wp14:pctHeight>0</wp14:pctHeight>
            </wp14:sizeRelV>
          </wp:anchor>
        </w:drawing>
      </w:r>
      <w:r w:rsidR="00420683">
        <w:rPr>
          <w:rStyle w:val="normaltextrun"/>
          <w:rFonts w:ascii="Arial" w:hAnsi="Arial" w:cs="Arial"/>
          <w:color w:val="000000"/>
          <w:shd w:val="clear" w:color="auto" w:fill="FFFFFF"/>
          <w:lang w:val="es-MX"/>
        </w:rPr>
        <w:t>Bogotá D.C.,</w:t>
      </w:r>
      <w:r>
        <w:rPr>
          <w:rStyle w:val="normaltextrun"/>
          <w:rFonts w:ascii="Arial" w:hAnsi="Arial" w:cs="Arial"/>
          <w:color w:val="000000"/>
          <w:shd w:val="clear" w:color="auto" w:fill="FFFFFF"/>
          <w:lang w:val="es-MX"/>
        </w:rPr>
        <w:t xml:space="preserve"> 28 de </w:t>
      </w:r>
      <w:proofErr w:type="gramStart"/>
      <w:r>
        <w:rPr>
          <w:rStyle w:val="normaltextrun"/>
          <w:rFonts w:ascii="Arial" w:hAnsi="Arial" w:cs="Arial"/>
          <w:color w:val="000000"/>
          <w:shd w:val="clear" w:color="auto" w:fill="FFFFFF"/>
          <w:lang w:val="es-MX"/>
        </w:rPr>
        <w:t>Abril</w:t>
      </w:r>
      <w:proofErr w:type="gramEnd"/>
      <w:r>
        <w:rPr>
          <w:rStyle w:val="normaltextrun"/>
          <w:rFonts w:ascii="Arial" w:hAnsi="Arial" w:cs="Arial"/>
          <w:color w:val="000000"/>
          <w:shd w:val="clear" w:color="auto" w:fill="FFFFFF"/>
          <w:lang w:val="es-MX"/>
        </w:rPr>
        <w:t xml:space="preserve"> de 2023</w:t>
      </w:r>
    </w:p>
    <w:p w14:paraId="4438FAF9" w14:textId="577ACD88" w:rsidR="00AF274F" w:rsidRDefault="00AF274F" w:rsidP="00AF274F">
      <w:pPr>
        <w:spacing w:after="0" w:line="276" w:lineRule="auto"/>
        <w:rPr>
          <w:rFonts w:ascii="Arial" w:eastAsia="Calibri" w:hAnsi="Arial" w:cs="Arial"/>
          <w:color w:val="000000" w:themeColor="text1"/>
        </w:rPr>
      </w:pPr>
    </w:p>
    <w:p w14:paraId="1E2E3A83" w14:textId="77777777" w:rsidR="00AF7A91" w:rsidRDefault="00AF7A91" w:rsidP="00AF274F">
      <w:pPr>
        <w:spacing w:after="0" w:line="276" w:lineRule="auto"/>
        <w:rPr>
          <w:rFonts w:ascii="Arial" w:eastAsia="Calibri" w:hAnsi="Arial" w:cs="Arial"/>
          <w:color w:val="000000" w:themeColor="text1"/>
        </w:rPr>
      </w:pPr>
    </w:p>
    <w:p w14:paraId="375FFA41" w14:textId="49545B22" w:rsidR="000D221C" w:rsidRPr="0067709B" w:rsidRDefault="000D221C" w:rsidP="00AF274F">
      <w:pPr>
        <w:spacing w:after="0" w:line="276" w:lineRule="auto"/>
        <w:rPr>
          <w:rFonts w:ascii="Arial" w:eastAsia="Calibri" w:hAnsi="Arial" w:cs="Arial"/>
          <w:color w:val="000000" w:themeColor="text1"/>
        </w:rPr>
      </w:pPr>
      <w:r w:rsidRPr="0067709B">
        <w:rPr>
          <w:rFonts w:ascii="Arial" w:eastAsia="Calibri" w:hAnsi="Arial" w:cs="Arial"/>
          <w:color w:val="000000" w:themeColor="text1"/>
        </w:rPr>
        <w:t xml:space="preserve">Señor </w:t>
      </w:r>
    </w:p>
    <w:p w14:paraId="78106434" w14:textId="2210DE11" w:rsidR="000D221C" w:rsidRPr="0067709B" w:rsidRDefault="000D221C" w:rsidP="00AF274F">
      <w:pPr>
        <w:spacing w:after="0" w:line="276" w:lineRule="auto"/>
        <w:rPr>
          <w:rFonts w:ascii="Arial" w:eastAsia="Calibri" w:hAnsi="Arial" w:cs="Arial"/>
          <w:b/>
          <w:color w:val="000000" w:themeColor="text1"/>
          <w:lang w:val="es-ES"/>
        </w:rPr>
      </w:pPr>
      <w:r w:rsidRPr="0067709B">
        <w:rPr>
          <w:rFonts w:ascii="Arial" w:eastAsia="Calibri" w:hAnsi="Arial" w:cs="Arial"/>
          <w:b/>
          <w:color w:val="000000" w:themeColor="text1"/>
        </w:rPr>
        <w:t xml:space="preserve">Jesús Javier Manotas </w:t>
      </w:r>
      <w:proofErr w:type="spellStart"/>
      <w:r w:rsidR="00B46B5A" w:rsidRPr="0067709B">
        <w:rPr>
          <w:rFonts w:ascii="Arial" w:eastAsia="Calibri" w:hAnsi="Arial" w:cs="Arial"/>
          <w:b/>
          <w:color w:val="000000" w:themeColor="text1"/>
        </w:rPr>
        <w:t>Ort</w:t>
      </w:r>
      <w:r w:rsidR="00B37B3F">
        <w:rPr>
          <w:rFonts w:ascii="Arial" w:eastAsia="Calibri" w:hAnsi="Arial" w:cs="Arial"/>
          <w:b/>
          <w:color w:val="000000" w:themeColor="text1"/>
        </w:rPr>
        <w:t>í</w:t>
      </w:r>
      <w:r w:rsidR="00B46B5A" w:rsidRPr="0067709B">
        <w:rPr>
          <w:rFonts w:ascii="Arial" w:eastAsia="Calibri" w:hAnsi="Arial" w:cs="Arial"/>
          <w:b/>
          <w:color w:val="000000" w:themeColor="text1"/>
        </w:rPr>
        <w:t>z</w:t>
      </w:r>
      <w:proofErr w:type="spellEnd"/>
      <w:r w:rsidRPr="0067709B">
        <w:rPr>
          <w:rFonts w:ascii="Arial" w:eastAsia="Calibri" w:hAnsi="Arial" w:cs="Arial"/>
          <w:b/>
          <w:color w:val="000000" w:themeColor="text1"/>
        </w:rPr>
        <w:t xml:space="preserve">                                           </w:t>
      </w:r>
    </w:p>
    <w:p w14:paraId="27E121DE" w14:textId="77777777" w:rsidR="000D221C" w:rsidRPr="0067709B" w:rsidRDefault="000D221C" w:rsidP="00AF274F">
      <w:pPr>
        <w:spacing w:after="0" w:line="276" w:lineRule="auto"/>
        <w:rPr>
          <w:rFonts w:ascii="Arial" w:eastAsia="Calibri" w:hAnsi="Arial" w:cs="Arial"/>
          <w:color w:val="000000" w:themeColor="text1"/>
          <w:lang w:val="es-ES"/>
        </w:rPr>
      </w:pPr>
      <w:r w:rsidRPr="0067709B">
        <w:rPr>
          <w:rFonts w:ascii="Arial" w:eastAsia="Calibri" w:hAnsi="Arial" w:cs="Arial"/>
          <w:color w:val="000000" w:themeColor="text1"/>
          <w:lang w:val="es-ES"/>
        </w:rPr>
        <w:t>Bogotá D.C.</w:t>
      </w:r>
    </w:p>
    <w:p w14:paraId="02DD089C" w14:textId="77777777" w:rsidR="000D221C" w:rsidRPr="0067709B" w:rsidRDefault="000D221C" w:rsidP="00AF274F">
      <w:pPr>
        <w:spacing w:after="0" w:line="276" w:lineRule="auto"/>
        <w:rPr>
          <w:rFonts w:ascii="Arial" w:eastAsia="Calibri" w:hAnsi="Arial" w:cs="Arial"/>
          <w:color w:val="000000" w:themeColor="text1"/>
        </w:rPr>
      </w:pPr>
    </w:p>
    <w:p w14:paraId="38AD2E93" w14:textId="60A19E89" w:rsidR="000D221C" w:rsidRPr="0067709B" w:rsidRDefault="000D221C" w:rsidP="00AF274F">
      <w:pPr>
        <w:spacing w:after="0" w:line="276" w:lineRule="auto"/>
        <w:ind w:left="2694"/>
        <w:rPr>
          <w:rFonts w:ascii="Arial" w:eastAsia="Calibri" w:hAnsi="Arial" w:cs="Arial"/>
          <w:b/>
          <w:color w:val="000000" w:themeColor="text1"/>
        </w:rPr>
      </w:pPr>
      <w:r w:rsidRPr="0067709B">
        <w:rPr>
          <w:rFonts w:ascii="Arial" w:eastAsia="Calibri" w:hAnsi="Arial" w:cs="Arial"/>
          <w:b/>
          <w:color w:val="000000" w:themeColor="text1"/>
        </w:rPr>
        <w:t xml:space="preserve">Concepto C – </w:t>
      </w:r>
      <w:r w:rsidR="0073446F">
        <w:rPr>
          <w:rFonts w:ascii="Arial" w:eastAsia="Calibri" w:hAnsi="Arial" w:cs="Arial"/>
          <w:b/>
          <w:color w:val="000000" w:themeColor="text1"/>
        </w:rPr>
        <w:t>051</w:t>
      </w:r>
      <w:r w:rsidRPr="0067709B">
        <w:rPr>
          <w:rFonts w:ascii="Arial" w:eastAsia="Calibri" w:hAnsi="Arial" w:cs="Arial"/>
          <w:b/>
          <w:color w:val="000000" w:themeColor="text1"/>
        </w:rPr>
        <w:t xml:space="preserve"> de 202</w:t>
      </w:r>
      <w:r w:rsidR="00F36732">
        <w:rPr>
          <w:rFonts w:ascii="Arial" w:eastAsia="Calibri" w:hAnsi="Arial" w:cs="Arial"/>
          <w:b/>
          <w:color w:val="000000" w:themeColor="text1"/>
        </w:rPr>
        <w:t>3</w:t>
      </w:r>
    </w:p>
    <w:p w14:paraId="66E090F2" w14:textId="77777777" w:rsidR="000D221C" w:rsidRPr="0067709B" w:rsidRDefault="000D221C" w:rsidP="00AF274F">
      <w:pPr>
        <w:spacing w:after="0" w:line="276" w:lineRule="auto"/>
        <w:rPr>
          <w:rFonts w:ascii="Arial" w:eastAsia="Calibri" w:hAnsi="Arial" w:cs="Arial"/>
          <w:color w:val="000000" w:themeColor="text1"/>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D221C" w:rsidRPr="0067709B" w14:paraId="49C84EC7" w14:textId="77777777" w:rsidTr="009E14D5">
        <w:tc>
          <w:tcPr>
            <w:tcW w:w="2689" w:type="dxa"/>
            <w:hideMark/>
          </w:tcPr>
          <w:p w14:paraId="5025820F" w14:textId="713EF7A1" w:rsidR="000D221C" w:rsidRPr="0067709B" w:rsidRDefault="000D221C" w:rsidP="00AF274F">
            <w:pPr>
              <w:spacing w:line="276" w:lineRule="auto"/>
              <w:rPr>
                <w:rFonts w:ascii="Arial" w:eastAsia="Calibri" w:hAnsi="Arial" w:cs="Arial"/>
                <w:color w:val="000000" w:themeColor="text1"/>
              </w:rPr>
            </w:pPr>
            <w:r w:rsidRPr="0067709B">
              <w:rPr>
                <w:rFonts w:ascii="Arial" w:eastAsia="Calibri" w:hAnsi="Arial" w:cs="Arial"/>
                <w:b/>
                <w:color w:val="000000" w:themeColor="text1"/>
              </w:rPr>
              <w:t>Temas:</w:t>
            </w:r>
            <w:r w:rsidRPr="0067709B">
              <w:rPr>
                <w:rFonts w:ascii="Arial" w:eastAsia="Calibri" w:hAnsi="Arial" w:cs="Arial"/>
                <w:color w:val="000000" w:themeColor="text1"/>
              </w:rPr>
              <w:t xml:space="preserve"> </w:t>
            </w:r>
          </w:p>
        </w:tc>
        <w:tc>
          <w:tcPr>
            <w:tcW w:w="6237" w:type="dxa"/>
            <w:hideMark/>
          </w:tcPr>
          <w:p w14:paraId="49FB53BD" w14:textId="45EB1F56" w:rsidR="000D221C" w:rsidRPr="0067709B" w:rsidRDefault="000D221C" w:rsidP="00AF274F">
            <w:pPr>
              <w:spacing w:line="276" w:lineRule="auto"/>
              <w:jc w:val="both"/>
              <w:rPr>
                <w:rFonts w:ascii="Arial" w:hAnsi="Arial" w:cs="Arial"/>
                <w:color w:val="000000" w:themeColor="text1"/>
              </w:rPr>
            </w:pPr>
            <w:r w:rsidRPr="0067709B">
              <w:rPr>
                <w:rFonts w:ascii="Arial" w:eastAsia="Arial" w:hAnsi="Arial" w:cs="Arial"/>
                <w:color w:val="000000" w:themeColor="text1"/>
              </w:rPr>
              <w:t>DOCUMENTOS TIPO –</w:t>
            </w:r>
            <w:r w:rsidRPr="0067709B">
              <w:rPr>
                <w:rFonts w:ascii="Arial" w:hAnsi="Arial" w:cs="Arial"/>
                <w:color w:val="000000" w:themeColor="text1"/>
                <w:lang w:val="es-ES_tradnl"/>
              </w:rPr>
              <w:t xml:space="preserve"> </w:t>
            </w:r>
            <w:r>
              <w:rPr>
                <w:rFonts w:ascii="Arial" w:hAnsi="Arial" w:cs="Arial"/>
                <w:color w:val="000000" w:themeColor="text1"/>
                <w:lang w:val="es-ES_tradnl"/>
              </w:rPr>
              <w:t xml:space="preserve">Fundamento normativo – Ámbito de aplicación – DOCUMENTOS TIPO – </w:t>
            </w:r>
            <w:r w:rsidRPr="0067709B">
              <w:rPr>
                <w:rFonts w:ascii="Arial" w:eastAsia="Calibri" w:hAnsi="Arial" w:cs="Arial"/>
                <w:bCs/>
                <w:color w:val="000000" w:themeColor="text1"/>
                <w:szCs w:val="24"/>
                <w:lang w:eastAsia="es-ES_tradnl"/>
              </w:rPr>
              <w:t xml:space="preserve">Obligatoriedad – Inalterabilidad / </w:t>
            </w:r>
            <w:r w:rsidR="001B163C" w:rsidRPr="001C31BB">
              <w:rPr>
                <w:rFonts w:ascii="Arial" w:eastAsia="Calibri" w:hAnsi="Arial" w:cs="Arial"/>
                <w:color w:val="000000" w:themeColor="text1"/>
                <w:lang w:val="es-ES_tradnl"/>
              </w:rPr>
              <w:t>CONCURSO DE MÉRITOS – Concepto – Modalidades</w:t>
            </w:r>
            <w:r w:rsidR="001B163C">
              <w:rPr>
                <w:rFonts w:ascii="Arial" w:eastAsia="Calibri" w:hAnsi="Arial" w:cs="Arial"/>
                <w:color w:val="000000" w:themeColor="text1"/>
                <w:lang w:val="es-ES_tradnl"/>
              </w:rPr>
              <w:t xml:space="preserve"> / </w:t>
            </w:r>
            <w:r w:rsidR="001B163C" w:rsidRPr="001C31BB">
              <w:rPr>
                <w:rFonts w:ascii="Arial" w:eastAsia="Calibri" w:hAnsi="Arial" w:cs="Arial"/>
                <w:color w:val="000000" w:themeColor="text1"/>
                <w:lang w:val="es-ES_tradnl"/>
              </w:rPr>
              <w:t>CONCURSO DE MÉRITOS –</w:t>
            </w:r>
            <w:r w:rsidR="001B163C">
              <w:rPr>
                <w:rFonts w:ascii="Arial" w:eastAsia="Calibri" w:hAnsi="Arial" w:cs="Arial"/>
                <w:color w:val="000000" w:themeColor="text1"/>
                <w:lang w:val="es-ES_tradnl"/>
              </w:rPr>
              <w:t xml:space="preserve"> Documentos tipo -</w:t>
            </w:r>
            <w:r w:rsidR="001B163C" w:rsidRPr="001C31BB">
              <w:rPr>
                <w:rFonts w:ascii="Arial" w:eastAsia="Calibri" w:hAnsi="Arial" w:cs="Arial"/>
                <w:color w:val="000000" w:themeColor="text1"/>
                <w:lang w:val="es-ES_tradnl"/>
              </w:rPr>
              <w:t xml:space="preserve"> – Infraestructura de transporte – Resolución 326 de 2022</w:t>
            </w:r>
            <w:r w:rsidR="001B163C">
              <w:rPr>
                <w:rFonts w:ascii="Arial" w:eastAsia="Calibri" w:hAnsi="Arial" w:cs="Arial"/>
                <w:color w:val="000000" w:themeColor="text1"/>
                <w:lang w:val="es-ES_tradnl"/>
              </w:rPr>
              <w:t xml:space="preserve"> / </w:t>
            </w:r>
            <w:r w:rsidR="001B163C" w:rsidRPr="001C31BB">
              <w:rPr>
                <w:rFonts w:ascii="Arial" w:eastAsia="Calibri" w:hAnsi="Arial" w:cs="Arial"/>
                <w:color w:val="000000" w:themeColor="text1"/>
                <w:lang w:val="es-ES_tradnl"/>
              </w:rPr>
              <w:t>DOCUMENTOS TIPO – Concurso de méritos – Abierto – Sin precalificación – Resolución 326 de 2022</w:t>
            </w:r>
          </w:p>
        </w:tc>
      </w:tr>
      <w:tr w:rsidR="000D221C" w:rsidRPr="0067709B" w14:paraId="4B0B2053" w14:textId="77777777" w:rsidTr="009E14D5">
        <w:tc>
          <w:tcPr>
            <w:tcW w:w="2689" w:type="dxa"/>
          </w:tcPr>
          <w:p w14:paraId="7FCABDB3" w14:textId="77777777" w:rsidR="00A3731A" w:rsidRDefault="00A3731A" w:rsidP="00AF274F">
            <w:pPr>
              <w:spacing w:line="276" w:lineRule="auto"/>
              <w:rPr>
                <w:rFonts w:ascii="Arial" w:eastAsia="Calibri" w:hAnsi="Arial" w:cs="Arial"/>
                <w:color w:val="000000" w:themeColor="text1"/>
              </w:rPr>
            </w:pPr>
          </w:p>
          <w:p w14:paraId="24830F52" w14:textId="4252DBE5" w:rsidR="000D221C" w:rsidRPr="00A3731A" w:rsidRDefault="000D221C" w:rsidP="00AF274F">
            <w:pPr>
              <w:spacing w:line="276" w:lineRule="auto"/>
              <w:rPr>
                <w:rFonts w:ascii="Arial" w:eastAsia="Calibri" w:hAnsi="Arial" w:cs="Arial"/>
                <w:b/>
                <w:bCs/>
                <w:color w:val="000000" w:themeColor="text1"/>
              </w:rPr>
            </w:pPr>
            <w:r w:rsidRPr="00A3731A">
              <w:rPr>
                <w:rFonts w:ascii="Arial" w:eastAsia="Calibri" w:hAnsi="Arial" w:cs="Arial"/>
                <w:b/>
                <w:bCs/>
                <w:color w:val="000000" w:themeColor="text1"/>
              </w:rPr>
              <w:t>Radicación:</w:t>
            </w:r>
          </w:p>
        </w:tc>
        <w:tc>
          <w:tcPr>
            <w:tcW w:w="6237" w:type="dxa"/>
          </w:tcPr>
          <w:p w14:paraId="66CAC9DF" w14:textId="77777777" w:rsidR="00A3731A" w:rsidRDefault="00A3731A" w:rsidP="00AF274F">
            <w:pPr>
              <w:spacing w:line="276" w:lineRule="auto"/>
              <w:ind w:left="1"/>
              <w:jc w:val="both"/>
              <w:rPr>
                <w:rFonts w:ascii="Arial" w:eastAsia="Calibri" w:hAnsi="Arial" w:cs="Arial"/>
                <w:color w:val="000000" w:themeColor="text1"/>
              </w:rPr>
            </w:pPr>
          </w:p>
          <w:p w14:paraId="52EF8D43" w14:textId="38866A02" w:rsidR="000D221C" w:rsidRPr="0067709B" w:rsidRDefault="000D221C" w:rsidP="00AF274F">
            <w:pPr>
              <w:spacing w:line="276" w:lineRule="auto"/>
              <w:ind w:left="1"/>
              <w:jc w:val="both"/>
              <w:rPr>
                <w:rFonts w:ascii="Arial" w:eastAsia="Calibri" w:hAnsi="Arial" w:cs="Arial"/>
                <w:color w:val="000000" w:themeColor="text1"/>
              </w:rPr>
            </w:pPr>
            <w:r w:rsidRPr="0067709B">
              <w:rPr>
                <w:rFonts w:ascii="Arial" w:eastAsia="Calibri" w:hAnsi="Arial" w:cs="Arial"/>
                <w:color w:val="000000" w:themeColor="text1"/>
              </w:rPr>
              <w:t xml:space="preserve">Respuesta a la consulta </w:t>
            </w:r>
            <w:r w:rsidR="00C70526">
              <w:rPr>
                <w:rFonts w:ascii="Arial" w:eastAsia="Calibri" w:hAnsi="Arial" w:cs="Arial"/>
                <w:color w:val="000000" w:themeColor="text1"/>
              </w:rPr>
              <w:t xml:space="preserve">No. </w:t>
            </w:r>
            <w:r w:rsidRPr="0067709B">
              <w:rPr>
                <w:rFonts w:ascii="Arial" w:eastAsia="Calibri" w:hAnsi="Arial" w:cs="Arial"/>
                <w:color w:val="000000" w:themeColor="text1"/>
              </w:rPr>
              <w:t>P202</w:t>
            </w:r>
            <w:r w:rsidR="00C70526">
              <w:rPr>
                <w:rFonts w:ascii="Arial" w:eastAsia="Calibri" w:hAnsi="Arial" w:cs="Arial"/>
                <w:color w:val="000000" w:themeColor="text1"/>
              </w:rPr>
              <w:t>30301001857</w:t>
            </w:r>
          </w:p>
        </w:tc>
      </w:tr>
    </w:tbl>
    <w:p w14:paraId="04E3F9F4" w14:textId="77777777" w:rsidR="000D221C" w:rsidRPr="0067709B" w:rsidRDefault="000D221C" w:rsidP="00AF274F">
      <w:pPr>
        <w:spacing w:after="0" w:line="276" w:lineRule="auto"/>
        <w:rPr>
          <w:rFonts w:ascii="Arial" w:eastAsia="Calibri" w:hAnsi="Arial" w:cs="Arial"/>
          <w:color w:val="000000" w:themeColor="text1"/>
        </w:rPr>
      </w:pPr>
    </w:p>
    <w:p w14:paraId="38F8CB66" w14:textId="77777777" w:rsidR="000D221C" w:rsidRPr="0067709B" w:rsidRDefault="000D221C" w:rsidP="00AF274F">
      <w:pPr>
        <w:spacing w:after="0" w:line="276" w:lineRule="auto"/>
        <w:rPr>
          <w:rFonts w:ascii="Arial" w:eastAsia="Calibri" w:hAnsi="Arial" w:cs="Arial"/>
          <w:color w:val="000000" w:themeColor="text1"/>
        </w:rPr>
      </w:pPr>
    </w:p>
    <w:p w14:paraId="3B9FE604" w14:textId="77777777" w:rsidR="000D221C" w:rsidRPr="0067709B" w:rsidRDefault="000D221C" w:rsidP="00AF274F">
      <w:pPr>
        <w:spacing w:after="0" w:line="276" w:lineRule="auto"/>
        <w:rPr>
          <w:rFonts w:ascii="Arial" w:eastAsia="Calibri" w:hAnsi="Arial" w:cs="Arial"/>
          <w:color w:val="000000" w:themeColor="text1"/>
        </w:rPr>
      </w:pPr>
      <w:r w:rsidRPr="0067709B">
        <w:rPr>
          <w:rFonts w:ascii="Arial" w:eastAsia="Calibri" w:hAnsi="Arial" w:cs="Arial"/>
          <w:color w:val="000000" w:themeColor="text1"/>
        </w:rPr>
        <w:t>Estimado señor Manotas:</w:t>
      </w:r>
    </w:p>
    <w:p w14:paraId="0047F8C1" w14:textId="77777777" w:rsidR="000D221C" w:rsidRPr="0067709B" w:rsidRDefault="000D221C" w:rsidP="00AF274F">
      <w:pPr>
        <w:spacing w:after="0" w:line="276" w:lineRule="auto"/>
        <w:rPr>
          <w:rFonts w:ascii="Arial" w:eastAsia="Calibri" w:hAnsi="Arial" w:cs="Arial"/>
          <w:color w:val="000000" w:themeColor="text1"/>
        </w:rPr>
      </w:pPr>
    </w:p>
    <w:p w14:paraId="641EBAA9" w14:textId="65393533" w:rsidR="000D221C" w:rsidRPr="0067709B" w:rsidRDefault="000D221C" w:rsidP="00AF274F">
      <w:pPr>
        <w:spacing w:after="0" w:line="276" w:lineRule="auto"/>
        <w:jc w:val="both"/>
        <w:rPr>
          <w:rFonts w:ascii="Arial" w:eastAsia="Calibri" w:hAnsi="Arial" w:cs="Arial"/>
          <w:color w:val="000000" w:themeColor="text1"/>
        </w:rPr>
      </w:pPr>
      <w:r w:rsidRPr="0067709B">
        <w:rPr>
          <w:rFonts w:ascii="Arial" w:eastAsia="Calibri" w:hAnsi="Arial" w:cs="Arial"/>
          <w:color w:val="000000" w:themeColor="text1"/>
        </w:rPr>
        <w:t>En ejercicio de la competencia otorgada por el numeral 8</w:t>
      </w:r>
      <w:r w:rsidR="00BD18C8">
        <w:rPr>
          <w:rFonts w:ascii="Arial" w:eastAsia="Calibri" w:hAnsi="Arial" w:cs="Arial"/>
          <w:color w:val="000000" w:themeColor="text1"/>
        </w:rPr>
        <w:t>°</w:t>
      </w:r>
      <w:r w:rsidRPr="0067709B">
        <w:rPr>
          <w:rFonts w:ascii="Arial" w:eastAsia="Calibri" w:hAnsi="Arial" w:cs="Arial"/>
          <w:color w:val="000000" w:themeColor="text1"/>
        </w:rPr>
        <w:t xml:space="preserve"> del artículo 11 y el numeral 5</w:t>
      </w:r>
      <w:r w:rsidR="00BD18C8">
        <w:rPr>
          <w:rFonts w:ascii="Arial" w:eastAsia="Calibri" w:hAnsi="Arial" w:cs="Arial"/>
          <w:color w:val="000000" w:themeColor="text1"/>
        </w:rPr>
        <w:t>°</w:t>
      </w:r>
      <w:r w:rsidRPr="0067709B">
        <w:rPr>
          <w:rFonts w:ascii="Arial" w:eastAsia="Calibri" w:hAnsi="Arial" w:cs="Arial"/>
          <w:color w:val="000000" w:themeColor="text1"/>
        </w:rPr>
        <w:t xml:space="preserve"> del artículo 3 del Decreto Ley 4170 de 2011, la Agencia Nacional de Contratación Pública – Colombia Compra Eficiente responde su consulta del 28 de </w:t>
      </w:r>
      <w:r w:rsidR="007504B0">
        <w:rPr>
          <w:rFonts w:ascii="Arial" w:eastAsia="Calibri" w:hAnsi="Arial" w:cs="Arial"/>
          <w:color w:val="000000" w:themeColor="text1"/>
        </w:rPr>
        <w:t>febrero</w:t>
      </w:r>
      <w:r w:rsidRPr="0067709B">
        <w:rPr>
          <w:rFonts w:ascii="Arial" w:eastAsia="Calibri" w:hAnsi="Arial" w:cs="Arial"/>
          <w:color w:val="000000" w:themeColor="text1"/>
        </w:rPr>
        <w:t xml:space="preserve"> de 202</w:t>
      </w:r>
      <w:r w:rsidR="007504B0">
        <w:rPr>
          <w:rFonts w:ascii="Arial" w:eastAsia="Calibri" w:hAnsi="Arial" w:cs="Arial"/>
          <w:color w:val="000000" w:themeColor="text1"/>
        </w:rPr>
        <w:t>3</w:t>
      </w:r>
      <w:r w:rsidRPr="0067709B">
        <w:rPr>
          <w:rFonts w:ascii="Arial" w:eastAsia="Calibri" w:hAnsi="Arial" w:cs="Arial"/>
          <w:color w:val="000000" w:themeColor="text1"/>
        </w:rPr>
        <w:t>.</w:t>
      </w:r>
    </w:p>
    <w:p w14:paraId="09EBC83B" w14:textId="77777777" w:rsidR="000D221C" w:rsidRPr="0067709B" w:rsidRDefault="000D221C" w:rsidP="00AF274F">
      <w:pPr>
        <w:spacing w:after="0" w:line="276" w:lineRule="auto"/>
        <w:jc w:val="both"/>
        <w:rPr>
          <w:rFonts w:ascii="Arial" w:eastAsia="Calibri" w:hAnsi="Arial" w:cs="Arial"/>
          <w:color w:val="000000" w:themeColor="text1"/>
        </w:rPr>
      </w:pPr>
    </w:p>
    <w:p w14:paraId="356D3156" w14:textId="77777777" w:rsidR="000D221C" w:rsidRPr="0067709B" w:rsidRDefault="000D221C" w:rsidP="00AF274F">
      <w:pPr>
        <w:pStyle w:val="Prrafodelista"/>
        <w:numPr>
          <w:ilvl w:val="0"/>
          <w:numId w:val="4"/>
        </w:numPr>
        <w:tabs>
          <w:tab w:val="left" w:pos="284"/>
        </w:tabs>
        <w:spacing w:after="0" w:line="276" w:lineRule="auto"/>
        <w:ind w:left="360"/>
        <w:jc w:val="both"/>
        <w:rPr>
          <w:rFonts w:ascii="Arial" w:eastAsia="Calibri" w:hAnsi="Arial" w:cs="Arial"/>
          <w:b/>
          <w:color w:val="000000" w:themeColor="text1"/>
        </w:rPr>
      </w:pPr>
      <w:r w:rsidRPr="0067709B">
        <w:rPr>
          <w:rFonts w:ascii="Arial" w:eastAsia="Calibri" w:hAnsi="Arial" w:cs="Arial"/>
          <w:b/>
          <w:color w:val="000000" w:themeColor="text1"/>
        </w:rPr>
        <w:t>Problema planteado</w:t>
      </w:r>
      <w:bookmarkStart w:id="2" w:name="_Hlk68679800"/>
    </w:p>
    <w:p w14:paraId="390A8908" w14:textId="77777777" w:rsidR="000D221C" w:rsidRPr="0067709B" w:rsidRDefault="000D221C" w:rsidP="00AF274F">
      <w:pPr>
        <w:pStyle w:val="Prrafodelista"/>
        <w:tabs>
          <w:tab w:val="left" w:pos="284"/>
        </w:tabs>
        <w:spacing w:after="0" w:line="276" w:lineRule="auto"/>
        <w:jc w:val="both"/>
        <w:rPr>
          <w:rFonts w:ascii="Arial" w:eastAsia="Calibri" w:hAnsi="Arial" w:cs="Arial"/>
          <w:b/>
          <w:color w:val="000000" w:themeColor="text1"/>
        </w:rPr>
      </w:pPr>
    </w:p>
    <w:p w14:paraId="4DDDADE4" w14:textId="6B7B41F3" w:rsidR="000D221C" w:rsidRDefault="000D221C" w:rsidP="001D0497">
      <w:pPr>
        <w:pStyle w:val="NormalWeb"/>
        <w:shd w:val="clear" w:color="auto" w:fill="FFFFFF"/>
        <w:spacing w:before="0" w:beforeAutospacing="0" w:after="0" w:afterAutospacing="0" w:line="276" w:lineRule="auto"/>
        <w:jc w:val="both"/>
        <w:rPr>
          <w:rFonts w:ascii="Arial" w:eastAsia="Calibri" w:hAnsi="Arial" w:cs="Arial"/>
          <w:color w:val="000000" w:themeColor="text1"/>
          <w:sz w:val="22"/>
          <w:szCs w:val="22"/>
          <w:lang w:val="es-ES"/>
        </w:rPr>
      </w:pPr>
      <w:r w:rsidRPr="0067709B">
        <w:rPr>
          <w:rFonts w:ascii="Arial" w:eastAsia="Calibri" w:hAnsi="Arial" w:cs="Arial"/>
          <w:color w:val="000000" w:themeColor="text1"/>
          <w:sz w:val="22"/>
        </w:rPr>
        <w:t xml:space="preserve">En relación </w:t>
      </w:r>
      <w:r w:rsidR="00E907B4">
        <w:rPr>
          <w:rFonts w:ascii="Arial" w:eastAsia="Calibri" w:hAnsi="Arial" w:cs="Arial"/>
          <w:color w:val="000000" w:themeColor="text1"/>
          <w:sz w:val="22"/>
        </w:rPr>
        <w:t>con los</w:t>
      </w:r>
      <w:r w:rsidR="00243DFD">
        <w:rPr>
          <w:rFonts w:ascii="Arial" w:eastAsia="Calibri" w:hAnsi="Arial" w:cs="Arial"/>
          <w:color w:val="000000" w:themeColor="text1"/>
          <w:sz w:val="22"/>
        </w:rPr>
        <w:t xml:space="preserve"> conceptos C-632</w:t>
      </w:r>
      <w:r w:rsidR="006B450D">
        <w:rPr>
          <w:rFonts w:ascii="Arial" w:eastAsia="Calibri" w:hAnsi="Arial" w:cs="Arial"/>
          <w:color w:val="000000" w:themeColor="text1"/>
          <w:sz w:val="22"/>
        </w:rPr>
        <w:t xml:space="preserve"> de 19 de noviembre </w:t>
      </w:r>
      <w:r w:rsidR="00243DFD">
        <w:rPr>
          <w:rFonts w:ascii="Arial" w:eastAsia="Calibri" w:hAnsi="Arial" w:cs="Arial"/>
          <w:color w:val="000000" w:themeColor="text1"/>
          <w:sz w:val="22"/>
        </w:rPr>
        <w:t>de 2021 y</w:t>
      </w:r>
      <w:r w:rsidR="001D0497">
        <w:rPr>
          <w:rFonts w:ascii="Arial" w:eastAsia="Calibri" w:hAnsi="Arial" w:cs="Arial"/>
          <w:color w:val="000000" w:themeColor="text1"/>
          <w:sz w:val="22"/>
        </w:rPr>
        <w:t xml:space="preserve"> C-862 de </w:t>
      </w:r>
      <w:r w:rsidR="00E25AF4">
        <w:rPr>
          <w:rFonts w:ascii="Arial" w:eastAsia="Calibri" w:hAnsi="Arial" w:cs="Arial"/>
          <w:color w:val="000000" w:themeColor="text1"/>
          <w:sz w:val="22"/>
        </w:rPr>
        <w:t xml:space="preserve">16 de diciembre de </w:t>
      </w:r>
      <w:r w:rsidR="001D0497">
        <w:rPr>
          <w:rFonts w:ascii="Arial" w:eastAsia="Calibri" w:hAnsi="Arial" w:cs="Arial"/>
          <w:color w:val="000000" w:themeColor="text1"/>
          <w:sz w:val="22"/>
        </w:rPr>
        <w:t>202</w:t>
      </w:r>
      <w:r w:rsidR="00E25AF4">
        <w:rPr>
          <w:rFonts w:ascii="Arial" w:eastAsia="Calibri" w:hAnsi="Arial" w:cs="Arial"/>
          <w:color w:val="000000" w:themeColor="text1"/>
          <w:sz w:val="22"/>
        </w:rPr>
        <w:t>2</w:t>
      </w:r>
      <w:r w:rsidR="001D0497">
        <w:rPr>
          <w:rFonts w:ascii="Arial" w:eastAsia="Calibri" w:hAnsi="Arial" w:cs="Arial"/>
          <w:color w:val="000000" w:themeColor="text1"/>
          <w:sz w:val="22"/>
        </w:rPr>
        <w:t xml:space="preserve"> emitidos por esta Agencia</w:t>
      </w:r>
      <w:r w:rsidR="00E25AF4">
        <w:rPr>
          <w:rFonts w:ascii="Arial" w:eastAsia="Calibri" w:hAnsi="Arial" w:cs="Arial"/>
          <w:color w:val="000000" w:themeColor="text1"/>
          <w:sz w:val="22"/>
        </w:rPr>
        <w:t>,</w:t>
      </w:r>
      <w:r w:rsidRPr="0067709B">
        <w:rPr>
          <w:rFonts w:ascii="Arial" w:eastAsia="Calibri" w:hAnsi="Arial" w:cs="Arial"/>
          <w:color w:val="000000" w:themeColor="text1"/>
          <w:sz w:val="22"/>
        </w:rPr>
        <w:t xml:space="preserve"> </w:t>
      </w:r>
      <w:r w:rsidRPr="0067709B">
        <w:rPr>
          <w:rFonts w:ascii="Arial" w:eastAsia="Calibri" w:hAnsi="Arial" w:cs="Arial"/>
          <w:color w:val="000000" w:themeColor="text1"/>
          <w:sz w:val="22"/>
          <w:szCs w:val="22"/>
          <w:lang w:val="es-ES"/>
        </w:rPr>
        <w:t xml:space="preserve">usted </w:t>
      </w:r>
      <w:r w:rsidR="008E1AD5">
        <w:rPr>
          <w:rFonts w:ascii="Arial" w:eastAsia="Calibri" w:hAnsi="Arial" w:cs="Arial"/>
          <w:color w:val="000000" w:themeColor="text1"/>
          <w:sz w:val="22"/>
          <w:szCs w:val="22"/>
          <w:lang w:val="es-ES"/>
        </w:rPr>
        <w:t>solicita</w:t>
      </w:r>
      <w:r w:rsidR="00495551">
        <w:rPr>
          <w:rFonts w:ascii="Arial" w:eastAsia="Calibri" w:hAnsi="Arial" w:cs="Arial"/>
          <w:color w:val="000000" w:themeColor="text1"/>
          <w:sz w:val="22"/>
          <w:szCs w:val="22"/>
          <w:lang w:val="es-ES"/>
        </w:rPr>
        <w:t xml:space="preserve"> se aclare </w:t>
      </w:r>
      <w:r w:rsidR="00920361">
        <w:rPr>
          <w:rFonts w:ascii="Arial" w:eastAsia="Calibri" w:hAnsi="Arial" w:cs="Arial"/>
          <w:color w:val="000000" w:themeColor="text1"/>
          <w:sz w:val="22"/>
          <w:szCs w:val="22"/>
          <w:lang w:val="es-ES"/>
        </w:rPr>
        <w:t xml:space="preserve">el último concepto o se </w:t>
      </w:r>
      <w:r w:rsidR="00D36D23">
        <w:rPr>
          <w:rFonts w:ascii="Arial" w:eastAsia="Calibri" w:hAnsi="Arial" w:cs="Arial"/>
          <w:color w:val="000000" w:themeColor="text1"/>
          <w:sz w:val="22"/>
          <w:szCs w:val="22"/>
          <w:lang w:val="es-ES"/>
        </w:rPr>
        <w:t xml:space="preserve">unifique la postura adoptada </w:t>
      </w:r>
      <w:r w:rsidR="00FC550E">
        <w:rPr>
          <w:rFonts w:ascii="Arial" w:eastAsia="Calibri" w:hAnsi="Arial" w:cs="Arial"/>
          <w:color w:val="000000" w:themeColor="text1"/>
          <w:sz w:val="22"/>
          <w:szCs w:val="22"/>
          <w:lang w:val="es-ES"/>
        </w:rPr>
        <w:t xml:space="preserve">por la entidad respecto de “la aplicación de la </w:t>
      </w:r>
      <w:r w:rsidR="002746A9">
        <w:rPr>
          <w:rFonts w:ascii="Arial" w:eastAsia="Calibri" w:hAnsi="Arial" w:cs="Arial"/>
          <w:color w:val="000000" w:themeColor="text1"/>
          <w:sz w:val="22"/>
          <w:szCs w:val="22"/>
          <w:lang w:val="es-ES"/>
        </w:rPr>
        <w:t>modalidad</w:t>
      </w:r>
      <w:r w:rsidR="00FC550E">
        <w:rPr>
          <w:rFonts w:ascii="Arial" w:eastAsia="Calibri" w:hAnsi="Arial" w:cs="Arial"/>
          <w:color w:val="000000" w:themeColor="text1"/>
          <w:sz w:val="22"/>
          <w:szCs w:val="22"/>
          <w:lang w:val="es-ES"/>
        </w:rPr>
        <w:t xml:space="preserve"> de selección de concurso de méritos con precalificación para escog</w:t>
      </w:r>
      <w:r w:rsidR="00E907B4">
        <w:rPr>
          <w:rFonts w:ascii="Arial" w:eastAsia="Calibri" w:hAnsi="Arial" w:cs="Arial"/>
          <w:color w:val="000000" w:themeColor="text1"/>
          <w:sz w:val="22"/>
          <w:szCs w:val="22"/>
          <w:lang w:val="es-ES"/>
        </w:rPr>
        <w:t xml:space="preserve">er los interventores de contrato de obra pública de infraestructura de </w:t>
      </w:r>
      <w:r w:rsidR="002746A9">
        <w:rPr>
          <w:rFonts w:ascii="Arial" w:eastAsia="Calibri" w:hAnsi="Arial" w:cs="Arial"/>
          <w:color w:val="000000" w:themeColor="text1"/>
          <w:sz w:val="22"/>
          <w:szCs w:val="22"/>
          <w:lang w:val="es-ES"/>
        </w:rPr>
        <w:t>transporte</w:t>
      </w:r>
      <w:r w:rsidR="00102847">
        <w:rPr>
          <w:rFonts w:ascii="Arial" w:eastAsia="Calibri" w:hAnsi="Arial" w:cs="Arial"/>
          <w:color w:val="000000" w:themeColor="text1"/>
          <w:sz w:val="22"/>
          <w:szCs w:val="22"/>
          <w:lang w:val="es-ES"/>
        </w:rPr>
        <w:t>”</w:t>
      </w:r>
      <w:r w:rsidR="003C1A13">
        <w:rPr>
          <w:rFonts w:ascii="Arial" w:eastAsia="Calibri" w:hAnsi="Arial" w:cs="Arial"/>
          <w:color w:val="000000" w:themeColor="text1"/>
          <w:sz w:val="22"/>
          <w:szCs w:val="22"/>
          <w:lang w:val="es-ES"/>
        </w:rPr>
        <w:t xml:space="preserve">, </w:t>
      </w:r>
      <w:r w:rsidR="00102847">
        <w:rPr>
          <w:rFonts w:ascii="Arial" w:eastAsia="Calibri" w:hAnsi="Arial" w:cs="Arial"/>
          <w:color w:val="000000" w:themeColor="text1"/>
          <w:sz w:val="22"/>
          <w:szCs w:val="22"/>
          <w:lang w:val="es-ES"/>
        </w:rPr>
        <w:t>al señalar que estos se contradicen entre sí</w:t>
      </w:r>
      <w:r w:rsidR="003C1A13">
        <w:rPr>
          <w:rFonts w:ascii="Arial" w:eastAsia="Calibri" w:hAnsi="Arial" w:cs="Arial"/>
          <w:color w:val="000000" w:themeColor="text1"/>
          <w:sz w:val="22"/>
          <w:szCs w:val="22"/>
          <w:lang w:val="es-ES"/>
        </w:rPr>
        <w:t>,</w:t>
      </w:r>
      <w:r w:rsidR="00102847">
        <w:rPr>
          <w:rFonts w:ascii="Arial" w:eastAsia="Calibri" w:hAnsi="Arial" w:cs="Arial"/>
          <w:color w:val="000000" w:themeColor="text1"/>
          <w:sz w:val="22"/>
          <w:szCs w:val="22"/>
          <w:lang w:val="es-ES"/>
        </w:rPr>
        <w:t xml:space="preserve"> y</w:t>
      </w:r>
      <w:r w:rsidR="003C1A13">
        <w:rPr>
          <w:rFonts w:ascii="Arial" w:eastAsia="Calibri" w:hAnsi="Arial" w:cs="Arial"/>
          <w:color w:val="000000" w:themeColor="text1"/>
          <w:sz w:val="22"/>
          <w:szCs w:val="22"/>
          <w:lang w:val="es-ES"/>
        </w:rPr>
        <w:t>,</w:t>
      </w:r>
      <w:r w:rsidR="00102847">
        <w:rPr>
          <w:rFonts w:ascii="Arial" w:eastAsia="Calibri" w:hAnsi="Arial" w:cs="Arial"/>
          <w:color w:val="000000" w:themeColor="text1"/>
          <w:sz w:val="22"/>
          <w:szCs w:val="22"/>
          <w:lang w:val="es-ES"/>
        </w:rPr>
        <w:t xml:space="preserve"> “</w:t>
      </w:r>
      <w:r w:rsidR="00A66693">
        <w:rPr>
          <w:rFonts w:ascii="Arial" w:eastAsia="Calibri" w:hAnsi="Arial" w:cs="Arial"/>
          <w:color w:val="000000" w:themeColor="text1"/>
          <w:sz w:val="22"/>
          <w:szCs w:val="22"/>
          <w:lang w:val="es-ES"/>
        </w:rPr>
        <w:t>ponen</w:t>
      </w:r>
      <w:r w:rsidR="00D84FB1">
        <w:rPr>
          <w:rFonts w:ascii="Arial" w:eastAsia="Calibri" w:hAnsi="Arial" w:cs="Arial"/>
          <w:color w:val="000000" w:themeColor="text1"/>
          <w:sz w:val="22"/>
          <w:szCs w:val="22"/>
          <w:lang w:val="es-ES"/>
        </w:rPr>
        <w:t xml:space="preserve"> en duda la legalidad de varios procesos de selección que han realizado las entidades estatales”</w:t>
      </w:r>
      <w:r w:rsidR="00AD7C02">
        <w:rPr>
          <w:rFonts w:ascii="Arial" w:eastAsia="Calibri" w:hAnsi="Arial" w:cs="Arial"/>
          <w:color w:val="000000" w:themeColor="text1"/>
          <w:sz w:val="22"/>
          <w:szCs w:val="22"/>
          <w:lang w:val="es-ES"/>
        </w:rPr>
        <w:t xml:space="preserve">, </w:t>
      </w:r>
      <w:r w:rsidR="00C01571">
        <w:rPr>
          <w:rFonts w:ascii="Arial" w:eastAsia="Calibri" w:hAnsi="Arial" w:cs="Arial"/>
          <w:color w:val="000000" w:themeColor="text1"/>
          <w:sz w:val="22"/>
          <w:szCs w:val="22"/>
          <w:lang w:val="es-ES"/>
        </w:rPr>
        <w:t>que han utilizado la modalidad de concurso de méritos con precalificación par</w:t>
      </w:r>
      <w:r w:rsidR="00621DA5">
        <w:rPr>
          <w:rFonts w:ascii="Arial" w:eastAsia="Calibri" w:hAnsi="Arial" w:cs="Arial"/>
          <w:color w:val="000000" w:themeColor="text1"/>
          <w:sz w:val="22"/>
          <w:szCs w:val="22"/>
          <w:lang w:val="es-ES"/>
        </w:rPr>
        <w:t>a contratar el objeto indicado,</w:t>
      </w:r>
      <w:r w:rsidR="00141D73">
        <w:rPr>
          <w:rFonts w:ascii="Arial" w:eastAsia="Calibri" w:hAnsi="Arial" w:cs="Arial"/>
          <w:color w:val="000000" w:themeColor="text1"/>
          <w:sz w:val="22"/>
          <w:szCs w:val="22"/>
          <w:lang w:val="es-ES"/>
        </w:rPr>
        <w:t xml:space="preserve"> encontrando que lo anterior </w:t>
      </w:r>
      <w:r w:rsidR="003C1A13">
        <w:rPr>
          <w:rFonts w:ascii="Arial" w:eastAsia="Calibri" w:hAnsi="Arial" w:cs="Arial"/>
          <w:color w:val="000000" w:themeColor="text1"/>
          <w:sz w:val="22"/>
          <w:szCs w:val="22"/>
          <w:lang w:val="es-ES"/>
        </w:rPr>
        <w:t>era permitido</w:t>
      </w:r>
      <w:r w:rsidR="00E55074">
        <w:rPr>
          <w:rFonts w:ascii="Arial" w:eastAsia="Calibri" w:hAnsi="Arial" w:cs="Arial"/>
          <w:color w:val="000000" w:themeColor="text1"/>
          <w:sz w:val="22"/>
          <w:szCs w:val="22"/>
          <w:lang w:val="es-ES"/>
        </w:rPr>
        <w:t xml:space="preserve"> en el marco de ámbito de aplicación de los Documentos Tipo</w:t>
      </w:r>
      <w:r w:rsidR="003C1A13">
        <w:rPr>
          <w:rFonts w:ascii="Arial" w:eastAsia="Calibri" w:hAnsi="Arial" w:cs="Arial"/>
          <w:color w:val="000000" w:themeColor="text1"/>
          <w:sz w:val="22"/>
          <w:szCs w:val="22"/>
          <w:lang w:val="es-ES"/>
        </w:rPr>
        <w:t>.</w:t>
      </w:r>
    </w:p>
    <w:p w14:paraId="1403E7CA" w14:textId="77777777" w:rsidR="000D221C" w:rsidRPr="0067709B" w:rsidRDefault="000D221C" w:rsidP="00AF274F">
      <w:pPr>
        <w:shd w:val="clear" w:color="auto" w:fill="FFFFFF"/>
        <w:spacing w:after="0" w:line="276" w:lineRule="auto"/>
        <w:ind w:left="709" w:right="709"/>
        <w:jc w:val="both"/>
        <w:rPr>
          <w:rFonts w:ascii="Arial" w:eastAsia="Calibri" w:hAnsi="Arial" w:cs="Arial"/>
          <w:color w:val="000000" w:themeColor="text1"/>
        </w:rPr>
      </w:pPr>
    </w:p>
    <w:bookmarkEnd w:id="2"/>
    <w:p w14:paraId="240A3F68" w14:textId="77777777" w:rsidR="00BD18C8" w:rsidRDefault="00BD18C8" w:rsidP="00AF274F">
      <w:pPr>
        <w:shd w:val="clear" w:color="auto" w:fill="FFFFFF"/>
        <w:spacing w:after="0" w:line="276" w:lineRule="auto"/>
        <w:ind w:left="709" w:right="709"/>
        <w:jc w:val="both"/>
        <w:rPr>
          <w:rFonts w:ascii="Arial" w:eastAsia="Calibri" w:hAnsi="Arial" w:cs="Arial"/>
          <w:color w:val="000000" w:themeColor="text1"/>
        </w:rPr>
      </w:pPr>
    </w:p>
    <w:p w14:paraId="4250A8CF" w14:textId="77777777" w:rsidR="00BD18C8" w:rsidRDefault="00BD18C8" w:rsidP="00AF274F">
      <w:pPr>
        <w:shd w:val="clear" w:color="auto" w:fill="FFFFFF"/>
        <w:spacing w:after="0" w:line="276" w:lineRule="auto"/>
        <w:ind w:left="709" w:right="709"/>
        <w:jc w:val="both"/>
        <w:rPr>
          <w:rFonts w:ascii="Arial" w:eastAsia="Calibri" w:hAnsi="Arial" w:cs="Arial"/>
          <w:color w:val="000000" w:themeColor="text1"/>
        </w:rPr>
      </w:pPr>
    </w:p>
    <w:p w14:paraId="2E3B7DE4" w14:textId="77777777" w:rsidR="00BD18C8" w:rsidRPr="0067709B" w:rsidRDefault="00BD18C8" w:rsidP="00AF274F">
      <w:pPr>
        <w:shd w:val="clear" w:color="auto" w:fill="FFFFFF"/>
        <w:spacing w:after="0" w:line="276" w:lineRule="auto"/>
        <w:ind w:left="709" w:right="709"/>
        <w:jc w:val="both"/>
        <w:rPr>
          <w:rFonts w:ascii="Arial" w:eastAsia="Calibri" w:hAnsi="Arial" w:cs="Arial"/>
          <w:color w:val="000000" w:themeColor="text1"/>
        </w:rPr>
      </w:pPr>
    </w:p>
    <w:p w14:paraId="74DFDDDD" w14:textId="77777777" w:rsidR="000D221C" w:rsidRPr="0067709B" w:rsidRDefault="000D221C" w:rsidP="00AF274F">
      <w:pPr>
        <w:spacing w:after="0" w:line="276" w:lineRule="auto"/>
        <w:jc w:val="both"/>
        <w:rPr>
          <w:rFonts w:ascii="Arial" w:eastAsia="Calibri" w:hAnsi="Arial" w:cs="Arial"/>
          <w:b/>
          <w:color w:val="000000" w:themeColor="text1"/>
        </w:rPr>
      </w:pPr>
      <w:r w:rsidRPr="0067709B">
        <w:rPr>
          <w:rFonts w:ascii="Arial" w:eastAsia="Calibri" w:hAnsi="Arial" w:cs="Arial"/>
          <w:b/>
          <w:color w:val="000000" w:themeColor="text1"/>
        </w:rPr>
        <w:t>2. Consideraciones</w:t>
      </w:r>
    </w:p>
    <w:p w14:paraId="3F6CE3E4" w14:textId="77777777" w:rsidR="00BD18C8" w:rsidRPr="0067709B" w:rsidRDefault="00BD18C8" w:rsidP="00AF274F">
      <w:pPr>
        <w:spacing w:after="0" w:line="276" w:lineRule="auto"/>
        <w:jc w:val="both"/>
        <w:rPr>
          <w:rFonts w:ascii="Arial" w:eastAsia="Calibri" w:hAnsi="Arial" w:cs="Arial"/>
          <w:b/>
          <w:color w:val="000000" w:themeColor="text1"/>
        </w:rPr>
      </w:pPr>
    </w:p>
    <w:p w14:paraId="3BFAC981" w14:textId="5F5990E1" w:rsidR="000D221C" w:rsidRPr="0067709B" w:rsidRDefault="000D221C" w:rsidP="00AF274F">
      <w:pPr>
        <w:spacing w:after="0" w:line="276" w:lineRule="auto"/>
        <w:jc w:val="both"/>
        <w:rPr>
          <w:rFonts w:ascii="Arial" w:eastAsia="Calibri" w:hAnsi="Arial" w:cs="Arial"/>
          <w:color w:val="000000" w:themeColor="text1"/>
        </w:rPr>
      </w:pPr>
      <w:r w:rsidRPr="0067709B">
        <w:rPr>
          <w:rFonts w:ascii="Arial" w:eastAsia="Calibri" w:hAnsi="Arial" w:cs="Arial"/>
          <w:color w:val="000000" w:themeColor="text1"/>
        </w:rPr>
        <w:t>Para absolver los interrogantes formulados, la Agencia analizará los siguientes temas: i) fundamento normativo, obligatoriedad e inalterabilidad de los Documentos Tipo</w:t>
      </w:r>
      <w:r w:rsidR="004527C1">
        <w:rPr>
          <w:rFonts w:ascii="Arial" w:eastAsia="Calibri" w:hAnsi="Arial" w:cs="Arial"/>
          <w:color w:val="000000" w:themeColor="text1"/>
        </w:rPr>
        <w:t>;</w:t>
      </w:r>
      <w:r w:rsidRPr="0067709B">
        <w:rPr>
          <w:rFonts w:ascii="Arial" w:eastAsia="Calibri" w:hAnsi="Arial" w:cs="Arial"/>
          <w:color w:val="000000" w:themeColor="text1"/>
        </w:rPr>
        <w:t xml:space="preserve"> </w:t>
      </w:r>
      <w:proofErr w:type="spellStart"/>
      <w:r w:rsidRPr="0067709B">
        <w:rPr>
          <w:rFonts w:ascii="Arial" w:eastAsia="Calibri" w:hAnsi="Arial" w:cs="Arial"/>
          <w:color w:val="000000" w:themeColor="text1"/>
        </w:rPr>
        <w:t>ii</w:t>
      </w:r>
      <w:proofErr w:type="spellEnd"/>
      <w:r w:rsidRPr="0067709B">
        <w:rPr>
          <w:rFonts w:ascii="Arial" w:eastAsia="Calibri" w:hAnsi="Arial" w:cs="Arial"/>
          <w:color w:val="000000" w:themeColor="text1"/>
        </w:rPr>
        <w:t xml:space="preserve">) </w:t>
      </w:r>
      <w:r w:rsidR="00C12C63">
        <w:rPr>
          <w:rFonts w:ascii="Arial" w:eastAsia="Calibri" w:hAnsi="Arial" w:cs="Arial"/>
          <w:color w:val="000000" w:themeColor="text1"/>
        </w:rPr>
        <w:t xml:space="preserve">alcance de inalterabilidad </w:t>
      </w:r>
      <w:r w:rsidR="00394ECD" w:rsidRPr="00394ECD">
        <w:rPr>
          <w:rFonts w:ascii="Arial" w:eastAsia="Calibri" w:hAnsi="Arial" w:cs="Arial"/>
          <w:color w:val="000000" w:themeColor="text1"/>
        </w:rPr>
        <w:t>de los documentos tipo de interventoría de obra pública de infraestructura de transporte</w:t>
      </w:r>
      <w:r w:rsidR="00D47E26">
        <w:rPr>
          <w:rFonts w:ascii="Arial" w:eastAsia="Calibri" w:hAnsi="Arial" w:cs="Arial"/>
          <w:color w:val="000000" w:themeColor="text1"/>
        </w:rPr>
        <w:t xml:space="preserve">: </w:t>
      </w:r>
      <w:r w:rsidR="009D2948">
        <w:rPr>
          <w:rFonts w:ascii="Arial" w:eastAsia="Calibri" w:hAnsi="Arial" w:cs="Arial"/>
          <w:color w:val="000000"/>
          <w:lang w:val="es-ES_tradnl" w:eastAsia="es-ES_tradnl"/>
        </w:rPr>
        <w:t>concurso de méritos abierto</w:t>
      </w:r>
      <w:r w:rsidR="00A97405">
        <w:rPr>
          <w:rFonts w:ascii="Arial" w:eastAsia="Calibri" w:hAnsi="Arial" w:cs="Arial"/>
          <w:color w:val="000000"/>
          <w:lang w:val="es-ES_tradnl" w:eastAsia="es-ES_tradnl"/>
        </w:rPr>
        <w:t>.</w:t>
      </w:r>
    </w:p>
    <w:p w14:paraId="0E8717BC" w14:textId="77777777" w:rsidR="00C94E5F" w:rsidRDefault="000D221C" w:rsidP="00C94E5F">
      <w:pPr>
        <w:spacing w:before="120" w:after="0" w:line="276" w:lineRule="auto"/>
        <w:ind w:firstLine="708"/>
        <w:jc w:val="both"/>
        <w:rPr>
          <w:rFonts w:ascii="Arial" w:eastAsia="Calibri" w:hAnsi="Arial" w:cs="Arial"/>
          <w:color w:val="000000" w:themeColor="text1"/>
          <w:lang w:val="es-ES_tradnl"/>
        </w:rPr>
      </w:pPr>
      <w:r w:rsidRPr="0067709B">
        <w:rPr>
          <w:rFonts w:ascii="Arial" w:eastAsia="Calibri" w:hAnsi="Arial" w:cs="Arial"/>
          <w:color w:val="000000" w:themeColor="text1"/>
          <w:lang w:val="es-ES_tradnl"/>
        </w:rPr>
        <w:t>La Agencia Nacional de Contratación Pública – Colombia Compra Eficiente ha estudiado el ámbito de aplicación de los documentos tipo en los conceptos</w:t>
      </w:r>
      <w:r w:rsidR="00B66E6C" w:rsidRPr="00A51520">
        <w:rPr>
          <w:rFonts w:ascii="Arial" w:eastAsia="Arial" w:hAnsi="Arial" w:cs="Arial"/>
          <w:lang w:val="es-ES_tradnl"/>
        </w:rPr>
        <w:t xml:space="preserve">: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C-744 del 22 de diciembre de 2020 </w:t>
      </w:r>
      <w:r w:rsidRPr="0067709B">
        <w:rPr>
          <w:rFonts w:ascii="Arial" w:eastAsia="Calibri" w:hAnsi="Arial" w:cs="Arial"/>
          <w:color w:val="000000" w:themeColor="text1"/>
          <w:lang w:val="es-ES_tradnl"/>
        </w:rPr>
        <w:t xml:space="preserve"> C-645 del 6 de noviembre de 2020, C-673 del 11 de noviembre de 2020, C-692 del 27 de noviembre de 2020, C-778 del 18 de enero de 2021, C-021 del 22 de febrero de 2021, C-091 del 23 de marzo de 2021, C-200 del 14 de mayo de 2021, C-231 del 24 de mayo de 2021, C-267 de 2 de junio de 2021, C-370 del 28 de julio de 2021,  C-380 del 29 de julio de 2021</w:t>
      </w:r>
      <w:r w:rsidR="00A877D0">
        <w:rPr>
          <w:rFonts w:ascii="Arial" w:eastAsia="Calibri" w:hAnsi="Arial" w:cs="Arial"/>
          <w:color w:val="000000" w:themeColor="text1"/>
          <w:lang w:val="es-ES_tradnl"/>
        </w:rPr>
        <w:t>,</w:t>
      </w:r>
      <w:r w:rsidRPr="0067709B">
        <w:rPr>
          <w:rFonts w:ascii="Arial" w:eastAsia="Calibri" w:hAnsi="Arial" w:cs="Arial"/>
          <w:color w:val="000000" w:themeColor="text1"/>
          <w:lang w:val="es-ES_tradnl"/>
        </w:rPr>
        <w:t xml:space="preserve"> C-493 del 14 de septiembre de 2021</w:t>
      </w:r>
      <w:r w:rsidR="00A821DA">
        <w:rPr>
          <w:rFonts w:ascii="Arial" w:eastAsia="Calibri" w:hAnsi="Arial" w:cs="Arial"/>
          <w:color w:val="000000" w:themeColor="text1"/>
          <w:lang w:val="es-ES_tradnl"/>
        </w:rPr>
        <w:t xml:space="preserve"> y</w:t>
      </w:r>
      <w:r w:rsidRPr="0067709B">
        <w:rPr>
          <w:rFonts w:ascii="Arial" w:eastAsia="Calibri" w:hAnsi="Arial" w:cs="Arial"/>
          <w:color w:val="000000" w:themeColor="text1"/>
          <w:lang w:val="es-ES_tradnl"/>
        </w:rPr>
        <w:t xml:space="preserve"> </w:t>
      </w:r>
      <w:r w:rsidR="00A877D0">
        <w:rPr>
          <w:rFonts w:ascii="Arial" w:eastAsia="Calibri" w:hAnsi="Arial" w:cs="Arial"/>
          <w:color w:val="000000" w:themeColor="text1"/>
          <w:lang w:val="es-ES_tradnl"/>
        </w:rPr>
        <w:t xml:space="preserve">C-035 </w:t>
      </w:r>
      <w:r w:rsidR="00D4713A">
        <w:rPr>
          <w:rFonts w:ascii="Arial" w:eastAsia="Calibri" w:hAnsi="Arial" w:cs="Arial"/>
          <w:color w:val="000000" w:themeColor="text1"/>
          <w:lang w:val="es-ES_tradnl"/>
        </w:rPr>
        <w:t xml:space="preserve">del 2 de marzo de 2022, </w:t>
      </w:r>
      <w:r w:rsidRPr="0067709B">
        <w:rPr>
          <w:rFonts w:ascii="Arial" w:eastAsia="Calibri" w:hAnsi="Arial" w:cs="Arial"/>
          <w:color w:val="000000" w:themeColor="text1"/>
          <w:lang w:val="es-ES_tradnl"/>
        </w:rPr>
        <w:t>entre otros</w:t>
      </w:r>
      <w:r w:rsidR="00D4713A">
        <w:rPr>
          <w:rStyle w:val="Refdenotaalpie"/>
          <w:rFonts w:ascii="Arial" w:eastAsia="Calibri" w:hAnsi="Arial" w:cs="Arial"/>
          <w:color w:val="000000" w:themeColor="text1"/>
          <w:lang w:val="es-ES_tradnl"/>
        </w:rPr>
        <w:footnoteReference w:id="2"/>
      </w:r>
      <w:r w:rsidRPr="0067709B">
        <w:rPr>
          <w:rFonts w:ascii="Arial" w:eastAsia="Calibri" w:hAnsi="Arial" w:cs="Arial"/>
          <w:color w:val="000000" w:themeColor="text1"/>
          <w:lang w:val="es-ES_tradnl"/>
        </w:rPr>
        <w:t xml:space="preserve">.  </w:t>
      </w:r>
    </w:p>
    <w:p w14:paraId="73945F91" w14:textId="7E0BE071" w:rsidR="000D221C" w:rsidRPr="00C94E5F" w:rsidRDefault="00C94E5F" w:rsidP="00C94E5F">
      <w:pPr>
        <w:spacing w:before="120" w:after="0" w:line="276" w:lineRule="auto"/>
        <w:ind w:firstLine="708"/>
        <w:jc w:val="both"/>
        <w:rPr>
          <w:rFonts w:ascii="Arial" w:eastAsia="Calibri" w:hAnsi="Arial" w:cs="Arial"/>
          <w:color w:val="000000" w:themeColor="text1"/>
          <w:lang w:val="es-ES_tradnl"/>
        </w:rPr>
      </w:pPr>
      <w:r>
        <w:rPr>
          <w:rFonts w:ascii="Arial" w:eastAsia="Calibri" w:hAnsi="Arial" w:cs="Arial"/>
          <w:color w:val="000000" w:themeColor="text1"/>
          <w:lang w:val="es-ES_tradnl"/>
        </w:rPr>
        <w:t xml:space="preserve">Asimismo, </w:t>
      </w:r>
      <w:r w:rsidR="000D221C" w:rsidRPr="0067709B">
        <w:rPr>
          <w:rFonts w:ascii="Arial" w:eastAsia="Calibri" w:hAnsi="Arial" w:cs="Arial"/>
          <w:color w:val="000000" w:themeColor="text1"/>
          <w:lang w:val="es-ES_tradnl"/>
        </w:rPr>
        <w:t xml:space="preserve">se </w:t>
      </w:r>
      <w:r>
        <w:rPr>
          <w:rFonts w:ascii="Arial" w:eastAsia="Calibri" w:hAnsi="Arial" w:cs="Arial"/>
          <w:color w:val="000000" w:themeColor="text1"/>
          <w:lang w:val="es-ES_tradnl"/>
        </w:rPr>
        <w:t xml:space="preserve">ha </w:t>
      </w:r>
      <w:r w:rsidR="000D221C" w:rsidRPr="0067709B">
        <w:rPr>
          <w:rFonts w:ascii="Arial" w:eastAsia="Calibri" w:hAnsi="Arial" w:cs="Arial"/>
          <w:color w:val="000000" w:themeColor="text1"/>
          <w:lang w:val="es-ES_tradnl"/>
        </w:rPr>
        <w:t>pronunci</w:t>
      </w:r>
      <w:r>
        <w:rPr>
          <w:rFonts w:ascii="Arial" w:eastAsia="Calibri" w:hAnsi="Arial" w:cs="Arial"/>
          <w:color w:val="000000" w:themeColor="text1"/>
          <w:lang w:val="es-ES_tradnl"/>
        </w:rPr>
        <w:t>ado</w:t>
      </w:r>
      <w:r w:rsidR="000D221C" w:rsidRPr="0067709B">
        <w:rPr>
          <w:rFonts w:ascii="Arial" w:eastAsia="Calibri" w:hAnsi="Arial" w:cs="Arial"/>
          <w:color w:val="000000" w:themeColor="text1"/>
          <w:lang w:val="es-ES_tradnl"/>
        </w:rPr>
        <w:t xml:space="preserve"> sobre los Documentos Tipo para procesos de selección de interventoría de obra pública de infraestructura de transporte en los conceptos C-323 del 05 de junio de 2021</w:t>
      </w:r>
      <w:r w:rsidR="00E702ED">
        <w:rPr>
          <w:rFonts w:ascii="Arial" w:eastAsia="Calibri" w:hAnsi="Arial" w:cs="Arial"/>
          <w:color w:val="000000" w:themeColor="text1"/>
          <w:lang w:val="es-ES_tradnl"/>
        </w:rPr>
        <w:t>,</w:t>
      </w:r>
      <w:r w:rsidR="000D221C" w:rsidRPr="0067709B">
        <w:rPr>
          <w:rFonts w:ascii="Arial" w:eastAsia="Calibri" w:hAnsi="Arial" w:cs="Arial"/>
          <w:color w:val="000000" w:themeColor="text1"/>
          <w:lang w:val="es-ES_tradnl"/>
        </w:rPr>
        <w:t xml:space="preserve"> C- 434 del 27 de septiembre de 2021,</w:t>
      </w:r>
      <w:r w:rsidR="00455992" w:rsidRPr="00455992">
        <w:rPr>
          <w:rFonts w:ascii="Arial" w:eastAsia="Calibri" w:hAnsi="Arial" w:cs="Arial"/>
          <w:color w:val="000000" w:themeColor="text1"/>
        </w:rPr>
        <w:t xml:space="preserve"> </w:t>
      </w:r>
      <w:r w:rsidR="00455992">
        <w:rPr>
          <w:rFonts w:ascii="Arial" w:eastAsia="Calibri" w:hAnsi="Arial" w:cs="Arial"/>
          <w:color w:val="000000" w:themeColor="text1"/>
        </w:rPr>
        <w:t>C-632 de 19 de noviembre de 2021 y C-862 de 16 de diciembre de 2022</w:t>
      </w:r>
      <w:r w:rsidR="000D221C" w:rsidRPr="0067709B">
        <w:rPr>
          <w:rFonts w:ascii="Arial" w:eastAsia="Calibri" w:hAnsi="Arial" w:cs="Arial"/>
          <w:color w:val="000000" w:themeColor="text1"/>
          <w:lang w:val="es-ES_tradnl"/>
        </w:rPr>
        <w:t xml:space="preserve">.  </w:t>
      </w:r>
      <w:r w:rsidR="000D221C" w:rsidRPr="0067709B">
        <w:rPr>
          <w:rFonts w:ascii="Arial" w:eastAsia="Calibri" w:hAnsi="Arial" w:cs="Arial"/>
          <w:color w:val="000000" w:themeColor="text1"/>
        </w:rPr>
        <w:t xml:space="preserve">Las tesis expuestas en los anteriores conceptos se </w:t>
      </w:r>
      <w:r w:rsidR="006136B6">
        <w:rPr>
          <w:rFonts w:ascii="Arial" w:eastAsia="Calibri" w:hAnsi="Arial" w:cs="Arial"/>
          <w:color w:val="000000" w:themeColor="text1"/>
        </w:rPr>
        <w:t xml:space="preserve">aclaran </w:t>
      </w:r>
      <w:r w:rsidR="000D221C" w:rsidRPr="0067709B">
        <w:rPr>
          <w:rFonts w:ascii="Arial" w:eastAsia="Calibri" w:hAnsi="Arial" w:cs="Arial"/>
          <w:color w:val="000000" w:themeColor="text1"/>
        </w:rPr>
        <w:t xml:space="preserve">y se complementan en lo pertinente </w:t>
      </w:r>
      <w:r w:rsidR="00DB4A2B">
        <w:rPr>
          <w:rFonts w:ascii="Arial" w:eastAsia="Calibri" w:hAnsi="Arial" w:cs="Arial"/>
          <w:color w:val="000000" w:themeColor="text1"/>
        </w:rPr>
        <w:t>de acuerdo con</w:t>
      </w:r>
      <w:r w:rsidR="006136B6">
        <w:rPr>
          <w:rFonts w:ascii="Arial" w:eastAsia="Calibri" w:hAnsi="Arial" w:cs="Arial"/>
          <w:color w:val="000000" w:themeColor="text1"/>
        </w:rPr>
        <w:t xml:space="preserve"> lo solicitado en su petición</w:t>
      </w:r>
      <w:r w:rsidR="000D221C" w:rsidRPr="0067709B">
        <w:rPr>
          <w:rFonts w:ascii="Arial" w:eastAsia="Calibri" w:hAnsi="Arial" w:cs="Arial"/>
          <w:color w:val="000000" w:themeColor="text1"/>
        </w:rPr>
        <w:t>:</w:t>
      </w:r>
    </w:p>
    <w:p w14:paraId="1E232F92" w14:textId="77777777" w:rsidR="000D221C" w:rsidRPr="0067709B" w:rsidRDefault="000D221C" w:rsidP="00AF274F">
      <w:pPr>
        <w:spacing w:after="0" w:line="276" w:lineRule="auto"/>
        <w:jc w:val="both"/>
        <w:rPr>
          <w:rFonts w:ascii="Arial" w:eastAsia="Calibri" w:hAnsi="Arial" w:cs="Arial"/>
          <w:color w:val="000000" w:themeColor="text1"/>
        </w:rPr>
      </w:pPr>
    </w:p>
    <w:p w14:paraId="46E4AB1C" w14:textId="77777777" w:rsidR="000D221C" w:rsidRPr="0067709B" w:rsidRDefault="000D221C" w:rsidP="00AF274F">
      <w:pPr>
        <w:spacing w:after="0" w:line="276" w:lineRule="auto"/>
        <w:jc w:val="both"/>
        <w:rPr>
          <w:rFonts w:ascii="Arial" w:eastAsia="Calibri" w:hAnsi="Arial" w:cs="Arial"/>
          <w:b/>
          <w:bCs/>
          <w:color w:val="000000" w:themeColor="text1"/>
        </w:rPr>
      </w:pPr>
      <w:r w:rsidRPr="0067709B">
        <w:rPr>
          <w:rFonts w:ascii="Arial" w:eastAsia="Calibri" w:hAnsi="Arial" w:cs="Arial"/>
          <w:b/>
          <w:bCs/>
          <w:color w:val="000000" w:themeColor="text1"/>
        </w:rPr>
        <w:t xml:space="preserve">2.1. Fundamento </w:t>
      </w:r>
      <w:r>
        <w:rPr>
          <w:rFonts w:ascii="Arial" w:eastAsia="Calibri" w:hAnsi="Arial" w:cs="Arial"/>
          <w:b/>
          <w:bCs/>
          <w:color w:val="000000" w:themeColor="text1"/>
        </w:rPr>
        <w:t>normativo, obligatoriedad e inalterabilidad de los Documentos Tipo</w:t>
      </w:r>
    </w:p>
    <w:p w14:paraId="4D853E6B" w14:textId="77777777" w:rsidR="000D221C" w:rsidRPr="0067709B" w:rsidRDefault="000D221C" w:rsidP="00837718">
      <w:pPr>
        <w:spacing w:after="0" w:line="240" w:lineRule="auto"/>
        <w:jc w:val="both"/>
        <w:rPr>
          <w:rFonts w:ascii="Arial" w:eastAsia="Calibri" w:hAnsi="Arial" w:cs="Arial"/>
          <w:b/>
          <w:bCs/>
          <w:color w:val="000000" w:themeColor="text1"/>
        </w:rPr>
      </w:pPr>
    </w:p>
    <w:p w14:paraId="0BB86245" w14:textId="2956CCA3" w:rsidR="000D221C" w:rsidRPr="0067709B" w:rsidRDefault="000D221C" w:rsidP="00AF274F">
      <w:pPr>
        <w:shd w:val="clear" w:color="auto" w:fill="FFFFFF"/>
        <w:spacing w:after="0" w:line="276" w:lineRule="auto"/>
        <w:jc w:val="both"/>
        <w:rPr>
          <w:rFonts w:ascii="Arial" w:hAnsi="Arial" w:cs="Arial"/>
          <w:color w:val="0D0D0D"/>
          <w:bdr w:val="none" w:sz="0" w:space="0" w:color="auto" w:frame="1"/>
          <w:lang w:eastAsia="es-CO"/>
        </w:rPr>
      </w:pPr>
      <w:r w:rsidRPr="0067709B">
        <w:rPr>
          <w:rFonts w:ascii="Arial" w:hAnsi="Arial" w:cs="Arial"/>
          <w:color w:val="0D0D0D"/>
          <w:bdr w:val="none" w:sz="0" w:space="0" w:color="auto" w:frame="1"/>
          <w:lang w:eastAsia="es-CO"/>
        </w:rPr>
        <w:t>Los pliegos tipo surgen en el 2007 cuando el legislador facultó al Gobierno Nacional para adoptarlos en la compra o suministro de bienes de características técnicas uniformes</w:t>
      </w:r>
      <w:r w:rsidRPr="0067709B">
        <w:rPr>
          <w:rFonts w:ascii="Arial" w:hAnsi="Arial" w:cs="Arial"/>
          <w:color w:val="0D0D0D"/>
          <w:bdr w:val="none" w:sz="0" w:space="0" w:color="auto" w:frame="1"/>
          <w:vertAlign w:val="superscript"/>
          <w:lang w:eastAsia="es-CO"/>
        </w:rPr>
        <w:footnoteReference w:id="3"/>
      </w:r>
      <w:r w:rsidRPr="0067709B">
        <w:rPr>
          <w:rFonts w:ascii="Arial" w:hAnsi="Arial" w:cs="Arial"/>
          <w:color w:val="0D0D0D"/>
          <w:bdr w:val="none" w:sz="0" w:space="0" w:color="auto" w:frame="1"/>
          <w:lang w:eastAsia="es-CO"/>
        </w:rPr>
        <w:t xml:space="preserve">. La orientación inicial del proyecto que se convirtió en la Ley 1150 de 2007 era facultar al Gobierno Nacional para adoptar los pliegos tipo en todos los contratos estatales, pues en el proyecto el </w:t>
      </w:r>
      <w:r w:rsidRPr="0067709B">
        <w:rPr>
          <w:rFonts w:ascii="Arial" w:hAnsi="Arial" w:cs="Arial"/>
          <w:color w:val="0D0D0D"/>
          <w:bdr w:val="none" w:sz="0" w:space="0" w:color="auto" w:frame="1"/>
          <w:lang w:eastAsia="es-CO"/>
        </w:rPr>
        <w:lastRenderedPageBreak/>
        <w:t xml:space="preserve">parágrafo 3º disponía que: </w:t>
      </w:r>
      <w:r w:rsidR="008E1AD5">
        <w:rPr>
          <w:rFonts w:ascii="Arial" w:hAnsi="Arial" w:cs="Arial"/>
          <w:color w:val="0D0D0D"/>
          <w:bdr w:val="none" w:sz="0" w:space="0" w:color="auto" w:frame="1"/>
          <w:lang w:eastAsia="es-CO"/>
        </w:rPr>
        <w:t>“</w:t>
      </w:r>
      <w:r w:rsidRPr="0067709B">
        <w:rPr>
          <w:rFonts w:ascii="Arial" w:hAnsi="Arial" w:cs="Arial"/>
          <w:color w:val="0D0D0D"/>
          <w:bdr w:val="none" w:sz="0" w:space="0" w:color="auto" w:frame="1"/>
          <w:lang w:eastAsia="es-CO"/>
        </w:rPr>
        <w:t>El Gobierno Nacional tendrá la facultad de estandarizar los pliegos de condiciones o términos de referencia y los contratos de las entidades estatales</w:t>
      </w:r>
      <w:r w:rsidR="008E1AD5">
        <w:rPr>
          <w:rFonts w:ascii="Arial" w:hAnsi="Arial" w:cs="Arial"/>
          <w:color w:val="0D0D0D"/>
          <w:bdr w:val="none" w:sz="0" w:space="0" w:color="auto" w:frame="1"/>
          <w:lang w:eastAsia="es-CO"/>
        </w:rPr>
        <w:t>”</w:t>
      </w:r>
      <w:r w:rsidRPr="0067709B">
        <w:rPr>
          <w:rFonts w:ascii="Arial" w:hAnsi="Arial" w:cs="Arial"/>
          <w:color w:val="0D0D0D"/>
          <w:bdr w:val="none" w:sz="0" w:space="0" w:color="auto" w:frame="1"/>
          <w:vertAlign w:val="superscript"/>
          <w:lang w:eastAsia="es-CO"/>
        </w:rPr>
        <w:footnoteReference w:id="4"/>
      </w:r>
      <w:r w:rsidRPr="0067709B">
        <w:rPr>
          <w:rFonts w:ascii="Arial" w:hAnsi="Arial" w:cs="Arial"/>
          <w:color w:val="0D0D0D"/>
          <w:bdr w:val="none" w:sz="0" w:space="0" w:color="auto" w:frame="1"/>
          <w:lang w:eastAsia="es-CO"/>
        </w:rPr>
        <w:t>.</w:t>
      </w:r>
    </w:p>
    <w:p w14:paraId="3B9EAAE9" w14:textId="01F55C50" w:rsidR="000D221C" w:rsidRPr="0067709B" w:rsidRDefault="000D221C" w:rsidP="00AF274F">
      <w:pPr>
        <w:shd w:val="clear" w:color="auto" w:fill="FFFFFF"/>
        <w:spacing w:before="120" w:after="0" w:line="276" w:lineRule="auto"/>
        <w:ind w:firstLine="708"/>
        <w:jc w:val="both"/>
        <w:rPr>
          <w:rFonts w:ascii="Arial" w:hAnsi="Arial" w:cs="Arial"/>
          <w:color w:val="0D0D0D"/>
          <w:bdr w:val="none" w:sz="0" w:space="0" w:color="auto" w:frame="1"/>
          <w:lang w:eastAsia="es-CO"/>
        </w:rPr>
      </w:pPr>
      <w:r w:rsidRPr="0067709B">
        <w:rPr>
          <w:rFonts w:ascii="Arial" w:hAnsi="Arial" w:cs="Arial"/>
          <w:color w:val="0D0D0D"/>
          <w:bdr w:val="none" w:sz="0" w:space="0" w:color="auto" w:frame="1"/>
          <w:lang w:eastAsia="es-CO"/>
        </w:rPr>
        <w:t xml:space="preserve">La intención era agilizar y dar mayor transparencia a los procedimientos de selección, así como evitar el direccionamiento, razón por la cual –conforme a lo explicado en la exposición de motivos– </w:t>
      </w:r>
      <w:r w:rsidR="008E1AD5">
        <w:rPr>
          <w:rFonts w:ascii="Arial" w:hAnsi="Arial" w:cs="Arial"/>
          <w:color w:val="0D0D0D"/>
          <w:bdr w:val="none" w:sz="0" w:space="0" w:color="auto" w:frame="1"/>
          <w:lang w:eastAsia="es-CO"/>
        </w:rPr>
        <w:t>“</w:t>
      </w:r>
      <w:r w:rsidRPr="0067709B">
        <w:rPr>
          <w:rFonts w:ascii="Arial" w:hAnsi="Arial" w:cs="Arial"/>
          <w:color w:val="0D0D0D"/>
          <w:bdr w:val="none" w:sz="0" w:space="0" w:color="auto" w:frame="1"/>
          <w:lang w:eastAsia="es-CO"/>
        </w:rPr>
        <w:t>[…] se asigna al Gobierno Nacional la facultad de estandarizar los pliegos de condiciones y términos de referencia de los contratos, medida que redundará en la agilidad y claridad de los procedimientos</w:t>
      </w:r>
      <w:r w:rsidR="008E1AD5">
        <w:rPr>
          <w:rFonts w:ascii="Arial" w:hAnsi="Arial" w:cs="Arial"/>
          <w:color w:val="0D0D0D"/>
          <w:bdr w:val="none" w:sz="0" w:space="0" w:color="auto" w:frame="1"/>
          <w:lang w:eastAsia="es-CO"/>
        </w:rPr>
        <w:t>”</w:t>
      </w:r>
      <w:r w:rsidRPr="0067709B">
        <w:rPr>
          <w:rFonts w:ascii="Arial" w:hAnsi="Arial" w:cs="Arial"/>
          <w:color w:val="0D0D0D"/>
          <w:bdr w:val="none" w:sz="0" w:space="0" w:color="auto" w:frame="1"/>
          <w:vertAlign w:val="superscript"/>
          <w:lang w:eastAsia="es-CO"/>
        </w:rPr>
        <w:footnoteReference w:id="5"/>
      </w:r>
      <w:r w:rsidRPr="0067709B">
        <w:rPr>
          <w:rFonts w:ascii="Arial" w:hAnsi="Arial" w:cs="Arial"/>
          <w:color w:val="0D0D0D"/>
          <w:bdr w:val="none" w:sz="0" w:space="0" w:color="auto" w:frame="1"/>
          <w:lang w:eastAsia="es-CO"/>
        </w:rPr>
        <w:t>. Sin embargo, en el texto aprobado, los pliegos tipo se limitaron a la adquisición o suministro de bienes de características técnicas uniformes</w:t>
      </w:r>
      <w:r w:rsidRPr="0067709B">
        <w:rPr>
          <w:rFonts w:ascii="Arial" w:hAnsi="Arial" w:cs="Arial"/>
          <w:color w:val="0D0D0D"/>
          <w:bdr w:val="none" w:sz="0" w:space="0" w:color="auto" w:frame="1"/>
          <w:vertAlign w:val="superscript"/>
          <w:lang w:eastAsia="es-CO"/>
        </w:rPr>
        <w:footnoteReference w:id="6"/>
      </w:r>
      <w:r w:rsidRPr="0067709B">
        <w:rPr>
          <w:rFonts w:ascii="Arial" w:hAnsi="Arial" w:cs="Arial"/>
          <w:color w:val="0D0D0D"/>
          <w:bdr w:val="none" w:sz="0" w:space="0" w:color="auto" w:frame="1"/>
          <w:lang w:eastAsia="es-CO"/>
        </w:rPr>
        <w:t>.</w:t>
      </w:r>
    </w:p>
    <w:p w14:paraId="510F8F2D" w14:textId="3CE32D66" w:rsidR="000D221C" w:rsidRPr="0067709B" w:rsidRDefault="000D221C" w:rsidP="00AF274F">
      <w:pPr>
        <w:shd w:val="clear" w:color="auto" w:fill="FFFFFF"/>
        <w:spacing w:before="120" w:after="0" w:line="276" w:lineRule="auto"/>
        <w:ind w:firstLine="709"/>
        <w:jc w:val="both"/>
        <w:rPr>
          <w:rFonts w:ascii="Arial" w:hAnsi="Arial" w:cs="Arial"/>
          <w:color w:val="0D0D0D"/>
          <w:bdr w:val="none" w:sz="0" w:space="0" w:color="auto" w:frame="1"/>
          <w:lang w:eastAsia="es-CO"/>
        </w:rPr>
      </w:pPr>
      <w:r w:rsidRPr="0067709B">
        <w:rPr>
          <w:rFonts w:ascii="Arial" w:hAnsi="Arial" w:cs="Arial"/>
          <w:color w:val="0D0D0D"/>
          <w:bdr w:val="none" w:sz="0" w:space="0" w:color="auto" w:frame="1"/>
          <w:lang w:eastAsia="es-CO"/>
        </w:rPr>
        <w:t>Posteriormente, el artículo 2, parágrafo 7º, de la Ley 1150 de 2007, adicionado por el artículo 4 de la Ley 1882 de 2018, establece la obligatoriedad de la adopción de documentos tipo para algunos contratos, en los siguientes términos:</w:t>
      </w:r>
    </w:p>
    <w:p w14:paraId="5CF485B7" w14:textId="77777777" w:rsidR="000D221C" w:rsidRPr="0067709B" w:rsidRDefault="000D221C" w:rsidP="00AF274F">
      <w:pPr>
        <w:shd w:val="clear" w:color="auto" w:fill="FFFFFF"/>
        <w:spacing w:after="0" w:line="276" w:lineRule="auto"/>
        <w:ind w:firstLine="709"/>
        <w:jc w:val="both"/>
        <w:rPr>
          <w:rFonts w:ascii="Arial" w:hAnsi="Arial" w:cs="Arial"/>
          <w:color w:val="000000"/>
          <w:lang w:eastAsia="es-CO"/>
        </w:rPr>
      </w:pPr>
    </w:p>
    <w:p w14:paraId="2BBAAB8D" w14:textId="0E89142C" w:rsidR="000D221C" w:rsidRPr="0067709B" w:rsidRDefault="00E6108C" w:rsidP="00E6108C">
      <w:pPr>
        <w:shd w:val="clear" w:color="auto" w:fill="FFFFFF"/>
        <w:spacing w:after="0" w:line="240" w:lineRule="auto"/>
        <w:ind w:left="709" w:right="709"/>
        <w:jc w:val="both"/>
        <w:rPr>
          <w:rFonts w:ascii="Arial" w:hAnsi="Arial" w:cs="Arial"/>
          <w:color w:val="0D0D0D"/>
          <w:sz w:val="21"/>
          <w:szCs w:val="21"/>
          <w:bdr w:val="none" w:sz="0" w:space="0" w:color="auto" w:frame="1"/>
          <w:lang w:eastAsia="es-CO"/>
        </w:rPr>
      </w:pPr>
      <w:r>
        <w:rPr>
          <w:rFonts w:ascii="Arial" w:hAnsi="Arial" w:cs="Arial"/>
          <w:color w:val="0D0D0D"/>
          <w:sz w:val="21"/>
          <w:szCs w:val="21"/>
          <w:bdr w:val="none" w:sz="0" w:space="0" w:color="auto" w:frame="1"/>
          <w:lang w:eastAsia="es-CO"/>
        </w:rPr>
        <w:t>“</w:t>
      </w:r>
      <w:r w:rsidR="000D221C" w:rsidRPr="0067709B">
        <w:rPr>
          <w:rFonts w:ascii="Arial" w:hAnsi="Arial" w:cs="Arial"/>
          <w:color w:val="0D0D0D"/>
          <w:sz w:val="21"/>
          <w:szCs w:val="21"/>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000D221C" w:rsidRPr="0067709B">
        <w:rPr>
          <w:rFonts w:ascii="Arial" w:hAnsi="Arial" w:cs="Arial"/>
          <w:i/>
          <w:iCs/>
          <w:color w:val="0D0D0D"/>
          <w:sz w:val="21"/>
          <w:szCs w:val="21"/>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000D221C" w:rsidRPr="0067709B">
        <w:rPr>
          <w:rFonts w:ascii="Arial" w:hAnsi="Arial" w:cs="Arial"/>
          <w:color w:val="0D0D0D"/>
          <w:sz w:val="21"/>
          <w:szCs w:val="21"/>
          <w:bdr w:val="none" w:sz="0" w:space="0" w:color="auto" w:frame="1"/>
          <w:lang w:eastAsia="es-CO"/>
        </w:rPr>
        <w:t> […] </w:t>
      </w:r>
      <w:r w:rsidR="000D221C" w:rsidRPr="0067709B">
        <w:rPr>
          <w:rFonts w:ascii="Arial" w:hAnsi="Arial" w:cs="Arial"/>
          <w:i/>
          <w:iCs/>
          <w:color w:val="0D0D0D"/>
          <w:sz w:val="21"/>
          <w:szCs w:val="21"/>
          <w:bdr w:val="none" w:sz="0" w:space="0" w:color="auto" w:frame="1"/>
          <w:lang w:eastAsia="es-CO"/>
        </w:rPr>
        <w:t>teniendo en cuenta la naturaleza y cuantía de los contratos</w:t>
      </w:r>
      <w:r w:rsidR="000D221C" w:rsidRPr="0067709B">
        <w:rPr>
          <w:rFonts w:ascii="Arial" w:hAnsi="Arial" w:cs="Arial"/>
          <w:color w:val="0D0D0D"/>
          <w:sz w:val="21"/>
          <w:szCs w:val="21"/>
          <w:bdr w:val="none" w:sz="0" w:space="0" w:color="auto" w:frame="1"/>
          <w:lang w:eastAsia="es-CO"/>
        </w:rPr>
        <w:t> […].</w:t>
      </w:r>
      <w:r>
        <w:rPr>
          <w:rFonts w:ascii="Arial" w:hAnsi="Arial" w:cs="Arial"/>
          <w:color w:val="0D0D0D"/>
          <w:sz w:val="21"/>
          <w:szCs w:val="21"/>
          <w:bdr w:val="none" w:sz="0" w:space="0" w:color="auto" w:frame="1"/>
          <w:lang w:eastAsia="es-CO"/>
        </w:rPr>
        <w:t>”</w:t>
      </w:r>
      <w:r w:rsidR="000D221C" w:rsidRPr="0067709B">
        <w:rPr>
          <w:rFonts w:ascii="Arial" w:hAnsi="Arial" w:cs="Arial"/>
          <w:color w:val="0D0D0D"/>
          <w:sz w:val="21"/>
          <w:szCs w:val="21"/>
          <w:bdr w:val="none" w:sz="0" w:space="0" w:color="auto" w:frame="1"/>
          <w:lang w:eastAsia="es-CO"/>
        </w:rPr>
        <w:t xml:space="preserve"> (Énfasis fuera de texto)</w:t>
      </w:r>
    </w:p>
    <w:p w14:paraId="3354138B" w14:textId="77777777" w:rsidR="000D221C" w:rsidRPr="0067709B" w:rsidRDefault="000D221C" w:rsidP="00AF274F">
      <w:pPr>
        <w:shd w:val="clear" w:color="auto" w:fill="FFFFFF"/>
        <w:spacing w:after="0" w:line="276" w:lineRule="auto"/>
        <w:ind w:right="709"/>
        <w:jc w:val="both"/>
        <w:rPr>
          <w:rFonts w:ascii="Arial" w:hAnsi="Arial" w:cs="Arial"/>
          <w:color w:val="000000"/>
          <w:lang w:eastAsia="es-CO"/>
        </w:rPr>
      </w:pPr>
    </w:p>
    <w:p w14:paraId="3B7E94BC" w14:textId="14DE5798" w:rsidR="000D221C" w:rsidRPr="0067709B" w:rsidRDefault="000D221C" w:rsidP="00AF274F">
      <w:pPr>
        <w:shd w:val="clear" w:color="auto" w:fill="FFFFFF"/>
        <w:spacing w:after="0" w:line="276" w:lineRule="auto"/>
        <w:ind w:firstLine="708"/>
        <w:jc w:val="both"/>
        <w:rPr>
          <w:rFonts w:ascii="Arial" w:hAnsi="Arial" w:cs="Arial"/>
          <w:color w:val="0D0D0D"/>
          <w:bdr w:val="none" w:sz="0" w:space="0" w:color="auto" w:frame="1"/>
          <w:lang w:eastAsia="es-CO"/>
        </w:rPr>
      </w:pPr>
      <w:r w:rsidRPr="0067709B">
        <w:rPr>
          <w:rFonts w:ascii="Arial" w:hAnsi="Arial" w:cs="Arial"/>
          <w:color w:val="0D0D0D"/>
          <w:bdr w:val="none" w:sz="0" w:space="0" w:color="auto" w:frame="1"/>
          <w:lang w:eastAsia="es-CO"/>
        </w:rPr>
        <w:t xml:space="preserve">Sin embargo, el 22 de julio de 2020, el Gobierno Nacional sancionó la Ley 2022, llamada la </w:t>
      </w:r>
      <w:r w:rsidR="008E1AD5">
        <w:rPr>
          <w:rFonts w:ascii="Arial" w:hAnsi="Arial" w:cs="Arial"/>
          <w:color w:val="0D0D0D"/>
          <w:bdr w:val="none" w:sz="0" w:space="0" w:color="auto" w:frame="1"/>
          <w:lang w:eastAsia="es-CO"/>
        </w:rPr>
        <w:t>“</w:t>
      </w:r>
      <w:r w:rsidRPr="0067709B">
        <w:rPr>
          <w:rFonts w:ascii="Arial" w:hAnsi="Arial" w:cs="Arial"/>
          <w:color w:val="0D0D0D"/>
          <w:bdr w:val="none" w:sz="0" w:space="0" w:color="auto" w:frame="1"/>
          <w:lang w:eastAsia="es-CO"/>
        </w:rPr>
        <w:t>ley de pliegos tipo</w:t>
      </w:r>
      <w:r w:rsidR="008E1AD5">
        <w:rPr>
          <w:rFonts w:ascii="Arial" w:hAnsi="Arial" w:cs="Arial"/>
          <w:color w:val="0D0D0D"/>
          <w:bdr w:val="none" w:sz="0" w:space="0" w:color="auto" w:frame="1"/>
          <w:lang w:eastAsia="es-CO"/>
        </w:rPr>
        <w:t>”</w:t>
      </w:r>
      <w:r w:rsidRPr="0067709B">
        <w:rPr>
          <w:rFonts w:ascii="Arial" w:hAnsi="Arial" w:cs="Arial"/>
          <w:color w:val="0D0D0D"/>
          <w:bdr w:val="none" w:sz="0" w:space="0" w:color="auto" w:frame="1"/>
          <w:lang w:eastAsia="es-CO"/>
        </w:rPr>
        <w:t xml:space="preserve">, que rige a partir de su publicación y cuyo artículo 1 modificó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67709B">
        <w:rPr>
          <w:rFonts w:ascii="Arial" w:hAnsi="Arial" w:cs="Arial"/>
          <w:color w:val="0D0D0D"/>
          <w:bdr w:val="none" w:sz="0" w:space="0" w:color="auto" w:frame="1"/>
          <w:lang w:eastAsia="es-CO"/>
        </w:rPr>
        <w:t>ii</w:t>
      </w:r>
      <w:proofErr w:type="spellEnd"/>
      <w:r w:rsidRPr="0067709B">
        <w:rPr>
          <w:rFonts w:ascii="Arial" w:hAnsi="Arial" w:cs="Arial"/>
          <w:color w:val="0D0D0D"/>
          <w:bdr w:val="none" w:sz="0" w:space="0" w:color="auto" w:frame="1"/>
          <w:lang w:eastAsia="es-CO"/>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67709B">
        <w:rPr>
          <w:rFonts w:ascii="Arial" w:hAnsi="Arial" w:cs="Arial"/>
          <w:color w:val="0D0D0D"/>
          <w:bdr w:val="none" w:sz="0" w:space="0" w:color="auto" w:frame="1"/>
          <w:lang w:eastAsia="es-CO"/>
        </w:rPr>
        <w:t>iii</w:t>
      </w:r>
      <w:proofErr w:type="spellEnd"/>
      <w:r w:rsidRPr="0067709B">
        <w:rPr>
          <w:rFonts w:ascii="Arial" w:hAnsi="Arial" w:cs="Arial"/>
          <w:color w:val="0D0D0D"/>
          <w:bdr w:val="none" w:sz="0" w:space="0" w:color="auto" w:frame="1"/>
          <w:lang w:eastAsia="es-CO"/>
        </w:rPr>
        <w:t xml:space="preserve">) la implementación de procesos de capacitación en los municipios para la utilización de los documentos tipo buscando el desarrollo de la economía local; y </w:t>
      </w:r>
      <w:proofErr w:type="spellStart"/>
      <w:r w:rsidRPr="0067709B">
        <w:rPr>
          <w:rFonts w:ascii="Arial" w:hAnsi="Arial" w:cs="Arial"/>
          <w:color w:val="0D0D0D"/>
          <w:bdr w:val="none" w:sz="0" w:space="0" w:color="auto" w:frame="1"/>
          <w:lang w:eastAsia="es-CO"/>
        </w:rPr>
        <w:t>iv</w:t>
      </w:r>
      <w:proofErr w:type="spellEnd"/>
      <w:r w:rsidRPr="0067709B">
        <w:rPr>
          <w:rFonts w:ascii="Arial" w:hAnsi="Arial" w:cs="Arial"/>
          <w:color w:val="0D0D0D"/>
          <w:bdr w:val="none" w:sz="0" w:space="0" w:color="auto" w:frame="1"/>
          <w:lang w:eastAsia="es-CO"/>
        </w:rPr>
        <w:t xml:space="preserve">) las responsabilidades para Colombia Compra Eficiente en la definición del desarrollo e implementación de los documentos </w:t>
      </w:r>
      <w:r w:rsidRPr="0067709B">
        <w:rPr>
          <w:rFonts w:ascii="Arial" w:hAnsi="Arial" w:cs="Arial"/>
          <w:color w:val="0D0D0D"/>
          <w:bdr w:val="none" w:sz="0" w:space="0" w:color="auto" w:frame="1"/>
          <w:lang w:eastAsia="es-CO"/>
        </w:rPr>
        <w:lastRenderedPageBreak/>
        <w:t>tipo mediante cronogramas, coordinación con otras entidades especializadas, recepción de comentarios de los interesados y revisión de los documentos tipo expedidos</w:t>
      </w:r>
      <w:r w:rsidRPr="0067709B">
        <w:rPr>
          <w:rFonts w:ascii="Arial" w:hAnsi="Arial" w:cs="Arial"/>
          <w:color w:val="0D0D0D"/>
          <w:bdr w:val="none" w:sz="0" w:space="0" w:color="auto" w:frame="1"/>
          <w:vertAlign w:val="superscript"/>
          <w:lang w:eastAsia="es-CO"/>
        </w:rPr>
        <w:footnoteReference w:id="7"/>
      </w:r>
      <w:r w:rsidRPr="0067709B">
        <w:rPr>
          <w:rFonts w:ascii="Arial" w:hAnsi="Arial" w:cs="Arial"/>
          <w:color w:val="0D0D0D"/>
          <w:bdr w:val="none" w:sz="0" w:space="0" w:color="auto" w:frame="1"/>
          <w:lang w:eastAsia="es-CO"/>
        </w:rPr>
        <w:t xml:space="preserve">. </w:t>
      </w:r>
    </w:p>
    <w:p w14:paraId="021CD6F4" w14:textId="27C6E8D1" w:rsidR="000D221C" w:rsidRPr="0067709B" w:rsidRDefault="000D221C" w:rsidP="00AF274F">
      <w:pPr>
        <w:shd w:val="clear" w:color="auto" w:fill="FFFFFF"/>
        <w:spacing w:before="120" w:after="0" w:line="276" w:lineRule="auto"/>
        <w:ind w:firstLine="703"/>
        <w:jc w:val="both"/>
        <w:rPr>
          <w:rFonts w:ascii="Arial" w:hAnsi="Arial" w:cs="Arial"/>
          <w:color w:val="0D0D0D"/>
          <w:bdr w:val="none" w:sz="0" w:space="0" w:color="auto" w:frame="1"/>
          <w:lang w:eastAsia="es-CO"/>
        </w:rPr>
      </w:pPr>
      <w:r w:rsidRPr="0067709B">
        <w:rPr>
          <w:rFonts w:ascii="Arial" w:hAnsi="Arial" w:cs="Arial"/>
          <w:color w:val="0D0D0D"/>
          <w:bdr w:val="none" w:sz="0" w:space="0" w:color="auto" w:frame="1"/>
          <w:lang w:eastAsia="es-CO"/>
        </w:rPr>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w:t>
      </w:r>
    </w:p>
    <w:p w14:paraId="1E81C013" w14:textId="1E1F9652" w:rsidR="009638B0" w:rsidRPr="00701DEE" w:rsidRDefault="000D221C" w:rsidP="00771BCD">
      <w:pPr>
        <w:shd w:val="clear" w:color="auto" w:fill="FFFFFF"/>
        <w:spacing w:before="120" w:after="0" w:line="276" w:lineRule="auto"/>
        <w:ind w:firstLine="705"/>
        <w:jc w:val="both"/>
        <w:rPr>
          <w:rFonts w:ascii="Arial" w:eastAsia="Times New Roman" w:hAnsi="Arial" w:cs="Arial"/>
          <w:szCs w:val="24"/>
          <w:shd w:val="clear" w:color="auto" w:fill="FFFFFF"/>
          <w:lang w:val="es-ES_tradnl" w:eastAsia="es-ES_tradnl"/>
        </w:rPr>
      </w:pPr>
      <w:r w:rsidRPr="0067709B">
        <w:rPr>
          <w:rFonts w:ascii="Arial" w:hAnsi="Arial" w:cs="Arial"/>
          <w:color w:val="0D0D0D"/>
          <w:bdr w:val="none" w:sz="0" w:space="0" w:color="auto" w:frame="1"/>
          <w:lang w:eastAsia="es-CO"/>
        </w:rPr>
        <w:t>En ejercicio de la competencia conferida por el citado parágrafo, el Gobierno Nacional expidió el Decreto 342 de 2019, mediante el cual se adoptaron los documentos tipo para licitaciones públicas para selección de contratistas de obra de infraestructura de transporte.</w:t>
      </w:r>
      <w:r w:rsidR="00771BCD">
        <w:rPr>
          <w:rFonts w:ascii="Arial" w:hAnsi="Arial" w:cs="Arial"/>
          <w:color w:val="0D0D0D"/>
          <w:bdr w:val="none" w:sz="0" w:space="0" w:color="auto" w:frame="1"/>
          <w:lang w:eastAsia="es-CO"/>
        </w:rPr>
        <w:t xml:space="preserve"> A continuación, la Agencia ha emitido varias resoluciones </w:t>
      </w:r>
      <w:r w:rsidR="009638B0" w:rsidRPr="00701DEE">
        <w:rPr>
          <w:rFonts w:ascii="Arial" w:eastAsia="Times New Roman" w:hAnsi="Arial" w:cs="Arial"/>
          <w:szCs w:val="24"/>
          <w:shd w:val="clear" w:color="auto" w:fill="FFFFFF"/>
          <w:lang w:val="es-ES_tradnl" w:eastAsia="es-ES_tradnl"/>
        </w:rPr>
        <w:t>mediante las cuales se han adoptado los documentos tipo</w:t>
      </w:r>
      <w:r w:rsidR="00771BCD">
        <w:rPr>
          <w:rFonts w:ascii="Arial" w:eastAsia="Times New Roman" w:hAnsi="Arial" w:cs="Arial"/>
          <w:szCs w:val="24"/>
          <w:shd w:val="clear" w:color="auto" w:fill="FFFFFF"/>
          <w:lang w:val="es-ES_tradnl" w:eastAsia="es-ES_tradnl"/>
        </w:rPr>
        <w:t xml:space="preserve"> para los ámbitos de aplicación que tienen competencia y que</w:t>
      </w:r>
      <w:r w:rsidR="009638B0" w:rsidRPr="00701DEE">
        <w:rPr>
          <w:rFonts w:ascii="Arial" w:eastAsia="Times New Roman" w:hAnsi="Arial" w:cs="Arial"/>
          <w:szCs w:val="24"/>
          <w:shd w:val="clear" w:color="auto" w:fill="FFFFFF"/>
          <w:lang w:val="es-ES_tradnl" w:eastAsia="es-ES_tradnl"/>
        </w:rPr>
        <w:t xml:space="preserve"> consagran la regla </w:t>
      </w:r>
      <w:r w:rsidR="009638B0" w:rsidRPr="00701DEE">
        <w:rPr>
          <w:rFonts w:ascii="Arial" w:eastAsia="Times New Roman" w:hAnsi="Arial" w:cs="Arial"/>
          <w:szCs w:val="24"/>
          <w:shd w:val="clear" w:color="auto" w:fill="FFFFFF"/>
          <w:lang w:val="es-ES_tradnl" w:eastAsia="es-ES_tradnl"/>
        </w:rPr>
        <w:lastRenderedPageBreak/>
        <w:t>de la inalterabilidad</w:t>
      </w:r>
      <w:r w:rsidR="009638B0" w:rsidRPr="00701DEE">
        <w:rPr>
          <w:rFonts w:ascii="Arial" w:eastAsia="Times New Roman" w:hAnsi="Arial" w:cs="Arial"/>
          <w:szCs w:val="24"/>
          <w:shd w:val="clear" w:color="auto" w:fill="FFFFFF"/>
          <w:vertAlign w:val="superscript"/>
          <w:lang w:val="es-ES_tradnl" w:eastAsia="es-ES_tradnl"/>
        </w:rPr>
        <w:footnoteReference w:id="8"/>
      </w:r>
      <w:r w:rsidR="009638B0" w:rsidRPr="00701DEE">
        <w:rPr>
          <w:rFonts w:ascii="Arial" w:eastAsia="Times New Roman" w:hAnsi="Arial" w:cs="Arial"/>
          <w:szCs w:val="24"/>
          <w:shd w:val="clear" w:color="auto" w:fill="FFFFFF"/>
          <w:lang w:val="es-ES_tradnl" w:eastAsia="es-ES_tradnl"/>
        </w:rPr>
        <w:t xml:space="preserve">. Esta prohibición consiste en que las entidades estatales no pueden incluir o modificar en los </w:t>
      </w:r>
      <w:r w:rsidR="009638B0" w:rsidRPr="00701DEE">
        <w:rPr>
          <w:rFonts w:ascii="Arial" w:eastAsia="Times New Roman" w:hAnsi="Arial" w:cs="Arial"/>
          <w:i/>
          <w:iCs/>
          <w:szCs w:val="24"/>
          <w:shd w:val="clear" w:color="auto" w:fill="FFFFFF"/>
          <w:lang w:val="es-ES_tradnl" w:eastAsia="es-ES_tradnl"/>
        </w:rPr>
        <w:t>Documentos del Proceso</w:t>
      </w:r>
      <w:r w:rsidR="009638B0" w:rsidRPr="00701DEE">
        <w:rPr>
          <w:rFonts w:ascii="Arial" w:eastAsia="Times New Roman" w:hAnsi="Arial" w:cs="Arial"/>
          <w:szCs w:val="24"/>
          <w:shd w:val="clear" w:color="auto" w:fill="FFFFFF"/>
          <w:lang w:val="es-ES_tradnl" w:eastAsia="es-ES_tradnl"/>
        </w:rPr>
        <w:t xml:space="preserve">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6DE25272" w14:textId="042FF16A" w:rsidR="009638B0" w:rsidRDefault="009638B0" w:rsidP="00B71659">
      <w:pPr>
        <w:spacing w:before="240" w:after="0" w:line="276" w:lineRule="auto"/>
        <w:ind w:firstLine="709"/>
        <w:jc w:val="both"/>
        <w:rPr>
          <w:rFonts w:ascii="Arial" w:eastAsia="Times New Roman" w:hAnsi="Arial" w:cs="Arial"/>
          <w:shd w:val="clear" w:color="auto" w:fill="FFFFFF"/>
          <w:lang w:val="es-ES_tradnl" w:eastAsia="es-ES_tradnl"/>
        </w:rPr>
      </w:pPr>
      <w:r w:rsidRPr="00701DEE">
        <w:rPr>
          <w:rFonts w:ascii="Arial" w:eastAsia="Times New Roman" w:hAnsi="Arial" w:cs="Arial"/>
          <w:shd w:val="clear" w:color="auto" w:fill="FFFFFF"/>
          <w:lang w:val="es-ES_tradnl" w:eastAsia="es-ES_tradnl"/>
        </w:rPr>
        <w:t xml:space="preserve">El fundamento legal vigente de la regla de la </w:t>
      </w:r>
      <w:r w:rsidRPr="00701DEE">
        <w:rPr>
          <w:rFonts w:ascii="Arial" w:eastAsia="Times New Roman" w:hAnsi="Arial" w:cs="Arial"/>
          <w:szCs w:val="24"/>
          <w:shd w:val="clear" w:color="auto" w:fill="FFFFFF"/>
          <w:lang w:val="es-ES_tradnl" w:eastAsia="es-ES_tradnl"/>
        </w:rPr>
        <w:t xml:space="preserve">inalterabilidad </w:t>
      </w:r>
      <w:r w:rsidRPr="00701DEE">
        <w:rPr>
          <w:rFonts w:ascii="Arial" w:eastAsia="Times New Roman" w:hAnsi="Arial" w:cs="Arial"/>
          <w:shd w:val="clear" w:color="auto" w:fill="FFFFFF"/>
          <w:lang w:val="es-ES_tradnl" w:eastAsia="es-ES_tradnl"/>
        </w:rPr>
        <w:t>se encuentra en el artículo 1 de la Ley 2022 de 2020, según el cual «</w:t>
      </w:r>
      <w:r w:rsidRPr="00701DEE">
        <w:rPr>
          <w:rFonts w:ascii="Arial" w:eastAsia="Times New Roman" w:hAnsi="Arial" w:cs="Arial"/>
          <w:lang w:val="es-ES_tradnl" w:eastAsia="es-ES_tradnl"/>
        </w:rPr>
        <w:t xml:space="preserve">[…] </w:t>
      </w:r>
      <w:r w:rsidRPr="00701DEE">
        <w:rPr>
          <w:rFonts w:ascii="Arial" w:eastAsia="Times New Roman" w:hAnsi="Arial" w:cs="Arial"/>
          <w:shd w:val="clear" w:color="auto" w:fill="FFFFFF"/>
          <w:lang w:val="es-ES_tradnl" w:eastAsia="es-ES_tradnl"/>
        </w:rPr>
        <w:t xml:space="preserve">serán de obligatorio cumplimiento en la actividad contractual de todas las entidades sometidas al Estatuto General de Contratación de la Administración Pública». </w:t>
      </w:r>
    </w:p>
    <w:p w14:paraId="217F4AC3" w14:textId="5DFA335B" w:rsidR="000D221C" w:rsidRDefault="000E026E" w:rsidP="00B71659">
      <w:pPr>
        <w:spacing w:before="240" w:after="0" w:line="276" w:lineRule="auto"/>
        <w:ind w:firstLine="709"/>
        <w:jc w:val="both"/>
        <w:rPr>
          <w:rFonts w:ascii="Arial" w:eastAsia="Calibri" w:hAnsi="Arial" w:cs="Arial"/>
          <w:lang w:val="es-ES_tradnl"/>
        </w:rPr>
      </w:pPr>
      <w:r>
        <w:rPr>
          <w:rFonts w:ascii="Arial" w:hAnsi="Arial" w:cs="Arial"/>
          <w:color w:val="0D0D0D"/>
          <w:bdr w:val="none" w:sz="0" w:space="0" w:color="auto" w:frame="1"/>
          <w:lang w:eastAsia="es-CO"/>
        </w:rPr>
        <w:t>Ahora bien</w:t>
      </w:r>
      <w:r w:rsidR="000E276E">
        <w:rPr>
          <w:rFonts w:ascii="Arial" w:hAnsi="Arial" w:cs="Arial"/>
          <w:color w:val="0D0D0D"/>
          <w:bdr w:val="none" w:sz="0" w:space="0" w:color="auto" w:frame="1"/>
          <w:lang w:eastAsia="es-CO"/>
        </w:rPr>
        <w:t xml:space="preserve">, </w:t>
      </w:r>
      <w:r>
        <w:rPr>
          <w:rFonts w:ascii="Arial" w:hAnsi="Arial" w:cs="Arial"/>
          <w:color w:val="0D0D0D"/>
          <w:bdr w:val="none" w:sz="0" w:space="0" w:color="auto" w:frame="1"/>
          <w:lang w:eastAsia="es-CO"/>
        </w:rPr>
        <w:t xml:space="preserve">sobre </w:t>
      </w:r>
      <w:r w:rsidR="000E276E">
        <w:rPr>
          <w:rFonts w:ascii="Arial" w:hAnsi="Arial" w:cs="Arial"/>
          <w:color w:val="0D0D0D"/>
          <w:bdr w:val="none" w:sz="0" w:space="0" w:color="auto" w:frame="1"/>
          <w:lang w:eastAsia="es-CO"/>
        </w:rPr>
        <w:t xml:space="preserve">el </w:t>
      </w:r>
      <w:r>
        <w:rPr>
          <w:rFonts w:ascii="Arial" w:hAnsi="Arial" w:cs="Arial"/>
          <w:color w:val="0D0D0D"/>
          <w:bdr w:val="none" w:sz="0" w:space="0" w:color="auto" w:frame="1"/>
          <w:lang w:eastAsia="es-CO"/>
        </w:rPr>
        <w:t>Documento Tipo</w:t>
      </w:r>
      <w:r w:rsidR="000E276E">
        <w:rPr>
          <w:rFonts w:ascii="Arial" w:hAnsi="Arial" w:cs="Arial"/>
          <w:color w:val="0D0D0D"/>
          <w:bdr w:val="none" w:sz="0" w:space="0" w:color="auto" w:frame="1"/>
          <w:lang w:eastAsia="es-CO"/>
        </w:rPr>
        <w:t xml:space="preserve"> de consulta en la presente petición, </w:t>
      </w:r>
      <w:r w:rsidR="000E276E">
        <w:rPr>
          <w:rFonts w:ascii="Arial" w:hAnsi="Arial" w:cs="Arial"/>
          <w:color w:val="0D0D0D"/>
          <w:bdr w:val="none" w:sz="0" w:space="0" w:color="auto" w:frame="1"/>
          <w:lang w:val="es-ES_tradnl" w:eastAsia="es-CO"/>
        </w:rPr>
        <w:t xml:space="preserve">es importante indicar que la Agencia </w:t>
      </w:r>
      <w:r w:rsidR="000D221C" w:rsidRPr="0067709B">
        <w:rPr>
          <w:rFonts w:ascii="Arial" w:hAnsi="Arial" w:cs="Arial"/>
          <w:color w:val="0D0D0D"/>
          <w:bdr w:val="none" w:sz="0" w:space="0" w:color="auto" w:frame="1"/>
          <w:lang w:val="es-ES_tradnl" w:eastAsia="es-CO"/>
        </w:rPr>
        <w:t xml:space="preserve">adoptó para este sector los documentos tipo de interventoría y consultoría de estudios de ingeniería </w:t>
      </w:r>
      <w:r w:rsidR="00085D0D">
        <w:rPr>
          <w:rFonts w:ascii="Arial" w:hAnsi="Arial" w:cs="Arial"/>
          <w:color w:val="0D0D0D"/>
          <w:bdr w:val="none" w:sz="0" w:space="0" w:color="auto" w:frame="1"/>
          <w:lang w:val="es-ES_tradnl" w:eastAsia="es-CO"/>
        </w:rPr>
        <w:t>mediante la</w:t>
      </w:r>
      <w:r w:rsidR="000D221C" w:rsidRPr="0067709B">
        <w:rPr>
          <w:rFonts w:ascii="Arial" w:hAnsi="Arial" w:cs="Arial"/>
          <w:color w:val="0D0D0D"/>
          <w:bdr w:val="none" w:sz="0" w:space="0" w:color="auto" w:frame="1"/>
          <w:lang w:val="es-ES_tradnl" w:eastAsia="es-CO"/>
        </w:rPr>
        <w:t xml:space="preserve"> Resoluci</w:t>
      </w:r>
      <w:r w:rsidR="00085D0D">
        <w:rPr>
          <w:rFonts w:ascii="Arial" w:hAnsi="Arial" w:cs="Arial"/>
          <w:color w:val="0D0D0D"/>
          <w:bdr w:val="none" w:sz="0" w:space="0" w:color="auto" w:frame="1"/>
          <w:lang w:val="es-ES_tradnl" w:eastAsia="es-CO"/>
        </w:rPr>
        <w:t xml:space="preserve">ón </w:t>
      </w:r>
      <w:r w:rsidR="000D221C" w:rsidRPr="0067709B">
        <w:rPr>
          <w:rFonts w:ascii="Arial" w:hAnsi="Arial" w:cs="Arial"/>
          <w:color w:val="0D0D0D"/>
          <w:bdr w:val="none" w:sz="0" w:space="0" w:color="auto" w:frame="1"/>
          <w:lang w:val="es-ES_tradnl" w:eastAsia="es-CO"/>
        </w:rPr>
        <w:t>No. 256 del 11 de diciembre de 2020</w:t>
      </w:r>
      <w:r w:rsidR="00F16561">
        <w:rPr>
          <w:rFonts w:ascii="Arial" w:hAnsi="Arial" w:cs="Arial"/>
          <w:color w:val="0D0D0D"/>
          <w:bdr w:val="none" w:sz="0" w:space="0" w:color="auto" w:frame="1"/>
          <w:lang w:val="es-ES_tradnl" w:eastAsia="es-CO"/>
        </w:rPr>
        <w:t xml:space="preserve">y que ha sido modificada a través de la resolución </w:t>
      </w:r>
      <w:r w:rsidR="006A7338">
        <w:rPr>
          <w:rFonts w:ascii="Arial" w:hAnsi="Arial" w:cs="Arial"/>
          <w:color w:val="0D0D0D"/>
          <w:bdr w:val="none" w:sz="0" w:space="0" w:color="auto" w:frame="1"/>
          <w:lang w:val="es-ES_tradnl" w:eastAsia="es-CO"/>
        </w:rPr>
        <w:t>326 de 2022</w:t>
      </w:r>
      <w:bookmarkStart w:id="3" w:name="_Hlk71625212"/>
      <w:r w:rsidR="00F16561">
        <w:rPr>
          <w:rFonts w:ascii="Arial" w:hAnsi="Arial" w:cs="Arial"/>
          <w:color w:val="0D0D0D"/>
          <w:bdr w:val="none" w:sz="0" w:space="0" w:color="auto" w:frame="1"/>
          <w:lang w:val="es-ES_tradnl" w:eastAsia="es-CO"/>
        </w:rPr>
        <w:t>. L</w:t>
      </w:r>
      <w:r w:rsidR="000D221C" w:rsidRPr="0067709B">
        <w:rPr>
          <w:rStyle w:val="normaltextrun"/>
          <w:rFonts w:ascii="Arial" w:hAnsi="Arial" w:cs="Arial"/>
          <w:color w:val="000000"/>
          <w:shd w:val="clear" w:color="auto" w:fill="FFFFFF"/>
          <w:lang w:val="es-ES_tradnl"/>
        </w:rPr>
        <w:t>as actividades en las que aplica están previstas en la</w:t>
      </w:r>
      <w:r w:rsidR="000D221C" w:rsidRPr="0067709B">
        <w:rPr>
          <w:rFonts w:ascii="Arial" w:eastAsia="Calibri" w:hAnsi="Arial" w:cs="Arial"/>
          <w:lang w:val="es-ES_tradnl"/>
        </w:rPr>
        <w:t xml:space="preserve"> </w:t>
      </w:r>
      <w:r w:rsidR="008E1AD5">
        <w:rPr>
          <w:rFonts w:ascii="Arial" w:eastAsia="Calibri" w:hAnsi="Arial" w:cs="Arial"/>
          <w:lang w:val="es-ES_tradnl"/>
        </w:rPr>
        <w:t>“</w:t>
      </w:r>
      <w:r w:rsidR="000D221C" w:rsidRPr="0067709B">
        <w:rPr>
          <w:rFonts w:ascii="Arial" w:eastAsia="Calibri" w:hAnsi="Arial" w:cs="Arial"/>
          <w:lang w:val="es-ES_tradnl"/>
        </w:rPr>
        <w:t>Matriz 1 – Experiencia</w:t>
      </w:r>
      <w:r w:rsidR="008E1AD5">
        <w:rPr>
          <w:rFonts w:ascii="Arial" w:eastAsia="Calibri" w:hAnsi="Arial" w:cs="Arial"/>
          <w:lang w:val="es-ES_tradnl"/>
        </w:rPr>
        <w:t>”</w:t>
      </w:r>
      <w:r w:rsidR="000D221C" w:rsidRPr="0067709B">
        <w:rPr>
          <w:rFonts w:ascii="Arial" w:eastAsia="Calibri" w:hAnsi="Arial" w:cs="Arial"/>
          <w:lang w:val="es-ES_tradnl"/>
        </w:rPr>
        <w:t xml:space="preserve">. Entre ellas se encuentran las siguientes: i) interventoría a obras en vías primarias o secundarias; </w:t>
      </w:r>
      <w:proofErr w:type="spellStart"/>
      <w:r w:rsidR="000D221C" w:rsidRPr="0067709B">
        <w:rPr>
          <w:rFonts w:ascii="Arial" w:eastAsia="Calibri" w:hAnsi="Arial" w:cs="Arial"/>
          <w:lang w:val="es-ES_tradnl"/>
        </w:rPr>
        <w:t>ii</w:t>
      </w:r>
      <w:proofErr w:type="spellEnd"/>
      <w:r w:rsidR="000D221C" w:rsidRPr="0067709B">
        <w:rPr>
          <w:rFonts w:ascii="Arial" w:eastAsia="Calibri" w:hAnsi="Arial" w:cs="Arial"/>
          <w:lang w:val="es-ES_tradnl"/>
        </w:rPr>
        <w:t xml:space="preserve">) interventoría a obras terciarias; </w:t>
      </w:r>
      <w:proofErr w:type="spellStart"/>
      <w:r w:rsidR="000D221C" w:rsidRPr="0067709B">
        <w:rPr>
          <w:rFonts w:ascii="Arial" w:eastAsia="Calibri" w:hAnsi="Arial" w:cs="Arial"/>
          <w:lang w:val="es-ES_tradnl"/>
        </w:rPr>
        <w:t>iii</w:t>
      </w:r>
      <w:proofErr w:type="spellEnd"/>
      <w:r w:rsidR="000D221C" w:rsidRPr="0067709B">
        <w:rPr>
          <w:rFonts w:ascii="Arial" w:eastAsia="Calibri" w:hAnsi="Arial" w:cs="Arial"/>
          <w:lang w:val="es-ES_tradnl"/>
        </w:rPr>
        <w:t xml:space="preserve">) interventoría a obras marítimas y fluviales; </w:t>
      </w:r>
      <w:proofErr w:type="spellStart"/>
      <w:r w:rsidR="000D221C" w:rsidRPr="0067709B">
        <w:rPr>
          <w:rFonts w:ascii="Arial" w:eastAsia="Calibri" w:hAnsi="Arial" w:cs="Arial"/>
          <w:lang w:val="es-ES_tradnl"/>
        </w:rPr>
        <w:t>iv</w:t>
      </w:r>
      <w:proofErr w:type="spellEnd"/>
      <w:r w:rsidR="000D221C" w:rsidRPr="0067709B">
        <w:rPr>
          <w:rFonts w:ascii="Arial" w:eastAsia="Calibri" w:hAnsi="Arial" w:cs="Arial"/>
          <w:lang w:val="es-ES_tradnl"/>
        </w:rPr>
        <w:t xml:space="preserve">) interventoría a obras en vías primarias y secundarias o terciarias o urbanas para atención, prevención o mitigación de emergencias diferentes a contratación directa; v) interventoría a obras férreas; vi) interventoría a obras de infraestructura vial urbana; </w:t>
      </w:r>
      <w:proofErr w:type="spellStart"/>
      <w:r w:rsidR="000D221C" w:rsidRPr="0067709B">
        <w:rPr>
          <w:rFonts w:ascii="Arial" w:eastAsia="Calibri" w:hAnsi="Arial" w:cs="Arial"/>
          <w:lang w:val="es-ES_tradnl"/>
        </w:rPr>
        <w:t>vii</w:t>
      </w:r>
      <w:proofErr w:type="spellEnd"/>
      <w:r w:rsidR="000D221C" w:rsidRPr="0067709B">
        <w:rPr>
          <w:rFonts w:ascii="Arial" w:eastAsia="Calibri" w:hAnsi="Arial" w:cs="Arial"/>
          <w:lang w:val="es-ES_tradnl"/>
        </w:rPr>
        <w:t xml:space="preserve">) interventoría a obras en puentes; y </w:t>
      </w:r>
      <w:proofErr w:type="spellStart"/>
      <w:r w:rsidR="000D221C" w:rsidRPr="0067709B">
        <w:rPr>
          <w:rFonts w:ascii="Arial" w:eastAsia="Calibri" w:hAnsi="Arial" w:cs="Arial"/>
          <w:lang w:val="es-ES_tradnl"/>
        </w:rPr>
        <w:t>viii</w:t>
      </w:r>
      <w:proofErr w:type="spellEnd"/>
      <w:r w:rsidR="000D221C" w:rsidRPr="0067709B">
        <w:rPr>
          <w:rFonts w:ascii="Arial" w:eastAsia="Calibri" w:hAnsi="Arial" w:cs="Arial"/>
          <w:lang w:val="es-ES_tradnl"/>
        </w:rPr>
        <w:t xml:space="preserve">) interventoría a obras aeroportuarias. </w:t>
      </w:r>
    </w:p>
    <w:p w14:paraId="549F9A8C" w14:textId="77777777" w:rsidR="00B22983" w:rsidRDefault="00B22983" w:rsidP="00AF274F">
      <w:pPr>
        <w:spacing w:after="0" w:line="276" w:lineRule="auto"/>
        <w:jc w:val="both"/>
        <w:rPr>
          <w:rFonts w:ascii="Arial" w:eastAsia="Calibri" w:hAnsi="Arial" w:cs="Arial"/>
          <w:b/>
          <w:bCs/>
          <w:lang w:val="es-ES_tradnl"/>
        </w:rPr>
      </w:pPr>
    </w:p>
    <w:p w14:paraId="16CA8ADE" w14:textId="09C8A657" w:rsidR="00D47E26" w:rsidRPr="0067709B" w:rsidRDefault="000D221C" w:rsidP="00D47E26">
      <w:pPr>
        <w:spacing w:after="0" w:line="276" w:lineRule="auto"/>
        <w:jc w:val="both"/>
        <w:rPr>
          <w:rFonts w:ascii="Arial" w:eastAsia="Calibri" w:hAnsi="Arial" w:cs="Arial"/>
          <w:color w:val="000000" w:themeColor="text1"/>
        </w:rPr>
      </w:pPr>
      <w:r w:rsidRPr="0067709B">
        <w:rPr>
          <w:rFonts w:ascii="Arial" w:eastAsia="Calibri" w:hAnsi="Arial" w:cs="Arial"/>
          <w:b/>
          <w:bCs/>
          <w:lang w:val="es-ES_tradnl"/>
        </w:rPr>
        <w:t xml:space="preserve">2.2. </w:t>
      </w:r>
      <w:r w:rsidR="006D42D3">
        <w:rPr>
          <w:rFonts w:ascii="Arial" w:eastAsia="Calibri" w:hAnsi="Arial" w:cs="Arial"/>
          <w:b/>
          <w:bCs/>
          <w:lang w:val="es-ES_tradnl"/>
        </w:rPr>
        <w:t>Alcance</w:t>
      </w:r>
      <w:r w:rsidR="00636C69">
        <w:rPr>
          <w:rFonts w:ascii="Arial" w:eastAsia="Calibri" w:hAnsi="Arial" w:cs="Arial"/>
          <w:b/>
          <w:bCs/>
          <w:lang w:val="es-ES_tradnl"/>
        </w:rPr>
        <w:t xml:space="preserve"> </w:t>
      </w:r>
      <w:r w:rsidR="00636C69">
        <w:rPr>
          <w:rFonts w:ascii="Arial" w:eastAsia="Calibri" w:hAnsi="Arial" w:cs="Arial"/>
          <w:b/>
          <w:bCs/>
          <w:color w:val="000000" w:themeColor="text1"/>
        </w:rPr>
        <w:t>d</w:t>
      </w:r>
      <w:r w:rsidR="00D47E26" w:rsidRPr="00D47E26">
        <w:rPr>
          <w:rFonts w:ascii="Arial" w:eastAsia="Calibri" w:hAnsi="Arial" w:cs="Arial"/>
          <w:b/>
          <w:bCs/>
          <w:color w:val="000000" w:themeColor="text1"/>
        </w:rPr>
        <w:t>e</w:t>
      </w:r>
      <w:r w:rsidR="00636C69">
        <w:rPr>
          <w:rFonts w:ascii="Arial" w:eastAsia="Calibri" w:hAnsi="Arial" w:cs="Arial"/>
          <w:b/>
          <w:bCs/>
          <w:color w:val="000000" w:themeColor="text1"/>
        </w:rPr>
        <w:t xml:space="preserve"> la</w:t>
      </w:r>
      <w:r w:rsidR="00D47E26" w:rsidRPr="00D47E26">
        <w:rPr>
          <w:rFonts w:ascii="Arial" w:eastAsia="Calibri" w:hAnsi="Arial" w:cs="Arial"/>
          <w:b/>
          <w:bCs/>
          <w:color w:val="000000" w:themeColor="text1"/>
        </w:rPr>
        <w:t xml:space="preserve"> inalterabilidad de los documentos tipo de interventoría de obra pública de infraestructura de transporte: </w:t>
      </w:r>
      <w:r w:rsidR="00D47E26" w:rsidRPr="00D47E26">
        <w:rPr>
          <w:rFonts w:ascii="Arial" w:eastAsia="Calibri" w:hAnsi="Arial" w:cs="Arial"/>
          <w:b/>
          <w:bCs/>
          <w:color w:val="000000"/>
          <w:lang w:val="es-ES_tradnl" w:eastAsia="es-ES_tradnl"/>
        </w:rPr>
        <w:t>concurso de méritos abierto</w:t>
      </w:r>
    </w:p>
    <w:p w14:paraId="561F1885" w14:textId="733E2669" w:rsidR="000D221C" w:rsidRPr="00D47E26" w:rsidRDefault="000D221C" w:rsidP="00AF274F">
      <w:pPr>
        <w:spacing w:after="0" w:line="276" w:lineRule="auto"/>
        <w:jc w:val="both"/>
        <w:rPr>
          <w:rFonts w:ascii="Arial" w:eastAsia="Calibri" w:hAnsi="Arial" w:cs="Arial"/>
          <w:b/>
          <w:bCs/>
        </w:rPr>
      </w:pPr>
    </w:p>
    <w:p w14:paraId="503A5FC7" w14:textId="52AC392A" w:rsidR="000D221C" w:rsidRPr="0067709B" w:rsidRDefault="000D221C" w:rsidP="00AF274F">
      <w:pPr>
        <w:shd w:val="clear" w:color="auto" w:fill="FFFFFF"/>
        <w:spacing w:after="0" w:line="276" w:lineRule="auto"/>
        <w:jc w:val="both"/>
        <w:textAlignment w:val="baseline"/>
        <w:rPr>
          <w:rFonts w:ascii="Arial" w:hAnsi="Arial" w:cs="Arial"/>
          <w:b/>
          <w:bCs/>
          <w:color w:val="000000"/>
          <w:lang w:eastAsia="es-CO"/>
        </w:rPr>
      </w:pPr>
      <w:bookmarkStart w:id="4" w:name="_Hlk72774853"/>
      <w:bookmarkEnd w:id="3"/>
      <w:r w:rsidRPr="0067709B">
        <w:rPr>
          <w:rFonts w:ascii="Arial" w:hAnsi="Arial" w:cs="Arial"/>
          <w:bCs/>
          <w:lang w:val="es-ES_tradnl"/>
        </w:rPr>
        <w:t xml:space="preserve">El </w:t>
      </w:r>
      <w:bookmarkStart w:id="5" w:name="_Hlk81313863"/>
      <w:r w:rsidRPr="0067709B">
        <w:rPr>
          <w:rFonts w:ascii="Arial" w:hAnsi="Arial" w:cs="Arial"/>
          <w:bCs/>
          <w:lang w:val="es-ES_tradnl"/>
        </w:rPr>
        <w:t xml:space="preserve">artículo 3 de la Resolución </w:t>
      </w:r>
      <w:bookmarkStart w:id="6" w:name="_Hlk87533586"/>
      <w:r w:rsidRPr="0067709B">
        <w:rPr>
          <w:rFonts w:ascii="Arial" w:hAnsi="Arial" w:cs="Arial"/>
          <w:bCs/>
          <w:lang w:val="es-ES_tradnl"/>
        </w:rPr>
        <w:t>No. 256 del 11 de diciembre de 2020</w:t>
      </w:r>
      <w:bookmarkEnd w:id="6"/>
      <w:r w:rsidRPr="0067709B">
        <w:rPr>
          <w:rFonts w:ascii="Arial" w:hAnsi="Arial" w:cs="Arial"/>
          <w:bCs/>
          <w:lang w:val="es-ES_tradnl"/>
        </w:rPr>
        <w:t xml:space="preserve"> </w:t>
      </w:r>
      <w:bookmarkEnd w:id="5"/>
      <w:r w:rsidRPr="0067709B">
        <w:rPr>
          <w:rFonts w:ascii="Arial" w:hAnsi="Arial" w:cs="Arial"/>
          <w:bCs/>
          <w:lang w:val="es-ES_tradnl"/>
        </w:rPr>
        <w:t>dispone la inalterabilidad de los documentos tipo de interventoría de obra pública de infraestructura de transporte. En consecuencia</w:t>
      </w:r>
      <w:bookmarkStart w:id="7" w:name="_Hlk64290904"/>
      <w:r w:rsidRPr="0067709B">
        <w:rPr>
          <w:rFonts w:ascii="Arial" w:hAnsi="Arial" w:cs="Arial"/>
          <w:bCs/>
          <w:lang w:val="es-ES_tradnl"/>
        </w:rPr>
        <w:t xml:space="preserve">, las condiciones establecidas en los documentos que adopte la Agencia, en ejercicio del mandato establecido en el artículo 1 de la Ley 2022 de 2020 son de obligatorio cumplimiento para las entidades sometidas al Estatuto General de Contratación de la Administración pública que adelanten procesos que deban regirse por su contenido y, salvo que se permita expresamente, variarse </w:t>
      </w:r>
      <w:r w:rsidR="007C2B32">
        <w:rPr>
          <w:rFonts w:ascii="Arial" w:hAnsi="Arial" w:cs="Arial"/>
          <w:bCs/>
          <w:lang w:val="es-ES_tradnl"/>
        </w:rPr>
        <w:t xml:space="preserve">algunos de </w:t>
      </w:r>
      <w:r w:rsidRPr="0067709B">
        <w:rPr>
          <w:rFonts w:ascii="Arial" w:hAnsi="Arial" w:cs="Arial"/>
          <w:bCs/>
          <w:lang w:val="es-ES_tradnl"/>
        </w:rPr>
        <w:t>los requisitos fijados en ellos.</w:t>
      </w:r>
      <w:bookmarkEnd w:id="7"/>
      <w:r w:rsidRPr="0067709B">
        <w:rPr>
          <w:rFonts w:ascii="Arial" w:hAnsi="Arial" w:cs="Arial"/>
          <w:bCs/>
          <w:lang w:val="es-ES_tradnl"/>
        </w:rPr>
        <w:t xml:space="preserve"> </w:t>
      </w:r>
    </w:p>
    <w:p w14:paraId="6A793C65" w14:textId="4BDC2066" w:rsidR="000D221C" w:rsidRPr="0067709B" w:rsidRDefault="000D221C" w:rsidP="00AF274F">
      <w:pPr>
        <w:spacing w:before="120" w:after="0" w:line="276" w:lineRule="auto"/>
        <w:ind w:firstLine="709"/>
        <w:jc w:val="both"/>
        <w:rPr>
          <w:rFonts w:ascii="Arial" w:eastAsia="Calibri" w:hAnsi="Arial" w:cs="Arial"/>
          <w:bCs/>
          <w:lang w:val="es-ES_tradnl"/>
        </w:rPr>
      </w:pPr>
      <w:r w:rsidRPr="0067709B">
        <w:rPr>
          <w:rFonts w:ascii="Arial" w:hAnsi="Arial" w:cs="Arial"/>
          <w:bCs/>
          <w:lang w:val="es-ES_tradnl"/>
        </w:rPr>
        <w:lastRenderedPageBreak/>
        <w:t xml:space="preserve">Esta prohibición la ratifica el literal F del numeral 1.17 del pliego de condiciones, al disponer la inalterabilidad de los documentos tipo en los siguientes términos: </w:t>
      </w:r>
      <w:r w:rsidR="008E1AD5">
        <w:rPr>
          <w:rFonts w:ascii="Arial" w:hAnsi="Arial" w:cs="Arial"/>
          <w:bCs/>
          <w:lang w:val="es-ES_tradnl"/>
        </w:rPr>
        <w:t>“</w:t>
      </w:r>
      <w:r w:rsidRPr="0067709B">
        <w:rPr>
          <w:rFonts w:ascii="Arial" w:hAnsi="Arial" w:cs="Arial"/>
          <w:bCs/>
          <w:lang w:val="es-ES_tradnl"/>
        </w:rPr>
        <w:t>Las entidades contratantes no podrán incluir o modificar dentro de los documentos del proceso, las condiciones habilitantes, factores técnicos y económicos de escogencia y sistemas de ponderación distintos a los señalados en los documentos tipo</w:t>
      </w:r>
      <w:r w:rsidR="008E1AD5">
        <w:rPr>
          <w:rFonts w:ascii="Arial" w:hAnsi="Arial" w:cs="Arial"/>
          <w:bCs/>
          <w:lang w:val="es-ES_tradnl"/>
        </w:rPr>
        <w:t>”</w:t>
      </w:r>
      <w:r w:rsidRPr="0067709B">
        <w:rPr>
          <w:rFonts w:ascii="Arial" w:hAnsi="Arial" w:cs="Arial"/>
          <w:bCs/>
          <w:lang w:val="es-ES_tradnl"/>
        </w:rPr>
        <w:t xml:space="preserve">. </w:t>
      </w:r>
    </w:p>
    <w:bookmarkEnd w:id="4"/>
    <w:p w14:paraId="7D465783" w14:textId="4595A5BD" w:rsidR="000D221C" w:rsidRPr="0067709B" w:rsidRDefault="000D221C" w:rsidP="003575AA">
      <w:pPr>
        <w:spacing w:before="120" w:after="0" w:line="276" w:lineRule="auto"/>
        <w:ind w:firstLine="708"/>
        <w:jc w:val="both"/>
        <w:rPr>
          <w:rFonts w:ascii="Arial" w:hAnsi="Arial" w:cs="Arial"/>
        </w:rPr>
      </w:pPr>
      <w:r w:rsidRPr="0067709B">
        <w:rPr>
          <w:rFonts w:ascii="Arial" w:hAnsi="Arial" w:cs="Arial"/>
          <w:bCs/>
          <w:lang w:val="es-ES_tradnl"/>
        </w:rPr>
        <w:t>A</w:t>
      </w:r>
      <w:r w:rsidR="00375BD2">
        <w:rPr>
          <w:rFonts w:ascii="Arial" w:hAnsi="Arial" w:cs="Arial"/>
          <w:bCs/>
          <w:lang w:val="es-ES_tradnl"/>
        </w:rPr>
        <w:t>sí</w:t>
      </w:r>
      <w:r w:rsidRPr="0067709B">
        <w:rPr>
          <w:rFonts w:ascii="Arial" w:hAnsi="Arial" w:cs="Arial"/>
          <w:bCs/>
          <w:lang w:val="es-ES_tradnl"/>
        </w:rPr>
        <w:t xml:space="preserve">, </w:t>
      </w:r>
      <w:r w:rsidRPr="0067709B">
        <w:rPr>
          <w:rFonts w:ascii="Arial" w:hAnsi="Arial" w:cs="Arial"/>
        </w:rPr>
        <w:t xml:space="preserve">la </w:t>
      </w:r>
      <w:r>
        <w:rPr>
          <w:rFonts w:ascii="Arial" w:hAnsi="Arial" w:cs="Arial"/>
        </w:rPr>
        <w:t>sección</w:t>
      </w:r>
      <w:r w:rsidRPr="0067709B">
        <w:rPr>
          <w:rFonts w:ascii="Arial" w:hAnsi="Arial" w:cs="Arial"/>
        </w:rPr>
        <w:t xml:space="preserve"> introductoria del documento base dispone que los aspectos incluidos en corchetes y resaltado gris –[texto de ejemplo]–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del pliego. </w:t>
      </w:r>
    </w:p>
    <w:p w14:paraId="0E982797" w14:textId="6054AB41" w:rsidR="000D221C" w:rsidRPr="0067709B" w:rsidRDefault="000D221C" w:rsidP="00AF274F">
      <w:pPr>
        <w:spacing w:before="120" w:after="0" w:line="276" w:lineRule="auto"/>
        <w:ind w:firstLine="709"/>
        <w:jc w:val="both"/>
        <w:rPr>
          <w:rFonts w:ascii="Arial" w:hAnsi="Arial" w:cs="Arial"/>
          <w:bCs/>
        </w:rPr>
      </w:pPr>
      <w:r w:rsidRPr="0067709B">
        <w:rPr>
          <w:rFonts w:ascii="Arial" w:hAnsi="Arial" w:cs="Arial"/>
          <w:bCs/>
        </w:rPr>
        <w:t xml:space="preserve">Es de precisar que la entidad durante la etapa de planeación como resultado del estudio del sector y del análisis de riesgo, debe establecer las condiciones necesarias </w:t>
      </w:r>
      <w:r w:rsidR="002C1FF4">
        <w:rPr>
          <w:rFonts w:ascii="Arial" w:hAnsi="Arial" w:cs="Arial"/>
          <w:bCs/>
        </w:rPr>
        <w:t xml:space="preserve">que requieren establecer en el proceso de selección </w:t>
      </w:r>
      <w:r w:rsidRPr="0067709B">
        <w:rPr>
          <w:rFonts w:ascii="Arial" w:hAnsi="Arial" w:cs="Arial"/>
          <w:bCs/>
        </w:rPr>
        <w:t>para garantizar la</w:t>
      </w:r>
      <w:r w:rsidR="002C1FF4">
        <w:rPr>
          <w:rFonts w:ascii="Arial" w:hAnsi="Arial" w:cs="Arial"/>
          <w:bCs/>
        </w:rPr>
        <w:t xml:space="preserve"> adecuada</w:t>
      </w:r>
      <w:r w:rsidRPr="0067709B">
        <w:rPr>
          <w:rFonts w:ascii="Arial" w:hAnsi="Arial" w:cs="Arial"/>
          <w:bCs/>
        </w:rPr>
        <w:t xml:space="preserve"> ejecución del contrato, teniendo en cuenta la necesidad que pretende satisfacer, el objeto, alcance, especificaciones técnicas, forma de pago y demás aspectos inherentes al proyecto. De allí que estas condiciones, al ser fijadas por parte de la entidad, pueden implicar modificaciones a los documentos tipo, las cuales deben ser adecuadas, proporcionales y consecuentes con su contenido, respetando el principio de inalterabilidad.</w:t>
      </w:r>
    </w:p>
    <w:p w14:paraId="7E338E04" w14:textId="77777777" w:rsidR="000D221C" w:rsidRPr="0067709B" w:rsidRDefault="000D221C" w:rsidP="00AF274F">
      <w:pPr>
        <w:spacing w:before="120" w:after="0" w:line="276" w:lineRule="auto"/>
        <w:ind w:firstLine="709"/>
        <w:jc w:val="both"/>
        <w:rPr>
          <w:rFonts w:ascii="Arial" w:hAnsi="Arial" w:cs="Arial"/>
        </w:rPr>
      </w:pPr>
      <w:r w:rsidRPr="0067709B">
        <w:rPr>
          <w:rFonts w:ascii="Arial" w:hAnsi="Arial" w:cs="Arial"/>
        </w:rPr>
        <w:t>Además, el artículo 4 de la Resolución No. 256 del 11 de diciembre de 2020 prevé los eventos en los que el objeto contractual incluye bienes o servicios adicionales a la interventoría de la obra pública de infraestructura de transporte</w:t>
      </w:r>
      <w:r w:rsidRPr="0067709B">
        <w:rPr>
          <w:rStyle w:val="Refdenotaalpie"/>
          <w:rFonts w:ascii="Arial" w:hAnsi="Arial" w:cs="Arial"/>
        </w:rPr>
        <w:footnoteReference w:id="9"/>
      </w:r>
      <w:r w:rsidRPr="0067709B">
        <w:rPr>
          <w:rFonts w:ascii="Arial" w:hAnsi="Arial" w:cs="Arial"/>
        </w:rPr>
        <w:t xml:space="preserve">. En este caso, la entidad estatal puede complementar experiencia adicional para evaluar la idoneidad respecto de los bienes o servicios ajenos a la interventoría de obras. No obstante, se deberán seguir los siguientes parámetros: i) demostrar en los estudios previos que ha verificado las condiciones de mercado para la </w:t>
      </w:r>
      <w:r w:rsidRPr="0067709B">
        <w:rPr>
          <w:rFonts w:ascii="Arial" w:hAnsi="Arial" w:cs="Arial"/>
        </w:rPr>
        <w:lastRenderedPageBreak/>
        <w:t xml:space="preserve">adquisición de los bienes o servicios adicionales al componente de obra pública, de tal manera que la experiencia adicional que se exija para dicha interventoría procure la pluralidad de oferentes y no limite la concurrencia de proponentes al proceso de contratación, </w:t>
      </w:r>
      <w:proofErr w:type="spellStart"/>
      <w:r w:rsidRPr="0067709B">
        <w:rPr>
          <w:rFonts w:ascii="Arial" w:hAnsi="Arial" w:cs="Arial"/>
        </w:rPr>
        <w:t>ii</w:t>
      </w:r>
      <w:proofErr w:type="spellEnd"/>
      <w:r w:rsidRPr="0067709B">
        <w:rPr>
          <w:rFonts w:ascii="Arial" w:hAnsi="Arial" w:cs="Arial"/>
        </w:rPr>
        <w:t xml:space="preserve">) conservar los requisitos exigidos en los documentos tipo, </w:t>
      </w:r>
      <w:proofErr w:type="spellStart"/>
      <w:r w:rsidRPr="0067709B">
        <w:rPr>
          <w:rFonts w:ascii="Arial" w:hAnsi="Arial" w:cs="Arial"/>
        </w:rPr>
        <w:t>iii</w:t>
      </w:r>
      <w:proofErr w:type="spellEnd"/>
      <w:r w:rsidRPr="0067709B">
        <w:rPr>
          <w:rFonts w:ascii="Arial" w:hAnsi="Arial" w:cs="Arial"/>
        </w:rPr>
        <w:t xml:space="preserve">) abstenerse de pedir experiencia exclusiva con entidades estatales, experiencia previa en un territorio específico, limitada en el tiempo o que incluya volúmenes o cantidades de obra específica, y  </w:t>
      </w:r>
      <w:proofErr w:type="spellStart"/>
      <w:r w:rsidRPr="0067709B">
        <w:rPr>
          <w:rFonts w:ascii="Arial" w:hAnsi="Arial" w:cs="Arial"/>
        </w:rPr>
        <w:t>iv</w:t>
      </w:r>
      <w:proofErr w:type="spellEnd"/>
      <w:r w:rsidRPr="0067709B">
        <w:rPr>
          <w:rFonts w:ascii="Arial" w:hAnsi="Arial" w:cs="Arial"/>
        </w:rPr>
        <w:t xml:space="preserve">) clasificar la experiencia requerida solo hasta el tercer nivel del Clasificador de Bienes y Servicios e incluir exclusivamente los códigos que estén relacionados directamente con el objeto a contratar. </w:t>
      </w:r>
    </w:p>
    <w:p w14:paraId="1ADC1835" w14:textId="77777777" w:rsidR="000D221C" w:rsidRPr="0067709B" w:rsidRDefault="000D221C" w:rsidP="00AF274F">
      <w:pPr>
        <w:spacing w:before="120" w:after="0" w:line="276" w:lineRule="auto"/>
        <w:ind w:firstLine="709"/>
        <w:jc w:val="both"/>
        <w:rPr>
          <w:rFonts w:ascii="Arial" w:hAnsi="Arial" w:cs="Arial"/>
          <w:bCs/>
        </w:rPr>
      </w:pPr>
      <w:r w:rsidRPr="0067709B">
        <w:rPr>
          <w:rFonts w:ascii="Arial" w:hAnsi="Arial" w:cs="Arial"/>
          <w:bCs/>
        </w:rPr>
        <w:t>En suma, la regla general frente la aplicación de los documentos tipo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interventoría de obras públicas de infraestructura de transporte, caso en el que se podrá incluir experiencia adicional de manera excepcional; y, además, cuando el pliego tipo de forma expresa lo permita, es decir, en los aspectos incluidos en corchetes y resaltados en gris.</w:t>
      </w:r>
    </w:p>
    <w:p w14:paraId="10B2DC1F" w14:textId="19C41C04" w:rsidR="00BF6ED1" w:rsidRDefault="0026778D" w:rsidP="00E970EA">
      <w:pPr>
        <w:spacing w:before="240" w:after="0" w:line="276" w:lineRule="auto"/>
        <w:ind w:firstLine="709"/>
        <w:jc w:val="both"/>
        <w:rPr>
          <w:rFonts w:ascii="Arial" w:eastAsia="Calibri" w:hAnsi="Arial" w:cs="Arial"/>
          <w:lang w:val="es-ES_tradnl"/>
        </w:rPr>
      </w:pPr>
      <w:r>
        <w:rPr>
          <w:rFonts w:ascii="Arial" w:eastAsia="Calibri" w:hAnsi="Arial" w:cs="Arial"/>
        </w:rPr>
        <w:t xml:space="preserve">Ahora bien, sobre el tema de consulta, </w:t>
      </w:r>
      <w:r>
        <w:rPr>
          <w:rFonts w:ascii="Arial" w:eastAsia="Calibri" w:hAnsi="Arial" w:cs="Arial"/>
          <w:lang w:val="es-ES_tradnl"/>
        </w:rPr>
        <w:t>se tiene que la</w:t>
      </w:r>
      <w:r w:rsidR="00E970EA" w:rsidRPr="0067709B">
        <w:rPr>
          <w:rFonts w:ascii="Arial" w:eastAsia="Calibri" w:hAnsi="Arial" w:cs="Arial"/>
          <w:lang w:val="es-ES_tradnl"/>
        </w:rPr>
        <w:t xml:space="preserve"> </w:t>
      </w:r>
      <w:r w:rsidR="00E970EA" w:rsidRPr="0067709B">
        <w:rPr>
          <w:rFonts w:ascii="Arial" w:hAnsi="Arial" w:cs="Arial"/>
          <w:color w:val="0D0D0D"/>
          <w:bdr w:val="none" w:sz="0" w:space="0" w:color="auto" w:frame="1"/>
          <w:lang w:eastAsia="es-CO"/>
        </w:rPr>
        <w:t xml:space="preserve">Resolución No. 256 del 11 de diciembre de 2020 </w:t>
      </w:r>
      <w:r>
        <w:rPr>
          <w:rFonts w:ascii="Arial" w:hAnsi="Arial" w:cs="Arial"/>
          <w:color w:val="0D0D0D"/>
          <w:bdr w:val="none" w:sz="0" w:space="0" w:color="auto" w:frame="1"/>
          <w:lang w:eastAsia="es-CO"/>
        </w:rPr>
        <w:t>indic</w:t>
      </w:r>
      <w:r w:rsidR="004D20F0">
        <w:rPr>
          <w:rFonts w:ascii="Arial" w:hAnsi="Arial" w:cs="Arial"/>
          <w:color w:val="0D0D0D"/>
          <w:bdr w:val="none" w:sz="0" w:space="0" w:color="auto" w:frame="1"/>
          <w:lang w:eastAsia="es-CO"/>
        </w:rPr>
        <w:t>ó</w:t>
      </w:r>
      <w:r>
        <w:rPr>
          <w:rFonts w:ascii="Arial" w:hAnsi="Arial" w:cs="Arial"/>
          <w:color w:val="0D0D0D"/>
          <w:bdr w:val="none" w:sz="0" w:space="0" w:color="auto" w:frame="1"/>
          <w:lang w:eastAsia="es-CO"/>
        </w:rPr>
        <w:t xml:space="preserve"> que los documentos tipos adoptados mediante este acto administrativo </w:t>
      </w:r>
      <w:r w:rsidR="00E970EA" w:rsidRPr="0067709B">
        <w:rPr>
          <w:rFonts w:ascii="Arial" w:hAnsi="Arial" w:cs="Arial"/>
          <w:color w:val="0D0D0D"/>
          <w:bdr w:val="none" w:sz="0" w:space="0" w:color="auto" w:frame="1"/>
          <w:lang w:eastAsia="es-CO"/>
        </w:rPr>
        <w:t>son</w:t>
      </w:r>
      <w:r w:rsidR="00E970EA" w:rsidRPr="0067709B">
        <w:rPr>
          <w:rFonts w:ascii="Arial" w:eastAsia="Calibri" w:hAnsi="Arial" w:cs="Arial"/>
          <w:lang w:val="es-ES_tradnl"/>
        </w:rPr>
        <w:t xml:space="preserve"> obligatorios para las entidades sometidas a la Ley 80 de 1993 que contraten la interventoría de obras públicas de infraestructura de transporte a través de </w:t>
      </w:r>
      <w:r w:rsidR="00E970EA" w:rsidRPr="0067709B">
        <w:rPr>
          <w:rFonts w:ascii="Arial" w:eastAsia="Calibri" w:hAnsi="Arial" w:cs="Arial"/>
          <w:i/>
          <w:iCs/>
          <w:lang w:val="es-ES_tradnl"/>
        </w:rPr>
        <w:t>concurso de méritos</w:t>
      </w:r>
      <w:r w:rsidR="00E970EA">
        <w:rPr>
          <w:rFonts w:ascii="Arial" w:eastAsia="Calibri" w:hAnsi="Arial" w:cs="Arial"/>
          <w:i/>
          <w:iCs/>
          <w:lang w:val="es-ES_tradnl"/>
        </w:rPr>
        <w:t>,</w:t>
      </w:r>
      <w:r w:rsidR="00E970EA">
        <w:rPr>
          <w:rFonts w:ascii="Arial" w:eastAsia="Calibri" w:hAnsi="Arial" w:cs="Arial"/>
          <w:lang w:val="es-ES_tradnl"/>
        </w:rPr>
        <w:t xml:space="preserve"> sin especificar </w:t>
      </w:r>
      <w:r w:rsidR="007819F8">
        <w:rPr>
          <w:rFonts w:ascii="Arial" w:eastAsia="Calibri" w:hAnsi="Arial" w:cs="Arial"/>
          <w:lang w:val="es-ES_tradnl"/>
        </w:rPr>
        <w:t>si la modalidad de selección de</w:t>
      </w:r>
      <w:r w:rsidR="00E970EA">
        <w:rPr>
          <w:rFonts w:ascii="Arial" w:eastAsia="Calibri" w:hAnsi="Arial" w:cs="Arial"/>
          <w:lang w:val="es-ES_tradnl"/>
        </w:rPr>
        <w:t xml:space="preserve"> aplicación </w:t>
      </w:r>
      <w:r w:rsidR="007819F8">
        <w:rPr>
          <w:rFonts w:ascii="Arial" w:eastAsia="Calibri" w:hAnsi="Arial" w:cs="Arial"/>
          <w:lang w:val="es-ES_tradnl"/>
        </w:rPr>
        <w:t xml:space="preserve">seleccionada </w:t>
      </w:r>
      <w:r w:rsidR="00E970EA">
        <w:rPr>
          <w:rFonts w:ascii="Arial" w:eastAsia="Calibri" w:hAnsi="Arial" w:cs="Arial"/>
          <w:lang w:val="es-ES_tradnl"/>
        </w:rPr>
        <w:t xml:space="preserve">sería el concurso de méritos abierto o </w:t>
      </w:r>
      <w:r w:rsidR="004D20F0">
        <w:rPr>
          <w:rFonts w:ascii="Arial" w:eastAsia="Calibri" w:hAnsi="Arial" w:cs="Arial"/>
          <w:lang w:val="es-ES_tradnl"/>
        </w:rPr>
        <w:t xml:space="preserve">con </w:t>
      </w:r>
      <w:r w:rsidR="00E970EA">
        <w:rPr>
          <w:rFonts w:ascii="Arial" w:eastAsia="Calibri" w:hAnsi="Arial" w:cs="Arial"/>
          <w:lang w:val="es-ES_tradnl"/>
        </w:rPr>
        <w:t>precalifica</w:t>
      </w:r>
      <w:r w:rsidR="004D20F0">
        <w:rPr>
          <w:rFonts w:ascii="Arial" w:eastAsia="Calibri" w:hAnsi="Arial" w:cs="Arial"/>
          <w:lang w:val="es-ES_tradnl"/>
        </w:rPr>
        <w:t>ción</w:t>
      </w:r>
      <w:r w:rsidR="00E970EA">
        <w:rPr>
          <w:rFonts w:ascii="Arial" w:eastAsia="Calibri" w:hAnsi="Arial" w:cs="Arial"/>
          <w:lang w:val="es-ES_tradnl"/>
        </w:rPr>
        <w:t xml:space="preserve">. </w:t>
      </w:r>
      <w:r w:rsidR="004D20F0">
        <w:rPr>
          <w:rFonts w:ascii="Arial" w:eastAsia="Calibri" w:hAnsi="Arial" w:cs="Arial"/>
          <w:lang w:val="es-ES_tradnl"/>
        </w:rPr>
        <w:t>Por lo tanto, al no</w:t>
      </w:r>
      <w:r w:rsidR="00713FEB">
        <w:rPr>
          <w:rFonts w:ascii="Arial" w:eastAsia="Calibri" w:hAnsi="Arial" w:cs="Arial"/>
          <w:lang w:val="es-ES_tradnl"/>
        </w:rPr>
        <w:t xml:space="preserve"> especificar </w:t>
      </w:r>
      <w:r w:rsidR="003F5539">
        <w:rPr>
          <w:rFonts w:ascii="Arial" w:eastAsia="Calibri" w:hAnsi="Arial" w:cs="Arial"/>
          <w:lang w:val="es-ES_tradnl"/>
        </w:rPr>
        <w:t>cu</w:t>
      </w:r>
      <w:r w:rsidR="004D20F0">
        <w:rPr>
          <w:rFonts w:ascii="Arial" w:eastAsia="Calibri" w:hAnsi="Arial" w:cs="Arial"/>
          <w:lang w:val="es-ES_tradnl"/>
        </w:rPr>
        <w:t>á</w:t>
      </w:r>
      <w:r w:rsidR="003F5539">
        <w:rPr>
          <w:rFonts w:ascii="Arial" w:eastAsia="Calibri" w:hAnsi="Arial" w:cs="Arial"/>
          <w:lang w:val="es-ES_tradnl"/>
        </w:rPr>
        <w:t xml:space="preserve">l modalidad de concurso de méritos sería </w:t>
      </w:r>
      <w:r w:rsidR="004D20F0">
        <w:rPr>
          <w:rFonts w:ascii="Arial" w:eastAsia="Calibri" w:hAnsi="Arial" w:cs="Arial"/>
          <w:lang w:val="es-ES_tradnl"/>
        </w:rPr>
        <w:t xml:space="preserve">de </w:t>
      </w:r>
      <w:r w:rsidR="003F5539">
        <w:rPr>
          <w:rFonts w:ascii="Arial" w:eastAsia="Calibri" w:hAnsi="Arial" w:cs="Arial"/>
          <w:lang w:val="es-ES_tradnl"/>
        </w:rPr>
        <w:t>obligatori</w:t>
      </w:r>
      <w:r w:rsidR="004D20F0">
        <w:rPr>
          <w:rFonts w:ascii="Arial" w:eastAsia="Calibri" w:hAnsi="Arial" w:cs="Arial"/>
          <w:lang w:val="es-ES_tradnl"/>
        </w:rPr>
        <w:t>a</w:t>
      </w:r>
      <w:r w:rsidR="003F5539">
        <w:rPr>
          <w:rFonts w:ascii="Arial" w:eastAsia="Calibri" w:hAnsi="Arial" w:cs="Arial"/>
          <w:lang w:val="es-ES_tradnl"/>
        </w:rPr>
        <w:t xml:space="preserve"> aplicación del </w:t>
      </w:r>
      <w:r w:rsidR="003858EA">
        <w:rPr>
          <w:rFonts w:ascii="Arial" w:eastAsia="Calibri" w:hAnsi="Arial" w:cs="Arial"/>
          <w:lang w:val="es-ES_tradnl"/>
        </w:rPr>
        <w:t xml:space="preserve">documento tipo </w:t>
      </w:r>
      <w:r w:rsidR="004605E6">
        <w:rPr>
          <w:rFonts w:ascii="Arial" w:eastAsia="Calibri" w:hAnsi="Arial" w:cs="Arial"/>
          <w:lang w:val="es-ES_tradnl"/>
        </w:rPr>
        <w:t>adoptado por esta Agencia</w:t>
      </w:r>
      <w:r w:rsidR="00E970EA" w:rsidRPr="0067709B">
        <w:rPr>
          <w:rFonts w:ascii="Arial" w:eastAsia="Calibri" w:hAnsi="Arial" w:cs="Arial"/>
          <w:lang w:val="es-ES_tradnl"/>
        </w:rPr>
        <w:t xml:space="preserve">, </w:t>
      </w:r>
      <w:r w:rsidR="00A57A5D">
        <w:rPr>
          <w:rFonts w:ascii="Arial" w:eastAsia="Calibri" w:hAnsi="Arial" w:cs="Arial"/>
          <w:lang w:val="es-ES_tradnl"/>
        </w:rPr>
        <w:t xml:space="preserve">de la lectura de </w:t>
      </w:r>
      <w:r w:rsidR="00C50CA3">
        <w:rPr>
          <w:rFonts w:ascii="Arial" w:eastAsia="Calibri" w:hAnsi="Arial" w:cs="Arial"/>
          <w:lang w:val="es-ES_tradnl"/>
        </w:rPr>
        <w:t>estricta del contenido de la resolución</w:t>
      </w:r>
      <w:r w:rsidR="004D20F0">
        <w:rPr>
          <w:rFonts w:ascii="Arial" w:eastAsia="Calibri" w:hAnsi="Arial" w:cs="Arial"/>
          <w:lang w:val="es-ES_tradnl"/>
        </w:rPr>
        <w:t xml:space="preserve">, </w:t>
      </w:r>
      <w:r w:rsidR="00C50CA3">
        <w:rPr>
          <w:rFonts w:ascii="Arial" w:eastAsia="Calibri" w:hAnsi="Arial" w:cs="Arial"/>
          <w:lang w:val="es-ES_tradnl"/>
        </w:rPr>
        <w:t xml:space="preserve">se </w:t>
      </w:r>
      <w:r w:rsidR="004D20F0">
        <w:rPr>
          <w:rFonts w:ascii="Arial" w:eastAsia="Calibri" w:hAnsi="Arial" w:cs="Arial"/>
          <w:lang w:val="es-ES_tradnl"/>
        </w:rPr>
        <w:t xml:space="preserve">debe entender </w:t>
      </w:r>
      <w:r w:rsidR="00C03BA3">
        <w:rPr>
          <w:rFonts w:ascii="Arial" w:eastAsia="Calibri" w:hAnsi="Arial" w:cs="Arial"/>
          <w:lang w:val="es-ES_tradnl"/>
        </w:rPr>
        <w:t>q</w:t>
      </w:r>
      <w:r w:rsidR="00C50CA3">
        <w:rPr>
          <w:rFonts w:ascii="Arial" w:eastAsia="Calibri" w:hAnsi="Arial" w:cs="Arial"/>
          <w:lang w:val="es-ES_tradnl"/>
        </w:rPr>
        <w:t xml:space="preserve">ue será para ambos casos, sólo sí, se han adoptado hasta la fecha </w:t>
      </w:r>
      <w:r w:rsidR="00BF6ED1">
        <w:rPr>
          <w:rFonts w:ascii="Arial" w:eastAsia="Calibri" w:hAnsi="Arial" w:cs="Arial"/>
          <w:lang w:val="es-ES_tradnl"/>
        </w:rPr>
        <w:t>los documentos tipo pertinentes con cada modalidad de selección de concurso de méritos</w:t>
      </w:r>
      <w:r w:rsidR="00344195">
        <w:rPr>
          <w:rFonts w:ascii="Arial" w:eastAsia="Calibri" w:hAnsi="Arial" w:cs="Arial"/>
          <w:lang w:val="es-ES_tradnl"/>
        </w:rPr>
        <w:t xml:space="preserve"> prevista en nuestro ordenamiento jurídico.</w:t>
      </w:r>
    </w:p>
    <w:p w14:paraId="0F9CDE6A" w14:textId="00E4001E" w:rsidR="0067055E" w:rsidRDefault="00BF6ED1" w:rsidP="00E970EA">
      <w:pPr>
        <w:spacing w:before="240" w:after="0" w:line="276" w:lineRule="auto"/>
        <w:ind w:firstLine="709"/>
        <w:jc w:val="both"/>
        <w:rPr>
          <w:rFonts w:ascii="Arial" w:eastAsia="Calibri" w:hAnsi="Arial" w:cs="Arial"/>
          <w:lang w:val="es-ES_tradnl"/>
        </w:rPr>
      </w:pPr>
      <w:r>
        <w:rPr>
          <w:rFonts w:ascii="Arial" w:eastAsia="Calibri" w:hAnsi="Arial" w:cs="Arial"/>
          <w:lang w:val="es-ES_tradnl"/>
        </w:rPr>
        <w:t xml:space="preserve">En ese orden de ideas, se tiene que hasta </w:t>
      </w:r>
      <w:r w:rsidR="003744B3">
        <w:rPr>
          <w:rFonts w:ascii="Arial" w:eastAsia="Calibri" w:hAnsi="Arial" w:cs="Arial"/>
          <w:lang w:val="es-ES_tradnl"/>
        </w:rPr>
        <w:t>la fecha</w:t>
      </w:r>
      <w:r w:rsidR="00B9758E">
        <w:rPr>
          <w:rFonts w:ascii="Arial" w:eastAsia="Calibri" w:hAnsi="Arial" w:cs="Arial"/>
          <w:lang w:val="es-ES_tradnl"/>
        </w:rPr>
        <w:t>,</w:t>
      </w:r>
      <w:r w:rsidR="003744B3">
        <w:rPr>
          <w:rFonts w:ascii="Arial" w:eastAsia="Calibri" w:hAnsi="Arial" w:cs="Arial"/>
          <w:lang w:val="es-ES_tradnl"/>
        </w:rPr>
        <w:t xml:space="preserve"> esta Agencia</w:t>
      </w:r>
      <w:r w:rsidR="002A0169">
        <w:rPr>
          <w:rFonts w:ascii="Arial" w:eastAsia="Calibri" w:hAnsi="Arial" w:cs="Arial"/>
          <w:lang w:val="es-ES_tradnl"/>
        </w:rPr>
        <w:t xml:space="preserve"> </w:t>
      </w:r>
      <w:r>
        <w:rPr>
          <w:rFonts w:ascii="Arial" w:eastAsia="Calibri" w:hAnsi="Arial" w:cs="Arial"/>
          <w:lang w:val="es-ES_tradnl"/>
        </w:rPr>
        <w:t xml:space="preserve">tan sólo ha emitido </w:t>
      </w:r>
      <w:r w:rsidR="009C6B54">
        <w:rPr>
          <w:rFonts w:ascii="Arial" w:eastAsia="Calibri" w:hAnsi="Arial" w:cs="Arial"/>
          <w:lang w:val="es-ES_tradnl"/>
        </w:rPr>
        <w:t xml:space="preserve">documentos tipo bajo la modalidad de selección de </w:t>
      </w:r>
      <w:r w:rsidR="002A0169">
        <w:rPr>
          <w:rFonts w:ascii="Arial" w:eastAsia="Calibri" w:hAnsi="Arial" w:cs="Arial"/>
          <w:lang w:val="es-ES_tradnl"/>
        </w:rPr>
        <w:t>concurso de méritos abierto,</w:t>
      </w:r>
      <w:r w:rsidR="00787E8F">
        <w:rPr>
          <w:rFonts w:ascii="Arial" w:eastAsia="Calibri" w:hAnsi="Arial" w:cs="Arial"/>
          <w:lang w:val="es-ES_tradnl"/>
        </w:rPr>
        <w:t xml:space="preserve"> </w:t>
      </w:r>
      <w:r w:rsidR="00E970EA" w:rsidRPr="0067709B">
        <w:rPr>
          <w:rFonts w:ascii="Arial" w:eastAsia="Calibri" w:hAnsi="Arial" w:cs="Arial"/>
          <w:lang w:val="es-ES_tradnl"/>
        </w:rPr>
        <w:t xml:space="preserve">por </w:t>
      </w:r>
      <w:r w:rsidR="00787E8F">
        <w:rPr>
          <w:rFonts w:ascii="Arial" w:eastAsia="Calibri" w:hAnsi="Arial" w:cs="Arial"/>
          <w:lang w:val="es-ES_tradnl"/>
        </w:rPr>
        <w:t>lo tanto,</w:t>
      </w:r>
      <w:r w:rsidR="003744B3">
        <w:rPr>
          <w:rFonts w:ascii="Arial" w:eastAsia="Calibri" w:hAnsi="Arial" w:cs="Arial"/>
          <w:lang w:val="es-ES_tradnl"/>
        </w:rPr>
        <w:t xml:space="preserve"> </w:t>
      </w:r>
      <w:r w:rsidR="002B1750" w:rsidRPr="002B1750">
        <w:rPr>
          <w:rFonts w:ascii="Arial" w:eastAsia="Calibri" w:hAnsi="Arial" w:cs="Arial"/>
          <w:lang w:val="es-ES_tradnl"/>
        </w:rPr>
        <w:t xml:space="preserve">las entidades estatales regidas por el Estatuto General de Contratación de la Administración Pública, al momento de adelantar un proceso de contratación asociado a uno de los sectores para los que se han implementado documentos tipo, deben consultar el contenido de los </w:t>
      </w:r>
      <w:r w:rsidR="00FD04A5">
        <w:rPr>
          <w:rFonts w:ascii="Arial" w:eastAsia="Calibri" w:hAnsi="Arial" w:cs="Arial"/>
          <w:lang w:val="es-ES_tradnl"/>
        </w:rPr>
        <w:t>mismos</w:t>
      </w:r>
      <w:r w:rsidR="002B1750" w:rsidRPr="002B1750">
        <w:rPr>
          <w:rFonts w:ascii="Arial" w:eastAsia="Calibri" w:hAnsi="Arial" w:cs="Arial"/>
          <w:lang w:val="es-ES_tradnl"/>
        </w:rPr>
        <w:t xml:space="preserve"> </w:t>
      </w:r>
      <w:r w:rsidR="00B9758E">
        <w:rPr>
          <w:rFonts w:ascii="Arial" w:eastAsia="Calibri" w:hAnsi="Arial" w:cs="Arial"/>
          <w:lang w:val="es-ES_tradnl"/>
        </w:rPr>
        <w:t xml:space="preserve">para </w:t>
      </w:r>
      <w:r w:rsidR="002B1750" w:rsidRPr="002B1750">
        <w:rPr>
          <w:rFonts w:ascii="Arial" w:eastAsia="Calibri" w:hAnsi="Arial" w:cs="Arial"/>
          <w:lang w:val="es-ES_tradnl"/>
        </w:rPr>
        <w:t>determinar si la modalidad de escogencia y el objeto a contratar son o no subsumibles dentro de lo dispuesto en el documento tipo</w:t>
      </w:r>
      <w:r w:rsidR="0067055E">
        <w:rPr>
          <w:rFonts w:ascii="Arial" w:eastAsia="Calibri" w:hAnsi="Arial" w:cs="Arial"/>
          <w:lang w:val="es-ES_tradnl"/>
        </w:rPr>
        <w:t xml:space="preserve"> y de </w:t>
      </w:r>
      <w:r w:rsidR="002B1750" w:rsidRPr="002B1750">
        <w:rPr>
          <w:rFonts w:ascii="Arial" w:eastAsia="Calibri" w:hAnsi="Arial" w:cs="Arial"/>
          <w:lang w:val="es-ES_tradnl"/>
        </w:rPr>
        <w:t>ser esto así, la entidad estará obligada a adelantar el proceso de contratación aplicando los documentos tipo</w:t>
      </w:r>
      <w:r w:rsidR="0067055E">
        <w:rPr>
          <w:rFonts w:ascii="Arial" w:eastAsia="Calibri" w:hAnsi="Arial" w:cs="Arial"/>
          <w:lang w:val="es-ES_tradnl"/>
        </w:rPr>
        <w:t xml:space="preserve"> desarrollados por esta Agencia.</w:t>
      </w:r>
    </w:p>
    <w:p w14:paraId="18FB8252" w14:textId="74EAB535" w:rsidR="003A12D0" w:rsidRDefault="0067055E" w:rsidP="00E970EA">
      <w:pPr>
        <w:spacing w:before="240" w:after="0" w:line="276" w:lineRule="auto"/>
        <w:ind w:firstLine="709"/>
        <w:jc w:val="both"/>
        <w:rPr>
          <w:rFonts w:ascii="Arial" w:eastAsia="Calibri" w:hAnsi="Arial" w:cs="Arial"/>
          <w:color w:val="000000"/>
          <w:lang w:val="es-ES_tradnl" w:eastAsia="es-ES"/>
        </w:rPr>
      </w:pPr>
      <w:r>
        <w:rPr>
          <w:rFonts w:ascii="Arial" w:eastAsia="Calibri" w:hAnsi="Arial" w:cs="Arial"/>
          <w:lang w:val="es-ES_tradnl"/>
        </w:rPr>
        <w:t xml:space="preserve">Lo anterior quiere decir, que en la actualidad, para </w:t>
      </w:r>
      <w:r w:rsidR="00EA6B25">
        <w:rPr>
          <w:rFonts w:ascii="Arial" w:eastAsia="Calibri" w:hAnsi="Arial" w:cs="Arial"/>
          <w:lang w:val="es-ES_tradnl"/>
        </w:rPr>
        <w:t>adelantar los procesos de selección</w:t>
      </w:r>
      <w:r w:rsidR="002B1750" w:rsidRPr="002B1750">
        <w:rPr>
          <w:rFonts w:ascii="Arial" w:eastAsia="Calibri" w:hAnsi="Arial" w:cs="Arial"/>
          <w:lang w:val="es-ES_tradnl"/>
        </w:rPr>
        <w:t xml:space="preserve"> </w:t>
      </w:r>
      <w:r w:rsidR="00EA6B25">
        <w:rPr>
          <w:rFonts w:ascii="Arial" w:eastAsia="Calibri" w:hAnsi="Arial" w:cs="Arial"/>
          <w:lang w:val="es-ES_tradnl"/>
        </w:rPr>
        <w:t>cuyo objeto sea</w:t>
      </w:r>
      <w:r w:rsidR="003A12D0">
        <w:rPr>
          <w:rFonts w:ascii="Arial" w:eastAsia="Calibri" w:hAnsi="Arial" w:cs="Arial"/>
          <w:lang w:val="es-ES_tradnl"/>
        </w:rPr>
        <w:t xml:space="preserve"> </w:t>
      </w:r>
      <w:r w:rsidR="003A12D0" w:rsidRPr="0067709B">
        <w:rPr>
          <w:rFonts w:ascii="Arial" w:eastAsia="Calibri" w:hAnsi="Arial" w:cs="Arial"/>
          <w:lang w:val="es-ES_tradnl"/>
        </w:rPr>
        <w:t>la interventoría de obras públicas de infraestructura de transporte</w:t>
      </w:r>
      <w:r w:rsidR="00913C0C">
        <w:rPr>
          <w:rFonts w:ascii="Arial" w:eastAsia="Calibri" w:hAnsi="Arial" w:cs="Arial"/>
          <w:lang w:val="es-ES_tradnl"/>
        </w:rPr>
        <w:t xml:space="preserve">, será de obligatoria aplicación para las entidades estatales </w:t>
      </w:r>
      <w:r w:rsidR="003C54CA">
        <w:rPr>
          <w:rFonts w:ascii="Arial" w:eastAsia="Calibri" w:hAnsi="Arial" w:cs="Arial"/>
          <w:lang w:val="es-ES_tradnl"/>
        </w:rPr>
        <w:t xml:space="preserve">sometidas a la Ley 80 de 1993 </w:t>
      </w:r>
      <w:r w:rsidR="00913C0C">
        <w:rPr>
          <w:rFonts w:ascii="Arial" w:eastAsia="Calibri" w:hAnsi="Arial" w:cs="Arial"/>
          <w:lang w:val="es-ES_tradnl"/>
        </w:rPr>
        <w:t xml:space="preserve">los documentos </w:t>
      </w:r>
      <w:r w:rsidR="00913C0C">
        <w:rPr>
          <w:rFonts w:ascii="Arial" w:eastAsia="Calibri" w:hAnsi="Arial" w:cs="Arial"/>
          <w:lang w:val="es-ES_tradnl"/>
        </w:rPr>
        <w:lastRenderedPageBreak/>
        <w:t xml:space="preserve">tipo diseñados </w:t>
      </w:r>
      <w:r w:rsidR="008453A8">
        <w:rPr>
          <w:rFonts w:ascii="Arial" w:eastAsia="Calibri" w:hAnsi="Arial" w:cs="Arial"/>
          <w:lang w:val="es-ES_tradnl"/>
        </w:rPr>
        <w:t>hasta la fecha por la Agencia, siempre y cuando se trate también de</w:t>
      </w:r>
      <w:r w:rsidR="00D31332">
        <w:rPr>
          <w:rFonts w:ascii="Arial" w:eastAsia="Calibri" w:hAnsi="Arial" w:cs="Arial"/>
          <w:lang w:val="es-ES_tradnl"/>
        </w:rPr>
        <w:t xml:space="preserve"> la modalidad de </w:t>
      </w:r>
      <w:r w:rsidR="003A12D0" w:rsidRPr="0067709B">
        <w:rPr>
          <w:rFonts w:ascii="Arial" w:eastAsia="Calibri" w:hAnsi="Arial" w:cs="Arial"/>
          <w:i/>
          <w:iCs/>
          <w:lang w:val="es-ES_tradnl"/>
        </w:rPr>
        <w:t>concurso de méritos</w:t>
      </w:r>
      <w:r w:rsidR="003A12D0" w:rsidRPr="002B1750">
        <w:rPr>
          <w:rFonts w:ascii="Arial" w:eastAsia="Calibri" w:hAnsi="Arial" w:cs="Arial"/>
          <w:lang w:val="es-ES_tradnl"/>
        </w:rPr>
        <w:t xml:space="preserve"> </w:t>
      </w:r>
      <w:r w:rsidR="003A12D0" w:rsidRPr="00D31332">
        <w:rPr>
          <w:rFonts w:ascii="Arial" w:eastAsia="Calibri" w:hAnsi="Arial" w:cs="Arial"/>
          <w:i/>
          <w:iCs/>
          <w:lang w:val="es-ES_tradnl"/>
        </w:rPr>
        <w:t>abierto</w:t>
      </w:r>
      <w:r w:rsidR="003A12D0">
        <w:rPr>
          <w:rFonts w:ascii="Arial" w:eastAsia="Calibri" w:hAnsi="Arial" w:cs="Arial"/>
          <w:lang w:val="es-ES_tradnl"/>
        </w:rPr>
        <w:t xml:space="preserve">, pero cuando decida y justifique adelantar el proceso de contratación mediante </w:t>
      </w:r>
      <w:r w:rsidR="00E970EA" w:rsidRPr="0067709B">
        <w:rPr>
          <w:rFonts w:ascii="Arial" w:eastAsia="Calibri" w:hAnsi="Arial" w:cs="Arial"/>
          <w:i/>
          <w:iCs/>
          <w:lang w:val="es-ES_tradnl"/>
        </w:rPr>
        <w:t>concurso de méritos con precalificación</w:t>
      </w:r>
      <w:r w:rsidR="00E970EA" w:rsidRPr="0067709B">
        <w:rPr>
          <w:rFonts w:ascii="Arial" w:eastAsia="Calibri" w:hAnsi="Arial" w:cs="Arial"/>
          <w:lang w:val="es-ES_tradnl"/>
        </w:rPr>
        <w:t xml:space="preserve"> </w:t>
      </w:r>
      <w:r w:rsidR="003A12D0">
        <w:rPr>
          <w:rFonts w:ascii="Arial" w:eastAsia="Calibri" w:hAnsi="Arial" w:cs="Arial"/>
          <w:lang w:val="es-ES_tradnl"/>
        </w:rPr>
        <w:t xml:space="preserve">esta Agencia considera que </w:t>
      </w:r>
      <w:r w:rsidR="00D31332">
        <w:rPr>
          <w:rFonts w:ascii="Arial" w:eastAsia="Calibri" w:hAnsi="Arial" w:cs="Arial"/>
          <w:lang w:val="es-ES_tradnl"/>
        </w:rPr>
        <w:t xml:space="preserve">hasta la fecha no existe documento tipo diseñado </w:t>
      </w:r>
      <w:r w:rsidR="00BB59DC">
        <w:rPr>
          <w:rFonts w:ascii="Arial" w:eastAsia="Calibri" w:hAnsi="Arial" w:cs="Arial"/>
          <w:lang w:val="es-ES_tradnl"/>
        </w:rPr>
        <w:t xml:space="preserve">y adoptado </w:t>
      </w:r>
      <w:r w:rsidR="00D31332">
        <w:rPr>
          <w:rFonts w:ascii="Arial" w:eastAsia="Calibri" w:hAnsi="Arial" w:cs="Arial"/>
          <w:lang w:val="es-ES_tradnl"/>
        </w:rPr>
        <w:t xml:space="preserve">para dicho </w:t>
      </w:r>
      <w:r w:rsidR="003A0DAF">
        <w:rPr>
          <w:rFonts w:ascii="Arial" w:eastAsia="Calibri" w:hAnsi="Arial" w:cs="Arial"/>
          <w:lang w:val="es-ES_tradnl"/>
        </w:rPr>
        <w:t xml:space="preserve">objeto contractual, bajo </w:t>
      </w:r>
      <w:r w:rsidR="00D31332">
        <w:rPr>
          <w:rFonts w:ascii="Arial" w:eastAsia="Calibri" w:hAnsi="Arial" w:cs="Arial"/>
          <w:lang w:val="es-ES_tradnl"/>
        </w:rPr>
        <w:t xml:space="preserve">la modalidad de selección escogida, por lo tanto, </w:t>
      </w:r>
      <w:r w:rsidR="00E970EA" w:rsidRPr="0067709B">
        <w:rPr>
          <w:rFonts w:ascii="Arial" w:eastAsia="Calibri" w:hAnsi="Arial" w:cs="Arial"/>
          <w:lang w:val="es-ES_tradnl"/>
        </w:rPr>
        <w:t xml:space="preserve">no </w:t>
      </w:r>
      <w:r w:rsidR="002A0033">
        <w:rPr>
          <w:rFonts w:ascii="Arial" w:eastAsia="Calibri" w:hAnsi="Arial" w:cs="Arial"/>
          <w:lang w:val="es-ES_tradnl"/>
        </w:rPr>
        <w:t xml:space="preserve">se puede predicar la </w:t>
      </w:r>
      <w:r w:rsidR="00E970EA" w:rsidRPr="0067709B">
        <w:rPr>
          <w:rFonts w:ascii="Arial" w:eastAsia="Calibri" w:hAnsi="Arial" w:cs="Arial"/>
          <w:lang w:val="es-ES_tradnl"/>
        </w:rPr>
        <w:t>obligación de aplicar los documentos tipo mencionados</w:t>
      </w:r>
      <w:r w:rsidR="002A0033">
        <w:rPr>
          <w:rFonts w:ascii="Arial" w:eastAsia="Calibri" w:hAnsi="Arial" w:cs="Arial"/>
          <w:lang w:val="es-ES_tradnl"/>
        </w:rPr>
        <w:t xml:space="preserve"> a cargo de las entidades estatales</w:t>
      </w:r>
      <w:r w:rsidR="00E970EA" w:rsidRPr="0067709B">
        <w:rPr>
          <w:rFonts w:ascii="Arial" w:eastAsia="Calibri" w:hAnsi="Arial" w:cs="Arial"/>
          <w:lang w:val="es-ES_tradnl"/>
        </w:rPr>
        <w:t>, sin perjuicio de que puedan utilizarse como un parámetro de buena práctica contractual en el sistema de compras públicas</w:t>
      </w:r>
      <w:r w:rsidR="00E970EA">
        <w:rPr>
          <w:rFonts w:ascii="Arial" w:eastAsia="Calibri" w:hAnsi="Arial" w:cs="Arial"/>
          <w:lang w:val="es-ES_tradnl"/>
        </w:rPr>
        <w:t xml:space="preserve">, pues mediante </w:t>
      </w:r>
      <w:r w:rsidR="00E970EA">
        <w:rPr>
          <w:rFonts w:ascii="Arial" w:eastAsia="Calibri" w:hAnsi="Arial" w:cs="Arial"/>
          <w:color w:val="000000"/>
          <w:lang w:val="es-ES_tradnl" w:eastAsia="es-ES"/>
        </w:rPr>
        <w:t xml:space="preserve">la versión 2 de los documentos tipo para esta modalidad de selección adoptada mediante la Resolución No. 326 del 22 de julio de 2022, la Agencia Nacional de Contratación Pública – Colombia Compra Eficiente </w:t>
      </w:r>
      <w:r w:rsidR="00E970EA" w:rsidRPr="00C27A93">
        <w:rPr>
          <w:rFonts w:ascii="Arial" w:eastAsia="Calibri" w:hAnsi="Arial" w:cs="Arial"/>
          <w:i/>
          <w:iCs/>
          <w:color w:val="000000"/>
          <w:lang w:val="es-ES_tradnl" w:eastAsia="es-ES"/>
        </w:rPr>
        <w:t>estandarizó</w:t>
      </w:r>
      <w:r w:rsidR="00E970EA">
        <w:rPr>
          <w:rFonts w:ascii="Arial" w:eastAsia="Calibri" w:hAnsi="Arial" w:cs="Arial"/>
          <w:color w:val="000000"/>
          <w:lang w:val="es-ES_tradnl" w:eastAsia="es-ES"/>
        </w:rPr>
        <w:t xml:space="preserve"> las condiciones para desarrollar el procedimiento del concurso de méritos abierto, sin incluir la precalificación. </w:t>
      </w:r>
    </w:p>
    <w:p w14:paraId="42784E2B" w14:textId="17FA9725" w:rsidR="00E970EA" w:rsidRDefault="00E970EA" w:rsidP="00E970EA">
      <w:pPr>
        <w:spacing w:before="240" w:after="0" w:line="276" w:lineRule="auto"/>
        <w:ind w:firstLine="709"/>
        <w:jc w:val="both"/>
        <w:rPr>
          <w:rFonts w:ascii="Arial" w:eastAsia="Calibri" w:hAnsi="Arial" w:cs="Arial"/>
          <w:color w:val="000000"/>
          <w:lang w:val="es-ES_tradnl" w:eastAsia="es-ES"/>
        </w:rPr>
      </w:pPr>
      <w:r>
        <w:rPr>
          <w:rFonts w:ascii="Arial" w:eastAsia="Calibri" w:hAnsi="Arial" w:cs="Arial"/>
          <w:color w:val="000000"/>
          <w:lang w:val="es-ES_tradnl" w:eastAsia="es-ES"/>
        </w:rPr>
        <w:t>Esto no obsta para que la Agencia, en desarrollos futuros de los documentos considere también incluir esta posibilidad</w:t>
      </w:r>
      <w:r w:rsidR="00751F09">
        <w:rPr>
          <w:rFonts w:ascii="Arial" w:eastAsia="Calibri" w:hAnsi="Arial" w:cs="Arial"/>
          <w:color w:val="000000"/>
          <w:lang w:val="es-ES_tradnl" w:eastAsia="es-ES"/>
        </w:rPr>
        <w:t xml:space="preserve">, caso en el cual serían de obligatoria aplicación de conformidad a lo previsto en la </w:t>
      </w:r>
      <w:r w:rsidR="00751F09" w:rsidRPr="0067709B">
        <w:rPr>
          <w:rFonts w:ascii="Arial" w:hAnsi="Arial" w:cs="Arial"/>
          <w:color w:val="0D0D0D"/>
          <w:bdr w:val="none" w:sz="0" w:space="0" w:color="auto" w:frame="1"/>
          <w:lang w:eastAsia="es-CO"/>
        </w:rPr>
        <w:t>Resolución No. 256 del 11 de diciembre de 2020</w:t>
      </w:r>
      <w:r>
        <w:rPr>
          <w:rFonts w:ascii="Arial" w:eastAsia="Calibri" w:hAnsi="Arial" w:cs="Arial"/>
          <w:color w:val="000000"/>
          <w:lang w:val="es-ES_tradnl" w:eastAsia="es-ES"/>
        </w:rPr>
        <w:t>. Pero hasta que ello suceda las entidades estatales deben justificar en sus estudios previos la modalidad de selección de concurso de méritos</w:t>
      </w:r>
      <w:r w:rsidR="0029351A">
        <w:rPr>
          <w:rFonts w:ascii="Arial" w:eastAsia="Calibri" w:hAnsi="Arial" w:cs="Arial"/>
          <w:color w:val="000000"/>
          <w:lang w:val="es-ES_tradnl" w:eastAsia="es-ES"/>
        </w:rPr>
        <w:t xml:space="preserve"> escogida</w:t>
      </w:r>
      <w:r>
        <w:rPr>
          <w:rFonts w:ascii="Arial" w:eastAsia="Calibri" w:hAnsi="Arial" w:cs="Arial"/>
          <w:color w:val="000000"/>
          <w:lang w:val="es-ES_tradnl" w:eastAsia="es-ES"/>
        </w:rPr>
        <w:t xml:space="preserve">, esto es, </w:t>
      </w:r>
      <w:r w:rsidR="003A12D0">
        <w:rPr>
          <w:rFonts w:ascii="Arial" w:eastAsia="Calibri" w:hAnsi="Arial" w:cs="Arial"/>
          <w:color w:val="000000"/>
          <w:lang w:val="es-ES_tradnl" w:eastAsia="es-ES"/>
        </w:rPr>
        <w:t xml:space="preserve">con </w:t>
      </w:r>
      <w:r>
        <w:rPr>
          <w:rFonts w:ascii="Arial" w:eastAsia="Calibri" w:hAnsi="Arial" w:cs="Arial"/>
          <w:color w:val="000000"/>
          <w:lang w:val="es-ES_tradnl" w:eastAsia="es-ES"/>
        </w:rPr>
        <w:t>precalificación o abierto, observando</w:t>
      </w:r>
      <w:r w:rsidR="003A12D0">
        <w:rPr>
          <w:rFonts w:ascii="Arial" w:eastAsia="Calibri" w:hAnsi="Arial" w:cs="Arial"/>
          <w:color w:val="000000"/>
          <w:lang w:val="es-ES_tradnl" w:eastAsia="es-ES"/>
        </w:rPr>
        <w:t xml:space="preserve"> conforme a ello </w:t>
      </w:r>
      <w:r>
        <w:rPr>
          <w:rFonts w:ascii="Arial" w:eastAsia="Calibri" w:hAnsi="Arial" w:cs="Arial"/>
          <w:color w:val="000000"/>
          <w:lang w:val="es-ES_tradnl" w:eastAsia="es-ES"/>
        </w:rPr>
        <w:t>el trámite de sus procedimientos de selección a lo que establecen los documentos tipo vigentes, cuando estos les resulten aplicables.</w:t>
      </w:r>
    </w:p>
    <w:p w14:paraId="4131937D" w14:textId="77777777" w:rsidR="00726390" w:rsidRDefault="00726390" w:rsidP="00726390">
      <w:pPr>
        <w:spacing w:after="0" w:line="276" w:lineRule="auto"/>
        <w:jc w:val="both"/>
        <w:rPr>
          <w:rFonts w:ascii="Arial" w:hAnsi="Arial" w:cs="Arial"/>
          <w:b/>
          <w:bCs/>
        </w:rPr>
      </w:pPr>
    </w:p>
    <w:p w14:paraId="25EC40B6" w14:textId="5062A76A" w:rsidR="000D221C" w:rsidRPr="0067709B" w:rsidRDefault="000D221C" w:rsidP="00AF274F">
      <w:pPr>
        <w:spacing w:after="0" w:line="276" w:lineRule="auto"/>
        <w:ind w:firstLine="709"/>
        <w:jc w:val="both"/>
        <w:rPr>
          <w:rFonts w:ascii="Arial" w:eastAsia="Calibri" w:hAnsi="Arial" w:cs="Arial"/>
        </w:rPr>
      </w:pPr>
      <w:r w:rsidRPr="0067709B">
        <w:rPr>
          <w:rFonts w:ascii="Arial" w:hAnsi="Arial" w:cs="Arial"/>
        </w:rPr>
        <w:t xml:space="preserve"> </w:t>
      </w:r>
    </w:p>
    <w:p w14:paraId="737B5949" w14:textId="77777777" w:rsidR="000D221C" w:rsidRPr="0067709B" w:rsidRDefault="000D221C" w:rsidP="00AF274F">
      <w:pPr>
        <w:spacing w:after="0" w:line="276" w:lineRule="auto"/>
        <w:jc w:val="both"/>
        <w:rPr>
          <w:rFonts w:ascii="Arial" w:eastAsia="Calibri" w:hAnsi="Arial" w:cs="Arial"/>
          <w:b/>
          <w:color w:val="000000" w:themeColor="text1"/>
        </w:rPr>
      </w:pPr>
      <w:r w:rsidRPr="0067709B">
        <w:rPr>
          <w:rFonts w:ascii="Arial" w:eastAsia="Calibri" w:hAnsi="Arial" w:cs="Arial"/>
          <w:b/>
          <w:color w:val="000000" w:themeColor="text1"/>
        </w:rPr>
        <w:t>3. Respuesta</w:t>
      </w:r>
    </w:p>
    <w:p w14:paraId="5E1D372F" w14:textId="77777777" w:rsidR="000D221C" w:rsidRPr="0067709B" w:rsidRDefault="000D221C" w:rsidP="00AF274F">
      <w:pPr>
        <w:spacing w:after="0" w:line="276" w:lineRule="auto"/>
        <w:jc w:val="both"/>
        <w:rPr>
          <w:rFonts w:ascii="Arial" w:eastAsia="Calibri" w:hAnsi="Arial" w:cs="Arial"/>
          <w:b/>
          <w:color w:val="000000" w:themeColor="text1"/>
        </w:rPr>
      </w:pPr>
    </w:p>
    <w:p w14:paraId="15B1169F" w14:textId="77777777" w:rsidR="00E55074" w:rsidRPr="00837718" w:rsidRDefault="00E55074" w:rsidP="00837718">
      <w:pPr>
        <w:pStyle w:val="NormalWeb"/>
        <w:shd w:val="clear" w:color="auto" w:fill="FFFFFF"/>
        <w:spacing w:before="0" w:beforeAutospacing="0" w:after="0" w:afterAutospacing="0"/>
        <w:ind w:left="709" w:right="709"/>
        <w:jc w:val="both"/>
        <w:rPr>
          <w:rFonts w:ascii="Arial" w:eastAsia="Calibri" w:hAnsi="Arial" w:cs="Arial"/>
          <w:color w:val="000000" w:themeColor="text1"/>
          <w:sz w:val="21"/>
          <w:szCs w:val="21"/>
          <w:lang w:val="es-ES"/>
        </w:rPr>
      </w:pPr>
      <w:r w:rsidRPr="00837718">
        <w:rPr>
          <w:rFonts w:ascii="Arial" w:eastAsia="Calibri" w:hAnsi="Arial" w:cs="Arial"/>
          <w:color w:val="000000" w:themeColor="text1"/>
          <w:sz w:val="21"/>
          <w:szCs w:val="21"/>
        </w:rPr>
        <w:t xml:space="preserve">En relación con los conceptos C-632 de 19 de noviembre de 2021 y C-862 de 16 de diciembre de 2022 emitidos por esta Agencia, </w:t>
      </w:r>
      <w:r w:rsidRPr="00837718">
        <w:rPr>
          <w:rFonts w:ascii="Arial" w:eastAsia="Calibri" w:hAnsi="Arial" w:cs="Arial"/>
          <w:color w:val="000000" w:themeColor="text1"/>
          <w:sz w:val="21"/>
          <w:szCs w:val="21"/>
          <w:lang w:val="es-ES"/>
        </w:rPr>
        <w:t>usted solicita se aclare el último concepto o se unifique la postura adoptada por la entidad respecto de “la aplicación de la modalidad de selección de concurso de méritos con precalificación para escoger los interventores de contrato de obra pública de infraestructura de transporte”, al señalar que estos se contradicen entre sí, y, “ponen en duda la legalidad de varios procesos de selección que han realizado las entidades estatales”, que han utilizado la modalidad de concurso de méritos con precalificación para contratar el objeto indicado, encontrando que lo anterior era permitido en el marco de ámbito de aplicación de los Documentos Tipo.</w:t>
      </w:r>
    </w:p>
    <w:p w14:paraId="4A423DEA" w14:textId="77777777" w:rsidR="000D221C" w:rsidRPr="00E468DC" w:rsidRDefault="000D221C" w:rsidP="00AF274F">
      <w:pPr>
        <w:spacing w:after="0" w:line="276" w:lineRule="auto"/>
        <w:jc w:val="both"/>
        <w:rPr>
          <w:rFonts w:ascii="Arial" w:eastAsia="Calibri" w:hAnsi="Arial" w:cs="Arial"/>
          <w:b/>
          <w:color w:val="000000" w:themeColor="text1"/>
          <w:lang w:val="es-ES"/>
        </w:rPr>
      </w:pPr>
    </w:p>
    <w:p w14:paraId="7C8CD332" w14:textId="7FC7575E" w:rsidR="000E25C7" w:rsidRDefault="00474F7E" w:rsidP="00837718">
      <w:pPr>
        <w:spacing w:after="120" w:line="276" w:lineRule="auto"/>
        <w:jc w:val="both"/>
        <w:rPr>
          <w:rFonts w:ascii="Arial" w:eastAsia="Calibri" w:hAnsi="Arial" w:cs="Arial"/>
          <w:lang w:val="es-ES_tradnl"/>
        </w:rPr>
      </w:pPr>
      <w:r>
        <w:rPr>
          <w:rFonts w:ascii="Arial" w:hAnsi="Arial" w:cs="Arial"/>
          <w:color w:val="0D0D0D"/>
          <w:bdr w:val="none" w:sz="0" w:space="0" w:color="auto" w:frame="1"/>
          <w:lang w:val="es-ES_tradnl" w:eastAsia="es-CO"/>
        </w:rPr>
        <w:t xml:space="preserve">Conforme a lo expuesto, es importante aclarar </w:t>
      </w:r>
      <w:r w:rsidR="00F721DA">
        <w:rPr>
          <w:rFonts w:ascii="Arial" w:hAnsi="Arial" w:cs="Arial"/>
          <w:color w:val="0D0D0D"/>
          <w:bdr w:val="none" w:sz="0" w:space="0" w:color="auto" w:frame="1"/>
          <w:lang w:val="es-ES_tradnl" w:eastAsia="es-CO"/>
        </w:rPr>
        <w:t xml:space="preserve">el concepto </w:t>
      </w:r>
      <w:r w:rsidR="00F721DA">
        <w:rPr>
          <w:rFonts w:ascii="Arial" w:eastAsia="Calibri" w:hAnsi="Arial" w:cs="Arial"/>
          <w:color w:val="000000" w:themeColor="text1"/>
        </w:rPr>
        <w:t xml:space="preserve">C-862 de 16 de diciembre de 2022 </w:t>
      </w:r>
      <w:r w:rsidR="00D374B7">
        <w:rPr>
          <w:rFonts w:ascii="Arial" w:eastAsia="Calibri" w:hAnsi="Arial" w:cs="Arial"/>
          <w:color w:val="000000" w:themeColor="text1"/>
        </w:rPr>
        <w:t>con el fin de i</w:t>
      </w:r>
      <w:r w:rsidR="00F721DA">
        <w:rPr>
          <w:rFonts w:ascii="Arial" w:eastAsia="Calibri" w:hAnsi="Arial" w:cs="Arial"/>
          <w:color w:val="000000" w:themeColor="text1"/>
        </w:rPr>
        <w:t xml:space="preserve">ndicar </w:t>
      </w:r>
      <w:r>
        <w:rPr>
          <w:rFonts w:ascii="Arial" w:hAnsi="Arial" w:cs="Arial"/>
          <w:color w:val="0D0D0D"/>
          <w:bdr w:val="none" w:sz="0" w:space="0" w:color="auto" w:frame="1"/>
          <w:lang w:val="es-ES_tradnl" w:eastAsia="es-CO"/>
        </w:rPr>
        <w:t>que si bien</w:t>
      </w:r>
      <w:r w:rsidR="000D221C" w:rsidRPr="0067709B">
        <w:rPr>
          <w:rFonts w:ascii="Arial" w:hAnsi="Arial" w:cs="Arial"/>
          <w:color w:val="0D0D0D"/>
          <w:bdr w:val="none" w:sz="0" w:space="0" w:color="auto" w:frame="1"/>
          <w:lang w:val="es-ES_tradnl" w:eastAsia="es-CO"/>
        </w:rPr>
        <w:t xml:space="preserve"> la Agencia </w:t>
      </w:r>
      <w:r w:rsidR="00404632">
        <w:rPr>
          <w:rFonts w:ascii="Arial" w:hAnsi="Arial" w:cs="Arial"/>
          <w:color w:val="0D0D0D"/>
          <w:bdr w:val="none" w:sz="0" w:space="0" w:color="auto" w:frame="1"/>
          <w:lang w:val="es-ES_tradnl" w:eastAsia="es-CO"/>
        </w:rPr>
        <w:t xml:space="preserve">ha diseñado y </w:t>
      </w:r>
      <w:r w:rsidR="000D221C" w:rsidRPr="0067709B">
        <w:rPr>
          <w:rFonts w:ascii="Arial" w:hAnsi="Arial" w:cs="Arial"/>
          <w:color w:val="0D0D0D"/>
          <w:bdr w:val="none" w:sz="0" w:space="0" w:color="auto" w:frame="1"/>
          <w:lang w:val="es-ES_tradnl" w:eastAsia="es-CO"/>
        </w:rPr>
        <w:t>adopt</w:t>
      </w:r>
      <w:r>
        <w:rPr>
          <w:rFonts w:ascii="Arial" w:hAnsi="Arial" w:cs="Arial"/>
          <w:color w:val="0D0D0D"/>
          <w:bdr w:val="none" w:sz="0" w:space="0" w:color="auto" w:frame="1"/>
          <w:lang w:val="es-ES_tradnl" w:eastAsia="es-CO"/>
        </w:rPr>
        <w:t>ado</w:t>
      </w:r>
      <w:r w:rsidR="000D221C" w:rsidRPr="0067709B">
        <w:rPr>
          <w:rFonts w:ascii="Arial" w:hAnsi="Arial" w:cs="Arial"/>
          <w:color w:val="0D0D0D"/>
          <w:bdr w:val="none" w:sz="0" w:space="0" w:color="auto" w:frame="1"/>
          <w:lang w:val="es-ES_tradnl" w:eastAsia="es-CO"/>
        </w:rPr>
        <w:t xml:space="preserve"> los documentos tipo de interventoría </w:t>
      </w:r>
      <w:r w:rsidR="00B006B9">
        <w:rPr>
          <w:rFonts w:ascii="Arial" w:hAnsi="Arial" w:cs="Arial"/>
          <w:color w:val="0D0D0D"/>
          <w:bdr w:val="none" w:sz="0" w:space="0" w:color="auto" w:frame="1"/>
          <w:lang w:val="es-ES_tradnl" w:eastAsia="es-CO"/>
        </w:rPr>
        <w:t xml:space="preserve">para obra pública en </w:t>
      </w:r>
      <w:r w:rsidR="000D221C" w:rsidRPr="0067709B">
        <w:rPr>
          <w:rFonts w:ascii="Arial" w:hAnsi="Arial" w:cs="Arial"/>
          <w:color w:val="0D0D0D"/>
          <w:bdr w:val="none" w:sz="0" w:space="0" w:color="auto" w:frame="1"/>
          <w:lang w:val="es-ES_tradnl" w:eastAsia="es-CO"/>
        </w:rPr>
        <w:t xml:space="preserve">infraestructura de transporte </w:t>
      </w:r>
      <w:r w:rsidR="00404632">
        <w:rPr>
          <w:rFonts w:ascii="Arial" w:hAnsi="Arial" w:cs="Arial"/>
          <w:color w:val="0D0D0D"/>
          <w:bdr w:val="none" w:sz="0" w:space="0" w:color="auto" w:frame="1"/>
          <w:lang w:val="es-ES_tradnl" w:eastAsia="es-CO"/>
        </w:rPr>
        <w:t xml:space="preserve">para que estos </w:t>
      </w:r>
      <w:r w:rsidR="000D221C" w:rsidRPr="0067709B">
        <w:rPr>
          <w:rFonts w:ascii="Arial" w:hAnsi="Arial" w:cs="Arial"/>
          <w:color w:val="0D0D0D"/>
          <w:bdr w:val="none" w:sz="0" w:space="0" w:color="auto" w:frame="1"/>
          <w:lang w:val="es-ES_tradnl" w:eastAsia="es-CO"/>
        </w:rPr>
        <w:t xml:space="preserve">se adelanten por </w:t>
      </w:r>
      <w:r w:rsidR="000D221C" w:rsidRPr="0067709B">
        <w:rPr>
          <w:rFonts w:ascii="Arial" w:hAnsi="Arial" w:cs="Arial"/>
          <w:i/>
          <w:iCs/>
          <w:color w:val="0D0D0D"/>
          <w:bdr w:val="none" w:sz="0" w:space="0" w:color="auto" w:frame="1"/>
          <w:lang w:val="es-ES_tradnl" w:eastAsia="es-CO"/>
        </w:rPr>
        <w:t>concurso de méritos abierto</w:t>
      </w:r>
      <w:r w:rsidR="00404632">
        <w:rPr>
          <w:rFonts w:ascii="Arial" w:hAnsi="Arial" w:cs="Arial"/>
          <w:color w:val="0D0D0D"/>
          <w:bdr w:val="none" w:sz="0" w:space="0" w:color="auto" w:frame="1"/>
          <w:lang w:val="es-ES_tradnl" w:eastAsia="es-CO"/>
        </w:rPr>
        <w:t xml:space="preserve">, lo anterior no quiere decir que esto sea la única modalidad de proceso de selección permitida para las entidades estatales sometidas por la Ley 80 de 1993, para </w:t>
      </w:r>
      <w:r w:rsidR="006B3C7A">
        <w:rPr>
          <w:rFonts w:ascii="Arial" w:hAnsi="Arial" w:cs="Arial"/>
          <w:color w:val="0D0D0D"/>
          <w:bdr w:val="none" w:sz="0" w:space="0" w:color="auto" w:frame="1"/>
          <w:lang w:val="es-ES_tradnl" w:eastAsia="es-CO"/>
        </w:rPr>
        <w:t>seleccionar sus contratistas</w:t>
      </w:r>
      <w:r w:rsidR="00D374B7">
        <w:rPr>
          <w:rFonts w:ascii="Arial" w:hAnsi="Arial" w:cs="Arial"/>
          <w:color w:val="0D0D0D"/>
          <w:bdr w:val="none" w:sz="0" w:space="0" w:color="auto" w:frame="1"/>
          <w:lang w:val="es-ES_tradnl" w:eastAsia="es-CO"/>
        </w:rPr>
        <w:t xml:space="preserve"> que tengan dicho objeto, por cuento</w:t>
      </w:r>
      <w:r w:rsidR="00AE3693">
        <w:rPr>
          <w:rFonts w:ascii="Arial" w:hAnsi="Arial" w:cs="Arial"/>
          <w:color w:val="0D0D0D"/>
          <w:bdr w:val="none" w:sz="0" w:space="0" w:color="auto" w:frame="1"/>
          <w:lang w:val="es-ES_tradnl" w:eastAsia="es-CO"/>
        </w:rPr>
        <w:t xml:space="preserve"> en el marco de su autonomía</w:t>
      </w:r>
      <w:r w:rsidR="00C05EE9">
        <w:rPr>
          <w:rFonts w:ascii="Arial" w:hAnsi="Arial" w:cs="Arial"/>
          <w:color w:val="0D0D0D"/>
          <w:bdr w:val="none" w:sz="0" w:space="0" w:color="auto" w:frame="1"/>
          <w:lang w:val="es-ES_tradnl" w:eastAsia="es-CO"/>
        </w:rPr>
        <w:t>,</w:t>
      </w:r>
      <w:r w:rsidR="00AE3693">
        <w:rPr>
          <w:rFonts w:ascii="Arial" w:hAnsi="Arial" w:cs="Arial"/>
          <w:color w:val="0D0D0D"/>
          <w:bdr w:val="none" w:sz="0" w:space="0" w:color="auto" w:frame="1"/>
          <w:lang w:val="es-ES_tradnl" w:eastAsia="es-CO"/>
        </w:rPr>
        <w:t xml:space="preserve"> </w:t>
      </w:r>
      <w:r w:rsidR="00F75E98">
        <w:rPr>
          <w:rFonts w:ascii="Arial" w:hAnsi="Arial" w:cs="Arial"/>
          <w:color w:val="0D0D0D"/>
          <w:bdr w:val="none" w:sz="0" w:space="0" w:color="auto" w:frame="1"/>
          <w:lang w:val="es-ES_tradnl" w:eastAsia="es-CO"/>
        </w:rPr>
        <w:t>las entidades pueden</w:t>
      </w:r>
      <w:r w:rsidR="00E951D7">
        <w:rPr>
          <w:rFonts w:ascii="Arial" w:hAnsi="Arial" w:cs="Arial"/>
          <w:color w:val="0D0D0D"/>
          <w:bdr w:val="none" w:sz="0" w:space="0" w:color="auto" w:frame="1"/>
          <w:lang w:val="es-ES_tradnl" w:eastAsia="es-CO"/>
        </w:rPr>
        <w:t>,</w:t>
      </w:r>
      <w:r w:rsidR="00F75E98">
        <w:rPr>
          <w:rFonts w:ascii="Arial" w:hAnsi="Arial" w:cs="Arial"/>
          <w:color w:val="0D0D0D"/>
          <w:bdr w:val="none" w:sz="0" w:space="0" w:color="auto" w:frame="1"/>
          <w:lang w:val="es-ES_tradnl" w:eastAsia="es-CO"/>
        </w:rPr>
        <w:t xml:space="preserve"> en caso de que lo consideren pertinente y así lo justifiquen en </w:t>
      </w:r>
      <w:r w:rsidR="00F75E98">
        <w:rPr>
          <w:rFonts w:ascii="Arial" w:hAnsi="Arial" w:cs="Arial"/>
          <w:color w:val="0D0D0D"/>
          <w:bdr w:val="none" w:sz="0" w:space="0" w:color="auto" w:frame="1"/>
          <w:lang w:val="es-ES_tradnl" w:eastAsia="es-CO"/>
        </w:rPr>
        <w:lastRenderedPageBreak/>
        <w:t xml:space="preserve">sus estudios previos, </w:t>
      </w:r>
      <w:r w:rsidR="00E951D7">
        <w:rPr>
          <w:rFonts w:ascii="Arial" w:hAnsi="Arial" w:cs="Arial"/>
          <w:color w:val="0D0D0D"/>
          <w:bdr w:val="none" w:sz="0" w:space="0" w:color="auto" w:frame="1"/>
          <w:lang w:val="es-ES_tradnl" w:eastAsia="es-CO"/>
        </w:rPr>
        <w:t xml:space="preserve">adelantar la contratación </w:t>
      </w:r>
      <w:r w:rsidR="00F75E98">
        <w:rPr>
          <w:rFonts w:ascii="Arial" w:hAnsi="Arial" w:cs="Arial"/>
          <w:color w:val="0D0D0D"/>
          <w:bdr w:val="none" w:sz="0" w:space="0" w:color="auto" w:frame="1"/>
          <w:lang w:val="es-ES_tradnl" w:eastAsia="es-CO"/>
        </w:rPr>
        <w:t xml:space="preserve">mediante la modalidad de selección de </w:t>
      </w:r>
      <w:r w:rsidR="00F75E98" w:rsidRPr="00F75E98">
        <w:rPr>
          <w:rFonts w:ascii="Arial" w:hAnsi="Arial" w:cs="Arial"/>
          <w:i/>
          <w:iCs/>
          <w:color w:val="0D0D0D"/>
          <w:bdr w:val="none" w:sz="0" w:space="0" w:color="auto" w:frame="1"/>
          <w:lang w:val="es-ES_tradnl" w:eastAsia="es-CO"/>
        </w:rPr>
        <w:t>concurso de méritos con precalificación</w:t>
      </w:r>
      <w:r w:rsidR="006B3C7A">
        <w:rPr>
          <w:rFonts w:ascii="Arial" w:hAnsi="Arial" w:cs="Arial"/>
          <w:color w:val="0D0D0D"/>
          <w:bdr w:val="none" w:sz="0" w:space="0" w:color="auto" w:frame="1"/>
          <w:lang w:val="es-ES_tradnl" w:eastAsia="es-CO"/>
        </w:rPr>
        <w:t xml:space="preserve">. </w:t>
      </w:r>
      <w:r w:rsidR="00636678">
        <w:rPr>
          <w:rFonts w:ascii="Arial" w:hAnsi="Arial" w:cs="Arial"/>
          <w:color w:val="0D0D0D"/>
          <w:bdr w:val="none" w:sz="0" w:space="0" w:color="auto" w:frame="1"/>
          <w:lang w:val="es-ES_tradnl" w:eastAsia="es-CO"/>
        </w:rPr>
        <w:t xml:space="preserve">Por lo tanto, </w:t>
      </w:r>
      <w:r w:rsidR="000D33DC">
        <w:rPr>
          <w:rFonts w:ascii="Arial" w:eastAsia="Calibri" w:hAnsi="Arial" w:cs="Arial"/>
          <w:lang w:val="es-ES_tradnl"/>
        </w:rPr>
        <w:t xml:space="preserve">hasta la fecha, </w:t>
      </w:r>
      <w:r w:rsidR="000D221C" w:rsidRPr="0067709B">
        <w:rPr>
          <w:rFonts w:ascii="Arial" w:eastAsia="Calibri" w:hAnsi="Arial" w:cs="Arial"/>
          <w:lang w:val="es-ES_tradnl"/>
        </w:rPr>
        <w:t xml:space="preserve">los documentos tipo </w:t>
      </w:r>
      <w:r w:rsidR="00C05EE9">
        <w:rPr>
          <w:rFonts w:ascii="Arial" w:eastAsia="Calibri" w:hAnsi="Arial" w:cs="Arial"/>
          <w:lang w:val="es-ES_tradnl"/>
        </w:rPr>
        <w:t xml:space="preserve">diseñados y </w:t>
      </w:r>
      <w:r w:rsidR="000D221C" w:rsidRPr="0067709B">
        <w:rPr>
          <w:rFonts w:ascii="Arial" w:eastAsia="Calibri" w:hAnsi="Arial" w:cs="Arial"/>
          <w:lang w:val="es-ES_tradnl"/>
        </w:rPr>
        <w:t xml:space="preserve">adoptados mediante la </w:t>
      </w:r>
      <w:r w:rsidR="000D221C" w:rsidRPr="0067709B">
        <w:rPr>
          <w:rFonts w:ascii="Arial" w:hAnsi="Arial" w:cs="Arial"/>
          <w:color w:val="0D0D0D"/>
          <w:bdr w:val="none" w:sz="0" w:space="0" w:color="auto" w:frame="1"/>
          <w:lang w:eastAsia="es-CO"/>
        </w:rPr>
        <w:t>Resolución No. 256 del 11 de diciembre de 2020 son</w:t>
      </w:r>
      <w:r w:rsidR="000D221C" w:rsidRPr="0067709B">
        <w:rPr>
          <w:rFonts w:ascii="Arial" w:eastAsia="Calibri" w:hAnsi="Arial" w:cs="Arial"/>
          <w:lang w:val="es-ES_tradnl"/>
        </w:rPr>
        <w:t xml:space="preserve"> obligatorios para las entidades sometidas a la Ley 80 de 1993 que contraten la interventoría de obras públicas de infraestructura de transporte a través de </w:t>
      </w:r>
      <w:r w:rsidR="000D221C" w:rsidRPr="0067709B">
        <w:rPr>
          <w:rFonts w:ascii="Arial" w:eastAsia="Calibri" w:hAnsi="Arial" w:cs="Arial"/>
          <w:i/>
          <w:iCs/>
          <w:lang w:val="es-ES_tradnl"/>
        </w:rPr>
        <w:t>concurso de méritos abierto</w:t>
      </w:r>
      <w:r w:rsidR="000D221C" w:rsidRPr="0067709B">
        <w:rPr>
          <w:rFonts w:ascii="Arial" w:eastAsia="Calibri" w:hAnsi="Arial" w:cs="Arial"/>
          <w:lang w:val="es-ES_tradnl"/>
        </w:rPr>
        <w:t>.</w:t>
      </w:r>
    </w:p>
    <w:p w14:paraId="69744B8B" w14:textId="7D37DDF4" w:rsidR="000D221C" w:rsidRPr="0067709B" w:rsidRDefault="000D221C" w:rsidP="00837718">
      <w:pPr>
        <w:spacing w:after="0" w:line="276" w:lineRule="auto"/>
        <w:ind w:firstLine="708"/>
        <w:jc w:val="both"/>
        <w:rPr>
          <w:rFonts w:ascii="Arial" w:eastAsia="Calibri" w:hAnsi="Arial" w:cs="Arial"/>
          <w:lang w:val="es-ES_tradnl"/>
        </w:rPr>
      </w:pPr>
      <w:r w:rsidRPr="0067709B">
        <w:rPr>
          <w:rFonts w:ascii="Arial" w:eastAsia="Calibri" w:hAnsi="Arial" w:cs="Arial"/>
          <w:lang w:val="es-ES_tradnl"/>
        </w:rPr>
        <w:t xml:space="preserve"> </w:t>
      </w:r>
      <w:r w:rsidR="00C05EE9">
        <w:rPr>
          <w:rFonts w:ascii="Arial" w:eastAsia="Calibri" w:hAnsi="Arial" w:cs="Arial"/>
          <w:lang w:val="es-ES_tradnl"/>
        </w:rPr>
        <w:t>Lo anterior quiere decir que</w:t>
      </w:r>
      <w:r w:rsidR="000E25C7">
        <w:rPr>
          <w:rFonts w:ascii="Arial" w:eastAsia="Calibri" w:hAnsi="Arial" w:cs="Arial"/>
          <w:lang w:val="es-ES_tradnl"/>
        </w:rPr>
        <w:t xml:space="preserve"> para la </w:t>
      </w:r>
      <w:r w:rsidR="000E25C7" w:rsidRPr="0067709B">
        <w:rPr>
          <w:rFonts w:ascii="Arial" w:eastAsia="Calibri" w:hAnsi="Arial" w:cs="Arial"/>
          <w:lang w:val="es-ES_tradnl"/>
        </w:rPr>
        <w:t>selección</w:t>
      </w:r>
      <w:r w:rsidRPr="0067709B">
        <w:rPr>
          <w:rFonts w:ascii="Arial" w:eastAsia="Calibri" w:hAnsi="Arial" w:cs="Arial"/>
          <w:lang w:val="es-ES_tradnl"/>
        </w:rPr>
        <w:t xml:space="preserve"> de interventores de obras de infraestructura de transporte por </w:t>
      </w:r>
      <w:r w:rsidRPr="0067709B">
        <w:rPr>
          <w:rFonts w:ascii="Arial" w:eastAsia="Calibri" w:hAnsi="Arial" w:cs="Arial"/>
          <w:i/>
          <w:iCs/>
          <w:lang w:val="es-ES_tradnl"/>
        </w:rPr>
        <w:t>concurso de méritos con precalificación</w:t>
      </w:r>
      <w:r w:rsidRPr="0067709B">
        <w:rPr>
          <w:rFonts w:ascii="Arial" w:eastAsia="Calibri" w:hAnsi="Arial" w:cs="Arial"/>
          <w:lang w:val="es-ES_tradnl"/>
        </w:rPr>
        <w:t xml:space="preserve"> no existe obligación de aplicar los documentos tipo mencionados, sin perjuicio de que puedan utilizarse como un parámetro de buena práctica contractual en el sistema de compras públicas. </w:t>
      </w:r>
    </w:p>
    <w:p w14:paraId="2D8301A4" w14:textId="77777777" w:rsidR="000D221C" w:rsidRPr="0067709B" w:rsidRDefault="000D221C" w:rsidP="00AF274F">
      <w:pPr>
        <w:spacing w:after="0" w:line="276" w:lineRule="auto"/>
        <w:jc w:val="both"/>
        <w:rPr>
          <w:rFonts w:ascii="Arial" w:eastAsia="Calibri" w:hAnsi="Arial" w:cs="Arial"/>
          <w:lang w:val="es-ES_tradnl"/>
        </w:rPr>
      </w:pPr>
    </w:p>
    <w:p w14:paraId="2CF6D6D3" w14:textId="77777777" w:rsidR="006E5511" w:rsidRPr="00714C91" w:rsidRDefault="006E5511" w:rsidP="00AF274F">
      <w:pPr>
        <w:spacing w:after="0" w:line="276" w:lineRule="auto"/>
        <w:jc w:val="both"/>
        <w:rPr>
          <w:rFonts w:ascii="Arial" w:hAnsi="Arial" w:cs="Arial"/>
          <w:lang w:val="es-ES"/>
        </w:rPr>
      </w:pPr>
      <w:r w:rsidRPr="009A5830">
        <w:rPr>
          <w:rFonts w:ascii="Arial" w:hAnsi="Arial" w:cs="Arial"/>
        </w:rPr>
        <w:t>Este concepto tiene el alcance previsto en el artículo 28 del</w:t>
      </w:r>
      <w:r w:rsidRPr="579267AC">
        <w:rPr>
          <w:rFonts w:ascii="Arial" w:eastAsia="Times New Roman" w:hAnsi="Arial" w:cs="Arial"/>
          <w:lang w:val="es-ES" w:eastAsia="es-ES"/>
        </w:rPr>
        <w:t xml:space="preserve"> Código de Procedimiento Administrativo y de lo Contencioso Administrativo </w:t>
      </w:r>
      <w:r w:rsidRPr="579267AC">
        <w:rPr>
          <w:rFonts w:ascii="Arial" w:hAnsi="Arial" w:cs="Arial"/>
          <w:color w:val="000000" w:themeColor="text1"/>
          <w:lang w:val="es-ES"/>
        </w:rPr>
        <w:t xml:space="preserve">y </w:t>
      </w:r>
      <w:r w:rsidRPr="00714C91">
        <w:rPr>
          <w:rFonts w:ascii="Arial" w:hAnsi="Arial" w:cs="Arial"/>
          <w:color w:val="000000" w:themeColor="text1"/>
        </w:rPr>
        <w:t>las expresiones aquí utilizadas con mayúscula inicial deben ser entendidas con el significado que les otorga el artículo 2.2.1.1.1.3.1. del Decreto 1082 de 2015</w:t>
      </w:r>
      <w:r w:rsidRPr="579267AC">
        <w:rPr>
          <w:rFonts w:ascii="Arial" w:hAnsi="Arial" w:cs="Arial"/>
          <w:color w:val="000000" w:themeColor="text1"/>
          <w:lang w:val="es-ES"/>
        </w:rPr>
        <w:t>.</w:t>
      </w:r>
    </w:p>
    <w:p w14:paraId="6781AB22" w14:textId="6BF3A012" w:rsidR="000D221C" w:rsidRPr="006E5511" w:rsidRDefault="000D221C" w:rsidP="00AF274F">
      <w:pPr>
        <w:spacing w:after="0" w:line="276" w:lineRule="auto"/>
        <w:jc w:val="both"/>
        <w:rPr>
          <w:rFonts w:ascii="Arial" w:eastAsia="Calibri" w:hAnsi="Arial" w:cs="Arial"/>
          <w:color w:val="000000" w:themeColor="text1"/>
          <w:lang w:val="es-ES"/>
        </w:rPr>
      </w:pPr>
    </w:p>
    <w:p w14:paraId="748F1D2D" w14:textId="77777777" w:rsidR="000D221C" w:rsidRPr="0067709B" w:rsidRDefault="000D221C" w:rsidP="00AF274F">
      <w:pPr>
        <w:spacing w:after="0" w:line="276" w:lineRule="auto"/>
        <w:rPr>
          <w:rFonts w:ascii="Arial" w:eastAsia="Times New Roman" w:hAnsi="Arial" w:cs="Arial"/>
          <w:color w:val="000000" w:themeColor="text1"/>
          <w:lang w:eastAsia="es-CO"/>
        </w:rPr>
      </w:pPr>
      <w:r w:rsidRPr="0067709B">
        <w:rPr>
          <w:rFonts w:ascii="Arial" w:eastAsia="Times New Roman" w:hAnsi="Arial" w:cs="Arial"/>
          <w:color w:val="000000" w:themeColor="text1"/>
          <w:lang w:eastAsia="es-CO"/>
        </w:rPr>
        <w:t>Atentamente,</w:t>
      </w:r>
    </w:p>
    <w:p w14:paraId="315F41C8" w14:textId="2D126F3D" w:rsidR="000D221C" w:rsidRPr="0067709B" w:rsidRDefault="00B46B5A" w:rsidP="00AF274F">
      <w:pPr>
        <w:spacing w:after="0" w:line="276" w:lineRule="auto"/>
        <w:jc w:val="center"/>
        <w:rPr>
          <w:rFonts w:ascii="Arial" w:eastAsia="Times New Roman" w:hAnsi="Arial" w:cs="Arial"/>
          <w:color w:val="000000" w:themeColor="text1"/>
          <w:lang w:eastAsia="es-CO"/>
        </w:rPr>
      </w:pPr>
      <w:r>
        <w:rPr>
          <w:rFonts w:ascii="Arial" w:hAnsi="Arial" w:cs="Arial"/>
          <w:noProof/>
          <w:lang w:val="es-ES_tradnl"/>
        </w:rPr>
        <w:drawing>
          <wp:inline distT="0" distB="0" distL="0" distR="0" wp14:anchorId="37424025" wp14:editId="03A392C7">
            <wp:extent cx="3150870" cy="1209675"/>
            <wp:effectExtent l="0" t="0" r="0" b="9525"/>
            <wp:docPr id="106633725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0870" cy="1209675"/>
                    </a:xfrm>
                    <a:prstGeom prst="rect">
                      <a:avLst/>
                    </a:prstGeom>
                    <a:noFill/>
                    <a:ln>
                      <a:noFill/>
                    </a:ln>
                  </pic:spPr>
                </pic:pic>
              </a:graphicData>
            </a:graphic>
          </wp:inline>
        </w:drawing>
      </w:r>
    </w:p>
    <w:p w14:paraId="2E6B6801" w14:textId="77777777" w:rsidR="000D221C" w:rsidRPr="0067709B" w:rsidRDefault="000D221C" w:rsidP="00AF274F">
      <w:pPr>
        <w:spacing w:after="0" w:line="276" w:lineRule="auto"/>
        <w:jc w:val="center"/>
        <w:rPr>
          <w:rFonts w:ascii="Arial" w:eastAsia="Times New Roman" w:hAnsi="Arial" w:cs="Arial"/>
          <w:color w:val="000000" w:themeColor="text1"/>
          <w:sz w:val="14"/>
          <w:szCs w:val="14"/>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5041"/>
      </w:tblGrid>
      <w:tr w:rsidR="000D221C" w:rsidRPr="000E025A" w14:paraId="40724D7B" w14:textId="77777777" w:rsidTr="000E025A">
        <w:trPr>
          <w:trHeight w:val="267"/>
        </w:trPr>
        <w:tc>
          <w:tcPr>
            <w:tcW w:w="1013" w:type="dxa"/>
            <w:vAlign w:val="center"/>
          </w:tcPr>
          <w:p w14:paraId="6981B9BD" w14:textId="77777777" w:rsidR="000D221C" w:rsidRPr="000E025A" w:rsidRDefault="000D221C" w:rsidP="00AF274F">
            <w:pPr>
              <w:spacing w:line="276" w:lineRule="auto"/>
              <w:rPr>
                <w:rFonts w:ascii="Arial" w:eastAsia="Times New Roman" w:hAnsi="Arial" w:cs="Arial"/>
                <w:color w:val="000000" w:themeColor="text1"/>
                <w:sz w:val="18"/>
                <w:szCs w:val="18"/>
                <w:lang w:eastAsia="es-ES"/>
              </w:rPr>
            </w:pPr>
            <w:r w:rsidRPr="000E025A">
              <w:rPr>
                <w:rFonts w:ascii="Arial" w:eastAsia="Times New Roman" w:hAnsi="Arial" w:cs="Arial"/>
                <w:color w:val="000000" w:themeColor="text1"/>
                <w:sz w:val="18"/>
                <w:szCs w:val="18"/>
                <w:lang w:eastAsia="es-ES"/>
              </w:rPr>
              <w:t>Elaboró:</w:t>
            </w:r>
          </w:p>
        </w:tc>
        <w:tc>
          <w:tcPr>
            <w:tcW w:w="5041" w:type="dxa"/>
            <w:tcBorders>
              <w:bottom w:val="dotted" w:sz="4" w:space="0" w:color="7F7F7F" w:themeColor="text1" w:themeTint="80"/>
            </w:tcBorders>
            <w:vAlign w:val="center"/>
          </w:tcPr>
          <w:p w14:paraId="30BF7D86" w14:textId="6CB5870E" w:rsidR="000D221C" w:rsidRPr="000E025A" w:rsidRDefault="000E025A" w:rsidP="00AF274F">
            <w:pPr>
              <w:spacing w:line="276" w:lineRule="auto"/>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Any Alejandra Tovar Castillo</w:t>
            </w:r>
          </w:p>
          <w:p w14:paraId="3D3F4CCE" w14:textId="77777777" w:rsidR="000D221C" w:rsidRPr="000E025A" w:rsidRDefault="000D221C" w:rsidP="00AF274F">
            <w:pPr>
              <w:spacing w:line="276" w:lineRule="auto"/>
              <w:rPr>
                <w:rFonts w:ascii="Arial" w:eastAsia="Times New Roman" w:hAnsi="Arial" w:cs="Arial"/>
                <w:color w:val="000000" w:themeColor="text1"/>
                <w:sz w:val="18"/>
                <w:szCs w:val="18"/>
                <w:lang w:eastAsia="es-ES"/>
              </w:rPr>
            </w:pPr>
            <w:r w:rsidRPr="000E025A">
              <w:rPr>
                <w:rFonts w:ascii="Arial" w:eastAsia="Times New Roman" w:hAnsi="Arial" w:cs="Arial"/>
                <w:color w:val="000000" w:themeColor="text1"/>
                <w:sz w:val="18"/>
                <w:szCs w:val="18"/>
                <w:lang w:eastAsia="es-ES"/>
              </w:rPr>
              <w:t xml:space="preserve">Contratista de la Subdirección de Gestión Contractual  </w:t>
            </w:r>
          </w:p>
        </w:tc>
      </w:tr>
      <w:tr w:rsidR="000D221C" w:rsidRPr="000E025A" w14:paraId="112F1E85" w14:textId="77777777" w:rsidTr="000E025A">
        <w:trPr>
          <w:trHeight w:val="279"/>
        </w:trPr>
        <w:tc>
          <w:tcPr>
            <w:tcW w:w="1013" w:type="dxa"/>
            <w:vAlign w:val="center"/>
          </w:tcPr>
          <w:p w14:paraId="7C134EEE" w14:textId="77777777" w:rsidR="000D221C" w:rsidRPr="000E025A" w:rsidRDefault="000D221C" w:rsidP="00AF274F">
            <w:pPr>
              <w:spacing w:line="276" w:lineRule="auto"/>
              <w:rPr>
                <w:rFonts w:ascii="Arial" w:eastAsia="Times New Roman" w:hAnsi="Arial" w:cs="Arial"/>
                <w:color w:val="000000" w:themeColor="text1"/>
                <w:sz w:val="18"/>
                <w:szCs w:val="18"/>
                <w:lang w:eastAsia="es-ES"/>
              </w:rPr>
            </w:pPr>
            <w:r w:rsidRPr="000E025A">
              <w:rPr>
                <w:rFonts w:ascii="Arial" w:eastAsia="Times New Roman" w:hAnsi="Arial" w:cs="Arial"/>
                <w:color w:val="000000" w:themeColor="text1"/>
                <w:sz w:val="18"/>
                <w:szCs w:val="18"/>
                <w:lang w:eastAsia="es-ES"/>
              </w:rPr>
              <w:t>Revisó:</w:t>
            </w:r>
          </w:p>
        </w:tc>
        <w:tc>
          <w:tcPr>
            <w:tcW w:w="5041" w:type="dxa"/>
            <w:tcBorders>
              <w:top w:val="dotted" w:sz="4" w:space="0" w:color="7F7F7F" w:themeColor="text1" w:themeTint="80"/>
              <w:bottom w:val="dotted" w:sz="4" w:space="0" w:color="7F7F7F" w:themeColor="text1" w:themeTint="80"/>
            </w:tcBorders>
            <w:vAlign w:val="center"/>
          </w:tcPr>
          <w:p w14:paraId="31595A85" w14:textId="77777777" w:rsidR="000E025A" w:rsidRPr="000E025A" w:rsidRDefault="000E025A" w:rsidP="00AF274F">
            <w:pPr>
              <w:spacing w:line="276" w:lineRule="auto"/>
              <w:rPr>
                <w:rFonts w:ascii="Arial" w:hAnsi="Arial" w:cs="Arial"/>
                <w:color w:val="000000" w:themeColor="text1"/>
                <w:sz w:val="18"/>
                <w:szCs w:val="18"/>
                <w:lang w:eastAsia="es-ES"/>
              </w:rPr>
            </w:pPr>
            <w:r w:rsidRPr="000E025A">
              <w:rPr>
                <w:rFonts w:ascii="Arial" w:hAnsi="Arial" w:cs="Arial"/>
                <w:color w:val="000000" w:themeColor="text1"/>
                <w:sz w:val="18"/>
                <w:szCs w:val="18"/>
                <w:lang w:eastAsia="es-ES"/>
              </w:rPr>
              <w:t>Alejandro Sarmiento Cantillo</w:t>
            </w:r>
          </w:p>
          <w:p w14:paraId="3FE6B80A" w14:textId="5DFF9739" w:rsidR="000D221C" w:rsidRPr="000E025A" w:rsidRDefault="000D221C" w:rsidP="00AF274F">
            <w:pPr>
              <w:spacing w:line="276" w:lineRule="auto"/>
              <w:rPr>
                <w:rFonts w:ascii="Arial" w:hAnsi="Arial" w:cs="Arial"/>
                <w:color w:val="000000" w:themeColor="text1"/>
                <w:sz w:val="18"/>
                <w:szCs w:val="18"/>
                <w:lang w:eastAsia="es-ES"/>
              </w:rPr>
            </w:pPr>
            <w:r w:rsidRPr="000E025A">
              <w:rPr>
                <w:rFonts w:ascii="Arial" w:hAnsi="Arial" w:cs="Arial"/>
                <w:color w:val="000000" w:themeColor="text1"/>
                <w:sz w:val="18"/>
                <w:szCs w:val="18"/>
                <w:lang w:eastAsia="es-ES"/>
              </w:rPr>
              <w:t>Gestor T1-15 de la Subdirección de Gestión Contractual</w:t>
            </w:r>
          </w:p>
        </w:tc>
      </w:tr>
      <w:tr w:rsidR="000D221C" w:rsidRPr="000E025A" w14:paraId="5B6E8933" w14:textId="77777777" w:rsidTr="000E025A">
        <w:trPr>
          <w:trHeight w:val="254"/>
        </w:trPr>
        <w:tc>
          <w:tcPr>
            <w:tcW w:w="1013" w:type="dxa"/>
            <w:vAlign w:val="center"/>
          </w:tcPr>
          <w:p w14:paraId="57B28159" w14:textId="77777777" w:rsidR="000D221C" w:rsidRPr="000E025A" w:rsidRDefault="000D221C" w:rsidP="00AF274F">
            <w:pPr>
              <w:spacing w:line="276" w:lineRule="auto"/>
              <w:rPr>
                <w:rFonts w:ascii="Arial" w:eastAsia="Times New Roman" w:hAnsi="Arial" w:cs="Arial"/>
                <w:color w:val="000000" w:themeColor="text1"/>
                <w:sz w:val="18"/>
                <w:szCs w:val="18"/>
                <w:lang w:eastAsia="es-ES"/>
              </w:rPr>
            </w:pPr>
            <w:r w:rsidRPr="000E025A">
              <w:rPr>
                <w:rFonts w:ascii="Arial" w:eastAsia="Times New Roman" w:hAnsi="Arial" w:cs="Arial"/>
                <w:color w:val="000000" w:themeColor="text1"/>
                <w:sz w:val="18"/>
                <w:szCs w:val="18"/>
                <w:lang w:eastAsia="es-ES"/>
              </w:rPr>
              <w:t>Aprobó:</w:t>
            </w:r>
          </w:p>
        </w:tc>
        <w:tc>
          <w:tcPr>
            <w:tcW w:w="5041" w:type="dxa"/>
            <w:tcBorders>
              <w:top w:val="dotted" w:sz="4" w:space="0" w:color="7F7F7F" w:themeColor="text1" w:themeTint="80"/>
              <w:bottom w:val="dotted" w:sz="4" w:space="0" w:color="7F7F7F" w:themeColor="text1" w:themeTint="80"/>
            </w:tcBorders>
            <w:vAlign w:val="center"/>
          </w:tcPr>
          <w:p w14:paraId="0D05B958" w14:textId="77777777" w:rsidR="00AF7A91" w:rsidRPr="00AF7A91" w:rsidRDefault="00AF7A91" w:rsidP="00837718">
            <w:pPr>
              <w:rPr>
                <w:rFonts w:ascii="Arial" w:hAnsi="Arial" w:cs="Arial"/>
                <w:color w:val="000000" w:themeColor="text1"/>
                <w:sz w:val="18"/>
                <w:szCs w:val="18"/>
                <w:lang w:eastAsia="es-ES"/>
              </w:rPr>
            </w:pPr>
            <w:r w:rsidRPr="00AF7A91">
              <w:rPr>
                <w:rFonts w:ascii="Arial" w:hAnsi="Arial" w:cs="Arial"/>
                <w:color w:val="000000" w:themeColor="text1"/>
                <w:sz w:val="18"/>
                <w:szCs w:val="18"/>
                <w:lang w:eastAsia="es-ES"/>
              </w:rPr>
              <w:t xml:space="preserve">Nohelia del Carmen </w:t>
            </w:r>
            <w:proofErr w:type="spellStart"/>
            <w:r w:rsidRPr="00AF7A91">
              <w:rPr>
                <w:rFonts w:ascii="Arial" w:hAnsi="Arial" w:cs="Arial"/>
                <w:color w:val="000000" w:themeColor="text1"/>
                <w:sz w:val="18"/>
                <w:szCs w:val="18"/>
                <w:lang w:eastAsia="es-ES"/>
              </w:rPr>
              <w:t>Zawady</w:t>
            </w:r>
            <w:proofErr w:type="spellEnd"/>
            <w:r w:rsidRPr="00AF7A91">
              <w:rPr>
                <w:rFonts w:ascii="Arial" w:hAnsi="Arial" w:cs="Arial"/>
                <w:color w:val="000000" w:themeColor="text1"/>
                <w:sz w:val="18"/>
                <w:szCs w:val="18"/>
                <w:lang w:eastAsia="es-ES"/>
              </w:rPr>
              <w:t xml:space="preserve"> Palacio </w:t>
            </w:r>
          </w:p>
          <w:p w14:paraId="3B0F77AA" w14:textId="69FE3724" w:rsidR="000D221C" w:rsidRPr="000E025A" w:rsidRDefault="00AF7A91" w:rsidP="00837718">
            <w:pPr>
              <w:rPr>
                <w:rFonts w:ascii="Arial" w:eastAsia="Times New Roman" w:hAnsi="Arial" w:cs="Arial"/>
                <w:color w:val="000000" w:themeColor="text1"/>
                <w:sz w:val="18"/>
                <w:szCs w:val="18"/>
                <w:lang w:eastAsia="es-ES"/>
              </w:rPr>
            </w:pPr>
            <w:r w:rsidRPr="00AF7A91">
              <w:rPr>
                <w:rFonts w:ascii="Arial" w:hAnsi="Arial" w:cs="Arial"/>
                <w:color w:val="000000" w:themeColor="text1"/>
                <w:sz w:val="18"/>
                <w:szCs w:val="18"/>
                <w:lang w:eastAsia="es-ES"/>
              </w:rPr>
              <w:t>Subdirectora de Gestión Contractual ANCP-CCE</w:t>
            </w:r>
          </w:p>
        </w:tc>
      </w:tr>
      <w:bookmarkEnd w:id="0"/>
      <w:bookmarkEnd w:id="1"/>
    </w:tbl>
    <w:p w14:paraId="3A925E91" w14:textId="77777777" w:rsidR="000D221C" w:rsidRPr="00F81C67" w:rsidRDefault="000D221C" w:rsidP="00AF274F">
      <w:pPr>
        <w:spacing w:after="0" w:line="276" w:lineRule="auto"/>
        <w:rPr>
          <w:color w:val="000000" w:themeColor="text1"/>
          <w:lang w:val="es-ES"/>
        </w:rPr>
      </w:pPr>
    </w:p>
    <w:p w14:paraId="0F293BF4" w14:textId="0F6FB6C1" w:rsidR="00127233" w:rsidRPr="000D221C" w:rsidRDefault="00127233" w:rsidP="00AF274F">
      <w:pPr>
        <w:spacing w:after="0" w:line="276" w:lineRule="auto"/>
        <w:rPr>
          <w:lang w:val="es-ES"/>
        </w:rPr>
      </w:pPr>
    </w:p>
    <w:sectPr w:rsidR="00127233" w:rsidRPr="000D221C"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EA0B" w14:textId="77777777" w:rsidR="00A81462" w:rsidRDefault="00A81462" w:rsidP="004A1847">
      <w:pPr>
        <w:spacing w:after="0" w:line="240" w:lineRule="auto"/>
      </w:pPr>
      <w:r>
        <w:separator/>
      </w:r>
    </w:p>
  </w:endnote>
  <w:endnote w:type="continuationSeparator" w:id="0">
    <w:p w14:paraId="31FE94F6" w14:textId="77777777" w:rsidR="00A81462" w:rsidRDefault="00A81462" w:rsidP="004A1847">
      <w:pPr>
        <w:spacing w:after="0" w:line="240" w:lineRule="auto"/>
      </w:pPr>
      <w:r>
        <w:continuationSeparator/>
      </w:r>
    </w:p>
  </w:endnote>
  <w:endnote w:type="continuationNotice" w:id="1">
    <w:p w14:paraId="7CD938E8" w14:textId="77777777" w:rsidR="00A81462" w:rsidRDefault="00A814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B7FC7" w14:textId="77777777" w:rsidR="00A81462" w:rsidRDefault="00A81462" w:rsidP="004A1847">
      <w:pPr>
        <w:spacing w:after="0" w:line="240" w:lineRule="auto"/>
      </w:pPr>
      <w:r>
        <w:separator/>
      </w:r>
    </w:p>
  </w:footnote>
  <w:footnote w:type="continuationSeparator" w:id="0">
    <w:p w14:paraId="5B437522" w14:textId="77777777" w:rsidR="00A81462" w:rsidRDefault="00A81462" w:rsidP="004A1847">
      <w:pPr>
        <w:spacing w:after="0" w:line="240" w:lineRule="auto"/>
      </w:pPr>
      <w:r>
        <w:continuationSeparator/>
      </w:r>
    </w:p>
  </w:footnote>
  <w:footnote w:type="continuationNotice" w:id="1">
    <w:p w14:paraId="5D5DFF18" w14:textId="77777777" w:rsidR="00A81462" w:rsidRDefault="00A81462">
      <w:pPr>
        <w:spacing w:after="0" w:line="240" w:lineRule="auto"/>
      </w:pPr>
    </w:p>
  </w:footnote>
  <w:footnote w:id="2">
    <w:p w14:paraId="3D9E1310" w14:textId="02F933BE" w:rsidR="00D4713A" w:rsidRDefault="00D4713A" w:rsidP="00D6520B">
      <w:pPr>
        <w:pStyle w:val="Textonotapie"/>
        <w:ind w:firstLine="708"/>
        <w:jc w:val="both"/>
        <w:rPr>
          <w:rFonts w:ascii="Arial" w:hAnsi="Arial" w:cs="Arial"/>
          <w:sz w:val="18"/>
          <w:szCs w:val="18"/>
        </w:rPr>
      </w:pPr>
      <w:r>
        <w:rPr>
          <w:rStyle w:val="Refdenotaalpie"/>
        </w:rPr>
        <w:footnoteRef/>
      </w:r>
      <w:r>
        <w:t xml:space="preserve"> </w:t>
      </w:r>
      <w:r w:rsidR="00D6520B" w:rsidRPr="00590578">
        <w:rPr>
          <w:rFonts w:ascii="Arial" w:hAnsi="Arial" w:cs="Arial"/>
          <w:sz w:val="18"/>
          <w:szCs w:val="18"/>
        </w:rPr>
        <w:t xml:space="preserve">Los conceptos indicados pueden consultarse en el siguiente enlace: </w:t>
      </w:r>
      <w:hyperlink r:id="rId1" w:history="1">
        <w:r w:rsidR="00D6520B" w:rsidRPr="00590578">
          <w:rPr>
            <w:rStyle w:val="Hipervnculo"/>
            <w:rFonts w:ascii="Arial" w:hAnsi="Arial" w:cs="Arial"/>
            <w:sz w:val="18"/>
            <w:szCs w:val="18"/>
          </w:rPr>
          <w:t>https://relatoria.colombiacompra.gov.co/busqueda/conceptos</w:t>
        </w:r>
      </w:hyperlink>
      <w:r w:rsidR="00D6520B" w:rsidRPr="00590578">
        <w:rPr>
          <w:rFonts w:ascii="Arial" w:hAnsi="Arial" w:cs="Arial"/>
          <w:sz w:val="18"/>
          <w:szCs w:val="18"/>
        </w:rPr>
        <w:t>.</w:t>
      </w:r>
    </w:p>
    <w:p w14:paraId="5ED24F1A" w14:textId="77777777" w:rsidR="00D4713A" w:rsidRPr="00D4713A" w:rsidRDefault="00D4713A" w:rsidP="00D6520B">
      <w:pPr>
        <w:pStyle w:val="Textonotapie"/>
        <w:ind w:firstLine="708"/>
        <w:jc w:val="both"/>
      </w:pPr>
    </w:p>
  </w:footnote>
  <w:footnote w:id="3">
    <w:p w14:paraId="06464B28" w14:textId="28C85AF9" w:rsidR="000D221C" w:rsidRPr="000910EA" w:rsidRDefault="000D221C" w:rsidP="00E6108C">
      <w:pPr>
        <w:pStyle w:val="Textonotapie"/>
        <w:ind w:firstLine="709"/>
        <w:jc w:val="both"/>
      </w:pPr>
      <w:r w:rsidRPr="000910EA">
        <w:rPr>
          <w:rStyle w:val="Refdenotaalpie"/>
        </w:rPr>
        <w:footnoteRef/>
      </w:r>
      <w:r w:rsidRPr="000910EA">
        <w:t xml:space="preserve"> </w:t>
      </w:r>
      <w:r w:rsidRPr="000910EA">
        <w:rPr>
          <w:rFonts w:ascii="Arial" w:eastAsia="Times New Roman" w:hAnsi="Arial" w:cs="Arial"/>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4">
    <w:p w14:paraId="00381B5E" w14:textId="50029FEB" w:rsidR="000D221C" w:rsidRPr="000910EA" w:rsidRDefault="000D221C" w:rsidP="000D221C">
      <w:pPr>
        <w:pStyle w:val="Textonotapie"/>
        <w:ind w:firstLine="709"/>
      </w:pPr>
      <w:r w:rsidRPr="000910EA">
        <w:rPr>
          <w:rStyle w:val="Refdenotaalpie"/>
        </w:rPr>
        <w:footnoteRef/>
      </w:r>
      <w:r w:rsidRPr="000910EA">
        <w:t xml:space="preserve"> </w:t>
      </w:r>
      <w:r w:rsidRPr="000910EA">
        <w:rPr>
          <w:rFonts w:ascii="Arial" w:eastAsia="Times New Roman" w:hAnsi="Arial" w:cs="Arial"/>
          <w:sz w:val="19"/>
          <w:szCs w:val="19"/>
          <w:bdr w:val="none" w:sz="0" w:space="0" w:color="auto" w:frame="1"/>
          <w:lang w:eastAsia="es-CO"/>
        </w:rPr>
        <w:t xml:space="preserve">Diario Oficial. Gaceta del Congreso 458 de 2005. </w:t>
      </w:r>
    </w:p>
  </w:footnote>
  <w:footnote w:id="5">
    <w:p w14:paraId="28C959C9" w14:textId="4F7C849E" w:rsidR="000D221C" w:rsidRPr="000910EA" w:rsidRDefault="000D221C" w:rsidP="000D221C">
      <w:pPr>
        <w:pStyle w:val="Textonotapie"/>
        <w:ind w:firstLine="709"/>
      </w:pPr>
      <w:r w:rsidRPr="000910EA">
        <w:rPr>
          <w:rStyle w:val="Refdenotaalpie"/>
        </w:rPr>
        <w:footnoteRef/>
      </w:r>
      <w:r w:rsidRPr="000910EA">
        <w:t xml:space="preserve"> </w:t>
      </w:r>
      <w:r w:rsidRPr="000910EA">
        <w:rPr>
          <w:rFonts w:ascii="Arial" w:hAnsi="Arial" w:cs="Arial"/>
          <w:sz w:val="19"/>
          <w:szCs w:val="19"/>
        </w:rPr>
        <w:t>Ibidem</w:t>
      </w:r>
    </w:p>
  </w:footnote>
  <w:footnote w:id="6">
    <w:p w14:paraId="6C3D5171" w14:textId="046E2B76" w:rsidR="000D221C" w:rsidRPr="000910EA" w:rsidRDefault="000D221C" w:rsidP="000D221C">
      <w:pPr>
        <w:shd w:val="clear" w:color="auto" w:fill="FFFFFF"/>
        <w:ind w:firstLine="709"/>
        <w:jc w:val="both"/>
        <w:textAlignment w:val="baseline"/>
        <w:rPr>
          <w:rFonts w:ascii="Calibri" w:hAnsi="Calibri" w:cs="Calibri"/>
          <w:sz w:val="20"/>
          <w:szCs w:val="20"/>
          <w:lang w:eastAsia="es-CO"/>
        </w:rPr>
      </w:pPr>
      <w:r w:rsidRPr="000910EA">
        <w:rPr>
          <w:rStyle w:val="Refdenotaalpie"/>
        </w:rPr>
        <w:footnoteRef/>
      </w:r>
      <w:r w:rsidRPr="000910EA">
        <w:t xml:space="preserve"> </w:t>
      </w:r>
      <w:r w:rsidRPr="000910EA">
        <w:rPr>
          <w:rFonts w:ascii="Arial" w:hAnsi="Arial" w:cs="Arial"/>
          <w:sz w:val="19"/>
          <w:szCs w:val="19"/>
          <w:bdr w:val="none" w:sz="0" w:space="0" w:color="auto" w:frame="1"/>
          <w:lang w:eastAsia="es-CO"/>
        </w:rPr>
        <w:t>Diario Oficial. Gaceta del Congreso 416 de 2007, Informe de Conciliación Senado.</w:t>
      </w:r>
    </w:p>
  </w:footnote>
  <w:footnote w:id="7">
    <w:p w14:paraId="5D363D71" w14:textId="53D776F0" w:rsidR="0043459F" w:rsidRDefault="000D221C" w:rsidP="000D221C">
      <w:pPr>
        <w:shd w:val="clear" w:color="auto" w:fill="FFFFFF"/>
        <w:ind w:firstLine="709"/>
        <w:jc w:val="both"/>
        <w:textAlignment w:val="baseline"/>
        <w:rPr>
          <w:rFonts w:ascii="Arial" w:hAnsi="Arial" w:cs="Arial"/>
          <w:sz w:val="19"/>
          <w:szCs w:val="19"/>
          <w:bdr w:val="none" w:sz="0" w:space="0" w:color="auto" w:frame="1"/>
          <w:lang w:eastAsia="es-CO"/>
        </w:rPr>
      </w:pPr>
      <w:r w:rsidRPr="000910EA">
        <w:rPr>
          <w:rStyle w:val="Refdenotaalpie"/>
        </w:rPr>
        <w:footnoteRef/>
      </w:r>
      <w:r w:rsidRPr="000910EA">
        <w:t xml:space="preserve"> </w:t>
      </w:r>
      <w:r w:rsidRPr="000910EA">
        <w:rPr>
          <w:rFonts w:ascii="Arial" w:hAnsi="Arial" w:cs="Arial"/>
          <w:sz w:val="19"/>
          <w:szCs w:val="19"/>
          <w:bdr w:val="none" w:sz="0" w:space="0" w:color="auto" w:frame="1"/>
          <w:lang w:eastAsia="es-CO"/>
        </w:rPr>
        <w:t xml:space="preserve">El artículo 1 de la Ley 2022 de 2020 modifica el artículo 4 de la Ley 1882 de 2018, el cual adiciona el parágrafo 7 al artículo 2 de la Ley 1150 de 2007 y dispone que: </w:t>
      </w:r>
      <w:r w:rsidR="0043459F">
        <w:rPr>
          <w:rFonts w:ascii="Arial" w:hAnsi="Arial" w:cs="Arial"/>
          <w:sz w:val="19"/>
          <w:szCs w:val="19"/>
          <w:bdr w:val="none" w:sz="0" w:space="0" w:color="auto" w:frame="1"/>
          <w:lang w:eastAsia="es-CO"/>
        </w:rPr>
        <w:t>“</w:t>
      </w:r>
      <w:r w:rsidRPr="000910EA">
        <w:rPr>
          <w:rFonts w:ascii="Arial" w:hAnsi="Arial" w:cs="Arial"/>
          <w:sz w:val="19"/>
          <w:szCs w:val="19"/>
          <w:bdr w:val="none" w:sz="0" w:space="0" w:color="auto" w:frame="1"/>
          <w:lang w:eastAsia="es-CO"/>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40C1D576" w14:textId="77777777" w:rsidR="0043459F" w:rsidRDefault="000D221C" w:rsidP="000D221C">
      <w:pPr>
        <w:shd w:val="clear" w:color="auto" w:fill="FFFFFF"/>
        <w:ind w:firstLine="709"/>
        <w:jc w:val="both"/>
        <w:textAlignment w:val="baseline"/>
        <w:rPr>
          <w:rFonts w:ascii="Arial" w:hAnsi="Arial" w:cs="Arial"/>
          <w:sz w:val="19"/>
          <w:szCs w:val="19"/>
          <w:bdr w:val="none" w:sz="0" w:space="0" w:color="auto" w:frame="1"/>
          <w:lang w:eastAsia="es-CO"/>
        </w:rPr>
      </w:pPr>
      <w:r w:rsidRPr="000910EA">
        <w:rPr>
          <w:rFonts w:ascii="Arial" w:hAnsi="Arial" w:cs="Arial"/>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391E1525" w14:textId="77777777" w:rsidR="0043459F" w:rsidRDefault="000D221C" w:rsidP="000D221C">
      <w:pPr>
        <w:shd w:val="clear" w:color="auto" w:fill="FFFFFF"/>
        <w:ind w:firstLine="709"/>
        <w:jc w:val="both"/>
        <w:textAlignment w:val="baseline"/>
        <w:rPr>
          <w:rFonts w:ascii="Arial" w:hAnsi="Arial" w:cs="Arial"/>
          <w:sz w:val="19"/>
          <w:szCs w:val="19"/>
          <w:bdr w:val="none" w:sz="0" w:space="0" w:color="auto" w:frame="1"/>
          <w:lang w:eastAsia="es-CO"/>
        </w:rPr>
      </w:pPr>
      <w:r w:rsidRPr="000910EA">
        <w:rPr>
          <w:rFonts w:ascii="Arial" w:hAnsi="Arial" w:cs="Arial"/>
          <w:sz w:val="19"/>
          <w:szCs w:val="19"/>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5FC203EA" w14:textId="77777777" w:rsidR="0043459F" w:rsidRDefault="000D221C" w:rsidP="0043459F">
      <w:pPr>
        <w:shd w:val="clear" w:color="auto" w:fill="FFFFFF"/>
        <w:ind w:firstLine="709"/>
        <w:jc w:val="both"/>
        <w:textAlignment w:val="baseline"/>
        <w:rPr>
          <w:rFonts w:ascii="Arial" w:hAnsi="Arial" w:cs="Arial"/>
          <w:sz w:val="19"/>
          <w:szCs w:val="19"/>
          <w:bdr w:val="none" w:sz="0" w:space="0" w:color="auto" w:frame="1"/>
          <w:lang w:eastAsia="es-CO"/>
        </w:rPr>
      </w:pPr>
      <w:r w:rsidRPr="000910EA">
        <w:rPr>
          <w:rFonts w:ascii="Arial" w:hAnsi="Arial" w:cs="Arial"/>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03EA56FB" w14:textId="60B311BF" w:rsidR="000D221C" w:rsidRPr="000910EA" w:rsidRDefault="000D221C" w:rsidP="0043459F">
      <w:pPr>
        <w:shd w:val="clear" w:color="auto" w:fill="FFFFFF"/>
        <w:ind w:firstLine="709"/>
        <w:jc w:val="both"/>
        <w:textAlignment w:val="baseline"/>
      </w:pPr>
      <w:r w:rsidRPr="000910EA">
        <w:rPr>
          <w:rFonts w:ascii="Arial" w:hAnsi="Arial" w:cs="Arial"/>
          <w:sz w:val="19"/>
          <w:szCs w:val="19"/>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sidR="0043459F">
        <w:rPr>
          <w:rFonts w:ascii="Arial" w:hAnsi="Arial" w:cs="Arial"/>
          <w:sz w:val="19"/>
          <w:szCs w:val="19"/>
          <w:bdr w:val="none" w:sz="0" w:space="0" w:color="auto" w:frame="1"/>
          <w:lang w:eastAsia="es-CO"/>
        </w:rPr>
        <w:t>”.</w:t>
      </w:r>
    </w:p>
  </w:footnote>
  <w:footnote w:id="8">
    <w:p w14:paraId="0CB0F842" w14:textId="77777777" w:rsidR="009638B0" w:rsidRPr="00A810DF" w:rsidRDefault="009638B0" w:rsidP="009638B0">
      <w:pPr>
        <w:pStyle w:val="Textonotapie"/>
        <w:ind w:firstLine="709"/>
        <w:jc w:val="both"/>
        <w:rPr>
          <w:rFonts w:ascii="Arial" w:hAnsi="Arial" w:cs="Arial"/>
          <w:sz w:val="19"/>
          <w:szCs w:val="19"/>
          <w:lang w:val="es-ES"/>
        </w:rPr>
      </w:pPr>
      <w:r w:rsidRPr="00A810DF">
        <w:rPr>
          <w:rStyle w:val="Refdenotaalpie"/>
          <w:rFonts w:ascii="Arial" w:hAnsi="Arial" w:cs="Arial"/>
          <w:sz w:val="19"/>
          <w:szCs w:val="19"/>
        </w:rPr>
        <w:footnoteRef/>
      </w:r>
      <w:r w:rsidRPr="00A810DF">
        <w:rPr>
          <w:rFonts w:ascii="Arial" w:hAnsi="Arial" w:cs="Arial"/>
          <w:sz w:val="19"/>
          <w:szCs w:val="19"/>
        </w:rPr>
        <w:t xml:space="preserve"> </w:t>
      </w:r>
      <w:r w:rsidRPr="00A810DF">
        <w:rPr>
          <w:rFonts w:ascii="Arial" w:hAnsi="Arial" w:cs="Arial"/>
          <w:sz w:val="19"/>
          <w:szCs w:val="19"/>
          <w:lang w:val="es-ES"/>
        </w:rPr>
        <w:t>En cuanto a las resoluciones vigentes, dicha regla se observa en el artículo 3 de las Resoluciones 240, 241, 248, 249, 256 y 269 de 2020, así como en el artículo 2 de la Resolución 094 de 2020</w:t>
      </w:r>
      <w:r>
        <w:rPr>
          <w:rFonts w:ascii="Arial" w:hAnsi="Arial" w:cs="Arial"/>
          <w:sz w:val="19"/>
          <w:szCs w:val="19"/>
          <w:lang w:val="es-ES"/>
        </w:rPr>
        <w:t xml:space="preserve"> y de la Resolución 326 de 2022.</w:t>
      </w:r>
    </w:p>
  </w:footnote>
  <w:footnote w:id="9">
    <w:p w14:paraId="546E5356" w14:textId="77777777" w:rsidR="000D221C" w:rsidRDefault="000D221C" w:rsidP="000D221C">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La norma dispone que «</w:t>
      </w:r>
      <w:r>
        <w:rPr>
          <w:sz w:val="24"/>
          <w:szCs w:val="22"/>
        </w:rPr>
        <w:t>C</w:t>
      </w:r>
      <w:r w:rsidRPr="000B1DA8">
        <w:rPr>
          <w:rFonts w:ascii="Arial" w:hAnsi="Arial" w:cs="Arial"/>
          <w:sz w:val="19"/>
          <w:szCs w:val="19"/>
        </w:rPr>
        <w:t>uando el objeto contractual incluya la interventoría a obras, bienes o servicios adicionales a la de obra pública de infraestructura de transporte, la entidad estatal deberá aplicar los documentos tipo. Si de manera excepcional requiere incluir experiencia adicional para evaluar la idoneidad respecto de la interventoría de obras, bienes o servicios adicionales a la obra pública de infraestructura de transporte, deberá seguir los siguientes parámetro</w:t>
      </w:r>
      <w:r>
        <w:rPr>
          <w:rFonts w:ascii="Arial" w:hAnsi="Arial" w:cs="Arial"/>
          <w:sz w:val="19"/>
          <w:szCs w:val="19"/>
        </w:rPr>
        <w:t xml:space="preserve">s:  </w:t>
      </w:r>
    </w:p>
    <w:p w14:paraId="277FEF66" w14:textId="77777777" w:rsidR="000D221C" w:rsidRDefault="000D221C" w:rsidP="000D221C">
      <w:pPr>
        <w:pStyle w:val="Textonotapie"/>
        <w:ind w:firstLine="708"/>
        <w:jc w:val="both"/>
        <w:rPr>
          <w:rFonts w:ascii="Arial" w:hAnsi="Arial" w:cs="Arial"/>
          <w:sz w:val="19"/>
          <w:szCs w:val="19"/>
        </w:rPr>
      </w:pPr>
      <w:r>
        <w:rPr>
          <w:rFonts w:ascii="Arial" w:hAnsi="Arial" w:cs="Arial"/>
          <w:sz w:val="19"/>
          <w:szCs w:val="19"/>
        </w:rPr>
        <w:t xml:space="preserve">»1. </w:t>
      </w:r>
      <w:r w:rsidRPr="000B1DA8">
        <w:rPr>
          <w:rFonts w:ascii="Arial" w:hAnsi="Arial" w:cs="Arial"/>
          <w:sz w:val="19"/>
          <w:szCs w:val="19"/>
        </w:rPr>
        <w:t>Demostrar en los estudios previos que ha verificado las condiciones de mercado para la interventoría de las obras, bienes o servicios adicionales al componente de obra pública de infraestructura de transporte, de tal manera que la experiencia adicional que se exija para dicha interventoría procure la pluralidad de oferentes y no limite la concurrencia al proceso de contratación</w:t>
      </w:r>
      <w:r>
        <w:rPr>
          <w:rFonts w:ascii="Arial" w:hAnsi="Arial" w:cs="Arial"/>
          <w:sz w:val="19"/>
          <w:szCs w:val="19"/>
        </w:rPr>
        <w:t xml:space="preserve">. </w:t>
      </w:r>
    </w:p>
    <w:p w14:paraId="720FD7C5" w14:textId="77777777" w:rsidR="000D221C" w:rsidRDefault="000D221C" w:rsidP="000D221C">
      <w:pPr>
        <w:pStyle w:val="Textonotapie"/>
        <w:ind w:firstLine="708"/>
        <w:jc w:val="both"/>
        <w:rPr>
          <w:rFonts w:ascii="Arial" w:hAnsi="Arial" w:cs="Arial"/>
          <w:sz w:val="19"/>
          <w:szCs w:val="19"/>
        </w:rPr>
      </w:pPr>
      <w:r>
        <w:rPr>
          <w:rFonts w:ascii="Arial" w:hAnsi="Arial" w:cs="Arial"/>
          <w:sz w:val="19"/>
          <w:szCs w:val="19"/>
        </w:rPr>
        <w:t xml:space="preserve">»2. </w:t>
      </w:r>
      <w:r w:rsidRPr="000B1DA8">
        <w:rPr>
          <w:rFonts w:ascii="Arial" w:hAnsi="Arial" w:cs="Arial"/>
          <w:sz w:val="19"/>
          <w:szCs w:val="19"/>
        </w:rPr>
        <w:t>Conservar los requisitos exigidos en los documentos tipo</w:t>
      </w:r>
      <w:r>
        <w:rPr>
          <w:rFonts w:ascii="Arial" w:hAnsi="Arial" w:cs="Arial"/>
          <w:sz w:val="19"/>
          <w:szCs w:val="19"/>
        </w:rPr>
        <w:t xml:space="preserve">.  </w:t>
      </w:r>
    </w:p>
    <w:p w14:paraId="64D597DA" w14:textId="77777777" w:rsidR="000D221C" w:rsidRDefault="000D221C" w:rsidP="000D221C">
      <w:pPr>
        <w:pStyle w:val="Textonotapie"/>
        <w:ind w:firstLine="708"/>
        <w:jc w:val="both"/>
        <w:rPr>
          <w:rFonts w:ascii="Arial" w:hAnsi="Arial" w:cs="Arial"/>
          <w:sz w:val="19"/>
          <w:szCs w:val="19"/>
        </w:rPr>
      </w:pPr>
      <w:r>
        <w:rPr>
          <w:rFonts w:ascii="Arial" w:hAnsi="Arial" w:cs="Arial"/>
          <w:sz w:val="19"/>
          <w:szCs w:val="19"/>
        </w:rPr>
        <w:t xml:space="preserve">»3. </w:t>
      </w:r>
      <w:r w:rsidRPr="000B1DA8">
        <w:rPr>
          <w:rFonts w:ascii="Arial" w:hAnsi="Arial" w:cs="Arial"/>
          <w:sz w:val="19"/>
          <w:szCs w:val="19"/>
        </w:rPr>
        <w:t>Abstenerse de pedir experiencia exclusiva con entidades estatales, experiencia previa en un territorio especifico, limitada en el tiempo o que incluya volúmenes o cantidades de obra específica</w:t>
      </w:r>
      <w:r>
        <w:rPr>
          <w:rFonts w:ascii="Arial" w:hAnsi="Arial" w:cs="Arial"/>
          <w:sz w:val="19"/>
          <w:szCs w:val="19"/>
        </w:rPr>
        <w:t>.</w:t>
      </w:r>
    </w:p>
    <w:p w14:paraId="712F66A0" w14:textId="77777777" w:rsidR="000D221C" w:rsidRDefault="000D221C" w:rsidP="000D221C">
      <w:pPr>
        <w:pStyle w:val="Textonotapie"/>
        <w:ind w:firstLine="708"/>
        <w:jc w:val="both"/>
        <w:rPr>
          <w:lang w:val="es-CO"/>
        </w:rPr>
      </w:pPr>
      <w:r>
        <w:rPr>
          <w:rFonts w:ascii="Arial" w:hAnsi="Arial" w:cs="Arial"/>
          <w:sz w:val="19"/>
          <w:szCs w:val="19"/>
        </w:rPr>
        <w:t xml:space="preserve">»4. </w:t>
      </w:r>
      <w:r w:rsidRPr="000B1DA8">
        <w:rPr>
          <w:rFonts w:ascii="Arial" w:hAnsi="Arial" w:cs="Arial"/>
          <w:sz w:val="19"/>
          <w:szCs w:val="19"/>
        </w:rPr>
        <w:t>Clasificar la experiencia requerida solo hasta el tercer nivel del Clasificador de Bienes y Servicios e incluir exclusivamente los códigos que estén relacionados directamente con el objeto a contratar</w:t>
      </w:r>
      <w:r>
        <w:rPr>
          <w:rFonts w:ascii="Arial" w:hAnsi="Arial" w:cs="Arial"/>
          <w:sz w:val="19"/>
          <w:szCs w:val="19"/>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C80B2A"/>
    <w:multiLevelType w:val="hybridMultilevel"/>
    <w:tmpl w:val="0096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 w:numId="4" w16cid:durableId="1627813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02AB"/>
    <w:rsid w:val="00046170"/>
    <w:rsid w:val="00081D5F"/>
    <w:rsid w:val="00083334"/>
    <w:rsid w:val="00085D0D"/>
    <w:rsid w:val="000956CF"/>
    <w:rsid w:val="000A683E"/>
    <w:rsid w:val="000B454B"/>
    <w:rsid w:val="000D221C"/>
    <w:rsid w:val="000D33DC"/>
    <w:rsid w:val="000E025A"/>
    <w:rsid w:val="000E026E"/>
    <w:rsid w:val="000E25C7"/>
    <w:rsid w:val="000E276E"/>
    <w:rsid w:val="00102847"/>
    <w:rsid w:val="0011595A"/>
    <w:rsid w:val="001220C5"/>
    <w:rsid w:val="001267F7"/>
    <w:rsid w:val="00127233"/>
    <w:rsid w:val="00130999"/>
    <w:rsid w:val="00141D73"/>
    <w:rsid w:val="00164D81"/>
    <w:rsid w:val="001A1011"/>
    <w:rsid w:val="001A48D0"/>
    <w:rsid w:val="001B163C"/>
    <w:rsid w:val="001D0497"/>
    <w:rsid w:val="001D0727"/>
    <w:rsid w:val="001E3EE0"/>
    <w:rsid w:val="00243DFD"/>
    <w:rsid w:val="002653C1"/>
    <w:rsid w:val="0026611D"/>
    <w:rsid w:val="0026778D"/>
    <w:rsid w:val="002746A9"/>
    <w:rsid w:val="00286DD2"/>
    <w:rsid w:val="0029351A"/>
    <w:rsid w:val="002951A0"/>
    <w:rsid w:val="002A0033"/>
    <w:rsid w:val="002A0169"/>
    <w:rsid w:val="002A64FD"/>
    <w:rsid w:val="002B1750"/>
    <w:rsid w:val="002C1FF4"/>
    <w:rsid w:val="002C2C1D"/>
    <w:rsid w:val="002F0839"/>
    <w:rsid w:val="002F2375"/>
    <w:rsid w:val="002F3ED1"/>
    <w:rsid w:val="00301469"/>
    <w:rsid w:val="00306EE1"/>
    <w:rsid w:val="00310B9B"/>
    <w:rsid w:val="003228C6"/>
    <w:rsid w:val="00344195"/>
    <w:rsid w:val="003575AA"/>
    <w:rsid w:val="0036461C"/>
    <w:rsid w:val="00367884"/>
    <w:rsid w:val="003744B3"/>
    <w:rsid w:val="00375BD2"/>
    <w:rsid w:val="003858EA"/>
    <w:rsid w:val="00392FC3"/>
    <w:rsid w:val="0039439C"/>
    <w:rsid w:val="00394ECD"/>
    <w:rsid w:val="003A0DAF"/>
    <w:rsid w:val="003A12D0"/>
    <w:rsid w:val="003B69E7"/>
    <w:rsid w:val="003C013B"/>
    <w:rsid w:val="003C1A13"/>
    <w:rsid w:val="003C203C"/>
    <w:rsid w:val="003C54CA"/>
    <w:rsid w:val="003D0F4D"/>
    <w:rsid w:val="003E351F"/>
    <w:rsid w:val="003F5539"/>
    <w:rsid w:val="003F58A1"/>
    <w:rsid w:val="003F7F21"/>
    <w:rsid w:val="00404632"/>
    <w:rsid w:val="00410DD6"/>
    <w:rsid w:val="004134C9"/>
    <w:rsid w:val="00420683"/>
    <w:rsid w:val="0043138C"/>
    <w:rsid w:val="0043459F"/>
    <w:rsid w:val="00447FCC"/>
    <w:rsid w:val="004527C1"/>
    <w:rsid w:val="00455992"/>
    <w:rsid w:val="004605E6"/>
    <w:rsid w:val="00462A59"/>
    <w:rsid w:val="004640A7"/>
    <w:rsid w:val="00474F7E"/>
    <w:rsid w:val="00495551"/>
    <w:rsid w:val="004A1847"/>
    <w:rsid w:val="004B6B0E"/>
    <w:rsid w:val="004D20F0"/>
    <w:rsid w:val="004D25B3"/>
    <w:rsid w:val="00511405"/>
    <w:rsid w:val="005174A6"/>
    <w:rsid w:val="00526E9D"/>
    <w:rsid w:val="00537C37"/>
    <w:rsid w:val="00547856"/>
    <w:rsid w:val="00547A74"/>
    <w:rsid w:val="005566E8"/>
    <w:rsid w:val="005746AB"/>
    <w:rsid w:val="00584C1C"/>
    <w:rsid w:val="0059357F"/>
    <w:rsid w:val="005A1130"/>
    <w:rsid w:val="005D65C8"/>
    <w:rsid w:val="005F780C"/>
    <w:rsid w:val="006136B6"/>
    <w:rsid w:val="006219F8"/>
    <w:rsid w:val="00621DA5"/>
    <w:rsid w:val="00626E9A"/>
    <w:rsid w:val="00635C3D"/>
    <w:rsid w:val="00636678"/>
    <w:rsid w:val="00636C69"/>
    <w:rsid w:val="0067055E"/>
    <w:rsid w:val="00681FDB"/>
    <w:rsid w:val="00687791"/>
    <w:rsid w:val="006A7338"/>
    <w:rsid w:val="006A7DAD"/>
    <w:rsid w:val="006B03D6"/>
    <w:rsid w:val="006B3C7A"/>
    <w:rsid w:val="006B450D"/>
    <w:rsid w:val="006D42D3"/>
    <w:rsid w:val="006D70BA"/>
    <w:rsid w:val="006D7486"/>
    <w:rsid w:val="006E1278"/>
    <w:rsid w:val="006E5511"/>
    <w:rsid w:val="00703366"/>
    <w:rsid w:val="00713841"/>
    <w:rsid w:val="00713FEB"/>
    <w:rsid w:val="00726390"/>
    <w:rsid w:val="00730334"/>
    <w:rsid w:val="0073446F"/>
    <w:rsid w:val="007504B0"/>
    <w:rsid w:val="00751F09"/>
    <w:rsid w:val="007566FE"/>
    <w:rsid w:val="00762292"/>
    <w:rsid w:val="0076726F"/>
    <w:rsid w:val="0077144B"/>
    <w:rsid w:val="00771BCD"/>
    <w:rsid w:val="00771E24"/>
    <w:rsid w:val="007819F8"/>
    <w:rsid w:val="00787E8F"/>
    <w:rsid w:val="00793403"/>
    <w:rsid w:val="00793678"/>
    <w:rsid w:val="007A6709"/>
    <w:rsid w:val="007C0CDF"/>
    <w:rsid w:val="007C2B32"/>
    <w:rsid w:val="007E2A2F"/>
    <w:rsid w:val="007F2B7C"/>
    <w:rsid w:val="00811651"/>
    <w:rsid w:val="00820F5B"/>
    <w:rsid w:val="00833452"/>
    <w:rsid w:val="00837718"/>
    <w:rsid w:val="008453A8"/>
    <w:rsid w:val="008614E5"/>
    <w:rsid w:val="0086250E"/>
    <w:rsid w:val="008678EB"/>
    <w:rsid w:val="00875894"/>
    <w:rsid w:val="00881C10"/>
    <w:rsid w:val="00890411"/>
    <w:rsid w:val="008C635A"/>
    <w:rsid w:val="008D5C70"/>
    <w:rsid w:val="008E1AD5"/>
    <w:rsid w:val="009025AF"/>
    <w:rsid w:val="00904F23"/>
    <w:rsid w:val="00906B3C"/>
    <w:rsid w:val="00913C0C"/>
    <w:rsid w:val="00920361"/>
    <w:rsid w:val="009215A7"/>
    <w:rsid w:val="00937174"/>
    <w:rsid w:val="0095342C"/>
    <w:rsid w:val="009638B0"/>
    <w:rsid w:val="00985287"/>
    <w:rsid w:val="009C6B54"/>
    <w:rsid w:val="009D2948"/>
    <w:rsid w:val="009F33F2"/>
    <w:rsid w:val="009F6C77"/>
    <w:rsid w:val="00A07532"/>
    <w:rsid w:val="00A1085C"/>
    <w:rsid w:val="00A309E2"/>
    <w:rsid w:val="00A3731A"/>
    <w:rsid w:val="00A57A5D"/>
    <w:rsid w:val="00A64644"/>
    <w:rsid w:val="00A66693"/>
    <w:rsid w:val="00A73943"/>
    <w:rsid w:val="00A8066E"/>
    <w:rsid w:val="00A81462"/>
    <w:rsid w:val="00A821DA"/>
    <w:rsid w:val="00A877D0"/>
    <w:rsid w:val="00A97405"/>
    <w:rsid w:val="00AA4B8A"/>
    <w:rsid w:val="00AA6BF7"/>
    <w:rsid w:val="00AD038E"/>
    <w:rsid w:val="00AD7C02"/>
    <w:rsid w:val="00AE3693"/>
    <w:rsid w:val="00AE4E30"/>
    <w:rsid w:val="00AF274F"/>
    <w:rsid w:val="00AF7A91"/>
    <w:rsid w:val="00B006B9"/>
    <w:rsid w:val="00B01ED6"/>
    <w:rsid w:val="00B06D09"/>
    <w:rsid w:val="00B22983"/>
    <w:rsid w:val="00B37B3F"/>
    <w:rsid w:val="00B40A8D"/>
    <w:rsid w:val="00B46B5A"/>
    <w:rsid w:val="00B60701"/>
    <w:rsid w:val="00B66E6C"/>
    <w:rsid w:val="00B71659"/>
    <w:rsid w:val="00B771A9"/>
    <w:rsid w:val="00B809BB"/>
    <w:rsid w:val="00B8248A"/>
    <w:rsid w:val="00B86548"/>
    <w:rsid w:val="00B9758E"/>
    <w:rsid w:val="00BA3546"/>
    <w:rsid w:val="00BB59DC"/>
    <w:rsid w:val="00BB7726"/>
    <w:rsid w:val="00BD18C8"/>
    <w:rsid w:val="00BD7B50"/>
    <w:rsid w:val="00BE6489"/>
    <w:rsid w:val="00BF3C8C"/>
    <w:rsid w:val="00BF6ED1"/>
    <w:rsid w:val="00C01571"/>
    <w:rsid w:val="00C03BA3"/>
    <w:rsid w:val="00C05EE9"/>
    <w:rsid w:val="00C12C63"/>
    <w:rsid w:val="00C2329E"/>
    <w:rsid w:val="00C30461"/>
    <w:rsid w:val="00C421DC"/>
    <w:rsid w:val="00C50CA3"/>
    <w:rsid w:val="00C70526"/>
    <w:rsid w:val="00C754BE"/>
    <w:rsid w:val="00C811C0"/>
    <w:rsid w:val="00C87572"/>
    <w:rsid w:val="00C9405D"/>
    <w:rsid w:val="00C94E5F"/>
    <w:rsid w:val="00CC1B26"/>
    <w:rsid w:val="00CD284F"/>
    <w:rsid w:val="00CF23AA"/>
    <w:rsid w:val="00D01921"/>
    <w:rsid w:val="00D21BB7"/>
    <w:rsid w:val="00D237F4"/>
    <w:rsid w:val="00D31332"/>
    <w:rsid w:val="00D36D23"/>
    <w:rsid w:val="00D374B7"/>
    <w:rsid w:val="00D4472D"/>
    <w:rsid w:val="00D4713A"/>
    <w:rsid w:val="00D47E26"/>
    <w:rsid w:val="00D6520B"/>
    <w:rsid w:val="00D6619D"/>
    <w:rsid w:val="00D73956"/>
    <w:rsid w:val="00D752B7"/>
    <w:rsid w:val="00D84FB1"/>
    <w:rsid w:val="00DA1854"/>
    <w:rsid w:val="00DB0887"/>
    <w:rsid w:val="00DB4A2B"/>
    <w:rsid w:val="00DC78A2"/>
    <w:rsid w:val="00DF1E43"/>
    <w:rsid w:val="00E20894"/>
    <w:rsid w:val="00E25AF4"/>
    <w:rsid w:val="00E26B7C"/>
    <w:rsid w:val="00E468DC"/>
    <w:rsid w:val="00E55074"/>
    <w:rsid w:val="00E6108C"/>
    <w:rsid w:val="00E702ED"/>
    <w:rsid w:val="00E74468"/>
    <w:rsid w:val="00E907B4"/>
    <w:rsid w:val="00E95030"/>
    <w:rsid w:val="00E951D7"/>
    <w:rsid w:val="00E970EA"/>
    <w:rsid w:val="00EA3003"/>
    <w:rsid w:val="00EA6B25"/>
    <w:rsid w:val="00EB3C91"/>
    <w:rsid w:val="00EB66DA"/>
    <w:rsid w:val="00ED6DDC"/>
    <w:rsid w:val="00F16561"/>
    <w:rsid w:val="00F36732"/>
    <w:rsid w:val="00F443B1"/>
    <w:rsid w:val="00F605F2"/>
    <w:rsid w:val="00F721DA"/>
    <w:rsid w:val="00F75E98"/>
    <w:rsid w:val="00F76AFC"/>
    <w:rsid w:val="00F8319B"/>
    <w:rsid w:val="00FA5516"/>
    <w:rsid w:val="00FC550E"/>
    <w:rsid w:val="00FD04A5"/>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link w:val="NormalWebCar"/>
    <w:uiPriority w:val="99"/>
    <w:unhideWhenUsed/>
    <w:rsid w:val="00584C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584C1C"/>
    <w:pPr>
      <w:spacing w:after="0" w:line="240" w:lineRule="auto"/>
    </w:pPr>
    <w:rPr>
      <w:lang w:val="es-ES"/>
    </w:rPr>
  </w:style>
  <w:style w:type="paragraph" w:customStyle="1" w:styleId="Appelnotedebasde">
    <w:name w:val="Appel note de bas de..."/>
    <w:basedOn w:val="Normal"/>
    <w:link w:val="Refdenotaalpie"/>
    <w:uiPriority w:val="99"/>
    <w:rsid w:val="00584C1C"/>
    <w:pPr>
      <w:spacing w:line="240" w:lineRule="exact"/>
    </w:pPr>
    <w:rPr>
      <w:vertAlign w:val="superscript"/>
    </w:rPr>
  </w:style>
  <w:style w:type="character" w:styleId="Hipervnculo">
    <w:name w:val="Hyperlink"/>
    <w:basedOn w:val="Fuentedeprrafopredeter"/>
    <w:uiPriority w:val="99"/>
    <w:semiHidden/>
    <w:unhideWhenUsed/>
    <w:rsid w:val="00584C1C"/>
    <w:rPr>
      <w:color w:val="0000FF"/>
      <w:u w:val="single"/>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D221C"/>
    <w:rPr>
      <w:rFonts w:ascii="Geomanist Light" w:hAnsi="Geomanist Light"/>
      <w:lang w:val="es-ES"/>
    </w:rPr>
  </w:style>
  <w:style w:type="character" w:customStyle="1" w:styleId="NormalWebCar">
    <w:name w:val="Normal (Web) Car"/>
    <w:link w:val="NormalWeb"/>
    <w:uiPriority w:val="99"/>
    <w:rsid w:val="000D221C"/>
    <w:rPr>
      <w:rFonts w:ascii="Times New Roman" w:eastAsia="Times New Roman" w:hAnsi="Times New Roman" w:cs="Times New Roman"/>
      <w:sz w:val="24"/>
      <w:szCs w:val="24"/>
      <w:lang w:eastAsia="es-MX"/>
    </w:rPr>
  </w:style>
  <w:style w:type="paragraph" w:customStyle="1" w:styleId="paragraph">
    <w:name w:val="paragraph"/>
    <w:basedOn w:val="Normal"/>
    <w:rsid w:val="000D221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0D221C"/>
  </w:style>
  <w:style w:type="character" w:customStyle="1" w:styleId="tabchar">
    <w:name w:val="tabchar"/>
    <w:basedOn w:val="Fuentedeprrafopredeter"/>
    <w:rsid w:val="00703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78705">
      <w:bodyDiv w:val="1"/>
      <w:marLeft w:val="0"/>
      <w:marRight w:val="0"/>
      <w:marTop w:val="0"/>
      <w:marBottom w:val="0"/>
      <w:divBdr>
        <w:top w:val="none" w:sz="0" w:space="0" w:color="auto"/>
        <w:left w:val="none" w:sz="0" w:space="0" w:color="auto"/>
        <w:bottom w:val="none" w:sz="0" w:space="0" w:color="auto"/>
        <w:right w:val="none" w:sz="0" w:space="0" w:color="auto"/>
      </w:divBdr>
    </w:div>
    <w:div w:id="1019549472">
      <w:bodyDiv w:val="1"/>
      <w:marLeft w:val="0"/>
      <w:marRight w:val="0"/>
      <w:marTop w:val="0"/>
      <w:marBottom w:val="0"/>
      <w:divBdr>
        <w:top w:val="none" w:sz="0" w:space="0" w:color="auto"/>
        <w:left w:val="none" w:sz="0" w:space="0" w:color="auto"/>
        <w:bottom w:val="none" w:sz="0" w:space="0" w:color="auto"/>
        <w:right w:val="none" w:sz="0" w:space="0" w:color="auto"/>
      </w:divBdr>
      <w:divsChild>
        <w:div w:id="340352652">
          <w:marLeft w:val="0"/>
          <w:marRight w:val="0"/>
          <w:marTop w:val="0"/>
          <w:marBottom w:val="0"/>
          <w:divBdr>
            <w:top w:val="none" w:sz="0" w:space="0" w:color="auto"/>
            <w:left w:val="none" w:sz="0" w:space="0" w:color="auto"/>
            <w:bottom w:val="none" w:sz="0" w:space="0" w:color="auto"/>
            <w:right w:val="none" w:sz="0" w:space="0" w:color="auto"/>
          </w:divBdr>
        </w:div>
        <w:div w:id="1204907259">
          <w:marLeft w:val="0"/>
          <w:marRight w:val="0"/>
          <w:marTop w:val="0"/>
          <w:marBottom w:val="0"/>
          <w:divBdr>
            <w:top w:val="none" w:sz="0" w:space="0" w:color="auto"/>
            <w:left w:val="none" w:sz="0" w:space="0" w:color="auto"/>
            <w:bottom w:val="none" w:sz="0" w:space="0" w:color="auto"/>
            <w:right w:val="none" w:sz="0" w:space="0" w:color="auto"/>
          </w:divBdr>
        </w:div>
      </w:divsChild>
    </w:div>
    <w:div w:id="2017266236">
      <w:bodyDiv w:val="1"/>
      <w:marLeft w:val="0"/>
      <w:marRight w:val="0"/>
      <w:marTop w:val="0"/>
      <w:marBottom w:val="0"/>
      <w:divBdr>
        <w:top w:val="none" w:sz="0" w:space="0" w:color="auto"/>
        <w:left w:val="none" w:sz="0" w:space="0" w:color="auto"/>
        <w:bottom w:val="none" w:sz="0" w:space="0" w:color="auto"/>
        <w:right w:val="none" w:sz="0" w:space="0" w:color="auto"/>
      </w:divBdr>
      <w:divsChild>
        <w:div w:id="205683496">
          <w:marLeft w:val="0"/>
          <w:marRight w:val="0"/>
          <w:marTop w:val="0"/>
          <w:marBottom w:val="0"/>
          <w:divBdr>
            <w:top w:val="none" w:sz="0" w:space="0" w:color="auto"/>
            <w:left w:val="none" w:sz="0" w:space="0" w:color="auto"/>
            <w:bottom w:val="none" w:sz="0" w:space="0" w:color="auto"/>
            <w:right w:val="none" w:sz="0" w:space="0" w:color="auto"/>
          </w:divBdr>
        </w:div>
        <w:div w:id="176052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microsoft.com/office/2006/documentManagement/types"/>
    <ds:schemaRef ds:uri="a6cb9e4b-f1d1-4245-83ec-6cad768d538a"/>
    <ds:schemaRef ds:uri="http://purl.org/dc/elements/1.1/"/>
    <ds:schemaRef ds:uri="http://www.w3.org/XML/1998/namespace"/>
    <ds:schemaRef ds:uri="http://purl.org/dc/dcmitype/"/>
    <ds:schemaRef ds:uri="http://schemas.microsoft.com/office/2006/metadata/properties"/>
    <ds:schemaRef ds:uri="9d85dbaf-23eb-4e57-a637-93dcacc8b1a1"/>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B1C27D5-EEAF-400A-9EB6-CCDE143FC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3860</Words>
  <Characters>21236</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2</cp:revision>
  <dcterms:created xsi:type="dcterms:W3CDTF">2023-05-24T00:31:00Z</dcterms:created>
  <dcterms:modified xsi:type="dcterms:W3CDTF">2023-05-24T00:31:00Z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