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C49E" w14:textId="77777777" w:rsidR="00520E64" w:rsidRPr="00CB674F" w:rsidRDefault="00520E64" w:rsidP="00BA62AD">
      <w:pPr>
        <w:spacing w:after="0" w:line="240" w:lineRule="auto"/>
        <w:jc w:val="both"/>
        <w:rPr>
          <w:rFonts w:ascii="Geomanist Light" w:eastAsia="Times New Roman" w:hAnsi="Geomanist Light" w:cs="Arial"/>
          <w:b/>
          <w:bCs/>
          <w:lang w:val="es-ES_tradnl" w:eastAsia="es-CO"/>
        </w:rPr>
      </w:pPr>
      <w:bookmarkStart w:id="0" w:name="_Hlk34951122"/>
    </w:p>
    <w:p w14:paraId="0BA3B7DB" w14:textId="267FBC05" w:rsidR="00BA62AD" w:rsidRDefault="00BA62AD" w:rsidP="00BA62AD">
      <w:pPr>
        <w:spacing w:after="0" w:line="240" w:lineRule="auto"/>
        <w:jc w:val="both"/>
        <w:rPr>
          <w:rFonts w:ascii="Arial" w:eastAsia="Arial" w:hAnsi="Arial" w:cs="Arial"/>
          <w:b/>
          <w:color w:val="1A1A1A" w:themeColor="background1" w:themeShade="1A"/>
          <w:sz w:val="20"/>
          <w:szCs w:val="20"/>
          <w:lang w:val="es-ES_tradnl"/>
        </w:rPr>
      </w:pPr>
      <w:r w:rsidRPr="003729F7">
        <w:rPr>
          <w:rFonts w:ascii="Arial" w:hAnsi="Arial" w:cs="Arial"/>
          <w:b/>
          <w:bCs/>
          <w:color w:val="1A1A1A" w:themeColor="background1" w:themeShade="1A"/>
          <w:sz w:val="20"/>
          <w:szCs w:val="20"/>
          <w:lang w:val="es-ES_tradnl" w:eastAsia="es-CO"/>
        </w:rPr>
        <w:t>LEY DE GARANTÍAS ELECTORALES</w:t>
      </w:r>
      <w:r w:rsidRPr="006E64EA">
        <w:rPr>
          <w:rFonts w:ascii="Arial" w:hAnsi="Arial" w:cs="Arial"/>
          <w:b/>
          <w:bCs/>
          <w:color w:val="1A1A1A" w:themeColor="background1" w:themeShade="1A"/>
          <w:sz w:val="20"/>
          <w:szCs w:val="20"/>
          <w:lang w:val="es-ES_tradnl" w:eastAsia="es-CO"/>
        </w:rPr>
        <w:t xml:space="preserve"> </w:t>
      </w:r>
      <w:r w:rsidRPr="006E64EA">
        <w:rPr>
          <w:rFonts w:ascii="Arial" w:eastAsia="Calibri" w:hAnsi="Arial" w:cs="Arial"/>
          <w:b/>
          <w:bCs/>
          <w:color w:val="1A1A1A" w:themeColor="background1" w:themeShade="1A"/>
          <w:sz w:val="20"/>
          <w:szCs w:val="20"/>
          <w:lang w:val="es-ES_tradnl"/>
        </w:rPr>
        <w:t>─</w:t>
      </w:r>
      <w:r w:rsidRPr="006E64EA">
        <w:rPr>
          <w:rFonts w:ascii="Arial" w:hAnsi="Arial" w:cs="Arial"/>
          <w:b/>
          <w:bCs/>
          <w:color w:val="1A1A1A" w:themeColor="background1" w:themeShade="1A"/>
          <w:sz w:val="20"/>
          <w:szCs w:val="20"/>
          <w:lang w:val="es-ES_tradnl" w:eastAsia="es-CO"/>
        </w:rPr>
        <w:t xml:space="preserve"> </w:t>
      </w:r>
      <w:r w:rsidRPr="006B5F72">
        <w:rPr>
          <w:rFonts w:ascii="Arial" w:eastAsia="Arial" w:hAnsi="Arial" w:cs="Arial"/>
          <w:b/>
          <w:color w:val="1A1A1A" w:themeColor="background1" w:themeShade="1A"/>
          <w:sz w:val="20"/>
          <w:szCs w:val="20"/>
          <w:lang w:val="es-ES_tradnl"/>
        </w:rPr>
        <w:t>Definición</w:t>
      </w:r>
      <w:r w:rsidRPr="006E64EA">
        <w:rPr>
          <w:rFonts w:ascii="Arial" w:eastAsia="Arial" w:hAnsi="Arial" w:cs="Arial"/>
          <w:b/>
          <w:color w:val="1A1A1A" w:themeColor="background1" w:themeShade="1A"/>
          <w:sz w:val="20"/>
          <w:szCs w:val="20"/>
          <w:lang w:val="es-ES_tradnl"/>
        </w:rPr>
        <w:t xml:space="preserve"> </w:t>
      </w:r>
      <w:r w:rsidRPr="006E64EA">
        <w:rPr>
          <w:rFonts w:ascii="Arial" w:eastAsia="Calibri" w:hAnsi="Arial" w:cs="Arial"/>
          <w:b/>
          <w:bCs/>
          <w:color w:val="1A1A1A" w:themeColor="background1" w:themeShade="1A"/>
          <w:sz w:val="20"/>
          <w:szCs w:val="20"/>
          <w:lang w:val="es-ES_tradnl"/>
        </w:rPr>
        <w:t>─</w:t>
      </w:r>
      <w:r w:rsidRPr="006E64EA">
        <w:rPr>
          <w:rFonts w:ascii="Arial" w:eastAsia="Arial" w:hAnsi="Arial" w:cs="Arial"/>
          <w:b/>
          <w:color w:val="1A1A1A" w:themeColor="background1" w:themeShade="1A"/>
          <w:sz w:val="20"/>
          <w:szCs w:val="20"/>
          <w:lang w:val="es-ES_tradnl"/>
        </w:rPr>
        <w:t xml:space="preserve"> Finalidad </w:t>
      </w:r>
      <w:r w:rsidRPr="006E64EA">
        <w:rPr>
          <w:rFonts w:ascii="Arial" w:eastAsia="Calibri" w:hAnsi="Arial" w:cs="Arial"/>
          <w:b/>
          <w:bCs/>
          <w:color w:val="1A1A1A" w:themeColor="background1" w:themeShade="1A"/>
          <w:sz w:val="20"/>
          <w:szCs w:val="20"/>
          <w:lang w:val="es-ES_tradnl"/>
        </w:rPr>
        <w:t>─</w:t>
      </w:r>
      <w:r w:rsidRPr="006E64EA">
        <w:rPr>
          <w:rFonts w:ascii="Arial" w:eastAsia="Arial" w:hAnsi="Arial" w:cs="Arial"/>
          <w:b/>
          <w:color w:val="1A1A1A" w:themeColor="background1" w:themeShade="1A"/>
          <w:sz w:val="20"/>
          <w:szCs w:val="20"/>
          <w:lang w:val="es-ES_tradnl"/>
        </w:rPr>
        <w:t xml:space="preserve"> Restricciones </w:t>
      </w:r>
    </w:p>
    <w:p w14:paraId="22D0F46C" w14:textId="77777777" w:rsidR="00BA62AD" w:rsidRPr="006E64EA" w:rsidRDefault="00BA62AD" w:rsidP="00BA62AD">
      <w:pPr>
        <w:spacing w:after="0" w:line="240" w:lineRule="auto"/>
        <w:jc w:val="both"/>
        <w:rPr>
          <w:rFonts w:ascii="Arial" w:eastAsia="Arial" w:hAnsi="Arial" w:cs="Arial"/>
          <w:b/>
          <w:color w:val="1A1A1A" w:themeColor="background1" w:themeShade="1A"/>
          <w:sz w:val="20"/>
          <w:szCs w:val="20"/>
          <w:lang w:val="es-ES_tradnl"/>
        </w:rPr>
      </w:pPr>
    </w:p>
    <w:p w14:paraId="453D9EFD" w14:textId="77777777" w:rsidR="00BA62AD" w:rsidRDefault="00BA62AD" w:rsidP="00BA62AD">
      <w:pPr>
        <w:tabs>
          <w:tab w:val="left" w:pos="426"/>
        </w:tabs>
        <w:spacing w:after="0" w:line="240" w:lineRule="auto"/>
        <w:jc w:val="both"/>
        <w:rPr>
          <w:rFonts w:ascii="Arial" w:eastAsia="Arial" w:hAnsi="Arial" w:cs="Arial"/>
          <w:color w:val="1A1A1A" w:themeColor="background1" w:themeShade="1A"/>
          <w:sz w:val="20"/>
          <w:szCs w:val="20"/>
          <w:lang w:val="es-ES_tradnl"/>
        </w:rPr>
      </w:pPr>
      <w:r w:rsidRPr="006E64EA">
        <w:rPr>
          <w:rFonts w:ascii="Arial" w:eastAsia="Calibri" w:hAnsi="Arial" w:cs="Arial"/>
          <w:noProof/>
          <w:color w:val="1A1A1A" w:themeColor="background1" w:themeShade="1A"/>
          <w:sz w:val="20"/>
          <w:szCs w:val="20"/>
          <w:lang w:val="es-ES_tradnl"/>
        </w:rPr>
        <w:t xml:space="preserve">[…] La </w:t>
      </w:r>
      <w:r w:rsidRPr="006E64EA">
        <w:rPr>
          <w:rFonts w:ascii="Arial" w:eastAsia="Arial" w:hAnsi="Arial" w:cs="Arial"/>
          <w:color w:val="1A1A1A" w:themeColor="background1" w:themeShade="1A"/>
          <w:sz w:val="20"/>
          <w:szCs w:val="20"/>
          <w:lang w:val="es-ES_tradnl"/>
        </w:rPr>
        <w:t xml:space="preserve">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w:t>
      </w:r>
    </w:p>
    <w:p w14:paraId="68091BE3" w14:textId="77777777" w:rsidR="00BA62AD" w:rsidRPr="006E64EA" w:rsidRDefault="00BA62AD" w:rsidP="00BA62AD">
      <w:pPr>
        <w:tabs>
          <w:tab w:val="left" w:pos="426"/>
        </w:tabs>
        <w:spacing w:after="0" w:line="240" w:lineRule="auto"/>
        <w:jc w:val="both"/>
        <w:rPr>
          <w:rFonts w:ascii="Arial" w:eastAsia="Arial" w:hAnsi="Arial" w:cs="Arial"/>
          <w:color w:val="1A1A1A" w:themeColor="background1" w:themeShade="1A"/>
          <w:sz w:val="20"/>
          <w:szCs w:val="20"/>
          <w:lang w:val="es-ES_tradnl"/>
        </w:rPr>
      </w:pPr>
    </w:p>
    <w:p w14:paraId="407FB459" w14:textId="77777777" w:rsidR="00BA62AD" w:rsidRPr="006E64EA" w:rsidRDefault="00BA62AD" w:rsidP="00BA62AD">
      <w:pPr>
        <w:tabs>
          <w:tab w:val="left" w:pos="426"/>
        </w:tabs>
        <w:spacing w:after="0" w:line="240" w:lineRule="auto"/>
        <w:jc w:val="both"/>
        <w:rPr>
          <w:rFonts w:ascii="Arial" w:eastAsia="Arial" w:hAnsi="Arial" w:cs="Arial"/>
          <w:color w:val="1A1A1A" w:themeColor="background1" w:themeShade="1A"/>
          <w:sz w:val="20"/>
          <w:szCs w:val="20"/>
          <w:lang w:val="es-ES_tradnl"/>
        </w:rPr>
      </w:pPr>
      <w:r w:rsidRPr="006E64EA">
        <w:rPr>
          <w:rFonts w:ascii="Arial" w:eastAsia="Arial" w:hAnsi="Arial" w:cs="Arial"/>
          <w:color w:val="1A1A1A" w:themeColor="background1" w:themeShade="1A"/>
          <w:sz w:val="20"/>
          <w:szCs w:val="20"/>
          <w:lang w:val="es-ES_tradnl"/>
        </w:rPr>
        <w:t>En este contexto, la Ley de Garantías Electorales establece el marco jurídico para el desarrollo de las elecciones, procurando condiciones de igualdad y transparencia para los aspirantes y paralelamente incluye restricciones en el actuar de los servidores públicos, evitando interferencias en la contienda electoral, así como la posible desviación de recursos públicos en aspiraciones electorales.</w:t>
      </w:r>
    </w:p>
    <w:p w14:paraId="7E368ED9" w14:textId="77777777" w:rsidR="00BA62AD" w:rsidRPr="006E64EA" w:rsidRDefault="00BA62AD" w:rsidP="00BA62AD">
      <w:pPr>
        <w:tabs>
          <w:tab w:val="left" w:pos="426"/>
        </w:tabs>
        <w:spacing w:after="0" w:line="240" w:lineRule="auto"/>
        <w:jc w:val="both"/>
        <w:rPr>
          <w:rFonts w:ascii="Arial" w:eastAsia="Arial" w:hAnsi="Arial" w:cs="Arial"/>
          <w:color w:val="1A1A1A" w:themeColor="background1" w:themeShade="1A"/>
          <w:sz w:val="20"/>
          <w:szCs w:val="20"/>
          <w:lang w:val="es-ES_tradnl"/>
        </w:rPr>
      </w:pPr>
    </w:p>
    <w:p w14:paraId="0E1316D7" w14:textId="77777777" w:rsidR="00BA62AD" w:rsidRDefault="00BA62AD" w:rsidP="00BA62AD">
      <w:pPr>
        <w:tabs>
          <w:tab w:val="left" w:pos="426"/>
        </w:tabs>
        <w:spacing w:after="0" w:line="240" w:lineRule="auto"/>
        <w:jc w:val="both"/>
        <w:rPr>
          <w:rFonts w:ascii="Arial" w:eastAsia="Calibri" w:hAnsi="Arial" w:cs="Arial"/>
          <w:b/>
          <w:bCs/>
          <w:color w:val="1A1A1A" w:themeColor="background1" w:themeShade="1A"/>
          <w:sz w:val="20"/>
          <w:szCs w:val="20"/>
          <w:lang w:val="es-ES_tradnl"/>
        </w:rPr>
      </w:pPr>
      <w:bookmarkStart w:id="1" w:name="_Hlk77165666"/>
      <w:bookmarkStart w:id="2" w:name="_Hlk97039670"/>
      <w:r w:rsidRPr="006E64EA">
        <w:rPr>
          <w:rFonts w:ascii="Arial" w:eastAsia="Calibri" w:hAnsi="Arial" w:cs="Arial"/>
          <w:b/>
          <w:bCs/>
          <w:color w:val="1A1A1A" w:themeColor="background1" w:themeShade="1A"/>
          <w:sz w:val="20"/>
          <w:szCs w:val="20"/>
          <w:lang w:val="es-ES_tradnl"/>
        </w:rPr>
        <w:t xml:space="preserve">LEY DE GARANTÍAS ELECTORALES ─ Prohibición ─ </w:t>
      </w:r>
      <w:bookmarkEnd w:id="1"/>
      <w:r w:rsidRPr="006E64EA">
        <w:rPr>
          <w:rFonts w:ascii="Arial" w:eastAsia="Calibri" w:hAnsi="Arial" w:cs="Arial"/>
          <w:b/>
          <w:bCs/>
          <w:color w:val="1A1A1A" w:themeColor="background1" w:themeShade="1A"/>
          <w:sz w:val="20"/>
          <w:szCs w:val="20"/>
          <w:lang w:val="es-ES_tradnl"/>
        </w:rPr>
        <w:t xml:space="preserve">Contratación Directa ─ Alcance ─ </w:t>
      </w:r>
      <w:r w:rsidRPr="006E64EA">
        <w:rPr>
          <w:rFonts w:ascii="Arial" w:hAnsi="Arial" w:cs="Arial"/>
          <w:b/>
          <w:bCs/>
          <w:color w:val="1A1A1A" w:themeColor="background1" w:themeShade="1A"/>
          <w:sz w:val="20"/>
          <w:szCs w:val="20"/>
          <w:lang w:val="es-ES_tradnl" w:eastAsia="es-CO"/>
        </w:rPr>
        <w:t>Excepciones</w:t>
      </w:r>
      <w:r w:rsidRPr="006E64EA">
        <w:rPr>
          <w:rFonts w:ascii="Arial" w:eastAsia="Calibri" w:hAnsi="Arial" w:cs="Arial"/>
          <w:b/>
          <w:bCs/>
          <w:color w:val="1A1A1A" w:themeColor="background1" w:themeShade="1A"/>
          <w:sz w:val="20"/>
          <w:szCs w:val="20"/>
          <w:lang w:val="es-ES_tradnl"/>
        </w:rPr>
        <w:t xml:space="preserve"> </w:t>
      </w:r>
      <w:bookmarkEnd w:id="2"/>
    </w:p>
    <w:p w14:paraId="0D600143" w14:textId="77777777" w:rsidR="00BA62AD" w:rsidRPr="006E64EA" w:rsidRDefault="00BA62AD" w:rsidP="00BA62AD">
      <w:pPr>
        <w:tabs>
          <w:tab w:val="left" w:pos="426"/>
        </w:tabs>
        <w:spacing w:after="0" w:line="240" w:lineRule="auto"/>
        <w:jc w:val="both"/>
        <w:rPr>
          <w:rFonts w:ascii="Arial" w:eastAsia="Calibri" w:hAnsi="Arial" w:cs="Arial"/>
          <w:b/>
          <w:bCs/>
          <w:color w:val="1A1A1A" w:themeColor="background1" w:themeShade="1A"/>
          <w:sz w:val="20"/>
          <w:szCs w:val="20"/>
          <w:lang w:val="es-ES_tradnl"/>
        </w:rPr>
      </w:pPr>
    </w:p>
    <w:p w14:paraId="371D21EF" w14:textId="77777777" w:rsidR="00BA62AD" w:rsidRDefault="00BA62AD" w:rsidP="00BA62AD">
      <w:pPr>
        <w:tabs>
          <w:tab w:val="left" w:pos="426"/>
        </w:tabs>
        <w:spacing w:after="0" w:line="240" w:lineRule="auto"/>
        <w:jc w:val="both"/>
        <w:rPr>
          <w:rFonts w:ascii="Arial" w:eastAsia="Arial" w:hAnsi="Arial" w:cs="Arial"/>
          <w:color w:val="1A1A1A" w:themeColor="background1" w:themeShade="1A"/>
          <w:sz w:val="20"/>
          <w:szCs w:val="20"/>
          <w:lang w:val="es-ES_tradnl"/>
        </w:rPr>
      </w:pPr>
      <w:r w:rsidRPr="006E64EA">
        <w:rPr>
          <w:rFonts w:ascii="Arial" w:eastAsia="Arial" w:hAnsi="Arial" w:cs="Arial"/>
          <w:color w:val="1A1A1A" w:themeColor="background1" w:themeShade="1A"/>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w:t>
      </w:r>
    </w:p>
    <w:p w14:paraId="73ABA94F" w14:textId="77777777" w:rsidR="00BA62AD" w:rsidRPr="006E64EA" w:rsidRDefault="00BA62AD" w:rsidP="00BA62AD">
      <w:pPr>
        <w:tabs>
          <w:tab w:val="left" w:pos="426"/>
        </w:tabs>
        <w:spacing w:after="0" w:line="240" w:lineRule="auto"/>
        <w:jc w:val="both"/>
        <w:rPr>
          <w:rFonts w:ascii="Arial" w:eastAsia="Arial" w:hAnsi="Arial" w:cs="Arial"/>
          <w:color w:val="1A1A1A" w:themeColor="background1" w:themeShade="1A"/>
          <w:sz w:val="20"/>
          <w:szCs w:val="20"/>
          <w:lang w:val="es-ES_tradnl"/>
        </w:rPr>
      </w:pPr>
    </w:p>
    <w:p w14:paraId="1B8B3396" w14:textId="77777777" w:rsidR="00BA62AD" w:rsidRPr="006E64EA" w:rsidRDefault="00BA62AD" w:rsidP="00BA62AD">
      <w:pPr>
        <w:spacing w:after="0" w:line="240" w:lineRule="auto"/>
        <w:jc w:val="both"/>
        <w:rPr>
          <w:rFonts w:ascii="Arial" w:eastAsia="Arial" w:hAnsi="Arial" w:cs="Arial"/>
          <w:color w:val="1A1A1A" w:themeColor="background1" w:themeShade="1A"/>
          <w:sz w:val="20"/>
          <w:szCs w:val="20"/>
          <w:lang w:val="es-ES_tradnl"/>
        </w:rPr>
      </w:pPr>
      <w:r w:rsidRPr="006E64EA">
        <w:rPr>
          <w:rFonts w:ascii="Arial" w:eastAsia="Arial" w:hAnsi="Arial" w:cs="Arial"/>
          <w:color w:val="1A1A1A" w:themeColor="background1" w:themeShade="1A"/>
          <w:sz w:val="20"/>
          <w:szCs w:val="20"/>
          <w:lang w:val="es-ES_tradnl"/>
        </w:rPr>
        <w:t xml:space="preserve">[…] las excepciones a la restricción prevista en la Ley de Garantías Electorales,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6E64EA">
        <w:rPr>
          <w:rFonts w:ascii="Arial" w:eastAsia="Arial" w:hAnsi="Arial" w:cs="Arial"/>
          <w:color w:val="1A1A1A" w:themeColor="background1" w:themeShade="1A"/>
          <w:sz w:val="20"/>
          <w:szCs w:val="20"/>
          <w:lang w:val="es-ES_tradnl"/>
        </w:rPr>
        <w:t>ii</w:t>
      </w:r>
      <w:proofErr w:type="spellEnd"/>
      <w:r w:rsidRPr="006E64EA">
        <w:rPr>
          <w:rFonts w:ascii="Arial" w:eastAsia="Arial" w:hAnsi="Arial" w:cs="Arial"/>
          <w:color w:val="1A1A1A" w:themeColor="background1" w:themeShade="1A"/>
          <w:sz w:val="20"/>
          <w:szCs w:val="20"/>
          <w:lang w:val="es-ES_tradnl"/>
        </w:rPr>
        <w:t xml:space="preserve">) los contratos de crédito público; </w:t>
      </w:r>
      <w:proofErr w:type="spellStart"/>
      <w:r w:rsidRPr="006E64EA">
        <w:rPr>
          <w:rFonts w:ascii="Arial" w:eastAsia="Arial" w:hAnsi="Arial" w:cs="Arial"/>
          <w:color w:val="1A1A1A" w:themeColor="background1" w:themeShade="1A"/>
          <w:sz w:val="20"/>
          <w:szCs w:val="20"/>
          <w:lang w:val="es-ES_tradnl"/>
        </w:rPr>
        <w:t>iii</w:t>
      </w:r>
      <w:proofErr w:type="spellEnd"/>
      <w:r w:rsidRPr="006E64EA">
        <w:rPr>
          <w:rFonts w:ascii="Arial" w:eastAsia="Arial" w:hAnsi="Arial" w:cs="Arial"/>
          <w:color w:val="1A1A1A" w:themeColor="background1" w:themeShade="1A"/>
          <w:sz w:val="20"/>
          <w:szCs w:val="20"/>
          <w:lang w:val="es-ES_tradnl"/>
        </w:rPr>
        <w:t xml:space="preserve">) los requeridos para cubrir las emergencias educativas, sanitarias y desastres; </w:t>
      </w:r>
      <w:proofErr w:type="spellStart"/>
      <w:r w:rsidRPr="006E64EA">
        <w:rPr>
          <w:rFonts w:ascii="Arial" w:eastAsia="Arial" w:hAnsi="Arial" w:cs="Arial"/>
          <w:color w:val="1A1A1A" w:themeColor="background1" w:themeShade="1A"/>
          <w:sz w:val="20"/>
          <w:szCs w:val="20"/>
          <w:lang w:val="es-ES_tradnl"/>
        </w:rPr>
        <w:t>iv</w:t>
      </w:r>
      <w:proofErr w:type="spellEnd"/>
      <w:r w:rsidRPr="006E64EA">
        <w:rPr>
          <w:rFonts w:ascii="Arial" w:eastAsia="Arial" w:hAnsi="Arial" w:cs="Arial"/>
          <w:color w:val="1A1A1A" w:themeColor="background1" w:themeShade="1A"/>
          <w:sz w:val="20"/>
          <w:szCs w:val="20"/>
          <w:lang w:val="es-ES_tradnl"/>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646CCF2" w14:textId="77777777" w:rsidR="00BA62AD" w:rsidRPr="006E64EA" w:rsidRDefault="00BA62AD" w:rsidP="00BA62AD">
      <w:pPr>
        <w:spacing w:after="0" w:line="240" w:lineRule="auto"/>
        <w:jc w:val="both"/>
        <w:rPr>
          <w:rFonts w:ascii="Arial" w:eastAsia="Arial" w:hAnsi="Arial" w:cs="Arial"/>
          <w:color w:val="1A1A1A" w:themeColor="background1" w:themeShade="1A"/>
          <w:sz w:val="20"/>
          <w:szCs w:val="20"/>
          <w:lang w:val="es-ES_tradnl"/>
        </w:rPr>
      </w:pPr>
    </w:p>
    <w:p w14:paraId="25313662" w14:textId="77777777" w:rsidR="00BA62AD" w:rsidRDefault="00BA62AD" w:rsidP="00BA62AD">
      <w:pPr>
        <w:tabs>
          <w:tab w:val="left" w:pos="426"/>
        </w:tabs>
        <w:spacing w:after="0" w:line="240" w:lineRule="auto"/>
        <w:jc w:val="both"/>
        <w:rPr>
          <w:rFonts w:ascii="Arial" w:eastAsia="Calibri" w:hAnsi="Arial" w:cs="Arial"/>
          <w:b/>
          <w:bCs/>
          <w:color w:val="1A1A1A" w:themeColor="background1" w:themeShade="1A"/>
          <w:sz w:val="20"/>
          <w:szCs w:val="20"/>
          <w:lang w:val="es-ES_tradnl"/>
        </w:rPr>
      </w:pPr>
      <w:r w:rsidRPr="00E4789B">
        <w:rPr>
          <w:rFonts w:ascii="Arial" w:eastAsia="Calibri" w:hAnsi="Arial" w:cs="Arial"/>
          <w:b/>
          <w:bCs/>
          <w:color w:val="1A1A1A" w:themeColor="background1" w:themeShade="1A"/>
          <w:sz w:val="20"/>
          <w:szCs w:val="20"/>
          <w:lang w:val="es-ES_tradnl"/>
        </w:rPr>
        <w:t>INSTITUCIONES EDUCATIVAS OFICIAL</w:t>
      </w:r>
      <w:bookmarkStart w:id="3" w:name="_Hlk39676694"/>
      <w:r w:rsidRPr="00E4789B">
        <w:rPr>
          <w:rFonts w:ascii="Arial" w:eastAsia="Calibri" w:hAnsi="Arial" w:cs="Arial"/>
          <w:b/>
          <w:bCs/>
          <w:color w:val="1A1A1A" w:themeColor="background1" w:themeShade="1A"/>
          <w:sz w:val="20"/>
          <w:szCs w:val="20"/>
          <w:lang w:val="es-ES_tradnl"/>
        </w:rPr>
        <w:t>ES</w:t>
      </w:r>
      <w:r w:rsidRPr="006E64EA">
        <w:rPr>
          <w:rFonts w:ascii="Arial" w:eastAsia="Calibri" w:hAnsi="Arial" w:cs="Arial"/>
          <w:b/>
          <w:bCs/>
          <w:color w:val="1A1A1A" w:themeColor="background1" w:themeShade="1A"/>
          <w:sz w:val="20"/>
          <w:szCs w:val="20"/>
          <w:lang w:val="es-ES_tradnl"/>
        </w:rPr>
        <w:t xml:space="preserve"> –</w:t>
      </w:r>
      <w:bookmarkEnd w:id="3"/>
      <w:r w:rsidRPr="006E64EA">
        <w:rPr>
          <w:rFonts w:ascii="Arial" w:eastAsia="Calibri" w:hAnsi="Arial" w:cs="Arial"/>
          <w:b/>
          <w:bCs/>
          <w:color w:val="1A1A1A" w:themeColor="background1" w:themeShade="1A"/>
          <w:sz w:val="20"/>
          <w:szCs w:val="20"/>
          <w:lang w:val="es-ES_tradnl"/>
        </w:rPr>
        <w:t xml:space="preserve"> </w:t>
      </w:r>
      <w:r w:rsidRPr="00A41112">
        <w:rPr>
          <w:rFonts w:ascii="Arial" w:eastAsia="Calibri" w:hAnsi="Arial" w:cs="Arial"/>
          <w:b/>
          <w:bCs/>
          <w:color w:val="1A1A1A" w:themeColor="background1" w:themeShade="1A"/>
          <w:sz w:val="20"/>
          <w:szCs w:val="20"/>
          <w:lang w:val="es-ES_tradnl"/>
        </w:rPr>
        <w:t>Naturaleza jurídica</w:t>
      </w:r>
      <w:r w:rsidRPr="006E64EA">
        <w:rPr>
          <w:rFonts w:ascii="Arial" w:eastAsia="Calibri" w:hAnsi="Arial" w:cs="Arial"/>
          <w:b/>
          <w:bCs/>
          <w:color w:val="1A1A1A" w:themeColor="background1" w:themeShade="1A"/>
          <w:sz w:val="20"/>
          <w:szCs w:val="20"/>
          <w:lang w:val="es-ES_tradnl"/>
        </w:rPr>
        <w:t xml:space="preserve"> – Capacidad para contratar – Compra pública</w:t>
      </w:r>
    </w:p>
    <w:p w14:paraId="6C00189A" w14:textId="77777777" w:rsidR="00BA62AD" w:rsidRPr="006E64EA" w:rsidRDefault="00BA62AD" w:rsidP="00BA62AD">
      <w:pPr>
        <w:tabs>
          <w:tab w:val="left" w:pos="426"/>
        </w:tabs>
        <w:spacing w:after="0" w:line="240" w:lineRule="auto"/>
        <w:jc w:val="both"/>
        <w:rPr>
          <w:rFonts w:ascii="Arial" w:eastAsia="Calibri" w:hAnsi="Arial" w:cs="Arial"/>
          <w:b/>
          <w:bCs/>
          <w:color w:val="1A1A1A" w:themeColor="background1" w:themeShade="1A"/>
          <w:sz w:val="20"/>
          <w:szCs w:val="20"/>
          <w:lang w:val="es-ES_tradnl"/>
        </w:rPr>
      </w:pPr>
    </w:p>
    <w:p w14:paraId="5ABCC554" w14:textId="77777777" w:rsidR="00BA62AD" w:rsidRDefault="00BA62AD" w:rsidP="00BA62AD">
      <w:pPr>
        <w:spacing w:after="0" w:line="240" w:lineRule="auto"/>
        <w:jc w:val="both"/>
        <w:rPr>
          <w:rFonts w:ascii="Arial" w:hAnsi="Arial" w:cs="Arial"/>
          <w:sz w:val="20"/>
          <w:szCs w:val="20"/>
        </w:rPr>
      </w:pPr>
      <w:r w:rsidRPr="006E64EA">
        <w:rPr>
          <w:rFonts w:ascii="Arial" w:hAnsi="Arial" w:cs="Arial"/>
          <w:sz w:val="20"/>
          <w:szCs w:val="20"/>
        </w:rPr>
        <w:t>Las Leyes 60 de 1993 y 715 de 2001 descentralizaron el sistema educativo en Colombia, asignándoles a los departamentos, distritos y municipios las competencias y los recursos económicos para dirigir las instituciones educativas. Así las cosas, el sistema educativo está descentralizado por las competencias propias otorgadas a las entidades territoriales para administrar las instituciones educativas en los diferentes niveles territoriales, sin que estas últimas sean entidades descentralizadas.</w:t>
      </w:r>
    </w:p>
    <w:p w14:paraId="16EB0B3F" w14:textId="77777777" w:rsidR="00BA62AD" w:rsidRPr="006E64EA" w:rsidRDefault="00BA62AD" w:rsidP="00BA62AD">
      <w:pPr>
        <w:spacing w:after="0" w:line="240" w:lineRule="auto"/>
        <w:jc w:val="both"/>
        <w:rPr>
          <w:rFonts w:ascii="Arial" w:hAnsi="Arial" w:cs="Arial"/>
          <w:sz w:val="20"/>
          <w:szCs w:val="20"/>
        </w:rPr>
      </w:pPr>
    </w:p>
    <w:p w14:paraId="521B40A9" w14:textId="77777777" w:rsidR="00BA62AD" w:rsidRPr="006E64EA" w:rsidRDefault="00BA62AD" w:rsidP="00BA62AD">
      <w:pPr>
        <w:pStyle w:val="Textoindependiente"/>
        <w:jc w:val="both"/>
      </w:pPr>
      <w:r w:rsidRPr="006E64EA">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gestión y ejecución presupuestal de los recursos que reciben los establecimientos educativos.</w:t>
      </w:r>
    </w:p>
    <w:p w14:paraId="7A8C65E3" w14:textId="77777777" w:rsidR="00BA62AD" w:rsidRPr="006E64EA" w:rsidRDefault="00BA62AD" w:rsidP="00BA62AD">
      <w:pPr>
        <w:spacing w:after="0" w:line="240" w:lineRule="auto"/>
        <w:rPr>
          <w:rFonts w:ascii="Arial" w:hAnsi="Arial" w:cs="Arial"/>
          <w:sz w:val="20"/>
          <w:szCs w:val="20"/>
        </w:rPr>
      </w:pPr>
      <w:r w:rsidRPr="006E64EA">
        <w:rPr>
          <w:rFonts w:ascii="Arial" w:hAnsi="Arial" w:cs="Arial"/>
          <w:sz w:val="20"/>
          <w:szCs w:val="20"/>
        </w:rPr>
        <w:br w:type="page"/>
      </w:r>
    </w:p>
    <w:p w14:paraId="772DB524" w14:textId="77777777" w:rsidR="00BA62AD" w:rsidRPr="006E64EA" w:rsidRDefault="00BA62AD" w:rsidP="00BA62AD">
      <w:pPr>
        <w:spacing w:after="0" w:line="276" w:lineRule="auto"/>
        <w:rPr>
          <w:rFonts w:ascii="Arial" w:eastAsia="Times New Roman" w:hAnsi="Arial" w:cs="Arial"/>
          <w:bCs/>
          <w:lang w:eastAsia="es-ES"/>
        </w:rPr>
      </w:pPr>
    </w:p>
    <w:p w14:paraId="2F8B13B3" w14:textId="77777777" w:rsidR="00BA62AD" w:rsidRPr="006E64EA" w:rsidRDefault="00BA62AD" w:rsidP="00BA62AD">
      <w:pPr>
        <w:spacing w:after="0" w:line="276" w:lineRule="auto"/>
        <w:rPr>
          <w:rFonts w:ascii="Arial" w:eastAsia="Geomanist Light" w:hAnsi="Arial" w:cs="Arial"/>
          <w:lang w:val="es-MX"/>
        </w:rPr>
      </w:pPr>
      <w:r w:rsidRPr="006E64EA">
        <w:rPr>
          <w:rFonts w:ascii="Arial" w:eastAsia="Geomanist Light" w:hAnsi="Arial" w:cs="Arial"/>
          <w:lang w:val="es-MX"/>
        </w:rPr>
        <w:t>Bogotá D.C., 08 de mayo del 2023</w:t>
      </w:r>
    </w:p>
    <w:p w14:paraId="057F89FB" w14:textId="77777777" w:rsidR="00BA62AD" w:rsidRPr="006E64EA" w:rsidRDefault="00BA62AD" w:rsidP="00BA62AD">
      <w:pPr>
        <w:spacing w:after="0" w:line="276" w:lineRule="auto"/>
        <w:rPr>
          <w:rFonts w:ascii="Arial" w:eastAsia="Geomanist Light" w:hAnsi="Arial" w:cs="Arial"/>
          <w:lang w:val="es-MX"/>
        </w:rPr>
      </w:pPr>
    </w:p>
    <w:p w14:paraId="08DD0E65" w14:textId="7A920F61" w:rsidR="00BA62AD" w:rsidRPr="006E64EA" w:rsidRDefault="008918DB" w:rsidP="008918DB">
      <w:pPr>
        <w:spacing w:after="0" w:line="276" w:lineRule="auto"/>
        <w:jc w:val="right"/>
        <w:rPr>
          <w:rFonts w:ascii="Arial" w:hAnsi="Arial" w:cs="Arial"/>
          <w:lang w:val="es-MX"/>
        </w:rPr>
      </w:pPr>
      <w:r>
        <w:rPr>
          <w:rFonts w:ascii="Arial" w:hAnsi="Arial" w:cs="Arial"/>
          <w:noProof/>
          <w:lang w:val="es-MX"/>
        </w:rPr>
        <w:drawing>
          <wp:inline distT="0" distB="0" distL="0" distR="0" wp14:anchorId="5064F133" wp14:editId="5D89CAC9">
            <wp:extent cx="2994025" cy="819150"/>
            <wp:effectExtent l="0" t="0" r="0" b="0"/>
            <wp:docPr id="898334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34524" name="Imagen 898334524"/>
                    <pic:cNvPicPr/>
                  </pic:nvPicPr>
                  <pic:blipFill>
                    <a:blip r:embed="rId11">
                      <a:extLst>
                        <a:ext uri="{28A0092B-C50C-407E-A947-70E740481C1C}">
                          <a14:useLocalDpi xmlns:a14="http://schemas.microsoft.com/office/drawing/2010/main" val="0"/>
                        </a:ext>
                      </a:extLst>
                    </a:blip>
                    <a:stretch>
                      <a:fillRect/>
                    </a:stretch>
                  </pic:blipFill>
                  <pic:spPr>
                    <a:xfrm>
                      <a:off x="0" y="0"/>
                      <a:ext cx="3001618" cy="821227"/>
                    </a:xfrm>
                    <a:prstGeom prst="rect">
                      <a:avLst/>
                    </a:prstGeom>
                  </pic:spPr>
                </pic:pic>
              </a:graphicData>
            </a:graphic>
          </wp:inline>
        </w:drawing>
      </w:r>
    </w:p>
    <w:p w14:paraId="237DF29D" w14:textId="77777777" w:rsidR="00BA62AD" w:rsidRPr="006E64EA" w:rsidRDefault="00BA62AD" w:rsidP="00BA62AD">
      <w:pPr>
        <w:spacing w:after="0" w:line="276" w:lineRule="auto"/>
        <w:rPr>
          <w:rFonts w:ascii="Arial" w:hAnsi="Arial" w:cs="Arial"/>
          <w:lang w:val="es-MX"/>
        </w:rPr>
      </w:pPr>
      <w:r w:rsidRPr="006E64EA">
        <w:rPr>
          <w:rFonts w:ascii="Arial" w:hAnsi="Arial" w:cs="Arial"/>
          <w:lang w:val="es-MX"/>
        </w:rPr>
        <w:t>Señor</w:t>
      </w:r>
    </w:p>
    <w:p w14:paraId="31D1342C" w14:textId="77777777" w:rsidR="00BA62AD" w:rsidRPr="006E64EA" w:rsidRDefault="00BA62AD" w:rsidP="00BA62AD">
      <w:pPr>
        <w:spacing w:after="0" w:line="276" w:lineRule="auto"/>
        <w:rPr>
          <w:rFonts w:ascii="Arial" w:hAnsi="Arial" w:cs="Arial"/>
          <w:b/>
          <w:bCs/>
          <w:lang w:val="es-MX"/>
        </w:rPr>
      </w:pPr>
      <w:r w:rsidRPr="006E64EA">
        <w:rPr>
          <w:rFonts w:ascii="Arial" w:hAnsi="Arial" w:cs="Arial"/>
          <w:b/>
          <w:bCs/>
          <w:lang w:val="es-MX"/>
        </w:rPr>
        <w:t>Pablo Emilio Polo Collazos</w:t>
      </w:r>
    </w:p>
    <w:p w14:paraId="41CB4C3C" w14:textId="77777777" w:rsidR="00BA62AD" w:rsidRPr="006E64EA" w:rsidRDefault="00BA62AD" w:rsidP="00BA62AD">
      <w:pPr>
        <w:spacing w:after="0" w:line="276" w:lineRule="auto"/>
        <w:rPr>
          <w:rFonts w:ascii="Arial" w:hAnsi="Arial" w:cs="Arial"/>
          <w:lang w:val="es-MX"/>
        </w:rPr>
      </w:pPr>
      <w:r w:rsidRPr="006E64EA">
        <w:rPr>
          <w:rFonts w:ascii="Arial" w:hAnsi="Arial" w:cs="Arial"/>
          <w:lang w:val="es-MX"/>
        </w:rPr>
        <w:t>Neiva, Huila</w:t>
      </w:r>
    </w:p>
    <w:p w14:paraId="2F3861E1" w14:textId="77777777" w:rsidR="00BA62AD" w:rsidRPr="006E64EA" w:rsidRDefault="00BA62AD" w:rsidP="00BA62AD">
      <w:pPr>
        <w:spacing w:after="0" w:line="276" w:lineRule="auto"/>
        <w:rPr>
          <w:rFonts w:ascii="Arial" w:hAnsi="Arial" w:cs="Arial"/>
          <w:lang w:val="es-MX"/>
        </w:rPr>
      </w:pPr>
    </w:p>
    <w:p w14:paraId="210FC48A" w14:textId="77777777" w:rsidR="00BA62AD" w:rsidRPr="006E64EA" w:rsidRDefault="00BA62AD" w:rsidP="00BA62AD">
      <w:pPr>
        <w:spacing w:after="0" w:line="276" w:lineRule="auto"/>
        <w:rPr>
          <w:rFonts w:ascii="Arial" w:hAnsi="Arial" w:cs="Arial"/>
          <w:lang w:val="es-MX"/>
        </w:rPr>
      </w:pPr>
    </w:p>
    <w:p w14:paraId="74F3A6C4" w14:textId="77777777" w:rsidR="00BA62AD" w:rsidRPr="006E64EA" w:rsidRDefault="00BA62AD" w:rsidP="00BA62AD">
      <w:pPr>
        <w:spacing w:after="0" w:line="276" w:lineRule="auto"/>
        <w:ind w:left="2832"/>
        <w:rPr>
          <w:rFonts w:ascii="Arial" w:eastAsia="Calibri" w:hAnsi="Arial" w:cs="Arial"/>
          <w:b/>
          <w:bCs/>
          <w:lang w:val="es-ES"/>
        </w:rPr>
      </w:pPr>
      <w:r w:rsidRPr="006E64EA">
        <w:rPr>
          <w:rFonts w:ascii="Arial" w:eastAsia="Calibri" w:hAnsi="Arial" w:cs="Arial"/>
          <w:b/>
          <w:bCs/>
          <w:lang w:val="es-ES"/>
        </w:rPr>
        <w:t>Concepto C–107 del 2023</w:t>
      </w:r>
    </w:p>
    <w:p w14:paraId="425195BA" w14:textId="77777777" w:rsidR="00BA62AD" w:rsidRPr="006E64EA" w:rsidRDefault="00BA62AD" w:rsidP="00BA62AD">
      <w:pPr>
        <w:spacing w:after="0" w:line="276" w:lineRule="auto"/>
        <w:jc w:val="both"/>
        <w:rPr>
          <w:rFonts w:ascii="Arial" w:eastAsia="Calibri" w:hAnsi="Arial"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BA62AD" w:rsidRPr="006E64EA" w14:paraId="1A0A4873" w14:textId="77777777" w:rsidTr="00791B67">
        <w:trPr>
          <w:jc w:val="right"/>
        </w:trPr>
        <w:tc>
          <w:tcPr>
            <w:tcW w:w="1838" w:type="dxa"/>
          </w:tcPr>
          <w:p w14:paraId="4EE9E965" w14:textId="77777777" w:rsidR="00BA62AD" w:rsidRPr="006E64EA" w:rsidRDefault="00BA62AD" w:rsidP="00791B67">
            <w:pPr>
              <w:spacing w:line="276" w:lineRule="auto"/>
              <w:jc w:val="center"/>
              <w:rPr>
                <w:rFonts w:ascii="Arial" w:eastAsia="Calibri" w:hAnsi="Arial" w:cs="Arial"/>
                <w:lang w:val="es-ES_tradnl"/>
              </w:rPr>
            </w:pPr>
            <w:r w:rsidRPr="006E64EA">
              <w:rPr>
                <w:rFonts w:ascii="Arial" w:eastAsia="Calibri" w:hAnsi="Arial" w:cs="Arial"/>
                <w:b/>
                <w:lang w:val="es-ES_tradnl"/>
              </w:rPr>
              <w:t>Temas:</w:t>
            </w:r>
          </w:p>
        </w:tc>
        <w:tc>
          <w:tcPr>
            <w:tcW w:w="6237" w:type="dxa"/>
          </w:tcPr>
          <w:p w14:paraId="7EABA5F3" w14:textId="77777777" w:rsidR="00BA62AD" w:rsidRPr="006E64EA" w:rsidRDefault="00BA62AD" w:rsidP="00791B67">
            <w:pPr>
              <w:spacing w:line="276" w:lineRule="auto"/>
              <w:jc w:val="both"/>
              <w:rPr>
                <w:rFonts w:ascii="Arial" w:hAnsi="Arial" w:cs="Arial"/>
                <w:lang w:val="es-ES"/>
              </w:rPr>
            </w:pPr>
            <w:r w:rsidRPr="006E64EA">
              <w:rPr>
                <w:rFonts w:ascii="Arial" w:hAnsi="Arial" w:cs="Arial"/>
                <w:bCs/>
                <w:lang w:val="es-ES_tradnl"/>
              </w:rPr>
              <w:t>LEY DE GARANTÍAS ELECTORALES – Definición – Finalidad – Restricciones / LEY DE GARANTÍAS ELECTORALES – Prohibición – Contratación Directa – Alcance – Excepciones / INSTITUCIONES EDUCATIVAS OFICIALES – Naturaleza jurídica – Capacidad para contratar – Compra pública</w:t>
            </w:r>
          </w:p>
        </w:tc>
      </w:tr>
      <w:tr w:rsidR="00BA62AD" w:rsidRPr="006E64EA" w14:paraId="42C8F364" w14:textId="77777777" w:rsidTr="00791B67">
        <w:trPr>
          <w:jc w:val="right"/>
        </w:trPr>
        <w:tc>
          <w:tcPr>
            <w:tcW w:w="1838" w:type="dxa"/>
          </w:tcPr>
          <w:p w14:paraId="178A3048" w14:textId="77777777" w:rsidR="00BA62AD" w:rsidRPr="006E64EA" w:rsidRDefault="00BA62AD" w:rsidP="00791B67">
            <w:pPr>
              <w:spacing w:line="276" w:lineRule="auto"/>
              <w:jc w:val="center"/>
              <w:rPr>
                <w:rFonts w:ascii="Arial" w:eastAsia="Calibri" w:hAnsi="Arial" w:cs="Arial"/>
                <w:b/>
                <w:lang w:val="es-ES"/>
              </w:rPr>
            </w:pPr>
            <w:r w:rsidRPr="006E64EA">
              <w:rPr>
                <w:rFonts w:ascii="Arial" w:eastAsia="Calibri" w:hAnsi="Arial" w:cs="Arial"/>
                <w:b/>
                <w:lang w:val="es-ES"/>
              </w:rPr>
              <w:t>Radicación:</w:t>
            </w:r>
          </w:p>
        </w:tc>
        <w:tc>
          <w:tcPr>
            <w:tcW w:w="6237" w:type="dxa"/>
          </w:tcPr>
          <w:p w14:paraId="2B6AFF18" w14:textId="77777777" w:rsidR="00BA62AD" w:rsidRPr="006E64EA" w:rsidRDefault="00BA62AD" w:rsidP="00791B67">
            <w:pPr>
              <w:spacing w:line="276" w:lineRule="auto"/>
              <w:jc w:val="both"/>
              <w:rPr>
                <w:rFonts w:ascii="Arial" w:eastAsia="Calibri" w:hAnsi="Arial" w:cs="Arial"/>
                <w:lang w:val="es-ES"/>
              </w:rPr>
            </w:pPr>
            <w:r w:rsidRPr="006E64EA">
              <w:rPr>
                <w:rFonts w:ascii="Arial" w:eastAsia="Calibri" w:hAnsi="Arial" w:cs="Arial"/>
                <w:lang w:val="es-ES"/>
              </w:rPr>
              <w:t>Respuesta a consulta P20230323002663.</w:t>
            </w:r>
          </w:p>
        </w:tc>
      </w:tr>
    </w:tbl>
    <w:p w14:paraId="322E1B98" w14:textId="77777777" w:rsidR="00BA62AD" w:rsidRPr="006E64EA" w:rsidRDefault="00BA62AD" w:rsidP="00BA62AD">
      <w:pPr>
        <w:spacing w:after="0" w:line="276" w:lineRule="auto"/>
        <w:rPr>
          <w:rFonts w:ascii="Arial" w:hAnsi="Arial" w:cs="Arial"/>
          <w:lang w:val="es-MX"/>
        </w:rPr>
      </w:pPr>
    </w:p>
    <w:p w14:paraId="2DE56F03" w14:textId="77777777" w:rsidR="00BA62AD" w:rsidRPr="006E64EA" w:rsidRDefault="00BA62AD" w:rsidP="00BA62AD">
      <w:pPr>
        <w:spacing w:after="0" w:line="276" w:lineRule="auto"/>
        <w:jc w:val="both"/>
        <w:rPr>
          <w:rFonts w:ascii="Arial" w:eastAsia="Calibri" w:hAnsi="Arial" w:cs="Arial"/>
          <w:lang w:val="es-ES_tradnl"/>
        </w:rPr>
      </w:pPr>
    </w:p>
    <w:p w14:paraId="55E082EE" w14:textId="77777777" w:rsidR="00BA62AD" w:rsidRPr="006E64EA" w:rsidRDefault="00BA62AD" w:rsidP="00BA62AD">
      <w:pPr>
        <w:spacing w:after="0" w:line="276" w:lineRule="auto"/>
        <w:jc w:val="both"/>
        <w:rPr>
          <w:rFonts w:ascii="Arial" w:eastAsia="Calibri" w:hAnsi="Arial" w:cs="Arial"/>
          <w:bCs/>
          <w:lang w:val="es-ES_tradnl"/>
        </w:rPr>
      </w:pPr>
      <w:r w:rsidRPr="006E64EA">
        <w:rPr>
          <w:rFonts w:ascii="Arial" w:eastAsia="Calibri" w:hAnsi="Arial" w:cs="Arial"/>
          <w:lang w:val="es-ES_tradnl"/>
        </w:rPr>
        <w:t xml:space="preserve">Estimado señor </w:t>
      </w:r>
      <w:r w:rsidRPr="006E64EA">
        <w:rPr>
          <w:rFonts w:ascii="Arial" w:hAnsi="Arial" w:cs="Arial"/>
          <w:lang w:val="es-MX"/>
        </w:rPr>
        <w:t>Polo Collazos</w:t>
      </w:r>
      <w:r w:rsidRPr="006E64EA">
        <w:rPr>
          <w:rFonts w:ascii="Arial" w:eastAsia="Calibri" w:hAnsi="Arial" w:cs="Arial"/>
          <w:bCs/>
          <w:lang w:val="es-ES_tradnl"/>
        </w:rPr>
        <w:t>:</w:t>
      </w:r>
    </w:p>
    <w:p w14:paraId="210BD12F" w14:textId="77777777" w:rsidR="00BA62AD" w:rsidRPr="006E64EA" w:rsidRDefault="00BA62AD" w:rsidP="00BA62AD">
      <w:pPr>
        <w:spacing w:after="0" w:line="276" w:lineRule="auto"/>
        <w:jc w:val="both"/>
        <w:rPr>
          <w:rFonts w:ascii="Arial" w:eastAsia="Calibri" w:hAnsi="Arial" w:cs="Arial"/>
          <w:lang w:val="es-ES_tradnl"/>
        </w:rPr>
      </w:pPr>
    </w:p>
    <w:p w14:paraId="5D64C10E" w14:textId="77777777" w:rsidR="00BA62AD" w:rsidRPr="006E64EA" w:rsidRDefault="00BA62AD" w:rsidP="00BA62AD">
      <w:pPr>
        <w:spacing w:after="0" w:line="276" w:lineRule="auto"/>
        <w:jc w:val="both"/>
        <w:rPr>
          <w:rFonts w:ascii="Arial" w:eastAsia="Calibri" w:hAnsi="Arial" w:cs="Arial"/>
          <w:lang w:val="es-ES"/>
        </w:rPr>
      </w:pPr>
      <w:r w:rsidRPr="006E64EA">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 consulta del 22 de marzo del 2023.</w:t>
      </w:r>
    </w:p>
    <w:p w14:paraId="7D4F0CC6" w14:textId="77777777" w:rsidR="00BA62AD" w:rsidRPr="006E64EA" w:rsidRDefault="00BA62AD" w:rsidP="00BA62AD">
      <w:pPr>
        <w:spacing w:after="0" w:line="276" w:lineRule="auto"/>
        <w:jc w:val="both"/>
        <w:rPr>
          <w:rFonts w:ascii="Arial" w:eastAsia="Calibri" w:hAnsi="Arial" w:cs="Arial"/>
          <w:b/>
          <w:lang w:val="es-ES_tradnl"/>
        </w:rPr>
      </w:pPr>
    </w:p>
    <w:p w14:paraId="5CAA0E33" w14:textId="77777777" w:rsidR="00BA62AD" w:rsidRPr="006E64EA" w:rsidRDefault="00BA62AD" w:rsidP="00BA62AD">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lang w:val="es-ES_tradnl"/>
        </w:rPr>
      </w:pPr>
      <w:r w:rsidRPr="006E64EA">
        <w:rPr>
          <w:rFonts w:ascii="Arial" w:eastAsia="Calibri" w:hAnsi="Arial" w:cs="Arial"/>
          <w:b/>
          <w:lang w:val="es-ES_tradnl"/>
        </w:rPr>
        <w:t xml:space="preserve">Problema planteado </w:t>
      </w:r>
    </w:p>
    <w:p w14:paraId="02EFA78D" w14:textId="77777777" w:rsidR="00BA62AD" w:rsidRPr="006E64EA" w:rsidRDefault="00BA62AD" w:rsidP="00BA62AD">
      <w:pPr>
        <w:spacing w:after="0" w:line="276" w:lineRule="auto"/>
        <w:jc w:val="both"/>
        <w:textAlignment w:val="baseline"/>
        <w:rPr>
          <w:rFonts w:ascii="Arial" w:eastAsia="Times New Roman" w:hAnsi="Arial" w:cs="Arial"/>
          <w:lang w:val="es-MX" w:eastAsia="es-CO"/>
        </w:rPr>
      </w:pPr>
    </w:p>
    <w:p w14:paraId="3EFB8AB7" w14:textId="77777777" w:rsidR="00BA62AD" w:rsidRPr="006E64EA" w:rsidRDefault="00BA62AD" w:rsidP="00BA62AD">
      <w:pPr>
        <w:spacing w:after="0" w:line="276" w:lineRule="auto"/>
        <w:jc w:val="both"/>
        <w:rPr>
          <w:rFonts w:ascii="Arial" w:hAnsi="Arial" w:cs="Arial"/>
          <w:lang w:val="es-ES_tradnl"/>
        </w:rPr>
      </w:pPr>
      <w:r w:rsidRPr="006E64EA">
        <w:rPr>
          <w:rFonts w:ascii="Arial" w:hAnsi="Arial" w:cs="Arial"/>
          <w:lang w:val="es-ES_tradnl"/>
        </w:rPr>
        <w:t xml:space="preserve">Respecto a los procesos de contratación adelantados por instituciones educativas, usted realiza la siguiente consulta: </w:t>
      </w:r>
    </w:p>
    <w:p w14:paraId="530554B1" w14:textId="77777777" w:rsidR="00BA62AD" w:rsidRPr="006E64EA" w:rsidRDefault="00BA62AD" w:rsidP="00BA62AD">
      <w:pPr>
        <w:spacing w:after="12" w:line="276" w:lineRule="auto"/>
        <w:jc w:val="both"/>
        <w:rPr>
          <w:rFonts w:ascii="Arial" w:hAnsi="Arial" w:cs="Arial"/>
          <w:lang w:val="es-ES_tradnl"/>
        </w:rPr>
      </w:pPr>
    </w:p>
    <w:p w14:paraId="0E8EDC5A" w14:textId="77777777" w:rsidR="00BA62AD" w:rsidRDefault="00BA62AD" w:rsidP="00BA62AD">
      <w:pPr>
        <w:spacing w:after="0" w:line="240" w:lineRule="auto"/>
        <w:ind w:left="708" w:right="709"/>
        <w:jc w:val="both"/>
        <w:rPr>
          <w:rFonts w:ascii="Arial" w:hAnsi="Arial" w:cs="Arial"/>
          <w:sz w:val="21"/>
          <w:szCs w:val="21"/>
        </w:rPr>
      </w:pPr>
      <w:r w:rsidRPr="006E64EA">
        <w:rPr>
          <w:rFonts w:ascii="Arial" w:hAnsi="Arial" w:cs="Arial"/>
          <w:sz w:val="21"/>
          <w:szCs w:val="21"/>
          <w:lang w:val="es-ES_tradnl"/>
        </w:rPr>
        <w:t>“</w:t>
      </w:r>
      <w:r w:rsidRPr="006E64EA">
        <w:rPr>
          <w:rFonts w:ascii="Arial" w:hAnsi="Arial" w:cs="Arial"/>
          <w:sz w:val="21"/>
          <w:szCs w:val="21"/>
        </w:rPr>
        <w:t>¿Las instituciones educativas públicas están impedidas por la ley de garantías electorales para desarrollar procesos contractuales mediante la modalidad de convocatoria pública en ejercicio del régimen especial para contratos inferiores a 20 salarios mínimos mensuales que se publican en SECOP 2 y se reciben ofertas en la institución educativa?</w:t>
      </w:r>
    </w:p>
    <w:p w14:paraId="19A81834" w14:textId="77777777" w:rsidR="00BA62AD" w:rsidRPr="006E64EA" w:rsidRDefault="00BA62AD" w:rsidP="00BA62AD">
      <w:pPr>
        <w:spacing w:after="0" w:line="240" w:lineRule="auto"/>
        <w:ind w:left="708" w:right="709"/>
        <w:jc w:val="both"/>
        <w:rPr>
          <w:rFonts w:ascii="Arial" w:hAnsi="Arial" w:cs="Arial"/>
          <w:sz w:val="21"/>
          <w:szCs w:val="21"/>
        </w:rPr>
      </w:pPr>
    </w:p>
    <w:p w14:paraId="60B53C82" w14:textId="77777777" w:rsidR="00BA62AD" w:rsidRPr="006E64EA" w:rsidRDefault="00BA62AD" w:rsidP="00BA62AD">
      <w:pPr>
        <w:pStyle w:val="Prrafodelista"/>
        <w:numPr>
          <w:ilvl w:val="0"/>
          <w:numId w:val="4"/>
        </w:numPr>
        <w:tabs>
          <w:tab w:val="left" w:pos="0"/>
          <w:tab w:val="left" w:pos="284"/>
        </w:tabs>
        <w:spacing w:after="0" w:line="276" w:lineRule="auto"/>
        <w:ind w:left="0" w:firstLine="0"/>
        <w:contextualSpacing w:val="0"/>
        <w:jc w:val="both"/>
        <w:rPr>
          <w:rFonts w:ascii="Arial" w:eastAsia="Calibri" w:hAnsi="Arial" w:cs="Arial"/>
          <w:b/>
          <w:lang w:val="es-ES_tradnl"/>
        </w:rPr>
      </w:pPr>
      <w:r w:rsidRPr="006E64EA">
        <w:rPr>
          <w:rFonts w:ascii="Arial" w:eastAsia="Calibri" w:hAnsi="Arial" w:cs="Arial"/>
          <w:b/>
          <w:lang w:val="es-ES_tradnl"/>
        </w:rPr>
        <w:t>Consideraciones</w:t>
      </w:r>
    </w:p>
    <w:p w14:paraId="23DF3B38" w14:textId="77777777" w:rsidR="00BA62AD" w:rsidRPr="006E64EA" w:rsidRDefault="00BA62AD" w:rsidP="00BA62AD">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45EF8DB6" w14:textId="77777777" w:rsidR="00BA62AD" w:rsidRPr="006E64EA" w:rsidRDefault="00BA62AD" w:rsidP="00BA62AD">
      <w:pPr>
        <w:spacing w:after="120" w:line="276" w:lineRule="auto"/>
        <w:jc w:val="both"/>
        <w:rPr>
          <w:rFonts w:ascii="Arial" w:hAnsi="Arial" w:cs="Arial"/>
          <w:lang w:val="es-ES"/>
        </w:rPr>
      </w:pPr>
      <w:r w:rsidRPr="006E64EA">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6E64EA">
        <w:rPr>
          <w:rFonts w:ascii="Arial" w:hAnsi="Arial" w:cs="Arial"/>
        </w:rPr>
        <w:t xml:space="preserve">. </w:t>
      </w:r>
      <w:r w:rsidRPr="006E64EA">
        <w:rPr>
          <w:rFonts w:ascii="Arial" w:hAnsi="Arial" w:cs="Arial"/>
          <w:lang w:val="es-ES"/>
        </w:rPr>
        <w:t xml:space="preserve">Es necesario tener en cuenta que </w:t>
      </w:r>
      <w:bookmarkStart w:id="6" w:name="_Hlk61026958"/>
      <w:r w:rsidRPr="006E64EA">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E64EA">
        <w:rPr>
          <w:rFonts w:ascii="Arial" w:hAnsi="Arial" w:cs="Arial"/>
        </w:rPr>
        <w:t xml:space="preserve"> de todos los partícipes de la contratación estatal.</w:t>
      </w:r>
      <w:r w:rsidRPr="006E64EA">
        <w:rPr>
          <w:rFonts w:ascii="Arial" w:hAnsi="Arial" w:cs="Arial"/>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E64EA">
        <w:rPr>
          <w:rStyle w:val="Refdenotaalpie"/>
          <w:rFonts w:ascii="Arial" w:hAnsi="Arial" w:cs="Arial"/>
          <w:lang w:val="es-ES"/>
        </w:rPr>
        <w:footnoteReference w:id="2"/>
      </w:r>
      <w:r w:rsidRPr="006E64EA">
        <w:rPr>
          <w:rFonts w:ascii="Arial" w:hAnsi="Arial" w:cs="Arial"/>
          <w:lang w:val="es-ES"/>
        </w:rPr>
        <w:t xml:space="preserve">. Esta competencia de interpretación de normas generales, por definición, no puede extenderse a la resolución de controversias, ni a brindar asesorías sobre casos puntuales. </w:t>
      </w:r>
      <w:bookmarkEnd w:id="6"/>
      <w:r w:rsidRPr="006E64EA">
        <w:rPr>
          <w:rFonts w:ascii="Arial" w:hAnsi="Arial" w:cs="Arial"/>
          <w:lang w:val="es-ES"/>
        </w:rPr>
        <w:t xml:space="preserve"> </w:t>
      </w:r>
      <w:bookmarkEnd w:id="4"/>
      <w:bookmarkEnd w:id="5"/>
    </w:p>
    <w:p w14:paraId="121C6C11" w14:textId="77777777" w:rsidR="00BA62AD" w:rsidRPr="00A05095" w:rsidRDefault="00BA62AD" w:rsidP="00BA62AD">
      <w:pPr>
        <w:spacing w:after="120" w:line="276" w:lineRule="auto"/>
        <w:ind w:firstLine="708"/>
        <w:jc w:val="both"/>
        <w:rPr>
          <w:rFonts w:ascii="Arial" w:eastAsia="Times New Roman" w:hAnsi="Arial" w:cs="Arial"/>
          <w:bCs/>
          <w:lang w:eastAsia="es-CO"/>
        </w:rPr>
      </w:pPr>
      <w:r w:rsidRPr="006E64EA">
        <w:rPr>
          <w:rFonts w:ascii="Arial" w:hAnsi="Arial" w:cs="Arial"/>
        </w:rPr>
        <w:t xml:space="preserve">Conforme lo anterior, la Subdirección –dentro de los límites de sus atribuciones resolverá la consulta conforme a las normas generales en materia de contratación estatal. Con este objetivo se analizarán </w:t>
      </w:r>
      <w:r w:rsidRPr="006E64EA">
        <w:rPr>
          <w:rFonts w:ascii="Arial" w:eastAsia="Calibri" w:hAnsi="Arial" w:cs="Arial"/>
          <w:lang w:val="es-ES"/>
        </w:rPr>
        <w:t>los siguientes temas</w:t>
      </w:r>
      <w:r w:rsidRPr="006E64EA">
        <w:rPr>
          <w:rFonts w:ascii="Arial" w:hAnsi="Arial" w:cs="Arial"/>
          <w:lang w:val="es-ES"/>
        </w:rPr>
        <w:t xml:space="preserve">: </w:t>
      </w:r>
      <w:r w:rsidRPr="006E64EA">
        <w:rPr>
          <w:rFonts w:ascii="Arial" w:eastAsia="Calibri" w:hAnsi="Arial" w:cs="Arial"/>
          <w:bCs/>
        </w:rPr>
        <w:t xml:space="preserve">i) definición y finalidad de la Ley de Garantías Electorales, </w:t>
      </w:r>
      <w:proofErr w:type="spellStart"/>
      <w:r w:rsidRPr="006E64EA">
        <w:rPr>
          <w:rFonts w:ascii="Arial" w:eastAsia="Calibri" w:hAnsi="Arial" w:cs="Arial"/>
          <w:bCs/>
        </w:rPr>
        <w:t>ii</w:t>
      </w:r>
      <w:proofErr w:type="spellEnd"/>
      <w:r w:rsidRPr="006E64EA">
        <w:rPr>
          <w:rFonts w:ascii="Arial" w:eastAsia="Calibri" w:hAnsi="Arial" w:cs="Arial"/>
          <w:bCs/>
        </w:rPr>
        <w:t>) restricciones para elecciones</w:t>
      </w:r>
      <w:r>
        <w:rPr>
          <w:rFonts w:ascii="Arial" w:eastAsia="Calibri" w:hAnsi="Arial" w:cs="Arial"/>
          <w:bCs/>
        </w:rPr>
        <w:t>;</w:t>
      </w:r>
      <w:r w:rsidRPr="006E64EA">
        <w:rPr>
          <w:rFonts w:ascii="Arial" w:eastAsia="Calibri" w:hAnsi="Arial" w:cs="Arial"/>
          <w:bCs/>
        </w:rPr>
        <w:t xml:space="preserve"> </w:t>
      </w:r>
      <w:proofErr w:type="spellStart"/>
      <w:r w:rsidRPr="006E64EA">
        <w:rPr>
          <w:rFonts w:ascii="Arial" w:eastAsia="Calibri" w:hAnsi="Arial" w:cs="Arial"/>
          <w:bCs/>
        </w:rPr>
        <w:t>iii</w:t>
      </w:r>
      <w:proofErr w:type="spellEnd"/>
      <w:r w:rsidRPr="006E64EA">
        <w:rPr>
          <w:rFonts w:ascii="Arial" w:eastAsia="Calibri" w:hAnsi="Arial" w:cs="Arial"/>
          <w:bCs/>
        </w:rPr>
        <w:t xml:space="preserve">) destinatarios de la prohibición del artículo 33 de la Ley 996 de 2005, </w:t>
      </w:r>
      <w:proofErr w:type="spellStart"/>
      <w:r w:rsidRPr="006E64EA">
        <w:rPr>
          <w:rFonts w:ascii="Arial" w:eastAsia="Calibri" w:hAnsi="Arial" w:cs="Arial"/>
          <w:bCs/>
        </w:rPr>
        <w:t>iv</w:t>
      </w:r>
      <w:proofErr w:type="spellEnd"/>
      <w:r w:rsidRPr="006E64EA">
        <w:rPr>
          <w:rFonts w:ascii="Arial" w:eastAsia="Calibri" w:hAnsi="Arial" w:cs="Arial"/>
          <w:bCs/>
        </w:rPr>
        <w:t xml:space="preserve">) </w:t>
      </w:r>
      <w:r w:rsidRPr="006E64EA">
        <w:rPr>
          <w:rFonts w:ascii="Arial" w:eastAsia="Calibri" w:hAnsi="Arial" w:cs="Arial"/>
        </w:rPr>
        <w:t>restricciones en los comicios de cargos de elección popular</w:t>
      </w:r>
      <w:bookmarkStart w:id="7" w:name="_Hlk76110351"/>
      <w:r w:rsidRPr="006E64EA">
        <w:rPr>
          <w:rFonts w:ascii="Arial" w:eastAsia="Calibri" w:hAnsi="Arial" w:cs="Arial"/>
        </w:rPr>
        <w:t xml:space="preserve"> y, v) </w:t>
      </w:r>
      <w:r w:rsidRPr="006E64EA">
        <w:rPr>
          <w:rFonts w:ascii="Arial" w:eastAsia="Times New Roman" w:hAnsi="Arial" w:cs="Arial"/>
          <w:bCs/>
          <w:lang w:eastAsia="es-CO"/>
        </w:rPr>
        <w:t>régimen contractual de los fondos de servicios educativos y aplicación de la Ley de Garantías.</w:t>
      </w:r>
      <w:bookmarkEnd w:id="7"/>
    </w:p>
    <w:p w14:paraId="676A7FB2" w14:textId="77777777" w:rsidR="00BA62AD" w:rsidRDefault="00BA62AD" w:rsidP="00BA62AD">
      <w:pPr>
        <w:spacing w:after="0" w:line="276" w:lineRule="auto"/>
        <w:ind w:firstLine="708"/>
        <w:jc w:val="both"/>
        <w:rPr>
          <w:rFonts w:ascii="Arial" w:eastAsia="Calibri" w:hAnsi="Arial" w:cs="Arial"/>
          <w:bCs/>
          <w:lang w:val="es-ES"/>
        </w:rPr>
      </w:pPr>
      <w:r w:rsidRPr="006E64EA">
        <w:rPr>
          <w:rFonts w:ascii="Arial" w:hAnsi="Arial" w:cs="Arial"/>
        </w:rPr>
        <w:t xml:space="preserve">La Agencia Nacional de Contratación Pública – Colombia Compra Eficiente </w:t>
      </w:r>
      <w:r w:rsidRPr="006E64EA">
        <w:rPr>
          <w:rFonts w:ascii="Arial" w:hAnsi="Arial" w:cs="Arial"/>
          <w:lang w:val="es-MX"/>
          <w14:ligatures w14:val="standardContextual"/>
        </w:rPr>
        <w:t xml:space="preserve">estudió el tema de la naturaleza jurídica de las instituciones educativas y su régimen de contratación en los conceptos con radicado No. 2201913000006285 del 27 de agosto de 2019, </w:t>
      </w:r>
      <w:hyperlink r:id="rId12" w:tgtFrame="_blank" w:history="1">
        <w:r w:rsidRPr="006E64EA">
          <w:rPr>
            <w:rFonts w:ascii="Arial" w:hAnsi="Arial" w:cs="Arial"/>
            <w:lang w:val="es-MX"/>
            <w14:ligatures w14:val="standardContextual"/>
          </w:rPr>
          <w:t>2201913000006068</w:t>
        </w:r>
      </w:hyperlink>
      <w:r w:rsidRPr="006E64EA">
        <w:rPr>
          <w:rFonts w:ascii="Arial" w:hAnsi="Arial" w:cs="Arial"/>
          <w:lang w:val="es-MX"/>
          <w14:ligatures w14:val="standardContextual"/>
        </w:rPr>
        <w:t xml:space="preserve"> del 28 de agosto de 2019, 2201913000008174 del 31 de octubre de 2019,  </w:t>
      </w:r>
      <w:hyperlink r:id="rId13" w:tgtFrame="_blank" w:history="1">
        <w:r w:rsidRPr="006E64EA">
          <w:rPr>
            <w:rFonts w:ascii="Arial" w:hAnsi="Arial" w:cs="Arial"/>
            <w:lang w:val="es-MX"/>
            <w14:ligatures w14:val="standardContextual"/>
          </w:rPr>
          <w:t>2201913000008197</w:t>
        </w:r>
      </w:hyperlink>
      <w:r w:rsidRPr="006E64EA">
        <w:rPr>
          <w:rFonts w:ascii="Arial" w:hAnsi="Arial" w:cs="Arial"/>
          <w:lang w:val="es-MX"/>
          <w14:ligatures w14:val="standardContextual"/>
        </w:rPr>
        <w:t xml:space="preserve"> del 1 de noviembre de 2019, C-399 del 23 de junio de 2020, C-574 del 28 de agosto de 2020, C-282 del 09 de mayo de 2022, C-355 del 2 de junio de 2022, C-544 del 30 de agosto de 2022, C-596 de 20 de septiembre de 2022 y C-055 del 19 de abril del 2023</w:t>
      </w:r>
      <w:r w:rsidRPr="006E64EA">
        <w:rPr>
          <w:rFonts w:ascii="Arial" w:eastAsia="Calibri" w:hAnsi="Arial" w:cs="Arial"/>
          <w:bCs/>
          <w:lang w:val="es-MX"/>
        </w:rPr>
        <w:t xml:space="preserve">. Igualmente, mediante los conceptos </w:t>
      </w:r>
      <w:r w:rsidRPr="006E64EA">
        <w:rPr>
          <w:rFonts w:ascii="Arial" w:eastAsia="Calibri" w:hAnsi="Arial" w:cs="Arial"/>
          <w:bCs/>
        </w:rPr>
        <w:t xml:space="preserve">4201912000004632 del 6 de agosto de 2019, 2201913000005655 del 8 de agosto de 2019, 2201913000006283 del 27 de agosto de 2019, 2201913000006521 del 3 de septiembre de </w:t>
      </w:r>
      <w:r w:rsidRPr="006E64EA">
        <w:rPr>
          <w:rFonts w:ascii="Arial" w:eastAsia="Calibri" w:hAnsi="Arial" w:cs="Arial"/>
          <w:bCs/>
        </w:rPr>
        <w:lastRenderedPageBreak/>
        <w:t xml:space="preserve">2019, 2201913000006634 del 6 de septiembre de 2019, C-094 del 16 de marzo de 2022, C-147 del 25 de marzo de 2022 y C-153 del 25 de marzo de 2022, ha impartido lineamientos sobre la aplicación de la Ley 996 de 2005. </w:t>
      </w:r>
      <w:r w:rsidRPr="006E64EA">
        <w:rPr>
          <w:rFonts w:ascii="Arial" w:eastAsia="Calibri" w:hAnsi="Arial" w:cs="Arial"/>
          <w:bCs/>
          <w:lang w:val="es-ES"/>
        </w:rPr>
        <w:t>Las tesis desarrolladas en estos conceptos se reiteran y complementan a continuación:</w:t>
      </w:r>
    </w:p>
    <w:p w14:paraId="7BB1C05A" w14:textId="77777777" w:rsidR="00BA62AD" w:rsidRPr="006E64EA" w:rsidRDefault="00BA62AD" w:rsidP="00BA62AD">
      <w:pPr>
        <w:spacing w:after="0" w:line="276" w:lineRule="auto"/>
        <w:ind w:firstLine="708"/>
        <w:jc w:val="both"/>
        <w:rPr>
          <w:rFonts w:ascii="Arial" w:eastAsia="Calibri" w:hAnsi="Arial" w:cs="Arial"/>
          <w:bCs/>
          <w:lang w:val="es-MX"/>
        </w:rPr>
      </w:pPr>
    </w:p>
    <w:p w14:paraId="6D2D4417" w14:textId="77777777" w:rsidR="00BA62AD" w:rsidRDefault="00BA62AD" w:rsidP="00BA62AD">
      <w:pPr>
        <w:tabs>
          <w:tab w:val="left" w:pos="426"/>
        </w:tabs>
        <w:spacing w:after="0" w:line="276" w:lineRule="auto"/>
        <w:jc w:val="both"/>
        <w:rPr>
          <w:rFonts w:ascii="Arial" w:eastAsia="Calibri" w:hAnsi="Arial" w:cs="Arial"/>
          <w:b/>
          <w:bCs/>
        </w:rPr>
      </w:pPr>
      <w:r w:rsidRPr="006E64EA">
        <w:rPr>
          <w:rFonts w:ascii="Arial" w:eastAsia="Calibri" w:hAnsi="Arial" w:cs="Arial"/>
          <w:b/>
          <w:bCs/>
        </w:rPr>
        <w:t>2.1. Definición y finalidad de la Ley de Garantías Electorales: alcance de las restricciones</w:t>
      </w:r>
    </w:p>
    <w:p w14:paraId="7C9A08E2" w14:textId="77777777" w:rsidR="00BA62AD" w:rsidRPr="006E64EA" w:rsidRDefault="00BA62AD" w:rsidP="00BA62AD">
      <w:pPr>
        <w:tabs>
          <w:tab w:val="left" w:pos="426"/>
        </w:tabs>
        <w:spacing w:after="0" w:line="276" w:lineRule="auto"/>
        <w:jc w:val="both"/>
        <w:rPr>
          <w:rFonts w:ascii="Arial" w:eastAsia="Calibri" w:hAnsi="Arial" w:cs="Arial"/>
          <w:b/>
          <w:bCs/>
        </w:rPr>
      </w:pPr>
    </w:p>
    <w:p w14:paraId="3C53C0E9" w14:textId="77777777" w:rsidR="00BA62AD" w:rsidRPr="006E64EA" w:rsidRDefault="00BA62AD" w:rsidP="00BA62AD">
      <w:pPr>
        <w:tabs>
          <w:tab w:val="left" w:pos="426"/>
        </w:tabs>
        <w:spacing w:after="120" w:line="276" w:lineRule="auto"/>
        <w:jc w:val="both"/>
        <w:rPr>
          <w:rFonts w:ascii="Arial" w:eastAsia="Times New Roman" w:hAnsi="Arial" w:cs="Arial"/>
          <w:bCs/>
          <w:lang w:eastAsia="es-CO"/>
        </w:rPr>
      </w:pPr>
      <w:r w:rsidRPr="006E64EA">
        <w:rPr>
          <w:rFonts w:ascii="Arial" w:eastAsia="Calibri" w:hAnsi="Arial" w:cs="Arial"/>
          <w:bCs/>
          <w:lang w:eastAsia="es-MX"/>
        </w:rPr>
        <w:t>El ordenamiento jurídico colombiano contempla previsiones claras para evitar la obtención de beneficios personales en asuntos propios de la administración pública</w:t>
      </w:r>
      <w:r w:rsidRPr="006E64EA">
        <w:rPr>
          <w:rFonts w:ascii="Arial" w:eastAsia="Calibri" w:hAnsi="Arial" w:cs="Arial"/>
          <w:bCs/>
          <w:i/>
          <w:iCs/>
          <w:lang w:eastAsia="es-MX"/>
        </w:rPr>
        <w:t xml:space="preserve">. </w:t>
      </w:r>
      <w:r w:rsidRPr="006E64EA">
        <w:rPr>
          <w:rFonts w:ascii="Arial" w:eastAsia="Calibri" w:hAnsi="Arial" w:cs="Arial"/>
          <w:bCs/>
          <w:lang w:eastAsia="es-MX"/>
        </w:rPr>
        <w:t>Por ejemplo, el artículo 127 de la Constitución Política establece una prohibición contractual a los servidores públicos y en cuanto a aspectos políticos consagra restricciones a ciertos empleados del Estado, incluso en época no electoral</w:t>
      </w:r>
      <w:r w:rsidRPr="006E64EA">
        <w:rPr>
          <w:rFonts w:ascii="Arial" w:eastAsia="Calibri" w:hAnsi="Arial" w:cs="Arial"/>
          <w:bCs/>
          <w:vertAlign w:val="superscript"/>
          <w:lang w:eastAsia="es-MX"/>
        </w:rPr>
        <w:footnoteReference w:id="3"/>
      </w:r>
      <w:r w:rsidRPr="006E64EA">
        <w:rPr>
          <w:rFonts w:ascii="Arial" w:eastAsia="Calibri" w:hAnsi="Arial" w:cs="Arial"/>
          <w:bCs/>
          <w:lang w:eastAsia="es-MX"/>
        </w:rPr>
        <w:t xml:space="preserve">. </w:t>
      </w:r>
    </w:p>
    <w:p w14:paraId="741C7964" w14:textId="77777777" w:rsidR="00BA62AD" w:rsidRPr="006E64EA" w:rsidRDefault="00BA62AD" w:rsidP="00BA62AD">
      <w:pPr>
        <w:tabs>
          <w:tab w:val="left" w:pos="426"/>
        </w:tabs>
        <w:spacing w:after="0" w:line="276" w:lineRule="auto"/>
        <w:ind w:firstLine="709"/>
        <w:jc w:val="both"/>
        <w:rPr>
          <w:rFonts w:ascii="Arial" w:eastAsia="Times New Roman" w:hAnsi="Arial" w:cs="Arial"/>
          <w:bCs/>
          <w:lang w:eastAsia="es-CO"/>
        </w:rPr>
      </w:pPr>
      <w:r w:rsidRPr="006E64EA">
        <w:rPr>
          <w:rFonts w:ascii="Arial" w:eastAsia="Times New Roman" w:hAnsi="Arial" w:cs="Arial"/>
          <w:bCs/>
          <w:lang w:eastAsia="es-CO"/>
        </w:rPr>
        <w:t xml:space="preserve">En el mismo sentido, </w:t>
      </w:r>
      <w:bookmarkStart w:id="8" w:name="_Hlk99576829"/>
      <w:r w:rsidRPr="006E64EA">
        <w:rPr>
          <w:rFonts w:ascii="Arial" w:eastAsia="Times New Roman" w:hAnsi="Arial" w:cs="Arial"/>
          <w:bCs/>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E64EA">
        <w:rPr>
          <w:rFonts w:ascii="Arial" w:eastAsia="Times New Roman" w:hAnsi="Arial" w:cs="Arial"/>
          <w:bCs/>
          <w:vertAlign w:val="superscript"/>
          <w:lang w:eastAsia="es-CO"/>
        </w:rPr>
        <w:footnoteReference w:id="4"/>
      </w:r>
      <w:r w:rsidRPr="006E64EA">
        <w:rPr>
          <w:rFonts w:ascii="Arial" w:eastAsia="Times New Roman"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w:t>
      </w:r>
      <w:r w:rsidRPr="006E64EA">
        <w:rPr>
          <w:rFonts w:ascii="Arial" w:eastAsia="Calibri" w:hAnsi="Arial" w:cs="Arial"/>
          <w:noProof/>
          <w:lang w:val="es-ES_tradnl" w:eastAsia="es-MX"/>
        </w:rPr>
        <w:t xml:space="preserve"> </w:t>
      </w:r>
      <w:bookmarkEnd w:id="8"/>
      <w:r w:rsidRPr="006E64EA">
        <w:rPr>
          <w:rFonts w:ascii="Arial" w:eastAsia="Times New Roman" w:hAnsi="Arial" w:cs="Arial"/>
          <w:bCs/>
          <w:lang w:eastAsia="es-CO"/>
        </w:rPr>
        <w:t>En armonía con lo anterior, la Corte Constitucional ha abordado la definición de la Ley de Garantías Electorales. De esta manera, explica que tiene como propósito:</w:t>
      </w:r>
    </w:p>
    <w:p w14:paraId="0369EDDD" w14:textId="77777777" w:rsidR="00BA62AD" w:rsidRPr="006E64EA" w:rsidRDefault="00BA62AD" w:rsidP="00BA62AD">
      <w:pPr>
        <w:spacing w:after="0" w:line="276" w:lineRule="auto"/>
        <w:ind w:right="709"/>
        <w:contextualSpacing/>
        <w:jc w:val="both"/>
        <w:rPr>
          <w:rFonts w:ascii="Arial" w:eastAsia="Times New Roman" w:hAnsi="Arial" w:cs="Arial"/>
          <w:lang w:val="es-ES" w:eastAsia="es-CO"/>
        </w:rPr>
      </w:pPr>
    </w:p>
    <w:p w14:paraId="11D6E691" w14:textId="77777777" w:rsidR="00BA62AD" w:rsidRDefault="00BA62AD" w:rsidP="00BA62AD">
      <w:pPr>
        <w:spacing w:after="0" w:line="240" w:lineRule="auto"/>
        <w:ind w:left="709" w:right="709"/>
        <w:contextualSpacing/>
        <w:jc w:val="both"/>
        <w:rPr>
          <w:rFonts w:ascii="Arial" w:eastAsia="Times New Roman" w:hAnsi="Arial" w:cs="Arial"/>
          <w:bCs/>
          <w:sz w:val="21"/>
          <w:szCs w:val="21"/>
          <w:lang w:eastAsia="es-CO"/>
        </w:rPr>
      </w:pPr>
      <w:r w:rsidRPr="006E64EA">
        <w:rPr>
          <w:rFonts w:ascii="Arial" w:eastAsia="Times New Roman" w:hAnsi="Arial" w:cs="Arial"/>
          <w:sz w:val="21"/>
          <w:szCs w:val="21"/>
          <w:lang w:val="es-ES" w:eastAsia="es-CO"/>
        </w:rPr>
        <w:t xml:space="preserve">[…] </w:t>
      </w:r>
      <w:r w:rsidRPr="006E64EA">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C5813C0" w14:textId="77777777" w:rsidR="00BA62AD" w:rsidRPr="006E64EA" w:rsidRDefault="00BA62AD" w:rsidP="00BA62AD">
      <w:pPr>
        <w:spacing w:after="0" w:line="240" w:lineRule="auto"/>
        <w:ind w:left="709" w:right="709"/>
        <w:contextualSpacing/>
        <w:jc w:val="both"/>
        <w:rPr>
          <w:rFonts w:ascii="Arial" w:eastAsia="Times New Roman" w:hAnsi="Arial" w:cs="Arial"/>
          <w:bCs/>
          <w:sz w:val="21"/>
          <w:szCs w:val="21"/>
          <w:lang w:eastAsia="es-CO"/>
        </w:rPr>
      </w:pPr>
    </w:p>
    <w:p w14:paraId="59FAAD1A" w14:textId="77777777" w:rsidR="00BA62AD" w:rsidRPr="006E64EA" w:rsidRDefault="00BA62AD" w:rsidP="00BA62AD">
      <w:pPr>
        <w:spacing w:line="240" w:lineRule="auto"/>
        <w:ind w:left="709" w:right="709"/>
        <w:contextualSpacing/>
        <w:jc w:val="both"/>
        <w:rPr>
          <w:rFonts w:ascii="Arial" w:eastAsia="Times New Roman" w:hAnsi="Arial" w:cs="Arial"/>
          <w:bCs/>
          <w:sz w:val="21"/>
          <w:szCs w:val="21"/>
          <w:lang w:eastAsia="es-CO"/>
        </w:rPr>
      </w:pPr>
      <w:r w:rsidRPr="006E64EA">
        <w:rPr>
          <w:rFonts w:ascii="Arial" w:eastAsia="Times New Roman" w:hAnsi="Arial" w:cs="Arial"/>
          <w:bCs/>
          <w:sz w:val="21"/>
          <w:szCs w:val="21"/>
          <w:lang w:eastAsia="es-CO"/>
        </w:rPr>
        <w:t xml:space="preserve">[…] </w:t>
      </w:r>
    </w:p>
    <w:p w14:paraId="00CF9E22" w14:textId="77777777" w:rsidR="00BA62AD" w:rsidRPr="006E64EA" w:rsidRDefault="00BA62AD" w:rsidP="00BA62AD">
      <w:pPr>
        <w:spacing w:after="0" w:line="240" w:lineRule="auto"/>
        <w:ind w:right="709"/>
        <w:contextualSpacing/>
        <w:jc w:val="both"/>
        <w:rPr>
          <w:rFonts w:ascii="Arial" w:eastAsia="Times New Roman" w:hAnsi="Arial" w:cs="Arial"/>
          <w:bCs/>
          <w:sz w:val="21"/>
          <w:szCs w:val="21"/>
          <w:lang w:eastAsia="es-CO"/>
        </w:rPr>
      </w:pPr>
    </w:p>
    <w:p w14:paraId="37F2301B" w14:textId="77777777" w:rsidR="00BA62AD" w:rsidRPr="006E64EA" w:rsidRDefault="00BA62AD" w:rsidP="00BA62AD">
      <w:pPr>
        <w:spacing w:line="240" w:lineRule="auto"/>
        <w:ind w:left="709" w:right="709"/>
        <w:contextualSpacing/>
        <w:jc w:val="both"/>
        <w:rPr>
          <w:rFonts w:ascii="Arial" w:eastAsia="Times New Roman" w:hAnsi="Arial" w:cs="Arial"/>
          <w:bCs/>
          <w:sz w:val="21"/>
          <w:szCs w:val="21"/>
          <w:lang w:eastAsia="es-CO"/>
        </w:rPr>
      </w:pPr>
      <w:r w:rsidRPr="006E64EA">
        <w:rPr>
          <w:rFonts w:ascii="Arial" w:eastAsia="Times New Roman"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w:t>
      </w:r>
      <w:r w:rsidRPr="006E64EA">
        <w:rPr>
          <w:rFonts w:ascii="Arial" w:eastAsia="Times New Roman" w:hAnsi="Arial" w:cs="Arial"/>
          <w:bCs/>
          <w:sz w:val="21"/>
          <w:szCs w:val="21"/>
          <w:lang w:eastAsia="es-CO"/>
        </w:rPr>
        <w:lastRenderedPageBreak/>
        <w:t>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E64EA">
        <w:rPr>
          <w:rFonts w:ascii="Arial" w:eastAsia="Calibri" w:hAnsi="Arial" w:cs="Arial"/>
          <w:sz w:val="20"/>
          <w:szCs w:val="20"/>
          <w:vertAlign w:val="superscript"/>
          <w:lang w:eastAsia="es-MX"/>
        </w:rPr>
        <w:footnoteReference w:id="5"/>
      </w:r>
    </w:p>
    <w:p w14:paraId="612C46A9" w14:textId="77777777" w:rsidR="00BA62AD" w:rsidRPr="006E64EA" w:rsidRDefault="00BA62AD" w:rsidP="00BA62AD">
      <w:pPr>
        <w:spacing w:line="276" w:lineRule="auto"/>
        <w:ind w:left="709" w:right="709"/>
        <w:contextualSpacing/>
        <w:jc w:val="both"/>
        <w:rPr>
          <w:rFonts w:ascii="Arial" w:eastAsia="Times New Roman" w:hAnsi="Arial" w:cs="Arial"/>
          <w:bCs/>
          <w:lang w:eastAsia="es-CO"/>
        </w:rPr>
      </w:pPr>
    </w:p>
    <w:p w14:paraId="7A9FB84D" w14:textId="77777777" w:rsidR="00BA62AD" w:rsidRDefault="00BA62AD" w:rsidP="00BA62AD">
      <w:pPr>
        <w:spacing w:after="0" w:line="276" w:lineRule="auto"/>
        <w:ind w:firstLine="709"/>
        <w:jc w:val="both"/>
        <w:rPr>
          <w:rFonts w:ascii="Arial" w:eastAsia="Times New Roman" w:hAnsi="Arial" w:cs="Arial"/>
          <w:bCs/>
          <w:lang w:eastAsia="es-CO"/>
        </w:rPr>
      </w:pPr>
      <w:r w:rsidRPr="006E64EA">
        <w:rPr>
          <w:rFonts w:ascii="Arial" w:eastAsia="Times New Roman" w:hAnsi="Arial" w:cs="Arial"/>
          <w:bCs/>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5C6E6C4A" w14:textId="77777777" w:rsidR="00BA62AD" w:rsidRPr="006E64EA" w:rsidRDefault="00BA62AD" w:rsidP="00BA62AD">
      <w:pPr>
        <w:spacing w:after="0" w:line="276" w:lineRule="auto"/>
        <w:ind w:firstLine="709"/>
        <w:jc w:val="both"/>
        <w:rPr>
          <w:rFonts w:ascii="Arial" w:eastAsia="Times New Roman" w:hAnsi="Arial" w:cs="Arial"/>
          <w:bCs/>
          <w:lang w:eastAsia="es-CO"/>
        </w:rPr>
      </w:pPr>
    </w:p>
    <w:p w14:paraId="133D38B7" w14:textId="77777777" w:rsidR="00BA62AD" w:rsidRPr="006E64EA" w:rsidRDefault="00BA62AD" w:rsidP="00BA62AD">
      <w:pPr>
        <w:spacing w:after="0" w:line="240" w:lineRule="auto"/>
        <w:ind w:left="709" w:right="709"/>
        <w:contextualSpacing/>
        <w:jc w:val="both"/>
        <w:rPr>
          <w:rFonts w:ascii="Arial" w:eastAsia="Times New Roman" w:hAnsi="Arial" w:cs="Arial"/>
          <w:bCs/>
          <w:sz w:val="21"/>
          <w:szCs w:val="21"/>
          <w:lang w:eastAsia="es-CO"/>
        </w:rPr>
      </w:pPr>
      <w:r w:rsidRPr="006E64EA">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E64EA">
        <w:rPr>
          <w:rFonts w:ascii="Arial" w:eastAsia="Times New Roman" w:hAnsi="Arial" w:cs="Arial"/>
          <w:bCs/>
          <w:sz w:val="21"/>
          <w:szCs w:val="21"/>
          <w:lang w:eastAsia="es-CO"/>
        </w:rPr>
        <w:t>legis</w:t>
      </w:r>
      <w:proofErr w:type="spellEnd"/>
      <w:r w:rsidRPr="006E64EA">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EB57230" w14:textId="77777777" w:rsidR="00BA62AD" w:rsidRPr="006E64EA" w:rsidRDefault="00BA62AD" w:rsidP="00BA62AD">
      <w:pPr>
        <w:spacing w:line="240" w:lineRule="auto"/>
        <w:ind w:left="709" w:right="709"/>
        <w:contextualSpacing/>
        <w:jc w:val="both"/>
        <w:rPr>
          <w:rFonts w:ascii="Arial" w:eastAsia="Times New Roman" w:hAnsi="Arial" w:cs="Arial"/>
          <w:bCs/>
          <w:sz w:val="21"/>
          <w:szCs w:val="21"/>
          <w:lang w:eastAsia="es-CO"/>
        </w:rPr>
      </w:pPr>
    </w:p>
    <w:p w14:paraId="01EA6DA3" w14:textId="77777777" w:rsidR="00BA62AD" w:rsidRPr="006E64EA" w:rsidRDefault="00BA62AD" w:rsidP="00BA62AD">
      <w:pPr>
        <w:spacing w:line="240" w:lineRule="auto"/>
        <w:ind w:left="709" w:right="709"/>
        <w:contextualSpacing/>
        <w:jc w:val="both"/>
        <w:rPr>
          <w:rFonts w:ascii="Arial" w:eastAsia="Times New Roman" w:hAnsi="Arial" w:cs="Arial"/>
          <w:bCs/>
          <w:sz w:val="21"/>
          <w:szCs w:val="21"/>
          <w:lang w:eastAsia="es-CO"/>
        </w:rPr>
      </w:pPr>
      <w:r w:rsidRPr="006E64EA">
        <w:rPr>
          <w:rFonts w:ascii="Arial" w:eastAsia="Times New Roman" w:hAnsi="Arial" w:cs="Arial"/>
          <w:bCs/>
          <w:sz w:val="21"/>
          <w:szCs w:val="21"/>
          <w:lang w:eastAsia="es-CO"/>
        </w:rPr>
        <w:t>La jurisprudencia de la Corte Constitucional</w:t>
      </w:r>
      <w:r w:rsidRPr="006E64EA">
        <w:rPr>
          <w:rFonts w:ascii="Arial" w:eastAsia="Times New Roman" w:hAnsi="Arial" w:cs="Arial"/>
          <w:bCs/>
          <w:sz w:val="21"/>
          <w:szCs w:val="21"/>
          <w:vertAlign w:val="superscript"/>
          <w:lang w:eastAsia="es-CO"/>
        </w:rPr>
        <w:footnoteReference w:id="6"/>
      </w:r>
      <w:r w:rsidRPr="006E64EA">
        <w:rPr>
          <w:rFonts w:ascii="Arial" w:eastAsia="Times New Roman" w:hAnsi="Arial" w:cs="Arial"/>
          <w:bCs/>
          <w:sz w:val="21"/>
          <w:szCs w:val="21"/>
          <w:lang w:eastAsia="es-CO"/>
        </w:rPr>
        <w:t> y del Consejo de Estado</w:t>
      </w:r>
      <w:r w:rsidRPr="006E64EA">
        <w:rPr>
          <w:rFonts w:ascii="Arial" w:eastAsia="Times New Roman" w:hAnsi="Arial" w:cs="Arial"/>
          <w:bCs/>
          <w:sz w:val="21"/>
          <w:szCs w:val="21"/>
          <w:vertAlign w:val="superscript"/>
          <w:lang w:eastAsia="es-CO"/>
        </w:rPr>
        <w:footnoteReference w:id="7"/>
      </w:r>
      <w:r w:rsidRPr="006E64EA">
        <w:rPr>
          <w:rFonts w:ascii="Arial" w:eastAsia="Times New Roman"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E64EA">
        <w:rPr>
          <w:rFonts w:ascii="Arial" w:eastAsia="Times New Roman" w:hAnsi="Arial" w:cs="Arial"/>
          <w:bCs/>
          <w:szCs w:val="24"/>
          <w:vertAlign w:val="superscript"/>
          <w:lang w:eastAsia="es-CO"/>
        </w:rPr>
        <w:footnoteReference w:id="8"/>
      </w:r>
      <w:r w:rsidRPr="006E64EA">
        <w:rPr>
          <w:rFonts w:ascii="Arial" w:eastAsia="Times New Roman" w:hAnsi="Arial" w:cs="Arial"/>
          <w:bCs/>
          <w:sz w:val="21"/>
          <w:szCs w:val="21"/>
          <w:lang w:eastAsia="es-CO"/>
        </w:rPr>
        <w:t>.</w:t>
      </w:r>
    </w:p>
    <w:p w14:paraId="197CC3A9" w14:textId="77777777" w:rsidR="00BA62AD" w:rsidRPr="006E64EA" w:rsidRDefault="00BA62AD" w:rsidP="00BA62AD">
      <w:pPr>
        <w:spacing w:line="276" w:lineRule="auto"/>
        <w:ind w:right="709"/>
        <w:contextualSpacing/>
        <w:jc w:val="both"/>
        <w:rPr>
          <w:rFonts w:ascii="Arial" w:eastAsia="Times New Roman" w:hAnsi="Arial" w:cs="Arial"/>
          <w:bCs/>
          <w:lang w:eastAsia="es-CO"/>
        </w:rPr>
      </w:pPr>
    </w:p>
    <w:p w14:paraId="626ADBC6" w14:textId="77777777" w:rsidR="00BA62AD" w:rsidRPr="006E64EA" w:rsidRDefault="00BA62AD" w:rsidP="00BA62AD">
      <w:pPr>
        <w:spacing w:after="120" w:line="276" w:lineRule="auto"/>
        <w:jc w:val="both"/>
        <w:rPr>
          <w:rFonts w:ascii="Arial" w:eastAsia="Arial" w:hAnsi="Arial" w:cs="Arial"/>
          <w:lang w:val="es-ES" w:eastAsia="es-ES" w:bidi="es-ES"/>
        </w:rPr>
      </w:pPr>
      <w:r w:rsidRPr="006E64EA">
        <w:rPr>
          <w:rFonts w:ascii="Arial" w:eastAsia="Times New Roman" w:hAnsi="Arial" w:cs="Arial"/>
          <w:bCs/>
          <w:lang w:eastAsia="es-CO"/>
        </w:rPr>
        <w:lastRenderedPageBreak/>
        <w:tab/>
        <w:t>De</w:t>
      </w:r>
      <w:r w:rsidRPr="006E64EA">
        <w:rPr>
          <w:rFonts w:ascii="Arial" w:eastAsia="Arial" w:hAnsi="Arial" w:cs="Arial"/>
          <w:lang w:val="es-ES" w:eastAsia="es-ES" w:bidi="es-ES"/>
        </w:rPr>
        <w:t xml:space="preserve"> conformidad con lo anterior, 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p>
    <w:p w14:paraId="387E204F" w14:textId="77777777" w:rsidR="00BA62AD" w:rsidRPr="006E64EA" w:rsidRDefault="00BA62AD" w:rsidP="00BA62AD">
      <w:pPr>
        <w:spacing w:after="120" w:line="276" w:lineRule="auto"/>
        <w:ind w:firstLine="708"/>
        <w:jc w:val="both"/>
        <w:rPr>
          <w:rFonts w:ascii="Arial" w:eastAsia="Calibri" w:hAnsi="Arial" w:cs="Arial"/>
          <w:lang w:eastAsia="es-MX"/>
        </w:rPr>
      </w:pPr>
      <w:r w:rsidRPr="006E64EA">
        <w:rPr>
          <w:rFonts w:ascii="Arial" w:eastAsia="Calibri" w:hAnsi="Arial" w:cs="Arial"/>
          <w:lang w:eastAsia="es-MX"/>
        </w:rPr>
        <w:t xml:space="preserve">Por un lado, el artículo 33 de la Ley 996 de 2005 prohíbe </w:t>
      </w:r>
      <w:r>
        <w:rPr>
          <w:rFonts w:ascii="Arial" w:eastAsia="Calibri" w:hAnsi="Arial" w:cs="Arial"/>
          <w:bCs/>
          <w:lang w:eastAsia="es-MX"/>
        </w:rPr>
        <w:t>“</w:t>
      </w:r>
      <w:r w:rsidRPr="006E64EA">
        <w:rPr>
          <w:rFonts w:ascii="Arial" w:eastAsia="Calibri" w:hAnsi="Arial" w:cs="Arial"/>
          <w:bCs/>
          <w:lang w:eastAsia="es-MX"/>
        </w:rPr>
        <w:t xml:space="preserve">[…] </w:t>
      </w:r>
      <w:r w:rsidRPr="006E64EA">
        <w:rPr>
          <w:rFonts w:ascii="Arial" w:eastAsia="Calibri" w:hAnsi="Arial" w:cs="Arial"/>
          <w:lang w:eastAsia="es-MX"/>
        </w:rPr>
        <w:t>la contratación directa por parte de todos los entes del Estado</w:t>
      </w:r>
      <w:r w:rsidRPr="006E64EA">
        <w:rPr>
          <w:rFonts w:ascii="Arial" w:eastAsia="Calibri" w:hAnsi="Arial" w:cs="Arial"/>
          <w:bCs/>
          <w:lang w:eastAsia="es-MX"/>
        </w:rPr>
        <w:t>»</w:t>
      </w:r>
      <w:r w:rsidRPr="006E64EA">
        <w:rPr>
          <w:rFonts w:ascii="Arial" w:eastAsia="Calibri" w:hAnsi="Arial" w:cs="Arial"/>
          <w:lang w:eastAsia="es-MX"/>
        </w:rPr>
        <w:t xml:space="preserve"> durante los cuatro (4) meses anteriores a las elecciones presidenciales, salvo </w:t>
      </w:r>
      <w:r>
        <w:rPr>
          <w:rFonts w:ascii="Arial" w:eastAsia="Calibri" w:hAnsi="Arial" w:cs="Arial"/>
          <w:bCs/>
          <w:lang w:eastAsia="es-MX"/>
        </w:rPr>
        <w:t>“</w:t>
      </w:r>
      <w:r w:rsidRPr="006E64EA">
        <w:rPr>
          <w:rFonts w:ascii="Arial" w:eastAsia="Calibri" w:hAnsi="Arial" w:cs="Arial"/>
          <w:bCs/>
          <w:lang w:eastAsia="es-MX"/>
        </w:rPr>
        <w:t xml:space="preserve">[…] </w:t>
      </w:r>
      <w:r w:rsidRPr="006E64EA">
        <w:rPr>
          <w:rFonts w:ascii="Arial" w:eastAsia="Calibri" w:hAnsi="Arial" w:cs="Arial"/>
          <w:lang w:eastAsia="es-MX"/>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bCs/>
          <w:lang w:eastAsia="es-MX"/>
        </w:rPr>
        <w:t>”</w:t>
      </w:r>
      <w:r w:rsidRPr="006E64EA">
        <w:rPr>
          <w:rFonts w:ascii="Arial" w:eastAsia="Calibri" w:hAnsi="Arial" w:cs="Arial"/>
          <w:bCs/>
          <w:vertAlign w:val="superscript"/>
          <w:lang w:eastAsia="es-MX"/>
        </w:rPr>
        <w:footnoteReference w:id="9"/>
      </w:r>
      <w:r w:rsidRPr="006E64EA">
        <w:rPr>
          <w:rFonts w:ascii="Arial" w:eastAsia="Calibri" w:hAnsi="Arial" w:cs="Arial"/>
          <w:lang w:eastAsia="es-MX"/>
        </w:rPr>
        <w:t>.</w:t>
      </w:r>
    </w:p>
    <w:p w14:paraId="59AA4752" w14:textId="77777777" w:rsidR="00BA62AD" w:rsidRPr="006E64EA" w:rsidRDefault="00BA62AD" w:rsidP="00BA62AD">
      <w:pPr>
        <w:widowControl w:val="0"/>
        <w:autoSpaceDE w:val="0"/>
        <w:autoSpaceDN w:val="0"/>
        <w:spacing w:line="276" w:lineRule="auto"/>
        <w:ind w:right="113" w:firstLine="708"/>
        <w:contextualSpacing/>
        <w:jc w:val="both"/>
        <w:rPr>
          <w:rFonts w:ascii="Arial" w:eastAsia="Arial" w:hAnsi="Arial" w:cs="Arial"/>
          <w:lang w:val="es-ES" w:eastAsia="es-ES" w:bidi="es-ES"/>
        </w:rPr>
      </w:pPr>
      <w:r w:rsidRPr="006E64EA">
        <w:rPr>
          <w:rFonts w:ascii="Arial" w:eastAsia="Calibri" w:hAnsi="Arial" w:cs="Arial"/>
          <w:lang w:eastAsia="es-MX"/>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Pr>
          <w:rFonts w:ascii="Arial" w:eastAsia="Calibri" w:hAnsi="Arial" w:cs="Arial"/>
          <w:bCs/>
          <w:lang w:eastAsia="es-MX"/>
        </w:rPr>
        <w:t>“</w:t>
      </w:r>
      <w:r w:rsidRPr="006E64EA">
        <w:rPr>
          <w:rFonts w:ascii="Arial" w:eastAsia="Calibri" w:hAnsi="Arial" w:cs="Arial"/>
          <w:bCs/>
          <w:lang w:eastAsia="es-MX"/>
        </w:rPr>
        <w:t xml:space="preserve">[…] </w:t>
      </w:r>
      <w:r w:rsidRPr="006E64EA">
        <w:rPr>
          <w:rFonts w:ascii="Arial" w:eastAsia="Calibri" w:hAnsi="Arial" w:cs="Arial"/>
          <w:lang w:eastAsia="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bCs/>
          <w:lang w:eastAsia="es-MX"/>
        </w:rPr>
        <w:t>”</w:t>
      </w:r>
      <w:r w:rsidRPr="006E64EA">
        <w:rPr>
          <w:rFonts w:ascii="Arial" w:eastAsia="Calibri" w:hAnsi="Arial" w:cs="Arial"/>
          <w:bCs/>
          <w:vertAlign w:val="superscript"/>
          <w:lang w:eastAsia="es-MX"/>
        </w:rPr>
        <w:footnoteReference w:id="10"/>
      </w:r>
      <w:r w:rsidRPr="006E64EA">
        <w:rPr>
          <w:rFonts w:ascii="Arial" w:eastAsia="Calibri" w:hAnsi="Arial" w:cs="Arial"/>
          <w:lang w:eastAsia="es-MX"/>
        </w:rPr>
        <w:t>.</w:t>
      </w:r>
      <w:r w:rsidRPr="006E64EA">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747EFFB5" w14:textId="77777777" w:rsidR="00BA62AD" w:rsidRPr="006E64EA" w:rsidRDefault="00BA62AD" w:rsidP="00BA62AD">
      <w:pPr>
        <w:widowControl w:val="0"/>
        <w:autoSpaceDE w:val="0"/>
        <w:autoSpaceDN w:val="0"/>
        <w:spacing w:line="276" w:lineRule="auto"/>
        <w:ind w:left="805" w:right="812"/>
        <w:contextualSpacing/>
        <w:jc w:val="both"/>
        <w:rPr>
          <w:rFonts w:ascii="Arial" w:eastAsia="Arial" w:hAnsi="Arial" w:cs="Arial"/>
          <w:lang w:val="es-ES" w:eastAsia="es-ES" w:bidi="es-ES"/>
        </w:rPr>
      </w:pPr>
    </w:p>
    <w:p w14:paraId="4724CAAC" w14:textId="77777777" w:rsidR="00BA62AD" w:rsidRPr="006E64EA" w:rsidRDefault="00BA62AD" w:rsidP="00BA62AD">
      <w:pPr>
        <w:widowControl w:val="0"/>
        <w:autoSpaceDE w:val="0"/>
        <w:autoSpaceDN w:val="0"/>
        <w:spacing w:line="240" w:lineRule="auto"/>
        <w:ind w:left="709" w:right="709"/>
        <w:contextualSpacing/>
        <w:jc w:val="both"/>
        <w:rPr>
          <w:rFonts w:ascii="Arial" w:eastAsia="Arial" w:hAnsi="Arial" w:cs="Arial"/>
          <w:sz w:val="21"/>
          <w:szCs w:val="21"/>
          <w:lang w:val="es-ES" w:eastAsia="es-ES" w:bidi="es-ES"/>
        </w:rPr>
      </w:pPr>
      <w:r w:rsidRPr="006E64EA">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E64EA">
        <w:rPr>
          <w:rFonts w:ascii="Arial" w:eastAsia="Arial" w:hAnsi="Arial" w:cs="Arial"/>
          <w:bCs/>
          <w:sz w:val="21"/>
          <w:szCs w:val="21"/>
          <w:lang w:val="es-ES" w:eastAsia="es-ES" w:bidi="es-ES"/>
        </w:rPr>
        <w:t xml:space="preserve">En cambio, para elecciones en general, excluyendo las correspondientes a </w:t>
      </w:r>
      <w:proofErr w:type="gramStart"/>
      <w:r w:rsidRPr="006E64EA">
        <w:rPr>
          <w:rFonts w:ascii="Arial" w:eastAsia="Arial" w:hAnsi="Arial" w:cs="Arial"/>
          <w:bCs/>
          <w:sz w:val="21"/>
          <w:szCs w:val="21"/>
          <w:lang w:val="es-ES" w:eastAsia="es-ES" w:bidi="es-ES"/>
        </w:rPr>
        <w:t>Presidente</w:t>
      </w:r>
      <w:proofErr w:type="gramEnd"/>
      <w:r w:rsidRPr="006E64EA">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6E64EA">
        <w:rPr>
          <w:rFonts w:ascii="Arial" w:eastAsia="Arial" w:hAnsi="Arial" w:cs="Arial"/>
          <w:sz w:val="21"/>
          <w:szCs w:val="21"/>
          <w:vertAlign w:val="superscript"/>
          <w:lang w:val="es-ES" w:eastAsia="es-ES" w:bidi="es-ES"/>
        </w:rPr>
        <w:footnoteReference w:id="11"/>
      </w:r>
      <w:r w:rsidRPr="006E64EA">
        <w:rPr>
          <w:rFonts w:ascii="Arial" w:eastAsia="Arial" w:hAnsi="Arial" w:cs="Arial"/>
          <w:sz w:val="21"/>
          <w:szCs w:val="21"/>
          <w:lang w:val="es-ES" w:eastAsia="es-ES" w:bidi="es-ES"/>
        </w:rPr>
        <w:t>.</w:t>
      </w:r>
    </w:p>
    <w:p w14:paraId="69801581" w14:textId="77777777" w:rsidR="00BA62AD" w:rsidRPr="006E64EA" w:rsidRDefault="00BA62AD" w:rsidP="00BA62AD">
      <w:pPr>
        <w:widowControl w:val="0"/>
        <w:autoSpaceDE w:val="0"/>
        <w:autoSpaceDN w:val="0"/>
        <w:spacing w:line="276" w:lineRule="auto"/>
        <w:contextualSpacing/>
        <w:rPr>
          <w:rFonts w:ascii="Arial" w:eastAsia="Arial" w:hAnsi="Arial" w:cs="Arial"/>
          <w:lang w:val="es-ES" w:eastAsia="es-ES" w:bidi="es-ES"/>
        </w:rPr>
      </w:pPr>
    </w:p>
    <w:p w14:paraId="71C5DAB7" w14:textId="77777777" w:rsidR="00BA62AD" w:rsidRPr="006E64EA" w:rsidRDefault="00BA62AD" w:rsidP="00BA62AD">
      <w:pPr>
        <w:spacing w:after="120" w:line="276" w:lineRule="auto"/>
        <w:ind w:firstLine="709"/>
        <w:jc w:val="both"/>
        <w:rPr>
          <w:rFonts w:ascii="Arial" w:eastAsia="Arial" w:hAnsi="Arial" w:cs="Arial"/>
          <w:lang w:val="es-ES" w:eastAsia="es-ES" w:bidi="es-ES"/>
        </w:rPr>
      </w:pPr>
      <w:r w:rsidRPr="006E64EA">
        <w:rPr>
          <w:rFonts w:ascii="Arial" w:eastAsia="Arial" w:hAnsi="Arial" w:cs="Arial"/>
          <w:lang w:val="es-ES" w:eastAsia="es-ES" w:bidi="es-ES"/>
        </w:rPr>
        <w:t xml:space="preserve">De conformidad con lo anterior, la Ley 996 de 2005 establece dos (2) tipos de restricciones en materia de contratación, las cuales coinciden parcialmente. </w:t>
      </w:r>
      <w:r w:rsidRPr="006E64EA">
        <w:rPr>
          <w:rFonts w:ascii="Arial" w:eastAsia="Arial" w:hAnsi="Arial" w:cs="Arial"/>
          <w:i/>
          <w:iCs/>
          <w:lang w:val="es-ES" w:eastAsia="es-ES" w:bidi="es-ES"/>
        </w:rPr>
        <w:t>En primer lugar</w:t>
      </w:r>
      <w:r w:rsidRPr="006E64EA">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E64EA">
        <w:rPr>
          <w:rFonts w:ascii="Arial" w:eastAsia="Arial" w:hAnsi="Arial" w:cs="Arial"/>
          <w:i/>
          <w:iCs/>
          <w:lang w:val="es-ES" w:eastAsia="es-ES" w:bidi="es-ES"/>
        </w:rPr>
        <w:t>En segundo lugar</w:t>
      </w:r>
      <w:r w:rsidRPr="006E64EA">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E648B0D" w14:textId="77777777" w:rsidR="00BA62AD" w:rsidRPr="006E64EA" w:rsidRDefault="00BA62AD" w:rsidP="00BA62AD">
      <w:pPr>
        <w:spacing w:after="120" w:line="276" w:lineRule="auto"/>
        <w:ind w:firstLine="709"/>
        <w:jc w:val="both"/>
        <w:rPr>
          <w:rFonts w:ascii="Arial" w:eastAsia="Arial" w:hAnsi="Arial" w:cs="Arial"/>
          <w:lang w:val="es-ES" w:eastAsia="es-ES" w:bidi="es-ES"/>
        </w:rPr>
      </w:pPr>
      <w:r w:rsidRPr="006E64EA">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6E64EA">
        <w:rPr>
          <w:rFonts w:ascii="Arial" w:eastAsia="Arial" w:hAnsi="Arial" w:cs="Arial"/>
          <w:lang w:val="es-ES" w:eastAsia="es-ES" w:bidi="es-ES"/>
        </w:rPr>
        <w:t>Presidente</w:t>
      </w:r>
      <w:proofErr w:type="gramEnd"/>
      <w:r w:rsidRPr="006E64EA">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6E64EA">
        <w:rPr>
          <w:rFonts w:ascii="Arial" w:eastAsia="Arial" w:hAnsi="Arial" w:cs="Arial"/>
          <w:lang w:val="es-ES" w:eastAsia="es-ES" w:bidi="es-ES"/>
        </w:rPr>
        <w:t>Presidente</w:t>
      </w:r>
      <w:proofErr w:type="gramEnd"/>
      <w:r w:rsidRPr="006E64EA">
        <w:rPr>
          <w:rFonts w:ascii="Arial" w:eastAsia="Arial" w:hAnsi="Arial" w:cs="Arial"/>
          <w:lang w:val="es-ES" w:eastAsia="es-ES" w:bidi="es-ES"/>
        </w:rPr>
        <w:t xml:space="preserve"> de la República, las autoridades allí mencionadas solo deben aplicar las restricciones contenidas en el parágrafo del artículo 38.</w:t>
      </w:r>
    </w:p>
    <w:p w14:paraId="02375335" w14:textId="77777777" w:rsidR="00BA62AD" w:rsidRDefault="00BA62AD" w:rsidP="00BA62AD">
      <w:pPr>
        <w:spacing w:after="0" w:line="276" w:lineRule="auto"/>
        <w:ind w:firstLine="708"/>
        <w:jc w:val="both"/>
        <w:rPr>
          <w:rFonts w:ascii="Arial" w:eastAsia="Arial" w:hAnsi="Arial" w:cs="Arial"/>
          <w:lang w:val="es-ES" w:eastAsia="es-ES" w:bidi="es-ES"/>
        </w:rPr>
      </w:pPr>
      <w:r w:rsidRPr="006E64EA">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6E64EA">
        <w:rPr>
          <w:rFonts w:ascii="Arial" w:eastAsia="Arial" w:hAnsi="Arial" w:cs="Arial"/>
          <w:lang w:val="es-ES" w:eastAsia="es-ES" w:bidi="es-ES"/>
        </w:rPr>
        <w:t>Presidente</w:t>
      </w:r>
      <w:proofErr w:type="gramEnd"/>
      <w:r w:rsidRPr="006E64EA">
        <w:rPr>
          <w:rFonts w:ascii="Arial" w:eastAsia="Arial" w:hAnsi="Arial" w:cs="Arial"/>
          <w:lang w:val="es-ES" w:eastAsia="es-ES" w:bidi="es-ES"/>
        </w:rPr>
        <w:t xml:space="preserve"> o el Vicepresidente desde que éstos –estando en ejercicio de su cargo– manifiesten </w:t>
      </w:r>
      <w:r w:rsidRPr="006E64EA">
        <w:rPr>
          <w:rFonts w:ascii="Arial" w:eastAsia="Arial" w:hAnsi="Arial" w:cs="Arial"/>
          <w:lang w:val="es-ES" w:eastAsia="es-ES" w:bidi="es-ES"/>
        </w:rPr>
        <w:lastRenderedPageBreak/>
        <w:t xml:space="preserve">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F7FD7CC" w14:textId="77777777" w:rsidR="00BA62AD" w:rsidRPr="006E64EA" w:rsidRDefault="00BA62AD" w:rsidP="00BA62AD">
      <w:pPr>
        <w:spacing w:after="0" w:line="276" w:lineRule="auto"/>
        <w:ind w:firstLine="708"/>
        <w:jc w:val="both"/>
        <w:rPr>
          <w:rFonts w:ascii="Arial" w:eastAsia="Arial" w:hAnsi="Arial" w:cs="Arial"/>
          <w:lang w:val="es-ES" w:eastAsia="es-ES" w:bidi="es-ES"/>
        </w:rPr>
      </w:pPr>
    </w:p>
    <w:p w14:paraId="068661CA" w14:textId="77777777" w:rsidR="00BA62AD" w:rsidRDefault="00BA62AD" w:rsidP="00BA62AD">
      <w:pPr>
        <w:spacing w:after="0" w:line="276" w:lineRule="auto"/>
        <w:jc w:val="both"/>
        <w:rPr>
          <w:rFonts w:ascii="Arial" w:eastAsia="Times New Roman" w:hAnsi="Arial" w:cs="Arial"/>
          <w:b/>
          <w:bCs/>
          <w:lang w:eastAsia="es-CO"/>
        </w:rPr>
      </w:pPr>
      <w:r w:rsidRPr="006E64EA">
        <w:rPr>
          <w:rFonts w:ascii="Arial" w:eastAsia="Times New Roman" w:hAnsi="Arial" w:cs="Arial"/>
          <w:b/>
          <w:lang w:val="es-ES" w:eastAsia="es-CO"/>
        </w:rPr>
        <w:t xml:space="preserve">2.2. </w:t>
      </w:r>
      <w:r w:rsidRPr="006E64EA">
        <w:rPr>
          <w:rFonts w:ascii="Arial" w:eastAsia="Times New Roman" w:hAnsi="Arial" w:cs="Arial"/>
          <w:b/>
          <w:bCs/>
          <w:lang w:eastAsia="es-CO"/>
        </w:rPr>
        <w:t xml:space="preserve">Restricciones en elecciones: </w:t>
      </w:r>
      <w:r w:rsidRPr="006E64EA">
        <w:rPr>
          <w:rFonts w:ascii="Arial" w:eastAsia="Times New Roman" w:hAnsi="Arial" w:cs="Arial"/>
          <w:b/>
          <w:bCs/>
          <w:lang w:val="es-ES_tradnl" w:eastAsia="es-CO"/>
        </w:rPr>
        <w:t>prohibición del artículo 33 de la Ley 996 de 2005</w:t>
      </w:r>
      <w:r w:rsidRPr="006E64EA">
        <w:rPr>
          <w:rFonts w:ascii="Arial" w:eastAsia="Times New Roman" w:hAnsi="Arial" w:cs="Arial"/>
          <w:b/>
          <w:bCs/>
          <w:lang w:eastAsia="es-CO"/>
        </w:rPr>
        <w:t xml:space="preserve"> </w:t>
      </w:r>
    </w:p>
    <w:p w14:paraId="6C624118" w14:textId="77777777" w:rsidR="00BA62AD" w:rsidRPr="006E64EA" w:rsidRDefault="00BA62AD" w:rsidP="00BA62AD">
      <w:pPr>
        <w:spacing w:after="0" w:line="276" w:lineRule="auto"/>
        <w:jc w:val="both"/>
        <w:rPr>
          <w:rFonts w:ascii="Arial" w:eastAsia="Times New Roman" w:hAnsi="Arial" w:cs="Arial"/>
          <w:b/>
          <w:lang w:val="es-ES" w:eastAsia="es-CO"/>
        </w:rPr>
      </w:pPr>
    </w:p>
    <w:p w14:paraId="10683733" w14:textId="77777777" w:rsidR="00BA62AD" w:rsidRPr="006E64EA" w:rsidRDefault="00BA62AD" w:rsidP="00BA62AD">
      <w:pPr>
        <w:spacing w:line="276" w:lineRule="auto"/>
        <w:contextualSpacing/>
        <w:jc w:val="both"/>
        <w:rPr>
          <w:rFonts w:ascii="Arial" w:eastAsia="Times New Roman" w:hAnsi="Arial" w:cs="Arial"/>
          <w:bCs/>
          <w:lang w:eastAsia="es-CO"/>
        </w:rPr>
      </w:pPr>
      <w:r w:rsidRPr="006E64EA">
        <w:rPr>
          <w:rFonts w:ascii="Arial" w:eastAsia="Times New Roman" w:hAnsi="Arial" w:cs="Arial"/>
          <w:bCs/>
          <w:lang w:eastAsia="x-none"/>
        </w:rPr>
        <w:t xml:space="preserve">El ámbito material de la prohibición contenida en el artículo 33 de la Ley 996 de 2005 está delimitado por la expresión </w:t>
      </w:r>
      <w:r>
        <w:rPr>
          <w:rFonts w:ascii="Arial" w:eastAsia="Calibri" w:hAnsi="Arial" w:cs="Arial"/>
          <w:bCs/>
          <w:lang w:eastAsia="es-MX"/>
        </w:rPr>
        <w:t>“</w:t>
      </w:r>
      <w:r w:rsidRPr="006E64EA">
        <w:rPr>
          <w:rFonts w:ascii="Arial" w:eastAsia="Times New Roman" w:hAnsi="Arial" w:cs="Arial"/>
          <w:bCs/>
          <w:lang w:eastAsia="x-none"/>
        </w:rPr>
        <w:t>queda prohibida la contratación directa</w:t>
      </w:r>
      <w:r>
        <w:rPr>
          <w:rFonts w:ascii="Arial" w:eastAsia="Calibri" w:hAnsi="Arial" w:cs="Arial"/>
          <w:lang w:eastAsia="es-MX"/>
        </w:rPr>
        <w:t>”</w:t>
      </w:r>
      <w:r w:rsidRPr="006E64EA">
        <w:rPr>
          <w:rFonts w:ascii="Arial" w:eastAsia="Times New Roman" w:hAnsi="Arial" w:cs="Arial"/>
          <w:bCs/>
          <w:lang w:eastAsia="x-none"/>
        </w:rPr>
        <w:t>.</w:t>
      </w:r>
      <w:r w:rsidRPr="006E64EA">
        <w:rPr>
          <w:rFonts w:ascii="Arial" w:eastAsia="Times New Roman" w:hAnsi="Arial" w:cs="Arial"/>
          <w:lang w:eastAsia="es-CO"/>
        </w:rPr>
        <w:t xml:space="preserve"> A propósito de esta restricción de la Ley de Garantías Electorales, la Sala de Consulta y Servicio Civil del Consejo de Estado ha considerado que:</w:t>
      </w:r>
    </w:p>
    <w:p w14:paraId="091A4E36" w14:textId="77777777" w:rsidR="00BA62AD" w:rsidRPr="006E64EA" w:rsidRDefault="00BA62AD" w:rsidP="00BA62AD">
      <w:pPr>
        <w:spacing w:line="276" w:lineRule="auto"/>
        <w:ind w:left="708" w:right="709"/>
        <w:contextualSpacing/>
        <w:jc w:val="both"/>
        <w:rPr>
          <w:rFonts w:ascii="Arial" w:eastAsia="Calibri" w:hAnsi="Arial" w:cs="Arial"/>
          <w:lang w:eastAsia="es-MX"/>
        </w:rPr>
      </w:pPr>
    </w:p>
    <w:p w14:paraId="51372750" w14:textId="77777777" w:rsidR="00BA62AD" w:rsidRPr="006E64EA" w:rsidRDefault="00BA62AD" w:rsidP="00BA62AD">
      <w:pPr>
        <w:spacing w:line="240" w:lineRule="auto"/>
        <w:ind w:left="709" w:right="709"/>
        <w:contextualSpacing/>
        <w:jc w:val="both"/>
        <w:rPr>
          <w:rFonts w:ascii="Arial" w:eastAsia="Calibri" w:hAnsi="Arial" w:cs="Arial"/>
          <w:sz w:val="21"/>
          <w:szCs w:val="21"/>
          <w:lang w:eastAsia="es-MX"/>
        </w:rPr>
      </w:pPr>
      <w:r w:rsidRPr="006E64EA">
        <w:rPr>
          <w:rFonts w:ascii="Arial" w:eastAsia="Calibri" w:hAnsi="Arial" w:cs="Arial"/>
          <w:sz w:val="21"/>
          <w:szCs w:val="21"/>
          <w:lang w:eastAsia="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E64EA">
        <w:rPr>
          <w:rFonts w:ascii="Arial" w:eastAsia="Times New Roman" w:hAnsi="Arial" w:cs="Arial"/>
          <w:szCs w:val="24"/>
          <w:vertAlign w:val="superscript"/>
          <w:lang w:eastAsia="es-CO"/>
        </w:rPr>
        <w:footnoteReference w:id="12"/>
      </w:r>
      <w:r w:rsidRPr="006E64EA">
        <w:rPr>
          <w:rFonts w:ascii="Arial" w:eastAsia="Calibri" w:hAnsi="Arial" w:cs="Arial"/>
          <w:sz w:val="21"/>
          <w:szCs w:val="21"/>
          <w:lang w:eastAsia="es-MX"/>
        </w:rPr>
        <w:t>.</w:t>
      </w:r>
    </w:p>
    <w:p w14:paraId="4BEBFCA8" w14:textId="77777777" w:rsidR="00BA62AD" w:rsidRPr="006E64EA" w:rsidRDefault="00BA62AD" w:rsidP="00BA62AD">
      <w:pPr>
        <w:spacing w:line="240" w:lineRule="auto"/>
        <w:ind w:left="709" w:right="709"/>
        <w:contextualSpacing/>
        <w:jc w:val="both"/>
        <w:rPr>
          <w:rFonts w:ascii="Arial" w:eastAsia="Calibri" w:hAnsi="Arial" w:cs="Arial"/>
          <w:sz w:val="21"/>
          <w:szCs w:val="21"/>
          <w:lang w:eastAsia="es-MX"/>
        </w:rPr>
      </w:pPr>
    </w:p>
    <w:p w14:paraId="374895A5" w14:textId="77777777" w:rsidR="00BA62AD" w:rsidRPr="006E64EA" w:rsidRDefault="00BA62AD" w:rsidP="00BA62AD">
      <w:pPr>
        <w:spacing w:line="240" w:lineRule="auto"/>
        <w:ind w:left="708" w:right="709"/>
        <w:contextualSpacing/>
        <w:jc w:val="both"/>
        <w:rPr>
          <w:rFonts w:ascii="Arial" w:eastAsia="Calibri" w:hAnsi="Arial" w:cs="Arial"/>
          <w:sz w:val="21"/>
          <w:szCs w:val="21"/>
          <w:lang w:eastAsia="es-MX"/>
        </w:rPr>
      </w:pPr>
      <w:r w:rsidRPr="006E64EA">
        <w:rPr>
          <w:rFonts w:ascii="Arial" w:eastAsia="Calibri" w:hAnsi="Arial" w:cs="Arial"/>
          <w:sz w:val="21"/>
          <w:szCs w:val="21"/>
          <w:lang w:eastAsia="es-MX"/>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6E64EA">
        <w:rPr>
          <w:rFonts w:ascii="Arial" w:eastAsia="Times New Roman" w:hAnsi="Arial" w:cs="Arial"/>
          <w:sz w:val="21"/>
          <w:szCs w:val="21"/>
          <w:vertAlign w:val="superscript"/>
          <w:lang w:eastAsia="es-MX"/>
        </w:rPr>
        <w:footnoteReference w:id="13"/>
      </w:r>
      <w:r w:rsidRPr="006E64EA">
        <w:rPr>
          <w:rFonts w:ascii="Arial" w:eastAsia="Times New Roman" w:hAnsi="Arial" w:cs="Arial"/>
          <w:sz w:val="21"/>
          <w:szCs w:val="21"/>
          <w:vertAlign w:val="superscript"/>
          <w:lang w:eastAsia="es-MX"/>
        </w:rPr>
        <w:t>.</w:t>
      </w:r>
      <w:r w:rsidRPr="006E64EA">
        <w:rPr>
          <w:rFonts w:ascii="Arial" w:eastAsia="Calibri" w:hAnsi="Arial" w:cs="Arial"/>
          <w:sz w:val="21"/>
          <w:szCs w:val="21"/>
          <w:lang w:eastAsia="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E64EA">
        <w:rPr>
          <w:rFonts w:ascii="Arial" w:eastAsia="Times New Roman" w:hAnsi="Arial" w:cs="Arial"/>
          <w:szCs w:val="24"/>
          <w:vertAlign w:val="superscript"/>
          <w:lang w:eastAsia="es-CO"/>
        </w:rPr>
        <w:footnoteReference w:id="14"/>
      </w:r>
      <w:r w:rsidRPr="006E64EA">
        <w:rPr>
          <w:rFonts w:ascii="Arial" w:eastAsia="Calibri" w:hAnsi="Arial" w:cs="Arial"/>
          <w:sz w:val="21"/>
          <w:szCs w:val="21"/>
          <w:lang w:eastAsia="es-MX"/>
        </w:rPr>
        <w:t xml:space="preserve"> .</w:t>
      </w:r>
    </w:p>
    <w:p w14:paraId="76A1A1E5" w14:textId="77777777" w:rsidR="00BA62AD" w:rsidRPr="006E64EA" w:rsidRDefault="00BA62AD" w:rsidP="00BA62AD">
      <w:pPr>
        <w:shd w:val="clear" w:color="auto" w:fill="FFFFFF"/>
        <w:spacing w:line="276" w:lineRule="auto"/>
        <w:ind w:firstLine="709"/>
        <w:contextualSpacing/>
        <w:jc w:val="both"/>
        <w:rPr>
          <w:rFonts w:ascii="Arial" w:eastAsia="Times New Roman" w:hAnsi="Arial" w:cs="Arial"/>
          <w:lang w:eastAsia="x-none"/>
        </w:rPr>
      </w:pPr>
    </w:p>
    <w:p w14:paraId="31CCCEEB" w14:textId="77777777" w:rsidR="00BA62AD" w:rsidRPr="006E64EA" w:rsidRDefault="00BA62AD" w:rsidP="00BA62AD">
      <w:pPr>
        <w:spacing w:after="120" w:line="276" w:lineRule="auto"/>
        <w:ind w:firstLine="709"/>
        <w:jc w:val="both"/>
        <w:rPr>
          <w:rFonts w:ascii="Arial" w:eastAsia="Times New Roman" w:hAnsi="Arial" w:cs="Arial"/>
          <w:bCs/>
          <w:lang w:eastAsia="x-none"/>
        </w:rPr>
      </w:pPr>
      <w:bookmarkStart w:id="9" w:name="_Hlk94521748"/>
      <w:r w:rsidRPr="006E64EA">
        <w:rPr>
          <w:rFonts w:ascii="Arial" w:eastAsia="Times New Roman" w:hAnsi="Arial" w:cs="Arial"/>
          <w:lang w:val="es-ES_tradnl" w:eastAsia="x-none"/>
        </w:rPr>
        <w:t xml:space="preserve">De acuerdo con el citado concepto, la prohibición del artículo 33 de la Ley de Garantías Electorales se refiere a </w:t>
      </w:r>
      <w:r>
        <w:rPr>
          <w:rFonts w:ascii="Arial" w:eastAsia="Times New Roman" w:hAnsi="Arial" w:cs="Arial"/>
          <w:sz w:val="19"/>
          <w:szCs w:val="19"/>
          <w:lang w:val="es-ES_tradnl" w:eastAsia="en-GB"/>
        </w:rPr>
        <w:t>“</w:t>
      </w:r>
      <w:r w:rsidRPr="006E64EA">
        <w:rPr>
          <w:rFonts w:ascii="Arial" w:eastAsia="Times New Roman" w:hAnsi="Arial" w:cs="Arial"/>
          <w:lang w:val="es-ES_tradnl" w:eastAsia="x-none"/>
        </w:rPr>
        <w:t>cualquier sistema que no implique convocatoria pública y posibilidad de pluralidad de oferentes</w:t>
      </w:r>
      <w:r>
        <w:rPr>
          <w:rFonts w:ascii="Arial" w:eastAsia="Times New Roman" w:hAnsi="Arial" w:cs="Arial"/>
          <w:lang w:val="es-ES_tradnl" w:eastAsia="en-GB"/>
        </w:rPr>
        <w:t>”</w:t>
      </w:r>
      <w:r w:rsidRPr="006E64EA">
        <w:rPr>
          <w:rFonts w:ascii="Arial" w:eastAsia="Times New Roman" w:hAnsi="Arial" w:cs="Arial"/>
          <w:lang w:val="es-ES_tradnl" w:eastAsia="x-none"/>
        </w:rPr>
        <w:t xml:space="preserve">, por lo que excluye las demás modalidades de contratación previstas en </w:t>
      </w:r>
      <w:r w:rsidRPr="006E64EA">
        <w:rPr>
          <w:rFonts w:ascii="Arial" w:eastAsia="Times New Roman" w:hAnsi="Arial" w:cs="Arial"/>
          <w:lang w:val="es-ES_tradnl" w:eastAsia="x-none"/>
        </w:rPr>
        <w:lastRenderedPageBreak/>
        <w:t>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6E64EA">
        <w:rPr>
          <w:rFonts w:ascii="Arial" w:eastAsia="Times New Roman" w:hAnsi="Arial" w:cs="Arial"/>
          <w:vertAlign w:val="superscript"/>
          <w:lang w:val="es-ES_tradnl" w:eastAsia="x-none"/>
        </w:rPr>
        <w:footnoteReference w:id="15"/>
      </w:r>
      <w:r w:rsidRPr="006E64EA">
        <w:rPr>
          <w:rFonts w:ascii="Arial" w:eastAsia="Times New Roman" w:hAnsi="Arial" w:cs="Arial"/>
          <w:lang w:val="es-ES_tradnl" w:eastAsia="x-none"/>
        </w:rPr>
        <w:t xml:space="preserve"> y sistematizó las causales de contratación directa</w:t>
      </w:r>
      <w:r w:rsidRPr="006E64EA">
        <w:rPr>
          <w:rFonts w:ascii="Arial" w:eastAsia="Times New Roman" w:hAnsi="Arial" w:cs="Arial"/>
          <w:vertAlign w:val="superscript"/>
          <w:lang w:val="es-ES_tradnl" w:eastAsia="x-none"/>
        </w:rPr>
        <w:footnoteReference w:id="16"/>
      </w:r>
      <w:r w:rsidRPr="006E64EA">
        <w:rPr>
          <w:rFonts w:ascii="Arial" w:eastAsia="Times New Roman" w:hAnsi="Arial" w:cs="Arial"/>
          <w:lang w:val="es-ES_tradnl" w:eastAsia="x-none"/>
        </w:rPr>
        <w:t xml:space="preserve">, </w:t>
      </w:r>
      <w:r w:rsidRPr="006E64EA">
        <w:rPr>
          <w:rFonts w:ascii="Arial" w:hAnsi="Arial" w:cs="Arial"/>
          <w:color w:val="000000" w:themeColor="text1"/>
          <w:szCs w:val="24"/>
          <w:lang w:eastAsia="x-none"/>
        </w:rPr>
        <w:t>además lo es con la posterior creación de la modalidad de mínima cuantía establecida actualmente en el numeral 5 del artículo 2 de la Ley 1150 de 2007, de acuerdo con las modificaciones realizadas por leyes posteriores.</w:t>
      </w:r>
      <w:bookmarkEnd w:id="9"/>
    </w:p>
    <w:p w14:paraId="192AE99C" w14:textId="77777777" w:rsidR="00BA62AD" w:rsidRPr="006E64EA" w:rsidRDefault="00BA62AD" w:rsidP="00BA62AD">
      <w:pPr>
        <w:spacing w:after="120" w:line="276" w:lineRule="auto"/>
        <w:ind w:firstLine="709"/>
        <w:jc w:val="both"/>
        <w:rPr>
          <w:rFonts w:ascii="Arial" w:eastAsia="Times New Roman" w:hAnsi="Arial" w:cs="Arial"/>
          <w:lang w:eastAsia="x-none"/>
        </w:rPr>
      </w:pPr>
      <w:r w:rsidRPr="006E64EA">
        <w:rPr>
          <w:rFonts w:ascii="Arial" w:eastAsia="Times New Roman" w:hAnsi="Arial" w:cs="Arial"/>
          <w:lang w:eastAsia="x-none"/>
        </w:rPr>
        <w:t xml:space="preserve">De esta forma, se ha depurado la noción de </w:t>
      </w:r>
      <w:r w:rsidRPr="006E64EA">
        <w:rPr>
          <w:rFonts w:ascii="Arial" w:eastAsia="Times New Roman" w:hAnsi="Arial" w:cs="Arial"/>
          <w:lang w:eastAsia="en-GB"/>
        </w:rPr>
        <w:t>«</w:t>
      </w:r>
      <w:r w:rsidRPr="006E64EA">
        <w:rPr>
          <w:rFonts w:ascii="Arial" w:eastAsia="Times New Roman" w:hAnsi="Arial" w:cs="Arial"/>
          <w:lang w:eastAsia="x-none"/>
        </w:rPr>
        <w:t>contratación directa</w:t>
      </w:r>
      <w:r w:rsidRPr="006E64EA">
        <w:rPr>
          <w:rFonts w:ascii="Arial" w:eastAsia="Times New Roman" w:hAnsi="Arial" w:cs="Arial"/>
          <w:lang w:eastAsia="en-GB"/>
        </w:rPr>
        <w:t>»</w:t>
      </w:r>
      <w:r w:rsidRPr="006E64EA">
        <w:rPr>
          <w:rFonts w:ascii="Arial" w:eastAsia="Times New Roman" w:hAnsi="Arial" w:cs="Arial"/>
          <w:lang w:eastAsia="x-none"/>
        </w:rPr>
        <w:t xml:space="preserve">, precisando el Consejo de Estado –en el concepto citado– que, </w:t>
      </w:r>
      <w:r>
        <w:rPr>
          <w:rFonts w:ascii="Arial" w:eastAsia="Times New Roman" w:hAnsi="Arial" w:cs="Arial"/>
          <w:lang w:eastAsia="x-none"/>
        </w:rPr>
        <w:t>“</w:t>
      </w:r>
      <w:r w:rsidRPr="006E64EA">
        <w:rPr>
          <w:rFonts w:ascii="Arial" w:eastAsia="Times New Roman" w:hAnsi="Arial" w:cs="Arial"/>
          <w:lang w:eastAsia="x-none"/>
        </w:rPr>
        <w:t>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6E64EA">
        <w:rPr>
          <w:rFonts w:ascii="Arial" w:eastAsia="Times New Roman" w:hAnsi="Arial" w:cs="Arial"/>
          <w:vertAlign w:val="superscript"/>
          <w:lang w:val="en-GB" w:eastAsia="x-none"/>
        </w:rPr>
        <w:footnoteReference w:id="17"/>
      </w:r>
      <w:r w:rsidRPr="006E64EA">
        <w:rPr>
          <w:rFonts w:ascii="Arial" w:eastAsia="Times New Roman" w:hAnsi="Arial" w:cs="Arial"/>
          <w:lang w:eastAsia="x-none"/>
        </w:rPr>
        <w:t>, han establecido sistemas de contratación que implican convocatoria pública y participación de varios oferentes</w:t>
      </w:r>
      <w:r>
        <w:rPr>
          <w:rFonts w:ascii="Arial" w:eastAsia="Times New Roman" w:hAnsi="Arial" w:cs="Arial"/>
          <w:lang w:eastAsia="en-GB"/>
        </w:rPr>
        <w:t>”</w:t>
      </w:r>
      <w:r w:rsidRPr="006E64EA">
        <w:rPr>
          <w:rFonts w:ascii="Arial" w:eastAsia="Times New Roman" w:hAnsi="Arial" w:cs="Arial"/>
          <w:lang w:eastAsia="x-none"/>
        </w:rPr>
        <w:t xml:space="preserve">. </w:t>
      </w:r>
    </w:p>
    <w:p w14:paraId="1E50D027" w14:textId="77777777" w:rsidR="00BA62AD" w:rsidRPr="006E64EA" w:rsidRDefault="00BA62AD" w:rsidP="00BA62AD">
      <w:pPr>
        <w:spacing w:after="120" w:line="276" w:lineRule="auto"/>
        <w:ind w:firstLine="709"/>
        <w:jc w:val="both"/>
        <w:rPr>
          <w:rFonts w:ascii="Arial" w:eastAsia="Times New Roman" w:hAnsi="Arial" w:cs="Arial"/>
          <w:bCs/>
          <w:lang w:eastAsia="es-CO"/>
        </w:rPr>
      </w:pPr>
      <w:r w:rsidRPr="006E64EA">
        <w:rPr>
          <w:rFonts w:ascii="Arial" w:eastAsia="Times New Roman" w:hAnsi="Arial" w:cs="Arial"/>
          <w:bCs/>
          <w:lang w:eastAsia="x-none"/>
        </w:rPr>
        <w:t>E</w:t>
      </w:r>
      <w:r w:rsidRPr="006E64EA">
        <w:rPr>
          <w:rFonts w:ascii="Arial" w:eastAsia="Times New Roman" w:hAnsi="Arial" w:cs="Arial"/>
          <w:lang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w:t>
      </w:r>
      <w:r>
        <w:rPr>
          <w:rFonts w:ascii="Arial" w:eastAsia="Times New Roman" w:hAnsi="Arial" w:cs="Arial"/>
          <w:lang w:eastAsia="x-none"/>
        </w:rPr>
        <w:t>“</w:t>
      </w:r>
      <w:r w:rsidRPr="006E64EA">
        <w:rPr>
          <w:rFonts w:ascii="Arial" w:eastAsia="Times New Roman" w:hAnsi="Arial" w:cs="Arial"/>
          <w:lang w:eastAsia="x-none"/>
        </w:rPr>
        <w:t>contratación directa</w:t>
      </w:r>
      <w:r>
        <w:rPr>
          <w:rFonts w:ascii="Arial" w:eastAsia="Times New Roman" w:hAnsi="Arial" w:cs="Arial"/>
          <w:lang w:eastAsia="x-none"/>
        </w:rPr>
        <w:t>”</w:t>
      </w:r>
      <w:r w:rsidRPr="006E64EA">
        <w:rPr>
          <w:rFonts w:ascii="Arial" w:eastAsia="Times New Roman" w:hAnsi="Arial" w:cs="Arial"/>
          <w:lang w:eastAsia="x-none"/>
        </w:rPr>
        <w:t>, es que la convocatoria para inscribirse en forma previa se haga de manera pública, y que se permita la participación de una pluralidad de oferentes</w:t>
      </w:r>
      <w:r w:rsidRPr="006E64EA">
        <w:rPr>
          <w:rFonts w:ascii="Arial" w:eastAsia="Times New Roman" w:hAnsi="Arial" w:cs="Arial"/>
          <w:vertAlign w:val="superscript"/>
          <w:lang w:eastAsia="x-none"/>
        </w:rPr>
        <w:footnoteReference w:id="18"/>
      </w:r>
      <w:r w:rsidRPr="006E64EA">
        <w:rPr>
          <w:rFonts w:ascii="Arial" w:eastAsia="Times New Roman" w:hAnsi="Arial" w:cs="Arial"/>
          <w:lang w:eastAsia="x-none"/>
        </w:rPr>
        <w:t xml:space="preserve">. </w:t>
      </w:r>
    </w:p>
    <w:p w14:paraId="1D4E30C7" w14:textId="77777777" w:rsidR="00BA62AD" w:rsidRPr="006E64EA" w:rsidRDefault="00BA62AD" w:rsidP="00BA62AD">
      <w:pPr>
        <w:spacing w:after="120" w:line="276" w:lineRule="auto"/>
        <w:ind w:firstLine="709"/>
        <w:jc w:val="both"/>
        <w:rPr>
          <w:rFonts w:ascii="Arial" w:eastAsia="Times New Roman" w:hAnsi="Arial" w:cs="Arial"/>
          <w:bCs/>
          <w:lang w:eastAsia="es-CO"/>
        </w:rPr>
      </w:pPr>
      <w:r w:rsidRPr="006E64EA">
        <w:rPr>
          <w:rFonts w:ascii="Arial" w:eastAsia="Times New Roman" w:hAnsi="Arial" w:cs="Arial"/>
          <w:bCs/>
          <w:lang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5BB1F624" w14:textId="77777777" w:rsidR="00BA62AD" w:rsidRPr="006E64EA" w:rsidRDefault="00BA62AD" w:rsidP="00BA62AD">
      <w:pPr>
        <w:spacing w:after="120" w:line="276" w:lineRule="auto"/>
        <w:ind w:firstLine="709"/>
        <w:jc w:val="both"/>
        <w:rPr>
          <w:rFonts w:ascii="Arial" w:eastAsia="Times New Roman" w:hAnsi="Arial" w:cs="Arial"/>
          <w:bCs/>
          <w:lang w:eastAsia="x-none"/>
        </w:rPr>
      </w:pPr>
      <w:r w:rsidRPr="006E64EA">
        <w:rPr>
          <w:rFonts w:ascii="Arial" w:eastAsia="Times New Roman" w:hAnsi="Arial" w:cs="Arial"/>
          <w:bCs/>
          <w:lang w:eastAsia="x-none"/>
        </w:rPr>
        <w:lastRenderedPageBreak/>
        <w:t xml:space="preserve"> Así las cosas, </w:t>
      </w:r>
      <w:bookmarkStart w:id="10" w:name="_Hlk99577798"/>
      <w:r w:rsidRPr="006E64EA">
        <w:rPr>
          <w:rFonts w:ascii="Arial" w:eastAsia="Times New Roman" w:hAnsi="Arial" w:cs="Arial"/>
          <w:bCs/>
          <w:lang w:eastAsia="x-none"/>
        </w:rPr>
        <w:t xml:space="preserve">ha de entenderse que, para los efectos de la Ley de Garantías Electorales y, en particular, para la restricción temporal contenida en su artículo 33, </w:t>
      </w:r>
      <w:r>
        <w:rPr>
          <w:rFonts w:ascii="Arial" w:eastAsia="Times New Roman" w:hAnsi="Arial" w:cs="Arial"/>
          <w:bCs/>
          <w:lang w:eastAsia="x-none"/>
        </w:rPr>
        <w:t>“</w:t>
      </w:r>
      <w:r w:rsidRPr="006E64EA">
        <w:rPr>
          <w:rFonts w:ascii="Arial" w:eastAsia="Times New Roman" w:hAnsi="Arial" w:cs="Arial"/>
          <w:bCs/>
          <w:lang w:eastAsia="x-none"/>
        </w:rPr>
        <w:t>contratación directa</w:t>
      </w:r>
      <w:r>
        <w:rPr>
          <w:rFonts w:ascii="Arial" w:eastAsia="Times New Roman" w:hAnsi="Arial" w:cs="Arial"/>
          <w:bCs/>
          <w:lang w:eastAsia="x-none"/>
        </w:rPr>
        <w:t>”</w:t>
      </w:r>
      <w:r w:rsidRPr="006E64EA">
        <w:rPr>
          <w:rFonts w:ascii="Arial" w:eastAsia="Times New Roman" w:hAnsi="Arial" w:cs="Arial"/>
          <w:bCs/>
          <w:lang w:eastAsia="x-none"/>
        </w:rPr>
        <w:t xml:space="preserve"> es cualquier sistema de selección o procedimiento de contratación utilizado por las entidades estatales que no incluya la convocatoria pública en alguna de sus etapas, ni permita la participación de una pluralidad de oferentes</w:t>
      </w:r>
      <w:r w:rsidRPr="006E64EA">
        <w:rPr>
          <w:rFonts w:ascii="Arial" w:eastAsia="Times New Roman" w:hAnsi="Arial" w:cs="Arial"/>
          <w:vertAlign w:val="superscript"/>
          <w:lang w:eastAsia="x-none"/>
        </w:rPr>
        <w:footnoteReference w:id="19"/>
      </w:r>
      <w:r w:rsidRPr="006E64EA">
        <w:rPr>
          <w:rFonts w:ascii="Arial" w:eastAsia="Times New Roman" w:hAnsi="Arial" w:cs="Arial"/>
          <w:bCs/>
          <w:lang w:eastAsia="x-none"/>
        </w:rPr>
        <w:t>.</w:t>
      </w:r>
      <w:r w:rsidRPr="006E64EA">
        <w:rPr>
          <w:rFonts w:ascii="Arial" w:eastAsia="Times New Roman" w:hAnsi="Arial" w:cs="Arial"/>
          <w:vertAlign w:val="superscript"/>
          <w:lang w:eastAsia="x-none"/>
        </w:rPr>
        <w:t xml:space="preserve"> </w:t>
      </w:r>
    </w:p>
    <w:p w14:paraId="553CB797" w14:textId="77777777" w:rsidR="00BA62AD" w:rsidRPr="006E64EA" w:rsidRDefault="00BA62AD" w:rsidP="00BA62AD">
      <w:pPr>
        <w:spacing w:after="120" w:line="276" w:lineRule="auto"/>
        <w:ind w:firstLine="709"/>
        <w:jc w:val="both"/>
        <w:rPr>
          <w:rFonts w:ascii="Arial" w:eastAsia="Times New Roman" w:hAnsi="Arial" w:cs="Arial"/>
          <w:lang w:eastAsia="x-none"/>
        </w:rPr>
      </w:pPr>
      <w:r w:rsidRPr="006E64EA">
        <w:rPr>
          <w:rFonts w:ascii="Arial" w:eastAsia="Times New Roman" w:hAnsi="Arial" w:cs="Arial"/>
          <w:bCs/>
          <w:lang w:eastAsia="x-none"/>
        </w:rPr>
        <w:t>De lo anterior se desprende que la restricción aplica, sin perjuicio de las excepciones establecidas en la misma ley, para celebrar cualquier contrato de forma directa, esto es, sin que exista un proceso abierto y competitivo.</w:t>
      </w:r>
      <w:r w:rsidRPr="006E64EA">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155C0701" w14:textId="77777777" w:rsidR="00BA62AD" w:rsidRPr="006E64EA" w:rsidRDefault="00BA62AD" w:rsidP="00BA62AD">
      <w:pPr>
        <w:spacing w:after="120" w:line="276" w:lineRule="auto"/>
        <w:ind w:firstLine="709"/>
        <w:jc w:val="both"/>
        <w:rPr>
          <w:rFonts w:ascii="Arial" w:eastAsia="Times New Roman" w:hAnsi="Arial" w:cs="Arial"/>
          <w:bCs/>
          <w:lang w:eastAsia="x-none"/>
        </w:rPr>
      </w:pPr>
      <w:bookmarkStart w:id="11" w:name="_Hlk77237094"/>
      <w:bookmarkEnd w:id="10"/>
      <w:r w:rsidRPr="006E64EA">
        <w:rPr>
          <w:rFonts w:ascii="Arial" w:eastAsia="Times New Roman" w:hAnsi="Arial" w:cs="Arial"/>
          <w:bCs/>
          <w:lang w:eastAsia="es-CO"/>
        </w:rPr>
        <w:t xml:space="preserve">Como en otras oportunidades lo ha manifestado esta Agencia, las prórrogas, modificaciones o adiciones de los contratos suscritos antes de la </w:t>
      </w:r>
      <w:proofErr w:type="gramStart"/>
      <w:r w:rsidRPr="006E64EA">
        <w:rPr>
          <w:rFonts w:ascii="Arial" w:eastAsia="Times New Roman" w:hAnsi="Arial" w:cs="Arial"/>
          <w:bCs/>
          <w:lang w:eastAsia="es-CO"/>
        </w:rPr>
        <w:t>entrada en vigencia</w:t>
      </w:r>
      <w:proofErr w:type="gramEnd"/>
      <w:r w:rsidRPr="006E64EA">
        <w:rPr>
          <w:rFonts w:ascii="Arial" w:eastAsia="Times New Roman" w:hAnsi="Arial" w:cs="Arial"/>
          <w:bCs/>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11"/>
    </w:p>
    <w:p w14:paraId="06858177" w14:textId="77777777" w:rsidR="00BA62AD" w:rsidRPr="006E64EA" w:rsidRDefault="00BA62AD" w:rsidP="00BA62AD">
      <w:pPr>
        <w:spacing w:after="120" w:line="276" w:lineRule="auto"/>
        <w:ind w:firstLine="709"/>
        <w:jc w:val="both"/>
        <w:rPr>
          <w:rFonts w:ascii="Arial" w:eastAsia="Times New Roman" w:hAnsi="Arial" w:cs="Arial"/>
          <w:bCs/>
          <w:lang w:eastAsia="es-CO"/>
        </w:rPr>
      </w:pPr>
      <w:r w:rsidRPr="006E64EA">
        <w:rPr>
          <w:rFonts w:ascii="Arial" w:eastAsia="Times New Roman" w:hAnsi="Arial" w:cs="Arial"/>
          <w:bCs/>
          <w:lang w:eastAsia="x-none"/>
        </w:rPr>
        <w:t xml:space="preserve">De otro lado, </w:t>
      </w:r>
      <w:bookmarkStart w:id="12" w:name="_Hlk99577887"/>
      <w:r w:rsidRPr="006E64EA">
        <w:rPr>
          <w:rFonts w:ascii="Arial" w:eastAsia="Times New Roman" w:hAnsi="Arial" w:cs="Arial"/>
          <w:bCs/>
          <w:lang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6E64EA">
        <w:rPr>
          <w:rFonts w:ascii="Arial" w:eastAsia="Times New Roman" w:hAnsi="Arial" w:cs="Arial"/>
          <w:bCs/>
          <w:lang w:eastAsia="x-none"/>
        </w:rPr>
        <w:t>ii</w:t>
      </w:r>
      <w:proofErr w:type="spellEnd"/>
      <w:r w:rsidRPr="006E64EA">
        <w:rPr>
          <w:rFonts w:ascii="Arial" w:eastAsia="Times New Roman" w:hAnsi="Arial" w:cs="Arial"/>
          <w:bCs/>
          <w:lang w:eastAsia="x-none"/>
        </w:rPr>
        <w:t xml:space="preserve">) los contratos de crédito público; </w:t>
      </w:r>
      <w:proofErr w:type="spellStart"/>
      <w:r w:rsidRPr="006E64EA">
        <w:rPr>
          <w:rFonts w:ascii="Arial" w:eastAsia="Times New Roman" w:hAnsi="Arial" w:cs="Arial"/>
          <w:bCs/>
          <w:lang w:eastAsia="x-none"/>
        </w:rPr>
        <w:t>iii</w:t>
      </w:r>
      <w:proofErr w:type="spellEnd"/>
      <w:r w:rsidRPr="006E64EA">
        <w:rPr>
          <w:rFonts w:ascii="Arial" w:eastAsia="Times New Roman" w:hAnsi="Arial" w:cs="Arial"/>
          <w:bCs/>
          <w:lang w:eastAsia="x-none"/>
        </w:rPr>
        <w:t xml:space="preserve">) los requeridos para cubrir las emergencias educativas, sanitarias y desastres; </w:t>
      </w:r>
      <w:proofErr w:type="spellStart"/>
      <w:r w:rsidRPr="006E64EA">
        <w:rPr>
          <w:rFonts w:ascii="Arial" w:eastAsia="Times New Roman" w:hAnsi="Arial" w:cs="Arial"/>
          <w:bCs/>
          <w:lang w:eastAsia="x-none"/>
        </w:rPr>
        <w:t>iv</w:t>
      </w:r>
      <w:proofErr w:type="spellEnd"/>
      <w:r w:rsidRPr="006E64EA">
        <w:rPr>
          <w:rFonts w:ascii="Arial" w:eastAsia="Times New Roman" w:hAnsi="Arial" w:cs="Arial"/>
          <w:bCs/>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E64EA">
        <w:rPr>
          <w:rFonts w:ascii="Arial" w:eastAsia="Times New Roman" w:hAnsi="Arial" w:cs="Arial"/>
          <w:bCs/>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12"/>
    </w:p>
    <w:p w14:paraId="4AC46C60" w14:textId="77777777" w:rsidR="00BA62AD" w:rsidRPr="006E64EA" w:rsidRDefault="00BA62AD" w:rsidP="00BA62AD">
      <w:pPr>
        <w:spacing w:after="120" w:line="276" w:lineRule="auto"/>
        <w:ind w:firstLine="709"/>
        <w:jc w:val="both"/>
        <w:rPr>
          <w:rFonts w:ascii="Arial" w:eastAsia="Times New Roman" w:hAnsi="Arial" w:cs="Arial"/>
          <w:bCs/>
          <w:lang w:eastAsia="x-none"/>
        </w:rPr>
      </w:pPr>
      <w:r w:rsidRPr="006E64EA">
        <w:rPr>
          <w:rFonts w:ascii="Arial" w:eastAsia="Times New Roman" w:hAnsi="Arial" w:cs="Arial"/>
          <w:bCs/>
          <w:lang w:eastAsia="x-none"/>
        </w:rPr>
        <w:t>En esta labor es importante tener en cuenta, como lo anotó la Corte Constitucional, en Sentencia C-1153 de noviembre 11 de 2005</w:t>
      </w:r>
      <w:r w:rsidRPr="006E64EA">
        <w:rPr>
          <w:rFonts w:ascii="Arial" w:eastAsia="Calibri" w:hAnsi="Arial" w:cs="Arial"/>
          <w:lang w:eastAsia="es-MX"/>
        </w:rPr>
        <w:t>,</w:t>
      </w:r>
      <w:r w:rsidRPr="006E64EA">
        <w:rPr>
          <w:rFonts w:ascii="Arial" w:eastAsia="Times New Roman" w:hAnsi="Arial" w:cs="Arial"/>
          <w:bCs/>
          <w:lang w:eastAsia="x-none"/>
        </w:rPr>
        <w:t xml:space="preserve"> que </w:t>
      </w:r>
      <w:r>
        <w:rPr>
          <w:rFonts w:ascii="Arial" w:eastAsia="Times New Roman" w:hAnsi="Arial" w:cs="Arial"/>
          <w:bCs/>
          <w:lang w:eastAsia="x-none"/>
        </w:rPr>
        <w:t>“</w:t>
      </w:r>
      <w:r w:rsidRPr="006E64EA">
        <w:rPr>
          <w:rFonts w:ascii="Arial" w:eastAsia="Times New Roman" w:hAnsi="Arial" w:cs="Arial"/>
          <w:bCs/>
          <w:lang w:eastAsia="x-none"/>
        </w:rPr>
        <w:t xml:space="preserve">si bien la limitación garantiza la igualdad de condiciones, también es necesario que tal limitación que pretende la igualdad no termine yendo en detrimento de intereses públicos, cuya garantía está en cabeza del ejecutivo, como son los </w:t>
      </w:r>
      <w:r w:rsidRPr="006E64EA">
        <w:rPr>
          <w:rFonts w:ascii="Arial" w:eastAsia="Times New Roman" w:hAnsi="Arial" w:cs="Arial"/>
          <w:bCs/>
          <w:lang w:eastAsia="x-none"/>
        </w:rPr>
        <w:lastRenderedPageBreak/>
        <w:t>inmersos en las excepciones para la prohibición de contratación</w:t>
      </w:r>
      <w:r>
        <w:rPr>
          <w:rFonts w:ascii="Arial" w:eastAsia="Times New Roman" w:hAnsi="Arial" w:cs="Arial"/>
          <w:bCs/>
          <w:lang w:eastAsia="x-none"/>
        </w:rPr>
        <w:t>”</w:t>
      </w:r>
      <w:r w:rsidRPr="006E64EA">
        <w:rPr>
          <w:rFonts w:ascii="Arial" w:eastAsia="Calibri" w:hAnsi="Arial" w:cs="Arial"/>
          <w:vertAlign w:val="superscript"/>
          <w:lang w:eastAsia="es-MX"/>
        </w:rPr>
        <w:footnoteReference w:id="20"/>
      </w:r>
      <w:r w:rsidRPr="006E64EA">
        <w:rPr>
          <w:rFonts w:ascii="Arial" w:eastAsia="Times New Roman" w:hAnsi="Arial" w:cs="Arial"/>
          <w:bCs/>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6C7E76EA" w14:textId="77777777" w:rsidR="00BA62AD" w:rsidRDefault="00BA62AD" w:rsidP="00BA62AD">
      <w:pPr>
        <w:spacing w:after="0" w:line="276" w:lineRule="auto"/>
        <w:jc w:val="both"/>
        <w:rPr>
          <w:rFonts w:ascii="Arial" w:eastAsia="Times New Roman" w:hAnsi="Arial" w:cs="Arial"/>
          <w:bCs/>
          <w:lang w:eastAsia="x-none"/>
        </w:rPr>
      </w:pPr>
      <w:r w:rsidRPr="006E64EA">
        <w:rPr>
          <w:rFonts w:ascii="Arial" w:eastAsia="Times New Roman" w:hAnsi="Arial" w:cs="Arial"/>
          <w:bCs/>
          <w:lang w:eastAsia="x-none"/>
        </w:rPr>
        <w:tab/>
        <w:t xml:space="preserve">El artículo 33 de la Ley 996 de 2005 señala expresamente a los destinatarios de la prohibición, en el sentido de que son </w:t>
      </w:r>
      <w:r>
        <w:rPr>
          <w:rFonts w:ascii="Arial" w:eastAsia="Times New Roman" w:hAnsi="Arial" w:cs="Arial"/>
          <w:bCs/>
          <w:lang w:eastAsia="x-none"/>
        </w:rPr>
        <w:t>“</w:t>
      </w:r>
      <w:r w:rsidRPr="006E64EA">
        <w:rPr>
          <w:rFonts w:ascii="Arial" w:eastAsia="Times New Roman" w:hAnsi="Arial" w:cs="Arial"/>
          <w:bCs/>
          <w:lang w:eastAsia="x-none"/>
        </w:rPr>
        <w:t>todos los entes del Estado</w:t>
      </w:r>
      <w:r>
        <w:rPr>
          <w:rFonts w:ascii="Arial" w:eastAsia="Times New Roman" w:hAnsi="Arial" w:cs="Arial"/>
          <w:bCs/>
          <w:lang w:eastAsia="x-none"/>
        </w:rPr>
        <w:t>”</w:t>
      </w:r>
      <w:r w:rsidRPr="006E64EA">
        <w:rPr>
          <w:rFonts w:ascii="Arial" w:eastAsia="Times New Roman" w:hAnsi="Arial" w:cs="Arial"/>
          <w:bCs/>
          <w:lang w:eastAsia="x-none"/>
        </w:rPr>
        <w:t>, expresión que contempla a los diferentes organismos o entidades autorizadas por la ley para suscribir contratos.</w:t>
      </w:r>
      <w:r w:rsidRPr="006E64EA">
        <w:rPr>
          <w:rFonts w:ascii="Arial" w:hAnsi="Arial" w:cs="Arial"/>
        </w:rPr>
        <w:t xml:space="preserve"> </w:t>
      </w:r>
      <w:r w:rsidRPr="006E64EA">
        <w:rPr>
          <w:rFonts w:ascii="Arial" w:eastAsia="Times New Roman" w:hAnsi="Arial" w:cs="Arial"/>
          <w:bCs/>
          <w:lang w:eastAsia="x-none"/>
        </w:rPr>
        <w:t xml:space="preserve">En efecto, como lo ha sostenido el Consejo de Estado, el vocablo </w:t>
      </w:r>
      <w:r>
        <w:rPr>
          <w:rFonts w:ascii="Arial" w:eastAsia="Times New Roman" w:hAnsi="Arial" w:cs="Arial"/>
          <w:bCs/>
          <w:lang w:eastAsia="x-none"/>
        </w:rPr>
        <w:t>“</w:t>
      </w:r>
      <w:r w:rsidRPr="006E64EA">
        <w:rPr>
          <w:rFonts w:ascii="Arial" w:eastAsia="Times New Roman" w:hAnsi="Arial" w:cs="Arial"/>
          <w:bCs/>
          <w:lang w:eastAsia="x-none"/>
        </w:rPr>
        <w:t>todos</w:t>
      </w:r>
      <w:r>
        <w:rPr>
          <w:rFonts w:ascii="Arial" w:eastAsia="Times New Roman" w:hAnsi="Arial" w:cs="Arial"/>
          <w:bCs/>
          <w:lang w:eastAsia="x-none"/>
        </w:rPr>
        <w:t>”</w:t>
      </w:r>
      <w:r w:rsidRPr="006E64EA">
        <w:rPr>
          <w:rFonts w:ascii="Arial" w:eastAsia="Times New Roman" w:hAnsi="Arial" w:cs="Arial"/>
          <w:bCs/>
          <w:lang w:eastAsia="x-none"/>
        </w:rPr>
        <w:t xml:space="preserve"> utilizado por el legislador comprende</w:t>
      </w:r>
      <w:r w:rsidRPr="006E64EA">
        <w:rPr>
          <w:rFonts w:ascii="Arial" w:hAnsi="Arial" w:cs="Arial"/>
        </w:rPr>
        <w:t xml:space="preserve"> </w:t>
      </w:r>
      <w:r w:rsidRPr="006E64EA">
        <w:rPr>
          <w:rFonts w:ascii="Arial" w:eastAsia="Times New Roman" w:hAnsi="Arial" w:cs="Arial"/>
          <w:bCs/>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AA4D941" w14:textId="77777777" w:rsidR="00BA62AD" w:rsidRPr="006E64EA" w:rsidRDefault="00BA62AD" w:rsidP="00BA62AD">
      <w:pPr>
        <w:spacing w:after="0" w:line="276" w:lineRule="auto"/>
        <w:jc w:val="both"/>
        <w:rPr>
          <w:rFonts w:ascii="Arial" w:eastAsia="Times New Roman" w:hAnsi="Arial" w:cs="Arial"/>
          <w:bCs/>
          <w:lang w:eastAsia="x-none"/>
        </w:rPr>
      </w:pPr>
    </w:p>
    <w:p w14:paraId="312F8255" w14:textId="77777777" w:rsidR="00BA62AD" w:rsidRDefault="00BA62AD" w:rsidP="00BA62AD">
      <w:pPr>
        <w:spacing w:after="0" w:line="240" w:lineRule="auto"/>
        <w:ind w:left="708" w:right="709"/>
        <w:jc w:val="both"/>
        <w:rPr>
          <w:rFonts w:ascii="Arial" w:eastAsia="Times New Roman" w:hAnsi="Arial" w:cs="Arial"/>
          <w:bCs/>
          <w:sz w:val="21"/>
          <w:szCs w:val="21"/>
          <w:lang w:eastAsia="es-CO"/>
        </w:rPr>
      </w:pPr>
      <w:r w:rsidRPr="006E64EA">
        <w:rPr>
          <w:rFonts w:ascii="Arial" w:eastAsia="Times New Roman" w:hAnsi="Arial" w:cs="Arial"/>
          <w:bCs/>
          <w:sz w:val="21"/>
          <w:szCs w:val="21"/>
          <w:lang w:eastAsia="x-none"/>
        </w:rPr>
        <w:t xml:space="preserve">El artículo 33 de la ley 996 de 2005, </w:t>
      </w:r>
      <w:bookmarkStart w:id="13" w:name="_Hlk75787147"/>
      <w:r w:rsidRPr="006E64EA">
        <w:rPr>
          <w:rFonts w:ascii="Arial" w:eastAsia="Times New Roman" w:hAnsi="Arial" w:cs="Arial"/>
          <w:bCs/>
          <w:sz w:val="21"/>
          <w:szCs w:val="21"/>
          <w:lang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E64EA">
        <w:rPr>
          <w:rFonts w:ascii="Arial" w:eastAsia="Times New Roman" w:hAnsi="Arial" w:cs="Arial"/>
          <w:bCs/>
          <w:sz w:val="21"/>
          <w:szCs w:val="21"/>
          <w:vertAlign w:val="superscript"/>
          <w:lang w:eastAsia="x-none"/>
        </w:rPr>
        <w:footnoteReference w:id="21"/>
      </w:r>
      <w:r w:rsidRPr="006E64EA">
        <w:rPr>
          <w:rFonts w:ascii="Arial" w:eastAsia="Times New Roman" w:hAnsi="Arial" w:cs="Arial"/>
          <w:bCs/>
          <w:sz w:val="21"/>
          <w:szCs w:val="21"/>
          <w:lang w:eastAsia="x-none"/>
        </w:rPr>
        <w:t>.</w:t>
      </w:r>
      <w:r w:rsidRPr="006E64EA">
        <w:rPr>
          <w:rFonts w:ascii="Arial" w:eastAsia="Times New Roman" w:hAnsi="Arial" w:cs="Arial"/>
          <w:bCs/>
          <w:sz w:val="21"/>
          <w:szCs w:val="21"/>
          <w:lang w:eastAsia="es-CO"/>
        </w:rPr>
        <w:t xml:space="preserve"> </w:t>
      </w:r>
    </w:p>
    <w:p w14:paraId="06A7CA0E" w14:textId="77777777" w:rsidR="00BA62AD" w:rsidRPr="006E64EA" w:rsidRDefault="00BA62AD" w:rsidP="00BA62AD">
      <w:pPr>
        <w:spacing w:after="0"/>
        <w:ind w:left="708" w:right="709"/>
        <w:jc w:val="both"/>
        <w:rPr>
          <w:rFonts w:ascii="Arial" w:eastAsia="Times New Roman" w:hAnsi="Arial" w:cs="Arial"/>
          <w:bCs/>
          <w:sz w:val="21"/>
          <w:szCs w:val="21"/>
          <w:lang w:eastAsia="es-CO"/>
        </w:rPr>
      </w:pPr>
    </w:p>
    <w:p w14:paraId="6DFF2006" w14:textId="77777777" w:rsidR="00BA62AD" w:rsidRPr="006E64EA" w:rsidRDefault="00BA62AD" w:rsidP="00BA62AD">
      <w:pPr>
        <w:spacing w:line="276" w:lineRule="auto"/>
        <w:ind w:firstLine="708"/>
        <w:jc w:val="both"/>
        <w:rPr>
          <w:rFonts w:ascii="Arial" w:hAnsi="Arial" w:cs="Arial"/>
          <w:lang w:val="es-ES_tradnl"/>
        </w:rPr>
      </w:pPr>
      <w:r w:rsidRPr="006E64EA">
        <w:rPr>
          <w:rFonts w:ascii="Arial" w:eastAsia="Times New Roman" w:hAnsi="Arial" w:cs="Arial"/>
          <w:bCs/>
          <w:lang w:val="es-ES_tradnl" w:eastAsia="x-none"/>
        </w:rPr>
        <w:t xml:space="preserve">De igual forma, en Concepto 1738 de 6 de abril de 2006, también manifestó que </w:t>
      </w:r>
      <w:r>
        <w:rPr>
          <w:rFonts w:ascii="Arial" w:eastAsia="Times New Roman" w:hAnsi="Arial" w:cs="Arial"/>
          <w:bCs/>
          <w:lang w:val="es-ES_tradnl" w:eastAsia="x-none"/>
        </w:rPr>
        <w:t>“</w:t>
      </w:r>
      <w:r w:rsidRPr="006E64EA">
        <w:rPr>
          <w:rFonts w:ascii="Arial" w:eastAsia="Times New Roman" w:hAnsi="Arial" w:cs="Arial"/>
          <w:bCs/>
          <w:lang w:val="es-ES_tradnl"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Pr>
          <w:rFonts w:ascii="Arial" w:eastAsia="Times New Roman" w:hAnsi="Arial" w:cs="Arial"/>
          <w:bCs/>
          <w:lang w:val="es-ES_tradnl" w:eastAsia="x-none"/>
        </w:rPr>
        <w:t>”</w:t>
      </w:r>
      <w:r w:rsidRPr="006E64EA">
        <w:rPr>
          <w:rFonts w:ascii="Arial" w:hAnsi="Arial" w:cs="Arial"/>
          <w:vertAlign w:val="superscript"/>
          <w:lang w:val="es-ES_tradnl"/>
        </w:rPr>
        <w:footnoteReference w:id="22"/>
      </w:r>
      <w:r w:rsidRPr="006E64EA">
        <w:rPr>
          <w:rFonts w:ascii="Arial" w:eastAsia="Times New Roman" w:hAnsi="Arial" w:cs="Arial"/>
          <w:bCs/>
          <w:lang w:val="es-ES_tradnl" w:eastAsia="x-none"/>
        </w:rPr>
        <w:t>.</w:t>
      </w:r>
      <w:r w:rsidRPr="006E64EA">
        <w:rPr>
          <w:rFonts w:ascii="Arial" w:hAnsi="Arial" w:cs="Arial"/>
          <w:lang w:val="es-ES_tradnl"/>
        </w:rPr>
        <w:t xml:space="preserve"> Sin embargo, debe precisarse el siguiente aspecto que distinguió la Sala de Consulta y Servicio Civil:</w:t>
      </w:r>
    </w:p>
    <w:p w14:paraId="6F7C7512" w14:textId="77777777" w:rsidR="00BA62AD" w:rsidRPr="006E64EA" w:rsidRDefault="00BA62AD" w:rsidP="00BA62AD">
      <w:pPr>
        <w:spacing w:line="240" w:lineRule="auto"/>
        <w:ind w:left="708" w:right="709"/>
        <w:jc w:val="both"/>
        <w:rPr>
          <w:rFonts w:ascii="Arial" w:hAnsi="Arial" w:cs="Arial"/>
          <w:sz w:val="21"/>
          <w:szCs w:val="21"/>
        </w:rPr>
      </w:pPr>
      <w:bookmarkStart w:id="14" w:name="_Hlk75811446"/>
      <w:r w:rsidRPr="006E64EA">
        <w:rPr>
          <w:rFonts w:ascii="Arial" w:hAnsi="Arial" w:cs="Arial"/>
          <w:sz w:val="21"/>
          <w:szCs w:val="21"/>
        </w:rPr>
        <w:lastRenderedPageBreak/>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4"/>
      <w:r w:rsidRPr="006E64EA">
        <w:rPr>
          <w:rFonts w:ascii="Arial" w:hAnsi="Arial" w:cs="Arial"/>
          <w:vertAlign w:val="superscript"/>
        </w:rPr>
        <w:footnoteReference w:id="23"/>
      </w:r>
      <w:r w:rsidRPr="006E64EA">
        <w:rPr>
          <w:rFonts w:ascii="Arial" w:eastAsia="Times New Roman" w:hAnsi="Arial" w:cs="Arial"/>
          <w:bCs/>
          <w:lang w:eastAsia="x-none"/>
        </w:rPr>
        <w:t>.</w:t>
      </w:r>
    </w:p>
    <w:p w14:paraId="14A42D27" w14:textId="77777777" w:rsidR="00BA62AD" w:rsidRPr="006E64EA" w:rsidRDefault="00BA62AD" w:rsidP="00BA62AD">
      <w:pPr>
        <w:spacing w:after="120" w:line="276" w:lineRule="auto"/>
        <w:ind w:firstLine="709"/>
        <w:jc w:val="both"/>
        <w:rPr>
          <w:rFonts w:ascii="Arial" w:eastAsia="Times New Roman" w:hAnsi="Arial" w:cs="Arial"/>
          <w:bCs/>
          <w:lang w:eastAsia="x-none"/>
        </w:rPr>
      </w:pPr>
      <w:r w:rsidRPr="006E64EA">
        <w:rPr>
          <w:rFonts w:ascii="Arial" w:hAnsi="Arial" w:cs="Arial"/>
        </w:rPr>
        <w:t>Aplicando este razonamiento,</w:t>
      </w:r>
      <w:bookmarkStart w:id="15" w:name="_Hlk75811096"/>
      <w:r w:rsidRPr="006E64EA">
        <w:rPr>
          <w:rFonts w:ascii="Arial" w:hAnsi="Arial" w:cs="Arial"/>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w:t>
      </w:r>
      <w:r>
        <w:rPr>
          <w:rFonts w:ascii="Arial" w:hAnsi="Arial" w:cs="Arial"/>
        </w:rPr>
        <w:t>“</w:t>
      </w:r>
      <w:r w:rsidRPr="006E64EA">
        <w:rPr>
          <w:rFonts w:ascii="Arial" w:hAnsi="Arial" w:cs="Arial"/>
        </w:rPr>
        <w:t>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15"/>
      <w:r>
        <w:rPr>
          <w:rFonts w:ascii="Arial" w:hAnsi="Arial" w:cs="Arial"/>
        </w:rPr>
        <w:t>”</w:t>
      </w:r>
      <w:r w:rsidRPr="006E64EA">
        <w:rPr>
          <w:rFonts w:ascii="Arial" w:hAnsi="Arial" w:cs="Arial"/>
          <w:vertAlign w:val="superscript"/>
        </w:rPr>
        <w:t xml:space="preserve"> </w:t>
      </w:r>
      <w:r w:rsidRPr="006E64EA">
        <w:rPr>
          <w:rFonts w:ascii="Arial" w:hAnsi="Arial" w:cs="Arial"/>
          <w:vertAlign w:val="superscript"/>
        </w:rPr>
        <w:footnoteReference w:id="24"/>
      </w:r>
      <w:r w:rsidRPr="006E64EA">
        <w:rPr>
          <w:rFonts w:ascii="Arial" w:hAnsi="Arial" w:cs="Arial"/>
        </w:rPr>
        <w:t>.</w:t>
      </w:r>
    </w:p>
    <w:p w14:paraId="7964DD26" w14:textId="77777777" w:rsidR="00BA62AD" w:rsidRDefault="00BA62AD" w:rsidP="00BA62AD">
      <w:pPr>
        <w:spacing w:after="0" w:line="276" w:lineRule="auto"/>
        <w:ind w:firstLine="709"/>
        <w:jc w:val="both"/>
        <w:rPr>
          <w:rFonts w:ascii="Arial" w:hAnsi="Arial" w:cs="Arial"/>
          <w:bCs/>
        </w:rPr>
      </w:pPr>
      <w:bookmarkStart w:id="16" w:name="_Hlk77237229"/>
      <w:bookmarkEnd w:id="13"/>
      <w:r w:rsidRPr="006E64EA">
        <w:rPr>
          <w:rFonts w:ascii="Arial" w:hAnsi="Arial" w:cs="Arial"/>
        </w:rPr>
        <w:t>Por lo tanto, la restricción prevista en la Ley 996 de 200</w:t>
      </w:r>
      <w:bookmarkStart w:id="17" w:name="_Hlk75741539"/>
      <w:r w:rsidRPr="006E64EA">
        <w:rPr>
          <w:rFonts w:ascii="Arial" w:hAnsi="Arial" w:cs="Arial"/>
        </w:rPr>
        <w:t xml:space="preserve">5, </w:t>
      </w:r>
      <w:r w:rsidRPr="006E64EA">
        <w:rPr>
          <w:rFonts w:ascii="Arial" w:hAnsi="Arial" w:cs="Arial"/>
          <w:bCs/>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bookmarkEnd w:id="16"/>
      <w:bookmarkEnd w:id="17"/>
    </w:p>
    <w:p w14:paraId="2D84EC8C" w14:textId="77777777" w:rsidR="00BA62AD" w:rsidRPr="006E64EA" w:rsidRDefault="00BA62AD" w:rsidP="00BA62AD">
      <w:pPr>
        <w:spacing w:after="0" w:line="276" w:lineRule="auto"/>
        <w:ind w:firstLine="709"/>
        <w:jc w:val="both"/>
        <w:rPr>
          <w:rFonts w:ascii="Arial" w:hAnsi="Arial" w:cs="Arial"/>
          <w:bCs/>
        </w:rPr>
      </w:pPr>
    </w:p>
    <w:p w14:paraId="5F738682" w14:textId="77777777" w:rsidR="00BA62AD" w:rsidRDefault="00BA62AD" w:rsidP="00BA62AD">
      <w:pPr>
        <w:spacing w:after="0" w:line="276" w:lineRule="auto"/>
        <w:jc w:val="both"/>
        <w:rPr>
          <w:rFonts w:ascii="Arial" w:eastAsia="Times New Roman" w:hAnsi="Arial" w:cs="Arial"/>
          <w:b/>
          <w:bCs/>
          <w:lang w:val="es-ES_tradnl" w:eastAsia="es-CO"/>
        </w:rPr>
      </w:pPr>
      <w:r w:rsidRPr="006E64EA">
        <w:rPr>
          <w:rFonts w:ascii="Arial" w:hAnsi="Arial" w:cs="Arial"/>
          <w:b/>
          <w:bCs/>
        </w:rPr>
        <w:t xml:space="preserve">2.3. </w:t>
      </w:r>
      <w:r w:rsidRPr="006E64EA">
        <w:rPr>
          <w:rFonts w:ascii="Arial" w:eastAsia="Times New Roman" w:hAnsi="Arial" w:cs="Arial"/>
          <w:b/>
          <w:bCs/>
          <w:lang w:eastAsia="es-CO"/>
        </w:rPr>
        <w:t xml:space="preserve">Restricciones </w:t>
      </w:r>
      <w:bookmarkStart w:id="18" w:name="_Hlk75643279"/>
      <w:r w:rsidRPr="006E64EA">
        <w:rPr>
          <w:rFonts w:ascii="Arial" w:eastAsia="Times New Roman" w:hAnsi="Arial" w:cs="Arial"/>
          <w:b/>
          <w:bCs/>
          <w:lang w:eastAsia="es-CO"/>
        </w:rPr>
        <w:t>para la celebración de contratos y convenios interadministrativos en los comicios de cargos de elección popular</w:t>
      </w:r>
      <w:r w:rsidRPr="006E64EA">
        <w:rPr>
          <w:rFonts w:ascii="Arial" w:eastAsia="Times New Roman" w:hAnsi="Arial" w:cs="Arial"/>
          <w:b/>
          <w:bCs/>
          <w:lang w:val="es-ES_tradnl" w:eastAsia="es-CO"/>
        </w:rPr>
        <w:t>: prohibición del parágrafo del artículo 38 de la Ley 996 de 2005</w:t>
      </w:r>
    </w:p>
    <w:p w14:paraId="6DFC0649" w14:textId="77777777" w:rsidR="00BA62AD" w:rsidRPr="006E64EA" w:rsidRDefault="00BA62AD" w:rsidP="00BA62AD">
      <w:pPr>
        <w:spacing w:after="0" w:line="276" w:lineRule="auto"/>
        <w:jc w:val="both"/>
        <w:rPr>
          <w:rFonts w:ascii="Arial" w:hAnsi="Arial" w:cs="Arial"/>
          <w:b/>
          <w:bCs/>
        </w:rPr>
      </w:pPr>
    </w:p>
    <w:p w14:paraId="788A0F49" w14:textId="77777777" w:rsidR="00BA62AD" w:rsidRPr="006E64EA" w:rsidRDefault="00BA62AD" w:rsidP="00BA62AD">
      <w:pPr>
        <w:tabs>
          <w:tab w:val="left" w:pos="426"/>
        </w:tabs>
        <w:spacing w:after="120" w:line="276" w:lineRule="auto"/>
        <w:jc w:val="both"/>
        <w:rPr>
          <w:rFonts w:ascii="Arial" w:eastAsia="Calibri" w:hAnsi="Arial" w:cs="Arial"/>
          <w:bCs/>
        </w:rPr>
      </w:pPr>
      <w:bookmarkStart w:id="19" w:name="_Hlk101885981"/>
      <w:bookmarkEnd w:id="18"/>
      <w:r w:rsidRPr="006E64EA">
        <w:rPr>
          <w:rFonts w:ascii="Arial" w:eastAsia="Calibri" w:hAnsi="Arial" w:cs="Arial"/>
          <w:bCs/>
        </w:rPr>
        <w:lastRenderedPageBreak/>
        <w:t xml:space="preserve">El parágrafo del artículo 38 de la Ley 996 de 2005 dispone que </w:t>
      </w:r>
      <w:r>
        <w:rPr>
          <w:rFonts w:ascii="Arial" w:eastAsia="Calibri" w:hAnsi="Arial" w:cs="Arial"/>
          <w:bCs/>
        </w:rPr>
        <w:t>“</w:t>
      </w:r>
      <w:r w:rsidRPr="006E64EA">
        <w:rPr>
          <w:rFonts w:ascii="Arial" w:eastAsia="Calibri" w:hAnsi="Arial" w:cs="Arial"/>
          <w:bCs/>
        </w:rPr>
        <w:t xml:space="preserve">[l]os Gobernadores, </w:t>
      </w:r>
      <w:proofErr w:type="gramStart"/>
      <w:r w:rsidRPr="006E64EA">
        <w:rPr>
          <w:rFonts w:ascii="Arial" w:eastAsia="Calibri" w:hAnsi="Arial" w:cs="Arial"/>
          <w:bCs/>
        </w:rPr>
        <w:t>Alcaldes</w:t>
      </w:r>
      <w:proofErr w:type="gramEnd"/>
      <w:r w:rsidRPr="006E64EA">
        <w:rPr>
          <w:rFonts w:ascii="Arial" w:eastAsia="Calibri" w:hAnsi="Arial"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Pr>
          <w:rFonts w:ascii="Arial" w:eastAsia="Calibri" w:hAnsi="Arial" w:cs="Arial"/>
          <w:bCs/>
        </w:rPr>
        <w:t>”</w:t>
      </w:r>
      <w:r w:rsidRPr="006E64EA">
        <w:rPr>
          <w:rFonts w:ascii="Arial" w:eastAsia="Calibri" w:hAnsi="Arial" w:cs="Arial"/>
          <w:bCs/>
        </w:rPr>
        <w:t>.</w:t>
      </w:r>
      <w:r w:rsidRPr="006E64EA">
        <w:rPr>
          <w:rFonts w:ascii="Arial" w:eastAsia="Times New Roman" w:hAnsi="Arial" w:cs="Arial"/>
          <w:bCs/>
          <w:iCs/>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19"/>
      <w:r w:rsidRPr="006E64EA">
        <w:rPr>
          <w:rFonts w:ascii="Arial" w:eastAsia="Times New Roman" w:hAnsi="Arial" w:cs="Arial"/>
          <w:bCs/>
          <w:iCs/>
          <w:vertAlign w:val="superscript"/>
          <w:lang w:eastAsia="x-none"/>
        </w:rPr>
        <w:footnoteReference w:id="25"/>
      </w:r>
      <w:r w:rsidRPr="006E64EA">
        <w:rPr>
          <w:rFonts w:ascii="Arial" w:eastAsia="Times New Roman" w:hAnsi="Arial" w:cs="Arial"/>
          <w:bCs/>
          <w:iCs/>
          <w:lang w:eastAsia="x-none"/>
        </w:rPr>
        <w:t>.</w:t>
      </w:r>
      <w:r w:rsidRPr="006E64EA">
        <w:rPr>
          <w:rFonts w:ascii="Arial" w:hAnsi="Arial" w:cs="Arial"/>
        </w:rPr>
        <w:t xml:space="preserve"> </w:t>
      </w:r>
    </w:p>
    <w:p w14:paraId="63794B98" w14:textId="77777777" w:rsidR="00BA62AD" w:rsidRPr="006E64EA" w:rsidRDefault="00BA62AD" w:rsidP="00BA62AD">
      <w:pPr>
        <w:widowControl w:val="0"/>
        <w:autoSpaceDE w:val="0"/>
        <w:autoSpaceDN w:val="0"/>
        <w:spacing w:after="120" w:line="276" w:lineRule="auto"/>
        <w:ind w:firstLine="707"/>
        <w:jc w:val="both"/>
        <w:rPr>
          <w:rFonts w:ascii="Arial" w:eastAsia="Arial" w:hAnsi="Arial" w:cs="Arial"/>
          <w:lang w:val="es-ES" w:eastAsia="es-ES" w:bidi="es-ES"/>
        </w:rPr>
      </w:pPr>
      <w:r w:rsidRPr="006E64EA">
        <w:rPr>
          <w:rFonts w:ascii="Arial" w:eastAsia="Calibri" w:hAnsi="Arial" w:cs="Arial"/>
          <w:bCs/>
          <w:lang w:eastAsia="es-ES" w:bidi="es-ES"/>
        </w:rPr>
        <w:t xml:space="preserve">Ahora bien, </w:t>
      </w:r>
      <w:bookmarkStart w:id="20" w:name="_Hlk78820161"/>
      <w:r w:rsidRPr="006E64EA">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6E64EA">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6E64EA">
        <w:rPr>
          <w:rFonts w:ascii="Arial" w:eastAsia="Arial" w:hAnsi="Arial" w:cs="Arial"/>
          <w:vertAlign w:val="superscript"/>
          <w:lang w:val="es-ES" w:eastAsia="es-ES" w:bidi="es-ES"/>
        </w:rPr>
        <w:footnoteReference w:id="26"/>
      </w:r>
      <w:r w:rsidRPr="006E64EA">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E64EA">
        <w:rPr>
          <w:rFonts w:ascii="Arial" w:eastAsia="Arial" w:hAnsi="Arial" w:cs="Arial"/>
          <w:spacing w:val="-6"/>
          <w:lang w:val="es-ES" w:eastAsia="es-ES" w:bidi="es-ES"/>
        </w:rPr>
        <w:t xml:space="preserve"> </w:t>
      </w:r>
      <w:r w:rsidRPr="006E64EA">
        <w:rPr>
          <w:rFonts w:ascii="Arial" w:eastAsia="Arial" w:hAnsi="Arial" w:cs="Arial"/>
          <w:lang w:val="es-ES" w:eastAsia="es-ES" w:bidi="es-ES"/>
        </w:rPr>
        <w:t>estatales.</w:t>
      </w:r>
    </w:p>
    <w:p w14:paraId="3F55EB99" w14:textId="77777777" w:rsidR="00BA62AD" w:rsidRPr="006E64EA" w:rsidRDefault="00BA62AD" w:rsidP="00BA62AD">
      <w:pPr>
        <w:widowControl w:val="0"/>
        <w:autoSpaceDE w:val="0"/>
        <w:autoSpaceDN w:val="0"/>
        <w:spacing w:before="117" w:after="120" w:line="276" w:lineRule="auto"/>
        <w:ind w:firstLine="707"/>
        <w:jc w:val="both"/>
        <w:rPr>
          <w:rFonts w:ascii="Arial" w:eastAsia="Arial" w:hAnsi="Arial" w:cs="Arial"/>
          <w:lang w:val="es-ES" w:eastAsia="es-ES" w:bidi="es-ES"/>
        </w:rPr>
      </w:pPr>
      <w:bookmarkStart w:id="21" w:name="_Hlk78820654"/>
      <w:bookmarkEnd w:id="20"/>
      <w:r w:rsidRPr="006E64EA">
        <w:rPr>
          <w:rFonts w:ascii="Arial" w:eastAsia="Arial" w:hAnsi="Arial" w:cs="Arial"/>
          <w:lang w:val="es-ES" w:eastAsia="es-ES" w:bidi="es-ES"/>
        </w:rPr>
        <w:t>Si bien los contratos o convenios interadministrativos están previstos en la Ley 80 de 1993, en la Ley 1150 de 2007 y en el Decreto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1"/>
    <w:p w14:paraId="5E3C1D34" w14:textId="77777777" w:rsidR="00BA62AD" w:rsidRPr="006E64EA" w:rsidRDefault="00BA62AD" w:rsidP="00BA62AD">
      <w:pPr>
        <w:widowControl w:val="0"/>
        <w:autoSpaceDE w:val="0"/>
        <w:autoSpaceDN w:val="0"/>
        <w:spacing w:before="121" w:after="120" w:line="276" w:lineRule="auto"/>
        <w:ind w:firstLine="707"/>
        <w:jc w:val="both"/>
        <w:rPr>
          <w:rFonts w:ascii="Arial" w:eastAsia="Arial" w:hAnsi="Arial" w:cs="Arial"/>
          <w:lang w:val="es-ES" w:eastAsia="es-ES" w:bidi="es-ES"/>
        </w:rPr>
      </w:pPr>
      <w:r w:rsidRPr="006E64EA">
        <w:rPr>
          <w:rFonts w:ascii="Arial" w:eastAsia="Arial" w:hAnsi="Arial" w:cs="Arial"/>
          <w:lang w:val="es-ES" w:eastAsia="es-ES" w:bidi="es-ES"/>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w:t>
      </w:r>
      <w:r w:rsidRPr="006E64EA">
        <w:rPr>
          <w:rFonts w:ascii="Arial" w:eastAsia="Arial" w:hAnsi="Arial" w:cs="Arial"/>
          <w:lang w:val="es-ES" w:eastAsia="es-ES" w:bidi="es-ES"/>
        </w:rPr>
        <w:lastRenderedPageBreak/>
        <w:t>oferentes</w:t>
      </w:r>
      <w:r w:rsidRPr="006E64EA">
        <w:rPr>
          <w:rFonts w:ascii="Arial" w:eastAsia="Arial" w:hAnsi="Arial" w:cs="Arial"/>
          <w:vertAlign w:val="superscript"/>
          <w:lang w:val="es-ES" w:eastAsia="es-ES" w:bidi="es-ES"/>
        </w:rPr>
        <w:footnoteReference w:id="27"/>
      </w:r>
      <w:r w:rsidRPr="006E64EA">
        <w:rPr>
          <w:rFonts w:ascii="Arial" w:eastAsia="Arial" w:hAnsi="Arial" w:cs="Arial"/>
          <w:lang w:val="es-ES" w:eastAsia="es-ES" w:bidi="es-ES"/>
        </w:rPr>
        <w:t>. Nótese que, en este caso, lo que cambia es la modalidad de selección y no la naturaleza de contrato</w:t>
      </w:r>
      <w:r w:rsidRPr="006E64EA">
        <w:rPr>
          <w:rFonts w:ascii="Arial" w:eastAsia="Arial" w:hAnsi="Arial" w:cs="Arial"/>
          <w:spacing w:val="-18"/>
          <w:lang w:val="es-ES" w:eastAsia="es-ES" w:bidi="es-ES"/>
        </w:rPr>
        <w:t xml:space="preserve"> </w:t>
      </w:r>
      <w:r w:rsidRPr="006E64EA">
        <w:rPr>
          <w:rFonts w:ascii="Arial" w:eastAsia="Arial" w:hAnsi="Arial" w:cs="Arial"/>
          <w:lang w:val="es-ES" w:eastAsia="es-ES" w:bidi="es-ES"/>
        </w:rPr>
        <w:t>interadministrativo.</w:t>
      </w:r>
    </w:p>
    <w:p w14:paraId="43393ED0" w14:textId="77777777" w:rsidR="00BA62AD" w:rsidRDefault="00BA62AD" w:rsidP="00BA62AD">
      <w:pPr>
        <w:widowControl w:val="0"/>
        <w:autoSpaceDE w:val="0"/>
        <w:autoSpaceDN w:val="0"/>
        <w:spacing w:after="0" w:line="276" w:lineRule="auto"/>
        <w:ind w:firstLine="707"/>
        <w:jc w:val="both"/>
        <w:rPr>
          <w:rFonts w:ascii="Arial" w:eastAsia="Arial" w:hAnsi="Arial" w:cs="Arial"/>
          <w:lang w:val="es-ES" w:eastAsia="es-ES" w:bidi="es-ES"/>
        </w:rPr>
      </w:pPr>
      <w:r w:rsidRPr="006E64EA">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6E64EA">
        <w:rPr>
          <w:rFonts w:ascii="Arial" w:eastAsia="Arial" w:hAnsi="Arial" w:cs="Arial"/>
          <w:spacing w:val="-13"/>
          <w:lang w:val="es-ES" w:eastAsia="es-ES" w:bidi="es-ES"/>
        </w:rPr>
        <w:t xml:space="preserve"> </w:t>
      </w:r>
      <w:r w:rsidRPr="006E64EA">
        <w:rPr>
          <w:rFonts w:ascii="Arial" w:eastAsia="Arial" w:hAnsi="Arial" w:cs="Arial"/>
          <w:lang w:val="es-ES" w:eastAsia="es-ES" w:bidi="es-ES"/>
        </w:rPr>
        <w:t>que:</w:t>
      </w:r>
    </w:p>
    <w:p w14:paraId="062B931F" w14:textId="77777777" w:rsidR="00BA62AD" w:rsidRPr="006E64EA" w:rsidRDefault="00BA62AD" w:rsidP="00BA62AD">
      <w:pPr>
        <w:widowControl w:val="0"/>
        <w:autoSpaceDE w:val="0"/>
        <w:autoSpaceDN w:val="0"/>
        <w:spacing w:after="0" w:line="276" w:lineRule="auto"/>
        <w:ind w:firstLine="707"/>
        <w:jc w:val="both"/>
        <w:rPr>
          <w:rFonts w:ascii="Arial" w:eastAsia="Arial" w:hAnsi="Arial" w:cs="Arial"/>
          <w:lang w:val="es-ES" w:eastAsia="es-ES" w:bidi="es-ES"/>
        </w:rPr>
      </w:pPr>
    </w:p>
    <w:p w14:paraId="50B7D2C5" w14:textId="77777777" w:rsidR="00BA62AD" w:rsidRDefault="00BA62AD" w:rsidP="00BA62AD">
      <w:pPr>
        <w:spacing w:after="0" w:line="240" w:lineRule="auto"/>
        <w:ind w:left="709" w:right="709"/>
        <w:jc w:val="both"/>
        <w:rPr>
          <w:rFonts w:ascii="Arial" w:hAnsi="Arial" w:cs="Arial"/>
          <w:sz w:val="21"/>
        </w:rPr>
      </w:pPr>
      <w:r w:rsidRPr="006E64EA">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6E64EA">
        <w:rPr>
          <w:rFonts w:ascii="Arial" w:hAnsi="Arial" w:cs="Arial"/>
          <w:sz w:val="21"/>
        </w:rPr>
        <w:t>ii</w:t>
      </w:r>
      <w:proofErr w:type="spellEnd"/>
      <w:r w:rsidRPr="006E64EA">
        <w:rPr>
          <w:rFonts w:ascii="Arial" w:hAnsi="Arial" w:cs="Arial"/>
          <w:sz w:val="21"/>
        </w:rPr>
        <w:t>) tienen como fuente la autonomía contractual; (</w:t>
      </w:r>
      <w:proofErr w:type="spellStart"/>
      <w:r w:rsidRPr="006E64EA">
        <w:rPr>
          <w:rFonts w:ascii="Arial" w:hAnsi="Arial" w:cs="Arial"/>
          <w:sz w:val="21"/>
        </w:rPr>
        <w:t>iii</w:t>
      </w:r>
      <w:proofErr w:type="spellEnd"/>
      <w:r w:rsidRPr="006E64EA">
        <w:rPr>
          <w:rFonts w:ascii="Arial" w:hAnsi="Arial" w:cs="Arial"/>
          <w:sz w:val="21"/>
        </w:rPr>
        <w:t>) son contratos nominados puesto que están mencionados en la ley; (</w:t>
      </w:r>
      <w:proofErr w:type="spellStart"/>
      <w:r w:rsidRPr="006E64EA">
        <w:rPr>
          <w:rFonts w:ascii="Arial" w:hAnsi="Arial" w:cs="Arial"/>
          <w:sz w:val="21"/>
        </w:rPr>
        <w:t>iv</w:t>
      </w:r>
      <w:proofErr w:type="spellEnd"/>
      <w:r w:rsidRPr="006E64EA">
        <w:rPr>
          <w:rFonts w:ascii="Arial" w:hAnsi="Arial"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6E64EA">
        <w:rPr>
          <w:rFonts w:ascii="Arial" w:hAnsi="Arial" w:cs="Arial"/>
          <w:sz w:val="21"/>
        </w:rPr>
        <w:t>vii</w:t>
      </w:r>
      <w:proofErr w:type="spellEnd"/>
      <w:r w:rsidRPr="006E64EA">
        <w:rPr>
          <w:rFonts w:ascii="Arial" w:hAnsi="Arial" w:cs="Arial"/>
          <w:sz w:val="21"/>
        </w:rPr>
        <w:t>) persiguen  una finalidad común a través de la realización de intereses compartidos entre las entidades vinculadas; (</w:t>
      </w:r>
      <w:proofErr w:type="spellStart"/>
      <w:r w:rsidRPr="006E64EA">
        <w:rPr>
          <w:rFonts w:ascii="Arial" w:hAnsi="Arial" w:cs="Arial"/>
          <w:sz w:val="21"/>
        </w:rPr>
        <w:t>viii</w:t>
      </w:r>
      <w:proofErr w:type="spellEnd"/>
      <w:r w:rsidRPr="006E64EA">
        <w:rPr>
          <w:rFonts w:ascii="Arial" w:hAnsi="Arial" w:cs="Arial"/>
          <w:sz w:val="21"/>
        </w:rPr>
        <w:t>) la acción mediante la cual se deben ventilar las diferencias que sobre el particular surjan es la de controversias contractuales</w:t>
      </w:r>
      <w:r w:rsidRPr="006E64EA">
        <w:rPr>
          <w:rFonts w:ascii="Arial" w:hAnsi="Arial" w:cs="Arial"/>
          <w:sz w:val="21"/>
          <w:vertAlign w:val="superscript"/>
        </w:rPr>
        <w:footnoteReference w:id="28"/>
      </w:r>
      <w:r w:rsidRPr="006E64EA">
        <w:rPr>
          <w:rFonts w:ascii="Arial" w:hAnsi="Arial" w:cs="Arial"/>
          <w:sz w:val="21"/>
        </w:rPr>
        <w:t>.</w:t>
      </w:r>
    </w:p>
    <w:p w14:paraId="371DA67C" w14:textId="77777777" w:rsidR="00BA62AD" w:rsidRPr="006202C7" w:rsidRDefault="00BA62AD" w:rsidP="00BA62AD">
      <w:pPr>
        <w:spacing w:after="0" w:line="240" w:lineRule="auto"/>
        <w:ind w:left="709" w:right="709"/>
        <w:jc w:val="both"/>
        <w:rPr>
          <w:rFonts w:ascii="Arial" w:hAnsi="Arial" w:cs="Arial"/>
          <w:sz w:val="21"/>
        </w:rPr>
      </w:pPr>
    </w:p>
    <w:p w14:paraId="0788B180" w14:textId="77777777" w:rsidR="00BA62AD" w:rsidRPr="006E64EA" w:rsidRDefault="00BA62AD" w:rsidP="00BA62AD">
      <w:pPr>
        <w:widowControl w:val="0"/>
        <w:autoSpaceDE w:val="0"/>
        <w:autoSpaceDN w:val="0"/>
        <w:spacing w:after="120" w:line="276" w:lineRule="auto"/>
        <w:ind w:firstLine="707"/>
        <w:jc w:val="both"/>
        <w:rPr>
          <w:rFonts w:ascii="Arial" w:eastAsia="Arial" w:hAnsi="Arial" w:cs="Arial"/>
          <w:lang w:val="es-ES" w:eastAsia="es-ES" w:bidi="es-ES"/>
        </w:rPr>
      </w:pPr>
      <w:r w:rsidRPr="006E64EA">
        <w:rPr>
          <w:rFonts w:ascii="Arial" w:eastAsia="Arial" w:hAnsi="Arial" w:cs="Arial"/>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w:t>
      </w:r>
      <w:r w:rsidRPr="006E64EA">
        <w:rPr>
          <w:rFonts w:ascii="Arial" w:eastAsia="Arial" w:hAnsi="Arial" w:cs="Arial"/>
          <w:lang w:val="es-ES" w:eastAsia="es-ES" w:bidi="es-ES"/>
        </w:rPr>
        <w:lastRenderedPageBreak/>
        <w:t>contratación directa como la modalidad de selección aplicable, por regla general, a la celebración de los contratos interadministrativos.</w:t>
      </w:r>
    </w:p>
    <w:p w14:paraId="220E35CC" w14:textId="77777777" w:rsidR="00BA62AD" w:rsidRPr="006E64EA" w:rsidRDefault="00BA62AD" w:rsidP="00BA62AD">
      <w:pPr>
        <w:widowControl w:val="0"/>
        <w:autoSpaceDE w:val="0"/>
        <w:autoSpaceDN w:val="0"/>
        <w:spacing w:before="119" w:after="120" w:line="276" w:lineRule="auto"/>
        <w:ind w:firstLine="707"/>
        <w:jc w:val="both"/>
        <w:rPr>
          <w:rFonts w:ascii="Arial" w:eastAsia="Arial" w:hAnsi="Arial" w:cs="Arial"/>
          <w:lang w:val="es-ES" w:eastAsia="es-ES" w:bidi="es-ES"/>
        </w:rPr>
      </w:pPr>
      <w:r w:rsidRPr="006E64EA">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6E64EA">
        <w:rPr>
          <w:rFonts w:ascii="Arial" w:eastAsia="Arial" w:hAnsi="Arial" w:cs="Arial"/>
          <w:spacing w:val="-3"/>
          <w:lang w:val="es-ES" w:eastAsia="es-ES" w:bidi="es-ES"/>
        </w:rPr>
        <w:t xml:space="preserve"> </w:t>
      </w:r>
      <w:r w:rsidRPr="006E64EA">
        <w:rPr>
          <w:rFonts w:ascii="Arial" w:eastAsia="Arial" w:hAnsi="Arial" w:cs="Arial"/>
          <w:lang w:val="es-ES" w:eastAsia="es-ES" w:bidi="es-ES"/>
        </w:rPr>
        <w:t>estatales.</w:t>
      </w:r>
    </w:p>
    <w:p w14:paraId="163292BA" w14:textId="77777777" w:rsidR="00BA62AD" w:rsidRPr="006E64EA" w:rsidRDefault="00BA62AD" w:rsidP="00BA62AD">
      <w:pPr>
        <w:widowControl w:val="0"/>
        <w:autoSpaceDE w:val="0"/>
        <w:autoSpaceDN w:val="0"/>
        <w:spacing w:before="120" w:after="200" w:line="276" w:lineRule="auto"/>
        <w:ind w:firstLine="709"/>
        <w:jc w:val="both"/>
        <w:rPr>
          <w:rFonts w:ascii="Arial" w:eastAsia="Arial" w:hAnsi="Arial" w:cs="Arial"/>
          <w:lang w:val="es-ES" w:eastAsia="es-ES" w:bidi="es-ES"/>
        </w:rPr>
      </w:pPr>
      <w:r w:rsidRPr="006E64EA">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6E64EA">
        <w:rPr>
          <w:rFonts w:ascii="Arial" w:eastAsia="Arial" w:hAnsi="Arial" w:cs="Arial"/>
          <w:spacing w:val="-4"/>
          <w:lang w:val="es-ES" w:eastAsia="es-ES" w:bidi="es-ES"/>
        </w:rPr>
        <w:t xml:space="preserve"> </w:t>
      </w:r>
      <w:r w:rsidRPr="006E64EA">
        <w:rPr>
          <w:rFonts w:ascii="Arial" w:eastAsia="Arial" w:hAnsi="Arial" w:cs="Arial"/>
          <w:lang w:val="es-ES" w:eastAsia="es-ES" w:bidi="es-ES"/>
        </w:rPr>
        <w:t>estatales.</w:t>
      </w:r>
    </w:p>
    <w:p w14:paraId="2D33A537" w14:textId="77777777" w:rsidR="00BA62AD" w:rsidRPr="006E64EA" w:rsidRDefault="00BA62AD" w:rsidP="00BA62AD">
      <w:pPr>
        <w:widowControl w:val="0"/>
        <w:autoSpaceDE w:val="0"/>
        <w:autoSpaceDN w:val="0"/>
        <w:spacing w:before="122" w:after="120" w:line="276" w:lineRule="auto"/>
        <w:ind w:firstLine="708"/>
        <w:jc w:val="both"/>
        <w:rPr>
          <w:rFonts w:ascii="Arial" w:eastAsia="Arial" w:hAnsi="Arial" w:cs="Arial"/>
          <w:lang w:val="es-ES" w:eastAsia="es-ES" w:bidi="es-ES"/>
        </w:rPr>
      </w:pPr>
      <w:r w:rsidRPr="006E64EA">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155F8F0" w14:textId="77777777" w:rsidR="00BA62AD" w:rsidRPr="006E64EA" w:rsidRDefault="00BA62AD" w:rsidP="00BA62AD">
      <w:pPr>
        <w:widowControl w:val="0"/>
        <w:autoSpaceDE w:val="0"/>
        <w:autoSpaceDN w:val="0"/>
        <w:spacing w:line="276" w:lineRule="auto"/>
        <w:ind w:firstLine="708"/>
        <w:jc w:val="both"/>
        <w:rPr>
          <w:rFonts w:ascii="Arial" w:eastAsia="Calibri" w:hAnsi="Arial" w:cs="Arial"/>
          <w:bCs/>
          <w:lang w:eastAsia="es-ES" w:bidi="es-ES"/>
        </w:rPr>
      </w:pPr>
      <w:r w:rsidRPr="006E64EA">
        <w:rPr>
          <w:rFonts w:ascii="Arial" w:eastAsia="Arial" w:hAnsi="Arial" w:cs="Arial"/>
          <w:lang w:val="es-ES" w:eastAsia="es-ES" w:bidi="es-ES"/>
        </w:rPr>
        <w:t xml:space="preserve">Por tanto, aunque el artículo 95 de la Ley 489 de 1998 dispone que </w:t>
      </w:r>
      <w:r>
        <w:rPr>
          <w:rFonts w:ascii="Arial" w:eastAsia="Arial" w:hAnsi="Arial" w:cs="Arial"/>
          <w:lang w:val="es-ES" w:eastAsia="es-ES" w:bidi="es-ES"/>
        </w:rPr>
        <w:t>“</w:t>
      </w:r>
      <w:r w:rsidRPr="006E64EA">
        <w:rPr>
          <w:rFonts w:ascii="Arial" w:eastAsia="Arial" w:hAnsi="Arial" w:cs="Arial"/>
          <w:lang w:val="es-ES" w:eastAsia="es-ES" w:bidi="es-ES"/>
        </w:rPr>
        <w:t>Las entidades públicas podrán asociarse con el fin de cooperar en el cumplimiento de funciones administrativas o de prestar conjuntamente servicios que se hallen a su cargo, mediante la celebración de convenios interadministrativos […]</w:t>
      </w:r>
      <w:r>
        <w:rPr>
          <w:rFonts w:ascii="Arial" w:eastAsia="Arial" w:hAnsi="Arial" w:cs="Arial"/>
          <w:lang w:val="es-ES" w:eastAsia="es-ES" w:bidi="es-ES"/>
        </w:rPr>
        <w:t>”</w:t>
      </w:r>
      <w:r w:rsidRPr="006E64EA">
        <w:rPr>
          <w:rFonts w:ascii="Arial" w:eastAsia="Arial" w:hAnsi="Arial" w:cs="Arial"/>
          <w:lang w:val="es-ES" w:eastAsia="es-ES" w:bidi="es-ES"/>
        </w:rPr>
        <w:t xml:space="preserve">, esto no significa que dichos acuerdos estén exceptuados del Estatuto General de Contratación de la Administración Pública por no tener carácter contractual. Por ello, la jurisprudencia considera que </w:t>
      </w:r>
      <w:r>
        <w:rPr>
          <w:rFonts w:ascii="Arial" w:eastAsia="Arial" w:hAnsi="Arial" w:cs="Arial"/>
          <w:lang w:val="es-ES" w:eastAsia="es-ES" w:bidi="es-ES"/>
        </w:rPr>
        <w:t>“</w:t>
      </w:r>
      <w:r w:rsidRPr="006E64EA">
        <w:rPr>
          <w:rFonts w:ascii="Arial" w:eastAsia="Arial" w:hAnsi="Arial" w:cs="Arial"/>
          <w:lang w:val="es-ES" w:eastAsia="es-ES" w:bidi="es-ES"/>
        </w:rPr>
        <w:t xml:space="preserve">Estos convenios cuentan con las características propias de los contratos, cuando su objeto lo constituyen obligaciones patrimoniales, y las entidades </w:t>
      </w:r>
      <w:r w:rsidRPr="006E64EA">
        <w:rPr>
          <w:rFonts w:ascii="Arial" w:eastAsia="Arial" w:hAnsi="Arial" w:cs="Arial"/>
          <w:lang w:val="es-ES" w:eastAsia="es-ES" w:bidi="es-ES"/>
        </w:rPr>
        <w:lastRenderedPageBreak/>
        <w:t>estatales que los conforman están sujetas tanto a la normativa contractual pública, como a las normas del derecho civil</w:t>
      </w:r>
      <w:r w:rsidRPr="006E64EA">
        <w:rPr>
          <w:rFonts w:ascii="Arial" w:eastAsia="Arial" w:hAnsi="Arial" w:cs="Arial"/>
          <w:spacing w:val="-4"/>
          <w:lang w:val="es-ES" w:eastAsia="es-ES" w:bidi="es-ES"/>
        </w:rPr>
        <w:t xml:space="preserve"> </w:t>
      </w:r>
      <w:r w:rsidRPr="006E64EA">
        <w:rPr>
          <w:rFonts w:ascii="Arial" w:eastAsia="Arial" w:hAnsi="Arial" w:cs="Arial"/>
          <w:lang w:val="es-ES" w:eastAsia="es-ES" w:bidi="es-ES"/>
        </w:rPr>
        <w:t>[…]</w:t>
      </w:r>
      <w:r>
        <w:rPr>
          <w:rFonts w:ascii="Arial" w:eastAsia="Arial" w:hAnsi="Arial" w:cs="Arial"/>
          <w:lang w:val="es-ES" w:eastAsia="es-ES" w:bidi="es-ES"/>
        </w:rPr>
        <w:t>”</w:t>
      </w:r>
      <w:r w:rsidRPr="006E64EA">
        <w:rPr>
          <w:rFonts w:ascii="Arial" w:eastAsia="Arial" w:hAnsi="Arial" w:cs="Arial"/>
          <w:vertAlign w:val="superscript"/>
          <w:lang w:val="es-ES" w:eastAsia="es-ES" w:bidi="es-ES"/>
        </w:rPr>
        <w:footnoteReference w:id="29"/>
      </w:r>
      <w:r w:rsidRPr="006E64EA">
        <w:rPr>
          <w:rFonts w:ascii="Arial" w:eastAsia="Arial" w:hAnsi="Arial" w:cs="Arial"/>
          <w:lang w:val="es-ES" w:eastAsia="es-ES" w:bidi="es-ES"/>
        </w:rPr>
        <w:t>.</w:t>
      </w:r>
      <w:bookmarkStart w:id="22" w:name="_Hlk77171241"/>
    </w:p>
    <w:p w14:paraId="4A3BCD61" w14:textId="77777777" w:rsidR="00BA62AD" w:rsidRPr="006E64EA" w:rsidRDefault="00BA62AD" w:rsidP="00BA62AD">
      <w:pPr>
        <w:widowControl w:val="0"/>
        <w:autoSpaceDE w:val="0"/>
        <w:autoSpaceDN w:val="0"/>
        <w:spacing w:before="122" w:after="200" w:line="276" w:lineRule="auto"/>
        <w:ind w:firstLine="709"/>
        <w:jc w:val="both"/>
        <w:rPr>
          <w:rFonts w:ascii="Arial" w:eastAsia="Arial" w:hAnsi="Arial" w:cs="Arial"/>
          <w:lang w:val="es-ES" w:eastAsia="es-ES" w:bidi="es-ES"/>
        </w:rPr>
      </w:pPr>
      <w:r w:rsidRPr="006E64EA">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342D2EF" w14:textId="77777777" w:rsidR="00BA62AD" w:rsidRDefault="00BA62AD" w:rsidP="00BA62AD">
      <w:pPr>
        <w:spacing w:after="0"/>
        <w:ind w:left="709" w:right="709"/>
        <w:jc w:val="both"/>
        <w:rPr>
          <w:rFonts w:ascii="Arial" w:hAnsi="Arial" w:cs="Arial"/>
          <w:sz w:val="21"/>
          <w:szCs w:val="21"/>
          <w:lang w:val="es-ES_tradnl"/>
        </w:rPr>
      </w:pPr>
      <w:r w:rsidRPr="006E64EA">
        <w:rPr>
          <w:rFonts w:ascii="Arial" w:hAnsi="Arial" w:cs="Arial"/>
          <w:sz w:val="21"/>
          <w:szCs w:val="21"/>
          <w:lang w:val="es-ES_tradnl"/>
        </w:rPr>
        <w:t>La Sala de Consulta y Servicio Civil</w:t>
      </w:r>
      <w:r w:rsidRPr="006E64EA">
        <w:rPr>
          <w:rFonts w:ascii="Arial" w:hAnsi="Arial" w:cs="Arial"/>
          <w:sz w:val="21"/>
          <w:szCs w:val="21"/>
          <w:vertAlign w:val="superscript"/>
          <w:lang w:val="es-ES_tradnl"/>
        </w:rPr>
        <w:footnoteReference w:id="30"/>
      </w:r>
      <w:r w:rsidRPr="006E64EA">
        <w:rPr>
          <w:rFonts w:ascii="Arial" w:hAnsi="Arial" w:cs="Arial"/>
          <w:sz w:val="21"/>
          <w:szCs w:val="21"/>
          <w:lang w:val="es-ES_tradnl"/>
        </w:rPr>
        <w:t xml:space="preserve"> de esta Corporación se ha referido a los </w:t>
      </w:r>
      <w:r w:rsidRPr="006E64EA">
        <w:rPr>
          <w:rFonts w:ascii="Arial" w:hAnsi="Arial" w:cs="Arial"/>
          <w:i/>
          <w:sz w:val="21"/>
          <w:szCs w:val="21"/>
          <w:lang w:val="es-ES_tradnl"/>
        </w:rPr>
        <w:t>“convenios interadministrativos”</w:t>
      </w:r>
      <w:r w:rsidRPr="006E64EA">
        <w:rPr>
          <w:rFonts w:ascii="Arial" w:hAnsi="Arial" w:cs="Arial"/>
          <w:sz w:val="21"/>
          <w:szCs w:val="21"/>
          <w:lang w:val="es-ES_tradnl"/>
        </w:rPr>
        <w:t xml:space="preserve"> a los cuales alude el artículo 95 de la Ley 489 de 1998, calificándolos de </w:t>
      </w:r>
      <w:r w:rsidRPr="006E64EA">
        <w:rPr>
          <w:rFonts w:ascii="Arial" w:hAnsi="Arial" w:cs="Arial"/>
          <w:i/>
          <w:sz w:val="21"/>
          <w:szCs w:val="21"/>
          <w:lang w:val="es-ES_tradnl"/>
        </w:rPr>
        <w:t xml:space="preserve">“puros” </w:t>
      </w:r>
      <w:r w:rsidRPr="006E64EA">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6E64EA">
        <w:rPr>
          <w:rFonts w:ascii="Arial" w:hAnsi="Arial" w:cs="Arial"/>
          <w:i/>
          <w:sz w:val="21"/>
          <w:szCs w:val="21"/>
          <w:lang w:val="es-ES_tradnl"/>
        </w:rPr>
        <w:t>“intercambio patrimonial”</w:t>
      </w:r>
      <w:r w:rsidRPr="006E64EA">
        <w:rPr>
          <w:rFonts w:ascii="Arial" w:hAnsi="Arial" w:cs="Arial"/>
          <w:sz w:val="21"/>
          <w:szCs w:val="21"/>
          <w:lang w:val="es-ES_tradnl"/>
        </w:rPr>
        <w:t>. Sin perjuicio de lo anterior, en otra oportunidad, la misma Sala</w:t>
      </w:r>
      <w:r w:rsidRPr="006E64EA">
        <w:rPr>
          <w:rFonts w:ascii="Arial" w:hAnsi="Arial" w:cs="Arial"/>
          <w:sz w:val="21"/>
          <w:szCs w:val="21"/>
          <w:vertAlign w:val="superscript"/>
          <w:lang w:val="es-ES_tradnl"/>
        </w:rPr>
        <w:footnoteReference w:id="31"/>
      </w:r>
      <w:r w:rsidRPr="006E64EA">
        <w:rPr>
          <w:rFonts w:ascii="Arial" w:hAnsi="Arial" w:cs="Arial"/>
          <w:sz w:val="21"/>
          <w:szCs w:val="21"/>
          <w:lang w:val="es-ES_tradnl"/>
        </w:rPr>
        <w:t xml:space="preserve"> había indicado que, si bien en dichos convenios no se daba un </w:t>
      </w:r>
      <w:r w:rsidRPr="006E64EA">
        <w:rPr>
          <w:rFonts w:ascii="Arial" w:hAnsi="Arial" w:cs="Arial"/>
          <w:i/>
          <w:sz w:val="21"/>
          <w:szCs w:val="21"/>
          <w:lang w:val="es-ES_tradnl"/>
        </w:rPr>
        <w:t>“verdadero intercambio de bienes o servicios (contrato conmutativo)”</w:t>
      </w:r>
      <w:r w:rsidRPr="006E64EA">
        <w:rPr>
          <w:rFonts w:ascii="Arial" w:hAnsi="Arial" w:cs="Arial"/>
          <w:sz w:val="21"/>
          <w:szCs w:val="21"/>
          <w:lang w:val="es-ES_tradnl"/>
        </w:rPr>
        <w:t>, ello no impedía que se conviniera una remuneración a cargo de alguna(s) entidad(es).</w:t>
      </w:r>
    </w:p>
    <w:p w14:paraId="65A30CB7" w14:textId="77777777" w:rsidR="00BA62AD" w:rsidRPr="006E64EA" w:rsidRDefault="00BA62AD" w:rsidP="00BA62AD">
      <w:pPr>
        <w:spacing w:after="0"/>
        <w:ind w:left="709" w:right="709"/>
        <w:jc w:val="both"/>
        <w:rPr>
          <w:rFonts w:ascii="Arial" w:hAnsi="Arial" w:cs="Arial"/>
          <w:sz w:val="21"/>
          <w:szCs w:val="21"/>
          <w:lang w:val="es-ES_tradnl"/>
        </w:rPr>
      </w:pPr>
    </w:p>
    <w:p w14:paraId="3B2BA5EB" w14:textId="77777777" w:rsidR="00BA62AD" w:rsidRDefault="00BA62AD" w:rsidP="00BA62AD">
      <w:pPr>
        <w:widowControl w:val="0"/>
        <w:autoSpaceDE w:val="0"/>
        <w:autoSpaceDN w:val="0"/>
        <w:spacing w:after="0"/>
        <w:ind w:left="709" w:right="709"/>
        <w:jc w:val="both"/>
        <w:rPr>
          <w:rFonts w:ascii="Arial" w:eastAsia="Arial" w:hAnsi="Arial" w:cs="Arial"/>
          <w:sz w:val="21"/>
          <w:szCs w:val="21"/>
          <w:lang w:val="es-ES_tradnl" w:eastAsia="es-ES" w:bidi="es-ES"/>
        </w:rPr>
      </w:pPr>
      <w:r w:rsidRPr="006E64EA">
        <w:rPr>
          <w:rFonts w:ascii="Arial" w:eastAsia="Arial" w:hAnsi="Arial" w:cs="Arial"/>
          <w:sz w:val="21"/>
          <w:szCs w:val="21"/>
          <w:lang w:val="es-ES_tradnl" w:eastAsia="es-ES" w:bidi="es-ES"/>
        </w:rPr>
        <w:t xml:space="preserve">Lo expuesto evidencia que, en general, las interpretaciones en torno a los </w:t>
      </w:r>
      <w:r w:rsidRPr="006E64EA">
        <w:rPr>
          <w:rFonts w:ascii="Arial" w:eastAsia="Arial" w:hAnsi="Arial" w:cs="Arial"/>
          <w:i/>
          <w:sz w:val="21"/>
          <w:szCs w:val="21"/>
          <w:lang w:val="es-ES_tradnl" w:eastAsia="es-ES" w:bidi="es-ES"/>
        </w:rPr>
        <w:t>“convenios interadministrativos”</w:t>
      </w:r>
      <w:r w:rsidRPr="006E64EA">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E64EA">
        <w:rPr>
          <w:rFonts w:ascii="Arial" w:eastAsia="Arial" w:hAnsi="Arial" w:cs="Arial"/>
          <w:sz w:val="21"/>
          <w:szCs w:val="21"/>
          <w:vertAlign w:val="superscript"/>
          <w:lang w:val="es-ES_tradnl" w:eastAsia="es-ES" w:bidi="es-ES"/>
        </w:rPr>
        <w:footnoteReference w:id="32"/>
      </w:r>
      <w:r w:rsidRPr="006E64EA">
        <w:rPr>
          <w:rFonts w:ascii="Arial" w:eastAsia="Arial" w:hAnsi="Arial" w:cs="Arial"/>
          <w:sz w:val="21"/>
          <w:szCs w:val="21"/>
          <w:vertAlign w:val="superscript"/>
          <w:lang w:val="es-ES_tradnl" w:eastAsia="es-ES" w:bidi="es-ES"/>
        </w:rPr>
        <w:footnoteReference w:id="33"/>
      </w:r>
      <w:r w:rsidRPr="006E64EA">
        <w:rPr>
          <w:rFonts w:ascii="Arial" w:eastAsia="Arial" w:hAnsi="Arial" w:cs="Arial"/>
          <w:sz w:val="21"/>
          <w:szCs w:val="21"/>
          <w:lang w:val="es-ES_tradnl" w:eastAsia="es-ES" w:bidi="es-ES"/>
        </w:rPr>
        <w:t>.</w:t>
      </w:r>
    </w:p>
    <w:p w14:paraId="1488EF42" w14:textId="77777777" w:rsidR="00BA62AD" w:rsidRPr="006E64EA" w:rsidRDefault="00BA62AD" w:rsidP="00BA62AD">
      <w:pPr>
        <w:widowControl w:val="0"/>
        <w:autoSpaceDE w:val="0"/>
        <w:autoSpaceDN w:val="0"/>
        <w:spacing w:after="0"/>
        <w:ind w:left="709" w:right="709"/>
        <w:jc w:val="both"/>
        <w:rPr>
          <w:rFonts w:ascii="Arial" w:eastAsia="Arial" w:hAnsi="Arial" w:cs="Arial"/>
          <w:sz w:val="21"/>
          <w:szCs w:val="21"/>
          <w:lang w:val="es-ES" w:eastAsia="es-ES" w:bidi="es-ES"/>
        </w:rPr>
      </w:pPr>
    </w:p>
    <w:p w14:paraId="644F6402" w14:textId="77777777" w:rsidR="00BA62AD" w:rsidRPr="006E64EA" w:rsidRDefault="00BA62AD" w:rsidP="00BA62AD">
      <w:pPr>
        <w:widowControl w:val="0"/>
        <w:autoSpaceDE w:val="0"/>
        <w:autoSpaceDN w:val="0"/>
        <w:spacing w:after="120" w:line="276" w:lineRule="auto"/>
        <w:jc w:val="both"/>
        <w:rPr>
          <w:rFonts w:ascii="Arial" w:eastAsia="Arial" w:hAnsi="Arial" w:cs="Arial"/>
          <w:lang w:val="es-ES" w:eastAsia="es-ES" w:bidi="es-ES"/>
        </w:rPr>
      </w:pPr>
      <w:r w:rsidRPr="006E64EA">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6E64EA">
        <w:rPr>
          <w:rFonts w:ascii="Arial" w:eastAsia="Arial" w:hAnsi="Arial" w:cs="Arial"/>
          <w:vertAlign w:val="superscript"/>
          <w:lang w:val="es-ES" w:eastAsia="es-ES" w:bidi="es-ES"/>
        </w:rPr>
        <w:footnoteReference w:id="34"/>
      </w:r>
      <w:r w:rsidRPr="006E64EA">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6E64EA">
        <w:rPr>
          <w:rFonts w:ascii="Arial" w:eastAsia="Arial" w:hAnsi="Arial" w:cs="Arial"/>
          <w:vertAlign w:val="superscript"/>
          <w:lang w:val="es-ES" w:eastAsia="es-ES" w:bidi="es-ES"/>
        </w:rPr>
        <w:footnoteReference w:id="35"/>
      </w:r>
      <w:r w:rsidRPr="006E64EA">
        <w:rPr>
          <w:rFonts w:ascii="Arial" w:eastAsia="Arial" w:hAnsi="Arial" w:cs="Arial"/>
          <w:lang w:val="es-ES" w:eastAsia="es-ES" w:bidi="es-ES"/>
        </w:rPr>
        <w:t>.</w:t>
      </w:r>
    </w:p>
    <w:p w14:paraId="54BC80EF" w14:textId="77777777" w:rsidR="00BA62AD" w:rsidRPr="006E64EA" w:rsidRDefault="00BA62AD" w:rsidP="00BA62AD">
      <w:pPr>
        <w:widowControl w:val="0"/>
        <w:autoSpaceDE w:val="0"/>
        <w:autoSpaceDN w:val="0"/>
        <w:spacing w:line="276" w:lineRule="auto"/>
        <w:jc w:val="both"/>
        <w:rPr>
          <w:rFonts w:ascii="Arial" w:eastAsia="Arial" w:hAnsi="Arial" w:cs="Arial"/>
          <w:lang w:val="es-ES" w:eastAsia="es-ES" w:bidi="es-ES"/>
        </w:rPr>
      </w:pPr>
      <w:r w:rsidRPr="006E64EA">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EAB335A" w14:textId="77777777" w:rsidR="00BA62AD" w:rsidRDefault="00BA62AD" w:rsidP="00BA62AD">
      <w:pPr>
        <w:spacing w:after="0" w:line="240" w:lineRule="auto"/>
        <w:ind w:left="709" w:right="709"/>
        <w:jc w:val="both"/>
        <w:rPr>
          <w:rFonts w:ascii="Arial" w:hAnsi="Arial" w:cs="Arial"/>
          <w:sz w:val="21"/>
          <w:szCs w:val="21"/>
        </w:rPr>
      </w:pPr>
      <w:r w:rsidRPr="006E64EA">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6E64EA">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8DDFE6D" w14:textId="77777777" w:rsidR="00BA62AD" w:rsidRPr="006E64EA" w:rsidRDefault="00BA62AD" w:rsidP="00BA62AD">
      <w:pPr>
        <w:spacing w:after="0" w:line="240" w:lineRule="auto"/>
        <w:ind w:left="709" w:right="709"/>
        <w:jc w:val="both"/>
        <w:rPr>
          <w:rFonts w:ascii="Arial" w:hAnsi="Arial" w:cs="Arial"/>
          <w:sz w:val="21"/>
          <w:szCs w:val="21"/>
        </w:rPr>
      </w:pPr>
    </w:p>
    <w:p w14:paraId="277689AB" w14:textId="77777777" w:rsidR="00BA62AD" w:rsidRDefault="00BA62AD" w:rsidP="00BA62AD">
      <w:pPr>
        <w:spacing w:after="0" w:line="240" w:lineRule="auto"/>
        <w:ind w:left="709" w:right="709"/>
        <w:jc w:val="both"/>
        <w:rPr>
          <w:rFonts w:ascii="Arial" w:hAnsi="Arial" w:cs="Arial"/>
          <w:sz w:val="21"/>
          <w:szCs w:val="21"/>
        </w:rPr>
      </w:pPr>
      <w:r w:rsidRPr="006E64EA">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98C3872" w14:textId="77777777" w:rsidR="00BA62AD" w:rsidRPr="006E64EA" w:rsidRDefault="00BA62AD" w:rsidP="00BA62AD">
      <w:pPr>
        <w:spacing w:after="0" w:line="240" w:lineRule="auto"/>
        <w:ind w:left="709" w:right="709"/>
        <w:jc w:val="both"/>
        <w:rPr>
          <w:rFonts w:ascii="Arial" w:hAnsi="Arial" w:cs="Arial"/>
          <w:sz w:val="21"/>
          <w:szCs w:val="21"/>
        </w:rPr>
      </w:pPr>
    </w:p>
    <w:p w14:paraId="635E204A" w14:textId="77777777" w:rsidR="00BA62AD" w:rsidRDefault="00BA62AD" w:rsidP="00BA62AD">
      <w:pPr>
        <w:spacing w:after="0" w:line="240" w:lineRule="auto"/>
        <w:ind w:left="709" w:right="709"/>
        <w:jc w:val="both"/>
        <w:rPr>
          <w:rFonts w:ascii="Arial" w:hAnsi="Arial" w:cs="Arial"/>
          <w:sz w:val="21"/>
          <w:szCs w:val="21"/>
        </w:rPr>
      </w:pPr>
      <w:r w:rsidRPr="006E64EA">
        <w:rPr>
          <w:rFonts w:ascii="Arial" w:hAnsi="Arial" w:cs="Arial"/>
          <w:sz w:val="21"/>
          <w:szCs w:val="21"/>
        </w:rPr>
        <w:lastRenderedPageBreak/>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2D099D89" w14:textId="77777777" w:rsidR="00BA62AD" w:rsidRPr="006E64EA" w:rsidRDefault="00BA62AD" w:rsidP="00BA62AD">
      <w:pPr>
        <w:spacing w:after="0" w:line="240" w:lineRule="auto"/>
        <w:ind w:left="709" w:right="709"/>
        <w:jc w:val="both"/>
        <w:rPr>
          <w:rFonts w:ascii="Arial" w:hAnsi="Arial" w:cs="Arial"/>
        </w:rPr>
      </w:pPr>
    </w:p>
    <w:p w14:paraId="64ED64C3" w14:textId="77777777" w:rsidR="00BA62AD" w:rsidRPr="006E64EA" w:rsidRDefault="00BA62AD" w:rsidP="00BA62AD">
      <w:pPr>
        <w:widowControl w:val="0"/>
        <w:autoSpaceDE w:val="0"/>
        <w:autoSpaceDN w:val="0"/>
        <w:spacing w:after="120" w:line="276" w:lineRule="auto"/>
        <w:jc w:val="both"/>
        <w:rPr>
          <w:rFonts w:ascii="Arial" w:eastAsia="Calibri" w:hAnsi="Arial" w:cs="Arial"/>
          <w:bCs/>
          <w:lang w:eastAsia="es-ES" w:bidi="es-ES"/>
        </w:rPr>
      </w:pPr>
      <w:r w:rsidRPr="006E64EA">
        <w:rPr>
          <w:rFonts w:ascii="Arial" w:eastAsia="Arial" w:hAnsi="Arial" w:cs="Arial"/>
          <w:sz w:val="25"/>
          <w:lang w:val="es-ES" w:eastAsia="es-ES" w:bidi="es-ES"/>
        </w:rPr>
        <w:tab/>
      </w:r>
      <w:r w:rsidRPr="006E64EA">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2"/>
    </w:p>
    <w:p w14:paraId="023F7E6F" w14:textId="77777777" w:rsidR="00BA62AD" w:rsidRPr="006E64EA" w:rsidRDefault="00BA62AD" w:rsidP="00BA62AD">
      <w:pPr>
        <w:tabs>
          <w:tab w:val="left" w:pos="426"/>
        </w:tabs>
        <w:spacing w:after="120" w:line="276" w:lineRule="auto"/>
        <w:ind w:firstLine="709"/>
        <w:jc w:val="both"/>
        <w:rPr>
          <w:rFonts w:ascii="Arial" w:eastAsia="Calibri" w:hAnsi="Arial" w:cs="Arial"/>
          <w:lang w:eastAsia="es-ES" w:bidi="es-ES"/>
        </w:rPr>
      </w:pPr>
      <w:r w:rsidRPr="006E64EA">
        <w:rPr>
          <w:rFonts w:ascii="Arial" w:eastAsia="Times New Roman" w:hAnsi="Arial" w:cs="Arial"/>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6E64EA">
        <w:rPr>
          <w:rFonts w:ascii="Arial" w:eastAsia="Times New Roman" w:hAnsi="Arial" w:cs="Arial"/>
          <w:i/>
          <w:iCs/>
          <w:lang w:eastAsia="es-CO"/>
        </w:rPr>
        <w:t>ibidem</w:t>
      </w:r>
      <w:r w:rsidRPr="006E64EA">
        <w:rPr>
          <w:rFonts w:ascii="Arial" w:eastAsia="Times New Roman" w:hAnsi="Arial" w:cs="Arial"/>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6E64EA">
        <w:rPr>
          <w:rFonts w:ascii="Arial" w:eastAsia="Times New Roman" w:hAnsi="Arial" w:cs="Arial"/>
          <w:vertAlign w:val="superscript"/>
          <w:lang w:eastAsia="es-CO"/>
        </w:rPr>
        <w:footnoteReference w:id="36"/>
      </w:r>
      <w:r w:rsidRPr="006E64EA">
        <w:rPr>
          <w:rFonts w:ascii="Arial" w:eastAsia="Times New Roman" w:hAnsi="Arial" w:cs="Arial"/>
          <w:lang w:eastAsia="es-CO"/>
        </w:rPr>
        <w:t xml:space="preserve">. </w:t>
      </w:r>
    </w:p>
    <w:p w14:paraId="58E229E3" w14:textId="77777777" w:rsidR="00BA62AD" w:rsidRDefault="00BA62AD" w:rsidP="00BA62AD">
      <w:pPr>
        <w:tabs>
          <w:tab w:val="left" w:pos="426"/>
        </w:tabs>
        <w:spacing w:after="0" w:line="276" w:lineRule="auto"/>
        <w:ind w:firstLine="709"/>
        <w:jc w:val="both"/>
        <w:rPr>
          <w:rFonts w:ascii="Arial" w:eastAsia="Calibri" w:hAnsi="Arial" w:cs="Arial"/>
          <w:lang w:eastAsia="es-ES" w:bidi="es-ES"/>
        </w:rPr>
      </w:pPr>
      <w:r w:rsidRPr="006E64EA">
        <w:rPr>
          <w:rFonts w:ascii="Arial" w:eastAsia="Times New Roman" w:hAnsi="Arial" w:cs="Arial"/>
          <w:lang w:val="es-ES" w:eastAsia="es-CO" w:bidi="es-ES"/>
        </w:rPr>
        <w:t>En todo caso</w:t>
      </w:r>
      <w:bookmarkStart w:id="23" w:name="_Hlk77154098"/>
      <w:r w:rsidRPr="006E64EA">
        <w:rPr>
          <w:rFonts w:ascii="Arial" w:eastAsia="Arial" w:hAnsi="Arial" w:cs="Arial"/>
          <w:lang w:val="es-ES" w:eastAsia="es-ES" w:bidi="es-ES"/>
        </w:rPr>
        <w:t xml:space="preserve">, es importante resaltar que la Sala de Consulta y Servicio Civil del Consejo de Estado se ha pronunciado en el sentido de que </w:t>
      </w:r>
      <w:bookmarkStart w:id="24" w:name="_Hlk78820889"/>
      <w:r w:rsidRPr="006E64EA">
        <w:rPr>
          <w:rFonts w:ascii="Arial" w:eastAsia="Arial" w:hAnsi="Arial" w:cs="Arial"/>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4"/>
      <w:r w:rsidRPr="006E64EA">
        <w:rPr>
          <w:rFonts w:ascii="Arial" w:eastAsia="Arial" w:hAnsi="Arial" w:cs="Arial"/>
          <w:vertAlign w:val="superscript"/>
          <w:lang w:val="es-ES" w:eastAsia="es-ES" w:bidi="es-ES"/>
        </w:rPr>
        <w:footnoteReference w:id="37"/>
      </w:r>
      <w:r w:rsidRPr="006E64EA">
        <w:rPr>
          <w:rFonts w:ascii="Arial" w:eastAsia="Calibri" w:hAnsi="Arial" w:cs="Arial"/>
          <w:lang w:eastAsia="es-ES" w:bidi="es-ES"/>
        </w:rPr>
        <w:t>.</w:t>
      </w:r>
      <w:bookmarkEnd w:id="23"/>
    </w:p>
    <w:p w14:paraId="776DC0D5" w14:textId="77777777" w:rsidR="00BA62AD" w:rsidRPr="006E64EA" w:rsidRDefault="00BA62AD" w:rsidP="00BA62AD">
      <w:pPr>
        <w:tabs>
          <w:tab w:val="left" w:pos="426"/>
        </w:tabs>
        <w:spacing w:after="0" w:line="276" w:lineRule="auto"/>
        <w:ind w:firstLine="709"/>
        <w:jc w:val="both"/>
        <w:rPr>
          <w:rFonts w:ascii="Arial" w:eastAsia="Calibri" w:hAnsi="Arial" w:cs="Arial"/>
          <w:lang w:eastAsia="es-ES" w:bidi="es-ES"/>
        </w:rPr>
      </w:pPr>
    </w:p>
    <w:p w14:paraId="488B9447" w14:textId="77777777" w:rsidR="00BA62AD" w:rsidRDefault="00BA62AD" w:rsidP="00BA62AD">
      <w:pPr>
        <w:spacing w:after="0" w:line="276" w:lineRule="auto"/>
        <w:jc w:val="both"/>
        <w:rPr>
          <w:rFonts w:ascii="Arial" w:eastAsia="Times New Roman" w:hAnsi="Arial" w:cs="Arial"/>
          <w:b/>
          <w:lang w:eastAsia="es-CO"/>
        </w:rPr>
      </w:pPr>
      <w:r w:rsidRPr="006E64EA">
        <w:rPr>
          <w:rFonts w:ascii="Arial" w:eastAsia="Times New Roman" w:hAnsi="Arial" w:cs="Arial"/>
          <w:b/>
          <w:lang w:eastAsia="es-CO"/>
        </w:rPr>
        <w:t xml:space="preserve">2.4. </w:t>
      </w:r>
      <w:bookmarkStart w:id="25" w:name="_Hlk100219740"/>
      <w:r w:rsidRPr="006E64EA">
        <w:rPr>
          <w:rFonts w:ascii="Arial" w:eastAsia="Times New Roman" w:hAnsi="Arial" w:cs="Arial"/>
          <w:b/>
          <w:lang w:eastAsia="es-CO"/>
        </w:rPr>
        <w:t>Régimen contractual de los fondos de servicios educativos y aplicación de la Ley de Garantías</w:t>
      </w:r>
      <w:bookmarkEnd w:id="25"/>
    </w:p>
    <w:p w14:paraId="2DC44D06" w14:textId="77777777" w:rsidR="00BA62AD" w:rsidRPr="006E64EA" w:rsidRDefault="00BA62AD" w:rsidP="00BA62AD">
      <w:pPr>
        <w:spacing w:after="0" w:line="276" w:lineRule="auto"/>
        <w:jc w:val="both"/>
        <w:rPr>
          <w:rFonts w:ascii="Arial" w:eastAsia="Times New Roman" w:hAnsi="Arial" w:cs="Arial"/>
          <w:b/>
          <w:lang w:eastAsia="es-CO"/>
        </w:rPr>
      </w:pPr>
    </w:p>
    <w:p w14:paraId="5ECBA1DD" w14:textId="77777777" w:rsidR="00BA62AD" w:rsidRPr="006E64EA" w:rsidRDefault="00BA62AD" w:rsidP="00BA62AD">
      <w:pPr>
        <w:spacing w:after="120" w:line="276" w:lineRule="auto"/>
        <w:jc w:val="both"/>
        <w:rPr>
          <w:rFonts w:ascii="Arial" w:eastAsia="Times New Roman" w:hAnsi="Arial" w:cs="Arial"/>
          <w:szCs w:val="24"/>
          <w:lang w:eastAsia="es-MX"/>
        </w:rPr>
      </w:pPr>
      <w:r w:rsidRPr="006E64EA">
        <w:rPr>
          <w:rFonts w:ascii="Arial" w:eastAsia="Times New Roman" w:hAnsi="Arial" w:cs="Arial"/>
          <w:lang w:eastAsia="es-MX"/>
        </w:rPr>
        <w:lastRenderedPageBreak/>
        <w:t>Las Leyes 60 de 1993 y 715 de 2001 descentralizaron el sistema educativo en Colombia, asignándoles a los departamentos, distritos y municipios las competencias y los recursos para dirigir las instituciones educativas. Así las cosas, el sistema educativo está descentralizado por las competencias propias otorgadas a las entidades territoriales para administrar las instituciones educativas en los diferentes niveles territoriales, sin que estas últimas sean entidades descentralizadas</w:t>
      </w:r>
      <w:r w:rsidRPr="006E64EA">
        <w:rPr>
          <w:rFonts w:ascii="Arial" w:eastAsia="Times New Roman" w:hAnsi="Arial" w:cs="Arial"/>
          <w:vertAlign w:val="superscript"/>
          <w:lang w:eastAsia="es-MX"/>
        </w:rPr>
        <w:footnoteReference w:id="38"/>
      </w:r>
      <w:r w:rsidRPr="006E64EA">
        <w:rPr>
          <w:rFonts w:ascii="Arial" w:eastAsia="Times New Roman" w:hAnsi="Arial" w:cs="Arial"/>
          <w:lang w:eastAsia="es-MX"/>
        </w:rPr>
        <w:t xml:space="preserve">. </w:t>
      </w:r>
    </w:p>
    <w:p w14:paraId="450D8E73" w14:textId="77777777" w:rsidR="00BA62AD" w:rsidRPr="006E64EA" w:rsidRDefault="00BA62AD" w:rsidP="00BA62AD">
      <w:pPr>
        <w:spacing w:before="120" w:after="120" w:line="276" w:lineRule="auto"/>
        <w:ind w:firstLine="709"/>
        <w:jc w:val="both"/>
        <w:rPr>
          <w:rFonts w:ascii="Arial" w:eastAsia="Times New Roman" w:hAnsi="Arial" w:cs="Arial"/>
          <w:szCs w:val="24"/>
          <w:lang w:eastAsia="es-MX"/>
        </w:rPr>
      </w:pPr>
      <w:r w:rsidRPr="006E64EA">
        <w:rPr>
          <w:rFonts w:ascii="Arial" w:eastAsia="Times New Roman" w:hAnsi="Arial" w:cs="Arial"/>
          <w:lang w:eastAsia="es-MX"/>
        </w:rPr>
        <w:t xml:space="preserve">Conforme a lo anterior, </w:t>
      </w:r>
      <w:bookmarkStart w:id="26" w:name="_Hlk100224224"/>
      <w:r w:rsidRPr="006E64EA">
        <w:rPr>
          <w:rFonts w:ascii="Arial" w:eastAsia="Times New Roman" w:hAnsi="Arial" w:cs="Arial"/>
          <w:lang w:eastAsia="es-MX"/>
        </w:rPr>
        <w:t>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Estas son cuentas contables que le permiten a las instituciones realizar la gestión y ejecución presupuestal de los recursos que reciben los establecimientos educativos</w:t>
      </w:r>
      <w:bookmarkEnd w:id="26"/>
      <w:r w:rsidRPr="006E64EA">
        <w:rPr>
          <w:rFonts w:ascii="Arial" w:eastAsia="Times New Roman" w:hAnsi="Arial" w:cs="Arial"/>
          <w:vertAlign w:val="superscript"/>
          <w:lang w:eastAsia="es-MX"/>
        </w:rPr>
        <w:footnoteReference w:id="39"/>
      </w:r>
      <w:r w:rsidRPr="006E64EA">
        <w:rPr>
          <w:rFonts w:ascii="Arial" w:eastAsia="Times New Roman" w:hAnsi="Arial" w:cs="Arial"/>
          <w:lang w:eastAsia="es-MX"/>
        </w:rPr>
        <w:t xml:space="preserve"> </w:t>
      </w:r>
      <w:r w:rsidRPr="006E64EA">
        <w:rPr>
          <w:rFonts w:ascii="Arial" w:eastAsia="Times New Roman" w:hAnsi="Arial" w:cs="Arial"/>
          <w:vertAlign w:val="superscript"/>
          <w:lang w:eastAsia="es-MX"/>
        </w:rPr>
        <w:footnoteReference w:id="40"/>
      </w:r>
      <w:r w:rsidRPr="006E64EA">
        <w:rPr>
          <w:rFonts w:ascii="Arial" w:eastAsia="Times New Roman" w:hAnsi="Arial" w:cs="Arial"/>
          <w:lang w:eastAsia="es-MX"/>
        </w:rPr>
        <w:t>.</w:t>
      </w:r>
    </w:p>
    <w:p w14:paraId="341EB296" w14:textId="77777777" w:rsidR="00BA62AD" w:rsidRPr="006E64EA" w:rsidRDefault="00BA62AD" w:rsidP="00BA62AD">
      <w:pPr>
        <w:spacing w:before="120" w:line="276" w:lineRule="auto"/>
        <w:ind w:firstLine="709"/>
        <w:jc w:val="both"/>
        <w:rPr>
          <w:rFonts w:ascii="Arial" w:eastAsia="Times New Roman" w:hAnsi="Arial" w:cs="Arial"/>
          <w:szCs w:val="24"/>
          <w:lang w:eastAsia="es-MX"/>
        </w:rPr>
      </w:pPr>
      <w:r w:rsidRPr="006E64EA">
        <w:rPr>
          <w:rFonts w:ascii="Arial" w:eastAsia="Times New Roman" w:hAnsi="Arial" w:cs="Arial"/>
          <w:szCs w:val="24"/>
          <w:lang w:eastAsia="es-MX"/>
        </w:rPr>
        <w:t>Los fondos de servicios educativos tampoco cuentan con personería jurídica según lo previsto en el artículo 2.3.1.6.3.4 del Decreto 1075 de 2015, Decreto Único Reglamentario del Sector Educación:</w:t>
      </w:r>
    </w:p>
    <w:p w14:paraId="18B5F20C" w14:textId="77777777" w:rsidR="00BA62AD" w:rsidRDefault="00BA62AD" w:rsidP="00BA62AD">
      <w:pPr>
        <w:spacing w:after="0" w:line="240" w:lineRule="auto"/>
        <w:ind w:left="709" w:right="709"/>
        <w:jc w:val="both"/>
        <w:rPr>
          <w:rFonts w:ascii="Arial" w:eastAsia="Times New Roman" w:hAnsi="Arial" w:cs="Arial"/>
          <w:sz w:val="21"/>
          <w:szCs w:val="21"/>
          <w:lang w:eastAsia="es-MX"/>
        </w:rPr>
      </w:pPr>
      <w:r w:rsidRPr="006E64EA">
        <w:rPr>
          <w:rFonts w:ascii="Arial" w:eastAsia="Times New Roman" w:hAnsi="Arial" w:cs="Arial"/>
          <w:sz w:val="21"/>
          <w:szCs w:val="21"/>
          <w:lang w:eastAsia="es-MX"/>
        </w:rPr>
        <w:t>Artículo 2.3.1.6.3.4. Ordenación del gasto. Los fondos de servicios educativos carecen de personería jurídica. El rector o director rural es el ordenador del gasto del Fondo de Servicios Educativos y su ejercicio no implica representación legal</w:t>
      </w:r>
      <w:r>
        <w:rPr>
          <w:rFonts w:ascii="Arial" w:eastAsia="Times New Roman" w:hAnsi="Arial" w:cs="Arial"/>
          <w:sz w:val="21"/>
          <w:szCs w:val="21"/>
          <w:lang w:eastAsia="es-MX"/>
        </w:rPr>
        <w:t>.</w:t>
      </w:r>
    </w:p>
    <w:p w14:paraId="171369C3" w14:textId="77777777" w:rsidR="00BA62AD" w:rsidRPr="006E64EA" w:rsidRDefault="00BA62AD" w:rsidP="00BA62AD">
      <w:pPr>
        <w:spacing w:after="0" w:line="240" w:lineRule="auto"/>
        <w:ind w:left="709" w:right="709"/>
        <w:jc w:val="both"/>
        <w:rPr>
          <w:rFonts w:ascii="Arial" w:eastAsia="Times New Roman" w:hAnsi="Arial" w:cs="Arial"/>
          <w:sz w:val="21"/>
          <w:szCs w:val="21"/>
          <w:lang w:eastAsia="es-MX"/>
        </w:rPr>
      </w:pPr>
    </w:p>
    <w:p w14:paraId="5ECD288B" w14:textId="77777777" w:rsidR="00BA62AD" w:rsidRDefault="00BA62AD" w:rsidP="00BA62AD">
      <w:pPr>
        <w:spacing w:after="0" w:line="276" w:lineRule="auto"/>
        <w:ind w:firstLine="709"/>
        <w:jc w:val="both"/>
        <w:rPr>
          <w:rFonts w:ascii="Arial" w:eastAsia="Times New Roman" w:hAnsi="Arial" w:cs="Arial"/>
          <w:lang w:eastAsia="es-MX"/>
        </w:rPr>
      </w:pPr>
      <w:r w:rsidRPr="006E64EA">
        <w:rPr>
          <w:rFonts w:ascii="Arial" w:eastAsia="Times New Roman" w:hAnsi="Arial" w:cs="Arial"/>
          <w:lang w:eastAsia="es-MX"/>
        </w:rPr>
        <w:t xml:space="preserve">En relación con la capacidad para contratar con la que cuentan las instituciones educativas por medio de los fondos de servicios educativos, es necesario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w:t>
      </w:r>
      <w:r w:rsidRPr="006E64EA">
        <w:rPr>
          <w:rFonts w:ascii="Arial" w:eastAsia="Times New Roman" w:hAnsi="Arial" w:cs="Arial"/>
          <w:lang w:eastAsia="es-MX"/>
        </w:rPr>
        <w:lastRenderedPageBreak/>
        <w:t>de 2001</w:t>
      </w:r>
      <w:r w:rsidRPr="006E64EA">
        <w:rPr>
          <w:rFonts w:ascii="Arial" w:eastAsia="Times New Roman" w:hAnsi="Arial" w:cs="Arial"/>
          <w:vertAlign w:val="superscript"/>
          <w:lang w:eastAsia="es-MX"/>
        </w:rPr>
        <w:footnoteReference w:id="41"/>
      </w:r>
      <w:r w:rsidRPr="006E64EA">
        <w:rPr>
          <w:rFonts w:ascii="Arial" w:eastAsia="Times New Roman" w:hAnsi="Arial" w:cs="Arial"/>
          <w:lang w:eastAsia="es-MX"/>
        </w:rPr>
        <w:t>. Para estos efectos, el artículo 2.3.1.6.3.17. del Decreto 1075 de 2015 dispone lo siguiente:</w:t>
      </w:r>
    </w:p>
    <w:p w14:paraId="7F993A01" w14:textId="77777777" w:rsidR="00BA62AD" w:rsidRPr="006E64EA" w:rsidRDefault="00BA62AD" w:rsidP="00BA62AD">
      <w:pPr>
        <w:spacing w:after="0" w:line="240" w:lineRule="auto"/>
        <w:ind w:firstLine="709"/>
        <w:jc w:val="both"/>
        <w:rPr>
          <w:rFonts w:ascii="Arial" w:eastAsia="Times New Roman" w:hAnsi="Arial" w:cs="Arial"/>
          <w:szCs w:val="24"/>
          <w:lang w:eastAsia="es-MX"/>
        </w:rPr>
      </w:pPr>
    </w:p>
    <w:p w14:paraId="34532C94" w14:textId="77777777" w:rsidR="00BA62AD" w:rsidRDefault="00BA62AD" w:rsidP="00BA62AD">
      <w:pPr>
        <w:spacing w:after="0" w:line="240" w:lineRule="auto"/>
        <w:ind w:left="709" w:right="709"/>
        <w:jc w:val="both"/>
        <w:textAlignment w:val="baseline"/>
        <w:rPr>
          <w:rFonts w:ascii="Arial" w:eastAsia="Times New Roman" w:hAnsi="Arial" w:cs="Arial"/>
          <w:color w:val="000000"/>
          <w:sz w:val="21"/>
          <w:szCs w:val="21"/>
          <w:lang w:val="es-ES" w:eastAsia="es-ES"/>
        </w:rPr>
      </w:pPr>
      <w:r w:rsidRPr="006E64EA">
        <w:rPr>
          <w:rFonts w:ascii="Arial" w:eastAsia="Times New Roman" w:hAnsi="Arial" w:cs="Arial"/>
          <w:color w:val="000000"/>
          <w:sz w:val="21"/>
          <w:szCs w:val="21"/>
          <w:lang w:val="es-ES" w:eastAsia="es-ES"/>
        </w:rPr>
        <w:t>La celebración de contratos a que haya lugar con recursos del Fondo de Servicios </w:t>
      </w:r>
      <w:proofErr w:type="gramStart"/>
      <w:r w:rsidRPr="006E64EA">
        <w:rPr>
          <w:rFonts w:ascii="Arial" w:eastAsia="Times New Roman" w:hAnsi="Arial" w:cs="Arial"/>
          <w:color w:val="000000"/>
          <w:sz w:val="21"/>
          <w:szCs w:val="21"/>
          <w:lang w:val="es-ES" w:eastAsia="es-ES"/>
        </w:rPr>
        <w:t>Educativos,</w:t>
      </w:r>
      <w:proofErr w:type="gramEnd"/>
      <w:r w:rsidRPr="006E64EA">
        <w:rPr>
          <w:rFonts w:ascii="Arial" w:eastAsia="Times New Roman" w:hAnsi="Arial" w:cs="Arial"/>
          <w:color w:val="000000"/>
          <w:sz w:val="21"/>
          <w:szCs w:val="21"/>
          <w:lang w:val="es-ES" w:eastAsia="es-ES"/>
        </w:rPr>
        <w:t> debe realizarse con estricta sujeción a lo dispuesto en el estatuto contractual de la administración pública, cuando supere la cuantía de veinte (20) salarios mínimos legales mensuales vigentes.  </w:t>
      </w:r>
    </w:p>
    <w:p w14:paraId="75E1F91D" w14:textId="77777777" w:rsidR="00BA62AD" w:rsidRPr="006E64EA" w:rsidRDefault="00BA62AD" w:rsidP="00BA62AD">
      <w:pPr>
        <w:spacing w:after="0" w:line="240" w:lineRule="auto"/>
        <w:ind w:left="709" w:right="709"/>
        <w:jc w:val="both"/>
        <w:textAlignment w:val="baseline"/>
        <w:rPr>
          <w:rFonts w:ascii="Arial" w:eastAsia="Times New Roman" w:hAnsi="Arial" w:cs="Arial"/>
          <w:sz w:val="18"/>
          <w:szCs w:val="18"/>
          <w:lang w:val="es-ES" w:eastAsia="es-ES"/>
        </w:rPr>
      </w:pPr>
    </w:p>
    <w:p w14:paraId="791EB515" w14:textId="77777777" w:rsidR="00BA62AD" w:rsidRDefault="00BA62AD" w:rsidP="00BA62AD">
      <w:pPr>
        <w:spacing w:after="0" w:line="240" w:lineRule="auto"/>
        <w:ind w:left="705" w:right="705"/>
        <w:jc w:val="both"/>
        <w:textAlignment w:val="baseline"/>
        <w:rPr>
          <w:rFonts w:ascii="Arial" w:eastAsia="Times New Roman" w:hAnsi="Arial" w:cs="Arial"/>
          <w:sz w:val="18"/>
          <w:szCs w:val="18"/>
          <w:lang w:val="es-ES" w:eastAsia="es-ES"/>
        </w:rPr>
      </w:pPr>
      <w:r w:rsidRPr="006E64EA">
        <w:rPr>
          <w:rFonts w:ascii="Arial" w:eastAsia="Times New Roman" w:hAnsi="Arial" w:cs="Arial"/>
          <w:color w:val="000000"/>
          <w:sz w:val="21"/>
          <w:szCs w:val="21"/>
          <w:lang w:val="es-ES" w:eastAsia="es-ES"/>
        </w:rPr>
        <w:t>Si la cuantía es inferior a los veinte (20) salarios mínimos legales mensuales vigentes se deben seguir los procedimientos establecidos en el reglamento expedido por el consejo directivo, de conformidad con lo dispuesto en el artículo 13 de la Ley 715 de 2001, y en todo caso siguiendo los principios de transparencia, economía, publicidad, y responsabilidad, de conformidad con los postulados de la función administrativa.  </w:t>
      </w:r>
    </w:p>
    <w:p w14:paraId="2A15E808" w14:textId="77777777" w:rsidR="00BA62AD" w:rsidRPr="00F577D2" w:rsidRDefault="00BA62AD" w:rsidP="00BA62AD">
      <w:pPr>
        <w:spacing w:after="0" w:line="240" w:lineRule="auto"/>
        <w:ind w:left="705" w:right="705"/>
        <w:jc w:val="both"/>
        <w:textAlignment w:val="baseline"/>
        <w:rPr>
          <w:rFonts w:ascii="Arial" w:eastAsia="Times New Roman" w:hAnsi="Arial" w:cs="Arial"/>
          <w:sz w:val="18"/>
          <w:szCs w:val="18"/>
          <w:lang w:val="es-ES" w:eastAsia="es-ES"/>
        </w:rPr>
      </w:pPr>
    </w:p>
    <w:p w14:paraId="2573490F" w14:textId="77777777" w:rsidR="00BA62AD" w:rsidRPr="006E64EA" w:rsidRDefault="00BA62AD" w:rsidP="00BA62AD">
      <w:pPr>
        <w:spacing w:after="120" w:line="276" w:lineRule="auto"/>
        <w:ind w:firstLine="709"/>
        <w:jc w:val="both"/>
        <w:rPr>
          <w:rFonts w:ascii="Arial" w:eastAsia="Times New Roman" w:hAnsi="Arial" w:cs="Arial"/>
          <w:szCs w:val="24"/>
          <w:lang w:eastAsia="es-MX"/>
        </w:rPr>
      </w:pPr>
      <w:r w:rsidRPr="006E64EA">
        <w:rPr>
          <w:rFonts w:ascii="Arial" w:eastAsia="Times New Roman" w:hAnsi="Arial" w:cs="Arial"/>
          <w:szCs w:val="24"/>
          <w:lang w:eastAsia="es-MX"/>
        </w:rPr>
        <w:t xml:space="preserve">Esto significa que la contratación que realicen las instituciones educativas, siempre que se ubique por debajo del referido umbral, no deberá ceñirse a las reglas del Estatuto General de Contratación de la Administración Pública, sino a las determinadas por el reglamento expedido por el consejo directivo de la institución educativa conforme al </w:t>
      </w:r>
      <w:bookmarkStart w:id="28" w:name="_Hlk61284209"/>
      <w:r w:rsidRPr="006E64EA">
        <w:rPr>
          <w:rFonts w:ascii="Arial" w:eastAsia="Times New Roman" w:hAnsi="Arial" w:cs="Arial"/>
          <w:szCs w:val="24"/>
          <w:lang w:eastAsia="es-MX"/>
        </w:rPr>
        <w:t>artículo 13 de la Ley 715 de 2001</w:t>
      </w:r>
      <w:bookmarkEnd w:id="28"/>
      <w:r w:rsidRPr="006E64EA">
        <w:rPr>
          <w:rFonts w:ascii="Arial" w:eastAsia="Times New Roman" w:hAnsi="Arial" w:cs="Arial"/>
          <w:szCs w:val="24"/>
          <w:lang w:eastAsia="es-MX"/>
        </w:rPr>
        <w:t xml:space="preserve">. Los reglamentos que se expidan de conformidad con los principios de igualdad, moralidad, imparcialidad y publicidad, así como de acuerdo con la experiencia y el análisis concreto de las necesidades del establecimiento, deben definir los trámites, garantías y constancias que deben </w:t>
      </w:r>
      <w:r w:rsidRPr="006E64EA">
        <w:rPr>
          <w:rFonts w:ascii="Arial" w:eastAsia="Times New Roman" w:hAnsi="Arial" w:cs="Arial"/>
          <w:szCs w:val="24"/>
          <w:lang w:eastAsia="es-MX"/>
        </w:rPr>
        <w:lastRenderedPageBreak/>
        <w:t xml:space="preserve">cumplirse para que el rector o director celebre cualquier acto o contrato que cree, extinga o modifique obligaciones con cargo al respectivo fondo de servicios educativos. </w:t>
      </w:r>
    </w:p>
    <w:p w14:paraId="52C6893C" w14:textId="77777777" w:rsidR="00BA62AD" w:rsidRPr="006E64EA" w:rsidRDefault="00BA62AD" w:rsidP="00BA62AD">
      <w:pPr>
        <w:spacing w:before="120" w:after="120" w:line="276" w:lineRule="auto"/>
        <w:ind w:firstLine="709"/>
        <w:jc w:val="both"/>
        <w:rPr>
          <w:rFonts w:ascii="Arial" w:eastAsia="Times New Roman" w:hAnsi="Arial" w:cs="Arial"/>
          <w:szCs w:val="24"/>
          <w:lang w:eastAsia="es-MX"/>
        </w:rPr>
      </w:pPr>
      <w:r w:rsidRPr="006E64EA">
        <w:rPr>
          <w:rFonts w:ascii="Arial" w:eastAsia="Times New Roman" w:hAnsi="Arial" w:cs="Arial"/>
          <w:szCs w:val="24"/>
          <w:lang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258B92E6" w14:textId="77777777" w:rsidR="00BA62AD" w:rsidRPr="006E64EA" w:rsidRDefault="00BA62AD" w:rsidP="00BA62AD">
      <w:pPr>
        <w:spacing w:before="120" w:line="276" w:lineRule="auto"/>
        <w:ind w:firstLine="709"/>
        <w:jc w:val="both"/>
        <w:rPr>
          <w:rFonts w:ascii="Arial" w:eastAsia="Times New Roman" w:hAnsi="Arial" w:cs="Arial"/>
          <w:szCs w:val="24"/>
          <w:lang w:eastAsia="es-MX"/>
        </w:rPr>
      </w:pPr>
      <w:r w:rsidRPr="006E64EA">
        <w:rPr>
          <w:rFonts w:ascii="Arial" w:eastAsia="Times New Roman" w:hAnsi="Arial" w:cs="Arial"/>
          <w:szCs w:val="24"/>
          <w:lang w:eastAsia="es-MX"/>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 procediendo la aplicación de las modalidades de selección definidas en la Ley 1150 de 2007, así como los requisitos y formalidades establecidos en el Decreto 1082 del 2015 y demás normas aplicables.</w:t>
      </w:r>
    </w:p>
    <w:p w14:paraId="768F3BB2" w14:textId="77777777" w:rsidR="00BA62AD" w:rsidRDefault="00BA62AD" w:rsidP="00BA62AD">
      <w:pPr>
        <w:spacing w:after="0" w:line="276" w:lineRule="auto"/>
        <w:ind w:firstLine="709"/>
        <w:jc w:val="both"/>
        <w:rPr>
          <w:rFonts w:ascii="Arial" w:eastAsia="Times New Roman" w:hAnsi="Arial" w:cs="Arial"/>
          <w:lang w:eastAsia="es-MX"/>
        </w:rPr>
      </w:pPr>
      <w:r w:rsidRPr="006E64EA">
        <w:rPr>
          <w:rFonts w:ascii="Arial" w:eastAsia="Times New Roman" w:hAnsi="Arial" w:cs="Arial"/>
          <w:lang w:eastAsia="es-MX"/>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proofErr w:type="spellStart"/>
      <w:r w:rsidRPr="006E64EA">
        <w:rPr>
          <w:rFonts w:ascii="Arial" w:eastAsia="Times New Roman" w:hAnsi="Arial" w:cs="Arial"/>
          <w:i/>
          <w:iCs/>
          <w:lang w:eastAsia="es-MX"/>
        </w:rPr>
        <w:t>ibídem</w:t>
      </w:r>
      <w:proofErr w:type="spellEnd"/>
      <w:r w:rsidRPr="006E64EA">
        <w:rPr>
          <w:rFonts w:ascii="Arial" w:eastAsia="Times New Roman" w:hAnsi="Arial" w:cs="Arial"/>
          <w:vertAlign w:val="superscript"/>
          <w:lang w:eastAsia="es-MX"/>
        </w:rPr>
        <w:footnoteReference w:id="42"/>
      </w:r>
      <w:r w:rsidRPr="006E64EA">
        <w:rPr>
          <w:rFonts w:ascii="Arial" w:eastAsia="Times New Roman" w:hAnsi="Arial" w:cs="Arial"/>
          <w:lang w:eastAsia="es-MX"/>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006E64EA">
        <w:rPr>
          <w:rFonts w:ascii="Arial" w:eastAsia="Times New Roman" w:hAnsi="Arial" w:cs="Arial"/>
          <w:vertAlign w:val="superscript"/>
          <w:lang w:eastAsia="es-MX"/>
        </w:rPr>
        <w:footnoteReference w:id="43"/>
      </w:r>
      <w:r w:rsidRPr="006E64EA">
        <w:rPr>
          <w:rFonts w:ascii="Arial" w:eastAsia="Times New Roman" w:hAnsi="Arial" w:cs="Arial"/>
          <w:lang w:eastAsia="es-MX"/>
        </w:rPr>
        <w:t>. Así lo ha entendido la doctrina:</w:t>
      </w:r>
    </w:p>
    <w:p w14:paraId="6FF21A11" w14:textId="77777777" w:rsidR="00BA62AD" w:rsidRPr="006E64EA" w:rsidRDefault="00BA62AD" w:rsidP="00BA62AD">
      <w:pPr>
        <w:spacing w:after="0" w:line="276" w:lineRule="auto"/>
        <w:ind w:firstLine="709"/>
        <w:jc w:val="both"/>
        <w:rPr>
          <w:rFonts w:ascii="Arial" w:eastAsia="Times New Roman" w:hAnsi="Arial" w:cs="Arial"/>
          <w:szCs w:val="24"/>
          <w:lang w:eastAsia="es-MX"/>
        </w:rPr>
      </w:pPr>
    </w:p>
    <w:p w14:paraId="35DEE880" w14:textId="77777777" w:rsidR="00BA62AD" w:rsidRDefault="00BA62AD" w:rsidP="00BA62AD">
      <w:pPr>
        <w:spacing w:after="0" w:line="240" w:lineRule="auto"/>
        <w:ind w:left="709" w:right="709"/>
        <w:jc w:val="both"/>
        <w:rPr>
          <w:rFonts w:ascii="Arial" w:eastAsia="Times New Roman" w:hAnsi="Arial" w:cs="Arial"/>
          <w:sz w:val="21"/>
          <w:szCs w:val="21"/>
          <w:lang w:eastAsia="es-MX"/>
        </w:rPr>
      </w:pPr>
      <w:r w:rsidRPr="006E64EA">
        <w:rPr>
          <w:rFonts w:ascii="Arial" w:eastAsia="Times New Roman" w:hAnsi="Arial" w:cs="Arial"/>
          <w:sz w:val="21"/>
          <w:szCs w:val="21"/>
          <w:lang w:eastAsia="es-MX"/>
        </w:rPr>
        <w:t xml:space="preserve">[…] no hace otra cosa que aprovechar ciertos principios rectores de las contratación general que aunque tengan su consagración en códigos de 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preocuparse por su cuestionamiento. En otras palabras, </w:t>
      </w:r>
      <w:r w:rsidRPr="006E64EA">
        <w:rPr>
          <w:rFonts w:ascii="Arial" w:eastAsia="Times New Roman" w:hAnsi="Arial" w:cs="Arial"/>
          <w:sz w:val="21"/>
          <w:szCs w:val="21"/>
          <w:lang w:eastAsia="es-MX"/>
        </w:rPr>
        <w:lastRenderedPageBreak/>
        <w:t>extremos como los indicados […] son […] de derecho propio, aplicables a toda relación contractual, con prescindencia de los sujetos involucrados en la misma</w:t>
      </w:r>
      <w:r w:rsidRPr="006E64EA">
        <w:rPr>
          <w:rFonts w:ascii="Arial" w:eastAsia="Times New Roman" w:hAnsi="Arial" w:cs="Arial"/>
          <w:sz w:val="21"/>
          <w:szCs w:val="21"/>
          <w:vertAlign w:val="superscript"/>
          <w:lang w:eastAsia="es-MX"/>
        </w:rPr>
        <w:footnoteReference w:id="44"/>
      </w:r>
      <w:r w:rsidRPr="006E64EA">
        <w:rPr>
          <w:rFonts w:ascii="Arial" w:eastAsia="Times New Roman" w:hAnsi="Arial" w:cs="Arial"/>
          <w:sz w:val="21"/>
          <w:szCs w:val="21"/>
          <w:lang w:eastAsia="es-MX"/>
        </w:rPr>
        <w:t xml:space="preserve">. </w:t>
      </w:r>
    </w:p>
    <w:p w14:paraId="438A46C0" w14:textId="77777777" w:rsidR="00BA62AD" w:rsidRPr="00AF3B35" w:rsidRDefault="00BA62AD" w:rsidP="00BA62AD">
      <w:pPr>
        <w:spacing w:after="0" w:line="240" w:lineRule="auto"/>
        <w:ind w:left="709" w:right="709"/>
        <w:jc w:val="both"/>
        <w:rPr>
          <w:rFonts w:ascii="Arial" w:eastAsia="Times New Roman" w:hAnsi="Arial" w:cs="Arial"/>
          <w:sz w:val="21"/>
          <w:szCs w:val="21"/>
          <w:lang w:eastAsia="es-MX"/>
        </w:rPr>
      </w:pPr>
    </w:p>
    <w:p w14:paraId="2AC8FBD5" w14:textId="77777777" w:rsidR="00BA62AD" w:rsidRPr="006E64EA" w:rsidRDefault="00BA62AD" w:rsidP="00BA62AD">
      <w:pPr>
        <w:spacing w:after="120" w:line="276" w:lineRule="auto"/>
        <w:jc w:val="both"/>
        <w:rPr>
          <w:rFonts w:ascii="Arial" w:eastAsia="Times New Roman" w:hAnsi="Arial" w:cs="Arial"/>
          <w:szCs w:val="24"/>
          <w:lang w:eastAsia="es-MX"/>
        </w:rPr>
      </w:pPr>
      <w:r w:rsidRPr="006E64EA">
        <w:rPr>
          <w:rFonts w:ascii="Arial" w:eastAsia="Times New Roman" w:hAnsi="Arial" w:cs="Arial"/>
          <w:szCs w:val="24"/>
          <w:lang w:eastAsia="es-MX"/>
        </w:rPr>
        <w:tab/>
        <w:t>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normas civiles y comerciales.</w:t>
      </w:r>
    </w:p>
    <w:p w14:paraId="7B71EA2D" w14:textId="77777777" w:rsidR="00BA62AD" w:rsidRPr="006E64EA" w:rsidRDefault="00BA62AD" w:rsidP="00BA62AD">
      <w:pPr>
        <w:spacing w:after="120" w:line="276" w:lineRule="auto"/>
        <w:jc w:val="both"/>
        <w:rPr>
          <w:rFonts w:ascii="Arial" w:eastAsia="Times New Roman" w:hAnsi="Arial" w:cs="Arial"/>
          <w:szCs w:val="24"/>
          <w:lang w:eastAsia="es-MX"/>
        </w:rPr>
      </w:pPr>
      <w:r w:rsidRPr="006E64EA">
        <w:rPr>
          <w:rFonts w:ascii="Arial" w:eastAsia="Times New Roman" w:hAnsi="Arial" w:cs="Arial"/>
          <w:szCs w:val="24"/>
          <w:lang w:eastAsia="es-MX"/>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5C31AB58" w14:textId="77777777" w:rsidR="00BA62AD" w:rsidRPr="006E64EA" w:rsidRDefault="00BA62AD" w:rsidP="00BA62AD">
      <w:pPr>
        <w:spacing w:after="120" w:line="276" w:lineRule="auto"/>
        <w:jc w:val="both"/>
        <w:rPr>
          <w:rFonts w:ascii="Arial" w:eastAsia="Times New Roman" w:hAnsi="Arial" w:cs="Arial"/>
          <w:szCs w:val="24"/>
          <w:lang w:eastAsia="es-MX"/>
        </w:rPr>
      </w:pPr>
      <w:r w:rsidRPr="006E64EA">
        <w:rPr>
          <w:rFonts w:ascii="Arial" w:eastAsia="Times New Roman" w:hAnsi="Arial" w:cs="Arial"/>
          <w:szCs w:val="24"/>
          <w:lang w:eastAsia="es-MX"/>
        </w:rPr>
        <w:tab/>
        <w:t xml:space="preserve">En consecuencia, cuando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7887377E" w14:textId="77777777" w:rsidR="00BA62AD" w:rsidRPr="006E64EA" w:rsidRDefault="00BA62AD" w:rsidP="00BA62AD">
      <w:pPr>
        <w:spacing w:after="120" w:line="276" w:lineRule="auto"/>
        <w:ind w:firstLine="708"/>
        <w:jc w:val="both"/>
        <w:rPr>
          <w:rFonts w:ascii="Arial" w:eastAsia="Times New Roman" w:hAnsi="Arial" w:cs="Arial"/>
          <w:szCs w:val="24"/>
          <w:lang w:eastAsia="es-MX"/>
        </w:rPr>
      </w:pPr>
      <w:r w:rsidRPr="006E64EA">
        <w:rPr>
          <w:rFonts w:ascii="Arial" w:eastAsia="Times New Roman" w:hAnsi="Arial" w:cs="Arial"/>
          <w:lang w:eastAsia="es-MX"/>
        </w:rPr>
        <w:t>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administrativa, los principios de la gestión fiscal y el régimen de inhabilidades e incompatibilidades previsto para la contratación estatal</w:t>
      </w:r>
      <w:r w:rsidRPr="006E64EA">
        <w:rPr>
          <w:rFonts w:ascii="Arial" w:eastAsia="Times New Roman" w:hAnsi="Arial" w:cs="Arial"/>
          <w:vertAlign w:val="superscript"/>
          <w:lang w:eastAsia="es-MX"/>
        </w:rPr>
        <w:footnoteReference w:id="45"/>
      </w:r>
      <w:r w:rsidRPr="006E64EA">
        <w:rPr>
          <w:rFonts w:ascii="Arial" w:eastAsia="Times New Roman" w:hAnsi="Arial" w:cs="Arial"/>
          <w:lang w:eastAsia="es-MX"/>
        </w:rPr>
        <w:t>.</w:t>
      </w:r>
    </w:p>
    <w:p w14:paraId="7668C585" w14:textId="77777777" w:rsidR="00BA62AD" w:rsidRPr="006E64EA" w:rsidRDefault="00BA62AD" w:rsidP="00BA62AD">
      <w:pPr>
        <w:spacing w:line="276" w:lineRule="auto"/>
        <w:ind w:firstLine="709"/>
        <w:jc w:val="both"/>
        <w:rPr>
          <w:rFonts w:ascii="Arial" w:eastAsia="Times New Roman" w:hAnsi="Arial" w:cs="Arial"/>
          <w:bCs/>
          <w:color w:val="000000"/>
          <w:szCs w:val="24"/>
          <w:lang w:eastAsia="es-CO"/>
        </w:rPr>
      </w:pPr>
      <w:r w:rsidRPr="006E64EA">
        <w:rPr>
          <w:rFonts w:ascii="Arial" w:eastAsia="Calibri" w:hAnsi="Arial" w:cs="Arial"/>
          <w:color w:val="000000" w:themeColor="text1"/>
          <w:szCs w:val="24"/>
          <w:lang w:eastAsia="es-MX"/>
        </w:rPr>
        <w:lastRenderedPageBreak/>
        <w:t xml:space="preserve">En este contexto, para la restricción del artículo 33 de la </w:t>
      </w:r>
      <w:r w:rsidRPr="006E64EA">
        <w:rPr>
          <w:rFonts w:ascii="Arial" w:eastAsia="Times New Roman" w:hAnsi="Arial" w:cs="Arial"/>
          <w:bCs/>
          <w:color w:val="000000"/>
          <w:szCs w:val="24"/>
          <w:lang w:eastAsia="es-CO"/>
        </w:rPr>
        <w:t xml:space="preserve">Ley 996 de 2005 es necesario considerar que </w:t>
      </w:r>
      <w:r w:rsidRPr="006E64EA">
        <w:rPr>
          <w:rFonts w:ascii="Arial" w:eastAsia="Calibri" w:hAnsi="Arial" w:cs="Arial"/>
          <w:szCs w:val="24"/>
          <w:lang w:val="es-ES" w:eastAsia="es-MX"/>
        </w:rPr>
        <w:t xml:space="preserve">el artículo </w:t>
      </w:r>
      <w:r w:rsidRPr="006E64EA">
        <w:rPr>
          <w:rFonts w:ascii="Arial" w:eastAsia="Times New Roman" w:hAnsi="Arial" w:cs="Arial"/>
          <w:szCs w:val="24"/>
          <w:lang w:eastAsia="es-MX"/>
        </w:rPr>
        <w:t>13 de la Ley 715 de 2001</w:t>
      </w:r>
      <w:r w:rsidRPr="006E64EA">
        <w:rPr>
          <w:rFonts w:ascii="Arial" w:eastAsia="Times New Roman" w:hAnsi="Arial" w:cs="Arial"/>
          <w:bCs/>
          <w:color w:val="000000"/>
          <w:szCs w:val="24"/>
          <w:lang w:eastAsia="es-CO"/>
        </w:rPr>
        <w:t xml:space="preserve"> consagra un régimen jurídico que exceptúa la aplicación del Estatuto General de Contratación de la Administración Pública en los contratos de los fondos de servicios educativos inferiores a veinte (20) SMLMV con el objetivo de flexibilizar el régimen contractual aplicable. Pese a lo anterior, la prohibición de contratación directa de la Ley de Garantías es independiente del régimen contractual, por lo que se extiende a los contratos celebrados con cargo a los fondos de servicios educativos.</w:t>
      </w:r>
    </w:p>
    <w:p w14:paraId="2C6E7D1F" w14:textId="77777777" w:rsidR="00BA62AD" w:rsidRPr="006E64EA" w:rsidRDefault="00BA62AD" w:rsidP="00BA62AD">
      <w:pPr>
        <w:spacing w:line="276" w:lineRule="auto"/>
        <w:ind w:firstLine="709"/>
        <w:jc w:val="both"/>
        <w:rPr>
          <w:rFonts w:ascii="Arial" w:eastAsia="Times New Roman" w:hAnsi="Arial" w:cs="Arial"/>
          <w:bCs/>
          <w:color w:val="000000"/>
          <w:sz w:val="21"/>
          <w:szCs w:val="21"/>
          <w:lang w:eastAsia="es-CO"/>
        </w:rPr>
      </w:pPr>
      <w:r w:rsidRPr="006E64EA">
        <w:rPr>
          <w:rFonts w:ascii="Arial" w:eastAsia="Times New Roman" w:hAnsi="Arial" w:cs="Arial"/>
          <w:color w:val="000000"/>
          <w:lang w:eastAsia="es-CO"/>
        </w:rPr>
        <w:t xml:space="preserve">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6E64EA">
        <w:rPr>
          <w:rFonts w:ascii="Arial" w:eastAsia="Times New Roman" w:hAnsi="Arial" w:cs="Arial"/>
          <w:i/>
          <w:iCs/>
          <w:color w:val="00000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6E64EA">
        <w:rPr>
          <w:rFonts w:ascii="Arial" w:eastAsia="Times New Roman" w:hAnsi="Arial" w:cs="Arial"/>
          <w:color w:val="000000"/>
          <w:lang w:eastAsia="es-CO"/>
        </w:rPr>
        <w:t>»</w:t>
      </w:r>
      <w:r w:rsidRPr="006E64EA">
        <w:rPr>
          <w:rFonts w:ascii="Arial" w:eastAsia="Times New Roman" w:hAnsi="Arial" w:cs="Arial"/>
          <w:color w:val="000000"/>
          <w:vertAlign w:val="superscript"/>
          <w:lang w:eastAsia="es-CO"/>
        </w:rPr>
        <w:footnoteReference w:id="46"/>
      </w:r>
      <w:r w:rsidRPr="006E64EA">
        <w:rPr>
          <w:rFonts w:ascii="Arial" w:eastAsia="Times New Roman" w:hAnsi="Arial" w:cs="Arial"/>
          <w:color w:val="000000"/>
          <w:lang w:eastAsia="es-CO"/>
        </w:rPr>
        <w:t xml:space="preserve"> (Énfasis fuera de texto). Por tanto, durante la vigencia de la prohibición del artículo 33 de la Ley 996 de 2005 está restringida </w:t>
      </w:r>
      <w:r w:rsidRPr="006E64EA">
        <w:rPr>
          <w:rFonts w:ascii="Arial" w:eastAsia="Times New Roman" w:hAnsi="Arial" w:cs="Arial"/>
          <w:i/>
          <w:iCs/>
          <w:color w:val="000000"/>
          <w:lang w:eastAsia="es-CO"/>
        </w:rPr>
        <w:t>cualquier modalidad de selección que excluya la pluralidad de oferentes</w:t>
      </w:r>
      <w:r w:rsidRPr="006E64EA">
        <w:rPr>
          <w:rFonts w:ascii="Arial" w:eastAsia="Times New Roman" w:hAnsi="Arial" w:cs="Arial"/>
          <w:color w:val="000000"/>
          <w:lang w:eastAsia="es-CO"/>
        </w:rPr>
        <w:t xml:space="preserve">, incluso aunque se realice con fundamento en el régimen especial de contratación realizado con recursos de los fondos de servicios educativos por valor inferior a veinte (20) SMLMV, por implicar una forma de contratación directa. En tal sentido, será posible realizar procesos contractuales, siempre que estos incluyan la posibilidad de participación de una pluralidad de oferentes, ya que estos no implicarían una contratación </w:t>
      </w:r>
      <w:r w:rsidRPr="006E64EA">
        <w:rPr>
          <w:rFonts w:ascii="Arial" w:eastAsia="Times New Roman" w:hAnsi="Arial" w:cs="Arial"/>
          <w:i/>
          <w:iCs/>
          <w:color w:val="000000"/>
          <w:lang w:eastAsia="es-CO"/>
        </w:rPr>
        <w:t>directa.</w:t>
      </w:r>
      <w:r w:rsidRPr="006E64EA">
        <w:rPr>
          <w:rFonts w:ascii="Arial" w:eastAsia="Times New Roman" w:hAnsi="Arial" w:cs="Arial"/>
          <w:color w:val="000000"/>
          <w:lang w:eastAsia="es-CO"/>
        </w:rPr>
        <w:t xml:space="preserve"> En conclusión, la prohibición del artículo 33 de la Ley 996 de 2005 se extiende a cualquier contrato realizado con recursos de fondos de servicios educativos, sean inferiores o superiores a 20 SMLMV siempre que el contrato se celebre sin que esté antecedido de un procedimiento que admita la posible participación de una pluralidad de oferentes, toda vez que la prohibición recae sobre la </w:t>
      </w:r>
      <w:r w:rsidRPr="006E64EA">
        <w:rPr>
          <w:rFonts w:ascii="Arial" w:eastAsia="Times New Roman" w:hAnsi="Arial" w:cs="Arial"/>
          <w:i/>
          <w:iCs/>
          <w:color w:val="000000"/>
          <w:lang w:eastAsia="es-CO"/>
        </w:rPr>
        <w:t>contratación directa</w:t>
      </w:r>
      <w:r w:rsidRPr="006E64EA">
        <w:rPr>
          <w:rFonts w:ascii="Arial" w:eastAsia="Times New Roman" w:hAnsi="Arial" w:cs="Arial"/>
          <w:color w:val="000000"/>
          <w:lang w:eastAsia="es-CO"/>
        </w:rPr>
        <w:t xml:space="preserve">.  </w:t>
      </w:r>
    </w:p>
    <w:p w14:paraId="25C2E734" w14:textId="77777777" w:rsidR="00BA62AD" w:rsidRDefault="00BA62AD" w:rsidP="00BA62AD">
      <w:pPr>
        <w:spacing w:after="0" w:line="276" w:lineRule="auto"/>
        <w:ind w:firstLine="708"/>
        <w:jc w:val="both"/>
        <w:rPr>
          <w:rFonts w:ascii="Arial" w:eastAsia="Times New Roman" w:hAnsi="Arial" w:cs="Arial"/>
          <w:szCs w:val="24"/>
          <w:lang w:eastAsia="es-MX"/>
        </w:rPr>
      </w:pPr>
      <w:r w:rsidRPr="006E64EA">
        <w:rPr>
          <w:rFonts w:ascii="Arial" w:eastAsia="Times New Roman" w:hAnsi="Arial" w:cs="Arial"/>
          <w:bCs/>
          <w:color w:val="000000"/>
          <w:szCs w:val="24"/>
          <w:lang w:eastAsia="es-CO"/>
        </w:rPr>
        <w:t xml:space="preserve">Por otra parte, respecto de </w:t>
      </w:r>
      <w:r w:rsidRPr="006E64EA">
        <w:rPr>
          <w:rFonts w:ascii="Arial" w:eastAsia="Calibri" w:hAnsi="Arial" w:cs="Arial"/>
          <w:color w:val="000000" w:themeColor="text1"/>
          <w:szCs w:val="24"/>
          <w:lang w:eastAsia="es-MX"/>
        </w:rPr>
        <w:t xml:space="preserve">la restricción del artículo 38 de la </w:t>
      </w:r>
      <w:r w:rsidRPr="006E64EA">
        <w:rPr>
          <w:rFonts w:ascii="Arial" w:eastAsia="Times New Roman" w:hAnsi="Arial" w:cs="Arial"/>
          <w:bCs/>
          <w:color w:val="000000"/>
          <w:szCs w:val="24"/>
          <w:lang w:eastAsia="es-CO"/>
        </w:rPr>
        <w:t>Ley de Garantías, se considera que los contratos celebrados entre los administradores del fondo y otras entidades públicas son contratos interadministrativos. En efecto, el citado artículo 2.2.1.2.1.4.4 d</w:t>
      </w:r>
      <w:r w:rsidRPr="006E64EA">
        <w:rPr>
          <w:rFonts w:ascii="Arial" w:eastAsia="Calibri" w:hAnsi="Arial" w:cs="Arial"/>
          <w:color w:val="000000" w:themeColor="text1"/>
          <w:szCs w:val="24"/>
          <w:lang w:val="es-ES_tradnl" w:eastAsia="es-MX"/>
        </w:rPr>
        <w:t xml:space="preserve">el Decreto 1082 de 2015 califica a los convenios o contratos interadministrativos como aquella contratación entre entidades estatales. El concepto está definido en el artículo 2.2.1.1.1.3.1 </w:t>
      </w:r>
      <w:r w:rsidRPr="006E64EA">
        <w:rPr>
          <w:rFonts w:ascii="Arial" w:eastAsia="Calibri" w:hAnsi="Arial" w:cs="Arial"/>
          <w:i/>
          <w:iCs/>
          <w:color w:val="000000" w:themeColor="text1"/>
          <w:szCs w:val="24"/>
          <w:lang w:val="es-ES_tradnl" w:eastAsia="es-MX"/>
        </w:rPr>
        <w:t>ibidem</w:t>
      </w:r>
      <w:r w:rsidRPr="006E64EA">
        <w:rPr>
          <w:rFonts w:ascii="Arial" w:eastAsia="Calibri" w:hAnsi="Arial" w:cs="Arial"/>
          <w:color w:val="000000" w:themeColor="text1"/>
          <w:szCs w:val="24"/>
          <w:lang w:val="es-ES_tradnl" w:eastAsia="es-MX"/>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w:t>
      </w:r>
      <w:r w:rsidRPr="006E64EA">
        <w:rPr>
          <w:rFonts w:ascii="Arial" w:eastAsia="Times New Roman" w:hAnsi="Arial" w:cs="Arial"/>
          <w:szCs w:val="24"/>
          <w:lang w:eastAsia="es-MX"/>
        </w:rPr>
        <w:t xml:space="preserve">las instituciones educativas carecen de personería jurídica, tienen capacidad para contratar y se concreta en la competencia que le otorgó </w:t>
      </w:r>
      <w:r w:rsidRPr="006E64EA">
        <w:rPr>
          <w:rFonts w:ascii="Arial" w:eastAsia="Times New Roman" w:hAnsi="Arial" w:cs="Arial"/>
          <w:szCs w:val="24"/>
          <w:lang w:eastAsia="es-MX"/>
        </w:rPr>
        <w:lastRenderedPageBreak/>
        <w:t>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w:t>
      </w:r>
    </w:p>
    <w:p w14:paraId="412C80AB" w14:textId="77777777" w:rsidR="00BA62AD" w:rsidRPr="006E64EA" w:rsidRDefault="00BA62AD" w:rsidP="00BA62AD">
      <w:pPr>
        <w:spacing w:after="0" w:line="276" w:lineRule="auto"/>
        <w:ind w:firstLine="708"/>
        <w:jc w:val="both"/>
        <w:rPr>
          <w:rFonts w:ascii="Arial" w:eastAsia="Times New Roman" w:hAnsi="Arial" w:cs="Arial"/>
          <w:szCs w:val="24"/>
          <w:lang w:eastAsia="es-MX"/>
        </w:rPr>
      </w:pPr>
    </w:p>
    <w:p w14:paraId="63510499" w14:textId="77777777" w:rsidR="00BA62AD" w:rsidRPr="006E64EA" w:rsidRDefault="00BA62AD" w:rsidP="00BA62AD">
      <w:pPr>
        <w:spacing w:after="0" w:line="276" w:lineRule="auto"/>
        <w:jc w:val="both"/>
        <w:rPr>
          <w:rFonts w:ascii="Arial" w:eastAsia="Calibri" w:hAnsi="Arial" w:cs="Arial"/>
          <w:b/>
        </w:rPr>
      </w:pPr>
      <w:r w:rsidRPr="006E64EA">
        <w:rPr>
          <w:rFonts w:ascii="Arial" w:eastAsia="Calibri" w:hAnsi="Arial" w:cs="Arial"/>
          <w:b/>
        </w:rPr>
        <w:t>3. Respuesta</w:t>
      </w:r>
    </w:p>
    <w:p w14:paraId="362A51AD" w14:textId="77777777" w:rsidR="00BA62AD" w:rsidRPr="006E64EA" w:rsidRDefault="00BA62AD" w:rsidP="00BA62AD">
      <w:pPr>
        <w:spacing w:after="0" w:line="276" w:lineRule="auto"/>
        <w:jc w:val="both"/>
        <w:rPr>
          <w:rFonts w:ascii="Arial" w:eastAsia="Calibri" w:hAnsi="Arial" w:cs="Arial"/>
          <w:b/>
        </w:rPr>
      </w:pPr>
    </w:p>
    <w:p w14:paraId="108C2980" w14:textId="77777777" w:rsidR="00BA62AD" w:rsidRPr="006E64EA" w:rsidRDefault="00BA62AD" w:rsidP="00BA62AD">
      <w:pPr>
        <w:spacing w:line="240" w:lineRule="auto"/>
        <w:ind w:left="708" w:right="709"/>
        <w:jc w:val="both"/>
        <w:rPr>
          <w:rFonts w:ascii="Arial" w:hAnsi="Arial" w:cs="Arial"/>
          <w:sz w:val="21"/>
          <w:szCs w:val="21"/>
        </w:rPr>
      </w:pPr>
      <w:r w:rsidRPr="006E64EA">
        <w:rPr>
          <w:rFonts w:ascii="Arial" w:hAnsi="Arial" w:cs="Arial"/>
          <w:sz w:val="21"/>
          <w:szCs w:val="21"/>
          <w:lang w:val="es-ES_tradnl"/>
        </w:rPr>
        <w:t>“</w:t>
      </w:r>
      <w:r w:rsidRPr="006E64EA">
        <w:rPr>
          <w:rFonts w:ascii="Arial" w:hAnsi="Arial" w:cs="Arial"/>
          <w:sz w:val="21"/>
          <w:szCs w:val="21"/>
        </w:rPr>
        <w:t>¿Las instituciones educativas públicas están impedidas por la ley de garantías electorales para desarrollar procesos contractuales mediante la modalidad de convocatoria pública en ejercicio del régimen especial para contratos inferiores a 20 salarios mínimos mensuales que se publican en SECOP 2 y se reciben ofertas en la institución educativa?”</w:t>
      </w:r>
    </w:p>
    <w:p w14:paraId="6C20CA32" w14:textId="77777777" w:rsidR="00BA62AD" w:rsidRPr="006E64EA" w:rsidRDefault="00BA62AD" w:rsidP="00BA62AD">
      <w:pPr>
        <w:spacing w:after="120" w:line="276" w:lineRule="auto"/>
        <w:jc w:val="both"/>
        <w:rPr>
          <w:rFonts w:ascii="Arial" w:eastAsia="Times New Roman" w:hAnsi="Arial" w:cs="Arial"/>
          <w:lang w:eastAsia="es-CO"/>
        </w:rPr>
      </w:pPr>
      <w:r w:rsidRPr="006E64EA">
        <w:rPr>
          <w:rFonts w:ascii="Arial" w:eastAsia="Times New Roman" w:hAnsi="Arial" w:cs="Arial"/>
          <w:lang w:eastAsia="es-CO"/>
        </w:rPr>
        <w:t>De acuerdo con las explicaciones precedentes, de la Ley 996 de 2005 se derivan dos prohibiciones diferentes aplicables a periodos preelectorales distintos. Una es la prohibición que se deriva de lo establecido en el artículo 33, respecto a las elecciones presidenciales; y otra la originada en el parágrafo del artículo 38 que aplica frente a elecciones para cualquier cargo de elección popular, lo que también incluye las presidenciales.</w:t>
      </w:r>
    </w:p>
    <w:p w14:paraId="40F9D0EE" w14:textId="77777777" w:rsidR="00BA62AD" w:rsidRPr="006E64EA" w:rsidRDefault="00BA62AD" w:rsidP="00BA62AD">
      <w:pPr>
        <w:spacing w:after="120" w:line="276" w:lineRule="auto"/>
        <w:ind w:firstLine="567"/>
        <w:jc w:val="both"/>
        <w:rPr>
          <w:rFonts w:ascii="Arial" w:eastAsia="Times New Roman" w:hAnsi="Arial" w:cs="Arial"/>
          <w:lang w:eastAsia="es-CO"/>
        </w:rPr>
      </w:pPr>
      <w:r w:rsidRPr="006E64EA">
        <w:rPr>
          <w:rFonts w:ascii="Arial" w:eastAsia="Times New Roman" w:hAnsi="Arial" w:cs="Arial"/>
          <w:i/>
          <w:iCs/>
          <w:lang w:eastAsia="es-CO"/>
        </w:rPr>
        <w:t>En primer lugar</w:t>
      </w:r>
      <w:r w:rsidRPr="006E64EA">
        <w:rPr>
          <w:rFonts w:ascii="Arial" w:eastAsia="Times New Roman" w:hAnsi="Arial" w:cs="Arial"/>
          <w:lang w:eastAsia="es-CO"/>
        </w:rPr>
        <w:t>, la restricción del artículo 33 prohíbe la contratación directa por parte de todos los entes del Estado, durante los cuatro (4) meses anteriores a la elección presidencial y hasta la realización de la elección en la segunda vuelta, en caso de que se presente. En consecuencia, es necesario considerar que el artículo 13 de la Ley 715 de 2001 consagra un régimen jurídico que exceptúa la aplicación del Estatuto General de Contratación de la Administración Pública para los contratos de los fondos de servicios educativos inferiores a veinte (20) SMLMV, con el objetivo de flexibilizar el régimen contractual aplicable. Pese a lo anterior, la prohibición de contratación directa de la Ley de Garantías es independiente del régimen contractual, por lo que se extiende a los contratos celebrados con cargo a los fondos de servicios educativos.</w:t>
      </w:r>
    </w:p>
    <w:p w14:paraId="4AD12289" w14:textId="77777777" w:rsidR="00BA62AD" w:rsidRPr="006E64EA" w:rsidRDefault="00BA62AD" w:rsidP="00BA62AD">
      <w:pPr>
        <w:spacing w:after="120" w:line="276" w:lineRule="auto"/>
        <w:ind w:firstLine="567"/>
        <w:jc w:val="both"/>
        <w:rPr>
          <w:rFonts w:ascii="Arial" w:eastAsia="Times New Roman" w:hAnsi="Arial" w:cs="Arial"/>
          <w:lang w:eastAsia="es-CO"/>
        </w:rPr>
      </w:pPr>
      <w:r w:rsidRPr="006E64EA">
        <w:rPr>
          <w:rFonts w:ascii="Arial" w:eastAsia="Times New Roman" w:hAnsi="Arial" w:cs="Arial"/>
          <w:lang w:eastAsia="es-CO"/>
        </w:rPr>
        <w:t>En armonía con lo anterior, la prohibición del artículo 33 de la Ley de Garantías Electorales se refiere a «cualquier sistema que no implique convocatoria pública y posibilidad de pluralidad de oferentes»</w:t>
      </w:r>
      <w:r w:rsidRPr="006E64EA">
        <w:rPr>
          <w:rFonts w:ascii="Arial" w:eastAsia="Times New Roman" w:hAnsi="Arial" w:cs="Arial"/>
          <w:vertAlign w:val="superscript"/>
          <w:lang w:eastAsia="es-CO"/>
        </w:rPr>
        <w:footnoteReference w:id="47"/>
      </w:r>
      <w:r w:rsidRPr="006E64EA">
        <w:rPr>
          <w:rFonts w:ascii="Arial" w:eastAsia="Times New Roman" w:hAnsi="Arial" w:cs="Arial"/>
          <w:lang w:eastAsia="es-CO"/>
        </w:rPr>
        <w:t xml:space="preserve">, esto es, la contratación directa por lo que excluye de la prohibición a las demás modalidades de contratación previstas en la Ley 1150 de 2007. Esto significa que, procedimientos como el de licitación pública, selección abreviada, concurso de méritos, mínima cuantía y demás procesos susceptibles de pluralidad de oferentes previstos en normas especiales, pueden adelantarse en vigencia de la restricción del artículo 33, sin que ello suponga una contravención a la misma. En tal sentido, se reitera que la prohibición del artículo 33 de la Ley de Garantías Electorales recae sobre cualquier forma de contratación directa, salvo que en el caso concreto se presente alguna de las excepciones establecidas en el inciso segundo del artículo 33, esto es, </w:t>
      </w:r>
      <w:r w:rsidRPr="006E64EA">
        <w:rPr>
          <w:rFonts w:ascii="Arial" w:eastAsia="Times New Roman" w:hAnsi="Arial" w:cs="Arial"/>
          <w:bCs/>
          <w:lang w:eastAsia="x-none"/>
        </w:rPr>
        <w:t xml:space="preserve">lo </w:t>
      </w:r>
      <w:r w:rsidRPr="006E64EA">
        <w:rPr>
          <w:rFonts w:ascii="Arial" w:eastAsia="Times New Roman" w:hAnsi="Arial" w:cs="Arial"/>
          <w:bCs/>
          <w:lang w:eastAsia="x-none"/>
        </w:rPr>
        <w:lastRenderedPageBreak/>
        <w:t xml:space="preserve">referente a: i) la defensa y seguridad del Estado; </w:t>
      </w:r>
      <w:proofErr w:type="spellStart"/>
      <w:r w:rsidRPr="006E64EA">
        <w:rPr>
          <w:rFonts w:ascii="Arial" w:eastAsia="Times New Roman" w:hAnsi="Arial" w:cs="Arial"/>
          <w:bCs/>
          <w:lang w:eastAsia="x-none"/>
        </w:rPr>
        <w:t>ii</w:t>
      </w:r>
      <w:proofErr w:type="spellEnd"/>
      <w:r w:rsidRPr="006E64EA">
        <w:rPr>
          <w:rFonts w:ascii="Arial" w:eastAsia="Times New Roman" w:hAnsi="Arial" w:cs="Arial"/>
          <w:bCs/>
          <w:lang w:eastAsia="x-none"/>
        </w:rPr>
        <w:t xml:space="preserve">) los contratos de crédito público; </w:t>
      </w:r>
      <w:proofErr w:type="spellStart"/>
      <w:r w:rsidRPr="006E64EA">
        <w:rPr>
          <w:rFonts w:ascii="Arial" w:eastAsia="Times New Roman" w:hAnsi="Arial" w:cs="Arial"/>
          <w:bCs/>
          <w:lang w:eastAsia="x-none"/>
        </w:rPr>
        <w:t>iii</w:t>
      </w:r>
      <w:proofErr w:type="spellEnd"/>
      <w:r w:rsidRPr="006E64EA">
        <w:rPr>
          <w:rFonts w:ascii="Arial" w:eastAsia="Times New Roman" w:hAnsi="Arial" w:cs="Arial"/>
          <w:bCs/>
          <w:lang w:eastAsia="x-none"/>
        </w:rPr>
        <w:t xml:space="preserve">) los requeridos para cubrir las emergencias educativas, sanitarias y desastres; </w:t>
      </w:r>
      <w:proofErr w:type="spellStart"/>
      <w:r w:rsidRPr="006E64EA">
        <w:rPr>
          <w:rFonts w:ascii="Arial" w:eastAsia="Times New Roman" w:hAnsi="Arial" w:cs="Arial"/>
          <w:bCs/>
          <w:lang w:eastAsia="x-none"/>
        </w:rPr>
        <w:t>iv</w:t>
      </w:r>
      <w:proofErr w:type="spellEnd"/>
      <w:r w:rsidRPr="006E64EA">
        <w:rPr>
          <w:rFonts w:ascii="Arial" w:eastAsia="Times New Roman" w:hAnsi="Arial" w:cs="Arial"/>
          <w:bCs/>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E64EA">
        <w:rPr>
          <w:rFonts w:ascii="Arial" w:eastAsia="Times New Roman" w:hAnsi="Arial" w:cs="Arial"/>
          <w:bCs/>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426C712" w14:textId="77777777" w:rsidR="00BA62AD" w:rsidRPr="006E64EA" w:rsidRDefault="00BA62AD" w:rsidP="00BA62AD">
      <w:pPr>
        <w:spacing w:after="120" w:line="276" w:lineRule="auto"/>
        <w:ind w:firstLine="567"/>
        <w:jc w:val="both"/>
        <w:rPr>
          <w:rFonts w:ascii="Arial" w:eastAsia="Times New Roman" w:hAnsi="Arial" w:cs="Arial"/>
          <w:lang w:eastAsia="es-CO"/>
        </w:rPr>
      </w:pPr>
      <w:r w:rsidRPr="006E64EA">
        <w:rPr>
          <w:rFonts w:ascii="Arial" w:eastAsia="Times New Roman" w:hAnsi="Arial" w:cs="Arial"/>
          <w:i/>
          <w:iCs/>
          <w:lang w:eastAsia="es-CO"/>
        </w:rPr>
        <w:t>En segundo lugar</w:t>
      </w:r>
      <w:r w:rsidRPr="006E64EA">
        <w:rPr>
          <w:rFonts w:ascii="Arial" w:eastAsia="Times New Roman" w:hAnsi="Arial" w:cs="Arial"/>
          <w:lang w:eastAsia="es-CO"/>
        </w:rPr>
        <w:t xml:space="preserve">, el parágrafo del 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de cargos de elección popular. </w:t>
      </w:r>
    </w:p>
    <w:p w14:paraId="6EAFED8E" w14:textId="77777777" w:rsidR="00BA62AD" w:rsidRPr="006E64EA" w:rsidRDefault="00BA62AD" w:rsidP="00BA62AD">
      <w:pPr>
        <w:spacing w:after="120" w:line="276" w:lineRule="auto"/>
        <w:ind w:firstLine="567"/>
        <w:jc w:val="both"/>
        <w:rPr>
          <w:rFonts w:ascii="Arial" w:eastAsia="Times New Roman" w:hAnsi="Arial" w:cs="Arial"/>
          <w:lang w:eastAsia="es-CO"/>
        </w:rPr>
      </w:pPr>
      <w:r w:rsidRPr="006E64EA">
        <w:rPr>
          <w:rFonts w:ascii="Arial" w:eastAsia="Times New Roman" w:hAnsi="Arial" w:cs="Arial"/>
          <w:lang w:eastAsia="es-CO"/>
        </w:rPr>
        <w:t xml:space="preserve">En este sentido, respecto a la restricción del artículo 38 de la Ley de Garantías se considera que los contratos celebrados con los administradores del fondo y </w:t>
      </w:r>
      <w:r w:rsidRPr="006E64EA">
        <w:rPr>
          <w:rFonts w:ascii="Arial" w:eastAsia="Times New Roman" w:hAnsi="Arial" w:cs="Arial"/>
          <w:i/>
          <w:iCs/>
          <w:lang w:eastAsia="es-CO"/>
        </w:rPr>
        <w:t>otras entidades públicas</w:t>
      </w:r>
      <w:r w:rsidRPr="006E64EA">
        <w:rPr>
          <w:rFonts w:ascii="Arial" w:eastAsia="Times New Roman" w:hAnsi="Arial" w:cs="Arial"/>
          <w:lang w:eastAsia="es-CO"/>
        </w:rPr>
        <w:t xml:space="preserve"> son contratos interadministrativos. En efecto, el citado artículo 2.2.1.2.1.4.4 del Decreto 1082 de 2015 califica a los convenios o contratos interadministrativos como aquella contratación entre entidades estatales. El concepto está definido en el artículo 2.2.1.1.1.3.1 ibidem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Aunque las instituciones educativas carecen de personería jurídica, tienen capacidad para contratar y se concreta en la competencia que le otorgó el legislador en la Ley 715 de 2001 para administrar los fondos de servicios educativos. Así, conforme al literal b) del artículo 2.1 de la Ley 80 de 1993, también se considera entidad estatal todos aquellos «[…] organismos o dependencias del Estado a los que la ley otorgue capacidad para celebrar contratos».</w:t>
      </w:r>
    </w:p>
    <w:p w14:paraId="6E394FA1" w14:textId="77777777" w:rsidR="00BA62AD" w:rsidRPr="006E64EA" w:rsidRDefault="00BA62AD" w:rsidP="00BA62AD">
      <w:pPr>
        <w:spacing w:line="276" w:lineRule="auto"/>
        <w:ind w:firstLine="567"/>
        <w:jc w:val="both"/>
        <w:rPr>
          <w:rFonts w:ascii="Arial" w:eastAsiaTheme="minorEastAsia" w:hAnsi="Arial" w:cs="Arial"/>
          <w:lang w:val="es-ES"/>
        </w:rPr>
      </w:pPr>
      <w:r w:rsidRPr="006E64EA">
        <w:rPr>
          <w:rFonts w:ascii="Arial" w:eastAsia="Times New Roman" w:hAnsi="Arial" w:cs="Arial"/>
          <w:lang w:eastAsia="es-MX"/>
        </w:rPr>
        <w:t xml:space="preserve">En los términos anteriormente explicados, ambas restricciones aplican a los contratos celebrados con cargo a los fondos de servicios educativos, de acuerdo con el alcance precisado frente a los artículos 33 y el parágrafo del artículo 38 de la Ley de Garantías Electorales. Por lo que, dentro de este marco general, </w:t>
      </w:r>
      <w:r w:rsidRPr="006E64EA">
        <w:rPr>
          <w:rFonts w:ascii="Arial" w:eastAsiaTheme="minorEastAsia" w:hAnsi="Arial" w:cs="Arial"/>
          <w:lang w:val="es-ES"/>
        </w:rPr>
        <w:t xml:space="preserve">le corresponderá a cada Entidad, previo concepto de sus órganos asesores, definir la viabilidad técnica, jurídica y financiera de celebrar determinado contrato estatal en específico. </w:t>
      </w:r>
    </w:p>
    <w:p w14:paraId="27B0B4D2" w14:textId="77777777" w:rsidR="00BA62AD" w:rsidRPr="006E64EA" w:rsidRDefault="00BA62AD" w:rsidP="00BA62AD">
      <w:pPr>
        <w:spacing w:after="120" w:line="276" w:lineRule="auto"/>
        <w:jc w:val="both"/>
        <w:rPr>
          <w:rFonts w:ascii="Arial" w:hAnsi="Arial" w:cs="Arial"/>
          <w:lang w:eastAsia="es-MX"/>
        </w:rPr>
      </w:pPr>
      <w:r w:rsidRPr="006E64EA">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115B454" w14:textId="77777777" w:rsidR="00BA62AD" w:rsidRPr="006E64EA" w:rsidRDefault="00BA62AD" w:rsidP="00BA62AD">
      <w:pPr>
        <w:spacing w:after="120" w:line="276" w:lineRule="auto"/>
        <w:jc w:val="both"/>
        <w:rPr>
          <w:rFonts w:ascii="Arial" w:hAnsi="Arial" w:cs="Arial"/>
          <w:lang w:val="es-ES_tradnl"/>
        </w:rPr>
      </w:pPr>
      <w:r w:rsidRPr="006E64EA">
        <w:rPr>
          <w:rFonts w:ascii="Arial" w:hAnsi="Arial" w:cs="Arial"/>
          <w:lang w:val="es-ES_tradnl"/>
        </w:rPr>
        <w:lastRenderedPageBreak/>
        <w:t>Atentamente,</w:t>
      </w:r>
    </w:p>
    <w:p w14:paraId="78B3E4C3" w14:textId="2859DBFE" w:rsidR="00BA62AD" w:rsidRPr="006E64EA" w:rsidRDefault="00C35EC4" w:rsidP="00BA62AD">
      <w:pPr>
        <w:spacing w:line="276" w:lineRule="auto"/>
        <w:jc w:val="center"/>
        <w:rPr>
          <w:rFonts w:ascii="Arial" w:hAnsi="Arial" w:cs="Arial"/>
          <w:lang w:val="es-ES_tradnl"/>
        </w:rPr>
      </w:pPr>
      <w:r>
        <w:rPr>
          <w:rFonts w:ascii="Arial" w:eastAsia="Calibri" w:hAnsi="Arial" w:cs="Arial"/>
          <w:noProof/>
          <w:lang w:val="es-MX"/>
        </w:rPr>
        <w:drawing>
          <wp:inline distT="0" distB="0" distL="0" distR="0" wp14:anchorId="1A5966E8" wp14:editId="72CD9EA1">
            <wp:extent cx="3124200" cy="1219200"/>
            <wp:effectExtent l="0" t="0" r="0" b="0"/>
            <wp:docPr id="166831608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16089" name="Imagen 2"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0" cy="121920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BA62AD" w:rsidRPr="006E64EA" w14:paraId="6053F1B1" w14:textId="77777777" w:rsidTr="00791B67">
        <w:trPr>
          <w:trHeight w:val="315"/>
        </w:trPr>
        <w:tc>
          <w:tcPr>
            <w:tcW w:w="812" w:type="dxa"/>
            <w:vAlign w:val="center"/>
            <w:hideMark/>
          </w:tcPr>
          <w:p w14:paraId="285BFC69" w14:textId="77777777" w:rsidR="00BA62AD" w:rsidRPr="006E64EA" w:rsidRDefault="00BA62AD" w:rsidP="00791B67">
            <w:pPr>
              <w:spacing w:line="276" w:lineRule="auto"/>
              <w:rPr>
                <w:rFonts w:ascii="Arial" w:eastAsia="Times New Roman" w:hAnsi="Arial" w:cs="Arial"/>
                <w:sz w:val="16"/>
                <w:szCs w:val="16"/>
                <w:lang w:val="es-ES" w:eastAsia="es-ES"/>
              </w:rPr>
            </w:pPr>
            <w:r w:rsidRPr="006E64EA">
              <w:rPr>
                <w:rFonts w:ascii="Arial" w:eastAsia="Times New Roman" w:hAnsi="Arial"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6BEF0D73" w14:textId="77777777" w:rsidR="00BA62AD" w:rsidRPr="006E64EA" w:rsidRDefault="00BA62AD" w:rsidP="00791B67">
            <w:pPr>
              <w:jc w:val="both"/>
              <w:rPr>
                <w:rFonts w:ascii="Arial" w:eastAsia="Times New Roman" w:hAnsi="Arial" w:cs="Arial"/>
                <w:sz w:val="16"/>
                <w:szCs w:val="16"/>
                <w:lang w:val="es-ES" w:eastAsia="es-ES"/>
              </w:rPr>
            </w:pPr>
            <w:r w:rsidRPr="006E64EA">
              <w:rPr>
                <w:rFonts w:ascii="Arial" w:eastAsia="Times New Roman" w:hAnsi="Arial" w:cs="Arial"/>
                <w:sz w:val="16"/>
                <w:szCs w:val="16"/>
                <w:lang w:val="es-ES" w:eastAsia="es-ES"/>
              </w:rPr>
              <w:t>Ana María Ortiz Ballesteros</w:t>
            </w:r>
          </w:p>
          <w:p w14:paraId="4CE3F5A7" w14:textId="77777777" w:rsidR="00BA62AD" w:rsidRPr="006E64EA" w:rsidRDefault="00BA62AD" w:rsidP="00791B67">
            <w:pPr>
              <w:jc w:val="both"/>
              <w:rPr>
                <w:rFonts w:ascii="Arial" w:eastAsia="Times New Roman" w:hAnsi="Arial" w:cs="Arial"/>
                <w:sz w:val="16"/>
                <w:szCs w:val="16"/>
                <w:lang w:val="es-ES" w:eastAsia="es-ES"/>
              </w:rPr>
            </w:pPr>
            <w:r w:rsidRPr="006E64EA">
              <w:rPr>
                <w:rFonts w:ascii="Arial" w:eastAsia="Times New Roman" w:hAnsi="Arial" w:cs="Arial"/>
                <w:sz w:val="16"/>
                <w:szCs w:val="16"/>
                <w:lang w:val="es-ES" w:eastAsia="es-ES"/>
              </w:rPr>
              <w:t>Contratista de la Subdirección de Gestión Contractual</w:t>
            </w:r>
          </w:p>
        </w:tc>
      </w:tr>
      <w:tr w:rsidR="00BA62AD" w:rsidRPr="006E64EA" w14:paraId="3D806F89" w14:textId="77777777" w:rsidTr="00791B67">
        <w:trPr>
          <w:trHeight w:val="330"/>
        </w:trPr>
        <w:tc>
          <w:tcPr>
            <w:tcW w:w="812" w:type="dxa"/>
            <w:vAlign w:val="center"/>
            <w:hideMark/>
          </w:tcPr>
          <w:p w14:paraId="0F6BEDF8" w14:textId="77777777" w:rsidR="00BA62AD" w:rsidRPr="006E64EA" w:rsidRDefault="00BA62AD" w:rsidP="00791B67">
            <w:pPr>
              <w:spacing w:line="276" w:lineRule="auto"/>
              <w:rPr>
                <w:rFonts w:ascii="Arial" w:eastAsia="Times New Roman" w:hAnsi="Arial" w:cs="Arial"/>
                <w:sz w:val="16"/>
                <w:szCs w:val="16"/>
                <w:lang w:val="es-ES" w:eastAsia="es-ES"/>
              </w:rPr>
            </w:pPr>
            <w:r w:rsidRPr="006E64EA">
              <w:rPr>
                <w:rFonts w:ascii="Arial" w:eastAsia="Times New Roman" w:hAnsi="Arial"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3A94EE54" w14:textId="77777777" w:rsidR="00BA62AD" w:rsidRPr="006E64EA" w:rsidRDefault="00BA62AD" w:rsidP="00791B67">
            <w:pPr>
              <w:jc w:val="both"/>
              <w:rPr>
                <w:rFonts w:ascii="Arial" w:hAnsi="Arial" w:cs="Arial"/>
                <w:sz w:val="16"/>
                <w:szCs w:val="16"/>
              </w:rPr>
            </w:pPr>
            <w:r w:rsidRPr="006E64EA">
              <w:rPr>
                <w:rFonts w:ascii="Arial" w:hAnsi="Arial" w:cs="Arial"/>
                <w:sz w:val="16"/>
                <w:szCs w:val="16"/>
              </w:rPr>
              <w:t>Alejandro Sarmiento Cantillo</w:t>
            </w:r>
          </w:p>
          <w:p w14:paraId="7E87DEEF" w14:textId="77777777" w:rsidR="00BA62AD" w:rsidRPr="006E64EA" w:rsidRDefault="00BA62AD" w:rsidP="00791B67">
            <w:pPr>
              <w:rPr>
                <w:rFonts w:ascii="Arial" w:eastAsia="Times New Roman" w:hAnsi="Arial" w:cs="Arial"/>
                <w:sz w:val="16"/>
                <w:szCs w:val="16"/>
                <w:lang w:eastAsia="es-ES"/>
              </w:rPr>
            </w:pPr>
            <w:r w:rsidRPr="006E64EA">
              <w:rPr>
                <w:rFonts w:ascii="Arial" w:hAnsi="Arial" w:cs="Arial"/>
                <w:sz w:val="16"/>
                <w:szCs w:val="16"/>
              </w:rPr>
              <w:t>Gestor T1 ‒ 15 de la Subdirección de Gestión Contractual</w:t>
            </w:r>
          </w:p>
        </w:tc>
      </w:tr>
      <w:tr w:rsidR="00BA62AD" w:rsidRPr="006E64EA" w14:paraId="7EF192B7" w14:textId="77777777" w:rsidTr="00791B67">
        <w:trPr>
          <w:trHeight w:val="178"/>
        </w:trPr>
        <w:tc>
          <w:tcPr>
            <w:tcW w:w="812" w:type="dxa"/>
            <w:vAlign w:val="center"/>
            <w:hideMark/>
          </w:tcPr>
          <w:p w14:paraId="0343A63A" w14:textId="77777777" w:rsidR="00BA62AD" w:rsidRPr="006E64EA" w:rsidRDefault="00BA62AD" w:rsidP="00791B67">
            <w:pPr>
              <w:spacing w:line="276" w:lineRule="auto"/>
              <w:rPr>
                <w:rFonts w:ascii="Arial" w:eastAsia="Times New Roman" w:hAnsi="Arial" w:cs="Arial"/>
                <w:sz w:val="16"/>
                <w:szCs w:val="16"/>
                <w:lang w:val="es-ES" w:eastAsia="es-ES"/>
              </w:rPr>
            </w:pPr>
            <w:r w:rsidRPr="006E64EA">
              <w:rPr>
                <w:rFonts w:ascii="Arial" w:eastAsia="Times New Roman" w:hAnsi="Arial"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554CAF2C" w14:textId="77777777" w:rsidR="00BA62AD" w:rsidRPr="006E64EA" w:rsidRDefault="00BA62AD" w:rsidP="00791B67">
            <w:pPr>
              <w:textAlignment w:val="baseline"/>
              <w:rPr>
                <w:rFonts w:ascii="Arial" w:eastAsia="Times New Roman" w:hAnsi="Arial" w:cs="Arial"/>
                <w:sz w:val="16"/>
                <w:szCs w:val="16"/>
                <w:lang w:val="es-ES" w:eastAsia="es-CO"/>
              </w:rPr>
            </w:pPr>
            <w:bookmarkStart w:id="29" w:name="_Hlk116036152"/>
            <w:r w:rsidRPr="006E64EA">
              <w:rPr>
                <w:rFonts w:ascii="Arial" w:eastAsia="Times New Roman" w:hAnsi="Arial" w:cs="Arial"/>
                <w:sz w:val="16"/>
                <w:szCs w:val="16"/>
                <w:lang w:val="es-ES" w:eastAsia="es-CO"/>
              </w:rPr>
              <w:t xml:space="preserve">Nohelia del Carmen </w:t>
            </w:r>
            <w:proofErr w:type="spellStart"/>
            <w:r w:rsidRPr="006E64EA">
              <w:rPr>
                <w:rFonts w:ascii="Arial" w:eastAsia="Times New Roman" w:hAnsi="Arial" w:cs="Arial"/>
                <w:sz w:val="16"/>
                <w:szCs w:val="16"/>
                <w:lang w:val="es-ES" w:eastAsia="es-CO"/>
              </w:rPr>
              <w:t>Zawady</w:t>
            </w:r>
            <w:proofErr w:type="spellEnd"/>
            <w:r w:rsidRPr="006E64EA">
              <w:rPr>
                <w:rFonts w:ascii="Arial" w:eastAsia="Times New Roman" w:hAnsi="Arial" w:cs="Arial"/>
                <w:sz w:val="16"/>
                <w:szCs w:val="16"/>
                <w:lang w:val="es-ES" w:eastAsia="es-CO"/>
              </w:rPr>
              <w:t xml:space="preserve"> Palacio</w:t>
            </w:r>
          </w:p>
          <w:p w14:paraId="79E91C5A" w14:textId="77777777" w:rsidR="00BA62AD" w:rsidRPr="006E64EA" w:rsidRDefault="00BA62AD" w:rsidP="00791B67">
            <w:pPr>
              <w:rPr>
                <w:rFonts w:ascii="Arial" w:eastAsia="Times New Roman" w:hAnsi="Arial" w:cs="Arial"/>
                <w:sz w:val="16"/>
                <w:szCs w:val="16"/>
                <w:lang w:val="es-ES" w:eastAsia="es-ES"/>
              </w:rPr>
            </w:pPr>
            <w:r w:rsidRPr="006E64EA">
              <w:rPr>
                <w:rFonts w:ascii="Arial" w:eastAsia="Times New Roman" w:hAnsi="Arial" w:cs="Arial"/>
                <w:sz w:val="16"/>
                <w:szCs w:val="16"/>
                <w:lang w:val="es-ES" w:eastAsia="es-ES"/>
              </w:rPr>
              <w:t xml:space="preserve">Subdirectora de Gestión Contractual </w:t>
            </w:r>
            <w:bookmarkEnd w:id="29"/>
            <w:r w:rsidRPr="006E64EA">
              <w:rPr>
                <w:rFonts w:ascii="Arial" w:eastAsia="Times New Roman" w:hAnsi="Arial" w:cs="Arial"/>
                <w:sz w:val="16"/>
                <w:szCs w:val="16"/>
                <w:lang w:val="es-ES" w:eastAsia="es-ES"/>
              </w:rPr>
              <w:t>ANCP – CCE</w:t>
            </w:r>
          </w:p>
        </w:tc>
      </w:tr>
    </w:tbl>
    <w:p w14:paraId="14967796" w14:textId="77777777" w:rsidR="00BA62AD" w:rsidRPr="006E64EA" w:rsidRDefault="00BA62AD" w:rsidP="00BA62AD">
      <w:pPr>
        <w:rPr>
          <w:rFonts w:ascii="Arial" w:hAnsi="Arial" w:cs="Arial"/>
          <w:lang w:val="es-MX"/>
        </w:rPr>
      </w:pPr>
    </w:p>
    <w:p w14:paraId="445AF486" w14:textId="77777777" w:rsidR="001A48D0" w:rsidRPr="00520E64" w:rsidRDefault="001A48D0" w:rsidP="001A48D0">
      <w:pPr>
        <w:spacing w:after="0" w:line="240" w:lineRule="auto"/>
        <w:rPr>
          <w:rFonts w:ascii="Geomanist Light" w:hAnsi="Geomanist Light"/>
          <w:b/>
          <w:color w:val="404040" w:themeColor="text1" w:themeTint="BF"/>
          <w:sz w:val="20"/>
          <w:szCs w:val="21"/>
          <w:lang w:val="es-MX"/>
        </w:rPr>
      </w:pPr>
    </w:p>
    <w:p w14:paraId="70639100" w14:textId="77777777" w:rsidR="001A48D0" w:rsidRDefault="001A48D0" w:rsidP="001A48D0">
      <w:pPr>
        <w:spacing w:after="0" w:line="240" w:lineRule="auto"/>
        <w:rPr>
          <w:rFonts w:ascii="Geomanist Light" w:hAnsi="Geomanist Light"/>
          <w:b/>
          <w:color w:val="404040" w:themeColor="text1" w:themeTint="BF"/>
          <w:lang w:val="es-ES"/>
        </w:rPr>
      </w:pPr>
    </w:p>
    <w:p w14:paraId="31D419DD" w14:textId="30F0F96B" w:rsidR="001A1011" w:rsidRDefault="001A1011" w:rsidP="006219F8">
      <w:pPr>
        <w:spacing w:after="0" w:line="240" w:lineRule="auto"/>
        <w:rPr>
          <w:rFonts w:ascii="Geomanist Light" w:hAnsi="Geomanist Light"/>
          <w:b/>
          <w:color w:val="404040" w:themeColor="text1" w:themeTint="BF"/>
          <w:lang w:val="es-ES"/>
        </w:rPr>
      </w:pPr>
    </w:p>
    <w:p w14:paraId="279D5850" w14:textId="5A51B1C1" w:rsidR="001A1011" w:rsidRDefault="001A1011" w:rsidP="006219F8">
      <w:pPr>
        <w:spacing w:after="0" w:line="240" w:lineRule="auto"/>
        <w:rPr>
          <w:rFonts w:ascii="Geomanist Light" w:hAnsi="Geomanist Light"/>
          <w:b/>
          <w:color w:val="404040" w:themeColor="text1" w:themeTint="BF"/>
          <w:lang w:val="es-ES"/>
        </w:rPr>
      </w:pPr>
    </w:p>
    <w:p w14:paraId="0B1D17E7" w14:textId="762AA3C6" w:rsidR="001A1011" w:rsidRDefault="001A1011" w:rsidP="006219F8">
      <w:pPr>
        <w:spacing w:after="0" w:line="240" w:lineRule="auto"/>
        <w:rPr>
          <w:rFonts w:ascii="Geomanist Light" w:hAnsi="Geomanist Light"/>
          <w:b/>
          <w:color w:val="404040" w:themeColor="text1" w:themeTint="BF"/>
          <w:lang w:val="es-ES"/>
        </w:rPr>
      </w:pPr>
    </w:p>
    <w:p w14:paraId="5CD9DF3C" w14:textId="2D55E7D3" w:rsidR="001A1011" w:rsidRDefault="001A1011" w:rsidP="006219F8">
      <w:pPr>
        <w:spacing w:after="0" w:line="240" w:lineRule="auto"/>
        <w:rPr>
          <w:rFonts w:ascii="Geomanist Light" w:hAnsi="Geomanist Light"/>
          <w:b/>
          <w:color w:val="404040" w:themeColor="text1" w:themeTint="BF"/>
          <w:lang w:val="es-ES"/>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p w14:paraId="6879FC78" w14:textId="2AD773B8" w:rsidR="001A1011" w:rsidRDefault="001A1011" w:rsidP="006219F8">
      <w:pPr>
        <w:spacing w:after="0" w:line="240" w:lineRule="auto"/>
        <w:rPr>
          <w:rFonts w:ascii="Geomanist Light" w:hAnsi="Geomanist Light"/>
          <w:b/>
          <w:color w:val="404040" w:themeColor="text1" w:themeTint="BF"/>
          <w:lang w:val="es-ES"/>
        </w:rPr>
      </w:pPr>
    </w:p>
    <w:p w14:paraId="267F1171" w14:textId="73CCED58" w:rsidR="001A1011" w:rsidRDefault="001A1011" w:rsidP="006219F8">
      <w:pPr>
        <w:spacing w:after="0" w:line="240" w:lineRule="auto"/>
        <w:rPr>
          <w:rFonts w:ascii="Geomanist Light" w:hAnsi="Geomanist Light"/>
          <w:b/>
          <w:color w:val="404040" w:themeColor="text1" w:themeTint="BF"/>
          <w:lang w:val="es-ES"/>
        </w:rPr>
      </w:pPr>
    </w:p>
    <w:p w14:paraId="17BA4C3F" w14:textId="610BC95A" w:rsidR="001A1011" w:rsidRDefault="001A1011" w:rsidP="006219F8">
      <w:pPr>
        <w:spacing w:after="0" w:line="240" w:lineRule="auto"/>
        <w:rPr>
          <w:rFonts w:ascii="Geomanist Light" w:hAnsi="Geomanist Light"/>
          <w:b/>
          <w:color w:val="404040" w:themeColor="text1" w:themeTint="BF"/>
          <w:lang w:val="es-ES"/>
        </w:rPr>
      </w:pPr>
    </w:p>
    <w:p w14:paraId="1C3871F1" w14:textId="3C77E1C6" w:rsidR="001A1011" w:rsidRDefault="001A1011" w:rsidP="006219F8">
      <w:pPr>
        <w:spacing w:after="0" w:line="240" w:lineRule="auto"/>
        <w:rPr>
          <w:rFonts w:ascii="Geomanist Light" w:hAnsi="Geomanist Light"/>
          <w:b/>
          <w:color w:val="404040" w:themeColor="text1" w:themeTint="BF"/>
          <w:lang w:val="es-ES"/>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0"/>
    <w:p w14:paraId="0F293BF4" w14:textId="0F6FB6C1" w:rsidR="00127233" w:rsidRPr="006219F8" w:rsidRDefault="00127233">
      <w:pPr>
        <w:rPr>
          <w:lang w:val="es-MX"/>
        </w:rPr>
      </w:pPr>
    </w:p>
    <w:sectPr w:rsidR="00127233" w:rsidRPr="006219F8"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8890" w14:textId="77777777" w:rsidR="00FC1771" w:rsidRDefault="00FC1771" w:rsidP="004A1847">
      <w:pPr>
        <w:spacing w:after="0" w:line="240" w:lineRule="auto"/>
      </w:pPr>
      <w:r>
        <w:separator/>
      </w:r>
    </w:p>
  </w:endnote>
  <w:endnote w:type="continuationSeparator" w:id="0">
    <w:p w14:paraId="27A6B9BF" w14:textId="77777777" w:rsidR="00FC1771" w:rsidRDefault="00FC1771" w:rsidP="004A1847">
      <w:pPr>
        <w:spacing w:after="0" w:line="240" w:lineRule="auto"/>
      </w:pPr>
      <w:r>
        <w:continuationSeparator/>
      </w:r>
    </w:p>
  </w:endnote>
  <w:endnote w:type="continuationNotice" w:id="1">
    <w:p w14:paraId="5C740876" w14:textId="77777777" w:rsidR="00FC1771" w:rsidRDefault="00FC1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3240" w14:textId="77777777" w:rsidR="00FC1771" w:rsidRDefault="00FC1771" w:rsidP="004A1847">
      <w:pPr>
        <w:spacing w:after="0" w:line="240" w:lineRule="auto"/>
      </w:pPr>
      <w:r>
        <w:separator/>
      </w:r>
    </w:p>
  </w:footnote>
  <w:footnote w:type="continuationSeparator" w:id="0">
    <w:p w14:paraId="0EF3E7ED" w14:textId="77777777" w:rsidR="00FC1771" w:rsidRDefault="00FC1771" w:rsidP="004A1847">
      <w:pPr>
        <w:spacing w:after="0" w:line="240" w:lineRule="auto"/>
      </w:pPr>
      <w:r>
        <w:continuationSeparator/>
      </w:r>
    </w:p>
  </w:footnote>
  <w:footnote w:type="continuationNotice" w:id="1">
    <w:p w14:paraId="4B6C181E" w14:textId="77777777" w:rsidR="00FC1771" w:rsidRDefault="00FC1771">
      <w:pPr>
        <w:spacing w:after="0" w:line="240" w:lineRule="auto"/>
      </w:pPr>
    </w:p>
  </w:footnote>
  <w:footnote w:id="2">
    <w:p w14:paraId="65ED717D" w14:textId="77777777" w:rsidR="00BA62AD" w:rsidRPr="003D71CA" w:rsidRDefault="00BA62AD" w:rsidP="00BA62AD">
      <w:pPr>
        <w:ind w:firstLine="720"/>
        <w:jc w:val="both"/>
        <w:rPr>
          <w:rFonts w:ascii="Arial" w:hAnsi="Arial" w:cs="Arial"/>
          <w:sz w:val="18"/>
          <w:szCs w:val="18"/>
          <w:lang w:val="es-ES"/>
        </w:rPr>
      </w:pPr>
      <w:r w:rsidRPr="003D71CA">
        <w:rPr>
          <w:rStyle w:val="Refdenotaalpie"/>
          <w:rFonts w:ascii="Arial" w:hAnsi="Arial" w:cs="Arial"/>
          <w:sz w:val="18"/>
          <w:szCs w:val="18"/>
        </w:rPr>
        <w:footnoteRef/>
      </w:r>
      <w:r w:rsidRPr="003D71CA">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3D71CA">
        <w:rPr>
          <w:rFonts w:ascii="Arial" w:hAnsi="Arial" w:cs="Arial"/>
          <w:sz w:val="18"/>
          <w:szCs w:val="18"/>
        </w:rPr>
        <w:t>bsolver</w:t>
      </w:r>
      <w:proofErr w:type="spellEnd"/>
      <w:r w:rsidRPr="003D71CA">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127C4F0" w14:textId="77777777" w:rsidR="00BA62AD" w:rsidRPr="003D71CA" w:rsidRDefault="00BA62AD" w:rsidP="00BA62AD">
      <w:pPr>
        <w:pStyle w:val="Textonotapie"/>
        <w:ind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w:t>
      </w:r>
      <w:r w:rsidRPr="003D71CA">
        <w:rPr>
          <w:rFonts w:ascii="Arial" w:hAnsi="Arial" w:cs="Arial"/>
          <w:sz w:val="18"/>
          <w:szCs w:val="18"/>
        </w:rPr>
        <w:t xml:space="preserve">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DBB270B" w14:textId="77777777" w:rsidR="00BA62AD" w:rsidRPr="003D71CA" w:rsidRDefault="00BA62AD" w:rsidP="00BA62AD">
      <w:pPr>
        <w:pStyle w:val="Textonotapie"/>
        <w:ind w:firstLine="709"/>
        <w:contextualSpacing/>
        <w:jc w:val="both"/>
        <w:rPr>
          <w:rFonts w:ascii="Arial" w:hAnsi="Arial" w:cs="Arial"/>
          <w:sz w:val="18"/>
          <w:szCs w:val="18"/>
        </w:rPr>
      </w:pPr>
      <w:r w:rsidRPr="003D71CA">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1FD5B481" w14:textId="77777777" w:rsidR="00BA62AD" w:rsidRPr="003D71CA" w:rsidRDefault="00BA62AD" w:rsidP="00BA62AD">
      <w:pPr>
        <w:pStyle w:val="Textonotapie"/>
        <w:ind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Gaceta del Congreso de la República No. 71 del 2005.</w:t>
      </w:r>
    </w:p>
  </w:footnote>
  <w:footnote w:id="5">
    <w:p w14:paraId="647A74BB" w14:textId="77777777" w:rsidR="00BA62AD" w:rsidRPr="003D71CA" w:rsidRDefault="00BA62AD" w:rsidP="00BA62AD">
      <w:pPr>
        <w:pStyle w:val="Textonotapie"/>
        <w:ind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Corte Constitucional, Sentencia C- 1153 de 2005, M.P. Marco Gerardo Monroy Cabra.</w:t>
      </w:r>
    </w:p>
  </w:footnote>
  <w:footnote w:id="6">
    <w:p w14:paraId="48DD08CB" w14:textId="77777777" w:rsidR="00BA62AD" w:rsidRPr="003D71CA" w:rsidRDefault="00BA62AD" w:rsidP="00BA62AD">
      <w:pPr>
        <w:pStyle w:val="Textonotapie"/>
        <w:ind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62A72BEF" w14:textId="77777777" w:rsidR="00BA62AD" w:rsidRPr="003D71CA" w:rsidRDefault="00BA62AD" w:rsidP="00BA62AD">
      <w:pPr>
        <w:pStyle w:val="Textonotapie"/>
        <w:ind w:firstLine="709"/>
        <w:contextualSpacing/>
        <w:jc w:val="both"/>
        <w:rPr>
          <w:rFonts w:ascii="Arial" w:hAnsi="Arial" w:cs="Arial"/>
          <w:sz w:val="18"/>
          <w:szCs w:val="18"/>
          <w:lang w:val="es-CO"/>
        </w:rPr>
      </w:pPr>
      <w:r w:rsidRPr="003D71CA">
        <w:rPr>
          <w:rStyle w:val="Refdenotaalpie"/>
          <w:rFonts w:ascii="Arial" w:hAnsi="Arial" w:cs="Arial"/>
          <w:sz w:val="18"/>
          <w:szCs w:val="18"/>
        </w:rPr>
        <w:footnoteRef/>
      </w:r>
      <w:r w:rsidRPr="003D71C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424D6802" w14:textId="77777777" w:rsidR="00BA62AD" w:rsidRPr="003D71CA" w:rsidRDefault="00BA62AD" w:rsidP="00BA62AD">
      <w:pPr>
        <w:pStyle w:val="Textonotapie"/>
        <w:ind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de fecha 24 de julio de 2013, radicado 2166, Consejero Ponente: Álvaro Namén Vargas.  </w:t>
      </w:r>
    </w:p>
  </w:footnote>
  <w:footnote w:id="9">
    <w:p w14:paraId="2E9BFC0E" w14:textId="77777777" w:rsidR="00BA62AD" w:rsidRPr="003D71CA" w:rsidRDefault="00BA62AD" w:rsidP="00BA62AD">
      <w:pPr>
        <w:ind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w:t>
      </w:r>
      <w:r w:rsidRPr="003D71CA">
        <w:rPr>
          <w:rFonts w:ascii="Arial" w:eastAsia="Calibri" w:hAnsi="Arial" w:cs="Arial"/>
          <w:bCs/>
          <w:color w:val="000000"/>
          <w:sz w:val="18"/>
          <w:szCs w:val="18"/>
        </w:rPr>
        <w:t>«</w:t>
      </w:r>
      <w:r w:rsidRPr="003D71CA">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31216B12" w14:textId="77777777" w:rsidR="00BA62AD" w:rsidRPr="003D71CA" w:rsidRDefault="00BA62AD" w:rsidP="00BA62AD">
      <w:pPr>
        <w:ind w:firstLine="709"/>
        <w:contextualSpacing/>
        <w:jc w:val="both"/>
        <w:rPr>
          <w:rFonts w:ascii="Arial" w:hAnsi="Arial" w:cs="Arial"/>
          <w:sz w:val="18"/>
          <w:szCs w:val="18"/>
        </w:rPr>
      </w:pPr>
      <w:r w:rsidRPr="003D71CA">
        <w:rPr>
          <w:rFonts w:ascii="Arial" w:eastAsia="Calibri" w:hAnsi="Arial" w:cs="Arial"/>
          <w:bCs/>
          <w:color w:val="000000"/>
          <w:sz w:val="18"/>
          <w:szCs w:val="18"/>
        </w:rPr>
        <w:t>»</w:t>
      </w:r>
      <w:r w:rsidRPr="003D71CA">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D71CA">
        <w:rPr>
          <w:rFonts w:ascii="Arial" w:eastAsia="Calibri" w:hAnsi="Arial" w:cs="Arial"/>
          <w:bCs/>
          <w:color w:val="000000"/>
          <w:sz w:val="18"/>
          <w:szCs w:val="18"/>
        </w:rPr>
        <w:t>»</w:t>
      </w:r>
      <w:r w:rsidRPr="003D71CA">
        <w:rPr>
          <w:rFonts w:ascii="Arial" w:hAnsi="Arial" w:cs="Arial"/>
          <w:sz w:val="18"/>
          <w:szCs w:val="18"/>
        </w:rPr>
        <w:t>.</w:t>
      </w:r>
    </w:p>
  </w:footnote>
  <w:footnote w:id="10">
    <w:p w14:paraId="6A155E0A" w14:textId="77777777" w:rsidR="00BA62AD" w:rsidRPr="003D71CA" w:rsidRDefault="00BA62AD" w:rsidP="00BA62AD">
      <w:pPr>
        <w:pStyle w:val="NormalWeb"/>
        <w:spacing w:before="0" w:beforeAutospacing="0" w:after="0" w:afterAutospacing="0"/>
        <w:ind w:firstLine="709"/>
        <w:contextualSpacing/>
        <w:jc w:val="both"/>
        <w:rPr>
          <w:rFonts w:ascii="Arial" w:hAnsi="Arial" w:cs="Arial"/>
          <w:sz w:val="18"/>
          <w:szCs w:val="18"/>
          <w:lang w:val="es-MX"/>
        </w:rPr>
      </w:pPr>
      <w:r w:rsidRPr="003D71CA">
        <w:rPr>
          <w:rStyle w:val="Refdenotaalpie"/>
          <w:rFonts w:ascii="Arial" w:hAnsi="Arial" w:cs="Arial"/>
          <w:sz w:val="18"/>
          <w:szCs w:val="18"/>
        </w:rPr>
        <w:footnoteRef/>
      </w:r>
      <w:r w:rsidRPr="003D71CA">
        <w:rPr>
          <w:rFonts w:ascii="Arial" w:hAnsi="Arial" w:cs="Arial"/>
          <w:sz w:val="18"/>
          <w:szCs w:val="18"/>
        </w:rPr>
        <w:t xml:space="preserve"> </w:t>
      </w:r>
      <w:r w:rsidRPr="003D71CA">
        <w:rPr>
          <w:rFonts w:ascii="Arial" w:eastAsia="Calibri" w:hAnsi="Arial" w:cs="Arial"/>
          <w:bCs/>
          <w:color w:val="000000"/>
          <w:sz w:val="18"/>
          <w:szCs w:val="18"/>
        </w:rPr>
        <w:t>«</w:t>
      </w:r>
      <w:r w:rsidRPr="003D71CA">
        <w:rPr>
          <w:rFonts w:ascii="Arial" w:hAnsi="Arial" w:cs="Arial"/>
          <w:sz w:val="18"/>
          <w:szCs w:val="18"/>
          <w:lang w:val="es-MX"/>
        </w:rPr>
        <w:t>Artículo 38. Prohibiciones para los servidores públicos. A los empleados del Estado les está prohibido:</w:t>
      </w:r>
    </w:p>
    <w:p w14:paraId="50C590EE" w14:textId="77777777" w:rsidR="00BA62AD" w:rsidRPr="003D71CA" w:rsidRDefault="00BA62AD" w:rsidP="00BA62AD">
      <w:pPr>
        <w:pStyle w:val="NormalWeb"/>
        <w:spacing w:before="0" w:beforeAutospacing="0" w:after="0" w:afterAutospacing="0"/>
        <w:ind w:firstLine="709"/>
        <w:contextualSpacing/>
        <w:jc w:val="both"/>
        <w:rPr>
          <w:rFonts w:ascii="Arial" w:hAnsi="Arial" w:cs="Arial"/>
          <w:sz w:val="18"/>
          <w:szCs w:val="18"/>
          <w:lang w:val="es-MX"/>
        </w:rPr>
      </w:pPr>
      <w:r w:rsidRPr="003D71CA">
        <w:rPr>
          <w:rFonts w:ascii="Arial" w:eastAsia="Calibri" w:hAnsi="Arial" w:cs="Arial"/>
          <w:bCs/>
          <w:color w:val="000000"/>
          <w:sz w:val="18"/>
          <w:szCs w:val="18"/>
        </w:rPr>
        <w:t>»</w:t>
      </w:r>
      <w:r w:rsidRPr="003D71CA">
        <w:rPr>
          <w:rFonts w:ascii="Arial" w:hAnsi="Arial" w:cs="Arial"/>
          <w:sz w:val="18"/>
          <w:szCs w:val="18"/>
          <w:lang w:val="es-MX"/>
        </w:rPr>
        <w:t xml:space="preserve"> […]</w:t>
      </w:r>
    </w:p>
    <w:p w14:paraId="4655D87F" w14:textId="77777777" w:rsidR="00BA62AD" w:rsidRPr="003D71CA" w:rsidRDefault="00BA62AD" w:rsidP="00BA62AD">
      <w:pPr>
        <w:pStyle w:val="NormalWeb"/>
        <w:spacing w:before="0" w:beforeAutospacing="0" w:after="0" w:afterAutospacing="0"/>
        <w:ind w:firstLine="709"/>
        <w:contextualSpacing/>
        <w:jc w:val="both"/>
        <w:rPr>
          <w:rFonts w:ascii="Arial" w:hAnsi="Arial" w:cs="Arial"/>
          <w:sz w:val="18"/>
          <w:szCs w:val="18"/>
          <w:lang w:val="es-MX"/>
        </w:rPr>
      </w:pPr>
      <w:r w:rsidRPr="003D71CA">
        <w:rPr>
          <w:rFonts w:ascii="Arial" w:eastAsia="Calibri" w:hAnsi="Arial" w:cs="Arial"/>
          <w:bCs/>
          <w:color w:val="000000"/>
          <w:sz w:val="18"/>
          <w:szCs w:val="18"/>
        </w:rPr>
        <w:t>»</w:t>
      </w:r>
      <w:r w:rsidRPr="003D71CA">
        <w:rPr>
          <w:rStyle w:val="baj"/>
          <w:rFonts w:ascii="Arial" w:hAnsi="Arial" w:cs="Arial"/>
          <w:sz w:val="18"/>
          <w:szCs w:val="18"/>
          <w:lang w:val="es-MX"/>
        </w:rPr>
        <w:t xml:space="preserve"> Parágrafo.</w:t>
      </w:r>
      <w:r w:rsidRPr="003D71C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D71CA">
        <w:rPr>
          <w:rFonts w:ascii="Arial" w:eastAsia="Calibri" w:hAnsi="Arial" w:cs="Arial"/>
          <w:bCs/>
          <w:color w:val="000000"/>
          <w:sz w:val="18"/>
          <w:szCs w:val="18"/>
        </w:rPr>
        <w:t>»</w:t>
      </w:r>
      <w:r w:rsidRPr="003D71CA">
        <w:rPr>
          <w:rFonts w:ascii="Arial" w:hAnsi="Arial" w:cs="Arial"/>
          <w:sz w:val="18"/>
          <w:szCs w:val="18"/>
          <w:lang w:val="es-MX"/>
        </w:rPr>
        <w:t>.</w:t>
      </w:r>
    </w:p>
  </w:footnote>
  <w:footnote w:id="11">
    <w:p w14:paraId="665F5866" w14:textId="77777777" w:rsidR="00BA62AD" w:rsidRPr="003D71CA" w:rsidRDefault="00BA62AD" w:rsidP="00BA62AD">
      <w:pPr>
        <w:ind w:firstLine="709"/>
        <w:contextualSpacing/>
        <w:jc w:val="both"/>
        <w:rPr>
          <w:rFonts w:ascii="Arial" w:hAnsi="Arial" w:cs="Arial"/>
          <w:sz w:val="18"/>
          <w:szCs w:val="18"/>
          <w:lang w:val="es-ES"/>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2">
    <w:p w14:paraId="72CF4035" w14:textId="77777777" w:rsidR="00BA62AD" w:rsidRPr="003D71CA" w:rsidRDefault="00BA62AD" w:rsidP="00BA62AD">
      <w:pPr>
        <w:pStyle w:val="Textonotapie"/>
        <w:ind w:right="51"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w:t>
      </w:r>
      <w:r w:rsidRPr="003D71CA">
        <w:rPr>
          <w:rFonts w:ascii="Arial" w:hAnsi="Arial" w:cs="Arial"/>
          <w:sz w:val="18"/>
          <w:szCs w:val="18"/>
          <w:lang w:val="es-ES"/>
        </w:rPr>
        <w:t xml:space="preserve">[25] </w:t>
      </w:r>
      <w:r w:rsidRPr="003D71CA">
        <w:rPr>
          <w:rFonts w:ascii="Arial" w:hAnsi="Arial" w:cs="Arial"/>
          <w:sz w:val="18"/>
          <w:szCs w:val="18"/>
        </w:rPr>
        <w:t>Cfr. Consejo de Estado. Sección Tercera. Sentencia de 3 de diciembre de 2007. Radicados: 24.715, 25.206, 25.409, 24.524, 27.834, 25.410, 26.105, 28.244, 31.447 -acumulados-».</w:t>
      </w:r>
    </w:p>
  </w:footnote>
  <w:footnote w:id="13">
    <w:p w14:paraId="13DF1476" w14:textId="77777777" w:rsidR="00BA62AD" w:rsidRPr="003D71CA" w:rsidRDefault="00BA62AD" w:rsidP="00BA62AD">
      <w:pPr>
        <w:pStyle w:val="Textonotapie"/>
        <w:ind w:right="51"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w:t>
      </w:r>
      <w:r w:rsidRPr="003D71CA">
        <w:rPr>
          <w:rFonts w:ascii="Arial" w:hAnsi="Arial" w:cs="Arial"/>
          <w:sz w:val="18"/>
          <w:szCs w:val="18"/>
          <w:lang w:val="es-ES"/>
        </w:rPr>
        <w:t xml:space="preserve">[26] </w:t>
      </w:r>
      <w:r w:rsidRPr="003D71CA">
        <w:rPr>
          <w:rFonts w:ascii="Arial" w:hAnsi="Arial" w:cs="Arial"/>
          <w:sz w:val="18"/>
          <w:szCs w:val="18"/>
        </w:rPr>
        <w:t>Al respecto ver el concepto 1712 de 2 de febrero de 2006. Consejo de Estado Sala de Consulta y Servicio Civil».</w:t>
      </w:r>
    </w:p>
  </w:footnote>
  <w:footnote w:id="14">
    <w:p w14:paraId="7020B939" w14:textId="77777777" w:rsidR="00BA62AD" w:rsidRPr="003D71CA" w:rsidRDefault="00BA62AD" w:rsidP="00BA62AD">
      <w:pPr>
        <w:pStyle w:val="Textonotapie"/>
        <w:ind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5">
    <w:p w14:paraId="326EAF0D" w14:textId="77777777" w:rsidR="00BA62AD" w:rsidRPr="003D71CA" w:rsidRDefault="00BA62AD" w:rsidP="00BA62AD">
      <w:pPr>
        <w:pStyle w:val="Textonotapie"/>
        <w:ind w:firstLine="709"/>
        <w:jc w:val="both"/>
        <w:rPr>
          <w:rFonts w:ascii="Arial" w:hAnsi="Arial" w:cs="Arial"/>
          <w:sz w:val="18"/>
          <w:szCs w:val="18"/>
          <w:lang w:val="es-ES"/>
        </w:rPr>
      </w:pPr>
      <w:r w:rsidRPr="003D71CA">
        <w:rPr>
          <w:rStyle w:val="Refdenotaalpie"/>
          <w:rFonts w:ascii="Arial" w:hAnsi="Arial" w:cs="Arial"/>
          <w:sz w:val="18"/>
          <w:szCs w:val="18"/>
        </w:rPr>
        <w:footnoteRef/>
      </w:r>
      <w:r w:rsidRPr="003D71CA">
        <w:rPr>
          <w:rFonts w:ascii="Arial" w:hAnsi="Arial" w:cs="Arial"/>
          <w:sz w:val="18"/>
          <w:szCs w:val="18"/>
        </w:rPr>
        <w:t xml:space="preserve"> </w:t>
      </w:r>
      <w:r w:rsidRPr="003D71CA">
        <w:rPr>
          <w:rFonts w:ascii="Arial" w:hAnsi="Arial" w:cs="Arial"/>
          <w:sz w:val="18"/>
          <w:szCs w:val="18"/>
          <w:lang w:val="es-ES"/>
        </w:rPr>
        <w:t xml:space="preserve">Artículo 2. </w:t>
      </w:r>
    </w:p>
  </w:footnote>
  <w:footnote w:id="16">
    <w:p w14:paraId="5B3E5C90" w14:textId="77777777" w:rsidR="00BA62AD" w:rsidRPr="003D71CA" w:rsidRDefault="00BA62AD" w:rsidP="00BA62AD">
      <w:pPr>
        <w:pStyle w:val="Textonotapie"/>
        <w:ind w:firstLine="709"/>
        <w:jc w:val="both"/>
        <w:rPr>
          <w:rFonts w:ascii="Arial" w:hAnsi="Arial" w:cs="Arial"/>
          <w:sz w:val="18"/>
          <w:szCs w:val="18"/>
          <w:lang w:val="es-ES"/>
        </w:rPr>
      </w:pPr>
      <w:r w:rsidRPr="003D71CA">
        <w:rPr>
          <w:rStyle w:val="Refdenotaalpie"/>
          <w:rFonts w:ascii="Arial" w:hAnsi="Arial" w:cs="Arial"/>
          <w:sz w:val="18"/>
          <w:szCs w:val="18"/>
        </w:rPr>
        <w:footnoteRef/>
      </w:r>
      <w:r w:rsidRPr="003D71CA">
        <w:rPr>
          <w:rFonts w:ascii="Arial" w:hAnsi="Arial" w:cs="Arial"/>
          <w:sz w:val="18"/>
          <w:szCs w:val="18"/>
        </w:rPr>
        <w:t xml:space="preserve"> </w:t>
      </w:r>
      <w:r w:rsidRPr="003D71CA">
        <w:rPr>
          <w:rFonts w:ascii="Arial" w:hAnsi="Arial" w:cs="Arial"/>
          <w:i/>
          <w:sz w:val="18"/>
          <w:szCs w:val="18"/>
          <w:lang w:val="es-ES"/>
        </w:rPr>
        <w:t>Ídem</w:t>
      </w:r>
      <w:r w:rsidRPr="003D71CA">
        <w:rPr>
          <w:rFonts w:ascii="Arial" w:hAnsi="Arial" w:cs="Arial"/>
          <w:sz w:val="18"/>
          <w:szCs w:val="18"/>
          <w:lang w:val="es-ES"/>
        </w:rPr>
        <w:t>.</w:t>
      </w:r>
    </w:p>
    <w:p w14:paraId="0271EE29" w14:textId="77777777" w:rsidR="00BA62AD" w:rsidRPr="003D71CA" w:rsidRDefault="00BA62AD" w:rsidP="00BA62AD">
      <w:pPr>
        <w:pStyle w:val="Textonotapie"/>
        <w:ind w:firstLine="709"/>
        <w:jc w:val="both"/>
        <w:rPr>
          <w:rFonts w:ascii="Arial" w:hAnsi="Arial" w:cs="Arial"/>
          <w:sz w:val="18"/>
          <w:szCs w:val="18"/>
          <w:lang w:val="es-ES"/>
        </w:rPr>
      </w:pPr>
    </w:p>
  </w:footnote>
  <w:footnote w:id="17">
    <w:p w14:paraId="67CA594F" w14:textId="77777777" w:rsidR="00BA62AD" w:rsidRPr="003D71CA" w:rsidRDefault="00BA62AD" w:rsidP="00BA62AD">
      <w:pPr>
        <w:pStyle w:val="Textonotapie"/>
        <w:ind w:firstLine="709"/>
        <w:contextualSpacing/>
        <w:jc w:val="both"/>
        <w:rPr>
          <w:rFonts w:ascii="Arial" w:hAnsi="Arial" w:cs="Arial"/>
          <w:sz w:val="18"/>
          <w:szCs w:val="18"/>
          <w:lang w:val="es-ES"/>
        </w:rPr>
      </w:pPr>
      <w:r w:rsidRPr="003D71CA">
        <w:rPr>
          <w:rStyle w:val="Refdenotaalpie"/>
          <w:rFonts w:ascii="Arial" w:hAnsi="Arial" w:cs="Arial"/>
          <w:sz w:val="18"/>
          <w:szCs w:val="18"/>
        </w:rPr>
        <w:footnoteRef/>
      </w:r>
      <w:r w:rsidRPr="003D71CA">
        <w:rPr>
          <w:rStyle w:val="Refdenotaalpie"/>
          <w:rFonts w:ascii="Arial" w:hAnsi="Arial" w:cs="Arial"/>
          <w:sz w:val="18"/>
          <w:szCs w:val="18"/>
        </w:rPr>
        <w:t xml:space="preserve"> </w:t>
      </w:r>
      <w:r w:rsidRPr="003D71CA">
        <w:rPr>
          <w:rFonts w:ascii="Arial" w:hAnsi="Arial" w:cs="Arial"/>
          <w:sz w:val="18"/>
          <w:szCs w:val="18"/>
          <w:lang w:val="es-ES"/>
        </w:rPr>
        <w:t xml:space="preserve">«[…] A este respecto, cabe recordar que el artículo 860 del Código de Comercio regula la licitación en el derecho privado». </w:t>
      </w:r>
    </w:p>
  </w:footnote>
  <w:footnote w:id="18">
    <w:p w14:paraId="58D1114E" w14:textId="77777777" w:rsidR="00BA62AD" w:rsidRPr="003D71CA" w:rsidRDefault="00BA62AD" w:rsidP="00BA62AD">
      <w:pPr>
        <w:shd w:val="clear" w:color="auto" w:fill="FFFFFF"/>
        <w:ind w:firstLine="709"/>
        <w:contextualSpacing/>
        <w:jc w:val="both"/>
        <w:rPr>
          <w:rFonts w:ascii="Arial" w:hAnsi="Arial" w:cs="Arial"/>
          <w:sz w:val="18"/>
          <w:szCs w:val="18"/>
          <w:lang w:val="es-ES"/>
        </w:rPr>
      </w:pPr>
      <w:r w:rsidRPr="003D71CA">
        <w:rPr>
          <w:rStyle w:val="Refdenotaalpie"/>
          <w:rFonts w:ascii="Arial" w:hAnsi="Arial" w:cs="Arial"/>
          <w:sz w:val="18"/>
          <w:szCs w:val="18"/>
        </w:rPr>
        <w:footnoteRef/>
      </w:r>
      <w:r w:rsidRPr="003D71CA">
        <w:rPr>
          <w:rStyle w:val="Refdenotaalpie"/>
          <w:rFonts w:ascii="Arial" w:hAnsi="Arial" w:cs="Arial"/>
          <w:sz w:val="18"/>
          <w:szCs w:val="18"/>
        </w:rPr>
        <w:t xml:space="preserve"> </w:t>
      </w:r>
      <w:r w:rsidRPr="003D71CA">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9">
    <w:p w14:paraId="6791B380" w14:textId="77777777" w:rsidR="00BA62AD" w:rsidRPr="003D71CA" w:rsidRDefault="00BA62AD" w:rsidP="00BA62AD">
      <w:pPr>
        <w:pStyle w:val="Textonotapie"/>
        <w:ind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del 08 de mayo de 2018. Exp. 2.382. C.P. Álvaro Namén Vargas.</w:t>
      </w:r>
    </w:p>
  </w:footnote>
  <w:footnote w:id="20">
    <w:p w14:paraId="5BA0315B" w14:textId="77777777" w:rsidR="00BA62AD" w:rsidRPr="003D71CA" w:rsidRDefault="00BA62AD" w:rsidP="00BA62AD">
      <w:pPr>
        <w:pStyle w:val="Textonotapie"/>
        <w:ind w:firstLine="709"/>
        <w:contextualSpacing/>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2B925391" w14:textId="77777777" w:rsidR="00BA62AD" w:rsidRPr="003D71CA" w:rsidRDefault="00BA62AD" w:rsidP="00BA62AD">
      <w:pPr>
        <w:ind w:firstLine="709"/>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279C9D8C" w14:textId="77777777" w:rsidR="00BA62AD" w:rsidRPr="003D71CA" w:rsidRDefault="00BA62AD" w:rsidP="00BA62AD">
      <w:pPr>
        <w:pStyle w:val="Textonotapie"/>
        <w:ind w:firstLine="709"/>
        <w:jc w:val="both"/>
        <w:rPr>
          <w:rFonts w:ascii="Arial" w:eastAsia="Times New Roman" w:hAnsi="Arial" w:cs="Arial"/>
          <w:bCs/>
          <w:sz w:val="18"/>
          <w:szCs w:val="18"/>
          <w:lang w:eastAsia="x-none"/>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Pr="003D71CA">
        <w:rPr>
          <w:rFonts w:ascii="Arial" w:eastAsia="Times New Roman" w:hAnsi="Arial" w:cs="Arial"/>
          <w:bCs/>
          <w:sz w:val="18"/>
          <w:szCs w:val="18"/>
          <w:lang w:eastAsia="x-none"/>
        </w:rPr>
        <w:t xml:space="preserve"> «</w:t>
      </w:r>
      <w:r w:rsidRPr="003D71CA">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3D71CA">
        <w:rPr>
          <w:rFonts w:ascii="Arial" w:eastAsia="Times New Roman" w:hAnsi="Arial" w:cs="Arial"/>
          <w:bCs/>
          <w:sz w:val="18"/>
          <w:szCs w:val="18"/>
          <w:lang w:eastAsia="x-none"/>
        </w:rPr>
        <w:t>».</w:t>
      </w:r>
    </w:p>
  </w:footnote>
  <w:footnote w:id="23">
    <w:p w14:paraId="3E54BC5B" w14:textId="77777777" w:rsidR="00BA62AD" w:rsidRPr="003D71CA" w:rsidRDefault="00BA62AD" w:rsidP="00BA62AD">
      <w:pPr>
        <w:pStyle w:val="Textonotapie"/>
        <w:ind w:right="51" w:firstLine="709"/>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p>
  </w:footnote>
  <w:footnote w:id="24">
    <w:p w14:paraId="53CAC740" w14:textId="77777777" w:rsidR="00BA62AD" w:rsidRPr="003D71CA" w:rsidRDefault="00BA62AD" w:rsidP="00BA62AD">
      <w:pPr>
        <w:pStyle w:val="Textonotapie"/>
        <w:ind w:right="51" w:firstLine="709"/>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ídem.</w:t>
      </w:r>
    </w:p>
  </w:footnote>
  <w:footnote w:id="25">
    <w:p w14:paraId="254AB413" w14:textId="77777777" w:rsidR="00BA62AD" w:rsidRPr="003D71CA" w:rsidRDefault="00BA62AD" w:rsidP="00BA62AD">
      <w:pPr>
        <w:pStyle w:val="Textonotapie"/>
        <w:ind w:firstLine="709"/>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26">
    <w:p w14:paraId="3DEAFDDE" w14:textId="77777777" w:rsidR="00BA62AD" w:rsidRPr="003D71CA" w:rsidRDefault="00BA62AD" w:rsidP="00BA62AD">
      <w:pPr>
        <w:ind w:firstLine="709"/>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B19F3A1" w14:textId="77777777" w:rsidR="00BA62AD" w:rsidRPr="003D71CA" w:rsidRDefault="00BA62AD" w:rsidP="00BA62AD">
      <w:pPr>
        <w:ind w:firstLine="709"/>
        <w:jc w:val="both"/>
        <w:rPr>
          <w:rFonts w:ascii="Arial" w:hAnsi="Arial" w:cs="Arial"/>
          <w:sz w:val="18"/>
          <w:szCs w:val="18"/>
        </w:rPr>
      </w:pPr>
      <w:r w:rsidRPr="003D71CA">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3D71CA">
        <w:rPr>
          <w:rFonts w:ascii="Arial" w:hAnsi="Arial" w:cs="Arial"/>
          <w:spacing w:val="-1"/>
          <w:sz w:val="18"/>
          <w:szCs w:val="18"/>
        </w:rPr>
        <w:t xml:space="preserve"> </w:t>
      </w:r>
      <w:r w:rsidRPr="003D71CA">
        <w:rPr>
          <w:rFonts w:ascii="Arial" w:hAnsi="Arial" w:cs="Arial"/>
          <w:sz w:val="18"/>
          <w:szCs w:val="18"/>
        </w:rPr>
        <w:t>Estatales».</w:t>
      </w:r>
    </w:p>
  </w:footnote>
  <w:footnote w:id="27">
    <w:p w14:paraId="2DA45A5B" w14:textId="77777777" w:rsidR="00BA62AD" w:rsidRPr="003D71CA" w:rsidRDefault="00BA62AD" w:rsidP="00BA62AD">
      <w:pPr>
        <w:ind w:firstLine="709"/>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3D71CA">
        <w:rPr>
          <w:rFonts w:ascii="Arial" w:hAnsi="Arial" w:cs="Arial"/>
          <w:spacing w:val="-6"/>
          <w:sz w:val="18"/>
          <w:szCs w:val="18"/>
        </w:rPr>
        <w:t xml:space="preserve"> </w:t>
      </w:r>
      <w:r w:rsidRPr="003D71CA">
        <w:rPr>
          <w:rFonts w:ascii="Arial" w:hAnsi="Arial" w:cs="Arial"/>
          <w:sz w:val="18"/>
          <w:szCs w:val="18"/>
        </w:rPr>
        <w:t>artículo».</w:t>
      </w:r>
    </w:p>
  </w:footnote>
  <w:footnote w:id="28">
    <w:p w14:paraId="152B1A12" w14:textId="77777777" w:rsidR="00BA62AD" w:rsidRPr="003D71CA" w:rsidRDefault="00BA62AD" w:rsidP="00BA62AD">
      <w:pPr>
        <w:ind w:firstLine="709"/>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position w:val="7"/>
          <w:sz w:val="18"/>
          <w:szCs w:val="18"/>
        </w:rPr>
        <w:t xml:space="preserve"> </w:t>
      </w:r>
      <w:r w:rsidRPr="003D71CA">
        <w:rPr>
          <w:rFonts w:ascii="Arial" w:hAnsi="Arial" w:cs="Arial"/>
          <w:sz w:val="18"/>
          <w:szCs w:val="18"/>
        </w:rPr>
        <w:t>Consejo de Estado. Sección Tercera. Sentencia del 23 de junio de 2010. Radicación No. 66001-23-31-000-1998-00261-01(17.860). Consejero Ponente: Mauricio Fajardo Gómez.</w:t>
      </w:r>
    </w:p>
  </w:footnote>
  <w:footnote w:id="29">
    <w:p w14:paraId="3193E32E" w14:textId="77777777" w:rsidR="00BA62AD" w:rsidRPr="003D71CA" w:rsidRDefault="00BA62AD" w:rsidP="00BA62AD">
      <w:pPr>
        <w:ind w:firstLine="709"/>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Sección Tercera. Subsección C. Sentencia del 11 de diciembre de 2019. Exp. 46.986. C.P. Jaime Enrique Rodríguez Navas.</w:t>
      </w:r>
    </w:p>
  </w:footnote>
  <w:footnote w:id="30">
    <w:p w14:paraId="117F2FDC" w14:textId="77777777" w:rsidR="00BA62AD" w:rsidRPr="003D71CA" w:rsidRDefault="00BA62AD" w:rsidP="00BA62AD">
      <w:pPr>
        <w:pStyle w:val="Textonotapie"/>
        <w:ind w:firstLine="708"/>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[Referencia propia de la cita] «CE. SCSC. Concepto de 1 de noviembre de 2016 [Rad. 11001-03-06-000-2016-00125-00(2305)]. MP. Germán Alberto Bula Escobar».</w:t>
      </w:r>
    </w:p>
  </w:footnote>
  <w:footnote w:id="31">
    <w:p w14:paraId="575BBDB9" w14:textId="77777777" w:rsidR="00BA62AD" w:rsidRPr="003D71CA" w:rsidRDefault="00BA62AD" w:rsidP="00BA62AD">
      <w:pPr>
        <w:pStyle w:val="Textonotapie"/>
        <w:ind w:firstLine="708"/>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3D71CA">
        <w:rPr>
          <w:rFonts w:ascii="Arial" w:hAnsi="Arial" w:cs="Arial"/>
          <w:i/>
          <w:sz w:val="18"/>
          <w:szCs w:val="18"/>
        </w:rPr>
        <w:t>“obligacional”</w:t>
      </w:r>
      <w:r w:rsidRPr="003D71CA">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32">
    <w:p w14:paraId="758A41E3" w14:textId="77777777" w:rsidR="00BA62AD" w:rsidRPr="003D71CA" w:rsidRDefault="00BA62AD" w:rsidP="00BA62AD">
      <w:pPr>
        <w:pStyle w:val="Textonotapie"/>
        <w:ind w:firstLine="708"/>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[Referencia propia de la cita] «La normativa vigente del EGCAP </w:t>
      </w:r>
      <w:r w:rsidRPr="003D71CA">
        <w:rPr>
          <w:rFonts w:ascii="Arial" w:hAnsi="Arial" w:cs="Arial"/>
          <w:i/>
          <w:sz w:val="18"/>
          <w:szCs w:val="18"/>
        </w:rPr>
        <w:t>[literal c) del numeral 4. del artículo 2 de la Ley 1150/07]</w:t>
      </w:r>
      <w:r w:rsidRPr="003D71CA">
        <w:rPr>
          <w:rFonts w:ascii="Arial" w:hAnsi="Arial" w:cs="Arial"/>
          <w:sz w:val="18"/>
          <w:szCs w:val="18"/>
        </w:rPr>
        <w:t xml:space="preserve"> se refiere a </w:t>
      </w:r>
      <w:r w:rsidRPr="003D71CA">
        <w:rPr>
          <w:rFonts w:ascii="Arial" w:hAnsi="Arial" w:cs="Arial"/>
          <w:i/>
          <w:sz w:val="18"/>
          <w:szCs w:val="18"/>
        </w:rPr>
        <w:t>“contratos interadministrativos”</w:t>
      </w:r>
      <w:r w:rsidRPr="003D71CA">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540E9FF1" w14:textId="77777777" w:rsidR="00BA62AD" w:rsidRPr="003D71CA" w:rsidRDefault="00BA62AD" w:rsidP="00BA62AD">
      <w:pPr>
        <w:pStyle w:val="Textonotapie"/>
        <w:ind w:firstLine="708"/>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4">
    <w:p w14:paraId="501AD1C4" w14:textId="77777777" w:rsidR="00BA62AD" w:rsidRPr="003D71CA" w:rsidRDefault="00BA62AD" w:rsidP="00BA62AD">
      <w:pPr>
        <w:pStyle w:val="Textonotapie"/>
        <w:ind w:firstLine="708"/>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Es lo que sucede, por ejemplo, con el Decreto 092 de 2017, que en su desarrollo hace referencia tanto a los «contratos» como a los «convenios». </w:t>
      </w:r>
    </w:p>
  </w:footnote>
  <w:footnote w:id="35">
    <w:p w14:paraId="2FEE37A7" w14:textId="77777777" w:rsidR="00BA62AD" w:rsidRPr="003D71CA" w:rsidRDefault="00BA62AD" w:rsidP="00BA62AD">
      <w:pPr>
        <w:pStyle w:val="Textonotapie"/>
        <w:ind w:firstLine="708"/>
        <w:jc w:val="both"/>
        <w:rPr>
          <w:rFonts w:ascii="Arial" w:hAnsi="Arial" w:cs="Arial"/>
          <w:sz w:val="18"/>
          <w:szCs w:val="18"/>
          <w:lang w:val="es-CO"/>
        </w:rPr>
      </w:pPr>
      <w:r w:rsidRPr="003D71CA">
        <w:rPr>
          <w:rStyle w:val="Refdenotaalpie"/>
          <w:rFonts w:ascii="Arial" w:hAnsi="Arial" w:cs="Arial"/>
          <w:sz w:val="18"/>
          <w:szCs w:val="18"/>
        </w:rPr>
        <w:footnoteRef/>
      </w:r>
      <w:r w:rsidRPr="003D71CA">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60D9C746" w14:textId="77777777" w:rsidR="00BA62AD" w:rsidRPr="003D71CA" w:rsidRDefault="00BA62AD" w:rsidP="00BA62AD">
      <w:pPr>
        <w:pStyle w:val="Textonotapie"/>
        <w:ind w:firstLine="708"/>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7">
    <w:p w14:paraId="1DBEBED2" w14:textId="77777777" w:rsidR="00BA62AD" w:rsidRPr="003D71CA" w:rsidRDefault="00BA62AD" w:rsidP="00BA62AD">
      <w:pPr>
        <w:pStyle w:val="Textonotapie"/>
        <w:ind w:firstLine="709"/>
        <w:jc w:val="both"/>
        <w:rPr>
          <w:rFonts w:ascii="Arial" w:hAnsi="Arial" w:cs="Arial"/>
          <w:sz w:val="18"/>
          <w:szCs w:val="18"/>
          <w:lang w:val="es-CO"/>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del 15 de noviembre de 2007. Expediente número 1863. Consejero Ponente: Luis Fernando Álvarez Jaramillo.</w:t>
      </w:r>
    </w:p>
  </w:footnote>
  <w:footnote w:id="38">
    <w:p w14:paraId="39AB3177" w14:textId="77777777" w:rsidR="00BA62AD" w:rsidRPr="003D71CA" w:rsidRDefault="00BA62AD" w:rsidP="00BA62AD">
      <w:pPr>
        <w:pStyle w:val="Textonotapie"/>
        <w:ind w:firstLine="708"/>
        <w:jc w:val="both"/>
        <w:rPr>
          <w:rFonts w:ascii="Arial" w:hAnsi="Arial" w:cs="Arial"/>
          <w:color w:val="000000" w:themeColor="text1"/>
          <w:sz w:val="18"/>
          <w:szCs w:val="18"/>
        </w:rPr>
      </w:pPr>
      <w:r w:rsidRPr="003D71CA">
        <w:rPr>
          <w:rStyle w:val="Refdenotaalpie"/>
          <w:rFonts w:ascii="Arial" w:hAnsi="Arial" w:cs="Arial"/>
          <w:color w:val="000000" w:themeColor="text1"/>
          <w:sz w:val="18"/>
          <w:szCs w:val="18"/>
        </w:rPr>
        <w:footnoteRef/>
      </w:r>
      <w:r w:rsidRPr="003D71CA">
        <w:rPr>
          <w:rFonts w:ascii="Arial" w:hAnsi="Arial" w:cs="Arial"/>
          <w:color w:val="000000" w:themeColor="text1"/>
          <w:sz w:val="18"/>
          <w:szCs w:val="18"/>
        </w:rPr>
        <w:t xml:space="preserve"> Ley 60 de 1993: «Artículo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77957E64" w14:textId="77777777" w:rsidR="00BA62AD" w:rsidRPr="003D71CA" w:rsidRDefault="00BA62AD" w:rsidP="00BA62AD">
      <w:pPr>
        <w:pStyle w:val="Textonotapie"/>
        <w:ind w:firstLine="708"/>
        <w:jc w:val="both"/>
        <w:rPr>
          <w:rFonts w:ascii="Arial" w:hAnsi="Arial" w:cs="Arial"/>
          <w:color w:val="000000" w:themeColor="text1"/>
          <w:sz w:val="18"/>
          <w:szCs w:val="18"/>
        </w:rPr>
      </w:pPr>
      <w:r w:rsidRPr="003D71CA">
        <w:rPr>
          <w:rFonts w:ascii="Arial" w:hAnsi="Arial" w:cs="Arial"/>
          <w:color w:val="000000" w:themeColor="text1"/>
          <w:sz w:val="18"/>
          <w:szCs w:val="18"/>
        </w:rPr>
        <w:t>[…]</w:t>
      </w:r>
    </w:p>
    <w:p w14:paraId="3D1EAC34" w14:textId="77777777" w:rsidR="00BA62AD" w:rsidRPr="003D71CA" w:rsidRDefault="00BA62AD" w:rsidP="00BA62AD">
      <w:pPr>
        <w:pStyle w:val="Textonotapie"/>
        <w:ind w:firstLine="708"/>
        <w:jc w:val="both"/>
        <w:rPr>
          <w:rFonts w:ascii="Arial" w:hAnsi="Arial" w:cs="Arial"/>
          <w:color w:val="000000" w:themeColor="text1"/>
          <w:sz w:val="18"/>
          <w:szCs w:val="18"/>
        </w:rPr>
      </w:pPr>
      <w:r w:rsidRPr="003D71CA">
        <w:rPr>
          <w:rFonts w:ascii="Arial" w:hAnsi="Arial" w:cs="Arial"/>
          <w:color w:val="000000" w:themeColor="text1"/>
          <w:sz w:val="18"/>
          <w:szCs w:val="18"/>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5CC113B1" w14:textId="77777777" w:rsidR="00BA62AD" w:rsidRPr="003D71CA" w:rsidRDefault="00BA62AD" w:rsidP="00BA62AD">
      <w:pPr>
        <w:pStyle w:val="Textonotapie"/>
        <w:ind w:firstLine="708"/>
        <w:jc w:val="both"/>
        <w:rPr>
          <w:rFonts w:ascii="Arial" w:hAnsi="Arial" w:cs="Arial"/>
          <w:color w:val="000000" w:themeColor="text1"/>
          <w:sz w:val="18"/>
          <w:szCs w:val="18"/>
        </w:rPr>
      </w:pPr>
      <w:r w:rsidRPr="003D71CA">
        <w:rPr>
          <w:rFonts w:ascii="Arial" w:hAnsi="Arial" w:cs="Arial"/>
          <w:color w:val="000000" w:themeColor="text1"/>
          <w:sz w:val="18"/>
          <w:szCs w:val="18"/>
        </w:rPr>
        <w:t>[…]</w:t>
      </w:r>
    </w:p>
    <w:p w14:paraId="761D4E1B" w14:textId="77777777" w:rsidR="00BA62AD" w:rsidRPr="003D71CA" w:rsidRDefault="00BA62AD" w:rsidP="00BA62AD">
      <w:pPr>
        <w:pStyle w:val="Textonotapie"/>
        <w:ind w:firstLine="708"/>
        <w:jc w:val="both"/>
        <w:rPr>
          <w:rFonts w:ascii="Arial" w:hAnsi="Arial" w:cs="Arial"/>
          <w:color w:val="000000" w:themeColor="text1"/>
          <w:sz w:val="18"/>
          <w:szCs w:val="18"/>
        </w:rPr>
      </w:pPr>
      <w:r w:rsidRPr="003D71CA">
        <w:rPr>
          <w:rFonts w:ascii="Arial" w:hAnsi="Arial" w:cs="Arial"/>
          <w:color w:val="000000" w:themeColor="text1"/>
          <w:sz w:val="18"/>
          <w:szCs w:val="18"/>
        </w:rPr>
        <w:t xml:space="preserve">«Artículo 4. Competencias de los distritos. Corresponde a los distritos, a través de las dependencias de su organización central o de las entidades descentralizadas competentes, conforme a la Ley, a las normas técnicas nacionales y a los respectivos acuerdos». </w:t>
      </w:r>
    </w:p>
    <w:p w14:paraId="5D4A55B9" w14:textId="77777777" w:rsidR="00BA62AD" w:rsidRPr="003D71CA" w:rsidRDefault="00BA62AD" w:rsidP="00BA62AD">
      <w:pPr>
        <w:pStyle w:val="Textonotapie"/>
        <w:ind w:firstLine="708"/>
        <w:jc w:val="both"/>
        <w:rPr>
          <w:rFonts w:ascii="Arial" w:hAnsi="Arial" w:cs="Arial"/>
          <w:color w:val="000000" w:themeColor="text1"/>
          <w:sz w:val="18"/>
          <w:szCs w:val="18"/>
        </w:rPr>
      </w:pPr>
      <w:r w:rsidRPr="003D71CA">
        <w:rPr>
          <w:rFonts w:ascii="Arial" w:hAnsi="Arial" w:cs="Arial"/>
          <w:color w:val="000000" w:themeColor="text1"/>
          <w:sz w:val="18"/>
          <w:szCs w:val="18"/>
        </w:rPr>
        <w:t xml:space="preserve">Ley 715 de 2005: «Artículo 9. (…) Las instituciones educativas estatales son departamentales, distritales o municipales». </w:t>
      </w:r>
    </w:p>
  </w:footnote>
  <w:footnote w:id="39">
    <w:p w14:paraId="07C7740D" w14:textId="77777777" w:rsidR="00BA62AD" w:rsidRPr="003D71CA" w:rsidRDefault="00BA62AD" w:rsidP="00BA62AD">
      <w:pPr>
        <w:pStyle w:val="Textonotapie"/>
        <w:ind w:firstLine="708"/>
        <w:jc w:val="both"/>
        <w:rPr>
          <w:rFonts w:ascii="Arial" w:hAnsi="Arial" w:cs="Arial"/>
          <w:color w:val="000000" w:themeColor="text1"/>
          <w:sz w:val="18"/>
          <w:szCs w:val="18"/>
        </w:rPr>
      </w:pPr>
      <w:r w:rsidRPr="003D71CA">
        <w:rPr>
          <w:rStyle w:val="Refdenotaalpie"/>
          <w:rFonts w:ascii="Arial" w:hAnsi="Arial" w:cs="Arial"/>
          <w:color w:val="000000" w:themeColor="text1"/>
          <w:sz w:val="18"/>
          <w:szCs w:val="18"/>
        </w:rPr>
        <w:footnoteRef/>
      </w:r>
      <w:r w:rsidRPr="003D71CA">
        <w:rPr>
          <w:rFonts w:ascii="Arial" w:hAnsi="Arial" w:cs="Arial"/>
          <w:color w:val="000000" w:themeColor="text1"/>
          <w:sz w:val="18"/>
          <w:szCs w:val="18"/>
        </w:rPr>
        <w:t xml:space="preserve"> «Artículo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footnote>
  <w:footnote w:id="40">
    <w:p w14:paraId="09BBC209" w14:textId="77777777" w:rsidR="00BA62AD" w:rsidRPr="003D71CA" w:rsidRDefault="00BA62AD" w:rsidP="00BA62AD">
      <w:pPr>
        <w:pStyle w:val="Textonotapie"/>
        <w:ind w:firstLine="708"/>
        <w:jc w:val="both"/>
        <w:rPr>
          <w:rFonts w:ascii="Arial" w:hAnsi="Arial" w:cs="Arial"/>
          <w:color w:val="000000" w:themeColor="text1"/>
          <w:sz w:val="18"/>
          <w:szCs w:val="18"/>
        </w:rPr>
      </w:pPr>
      <w:r w:rsidRPr="003D71CA">
        <w:rPr>
          <w:rStyle w:val="Refdenotaalpie"/>
          <w:rFonts w:ascii="Arial" w:hAnsi="Arial" w:cs="Arial"/>
          <w:color w:val="000000" w:themeColor="text1"/>
          <w:sz w:val="18"/>
          <w:szCs w:val="18"/>
        </w:rPr>
        <w:footnoteRef/>
      </w:r>
      <w:r w:rsidRPr="003D71CA">
        <w:rPr>
          <w:rStyle w:val="Refdenotaalpie"/>
          <w:rFonts w:ascii="Arial" w:hAnsi="Arial" w:cs="Arial"/>
          <w:color w:val="000000" w:themeColor="text1"/>
          <w:sz w:val="18"/>
          <w:szCs w:val="18"/>
        </w:rPr>
        <w:t xml:space="preserve"> </w:t>
      </w:r>
      <w:r w:rsidRPr="003D71CA">
        <w:rPr>
          <w:rFonts w:ascii="Arial" w:hAnsi="Arial" w:cs="Arial"/>
          <w:color w:val="000000" w:themeColor="text1"/>
          <w:sz w:val="18"/>
          <w:szCs w:val="18"/>
        </w:rPr>
        <w:t>Consejo de Estado. Sección Tercera Subsección A. Sentencia del 12 de octubre de 2017. Consejera Ponente: Marta Nubia Velásquez Rico. Radicación número: 68001-23-31-000-2005-03845-01(51.634).</w:t>
      </w:r>
    </w:p>
  </w:footnote>
  <w:footnote w:id="41">
    <w:p w14:paraId="030F864D" w14:textId="77777777" w:rsidR="00BA62AD" w:rsidRPr="003D71CA" w:rsidRDefault="00BA62AD" w:rsidP="00BA62AD">
      <w:pPr>
        <w:pStyle w:val="NormalWeb"/>
        <w:spacing w:before="0" w:beforeAutospacing="0" w:after="0" w:afterAutospacing="0"/>
        <w:ind w:firstLine="708"/>
        <w:jc w:val="both"/>
        <w:rPr>
          <w:rFonts w:ascii="Arial" w:hAnsi="Arial" w:cs="Arial"/>
          <w:sz w:val="18"/>
          <w:szCs w:val="18"/>
        </w:rPr>
      </w:pPr>
      <w:r w:rsidRPr="003D71CA">
        <w:rPr>
          <w:rStyle w:val="Refdenotaalpie"/>
          <w:rFonts w:ascii="Arial" w:hAnsi="Arial" w:cs="Arial"/>
          <w:sz w:val="18"/>
          <w:szCs w:val="18"/>
        </w:rPr>
        <w:footnoteRef/>
      </w:r>
      <w:r w:rsidRPr="003D71CA">
        <w:rPr>
          <w:rStyle w:val="Refdenotaalpie"/>
          <w:rFonts w:ascii="Arial" w:hAnsi="Arial" w:cs="Arial"/>
          <w:sz w:val="18"/>
          <w:szCs w:val="18"/>
        </w:rPr>
        <w:t xml:space="preserve"> </w:t>
      </w:r>
      <w:r w:rsidRPr="003D71CA">
        <w:rPr>
          <w:rFonts w:ascii="Arial" w:hAnsi="Arial" w:cs="Arial"/>
          <w:sz w:val="18"/>
          <w:szCs w:val="18"/>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059FDFD7" w14:textId="77777777" w:rsidR="00BA62AD" w:rsidRPr="003D71CA" w:rsidRDefault="00BA62AD" w:rsidP="00BA62AD">
      <w:pPr>
        <w:ind w:firstLine="708"/>
        <w:jc w:val="both"/>
        <w:rPr>
          <w:rFonts w:ascii="Arial" w:hAnsi="Arial" w:cs="Arial"/>
          <w:sz w:val="18"/>
          <w:szCs w:val="18"/>
          <w:lang w:eastAsia="es-CO"/>
        </w:rPr>
      </w:pPr>
      <w:r w:rsidRPr="003D71CA">
        <w:rPr>
          <w:rFonts w:ascii="Arial" w:hAnsi="Arial" w:cs="Arial"/>
          <w:sz w:val="18"/>
          <w:szCs w:val="18"/>
          <w:lang w:eastAsia="es-CO"/>
        </w:rPr>
        <w:t xml:space="preserve">»Los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 </w:t>
      </w:r>
    </w:p>
    <w:p w14:paraId="615AE07F" w14:textId="77777777" w:rsidR="00BA62AD" w:rsidRPr="003D71CA" w:rsidRDefault="00BA62AD" w:rsidP="00BA62AD">
      <w:pPr>
        <w:ind w:firstLine="708"/>
        <w:jc w:val="both"/>
        <w:rPr>
          <w:rFonts w:ascii="Arial" w:hAnsi="Arial" w:cs="Arial"/>
          <w:sz w:val="18"/>
          <w:szCs w:val="18"/>
          <w:lang w:eastAsia="es-CO"/>
        </w:rPr>
      </w:pPr>
      <w:r w:rsidRPr="003D71CA">
        <w:rPr>
          <w:rFonts w:ascii="Arial" w:hAnsi="Arial" w:cs="Arial"/>
          <w:sz w:val="18"/>
          <w:szCs w:val="18"/>
          <w:lang w:eastAsia="es-CO"/>
        </w:rPr>
        <w:t>»El rector o director celebrará los contratos que hayan de pagarse con cargo a los recursos vinculados a los Fondos, en las condiciones y dentro de los límites que fijen los reglamentos.</w:t>
      </w:r>
    </w:p>
    <w:p w14:paraId="76634B1B" w14:textId="77777777" w:rsidR="00BA62AD" w:rsidRPr="003D71CA" w:rsidRDefault="00BA62AD" w:rsidP="00BA62AD">
      <w:pPr>
        <w:ind w:firstLine="708"/>
        <w:jc w:val="both"/>
        <w:rPr>
          <w:rFonts w:ascii="Arial" w:hAnsi="Arial" w:cs="Arial"/>
          <w:sz w:val="18"/>
          <w:szCs w:val="18"/>
          <w:lang w:eastAsia="es-CO"/>
        </w:rPr>
      </w:pPr>
      <w:r w:rsidRPr="003D71CA">
        <w:rPr>
          <w:rFonts w:ascii="Arial" w:hAnsi="Arial" w:cs="Arial"/>
          <w:sz w:val="18"/>
          <w:szCs w:val="18"/>
          <w:lang w:eastAsia="es-CO"/>
        </w:rPr>
        <w:t>»</w:t>
      </w:r>
      <w:r w:rsidRPr="003D71CA">
        <w:rPr>
          <w:rFonts w:ascii="Arial" w:hAnsi="Arial" w:cs="Arial"/>
          <w:i/>
          <w:iCs/>
          <w:sz w:val="18"/>
          <w:szCs w:val="18"/>
          <w:lang w:eastAsia="es-CO"/>
        </w:rPr>
        <w:t xml:space="preserve">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w:t>
      </w:r>
      <w:bookmarkStart w:id="27" w:name="_Hlk61284561"/>
      <w:r w:rsidRPr="003D71CA">
        <w:rPr>
          <w:rFonts w:ascii="Arial" w:hAnsi="Arial" w:cs="Arial"/>
          <w:i/>
          <w:iCs/>
          <w:sz w:val="18"/>
          <w:szCs w:val="18"/>
          <w:lang w:eastAsia="es-CO"/>
        </w:rPr>
        <w:t>los trámites, garantías y constancias que deben cumplirse para que el rector o director celebre cualquier acto o contrato que cree, extinga o modifique obligaciones que deban registrarse en el Fondo</w:t>
      </w:r>
      <w:bookmarkEnd w:id="27"/>
      <w:r w:rsidRPr="003D71CA">
        <w:rPr>
          <w:rFonts w:ascii="Arial" w:hAnsi="Arial" w:cs="Arial"/>
          <w:i/>
          <w:iCs/>
          <w:sz w:val="18"/>
          <w:szCs w:val="18"/>
          <w:lang w:eastAsia="es-CO"/>
        </w:rPr>
        <w:t>, y cuya cuantía sea inferior a veinte (20) salarios mínimos mensuales. El Consejo puede exigir, además, que ciertos actos o contratos requieran una autorización suya específica</w:t>
      </w:r>
      <w:r w:rsidRPr="003D71CA">
        <w:rPr>
          <w:rFonts w:ascii="Arial" w:hAnsi="Arial" w:cs="Arial"/>
          <w:sz w:val="18"/>
          <w:szCs w:val="18"/>
          <w:lang w:eastAsia="es-CO"/>
        </w:rPr>
        <w:t>.</w:t>
      </w:r>
    </w:p>
    <w:p w14:paraId="5A4539B4" w14:textId="77777777" w:rsidR="00BA62AD" w:rsidRPr="003D71CA" w:rsidRDefault="00BA62AD" w:rsidP="00BA62AD">
      <w:pPr>
        <w:ind w:firstLine="708"/>
        <w:jc w:val="both"/>
        <w:rPr>
          <w:rFonts w:ascii="Arial" w:hAnsi="Arial" w:cs="Arial"/>
          <w:sz w:val="18"/>
          <w:szCs w:val="18"/>
          <w:lang w:eastAsia="es-CO"/>
        </w:rPr>
      </w:pPr>
      <w:r w:rsidRPr="003D71CA">
        <w:rPr>
          <w:rFonts w:ascii="Arial" w:hAnsi="Arial" w:cs="Arial"/>
          <w:sz w:val="18"/>
          <w:szCs w:val="18"/>
          <w:lang w:eastAsia="es-CO"/>
        </w:rPr>
        <w:t>[…]» (Énfasis fuera de texto).</w:t>
      </w:r>
    </w:p>
    <w:p w14:paraId="2CC381A3" w14:textId="77777777" w:rsidR="00BA62AD" w:rsidRPr="003D71CA" w:rsidRDefault="00BA62AD" w:rsidP="00BA62AD">
      <w:pPr>
        <w:pStyle w:val="Textonotapie"/>
        <w:ind w:firstLine="708"/>
        <w:jc w:val="both"/>
        <w:rPr>
          <w:rFonts w:ascii="Arial" w:hAnsi="Arial" w:cs="Arial"/>
          <w:color w:val="000000" w:themeColor="text1"/>
          <w:sz w:val="18"/>
          <w:szCs w:val="18"/>
        </w:rPr>
      </w:pPr>
      <w:r w:rsidRPr="003D71CA">
        <w:rPr>
          <w:rFonts w:ascii="Arial" w:hAnsi="Arial" w:cs="Arial"/>
          <w:color w:val="000000" w:themeColor="text1"/>
          <w:sz w:val="18"/>
          <w:szCs w:val="18"/>
        </w:rPr>
        <w:t>Decreto 1075 de 2015: «Artículo 2.3.1.6.3.5. Funciones del Consejo Directivo. (…) 6. Reglamentar mediante acuerdo los procedimientos, formalidades y garantías para toda contratación que no supere los veinte (20) salarios mínimos legales mensuales vigentes (SMLMV)».</w:t>
      </w:r>
    </w:p>
  </w:footnote>
  <w:footnote w:id="42">
    <w:p w14:paraId="63511C7C" w14:textId="77777777" w:rsidR="00BA62AD" w:rsidRPr="003D71CA" w:rsidRDefault="00BA62AD" w:rsidP="00BA62AD">
      <w:pPr>
        <w:pStyle w:val="Textonotapie"/>
        <w:ind w:firstLine="708"/>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que de acuerdo con las normas civiles, comerciales y las previstas en esta ley, correspondan a su esencia y naturaleza».</w:t>
      </w:r>
    </w:p>
  </w:footnote>
  <w:footnote w:id="43">
    <w:p w14:paraId="39BEABD2" w14:textId="77777777" w:rsidR="00BA62AD" w:rsidRPr="003D71CA" w:rsidRDefault="00BA62AD" w:rsidP="00BA62AD">
      <w:pPr>
        <w:pStyle w:val="Textonotapie"/>
        <w:ind w:firstLine="708"/>
        <w:jc w:val="both"/>
        <w:rPr>
          <w:rFonts w:ascii="Arial" w:hAnsi="Arial" w:cs="Arial"/>
          <w:sz w:val="18"/>
          <w:szCs w:val="18"/>
          <w:lang w:val="es-ES"/>
        </w:rPr>
      </w:pPr>
      <w:r w:rsidRPr="003D71CA">
        <w:rPr>
          <w:rStyle w:val="Refdenotaalpie"/>
          <w:rFonts w:ascii="Arial" w:hAnsi="Arial" w:cs="Arial"/>
          <w:sz w:val="18"/>
          <w:szCs w:val="18"/>
        </w:rPr>
        <w:footnoteRef/>
      </w:r>
      <w:r w:rsidRPr="003D71CA">
        <w:rPr>
          <w:rFonts w:ascii="Arial" w:hAnsi="Arial" w:cs="Arial"/>
          <w:sz w:val="18"/>
          <w:szCs w:val="18"/>
        </w:rPr>
        <w:t xml:space="preserve"> Cfr. BENAVIDES, José Luis. El contrato estatal: entre el derecho público y el derecho privado. Segunda edición. Bogotá: Universidad Externado de Colombia, 2009. pp. 78-79.      </w:t>
      </w:r>
    </w:p>
  </w:footnote>
  <w:footnote w:id="44">
    <w:p w14:paraId="62D26AE8" w14:textId="77777777" w:rsidR="00BA62AD" w:rsidRPr="003D71CA" w:rsidRDefault="00BA62AD" w:rsidP="00BA62AD">
      <w:pPr>
        <w:pStyle w:val="Textonotapie"/>
        <w:ind w:firstLine="708"/>
        <w:jc w:val="both"/>
        <w:rPr>
          <w:rFonts w:ascii="Arial" w:hAnsi="Arial" w:cs="Arial"/>
          <w:sz w:val="18"/>
          <w:szCs w:val="18"/>
          <w:lang w:val="es-ES"/>
        </w:rPr>
      </w:pPr>
      <w:r w:rsidRPr="003D71CA">
        <w:rPr>
          <w:rStyle w:val="Refdenotaalpie"/>
          <w:rFonts w:ascii="Arial" w:hAnsi="Arial" w:cs="Arial"/>
          <w:sz w:val="18"/>
          <w:szCs w:val="18"/>
        </w:rPr>
        <w:footnoteRef/>
      </w:r>
      <w:r w:rsidRPr="003D71CA">
        <w:rPr>
          <w:rFonts w:ascii="Arial" w:hAnsi="Arial" w:cs="Arial"/>
          <w:sz w:val="18"/>
          <w:szCs w:val="18"/>
        </w:rPr>
        <w:t xml:space="preserve"> BETANCUR JARAMILLO, Carlos. Derecho procesal administrativo. Cuarta edición. Medellín: Señal Editora, 1994. pp. 522-523. </w:t>
      </w:r>
    </w:p>
  </w:footnote>
  <w:footnote w:id="45">
    <w:p w14:paraId="3D5C3B65" w14:textId="77777777" w:rsidR="00BA62AD" w:rsidRPr="003D71CA" w:rsidRDefault="00BA62AD" w:rsidP="00BA62AD">
      <w:pPr>
        <w:pStyle w:val="Textonotapie"/>
        <w:ind w:firstLine="708"/>
        <w:jc w:val="both"/>
        <w:rPr>
          <w:rFonts w:ascii="Arial" w:hAnsi="Arial" w:cs="Arial"/>
          <w:sz w:val="18"/>
          <w:szCs w:val="18"/>
          <w:lang w:val="es-ES"/>
        </w:rPr>
      </w:pPr>
      <w:r w:rsidRPr="003D71CA">
        <w:rPr>
          <w:rStyle w:val="Refdenotaalpie"/>
          <w:rFonts w:ascii="Arial" w:hAnsi="Arial" w:cs="Arial"/>
          <w:sz w:val="18"/>
          <w:szCs w:val="18"/>
        </w:rPr>
        <w:footnoteRef/>
      </w:r>
      <w:r w:rsidRPr="003D71CA">
        <w:rPr>
          <w:rFonts w:ascii="Arial" w:hAnsi="Arial" w:cs="Arial"/>
          <w:sz w:val="18"/>
          <w:szCs w:val="18"/>
        </w:rPr>
        <w:t xml:space="preserve"> La norma citada dispone que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46">
    <w:p w14:paraId="165F67DD" w14:textId="77777777" w:rsidR="00BA62AD" w:rsidRPr="003D71CA" w:rsidRDefault="00BA62AD" w:rsidP="00BA62AD">
      <w:pPr>
        <w:pStyle w:val="Textonotapie"/>
        <w:ind w:firstLine="708"/>
        <w:jc w:val="both"/>
        <w:rPr>
          <w:rFonts w:ascii="Arial" w:hAnsi="Arial" w:cs="Arial"/>
          <w:sz w:val="18"/>
          <w:szCs w:val="18"/>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del 27 de abril de 2006. Rad:1712. C.P. Enrique José Arboleda Perdomo.</w:t>
      </w:r>
    </w:p>
  </w:footnote>
  <w:footnote w:id="47">
    <w:p w14:paraId="6520386A" w14:textId="77777777" w:rsidR="00BA62AD" w:rsidRPr="003D71CA" w:rsidRDefault="00BA62AD" w:rsidP="00BA62AD">
      <w:pPr>
        <w:pStyle w:val="Textonotapie"/>
        <w:ind w:firstLine="708"/>
        <w:jc w:val="both"/>
        <w:rPr>
          <w:rFonts w:ascii="Arial" w:hAnsi="Arial" w:cs="Arial"/>
          <w:sz w:val="18"/>
          <w:szCs w:val="18"/>
          <w:lang w:val="es-CO"/>
        </w:rPr>
      </w:pPr>
      <w:r w:rsidRPr="003D71CA">
        <w:rPr>
          <w:rStyle w:val="Refdenotaalpie"/>
          <w:rFonts w:ascii="Arial" w:hAnsi="Arial" w:cs="Arial"/>
          <w:sz w:val="18"/>
          <w:szCs w:val="18"/>
        </w:rPr>
        <w:footnoteRef/>
      </w:r>
      <w:r w:rsidRPr="003D71CA">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0634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2653C1"/>
    <w:rsid w:val="00265D60"/>
    <w:rsid w:val="0026611D"/>
    <w:rsid w:val="002951A0"/>
    <w:rsid w:val="002A64FD"/>
    <w:rsid w:val="002D2154"/>
    <w:rsid w:val="002F0839"/>
    <w:rsid w:val="00301469"/>
    <w:rsid w:val="00306EE1"/>
    <w:rsid w:val="00310B9B"/>
    <w:rsid w:val="0036461C"/>
    <w:rsid w:val="00367884"/>
    <w:rsid w:val="003729F7"/>
    <w:rsid w:val="0039439C"/>
    <w:rsid w:val="003B69E7"/>
    <w:rsid w:val="003C013B"/>
    <w:rsid w:val="003D0F4D"/>
    <w:rsid w:val="003E2888"/>
    <w:rsid w:val="003F58A1"/>
    <w:rsid w:val="00410DD6"/>
    <w:rsid w:val="004134C9"/>
    <w:rsid w:val="0043138C"/>
    <w:rsid w:val="00462A59"/>
    <w:rsid w:val="004A1847"/>
    <w:rsid w:val="004B6B0E"/>
    <w:rsid w:val="004D25B3"/>
    <w:rsid w:val="00511405"/>
    <w:rsid w:val="00520E64"/>
    <w:rsid w:val="00526E9D"/>
    <w:rsid w:val="00547856"/>
    <w:rsid w:val="00547A74"/>
    <w:rsid w:val="005566E8"/>
    <w:rsid w:val="005746AB"/>
    <w:rsid w:val="0059357F"/>
    <w:rsid w:val="005A1130"/>
    <w:rsid w:val="005D65C8"/>
    <w:rsid w:val="006219F8"/>
    <w:rsid w:val="00676BA5"/>
    <w:rsid w:val="00681FDB"/>
    <w:rsid w:val="006A7DAD"/>
    <w:rsid w:val="006B5F72"/>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918DB"/>
    <w:rsid w:val="008B2A91"/>
    <w:rsid w:val="008D5C70"/>
    <w:rsid w:val="009025AF"/>
    <w:rsid w:val="00904F23"/>
    <w:rsid w:val="00906B3C"/>
    <w:rsid w:val="0095342C"/>
    <w:rsid w:val="009F33F2"/>
    <w:rsid w:val="009F6C77"/>
    <w:rsid w:val="00A07532"/>
    <w:rsid w:val="00A1085C"/>
    <w:rsid w:val="00A309E2"/>
    <w:rsid w:val="00A41112"/>
    <w:rsid w:val="00A8066E"/>
    <w:rsid w:val="00AA4B8A"/>
    <w:rsid w:val="00AA6BF7"/>
    <w:rsid w:val="00B01ED6"/>
    <w:rsid w:val="00B06D09"/>
    <w:rsid w:val="00B771A9"/>
    <w:rsid w:val="00B809BB"/>
    <w:rsid w:val="00B8248A"/>
    <w:rsid w:val="00BA62AD"/>
    <w:rsid w:val="00BB7726"/>
    <w:rsid w:val="00C2329E"/>
    <w:rsid w:val="00C30461"/>
    <w:rsid w:val="00C35EC4"/>
    <w:rsid w:val="00C754BE"/>
    <w:rsid w:val="00C87572"/>
    <w:rsid w:val="00C9405D"/>
    <w:rsid w:val="00CB674F"/>
    <w:rsid w:val="00CC1B26"/>
    <w:rsid w:val="00CD284F"/>
    <w:rsid w:val="00CF23AA"/>
    <w:rsid w:val="00D01921"/>
    <w:rsid w:val="00D752B7"/>
    <w:rsid w:val="00DA1854"/>
    <w:rsid w:val="00DB0887"/>
    <w:rsid w:val="00DF1E43"/>
    <w:rsid w:val="00E20894"/>
    <w:rsid w:val="00E26B7C"/>
    <w:rsid w:val="00E4789B"/>
    <w:rsid w:val="00EA3003"/>
    <w:rsid w:val="00EB3C91"/>
    <w:rsid w:val="00EB66DA"/>
    <w:rsid w:val="00F605F2"/>
    <w:rsid w:val="00F76AFC"/>
    <w:rsid w:val="00F8319B"/>
    <w:rsid w:val="00FA5516"/>
    <w:rsid w:val="00FC1771"/>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A62AD"/>
    <w:rPr>
      <w:rFonts w:ascii="Geomanist Light" w:hAnsi="Geomanist Light"/>
      <w:lang w:val="es-ES"/>
    </w:rPr>
  </w:style>
  <w:style w:type="paragraph" w:customStyle="1" w:styleId="Appelnotedebasde">
    <w:name w:val="Appel note de bas de..."/>
    <w:basedOn w:val="Normal"/>
    <w:link w:val="Refdenotaalpie"/>
    <w:uiPriority w:val="99"/>
    <w:rsid w:val="00BA62AD"/>
    <w:pPr>
      <w:spacing w:line="240" w:lineRule="exact"/>
    </w:pPr>
    <w:rPr>
      <w:vertAlign w:val="superscript"/>
    </w:rPr>
  </w:style>
  <w:style w:type="paragraph" w:styleId="Textoindependiente">
    <w:name w:val="Body Text"/>
    <w:basedOn w:val="Normal"/>
    <w:link w:val="TextoindependienteCar"/>
    <w:uiPriority w:val="1"/>
    <w:qFormat/>
    <w:rsid w:val="00BA62AD"/>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BA62AD"/>
    <w:rPr>
      <w:rFonts w:ascii="Arial" w:eastAsia="Arial" w:hAnsi="Arial" w:cs="Arial"/>
      <w:sz w:val="20"/>
      <w:szCs w:val="20"/>
      <w:lang w:val="es-ES"/>
    </w:rPr>
  </w:style>
  <w:style w:type="paragraph" w:styleId="NormalWeb">
    <w:name w:val="Normal (Web)"/>
    <w:basedOn w:val="Normal"/>
    <w:link w:val="NormalWebCar"/>
    <w:uiPriority w:val="99"/>
    <w:unhideWhenUsed/>
    <w:rsid w:val="00BA62A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baj">
    <w:name w:val="b_aj"/>
    <w:basedOn w:val="Fuentedeprrafopredeter"/>
    <w:rsid w:val="00BA62AD"/>
  </w:style>
  <w:style w:type="character" w:customStyle="1" w:styleId="NormalWebCar">
    <w:name w:val="Normal (Web) Car"/>
    <w:link w:val="NormalWeb"/>
    <w:uiPriority w:val="99"/>
    <w:rsid w:val="00BA62AD"/>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B38CF47-D8EF-4051-BA1C-311443AC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purl.org/dc/dcmitype/"/>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9d85dbaf-23eb-4e57-a637-93dcacc8b1a1"/>
    <ds:schemaRef ds:uri="http://schemas.microsoft.com/office/infopath/2007/PartnerControls"/>
    <ds:schemaRef ds:uri="http://schemas.openxmlformats.org/package/2006/metadata/core-properties"/>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10028</Words>
  <Characters>55154</Characters>
  <Application>Microsoft Office Word</Application>
  <DocSecurity>0</DocSecurity>
  <Lines>459</Lines>
  <Paragraphs>130</Paragraphs>
  <ScaleCrop>false</ScaleCrop>
  <Company/>
  <LinksUpToDate>false</LinksUpToDate>
  <CharactersWithSpaces>65052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9</cp:revision>
  <dcterms:created xsi:type="dcterms:W3CDTF">2023-05-24T02:42:00Z</dcterms:created>
  <dcterms:modified xsi:type="dcterms:W3CDTF">2023-05-24T02:51:00Z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