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6BB9" w14:textId="77777777" w:rsidR="00A24733" w:rsidRPr="00A24733" w:rsidRDefault="00A24733" w:rsidP="00A24733">
      <w:pPr>
        <w:spacing w:after="0" w:line="276" w:lineRule="auto"/>
        <w:jc w:val="both"/>
        <w:rPr>
          <w:rFonts w:ascii="Arial" w:eastAsia="Calibri" w:hAnsi="Arial" w:cs="Arial"/>
          <w:b/>
          <w:szCs w:val="24"/>
          <w:lang w:val="es-ES_tradnl" w:eastAsia="es-ES_tradnl"/>
        </w:rPr>
      </w:pPr>
    </w:p>
    <w:p w14:paraId="38DC6289" w14:textId="77777777" w:rsidR="00A24733" w:rsidRPr="00A24733" w:rsidRDefault="00A24733" w:rsidP="00A24733">
      <w:pPr>
        <w:tabs>
          <w:tab w:val="left" w:pos="6551"/>
        </w:tabs>
        <w:spacing w:after="0" w:line="240" w:lineRule="auto"/>
        <w:jc w:val="both"/>
        <w:rPr>
          <w:rFonts w:ascii="Arial" w:eastAsia="Calibri" w:hAnsi="Arial" w:cs="Arial"/>
          <w:b/>
          <w:color w:val="000000"/>
          <w:szCs w:val="24"/>
          <w:lang w:val="es-ES_tradnl" w:eastAsia="es-ES_tradnl"/>
        </w:rPr>
      </w:pPr>
      <w:r w:rsidRPr="00A24733">
        <w:rPr>
          <w:rFonts w:ascii="Arial" w:eastAsia="Times New Roman" w:hAnsi="Arial" w:cs="Arial"/>
          <w:b/>
          <w:bCs/>
          <w:color w:val="000000"/>
          <w:lang w:eastAsia="es-ES_tradnl"/>
        </w:rPr>
        <w:t xml:space="preserve">DECRETO 1860 DE 2021 – Convocatorias limitadas a MiPymes – Normas reglamentarias – Mínima cuantía </w:t>
      </w:r>
    </w:p>
    <w:p w14:paraId="79BD02CC" w14:textId="77777777" w:rsidR="00A24733" w:rsidRPr="00A24733" w:rsidRDefault="00A24733" w:rsidP="00A24733">
      <w:pPr>
        <w:tabs>
          <w:tab w:val="left" w:pos="6551"/>
        </w:tabs>
        <w:spacing w:after="0" w:line="240" w:lineRule="auto"/>
        <w:jc w:val="both"/>
        <w:rPr>
          <w:rFonts w:ascii="Arial" w:eastAsia="Calibri" w:hAnsi="Arial" w:cs="Arial"/>
          <w:b/>
          <w:color w:val="000000"/>
          <w:szCs w:val="24"/>
          <w:lang w:val="es-ES_tradnl" w:eastAsia="es-ES_tradnl"/>
        </w:rPr>
      </w:pPr>
    </w:p>
    <w:p w14:paraId="525A8362" w14:textId="099D8669" w:rsidR="00E87DE0" w:rsidRDefault="00A24733" w:rsidP="00E87DE0">
      <w:pPr>
        <w:tabs>
          <w:tab w:val="left" w:pos="6551"/>
        </w:tabs>
        <w:spacing w:after="0" w:line="240" w:lineRule="auto"/>
        <w:jc w:val="both"/>
        <w:rPr>
          <w:rFonts w:ascii="Arial" w:eastAsia="Calibri" w:hAnsi="Arial" w:cs="Arial"/>
          <w:color w:val="000000"/>
          <w:sz w:val="20"/>
          <w:szCs w:val="20"/>
          <w:lang w:val="es-ES_tradnl" w:eastAsia="es-ES_tradnl"/>
        </w:rPr>
      </w:pPr>
      <w:r w:rsidRPr="00A24733">
        <w:rPr>
          <w:rFonts w:ascii="Arial" w:eastAsia="Calibri" w:hAnsi="Arial" w:cs="Arial"/>
          <w:color w:val="000000"/>
          <w:sz w:val="20"/>
          <w:szCs w:val="20"/>
          <w:lang w:val="es-ES_tradnl" w:eastAsia="es-ES_tradnl"/>
        </w:rPr>
        <w:t xml:space="preserve">[…] </w:t>
      </w:r>
      <w:r w:rsidR="00E87DE0" w:rsidRPr="00E87DE0">
        <w:rPr>
          <w:rFonts w:ascii="Arial" w:eastAsia="Calibri" w:hAnsi="Arial" w:cs="Arial"/>
          <w:color w:val="000000"/>
          <w:sz w:val="20"/>
          <w:szCs w:val="20"/>
          <w:lang w:val="es-ES_tradnl" w:eastAsia="es-ES_tradnl"/>
        </w:rPr>
        <w:t xml:space="preserve">el Gobierno Nacional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ibidem sometió a un plazo la </w:t>
      </w:r>
      <w:proofErr w:type="gramStart"/>
      <w:r w:rsidR="00E87DE0" w:rsidRPr="00E87DE0">
        <w:rPr>
          <w:rFonts w:ascii="Arial" w:eastAsia="Calibri" w:hAnsi="Arial" w:cs="Arial"/>
          <w:color w:val="000000"/>
          <w:sz w:val="20"/>
          <w:szCs w:val="20"/>
          <w:lang w:val="es-ES_tradnl" w:eastAsia="es-ES_tradnl"/>
        </w:rPr>
        <w:t>entrada en vigencia</w:t>
      </w:r>
      <w:proofErr w:type="gramEnd"/>
      <w:r w:rsidR="00E87DE0" w:rsidRPr="00E87DE0">
        <w:rPr>
          <w:rFonts w:ascii="Arial" w:eastAsia="Calibri" w:hAnsi="Arial" w:cs="Arial"/>
          <w:color w:val="000000"/>
          <w:sz w:val="20"/>
          <w:szCs w:val="20"/>
          <w:lang w:val="es-ES_tradnl" w:eastAsia="es-ES_tradnl"/>
        </w:rPr>
        <w:t xml:space="preserve"> de sus disposiciones, al señalar que “aplicarán a los procedimientos de selección cuya invitación, aviso de convocatoria o documento equivalente se publique a los tres (3) meses contados a partir de su expedición”. </w:t>
      </w:r>
    </w:p>
    <w:p w14:paraId="01B7159B" w14:textId="77777777" w:rsidR="00E87DE0" w:rsidRPr="00E87DE0" w:rsidRDefault="00E87DE0" w:rsidP="00E87DE0">
      <w:pPr>
        <w:tabs>
          <w:tab w:val="left" w:pos="6551"/>
        </w:tabs>
        <w:spacing w:after="0" w:line="240" w:lineRule="auto"/>
        <w:jc w:val="both"/>
        <w:rPr>
          <w:rFonts w:ascii="Arial" w:eastAsia="Calibri" w:hAnsi="Arial" w:cs="Arial"/>
          <w:color w:val="000000"/>
          <w:sz w:val="20"/>
          <w:szCs w:val="20"/>
          <w:lang w:val="es-ES_tradnl" w:eastAsia="es-ES_tradnl"/>
        </w:rPr>
      </w:pPr>
    </w:p>
    <w:p w14:paraId="49A7D8DB" w14:textId="756F36EB" w:rsidR="00A24733" w:rsidRPr="00A24733" w:rsidRDefault="00E87DE0" w:rsidP="00E87DE0">
      <w:pPr>
        <w:tabs>
          <w:tab w:val="left" w:pos="6551"/>
        </w:tabs>
        <w:spacing w:after="0" w:line="240" w:lineRule="auto"/>
        <w:jc w:val="both"/>
        <w:rPr>
          <w:rFonts w:ascii="Arial" w:eastAsia="Calibri" w:hAnsi="Arial" w:cs="Arial"/>
          <w:bCs/>
          <w:color w:val="000000"/>
          <w:sz w:val="20"/>
          <w:szCs w:val="20"/>
          <w:lang w:eastAsia="es-ES_tradnl"/>
        </w:rPr>
      </w:pPr>
      <w:r w:rsidRPr="00E87DE0">
        <w:rPr>
          <w:rFonts w:ascii="Arial" w:eastAsia="Calibri" w:hAnsi="Arial" w:cs="Arial"/>
          <w:color w:val="000000"/>
          <w:sz w:val="20"/>
          <w:szCs w:val="20"/>
          <w:lang w:val="es-ES_tradnl" w:eastAsia="es-ES_tradnl"/>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E87DE0">
        <w:rPr>
          <w:rFonts w:ascii="Arial" w:eastAsia="Calibri" w:hAnsi="Arial" w:cs="Arial"/>
          <w:color w:val="000000"/>
          <w:sz w:val="20"/>
          <w:szCs w:val="20"/>
          <w:lang w:val="es-ES_tradnl" w:eastAsia="es-ES_tradnl"/>
        </w:rPr>
        <w:t>ii</w:t>
      </w:r>
      <w:proofErr w:type="spellEnd"/>
      <w:r w:rsidRPr="00E87DE0">
        <w:rPr>
          <w:rFonts w:ascii="Arial" w:eastAsia="Calibri" w:hAnsi="Arial" w:cs="Arial"/>
          <w:color w:val="000000"/>
          <w:sz w:val="20"/>
          <w:szCs w:val="20"/>
          <w:lang w:val="es-ES_tradnl" w:eastAsia="es-ES_tradnl"/>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 de acuerdo con el mandato del parágrafo 1 del artículo 30 de la Ley 2069 de 2020. </w:t>
      </w:r>
      <w:proofErr w:type="spellStart"/>
      <w:r w:rsidRPr="00E87DE0">
        <w:rPr>
          <w:rFonts w:ascii="Arial" w:eastAsia="Calibri" w:hAnsi="Arial" w:cs="Arial"/>
          <w:color w:val="000000"/>
          <w:sz w:val="20"/>
          <w:szCs w:val="20"/>
          <w:lang w:val="es-ES_tradnl" w:eastAsia="es-ES_tradnl"/>
        </w:rPr>
        <w:t>iii</w:t>
      </w:r>
      <w:proofErr w:type="spellEnd"/>
      <w:r w:rsidRPr="00E87DE0">
        <w:rPr>
          <w:rFonts w:ascii="Arial" w:eastAsia="Calibri" w:hAnsi="Arial" w:cs="Arial"/>
          <w:color w:val="000000"/>
          <w:sz w:val="20"/>
          <w:szCs w:val="20"/>
          <w:lang w:val="es-ES_tradnl" w:eastAsia="es-ES_tradnl"/>
        </w:rPr>
        <w:t xml:space="preserve">) 2.2.1.2.1.5.3. que regula un procedimiento especial para las adquisiciones en grandes almacenes cuando se trate de mínima cuantía. </w:t>
      </w:r>
      <w:proofErr w:type="spellStart"/>
      <w:r w:rsidRPr="00E87DE0">
        <w:rPr>
          <w:rFonts w:ascii="Arial" w:eastAsia="Calibri" w:hAnsi="Arial" w:cs="Arial"/>
          <w:color w:val="000000"/>
          <w:sz w:val="20"/>
          <w:szCs w:val="20"/>
          <w:lang w:val="es-ES_tradnl" w:eastAsia="es-ES_tradnl"/>
        </w:rPr>
        <w:t>iv</w:t>
      </w:r>
      <w:proofErr w:type="spellEnd"/>
      <w:r w:rsidRPr="00E87DE0">
        <w:rPr>
          <w:rFonts w:ascii="Arial" w:eastAsia="Calibri" w:hAnsi="Arial" w:cs="Arial"/>
          <w:color w:val="000000"/>
          <w:sz w:val="20"/>
          <w:szCs w:val="20"/>
          <w:lang w:val="es-ES_tradnl" w:eastAsia="es-ES_tradnl"/>
        </w:rPr>
        <w:t>)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47371443" w14:textId="77777777" w:rsidR="00A24733" w:rsidRPr="00A24733" w:rsidRDefault="00A24733" w:rsidP="00A24733">
      <w:pPr>
        <w:spacing w:after="0" w:line="276" w:lineRule="auto"/>
        <w:jc w:val="both"/>
        <w:rPr>
          <w:rFonts w:ascii="Arial" w:eastAsia="Calibri" w:hAnsi="Arial" w:cs="Arial"/>
          <w:b/>
          <w:szCs w:val="24"/>
          <w:lang w:val="es-ES_tradnl" w:eastAsia="es-ES_tradnl"/>
        </w:rPr>
      </w:pPr>
    </w:p>
    <w:p w14:paraId="27112BDA" w14:textId="77777777" w:rsidR="00A24733" w:rsidRPr="00A24733" w:rsidRDefault="00A24733" w:rsidP="00A24733">
      <w:pPr>
        <w:tabs>
          <w:tab w:val="left" w:pos="709"/>
        </w:tabs>
        <w:spacing w:after="0" w:line="240" w:lineRule="auto"/>
        <w:jc w:val="both"/>
        <w:rPr>
          <w:rFonts w:ascii="Arial" w:eastAsia="Calibri" w:hAnsi="Arial" w:cs="Arial"/>
          <w:b/>
          <w:bCs/>
          <w:color w:val="000000"/>
          <w:lang w:val="es-ES_tradnl"/>
        </w:rPr>
      </w:pPr>
      <w:r w:rsidRPr="00F0394D">
        <w:rPr>
          <w:rFonts w:ascii="Arial" w:eastAsia="Calibri" w:hAnsi="Arial" w:cs="Arial"/>
          <w:b/>
          <w:bCs/>
          <w:color w:val="000000"/>
          <w:lang w:val="es-ES_tradnl"/>
        </w:rPr>
        <w:t>DÍAS HÁBILES</w:t>
      </w:r>
      <w:r w:rsidRPr="00A24733">
        <w:rPr>
          <w:rFonts w:ascii="Arial" w:eastAsia="Calibri" w:hAnsi="Arial" w:cs="Arial"/>
          <w:b/>
          <w:bCs/>
          <w:color w:val="000000"/>
          <w:lang w:val="es-ES_tradnl"/>
        </w:rPr>
        <w:t xml:space="preserve"> – </w:t>
      </w:r>
      <w:r w:rsidRPr="00BC1C32">
        <w:rPr>
          <w:rFonts w:ascii="Arial" w:eastAsia="Calibri" w:hAnsi="Arial" w:cs="Arial"/>
          <w:b/>
          <w:bCs/>
          <w:color w:val="000000"/>
          <w:lang w:val="es-ES_tradnl"/>
        </w:rPr>
        <w:t>Concepto</w:t>
      </w:r>
      <w:r w:rsidRPr="00A24733">
        <w:rPr>
          <w:rFonts w:ascii="Arial" w:eastAsia="Calibri" w:hAnsi="Arial" w:cs="Arial"/>
          <w:b/>
          <w:bCs/>
          <w:color w:val="000000"/>
          <w:lang w:val="es-ES_tradnl"/>
        </w:rPr>
        <w:t xml:space="preserve"> – Cómputo de términos</w:t>
      </w:r>
    </w:p>
    <w:p w14:paraId="58CC180B" w14:textId="77777777" w:rsidR="00A24733" w:rsidRPr="00A24733" w:rsidRDefault="00A24733" w:rsidP="00A24733">
      <w:pPr>
        <w:tabs>
          <w:tab w:val="left" w:pos="709"/>
        </w:tabs>
        <w:spacing w:after="0" w:line="240" w:lineRule="auto"/>
        <w:jc w:val="both"/>
        <w:rPr>
          <w:rFonts w:ascii="Arial" w:eastAsia="Calibri" w:hAnsi="Arial" w:cs="Arial"/>
          <w:b/>
          <w:bCs/>
          <w:color w:val="000000"/>
          <w:lang w:val="es-ES_tradnl"/>
        </w:rPr>
      </w:pPr>
    </w:p>
    <w:p w14:paraId="1336ED07" w14:textId="7DFCBE42" w:rsidR="00CF3515" w:rsidRDefault="00A24733" w:rsidP="00CF3515">
      <w:pPr>
        <w:tabs>
          <w:tab w:val="left" w:pos="709"/>
        </w:tabs>
        <w:spacing w:after="0" w:line="240" w:lineRule="auto"/>
        <w:jc w:val="both"/>
        <w:rPr>
          <w:rFonts w:ascii="Arial" w:eastAsia="Calibri" w:hAnsi="Arial" w:cs="Arial"/>
          <w:color w:val="000000"/>
          <w:sz w:val="20"/>
          <w:szCs w:val="20"/>
          <w:lang w:val="es-ES_tradnl"/>
        </w:rPr>
      </w:pPr>
      <w:r w:rsidRPr="00A24733">
        <w:rPr>
          <w:rFonts w:ascii="Arial" w:eastAsia="Calibri" w:hAnsi="Arial" w:cs="Arial"/>
          <w:color w:val="000000"/>
          <w:sz w:val="20"/>
          <w:szCs w:val="20"/>
          <w:lang w:val="es-ES_tradnl"/>
        </w:rPr>
        <w:t xml:space="preserve">[…] </w:t>
      </w:r>
      <w:r w:rsidR="00CF3515" w:rsidRPr="00CF3515">
        <w:rPr>
          <w:rFonts w:ascii="Arial" w:eastAsia="Calibri" w:hAnsi="Arial" w:cs="Arial"/>
          <w:color w:val="000000"/>
          <w:sz w:val="20"/>
          <w:szCs w:val="20"/>
          <w:lang w:val="es-ES_tradnl"/>
        </w:rPr>
        <w:t xml:space="preserve">los días hábiles se determinan según la entidad, ya que “cada entidad pública establece la jornada laboral, a través de su reglamento interno, dando certeza sobre los días que atienden al público, e indirectamente definiendo qué día es hábil en determinada institución” ,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 ejemplo donde los días laborables o hábiles son todos los de la semana, con excepción del miércoles. </w:t>
      </w:r>
    </w:p>
    <w:p w14:paraId="6F496AA0" w14:textId="77777777" w:rsidR="00CF3515" w:rsidRDefault="00CF3515" w:rsidP="00CF3515">
      <w:pPr>
        <w:tabs>
          <w:tab w:val="left" w:pos="709"/>
        </w:tabs>
        <w:spacing w:after="0" w:line="240" w:lineRule="auto"/>
        <w:jc w:val="both"/>
        <w:rPr>
          <w:rFonts w:ascii="Arial" w:eastAsia="Calibri" w:hAnsi="Arial" w:cs="Arial"/>
          <w:color w:val="000000"/>
          <w:sz w:val="20"/>
          <w:szCs w:val="20"/>
          <w:lang w:val="es-ES_tradnl"/>
        </w:rPr>
      </w:pPr>
    </w:p>
    <w:p w14:paraId="1E09D756" w14:textId="3D2FD69F" w:rsidR="00A24733" w:rsidRPr="00A24733" w:rsidRDefault="00CF3515" w:rsidP="00CF3515">
      <w:pPr>
        <w:tabs>
          <w:tab w:val="left" w:pos="709"/>
        </w:tabs>
        <w:spacing w:after="0" w:line="240" w:lineRule="auto"/>
        <w:jc w:val="both"/>
        <w:rPr>
          <w:rFonts w:ascii="Arial" w:eastAsia="Calibri" w:hAnsi="Arial" w:cs="Arial"/>
          <w:color w:val="000000"/>
          <w:sz w:val="20"/>
          <w:szCs w:val="20"/>
          <w:lang w:val="es-ES_tradnl"/>
        </w:rPr>
      </w:pPr>
      <w:r w:rsidRPr="00CF3515">
        <w:rPr>
          <w:rFonts w:ascii="Arial" w:eastAsia="Calibri" w:hAnsi="Arial" w:cs="Arial"/>
          <w:color w:val="000000"/>
          <w:sz w:val="20"/>
          <w:szCs w:val="20"/>
          <w:lang w:val="es-ES_tradnl"/>
        </w:rPr>
        <w:t>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w:t>
      </w:r>
    </w:p>
    <w:p w14:paraId="7A96BE01" w14:textId="77777777" w:rsidR="00A24733" w:rsidRPr="00A24733" w:rsidRDefault="00A24733" w:rsidP="00A24733">
      <w:pPr>
        <w:tabs>
          <w:tab w:val="left" w:pos="709"/>
        </w:tabs>
        <w:spacing w:after="0" w:line="240" w:lineRule="auto"/>
        <w:jc w:val="both"/>
        <w:rPr>
          <w:rFonts w:ascii="Arial" w:eastAsia="Calibri" w:hAnsi="Arial" w:cs="Arial"/>
          <w:color w:val="000000"/>
          <w:lang w:val="es-ES_tradnl"/>
        </w:rPr>
      </w:pPr>
    </w:p>
    <w:p w14:paraId="04041C4F" w14:textId="77777777" w:rsidR="00A24733" w:rsidRPr="00A24733" w:rsidRDefault="00A24733" w:rsidP="00A24733">
      <w:pPr>
        <w:tabs>
          <w:tab w:val="left" w:pos="709"/>
        </w:tabs>
        <w:spacing w:after="0" w:line="240" w:lineRule="auto"/>
        <w:jc w:val="both"/>
        <w:rPr>
          <w:rFonts w:ascii="Arial" w:eastAsia="Calibri" w:hAnsi="Arial" w:cs="Arial"/>
          <w:b/>
          <w:bCs/>
          <w:color w:val="000000"/>
          <w:lang w:val="es-ES_tradnl"/>
        </w:rPr>
      </w:pPr>
      <w:r w:rsidRPr="00A24733">
        <w:rPr>
          <w:rFonts w:ascii="Arial" w:eastAsia="Calibri" w:hAnsi="Arial" w:cs="Arial"/>
          <w:b/>
          <w:bCs/>
          <w:color w:val="000000"/>
          <w:lang w:val="es-ES_tradnl"/>
        </w:rPr>
        <w:t>DÍAS HÁBILES – Cómputo – Regla interpretativa – Mínima cuantía</w:t>
      </w:r>
    </w:p>
    <w:p w14:paraId="2CBEC490" w14:textId="77777777" w:rsidR="00A24733" w:rsidRPr="00A24733" w:rsidRDefault="00A24733" w:rsidP="00A24733">
      <w:pPr>
        <w:tabs>
          <w:tab w:val="left" w:pos="709"/>
        </w:tabs>
        <w:spacing w:after="0" w:line="240" w:lineRule="auto"/>
        <w:jc w:val="both"/>
        <w:rPr>
          <w:rFonts w:ascii="Arial" w:eastAsia="Calibri" w:hAnsi="Arial" w:cs="Arial"/>
          <w:b/>
          <w:bCs/>
          <w:color w:val="000000"/>
          <w:lang w:val="es-ES_tradnl"/>
        </w:rPr>
      </w:pPr>
    </w:p>
    <w:p w14:paraId="16A51876" w14:textId="77777777" w:rsidR="00CF3515" w:rsidRDefault="00A24733" w:rsidP="00CF3515">
      <w:pPr>
        <w:tabs>
          <w:tab w:val="left" w:pos="709"/>
        </w:tabs>
        <w:spacing w:after="0" w:line="240" w:lineRule="auto"/>
        <w:jc w:val="both"/>
        <w:rPr>
          <w:rFonts w:ascii="Arial" w:eastAsia="Calibri" w:hAnsi="Arial" w:cs="Arial"/>
          <w:color w:val="000000"/>
          <w:sz w:val="20"/>
          <w:szCs w:val="20"/>
          <w:lang w:val="es-ES_tradnl"/>
        </w:rPr>
      </w:pPr>
      <w:r w:rsidRPr="00A24733">
        <w:rPr>
          <w:rFonts w:ascii="Arial" w:eastAsia="Calibri" w:hAnsi="Arial" w:cs="Arial"/>
          <w:color w:val="000000"/>
          <w:sz w:val="20"/>
          <w:szCs w:val="20"/>
          <w:lang w:val="es-ES_tradnl"/>
        </w:rPr>
        <w:t xml:space="preserve">[…] </w:t>
      </w:r>
      <w:r w:rsidR="00CF3515" w:rsidRPr="00CF3515">
        <w:rPr>
          <w:rFonts w:ascii="Arial" w:eastAsia="Calibri" w:hAnsi="Arial" w:cs="Arial"/>
          <w:color w:val="000000"/>
          <w:sz w:val="20"/>
          <w:szCs w:val="20"/>
          <w:lang w:val="es-ES_tradnl"/>
        </w:rPr>
        <w:t xml:space="preserve">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5F2CF064" w14:textId="77777777" w:rsidR="00CF3515" w:rsidRPr="00CF3515" w:rsidRDefault="00CF3515" w:rsidP="00CF3515">
      <w:pPr>
        <w:tabs>
          <w:tab w:val="left" w:pos="709"/>
        </w:tabs>
        <w:spacing w:after="0" w:line="240" w:lineRule="auto"/>
        <w:jc w:val="both"/>
        <w:rPr>
          <w:rFonts w:ascii="Arial" w:eastAsia="Calibri" w:hAnsi="Arial" w:cs="Arial"/>
          <w:color w:val="000000"/>
          <w:sz w:val="20"/>
          <w:szCs w:val="20"/>
          <w:lang w:val="es-ES_tradnl"/>
        </w:rPr>
      </w:pPr>
    </w:p>
    <w:p w14:paraId="708D1968" w14:textId="5CFA28C8" w:rsidR="00A24733" w:rsidRPr="00A24733" w:rsidRDefault="00CF3515" w:rsidP="00CF3515">
      <w:pPr>
        <w:tabs>
          <w:tab w:val="left" w:pos="709"/>
        </w:tabs>
        <w:spacing w:after="0" w:line="240" w:lineRule="auto"/>
        <w:jc w:val="both"/>
        <w:rPr>
          <w:rFonts w:ascii="Arial" w:eastAsia="Calibri" w:hAnsi="Arial" w:cs="Arial"/>
          <w:color w:val="000000"/>
          <w:sz w:val="20"/>
          <w:szCs w:val="20"/>
          <w:lang w:val="es-ES_tradnl"/>
        </w:rPr>
      </w:pPr>
      <w:r w:rsidRPr="00CF3515">
        <w:rPr>
          <w:rFonts w:ascii="Arial" w:eastAsia="Calibri" w:hAnsi="Arial" w:cs="Arial"/>
          <w:color w:val="000000"/>
          <w:sz w:val="20"/>
          <w:szCs w:val="20"/>
          <w:lang w:val="es-ES_tradnl"/>
        </w:rPr>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7014AB48" w14:textId="77777777" w:rsidR="00A24733" w:rsidRPr="00A24733" w:rsidRDefault="00A24733" w:rsidP="00A24733">
      <w:pPr>
        <w:tabs>
          <w:tab w:val="left" w:pos="6551"/>
        </w:tabs>
        <w:spacing w:after="0" w:line="240" w:lineRule="auto"/>
        <w:jc w:val="both"/>
        <w:rPr>
          <w:rFonts w:ascii="Arial" w:eastAsia="Calibri" w:hAnsi="Arial" w:cs="Arial"/>
          <w:bCs/>
          <w:color w:val="000000"/>
          <w:sz w:val="20"/>
          <w:szCs w:val="20"/>
          <w:lang w:val="es-ES_tradnl" w:eastAsia="es-ES_tradnl"/>
        </w:rPr>
      </w:pPr>
    </w:p>
    <w:p w14:paraId="63FBD6C6" w14:textId="77777777" w:rsidR="00A24733" w:rsidRPr="00A24733" w:rsidRDefault="00A24733" w:rsidP="00A24733">
      <w:pPr>
        <w:tabs>
          <w:tab w:val="left" w:pos="6551"/>
        </w:tabs>
        <w:spacing w:after="0" w:line="240" w:lineRule="auto"/>
        <w:jc w:val="both"/>
        <w:rPr>
          <w:rFonts w:ascii="Arial" w:eastAsia="Calibri" w:hAnsi="Arial" w:cs="Arial"/>
          <w:bCs/>
          <w:color w:val="000000"/>
          <w:sz w:val="20"/>
          <w:szCs w:val="20"/>
          <w:lang w:val="es-ES_tradnl" w:eastAsia="es-ES_tradnl"/>
        </w:rPr>
      </w:pPr>
    </w:p>
    <w:p w14:paraId="4F6B603E"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6557FD18"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7B956200"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2CDD8380"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490A95BF"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361FAED5"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7882F12D"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526B3658"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7610B67E"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7A35E885"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01263420"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31AA6234"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70862FAB"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66DFA319"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2C80F4F0"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6A416284"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696D5F28"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23E86F61"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27059AA8"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1D0ADE46"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44FDE298"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5AEABFC7"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7ACC17F8" w14:textId="77777777" w:rsidR="00A24733" w:rsidRDefault="00A24733" w:rsidP="00A24733">
      <w:pPr>
        <w:spacing w:after="0" w:line="240" w:lineRule="auto"/>
        <w:jc w:val="both"/>
        <w:rPr>
          <w:rFonts w:ascii="Arial" w:eastAsia="Calibri" w:hAnsi="Arial" w:cs="Arial"/>
          <w:b/>
          <w:szCs w:val="24"/>
          <w:lang w:val="es-ES_tradnl" w:eastAsia="es-ES_tradnl"/>
        </w:rPr>
      </w:pPr>
    </w:p>
    <w:p w14:paraId="02C6E78A" w14:textId="77777777" w:rsidR="00EC7367" w:rsidRDefault="00EC7367" w:rsidP="00A24733">
      <w:pPr>
        <w:spacing w:after="0" w:line="240" w:lineRule="auto"/>
        <w:jc w:val="both"/>
        <w:rPr>
          <w:rFonts w:ascii="Arial" w:eastAsia="Calibri" w:hAnsi="Arial" w:cs="Arial"/>
          <w:b/>
          <w:szCs w:val="24"/>
          <w:lang w:val="es-ES_tradnl" w:eastAsia="es-ES_tradnl"/>
        </w:rPr>
      </w:pPr>
    </w:p>
    <w:p w14:paraId="4BC26CD0" w14:textId="77777777" w:rsidR="00EC7367" w:rsidRDefault="00EC7367" w:rsidP="00A24733">
      <w:pPr>
        <w:spacing w:after="0" w:line="240" w:lineRule="auto"/>
        <w:jc w:val="both"/>
        <w:rPr>
          <w:rFonts w:ascii="Arial" w:eastAsia="Calibri" w:hAnsi="Arial" w:cs="Arial"/>
          <w:b/>
          <w:szCs w:val="24"/>
          <w:lang w:val="es-ES_tradnl" w:eastAsia="es-ES_tradnl"/>
        </w:rPr>
      </w:pPr>
    </w:p>
    <w:p w14:paraId="1A3CA503" w14:textId="77777777" w:rsidR="00EC7367" w:rsidRDefault="00EC7367" w:rsidP="00A24733">
      <w:pPr>
        <w:spacing w:after="0" w:line="240" w:lineRule="auto"/>
        <w:jc w:val="both"/>
        <w:rPr>
          <w:rFonts w:ascii="Arial" w:eastAsia="Calibri" w:hAnsi="Arial" w:cs="Arial"/>
          <w:b/>
          <w:szCs w:val="24"/>
          <w:lang w:val="es-ES_tradnl" w:eastAsia="es-ES_tradnl"/>
        </w:rPr>
      </w:pPr>
    </w:p>
    <w:p w14:paraId="5CCDE96A" w14:textId="77777777" w:rsidR="00EC7367" w:rsidRPr="00A24733" w:rsidRDefault="00EC7367" w:rsidP="00A24733">
      <w:pPr>
        <w:spacing w:after="0" w:line="240" w:lineRule="auto"/>
        <w:jc w:val="both"/>
        <w:rPr>
          <w:rFonts w:ascii="Arial" w:eastAsia="Calibri" w:hAnsi="Arial" w:cs="Arial"/>
          <w:b/>
          <w:szCs w:val="24"/>
          <w:lang w:val="es-ES_tradnl" w:eastAsia="es-ES_tradnl"/>
        </w:rPr>
      </w:pPr>
    </w:p>
    <w:p w14:paraId="02C08DC4" w14:textId="77777777" w:rsidR="00A24733" w:rsidRPr="00A24733" w:rsidRDefault="00A24733" w:rsidP="00A24733">
      <w:pPr>
        <w:spacing w:after="0" w:line="240" w:lineRule="auto"/>
        <w:jc w:val="both"/>
        <w:rPr>
          <w:rFonts w:ascii="Arial" w:eastAsia="Calibri" w:hAnsi="Arial" w:cs="Arial"/>
          <w:b/>
          <w:szCs w:val="24"/>
          <w:lang w:val="es-ES_tradnl" w:eastAsia="es-ES_tradnl"/>
        </w:rPr>
      </w:pPr>
    </w:p>
    <w:p w14:paraId="300B57AB" w14:textId="77777777" w:rsidR="00A24733" w:rsidRPr="00A24733" w:rsidRDefault="00A24733" w:rsidP="00A24733">
      <w:pPr>
        <w:spacing w:after="0" w:line="240" w:lineRule="auto"/>
        <w:jc w:val="both"/>
        <w:rPr>
          <w:rFonts w:ascii="Arial" w:eastAsia="Times New Roman" w:hAnsi="Arial" w:cs="Arial"/>
          <w:szCs w:val="24"/>
          <w:lang w:eastAsia="es-ES_tradnl"/>
        </w:rPr>
      </w:pPr>
    </w:p>
    <w:p w14:paraId="3E2F0F32" w14:textId="2F0B0C37" w:rsidR="00A24733" w:rsidRPr="00A24733" w:rsidRDefault="004B2614" w:rsidP="004B2614">
      <w:pPr>
        <w:widowControl w:val="0"/>
        <w:autoSpaceDE w:val="0"/>
        <w:autoSpaceDN w:val="0"/>
        <w:adjustRightInd w:val="0"/>
        <w:spacing w:after="120" w:line="300" w:lineRule="atLeast"/>
        <w:jc w:val="right"/>
        <w:rPr>
          <w:rFonts w:ascii="Arial" w:eastAsia="Calibri" w:hAnsi="Arial" w:cs="Arial"/>
          <w:color w:val="000000"/>
          <w:lang w:val="es-ES_tradnl"/>
        </w:rPr>
      </w:pPr>
      <w:r>
        <w:rPr>
          <w:rFonts w:ascii="Arial" w:eastAsia="Calibri" w:hAnsi="Arial" w:cs="Arial"/>
          <w:noProof/>
          <w:color w:val="000000"/>
          <w:lang w:val="es-ES_tradnl"/>
        </w:rPr>
        <w:drawing>
          <wp:inline distT="0" distB="0" distL="0" distR="0" wp14:anchorId="089CA9F0" wp14:editId="71E4891A">
            <wp:extent cx="3151263" cy="836547"/>
            <wp:effectExtent l="0" t="0" r="0" b="1905"/>
            <wp:docPr id="208138987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89878"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173710" cy="842506"/>
                    </a:xfrm>
                    <a:prstGeom prst="rect">
                      <a:avLst/>
                    </a:prstGeom>
                  </pic:spPr>
                </pic:pic>
              </a:graphicData>
            </a:graphic>
          </wp:inline>
        </w:drawing>
      </w:r>
    </w:p>
    <w:p w14:paraId="2E66B400" w14:textId="77777777" w:rsidR="00A24733" w:rsidRPr="00A24733" w:rsidRDefault="00A24733" w:rsidP="00A24733">
      <w:pPr>
        <w:spacing w:after="0" w:line="240" w:lineRule="auto"/>
        <w:jc w:val="both"/>
        <w:rPr>
          <w:rFonts w:ascii="Arial" w:eastAsia="Times New Roman" w:hAnsi="Arial" w:cs="Arial"/>
          <w:b/>
          <w:color w:val="000000"/>
          <w:szCs w:val="24"/>
          <w:lang w:eastAsia="es-ES_tradnl"/>
        </w:rPr>
      </w:pPr>
    </w:p>
    <w:p w14:paraId="4A8E8582" w14:textId="77777777" w:rsidR="004B2614" w:rsidRDefault="004B2614" w:rsidP="00A24733">
      <w:pPr>
        <w:spacing w:after="0" w:line="240" w:lineRule="auto"/>
        <w:jc w:val="both"/>
        <w:rPr>
          <w:rFonts w:ascii="Arial" w:eastAsia="Calibri" w:hAnsi="Arial" w:cs="Arial"/>
          <w:color w:val="000000"/>
          <w:szCs w:val="24"/>
          <w:lang w:eastAsia="es-ES_tradnl"/>
        </w:rPr>
      </w:pPr>
    </w:p>
    <w:p w14:paraId="4044432F" w14:textId="77777777" w:rsidR="004B2614" w:rsidRDefault="004B2614" w:rsidP="00A24733">
      <w:pPr>
        <w:spacing w:after="0" w:line="240" w:lineRule="auto"/>
        <w:jc w:val="both"/>
        <w:rPr>
          <w:rFonts w:ascii="Arial" w:eastAsia="Calibri" w:hAnsi="Arial" w:cs="Arial"/>
          <w:color w:val="000000"/>
          <w:szCs w:val="24"/>
          <w:lang w:eastAsia="es-ES_tradnl"/>
        </w:rPr>
      </w:pPr>
    </w:p>
    <w:p w14:paraId="3C1DBF85" w14:textId="77777777" w:rsidR="004B2614" w:rsidRDefault="004B2614" w:rsidP="00A24733">
      <w:pPr>
        <w:spacing w:after="0" w:line="240" w:lineRule="auto"/>
        <w:jc w:val="both"/>
        <w:rPr>
          <w:rFonts w:ascii="Arial" w:eastAsia="Calibri" w:hAnsi="Arial" w:cs="Arial"/>
          <w:color w:val="000000"/>
          <w:szCs w:val="24"/>
          <w:lang w:eastAsia="es-ES_tradnl"/>
        </w:rPr>
      </w:pPr>
    </w:p>
    <w:p w14:paraId="35143EBD" w14:textId="15D233E6" w:rsidR="00A24733" w:rsidRPr="00A24733" w:rsidRDefault="00A24733" w:rsidP="00A24733">
      <w:pPr>
        <w:spacing w:after="0" w:line="240" w:lineRule="auto"/>
        <w:jc w:val="both"/>
        <w:rPr>
          <w:rFonts w:ascii="Arial" w:eastAsia="Calibri" w:hAnsi="Arial" w:cs="Arial"/>
          <w:color w:val="000000"/>
          <w:szCs w:val="24"/>
          <w:lang w:eastAsia="es-ES_tradnl"/>
        </w:rPr>
      </w:pPr>
      <w:r w:rsidRPr="00A24733">
        <w:rPr>
          <w:rFonts w:ascii="Arial" w:eastAsia="Calibri" w:hAnsi="Arial" w:cs="Arial"/>
          <w:color w:val="000000"/>
          <w:szCs w:val="24"/>
          <w:lang w:eastAsia="es-ES_tradnl"/>
        </w:rPr>
        <w:t>Señora</w:t>
      </w:r>
    </w:p>
    <w:p w14:paraId="64B7B139" w14:textId="77777777" w:rsidR="00A24733" w:rsidRPr="00A24733" w:rsidRDefault="00A24733" w:rsidP="00A24733">
      <w:pPr>
        <w:spacing w:after="0" w:line="240" w:lineRule="auto"/>
        <w:jc w:val="both"/>
        <w:rPr>
          <w:rFonts w:ascii="Arial" w:eastAsia="Calibri" w:hAnsi="Arial" w:cs="Arial"/>
          <w:b/>
          <w:color w:val="000000"/>
          <w:szCs w:val="24"/>
          <w:lang w:eastAsia="es-ES_tradnl"/>
        </w:rPr>
      </w:pPr>
      <w:r w:rsidRPr="00A24733">
        <w:rPr>
          <w:rFonts w:ascii="Arial" w:eastAsia="Calibri" w:hAnsi="Arial" w:cs="Arial"/>
          <w:b/>
          <w:color w:val="000000"/>
          <w:szCs w:val="24"/>
          <w:lang w:eastAsia="es-ES_tradnl"/>
        </w:rPr>
        <w:t>Francy Mateus</w:t>
      </w:r>
    </w:p>
    <w:p w14:paraId="7616CC5E" w14:textId="77777777" w:rsidR="00A24733" w:rsidRPr="00A24733" w:rsidRDefault="00A24733" w:rsidP="00A24733">
      <w:pPr>
        <w:spacing w:after="0" w:line="240" w:lineRule="auto"/>
        <w:rPr>
          <w:rFonts w:ascii="Arial" w:eastAsia="Calibri" w:hAnsi="Arial" w:cs="Arial"/>
          <w:b/>
          <w:bCs/>
          <w:color w:val="000000"/>
          <w:lang w:eastAsia="es-ES_tradnl"/>
        </w:rPr>
      </w:pPr>
      <w:r w:rsidRPr="00A24733">
        <w:rPr>
          <w:rFonts w:ascii="Arial" w:eastAsia="Times New Roman" w:hAnsi="Arial" w:cs="Arial"/>
          <w:lang w:eastAsia="es-ES_tradnl"/>
        </w:rPr>
        <w:t>Villavicencio, Meta</w:t>
      </w:r>
    </w:p>
    <w:p w14:paraId="63AB2B3B" w14:textId="77777777" w:rsidR="00A24733" w:rsidRPr="00A24733" w:rsidRDefault="00A24733" w:rsidP="00A24733">
      <w:pPr>
        <w:spacing w:after="0" w:line="240" w:lineRule="auto"/>
        <w:rPr>
          <w:rFonts w:ascii="Arial" w:eastAsia="Calibri" w:hAnsi="Arial" w:cs="Arial"/>
          <w:bCs/>
          <w:lang w:val="es-MX"/>
        </w:rPr>
      </w:pPr>
    </w:p>
    <w:p w14:paraId="38A664A7" w14:textId="77777777" w:rsidR="00A24733" w:rsidRPr="00A24733" w:rsidRDefault="00A24733" w:rsidP="00A24733">
      <w:pPr>
        <w:spacing w:after="0" w:line="240" w:lineRule="auto"/>
        <w:rPr>
          <w:rFonts w:ascii="Arial" w:eastAsia="Calibri" w:hAnsi="Arial" w:cs="Arial"/>
          <w:bCs/>
          <w:lang w:val="es-MX"/>
        </w:rPr>
      </w:pPr>
    </w:p>
    <w:p w14:paraId="62703BEC" w14:textId="77777777" w:rsidR="00A24733" w:rsidRPr="00A24733" w:rsidRDefault="00A24733" w:rsidP="00A24733">
      <w:pPr>
        <w:spacing w:after="0" w:line="240" w:lineRule="auto"/>
        <w:rPr>
          <w:rFonts w:ascii="Arial" w:eastAsia="Calibri" w:hAnsi="Arial" w:cs="Arial"/>
          <w:b/>
          <w:lang w:val="es-MX"/>
        </w:rPr>
      </w:pPr>
      <w:r w:rsidRPr="00A24733">
        <w:rPr>
          <w:rFonts w:ascii="Arial" w:eastAsia="Calibri" w:hAnsi="Arial" w:cs="Arial"/>
          <w:b/>
          <w:lang w:val="es-MX"/>
        </w:rPr>
        <w:t xml:space="preserve">                                            Concepto C ‒ 067 de 2023</w:t>
      </w:r>
    </w:p>
    <w:p w14:paraId="06B7C419" w14:textId="77777777" w:rsidR="00A24733" w:rsidRPr="00A24733" w:rsidRDefault="00A24733" w:rsidP="00A24733">
      <w:pPr>
        <w:spacing w:after="0" w:line="240" w:lineRule="auto"/>
        <w:rPr>
          <w:rFonts w:ascii="Arial" w:eastAsia="Calibri" w:hAnsi="Arial" w:cs="Arial"/>
          <w:b/>
          <w:bCs/>
          <w:color w:val="000000"/>
          <w:szCs w:val="24"/>
          <w:lang w:val="pt-BR"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24733" w:rsidRPr="00A24733" w14:paraId="3482C45D" w14:textId="77777777" w:rsidTr="00A67182">
        <w:tc>
          <w:tcPr>
            <w:tcW w:w="2689" w:type="dxa"/>
          </w:tcPr>
          <w:p w14:paraId="52EAB41E" w14:textId="77777777" w:rsidR="00A24733" w:rsidRPr="00A24733" w:rsidRDefault="00A24733" w:rsidP="00A24733">
            <w:pPr>
              <w:jc w:val="both"/>
              <w:rPr>
                <w:rFonts w:ascii="Arial" w:eastAsia="Calibri" w:hAnsi="Arial" w:cs="Arial"/>
                <w:color w:val="000000"/>
                <w:szCs w:val="24"/>
                <w:lang w:val="es-ES_tradnl" w:eastAsia="es-ES_tradnl"/>
              </w:rPr>
            </w:pPr>
            <w:r w:rsidRPr="00A24733">
              <w:rPr>
                <w:rFonts w:ascii="Arial" w:eastAsia="Calibri" w:hAnsi="Arial" w:cs="Arial"/>
                <w:b/>
                <w:color w:val="000000"/>
                <w:szCs w:val="24"/>
                <w:lang w:val="es-ES_tradnl" w:eastAsia="es-ES_tradnl"/>
              </w:rPr>
              <w:t>Temas:</w:t>
            </w:r>
            <w:r w:rsidRPr="00A24733">
              <w:rPr>
                <w:rFonts w:ascii="Arial" w:eastAsia="Calibri" w:hAnsi="Arial" w:cs="Arial"/>
                <w:color w:val="000000"/>
                <w:szCs w:val="24"/>
                <w:lang w:val="es-ES_tradnl" w:eastAsia="es-ES_tradnl"/>
              </w:rPr>
              <w:t xml:space="preserve">                   </w:t>
            </w:r>
          </w:p>
        </w:tc>
        <w:tc>
          <w:tcPr>
            <w:tcW w:w="6237" w:type="dxa"/>
            <w:shd w:val="clear" w:color="auto" w:fill="auto"/>
          </w:tcPr>
          <w:p w14:paraId="110CD637" w14:textId="77777777" w:rsidR="00A24733" w:rsidRPr="00A24733" w:rsidRDefault="00A24733" w:rsidP="00A24733">
            <w:pPr>
              <w:widowControl w:val="0"/>
              <w:autoSpaceDE w:val="0"/>
              <w:autoSpaceDN w:val="0"/>
              <w:adjustRightInd w:val="0"/>
              <w:spacing w:after="120" w:line="300" w:lineRule="atLeast"/>
              <w:jc w:val="both"/>
              <w:rPr>
                <w:rFonts w:ascii="Arial" w:eastAsia="Calibri" w:hAnsi="Arial" w:cs="Arial"/>
                <w:color w:val="000000"/>
                <w:lang w:val="es-ES_tradnl"/>
              </w:rPr>
            </w:pPr>
            <w:r w:rsidRPr="00A24733">
              <w:rPr>
                <w:rFonts w:ascii="Arial" w:eastAsia="Calibri" w:hAnsi="Arial" w:cs="Arial"/>
                <w:color w:val="000000"/>
                <w:lang w:val="es-ES_tradnl"/>
              </w:rPr>
              <w:t>DECRETO 1860 DE 2021 – Convocatorias limitadas a MiPymes – Normas reglamentarias – Mínima cuantía / DÍAS HÁBILES – Concepto – Cómputo de términos / DÍAS HÁBILES – Cómputo – Regla interpretativa – Mínima cuantía</w:t>
            </w:r>
          </w:p>
        </w:tc>
      </w:tr>
      <w:tr w:rsidR="00A24733" w:rsidRPr="00A24733" w14:paraId="27687975" w14:textId="77777777" w:rsidTr="00A67182">
        <w:tc>
          <w:tcPr>
            <w:tcW w:w="2689" w:type="dxa"/>
          </w:tcPr>
          <w:p w14:paraId="17B3E919" w14:textId="77777777" w:rsidR="00A24733" w:rsidRPr="00A24733" w:rsidRDefault="00A24733" w:rsidP="00A24733">
            <w:pPr>
              <w:spacing w:before="120"/>
              <w:jc w:val="both"/>
              <w:rPr>
                <w:rFonts w:ascii="Arial" w:eastAsia="Calibri" w:hAnsi="Arial" w:cs="Arial"/>
                <w:b/>
                <w:color w:val="000000"/>
                <w:szCs w:val="24"/>
                <w:lang w:val="es-ES_tradnl" w:eastAsia="es-ES_tradnl"/>
              </w:rPr>
            </w:pPr>
            <w:r w:rsidRPr="00A24733">
              <w:rPr>
                <w:rFonts w:ascii="Arial" w:eastAsia="Calibri" w:hAnsi="Arial" w:cs="Arial"/>
                <w:b/>
                <w:color w:val="000000"/>
                <w:szCs w:val="24"/>
                <w:lang w:val="es-ES_tradnl" w:eastAsia="es-ES_tradnl"/>
              </w:rPr>
              <w:t>Radicación:</w:t>
            </w:r>
            <w:r w:rsidRPr="00A24733">
              <w:rPr>
                <w:rFonts w:ascii="Arial" w:eastAsia="Calibri" w:hAnsi="Arial" w:cs="Arial"/>
                <w:color w:val="000000"/>
                <w:szCs w:val="24"/>
                <w:lang w:val="es-ES_tradnl" w:eastAsia="es-ES_tradnl"/>
              </w:rPr>
              <w:t xml:space="preserve">               </w:t>
            </w:r>
          </w:p>
        </w:tc>
        <w:tc>
          <w:tcPr>
            <w:tcW w:w="6237" w:type="dxa"/>
          </w:tcPr>
          <w:p w14:paraId="6C02183B" w14:textId="77777777" w:rsidR="00A24733" w:rsidRPr="00A24733" w:rsidRDefault="00A24733" w:rsidP="00A24733">
            <w:pPr>
              <w:widowControl w:val="0"/>
              <w:autoSpaceDE w:val="0"/>
              <w:autoSpaceDN w:val="0"/>
              <w:adjustRightInd w:val="0"/>
              <w:spacing w:line="300" w:lineRule="atLeast"/>
              <w:jc w:val="both"/>
              <w:rPr>
                <w:rFonts w:ascii="Arial" w:eastAsia="Calibri" w:hAnsi="Arial" w:cs="Arial"/>
                <w:color w:val="000000"/>
                <w:lang w:val="es-ES_tradnl"/>
              </w:rPr>
            </w:pPr>
            <w:r w:rsidRPr="00A24733">
              <w:rPr>
                <w:rFonts w:ascii="Arial" w:eastAsia="Calibri" w:hAnsi="Arial" w:cs="Arial"/>
                <w:color w:val="000000"/>
                <w:lang w:val="es-ES_tradnl"/>
              </w:rPr>
              <w:t>Respuesta a consulta P20230307002079</w:t>
            </w:r>
          </w:p>
        </w:tc>
      </w:tr>
    </w:tbl>
    <w:p w14:paraId="6E08583D" w14:textId="77777777" w:rsidR="00A24733" w:rsidRPr="00A24733" w:rsidRDefault="00A24733" w:rsidP="00A24733">
      <w:pPr>
        <w:spacing w:after="0" w:line="240" w:lineRule="auto"/>
        <w:jc w:val="both"/>
        <w:rPr>
          <w:rFonts w:ascii="Arial" w:eastAsia="Calibri" w:hAnsi="Arial" w:cs="Arial"/>
          <w:color w:val="000000"/>
          <w:szCs w:val="24"/>
          <w:lang w:eastAsia="es-ES_tradnl"/>
        </w:rPr>
      </w:pPr>
    </w:p>
    <w:p w14:paraId="512E1B17" w14:textId="77777777" w:rsidR="00A24733" w:rsidRPr="00A24733" w:rsidRDefault="00A24733" w:rsidP="00A24733">
      <w:pPr>
        <w:spacing w:after="0" w:line="240" w:lineRule="auto"/>
        <w:jc w:val="both"/>
        <w:rPr>
          <w:rFonts w:ascii="Arial" w:eastAsia="Calibri" w:hAnsi="Arial" w:cs="Arial"/>
          <w:color w:val="000000"/>
          <w:szCs w:val="24"/>
          <w:lang w:val="es-ES_tradnl" w:eastAsia="es-ES_tradnl"/>
        </w:rPr>
      </w:pPr>
    </w:p>
    <w:p w14:paraId="70D20FCE" w14:textId="77777777" w:rsidR="00A24733" w:rsidRPr="00A24733" w:rsidRDefault="00A24733" w:rsidP="00A24733">
      <w:pPr>
        <w:spacing w:after="0" w:line="240" w:lineRule="auto"/>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val="es-ES_tradnl" w:eastAsia="es-ES_tradnl"/>
        </w:rPr>
        <w:t xml:space="preserve">Estimada señora Mateus: </w:t>
      </w:r>
    </w:p>
    <w:p w14:paraId="45B5327E" w14:textId="77777777" w:rsidR="00A24733" w:rsidRPr="00A24733" w:rsidRDefault="00A24733" w:rsidP="00A24733">
      <w:pPr>
        <w:spacing w:after="0" w:line="240" w:lineRule="auto"/>
        <w:jc w:val="both"/>
        <w:rPr>
          <w:rFonts w:ascii="Arial" w:eastAsia="Calibri" w:hAnsi="Arial" w:cs="Arial"/>
          <w:color w:val="000000"/>
          <w:szCs w:val="24"/>
          <w:lang w:val="es-ES_tradnl" w:eastAsia="es-ES_tradnl"/>
        </w:rPr>
      </w:pPr>
    </w:p>
    <w:p w14:paraId="535EF1E6" w14:textId="77777777" w:rsidR="00A24733" w:rsidRPr="00A24733" w:rsidRDefault="00A24733" w:rsidP="00A24733">
      <w:pPr>
        <w:spacing w:after="0" w:line="276" w:lineRule="auto"/>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6 de marzo de 2023.</w:t>
      </w:r>
    </w:p>
    <w:p w14:paraId="7C72F47F" w14:textId="77777777" w:rsidR="00A24733" w:rsidRPr="00A24733" w:rsidRDefault="00A24733" w:rsidP="00A24733">
      <w:pPr>
        <w:spacing w:after="0" w:line="276" w:lineRule="auto"/>
        <w:jc w:val="both"/>
        <w:rPr>
          <w:rFonts w:ascii="Arial" w:eastAsia="Calibri" w:hAnsi="Arial" w:cs="Arial"/>
          <w:b/>
          <w:color w:val="000000"/>
          <w:szCs w:val="24"/>
          <w:lang w:val="es-ES_tradnl" w:eastAsia="es-ES_tradnl"/>
        </w:rPr>
      </w:pPr>
    </w:p>
    <w:p w14:paraId="611A9436" w14:textId="77777777" w:rsidR="00A24733" w:rsidRPr="00A24733" w:rsidRDefault="00A24733" w:rsidP="00A24733">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lang w:val="es-ES_tradnl"/>
        </w:rPr>
      </w:pPr>
      <w:r w:rsidRPr="00A24733">
        <w:rPr>
          <w:rFonts w:ascii="Arial" w:eastAsia="Calibri" w:hAnsi="Arial" w:cs="Arial"/>
          <w:b/>
          <w:color w:val="000000"/>
          <w:lang w:val="es-ES_tradnl"/>
        </w:rPr>
        <w:t xml:space="preserve">Problema planteado </w:t>
      </w:r>
    </w:p>
    <w:p w14:paraId="53B4C0FF" w14:textId="77777777" w:rsidR="00A24733" w:rsidRPr="00A24733" w:rsidRDefault="00A24733" w:rsidP="00A24733">
      <w:pPr>
        <w:tabs>
          <w:tab w:val="left" w:pos="426"/>
        </w:tabs>
        <w:spacing w:after="0" w:line="276" w:lineRule="auto"/>
        <w:jc w:val="both"/>
        <w:rPr>
          <w:rFonts w:ascii="Arial" w:eastAsia="Calibri" w:hAnsi="Arial" w:cs="Arial"/>
          <w:b/>
          <w:color w:val="000000"/>
          <w:szCs w:val="24"/>
          <w:lang w:val="es-ES_tradnl" w:eastAsia="es-ES_tradnl"/>
        </w:rPr>
      </w:pPr>
    </w:p>
    <w:p w14:paraId="585CC742" w14:textId="77777777" w:rsidR="00A24733" w:rsidRPr="00A24733" w:rsidRDefault="00A24733" w:rsidP="00A24733">
      <w:pPr>
        <w:spacing w:after="0" w:line="276" w:lineRule="auto"/>
        <w:jc w:val="both"/>
        <w:rPr>
          <w:rFonts w:ascii="Arial" w:eastAsia="Times New Roman" w:hAnsi="Arial" w:cs="Arial"/>
          <w:color w:val="000000"/>
          <w:lang w:val="es-ES_tradnl" w:eastAsia="es-ES_tradnl"/>
        </w:rPr>
      </w:pPr>
      <w:r w:rsidRPr="00A24733">
        <w:rPr>
          <w:rFonts w:ascii="Arial" w:eastAsia="Times New Roman" w:hAnsi="Arial" w:cs="Arial"/>
          <w:color w:val="000000"/>
          <w:lang w:val="es-ES_tradnl" w:eastAsia="es-ES_tradnl"/>
        </w:rPr>
        <w:t>En relación con las convocatorias limitadas a MiPymes en procesos de mínima cuantía, usted realiza la siguiente pregunta: “[¿]CUÁL ES EL TÉRMINO QUE TIENE LA ENTIDAD PARA RECIBIR OFERTAS DESPUES [sic] DE PUBLICADO EL AVISO QUE LIMITA A MIPYMES EN UN PROCESO DE MÍNIMA CUANTÍA ADELANTADO POR SECOP II?”</w:t>
      </w:r>
    </w:p>
    <w:p w14:paraId="7A5519E5" w14:textId="77777777" w:rsidR="00A24733" w:rsidRPr="00A24733" w:rsidRDefault="00A24733" w:rsidP="00A24733">
      <w:pPr>
        <w:spacing w:after="0" w:line="276" w:lineRule="auto"/>
        <w:ind w:right="476"/>
        <w:jc w:val="both"/>
        <w:rPr>
          <w:rFonts w:ascii="Arial" w:eastAsia="Calibri" w:hAnsi="Arial" w:cs="Arial"/>
          <w:bCs/>
          <w:sz w:val="20"/>
          <w:szCs w:val="20"/>
          <w:lang w:val="es-ES_tradnl" w:eastAsia="es-ES_tradnl"/>
        </w:rPr>
      </w:pPr>
    </w:p>
    <w:p w14:paraId="2DCF6E1D" w14:textId="77777777" w:rsidR="00A24733" w:rsidRPr="00A24733" w:rsidRDefault="00A24733" w:rsidP="00A24733">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lang w:val="es-ES_tradnl"/>
        </w:rPr>
      </w:pPr>
      <w:r w:rsidRPr="00A24733">
        <w:rPr>
          <w:rFonts w:ascii="Arial" w:eastAsia="Calibri" w:hAnsi="Arial" w:cs="Arial"/>
          <w:b/>
          <w:color w:val="000000"/>
          <w:lang w:val="es-ES_tradnl"/>
        </w:rPr>
        <w:t>Consideraciones</w:t>
      </w:r>
    </w:p>
    <w:p w14:paraId="09C01532" w14:textId="77777777" w:rsidR="00A24733" w:rsidRPr="00A24733" w:rsidRDefault="00A24733" w:rsidP="00A24733">
      <w:pPr>
        <w:spacing w:after="0" w:line="276" w:lineRule="auto"/>
        <w:jc w:val="both"/>
        <w:rPr>
          <w:rFonts w:ascii="Arial" w:eastAsia="Times New Roman" w:hAnsi="Arial" w:cs="Arial"/>
          <w:color w:val="000000"/>
          <w:szCs w:val="24"/>
          <w:lang w:val="es-ES_tradnl" w:eastAsia="es-ES_tradnl"/>
        </w:rPr>
      </w:pPr>
    </w:p>
    <w:p w14:paraId="28F9DDA8" w14:textId="77777777" w:rsidR="00A24733" w:rsidRPr="00A24733" w:rsidRDefault="00A24733" w:rsidP="00A24733">
      <w:pPr>
        <w:spacing w:after="0" w:line="276" w:lineRule="auto"/>
        <w:jc w:val="both"/>
        <w:rPr>
          <w:rFonts w:ascii="Arial" w:eastAsia="Calibri" w:hAnsi="Arial" w:cs="Arial"/>
          <w:color w:val="000000"/>
          <w:szCs w:val="24"/>
          <w:lang w:eastAsia="es-ES_tradnl"/>
        </w:rPr>
      </w:pPr>
      <w:r w:rsidRPr="00A24733">
        <w:rPr>
          <w:rFonts w:ascii="Arial" w:eastAsia="Calibri" w:hAnsi="Arial" w:cs="Arial"/>
          <w:color w:val="000000"/>
          <w:szCs w:val="24"/>
          <w:lang w:eastAsia="es-ES_tradnl"/>
        </w:rPr>
        <w:lastRenderedPageBreak/>
        <w:t>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A24733">
        <w:rPr>
          <w:rFonts w:ascii="Arial" w:eastAsia="Calibri" w:hAnsi="Arial" w:cs="Arial"/>
          <w:color w:val="000000"/>
          <w:szCs w:val="24"/>
          <w:vertAlign w:val="superscript"/>
          <w:lang w:eastAsia="es-ES_tradnl"/>
        </w:rPr>
        <w:footnoteReference w:id="2"/>
      </w:r>
      <w:r w:rsidRPr="00A24733">
        <w:rPr>
          <w:rFonts w:ascii="Arial" w:eastAsia="Calibri" w:hAnsi="Arial" w:cs="Arial"/>
          <w:color w:val="000000"/>
          <w:szCs w:val="24"/>
          <w:lang w:eastAsia="es-ES_tradnl"/>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14B93C3E" w14:textId="77777777" w:rsidR="00A24733" w:rsidRPr="00A24733" w:rsidRDefault="00A24733" w:rsidP="00A24733">
      <w:pPr>
        <w:spacing w:before="120" w:after="120" w:line="276" w:lineRule="auto"/>
        <w:ind w:firstLine="709"/>
        <w:jc w:val="both"/>
        <w:rPr>
          <w:rFonts w:ascii="Arial" w:eastAsia="Calibri" w:hAnsi="Arial" w:cs="Arial"/>
          <w:color w:val="000000"/>
          <w:szCs w:val="24"/>
          <w:lang w:eastAsia="es-ES_tradnl"/>
        </w:rPr>
      </w:pPr>
      <w:r w:rsidRPr="00A24733">
        <w:rPr>
          <w:rFonts w:ascii="Arial" w:eastAsia="Calibri" w:hAnsi="Arial" w:cs="Arial"/>
          <w:color w:val="000000"/>
          <w:szCs w:val="24"/>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2148D192" w14:textId="77777777" w:rsidR="00A24733" w:rsidRPr="00A24733" w:rsidRDefault="00A24733" w:rsidP="00A24733">
      <w:pPr>
        <w:spacing w:after="120" w:line="276" w:lineRule="auto"/>
        <w:ind w:firstLine="709"/>
        <w:jc w:val="both"/>
        <w:rPr>
          <w:rFonts w:ascii="Arial" w:eastAsia="Calibri" w:hAnsi="Arial" w:cs="Arial"/>
          <w:lang w:val="es-ES_tradnl" w:eastAsia="es-ES_tradnl"/>
        </w:rPr>
      </w:pPr>
      <w:r w:rsidRPr="00A24733">
        <w:rPr>
          <w:rFonts w:ascii="Arial" w:eastAsia="Calibri" w:hAnsi="Arial" w:cs="Arial"/>
          <w:color w:val="000000"/>
        </w:rPr>
        <w:t>Teniendo en cuenta lo anterior, dentro de los límites de la competencia consultiva atribuida a esta entidad, se resolverá su pregunta, previo análisis de los siguientes temas:</w:t>
      </w:r>
      <w:r w:rsidRPr="00A24733">
        <w:rPr>
          <w:rFonts w:ascii="Arial" w:eastAsia="Calibri" w:hAnsi="Arial" w:cs="Arial"/>
          <w:lang w:eastAsia="es-ES_tradnl"/>
        </w:rPr>
        <w:t xml:space="preserve"> </w:t>
      </w:r>
      <w:r w:rsidRPr="00A24733">
        <w:rPr>
          <w:rFonts w:ascii="Arial" w:eastAsia="Calibri" w:hAnsi="Arial" w:cs="Arial"/>
          <w:lang w:val="es-ES_tradnl" w:eastAsia="es-ES_tradnl"/>
        </w:rPr>
        <w:t xml:space="preserve">i) modalidad de selección de mínima cuantía, y </w:t>
      </w:r>
      <w:proofErr w:type="spellStart"/>
      <w:r w:rsidRPr="00A24733">
        <w:rPr>
          <w:rFonts w:ascii="Arial" w:eastAsia="Calibri" w:hAnsi="Arial" w:cs="Arial"/>
          <w:lang w:val="es-ES_tradnl" w:eastAsia="es-ES_tradnl"/>
        </w:rPr>
        <w:t>ii</w:t>
      </w:r>
      <w:proofErr w:type="spellEnd"/>
      <w:r w:rsidRPr="00A24733">
        <w:rPr>
          <w:rFonts w:ascii="Arial" w:eastAsia="Calibri" w:hAnsi="Arial" w:cs="Arial"/>
          <w:lang w:val="es-ES_tradnl" w:eastAsia="es-ES_tradnl"/>
        </w:rPr>
        <w:t>) cómputo del término para presentar ofertas en procesos de mínima cuantía limitados a MiPymes.</w:t>
      </w:r>
    </w:p>
    <w:p w14:paraId="019C869D" w14:textId="77777777" w:rsidR="00A24733" w:rsidRPr="00A24733" w:rsidRDefault="00A24733" w:rsidP="00A24733">
      <w:pPr>
        <w:tabs>
          <w:tab w:val="left" w:pos="709"/>
        </w:tabs>
        <w:spacing w:after="0" w:line="276" w:lineRule="auto"/>
        <w:jc w:val="both"/>
        <w:rPr>
          <w:rFonts w:ascii="Arial" w:eastAsia="Calibri" w:hAnsi="Arial" w:cs="Arial"/>
          <w:bCs/>
          <w:color w:val="000000"/>
          <w:lang w:val="es-ES_tradnl" w:eastAsia="es-ES_tradnl"/>
        </w:rPr>
      </w:pPr>
      <w:r w:rsidRPr="00A24733">
        <w:rPr>
          <w:rFonts w:ascii="Arial" w:eastAsia="Calibri" w:hAnsi="Arial" w:cs="Arial"/>
          <w:color w:val="000000"/>
          <w:lang w:val="es-ES_tradnl" w:eastAsia="es-ES_tradnl"/>
        </w:rPr>
        <w:tab/>
        <w:t xml:space="preserve">Es importante destacar que la Agencia Nacional de Contratación Pública – Colombia Compra Eficiente </w:t>
      </w:r>
      <w:r w:rsidRPr="00A24733">
        <w:rPr>
          <w:rFonts w:ascii="Arial" w:eastAsia="Calibri" w:hAnsi="Arial" w:cs="Arial"/>
          <w:bCs/>
          <w:color w:val="000000"/>
          <w:lang w:val="es-ES_tradnl" w:eastAsia="es-ES_tradnl"/>
        </w:rPr>
        <w:t xml:space="preserve">analizó la limitación de las convocatorias a MiPymes, entre otros, en los 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C-573 de 13 de octubre de 2021, C-001 del 17 de febrero de 2022, C-293 del 12 de abril de 2022, C-490 del 26 de julio de 2022, C-523 del 16 de agosto de 2022, C-539 del 29 de agosto de 2022, C-585 del 19 de septiembre de 2022, C-587 del 21 de septiembre de 2022, C-597 del 9 de septiembre de 2022, C-627 del 12 de </w:t>
      </w:r>
      <w:r w:rsidRPr="00A24733">
        <w:rPr>
          <w:rFonts w:ascii="Arial" w:eastAsia="Calibri" w:hAnsi="Arial" w:cs="Arial"/>
          <w:bCs/>
          <w:color w:val="000000"/>
          <w:lang w:val="es-ES_tradnl" w:eastAsia="es-ES_tradnl"/>
        </w:rPr>
        <w:lastRenderedPageBreak/>
        <w:t xml:space="preserve">septiembre de 2022, C-643 del 10 de octubre de 2022, C- 662 del 13 de octubre de 2022, C-699 del 25 de octubre de 2022, C-744 del 08 de noviembre de 2022, C-758 del 10 de noviembre de 2022 y C-895 del 27 de diciembre de 2022. </w:t>
      </w:r>
      <w:r w:rsidRPr="00A24733">
        <w:rPr>
          <w:rFonts w:ascii="Arial" w:eastAsia="Arial" w:hAnsi="Arial" w:cs="Arial"/>
          <w:szCs w:val="24"/>
          <w:lang w:val="es-ES_tradnl" w:eastAsia="es-ES_tradnl"/>
        </w:rPr>
        <w:t xml:space="preserve">Algunas de las ideas expuestas en dichas oportunidades se retoman y complementan a continuación para desarrollar la tesis del presente concepto.    </w:t>
      </w:r>
    </w:p>
    <w:p w14:paraId="6CE4EDD4" w14:textId="77777777" w:rsidR="00A24733" w:rsidRPr="00A24733" w:rsidRDefault="00A24733" w:rsidP="00A24733">
      <w:pPr>
        <w:tabs>
          <w:tab w:val="left" w:pos="709"/>
        </w:tabs>
        <w:spacing w:after="0" w:line="276" w:lineRule="auto"/>
        <w:jc w:val="both"/>
        <w:rPr>
          <w:rFonts w:ascii="Arial" w:eastAsia="Calibri" w:hAnsi="Arial" w:cs="Arial"/>
          <w:b/>
          <w:bCs/>
          <w:color w:val="000000"/>
          <w:lang w:val="es-ES_tradnl" w:eastAsia="es-ES_tradnl"/>
        </w:rPr>
      </w:pPr>
    </w:p>
    <w:p w14:paraId="2584D215" w14:textId="77777777" w:rsidR="00A24733" w:rsidRPr="00A24733" w:rsidRDefault="00A24733" w:rsidP="00A24733">
      <w:pPr>
        <w:tabs>
          <w:tab w:val="left" w:pos="709"/>
        </w:tabs>
        <w:spacing w:after="0" w:line="276" w:lineRule="auto"/>
        <w:jc w:val="both"/>
        <w:rPr>
          <w:rFonts w:ascii="Arial" w:eastAsia="Calibri" w:hAnsi="Arial" w:cs="Arial"/>
          <w:b/>
          <w:bCs/>
          <w:color w:val="000000"/>
          <w:lang w:val="es-ES_tradnl" w:eastAsia="es-ES_tradnl"/>
        </w:rPr>
      </w:pPr>
      <w:r w:rsidRPr="00A24733">
        <w:rPr>
          <w:rFonts w:ascii="Arial" w:eastAsia="Calibri" w:hAnsi="Arial" w:cs="Arial"/>
          <w:b/>
          <w:bCs/>
          <w:color w:val="000000"/>
          <w:lang w:val="es-ES_tradnl" w:eastAsia="es-ES_tradnl"/>
        </w:rPr>
        <w:t xml:space="preserve">2.1. </w:t>
      </w:r>
      <w:bookmarkStart w:id="0" w:name="_Hlk94169601"/>
      <w:r w:rsidRPr="00A24733">
        <w:rPr>
          <w:rFonts w:ascii="Arial" w:eastAsia="Calibri" w:hAnsi="Arial" w:cs="Arial"/>
          <w:b/>
          <w:bCs/>
          <w:color w:val="000000"/>
          <w:lang w:val="es-ES_tradnl" w:eastAsia="es-ES_tradnl"/>
        </w:rPr>
        <w:t>Modalidad de selección de mínima cuantía. Regulación y características del procedimiento</w:t>
      </w:r>
    </w:p>
    <w:p w14:paraId="737C3C94" w14:textId="77777777" w:rsidR="00A24733" w:rsidRPr="00A24733" w:rsidRDefault="00A24733" w:rsidP="00A24733">
      <w:pPr>
        <w:tabs>
          <w:tab w:val="left" w:pos="709"/>
        </w:tabs>
        <w:spacing w:after="0" w:line="276" w:lineRule="auto"/>
        <w:jc w:val="both"/>
        <w:rPr>
          <w:rFonts w:ascii="Arial" w:eastAsia="Calibri" w:hAnsi="Arial" w:cs="Arial"/>
          <w:b/>
          <w:bCs/>
          <w:color w:val="000000"/>
          <w:lang w:val="es-ES_tradnl" w:eastAsia="es-ES_tradnl"/>
        </w:rPr>
      </w:pPr>
    </w:p>
    <w:p w14:paraId="002CE884" w14:textId="77777777" w:rsidR="00A24733" w:rsidRPr="00A24733" w:rsidRDefault="00A24733" w:rsidP="00A24733">
      <w:pPr>
        <w:tabs>
          <w:tab w:val="left" w:pos="709"/>
        </w:tabs>
        <w:spacing w:after="120" w:line="276" w:lineRule="auto"/>
        <w:jc w:val="both"/>
        <w:rPr>
          <w:rFonts w:ascii="Arial" w:eastAsia="Calibri" w:hAnsi="Arial" w:cs="Arial"/>
          <w:bCs/>
          <w:color w:val="000000"/>
          <w:lang w:val="es-ES_tradnl"/>
        </w:rPr>
      </w:pPr>
      <w:r w:rsidRPr="00A24733">
        <w:rPr>
          <w:rFonts w:ascii="Arial" w:eastAsia="Calibri" w:hAnsi="Arial" w:cs="Arial"/>
          <w:bCs/>
          <w:color w:val="000000"/>
          <w:lang w:val="es-ES_tradnl"/>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1" w:name="_Hlk69566698"/>
      <w:r w:rsidRPr="00A24733">
        <w:rPr>
          <w:rFonts w:ascii="Arial" w:eastAsia="Calibri" w:hAnsi="Arial" w:cs="Arial"/>
          <w:bCs/>
          <w:color w:val="000000"/>
          <w:lang w:val="es-ES_tradnl"/>
        </w:rPr>
        <w:t>el artículo 94 de la Ley 1474 de 2011</w:t>
      </w:r>
      <w:bookmarkEnd w:id="1"/>
      <w:r w:rsidRPr="00A24733">
        <w:rPr>
          <w:rFonts w:ascii="Arial" w:eastAsia="Calibri" w:hAnsi="Arial" w:cs="Arial"/>
          <w:bCs/>
          <w:color w:val="000000"/>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A24733">
        <w:rPr>
          <w:rFonts w:ascii="Arial" w:eastAsia="Calibri" w:hAnsi="Arial" w:cs="Arial"/>
          <w:bCs/>
          <w:color w:val="000000"/>
          <w:vertAlign w:val="superscript"/>
          <w:lang w:val="es-ES_tradnl"/>
        </w:rPr>
        <w:footnoteReference w:id="3"/>
      </w:r>
      <w:r w:rsidRPr="00A24733">
        <w:rPr>
          <w:rFonts w:ascii="Arial" w:eastAsia="Calibri" w:hAnsi="Arial" w:cs="Arial"/>
          <w:bCs/>
          <w:color w:val="000000"/>
          <w:lang w:val="es-ES_tradnl"/>
        </w:rPr>
        <w:t>.</w:t>
      </w:r>
    </w:p>
    <w:p w14:paraId="55E0AF0C" w14:textId="77777777" w:rsidR="00A24733" w:rsidRPr="00A24733" w:rsidRDefault="00A24733" w:rsidP="00A24733">
      <w:pPr>
        <w:tabs>
          <w:tab w:val="left" w:pos="709"/>
        </w:tabs>
        <w:spacing w:after="120" w:line="276" w:lineRule="auto"/>
        <w:jc w:val="both"/>
        <w:rPr>
          <w:rFonts w:ascii="Arial" w:eastAsia="Calibri" w:hAnsi="Arial" w:cs="Arial"/>
          <w:bCs/>
          <w:color w:val="000000"/>
          <w:lang w:val="es-ES_tradnl"/>
        </w:rPr>
      </w:pPr>
      <w:r w:rsidRPr="00A24733">
        <w:rPr>
          <w:rFonts w:ascii="Arial" w:eastAsia="Calibri" w:hAnsi="Arial" w:cs="Arial"/>
          <w:bCs/>
          <w:color w:val="000000"/>
          <w:lang w:val="es-ES_tradnl"/>
        </w:rPr>
        <w:tab/>
        <w:t>En esencia, el artículo 30 de la Ley 2069 de 2020 conserva a grandes rasgos el procedimiento previsto en el derogado artículo 94 de la Ley 1474 de 2011, el cual define los aspectos generales del procedimiento contractual</w:t>
      </w:r>
      <w:r w:rsidRPr="00A24733">
        <w:rPr>
          <w:rFonts w:ascii="Arial" w:eastAsia="Calibri" w:hAnsi="Arial" w:cs="Arial"/>
          <w:bCs/>
          <w:color w:val="000000"/>
          <w:vertAlign w:val="superscript"/>
          <w:lang w:val="es-ES_tradnl"/>
        </w:rPr>
        <w:footnoteReference w:id="4"/>
      </w:r>
      <w:r w:rsidRPr="00A24733">
        <w:rPr>
          <w:rFonts w:ascii="Arial" w:eastAsia="Calibri" w:hAnsi="Arial" w:cs="Arial"/>
          <w:bCs/>
          <w:color w:val="000000"/>
          <w:lang w:val="es-ES_tradnl"/>
        </w:rPr>
        <w:t xml:space="preserve">. No obstante, aludiendo expresamente al </w:t>
      </w:r>
      <w:r w:rsidRPr="00A24733">
        <w:rPr>
          <w:rFonts w:ascii="Arial" w:eastAsia="Calibri" w:hAnsi="Arial" w:cs="Arial"/>
          <w:bCs/>
          <w:color w:val="000000"/>
          <w:lang w:val="es-ES_tradnl"/>
        </w:rPr>
        <w:lastRenderedPageBreak/>
        <w:t xml:space="preserve">desarrollo reglamentario, el parágrafo primero introduce el siguiente cambio: “Las particularidades del procedimiento aquí previsto, así como la posibilidad que tengan las entidades de realizar estas adquisiciones </w:t>
      </w:r>
      <w:r w:rsidRPr="00A24733">
        <w:rPr>
          <w:rFonts w:ascii="Arial" w:eastAsia="Calibri" w:hAnsi="Arial" w:cs="Arial"/>
          <w:bCs/>
          <w:i/>
          <w:iCs/>
          <w:color w:val="000000"/>
          <w:lang w:val="es-ES_tradnl"/>
        </w:rPr>
        <w:t xml:space="preserve">a </w:t>
      </w:r>
      <w:proofErr w:type="spellStart"/>
      <w:r w:rsidRPr="00A24733">
        <w:rPr>
          <w:rFonts w:ascii="Arial" w:eastAsia="Calibri" w:hAnsi="Arial" w:cs="Arial"/>
          <w:bCs/>
          <w:i/>
          <w:iCs/>
          <w:color w:val="000000"/>
          <w:lang w:val="es-ES_tradnl"/>
        </w:rPr>
        <w:t>Mipymes</w:t>
      </w:r>
      <w:proofErr w:type="spellEnd"/>
      <w:r w:rsidRPr="00A24733">
        <w:rPr>
          <w:rFonts w:ascii="Arial" w:eastAsia="Calibri" w:hAnsi="Arial" w:cs="Arial"/>
          <w:bCs/>
          <w:color w:val="00000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27A847D0" w14:textId="77777777" w:rsidR="00A24733" w:rsidRPr="00A24733" w:rsidRDefault="00A24733" w:rsidP="00A24733">
      <w:pPr>
        <w:tabs>
          <w:tab w:val="left" w:pos="709"/>
        </w:tabs>
        <w:spacing w:after="120" w:line="276" w:lineRule="auto"/>
        <w:jc w:val="both"/>
        <w:rPr>
          <w:rFonts w:ascii="Arial" w:eastAsia="Calibri" w:hAnsi="Arial" w:cs="Arial"/>
          <w:bCs/>
          <w:color w:val="000000"/>
          <w:lang w:val="es-ES_tradnl"/>
        </w:rPr>
      </w:pPr>
      <w:r w:rsidRPr="00A24733">
        <w:rPr>
          <w:rFonts w:ascii="Arial" w:eastAsia="Calibri" w:hAnsi="Arial" w:cs="Arial"/>
          <w:bCs/>
          <w:color w:val="000000"/>
          <w:lang w:val="es-ES_tradnl"/>
        </w:rPr>
        <w:tab/>
        <w:t>Esta modificación es importante, pues antes de la Ley de Emprendimiento era imposible limitar a Mipyme la mínima cuantía, especialmente, cuando el artículo 94 la Ley 1474 de 2011 disponía que no era aplicable la Ley 816 de 2003, “Por medio de la cual se apoya a la industria nacional a través de la contratación pública</w:t>
      </w:r>
      <w:r w:rsidRPr="00A24733">
        <w:rPr>
          <w:rFonts w:ascii="Arial" w:eastAsia="Calibri" w:hAnsi="Arial" w:cs="Arial"/>
          <w:color w:val="000000"/>
          <w:lang w:val="es-ES_tradnl"/>
        </w:rPr>
        <w:t xml:space="preserve">”, ni </w:t>
      </w:r>
      <w:r w:rsidRPr="00A24733">
        <w:rPr>
          <w:rFonts w:ascii="Arial" w:eastAsia="Calibri" w:hAnsi="Arial" w:cs="Arial"/>
          <w:bCs/>
          <w:color w:val="000000"/>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A24733">
        <w:rPr>
          <w:rFonts w:ascii="Arial" w:eastAsia="Calibri" w:hAnsi="Arial" w:cs="Arial"/>
          <w:bCs/>
          <w:color w:val="000000"/>
          <w:lang w:val="es-ES_tradnl"/>
        </w:rPr>
        <w:t>mipymes</w:t>
      </w:r>
      <w:proofErr w:type="spellEnd"/>
      <w:r w:rsidRPr="00A24733">
        <w:rPr>
          <w:rFonts w:ascii="Arial" w:eastAsia="Calibri" w:hAnsi="Arial" w:cs="Arial"/>
          <w:bCs/>
          <w:color w:val="000000"/>
          <w:lang w:val="es-ES_tradnl"/>
        </w:rPr>
        <w:t xml:space="preserve"> en esta modalidad de selección. Como se observa, el parágrafo 1 del artículo 30 de la Ley 2069 de 2020 dispone que el reglamento es importante para regular: i) las “particularidades del procedimiento de selección” y </w:t>
      </w:r>
      <w:proofErr w:type="spellStart"/>
      <w:r w:rsidRPr="00A24733">
        <w:rPr>
          <w:rFonts w:ascii="Arial" w:eastAsia="Calibri" w:hAnsi="Arial" w:cs="Arial"/>
          <w:bCs/>
          <w:color w:val="000000"/>
          <w:lang w:val="es-ES_tradnl"/>
        </w:rPr>
        <w:t>ii</w:t>
      </w:r>
      <w:proofErr w:type="spellEnd"/>
      <w:r w:rsidRPr="00A24733">
        <w:rPr>
          <w:rFonts w:ascii="Arial" w:eastAsia="Calibri" w:hAnsi="Arial" w:cs="Arial"/>
          <w:bCs/>
          <w:color w:val="000000"/>
          <w:lang w:val="es-ES_tradnl"/>
        </w:rPr>
        <w:t xml:space="preserve">) la posibilidad de realizar estas adquisiciones a </w:t>
      </w:r>
      <w:proofErr w:type="spellStart"/>
      <w:r w:rsidRPr="00A24733">
        <w:rPr>
          <w:rFonts w:ascii="Arial" w:eastAsia="Calibri" w:hAnsi="Arial" w:cs="Arial"/>
          <w:bCs/>
          <w:color w:val="000000"/>
          <w:lang w:val="es-ES_tradnl"/>
        </w:rPr>
        <w:t>mipymes</w:t>
      </w:r>
      <w:proofErr w:type="spellEnd"/>
      <w:r w:rsidRPr="00A24733">
        <w:rPr>
          <w:rFonts w:ascii="Arial" w:eastAsia="Calibri" w:hAnsi="Arial" w:cs="Arial"/>
          <w:bCs/>
          <w:color w:val="000000"/>
          <w:lang w:val="es-ES_tradnl"/>
        </w:rPr>
        <w:t xml:space="preserve"> o establecimientos que correspondan a la definición de “gran almacén”.</w:t>
      </w:r>
    </w:p>
    <w:p w14:paraId="7DD7C05D" w14:textId="77777777" w:rsidR="00A24733" w:rsidRPr="00A24733" w:rsidRDefault="00A24733" w:rsidP="00A24733">
      <w:pPr>
        <w:tabs>
          <w:tab w:val="left" w:pos="709"/>
        </w:tabs>
        <w:spacing w:after="120" w:line="276" w:lineRule="auto"/>
        <w:ind w:firstLine="709"/>
        <w:jc w:val="both"/>
        <w:rPr>
          <w:rFonts w:ascii="Arial" w:eastAsia="Calibri" w:hAnsi="Arial" w:cs="Arial"/>
          <w:bCs/>
          <w:color w:val="000000"/>
        </w:rPr>
      </w:pPr>
      <w:r w:rsidRPr="00A24733">
        <w:rPr>
          <w:rFonts w:ascii="Arial" w:eastAsia="Calibri" w:hAnsi="Arial" w:cs="Arial"/>
          <w:bCs/>
          <w:color w:val="000000"/>
          <w:lang w:val="es-ES_tradnl"/>
        </w:rPr>
        <w:t xml:space="preserve">Con fundamento en lo anterior, </w:t>
      </w:r>
      <w:r w:rsidRPr="00A24733">
        <w:rPr>
          <w:rFonts w:ascii="Arial" w:eastAsia="Calibri" w:hAnsi="Arial" w:cs="Arial"/>
          <w:color w:val="000000"/>
          <w:lang w:val="es-ES_tradnl"/>
        </w:rPr>
        <w:t xml:space="preserve">el Gobierno Nacional expidió el Decreto 1860 del 24 de diciembre de 2021, </w:t>
      </w:r>
      <w:r w:rsidRPr="00A24733">
        <w:rPr>
          <w:rFonts w:ascii="Arial" w:eastAsia="Calibri" w:hAnsi="Arial" w:cs="Arial"/>
          <w:bCs/>
          <w:color w:val="000000"/>
          <w:lang w:val="es-ES_tradnl"/>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w:t>
      </w:r>
      <w:r w:rsidRPr="00A24733">
        <w:rPr>
          <w:rFonts w:ascii="Arial" w:eastAsia="Calibri" w:hAnsi="Arial" w:cs="Arial"/>
          <w:bCs/>
          <w:i/>
          <w:iCs/>
          <w:color w:val="000000"/>
          <w:lang w:val="es-ES_tradnl"/>
        </w:rPr>
        <w:t>ibidem</w:t>
      </w:r>
      <w:r w:rsidRPr="00A24733">
        <w:rPr>
          <w:rFonts w:ascii="Arial" w:eastAsia="Calibri" w:hAnsi="Arial" w:cs="Arial"/>
          <w:bCs/>
          <w:color w:val="000000"/>
          <w:lang w:val="es-ES_tradnl"/>
        </w:rPr>
        <w:t xml:space="preserve"> sometió a un plazo la </w:t>
      </w:r>
      <w:proofErr w:type="gramStart"/>
      <w:r w:rsidRPr="00A24733">
        <w:rPr>
          <w:rFonts w:ascii="Arial" w:eastAsia="Calibri" w:hAnsi="Arial" w:cs="Arial"/>
          <w:bCs/>
          <w:color w:val="000000"/>
          <w:lang w:val="es-ES_tradnl"/>
        </w:rPr>
        <w:t>entrada en vigencia</w:t>
      </w:r>
      <w:proofErr w:type="gramEnd"/>
      <w:r w:rsidRPr="00A24733">
        <w:rPr>
          <w:rFonts w:ascii="Arial" w:eastAsia="Calibri" w:hAnsi="Arial" w:cs="Arial"/>
          <w:bCs/>
          <w:color w:val="000000"/>
          <w:lang w:val="es-ES_tradnl"/>
        </w:rPr>
        <w:t xml:space="preserve"> de sus disposiciones, al señalar que “aplicarán a los procedimientos de selección cuya invitación, aviso de convocatoria o documento equivalente se publique a los tres (3) meses contados a partir de su expedición”</w:t>
      </w:r>
      <w:r w:rsidRPr="00A24733">
        <w:rPr>
          <w:rFonts w:ascii="Arial" w:eastAsia="Calibri" w:hAnsi="Arial" w:cs="Arial"/>
          <w:bCs/>
          <w:color w:val="000000"/>
          <w:vertAlign w:val="superscript"/>
          <w:lang w:val="es-ES_tradnl"/>
        </w:rPr>
        <w:footnoteReference w:id="5"/>
      </w:r>
      <w:r w:rsidRPr="00A24733">
        <w:rPr>
          <w:rFonts w:ascii="Arial" w:eastAsia="Calibri" w:hAnsi="Arial" w:cs="Arial"/>
          <w:bCs/>
          <w:color w:val="000000"/>
        </w:rPr>
        <w:t xml:space="preserve">. </w:t>
      </w:r>
    </w:p>
    <w:p w14:paraId="58FBACC4" w14:textId="77777777" w:rsidR="00A24733" w:rsidRPr="00A24733" w:rsidRDefault="00A24733" w:rsidP="00A24733">
      <w:pPr>
        <w:tabs>
          <w:tab w:val="left" w:pos="709"/>
        </w:tabs>
        <w:spacing w:after="120" w:line="276" w:lineRule="auto"/>
        <w:ind w:firstLine="709"/>
        <w:jc w:val="both"/>
        <w:rPr>
          <w:rFonts w:ascii="Arial" w:eastAsia="Calibri" w:hAnsi="Arial" w:cs="Arial"/>
          <w:bCs/>
          <w:color w:val="000000"/>
          <w:lang w:val="es-ES_tradnl"/>
        </w:rPr>
      </w:pPr>
      <w:r w:rsidRPr="00A24733">
        <w:rPr>
          <w:rFonts w:ascii="Arial" w:eastAsia="Calibri" w:hAnsi="Arial" w:cs="Arial"/>
          <w:bCs/>
          <w:color w:val="000000"/>
          <w:lang w:val="es-ES_tradnl"/>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w:t>
      </w:r>
      <w:r w:rsidRPr="00A24733">
        <w:rPr>
          <w:rFonts w:ascii="Arial" w:eastAsia="Calibri" w:hAnsi="Arial" w:cs="Arial"/>
          <w:bCs/>
          <w:color w:val="000000"/>
          <w:lang w:val="es-ES_tradnl"/>
        </w:rPr>
        <w:lastRenderedPageBreak/>
        <w:t xml:space="preserve">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A24733">
        <w:rPr>
          <w:rFonts w:ascii="Arial" w:eastAsia="Calibri" w:hAnsi="Arial" w:cs="Arial"/>
          <w:bCs/>
          <w:color w:val="000000"/>
          <w:lang w:val="es-ES_tradnl"/>
        </w:rPr>
        <w:t>ii</w:t>
      </w:r>
      <w:proofErr w:type="spellEnd"/>
      <w:r w:rsidRPr="00A24733">
        <w:rPr>
          <w:rFonts w:ascii="Arial" w:eastAsia="Calibri" w:hAnsi="Arial" w:cs="Arial"/>
          <w:bCs/>
          <w:color w:val="000000"/>
          <w:lang w:val="es-ES_tradnl"/>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 de acuerdo con el mandato del parágrafo 1 del artículo 30 de la Ley 2069 de 2020. </w:t>
      </w:r>
      <w:proofErr w:type="spellStart"/>
      <w:r w:rsidRPr="00A24733">
        <w:rPr>
          <w:rFonts w:ascii="Arial" w:eastAsia="Calibri" w:hAnsi="Arial" w:cs="Arial"/>
          <w:bCs/>
          <w:color w:val="000000"/>
          <w:lang w:val="es-ES_tradnl"/>
        </w:rPr>
        <w:t>iii</w:t>
      </w:r>
      <w:proofErr w:type="spellEnd"/>
      <w:r w:rsidRPr="00A24733">
        <w:rPr>
          <w:rFonts w:ascii="Arial" w:eastAsia="Calibri" w:hAnsi="Arial" w:cs="Arial"/>
          <w:bCs/>
          <w:color w:val="000000"/>
          <w:lang w:val="es-ES_tradnl"/>
        </w:rPr>
        <w:t xml:space="preserve">) 2.2.1.2.1.5.3. que regula un procedimiento especial para las adquisiciones en grandes almacenes cuando se trate de mínima cuantía. </w:t>
      </w:r>
      <w:proofErr w:type="spellStart"/>
      <w:r w:rsidRPr="00A24733">
        <w:rPr>
          <w:rFonts w:ascii="Arial" w:eastAsia="Calibri" w:hAnsi="Arial" w:cs="Arial"/>
          <w:bCs/>
          <w:color w:val="000000"/>
          <w:lang w:val="es-ES_tradnl"/>
        </w:rPr>
        <w:t>iv</w:t>
      </w:r>
      <w:proofErr w:type="spellEnd"/>
      <w:r w:rsidRPr="00A24733">
        <w:rPr>
          <w:rFonts w:ascii="Arial" w:eastAsia="Calibri" w:hAnsi="Arial" w:cs="Arial"/>
          <w:bCs/>
          <w:color w:val="000000"/>
          <w:lang w:val="es-ES_tradnl"/>
        </w:rPr>
        <w:t>)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4A1FB425" w14:textId="77777777" w:rsidR="00A24733" w:rsidRPr="00A24733" w:rsidRDefault="00A24733" w:rsidP="00A24733">
      <w:pPr>
        <w:tabs>
          <w:tab w:val="left" w:pos="709"/>
        </w:tabs>
        <w:spacing w:after="120" w:line="276" w:lineRule="auto"/>
        <w:jc w:val="both"/>
        <w:rPr>
          <w:rFonts w:ascii="Arial" w:eastAsia="Calibri" w:hAnsi="Arial" w:cs="Arial"/>
          <w:color w:val="000000"/>
          <w:lang w:val="es-ES_tradnl"/>
        </w:rPr>
      </w:pPr>
      <w:r w:rsidRPr="00A24733">
        <w:rPr>
          <w:rFonts w:ascii="Arial" w:eastAsia="Calibri" w:hAnsi="Arial" w:cs="Arial"/>
          <w:bCs/>
          <w:color w:val="000000"/>
          <w:lang w:val="es-ES_tradnl"/>
        </w:rPr>
        <w:tab/>
        <w:t xml:space="preserve">De esta manera, el artículo 2 del Decreto 1860 del 24 de diciembre de 2021, que modifica los artículos del Decreto 1082 de 2015 expuestos en el párrafo anterior, constituye la reglamentación del artículo 30 de la Ley 2069 de 2020, al desarrollar las reglas aplicables a esta modalidad de selección. Como se indicó anteriormente, estas disposiciones rigen para los procedimientos de selección cuya invitación, </w:t>
      </w:r>
      <w:r w:rsidRPr="00A24733">
        <w:rPr>
          <w:rFonts w:ascii="Arial" w:eastAsia="Calibri" w:hAnsi="Arial" w:cs="Arial"/>
          <w:color w:val="000000"/>
          <w:lang w:val="es-ES_tradnl"/>
        </w:rPr>
        <w:t xml:space="preserve">aviso de convocatoria o documento equivalente se publique a los tres (3) meses contados a partir de su expedición. </w:t>
      </w:r>
    </w:p>
    <w:p w14:paraId="3D4EBA38" w14:textId="77777777" w:rsidR="00A24733" w:rsidRPr="00A24733" w:rsidRDefault="00A24733" w:rsidP="00A24733">
      <w:pPr>
        <w:tabs>
          <w:tab w:val="left" w:pos="709"/>
        </w:tabs>
        <w:spacing w:after="120" w:line="276" w:lineRule="auto"/>
        <w:jc w:val="both"/>
        <w:rPr>
          <w:rFonts w:ascii="Arial" w:eastAsia="Calibri" w:hAnsi="Arial" w:cs="Arial"/>
          <w:color w:val="000000"/>
          <w:szCs w:val="24"/>
          <w:lang w:val="es-ES_tradnl" w:eastAsia="es-ES_tradnl"/>
        </w:rPr>
      </w:pPr>
      <w:r w:rsidRPr="00A24733">
        <w:rPr>
          <w:rFonts w:ascii="Arial" w:eastAsia="Calibri" w:hAnsi="Arial" w:cs="Arial"/>
          <w:color w:val="000000"/>
          <w:lang w:val="es-ES_tradnl"/>
        </w:rPr>
        <w:tab/>
      </w:r>
      <w:r w:rsidRPr="00A24733">
        <w:rPr>
          <w:rFonts w:ascii="Arial" w:eastAsia="Calibri" w:hAnsi="Arial" w:cs="Arial"/>
          <w:color w:val="000000"/>
          <w:szCs w:val="24"/>
          <w:lang w:val="es-ES_tradnl" w:eastAsia="es-ES_tradnl"/>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Pr="00A24733">
        <w:rPr>
          <w:rFonts w:ascii="Arial" w:eastAsia="Calibri" w:hAnsi="Arial" w:cs="Arial"/>
          <w:color w:val="000000"/>
          <w:szCs w:val="24"/>
          <w:vertAlign w:val="superscript"/>
          <w:lang w:val="es-ES_tradnl" w:eastAsia="es-ES_tradnl"/>
        </w:rPr>
        <w:footnoteReference w:id="6"/>
      </w:r>
      <w:r w:rsidRPr="00A24733">
        <w:rPr>
          <w:rFonts w:ascii="Arial" w:eastAsia="Calibri" w:hAnsi="Arial" w:cs="Arial"/>
          <w:color w:val="000000"/>
          <w:szCs w:val="24"/>
          <w:lang w:val="es-ES_tradnl" w:eastAsia="es-ES_tradnl"/>
        </w:rPr>
        <w:t xml:space="preserve">. </w:t>
      </w:r>
    </w:p>
    <w:p w14:paraId="104ADAD3" w14:textId="77777777" w:rsidR="00A24733" w:rsidRPr="00A24733" w:rsidRDefault="00A24733" w:rsidP="00A24733">
      <w:pPr>
        <w:spacing w:after="120" w:line="276" w:lineRule="auto"/>
        <w:ind w:firstLine="709"/>
        <w:jc w:val="both"/>
        <w:rPr>
          <w:rFonts w:ascii="Arial" w:eastAsia="Calibri" w:hAnsi="Arial" w:cs="Arial"/>
          <w:color w:val="000000"/>
          <w:lang w:val="es-ES_tradnl"/>
        </w:rPr>
      </w:pPr>
      <w:r w:rsidRPr="00A24733">
        <w:rPr>
          <w:rFonts w:ascii="Arial" w:eastAsia="Calibri" w:hAnsi="Arial" w:cs="Arial"/>
          <w:color w:val="000000"/>
          <w:szCs w:val="24"/>
          <w:lang w:val="es-ES_tradnl" w:eastAsia="es-ES_tradnl"/>
        </w:rPr>
        <w:t>Dicho de otro modo, la mínima cuantía es un procedimiento de selección “exceptivo”</w:t>
      </w:r>
      <w:r w:rsidRPr="00A24733">
        <w:rPr>
          <w:rFonts w:ascii="Arial" w:eastAsia="Calibri" w:hAnsi="Arial" w:cs="Arial"/>
          <w:color w:val="000000"/>
          <w:szCs w:val="24"/>
          <w:vertAlign w:val="superscript"/>
          <w:lang w:val="es-ES_tradnl" w:eastAsia="es-ES_tradnl"/>
        </w:rPr>
        <w:footnoteReference w:id="7"/>
      </w:r>
      <w:r w:rsidRPr="00A24733">
        <w:rPr>
          <w:rFonts w:ascii="Arial" w:eastAsia="Calibri" w:hAnsi="Arial" w:cs="Arial"/>
          <w:color w:val="000000"/>
          <w:szCs w:val="24"/>
          <w:lang w:val="es-ES_tradnl" w:eastAsia="es-ES_tradnl"/>
        </w:rPr>
        <w:t>, porque es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Pr="00A24733">
        <w:rPr>
          <w:rFonts w:ascii="Arial" w:eastAsia="Calibri" w:hAnsi="Arial" w:cs="Arial"/>
          <w:color w:val="000000"/>
          <w:szCs w:val="24"/>
          <w:vertAlign w:val="superscript"/>
          <w:lang w:val="es-ES_tradnl" w:eastAsia="es-ES_tradnl"/>
        </w:rPr>
        <w:footnoteReference w:id="8"/>
      </w:r>
      <w:r w:rsidRPr="00A24733">
        <w:rPr>
          <w:rFonts w:ascii="Arial" w:eastAsia="Calibri" w:hAnsi="Arial" w:cs="Arial"/>
          <w:color w:val="000000"/>
          <w:szCs w:val="24"/>
          <w:lang w:val="es-ES_tradnl" w:eastAsia="es-ES_tradnl"/>
        </w:rPr>
        <w:t xml:space="preserve">, y lo segundo, porque sus requisitos, etapas y términos son especiales. En </w:t>
      </w:r>
      <w:r w:rsidRPr="00A24733">
        <w:rPr>
          <w:rFonts w:ascii="Arial" w:eastAsia="Calibri" w:hAnsi="Arial" w:cs="Arial"/>
          <w:color w:val="000000"/>
          <w:szCs w:val="24"/>
          <w:lang w:val="es-ES_tradnl" w:eastAsia="es-ES_tradnl"/>
        </w:rPr>
        <w:lastRenderedPageBreak/>
        <w:t>efecto, a partir de las modificaciones reguladas en el Decreto 1860 de 2021 los requisitos de la mínima cuantía pueden sintetizarse así:</w:t>
      </w:r>
    </w:p>
    <w:p w14:paraId="22B99A62"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val="es-ES_tradnl" w:eastAsia="es-ES_tradnl"/>
        </w:rPr>
        <w:t>i) La entidad estatal debe realizar los estudios previos en los que señale cuál es la necesidad que pretende satisfacer, el objeto del contrato, sus condiciones técnicas, el valor estimado, el plazo de ejecución y el certificado de disponibilidad presupuestal.</w:t>
      </w:r>
    </w:p>
    <w:p w14:paraId="45647140"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proofErr w:type="spellStart"/>
      <w:r w:rsidRPr="00A24733">
        <w:rPr>
          <w:rFonts w:ascii="Arial" w:eastAsia="Calibri" w:hAnsi="Arial" w:cs="Arial"/>
          <w:color w:val="000000"/>
          <w:szCs w:val="24"/>
          <w:lang w:val="es-ES_tradnl" w:eastAsia="es-ES_tradnl"/>
        </w:rPr>
        <w:t>ii</w:t>
      </w:r>
      <w:proofErr w:type="spellEnd"/>
      <w:r w:rsidRPr="00A24733">
        <w:rPr>
          <w:rFonts w:ascii="Arial" w:eastAsia="Calibri" w:hAnsi="Arial" w:cs="Arial"/>
          <w:color w:val="000000"/>
          <w:szCs w:val="24"/>
          <w:lang w:val="es-ES_tradnl" w:eastAsia="es-ES_tradnl"/>
        </w:rPr>
        <w:t xml:space="preserve">) Luego de surtir los trámites previos, la entidad debe publicar en el SECOP una invitación, señalando el objeto, las condiciones técnicas y el valor estimado del contrato, expresando además las razones que justifican el cálculo de la cuantía. Asimismo, deberá señalar la forma en la cual se acreditará la capacidad jurídica y la experiencia mínima, en caso de que esta se exija, así como el cumplimiento de las condiciones técnicas exigidas, incluyendo las obligaciones del futuro contrato. </w:t>
      </w:r>
    </w:p>
    <w:p w14:paraId="39598150" w14:textId="77777777" w:rsidR="00A24733" w:rsidRPr="00A24733" w:rsidRDefault="00A24733" w:rsidP="00A24733">
      <w:pPr>
        <w:spacing w:after="120" w:line="276" w:lineRule="auto"/>
        <w:ind w:firstLine="709"/>
        <w:jc w:val="both"/>
        <w:rPr>
          <w:rFonts w:ascii="Arial" w:eastAsia="Calibri" w:hAnsi="Arial" w:cs="Arial"/>
          <w:szCs w:val="24"/>
          <w:lang w:eastAsia="es-ES_tradnl"/>
        </w:rPr>
      </w:pPr>
      <w:proofErr w:type="spellStart"/>
      <w:r w:rsidRPr="00A24733">
        <w:rPr>
          <w:rFonts w:ascii="Arial" w:eastAsia="Calibri" w:hAnsi="Arial" w:cs="Arial"/>
          <w:color w:val="000000"/>
          <w:szCs w:val="24"/>
          <w:lang w:val="es-ES_tradnl" w:eastAsia="es-ES_tradnl"/>
        </w:rPr>
        <w:t>iii</w:t>
      </w:r>
      <w:proofErr w:type="spellEnd"/>
      <w:r w:rsidRPr="00A24733">
        <w:rPr>
          <w:rFonts w:ascii="Arial" w:eastAsia="Calibri" w:hAnsi="Arial" w:cs="Arial"/>
          <w:color w:val="000000"/>
          <w:szCs w:val="24"/>
          <w:lang w:val="es-ES_tradnl" w:eastAsia="es-ES_tradnl"/>
        </w:rPr>
        <w:t xml:space="preserve">) La entidad podrá exigir una capacidad financiera mínima cuando no hace el pago contra entrega a satisfacción de los bienes, obras o servicios. En estos casos, la entidad deberá indicar la forma en la que hará la verificación correspondiente en la invitación. Cabe anotar que este aspecto </w:t>
      </w:r>
      <w:r w:rsidRPr="00A24733">
        <w:rPr>
          <w:rFonts w:ascii="Arial" w:eastAsia="Calibri" w:hAnsi="Arial" w:cs="Arial"/>
          <w:szCs w:val="24"/>
          <w:lang w:eastAsia="es-ES_tradnl"/>
        </w:rPr>
        <w:t xml:space="preserve">se encontraba regulado desde la disposición anterior y no hay ninguna modificación en su aplicación en el procedimiento de mínima cuantía reglamentado en el Decreto 1860 de 2021.  </w:t>
      </w:r>
    </w:p>
    <w:p w14:paraId="39C2A478" w14:textId="77777777" w:rsidR="00A24733" w:rsidRPr="00A24733" w:rsidRDefault="00A24733" w:rsidP="00A24733">
      <w:pPr>
        <w:spacing w:after="120" w:line="276" w:lineRule="auto"/>
        <w:ind w:firstLine="709"/>
        <w:jc w:val="both"/>
        <w:rPr>
          <w:rFonts w:ascii="Arial" w:eastAsia="Calibri" w:hAnsi="Arial" w:cs="Arial"/>
          <w:color w:val="000000"/>
          <w:szCs w:val="24"/>
          <w:lang w:val="es-ES" w:eastAsia="es-ES_tradnl"/>
        </w:rPr>
      </w:pPr>
      <w:r w:rsidRPr="00A24733">
        <w:rPr>
          <w:rFonts w:ascii="Arial" w:eastAsia="Calibri" w:hAnsi="Arial" w:cs="Arial"/>
          <w:color w:val="000000"/>
          <w:szCs w:val="24"/>
          <w:lang w:val="es-ES_tradnl" w:eastAsia="es-ES_tradnl"/>
        </w:rPr>
        <w:t xml:space="preserve">Es pertinente resaltar que en el evento en que la entidad determine la necesidad de exigir capacidad financiera en un proceso de mínima cuantía, no podrá requerir la presentación del RUP para realizar dicha verificación. En efecto, de conformidad con el artículo 6 de la Ley 1150 de 2007 </w:t>
      </w:r>
      <w:r w:rsidRPr="00A24733">
        <w:rPr>
          <w:rFonts w:ascii="Arial" w:eastAsia="Calibri" w:hAnsi="Arial" w:cs="Arial"/>
          <w:color w:val="000000"/>
          <w:szCs w:val="24"/>
          <w:lang w:val="es-ES" w:eastAsia="es-ES_tradnl"/>
        </w:rPr>
        <w:t xml:space="preserve">el RUP no es exigible en algunos procedimientos de contratación, como en la contratación directa, </w:t>
      </w:r>
      <w:r w:rsidRPr="00A24733">
        <w:rPr>
          <w:rFonts w:ascii="Arial" w:eastAsia="Calibri" w:hAnsi="Arial" w:cs="Arial"/>
          <w:i/>
          <w:iCs/>
          <w:color w:val="000000"/>
          <w:szCs w:val="24"/>
          <w:lang w:val="es-ES" w:eastAsia="es-ES_tradnl"/>
        </w:rPr>
        <w:t>la mínima cuantía</w:t>
      </w:r>
      <w:r w:rsidRPr="00A24733">
        <w:rPr>
          <w:rFonts w:ascii="Arial" w:eastAsia="Calibri" w:hAnsi="Arial" w:cs="Arial"/>
          <w:color w:val="000000"/>
          <w:szCs w:val="24"/>
          <w:lang w:val="es-ES" w:eastAsia="es-ES_tradnl"/>
        </w:rPr>
        <w:t xml:space="preserve">, la prestación de servicios de salud, enajenación de bienes del Estado, la adquisición de productos de origen o destinación agropecuaria ofrecidos en bolsas de productos, los contratos de concesión y los contratos que celebren las empresas industriales y </w:t>
      </w:r>
      <w:r w:rsidRPr="00A24733">
        <w:rPr>
          <w:rFonts w:ascii="Arial" w:eastAsia="Calibri" w:hAnsi="Arial" w:cs="Arial"/>
          <w:color w:val="000000"/>
          <w:szCs w:val="24"/>
          <w:lang w:val="es-ES" w:eastAsia="es-ES_tradnl"/>
        </w:rPr>
        <w:lastRenderedPageBreak/>
        <w:t>comerciales del Estado y las sociedades de economía mixta, que tengan por objeto el desarrollo de sus actividades industriales y comerciales</w:t>
      </w:r>
      <w:r w:rsidRPr="00A24733">
        <w:rPr>
          <w:rFonts w:ascii="Arial" w:eastAsia="Calibri" w:hAnsi="Arial" w:cs="Arial"/>
          <w:color w:val="000000"/>
          <w:szCs w:val="24"/>
          <w:vertAlign w:val="superscript"/>
          <w:lang w:val="es-ES" w:eastAsia="es-ES_tradnl"/>
        </w:rPr>
        <w:footnoteReference w:id="9"/>
      </w:r>
      <w:r w:rsidRPr="00A24733">
        <w:rPr>
          <w:rFonts w:ascii="Arial" w:eastAsia="Calibri" w:hAnsi="Arial" w:cs="Arial"/>
          <w:color w:val="000000"/>
          <w:szCs w:val="24"/>
          <w:lang w:val="es-ES" w:eastAsia="es-ES_tradnl"/>
        </w:rPr>
        <w:t xml:space="preserve">. </w:t>
      </w:r>
    </w:p>
    <w:p w14:paraId="7B2C513A" w14:textId="77777777" w:rsidR="00A24733" w:rsidRPr="00A24733" w:rsidRDefault="00A24733" w:rsidP="00A24733">
      <w:pPr>
        <w:spacing w:after="120" w:line="276" w:lineRule="auto"/>
        <w:ind w:firstLine="709"/>
        <w:jc w:val="both"/>
        <w:rPr>
          <w:rFonts w:ascii="Arial" w:eastAsia="Calibri" w:hAnsi="Arial" w:cs="Arial"/>
          <w:color w:val="000000"/>
          <w:szCs w:val="24"/>
          <w:lang w:val="es-ES" w:eastAsia="es-ES_tradnl"/>
        </w:rPr>
      </w:pPr>
      <w:r w:rsidRPr="00A24733">
        <w:rPr>
          <w:rFonts w:ascii="Arial" w:eastAsia="Calibri" w:hAnsi="Arial" w:cs="Arial"/>
          <w:color w:val="000000"/>
          <w:szCs w:val="24"/>
          <w:lang w:val="es-ES" w:eastAsia="es-ES_tradnl"/>
        </w:rPr>
        <w:t>Por ello, las entidades estatales deben verificar directamente el cumplimiento de los requisitos habilitantes, como establece en inciso segundo del artículo 6 de la Ley 1150 de 2007. Las indicadas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w:t>
      </w:r>
      <w:r w:rsidRPr="00A24733">
        <w:rPr>
          <w:rFonts w:ascii="Arial" w:eastAsia="Calibri" w:hAnsi="Arial" w:cs="Arial"/>
          <w:color w:val="000000"/>
          <w:szCs w:val="24"/>
          <w:vertAlign w:val="superscript"/>
          <w:lang w:val="es-ES" w:eastAsia="es-ES_tradnl"/>
        </w:rPr>
        <w:footnoteReference w:id="10"/>
      </w:r>
      <w:r w:rsidRPr="00A24733">
        <w:rPr>
          <w:rFonts w:ascii="Arial" w:eastAsia="Calibri" w:hAnsi="Arial" w:cs="Arial"/>
          <w:color w:val="000000"/>
          <w:szCs w:val="24"/>
          <w:lang w:val="es-ES" w:eastAsia="es-ES_tradnl"/>
        </w:rPr>
        <w:t xml:space="preserve">. </w:t>
      </w:r>
    </w:p>
    <w:p w14:paraId="6E3522C4" w14:textId="77777777" w:rsidR="00A24733" w:rsidRPr="00A24733" w:rsidRDefault="00A24733" w:rsidP="00A24733">
      <w:pPr>
        <w:spacing w:after="120" w:line="276" w:lineRule="auto"/>
        <w:ind w:firstLine="709"/>
        <w:jc w:val="both"/>
        <w:rPr>
          <w:rFonts w:ascii="Arial" w:eastAsia="Calibri" w:hAnsi="Arial" w:cs="Arial"/>
          <w:color w:val="000000"/>
          <w:szCs w:val="24"/>
          <w:lang w:val="es-ES" w:eastAsia="es-ES_tradnl"/>
        </w:rPr>
      </w:pPr>
      <w:r w:rsidRPr="00A24733">
        <w:rPr>
          <w:rFonts w:ascii="Arial" w:eastAsia="Calibri" w:hAnsi="Arial" w:cs="Arial"/>
          <w:color w:val="000000"/>
          <w:szCs w:val="24"/>
          <w:lang w:val="es-ES" w:eastAsia="es-ES_tradnl"/>
        </w:rPr>
        <w:t>En tal sentido, la evaluación de la capacidad financiera, así como el requisito de experiencia en los procesos de selección de mínima cuantía, cuando estas condiciones se requieran, se realizará en los términos establecidos en la invitación, pues las entidades estatales cuentan con discrecionalidad para regular este aspecto, de acuerdo con lo explicado, sin que sea posible exigir la presentación del RUP.</w:t>
      </w:r>
    </w:p>
    <w:p w14:paraId="0783AD6C" w14:textId="77777777" w:rsidR="00A24733" w:rsidRPr="00A24733" w:rsidRDefault="00A24733" w:rsidP="00A24733">
      <w:pPr>
        <w:spacing w:after="120" w:line="276" w:lineRule="auto"/>
        <w:ind w:firstLine="709"/>
        <w:jc w:val="both"/>
        <w:rPr>
          <w:rFonts w:ascii="Arial" w:eastAsia="Calibri" w:hAnsi="Arial" w:cs="Arial"/>
          <w:color w:val="000000"/>
          <w:szCs w:val="24"/>
          <w:lang w:val="es-ES" w:eastAsia="es-ES_tradnl"/>
        </w:rPr>
      </w:pPr>
      <w:proofErr w:type="spellStart"/>
      <w:r w:rsidRPr="00A24733">
        <w:rPr>
          <w:rFonts w:ascii="Arial" w:eastAsia="Calibri" w:hAnsi="Arial" w:cs="Arial"/>
          <w:color w:val="000000"/>
          <w:szCs w:val="24"/>
          <w:lang w:val="es-ES_tradnl" w:eastAsia="es-ES_tradnl"/>
        </w:rPr>
        <w:t>iv</w:t>
      </w:r>
      <w:proofErr w:type="spellEnd"/>
      <w:r w:rsidRPr="00A24733">
        <w:rPr>
          <w:rFonts w:ascii="Arial" w:eastAsia="Calibri" w:hAnsi="Arial" w:cs="Arial"/>
          <w:color w:val="000000"/>
          <w:szCs w:val="24"/>
          <w:lang w:val="es-ES_tradnl" w:eastAsia="es-ES_tradnl"/>
        </w:rPr>
        <w:t xml:space="preserve">) La invitación se debe publicar por un término no inferior a un (1) día hábil, para que </w:t>
      </w:r>
      <w:r w:rsidRPr="00A24733">
        <w:rPr>
          <w:rFonts w:ascii="Arial" w:eastAsia="Calibri" w:hAnsi="Arial" w:cs="Arial"/>
          <w:color w:val="000000"/>
          <w:szCs w:val="24"/>
          <w:lang w:eastAsia="es-ES_tradnl"/>
        </w:rPr>
        <w:t>los interesados se informen de su contenido y formulen observaciones o comentarios.</w:t>
      </w:r>
      <w:r w:rsidRPr="00A24733">
        <w:rPr>
          <w:rFonts w:ascii="Arial" w:eastAsia="Calibri" w:hAnsi="Arial" w:cs="Arial"/>
          <w:color w:val="000000"/>
          <w:szCs w:val="24"/>
          <w:lang w:val="es-ES_tradnl" w:eastAsia="es-ES_tradnl"/>
        </w:rPr>
        <w:t xml:space="preserve"> En este plazo </w:t>
      </w:r>
      <w:r w:rsidRPr="00A24733">
        <w:rPr>
          <w:rFonts w:ascii="Arial" w:eastAsia="Calibri" w:hAnsi="Arial" w:cs="Arial"/>
          <w:color w:val="000000"/>
          <w:szCs w:val="24"/>
          <w:lang w:eastAsia="es-ES_tradnl"/>
        </w:rPr>
        <w:t xml:space="preserve">se podrán presentar las solicitudes para limitar la convocatoria a Mipyme colombianas. Este último aspecto materializa la posibilidad de </w:t>
      </w:r>
      <w:r w:rsidRPr="00A24733">
        <w:rPr>
          <w:rFonts w:ascii="Arial" w:eastAsia="Calibri" w:hAnsi="Arial" w:cs="Arial"/>
          <w:bCs/>
          <w:color w:val="000000"/>
          <w:lang w:val="es-ES_tradnl"/>
        </w:rPr>
        <w:t>limitar las convocatorias a Mipyme</w:t>
      </w:r>
      <w:r w:rsidRPr="00A24733">
        <w:rPr>
          <w:rFonts w:ascii="Arial" w:eastAsia="Calibri" w:hAnsi="Arial" w:cs="Arial"/>
          <w:color w:val="000000"/>
          <w:szCs w:val="24"/>
          <w:lang w:eastAsia="es-ES_tradnl"/>
        </w:rPr>
        <w:t xml:space="preserve"> en estos procesos de selección</w:t>
      </w:r>
      <w:r w:rsidRPr="00A24733">
        <w:rPr>
          <w:rFonts w:ascii="Arial" w:eastAsia="Calibri" w:hAnsi="Arial" w:cs="Arial"/>
          <w:bCs/>
          <w:color w:val="000000"/>
          <w:lang w:val="es-ES_tradnl"/>
        </w:rPr>
        <w:t>, conforme lo establece el artículo 30 de la Ley 2069 de 2020.</w:t>
      </w:r>
    </w:p>
    <w:p w14:paraId="61A0B138"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val="es-ES_tradnl" w:eastAsia="es-ES_tradnl"/>
        </w:rPr>
        <w:t xml:space="preserve">v) Las observaciones que realicen los interesados deben responderse por la entidad estatal a más tardar antes del inicio del plazo para presentar las ofertas. </w:t>
      </w:r>
    </w:p>
    <w:p w14:paraId="6CBB98E4"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val="es-ES_tradnl" w:eastAsia="es-ES_tradnl"/>
        </w:rPr>
        <w:t xml:space="preserve">vi) En la invitación se deberá incluir un cronograma que tenga en cuenta los términos mínimos establecidos en el artículo </w:t>
      </w:r>
      <w:r w:rsidRPr="00A24733">
        <w:rPr>
          <w:rFonts w:ascii="Arial" w:eastAsia="Calibri" w:hAnsi="Arial" w:cs="Arial"/>
          <w:bCs/>
          <w:color w:val="000000"/>
          <w:szCs w:val="24"/>
          <w:lang w:val="es-ES_tradnl" w:eastAsia="es-ES_tradnl"/>
        </w:rPr>
        <w:t>2.2.1.2.1.5.2. del Decreto 1082 de 2015</w:t>
      </w:r>
      <w:r w:rsidRPr="00A24733">
        <w:rPr>
          <w:rFonts w:ascii="Arial" w:eastAsia="Calibri" w:hAnsi="Arial" w:cs="Arial"/>
          <w:color w:val="000000"/>
          <w:szCs w:val="24"/>
          <w:lang w:eastAsia="es-ES_tradnl"/>
        </w:rPr>
        <w:t xml:space="preserve">, así como: a) el término dentro del cual la entidad responderá las observaciones; b) el término hasta el cual podrá </w:t>
      </w:r>
      <w:r w:rsidRPr="00A24733">
        <w:rPr>
          <w:rFonts w:ascii="Arial" w:eastAsia="Calibri" w:hAnsi="Arial" w:cs="Arial"/>
          <w:color w:val="000000"/>
          <w:szCs w:val="24"/>
          <w:lang w:eastAsia="es-ES_tradnl"/>
        </w:rPr>
        <w:lastRenderedPageBreak/>
        <w:t>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c) el momento en que publicará un aviso en el SECOP precisando si el proceso efectivamente se limitó a Mipyme o si podrá participar cualquier otro interesado; d) finalmente, se dispondrá un término adicional dentro del cual los proponentes podrán presentar sus ofertas, el cual será de mínimo un (1) día hábil luego de publicado el aviso en que se informe si el proceso se limita o no a Mipyme.</w:t>
      </w:r>
    </w:p>
    <w:p w14:paraId="73E56414"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proofErr w:type="spellStart"/>
      <w:r w:rsidRPr="00A24733">
        <w:rPr>
          <w:rFonts w:ascii="Arial" w:eastAsia="Calibri" w:hAnsi="Arial" w:cs="Arial"/>
          <w:color w:val="000000"/>
          <w:szCs w:val="24"/>
          <w:lang w:val="es-ES_tradnl" w:eastAsia="es-ES_tradnl"/>
        </w:rPr>
        <w:t>vii</w:t>
      </w:r>
      <w:proofErr w:type="spellEnd"/>
      <w:r w:rsidRPr="00A24733">
        <w:rPr>
          <w:rFonts w:ascii="Arial" w:eastAsia="Calibri" w:hAnsi="Arial" w:cs="Arial"/>
          <w:color w:val="000000"/>
          <w:szCs w:val="24"/>
          <w:lang w:val="es-ES_tradnl" w:eastAsia="es-ES_tradnl"/>
        </w:rPr>
        <w:t>) Presentadas las propuestas, la entidad estatal debe revisar las ofertas económicas y verificar que la del menor precio cumpla con los requisitos de participación. Si no los satisface, debe revisar la oferta económica en el segundo mejor precio y así sucesivamente. Esto significa que en la mínima cuantía el precio es el único factor de calificación o asignación de puntaje</w:t>
      </w:r>
      <w:r w:rsidRPr="00A24733">
        <w:rPr>
          <w:rFonts w:ascii="Arial" w:eastAsia="Calibri" w:hAnsi="Arial" w:cs="Arial"/>
          <w:color w:val="000000"/>
          <w:szCs w:val="24"/>
          <w:vertAlign w:val="superscript"/>
          <w:lang w:val="es-ES_tradnl" w:eastAsia="es-ES_tradnl"/>
        </w:rPr>
        <w:footnoteReference w:id="11"/>
      </w:r>
      <w:r w:rsidRPr="00A24733">
        <w:rPr>
          <w:rFonts w:ascii="Arial" w:eastAsia="Calibri" w:hAnsi="Arial" w:cs="Arial"/>
          <w:color w:val="000000"/>
          <w:szCs w:val="24"/>
          <w:lang w:val="es-ES_tradnl" w:eastAsia="es-ES_tradnl"/>
        </w:rPr>
        <w:t xml:space="preserve">. </w:t>
      </w:r>
    </w:p>
    <w:p w14:paraId="423D39D8"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eastAsia="es-ES_tradnl"/>
        </w:rPr>
        <w:t>Respecto de los requisitos de participación, las entidades deberán otorgar la oportunidad para subsanar las ofertas en los términos del artículo </w:t>
      </w:r>
      <w:hyperlink r:id="rId12" w:anchor="5" w:history="1">
        <w:r w:rsidRPr="00A24733">
          <w:rPr>
            <w:rFonts w:ascii="Arial" w:eastAsia="Calibri" w:hAnsi="Arial" w:cs="Arial"/>
            <w:color w:val="000000"/>
            <w:szCs w:val="24"/>
            <w:lang w:eastAsia="es-ES_tradnl"/>
          </w:rPr>
          <w:t>5 </w:t>
        </w:r>
      </w:hyperlink>
      <w:r w:rsidRPr="00A24733">
        <w:rPr>
          <w:rFonts w:ascii="Arial" w:eastAsia="Calibri" w:hAnsi="Arial" w:cs="Arial"/>
          <w:color w:val="000000"/>
          <w:szCs w:val="24"/>
          <w:lang w:eastAsia="es-ES_tradnl"/>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41E0E092"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proofErr w:type="spellStart"/>
      <w:r w:rsidRPr="00A24733">
        <w:rPr>
          <w:rFonts w:ascii="Arial" w:eastAsia="Calibri" w:hAnsi="Arial" w:cs="Arial"/>
          <w:color w:val="000000"/>
          <w:szCs w:val="24"/>
          <w:lang w:val="es-ES_tradnl" w:eastAsia="es-ES_tradnl"/>
        </w:rPr>
        <w:t>viii</w:t>
      </w:r>
      <w:proofErr w:type="spellEnd"/>
      <w:r w:rsidRPr="00A24733">
        <w:rPr>
          <w:rFonts w:ascii="Arial" w:eastAsia="Calibri" w:hAnsi="Arial" w:cs="Arial"/>
          <w:color w:val="000000"/>
          <w:szCs w:val="24"/>
          <w:lang w:val="es-ES_tradnl" w:eastAsia="es-ES_tradnl"/>
        </w:rPr>
        <w:t>) El informe de evaluación se debe publicar durante mínimo un (1) día hábil.</w:t>
      </w:r>
    </w:p>
    <w:p w14:paraId="6B14175B"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proofErr w:type="spellStart"/>
      <w:r w:rsidRPr="00A24733">
        <w:rPr>
          <w:rFonts w:ascii="Arial" w:eastAsia="Calibri" w:hAnsi="Arial" w:cs="Arial"/>
          <w:color w:val="000000"/>
          <w:szCs w:val="24"/>
          <w:lang w:val="es-ES_tradnl" w:eastAsia="es-ES_tradnl"/>
        </w:rPr>
        <w:t>ix</w:t>
      </w:r>
      <w:proofErr w:type="spellEnd"/>
      <w:r w:rsidRPr="00A24733">
        <w:rPr>
          <w:rFonts w:ascii="Arial" w:eastAsia="Calibri" w:hAnsi="Arial" w:cs="Arial"/>
          <w:color w:val="000000"/>
          <w:szCs w:val="24"/>
          <w:lang w:val="es-ES_tradnl" w:eastAsia="es-ES_tradnl"/>
        </w:rPr>
        <w:t xml:space="preserve">) </w:t>
      </w:r>
      <w:r w:rsidRPr="00A24733">
        <w:rPr>
          <w:rFonts w:ascii="Arial" w:eastAsia="Calibri" w:hAnsi="Arial" w:cs="Arial"/>
          <w:color w:val="000000"/>
          <w:szCs w:val="24"/>
          <w:lang w:eastAsia="es-ES_tradnl"/>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A24733">
        <w:rPr>
          <w:rFonts w:ascii="Arial" w:eastAsia="Calibri" w:hAnsi="Arial" w:cs="Arial"/>
          <w:color w:val="000000"/>
          <w:szCs w:val="24"/>
          <w:lang w:val="es-ES_tradnl" w:eastAsia="es-ES_tradnl"/>
        </w:rPr>
        <w:t xml:space="preserve"> En tal sentido, el contrato se perfecciona con la comunicación de aceptación de la oferta que envía la entidad estatal al proponente que presentó la oferta económica de menor precio, no requiriéndose, entonces, de la suscripción de una minuta. </w:t>
      </w:r>
    </w:p>
    <w:p w14:paraId="7CD0E17C" w14:textId="77777777" w:rsidR="00A24733" w:rsidRPr="00A24733" w:rsidRDefault="00A24733" w:rsidP="00A24733">
      <w:pPr>
        <w:spacing w:after="120" w:line="276" w:lineRule="auto"/>
        <w:ind w:firstLine="709"/>
        <w:jc w:val="both"/>
        <w:rPr>
          <w:rFonts w:ascii="Arial" w:eastAsia="Calibri" w:hAnsi="Arial" w:cs="Arial"/>
          <w:color w:val="000000"/>
          <w:szCs w:val="24"/>
          <w:lang w:val="es-ES_tradnl" w:eastAsia="es-ES_tradnl"/>
        </w:rPr>
      </w:pPr>
      <w:r w:rsidRPr="00A24733">
        <w:rPr>
          <w:rFonts w:ascii="Arial" w:eastAsia="Calibri" w:hAnsi="Arial" w:cs="Arial"/>
          <w:color w:val="000000"/>
          <w:szCs w:val="24"/>
          <w:lang w:val="es-ES_tradnl" w:eastAsia="es-ES_tradnl"/>
        </w:rPr>
        <w:t>x) De existir empate, l</w:t>
      </w:r>
      <w:r w:rsidRPr="00A24733">
        <w:rPr>
          <w:rFonts w:ascii="Arial" w:eastAsia="Calibri" w:hAnsi="Arial" w:cs="Arial"/>
          <w:color w:val="000000"/>
          <w:szCs w:val="24"/>
          <w:lang w:eastAsia="es-ES_tradnl"/>
        </w:rPr>
        <w:t>a entidad aplicará los criterios de que trata el artículo </w:t>
      </w:r>
      <w:hyperlink r:id="rId13" w:anchor="35" w:history="1">
        <w:r w:rsidRPr="00A24733">
          <w:rPr>
            <w:rFonts w:ascii="Arial" w:eastAsia="Calibri" w:hAnsi="Arial" w:cs="Arial"/>
            <w:color w:val="000000"/>
            <w:szCs w:val="24"/>
            <w:lang w:eastAsia="es-ES_tradnl"/>
          </w:rPr>
          <w:t>35 </w:t>
        </w:r>
      </w:hyperlink>
      <w:r w:rsidRPr="00A24733">
        <w:rPr>
          <w:rFonts w:ascii="Arial" w:eastAsia="Calibri" w:hAnsi="Arial" w:cs="Arial"/>
          <w:color w:val="000000"/>
          <w:szCs w:val="24"/>
          <w:lang w:eastAsia="es-ES_tradnl"/>
        </w:rPr>
        <w:t>de la Ley 2069 de 2020, conforme a los medíos de acreditación del artículo 2.2.1.2.4.2.17. del Decreto 1082 de 2015 o las normas que los modifiquen, adicionen o sustituyan.</w:t>
      </w:r>
      <w:r w:rsidRPr="00A24733">
        <w:rPr>
          <w:rFonts w:ascii="Arial" w:eastAsia="Calibri" w:hAnsi="Arial" w:cs="Arial"/>
          <w:szCs w:val="24"/>
          <w:lang w:val="es-ES_tradnl" w:eastAsia="es-ES_tradnl"/>
        </w:rPr>
        <w:t xml:space="preserve"> Esta disposición se ajusta a la nueva regulación de criterios de desempate establecida en el artículo 35 de la Ley 2069 de 2020.</w:t>
      </w:r>
    </w:p>
    <w:p w14:paraId="746753BF" w14:textId="77777777" w:rsidR="00A24733" w:rsidRPr="00A24733" w:rsidRDefault="00A24733" w:rsidP="00A24733">
      <w:pPr>
        <w:spacing w:after="0" w:line="276" w:lineRule="auto"/>
        <w:ind w:firstLine="708"/>
        <w:jc w:val="both"/>
        <w:rPr>
          <w:rFonts w:ascii="Arial" w:eastAsia="Calibri" w:hAnsi="Arial" w:cs="Arial"/>
          <w:szCs w:val="24"/>
          <w:lang w:eastAsia="es-ES_tradnl"/>
        </w:rPr>
      </w:pPr>
      <w:r w:rsidRPr="00A24733">
        <w:rPr>
          <w:rFonts w:ascii="Arial" w:eastAsia="Calibri" w:hAnsi="Arial" w:cs="Arial"/>
          <w:szCs w:val="24"/>
          <w:lang w:eastAsia="es-ES_tradnl"/>
        </w:rPr>
        <w:t xml:space="preserve">En esta medida, el procedimiento de selección de mínima cuantía está regulado en el artículo 2, numeral 5, de la Ley 1150 de 2007 y en el Libro 2, Parte 2, Título 1, Capítulo 2, Sección </w:t>
      </w:r>
      <w:r w:rsidRPr="00A24733">
        <w:rPr>
          <w:rFonts w:ascii="Arial" w:eastAsia="Calibri" w:hAnsi="Arial" w:cs="Arial"/>
          <w:szCs w:val="24"/>
          <w:lang w:eastAsia="es-ES_tradnl"/>
        </w:rPr>
        <w:lastRenderedPageBreak/>
        <w:t xml:space="preserve">1, Subsección 5 del Decreto 1082 de 2015, modificado por el Decreto 1860 de 2021, con la particularidad de que el trámite solo sigue las reglas señaladas, razón por la cual no es posible aplicar disposiciones diferentes a las allí previstas. </w:t>
      </w:r>
    </w:p>
    <w:p w14:paraId="3B04B069" w14:textId="77777777" w:rsidR="00A24733" w:rsidRPr="00A24733" w:rsidRDefault="00A24733" w:rsidP="00A24733">
      <w:pPr>
        <w:spacing w:after="0" w:line="240" w:lineRule="auto"/>
        <w:ind w:right="709"/>
        <w:jc w:val="both"/>
        <w:rPr>
          <w:rFonts w:ascii="Arial" w:eastAsia="Calibri" w:hAnsi="Arial" w:cs="Arial"/>
          <w:b/>
          <w:bCs/>
          <w:color w:val="000000"/>
          <w:lang w:val="es-ES_tradnl" w:eastAsia="es-ES_tradnl"/>
        </w:rPr>
      </w:pPr>
    </w:p>
    <w:p w14:paraId="3DF086E2" w14:textId="77777777" w:rsidR="00A24733" w:rsidRPr="00A24733" w:rsidRDefault="00A24733" w:rsidP="00A24733">
      <w:pPr>
        <w:tabs>
          <w:tab w:val="left" w:pos="0"/>
        </w:tabs>
        <w:spacing w:after="120" w:line="276" w:lineRule="auto"/>
        <w:contextualSpacing/>
        <w:jc w:val="both"/>
        <w:rPr>
          <w:rFonts w:ascii="Arial" w:eastAsia="Calibri" w:hAnsi="Arial" w:cs="Arial"/>
          <w:b/>
          <w:lang w:val="es-ES"/>
        </w:rPr>
      </w:pPr>
      <w:r w:rsidRPr="00A24733">
        <w:rPr>
          <w:rFonts w:ascii="Arial" w:eastAsia="Calibri" w:hAnsi="Arial" w:cs="Arial"/>
          <w:b/>
          <w:lang w:val="es-ES"/>
        </w:rPr>
        <w:t>2.2. Cómputo del término para presentar ofertas en procesos de mínima cuantía limitados a MiPymes</w:t>
      </w:r>
    </w:p>
    <w:p w14:paraId="4F7364AB" w14:textId="77777777" w:rsidR="00A24733" w:rsidRPr="00A24733" w:rsidRDefault="00A24733" w:rsidP="00A24733">
      <w:pPr>
        <w:tabs>
          <w:tab w:val="left" w:pos="0"/>
        </w:tabs>
        <w:spacing w:after="0" w:line="276" w:lineRule="auto"/>
        <w:jc w:val="both"/>
        <w:rPr>
          <w:rFonts w:ascii="Arial" w:eastAsia="Calibri" w:hAnsi="Arial" w:cs="Arial"/>
          <w:bCs/>
          <w:lang w:val="es-ES"/>
        </w:rPr>
      </w:pPr>
    </w:p>
    <w:p w14:paraId="18E9C26D"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El numeral 5 del artículo 2 de la Ley 1150 de 2007, adicionado por el artículo el artículo 94 de la Ley 1474 de 2011 y modificado por el artículo 30 de la Ley 2069 de 2020,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Pr="00A24733">
        <w:rPr>
          <w:rFonts w:ascii="Arial" w:eastAsia="Calibri" w:hAnsi="Arial" w:cs="Arial"/>
          <w:bCs/>
          <w:vertAlign w:val="superscript"/>
          <w:lang w:val="es-ES"/>
        </w:rPr>
        <w:footnoteReference w:id="12"/>
      </w:r>
      <w:r w:rsidRPr="00A24733">
        <w:rPr>
          <w:rFonts w:ascii="Arial" w:eastAsia="Calibri" w:hAnsi="Arial" w:cs="Arial"/>
          <w:bCs/>
          <w:lang w:val="es-ES"/>
        </w:rPr>
        <w:t xml:space="preserve">. </w:t>
      </w:r>
    </w:p>
    <w:p w14:paraId="5AD47BF4" w14:textId="48AACD9D"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Por su parte, el artículo 2.2.1.2.1.5.2 del Decreto 1082 de 2015 –modificado por el Decreto 1860 de 2021–</w:t>
      </w:r>
      <w:r w:rsidRPr="00A24733">
        <w:rPr>
          <w:rFonts w:ascii="Arial" w:eastAsia="Calibri" w:hAnsi="Arial" w:cs="Arial"/>
          <w:bCs/>
          <w:vertAlign w:val="superscript"/>
          <w:lang w:val="es-ES"/>
        </w:rPr>
        <w:footnoteReference w:id="13"/>
      </w:r>
      <w:r w:rsidRPr="00A24733">
        <w:rPr>
          <w:rFonts w:ascii="Arial" w:eastAsia="Calibri" w:hAnsi="Arial" w:cs="Arial"/>
          <w:bCs/>
          <w:lang w:val="es-ES"/>
        </w:rPr>
        <w:t xml:space="preserve">, al reglamentar el procedimiento de esta modalidad de escogencia, establece, en el numeral 3, que “[l]a invitación se publicará por un término no inferior a un (1) día </w:t>
      </w:r>
      <w:proofErr w:type="spellStart"/>
      <w:r w:rsidRPr="00A24733">
        <w:rPr>
          <w:rFonts w:ascii="Arial" w:eastAsia="Calibri" w:hAnsi="Arial" w:cs="Arial"/>
          <w:bCs/>
          <w:lang w:val="es-ES"/>
        </w:rPr>
        <w:t>hábill</w:t>
      </w:r>
      <w:proofErr w:type="spellEnd"/>
      <w:r w:rsidRPr="00A24733">
        <w:rPr>
          <w:rFonts w:ascii="Arial" w:eastAsia="Calibri" w:hAnsi="Arial" w:cs="Arial"/>
          <w:bCs/>
          <w:lang w:val="es-ES"/>
        </w:rPr>
        <w:t xml:space="preserve">, y en el numeral 4, que “se dispondrá un término adicional dentro del cual los proponentes podrán presentar sus ofertas, el cual será de mínimo un (1) día hábil luego de publicado el aviso en que se informe si el proceso se limita o no a Mipyme” </w:t>
      </w:r>
      <w:r w:rsidRPr="00A24733">
        <w:rPr>
          <w:rFonts w:ascii="Arial" w:eastAsia="Calibri" w:hAnsi="Arial" w:cs="Arial"/>
          <w:bCs/>
          <w:vertAlign w:val="superscript"/>
          <w:lang w:val="es-ES"/>
        </w:rPr>
        <w:footnoteReference w:id="14"/>
      </w:r>
      <w:r w:rsidRPr="00A24733">
        <w:rPr>
          <w:rFonts w:ascii="Arial" w:eastAsia="Calibri" w:hAnsi="Arial" w:cs="Arial"/>
          <w:bCs/>
          <w:lang w:val="es-ES"/>
        </w:rPr>
        <w:t>.</w:t>
      </w:r>
    </w:p>
    <w:p w14:paraId="24A42DDD" w14:textId="77777777" w:rsidR="00A24733" w:rsidRPr="00A24733" w:rsidRDefault="00A24733" w:rsidP="00A24733">
      <w:pPr>
        <w:tabs>
          <w:tab w:val="left" w:pos="0"/>
        </w:tabs>
        <w:spacing w:after="120" w:line="276" w:lineRule="auto"/>
        <w:ind w:firstLine="709"/>
        <w:jc w:val="both"/>
        <w:rPr>
          <w:rFonts w:ascii="Arial" w:eastAsia="Calibri" w:hAnsi="Arial" w:cs="Arial"/>
          <w:bCs/>
          <w:lang w:val="es-ES"/>
        </w:rPr>
      </w:pPr>
      <w:r w:rsidRPr="00A24733">
        <w:rPr>
          <w:rFonts w:ascii="Arial" w:eastAsia="Calibri" w:hAnsi="Arial" w:cs="Arial"/>
          <w:bCs/>
          <w:lang w:val="es-ES"/>
        </w:rPr>
        <w:lastRenderedPageBreak/>
        <w:t xml:space="preserve">Conviene insistir en que el día hábil al que se refiere la ley es un tiempo mínimo, porque las entidades tienen la facultad de estructurar procesos con plazos mayores para presentar ofertas, al no establecerse en la ley un tiempo máximo, lo cual resulta recomendable para la </w:t>
      </w:r>
      <w:r w:rsidRPr="00A24733">
        <w:rPr>
          <w:rFonts w:ascii="Arial" w:eastAsia="Calibri" w:hAnsi="Arial" w:cs="Arial"/>
          <w:bCs/>
          <w:lang w:val="es-ES"/>
        </w:rPr>
        <w:lastRenderedPageBreak/>
        <w:t>concurrencia de oferentes, sin perjuicio de la finalidad de esta modalidad de selección, que propende por la provisión pronta y ágil de los bienes de las entidades estatales.</w:t>
      </w:r>
    </w:p>
    <w:p w14:paraId="4980322E" w14:textId="77777777" w:rsidR="00A24733" w:rsidRPr="00A24733" w:rsidRDefault="00A24733" w:rsidP="00A24733">
      <w:pPr>
        <w:tabs>
          <w:tab w:val="left" w:pos="0"/>
        </w:tabs>
        <w:spacing w:before="120" w:after="120" w:line="276" w:lineRule="auto"/>
        <w:jc w:val="both"/>
        <w:rPr>
          <w:rFonts w:ascii="Arial" w:eastAsia="Calibri" w:hAnsi="Arial" w:cs="Arial"/>
          <w:bCs/>
          <w:lang w:val="es-ES"/>
        </w:rPr>
      </w:pPr>
      <w:r w:rsidRPr="00A24733">
        <w:rPr>
          <w:rFonts w:ascii="Arial" w:eastAsia="Calibri" w:hAnsi="Arial" w:cs="Arial"/>
          <w:bCs/>
          <w:lang w:val="es-ES"/>
        </w:rPr>
        <w:tab/>
        <w:t xml:space="preserve">  </w:t>
      </w:r>
      <w:r w:rsidRPr="00A24733">
        <w:rPr>
          <w:rFonts w:ascii="Arial" w:eastAsia="Calibri" w:hAnsi="Arial" w:cs="Arial"/>
          <w:bCs/>
          <w:lang w:val="es-MX"/>
        </w:rPr>
        <w:t>Debe reconocerse que no existe una acepción unívoca de día hábil, pues no existe certidumbre de cuáles son los días de la semana que pueden entenderse como hábiles, y ello en principio posibilita que las entidades regulen de manera disímil los términos de la modalidad de selección que aquí se trata</w:t>
      </w:r>
      <w:r w:rsidRPr="00A24733">
        <w:rPr>
          <w:rFonts w:ascii="Arial" w:eastAsia="Calibri" w:hAnsi="Arial" w:cs="Arial"/>
          <w:bCs/>
          <w:lang w:val="es-ES"/>
        </w:rPr>
        <w:t xml:space="preserve">. </w:t>
      </w:r>
    </w:p>
    <w:p w14:paraId="5611DFB5" w14:textId="77777777" w:rsidR="00A24733" w:rsidRPr="00A24733" w:rsidRDefault="00A24733" w:rsidP="00A24733">
      <w:pPr>
        <w:tabs>
          <w:tab w:val="left" w:pos="0"/>
        </w:tabs>
        <w:spacing w:before="120" w:after="120" w:line="276" w:lineRule="auto"/>
        <w:jc w:val="both"/>
        <w:rPr>
          <w:rFonts w:ascii="Arial" w:eastAsia="Calibri" w:hAnsi="Arial" w:cs="Arial"/>
          <w:bCs/>
          <w:lang w:val="es-ES"/>
        </w:rPr>
      </w:pPr>
      <w:r w:rsidRPr="00A24733">
        <w:rPr>
          <w:rFonts w:ascii="Arial" w:eastAsia="Calibri" w:hAnsi="Arial" w:cs="Arial"/>
          <w:bCs/>
          <w:lang w:val="es-ES"/>
        </w:rPr>
        <w:tab/>
        <w:t>La ausencia de definición legal de día hábil autoriza acudir al sentido natural y obvio de la palabra hábil,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A24733">
        <w:rPr>
          <w:rFonts w:ascii="Arial" w:eastAsia="Calibri" w:hAnsi="Arial" w:cs="Arial"/>
          <w:bCs/>
          <w:vertAlign w:val="superscript"/>
          <w:lang w:val="es-ES"/>
        </w:rPr>
        <w:footnoteReference w:id="15"/>
      </w:r>
      <w:r w:rsidRPr="00A24733">
        <w:rPr>
          <w:rFonts w:ascii="Arial" w:eastAsia="Calibri" w:hAnsi="Arial" w:cs="Arial"/>
          <w:bCs/>
          <w:lang w:val="es-ES"/>
        </w:rPr>
        <w:t>. La última acepción se ajusta al entendimiento normativo. Sin embargo, no es suficiente para absolver lo que se indaga, en la medida en que corresponde al ordenamiento jurídico establecer cuáles son los días válidos para realizar las actuaciones.</w:t>
      </w:r>
      <w:r w:rsidRPr="00A24733">
        <w:rPr>
          <w:rFonts w:ascii="Arial" w:eastAsia="Calibri" w:hAnsi="Arial" w:cs="Arial"/>
          <w:bCs/>
          <w:lang w:val="es-ES"/>
        </w:rPr>
        <w:tab/>
      </w:r>
    </w:p>
    <w:p w14:paraId="06C00A29" w14:textId="77777777" w:rsidR="00A24733" w:rsidRPr="00A24733" w:rsidRDefault="00A24733" w:rsidP="00A24733">
      <w:pPr>
        <w:tabs>
          <w:tab w:val="left" w:pos="0"/>
        </w:tabs>
        <w:spacing w:before="120" w:after="0" w:line="276" w:lineRule="auto"/>
        <w:jc w:val="both"/>
        <w:rPr>
          <w:rFonts w:ascii="Arial" w:eastAsia="Calibri" w:hAnsi="Arial" w:cs="Arial"/>
          <w:bCs/>
          <w:lang w:val="es-ES"/>
        </w:rPr>
      </w:pPr>
      <w:r w:rsidRPr="00A24733">
        <w:rPr>
          <w:rFonts w:ascii="Arial" w:eastAsia="Calibri" w:hAnsi="Arial" w:cs="Arial"/>
          <w:bCs/>
          <w:lang w:val="es-ES"/>
        </w:rPr>
        <w:tab/>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disponen que:</w:t>
      </w:r>
    </w:p>
    <w:p w14:paraId="10526D7C" w14:textId="77777777" w:rsidR="00A24733" w:rsidRPr="00A24733" w:rsidRDefault="00A24733" w:rsidP="00A24733">
      <w:pPr>
        <w:tabs>
          <w:tab w:val="left" w:pos="0"/>
        </w:tabs>
        <w:spacing w:after="0" w:line="276" w:lineRule="auto"/>
        <w:jc w:val="both"/>
        <w:rPr>
          <w:rFonts w:ascii="Arial" w:eastAsia="Calibri" w:hAnsi="Arial" w:cs="Arial"/>
          <w:bCs/>
          <w:lang w:val="es-ES"/>
        </w:rPr>
      </w:pPr>
    </w:p>
    <w:p w14:paraId="453EF66D" w14:textId="2340BF3A" w:rsidR="00A24733" w:rsidRPr="00A24733" w:rsidRDefault="00401034" w:rsidP="00A24733">
      <w:pPr>
        <w:tabs>
          <w:tab w:val="left" w:pos="0"/>
        </w:tabs>
        <w:spacing w:after="0" w:line="240" w:lineRule="auto"/>
        <w:ind w:left="709" w:right="709"/>
        <w:jc w:val="both"/>
        <w:rPr>
          <w:rFonts w:ascii="Arial" w:eastAsia="Batang" w:hAnsi="Arial" w:cs="Arial"/>
          <w:sz w:val="21"/>
          <w:szCs w:val="21"/>
          <w:lang w:val="es-MX"/>
        </w:rPr>
      </w:pPr>
      <w:r>
        <w:rPr>
          <w:rFonts w:ascii="Arial" w:eastAsia="Batang" w:hAnsi="Arial" w:cs="Arial"/>
          <w:sz w:val="21"/>
          <w:szCs w:val="21"/>
          <w:lang w:val="es-MX"/>
        </w:rPr>
        <w:t>“</w:t>
      </w:r>
      <w:r w:rsidR="00A24733" w:rsidRPr="00A24733">
        <w:rPr>
          <w:rFonts w:ascii="Arial" w:eastAsia="Batang" w:hAnsi="Arial" w:cs="Arial"/>
          <w:sz w:val="21"/>
          <w:szCs w:val="21"/>
          <w:lang w:val="es-MX"/>
        </w:rPr>
        <w:t>Artículo 59.</w:t>
      </w:r>
      <w:r w:rsidR="00A24733" w:rsidRPr="00A24733">
        <w:rPr>
          <w:rFonts w:ascii="Arial" w:eastAsia="Batang" w:hAnsi="Arial" w:cs="Arial"/>
          <w:b/>
          <w:sz w:val="21"/>
          <w:szCs w:val="21"/>
          <w:lang w:val="es-MX"/>
        </w:rPr>
        <w:t> </w:t>
      </w:r>
      <w:r w:rsidR="00A24733" w:rsidRPr="00A24733">
        <w:rPr>
          <w:rFonts w:ascii="Arial" w:eastAsia="Batang" w:hAnsi="Arial" w:cs="Arial"/>
          <w:sz w:val="21"/>
          <w:szCs w:val="21"/>
          <w:lang w:val="es-MX"/>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1B809F46" w14:textId="77777777" w:rsidR="00A24733" w:rsidRPr="00A24733" w:rsidRDefault="00A24733" w:rsidP="00A24733">
      <w:pPr>
        <w:tabs>
          <w:tab w:val="left" w:pos="0"/>
        </w:tabs>
        <w:spacing w:after="120" w:line="240" w:lineRule="auto"/>
        <w:ind w:left="709" w:right="709"/>
        <w:jc w:val="both"/>
        <w:rPr>
          <w:rFonts w:ascii="Arial" w:eastAsia="Batang" w:hAnsi="Arial" w:cs="Arial"/>
          <w:sz w:val="21"/>
          <w:szCs w:val="21"/>
          <w:lang w:val="es-MX"/>
        </w:rPr>
      </w:pPr>
      <w:r w:rsidRPr="00A24733">
        <w:rPr>
          <w:rFonts w:ascii="Arial" w:eastAsia="Batang" w:hAnsi="Arial" w:cs="Arial"/>
          <w:sz w:val="21"/>
          <w:szCs w:val="21"/>
          <w:lang w:val="es-MX"/>
        </w:rPr>
        <w:t>[…]</w:t>
      </w:r>
    </w:p>
    <w:p w14:paraId="306AF495" w14:textId="121ED82E" w:rsidR="00A24733" w:rsidRPr="00A24733" w:rsidRDefault="00A24733" w:rsidP="00A24733">
      <w:pPr>
        <w:tabs>
          <w:tab w:val="left" w:pos="0"/>
        </w:tabs>
        <w:spacing w:after="0" w:line="240" w:lineRule="auto"/>
        <w:ind w:left="709" w:right="709"/>
        <w:jc w:val="both"/>
        <w:rPr>
          <w:rFonts w:ascii="Arial" w:eastAsia="Batang" w:hAnsi="Arial" w:cs="Arial"/>
          <w:sz w:val="21"/>
          <w:szCs w:val="21"/>
          <w:lang w:val="es-MX"/>
        </w:rPr>
      </w:pPr>
      <w:r w:rsidRPr="00A24733">
        <w:rPr>
          <w:rFonts w:ascii="Arial" w:eastAsia="Batang" w:hAnsi="Arial" w:cs="Arial"/>
          <w:bCs/>
          <w:sz w:val="21"/>
          <w:szCs w:val="21"/>
          <w:lang w:val="es-MX"/>
        </w:rPr>
        <w:t>Artículo 62.</w:t>
      </w:r>
      <w:r w:rsidRPr="00A24733">
        <w:rPr>
          <w:rFonts w:ascii="Arial" w:eastAsia="Batang" w:hAnsi="Arial" w:cs="Arial"/>
          <w:sz w:val="21"/>
          <w:szCs w:val="21"/>
          <w:lang w:val="es-MX"/>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sidR="00401034">
        <w:rPr>
          <w:rFonts w:ascii="Arial" w:eastAsia="Batang" w:hAnsi="Arial" w:cs="Arial"/>
          <w:sz w:val="21"/>
          <w:szCs w:val="21"/>
          <w:lang w:val="es-MX"/>
        </w:rPr>
        <w:t>”</w:t>
      </w:r>
      <w:r w:rsidRPr="00A24733">
        <w:rPr>
          <w:rFonts w:ascii="Arial" w:eastAsia="Batang" w:hAnsi="Arial" w:cs="Arial"/>
          <w:sz w:val="21"/>
          <w:szCs w:val="21"/>
          <w:lang w:val="es-MX"/>
        </w:rPr>
        <w:t>. </w:t>
      </w:r>
    </w:p>
    <w:p w14:paraId="1235BBCB" w14:textId="77777777" w:rsidR="00A24733" w:rsidRPr="00A24733" w:rsidRDefault="00A24733" w:rsidP="00A24733">
      <w:pPr>
        <w:tabs>
          <w:tab w:val="left" w:pos="0"/>
        </w:tabs>
        <w:spacing w:after="0" w:line="276" w:lineRule="auto"/>
        <w:jc w:val="both"/>
        <w:rPr>
          <w:rFonts w:ascii="Arial" w:eastAsia="Calibri" w:hAnsi="Arial" w:cs="Arial"/>
          <w:bCs/>
          <w:lang w:val="es-ES"/>
        </w:rPr>
      </w:pPr>
    </w:p>
    <w:p w14:paraId="32720F0C"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 xml:space="preserve">El artículo 59 establece que los plazos a los que se haga mención en la ley terminan a la medianoche, y que por </w:t>
      </w:r>
      <w:r w:rsidRPr="00A24733">
        <w:rPr>
          <w:rFonts w:ascii="Arial" w:eastAsia="Calibri" w:hAnsi="Arial" w:cs="Arial"/>
          <w:bCs/>
          <w:i/>
          <w:iCs/>
          <w:lang w:val="es-ES"/>
        </w:rPr>
        <w:t xml:space="preserve">día </w:t>
      </w:r>
      <w:r w:rsidRPr="00A24733">
        <w:rPr>
          <w:rFonts w:ascii="Arial" w:eastAsia="Calibri" w:hAnsi="Arial" w:cs="Arial"/>
          <w:bCs/>
          <w:lang w:val="es-ES"/>
        </w:rPr>
        <w:t xml:space="preserve">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w:t>
      </w:r>
      <w:r w:rsidRPr="00A24733">
        <w:rPr>
          <w:rFonts w:ascii="Arial" w:eastAsia="Calibri" w:hAnsi="Arial" w:cs="Arial"/>
          <w:bCs/>
          <w:lang w:val="es-ES"/>
        </w:rPr>
        <w:lastRenderedPageBreak/>
        <w:t>línea con la definición de uso común a la que antes se hacía referencia, indica que por hábiles se entiende los días laborables</w:t>
      </w:r>
      <w:r w:rsidRPr="00A24733">
        <w:rPr>
          <w:rFonts w:ascii="Arial" w:eastAsia="Calibri" w:hAnsi="Arial" w:cs="Arial"/>
          <w:bCs/>
          <w:vertAlign w:val="superscript"/>
          <w:lang w:val="es-ES"/>
        </w:rPr>
        <w:footnoteReference w:id="16"/>
      </w:r>
      <w:r w:rsidRPr="00A24733">
        <w:rPr>
          <w:rFonts w:ascii="Arial" w:eastAsia="Calibri" w:hAnsi="Arial" w:cs="Arial"/>
          <w:bCs/>
          <w:lang w:val="es-ES"/>
        </w:rPr>
        <w:t>.</w:t>
      </w:r>
    </w:p>
    <w:p w14:paraId="5CB810F4" w14:textId="77777777" w:rsidR="00A24733" w:rsidRPr="00A24733" w:rsidRDefault="00A24733" w:rsidP="00A24733">
      <w:pPr>
        <w:tabs>
          <w:tab w:val="left" w:pos="0"/>
        </w:tabs>
        <w:spacing w:after="0" w:line="276" w:lineRule="auto"/>
        <w:jc w:val="both"/>
        <w:rPr>
          <w:rFonts w:ascii="Arial" w:eastAsia="Calibri" w:hAnsi="Arial" w:cs="Arial"/>
          <w:bCs/>
          <w:lang w:val="es-ES"/>
        </w:rPr>
      </w:pPr>
      <w:r w:rsidRPr="00A24733">
        <w:rPr>
          <w:rFonts w:ascii="Arial" w:eastAsia="Calibri" w:hAnsi="Arial" w:cs="Arial"/>
          <w:bCs/>
          <w:lang w:val="es-ES"/>
        </w:rPr>
        <w:tab/>
        <w:t>En esto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explicó lo siguiente:</w:t>
      </w:r>
    </w:p>
    <w:p w14:paraId="1C6F596D" w14:textId="77777777" w:rsidR="00A24733" w:rsidRPr="00A24733" w:rsidRDefault="00A24733" w:rsidP="00A24733">
      <w:pPr>
        <w:tabs>
          <w:tab w:val="left" w:pos="0"/>
        </w:tabs>
        <w:spacing w:after="0" w:line="240" w:lineRule="auto"/>
        <w:ind w:left="709" w:right="709"/>
        <w:jc w:val="both"/>
        <w:rPr>
          <w:rFonts w:ascii="Arial" w:eastAsia="Batang" w:hAnsi="Arial" w:cs="Arial"/>
          <w:sz w:val="21"/>
          <w:szCs w:val="21"/>
          <w:lang w:val="es-ES"/>
        </w:rPr>
      </w:pPr>
    </w:p>
    <w:p w14:paraId="76C67CF1" w14:textId="77777777" w:rsidR="00A24733" w:rsidRPr="00A24733" w:rsidRDefault="00A24733" w:rsidP="00A24733">
      <w:pPr>
        <w:tabs>
          <w:tab w:val="left" w:pos="0"/>
        </w:tabs>
        <w:spacing w:after="0" w:line="240" w:lineRule="auto"/>
        <w:ind w:left="709" w:right="709"/>
        <w:jc w:val="both"/>
        <w:rPr>
          <w:rFonts w:ascii="Arial" w:eastAsia="Calibri" w:hAnsi="Arial" w:cs="Arial"/>
          <w:bCs/>
          <w:sz w:val="21"/>
          <w:szCs w:val="21"/>
          <w:lang w:val="es-ES"/>
        </w:rPr>
      </w:pPr>
      <w:r w:rsidRPr="00A24733">
        <w:rPr>
          <w:rFonts w:ascii="Arial" w:eastAsia="Batang" w:hAnsi="Arial" w:cs="Arial"/>
          <w:sz w:val="21"/>
          <w:szCs w:val="21"/>
          <w:lang w:val="es-MX"/>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w:t>
      </w:r>
      <w:proofErr w:type="gramStart"/>
      <w:r w:rsidRPr="00A24733">
        <w:rPr>
          <w:rFonts w:ascii="Arial" w:eastAsia="Batang" w:hAnsi="Arial" w:cs="Arial"/>
          <w:sz w:val="21"/>
          <w:szCs w:val="21"/>
          <w:lang w:val="es-MX"/>
        </w:rPr>
        <w:t>tanto</w:t>
      </w:r>
      <w:proofErr w:type="gramEnd"/>
      <w:r w:rsidRPr="00A24733">
        <w:rPr>
          <w:rFonts w:ascii="Arial" w:eastAsia="Batang" w:hAnsi="Arial" w:cs="Arial"/>
          <w:sz w:val="21"/>
          <w:szCs w:val="21"/>
          <w:lang w:val="es-MX"/>
        </w:rPr>
        <w:t xml:space="preserve"> hay despacho cuando se tiene facultad para laborar, despachar los asuntos y ejecutar los actos propios de sus atribuciones; así no se haya empleado esa facultad. Entonces, las sesiones de la Asamblea en sábados, domingos y </w:t>
      </w:r>
      <w:proofErr w:type="gramStart"/>
      <w:r w:rsidRPr="00A24733">
        <w:rPr>
          <w:rFonts w:ascii="Arial" w:eastAsia="Batang" w:hAnsi="Arial" w:cs="Arial"/>
          <w:sz w:val="21"/>
          <w:szCs w:val="21"/>
          <w:lang w:val="es-MX"/>
        </w:rPr>
        <w:t>lunes,</w:t>
      </w:r>
      <w:proofErr w:type="gramEnd"/>
      <w:r w:rsidRPr="00A24733">
        <w:rPr>
          <w:rFonts w:ascii="Arial" w:eastAsia="Batang" w:hAnsi="Arial" w:cs="Arial"/>
          <w:sz w:val="21"/>
          <w:szCs w:val="21"/>
          <w:lang w:val="es-MX"/>
        </w:rPr>
        <w:t xml:space="preserve"> tienen la virtud y fuerza suficientes para producir o causar todos los efectos, aunque las sesiones no se hayan realizado efectivamente</w:t>
      </w:r>
      <w:r w:rsidRPr="00A24733">
        <w:rPr>
          <w:rFonts w:ascii="Arial" w:eastAsia="Batang" w:hAnsi="Arial" w:cs="Arial"/>
          <w:sz w:val="21"/>
          <w:szCs w:val="21"/>
          <w:vertAlign w:val="superscript"/>
          <w:lang w:val="es-MX"/>
        </w:rPr>
        <w:footnoteReference w:id="17"/>
      </w:r>
      <w:r w:rsidRPr="00A24733">
        <w:rPr>
          <w:rFonts w:ascii="Arial" w:eastAsia="Batang" w:hAnsi="Arial" w:cs="Arial"/>
          <w:sz w:val="21"/>
          <w:szCs w:val="21"/>
          <w:lang w:val="es-MX"/>
        </w:rPr>
        <w:t>.</w:t>
      </w:r>
    </w:p>
    <w:p w14:paraId="37B41B4B" w14:textId="77777777" w:rsidR="00A24733" w:rsidRPr="00A24733" w:rsidRDefault="00A24733" w:rsidP="00A24733">
      <w:pPr>
        <w:tabs>
          <w:tab w:val="left" w:pos="0"/>
        </w:tabs>
        <w:spacing w:after="0" w:line="276" w:lineRule="auto"/>
        <w:jc w:val="both"/>
        <w:rPr>
          <w:rFonts w:ascii="Arial" w:eastAsia="Calibri" w:hAnsi="Arial" w:cs="Arial"/>
          <w:bCs/>
          <w:lang w:val="es-ES"/>
        </w:rPr>
      </w:pPr>
    </w:p>
    <w:p w14:paraId="1387DBE6" w14:textId="77777777" w:rsidR="00A24733" w:rsidRPr="00A24733" w:rsidRDefault="00A24733" w:rsidP="00A24733">
      <w:pPr>
        <w:tabs>
          <w:tab w:val="left" w:pos="0"/>
        </w:tabs>
        <w:spacing w:after="0" w:line="276" w:lineRule="auto"/>
        <w:jc w:val="both"/>
        <w:rPr>
          <w:rFonts w:ascii="Arial" w:eastAsia="Calibri" w:hAnsi="Arial" w:cs="Arial"/>
          <w:bCs/>
          <w:lang w:val="es-ES"/>
        </w:rPr>
      </w:pPr>
      <w:r w:rsidRPr="00A24733">
        <w:rPr>
          <w:rFonts w:ascii="Arial" w:eastAsia="Calibri" w:hAnsi="Arial" w:cs="Arial"/>
          <w:bCs/>
          <w:lang w:val="es-ES"/>
        </w:rPr>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5E0BBD40" w14:textId="77777777" w:rsidR="00A24733" w:rsidRPr="00A24733" w:rsidRDefault="00A24733" w:rsidP="00A24733">
      <w:pPr>
        <w:spacing w:after="0" w:line="240" w:lineRule="auto"/>
        <w:jc w:val="both"/>
        <w:rPr>
          <w:rFonts w:ascii="Arial" w:eastAsia="Times New Roman" w:hAnsi="Arial" w:cs="Arial"/>
          <w:sz w:val="21"/>
          <w:szCs w:val="21"/>
          <w:lang w:val="es-ES" w:eastAsia="es-CO"/>
        </w:rPr>
      </w:pPr>
    </w:p>
    <w:p w14:paraId="03683105" w14:textId="77777777" w:rsidR="00A24733" w:rsidRPr="00A24733" w:rsidRDefault="00A24733" w:rsidP="00A24733">
      <w:pPr>
        <w:spacing w:after="120" w:line="240" w:lineRule="auto"/>
        <w:ind w:left="709" w:right="709"/>
        <w:jc w:val="both"/>
        <w:rPr>
          <w:rFonts w:ascii="Arial" w:eastAsia="Times New Roman" w:hAnsi="Arial" w:cs="Arial"/>
          <w:sz w:val="21"/>
          <w:szCs w:val="21"/>
          <w:lang w:eastAsia="es-CO"/>
        </w:rPr>
      </w:pPr>
      <w:r w:rsidRPr="00A24733">
        <w:rPr>
          <w:rFonts w:ascii="Arial" w:eastAsia="Times New Roman" w:hAnsi="Arial" w:cs="Arial"/>
          <w:sz w:val="21"/>
          <w:szCs w:val="21"/>
          <w:lang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4F2D4E74" w14:textId="77777777" w:rsidR="00A24733" w:rsidRPr="00A24733" w:rsidRDefault="00A24733" w:rsidP="00A24733">
      <w:pPr>
        <w:spacing w:after="0" w:line="240" w:lineRule="auto"/>
        <w:ind w:left="709" w:right="709"/>
        <w:jc w:val="both"/>
        <w:rPr>
          <w:rFonts w:ascii="Arial" w:eastAsia="Times New Roman" w:hAnsi="Arial" w:cs="Arial"/>
          <w:sz w:val="21"/>
          <w:szCs w:val="21"/>
          <w:lang w:eastAsia="es-CO"/>
        </w:rPr>
      </w:pPr>
      <w:r w:rsidRPr="00A24733">
        <w:rPr>
          <w:rFonts w:ascii="Arial" w:eastAsia="Times New Roman" w:hAnsi="Arial" w:cs="Arial"/>
          <w:sz w:val="21"/>
          <w:szCs w:val="21"/>
          <w:lang w:eastAsia="es-CO"/>
        </w:rPr>
        <w:t xml:space="preserve">Así, el criterio que determina el carácter de hábil de los días, para el cómputo de los términos legales, es el de su </w:t>
      </w:r>
      <w:proofErr w:type="spellStart"/>
      <w:r w:rsidRPr="00A24733">
        <w:rPr>
          <w:rFonts w:ascii="Arial" w:eastAsia="Times New Roman" w:hAnsi="Arial" w:cs="Arial"/>
          <w:sz w:val="21"/>
          <w:szCs w:val="21"/>
          <w:lang w:eastAsia="es-CO"/>
        </w:rPr>
        <w:t>laborabilidad</w:t>
      </w:r>
      <w:proofErr w:type="spellEnd"/>
      <w:r w:rsidRPr="00A24733">
        <w:rPr>
          <w:rFonts w:ascii="Arial" w:eastAsia="Times New Roman" w:hAnsi="Arial" w:cs="Arial"/>
          <w:sz w:val="21"/>
          <w:szCs w:val="21"/>
          <w:lang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A24733">
        <w:rPr>
          <w:rFonts w:ascii="Arial" w:eastAsia="Times New Roman" w:hAnsi="Arial" w:cs="Arial"/>
          <w:sz w:val="21"/>
          <w:szCs w:val="21"/>
          <w:lang w:eastAsia="es-CO"/>
        </w:rPr>
        <w:t>1.°</w:t>
      </w:r>
      <w:proofErr w:type="gramEnd"/>
      <w:r w:rsidRPr="00A24733">
        <w:rPr>
          <w:rFonts w:ascii="Arial" w:eastAsia="Times New Roman" w:hAnsi="Arial" w:cs="Arial"/>
          <w:sz w:val="21"/>
          <w:szCs w:val="21"/>
          <w:lang w:eastAsia="es-CO"/>
        </w:rPr>
        <w:t xml:space="preserve"> de la Ley 51 de 1983 y los señalados como vacancia para la rama jurisdiccional, el Ministerio Público y las direcciones de instrucción criminal. Cabe anotar que para algunas oficinas no son hábiles los sábados, </w:t>
      </w:r>
      <w:r w:rsidRPr="00A24733">
        <w:rPr>
          <w:rFonts w:ascii="Arial" w:eastAsia="Times New Roman" w:hAnsi="Arial" w:cs="Arial"/>
          <w:sz w:val="21"/>
          <w:szCs w:val="21"/>
          <w:lang w:eastAsia="es-CO"/>
        </w:rPr>
        <w:lastRenderedPageBreak/>
        <w:t>en cuanto no funcionan en esos días por trasladarse la respectiva jornada, en extensión de la ordinaria, a los demás de la semana</w:t>
      </w:r>
      <w:r w:rsidRPr="00A24733">
        <w:rPr>
          <w:rFonts w:ascii="Arial" w:eastAsia="Times New Roman" w:hAnsi="Arial" w:cs="Arial"/>
          <w:sz w:val="21"/>
          <w:szCs w:val="21"/>
          <w:vertAlign w:val="superscript"/>
          <w:lang w:eastAsia="es-CO"/>
        </w:rPr>
        <w:footnoteReference w:id="18"/>
      </w:r>
      <w:r w:rsidRPr="00A24733">
        <w:rPr>
          <w:rFonts w:ascii="Arial" w:eastAsia="Times New Roman" w:hAnsi="Arial" w:cs="Arial"/>
          <w:sz w:val="21"/>
          <w:szCs w:val="21"/>
          <w:lang w:eastAsia="es-CO"/>
        </w:rPr>
        <w:t>.</w:t>
      </w:r>
    </w:p>
    <w:p w14:paraId="1827967A" w14:textId="77777777" w:rsidR="00A24733" w:rsidRPr="00A24733" w:rsidRDefault="00A24733" w:rsidP="00A24733">
      <w:pPr>
        <w:tabs>
          <w:tab w:val="left" w:pos="0"/>
        </w:tabs>
        <w:spacing w:after="0" w:line="276" w:lineRule="auto"/>
        <w:jc w:val="both"/>
        <w:rPr>
          <w:rFonts w:ascii="Arial" w:eastAsia="Calibri" w:hAnsi="Arial" w:cs="Arial"/>
          <w:bCs/>
          <w:lang w:val="es-ES"/>
        </w:rPr>
      </w:pPr>
      <w:r w:rsidRPr="00A24733">
        <w:rPr>
          <w:rFonts w:ascii="Arial" w:eastAsia="Calibri" w:hAnsi="Arial" w:cs="Arial"/>
          <w:bCs/>
          <w:lang w:val="es-ES"/>
        </w:rPr>
        <w:t xml:space="preserve"> </w:t>
      </w:r>
    </w:p>
    <w:p w14:paraId="41C49419"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r>
      <w:bookmarkStart w:id="2" w:name="_Hlk100070990"/>
      <w:r w:rsidRPr="00A24733">
        <w:rPr>
          <w:rFonts w:ascii="Arial" w:eastAsia="Calibri" w:hAnsi="Arial" w:cs="Arial"/>
          <w:bCs/>
          <w:lang w:val="es-ES"/>
        </w:rPr>
        <w:t>De esta manera,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A24733">
        <w:rPr>
          <w:rFonts w:ascii="Arial" w:eastAsia="Calibri" w:hAnsi="Arial" w:cs="Arial"/>
          <w:bCs/>
          <w:vertAlign w:val="superscript"/>
          <w:lang w:val="es-ES"/>
        </w:rPr>
        <w:footnoteReference w:id="19"/>
      </w:r>
      <w:r w:rsidRPr="00A24733">
        <w:rPr>
          <w:rFonts w:ascii="Arial" w:eastAsia="Calibri" w:hAnsi="Arial" w:cs="Arial"/>
          <w:bCs/>
          <w:lang w:val="es-ES"/>
        </w:rPr>
        <w:t>,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A24733">
        <w:rPr>
          <w:rFonts w:ascii="Arial" w:eastAsia="Calibri" w:hAnsi="Arial" w:cs="Arial"/>
          <w:bCs/>
          <w:vertAlign w:val="superscript"/>
          <w:lang w:val="es-ES"/>
        </w:rPr>
        <w:footnoteReference w:id="20"/>
      </w:r>
      <w:r w:rsidRPr="00A24733">
        <w:rPr>
          <w:rFonts w:ascii="Arial" w:eastAsia="Calibri" w:hAnsi="Arial" w:cs="Arial"/>
          <w:bCs/>
          <w:lang w:val="es-ES"/>
        </w:rPr>
        <w:t xml:space="preserve">, ejemplo donde los días laborables o hábiles son todos los de la semana, con excepción del miércoles. </w:t>
      </w:r>
    </w:p>
    <w:p w14:paraId="2D724B64" w14:textId="77777777" w:rsidR="00A24733" w:rsidRPr="00A24733" w:rsidRDefault="00A24733" w:rsidP="00A24733">
      <w:pPr>
        <w:tabs>
          <w:tab w:val="left" w:pos="0"/>
        </w:tabs>
        <w:spacing w:before="120" w:after="0" w:line="276" w:lineRule="auto"/>
        <w:jc w:val="both"/>
        <w:rPr>
          <w:rFonts w:ascii="Arial" w:eastAsia="Calibri" w:hAnsi="Arial" w:cs="Arial"/>
          <w:bCs/>
          <w:lang w:val="es-ES"/>
        </w:rPr>
      </w:pPr>
      <w:r w:rsidRPr="00A24733">
        <w:rPr>
          <w:rFonts w:ascii="Arial" w:eastAsia="Calibri" w:hAnsi="Arial" w:cs="Arial"/>
          <w:bCs/>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bookmarkEnd w:id="2"/>
    <w:p w14:paraId="14C2F9AC" w14:textId="77777777" w:rsidR="00A24733" w:rsidRPr="00A24733" w:rsidRDefault="00A24733" w:rsidP="00A24733">
      <w:pPr>
        <w:tabs>
          <w:tab w:val="left" w:pos="0"/>
        </w:tabs>
        <w:spacing w:before="120" w:after="0" w:line="276" w:lineRule="auto"/>
        <w:jc w:val="both"/>
        <w:rPr>
          <w:rFonts w:ascii="Arial" w:eastAsia="Calibri" w:hAnsi="Arial" w:cs="Arial"/>
          <w:bCs/>
          <w:lang w:val="es-ES"/>
        </w:rPr>
      </w:pPr>
      <w:r w:rsidRPr="00A24733">
        <w:rPr>
          <w:rFonts w:ascii="Arial" w:eastAsia="Calibri" w:hAnsi="Arial" w:cs="Arial"/>
          <w:bCs/>
          <w:lang w:val="es-ES"/>
        </w:rPr>
        <w:tab/>
        <w:t xml:space="preserve">Lo anterior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A24733">
        <w:rPr>
          <w:rFonts w:ascii="Arial" w:eastAsia="Calibri" w:hAnsi="Arial" w:cs="Arial"/>
          <w:bCs/>
          <w:lang w:val="es-ES"/>
        </w:rPr>
        <w:t>ii</w:t>
      </w:r>
      <w:proofErr w:type="spellEnd"/>
      <w:r w:rsidRPr="00A24733">
        <w:rPr>
          <w:rFonts w:ascii="Arial" w:eastAsia="Calibri" w:hAnsi="Arial" w:cs="Arial"/>
          <w:bCs/>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A24733">
        <w:rPr>
          <w:rFonts w:ascii="Arial" w:eastAsia="Calibri" w:hAnsi="Arial" w:cs="Arial"/>
          <w:bCs/>
          <w:lang w:val="es-ES"/>
        </w:rPr>
        <w:t>iii</w:t>
      </w:r>
      <w:proofErr w:type="spellEnd"/>
      <w:r w:rsidRPr="00A24733">
        <w:rPr>
          <w:rFonts w:ascii="Arial" w:eastAsia="Calibri" w:hAnsi="Arial" w:cs="Arial"/>
          <w:bCs/>
          <w:lang w:val="es-ES"/>
        </w:rPr>
        <w:t xml:space="preserve">) que el término de un día hábil está constituido por las veinticuatro horas que conforman uno de los días laborables definidos por la entidad, empezando a las 00:00 horas y terminando a las 23:59 de dicho día. </w:t>
      </w:r>
    </w:p>
    <w:p w14:paraId="16F0F3C2" w14:textId="77777777" w:rsidR="00A24733" w:rsidRPr="00A24733" w:rsidRDefault="00A24733" w:rsidP="00A24733">
      <w:pPr>
        <w:tabs>
          <w:tab w:val="left" w:pos="0"/>
        </w:tabs>
        <w:spacing w:before="120" w:after="120" w:line="276" w:lineRule="auto"/>
        <w:jc w:val="both"/>
        <w:rPr>
          <w:rFonts w:ascii="Arial" w:eastAsia="Calibri" w:hAnsi="Arial" w:cs="Arial"/>
          <w:bCs/>
          <w:lang w:val="es-ES"/>
        </w:rPr>
      </w:pPr>
      <w:r w:rsidRPr="00A24733">
        <w:rPr>
          <w:rFonts w:ascii="Arial" w:eastAsia="Calibri" w:hAnsi="Arial" w:cs="Arial"/>
          <w:bCs/>
          <w:lang w:val="es-ES"/>
        </w:rPr>
        <w:lastRenderedPageBreak/>
        <w:tab/>
        <w:t xml:space="preserve">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Por ello, </w:t>
      </w:r>
      <w:r w:rsidRPr="00A24733">
        <w:rPr>
          <w:rFonts w:ascii="Arial" w:eastAsia="Calibri" w:hAnsi="Arial" w:cs="Arial"/>
          <w:color w:val="000000"/>
          <w:shd w:val="clear" w:color="auto" w:fill="FFFFFF"/>
          <w:lang w:val="es-ES"/>
        </w:rPr>
        <w:t>e</w:t>
      </w:r>
      <w:proofErr w:type="spellStart"/>
      <w:r w:rsidRPr="00A24733">
        <w:rPr>
          <w:rFonts w:ascii="Arial" w:eastAsia="Calibri" w:hAnsi="Arial" w:cs="Arial"/>
          <w:color w:val="000000"/>
          <w:shd w:val="clear" w:color="auto" w:fill="FFFFFF"/>
          <w:lang w:val="es-MX"/>
        </w:rPr>
        <w:t>sta</w:t>
      </w:r>
      <w:proofErr w:type="spellEnd"/>
      <w:r w:rsidRPr="00A24733">
        <w:rPr>
          <w:rFonts w:ascii="Arial" w:eastAsia="Calibri" w:hAnsi="Arial" w:cs="Arial"/>
          <w:color w:val="000000"/>
          <w:shd w:val="clear" w:color="auto" w:fill="FFFFFF"/>
          <w:lang w:val="es-MX"/>
        </w:rPr>
        <w:t xml:space="preserve"> Agencia estima que las entidades, para cumplir el plazo mínimo de un día hábil, necesariamente deben fijar los extremos de este dentro un mismo día solar laborable.  </w:t>
      </w:r>
      <w:r w:rsidRPr="00A24733">
        <w:rPr>
          <w:rFonts w:ascii="Arial" w:eastAsia="Batang" w:hAnsi="Arial" w:cs="Arial"/>
          <w:lang w:val="es-MX"/>
        </w:rPr>
        <w:t xml:space="preserve"> </w:t>
      </w:r>
    </w:p>
    <w:p w14:paraId="34C41CC3"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Batang" w:hAnsi="Arial" w:cs="Arial"/>
          <w:lang w:val="es-MX"/>
        </w:rPr>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A24733">
        <w:rPr>
          <w:rFonts w:ascii="Arial" w:eastAsia="Calibri" w:hAnsi="Arial" w:cs="Arial"/>
          <w:bCs/>
          <w:lang w:val="es-ES"/>
        </w:rPr>
        <w:t>A esto se suma el hecho de que las entidades no suelen tener horarios de atención al público de veinticuatro horas diarias, comoquiera que solo están obligadas a garantizar la atención durante cuarenta horas semanales</w:t>
      </w:r>
      <w:r w:rsidRPr="00A24733">
        <w:rPr>
          <w:rFonts w:ascii="Arial" w:eastAsia="Calibri" w:hAnsi="Arial" w:cs="Arial"/>
          <w:bCs/>
          <w:vertAlign w:val="superscript"/>
          <w:lang w:val="es-ES"/>
        </w:rPr>
        <w:footnoteReference w:id="21"/>
      </w:r>
      <w:r w:rsidRPr="00A24733">
        <w:rPr>
          <w:rFonts w:ascii="Arial" w:eastAsia="Calibri" w:hAnsi="Arial" w:cs="Arial"/>
          <w:bCs/>
          <w:lang w:val="es-ES"/>
        </w:rPr>
        <w:t>.</w:t>
      </w:r>
    </w:p>
    <w:p w14:paraId="62904306"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53682362"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 xml:space="preserve">En ese sentido, </w:t>
      </w:r>
      <w:bookmarkStart w:id="3" w:name="_Hlk134437080"/>
      <w:r w:rsidRPr="00A24733">
        <w:rPr>
          <w:rFonts w:ascii="Arial" w:eastAsia="Calibri" w:hAnsi="Arial" w:cs="Arial"/>
          <w:bCs/>
          <w:lang w:val="es-ES"/>
        </w:rPr>
        <w:t xml:space="preserve">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5D223726"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 xml:space="preserve">De otro lado, en el caso de las entidades que realizan sus procedimientos de selección a través de SECOP II, deberán extender el termino para la presentación de ofertas durante las </w:t>
      </w:r>
      <w:r w:rsidRPr="00A24733">
        <w:rPr>
          <w:rFonts w:ascii="Arial" w:eastAsia="Calibri" w:hAnsi="Arial" w:cs="Arial"/>
          <w:bCs/>
          <w:lang w:val="es-ES"/>
        </w:rPr>
        <w:lastRenderedPageBreak/>
        <w:t>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bookmarkEnd w:id="3"/>
    <w:p w14:paraId="04AA90C3" w14:textId="77777777" w:rsidR="00A24733" w:rsidRPr="00A24733" w:rsidRDefault="00A24733" w:rsidP="00A24733">
      <w:pPr>
        <w:tabs>
          <w:tab w:val="left" w:pos="0"/>
        </w:tabs>
        <w:spacing w:after="0" w:line="276" w:lineRule="auto"/>
        <w:jc w:val="both"/>
        <w:rPr>
          <w:rFonts w:ascii="Arial" w:eastAsia="Calibri" w:hAnsi="Arial" w:cs="Arial"/>
          <w:bCs/>
          <w:lang w:val="es-ES"/>
        </w:rPr>
      </w:pPr>
      <w:r w:rsidRPr="00A24733">
        <w:rPr>
          <w:rFonts w:ascii="Arial" w:eastAsia="Calibri" w:hAnsi="Arial" w:cs="Arial"/>
          <w:bCs/>
          <w:lang w:val="es-ES"/>
        </w:rPr>
        <w:tab/>
        <w:t>Finalmente, de conformidad con los mandatos derivados del principio de transparencia, consagrado en el artículo 24 de la Ley 80 de 1993, y lo dispuesto en el artículo 2.2.1.1.2.1.3 del Decreto 1082 de 2015</w:t>
      </w:r>
      <w:r w:rsidRPr="00A24733">
        <w:rPr>
          <w:rFonts w:ascii="Arial" w:eastAsia="Calibri" w:hAnsi="Arial" w:cs="Arial"/>
          <w:bCs/>
          <w:vertAlign w:val="superscript"/>
          <w:lang w:val="es-ES"/>
        </w:rPr>
        <w:footnoteReference w:id="22"/>
      </w:r>
      <w:r w:rsidRPr="00A24733">
        <w:rPr>
          <w:rFonts w:ascii="Arial" w:eastAsia="Calibri" w:hAnsi="Arial" w:cs="Arial"/>
          <w:bCs/>
          <w:lang w:val="es-ES"/>
        </w:rPr>
        <w:t xml:space="preserve">,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1E804828" w14:textId="77777777" w:rsidR="00A24733" w:rsidRPr="00A24733" w:rsidRDefault="00A24733" w:rsidP="00A24733">
      <w:pPr>
        <w:spacing w:after="0" w:line="276" w:lineRule="auto"/>
        <w:jc w:val="both"/>
        <w:rPr>
          <w:rFonts w:ascii="Arial" w:eastAsia="Arial" w:hAnsi="Arial" w:cs="Arial"/>
          <w:lang w:val="es-ES" w:eastAsia="es-ES" w:bidi="es-ES"/>
        </w:rPr>
      </w:pPr>
    </w:p>
    <w:bookmarkEnd w:id="0"/>
    <w:p w14:paraId="3A5CECAA" w14:textId="77777777" w:rsidR="00A24733" w:rsidRPr="00A24733" w:rsidRDefault="00A24733" w:rsidP="00A24733">
      <w:pPr>
        <w:tabs>
          <w:tab w:val="left" w:pos="0"/>
        </w:tabs>
        <w:spacing w:after="0" w:line="240" w:lineRule="auto"/>
        <w:jc w:val="both"/>
        <w:rPr>
          <w:rFonts w:ascii="Arial" w:eastAsia="Calibri" w:hAnsi="Arial" w:cs="Arial"/>
          <w:b/>
          <w:color w:val="000000"/>
          <w:szCs w:val="24"/>
          <w:lang w:val="es-ES_tradnl" w:eastAsia="es-ES_tradnl"/>
        </w:rPr>
      </w:pPr>
      <w:r w:rsidRPr="00A24733">
        <w:rPr>
          <w:rFonts w:ascii="Arial" w:eastAsia="Calibri" w:hAnsi="Arial" w:cs="Arial"/>
          <w:b/>
          <w:color w:val="000000"/>
          <w:szCs w:val="24"/>
          <w:lang w:val="es-ES_tradnl" w:eastAsia="es-ES_tradnl"/>
        </w:rPr>
        <w:t>3. Respuesta</w:t>
      </w:r>
    </w:p>
    <w:p w14:paraId="19F01033" w14:textId="77777777" w:rsidR="00A24733" w:rsidRPr="00A24733" w:rsidRDefault="00A24733" w:rsidP="00A24733">
      <w:pPr>
        <w:spacing w:after="0" w:line="276" w:lineRule="auto"/>
        <w:jc w:val="both"/>
        <w:rPr>
          <w:rFonts w:ascii="Arial" w:eastAsia="Times New Roman" w:hAnsi="Arial" w:cs="Arial"/>
          <w:color w:val="000000"/>
          <w:szCs w:val="24"/>
          <w:lang w:val="es-ES_tradnl" w:eastAsia="es-ES_tradnl"/>
        </w:rPr>
      </w:pPr>
    </w:p>
    <w:p w14:paraId="29AA3139" w14:textId="77777777" w:rsidR="00A24733" w:rsidRPr="00A24733" w:rsidRDefault="00A24733" w:rsidP="00A24733">
      <w:pPr>
        <w:spacing w:after="0" w:line="240" w:lineRule="auto"/>
        <w:ind w:left="709" w:right="709"/>
        <w:jc w:val="both"/>
        <w:rPr>
          <w:rFonts w:ascii="Arial" w:eastAsia="Times New Roman" w:hAnsi="Arial" w:cs="Arial"/>
          <w:sz w:val="21"/>
          <w:szCs w:val="21"/>
          <w:lang w:val="es-ES_tradnl" w:eastAsia="es-ES_tradnl"/>
        </w:rPr>
      </w:pPr>
      <w:r w:rsidRPr="00A24733">
        <w:rPr>
          <w:rFonts w:ascii="Arial" w:eastAsia="Times New Roman" w:hAnsi="Arial" w:cs="Arial"/>
          <w:sz w:val="21"/>
          <w:szCs w:val="21"/>
          <w:lang w:val="es-ES_tradnl" w:eastAsia="es-ES_tradnl"/>
        </w:rPr>
        <w:t>“[¿]CUÁL ES EL TÉRMINO QUE TIENE LA ENTIDAD PARA RECIBIR OFERTAS DESPUES [sic] DE PUBLICADO EL AVISO QUE LIMITA A MIPYMES EN UN PROCESO DE MÍNIMA CUANTÍA ADELANTADO POR SECOP II?”</w:t>
      </w:r>
    </w:p>
    <w:p w14:paraId="012F1022" w14:textId="77777777" w:rsidR="00A24733" w:rsidRPr="00A24733" w:rsidRDefault="00A24733" w:rsidP="00A24733">
      <w:pPr>
        <w:spacing w:after="0" w:line="276" w:lineRule="auto"/>
        <w:jc w:val="both"/>
        <w:rPr>
          <w:rFonts w:ascii="Arial" w:eastAsia="Times New Roman" w:hAnsi="Arial" w:cs="Arial"/>
          <w:color w:val="000000"/>
          <w:szCs w:val="24"/>
          <w:lang w:val="es-ES_tradnl" w:eastAsia="es-ES_tradnl"/>
        </w:rPr>
      </w:pPr>
    </w:p>
    <w:p w14:paraId="437F807D" w14:textId="0458FA64" w:rsidR="00401034" w:rsidRDefault="00401034" w:rsidP="00A24733">
      <w:pPr>
        <w:tabs>
          <w:tab w:val="left" w:pos="0"/>
        </w:tabs>
        <w:spacing w:after="120" w:line="276" w:lineRule="auto"/>
        <w:jc w:val="both"/>
        <w:rPr>
          <w:rFonts w:ascii="Arial" w:eastAsia="Calibri" w:hAnsi="Arial" w:cs="Arial"/>
          <w:bCs/>
          <w:lang w:val="es-ES"/>
        </w:rPr>
      </w:pPr>
      <w:r>
        <w:rPr>
          <w:rFonts w:ascii="Arial" w:eastAsia="Calibri" w:hAnsi="Arial" w:cs="Arial"/>
          <w:bCs/>
          <w:lang w:val="es-ES"/>
        </w:rPr>
        <w:t>De acuerdo con lo expuesto</w:t>
      </w:r>
      <w:r w:rsidRPr="00A24733">
        <w:rPr>
          <w:rFonts w:ascii="Arial" w:eastAsia="Calibri" w:hAnsi="Arial" w:cs="Arial"/>
          <w:bCs/>
          <w:lang w:val="es-ES"/>
        </w:rPr>
        <w:t xml:space="preserve">, el artículo 2.2.1.2.1.5.2 del Decreto 1082 de 2015 –modificado por el Decreto 1860 de 2021–, al reglamentar el procedimiento de </w:t>
      </w:r>
      <w:r>
        <w:rPr>
          <w:rFonts w:ascii="Arial" w:eastAsia="Calibri" w:hAnsi="Arial" w:cs="Arial"/>
          <w:bCs/>
          <w:lang w:val="es-ES"/>
        </w:rPr>
        <w:t>mínima</w:t>
      </w:r>
      <w:r w:rsidR="00CB5EC7">
        <w:rPr>
          <w:rFonts w:ascii="Arial" w:eastAsia="Calibri" w:hAnsi="Arial" w:cs="Arial"/>
          <w:bCs/>
          <w:lang w:val="es-ES"/>
        </w:rPr>
        <w:t xml:space="preserve"> cuantía</w:t>
      </w:r>
      <w:r w:rsidRPr="00A24733">
        <w:rPr>
          <w:rFonts w:ascii="Arial" w:eastAsia="Calibri" w:hAnsi="Arial" w:cs="Arial"/>
          <w:bCs/>
          <w:lang w:val="es-ES"/>
        </w:rPr>
        <w:t xml:space="preserve">, establece, en el numeral 3, que “[l]a invitación se publicará por un término no inferior a un (1) día </w:t>
      </w:r>
      <w:proofErr w:type="spellStart"/>
      <w:r w:rsidRPr="00A24733">
        <w:rPr>
          <w:rFonts w:ascii="Arial" w:eastAsia="Calibri" w:hAnsi="Arial" w:cs="Arial"/>
          <w:bCs/>
          <w:lang w:val="es-ES"/>
        </w:rPr>
        <w:t>hábill</w:t>
      </w:r>
      <w:proofErr w:type="spellEnd"/>
      <w:r w:rsidRPr="00A24733">
        <w:rPr>
          <w:rFonts w:ascii="Arial" w:eastAsia="Calibri" w:hAnsi="Arial" w:cs="Arial"/>
          <w:bCs/>
          <w:lang w:val="es-ES"/>
        </w:rPr>
        <w:t>, y en el numeral 4, que “se dispondrá un término adicional dentro del cual los proponentes podrán presentar sus ofertas, el cual será de mínimo un (1) día hábil luego de publicado el aviso en que se informe si el proceso se limita o no a Mipyme</w:t>
      </w:r>
      <w:r w:rsidR="00CB5EC7">
        <w:rPr>
          <w:rFonts w:ascii="Arial" w:eastAsia="Calibri" w:hAnsi="Arial" w:cs="Arial"/>
          <w:bCs/>
          <w:lang w:val="es-ES"/>
        </w:rPr>
        <w:t>”.</w:t>
      </w:r>
    </w:p>
    <w:p w14:paraId="058A9337" w14:textId="215859CE" w:rsidR="00A24733" w:rsidRPr="00A24733" w:rsidRDefault="00CB5EC7" w:rsidP="00A24733">
      <w:pPr>
        <w:tabs>
          <w:tab w:val="left" w:pos="0"/>
        </w:tabs>
        <w:spacing w:after="120" w:line="276" w:lineRule="auto"/>
        <w:jc w:val="both"/>
        <w:rPr>
          <w:rFonts w:ascii="Arial" w:eastAsia="Calibri" w:hAnsi="Arial" w:cs="Arial"/>
          <w:bCs/>
          <w:lang w:val="es-ES"/>
        </w:rPr>
      </w:pPr>
      <w:r>
        <w:rPr>
          <w:rFonts w:ascii="Arial" w:eastAsia="Calibri" w:hAnsi="Arial" w:cs="Arial"/>
          <w:bCs/>
          <w:lang w:val="es-ES"/>
        </w:rPr>
        <w:tab/>
        <w:t xml:space="preserve">Ahora bien, </w:t>
      </w:r>
      <w:r w:rsidR="002F5E5D">
        <w:rPr>
          <w:rFonts w:ascii="Arial" w:eastAsia="Calibri" w:hAnsi="Arial" w:cs="Arial"/>
          <w:bCs/>
          <w:lang w:val="es-ES"/>
        </w:rPr>
        <w:t>conforme a</w:t>
      </w:r>
      <w:r w:rsidR="00A24733" w:rsidRPr="00A24733">
        <w:rPr>
          <w:rFonts w:ascii="Arial" w:eastAsia="Calibri" w:hAnsi="Arial" w:cs="Arial"/>
          <w:bCs/>
          <w:lang w:val="es-ES"/>
        </w:rPr>
        <w:t xml:space="preserve"> las consideraciones realizadas en este concepto,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00A24733" w:rsidRPr="00A24733">
        <w:rPr>
          <w:rFonts w:ascii="Arial" w:eastAsia="Calibri" w:hAnsi="Arial" w:cs="Arial"/>
          <w:bCs/>
          <w:vertAlign w:val="superscript"/>
          <w:lang w:val="es-ES"/>
        </w:rPr>
        <w:footnoteReference w:id="23"/>
      </w:r>
      <w:r w:rsidR="00A24733" w:rsidRPr="00A24733">
        <w:rPr>
          <w:rFonts w:ascii="Arial" w:eastAsia="Calibri" w:hAnsi="Arial" w:cs="Arial"/>
          <w:bCs/>
          <w:lang w:val="es-ES"/>
        </w:rPr>
        <w:t xml:space="preserve">, por lo que días hábiles </w:t>
      </w:r>
      <w:r w:rsidR="00A24733" w:rsidRPr="00A24733">
        <w:rPr>
          <w:rFonts w:ascii="Arial" w:eastAsia="Calibri" w:hAnsi="Arial" w:cs="Arial"/>
          <w:bCs/>
          <w:lang w:val="es-ES"/>
        </w:rPr>
        <w:lastRenderedPageBreak/>
        <w:t>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00A24733" w:rsidRPr="00A24733">
        <w:rPr>
          <w:rFonts w:ascii="Arial" w:eastAsia="Calibri" w:hAnsi="Arial" w:cs="Arial"/>
          <w:bCs/>
          <w:vertAlign w:val="superscript"/>
          <w:lang w:val="es-ES"/>
        </w:rPr>
        <w:footnoteReference w:id="24"/>
      </w:r>
      <w:r w:rsidR="00A24733" w:rsidRPr="00A24733">
        <w:rPr>
          <w:rFonts w:ascii="Arial" w:eastAsia="Calibri" w:hAnsi="Arial" w:cs="Arial"/>
          <w:bCs/>
          <w:lang w:val="es-ES"/>
        </w:rPr>
        <w:t xml:space="preserve">, ejemplo donde los días laborables o hábiles son todos los de la semana, con excepción del miércoles. </w:t>
      </w:r>
    </w:p>
    <w:p w14:paraId="303E5490" w14:textId="77777777" w:rsidR="00A24733" w:rsidRPr="00A24733" w:rsidRDefault="00A24733" w:rsidP="00A24733">
      <w:pPr>
        <w:tabs>
          <w:tab w:val="left" w:pos="0"/>
        </w:tabs>
        <w:spacing w:before="120" w:after="120" w:line="276" w:lineRule="auto"/>
        <w:jc w:val="both"/>
        <w:rPr>
          <w:rFonts w:ascii="Arial" w:eastAsia="Calibri" w:hAnsi="Arial" w:cs="Arial"/>
          <w:bCs/>
          <w:lang w:val="es-ES"/>
        </w:rPr>
      </w:pPr>
      <w:r w:rsidRPr="00A24733">
        <w:rPr>
          <w:rFonts w:ascii="Arial" w:eastAsia="Calibri" w:hAnsi="Arial" w:cs="Arial"/>
          <w:bCs/>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p w14:paraId="623EE465"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 xml:space="preserve">En ese sentido, en criterio de esta Agencia,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21CCED91" w14:textId="77777777" w:rsidR="00A24733" w:rsidRPr="00A24733" w:rsidRDefault="00A24733" w:rsidP="00A24733">
      <w:pPr>
        <w:tabs>
          <w:tab w:val="left" w:pos="0"/>
        </w:tabs>
        <w:spacing w:after="120" w:line="276" w:lineRule="auto"/>
        <w:jc w:val="both"/>
        <w:rPr>
          <w:rFonts w:ascii="Arial" w:eastAsia="Calibri" w:hAnsi="Arial" w:cs="Arial"/>
          <w:bCs/>
          <w:lang w:val="es-ES"/>
        </w:rPr>
      </w:pPr>
      <w:r w:rsidRPr="00A24733">
        <w:rPr>
          <w:rFonts w:ascii="Arial" w:eastAsia="Calibri" w:hAnsi="Arial" w:cs="Arial"/>
          <w:bCs/>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4DC2A100" w14:textId="77777777" w:rsidR="00A24733" w:rsidRPr="00A24733" w:rsidRDefault="00A24733" w:rsidP="00A24733">
      <w:pPr>
        <w:widowControl w:val="0"/>
        <w:autoSpaceDE w:val="0"/>
        <w:autoSpaceDN w:val="0"/>
        <w:spacing w:after="0" w:line="276" w:lineRule="auto"/>
        <w:ind w:right="108" w:firstLine="709"/>
        <w:jc w:val="both"/>
        <w:rPr>
          <w:rFonts w:ascii="Arial" w:eastAsia="Arial" w:hAnsi="Arial" w:cs="Arial"/>
          <w:lang w:val="es-ES" w:eastAsia="es-ES" w:bidi="es-ES"/>
        </w:rPr>
      </w:pPr>
      <w:r w:rsidRPr="00A24733">
        <w:rPr>
          <w:rFonts w:ascii="Arial" w:eastAsia="Calibri" w:hAnsi="Arial" w:cs="Arial"/>
          <w:bCs/>
          <w:lang w:val="es-ES"/>
        </w:rPr>
        <w:t>Lo anterior significa que, el término adicional de que trata el numeral 4 del artículo 2.2.1.2.1.5.2 del Decreto 1082 de 2015 –modificado por el Decreto 1860 de 2021–, del cual disponen los proponentes para presentar sus ofertas, debe corresponder, en el caso de procesos de mínima cuantía adelantados a través del SECOP II, como mínimo, a 24 horas dentro de un mismo día laborable de la respectiva entidad.</w:t>
      </w:r>
    </w:p>
    <w:p w14:paraId="3EA76839" w14:textId="77777777" w:rsidR="00A24733" w:rsidRPr="00A24733" w:rsidRDefault="00A24733" w:rsidP="00A24733">
      <w:pPr>
        <w:widowControl w:val="0"/>
        <w:autoSpaceDE w:val="0"/>
        <w:autoSpaceDN w:val="0"/>
        <w:spacing w:after="120" w:line="276" w:lineRule="auto"/>
        <w:jc w:val="both"/>
        <w:rPr>
          <w:rFonts w:ascii="Arial" w:eastAsia="Times New Roman" w:hAnsi="Arial" w:cs="Arial"/>
          <w:color w:val="000000"/>
          <w:lang w:val="es-ES_tradnl" w:eastAsia="es-ES_tradnl"/>
        </w:rPr>
      </w:pPr>
    </w:p>
    <w:p w14:paraId="375629C6" w14:textId="77777777" w:rsidR="00A24733" w:rsidRPr="00A24733" w:rsidRDefault="00A24733" w:rsidP="00A24733">
      <w:pPr>
        <w:widowControl w:val="0"/>
        <w:autoSpaceDE w:val="0"/>
        <w:autoSpaceDN w:val="0"/>
        <w:spacing w:after="120" w:line="276" w:lineRule="auto"/>
        <w:jc w:val="both"/>
        <w:rPr>
          <w:rFonts w:ascii="Arial" w:eastAsia="Times New Roman" w:hAnsi="Arial" w:cs="Arial"/>
          <w:lang w:val="es-ES_tradnl" w:eastAsia="es-ES_tradnl" w:bidi="es-ES"/>
        </w:rPr>
      </w:pPr>
      <w:r w:rsidRPr="00A24733">
        <w:rPr>
          <w:rFonts w:ascii="Arial" w:eastAsia="Times New Roman" w:hAnsi="Arial" w:cs="Arial"/>
          <w:color w:val="000000"/>
          <w:lang w:val="es-ES_tradnl" w:eastAsia="es-ES_tradnl"/>
        </w:rPr>
        <w:t>Este concepto tiene el alcance previsto en el artículo 28 del</w:t>
      </w:r>
      <w:r w:rsidRPr="00A24733">
        <w:rPr>
          <w:rFonts w:ascii="Arial" w:eastAsia="Times New Roman" w:hAnsi="Arial" w:cs="Arial"/>
          <w:color w:val="000000"/>
          <w:szCs w:val="24"/>
          <w:lang w:val="es-ES_tradnl" w:eastAsia="es-ES_tradnl"/>
        </w:rPr>
        <w:t xml:space="preserve"> Código de Procedimiento Administrativo y de lo Contencioso Administrativo.</w:t>
      </w:r>
    </w:p>
    <w:p w14:paraId="7F8D6D50" w14:textId="77777777" w:rsidR="00A24733" w:rsidRPr="00A24733" w:rsidRDefault="00A24733" w:rsidP="00A24733">
      <w:pPr>
        <w:spacing w:before="120" w:after="0" w:line="276" w:lineRule="auto"/>
        <w:jc w:val="both"/>
        <w:rPr>
          <w:rFonts w:ascii="Arial" w:eastAsia="Times New Roman" w:hAnsi="Arial" w:cs="Arial"/>
          <w:color w:val="000000"/>
          <w:szCs w:val="24"/>
          <w:lang w:val="es-ES_tradnl" w:eastAsia="es-ES_tradnl"/>
        </w:rPr>
      </w:pPr>
    </w:p>
    <w:p w14:paraId="6FA794D7" w14:textId="77777777" w:rsidR="00A24733" w:rsidRPr="00A24733" w:rsidRDefault="00A24733" w:rsidP="00A24733">
      <w:pPr>
        <w:widowControl w:val="0"/>
        <w:autoSpaceDE w:val="0"/>
        <w:autoSpaceDN w:val="0"/>
        <w:spacing w:after="120" w:line="276" w:lineRule="auto"/>
        <w:jc w:val="both"/>
        <w:rPr>
          <w:rFonts w:ascii="Arial" w:eastAsia="Times New Roman" w:hAnsi="Arial" w:cs="Arial"/>
          <w:lang w:val="es-ES_tradnl" w:eastAsia="es-ES_tradnl" w:bidi="es-ES"/>
        </w:rPr>
      </w:pPr>
      <w:r w:rsidRPr="00A24733">
        <w:rPr>
          <w:rFonts w:ascii="Arial" w:eastAsia="Times New Roman" w:hAnsi="Arial" w:cs="Arial"/>
          <w:lang w:val="es-ES_tradnl" w:eastAsia="es-CO"/>
        </w:rPr>
        <w:t>Atentamente,</w:t>
      </w:r>
    </w:p>
    <w:p w14:paraId="0B05E2D6" w14:textId="5FCE53E7" w:rsidR="00A24733" w:rsidRPr="00A24733" w:rsidRDefault="00A24733" w:rsidP="00A24733">
      <w:pPr>
        <w:spacing w:after="0" w:line="276" w:lineRule="auto"/>
        <w:jc w:val="center"/>
        <w:rPr>
          <w:rFonts w:ascii="Times New Roman" w:eastAsia="Times New Roman" w:hAnsi="Times New Roman" w:cs="Times New Roman"/>
          <w:noProof/>
          <w:sz w:val="24"/>
          <w:szCs w:val="24"/>
          <w:lang w:eastAsia="es-CO"/>
        </w:rPr>
      </w:pPr>
      <w:r w:rsidRPr="00A24733">
        <w:rPr>
          <w:rFonts w:ascii="Times New Roman" w:eastAsia="Times New Roman" w:hAnsi="Times New Roman" w:cs="Times New Roman"/>
          <w:noProof/>
          <w:sz w:val="24"/>
          <w:szCs w:val="24"/>
          <w:lang w:eastAsia="es-CO"/>
        </w:rPr>
        <w:t xml:space="preserve"> </w:t>
      </w:r>
      <w:r w:rsidR="00EC7367">
        <w:rPr>
          <w:noProof/>
        </w:rPr>
        <w:drawing>
          <wp:inline distT="0" distB="0" distL="0" distR="0" wp14:anchorId="1504355B" wp14:editId="6E8E6306">
            <wp:extent cx="2952750" cy="1132928"/>
            <wp:effectExtent l="0" t="0" r="0" b="0"/>
            <wp:docPr id="173774143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1951" cy="1136458"/>
                    </a:xfrm>
                    <a:prstGeom prst="rect">
                      <a:avLst/>
                    </a:prstGeom>
                    <a:noFill/>
                    <a:ln>
                      <a:noFill/>
                    </a:ln>
                  </pic:spPr>
                </pic:pic>
              </a:graphicData>
            </a:graphic>
          </wp:inline>
        </w:drawing>
      </w:r>
    </w:p>
    <w:p w14:paraId="7BDBE06A" w14:textId="77777777" w:rsidR="00A24733" w:rsidRPr="00A24733" w:rsidRDefault="00A24733" w:rsidP="00A24733">
      <w:pPr>
        <w:spacing w:after="0" w:line="276" w:lineRule="auto"/>
        <w:jc w:val="center"/>
        <w:rPr>
          <w:rFonts w:ascii="Arial" w:eastAsia="Times New Roman" w:hAnsi="Arial" w:cs="Arial"/>
          <w:sz w:val="24"/>
          <w:szCs w:val="24"/>
          <w:lang w:val="es-ES_tradnl" w:eastAsia="es-CO"/>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A24733" w:rsidRPr="00A24733" w14:paraId="3F3F5D41" w14:textId="77777777" w:rsidTr="00A67182">
        <w:trPr>
          <w:trHeight w:val="305"/>
        </w:trPr>
        <w:tc>
          <w:tcPr>
            <w:tcW w:w="1025" w:type="dxa"/>
            <w:vAlign w:val="center"/>
            <w:hideMark/>
          </w:tcPr>
          <w:p w14:paraId="3D3D36F2"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Elaboró:</w:t>
            </w:r>
          </w:p>
        </w:tc>
        <w:tc>
          <w:tcPr>
            <w:tcW w:w="5102" w:type="dxa"/>
            <w:tcBorders>
              <w:top w:val="nil"/>
              <w:left w:val="nil"/>
              <w:bottom w:val="dotted" w:sz="4" w:space="0" w:color="7F7F7F"/>
              <w:right w:val="nil"/>
            </w:tcBorders>
            <w:vAlign w:val="center"/>
            <w:hideMark/>
          </w:tcPr>
          <w:p w14:paraId="7071C63E"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Kevin Arlid Herrera Santa</w:t>
            </w:r>
          </w:p>
          <w:p w14:paraId="57CF1AAE"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Contratista de la Subdirección de Gestión Contractual</w:t>
            </w:r>
          </w:p>
        </w:tc>
      </w:tr>
      <w:tr w:rsidR="00A24733" w:rsidRPr="00A24733" w14:paraId="435DD253" w14:textId="77777777" w:rsidTr="00A67182">
        <w:trPr>
          <w:trHeight w:val="319"/>
        </w:trPr>
        <w:tc>
          <w:tcPr>
            <w:tcW w:w="1025" w:type="dxa"/>
            <w:vAlign w:val="center"/>
            <w:hideMark/>
          </w:tcPr>
          <w:p w14:paraId="7CE94A7F"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Revisó:</w:t>
            </w:r>
          </w:p>
        </w:tc>
        <w:tc>
          <w:tcPr>
            <w:tcW w:w="5102" w:type="dxa"/>
            <w:tcBorders>
              <w:top w:val="dotted" w:sz="4" w:space="0" w:color="7F7F7F"/>
              <w:left w:val="nil"/>
              <w:bottom w:val="dotted" w:sz="4" w:space="0" w:color="7F7F7F"/>
              <w:right w:val="nil"/>
            </w:tcBorders>
            <w:vAlign w:val="center"/>
            <w:hideMark/>
          </w:tcPr>
          <w:p w14:paraId="1CDBD9B5"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Alejandro Sarmiento Cantillo</w:t>
            </w:r>
          </w:p>
          <w:p w14:paraId="393BBA10"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 xml:space="preserve">Gestor T1-15 de la Subdirección de Gestión Contractual   </w:t>
            </w:r>
          </w:p>
        </w:tc>
      </w:tr>
      <w:tr w:rsidR="00A24733" w:rsidRPr="00A24733" w14:paraId="4B4E46DC" w14:textId="77777777" w:rsidTr="00A67182">
        <w:trPr>
          <w:trHeight w:val="290"/>
        </w:trPr>
        <w:tc>
          <w:tcPr>
            <w:tcW w:w="1025" w:type="dxa"/>
            <w:vAlign w:val="center"/>
            <w:hideMark/>
          </w:tcPr>
          <w:p w14:paraId="015AA42E"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Aprobó:</w:t>
            </w:r>
          </w:p>
        </w:tc>
        <w:tc>
          <w:tcPr>
            <w:tcW w:w="5102" w:type="dxa"/>
            <w:tcBorders>
              <w:top w:val="dotted" w:sz="4" w:space="0" w:color="7F7F7F"/>
              <w:left w:val="nil"/>
              <w:bottom w:val="dotted" w:sz="4" w:space="0" w:color="7F7F7F"/>
              <w:right w:val="nil"/>
            </w:tcBorders>
            <w:vAlign w:val="center"/>
            <w:hideMark/>
          </w:tcPr>
          <w:p w14:paraId="0D592D04"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 xml:space="preserve">Nohelia del Carmen </w:t>
            </w:r>
            <w:proofErr w:type="spellStart"/>
            <w:r w:rsidRPr="00A24733">
              <w:rPr>
                <w:rFonts w:ascii="Arial" w:eastAsia="Calibri" w:hAnsi="Arial" w:cs="Arial"/>
                <w:sz w:val="16"/>
                <w:szCs w:val="16"/>
                <w:lang w:val="es-ES_tradnl" w:eastAsia="es-ES"/>
              </w:rPr>
              <w:t>Zawady</w:t>
            </w:r>
            <w:proofErr w:type="spellEnd"/>
            <w:r w:rsidRPr="00A24733">
              <w:rPr>
                <w:rFonts w:ascii="Arial" w:eastAsia="Calibri" w:hAnsi="Arial" w:cs="Arial"/>
                <w:sz w:val="16"/>
                <w:szCs w:val="16"/>
                <w:lang w:val="es-ES_tradnl" w:eastAsia="es-ES"/>
              </w:rPr>
              <w:t xml:space="preserve"> Palacio</w:t>
            </w:r>
          </w:p>
          <w:p w14:paraId="31209DB0" w14:textId="77777777" w:rsidR="00A24733" w:rsidRPr="00A24733" w:rsidRDefault="00A24733" w:rsidP="00A24733">
            <w:pPr>
              <w:jc w:val="both"/>
              <w:rPr>
                <w:rFonts w:ascii="Arial" w:eastAsia="Calibri" w:hAnsi="Arial" w:cs="Arial"/>
                <w:sz w:val="16"/>
                <w:szCs w:val="16"/>
                <w:lang w:val="es-ES_tradnl" w:eastAsia="es-ES"/>
              </w:rPr>
            </w:pPr>
            <w:r w:rsidRPr="00A24733">
              <w:rPr>
                <w:rFonts w:ascii="Arial" w:eastAsia="Calibri" w:hAnsi="Arial" w:cs="Arial"/>
                <w:sz w:val="16"/>
                <w:szCs w:val="16"/>
                <w:lang w:val="es-ES_tradnl" w:eastAsia="es-ES"/>
              </w:rPr>
              <w:t>Subdirectora de Gestión Contractual ANCP – CCE</w:t>
            </w:r>
          </w:p>
        </w:tc>
      </w:tr>
    </w:tbl>
    <w:p w14:paraId="150146EB" w14:textId="77777777" w:rsidR="00A24733" w:rsidRPr="00A24733" w:rsidRDefault="00A24733" w:rsidP="00A24733">
      <w:pPr>
        <w:spacing w:after="0" w:line="240" w:lineRule="auto"/>
        <w:rPr>
          <w:rFonts w:ascii="Times New Roman" w:eastAsia="Times New Roman" w:hAnsi="Times New Roman" w:cs="Times New Roman"/>
          <w:sz w:val="24"/>
          <w:szCs w:val="24"/>
          <w:lang w:val="es-MX" w:eastAsia="es-ES_tradnl"/>
        </w:rPr>
      </w:pPr>
    </w:p>
    <w:p w14:paraId="6D0A7132" w14:textId="77777777" w:rsidR="00A24733" w:rsidRPr="00A24733" w:rsidRDefault="00A24733" w:rsidP="00A24733">
      <w:pPr>
        <w:spacing w:after="0" w:line="240" w:lineRule="auto"/>
        <w:rPr>
          <w:rFonts w:ascii="Times New Roman" w:eastAsia="Times New Roman" w:hAnsi="Times New Roman" w:cs="Times New Roman"/>
          <w:sz w:val="24"/>
          <w:szCs w:val="24"/>
          <w:lang w:val="es-MX" w:eastAsia="es-ES_tradnl"/>
        </w:rPr>
      </w:pPr>
    </w:p>
    <w:p w14:paraId="44A58479" w14:textId="77777777" w:rsidR="00A24733" w:rsidRPr="00A24733" w:rsidRDefault="00A24733" w:rsidP="00A24733">
      <w:pPr>
        <w:spacing w:after="0" w:line="240" w:lineRule="auto"/>
        <w:jc w:val="both"/>
        <w:rPr>
          <w:rFonts w:ascii="Arial" w:eastAsia="Times New Roman" w:hAnsi="Arial" w:cs="Arial"/>
          <w:sz w:val="24"/>
          <w:szCs w:val="24"/>
          <w:lang w:val="es-MX" w:eastAsia="es-ES_tradnl"/>
        </w:rPr>
      </w:pPr>
    </w:p>
    <w:p w14:paraId="1CD7F2CC" w14:textId="77777777" w:rsidR="00A24733" w:rsidRPr="00A24733" w:rsidRDefault="00A24733" w:rsidP="00A24733">
      <w:pPr>
        <w:spacing w:after="0" w:line="240" w:lineRule="auto"/>
        <w:jc w:val="both"/>
        <w:rPr>
          <w:rFonts w:ascii="Arial" w:eastAsia="Times New Roman" w:hAnsi="Arial" w:cs="Arial"/>
          <w:sz w:val="24"/>
          <w:szCs w:val="24"/>
          <w:lang w:val="es-ES_tradnl" w:eastAsia="es-ES_tradnl"/>
        </w:rPr>
      </w:pPr>
    </w:p>
    <w:p w14:paraId="238A319C" w14:textId="77777777" w:rsidR="00A24733" w:rsidRPr="00A24733" w:rsidRDefault="00A24733" w:rsidP="00A24733">
      <w:pPr>
        <w:spacing w:after="0" w:line="240" w:lineRule="auto"/>
        <w:jc w:val="both"/>
        <w:rPr>
          <w:rFonts w:ascii="Arial" w:eastAsia="Times New Roman" w:hAnsi="Arial" w:cs="Arial"/>
          <w:sz w:val="24"/>
          <w:szCs w:val="24"/>
          <w:lang w:val="es-ES_tradnl" w:eastAsia="es-ES_tradnl"/>
        </w:rPr>
      </w:pPr>
    </w:p>
    <w:p w14:paraId="0F293BF4" w14:textId="0F6FB6C1" w:rsidR="00127233" w:rsidRPr="00A24733" w:rsidRDefault="00127233">
      <w:pPr>
        <w:rPr>
          <w:lang w:val="es-ES_tradnl"/>
        </w:rPr>
      </w:pPr>
    </w:p>
    <w:sectPr w:rsidR="00127233" w:rsidRPr="00A24733"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7E59" w14:textId="77777777" w:rsidR="003C013B" w:rsidRDefault="003C013B" w:rsidP="004A1847">
      <w:pPr>
        <w:spacing w:after="0" w:line="240" w:lineRule="auto"/>
      </w:pPr>
      <w:r>
        <w:separator/>
      </w:r>
    </w:p>
  </w:endnote>
  <w:endnote w:type="continuationSeparator" w:id="0">
    <w:p w14:paraId="3AF8C99D" w14:textId="77777777" w:rsidR="003C013B" w:rsidRDefault="003C013B" w:rsidP="004A1847">
      <w:pPr>
        <w:spacing w:after="0" w:line="240" w:lineRule="auto"/>
      </w:pPr>
      <w:r>
        <w:continuationSeparator/>
      </w:r>
    </w:p>
  </w:endnote>
  <w:endnote w:type="continuationNotice" w:id="1">
    <w:p w14:paraId="4D12A30C"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6BFD" w14:textId="77777777" w:rsidR="003C013B" w:rsidRDefault="003C013B" w:rsidP="004A1847">
      <w:pPr>
        <w:spacing w:after="0" w:line="240" w:lineRule="auto"/>
      </w:pPr>
      <w:r>
        <w:separator/>
      </w:r>
    </w:p>
  </w:footnote>
  <w:footnote w:type="continuationSeparator" w:id="0">
    <w:p w14:paraId="566109BC" w14:textId="77777777" w:rsidR="003C013B" w:rsidRDefault="003C013B" w:rsidP="004A1847">
      <w:pPr>
        <w:spacing w:after="0" w:line="240" w:lineRule="auto"/>
      </w:pPr>
      <w:r>
        <w:continuationSeparator/>
      </w:r>
    </w:p>
  </w:footnote>
  <w:footnote w:type="continuationNotice" w:id="1">
    <w:p w14:paraId="3DC0833B" w14:textId="77777777" w:rsidR="00DF1E43" w:rsidRDefault="00DF1E43">
      <w:pPr>
        <w:spacing w:after="0" w:line="240" w:lineRule="auto"/>
      </w:pPr>
    </w:p>
  </w:footnote>
  <w:footnote w:id="2">
    <w:p w14:paraId="16BBCF02" w14:textId="77777777" w:rsidR="00A24733" w:rsidRPr="00940A6C" w:rsidRDefault="00A24733" w:rsidP="00A24733">
      <w:pPr>
        <w:pStyle w:val="Textonotapie"/>
        <w:ind w:firstLine="708"/>
        <w:jc w:val="both"/>
        <w:rPr>
          <w:rFonts w:ascii="Arial" w:hAnsi="Arial" w:cs="Arial"/>
          <w:sz w:val="18"/>
          <w:szCs w:val="18"/>
        </w:rPr>
      </w:pPr>
      <w:r w:rsidRPr="00940A6C">
        <w:rPr>
          <w:rStyle w:val="Refdenotaalpie"/>
          <w:rFonts w:ascii="Arial" w:hAnsi="Arial" w:cs="Arial"/>
          <w:sz w:val="18"/>
          <w:szCs w:val="18"/>
        </w:rPr>
        <w:footnoteRef/>
      </w:r>
      <w:r w:rsidRPr="00940A6C">
        <w:rPr>
          <w:rFonts w:ascii="Arial" w:hAnsi="Arial" w:cs="Arial"/>
          <w:sz w:val="18"/>
          <w:szCs w:val="18"/>
        </w:rPr>
        <w:t xml:space="preserve"> </w:t>
      </w:r>
      <w:r>
        <w:rPr>
          <w:rFonts w:ascii="Arial" w:hAnsi="Arial" w:cs="Arial"/>
          <w:sz w:val="18"/>
          <w:szCs w:val="18"/>
        </w:rPr>
        <w:t>“</w:t>
      </w:r>
      <w:r w:rsidRPr="00940A6C">
        <w:rPr>
          <w:rFonts w:ascii="Arial" w:hAnsi="Arial" w:cs="Arial"/>
          <w:sz w:val="18"/>
          <w:szCs w:val="18"/>
        </w:rPr>
        <w:t xml:space="preserve">Artículo 3°. Funciones. La Agencia Nacional de Contratación Pública –Colombia Compra Eficiente– ejercerá las siguientes funciones: </w:t>
      </w:r>
    </w:p>
    <w:p w14:paraId="3E01391F" w14:textId="77777777" w:rsidR="00A24733" w:rsidRPr="00940A6C" w:rsidRDefault="00A24733" w:rsidP="00A24733">
      <w:pPr>
        <w:pStyle w:val="Textonotapie"/>
        <w:ind w:firstLine="709"/>
        <w:jc w:val="both"/>
        <w:rPr>
          <w:rFonts w:ascii="Arial" w:hAnsi="Arial" w:cs="Arial"/>
          <w:sz w:val="18"/>
          <w:szCs w:val="18"/>
          <w:lang w:val="es-ES"/>
        </w:rPr>
      </w:pPr>
      <w:r w:rsidRPr="00940A6C">
        <w:rPr>
          <w:rFonts w:ascii="Arial" w:hAnsi="Arial" w:cs="Arial"/>
          <w:sz w:val="18"/>
          <w:szCs w:val="18"/>
          <w:lang w:val="es-ES"/>
        </w:rPr>
        <w:t xml:space="preserve">[...] </w:t>
      </w:r>
    </w:p>
    <w:p w14:paraId="4FF93958" w14:textId="77777777" w:rsidR="00A24733" w:rsidRPr="00940A6C" w:rsidRDefault="00A24733" w:rsidP="00A24733">
      <w:pPr>
        <w:pStyle w:val="Textonotapie"/>
        <w:ind w:firstLine="709"/>
        <w:jc w:val="both"/>
        <w:rPr>
          <w:rFonts w:ascii="Arial" w:hAnsi="Arial" w:cs="Arial"/>
          <w:sz w:val="18"/>
          <w:szCs w:val="18"/>
          <w:lang w:val="es-ES"/>
        </w:rPr>
      </w:pPr>
      <w:r w:rsidRPr="00940A6C">
        <w:rPr>
          <w:rFonts w:ascii="Arial" w:hAnsi="Arial" w:cs="Arial"/>
          <w:sz w:val="18"/>
          <w:szCs w:val="18"/>
          <w:lang w:val="es-ES"/>
        </w:rPr>
        <w:t>5. Absolver consultas sobre la aplicación de normas de carácter general y expedir circulares externas en materia de compras y contratación pública</w:t>
      </w:r>
      <w:r>
        <w:rPr>
          <w:rFonts w:ascii="Arial" w:hAnsi="Arial" w:cs="Arial"/>
          <w:sz w:val="18"/>
          <w:szCs w:val="18"/>
          <w:lang w:val="es-ES"/>
        </w:rPr>
        <w:t>”</w:t>
      </w:r>
      <w:r w:rsidRPr="00940A6C">
        <w:rPr>
          <w:rFonts w:ascii="Arial" w:hAnsi="Arial" w:cs="Arial"/>
          <w:sz w:val="18"/>
          <w:szCs w:val="18"/>
          <w:lang w:val="es-ES"/>
        </w:rPr>
        <w:t>.</w:t>
      </w:r>
    </w:p>
    <w:p w14:paraId="2719D211" w14:textId="77777777" w:rsidR="00A24733" w:rsidRPr="00940A6C" w:rsidRDefault="00A24733" w:rsidP="00A24733">
      <w:pPr>
        <w:pStyle w:val="Textonotapie"/>
        <w:ind w:firstLine="709"/>
        <w:jc w:val="both"/>
        <w:rPr>
          <w:rFonts w:ascii="Arial" w:hAnsi="Arial" w:cs="Arial"/>
          <w:sz w:val="18"/>
          <w:szCs w:val="18"/>
          <w:lang w:val="es-ES"/>
        </w:rPr>
      </w:pPr>
      <w:r w:rsidRPr="00940A6C">
        <w:rPr>
          <w:rFonts w:ascii="Arial" w:hAnsi="Arial" w:cs="Arial"/>
          <w:sz w:val="18"/>
          <w:szCs w:val="18"/>
          <w:lang w:val="es-ES"/>
        </w:rPr>
        <w:t xml:space="preserve">Artículo 11. Subdirección de Gestión Contractual. Son funciones de la Subdirección de Gestión Contractual las siguientes: </w:t>
      </w:r>
    </w:p>
    <w:p w14:paraId="249C9BA3" w14:textId="77777777" w:rsidR="00A24733" w:rsidRPr="00940A6C" w:rsidRDefault="00A24733" w:rsidP="00A24733">
      <w:pPr>
        <w:pStyle w:val="Textonotapie"/>
        <w:ind w:firstLine="709"/>
        <w:jc w:val="both"/>
        <w:rPr>
          <w:rFonts w:ascii="Arial" w:hAnsi="Arial" w:cs="Arial"/>
          <w:sz w:val="18"/>
          <w:szCs w:val="18"/>
          <w:lang w:val="es-ES"/>
        </w:rPr>
      </w:pPr>
      <w:r w:rsidRPr="00940A6C">
        <w:rPr>
          <w:rFonts w:ascii="Arial" w:hAnsi="Arial" w:cs="Arial"/>
          <w:sz w:val="18"/>
          <w:szCs w:val="18"/>
          <w:lang w:val="es-ES"/>
        </w:rPr>
        <w:t xml:space="preserve">[...] </w:t>
      </w:r>
    </w:p>
    <w:p w14:paraId="270B7E4E" w14:textId="77777777" w:rsidR="00A24733" w:rsidRPr="00940A6C" w:rsidRDefault="00A24733" w:rsidP="00A24733">
      <w:pPr>
        <w:pStyle w:val="Textonotapie"/>
        <w:ind w:firstLine="708"/>
        <w:jc w:val="both"/>
        <w:rPr>
          <w:rFonts w:ascii="Arial" w:hAnsi="Arial" w:cs="Arial"/>
          <w:sz w:val="18"/>
          <w:szCs w:val="18"/>
          <w:lang w:val="es-ES"/>
        </w:rPr>
      </w:pPr>
      <w:r w:rsidRPr="00940A6C">
        <w:rPr>
          <w:rFonts w:ascii="Arial" w:hAnsi="Arial" w:cs="Arial"/>
          <w:sz w:val="18"/>
          <w:szCs w:val="18"/>
          <w:lang w:val="es-ES"/>
        </w:rPr>
        <w:t>8. Absolver consultas sobre la aplicación de normas de carácter general</w:t>
      </w:r>
      <w:r>
        <w:rPr>
          <w:rFonts w:ascii="Arial" w:hAnsi="Arial" w:cs="Arial"/>
          <w:sz w:val="18"/>
          <w:szCs w:val="18"/>
          <w:lang w:val="es-ES"/>
        </w:rPr>
        <w:t>”</w:t>
      </w:r>
      <w:r w:rsidRPr="00940A6C">
        <w:rPr>
          <w:rFonts w:ascii="Arial" w:hAnsi="Arial" w:cs="Arial"/>
          <w:sz w:val="18"/>
          <w:szCs w:val="18"/>
          <w:lang w:val="es-ES"/>
        </w:rPr>
        <w:t>.</w:t>
      </w:r>
    </w:p>
    <w:p w14:paraId="7EF931C0" w14:textId="77777777" w:rsidR="00A24733" w:rsidRPr="00940A6C" w:rsidRDefault="00A24733" w:rsidP="00A24733">
      <w:pPr>
        <w:pStyle w:val="Textonotapie"/>
        <w:ind w:firstLine="708"/>
        <w:jc w:val="both"/>
        <w:rPr>
          <w:rFonts w:ascii="Arial" w:hAnsi="Arial" w:cs="Arial"/>
          <w:sz w:val="18"/>
          <w:szCs w:val="18"/>
        </w:rPr>
      </w:pPr>
    </w:p>
  </w:footnote>
  <w:footnote w:id="3">
    <w:p w14:paraId="38F69487" w14:textId="77777777" w:rsidR="00A24733" w:rsidRPr="00A24733" w:rsidRDefault="00A24733" w:rsidP="00A24733">
      <w:pPr>
        <w:pStyle w:val="Textonotapie"/>
        <w:ind w:firstLine="709"/>
        <w:jc w:val="both"/>
        <w:rPr>
          <w:rFonts w:ascii="Arial" w:hAnsi="Arial" w:cs="Arial"/>
          <w:color w:val="000000"/>
          <w:sz w:val="19"/>
          <w:szCs w:val="19"/>
        </w:rPr>
      </w:pPr>
      <w:r w:rsidRPr="00A24733">
        <w:rPr>
          <w:rStyle w:val="Refdenotaalpie"/>
          <w:rFonts w:ascii="Arial" w:hAnsi="Arial" w:cs="Arial"/>
          <w:color w:val="000000"/>
          <w:sz w:val="19"/>
          <w:szCs w:val="19"/>
        </w:rPr>
        <w:footnoteRef/>
      </w:r>
      <w:r w:rsidRPr="00A24733">
        <w:rPr>
          <w:rFonts w:ascii="Arial" w:hAnsi="Arial" w:cs="Arial"/>
          <w:color w:val="000000"/>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w:t>
      </w:r>
      <w:proofErr w:type="spellStart"/>
      <w:r w:rsidRPr="00A24733">
        <w:rPr>
          <w:rFonts w:ascii="Arial" w:hAnsi="Arial" w:cs="Arial"/>
          <w:color w:val="000000"/>
          <w:sz w:val="19"/>
          <w:szCs w:val="19"/>
        </w:rPr>
        <w:t>Exp</w:t>
      </w:r>
      <w:proofErr w:type="spellEnd"/>
      <w:r w:rsidRPr="00A24733">
        <w:rPr>
          <w:rFonts w:ascii="Arial" w:hAnsi="Arial" w:cs="Arial"/>
          <w:color w:val="000000"/>
          <w:sz w:val="19"/>
          <w:szCs w:val="19"/>
        </w:rPr>
        <w:t>. 26.140. C.P. Carlos Alberto Zambrano Barrera).</w:t>
      </w:r>
    </w:p>
    <w:p w14:paraId="66ACC998" w14:textId="77777777" w:rsidR="00A24733" w:rsidRPr="00A24733" w:rsidRDefault="00A24733" w:rsidP="00A24733">
      <w:pPr>
        <w:pStyle w:val="Textonotapie"/>
        <w:ind w:firstLine="709"/>
        <w:jc w:val="both"/>
        <w:rPr>
          <w:rFonts w:ascii="Arial" w:hAnsi="Arial" w:cs="Arial"/>
          <w:color w:val="000000"/>
          <w:sz w:val="19"/>
          <w:szCs w:val="19"/>
        </w:rPr>
      </w:pPr>
    </w:p>
  </w:footnote>
  <w:footnote w:id="4">
    <w:p w14:paraId="0DBEC229" w14:textId="77777777" w:rsidR="00A24733" w:rsidRPr="00A24733" w:rsidRDefault="00A24733" w:rsidP="00A24733">
      <w:pPr>
        <w:pStyle w:val="Textonotapie"/>
        <w:ind w:firstLine="709"/>
        <w:jc w:val="both"/>
        <w:rPr>
          <w:rFonts w:ascii="Arial" w:hAnsi="Arial" w:cs="Arial"/>
          <w:color w:val="000000"/>
          <w:sz w:val="19"/>
          <w:szCs w:val="19"/>
        </w:rPr>
      </w:pPr>
      <w:r w:rsidRPr="00A24733">
        <w:rPr>
          <w:rStyle w:val="Refdenotaalpie"/>
          <w:rFonts w:ascii="Arial" w:hAnsi="Arial" w:cs="Arial"/>
          <w:color w:val="000000"/>
          <w:sz w:val="19"/>
          <w:szCs w:val="19"/>
        </w:rPr>
        <w:footnoteRef/>
      </w:r>
      <w:r w:rsidRPr="00A24733">
        <w:rPr>
          <w:rFonts w:ascii="Arial" w:hAnsi="Arial" w:cs="Arial"/>
          <w:color w:val="000000"/>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6A2B4E9F" w14:textId="77777777" w:rsidR="00A24733" w:rsidRPr="00A24733" w:rsidRDefault="00A24733" w:rsidP="00A24733">
      <w:pPr>
        <w:pStyle w:val="Textonotapie"/>
        <w:ind w:firstLine="709"/>
        <w:jc w:val="both"/>
        <w:rPr>
          <w:rFonts w:ascii="Arial" w:hAnsi="Arial" w:cs="Arial"/>
          <w:color w:val="000000"/>
          <w:sz w:val="19"/>
          <w:szCs w:val="19"/>
        </w:rPr>
      </w:pPr>
      <w:r w:rsidRPr="00A24733">
        <w:rPr>
          <w:rFonts w:ascii="Arial" w:hAnsi="Arial" w:cs="Arial"/>
          <w:color w:val="000000"/>
          <w:sz w:val="19"/>
          <w:szCs w:val="19"/>
        </w:rPr>
        <w:t>a) Se publicará una invitación, por un término no inferior a un día hábil, en la cual se señalará el objeto a contratar, el presupuesto destinado para tal fin, así como las condiciones técnicas exigidas;</w:t>
      </w:r>
    </w:p>
    <w:p w14:paraId="1A741EA7" w14:textId="77777777" w:rsidR="00A24733" w:rsidRPr="00A24733" w:rsidRDefault="00A24733" w:rsidP="00A24733">
      <w:pPr>
        <w:pStyle w:val="Textonotapie"/>
        <w:ind w:firstLine="709"/>
        <w:jc w:val="both"/>
        <w:rPr>
          <w:rFonts w:ascii="Arial" w:hAnsi="Arial" w:cs="Arial"/>
          <w:color w:val="000000"/>
          <w:sz w:val="19"/>
          <w:szCs w:val="19"/>
        </w:rPr>
      </w:pPr>
      <w:r w:rsidRPr="00A24733">
        <w:rPr>
          <w:rFonts w:ascii="Arial" w:hAnsi="Arial" w:cs="Arial"/>
          <w:color w:val="000000"/>
          <w:sz w:val="19"/>
          <w:szCs w:val="19"/>
        </w:rPr>
        <w:t>b) El término previsto en la invitación para presentar la oferta no podrá ser inferior a un día hábil;</w:t>
      </w:r>
    </w:p>
    <w:p w14:paraId="73C8ADED" w14:textId="77777777" w:rsidR="00A24733" w:rsidRPr="00A24733" w:rsidRDefault="00A24733" w:rsidP="00A24733">
      <w:pPr>
        <w:pStyle w:val="Textonotapie"/>
        <w:ind w:firstLine="709"/>
        <w:jc w:val="both"/>
        <w:rPr>
          <w:rFonts w:ascii="Arial" w:hAnsi="Arial" w:cs="Arial"/>
          <w:color w:val="000000"/>
          <w:sz w:val="19"/>
          <w:szCs w:val="19"/>
        </w:rPr>
      </w:pPr>
      <w:r w:rsidRPr="00A24733">
        <w:rPr>
          <w:rFonts w:ascii="Arial" w:hAnsi="Arial" w:cs="Arial"/>
          <w:color w:val="000000"/>
          <w:sz w:val="19"/>
          <w:szCs w:val="19"/>
        </w:rPr>
        <w:t>c) La entidad seleccionará, mediante comunicación de aceptación de la oferta, la propuesta con el menor precio, siempre y cuando cumpla con las condiciones exigidas;</w:t>
      </w:r>
    </w:p>
    <w:p w14:paraId="74C56550" w14:textId="77777777" w:rsidR="00A24733" w:rsidRPr="00A24733" w:rsidRDefault="00A24733" w:rsidP="00A24733">
      <w:pPr>
        <w:pStyle w:val="Textonotapie"/>
        <w:ind w:firstLine="709"/>
        <w:jc w:val="both"/>
        <w:rPr>
          <w:rFonts w:ascii="Arial" w:hAnsi="Arial" w:cs="Arial"/>
          <w:color w:val="000000"/>
          <w:sz w:val="19"/>
          <w:szCs w:val="19"/>
          <w:lang w:val="es-ES"/>
        </w:rPr>
      </w:pPr>
      <w:r w:rsidRPr="00A24733">
        <w:rPr>
          <w:rFonts w:ascii="Arial" w:hAnsi="Arial" w:cs="Arial"/>
          <w:color w:val="000000"/>
          <w:sz w:val="19"/>
          <w:szCs w:val="19"/>
        </w:rPr>
        <w:t>d) La comunicación de aceptación junto con la oferta constituye para todos los efectos el contrato celebrado, con base en lo cual se efectuará el respectivo registro presupuestal”.</w:t>
      </w:r>
    </w:p>
  </w:footnote>
  <w:footnote w:id="5">
    <w:p w14:paraId="53CCB6F5" w14:textId="77777777" w:rsidR="00A24733" w:rsidRDefault="00A24733" w:rsidP="00A2473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6">
    <w:p w14:paraId="6F93A972"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Style w:val="Refdenotaalpie"/>
          <w:rFonts w:ascii="Arial" w:hAnsi="Arial" w:cs="Arial"/>
          <w:color w:val="000000"/>
          <w:sz w:val="19"/>
          <w:szCs w:val="19"/>
          <w:lang w:val="es-ES_tradnl"/>
        </w:rPr>
        <w:footnoteRef/>
      </w:r>
      <w:r w:rsidRPr="00A24733">
        <w:rPr>
          <w:rFonts w:ascii="Arial" w:hAnsi="Arial" w:cs="Arial"/>
          <w:color w:val="000000"/>
          <w:sz w:val="19"/>
          <w:szCs w:val="19"/>
          <w:lang w:val="es-ES_tradnl"/>
        </w:rPr>
        <w:t xml:space="preserve"> Esto lo ratifica el artículo 2.2.1.2.1.5.2. del Decreto 1082 de 2015.</w:t>
      </w:r>
    </w:p>
    <w:p w14:paraId="0ED86F75" w14:textId="77777777" w:rsidR="00A24733" w:rsidRPr="00A24733" w:rsidRDefault="00A24733" w:rsidP="00A24733">
      <w:pPr>
        <w:pStyle w:val="Textonotapie"/>
        <w:ind w:firstLine="709"/>
        <w:jc w:val="both"/>
        <w:rPr>
          <w:rFonts w:ascii="Arial" w:hAnsi="Arial" w:cs="Arial"/>
          <w:color w:val="000000"/>
          <w:sz w:val="19"/>
          <w:szCs w:val="19"/>
          <w:lang w:val="es-ES_tradnl"/>
        </w:rPr>
      </w:pPr>
    </w:p>
  </w:footnote>
  <w:footnote w:id="7">
    <w:p w14:paraId="2038847E"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Style w:val="Refdenotaalpie"/>
          <w:rFonts w:ascii="Arial" w:hAnsi="Arial" w:cs="Arial"/>
          <w:color w:val="000000"/>
          <w:sz w:val="19"/>
          <w:szCs w:val="19"/>
          <w:lang w:val="es-ES_tradnl"/>
        </w:rPr>
        <w:footnoteRef/>
      </w:r>
      <w:r w:rsidRPr="00A24733">
        <w:rPr>
          <w:rFonts w:ascii="Arial" w:hAnsi="Arial" w:cs="Arial"/>
          <w:color w:val="000000"/>
          <w:sz w:val="19"/>
          <w:szCs w:val="19"/>
          <w:lang w:val="es-ES_tradnl"/>
        </w:rPr>
        <w:t xml:space="preserve"> DÁVILA VINUEZA, Luis Guillermo. Régimen jurídico de la contratación estatal. 3ª ed. Bogotá: Legis, 2016. p. 463.</w:t>
      </w:r>
    </w:p>
    <w:p w14:paraId="333F96F6" w14:textId="77777777" w:rsidR="00A24733" w:rsidRPr="00A24733" w:rsidRDefault="00A24733" w:rsidP="00A24733">
      <w:pPr>
        <w:pStyle w:val="Textonotapie"/>
        <w:ind w:firstLine="709"/>
        <w:jc w:val="both"/>
        <w:rPr>
          <w:rFonts w:ascii="Arial" w:hAnsi="Arial" w:cs="Arial"/>
          <w:color w:val="000000"/>
          <w:sz w:val="19"/>
          <w:szCs w:val="19"/>
          <w:lang w:val="es-ES_tradnl"/>
        </w:rPr>
      </w:pPr>
    </w:p>
  </w:footnote>
  <w:footnote w:id="8">
    <w:p w14:paraId="298F3642"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Style w:val="Refdenotaalpie"/>
          <w:rFonts w:ascii="Arial" w:hAnsi="Arial" w:cs="Arial"/>
          <w:color w:val="000000"/>
          <w:sz w:val="19"/>
          <w:szCs w:val="19"/>
          <w:lang w:val="es-ES_tradnl"/>
        </w:rPr>
        <w:footnoteRef/>
      </w:r>
      <w:r w:rsidRPr="00A24733">
        <w:rPr>
          <w:rFonts w:ascii="Arial" w:hAnsi="Arial" w:cs="Arial"/>
          <w:color w:val="000000"/>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7621421D"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Fonts w:ascii="Arial" w:hAnsi="Arial" w:cs="Arial"/>
          <w:color w:val="000000"/>
          <w:sz w:val="19"/>
          <w:szCs w:val="19"/>
          <w:lang w:val="es-ES_tradnl"/>
        </w:rPr>
        <w:t>Para las entidades que tengan un presupuesto anual superior o igual a 1.200.000 salarios mínimos legales mensuales, la menor cuantía será hasta 1.000 salarios mínimos legales mensuales.</w:t>
      </w:r>
    </w:p>
    <w:p w14:paraId="74F23EF4"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Fonts w:ascii="Arial" w:hAnsi="Arial" w:cs="Arial"/>
          <w:color w:val="000000"/>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0C66108D"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Fonts w:ascii="Arial" w:hAnsi="Arial" w:cs="Arial"/>
          <w:color w:val="000000"/>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4295B914"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Fonts w:ascii="Arial" w:hAnsi="Arial" w:cs="Arial"/>
          <w:color w:val="000000"/>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04EA1587"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Fonts w:ascii="Arial" w:hAnsi="Arial" w:cs="Arial"/>
          <w:color w:val="000000"/>
          <w:sz w:val="19"/>
          <w:szCs w:val="19"/>
          <w:lang w:val="es-ES_tradnl"/>
        </w:rPr>
        <w:t>Las que tengan un presupuesto anual inferior a 120.000 salarios mínimos legales mensuales, la menor cuantía será hasta 280 salarios mínimos legales mensuales”.</w:t>
      </w:r>
    </w:p>
  </w:footnote>
  <w:footnote w:id="9">
    <w:p w14:paraId="234886AE" w14:textId="77777777" w:rsidR="00A24733" w:rsidRPr="009E479B" w:rsidRDefault="00A24733" w:rsidP="00A24733">
      <w:pPr>
        <w:pStyle w:val="Textonotapie"/>
        <w:ind w:firstLine="709"/>
        <w:jc w:val="both"/>
        <w:rPr>
          <w:rFonts w:ascii="Arial" w:hAnsi="Arial" w:cs="Arial"/>
          <w:sz w:val="19"/>
          <w:szCs w:val="19"/>
        </w:rPr>
      </w:pPr>
      <w:r>
        <w:rPr>
          <w:rStyle w:val="Refdenotaalpie"/>
        </w:rPr>
        <w:footnoteRef/>
      </w:r>
      <w:r>
        <w:t xml:space="preserve"> </w:t>
      </w:r>
      <w:r w:rsidRPr="00A24733">
        <w:rPr>
          <w:rFonts w:ascii="Arial" w:hAnsi="Arial" w:cs="Arial"/>
          <w:color w:val="000000"/>
          <w:sz w:val="19"/>
          <w:szCs w:val="19"/>
          <w:lang w:val="es-ES_tradnl"/>
        </w:rPr>
        <w:t>“</w:t>
      </w:r>
      <w:r>
        <w:rPr>
          <w:rFonts w:ascii="Arial" w:hAnsi="Arial" w:cs="Arial"/>
          <w:sz w:val="19"/>
          <w:szCs w:val="19"/>
        </w:rPr>
        <w:t>A</w:t>
      </w:r>
      <w:r w:rsidRPr="009E479B">
        <w:rPr>
          <w:rFonts w:ascii="Arial" w:hAnsi="Arial" w:cs="Arial"/>
          <w:sz w:val="19"/>
          <w:szCs w:val="19"/>
        </w:rPr>
        <w:t xml:space="preserve">rtículo 6. </w:t>
      </w:r>
      <w:r>
        <w:rPr>
          <w:rFonts w:ascii="Arial" w:hAnsi="Arial" w:cs="Arial"/>
          <w:sz w:val="19"/>
          <w:szCs w:val="19"/>
        </w:rPr>
        <w:t>D</w:t>
      </w:r>
      <w:r w:rsidRPr="009E479B">
        <w:rPr>
          <w:rFonts w:ascii="Arial" w:hAnsi="Arial" w:cs="Arial"/>
          <w:sz w:val="19"/>
          <w:szCs w:val="19"/>
        </w:rPr>
        <w:t>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0638240" w14:textId="77777777" w:rsidR="00A24733" w:rsidRPr="004A73E3" w:rsidRDefault="00A24733" w:rsidP="00A24733">
      <w:pPr>
        <w:pStyle w:val="Textonotapie"/>
        <w:ind w:firstLine="709"/>
        <w:jc w:val="both"/>
        <w:rPr>
          <w:lang w:val="es-CO"/>
        </w:rPr>
      </w:pPr>
      <w:r w:rsidRPr="009E479B">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A24733">
        <w:rPr>
          <w:rFonts w:ascii="Arial" w:hAnsi="Arial" w:cs="Arial"/>
          <w:color w:val="000000"/>
          <w:sz w:val="19"/>
          <w:szCs w:val="19"/>
          <w:lang w:val="es-ES_tradnl"/>
        </w:rPr>
        <w:t xml:space="preserve"> […]”</w:t>
      </w:r>
    </w:p>
  </w:footnote>
  <w:footnote w:id="10">
    <w:p w14:paraId="74889E33" w14:textId="77777777" w:rsidR="00A24733" w:rsidRPr="001C72E7" w:rsidRDefault="00A24733" w:rsidP="00A24733">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w:t>
      </w:r>
      <w:r>
        <w:rPr>
          <w:rFonts w:ascii="Arial" w:hAnsi="Arial" w:cs="Arial"/>
          <w:sz w:val="19"/>
          <w:szCs w:val="19"/>
        </w:rPr>
        <w:t>“</w:t>
      </w:r>
      <w:r w:rsidRPr="001C72E7">
        <w:rPr>
          <w:rFonts w:ascii="Arial" w:hAnsi="Arial" w:cs="Arial"/>
          <w:sz w:val="19"/>
          <w:szCs w:val="19"/>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sz w:val="19"/>
          <w:szCs w:val="19"/>
        </w:rPr>
        <w:t>”</w:t>
      </w:r>
      <w:r w:rsidRPr="001C72E7">
        <w:rPr>
          <w:rFonts w:ascii="Arial" w:hAnsi="Arial" w:cs="Arial"/>
          <w:sz w:val="19"/>
          <w:szCs w:val="19"/>
        </w:rPr>
        <w:t>.</w:t>
      </w:r>
    </w:p>
    <w:p w14:paraId="3829F946" w14:textId="77777777" w:rsidR="00A24733" w:rsidRPr="001C72E7" w:rsidRDefault="00A24733" w:rsidP="00A24733">
      <w:pPr>
        <w:pStyle w:val="Textonotapie"/>
        <w:ind w:firstLine="708"/>
        <w:jc w:val="both"/>
        <w:rPr>
          <w:rFonts w:ascii="Arial" w:hAnsi="Arial" w:cs="Arial"/>
          <w:sz w:val="19"/>
          <w:szCs w:val="19"/>
        </w:rPr>
      </w:pPr>
    </w:p>
  </w:footnote>
  <w:footnote w:id="11">
    <w:p w14:paraId="3D4CB7E4" w14:textId="77777777" w:rsidR="00A24733" w:rsidRPr="00A24733" w:rsidRDefault="00A24733" w:rsidP="00A24733">
      <w:pPr>
        <w:pStyle w:val="Textonotapie"/>
        <w:ind w:firstLine="709"/>
        <w:jc w:val="both"/>
        <w:rPr>
          <w:rFonts w:ascii="Arial" w:hAnsi="Arial" w:cs="Arial"/>
          <w:color w:val="000000"/>
          <w:sz w:val="19"/>
          <w:szCs w:val="19"/>
          <w:lang w:val="es-ES_tradnl"/>
        </w:rPr>
      </w:pPr>
      <w:r w:rsidRPr="00A24733">
        <w:rPr>
          <w:rStyle w:val="Refdenotaalpie"/>
          <w:rFonts w:ascii="Arial" w:hAnsi="Arial" w:cs="Arial"/>
          <w:color w:val="000000"/>
          <w:sz w:val="19"/>
          <w:szCs w:val="19"/>
          <w:lang w:val="es-ES_tradnl"/>
        </w:rPr>
        <w:footnoteRef/>
      </w:r>
      <w:r w:rsidRPr="00A24733">
        <w:rPr>
          <w:rFonts w:ascii="Arial" w:hAnsi="Arial" w:cs="Arial"/>
          <w:color w:val="000000"/>
          <w:sz w:val="19"/>
          <w:szCs w:val="19"/>
          <w:lang w:val="es-ES_tradnl"/>
        </w:rPr>
        <w:t xml:space="preserve"> Como lo indica la doctrina, en la mínima cuantía “El precio es el factor de selección del proponente. Es decir, la </w:t>
      </w:r>
      <w:r w:rsidRPr="00A24733">
        <w:rPr>
          <w:rFonts w:ascii="Arial" w:hAnsi="Arial" w:cs="Arial"/>
          <w:i/>
          <w:iCs/>
          <w:color w:val="000000"/>
          <w:sz w:val="19"/>
          <w:szCs w:val="19"/>
          <w:lang w:val="es-ES_tradnl"/>
        </w:rPr>
        <w:t>entidad estatal</w:t>
      </w:r>
      <w:r w:rsidRPr="00A24733">
        <w:rPr>
          <w:rFonts w:ascii="Arial" w:hAnsi="Arial" w:cs="Arial"/>
          <w:color w:val="000000"/>
          <w:sz w:val="19"/>
          <w:szCs w:val="19"/>
          <w:lang w:val="es-ES_tradnl"/>
        </w:rPr>
        <w:t xml:space="preserve"> debe adjudicar el </w:t>
      </w:r>
      <w:r w:rsidRPr="00A24733">
        <w:rPr>
          <w:rFonts w:ascii="Arial" w:hAnsi="Arial" w:cs="Arial"/>
          <w:i/>
          <w:iCs/>
          <w:color w:val="000000"/>
          <w:sz w:val="19"/>
          <w:szCs w:val="19"/>
          <w:lang w:val="es-ES_tradnl"/>
        </w:rPr>
        <w:t>proceso de contratación</w:t>
      </w:r>
      <w:r w:rsidRPr="00A24733">
        <w:rPr>
          <w:rFonts w:ascii="Arial" w:hAnsi="Arial" w:cs="Arial"/>
          <w:color w:val="000000"/>
          <w:sz w:val="19"/>
          <w:szCs w:val="19"/>
          <w:lang w:val="es-ES_tradnl"/>
        </w:rPr>
        <w:t xml:space="preserve"> al oferente que cumpla con todas las condiciones exigidas por la </w:t>
      </w:r>
      <w:r w:rsidRPr="00A24733">
        <w:rPr>
          <w:rFonts w:ascii="Arial" w:hAnsi="Arial" w:cs="Arial"/>
          <w:i/>
          <w:iCs/>
          <w:color w:val="000000"/>
          <w:sz w:val="19"/>
          <w:szCs w:val="19"/>
          <w:lang w:val="es-ES_tradnl"/>
        </w:rPr>
        <w:t>entidad estatal</w:t>
      </w:r>
      <w:r w:rsidRPr="00A24733">
        <w:rPr>
          <w:rFonts w:ascii="Arial" w:hAnsi="Arial" w:cs="Arial"/>
          <w:color w:val="000000"/>
          <w:sz w:val="19"/>
          <w:szCs w:val="19"/>
          <w:lang w:val="es-ES_tradnl"/>
        </w:rPr>
        <w:t xml:space="preserve"> en los </w:t>
      </w:r>
      <w:r w:rsidRPr="00A24733">
        <w:rPr>
          <w:rFonts w:ascii="Arial" w:hAnsi="Arial" w:cs="Arial"/>
          <w:i/>
          <w:iCs/>
          <w:color w:val="000000"/>
          <w:sz w:val="19"/>
          <w:szCs w:val="19"/>
          <w:lang w:val="es-ES_tradnl"/>
        </w:rPr>
        <w:t>documentos del proceso</w:t>
      </w:r>
      <w:r w:rsidRPr="00A24733">
        <w:rPr>
          <w:rFonts w:ascii="Arial" w:hAnsi="Arial" w:cs="Arial"/>
          <w:color w:val="000000"/>
          <w:sz w:val="19"/>
          <w:szCs w:val="19"/>
          <w:lang w:val="es-ES_tradnl"/>
        </w:rPr>
        <w:t xml:space="preserve"> (estudios previos e invitación a participar), y que ofrezca el menor valor. No hay lugar a puntajes para evaluar las ofertas sobre las características del objeto a contratar, su calidad o condiciones” (DÁVILA, </w:t>
      </w:r>
      <w:proofErr w:type="spellStart"/>
      <w:r w:rsidRPr="00A24733">
        <w:rPr>
          <w:rFonts w:ascii="Arial" w:hAnsi="Arial" w:cs="Arial"/>
          <w:color w:val="000000"/>
          <w:sz w:val="19"/>
          <w:szCs w:val="19"/>
          <w:lang w:val="es-ES_tradnl"/>
        </w:rPr>
        <w:t>Op.cit</w:t>
      </w:r>
      <w:proofErr w:type="spellEnd"/>
      <w:r w:rsidRPr="00A24733">
        <w:rPr>
          <w:rFonts w:ascii="Arial" w:hAnsi="Arial" w:cs="Arial"/>
          <w:color w:val="000000"/>
          <w:sz w:val="19"/>
          <w:szCs w:val="19"/>
          <w:lang w:val="es-ES_tradnl"/>
        </w:rPr>
        <w:t>., p. 515).</w:t>
      </w:r>
    </w:p>
    <w:p w14:paraId="433767EA" w14:textId="77777777" w:rsidR="00A24733" w:rsidRPr="00A24733" w:rsidRDefault="00A24733" w:rsidP="00A24733">
      <w:pPr>
        <w:pStyle w:val="Textonotapie"/>
        <w:ind w:firstLine="709"/>
        <w:jc w:val="both"/>
        <w:rPr>
          <w:rFonts w:ascii="Arial" w:hAnsi="Arial" w:cs="Arial"/>
          <w:color w:val="000000"/>
          <w:sz w:val="19"/>
          <w:szCs w:val="19"/>
          <w:lang w:val="es-ES_tradnl"/>
        </w:rPr>
      </w:pPr>
    </w:p>
  </w:footnote>
  <w:footnote w:id="12">
    <w:p w14:paraId="3F9A5DCA" w14:textId="77777777" w:rsidR="00A24733" w:rsidRDefault="00A24733" w:rsidP="00A24733">
      <w:pPr>
        <w:pStyle w:val="Textonotapie"/>
        <w:ind w:firstLine="708"/>
        <w:jc w:val="both"/>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Ley 1150 de 2007: </w:t>
      </w:r>
      <w:r>
        <w:rPr>
          <w:rFonts w:ascii="Arial" w:hAnsi="Arial" w:cs="Arial"/>
          <w:color w:val="000000"/>
          <w:sz w:val="19"/>
          <w:szCs w:val="19"/>
        </w:rPr>
        <w:t>“</w:t>
      </w:r>
      <w:r w:rsidRPr="00721CE1">
        <w:rPr>
          <w:rFonts w:ascii="Arial" w:hAnsi="Arial" w:cs="Arial"/>
          <w:color w:val="000000"/>
          <w:sz w:val="19"/>
          <w:szCs w:val="19"/>
        </w:rPr>
        <w:t xml:space="preserve">Artículo 2 […] </w:t>
      </w:r>
    </w:p>
    <w:p w14:paraId="200CE9CC" w14:textId="77777777" w:rsidR="00A24733" w:rsidRPr="00721CE1" w:rsidRDefault="00A24733" w:rsidP="00A24733">
      <w:pPr>
        <w:pStyle w:val="Textonotapie"/>
        <w:ind w:firstLine="708"/>
        <w:jc w:val="both"/>
        <w:rPr>
          <w:rFonts w:ascii="Arial" w:hAnsi="Arial" w:cs="Arial"/>
          <w:color w:val="000000"/>
          <w:sz w:val="19"/>
          <w:szCs w:val="19"/>
        </w:rPr>
      </w:pPr>
      <w:r>
        <w:rPr>
          <w:rFonts w:ascii="Arial" w:hAnsi="Arial" w:cs="Arial"/>
          <w:color w:val="000000"/>
          <w:sz w:val="19"/>
          <w:szCs w:val="19"/>
        </w:rPr>
        <w:t>5</w:t>
      </w:r>
      <w:r w:rsidRPr="00721CE1">
        <w:rPr>
          <w:rFonts w:ascii="Arial" w:hAnsi="Arial" w:cs="Arial"/>
          <w:color w:val="000000"/>
          <w:sz w:val="19"/>
          <w:szCs w:val="19"/>
        </w:rPr>
        <w:t xml:space="preserve">. Contratación mínima Cuantía. La contratación cuyo valor no excede del 10 por ciento de la menor cuantía de la entidad independientemente de su objeto, se efectuará de conformidad con las siguientes reglas:  </w:t>
      </w:r>
    </w:p>
    <w:p w14:paraId="2A7201AA" w14:textId="77777777" w:rsidR="00A24733" w:rsidRPr="004761A8" w:rsidRDefault="00A24733" w:rsidP="00A24733">
      <w:pPr>
        <w:pStyle w:val="Textonotapie"/>
        <w:ind w:firstLine="708"/>
        <w:jc w:val="both"/>
        <w:rPr>
          <w:rFonts w:ascii="Arial" w:hAnsi="Arial" w:cs="Arial"/>
          <w:color w:val="000000"/>
          <w:sz w:val="19"/>
          <w:szCs w:val="19"/>
        </w:rPr>
      </w:pPr>
      <w:r w:rsidRPr="004761A8">
        <w:rPr>
          <w:rFonts w:ascii="Arial" w:hAnsi="Arial" w:cs="Arial"/>
          <w:color w:val="000000"/>
          <w:sz w:val="19"/>
          <w:szCs w:val="19"/>
        </w:rPr>
        <w:t>a) Se publicará una invitación, por un término no inferior a un día hábil, en la cual se señalará el objeto a contratar, el presupuesto destinado para tal fin, así como las condiciones técnicas exigidas;</w:t>
      </w:r>
    </w:p>
    <w:p w14:paraId="72B6A654" w14:textId="77777777" w:rsidR="00A24733" w:rsidRPr="004761A8" w:rsidRDefault="00A24733" w:rsidP="00A24733">
      <w:pPr>
        <w:pStyle w:val="Textonotapie"/>
        <w:ind w:firstLine="708"/>
        <w:jc w:val="both"/>
        <w:rPr>
          <w:rFonts w:ascii="Arial" w:hAnsi="Arial" w:cs="Arial"/>
          <w:color w:val="000000"/>
          <w:sz w:val="19"/>
          <w:szCs w:val="19"/>
        </w:rPr>
      </w:pPr>
      <w:r w:rsidRPr="004761A8">
        <w:rPr>
          <w:rFonts w:ascii="Arial" w:hAnsi="Arial" w:cs="Arial"/>
          <w:color w:val="000000"/>
          <w:sz w:val="19"/>
          <w:szCs w:val="19"/>
        </w:rPr>
        <w:t>b) El término previsto en la invitación para presentar la oferta no podrá ser inferior a un día hábil;</w:t>
      </w:r>
    </w:p>
    <w:p w14:paraId="6417E0F8" w14:textId="77777777" w:rsidR="00A24733" w:rsidRPr="004761A8" w:rsidRDefault="00A24733" w:rsidP="00A24733">
      <w:pPr>
        <w:pStyle w:val="Textonotapie"/>
        <w:ind w:firstLine="708"/>
        <w:jc w:val="both"/>
        <w:rPr>
          <w:rFonts w:ascii="Arial" w:hAnsi="Arial" w:cs="Arial"/>
          <w:color w:val="000000"/>
          <w:sz w:val="19"/>
          <w:szCs w:val="19"/>
        </w:rPr>
      </w:pPr>
      <w:r w:rsidRPr="004761A8">
        <w:rPr>
          <w:rFonts w:ascii="Arial" w:hAnsi="Arial" w:cs="Arial"/>
          <w:color w:val="000000"/>
          <w:sz w:val="19"/>
          <w:szCs w:val="19"/>
        </w:rPr>
        <w:t>c) La entidad seleccionará, mediante comunicación de aceptación de la oferta, la propuesta con el menor precio, siempre y cuando cumpla con las condiciones exigidas;</w:t>
      </w:r>
    </w:p>
    <w:p w14:paraId="031E7F10" w14:textId="77777777" w:rsidR="00A24733" w:rsidRPr="004761A8" w:rsidRDefault="00A24733" w:rsidP="00A24733">
      <w:pPr>
        <w:pStyle w:val="Textonotapie"/>
        <w:ind w:firstLine="708"/>
        <w:jc w:val="both"/>
        <w:rPr>
          <w:rFonts w:ascii="Arial" w:hAnsi="Arial" w:cs="Arial"/>
          <w:color w:val="000000"/>
          <w:sz w:val="19"/>
          <w:szCs w:val="19"/>
        </w:rPr>
      </w:pPr>
      <w:r w:rsidRPr="004761A8">
        <w:rPr>
          <w:rFonts w:ascii="Arial" w:hAnsi="Arial" w:cs="Arial"/>
          <w:color w:val="000000"/>
          <w:sz w:val="19"/>
          <w:szCs w:val="19"/>
        </w:rPr>
        <w:t>d) La comunicación de aceptación junto con la oferta constituye para todos los efectos el contrato celebrado, con base en lo cual se efectuará el respectivo registro presupuestal.</w:t>
      </w:r>
    </w:p>
    <w:p w14:paraId="43FD2AAE" w14:textId="77777777" w:rsidR="00A24733" w:rsidRPr="004761A8" w:rsidRDefault="00A24733" w:rsidP="00A24733">
      <w:pPr>
        <w:pStyle w:val="Textonotapie"/>
        <w:ind w:firstLine="708"/>
        <w:jc w:val="both"/>
        <w:rPr>
          <w:rFonts w:ascii="Arial" w:hAnsi="Arial" w:cs="Arial"/>
          <w:color w:val="000000"/>
          <w:sz w:val="19"/>
          <w:szCs w:val="19"/>
        </w:rPr>
      </w:pPr>
      <w:r w:rsidRPr="004761A8">
        <w:rPr>
          <w:rFonts w:ascii="Arial" w:hAnsi="Arial" w:cs="Arial"/>
          <w:color w:val="000000"/>
          <w:sz w:val="19"/>
          <w:szCs w:val="19"/>
        </w:rPr>
        <w:t xml:space="preserve">PARÁGRAFO 1o. Las particularidades del procedimiento aquí previsto, así como la posibilidad que tengan las entidades de realizar estas adquisiciones a </w:t>
      </w:r>
      <w:proofErr w:type="spellStart"/>
      <w:r w:rsidRPr="004761A8">
        <w:rPr>
          <w:rFonts w:ascii="Arial" w:hAnsi="Arial" w:cs="Arial"/>
          <w:color w:val="000000"/>
          <w:sz w:val="19"/>
          <w:szCs w:val="19"/>
        </w:rPr>
        <w:t>Mlpymes</w:t>
      </w:r>
      <w:proofErr w:type="spellEnd"/>
      <w:r w:rsidRPr="004761A8">
        <w:rPr>
          <w:rFonts w:ascii="Arial" w:hAnsi="Arial" w:cs="Arial"/>
          <w:color w:val="000000"/>
          <w:sz w:val="19"/>
          <w:szCs w:val="19"/>
        </w:rPr>
        <w:t xml:space="preserve"> o establecimientos que correspondan a la definición de "gran almacén" señalada por la Superintendencia de Industria y Comercio, se determinarán en el reglamento que para el efecto expida el Gobierno Nacional.</w:t>
      </w:r>
    </w:p>
    <w:p w14:paraId="625B32F2" w14:textId="77777777" w:rsidR="00A24733" w:rsidRDefault="00A24733" w:rsidP="00A24733">
      <w:pPr>
        <w:pStyle w:val="Textonotapie"/>
        <w:ind w:firstLine="708"/>
        <w:jc w:val="both"/>
        <w:rPr>
          <w:rFonts w:ascii="Arial" w:hAnsi="Arial" w:cs="Arial"/>
          <w:color w:val="000000"/>
          <w:sz w:val="19"/>
          <w:szCs w:val="19"/>
        </w:rPr>
      </w:pPr>
      <w:r w:rsidRPr="004761A8">
        <w:rPr>
          <w:rFonts w:ascii="Arial" w:hAnsi="Arial" w:cs="Arial"/>
          <w:color w:val="000000"/>
          <w:sz w:val="19"/>
          <w:szCs w:val="19"/>
        </w:rPr>
        <w:t>PARÁGRAFO 2o. La contratación a que se refiere el presente artículo se realizará exclusivamente con las reglas en él contempladas y en su reglamentación. En particular no se aplicará lo previsto en la Ley 816 de 2003</w:t>
      </w:r>
      <w:r>
        <w:rPr>
          <w:rFonts w:ascii="Arial" w:hAnsi="Arial" w:cs="Arial"/>
          <w:color w:val="000000"/>
          <w:sz w:val="19"/>
          <w:szCs w:val="19"/>
        </w:rPr>
        <w:t>”</w:t>
      </w:r>
      <w:r w:rsidRPr="004761A8">
        <w:rPr>
          <w:rFonts w:ascii="Arial" w:hAnsi="Arial" w:cs="Arial"/>
          <w:color w:val="000000"/>
          <w:sz w:val="19"/>
          <w:szCs w:val="19"/>
        </w:rPr>
        <w:t>.</w:t>
      </w:r>
    </w:p>
    <w:p w14:paraId="5FBE67AC" w14:textId="77777777" w:rsidR="00A24733" w:rsidRPr="00721CE1" w:rsidRDefault="00A24733" w:rsidP="00A24733">
      <w:pPr>
        <w:pStyle w:val="Textonotapie"/>
        <w:ind w:firstLine="708"/>
        <w:jc w:val="both"/>
        <w:rPr>
          <w:rFonts w:ascii="Arial" w:hAnsi="Arial" w:cs="Arial"/>
          <w:color w:val="000000"/>
          <w:sz w:val="19"/>
          <w:szCs w:val="19"/>
          <w:lang w:val="es-CO"/>
        </w:rPr>
      </w:pPr>
    </w:p>
  </w:footnote>
  <w:footnote w:id="13">
    <w:p w14:paraId="269C11B2" w14:textId="77777777" w:rsidR="00A24733" w:rsidRPr="00E934C2" w:rsidRDefault="00A24733" w:rsidP="00A24733">
      <w:pPr>
        <w:pStyle w:val="Textonotapie"/>
        <w:ind w:firstLine="709"/>
        <w:jc w:val="both"/>
        <w:rPr>
          <w:rFonts w:ascii="Arial" w:hAnsi="Arial" w:cs="Arial"/>
          <w:sz w:val="19"/>
          <w:szCs w:val="19"/>
        </w:rPr>
      </w:pPr>
      <w:r w:rsidRPr="00E934C2">
        <w:rPr>
          <w:rStyle w:val="Refdenotaalpie"/>
          <w:rFonts w:ascii="Arial" w:hAnsi="Arial" w:cs="Arial"/>
          <w:sz w:val="19"/>
          <w:szCs w:val="19"/>
        </w:rPr>
        <w:footnoteRef/>
      </w:r>
      <w:r w:rsidRPr="00E934C2">
        <w:rPr>
          <w:rFonts w:ascii="Arial" w:hAnsi="Arial" w:cs="Arial"/>
          <w:sz w:val="19"/>
          <w:szCs w:val="19"/>
        </w:rPr>
        <w:t xml:space="preserve"> El artículo 2 del Decreto 1860 de 2021 modifica la Subsección 5 de la Sección 1 del Capítulo 2 del Título 1 de la Parte 2 del Libro 2 del Decreto 1082 de 2015, relativo al procedimiento de selección de mínima cuantía. </w:t>
      </w:r>
    </w:p>
  </w:footnote>
  <w:footnote w:id="14">
    <w:p w14:paraId="4C5F95D5" w14:textId="77777777" w:rsidR="00A24733" w:rsidRPr="00721CE1" w:rsidRDefault="00A24733" w:rsidP="00A24733">
      <w:pPr>
        <w:pStyle w:val="Textonotapie"/>
        <w:jc w:val="both"/>
        <w:rPr>
          <w:rFonts w:ascii="Arial" w:hAnsi="Arial" w:cs="Arial"/>
          <w:color w:val="000000"/>
          <w:sz w:val="19"/>
          <w:szCs w:val="19"/>
        </w:rPr>
      </w:pPr>
    </w:p>
    <w:p w14:paraId="0A03E0C0" w14:textId="77777777" w:rsidR="00A24733" w:rsidRPr="00CF7DAC" w:rsidRDefault="00A24733" w:rsidP="00A24733">
      <w:pPr>
        <w:pStyle w:val="Textonotapie"/>
        <w:ind w:firstLine="709"/>
        <w:jc w:val="both"/>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Decreto 1082 de 2015: </w:t>
      </w:r>
      <w:r>
        <w:rPr>
          <w:rFonts w:ascii="Arial" w:hAnsi="Arial" w:cs="Arial"/>
          <w:color w:val="000000"/>
          <w:sz w:val="19"/>
          <w:szCs w:val="19"/>
        </w:rPr>
        <w:t>“</w:t>
      </w:r>
      <w:r w:rsidRPr="00721CE1">
        <w:rPr>
          <w:rFonts w:ascii="Arial" w:hAnsi="Arial" w:cs="Arial"/>
          <w:color w:val="000000"/>
          <w:sz w:val="19"/>
          <w:szCs w:val="19"/>
        </w:rPr>
        <w:t>Artículo 2.2.1.2.1.5.2. P</w:t>
      </w:r>
      <w:r w:rsidRPr="00CF7DAC">
        <w:rPr>
          <w:rFonts w:ascii="Arial" w:hAnsi="Arial" w:cs="Arial"/>
          <w:color w:val="000000"/>
          <w:sz w:val="19"/>
          <w:szCs w:val="19"/>
        </w:rPr>
        <w:t xml:space="preserve">rocedimiento para la contratación de mínima cuantía. Las siguientes reglas son aplicables a la contratación cuyo valor no excede del diez por ciento (10%) de la menor cuantía de la Entidad Estatal, independientemente de su objeto:  </w:t>
      </w:r>
    </w:p>
    <w:p w14:paraId="51D1ED75"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el cumplimiento de las condiciones técnicas exigidas, incluyendo las obligaciones de las partes del futuro contrato.</w:t>
      </w:r>
    </w:p>
    <w:p w14:paraId="7D8F74D2"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03819BE5"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 colombianas.</w:t>
      </w:r>
    </w:p>
    <w:p w14:paraId="1E46608F"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proofErr w:type="spellStart"/>
      <w:r w:rsidRPr="00CF7DAC">
        <w:rPr>
          <w:rFonts w:ascii="Arial" w:hAnsi="Arial" w:cs="Arial"/>
          <w:color w:val="000000"/>
          <w:sz w:val="19"/>
          <w:szCs w:val="19"/>
        </w:rPr>
        <w:t>ii</w:t>
      </w:r>
      <w:proofErr w:type="spellEnd"/>
      <w:r w:rsidRPr="00CF7DAC">
        <w:rPr>
          <w:rFonts w:ascii="Arial" w:hAnsi="Arial" w:cs="Arial"/>
          <w:color w:val="000000"/>
          <w:sz w:val="19"/>
          <w:szCs w:val="19"/>
        </w:rPr>
        <w:t xml:space="preserve">)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w:t>
      </w:r>
      <w:proofErr w:type="spellStart"/>
      <w:r w:rsidRPr="00CF7DAC">
        <w:rPr>
          <w:rFonts w:ascii="Arial" w:hAnsi="Arial" w:cs="Arial"/>
          <w:color w:val="000000"/>
          <w:sz w:val="19"/>
          <w:szCs w:val="19"/>
        </w:rPr>
        <w:t>iii</w:t>
      </w:r>
      <w:proofErr w:type="spellEnd"/>
      <w:r w:rsidRPr="00CF7DAC">
        <w:rPr>
          <w:rFonts w:ascii="Arial" w:hAnsi="Arial" w:cs="Arial"/>
          <w:color w:val="000000"/>
          <w:sz w:val="19"/>
          <w:szCs w:val="19"/>
        </w:rPr>
        <w:t xml:space="preserve">) El momento en que publicará un aviso en el SECOP precisando si el proceso efectivamente se limitó a Mipyme o si podrá participar cualquier otro interesado. </w:t>
      </w:r>
      <w:proofErr w:type="spellStart"/>
      <w:r w:rsidRPr="00CF7DAC">
        <w:rPr>
          <w:rFonts w:ascii="Arial" w:hAnsi="Arial" w:cs="Arial"/>
          <w:color w:val="000000"/>
          <w:sz w:val="19"/>
          <w:szCs w:val="19"/>
        </w:rPr>
        <w:t>iv</w:t>
      </w:r>
      <w:proofErr w:type="spellEnd"/>
      <w:r w:rsidRPr="00CF7DAC">
        <w:rPr>
          <w:rFonts w:ascii="Arial" w:hAnsi="Arial" w:cs="Arial"/>
          <w:color w:val="000000"/>
          <w:sz w:val="19"/>
          <w:szCs w:val="19"/>
        </w:rPr>
        <w:t>) Finalmente, se dispondrá un término adicional dentro del cual los proponentes podrán presentar sus ofertas, el cual será de mínimo un (1) día hábil luego de publicado el aviso en que se informe si el proceso se limita o no a Mipyme.</w:t>
      </w:r>
    </w:p>
    <w:p w14:paraId="0CF3028D"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61B5A254"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 xml:space="preserve">6. La Entidad Estatal debe publicar el informe de evaluación durante mínimo un (1) día hábil, para que durante este término los oferentes presenten las observaciones que deberán ser respondidas por la Entidad Estatal antes de realizar la aceptación de la oferta seleccionada. </w:t>
      </w:r>
    </w:p>
    <w:p w14:paraId="102158D2"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14:paraId="6A591DC5"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8. En caso de empate, la Entidad Estatal aplicará los criterios de que trata el artículo 35 de la Ley 2069 de 2020, conforme a los medios de acreditación del artículo 2.2.1.2.4.2.17. del presente Decreto o las normas que los modifiquen, adicionen o sustituyan.</w:t>
      </w:r>
    </w:p>
    <w:p w14:paraId="77D7F238" w14:textId="77777777" w:rsidR="00A24733" w:rsidRPr="00CF7DAC" w:rsidRDefault="00A24733" w:rsidP="00A24733">
      <w:pPr>
        <w:pStyle w:val="Textonotapie"/>
        <w:ind w:firstLine="708"/>
        <w:jc w:val="both"/>
        <w:rPr>
          <w:rFonts w:ascii="Arial" w:hAnsi="Arial" w:cs="Arial"/>
          <w:color w:val="000000"/>
          <w:sz w:val="19"/>
          <w:szCs w:val="19"/>
        </w:rPr>
      </w:pPr>
      <w:r w:rsidRPr="00CF7DAC">
        <w:rPr>
          <w:rFonts w:ascii="Arial" w:hAnsi="Arial" w:cs="Arial"/>
          <w:color w:val="000000"/>
          <w:sz w:val="19"/>
          <w:szCs w:val="19"/>
        </w:rPr>
        <w:t>9. La oferta y su aceptación constituyen el contrato estatal.</w:t>
      </w:r>
    </w:p>
    <w:p w14:paraId="32743E83" w14:textId="77777777" w:rsidR="00A24733" w:rsidRPr="00CF7DAC" w:rsidRDefault="00A24733" w:rsidP="00A24733">
      <w:pPr>
        <w:pStyle w:val="Textonotapie"/>
        <w:ind w:firstLine="708"/>
        <w:jc w:val="both"/>
        <w:rPr>
          <w:rFonts w:ascii="Arial" w:hAnsi="Arial" w:cs="Arial"/>
          <w:color w:val="000000"/>
          <w:sz w:val="19"/>
          <w:szCs w:val="19"/>
        </w:rPr>
      </w:pPr>
      <w:r>
        <w:rPr>
          <w:rFonts w:ascii="Arial" w:hAnsi="Arial" w:cs="Arial"/>
          <w:color w:val="000000"/>
          <w:sz w:val="19"/>
          <w:szCs w:val="19"/>
        </w:rPr>
        <w:t>[…]”.</w:t>
      </w:r>
    </w:p>
    <w:p w14:paraId="308EFE48" w14:textId="77777777" w:rsidR="00A24733" w:rsidRPr="00721CE1" w:rsidRDefault="00A24733" w:rsidP="00A24733">
      <w:pPr>
        <w:pStyle w:val="Textonotapie"/>
        <w:ind w:firstLine="708"/>
        <w:jc w:val="both"/>
        <w:rPr>
          <w:rFonts w:ascii="Arial" w:hAnsi="Arial" w:cs="Arial"/>
          <w:color w:val="000000"/>
          <w:sz w:val="19"/>
          <w:szCs w:val="19"/>
          <w:lang w:val="es-CO"/>
        </w:rPr>
      </w:pPr>
    </w:p>
    <w:p w14:paraId="78BDF010" w14:textId="77777777" w:rsidR="00A24733" w:rsidRPr="00721CE1" w:rsidRDefault="00A24733" w:rsidP="00A24733">
      <w:pPr>
        <w:pStyle w:val="Textonotapie"/>
        <w:ind w:firstLine="708"/>
        <w:jc w:val="both"/>
        <w:rPr>
          <w:rFonts w:ascii="Arial" w:hAnsi="Arial" w:cs="Arial"/>
          <w:color w:val="000000"/>
          <w:sz w:val="19"/>
          <w:szCs w:val="19"/>
          <w:lang w:val="es-CO"/>
        </w:rPr>
      </w:pPr>
    </w:p>
  </w:footnote>
  <w:footnote w:id="15">
    <w:p w14:paraId="29AF82D6"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sidRPr="00721CE1">
        <w:rPr>
          <w:rFonts w:ascii="Arial" w:hAnsi="Arial" w:cs="Arial"/>
          <w:color w:val="000000"/>
          <w:sz w:val="19"/>
          <w:szCs w:val="19"/>
          <w:lang w:val="es-CO"/>
        </w:rPr>
        <w:t xml:space="preserve">Real Academia Española de la Lengua. Diccionario de la Lengua Española. Edición Tricentenario. Disponible en: </w:t>
      </w:r>
      <w:hyperlink r:id="rId1" w:history="1">
        <w:r w:rsidRPr="00721CE1">
          <w:rPr>
            <w:rStyle w:val="Hipervnculo1"/>
            <w:rFonts w:ascii="Arial" w:hAnsi="Arial" w:cs="Arial"/>
            <w:color w:val="000000"/>
            <w:sz w:val="19"/>
            <w:szCs w:val="19"/>
          </w:rPr>
          <w:t>https://dle.rae.es/h%C3%A1bil</w:t>
        </w:r>
      </w:hyperlink>
      <w:r w:rsidRPr="00721CE1">
        <w:rPr>
          <w:rFonts w:ascii="Arial" w:hAnsi="Arial" w:cs="Arial"/>
          <w:color w:val="000000"/>
          <w:sz w:val="19"/>
          <w:szCs w:val="19"/>
          <w:lang w:val="es-CO"/>
        </w:rPr>
        <w:t xml:space="preserve"> </w:t>
      </w:r>
    </w:p>
  </w:footnote>
  <w:footnote w:id="16">
    <w:p w14:paraId="4D3B0A4F"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MARÍN CORTÉS, Fabián G. Derecho de petición y procedimiento administrativo. 1</w:t>
      </w:r>
      <w:r w:rsidRPr="00721CE1">
        <w:rPr>
          <w:rFonts w:ascii="Arial" w:hAnsi="Arial" w:cs="Arial"/>
          <w:color w:val="000000"/>
          <w:sz w:val="19"/>
          <w:szCs w:val="19"/>
          <w:u w:val="single"/>
          <w:vertAlign w:val="superscript"/>
        </w:rPr>
        <w:t>a</w:t>
      </w:r>
      <w:r w:rsidRPr="00721CE1">
        <w:rPr>
          <w:rFonts w:ascii="Arial" w:hAnsi="Arial" w:cs="Arial"/>
          <w:color w:val="000000"/>
          <w:sz w:val="19"/>
          <w:szCs w:val="19"/>
        </w:rPr>
        <w:t xml:space="preserve"> ed. Medellín: Librería Jurídica Sánchez R </w:t>
      </w:r>
      <w:proofErr w:type="spellStart"/>
      <w:r w:rsidRPr="00721CE1">
        <w:rPr>
          <w:rFonts w:ascii="Arial" w:hAnsi="Arial" w:cs="Arial"/>
          <w:color w:val="000000"/>
          <w:sz w:val="19"/>
          <w:szCs w:val="19"/>
        </w:rPr>
        <w:t>Ltda</w:t>
      </w:r>
      <w:proofErr w:type="spellEnd"/>
      <w:r w:rsidRPr="00721CE1">
        <w:rPr>
          <w:rFonts w:ascii="Arial" w:hAnsi="Arial" w:cs="Arial"/>
          <w:color w:val="000000"/>
          <w:sz w:val="19"/>
          <w:szCs w:val="19"/>
        </w:rPr>
        <w:t xml:space="preserve"> y Centro de Estudios de Derecho Administrativo, 2017. p. 417. </w:t>
      </w:r>
    </w:p>
  </w:footnote>
  <w:footnote w:id="17">
    <w:p w14:paraId="6D0745DF" w14:textId="77777777" w:rsidR="00A24733" w:rsidRPr="00721CE1" w:rsidRDefault="00A24733" w:rsidP="00A24733">
      <w:pPr>
        <w:pStyle w:val="Textonotapie"/>
        <w:ind w:firstLine="708"/>
        <w:jc w:val="both"/>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sidRPr="00721CE1">
        <w:rPr>
          <w:rFonts w:ascii="Arial" w:hAnsi="Arial" w:cs="Arial"/>
          <w:color w:val="000000"/>
          <w:sz w:val="19"/>
          <w:szCs w:val="19"/>
          <w:lang w:val="es-CO"/>
        </w:rPr>
        <w:t xml:space="preserve">Consejo de Estado. </w:t>
      </w:r>
      <w:r w:rsidRPr="00721CE1">
        <w:rPr>
          <w:rFonts w:ascii="Arial" w:hAnsi="Arial" w:cs="Arial"/>
          <w:color w:val="000000"/>
          <w:sz w:val="19"/>
          <w:szCs w:val="19"/>
        </w:rPr>
        <w:t xml:space="preserve">Sala Plena de lo Contencioso Administrativo. Sentencia del 12 de abril de 1978. C.P. Carlos Portocarrero Mutis. </w:t>
      </w:r>
      <w:proofErr w:type="spellStart"/>
      <w:r w:rsidRPr="00721CE1">
        <w:rPr>
          <w:rFonts w:ascii="Arial" w:hAnsi="Arial" w:cs="Arial"/>
          <w:color w:val="000000"/>
          <w:sz w:val="19"/>
          <w:szCs w:val="19"/>
        </w:rPr>
        <w:t>Exp</w:t>
      </w:r>
      <w:proofErr w:type="spellEnd"/>
      <w:r w:rsidRPr="00721CE1">
        <w:rPr>
          <w:rFonts w:ascii="Arial" w:hAnsi="Arial" w:cs="Arial"/>
          <w:color w:val="000000"/>
          <w:sz w:val="19"/>
          <w:szCs w:val="19"/>
        </w:rPr>
        <w:t>. 355.</w:t>
      </w:r>
    </w:p>
    <w:p w14:paraId="4B107FA9" w14:textId="77777777" w:rsidR="00A24733" w:rsidRPr="00721CE1" w:rsidRDefault="00A24733" w:rsidP="00A24733">
      <w:pPr>
        <w:pStyle w:val="Textonotapie"/>
        <w:ind w:firstLine="708"/>
        <w:jc w:val="both"/>
        <w:rPr>
          <w:rFonts w:ascii="Arial" w:hAnsi="Arial" w:cs="Arial"/>
          <w:color w:val="000000"/>
          <w:sz w:val="19"/>
          <w:szCs w:val="19"/>
          <w:lang w:val="es-CO"/>
        </w:rPr>
      </w:pPr>
    </w:p>
  </w:footnote>
  <w:footnote w:id="18">
    <w:p w14:paraId="52FE55C7"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Consejo de Estado. Sección Cuarta. Auto del 26 de febrero de 1983.</w:t>
      </w:r>
    </w:p>
  </w:footnote>
  <w:footnote w:id="19">
    <w:p w14:paraId="022D95E7" w14:textId="77777777" w:rsidR="00A24733" w:rsidRPr="00721CE1" w:rsidRDefault="00A24733" w:rsidP="00A24733">
      <w:pPr>
        <w:pStyle w:val="Textonotapie"/>
        <w:ind w:firstLine="708"/>
        <w:jc w:val="both"/>
        <w:rPr>
          <w:rFonts w:ascii="Arial" w:hAnsi="Arial" w:cs="Arial"/>
          <w:color w:val="000000"/>
          <w:sz w:val="19"/>
          <w:szCs w:val="19"/>
        </w:rPr>
      </w:pPr>
    </w:p>
    <w:p w14:paraId="29DC73E5"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MARÍN CORTÉS, Fabián G. Derecho de petición y procedimiento administrativo. 1</w:t>
      </w:r>
      <w:r w:rsidRPr="00721CE1">
        <w:rPr>
          <w:rFonts w:ascii="Arial" w:hAnsi="Arial" w:cs="Arial"/>
          <w:color w:val="000000"/>
          <w:sz w:val="19"/>
          <w:szCs w:val="19"/>
          <w:u w:val="single"/>
          <w:vertAlign w:val="superscript"/>
        </w:rPr>
        <w:t>a</w:t>
      </w:r>
      <w:r w:rsidRPr="00721CE1">
        <w:rPr>
          <w:rFonts w:ascii="Arial" w:hAnsi="Arial" w:cs="Arial"/>
          <w:color w:val="000000"/>
          <w:sz w:val="19"/>
          <w:szCs w:val="19"/>
        </w:rPr>
        <w:t xml:space="preserve"> ed. Medellín: Librería Jurídica Sánchez R </w:t>
      </w:r>
      <w:proofErr w:type="spellStart"/>
      <w:r w:rsidRPr="00721CE1">
        <w:rPr>
          <w:rFonts w:ascii="Arial" w:hAnsi="Arial" w:cs="Arial"/>
          <w:color w:val="000000"/>
          <w:sz w:val="19"/>
          <w:szCs w:val="19"/>
        </w:rPr>
        <w:t>Ltda</w:t>
      </w:r>
      <w:proofErr w:type="spellEnd"/>
      <w:r w:rsidRPr="00721CE1">
        <w:rPr>
          <w:rFonts w:ascii="Arial" w:hAnsi="Arial" w:cs="Arial"/>
          <w:color w:val="000000"/>
          <w:sz w:val="19"/>
          <w:szCs w:val="19"/>
        </w:rPr>
        <w:t xml:space="preserve"> y Centro de Estudios de Derecho Administrativo, 2017. p. 417.  </w:t>
      </w:r>
    </w:p>
  </w:footnote>
  <w:footnote w:id="20">
    <w:p w14:paraId="0956DBC8" w14:textId="77777777" w:rsidR="00A24733" w:rsidRPr="00721CE1" w:rsidRDefault="00A24733" w:rsidP="00A24733">
      <w:pPr>
        <w:pStyle w:val="Textonotapie"/>
        <w:ind w:firstLine="708"/>
        <w:jc w:val="both"/>
        <w:rPr>
          <w:rFonts w:ascii="Arial" w:hAnsi="Arial" w:cs="Arial"/>
          <w:color w:val="000000"/>
          <w:sz w:val="19"/>
          <w:szCs w:val="19"/>
        </w:rPr>
      </w:pPr>
    </w:p>
    <w:p w14:paraId="643A4BFD"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proofErr w:type="spellStart"/>
      <w:r w:rsidRPr="00721CE1">
        <w:rPr>
          <w:rFonts w:ascii="Arial" w:hAnsi="Arial" w:cs="Arial"/>
          <w:i/>
          <w:iCs/>
          <w:color w:val="000000"/>
          <w:sz w:val="19"/>
          <w:szCs w:val="19"/>
        </w:rPr>
        <w:t>Ibídem</w:t>
      </w:r>
      <w:proofErr w:type="spellEnd"/>
      <w:r w:rsidRPr="00721CE1">
        <w:rPr>
          <w:rFonts w:ascii="Arial" w:hAnsi="Arial" w:cs="Arial"/>
          <w:i/>
          <w:iCs/>
          <w:color w:val="000000"/>
          <w:sz w:val="19"/>
          <w:szCs w:val="19"/>
        </w:rPr>
        <w:t>.</w:t>
      </w:r>
      <w:r w:rsidRPr="00721CE1">
        <w:rPr>
          <w:rFonts w:ascii="Arial" w:hAnsi="Arial" w:cs="Arial"/>
          <w:color w:val="000000"/>
          <w:sz w:val="19"/>
          <w:szCs w:val="19"/>
        </w:rPr>
        <w:t xml:space="preserve"> </w:t>
      </w:r>
    </w:p>
  </w:footnote>
  <w:footnote w:id="21">
    <w:p w14:paraId="2B821BED" w14:textId="77777777" w:rsidR="00A24733" w:rsidRPr="00721CE1" w:rsidRDefault="00A24733" w:rsidP="00A24733">
      <w:pPr>
        <w:pStyle w:val="Textonotapie"/>
        <w:ind w:firstLine="708"/>
        <w:jc w:val="both"/>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Ley 1437 de 2011: </w:t>
      </w:r>
      <w:r>
        <w:rPr>
          <w:rFonts w:ascii="Arial" w:hAnsi="Arial" w:cs="Arial"/>
          <w:color w:val="000000"/>
          <w:sz w:val="19"/>
          <w:szCs w:val="19"/>
        </w:rPr>
        <w:t>“</w:t>
      </w:r>
      <w:r w:rsidRPr="00721CE1">
        <w:rPr>
          <w:rFonts w:ascii="Arial" w:hAnsi="Arial" w:cs="Arial"/>
          <w:color w:val="000000"/>
          <w:sz w:val="19"/>
          <w:szCs w:val="19"/>
        </w:rPr>
        <w:t xml:space="preserve">Artículo 7°. Deberes de las autoridades en la atención al público. Las autoridades tendrán, frente a las personas que ante ellas acudan y en relación con los asuntos que tramiten, los siguientes deberes: </w:t>
      </w:r>
    </w:p>
    <w:p w14:paraId="397625F8" w14:textId="77777777" w:rsidR="00A24733" w:rsidRPr="00721CE1" w:rsidRDefault="00A24733" w:rsidP="00A24733">
      <w:pPr>
        <w:pStyle w:val="Textonotapie"/>
        <w:jc w:val="both"/>
        <w:rPr>
          <w:rFonts w:ascii="Arial" w:hAnsi="Arial" w:cs="Arial"/>
          <w:color w:val="000000"/>
          <w:sz w:val="19"/>
          <w:szCs w:val="19"/>
        </w:rPr>
      </w:pPr>
      <w:r w:rsidRPr="00721CE1">
        <w:rPr>
          <w:rFonts w:ascii="Arial" w:hAnsi="Arial" w:cs="Arial"/>
          <w:color w:val="000000"/>
          <w:sz w:val="19"/>
          <w:szCs w:val="19"/>
        </w:rPr>
        <w:t xml:space="preserve">  </w:t>
      </w:r>
      <w:r w:rsidRPr="00721CE1">
        <w:rPr>
          <w:rFonts w:ascii="Arial" w:hAnsi="Arial" w:cs="Arial"/>
          <w:color w:val="000000"/>
          <w:sz w:val="19"/>
          <w:szCs w:val="19"/>
        </w:rPr>
        <w:tab/>
        <w:t>[…]</w:t>
      </w:r>
    </w:p>
    <w:p w14:paraId="049B70E4"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Fonts w:ascii="Arial" w:hAnsi="Arial" w:cs="Arial"/>
          <w:color w:val="000000"/>
          <w:sz w:val="19"/>
          <w:szCs w:val="19"/>
        </w:rPr>
        <w:t>2. Garantizar atención personal al público, como mínimo durante cuarenta (40) horas a la semana, las cuales se distribuirán en horarios que satisfagan las necesidades del servicio […]</w:t>
      </w:r>
      <w:r>
        <w:rPr>
          <w:rFonts w:ascii="Arial" w:hAnsi="Arial" w:cs="Arial"/>
          <w:color w:val="000000"/>
          <w:sz w:val="19"/>
          <w:szCs w:val="19"/>
        </w:rPr>
        <w:t>”</w:t>
      </w:r>
      <w:r w:rsidRPr="00721CE1">
        <w:rPr>
          <w:rFonts w:ascii="Arial" w:hAnsi="Arial" w:cs="Arial"/>
          <w:color w:val="000000"/>
          <w:sz w:val="19"/>
          <w:szCs w:val="19"/>
        </w:rPr>
        <w:t>.</w:t>
      </w:r>
    </w:p>
  </w:footnote>
  <w:footnote w:id="22">
    <w:p w14:paraId="5A468D7A" w14:textId="77777777" w:rsidR="00A24733" w:rsidRPr="00721CE1" w:rsidRDefault="00A24733" w:rsidP="00A24733">
      <w:pPr>
        <w:pStyle w:val="Textonotapie"/>
        <w:ind w:firstLine="708"/>
        <w:jc w:val="both"/>
        <w:rPr>
          <w:rFonts w:ascii="Arial" w:hAnsi="Arial" w:cs="Arial"/>
          <w:color w:val="000000"/>
          <w:sz w:val="19"/>
          <w:szCs w:val="19"/>
        </w:rPr>
      </w:pPr>
    </w:p>
    <w:p w14:paraId="5FAE796E" w14:textId="77777777" w:rsidR="00A24733" w:rsidRPr="00721CE1" w:rsidRDefault="00A24733" w:rsidP="00A24733">
      <w:pPr>
        <w:pStyle w:val="Textonotapie"/>
        <w:ind w:firstLine="708"/>
        <w:jc w:val="both"/>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Pr>
          <w:rFonts w:ascii="Arial" w:hAnsi="Arial" w:cs="Arial"/>
          <w:color w:val="000000"/>
          <w:sz w:val="19"/>
          <w:szCs w:val="19"/>
        </w:rPr>
        <w:t>“</w:t>
      </w:r>
      <w:r w:rsidRPr="00721CE1">
        <w:rPr>
          <w:rFonts w:ascii="Arial" w:hAnsi="Arial" w:cs="Arial"/>
          <w:color w:val="000000"/>
          <w:sz w:val="19"/>
          <w:szCs w:val="19"/>
        </w:rPr>
        <w:t xml:space="preserve">Artículo 2.2.1.1.2.1.3. Pliegos de condiciones. Los pliegos de condiciones deben contener por lo menos la siguiente información: </w:t>
      </w:r>
    </w:p>
    <w:p w14:paraId="43755152" w14:textId="77777777" w:rsidR="00A24733" w:rsidRPr="00721CE1" w:rsidRDefault="00A24733" w:rsidP="00A24733">
      <w:pPr>
        <w:pStyle w:val="Textonotapie"/>
        <w:ind w:firstLine="708"/>
        <w:jc w:val="both"/>
        <w:rPr>
          <w:rFonts w:ascii="Arial" w:hAnsi="Arial" w:cs="Arial"/>
          <w:color w:val="000000"/>
          <w:sz w:val="19"/>
          <w:szCs w:val="19"/>
        </w:rPr>
      </w:pPr>
      <w:r w:rsidRPr="00721CE1">
        <w:rPr>
          <w:rFonts w:ascii="Arial" w:hAnsi="Arial" w:cs="Arial"/>
          <w:color w:val="000000"/>
          <w:sz w:val="19"/>
          <w:szCs w:val="19"/>
        </w:rPr>
        <w:t>[…]</w:t>
      </w:r>
    </w:p>
    <w:p w14:paraId="06BD80E6" w14:textId="77777777" w:rsidR="00A24733" w:rsidRPr="00721CE1" w:rsidRDefault="00A24733" w:rsidP="00A24733">
      <w:pPr>
        <w:pStyle w:val="Textonotapie"/>
        <w:ind w:firstLine="708"/>
        <w:jc w:val="both"/>
        <w:rPr>
          <w:rFonts w:ascii="Arial" w:hAnsi="Arial" w:cs="Arial"/>
          <w:color w:val="000000"/>
          <w:sz w:val="19"/>
          <w:szCs w:val="19"/>
        </w:rPr>
      </w:pPr>
      <w:r w:rsidRPr="00721CE1">
        <w:rPr>
          <w:rFonts w:ascii="Arial" w:hAnsi="Arial" w:cs="Arial"/>
          <w:color w:val="000000"/>
          <w:sz w:val="19"/>
          <w:szCs w:val="19"/>
        </w:rPr>
        <w:t xml:space="preserve">5. Las reglas aplicables a la presentación de las ofertas, su evaluación y a la adjudicación del contrato. </w:t>
      </w:r>
    </w:p>
    <w:p w14:paraId="2F069D52" w14:textId="77777777" w:rsidR="00A24733" w:rsidRPr="00721CE1" w:rsidRDefault="00A24733" w:rsidP="00A24733">
      <w:pPr>
        <w:pStyle w:val="Textonotapie"/>
        <w:ind w:firstLine="708"/>
        <w:jc w:val="both"/>
        <w:rPr>
          <w:rFonts w:ascii="Arial" w:hAnsi="Arial" w:cs="Arial"/>
          <w:color w:val="000000"/>
          <w:sz w:val="19"/>
          <w:szCs w:val="19"/>
        </w:rPr>
      </w:pPr>
      <w:r w:rsidRPr="00721CE1">
        <w:rPr>
          <w:rFonts w:ascii="Arial" w:hAnsi="Arial" w:cs="Arial"/>
          <w:color w:val="000000"/>
          <w:sz w:val="19"/>
          <w:szCs w:val="19"/>
        </w:rPr>
        <w:t>[…]</w:t>
      </w:r>
    </w:p>
    <w:p w14:paraId="2BCE1B3F" w14:textId="77777777" w:rsidR="00A24733" w:rsidRPr="00721CE1" w:rsidRDefault="00A24733" w:rsidP="00A24733">
      <w:pPr>
        <w:pStyle w:val="Textonotapie"/>
        <w:ind w:firstLine="708"/>
        <w:jc w:val="both"/>
        <w:rPr>
          <w:rFonts w:ascii="Arial" w:hAnsi="Arial" w:cs="Arial"/>
          <w:color w:val="000000"/>
          <w:sz w:val="19"/>
          <w:szCs w:val="19"/>
        </w:rPr>
      </w:pPr>
      <w:r w:rsidRPr="00721CE1">
        <w:rPr>
          <w:rFonts w:ascii="Arial" w:hAnsi="Arial" w:cs="Arial"/>
          <w:color w:val="000000"/>
          <w:sz w:val="19"/>
          <w:szCs w:val="19"/>
        </w:rPr>
        <w:t>14. El Cronograma</w:t>
      </w:r>
      <w:r>
        <w:rPr>
          <w:rFonts w:ascii="Arial" w:hAnsi="Arial" w:cs="Arial"/>
          <w:color w:val="000000"/>
          <w:sz w:val="19"/>
          <w:szCs w:val="19"/>
        </w:rPr>
        <w:t>”</w:t>
      </w:r>
      <w:r w:rsidRPr="00721CE1">
        <w:rPr>
          <w:rFonts w:ascii="Arial" w:hAnsi="Arial" w:cs="Arial"/>
          <w:color w:val="000000"/>
          <w:sz w:val="19"/>
          <w:szCs w:val="19"/>
        </w:rPr>
        <w:t>.</w:t>
      </w:r>
    </w:p>
    <w:p w14:paraId="1CF80C2B" w14:textId="77777777" w:rsidR="00A24733" w:rsidRPr="00721CE1" w:rsidRDefault="00A24733" w:rsidP="00A24733">
      <w:pPr>
        <w:pStyle w:val="Textonotapie"/>
        <w:ind w:firstLine="708"/>
        <w:jc w:val="both"/>
        <w:rPr>
          <w:rFonts w:ascii="Arial" w:hAnsi="Arial" w:cs="Arial"/>
          <w:color w:val="000000"/>
          <w:sz w:val="19"/>
          <w:szCs w:val="19"/>
          <w:lang w:val="es-CO"/>
        </w:rPr>
      </w:pPr>
    </w:p>
  </w:footnote>
  <w:footnote w:id="23">
    <w:p w14:paraId="72F77DA6" w14:textId="77777777" w:rsidR="00A24733" w:rsidRPr="00721CE1" w:rsidRDefault="00A24733" w:rsidP="00A24733">
      <w:pPr>
        <w:pStyle w:val="Textonotapie"/>
        <w:ind w:firstLine="708"/>
        <w:jc w:val="both"/>
        <w:rPr>
          <w:rFonts w:ascii="Arial" w:hAnsi="Arial" w:cs="Arial"/>
          <w:color w:val="000000"/>
          <w:sz w:val="19"/>
          <w:szCs w:val="19"/>
        </w:rPr>
      </w:pPr>
    </w:p>
    <w:p w14:paraId="1B9C33B5"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MARÍN CORTÉS, Fabián G. Derecho de petición y procedimiento administrativo. 1</w:t>
      </w:r>
      <w:r w:rsidRPr="00721CE1">
        <w:rPr>
          <w:rFonts w:ascii="Arial" w:hAnsi="Arial" w:cs="Arial"/>
          <w:color w:val="000000"/>
          <w:sz w:val="19"/>
          <w:szCs w:val="19"/>
          <w:u w:val="single"/>
          <w:vertAlign w:val="superscript"/>
        </w:rPr>
        <w:t>a</w:t>
      </w:r>
      <w:r w:rsidRPr="00721CE1">
        <w:rPr>
          <w:rFonts w:ascii="Arial" w:hAnsi="Arial" w:cs="Arial"/>
          <w:color w:val="000000"/>
          <w:sz w:val="19"/>
          <w:szCs w:val="19"/>
        </w:rPr>
        <w:t xml:space="preserve"> ed. Medellín: Librería Jurídica Sánchez R </w:t>
      </w:r>
      <w:proofErr w:type="spellStart"/>
      <w:r w:rsidRPr="00721CE1">
        <w:rPr>
          <w:rFonts w:ascii="Arial" w:hAnsi="Arial" w:cs="Arial"/>
          <w:color w:val="000000"/>
          <w:sz w:val="19"/>
          <w:szCs w:val="19"/>
        </w:rPr>
        <w:t>Ltda</w:t>
      </w:r>
      <w:proofErr w:type="spellEnd"/>
      <w:r w:rsidRPr="00721CE1">
        <w:rPr>
          <w:rFonts w:ascii="Arial" w:hAnsi="Arial" w:cs="Arial"/>
          <w:color w:val="000000"/>
          <w:sz w:val="19"/>
          <w:szCs w:val="19"/>
        </w:rPr>
        <w:t xml:space="preserve"> y Centro de Estudios de Derecho Administrativo, 2017. p. 417.  </w:t>
      </w:r>
    </w:p>
  </w:footnote>
  <w:footnote w:id="24">
    <w:p w14:paraId="52785788" w14:textId="77777777" w:rsidR="00A24733" w:rsidRPr="00721CE1" w:rsidRDefault="00A24733" w:rsidP="00A24733">
      <w:pPr>
        <w:pStyle w:val="Textonotapie"/>
        <w:ind w:firstLine="708"/>
        <w:jc w:val="both"/>
        <w:rPr>
          <w:rFonts w:ascii="Arial" w:hAnsi="Arial" w:cs="Arial"/>
          <w:color w:val="000000"/>
          <w:sz w:val="19"/>
          <w:szCs w:val="19"/>
        </w:rPr>
      </w:pPr>
    </w:p>
    <w:p w14:paraId="6DC2DFC2" w14:textId="77777777" w:rsidR="00A24733" w:rsidRPr="00721CE1" w:rsidRDefault="00A24733" w:rsidP="00A24733">
      <w:pPr>
        <w:pStyle w:val="Textonotapie"/>
        <w:ind w:firstLine="708"/>
        <w:jc w:val="both"/>
        <w:rPr>
          <w:rFonts w:ascii="Arial" w:hAnsi="Arial" w:cs="Arial"/>
          <w:color w:val="000000"/>
          <w:sz w:val="19"/>
          <w:szCs w:val="19"/>
          <w:lang w:val="es-CO"/>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proofErr w:type="spellStart"/>
      <w:r w:rsidRPr="00721CE1">
        <w:rPr>
          <w:rFonts w:ascii="Arial" w:hAnsi="Arial" w:cs="Arial"/>
          <w:i/>
          <w:iCs/>
          <w:color w:val="000000"/>
          <w:sz w:val="19"/>
          <w:szCs w:val="19"/>
        </w:rPr>
        <w:t>Ibídem</w:t>
      </w:r>
      <w:proofErr w:type="spellEnd"/>
      <w:r w:rsidRPr="00721CE1">
        <w:rPr>
          <w:rFonts w:ascii="Arial" w:hAnsi="Arial" w:cs="Arial"/>
          <w:i/>
          <w:iCs/>
          <w:color w:val="000000"/>
          <w:sz w:val="19"/>
          <w:szCs w:val="19"/>
        </w:rPr>
        <w:t>.</w:t>
      </w:r>
      <w:r w:rsidRPr="00721CE1">
        <w:rPr>
          <w:rFonts w:ascii="Arial" w:hAnsi="Arial" w:cs="Arial"/>
          <w:color w:val="000000"/>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97873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5C41"/>
    <w:rsid w:val="00083334"/>
    <w:rsid w:val="000956CF"/>
    <w:rsid w:val="000A683E"/>
    <w:rsid w:val="0011595A"/>
    <w:rsid w:val="001220C5"/>
    <w:rsid w:val="001267F7"/>
    <w:rsid w:val="00127233"/>
    <w:rsid w:val="0012740B"/>
    <w:rsid w:val="00130999"/>
    <w:rsid w:val="00133ECF"/>
    <w:rsid w:val="00164D81"/>
    <w:rsid w:val="00167715"/>
    <w:rsid w:val="00176856"/>
    <w:rsid w:val="001A1011"/>
    <w:rsid w:val="001A48D0"/>
    <w:rsid w:val="002653C1"/>
    <w:rsid w:val="0026611D"/>
    <w:rsid w:val="002951A0"/>
    <w:rsid w:val="002A64FD"/>
    <w:rsid w:val="002F0839"/>
    <w:rsid w:val="002F5E5D"/>
    <w:rsid w:val="00301469"/>
    <w:rsid w:val="00306EE1"/>
    <w:rsid w:val="00310B9B"/>
    <w:rsid w:val="0036461C"/>
    <w:rsid w:val="00367884"/>
    <w:rsid w:val="0039439C"/>
    <w:rsid w:val="003B69E7"/>
    <w:rsid w:val="003C013B"/>
    <w:rsid w:val="003D0F4D"/>
    <w:rsid w:val="003F58A1"/>
    <w:rsid w:val="00401034"/>
    <w:rsid w:val="00410DD6"/>
    <w:rsid w:val="004134C9"/>
    <w:rsid w:val="0043138C"/>
    <w:rsid w:val="00453D99"/>
    <w:rsid w:val="00462A59"/>
    <w:rsid w:val="004A1847"/>
    <w:rsid w:val="004B2614"/>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C3457"/>
    <w:rsid w:val="009F33F2"/>
    <w:rsid w:val="009F6C77"/>
    <w:rsid w:val="00A07532"/>
    <w:rsid w:val="00A1085C"/>
    <w:rsid w:val="00A24733"/>
    <w:rsid w:val="00A309E2"/>
    <w:rsid w:val="00A8066E"/>
    <w:rsid w:val="00AA4B8A"/>
    <w:rsid w:val="00AA6BF7"/>
    <w:rsid w:val="00B01ED6"/>
    <w:rsid w:val="00B06D09"/>
    <w:rsid w:val="00B771A9"/>
    <w:rsid w:val="00B809BB"/>
    <w:rsid w:val="00B8248A"/>
    <w:rsid w:val="00BB7726"/>
    <w:rsid w:val="00BC1C32"/>
    <w:rsid w:val="00C2329E"/>
    <w:rsid w:val="00C30461"/>
    <w:rsid w:val="00C754BE"/>
    <w:rsid w:val="00C87572"/>
    <w:rsid w:val="00C9405D"/>
    <w:rsid w:val="00CB5EC7"/>
    <w:rsid w:val="00CC1B26"/>
    <w:rsid w:val="00CD284F"/>
    <w:rsid w:val="00CF23AA"/>
    <w:rsid w:val="00CF3515"/>
    <w:rsid w:val="00D01921"/>
    <w:rsid w:val="00D752B7"/>
    <w:rsid w:val="00DA1854"/>
    <w:rsid w:val="00DB0887"/>
    <w:rsid w:val="00DF1E43"/>
    <w:rsid w:val="00E20894"/>
    <w:rsid w:val="00E26B7C"/>
    <w:rsid w:val="00E87DE0"/>
    <w:rsid w:val="00EA3003"/>
    <w:rsid w:val="00EA7900"/>
    <w:rsid w:val="00EB3C91"/>
    <w:rsid w:val="00EB66DA"/>
    <w:rsid w:val="00EC7367"/>
    <w:rsid w:val="00F0394D"/>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A24733"/>
    <w:rPr>
      <w:color w:val="F2F2F2"/>
      <w:u w:val="single"/>
    </w:rPr>
  </w:style>
  <w:style w:type="paragraph" w:customStyle="1" w:styleId="Appelnotedebasde">
    <w:name w:val="Appel note de bas de..."/>
    <w:basedOn w:val="Normal"/>
    <w:link w:val="Refdenotaalpie"/>
    <w:uiPriority w:val="99"/>
    <w:rsid w:val="00A24733"/>
    <w:pPr>
      <w:spacing w:line="240" w:lineRule="exact"/>
    </w:pPr>
    <w:rPr>
      <w:vertAlign w:val="superscript"/>
    </w:rPr>
  </w:style>
  <w:style w:type="table" w:customStyle="1" w:styleId="Tablaconcuadrcula3">
    <w:name w:val="Tabla con cuadrícula3"/>
    <w:basedOn w:val="Tablanormal"/>
    <w:next w:val="Tablaconcuadrcula"/>
    <w:uiPriority w:val="59"/>
    <w:qFormat/>
    <w:rsid w:val="00A2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24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609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7FE8DB04-C688-4A6E-8D78-5A143867C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6481</Words>
  <Characters>35649</Characters>
  <Application>Microsoft Office Word</Application>
  <DocSecurity>0</DocSecurity>
  <Lines>297</Lines>
  <Paragraphs>84</Paragraphs>
  <ScaleCrop>false</ScaleCrop>
  <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6</cp:revision>
  <dcterms:created xsi:type="dcterms:W3CDTF">2023-05-24T18:11:00Z</dcterms:created>
  <dcterms:modified xsi:type="dcterms:W3CDTF">2023-05-24T18:16:00Z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